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A13" w:rsidRPr="00F804AF" w:rsidRDefault="00191281" w:rsidP="00F804AF">
      <w:pPr>
        <w:spacing w:after="0" w:line="280" w:lineRule="atLeast"/>
        <w:rPr>
          <w:rFonts w:ascii="Times New Roman" w:eastAsia="Times New Roman" w:hAnsi="Times New Roman" w:cs="Times New Roman"/>
          <w:sz w:val="20"/>
          <w:szCs w:val="20"/>
          <w:lang w:eastAsia="tr-TR"/>
        </w:rPr>
      </w:pPr>
      <w:r w:rsidRPr="00F804AF">
        <w:rPr>
          <w:rFonts w:ascii="Times New Roman" w:hAnsi="Times New Roman" w:cs="Times New Roman"/>
          <w:b/>
          <w:sz w:val="20"/>
          <w:szCs w:val="20"/>
          <w:u w:val="single"/>
        </w:rPr>
        <w:t>23</w:t>
      </w:r>
      <w:r w:rsidR="001D4159" w:rsidRPr="00F804AF">
        <w:rPr>
          <w:rFonts w:ascii="Times New Roman" w:hAnsi="Times New Roman" w:cs="Times New Roman"/>
          <w:b/>
          <w:sz w:val="20"/>
          <w:szCs w:val="20"/>
          <w:u w:val="single"/>
        </w:rPr>
        <w:t xml:space="preserve"> Ekim</w:t>
      </w:r>
      <w:r w:rsidR="00553DD2" w:rsidRPr="00F804AF">
        <w:rPr>
          <w:rFonts w:ascii="Times New Roman" w:hAnsi="Times New Roman" w:cs="Times New Roman"/>
          <w:b/>
          <w:sz w:val="20"/>
          <w:szCs w:val="20"/>
          <w:u w:val="single"/>
        </w:rPr>
        <w:t xml:space="preserve"> 2012</w:t>
      </w:r>
      <w:r w:rsidR="00ED523B" w:rsidRPr="00F804AF">
        <w:rPr>
          <w:rFonts w:ascii="Times New Roman" w:hAnsi="Times New Roman" w:cs="Times New Roman"/>
          <w:b/>
          <w:sz w:val="20"/>
          <w:szCs w:val="20"/>
          <w:u w:val="single"/>
        </w:rPr>
        <w:tab/>
      </w:r>
      <w:r w:rsidR="00F77306" w:rsidRPr="00F804AF">
        <w:rPr>
          <w:rFonts w:ascii="Times New Roman" w:hAnsi="Times New Roman" w:cs="Times New Roman"/>
          <w:b/>
          <w:sz w:val="20"/>
          <w:szCs w:val="20"/>
          <w:u w:val="single"/>
        </w:rPr>
        <w:tab/>
      </w:r>
      <w:r w:rsidR="00F77306" w:rsidRPr="00F804AF">
        <w:rPr>
          <w:rFonts w:ascii="Times New Roman" w:hAnsi="Times New Roman" w:cs="Times New Roman"/>
          <w:b/>
          <w:sz w:val="20"/>
          <w:szCs w:val="20"/>
          <w:u w:val="single"/>
        </w:rPr>
        <w:tab/>
      </w:r>
      <w:r w:rsidR="00F77306" w:rsidRPr="00F804AF">
        <w:rPr>
          <w:rFonts w:ascii="Times New Roman" w:hAnsi="Times New Roman" w:cs="Times New Roman"/>
          <w:b/>
          <w:sz w:val="20"/>
          <w:szCs w:val="20"/>
          <w:u w:val="single"/>
        </w:rPr>
        <w:tab/>
      </w:r>
      <w:r w:rsidR="00F77306" w:rsidRPr="00F804AF">
        <w:rPr>
          <w:rFonts w:ascii="Times New Roman" w:hAnsi="Times New Roman" w:cs="Times New Roman"/>
          <w:b/>
          <w:sz w:val="20"/>
          <w:szCs w:val="20"/>
          <w:u w:val="single"/>
        </w:rPr>
        <w:tab/>
        <w:t xml:space="preserve"> </w:t>
      </w:r>
      <w:r w:rsidR="00072B43" w:rsidRPr="00F804AF">
        <w:rPr>
          <w:rFonts w:ascii="Times New Roman" w:hAnsi="Times New Roman" w:cs="Times New Roman"/>
          <w:b/>
          <w:sz w:val="20"/>
          <w:szCs w:val="20"/>
          <w:u w:val="single"/>
        </w:rPr>
        <w:t xml:space="preserve">    </w:t>
      </w:r>
      <w:r w:rsidR="00174AD4" w:rsidRPr="00F804AF">
        <w:rPr>
          <w:rFonts w:ascii="Times New Roman" w:hAnsi="Times New Roman" w:cs="Times New Roman"/>
          <w:b/>
          <w:sz w:val="20"/>
          <w:szCs w:val="20"/>
          <w:u w:val="single"/>
        </w:rPr>
        <w:tab/>
      </w:r>
      <w:r w:rsidR="00565FD5">
        <w:rPr>
          <w:rFonts w:ascii="Times New Roman" w:hAnsi="Times New Roman" w:cs="Times New Roman"/>
          <w:b/>
          <w:sz w:val="20"/>
          <w:szCs w:val="20"/>
          <w:u w:val="single"/>
        </w:rPr>
        <w:t>(Mükkerer) (</w:t>
      </w:r>
      <w:r w:rsidR="00F77306" w:rsidRPr="00F804AF">
        <w:rPr>
          <w:rFonts w:ascii="Times New Roman" w:hAnsi="Times New Roman" w:cs="Times New Roman"/>
          <w:b/>
          <w:sz w:val="20"/>
          <w:szCs w:val="20"/>
          <w:u w:val="single"/>
        </w:rPr>
        <w:t xml:space="preserve">Sayı : </w:t>
      </w:r>
      <w:r w:rsidR="00193638" w:rsidRPr="00F804AF">
        <w:rPr>
          <w:rFonts w:ascii="Times New Roman" w:hAnsi="Times New Roman" w:cs="Times New Roman"/>
          <w:b/>
          <w:sz w:val="20"/>
          <w:szCs w:val="20"/>
          <w:u w:val="single"/>
        </w:rPr>
        <w:t>28</w:t>
      </w:r>
      <w:r w:rsidR="00367DC3" w:rsidRPr="00F804AF">
        <w:rPr>
          <w:rFonts w:ascii="Times New Roman" w:hAnsi="Times New Roman" w:cs="Times New Roman"/>
          <w:b/>
          <w:sz w:val="20"/>
          <w:szCs w:val="20"/>
          <w:u w:val="single"/>
        </w:rPr>
        <w:t>4</w:t>
      </w:r>
      <w:r w:rsidRPr="00F804AF">
        <w:rPr>
          <w:rFonts w:ascii="Times New Roman" w:hAnsi="Times New Roman" w:cs="Times New Roman"/>
          <w:b/>
          <w:sz w:val="20"/>
          <w:szCs w:val="20"/>
          <w:u w:val="single"/>
        </w:rPr>
        <w:t>50</w:t>
      </w:r>
    </w:p>
    <w:p w:rsidR="00984D22" w:rsidRPr="00F804AF" w:rsidRDefault="00984D22" w:rsidP="00F804AF">
      <w:pPr>
        <w:tabs>
          <w:tab w:val="left" w:pos="566"/>
        </w:tabs>
        <w:spacing w:after="0" w:line="280" w:lineRule="atLeast"/>
        <w:ind w:firstLine="566"/>
        <w:rPr>
          <w:rFonts w:ascii="Times New Roman" w:eastAsia="ヒラギノ明朝 Pro W3" w:hAnsi="Times New Roman" w:cs="Times New Roman"/>
          <w:sz w:val="20"/>
          <w:szCs w:val="20"/>
          <w:u w:val="single"/>
        </w:rPr>
      </w:pPr>
    </w:p>
    <w:p w:rsidR="00565FD5" w:rsidRPr="00891374" w:rsidRDefault="00565FD5" w:rsidP="00565FD5">
      <w:pPr>
        <w:pStyle w:val="AralkYok1"/>
        <w:rPr>
          <w:sz w:val="20"/>
          <w:szCs w:val="20"/>
        </w:rPr>
      </w:pPr>
    </w:p>
    <w:p w:rsidR="00565FD5" w:rsidRPr="00B1423D" w:rsidRDefault="00565FD5" w:rsidP="00565FD5">
      <w:pPr>
        <w:tabs>
          <w:tab w:val="left" w:pos="426"/>
        </w:tabs>
        <w:jc w:val="center"/>
        <w:rPr>
          <w:rFonts w:cs="Tahoma"/>
          <w:b/>
          <w:sz w:val="36"/>
          <w:szCs w:val="36"/>
        </w:rPr>
      </w:pPr>
      <w:r w:rsidRPr="00B1423D">
        <w:rPr>
          <w:rFonts w:cs="Tahoma"/>
          <w:b/>
          <w:sz w:val="36"/>
          <w:szCs w:val="36"/>
        </w:rPr>
        <w:t>2013 YILI PROGRAMI</w:t>
      </w:r>
    </w:p>
    <w:p w:rsidR="00565FD5" w:rsidRPr="00891374" w:rsidRDefault="00565FD5" w:rsidP="00565FD5">
      <w:pPr>
        <w:tabs>
          <w:tab w:val="left" w:pos="426"/>
        </w:tabs>
        <w:jc w:val="center"/>
        <w:rPr>
          <w:rFonts w:cs="Tahoma"/>
          <w:b/>
          <w:sz w:val="20"/>
        </w:rPr>
      </w:pPr>
    </w:p>
    <w:p w:rsidR="00565FD5" w:rsidRPr="00A37771" w:rsidRDefault="00565FD5" w:rsidP="00565FD5">
      <w:pPr>
        <w:tabs>
          <w:tab w:val="left" w:pos="426"/>
        </w:tabs>
        <w:jc w:val="center"/>
        <w:rPr>
          <w:rFonts w:cs="Tahoma"/>
          <w:b/>
        </w:rPr>
      </w:pPr>
      <w:r>
        <w:rPr>
          <w:rFonts w:cs="Tahoma"/>
          <w:b/>
        </w:rPr>
        <w:t>18 Ekim 2012</w:t>
      </w:r>
      <w:r w:rsidRPr="00A37771">
        <w:rPr>
          <w:rFonts w:cs="Tahoma"/>
          <w:b/>
        </w:rPr>
        <w:t xml:space="preserve"> </w:t>
      </w:r>
      <w:r>
        <w:rPr>
          <w:rFonts w:cs="Tahoma"/>
          <w:b/>
        </w:rPr>
        <w:t>Tarihli ve 28445</w:t>
      </w:r>
      <w:r w:rsidRPr="00A37771">
        <w:rPr>
          <w:rFonts w:cs="Tahoma"/>
          <w:b/>
        </w:rPr>
        <w:t xml:space="preserve"> </w:t>
      </w:r>
      <w:r>
        <w:rPr>
          <w:rFonts w:cs="Tahoma"/>
          <w:b/>
        </w:rPr>
        <w:t>S</w:t>
      </w:r>
      <w:r w:rsidRPr="00A37771">
        <w:rPr>
          <w:rFonts w:cs="Tahoma"/>
          <w:b/>
        </w:rPr>
        <w:t xml:space="preserve">ayılı </w:t>
      </w:r>
      <w:r>
        <w:rPr>
          <w:rFonts w:cs="Tahoma"/>
          <w:b/>
        </w:rPr>
        <w:t>Resmi Gazete'de</w:t>
      </w:r>
      <w:r w:rsidRPr="00A37771">
        <w:rPr>
          <w:rFonts w:cs="Tahoma"/>
          <w:b/>
        </w:rPr>
        <w:t xml:space="preserve"> Yayımlanan</w:t>
      </w:r>
      <w:r>
        <w:rPr>
          <w:rFonts w:cs="Tahoma"/>
          <w:b/>
        </w:rPr>
        <w:t xml:space="preserve"> 4 Ekim 2012</w:t>
      </w:r>
      <w:r w:rsidRPr="00A37771">
        <w:rPr>
          <w:rFonts w:cs="Tahoma"/>
          <w:b/>
        </w:rPr>
        <w:t xml:space="preserve"> </w:t>
      </w:r>
      <w:r>
        <w:rPr>
          <w:rFonts w:cs="Tahoma"/>
          <w:b/>
        </w:rPr>
        <w:t>Tarihli ve 2012/3839</w:t>
      </w:r>
      <w:r w:rsidRPr="00A37771">
        <w:rPr>
          <w:rFonts w:cs="Tahoma"/>
          <w:b/>
        </w:rPr>
        <w:t xml:space="preserve"> </w:t>
      </w:r>
      <w:r>
        <w:rPr>
          <w:rFonts w:cs="Tahoma"/>
          <w:b/>
        </w:rPr>
        <w:t>Sayılı 2013</w:t>
      </w:r>
      <w:r w:rsidRPr="00A37771">
        <w:rPr>
          <w:rFonts w:cs="Tahoma"/>
          <w:b/>
        </w:rPr>
        <w:t xml:space="preserve"> Yılı Programının Uygulanması, Koordinasyonu ve İzlenmesine Dair </w:t>
      </w:r>
    </w:p>
    <w:p w:rsidR="00565FD5" w:rsidRDefault="00565FD5" w:rsidP="00565FD5">
      <w:pPr>
        <w:tabs>
          <w:tab w:val="left" w:pos="426"/>
        </w:tabs>
        <w:jc w:val="center"/>
        <w:rPr>
          <w:rFonts w:cs="Tahoma"/>
          <w:b/>
        </w:rPr>
      </w:pPr>
      <w:r w:rsidRPr="00A37771">
        <w:rPr>
          <w:rFonts w:cs="Tahoma"/>
          <w:b/>
        </w:rPr>
        <w:t>Bakanlar Kurulu Kararı Eki</w:t>
      </w:r>
    </w:p>
    <w:p w:rsidR="00565FD5" w:rsidRPr="00A37771" w:rsidRDefault="00565FD5" w:rsidP="00565FD5">
      <w:pPr>
        <w:tabs>
          <w:tab w:val="left" w:pos="426"/>
        </w:tabs>
        <w:jc w:val="center"/>
        <w:rPr>
          <w:rFonts w:cs="Tahoma"/>
          <w:b/>
        </w:rPr>
      </w:pPr>
    </w:p>
    <w:p w:rsidR="00565FD5" w:rsidRPr="00F54AA3" w:rsidRDefault="00565FD5" w:rsidP="00565FD5">
      <w:pPr>
        <w:pStyle w:val="Balk1"/>
        <w:jc w:val="center"/>
        <w:rPr>
          <w:szCs w:val="22"/>
        </w:rPr>
      </w:pPr>
      <w:bookmarkStart w:id="0" w:name="_Toc244253603"/>
      <w:bookmarkStart w:id="1" w:name="_Toc244254853"/>
      <w:bookmarkStart w:id="2" w:name="_Toc244313589"/>
      <w:bookmarkStart w:id="3" w:name="_Toc244315066"/>
      <w:bookmarkStart w:id="4" w:name="_Toc244339529"/>
      <w:bookmarkStart w:id="5" w:name="_Toc244349385"/>
      <w:bookmarkStart w:id="6" w:name="_Toc276076210"/>
      <w:bookmarkStart w:id="7" w:name="_Toc307601915"/>
      <w:bookmarkStart w:id="8" w:name="_Toc307670363"/>
      <w:bookmarkStart w:id="9" w:name="_Toc307701589"/>
      <w:bookmarkStart w:id="10" w:name="_Toc338494195"/>
      <w:bookmarkStart w:id="11" w:name="_Toc338505496"/>
      <w:bookmarkStart w:id="12" w:name="_Toc338505711"/>
      <w:bookmarkStart w:id="13" w:name="_Toc338505748"/>
      <w:bookmarkStart w:id="14" w:name="_Toc338523713"/>
      <w:bookmarkStart w:id="15" w:name="_Toc338523954"/>
      <w:bookmarkStart w:id="16" w:name="_Toc338526180"/>
      <w:bookmarkStart w:id="17" w:name="_Toc338673623"/>
      <w:bookmarkStart w:id="18" w:name="_Toc338711502"/>
      <w:r w:rsidRPr="00F54AA3">
        <w:rPr>
          <w:szCs w:val="22"/>
        </w:rPr>
        <w:t>BİRİNCİ BÖLÜM</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565FD5" w:rsidRDefault="00565FD5" w:rsidP="00565FD5">
      <w:pPr>
        <w:pStyle w:val="Balk1"/>
        <w:spacing w:after="0"/>
        <w:jc w:val="center"/>
        <w:rPr>
          <w:szCs w:val="22"/>
        </w:rPr>
      </w:pPr>
      <w:bookmarkStart w:id="19" w:name="_Toc307601916"/>
      <w:bookmarkStart w:id="20" w:name="_Toc307670364"/>
      <w:bookmarkStart w:id="21" w:name="_Toc307701590"/>
      <w:bookmarkStart w:id="22" w:name="_Toc338494196"/>
      <w:bookmarkStart w:id="23" w:name="_Toc338494364"/>
      <w:bookmarkStart w:id="24" w:name="_Toc338505497"/>
      <w:bookmarkStart w:id="25" w:name="_Toc338505712"/>
      <w:bookmarkStart w:id="26" w:name="_Toc338505749"/>
      <w:bookmarkStart w:id="27" w:name="_Toc338523714"/>
      <w:bookmarkStart w:id="28" w:name="_Toc338523955"/>
      <w:bookmarkStart w:id="29" w:name="_Toc338526181"/>
      <w:bookmarkStart w:id="30" w:name="_Toc338673624"/>
      <w:bookmarkStart w:id="31" w:name="_Toc338711503"/>
      <w:bookmarkStart w:id="32" w:name="_Toc244253604"/>
      <w:bookmarkStart w:id="33" w:name="_Toc244254854"/>
      <w:bookmarkStart w:id="34" w:name="_Toc244313590"/>
      <w:bookmarkStart w:id="35" w:name="_Toc244315067"/>
      <w:bookmarkStart w:id="36" w:name="_Toc244339530"/>
      <w:bookmarkStart w:id="37" w:name="_Toc244349386"/>
      <w:bookmarkStart w:id="38" w:name="_Toc276076211"/>
      <w:r>
        <w:rPr>
          <w:szCs w:val="22"/>
        </w:rPr>
        <w:t>2013</w:t>
      </w:r>
      <w:r w:rsidRPr="00A37771">
        <w:rPr>
          <w:szCs w:val="22"/>
        </w:rPr>
        <w:t xml:space="preserve"> YILI PROGRAMININ MAKROEKONOMİK</w:t>
      </w:r>
      <w:bookmarkEnd w:id="19"/>
      <w:bookmarkEnd w:id="20"/>
      <w:bookmarkEnd w:id="21"/>
      <w:bookmarkEnd w:id="22"/>
      <w:bookmarkEnd w:id="23"/>
      <w:bookmarkEnd w:id="24"/>
      <w:bookmarkEnd w:id="25"/>
      <w:bookmarkEnd w:id="26"/>
      <w:bookmarkEnd w:id="27"/>
      <w:bookmarkEnd w:id="28"/>
      <w:bookmarkEnd w:id="29"/>
      <w:bookmarkEnd w:id="30"/>
      <w:bookmarkEnd w:id="31"/>
      <w:r w:rsidRPr="00A37771">
        <w:rPr>
          <w:szCs w:val="22"/>
        </w:rPr>
        <w:t xml:space="preserve"> </w:t>
      </w:r>
    </w:p>
    <w:p w:rsidR="00565FD5" w:rsidRPr="00A37771" w:rsidRDefault="00565FD5" w:rsidP="00565FD5">
      <w:pPr>
        <w:pStyle w:val="Balk1"/>
        <w:spacing w:after="0"/>
        <w:jc w:val="center"/>
        <w:rPr>
          <w:szCs w:val="22"/>
        </w:rPr>
      </w:pPr>
      <w:bookmarkStart w:id="39" w:name="_Toc307601917"/>
      <w:bookmarkStart w:id="40" w:name="_Toc307670365"/>
      <w:bookmarkStart w:id="41" w:name="_Toc307701591"/>
      <w:bookmarkStart w:id="42" w:name="_Toc338494197"/>
      <w:bookmarkStart w:id="43" w:name="_Toc338494365"/>
      <w:bookmarkStart w:id="44" w:name="_Toc338505498"/>
      <w:bookmarkStart w:id="45" w:name="_Toc338505713"/>
      <w:bookmarkStart w:id="46" w:name="_Toc338505750"/>
      <w:bookmarkStart w:id="47" w:name="_Toc338523715"/>
      <w:bookmarkStart w:id="48" w:name="_Toc338523956"/>
      <w:bookmarkStart w:id="49" w:name="_Toc338526182"/>
      <w:bookmarkStart w:id="50" w:name="_Toc338673625"/>
      <w:bookmarkStart w:id="51" w:name="_Toc338711504"/>
      <w:r w:rsidRPr="00A37771">
        <w:rPr>
          <w:szCs w:val="22"/>
        </w:rPr>
        <w:t>AMAÇ VE POLİTİKALARI</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565FD5" w:rsidRDefault="00565FD5" w:rsidP="00565FD5">
      <w:bookmarkStart w:id="52" w:name="_Toc244253605"/>
      <w:bookmarkStart w:id="53" w:name="_Toc244254855"/>
      <w:bookmarkStart w:id="54" w:name="_Toc244313591"/>
      <w:bookmarkStart w:id="55" w:name="_Toc244315068"/>
      <w:bookmarkStart w:id="56" w:name="_Toc244339531"/>
      <w:bookmarkStart w:id="57" w:name="_Toc244349387"/>
      <w:bookmarkStart w:id="58" w:name="_Toc276076212"/>
    </w:p>
    <w:p w:rsidR="00565FD5" w:rsidRPr="002D17EE" w:rsidRDefault="00565FD5" w:rsidP="00565FD5">
      <w:pPr>
        <w:pStyle w:val="Balk2"/>
        <w:spacing w:after="160"/>
      </w:pPr>
      <w:bookmarkStart w:id="59" w:name="_Toc307601918"/>
      <w:bookmarkStart w:id="60" w:name="_Toc307670366"/>
      <w:bookmarkStart w:id="61" w:name="_Toc307701592"/>
      <w:bookmarkStart w:id="62" w:name="_Toc338494198"/>
      <w:bookmarkStart w:id="63" w:name="_Toc338494366"/>
      <w:bookmarkStart w:id="64" w:name="_Toc338505499"/>
      <w:bookmarkStart w:id="65" w:name="_Toc338505714"/>
      <w:bookmarkStart w:id="66" w:name="_Toc338505751"/>
      <w:bookmarkStart w:id="67" w:name="_Toc338523716"/>
      <w:bookmarkStart w:id="68" w:name="_Toc338523957"/>
      <w:bookmarkStart w:id="69" w:name="_Toc338526183"/>
      <w:bookmarkStart w:id="70" w:name="_Toc338673626"/>
      <w:bookmarkStart w:id="71" w:name="_Toc338711505"/>
      <w:r w:rsidRPr="002D17EE">
        <w:t>I. MAKROEKONOMİK AMAÇLAR</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565FD5" w:rsidRPr="00667B5E" w:rsidRDefault="00565FD5" w:rsidP="00565FD5">
      <w:pPr>
        <w:pStyle w:val="BodyText2"/>
        <w:spacing w:after="140"/>
        <w:rPr>
          <w:rFonts w:cs="Tahoma"/>
        </w:rPr>
      </w:pPr>
      <w:bookmarkStart w:id="72" w:name="_Toc244253606"/>
      <w:bookmarkStart w:id="73" w:name="_Toc244254856"/>
      <w:bookmarkStart w:id="74" w:name="_Toc244313592"/>
      <w:bookmarkStart w:id="75" w:name="_Toc244315069"/>
      <w:bookmarkStart w:id="76" w:name="_Toc244339532"/>
      <w:bookmarkStart w:id="77" w:name="_Toc244349388"/>
      <w:bookmarkStart w:id="78" w:name="_Toc276076213"/>
      <w:bookmarkStart w:id="79" w:name="_Toc307601919"/>
      <w:bookmarkStart w:id="80" w:name="_Toc307670367"/>
      <w:bookmarkStart w:id="81" w:name="_Toc307701593"/>
      <w:r w:rsidRPr="00667B5E">
        <w:rPr>
          <w:rFonts w:cs="Tahoma"/>
        </w:rPr>
        <w:t>2013-2015 dönemini kapsayan Orta Vadeli Programda yer alan temel amaç</w:t>
      </w:r>
      <w:r>
        <w:rPr>
          <w:rFonts w:cs="Tahoma"/>
        </w:rPr>
        <w:t xml:space="preserve"> ve </w:t>
      </w:r>
      <w:r w:rsidRPr="00667B5E">
        <w:rPr>
          <w:rFonts w:cs="Tahoma"/>
        </w:rPr>
        <w:t xml:space="preserve">makroekonomik öncelikler çerçevesinde; özellikle gelişmiş ülkeler kaynaklı olmak üzere küresel ekonomide devam eden sorunlara, belirsizlik ve risklere rağmen büyüme sürecinin devam ettirilmesi, istihdam artışının sürdürülmesi, kamu </w:t>
      </w:r>
      <w:r>
        <w:rPr>
          <w:rFonts w:cs="Tahoma"/>
        </w:rPr>
        <w:t xml:space="preserve">mali </w:t>
      </w:r>
      <w:r w:rsidRPr="00667B5E">
        <w:rPr>
          <w:rFonts w:cs="Tahoma"/>
        </w:rPr>
        <w:t xml:space="preserve">dengelerinin iyileştirilmesi, cari </w:t>
      </w:r>
      <w:r>
        <w:rPr>
          <w:rFonts w:cs="Tahoma"/>
        </w:rPr>
        <w:t>işlemler açığında</w:t>
      </w:r>
      <w:r w:rsidRPr="00667B5E">
        <w:rPr>
          <w:rFonts w:cs="Tahoma"/>
        </w:rPr>
        <w:t xml:space="preserve"> kaydedilen düşme eğiliminin sürdürülmesi, </w:t>
      </w:r>
      <w:r>
        <w:rPr>
          <w:rFonts w:cs="Tahoma"/>
        </w:rPr>
        <w:t>yurtiçi</w:t>
      </w:r>
      <w:r w:rsidRPr="00667B5E">
        <w:rPr>
          <w:rFonts w:cs="Tahoma"/>
        </w:rPr>
        <w:t xml:space="preserve"> tasarrufların artırılması, enflasyonla mücadeleye devam edilmesi ve finansal istikrarın korunması 2013 Yılı Programının temel makroekonomik amaçlarıdır.</w:t>
      </w:r>
    </w:p>
    <w:p w:rsidR="00565FD5" w:rsidRPr="002D17EE" w:rsidRDefault="00565FD5" w:rsidP="00565FD5">
      <w:pPr>
        <w:pStyle w:val="Balk2"/>
        <w:spacing w:after="160"/>
      </w:pPr>
      <w:bookmarkStart w:id="82" w:name="_Toc338494199"/>
      <w:bookmarkStart w:id="83" w:name="_Toc338494367"/>
      <w:bookmarkStart w:id="84" w:name="_Toc338505500"/>
      <w:bookmarkStart w:id="85" w:name="_Toc338505715"/>
      <w:bookmarkStart w:id="86" w:name="_Toc338505752"/>
      <w:bookmarkStart w:id="87" w:name="_Toc338523717"/>
      <w:bookmarkStart w:id="88" w:name="_Toc338523958"/>
      <w:bookmarkStart w:id="89" w:name="_Toc338526184"/>
      <w:bookmarkStart w:id="90" w:name="_Toc338673627"/>
      <w:bookmarkStart w:id="91" w:name="_Toc338711506"/>
      <w:r w:rsidRPr="002D17EE">
        <w:t>II. MAKROEKONOMİK POLİTİKALAR</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565FD5" w:rsidRPr="002D17EE" w:rsidRDefault="00565FD5" w:rsidP="00565FD5">
      <w:pPr>
        <w:pStyle w:val="Balk3"/>
        <w:spacing w:after="160"/>
        <w:ind w:left="425"/>
        <w:rPr>
          <w:szCs w:val="18"/>
        </w:rPr>
      </w:pPr>
      <w:bookmarkStart w:id="92" w:name="_Toc213065593"/>
      <w:bookmarkStart w:id="93" w:name="_Toc244253607"/>
      <w:bookmarkStart w:id="94" w:name="_Toc244254857"/>
      <w:bookmarkStart w:id="95" w:name="_Toc244313593"/>
      <w:bookmarkStart w:id="96" w:name="_Toc244315070"/>
      <w:bookmarkStart w:id="97" w:name="_Toc244339533"/>
      <w:bookmarkStart w:id="98" w:name="_Toc244349389"/>
      <w:bookmarkStart w:id="99" w:name="_Toc276076214"/>
      <w:bookmarkStart w:id="100" w:name="_Toc307601920"/>
      <w:bookmarkStart w:id="101" w:name="_Toc307670368"/>
      <w:bookmarkStart w:id="102" w:name="_Toc307701594"/>
      <w:bookmarkStart w:id="103" w:name="_Toc338494200"/>
      <w:bookmarkStart w:id="104" w:name="_Toc338494368"/>
      <w:bookmarkStart w:id="105" w:name="_Toc338505501"/>
      <w:bookmarkStart w:id="106" w:name="_Toc338505716"/>
      <w:bookmarkStart w:id="107" w:name="_Toc338505753"/>
      <w:bookmarkStart w:id="108" w:name="_Toc338523718"/>
      <w:bookmarkStart w:id="109" w:name="_Toc338523959"/>
      <w:bookmarkStart w:id="110" w:name="_Toc338526185"/>
      <w:bookmarkStart w:id="111" w:name="_Toc338673628"/>
      <w:bookmarkStart w:id="112" w:name="_Toc338711507"/>
      <w:r w:rsidRPr="002D17EE">
        <w:rPr>
          <w:szCs w:val="18"/>
        </w:rPr>
        <w:t>A. BÜYÜME VE İSTİHDAM</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565FD5" w:rsidRPr="00315199" w:rsidRDefault="00565FD5" w:rsidP="00EB1E69">
      <w:pPr>
        <w:numPr>
          <w:ilvl w:val="0"/>
          <w:numId w:val="3"/>
        </w:numPr>
        <w:tabs>
          <w:tab w:val="left" w:pos="425"/>
          <w:tab w:val="left" w:pos="540"/>
        </w:tabs>
        <w:spacing w:after="80" w:line="240" w:lineRule="auto"/>
        <w:ind w:left="805" w:hanging="181"/>
        <w:jc w:val="both"/>
        <w:rPr>
          <w:rFonts w:cs="Tahoma"/>
          <w:szCs w:val="18"/>
        </w:rPr>
      </w:pPr>
      <w:r w:rsidRPr="00315199">
        <w:rPr>
          <w:rFonts w:cs="Tahoma"/>
          <w:szCs w:val="18"/>
        </w:rPr>
        <w:t>Para, maliye ve gelirler politikaları; iç ve dış talep arasındaki denge gözetilerek büyümenin desteklenmesi, istihdamın artırılması, fiyat istikrarı ile finansal istikrarın birlikte sürdürülmesi amaçları çerçevesinde ve koordinasyon içerisinde yürütülecektir.</w:t>
      </w:r>
    </w:p>
    <w:p w:rsidR="00565FD5" w:rsidRPr="00315199" w:rsidRDefault="00565FD5" w:rsidP="00EB1E69">
      <w:pPr>
        <w:numPr>
          <w:ilvl w:val="0"/>
          <w:numId w:val="3"/>
        </w:numPr>
        <w:autoSpaceDE w:val="0"/>
        <w:autoSpaceDN w:val="0"/>
        <w:adjustRightInd w:val="0"/>
        <w:spacing w:after="120" w:line="240" w:lineRule="auto"/>
        <w:jc w:val="both"/>
        <w:rPr>
          <w:rFonts w:cs="Tahoma"/>
          <w:szCs w:val="18"/>
        </w:rPr>
      </w:pPr>
      <w:r w:rsidRPr="00315199">
        <w:rPr>
          <w:rFonts w:cs="Tahoma"/>
          <w:szCs w:val="18"/>
        </w:rPr>
        <w:lastRenderedPageBreak/>
        <w:t>Yurtiçi tasarrufların artırılması için tüketimin gelirle dengeli bir şekilde büyümesini sağlayıcı politikalar uygulanacaktır.</w:t>
      </w:r>
    </w:p>
    <w:p w:rsidR="00565FD5" w:rsidRPr="00315199" w:rsidRDefault="00565FD5" w:rsidP="00EB1E69">
      <w:pPr>
        <w:numPr>
          <w:ilvl w:val="0"/>
          <w:numId w:val="3"/>
        </w:numPr>
        <w:autoSpaceDE w:val="0"/>
        <w:autoSpaceDN w:val="0"/>
        <w:adjustRightInd w:val="0"/>
        <w:spacing w:after="120" w:line="240" w:lineRule="auto"/>
        <w:jc w:val="both"/>
        <w:rPr>
          <w:rFonts w:cs="Tahoma"/>
          <w:szCs w:val="18"/>
        </w:rPr>
      </w:pPr>
      <w:r w:rsidRPr="00315199">
        <w:rPr>
          <w:rFonts w:cs="Tahoma"/>
          <w:szCs w:val="18"/>
        </w:rPr>
        <w:t>Gerek kamuda gerekse özel kesimde israfı azaltmaya ve tasarruf bilincinin artırılmasına yönelik çalışmalar sürdürülecektir.</w:t>
      </w:r>
    </w:p>
    <w:p w:rsidR="00565FD5" w:rsidRPr="00315199" w:rsidRDefault="00565FD5" w:rsidP="00EB1E69">
      <w:pPr>
        <w:numPr>
          <w:ilvl w:val="0"/>
          <w:numId w:val="3"/>
        </w:numPr>
        <w:tabs>
          <w:tab w:val="left" w:pos="425"/>
          <w:tab w:val="left" w:pos="540"/>
        </w:tabs>
        <w:spacing w:after="80" w:line="240" w:lineRule="auto"/>
        <w:ind w:left="805" w:hanging="181"/>
        <w:jc w:val="both"/>
        <w:rPr>
          <w:rFonts w:cs="Tahoma"/>
          <w:szCs w:val="18"/>
        </w:rPr>
      </w:pPr>
      <w:r w:rsidRPr="00315199">
        <w:rPr>
          <w:rFonts w:cs="Tahoma"/>
          <w:szCs w:val="18"/>
        </w:rPr>
        <w:t xml:space="preserve">Büyümenin sürdürülebilirliğini sağlamak ve yeni istihdam olanakları yaratmak için ihracatı artıracak ve ithalata bağımlılığı azaltacak yerli ve uluslararası yatırımlar desteklenmeye devam edilecektir </w:t>
      </w:r>
    </w:p>
    <w:p w:rsidR="00565FD5" w:rsidRPr="00315199" w:rsidRDefault="00565FD5" w:rsidP="00EB1E69">
      <w:pPr>
        <w:numPr>
          <w:ilvl w:val="0"/>
          <w:numId w:val="3"/>
        </w:numPr>
        <w:autoSpaceDE w:val="0"/>
        <w:autoSpaceDN w:val="0"/>
        <w:adjustRightInd w:val="0"/>
        <w:spacing w:after="120" w:line="240" w:lineRule="auto"/>
        <w:jc w:val="both"/>
        <w:rPr>
          <w:rFonts w:cs="Tahoma"/>
          <w:szCs w:val="18"/>
        </w:rPr>
      </w:pPr>
      <w:r w:rsidRPr="00315199">
        <w:rPr>
          <w:rFonts w:cs="Tahoma"/>
          <w:szCs w:val="18"/>
        </w:rPr>
        <w:t>Rekabet gücünün artırılması için daha verimli, Ar-Ge tabanlı ve yenilikçi üretim yapısına geçişi destekleyecek politikalar izlenecektir.</w:t>
      </w:r>
    </w:p>
    <w:p w:rsidR="00565FD5" w:rsidRPr="00315199" w:rsidRDefault="00565FD5" w:rsidP="00EB1E69">
      <w:pPr>
        <w:numPr>
          <w:ilvl w:val="0"/>
          <w:numId w:val="3"/>
        </w:numPr>
        <w:autoSpaceDE w:val="0"/>
        <w:autoSpaceDN w:val="0"/>
        <w:adjustRightInd w:val="0"/>
        <w:spacing w:after="120" w:line="240" w:lineRule="auto"/>
        <w:jc w:val="both"/>
        <w:rPr>
          <w:rFonts w:cs="Tahoma"/>
          <w:szCs w:val="18"/>
        </w:rPr>
      </w:pPr>
      <w:r w:rsidRPr="00315199">
        <w:rPr>
          <w:rFonts w:cs="Tahoma"/>
          <w:szCs w:val="18"/>
        </w:rPr>
        <w:t xml:space="preserve">İstihdamın artırılmasına, işgücünün niteliğinin yükseltilmesine, kayıtdışılığın ve bölgeler arası gelişmişlik farklarının azaltılmasına yönelik politikalara ağırlık verilecektir. </w:t>
      </w:r>
    </w:p>
    <w:p w:rsidR="00565FD5" w:rsidRPr="00A1207B" w:rsidRDefault="00565FD5" w:rsidP="00565FD5">
      <w:pPr>
        <w:pStyle w:val="Balk3"/>
        <w:spacing w:after="160"/>
        <w:ind w:left="425"/>
        <w:rPr>
          <w:szCs w:val="18"/>
        </w:rPr>
      </w:pPr>
      <w:bookmarkStart w:id="113" w:name="_Toc338494201"/>
      <w:bookmarkStart w:id="114" w:name="_Toc338494369"/>
      <w:bookmarkStart w:id="115" w:name="_Toc338505502"/>
      <w:bookmarkStart w:id="116" w:name="_Toc338505717"/>
      <w:bookmarkStart w:id="117" w:name="_Toc338505754"/>
      <w:bookmarkStart w:id="118" w:name="_Toc338523719"/>
      <w:bookmarkStart w:id="119" w:name="_Toc338523960"/>
      <w:bookmarkStart w:id="120" w:name="_Toc338526186"/>
      <w:bookmarkStart w:id="121" w:name="_Toc338673629"/>
      <w:bookmarkStart w:id="122" w:name="_Toc338711508"/>
      <w:r w:rsidRPr="00A1207B">
        <w:rPr>
          <w:szCs w:val="18"/>
        </w:rPr>
        <w:t>B. MALİYE POLİTİKASI</w:t>
      </w:r>
      <w:bookmarkEnd w:id="113"/>
      <w:bookmarkEnd w:id="114"/>
      <w:bookmarkEnd w:id="115"/>
      <w:bookmarkEnd w:id="116"/>
      <w:bookmarkEnd w:id="117"/>
      <w:bookmarkEnd w:id="118"/>
      <w:bookmarkEnd w:id="119"/>
      <w:bookmarkEnd w:id="120"/>
      <w:bookmarkEnd w:id="121"/>
      <w:bookmarkEnd w:id="122"/>
    </w:p>
    <w:p w:rsidR="00565FD5" w:rsidRPr="00B1423D" w:rsidRDefault="00565FD5" w:rsidP="00565FD5">
      <w:pPr>
        <w:spacing w:after="120" w:line="255" w:lineRule="exact"/>
        <w:ind w:firstLine="426"/>
        <w:rPr>
          <w:rFonts w:cs="Tahoma"/>
          <w:b/>
          <w:sz w:val="20"/>
        </w:rPr>
      </w:pPr>
      <w:r w:rsidRPr="00B1423D">
        <w:rPr>
          <w:rFonts w:cs="Tahoma"/>
          <w:b/>
          <w:sz w:val="20"/>
        </w:rPr>
        <w:t>1. Kamu Harcama Politikası</w:t>
      </w:r>
    </w:p>
    <w:p w:rsidR="00565FD5" w:rsidRPr="00802856" w:rsidRDefault="00565FD5" w:rsidP="00EB1E69">
      <w:pPr>
        <w:numPr>
          <w:ilvl w:val="0"/>
          <w:numId w:val="11"/>
        </w:numPr>
        <w:tabs>
          <w:tab w:val="left" w:pos="425"/>
          <w:tab w:val="left" w:pos="540"/>
        </w:tabs>
        <w:spacing w:after="120" w:line="240" w:lineRule="auto"/>
        <w:jc w:val="both"/>
      </w:pPr>
      <w:r w:rsidRPr="00802856">
        <w:t xml:space="preserve">Kamu idarelerinin karar verme süreçlerini güçlendirmek, mali saydamlık ve hesap verilebilirliği artırmak amacıyla uygulamaya konulan stratejik planlama ve performans esaslı bütçeleme anlayışı yaygınlaştırılacak, kaynak tahsis sürecinde stratejik planlar ve performans programları esas alınacaktır. </w:t>
      </w:r>
    </w:p>
    <w:p w:rsidR="00565FD5" w:rsidRPr="00802856" w:rsidRDefault="00565FD5" w:rsidP="00EB1E69">
      <w:pPr>
        <w:numPr>
          <w:ilvl w:val="0"/>
          <w:numId w:val="11"/>
        </w:numPr>
        <w:tabs>
          <w:tab w:val="left" w:pos="425"/>
          <w:tab w:val="left" w:pos="540"/>
        </w:tabs>
        <w:spacing w:after="120" w:line="240" w:lineRule="auto"/>
        <w:jc w:val="both"/>
      </w:pPr>
      <w:r w:rsidRPr="00802856">
        <w:t xml:space="preserve">Harcama programları verimlilik artışı sağlamak amacıyla gözden geçirilecektir. </w:t>
      </w:r>
    </w:p>
    <w:p w:rsidR="00565FD5" w:rsidRPr="00802856" w:rsidRDefault="00565FD5" w:rsidP="00EB1E69">
      <w:pPr>
        <w:numPr>
          <w:ilvl w:val="0"/>
          <w:numId w:val="11"/>
        </w:numPr>
        <w:tabs>
          <w:tab w:val="left" w:pos="425"/>
          <w:tab w:val="left" w:pos="540"/>
        </w:tabs>
        <w:spacing w:after="120" w:line="240" w:lineRule="auto"/>
        <w:jc w:val="both"/>
      </w:pPr>
      <w:r w:rsidRPr="00802856">
        <w:t xml:space="preserve">Sosyal amaçlı programlar ile tarım sektörüne yönelik transferlerin amaçlanan faydayı sağlayıp sağlamadıklarını değerlendirmek üzere çalışma yapılacaktır. </w:t>
      </w:r>
    </w:p>
    <w:p w:rsidR="00565FD5" w:rsidRPr="00802856" w:rsidRDefault="00565FD5" w:rsidP="00EB1E69">
      <w:pPr>
        <w:numPr>
          <w:ilvl w:val="0"/>
          <w:numId w:val="11"/>
        </w:numPr>
        <w:tabs>
          <w:tab w:val="left" w:pos="425"/>
          <w:tab w:val="left" w:pos="540"/>
        </w:tabs>
        <w:spacing w:after="120" w:line="240" w:lineRule="auto"/>
        <w:jc w:val="both"/>
      </w:pPr>
      <w:r w:rsidRPr="00802856">
        <w:t>Kamu idarelerinin etki analizi yapma kapasiteleri artırılacaktır.</w:t>
      </w:r>
    </w:p>
    <w:p w:rsidR="00565FD5" w:rsidRPr="00802856" w:rsidRDefault="00565FD5" w:rsidP="00EB1E69">
      <w:pPr>
        <w:numPr>
          <w:ilvl w:val="0"/>
          <w:numId w:val="11"/>
        </w:numPr>
        <w:tabs>
          <w:tab w:val="left" w:pos="425"/>
          <w:tab w:val="left" w:pos="540"/>
        </w:tabs>
        <w:spacing w:after="120" w:line="240" w:lineRule="auto"/>
        <w:jc w:val="both"/>
      </w:pPr>
      <w:r w:rsidRPr="00802856">
        <w:t>Kamu ihale sisteminin etkinliğinin artırılması yönündeki düzenlemeler hayata geçirilecektir.</w:t>
      </w:r>
    </w:p>
    <w:p w:rsidR="00565FD5" w:rsidRPr="00802856" w:rsidRDefault="00565FD5" w:rsidP="00EB1E69">
      <w:pPr>
        <w:numPr>
          <w:ilvl w:val="0"/>
          <w:numId w:val="11"/>
        </w:numPr>
        <w:tabs>
          <w:tab w:val="left" w:pos="425"/>
          <w:tab w:val="left" w:pos="540"/>
        </w:tabs>
        <w:spacing w:after="120" w:line="240" w:lineRule="auto"/>
        <w:jc w:val="both"/>
      </w:pPr>
      <w:r w:rsidRPr="00802856">
        <w:t>Mahalli idarelerin genel bütçe vergi paylarından kamuya olan borçlarına mahsuben yapılacak kesinti, yeni borç doğmasını engelleyecek ve borç stokunun azalmasına yardımcı olacak bir oranla düzenli olarak uygulanmaya devam edilecektir.</w:t>
      </w:r>
    </w:p>
    <w:p w:rsidR="00565FD5" w:rsidRPr="00802856" w:rsidRDefault="00565FD5" w:rsidP="00EB1E69">
      <w:pPr>
        <w:numPr>
          <w:ilvl w:val="0"/>
          <w:numId w:val="11"/>
        </w:numPr>
        <w:tabs>
          <w:tab w:val="left" w:pos="425"/>
          <w:tab w:val="left" w:pos="540"/>
        </w:tabs>
        <w:spacing w:after="120" w:line="240" w:lineRule="auto"/>
        <w:jc w:val="both"/>
      </w:pPr>
      <w:r w:rsidRPr="00802856">
        <w:t>Sağlık hizmetlerinin kalitesinden ödün verilmeksizin, gereksiz ilaç ve hizmet kullanımını önlemek üzere ilaç ve tedavi harcamaları daha akılcı hale getirilecektir.</w:t>
      </w:r>
    </w:p>
    <w:p w:rsidR="00565FD5" w:rsidRPr="00802856" w:rsidRDefault="00565FD5" w:rsidP="00EB1E69">
      <w:pPr>
        <w:numPr>
          <w:ilvl w:val="0"/>
          <w:numId w:val="11"/>
        </w:numPr>
        <w:tabs>
          <w:tab w:val="left" w:pos="425"/>
          <w:tab w:val="left" w:pos="540"/>
        </w:tabs>
        <w:spacing w:after="120" w:line="240" w:lineRule="auto"/>
        <w:jc w:val="both"/>
        <w:rPr>
          <w:szCs w:val="18"/>
        </w:rPr>
      </w:pPr>
      <w:r w:rsidRPr="00802856">
        <w:rPr>
          <w:bCs/>
          <w:lang w:val="en-US"/>
        </w:rPr>
        <w:lastRenderedPageBreak/>
        <w:t xml:space="preserve">Sağlık hizmet sunucularının geçmiş davranışlarını dikkate alan denetim modelleri geliştirilecek, risk analizi ve veri madenciliği alanlarında yazılım, donanım ve eğitim altyapısı güçlendirilecektir. </w:t>
      </w:r>
    </w:p>
    <w:p w:rsidR="00565FD5" w:rsidRPr="00B1423D" w:rsidRDefault="00565FD5" w:rsidP="00565FD5">
      <w:pPr>
        <w:spacing w:after="120" w:line="255" w:lineRule="exact"/>
        <w:ind w:firstLine="426"/>
        <w:rPr>
          <w:rFonts w:cs="Tahoma"/>
          <w:b/>
          <w:sz w:val="20"/>
        </w:rPr>
      </w:pPr>
      <w:r w:rsidRPr="00B1423D">
        <w:rPr>
          <w:rFonts w:cs="Tahoma"/>
          <w:b/>
          <w:sz w:val="20"/>
        </w:rPr>
        <w:t>2. Kamu Yatırım Politikası</w:t>
      </w:r>
    </w:p>
    <w:p w:rsidR="00565FD5" w:rsidRPr="00BA1615" w:rsidRDefault="00565FD5" w:rsidP="00565FD5">
      <w:pPr>
        <w:spacing w:after="120" w:line="255" w:lineRule="exact"/>
        <w:ind w:firstLine="426"/>
        <w:rPr>
          <w:rFonts w:cs="Tahoma"/>
        </w:rPr>
      </w:pPr>
      <w:r w:rsidRPr="00BA1615">
        <w:rPr>
          <w:rFonts w:cs="Tahoma"/>
        </w:rPr>
        <w:t>Kamu yatırımlarının etkinliği artırılacak; yatırımlar öncelikli olarak sosyal kalkınma amaçlı ve üretken faaliyetleri destekleyecek nitelikteki altyapıya yönlendirilecek, sektörel, bölgesel ve AB’ye uyum yönündeki amaçların gerçekleştirilmesinde etkili bir araç olarak kullanılacaktır. Bu çerçevede;</w:t>
      </w:r>
    </w:p>
    <w:p w:rsidR="00565FD5" w:rsidRPr="006C327B" w:rsidRDefault="00565FD5" w:rsidP="00EB1E69">
      <w:pPr>
        <w:numPr>
          <w:ilvl w:val="0"/>
          <w:numId w:val="16"/>
        </w:numPr>
        <w:tabs>
          <w:tab w:val="left" w:pos="425"/>
          <w:tab w:val="left" w:pos="540"/>
        </w:tabs>
        <w:spacing w:after="120" w:line="240" w:lineRule="auto"/>
        <w:jc w:val="both"/>
      </w:pPr>
      <w:r w:rsidRPr="006C327B">
        <w:t>Kamu yatırımlarının etkili, verimli ve zamanında gerçekleştirilmesi, mevcut sermaye stokunun daha etkin kullanılması hedeflenecektir.</w:t>
      </w:r>
    </w:p>
    <w:p w:rsidR="00565FD5" w:rsidRPr="006C327B" w:rsidRDefault="00565FD5" w:rsidP="00EB1E69">
      <w:pPr>
        <w:numPr>
          <w:ilvl w:val="0"/>
          <w:numId w:val="16"/>
        </w:numPr>
        <w:tabs>
          <w:tab w:val="left" w:pos="425"/>
          <w:tab w:val="left" w:pos="540"/>
        </w:tabs>
        <w:spacing w:after="120" w:line="240" w:lineRule="auto"/>
        <w:jc w:val="both"/>
      </w:pPr>
      <w:r w:rsidRPr="006C327B">
        <w:t>Eğitim, sağlık, teknolojik araştırma, ulaştırma, içme suyu, adalet hizmeti sektörleri ile bilgi ve iletişim teknolojilerinin geliştirilmesine yönelik altyapı yatırımlarına öncelik verilecektir.</w:t>
      </w:r>
    </w:p>
    <w:p w:rsidR="00565FD5" w:rsidRPr="006C327B" w:rsidRDefault="00565FD5" w:rsidP="00EB1E69">
      <w:pPr>
        <w:numPr>
          <w:ilvl w:val="0"/>
          <w:numId w:val="16"/>
        </w:numPr>
        <w:tabs>
          <w:tab w:val="left" w:pos="425"/>
          <w:tab w:val="left" w:pos="540"/>
        </w:tabs>
        <w:spacing w:after="120" w:line="240" w:lineRule="auto"/>
        <w:jc w:val="both"/>
      </w:pPr>
      <w:r w:rsidRPr="006C327B">
        <w:t>Kamu yatırımları, başta Güneydoğu Anadolu Projesi (GAP), Doğu Anadolu Projesi (DAP), Konya Ovası Projesi (KOP), Doğu Karadeniz Projesi (DOKAP) kapsamındaki yatırımlar olmak üzere bölgeler arası gelişmişlik farklarını azaltmayı ve bölgesel gelişme potansiyelini değerlendirmeyi hedefleyen ekonomik ve sosyal altyapı projelerine yoğunlaştırılacaktır.</w:t>
      </w:r>
    </w:p>
    <w:p w:rsidR="00565FD5" w:rsidRPr="006C327B" w:rsidRDefault="00565FD5" w:rsidP="00EB1E69">
      <w:pPr>
        <w:numPr>
          <w:ilvl w:val="0"/>
          <w:numId w:val="16"/>
        </w:numPr>
        <w:tabs>
          <w:tab w:val="left" w:pos="425"/>
          <w:tab w:val="left" w:pos="540"/>
        </w:tabs>
        <w:spacing w:after="120" w:line="240" w:lineRule="auto"/>
        <w:jc w:val="both"/>
      </w:pPr>
      <w:r w:rsidRPr="006C327B">
        <w:t>Kamu yatırım teklif ve kararları; sorun, ihtiyaç ve çözüm analizlerini içeren, sektörel ve bölgesel ana plan ve stratejileri ile nitelikli yapılabilirlik etütlerine dayandırılacaktır.</w:t>
      </w:r>
    </w:p>
    <w:p w:rsidR="00565FD5" w:rsidRPr="006C327B" w:rsidRDefault="00565FD5" w:rsidP="00EB1E69">
      <w:pPr>
        <w:numPr>
          <w:ilvl w:val="0"/>
          <w:numId w:val="16"/>
        </w:numPr>
        <w:tabs>
          <w:tab w:val="left" w:pos="425"/>
          <w:tab w:val="left" w:pos="540"/>
        </w:tabs>
        <w:spacing w:after="120" w:line="240" w:lineRule="auto"/>
        <w:jc w:val="both"/>
      </w:pPr>
      <w:r w:rsidRPr="006C327B">
        <w:t>Kamu yatırım uygulamalarının etkinliğini artırmak amacıyla izleme ve değerlendirme çalışmaları geliştirilecektir.</w:t>
      </w:r>
    </w:p>
    <w:p w:rsidR="00565FD5" w:rsidRPr="006C327B" w:rsidRDefault="00565FD5" w:rsidP="00EB1E69">
      <w:pPr>
        <w:numPr>
          <w:ilvl w:val="0"/>
          <w:numId w:val="16"/>
        </w:numPr>
        <w:tabs>
          <w:tab w:val="left" w:pos="425"/>
          <w:tab w:val="left" w:pos="540"/>
        </w:tabs>
        <w:spacing w:after="120" w:line="240" w:lineRule="auto"/>
        <w:jc w:val="both"/>
      </w:pPr>
      <w:r w:rsidRPr="006C327B">
        <w:t>Kamu altyapı yatırımlarının gerçekleştirilmesinde özel sektör katılımını artırıcı modellerin kullanımı yaygınlaştırılacaktır.</w:t>
      </w:r>
    </w:p>
    <w:p w:rsidR="00565FD5" w:rsidRDefault="00565FD5" w:rsidP="00565FD5">
      <w:pPr>
        <w:spacing w:after="80"/>
        <w:rPr>
          <w:b/>
        </w:rPr>
      </w:pPr>
      <w:r>
        <w:rPr>
          <w:b/>
        </w:rPr>
        <w:tab/>
      </w:r>
      <w:r w:rsidRPr="00BA1615">
        <w:rPr>
          <w:b/>
        </w:rPr>
        <w:t>3. Kamu Gelir Politikası</w:t>
      </w:r>
    </w:p>
    <w:p w:rsidR="00565FD5" w:rsidRPr="00802856" w:rsidRDefault="00565FD5" w:rsidP="00EB1E69">
      <w:pPr>
        <w:numPr>
          <w:ilvl w:val="0"/>
          <w:numId w:val="9"/>
        </w:numPr>
        <w:spacing w:after="100" w:line="240" w:lineRule="auto"/>
        <w:jc w:val="both"/>
      </w:pPr>
      <w:r w:rsidRPr="00802856">
        <w:t xml:space="preserve">Vergi düzenleme ve uygulamalarında istikrar ve öngörülebilirlik esas olacaktır. </w:t>
      </w:r>
    </w:p>
    <w:p w:rsidR="00565FD5" w:rsidRPr="00802856" w:rsidRDefault="00565FD5" w:rsidP="00EB1E69">
      <w:pPr>
        <w:numPr>
          <w:ilvl w:val="0"/>
          <w:numId w:val="9"/>
        </w:numPr>
        <w:spacing w:after="100" w:line="240" w:lineRule="auto"/>
        <w:jc w:val="both"/>
      </w:pPr>
      <w:r w:rsidRPr="00802856">
        <w:t xml:space="preserve">Ar-Ge faaliyetlerinin desteklenmesine, yüksek katma değerli ürünler geliştirilerek ülke ekonomisinin uluslararası düzeyde rekabet edebilir bir yapıya kavuşturulmasına yönelik vergi politikası uygulamalarına devam edilecektir. </w:t>
      </w:r>
    </w:p>
    <w:p w:rsidR="00565FD5" w:rsidRPr="00802856" w:rsidRDefault="00565FD5" w:rsidP="00EB1E69">
      <w:pPr>
        <w:numPr>
          <w:ilvl w:val="0"/>
          <w:numId w:val="9"/>
        </w:numPr>
        <w:spacing w:after="100" w:line="240" w:lineRule="auto"/>
        <w:jc w:val="both"/>
      </w:pPr>
      <w:r w:rsidRPr="00802856">
        <w:t xml:space="preserve">Temel vergi kanunlarının günümüz ihtiyaçları doğrultusunda gözden geçirilmesi çalışmalarına devam edilecektir. </w:t>
      </w:r>
    </w:p>
    <w:p w:rsidR="00565FD5" w:rsidRPr="00802856" w:rsidRDefault="00565FD5" w:rsidP="00EB1E69">
      <w:pPr>
        <w:numPr>
          <w:ilvl w:val="0"/>
          <w:numId w:val="9"/>
        </w:numPr>
        <w:spacing w:after="100" w:line="240" w:lineRule="auto"/>
        <w:jc w:val="both"/>
      </w:pPr>
      <w:r w:rsidRPr="00802856">
        <w:lastRenderedPageBreak/>
        <w:t xml:space="preserve">Vergi politikaları finansman kalitesini artıracak şekilde uygulanacaktır. </w:t>
      </w:r>
    </w:p>
    <w:p w:rsidR="00565FD5" w:rsidRPr="00802856" w:rsidRDefault="00565FD5" w:rsidP="00EB1E69">
      <w:pPr>
        <w:numPr>
          <w:ilvl w:val="0"/>
          <w:numId w:val="9"/>
        </w:numPr>
        <w:spacing w:after="100" w:line="240" w:lineRule="auto"/>
        <w:jc w:val="both"/>
      </w:pPr>
      <w:r w:rsidRPr="00802856">
        <w:t xml:space="preserve">Başta yurtiçi tasarruf yetersizliği ve cari açık olmak üzere, büyüme ortamının sürdürülebilirliğini tehdit eden unsurlarla mücadelede vergi politikası gerektiğinde etkin bir şekilde kullanılacaktır. </w:t>
      </w:r>
    </w:p>
    <w:p w:rsidR="00565FD5" w:rsidRPr="00802856" w:rsidRDefault="00565FD5" w:rsidP="00EB1E69">
      <w:pPr>
        <w:numPr>
          <w:ilvl w:val="0"/>
          <w:numId w:val="9"/>
        </w:numPr>
        <w:spacing w:after="100" w:line="240" w:lineRule="auto"/>
        <w:jc w:val="both"/>
      </w:pPr>
      <w:r w:rsidRPr="00802856">
        <w:t xml:space="preserve">İstisna, muafiyet ve indirimler nedeniyle oluşan vergi harcaması tutarlarının hesaplanarak kamuoyuyla paylaşılması uygulaması genişletilerek sürdürülecektir. </w:t>
      </w:r>
    </w:p>
    <w:p w:rsidR="00565FD5" w:rsidRPr="00802856" w:rsidRDefault="00565FD5" w:rsidP="00EB1E69">
      <w:pPr>
        <w:numPr>
          <w:ilvl w:val="0"/>
          <w:numId w:val="9"/>
        </w:numPr>
        <w:spacing w:after="100" w:line="240" w:lineRule="auto"/>
        <w:jc w:val="both"/>
      </w:pPr>
      <w:r w:rsidRPr="00802856">
        <w:t xml:space="preserve">Vergiye uyumun artırılması ve vergi tabanının genişletilmesine yönelik çalışmalara devam edilecektir. </w:t>
      </w:r>
    </w:p>
    <w:p w:rsidR="00565FD5" w:rsidRPr="00802856" w:rsidRDefault="00565FD5" w:rsidP="00EB1E69">
      <w:pPr>
        <w:numPr>
          <w:ilvl w:val="0"/>
          <w:numId w:val="9"/>
        </w:numPr>
        <w:spacing w:after="100" w:line="240" w:lineRule="auto"/>
        <w:jc w:val="both"/>
      </w:pPr>
      <w:r w:rsidRPr="00802856">
        <w:t xml:space="preserve">Kamu taşınmazlarının etkili, ekonomik ve verimli bir şekilde kullanılmasına yönelik olarak satış dahil tüm alternatifler değerlendirilecektir. </w:t>
      </w:r>
    </w:p>
    <w:p w:rsidR="00565FD5" w:rsidRPr="00802856" w:rsidRDefault="00565FD5" w:rsidP="00EB1E69">
      <w:pPr>
        <w:numPr>
          <w:ilvl w:val="0"/>
          <w:numId w:val="9"/>
        </w:numPr>
        <w:spacing w:after="100" w:line="240" w:lineRule="auto"/>
        <w:jc w:val="both"/>
      </w:pPr>
      <w:r w:rsidRPr="00802856">
        <w:t xml:space="preserve">Vergi politikalarının belirlenmesinde ve uygulanmasında, iklim değişikliğiyle mücadele edilmesine ve enerji tüketiminde tasarruf sağlanmasına yönelik öncelikler gözetilecektir. </w:t>
      </w:r>
    </w:p>
    <w:p w:rsidR="00565FD5" w:rsidRPr="00802856" w:rsidRDefault="00565FD5" w:rsidP="00565FD5">
      <w:pPr>
        <w:spacing w:after="80"/>
        <w:ind w:left="420"/>
        <w:rPr>
          <w:b/>
        </w:rPr>
      </w:pPr>
      <w:r w:rsidRPr="00802856">
        <w:rPr>
          <w:b/>
        </w:rPr>
        <w:t>4. Kamu Borçlanma Politikası</w:t>
      </w:r>
    </w:p>
    <w:p w:rsidR="00565FD5" w:rsidRPr="00802856" w:rsidRDefault="00565FD5" w:rsidP="00EB1E69">
      <w:pPr>
        <w:numPr>
          <w:ilvl w:val="0"/>
          <w:numId w:val="12"/>
        </w:numPr>
        <w:spacing w:after="80" w:line="240" w:lineRule="auto"/>
        <w:jc w:val="both"/>
        <w:rPr>
          <w:rFonts w:cs="Tahoma"/>
        </w:rPr>
      </w:pPr>
      <w:r w:rsidRPr="00802856">
        <w:rPr>
          <w:rFonts w:cs="Tahoma"/>
        </w:rPr>
        <w:t>Stratejik ölçütlere dayalı borçlanma politikası uygulaması sürdürülecektir.</w:t>
      </w:r>
    </w:p>
    <w:p w:rsidR="00565FD5" w:rsidRPr="00802856" w:rsidRDefault="00565FD5" w:rsidP="00EB1E69">
      <w:pPr>
        <w:numPr>
          <w:ilvl w:val="0"/>
          <w:numId w:val="12"/>
        </w:numPr>
        <w:spacing w:after="80" w:line="240" w:lineRule="auto"/>
        <w:jc w:val="both"/>
        <w:rPr>
          <w:rFonts w:cs="Tahoma"/>
        </w:rPr>
      </w:pPr>
      <w:r w:rsidRPr="00802856">
        <w:rPr>
          <w:rFonts w:cs="Tahoma"/>
        </w:rPr>
        <w:t>Piyasa koşulları elverdiği ölçüde, borçlanmanın ağırlıklı olarak TL cinsinden ve sabit faizli enstrümanlarla yapılması suretiyle döviz kuru ve faiz oranı riski; ortalama vadenin uzatılması ve Hazine’nin güçlü rezerv tutması suretiyle likidite riski düşürülecektir.</w:t>
      </w:r>
    </w:p>
    <w:p w:rsidR="00565FD5" w:rsidRPr="00802856" w:rsidRDefault="00565FD5" w:rsidP="00EB1E69">
      <w:pPr>
        <w:numPr>
          <w:ilvl w:val="0"/>
          <w:numId w:val="12"/>
        </w:numPr>
        <w:spacing w:after="80" w:line="240" w:lineRule="auto"/>
        <w:jc w:val="both"/>
        <w:rPr>
          <w:rFonts w:cs="Tahoma"/>
        </w:rPr>
      </w:pPr>
      <w:r w:rsidRPr="00802856">
        <w:rPr>
          <w:rFonts w:cs="Tahoma"/>
        </w:rPr>
        <w:t>Borç servisinin dönemler arası dengeli dağılmasının sağlanması ve ikincil piyasada fiyat etkinliğinin artırılması amaçlarıyla değişim ve geri alım ihaleleri yapılabilecektir.</w:t>
      </w:r>
    </w:p>
    <w:p w:rsidR="00565FD5" w:rsidRPr="00802856" w:rsidRDefault="00565FD5" w:rsidP="00EB1E69">
      <w:pPr>
        <w:numPr>
          <w:ilvl w:val="0"/>
          <w:numId w:val="12"/>
        </w:numPr>
        <w:spacing w:after="80" w:line="240" w:lineRule="auto"/>
        <w:jc w:val="both"/>
        <w:rPr>
          <w:rFonts w:cs="Tahoma"/>
        </w:rPr>
      </w:pPr>
      <w:r w:rsidRPr="00802856">
        <w:rPr>
          <w:rFonts w:cs="Tahoma"/>
        </w:rPr>
        <w:t>İkincil piyasalarda sağlıklı bir verim eğrisinin oluşturulması ve likiditenin sağlanmasına yönelik olarak senetlerin azalan vadelerde yeniden ihraç edilmesi politikasına devam edilecektir.</w:t>
      </w:r>
    </w:p>
    <w:p w:rsidR="00565FD5" w:rsidRPr="00802856" w:rsidRDefault="00565FD5" w:rsidP="00EB1E69">
      <w:pPr>
        <w:numPr>
          <w:ilvl w:val="0"/>
          <w:numId w:val="12"/>
        </w:numPr>
        <w:spacing w:after="80" w:line="240" w:lineRule="auto"/>
        <w:jc w:val="both"/>
        <w:rPr>
          <w:rFonts w:cs="Tahoma"/>
        </w:rPr>
      </w:pPr>
      <w:r w:rsidRPr="00802856">
        <w:rPr>
          <w:rFonts w:cs="Tahoma"/>
        </w:rPr>
        <w:t>Devlet iç borçlanma senetlerinin yatırımcı tabanının genişletilmesi amacıyla yeni araçların geliştirilmesine ilişkin çalışmalara devam edilecektir.</w:t>
      </w:r>
    </w:p>
    <w:p w:rsidR="00565FD5" w:rsidRPr="00802856" w:rsidRDefault="00565FD5" w:rsidP="00EB1E69">
      <w:pPr>
        <w:numPr>
          <w:ilvl w:val="0"/>
          <w:numId w:val="12"/>
        </w:numPr>
        <w:spacing w:after="80" w:line="240" w:lineRule="auto"/>
        <w:jc w:val="both"/>
        <w:rPr>
          <w:rFonts w:cs="Tahoma"/>
        </w:rPr>
      </w:pPr>
      <w:r w:rsidRPr="00802856">
        <w:rPr>
          <w:rFonts w:cs="Tahoma"/>
        </w:rPr>
        <w:t xml:space="preserve">Piyasa yapıcılığı sistemi sürdürülecektir. </w:t>
      </w:r>
    </w:p>
    <w:p w:rsidR="00565FD5" w:rsidRPr="00802856" w:rsidRDefault="00565FD5" w:rsidP="00EB1E69">
      <w:pPr>
        <w:numPr>
          <w:ilvl w:val="0"/>
          <w:numId w:val="12"/>
        </w:numPr>
        <w:spacing w:after="80" w:line="240" w:lineRule="auto"/>
        <w:jc w:val="both"/>
        <w:rPr>
          <w:rFonts w:cs="Tahoma"/>
        </w:rPr>
      </w:pPr>
      <w:r w:rsidRPr="00802856">
        <w:rPr>
          <w:rFonts w:cs="Tahoma"/>
        </w:rPr>
        <w:t>Finansman programları, iç borçlanma stratejileri, ihale duyuruları gibi borçlanmaya ilişkin bilgilerin düzenli olarak açıklanmasına devam edilecektir.</w:t>
      </w:r>
    </w:p>
    <w:p w:rsidR="00565FD5" w:rsidRPr="00802856" w:rsidRDefault="00565FD5" w:rsidP="00565FD5">
      <w:pPr>
        <w:spacing w:after="80"/>
        <w:ind w:left="420"/>
        <w:rPr>
          <w:b/>
        </w:rPr>
      </w:pPr>
      <w:r w:rsidRPr="00802856">
        <w:rPr>
          <w:b/>
        </w:rPr>
        <w:lastRenderedPageBreak/>
        <w:t>5. Kamu Mali Yönetimi ve Denetim</w:t>
      </w:r>
    </w:p>
    <w:p w:rsidR="00565FD5" w:rsidRPr="00802856" w:rsidRDefault="00565FD5" w:rsidP="00EB1E69">
      <w:pPr>
        <w:numPr>
          <w:ilvl w:val="0"/>
          <w:numId w:val="8"/>
        </w:numPr>
        <w:spacing w:after="100" w:line="240" w:lineRule="auto"/>
        <w:jc w:val="both"/>
        <w:rPr>
          <w:rFonts w:cs="Tahoma"/>
          <w:szCs w:val="18"/>
        </w:rPr>
      </w:pPr>
      <w:r w:rsidRPr="00802856">
        <w:rPr>
          <w:rFonts w:cs="Tahoma"/>
        </w:rPr>
        <w:t xml:space="preserve">Kamuda etkin bir dış denetimin sağlanması için Sayıştay’ın uygulama altyapısı güçlendirilecektir. </w:t>
      </w:r>
    </w:p>
    <w:p w:rsidR="00565FD5" w:rsidRPr="00802856" w:rsidRDefault="00565FD5" w:rsidP="00EB1E69">
      <w:pPr>
        <w:numPr>
          <w:ilvl w:val="0"/>
          <w:numId w:val="8"/>
        </w:numPr>
        <w:spacing w:after="100" w:line="240" w:lineRule="auto"/>
        <w:jc w:val="both"/>
        <w:rPr>
          <w:rFonts w:cs="Tahoma"/>
          <w:szCs w:val="18"/>
        </w:rPr>
      </w:pPr>
      <w:r w:rsidRPr="00802856">
        <w:rPr>
          <w:rFonts w:cs="Tahoma"/>
        </w:rPr>
        <w:t>Kamu idarelerinde iç kontrol sisteminin sağlıklı bir şekilde işletilmesi, iç ve dış denetimin etkin ve koordineli bir şekilde çalışması sağlanacaktır.</w:t>
      </w:r>
    </w:p>
    <w:p w:rsidR="00565FD5" w:rsidRPr="00802856" w:rsidRDefault="00565FD5" w:rsidP="00EB1E69">
      <w:pPr>
        <w:numPr>
          <w:ilvl w:val="0"/>
          <w:numId w:val="8"/>
        </w:numPr>
        <w:spacing w:after="100" w:line="240" w:lineRule="auto"/>
        <w:jc w:val="both"/>
        <w:rPr>
          <w:rFonts w:cs="Tahoma"/>
          <w:szCs w:val="18"/>
        </w:rPr>
      </w:pPr>
      <w:r w:rsidRPr="00802856">
        <w:rPr>
          <w:rFonts w:cs="Tahoma"/>
        </w:rPr>
        <w:t>Kamu idarelerinin faaliyetlerinin kamu iç kontrol ve iç denetim standartlarına uyum düzeyinin artırılması sağlanacaktır.</w:t>
      </w:r>
    </w:p>
    <w:p w:rsidR="00565FD5" w:rsidRPr="00802856" w:rsidRDefault="00565FD5" w:rsidP="00EB1E69">
      <w:pPr>
        <w:numPr>
          <w:ilvl w:val="0"/>
          <w:numId w:val="8"/>
        </w:numPr>
        <w:spacing w:after="100" w:line="240" w:lineRule="auto"/>
        <w:jc w:val="both"/>
        <w:rPr>
          <w:rFonts w:cs="Tahoma"/>
          <w:szCs w:val="18"/>
        </w:rPr>
      </w:pPr>
      <w:r w:rsidRPr="00802856">
        <w:rPr>
          <w:rFonts w:cs="Tahoma"/>
        </w:rPr>
        <w:t>Kamu idarelerinde yönetim sorumluluğunun güçlendirilmesi için kamu mali yönetiminin insan kaynakları altyapısı nitelik ve nicelik olarak güçlendirilecektir.</w:t>
      </w:r>
    </w:p>
    <w:p w:rsidR="00565FD5" w:rsidRPr="00802856" w:rsidRDefault="00565FD5" w:rsidP="00EB1E69">
      <w:pPr>
        <w:numPr>
          <w:ilvl w:val="0"/>
          <w:numId w:val="8"/>
        </w:numPr>
        <w:spacing w:after="80" w:line="240" w:lineRule="auto"/>
        <w:jc w:val="both"/>
        <w:rPr>
          <w:b/>
        </w:rPr>
      </w:pPr>
      <w:r w:rsidRPr="00802856">
        <w:rPr>
          <w:rFonts w:cs="Tahoma"/>
        </w:rPr>
        <w:t>İç denetim birimlerinin kurumsal kapasitesi artırılacak, kamu idarelerinin teşkilat yapısındaki yeri güçlendirilecektir.</w:t>
      </w:r>
    </w:p>
    <w:p w:rsidR="00565FD5" w:rsidRPr="00BF3740" w:rsidRDefault="00565FD5" w:rsidP="00EB1E69">
      <w:pPr>
        <w:numPr>
          <w:ilvl w:val="0"/>
          <w:numId w:val="8"/>
        </w:numPr>
        <w:spacing w:after="80" w:line="240" w:lineRule="auto"/>
        <w:jc w:val="both"/>
        <w:rPr>
          <w:b/>
        </w:rPr>
      </w:pPr>
      <w:r w:rsidRPr="00802856">
        <w:rPr>
          <w:rFonts w:cs="Tahoma"/>
        </w:rPr>
        <w:t>İç denetim alanında merkezi uyumlaştırma fonksiyonu gören İç Denetim Koordinasyon Kurulu yeniden yapılandırılacaktır.</w:t>
      </w:r>
    </w:p>
    <w:p w:rsidR="00565FD5" w:rsidRPr="00D104C9" w:rsidRDefault="00565FD5" w:rsidP="00565FD5">
      <w:pPr>
        <w:spacing w:before="120" w:after="120"/>
        <w:ind w:left="420"/>
        <w:rPr>
          <w:rFonts w:cs="Tahoma"/>
          <w:b/>
          <w:szCs w:val="18"/>
        </w:rPr>
      </w:pPr>
      <w:r w:rsidRPr="00D104C9">
        <w:rPr>
          <w:rFonts w:cs="Tahoma"/>
          <w:b/>
          <w:szCs w:val="18"/>
        </w:rPr>
        <w:t>6. Kamu İktisadi Teşebbüsleri ve Özelleştirme</w:t>
      </w:r>
    </w:p>
    <w:p w:rsidR="00565FD5" w:rsidRPr="00D104C9" w:rsidRDefault="00565FD5" w:rsidP="00EB1E69">
      <w:pPr>
        <w:numPr>
          <w:ilvl w:val="0"/>
          <w:numId w:val="13"/>
        </w:numPr>
        <w:tabs>
          <w:tab w:val="left" w:pos="425"/>
        </w:tabs>
        <w:spacing w:before="120" w:after="120" w:line="240" w:lineRule="auto"/>
        <w:ind w:left="805" w:hanging="181"/>
        <w:jc w:val="both"/>
        <w:rPr>
          <w:rFonts w:cs="Tahoma"/>
          <w:szCs w:val="18"/>
        </w:rPr>
      </w:pPr>
      <w:r w:rsidRPr="00D104C9">
        <w:rPr>
          <w:rFonts w:cs="Tahoma"/>
          <w:szCs w:val="18"/>
        </w:rPr>
        <w:t>Kamu iktisadi teşebbüslerinin (KİT) kârlılık, verimlilik ve kurumsal yönetişim ilkelerine uygun olarak işletilmesi esastır.</w:t>
      </w:r>
    </w:p>
    <w:p w:rsidR="00565FD5" w:rsidRPr="00D104C9" w:rsidRDefault="00565FD5" w:rsidP="00EB1E69">
      <w:pPr>
        <w:numPr>
          <w:ilvl w:val="0"/>
          <w:numId w:val="13"/>
        </w:numPr>
        <w:tabs>
          <w:tab w:val="left" w:pos="425"/>
        </w:tabs>
        <w:spacing w:before="120" w:after="120" w:line="240" w:lineRule="auto"/>
        <w:ind w:left="805" w:hanging="181"/>
        <w:jc w:val="both"/>
        <w:rPr>
          <w:rFonts w:cs="Tahoma"/>
          <w:szCs w:val="18"/>
        </w:rPr>
      </w:pPr>
      <w:r w:rsidRPr="00D104C9">
        <w:rPr>
          <w:rFonts w:cs="Tahoma"/>
          <w:szCs w:val="18"/>
        </w:rPr>
        <w:t>KİT’lerin belirli bir takvim ve strateji çerçevesinde özelleştirilmesi çalışmaları kararlılıkla sürdürülecektir.</w:t>
      </w:r>
    </w:p>
    <w:p w:rsidR="00565FD5" w:rsidRPr="00D104C9" w:rsidRDefault="00565FD5" w:rsidP="00EB1E69">
      <w:pPr>
        <w:numPr>
          <w:ilvl w:val="0"/>
          <w:numId w:val="13"/>
        </w:numPr>
        <w:tabs>
          <w:tab w:val="left" w:pos="425"/>
        </w:tabs>
        <w:spacing w:before="120" w:after="120" w:line="240" w:lineRule="auto"/>
        <w:ind w:left="805" w:hanging="181"/>
        <w:jc w:val="both"/>
        <w:rPr>
          <w:rFonts w:cs="Tahoma"/>
          <w:szCs w:val="18"/>
        </w:rPr>
      </w:pPr>
      <w:r w:rsidRPr="00D104C9">
        <w:rPr>
          <w:rFonts w:cs="Tahoma"/>
          <w:szCs w:val="18"/>
        </w:rPr>
        <w:t>KİT’lerde; yetkilendirmeyi, hesap verebilirliği, şeffaflığı, karar alma süreçlerinde etkinliği ve performansa dayalı yönetimi esas alan stratejik yönetim anlayışı yaygınlaştırılacaktır.</w:t>
      </w:r>
    </w:p>
    <w:p w:rsidR="00565FD5" w:rsidRPr="00D104C9" w:rsidRDefault="00565FD5" w:rsidP="00EB1E69">
      <w:pPr>
        <w:pStyle w:val="ListeParagraf"/>
        <w:numPr>
          <w:ilvl w:val="0"/>
          <w:numId w:val="13"/>
        </w:numPr>
        <w:tabs>
          <w:tab w:val="left" w:pos="425"/>
        </w:tabs>
        <w:spacing w:before="120" w:after="120" w:line="240" w:lineRule="auto"/>
        <w:ind w:left="805" w:hanging="181"/>
        <w:contextualSpacing w:val="0"/>
        <w:jc w:val="both"/>
        <w:rPr>
          <w:rFonts w:cs="Tahoma"/>
          <w:szCs w:val="18"/>
        </w:rPr>
      </w:pPr>
      <w:r w:rsidRPr="00D104C9">
        <w:rPr>
          <w:rFonts w:cs="Tahoma"/>
          <w:szCs w:val="18"/>
        </w:rPr>
        <w:t>KİT’lerin stratejik planlarının yıllık uygulama dilimleri olan performans programları  izlenecek ve değerlendirilecektir.</w:t>
      </w:r>
    </w:p>
    <w:p w:rsidR="00565FD5" w:rsidRPr="00D104C9" w:rsidRDefault="00565FD5" w:rsidP="00EB1E69">
      <w:pPr>
        <w:pStyle w:val="ListeParagraf"/>
        <w:numPr>
          <w:ilvl w:val="0"/>
          <w:numId w:val="13"/>
        </w:numPr>
        <w:tabs>
          <w:tab w:val="left" w:pos="425"/>
        </w:tabs>
        <w:spacing w:before="120" w:after="120" w:line="240" w:lineRule="auto"/>
        <w:ind w:left="805" w:hanging="181"/>
        <w:contextualSpacing w:val="0"/>
        <w:jc w:val="both"/>
        <w:rPr>
          <w:rFonts w:cs="Tahoma"/>
          <w:szCs w:val="18"/>
        </w:rPr>
      </w:pPr>
      <w:r w:rsidRPr="00D104C9">
        <w:rPr>
          <w:rFonts w:cs="Tahoma"/>
          <w:szCs w:val="18"/>
        </w:rPr>
        <w:t>KİT’lerde uluslararası standartlara uygun iç denetim birimleri oluşturulacak, iç kontrol sistemleri geliştirilecektir.</w:t>
      </w:r>
    </w:p>
    <w:p w:rsidR="00565FD5" w:rsidRPr="00D104C9" w:rsidRDefault="00565FD5" w:rsidP="00EB1E69">
      <w:pPr>
        <w:numPr>
          <w:ilvl w:val="0"/>
          <w:numId w:val="13"/>
        </w:numPr>
        <w:tabs>
          <w:tab w:val="left" w:pos="425"/>
        </w:tabs>
        <w:spacing w:before="120" w:after="120" w:line="240" w:lineRule="auto"/>
        <w:ind w:left="805" w:hanging="181"/>
        <w:jc w:val="both"/>
        <w:rPr>
          <w:rFonts w:cs="Tahoma"/>
          <w:szCs w:val="18"/>
        </w:rPr>
      </w:pPr>
      <w:r w:rsidRPr="00D104C9">
        <w:rPr>
          <w:rFonts w:cs="Tahoma"/>
          <w:szCs w:val="18"/>
        </w:rPr>
        <w:t>Fiyatlandırma başta olmak üzere KİT’lerin tüm işletmecilik politikaları, stratejik planlar ile genel yatırım ve finansman kararnamelerinde öngörülen hedeflere ulaşacak şekilde belirlenecek ve etkin bir şekilde uygulanacaktır.</w:t>
      </w:r>
    </w:p>
    <w:p w:rsidR="00565FD5" w:rsidRPr="00D104C9" w:rsidRDefault="00565FD5" w:rsidP="00EB1E69">
      <w:pPr>
        <w:numPr>
          <w:ilvl w:val="0"/>
          <w:numId w:val="13"/>
        </w:numPr>
        <w:spacing w:before="120" w:after="120" w:line="240" w:lineRule="auto"/>
        <w:ind w:left="805" w:hanging="181"/>
        <w:jc w:val="both"/>
        <w:rPr>
          <w:rFonts w:cs="Tahoma"/>
          <w:szCs w:val="18"/>
        </w:rPr>
      </w:pPr>
      <w:r w:rsidRPr="00D104C9">
        <w:rPr>
          <w:rFonts w:cs="Tahoma"/>
          <w:szCs w:val="18"/>
        </w:rPr>
        <w:t>KİT’lerin gayrimenkullerinin değerlendirilmesinde rayiç bedel esas alınacaktır. Atıl olmayan gayrimenkullerin devrinde; işletmenin verimliliği ve bütünlüğü gibi hususların olumsuz etkilenmemesi, tarım arazilerinin korunması ve çevre sağlığı göz önünde bulundurulacaktır.</w:t>
      </w:r>
    </w:p>
    <w:p w:rsidR="00565FD5" w:rsidRPr="00D104C9" w:rsidRDefault="00565FD5" w:rsidP="00EB1E69">
      <w:pPr>
        <w:pStyle w:val="ListeParagraf"/>
        <w:numPr>
          <w:ilvl w:val="0"/>
          <w:numId w:val="13"/>
        </w:numPr>
        <w:spacing w:before="120" w:after="120" w:line="240" w:lineRule="auto"/>
        <w:ind w:left="805" w:hanging="181"/>
        <w:jc w:val="both"/>
        <w:rPr>
          <w:rFonts w:cs="Tahoma"/>
          <w:szCs w:val="18"/>
        </w:rPr>
      </w:pPr>
      <w:r w:rsidRPr="00D104C9">
        <w:rPr>
          <w:rFonts w:cs="Tahoma"/>
          <w:szCs w:val="18"/>
        </w:rPr>
        <w:lastRenderedPageBreak/>
        <w:t>KİT’lerin sürekli zarar eden ve kâra geçmesi mümkün görülmeyen işletme birimleri tasfiye edilecektir.</w:t>
      </w:r>
    </w:p>
    <w:p w:rsidR="00565FD5" w:rsidRPr="00D104C9" w:rsidRDefault="00565FD5" w:rsidP="00EB1E69">
      <w:pPr>
        <w:numPr>
          <w:ilvl w:val="0"/>
          <w:numId w:val="13"/>
        </w:numPr>
        <w:tabs>
          <w:tab w:val="left" w:pos="425"/>
        </w:tabs>
        <w:spacing w:before="120" w:after="120" w:line="240" w:lineRule="auto"/>
        <w:ind w:left="805" w:hanging="181"/>
        <w:jc w:val="both"/>
        <w:rPr>
          <w:rFonts w:cs="Tahoma"/>
          <w:szCs w:val="18"/>
        </w:rPr>
      </w:pPr>
      <w:r w:rsidRPr="00D104C9">
        <w:rPr>
          <w:rFonts w:cs="Tahoma"/>
          <w:szCs w:val="18"/>
        </w:rPr>
        <w:t>KİT’lerde nitelikli personel ihtiyacının karşılanması için gerekli tedbirler alınacaktır.</w:t>
      </w:r>
    </w:p>
    <w:p w:rsidR="00565FD5" w:rsidRPr="00315199" w:rsidRDefault="00565FD5" w:rsidP="00565FD5">
      <w:pPr>
        <w:pStyle w:val="Balk3"/>
      </w:pPr>
      <w:bookmarkStart w:id="123" w:name="_Toc181180648"/>
      <w:bookmarkStart w:id="124" w:name="_Toc181192588"/>
      <w:bookmarkStart w:id="125" w:name="_Toc181284876"/>
      <w:bookmarkStart w:id="126" w:name="_Toc181285955"/>
      <w:bookmarkStart w:id="127" w:name="_Toc244253609"/>
      <w:bookmarkStart w:id="128" w:name="_Toc244254859"/>
      <w:bookmarkStart w:id="129" w:name="_Toc244313595"/>
      <w:bookmarkStart w:id="130" w:name="_Toc244315072"/>
      <w:bookmarkStart w:id="131" w:name="_Toc244339535"/>
      <w:bookmarkStart w:id="132" w:name="_Toc244349391"/>
      <w:bookmarkStart w:id="133" w:name="_Toc276076216"/>
      <w:bookmarkStart w:id="134" w:name="_Toc307601922"/>
      <w:bookmarkStart w:id="135" w:name="_Toc307670370"/>
      <w:bookmarkStart w:id="136" w:name="_Toc307701596"/>
      <w:bookmarkStart w:id="137" w:name="_Toc338494202"/>
      <w:bookmarkStart w:id="138" w:name="_Toc338505503"/>
      <w:bookmarkStart w:id="139" w:name="_Toc338505718"/>
      <w:bookmarkStart w:id="140" w:name="_Toc338505755"/>
      <w:bookmarkStart w:id="141" w:name="_Toc338523720"/>
      <w:bookmarkStart w:id="142" w:name="_Toc338523961"/>
      <w:bookmarkStart w:id="143" w:name="_Toc338526187"/>
      <w:bookmarkStart w:id="144" w:name="_Toc338673630"/>
      <w:bookmarkStart w:id="145" w:name="_Toc338711509"/>
      <w:bookmarkStart w:id="146" w:name="_Toc307601924"/>
      <w:bookmarkStart w:id="147" w:name="_Toc307670372"/>
      <w:bookmarkStart w:id="148" w:name="_Toc307701598"/>
      <w:r w:rsidRPr="00315199">
        <w:t>C. ÖDEMELER DENGESİ</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565FD5" w:rsidRPr="00315199" w:rsidRDefault="00565FD5" w:rsidP="00EB1E69">
      <w:pPr>
        <w:numPr>
          <w:ilvl w:val="0"/>
          <w:numId w:val="5"/>
        </w:numPr>
        <w:autoSpaceDE w:val="0"/>
        <w:autoSpaceDN w:val="0"/>
        <w:adjustRightInd w:val="0"/>
        <w:spacing w:after="140" w:line="240" w:lineRule="auto"/>
        <w:jc w:val="both"/>
        <w:rPr>
          <w:rFonts w:cs="Tahoma"/>
          <w:color w:val="000000"/>
          <w:szCs w:val="18"/>
          <w:lang w:val="en-US"/>
        </w:rPr>
      </w:pPr>
      <w:bookmarkStart w:id="149" w:name="_Toc307601923"/>
      <w:bookmarkStart w:id="150" w:name="_Toc307670371"/>
      <w:bookmarkStart w:id="151" w:name="_Toc307701597"/>
      <w:r w:rsidRPr="00315199">
        <w:rPr>
          <w:rFonts w:cs="Tahoma"/>
          <w:color w:val="000000"/>
          <w:szCs w:val="18"/>
          <w:lang w:val="en-US"/>
        </w:rPr>
        <w:t xml:space="preserve">Firmaların küresel rekabet gücünü artırmak amacıyla yenilikçiliğe dayalı, markalı, katma değeri yüksek ürün ve hizmetlerin üretim ve pazarlama süreçlerinin desteklenmesine devam edilecektir. </w:t>
      </w:r>
    </w:p>
    <w:p w:rsidR="00565FD5" w:rsidRPr="00315199" w:rsidRDefault="00565FD5" w:rsidP="00EB1E69">
      <w:pPr>
        <w:numPr>
          <w:ilvl w:val="0"/>
          <w:numId w:val="5"/>
        </w:numPr>
        <w:autoSpaceDE w:val="0"/>
        <w:autoSpaceDN w:val="0"/>
        <w:adjustRightInd w:val="0"/>
        <w:spacing w:after="140" w:line="240" w:lineRule="auto"/>
        <w:jc w:val="both"/>
        <w:rPr>
          <w:rFonts w:cs="Tahoma"/>
          <w:color w:val="000000"/>
          <w:szCs w:val="18"/>
          <w:lang w:val="en-US"/>
        </w:rPr>
      </w:pPr>
      <w:r w:rsidRPr="00315199">
        <w:rPr>
          <w:rFonts w:cs="Tahoma"/>
          <w:color w:val="000000"/>
          <w:szCs w:val="18"/>
          <w:lang w:val="en-US"/>
        </w:rPr>
        <w:t xml:space="preserve">Enerjide yerli ve yenilenebilir kaynakların payı artırılacak, enerji verimliliğini sağlayıcı çalışmalar desteklenerek ithalata olan bağımlılık azaltılacaktır. </w:t>
      </w:r>
    </w:p>
    <w:p w:rsidR="00565FD5" w:rsidRPr="00315199" w:rsidRDefault="00565FD5" w:rsidP="00EB1E69">
      <w:pPr>
        <w:numPr>
          <w:ilvl w:val="0"/>
          <w:numId w:val="5"/>
        </w:numPr>
        <w:autoSpaceDE w:val="0"/>
        <w:autoSpaceDN w:val="0"/>
        <w:adjustRightInd w:val="0"/>
        <w:spacing w:after="140" w:line="240" w:lineRule="auto"/>
        <w:jc w:val="both"/>
        <w:rPr>
          <w:rFonts w:cs="Tahoma"/>
          <w:color w:val="000000"/>
          <w:szCs w:val="18"/>
          <w:lang w:val="en-US"/>
        </w:rPr>
      </w:pPr>
      <w:r w:rsidRPr="00315199">
        <w:rPr>
          <w:rFonts w:cs="Tahoma"/>
          <w:color w:val="000000"/>
          <w:szCs w:val="18"/>
          <w:lang w:val="en-US"/>
        </w:rPr>
        <w:t xml:space="preserve">Girdi Tedarik Stratejisi (GİTES) kapsamında; ihracata dönük üretimde daha etkin ve düşük maliyetli girdi tedarikine, üretim ve ihracatın ara malı ithalatına bağımlılığının azaltılmasına ve bu suretle ihracatta sürdürülebilir rekabet gücüne katkı sağlanmasına yönelik eylemlerin hayata geçirilmesine başlanacaktır. </w:t>
      </w:r>
    </w:p>
    <w:p w:rsidR="00565FD5" w:rsidRPr="00315199" w:rsidRDefault="00565FD5" w:rsidP="00EB1E69">
      <w:pPr>
        <w:numPr>
          <w:ilvl w:val="0"/>
          <w:numId w:val="5"/>
        </w:numPr>
        <w:autoSpaceDE w:val="0"/>
        <w:autoSpaceDN w:val="0"/>
        <w:adjustRightInd w:val="0"/>
        <w:spacing w:after="140" w:line="240" w:lineRule="auto"/>
        <w:jc w:val="both"/>
        <w:rPr>
          <w:rFonts w:cs="Tahoma"/>
          <w:color w:val="000000"/>
          <w:szCs w:val="18"/>
          <w:lang w:val="en-US"/>
        </w:rPr>
      </w:pPr>
      <w:r w:rsidRPr="00315199">
        <w:rPr>
          <w:rFonts w:cs="Tahoma"/>
          <w:color w:val="000000"/>
          <w:szCs w:val="18"/>
          <w:lang w:val="en-US"/>
        </w:rPr>
        <w:t xml:space="preserve">Yurtiçinde üretim ve ticaret yapan uluslararası firmaların tedarik zincirlerinde yurtiçi üretimin payının artırılmasına yönelik politikalar geliştirilecektir. </w:t>
      </w:r>
    </w:p>
    <w:p w:rsidR="00565FD5" w:rsidRPr="00315199" w:rsidRDefault="00565FD5" w:rsidP="00EB1E69">
      <w:pPr>
        <w:numPr>
          <w:ilvl w:val="0"/>
          <w:numId w:val="5"/>
        </w:numPr>
        <w:autoSpaceDE w:val="0"/>
        <w:autoSpaceDN w:val="0"/>
        <w:adjustRightInd w:val="0"/>
        <w:spacing w:after="140" w:line="240" w:lineRule="auto"/>
        <w:jc w:val="both"/>
        <w:rPr>
          <w:rFonts w:cs="Tahoma"/>
          <w:color w:val="000000"/>
          <w:szCs w:val="18"/>
          <w:lang w:val="en-US"/>
        </w:rPr>
      </w:pPr>
      <w:r w:rsidRPr="00315199">
        <w:rPr>
          <w:rFonts w:cs="Tahoma"/>
          <w:color w:val="000000"/>
          <w:szCs w:val="18"/>
          <w:lang w:val="en-US"/>
        </w:rPr>
        <w:t xml:space="preserve">Dahilde işleme rejimi, yurtiçi üretim, ihracat ve dış ticaret dengesine etkisi açısından bütüncül bir şekilde değerlendirilerek gerekli düzenlemeler yapılacaktır. </w:t>
      </w:r>
    </w:p>
    <w:p w:rsidR="00565FD5" w:rsidRPr="00315199" w:rsidRDefault="00565FD5" w:rsidP="00EB1E69">
      <w:pPr>
        <w:numPr>
          <w:ilvl w:val="0"/>
          <w:numId w:val="5"/>
        </w:numPr>
        <w:autoSpaceDE w:val="0"/>
        <w:autoSpaceDN w:val="0"/>
        <w:adjustRightInd w:val="0"/>
        <w:spacing w:after="140" w:line="240" w:lineRule="auto"/>
        <w:jc w:val="both"/>
        <w:rPr>
          <w:rFonts w:cs="Tahoma"/>
          <w:color w:val="000000"/>
          <w:szCs w:val="18"/>
          <w:lang w:val="en-US"/>
        </w:rPr>
      </w:pPr>
      <w:r w:rsidRPr="00315199">
        <w:rPr>
          <w:rFonts w:cs="Tahoma"/>
          <w:color w:val="000000"/>
          <w:szCs w:val="18"/>
          <w:lang w:val="en-US"/>
        </w:rPr>
        <w:t xml:space="preserve">Yurtiçi katma değer oranı yüksek malları kullanma bilincinin geliştirilmesine yönelik olarak etiketleme başta olmak üzere özendirici tedbirler alınacaktır. </w:t>
      </w:r>
    </w:p>
    <w:p w:rsidR="00565FD5" w:rsidRPr="00315199" w:rsidRDefault="00565FD5" w:rsidP="00EB1E69">
      <w:pPr>
        <w:numPr>
          <w:ilvl w:val="0"/>
          <w:numId w:val="5"/>
        </w:numPr>
        <w:autoSpaceDE w:val="0"/>
        <w:autoSpaceDN w:val="0"/>
        <w:adjustRightInd w:val="0"/>
        <w:spacing w:after="140" w:line="240" w:lineRule="auto"/>
        <w:jc w:val="both"/>
        <w:rPr>
          <w:rFonts w:cs="Tahoma"/>
          <w:color w:val="000000"/>
          <w:szCs w:val="18"/>
          <w:lang w:val="en-US"/>
        </w:rPr>
      </w:pPr>
      <w:r w:rsidRPr="00315199">
        <w:rPr>
          <w:rFonts w:cs="Tahoma"/>
          <w:color w:val="000000"/>
          <w:szCs w:val="18"/>
          <w:lang w:val="en-US"/>
        </w:rPr>
        <w:t xml:space="preserve">İthalatta piyasa gözetimi ve denetimi sisteminin etkinliği artırılacaktır. </w:t>
      </w:r>
    </w:p>
    <w:p w:rsidR="00565FD5" w:rsidRPr="00315199" w:rsidRDefault="00565FD5" w:rsidP="00EB1E69">
      <w:pPr>
        <w:numPr>
          <w:ilvl w:val="0"/>
          <w:numId w:val="5"/>
        </w:numPr>
        <w:autoSpaceDE w:val="0"/>
        <w:autoSpaceDN w:val="0"/>
        <w:adjustRightInd w:val="0"/>
        <w:spacing w:after="140" w:line="240" w:lineRule="auto"/>
        <w:jc w:val="both"/>
        <w:rPr>
          <w:rFonts w:cs="Tahoma"/>
          <w:color w:val="000000"/>
          <w:szCs w:val="18"/>
          <w:lang w:val="en-US"/>
        </w:rPr>
      </w:pPr>
      <w:r w:rsidRPr="00315199">
        <w:rPr>
          <w:rFonts w:cs="Tahoma"/>
          <w:color w:val="000000"/>
          <w:szCs w:val="18"/>
          <w:lang w:val="en-US"/>
        </w:rPr>
        <w:t xml:space="preserve">Kamu alımlarında yerli ürünlerin tercih edilmesi sağlanacaktır. </w:t>
      </w:r>
    </w:p>
    <w:p w:rsidR="00565FD5" w:rsidRPr="00315199" w:rsidRDefault="00565FD5" w:rsidP="00EB1E69">
      <w:pPr>
        <w:numPr>
          <w:ilvl w:val="0"/>
          <w:numId w:val="5"/>
        </w:numPr>
        <w:autoSpaceDE w:val="0"/>
        <w:autoSpaceDN w:val="0"/>
        <w:adjustRightInd w:val="0"/>
        <w:spacing w:after="140" w:line="240" w:lineRule="auto"/>
        <w:jc w:val="both"/>
        <w:rPr>
          <w:rFonts w:cs="Tahoma"/>
          <w:color w:val="000000"/>
          <w:szCs w:val="18"/>
          <w:lang w:val="en-US"/>
        </w:rPr>
      </w:pPr>
      <w:r w:rsidRPr="00315199">
        <w:rPr>
          <w:rFonts w:cs="Tahoma"/>
          <w:color w:val="000000"/>
          <w:szCs w:val="18"/>
          <w:lang w:val="en-US"/>
        </w:rPr>
        <w:t xml:space="preserve">İhracatta pazar çeşitliliğinin artırılması amacıyla belirlenen ülkelere yönelik eylem planları hazırlanacaktır. </w:t>
      </w:r>
    </w:p>
    <w:p w:rsidR="00565FD5" w:rsidRPr="00315199" w:rsidRDefault="00565FD5" w:rsidP="00EB1E69">
      <w:pPr>
        <w:numPr>
          <w:ilvl w:val="0"/>
          <w:numId w:val="5"/>
        </w:numPr>
        <w:autoSpaceDE w:val="0"/>
        <w:autoSpaceDN w:val="0"/>
        <w:adjustRightInd w:val="0"/>
        <w:spacing w:after="140" w:line="240" w:lineRule="auto"/>
        <w:jc w:val="both"/>
        <w:rPr>
          <w:rFonts w:cs="Tahoma"/>
          <w:color w:val="000000"/>
          <w:szCs w:val="18"/>
          <w:lang w:val="en-US"/>
        </w:rPr>
      </w:pPr>
      <w:r w:rsidRPr="00315199">
        <w:rPr>
          <w:rFonts w:cs="Tahoma"/>
          <w:color w:val="000000"/>
          <w:szCs w:val="18"/>
          <w:lang w:val="en-US"/>
        </w:rPr>
        <w:t>İhracatçı firmaların mevcut pazarlarda paylarının artırılması ve yeni pazarlara giriş yapabilmelerine yönelik destekler etkin şekilde kullanılmaya devam edilecektir.</w:t>
      </w:r>
    </w:p>
    <w:p w:rsidR="00565FD5" w:rsidRPr="00315199" w:rsidRDefault="00565FD5" w:rsidP="00EB1E69">
      <w:pPr>
        <w:numPr>
          <w:ilvl w:val="0"/>
          <w:numId w:val="5"/>
        </w:numPr>
        <w:autoSpaceDE w:val="0"/>
        <w:autoSpaceDN w:val="0"/>
        <w:adjustRightInd w:val="0"/>
        <w:spacing w:after="140" w:line="240" w:lineRule="auto"/>
        <w:jc w:val="both"/>
        <w:rPr>
          <w:rFonts w:cs="Tahoma"/>
          <w:color w:val="000000"/>
          <w:szCs w:val="18"/>
          <w:lang w:val="en-US"/>
        </w:rPr>
      </w:pPr>
      <w:r w:rsidRPr="00315199">
        <w:rPr>
          <w:rFonts w:cs="Tahoma"/>
          <w:color w:val="000000"/>
          <w:szCs w:val="18"/>
          <w:lang w:val="en-US"/>
        </w:rPr>
        <w:lastRenderedPageBreak/>
        <w:t>İhracatçıların uluslararası alanda karşılaştığı sorunlara ve ticarette karşılaşılan teknik engellerin bertaraf edilmesine yönelik etkin çözümler üretilecektir.</w:t>
      </w:r>
    </w:p>
    <w:p w:rsidR="00565FD5" w:rsidRPr="00315199" w:rsidRDefault="00565FD5" w:rsidP="00EB1E69">
      <w:pPr>
        <w:numPr>
          <w:ilvl w:val="0"/>
          <w:numId w:val="5"/>
        </w:numPr>
        <w:autoSpaceDE w:val="0"/>
        <w:autoSpaceDN w:val="0"/>
        <w:adjustRightInd w:val="0"/>
        <w:spacing w:after="140" w:line="240" w:lineRule="auto"/>
        <w:jc w:val="both"/>
        <w:rPr>
          <w:rFonts w:cs="Tahoma"/>
          <w:color w:val="000000"/>
          <w:szCs w:val="18"/>
          <w:lang w:val="en-US"/>
        </w:rPr>
      </w:pPr>
      <w:r w:rsidRPr="00315199">
        <w:rPr>
          <w:rFonts w:cs="Tahoma"/>
          <w:color w:val="000000"/>
          <w:szCs w:val="18"/>
          <w:lang w:val="en-US"/>
        </w:rPr>
        <w:t>İhracatçı firmaların pazara girişlerini kolaylaştıracak teknik mevzuat uyum çalışmalarına yönelik destekler sürdürülecektir.</w:t>
      </w:r>
    </w:p>
    <w:p w:rsidR="00565FD5" w:rsidRPr="00315199" w:rsidRDefault="00565FD5" w:rsidP="00EB1E69">
      <w:pPr>
        <w:numPr>
          <w:ilvl w:val="0"/>
          <w:numId w:val="5"/>
        </w:numPr>
        <w:autoSpaceDE w:val="0"/>
        <w:autoSpaceDN w:val="0"/>
        <w:adjustRightInd w:val="0"/>
        <w:spacing w:after="140" w:line="240" w:lineRule="auto"/>
        <w:jc w:val="both"/>
        <w:rPr>
          <w:rFonts w:cs="Tahoma"/>
          <w:color w:val="000000"/>
          <w:szCs w:val="18"/>
          <w:lang w:val="en-US"/>
        </w:rPr>
      </w:pPr>
      <w:r w:rsidRPr="00315199">
        <w:rPr>
          <w:rFonts w:cs="Tahoma"/>
          <w:color w:val="000000"/>
          <w:szCs w:val="18"/>
          <w:lang w:val="en-US"/>
        </w:rPr>
        <w:t>Serbest Ticaret Anlaşması imzalanan ülke sayısını artırmaya yönelik çalışmalara devam edilecektir.</w:t>
      </w:r>
    </w:p>
    <w:p w:rsidR="00565FD5" w:rsidRPr="00315199" w:rsidRDefault="00565FD5" w:rsidP="00EB1E69">
      <w:pPr>
        <w:numPr>
          <w:ilvl w:val="0"/>
          <w:numId w:val="5"/>
        </w:numPr>
        <w:autoSpaceDE w:val="0"/>
        <w:autoSpaceDN w:val="0"/>
        <w:adjustRightInd w:val="0"/>
        <w:spacing w:after="140" w:line="240" w:lineRule="auto"/>
        <w:jc w:val="both"/>
        <w:rPr>
          <w:rFonts w:cs="Tahoma"/>
          <w:color w:val="000000"/>
          <w:szCs w:val="18"/>
          <w:lang w:val="en-US"/>
        </w:rPr>
      </w:pPr>
      <w:r w:rsidRPr="00315199">
        <w:rPr>
          <w:rFonts w:cs="Tahoma"/>
          <w:color w:val="000000"/>
          <w:szCs w:val="18"/>
          <w:lang w:val="en-US"/>
        </w:rPr>
        <w:t xml:space="preserve">İhracata yönelik kredi ve garanti destek imkânlarının iyileştirilmesine devam edilecektir. Ayrıca, ihracatçılara yönelik finansman programlarının farkındalığı artırılacak ve yeni finansman araçları oluşturulmasına yönelik çalışmalar yapılacaktır. </w:t>
      </w:r>
    </w:p>
    <w:p w:rsidR="00565FD5" w:rsidRPr="00315199" w:rsidRDefault="00565FD5" w:rsidP="00565FD5">
      <w:pPr>
        <w:pStyle w:val="Balk3"/>
      </w:pPr>
      <w:bookmarkStart w:id="152" w:name="_Toc338494203"/>
      <w:bookmarkStart w:id="153" w:name="_Toc338505504"/>
      <w:bookmarkStart w:id="154" w:name="_Toc338505719"/>
      <w:bookmarkStart w:id="155" w:name="_Toc338505756"/>
      <w:bookmarkStart w:id="156" w:name="_Toc338523721"/>
      <w:bookmarkStart w:id="157" w:name="_Toc338523962"/>
      <w:bookmarkStart w:id="158" w:name="_Toc338526188"/>
      <w:bookmarkStart w:id="159" w:name="_Toc338673631"/>
      <w:bookmarkStart w:id="160" w:name="_Toc338711510"/>
      <w:bookmarkEnd w:id="149"/>
      <w:bookmarkEnd w:id="150"/>
      <w:bookmarkEnd w:id="151"/>
      <w:r>
        <w:t>Ç</w:t>
      </w:r>
      <w:r w:rsidRPr="00315199">
        <w:t>. PARA POLİTİKASI VE FİYAT İSTİKRARI</w:t>
      </w:r>
      <w:bookmarkEnd w:id="152"/>
      <w:bookmarkEnd w:id="153"/>
      <w:bookmarkEnd w:id="154"/>
      <w:bookmarkEnd w:id="155"/>
      <w:bookmarkEnd w:id="156"/>
      <w:bookmarkEnd w:id="157"/>
      <w:bookmarkEnd w:id="158"/>
      <w:bookmarkEnd w:id="159"/>
      <w:bookmarkEnd w:id="160"/>
    </w:p>
    <w:p w:rsidR="00565FD5" w:rsidRPr="00315199" w:rsidRDefault="00565FD5" w:rsidP="00EB1E69">
      <w:pPr>
        <w:numPr>
          <w:ilvl w:val="0"/>
          <w:numId w:val="4"/>
        </w:numPr>
        <w:spacing w:after="60" w:line="240" w:lineRule="auto"/>
        <w:ind w:left="805" w:hanging="181"/>
        <w:jc w:val="both"/>
        <w:rPr>
          <w:rFonts w:cs="Tahoma"/>
          <w:szCs w:val="18"/>
        </w:rPr>
      </w:pPr>
      <w:r w:rsidRPr="00315199">
        <w:rPr>
          <w:rFonts w:cs="Tahoma"/>
          <w:szCs w:val="18"/>
        </w:rPr>
        <w:t>2013 yılında para politikasının temel amacı, fiyat istikrarını sağlamak ve sürdürmektir. Destekleyici bir amaç olarak finansal istikrar da gözetilmeye devam edilecektir.</w:t>
      </w:r>
    </w:p>
    <w:p w:rsidR="00565FD5" w:rsidRPr="00315199" w:rsidRDefault="00565FD5" w:rsidP="00EB1E69">
      <w:pPr>
        <w:numPr>
          <w:ilvl w:val="0"/>
          <w:numId w:val="4"/>
        </w:numPr>
        <w:autoSpaceDE w:val="0"/>
        <w:autoSpaceDN w:val="0"/>
        <w:adjustRightInd w:val="0"/>
        <w:spacing w:after="120" w:line="240" w:lineRule="auto"/>
        <w:jc w:val="both"/>
        <w:rPr>
          <w:rFonts w:cs="Tahoma"/>
          <w:szCs w:val="18"/>
        </w:rPr>
      </w:pPr>
      <w:r w:rsidRPr="00315199">
        <w:rPr>
          <w:rFonts w:cs="Tahoma"/>
          <w:szCs w:val="18"/>
        </w:rPr>
        <w:t>Para politikası, enflasyon hedeflemesi çerçevesinde yürütülecektir.</w:t>
      </w:r>
    </w:p>
    <w:p w:rsidR="00565FD5" w:rsidRPr="00315199" w:rsidRDefault="00565FD5" w:rsidP="00EB1E69">
      <w:pPr>
        <w:numPr>
          <w:ilvl w:val="0"/>
          <w:numId w:val="4"/>
        </w:numPr>
        <w:autoSpaceDE w:val="0"/>
        <w:autoSpaceDN w:val="0"/>
        <w:adjustRightInd w:val="0"/>
        <w:spacing w:after="120" w:line="240" w:lineRule="auto"/>
        <w:jc w:val="both"/>
        <w:rPr>
          <w:rFonts w:cs="Tahoma"/>
          <w:szCs w:val="18"/>
        </w:rPr>
      </w:pPr>
      <w:r w:rsidRPr="00315199">
        <w:rPr>
          <w:rFonts w:cs="Tahoma"/>
          <w:szCs w:val="18"/>
        </w:rPr>
        <w:t>Temel para politikası aracı olarak kısa vadeli faiz oranları kullanılmasının yanı sıra, zorunlu karşılık oranları ve faiz koridoru gibi birbirini tamamlayıcı nitelikteki araçlar ile Türk Lirası ve döviz cinsi likidite uygulamaları birlikte kullanılmaya devam edilecektir.</w:t>
      </w:r>
    </w:p>
    <w:p w:rsidR="00565FD5" w:rsidRPr="00315199" w:rsidRDefault="00565FD5" w:rsidP="00EB1E69">
      <w:pPr>
        <w:numPr>
          <w:ilvl w:val="0"/>
          <w:numId w:val="4"/>
        </w:numPr>
        <w:autoSpaceDE w:val="0"/>
        <w:autoSpaceDN w:val="0"/>
        <w:adjustRightInd w:val="0"/>
        <w:spacing w:after="120" w:line="240" w:lineRule="auto"/>
        <w:jc w:val="both"/>
        <w:rPr>
          <w:rFonts w:cs="Tahoma"/>
          <w:szCs w:val="18"/>
        </w:rPr>
      </w:pPr>
      <w:r w:rsidRPr="00315199">
        <w:rPr>
          <w:rFonts w:cs="Tahoma"/>
          <w:szCs w:val="18"/>
        </w:rPr>
        <w:t>Enflasyon hedefleri, Hükümet ve Merkez Bankası tarafından üç yıllık vadede belirlenecektir.</w:t>
      </w:r>
    </w:p>
    <w:p w:rsidR="00565FD5" w:rsidRPr="00315199" w:rsidRDefault="00565FD5" w:rsidP="00EB1E69">
      <w:pPr>
        <w:numPr>
          <w:ilvl w:val="0"/>
          <w:numId w:val="4"/>
        </w:numPr>
        <w:autoSpaceDE w:val="0"/>
        <w:autoSpaceDN w:val="0"/>
        <w:adjustRightInd w:val="0"/>
        <w:spacing w:after="120" w:line="240" w:lineRule="auto"/>
        <w:jc w:val="both"/>
        <w:rPr>
          <w:rFonts w:cs="Tahoma"/>
          <w:szCs w:val="18"/>
        </w:rPr>
      </w:pPr>
      <w:r w:rsidRPr="00315199">
        <w:rPr>
          <w:rFonts w:cs="Tahoma"/>
          <w:szCs w:val="18"/>
        </w:rPr>
        <w:t>Para politikasının hesap verebilirliğini ve şeffaflığını temin etmek amacıyla, enflasyonun yıl sonu hedefinden belirgin olarak sapması ya da sapma olasılığının ortaya çıkması halinde, Merkez Bankası hedeften sapmanın nedenlerini ve enflasyonun tekrar hedefe yakınsaması için alınması gereken önlemleri Hükümete yazılı olarak bildirecek ve kamuoyuna duyuracaktır.</w:t>
      </w:r>
    </w:p>
    <w:p w:rsidR="00565FD5" w:rsidRPr="00315199" w:rsidRDefault="00565FD5" w:rsidP="00EB1E69">
      <w:pPr>
        <w:numPr>
          <w:ilvl w:val="0"/>
          <w:numId w:val="4"/>
        </w:numPr>
        <w:autoSpaceDE w:val="0"/>
        <w:autoSpaceDN w:val="0"/>
        <w:adjustRightInd w:val="0"/>
        <w:spacing w:after="120" w:line="240" w:lineRule="auto"/>
        <w:jc w:val="both"/>
        <w:rPr>
          <w:rFonts w:cs="Tahoma"/>
          <w:szCs w:val="18"/>
        </w:rPr>
      </w:pPr>
      <w:r w:rsidRPr="00315199">
        <w:rPr>
          <w:rFonts w:cs="Tahoma"/>
          <w:szCs w:val="18"/>
        </w:rPr>
        <w:t>Esnek ve etkin likidite yönetimine imkân veren para politikasının operasyonel çerçevesi önümüzdeki dönemde de sürdürülecektir.</w:t>
      </w:r>
    </w:p>
    <w:p w:rsidR="00565FD5" w:rsidRPr="00315199" w:rsidRDefault="00565FD5" w:rsidP="00EB1E69">
      <w:pPr>
        <w:numPr>
          <w:ilvl w:val="0"/>
          <w:numId w:val="4"/>
        </w:numPr>
        <w:autoSpaceDE w:val="0"/>
        <w:autoSpaceDN w:val="0"/>
        <w:adjustRightInd w:val="0"/>
        <w:spacing w:after="120" w:line="240" w:lineRule="auto"/>
        <w:jc w:val="both"/>
        <w:rPr>
          <w:rFonts w:cs="Tahoma"/>
          <w:szCs w:val="18"/>
        </w:rPr>
      </w:pPr>
      <w:r w:rsidRPr="00315199">
        <w:rPr>
          <w:rFonts w:cs="Tahoma"/>
          <w:szCs w:val="18"/>
        </w:rPr>
        <w:t>Dalgalı döviz kuru rejimi uygulamasına bu dönemde de devam edilecektir.</w:t>
      </w:r>
    </w:p>
    <w:p w:rsidR="00565FD5" w:rsidRPr="00315199" w:rsidRDefault="00565FD5" w:rsidP="00EB1E69">
      <w:pPr>
        <w:numPr>
          <w:ilvl w:val="0"/>
          <w:numId w:val="4"/>
        </w:numPr>
        <w:autoSpaceDE w:val="0"/>
        <w:autoSpaceDN w:val="0"/>
        <w:adjustRightInd w:val="0"/>
        <w:spacing w:after="120" w:line="240" w:lineRule="auto"/>
        <w:jc w:val="both"/>
        <w:rPr>
          <w:rFonts w:cs="Tahoma"/>
          <w:szCs w:val="18"/>
        </w:rPr>
      </w:pPr>
      <w:r w:rsidRPr="00315199">
        <w:rPr>
          <w:rFonts w:cs="Tahoma"/>
          <w:szCs w:val="18"/>
        </w:rPr>
        <w:t xml:space="preserve">Piyasa derinliğinin kaybolmasına bağlı olarak kurlarda sağlıksız fiyat oluşumlarının gözlenmesi veya aşırı oynaklık durumunda döviz </w:t>
      </w:r>
      <w:r w:rsidRPr="00315199">
        <w:rPr>
          <w:rFonts w:cs="Tahoma"/>
          <w:szCs w:val="18"/>
        </w:rPr>
        <w:lastRenderedPageBreak/>
        <w:t>alım/satım ihaleleri yapılabileceği gibi spekülatif davranışlar gözlenmesi durumunda piyasaya doğrudan müdahale edilebilecektir.</w:t>
      </w:r>
    </w:p>
    <w:p w:rsidR="00565FD5" w:rsidRPr="00315199" w:rsidRDefault="00565FD5" w:rsidP="00EB1E69">
      <w:pPr>
        <w:numPr>
          <w:ilvl w:val="0"/>
          <w:numId w:val="4"/>
        </w:numPr>
        <w:autoSpaceDE w:val="0"/>
        <w:autoSpaceDN w:val="0"/>
        <w:adjustRightInd w:val="0"/>
        <w:spacing w:before="120" w:after="120" w:line="240" w:lineRule="auto"/>
        <w:jc w:val="both"/>
        <w:rPr>
          <w:rFonts w:cs="Tahoma"/>
          <w:szCs w:val="18"/>
        </w:rPr>
      </w:pPr>
      <w:r w:rsidRPr="00315199">
        <w:rPr>
          <w:rFonts w:cs="Tahoma"/>
          <w:szCs w:val="18"/>
        </w:rPr>
        <w:t>Piyasa koşullarının uygun olduğu dönemlerde, rezerv biriktirme amaçlı döviz alım ihaleleri önceden ilan edilen program dâhilinde yapılmaya devam edilebilecektir.</w:t>
      </w:r>
    </w:p>
    <w:p w:rsidR="00565FD5" w:rsidRPr="00315199" w:rsidRDefault="00565FD5" w:rsidP="00EB1E69">
      <w:pPr>
        <w:numPr>
          <w:ilvl w:val="0"/>
          <w:numId w:val="4"/>
        </w:numPr>
        <w:autoSpaceDE w:val="0"/>
        <w:autoSpaceDN w:val="0"/>
        <w:adjustRightInd w:val="0"/>
        <w:spacing w:before="120" w:after="120" w:line="240" w:lineRule="auto"/>
        <w:jc w:val="both"/>
        <w:rPr>
          <w:rFonts w:cs="Tahoma"/>
          <w:szCs w:val="18"/>
        </w:rPr>
      </w:pPr>
      <w:r w:rsidRPr="00315199">
        <w:rPr>
          <w:rFonts w:cs="Tahoma"/>
          <w:szCs w:val="18"/>
        </w:rPr>
        <w:t>Rezerv Opsiyon Mekanizması sermaye akımlarındaki oynaklıklara karşı otomatik dengeleyici olarak kullanılmaya devam ed</w:t>
      </w:r>
      <w:r>
        <w:rPr>
          <w:rFonts w:cs="Tahoma"/>
          <w:szCs w:val="18"/>
        </w:rPr>
        <w:t>il</w:t>
      </w:r>
      <w:r w:rsidRPr="00315199">
        <w:rPr>
          <w:rFonts w:cs="Tahoma"/>
          <w:szCs w:val="18"/>
        </w:rPr>
        <w:t xml:space="preserve">ecektir. </w:t>
      </w:r>
    </w:p>
    <w:p w:rsidR="00565FD5" w:rsidRPr="00315199" w:rsidRDefault="00565FD5" w:rsidP="00565FD5">
      <w:pPr>
        <w:autoSpaceDE w:val="0"/>
        <w:autoSpaceDN w:val="0"/>
        <w:adjustRightInd w:val="0"/>
        <w:spacing w:after="60"/>
        <w:ind w:left="805"/>
        <w:rPr>
          <w:szCs w:val="18"/>
        </w:rPr>
        <w:sectPr w:rsidR="00565FD5" w:rsidRPr="00315199" w:rsidSect="00B50093">
          <w:headerReference w:type="even" r:id="rId7"/>
          <w:headerReference w:type="default" r:id="rId8"/>
          <w:footerReference w:type="default" r:id="rId9"/>
          <w:pgSz w:w="11906" w:h="16838" w:code="9"/>
          <w:pgMar w:top="2948" w:right="2381" w:bottom="2948" w:left="2381" w:header="2268" w:footer="2552" w:gutter="0"/>
          <w:paperSrc w:first="15" w:other="15"/>
          <w:pgNumType w:start="1"/>
          <w:cols w:space="708"/>
          <w:noEndnote/>
        </w:sectPr>
      </w:pPr>
      <w:r w:rsidRPr="00315199">
        <w:rPr>
          <w:rFonts w:cs="Tahoma"/>
          <w:szCs w:val="18"/>
        </w:rPr>
        <w:tab/>
      </w:r>
    </w:p>
    <w:p w:rsidR="00565FD5" w:rsidRPr="00127363" w:rsidRDefault="00565FD5" w:rsidP="00565FD5">
      <w:pPr>
        <w:pStyle w:val="ResimYazs"/>
      </w:pPr>
      <w:bookmarkStart w:id="161" w:name="_Toc307601577"/>
      <w:bookmarkStart w:id="162" w:name="_Toc307657832"/>
      <w:bookmarkStart w:id="163" w:name="_Toc307702075"/>
      <w:bookmarkStart w:id="164" w:name="_Toc338711727"/>
      <w:r>
        <w:lastRenderedPageBreak/>
        <w:t xml:space="preserve">TABLO I: </w:t>
      </w:r>
      <w:fldSimple w:instr=" SEQ TABLO_I: \* ARABIC ">
        <w:r>
          <w:rPr>
            <w:noProof/>
          </w:rPr>
          <w:t>1</w:t>
        </w:r>
      </w:fldSimple>
      <w:r w:rsidRPr="00127363">
        <w:t>- Temel Ekonomik Büyüklükler</w:t>
      </w:r>
      <w:bookmarkEnd w:id="161"/>
      <w:bookmarkEnd w:id="162"/>
      <w:bookmarkEnd w:id="163"/>
      <w:bookmarkEnd w:id="164"/>
    </w:p>
    <w:tbl>
      <w:tblPr>
        <w:tblW w:w="4891" w:type="pct"/>
        <w:tblInd w:w="108" w:type="dxa"/>
        <w:tblBorders>
          <w:top w:val="single" w:sz="6" w:space="0" w:color="auto"/>
          <w:left w:val="single" w:sz="6" w:space="0" w:color="auto"/>
          <w:bottom w:val="single" w:sz="6" w:space="0" w:color="auto"/>
          <w:right w:val="single" w:sz="6" w:space="0" w:color="auto"/>
        </w:tblBorders>
        <w:tblLook w:val="00A0"/>
      </w:tblPr>
      <w:tblGrid>
        <w:gridCol w:w="4057"/>
        <w:gridCol w:w="1000"/>
        <w:gridCol w:w="1000"/>
        <w:gridCol w:w="1000"/>
        <w:gridCol w:w="1000"/>
        <w:gridCol w:w="1000"/>
        <w:gridCol w:w="1000"/>
        <w:gridCol w:w="858"/>
      </w:tblGrid>
      <w:tr w:rsidR="00565FD5" w:rsidRPr="00315199" w:rsidTr="00AB62A3">
        <w:trPr>
          <w:trHeight w:val="20"/>
        </w:trPr>
        <w:tc>
          <w:tcPr>
            <w:tcW w:w="1859" w:type="pct"/>
            <w:tcBorders>
              <w:top w:val="single" w:sz="4" w:space="0" w:color="auto"/>
              <w:left w:val="single" w:sz="4" w:space="0" w:color="auto"/>
              <w:bottom w:val="single" w:sz="4" w:space="0" w:color="auto"/>
              <w:right w:val="nil"/>
            </w:tcBorders>
            <w:vAlign w:val="center"/>
          </w:tcPr>
          <w:p w:rsidR="00565FD5" w:rsidRPr="00315199" w:rsidRDefault="00565FD5" w:rsidP="00AB62A3">
            <w:pPr>
              <w:widowControl w:val="0"/>
              <w:tabs>
                <w:tab w:val="left" w:pos="7173"/>
              </w:tabs>
              <w:rPr>
                <w:rFonts w:cs="Tahoma"/>
                <w:b/>
                <w:color w:val="000000"/>
                <w:sz w:val="13"/>
                <w:szCs w:val="13"/>
              </w:rPr>
            </w:pPr>
          </w:p>
        </w:tc>
        <w:tc>
          <w:tcPr>
            <w:tcW w:w="458" w:type="pct"/>
            <w:tcBorders>
              <w:top w:val="single" w:sz="4" w:space="0" w:color="auto"/>
              <w:left w:val="nil"/>
              <w:bottom w:val="single" w:sz="4" w:space="0" w:color="auto"/>
              <w:right w:val="nil"/>
            </w:tcBorders>
            <w:vAlign w:val="center"/>
          </w:tcPr>
          <w:p w:rsidR="00565FD5" w:rsidRPr="00315199" w:rsidRDefault="00565FD5" w:rsidP="00AB62A3">
            <w:pPr>
              <w:widowControl w:val="0"/>
              <w:ind w:left="-108"/>
              <w:jc w:val="right"/>
              <w:rPr>
                <w:rFonts w:cs="Tahoma"/>
                <w:b/>
                <w:color w:val="000000"/>
                <w:sz w:val="13"/>
                <w:szCs w:val="13"/>
              </w:rPr>
            </w:pPr>
            <w:r w:rsidRPr="00315199">
              <w:rPr>
                <w:rFonts w:cs="Tahoma"/>
                <w:b/>
                <w:color w:val="000000"/>
                <w:sz w:val="13"/>
                <w:szCs w:val="13"/>
              </w:rPr>
              <w:t>2007</w:t>
            </w:r>
          </w:p>
        </w:tc>
        <w:tc>
          <w:tcPr>
            <w:tcW w:w="458" w:type="pct"/>
            <w:tcBorders>
              <w:top w:val="single" w:sz="4" w:space="0" w:color="auto"/>
              <w:left w:val="nil"/>
              <w:bottom w:val="single" w:sz="4" w:space="0" w:color="auto"/>
              <w:right w:val="nil"/>
            </w:tcBorders>
            <w:vAlign w:val="center"/>
          </w:tcPr>
          <w:p w:rsidR="00565FD5" w:rsidRPr="00315199" w:rsidRDefault="00565FD5" w:rsidP="00AB62A3">
            <w:pPr>
              <w:widowControl w:val="0"/>
              <w:ind w:left="-108"/>
              <w:jc w:val="right"/>
              <w:rPr>
                <w:rFonts w:cs="Tahoma"/>
                <w:b/>
                <w:color w:val="000000"/>
                <w:sz w:val="13"/>
                <w:szCs w:val="13"/>
              </w:rPr>
            </w:pPr>
            <w:r w:rsidRPr="00315199">
              <w:rPr>
                <w:rFonts w:cs="Tahoma"/>
                <w:b/>
                <w:color w:val="000000"/>
                <w:sz w:val="13"/>
                <w:szCs w:val="13"/>
              </w:rPr>
              <w:t xml:space="preserve">2008 </w:t>
            </w:r>
          </w:p>
        </w:tc>
        <w:tc>
          <w:tcPr>
            <w:tcW w:w="458" w:type="pct"/>
            <w:tcBorders>
              <w:top w:val="single" w:sz="4" w:space="0" w:color="auto"/>
              <w:left w:val="nil"/>
              <w:bottom w:val="single" w:sz="4" w:space="0" w:color="auto"/>
              <w:right w:val="nil"/>
            </w:tcBorders>
            <w:vAlign w:val="center"/>
          </w:tcPr>
          <w:p w:rsidR="00565FD5" w:rsidRPr="00315199" w:rsidRDefault="00565FD5" w:rsidP="00AB62A3">
            <w:pPr>
              <w:widowControl w:val="0"/>
              <w:ind w:left="-108"/>
              <w:jc w:val="right"/>
              <w:rPr>
                <w:rFonts w:cs="Tahoma"/>
                <w:b/>
                <w:color w:val="000000"/>
                <w:sz w:val="13"/>
                <w:szCs w:val="13"/>
              </w:rPr>
            </w:pPr>
            <w:r w:rsidRPr="00315199">
              <w:rPr>
                <w:rFonts w:cs="Tahoma"/>
                <w:b/>
                <w:color w:val="000000"/>
                <w:sz w:val="13"/>
                <w:szCs w:val="13"/>
              </w:rPr>
              <w:t xml:space="preserve">2009 </w:t>
            </w:r>
          </w:p>
        </w:tc>
        <w:tc>
          <w:tcPr>
            <w:tcW w:w="458" w:type="pct"/>
            <w:tcBorders>
              <w:top w:val="single" w:sz="4" w:space="0" w:color="auto"/>
              <w:left w:val="nil"/>
              <w:bottom w:val="single" w:sz="4" w:space="0" w:color="auto"/>
              <w:right w:val="nil"/>
            </w:tcBorders>
            <w:vAlign w:val="center"/>
          </w:tcPr>
          <w:p w:rsidR="00565FD5" w:rsidRPr="00315199" w:rsidRDefault="00565FD5" w:rsidP="00AB62A3">
            <w:pPr>
              <w:widowControl w:val="0"/>
              <w:ind w:left="-108"/>
              <w:jc w:val="right"/>
              <w:rPr>
                <w:rFonts w:cs="Tahoma"/>
                <w:b/>
                <w:color w:val="000000"/>
                <w:sz w:val="13"/>
                <w:szCs w:val="13"/>
              </w:rPr>
            </w:pPr>
            <w:r w:rsidRPr="00315199">
              <w:rPr>
                <w:rFonts w:cs="Tahoma"/>
                <w:b/>
                <w:color w:val="000000"/>
                <w:sz w:val="13"/>
                <w:szCs w:val="13"/>
              </w:rPr>
              <w:t>2010</w:t>
            </w:r>
          </w:p>
        </w:tc>
        <w:tc>
          <w:tcPr>
            <w:tcW w:w="458" w:type="pct"/>
            <w:tcBorders>
              <w:top w:val="single" w:sz="4" w:space="0" w:color="auto"/>
              <w:left w:val="nil"/>
              <w:bottom w:val="single" w:sz="4" w:space="0" w:color="auto"/>
              <w:right w:val="nil"/>
            </w:tcBorders>
            <w:vAlign w:val="center"/>
          </w:tcPr>
          <w:p w:rsidR="00565FD5" w:rsidRPr="00315199" w:rsidRDefault="00565FD5" w:rsidP="00AB62A3">
            <w:pPr>
              <w:widowControl w:val="0"/>
              <w:ind w:left="-108"/>
              <w:jc w:val="right"/>
              <w:rPr>
                <w:rFonts w:cs="Tahoma"/>
                <w:b/>
                <w:color w:val="000000"/>
                <w:sz w:val="13"/>
                <w:szCs w:val="13"/>
              </w:rPr>
            </w:pPr>
            <w:r w:rsidRPr="00315199">
              <w:rPr>
                <w:rFonts w:cs="Tahoma"/>
                <w:b/>
                <w:color w:val="000000"/>
                <w:sz w:val="13"/>
                <w:szCs w:val="13"/>
              </w:rPr>
              <w:t>2011</w:t>
            </w:r>
          </w:p>
        </w:tc>
        <w:tc>
          <w:tcPr>
            <w:tcW w:w="458" w:type="pct"/>
            <w:tcBorders>
              <w:top w:val="single" w:sz="4" w:space="0" w:color="auto"/>
              <w:left w:val="nil"/>
              <w:bottom w:val="single" w:sz="4" w:space="0" w:color="auto"/>
              <w:right w:val="nil"/>
            </w:tcBorders>
            <w:vAlign w:val="center"/>
          </w:tcPr>
          <w:p w:rsidR="00565FD5" w:rsidRPr="00315199" w:rsidRDefault="00565FD5" w:rsidP="00AB62A3">
            <w:pPr>
              <w:widowControl w:val="0"/>
              <w:ind w:left="-108"/>
              <w:jc w:val="right"/>
              <w:rPr>
                <w:rFonts w:cs="Tahoma"/>
                <w:b/>
                <w:color w:val="000000"/>
                <w:sz w:val="13"/>
                <w:szCs w:val="13"/>
              </w:rPr>
            </w:pPr>
            <w:r w:rsidRPr="00315199">
              <w:rPr>
                <w:rFonts w:cs="Tahoma"/>
                <w:b/>
                <w:color w:val="000000"/>
                <w:sz w:val="13"/>
                <w:szCs w:val="13"/>
              </w:rPr>
              <w:t xml:space="preserve">2012 </w:t>
            </w:r>
            <w:r w:rsidRPr="00315199">
              <w:rPr>
                <w:rFonts w:cs="Tahoma"/>
                <w:color w:val="000000"/>
                <w:sz w:val="13"/>
                <w:szCs w:val="13"/>
                <w:vertAlign w:val="superscript"/>
              </w:rPr>
              <w:t>(1)</w:t>
            </w:r>
          </w:p>
        </w:tc>
        <w:tc>
          <w:tcPr>
            <w:tcW w:w="393" w:type="pct"/>
            <w:tcBorders>
              <w:top w:val="single" w:sz="4" w:space="0" w:color="auto"/>
              <w:left w:val="nil"/>
              <w:bottom w:val="single" w:sz="4" w:space="0" w:color="auto"/>
              <w:right w:val="single" w:sz="4" w:space="0" w:color="auto"/>
            </w:tcBorders>
            <w:vAlign w:val="center"/>
          </w:tcPr>
          <w:p w:rsidR="00565FD5" w:rsidRPr="00315199" w:rsidRDefault="00565FD5" w:rsidP="00AB62A3">
            <w:pPr>
              <w:widowControl w:val="0"/>
              <w:ind w:left="-108"/>
              <w:jc w:val="right"/>
              <w:rPr>
                <w:rFonts w:cs="Tahoma"/>
                <w:b/>
                <w:color w:val="000000"/>
                <w:sz w:val="13"/>
                <w:szCs w:val="13"/>
              </w:rPr>
            </w:pPr>
            <w:r w:rsidRPr="00315199">
              <w:rPr>
                <w:rFonts w:cs="Tahoma"/>
                <w:b/>
                <w:color w:val="000000"/>
                <w:sz w:val="13"/>
                <w:szCs w:val="13"/>
              </w:rPr>
              <w:t xml:space="preserve">2013 </w:t>
            </w:r>
            <w:r w:rsidRPr="00315199">
              <w:rPr>
                <w:rFonts w:cs="Tahoma"/>
                <w:color w:val="000000"/>
                <w:sz w:val="13"/>
                <w:szCs w:val="13"/>
                <w:vertAlign w:val="superscript"/>
              </w:rPr>
              <w:t>(2)</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rPr>
                <w:rFonts w:cs="Tahoma"/>
                <w:b/>
                <w:color w:val="000000"/>
                <w:sz w:val="13"/>
                <w:szCs w:val="13"/>
              </w:rPr>
            </w:pPr>
            <w:r w:rsidRPr="00315199">
              <w:rPr>
                <w:rFonts w:cs="Tahoma"/>
                <w:b/>
                <w:color w:val="000000"/>
                <w:sz w:val="13"/>
                <w:szCs w:val="13"/>
              </w:rPr>
              <w:t>BÜYÜME VE İSTİHDAM (Yüzde Değişme)</w:t>
            </w:r>
          </w:p>
        </w:tc>
        <w:tc>
          <w:tcPr>
            <w:tcW w:w="458" w:type="pct"/>
            <w:tcBorders>
              <w:top w:val="nil"/>
              <w:left w:val="nil"/>
              <w:bottom w:val="nil"/>
              <w:right w:val="nil"/>
            </w:tcBorders>
            <w:vAlign w:val="center"/>
          </w:tcPr>
          <w:p w:rsidR="00565FD5" w:rsidRPr="00315199" w:rsidRDefault="00565FD5" w:rsidP="00AB62A3">
            <w:pPr>
              <w:jc w:val="right"/>
              <w:rPr>
                <w:rFonts w:eastAsia="Arial Unicode MS" w:cs="Tahoma"/>
                <w:bCs/>
                <w:color w:val="000000"/>
                <w:sz w:val="13"/>
                <w:szCs w:val="13"/>
              </w:rPr>
            </w:pP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color w:val="000000"/>
                <w:sz w:val="13"/>
                <w:szCs w:val="13"/>
              </w:rPr>
            </w:pP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color w:val="000000"/>
                <w:sz w:val="13"/>
                <w:szCs w:val="13"/>
              </w:rPr>
            </w:pP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color w:val="000000"/>
                <w:sz w:val="13"/>
                <w:szCs w:val="13"/>
              </w:rPr>
            </w:pP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color w:val="000000"/>
                <w:sz w:val="13"/>
                <w:szCs w:val="13"/>
              </w:rPr>
            </w:pP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color w:val="000000"/>
                <w:sz w:val="13"/>
                <w:szCs w:val="13"/>
              </w:rPr>
            </w:pPr>
          </w:p>
        </w:tc>
        <w:tc>
          <w:tcPr>
            <w:tcW w:w="393" w:type="pct"/>
            <w:tcBorders>
              <w:top w:val="nil"/>
              <w:left w:val="nil"/>
              <w:bottom w:val="nil"/>
              <w:right w:val="single" w:sz="4" w:space="0" w:color="auto"/>
            </w:tcBorders>
            <w:vAlign w:val="center"/>
          </w:tcPr>
          <w:p w:rsidR="00565FD5" w:rsidRPr="00315199" w:rsidRDefault="00565FD5" w:rsidP="00AB62A3">
            <w:pPr>
              <w:widowControl w:val="0"/>
              <w:ind w:left="-108"/>
              <w:jc w:val="right"/>
              <w:rPr>
                <w:rFonts w:cs="Tahoma"/>
                <w:bCs/>
                <w:color w:val="000000"/>
                <w:sz w:val="13"/>
                <w:szCs w:val="13"/>
              </w:rPr>
            </w:pP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rPr>
                <w:rFonts w:cs="Tahoma"/>
                <w:sz w:val="13"/>
                <w:szCs w:val="13"/>
              </w:rPr>
            </w:pPr>
            <w:r w:rsidRPr="00315199">
              <w:rPr>
                <w:rFonts w:cs="Tahoma"/>
                <w:sz w:val="13"/>
                <w:szCs w:val="13"/>
              </w:rPr>
              <w:t xml:space="preserve">    Toplam Tüketim </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5,3</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-0,3</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-0,4</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5,7</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7,5</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1,0</w:t>
            </w:r>
          </w:p>
        </w:tc>
        <w:tc>
          <w:tcPr>
            <w:tcW w:w="393" w:type="pct"/>
            <w:tcBorders>
              <w:top w:val="nil"/>
              <w:left w:val="nil"/>
              <w:bottom w:val="nil"/>
              <w:right w:val="single" w:sz="4" w:space="0" w:color="auto"/>
            </w:tcBorders>
            <w:vAlign w:val="center"/>
          </w:tcPr>
          <w:p w:rsidR="00565FD5" w:rsidRPr="00315199" w:rsidRDefault="00565FD5" w:rsidP="00AB62A3">
            <w:pPr>
              <w:jc w:val="right"/>
              <w:rPr>
                <w:rFonts w:eastAsia="Arial Unicode MS" w:cs="Tahoma"/>
                <w:bCs/>
                <w:sz w:val="13"/>
                <w:szCs w:val="13"/>
              </w:rPr>
            </w:pPr>
            <w:r w:rsidRPr="00315199">
              <w:rPr>
                <w:rFonts w:eastAsia="Arial Unicode MS" w:cs="Tahoma"/>
                <w:bCs/>
                <w:sz w:val="13"/>
                <w:szCs w:val="13"/>
              </w:rPr>
              <w:t>3,1</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80"/>
              <w:rPr>
                <w:rFonts w:cs="Tahoma"/>
                <w:sz w:val="13"/>
                <w:szCs w:val="13"/>
              </w:rPr>
            </w:pPr>
            <w:r w:rsidRPr="00315199">
              <w:rPr>
                <w:rFonts w:cs="Tahoma"/>
                <w:sz w:val="13"/>
                <w:szCs w:val="13"/>
              </w:rPr>
              <w:t xml:space="preserve">   Kamu</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5,4</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3,3</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3,8</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1,6</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5,6</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3,9</w:t>
            </w:r>
          </w:p>
        </w:tc>
        <w:tc>
          <w:tcPr>
            <w:tcW w:w="393" w:type="pct"/>
            <w:tcBorders>
              <w:top w:val="nil"/>
              <w:left w:val="nil"/>
              <w:bottom w:val="nil"/>
              <w:right w:val="single" w:sz="4" w:space="0" w:color="auto"/>
            </w:tcBorders>
            <w:vAlign w:val="center"/>
          </w:tcPr>
          <w:p w:rsidR="00565FD5" w:rsidRPr="00315199" w:rsidRDefault="00565FD5" w:rsidP="00AB62A3">
            <w:pPr>
              <w:jc w:val="right"/>
              <w:rPr>
                <w:rFonts w:eastAsia="Arial Unicode MS" w:cs="Tahoma"/>
                <w:bCs/>
                <w:sz w:val="13"/>
                <w:szCs w:val="13"/>
              </w:rPr>
            </w:pPr>
            <w:r w:rsidRPr="00315199">
              <w:rPr>
                <w:rFonts w:eastAsia="Arial Unicode MS" w:cs="Tahoma"/>
                <w:bCs/>
                <w:sz w:val="13"/>
                <w:szCs w:val="13"/>
              </w:rPr>
              <w:t>3,6</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80"/>
              <w:rPr>
                <w:rFonts w:cs="Tahoma"/>
                <w:sz w:val="13"/>
                <w:szCs w:val="13"/>
              </w:rPr>
            </w:pPr>
            <w:r w:rsidRPr="00315199">
              <w:rPr>
                <w:rFonts w:cs="Tahoma"/>
                <w:sz w:val="13"/>
                <w:szCs w:val="13"/>
              </w:rPr>
              <w:t xml:space="preserve">   Özel</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5,3</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-0,7</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-0,9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6,2</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7,8</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0,6</w:t>
            </w:r>
          </w:p>
        </w:tc>
        <w:tc>
          <w:tcPr>
            <w:tcW w:w="393" w:type="pct"/>
            <w:tcBorders>
              <w:top w:val="nil"/>
              <w:left w:val="nil"/>
              <w:bottom w:val="nil"/>
              <w:right w:val="single" w:sz="4" w:space="0" w:color="auto"/>
            </w:tcBorders>
            <w:vAlign w:val="center"/>
          </w:tcPr>
          <w:p w:rsidR="00565FD5" w:rsidRPr="00315199" w:rsidRDefault="00565FD5" w:rsidP="00AB62A3">
            <w:pPr>
              <w:jc w:val="right"/>
              <w:rPr>
                <w:rFonts w:eastAsia="Arial Unicode MS" w:cs="Tahoma"/>
                <w:bCs/>
                <w:sz w:val="13"/>
                <w:szCs w:val="13"/>
              </w:rPr>
            </w:pPr>
            <w:r w:rsidRPr="00315199">
              <w:rPr>
                <w:rFonts w:eastAsia="Arial Unicode MS" w:cs="Tahoma"/>
                <w:bCs/>
                <w:sz w:val="13"/>
                <w:szCs w:val="13"/>
              </w:rPr>
              <w:t>3,1</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80"/>
              <w:rPr>
                <w:rFonts w:cs="Tahoma"/>
                <w:sz w:val="13"/>
                <w:szCs w:val="13"/>
              </w:rPr>
            </w:pPr>
            <w:r w:rsidRPr="00315199">
              <w:rPr>
                <w:rFonts w:cs="Tahoma"/>
                <w:sz w:val="13"/>
                <w:szCs w:val="13"/>
              </w:rPr>
              <w:t xml:space="preserve">Toplam Sabit Sermaye Yatırımı </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4,1</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-5,2</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-20,1</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31,1</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17,4</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-0,5</w:t>
            </w:r>
          </w:p>
        </w:tc>
        <w:tc>
          <w:tcPr>
            <w:tcW w:w="393" w:type="pct"/>
            <w:tcBorders>
              <w:top w:val="nil"/>
              <w:left w:val="nil"/>
              <w:bottom w:val="nil"/>
              <w:right w:val="single" w:sz="4" w:space="0" w:color="auto"/>
            </w:tcBorders>
            <w:vAlign w:val="center"/>
          </w:tcPr>
          <w:p w:rsidR="00565FD5" w:rsidRPr="00315199" w:rsidRDefault="00565FD5" w:rsidP="00AB62A3">
            <w:pPr>
              <w:jc w:val="right"/>
              <w:rPr>
                <w:rFonts w:eastAsia="Arial Unicode MS" w:cs="Tahoma"/>
                <w:bCs/>
                <w:sz w:val="13"/>
                <w:szCs w:val="13"/>
              </w:rPr>
            </w:pPr>
            <w:r w:rsidRPr="00315199">
              <w:rPr>
                <w:rFonts w:eastAsia="Arial Unicode MS" w:cs="Tahoma"/>
                <w:bCs/>
                <w:sz w:val="13"/>
                <w:szCs w:val="13"/>
              </w:rPr>
              <w:t>6,8</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80"/>
              <w:rPr>
                <w:rFonts w:cs="Tahoma"/>
                <w:sz w:val="13"/>
                <w:szCs w:val="13"/>
              </w:rPr>
            </w:pPr>
            <w:r w:rsidRPr="00315199">
              <w:rPr>
                <w:rFonts w:cs="Tahoma"/>
                <w:sz w:val="13"/>
                <w:szCs w:val="13"/>
              </w:rPr>
              <w:t xml:space="preserve">   Kamu </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12,6</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5,8</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-1,2</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19,1</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-3,0</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5,4</w:t>
            </w:r>
          </w:p>
        </w:tc>
        <w:tc>
          <w:tcPr>
            <w:tcW w:w="393" w:type="pct"/>
            <w:tcBorders>
              <w:top w:val="nil"/>
              <w:left w:val="nil"/>
              <w:bottom w:val="nil"/>
              <w:right w:val="single" w:sz="4" w:space="0" w:color="auto"/>
            </w:tcBorders>
            <w:vAlign w:val="center"/>
          </w:tcPr>
          <w:p w:rsidR="00565FD5" w:rsidRPr="00315199" w:rsidRDefault="00565FD5" w:rsidP="00AB62A3">
            <w:pPr>
              <w:jc w:val="right"/>
              <w:rPr>
                <w:rFonts w:eastAsia="Arial Unicode MS" w:cs="Tahoma"/>
                <w:bCs/>
                <w:sz w:val="13"/>
                <w:szCs w:val="13"/>
              </w:rPr>
            </w:pPr>
            <w:r w:rsidRPr="00315199">
              <w:rPr>
                <w:rFonts w:eastAsia="Arial Unicode MS" w:cs="Tahoma"/>
                <w:bCs/>
                <w:sz w:val="13"/>
                <w:szCs w:val="13"/>
              </w:rPr>
              <w:t>5,4</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80"/>
              <w:rPr>
                <w:rFonts w:cs="Tahoma"/>
                <w:sz w:val="13"/>
                <w:szCs w:val="13"/>
              </w:rPr>
            </w:pPr>
            <w:r w:rsidRPr="00315199">
              <w:rPr>
                <w:rFonts w:cs="Tahoma"/>
                <w:sz w:val="13"/>
                <w:szCs w:val="13"/>
              </w:rPr>
              <w:t xml:space="preserve">   Özel</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2,6</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-7,3</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-24,3</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34,5</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22,6</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-1,7</w:t>
            </w:r>
          </w:p>
        </w:tc>
        <w:tc>
          <w:tcPr>
            <w:tcW w:w="393" w:type="pct"/>
            <w:tcBorders>
              <w:top w:val="nil"/>
              <w:left w:val="nil"/>
              <w:bottom w:val="nil"/>
              <w:right w:val="single" w:sz="4" w:space="0" w:color="auto"/>
            </w:tcBorders>
            <w:vAlign w:val="center"/>
          </w:tcPr>
          <w:p w:rsidR="00565FD5" w:rsidRPr="00315199" w:rsidRDefault="00565FD5" w:rsidP="00AB62A3">
            <w:pPr>
              <w:jc w:val="right"/>
              <w:rPr>
                <w:rFonts w:eastAsia="Arial Unicode MS" w:cs="Tahoma"/>
                <w:bCs/>
                <w:sz w:val="13"/>
                <w:szCs w:val="13"/>
              </w:rPr>
            </w:pPr>
            <w:r w:rsidRPr="00315199">
              <w:rPr>
                <w:rFonts w:eastAsia="Arial Unicode MS" w:cs="Tahoma"/>
                <w:bCs/>
                <w:sz w:val="13"/>
                <w:szCs w:val="13"/>
              </w:rPr>
              <w:t>7,1</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76"/>
              <w:rPr>
                <w:rFonts w:cs="Tahoma"/>
                <w:sz w:val="13"/>
                <w:szCs w:val="13"/>
              </w:rPr>
            </w:pPr>
            <w:r w:rsidRPr="00315199">
              <w:rPr>
                <w:rFonts w:cs="Tahoma"/>
                <w:sz w:val="13"/>
                <w:szCs w:val="13"/>
              </w:rPr>
              <w:t xml:space="preserve">Stok Değişimi </w:t>
            </w:r>
            <w:r w:rsidRPr="00315199">
              <w:rPr>
                <w:rFonts w:cs="Tahoma"/>
                <w:sz w:val="13"/>
                <w:szCs w:val="13"/>
                <w:vertAlign w:val="superscript"/>
              </w:rPr>
              <w:t>(3)</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0,6</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0,3</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-2,3</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2,5</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-0,3</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-0,8</w:t>
            </w:r>
          </w:p>
        </w:tc>
        <w:tc>
          <w:tcPr>
            <w:tcW w:w="393" w:type="pct"/>
            <w:tcBorders>
              <w:top w:val="nil"/>
              <w:left w:val="nil"/>
              <w:bottom w:val="nil"/>
              <w:right w:val="single" w:sz="4" w:space="0" w:color="auto"/>
            </w:tcBorders>
            <w:vAlign w:val="center"/>
          </w:tcPr>
          <w:p w:rsidR="00565FD5" w:rsidRPr="00315199" w:rsidRDefault="00565FD5" w:rsidP="00AB62A3">
            <w:pPr>
              <w:jc w:val="right"/>
              <w:rPr>
                <w:rFonts w:eastAsia="Arial Unicode MS" w:cs="Tahoma"/>
                <w:bCs/>
                <w:sz w:val="13"/>
                <w:szCs w:val="13"/>
              </w:rPr>
            </w:pPr>
            <w:r w:rsidRPr="00315199">
              <w:rPr>
                <w:rFonts w:eastAsia="Arial Unicode MS" w:cs="Tahoma"/>
                <w:bCs/>
                <w:sz w:val="13"/>
                <w:szCs w:val="13"/>
              </w:rPr>
              <w:t>-0,1</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76"/>
              <w:rPr>
                <w:rFonts w:cs="Tahoma"/>
                <w:sz w:val="13"/>
                <w:szCs w:val="13"/>
              </w:rPr>
            </w:pPr>
            <w:r w:rsidRPr="00315199">
              <w:rPr>
                <w:rFonts w:cs="Tahoma"/>
                <w:sz w:val="13"/>
                <w:szCs w:val="13"/>
              </w:rPr>
              <w:t>Toplam Mal ve Hizmet İhracatı</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7,3</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2,7</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-5,0</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3,4</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6,4</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14,1</w:t>
            </w:r>
          </w:p>
        </w:tc>
        <w:tc>
          <w:tcPr>
            <w:tcW w:w="393" w:type="pct"/>
            <w:tcBorders>
              <w:top w:val="nil"/>
              <w:left w:val="nil"/>
              <w:bottom w:val="nil"/>
              <w:right w:val="single" w:sz="4" w:space="0" w:color="auto"/>
            </w:tcBorders>
            <w:vAlign w:val="center"/>
          </w:tcPr>
          <w:p w:rsidR="00565FD5" w:rsidRPr="00315199" w:rsidRDefault="00565FD5" w:rsidP="00AB62A3">
            <w:pPr>
              <w:jc w:val="right"/>
              <w:rPr>
                <w:rFonts w:eastAsia="Arial Unicode MS" w:cs="Tahoma"/>
                <w:bCs/>
                <w:sz w:val="13"/>
                <w:szCs w:val="13"/>
              </w:rPr>
            </w:pPr>
            <w:r w:rsidRPr="00315199">
              <w:rPr>
                <w:rFonts w:eastAsia="Arial Unicode MS" w:cs="Tahoma"/>
                <w:bCs/>
                <w:sz w:val="13"/>
                <w:szCs w:val="13"/>
              </w:rPr>
              <w:t>4,2</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76"/>
              <w:rPr>
                <w:rFonts w:cs="Tahoma"/>
                <w:sz w:val="13"/>
                <w:szCs w:val="13"/>
              </w:rPr>
            </w:pPr>
            <w:r w:rsidRPr="00315199">
              <w:rPr>
                <w:rFonts w:cs="Tahoma"/>
                <w:sz w:val="13"/>
                <w:szCs w:val="13"/>
              </w:rPr>
              <w:t>Toplam Mal ve Hizmet İthalatı</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10,7</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-4,1</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-14,3</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20,7</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10,9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0,0</w:t>
            </w:r>
          </w:p>
        </w:tc>
        <w:tc>
          <w:tcPr>
            <w:tcW w:w="393" w:type="pct"/>
            <w:tcBorders>
              <w:top w:val="nil"/>
              <w:left w:val="nil"/>
              <w:bottom w:val="nil"/>
              <w:right w:val="single" w:sz="4" w:space="0" w:color="auto"/>
            </w:tcBorders>
            <w:vAlign w:val="center"/>
          </w:tcPr>
          <w:p w:rsidR="00565FD5" w:rsidRPr="00315199" w:rsidRDefault="00565FD5" w:rsidP="00AB62A3">
            <w:pPr>
              <w:jc w:val="right"/>
              <w:rPr>
                <w:rFonts w:eastAsia="Arial Unicode MS" w:cs="Tahoma"/>
                <w:bCs/>
                <w:sz w:val="13"/>
                <w:szCs w:val="13"/>
              </w:rPr>
            </w:pPr>
            <w:r w:rsidRPr="00315199">
              <w:rPr>
                <w:rFonts w:eastAsia="Arial Unicode MS" w:cs="Tahoma"/>
                <w:bCs/>
                <w:sz w:val="13"/>
                <w:szCs w:val="13"/>
              </w:rPr>
              <w:t>4,0</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76"/>
              <w:rPr>
                <w:rFonts w:cs="Tahoma"/>
                <w:sz w:val="13"/>
                <w:szCs w:val="13"/>
              </w:rPr>
            </w:pPr>
            <w:r w:rsidRPr="00315199">
              <w:rPr>
                <w:rFonts w:cs="Tahoma"/>
                <w:sz w:val="13"/>
                <w:szCs w:val="13"/>
              </w:rPr>
              <w:t xml:space="preserve">GSYH </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4,7</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0,7</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-4,8</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9,2</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8,5</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3,2</w:t>
            </w:r>
          </w:p>
        </w:tc>
        <w:tc>
          <w:tcPr>
            <w:tcW w:w="393" w:type="pct"/>
            <w:tcBorders>
              <w:top w:val="nil"/>
              <w:left w:val="nil"/>
              <w:bottom w:val="nil"/>
              <w:right w:val="single" w:sz="4" w:space="0" w:color="auto"/>
            </w:tcBorders>
            <w:vAlign w:val="center"/>
          </w:tcPr>
          <w:p w:rsidR="00565FD5" w:rsidRPr="00315199" w:rsidRDefault="00565FD5" w:rsidP="00AB62A3">
            <w:pPr>
              <w:jc w:val="right"/>
              <w:rPr>
                <w:rFonts w:eastAsia="Arial Unicode MS" w:cs="Tahoma"/>
                <w:bCs/>
                <w:sz w:val="13"/>
                <w:szCs w:val="13"/>
              </w:rPr>
            </w:pPr>
            <w:r w:rsidRPr="00315199">
              <w:rPr>
                <w:rFonts w:eastAsia="Arial Unicode MS" w:cs="Tahoma"/>
                <w:bCs/>
                <w:sz w:val="13"/>
                <w:szCs w:val="13"/>
              </w:rPr>
              <w:t>4,0</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76"/>
              <w:rPr>
                <w:rFonts w:cs="Tahoma"/>
                <w:sz w:val="13"/>
                <w:szCs w:val="13"/>
              </w:rPr>
            </w:pPr>
            <w:r w:rsidRPr="00315199">
              <w:rPr>
                <w:rFonts w:cs="Tahoma"/>
                <w:sz w:val="13"/>
                <w:szCs w:val="13"/>
              </w:rPr>
              <w:t>GSYH (Milyon TL, Cari Fiyatlarla)</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843 178</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950 534</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952 559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1 098 799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1 298 062</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1 434 712</w:t>
            </w:r>
          </w:p>
        </w:tc>
        <w:tc>
          <w:tcPr>
            <w:tcW w:w="393" w:type="pct"/>
            <w:tcBorders>
              <w:top w:val="nil"/>
              <w:left w:val="nil"/>
              <w:bottom w:val="nil"/>
              <w:right w:val="single" w:sz="4" w:space="0" w:color="auto"/>
            </w:tcBorders>
            <w:vAlign w:val="center"/>
          </w:tcPr>
          <w:p w:rsidR="00565FD5" w:rsidRPr="00315199" w:rsidRDefault="00565FD5" w:rsidP="00AB62A3">
            <w:pPr>
              <w:jc w:val="right"/>
              <w:rPr>
                <w:rFonts w:eastAsia="Arial Unicode MS" w:cs="Tahoma"/>
                <w:sz w:val="13"/>
                <w:szCs w:val="13"/>
              </w:rPr>
            </w:pPr>
            <w:r w:rsidRPr="00315199">
              <w:rPr>
                <w:rFonts w:eastAsia="Arial Unicode MS" w:cs="Tahoma"/>
                <w:sz w:val="13"/>
                <w:szCs w:val="13"/>
              </w:rPr>
              <w:t>1 571 181</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76"/>
              <w:rPr>
                <w:rFonts w:cs="Tahoma"/>
                <w:sz w:val="13"/>
                <w:szCs w:val="13"/>
              </w:rPr>
            </w:pPr>
            <w:r w:rsidRPr="00315199">
              <w:rPr>
                <w:rFonts w:cs="Tahoma"/>
                <w:sz w:val="13"/>
                <w:szCs w:val="13"/>
              </w:rPr>
              <w:t>GSYH (Milyar ABD Doları, Cari Fiyatlarla)</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648,8</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742,1</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616,7</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731,6</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774,2</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799,3</w:t>
            </w:r>
          </w:p>
        </w:tc>
        <w:tc>
          <w:tcPr>
            <w:tcW w:w="393" w:type="pct"/>
            <w:tcBorders>
              <w:top w:val="nil"/>
              <w:left w:val="nil"/>
              <w:bottom w:val="nil"/>
              <w:right w:val="single" w:sz="4" w:space="0" w:color="auto"/>
            </w:tcBorders>
            <w:vAlign w:val="center"/>
          </w:tcPr>
          <w:p w:rsidR="00565FD5" w:rsidRPr="00315199" w:rsidRDefault="00565FD5" w:rsidP="00AB62A3">
            <w:pPr>
              <w:jc w:val="right"/>
              <w:rPr>
                <w:rFonts w:eastAsia="Arial Unicode MS" w:cs="Tahoma"/>
                <w:sz w:val="13"/>
                <w:szCs w:val="13"/>
              </w:rPr>
            </w:pPr>
            <w:r w:rsidRPr="00315199">
              <w:rPr>
                <w:rFonts w:eastAsia="Arial Unicode MS" w:cs="Tahoma"/>
                <w:sz w:val="13"/>
                <w:szCs w:val="13"/>
              </w:rPr>
              <w:t>858,0</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76"/>
              <w:rPr>
                <w:rFonts w:cs="Tahoma"/>
                <w:sz w:val="13"/>
                <w:szCs w:val="13"/>
              </w:rPr>
            </w:pPr>
            <w:r w:rsidRPr="00315199">
              <w:rPr>
                <w:rFonts w:cs="Tahoma"/>
                <w:sz w:val="13"/>
                <w:szCs w:val="13"/>
              </w:rPr>
              <w:t>Kişi Başı Milli Gelir (GSYH, ABD Doları)</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9 240</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10 438</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8 559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10 022</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10 469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10 673</w:t>
            </w:r>
          </w:p>
        </w:tc>
        <w:tc>
          <w:tcPr>
            <w:tcW w:w="393" w:type="pct"/>
            <w:tcBorders>
              <w:top w:val="nil"/>
              <w:left w:val="nil"/>
              <w:bottom w:val="nil"/>
              <w:right w:val="single" w:sz="4" w:space="0" w:color="auto"/>
            </w:tcBorders>
            <w:vAlign w:val="center"/>
          </w:tcPr>
          <w:p w:rsidR="00565FD5" w:rsidRPr="00315199" w:rsidRDefault="00565FD5" w:rsidP="00AB62A3">
            <w:pPr>
              <w:jc w:val="right"/>
              <w:rPr>
                <w:rFonts w:cs="Tahoma"/>
                <w:sz w:val="13"/>
                <w:szCs w:val="13"/>
              </w:rPr>
            </w:pPr>
            <w:r w:rsidRPr="00315199">
              <w:rPr>
                <w:rFonts w:cs="Tahoma"/>
                <w:sz w:val="13"/>
                <w:szCs w:val="13"/>
              </w:rPr>
              <w:t>11 318</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76"/>
              <w:rPr>
                <w:rFonts w:cs="Tahoma"/>
                <w:sz w:val="13"/>
                <w:szCs w:val="13"/>
              </w:rPr>
            </w:pPr>
            <w:r w:rsidRPr="00315199">
              <w:rPr>
                <w:rFonts w:cs="Tahoma"/>
                <w:sz w:val="13"/>
                <w:szCs w:val="13"/>
              </w:rPr>
              <w:lastRenderedPageBreak/>
              <w:t>Kişi Başı Milli Gelir (SAGP, GSYH, ABD Doları)</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13 903</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15 021</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14 413</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15 571</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17 468</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 xml:space="preserve">18 </w:t>
            </w:r>
            <w:r>
              <w:rPr>
                <w:rFonts w:cs="Tahoma"/>
                <w:bCs/>
                <w:sz w:val="13"/>
                <w:szCs w:val="13"/>
              </w:rPr>
              <w:t>092</w:t>
            </w:r>
          </w:p>
        </w:tc>
        <w:tc>
          <w:tcPr>
            <w:tcW w:w="393" w:type="pct"/>
            <w:tcBorders>
              <w:top w:val="nil"/>
              <w:left w:val="nil"/>
              <w:bottom w:val="nil"/>
              <w:right w:val="single" w:sz="4" w:space="0" w:color="auto"/>
            </w:tcBorders>
            <w:vAlign w:val="center"/>
          </w:tcPr>
          <w:p w:rsidR="00565FD5" w:rsidRPr="00315199" w:rsidRDefault="00565FD5" w:rsidP="00AB62A3">
            <w:pPr>
              <w:jc w:val="right"/>
              <w:rPr>
                <w:rFonts w:cs="Tahoma"/>
                <w:sz w:val="13"/>
                <w:szCs w:val="13"/>
              </w:rPr>
            </w:pPr>
            <w:r w:rsidRPr="00315199">
              <w:rPr>
                <w:rFonts w:cs="Tahoma"/>
                <w:sz w:val="13"/>
                <w:szCs w:val="13"/>
              </w:rPr>
              <w:t>1</w:t>
            </w:r>
            <w:r>
              <w:rPr>
                <w:rFonts w:cs="Tahoma"/>
                <w:sz w:val="13"/>
                <w:szCs w:val="13"/>
              </w:rPr>
              <w:t>8</w:t>
            </w:r>
            <w:r w:rsidRPr="00315199">
              <w:rPr>
                <w:rFonts w:cs="Tahoma"/>
                <w:sz w:val="13"/>
                <w:szCs w:val="13"/>
              </w:rPr>
              <w:t xml:space="preserve"> </w:t>
            </w:r>
            <w:r>
              <w:rPr>
                <w:rFonts w:cs="Tahoma"/>
                <w:sz w:val="13"/>
                <w:szCs w:val="13"/>
              </w:rPr>
              <w:t>834</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76"/>
              <w:rPr>
                <w:rFonts w:cs="Tahoma"/>
                <w:bCs/>
                <w:sz w:val="13"/>
                <w:szCs w:val="13"/>
              </w:rPr>
            </w:pPr>
            <w:r w:rsidRPr="00315199">
              <w:rPr>
                <w:rFonts w:cs="Tahoma"/>
                <w:bCs/>
                <w:sz w:val="13"/>
                <w:szCs w:val="13"/>
              </w:rPr>
              <w:t>Nüfus (Yıl Ortası, Bin Kişi)</w:t>
            </w:r>
            <w:r w:rsidRPr="00315199">
              <w:rPr>
                <w:rFonts w:cs="Tahoma"/>
                <w:sz w:val="13"/>
                <w:szCs w:val="13"/>
                <w:vertAlign w:val="superscript"/>
              </w:rPr>
              <w:t xml:space="preserve"> </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70 215</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71 095</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72 050</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73 003</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73 950</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74 885</w:t>
            </w:r>
          </w:p>
        </w:tc>
        <w:tc>
          <w:tcPr>
            <w:tcW w:w="393" w:type="pct"/>
            <w:tcBorders>
              <w:top w:val="nil"/>
              <w:left w:val="nil"/>
              <w:bottom w:val="nil"/>
              <w:right w:val="single" w:sz="4" w:space="0" w:color="auto"/>
            </w:tcBorders>
            <w:vAlign w:val="center"/>
          </w:tcPr>
          <w:p w:rsidR="00565FD5" w:rsidRPr="00315199" w:rsidRDefault="00565FD5" w:rsidP="00AB62A3">
            <w:pPr>
              <w:jc w:val="right"/>
              <w:rPr>
                <w:rFonts w:cs="Tahoma"/>
                <w:sz w:val="13"/>
                <w:szCs w:val="13"/>
              </w:rPr>
            </w:pPr>
            <w:r w:rsidRPr="00315199">
              <w:rPr>
                <w:rFonts w:cs="Tahoma"/>
                <w:sz w:val="13"/>
                <w:szCs w:val="13"/>
              </w:rPr>
              <w:t>75 811</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76"/>
              <w:rPr>
                <w:rFonts w:cs="Tahoma"/>
                <w:bCs/>
                <w:sz w:val="13"/>
                <w:szCs w:val="13"/>
              </w:rPr>
            </w:pPr>
            <w:r w:rsidRPr="00315199">
              <w:rPr>
                <w:rFonts w:cs="Tahoma"/>
                <w:bCs/>
                <w:sz w:val="13"/>
                <w:szCs w:val="13"/>
              </w:rPr>
              <w:t>İşgücüne Katılma Oranı (Yüzde)</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46,2</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46,9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47,9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48,8</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49,9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49,6</w:t>
            </w:r>
          </w:p>
        </w:tc>
        <w:tc>
          <w:tcPr>
            <w:tcW w:w="393" w:type="pct"/>
            <w:tcBorders>
              <w:top w:val="nil"/>
              <w:left w:val="nil"/>
              <w:bottom w:val="nil"/>
              <w:right w:val="single" w:sz="4" w:space="0" w:color="auto"/>
            </w:tcBorders>
            <w:vAlign w:val="center"/>
          </w:tcPr>
          <w:p w:rsidR="00565FD5" w:rsidRPr="00315199" w:rsidRDefault="00565FD5" w:rsidP="00AB62A3">
            <w:pPr>
              <w:jc w:val="right"/>
              <w:rPr>
                <w:rFonts w:cs="Tahoma"/>
                <w:sz w:val="13"/>
                <w:szCs w:val="13"/>
              </w:rPr>
            </w:pPr>
            <w:r w:rsidRPr="00315199">
              <w:rPr>
                <w:rFonts w:cs="Tahoma"/>
                <w:sz w:val="13"/>
                <w:szCs w:val="13"/>
              </w:rPr>
              <w:t>49,6</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76"/>
              <w:rPr>
                <w:rFonts w:cs="Tahoma"/>
                <w:bCs/>
                <w:sz w:val="13"/>
                <w:szCs w:val="13"/>
              </w:rPr>
            </w:pPr>
            <w:r w:rsidRPr="00315199">
              <w:rPr>
                <w:rFonts w:cs="Tahoma"/>
                <w:bCs/>
                <w:sz w:val="13"/>
                <w:szCs w:val="13"/>
              </w:rPr>
              <w:t>İstihdam Düzeyi (Bin Kişi)</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20 738</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21 194</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21 277</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22 594</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24 110</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24 728</w:t>
            </w:r>
          </w:p>
        </w:tc>
        <w:tc>
          <w:tcPr>
            <w:tcW w:w="393" w:type="pct"/>
            <w:tcBorders>
              <w:top w:val="nil"/>
              <w:left w:val="nil"/>
              <w:bottom w:val="nil"/>
              <w:right w:val="single" w:sz="4" w:space="0" w:color="auto"/>
            </w:tcBorders>
            <w:vAlign w:val="center"/>
          </w:tcPr>
          <w:p w:rsidR="00565FD5" w:rsidRPr="00315199" w:rsidRDefault="00565FD5" w:rsidP="00AB62A3">
            <w:pPr>
              <w:jc w:val="right"/>
              <w:rPr>
                <w:rFonts w:cs="Tahoma"/>
                <w:sz w:val="13"/>
                <w:szCs w:val="13"/>
              </w:rPr>
            </w:pPr>
            <w:r w:rsidRPr="00315199">
              <w:rPr>
                <w:rFonts w:cs="Tahoma"/>
                <w:sz w:val="13"/>
                <w:szCs w:val="13"/>
              </w:rPr>
              <w:t>25 223</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76"/>
              <w:rPr>
                <w:rFonts w:cs="Tahoma"/>
                <w:bCs/>
                <w:sz w:val="13"/>
                <w:szCs w:val="13"/>
              </w:rPr>
            </w:pPr>
            <w:r w:rsidRPr="00315199">
              <w:rPr>
                <w:rFonts w:cs="Tahoma"/>
                <w:bCs/>
                <w:sz w:val="13"/>
                <w:szCs w:val="13"/>
              </w:rPr>
              <w:t>İşsizlik Oranı (Yüzde)</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10,3</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11,0</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14,0</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11,9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9,8</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9,0</w:t>
            </w:r>
          </w:p>
        </w:tc>
        <w:tc>
          <w:tcPr>
            <w:tcW w:w="393" w:type="pct"/>
            <w:tcBorders>
              <w:top w:val="nil"/>
              <w:left w:val="nil"/>
              <w:bottom w:val="nil"/>
              <w:right w:val="single" w:sz="4" w:space="0" w:color="auto"/>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8,9</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85"/>
              <w:rPr>
                <w:rFonts w:cs="Tahoma"/>
                <w:b/>
                <w:color w:val="000000"/>
                <w:sz w:val="13"/>
                <w:szCs w:val="13"/>
              </w:rPr>
            </w:pPr>
            <w:r w:rsidRPr="00315199">
              <w:rPr>
                <w:rFonts w:cs="Tahoma"/>
                <w:b/>
                <w:color w:val="000000"/>
                <w:sz w:val="13"/>
                <w:szCs w:val="13"/>
              </w:rPr>
              <w:t>DIŞ TİCARET (Milyar ABD Doları)</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color w:val="000000"/>
                <w:sz w:val="13"/>
                <w:szCs w:val="13"/>
              </w:rPr>
            </w:pPr>
          </w:p>
        </w:tc>
        <w:tc>
          <w:tcPr>
            <w:tcW w:w="393" w:type="pct"/>
            <w:tcBorders>
              <w:top w:val="nil"/>
              <w:left w:val="nil"/>
              <w:bottom w:val="nil"/>
              <w:right w:val="single" w:sz="4" w:space="0" w:color="auto"/>
            </w:tcBorders>
            <w:vAlign w:val="center"/>
          </w:tcPr>
          <w:p w:rsidR="00565FD5" w:rsidRPr="00315199" w:rsidRDefault="00565FD5" w:rsidP="00AB62A3">
            <w:pPr>
              <w:jc w:val="right"/>
              <w:rPr>
                <w:rFonts w:eastAsia="Arial Unicode MS" w:cs="Tahoma"/>
                <w:color w:val="000000"/>
                <w:sz w:val="13"/>
                <w:szCs w:val="13"/>
              </w:rPr>
            </w:pP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80"/>
              <w:rPr>
                <w:rFonts w:cs="Tahoma"/>
                <w:color w:val="000000"/>
                <w:sz w:val="13"/>
                <w:szCs w:val="13"/>
              </w:rPr>
            </w:pPr>
            <w:r w:rsidRPr="00315199">
              <w:rPr>
                <w:rFonts w:cs="Tahoma"/>
                <w:color w:val="000000"/>
                <w:sz w:val="13"/>
                <w:szCs w:val="13"/>
              </w:rPr>
              <w:t xml:space="preserve">İhracat (FOB) </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107,3</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132,0</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102,1</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113,9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134,9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149,5</w:t>
            </w:r>
          </w:p>
        </w:tc>
        <w:tc>
          <w:tcPr>
            <w:tcW w:w="393" w:type="pct"/>
            <w:tcBorders>
              <w:top w:val="nil"/>
              <w:left w:val="nil"/>
              <w:bottom w:val="nil"/>
              <w:right w:val="single" w:sz="4" w:space="0" w:color="auto"/>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158,0</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80"/>
              <w:rPr>
                <w:rFonts w:cs="Tahoma"/>
                <w:color w:val="000000"/>
                <w:sz w:val="13"/>
                <w:szCs w:val="13"/>
              </w:rPr>
            </w:pPr>
            <w:r w:rsidRPr="00315199">
              <w:rPr>
                <w:rFonts w:cs="Tahoma"/>
                <w:color w:val="000000"/>
                <w:sz w:val="13"/>
                <w:szCs w:val="13"/>
              </w:rPr>
              <w:t xml:space="preserve">İthalat (CIF) </w:t>
            </w:r>
            <w:r w:rsidRPr="00315199">
              <w:rPr>
                <w:rFonts w:cs="Tahoma"/>
                <w:color w:val="000000"/>
                <w:sz w:val="13"/>
                <w:szCs w:val="13"/>
                <w:vertAlign w:val="superscript"/>
              </w:rPr>
              <w:t>(4)</w:t>
            </w:r>
            <w:r w:rsidRPr="00315199">
              <w:rPr>
                <w:rFonts w:cs="Tahoma"/>
                <w:color w:val="000000"/>
                <w:sz w:val="13"/>
                <w:szCs w:val="13"/>
              </w:rPr>
              <w:t xml:space="preserve"> </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170,1</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202,0</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140,9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185,5</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240</w:t>
            </w:r>
            <w:r>
              <w:rPr>
                <w:rFonts w:cs="Tahoma"/>
                <w:sz w:val="13"/>
                <w:szCs w:val="13"/>
              </w:rPr>
              <w:t>,</w:t>
            </w:r>
            <w:r w:rsidRPr="00315199">
              <w:rPr>
                <w:rFonts w:cs="Tahoma"/>
                <w:sz w:val="13"/>
                <w:szCs w:val="13"/>
              </w:rPr>
              <w:t>8</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239,5</w:t>
            </w:r>
          </w:p>
        </w:tc>
        <w:tc>
          <w:tcPr>
            <w:tcW w:w="393" w:type="pct"/>
            <w:tcBorders>
              <w:top w:val="nil"/>
              <w:left w:val="nil"/>
              <w:bottom w:val="nil"/>
              <w:right w:val="single" w:sz="4" w:space="0" w:color="auto"/>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253,0</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80"/>
              <w:rPr>
                <w:rFonts w:cs="Tahoma"/>
                <w:color w:val="000000"/>
                <w:sz w:val="13"/>
                <w:szCs w:val="13"/>
              </w:rPr>
            </w:pPr>
            <w:r w:rsidRPr="00315199">
              <w:rPr>
                <w:rFonts w:cs="Tahoma"/>
                <w:color w:val="000000"/>
                <w:sz w:val="13"/>
                <w:szCs w:val="13"/>
              </w:rPr>
              <w:t xml:space="preserve">Dış Ticaret Dengesi </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-62,8</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-69,9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-38,8</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-71,</w:t>
            </w:r>
            <w:r>
              <w:rPr>
                <w:rFonts w:cs="Tahoma"/>
                <w:sz w:val="13"/>
                <w:szCs w:val="13"/>
              </w:rPr>
              <w:t>7</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-105,9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-90,0</w:t>
            </w:r>
          </w:p>
        </w:tc>
        <w:tc>
          <w:tcPr>
            <w:tcW w:w="393" w:type="pct"/>
            <w:tcBorders>
              <w:top w:val="nil"/>
              <w:left w:val="nil"/>
              <w:bottom w:val="nil"/>
              <w:right w:val="single" w:sz="4" w:space="0" w:color="auto"/>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-95,0</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80"/>
              <w:rPr>
                <w:rFonts w:cs="Tahoma"/>
                <w:b/>
                <w:color w:val="000000"/>
                <w:sz w:val="13"/>
                <w:szCs w:val="13"/>
              </w:rPr>
            </w:pPr>
            <w:r w:rsidRPr="00315199">
              <w:rPr>
                <w:rFonts w:cs="Tahoma"/>
                <w:color w:val="000000"/>
                <w:sz w:val="13"/>
                <w:szCs w:val="13"/>
              </w:rPr>
              <w:t>Cari İşlemler Dengesi / GSYH (</w:t>
            </w:r>
            <w:r w:rsidRPr="00315199">
              <w:rPr>
                <w:rFonts w:cs="Tahoma"/>
                <w:bCs/>
                <w:color w:val="000000"/>
                <w:sz w:val="13"/>
                <w:szCs w:val="13"/>
              </w:rPr>
              <w:t>Yüzde</w:t>
            </w:r>
            <w:r w:rsidRPr="00315199">
              <w:rPr>
                <w:rFonts w:cs="Tahoma"/>
                <w:color w:val="000000"/>
                <w:sz w:val="13"/>
                <w:szCs w:val="13"/>
              </w:rPr>
              <w:t>)</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-5,9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-5,6</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-2,2</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-6,4</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-10,0</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-7,3</w:t>
            </w:r>
          </w:p>
        </w:tc>
        <w:tc>
          <w:tcPr>
            <w:tcW w:w="393" w:type="pct"/>
            <w:tcBorders>
              <w:top w:val="nil"/>
              <w:left w:val="nil"/>
              <w:bottom w:val="nil"/>
              <w:right w:val="single" w:sz="4" w:space="0" w:color="auto"/>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-7,1</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80"/>
              <w:rPr>
                <w:rFonts w:cs="Tahoma"/>
                <w:color w:val="000000"/>
                <w:sz w:val="13"/>
                <w:szCs w:val="13"/>
              </w:rPr>
            </w:pPr>
            <w:r w:rsidRPr="00315199">
              <w:rPr>
                <w:rFonts w:cs="Tahoma"/>
                <w:color w:val="000000"/>
                <w:sz w:val="13"/>
                <w:szCs w:val="13"/>
              </w:rPr>
              <w:t>Dış Ticaret Hacmi / GSYH (Yüzde)</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42,</w:t>
            </w:r>
            <w:r>
              <w:rPr>
                <w:rFonts w:cs="Tahoma"/>
                <w:sz w:val="13"/>
                <w:szCs w:val="13"/>
              </w:rPr>
              <w:t>7</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45,0</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39,4</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40,9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48,5</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48,7</w:t>
            </w:r>
          </w:p>
        </w:tc>
        <w:tc>
          <w:tcPr>
            <w:tcW w:w="393" w:type="pct"/>
            <w:tcBorders>
              <w:top w:val="nil"/>
              <w:left w:val="nil"/>
              <w:bottom w:val="nil"/>
              <w:right w:val="single" w:sz="4" w:space="0" w:color="auto"/>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47,9</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85"/>
              <w:rPr>
                <w:rFonts w:cs="Tahoma"/>
                <w:b/>
                <w:color w:val="000000"/>
                <w:sz w:val="13"/>
                <w:szCs w:val="13"/>
              </w:rPr>
            </w:pPr>
            <w:r w:rsidRPr="00315199">
              <w:rPr>
                <w:rFonts w:cs="Tahoma"/>
                <w:b/>
                <w:color w:val="000000"/>
                <w:sz w:val="13"/>
                <w:szCs w:val="13"/>
              </w:rPr>
              <w:t>KAMU FİNANSMANI</w:t>
            </w:r>
            <w:r>
              <w:rPr>
                <w:rFonts w:cs="Tahoma"/>
                <w:b/>
                <w:color w:val="000000"/>
                <w:sz w:val="13"/>
                <w:szCs w:val="13"/>
              </w:rPr>
              <w:t xml:space="preserve"> (GSYH'ya Oran,</w:t>
            </w:r>
            <w:r w:rsidRPr="00315199">
              <w:rPr>
                <w:rFonts w:cs="Tahoma"/>
                <w:b/>
                <w:color w:val="000000"/>
                <w:sz w:val="13"/>
                <w:szCs w:val="13"/>
              </w:rPr>
              <w:t xml:space="preserve"> Yüzde)</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color w:val="000000"/>
                <w:sz w:val="13"/>
                <w:szCs w:val="13"/>
              </w:rPr>
            </w:pPr>
          </w:p>
        </w:tc>
        <w:tc>
          <w:tcPr>
            <w:tcW w:w="393" w:type="pct"/>
            <w:tcBorders>
              <w:top w:val="nil"/>
              <w:left w:val="nil"/>
              <w:bottom w:val="nil"/>
              <w:right w:val="single" w:sz="4" w:space="0" w:color="auto"/>
            </w:tcBorders>
            <w:vAlign w:val="center"/>
          </w:tcPr>
          <w:p w:rsidR="00565FD5" w:rsidRPr="00315199" w:rsidRDefault="00565FD5" w:rsidP="00AB62A3">
            <w:pPr>
              <w:jc w:val="right"/>
              <w:rPr>
                <w:rFonts w:cs="Tahoma"/>
                <w:color w:val="000000"/>
                <w:sz w:val="13"/>
                <w:szCs w:val="13"/>
              </w:rPr>
            </w:pP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80"/>
              <w:rPr>
                <w:rFonts w:cs="Tahoma"/>
                <w:color w:val="000000"/>
                <w:sz w:val="13"/>
                <w:szCs w:val="13"/>
              </w:rPr>
            </w:pPr>
            <w:r w:rsidRPr="00315199">
              <w:rPr>
                <w:rFonts w:cs="Tahoma"/>
                <w:color w:val="000000"/>
                <w:sz w:val="13"/>
                <w:szCs w:val="13"/>
              </w:rPr>
              <w:t xml:space="preserve">Genel Devlet Gelirleri </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33,6</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32,9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34,6</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35,5</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36,4</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37,0</w:t>
            </w:r>
          </w:p>
        </w:tc>
        <w:tc>
          <w:tcPr>
            <w:tcW w:w="393" w:type="pct"/>
            <w:tcBorders>
              <w:top w:val="nil"/>
              <w:left w:val="nil"/>
              <w:bottom w:val="nil"/>
              <w:right w:val="single" w:sz="4" w:space="0" w:color="auto"/>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37,9</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80"/>
              <w:rPr>
                <w:rFonts w:cs="Tahoma"/>
                <w:color w:val="000000"/>
                <w:sz w:val="13"/>
                <w:szCs w:val="13"/>
              </w:rPr>
            </w:pPr>
            <w:r w:rsidRPr="00315199">
              <w:rPr>
                <w:rFonts w:cs="Tahoma"/>
                <w:color w:val="000000"/>
                <w:sz w:val="13"/>
                <w:szCs w:val="13"/>
              </w:rPr>
              <w:t xml:space="preserve">Genel Devlet Harcamaları </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33,8</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34,6</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40,1</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38,5</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36,8</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38,6</w:t>
            </w:r>
          </w:p>
        </w:tc>
        <w:tc>
          <w:tcPr>
            <w:tcW w:w="393" w:type="pct"/>
            <w:tcBorders>
              <w:top w:val="nil"/>
              <w:left w:val="nil"/>
              <w:bottom w:val="nil"/>
              <w:right w:val="single" w:sz="4" w:space="0" w:color="auto"/>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39,4</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80"/>
              <w:rPr>
                <w:rFonts w:cs="Tahoma"/>
                <w:color w:val="000000"/>
                <w:sz w:val="13"/>
                <w:szCs w:val="13"/>
              </w:rPr>
            </w:pPr>
            <w:r w:rsidRPr="00315199">
              <w:rPr>
                <w:rFonts w:cs="Tahoma"/>
                <w:color w:val="000000"/>
                <w:sz w:val="13"/>
                <w:szCs w:val="13"/>
              </w:rPr>
              <w:t xml:space="preserve">Genel Devlet Borçlanma Gereği </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0,2</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1,6</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5,5</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3,0</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0,4</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1,6</w:t>
            </w:r>
          </w:p>
        </w:tc>
        <w:tc>
          <w:tcPr>
            <w:tcW w:w="393" w:type="pct"/>
            <w:tcBorders>
              <w:top w:val="nil"/>
              <w:left w:val="nil"/>
              <w:bottom w:val="nil"/>
              <w:right w:val="single" w:sz="4" w:space="0" w:color="auto"/>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1,5</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80"/>
              <w:rPr>
                <w:rFonts w:cs="Tahoma"/>
                <w:color w:val="000000"/>
                <w:sz w:val="13"/>
                <w:szCs w:val="13"/>
              </w:rPr>
            </w:pPr>
            <w:r w:rsidRPr="00315199">
              <w:rPr>
                <w:rFonts w:cs="Tahoma"/>
                <w:color w:val="000000"/>
                <w:sz w:val="13"/>
                <w:szCs w:val="13"/>
              </w:rPr>
              <w:t xml:space="preserve">Genel Devlet Faiz Harcamaları </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5,9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5,4</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5,7</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4,5</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3,4</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3,5</w:t>
            </w:r>
          </w:p>
        </w:tc>
        <w:tc>
          <w:tcPr>
            <w:tcW w:w="393" w:type="pct"/>
            <w:tcBorders>
              <w:top w:val="nil"/>
              <w:left w:val="nil"/>
              <w:bottom w:val="nil"/>
              <w:right w:val="single" w:sz="4" w:space="0" w:color="auto"/>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3,5</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80"/>
              <w:rPr>
                <w:rFonts w:cs="Tahoma"/>
                <w:color w:val="000000"/>
                <w:sz w:val="13"/>
                <w:szCs w:val="13"/>
              </w:rPr>
            </w:pPr>
            <w:r>
              <w:rPr>
                <w:rFonts w:cs="Tahoma"/>
                <w:color w:val="000000"/>
                <w:sz w:val="13"/>
                <w:szCs w:val="13"/>
              </w:rPr>
              <w:lastRenderedPageBreak/>
              <w:t>Program Tanımlı Genel Devlet Faiz Dışı Fazlası</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Pr>
                <w:rFonts w:cs="Tahoma"/>
                <w:color w:val="000000"/>
                <w:sz w:val="13"/>
                <w:szCs w:val="13"/>
              </w:rPr>
              <w:t>2,8</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Pr>
                <w:rFonts w:cs="Tahoma"/>
                <w:color w:val="000000"/>
                <w:sz w:val="13"/>
                <w:szCs w:val="13"/>
              </w:rPr>
              <w:t>1,5</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Pr>
                <w:rFonts w:cs="Tahoma"/>
                <w:color w:val="000000"/>
                <w:sz w:val="13"/>
                <w:szCs w:val="13"/>
              </w:rPr>
              <w:t>-1,7</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Pr>
                <w:rFonts w:cs="Tahoma"/>
                <w:color w:val="000000"/>
                <w:sz w:val="13"/>
                <w:szCs w:val="13"/>
              </w:rPr>
              <w:t>0,0</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Pr>
                <w:rFonts w:cs="Tahoma"/>
                <w:color w:val="000000"/>
                <w:sz w:val="13"/>
                <w:szCs w:val="13"/>
              </w:rPr>
              <w:t>1,8</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Pr>
                <w:rFonts w:cs="Tahoma"/>
                <w:color w:val="000000"/>
                <w:sz w:val="13"/>
                <w:szCs w:val="13"/>
              </w:rPr>
              <w:t>0,7</w:t>
            </w:r>
          </w:p>
        </w:tc>
        <w:tc>
          <w:tcPr>
            <w:tcW w:w="393" w:type="pct"/>
            <w:tcBorders>
              <w:top w:val="nil"/>
              <w:left w:val="nil"/>
              <w:bottom w:val="nil"/>
              <w:right w:val="single" w:sz="4" w:space="0" w:color="auto"/>
            </w:tcBorders>
            <w:vAlign w:val="center"/>
          </w:tcPr>
          <w:p w:rsidR="00565FD5" w:rsidRPr="00315199" w:rsidRDefault="00565FD5" w:rsidP="00AB62A3">
            <w:pPr>
              <w:widowControl w:val="0"/>
              <w:ind w:left="-108"/>
              <w:jc w:val="right"/>
              <w:rPr>
                <w:rFonts w:cs="Tahoma"/>
                <w:color w:val="000000"/>
                <w:sz w:val="13"/>
                <w:szCs w:val="13"/>
              </w:rPr>
            </w:pPr>
            <w:r>
              <w:rPr>
                <w:rFonts w:cs="Tahoma"/>
                <w:color w:val="000000"/>
                <w:sz w:val="13"/>
                <w:szCs w:val="13"/>
              </w:rPr>
              <w:t>0,8</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80"/>
              <w:rPr>
                <w:rFonts w:cs="Tahoma"/>
                <w:color w:val="000000"/>
                <w:sz w:val="13"/>
                <w:szCs w:val="13"/>
              </w:rPr>
            </w:pPr>
            <w:r w:rsidRPr="00315199">
              <w:rPr>
                <w:rFonts w:cs="Tahoma"/>
                <w:color w:val="000000"/>
                <w:sz w:val="13"/>
                <w:szCs w:val="13"/>
              </w:rPr>
              <w:t xml:space="preserve">Kamu Kesimi Borçlanma Gereği </w:t>
            </w:r>
            <w:r w:rsidRPr="00315199">
              <w:rPr>
                <w:rFonts w:cs="Tahoma"/>
                <w:color w:val="000000"/>
                <w:sz w:val="13"/>
                <w:szCs w:val="13"/>
                <w:vertAlign w:val="superscript"/>
              </w:rPr>
              <w:t>(5)</w:t>
            </w:r>
            <w:r w:rsidRPr="00315199">
              <w:rPr>
                <w:rFonts w:cs="Tahoma"/>
                <w:color w:val="000000"/>
                <w:sz w:val="13"/>
                <w:szCs w:val="13"/>
              </w:rPr>
              <w:t xml:space="preserve"> </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0,1</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1,6</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5,0</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2,4</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0,1</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1,7</w:t>
            </w:r>
          </w:p>
        </w:tc>
        <w:tc>
          <w:tcPr>
            <w:tcW w:w="393" w:type="pct"/>
            <w:tcBorders>
              <w:top w:val="nil"/>
              <w:left w:val="nil"/>
              <w:bottom w:val="nil"/>
              <w:right w:val="single" w:sz="4" w:space="0" w:color="auto"/>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1,5</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80"/>
              <w:rPr>
                <w:rFonts w:cs="Tahoma"/>
                <w:color w:val="000000"/>
                <w:sz w:val="13"/>
                <w:szCs w:val="13"/>
              </w:rPr>
            </w:pPr>
            <w:r w:rsidRPr="00315199">
              <w:rPr>
                <w:rFonts w:cs="Tahoma"/>
                <w:color w:val="000000"/>
                <w:sz w:val="13"/>
                <w:szCs w:val="13"/>
              </w:rPr>
              <w:t xml:space="preserve">Program Tanımlı Kamu Kesimi Faiz Dışı Fazlası </w:t>
            </w:r>
            <w:r w:rsidRPr="00315199">
              <w:rPr>
                <w:rFonts w:cs="Tahoma"/>
                <w:color w:val="000000"/>
                <w:sz w:val="13"/>
                <w:szCs w:val="13"/>
                <w:vertAlign w:val="superscript"/>
              </w:rPr>
              <w:t xml:space="preserve">(5) </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3,1</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1,6</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-1,1</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0,8</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1,9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0,5</w:t>
            </w:r>
          </w:p>
        </w:tc>
        <w:tc>
          <w:tcPr>
            <w:tcW w:w="393" w:type="pct"/>
            <w:tcBorders>
              <w:top w:val="nil"/>
              <w:left w:val="nil"/>
              <w:bottom w:val="nil"/>
              <w:right w:val="single" w:sz="4" w:space="0" w:color="auto"/>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0,8</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80"/>
              <w:rPr>
                <w:rFonts w:cs="Tahoma"/>
                <w:color w:val="000000"/>
                <w:sz w:val="13"/>
                <w:szCs w:val="13"/>
              </w:rPr>
            </w:pPr>
            <w:r w:rsidRPr="00315199">
              <w:rPr>
                <w:rFonts w:cs="Tahoma"/>
                <w:color w:val="000000"/>
                <w:sz w:val="13"/>
                <w:szCs w:val="13"/>
              </w:rPr>
              <w:t xml:space="preserve">AB Tanımlı Genel </w:t>
            </w:r>
            <w:r>
              <w:rPr>
                <w:rFonts w:cs="Tahoma"/>
                <w:color w:val="000000"/>
                <w:sz w:val="13"/>
                <w:szCs w:val="13"/>
              </w:rPr>
              <w:t>Devlet</w:t>
            </w:r>
            <w:r w:rsidRPr="00315199">
              <w:rPr>
                <w:rFonts w:cs="Tahoma"/>
                <w:color w:val="000000"/>
                <w:sz w:val="13"/>
                <w:szCs w:val="13"/>
              </w:rPr>
              <w:t xml:space="preserve"> Nominal Borç Stoku </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39,9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40,0</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46,1</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42,4</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39,2</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36,5</w:t>
            </w:r>
          </w:p>
        </w:tc>
        <w:tc>
          <w:tcPr>
            <w:tcW w:w="393" w:type="pct"/>
            <w:tcBorders>
              <w:top w:val="nil"/>
              <w:left w:val="nil"/>
              <w:bottom w:val="nil"/>
              <w:right w:val="single" w:sz="4" w:space="0" w:color="auto"/>
            </w:tcBorders>
            <w:vAlign w:val="center"/>
          </w:tcPr>
          <w:p w:rsidR="00565FD5" w:rsidRPr="00315199" w:rsidRDefault="00565FD5" w:rsidP="00AB62A3">
            <w:pPr>
              <w:widowControl w:val="0"/>
              <w:ind w:left="-108"/>
              <w:jc w:val="right"/>
              <w:rPr>
                <w:rFonts w:cs="Tahoma"/>
                <w:color w:val="000000"/>
                <w:sz w:val="13"/>
                <w:szCs w:val="13"/>
              </w:rPr>
            </w:pPr>
            <w:r w:rsidRPr="00315199">
              <w:rPr>
                <w:rFonts w:cs="Tahoma"/>
                <w:color w:val="000000"/>
                <w:sz w:val="13"/>
                <w:szCs w:val="13"/>
              </w:rPr>
              <w:t>35,0</w:t>
            </w: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right="-127" w:firstLine="85"/>
              <w:rPr>
                <w:rFonts w:cs="Tahoma"/>
                <w:b/>
                <w:color w:val="000000"/>
                <w:sz w:val="13"/>
                <w:szCs w:val="13"/>
              </w:rPr>
            </w:pPr>
            <w:r w:rsidRPr="00315199">
              <w:rPr>
                <w:rFonts w:cs="Tahoma"/>
                <w:b/>
                <w:color w:val="000000"/>
                <w:sz w:val="13"/>
                <w:szCs w:val="13"/>
              </w:rPr>
              <w:t>FİYATLAR (Yüzde Değişme)</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color w:val="000000"/>
                <w:sz w:val="13"/>
                <w:szCs w:val="13"/>
              </w:rPr>
            </w:pP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color w:val="000000"/>
                <w:sz w:val="13"/>
                <w:szCs w:val="13"/>
              </w:rPr>
            </w:pPr>
          </w:p>
        </w:tc>
        <w:tc>
          <w:tcPr>
            <w:tcW w:w="393" w:type="pct"/>
            <w:tcBorders>
              <w:top w:val="nil"/>
              <w:left w:val="nil"/>
              <w:bottom w:val="nil"/>
              <w:right w:val="single" w:sz="4" w:space="0" w:color="auto"/>
            </w:tcBorders>
            <w:vAlign w:val="center"/>
          </w:tcPr>
          <w:p w:rsidR="00565FD5" w:rsidRPr="00315199" w:rsidRDefault="00565FD5" w:rsidP="00AB62A3">
            <w:pPr>
              <w:jc w:val="right"/>
              <w:rPr>
                <w:rFonts w:eastAsia="Arial Unicode MS" w:cs="Tahoma"/>
                <w:color w:val="000000"/>
                <w:sz w:val="13"/>
                <w:szCs w:val="13"/>
              </w:rPr>
            </w:pPr>
          </w:p>
        </w:tc>
      </w:tr>
      <w:tr w:rsidR="00565FD5" w:rsidRPr="00315199" w:rsidTr="00AB62A3">
        <w:trPr>
          <w:trHeight w:val="20"/>
        </w:trPr>
        <w:tc>
          <w:tcPr>
            <w:tcW w:w="1859" w:type="pct"/>
            <w:tcBorders>
              <w:top w:val="nil"/>
              <w:left w:val="single" w:sz="4" w:space="0" w:color="auto"/>
              <w:bottom w:val="nil"/>
              <w:right w:val="nil"/>
            </w:tcBorders>
            <w:vAlign w:val="center"/>
          </w:tcPr>
          <w:p w:rsidR="00565FD5" w:rsidRPr="00315199" w:rsidRDefault="00565FD5" w:rsidP="00AB62A3">
            <w:pPr>
              <w:widowControl w:val="0"/>
              <w:ind w:firstLine="180"/>
              <w:rPr>
                <w:rFonts w:cs="Tahoma"/>
                <w:sz w:val="13"/>
                <w:szCs w:val="13"/>
              </w:rPr>
            </w:pPr>
            <w:r w:rsidRPr="00315199">
              <w:rPr>
                <w:rFonts w:cs="Tahoma"/>
                <w:sz w:val="13"/>
                <w:szCs w:val="13"/>
              </w:rPr>
              <w:t xml:space="preserve">GSYH Deflatörü  </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6,2</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12,0</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5,3</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5,7</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8,9</w:t>
            </w:r>
          </w:p>
        </w:tc>
        <w:tc>
          <w:tcPr>
            <w:tcW w:w="458" w:type="pct"/>
            <w:tcBorders>
              <w:top w:val="nil"/>
              <w:left w:val="nil"/>
              <w:bottom w:val="nil"/>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7,1</w:t>
            </w:r>
          </w:p>
        </w:tc>
        <w:tc>
          <w:tcPr>
            <w:tcW w:w="393" w:type="pct"/>
            <w:tcBorders>
              <w:top w:val="nil"/>
              <w:left w:val="nil"/>
              <w:bottom w:val="nil"/>
              <w:right w:val="single" w:sz="4" w:space="0" w:color="auto"/>
            </w:tcBorders>
            <w:vAlign w:val="center"/>
          </w:tcPr>
          <w:p w:rsidR="00565FD5" w:rsidRPr="00315199" w:rsidRDefault="00565FD5" w:rsidP="00AB62A3">
            <w:pPr>
              <w:jc w:val="right"/>
              <w:rPr>
                <w:rFonts w:cs="Tahoma"/>
                <w:sz w:val="13"/>
                <w:szCs w:val="13"/>
              </w:rPr>
            </w:pPr>
            <w:r w:rsidRPr="00315199">
              <w:rPr>
                <w:rFonts w:cs="Tahoma"/>
                <w:sz w:val="13"/>
                <w:szCs w:val="13"/>
              </w:rPr>
              <w:t>5,3</w:t>
            </w:r>
          </w:p>
        </w:tc>
      </w:tr>
      <w:tr w:rsidR="00565FD5" w:rsidRPr="00315199" w:rsidTr="00AB62A3">
        <w:trPr>
          <w:trHeight w:val="20"/>
        </w:trPr>
        <w:tc>
          <w:tcPr>
            <w:tcW w:w="1859" w:type="pct"/>
            <w:tcBorders>
              <w:top w:val="nil"/>
              <w:left w:val="single" w:sz="4" w:space="0" w:color="auto"/>
              <w:bottom w:val="single" w:sz="4" w:space="0" w:color="auto"/>
              <w:right w:val="nil"/>
            </w:tcBorders>
            <w:vAlign w:val="center"/>
          </w:tcPr>
          <w:p w:rsidR="00565FD5" w:rsidRPr="00315199" w:rsidRDefault="00565FD5" w:rsidP="00AB62A3">
            <w:pPr>
              <w:widowControl w:val="0"/>
              <w:ind w:firstLine="180"/>
              <w:rPr>
                <w:rFonts w:cs="Tahoma"/>
                <w:sz w:val="13"/>
                <w:szCs w:val="13"/>
              </w:rPr>
            </w:pPr>
            <w:r w:rsidRPr="00315199">
              <w:rPr>
                <w:rFonts w:cs="Tahoma"/>
                <w:sz w:val="13"/>
                <w:szCs w:val="13"/>
              </w:rPr>
              <w:t xml:space="preserve">TÜFE Yıl Sonu </w:t>
            </w:r>
          </w:p>
        </w:tc>
        <w:tc>
          <w:tcPr>
            <w:tcW w:w="458" w:type="pct"/>
            <w:tcBorders>
              <w:top w:val="nil"/>
              <w:left w:val="nil"/>
              <w:bottom w:val="single" w:sz="4" w:space="0" w:color="auto"/>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8,4</w:t>
            </w:r>
          </w:p>
        </w:tc>
        <w:tc>
          <w:tcPr>
            <w:tcW w:w="458" w:type="pct"/>
            <w:tcBorders>
              <w:top w:val="nil"/>
              <w:left w:val="nil"/>
              <w:bottom w:val="single" w:sz="4" w:space="0" w:color="auto"/>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10,1</w:t>
            </w:r>
          </w:p>
        </w:tc>
        <w:tc>
          <w:tcPr>
            <w:tcW w:w="458" w:type="pct"/>
            <w:tcBorders>
              <w:top w:val="nil"/>
              <w:left w:val="nil"/>
              <w:bottom w:val="single" w:sz="4" w:space="0" w:color="auto"/>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6,5</w:t>
            </w:r>
          </w:p>
        </w:tc>
        <w:tc>
          <w:tcPr>
            <w:tcW w:w="458" w:type="pct"/>
            <w:tcBorders>
              <w:top w:val="nil"/>
              <w:left w:val="nil"/>
              <w:bottom w:val="single" w:sz="4" w:space="0" w:color="auto"/>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6,4</w:t>
            </w:r>
          </w:p>
        </w:tc>
        <w:tc>
          <w:tcPr>
            <w:tcW w:w="458" w:type="pct"/>
            <w:tcBorders>
              <w:top w:val="nil"/>
              <w:left w:val="nil"/>
              <w:bottom w:val="single" w:sz="4" w:space="0" w:color="auto"/>
              <w:right w:val="nil"/>
            </w:tcBorders>
            <w:vAlign w:val="center"/>
          </w:tcPr>
          <w:p w:rsidR="00565FD5" w:rsidRPr="00315199" w:rsidRDefault="00565FD5" w:rsidP="00AB62A3">
            <w:pPr>
              <w:widowControl w:val="0"/>
              <w:ind w:left="-108"/>
              <w:jc w:val="right"/>
              <w:rPr>
                <w:rFonts w:cs="Tahoma"/>
                <w:sz w:val="13"/>
                <w:szCs w:val="13"/>
              </w:rPr>
            </w:pPr>
            <w:r w:rsidRPr="00315199">
              <w:rPr>
                <w:rFonts w:cs="Tahoma"/>
                <w:sz w:val="13"/>
                <w:szCs w:val="13"/>
              </w:rPr>
              <w:t>10,5</w:t>
            </w:r>
          </w:p>
        </w:tc>
        <w:tc>
          <w:tcPr>
            <w:tcW w:w="458" w:type="pct"/>
            <w:tcBorders>
              <w:top w:val="nil"/>
              <w:left w:val="nil"/>
              <w:bottom w:val="single" w:sz="4" w:space="0" w:color="auto"/>
              <w:right w:val="nil"/>
            </w:tcBorders>
            <w:vAlign w:val="center"/>
          </w:tcPr>
          <w:p w:rsidR="00565FD5" w:rsidRPr="00315199" w:rsidRDefault="00565FD5" w:rsidP="00AB62A3">
            <w:pPr>
              <w:widowControl w:val="0"/>
              <w:ind w:left="-108"/>
              <w:jc w:val="right"/>
              <w:rPr>
                <w:rFonts w:cs="Tahoma"/>
                <w:bCs/>
                <w:sz w:val="13"/>
                <w:szCs w:val="13"/>
              </w:rPr>
            </w:pPr>
            <w:r w:rsidRPr="00315199">
              <w:rPr>
                <w:rFonts w:cs="Tahoma"/>
                <w:bCs/>
                <w:sz w:val="13"/>
                <w:szCs w:val="13"/>
              </w:rPr>
              <w:t>7,4</w:t>
            </w:r>
          </w:p>
        </w:tc>
        <w:tc>
          <w:tcPr>
            <w:tcW w:w="393" w:type="pct"/>
            <w:tcBorders>
              <w:top w:val="nil"/>
              <w:left w:val="nil"/>
              <w:bottom w:val="single" w:sz="4" w:space="0" w:color="auto"/>
              <w:right w:val="single" w:sz="4" w:space="0" w:color="auto"/>
            </w:tcBorders>
            <w:vAlign w:val="center"/>
          </w:tcPr>
          <w:p w:rsidR="00565FD5" w:rsidRPr="00315199" w:rsidRDefault="00565FD5" w:rsidP="00AB62A3">
            <w:pPr>
              <w:jc w:val="right"/>
              <w:rPr>
                <w:rFonts w:cs="Tahoma"/>
                <w:sz w:val="13"/>
                <w:szCs w:val="13"/>
              </w:rPr>
            </w:pPr>
            <w:r w:rsidRPr="00315199">
              <w:rPr>
                <w:rFonts w:cs="Tahoma"/>
                <w:sz w:val="13"/>
                <w:szCs w:val="13"/>
              </w:rPr>
              <w:t>5,3</w:t>
            </w:r>
          </w:p>
        </w:tc>
      </w:tr>
    </w:tbl>
    <w:p w:rsidR="00565FD5" w:rsidRDefault="00565FD5" w:rsidP="00565FD5">
      <w:pPr>
        <w:tabs>
          <w:tab w:val="left" w:pos="567"/>
          <w:tab w:val="left" w:pos="2415"/>
        </w:tabs>
        <w:rPr>
          <w:rFonts w:cs="Tahoma"/>
          <w:color w:val="000000"/>
          <w:sz w:val="12"/>
        </w:rPr>
      </w:pPr>
      <w:r w:rsidRPr="00315199">
        <w:rPr>
          <w:rFonts w:cs="Tahoma"/>
          <w:color w:val="000000"/>
          <w:sz w:val="12"/>
        </w:rPr>
        <w:t>(1) Gerçekleşme tahmini, (2) Program, (3) Büyümeye katkı olarak verilmektedir, (4) Parasal olmayan altın ithalatı dahildir,</w:t>
      </w:r>
      <w:r>
        <w:rPr>
          <w:rFonts w:cs="Tahoma"/>
          <w:color w:val="000000"/>
          <w:sz w:val="12"/>
        </w:rPr>
        <w:t xml:space="preserve"> </w:t>
      </w:r>
      <w:r w:rsidRPr="00315199">
        <w:rPr>
          <w:rFonts w:cs="Tahoma"/>
          <w:color w:val="000000"/>
          <w:sz w:val="12"/>
        </w:rPr>
        <w:t>(5) Genel devlet ve KİT’leri kapsamaktadır</w:t>
      </w:r>
      <w:r>
        <w:rPr>
          <w:rFonts w:cs="Tahoma"/>
          <w:color w:val="000000"/>
          <w:sz w:val="12"/>
        </w:rPr>
        <w:t>.</w:t>
      </w:r>
      <w:r w:rsidRPr="00315199">
        <w:rPr>
          <w:rFonts w:cs="Tahoma"/>
          <w:color w:val="000000"/>
          <w:sz w:val="12"/>
        </w:rPr>
        <w:t xml:space="preserve"> </w:t>
      </w:r>
    </w:p>
    <w:p w:rsidR="00565FD5" w:rsidRDefault="00565FD5" w:rsidP="00565FD5">
      <w:pPr>
        <w:tabs>
          <w:tab w:val="left" w:pos="567"/>
          <w:tab w:val="left" w:pos="2415"/>
        </w:tabs>
        <w:rPr>
          <w:rFonts w:cs="Tahoma"/>
          <w:color w:val="000000"/>
          <w:sz w:val="12"/>
        </w:rPr>
      </w:pPr>
    </w:p>
    <w:p w:rsidR="00565FD5" w:rsidRDefault="00565FD5" w:rsidP="00565FD5">
      <w:pPr>
        <w:rPr>
          <w:rFonts w:cs="Tahoma"/>
          <w:color w:val="000000"/>
          <w:sz w:val="12"/>
        </w:rPr>
        <w:sectPr w:rsidR="00565FD5" w:rsidSect="00B50093">
          <w:headerReference w:type="even" r:id="rId10"/>
          <w:headerReference w:type="default" r:id="rId11"/>
          <w:footerReference w:type="default" r:id="rId12"/>
          <w:pgSz w:w="16838" w:h="11906" w:orient="landscape" w:code="9"/>
          <w:pgMar w:top="1985" w:right="2948" w:bottom="1985" w:left="2948" w:header="2268" w:footer="2552" w:gutter="0"/>
          <w:paperSrc w:first="15" w:other="15"/>
          <w:cols w:space="708"/>
          <w:noEndnote/>
        </w:sectPr>
      </w:pPr>
    </w:p>
    <w:p w:rsidR="00565FD5" w:rsidRPr="00A1207B" w:rsidRDefault="00565FD5" w:rsidP="00565FD5">
      <w:pPr>
        <w:pStyle w:val="Balk1"/>
        <w:jc w:val="center"/>
      </w:pPr>
      <w:bookmarkStart w:id="165" w:name="_Toc338494204"/>
      <w:bookmarkStart w:id="166" w:name="_Toc338505505"/>
      <w:bookmarkStart w:id="167" w:name="_Toc338505720"/>
      <w:bookmarkStart w:id="168" w:name="_Toc338505757"/>
      <w:bookmarkStart w:id="169" w:name="_Toc338523722"/>
      <w:bookmarkStart w:id="170" w:name="_Toc338523963"/>
      <w:bookmarkStart w:id="171" w:name="_Toc338526189"/>
      <w:bookmarkStart w:id="172" w:name="_Toc338673632"/>
      <w:bookmarkStart w:id="173" w:name="_Toc338711511"/>
      <w:r w:rsidRPr="00A1207B">
        <w:lastRenderedPageBreak/>
        <w:t>İKİNCİ BÖLÜM</w:t>
      </w:r>
      <w:bookmarkEnd w:id="146"/>
      <w:bookmarkEnd w:id="147"/>
      <w:bookmarkEnd w:id="148"/>
      <w:bookmarkEnd w:id="165"/>
      <w:bookmarkEnd w:id="166"/>
      <w:bookmarkEnd w:id="167"/>
      <w:bookmarkEnd w:id="168"/>
      <w:bookmarkEnd w:id="169"/>
      <w:bookmarkEnd w:id="170"/>
      <w:bookmarkEnd w:id="171"/>
      <w:bookmarkEnd w:id="172"/>
      <w:bookmarkEnd w:id="173"/>
    </w:p>
    <w:p w:rsidR="00565FD5" w:rsidRDefault="00565FD5" w:rsidP="00565FD5">
      <w:pPr>
        <w:pStyle w:val="Balk1"/>
        <w:spacing w:after="140"/>
        <w:ind w:left="425"/>
        <w:jc w:val="center"/>
      </w:pPr>
      <w:bookmarkStart w:id="174" w:name="_Toc276076219"/>
      <w:bookmarkStart w:id="175" w:name="_Toc244339540"/>
      <w:bookmarkStart w:id="176" w:name="_Toc244315077"/>
      <w:bookmarkStart w:id="177" w:name="_Toc244313600"/>
      <w:bookmarkStart w:id="178" w:name="_Toc244254864"/>
      <w:bookmarkStart w:id="179" w:name="_Toc244253614"/>
      <w:bookmarkStart w:id="180" w:name="_Toc213065600"/>
      <w:bookmarkStart w:id="181" w:name="_Toc307601925"/>
      <w:bookmarkStart w:id="182" w:name="_Toc307670373"/>
      <w:bookmarkStart w:id="183" w:name="_Toc307701599"/>
      <w:bookmarkStart w:id="184" w:name="_Toc338494205"/>
      <w:bookmarkStart w:id="185" w:name="_Toc338494370"/>
      <w:bookmarkStart w:id="186" w:name="_Toc338505506"/>
      <w:bookmarkStart w:id="187" w:name="_Toc338505721"/>
      <w:bookmarkStart w:id="188" w:name="_Toc338505758"/>
      <w:bookmarkStart w:id="189" w:name="_Toc338523723"/>
      <w:bookmarkStart w:id="190" w:name="_Toc338523964"/>
      <w:bookmarkStart w:id="191" w:name="_Toc338526190"/>
      <w:bookmarkStart w:id="192" w:name="_Toc338673633"/>
      <w:bookmarkStart w:id="193" w:name="_Toc338711512"/>
      <w:r>
        <w:t>MAKROEKONOMİK GELİŞMELER VE HEDEFLER</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565FD5" w:rsidRPr="00DA0A15" w:rsidRDefault="00565FD5" w:rsidP="00565FD5">
      <w:pPr>
        <w:pStyle w:val="Balk2"/>
        <w:spacing w:after="160"/>
      </w:pPr>
      <w:bookmarkStart w:id="194" w:name="_Toc307601926"/>
      <w:bookmarkStart w:id="195" w:name="_Toc307670374"/>
      <w:bookmarkStart w:id="196" w:name="_Toc307701600"/>
      <w:bookmarkStart w:id="197" w:name="_Toc338494206"/>
      <w:bookmarkStart w:id="198" w:name="_Toc338505507"/>
      <w:bookmarkStart w:id="199" w:name="_Toc338505722"/>
      <w:bookmarkStart w:id="200" w:name="_Toc338505759"/>
      <w:bookmarkStart w:id="201" w:name="_Toc338523724"/>
      <w:bookmarkStart w:id="202" w:name="_Toc338523965"/>
      <w:bookmarkStart w:id="203" w:name="_Toc338526191"/>
      <w:bookmarkStart w:id="204" w:name="_Toc338673634"/>
      <w:bookmarkStart w:id="205" w:name="_Toc338711513"/>
      <w:r>
        <w:t xml:space="preserve">I. </w:t>
      </w:r>
      <w:r w:rsidRPr="00DA0A15">
        <w:t>DÜNYA EKONOMİSİNDE GELİŞMELER</w:t>
      </w:r>
      <w:bookmarkEnd w:id="194"/>
      <w:bookmarkEnd w:id="195"/>
      <w:bookmarkEnd w:id="196"/>
      <w:bookmarkEnd w:id="197"/>
      <w:bookmarkEnd w:id="198"/>
      <w:bookmarkEnd w:id="199"/>
      <w:bookmarkEnd w:id="200"/>
      <w:bookmarkEnd w:id="201"/>
      <w:bookmarkEnd w:id="202"/>
      <w:bookmarkEnd w:id="203"/>
      <w:bookmarkEnd w:id="204"/>
      <w:bookmarkEnd w:id="205"/>
      <w:r w:rsidRPr="00DA0A15">
        <w:t xml:space="preserve"> </w:t>
      </w:r>
    </w:p>
    <w:p w:rsidR="00565FD5" w:rsidRPr="00BA1615" w:rsidRDefault="00565FD5" w:rsidP="00565FD5">
      <w:pPr>
        <w:spacing w:after="120"/>
        <w:ind w:firstLine="425"/>
        <w:rPr>
          <w:rFonts w:cs="Tahoma"/>
          <w:color w:val="000000"/>
        </w:rPr>
      </w:pPr>
      <w:r w:rsidRPr="00BA1615">
        <w:rPr>
          <w:rFonts w:cs="Tahoma"/>
          <w:color w:val="000000"/>
        </w:rPr>
        <w:t>Küresel krizin başlangıcından itibaren yaklaşık 5 yıl geçmesine rağmen, dünya ekonomisinde henüz istikrar sağlanamamıştır. Küresel ekonomik kriz evre değiştirerek devam etmektedir. Krizin başlangıcında yaşanan sorunlar bankacılık ve finans sektörü ağırlıklı iken, son dönemde gelişmiş ülkelerin kamu borçlarının sürdürülebilirliği sorunu ön plana çıkmıştır. Küresel ekonomi, özellikle Avro Bölgesinde bozulan kamu maliyesi ve zayıf bankacılık kaynaklı sorunların ticaret ve güven kanallarıyla diğer bölgelere yayılması sonucu tekrar zayıflamıştır. Avro Bölgesinde yaşanan ekonomik ve siyasi gelişmeler küresel görünüm üzerinde belirleyici olmaya devam etmektedir.</w:t>
      </w:r>
    </w:p>
    <w:p w:rsidR="00565FD5" w:rsidRPr="00BA1615" w:rsidRDefault="00565FD5" w:rsidP="00565FD5">
      <w:pPr>
        <w:spacing w:after="120"/>
        <w:ind w:firstLine="425"/>
        <w:rPr>
          <w:rFonts w:cs="Tahoma"/>
          <w:color w:val="000000"/>
        </w:rPr>
      </w:pPr>
      <w:r w:rsidRPr="00BA1615">
        <w:rPr>
          <w:rFonts w:cs="Tahoma"/>
          <w:color w:val="000000"/>
        </w:rPr>
        <w:t xml:space="preserve">2009 yılında yaşanan daralma sonrasında 2010 yılında dünya ekonomisi toparlanma sürecine girmiş ve yüzde 5,1 oranında büyümüştür. Ancak 2011 yılında bu toparlanma süreci sürdürülememiştir. 2011 yılı Ağustos ayından itibaren küresel büyümeye ilişkin endişelerin artmasıyla küresel ölçekte aşağı yönlü riskler artmaya başlamıştır. Avro Bölgesinde yaşanan mali çalkantılar ve bunun bankacılık kesimine olan yansımaları ile ekonomi politikasına yönelik karar alma süreçlerinde yaşanan belirsizlikler ve kaybolan güven ortamı, gelişmiş ülkelerde büyüme performansının beklenenden daha düşük seyretmesine neden olmuştur. Bu durum gelişmekte olan ve yükselen ekonomilerin büyümelerine olumsuz yönde yansımıştır. Bunun yanı sıra enerji, emtia ve gıda fiyatlarında yaşanan dalgalı seyrin yarattığı belirsizlik ortamı küresel büyümeyi olumsuz etkilemiştir. Bu gelişmelerle birlikte, 2011 yılının Mart ayında Japonya’da yaşanan felaketlerin tedarik zincirine olumsuz yansımaları ve Orta Doğu ve Kuzey Afrika bölgesinde yaşanan siyasi belirsizlikler 2011 yılında dünya büyümesinin yüzde 3,8’e gerilemesine yol açmıştır. Gelişmiş ekonomilerde 2010 yılında yüzde 3 olarak gerçekleşen büyüme hızı, 2011 </w:t>
      </w:r>
      <w:r w:rsidRPr="00BA1615">
        <w:rPr>
          <w:rFonts w:cs="Tahoma"/>
          <w:color w:val="000000"/>
        </w:rPr>
        <w:lastRenderedPageBreak/>
        <w:t>yılında yüzde 1,6’ya gerilemiştir. Aynı dönemde gelişmekte olan ve yükselen ekonomilerin büyüme hızı ise yüzde 7,4’ten yüzde 6,2’ye inmiştir</w:t>
      </w:r>
      <w:r w:rsidRPr="00BA1615">
        <w:rPr>
          <w:rFonts w:ascii="Arial" w:hAnsi="Arial" w:cs="Arial"/>
          <w:sz w:val="24"/>
          <w:szCs w:val="24"/>
        </w:rPr>
        <w:t>.</w:t>
      </w:r>
      <w:r w:rsidRPr="00BA1615">
        <w:rPr>
          <w:color w:val="000000"/>
          <w:vertAlign w:val="superscript"/>
        </w:rPr>
        <w:footnoteReference w:id="1"/>
      </w:r>
    </w:p>
    <w:p w:rsidR="00565FD5" w:rsidRPr="00BA1615" w:rsidRDefault="00565FD5" w:rsidP="00565FD5">
      <w:pPr>
        <w:spacing w:after="120"/>
        <w:ind w:firstLine="425"/>
        <w:rPr>
          <w:rFonts w:cs="Tahoma"/>
          <w:color w:val="000000"/>
        </w:rPr>
      </w:pPr>
      <w:r w:rsidRPr="00BA1615">
        <w:rPr>
          <w:rFonts w:cs="Tahoma"/>
          <w:color w:val="000000"/>
        </w:rPr>
        <w:t>OECD tarafından açıklanan en güncel bileşik öncü gösterge verileri</w:t>
      </w:r>
      <w:r w:rsidRPr="00BA1615">
        <w:rPr>
          <w:rFonts w:cs="Tahoma"/>
          <w:color w:val="000000"/>
          <w:vertAlign w:val="superscript"/>
        </w:rPr>
        <w:footnoteReference w:id="2"/>
      </w:r>
      <w:r w:rsidRPr="00BA1615">
        <w:rPr>
          <w:rFonts w:cs="Tahoma"/>
          <w:color w:val="000000"/>
        </w:rPr>
        <w:t xml:space="preserve"> ekonomik görünümdeki olumsuzluğun devam ettiğini ve küresel ekonomik görünümdeki bozulmayı teyit etmektedir. Açıklanan son veriler ABD ve Japonya dışında ekonomik aktivitenin zayıfladığına işaret etmektedir. </w:t>
      </w:r>
    </w:p>
    <w:p w:rsidR="00565FD5" w:rsidRPr="00BA1615" w:rsidRDefault="00565FD5" w:rsidP="00565FD5">
      <w:pPr>
        <w:spacing w:after="120"/>
        <w:ind w:firstLine="425"/>
        <w:rPr>
          <w:rFonts w:cs="Tahoma"/>
          <w:color w:val="000000"/>
        </w:rPr>
      </w:pPr>
      <w:r w:rsidRPr="00BA1615">
        <w:rPr>
          <w:rFonts w:cs="Tahoma"/>
          <w:color w:val="000000"/>
        </w:rPr>
        <w:t>2011 yılından bu yana gelişmekte olan ekonomilerinin büyüme oranları, gelişmiş ekonomilerin büyüme performanslarına paralel olarak yavaşlamıştır. Son yıllarda küresel büyümenin motoru olarak görülen ve 2011 yılında yüzde 9,2 oranında büyüyen Çin ekonomisinin 2012 yılı ikinci çeyreğinde yüzde 7,6 olarak gerçekleşen büyüme oranı, Çin ekonomisinde önemli bir yavaşlama olduğunu göstermektedir.</w:t>
      </w:r>
    </w:p>
    <w:p w:rsidR="00565FD5" w:rsidRPr="00BA1615" w:rsidRDefault="00565FD5" w:rsidP="00565FD5">
      <w:pPr>
        <w:spacing w:after="120"/>
        <w:ind w:firstLine="425"/>
        <w:rPr>
          <w:rFonts w:cs="Tahoma"/>
          <w:color w:val="000000"/>
        </w:rPr>
      </w:pPr>
      <w:r w:rsidRPr="00BA1615">
        <w:rPr>
          <w:rFonts w:cs="Tahoma"/>
          <w:color w:val="000000"/>
        </w:rPr>
        <w:t xml:space="preserve">Gelişmiş ülkeler krizin aşılmasına ve büyümenin desteklenmesine yönelik sıkı maliye ve parasal genişleme politikalarına devam etmişlerdir. Avrupa Merkez Bankası, 2011 yılı sonunda piyasalara 1 trilyon avro tutarında düşük faizli ve uzun vadeli kaynak sağlamasına ek olarak, 2012 yılı Eylül ayında Doğrudan Parasal İşlemler Programı kapsamında sorunlu ülke tahvillerini ikincil piyasalardan şarta bağlı olmak kaydıyla limitsiz bir şekilde alabileceğini açıklamıştır. </w:t>
      </w:r>
      <w:r>
        <w:rPr>
          <w:rFonts w:cs="Tahoma"/>
          <w:color w:val="000000"/>
        </w:rPr>
        <w:t>ABD</w:t>
      </w:r>
      <w:r w:rsidRPr="00BA1615">
        <w:rPr>
          <w:rFonts w:cs="Tahoma"/>
          <w:color w:val="000000"/>
        </w:rPr>
        <w:t xml:space="preserve"> Merkez Bankası da 12-13 Eylül 2012 tarihlerinde ABD ekonomisini canlandırmak ve işsizliği düşürmek amacıyla yeni tur niceliksel gevşeme (QE3) kararını ve üçüncü tur tahvil alım programına gideceklerini açıklamıştır. Ayrıca Japonya ve İngiltere Merkez Bankaları da gevşek para politikaları izlemeye devam etmişlerdir. Bu gelişmeler piyasalarda olumlu karşılanmakla birlikte, alınan yeni önlemlerin küresel ekonomide yaratacağı etkiler belirsizliğini korumaktadır. </w:t>
      </w:r>
    </w:p>
    <w:p w:rsidR="00565FD5" w:rsidRPr="00BA1615" w:rsidRDefault="00565FD5" w:rsidP="00565FD5">
      <w:pPr>
        <w:spacing w:after="120"/>
        <w:ind w:firstLine="425"/>
        <w:rPr>
          <w:rFonts w:cs="Tahoma"/>
          <w:color w:val="000000"/>
        </w:rPr>
      </w:pPr>
      <w:r w:rsidRPr="00BA1615">
        <w:rPr>
          <w:rFonts w:cs="Tahoma"/>
          <w:color w:val="000000"/>
        </w:rPr>
        <w:t xml:space="preserve">Dünya ekonomisinde yaşanan bu gelişmeler sonucunda uluslararası kuruluşlar büyüme tahminlerini aşağı yönlü revize etmişlerdir. 2012 yılı dünya büyümesini 2011 yılı Eylül ayında yüzde 4 olarak tahmin eden Uluslararası Para Fonu (IMF), 2012 yılı Nisan ayında bu tahminini yüzde 3,5 seviyesine, Ekim ayında ise yüzde 3,3 seviyesine indirmiştir. 2013 yılı dünya büyüme tahminini de yüzde 4,1’den yüzde 3,6’ya düşürmüştür.  </w:t>
      </w:r>
    </w:p>
    <w:p w:rsidR="00565FD5" w:rsidRPr="00BA1615" w:rsidRDefault="00565FD5" w:rsidP="00565FD5">
      <w:pPr>
        <w:spacing w:after="120"/>
        <w:ind w:firstLine="425"/>
        <w:rPr>
          <w:rFonts w:cs="Tahoma"/>
          <w:color w:val="000000"/>
        </w:rPr>
      </w:pPr>
      <w:r w:rsidRPr="00BA1615">
        <w:rPr>
          <w:rFonts w:cs="Tahoma"/>
          <w:color w:val="000000"/>
        </w:rPr>
        <w:lastRenderedPageBreak/>
        <w:t>Gelişmiş ekonomilerin 2012 ve 2013 yıllarında sırasıyla yüzde 1,3 ve yüzde 1,5 oranında büyüyeceği tahmin edilmektedir. Yükselen ve gelişmekte olan ekonomilerin ise 2012 ve 2013 yıllarında sırasıyla yüzde 5,3 ve yüzde 5,6 oranında büyümesi beklenmektedir.</w:t>
      </w:r>
    </w:p>
    <w:p w:rsidR="00565FD5" w:rsidRPr="00BA1615" w:rsidRDefault="00565FD5" w:rsidP="00565FD5">
      <w:pPr>
        <w:spacing w:after="120"/>
        <w:ind w:firstLine="425"/>
        <w:rPr>
          <w:rFonts w:cs="Tahoma"/>
          <w:color w:val="000000"/>
        </w:rPr>
      </w:pPr>
      <w:r w:rsidRPr="00BA1615">
        <w:rPr>
          <w:rFonts w:cs="Tahoma"/>
          <w:color w:val="000000"/>
        </w:rPr>
        <w:t xml:space="preserve">2011 yılı Eylül ayında yapılan tahminlerde, 2012 yılında yüzde 1,1 oranında büyüyeceği öngörülen Avro Bölgesinin 2012 yılı Ekim ayında yapılan tahminlerde yüzde 0,4 oranında daralacağı öngörülmektedir. 2013 yılında Avro Bölgesinin yüzde 0,2 oranında büyümesi beklenmektedir. </w:t>
      </w:r>
    </w:p>
    <w:p w:rsidR="00565FD5" w:rsidRPr="00BA1615" w:rsidRDefault="00565FD5" w:rsidP="00565FD5">
      <w:pPr>
        <w:spacing w:after="120"/>
        <w:ind w:firstLine="425"/>
        <w:rPr>
          <w:rFonts w:cs="Tahoma"/>
          <w:color w:val="000000"/>
        </w:rPr>
      </w:pPr>
      <w:r w:rsidRPr="00BA1615">
        <w:rPr>
          <w:rFonts w:cs="Tahoma"/>
          <w:color w:val="000000"/>
        </w:rPr>
        <w:t>2011 yılında yüzde 1,8 oranında büyüyen ABD ekonomisinde, toparlanma eğilimine rağmen, halen zayıf bir büyüme performansı gözlenmektedir. ABD ekonomisinin 2012-2013 yıllarında sırasıyla yüzde 2,2 ve yüzde 2,1 oranında büyümesi öngörülmektedir.</w:t>
      </w:r>
    </w:p>
    <w:p w:rsidR="00565FD5" w:rsidRPr="00BA1615" w:rsidRDefault="00565FD5" w:rsidP="00565FD5">
      <w:pPr>
        <w:spacing w:after="120"/>
        <w:ind w:firstLine="425"/>
        <w:rPr>
          <w:rFonts w:cs="Tahoma"/>
          <w:color w:val="000000"/>
        </w:rPr>
      </w:pPr>
      <w:r w:rsidRPr="00BA1615">
        <w:rPr>
          <w:rFonts w:cs="Tahoma"/>
          <w:color w:val="000000"/>
        </w:rPr>
        <w:t xml:space="preserve">2011 yılında yüzde 5,8 oranında büyüyen dünya ticaret hacminin, ekonomik aktivitede beklenen yavaşlamaya paralel olarak, 2012 yılında yüzde 3,2, 2013 yılında ise yüzde 4,5 oranında artacağı tahmin edilmektedir. 2011 yılında ABD doları bazında yüzde 11,2 oranında artan dünya mal ve hizmet ticareti fiyatlarının, 2012 yılında yüzde 1,9 ve 2013 yılında ise yüzde 0,5 oranında azalacağı öngörülmektedir. </w:t>
      </w:r>
    </w:p>
    <w:p w:rsidR="00565FD5" w:rsidRPr="00BA1615" w:rsidRDefault="00565FD5" w:rsidP="00565FD5">
      <w:pPr>
        <w:spacing w:after="120"/>
        <w:ind w:firstLine="425"/>
        <w:rPr>
          <w:rFonts w:cs="Tahoma"/>
          <w:color w:val="000000"/>
        </w:rPr>
      </w:pPr>
      <w:r w:rsidRPr="00BA1615">
        <w:rPr>
          <w:rFonts w:cs="Tahoma"/>
          <w:color w:val="000000"/>
        </w:rPr>
        <w:t xml:space="preserve">2012 yılının ilk aylarında Orta Doğu’da oluşan siyasi gelişmeler neticesinde artan petrol fiyatları, arz yönlü olumlu gelişmeler ve küresel ekonomik aktivitedeki yavaşlamanın talep baskısını azaltması sonucunda 2012 yılının ikinci çeyreğinden itibaren azalmış, ancak yılın ikinci yarısında yeniden bir artış eğilimine girmiştir. Önümüzdeki dönemde Orta Doğu bölgesinde jeopolitik gelişmelerin ve yaşanan siyasi gerginliklerin tırmanması durumunda petrol fiyatlarında artış olabilecektir.  </w:t>
      </w:r>
    </w:p>
    <w:p w:rsidR="00565FD5" w:rsidRPr="00BA1615" w:rsidRDefault="00565FD5" w:rsidP="00565FD5">
      <w:pPr>
        <w:spacing w:after="120"/>
        <w:ind w:firstLine="425"/>
        <w:rPr>
          <w:rFonts w:cs="Tahoma"/>
          <w:color w:val="000000"/>
        </w:rPr>
      </w:pPr>
      <w:r w:rsidRPr="00BA1615">
        <w:rPr>
          <w:rFonts w:cs="Tahoma"/>
          <w:color w:val="000000"/>
        </w:rPr>
        <w:t xml:space="preserve">Son aylarda başta ABD olmak üzere bazı bölgelerde yaşanan kuraklık sonucu tarımsal üretimde yaşanan sorunlar ve stok seviyelerinin tarihsel ortalamasının altında kalmaya devam etmesi gıda fiyatlarının artmasına yol açmaktadır. Tarımsal emtia fiyatlarında gözlenen artışlar işlenmiş gıda fiyatları ve dolayısıyla gelişmekte olan ülkelerde enflasyon üzerinde yukarı yönlü risk oluşturmaktadır. Emtia fiyatlarındaki dalgalı seyir ise belirsizliği artırmaktadır. </w:t>
      </w:r>
    </w:p>
    <w:p w:rsidR="00565FD5" w:rsidRPr="00BA1615" w:rsidRDefault="00565FD5" w:rsidP="00565FD5">
      <w:pPr>
        <w:spacing w:after="120"/>
        <w:ind w:firstLine="425"/>
        <w:rPr>
          <w:rFonts w:cs="Tahoma"/>
          <w:color w:val="000000"/>
        </w:rPr>
      </w:pPr>
      <w:r w:rsidRPr="00BA1615">
        <w:rPr>
          <w:rFonts w:cs="Tahoma"/>
          <w:color w:val="000000"/>
        </w:rPr>
        <w:t xml:space="preserve">Petrol ve gıda fiyatlarında yaşanan bu gelişmelere ek olarak, ABD Merkez Bankasının ve Avrupa Merkez Bankasının parasal genişleme politikaları </w:t>
      </w:r>
      <w:r w:rsidRPr="00BA1615">
        <w:rPr>
          <w:rFonts w:cs="Tahoma"/>
          <w:color w:val="000000"/>
        </w:rPr>
        <w:lastRenderedPageBreak/>
        <w:t>neticesinde 2011 yılında küresel düzeyde yüzde 4,9 olarak gerçekleşen enflasyon oranının, 2012 yılında yüzde 4 ve 2013 yılında ise yüzde 3,7 seviyesinde gerçekleşeceği tahmin edilmektedir. 2011 yılında gelişmiş ekonomilerde yüzde 2,7 olan enflasyon oranının 2012 ve 2013 yıllarında sırasıyla yüzde 1,9 ve yüzde 1,6 olması beklenmektedir. Yükselen ve gelişmekte olan ülkelerde ise 2011 yılında yüzde 7,2 olan enflasyon oranının 2012 ve 2013 yıllarında sırasıyla yüzde 6,1 ve yüzde 5,8 olacağı tahmin edilmektedir.</w:t>
      </w:r>
    </w:p>
    <w:p w:rsidR="00565FD5" w:rsidRPr="00BA1615" w:rsidRDefault="00565FD5" w:rsidP="00565FD5">
      <w:pPr>
        <w:spacing w:after="120"/>
        <w:ind w:firstLine="425"/>
        <w:rPr>
          <w:rFonts w:cs="Tahoma"/>
          <w:color w:val="000000"/>
        </w:rPr>
      </w:pPr>
      <w:r w:rsidRPr="00BA1615">
        <w:rPr>
          <w:rFonts w:cs="Tahoma"/>
          <w:color w:val="000000"/>
        </w:rPr>
        <w:t>2011 yılında küresel ölçekte ekonomik toparlanmanın zayıf seyretmesine bağlı olarak birçok ülkede istihdam artışının yeterli düzeyde sağlanamaması önemli bir sorun olmaya devam etmiştir. Yunanistan, Portekiz, İrlanda ve İspanya gibi AB ülkelerinde işsizlik oranları yüksek seviyelere çıkarken, genç işsizliği kaygı verici boyutlara ulaşmıştır. 2011 yılında işsizlik oranı Avro Bölgesinde yüzde 10,2, ABD’de yüzde 9 ve OECD genelinde ise yüzde 8 olarak gerçekleşmiştir.</w:t>
      </w:r>
      <w:r w:rsidRPr="00BA1615">
        <w:rPr>
          <w:rFonts w:cs="Tahoma"/>
          <w:color w:val="000000"/>
          <w:vertAlign w:val="superscript"/>
        </w:rPr>
        <w:footnoteReference w:id="3"/>
      </w:r>
      <w:r w:rsidRPr="00BA1615">
        <w:rPr>
          <w:rFonts w:cs="Tahoma"/>
          <w:color w:val="000000"/>
        </w:rPr>
        <w:t xml:space="preserve"> 2012 yılında küresel ekonomik aktivitenin yavaşlamasına paralel olarak istihdamda belirgin bir iyileşme beklenmemektedir. 2012 yılında ABD ve Avro Bölgesi için işsizlik oranları sırasıyla yüzde 8,2 ve yüzde 11,2 olarak tahmin edilmektedir. 2013 yılında ABD’de işsizlik oranının aynı seviyelerde kalacağı, Avro Bölgesinde bir miktar artarak yüzde 11,5 seviyesine yükseleceği beklenmektedir. </w:t>
      </w:r>
    </w:p>
    <w:p w:rsidR="00565FD5" w:rsidRPr="00BA1615" w:rsidRDefault="00565FD5" w:rsidP="00565FD5">
      <w:pPr>
        <w:spacing w:after="120"/>
        <w:ind w:firstLine="425"/>
        <w:rPr>
          <w:rFonts w:cs="Tahoma"/>
          <w:color w:val="000000"/>
        </w:rPr>
      </w:pPr>
      <w:r w:rsidRPr="00BA1615">
        <w:rPr>
          <w:rFonts w:cs="Tahoma"/>
          <w:color w:val="000000"/>
        </w:rPr>
        <w:t xml:space="preserve">Küresel kriz nedeniyle ekonominin canlandırılmasına yönelik alınan önlemler ve finansal sisteme sağlanan destekler, AB üyesi birçok ülkede mali sorunlara ve buna paralel olarak kamu maliyesinde bozulmalara yol açmıştır. Yüksek kamu borç stoku ve bütçe açıklarıyla karşı karşıya olan bazı ülkelerin buna ilave olarak düşük büyüme performansı göstermesi, borçların çevrilebilirliğine yönelik kaygıları daha da artırmıştır. Bu ülkelerde artan risk sonucu kredi notlarının düşürülmesi ise borçlanma maliyetlerini yükseltmiştir. Artan faizler bankaların bilançolarında bulunan devlet tahvillerinin değerinin düşmesine, banka bilançolarının kötüleşmesine ve bankacılık riskinin artmasına neden olmuştur. </w:t>
      </w:r>
    </w:p>
    <w:p w:rsidR="00565FD5" w:rsidRPr="00BA1615" w:rsidRDefault="00565FD5" w:rsidP="00565FD5">
      <w:pPr>
        <w:spacing w:after="120"/>
        <w:ind w:firstLine="425"/>
        <w:rPr>
          <w:rFonts w:cs="Tahoma"/>
          <w:color w:val="000000"/>
        </w:rPr>
      </w:pPr>
      <w:r w:rsidRPr="00BA1615">
        <w:rPr>
          <w:rFonts w:cs="Tahoma"/>
          <w:color w:val="000000"/>
        </w:rPr>
        <w:t xml:space="preserve">Başta Yunanistan, İrlanda ve İtalya olmak üzere AB çevre ülkelerinde yüksek oranlı borçlar ve bozulan mali yapı nedeniyle alınan mali önlemlerin etkisiyle Avro Bölgesinde genel devlet bütçe açığının GSYH’ya oranının </w:t>
      </w:r>
      <w:r w:rsidRPr="00BA1615">
        <w:rPr>
          <w:rFonts w:cs="Tahoma"/>
          <w:color w:val="000000"/>
        </w:rPr>
        <w:lastRenderedPageBreak/>
        <w:t xml:space="preserve">önümüzdeki dönemde gerilemesi beklenmektedir. 2011 yılında yüzde 4,1 seviyesinde olan bu rakamın, 2012 yılında yüzde 3,3’e ve 2013 yılında yüzde 2,6’ya düşeceği tahmin edilmektedir. 2010 yılı sonunda Avro Bölgesi genelinde yüzde 85,4 olan genel devlet brüt borç stokunun GSYH’ya oranı 2011 yılı sonunda yüzde 88’e yükselmiştir. AB ülkeleri arasında farklılık göstermekle birlikte, genel devlet brüt borç stokunun GSYH’ya oranındaki artış eğiliminin devam edeceği ve bu oranın 2012 ve 2013 yıllarında sırasıyla yüzde 93,6 ve yüzde 94,9 olacağı tahmin edilmektedir.  </w:t>
      </w:r>
    </w:p>
    <w:p w:rsidR="00565FD5" w:rsidRPr="00BA1615" w:rsidRDefault="00565FD5" w:rsidP="00565FD5">
      <w:pPr>
        <w:spacing w:after="120"/>
        <w:rPr>
          <w:rFonts w:cs="Tahoma"/>
          <w:color w:val="000000"/>
        </w:rPr>
      </w:pPr>
      <w:r w:rsidRPr="00BA1615">
        <w:rPr>
          <w:rFonts w:cs="Tahoma"/>
          <w:color w:val="000000"/>
        </w:rPr>
        <w:tab/>
        <w:t xml:space="preserve">ABD ekonomisinde ekonomik toparlanmanın yavaş seyretmesi ve orta vadeli mali planın ortaya konulmamış olması nedeniyle bütçe açığının önemli derecede azalması beklenmemektedir. 2011 yılında yüzde 10,1 olan genel devlet bütçe açığının GSYH’ya oranının 2012 ve 2013 yıllarında sırasıyla yüzde 8,7 ve yüzde 7,3 olacağı tahmin edilmektedir. Genel devlet brüt borç stokunun GSYH’ya oranının ise artmaya devam ederek 2012 yılında yüzde 107,2’ye, 2013 yılında yüzde 111,7’ye yükselmesi beklenmektedir. </w:t>
      </w:r>
    </w:p>
    <w:p w:rsidR="00565FD5" w:rsidRPr="00BA1615" w:rsidRDefault="00565FD5" w:rsidP="00565FD5">
      <w:pPr>
        <w:spacing w:after="120"/>
        <w:ind w:firstLine="425"/>
        <w:rPr>
          <w:rFonts w:cs="Tahoma"/>
          <w:color w:val="000000"/>
        </w:rPr>
      </w:pPr>
      <w:r w:rsidRPr="00BA1615">
        <w:rPr>
          <w:rFonts w:cs="Tahoma"/>
          <w:color w:val="000000"/>
        </w:rPr>
        <w:t xml:space="preserve">Son yıllarda uluslararası sermaye akımları mali sorunlar yaşayan ve genişletici para politikası uygulayan gelişmiş ekonomilerden, kriz sürecini çabuk atlatan, yüksek büyüme potansiyeline sahip gelişmekte olan ekonomilere yönelmiştir. 2010 yılında yükselen ve gelişmekte olan ekonomilere net dış kaynak akışı 2009 yılına göre yüzde 79,4 oranında artarak 604,7 milyar ABD dolarına yükselmiş, ancak yaşanan olumsuz gelişmeler nedeniyle 2011 yılında 503 milyar ABD doları seviyesine gerilemiştir. Gelişmiş ülkelerdeki zayıf bankacılık yapısı ve finans sektöründeki bilanço küçültme süreci, artan küresel risk algısı ve belirsizliklere ek olarak gelişmekte olan ülkelerde büyümenin yavaşlaması ve enflasyonun artması sonucu ekonomik görünümün bozulması nedeniyle, gelişmekte olan ülkelere akan net dış kaynak miktarının önemli ölçüde etkilenmesi beklenmektedir. Net dış kaynak akışlarının 2012 ve 2013 yıllarında krizin ilk dönemindeki seviyelerine dönmesi ve sırasıyla 268,3 milyar ABD doları ve 399,6 milyar ABD doları seviyesinde gerçekleşmesi beklenmektedir. </w:t>
      </w:r>
    </w:p>
    <w:p w:rsidR="00565FD5" w:rsidRPr="00127363" w:rsidRDefault="00565FD5" w:rsidP="00565FD5">
      <w:pPr>
        <w:pStyle w:val="ResimYazs"/>
        <w:rPr>
          <w:rFonts w:cs="Tahoma"/>
          <w:sz w:val="14"/>
          <w:szCs w:val="14"/>
        </w:rPr>
      </w:pPr>
      <w:bookmarkStart w:id="206" w:name="_Toc338605953"/>
      <w:bookmarkStart w:id="207" w:name="_Toc338711728"/>
      <w:bookmarkStart w:id="208" w:name="_Toc307601591"/>
      <w:bookmarkStart w:id="209" w:name="_Toc307657833"/>
      <w:bookmarkStart w:id="210" w:name="_Toc307713498"/>
      <w:r>
        <w:t xml:space="preserve">TABLO II: </w:t>
      </w:r>
      <w:fldSimple w:instr=" SEQ TABLO_II: \* ARABIC ">
        <w:r>
          <w:rPr>
            <w:noProof/>
          </w:rPr>
          <w:t>1</w:t>
        </w:r>
      </w:fldSimple>
      <w:r w:rsidRPr="00127363">
        <w:rPr>
          <w:rFonts w:cs="Tahoma"/>
          <w:szCs w:val="16"/>
        </w:rPr>
        <w:t>- Dünya Ekonomisinde Temel Göstergeler</w:t>
      </w:r>
      <w:bookmarkEnd w:id="206"/>
      <w:bookmarkEnd w:id="207"/>
    </w:p>
    <w:p w:rsidR="00565FD5" w:rsidRPr="00D04880" w:rsidRDefault="00565FD5" w:rsidP="00565FD5">
      <w:pPr>
        <w:tabs>
          <w:tab w:val="left" w:pos="2862"/>
          <w:tab w:val="left" w:pos="3359"/>
          <w:tab w:val="left" w:pos="3856"/>
          <w:tab w:val="left" w:pos="4641"/>
          <w:tab w:val="left" w:pos="5427"/>
        </w:tabs>
        <w:jc w:val="right"/>
        <w:rPr>
          <w:rFonts w:cs="Tahoma"/>
          <w:b/>
          <w:sz w:val="14"/>
          <w:szCs w:val="14"/>
        </w:rPr>
      </w:pPr>
      <w:r w:rsidRPr="00BA1615">
        <w:rPr>
          <w:rFonts w:cs="Tahoma"/>
          <w:b/>
          <w:color w:val="000000"/>
          <w:sz w:val="14"/>
          <w:szCs w:val="14"/>
        </w:rPr>
        <w:tab/>
      </w:r>
      <w:r w:rsidRPr="00BA1615">
        <w:rPr>
          <w:rFonts w:cs="Tahoma"/>
          <w:b/>
          <w:color w:val="000000"/>
          <w:sz w:val="14"/>
          <w:szCs w:val="14"/>
        </w:rPr>
        <w:tab/>
      </w:r>
      <w:r w:rsidRPr="00BA1615">
        <w:rPr>
          <w:rFonts w:cs="Tahoma"/>
          <w:b/>
          <w:color w:val="000000"/>
          <w:sz w:val="14"/>
          <w:szCs w:val="14"/>
        </w:rPr>
        <w:tab/>
      </w:r>
      <w:r w:rsidRPr="00BA1615">
        <w:rPr>
          <w:rFonts w:cs="Tahoma"/>
          <w:b/>
          <w:color w:val="000000"/>
          <w:sz w:val="14"/>
          <w:szCs w:val="14"/>
        </w:rPr>
        <w:tab/>
      </w:r>
      <w:r w:rsidRPr="00BA1615">
        <w:rPr>
          <w:rFonts w:cs="Tahoma"/>
          <w:b/>
          <w:color w:val="000000"/>
          <w:sz w:val="14"/>
          <w:szCs w:val="14"/>
        </w:rPr>
        <w:tab/>
      </w:r>
      <w:r w:rsidRPr="00D04880">
        <w:rPr>
          <w:rFonts w:cs="Tahoma"/>
          <w:sz w:val="14"/>
          <w:szCs w:val="14"/>
        </w:rPr>
        <w:t>(Yüzde Değişim)</w:t>
      </w:r>
    </w:p>
    <w:tbl>
      <w:tblPr>
        <w:tblW w:w="4899" w:type="pct"/>
        <w:jc w:val="center"/>
        <w:tblCellMar>
          <w:left w:w="70" w:type="dxa"/>
          <w:right w:w="70" w:type="dxa"/>
        </w:tblCellMar>
        <w:tblLook w:val="00A0"/>
      </w:tblPr>
      <w:tblGrid>
        <w:gridCol w:w="2814"/>
        <w:gridCol w:w="497"/>
        <w:gridCol w:w="497"/>
        <w:gridCol w:w="802"/>
        <w:gridCol w:w="802"/>
        <w:gridCol w:w="1013"/>
        <w:gridCol w:w="712"/>
      </w:tblGrid>
      <w:tr w:rsidR="00565FD5" w:rsidRPr="00BA1615" w:rsidTr="00AB62A3">
        <w:trPr>
          <w:trHeight w:val="397"/>
          <w:jc w:val="center"/>
        </w:trPr>
        <w:tc>
          <w:tcPr>
            <w:tcW w:w="1971" w:type="pct"/>
            <w:tcBorders>
              <w:top w:val="single" w:sz="8" w:space="0" w:color="auto"/>
              <w:left w:val="single" w:sz="8" w:space="0" w:color="auto"/>
              <w:bottom w:val="single" w:sz="8" w:space="0" w:color="auto"/>
              <w:right w:val="nil"/>
            </w:tcBorders>
            <w:noWrap/>
            <w:vAlign w:val="center"/>
          </w:tcPr>
          <w:p w:rsidR="00565FD5" w:rsidRPr="00BA1615" w:rsidRDefault="00565FD5" w:rsidP="00AB62A3">
            <w:pPr>
              <w:rPr>
                <w:rFonts w:cs="Tahoma"/>
                <w:b/>
                <w:color w:val="000000"/>
                <w:sz w:val="14"/>
                <w:szCs w:val="14"/>
              </w:rPr>
            </w:pPr>
            <w:r w:rsidRPr="00BA1615">
              <w:rPr>
                <w:rFonts w:cs="Tahoma"/>
                <w:b/>
                <w:color w:val="000000"/>
                <w:sz w:val="14"/>
                <w:szCs w:val="14"/>
              </w:rPr>
              <w:t> </w:t>
            </w:r>
          </w:p>
        </w:tc>
        <w:tc>
          <w:tcPr>
            <w:tcW w:w="348" w:type="pct"/>
            <w:tcBorders>
              <w:top w:val="single" w:sz="8" w:space="0" w:color="auto"/>
              <w:left w:val="nil"/>
              <w:bottom w:val="single" w:sz="8" w:space="0" w:color="auto"/>
              <w:right w:val="nil"/>
            </w:tcBorders>
            <w:noWrap/>
            <w:vAlign w:val="center"/>
          </w:tcPr>
          <w:p w:rsidR="00565FD5" w:rsidRPr="00BA1615" w:rsidRDefault="00565FD5" w:rsidP="00AB62A3">
            <w:pPr>
              <w:jc w:val="right"/>
              <w:rPr>
                <w:rFonts w:cs="Tahoma"/>
                <w:b/>
                <w:color w:val="000000"/>
                <w:sz w:val="14"/>
                <w:szCs w:val="14"/>
              </w:rPr>
            </w:pPr>
            <w:r w:rsidRPr="00BA1615">
              <w:rPr>
                <w:rFonts w:cs="Tahoma"/>
                <w:b/>
                <w:color w:val="000000"/>
                <w:sz w:val="14"/>
                <w:szCs w:val="14"/>
              </w:rPr>
              <w:t>2010</w:t>
            </w:r>
          </w:p>
        </w:tc>
        <w:tc>
          <w:tcPr>
            <w:tcW w:w="348" w:type="pct"/>
            <w:tcBorders>
              <w:top w:val="single" w:sz="8" w:space="0" w:color="auto"/>
              <w:left w:val="nil"/>
              <w:bottom w:val="single" w:sz="8" w:space="0" w:color="auto"/>
              <w:right w:val="nil"/>
            </w:tcBorders>
            <w:noWrap/>
            <w:vAlign w:val="center"/>
          </w:tcPr>
          <w:p w:rsidR="00565FD5" w:rsidRPr="00BA1615" w:rsidRDefault="00565FD5" w:rsidP="00AB62A3">
            <w:pPr>
              <w:jc w:val="right"/>
              <w:rPr>
                <w:rFonts w:cs="Tahoma"/>
                <w:b/>
                <w:color w:val="000000"/>
                <w:sz w:val="14"/>
                <w:szCs w:val="14"/>
              </w:rPr>
            </w:pPr>
            <w:r w:rsidRPr="00BA1615">
              <w:rPr>
                <w:rFonts w:cs="Tahoma"/>
                <w:b/>
                <w:color w:val="000000"/>
                <w:sz w:val="14"/>
                <w:szCs w:val="14"/>
              </w:rPr>
              <w:t>2011</w:t>
            </w:r>
          </w:p>
        </w:tc>
        <w:tc>
          <w:tcPr>
            <w:tcW w:w="562" w:type="pct"/>
            <w:tcBorders>
              <w:top w:val="single" w:sz="8" w:space="0" w:color="auto"/>
              <w:left w:val="nil"/>
              <w:bottom w:val="single" w:sz="8" w:space="0" w:color="auto"/>
              <w:right w:val="nil"/>
            </w:tcBorders>
            <w:noWrap/>
            <w:vAlign w:val="center"/>
          </w:tcPr>
          <w:p w:rsidR="00565FD5" w:rsidRPr="00BA1615" w:rsidRDefault="00565FD5" w:rsidP="00AB62A3">
            <w:pPr>
              <w:jc w:val="right"/>
              <w:rPr>
                <w:rFonts w:cs="Tahoma"/>
                <w:b/>
                <w:color w:val="000000"/>
                <w:sz w:val="14"/>
                <w:szCs w:val="14"/>
                <w:vertAlign w:val="superscript"/>
              </w:rPr>
            </w:pPr>
            <w:r w:rsidRPr="00BA1615">
              <w:rPr>
                <w:rFonts w:cs="Tahoma"/>
                <w:b/>
                <w:color w:val="000000"/>
                <w:sz w:val="14"/>
                <w:szCs w:val="14"/>
              </w:rPr>
              <w:t>2012(1)</w:t>
            </w:r>
          </w:p>
        </w:tc>
        <w:tc>
          <w:tcPr>
            <w:tcW w:w="562" w:type="pct"/>
            <w:tcBorders>
              <w:top w:val="single" w:sz="8" w:space="0" w:color="auto"/>
              <w:left w:val="nil"/>
              <w:bottom w:val="single" w:sz="8" w:space="0" w:color="auto"/>
              <w:right w:val="nil"/>
            </w:tcBorders>
            <w:noWrap/>
            <w:vAlign w:val="center"/>
          </w:tcPr>
          <w:p w:rsidR="00565FD5" w:rsidRPr="00BA1615" w:rsidRDefault="00565FD5" w:rsidP="00AB62A3">
            <w:pPr>
              <w:jc w:val="right"/>
              <w:rPr>
                <w:rFonts w:cs="Tahoma"/>
                <w:b/>
                <w:color w:val="000000"/>
                <w:sz w:val="14"/>
                <w:szCs w:val="14"/>
                <w:vertAlign w:val="superscript"/>
              </w:rPr>
            </w:pPr>
            <w:r w:rsidRPr="00BA1615">
              <w:rPr>
                <w:rFonts w:cs="Tahoma"/>
                <w:b/>
                <w:color w:val="000000"/>
                <w:sz w:val="14"/>
                <w:szCs w:val="14"/>
              </w:rPr>
              <w:t>2012(2)</w:t>
            </w:r>
          </w:p>
        </w:tc>
        <w:tc>
          <w:tcPr>
            <w:tcW w:w="710" w:type="pct"/>
            <w:tcBorders>
              <w:top w:val="single" w:sz="8" w:space="0" w:color="auto"/>
              <w:left w:val="nil"/>
              <w:bottom w:val="single" w:sz="8" w:space="0" w:color="auto"/>
              <w:right w:val="nil"/>
            </w:tcBorders>
            <w:noWrap/>
            <w:vAlign w:val="center"/>
          </w:tcPr>
          <w:p w:rsidR="00565FD5" w:rsidRPr="00BA1615" w:rsidRDefault="00565FD5" w:rsidP="00AB62A3">
            <w:pPr>
              <w:jc w:val="right"/>
              <w:rPr>
                <w:rFonts w:cs="Tahoma"/>
                <w:b/>
                <w:color w:val="000000"/>
                <w:sz w:val="14"/>
                <w:szCs w:val="14"/>
              </w:rPr>
            </w:pPr>
            <w:r w:rsidRPr="00BA1615">
              <w:rPr>
                <w:rFonts w:cs="Tahoma"/>
                <w:b/>
                <w:color w:val="000000"/>
                <w:sz w:val="14"/>
                <w:szCs w:val="14"/>
              </w:rPr>
              <w:t>2012(3)</w:t>
            </w:r>
          </w:p>
        </w:tc>
        <w:tc>
          <w:tcPr>
            <w:tcW w:w="500" w:type="pct"/>
            <w:tcBorders>
              <w:top w:val="single" w:sz="8" w:space="0" w:color="auto"/>
              <w:left w:val="nil"/>
              <w:bottom w:val="single" w:sz="8" w:space="0" w:color="auto"/>
              <w:right w:val="single" w:sz="8" w:space="0" w:color="auto"/>
            </w:tcBorders>
            <w:noWrap/>
            <w:vAlign w:val="center"/>
          </w:tcPr>
          <w:p w:rsidR="00565FD5" w:rsidRPr="00BA1615" w:rsidRDefault="00565FD5" w:rsidP="00AB62A3">
            <w:pPr>
              <w:jc w:val="right"/>
              <w:rPr>
                <w:rFonts w:cs="Tahoma"/>
                <w:b/>
                <w:color w:val="000000"/>
                <w:sz w:val="14"/>
                <w:szCs w:val="14"/>
              </w:rPr>
            </w:pPr>
            <w:r w:rsidRPr="00BA1615">
              <w:rPr>
                <w:rFonts w:cs="Tahoma"/>
                <w:b/>
                <w:color w:val="000000"/>
                <w:sz w:val="14"/>
                <w:szCs w:val="14"/>
              </w:rPr>
              <w:t>2013(3)</w:t>
            </w:r>
          </w:p>
        </w:tc>
      </w:tr>
      <w:tr w:rsidR="00565FD5" w:rsidRPr="00BA1615" w:rsidTr="00AB62A3">
        <w:trPr>
          <w:trHeight w:val="198"/>
          <w:jc w:val="center"/>
        </w:trPr>
        <w:tc>
          <w:tcPr>
            <w:tcW w:w="1971" w:type="pct"/>
            <w:tcBorders>
              <w:top w:val="single" w:sz="8" w:space="0" w:color="auto"/>
              <w:left w:val="single" w:sz="8" w:space="0" w:color="auto"/>
              <w:bottom w:val="nil"/>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lastRenderedPageBreak/>
              <w:t>Dünya Hasılası</w:t>
            </w:r>
          </w:p>
        </w:tc>
        <w:tc>
          <w:tcPr>
            <w:tcW w:w="348"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5,1</w:t>
            </w:r>
          </w:p>
        </w:tc>
        <w:tc>
          <w:tcPr>
            <w:tcW w:w="348"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3,8</w:t>
            </w:r>
          </w:p>
        </w:tc>
        <w:tc>
          <w:tcPr>
            <w:tcW w:w="562"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3,5</w:t>
            </w:r>
          </w:p>
        </w:tc>
        <w:tc>
          <w:tcPr>
            <w:tcW w:w="562"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3,5</w:t>
            </w:r>
          </w:p>
        </w:tc>
        <w:tc>
          <w:tcPr>
            <w:tcW w:w="710"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3,3</w:t>
            </w:r>
          </w:p>
        </w:tc>
        <w:tc>
          <w:tcPr>
            <w:tcW w:w="500" w:type="pct"/>
            <w:tcBorders>
              <w:top w:val="single" w:sz="8" w:space="0" w:color="auto"/>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3,6</w:t>
            </w: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ind w:firstLine="185"/>
              <w:rPr>
                <w:rFonts w:cs="Tahoma"/>
                <w:color w:val="000000"/>
                <w:sz w:val="14"/>
                <w:szCs w:val="14"/>
              </w:rPr>
            </w:pPr>
            <w:r w:rsidRPr="00BA1615">
              <w:rPr>
                <w:rFonts w:cs="Tahoma"/>
                <w:color w:val="000000"/>
                <w:sz w:val="14"/>
                <w:szCs w:val="14"/>
              </w:rPr>
              <w:t>Gelişmiş Ekonomiler</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3,0</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1,6</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1,4</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1,4</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1,3</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1,5</w:t>
            </w: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ab/>
              <w:t>ABD</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3,0</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1,8</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2,1</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2,0</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2,2</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2,1</w:t>
            </w: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ab/>
              <w:t>Japonya</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4,4</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-0,7</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2,0</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2,4</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2,2</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1,2</w:t>
            </w: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ab/>
              <w:t>Avro Bölgesi</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2,0</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1,4</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-0,3</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-0,3</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-0,4</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0,2</w:t>
            </w: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ab/>
              <w:t>Almanya</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4,0</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3,1</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0,6</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1,0</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0,9</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0,9</w:t>
            </w: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ind w:firstLine="185"/>
              <w:rPr>
                <w:rFonts w:cs="Tahoma"/>
                <w:color w:val="000000"/>
                <w:sz w:val="14"/>
                <w:szCs w:val="14"/>
              </w:rPr>
            </w:pPr>
            <w:r w:rsidRPr="00BA1615">
              <w:rPr>
                <w:rFonts w:cs="Tahoma"/>
                <w:color w:val="000000"/>
                <w:sz w:val="14"/>
                <w:szCs w:val="14"/>
              </w:rPr>
              <w:t>Yükselen ve Gelişmekte Olan Ekonomiler</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7,4</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6,2</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5,7</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5,6</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5,3</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5,6</w:t>
            </w: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ab/>
              <w:t>Afrika (Sahra Altı)</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5,3</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5,1</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5,4</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5,4</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5,0</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5,7</w:t>
            </w: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ab/>
              <w:t>Orta ve Doğu Avrupa</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4,6</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5,3</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1,9</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1,9</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2,0</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2,6</w:t>
            </w: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ab/>
              <w:t>Bağımsız Devletler Topluluğu</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4,8</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4,9</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4,2</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4,1</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4,0</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4,1</w:t>
            </w: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ab/>
            </w:r>
            <w:r w:rsidRPr="00BA1615">
              <w:rPr>
                <w:rFonts w:cs="Tahoma"/>
                <w:color w:val="000000"/>
                <w:sz w:val="14"/>
                <w:szCs w:val="14"/>
              </w:rPr>
              <w:tab/>
              <w:t>Rusya</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4,3</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4,3</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4,0</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4,0</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3,7</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3,8</w:t>
            </w: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ind w:firstLine="185"/>
              <w:rPr>
                <w:rFonts w:cs="Tahoma"/>
                <w:color w:val="000000"/>
                <w:sz w:val="14"/>
                <w:szCs w:val="14"/>
              </w:rPr>
            </w:pPr>
            <w:r w:rsidRPr="00BA1615">
              <w:rPr>
                <w:rFonts w:cs="Tahoma"/>
                <w:color w:val="000000"/>
                <w:sz w:val="14"/>
                <w:szCs w:val="14"/>
              </w:rPr>
              <w:tab/>
              <w:t>Gelişen Asya</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9,5</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7,8</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7,3</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7,1</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6,7</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7,2</w:t>
            </w: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ab/>
            </w:r>
            <w:r w:rsidRPr="00BA1615">
              <w:rPr>
                <w:rFonts w:cs="Tahoma"/>
                <w:color w:val="000000"/>
                <w:sz w:val="14"/>
                <w:szCs w:val="14"/>
              </w:rPr>
              <w:tab/>
              <w:t>Çin</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10,4</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9,2</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8,2</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8,0</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7,8</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8,2</w:t>
            </w: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ab/>
            </w:r>
            <w:r w:rsidRPr="00BA1615">
              <w:rPr>
                <w:rFonts w:cs="Tahoma"/>
                <w:color w:val="000000"/>
                <w:sz w:val="14"/>
                <w:szCs w:val="14"/>
              </w:rPr>
              <w:tab/>
              <w:t>Hindistan</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10,1</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6,8</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6,9</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6,1</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4,9</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6,0</w:t>
            </w: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ind w:firstLine="185"/>
              <w:rPr>
                <w:rFonts w:cs="Tahoma"/>
                <w:color w:val="000000"/>
                <w:sz w:val="14"/>
                <w:szCs w:val="14"/>
              </w:rPr>
            </w:pPr>
            <w:r w:rsidRPr="00BA1615">
              <w:rPr>
                <w:rFonts w:cs="Tahoma"/>
                <w:color w:val="000000"/>
                <w:sz w:val="14"/>
                <w:szCs w:val="14"/>
              </w:rPr>
              <w:tab/>
              <w:t>Latin Amerika</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6,2</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4,5</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3,7</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3,4</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3,2</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3,9</w:t>
            </w: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ab/>
            </w:r>
            <w:r w:rsidRPr="00BA1615">
              <w:rPr>
                <w:rFonts w:cs="Tahoma"/>
                <w:color w:val="000000"/>
                <w:sz w:val="14"/>
                <w:szCs w:val="14"/>
              </w:rPr>
              <w:tab/>
              <w:t>Brezilya</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7,5</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2,7</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3,0</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2,5</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1,5</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4,0</w:t>
            </w:r>
          </w:p>
        </w:tc>
      </w:tr>
      <w:tr w:rsidR="00565FD5" w:rsidRPr="00BA1615" w:rsidTr="00AB62A3">
        <w:trPr>
          <w:trHeight w:val="198"/>
          <w:jc w:val="center"/>
        </w:trPr>
        <w:tc>
          <w:tcPr>
            <w:tcW w:w="1971" w:type="pct"/>
            <w:tcBorders>
              <w:top w:val="nil"/>
              <w:left w:val="single" w:sz="8" w:space="0" w:color="auto"/>
              <w:bottom w:val="single" w:sz="8" w:space="0" w:color="auto"/>
              <w:right w:val="nil"/>
            </w:tcBorders>
            <w:noWrap/>
            <w:vAlign w:val="bottom"/>
          </w:tcPr>
          <w:p w:rsidR="00565FD5" w:rsidRPr="00BA1615" w:rsidRDefault="00565FD5" w:rsidP="00AB62A3">
            <w:pPr>
              <w:ind w:firstLine="185"/>
              <w:rPr>
                <w:rFonts w:cs="Tahoma"/>
                <w:color w:val="000000"/>
                <w:sz w:val="14"/>
                <w:szCs w:val="14"/>
              </w:rPr>
            </w:pPr>
            <w:r w:rsidRPr="00BA1615">
              <w:rPr>
                <w:rFonts w:cs="Tahoma"/>
                <w:color w:val="000000"/>
                <w:sz w:val="14"/>
                <w:szCs w:val="14"/>
              </w:rPr>
              <w:tab/>
              <w:t>Orta Doğu ve Kuzey Afrika</w:t>
            </w:r>
          </w:p>
        </w:tc>
        <w:tc>
          <w:tcPr>
            <w:tcW w:w="348"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5,0</w:t>
            </w:r>
          </w:p>
        </w:tc>
        <w:tc>
          <w:tcPr>
            <w:tcW w:w="348"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3,3</w:t>
            </w:r>
          </w:p>
        </w:tc>
        <w:tc>
          <w:tcPr>
            <w:tcW w:w="562"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4,2</w:t>
            </w:r>
          </w:p>
        </w:tc>
        <w:tc>
          <w:tcPr>
            <w:tcW w:w="562"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5,5</w:t>
            </w:r>
          </w:p>
        </w:tc>
        <w:tc>
          <w:tcPr>
            <w:tcW w:w="710"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5,3</w:t>
            </w:r>
          </w:p>
        </w:tc>
        <w:tc>
          <w:tcPr>
            <w:tcW w:w="500" w:type="pct"/>
            <w:tcBorders>
              <w:top w:val="nil"/>
              <w:left w:val="nil"/>
              <w:bottom w:val="single" w:sz="8" w:space="0" w:color="auto"/>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3,6</w:t>
            </w:r>
          </w:p>
        </w:tc>
      </w:tr>
      <w:tr w:rsidR="00565FD5" w:rsidRPr="00BA1615" w:rsidTr="00AB62A3">
        <w:trPr>
          <w:trHeight w:val="198"/>
          <w:jc w:val="center"/>
        </w:trPr>
        <w:tc>
          <w:tcPr>
            <w:tcW w:w="1971" w:type="pct"/>
            <w:tcBorders>
              <w:top w:val="single" w:sz="8" w:space="0" w:color="auto"/>
              <w:left w:val="single" w:sz="8" w:space="0" w:color="auto"/>
              <w:bottom w:val="nil"/>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Dünya Ticaret Hacmi</w:t>
            </w:r>
          </w:p>
        </w:tc>
        <w:tc>
          <w:tcPr>
            <w:tcW w:w="348"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12,6</w:t>
            </w:r>
          </w:p>
        </w:tc>
        <w:tc>
          <w:tcPr>
            <w:tcW w:w="348"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5,8</w:t>
            </w:r>
          </w:p>
        </w:tc>
        <w:tc>
          <w:tcPr>
            <w:tcW w:w="562"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4,0</w:t>
            </w:r>
          </w:p>
        </w:tc>
        <w:tc>
          <w:tcPr>
            <w:tcW w:w="562"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3,8</w:t>
            </w:r>
          </w:p>
        </w:tc>
        <w:tc>
          <w:tcPr>
            <w:tcW w:w="710"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3,2</w:t>
            </w:r>
          </w:p>
        </w:tc>
        <w:tc>
          <w:tcPr>
            <w:tcW w:w="500" w:type="pct"/>
            <w:tcBorders>
              <w:top w:val="single" w:sz="8" w:space="0" w:color="auto"/>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4,5</w:t>
            </w: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Mal ve Hizmet İthalatı</w:t>
            </w:r>
          </w:p>
        </w:tc>
        <w:tc>
          <w:tcPr>
            <w:tcW w:w="348" w:type="pct"/>
            <w:noWrap/>
            <w:vAlign w:val="bottom"/>
          </w:tcPr>
          <w:p w:rsidR="00565FD5" w:rsidRPr="00BA1615" w:rsidRDefault="00565FD5" w:rsidP="00AB62A3">
            <w:pPr>
              <w:jc w:val="right"/>
              <w:rPr>
                <w:sz w:val="14"/>
                <w:szCs w:val="14"/>
              </w:rPr>
            </w:pPr>
          </w:p>
        </w:tc>
        <w:tc>
          <w:tcPr>
            <w:tcW w:w="348" w:type="pct"/>
            <w:noWrap/>
            <w:vAlign w:val="bottom"/>
          </w:tcPr>
          <w:p w:rsidR="00565FD5" w:rsidRPr="00BA1615" w:rsidRDefault="00565FD5" w:rsidP="00AB62A3">
            <w:pPr>
              <w:rPr>
                <w:sz w:val="14"/>
                <w:szCs w:val="14"/>
              </w:rPr>
            </w:pPr>
          </w:p>
        </w:tc>
        <w:tc>
          <w:tcPr>
            <w:tcW w:w="562" w:type="pct"/>
            <w:noWrap/>
            <w:vAlign w:val="bottom"/>
          </w:tcPr>
          <w:p w:rsidR="00565FD5" w:rsidRPr="00BA1615" w:rsidRDefault="00565FD5" w:rsidP="00AB62A3">
            <w:pPr>
              <w:rPr>
                <w:sz w:val="14"/>
                <w:szCs w:val="14"/>
              </w:rPr>
            </w:pPr>
          </w:p>
        </w:tc>
        <w:tc>
          <w:tcPr>
            <w:tcW w:w="562" w:type="pct"/>
            <w:noWrap/>
            <w:vAlign w:val="bottom"/>
          </w:tcPr>
          <w:p w:rsidR="00565FD5" w:rsidRPr="00BA1615" w:rsidRDefault="00565FD5" w:rsidP="00AB62A3">
            <w:pPr>
              <w:jc w:val="right"/>
              <w:rPr>
                <w:rFonts w:cs="Tahoma"/>
                <w:color w:val="000000"/>
                <w:sz w:val="14"/>
                <w:szCs w:val="14"/>
              </w:rPr>
            </w:pPr>
          </w:p>
        </w:tc>
        <w:tc>
          <w:tcPr>
            <w:tcW w:w="710" w:type="pct"/>
            <w:noWrap/>
            <w:vAlign w:val="bottom"/>
          </w:tcPr>
          <w:p w:rsidR="00565FD5" w:rsidRPr="00BA1615" w:rsidRDefault="00565FD5" w:rsidP="00AB62A3">
            <w:pPr>
              <w:rPr>
                <w:sz w:val="14"/>
                <w:szCs w:val="14"/>
              </w:rPr>
            </w:pP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   Gelişmiş Ekonomiler</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11,4</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4,4</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1,8</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1,9</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1,7</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3,3</w:t>
            </w:r>
          </w:p>
        </w:tc>
      </w:tr>
      <w:tr w:rsidR="00565FD5" w:rsidRPr="00BA1615" w:rsidTr="00AB62A3">
        <w:trPr>
          <w:trHeight w:val="198"/>
          <w:jc w:val="center"/>
        </w:trPr>
        <w:tc>
          <w:tcPr>
            <w:tcW w:w="1971" w:type="pct"/>
            <w:tcBorders>
              <w:top w:val="nil"/>
              <w:left w:val="single" w:sz="8" w:space="0" w:color="auto"/>
              <w:bottom w:val="single" w:sz="8" w:space="0" w:color="auto"/>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   Yükselen ve Gelişmekte Olan Ekonomiler</w:t>
            </w:r>
          </w:p>
        </w:tc>
        <w:tc>
          <w:tcPr>
            <w:tcW w:w="348"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14,9</w:t>
            </w:r>
          </w:p>
        </w:tc>
        <w:tc>
          <w:tcPr>
            <w:tcW w:w="348"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8,8</w:t>
            </w:r>
          </w:p>
        </w:tc>
        <w:tc>
          <w:tcPr>
            <w:tcW w:w="562"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8,4</w:t>
            </w:r>
          </w:p>
        </w:tc>
        <w:tc>
          <w:tcPr>
            <w:tcW w:w="562"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7,8</w:t>
            </w:r>
          </w:p>
        </w:tc>
        <w:tc>
          <w:tcPr>
            <w:tcW w:w="710"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7,0</w:t>
            </w:r>
          </w:p>
        </w:tc>
        <w:tc>
          <w:tcPr>
            <w:tcW w:w="500" w:type="pct"/>
            <w:tcBorders>
              <w:top w:val="nil"/>
              <w:left w:val="nil"/>
              <w:bottom w:val="single" w:sz="8" w:space="0" w:color="auto"/>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6,6</w:t>
            </w:r>
          </w:p>
        </w:tc>
      </w:tr>
      <w:tr w:rsidR="00565FD5" w:rsidRPr="00BA1615" w:rsidTr="00AB62A3">
        <w:trPr>
          <w:trHeight w:val="198"/>
          <w:jc w:val="center"/>
        </w:trPr>
        <w:tc>
          <w:tcPr>
            <w:tcW w:w="1971" w:type="pct"/>
            <w:tcBorders>
              <w:top w:val="single" w:sz="8" w:space="0" w:color="auto"/>
              <w:left w:val="single" w:sz="8" w:space="0" w:color="auto"/>
              <w:bottom w:val="nil"/>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Tüketici Fiyatları (Yıllık Ortalama, Yüzde)</w:t>
            </w:r>
          </w:p>
        </w:tc>
        <w:tc>
          <w:tcPr>
            <w:tcW w:w="348"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p>
        </w:tc>
        <w:tc>
          <w:tcPr>
            <w:tcW w:w="348"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p>
        </w:tc>
        <w:tc>
          <w:tcPr>
            <w:tcW w:w="562"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p>
        </w:tc>
        <w:tc>
          <w:tcPr>
            <w:tcW w:w="562"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p>
        </w:tc>
        <w:tc>
          <w:tcPr>
            <w:tcW w:w="710"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p>
        </w:tc>
        <w:tc>
          <w:tcPr>
            <w:tcW w:w="500" w:type="pct"/>
            <w:tcBorders>
              <w:top w:val="single" w:sz="8" w:space="0" w:color="auto"/>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   Gelişmiş Ekonomiler</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1,5</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2,7</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1,9</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2,0</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1,9</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1,6</w:t>
            </w: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ind w:firstLine="327"/>
              <w:rPr>
                <w:rFonts w:cs="Tahoma"/>
                <w:color w:val="000000"/>
                <w:sz w:val="14"/>
                <w:szCs w:val="14"/>
              </w:rPr>
            </w:pPr>
            <w:r w:rsidRPr="00BA1615">
              <w:rPr>
                <w:rFonts w:cs="Tahoma"/>
                <w:color w:val="000000"/>
                <w:sz w:val="14"/>
                <w:szCs w:val="14"/>
              </w:rPr>
              <w:t>ABD</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1,6</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3,1</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2,1</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2,0</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1,8</w:t>
            </w: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ind w:firstLine="327"/>
              <w:rPr>
                <w:rFonts w:cs="Tahoma"/>
                <w:color w:val="000000"/>
                <w:sz w:val="14"/>
                <w:szCs w:val="14"/>
              </w:rPr>
            </w:pPr>
            <w:r w:rsidRPr="00BA1615">
              <w:rPr>
                <w:rFonts w:cs="Tahoma"/>
                <w:color w:val="000000"/>
                <w:sz w:val="14"/>
                <w:szCs w:val="14"/>
              </w:rPr>
              <w:t>Avro Bölgesi</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1,6</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2,7</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2,0</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2,3</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1,6</w:t>
            </w:r>
          </w:p>
        </w:tc>
      </w:tr>
      <w:tr w:rsidR="00565FD5" w:rsidRPr="00BA1615" w:rsidTr="00AB62A3">
        <w:trPr>
          <w:trHeight w:val="198"/>
          <w:jc w:val="center"/>
        </w:trPr>
        <w:tc>
          <w:tcPr>
            <w:tcW w:w="1971" w:type="pct"/>
            <w:tcBorders>
              <w:top w:val="nil"/>
              <w:left w:val="single" w:sz="8" w:space="0" w:color="auto"/>
              <w:bottom w:val="single" w:sz="8" w:space="0" w:color="auto"/>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   Yükselen ve Gelişmekte Olan Ekonomiler</w:t>
            </w:r>
          </w:p>
        </w:tc>
        <w:tc>
          <w:tcPr>
            <w:tcW w:w="348"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6,1</w:t>
            </w:r>
          </w:p>
        </w:tc>
        <w:tc>
          <w:tcPr>
            <w:tcW w:w="348"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7,2</w:t>
            </w:r>
          </w:p>
        </w:tc>
        <w:tc>
          <w:tcPr>
            <w:tcW w:w="562"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6,2</w:t>
            </w:r>
          </w:p>
        </w:tc>
        <w:tc>
          <w:tcPr>
            <w:tcW w:w="562"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6,3</w:t>
            </w:r>
          </w:p>
        </w:tc>
        <w:tc>
          <w:tcPr>
            <w:tcW w:w="710"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6,1</w:t>
            </w:r>
          </w:p>
        </w:tc>
        <w:tc>
          <w:tcPr>
            <w:tcW w:w="500" w:type="pct"/>
            <w:tcBorders>
              <w:top w:val="nil"/>
              <w:left w:val="nil"/>
              <w:bottom w:val="single" w:sz="8" w:space="0" w:color="auto"/>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5,8</w:t>
            </w:r>
          </w:p>
        </w:tc>
      </w:tr>
      <w:tr w:rsidR="00565FD5" w:rsidRPr="00BA1615" w:rsidTr="00AB62A3">
        <w:trPr>
          <w:trHeight w:val="198"/>
          <w:jc w:val="center"/>
        </w:trPr>
        <w:tc>
          <w:tcPr>
            <w:tcW w:w="1971" w:type="pct"/>
            <w:tcBorders>
              <w:top w:val="single" w:sz="8" w:space="0" w:color="auto"/>
              <w:left w:val="single" w:sz="8" w:space="0" w:color="auto"/>
              <w:bottom w:val="nil"/>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İşsizlik Oranı (Yüzde)</w:t>
            </w:r>
          </w:p>
        </w:tc>
        <w:tc>
          <w:tcPr>
            <w:tcW w:w="348"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p>
        </w:tc>
        <w:tc>
          <w:tcPr>
            <w:tcW w:w="348"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p>
        </w:tc>
        <w:tc>
          <w:tcPr>
            <w:tcW w:w="562"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p>
        </w:tc>
        <w:tc>
          <w:tcPr>
            <w:tcW w:w="562"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p>
        </w:tc>
        <w:tc>
          <w:tcPr>
            <w:tcW w:w="710"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p>
        </w:tc>
        <w:tc>
          <w:tcPr>
            <w:tcW w:w="500" w:type="pct"/>
            <w:tcBorders>
              <w:top w:val="single" w:sz="8" w:space="0" w:color="auto"/>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lastRenderedPageBreak/>
              <w:t>   Gelişmiş Ekonomiler</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8,3</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7,9</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7,9</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8,0</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8,1</w:t>
            </w: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ind w:firstLine="327"/>
              <w:rPr>
                <w:rFonts w:cs="Tahoma"/>
                <w:color w:val="000000"/>
                <w:sz w:val="14"/>
                <w:szCs w:val="14"/>
              </w:rPr>
            </w:pPr>
            <w:r w:rsidRPr="00BA1615">
              <w:rPr>
                <w:rFonts w:cs="Tahoma"/>
                <w:color w:val="000000"/>
                <w:sz w:val="14"/>
                <w:szCs w:val="14"/>
              </w:rPr>
              <w:t>ABD</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9,6</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9,0</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8,2</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8,2</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8,1</w:t>
            </w:r>
          </w:p>
        </w:tc>
      </w:tr>
      <w:tr w:rsidR="00565FD5" w:rsidRPr="00BA1615" w:rsidTr="00AB62A3">
        <w:trPr>
          <w:trHeight w:val="198"/>
          <w:jc w:val="center"/>
        </w:trPr>
        <w:tc>
          <w:tcPr>
            <w:tcW w:w="1971" w:type="pct"/>
            <w:tcBorders>
              <w:top w:val="nil"/>
              <w:left w:val="single" w:sz="8" w:space="0" w:color="auto"/>
              <w:bottom w:val="single" w:sz="8" w:space="0" w:color="auto"/>
              <w:right w:val="nil"/>
            </w:tcBorders>
            <w:noWrap/>
            <w:vAlign w:val="bottom"/>
          </w:tcPr>
          <w:p w:rsidR="00565FD5" w:rsidRPr="00BA1615" w:rsidRDefault="00565FD5" w:rsidP="00AB62A3">
            <w:pPr>
              <w:ind w:firstLine="327"/>
              <w:rPr>
                <w:rFonts w:cs="Tahoma"/>
                <w:color w:val="000000"/>
                <w:sz w:val="14"/>
                <w:szCs w:val="14"/>
              </w:rPr>
            </w:pPr>
            <w:r w:rsidRPr="00BA1615">
              <w:rPr>
                <w:rFonts w:cs="Tahoma"/>
                <w:color w:val="000000"/>
                <w:sz w:val="14"/>
                <w:szCs w:val="14"/>
              </w:rPr>
              <w:t>Avro Bölgesi</w:t>
            </w:r>
          </w:p>
        </w:tc>
        <w:tc>
          <w:tcPr>
            <w:tcW w:w="348"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10,1</w:t>
            </w:r>
          </w:p>
        </w:tc>
        <w:tc>
          <w:tcPr>
            <w:tcW w:w="348"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10,2</w:t>
            </w:r>
          </w:p>
        </w:tc>
        <w:tc>
          <w:tcPr>
            <w:tcW w:w="562"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10,9</w:t>
            </w:r>
          </w:p>
        </w:tc>
        <w:tc>
          <w:tcPr>
            <w:tcW w:w="562"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w:t>
            </w:r>
          </w:p>
        </w:tc>
        <w:tc>
          <w:tcPr>
            <w:tcW w:w="710"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11,2</w:t>
            </w:r>
          </w:p>
        </w:tc>
        <w:tc>
          <w:tcPr>
            <w:tcW w:w="500" w:type="pct"/>
            <w:tcBorders>
              <w:top w:val="nil"/>
              <w:left w:val="nil"/>
              <w:bottom w:val="single" w:sz="8" w:space="0" w:color="auto"/>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11,5</w:t>
            </w:r>
          </w:p>
        </w:tc>
      </w:tr>
      <w:tr w:rsidR="00565FD5" w:rsidRPr="00BA1615" w:rsidTr="00AB62A3">
        <w:trPr>
          <w:trHeight w:val="198"/>
          <w:jc w:val="center"/>
        </w:trPr>
        <w:tc>
          <w:tcPr>
            <w:tcW w:w="1971" w:type="pct"/>
            <w:tcBorders>
              <w:top w:val="single" w:sz="8" w:space="0" w:color="auto"/>
              <w:left w:val="single" w:sz="8" w:space="0" w:color="auto"/>
              <w:bottom w:val="nil"/>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Genel Devlet Bütçe Dengesi/GSYH (Yüzde)</w:t>
            </w:r>
          </w:p>
        </w:tc>
        <w:tc>
          <w:tcPr>
            <w:tcW w:w="348"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p>
        </w:tc>
        <w:tc>
          <w:tcPr>
            <w:tcW w:w="348"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p>
        </w:tc>
        <w:tc>
          <w:tcPr>
            <w:tcW w:w="562"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p>
        </w:tc>
        <w:tc>
          <w:tcPr>
            <w:tcW w:w="562"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p>
        </w:tc>
        <w:tc>
          <w:tcPr>
            <w:tcW w:w="710"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p>
        </w:tc>
        <w:tc>
          <w:tcPr>
            <w:tcW w:w="500" w:type="pct"/>
            <w:tcBorders>
              <w:top w:val="single" w:sz="8" w:space="0" w:color="auto"/>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ind w:firstLine="327"/>
              <w:rPr>
                <w:rFonts w:cs="Tahoma"/>
                <w:color w:val="000000"/>
                <w:sz w:val="14"/>
                <w:szCs w:val="14"/>
              </w:rPr>
            </w:pPr>
            <w:r w:rsidRPr="00BA1615">
              <w:rPr>
                <w:rFonts w:cs="Tahoma"/>
                <w:color w:val="000000"/>
                <w:sz w:val="14"/>
                <w:szCs w:val="14"/>
              </w:rPr>
              <w:t>ABD</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-11,2</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-10,1</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-8,1</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-8,2</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-8,7</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-7,3</w:t>
            </w:r>
          </w:p>
        </w:tc>
      </w:tr>
      <w:tr w:rsidR="00565FD5" w:rsidRPr="00BA1615" w:rsidTr="00AB62A3">
        <w:trPr>
          <w:trHeight w:val="198"/>
          <w:jc w:val="center"/>
        </w:trPr>
        <w:tc>
          <w:tcPr>
            <w:tcW w:w="1971" w:type="pct"/>
            <w:tcBorders>
              <w:top w:val="nil"/>
              <w:left w:val="single" w:sz="8" w:space="0" w:color="auto"/>
              <w:bottom w:val="single" w:sz="8" w:space="0" w:color="auto"/>
              <w:right w:val="nil"/>
            </w:tcBorders>
            <w:noWrap/>
            <w:vAlign w:val="bottom"/>
          </w:tcPr>
          <w:p w:rsidR="00565FD5" w:rsidRPr="00BA1615" w:rsidRDefault="00565FD5" w:rsidP="00AB62A3">
            <w:pPr>
              <w:ind w:firstLine="327"/>
              <w:rPr>
                <w:rFonts w:cs="Tahoma"/>
                <w:color w:val="000000"/>
                <w:sz w:val="14"/>
                <w:szCs w:val="14"/>
              </w:rPr>
            </w:pPr>
            <w:r w:rsidRPr="00BA1615">
              <w:rPr>
                <w:rFonts w:cs="Tahoma"/>
                <w:color w:val="000000"/>
                <w:sz w:val="14"/>
                <w:szCs w:val="14"/>
              </w:rPr>
              <w:t>Avro Bölgesi</w:t>
            </w:r>
          </w:p>
        </w:tc>
        <w:tc>
          <w:tcPr>
            <w:tcW w:w="348"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-6,2</w:t>
            </w:r>
          </w:p>
        </w:tc>
        <w:tc>
          <w:tcPr>
            <w:tcW w:w="348"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-4,1</w:t>
            </w:r>
          </w:p>
        </w:tc>
        <w:tc>
          <w:tcPr>
            <w:tcW w:w="562"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-3,2</w:t>
            </w:r>
          </w:p>
        </w:tc>
        <w:tc>
          <w:tcPr>
            <w:tcW w:w="562"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-3,2</w:t>
            </w:r>
          </w:p>
        </w:tc>
        <w:tc>
          <w:tcPr>
            <w:tcW w:w="710"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-3,3</w:t>
            </w:r>
          </w:p>
        </w:tc>
        <w:tc>
          <w:tcPr>
            <w:tcW w:w="500" w:type="pct"/>
            <w:tcBorders>
              <w:top w:val="nil"/>
              <w:left w:val="nil"/>
              <w:bottom w:val="single" w:sz="8" w:space="0" w:color="auto"/>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-2,6</w:t>
            </w:r>
          </w:p>
        </w:tc>
      </w:tr>
      <w:tr w:rsidR="00565FD5" w:rsidRPr="00BA1615" w:rsidTr="00AB62A3">
        <w:trPr>
          <w:trHeight w:val="198"/>
          <w:jc w:val="center"/>
        </w:trPr>
        <w:tc>
          <w:tcPr>
            <w:tcW w:w="1971" w:type="pct"/>
            <w:tcBorders>
              <w:top w:val="single" w:sz="8" w:space="0" w:color="auto"/>
              <w:left w:val="single" w:sz="8" w:space="0" w:color="auto"/>
              <w:bottom w:val="nil"/>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Genel Devlet Brüt Borç Stoku/GSYH (Yüzde)</w:t>
            </w:r>
          </w:p>
        </w:tc>
        <w:tc>
          <w:tcPr>
            <w:tcW w:w="348" w:type="pct"/>
            <w:tcBorders>
              <w:top w:val="single" w:sz="8" w:space="0" w:color="auto"/>
              <w:left w:val="nil"/>
              <w:bottom w:val="nil"/>
              <w:right w:val="nil"/>
            </w:tcBorders>
            <w:noWrap/>
            <w:vAlign w:val="bottom"/>
          </w:tcPr>
          <w:p w:rsidR="00565FD5" w:rsidRPr="00BA1615" w:rsidRDefault="00565FD5" w:rsidP="00AB62A3">
            <w:pPr>
              <w:rPr>
                <w:rFonts w:cs="Tahoma"/>
                <w:color w:val="000000"/>
                <w:sz w:val="14"/>
                <w:szCs w:val="14"/>
              </w:rPr>
            </w:pPr>
          </w:p>
        </w:tc>
        <w:tc>
          <w:tcPr>
            <w:tcW w:w="348"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p>
        </w:tc>
        <w:tc>
          <w:tcPr>
            <w:tcW w:w="562"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p>
        </w:tc>
        <w:tc>
          <w:tcPr>
            <w:tcW w:w="562"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p>
        </w:tc>
        <w:tc>
          <w:tcPr>
            <w:tcW w:w="710" w:type="pct"/>
            <w:tcBorders>
              <w:top w:val="single" w:sz="8" w:space="0" w:color="auto"/>
              <w:left w:val="nil"/>
              <w:bottom w:val="nil"/>
              <w:right w:val="nil"/>
            </w:tcBorders>
            <w:noWrap/>
            <w:vAlign w:val="bottom"/>
          </w:tcPr>
          <w:p w:rsidR="00565FD5" w:rsidRPr="00BA1615" w:rsidRDefault="00565FD5" w:rsidP="00AB62A3">
            <w:pPr>
              <w:jc w:val="right"/>
              <w:rPr>
                <w:rFonts w:cs="Tahoma"/>
                <w:color w:val="000000"/>
                <w:sz w:val="14"/>
                <w:szCs w:val="14"/>
              </w:rPr>
            </w:pPr>
          </w:p>
        </w:tc>
        <w:tc>
          <w:tcPr>
            <w:tcW w:w="500" w:type="pct"/>
            <w:tcBorders>
              <w:top w:val="single" w:sz="8" w:space="0" w:color="auto"/>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p>
        </w:tc>
      </w:tr>
      <w:tr w:rsidR="00565FD5" w:rsidRPr="00BA1615" w:rsidTr="00AB62A3">
        <w:trPr>
          <w:trHeight w:val="198"/>
          <w:jc w:val="center"/>
        </w:trPr>
        <w:tc>
          <w:tcPr>
            <w:tcW w:w="1971" w:type="pct"/>
            <w:tcBorders>
              <w:top w:val="nil"/>
              <w:left w:val="single" w:sz="8" w:space="0" w:color="auto"/>
              <w:bottom w:val="nil"/>
              <w:right w:val="nil"/>
            </w:tcBorders>
            <w:noWrap/>
            <w:vAlign w:val="bottom"/>
          </w:tcPr>
          <w:p w:rsidR="00565FD5" w:rsidRPr="00BA1615" w:rsidRDefault="00565FD5" w:rsidP="00AB62A3">
            <w:pPr>
              <w:ind w:firstLine="327"/>
              <w:rPr>
                <w:rFonts w:cs="Tahoma"/>
                <w:color w:val="000000"/>
                <w:sz w:val="14"/>
                <w:szCs w:val="14"/>
              </w:rPr>
            </w:pPr>
            <w:r w:rsidRPr="00BA1615">
              <w:rPr>
                <w:rFonts w:cs="Tahoma"/>
                <w:color w:val="000000"/>
                <w:sz w:val="14"/>
                <w:szCs w:val="14"/>
              </w:rPr>
              <w:t>ABD</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98,6</w:t>
            </w:r>
          </w:p>
        </w:tc>
        <w:tc>
          <w:tcPr>
            <w:tcW w:w="348"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102,9</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106,6</w:t>
            </w:r>
          </w:p>
        </w:tc>
        <w:tc>
          <w:tcPr>
            <w:tcW w:w="562"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106,7</w:t>
            </w:r>
          </w:p>
        </w:tc>
        <w:tc>
          <w:tcPr>
            <w:tcW w:w="710" w:type="pct"/>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107,2</w:t>
            </w:r>
          </w:p>
        </w:tc>
        <w:tc>
          <w:tcPr>
            <w:tcW w:w="500" w:type="pct"/>
            <w:tcBorders>
              <w:top w:val="nil"/>
              <w:left w:val="nil"/>
              <w:bottom w:val="nil"/>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111,7</w:t>
            </w:r>
          </w:p>
        </w:tc>
      </w:tr>
      <w:tr w:rsidR="00565FD5" w:rsidRPr="00BA1615" w:rsidTr="00AB62A3">
        <w:trPr>
          <w:trHeight w:val="198"/>
          <w:jc w:val="center"/>
        </w:trPr>
        <w:tc>
          <w:tcPr>
            <w:tcW w:w="1971" w:type="pct"/>
            <w:tcBorders>
              <w:top w:val="nil"/>
              <w:left w:val="single" w:sz="8" w:space="0" w:color="auto"/>
              <w:bottom w:val="single" w:sz="8" w:space="0" w:color="auto"/>
              <w:right w:val="nil"/>
            </w:tcBorders>
            <w:noWrap/>
            <w:vAlign w:val="bottom"/>
          </w:tcPr>
          <w:p w:rsidR="00565FD5" w:rsidRPr="00BA1615" w:rsidRDefault="00565FD5" w:rsidP="00AB62A3">
            <w:pPr>
              <w:ind w:firstLine="327"/>
              <w:rPr>
                <w:rFonts w:cs="Tahoma"/>
                <w:color w:val="000000"/>
                <w:sz w:val="14"/>
                <w:szCs w:val="14"/>
              </w:rPr>
            </w:pPr>
            <w:r w:rsidRPr="00BA1615">
              <w:rPr>
                <w:rFonts w:cs="Tahoma"/>
                <w:color w:val="000000"/>
                <w:sz w:val="14"/>
                <w:szCs w:val="14"/>
              </w:rPr>
              <w:t>Avro Bölgesi</w:t>
            </w:r>
          </w:p>
        </w:tc>
        <w:tc>
          <w:tcPr>
            <w:tcW w:w="348"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85,4</w:t>
            </w:r>
          </w:p>
        </w:tc>
        <w:tc>
          <w:tcPr>
            <w:tcW w:w="348"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88,0</w:t>
            </w:r>
          </w:p>
        </w:tc>
        <w:tc>
          <w:tcPr>
            <w:tcW w:w="562"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90,0</w:t>
            </w:r>
          </w:p>
        </w:tc>
        <w:tc>
          <w:tcPr>
            <w:tcW w:w="562"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91,9</w:t>
            </w:r>
          </w:p>
        </w:tc>
        <w:tc>
          <w:tcPr>
            <w:tcW w:w="710"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93,6</w:t>
            </w:r>
          </w:p>
        </w:tc>
        <w:tc>
          <w:tcPr>
            <w:tcW w:w="500" w:type="pct"/>
            <w:tcBorders>
              <w:top w:val="nil"/>
              <w:left w:val="nil"/>
              <w:bottom w:val="single" w:sz="8" w:space="0" w:color="auto"/>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94,9</w:t>
            </w:r>
          </w:p>
        </w:tc>
      </w:tr>
      <w:tr w:rsidR="00565FD5" w:rsidRPr="00BA1615" w:rsidTr="00AB62A3">
        <w:trPr>
          <w:trHeight w:val="198"/>
          <w:jc w:val="center"/>
        </w:trPr>
        <w:tc>
          <w:tcPr>
            <w:tcW w:w="1971" w:type="pct"/>
            <w:tcBorders>
              <w:top w:val="nil"/>
              <w:left w:val="single" w:sz="8" w:space="0" w:color="auto"/>
              <w:bottom w:val="single" w:sz="8" w:space="0" w:color="auto"/>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Ortalama Petrol Fiyatları (Dolar/Varil)</w:t>
            </w:r>
          </w:p>
        </w:tc>
        <w:tc>
          <w:tcPr>
            <w:tcW w:w="348"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79,0</w:t>
            </w:r>
          </w:p>
        </w:tc>
        <w:tc>
          <w:tcPr>
            <w:tcW w:w="348"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104,0</w:t>
            </w:r>
          </w:p>
        </w:tc>
        <w:tc>
          <w:tcPr>
            <w:tcW w:w="562"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114,7</w:t>
            </w:r>
          </w:p>
        </w:tc>
        <w:tc>
          <w:tcPr>
            <w:tcW w:w="562"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101,8</w:t>
            </w:r>
          </w:p>
        </w:tc>
        <w:tc>
          <w:tcPr>
            <w:tcW w:w="710"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106,2</w:t>
            </w:r>
          </w:p>
        </w:tc>
        <w:tc>
          <w:tcPr>
            <w:tcW w:w="500" w:type="pct"/>
            <w:tcBorders>
              <w:top w:val="nil"/>
              <w:left w:val="nil"/>
              <w:bottom w:val="single" w:sz="8" w:space="0" w:color="auto"/>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105,1</w:t>
            </w:r>
          </w:p>
        </w:tc>
      </w:tr>
      <w:tr w:rsidR="00565FD5" w:rsidRPr="00BA1615" w:rsidTr="00AB62A3">
        <w:trPr>
          <w:trHeight w:val="198"/>
          <w:jc w:val="center"/>
        </w:trPr>
        <w:tc>
          <w:tcPr>
            <w:tcW w:w="1971" w:type="pct"/>
            <w:tcBorders>
              <w:top w:val="nil"/>
              <w:left w:val="single" w:sz="8" w:space="0" w:color="auto"/>
              <w:bottom w:val="single" w:sz="8" w:space="0" w:color="auto"/>
              <w:right w:val="nil"/>
            </w:tcBorders>
            <w:noWrap/>
            <w:vAlign w:val="bottom"/>
          </w:tcPr>
          <w:p w:rsidR="00565FD5" w:rsidRPr="00BA1615" w:rsidRDefault="00565FD5" w:rsidP="00AB62A3">
            <w:pPr>
              <w:rPr>
                <w:rFonts w:cs="Tahoma"/>
                <w:color w:val="000000"/>
                <w:sz w:val="14"/>
                <w:szCs w:val="14"/>
              </w:rPr>
            </w:pPr>
            <w:r w:rsidRPr="00BA1615">
              <w:rPr>
                <w:rFonts w:cs="Tahoma"/>
                <w:color w:val="000000"/>
                <w:sz w:val="14"/>
                <w:szCs w:val="14"/>
              </w:rPr>
              <w:t>LIBOR, Altı Aylık ABD Doları (Yüzde)</w:t>
            </w:r>
          </w:p>
        </w:tc>
        <w:tc>
          <w:tcPr>
            <w:tcW w:w="348"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0,5</w:t>
            </w:r>
          </w:p>
        </w:tc>
        <w:tc>
          <w:tcPr>
            <w:tcW w:w="348"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0,5</w:t>
            </w:r>
          </w:p>
        </w:tc>
        <w:tc>
          <w:tcPr>
            <w:tcW w:w="562"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0,7</w:t>
            </w:r>
          </w:p>
        </w:tc>
        <w:tc>
          <w:tcPr>
            <w:tcW w:w="562"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0,8</w:t>
            </w:r>
          </w:p>
        </w:tc>
        <w:tc>
          <w:tcPr>
            <w:tcW w:w="710" w:type="pct"/>
            <w:tcBorders>
              <w:top w:val="nil"/>
              <w:left w:val="nil"/>
              <w:bottom w:val="single" w:sz="8" w:space="0" w:color="auto"/>
              <w:right w:val="nil"/>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0,7</w:t>
            </w:r>
          </w:p>
        </w:tc>
        <w:tc>
          <w:tcPr>
            <w:tcW w:w="500" w:type="pct"/>
            <w:tcBorders>
              <w:top w:val="nil"/>
              <w:left w:val="nil"/>
              <w:bottom w:val="single" w:sz="8" w:space="0" w:color="auto"/>
              <w:right w:val="single" w:sz="8" w:space="0" w:color="auto"/>
            </w:tcBorders>
            <w:noWrap/>
            <w:vAlign w:val="bottom"/>
          </w:tcPr>
          <w:p w:rsidR="00565FD5" w:rsidRPr="00BA1615" w:rsidRDefault="00565FD5" w:rsidP="00AB62A3">
            <w:pPr>
              <w:jc w:val="right"/>
              <w:rPr>
                <w:rFonts w:cs="Tahoma"/>
                <w:color w:val="000000"/>
                <w:sz w:val="14"/>
                <w:szCs w:val="14"/>
              </w:rPr>
            </w:pPr>
            <w:r w:rsidRPr="00BA1615">
              <w:rPr>
                <w:rFonts w:cs="Tahoma"/>
                <w:color w:val="000000"/>
                <w:sz w:val="14"/>
                <w:szCs w:val="14"/>
              </w:rPr>
              <w:t>0,6</w:t>
            </w:r>
          </w:p>
        </w:tc>
      </w:tr>
    </w:tbl>
    <w:p w:rsidR="00565FD5" w:rsidRPr="00BA1615" w:rsidRDefault="00565FD5" w:rsidP="00565FD5">
      <w:pPr>
        <w:autoSpaceDE w:val="0"/>
        <w:autoSpaceDN w:val="0"/>
        <w:adjustRightInd w:val="0"/>
        <w:rPr>
          <w:rFonts w:cs="Tahoma"/>
          <w:color w:val="000000"/>
          <w:sz w:val="14"/>
          <w:szCs w:val="14"/>
        </w:rPr>
      </w:pPr>
      <w:r>
        <w:rPr>
          <w:rFonts w:cs="Tahoma"/>
          <w:color w:val="000000"/>
          <w:sz w:val="14"/>
          <w:szCs w:val="14"/>
        </w:rPr>
        <w:t>(</w:t>
      </w:r>
      <w:r w:rsidRPr="00BA1615">
        <w:rPr>
          <w:rFonts w:cs="Tahoma"/>
          <w:color w:val="000000"/>
          <w:sz w:val="14"/>
          <w:szCs w:val="14"/>
        </w:rPr>
        <w:t xml:space="preserve">1) IMF Dünya Ekonomik Görünüm Raporu, Nisan 2012 </w:t>
      </w:r>
    </w:p>
    <w:p w:rsidR="00565FD5" w:rsidRPr="00BA1615" w:rsidRDefault="00565FD5" w:rsidP="00565FD5">
      <w:pPr>
        <w:autoSpaceDE w:val="0"/>
        <w:autoSpaceDN w:val="0"/>
        <w:adjustRightInd w:val="0"/>
        <w:rPr>
          <w:rFonts w:cs="Tahoma"/>
          <w:color w:val="000000"/>
          <w:sz w:val="14"/>
          <w:szCs w:val="14"/>
        </w:rPr>
      </w:pPr>
      <w:r w:rsidRPr="00BA1615">
        <w:rPr>
          <w:rFonts w:cs="Tahoma"/>
          <w:color w:val="000000"/>
          <w:sz w:val="14"/>
          <w:szCs w:val="14"/>
        </w:rPr>
        <w:t>(2) IMF Dünya Ekonomik Görünüm Raporu, Temmuz Güncellemesi 2012</w:t>
      </w:r>
      <w:bookmarkEnd w:id="208"/>
      <w:bookmarkEnd w:id="209"/>
      <w:bookmarkEnd w:id="210"/>
    </w:p>
    <w:p w:rsidR="00565FD5" w:rsidRDefault="00565FD5" w:rsidP="00565FD5">
      <w:pPr>
        <w:tabs>
          <w:tab w:val="left" w:pos="0"/>
        </w:tabs>
        <w:autoSpaceDE w:val="0"/>
        <w:autoSpaceDN w:val="0"/>
        <w:adjustRightInd w:val="0"/>
        <w:spacing w:after="360"/>
        <w:rPr>
          <w:rFonts w:cs="Tahoma"/>
          <w:color w:val="000000"/>
          <w:sz w:val="14"/>
          <w:szCs w:val="14"/>
        </w:rPr>
      </w:pPr>
      <w:r w:rsidRPr="00BA1615">
        <w:rPr>
          <w:rFonts w:cs="Tahoma"/>
          <w:color w:val="000000"/>
          <w:sz w:val="14"/>
          <w:szCs w:val="14"/>
        </w:rPr>
        <w:t>(3) IMF Dünya Ekonomik Görünüm Raporu, Ekim 2012</w:t>
      </w:r>
    </w:p>
    <w:p w:rsidR="00565FD5" w:rsidRPr="00BA1615" w:rsidRDefault="00565FD5" w:rsidP="00565FD5">
      <w:pPr>
        <w:spacing w:after="60"/>
        <w:ind w:firstLine="425"/>
        <w:rPr>
          <w:rFonts w:cs="Tahoma"/>
          <w:color w:val="000000"/>
        </w:rPr>
      </w:pPr>
      <w:r w:rsidRPr="00BA1615">
        <w:rPr>
          <w:rFonts w:cs="Tahoma"/>
          <w:color w:val="000000"/>
        </w:rPr>
        <w:t>Artan emtia fiyatlarından dolayı yüksek cari fazla veren emtia ihracatçısı gelişmekte olan ülkeler bu dönemde döviz rezervlerini hızla artırmışlardır. Yükselen ve gelişmekte olan ekonomiler 2010 yılında 862,9 milyar ABD doları, 2011 yılında ise 765,3 milyar ABD doları rezerv artışı kaydetmiştir. Söz konusu artışın 2012 ve 2013 yıllarında sırasıyla 565,7 ve 632,3 milyar ABD doları seviyesine ulaşması beklenmektedir. Yükselen ve gelişmekte olan ekonomilerin güçlü kamu dengesi ve sahip oldukları yüksek döviz rezervleri bu ülkelerin dış şoklara karşı dayanıklılıklarını artırmaktadır. Ancak, sermaye akımlarının oynaklığı ve kurlar üzerinde yarattığı baskı gelişmekte olan ülkelerde makro finansal kırılganlığı artıran risk unsuru olmaya devam etmektedir.</w:t>
      </w:r>
    </w:p>
    <w:p w:rsidR="00565FD5" w:rsidRPr="00BA1615" w:rsidRDefault="00565FD5" w:rsidP="00565FD5">
      <w:pPr>
        <w:spacing w:after="60"/>
        <w:ind w:firstLine="425"/>
        <w:rPr>
          <w:rFonts w:cs="Tahoma"/>
          <w:color w:val="000000"/>
        </w:rPr>
      </w:pPr>
      <w:r w:rsidRPr="00BA1615">
        <w:rPr>
          <w:rFonts w:cs="Tahoma"/>
          <w:color w:val="000000"/>
        </w:rPr>
        <w:t xml:space="preserve">Küresel düzeyde ekonomik iyileşme orta vadede kademeli olarak devam etmekle birlikte, aşağı yönlü risklerin ve belirsizliklerin önümüzdeki dönemde de devam etmesi beklenmektedir. Avro Bölgesi liderleri, krizle mücadele etmek için kurumsal yapının güçlendirilmesi, bankacılık birliği yol haritasının oluşturulması, ortak denetim mekanizmasının kurulması, kurtarma fonlarına esneklik kazandırılması, Avrupa İstikrar Mekanizmasına bankaları doğrudan </w:t>
      </w:r>
      <w:r w:rsidRPr="00BA1615">
        <w:rPr>
          <w:rFonts w:cs="Tahoma"/>
          <w:color w:val="000000"/>
        </w:rPr>
        <w:lastRenderedPageBreak/>
        <w:t xml:space="preserve">sermayelendirme yetkisinin verilmesi konularında önemli kararlar almışlardır. Ancak, bu kararların ayrıntıları ve nasıl uygulanacağına yönelik belirsizlikler devam etmekte ve küresel ekonomi açısından önemli bir risk unsuru oluşturmaktadır. Bu gelişmelere paralel olarak, Avrupa’da yüksek seyreden borç oranları, zayıf bankacılık yapısı ve bankaların bilanço düzeltme süreci,  2013 yılında ABD'de </w:t>
      </w:r>
      <w:r>
        <w:rPr>
          <w:rFonts w:cs="Tahoma"/>
          <w:color w:val="000000"/>
        </w:rPr>
        <w:t>m</w:t>
      </w:r>
      <w:r w:rsidRPr="00BA1615">
        <w:rPr>
          <w:rFonts w:cs="Tahoma"/>
          <w:color w:val="000000"/>
        </w:rPr>
        <w:t xml:space="preserve">ali </w:t>
      </w:r>
      <w:r>
        <w:rPr>
          <w:rFonts w:cs="Tahoma"/>
          <w:color w:val="000000"/>
        </w:rPr>
        <w:t>u</w:t>
      </w:r>
      <w:r w:rsidRPr="00BA1615">
        <w:rPr>
          <w:rFonts w:cs="Tahoma"/>
          <w:color w:val="000000"/>
        </w:rPr>
        <w:t xml:space="preserve">çurum olarak adlandırılan aşırı bir mali sıkılaştırma olması ihtimali ve gelişmekte olan ve yükselen ekonomilerde büyümenin daha da yavaşlaması ihtimali küresel düzeyde öne çıkan diğer risk unsurlarıdır. Avro Bölgesinde borç krizinin kontrol altına alınamaması, alınan kararların uygulanmaması ve finansal stresin daha da artması, ABD’de mali uçurum ve borç tavanı riskinin ortadan kaldırılamaması ve petrol fiyatlarının daha da yükselmesi, 2012 yılında yüzde 3,3 olarak öngörülen küresel büyüme tahmininin daha da düşük gerçekleşmesine neden olabilecektir. </w:t>
      </w:r>
    </w:p>
    <w:p w:rsidR="00565FD5" w:rsidRPr="00BA1615" w:rsidRDefault="00565FD5" w:rsidP="00565FD5">
      <w:pPr>
        <w:spacing w:after="60"/>
        <w:ind w:firstLine="425"/>
        <w:rPr>
          <w:rFonts w:cs="Tahoma"/>
          <w:color w:val="000000"/>
        </w:rPr>
      </w:pPr>
      <w:r w:rsidRPr="00BA1615">
        <w:rPr>
          <w:rFonts w:cs="Tahoma"/>
          <w:color w:val="000000"/>
        </w:rPr>
        <w:t xml:space="preserve">2012 yılında yapılan G-20 zirvelerinde büyümenin ve istihdamın desteklenmesi yönünde önemli kararlar alınmıştır. Küresel krizin çözümüne yönelik uluslararası işbirliği ve koordineli hareket edilmesi kapsamında, G-20 platformu gibi gelişmekte olan ülkelerin ağırlığının giderek arttığı hükümetler üstü yapıların etkin çalışması gereği önemini korumaktadır. </w:t>
      </w:r>
    </w:p>
    <w:p w:rsidR="00565FD5" w:rsidRDefault="00565FD5" w:rsidP="00565FD5">
      <w:pPr>
        <w:pStyle w:val="Balk2"/>
        <w:spacing w:after="160"/>
      </w:pPr>
      <w:bookmarkStart w:id="211" w:name="_Toc307601927"/>
      <w:bookmarkStart w:id="212" w:name="_Toc307670375"/>
      <w:bookmarkStart w:id="213" w:name="_Toc307701601"/>
      <w:bookmarkStart w:id="214" w:name="_Toc338494207"/>
      <w:bookmarkStart w:id="215" w:name="_Toc338494371"/>
      <w:bookmarkStart w:id="216" w:name="_Toc338505508"/>
      <w:bookmarkStart w:id="217" w:name="_Toc338505723"/>
      <w:bookmarkStart w:id="218" w:name="_Toc338505760"/>
      <w:bookmarkStart w:id="219" w:name="_Toc338523725"/>
      <w:bookmarkStart w:id="220" w:name="_Toc338523966"/>
      <w:bookmarkStart w:id="221" w:name="_Toc338526192"/>
      <w:bookmarkStart w:id="222" w:name="_Toc338673635"/>
      <w:bookmarkStart w:id="223" w:name="_Toc338711514"/>
      <w:r>
        <w:t xml:space="preserve">II. </w:t>
      </w:r>
      <w:r w:rsidRPr="002D17EE">
        <w:t>TÜRKİYE EKONOMİSİNDE GELİŞMELER VE HEDEFLER</w:t>
      </w:r>
      <w:bookmarkEnd w:id="211"/>
      <w:bookmarkEnd w:id="212"/>
      <w:bookmarkEnd w:id="213"/>
      <w:bookmarkEnd w:id="214"/>
      <w:bookmarkEnd w:id="215"/>
      <w:bookmarkEnd w:id="216"/>
      <w:bookmarkEnd w:id="217"/>
      <w:bookmarkEnd w:id="218"/>
      <w:bookmarkEnd w:id="219"/>
      <w:bookmarkEnd w:id="220"/>
      <w:bookmarkEnd w:id="221"/>
      <w:bookmarkEnd w:id="222"/>
      <w:bookmarkEnd w:id="223"/>
    </w:p>
    <w:p w:rsidR="00565FD5" w:rsidRPr="00315199" w:rsidRDefault="00565FD5" w:rsidP="00565FD5">
      <w:pPr>
        <w:spacing w:after="60"/>
        <w:ind w:firstLine="425"/>
        <w:rPr>
          <w:rFonts w:cs="Tahoma"/>
          <w:color w:val="000000"/>
        </w:rPr>
      </w:pPr>
      <w:r w:rsidRPr="00315199">
        <w:rPr>
          <w:rFonts w:cs="Tahoma"/>
          <w:color w:val="000000"/>
        </w:rPr>
        <w:t xml:space="preserve">Türkiye 2011 yılında kaydettiği yüzde 8,5 oranındaki GSYH büyümesiyle, dünyada büyüme hızı en yüksek olan ülkeler arasında yer almıştır. 2011 yılında büyüme esas olarak özel tüketim ve sabit sermaye yatırımları kaynaklı olmuştur. Yurtiçi talepteki canlanma özellikle imalat sanayii, inşaat, ticaret ve ulaştırma sektörlerinde yüksek katma değer artışlarını beraberinde getirmiştir. Sürdürülebilir bir büyüme temel hedefi çerçevesinde; küresel ölçekteki belirsizlikler ve cari işlemler açığındaki artış karşısında alınan önlemler sonucunda, ekonomik faaliyetler özellikle yılın son çeyreğinden itibaren yavaşlama eğilimine girmiştir. Küresel ekonomiye ilişkin büyümenin beklentilerin altında kalması ve iç ve dış talebi dengeleyici politikalara devam edilmesiyle söz konusu yavaşlama 2012 yılının ilk yarısında da devam etmiştir. Son bir yılda net mal ve hizmet ihracatının büyümeye katkısının giderek artması sonucunda iç talep yavaşlamasının büyüme üzerindeki olumsuz etkisi sınırlı kalmıştır. Bu yılın son çeyreğinde net mal ve hizmet ihracatının büyümeye </w:t>
      </w:r>
      <w:r w:rsidRPr="00315199">
        <w:rPr>
          <w:rFonts w:cs="Tahoma"/>
          <w:color w:val="000000"/>
        </w:rPr>
        <w:lastRenderedPageBreak/>
        <w:t xml:space="preserve">katkısının azalması, iç talebin ise nispi olarak toparlanması öngörülmektedir. Böylece 2012 yılı büyümesinin yüzde 3,2 olması beklenmektedir. </w:t>
      </w:r>
    </w:p>
    <w:p w:rsidR="00565FD5" w:rsidRPr="00315199" w:rsidRDefault="00565FD5" w:rsidP="00565FD5">
      <w:pPr>
        <w:spacing w:after="60"/>
        <w:ind w:firstLine="425"/>
        <w:rPr>
          <w:rFonts w:cs="Tahoma"/>
          <w:color w:val="000000"/>
        </w:rPr>
      </w:pPr>
      <w:r w:rsidRPr="00315199">
        <w:rPr>
          <w:rFonts w:cs="Tahoma"/>
          <w:color w:val="000000"/>
        </w:rPr>
        <w:t xml:space="preserve">2011 yılında ekonomik büyümenin yüksek olması ve istihdamın artırılmasına yönelik alınan tedbirler istihdam imkânlarını artırmıştır. Böylece, 2010 yılında yüzde 11,9 olan yıllık işsizlik oranı, 2011 yılında yüzde 9,8’e gerilemiştir. Aynı yıllar itibarıyla; tarım dışı işsizlik oranı yüzde 14,8’den yüzde 12,4’e, genç nüfusta işsizlik oranı da yüzde 21,7’den yüzde 18,4’e gerilemiştir. </w:t>
      </w:r>
    </w:p>
    <w:p w:rsidR="00565FD5" w:rsidRPr="00315199" w:rsidRDefault="00565FD5" w:rsidP="00565FD5">
      <w:pPr>
        <w:spacing w:after="60"/>
        <w:ind w:firstLine="425"/>
        <w:rPr>
          <w:rFonts w:cs="Tahoma"/>
          <w:color w:val="000000"/>
        </w:rPr>
      </w:pPr>
      <w:r w:rsidRPr="00315199">
        <w:rPr>
          <w:rFonts w:cs="Tahoma"/>
          <w:color w:val="000000"/>
        </w:rPr>
        <w:t>2012 yılının ilk yarısında da işsizlik oranı azalmaya devam etmiş, 2012 yılı Temmuz dönemi itibarıyla yüzde 8,4 olarak gerçekleşmiştir. Aynı dönemde; tarım dışı işsizlik oranı, bir önceki yılın aynı dönemine göre, 1,1 puan azalarak yüzde 10,7’ye, genç nüfusta işsizlik oranı ise 2 puan azalarak yüzde 16,3’e gerilemiştir. İstihdam olanaklarındaki iyileşmenin devam etmesiyle, 2012 yılının tamamında işsizlik oranının yüzde 9 olarak gerçekleşmesi beklenmektedir.</w:t>
      </w:r>
    </w:p>
    <w:p w:rsidR="00565FD5" w:rsidRPr="00315199" w:rsidRDefault="00565FD5" w:rsidP="00565FD5">
      <w:pPr>
        <w:spacing w:after="60"/>
        <w:ind w:firstLine="425"/>
        <w:rPr>
          <w:rFonts w:cs="Tahoma"/>
          <w:color w:val="000000"/>
        </w:rPr>
      </w:pPr>
      <w:r w:rsidRPr="00315199">
        <w:rPr>
          <w:rFonts w:cs="Tahoma"/>
          <w:color w:val="000000"/>
        </w:rPr>
        <w:t>Mevsimsel düzeltilmiş seriler incelendiğinde; 2011 yılı Temmuz döneminde yüzde 10 olan işsizlik oranı 2012 yılı Temmuz dönemi itibarıyla yüzde 9,1’e gerilemiştir. Aynı dönemler itibarıyla istihdam oranı yüzde 44,9’dan yüzde 45’e yükselmiştir. Toplam istihdam, mevsimsel düzeltilmiş verilere göre, 2011 yılı Temmuz döneminde 24</w:t>
      </w:r>
      <w:r>
        <w:rPr>
          <w:rFonts w:cs="Tahoma"/>
          <w:color w:val="000000"/>
        </w:rPr>
        <w:t>.</w:t>
      </w:r>
      <w:r w:rsidRPr="00315199">
        <w:rPr>
          <w:rFonts w:cs="Tahoma"/>
          <w:color w:val="000000"/>
        </w:rPr>
        <w:t>093 bin kişi iken, 2012 yılının Temmuz dönemi itibarıyla 24</w:t>
      </w:r>
      <w:r>
        <w:rPr>
          <w:rFonts w:cs="Tahoma"/>
          <w:color w:val="000000"/>
        </w:rPr>
        <w:t>.</w:t>
      </w:r>
      <w:r w:rsidRPr="00315199">
        <w:rPr>
          <w:rFonts w:cs="Tahoma"/>
          <w:color w:val="000000"/>
        </w:rPr>
        <w:t xml:space="preserve">638 bin kişiye yükselmiştir. </w:t>
      </w:r>
    </w:p>
    <w:p w:rsidR="00565FD5" w:rsidRPr="00315199" w:rsidRDefault="00565FD5" w:rsidP="00565FD5">
      <w:pPr>
        <w:spacing w:after="60"/>
        <w:ind w:firstLine="425"/>
        <w:rPr>
          <w:rFonts w:cs="Tahoma"/>
          <w:color w:val="000000"/>
        </w:rPr>
      </w:pPr>
      <w:r w:rsidRPr="00315199">
        <w:rPr>
          <w:rFonts w:cs="Tahoma"/>
          <w:color w:val="000000"/>
        </w:rPr>
        <w:t>ILO verilerine göre Türkiye 2009 yılının başından bu yana işsizlik oranını en hızlı düşüren ülkelerden biri olmuştur. Ayrıca, OECD hesaplamalarına göre 2012 yılı Mayıs dönemi itibarıyla Türkiye’de mevsimsel düzeltilmiş işsizlik oranı ilk kez OECD ortalamasının altına inmiştir.</w:t>
      </w:r>
    </w:p>
    <w:p w:rsidR="00565FD5" w:rsidRPr="001131FC" w:rsidRDefault="00565FD5" w:rsidP="00565FD5">
      <w:pPr>
        <w:spacing w:after="60"/>
        <w:ind w:firstLine="425"/>
        <w:rPr>
          <w:rFonts w:cs="Tahoma"/>
          <w:color w:val="000000"/>
        </w:rPr>
      </w:pPr>
      <w:r w:rsidRPr="001131FC">
        <w:rPr>
          <w:rFonts w:cs="Tahoma"/>
          <w:color w:val="000000"/>
        </w:rPr>
        <w:t>2012 yılının ilk sekiz ayında ekonomik aktiv</w:t>
      </w:r>
      <w:r>
        <w:rPr>
          <w:rFonts w:cs="Tahoma"/>
          <w:color w:val="000000"/>
        </w:rPr>
        <w:t>i</w:t>
      </w:r>
      <w:r w:rsidRPr="001131FC">
        <w:rPr>
          <w:rFonts w:cs="Tahoma"/>
          <w:color w:val="000000"/>
        </w:rPr>
        <w:t xml:space="preserve">tedeki yavaşlama devam etmiş, buna bağlı olarak azalan ithalatla birlikte cari açık önemli miktarda gerilemiştir. 2011 yılında 77,1 milyar </w:t>
      </w:r>
      <w:r>
        <w:rPr>
          <w:rFonts w:cs="Tahoma"/>
          <w:color w:val="000000"/>
        </w:rPr>
        <w:t xml:space="preserve">ABD </w:t>
      </w:r>
      <w:r w:rsidRPr="001131FC">
        <w:rPr>
          <w:rFonts w:cs="Tahoma"/>
          <w:color w:val="000000"/>
        </w:rPr>
        <w:t>dolar</w:t>
      </w:r>
      <w:r>
        <w:rPr>
          <w:rFonts w:cs="Tahoma"/>
          <w:color w:val="000000"/>
        </w:rPr>
        <w:t>ı</w:t>
      </w:r>
      <w:r w:rsidRPr="001131FC">
        <w:rPr>
          <w:rFonts w:cs="Tahoma"/>
          <w:color w:val="000000"/>
        </w:rPr>
        <w:t xml:space="preserve"> olarak gerçekleşen cari işlemler açığı, 2012 yılı Ağustos ayında yıllıklandırılmış olarak 59 milyar </w:t>
      </w:r>
      <w:r>
        <w:rPr>
          <w:rFonts w:cs="Tahoma"/>
          <w:color w:val="000000"/>
        </w:rPr>
        <w:t xml:space="preserve">ABD </w:t>
      </w:r>
      <w:r w:rsidRPr="001131FC">
        <w:rPr>
          <w:rFonts w:cs="Tahoma"/>
          <w:color w:val="000000"/>
        </w:rPr>
        <w:t>dolar</w:t>
      </w:r>
      <w:r>
        <w:rPr>
          <w:rFonts w:cs="Tahoma"/>
          <w:color w:val="000000"/>
        </w:rPr>
        <w:t>ına</w:t>
      </w:r>
      <w:r w:rsidRPr="001131FC">
        <w:rPr>
          <w:rFonts w:cs="Tahoma"/>
          <w:color w:val="000000"/>
        </w:rPr>
        <w:t xml:space="preserve"> gerilemiştir. Bu eğilimin yılın geri kalanında da devam ederek 2011 yılında yüzde 10 olarak gerçekleşen cari işlemler açığının GSYH’ya oranının, 2012 yılı sonunda yüzde 7,3’e ineceği tahmin edilmektedir. </w:t>
      </w:r>
    </w:p>
    <w:p w:rsidR="00565FD5" w:rsidRPr="001131FC" w:rsidRDefault="00565FD5" w:rsidP="00565FD5">
      <w:pPr>
        <w:spacing w:after="60"/>
        <w:ind w:firstLine="425"/>
        <w:rPr>
          <w:rFonts w:cs="Tahoma"/>
          <w:color w:val="000000"/>
        </w:rPr>
      </w:pPr>
      <w:r w:rsidRPr="001131FC">
        <w:rPr>
          <w:rFonts w:cs="Tahoma"/>
          <w:color w:val="000000"/>
        </w:rPr>
        <w:t xml:space="preserve">Cari açığın kısa vadede azalmasına etki eden bu unsurların yanı sıra orta ve uzun vadede kalıcı bir şekilde sürdürülebilir düzeye indirilmesine yönelik olarak bir yandan dış ticaret açığını azaltıcı, diğer yandan yurtiçi tasarrufları artırıcı ve finansmanın kalitesini iyileştirici adımlar atılmıştır. </w:t>
      </w:r>
    </w:p>
    <w:p w:rsidR="00565FD5" w:rsidRPr="001131FC" w:rsidRDefault="00565FD5" w:rsidP="00565FD5">
      <w:pPr>
        <w:spacing w:after="60"/>
        <w:ind w:firstLine="425"/>
        <w:rPr>
          <w:rFonts w:cs="Tahoma"/>
          <w:color w:val="000000"/>
        </w:rPr>
      </w:pPr>
      <w:r w:rsidRPr="001131FC">
        <w:rPr>
          <w:rFonts w:cs="Tahoma"/>
          <w:color w:val="000000"/>
        </w:rPr>
        <w:lastRenderedPageBreak/>
        <w:t>Bu bağlamda, ithalata bağımlı üretim yapısını değiştirmeyi amaçlayan yeni teşvik sistemi yürürlüğe konulmuştur. Ayrıca, girdi tedarik stratejisi kapsamında eylem planları hazırlanmıştır. Hizmet ihracatını destekleyici vergisel teşvikler getirilmiştir. İhracatta pazar çeşitliliğini sağlayacak uygulamalar sürdürülmüştür.</w:t>
      </w:r>
    </w:p>
    <w:p w:rsidR="00565FD5" w:rsidRPr="001131FC" w:rsidRDefault="00565FD5" w:rsidP="00565FD5">
      <w:pPr>
        <w:spacing w:after="60"/>
        <w:ind w:firstLine="425"/>
        <w:rPr>
          <w:rFonts w:cs="Tahoma"/>
          <w:color w:val="000000"/>
        </w:rPr>
      </w:pPr>
      <w:r w:rsidRPr="001131FC">
        <w:rPr>
          <w:rFonts w:cs="Tahoma"/>
          <w:color w:val="000000"/>
        </w:rPr>
        <w:t>Yurtiçi tasarrufların artırılmasına yönelik olarak bireysel emeklilik ve hayat sigortası daha cazip hale getirilmiş ve doğal afet sigortasının yaygınlaşmasını sağlayacak yasal düzenlemeler yapılmıştır. Ayrıca şirket tasarruflarının artırılmasına ve uluslararası doğrudan yatırım girişlerine önemli katkı sağlayacak yeni Türk Ticaret Kanunu ile kayıtdışılıkla mücadele stratejisi uygulamaya konulmuştur.</w:t>
      </w:r>
    </w:p>
    <w:p w:rsidR="00565FD5" w:rsidRDefault="00565FD5" w:rsidP="00565FD5">
      <w:pPr>
        <w:spacing w:after="60"/>
        <w:ind w:firstLine="425"/>
      </w:pPr>
      <w:r w:rsidRPr="001131FC">
        <w:rPr>
          <w:rFonts w:cs="Tahoma"/>
          <w:color w:val="000000"/>
        </w:rPr>
        <w:t>Firmalarda borçlanma yerine öz</w:t>
      </w:r>
      <w:r>
        <w:t xml:space="preserve"> kaynak kullanımının özendirilmesi sağlanmış, bireysel katılım sermayesi ve girişim sermayesi fonlarını destekleyecek düzenlemeler yapılmış, yeni Sermaye Piyasası Kanunu Tasarısı TBMM’ye sevk edilmiştir. Türkiye'nin finansal kapasitesinin artırılması amacıyla İstanbul Uluslararası Finans Merkezi projesini desteklemek üzere uluslararası fonların, portföy yönetim şirketlerince Türkiye’den yönetilmesine vergisel kolaylık getirilmiştir. Ayrıca, uluslararası ve yurtiçi piyasalarda kira sertifikası ihracına ilişkin altyapı oluşturulmuştur. </w:t>
      </w:r>
    </w:p>
    <w:p w:rsidR="00565FD5" w:rsidRPr="001131FC" w:rsidRDefault="00565FD5" w:rsidP="00565FD5">
      <w:pPr>
        <w:spacing w:after="60"/>
        <w:ind w:firstLine="425"/>
        <w:rPr>
          <w:rFonts w:cs="Tahoma"/>
          <w:color w:val="000000"/>
        </w:rPr>
      </w:pPr>
      <w:r w:rsidRPr="001131FC">
        <w:rPr>
          <w:rFonts w:cs="Tahoma"/>
          <w:color w:val="000000"/>
        </w:rPr>
        <w:t>2011 yılında Türk Lirasında gözlenen belirgin değer kaybının yanı sıra dolar bazında ithalat fiyatlarında kaydedilen artışlar temel mal fiyatları artış hızını, maliyet koşullarındaki olumsuz gelişmeler ise hizmet fiyatları artış hızını ivmelendirmiştir. Ayrıca toplam talep koşullarının enflasyona düşüş yönünde verdiği katkının önceki iki yıla göre önemli oranda azalması da çekirdek enflasyonun yüzde 8,1’e yükselmesinde etkili olmuştur. Gıda fiyatları yıl boyunca dalgalı bir seyir izlemiş ve yılın son çeyreğinde kayda değer artış göstermiştir. Enerji fiyatlarındaki değişim ise petrol fiyatlarında yaşanan artışa paralel olarak yıl genelinde yüksek seyretmiştir. Altın fiyatlarındaki hızlı yükselme, elektrik ve doğal gazda yapılan fiyat ayarlamaları ile tütün mamullerine yönelik ÖTV düzenlemeleri TÜFE yıllık artış hızını yaklaşık 2 puan yükseltmiştir. Böylece, 2011 yılı sonunda TÜFE yıllık artış hızı, önceki yıla göre 4 puanlık bir artışla, yüzde 10,5 olarak gerçekleşmiştir.</w:t>
      </w:r>
    </w:p>
    <w:p w:rsidR="00565FD5" w:rsidRPr="001131FC" w:rsidRDefault="00565FD5" w:rsidP="00565FD5">
      <w:pPr>
        <w:spacing w:after="60"/>
        <w:ind w:firstLine="425"/>
        <w:rPr>
          <w:rFonts w:cs="Tahoma"/>
          <w:color w:val="000000"/>
        </w:rPr>
      </w:pPr>
      <w:r w:rsidRPr="001131FC">
        <w:rPr>
          <w:rFonts w:cs="Tahoma"/>
          <w:color w:val="000000"/>
        </w:rPr>
        <w:t xml:space="preserve">2012 yılının Ocak-Eylül döneminde TÜFE birikimli artış hızı bir önceki yılın aynı dönemine göre 1,2 puan azalarak yüzde 3,3 olarak gerçekleşmiştir. Bu gelişmede, yurtiçi talepte kaydedilen yavaşlama, petrol dışı emtia fiyatlarının </w:t>
      </w:r>
      <w:r w:rsidRPr="001131FC">
        <w:rPr>
          <w:rFonts w:cs="Tahoma"/>
          <w:color w:val="000000"/>
        </w:rPr>
        <w:lastRenderedPageBreak/>
        <w:t xml:space="preserve">gerilemesi ve işlenmemiş gıda ürünleri fiyatlarında kaydedilen azalma etkili olmuştur. Ancak, 2011 yılının son çeyreğinde TÜFE’deki yüksek artışın oluşturduğu baz etkisi nedeniyle yıllık enflasyon 2012 yılında yüksek seyretmiş ve Eylül ayı itibarıyla yüzde 9,2 olarak gerçekleşmiştir. Yıl sonunda TÜFE yıllık artış hızının bir önceki OVP tahmini olan yüzde 5,2’nin üzerinde yüzde 7,4 olarak gerçekleşmesi beklenmektedir. Bu gelişmede, 2012 yılında yüksek seyreden enflasyonun fiyatlama davranışlarına olumsuz etkisi, petrol fiyatlarının öngörülen seviyelerin üzerinde seyretmesi ve Eylül ve Ekim aylarında yapılan fiyat ayarlamaları etkili olmuştur. </w:t>
      </w:r>
    </w:p>
    <w:p w:rsidR="00565FD5" w:rsidRPr="001131FC" w:rsidRDefault="00565FD5" w:rsidP="00565FD5">
      <w:pPr>
        <w:spacing w:after="60"/>
        <w:ind w:firstLine="425"/>
        <w:rPr>
          <w:rFonts w:cs="Tahoma"/>
          <w:color w:val="000000"/>
        </w:rPr>
      </w:pPr>
      <w:r w:rsidRPr="001131FC">
        <w:rPr>
          <w:rFonts w:cs="Tahoma"/>
          <w:color w:val="000000"/>
        </w:rPr>
        <w:t xml:space="preserve">Merkez Bankası 2011 yılında yaşanan gelişmelerin temel enflasyon üzerinde kalıcı etki yaratmasını sınırlandırmak için para politikasında önemli bir sıkılaştırmaya gitmiştir. Bu çerçevede, faiz koridoru yukarı doğru genişletilmiş, ortalama fonlama maliyeti belirgin şekilde artırılmış ve esnek para politikası çerçevesinde ortalama fonlama maliyetinin politika faizinin üzerinde seyretmesine izin verilmiştir. Enflasyonist risklerin görece azalmasıyla birlikte Merkez Bankası, son 3 aylık dönemde ortalama fonlama maliyetini düşürmüş ve Eylül </w:t>
      </w:r>
      <w:r>
        <w:rPr>
          <w:rFonts w:cs="Tahoma"/>
          <w:color w:val="000000"/>
        </w:rPr>
        <w:t xml:space="preserve">ve Ekim </w:t>
      </w:r>
      <w:r w:rsidRPr="001131FC">
        <w:rPr>
          <w:rFonts w:cs="Tahoma"/>
          <w:color w:val="000000"/>
        </w:rPr>
        <w:t>ay</w:t>
      </w:r>
      <w:r>
        <w:rPr>
          <w:rFonts w:cs="Tahoma"/>
          <w:color w:val="000000"/>
        </w:rPr>
        <w:t>larında</w:t>
      </w:r>
      <w:r w:rsidRPr="001131FC">
        <w:rPr>
          <w:rFonts w:cs="Tahoma"/>
          <w:color w:val="000000"/>
        </w:rPr>
        <w:t xml:space="preserve"> Para Politikası Kurulu </w:t>
      </w:r>
      <w:r>
        <w:rPr>
          <w:rFonts w:cs="Tahoma"/>
          <w:color w:val="000000"/>
        </w:rPr>
        <w:t xml:space="preserve">toplantılarında </w:t>
      </w:r>
      <w:r w:rsidRPr="001131FC">
        <w:rPr>
          <w:rFonts w:cs="Tahoma"/>
          <w:color w:val="000000"/>
        </w:rPr>
        <w:t>faiz koridorunun üst sınırında indirime gidilmiştir.</w:t>
      </w:r>
    </w:p>
    <w:p w:rsidR="00565FD5" w:rsidRPr="001131FC" w:rsidRDefault="00565FD5" w:rsidP="00565FD5">
      <w:pPr>
        <w:spacing w:after="60"/>
        <w:ind w:firstLine="425"/>
        <w:rPr>
          <w:rFonts w:cs="Tahoma"/>
          <w:color w:val="000000"/>
        </w:rPr>
      </w:pPr>
      <w:r w:rsidRPr="001131FC">
        <w:rPr>
          <w:rFonts w:cs="Tahoma"/>
          <w:color w:val="000000"/>
        </w:rPr>
        <w:t>Merkez Bankası, 2012 yılında bankaların likidite yönetimini daha az maliyetli ve daha esnek bir yapıya kavuşturmayı, döviz kurunda oynaklığı azaltmayı ve döviz rezervlerini güçlendirmeyi amaçlayan adımlar atmıştır. Bu doğrultuda, Türk Lirası yükümlülükler için tesis edilmesi gereken zorunlu karşılıkların döviz veya altın olarak tutulabilecek kısmına ilişkin üst sınırlar kademeli olarak yükseltilmiştir.</w:t>
      </w:r>
    </w:p>
    <w:p w:rsidR="00565FD5" w:rsidRPr="001131FC" w:rsidRDefault="00565FD5" w:rsidP="00565FD5">
      <w:pPr>
        <w:spacing w:after="60"/>
        <w:ind w:firstLine="425"/>
        <w:rPr>
          <w:rFonts w:cs="Tahoma"/>
          <w:color w:val="000000"/>
        </w:rPr>
      </w:pPr>
      <w:r w:rsidRPr="001131FC">
        <w:rPr>
          <w:rFonts w:cs="Tahoma"/>
          <w:color w:val="000000"/>
        </w:rPr>
        <w:t>2011 yılında genel devlet açığı GSYH’ya oran olarak başlangıçta öngörülenin yüzde 1,8 puan altında gerçekleşmiştir. Bu olumlu performansın yüzde 0,6 puanı gelirlerden, yüzde 0,7 puanı faiz giderlerinden, yüzde 0,5 puanı ise faiz dışı harcamalardan kaynaklanmıştır. Gelirlerde sağlanan performansta, ekonomide yaşanan güçlü toparlanma, istihdamdaki artış ve bazı kamu alacaklarının yeniden yapılandırılması etkili olmuştur. Nominal tutar olarak, faiz giderleri programlananın altında gerçekleşmiş; faiz dışı harcamalar ise programlananın üzerine çıkmıştır.</w:t>
      </w:r>
    </w:p>
    <w:p w:rsidR="00565FD5" w:rsidRPr="001131FC" w:rsidRDefault="00565FD5" w:rsidP="00565FD5">
      <w:pPr>
        <w:spacing w:after="60"/>
        <w:ind w:firstLine="425"/>
        <w:rPr>
          <w:rFonts w:cs="Tahoma"/>
          <w:color w:val="000000"/>
        </w:rPr>
      </w:pPr>
      <w:r w:rsidRPr="001131FC">
        <w:rPr>
          <w:rFonts w:cs="Tahoma"/>
          <w:color w:val="000000"/>
        </w:rPr>
        <w:t xml:space="preserve">2012 yılında genel devlet gelirlerinin GSYH’ya oranının sosyal güvenlik prim gelirlerindeki artışa paralel olarak bir önceki yılın yüzde 0,6 puan üzerinde, </w:t>
      </w:r>
      <w:r w:rsidRPr="001131FC">
        <w:rPr>
          <w:rFonts w:cs="Tahoma"/>
          <w:color w:val="000000"/>
        </w:rPr>
        <w:lastRenderedPageBreak/>
        <w:t>yüzde 37 olarak gerçekleşmesi öngörülmektedir. Faiz giderlerinin 2011 yılı seviyesine yakın gerçekleşmesi, faiz dışı harcamaların ise özellikle cari giderler ve transferlerdeki artış nedeniyle bir önceki yıla göre yüzde 1,7 puan artması beklenmektedir. Böylece, GSYH’ya oranla yüzde 0,8 olarak hedeflenen genel devlet açığının, 2012 yılı sonunda, yüzde 1,6 olarak gerçekleşeceği tahmin edilmektedir. Ayrıca, GSYH’ya oran olarak, yüzde 1,1 olması programlanan kamu kesimi borçlanma gereğinin yüzde 1,7 olması öngörülmektedir. Öte yandan, faiz giderleri ve özelleştirme gelirleri hariç kamu kesimi fazlasının ise programlanan seviye olan yüzde 1,7’de kalması beklenmektedir.</w:t>
      </w:r>
    </w:p>
    <w:p w:rsidR="00565FD5" w:rsidRPr="001131FC" w:rsidRDefault="00565FD5" w:rsidP="00565FD5">
      <w:pPr>
        <w:spacing w:after="60"/>
        <w:ind w:firstLine="425"/>
        <w:rPr>
          <w:rFonts w:cs="Tahoma"/>
          <w:color w:val="000000"/>
        </w:rPr>
      </w:pPr>
      <w:r w:rsidRPr="001131FC">
        <w:rPr>
          <w:rFonts w:cs="Tahoma"/>
          <w:color w:val="000000"/>
        </w:rPr>
        <w:t>Bu gelişmelere paralel olarak 2011 yılında yüzde 39,2 olarak gerçekleşen AB tanımlı genel devlet borç stokunun GSYH’ya oranının 2012 yılında yüzde 36,5 düzeyinde olması beklenmektedir.</w:t>
      </w:r>
    </w:p>
    <w:p w:rsidR="00565FD5" w:rsidRPr="00B670D3" w:rsidRDefault="00565FD5" w:rsidP="00565FD5">
      <w:pPr>
        <w:pStyle w:val="Balk3"/>
      </w:pPr>
      <w:bookmarkStart w:id="224" w:name="_Toc213065603"/>
      <w:bookmarkStart w:id="225" w:name="_Toc244253617"/>
      <w:bookmarkStart w:id="226" w:name="_Toc244254867"/>
      <w:bookmarkStart w:id="227" w:name="_Toc244313603"/>
      <w:bookmarkStart w:id="228" w:name="_Toc244315080"/>
      <w:bookmarkStart w:id="229" w:name="_Toc244339543"/>
      <w:bookmarkStart w:id="230" w:name="_Toc276076222"/>
      <w:bookmarkStart w:id="231" w:name="_Toc307601928"/>
      <w:bookmarkStart w:id="232" w:name="_Toc307670376"/>
      <w:bookmarkStart w:id="233" w:name="_Toc307701602"/>
      <w:bookmarkStart w:id="234" w:name="_Toc338494208"/>
      <w:bookmarkStart w:id="235" w:name="_Toc338494372"/>
      <w:bookmarkStart w:id="236" w:name="_Toc338505509"/>
      <w:bookmarkStart w:id="237" w:name="_Toc338505724"/>
      <w:bookmarkStart w:id="238" w:name="_Toc338505761"/>
      <w:bookmarkStart w:id="239" w:name="_Toc338523726"/>
      <w:bookmarkStart w:id="240" w:name="_Toc338523967"/>
      <w:bookmarkStart w:id="241" w:name="_Toc338526193"/>
      <w:bookmarkStart w:id="242" w:name="_Toc338673636"/>
      <w:bookmarkStart w:id="243" w:name="_Toc338711515"/>
      <w:r w:rsidRPr="00B670D3">
        <w:t>A. BÜYÜME VE İSTİHDAM</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565FD5" w:rsidRPr="001131FC" w:rsidRDefault="00565FD5" w:rsidP="00565FD5">
      <w:pPr>
        <w:pStyle w:val="Balk4"/>
      </w:pPr>
      <w:bookmarkStart w:id="244" w:name="_Toc276076223"/>
      <w:bookmarkStart w:id="245" w:name="_Toc244339544"/>
      <w:bookmarkStart w:id="246" w:name="_Toc244315081"/>
      <w:bookmarkStart w:id="247" w:name="_Toc244313604"/>
      <w:bookmarkStart w:id="248" w:name="_Toc244254868"/>
      <w:bookmarkStart w:id="249" w:name="_Toc244253618"/>
      <w:bookmarkStart w:id="250" w:name="_Toc213065604"/>
      <w:bookmarkStart w:id="251" w:name="_Toc338505510"/>
      <w:bookmarkStart w:id="252" w:name="_Toc338505762"/>
      <w:bookmarkStart w:id="253" w:name="_Toc338523727"/>
      <w:bookmarkStart w:id="254" w:name="_Toc338523968"/>
      <w:bookmarkStart w:id="255" w:name="_Toc338526194"/>
      <w:bookmarkStart w:id="256" w:name="_Toc338673637"/>
      <w:bookmarkStart w:id="257" w:name="_Toc338711516"/>
      <w:r w:rsidRPr="001131FC">
        <w:t>1. GSYH ve Sektörel Büyüme Hızları</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rsidR="00565FD5" w:rsidRPr="00296D5F" w:rsidRDefault="00565FD5" w:rsidP="00565FD5">
      <w:pPr>
        <w:pStyle w:val="BodyText2"/>
        <w:spacing w:after="80"/>
        <w:rPr>
          <w:b/>
        </w:rPr>
      </w:pPr>
      <w:bookmarkStart w:id="258" w:name="_Toc338494209"/>
      <w:r w:rsidRPr="00296D5F">
        <w:rPr>
          <w:b/>
        </w:rPr>
        <w:t>a) Mevcut Durum</w:t>
      </w:r>
      <w:bookmarkEnd w:id="258"/>
    </w:p>
    <w:p w:rsidR="00565FD5" w:rsidRPr="001131FC" w:rsidRDefault="00565FD5" w:rsidP="00565FD5">
      <w:pPr>
        <w:autoSpaceDE w:val="0"/>
        <w:autoSpaceDN w:val="0"/>
        <w:adjustRightInd w:val="0"/>
        <w:spacing w:after="120"/>
        <w:rPr>
          <w:rFonts w:cs="Tahoma"/>
          <w:szCs w:val="24"/>
        </w:rPr>
      </w:pPr>
      <w:r w:rsidRPr="001131FC">
        <w:rPr>
          <w:rFonts w:cs="Tahoma"/>
          <w:color w:val="FF0000"/>
          <w:szCs w:val="24"/>
        </w:rPr>
        <w:tab/>
      </w:r>
      <w:r w:rsidRPr="001131FC">
        <w:rPr>
          <w:rFonts w:cs="Tahoma"/>
          <w:szCs w:val="24"/>
        </w:rPr>
        <w:t>Küresel ekonomik krizin ardından yaşanan güçlü toparlanma süreci 2011 yılının ilk yarısında devam etmiş, yılın ikinci yarısında ise cari açığa karşı alınan önlemler neticesinde ekonomik aktivitede sınırlı bir yavaşlama ortaya çıkmıştır. Böylece, Türkiye ekonomisi 2011 yılında reel olarak yüzde 8,5 oranında büyümüştür. Bu büyümenin gerçekleşmesinde, sanayi sektörü katma değerindeki yüzde 9,4 ve hizmetler sektörü katma değerindeki yüzde 8,9 oranındaki artışlar etkili olmuştur. Sanayi sektöründeki büyümede, imalat sanayinin katma değerindeki yüzde 9,6 oranındaki artış önemli bir rol oynamıştır. Hizmetler sektöründe görülen büyümede ise; toptan ve perakende ticaret, ulaştırma ve inşaat sektörlerinin katma değerlerindeki sırasıyla yüzde 11,1, yüzde 10,6 ve yüzde 11,3 oranındaki artışlar etkili olmuştur. 2011 yılında tarım sektörü katma değeri ise yüzde 5,6 oranında artmıştır.</w:t>
      </w:r>
    </w:p>
    <w:p w:rsidR="00565FD5" w:rsidRPr="002C42EB" w:rsidRDefault="00565FD5" w:rsidP="00565FD5">
      <w:pPr>
        <w:pStyle w:val="ResimYazs"/>
        <w:rPr>
          <w:szCs w:val="24"/>
        </w:rPr>
      </w:pPr>
      <w:bookmarkStart w:id="259" w:name="_Toc338605954"/>
      <w:bookmarkStart w:id="260" w:name="_Toc338711729"/>
      <w:r>
        <w:t xml:space="preserve">TABLO II: </w:t>
      </w:r>
      <w:fldSimple w:instr=" SEQ TABLO_II: \* ARABIC ">
        <w:r>
          <w:rPr>
            <w:noProof/>
          </w:rPr>
          <w:t>2</w:t>
        </w:r>
      </w:fldSimple>
      <w:r w:rsidRPr="002C42EB">
        <w:t>- Katma Değer Artış Hızları ve Sektörlerin GSYH İçindeki Payları</w:t>
      </w:r>
      <w:bookmarkEnd w:id="259"/>
      <w:bookmarkEnd w:id="260"/>
    </w:p>
    <w:tbl>
      <w:tblPr>
        <w:tblW w:w="4899" w:type="pct"/>
        <w:tblInd w:w="56" w:type="dxa"/>
        <w:tblBorders>
          <w:top w:val="single" w:sz="6" w:space="0" w:color="auto"/>
          <w:left w:val="single" w:sz="6" w:space="0" w:color="auto"/>
          <w:bottom w:val="single" w:sz="6" w:space="0" w:color="auto"/>
          <w:right w:val="single" w:sz="6" w:space="0" w:color="auto"/>
        </w:tblBorders>
        <w:tblCellMar>
          <w:left w:w="56" w:type="dxa"/>
          <w:right w:w="56" w:type="dxa"/>
        </w:tblCellMar>
        <w:tblLook w:val="00A0"/>
      </w:tblPr>
      <w:tblGrid>
        <w:gridCol w:w="1067"/>
        <w:gridCol w:w="548"/>
        <w:gridCol w:w="549"/>
        <w:gridCol w:w="486"/>
        <w:gridCol w:w="489"/>
        <w:gridCol w:w="486"/>
        <w:gridCol w:w="489"/>
        <w:gridCol w:w="166"/>
        <w:gridCol w:w="684"/>
        <w:gridCol w:w="687"/>
        <w:gridCol w:w="685"/>
        <w:gridCol w:w="773"/>
      </w:tblGrid>
      <w:tr w:rsidR="00565FD5" w:rsidRPr="001131FC" w:rsidTr="00AB62A3">
        <w:trPr>
          <w:trHeight w:val="57"/>
        </w:trPr>
        <w:tc>
          <w:tcPr>
            <w:tcW w:w="750" w:type="pct"/>
            <w:tcBorders>
              <w:top w:val="single" w:sz="4" w:space="0" w:color="auto"/>
              <w:left w:val="single" w:sz="4" w:space="0" w:color="auto"/>
              <w:bottom w:val="nil"/>
              <w:right w:val="single" w:sz="4" w:space="0" w:color="auto"/>
            </w:tcBorders>
            <w:vAlign w:val="center"/>
          </w:tcPr>
          <w:p w:rsidR="00565FD5" w:rsidRPr="001131FC" w:rsidRDefault="00565FD5" w:rsidP="00AB62A3">
            <w:pPr>
              <w:widowControl w:val="0"/>
              <w:ind w:firstLine="85"/>
              <w:rPr>
                <w:rFonts w:cs="Tahoma"/>
                <w:b/>
                <w:bCs/>
                <w:sz w:val="14"/>
                <w:szCs w:val="14"/>
              </w:rPr>
            </w:pPr>
          </w:p>
        </w:tc>
        <w:tc>
          <w:tcPr>
            <w:tcW w:w="1457" w:type="pct"/>
            <w:gridSpan w:val="4"/>
            <w:tcBorders>
              <w:top w:val="single" w:sz="4" w:space="0" w:color="auto"/>
              <w:left w:val="single" w:sz="4" w:space="0" w:color="auto"/>
              <w:bottom w:val="single" w:sz="4" w:space="0" w:color="auto"/>
              <w:right w:val="single" w:sz="4" w:space="0" w:color="auto"/>
            </w:tcBorders>
            <w:vAlign w:val="center"/>
          </w:tcPr>
          <w:p w:rsidR="00565FD5" w:rsidRPr="001131FC" w:rsidRDefault="00565FD5" w:rsidP="00AB62A3">
            <w:pPr>
              <w:widowControl w:val="0"/>
              <w:jc w:val="center"/>
              <w:rPr>
                <w:rFonts w:cs="Tahoma"/>
                <w:b/>
                <w:bCs/>
                <w:sz w:val="14"/>
                <w:szCs w:val="14"/>
              </w:rPr>
            </w:pPr>
            <w:r w:rsidRPr="001131FC">
              <w:rPr>
                <w:rFonts w:cs="Tahoma"/>
                <w:b/>
                <w:bCs/>
                <w:sz w:val="14"/>
                <w:szCs w:val="14"/>
              </w:rPr>
              <w:t>2011</w:t>
            </w:r>
          </w:p>
        </w:tc>
        <w:tc>
          <w:tcPr>
            <w:tcW w:w="686" w:type="pct"/>
            <w:gridSpan w:val="2"/>
            <w:tcBorders>
              <w:top w:val="single" w:sz="6" w:space="0" w:color="auto"/>
              <w:left w:val="single" w:sz="4" w:space="0" w:color="auto"/>
              <w:bottom w:val="single" w:sz="4" w:space="0" w:color="auto"/>
              <w:right w:val="single" w:sz="4" w:space="0" w:color="auto"/>
            </w:tcBorders>
            <w:vAlign w:val="center"/>
          </w:tcPr>
          <w:p w:rsidR="00565FD5" w:rsidRPr="001131FC" w:rsidRDefault="00565FD5" w:rsidP="00AB62A3">
            <w:pPr>
              <w:widowControl w:val="0"/>
              <w:jc w:val="center"/>
              <w:rPr>
                <w:rFonts w:cs="Tahoma"/>
                <w:b/>
                <w:bCs/>
                <w:sz w:val="14"/>
                <w:szCs w:val="14"/>
              </w:rPr>
            </w:pPr>
            <w:r w:rsidRPr="001131FC">
              <w:rPr>
                <w:rFonts w:cs="Tahoma"/>
                <w:b/>
                <w:bCs/>
                <w:sz w:val="14"/>
                <w:szCs w:val="14"/>
              </w:rPr>
              <w:t>2012</w:t>
            </w:r>
          </w:p>
        </w:tc>
        <w:tc>
          <w:tcPr>
            <w:tcW w:w="117" w:type="pct"/>
            <w:tcBorders>
              <w:top w:val="single" w:sz="6" w:space="0" w:color="auto"/>
              <w:left w:val="single" w:sz="4" w:space="0" w:color="auto"/>
              <w:bottom w:val="single" w:sz="4" w:space="0" w:color="auto"/>
              <w:right w:val="nil"/>
            </w:tcBorders>
            <w:vAlign w:val="center"/>
          </w:tcPr>
          <w:p w:rsidR="00565FD5" w:rsidRPr="001131FC" w:rsidRDefault="00565FD5" w:rsidP="00AB62A3">
            <w:pPr>
              <w:widowControl w:val="0"/>
              <w:jc w:val="center"/>
              <w:rPr>
                <w:rFonts w:cs="Tahoma"/>
                <w:b/>
                <w:bCs/>
                <w:sz w:val="14"/>
                <w:szCs w:val="14"/>
              </w:rPr>
            </w:pPr>
          </w:p>
        </w:tc>
        <w:tc>
          <w:tcPr>
            <w:tcW w:w="1990" w:type="pct"/>
            <w:gridSpan w:val="4"/>
            <w:tcBorders>
              <w:top w:val="single" w:sz="6" w:space="0" w:color="auto"/>
              <w:left w:val="nil"/>
              <w:bottom w:val="single" w:sz="4" w:space="0" w:color="auto"/>
              <w:right w:val="single" w:sz="4" w:space="0" w:color="auto"/>
            </w:tcBorders>
            <w:vAlign w:val="center"/>
          </w:tcPr>
          <w:p w:rsidR="00565FD5" w:rsidRPr="001131FC" w:rsidRDefault="00565FD5" w:rsidP="00AB62A3">
            <w:pPr>
              <w:widowControl w:val="0"/>
              <w:jc w:val="center"/>
              <w:rPr>
                <w:rFonts w:cs="Tahoma"/>
                <w:b/>
                <w:bCs/>
                <w:sz w:val="14"/>
                <w:szCs w:val="14"/>
              </w:rPr>
            </w:pPr>
            <w:r w:rsidRPr="001131FC">
              <w:rPr>
                <w:rFonts w:cs="Tahoma"/>
                <w:b/>
                <w:bCs/>
                <w:sz w:val="14"/>
                <w:szCs w:val="14"/>
              </w:rPr>
              <w:t>Yıllık</w:t>
            </w:r>
          </w:p>
        </w:tc>
      </w:tr>
      <w:tr w:rsidR="00565FD5" w:rsidRPr="001131FC" w:rsidTr="00AB62A3">
        <w:trPr>
          <w:trHeight w:val="57"/>
        </w:trPr>
        <w:tc>
          <w:tcPr>
            <w:tcW w:w="750" w:type="pct"/>
            <w:tcBorders>
              <w:top w:val="nil"/>
              <w:left w:val="single" w:sz="4" w:space="0" w:color="auto"/>
              <w:bottom w:val="nil"/>
              <w:right w:val="single" w:sz="4" w:space="0" w:color="auto"/>
            </w:tcBorders>
            <w:vAlign w:val="center"/>
          </w:tcPr>
          <w:p w:rsidR="00565FD5" w:rsidRPr="001131FC" w:rsidRDefault="00565FD5" w:rsidP="00AB62A3">
            <w:pPr>
              <w:widowControl w:val="0"/>
              <w:ind w:firstLine="85"/>
              <w:rPr>
                <w:rFonts w:cs="Tahoma"/>
                <w:b/>
                <w:bCs/>
                <w:sz w:val="14"/>
                <w:szCs w:val="14"/>
              </w:rPr>
            </w:pPr>
          </w:p>
        </w:tc>
        <w:tc>
          <w:tcPr>
            <w:tcW w:w="385" w:type="pct"/>
            <w:tcBorders>
              <w:top w:val="single" w:sz="4" w:space="0" w:color="auto"/>
              <w:left w:val="single" w:sz="4" w:space="0" w:color="auto"/>
              <w:bottom w:val="single" w:sz="4" w:space="0" w:color="auto"/>
              <w:right w:val="nil"/>
            </w:tcBorders>
            <w:vAlign w:val="center"/>
          </w:tcPr>
          <w:p w:rsidR="00565FD5" w:rsidRPr="001131FC" w:rsidRDefault="00565FD5" w:rsidP="00AB62A3">
            <w:pPr>
              <w:widowControl w:val="0"/>
              <w:jc w:val="center"/>
              <w:rPr>
                <w:rFonts w:cs="Tahoma"/>
                <w:b/>
                <w:bCs/>
                <w:sz w:val="14"/>
                <w:szCs w:val="14"/>
              </w:rPr>
            </w:pPr>
            <w:r w:rsidRPr="001131FC">
              <w:rPr>
                <w:rFonts w:cs="Tahoma"/>
                <w:b/>
                <w:bCs/>
                <w:sz w:val="14"/>
                <w:szCs w:val="14"/>
              </w:rPr>
              <w:t>I</w:t>
            </w:r>
          </w:p>
        </w:tc>
        <w:tc>
          <w:tcPr>
            <w:tcW w:w="386" w:type="pct"/>
            <w:tcBorders>
              <w:top w:val="single" w:sz="4" w:space="0" w:color="auto"/>
              <w:left w:val="nil"/>
              <w:bottom w:val="single" w:sz="4" w:space="0" w:color="auto"/>
              <w:right w:val="nil"/>
            </w:tcBorders>
            <w:vAlign w:val="center"/>
          </w:tcPr>
          <w:p w:rsidR="00565FD5" w:rsidRPr="001131FC" w:rsidRDefault="00565FD5" w:rsidP="00AB62A3">
            <w:pPr>
              <w:widowControl w:val="0"/>
              <w:jc w:val="center"/>
              <w:rPr>
                <w:rFonts w:cs="Tahoma"/>
                <w:b/>
                <w:bCs/>
                <w:sz w:val="14"/>
                <w:szCs w:val="14"/>
              </w:rPr>
            </w:pPr>
            <w:r w:rsidRPr="001131FC">
              <w:rPr>
                <w:rFonts w:cs="Tahoma"/>
                <w:b/>
                <w:bCs/>
                <w:sz w:val="14"/>
                <w:szCs w:val="14"/>
              </w:rPr>
              <w:t>II</w:t>
            </w:r>
          </w:p>
        </w:tc>
        <w:tc>
          <w:tcPr>
            <w:tcW w:w="342" w:type="pct"/>
            <w:tcBorders>
              <w:top w:val="single" w:sz="6" w:space="0" w:color="auto"/>
              <w:left w:val="nil"/>
              <w:bottom w:val="single" w:sz="4" w:space="0" w:color="auto"/>
              <w:right w:val="nil"/>
            </w:tcBorders>
            <w:vAlign w:val="center"/>
          </w:tcPr>
          <w:p w:rsidR="00565FD5" w:rsidRPr="001131FC" w:rsidRDefault="00565FD5" w:rsidP="00AB62A3">
            <w:pPr>
              <w:widowControl w:val="0"/>
              <w:jc w:val="center"/>
              <w:rPr>
                <w:rFonts w:cs="Tahoma"/>
                <w:b/>
                <w:bCs/>
                <w:sz w:val="14"/>
                <w:szCs w:val="14"/>
              </w:rPr>
            </w:pPr>
            <w:r w:rsidRPr="001131FC">
              <w:rPr>
                <w:rFonts w:cs="Tahoma"/>
                <w:b/>
                <w:bCs/>
                <w:sz w:val="14"/>
                <w:szCs w:val="14"/>
              </w:rPr>
              <w:t>III</w:t>
            </w:r>
          </w:p>
        </w:tc>
        <w:tc>
          <w:tcPr>
            <w:tcW w:w="344" w:type="pct"/>
            <w:tcBorders>
              <w:top w:val="single" w:sz="6" w:space="0" w:color="auto"/>
              <w:left w:val="nil"/>
              <w:bottom w:val="single" w:sz="4" w:space="0" w:color="auto"/>
              <w:right w:val="single" w:sz="4" w:space="0" w:color="auto"/>
            </w:tcBorders>
            <w:vAlign w:val="center"/>
          </w:tcPr>
          <w:p w:rsidR="00565FD5" w:rsidRPr="001131FC" w:rsidRDefault="00565FD5" w:rsidP="00AB62A3">
            <w:pPr>
              <w:widowControl w:val="0"/>
              <w:jc w:val="center"/>
              <w:rPr>
                <w:rFonts w:cs="Tahoma"/>
                <w:b/>
                <w:bCs/>
                <w:sz w:val="14"/>
                <w:szCs w:val="14"/>
              </w:rPr>
            </w:pPr>
            <w:r w:rsidRPr="001131FC">
              <w:rPr>
                <w:rFonts w:cs="Tahoma"/>
                <w:b/>
                <w:bCs/>
                <w:sz w:val="14"/>
                <w:szCs w:val="14"/>
              </w:rPr>
              <w:t>IV</w:t>
            </w:r>
          </w:p>
        </w:tc>
        <w:tc>
          <w:tcPr>
            <w:tcW w:w="342" w:type="pct"/>
            <w:tcBorders>
              <w:top w:val="single" w:sz="6" w:space="0" w:color="auto"/>
              <w:left w:val="single" w:sz="4" w:space="0" w:color="auto"/>
              <w:bottom w:val="single" w:sz="4" w:space="0" w:color="auto"/>
              <w:right w:val="nil"/>
            </w:tcBorders>
            <w:vAlign w:val="center"/>
          </w:tcPr>
          <w:p w:rsidR="00565FD5" w:rsidRPr="001131FC" w:rsidRDefault="00565FD5" w:rsidP="00AB62A3">
            <w:pPr>
              <w:widowControl w:val="0"/>
              <w:jc w:val="center"/>
              <w:rPr>
                <w:rFonts w:cs="Tahoma"/>
                <w:b/>
                <w:bCs/>
                <w:sz w:val="14"/>
                <w:szCs w:val="14"/>
              </w:rPr>
            </w:pPr>
            <w:r w:rsidRPr="001131FC">
              <w:rPr>
                <w:rFonts w:cs="Tahoma"/>
                <w:b/>
                <w:bCs/>
                <w:sz w:val="14"/>
                <w:szCs w:val="14"/>
              </w:rPr>
              <w:t>I</w:t>
            </w:r>
          </w:p>
        </w:tc>
        <w:tc>
          <w:tcPr>
            <w:tcW w:w="344" w:type="pct"/>
            <w:tcBorders>
              <w:top w:val="single" w:sz="6" w:space="0" w:color="auto"/>
              <w:left w:val="nil"/>
              <w:bottom w:val="single" w:sz="4" w:space="0" w:color="auto"/>
              <w:right w:val="single" w:sz="4" w:space="0" w:color="auto"/>
            </w:tcBorders>
            <w:vAlign w:val="center"/>
          </w:tcPr>
          <w:p w:rsidR="00565FD5" w:rsidRPr="001131FC" w:rsidRDefault="00565FD5" w:rsidP="00AB62A3">
            <w:pPr>
              <w:widowControl w:val="0"/>
              <w:jc w:val="center"/>
              <w:rPr>
                <w:rFonts w:cs="Tahoma"/>
                <w:b/>
                <w:bCs/>
                <w:sz w:val="14"/>
                <w:szCs w:val="14"/>
              </w:rPr>
            </w:pPr>
            <w:r w:rsidRPr="001131FC">
              <w:rPr>
                <w:rFonts w:cs="Tahoma"/>
                <w:b/>
                <w:bCs/>
                <w:sz w:val="14"/>
                <w:szCs w:val="14"/>
              </w:rPr>
              <w:t>II</w:t>
            </w:r>
          </w:p>
        </w:tc>
        <w:tc>
          <w:tcPr>
            <w:tcW w:w="117" w:type="pct"/>
            <w:tcBorders>
              <w:top w:val="single" w:sz="6" w:space="0" w:color="auto"/>
              <w:left w:val="single" w:sz="4" w:space="0" w:color="auto"/>
              <w:bottom w:val="single" w:sz="4" w:space="0" w:color="auto"/>
              <w:right w:val="nil"/>
            </w:tcBorders>
            <w:vAlign w:val="center"/>
          </w:tcPr>
          <w:p w:rsidR="00565FD5" w:rsidRPr="001131FC" w:rsidRDefault="00565FD5" w:rsidP="00AB62A3">
            <w:pPr>
              <w:widowControl w:val="0"/>
              <w:jc w:val="right"/>
              <w:rPr>
                <w:rFonts w:cs="Tahoma"/>
                <w:b/>
                <w:bCs/>
                <w:sz w:val="14"/>
                <w:szCs w:val="14"/>
              </w:rPr>
            </w:pPr>
          </w:p>
        </w:tc>
        <w:tc>
          <w:tcPr>
            <w:tcW w:w="481" w:type="pct"/>
            <w:tcBorders>
              <w:top w:val="single" w:sz="6" w:space="0" w:color="auto"/>
              <w:left w:val="nil"/>
              <w:bottom w:val="single" w:sz="4" w:space="0" w:color="auto"/>
              <w:right w:val="nil"/>
            </w:tcBorders>
            <w:vAlign w:val="center"/>
          </w:tcPr>
          <w:p w:rsidR="00565FD5" w:rsidRPr="001131FC" w:rsidRDefault="00565FD5" w:rsidP="00AB62A3">
            <w:pPr>
              <w:widowControl w:val="0"/>
              <w:jc w:val="right"/>
              <w:rPr>
                <w:rFonts w:cs="Tahoma"/>
                <w:b/>
                <w:bCs/>
                <w:sz w:val="14"/>
                <w:szCs w:val="14"/>
              </w:rPr>
            </w:pPr>
            <w:r w:rsidRPr="001131FC">
              <w:rPr>
                <w:rFonts w:cs="Tahoma"/>
                <w:b/>
                <w:bCs/>
                <w:sz w:val="14"/>
                <w:szCs w:val="14"/>
              </w:rPr>
              <w:t>2010</w:t>
            </w:r>
          </w:p>
        </w:tc>
        <w:tc>
          <w:tcPr>
            <w:tcW w:w="483" w:type="pct"/>
            <w:tcBorders>
              <w:top w:val="single" w:sz="6" w:space="0" w:color="auto"/>
              <w:left w:val="nil"/>
              <w:bottom w:val="single" w:sz="4" w:space="0" w:color="auto"/>
              <w:right w:val="nil"/>
            </w:tcBorders>
            <w:vAlign w:val="center"/>
          </w:tcPr>
          <w:p w:rsidR="00565FD5" w:rsidRPr="001131FC" w:rsidRDefault="00565FD5" w:rsidP="00AB62A3">
            <w:pPr>
              <w:widowControl w:val="0"/>
              <w:jc w:val="right"/>
              <w:rPr>
                <w:rFonts w:cs="Tahoma"/>
                <w:b/>
                <w:bCs/>
                <w:sz w:val="14"/>
                <w:szCs w:val="14"/>
              </w:rPr>
            </w:pPr>
            <w:r w:rsidRPr="001131FC">
              <w:rPr>
                <w:rFonts w:cs="Tahoma"/>
                <w:b/>
                <w:bCs/>
                <w:sz w:val="14"/>
                <w:szCs w:val="14"/>
              </w:rPr>
              <w:t>2011</w:t>
            </w:r>
          </w:p>
        </w:tc>
        <w:tc>
          <w:tcPr>
            <w:tcW w:w="482" w:type="pct"/>
            <w:tcBorders>
              <w:top w:val="single" w:sz="6" w:space="0" w:color="auto"/>
              <w:left w:val="nil"/>
              <w:bottom w:val="single" w:sz="4" w:space="0" w:color="auto"/>
              <w:right w:val="nil"/>
            </w:tcBorders>
            <w:vAlign w:val="center"/>
          </w:tcPr>
          <w:p w:rsidR="00565FD5" w:rsidRPr="001131FC" w:rsidRDefault="00565FD5" w:rsidP="00AB62A3">
            <w:pPr>
              <w:widowControl w:val="0"/>
              <w:jc w:val="right"/>
              <w:rPr>
                <w:rFonts w:cs="Tahoma"/>
                <w:b/>
                <w:bCs/>
                <w:sz w:val="14"/>
                <w:szCs w:val="14"/>
              </w:rPr>
            </w:pPr>
            <w:r w:rsidRPr="001131FC">
              <w:rPr>
                <w:rFonts w:cs="Tahoma"/>
                <w:b/>
                <w:bCs/>
                <w:sz w:val="14"/>
                <w:szCs w:val="14"/>
              </w:rPr>
              <w:t>2012(1)</w:t>
            </w:r>
          </w:p>
        </w:tc>
        <w:tc>
          <w:tcPr>
            <w:tcW w:w="544" w:type="pct"/>
            <w:tcBorders>
              <w:top w:val="single" w:sz="6" w:space="0" w:color="auto"/>
              <w:left w:val="nil"/>
              <w:bottom w:val="single" w:sz="4" w:space="0" w:color="auto"/>
              <w:right w:val="single" w:sz="4" w:space="0" w:color="auto"/>
            </w:tcBorders>
            <w:vAlign w:val="center"/>
          </w:tcPr>
          <w:p w:rsidR="00565FD5" w:rsidRPr="001131FC" w:rsidRDefault="00565FD5" w:rsidP="00AB62A3">
            <w:pPr>
              <w:widowControl w:val="0"/>
              <w:jc w:val="right"/>
              <w:rPr>
                <w:rFonts w:cs="Tahoma"/>
                <w:b/>
                <w:bCs/>
                <w:sz w:val="14"/>
                <w:szCs w:val="14"/>
              </w:rPr>
            </w:pPr>
            <w:r w:rsidRPr="001131FC">
              <w:rPr>
                <w:rFonts w:cs="Tahoma"/>
                <w:b/>
                <w:bCs/>
                <w:sz w:val="14"/>
                <w:szCs w:val="14"/>
              </w:rPr>
              <w:t>2013(2)</w:t>
            </w:r>
          </w:p>
        </w:tc>
      </w:tr>
      <w:tr w:rsidR="00565FD5" w:rsidRPr="001131FC" w:rsidTr="00AB62A3">
        <w:trPr>
          <w:trHeight w:val="57"/>
        </w:trPr>
        <w:tc>
          <w:tcPr>
            <w:tcW w:w="750" w:type="pct"/>
            <w:tcBorders>
              <w:top w:val="nil"/>
              <w:left w:val="single" w:sz="4" w:space="0" w:color="auto"/>
              <w:bottom w:val="single" w:sz="4" w:space="0" w:color="auto"/>
              <w:right w:val="single" w:sz="4" w:space="0" w:color="auto"/>
            </w:tcBorders>
            <w:vAlign w:val="center"/>
          </w:tcPr>
          <w:p w:rsidR="00565FD5" w:rsidRPr="001131FC" w:rsidRDefault="00565FD5" w:rsidP="00AB62A3">
            <w:pPr>
              <w:widowControl w:val="0"/>
              <w:ind w:firstLine="85"/>
              <w:rPr>
                <w:rFonts w:cs="Tahoma"/>
                <w:b/>
                <w:sz w:val="14"/>
                <w:szCs w:val="14"/>
              </w:rPr>
            </w:pPr>
          </w:p>
        </w:tc>
        <w:tc>
          <w:tcPr>
            <w:tcW w:w="4250" w:type="pct"/>
            <w:gridSpan w:val="11"/>
            <w:tcBorders>
              <w:top w:val="single" w:sz="4" w:space="0" w:color="auto"/>
              <w:left w:val="single" w:sz="4" w:space="0" w:color="auto"/>
              <w:bottom w:val="single" w:sz="4" w:space="0" w:color="auto"/>
              <w:right w:val="single" w:sz="4" w:space="0" w:color="auto"/>
            </w:tcBorders>
            <w:vAlign w:val="center"/>
          </w:tcPr>
          <w:p w:rsidR="00565FD5" w:rsidRPr="001131FC" w:rsidRDefault="00565FD5" w:rsidP="00AB62A3">
            <w:pPr>
              <w:jc w:val="center"/>
              <w:rPr>
                <w:rFonts w:eastAsia="Arial Unicode MS" w:cs="Tahoma"/>
                <w:b/>
                <w:sz w:val="14"/>
                <w:szCs w:val="14"/>
              </w:rPr>
            </w:pPr>
            <w:r w:rsidRPr="001131FC">
              <w:rPr>
                <w:rFonts w:eastAsia="Arial Unicode MS" w:cs="Tahoma"/>
                <w:b/>
                <w:sz w:val="14"/>
                <w:szCs w:val="14"/>
              </w:rPr>
              <w:t>(Sabit Fiyatlarla, Yüzde Değişme)</w:t>
            </w:r>
          </w:p>
        </w:tc>
      </w:tr>
      <w:tr w:rsidR="00565FD5" w:rsidRPr="001131FC" w:rsidTr="00AB62A3">
        <w:trPr>
          <w:trHeight w:val="57"/>
        </w:trPr>
        <w:tc>
          <w:tcPr>
            <w:tcW w:w="750" w:type="pct"/>
            <w:tcBorders>
              <w:top w:val="single" w:sz="4" w:space="0" w:color="auto"/>
              <w:left w:val="single" w:sz="4" w:space="0" w:color="auto"/>
              <w:bottom w:val="nil"/>
              <w:right w:val="single" w:sz="4" w:space="0" w:color="auto"/>
            </w:tcBorders>
            <w:vAlign w:val="center"/>
          </w:tcPr>
          <w:p w:rsidR="00565FD5" w:rsidRPr="001131FC" w:rsidRDefault="00565FD5" w:rsidP="00AB62A3">
            <w:pPr>
              <w:widowControl w:val="0"/>
              <w:ind w:firstLine="85"/>
              <w:rPr>
                <w:rFonts w:cs="Tahoma"/>
                <w:b/>
                <w:sz w:val="14"/>
                <w:szCs w:val="14"/>
              </w:rPr>
            </w:pPr>
            <w:r w:rsidRPr="001131FC">
              <w:rPr>
                <w:rFonts w:cs="Tahoma"/>
                <w:b/>
                <w:sz w:val="14"/>
                <w:szCs w:val="14"/>
              </w:rPr>
              <w:t>Tarım</w:t>
            </w:r>
          </w:p>
        </w:tc>
        <w:tc>
          <w:tcPr>
            <w:tcW w:w="385" w:type="pct"/>
            <w:tcBorders>
              <w:top w:val="single" w:sz="4" w:space="0" w:color="auto"/>
              <w:left w:val="single" w:sz="4" w:space="0" w:color="auto"/>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7,6</w:t>
            </w:r>
          </w:p>
        </w:tc>
        <w:tc>
          <w:tcPr>
            <w:tcW w:w="386" w:type="pct"/>
            <w:tcBorders>
              <w:top w:val="single" w:sz="4" w:space="0" w:color="auto"/>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6,4</w:t>
            </w:r>
          </w:p>
        </w:tc>
        <w:tc>
          <w:tcPr>
            <w:tcW w:w="342" w:type="pct"/>
            <w:tcBorders>
              <w:top w:val="single" w:sz="4" w:space="0" w:color="auto"/>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4,8</w:t>
            </w:r>
          </w:p>
        </w:tc>
        <w:tc>
          <w:tcPr>
            <w:tcW w:w="344" w:type="pct"/>
            <w:tcBorders>
              <w:top w:val="single" w:sz="4" w:space="0" w:color="auto"/>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5,6</w:t>
            </w:r>
          </w:p>
        </w:tc>
        <w:tc>
          <w:tcPr>
            <w:tcW w:w="342" w:type="pct"/>
            <w:tcBorders>
              <w:top w:val="single" w:sz="4" w:space="0" w:color="auto"/>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5,3</w:t>
            </w:r>
          </w:p>
        </w:tc>
        <w:tc>
          <w:tcPr>
            <w:tcW w:w="344" w:type="pct"/>
            <w:tcBorders>
              <w:top w:val="single" w:sz="4" w:space="0" w:color="auto"/>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3,5</w:t>
            </w:r>
          </w:p>
        </w:tc>
        <w:tc>
          <w:tcPr>
            <w:tcW w:w="117" w:type="pct"/>
            <w:tcBorders>
              <w:top w:val="single" w:sz="4" w:space="0" w:color="auto"/>
              <w:left w:val="nil"/>
              <w:bottom w:val="nil"/>
              <w:right w:val="nil"/>
            </w:tcBorders>
            <w:vAlign w:val="center"/>
          </w:tcPr>
          <w:p w:rsidR="00565FD5" w:rsidRPr="001131FC" w:rsidRDefault="00565FD5" w:rsidP="00AB62A3">
            <w:pPr>
              <w:jc w:val="right"/>
              <w:rPr>
                <w:rFonts w:cs="Tahoma"/>
                <w:sz w:val="14"/>
                <w:szCs w:val="14"/>
              </w:rPr>
            </w:pPr>
          </w:p>
        </w:tc>
        <w:tc>
          <w:tcPr>
            <w:tcW w:w="481" w:type="pct"/>
            <w:tcBorders>
              <w:top w:val="single" w:sz="4" w:space="0" w:color="auto"/>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2,4</w:t>
            </w:r>
          </w:p>
        </w:tc>
        <w:tc>
          <w:tcPr>
            <w:tcW w:w="483" w:type="pct"/>
            <w:tcBorders>
              <w:top w:val="single" w:sz="4" w:space="0" w:color="auto"/>
              <w:left w:val="nil"/>
              <w:bottom w:val="nil"/>
              <w:right w:val="nil"/>
            </w:tcBorders>
            <w:vAlign w:val="center"/>
          </w:tcPr>
          <w:p w:rsidR="00565FD5" w:rsidRPr="001131FC" w:rsidRDefault="00565FD5" w:rsidP="00AB62A3">
            <w:pPr>
              <w:widowControl w:val="0"/>
              <w:shd w:val="clear" w:color="auto" w:fill="FFFFFF"/>
              <w:jc w:val="right"/>
              <w:rPr>
                <w:rFonts w:cs="Tahoma"/>
                <w:sz w:val="14"/>
                <w:szCs w:val="14"/>
              </w:rPr>
            </w:pPr>
            <w:r w:rsidRPr="001131FC">
              <w:rPr>
                <w:rFonts w:cs="Tahoma"/>
                <w:sz w:val="14"/>
                <w:szCs w:val="14"/>
              </w:rPr>
              <w:t>5,6</w:t>
            </w:r>
          </w:p>
        </w:tc>
        <w:tc>
          <w:tcPr>
            <w:tcW w:w="482" w:type="pct"/>
            <w:tcBorders>
              <w:top w:val="single" w:sz="4" w:space="0" w:color="auto"/>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3,7</w:t>
            </w:r>
          </w:p>
        </w:tc>
        <w:tc>
          <w:tcPr>
            <w:tcW w:w="544" w:type="pct"/>
            <w:tcBorders>
              <w:top w:val="single" w:sz="4" w:space="0" w:color="auto"/>
              <w:left w:val="nil"/>
              <w:bottom w:val="nil"/>
              <w:right w:val="single" w:sz="4" w:space="0" w:color="auto"/>
            </w:tcBorders>
            <w:vAlign w:val="center"/>
          </w:tcPr>
          <w:p w:rsidR="00565FD5" w:rsidRPr="001131FC" w:rsidRDefault="00565FD5" w:rsidP="00AB62A3">
            <w:pPr>
              <w:widowControl w:val="0"/>
              <w:jc w:val="right"/>
              <w:rPr>
                <w:rFonts w:cs="Tahoma"/>
                <w:sz w:val="14"/>
                <w:szCs w:val="14"/>
              </w:rPr>
            </w:pPr>
            <w:r w:rsidRPr="001131FC">
              <w:rPr>
                <w:rFonts w:cs="Tahoma"/>
                <w:sz w:val="14"/>
                <w:szCs w:val="14"/>
              </w:rPr>
              <w:t>3,0</w:t>
            </w:r>
          </w:p>
        </w:tc>
      </w:tr>
      <w:tr w:rsidR="00565FD5" w:rsidRPr="001131FC" w:rsidTr="00AB62A3">
        <w:trPr>
          <w:trHeight w:val="57"/>
        </w:trPr>
        <w:tc>
          <w:tcPr>
            <w:tcW w:w="750" w:type="pct"/>
            <w:tcBorders>
              <w:top w:val="nil"/>
              <w:left w:val="single" w:sz="4" w:space="0" w:color="auto"/>
              <w:bottom w:val="nil"/>
              <w:right w:val="single" w:sz="4" w:space="0" w:color="auto"/>
            </w:tcBorders>
            <w:vAlign w:val="center"/>
          </w:tcPr>
          <w:p w:rsidR="00565FD5" w:rsidRPr="001131FC" w:rsidRDefault="00565FD5" w:rsidP="00AB62A3">
            <w:pPr>
              <w:widowControl w:val="0"/>
              <w:ind w:firstLine="85"/>
              <w:rPr>
                <w:rFonts w:cs="Tahoma"/>
                <w:b/>
                <w:sz w:val="14"/>
                <w:szCs w:val="14"/>
              </w:rPr>
            </w:pPr>
            <w:r w:rsidRPr="001131FC">
              <w:rPr>
                <w:rFonts w:cs="Tahoma"/>
                <w:b/>
                <w:sz w:val="14"/>
                <w:szCs w:val="14"/>
              </w:rPr>
              <w:lastRenderedPageBreak/>
              <w:t>Sanayi</w:t>
            </w:r>
          </w:p>
        </w:tc>
        <w:tc>
          <w:tcPr>
            <w:tcW w:w="385" w:type="pct"/>
            <w:tcBorders>
              <w:top w:val="nil"/>
              <w:left w:val="single" w:sz="4" w:space="0" w:color="auto"/>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14,8</w:t>
            </w:r>
          </w:p>
        </w:tc>
        <w:tc>
          <w:tcPr>
            <w:tcW w:w="386"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8,8</w:t>
            </w:r>
          </w:p>
        </w:tc>
        <w:tc>
          <w:tcPr>
            <w:tcW w:w="342"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9,0</w:t>
            </w:r>
          </w:p>
        </w:tc>
        <w:tc>
          <w:tcPr>
            <w:tcW w:w="344"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5,8</w:t>
            </w:r>
          </w:p>
        </w:tc>
        <w:tc>
          <w:tcPr>
            <w:tcW w:w="342"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3,1</w:t>
            </w:r>
          </w:p>
        </w:tc>
        <w:tc>
          <w:tcPr>
            <w:tcW w:w="344"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3,6</w:t>
            </w:r>
          </w:p>
        </w:tc>
        <w:tc>
          <w:tcPr>
            <w:tcW w:w="117" w:type="pct"/>
            <w:tcBorders>
              <w:top w:val="nil"/>
              <w:left w:val="nil"/>
              <w:bottom w:val="nil"/>
              <w:right w:val="nil"/>
            </w:tcBorders>
            <w:vAlign w:val="center"/>
          </w:tcPr>
          <w:p w:rsidR="00565FD5" w:rsidRPr="001131FC" w:rsidRDefault="00565FD5" w:rsidP="00AB62A3">
            <w:pPr>
              <w:jc w:val="right"/>
              <w:rPr>
                <w:rFonts w:cs="Tahoma"/>
                <w:sz w:val="14"/>
                <w:szCs w:val="14"/>
              </w:rPr>
            </w:pPr>
          </w:p>
        </w:tc>
        <w:tc>
          <w:tcPr>
            <w:tcW w:w="481"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12,8</w:t>
            </w:r>
          </w:p>
        </w:tc>
        <w:tc>
          <w:tcPr>
            <w:tcW w:w="483" w:type="pct"/>
            <w:tcBorders>
              <w:top w:val="nil"/>
              <w:left w:val="nil"/>
              <w:bottom w:val="nil"/>
              <w:right w:val="nil"/>
            </w:tcBorders>
            <w:vAlign w:val="center"/>
          </w:tcPr>
          <w:p w:rsidR="00565FD5" w:rsidRPr="001131FC" w:rsidRDefault="00565FD5" w:rsidP="00AB62A3">
            <w:pPr>
              <w:widowControl w:val="0"/>
              <w:shd w:val="clear" w:color="auto" w:fill="FFFFFF"/>
              <w:jc w:val="right"/>
              <w:rPr>
                <w:rFonts w:cs="Tahoma"/>
                <w:sz w:val="14"/>
                <w:szCs w:val="14"/>
              </w:rPr>
            </w:pPr>
            <w:r w:rsidRPr="001131FC">
              <w:rPr>
                <w:rFonts w:cs="Tahoma"/>
                <w:sz w:val="14"/>
                <w:szCs w:val="14"/>
              </w:rPr>
              <w:t>9,4</w:t>
            </w:r>
          </w:p>
        </w:tc>
        <w:tc>
          <w:tcPr>
            <w:tcW w:w="482"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3,1</w:t>
            </w:r>
          </w:p>
        </w:tc>
        <w:tc>
          <w:tcPr>
            <w:tcW w:w="544" w:type="pct"/>
            <w:tcBorders>
              <w:top w:val="nil"/>
              <w:left w:val="nil"/>
              <w:bottom w:val="nil"/>
              <w:right w:val="single" w:sz="4" w:space="0" w:color="auto"/>
            </w:tcBorders>
            <w:vAlign w:val="center"/>
          </w:tcPr>
          <w:p w:rsidR="00565FD5" w:rsidRPr="001131FC" w:rsidRDefault="00565FD5" w:rsidP="00AB62A3">
            <w:pPr>
              <w:widowControl w:val="0"/>
              <w:jc w:val="right"/>
              <w:rPr>
                <w:rFonts w:cs="Tahoma"/>
                <w:sz w:val="14"/>
                <w:szCs w:val="14"/>
              </w:rPr>
            </w:pPr>
            <w:r w:rsidRPr="001131FC">
              <w:rPr>
                <w:rFonts w:cs="Tahoma"/>
                <w:sz w:val="14"/>
                <w:szCs w:val="14"/>
              </w:rPr>
              <w:t>4,0</w:t>
            </w:r>
          </w:p>
        </w:tc>
      </w:tr>
      <w:tr w:rsidR="00565FD5" w:rsidRPr="001131FC" w:rsidTr="00AB62A3">
        <w:trPr>
          <w:trHeight w:val="57"/>
        </w:trPr>
        <w:tc>
          <w:tcPr>
            <w:tcW w:w="750" w:type="pct"/>
            <w:tcBorders>
              <w:top w:val="nil"/>
              <w:left w:val="single" w:sz="4" w:space="0" w:color="auto"/>
              <w:bottom w:val="nil"/>
              <w:right w:val="single" w:sz="4" w:space="0" w:color="auto"/>
            </w:tcBorders>
            <w:vAlign w:val="center"/>
          </w:tcPr>
          <w:p w:rsidR="00565FD5" w:rsidRPr="001131FC" w:rsidRDefault="00565FD5" w:rsidP="00AB62A3">
            <w:pPr>
              <w:widowControl w:val="0"/>
              <w:ind w:firstLine="85"/>
              <w:rPr>
                <w:rFonts w:cs="Tahoma"/>
                <w:b/>
                <w:sz w:val="14"/>
                <w:szCs w:val="14"/>
              </w:rPr>
            </w:pPr>
            <w:r w:rsidRPr="001131FC">
              <w:rPr>
                <w:rFonts w:cs="Tahoma"/>
                <w:b/>
                <w:sz w:val="14"/>
                <w:szCs w:val="14"/>
              </w:rPr>
              <w:t>Hizmetler</w:t>
            </w:r>
          </w:p>
        </w:tc>
        <w:tc>
          <w:tcPr>
            <w:tcW w:w="385" w:type="pct"/>
            <w:tcBorders>
              <w:top w:val="nil"/>
              <w:left w:val="single" w:sz="4" w:space="0" w:color="auto"/>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10,9</w:t>
            </w:r>
          </w:p>
        </w:tc>
        <w:tc>
          <w:tcPr>
            <w:tcW w:w="386"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9,7</w:t>
            </w:r>
          </w:p>
        </w:tc>
        <w:tc>
          <w:tcPr>
            <w:tcW w:w="342"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9,7</w:t>
            </w:r>
          </w:p>
        </w:tc>
        <w:tc>
          <w:tcPr>
            <w:tcW w:w="344"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5,7</w:t>
            </w:r>
          </w:p>
        </w:tc>
        <w:tc>
          <w:tcPr>
            <w:tcW w:w="342"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3,5</w:t>
            </w:r>
          </w:p>
        </w:tc>
        <w:tc>
          <w:tcPr>
            <w:tcW w:w="344"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2,9</w:t>
            </w:r>
          </w:p>
        </w:tc>
        <w:tc>
          <w:tcPr>
            <w:tcW w:w="117" w:type="pct"/>
            <w:tcBorders>
              <w:top w:val="nil"/>
              <w:left w:val="nil"/>
              <w:bottom w:val="nil"/>
              <w:right w:val="nil"/>
            </w:tcBorders>
            <w:vAlign w:val="center"/>
          </w:tcPr>
          <w:p w:rsidR="00565FD5" w:rsidRPr="001131FC" w:rsidRDefault="00565FD5" w:rsidP="00AB62A3">
            <w:pPr>
              <w:jc w:val="right"/>
              <w:rPr>
                <w:rFonts w:cs="Tahoma"/>
                <w:sz w:val="14"/>
                <w:szCs w:val="14"/>
              </w:rPr>
            </w:pPr>
          </w:p>
        </w:tc>
        <w:tc>
          <w:tcPr>
            <w:tcW w:w="481"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8,6</w:t>
            </w:r>
          </w:p>
        </w:tc>
        <w:tc>
          <w:tcPr>
            <w:tcW w:w="483" w:type="pct"/>
            <w:tcBorders>
              <w:top w:val="nil"/>
              <w:left w:val="nil"/>
              <w:bottom w:val="nil"/>
              <w:right w:val="nil"/>
            </w:tcBorders>
            <w:vAlign w:val="center"/>
          </w:tcPr>
          <w:p w:rsidR="00565FD5" w:rsidRPr="001131FC" w:rsidRDefault="00565FD5" w:rsidP="00AB62A3">
            <w:pPr>
              <w:widowControl w:val="0"/>
              <w:shd w:val="clear" w:color="auto" w:fill="FFFFFF"/>
              <w:jc w:val="right"/>
              <w:rPr>
                <w:rFonts w:cs="Tahoma"/>
                <w:sz w:val="14"/>
                <w:szCs w:val="14"/>
              </w:rPr>
            </w:pPr>
            <w:r w:rsidRPr="001131FC">
              <w:rPr>
                <w:rFonts w:cs="Tahoma"/>
                <w:sz w:val="14"/>
                <w:szCs w:val="14"/>
              </w:rPr>
              <w:t>8,9</w:t>
            </w:r>
          </w:p>
        </w:tc>
        <w:tc>
          <w:tcPr>
            <w:tcW w:w="482"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3,2</w:t>
            </w:r>
          </w:p>
        </w:tc>
        <w:tc>
          <w:tcPr>
            <w:tcW w:w="544" w:type="pct"/>
            <w:tcBorders>
              <w:top w:val="nil"/>
              <w:left w:val="nil"/>
              <w:bottom w:val="nil"/>
              <w:right w:val="single" w:sz="4" w:space="0" w:color="auto"/>
            </w:tcBorders>
            <w:vAlign w:val="center"/>
          </w:tcPr>
          <w:p w:rsidR="00565FD5" w:rsidRPr="001131FC" w:rsidRDefault="00565FD5" w:rsidP="00AB62A3">
            <w:pPr>
              <w:widowControl w:val="0"/>
              <w:jc w:val="right"/>
              <w:rPr>
                <w:rFonts w:cs="Tahoma"/>
                <w:sz w:val="14"/>
                <w:szCs w:val="14"/>
              </w:rPr>
            </w:pPr>
            <w:r w:rsidRPr="001131FC">
              <w:rPr>
                <w:rFonts w:cs="Tahoma"/>
                <w:sz w:val="14"/>
                <w:szCs w:val="14"/>
              </w:rPr>
              <w:t>4,2</w:t>
            </w:r>
          </w:p>
        </w:tc>
      </w:tr>
      <w:tr w:rsidR="00565FD5" w:rsidRPr="0088492C" w:rsidTr="00AB62A3">
        <w:trPr>
          <w:trHeight w:val="66"/>
        </w:trPr>
        <w:tc>
          <w:tcPr>
            <w:tcW w:w="750" w:type="pct"/>
            <w:tcBorders>
              <w:top w:val="nil"/>
              <w:left w:val="single" w:sz="4" w:space="0" w:color="auto"/>
              <w:bottom w:val="nil"/>
              <w:right w:val="single" w:sz="4" w:space="0" w:color="auto"/>
            </w:tcBorders>
            <w:vAlign w:val="center"/>
          </w:tcPr>
          <w:p w:rsidR="00565FD5" w:rsidRPr="0088492C" w:rsidRDefault="00565FD5" w:rsidP="00AB62A3">
            <w:pPr>
              <w:widowControl w:val="0"/>
              <w:ind w:firstLine="85"/>
              <w:rPr>
                <w:rFonts w:cs="Tahoma"/>
                <w:b/>
                <w:sz w:val="4"/>
                <w:szCs w:val="4"/>
              </w:rPr>
            </w:pPr>
          </w:p>
        </w:tc>
        <w:tc>
          <w:tcPr>
            <w:tcW w:w="385" w:type="pct"/>
            <w:tcBorders>
              <w:top w:val="nil"/>
              <w:left w:val="single" w:sz="4" w:space="0" w:color="auto"/>
              <w:bottom w:val="nil"/>
              <w:right w:val="nil"/>
            </w:tcBorders>
            <w:vAlign w:val="center"/>
          </w:tcPr>
          <w:p w:rsidR="00565FD5" w:rsidRPr="0088492C" w:rsidRDefault="00565FD5" w:rsidP="00AB62A3">
            <w:pPr>
              <w:widowControl w:val="0"/>
              <w:jc w:val="right"/>
              <w:rPr>
                <w:rFonts w:cs="Tahoma"/>
                <w:sz w:val="4"/>
                <w:szCs w:val="4"/>
              </w:rPr>
            </w:pPr>
          </w:p>
        </w:tc>
        <w:tc>
          <w:tcPr>
            <w:tcW w:w="386" w:type="pct"/>
            <w:tcBorders>
              <w:top w:val="nil"/>
              <w:left w:val="nil"/>
              <w:bottom w:val="nil"/>
              <w:right w:val="nil"/>
            </w:tcBorders>
            <w:vAlign w:val="center"/>
          </w:tcPr>
          <w:p w:rsidR="00565FD5" w:rsidRPr="0088492C" w:rsidRDefault="00565FD5" w:rsidP="00AB62A3">
            <w:pPr>
              <w:widowControl w:val="0"/>
              <w:jc w:val="right"/>
              <w:rPr>
                <w:rFonts w:cs="Tahoma"/>
                <w:sz w:val="4"/>
                <w:szCs w:val="4"/>
              </w:rPr>
            </w:pPr>
          </w:p>
        </w:tc>
        <w:tc>
          <w:tcPr>
            <w:tcW w:w="342" w:type="pct"/>
            <w:tcBorders>
              <w:top w:val="nil"/>
              <w:left w:val="nil"/>
              <w:bottom w:val="nil"/>
              <w:right w:val="nil"/>
            </w:tcBorders>
            <w:vAlign w:val="center"/>
          </w:tcPr>
          <w:p w:rsidR="00565FD5" w:rsidRPr="0088492C" w:rsidRDefault="00565FD5" w:rsidP="00AB62A3">
            <w:pPr>
              <w:widowControl w:val="0"/>
              <w:jc w:val="right"/>
              <w:rPr>
                <w:rFonts w:cs="Tahoma"/>
                <w:sz w:val="4"/>
                <w:szCs w:val="4"/>
              </w:rPr>
            </w:pPr>
          </w:p>
        </w:tc>
        <w:tc>
          <w:tcPr>
            <w:tcW w:w="344" w:type="pct"/>
            <w:tcBorders>
              <w:top w:val="nil"/>
              <w:left w:val="nil"/>
              <w:bottom w:val="nil"/>
              <w:right w:val="nil"/>
            </w:tcBorders>
            <w:vAlign w:val="center"/>
          </w:tcPr>
          <w:p w:rsidR="00565FD5" w:rsidRPr="0088492C" w:rsidRDefault="00565FD5" w:rsidP="00AB62A3">
            <w:pPr>
              <w:widowControl w:val="0"/>
              <w:jc w:val="right"/>
              <w:rPr>
                <w:rFonts w:cs="Tahoma"/>
                <w:sz w:val="4"/>
                <w:szCs w:val="4"/>
              </w:rPr>
            </w:pPr>
          </w:p>
        </w:tc>
        <w:tc>
          <w:tcPr>
            <w:tcW w:w="342" w:type="pct"/>
            <w:tcBorders>
              <w:top w:val="nil"/>
              <w:left w:val="nil"/>
              <w:bottom w:val="nil"/>
              <w:right w:val="nil"/>
            </w:tcBorders>
            <w:vAlign w:val="center"/>
          </w:tcPr>
          <w:p w:rsidR="00565FD5" w:rsidRPr="0088492C" w:rsidRDefault="00565FD5" w:rsidP="00AB62A3">
            <w:pPr>
              <w:widowControl w:val="0"/>
              <w:jc w:val="right"/>
              <w:rPr>
                <w:rFonts w:cs="Tahoma"/>
                <w:sz w:val="4"/>
                <w:szCs w:val="4"/>
              </w:rPr>
            </w:pPr>
          </w:p>
        </w:tc>
        <w:tc>
          <w:tcPr>
            <w:tcW w:w="344" w:type="pct"/>
            <w:tcBorders>
              <w:top w:val="nil"/>
              <w:left w:val="nil"/>
              <w:bottom w:val="nil"/>
              <w:right w:val="nil"/>
            </w:tcBorders>
            <w:vAlign w:val="center"/>
          </w:tcPr>
          <w:p w:rsidR="00565FD5" w:rsidRPr="0088492C" w:rsidRDefault="00565FD5" w:rsidP="00AB62A3">
            <w:pPr>
              <w:widowControl w:val="0"/>
              <w:jc w:val="right"/>
              <w:rPr>
                <w:rFonts w:cs="Tahoma"/>
                <w:sz w:val="4"/>
                <w:szCs w:val="4"/>
              </w:rPr>
            </w:pPr>
          </w:p>
        </w:tc>
        <w:tc>
          <w:tcPr>
            <w:tcW w:w="117" w:type="pct"/>
            <w:tcBorders>
              <w:top w:val="nil"/>
              <w:left w:val="nil"/>
              <w:bottom w:val="nil"/>
              <w:right w:val="nil"/>
            </w:tcBorders>
            <w:vAlign w:val="center"/>
          </w:tcPr>
          <w:p w:rsidR="00565FD5" w:rsidRPr="0088492C" w:rsidRDefault="00565FD5" w:rsidP="00AB62A3">
            <w:pPr>
              <w:jc w:val="right"/>
              <w:rPr>
                <w:rFonts w:cs="Tahoma"/>
                <w:sz w:val="4"/>
                <w:szCs w:val="4"/>
              </w:rPr>
            </w:pPr>
          </w:p>
        </w:tc>
        <w:tc>
          <w:tcPr>
            <w:tcW w:w="481" w:type="pct"/>
            <w:tcBorders>
              <w:top w:val="nil"/>
              <w:left w:val="nil"/>
              <w:bottom w:val="nil"/>
              <w:right w:val="nil"/>
            </w:tcBorders>
            <w:vAlign w:val="center"/>
          </w:tcPr>
          <w:p w:rsidR="00565FD5" w:rsidRPr="0088492C" w:rsidRDefault="00565FD5" w:rsidP="00AB62A3">
            <w:pPr>
              <w:widowControl w:val="0"/>
              <w:jc w:val="right"/>
              <w:rPr>
                <w:rFonts w:cs="Tahoma"/>
                <w:sz w:val="4"/>
                <w:szCs w:val="4"/>
              </w:rPr>
            </w:pPr>
          </w:p>
        </w:tc>
        <w:tc>
          <w:tcPr>
            <w:tcW w:w="483" w:type="pct"/>
            <w:tcBorders>
              <w:top w:val="nil"/>
              <w:left w:val="nil"/>
              <w:bottom w:val="nil"/>
              <w:right w:val="nil"/>
            </w:tcBorders>
            <w:vAlign w:val="center"/>
          </w:tcPr>
          <w:p w:rsidR="00565FD5" w:rsidRPr="0088492C" w:rsidRDefault="00565FD5" w:rsidP="00AB62A3">
            <w:pPr>
              <w:widowControl w:val="0"/>
              <w:jc w:val="right"/>
              <w:rPr>
                <w:rFonts w:cs="Tahoma"/>
                <w:sz w:val="4"/>
                <w:szCs w:val="4"/>
              </w:rPr>
            </w:pPr>
          </w:p>
        </w:tc>
        <w:tc>
          <w:tcPr>
            <w:tcW w:w="482" w:type="pct"/>
            <w:tcBorders>
              <w:top w:val="nil"/>
              <w:left w:val="nil"/>
              <w:bottom w:val="nil"/>
              <w:right w:val="nil"/>
            </w:tcBorders>
            <w:vAlign w:val="center"/>
          </w:tcPr>
          <w:p w:rsidR="00565FD5" w:rsidRPr="0088492C" w:rsidRDefault="00565FD5" w:rsidP="00AB62A3">
            <w:pPr>
              <w:widowControl w:val="0"/>
              <w:jc w:val="right"/>
              <w:rPr>
                <w:rFonts w:cs="Tahoma"/>
                <w:sz w:val="4"/>
                <w:szCs w:val="4"/>
              </w:rPr>
            </w:pPr>
          </w:p>
        </w:tc>
        <w:tc>
          <w:tcPr>
            <w:tcW w:w="544" w:type="pct"/>
            <w:tcBorders>
              <w:top w:val="nil"/>
              <w:left w:val="nil"/>
              <w:bottom w:val="nil"/>
              <w:right w:val="single" w:sz="4" w:space="0" w:color="auto"/>
            </w:tcBorders>
            <w:vAlign w:val="center"/>
          </w:tcPr>
          <w:p w:rsidR="00565FD5" w:rsidRPr="0088492C" w:rsidRDefault="00565FD5" w:rsidP="00AB62A3">
            <w:pPr>
              <w:widowControl w:val="0"/>
              <w:jc w:val="right"/>
              <w:rPr>
                <w:rFonts w:cs="Tahoma"/>
                <w:sz w:val="4"/>
                <w:szCs w:val="4"/>
              </w:rPr>
            </w:pPr>
          </w:p>
        </w:tc>
      </w:tr>
      <w:tr w:rsidR="00565FD5" w:rsidRPr="001131FC" w:rsidTr="00AB62A3">
        <w:trPr>
          <w:trHeight w:val="57"/>
        </w:trPr>
        <w:tc>
          <w:tcPr>
            <w:tcW w:w="750" w:type="pct"/>
            <w:tcBorders>
              <w:top w:val="nil"/>
              <w:left w:val="single" w:sz="4" w:space="0" w:color="auto"/>
              <w:bottom w:val="single" w:sz="4" w:space="0" w:color="auto"/>
              <w:right w:val="single" w:sz="4" w:space="0" w:color="auto"/>
            </w:tcBorders>
            <w:vAlign w:val="center"/>
          </w:tcPr>
          <w:p w:rsidR="00565FD5" w:rsidRPr="001131FC" w:rsidRDefault="00565FD5" w:rsidP="00AB62A3">
            <w:pPr>
              <w:widowControl w:val="0"/>
              <w:ind w:firstLine="85"/>
              <w:rPr>
                <w:rFonts w:cs="Tahoma"/>
                <w:b/>
                <w:sz w:val="14"/>
                <w:szCs w:val="14"/>
              </w:rPr>
            </w:pPr>
            <w:r w:rsidRPr="001131FC">
              <w:rPr>
                <w:rFonts w:cs="Tahoma"/>
                <w:b/>
                <w:sz w:val="14"/>
                <w:szCs w:val="14"/>
              </w:rPr>
              <w:t xml:space="preserve">GSYH </w:t>
            </w:r>
          </w:p>
        </w:tc>
        <w:tc>
          <w:tcPr>
            <w:tcW w:w="385" w:type="pct"/>
            <w:tcBorders>
              <w:top w:val="nil"/>
              <w:left w:val="single" w:sz="4" w:space="0" w:color="auto"/>
              <w:bottom w:val="single" w:sz="4" w:space="0" w:color="auto"/>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12,1</w:t>
            </w:r>
          </w:p>
        </w:tc>
        <w:tc>
          <w:tcPr>
            <w:tcW w:w="386" w:type="pct"/>
            <w:tcBorders>
              <w:top w:val="nil"/>
              <w:left w:val="nil"/>
              <w:bottom w:val="single" w:sz="4" w:space="0" w:color="auto"/>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9,1</w:t>
            </w:r>
          </w:p>
        </w:tc>
        <w:tc>
          <w:tcPr>
            <w:tcW w:w="342" w:type="pct"/>
            <w:tcBorders>
              <w:top w:val="nil"/>
              <w:left w:val="nil"/>
              <w:bottom w:val="single" w:sz="4" w:space="0" w:color="auto"/>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8,4</w:t>
            </w:r>
          </w:p>
        </w:tc>
        <w:tc>
          <w:tcPr>
            <w:tcW w:w="344" w:type="pct"/>
            <w:tcBorders>
              <w:top w:val="nil"/>
              <w:left w:val="nil"/>
              <w:bottom w:val="single" w:sz="4" w:space="0" w:color="auto"/>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5,0</w:t>
            </w:r>
          </w:p>
        </w:tc>
        <w:tc>
          <w:tcPr>
            <w:tcW w:w="342" w:type="pct"/>
            <w:tcBorders>
              <w:top w:val="nil"/>
              <w:left w:val="nil"/>
              <w:bottom w:val="single" w:sz="4" w:space="0" w:color="auto"/>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3,3</w:t>
            </w:r>
          </w:p>
        </w:tc>
        <w:tc>
          <w:tcPr>
            <w:tcW w:w="344" w:type="pct"/>
            <w:tcBorders>
              <w:top w:val="nil"/>
              <w:left w:val="nil"/>
              <w:bottom w:val="single" w:sz="4" w:space="0" w:color="auto"/>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2,9</w:t>
            </w:r>
          </w:p>
        </w:tc>
        <w:tc>
          <w:tcPr>
            <w:tcW w:w="117" w:type="pct"/>
            <w:tcBorders>
              <w:top w:val="nil"/>
              <w:left w:val="nil"/>
              <w:bottom w:val="single" w:sz="4" w:space="0" w:color="auto"/>
              <w:right w:val="nil"/>
            </w:tcBorders>
            <w:vAlign w:val="center"/>
          </w:tcPr>
          <w:p w:rsidR="00565FD5" w:rsidRPr="001131FC" w:rsidRDefault="00565FD5" w:rsidP="00AB62A3">
            <w:pPr>
              <w:jc w:val="right"/>
              <w:rPr>
                <w:rFonts w:cs="Tahoma"/>
                <w:sz w:val="14"/>
                <w:szCs w:val="14"/>
              </w:rPr>
            </w:pPr>
          </w:p>
        </w:tc>
        <w:tc>
          <w:tcPr>
            <w:tcW w:w="481" w:type="pct"/>
            <w:tcBorders>
              <w:top w:val="nil"/>
              <w:left w:val="nil"/>
              <w:bottom w:val="single" w:sz="4" w:space="0" w:color="auto"/>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9,2</w:t>
            </w:r>
          </w:p>
        </w:tc>
        <w:tc>
          <w:tcPr>
            <w:tcW w:w="483" w:type="pct"/>
            <w:tcBorders>
              <w:top w:val="nil"/>
              <w:left w:val="nil"/>
              <w:bottom w:val="single" w:sz="4" w:space="0" w:color="auto"/>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8,5</w:t>
            </w:r>
          </w:p>
        </w:tc>
        <w:tc>
          <w:tcPr>
            <w:tcW w:w="482" w:type="pct"/>
            <w:tcBorders>
              <w:top w:val="nil"/>
              <w:left w:val="nil"/>
              <w:bottom w:val="single" w:sz="4" w:space="0" w:color="auto"/>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3,2</w:t>
            </w:r>
          </w:p>
        </w:tc>
        <w:tc>
          <w:tcPr>
            <w:tcW w:w="544" w:type="pct"/>
            <w:tcBorders>
              <w:top w:val="nil"/>
              <w:left w:val="nil"/>
              <w:bottom w:val="single" w:sz="4" w:space="0" w:color="auto"/>
              <w:right w:val="single" w:sz="4" w:space="0" w:color="auto"/>
            </w:tcBorders>
            <w:vAlign w:val="center"/>
          </w:tcPr>
          <w:p w:rsidR="00565FD5" w:rsidRPr="001131FC" w:rsidRDefault="00565FD5" w:rsidP="00AB62A3">
            <w:pPr>
              <w:widowControl w:val="0"/>
              <w:jc w:val="right"/>
              <w:rPr>
                <w:rFonts w:cs="Tahoma"/>
                <w:sz w:val="14"/>
                <w:szCs w:val="14"/>
              </w:rPr>
            </w:pPr>
            <w:r w:rsidRPr="001131FC">
              <w:rPr>
                <w:rFonts w:cs="Tahoma"/>
                <w:sz w:val="14"/>
                <w:szCs w:val="14"/>
              </w:rPr>
              <w:t>4,0</w:t>
            </w:r>
          </w:p>
        </w:tc>
      </w:tr>
      <w:tr w:rsidR="00565FD5" w:rsidRPr="001131FC" w:rsidTr="00AB62A3">
        <w:trPr>
          <w:trHeight w:val="57"/>
        </w:trPr>
        <w:tc>
          <w:tcPr>
            <w:tcW w:w="750" w:type="pct"/>
            <w:tcBorders>
              <w:top w:val="single" w:sz="4" w:space="0" w:color="auto"/>
              <w:left w:val="single" w:sz="4" w:space="0" w:color="auto"/>
              <w:bottom w:val="single" w:sz="4" w:space="0" w:color="auto"/>
              <w:right w:val="single" w:sz="4" w:space="0" w:color="auto"/>
            </w:tcBorders>
            <w:vAlign w:val="center"/>
          </w:tcPr>
          <w:p w:rsidR="00565FD5" w:rsidRPr="001131FC" w:rsidRDefault="00565FD5" w:rsidP="00AB62A3">
            <w:pPr>
              <w:widowControl w:val="0"/>
              <w:ind w:firstLine="85"/>
              <w:rPr>
                <w:rFonts w:cs="Tahoma"/>
                <w:b/>
                <w:sz w:val="14"/>
                <w:szCs w:val="14"/>
              </w:rPr>
            </w:pPr>
          </w:p>
        </w:tc>
        <w:tc>
          <w:tcPr>
            <w:tcW w:w="4250" w:type="pct"/>
            <w:gridSpan w:val="11"/>
            <w:tcBorders>
              <w:top w:val="single" w:sz="4" w:space="0" w:color="auto"/>
              <w:left w:val="single" w:sz="4" w:space="0" w:color="auto"/>
              <w:bottom w:val="single" w:sz="4" w:space="0" w:color="auto"/>
              <w:right w:val="single" w:sz="4" w:space="0" w:color="auto"/>
            </w:tcBorders>
            <w:vAlign w:val="center"/>
          </w:tcPr>
          <w:p w:rsidR="00565FD5" w:rsidRPr="001131FC" w:rsidRDefault="00565FD5" w:rsidP="00AB62A3">
            <w:pPr>
              <w:jc w:val="center"/>
              <w:rPr>
                <w:rFonts w:eastAsia="Arial Unicode MS" w:cs="Tahoma"/>
                <w:b/>
                <w:sz w:val="14"/>
                <w:szCs w:val="14"/>
              </w:rPr>
            </w:pPr>
            <w:r w:rsidRPr="001131FC">
              <w:rPr>
                <w:rFonts w:eastAsia="Arial Unicode MS" w:cs="Tahoma"/>
                <w:b/>
                <w:sz w:val="14"/>
                <w:szCs w:val="14"/>
              </w:rPr>
              <w:t>(Cari Fiyatlarla, Yüzde Pay)(3)</w:t>
            </w:r>
          </w:p>
        </w:tc>
      </w:tr>
      <w:tr w:rsidR="00565FD5" w:rsidRPr="001131FC" w:rsidTr="00AB62A3">
        <w:trPr>
          <w:trHeight w:val="57"/>
        </w:trPr>
        <w:tc>
          <w:tcPr>
            <w:tcW w:w="750" w:type="pct"/>
            <w:tcBorders>
              <w:top w:val="single" w:sz="4" w:space="0" w:color="auto"/>
              <w:left w:val="single" w:sz="4" w:space="0" w:color="auto"/>
              <w:bottom w:val="nil"/>
              <w:right w:val="single" w:sz="4" w:space="0" w:color="auto"/>
            </w:tcBorders>
            <w:vAlign w:val="center"/>
          </w:tcPr>
          <w:p w:rsidR="00565FD5" w:rsidRPr="001131FC" w:rsidRDefault="00565FD5" w:rsidP="00AB62A3">
            <w:pPr>
              <w:widowControl w:val="0"/>
              <w:ind w:firstLine="85"/>
              <w:rPr>
                <w:rFonts w:cs="Tahoma"/>
                <w:b/>
                <w:sz w:val="14"/>
                <w:szCs w:val="14"/>
              </w:rPr>
            </w:pPr>
            <w:r w:rsidRPr="001131FC">
              <w:rPr>
                <w:rFonts w:cs="Tahoma"/>
                <w:b/>
                <w:sz w:val="14"/>
                <w:szCs w:val="14"/>
              </w:rPr>
              <w:t>Tarım</w:t>
            </w:r>
          </w:p>
        </w:tc>
        <w:tc>
          <w:tcPr>
            <w:tcW w:w="385" w:type="pct"/>
            <w:tcBorders>
              <w:top w:val="single" w:sz="4" w:space="0" w:color="auto"/>
              <w:left w:val="single" w:sz="4" w:space="0" w:color="auto"/>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4,7</w:t>
            </w:r>
          </w:p>
        </w:tc>
        <w:tc>
          <w:tcPr>
            <w:tcW w:w="386" w:type="pct"/>
            <w:tcBorders>
              <w:top w:val="single" w:sz="4" w:space="0" w:color="auto"/>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7,7</w:t>
            </w:r>
          </w:p>
        </w:tc>
        <w:tc>
          <w:tcPr>
            <w:tcW w:w="342" w:type="pct"/>
            <w:tcBorders>
              <w:top w:val="single" w:sz="4" w:space="0" w:color="auto"/>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14,5</w:t>
            </w:r>
          </w:p>
        </w:tc>
        <w:tc>
          <w:tcPr>
            <w:tcW w:w="344" w:type="pct"/>
            <w:tcBorders>
              <w:top w:val="single" w:sz="4" w:space="0" w:color="auto"/>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8,1</w:t>
            </w:r>
          </w:p>
        </w:tc>
        <w:tc>
          <w:tcPr>
            <w:tcW w:w="342" w:type="pct"/>
            <w:tcBorders>
              <w:top w:val="single" w:sz="4" w:space="0" w:color="auto"/>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4,8</w:t>
            </w:r>
          </w:p>
        </w:tc>
        <w:tc>
          <w:tcPr>
            <w:tcW w:w="344" w:type="pct"/>
            <w:tcBorders>
              <w:top w:val="single" w:sz="4" w:space="0" w:color="auto"/>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7,2</w:t>
            </w:r>
          </w:p>
        </w:tc>
        <w:tc>
          <w:tcPr>
            <w:tcW w:w="117" w:type="pct"/>
            <w:tcBorders>
              <w:top w:val="single" w:sz="4" w:space="0" w:color="auto"/>
              <w:left w:val="nil"/>
              <w:bottom w:val="nil"/>
              <w:right w:val="nil"/>
            </w:tcBorders>
            <w:vAlign w:val="center"/>
          </w:tcPr>
          <w:p w:rsidR="00565FD5" w:rsidRPr="001131FC" w:rsidRDefault="00565FD5" w:rsidP="00AB62A3">
            <w:pPr>
              <w:widowControl w:val="0"/>
              <w:jc w:val="right"/>
              <w:rPr>
                <w:rFonts w:cs="Tahoma"/>
                <w:sz w:val="14"/>
                <w:szCs w:val="14"/>
              </w:rPr>
            </w:pPr>
          </w:p>
        </w:tc>
        <w:tc>
          <w:tcPr>
            <w:tcW w:w="481" w:type="pct"/>
            <w:tcBorders>
              <w:top w:val="single" w:sz="4" w:space="0" w:color="auto"/>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9,4</w:t>
            </w:r>
          </w:p>
        </w:tc>
        <w:tc>
          <w:tcPr>
            <w:tcW w:w="483" w:type="pct"/>
            <w:tcBorders>
              <w:top w:val="single" w:sz="4" w:space="0" w:color="auto"/>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9,0</w:t>
            </w:r>
          </w:p>
        </w:tc>
        <w:tc>
          <w:tcPr>
            <w:tcW w:w="482" w:type="pct"/>
            <w:tcBorders>
              <w:top w:val="single" w:sz="4" w:space="0" w:color="auto"/>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9,2</w:t>
            </w:r>
          </w:p>
        </w:tc>
        <w:tc>
          <w:tcPr>
            <w:tcW w:w="544" w:type="pct"/>
            <w:tcBorders>
              <w:top w:val="single" w:sz="4" w:space="0" w:color="auto"/>
              <w:left w:val="nil"/>
              <w:bottom w:val="nil"/>
              <w:right w:val="single" w:sz="4" w:space="0" w:color="auto"/>
            </w:tcBorders>
            <w:vAlign w:val="center"/>
          </w:tcPr>
          <w:p w:rsidR="00565FD5" w:rsidRPr="001131FC" w:rsidRDefault="00565FD5" w:rsidP="00AB62A3">
            <w:pPr>
              <w:widowControl w:val="0"/>
              <w:jc w:val="right"/>
              <w:rPr>
                <w:rFonts w:cs="Tahoma"/>
                <w:sz w:val="14"/>
                <w:szCs w:val="14"/>
              </w:rPr>
            </w:pPr>
            <w:r w:rsidRPr="001131FC">
              <w:rPr>
                <w:rFonts w:cs="Tahoma"/>
                <w:sz w:val="14"/>
                <w:szCs w:val="14"/>
              </w:rPr>
              <w:t>9,2</w:t>
            </w:r>
          </w:p>
        </w:tc>
      </w:tr>
      <w:tr w:rsidR="00565FD5" w:rsidRPr="001131FC" w:rsidTr="00AB62A3">
        <w:trPr>
          <w:trHeight w:val="57"/>
        </w:trPr>
        <w:tc>
          <w:tcPr>
            <w:tcW w:w="750" w:type="pct"/>
            <w:tcBorders>
              <w:top w:val="nil"/>
              <w:left w:val="single" w:sz="4" w:space="0" w:color="auto"/>
              <w:bottom w:val="nil"/>
              <w:right w:val="single" w:sz="4" w:space="0" w:color="auto"/>
            </w:tcBorders>
            <w:vAlign w:val="center"/>
          </w:tcPr>
          <w:p w:rsidR="00565FD5" w:rsidRPr="001131FC" w:rsidRDefault="00565FD5" w:rsidP="00AB62A3">
            <w:pPr>
              <w:widowControl w:val="0"/>
              <w:ind w:firstLine="85"/>
              <w:rPr>
                <w:rFonts w:cs="Tahoma"/>
                <w:b/>
                <w:sz w:val="14"/>
                <w:szCs w:val="14"/>
              </w:rPr>
            </w:pPr>
            <w:r w:rsidRPr="001131FC">
              <w:rPr>
                <w:rFonts w:cs="Tahoma"/>
                <w:b/>
                <w:sz w:val="14"/>
                <w:szCs w:val="14"/>
              </w:rPr>
              <w:t>Sanayi</w:t>
            </w:r>
          </w:p>
        </w:tc>
        <w:tc>
          <w:tcPr>
            <w:tcW w:w="385" w:type="pct"/>
            <w:tcBorders>
              <w:top w:val="nil"/>
              <w:left w:val="single" w:sz="4" w:space="0" w:color="auto"/>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22,9</w:t>
            </w:r>
          </w:p>
        </w:tc>
        <w:tc>
          <w:tcPr>
            <w:tcW w:w="386"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22,9</w:t>
            </w:r>
          </w:p>
        </w:tc>
        <w:tc>
          <w:tcPr>
            <w:tcW w:w="342"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21,2</w:t>
            </w:r>
          </w:p>
        </w:tc>
        <w:tc>
          <w:tcPr>
            <w:tcW w:w="344"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23,0</w:t>
            </w:r>
          </w:p>
        </w:tc>
        <w:tc>
          <w:tcPr>
            <w:tcW w:w="342"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23,2</w:t>
            </w:r>
          </w:p>
        </w:tc>
        <w:tc>
          <w:tcPr>
            <w:tcW w:w="344"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23,0</w:t>
            </w:r>
          </w:p>
        </w:tc>
        <w:tc>
          <w:tcPr>
            <w:tcW w:w="117"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p>
        </w:tc>
        <w:tc>
          <w:tcPr>
            <w:tcW w:w="481"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21,8</w:t>
            </w:r>
          </w:p>
        </w:tc>
        <w:tc>
          <w:tcPr>
            <w:tcW w:w="483"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22,5</w:t>
            </w:r>
          </w:p>
        </w:tc>
        <w:tc>
          <w:tcPr>
            <w:tcW w:w="482"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22,4</w:t>
            </w:r>
          </w:p>
        </w:tc>
        <w:tc>
          <w:tcPr>
            <w:tcW w:w="544" w:type="pct"/>
            <w:tcBorders>
              <w:top w:val="nil"/>
              <w:left w:val="nil"/>
              <w:bottom w:val="nil"/>
              <w:right w:val="single" w:sz="4" w:space="0" w:color="auto"/>
            </w:tcBorders>
            <w:vAlign w:val="center"/>
          </w:tcPr>
          <w:p w:rsidR="00565FD5" w:rsidRPr="001131FC" w:rsidRDefault="00565FD5" w:rsidP="00AB62A3">
            <w:pPr>
              <w:widowControl w:val="0"/>
              <w:jc w:val="right"/>
              <w:rPr>
                <w:rFonts w:cs="Tahoma"/>
                <w:sz w:val="14"/>
                <w:szCs w:val="14"/>
              </w:rPr>
            </w:pPr>
            <w:r w:rsidRPr="001131FC">
              <w:rPr>
                <w:rFonts w:cs="Tahoma"/>
                <w:sz w:val="14"/>
                <w:szCs w:val="14"/>
              </w:rPr>
              <w:t>22,5</w:t>
            </w:r>
          </w:p>
        </w:tc>
      </w:tr>
      <w:tr w:rsidR="00565FD5" w:rsidRPr="001131FC" w:rsidTr="00AB62A3">
        <w:trPr>
          <w:trHeight w:val="57"/>
        </w:trPr>
        <w:tc>
          <w:tcPr>
            <w:tcW w:w="750" w:type="pct"/>
            <w:tcBorders>
              <w:top w:val="nil"/>
              <w:left w:val="single" w:sz="4" w:space="0" w:color="auto"/>
              <w:bottom w:val="nil"/>
              <w:right w:val="single" w:sz="4" w:space="0" w:color="auto"/>
            </w:tcBorders>
            <w:vAlign w:val="center"/>
          </w:tcPr>
          <w:p w:rsidR="00565FD5" w:rsidRPr="001131FC" w:rsidRDefault="00565FD5" w:rsidP="00AB62A3">
            <w:pPr>
              <w:widowControl w:val="0"/>
              <w:ind w:firstLine="85"/>
              <w:rPr>
                <w:rFonts w:cs="Tahoma"/>
                <w:b/>
                <w:sz w:val="14"/>
                <w:szCs w:val="14"/>
              </w:rPr>
            </w:pPr>
            <w:r w:rsidRPr="001131FC">
              <w:rPr>
                <w:rFonts w:cs="Tahoma"/>
                <w:b/>
                <w:sz w:val="14"/>
                <w:szCs w:val="14"/>
              </w:rPr>
              <w:t>Hizmetler</w:t>
            </w:r>
          </w:p>
        </w:tc>
        <w:tc>
          <w:tcPr>
            <w:tcW w:w="385" w:type="pct"/>
            <w:tcBorders>
              <w:top w:val="nil"/>
              <w:left w:val="single" w:sz="4" w:space="0" w:color="auto"/>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72,3</w:t>
            </w:r>
          </w:p>
        </w:tc>
        <w:tc>
          <w:tcPr>
            <w:tcW w:w="386"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69,4</w:t>
            </w:r>
          </w:p>
        </w:tc>
        <w:tc>
          <w:tcPr>
            <w:tcW w:w="342"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64,3</w:t>
            </w:r>
          </w:p>
        </w:tc>
        <w:tc>
          <w:tcPr>
            <w:tcW w:w="344"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68,9</w:t>
            </w:r>
          </w:p>
        </w:tc>
        <w:tc>
          <w:tcPr>
            <w:tcW w:w="342"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72,1</w:t>
            </w:r>
          </w:p>
        </w:tc>
        <w:tc>
          <w:tcPr>
            <w:tcW w:w="344"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69,8</w:t>
            </w:r>
          </w:p>
        </w:tc>
        <w:tc>
          <w:tcPr>
            <w:tcW w:w="117"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p>
        </w:tc>
        <w:tc>
          <w:tcPr>
            <w:tcW w:w="481"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68,8</w:t>
            </w:r>
          </w:p>
        </w:tc>
        <w:tc>
          <w:tcPr>
            <w:tcW w:w="483"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68,5</w:t>
            </w:r>
          </w:p>
        </w:tc>
        <w:tc>
          <w:tcPr>
            <w:tcW w:w="482" w:type="pct"/>
            <w:tcBorders>
              <w:top w:val="nil"/>
              <w:left w:val="nil"/>
              <w:bottom w:val="nil"/>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68,4</w:t>
            </w:r>
          </w:p>
        </w:tc>
        <w:tc>
          <w:tcPr>
            <w:tcW w:w="544" w:type="pct"/>
            <w:tcBorders>
              <w:top w:val="nil"/>
              <w:left w:val="nil"/>
              <w:bottom w:val="nil"/>
              <w:right w:val="single" w:sz="4" w:space="0" w:color="auto"/>
            </w:tcBorders>
            <w:vAlign w:val="center"/>
          </w:tcPr>
          <w:p w:rsidR="00565FD5" w:rsidRPr="001131FC" w:rsidRDefault="00565FD5" w:rsidP="00AB62A3">
            <w:pPr>
              <w:widowControl w:val="0"/>
              <w:jc w:val="right"/>
              <w:rPr>
                <w:rFonts w:cs="Tahoma"/>
                <w:sz w:val="14"/>
                <w:szCs w:val="14"/>
              </w:rPr>
            </w:pPr>
            <w:r w:rsidRPr="001131FC">
              <w:rPr>
                <w:rFonts w:cs="Tahoma"/>
                <w:sz w:val="14"/>
                <w:szCs w:val="14"/>
              </w:rPr>
              <w:t>68,3</w:t>
            </w:r>
          </w:p>
        </w:tc>
      </w:tr>
      <w:tr w:rsidR="00565FD5" w:rsidRPr="0088492C" w:rsidTr="00AB62A3">
        <w:trPr>
          <w:trHeight w:val="57"/>
        </w:trPr>
        <w:tc>
          <w:tcPr>
            <w:tcW w:w="750" w:type="pct"/>
            <w:tcBorders>
              <w:top w:val="nil"/>
              <w:left w:val="single" w:sz="4" w:space="0" w:color="auto"/>
              <w:bottom w:val="nil"/>
              <w:right w:val="single" w:sz="4" w:space="0" w:color="auto"/>
            </w:tcBorders>
            <w:vAlign w:val="center"/>
          </w:tcPr>
          <w:p w:rsidR="00565FD5" w:rsidRPr="0088492C" w:rsidRDefault="00565FD5" w:rsidP="00AB62A3">
            <w:pPr>
              <w:widowControl w:val="0"/>
              <w:ind w:firstLine="85"/>
              <w:rPr>
                <w:rFonts w:cs="Tahoma"/>
                <w:b/>
                <w:sz w:val="4"/>
                <w:szCs w:val="4"/>
              </w:rPr>
            </w:pPr>
          </w:p>
        </w:tc>
        <w:tc>
          <w:tcPr>
            <w:tcW w:w="385" w:type="pct"/>
            <w:tcBorders>
              <w:top w:val="nil"/>
              <w:left w:val="single" w:sz="4" w:space="0" w:color="auto"/>
              <w:bottom w:val="nil"/>
              <w:right w:val="nil"/>
            </w:tcBorders>
            <w:vAlign w:val="center"/>
          </w:tcPr>
          <w:p w:rsidR="00565FD5" w:rsidRPr="0088492C" w:rsidRDefault="00565FD5" w:rsidP="00AB62A3">
            <w:pPr>
              <w:widowControl w:val="0"/>
              <w:jc w:val="right"/>
              <w:rPr>
                <w:rFonts w:cs="Tahoma"/>
                <w:sz w:val="4"/>
                <w:szCs w:val="4"/>
              </w:rPr>
            </w:pPr>
          </w:p>
        </w:tc>
        <w:tc>
          <w:tcPr>
            <w:tcW w:w="386" w:type="pct"/>
            <w:tcBorders>
              <w:top w:val="nil"/>
              <w:left w:val="nil"/>
              <w:bottom w:val="nil"/>
              <w:right w:val="nil"/>
            </w:tcBorders>
            <w:vAlign w:val="center"/>
          </w:tcPr>
          <w:p w:rsidR="00565FD5" w:rsidRPr="0088492C" w:rsidRDefault="00565FD5" w:rsidP="00AB62A3">
            <w:pPr>
              <w:widowControl w:val="0"/>
              <w:jc w:val="right"/>
              <w:rPr>
                <w:rFonts w:cs="Tahoma"/>
                <w:sz w:val="4"/>
                <w:szCs w:val="4"/>
              </w:rPr>
            </w:pPr>
          </w:p>
        </w:tc>
        <w:tc>
          <w:tcPr>
            <w:tcW w:w="342" w:type="pct"/>
            <w:tcBorders>
              <w:top w:val="nil"/>
              <w:left w:val="nil"/>
              <w:bottom w:val="nil"/>
              <w:right w:val="nil"/>
            </w:tcBorders>
            <w:vAlign w:val="center"/>
          </w:tcPr>
          <w:p w:rsidR="00565FD5" w:rsidRPr="0088492C" w:rsidRDefault="00565FD5" w:rsidP="00AB62A3">
            <w:pPr>
              <w:widowControl w:val="0"/>
              <w:jc w:val="right"/>
              <w:rPr>
                <w:rFonts w:cs="Tahoma"/>
                <w:sz w:val="4"/>
                <w:szCs w:val="4"/>
              </w:rPr>
            </w:pPr>
          </w:p>
        </w:tc>
        <w:tc>
          <w:tcPr>
            <w:tcW w:w="344" w:type="pct"/>
            <w:tcBorders>
              <w:top w:val="nil"/>
              <w:left w:val="nil"/>
              <w:bottom w:val="nil"/>
              <w:right w:val="nil"/>
            </w:tcBorders>
            <w:vAlign w:val="center"/>
          </w:tcPr>
          <w:p w:rsidR="00565FD5" w:rsidRPr="0088492C" w:rsidRDefault="00565FD5" w:rsidP="00AB62A3">
            <w:pPr>
              <w:widowControl w:val="0"/>
              <w:jc w:val="right"/>
              <w:rPr>
                <w:rFonts w:cs="Tahoma"/>
                <w:sz w:val="4"/>
                <w:szCs w:val="4"/>
              </w:rPr>
            </w:pPr>
          </w:p>
        </w:tc>
        <w:tc>
          <w:tcPr>
            <w:tcW w:w="342" w:type="pct"/>
            <w:tcBorders>
              <w:top w:val="nil"/>
              <w:left w:val="nil"/>
              <w:bottom w:val="nil"/>
              <w:right w:val="nil"/>
            </w:tcBorders>
            <w:vAlign w:val="center"/>
          </w:tcPr>
          <w:p w:rsidR="00565FD5" w:rsidRPr="0088492C" w:rsidRDefault="00565FD5" w:rsidP="00AB62A3">
            <w:pPr>
              <w:widowControl w:val="0"/>
              <w:jc w:val="right"/>
              <w:rPr>
                <w:rFonts w:cs="Tahoma"/>
                <w:sz w:val="4"/>
                <w:szCs w:val="4"/>
              </w:rPr>
            </w:pPr>
          </w:p>
        </w:tc>
        <w:tc>
          <w:tcPr>
            <w:tcW w:w="344" w:type="pct"/>
            <w:tcBorders>
              <w:top w:val="nil"/>
              <w:left w:val="nil"/>
              <w:bottom w:val="nil"/>
              <w:right w:val="nil"/>
            </w:tcBorders>
            <w:vAlign w:val="center"/>
          </w:tcPr>
          <w:p w:rsidR="00565FD5" w:rsidRPr="0088492C" w:rsidRDefault="00565FD5" w:rsidP="00AB62A3">
            <w:pPr>
              <w:widowControl w:val="0"/>
              <w:jc w:val="right"/>
              <w:rPr>
                <w:rFonts w:cs="Tahoma"/>
                <w:sz w:val="4"/>
                <w:szCs w:val="4"/>
              </w:rPr>
            </w:pPr>
          </w:p>
        </w:tc>
        <w:tc>
          <w:tcPr>
            <w:tcW w:w="117" w:type="pct"/>
            <w:tcBorders>
              <w:top w:val="nil"/>
              <w:left w:val="nil"/>
              <w:bottom w:val="nil"/>
              <w:right w:val="nil"/>
            </w:tcBorders>
            <w:vAlign w:val="center"/>
          </w:tcPr>
          <w:p w:rsidR="00565FD5" w:rsidRPr="0088492C" w:rsidRDefault="00565FD5" w:rsidP="00AB62A3">
            <w:pPr>
              <w:widowControl w:val="0"/>
              <w:jc w:val="right"/>
              <w:rPr>
                <w:rFonts w:cs="Tahoma"/>
                <w:sz w:val="4"/>
                <w:szCs w:val="4"/>
              </w:rPr>
            </w:pPr>
          </w:p>
        </w:tc>
        <w:tc>
          <w:tcPr>
            <w:tcW w:w="481" w:type="pct"/>
            <w:tcBorders>
              <w:top w:val="nil"/>
              <w:left w:val="nil"/>
              <w:bottom w:val="nil"/>
              <w:right w:val="nil"/>
            </w:tcBorders>
            <w:vAlign w:val="center"/>
          </w:tcPr>
          <w:p w:rsidR="00565FD5" w:rsidRPr="0088492C" w:rsidRDefault="00565FD5" w:rsidP="00AB62A3">
            <w:pPr>
              <w:widowControl w:val="0"/>
              <w:jc w:val="right"/>
              <w:rPr>
                <w:rFonts w:cs="Tahoma"/>
                <w:sz w:val="4"/>
                <w:szCs w:val="4"/>
              </w:rPr>
            </w:pPr>
          </w:p>
        </w:tc>
        <w:tc>
          <w:tcPr>
            <w:tcW w:w="483" w:type="pct"/>
            <w:tcBorders>
              <w:top w:val="nil"/>
              <w:left w:val="nil"/>
              <w:bottom w:val="nil"/>
              <w:right w:val="nil"/>
            </w:tcBorders>
            <w:vAlign w:val="center"/>
          </w:tcPr>
          <w:p w:rsidR="00565FD5" w:rsidRPr="0088492C" w:rsidRDefault="00565FD5" w:rsidP="00AB62A3">
            <w:pPr>
              <w:widowControl w:val="0"/>
              <w:jc w:val="right"/>
              <w:rPr>
                <w:rFonts w:cs="Tahoma"/>
                <w:sz w:val="4"/>
                <w:szCs w:val="4"/>
              </w:rPr>
            </w:pPr>
          </w:p>
        </w:tc>
        <w:tc>
          <w:tcPr>
            <w:tcW w:w="482" w:type="pct"/>
            <w:tcBorders>
              <w:top w:val="nil"/>
              <w:left w:val="nil"/>
              <w:bottom w:val="nil"/>
              <w:right w:val="nil"/>
            </w:tcBorders>
            <w:vAlign w:val="center"/>
          </w:tcPr>
          <w:p w:rsidR="00565FD5" w:rsidRPr="0088492C" w:rsidRDefault="00565FD5" w:rsidP="00AB62A3">
            <w:pPr>
              <w:widowControl w:val="0"/>
              <w:jc w:val="right"/>
              <w:rPr>
                <w:rFonts w:cs="Tahoma"/>
                <w:sz w:val="4"/>
                <w:szCs w:val="4"/>
              </w:rPr>
            </w:pPr>
          </w:p>
        </w:tc>
        <w:tc>
          <w:tcPr>
            <w:tcW w:w="544" w:type="pct"/>
            <w:tcBorders>
              <w:top w:val="nil"/>
              <w:left w:val="nil"/>
              <w:bottom w:val="nil"/>
              <w:right w:val="single" w:sz="4" w:space="0" w:color="auto"/>
            </w:tcBorders>
            <w:vAlign w:val="center"/>
          </w:tcPr>
          <w:p w:rsidR="00565FD5" w:rsidRPr="0088492C" w:rsidRDefault="00565FD5" w:rsidP="00AB62A3">
            <w:pPr>
              <w:widowControl w:val="0"/>
              <w:tabs>
                <w:tab w:val="center" w:pos="426"/>
                <w:tab w:val="right" w:pos="852"/>
              </w:tabs>
              <w:jc w:val="right"/>
              <w:rPr>
                <w:rFonts w:cs="Tahoma"/>
                <w:sz w:val="4"/>
                <w:szCs w:val="4"/>
              </w:rPr>
            </w:pPr>
          </w:p>
        </w:tc>
      </w:tr>
      <w:tr w:rsidR="00565FD5" w:rsidRPr="001131FC" w:rsidTr="00AB62A3">
        <w:trPr>
          <w:trHeight w:val="57"/>
        </w:trPr>
        <w:tc>
          <w:tcPr>
            <w:tcW w:w="750" w:type="pct"/>
            <w:tcBorders>
              <w:top w:val="nil"/>
              <w:left w:val="single" w:sz="4" w:space="0" w:color="auto"/>
              <w:bottom w:val="single" w:sz="4" w:space="0" w:color="auto"/>
              <w:right w:val="single" w:sz="4" w:space="0" w:color="auto"/>
            </w:tcBorders>
            <w:vAlign w:val="center"/>
          </w:tcPr>
          <w:p w:rsidR="00565FD5" w:rsidRPr="001131FC" w:rsidRDefault="00565FD5" w:rsidP="00AB62A3">
            <w:pPr>
              <w:widowControl w:val="0"/>
              <w:ind w:firstLine="85"/>
              <w:rPr>
                <w:rFonts w:cs="Tahoma"/>
                <w:b/>
                <w:sz w:val="14"/>
                <w:szCs w:val="14"/>
              </w:rPr>
            </w:pPr>
            <w:r w:rsidRPr="001131FC">
              <w:rPr>
                <w:rFonts w:cs="Tahoma"/>
                <w:b/>
                <w:sz w:val="14"/>
                <w:szCs w:val="14"/>
              </w:rPr>
              <w:t xml:space="preserve">GSYH </w:t>
            </w:r>
          </w:p>
        </w:tc>
        <w:tc>
          <w:tcPr>
            <w:tcW w:w="385" w:type="pct"/>
            <w:tcBorders>
              <w:top w:val="nil"/>
              <w:left w:val="single" w:sz="4" w:space="0" w:color="auto"/>
              <w:bottom w:val="single" w:sz="4" w:space="0" w:color="auto"/>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100</w:t>
            </w:r>
          </w:p>
        </w:tc>
        <w:tc>
          <w:tcPr>
            <w:tcW w:w="386" w:type="pct"/>
            <w:tcBorders>
              <w:top w:val="nil"/>
              <w:left w:val="nil"/>
              <w:bottom w:val="single" w:sz="4" w:space="0" w:color="auto"/>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100</w:t>
            </w:r>
          </w:p>
        </w:tc>
        <w:tc>
          <w:tcPr>
            <w:tcW w:w="342" w:type="pct"/>
            <w:tcBorders>
              <w:top w:val="nil"/>
              <w:left w:val="nil"/>
              <w:bottom w:val="single" w:sz="4" w:space="0" w:color="auto"/>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100</w:t>
            </w:r>
          </w:p>
        </w:tc>
        <w:tc>
          <w:tcPr>
            <w:tcW w:w="344" w:type="pct"/>
            <w:tcBorders>
              <w:top w:val="nil"/>
              <w:left w:val="nil"/>
              <w:bottom w:val="single" w:sz="4" w:space="0" w:color="auto"/>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100</w:t>
            </w:r>
          </w:p>
        </w:tc>
        <w:tc>
          <w:tcPr>
            <w:tcW w:w="342" w:type="pct"/>
            <w:tcBorders>
              <w:top w:val="nil"/>
              <w:left w:val="nil"/>
              <w:bottom w:val="single" w:sz="4" w:space="0" w:color="auto"/>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100</w:t>
            </w:r>
          </w:p>
        </w:tc>
        <w:tc>
          <w:tcPr>
            <w:tcW w:w="344" w:type="pct"/>
            <w:tcBorders>
              <w:top w:val="nil"/>
              <w:left w:val="nil"/>
              <w:bottom w:val="single" w:sz="4" w:space="0" w:color="auto"/>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100</w:t>
            </w:r>
          </w:p>
        </w:tc>
        <w:tc>
          <w:tcPr>
            <w:tcW w:w="117" w:type="pct"/>
            <w:tcBorders>
              <w:top w:val="nil"/>
              <w:left w:val="nil"/>
              <w:bottom w:val="single" w:sz="4" w:space="0" w:color="auto"/>
              <w:right w:val="nil"/>
            </w:tcBorders>
            <w:vAlign w:val="center"/>
          </w:tcPr>
          <w:p w:rsidR="00565FD5" w:rsidRPr="001131FC" w:rsidRDefault="00565FD5" w:rsidP="00AB62A3">
            <w:pPr>
              <w:widowControl w:val="0"/>
              <w:jc w:val="right"/>
              <w:rPr>
                <w:rFonts w:cs="Tahoma"/>
                <w:sz w:val="14"/>
                <w:szCs w:val="14"/>
              </w:rPr>
            </w:pPr>
          </w:p>
        </w:tc>
        <w:tc>
          <w:tcPr>
            <w:tcW w:w="481" w:type="pct"/>
            <w:tcBorders>
              <w:top w:val="nil"/>
              <w:left w:val="nil"/>
              <w:bottom w:val="single" w:sz="4" w:space="0" w:color="auto"/>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100</w:t>
            </w:r>
          </w:p>
        </w:tc>
        <w:tc>
          <w:tcPr>
            <w:tcW w:w="483" w:type="pct"/>
            <w:tcBorders>
              <w:top w:val="nil"/>
              <w:left w:val="nil"/>
              <w:bottom w:val="single" w:sz="4" w:space="0" w:color="auto"/>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100</w:t>
            </w:r>
          </w:p>
        </w:tc>
        <w:tc>
          <w:tcPr>
            <w:tcW w:w="482" w:type="pct"/>
            <w:tcBorders>
              <w:top w:val="nil"/>
              <w:left w:val="nil"/>
              <w:bottom w:val="single" w:sz="4" w:space="0" w:color="auto"/>
              <w:right w:val="nil"/>
            </w:tcBorders>
            <w:vAlign w:val="center"/>
          </w:tcPr>
          <w:p w:rsidR="00565FD5" w:rsidRPr="001131FC" w:rsidRDefault="00565FD5" w:rsidP="00AB62A3">
            <w:pPr>
              <w:widowControl w:val="0"/>
              <w:jc w:val="right"/>
              <w:rPr>
                <w:rFonts w:cs="Tahoma"/>
                <w:sz w:val="14"/>
                <w:szCs w:val="14"/>
              </w:rPr>
            </w:pPr>
            <w:r w:rsidRPr="001131FC">
              <w:rPr>
                <w:rFonts w:cs="Tahoma"/>
                <w:sz w:val="14"/>
                <w:szCs w:val="14"/>
              </w:rPr>
              <w:t>100</w:t>
            </w:r>
          </w:p>
        </w:tc>
        <w:tc>
          <w:tcPr>
            <w:tcW w:w="544" w:type="pct"/>
            <w:tcBorders>
              <w:top w:val="nil"/>
              <w:left w:val="nil"/>
              <w:bottom w:val="single" w:sz="4" w:space="0" w:color="auto"/>
              <w:right w:val="single" w:sz="4" w:space="0" w:color="auto"/>
            </w:tcBorders>
            <w:vAlign w:val="center"/>
          </w:tcPr>
          <w:p w:rsidR="00565FD5" w:rsidRPr="001131FC" w:rsidRDefault="00565FD5" w:rsidP="00AB62A3">
            <w:pPr>
              <w:widowControl w:val="0"/>
              <w:tabs>
                <w:tab w:val="center" w:pos="426"/>
                <w:tab w:val="right" w:pos="852"/>
              </w:tabs>
              <w:jc w:val="right"/>
              <w:rPr>
                <w:rFonts w:cs="Tahoma"/>
                <w:sz w:val="14"/>
                <w:szCs w:val="14"/>
              </w:rPr>
            </w:pPr>
            <w:r w:rsidRPr="001131FC">
              <w:rPr>
                <w:rFonts w:cs="Tahoma"/>
                <w:sz w:val="14"/>
                <w:szCs w:val="14"/>
              </w:rPr>
              <w:t>100</w:t>
            </w:r>
          </w:p>
        </w:tc>
      </w:tr>
    </w:tbl>
    <w:p w:rsidR="00565FD5" w:rsidRPr="001131FC" w:rsidRDefault="00565FD5" w:rsidP="00565FD5">
      <w:pPr>
        <w:spacing w:before="40"/>
        <w:rPr>
          <w:rFonts w:cs="Tahoma"/>
          <w:sz w:val="13"/>
          <w:szCs w:val="13"/>
        </w:rPr>
      </w:pPr>
      <w:r w:rsidRPr="001131FC">
        <w:rPr>
          <w:rFonts w:cs="Tahoma"/>
          <w:sz w:val="13"/>
          <w:szCs w:val="13"/>
        </w:rPr>
        <w:t>Kaynak: Kalkınma Bakanlığı, TÜİK</w:t>
      </w:r>
    </w:p>
    <w:p w:rsidR="00565FD5" w:rsidRPr="001131FC" w:rsidRDefault="00565FD5" w:rsidP="00565FD5">
      <w:pPr>
        <w:rPr>
          <w:rFonts w:cs="Tahoma"/>
          <w:sz w:val="13"/>
          <w:szCs w:val="13"/>
        </w:rPr>
      </w:pPr>
      <w:r w:rsidRPr="001131FC">
        <w:rPr>
          <w:rFonts w:cs="Tahoma"/>
          <w:sz w:val="13"/>
          <w:szCs w:val="13"/>
        </w:rPr>
        <w:t>(1) Gerçekleşme tahmini</w:t>
      </w:r>
    </w:p>
    <w:p w:rsidR="00565FD5" w:rsidRPr="001131FC" w:rsidRDefault="00565FD5" w:rsidP="00565FD5">
      <w:pPr>
        <w:rPr>
          <w:rFonts w:cs="Tahoma"/>
          <w:sz w:val="13"/>
          <w:szCs w:val="13"/>
        </w:rPr>
      </w:pPr>
      <w:r w:rsidRPr="001131FC">
        <w:rPr>
          <w:rFonts w:cs="Tahoma"/>
          <w:sz w:val="13"/>
          <w:szCs w:val="13"/>
        </w:rPr>
        <w:t>(2) Program</w:t>
      </w:r>
    </w:p>
    <w:p w:rsidR="00565FD5" w:rsidRPr="001131FC" w:rsidRDefault="00565FD5" w:rsidP="00565FD5">
      <w:pPr>
        <w:spacing w:after="120"/>
        <w:rPr>
          <w:rFonts w:cs="Tahoma"/>
          <w:sz w:val="13"/>
          <w:szCs w:val="13"/>
        </w:rPr>
      </w:pPr>
      <w:r w:rsidRPr="001131FC">
        <w:rPr>
          <w:rFonts w:cs="Tahoma"/>
          <w:sz w:val="13"/>
          <w:szCs w:val="13"/>
        </w:rPr>
        <w:t>(3)</w:t>
      </w:r>
      <w:r>
        <w:rPr>
          <w:rFonts w:cs="Tahoma"/>
          <w:sz w:val="13"/>
          <w:szCs w:val="13"/>
        </w:rPr>
        <w:t xml:space="preserve"> </w:t>
      </w:r>
      <w:r w:rsidRPr="001131FC">
        <w:rPr>
          <w:rFonts w:cs="Tahoma"/>
          <w:sz w:val="13"/>
          <w:szCs w:val="13"/>
        </w:rPr>
        <w:t>2010 yılından itibaren dolaylı ölçülen mali aracılık hizmetleri ve vergi-sübvansiyon kalemleri sektörel ağırlıklara göre dağıtılarak GSYH içindeki payları elde edilmiştir.</w:t>
      </w:r>
    </w:p>
    <w:p w:rsidR="00565FD5" w:rsidRPr="001131FC" w:rsidRDefault="00565FD5" w:rsidP="00565FD5">
      <w:pPr>
        <w:autoSpaceDE w:val="0"/>
        <w:autoSpaceDN w:val="0"/>
        <w:adjustRightInd w:val="0"/>
        <w:spacing w:after="60"/>
        <w:rPr>
          <w:rFonts w:cs="Tahoma"/>
          <w:szCs w:val="24"/>
        </w:rPr>
      </w:pPr>
      <w:r w:rsidRPr="001131FC">
        <w:rPr>
          <w:rFonts w:cs="Tahoma"/>
          <w:color w:val="FF0000"/>
          <w:szCs w:val="24"/>
        </w:rPr>
        <w:tab/>
      </w:r>
      <w:r w:rsidRPr="001131FC">
        <w:rPr>
          <w:rFonts w:cs="Tahoma"/>
          <w:szCs w:val="24"/>
        </w:rPr>
        <w:t>2012 yılının birinci çeyreğinde GSYH yüzde 3,3 oranında artarken, ekonomik aktivitedeki yavaşlamanın ikinci çeyrekte de devam etmesiyle yılın ilk yarısında yüzde 3,1 oranında büyüme kaydedilmiştir. Yılın ilk yarısında büyüme, sanayi ve hizmetler sektörlerinde sırasıyla yüzde 3,3 ve yüzde 3,2 oranındaki katma değer artışlarından kaynaklanmıştır. Bu dönemde, tarım sektörü katma değerinde de yüzde 4,2 oranında artış kaydedilmiştir.</w:t>
      </w:r>
    </w:p>
    <w:p w:rsidR="00565FD5" w:rsidRPr="001131FC" w:rsidRDefault="00565FD5" w:rsidP="00565FD5">
      <w:pPr>
        <w:spacing w:after="180"/>
        <w:ind w:firstLine="425"/>
        <w:rPr>
          <w:rFonts w:cs="Tahoma"/>
          <w:szCs w:val="24"/>
        </w:rPr>
        <w:sectPr w:rsidR="00565FD5" w:rsidRPr="001131FC" w:rsidSect="00B50093">
          <w:pgSz w:w="11906" w:h="16838" w:code="9"/>
          <w:pgMar w:top="2948" w:right="2381" w:bottom="2948" w:left="2381" w:header="2268" w:footer="2552" w:gutter="0"/>
          <w:paperSrc w:first="15" w:other="15"/>
          <w:cols w:space="708"/>
          <w:noEndnote/>
        </w:sectPr>
      </w:pPr>
      <w:r w:rsidRPr="001131FC">
        <w:rPr>
          <w:rFonts w:cs="Tahoma"/>
          <w:szCs w:val="24"/>
        </w:rPr>
        <w:t>2012 yılının üçüncü çeyreğine ilişkin bazı öncü göstergeler ekonomik aktivitedeki yavaşlamanın sürdüğüne işaret etmektedir. Nitekim 2012 yılının ilk yarısında sanayi üretimi yüzde 3,2 oranında artarken, Temmuz-Ağustos döneminde sanayi üretim endeksleri ortalamasının bir önceki yılın aynı dönemine göre artış hızı yüzde 1 olarak gerçekleşmiştir. Diğer taraftan imalat sanayi kapasite kullanım oranı, 2012 yılının üçüncü çeyreğinde bir önceki yılın aynı dönemine göre 1,5 puan azalarak yüzde 74,4’e düşmüştür.</w:t>
      </w:r>
    </w:p>
    <w:p w:rsidR="00565FD5" w:rsidRPr="0088492C" w:rsidRDefault="00565FD5" w:rsidP="00565FD5">
      <w:pPr>
        <w:autoSpaceDE w:val="0"/>
        <w:autoSpaceDN w:val="0"/>
        <w:adjustRightInd w:val="0"/>
        <w:spacing w:after="60"/>
        <w:rPr>
          <w:rFonts w:cs="Tahoma"/>
          <w:szCs w:val="24"/>
        </w:rPr>
      </w:pPr>
      <w:bookmarkStart w:id="261" w:name="_Toc276076429"/>
      <w:bookmarkStart w:id="262" w:name="_Toc275873805"/>
      <w:bookmarkStart w:id="263" w:name="_Toc307601593"/>
      <w:bookmarkStart w:id="264" w:name="_Toc307657835"/>
      <w:bookmarkStart w:id="265" w:name="_Toc307702091"/>
    </w:p>
    <w:p w:rsidR="00565FD5" w:rsidRPr="0088492C" w:rsidRDefault="00565FD5" w:rsidP="00565FD5">
      <w:pPr>
        <w:pStyle w:val="ResimYazs"/>
        <w:rPr>
          <w:rFonts w:cs="Tahoma"/>
          <w:color w:val="000000"/>
          <w:szCs w:val="16"/>
        </w:rPr>
      </w:pPr>
      <w:bookmarkStart w:id="266" w:name="_Toc338605955"/>
      <w:bookmarkStart w:id="267" w:name="_Toc338711730"/>
      <w:r>
        <w:t xml:space="preserve">TABLO II: </w:t>
      </w:r>
      <w:fldSimple w:instr=" SEQ TABLO_II: \* ARABIC ">
        <w:r>
          <w:rPr>
            <w:noProof/>
          </w:rPr>
          <w:t>3</w:t>
        </w:r>
      </w:fldSimple>
      <w:r w:rsidRPr="0088492C">
        <w:rPr>
          <w:color w:val="000000"/>
          <w:szCs w:val="16"/>
        </w:rPr>
        <w:t>-</w:t>
      </w:r>
      <w:r w:rsidRPr="0088492C">
        <w:rPr>
          <w:rFonts w:cs="Tahoma"/>
          <w:color w:val="000000"/>
          <w:szCs w:val="16"/>
        </w:rPr>
        <w:t xml:space="preserve"> Fert Başına GSYH</w:t>
      </w:r>
      <w:bookmarkEnd w:id="261"/>
      <w:bookmarkEnd w:id="262"/>
      <w:bookmarkEnd w:id="263"/>
      <w:bookmarkEnd w:id="264"/>
      <w:bookmarkEnd w:id="265"/>
      <w:bookmarkEnd w:id="266"/>
      <w:bookmarkEnd w:id="267"/>
    </w:p>
    <w:tbl>
      <w:tblPr>
        <w:tblW w:w="4912" w:type="pct"/>
        <w:tblInd w:w="85" w:type="dxa"/>
        <w:tblBorders>
          <w:top w:val="single" w:sz="4" w:space="0" w:color="auto"/>
          <w:left w:val="single" w:sz="4" w:space="0" w:color="auto"/>
          <w:bottom w:val="single" w:sz="4" w:space="0" w:color="auto"/>
          <w:right w:val="single" w:sz="4" w:space="0" w:color="auto"/>
        </w:tblBorders>
        <w:tblCellMar>
          <w:left w:w="85" w:type="dxa"/>
          <w:right w:w="85" w:type="dxa"/>
        </w:tblCellMar>
        <w:tblLook w:val="00A0"/>
      </w:tblPr>
      <w:tblGrid>
        <w:gridCol w:w="733"/>
        <w:gridCol w:w="1015"/>
        <w:gridCol w:w="1061"/>
        <w:gridCol w:w="692"/>
        <w:gridCol w:w="1295"/>
        <w:gridCol w:w="205"/>
        <w:gridCol w:w="1061"/>
        <w:gridCol w:w="605"/>
        <w:gridCol w:w="1295"/>
        <w:gridCol w:w="205"/>
        <w:gridCol w:w="1618"/>
        <w:gridCol w:w="1131"/>
      </w:tblGrid>
      <w:tr w:rsidR="00565FD5" w:rsidRPr="001131FC" w:rsidTr="00AB62A3">
        <w:trPr>
          <w:cantSplit/>
          <w:trHeight w:val="20"/>
        </w:trPr>
        <w:tc>
          <w:tcPr>
            <w:tcW w:w="336" w:type="pct"/>
            <w:vMerge w:val="restart"/>
            <w:tcBorders>
              <w:top w:val="single" w:sz="4" w:space="0" w:color="auto"/>
              <w:bottom w:val="single" w:sz="4" w:space="0" w:color="auto"/>
              <w:right w:val="nil"/>
            </w:tcBorders>
            <w:vAlign w:val="bottom"/>
          </w:tcPr>
          <w:p w:rsidR="00565FD5" w:rsidRPr="001131FC" w:rsidRDefault="00565FD5" w:rsidP="00AB62A3">
            <w:pPr>
              <w:widowControl w:val="0"/>
              <w:spacing w:before="14"/>
              <w:jc w:val="center"/>
              <w:rPr>
                <w:rFonts w:cs="Tahoma"/>
                <w:b/>
                <w:color w:val="000000"/>
                <w:sz w:val="13"/>
                <w:szCs w:val="13"/>
              </w:rPr>
            </w:pPr>
            <w:r w:rsidRPr="001131FC">
              <w:rPr>
                <w:rFonts w:cs="Tahoma"/>
                <w:b/>
                <w:color w:val="000000"/>
                <w:sz w:val="13"/>
                <w:szCs w:val="13"/>
              </w:rPr>
              <w:t>Yıllar</w:t>
            </w:r>
          </w:p>
        </w:tc>
        <w:tc>
          <w:tcPr>
            <w:tcW w:w="465" w:type="pct"/>
            <w:vMerge w:val="restart"/>
            <w:tcBorders>
              <w:top w:val="single" w:sz="4" w:space="0" w:color="auto"/>
              <w:left w:val="nil"/>
              <w:bottom w:val="single" w:sz="4" w:space="0" w:color="auto"/>
              <w:right w:val="nil"/>
            </w:tcBorders>
            <w:vAlign w:val="bottom"/>
          </w:tcPr>
          <w:p w:rsidR="00565FD5" w:rsidRPr="001131FC" w:rsidRDefault="00565FD5" w:rsidP="00AB62A3">
            <w:pPr>
              <w:widowControl w:val="0"/>
              <w:spacing w:before="14"/>
              <w:jc w:val="right"/>
              <w:rPr>
                <w:rFonts w:cs="Tahoma"/>
                <w:b/>
                <w:color w:val="000000"/>
                <w:sz w:val="13"/>
                <w:szCs w:val="13"/>
              </w:rPr>
            </w:pPr>
            <w:r w:rsidRPr="001131FC">
              <w:rPr>
                <w:rFonts w:cs="Tahoma"/>
                <w:b/>
                <w:color w:val="000000"/>
                <w:sz w:val="13"/>
                <w:szCs w:val="13"/>
              </w:rPr>
              <w:t xml:space="preserve"> Yıl Ortası</w:t>
            </w:r>
          </w:p>
          <w:p w:rsidR="00565FD5" w:rsidRPr="001131FC" w:rsidRDefault="00565FD5" w:rsidP="00AB62A3">
            <w:pPr>
              <w:widowControl w:val="0"/>
              <w:spacing w:before="14"/>
              <w:jc w:val="right"/>
              <w:rPr>
                <w:rFonts w:cs="Tahoma"/>
                <w:b/>
                <w:color w:val="000000"/>
                <w:sz w:val="13"/>
                <w:szCs w:val="13"/>
              </w:rPr>
            </w:pPr>
            <w:r w:rsidRPr="001131FC">
              <w:rPr>
                <w:rFonts w:cs="Tahoma"/>
                <w:b/>
                <w:color w:val="000000"/>
                <w:sz w:val="13"/>
                <w:szCs w:val="13"/>
              </w:rPr>
              <w:t>Nüfusu(1)</w:t>
            </w:r>
          </w:p>
          <w:p w:rsidR="00565FD5" w:rsidRPr="001131FC" w:rsidRDefault="00565FD5" w:rsidP="00AB62A3">
            <w:pPr>
              <w:widowControl w:val="0"/>
              <w:spacing w:before="14"/>
              <w:jc w:val="right"/>
              <w:rPr>
                <w:rFonts w:cs="Tahoma"/>
                <w:b/>
                <w:color w:val="000000"/>
                <w:sz w:val="13"/>
                <w:szCs w:val="13"/>
              </w:rPr>
            </w:pPr>
            <w:r w:rsidRPr="001131FC">
              <w:rPr>
                <w:rFonts w:cs="Tahoma"/>
                <w:b/>
                <w:color w:val="000000"/>
                <w:sz w:val="13"/>
                <w:szCs w:val="13"/>
              </w:rPr>
              <w:t>(Bin Kişi)</w:t>
            </w:r>
          </w:p>
        </w:tc>
        <w:tc>
          <w:tcPr>
            <w:tcW w:w="1395" w:type="pct"/>
            <w:gridSpan w:val="3"/>
            <w:tcBorders>
              <w:top w:val="single" w:sz="4" w:space="0" w:color="auto"/>
              <w:left w:val="nil"/>
              <w:bottom w:val="single" w:sz="4" w:space="0" w:color="auto"/>
              <w:right w:val="nil"/>
            </w:tcBorders>
            <w:vAlign w:val="bottom"/>
          </w:tcPr>
          <w:p w:rsidR="00565FD5" w:rsidRPr="001131FC" w:rsidRDefault="00565FD5" w:rsidP="00AB62A3">
            <w:pPr>
              <w:widowControl w:val="0"/>
              <w:spacing w:before="14"/>
              <w:jc w:val="center"/>
              <w:rPr>
                <w:rFonts w:cs="Tahoma"/>
                <w:b/>
                <w:bCs/>
                <w:color w:val="000000"/>
                <w:sz w:val="13"/>
                <w:szCs w:val="13"/>
              </w:rPr>
            </w:pPr>
            <w:r w:rsidRPr="001131FC">
              <w:rPr>
                <w:rFonts w:cs="Tahoma"/>
                <w:b/>
                <w:color w:val="000000"/>
                <w:sz w:val="13"/>
                <w:szCs w:val="13"/>
              </w:rPr>
              <w:t>(Cari Fiyatlarla)</w:t>
            </w:r>
          </w:p>
        </w:tc>
        <w:tc>
          <w:tcPr>
            <w:tcW w:w="94" w:type="pct"/>
            <w:tcBorders>
              <w:top w:val="single" w:sz="4" w:space="0" w:color="auto"/>
              <w:left w:val="nil"/>
              <w:bottom w:val="nil"/>
              <w:right w:val="nil"/>
            </w:tcBorders>
            <w:vAlign w:val="bottom"/>
          </w:tcPr>
          <w:p w:rsidR="00565FD5" w:rsidRPr="001131FC" w:rsidRDefault="00565FD5" w:rsidP="00AB62A3">
            <w:pPr>
              <w:widowControl w:val="0"/>
              <w:spacing w:before="14"/>
              <w:jc w:val="center"/>
              <w:rPr>
                <w:rFonts w:cs="Tahoma"/>
                <w:b/>
                <w:color w:val="000000"/>
                <w:sz w:val="13"/>
                <w:szCs w:val="13"/>
              </w:rPr>
            </w:pPr>
          </w:p>
        </w:tc>
        <w:tc>
          <w:tcPr>
            <w:tcW w:w="1355" w:type="pct"/>
            <w:gridSpan w:val="3"/>
            <w:tcBorders>
              <w:top w:val="single" w:sz="4" w:space="0" w:color="auto"/>
              <w:left w:val="nil"/>
              <w:bottom w:val="single" w:sz="4" w:space="0" w:color="auto"/>
              <w:right w:val="nil"/>
            </w:tcBorders>
            <w:vAlign w:val="bottom"/>
          </w:tcPr>
          <w:p w:rsidR="00565FD5" w:rsidRPr="001131FC" w:rsidRDefault="00565FD5" w:rsidP="00AB62A3">
            <w:pPr>
              <w:widowControl w:val="0"/>
              <w:spacing w:before="14"/>
              <w:jc w:val="center"/>
              <w:rPr>
                <w:rFonts w:cs="Tahoma"/>
                <w:b/>
                <w:bCs/>
                <w:color w:val="000000"/>
                <w:sz w:val="13"/>
                <w:szCs w:val="13"/>
              </w:rPr>
            </w:pPr>
            <w:r w:rsidRPr="001131FC">
              <w:rPr>
                <w:rFonts w:cs="Tahoma"/>
                <w:b/>
                <w:color w:val="000000"/>
                <w:sz w:val="13"/>
                <w:szCs w:val="13"/>
              </w:rPr>
              <w:t>(1998 Yılı Fiyatlarıyla)</w:t>
            </w:r>
          </w:p>
        </w:tc>
        <w:tc>
          <w:tcPr>
            <w:tcW w:w="94" w:type="pct"/>
            <w:tcBorders>
              <w:top w:val="single" w:sz="4" w:space="0" w:color="auto"/>
              <w:left w:val="nil"/>
              <w:bottom w:val="nil"/>
              <w:right w:val="nil"/>
            </w:tcBorders>
            <w:vAlign w:val="bottom"/>
          </w:tcPr>
          <w:p w:rsidR="00565FD5" w:rsidRPr="001131FC" w:rsidRDefault="00565FD5" w:rsidP="00AB62A3">
            <w:pPr>
              <w:widowControl w:val="0"/>
              <w:spacing w:before="14"/>
              <w:jc w:val="center"/>
              <w:rPr>
                <w:rFonts w:cs="Tahoma"/>
                <w:b/>
                <w:color w:val="000000"/>
                <w:sz w:val="13"/>
                <w:szCs w:val="13"/>
              </w:rPr>
            </w:pPr>
          </w:p>
        </w:tc>
        <w:tc>
          <w:tcPr>
            <w:tcW w:w="741" w:type="pct"/>
            <w:vMerge w:val="restart"/>
            <w:tcBorders>
              <w:top w:val="single" w:sz="4" w:space="0" w:color="auto"/>
              <w:left w:val="nil"/>
              <w:bottom w:val="single" w:sz="4" w:space="0" w:color="auto"/>
              <w:right w:val="nil"/>
            </w:tcBorders>
            <w:vAlign w:val="bottom"/>
          </w:tcPr>
          <w:p w:rsidR="00565FD5" w:rsidRPr="001131FC" w:rsidRDefault="00565FD5" w:rsidP="00AB62A3">
            <w:pPr>
              <w:widowControl w:val="0"/>
              <w:spacing w:before="14"/>
              <w:jc w:val="center"/>
              <w:rPr>
                <w:rFonts w:cs="Tahoma"/>
                <w:b/>
                <w:color w:val="000000"/>
                <w:sz w:val="13"/>
                <w:szCs w:val="13"/>
              </w:rPr>
            </w:pPr>
            <w:r w:rsidRPr="001131FC">
              <w:rPr>
                <w:rFonts w:cs="Tahoma"/>
                <w:b/>
                <w:color w:val="000000"/>
                <w:sz w:val="13"/>
                <w:szCs w:val="13"/>
              </w:rPr>
              <w:t>Satın Alma</w:t>
            </w:r>
          </w:p>
          <w:p w:rsidR="00565FD5" w:rsidRPr="001131FC" w:rsidRDefault="00565FD5" w:rsidP="00AB62A3">
            <w:pPr>
              <w:widowControl w:val="0"/>
              <w:spacing w:before="14"/>
              <w:jc w:val="center"/>
              <w:rPr>
                <w:rFonts w:cs="Tahoma"/>
                <w:b/>
                <w:color w:val="000000"/>
                <w:sz w:val="13"/>
                <w:szCs w:val="13"/>
              </w:rPr>
            </w:pPr>
            <w:r w:rsidRPr="001131FC">
              <w:rPr>
                <w:rFonts w:cs="Tahoma"/>
                <w:b/>
                <w:color w:val="000000"/>
                <w:sz w:val="13"/>
                <w:szCs w:val="13"/>
              </w:rPr>
              <w:t>Gücü Paritesi</w:t>
            </w:r>
          </w:p>
          <w:p w:rsidR="00565FD5" w:rsidRPr="001131FC" w:rsidRDefault="00565FD5" w:rsidP="00AB62A3">
            <w:pPr>
              <w:widowControl w:val="0"/>
              <w:spacing w:before="14"/>
              <w:jc w:val="center"/>
              <w:rPr>
                <w:rFonts w:cs="Tahoma"/>
                <w:b/>
                <w:color w:val="000000"/>
                <w:sz w:val="13"/>
                <w:szCs w:val="13"/>
              </w:rPr>
            </w:pPr>
            <w:r w:rsidRPr="001131FC">
              <w:rPr>
                <w:rFonts w:cs="Tahoma"/>
                <w:b/>
                <w:color w:val="000000"/>
                <w:sz w:val="13"/>
                <w:szCs w:val="13"/>
              </w:rPr>
              <w:t>(SAGP)</w:t>
            </w:r>
          </w:p>
          <w:p w:rsidR="00565FD5" w:rsidRPr="001131FC" w:rsidRDefault="00565FD5" w:rsidP="00AB62A3">
            <w:pPr>
              <w:widowControl w:val="0"/>
              <w:spacing w:before="14"/>
              <w:jc w:val="center"/>
              <w:rPr>
                <w:rFonts w:cs="Tahoma"/>
                <w:b/>
                <w:color w:val="000000"/>
                <w:sz w:val="13"/>
                <w:szCs w:val="13"/>
              </w:rPr>
            </w:pPr>
            <w:r w:rsidRPr="001131FC">
              <w:rPr>
                <w:rFonts w:cs="Tahoma"/>
                <w:b/>
                <w:color w:val="000000"/>
                <w:sz w:val="13"/>
                <w:szCs w:val="13"/>
              </w:rPr>
              <w:t>(ABD Doları/TL)(3)</w:t>
            </w:r>
          </w:p>
        </w:tc>
        <w:tc>
          <w:tcPr>
            <w:tcW w:w="520" w:type="pct"/>
            <w:vMerge w:val="restart"/>
            <w:tcBorders>
              <w:top w:val="single" w:sz="4" w:space="0" w:color="auto"/>
              <w:left w:val="nil"/>
              <w:bottom w:val="single" w:sz="4" w:space="0" w:color="auto"/>
            </w:tcBorders>
            <w:vAlign w:val="bottom"/>
          </w:tcPr>
          <w:p w:rsidR="00565FD5" w:rsidRPr="001131FC" w:rsidRDefault="00565FD5" w:rsidP="00AB62A3">
            <w:pPr>
              <w:widowControl w:val="0"/>
              <w:spacing w:before="14"/>
              <w:jc w:val="center"/>
              <w:rPr>
                <w:rFonts w:cs="Tahoma"/>
                <w:b/>
                <w:color w:val="000000"/>
                <w:sz w:val="13"/>
                <w:szCs w:val="13"/>
              </w:rPr>
            </w:pPr>
            <w:r w:rsidRPr="001131FC">
              <w:rPr>
                <w:rFonts w:cs="Tahoma"/>
                <w:b/>
                <w:color w:val="000000"/>
                <w:sz w:val="13"/>
                <w:szCs w:val="13"/>
              </w:rPr>
              <w:t>SAGP</w:t>
            </w:r>
          </w:p>
          <w:p w:rsidR="00565FD5" w:rsidRPr="001131FC" w:rsidRDefault="00565FD5" w:rsidP="00AB62A3">
            <w:pPr>
              <w:widowControl w:val="0"/>
              <w:spacing w:before="14"/>
              <w:jc w:val="center"/>
              <w:rPr>
                <w:rFonts w:cs="Tahoma"/>
                <w:b/>
                <w:color w:val="000000"/>
                <w:sz w:val="13"/>
                <w:szCs w:val="13"/>
              </w:rPr>
            </w:pPr>
            <w:r w:rsidRPr="001131FC">
              <w:rPr>
                <w:rFonts w:cs="Tahoma"/>
                <w:b/>
                <w:color w:val="000000"/>
                <w:sz w:val="13"/>
                <w:szCs w:val="13"/>
              </w:rPr>
              <w:t>Göre Fert</w:t>
            </w:r>
          </w:p>
          <w:p w:rsidR="00565FD5" w:rsidRPr="001131FC" w:rsidRDefault="00565FD5" w:rsidP="00AB62A3">
            <w:pPr>
              <w:widowControl w:val="0"/>
              <w:spacing w:before="14"/>
              <w:jc w:val="center"/>
              <w:rPr>
                <w:rFonts w:cs="Tahoma"/>
                <w:b/>
                <w:color w:val="000000"/>
                <w:sz w:val="13"/>
                <w:szCs w:val="13"/>
              </w:rPr>
            </w:pPr>
            <w:r w:rsidRPr="001131FC">
              <w:rPr>
                <w:rFonts w:cs="Tahoma"/>
                <w:b/>
                <w:color w:val="000000"/>
                <w:sz w:val="13"/>
                <w:szCs w:val="13"/>
              </w:rPr>
              <w:t>Başına GSYH</w:t>
            </w:r>
          </w:p>
          <w:p w:rsidR="00565FD5" w:rsidRPr="001131FC" w:rsidRDefault="00565FD5" w:rsidP="00AB62A3">
            <w:pPr>
              <w:widowControl w:val="0"/>
              <w:spacing w:before="14"/>
              <w:jc w:val="center"/>
              <w:rPr>
                <w:rFonts w:cs="Tahoma"/>
                <w:b/>
                <w:color w:val="000000"/>
                <w:sz w:val="13"/>
                <w:szCs w:val="13"/>
              </w:rPr>
            </w:pPr>
            <w:r w:rsidRPr="001131FC">
              <w:rPr>
                <w:rFonts w:cs="Tahoma"/>
                <w:b/>
                <w:color w:val="000000"/>
                <w:sz w:val="13"/>
                <w:szCs w:val="13"/>
              </w:rPr>
              <w:t>(ABD Doları)</w:t>
            </w:r>
          </w:p>
          <w:p w:rsidR="00565FD5" w:rsidRPr="001131FC" w:rsidRDefault="00565FD5" w:rsidP="00AB62A3">
            <w:pPr>
              <w:widowControl w:val="0"/>
              <w:spacing w:before="14"/>
              <w:jc w:val="center"/>
              <w:rPr>
                <w:rFonts w:cs="Tahoma"/>
                <w:b/>
                <w:color w:val="000000"/>
                <w:sz w:val="13"/>
                <w:szCs w:val="13"/>
              </w:rPr>
            </w:pPr>
            <w:r w:rsidRPr="001131FC">
              <w:rPr>
                <w:rFonts w:cs="Tahoma"/>
                <w:b/>
                <w:color w:val="000000"/>
                <w:sz w:val="13"/>
                <w:szCs w:val="13"/>
              </w:rPr>
              <w:t>(4)</w:t>
            </w:r>
          </w:p>
        </w:tc>
      </w:tr>
      <w:tr w:rsidR="00565FD5" w:rsidRPr="001131FC" w:rsidTr="00AB62A3">
        <w:trPr>
          <w:cantSplit/>
          <w:trHeight w:val="20"/>
        </w:trPr>
        <w:tc>
          <w:tcPr>
            <w:tcW w:w="336" w:type="pct"/>
            <w:vMerge/>
            <w:tcBorders>
              <w:top w:val="single" w:sz="4" w:space="0" w:color="auto"/>
              <w:bottom w:val="single" w:sz="4" w:space="0" w:color="auto"/>
              <w:right w:val="nil"/>
            </w:tcBorders>
            <w:vAlign w:val="center"/>
          </w:tcPr>
          <w:p w:rsidR="00565FD5" w:rsidRPr="001131FC" w:rsidRDefault="00565FD5" w:rsidP="00AB62A3">
            <w:pPr>
              <w:rPr>
                <w:rFonts w:cs="Tahoma"/>
                <w:b/>
                <w:color w:val="000000"/>
                <w:sz w:val="13"/>
                <w:szCs w:val="13"/>
              </w:rPr>
            </w:pPr>
          </w:p>
        </w:tc>
        <w:tc>
          <w:tcPr>
            <w:tcW w:w="465" w:type="pct"/>
            <w:vMerge/>
            <w:tcBorders>
              <w:top w:val="single" w:sz="4" w:space="0" w:color="auto"/>
              <w:left w:val="nil"/>
              <w:bottom w:val="single" w:sz="4" w:space="0" w:color="auto"/>
              <w:right w:val="nil"/>
            </w:tcBorders>
            <w:vAlign w:val="center"/>
          </w:tcPr>
          <w:p w:rsidR="00565FD5" w:rsidRPr="001131FC" w:rsidRDefault="00565FD5" w:rsidP="00AB62A3">
            <w:pPr>
              <w:rPr>
                <w:rFonts w:cs="Tahoma"/>
                <w:b/>
                <w:color w:val="000000"/>
                <w:sz w:val="13"/>
                <w:szCs w:val="13"/>
              </w:rPr>
            </w:pPr>
          </w:p>
        </w:tc>
        <w:tc>
          <w:tcPr>
            <w:tcW w:w="486" w:type="pct"/>
            <w:vMerge w:val="restart"/>
            <w:tcBorders>
              <w:top w:val="single" w:sz="4" w:space="0" w:color="auto"/>
              <w:left w:val="nil"/>
              <w:bottom w:val="single" w:sz="4" w:space="0" w:color="auto"/>
              <w:right w:val="nil"/>
            </w:tcBorders>
            <w:vAlign w:val="bottom"/>
          </w:tcPr>
          <w:p w:rsidR="00565FD5" w:rsidRPr="001131FC" w:rsidRDefault="00565FD5" w:rsidP="00AB62A3">
            <w:pPr>
              <w:widowControl w:val="0"/>
              <w:spacing w:before="14"/>
              <w:jc w:val="center"/>
              <w:rPr>
                <w:rFonts w:cs="Tahoma"/>
                <w:b/>
                <w:color w:val="000000"/>
                <w:sz w:val="13"/>
                <w:szCs w:val="13"/>
              </w:rPr>
            </w:pPr>
            <w:r w:rsidRPr="001131FC">
              <w:rPr>
                <w:rFonts w:cs="Tahoma"/>
                <w:b/>
                <w:color w:val="000000"/>
                <w:sz w:val="13"/>
                <w:szCs w:val="13"/>
              </w:rPr>
              <w:t>GSYH</w:t>
            </w:r>
          </w:p>
          <w:p w:rsidR="00565FD5" w:rsidRPr="001131FC" w:rsidRDefault="00565FD5" w:rsidP="00AB62A3">
            <w:pPr>
              <w:widowControl w:val="0"/>
              <w:spacing w:before="14"/>
              <w:jc w:val="center"/>
              <w:rPr>
                <w:rFonts w:cs="Tahoma"/>
                <w:b/>
                <w:color w:val="000000"/>
                <w:sz w:val="13"/>
                <w:szCs w:val="13"/>
              </w:rPr>
            </w:pPr>
            <w:r w:rsidRPr="001131FC">
              <w:rPr>
                <w:rFonts w:cs="Tahoma"/>
                <w:b/>
                <w:color w:val="000000"/>
                <w:sz w:val="13"/>
                <w:szCs w:val="13"/>
              </w:rPr>
              <w:t>(Milyon TL)</w:t>
            </w:r>
          </w:p>
        </w:tc>
        <w:tc>
          <w:tcPr>
            <w:tcW w:w="909" w:type="pct"/>
            <w:gridSpan w:val="2"/>
            <w:tcBorders>
              <w:top w:val="single" w:sz="4" w:space="0" w:color="auto"/>
              <w:left w:val="nil"/>
              <w:bottom w:val="single" w:sz="4" w:space="0" w:color="auto"/>
              <w:right w:val="nil"/>
            </w:tcBorders>
            <w:vAlign w:val="bottom"/>
          </w:tcPr>
          <w:p w:rsidR="00565FD5" w:rsidRPr="001131FC" w:rsidRDefault="00565FD5" w:rsidP="00AB62A3">
            <w:pPr>
              <w:widowControl w:val="0"/>
              <w:spacing w:before="14"/>
              <w:jc w:val="center"/>
              <w:rPr>
                <w:rFonts w:cs="Tahoma"/>
                <w:b/>
                <w:color w:val="000000"/>
                <w:sz w:val="13"/>
                <w:szCs w:val="13"/>
              </w:rPr>
            </w:pPr>
            <w:r w:rsidRPr="001131FC">
              <w:rPr>
                <w:rFonts w:cs="Tahoma"/>
                <w:b/>
                <w:color w:val="000000"/>
                <w:sz w:val="13"/>
                <w:szCs w:val="13"/>
              </w:rPr>
              <w:t>Fert Başına GSYH</w:t>
            </w:r>
          </w:p>
        </w:tc>
        <w:tc>
          <w:tcPr>
            <w:tcW w:w="94" w:type="pct"/>
            <w:tcBorders>
              <w:top w:val="nil"/>
              <w:left w:val="nil"/>
              <w:bottom w:val="nil"/>
              <w:right w:val="nil"/>
            </w:tcBorders>
            <w:vAlign w:val="bottom"/>
          </w:tcPr>
          <w:p w:rsidR="00565FD5" w:rsidRPr="001131FC" w:rsidRDefault="00565FD5" w:rsidP="00AB62A3">
            <w:pPr>
              <w:widowControl w:val="0"/>
              <w:spacing w:before="14"/>
              <w:jc w:val="center"/>
              <w:rPr>
                <w:rFonts w:cs="Tahoma"/>
                <w:b/>
                <w:color w:val="000000"/>
                <w:sz w:val="13"/>
                <w:szCs w:val="13"/>
              </w:rPr>
            </w:pPr>
          </w:p>
        </w:tc>
        <w:tc>
          <w:tcPr>
            <w:tcW w:w="486" w:type="pct"/>
            <w:vMerge w:val="restart"/>
            <w:tcBorders>
              <w:top w:val="single" w:sz="4" w:space="0" w:color="auto"/>
              <w:left w:val="nil"/>
              <w:bottom w:val="single" w:sz="4" w:space="0" w:color="auto"/>
              <w:right w:val="nil"/>
            </w:tcBorders>
            <w:vAlign w:val="bottom"/>
          </w:tcPr>
          <w:p w:rsidR="00565FD5" w:rsidRPr="001131FC" w:rsidRDefault="00565FD5" w:rsidP="00AB62A3">
            <w:pPr>
              <w:widowControl w:val="0"/>
              <w:spacing w:before="14"/>
              <w:jc w:val="center"/>
              <w:rPr>
                <w:rFonts w:cs="Tahoma"/>
                <w:b/>
                <w:color w:val="000000"/>
                <w:sz w:val="13"/>
                <w:szCs w:val="13"/>
              </w:rPr>
            </w:pPr>
            <w:r w:rsidRPr="001131FC">
              <w:rPr>
                <w:rFonts w:cs="Tahoma"/>
                <w:b/>
                <w:color w:val="000000"/>
                <w:sz w:val="13"/>
                <w:szCs w:val="13"/>
              </w:rPr>
              <w:t>GSYH</w:t>
            </w:r>
          </w:p>
          <w:p w:rsidR="00565FD5" w:rsidRPr="001131FC" w:rsidRDefault="00565FD5" w:rsidP="00AB62A3">
            <w:pPr>
              <w:widowControl w:val="0"/>
              <w:spacing w:before="14"/>
              <w:jc w:val="center"/>
              <w:rPr>
                <w:rFonts w:cs="Tahoma"/>
                <w:b/>
                <w:color w:val="000000"/>
                <w:sz w:val="13"/>
                <w:szCs w:val="13"/>
              </w:rPr>
            </w:pPr>
            <w:r w:rsidRPr="001131FC">
              <w:rPr>
                <w:rFonts w:cs="Tahoma"/>
                <w:b/>
                <w:color w:val="000000"/>
                <w:sz w:val="13"/>
                <w:szCs w:val="13"/>
              </w:rPr>
              <w:t>(Milyon TL)</w:t>
            </w:r>
          </w:p>
        </w:tc>
        <w:tc>
          <w:tcPr>
            <w:tcW w:w="870" w:type="pct"/>
            <w:gridSpan w:val="2"/>
            <w:tcBorders>
              <w:top w:val="single" w:sz="4" w:space="0" w:color="auto"/>
              <w:left w:val="nil"/>
              <w:bottom w:val="single" w:sz="4" w:space="0" w:color="auto"/>
              <w:right w:val="nil"/>
            </w:tcBorders>
            <w:vAlign w:val="bottom"/>
          </w:tcPr>
          <w:p w:rsidR="00565FD5" w:rsidRPr="001131FC" w:rsidRDefault="00565FD5" w:rsidP="00AB62A3">
            <w:pPr>
              <w:widowControl w:val="0"/>
              <w:spacing w:before="14"/>
              <w:jc w:val="center"/>
              <w:rPr>
                <w:rFonts w:cs="Tahoma"/>
                <w:b/>
                <w:color w:val="000000"/>
                <w:sz w:val="13"/>
                <w:szCs w:val="13"/>
              </w:rPr>
            </w:pPr>
            <w:r w:rsidRPr="001131FC">
              <w:rPr>
                <w:rFonts w:cs="Tahoma"/>
                <w:b/>
                <w:color w:val="000000"/>
                <w:sz w:val="13"/>
                <w:szCs w:val="13"/>
              </w:rPr>
              <w:t>Fert Başına GSYH</w:t>
            </w:r>
          </w:p>
        </w:tc>
        <w:tc>
          <w:tcPr>
            <w:tcW w:w="94" w:type="pct"/>
            <w:tcBorders>
              <w:top w:val="nil"/>
              <w:left w:val="nil"/>
              <w:bottom w:val="nil"/>
              <w:right w:val="nil"/>
            </w:tcBorders>
            <w:vAlign w:val="bottom"/>
          </w:tcPr>
          <w:p w:rsidR="00565FD5" w:rsidRPr="001131FC" w:rsidRDefault="00565FD5" w:rsidP="00AB62A3">
            <w:pPr>
              <w:widowControl w:val="0"/>
              <w:spacing w:before="14"/>
              <w:jc w:val="center"/>
              <w:rPr>
                <w:rFonts w:cs="Tahoma"/>
                <w:b/>
                <w:color w:val="000000"/>
                <w:sz w:val="13"/>
                <w:szCs w:val="13"/>
              </w:rPr>
            </w:pPr>
          </w:p>
        </w:tc>
        <w:tc>
          <w:tcPr>
            <w:tcW w:w="741" w:type="pct"/>
            <w:vMerge/>
            <w:tcBorders>
              <w:top w:val="single" w:sz="4" w:space="0" w:color="auto"/>
              <w:left w:val="nil"/>
              <w:bottom w:val="single" w:sz="4" w:space="0" w:color="auto"/>
              <w:right w:val="nil"/>
            </w:tcBorders>
            <w:vAlign w:val="center"/>
          </w:tcPr>
          <w:p w:rsidR="00565FD5" w:rsidRPr="001131FC" w:rsidRDefault="00565FD5" w:rsidP="00AB62A3">
            <w:pPr>
              <w:rPr>
                <w:rFonts w:cs="Tahoma"/>
                <w:b/>
                <w:color w:val="000000"/>
                <w:sz w:val="13"/>
                <w:szCs w:val="13"/>
              </w:rPr>
            </w:pPr>
          </w:p>
        </w:tc>
        <w:tc>
          <w:tcPr>
            <w:tcW w:w="520" w:type="pct"/>
            <w:vMerge/>
            <w:tcBorders>
              <w:top w:val="single" w:sz="4" w:space="0" w:color="auto"/>
              <w:left w:val="nil"/>
              <w:bottom w:val="single" w:sz="4" w:space="0" w:color="auto"/>
            </w:tcBorders>
            <w:vAlign w:val="center"/>
          </w:tcPr>
          <w:p w:rsidR="00565FD5" w:rsidRPr="001131FC" w:rsidRDefault="00565FD5" w:rsidP="00AB62A3">
            <w:pPr>
              <w:rPr>
                <w:rFonts w:cs="Tahoma"/>
                <w:b/>
                <w:color w:val="000000"/>
                <w:sz w:val="13"/>
                <w:szCs w:val="13"/>
              </w:rPr>
            </w:pPr>
          </w:p>
        </w:tc>
      </w:tr>
      <w:tr w:rsidR="00565FD5" w:rsidRPr="001131FC" w:rsidTr="00AB62A3">
        <w:trPr>
          <w:cantSplit/>
          <w:trHeight w:val="442"/>
        </w:trPr>
        <w:tc>
          <w:tcPr>
            <w:tcW w:w="336" w:type="pct"/>
            <w:vMerge/>
            <w:tcBorders>
              <w:top w:val="single" w:sz="4" w:space="0" w:color="auto"/>
              <w:bottom w:val="single" w:sz="4" w:space="0" w:color="auto"/>
              <w:right w:val="nil"/>
            </w:tcBorders>
            <w:vAlign w:val="center"/>
          </w:tcPr>
          <w:p w:rsidR="00565FD5" w:rsidRPr="001131FC" w:rsidRDefault="00565FD5" w:rsidP="00AB62A3">
            <w:pPr>
              <w:rPr>
                <w:rFonts w:cs="Tahoma"/>
                <w:b/>
                <w:color w:val="000000"/>
                <w:sz w:val="13"/>
                <w:szCs w:val="13"/>
              </w:rPr>
            </w:pPr>
          </w:p>
        </w:tc>
        <w:tc>
          <w:tcPr>
            <w:tcW w:w="465" w:type="pct"/>
            <w:vMerge/>
            <w:tcBorders>
              <w:top w:val="single" w:sz="4" w:space="0" w:color="auto"/>
              <w:left w:val="nil"/>
              <w:bottom w:val="single" w:sz="4" w:space="0" w:color="auto"/>
              <w:right w:val="nil"/>
            </w:tcBorders>
            <w:vAlign w:val="center"/>
          </w:tcPr>
          <w:p w:rsidR="00565FD5" w:rsidRPr="001131FC" w:rsidRDefault="00565FD5" w:rsidP="00AB62A3">
            <w:pPr>
              <w:rPr>
                <w:rFonts w:cs="Tahoma"/>
                <w:b/>
                <w:color w:val="000000"/>
                <w:sz w:val="13"/>
                <w:szCs w:val="13"/>
              </w:rPr>
            </w:pPr>
          </w:p>
        </w:tc>
        <w:tc>
          <w:tcPr>
            <w:tcW w:w="486" w:type="pct"/>
            <w:vMerge/>
            <w:tcBorders>
              <w:top w:val="single" w:sz="4" w:space="0" w:color="auto"/>
              <w:left w:val="nil"/>
              <w:bottom w:val="single" w:sz="4" w:space="0" w:color="auto"/>
              <w:right w:val="nil"/>
            </w:tcBorders>
            <w:vAlign w:val="center"/>
          </w:tcPr>
          <w:p w:rsidR="00565FD5" w:rsidRPr="001131FC" w:rsidRDefault="00565FD5" w:rsidP="00AB62A3">
            <w:pPr>
              <w:rPr>
                <w:rFonts w:cs="Tahoma"/>
                <w:b/>
                <w:color w:val="000000"/>
                <w:sz w:val="13"/>
                <w:szCs w:val="13"/>
              </w:rPr>
            </w:pPr>
          </w:p>
        </w:tc>
        <w:tc>
          <w:tcPr>
            <w:tcW w:w="317" w:type="pct"/>
            <w:tcBorders>
              <w:top w:val="nil"/>
              <w:left w:val="nil"/>
              <w:bottom w:val="single" w:sz="4" w:space="0" w:color="auto"/>
              <w:right w:val="nil"/>
            </w:tcBorders>
            <w:vAlign w:val="bottom"/>
          </w:tcPr>
          <w:p w:rsidR="00565FD5" w:rsidRPr="001131FC" w:rsidRDefault="00565FD5" w:rsidP="00AB62A3">
            <w:pPr>
              <w:widowControl w:val="0"/>
              <w:spacing w:before="14"/>
              <w:jc w:val="center"/>
              <w:rPr>
                <w:rFonts w:cs="Tahoma"/>
                <w:b/>
                <w:color w:val="000000"/>
                <w:sz w:val="13"/>
                <w:szCs w:val="13"/>
              </w:rPr>
            </w:pPr>
            <w:r w:rsidRPr="001131FC">
              <w:rPr>
                <w:rFonts w:cs="Tahoma"/>
                <w:b/>
                <w:color w:val="000000"/>
                <w:sz w:val="13"/>
                <w:szCs w:val="13"/>
              </w:rPr>
              <w:t>TL</w:t>
            </w:r>
          </w:p>
          <w:p w:rsidR="00565FD5" w:rsidRPr="001131FC" w:rsidRDefault="00565FD5" w:rsidP="00AB62A3">
            <w:pPr>
              <w:widowControl w:val="0"/>
              <w:spacing w:before="14"/>
              <w:jc w:val="center"/>
              <w:rPr>
                <w:rFonts w:cs="Tahoma"/>
                <w:color w:val="000000"/>
                <w:sz w:val="13"/>
                <w:szCs w:val="13"/>
              </w:rPr>
            </w:pPr>
          </w:p>
        </w:tc>
        <w:tc>
          <w:tcPr>
            <w:tcW w:w="593" w:type="pct"/>
            <w:tcBorders>
              <w:top w:val="nil"/>
              <w:left w:val="nil"/>
              <w:bottom w:val="single" w:sz="4" w:space="0" w:color="auto"/>
              <w:right w:val="nil"/>
            </w:tcBorders>
            <w:vAlign w:val="bottom"/>
          </w:tcPr>
          <w:p w:rsidR="00565FD5" w:rsidRDefault="00565FD5" w:rsidP="00AB62A3">
            <w:pPr>
              <w:widowControl w:val="0"/>
              <w:spacing w:before="14"/>
              <w:jc w:val="center"/>
              <w:rPr>
                <w:rFonts w:cs="Tahoma"/>
                <w:b/>
                <w:color w:val="000000"/>
                <w:sz w:val="13"/>
                <w:szCs w:val="13"/>
              </w:rPr>
            </w:pPr>
            <w:r w:rsidRPr="001131FC">
              <w:rPr>
                <w:rFonts w:cs="Tahoma"/>
                <w:b/>
                <w:color w:val="000000"/>
                <w:sz w:val="13"/>
                <w:szCs w:val="13"/>
              </w:rPr>
              <w:t>ABD Doları(2)</w:t>
            </w:r>
          </w:p>
          <w:p w:rsidR="00565FD5" w:rsidRPr="001131FC" w:rsidRDefault="00565FD5" w:rsidP="00AB62A3">
            <w:pPr>
              <w:widowControl w:val="0"/>
              <w:spacing w:before="14"/>
              <w:jc w:val="center"/>
              <w:rPr>
                <w:rFonts w:cs="Tahoma"/>
                <w:b/>
                <w:color w:val="000000"/>
                <w:sz w:val="13"/>
                <w:szCs w:val="13"/>
              </w:rPr>
            </w:pPr>
          </w:p>
        </w:tc>
        <w:tc>
          <w:tcPr>
            <w:tcW w:w="94" w:type="pct"/>
            <w:tcBorders>
              <w:top w:val="nil"/>
              <w:left w:val="nil"/>
              <w:bottom w:val="single" w:sz="4" w:space="0" w:color="auto"/>
              <w:right w:val="nil"/>
            </w:tcBorders>
            <w:vAlign w:val="bottom"/>
          </w:tcPr>
          <w:p w:rsidR="00565FD5" w:rsidRPr="001131FC" w:rsidRDefault="00565FD5" w:rsidP="00AB62A3">
            <w:pPr>
              <w:widowControl w:val="0"/>
              <w:spacing w:before="14"/>
              <w:jc w:val="center"/>
              <w:rPr>
                <w:rFonts w:cs="Tahoma"/>
                <w:b/>
                <w:color w:val="000000"/>
                <w:sz w:val="13"/>
                <w:szCs w:val="13"/>
              </w:rPr>
            </w:pPr>
          </w:p>
        </w:tc>
        <w:tc>
          <w:tcPr>
            <w:tcW w:w="486" w:type="pct"/>
            <w:vMerge/>
            <w:tcBorders>
              <w:top w:val="single" w:sz="4" w:space="0" w:color="auto"/>
              <w:left w:val="nil"/>
              <w:bottom w:val="single" w:sz="4" w:space="0" w:color="auto"/>
              <w:right w:val="nil"/>
            </w:tcBorders>
            <w:vAlign w:val="center"/>
          </w:tcPr>
          <w:p w:rsidR="00565FD5" w:rsidRPr="001131FC" w:rsidRDefault="00565FD5" w:rsidP="00AB62A3">
            <w:pPr>
              <w:rPr>
                <w:rFonts w:cs="Tahoma"/>
                <w:b/>
                <w:color w:val="000000"/>
                <w:sz w:val="13"/>
                <w:szCs w:val="13"/>
              </w:rPr>
            </w:pPr>
          </w:p>
        </w:tc>
        <w:tc>
          <w:tcPr>
            <w:tcW w:w="277" w:type="pct"/>
            <w:tcBorders>
              <w:top w:val="nil"/>
              <w:left w:val="nil"/>
              <w:bottom w:val="single" w:sz="4" w:space="0" w:color="auto"/>
              <w:right w:val="nil"/>
            </w:tcBorders>
            <w:vAlign w:val="bottom"/>
          </w:tcPr>
          <w:p w:rsidR="00565FD5" w:rsidRPr="001131FC" w:rsidRDefault="00565FD5" w:rsidP="00AB62A3">
            <w:pPr>
              <w:widowControl w:val="0"/>
              <w:spacing w:before="14"/>
              <w:jc w:val="center"/>
              <w:rPr>
                <w:rFonts w:cs="Tahoma"/>
                <w:b/>
                <w:color w:val="000000"/>
                <w:sz w:val="13"/>
                <w:szCs w:val="13"/>
              </w:rPr>
            </w:pPr>
            <w:r w:rsidRPr="001131FC">
              <w:rPr>
                <w:rFonts w:cs="Tahoma"/>
                <w:b/>
                <w:color w:val="000000"/>
                <w:sz w:val="13"/>
                <w:szCs w:val="13"/>
              </w:rPr>
              <w:t>TL</w:t>
            </w:r>
          </w:p>
          <w:p w:rsidR="00565FD5" w:rsidRPr="001131FC" w:rsidRDefault="00565FD5" w:rsidP="00AB62A3">
            <w:pPr>
              <w:widowControl w:val="0"/>
              <w:spacing w:before="14"/>
              <w:jc w:val="center"/>
              <w:rPr>
                <w:rFonts w:cs="Tahoma"/>
                <w:b/>
                <w:color w:val="000000"/>
                <w:sz w:val="13"/>
                <w:szCs w:val="13"/>
              </w:rPr>
            </w:pPr>
          </w:p>
        </w:tc>
        <w:tc>
          <w:tcPr>
            <w:tcW w:w="593" w:type="pct"/>
            <w:tcBorders>
              <w:top w:val="nil"/>
              <w:left w:val="nil"/>
              <w:bottom w:val="single" w:sz="4" w:space="0" w:color="auto"/>
              <w:right w:val="nil"/>
            </w:tcBorders>
            <w:vAlign w:val="bottom"/>
          </w:tcPr>
          <w:p w:rsidR="00565FD5" w:rsidRDefault="00565FD5" w:rsidP="00AB62A3">
            <w:pPr>
              <w:widowControl w:val="0"/>
              <w:spacing w:before="14"/>
              <w:jc w:val="center"/>
              <w:rPr>
                <w:rFonts w:cs="Tahoma"/>
                <w:b/>
                <w:color w:val="000000"/>
                <w:sz w:val="13"/>
                <w:szCs w:val="13"/>
              </w:rPr>
            </w:pPr>
            <w:r w:rsidRPr="001131FC">
              <w:rPr>
                <w:rFonts w:cs="Tahoma"/>
                <w:b/>
                <w:color w:val="000000"/>
                <w:sz w:val="13"/>
                <w:szCs w:val="13"/>
              </w:rPr>
              <w:t>ABD Doları(2)</w:t>
            </w:r>
          </w:p>
          <w:p w:rsidR="00565FD5" w:rsidRPr="001131FC" w:rsidRDefault="00565FD5" w:rsidP="00AB62A3">
            <w:pPr>
              <w:widowControl w:val="0"/>
              <w:spacing w:before="14"/>
              <w:jc w:val="center"/>
              <w:rPr>
                <w:rFonts w:cs="Tahoma"/>
                <w:b/>
                <w:color w:val="000000"/>
                <w:sz w:val="13"/>
                <w:szCs w:val="13"/>
              </w:rPr>
            </w:pPr>
          </w:p>
        </w:tc>
        <w:tc>
          <w:tcPr>
            <w:tcW w:w="94" w:type="pct"/>
            <w:tcBorders>
              <w:top w:val="nil"/>
              <w:left w:val="nil"/>
              <w:bottom w:val="single" w:sz="4" w:space="0" w:color="auto"/>
              <w:right w:val="nil"/>
            </w:tcBorders>
            <w:vAlign w:val="bottom"/>
          </w:tcPr>
          <w:p w:rsidR="00565FD5" w:rsidRPr="001131FC" w:rsidRDefault="00565FD5" w:rsidP="00AB62A3">
            <w:pPr>
              <w:widowControl w:val="0"/>
              <w:spacing w:before="14"/>
              <w:jc w:val="center"/>
              <w:rPr>
                <w:rFonts w:cs="Tahoma"/>
                <w:b/>
                <w:color w:val="000000"/>
                <w:sz w:val="13"/>
                <w:szCs w:val="13"/>
              </w:rPr>
            </w:pPr>
          </w:p>
        </w:tc>
        <w:tc>
          <w:tcPr>
            <w:tcW w:w="741" w:type="pct"/>
            <w:vMerge/>
            <w:tcBorders>
              <w:top w:val="single" w:sz="4" w:space="0" w:color="auto"/>
              <w:left w:val="nil"/>
              <w:bottom w:val="single" w:sz="4" w:space="0" w:color="auto"/>
              <w:right w:val="nil"/>
            </w:tcBorders>
            <w:vAlign w:val="center"/>
          </w:tcPr>
          <w:p w:rsidR="00565FD5" w:rsidRPr="001131FC" w:rsidRDefault="00565FD5" w:rsidP="00AB62A3">
            <w:pPr>
              <w:rPr>
                <w:rFonts w:cs="Tahoma"/>
                <w:b/>
                <w:color w:val="000000"/>
                <w:sz w:val="13"/>
                <w:szCs w:val="13"/>
              </w:rPr>
            </w:pPr>
          </w:p>
        </w:tc>
        <w:tc>
          <w:tcPr>
            <w:tcW w:w="520" w:type="pct"/>
            <w:vMerge/>
            <w:tcBorders>
              <w:top w:val="single" w:sz="4" w:space="0" w:color="auto"/>
              <w:left w:val="nil"/>
              <w:bottom w:val="single" w:sz="4" w:space="0" w:color="auto"/>
            </w:tcBorders>
            <w:vAlign w:val="center"/>
          </w:tcPr>
          <w:p w:rsidR="00565FD5" w:rsidRPr="001131FC" w:rsidRDefault="00565FD5" w:rsidP="00AB62A3">
            <w:pPr>
              <w:rPr>
                <w:rFonts w:cs="Tahoma"/>
                <w:b/>
                <w:color w:val="000000"/>
                <w:sz w:val="13"/>
                <w:szCs w:val="13"/>
              </w:rPr>
            </w:pPr>
          </w:p>
        </w:tc>
      </w:tr>
      <w:tr w:rsidR="00565FD5" w:rsidRPr="001131FC" w:rsidTr="00AB62A3">
        <w:trPr>
          <w:trHeight w:val="284"/>
        </w:trPr>
        <w:tc>
          <w:tcPr>
            <w:tcW w:w="336" w:type="pct"/>
            <w:tcBorders>
              <w:top w:val="nil"/>
              <w:bottom w:val="nil"/>
              <w:right w:val="nil"/>
            </w:tcBorders>
            <w:vAlign w:val="center"/>
          </w:tcPr>
          <w:p w:rsidR="00565FD5" w:rsidRPr="001131FC" w:rsidRDefault="00565FD5" w:rsidP="00AB62A3">
            <w:pPr>
              <w:jc w:val="center"/>
              <w:rPr>
                <w:rFonts w:cs="Tahoma"/>
                <w:snapToGrid w:val="0"/>
                <w:color w:val="000000"/>
                <w:sz w:val="14"/>
                <w:szCs w:val="14"/>
              </w:rPr>
            </w:pPr>
            <w:r w:rsidRPr="001131FC">
              <w:rPr>
                <w:rFonts w:cs="Tahoma"/>
                <w:snapToGrid w:val="0"/>
                <w:color w:val="000000"/>
                <w:sz w:val="14"/>
                <w:szCs w:val="14"/>
              </w:rPr>
              <w:t>1998</w:t>
            </w:r>
          </w:p>
        </w:tc>
        <w:tc>
          <w:tcPr>
            <w:tcW w:w="465"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62 464</w:t>
            </w: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70 203</w:t>
            </w:r>
          </w:p>
        </w:tc>
        <w:tc>
          <w:tcPr>
            <w:tcW w:w="317"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1 124</w:t>
            </w:r>
          </w:p>
        </w:tc>
        <w:tc>
          <w:tcPr>
            <w:tcW w:w="593" w:type="pct"/>
            <w:tcBorders>
              <w:top w:val="nil"/>
              <w:left w:val="nil"/>
              <w:bottom w:val="nil"/>
              <w:right w:val="nil"/>
            </w:tcBorders>
            <w:vAlign w:val="center"/>
          </w:tcPr>
          <w:p w:rsidR="00565FD5" w:rsidRPr="001131FC" w:rsidRDefault="00565FD5" w:rsidP="00AB62A3">
            <w:pPr>
              <w:ind w:right="305"/>
              <w:jc w:val="right"/>
              <w:rPr>
                <w:rFonts w:cs="Tahoma"/>
                <w:color w:val="000000"/>
                <w:sz w:val="14"/>
                <w:szCs w:val="14"/>
              </w:rPr>
            </w:pPr>
            <w:r w:rsidRPr="001131FC">
              <w:rPr>
                <w:rFonts w:cs="Tahoma"/>
                <w:color w:val="000000"/>
                <w:sz w:val="14"/>
                <w:szCs w:val="14"/>
              </w:rPr>
              <w:t>4 338</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486" w:type="pct"/>
            <w:tcBorders>
              <w:top w:val="nil"/>
              <w:left w:val="nil"/>
              <w:bottom w:val="nil"/>
              <w:right w:val="nil"/>
            </w:tcBorders>
            <w:vAlign w:val="center"/>
          </w:tcPr>
          <w:p w:rsidR="00565FD5" w:rsidRPr="001131FC" w:rsidRDefault="00565FD5" w:rsidP="00AB62A3">
            <w:pPr>
              <w:jc w:val="right"/>
              <w:rPr>
                <w:rFonts w:cs="Tahoma"/>
                <w:color w:val="000000"/>
                <w:sz w:val="14"/>
                <w:szCs w:val="14"/>
              </w:rPr>
            </w:pPr>
            <w:r w:rsidRPr="001131FC">
              <w:rPr>
                <w:rFonts w:cs="Tahoma"/>
                <w:color w:val="000000"/>
                <w:sz w:val="14"/>
                <w:szCs w:val="14"/>
              </w:rPr>
              <w:t>70 203</w:t>
            </w:r>
          </w:p>
        </w:tc>
        <w:tc>
          <w:tcPr>
            <w:tcW w:w="277" w:type="pct"/>
            <w:tcBorders>
              <w:top w:val="nil"/>
              <w:left w:val="nil"/>
              <w:bottom w:val="nil"/>
              <w:right w:val="nil"/>
            </w:tcBorders>
            <w:vAlign w:val="center"/>
          </w:tcPr>
          <w:p w:rsidR="00565FD5" w:rsidRPr="001131FC" w:rsidRDefault="00565FD5" w:rsidP="00AB62A3">
            <w:pPr>
              <w:jc w:val="right"/>
              <w:rPr>
                <w:rFonts w:cs="Tahoma"/>
                <w:color w:val="000000"/>
                <w:sz w:val="14"/>
                <w:szCs w:val="14"/>
              </w:rPr>
            </w:pPr>
            <w:r w:rsidRPr="001131FC">
              <w:rPr>
                <w:rFonts w:cs="Tahoma"/>
                <w:color w:val="000000"/>
                <w:sz w:val="14"/>
                <w:szCs w:val="14"/>
              </w:rPr>
              <w:t>1 124</w:t>
            </w:r>
          </w:p>
        </w:tc>
        <w:tc>
          <w:tcPr>
            <w:tcW w:w="593" w:type="pct"/>
            <w:tcBorders>
              <w:top w:val="nil"/>
              <w:left w:val="nil"/>
              <w:bottom w:val="nil"/>
              <w:right w:val="nil"/>
            </w:tcBorders>
            <w:vAlign w:val="center"/>
          </w:tcPr>
          <w:p w:rsidR="00565FD5" w:rsidRPr="001131FC" w:rsidRDefault="00565FD5" w:rsidP="00AB62A3">
            <w:pPr>
              <w:ind w:right="305"/>
              <w:jc w:val="right"/>
              <w:rPr>
                <w:rFonts w:cs="Tahoma"/>
                <w:color w:val="000000"/>
                <w:sz w:val="14"/>
                <w:szCs w:val="14"/>
              </w:rPr>
            </w:pPr>
            <w:r w:rsidRPr="001131FC">
              <w:rPr>
                <w:rFonts w:cs="Tahoma"/>
                <w:color w:val="000000"/>
                <w:sz w:val="14"/>
                <w:szCs w:val="14"/>
              </w:rPr>
              <w:t>4 322</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741" w:type="pct"/>
            <w:tcBorders>
              <w:top w:val="nil"/>
              <w:left w:val="nil"/>
              <w:bottom w:val="nil"/>
              <w:right w:val="nil"/>
            </w:tcBorders>
            <w:vAlign w:val="center"/>
          </w:tcPr>
          <w:p w:rsidR="00565FD5" w:rsidRPr="001131FC" w:rsidRDefault="00565FD5" w:rsidP="00AB62A3">
            <w:pPr>
              <w:ind w:right="344"/>
              <w:jc w:val="right"/>
              <w:rPr>
                <w:rFonts w:cs="Tahoma"/>
                <w:color w:val="000000"/>
                <w:sz w:val="14"/>
                <w:szCs w:val="14"/>
              </w:rPr>
            </w:pPr>
            <w:r w:rsidRPr="001131FC">
              <w:rPr>
                <w:rFonts w:cs="Tahoma"/>
                <w:color w:val="000000"/>
                <w:sz w:val="14"/>
                <w:szCs w:val="14"/>
              </w:rPr>
              <w:t>0,13</w:t>
            </w:r>
          </w:p>
        </w:tc>
        <w:tc>
          <w:tcPr>
            <w:tcW w:w="520" w:type="pct"/>
            <w:tcBorders>
              <w:top w:val="nil"/>
              <w:left w:val="nil"/>
              <w:bottom w:val="nil"/>
            </w:tcBorders>
            <w:vAlign w:val="center"/>
          </w:tcPr>
          <w:p w:rsidR="00565FD5" w:rsidRPr="001131FC" w:rsidRDefault="00565FD5" w:rsidP="00AB62A3">
            <w:pPr>
              <w:ind w:right="58"/>
              <w:jc w:val="right"/>
              <w:rPr>
                <w:rFonts w:cs="Tahoma"/>
                <w:color w:val="000000"/>
                <w:sz w:val="14"/>
                <w:szCs w:val="14"/>
              </w:rPr>
            </w:pPr>
            <w:r w:rsidRPr="001131FC">
              <w:rPr>
                <w:rFonts w:cs="Tahoma"/>
                <w:color w:val="000000"/>
                <w:sz w:val="14"/>
                <w:szCs w:val="14"/>
              </w:rPr>
              <w:t>8 573</w:t>
            </w:r>
          </w:p>
        </w:tc>
      </w:tr>
      <w:tr w:rsidR="00565FD5" w:rsidRPr="001131FC" w:rsidTr="00AB62A3">
        <w:trPr>
          <w:trHeight w:val="284"/>
        </w:trPr>
        <w:tc>
          <w:tcPr>
            <w:tcW w:w="336" w:type="pct"/>
            <w:tcBorders>
              <w:top w:val="nil"/>
              <w:bottom w:val="nil"/>
              <w:right w:val="nil"/>
            </w:tcBorders>
            <w:vAlign w:val="center"/>
          </w:tcPr>
          <w:p w:rsidR="00565FD5" w:rsidRPr="001131FC" w:rsidRDefault="00565FD5" w:rsidP="00AB62A3">
            <w:pPr>
              <w:jc w:val="center"/>
              <w:rPr>
                <w:rFonts w:cs="Tahoma"/>
                <w:snapToGrid w:val="0"/>
                <w:color w:val="000000"/>
                <w:sz w:val="14"/>
                <w:szCs w:val="14"/>
              </w:rPr>
            </w:pPr>
            <w:r w:rsidRPr="001131FC">
              <w:rPr>
                <w:rFonts w:cs="Tahoma"/>
                <w:snapToGrid w:val="0"/>
                <w:color w:val="000000"/>
                <w:sz w:val="14"/>
                <w:szCs w:val="14"/>
              </w:rPr>
              <w:t>1999</w:t>
            </w:r>
          </w:p>
        </w:tc>
        <w:tc>
          <w:tcPr>
            <w:tcW w:w="465"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63 364</w:t>
            </w: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104 596</w:t>
            </w:r>
          </w:p>
        </w:tc>
        <w:tc>
          <w:tcPr>
            <w:tcW w:w="317"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1 651</w:t>
            </w:r>
          </w:p>
        </w:tc>
        <w:tc>
          <w:tcPr>
            <w:tcW w:w="593" w:type="pct"/>
            <w:tcBorders>
              <w:top w:val="nil"/>
              <w:left w:val="nil"/>
              <w:bottom w:val="nil"/>
              <w:right w:val="nil"/>
            </w:tcBorders>
            <w:vAlign w:val="center"/>
          </w:tcPr>
          <w:p w:rsidR="00565FD5" w:rsidRPr="001131FC" w:rsidRDefault="00565FD5" w:rsidP="00AB62A3">
            <w:pPr>
              <w:ind w:right="305"/>
              <w:jc w:val="right"/>
              <w:rPr>
                <w:rFonts w:cs="Tahoma"/>
                <w:color w:val="000000"/>
                <w:sz w:val="14"/>
                <w:szCs w:val="14"/>
              </w:rPr>
            </w:pPr>
            <w:r w:rsidRPr="001131FC">
              <w:rPr>
                <w:rFonts w:cs="Tahoma"/>
                <w:color w:val="000000"/>
                <w:sz w:val="14"/>
                <w:szCs w:val="14"/>
              </w:rPr>
              <w:t>3 907</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486" w:type="pct"/>
            <w:tcBorders>
              <w:top w:val="nil"/>
              <w:left w:val="nil"/>
              <w:bottom w:val="nil"/>
              <w:right w:val="nil"/>
            </w:tcBorders>
            <w:vAlign w:val="center"/>
          </w:tcPr>
          <w:p w:rsidR="00565FD5" w:rsidRPr="001131FC" w:rsidRDefault="00565FD5" w:rsidP="00AB62A3">
            <w:pPr>
              <w:jc w:val="right"/>
              <w:rPr>
                <w:rFonts w:cs="Tahoma"/>
                <w:color w:val="000000"/>
                <w:sz w:val="14"/>
                <w:szCs w:val="14"/>
              </w:rPr>
            </w:pPr>
            <w:r w:rsidRPr="001131FC">
              <w:rPr>
                <w:rFonts w:cs="Tahoma"/>
                <w:color w:val="000000"/>
                <w:sz w:val="14"/>
                <w:szCs w:val="14"/>
              </w:rPr>
              <w:t>67 841</w:t>
            </w:r>
          </w:p>
        </w:tc>
        <w:tc>
          <w:tcPr>
            <w:tcW w:w="277" w:type="pct"/>
            <w:tcBorders>
              <w:top w:val="nil"/>
              <w:left w:val="nil"/>
              <w:bottom w:val="nil"/>
              <w:right w:val="nil"/>
            </w:tcBorders>
            <w:vAlign w:val="center"/>
          </w:tcPr>
          <w:p w:rsidR="00565FD5" w:rsidRPr="001131FC" w:rsidRDefault="00565FD5" w:rsidP="00AB62A3">
            <w:pPr>
              <w:jc w:val="right"/>
              <w:rPr>
                <w:rFonts w:cs="Tahoma"/>
                <w:color w:val="000000"/>
                <w:sz w:val="14"/>
                <w:szCs w:val="14"/>
              </w:rPr>
            </w:pPr>
            <w:r w:rsidRPr="001131FC">
              <w:rPr>
                <w:rFonts w:cs="Tahoma"/>
                <w:color w:val="000000"/>
                <w:sz w:val="14"/>
                <w:szCs w:val="14"/>
              </w:rPr>
              <w:t>1 071</w:t>
            </w:r>
          </w:p>
        </w:tc>
        <w:tc>
          <w:tcPr>
            <w:tcW w:w="593" w:type="pct"/>
            <w:tcBorders>
              <w:top w:val="nil"/>
              <w:left w:val="nil"/>
              <w:bottom w:val="nil"/>
              <w:right w:val="nil"/>
            </w:tcBorders>
            <w:vAlign w:val="center"/>
          </w:tcPr>
          <w:p w:rsidR="00565FD5" w:rsidRPr="001131FC" w:rsidRDefault="00565FD5" w:rsidP="00AB62A3">
            <w:pPr>
              <w:ind w:right="305"/>
              <w:jc w:val="right"/>
              <w:rPr>
                <w:rFonts w:cs="Tahoma"/>
                <w:color w:val="000000"/>
                <w:sz w:val="14"/>
                <w:szCs w:val="14"/>
              </w:rPr>
            </w:pPr>
            <w:r w:rsidRPr="001131FC">
              <w:rPr>
                <w:rFonts w:cs="Tahoma"/>
                <w:color w:val="000000"/>
                <w:sz w:val="14"/>
                <w:szCs w:val="14"/>
              </w:rPr>
              <w:t>4 117</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741" w:type="pct"/>
            <w:tcBorders>
              <w:top w:val="nil"/>
              <w:left w:val="nil"/>
              <w:bottom w:val="nil"/>
              <w:right w:val="nil"/>
            </w:tcBorders>
            <w:vAlign w:val="center"/>
          </w:tcPr>
          <w:p w:rsidR="00565FD5" w:rsidRPr="001131FC" w:rsidRDefault="00565FD5" w:rsidP="00AB62A3">
            <w:pPr>
              <w:ind w:right="344"/>
              <w:jc w:val="right"/>
              <w:rPr>
                <w:rFonts w:cs="Tahoma"/>
                <w:color w:val="000000"/>
                <w:sz w:val="14"/>
                <w:szCs w:val="14"/>
              </w:rPr>
            </w:pPr>
            <w:r w:rsidRPr="001131FC">
              <w:rPr>
                <w:rFonts w:cs="Tahoma"/>
                <w:color w:val="000000"/>
                <w:sz w:val="14"/>
                <w:szCs w:val="14"/>
              </w:rPr>
              <w:t>0,20</w:t>
            </w:r>
          </w:p>
        </w:tc>
        <w:tc>
          <w:tcPr>
            <w:tcW w:w="520" w:type="pct"/>
            <w:tcBorders>
              <w:top w:val="nil"/>
              <w:left w:val="nil"/>
              <w:bottom w:val="nil"/>
            </w:tcBorders>
            <w:vAlign w:val="center"/>
          </w:tcPr>
          <w:p w:rsidR="00565FD5" w:rsidRPr="001131FC" w:rsidRDefault="00565FD5" w:rsidP="00AB62A3">
            <w:pPr>
              <w:ind w:right="58"/>
              <w:jc w:val="right"/>
              <w:rPr>
                <w:rFonts w:cs="Tahoma"/>
                <w:color w:val="000000"/>
                <w:sz w:val="14"/>
                <w:szCs w:val="14"/>
              </w:rPr>
            </w:pPr>
            <w:r w:rsidRPr="001131FC">
              <w:rPr>
                <w:rFonts w:cs="Tahoma"/>
                <w:color w:val="000000"/>
                <w:sz w:val="14"/>
                <w:szCs w:val="14"/>
              </w:rPr>
              <w:t>8 171</w:t>
            </w:r>
          </w:p>
        </w:tc>
      </w:tr>
      <w:tr w:rsidR="00565FD5" w:rsidRPr="001131FC" w:rsidTr="00AB62A3">
        <w:trPr>
          <w:trHeight w:val="284"/>
        </w:trPr>
        <w:tc>
          <w:tcPr>
            <w:tcW w:w="336" w:type="pct"/>
            <w:tcBorders>
              <w:top w:val="nil"/>
              <w:bottom w:val="nil"/>
              <w:right w:val="nil"/>
            </w:tcBorders>
            <w:vAlign w:val="center"/>
          </w:tcPr>
          <w:p w:rsidR="00565FD5" w:rsidRPr="001131FC" w:rsidRDefault="00565FD5" w:rsidP="00AB62A3">
            <w:pPr>
              <w:jc w:val="center"/>
              <w:rPr>
                <w:rFonts w:cs="Tahoma"/>
                <w:snapToGrid w:val="0"/>
                <w:color w:val="000000"/>
                <w:sz w:val="14"/>
                <w:szCs w:val="14"/>
              </w:rPr>
            </w:pPr>
            <w:r w:rsidRPr="001131FC">
              <w:rPr>
                <w:rFonts w:cs="Tahoma"/>
                <w:snapToGrid w:val="0"/>
                <w:color w:val="000000"/>
                <w:sz w:val="14"/>
                <w:szCs w:val="14"/>
              </w:rPr>
              <w:t>2000</w:t>
            </w:r>
          </w:p>
        </w:tc>
        <w:tc>
          <w:tcPr>
            <w:tcW w:w="465"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64 252</w:t>
            </w: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166 658</w:t>
            </w:r>
          </w:p>
        </w:tc>
        <w:tc>
          <w:tcPr>
            <w:tcW w:w="317"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2 594</w:t>
            </w:r>
          </w:p>
        </w:tc>
        <w:tc>
          <w:tcPr>
            <w:tcW w:w="593" w:type="pct"/>
            <w:tcBorders>
              <w:top w:val="nil"/>
              <w:left w:val="nil"/>
              <w:bottom w:val="nil"/>
              <w:right w:val="nil"/>
            </w:tcBorders>
            <w:vAlign w:val="center"/>
          </w:tcPr>
          <w:p w:rsidR="00565FD5" w:rsidRPr="001131FC" w:rsidRDefault="00565FD5" w:rsidP="00AB62A3">
            <w:pPr>
              <w:ind w:right="305"/>
              <w:jc w:val="right"/>
              <w:rPr>
                <w:rFonts w:cs="Tahoma"/>
                <w:color w:val="000000"/>
                <w:sz w:val="14"/>
                <w:szCs w:val="14"/>
              </w:rPr>
            </w:pPr>
            <w:r w:rsidRPr="001131FC">
              <w:rPr>
                <w:rFonts w:cs="Tahoma"/>
                <w:color w:val="000000"/>
                <w:sz w:val="14"/>
                <w:szCs w:val="14"/>
              </w:rPr>
              <w:t>4 130</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486" w:type="pct"/>
            <w:tcBorders>
              <w:top w:val="nil"/>
              <w:left w:val="nil"/>
              <w:bottom w:val="nil"/>
              <w:right w:val="nil"/>
            </w:tcBorders>
            <w:vAlign w:val="center"/>
          </w:tcPr>
          <w:p w:rsidR="00565FD5" w:rsidRPr="001131FC" w:rsidRDefault="00565FD5" w:rsidP="00AB62A3">
            <w:pPr>
              <w:jc w:val="right"/>
              <w:rPr>
                <w:rFonts w:cs="Tahoma"/>
                <w:color w:val="000000"/>
                <w:sz w:val="14"/>
                <w:szCs w:val="14"/>
              </w:rPr>
            </w:pPr>
            <w:r w:rsidRPr="001131FC">
              <w:rPr>
                <w:rFonts w:cs="Tahoma"/>
                <w:color w:val="000000"/>
                <w:sz w:val="14"/>
                <w:szCs w:val="14"/>
              </w:rPr>
              <w:t>72 436</w:t>
            </w:r>
          </w:p>
        </w:tc>
        <w:tc>
          <w:tcPr>
            <w:tcW w:w="277" w:type="pct"/>
            <w:tcBorders>
              <w:top w:val="nil"/>
              <w:left w:val="nil"/>
              <w:bottom w:val="nil"/>
              <w:right w:val="nil"/>
            </w:tcBorders>
            <w:vAlign w:val="center"/>
          </w:tcPr>
          <w:p w:rsidR="00565FD5" w:rsidRPr="001131FC" w:rsidRDefault="00565FD5" w:rsidP="00AB62A3">
            <w:pPr>
              <w:jc w:val="right"/>
              <w:rPr>
                <w:rFonts w:cs="Tahoma"/>
                <w:color w:val="000000"/>
                <w:sz w:val="14"/>
                <w:szCs w:val="14"/>
              </w:rPr>
            </w:pPr>
            <w:r w:rsidRPr="001131FC">
              <w:rPr>
                <w:rFonts w:cs="Tahoma"/>
                <w:color w:val="000000"/>
                <w:sz w:val="14"/>
                <w:szCs w:val="14"/>
              </w:rPr>
              <w:t>1 127</w:t>
            </w:r>
          </w:p>
        </w:tc>
        <w:tc>
          <w:tcPr>
            <w:tcW w:w="593" w:type="pct"/>
            <w:tcBorders>
              <w:top w:val="nil"/>
              <w:left w:val="nil"/>
              <w:bottom w:val="nil"/>
              <w:right w:val="nil"/>
            </w:tcBorders>
            <w:vAlign w:val="center"/>
          </w:tcPr>
          <w:p w:rsidR="00565FD5" w:rsidRPr="001131FC" w:rsidRDefault="00565FD5" w:rsidP="00AB62A3">
            <w:pPr>
              <w:ind w:right="305"/>
              <w:jc w:val="right"/>
              <w:rPr>
                <w:rFonts w:cs="Tahoma"/>
                <w:color w:val="000000"/>
                <w:sz w:val="14"/>
                <w:szCs w:val="14"/>
              </w:rPr>
            </w:pPr>
            <w:r w:rsidRPr="001131FC">
              <w:rPr>
                <w:rFonts w:cs="Tahoma"/>
                <w:color w:val="000000"/>
                <w:sz w:val="14"/>
                <w:szCs w:val="14"/>
              </w:rPr>
              <w:t>4 335</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741" w:type="pct"/>
            <w:tcBorders>
              <w:top w:val="nil"/>
              <w:left w:val="nil"/>
              <w:bottom w:val="nil"/>
              <w:right w:val="nil"/>
            </w:tcBorders>
            <w:vAlign w:val="center"/>
          </w:tcPr>
          <w:p w:rsidR="00565FD5" w:rsidRPr="001131FC" w:rsidRDefault="00565FD5" w:rsidP="00AB62A3">
            <w:pPr>
              <w:ind w:right="344"/>
              <w:jc w:val="right"/>
              <w:rPr>
                <w:color w:val="000000"/>
                <w:sz w:val="14"/>
                <w:szCs w:val="14"/>
              </w:rPr>
            </w:pPr>
            <w:r w:rsidRPr="001131FC">
              <w:rPr>
                <w:color w:val="000000"/>
                <w:sz w:val="14"/>
                <w:szCs w:val="14"/>
              </w:rPr>
              <w:t>0,28</w:t>
            </w:r>
          </w:p>
        </w:tc>
        <w:tc>
          <w:tcPr>
            <w:tcW w:w="520" w:type="pct"/>
            <w:tcBorders>
              <w:top w:val="nil"/>
              <w:left w:val="nil"/>
              <w:bottom w:val="nil"/>
            </w:tcBorders>
            <w:vAlign w:val="center"/>
          </w:tcPr>
          <w:p w:rsidR="00565FD5" w:rsidRPr="001131FC" w:rsidRDefault="00565FD5" w:rsidP="00AB62A3">
            <w:pPr>
              <w:ind w:right="58"/>
              <w:jc w:val="right"/>
              <w:rPr>
                <w:color w:val="000000"/>
                <w:sz w:val="14"/>
                <w:szCs w:val="14"/>
              </w:rPr>
            </w:pPr>
            <w:r w:rsidRPr="001131FC">
              <w:rPr>
                <w:color w:val="000000"/>
                <w:sz w:val="14"/>
                <w:szCs w:val="14"/>
              </w:rPr>
              <w:t>9 17</w:t>
            </w:r>
            <w:r>
              <w:rPr>
                <w:color w:val="000000"/>
                <w:sz w:val="14"/>
                <w:szCs w:val="14"/>
              </w:rPr>
              <w:t>2</w:t>
            </w:r>
          </w:p>
        </w:tc>
      </w:tr>
      <w:tr w:rsidR="00565FD5" w:rsidRPr="001131FC" w:rsidTr="00AB62A3">
        <w:trPr>
          <w:trHeight w:val="284"/>
        </w:trPr>
        <w:tc>
          <w:tcPr>
            <w:tcW w:w="336" w:type="pct"/>
            <w:tcBorders>
              <w:top w:val="nil"/>
              <w:bottom w:val="nil"/>
              <w:right w:val="nil"/>
            </w:tcBorders>
            <w:vAlign w:val="center"/>
          </w:tcPr>
          <w:p w:rsidR="00565FD5" w:rsidRPr="001131FC" w:rsidRDefault="00565FD5" w:rsidP="00AB62A3">
            <w:pPr>
              <w:jc w:val="center"/>
              <w:rPr>
                <w:rFonts w:cs="Tahoma"/>
                <w:snapToGrid w:val="0"/>
                <w:color w:val="000000"/>
                <w:sz w:val="14"/>
                <w:szCs w:val="14"/>
              </w:rPr>
            </w:pPr>
            <w:r w:rsidRPr="001131FC">
              <w:rPr>
                <w:rFonts w:cs="Tahoma"/>
                <w:snapToGrid w:val="0"/>
                <w:color w:val="000000"/>
                <w:sz w:val="14"/>
                <w:szCs w:val="14"/>
              </w:rPr>
              <w:t>2001</w:t>
            </w:r>
          </w:p>
        </w:tc>
        <w:tc>
          <w:tcPr>
            <w:tcW w:w="465"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65 133</w:t>
            </w: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240 224</w:t>
            </w:r>
          </w:p>
        </w:tc>
        <w:tc>
          <w:tcPr>
            <w:tcW w:w="317"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3 688</w:t>
            </w:r>
          </w:p>
        </w:tc>
        <w:tc>
          <w:tcPr>
            <w:tcW w:w="593" w:type="pct"/>
            <w:tcBorders>
              <w:top w:val="nil"/>
              <w:left w:val="nil"/>
              <w:bottom w:val="nil"/>
              <w:right w:val="nil"/>
            </w:tcBorders>
            <w:vAlign w:val="center"/>
          </w:tcPr>
          <w:p w:rsidR="00565FD5" w:rsidRPr="001131FC" w:rsidRDefault="00565FD5" w:rsidP="00AB62A3">
            <w:pPr>
              <w:ind w:right="305"/>
              <w:jc w:val="right"/>
              <w:rPr>
                <w:color w:val="000000"/>
                <w:sz w:val="14"/>
                <w:szCs w:val="14"/>
              </w:rPr>
            </w:pPr>
            <w:r w:rsidRPr="001131FC">
              <w:rPr>
                <w:color w:val="000000"/>
                <w:sz w:val="14"/>
                <w:szCs w:val="14"/>
              </w:rPr>
              <w:t>3 021</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68 309</w:t>
            </w:r>
          </w:p>
        </w:tc>
        <w:tc>
          <w:tcPr>
            <w:tcW w:w="277" w:type="pct"/>
            <w:tcBorders>
              <w:top w:val="nil"/>
              <w:left w:val="nil"/>
              <w:bottom w:val="nil"/>
              <w:right w:val="nil"/>
            </w:tcBorders>
            <w:vAlign w:val="center"/>
          </w:tcPr>
          <w:p w:rsidR="00565FD5" w:rsidRPr="001131FC" w:rsidRDefault="00565FD5" w:rsidP="00AB62A3">
            <w:pPr>
              <w:jc w:val="right"/>
              <w:rPr>
                <w:rFonts w:cs="Tahoma"/>
                <w:color w:val="000000"/>
                <w:sz w:val="14"/>
                <w:szCs w:val="14"/>
              </w:rPr>
            </w:pPr>
            <w:r w:rsidRPr="001131FC">
              <w:rPr>
                <w:rFonts w:cs="Tahoma"/>
                <w:color w:val="000000"/>
                <w:sz w:val="14"/>
                <w:szCs w:val="14"/>
              </w:rPr>
              <w:t>1 049</w:t>
            </w:r>
          </w:p>
        </w:tc>
        <w:tc>
          <w:tcPr>
            <w:tcW w:w="593" w:type="pct"/>
            <w:tcBorders>
              <w:top w:val="nil"/>
              <w:left w:val="nil"/>
              <w:bottom w:val="nil"/>
              <w:right w:val="nil"/>
            </w:tcBorders>
            <w:vAlign w:val="center"/>
          </w:tcPr>
          <w:p w:rsidR="00565FD5" w:rsidRPr="001131FC" w:rsidRDefault="00565FD5" w:rsidP="00AB62A3">
            <w:pPr>
              <w:ind w:right="305"/>
              <w:jc w:val="right"/>
              <w:rPr>
                <w:rFonts w:cs="Tahoma"/>
                <w:color w:val="000000"/>
                <w:sz w:val="14"/>
                <w:szCs w:val="14"/>
              </w:rPr>
            </w:pPr>
            <w:r w:rsidRPr="001131FC">
              <w:rPr>
                <w:rFonts w:cs="Tahoma"/>
                <w:color w:val="000000"/>
                <w:sz w:val="14"/>
                <w:szCs w:val="14"/>
              </w:rPr>
              <w:t>4 033</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741" w:type="pct"/>
            <w:tcBorders>
              <w:top w:val="nil"/>
              <w:left w:val="nil"/>
              <w:bottom w:val="nil"/>
              <w:right w:val="nil"/>
            </w:tcBorders>
            <w:vAlign w:val="center"/>
          </w:tcPr>
          <w:p w:rsidR="00565FD5" w:rsidRPr="001131FC" w:rsidRDefault="00565FD5" w:rsidP="00AB62A3">
            <w:pPr>
              <w:ind w:right="344"/>
              <w:jc w:val="right"/>
              <w:rPr>
                <w:color w:val="000000"/>
                <w:sz w:val="14"/>
                <w:szCs w:val="14"/>
              </w:rPr>
            </w:pPr>
            <w:r w:rsidRPr="001131FC">
              <w:rPr>
                <w:color w:val="000000"/>
                <w:sz w:val="14"/>
                <w:szCs w:val="14"/>
              </w:rPr>
              <w:t>0,43</w:t>
            </w:r>
          </w:p>
        </w:tc>
        <w:tc>
          <w:tcPr>
            <w:tcW w:w="520" w:type="pct"/>
            <w:tcBorders>
              <w:top w:val="nil"/>
              <w:left w:val="nil"/>
              <w:bottom w:val="nil"/>
            </w:tcBorders>
            <w:vAlign w:val="center"/>
          </w:tcPr>
          <w:p w:rsidR="00565FD5" w:rsidRPr="001131FC" w:rsidRDefault="00565FD5" w:rsidP="00AB62A3">
            <w:pPr>
              <w:ind w:right="58"/>
              <w:jc w:val="right"/>
              <w:rPr>
                <w:color w:val="000000"/>
                <w:sz w:val="14"/>
                <w:szCs w:val="14"/>
              </w:rPr>
            </w:pPr>
            <w:r w:rsidRPr="001131FC">
              <w:rPr>
                <w:color w:val="000000"/>
                <w:sz w:val="14"/>
                <w:szCs w:val="14"/>
              </w:rPr>
              <w:t>8 613</w:t>
            </w:r>
          </w:p>
        </w:tc>
      </w:tr>
      <w:tr w:rsidR="00565FD5" w:rsidRPr="001131FC" w:rsidTr="00AB62A3">
        <w:trPr>
          <w:trHeight w:val="284"/>
        </w:trPr>
        <w:tc>
          <w:tcPr>
            <w:tcW w:w="336" w:type="pct"/>
            <w:tcBorders>
              <w:top w:val="nil"/>
              <w:bottom w:val="nil"/>
              <w:right w:val="nil"/>
            </w:tcBorders>
            <w:vAlign w:val="center"/>
          </w:tcPr>
          <w:p w:rsidR="00565FD5" w:rsidRPr="001131FC" w:rsidRDefault="00565FD5" w:rsidP="00AB62A3">
            <w:pPr>
              <w:jc w:val="center"/>
              <w:rPr>
                <w:rFonts w:cs="Tahoma"/>
                <w:snapToGrid w:val="0"/>
                <w:color w:val="000000"/>
                <w:sz w:val="14"/>
                <w:szCs w:val="14"/>
              </w:rPr>
            </w:pPr>
            <w:r w:rsidRPr="001131FC">
              <w:rPr>
                <w:rFonts w:cs="Tahoma"/>
                <w:snapToGrid w:val="0"/>
                <w:color w:val="000000"/>
                <w:sz w:val="14"/>
                <w:szCs w:val="14"/>
              </w:rPr>
              <w:t>2002</w:t>
            </w:r>
          </w:p>
        </w:tc>
        <w:tc>
          <w:tcPr>
            <w:tcW w:w="465"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66 008</w:t>
            </w: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350 476</w:t>
            </w:r>
          </w:p>
        </w:tc>
        <w:tc>
          <w:tcPr>
            <w:tcW w:w="317"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5 310</w:t>
            </w:r>
          </w:p>
        </w:tc>
        <w:tc>
          <w:tcPr>
            <w:tcW w:w="593" w:type="pct"/>
            <w:tcBorders>
              <w:top w:val="nil"/>
              <w:left w:val="nil"/>
              <w:bottom w:val="nil"/>
              <w:right w:val="nil"/>
            </w:tcBorders>
            <w:vAlign w:val="center"/>
          </w:tcPr>
          <w:p w:rsidR="00565FD5" w:rsidRPr="001131FC" w:rsidRDefault="00565FD5" w:rsidP="00AB62A3">
            <w:pPr>
              <w:ind w:right="305"/>
              <w:jc w:val="right"/>
              <w:rPr>
                <w:color w:val="000000"/>
                <w:sz w:val="14"/>
                <w:szCs w:val="14"/>
              </w:rPr>
            </w:pPr>
            <w:r w:rsidRPr="001131FC">
              <w:rPr>
                <w:color w:val="000000"/>
                <w:sz w:val="14"/>
                <w:szCs w:val="14"/>
              </w:rPr>
              <w:t>3 492</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72 520</w:t>
            </w:r>
          </w:p>
        </w:tc>
        <w:tc>
          <w:tcPr>
            <w:tcW w:w="277" w:type="pct"/>
            <w:tcBorders>
              <w:top w:val="nil"/>
              <w:left w:val="nil"/>
              <w:bottom w:val="nil"/>
              <w:right w:val="nil"/>
            </w:tcBorders>
            <w:vAlign w:val="center"/>
          </w:tcPr>
          <w:p w:rsidR="00565FD5" w:rsidRPr="001131FC" w:rsidRDefault="00565FD5" w:rsidP="00AB62A3">
            <w:pPr>
              <w:jc w:val="right"/>
              <w:rPr>
                <w:rFonts w:cs="Tahoma"/>
                <w:color w:val="000000"/>
                <w:sz w:val="14"/>
                <w:szCs w:val="14"/>
              </w:rPr>
            </w:pPr>
            <w:r w:rsidRPr="001131FC">
              <w:rPr>
                <w:rFonts w:cs="Tahoma"/>
                <w:color w:val="000000"/>
                <w:sz w:val="14"/>
                <w:szCs w:val="14"/>
              </w:rPr>
              <w:t>1 099</w:t>
            </w:r>
          </w:p>
        </w:tc>
        <w:tc>
          <w:tcPr>
            <w:tcW w:w="593" w:type="pct"/>
            <w:tcBorders>
              <w:top w:val="nil"/>
              <w:left w:val="nil"/>
              <w:bottom w:val="nil"/>
              <w:right w:val="nil"/>
            </w:tcBorders>
            <w:vAlign w:val="center"/>
          </w:tcPr>
          <w:p w:rsidR="00565FD5" w:rsidRPr="001131FC" w:rsidRDefault="00565FD5" w:rsidP="00AB62A3">
            <w:pPr>
              <w:ind w:right="305"/>
              <w:jc w:val="right"/>
              <w:rPr>
                <w:rFonts w:cs="Tahoma"/>
                <w:color w:val="000000"/>
                <w:sz w:val="14"/>
                <w:szCs w:val="14"/>
              </w:rPr>
            </w:pPr>
            <w:r w:rsidRPr="001131FC">
              <w:rPr>
                <w:rFonts w:cs="Tahoma"/>
                <w:color w:val="000000"/>
                <w:sz w:val="14"/>
                <w:szCs w:val="14"/>
              </w:rPr>
              <w:t>4 225</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741" w:type="pct"/>
            <w:tcBorders>
              <w:top w:val="nil"/>
              <w:left w:val="nil"/>
              <w:bottom w:val="nil"/>
              <w:right w:val="nil"/>
            </w:tcBorders>
            <w:vAlign w:val="center"/>
          </w:tcPr>
          <w:p w:rsidR="00565FD5" w:rsidRPr="001131FC" w:rsidRDefault="00565FD5" w:rsidP="00AB62A3">
            <w:pPr>
              <w:ind w:right="344"/>
              <w:jc w:val="right"/>
              <w:rPr>
                <w:color w:val="000000"/>
                <w:sz w:val="14"/>
                <w:szCs w:val="14"/>
              </w:rPr>
            </w:pPr>
            <w:r w:rsidRPr="001131FC">
              <w:rPr>
                <w:color w:val="000000"/>
                <w:sz w:val="14"/>
                <w:szCs w:val="14"/>
              </w:rPr>
              <w:t>0,61</w:t>
            </w:r>
          </w:p>
        </w:tc>
        <w:tc>
          <w:tcPr>
            <w:tcW w:w="520" w:type="pct"/>
            <w:tcBorders>
              <w:top w:val="nil"/>
              <w:left w:val="nil"/>
              <w:bottom w:val="nil"/>
            </w:tcBorders>
            <w:vAlign w:val="center"/>
          </w:tcPr>
          <w:p w:rsidR="00565FD5" w:rsidRPr="001131FC" w:rsidRDefault="00565FD5" w:rsidP="00AB62A3">
            <w:pPr>
              <w:ind w:right="58"/>
              <w:jc w:val="right"/>
              <w:rPr>
                <w:color w:val="000000"/>
                <w:sz w:val="14"/>
                <w:szCs w:val="14"/>
              </w:rPr>
            </w:pPr>
            <w:r w:rsidRPr="001131FC">
              <w:rPr>
                <w:color w:val="000000"/>
                <w:sz w:val="14"/>
                <w:szCs w:val="14"/>
              </w:rPr>
              <w:t>8 667</w:t>
            </w:r>
          </w:p>
        </w:tc>
      </w:tr>
      <w:tr w:rsidR="00565FD5" w:rsidRPr="001131FC" w:rsidTr="00AB62A3">
        <w:trPr>
          <w:trHeight w:val="284"/>
        </w:trPr>
        <w:tc>
          <w:tcPr>
            <w:tcW w:w="336" w:type="pct"/>
            <w:tcBorders>
              <w:top w:val="nil"/>
              <w:bottom w:val="nil"/>
              <w:right w:val="nil"/>
            </w:tcBorders>
            <w:vAlign w:val="center"/>
          </w:tcPr>
          <w:p w:rsidR="00565FD5" w:rsidRPr="001131FC" w:rsidRDefault="00565FD5" w:rsidP="00AB62A3">
            <w:pPr>
              <w:jc w:val="center"/>
              <w:rPr>
                <w:rFonts w:cs="Tahoma"/>
                <w:snapToGrid w:val="0"/>
                <w:color w:val="000000"/>
                <w:sz w:val="14"/>
                <w:szCs w:val="14"/>
              </w:rPr>
            </w:pPr>
            <w:r w:rsidRPr="001131FC">
              <w:rPr>
                <w:rFonts w:cs="Tahoma"/>
                <w:snapToGrid w:val="0"/>
                <w:color w:val="000000"/>
                <w:sz w:val="14"/>
                <w:szCs w:val="14"/>
              </w:rPr>
              <w:t>2003</w:t>
            </w:r>
          </w:p>
        </w:tc>
        <w:tc>
          <w:tcPr>
            <w:tcW w:w="465"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66 873</w:t>
            </w: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454 781</w:t>
            </w:r>
          </w:p>
        </w:tc>
        <w:tc>
          <w:tcPr>
            <w:tcW w:w="317"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6 801</w:t>
            </w:r>
          </w:p>
        </w:tc>
        <w:tc>
          <w:tcPr>
            <w:tcW w:w="593" w:type="pct"/>
            <w:tcBorders>
              <w:top w:val="nil"/>
              <w:left w:val="nil"/>
              <w:bottom w:val="nil"/>
              <w:right w:val="nil"/>
            </w:tcBorders>
            <w:vAlign w:val="center"/>
          </w:tcPr>
          <w:p w:rsidR="00565FD5" w:rsidRPr="001131FC" w:rsidRDefault="00565FD5" w:rsidP="00AB62A3">
            <w:pPr>
              <w:ind w:right="305"/>
              <w:jc w:val="right"/>
              <w:rPr>
                <w:color w:val="000000"/>
                <w:sz w:val="14"/>
                <w:szCs w:val="14"/>
              </w:rPr>
            </w:pPr>
            <w:r w:rsidRPr="001131FC">
              <w:rPr>
                <w:color w:val="000000"/>
                <w:sz w:val="14"/>
                <w:szCs w:val="14"/>
              </w:rPr>
              <w:t>4 559</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76 338</w:t>
            </w:r>
          </w:p>
        </w:tc>
        <w:tc>
          <w:tcPr>
            <w:tcW w:w="277" w:type="pct"/>
            <w:tcBorders>
              <w:top w:val="nil"/>
              <w:left w:val="nil"/>
              <w:bottom w:val="nil"/>
              <w:right w:val="nil"/>
            </w:tcBorders>
            <w:vAlign w:val="center"/>
          </w:tcPr>
          <w:p w:rsidR="00565FD5" w:rsidRPr="001131FC" w:rsidRDefault="00565FD5" w:rsidP="00AB62A3">
            <w:pPr>
              <w:jc w:val="right"/>
              <w:rPr>
                <w:rFonts w:cs="Tahoma"/>
                <w:color w:val="000000"/>
                <w:sz w:val="14"/>
                <w:szCs w:val="14"/>
              </w:rPr>
            </w:pPr>
            <w:r w:rsidRPr="001131FC">
              <w:rPr>
                <w:rFonts w:cs="Tahoma"/>
                <w:color w:val="000000"/>
                <w:sz w:val="14"/>
                <w:szCs w:val="14"/>
              </w:rPr>
              <w:t>1 142</w:t>
            </w:r>
          </w:p>
        </w:tc>
        <w:tc>
          <w:tcPr>
            <w:tcW w:w="593" w:type="pct"/>
            <w:tcBorders>
              <w:top w:val="nil"/>
              <w:left w:val="nil"/>
              <w:bottom w:val="nil"/>
              <w:right w:val="nil"/>
            </w:tcBorders>
            <w:vAlign w:val="center"/>
          </w:tcPr>
          <w:p w:rsidR="00565FD5" w:rsidRPr="001131FC" w:rsidRDefault="00565FD5" w:rsidP="00AB62A3">
            <w:pPr>
              <w:ind w:right="305"/>
              <w:jc w:val="right"/>
              <w:rPr>
                <w:rFonts w:cs="Tahoma"/>
                <w:color w:val="000000"/>
                <w:sz w:val="14"/>
                <w:szCs w:val="14"/>
              </w:rPr>
            </w:pPr>
            <w:r w:rsidRPr="001131FC">
              <w:rPr>
                <w:rFonts w:cs="Tahoma"/>
                <w:color w:val="000000"/>
                <w:sz w:val="14"/>
                <w:szCs w:val="14"/>
              </w:rPr>
              <w:t>4 390</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741" w:type="pct"/>
            <w:tcBorders>
              <w:top w:val="nil"/>
              <w:left w:val="nil"/>
              <w:bottom w:val="nil"/>
              <w:right w:val="nil"/>
            </w:tcBorders>
            <w:vAlign w:val="center"/>
          </w:tcPr>
          <w:p w:rsidR="00565FD5" w:rsidRPr="001131FC" w:rsidRDefault="00565FD5" w:rsidP="00AB62A3">
            <w:pPr>
              <w:ind w:right="344"/>
              <w:jc w:val="right"/>
              <w:rPr>
                <w:color w:val="000000"/>
                <w:sz w:val="14"/>
                <w:szCs w:val="14"/>
              </w:rPr>
            </w:pPr>
            <w:r w:rsidRPr="001131FC">
              <w:rPr>
                <w:color w:val="000000"/>
                <w:sz w:val="14"/>
                <w:szCs w:val="14"/>
              </w:rPr>
              <w:t>0,77</w:t>
            </w:r>
          </w:p>
        </w:tc>
        <w:tc>
          <w:tcPr>
            <w:tcW w:w="520" w:type="pct"/>
            <w:tcBorders>
              <w:top w:val="nil"/>
              <w:left w:val="nil"/>
              <w:bottom w:val="nil"/>
            </w:tcBorders>
            <w:vAlign w:val="center"/>
          </w:tcPr>
          <w:p w:rsidR="00565FD5" w:rsidRPr="001131FC" w:rsidRDefault="00565FD5" w:rsidP="00AB62A3">
            <w:pPr>
              <w:ind w:right="58"/>
              <w:jc w:val="right"/>
              <w:rPr>
                <w:color w:val="000000"/>
                <w:sz w:val="14"/>
                <w:szCs w:val="14"/>
              </w:rPr>
            </w:pPr>
            <w:r w:rsidRPr="001131FC">
              <w:rPr>
                <w:color w:val="000000"/>
                <w:sz w:val="14"/>
                <w:szCs w:val="14"/>
              </w:rPr>
              <w:t>8 790</w:t>
            </w:r>
          </w:p>
        </w:tc>
      </w:tr>
      <w:tr w:rsidR="00565FD5" w:rsidRPr="001131FC" w:rsidTr="00AB62A3">
        <w:trPr>
          <w:trHeight w:val="284"/>
        </w:trPr>
        <w:tc>
          <w:tcPr>
            <w:tcW w:w="336" w:type="pct"/>
            <w:tcBorders>
              <w:top w:val="nil"/>
              <w:bottom w:val="nil"/>
              <w:right w:val="nil"/>
            </w:tcBorders>
            <w:vAlign w:val="center"/>
          </w:tcPr>
          <w:p w:rsidR="00565FD5" w:rsidRPr="001131FC" w:rsidRDefault="00565FD5" w:rsidP="00AB62A3">
            <w:pPr>
              <w:jc w:val="center"/>
              <w:rPr>
                <w:rFonts w:cs="Tahoma"/>
                <w:snapToGrid w:val="0"/>
                <w:color w:val="000000"/>
                <w:sz w:val="14"/>
                <w:szCs w:val="14"/>
              </w:rPr>
            </w:pPr>
            <w:r w:rsidRPr="001131FC">
              <w:rPr>
                <w:rFonts w:cs="Tahoma"/>
                <w:snapToGrid w:val="0"/>
                <w:color w:val="000000"/>
                <w:sz w:val="14"/>
                <w:szCs w:val="14"/>
              </w:rPr>
              <w:t>2004</w:t>
            </w:r>
          </w:p>
        </w:tc>
        <w:tc>
          <w:tcPr>
            <w:tcW w:w="465"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67 723</w:t>
            </w: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559 033</w:t>
            </w:r>
          </w:p>
        </w:tc>
        <w:tc>
          <w:tcPr>
            <w:tcW w:w="317"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8 255</w:t>
            </w:r>
          </w:p>
        </w:tc>
        <w:tc>
          <w:tcPr>
            <w:tcW w:w="593" w:type="pct"/>
            <w:tcBorders>
              <w:top w:val="nil"/>
              <w:left w:val="nil"/>
              <w:bottom w:val="nil"/>
              <w:right w:val="nil"/>
            </w:tcBorders>
            <w:vAlign w:val="center"/>
          </w:tcPr>
          <w:p w:rsidR="00565FD5" w:rsidRPr="001131FC" w:rsidRDefault="00565FD5" w:rsidP="00AB62A3">
            <w:pPr>
              <w:ind w:right="305"/>
              <w:jc w:val="right"/>
              <w:rPr>
                <w:color w:val="000000"/>
                <w:sz w:val="14"/>
                <w:szCs w:val="14"/>
              </w:rPr>
            </w:pPr>
            <w:r w:rsidRPr="001131FC">
              <w:rPr>
                <w:color w:val="000000"/>
                <w:sz w:val="14"/>
                <w:szCs w:val="14"/>
              </w:rPr>
              <w:t>5 764</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83 486</w:t>
            </w:r>
          </w:p>
        </w:tc>
        <w:tc>
          <w:tcPr>
            <w:tcW w:w="277" w:type="pct"/>
            <w:tcBorders>
              <w:top w:val="nil"/>
              <w:left w:val="nil"/>
              <w:bottom w:val="nil"/>
              <w:right w:val="nil"/>
            </w:tcBorders>
            <w:vAlign w:val="center"/>
          </w:tcPr>
          <w:p w:rsidR="00565FD5" w:rsidRPr="001131FC" w:rsidRDefault="00565FD5" w:rsidP="00AB62A3">
            <w:pPr>
              <w:jc w:val="right"/>
              <w:rPr>
                <w:rFonts w:cs="Tahoma"/>
                <w:color w:val="000000"/>
                <w:sz w:val="14"/>
                <w:szCs w:val="14"/>
              </w:rPr>
            </w:pPr>
            <w:r w:rsidRPr="001131FC">
              <w:rPr>
                <w:rFonts w:cs="Tahoma"/>
                <w:color w:val="000000"/>
                <w:sz w:val="14"/>
                <w:szCs w:val="14"/>
              </w:rPr>
              <w:t>1 233</w:t>
            </w:r>
          </w:p>
        </w:tc>
        <w:tc>
          <w:tcPr>
            <w:tcW w:w="593" w:type="pct"/>
            <w:tcBorders>
              <w:top w:val="nil"/>
              <w:left w:val="nil"/>
              <w:bottom w:val="nil"/>
              <w:right w:val="nil"/>
            </w:tcBorders>
            <w:vAlign w:val="center"/>
          </w:tcPr>
          <w:p w:rsidR="00565FD5" w:rsidRPr="001131FC" w:rsidRDefault="00565FD5" w:rsidP="00AB62A3">
            <w:pPr>
              <w:ind w:right="305"/>
              <w:jc w:val="right"/>
              <w:rPr>
                <w:rFonts w:cs="Tahoma"/>
                <w:color w:val="000000"/>
                <w:sz w:val="14"/>
                <w:szCs w:val="14"/>
              </w:rPr>
            </w:pPr>
            <w:r w:rsidRPr="001131FC">
              <w:rPr>
                <w:rFonts w:cs="Tahoma"/>
                <w:color w:val="000000"/>
                <w:sz w:val="14"/>
                <w:szCs w:val="14"/>
              </w:rPr>
              <w:t>4 741</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741" w:type="pct"/>
            <w:tcBorders>
              <w:top w:val="nil"/>
              <w:left w:val="nil"/>
              <w:bottom w:val="nil"/>
              <w:right w:val="nil"/>
            </w:tcBorders>
            <w:vAlign w:val="center"/>
          </w:tcPr>
          <w:p w:rsidR="00565FD5" w:rsidRPr="001131FC" w:rsidRDefault="00565FD5" w:rsidP="00AB62A3">
            <w:pPr>
              <w:ind w:right="344"/>
              <w:jc w:val="right"/>
              <w:rPr>
                <w:color w:val="000000"/>
                <w:sz w:val="14"/>
                <w:szCs w:val="14"/>
              </w:rPr>
            </w:pPr>
            <w:r w:rsidRPr="001131FC">
              <w:rPr>
                <w:color w:val="000000"/>
                <w:sz w:val="14"/>
                <w:szCs w:val="14"/>
              </w:rPr>
              <w:t>0,81</w:t>
            </w:r>
          </w:p>
        </w:tc>
        <w:tc>
          <w:tcPr>
            <w:tcW w:w="520" w:type="pct"/>
            <w:tcBorders>
              <w:top w:val="nil"/>
              <w:left w:val="nil"/>
              <w:bottom w:val="nil"/>
            </w:tcBorders>
            <w:vAlign w:val="center"/>
          </w:tcPr>
          <w:p w:rsidR="00565FD5" w:rsidRPr="001131FC" w:rsidRDefault="00565FD5" w:rsidP="00AB62A3">
            <w:pPr>
              <w:ind w:right="58"/>
              <w:jc w:val="right"/>
              <w:rPr>
                <w:color w:val="000000"/>
                <w:sz w:val="14"/>
                <w:szCs w:val="14"/>
              </w:rPr>
            </w:pPr>
            <w:r w:rsidRPr="001131FC">
              <w:rPr>
                <w:color w:val="000000"/>
                <w:sz w:val="14"/>
                <w:szCs w:val="14"/>
              </w:rPr>
              <w:t>10 164</w:t>
            </w:r>
          </w:p>
        </w:tc>
      </w:tr>
      <w:tr w:rsidR="00565FD5" w:rsidRPr="001131FC" w:rsidTr="00AB62A3">
        <w:trPr>
          <w:trHeight w:val="284"/>
        </w:trPr>
        <w:tc>
          <w:tcPr>
            <w:tcW w:w="336" w:type="pct"/>
            <w:tcBorders>
              <w:top w:val="nil"/>
              <w:bottom w:val="nil"/>
              <w:right w:val="nil"/>
            </w:tcBorders>
            <w:vAlign w:val="center"/>
          </w:tcPr>
          <w:p w:rsidR="00565FD5" w:rsidRPr="001131FC" w:rsidRDefault="00565FD5" w:rsidP="00AB62A3">
            <w:pPr>
              <w:jc w:val="center"/>
              <w:rPr>
                <w:rFonts w:cs="Tahoma"/>
                <w:snapToGrid w:val="0"/>
                <w:color w:val="000000"/>
                <w:sz w:val="14"/>
                <w:szCs w:val="14"/>
              </w:rPr>
            </w:pPr>
            <w:r w:rsidRPr="001131FC">
              <w:rPr>
                <w:rFonts w:cs="Tahoma"/>
                <w:snapToGrid w:val="0"/>
                <w:color w:val="000000"/>
                <w:sz w:val="14"/>
                <w:szCs w:val="14"/>
              </w:rPr>
              <w:t>2005</w:t>
            </w:r>
          </w:p>
        </w:tc>
        <w:tc>
          <w:tcPr>
            <w:tcW w:w="465"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68 566</w:t>
            </w: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648 932</w:t>
            </w:r>
          </w:p>
        </w:tc>
        <w:tc>
          <w:tcPr>
            <w:tcW w:w="317"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9 464</w:t>
            </w:r>
          </w:p>
        </w:tc>
        <w:tc>
          <w:tcPr>
            <w:tcW w:w="593" w:type="pct"/>
            <w:tcBorders>
              <w:top w:val="nil"/>
              <w:left w:val="nil"/>
              <w:bottom w:val="nil"/>
              <w:right w:val="nil"/>
            </w:tcBorders>
            <w:vAlign w:val="center"/>
          </w:tcPr>
          <w:p w:rsidR="00565FD5" w:rsidRPr="001131FC" w:rsidRDefault="00565FD5" w:rsidP="00AB62A3">
            <w:pPr>
              <w:ind w:right="305"/>
              <w:jc w:val="right"/>
              <w:rPr>
                <w:color w:val="000000"/>
                <w:sz w:val="14"/>
                <w:szCs w:val="14"/>
              </w:rPr>
            </w:pPr>
            <w:r w:rsidRPr="001131FC">
              <w:rPr>
                <w:color w:val="000000"/>
                <w:sz w:val="14"/>
                <w:szCs w:val="14"/>
              </w:rPr>
              <w:t>7 022</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90 500</w:t>
            </w:r>
          </w:p>
        </w:tc>
        <w:tc>
          <w:tcPr>
            <w:tcW w:w="277" w:type="pct"/>
            <w:tcBorders>
              <w:top w:val="nil"/>
              <w:left w:val="nil"/>
              <w:bottom w:val="nil"/>
              <w:right w:val="nil"/>
            </w:tcBorders>
            <w:vAlign w:val="center"/>
          </w:tcPr>
          <w:p w:rsidR="00565FD5" w:rsidRPr="001131FC" w:rsidRDefault="00565FD5" w:rsidP="00AB62A3">
            <w:pPr>
              <w:jc w:val="right"/>
              <w:rPr>
                <w:rFonts w:cs="Tahoma"/>
                <w:color w:val="000000"/>
                <w:sz w:val="14"/>
                <w:szCs w:val="14"/>
              </w:rPr>
            </w:pPr>
            <w:r w:rsidRPr="001131FC">
              <w:rPr>
                <w:rFonts w:cs="Tahoma"/>
                <w:color w:val="000000"/>
                <w:sz w:val="14"/>
                <w:szCs w:val="14"/>
              </w:rPr>
              <w:t>1 320</w:t>
            </w:r>
          </w:p>
        </w:tc>
        <w:tc>
          <w:tcPr>
            <w:tcW w:w="593" w:type="pct"/>
            <w:tcBorders>
              <w:top w:val="nil"/>
              <w:left w:val="nil"/>
              <w:bottom w:val="nil"/>
              <w:right w:val="nil"/>
            </w:tcBorders>
            <w:vAlign w:val="center"/>
          </w:tcPr>
          <w:p w:rsidR="00565FD5" w:rsidRPr="001131FC" w:rsidRDefault="00565FD5" w:rsidP="00AB62A3">
            <w:pPr>
              <w:ind w:right="305"/>
              <w:jc w:val="right"/>
              <w:rPr>
                <w:rFonts w:cs="Tahoma"/>
                <w:color w:val="000000"/>
                <w:sz w:val="14"/>
                <w:szCs w:val="14"/>
              </w:rPr>
            </w:pPr>
            <w:r w:rsidRPr="001131FC">
              <w:rPr>
                <w:rFonts w:cs="Tahoma"/>
                <w:color w:val="000000"/>
                <w:sz w:val="14"/>
                <w:szCs w:val="14"/>
              </w:rPr>
              <w:t>5 07</w:t>
            </w:r>
            <w:r>
              <w:rPr>
                <w:rFonts w:cs="Tahoma"/>
                <w:color w:val="000000"/>
                <w:sz w:val="14"/>
                <w:szCs w:val="14"/>
              </w:rPr>
              <w:t>6</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741" w:type="pct"/>
            <w:tcBorders>
              <w:top w:val="nil"/>
              <w:left w:val="nil"/>
              <w:bottom w:val="nil"/>
              <w:right w:val="nil"/>
            </w:tcBorders>
            <w:vAlign w:val="center"/>
          </w:tcPr>
          <w:p w:rsidR="00565FD5" w:rsidRPr="001131FC" w:rsidRDefault="00565FD5" w:rsidP="00AB62A3">
            <w:pPr>
              <w:ind w:right="344"/>
              <w:jc w:val="right"/>
              <w:rPr>
                <w:color w:val="000000"/>
                <w:sz w:val="14"/>
                <w:szCs w:val="14"/>
              </w:rPr>
            </w:pPr>
            <w:r w:rsidRPr="001131FC">
              <w:rPr>
                <w:color w:val="000000"/>
                <w:sz w:val="14"/>
                <w:szCs w:val="14"/>
              </w:rPr>
              <w:t>0,83</w:t>
            </w:r>
          </w:p>
        </w:tc>
        <w:tc>
          <w:tcPr>
            <w:tcW w:w="520" w:type="pct"/>
            <w:tcBorders>
              <w:top w:val="nil"/>
              <w:left w:val="nil"/>
              <w:bottom w:val="nil"/>
            </w:tcBorders>
            <w:vAlign w:val="center"/>
          </w:tcPr>
          <w:p w:rsidR="00565FD5" w:rsidRPr="001131FC" w:rsidRDefault="00565FD5" w:rsidP="00AB62A3">
            <w:pPr>
              <w:ind w:right="58"/>
              <w:jc w:val="right"/>
              <w:rPr>
                <w:color w:val="000000"/>
                <w:sz w:val="14"/>
                <w:szCs w:val="14"/>
              </w:rPr>
            </w:pPr>
            <w:r w:rsidRPr="001131FC">
              <w:rPr>
                <w:color w:val="000000"/>
                <w:sz w:val="14"/>
                <w:szCs w:val="14"/>
              </w:rPr>
              <w:t>11 394</w:t>
            </w:r>
          </w:p>
        </w:tc>
      </w:tr>
      <w:tr w:rsidR="00565FD5" w:rsidRPr="001131FC" w:rsidTr="00AB62A3">
        <w:trPr>
          <w:trHeight w:val="284"/>
        </w:trPr>
        <w:tc>
          <w:tcPr>
            <w:tcW w:w="336" w:type="pct"/>
            <w:tcBorders>
              <w:top w:val="nil"/>
              <w:bottom w:val="nil"/>
              <w:right w:val="nil"/>
            </w:tcBorders>
            <w:vAlign w:val="center"/>
          </w:tcPr>
          <w:p w:rsidR="00565FD5" w:rsidRPr="001131FC" w:rsidRDefault="00565FD5" w:rsidP="00AB62A3">
            <w:pPr>
              <w:jc w:val="center"/>
              <w:rPr>
                <w:rFonts w:cs="Tahoma"/>
                <w:snapToGrid w:val="0"/>
                <w:color w:val="000000"/>
                <w:sz w:val="14"/>
                <w:szCs w:val="14"/>
              </w:rPr>
            </w:pPr>
            <w:r w:rsidRPr="001131FC">
              <w:rPr>
                <w:rFonts w:cs="Tahoma"/>
                <w:snapToGrid w:val="0"/>
                <w:color w:val="000000"/>
                <w:sz w:val="14"/>
                <w:szCs w:val="14"/>
              </w:rPr>
              <w:t>2006</w:t>
            </w:r>
          </w:p>
        </w:tc>
        <w:tc>
          <w:tcPr>
            <w:tcW w:w="465"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69 395</w:t>
            </w: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758 391</w:t>
            </w:r>
          </w:p>
        </w:tc>
        <w:tc>
          <w:tcPr>
            <w:tcW w:w="317"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10 929</w:t>
            </w:r>
          </w:p>
        </w:tc>
        <w:tc>
          <w:tcPr>
            <w:tcW w:w="593" w:type="pct"/>
            <w:tcBorders>
              <w:top w:val="nil"/>
              <w:left w:val="nil"/>
              <w:bottom w:val="nil"/>
              <w:right w:val="nil"/>
            </w:tcBorders>
            <w:vAlign w:val="center"/>
          </w:tcPr>
          <w:p w:rsidR="00565FD5" w:rsidRPr="001131FC" w:rsidRDefault="00565FD5" w:rsidP="00AB62A3">
            <w:pPr>
              <w:ind w:right="305"/>
              <w:jc w:val="right"/>
              <w:rPr>
                <w:color w:val="000000"/>
                <w:sz w:val="14"/>
                <w:szCs w:val="14"/>
              </w:rPr>
            </w:pPr>
            <w:r w:rsidRPr="001131FC">
              <w:rPr>
                <w:color w:val="000000"/>
                <w:sz w:val="14"/>
                <w:szCs w:val="14"/>
              </w:rPr>
              <w:t>7 586</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96 738</w:t>
            </w:r>
          </w:p>
        </w:tc>
        <w:tc>
          <w:tcPr>
            <w:tcW w:w="277" w:type="pct"/>
            <w:tcBorders>
              <w:top w:val="nil"/>
              <w:left w:val="nil"/>
              <w:bottom w:val="nil"/>
              <w:right w:val="nil"/>
            </w:tcBorders>
            <w:vAlign w:val="center"/>
          </w:tcPr>
          <w:p w:rsidR="00565FD5" w:rsidRPr="001131FC" w:rsidRDefault="00565FD5" w:rsidP="00AB62A3">
            <w:pPr>
              <w:jc w:val="right"/>
              <w:rPr>
                <w:rFonts w:cs="Tahoma"/>
                <w:color w:val="000000"/>
                <w:sz w:val="14"/>
                <w:szCs w:val="14"/>
              </w:rPr>
            </w:pPr>
            <w:r w:rsidRPr="001131FC">
              <w:rPr>
                <w:rFonts w:cs="Tahoma"/>
                <w:color w:val="000000"/>
                <w:sz w:val="14"/>
                <w:szCs w:val="14"/>
              </w:rPr>
              <w:t>1 394</w:t>
            </w:r>
          </w:p>
        </w:tc>
        <w:tc>
          <w:tcPr>
            <w:tcW w:w="593" w:type="pct"/>
            <w:tcBorders>
              <w:top w:val="nil"/>
              <w:left w:val="nil"/>
              <w:bottom w:val="nil"/>
              <w:right w:val="nil"/>
            </w:tcBorders>
            <w:vAlign w:val="center"/>
          </w:tcPr>
          <w:p w:rsidR="00565FD5" w:rsidRPr="001131FC" w:rsidRDefault="00565FD5" w:rsidP="00AB62A3">
            <w:pPr>
              <w:ind w:right="305"/>
              <w:jc w:val="right"/>
              <w:rPr>
                <w:rFonts w:cs="Tahoma"/>
                <w:color w:val="000000"/>
                <w:sz w:val="14"/>
                <w:szCs w:val="14"/>
              </w:rPr>
            </w:pPr>
            <w:r w:rsidRPr="001131FC">
              <w:rPr>
                <w:rFonts w:cs="Tahoma"/>
                <w:color w:val="000000"/>
                <w:sz w:val="14"/>
                <w:szCs w:val="14"/>
              </w:rPr>
              <w:t>5 361</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741" w:type="pct"/>
            <w:tcBorders>
              <w:top w:val="nil"/>
              <w:left w:val="nil"/>
              <w:bottom w:val="nil"/>
              <w:right w:val="nil"/>
            </w:tcBorders>
            <w:vAlign w:val="center"/>
          </w:tcPr>
          <w:p w:rsidR="00565FD5" w:rsidRPr="001131FC" w:rsidRDefault="00565FD5" w:rsidP="00AB62A3">
            <w:pPr>
              <w:ind w:right="344"/>
              <w:jc w:val="right"/>
              <w:rPr>
                <w:color w:val="000000"/>
                <w:sz w:val="14"/>
                <w:szCs w:val="14"/>
              </w:rPr>
            </w:pPr>
            <w:r w:rsidRPr="001131FC">
              <w:rPr>
                <w:color w:val="000000"/>
                <w:sz w:val="14"/>
                <w:szCs w:val="14"/>
              </w:rPr>
              <w:t>0,85</w:t>
            </w:r>
          </w:p>
        </w:tc>
        <w:tc>
          <w:tcPr>
            <w:tcW w:w="520" w:type="pct"/>
            <w:tcBorders>
              <w:top w:val="nil"/>
              <w:left w:val="nil"/>
              <w:bottom w:val="nil"/>
            </w:tcBorders>
            <w:vAlign w:val="center"/>
          </w:tcPr>
          <w:p w:rsidR="00565FD5" w:rsidRPr="001131FC" w:rsidRDefault="00565FD5" w:rsidP="00AB62A3">
            <w:pPr>
              <w:ind w:right="58"/>
              <w:jc w:val="right"/>
              <w:rPr>
                <w:color w:val="000000"/>
                <w:sz w:val="14"/>
                <w:szCs w:val="14"/>
              </w:rPr>
            </w:pPr>
            <w:r w:rsidRPr="001131FC">
              <w:rPr>
                <w:color w:val="000000"/>
                <w:sz w:val="14"/>
                <w:szCs w:val="14"/>
              </w:rPr>
              <w:t>12 900</w:t>
            </w:r>
          </w:p>
        </w:tc>
      </w:tr>
      <w:tr w:rsidR="00565FD5" w:rsidRPr="001131FC" w:rsidTr="00AB62A3">
        <w:trPr>
          <w:trHeight w:val="284"/>
        </w:trPr>
        <w:tc>
          <w:tcPr>
            <w:tcW w:w="336" w:type="pct"/>
            <w:tcBorders>
              <w:top w:val="nil"/>
              <w:bottom w:val="nil"/>
              <w:right w:val="nil"/>
            </w:tcBorders>
            <w:vAlign w:val="center"/>
          </w:tcPr>
          <w:p w:rsidR="00565FD5" w:rsidRPr="001131FC" w:rsidRDefault="00565FD5" w:rsidP="00AB62A3">
            <w:pPr>
              <w:jc w:val="center"/>
              <w:rPr>
                <w:rFonts w:cs="Tahoma"/>
                <w:snapToGrid w:val="0"/>
                <w:color w:val="000000"/>
                <w:sz w:val="14"/>
                <w:szCs w:val="14"/>
              </w:rPr>
            </w:pPr>
            <w:r w:rsidRPr="001131FC">
              <w:rPr>
                <w:rFonts w:cs="Tahoma"/>
                <w:snapToGrid w:val="0"/>
                <w:color w:val="000000"/>
                <w:sz w:val="14"/>
                <w:szCs w:val="14"/>
              </w:rPr>
              <w:t>2007</w:t>
            </w:r>
          </w:p>
        </w:tc>
        <w:tc>
          <w:tcPr>
            <w:tcW w:w="465"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70 215</w:t>
            </w: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843 178</w:t>
            </w:r>
          </w:p>
        </w:tc>
        <w:tc>
          <w:tcPr>
            <w:tcW w:w="317"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12 009</w:t>
            </w:r>
          </w:p>
        </w:tc>
        <w:tc>
          <w:tcPr>
            <w:tcW w:w="593" w:type="pct"/>
            <w:tcBorders>
              <w:top w:val="nil"/>
              <w:left w:val="nil"/>
              <w:bottom w:val="nil"/>
              <w:right w:val="nil"/>
            </w:tcBorders>
            <w:vAlign w:val="center"/>
          </w:tcPr>
          <w:p w:rsidR="00565FD5" w:rsidRPr="001131FC" w:rsidRDefault="00565FD5" w:rsidP="00AB62A3">
            <w:pPr>
              <w:ind w:right="305"/>
              <w:jc w:val="right"/>
              <w:rPr>
                <w:color w:val="000000"/>
                <w:sz w:val="14"/>
                <w:szCs w:val="14"/>
              </w:rPr>
            </w:pPr>
            <w:r w:rsidRPr="001131FC">
              <w:rPr>
                <w:color w:val="000000"/>
                <w:sz w:val="14"/>
                <w:szCs w:val="14"/>
              </w:rPr>
              <w:t>9 240</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101 255</w:t>
            </w:r>
          </w:p>
        </w:tc>
        <w:tc>
          <w:tcPr>
            <w:tcW w:w="277" w:type="pct"/>
            <w:tcBorders>
              <w:top w:val="nil"/>
              <w:left w:val="nil"/>
              <w:bottom w:val="nil"/>
              <w:right w:val="nil"/>
            </w:tcBorders>
            <w:vAlign w:val="center"/>
          </w:tcPr>
          <w:p w:rsidR="00565FD5" w:rsidRPr="001131FC" w:rsidRDefault="00565FD5" w:rsidP="00AB62A3">
            <w:pPr>
              <w:jc w:val="right"/>
              <w:rPr>
                <w:rFonts w:cs="Tahoma"/>
                <w:color w:val="000000"/>
                <w:sz w:val="14"/>
                <w:szCs w:val="14"/>
              </w:rPr>
            </w:pPr>
            <w:r w:rsidRPr="001131FC">
              <w:rPr>
                <w:rFonts w:cs="Tahoma"/>
                <w:color w:val="000000"/>
                <w:sz w:val="14"/>
                <w:szCs w:val="14"/>
              </w:rPr>
              <w:t>1 442</w:t>
            </w:r>
          </w:p>
        </w:tc>
        <w:tc>
          <w:tcPr>
            <w:tcW w:w="593" w:type="pct"/>
            <w:tcBorders>
              <w:top w:val="nil"/>
              <w:left w:val="nil"/>
              <w:bottom w:val="nil"/>
              <w:right w:val="nil"/>
            </w:tcBorders>
            <w:vAlign w:val="center"/>
          </w:tcPr>
          <w:p w:rsidR="00565FD5" w:rsidRPr="001131FC" w:rsidRDefault="00565FD5" w:rsidP="00AB62A3">
            <w:pPr>
              <w:ind w:right="305"/>
              <w:jc w:val="right"/>
              <w:rPr>
                <w:rFonts w:cs="Tahoma"/>
                <w:color w:val="000000"/>
                <w:sz w:val="14"/>
                <w:szCs w:val="14"/>
              </w:rPr>
            </w:pPr>
            <w:r w:rsidRPr="001131FC">
              <w:rPr>
                <w:rFonts w:cs="Tahoma"/>
                <w:color w:val="000000"/>
                <w:sz w:val="14"/>
                <w:szCs w:val="14"/>
              </w:rPr>
              <w:t>5 546</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741" w:type="pct"/>
            <w:tcBorders>
              <w:top w:val="nil"/>
              <w:left w:val="nil"/>
              <w:bottom w:val="nil"/>
              <w:right w:val="nil"/>
            </w:tcBorders>
            <w:vAlign w:val="center"/>
          </w:tcPr>
          <w:p w:rsidR="00565FD5" w:rsidRPr="001131FC" w:rsidRDefault="00565FD5" w:rsidP="00AB62A3">
            <w:pPr>
              <w:ind w:right="344"/>
              <w:jc w:val="right"/>
              <w:rPr>
                <w:color w:val="000000"/>
                <w:sz w:val="14"/>
                <w:szCs w:val="14"/>
              </w:rPr>
            </w:pPr>
            <w:r w:rsidRPr="001131FC">
              <w:rPr>
                <w:color w:val="000000"/>
                <w:sz w:val="14"/>
                <w:szCs w:val="14"/>
              </w:rPr>
              <w:t>0,86</w:t>
            </w:r>
          </w:p>
        </w:tc>
        <w:tc>
          <w:tcPr>
            <w:tcW w:w="520" w:type="pct"/>
            <w:tcBorders>
              <w:top w:val="nil"/>
              <w:left w:val="nil"/>
              <w:bottom w:val="nil"/>
            </w:tcBorders>
            <w:vAlign w:val="center"/>
          </w:tcPr>
          <w:p w:rsidR="00565FD5" w:rsidRPr="001131FC" w:rsidRDefault="00565FD5" w:rsidP="00AB62A3">
            <w:pPr>
              <w:ind w:right="58"/>
              <w:jc w:val="right"/>
              <w:rPr>
                <w:color w:val="000000"/>
                <w:sz w:val="14"/>
                <w:szCs w:val="14"/>
              </w:rPr>
            </w:pPr>
            <w:r w:rsidRPr="001131FC">
              <w:rPr>
                <w:color w:val="000000"/>
                <w:sz w:val="14"/>
                <w:szCs w:val="14"/>
              </w:rPr>
              <w:t>13 903</w:t>
            </w:r>
          </w:p>
        </w:tc>
      </w:tr>
      <w:tr w:rsidR="00565FD5" w:rsidRPr="001131FC" w:rsidTr="00AB62A3">
        <w:trPr>
          <w:trHeight w:val="284"/>
        </w:trPr>
        <w:tc>
          <w:tcPr>
            <w:tcW w:w="336" w:type="pct"/>
            <w:tcBorders>
              <w:top w:val="nil"/>
              <w:bottom w:val="nil"/>
              <w:right w:val="nil"/>
            </w:tcBorders>
            <w:vAlign w:val="center"/>
          </w:tcPr>
          <w:p w:rsidR="00565FD5" w:rsidRPr="001131FC" w:rsidRDefault="00565FD5" w:rsidP="00AB62A3">
            <w:pPr>
              <w:jc w:val="center"/>
              <w:rPr>
                <w:rFonts w:cs="Tahoma"/>
                <w:snapToGrid w:val="0"/>
                <w:color w:val="000000"/>
                <w:sz w:val="14"/>
                <w:szCs w:val="14"/>
              </w:rPr>
            </w:pPr>
            <w:r w:rsidRPr="001131FC">
              <w:rPr>
                <w:rFonts w:cs="Tahoma"/>
                <w:snapToGrid w:val="0"/>
                <w:color w:val="000000"/>
                <w:sz w:val="14"/>
                <w:szCs w:val="14"/>
              </w:rPr>
              <w:t>2008</w:t>
            </w:r>
          </w:p>
        </w:tc>
        <w:tc>
          <w:tcPr>
            <w:tcW w:w="465"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71 095</w:t>
            </w: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950 534</w:t>
            </w:r>
          </w:p>
        </w:tc>
        <w:tc>
          <w:tcPr>
            <w:tcW w:w="317"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13 370</w:t>
            </w:r>
          </w:p>
        </w:tc>
        <w:tc>
          <w:tcPr>
            <w:tcW w:w="593" w:type="pct"/>
            <w:tcBorders>
              <w:top w:val="nil"/>
              <w:left w:val="nil"/>
              <w:bottom w:val="nil"/>
              <w:right w:val="nil"/>
            </w:tcBorders>
            <w:vAlign w:val="center"/>
          </w:tcPr>
          <w:p w:rsidR="00565FD5" w:rsidRPr="001131FC" w:rsidRDefault="00565FD5" w:rsidP="00AB62A3">
            <w:pPr>
              <w:ind w:right="305"/>
              <w:jc w:val="right"/>
              <w:rPr>
                <w:color w:val="000000"/>
                <w:sz w:val="14"/>
                <w:szCs w:val="14"/>
              </w:rPr>
            </w:pPr>
            <w:r w:rsidRPr="001131FC">
              <w:rPr>
                <w:color w:val="000000"/>
                <w:sz w:val="14"/>
                <w:szCs w:val="14"/>
              </w:rPr>
              <w:t>10 438</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101 922</w:t>
            </w:r>
          </w:p>
        </w:tc>
        <w:tc>
          <w:tcPr>
            <w:tcW w:w="277" w:type="pct"/>
            <w:tcBorders>
              <w:top w:val="nil"/>
              <w:left w:val="nil"/>
              <w:bottom w:val="nil"/>
              <w:right w:val="nil"/>
            </w:tcBorders>
            <w:vAlign w:val="center"/>
          </w:tcPr>
          <w:p w:rsidR="00565FD5" w:rsidRPr="001131FC" w:rsidRDefault="00565FD5" w:rsidP="00AB62A3">
            <w:pPr>
              <w:jc w:val="right"/>
              <w:rPr>
                <w:rFonts w:cs="Tahoma"/>
                <w:color w:val="000000"/>
                <w:sz w:val="14"/>
                <w:szCs w:val="14"/>
              </w:rPr>
            </w:pPr>
            <w:r w:rsidRPr="001131FC">
              <w:rPr>
                <w:rFonts w:cs="Tahoma"/>
                <w:color w:val="000000"/>
                <w:sz w:val="14"/>
                <w:szCs w:val="14"/>
              </w:rPr>
              <w:t>1 434</w:t>
            </w:r>
          </w:p>
        </w:tc>
        <w:tc>
          <w:tcPr>
            <w:tcW w:w="593" w:type="pct"/>
            <w:tcBorders>
              <w:top w:val="nil"/>
              <w:left w:val="nil"/>
              <w:bottom w:val="nil"/>
              <w:right w:val="nil"/>
            </w:tcBorders>
            <w:vAlign w:val="center"/>
          </w:tcPr>
          <w:p w:rsidR="00565FD5" w:rsidRPr="001131FC" w:rsidRDefault="00565FD5" w:rsidP="00AB62A3">
            <w:pPr>
              <w:ind w:right="305"/>
              <w:jc w:val="right"/>
              <w:rPr>
                <w:rFonts w:cs="Tahoma"/>
                <w:color w:val="000000"/>
                <w:sz w:val="14"/>
                <w:szCs w:val="14"/>
              </w:rPr>
            </w:pPr>
            <w:r w:rsidRPr="001131FC">
              <w:rPr>
                <w:rFonts w:cs="Tahoma"/>
                <w:color w:val="000000"/>
                <w:sz w:val="14"/>
                <w:szCs w:val="14"/>
              </w:rPr>
              <w:t>5 51</w:t>
            </w:r>
            <w:r>
              <w:rPr>
                <w:rFonts w:cs="Tahoma"/>
                <w:color w:val="000000"/>
                <w:sz w:val="14"/>
                <w:szCs w:val="14"/>
              </w:rPr>
              <w:t>3</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741" w:type="pct"/>
            <w:tcBorders>
              <w:top w:val="nil"/>
              <w:left w:val="nil"/>
              <w:bottom w:val="nil"/>
              <w:right w:val="nil"/>
            </w:tcBorders>
            <w:vAlign w:val="center"/>
          </w:tcPr>
          <w:p w:rsidR="00565FD5" w:rsidRPr="001131FC" w:rsidRDefault="00565FD5" w:rsidP="00AB62A3">
            <w:pPr>
              <w:ind w:right="344"/>
              <w:jc w:val="right"/>
              <w:rPr>
                <w:color w:val="000000"/>
                <w:sz w:val="14"/>
                <w:szCs w:val="14"/>
              </w:rPr>
            </w:pPr>
            <w:r w:rsidRPr="001131FC">
              <w:rPr>
                <w:color w:val="000000"/>
                <w:sz w:val="14"/>
                <w:szCs w:val="14"/>
              </w:rPr>
              <w:t>0,89</w:t>
            </w:r>
          </w:p>
        </w:tc>
        <w:tc>
          <w:tcPr>
            <w:tcW w:w="520" w:type="pct"/>
            <w:tcBorders>
              <w:top w:val="nil"/>
              <w:left w:val="nil"/>
              <w:bottom w:val="nil"/>
            </w:tcBorders>
            <w:vAlign w:val="center"/>
          </w:tcPr>
          <w:p w:rsidR="00565FD5" w:rsidRPr="001131FC" w:rsidRDefault="00565FD5" w:rsidP="00AB62A3">
            <w:pPr>
              <w:ind w:right="58"/>
              <w:jc w:val="right"/>
              <w:rPr>
                <w:color w:val="000000"/>
                <w:sz w:val="14"/>
                <w:szCs w:val="14"/>
              </w:rPr>
            </w:pPr>
            <w:r w:rsidRPr="001131FC">
              <w:rPr>
                <w:color w:val="000000"/>
                <w:sz w:val="14"/>
                <w:szCs w:val="14"/>
              </w:rPr>
              <w:t>15 021</w:t>
            </w:r>
          </w:p>
        </w:tc>
      </w:tr>
      <w:tr w:rsidR="00565FD5" w:rsidRPr="001131FC" w:rsidTr="00AB62A3">
        <w:trPr>
          <w:trHeight w:val="284"/>
        </w:trPr>
        <w:tc>
          <w:tcPr>
            <w:tcW w:w="336" w:type="pct"/>
            <w:tcBorders>
              <w:top w:val="nil"/>
              <w:bottom w:val="nil"/>
              <w:right w:val="nil"/>
            </w:tcBorders>
            <w:vAlign w:val="center"/>
          </w:tcPr>
          <w:p w:rsidR="00565FD5" w:rsidRPr="001131FC" w:rsidRDefault="00565FD5" w:rsidP="00AB62A3">
            <w:pPr>
              <w:jc w:val="center"/>
              <w:rPr>
                <w:rFonts w:cs="Tahoma"/>
                <w:snapToGrid w:val="0"/>
                <w:color w:val="000000"/>
                <w:sz w:val="14"/>
                <w:szCs w:val="14"/>
              </w:rPr>
            </w:pPr>
            <w:r w:rsidRPr="001131FC">
              <w:rPr>
                <w:rFonts w:cs="Tahoma"/>
                <w:snapToGrid w:val="0"/>
                <w:color w:val="000000"/>
                <w:sz w:val="14"/>
                <w:szCs w:val="14"/>
              </w:rPr>
              <w:t>2009</w:t>
            </w:r>
          </w:p>
        </w:tc>
        <w:tc>
          <w:tcPr>
            <w:tcW w:w="465"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72 050</w:t>
            </w: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952 559</w:t>
            </w:r>
          </w:p>
        </w:tc>
        <w:tc>
          <w:tcPr>
            <w:tcW w:w="317"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13 221</w:t>
            </w:r>
          </w:p>
        </w:tc>
        <w:tc>
          <w:tcPr>
            <w:tcW w:w="593" w:type="pct"/>
            <w:tcBorders>
              <w:top w:val="nil"/>
              <w:left w:val="nil"/>
              <w:bottom w:val="nil"/>
              <w:right w:val="nil"/>
            </w:tcBorders>
            <w:vAlign w:val="center"/>
          </w:tcPr>
          <w:p w:rsidR="00565FD5" w:rsidRPr="001131FC" w:rsidRDefault="00565FD5" w:rsidP="00AB62A3">
            <w:pPr>
              <w:ind w:right="305"/>
              <w:jc w:val="right"/>
              <w:rPr>
                <w:color w:val="000000"/>
                <w:sz w:val="14"/>
                <w:szCs w:val="14"/>
              </w:rPr>
            </w:pPr>
            <w:r w:rsidRPr="001131FC">
              <w:rPr>
                <w:color w:val="000000"/>
                <w:sz w:val="14"/>
                <w:szCs w:val="14"/>
              </w:rPr>
              <w:t>8 559</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97 003</w:t>
            </w:r>
          </w:p>
        </w:tc>
        <w:tc>
          <w:tcPr>
            <w:tcW w:w="277" w:type="pct"/>
            <w:tcBorders>
              <w:top w:val="nil"/>
              <w:left w:val="nil"/>
              <w:bottom w:val="nil"/>
              <w:right w:val="nil"/>
            </w:tcBorders>
            <w:vAlign w:val="center"/>
          </w:tcPr>
          <w:p w:rsidR="00565FD5" w:rsidRPr="001131FC" w:rsidRDefault="00565FD5" w:rsidP="00AB62A3">
            <w:pPr>
              <w:jc w:val="right"/>
              <w:rPr>
                <w:rFonts w:cs="Tahoma"/>
                <w:color w:val="000000"/>
                <w:sz w:val="14"/>
                <w:szCs w:val="14"/>
              </w:rPr>
            </w:pPr>
            <w:r w:rsidRPr="001131FC">
              <w:rPr>
                <w:rFonts w:cs="Tahoma"/>
                <w:color w:val="000000"/>
                <w:sz w:val="14"/>
                <w:szCs w:val="14"/>
              </w:rPr>
              <w:t>1 346</w:t>
            </w:r>
          </w:p>
        </w:tc>
        <w:tc>
          <w:tcPr>
            <w:tcW w:w="593" w:type="pct"/>
            <w:tcBorders>
              <w:top w:val="nil"/>
              <w:left w:val="nil"/>
              <w:bottom w:val="nil"/>
              <w:right w:val="nil"/>
            </w:tcBorders>
            <w:vAlign w:val="center"/>
          </w:tcPr>
          <w:p w:rsidR="00565FD5" w:rsidRPr="001131FC" w:rsidRDefault="00565FD5" w:rsidP="00AB62A3">
            <w:pPr>
              <w:ind w:right="305"/>
              <w:jc w:val="right"/>
              <w:rPr>
                <w:rFonts w:cs="Tahoma"/>
                <w:color w:val="000000"/>
                <w:sz w:val="14"/>
                <w:szCs w:val="14"/>
              </w:rPr>
            </w:pPr>
            <w:r w:rsidRPr="001131FC">
              <w:rPr>
                <w:rFonts w:cs="Tahoma"/>
                <w:color w:val="000000"/>
                <w:sz w:val="14"/>
                <w:szCs w:val="14"/>
              </w:rPr>
              <w:t>5 177</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741" w:type="pct"/>
            <w:tcBorders>
              <w:top w:val="nil"/>
              <w:left w:val="nil"/>
              <w:bottom w:val="nil"/>
              <w:right w:val="nil"/>
            </w:tcBorders>
            <w:vAlign w:val="center"/>
          </w:tcPr>
          <w:p w:rsidR="00565FD5" w:rsidRPr="001131FC" w:rsidRDefault="00565FD5" w:rsidP="00AB62A3">
            <w:pPr>
              <w:ind w:right="344"/>
              <w:jc w:val="right"/>
              <w:rPr>
                <w:color w:val="000000"/>
                <w:sz w:val="14"/>
                <w:szCs w:val="14"/>
              </w:rPr>
            </w:pPr>
            <w:r w:rsidRPr="001131FC">
              <w:rPr>
                <w:color w:val="000000"/>
                <w:sz w:val="14"/>
                <w:szCs w:val="14"/>
              </w:rPr>
              <w:t>0,92</w:t>
            </w:r>
          </w:p>
        </w:tc>
        <w:tc>
          <w:tcPr>
            <w:tcW w:w="520" w:type="pct"/>
            <w:tcBorders>
              <w:top w:val="nil"/>
              <w:left w:val="nil"/>
              <w:bottom w:val="nil"/>
            </w:tcBorders>
            <w:vAlign w:val="center"/>
          </w:tcPr>
          <w:p w:rsidR="00565FD5" w:rsidRPr="001131FC" w:rsidRDefault="00565FD5" w:rsidP="00AB62A3">
            <w:pPr>
              <w:ind w:right="58"/>
              <w:jc w:val="right"/>
              <w:rPr>
                <w:color w:val="000000"/>
                <w:sz w:val="14"/>
                <w:szCs w:val="14"/>
              </w:rPr>
            </w:pPr>
            <w:r w:rsidRPr="001131FC">
              <w:rPr>
                <w:color w:val="000000"/>
                <w:sz w:val="14"/>
                <w:szCs w:val="14"/>
              </w:rPr>
              <w:t>14 413</w:t>
            </w:r>
          </w:p>
        </w:tc>
      </w:tr>
      <w:tr w:rsidR="00565FD5" w:rsidRPr="001131FC" w:rsidTr="00AB62A3">
        <w:trPr>
          <w:trHeight w:val="284"/>
        </w:trPr>
        <w:tc>
          <w:tcPr>
            <w:tcW w:w="336" w:type="pct"/>
            <w:tcBorders>
              <w:top w:val="nil"/>
              <w:bottom w:val="nil"/>
              <w:right w:val="nil"/>
            </w:tcBorders>
            <w:vAlign w:val="center"/>
          </w:tcPr>
          <w:p w:rsidR="00565FD5" w:rsidRPr="001131FC" w:rsidRDefault="00565FD5" w:rsidP="00AB62A3">
            <w:pPr>
              <w:jc w:val="center"/>
              <w:rPr>
                <w:rFonts w:cs="Tahoma"/>
                <w:snapToGrid w:val="0"/>
                <w:color w:val="000000"/>
                <w:sz w:val="14"/>
                <w:szCs w:val="14"/>
              </w:rPr>
            </w:pPr>
            <w:r w:rsidRPr="001131FC">
              <w:rPr>
                <w:rFonts w:cs="Tahoma"/>
                <w:snapToGrid w:val="0"/>
                <w:color w:val="000000"/>
                <w:sz w:val="14"/>
                <w:szCs w:val="14"/>
              </w:rPr>
              <w:lastRenderedPageBreak/>
              <w:t>2010</w:t>
            </w:r>
          </w:p>
        </w:tc>
        <w:tc>
          <w:tcPr>
            <w:tcW w:w="465"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73 003</w:t>
            </w: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1 098 799</w:t>
            </w:r>
          </w:p>
        </w:tc>
        <w:tc>
          <w:tcPr>
            <w:tcW w:w="317"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15 051</w:t>
            </w:r>
          </w:p>
        </w:tc>
        <w:tc>
          <w:tcPr>
            <w:tcW w:w="593" w:type="pct"/>
            <w:tcBorders>
              <w:top w:val="nil"/>
              <w:left w:val="nil"/>
              <w:bottom w:val="nil"/>
              <w:right w:val="nil"/>
            </w:tcBorders>
            <w:vAlign w:val="center"/>
          </w:tcPr>
          <w:p w:rsidR="00565FD5" w:rsidRPr="001131FC" w:rsidRDefault="00565FD5" w:rsidP="00AB62A3">
            <w:pPr>
              <w:ind w:right="305"/>
              <w:jc w:val="right"/>
              <w:rPr>
                <w:color w:val="000000"/>
                <w:sz w:val="14"/>
                <w:szCs w:val="14"/>
              </w:rPr>
            </w:pPr>
            <w:r w:rsidRPr="001131FC">
              <w:rPr>
                <w:color w:val="000000"/>
                <w:sz w:val="14"/>
                <w:szCs w:val="14"/>
              </w:rPr>
              <w:t>10 022</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 xml:space="preserve">105 886 </w:t>
            </w:r>
          </w:p>
        </w:tc>
        <w:tc>
          <w:tcPr>
            <w:tcW w:w="277" w:type="pct"/>
            <w:tcBorders>
              <w:top w:val="nil"/>
              <w:left w:val="nil"/>
              <w:bottom w:val="nil"/>
              <w:right w:val="nil"/>
            </w:tcBorders>
            <w:vAlign w:val="center"/>
          </w:tcPr>
          <w:p w:rsidR="00565FD5" w:rsidRPr="001131FC" w:rsidRDefault="00565FD5" w:rsidP="00AB62A3">
            <w:pPr>
              <w:jc w:val="right"/>
              <w:rPr>
                <w:rFonts w:cs="Tahoma"/>
                <w:color w:val="000000"/>
                <w:sz w:val="14"/>
                <w:szCs w:val="14"/>
              </w:rPr>
            </w:pPr>
            <w:r w:rsidRPr="001131FC">
              <w:rPr>
                <w:rFonts w:cs="Tahoma"/>
                <w:color w:val="000000"/>
                <w:sz w:val="14"/>
                <w:szCs w:val="14"/>
              </w:rPr>
              <w:t>1 450</w:t>
            </w:r>
          </w:p>
        </w:tc>
        <w:tc>
          <w:tcPr>
            <w:tcW w:w="593" w:type="pct"/>
            <w:tcBorders>
              <w:top w:val="nil"/>
              <w:left w:val="nil"/>
              <w:bottom w:val="nil"/>
              <w:right w:val="nil"/>
            </w:tcBorders>
            <w:vAlign w:val="center"/>
          </w:tcPr>
          <w:p w:rsidR="00565FD5" w:rsidRPr="001131FC" w:rsidRDefault="00565FD5" w:rsidP="00AB62A3">
            <w:pPr>
              <w:ind w:right="305"/>
              <w:jc w:val="right"/>
              <w:rPr>
                <w:rFonts w:cs="Tahoma"/>
                <w:color w:val="000000"/>
                <w:sz w:val="14"/>
                <w:szCs w:val="14"/>
              </w:rPr>
            </w:pPr>
            <w:r w:rsidRPr="001131FC">
              <w:rPr>
                <w:rFonts w:cs="Tahoma"/>
                <w:color w:val="000000"/>
                <w:sz w:val="14"/>
                <w:szCs w:val="14"/>
              </w:rPr>
              <w:t>5 578</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741" w:type="pct"/>
            <w:tcBorders>
              <w:top w:val="nil"/>
              <w:left w:val="nil"/>
              <w:bottom w:val="nil"/>
              <w:right w:val="nil"/>
            </w:tcBorders>
            <w:vAlign w:val="center"/>
          </w:tcPr>
          <w:p w:rsidR="00565FD5" w:rsidRPr="001131FC" w:rsidRDefault="00565FD5" w:rsidP="00AB62A3">
            <w:pPr>
              <w:ind w:right="344"/>
              <w:jc w:val="right"/>
              <w:rPr>
                <w:color w:val="000000"/>
                <w:sz w:val="14"/>
                <w:szCs w:val="14"/>
              </w:rPr>
            </w:pPr>
            <w:r w:rsidRPr="001131FC">
              <w:rPr>
                <w:color w:val="000000"/>
                <w:sz w:val="14"/>
                <w:szCs w:val="14"/>
              </w:rPr>
              <w:t>0,97</w:t>
            </w:r>
          </w:p>
        </w:tc>
        <w:tc>
          <w:tcPr>
            <w:tcW w:w="520" w:type="pct"/>
            <w:tcBorders>
              <w:top w:val="nil"/>
              <w:left w:val="nil"/>
              <w:bottom w:val="nil"/>
            </w:tcBorders>
            <w:vAlign w:val="center"/>
          </w:tcPr>
          <w:p w:rsidR="00565FD5" w:rsidRPr="001131FC" w:rsidRDefault="00565FD5" w:rsidP="00AB62A3">
            <w:pPr>
              <w:ind w:right="58"/>
              <w:jc w:val="right"/>
              <w:rPr>
                <w:color w:val="000000"/>
                <w:sz w:val="14"/>
                <w:szCs w:val="14"/>
              </w:rPr>
            </w:pPr>
            <w:r w:rsidRPr="001131FC">
              <w:rPr>
                <w:color w:val="000000"/>
                <w:sz w:val="14"/>
                <w:szCs w:val="14"/>
              </w:rPr>
              <w:t>15 571</w:t>
            </w:r>
          </w:p>
        </w:tc>
      </w:tr>
      <w:tr w:rsidR="00565FD5" w:rsidRPr="001131FC" w:rsidTr="00AB62A3">
        <w:trPr>
          <w:trHeight w:val="284"/>
        </w:trPr>
        <w:tc>
          <w:tcPr>
            <w:tcW w:w="336" w:type="pct"/>
            <w:tcBorders>
              <w:top w:val="nil"/>
              <w:bottom w:val="nil"/>
              <w:right w:val="nil"/>
            </w:tcBorders>
            <w:vAlign w:val="center"/>
          </w:tcPr>
          <w:p w:rsidR="00565FD5" w:rsidRPr="001131FC" w:rsidRDefault="00565FD5" w:rsidP="00AB62A3">
            <w:pPr>
              <w:jc w:val="center"/>
              <w:rPr>
                <w:rFonts w:cs="Tahoma"/>
                <w:snapToGrid w:val="0"/>
                <w:color w:val="000000"/>
                <w:sz w:val="14"/>
                <w:szCs w:val="14"/>
              </w:rPr>
            </w:pPr>
            <w:r w:rsidRPr="001131FC">
              <w:rPr>
                <w:rFonts w:cs="Tahoma"/>
                <w:snapToGrid w:val="0"/>
                <w:color w:val="000000"/>
                <w:sz w:val="14"/>
                <w:szCs w:val="14"/>
              </w:rPr>
              <w:t>2011</w:t>
            </w:r>
          </w:p>
        </w:tc>
        <w:tc>
          <w:tcPr>
            <w:tcW w:w="465"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73 950</w:t>
            </w: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1 298 062</w:t>
            </w:r>
          </w:p>
        </w:tc>
        <w:tc>
          <w:tcPr>
            <w:tcW w:w="317"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17 553</w:t>
            </w:r>
          </w:p>
        </w:tc>
        <w:tc>
          <w:tcPr>
            <w:tcW w:w="593" w:type="pct"/>
            <w:tcBorders>
              <w:top w:val="nil"/>
              <w:left w:val="nil"/>
              <w:bottom w:val="nil"/>
              <w:right w:val="nil"/>
            </w:tcBorders>
            <w:vAlign w:val="center"/>
          </w:tcPr>
          <w:p w:rsidR="00565FD5" w:rsidRPr="001131FC" w:rsidRDefault="00565FD5" w:rsidP="00AB62A3">
            <w:pPr>
              <w:ind w:right="305"/>
              <w:jc w:val="right"/>
              <w:rPr>
                <w:color w:val="000000"/>
                <w:sz w:val="14"/>
                <w:szCs w:val="14"/>
              </w:rPr>
            </w:pPr>
            <w:r w:rsidRPr="001131FC">
              <w:rPr>
                <w:color w:val="000000"/>
                <w:sz w:val="14"/>
                <w:szCs w:val="14"/>
              </w:rPr>
              <w:t>10 469</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114 889</w:t>
            </w:r>
          </w:p>
        </w:tc>
        <w:tc>
          <w:tcPr>
            <w:tcW w:w="277" w:type="pct"/>
            <w:tcBorders>
              <w:top w:val="nil"/>
              <w:left w:val="nil"/>
              <w:bottom w:val="nil"/>
              <w:right w:val="nil"/>
            </w:tcBorders>
            <w:vAlign w:val="center"/>
          </w:tcPr>
          <w:p w:rsidR="00565FD5" w:rsidRPr="001131FC" w:rsidRDefault="00565FD5" w:rsidP="00AB62A3">
            <w:pPr>
              <w:jc w:val="right"/>
              <w:rPr>
                <w:rFonts w:cs="Tahoma"/>
                <w:color w:val="000000"/>
                <w:sz w:val="14"/>
                <w:szCs w:val="14"/>
              </w:rPr>
            </w:pPr>
            <w:r w:rsidRPr="001131FC">
              <w:rPr>
                <w:rFonts w:cs="Tahoma"/>
                <w:color w:val="000000"/>
                <w:sz w:val="14"/>
                <w:szCs w:val="14"/>
              </w:rPr>
              <w:t>1 554</w:t>
            </w:r>
          </w:p>
        </w:tc>
        <w:tc>
          <w:tcPr>
            <w:tcW w:w="593" w:type="pct"/>
            <w:tcBorders>
              <w:top w:val="nil"/>
              <w:left w:val="nil"/>
              <w:bottom w:val="nil"/>
              <w:right w:val="nil"/>
            </w:tcBorders>
            <w:vAlign w:val="center"/>
          </w:tcPr>
          <w:p w:rsidR="00565FD5" w:rsidRPr="001131FC" w:rsidRDefault="00565FD5" w:rsidP="00AB62A3">
            <w:pPr>
              <w:ind w:right="305"/>
              <w:jc w:val="right"/>
              <w:rPr>
                <w:rFonts w:cs="Tahoma"/>
                <w:color w:val="000000"/>
                <w:sz w:val="14"/>
                <w:szCs w:val="14"/>
              </w:rPr>
            </w:pPr>
            <w:r w:rsidRPr="001131FC">
              <w:rPr>
                <w:rFonts w:cs="Tahoma"/>
                <w:color w:val="000000"/>
                <w:sz w:val="14"/>
                <w:szCs w:val="14"/>
              </w:rPr>
              <w:t>5 975</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741" w:type="pct"/>
            <w:tcBorders>
              <w:top w:val="nil"/>
              <w:left w:val="nil"/>
              <w:bottom w:val="nil"/>
              <w:right w:val="nil"/>
            </w:tcBorders>
            <w:vAlign w:val="center"/>
          </w:tcPr>
          <w:p w:rsidR="00565FD5" w:rsidRPr="001131FC" w:rsidRDefault="00565FD5" w:rsidP="00AB62A3">
            <w:pPr>
              <w:ind w:right="344"/>
              <w:jc w:val="right"/>
              <w:rPr>
                <w:color w:val="000000"/>
                <w:sz w:val="14"/>
                <w:szCs w:val="14"/>
              </w:rPr>
            </w:pPr>
            <w:r w:rsidRPr="001131FC">
              <w:rPr>
                <w:color w:val="000000"/>
                <w:sz w:val="14"/>
                <w:szCs w:val="14"/>
              </w:rPr>
              <w:t>1,00</w:t>
            </w:r>
          </w:p>
        </w:tc>
        <w:tc>
          <w:tcPr>
            <w:tcW w:w="520" w:type="pct"/>
            <w:tcBorders>
              <w:top w:val="nil"/>
              <w:left w:val="nil"/>
              <w:bottom w:val="nil"/>
            </w:tcBorders>
            <w:vAlign w:val="center"/>
          </w:tcPr>
          <w:p w:rsidR="00565FD5" w:rsidRPr="001131FC" w:rsidRDefault="00565FD5" w:rsidP="00AB62A3">
            <w:pPr>
              <w:ind w:right="58"/>
              <w:jc w:val="right"/>
              <w:rPr>
                <w:color w:val="000000"/>
                <w:sz w:val="14"/>
                <w:szCs w:val="14"/>
              </w:rPr>
            </w:pPr>
            <w:r w:rsidRPr="001131FC">
              <w:rPr>
                <w:color w:val="000000"/>
                <w:sz w:val="14"/>
                <w:szCs w:val="14"/>
              </w:rPr>
              <w:t>17 468</w:t>
            </w:r>
          </w:p>
        </w:tc>
      </w:tr>
      <w:tr w:rsidR="00565FD5" w:rsidRPr="001131FC" w:rsidTr="00AB62A3">
        <w:trPr>
          <w:trHeight w:val="284"/>
        </w:trPr>
        <w:tc>
          <w:tcPr>
            <w:tcW w:w="336" w:type="pct"/>
            <w:tcBorders>
              <w:top w:val="nil"/>
              <w:bottom w:val="nil"/>
              <w:right w:val="nil"/>
            </w:tcBorders>
            <w:vAlign w:val="center"/>
          </w:tcPr>
          <w:p w:rsidR="00565FD5" w:rsidRPr="001131FC" w:rsidRDefault="00565FD5" w:rsidP="00AB62A3">
            <w:pPr>
              <w:jc w:val="right"/>
              <w:rPr>
                <w:rFonts w:cs="Tahoma"/>
                <w:snapToGrid w:val="0"/>
                <w:color w:val="000000"/>
                <w:sz w:val="14"/>
                <w:szCs w:val="14"/>
              </w:rPr>
            </w:pPr>
            <w:r w:rsidRPr="001131FC">
              <w:rPr>
                <w:rFonts w:cs="Tahoma"/>
                <w:snapToGrid w:val="0"/>
                <w:color w:val="000000"/>
                <w:sz w:val="14"/>
                <w:szCs w:val="14"/>
              </w:rPr>
              <w:t>2012 (5)</w:t>
            </w:r>
          </w:p>
        </w:tc>
        <w:tc>
          <w:tcPr>
            <w:tcW w:w="465"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74 885</w:t>
            </w: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1 434 712</w:t>
            </w:r>
          </w:p>
        </w:tc>
        <w:tc>
          <w:tcPr>
            <w:tcW w:w="317"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19 159</w:t>
            </w:r>
          </w:p>
        </w:tc>
        <w:tc>
          <w:tcPr>
            <w:tcW w:w="593" w:type="pct"/>
            <w:tcBorders>
              <w:top w:val="nil"/>
              <w:left w:val="nil"/>
              <w:bottom w:val="nil"/>
              <w:right w:val="nil"/>
            </w:tcBorders>
            <w:vAlign w:val="center"/>
          </w:tcPr>
          <w:p w:rsidR="00565FD5" w:rsidRPr="001131FC" w:rsidRDefault="00565FD5" w:rsidP="00AB62A3">
            <w:pPr>
              <w:ind w:right="305"/>
              <w:jc w:val="right"/>
              <w:rPr>
                <w:color w:val="000000"/>
                <w:sz w:val="14"/>
                <w:szCs w:val="14"/>
              </w:rPr>
            </w:pPr>
            <w:r w:rsidRPr="001131FC">
              <w:rPr>
                <w:color w:val="000000"/>
                <w:sz w:val="14"/>
                <w:szCs w:val="14"/>
              </w:rPr>
              <w:t>10 673</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486" w:type="pct"/>
            <w:tcBorders>
              <w:top w:val="nil"/>
              <w:left w:val="nil"/>
              <w:bottom w:val="nil"/>
              <w:right w:val="nil"/>
            </w:tcBorders>
            <w:vAlign w:val="center"/>
          </w:tcPr>
          <w:p w:rsidR="00565FD5" w:rsidRPr="001131FC" w:rsidRDefault="00565FD5" w:rsidP="00AB62A3">
            <w:pPr>
              <w:jc w:val="right"/>
              <w:rPr>
                <w:color w:val="000000"/>
                <w:sz w:val="14"/>
                <w:szCs w:val="14"/>
              </w:rPr>
            </w:pPr>
            <w:r w:rsidRPr="001131FC">
              <w:rPr>
                <w:color w:val="000000"/>
                <w:sz w:val="14"/>
                <w:szCs w:val="14"/>
              </w:rPr>
              <w:t>118 566</w:t>
            </w:r>
          </w:p>
        </w:tc>
        <w:tc>
          <w:tcPr>
            <w:tcW w:w="277" w:type="pct"/>
            <w:tcBorders>
              <w:top w:val="nil"/>
              <w:left w:val="nil"/>
              <w:bottom w:val="nil"/>
              <w:right w:val="nil"/>
            </w:tcBorders>
            <w:vAlign w:val="center"/>
          </w:tcPr>
          <w:p w:rsidR="00565FD5" w:rsidRPr="001131FC" w:rsidRDefault="00565FD5" w:rsidP="00AB62A3">
            <w:pPr>
              <w:jc w:val="right"/>
              <w:rPr>
                <w:rFonts w:cs="Tahoma"/>
                <w:color w:val="000000"/>
                <w:sz w:val="14"/>
                <w:szCs w:val="14"/>
              </w:rPr>
            </w:pPr>
            <w:r w:rsidRPr="001131FC">
              <w:rPr>
                <w:rFonts w:cs="Tahoma"/>
                <w:color w:val="000000"/>
                <w:sz w:val="14"/>
                <w:szCs w:val="14"/>
              </w:rPr>
              <w:t>1 583</w:t>
            </w:r>
          </w:p>
        </w:tc>
        <w:tc>
          <w:tcPr>
            <w:tcW w:w="593" w:type="pct"/>
            <w:tcBorders>
              <w:top w:val="nil"/>
              <w:left w:val="nil"/>
              <w:bottom w:val="nil"/>
              <w:right w:val="nil"/>
            </w:tcBorders>
            <w:vAlign w:val="center"/>
          </w:tcPr>
          <w:p w:rsidR="00565FD5" w:rsidRPr="001131FC" w:rsidRDefault="00565FD5" w:rsidP="00AB62A3">
            <w:pPr>
              <w:ind w:right="305"/>
              <w:jc w:val="right"/>
              <w:rPr>
                <w:rFonts w:cs="Tahoma"/>
                <w:color w:val="000000"/>
                <w:sz w:val="14"/>
                <w:szCs w:val="14"/>
              </w:rPr>
            </w:pPr>
            <w:r w:rsidRPr="001131FC">
              <w:rPr>
                <w:rFonts w:cs="Tahoma"/>
                <w:color w:val="000000"/>
                <w:sz w:val="14"/>
                <w:szCs w:val="14"/>
              </w:rPr>
              <w:t>6 089</w:t>
            </w:r>
          </w:p>
        </w:tc>
        <w:tc>
          <w:tcPr>
            <w:tcW w:w="94" w:type="pct"/>
            <w:tcBorders>
              <w:top w:val="nil"/>
              <w:left w:val="nil"/>
              <w:bottom w:val="nil"/>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741" w:type="pct"/>
            <w:tcBorders>
              <w:top w:val="nil"/>
              <w:left w:val="nil"/>
              <w:bottom w:val="nil"/>
              <w:right w:val="nil"/>
            </w:tcBorders>
            <w:vAlign w:val="center"/>
          </w:tcPr>
          <w:p w:rsidR="00565FD5" w:rsidRPr="001131FC" w:rsidRDefault="00565FD5" w:rsidP="00AB62A3">
            <w:pPr>
              <w:ind w:right="344"/>
              <w:jc w:val="right"/>
              <w:rPr>
                <w:color w:val="000000"/>
                <w:sz w:val="14"/>
                <w:szCs w:val="14"/>
              </w:rPr>
            </w:pPr>
            <w:r w:rsidRPr="001131FC">
              <w:rPr>
                <w:color w:val="000000"/>
                <w:sz w:val="14"/>
                <w:szCs w:val="14"/>
              </w:rPr>
              <w:t>1,06</w:t>
            </w:r>
          </w:p>
        </w:tc>
        <w:tc>
          <w:tcPr>
            <w:tcW w:w="520" w:type="pct"/>
            <w:tcBorders>
              <w:top w:val="nil"/>
              <w:left w:val="nil"/>
              <w:bottom w:val="nil"/>
            </w:tcBorders>
            <w:vAlign w:val="center"/>
          </w:tcPr>
          <w:p w:rsidR="00565FD5" w:rsidRPr="001131FC" w:rsidRDefault="00565FD5" w:rsidP="00AB62A3">
            <w:pPr>
              <w:ind w:right="58"/>
              <w:jc w:val="right"/>
              <w:rPr>
                <w:color w:val="000000"/>
                <w:sz w:val="14"/>
                <w:szCs w:val="14"/>
              </w:rPr>
            </w:pPr>
            <w:r w:rsidRPr="001131FC">
              <w:rPr>
                <w:color w:val="000000"/>
                <w:sz w:val="14"/>
                <w:szCs w:val="14"/>
              </w:rPr>
              <w:t>18 092</w:t>
            </w:r>
          </w:p>
        </w:tc>
      </w:tr>
      <w:tr w:rsidR="00565FD5" w:rsidRPr="001131FC" w:rsidTr="00AB62A3">
        <w:trPr>
          <w:trHeight w:val="284"/>
        </w:trPr>
        <w:tc>
          <w:tcPr>
            <w:tcW w:w="336" w:type="pct"/>
            <w:tcBorders>
              <w:top w:val="nil"/>
              <w:bottom w:val="single" w:sz="4" w:space="0" w:color="auto"/>
              <w:right w:val="nil"/>
            </w:tcBorders>
            <w:vAlign w:val="center"/>
          </w:tcPr>
          <w:p w:rsidR="00565FD5" w:rsidRPr="001131FC" w:rsidRDefault="00565FD5" w:rsidP="00AB62A3">
            <w:pPr>
              <w:jc w:val="right"/>
              <w:rPr>
                <w:rFonts w:cs="Tahoma"/>
                <w:snapToGrid w:val="0"/>
                <w:color w:val="000000"/>
                <w:sz w:val="14"/>
                <w:szCs w:val="14"/>
              </w:rPr>
            </w:pPr>
            <w:r w:rsidRPr="001131FC">
              <w:rPr>
                <w:rFonts w:cs="Tahoma"/>
                <w:snapToGrid w:val="0"/>
                <w:color w:val="000000"/>
                <w:sz w:val="14"/>
                <w:szCs w:val="14"/>
              </w:rPr>
              <w:t>2013 (6)</w:t>
            </w:r>
          </w:p>
        </w:tc>
        <w:tc>
          <w:tcPr>
            <w:tcW w:w="465" w:type="pct"/>
            <w:tcBorders>
              <w:top w:val="nil"/>
              <w:left w:val="nil"/>
              <w:bottom w:val="single" w:sz="4" w:space="0" w:color="auto"/>
              <w:right w:val="nil"/>
            </w:tcBorders>
            <w:vAlign w:val="center"/>
          </w:tcPr>
          <w:p w:rsidR="00565FD5" w:rsidRPr="001131FC" w:rsidRDefault="00565FD5" w:rsidP="00AB62A3">
            <w:pPr>
              <w:jc w:val="right"/>
              <w:rPr>
                <w:color w:val="000000"/>
                <w:sz w:val="14"/>
                <w:szCs w:val="14"/>
              </w:rPr>
            </w:pPr>
            <w:r w:rsidRPr="001131FC">
              <w:rPr>
                <w:color w:val="000000"/>
                <w:sz w:val="14"/>
                <w:szCs w:val="14"/>
              </w:rPr>
              <w:t>75 811</w:t>
            </w:r>
          </w:p>
        </w:tc>
        <w:tc>
          <w:tcPr>
            <w:tcW w:w="486" w:type="pct"/>
            <w:tcBorders>
              <w:top w:val="nil"/>
              <w:left w:val="nil"/>
              <w:bottom w:val="single" w:sz="4" w:space="0" w:color="auto"/>
              <w:right w:val="nil"/>
            </w:tcBorders>
            <w:vAlign w:val="center"/>
          </w:tcPr>
          <w:p w:rsidR="00565FD5" w:rsidRPr="001131FC" w:rsidRDefault="00565FD5" w:rsidP="00AB62A3">
            <w:pPr>
              <w:jc w:val="right"/>
              <w:rPr>
                <w:color w:val="000000"/>
                <w:sz w:val="14"/>
                <w:szCs w:val="14"/>
              </w:rPr>
            </w:pPr>
            <w:r w:rsidRPr="001131FC">
              <w:rPr>
                <w:color w:val="000000"/>
                <w:sz w:val="14"/>
                <w:szCs w:val="14"/>
              </w:rPr>
              <w:t>1 571 181</w:t>
            </w:r>
          </w:p>
        </w:tc>
        <w:tc>
          <w:tcPr>
            <w:tcW w:w="317" w:type="pct"/>
            <w:tcBorders>
              <w:top w:val="nil"/>
              <w:left w:val="nil"/>
              <w:bottom w:val="single" w:sz="4" w:space="0" w:color="auto"/>
              <w:right w:val="nil"/>
            </w:tcBorders>
            <w:vAlign w:val="center"/>
          </w:tcPr>
          <w:p w:rsidR="00565FD5" w:rsidRPr="001131FC" w:rsidRDefault="00565FD5" w:rsidP="00AB62A3">
            <w:pPr>
              <w:jc w:val="right"/>
              <w:rPr>
                <w:color w:val="000000"/>
                <w:sz w:val="14"/>
                <w:szCs w:val="14"/>
              </w:rPr>
            </w:pPr>
            <w:r w:rsidRPr="001131FC">
              <w:rPr>
                <w:color w:val="000000"/>
                <w:sz w:val="14"/>
                <w:szCs w:val="14"/>
              </w:rPr>
              <w:t>20 725</w:t>
            </w:r>
          </w:p>
        </w:tc>
        <w:tc>
          <w:tcPr>
            <w:tcW w:w="593" w:type="pct"/>
            <w:tcBorders>
              <w:top w:val="nil"/>
              <w:left w:val="nil"/>
              <w:bottom w:val="single" w:sz="4" w:space="0" w:color="auto"/>
              <w:right w:val="nil"/>
            </w:tcBorders>
            <w:vAlign w:val="center"/>
          </w:tcPr>
          <w:p w:rsidR="00565FD5" w:rsidRPr="001131FC" w:rsidRDefault="00565FD5" w:rsidP="00AB62A3">
            <w:pPr>
              <w:ind w:right="305"/>
              <w:jc w:val="right"/>
              <w:rPr>
                <w:color w:val="000000"/>
                <w:sz w:val="14"/>
                <w:szCs w:val="14"/>
              </w:rPr>
            </w:pPr>
            <w:r w:rsidRPr="001131FC">
              <w:rPr>
                <w:color w:val="000000"/>
                <w:sz w:val="14"/>
                <w:szCs w:val="14"/>
              </w:rPr>
              <w:t>11 318</w:t>
            </w:r>
          </w:p>
        </w:tc>
        <w:tc>
          <w:tcPr>
            <w:tcW w:w="94" w:type="pct"/>
            <w:tcBorders>
              <w:top w:val="nil"/>
              <w:left w:val="nil"/>
              <w:bottom w:val="single" w:sz="4" w:space="0" w:color="auto"/>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486" w:type="pct"/>
            <w:tcBorders>
              <w:top w:val="nil"/>
              <w:left w:val="nil"/>
              <w:bottom w:val="single" w:sz="4" w:space="0" w:color="auto"/>
              <w:right w:val="nil"/>
            </w:tcBorders>
            <w:vAlign w:val="center"/>
          </w:tcPr>
          <w:p w:rsidR="00565FD5" w:rsidRPr="001131FC" w:rsidRDefault="00565FD5" w:rsidP="00AB62A3">
            <w:pPr>
              <w:jc w:val="right"/>
              <w:rPr>
                <w:color w:val="000000"/>
                <w:sz w:val="14"/>
                <w:szCs w:val="14"/>
              </w:rPr>
            </w:pPr>
            <w:r w:rsidRPr="001131FC">
              <w:rPr>
                <w:color w:val="000000"/>
                <w:sz w:val="14"/>
                <w:szCs w:val="14"/>
              </w:rPr>
              <w:t>123 30</w:t>
            </w:r>
            <w:r>
              <w:rPr>
                <w:color w:val="000000"/>
                <w:sz w:val="14"/>
                <w:szCs w:val="14"/>
              </w:rPr>
              <w:t>8</w:t>
            </w:r>
          </w:p>
        </w:tc>
        <w:tc>
          <w:tcPr>
            <w:tcW w:w="277" w:type="pct"/>
            <w:tcBorders>
              <w:top w:val="nil"/>
              <w:left w:val="nil"/>
              <w:bottom w:val="single" w:sz="4" w:space="0" w:color="auto"/>
              <w:right w:val="nil"/>
            </w:tcBorders>
            <w:vAlign w:val="center"/>
          </w:tcPr>
          <w:p w:rsidR="00565FD5" w:rsidRPr="001131FC" w:rsidRDefault="00565FD5" w:rsidP="00AB62A3">
            <w:pPr>
              <w:jc w:val="right"/>
              <w:rPr>
                <w:rFonts w:cs="Tahoma"/>
                <w:color w:val="000000"/>
                <w:sz w:val="14"/>
                <w:szCs w:val="14"/>
              </w:rPr>
            </w:pPr>
            <w:r w:rsidRPr="001131FC">
              <w:rPr>
                <w:rFonts w:cs="Tahoma"/>
                <w:color w:val="000000"/>
                <w:sz w:val="14"/>
                <w:szCs w:val="14"/>
              </w:rPr>
              <w:t>1 627</w:t>
            </w:r>
          </w:p>
        </w:tc>
        <w:tc>
          <w:tcPr>
            <w:tcW w:w="593" w:type="pct"/>
            <w:tcBorders>
              <w:top w:val="nil"/>
              <w:left w:val="nil"/>
              <w:bottom w:val="single" w:sz="4" w:space="0" w:color="auto"/>
              <w:right w:val="nil"/>
            </w:tcBorders>
            <w:vAlign w:val="center"/>
          </w:tcPr>
          <w:p w:rsidR="00565FD5" w:rsidRPr="001131FC" w:rsidRDefault="00565FD5" w:rsidP="00AB62A3">
            <w:pPr>
              <w:ind w:right="305"/>
              <w:jc w:val="right"/>
              <w:rPr>
                <w:rFonts w:cs="Tahoma"/>
                <w:color w:val="000000"/>
                <w:sz w:val="14"/>
                <w:szCs w:val="14"/>
              </w:rPr>
            </w:pPr>
            <w:r w:rsidRPr="001131FC">
              <w:rPr>
                <w:rFonts w:cs="Tahoma"/>
                <w:color w:val="000000"/>
                <w:sz w:val="14"/>
                <w:szCs w:val="14"/>
              </w:rPr>
              <w:t>6 255</w:t>
            </w:r>
          </w:p>
        </w:tc>
        <w:tc>
          <w:tcPr>
            <w:tcW w:w="94" w:type="pct"/>
            <w:tcBorders>
              <w:top w:val="nil"/>
              <w:left w:val="nil"/>
              <w:bottom w:val="single" w:sz="4" w:space="0" w:color="auto"/>
              <w:right w:val="nil"/>
            </w:tcBorders>
            <w:vAlign w:val="center"/>
          </w:tcPr>
          <w:p w:rsidR="00565FD5" w:rsidRPr="001131FC" w:rsidRDefault="00565FD5" w:rsidP="00AB62A3">
            <w:pPr>
              <w:widowControl w:val="0"/>
              <w:jc w:val="right"/>
              <w:rPr>
                <w:rFonts w:cs="Tahoma"/>
                <w:snapToGrid w:val="0"/>
                <w:color w:val="000000"/>
                <w:sz w:val="14"/>
                <w:szCs w:val="14"/>
              </w:rPr>
            </w:pPr>
          </w:p>
        </w:tc>
        <w:tc>
          <w:tcPr>
            <w:tcW w:w="741" w:type="pct"/>
            <w:tcBorders>
              <w:top w:val="nil"/>
              <w:left w:val="nil"/>
              <w:bottom w:val="single" w:sz="4" w:space="0" w:color="auto"/>
              <w:right w:val="nil"/>
            </w:tcBorders>
            <w:vAlign w:val="center"/>
          </w:tcPr>
          <w:p w:rsidR="00565FD5" w:rsidRPr="001131FC" w:rsidRDefault="00565FD5" w:rsidP="00AB62A3">
            <w:pPr>
              <w:ind w:right="344"/>
              <w:jc w:val="right"/>
              <w:rPr>
                <w:color w:val="000000"/>
                <w:sz w:val="14"/>
                <w:szCs w:val="14"/>
              </w:rPr>
            </w:pPr>
            <w:r w:rsidRPr="001131FC">
              <w:rPr>
                <w:color w:val="000000"/>
                <w:sz w:val="14"/>
                <w:szCs w:val="14"/>
              </w:rPr>
              <w:t>1,10</w:t>
            </w:r>
          </w:p>
        </w:tc>
        <w:tc>
          <w:tcPr>
            <w:tcW w:w="520" w:type="pct"/>
            <w:tcBorders>
              <w:top w:val="nil"/>
              <w:left w:val="nil"/>
              <w:bottom w:val="single" w:sz="4" w:space="0" w:color="auto"/>
            </w:tcBorders>
            <w:vAlign w:val="center"/>
          </w:tcPr>
          <w:p w:rsidR="00565FD5" w:rsidRPr="001131FC" w:rsidRDefault="00565FD5" w:rsidP="00AB62A3">
            <w:pPr>
              <w:ind w:right="58"/>
              <w:jc w:val="right"/>
              <w:rPr>
                <w:color w:val="000000"/>
                <w:sz w:val="14"/>
                <w:szCs w:val="14"/>
              </w:rPr>
            </w:pPr>
            <w:r w:rsidRPr="001131FC">
              <w:rPr>
                <w:color w:val="000000"/>
                <w:sz w:val="14"/>
                <w:szCs w:val="14"/>
              </w:rPr>
              <w:t>18 834</w:t>
            </w:r>
          </w:p>
        </w:tc>
      </w:tr>
    </w:tbl>
    <w:p w:rsidR="00565FD5" w:rsidRPr="001131FC" w:rsidRDefault="00565FD5" w:rsidP="00565FD5">
      <w:pPr>
        <w:rPr>
          <w:rFonts w:cs="Tahoma"/>
          <w:color w:val="000000"/>
          <w:sz w:val="12"/>
          <w:szCs w:val="14"/>
        </w:rPr>
      </w:pPr>
      <w:r w:rsidRPr="001131FC">
        <w:rPr>
          <w:rFonts w:cs="Tahoma"/>
          <w:color w:val="000000"/>
          <w:sz w:val="12"/>
          <w:szCs w:val="14"/>
        </w:rPr>
        <w:t>Kaynak: Kalkınma Bakanlığı, TÜİK, OECD</w:t>
      </w:r>
    </w:p>
    <w:p w:rsidR="00565FD5" w:rsidRPr="001131FC" w:rsidRDefault="00565FD5" w:rsidP="00565FD5">
      <w:pPr>
        <w:rPr>
          <w:rFonts w:cs="Tahoma"/>
          <w:color w:val="000000"/>
          <w:sz w:val="12"/>
          <w:szCs w:val="14"/>
        </w:rPr>
      </w:pPr>
      <w:r w:rsidRPr="001131FC">
        <w:rPr>
          <w:rFonts w:cs="Tahoma"/>
          <w:color w:val="000000"/>
          <w:sz w:val="12"/>
          <w:szCs w:val="14"/>
        </w:rPr>
        <w:t>(1) TÜİK yıl ortası nüfus tahminidir.</w:t>
      </w:r>
    </w:p>
    <w:p w:rsidR="00565FD5" w:rsidRPr="001131FC" w:rsidRDefault="00565FD5" w:rsidP="00565FD5">
      <w:pPr>
        <w:rPr>
          <w:rFonts w:cs="Tahoma"/>
          <w:color w:val="000000"/>
          <w:sz w:val="12"/>
          <w:szCs w:val="14"/>
        </w:rPr>
      </w:pPr>
      <w:r w:rsidRPr="001131FC">
        <w:rPr>
          <w:rFonts w:cs="Tahoma"/>
          <w:color w:val="000000"/>
          <w:sz w:val="12"/>
          <w:szCs w:val="14"/>
        </w:rPr>
        <w:t>(2) Merkez Bankası döviz alış kuru kullanılarak hesaplanmıştır.</w:t>
      </w:r>
    </w:p>
    <w:p w:rsidR="00565FD5" w:rsidRPr="001131FC" w:rsidRDefault="00565FD5" w:rsidP="00565FD5">
      <w:pPr>
        <w:rPr>
          <w:rFonts w:cs="Tahoma"/>
          <w:color w:val="000000"/>
          <w:sz w:val="12"/>
          <w:szCs w:val="14"/>
        </w:rPr>
      </w:pPr>
      <w:r w:rsidRPr="001131FC">
        <w:rPr>
          <w:rFonts w:cs="Tahoma"/>
          <w:color w:val="000000"/>
          <w:sz w:val="12"/>
          <w:szCs w:val="14"/>
        </w:rPr>
        <w:t xml:space="preserve">(3) OECD tarafından GSYH için hesaplanan satın alma gücü paritesidir. Tabloda OECD tarafından 9 haneli olarak verilen katsayı 2 haneli olarak gösterilmiştir. </w:t>
      </w:r>
    </w:p>
    <w:p w:rsidR="00565FD5" w:rsidRPr="001131FC" w:rsidRDefault="00565FD5" w:rsidP="00565FD5">
      <w:pPr>
        <w:rPr>
          <w:rFonts w:cs="Tahoma"/>
          <w:color w:val="000000"/>
          <w:sz w:val="12"/>
          <w:szCs w:val="14"/>
        </w:rPr>
      </w:pPr>
      <w:r w:rsidRPr="001131FC">
        <w:rPr>
          <w:rFonts w:cs="Tahoma"/>
          <w:color w:val="000000"/>
          <w:sz w:val="12"/>
          <w:szCs w:val="14"/>
        </w:rPr>
        <w:t>Söz konusu katsayılar OECD tarafından geriye dönük olarak her yıl revize edilmektedir.</w:t>
      </w:r>
    </w:p>
    <w:p w:rsidR="00565FD5" w:rsidRPr="001131FC" w:rsidRDefault="00565FD5" w:rsidP="00565FD5">
      <w:pPr>
        <w:rPr>
          <w:rFonts w:cs="Tahoma"/>
          <w:color w:val="000000"/>
          <w:sz w:val="12"/>
          <w:szCs w:val="12"/>
        </w:rPr>
      </w:pPr>
      <w:r w:rsidRPr="001131FC">
        <w:rPr>
          <w:rFonts w:cs="Tahoma"/>
          <w:color w:val="000000"/>
          <w:sz w:val="12"/>
          <w:szCs w:val="12"/>
        </w:rPr>
        <w:t>(4) SAGP hesaplamasında OECD’nin 9 haneli katsayısı kullanılması nedeniyle tabloda verilen SAGP katsayısı kullanılarak SAGP’</w:t>
      </w:r>
      <w:r>
        <w:rPr>
          <w:rFonts w:cs="Tahoma"/>
          <w:color w:val="000000"/>
          <w:sz w:val="12"/>
          <w:szCs w:val="12"/>
        </w:rPr>
        <w:t>y</w:t>
      </w:r>
      <w:r w:rsidRPr="001131FC">
        <w:rPr>
          <w:rFonts w:cs="Tahoma"/>
          <w:color w:val="000000"/>
          <w:sz w:val="12"/>
          <w:szCs w:val="12"/>
        </w:rPr>
        <w:t>e göre fert başına milli gelire ulaşılamaz.</w:t>
      </w:r>
    </w:p>
    <w:p w:rsidR="00565FD5" w:rsidRDefault="00565FD5" w:rsidP="00565FD5">
      <w:pPr>
        <w:rPr>
          <w:rFonts w:cs="Tahoma"/>
          <w:color w:val="000000"/>
          <w:sz w:val="12"/>
          <w:szCs w:val="12"/>
        </w:rPr>
      </w:pPr>
      <w:r w:rsidRPr="001131FC">
        <w:rPr>
          <w:rFonts w:cs="Tahoma"/>
          <w:color w:val="000000"/>
          <w:sz w:val="12"/>
          <w:szCs w:val="12"/>
        </w:rPr>
        <w:t>(5) Gerçekleşme tahmini, (6)</w:t>
      </w:r>
      <w:r>
        <w:rPr>
          <w:rFonts w:cs="Tahoma"/>
          <w:color w:val="000000"/>
          <w:sz w:val="12"/>
          <w:szCs w:val="12"/>
        </w:rPr>
        <w:t xml:space="preserve"> </w:t>
      </w:r>
      <w:r w:rsidRPr="001131FC">
        <w:rPr>
          <w:rFonts w:cs="Tahoma"/>
          <w:color w:val="000000"/>
          <w:sz w:val="12"/>
          <w:szCs w:val="12"/>
        </w:rPr>
        <w:t>Program</w:t>
      </w:r>
    </w:p>
    <w:p w:rsidR="00565FD5" w:rsidRDefault="00565FD5" w:rsidP="00565FD5">
      <w:pPr>
        <w:rPr>
          <w:rFonts w:cs="Tahoma"/>
          <w:color w:val="000000"/>
          <w:sz w:val="12"/>
          <w:szCs w:val="12"/>
        </w:rPr>
      </w:pPr>
    </w:p>
    <w:p w:rsidR="00565FD5" w:rsidRPr="001131FC" w:rsidRDefault="00565FD5" w:rsidP="00565FD5">
      <w:pPr>
        <w:rPr>
          <w:rFonts w:cs="Tahoma"/>
          <w:color w:val="000000"/>
          <w:sz w:val="12"/>
          <w:szCs w:val="12"/>
        </w:rPr>
        <w:sectPr w:rsidR="00565FD5" w:rsidRPr="001131FC" w:rsidSect="00B50093">
          <w:pgSz w:w="16838" w:h="11906" w:orient="landscape" w:code="9"/>
          <w:pgMar w:top="2098" w:right="2948" w:bottom="2098" w:left="2948" w:header="1418" w:footer="1418" w:gutter="0"/>
          <w:cols w:space="708"/>
          <w:noEndnote/>
        </w:sectPr>
      </w:pPr>
    </w:p>
    <w:p w:rsidR="00565FD5" w:rsidRPr="001131FC" w:rsidRDefault="00565FD5" w:rsidP="00565FD5">
      <w:pPr>
        <w:spacing w:after="180"/>
        <w:ind w:firstLine="425"/>
        <w:rPr>
          <w:rFonts w:cs="Tahoma"/>
          <w:b/>
        </w:rPr>
      </w:pPr>
      <w:r w:rsidRPr="001131FC">
        <w:rPr>
          <w:rFonts w:cs="Tahoma"/>
          <w:b/>
          <w:szCs w:val="18"/>
        </w:rPr>
        <w:lastRenderedPageBreak/>
        <w:t>b) 2013 Yılı Hedefleri</w:t>
      </w:r>
    </w:p>
    <w:p w:rsidR="00565FD5" w:rsidRPr="001131FC" w:rsidRDefault="00565FD5" w:rsidP="00565FD5">
      <w:pPr>
        <w:spacing w:after="180"/>
        <w:ind w:firstLine="425"/>
        <w:rPr>
          <w:rFonts w:cs="Tahoma"/>
          <w:szCs w:val="18"/>
        </w:rPr>
      </w:pPr>
      <w:r w:rsidRPr="001131FC">
        <w:rPr>
          <w:rFonts w:cs="Tahoma"/>
          <w:szCs w:val="18"/>
        </w:rPr>
        <w:t>Ekonomik aktivitedeki yavaşlama ve olumsuz baz etkisi sonucunda büyümenin 2012 yılının ikinci yarısında da ılımlı biçimde devam etmesi beklenmektedir. Buna göre, 2012 yılında yüzde 3,2 olması beklenen GSYH artış hızının, 2013 yılında yüzde 4 olması hedeflenmektedir.</w:t>
      </w:r>
    </w:p>
    <w:p w:rsidR="00565FD5" w:rsidRPr="001131FC" w:rsidRDefault="00565FD5" w:rsidP="00565FD5">
      <w:pPr>
        <w:pStyle w:val="ResimYazs"/>
        <w:rPr>
          <w:b w:val="0"/>
        </w:rPr>
      </w:pPr>
      <w:bookmarkStart w:id="268" w:name="_Toc338704786"/>
      <w:bookmarkStart w:id="269" w:name="_Toc338711849"/>
      <w:r>
        <w:t xml:space="preserve">GRAFİK: </w:t>
      </w:r>
      <w:fldSimple w:instr=" SEQ GRAFİK: \* ARABIC ">
        <w:r>
          <w:rPr>
            <w:noProof/>
          </w:rPr>
          <w:t>1</w:t>
        </w:r>
      </w:fldSimple>
      <w:r w:rsidRPr="00E90071">
        <w:t xml:space="preserve">- Sektörel Büyüme Hızları </w:t>
      </w:r>
      <w:bookmarkEnd w:id="268"/>
      <w:bookmarkEnd w:id="269"/>
    </w:p>
    <w:p w:rsidR="00565FD5" w:rsidRPr="001131FC" w:rsidRDefault="00565FD5" w:rsidP="00565FD5">
      <w:pPr>
        <w:ind w:right="-10"/>
        <w:jc w:val="right"/>
        <w:rPr>
          <w:sz w:val="16"/>
          <w:szCs w:val="16"/>
        </w:rPr>
      </w:pPr>
      <w:r w:rsidRPr="001131FC">
        <w:rPr>
          <w:sz w:val="14"/>
          <w:szCs w:val="16"/>
        </w:rPr>
        <w:t xml:space="preserve">(Sabit Fiyatlarla, Yüzde Değişme) </w:t>
      </w:r>
    </w:p>
    <w:p w:rsidR="00565FD5" w:rsidRPr="001131FC" w:rsidRDefault="00565FD5" w:rsidP="00565FD5">
      <w:pPr>
        <w:rPr>
          <w:rFonts w:cs="Tahoma"/>
          <w:sz w:val="14"/>
          <w:szCs w:val="14"/>
        </w:rPr>
      </w:pPr>
      <w:r>
        <w:rPr>
          <w:noProof/>
          <w:lang w:eastAsia="tr-TR"/>
        </w:rPr>
        <w:drawing>
          <wp:inline distT="0" distB="0" distL="0" distR="0">
            <wp:extent cx="4505325" cy="2867025"/>
            <wp:effectExtent l="0" t="0" r="0" b="0"/>
            <wp:docPr id="1"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1131FC">
        <w:rPr>
          <w:rFonts w:cs="Tahoma"/>
          <w:sz w:val="14"/>
          <w:szCs w:val="14"/>
        </w:rPr>
        <w:t>Kaynak: Kalkınma Bakanlığı, TÜİK</w:t>
      </w:r>
    </w:p>
    <w:p w:rsidR="00565FD5" w:rsidRPr="001131FC" w:rsidRDefault="00565FD5" w:rsidP="00565FD5">
      <w:pPr>
        <w:rPr>
          <w:rFonts w:cs="Tahoma"/>
          <w:sz w:val="14"/>
          <w:szCs w:val="14"/>
        </w:rPr>
      </w:pPr>
      <w:r w:rsidRPr="001131FC">
        <w:rPr>
          <w:rFonts w:cs="Tahoma"/>
          <w:sz w:val="14"/>
          <w:szCs w:val="14"/>
        </w:rPr>
        <w:t>(1) Gerçekleşme tahmini</w:t>
      </w:r>
    </w:p>
    <w:p w:rsidR="00565FD5" w:rsidRPr="001131FC" w:rsidRDefault="00565FD5" w:rsidP="00565FD5">
      <w:pPr>
        <w:spacing w:after="240"/>
        <w:rPr>
          <w:rFonts w:cs="Tahoma"/>
          <w:sz w:val="14"/>
          <w:szCs w:val="14"/>
        </w:rPr>
      </w:pPr>
      <w:r w:rsidRPr="001131FC">
        <w:rPr>
          <w:rFonts w:cs="Tahoma"/>
          <w:sz w:val="14"/>
          <w:szCs w:val="14"/>
        </w:rPr>
        <w:t>(2) Program</w:t>
      </w:r>
    </w:p>
    <w:p w:rsidR="00565FD5" w:rsidRPr="001131FC" w:rsidRDefault="00565FD5" w:rsidP="00565FD5">
      <w:pPr>
        <w:autoSpaceDE w:val="0"/>
        <w:autoSpaceDN w:val="0"/>
        <w:adjustRightInd w:val="0"/>
        <w:rPr>
          <w:rFonts w:cs="Tahoma"/>
          <w:szCs w:val="18"/>
        </w:rPr>
      </w:pPr>
      <w:r w:rsidRPr="001131FC">
        <w:rPr>
          <w:rFonts w:cs="Tahoma"/>
          <w:szCs w:val="18"/>
        </w:rPr>
        <w:tab/>
        <w:t>Tarım sektörü katma değerinin reel olarak 2012 yılında yüzde 3,7 oranında artacağı, 2013 yılında ise yüzde 3 oranında artış göstereceği öngörülmektedir.</w:t>
      </w:r>
    </w:p>
    <w:p w:rsidR="00565FD5" w:rsidRPr="001131FC" w:rsidRDefault="00565FD5" w:rsidP="00565FD5">
      <w:pPr>
        <w:autoSpaceDE w:val="0"/>
        <w:autoSpaceDN w:val="0"/>
        <w:adjustRightInd w:val="0"/>
        <w:rPr>
          <w:rFonts w:cs="Tahoma"/>
          <w:szCs w:val="18"/>
        </w:rPr>
      </w:pPr>
    </w:p>
    <w:p w:rsidR="00565FD5" w:rsidRPr="001131FC" w:rsidRDefault="00565FD5" w:rsidP="00565FD5">
      <w:pPr>
        <w:autoSpaceDE w:val="0"/>
        <w:autoSpaceDN w:val="0"/>
        <w:adjustRightInd w:val="0"/>
        <w:rPr>
          <w:rFonts w:cs="Tahoma"/>
          <w:szCs w:val="18"/>
        </w:rPr>
      </w:pPr>
      <w:r w:rsidRPr="001131FC">
        <w:rPr>
          <w:rFonts w:cs="Tahoma"/>
          <w:szCs w:val="18"/>
        </w:rPr>
        <w:tab/>
        <w:t>Sanayi sektörü katma değerinin, 2012 yılında yüzde 3,1 oranında artması beklenmektedir. 2013 yılında ise sanayi sektörü katma değerinin yüzde 4 oranında artacağı öngörülmektedir.</w:t>
      </w:r>
    </w:p>
    <w:p w:rsidR="00565FD5" w:rsidRPr="001131FC" w:rsidRDefault="00565FD5" w:rsidP="00565FD5">
      <w:pPr>
        <w:autoSpaceDE w:val="0"/>
        <w:autoSpaceDN w:val="0"/>
        <w:adjustRightInd w:val="0"/>
        <w:rPr>
          <w:rFonts w:cs="Tahoma"/>
          <w:szCs w:val="18"/>
        </w:rPr>
      </w:pPr>
    </w:p>
    <w:p w:rsidR="00565FD5" w:rsidRPr="001131FC" w:rsidRDefault="00565FD5" w:rsidP="00565FD5">
      <w:pPr>
        <w:spacing w:after="180"/>
        <w:ind w:firstLine="425"/>
        <w:rPr>
          <w:rFonts w:cs="Tahoma"/>
        </w:rPr>
      </w:pPr>
      <w:r w:rsidRPr="001131FC">
        <w:rPr>
          <w:rFonts w:cs="Tahoma"/>
          <w:szCs w:val="18"/>
        </w:rPr>
        <w:t>2012 yılında yüzde 3,2 oranında artması beklenen hizmetler sektörü katma değerinin, 2013 yılında yüzde 4,2 oranında artacağı öngörülmektedir.</w:t>
      </w:r>
    </w:p>
    <w:p w:rsidR="00565FD5" w:rsidRPr="00124D60" w:rsidRDefault="00565FD5" w:rsidP="00565FD5">
      <w:pPr>
        <w:pStyle w:val="Balk4"/>
      </w:pPr>
      <w:bookmarkStart w:id="270" w:name="_Toc307601930"/>
      <w:bookmarkStart w:id="271" w:name="_Toc307670378"/>
      <w:bookmarkStart w:id="272" w:name="_Toc307701604"/>
      <w:bookmarkStart w:id="273" w:name="_Toc338505511"/>
      <w:bookmarkStart w:id="274" w:name="_Toc338505725"/>
      <w:bookmarkStart w:id="275" w:name="_Toc338505763"/>
      <w:bookmarkStart w:id="276" w:name="_Toc338523728"/>
      <w:bookmarkStart w:id="277" w:name="_Toc338523969"/>
      <w:bookmarkStart w:id="278" w:name="_Toc338526195"/>
      <w:bookmarkStart w:id="279" w:name="_Toc338673638"/>
      <w:bookmarkStart w:id="280" w:name="_Toc338711517"/>
      <w:r w:rsidRPr="00124D60">
        <w:t>2. İstihdam</w:t>
      </w:r>
      <w:bookmarkEnd w:id="270"/>
      <w:bookmarkEnd w:id="271"/>
      <w:bookmarkEnd w:id="272"/>
      <w:bookmarkEnd w:id="273"/>
      <w:bookmarkEnd w:id="274"/>
      <w:bookmarkEnd w:id="275"/>
      <w:bookmarkEnd w:id="276"/>
      <w:bookmarkEnd w:id="277"/>
      <w:bookmarkEnd w:id="278"/>
      <w:bookmarkEnd w:id="279"/>
      <w:bookmarkEnd w:id="280"/>
    </w:p>
    <w:p w:rsidR="00565FD5" w:rsidRPr="001131FC" w:rsidRDefault="00565FD5" w:rsidP="00565FD5">
      <w:pPr>
        <w:spacing w:after="180"/>
        <w:ind w:firstLine="425"/>
        <w:rPr>
          <w:b/>
          <w:color w:val="000000"/>
          <w:szCs w:val="18"/>
        </w:rPr>
      </w:pPr>
      <w:bookmarkStart w:id="281" w:name="_Toc118519935"/>
      <w:bookmarkStart w:id="282" w:name="_Toc118521929"/>
      <w:bookmarkStart w:id="283" w:name="_Toc118522312"/>
      <w:bookmarkStart w:id="284" w:name="_Toc118526705"/>
      <w:bookmarkStart w:id="285" w:name="_Toc118526920"/>
      <w:bookmarkStart w:id="286" w:name="_Toc118555818"/>
      <w:bookmarkStart w:id="287" w:name="_Toc118560421"/>
      <w:bookmarkStart w:id="288" w:name="_Toc149968439"/>
      <w:bookmarkStart w:id="289" w:name="_Toc150099127"/>
      <w:r w:rsidRPr="001131FC">
        <w:rPr>
          <w:b/>
          <w:color w:val="000000"/>
          <w:szCs w:val="18"/>
        </w:rPr>
        <w:t>a) Mevcut Durum</w:t>
      </w:r>
      <w:bookmarkEnd w:id="281"/>
      <w:bookmarkEnd w:id="282"/>
      <w:bookmarkEnd w:id="283"/>
      <w:bookmarkEnd w:id="284"/>
      <w:bookmarkEnd w:id="285"/>
      <w:bookmarkEnd w:id="286"/>
      <w:bookmarkEnd w:id="287"/>
    </w:p>
    <w:p w:rsidR="00565FD5" w:rsidRPr="001131FC" w:rsidRDefault="00565FD5" w:rsidP="00565FD5">
      <w:pPr>
        <w:spacing w:after="180"/>
        <w:ind w:firstLine="425"/>
        <w:rPr>
          <w:color w:val="000000"/>
          <w:szCs w:val="18"/>
        </w:rPr>
      </w:pPr>
      <w:bookmarkStart w:id="290" w:name="_Toc118525284"/>
      <w:bookmarkStart w:id="291" w:name="_Toc118555936"/>
      <w:bookmarkStart w:id="292" w:name="_Toc118568260"/>
      <w:bookmarkStart w:id="293" w:name="_Toc149926695"/>
      <w:bookmarkStart w:id="294" w:name="_Toc150099326"/>
      <w:bookmarkStart w:id="295" w:name="_Toc181274083"/>
      <w:bookmarkStart w:id="296" w:name="_Toc181286362"/>
      <w:bookmarkStart w:id="297" w:name="_Toc213071573"/>
      <w:bookmarkStart w:id="298" w:name="_Toc244339779"/>
      <w:r w:rsidRPr="001131FC">
        <w:rPr>
          <w:color w:val="000000"/>
          <w:szCs w:val="18"/>
        </w:rPr>
        <w:t xml:space="preserve">2011 yılında istihdam, 2010 yılına göre 1.516 bin kişi artarak 24.110 bin kişi olurken, işsizlik oranı yüzde 11,9’dan yüzde 9,8’e gerilemiştir. İşgücüne katılma oranı ise, 2011 yılında bir önceki yıla göre 1,1 puan artarak yüzde 49,9 olarak gerçekleşmiştir. </w:t>
      </w:r>
      <w:bookmarkEnd w:id="290"/>
      <w:bookmarkEnd w:id="291"/>
      <w:bookmarkEnd w:id="292"/>
      <w:bookmarkEnd w:id="293"/>
      <w:bookmarkEnd w:id="294"/>
      <w:bookmarkEnd w:id="295"/>
      <w:bookmarkEnd w:id="296"/>
    </w:p>
    <w:p w:rsidR="00565FD5" w:rsidRPr="00796BF8" w:rsidRDefault="00565FD5" w:rsidP="00565FD5">
      <w:pPr>
        <w:pStyle w:val="ResimYazs"/>
        <w:rPr>
          <w:color w:val="000000"/>
        </w:rPr>
      </w:pPr>
      <w:bookmarkStart w:id="299" w:name="_Toc275873806"/>
      <w:bookmarkStart w:id="300" w:name="_Toc276076430"/>
      <w:bookmarkStart w:id="301" w:name="_Toc307601594"/>
      <w:bookmarkStart w:id="302" w:name="_Toc307657836"/>
      <w:bookmarkStart w:id="303" w:name="_Toc307702092"/>
      <w:bookmarkStart w:id="304" w:name="_Toc338605956"/>
      <w:bookmarkStart w:id="305" w:name="_Toc338711731"/>
      <w:r>
        <w:t xml:space="preserve">TABLO II: </w:t>
      </w:r>
      <w:fldSimple w:instr=" SEQ TABLO_II: \* ARABIC ">
        <w:r>
          <w:rPr>
            <w:noProof/>
          </w:rPr>
          <w:t>4</w:t>
        </w:r>
      </w:fldSimple>
      <w:r w:rsidRPr="00796BF8">
        <w:rPr>
          <w:color w:val="000000"/>
        </w:rPr>
        <w:t>- Yıllar İtibarıyla Yurtiçi İşgücü Piyasasında Gelişmeler</w:t>
      </w:r>
      <w:bookmarkEnd w:id="297"/>
      <w:bookmarkEnd w:id="298"/>
      <w:bookmarkEnd w:id="299"/>
      <w:bookmarkEnd w:id="300"/>
      <w:bookmarkEnd w:id="301"/>
      <w:bookmarkEnd w:id="302"/>
      <w:bookmarkEnd w:id="303"/>
      <w:bookmarkEnd w:id="304"/>
      <w:bookmarkEnd w:id="305"/>
    </w:p>
    <w:p w:rsidR="00565FD5" w:rsidRPr="001131FC" w:rsidRDefault="00565FD5" w:rsidP="00565FD5">
      <w:pPr>
        <w:ind w:left="5670"/>
        <w:jc w:val="right"/>
        <w:rPr>
          <w:color w:val="000000"/>
          <w:sz w:val="14"/>
          <w:szCs w:val="16"/>
        </w:rPr>
      </w:pPr>
      <w:r w:rsidRPr="001131FC">
        <w:rPr>
          <w:color w:val="000000"/>
          <w:sz w:val="14"/>
          <w:szCs w:val="16"/>
        </w:rPr>
        <w:t>(15+Yaş, Bin Kişi)</w:t>
      </w:r>
    </w:p>
    <w:tbl>
      <w:tblPr>
        <w:tblW w:w="4999"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754"/>
        <w:gridCol w:w="890"/>
        <w:gridCol w:w="890"/>
        <w:gridCol w:w="890"/>
        <w:gridCol w:w="890"/>
        <w:gridCol w:w="889"/>
      </w:tblGrid>
      <w:tr w:rsidR="00565FD5" w:rsidRPr="001131FC" w:rsidTr="00AB62A3">
        <w:trPr>
          <w:trHeight w:val="397"/>
        </w:trPr>
        <w:tc>
          <w:tcPr>
            <w:tcW w:w="1911" w:type="pct"/>
            <w:tcBorders>
              <w:top w:val="single" w:sz="4" w:space="0" w:color="auto"/>
              <w:bottom w:val="single" w:sz="4" w:space="0" w:color="auto"/>
              <w:right w:val="nil"/>
            </w:tcBorders>
            <w:shd w:val="solid" w:color="FFFFFF" w:fill="auto"/>
            <w:vAlign w:val="center"/>
          </w:tcPr>
          <w:p w:rsidR="00565FD5" w:rsidRPr="001131FC" w:rsidRDefault="00565FD5" w:rsidP="00AB62A3">
            <w:pPr>
              <w:rPr>
                <w:snapToGrid w:val="0"/>
                <w:color w:val="000000"/>
                <w:sz w:val="15"/>
                <w:szCs w:val="15"/>
              </w:rPr>
            </w:pPr>
          </w:p>
        </w:tc>
        <w:tc>
          <w:tcPr>
            <w:tcW w:w="618" w:type="pct"/>
            <w:tcBorders>
              <w:top w:val="single" w:sz="4" w:space="0" w:color="auto"/>
              <w:bottom w:val="single" w:sz="4" w:space="0" w:color="auto"/>
            </w:tcBorders>
            <w:shd w:val="solid" w:color="FFFFFF" w:fill="auto"/>
            <w:vAlign w:val="center"/>
          </w:tcPr>
          <w:p w:rsidR="00565FD5" w:rsidRPr="001131FC" w:rsidRDefault="00565FD5" w:rsidP="00AB62A3">
            <w:pPr>
              <w:jc w:val="right"/>
              <w:rPr>
                <w:b/>
                <w:snapToGrid w:val="0"/>
                <w:color w:val="000000"/>
                <w:sz w:val="15"/>
                <w:szCs w:val="15"/>
              </w:rPr>
            </w:pPr>
            <w:r w:rsidRPr="001131FC">
              <w:rPr>
                <w:b/>
                <w:snapToGrid w:val="0"/>
                <w:color w:val="000000"/>
                <w:sz w:val="15"/>
                <w:szCs w:val="15"/>
              </w:rPr>
              <w:t>2007</w:t>
            </w:r>
          </w:p>
        </w:tc>
        <w:tc>
          <w:tcPr>
            <w:tcW w:w="618" w:type="pct"/>
            <w:tcBorders>
              <w:top w:val="single" w:sz="4" w:space="0" w:color="auto"/>
              <w:bottom w:val="single" w:sz="4" w:space="0" w:color="auto"/>
            </w:tcBorders>
            <w:shd w:val="solid" w:color="FFFFFF" w:fill="auto"/>
            <w:vAlign w:val="center"/>
          </w:tcPr>
          <w:p w:rsidR="00565FD5" w:rsidRPr="001131FC" w:rsidRDefault="00565FD5" w:rsidP="00AB62A3">
            <w:pPr>
              <w:jc w:val="right"/>
              <w:rPr>
                <w:b/>
                <w:snapToGrid w:val="0"/>
                <w:color w:val="000000"/>
                <w:sz w:val="15"/>
                <w:szCs w:val="15"/>
              </w:rPr>
            </w:pPr>
            <w:r w:rsidRPr="001131FC">
              <w:rPr>
                <w:b/>
                <w:snapToGrid w:val="0"/>
                <w:color w:val="000000"/>
                <w:sz w:val="15"/>
                <w:szCs w:val="15"/>
              </w:rPr>
              <w:t>2008</w:t>
            </w:r>
          </w:p>
        </w:tc>
        <w:tc>
          <w:tcPr>
            <w:tcW w:w="618" w:type="pct"/>
            <w:tcBorders>
              <w:top w:val="single" w:sz="4" w:space="0" w:color="auto"/>
              <w:bottom w:val="single" w:sz="4" w:space="0" w:color="auto"/>
            </w:tcBorders>
            <w:shd w:val="solid" w:color="FFFFFF" w:fill="auto"/>
            <w:vAlign w:val="center"/>
          </w:tcPr>
          <w:p w:rsidR="00565FD5" w:rsidRPr="001131FC" w:rsidRDefault="00565FD5" w:rsidP="00AB62A3">
            <w:pPr>
              <w:ind w:right="24"/>
              <w:jc w:val="right"/>
              <w:rPr>
                <w:b/>
                <w:snapToGrid w:val="0"/>
                <w:color w:val="000000"/>
                <w:sz w:val="15"/>
                <w:szCs w:val="15"/>
              </w:rPr>
            </w:pPr>
            <w:r w:rsidRPr="001131FC">
              <w:rPr>
                <w:b/>
                <w:snapToGrid w:val="0"/>
                <w:color w:val="000000"/>
                <w:sz w:val="15"/>
                <w:szCs w:val="15"/>
              </w:rPr>
              <w:t>2009(1)</w:t>
            </w:r>
          </w:p>
        </w:tc>
        <w:tc>
          <w:tcPr>
            <w:tcW w:w="618" w:type="pct"/>
            <w:tcBorders>
              <w:top w:val="single" w:sz="4" w:space="0" w:color="auto"/>
              <w:bottom w:val="single" w:sz="4" w:space="0" w:color="auto"/>
            </w:tcBorders>
            <w:shd w:val="solid" w:color="FFFFFF" w:fill="auto"/>
            <w:vAlign w:val="center"/>
          </w:tcPr>
          <w:p w:rsidR="00565FD5" w:rsidRPr="001131FC" w:rsidRDefault="00565FD5" w:rsidP="00AB62A3">
            <w:pPr>
              <w:jc w:val="right"/>
              <w:rPr>
                <w:b/>
                <w:snapToGrid w:val="0"/>
                <w:color w:val="000000"/>
                <w:sz w:val="15"/>
                <w:szCs w:val="15"/>
              </w:rPr>
            </w:pPr>
            <w:r w:rsidRPr="001131FC">
              <w:rPr>
                <w:b/>
                <w:snapToGrid w:val="0"/>
                <w:color w:val="000000"/>
                <w:sz w:val="15"/>
                <w:szCs w:val="15"/>
              </w:rPr>
              <w:t>2010</w:t>
            </w:r>
          </w:p>
        </w:tc>
        <w:tc>
          <w:tcPr>
            <w:tcW w:w="618" w:type="pct"/>
            <w:tcBorders>
              <w:top w:val="single" w:sz="4" w:space="0" w:color="auto"/>
              <w:bottom w:val="single" w:sz="4" w:space="0" w:color="auto"/>
            </w:tcBorders>
            <w:shd w:val="solid" w:color="FFFFFF" w:fill="auto"/>
            <w:vAlign w:val="center"/>
          </w:tcPr>
          <w:p w:rsidR="00565FD5" w:rsidRPr="001131FC" w:rsidRDefault="00565FD5" w:rsidP="00AB62A3">
            <w:pPr>
              <w:jc w:val="right"/>
              <w:rPr>
                <w:b/>
                <w:snapToGrid w:val="0"/>
                <w:color w:val="000000"/>
                <w:sz w:val="15"/>
                <w:szCs w:val="15"/>
              </w:rPr>
            </w:pPr>
            <w:r w:rsidRPr="001131FC">
              <w:rPr>
                <w:b/>
                <w:snapToGrid w:val="0"/>
                <w:color w:val="000000"/>
                <w:sz w:val="15"/>
                <w:szCs w:val="15"/>
              </w:rPr>
              <w:t>2011</w:t>
            </w:r>
          </w:p>
        </w:tc>
      </w:tr>
      <w:tr w:rsidR="00565FD5" w:rsidRPr="001131FC" w:rsidTr="00AB62A3">
        <w:trPr>
          <w:trHeight w:val="255"/>
        </w:trPr>
        <w:tc>
          <w:tcPr>
            <w:tcW w:w="1911" w:type="pct"/>
            <w:tcBorders>
              <w:top w:val="single" w:sz="4" w:space="0" w:color="auto"/>
              <w:bottom w:val="nil"/>
            </w:tcBorders>
            <w:shd w:val="solid" w:color="FFFFFF" w:fill="auto"/>
            <w:vAlign w:val="center"/>
          </w:tcPr>
          <w:p w:rsidR="00565FD5" w:rsidRPr="001131FC" w:rsidRDefault="00565FD5" w:rsidP="00AB62A3">
            <w:pPr>
              <w:ind w:left="60"/>
              <w:rPr>
                <w:rFonts w:eastAsia="Arial Unicode MS"/>
                <w:color w:val="000000"/>
                <w:sz w:val="15"/>
                <w:szCs w:val="15"/>
              </w:rPr>
            </w:pPr>
            <w:r w:rsidRPr="001131FC">
              <w:rPr>
                <w:rFonts w:eastAsia="Arial Unicode MS"/>
                <w:color w:val="000000"/>
                <w:sz w:val="15"/>
                <w:szCs w:val="15"/>
              </w:rPr>
              <w:t>Çalışma Çağındaki Nüfus</w:t>
            </w:r>
          </w:p>
        </w:tc>
        <w:tc>
          <w:tcPr>
            <w:tcW w:w="618" w:type="pct"/>
            <w:tcBorders>
              <w:top w:val="single" w:sz="4" w:space="0" w:color="auto"/>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49 994</w:t>
            </w:r>
          </w:p>
        </w:tc>
        <w:tc>
          <w:tcPr>
            <w:tcW w:w="618" w:type="pct"/>
            <w:tcBorders>
              <w:top w:val="single" w:sz="4" w:space="0" w:color="auto"/>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50 772</w:t>
            </w:r>
          </w:p>
        </w:tc>
        <w:tc>
          <w:tcPr>
            <w:tcW w:w="618" w:type="pct"/>
            <w:tcBorders>
              <w:top w:val="single" w:sz="4" w:space="0" w:color="auto"/>
              <w:bottom w:val="nil"/>
            </w:tcBorders>
            <w:shd w:val="solid" w:color="FFFFFF" w:fill="auto"/>
            <w:vAlign w:val="center"/>
          </w:tcPr>
          <w:p w:rsidR="00565FD5" w:rsidRPr="001131FC" w:rsidRDefault="00565FD5" w:rsidP="00AB62A3">
            <w:pPr>
              <w:ind w:right="24"/>
              <w:jc w:val="right"/>
              <w:rPr>
                <w:rFonts w:eastAsia="Arial Unicode MS"/>
                <w:color w:val="000000"/>
                <w:sz w:val="15"/>
                <w:szCs w:val="15"/>
              </w:rPr>
            </w:pPr>
            <w:r w:rsidRPr="001131FC">
              <w:rPr>
                <w:rFonts w:eastAsia="Arial Unicode MS"/>
                <w:color w:val="000000"/>
                <w:sz w:val="15"/>
                <w:szCs w:val="15"/>
              </w:rPr>
              <w:t xml:space="preserve">51 686     </w:t>
            </w:r>
          </w:p>
        </w:tc>
        <w:tc>
          <w:tcPr>
            <w:tcW w:w="618" w:type="pct"/>
            <w:tcBorders>
              <w:top w:val="single" w:sz="4" w:space="0" w:color="auto"/>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52 541</w:t>
            </w:r>
          </w:p>
        </w:tc>
        <w:tc>
          <w:tcPr>
            <w:tcW w:w="618" w:type="pct"/>
            <w:tcBorders>
              <w:top w:val="single" w:sz="4" w:space="0" w:color="auto"/>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53 593</w:t>
            </w:r>
          </w:p>
        </w:tc>
      </w:tr>
      <w:tr w:rsidR="00565FD5" w:rsidRPr="001131FC" w:rsidTr="00AB62A3">
        <w:trPr>
          <w:trHeight w:val="255"/>
        </w:trPr>
        <w:tc>
          <w:tcPr>
            <w:tcW w:w="1911" w:type="pct"/>
            <w:tcBorders>
              <w:top w:val="nil"/>
              <w:bottom w:val="nil"/>
            </w:tcBorders>
            <w:shd w:val="solid" w:color="FFFFFF" w:fill="auto"/>
            <w:vAlign w:val="center"/>
          </w:tcPr>
          <w:p w:rsidR="00565FD5" w:rsidRPr="001131FC" w:rsidRDefault="00565FD5" w:rsidP="00AB62A3">
            <w:pPr>
              <w:ind w:left="60"/>
              <w:rPr>
                <w:rFonts w:eastAsia="Arial Unicode MS"/>
                <w:color w:val="000000"/>
                <w:sz w:val="15"/>
                <w:szCs w:val="15"/>
              </w:rPr>
            </w:pPr>
            <w:r w:rsidRPr="001131FC">
              <w:rPr>
                <w:color w:val="000000"/>
                <w:sz w:val="15"/>
                <w:szCs w:val="15"/>
              </w:rPr>
              <w:t xml:space="preserve">İşgücü </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23 114</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23 805</w:t>
            </w:r>
          </w:p>
        </w:tc>
        <w:tc>
          <w:tcPr>
            <w:tcW w:w="618" w:type="pct"/>
            <w:tcBorders>
              <w:top w:val="nil"/>
              <w:bottom w:val="nil"/>
            </w:tcBorders>
            <w:shd w:val="solid" w:color="FFFFFF" w:fill="auto"/>
            <w:vAlign w:val="center"/>
          </w:tcPr>
          <w:p w:rsidR="00565FD5" w:rsidRPr="001131FC" w:rsidRDefault="00565FD5" w:rsidP="00AB62A3">
            <w:pPr>
              <w:ind w:right="24"/>
              <w:jc w:val="right"/>
              <w:rPr>
                <w:rFonts w:eastAsia="Arial Unicode MS"/>
                <w:color w:val="000000"/>
                <w:sz w:val="15"/>
                <w:szCs w:val="15"/>
              </w:rPr>
            </w:pPr>
            <w:r w:rsidRPr="001131FC">
              <w:rPr>
                <w:rFonts w:eastAsia="Arial Unicode MS"/>
                <w:color w:val="000000"/>
                <w:sz w:val="15"/>
                <w:szCs w:val="15"/>
              </w:rPr>
              <w:t xml:space="preserve">24 748 </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25 641</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26 725</w:t>
            </w:r>
          </w:p>
        </w:tc>
      </w:tr>
      <w:tr w:rsidR="00565FD5" w:rsidRPr="001131FC" w:rsidTr="00AB62A3">
        <w:trPr>
          <w:trHeight w:val="255"/>
        </w:trPr>
        <w:tc>
          <w:tcPr>
            <w:tcW w:w="1911" w:type="pct"/>
            <w:tcBorders>
              <w:top w:val="nil"/>
              <w:bottom w:val="nil"/>
            </w:tcBorders>
            <w:shd w:val="solid" w:color="FFFFFF" w:fill="auto"/>
            <w:vAlign w:val="center"/>
          </w:tcPr>
          <w:p w:rsidR="00565FD5" w:rsidRPr="001131FC" w:rsidRDefault="00565FD5" w:rsidP="00AB62A3">
            <w:pPr>
              <w:ind w:left="60"/>
              <w:rPr>
                <w:rFonts w:eastAsia="Arial Unicode MS"/>
                <w:b/>
                <w:bCs/>
                <w:color w:val="000000"/>
                <w:sz w:val="15"/>
                <w:szCs w:val="15"/>
              </w:rPr>
            </w:pPr>
            <w:r w:rsidRPr="001131FC">
              <w:rPr>
                <w:b/>
                <w:bCs/>
                <w:color w:val="000000"/>
                <w:sz w:val="15"/>
                <w:szCs w:val="15"/>
              </w:rPr>
              <w:t xml:space="preserve">İstihdam </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b/>
                <w:color w:val="000000"/>
                <w:sz w:val="15"/>
                <w:szCs w:val="15"/>
              </w:rPr>
            </w:pPr>
            <w:r w:rsidRPr="001131FC">
              <w:rPr>
                <w:rFonts w:eastAsia="Arial Unicode MS"/>
                <w:b/>
                <w:color w:val="000000"/>
                <w:sz w:val="15"/>
                <w:szCs w:val="15"/>
              </w:rPr>
              <w:t>20 738</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b/>
                <w:color w:val="000000"/>
                <w:sz w:val="15"/>
                <w:szCs w:val="15"/>
              </w:rPr>
            </w:pPr>
            <w:r w:rsidRPr="001131FC">
              <w:rPr>
                <w:rFonts w:eastAsia="Arial Unicode MS"/>
                <w:b/>
                <w:color w:val="000000"/>
                <w:sz w:val="15"/>
                <w:szCs w:val="15"/>
              </w:rPr>
              <w:t>21 194</w:t>
            </w:r>
          </w:p>
        </w:tc>
        <w:tc>
          <w:tcPr>
            <w:tcW w:w="618" w:type="pct"/>
            <w:tcBorders>
              <w:top w:val="nil"/>
              <w:bottom w:val="nil"/>
            </w:tcBorders>
            <w:shd w:val="solid" w:color="FFFFFF" w:fill="auto"/>
            <w:vAlign w:val="center"/>
          </w:tcPr>
          <w:p w:rsidR="00565FD5" w:rsidRPr="001131FC" w:rsidRDefault="00565FD5" w:rsidP="00AB62A3">
            <w:pPr>
              <w:ind w:right="24"/>
              <w:jc w:val="right"/>
              <w:rPr>
                <w:rFonts w:eastAsia="Arial Unicode MS"/>
                <w:b/>
                <w:color w:val="000000"/>
                <w:sz w:val="15"/>
                <w:szCs w:val="15"/>
              </w:rPr>
            </w:pPr>
            <w:r w:rsidRPr="001131FC">
              <w:rPr>
                <w:rFonts w:eastAsia="Arial Unicode MS"/>
                <w:b/>
                <w:color w:val="000000"/>
                <w:sz w:val="15"/>
                <w:szCs w:val="15"/>
              </w:rPr>
              <w:t xml:space="preserve">21 277 </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b/>
                <w:color w:val="000000"/>
                <w:sz w:val="15"/>
                <w:szCs w:val="15"/>
              </w:rPr>
            </w:pPr>
            <w:r w:rsidRPr="001131FC">
              <w:rPr>
                <w:rFonts w:eastAsia="Arial Unicode MS"/>
                <w:b/>
                <w:color w:val="000000"/>
                <w:sz w:val="15"/>
                <w:szCs w:val="15"/>
              </w:rPr>
              <w:t>22 594</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b/>
                <w:color w:val="000000"/>
                <w:sz w:val="15"/>
                <w:szCs w:val="15"/>
              </w:rPr>
            </w:pPr>
            <w:r w:rsidRPr="001131FC">
              <w:rPr>
                <w:rFonts w:eastAsia="Arial Unicode MS"/>
                <w:b/>
                <w:color w:val="000000"/>
                <w:sz w:val="15"/>
                <w:szCs w:val="15"/>
              </w:rPr>
              <w:t>24 110</w:t>
            </w:r>
          </w:p>
        </w:tc>
      </w:tr>
      <w:tr w:rsidR="00565FD5" w:rsidRPr="001131FC" w:rsidTr="00AB62A3">
        <w:trPr>
          <w:trHeight w:val="255"/>
        </w:trPr>
        <w:tc>
          <w:tcPr>
            <w:tcW w:w="1911" w:type="pct"/>
            <w:tcBorders>
              <w:top w:val="nil"/>
              <w:bottom w:val="nil"/>
            </w:tcBorders>
            <w:shd w:val="solid" w:color="FFFFFF" w:fill="auto"/>
            <w:vAlign w:val="center"/>
          </w:tcPr>
          <w:p w:rsidR="00565FD5" w:rsidRPr="001131FC" w:rsidRDefault="00565FD5" w:rsidP="00AB62A3">
            <w:pPr>
              <w:ind w:left="60"/>
              <w:rPr>
                <w:color w:val="000000"/>
                <w:sz w:val="15"/>
                <w:szCs w:val="15"/>
              </w:rPr>
            </w:pPr>
            <w:r w:rsidRPr="001131FC">
              <w:rPr>
                <w:color w:val="000000"/>
                <w:sz w:val="15"/>
                <w:szCs w:val="15"/>
              </w:rPr>
              <w:t>Tarım Dışı İstihdam</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15 871</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16 178</w:t>
            </w:r>
          </w:p>
        </w:tc>
        <w:tc>
          <w:tcPr>
            <w:tcW w:w="618" w:type="pct"/>
            <w:tcBorders>
              <w:top w:val="nil"/>
              <w:bottom w:val="nil"/>
            </w:tcBorders>
            <w:shd w:val="solid" w:color="FFFFFF" w:fill="auto"/>
            <w:vAlign w:val="center"/>
          </w:tcPr>
          <w:p w:rsidR="00565FD5" w:rsidRPr="001131FC" w:rsidRDefault="00565FD5" w:rsidP="00AB62A3">
            <w:pPr>
              <w:ind w:right="24"/>
              <w:jc w:val="right"/>
              <w:rPr>
                <w:rFonts w:eastAsia="Arial Unicode MS"/>
                <w:color w:val="000000"/>
                <w:sz w:val="15"/>
                <w:szCs w:val="15"/>
              </w:rPr>
            </w:pPr>
            <w:r w:rsidRPr="001131FC">
              <w:rPr>
                <w:rFonts w:eastAsia="Arial Unicode MS"/>
                <w:color w:val="000000"/>
                <w:sz w:val="15"/>
                <w:szCs w:val="15"/>
              </w:rPr>
              <w:t>16 037</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16 911</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17 967</w:t>
            </w:r>
          </w:p>
        </w:tc>
      </w:tr>
      <w:tr w:rsidR="00565FD5" w:rsidRPr="001131FC" w:rsidTr="00AB62A3">
        <w:trPr>
          <w:trHeight w:val="255"/>
        </w:trPr>
        <w:tc>
          <w:tcPr>
            <w:tcW w:w="1911" w:type="pct"/>
            <w:tcBorders>
              <w:top w:val="nil"/>
              <w:bottom w:val="nil"/>
            </w:tcBorders>
            <w:shd w:val="solid" w:color="FFFFFF" w:fill="auto"/>
            <w:vAlign w:val="center"/>
          </w:tcPr>
          <w:p w:rsidR="00565FD5" w:rsidRPr="001131FC" w:rsidRDefault="00565FD5" w:rsidP="00AB62A3">
            <w:pPr>
              <w:ind w:left="60"/>
              <w:rPr>
                <w:color w:val="000000"/>
                <w:sz w:val="15"/>
                <w:szCs w:val="15"/>
              </w:rPr>
            </w:pPr>
            <w:r w:rsidRPr="001131FC">
              <w:rPr>
                <w:color w:val="000000"/>
                <w:sz w:val="15"/>
                <w:szCs w:val="15"/>
              </w:rPr>
              <w:t>Ücretsiz Aile İşçisi Hariç İstihdam</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18 110</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18 510</w:t>
            </w:r>
          </w:p>
        </w:tc>
        <w:tc>
          <w:tcPr>
            <w:tcW w:w="618" w:type="pct"/>
            <w:tcBorders>
              <w:top w:val="nil"/>
              <w:bottom w:val="nil"/>
            </w:tcBorders>
            <w:shd w:val="solid" w:color="FFFFFF" w:fill="auto"/>
            <w:vAlign w:val="center"/>
          </w:tcPr>
          <w:p w:rsidR="00565FD5" w:rsidRPr="001131FC" w:rsidRDefault="00565FD5" w:rsidP="00AB62A3">
            <w:pPr>
              <w:ind w:right="24"/>
              <w:jc w:val="right"/>
              <w:rPr>
                <w:rFonts w:eastAsia="Arial Unicode MS"/>
                <w:color w:val="000000"/>
                <w:sz w:val="15"/>
                <w:szCs w:val="15"/>
              </w:rPr>
            </w:pPr>
            <w:r w:rsidRPr="001131FC">
              <w:rPr>
                <w:rFonts w:eastAsia="Arial Unicode MS"/>
                <w:color w:val="000000"/>
                <w:sz w:val="15"/>
                <w:szCs w:val="15"/>
              </w:rPr>
              <w:t>18 407</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19 511</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20 807</w:t>
            </w:r>
          </w:p>
        </w:tc>
      </w:tr>
      <w:tr w:rsidR="00565FD5" w:rsidRPr="001131FC" w:rsidTr="00AB62A3">
        <w:trPr>
          <w:trHeight w:val="255"/>
        </w:trPr>
        <w:tc>
          <w:tcPr>
            <w:tcW w:w="1911" w:type="pct"/>
            <w:tcBorders>
              <w:top w:val="nil"/>
              <w:bottom w:val="nil"/>
            </w:tcBorders>
            <w:shd w:val="solid" w:color="FFFFFF" w:fill="auto"/>
            <w:vAlign w:val="center"/>
          </w:tcPr>
          <w:p w:rsidR="00565FD5" w:rsidRPr="001131FC" w:rsidRDefault="00565FD5" w:rsidP="00AB62A3">
            <w:pPr>
              <w:ind w:left="60"/>
              <w:rPr>
                <w:rFonts w:eastAsia="Arial Unicode MS"/>
                <w:color w:val="000000"/>
                <w:sz w:val="15"/>
                <w:szCs w:val="15"/>
              </w:rPr>
            </w:pPr>
            <w:r w:rsidRPr="001131FC">
              <w:rPr>
                <w:color w:val="000000"/>
                <w:sz w:val="15"/>
                <w:szCs w:val="15"/>
              </w:rPr>
              <w:t xml:space="preserve">   Tarım </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4 867</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5 016</w:t>
            </w:r>
          </w:p>
        </w:tc>
        <w:tc>
          <w:tcPr>
            <w:tcW w:w="618" w:type="pct"/>
            <w:tcBorders>
              <w:top w:val="nil"/>
              <w:bottom w:val="nil"/>
            </w:tcBorders>
            <w:shd w:val="solid" w:color="FFFFFF" w:fill="auto"/>
            <w:vAlign w:val="center"/>
          </w:tcPr>
          <w:p w:rsidR="00565FD5" w:rsidRPr="001131FC" w:rsidRDefault="00565FD5" w:rsidP="00AB62A3">
            <w:pPr>
              <w:ind w:right="24"/>
              <w:jc w:val="right"/>
              <w:rPr>
                <w:rFonts w:eastAsia="Arial Unicode MS"/>
                <w:color w:val="000000"/>
                <w:sz w:val="15"/>
                <w:szCs w:val="15"/>
              </w:rPr>
            </w:pPr>
            <w:r w:rsidRPr="001131FC">
              <w:rPr>
                <w:rFonts w:eastAsia="Arial Unicode MS"/>
                <w:color w:val="000000"/>
                <w:sz w:val="15"/>
                <w:szCs w:val="15"/>
              </w:rPr>
              <w:t>5 240</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5 683</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6 143</w:t>
            </w:r>
          </w:p>
        </w:tc>
      </w:tr>
      <w:tr w:rsidR="00565FD5" w:rsidRPr="001131FC" w:rsidTr="00AB62A3">
        <w:trPr>
          <w:trHeight w:val="255"/>
        </w:trPr>
        <w:tc>
          <w:tcPr>
            <w:tcW w:w="1911" w:type="pct"/>
            <w:tcBorders>
              <w:top w:val="nil"/>
              <w:bottom w:val="nil"/>
            </w:tcBorders>
            <w:shd w:val="solid" w:color="FFFFFF" w:fill="auto"/>
            <w:vAlign w:val="center"/>
          </w:tcPr>
          <w:p w:rsidR="00565FD5" w:rsidRPr="001131FC" w:rsidRDefault="00565FD5" w:rsidP="00AB62A3">
            <w:pPr>
              <w:ind w:left="60"/>
              <w:rPr>
                <w:rFonts w:eastAsia="Arial Unicode MS"/>
                <w:color w:val="000000"/>
                <w:sz w:val="15"/>
                <w:szCs w:val="15"/>
              </w:rPr>
            </w:pPr>
            <w:r w:rsidRPr="001131FC">
              <w:rPr>
                <w:color w:val="000000"/>
                <w:sz w:val="15"/>
                <w:szCs w:val="15"/>
              </w:rPr>
              <w:t xml:space="preserve">   Sanayi</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4 314</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4 441</w:t>
            </w:r>
          </w:p>
        </w:tc>
        <w:tc>
          <w:tcPr>
            <w:tcW w:w="618" w:type="pct"/>
            <w:tcBorders>
              <w:top w:val="nil"/>
              <w:bottom w:val="nil"/>
            </w:tcBorders>
            <w:shd w:val="solid" w:color="FFFFFF" w:fill="auto"/>
            <w:vAlign w:val="center"/>
          </w:tcPr>
          <w:p w:rsidR="00565FD5" w:rsidRPr="001131FC" w:rsidRDefault="00565FD5" w:rsidP="00AB62A3">
            <w:pPr>
              <w:ind w:right="24"/>
              <w:jc w:val="right"/>
              <w:rPr>
                <w:rFonts w:eastAsia="Arial Unicode MS"/>
                <w:color w:val="000000"/>
                <w:sz w:val="15"/>
                <w:szCs w:val="15"/>
              </w:rPr>
            </w:pPr>
            <w:r w:rsidRPr="001131FC">
              <w:rPr>
                <w:rFonts w:eastAsia="Arial Unicode MS"/>
                <w:color w:val="000000"/>
                <w:sz w:val="15"/>
                <w:szCs w:val="15"/>
              </w:rPr>
              <w:t>4 079</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4 496</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4 704</w:t>
            </w:r>
          </w:p>
        </w:tc>
      </w:tr>
      <w:tr w:rsidR="00565FD5" w:rsidRPr="001131FC" w:rsidTr="00AB62A3">
        <w:trPr>
          <w:trHeight w:val="255"/>
        </w:trPr>
        <w:tc>
          <w:tcPr>
            <w:tcW w:w="1911" w:type="pct"/>
            <w:tcBorders>
              <w:top w:val="nil"/>
              <w:bottom w:val="nil"/>
            </w:tcBorders>
            <w:shd w:val="solid" w:color="FFFFFF" w:fill="auto"/>
            <w:vAlign w:val="center"/>
          </w:tcPr>
          <w:p w:rsidR="00565FD5" w:rsidRPr="001131FC" w:rsidRDefault="00565FD5" w:rsidP="00AB62A3">
            <w:pPr>
              <w:ind w:left="60"/>
              <w:rPr>
                <w:rFonts w:eastAsia="Arial Unicode MS"/>
                <w:color w:val="000000"/>
                <w:sz w:val="15"/>
                <w:szCs w:val="15"/>
              </w:rPr>
            </w:pPr>
            <w:r w:rsidRPr="001131FC">
              <w:rPr>
                <w:color w:val="000000"/>
                <w:sz w:val="15"/>
                <w:szCs w:val="15"/>
              </w:rPr>
              <w:t xml:space="preserve">   Hizmetler</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11 557</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11 737</w:t>
            </w:r>
          </w:p>
        </w:tc>
        <w:tc>
          <w:tcPr>
            <w:tcW w:w="618" w:type="pct"/>
            <w:tcBorders>
              <w:top w:val="nil"/>
              <w:bottom w:val="nil"/>
            </w:tcBorders>
            <w:shd w:val="solid" w:color="FFFFFF" w:fill="auto"/>
            <w:vAlign w:val="center"/>
          </w:tcPr>
          <w:p w:rsidR="00565FD5" w:rsidRPr="001131FC" w:rsidRDefault="00565FD5" w:rsidP="00AB62A3">
            <w:pPr>
              <w:ind w:right="24"/>
              <w:jc w:val="right"/>
              <w:rPr>
                <w:rFonts w:eastAsia="Arial Unicode MS"/>
                <w:color w:val="000000"/>
                <w:sz w:val="15"/>
                <w:szCs w:val="15"/>
              </w:rPr>
            </w:pPr>
            <w:r w:rsidRPr="001131FC">
              <w:rPr>
                <w:rFonts w:eastAsia="Arial Unicode MS"/>
                <w:color w:val="000000"/>
                <w:sz w:val="15"/>
                <w:szCs w:val="15"/>
              </w:rPr>
              <w:t>11 958</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12 415</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13 263</w:t>
            </w:r>
          </w:p>
        </w:tc>
      </w:tr>
      <w:tr w:rsidR="00565FD5" w:rsidRPr="001131FC" w:rsidTr="00AB62A3">
        <w:trPr>
          <w:trHeight w:val="255"/>
        </w:trPr>
        <w:tc>
          <w:tcPr>
            <w:tcW w:w="1911" w:type="pct"/>
            <w:tcBorders>
              <w:top w:val="nil"/>
              <w:bottom w:val="nil"/>
            </w:tcBorders>
            <w:shd w:val="solid" w:color="FFFFFF" w:fill="auto"/>
            <w:vAlign w:val="center"/>
          </w:tcPr>
          <w:p w:rsidR="00565FD5" w:rsidRPr="001131FC" w:rsidRDefault="00565FD5" w:rsidP="00AB62A3">
            <w:pPr>
              <w:ind w:left="60"/>
              <w:rPr>
                <w:rFonts w:eastAsia="Arial Unicode MS"/>
                <w:color w:val="000000"/>
                <w:sz w:val="15"/>
                <w:szCs w:val="15"/>
              </w:rPr>
            </w:pPr>
            <w:r w:rsidRPr="001131FC">
              <w:rPr>
                <w:color w:val="000000"/>
                <w:sz w:val="15"/>
                <w:szCs w:val="15"/>
              </w:rPr>
              <w:t xml:space="preserve">       İnşaat</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1 231</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1 242</w:t>
            </w:r>
          </w:p>
        </w:tc>
        <w:tc>
          <w:tcPr>
            <w:tcW w:w="618" w:type="pct"/>
            <w:tcBorders>
              <w:top w:val="nil"/>
              <w:bottom w:val="nil"/>
            </w:tcBorders>
            <w:shd w:val="solid" w:color="FFFFFF" w:fill="auto"/>
            <w:vAlign w:val="center"/>
          </w:tcPr>
          <w:p w:rsidR="00565FD5" w:rsidRPr="001131FC" w:rsidRDefault="00565FD5" w:rsidP="00AB62A3">
            <w:pPr>
              <w:ind w:right="24"/>
              <w:jc w:val="right"/>
              <w:rPr>
                <w:rFonts w:eastAsia="Arial Unicode MS"/>
                <w:color w:val="000000"/>
                <w:sz w:val="15"/>
                <w:szCs w:val="15"/>
              </w:rPr>
            </w:pPr>
            <w:r w:rsidRPr="001131FC">
              <w:rPr>
                <w:rFonts w:eastAsia="Arial Unicode MS"/>
                <w:color w:val="000000"/>
                <w:sz w:val="15"/>
                <w:szCs w:val="15"/>
              </w:rPr>
              <w:t>1 306</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1 431</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1 676</w:t>
            </w:r>
          </w:p>
        </w:tc>
      </w:tr>
      <w:tr w:rsidR="00565FD5" w:rsidRPr="001131FC" w:rsidTr="00AB62A3">
        <w:trPr>
          <w:trHeight w:val="255"/>
        </w:trPr>
        <w:tc>
          <w:tcPr>
            <w:tcW w:w="1911" w:type="pct"/>
            <w:tcBorders>
              <w:top w:val="nil"/>
              <w:bottom w:val="nil"/>
            </w:tcBorders>
            <w:shd w:val="solid" w:color="FFFFFF" w:fill="auto"/>
            <w:vAlign w:val="center"/>
          </w:tcPr>
          <w:p w:rsidR="00565FD5" w:rsidRPr="001131FC" w:rsidRDefault="00565FD5" w:rsidP="00AB62A3">
            <w:pPr>
              <w:ind w:left="60"/>
              <w:rPr>
                <w:rFonts w:eastAsia="Arial Unicode MS"/>
                <w:color w:val="000000"/>
                <w:sz w:val="15"/>
                <w:szCs w:val="15"/>
              </w:rPr>
            </w:pPr>
            <w:r w:rsidRPr="001131FC">
              <w:rPr>
                <w:color w:val="000000"/>
                <w:sz w:val="15"/>
                <w:szCs w:val="15"/>
              </w:rPr>
              <w:t>İşsiz</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2 376</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2 611</w:t>
            </w:r>
          </w:p>
        </w:tc>
        <w:tc>
          <w:tcPr>
            <w:tcW w:w="618" w:type="pct"/>
            <w:tcBorders>
              <w:top w:val="nil"/>
              <w:bottom w:val="nil"/>
            </w:tcBorders>
            <w:shd w:val="solid" w:color="FFFFFF" w:fill="auto"/>
            <w:vAlign w:val="center"/>
          </w:tcPr>
          <w:p w:rsidR="00565FD5" w:rsidRPr="001131FC" w:rsidRDefault="00565FD5" w:rsidP="00AB62A3">
            <w:pPr>
              <w:ind w:right="24"/>
              <w:jc w:val="right"/>
              <w:rPr>
                <w:rFonts w:eastAsia="Arial Unicode MS"/>
                <w:color w:val="000000"/>
                <w:sz w:val="15"/>
                <w:szCs w:val="15"/>
              </w:rPr>
            </w:pPr>
            <w:r w:rsidRPr="001131FC">
              <w:rPr>
                <w:rFonts w:eastAsia="Arial Unicode MS"/>
                <w:color w:val="000000"/>
                <w:sz w:val="15"/>
                <w:szCs w:val="15"/>
              </w:rPr>
              <w:t>3 471</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3 046</w:t>
            </w:r>
          </w:p>
        </w:tc>
        <w:tc>
          <w:tcPr>
            <w:tcW w:w="618" w:type="pct"/>
            <w:tcBorders>
              <w:top w:val="nil"/>
              <w:bottom w:val="nil"/>
            </w:tcBorders>
            <w:shd w:val="solid" w:color="FFFFFF" w:fill="auto"/>
            <w:vAlign w:val="center"/>
          </w:tcPr>
          <w:p w:rsidR="00565FD5" w:rsidRPr="001131FC" w:rsidRDefault="00565FD5" w:rsidP="00AB62A3">
            <w:pPr>
              <w:jc w:val="right"/>
              <w:rPr>
                <w:rFonts w:eastAsia="Arial Unicode MS"/>
                <w:color w:val="000000"/>
                <w:sz w:val="15"/>
                <w:szCs w:val="15"/>
              </w:rPr>
            </w:pPr>
            <w:r w:rsidRPr="001131FC">
              <w:rPr>
                <w:rFonts w:eastAsia="Arial Unicode MS"/>
                <w:color w:val="000000"/>
                <w:sz w:val="15"/>
                <w:szCs w:val="15"/>
              </w:rPr>
              <w:t>2 615</w:t>
            </w:r>
          </w:p>
        </w:tc>
      </w:tr>
      <w:tr w:rsidR="00565FD5" w:rsidRPr="001131FC" w:rsidTr="00AB62A3">
        <w:trPr>
          <w:trHeight w:val="255"/>
        </w:trPr>
        <w:tc>
          <w:tcPr>
            <w:tcW w:w="1911" w:type="pct"/>
            <w:tcBorders>
              <w:top w:val="nil"/>
              <w:bottom w:val="nil"/>
            </w:tcBorders>
            <w:shd w:val="solid" w:color="FFFFFF" w:fill="auto"/>
            <w:vAlign w:val="center"/>
          </w:tcPr>
          <w:p w:rsidR="00565FD5" w:rsidRPr="001131FC" w:rsidRDefault="00565FD5" w:rsidP="00AB62A3">
            <w:pPr>
              <w:ind w:left="60"/>
              <w:rPr>
                <w:rFonts w:eastAsia="Arial Unicode MS"/>
                <w:b/>
                <w:bCs/>
                <w:color w:val="000000"/>
                <w:sz w:val="15"/>
                <w:szCs w:val="15"/>
              </w:rPr>
            </w:pPr>
            <w:r w:rsidRPr="001131FC">
              <w:rPr>
                <w:b/>
                <w:bCs/>
                <w:color w:val="000000"/>
                <w:sz w:val="15"/>
                <w:szCs w:val="15"/>
              </w:rPr>
              <w:t>İşgücüne Katılma Oranı (Yüzde)</w:t>
            </w:r>
          </w:p>
        </w:tc>
        <w:tc>
          <w:tcPr>
            <w:tcW w:w="618" w:type="pct"/>
            <w:tcBorders>
              <w:top w:val="nil"/>
              <w:bottom w:val="nil"/>
            </w:tcBorders>
            <w:shd w:val="solid" w:color="FFFFFF" w:fill="auto"/>
            <w:vAlign w:val="center"/>
          </w:tcPr>
          <w:p w:rsidR="00565FD5" w:rsidRPr="001131FC" w:rsidRDefault="00565FD5" w:rsidP="00AB62A3">
            <w:pPr>
              <w:jc w:val="right"/>
              <w:rPr>
                <w:b/>
                <w:bCs/>
                <w:color w:val="000000"/>
                <w:sz w:val="15"/>
                <w:szCs w:val="15"/>
              </w:rPr>
            </w:pPr>
            <w:r w:rsidRPr="001131FC">
              <w:rPr>
                <w:b/>
                <w:bCs/>
                <w:color w:val="000000"/>
                <w:sz w:val="15"/>
                <w:szCs w:val="15"/>
              </w:rPr>
              <w:t>46,2</w:t>
            </w:r>
          </w:p>
        </w:tc>
        <w:tc>
          <w:tcPr>
            <w:tcW w:w="618" w:type="pct"/>
            <w:tcBorders>
              <w:top w:val="nil"/>
              <w:bottom w:val="nil"/>
            </w:tcBorders>
            <w:shd w:val="solid" w:color="FFFFFF" w:fill="auto"/>
            <w:vAlign w:val="center"/>
          </w:tcPr>
          <w:p w:rsidR="00565FD5" w:rsidRPr="001131FC" w:rsidRDefault="00565FD5" w:rsidP="00AB62A3">
            <w:pPr>
              <w:jc w:val="right"/>
              <w:rPr>
                <w:b/>
                <w:bCs/>
                <w:color w:val="000000"/>
                <w:sz w:val="15"/>
                <w:szCs w:val="15"/>
              </w:rPr>
            </w:pPr>
            <w:r w:rsidRPr="001131FC">
              <w:rPr>
                <w:b/>
                <w:bCs/>
                <w:color w:val="000000"/>
                <w:sz w:val="15"/>
                <w:szCs w:val="15"/>
              </w:rPr>
              <w:t>46,9</w:t>
            </w:r>
          </w:p>
        </w:tc>
        <w:tc>
          <w:tcPr>
            <w:tcW w:w="618" w:type="pct"/>
            <w:tcBorders>
              <w:top w:val="nil"/>
              <w:bottom w:val="nil"/>
            </w:tcBorders>
            <w:shd w:val="solid" w:color="FFFFFF" w:fill="auto"/>
            <w:vAlign w:val="center"/>
          </w:tcPr>
          <w:p w:rsidR="00565FD5" w:rsidRPr="001131FC" w:rsidRDefault="00565FD5" w:rsidP="00AB62A3">
            <w:pPr>
              <w:ind w:right="24"/>
              <w:jc w:val="right"/>
              <w:rPr>
                <w:rFonts w:eastAsia="Arial Unicode MS"/>
                <w:b/>
                <w:color w:val="000000"/>
                <w:sz w:val="15"/>
                <w:szCs w:val="15"/>
              </w:rPr>
            </w:pPr>
            <w:r w:rsidRPr="001131FC">
              <w:rPr>
                <w:rFonts w:eastAsia="Arial Unicode MS"/>
                <w:b/>
                <w:color w:val="000000"/>
                <w:sz w:val="15"/>
                <w:szCs w:val="15"/>
              </w:rPr>
              <w:t>47,9</w:t>
            </w:r>
          </w:p>
        </w:tc>
        <w:tc>
          <w:tcPr>
            <w:tcW w:w="618" w:type="pct"/>
            <w:tcBorders>
              <w:top w:val="nil"/>
              <w:bottom w:val="nil"/>
            </w:tcBorders>
            <w:shd w:val="solid" w:color="FFFFFF" w:fill="auto"/>
            <w:vAlign w:val="center"/>
          </w:tcPr>
          <w:p w:rsidR="00565FD5" w:rsidRPr="001131FC" w:rsidRDefault="00565FD5" w:rsidP="00AB62A3">
            <w:pPr>
              <w:jc w:val="right"/>
              <w:rPr>
                <w:b/>
                <w:bCs/>
                <w:color w:val="000000"/>
                <w:sz w:val="15"/>
                <w:szCs w:val="15"/>
              </w:rPr>
            </w:pPr>
            <w:r w:rsidRPr="001131FC">
              <w:rPr>
                <w:b/>
                <w:bCs/>
                <w:color w:val="000000"/>
                <w:sz w:val="15"/>
                <w:szCs w:val="15"/>
              </w:rPr>
              <w:t>48,8</w:t>
            </w:r>
          </w:p>
        </w:tc>
        <w:tc>
          <w:tcPr>
            <w:tcW w:w="618" w:type="pct"/>
            <w:tcBorders>
              <w:top w:val="nil"/>
              <w:bottom w:val="nil"/>
            </w:tcBorders>
            <w:shd w:val="solid" w:color="FFFFFF" w:fill="auto"/>
            <w:vAlign w:val="center"/>
          </w:tcPr>
          <w:p w:rsidR="00565FD5" w:rsidRPr="001131FC" w:rsidRDefault="00565FD5" w:rsidP="00AB62A3">
            <w:pPr>
              <w:jc w:val="right"/>
              <w:rPr>
                <w:b/>
                <w:bCs/>
                <w:color w:val="000000"/>
                <w:sz w:val="15"/>
                <w:szCs w:val="15"/>
              </w:rPr>
            </w:pPr>
            <w:r w:rsidRPr="001131FC">
              <w:rPr>
                <w:b/>
                <w:bCs/>
                <w:color w:val="000000"/>
                <w:sz w:val="15"/>
                <w:szCs w:val="15"/>
              </w:rPr>
              <w:t>49,9</w:t>
            </w:r>
          </w:p>
        </w:tc>
      </w:tr>
      <w:tr w:rsidR="00565FD5" w:rsidRPr="001131FC" w:rsidTr="00AB62A3">
        <w:trPr>
          <w:trHeight w:val="255"/>
        </w:trPr>
        <w:tc>
          <w:tcPr>
            <w:tcW w:w="1911" w:type="pct"/>
            <w:tcBorders>
              <w:top w:val="nil"/>
              <w:bottom w:val="nil"/>
            </w:tcBorders>
            <w:shd w:val="solid" w:color="FFFFFF" w:fill="auto"/>
            <w:vAlign w:val="center"/>
          </w:tcPr>
          <w:p w:rsidR="00565FD5" w:rsidRPr="001131FC" w:rsidRDefault="00565FD5" w:rsidP="00AB62A3">
            <w:pPr>
              <w:ind w:left="60"/>
              <w:rPr>
                <w:rFonts w:eastAsia="Arial Unicode MS"/>
                <w:color w:val="000000"/>
                <w:sz w:val="15"/>
                <w:szCs w:val="15"/>
              </w:rPr>
            </w:pPr>
            <w:r w:rsidRPr="001131FC">
              <w:rPr>
                <w:rFonts w:eastAsia="Arial Unicode MS"/>
                <w:color w:val="000000"/>
                <w:sz w:val="15"/>
                <w:szCs w:val="15"/>
              </w:rPr>
              <w:t>İstihdam Oranı (Yüzde)</w:t>
            </w:r>
          </w:p>
        </w:tc>
        <w:tc>
          <w:tcPr>
            <w:tcW w:w="618" w:type="pct"/>
            <w:tcBorders>
              <w:top w:val="nil"/>
              <w:bottom w:val="nil"/>
            </w:tcBorders>
            <w:shd w:val="solid" w:color="FFFFFF" w:fill="auto"/>
            <w:vAlign w:val="center"/>
          </w:tcPr>
          <w:p w:rsidR="00565FD5" w:rsidRPr="001131FC" w:rsidRDefault="00565FD5" w:rsidP="00AB62A3">
            <w:pPr>
              <w:jc w:val="right"/>
              <w:rPr>
                <w:bCs/>
                <w:color w:val="000000"/>
                <w:sz w:val="15"/>
                <w:szCs w:val="15"/>
              </w:rPr>
            </w:pPr>
            <w:r w:rsidRPr="001131FC">
              <w:rPr>
                <w:bCs/>
                <w:color w:val="000000"/>
                <w:sz w:val="15"/>
                <w:szCs w:val="15"/>
              </w:rPr>
              <w:t>41,5</w:t>
            </w:r>
          </w:p>
        </w:tc>
        <w:tc>
          <w:tcPr>
            <w:tcW w:w="618" w:type="pct"/>
            <w:tcBorders>
              <w:top w:val="nil"/>
              <w:bottom w:val="nil"/>
            </w:tcBorders>
            <w:shd w:val="solid" w:color="FFFFFF" w:fill="auto"/>
            <w:vAlign w:val="center"/>
          </w:tcPr>
          <w:p w:rsidR="00565FD5" w:rsidRPr="001131FC" w:rsidRDefault="00565FD5" w:rsidP="00AB62A3">
            <w:pPr>
              <w:jc w:val="right"/>
              <w:rPr>
                <w:color w:val="000000"/>
                <w:sz w:val="15"/>
                <w:szCs w:val="15"/>
              </w:rPr>
            </w:pPr>
            <w:r w:rsidRPr="001131FC">
              <w:rPr>
                <w:color w:val="000000"/>
                <w:sz w:val="15"/>
                <w:szCs w:val="15"/>
              </w:rPr>
              <w:t>41,7</w:t>
            </w:r>
          </w:p>
        </w:tc>
        <w:tc>
          <w:tcPr>
            <w:tcW w:w="618" w:type="pct"/>
            <w:tcBorders>
              <w:top w:val="nil"/>
              <w:bottom w:val="nil"/>
            </w:tcBorders>
            <w:shd w:val="solid" w:color="FFFFFF" w:fill="auto"/>
            <w:vAlign w:val="center"/>
          </w:tcPr>
          <w:p w:rsidR="00565FD5" w:rsidRPr="001131FC" w:rsidRDefault="00565FD5" w:rsidP="00AB62A3">
            <w:pPr>
              <w:ind w:right="24"/>
              <w:jc w:val="right"/>
              <w:rPr>
                <w:rFonts w:eastAsia="Arial Unicode MS"/>
                <w:color w:val="000000"/>
                <w:sz w:val="15"/>
                <w:szCs w:val="15"/>
              </w:rPr>
            </w:pPr>
            <w:r w:rsidRPr="001131FC">
              <w:rPr>
                <w:rFonts w:eastAsia="Arial Unicode MS"/>
                <w:color w:val="000000"/>
                <w:sz w:val="15"/>
                <w:szCs w:val="15"/>
              </w:rPr>
              <w:t>41,2</w:t>
            </w:r>
          </w:p>
        </w:tc>
        <w:tc>
          <w:tcPr>
            <w:tcW w:w="618" w:type="pct"/>
            <w:tcBorders>
              <w:top w:val="nil"/>
              <w:bottom w:val="nil"/>
            </w:tcBorders>
            <w:shd w:val="solid" w:color="FFFFFF" w:fill="auto"/>
            <w:vAlign w:val="center"/>
          </w:tcPr>
          <w:p w:rsidR="00565FD5" w:rsidRPr="001131FC" w:rsidRDefault="00565FD5" w:rsidP="00AB62A3">
            <w:pPr>
              <w:jc w:val="right"/>
              <w:rPr>
                <w:color w:val="000000"/>
                <w:sz w:val="15"/>
                <w:szCs w:val="15"/>
              </w:rPr>
            </w:pPr>
            <w:r w:rsidRPr="001131FC">
              <w:rPr>
                <w:color w:val="000000"/>
                <w:sz w:val="15"/>
                <w:szCs w:val="15"/>
              </w:rPr>
              <w:t>43,0</w:t>
            </w:r>
          </w:p>
        </w:tc>
        <w:tc>
          <w:tcPr>
            <w:tcW w:w="618" w:type="pct"/>
            <w:tcBorders>
              <w:top w:val="nil"/>
              <w:bottom w:val="nil"/>
            </w:tcBorders>
            <w:shd w:val="solid" w:color="FFFFFF" w:fill="auto"/>
            <w:vAlign w:val="center"/>
          </w:tcPr>
          <w:p w:rsidR="00565FD5" w:rsidRPr="001131FC" w:rsidRDefault="00565FD5" w:rsidP="00AB62A3">
            <w:pPr>
              <w:jc w:val="right"/>
              <w:rPr>
                <w:bCs/>
                <w:color w:val="000000"/>
                <w:sz w:val="15"/>
                <w:szCs w:val="15"/>
              </w:rPr>
            </w:pPr>
            <w:r w:rsidRPr="001131FC">
              <w:rPr>
                <w:bCs/>
                <w:color w:val="000000"/>
                <w:sz w:val="15"/>
                <w:szCs w:val="15"/>
              </w:rPr>
              <w:t>45,0</w:t>
            </w:r>
          </w:p>
        </w:tc>
      </w:tr>
      <w:tr w:rsidR="00565FD5" w:rsidRPr="001131FC" w:rsidTr="00AB62A3">
        <w:trPr>
          <w:trHeight w:val="255"/>
        </w:trPr>
        <w:tc>
          <w:tcPr>
            <w:tcW w:w="1911" w:type="pct"/>
            <w:tcBorders>
              <w:top w:val="nil"/>
              <w:bottom w:val="nil"/>
            </w:tcBorders>
            <w:shd w:val="solid" w:color="FFFFFF" w:fill="auto"/>
            <w:vAlign w:val="center"/>
          </w:tcPr>
          <w:p w:rsidR="00565FD5" w:rsidRPr="001131FC" w:rsidRDefault="00565FD5" w:rsidP="00AB62A3">
            <w:pPr>
              <w:ind w:left="60"/>
              <w:rPr>
                <w:rFonts w:eastAsia="Arial Unicode MS"/>
                <w:b/>
                <w:bCs/>
                <w:color w:val="000000"/>
                <w:sz w:val="15"/>
                <w:szCs w:val="15"/>
              </w:rPr>
            </w:pPr>
            <w:r w:rsidRPr="001131FC">
              <w:rPr>
                <w:b/>
                <w:bCs/>
                <w:color w:val="000000"/>
                <w:sz w:val="15"/>
                <w:szCs w:val="15"/>
              </w:rPr>
              <w:t>İşsizlik Oranı (Yüzde)</w:t>
            </w:r>
          </w:p>
        </w:tc>
        <w:tc>
          <w:tcPr>
            <w:tcW w:w="618" w:type="pct"/>
            <w:tcBorders>
              <w:top w:val="nil"/>
              <w:bottom w:val="nil"/>
            </w:tcBorders>
            <w:shd w:val="solid" w:color="FFFFFF" w:fill="auto"/>
            <w:vAlign w:val="center"/>
          </w:tcPr>
          <w:p w:rsidR="00565FD5" w:rsidRPr="001131FC" w:rsidRDefault="00565FD5" w:rsidP="00AB62A3">
            <w:pPr>
              <w:jc w:val="right"/>
              <w:rPr>
                <w:b/>
                <w:bCs/>
                <w:color w:val="000000"/>
                <w:sz w:val="15"/>
                <w:szCs w:val="15"/>
              </w:rPr>
            </w:pPr>
            <w:r w:rsidRPr="001131FC">
              <w:rPr>
                <w:b/>
                <w:bCs/>
                <w:color w:val="000000"/>
                <w:sz w:val="15"/>
                <w:szCs w:val="15"/>
              </w:rPr>
              <w:t>10,3</w:t>
            </w:r>
          </w:p>
        </w:tc>
        <w:tc>
          <w:tcPr>
            <w:tcW w:w="618" w:type="pct"/>
            <w:tcBorders>
              <w:top w:val="nil"/>
              <w:bottom w:val="nil"/>
            </w:tcBorders>
            <w:shd w:val="solid" w:color="FFFFFF" w:fill="auto"/>
            <w:vAlign w:val="center"/>
          </w:tcPr>
          <w:p w:rsidR="00565FD5" w:rsidRPr="001131FC" w:rsidRDefault="00565FD5" w:rsidP="00AB62A3">
            <w:pPr>
              <w:jc w:val="right"/>
              <w:rPr>
                <w:b/>
                <w:bCs/>
                <w:color w:val="000000"/>
                <w:sz w:val="15"/>
                <w:szCs w:val="15"/>
              </w:rPr>
            </w:pPr>
            <w:r w:rsidRPr="001131FC">
              <w:rPr>
                <w:b/>
                <w:bCs/>
                <w:color w:val="000000"/>
                <w:sz w:val="15"/>
                <w:szCs w:val="15"/>
              </w:rPr>
              <w:t>11,0</w:t>
            </w:r>
          </w:p>
        </w:tc>
        <w:tc>
          <w:tcPr>
            <w:tcW w:w="618" w:type="pct"/>
            <w:tcBorders>
              <w:top w:val="nil"/>
              <w:bottom w:val="nil"/>
            </w:tcBorders>
            <w:shd w:val="solid" w:color="FFFFFF" w:fill="auto"/>
            <w:vAlign w:val="center"/>
          </w:tcPr>
          <w:p w:rsidR="00565FD5" w:rsidRPr="001131FC" w:rsidRDefault="00565FD5" w:rsidP="00AB62A3">
            <w:pPr>
              <w:ind w:right="24"/>
              <w:jc w:val="right"/>
              <w:rPr>
                <w:rFonts w:eastAsia="Arial Unicode MS"/>
                <w:b/>
                <w:color w:val="000000"/>
                <w:sz w:val="15"/>
                <w:szCs w:val="15"/>
              </w:rPr>
            </w:pPr>
            <w:r w:rsidRPr="001131FC">
              <w:rPr>
                <w:rFonts w:eastAsia="Arial Unicode MS"/>
                <w:b/>
                <w:color w:val="000000"/>
                <w:sz w:val="15"/>
                <w:szCs w:val="15"/>
              </w:rPr>
              <w:t>14,0</w:t>
            </w:r>
          </w:p>
        </w:tc>
        <w:tc>
          <w:tcPr>
            <w:tcW w:w="618" w:type="pct"/>
            <w:tcBorders>
              <w:top w:val="nil"/>
              <w:bottom w:val="nil"/>
            </w:tcBorders>
            <w:shd w:val="solid" w:color="FFFFFF" w:fill="auto"/>
            <w:vAlign w:val="center"/>
          </w:tcPr>
          <w:p w:rsidR="00565FD5" w:rsidRPr="001131FC" w:rsidRDefault="00565FD5" w:rsidP="00AB62A3">
            <w:pPr>
              <w:jc w:val="right"/>
              <w:rPr>
                <w:b/>
                <w:bCs/>
                <w:color w:val="000000"/>
                <w:sz w:val="15"/>
                <w:szCs w:val="15"/>
              </w:rPr>
            </w:pPr>
            <w:r w:rsidRPr="001131FC">
              <w:rPr>
                <w:b/>
                <w:bCs/>
                <w:color w:val="000000"/>
                <w:sz w:val="15"/>
                <w:szCs w:val="15"/>
              </w:rPr>
              <w:t>11,9</w:t>
            </w:r>
          </w:p>
        </w:tc>
        <w:tc>
          <w:tcPr>
            <w:tcW w:w="618" w:type="pct"/>
            <w:tcBorders>
              <w:top w:val="nil"/>
              <w:bottom w:val="nil"/>
            </w:tcBorders>
            <w:shd w:val="solid" w:color="FFFFFF" w:fill="auto"/>
            <w:vAlign w:val="center"/>
          </w:tcPr>
          <w:p w:rsidR="00565FD5" w:rsidRPr="001131FC" w:rsidRDefault="00565FD5" w:rsidP="00AB62A3">
            <w:pPr>
              <w:jc w:val="right"/>
              <w:rPr>
                <w:b/>
                <w:bCs/>
                <w:color w:val="000000"/>
                <w:sz w:val="15"/>
                <w:szCs w:val="15"/>
              </w:rPr>
            </w:pPr>
            <w:r w:rsidRPr="001131FC">
              <w:rPr>
                <w:b/>
                <w:bCs/>
                <w:color w:val="000000"/>
                <w:sz w:val="15"/>
                <w:szCs w:val="15"/>
              </w:rPr>
              <w:t>9,8</w:t>
            </w:r>
          </w:p>
        </w:tc>
      </w:tr>
      <w:tr w:rsidR="00565FD5" w:rsidRPr="001131FC" w:rsidTr="00AB62A3">
        <w:trPr>
          <w:trHeight w:val="255"/>
        </w:trPr>
        <w:tc>
          <w:tcPr>
            <w:tcW w:w="1911" w:type="pct"/>
            <w:tcBorders>
              <w:top w:val="nil"/>
              <w:bottom w:val="nil"/>
            </w:tcBorders>
            <w:shd w:val="solid" w:color="FFFFFF" w:fill="auto"/>
            <w:vAlign w:val="center"/>
          </w:tcPr>
          <w:p w:rsidR="00565FD5" w:rsidRPr="001131FC" w:rsidRDefault="00565FD5" w:rsidP="00AB62A3">
            <w:pPr>
              <w:ind w:left="60"/>
              <w:rPr>
                <w:rFonts w:eastAsia="Arial Unicode MS"/>
                <w:color w:val="000000"/>
                <w:sz w:val="15"/>
                <w:szCs w:val="15"/>
              </w:rPr>
            </w:pPr>
            <w:r w:rsidRPr="001131FC">
              <w:rPr>
                <w:rFonts w:eastAsia="Arial Unicode MS"/>
                <w:color w:val="000000"/>
                <w:sz w:val="15"/>
                <w:szCs w:val="15"/>
              </w:rPr>
              <w:t>Tarım Dışı İşsizlik Oranı (Yüzde)</w:t>
            </w:r>
          </w:p>
        </w:tc>
        <w:tc>
          <w:tcPr>
            <w:tcW w:w="618" w:type="pct"/>
            <w:tcBorders>
              <w:top w:val="nil"/>
              <w:bottom w:val="nil"/>
            </w:tcBorders>
            <w:shd w:val="solid" w:color="FFFFFF" w:fill="auto"/>
            <w:vAlign w:val="center"/>
          </w:tcPr>
          <w:p w:rsidR="00565FD5" w:rsidRPr="001131FC" w:rsidRDefault="00565FD5" w:rsidP="00AB62A3">
            <w:pPr>
              <w:jc w:val="right"/>
              <w:rPr>
                <w:bCs/>
                <w:color w:val="000000"/>
                <w:sz w:val="15"/>
                <w:szCs w:val="15"/>
              </w:rPr>
            </w:pPr>
            <w:r w:rsidRPr="001131FC">
              <w:rPr>
                <w:bCs/>
                <w:color w:val="000000"/>
                <w:sz w:val="15"/>
                <w:szCs w:val="15"/>
              </w:rPr>
              <w:t>12,6</w:t>
            </w:r>
          </w:p>
        </w:tc>
        <w:tc>
          <w:tcPr>
            <w:tcW w:w="618" w:type="pct"/>
            <w:tcBorders>
              <w:top w:val="nil"/>
              <w:bottom w:val="nil"/>
            </w:tcBorders>
            <w:shd w:val="solid" w:color="FFFFFF" w:fill="auto"/>
            <w:vAlign w:val="center"/>
          </w:tcPr>
          <w:p w:rsidR="00565FD5" w:rsidRPr="001131FC" w:rsidRDefault="00565FD5" w:rsidP="00AB62A3">
            <w:pPr>
              <w:jc w:val="right"/>
              <w:rPr>
                <w:color w:val="000000"/>
                <w:sz w:val="15"/>
                <w:szCs w:val="15"/>
              </w:rPr>
            </w:pPr>
            <w:r w:rsidRPr="001131FC">
              <w:rPr>
                <w:color w:val="000000"/>
                <w:sz w:val="15"/>
                <w:szCs w:val="15"/>
              </w:rPr>
              <w:t>13,6</w:t>
            </w:r>
          </w:p>
        </w:tc>
        <w:tc>
          <w:tcPr>
            <w:tcW w:w="618" w:type="pct"/>
            <w:tcBorders>
              <w:top w:val="nil"/>
              <w:bottom w:val="nil"/>
            </w:tcBorders>
            <w:shd w:val="solid" w:color="FFFFFF" w:fill="auto"/>
            <w:vAlign w:val="center"/>
          </w:tcPr>
          <w:p w:rsidR="00565FD5" w:rsidRPr="001131FC" w:rsidRDefault="00565FD5" w:rsidP="00AB62A3">
            <w:pPr>
              <w:ind w:right="24"/>
              <w:jc w:val="right"/>
              <w:rPr>
                <w:rFonts w:eastAsia="Arial Unicode MS"/>
                <w:color w:val="000000"/>
                <w:sz w:val="15"/>
                <w:szCs w:val="15"/>
              </w:rPr>
            </w:pPr>
            <w:r w:rsidRPr="001131FC">
              <w:rPr>
                <w:rFonts w:eastAsia="Arial Unicode MS"/>
                <w:color w:val="000000"/>
                <w:sz w:val="15"/>
                <w:szCs w:val="15"/>
              </w:rPr>
              <w:t>17,4</w:t>
            </w:r>
          </w:p>
        </w:tc>
        <w:tc>
          <w:tcPr>
            <w:tcW w:w="618" w:type="pct"/>
            <w:tcBorders>
              <w:top w:val="nil"/>
              <w:bottom w:val="nil"/>
            </w:tcBorders>
            <w:shd w:val="solid" w:color="FFFFFF" w:fill="auto"/>
            <w:vAlign w:val="center"/>
          </w:tcPr>
          <w:p w:rsidR="00565FD5" w:rsidRPr="001131FC" w:rsidRDefault="00565FD5" w:rsidP="00AB62A3">
            <w:pPr>
              <w:jc w:val="right"/>
              <w:rPr>
                <w:color w:val="000000"/>
                <w:sz w:val="15"/>
                <w:szCs w:val="15"/>
              </w:rPr>
            </w:pPr>
            <w:r w:rsidRPr="001131FC">
              <w:rPr>
                <w:color w:val="000000"/>
                <w:sz w:val="15"/>
                <w:szCs w:val="15"/>
              </w:rPr>
              <w:t>14,8</w:t>
            </w:r>
          </w:p>
        </w:tc>
        <w:tc>
          <w:tcPr>
            <w:tcW w:w="618" w:type="pct"/>
            <w:tcBorders>
              <w:top w:val="nil"/>
              <w:bottom w:val="nil"/>
            </w:tcBorders>
            <w:shd w:val="solid" w:color="FFFFFF" w:fill="auto"/>
            <w:vAlign w:val="center"/>
          </w:tcPr>
          <w:p w:rsidR="00565FD5" w:rsidRPr="001131FC" w:rsidRDefault="00565FD5" w:rsidP="00AB62A3">
            <w:pPr>
              <w:jc w:val="right"/>
              <w:rPr>
                <w:bCs/>
                <w:color w:val="000000"/>
                <w:sz w:val="15"/>
                <w:szCs w:val="15"/>
              </w:rPr>
            </w:pPr>
            <w:r w:rsidRPr="001131FC">
              <w:rPr>
                <w:bCs/>
                <w:color w:val="000000"/>
                <w:sz w:val="15"/>
                <w:szCs w:val="15"/>
              </w:rPr>
              <w:t>12,4</w:t>
            </w:r>
          </w:p>
        </w:tc>
      </w:tr>
      <w:tr w:rsidR="00565FD5" w:rsidRPr="001131FC" w:rsidTr="00AB62A3">
        <w:trPr>
          <w:trHeight w:val="255"/>
        </w:trPr>
        <w:tc>
          <w:tcPr>
            <w:tcW w:w="1911" w:type="pct"/>
            <w:tcBorders>
              <w:top w:val="nil"/>
              <w:bottom w:val="single" w:sz="4" w:space="0" w:color="auto"/>
            </w:tcBorders>
            <w:shd w:val="solid" w:color="FFFFFF" w:fill="auto"/>
            <w:vAlign w:val="center"/>
          </w:tcPr>
          <w:p w:rsidR="00565FD5" w:rsidRPr="001131FC" w:rsidRDefault="00565FD5" w:rsidP="00AB62A3">
            <w:pPr>
              <w:ind w:left="60"/>
              <w:rPr>
                <w:rFonts w:eastAsia="Arial Unicode MS"/>
                <w:color w:val="000000"/>
                <w:sz w:val="15"/>
                <w:szCs w:val="15"/>
              </w:rPr>
            </w:pPr>
            <w:r w:rsidRPr="001131FC">
              <w:rPr>
                <w:rFonts w:eastAsia="Arial Unicode MS"/>
                <w:color w:val="000000"/>
                <w:sz w:val="15"/>
                <w:szCs w:val="15"/>
              </w:rPr>
              <w:t>Genç Nüfusta İşsizlik Oranı (Yüzde)</w:t>
            </w:r>
          </w:p>
        </w:tc>
        <w:tc>
          <w:tcPr>
            <w:tcW w:w="618" w:type="pct"/>
            <w:tcBorders>
              <w:top w:val="nil"/>
              <w:bottom w:val="single" w:sz="4" w:space="0" w:color="auto"/>
            </w:tcBorders>
            <w:shd w:val="solid" w:color="FFFFFF" w:fill="auto"/>
            <w:vAlign w:val="center"/>
          </w:tcPr>
          <w:p w:rsidR="00565FD5" w:rsidRPr="001131FC" w:rsidRDefault="00565FD5" w:rsidP="00AB62A3">
            <w:pPr>
              <w:jc w:val="right"/>
              <w:rPr>
                <w:bCs/>
                <w:color w:val="000000"/>
                <w:sz w:val="15"/>
                <w:szCs w:val="15"/>
              </w:rPr>
            </w:pPr>
            <w:r w:rsidRPr="001131FC">
              <w:rPr>
                <w:bCs/>
                <w:color w:val="000000"/>
                <w:sz w:val="15"/>
                <w:szCs w:val="15"/>
              </w:rPr>
              <w:t>20,0</w:t>
            </w:r>
          </w:p>
        </w:tc>
        <w:tc>
          <w:tcPr>
            <w:tcW w:w="618" w:type="pct"/>
            <w:tcBorders>
              <w:top w:val="nil"/>
              <w:bottom w:val="single" w:sz="4" w:space="0" w:color="auto"/>
            </w:tcBorders>
            <w:shd w:val="solid" w:color="FFFFFF" w:fill="auto"/>
            <w:vAlign w:val="center"/>
          </w:tcPr>
          <w:p w:rsidR="00565FD5" w:rsidRPr="001131FC" w:rsidRDefault="00565FD5" w:rsidP="00AB62A3">
            <w:pPr>
              <w:jc w:val="right"/>
              <w:rPr>
                <w:color w:val="000000"/>
                <w:sz w:val="15"/>
                <w:szCs w:val="15"/>
              </w:rPr>
            </w:pPr>
            <w:r w:rsidRPr="001131FC">
              <w:rPr>
                <w:color w:val="000000"/>
                <w:sz w:val="15"/>
                <w:szCs w:val="15"/>
              </w:rPr>
              <w:t>20,5</w:t>
            </w:r>
          </w:p>
        </w:tc>
        <w:tc>
          <w:tcPr>
            <w:tcW w:w="618" w:type="pct"/>
            <w:tcBorders>
              <w:top w:val="nil"/>
              <w:bottom w:val="single" w:sz="4" w:space="0" w:color="auto"/>
            </w:tcBorders>
            <w:shd w:val="solid" w:color="FFFFFF" w:fill="auto"/>
            <w:vAlign w:val="center"/>
          </w:tcPr>
          <w:p w:rsidR="00565FD5" w:rsidRPr="001131FC" w:rsidRDefault="00565FD5" w:rsidP="00AB62A3">
            <w:pPr>
              <w:ind w:right="24"/>
              <w:jc w:val="right"/>
              <w:rPr>
                <w:color w:val="000000"/>
                <w:sz w:val="15"/>
                <w:szCs w:val="15"/>
              </w:rPr>
            </w:pPr>
            <w:r w:rsidRPr="001131FC">
              <w:rPr>
                <w:color w:val="000000"/>
                <w:sz w:val="15"/>
                <w:szCs w:val="15"/>
              </w:rPr>
              <w:t>25,3</w:t>
            </w:r>
          </w:p>
        </w:tc>
        <w:tc>
          <w:tcPr>
            <w:tcW w:w="618" w:type="pct"/>
            <w:tcBorders>
              <w:top w:val="nil"/>
              <w:bottom w:val="single" w:sz="4" w:space="0" w:color="auto"/>
            </w:tcBorders>
            <w:shd w:val="solid" w:color="FFFFFF" w:fill="auto"/>
            <w:vAlign w:val="center"/>
          </w:tcPr>
          <w:p w:rsidR="00565FD5" w:rsidRPr="001131FC" w:rsidRDefault="00565FD5" w:rsidP="00AB62A3">
            <w:pPr>
              <w:jc w:val="right"/>
              <w:rPr>
                <w:color w:val="000000"/>
                <w:sz w:val="15"/>
                <w:szCs w:val="15"/>
              </w:rPr>
            </w:pPr>
            <w:r w:rsidRPr="001131FC">
              <w:rPr>
                <w:color w:val="000000"/>
                <w:sz w:val="15"/>
                <w:szCs w:val="15"/>
              </w:rPr>
              <w:t>21,7</w:t>
            </w:r>
          </w:p>
        </w:tc>
        <w:tc>
          <w:tcPr>
            <w:tcW w:w="618" w:type="pct"/>
            <w:tcBorders>
              <w:top w:val="nil"/>
              <w:bottom w:val="single" w:sz="4" w:space="0" w:color="auto"/>
            </w:tcBorders>
            <w:shd w:val="solid" w:color="FFFFFF" w:fill="auto"/>
            <w:vAlign w:val="center"/>
          </w:tcPr>
          <w:p w:rsidR="00565FD5" w:rsidRPr="001131FC" w:rsidRDefault="00565FD5" w:rsidP="00AB62A3">
            <w:pPr>
              <w:jc w:val="right"/>
              <w:rPr>
                <w:bCs/>
                <w:color w:val="000000"/>
                <w:sz w:val="15"/>
                <w:szCs w:val="15"/>
              </w:rPr>
            </w:pPr>
            <w:r w:rsidRPr="001131FC">
              <w:rPr>
                <w:bCs/>
                <w:color w:val="000000"/>
                <w:sz w:val="15"/>
                <w:szCs w:val="15"/>
              </w:rPr>
              <w:t>18,4</w:t>
            </w:r>
          </w:p>
        </w:tc>
      </w:tr>
    </w:tbl>
    <w:p w:rsidR="00565FD5" w:rsidRPr="001131FC" w:rsidRDefault="00565FD5" w:rsidP="00565FD5">
      <w:pPr>
        <w:rPr>
          <w:rFonts w:cs="Tahoma"/>
          <w:color w:val="000000"/>
          <w:sz w:val="14"/>
          <w:szCs w:val="14"/>
        </w:rPr>
      </w:pPr>
      <w:r w:rsidRPr="001131FC">
        <w:rPr>
          <w:rFonts w:cs="Tahoma"/>
          <w:color w:val="000000"/>
          <w:sz w:val="14"/>
          <w:szCs w:val="14"/>
        </w:rPr>
        <w:lastRenderedPageBreak/>
        <w:t>Kaynak: TÜİK, Hanehalkı İşgücü Anketi Sonuçları</w:t>
      </w:r>
    </w:p>
    <w:p w:rsidR="00565FD5" w:rsidRPr="001131FC" w:rsidRDefault="00565FD5" w:rsidP="00565FD5">
      <w:pPr>
        <w:rPr>
          <w:rFonts w:cs="Tahoma"/>
          <w:color w:val="000000"/>
          <w:sz w:val="14"/>
          <w:szCs w:val="14"/>
        </w:rPr>
      </w:pPr>
      <w:r w:rsidRPr="001131FC">
        <w:rPr>
          <w:rFonts w:cs="Tahoma"/>
          <w:color w:val="000000"/>
          <w:sz w:val="14"/>
          <w:szCs w:val="14"/>
        </w:rPr>
        <w:t>(1) 2009 yılından itibaren sektörel dağılım NACE Rev.2’ye göredir.</w:t>
      </w:r>
    </w:p>
    <w:p w:rsidR="00565FD5" w:rsidRPr="001131FC" w:rsidRDefault="00565FD5" w:rsidP="00565FD5">
      <w:pPr>
        <w:spacing w:after="120"/>
        <w:rPr>
          <w:rFonts w:cs="Tahoma"/>
          <w:color w:val="000000"/>
          <w:sz w:val="14"/>
          <w:szCs w:val="14"/>
        </w:rPr>
      </w:pPr>
    </w:p>
    <w:p w:rsidR="00565FD5" w:rsidRPr="001131FC" w:rsidRDefault="00565FD5" w:rsidP="00565FD5">
      <w:pPr>
        <w:spacing w:after="180"/>
        <w:ind w:firstLine="425"/>
        <w:rPr>
          <w:color w:val="000000"/>
          <w:szCs w:val="18"/>
        </w:rPr>
      </w:pPr>
      <w:bookmarkStart w:id="306" w:name="_Toc213071574"/>
      <w:r w:rsidRPr="001131FC">
        <w:rPr>
          <w:color w:val="000000"/>
          <w:szCs w:val="18"/>
        </w:rPr>
        <w:t>2011 yılında bir önceki yıla göre tarım, sanayi ve hizmetler sektörlerinde istihdam sırasıyla yüzde 8,1, yüzde 4,6 ve yüzde 6,8 oranlarında artmıştır. Özellikle hizmetler sektöründeki istihdam artışında inşaat sektöründe kaydedilen yüzde 17,1 oranındaki yükseliş etkili olmuştur. 2011 yılında toplam istihdam içerisinde tarım sektörünün payı yüzde 25,5, sanayi ve hizmetler sektörlerinin payları ise sırasıyla yüzde 19,5 ve yüzde 55 olmuştur.</w:t>
      </w:r>
    </w:p>
    <w:p w:rsidR="00565FD5" w:rsidRPr="00796BF8" w:rsidRDefault="00565FD5" w:rsidP="00565FD5">
      <w:pPr>
        <w:pStyle w:val="ResimYazs"/>
        <w:rPr>
          <w:color w:val="000000"/>
        </w:rPr>
      </w:pPr>
      <w:bookmarkStart w:id="307" w:name="_Toc244339780"/>
      <w:bookmarkStart w:id="308" w:name="_Toc275873807"/>
      <w:bookmarkStart w:id="309" w:name="_Toc276076431"/>
      <w:bookmarkStart w:id="310" w:name="_Toc307601595"/>
      <w:bookmarkStart w:id="311" w:name="_Toc307657837"/>
      <w:bookmarkStart w:id="312" w:name="_Toc307702093"/>
      <w:bookmarkStart w:id="313" w:name="_Toc338605957"/>
      <w:bookmarkStart w:id="314" w:name="_Toc338711732"/>
      <w:r>
        <w:t xml:space="preserve">TABLO II: </w:t>
      </w:r>
      <w:fldSimple w:instr=" SEQ TABLO_II: \* ARABIC ">
        <w:r>
          <w:rPr>
            <w:noProof/>
          </w:rPr>
          <w:t>5</w:t>
        </w:r>
      </w:fldSimple>
      <w:r w:rsidRPr="00796BF8">
        <w:rPr>
          <w:color w:val="000000"/>
        </w:rPr>
        <w:t>- Kentsel ve Kırsal İşgücü Piyasasında Gelişmeler</w:t>
      </w:r>
      <w:bookmarkEnd w:id="306"/>
      <w:bookmarkEnd w:id="307"/>
      <w:bookmarkEnd w:id="308"/>
      <w:bookmarkEnd w:id="309"/>
      <w:bookmarkEnd w:id="310"/>
      <w:bookmarkEnd w:id="311"/>
      <w:bookmarkEnd w:id="312"/>
      <w:bookmarkEnd w:id="313"/>
      <w:bookmarkEnd w:id="314"/>
    </w:p>
    <w:p w:rsidR="00565FD5" w:rsidRPr="001131FC" w:rsidRDefault="00565FD5" w:rsidP="00565FD5">
      <w:pPr>
        <w:jc w:val="right"/>
        <w:rPr>
          <w:color w:val="000000"/>
          <w:sz w:val="14"/>
          <w:szCs w:val="16"/>
        </w:rPr>
      </w:pPr>
      <w:r w:rsidRPr="001131FC">
        <w:rPr>
          <w:color w:val="000000"/>
          <w:sz w:val="14"/>
          <w:szCs w:val="16"/>
        </w:rPr>
        <w:t>(15+Yaş, Bin Kişi)</w:t>
      </w:r>
    </w:p>
    <w:tbl>
      <w:tblPr>
        <w:tblW w:w="4957" w:type="pct"/>
        <w:tblBorders>
          <w:top w:val="single" w:sz="4" w:space="0" w:color="auto"/>
          <w:left w:val="single" w:sz="4" w:space="0" w:color="auto"/>
          <w:right w:val="single" w:sz="4" w:space="0" w:color="auto"/>
        </w:tblBorders>
        <w:tblCellMar>
          <w:left w:w="0" w:type="dxa"/>
          <w:right w:w="0" w:type="dxa"/>
        </w:tblCellMar>
        <w:tblLook w:val="0000"/>
      </w:tblPr>
      <w:tblGrid>
        <w:gridCol w:w="2415"/>
        <w:gridCol w:w="284"/>
        <w:gridCol w:w="708"/>
        <w:gridCol w:w="709"/>
        <w:gridCol w:w="709"/>
        <w:gridCol w:w="850"/>
        <w:gridCol w:w="709"/>
        <w:gridCol w:w="708"/>
      </w:tblGrid>
      <w:tr w:rsidR="00565FD5" w:rsidRPr="001131FC" w:rsidTr="00AB62A3">
        <w:trPr>
          <w:trHeight w:val="259"/>
        </w:trPr>
        <w:tc>
          <w:tcPr>
            <w:tcW w:w="2415" w:type="dxa"/>
            <w:tcBorders>
              <w:top w:val="single" w:sz="4" w:space="0" w:color="auto"/>
            </w:tcBorders>
            <w:shd w:val="solid" w:color="FFFFFF" w:fill="auto"/>
            <w:vAlign w:val="center"/>
          </w:tcPr>
          <w:p w:rsidR="00565FD5" w:rsidRPr="001131FC" w:rsidRDefault="00565FD5" w:rsidP="00AB62A3">
            <w:pPr>
              <w:ind w:left="120" w:right="57"/>
              <w:rPr>
                <w:b/>
                <w:snapToGrid w:val="0"/>
                <w:color w:val="000000"/>
                <w:sz w:val="15"/>
                <w:szCs w:val="15"/>
              </w:rPr>
            </w:pPr>
          </w:p>
        </w:tc>
        <w:tc>
          <w:tcPr>
            <w:tcW w:w="2410" w:type="dxa"/>
            <w:gridSpan w:val="4"/>
            <w:tcBorders>
              <w:top w:val="single" w:sz="4" w:space="0" w:color="auto"/>
              <w:right w:val="single" w:sz="4" w:space="0" w:color="auto"/>
            </w:tcBorders>
            <w:shd w:val="solid" w:color="FFFFFF" w:fill="auto"/>
            <w:vAlign w:val="center"/>
          </w:tcPr>
          <w:p w:rsidR="00565FD5" w:rsidRPr="001131FC" w:rsidRDefault="00565FD5" w:rsidP="00AB62A3">
            <w:pPr>
              <w:ind w:right="57"/>
              <w:jc w:val="center"/>
              <w:rPr>
                <w:b/>
                <w:snapToGrid w:val="0"/>
                <w:color w:val="000000"/>
                <w:sz w:val="15"/>
                <w:szCs w:val="15"/>
              </w:rPr>
            </w:pPr>
            <w:r w:rsidRPr="001131FC">
              <w:rPr>
                <w:b/>
                <w:snapToGrid w:val="0"/>
                <w:color w:val="000000"/>
                <w:sz w:val="15"/>
                <w:szCs w:val="15"/>
              </w:rPr>
              <w:t>Kent</w:t>
            </w:r>
          </w:p>
        </w:tc>
        <w:tc>
          <w:tcPr>
            <w:tcW w:w="2267" w:type="dxa"/>
            <w:gridSpan w:val="3"/>
            <w:tcBorders>
              <w:top w:val="single" w:sz="4" w:space="0" w:color="auto"/>
              <w:left w:val="single" w:sz="4" w:space="0" w:color="auto"/>
            </w:tcBorders>
            <w:shd w:val="solid" w:color="FFFFFF" w:fill="auto"/>
            <w:vAlign w:val="center"/>
          </w:tcPr>
          <w:p w:rsidR="00565FD5" w:rsidRPr="001131FC" w:rsidRDefault="00565FD5" w:rsidP="00AB62A3">
            <w:pPr>
              <w:ind w:right="57"/>
              <w:jc w:val="center"/>
              <w:rPr>
                <w:b/>
                <w:snapToGrid w:val="0"/>
                <w:color w:val="000000"/>
                <w:sz w:val="15"/>
                <w:szCs w:val="15"/>
              </w:rPr>
            </w:pPr>
            <w:r w:rsidRPr="001131FC">
              <w:rPr>
                <w:b/>
                <w:snapToGrid w:val="0"/>
                <w:color w:val="000000"/>
                <w:sz w:val="15"/>
                <w:szCs w:val="15"/>
              </w:rPr>
              <w:t>Kır</w:t>
            </w:r>
          </w:p>
        </w:tc>
      </w:tr>
      <w:tr w:rsidR="00565FD5" w:rsidRPr="001131FC" w:rsidTr="00AB62A3">
        <w:tblPrEx>
          <w:tblBorders>
            <w:top w:val="none" w:sz="0" w:space="0" w:color="auto"/>
            <w:left w:val="none" w:sz="0" w:space="0" w:color="auto"/>
            <w:right w:val="none" w:sz="0" w:space="0" w:color="auto"/>
          </w:tblBorders>
        </w:tblPrEx>
        <w:trPr>
          <w:trHeight w:val="259"/>
        </w:trPr>
        <w:tc>
          <w:tcPr>
            <w:tcW w:w="2699" w:type="dxa"/>
            <w:gridSpan w:val="2"/>
            <w:tcBorders>
              <w:top w:val="single" w:sz="4" w:space="0" w:color="auto"/>
              <w:left w:val="single" w:sz="4" w:space="0" w:color="auto"/>
              <w:bottom w:val="single" w:sz="4" w:space="0" w:color="auto"/>
            </w:tcBorders>
            <w:shd w:val="solid" w:color="FFFFFF" w:fill="auto"/>
            <w:vAlign w:val="center"/>
          </w:tcPr>
          <w:p w:rsidR="00565FD5" w:rsidRPr="001131FC" w:rsidRDefault="00565FD5" w:rsidP="00AB62A3">
            <w:pPr>
              <w:ind w:left="120" w:right="57"/>
              <w:rPr>
                <w:b/>
                <w:snapToGrid w:val="0"/>
                <w:color w:val="000000"/>
                <w:sz w:val="15"/>
                <w:szCs w:val="15"/>
              </w:rPr>
            </w:pPr>
          </w:p>
        </w:tc>
        <w:tc>
          <w:tcPr>
            <w:tcW w:w="708" w:type="dxa"/>
            <w:tcBorders>
              <w:top w:val="single" w:sz="4" w:space="0" w:color="auto"/>
              <w:bottom w:val="single" w:sz="4" w:space="0" w:color="auto"/>
            </w:tcBorders>
            <w:shd w:val="solid" w:color="FFFFFF" w:fill="auto"/>
            <w:vAlign w:val="center"/>
          </w:tcPr>
          <w:p w:rsidR="00565FD5" w:rsidRPr="001131FC" w:rsidRDefault="00565FD5" w:rsidP="00AB62A3">
            <w:pPr>
              <w:ind w:right="57"/>
              <w:jc w:val="right"/>
              <w:rPr>
                <w:b/>
                <w:snapToGrid w:val="0"/>
                <w:color w:val="000000"/>
                <w:sz w:val="15"/>
                <w:szCs w:val="15"/>
              </w:rPr>
            </w:pPr>
            <w:r w:rsidRPr="001131FC">
              <w:rPr>
                <w:b/>
                <w:snapToGrid w:val="0"/>
                <w:color w:val="000000"/>
                <w:sz w:val="15"/>
                <w:szCs w:val="15"/>
              </w:rPr>
              <w:t>2009</w:t>
            </w:r>
          </w:p>
        </w:tc>
        <w:tc>
          <w:tcPr>
            <w:tcW w:w="709" w:type="dxa"/>
            <w:tcBorders>
              <w:top w:val="single" w:sz="4" w:space="0" w:color="auto"/>
              <w:bottom w:val="single" w:sz="4" w:space="0" w:color="auto"/>
            </w:tcBorders>
            <w:shd w:val="solid" w:color="FFFFFF" w:fill="auto"/>
            <w:vAlign w:val="center"/>
          </w:tcPr>
          <w:p w:rsidR="00565FD5" w:rsidRPr="001131FC" w:rsidRDefault="00565FD5" w:rsidP="00AB62A3">
            <w:pPr>
              <w:ind w:right="57"/>
              <w:jc w:val="right"/>
              <w:rPr>
                <w:b/>
                <w:snapToGrid w:val="0"/>
                <w:color w:val="000000"/>
                <w:sz w:val="15"/>
                <w:szCs w:val="15"/>
              </w:rPr>
            </w:pPr>
            <w:r w:rsidRPr="001131FC">
              <w:rPr>
                <w:b/>
                <w:snapToGrid w:val="0"/>
                <w:color w:val="000000"/>
                <w:sz w:val="15"/>
                <w:szCs w:val="15"/>
              </w:rPr>
              <w:t>2010</w:t>
            </w:r>
          </w:p>
        </w:tc>
        <w:tc>
          <w:tcPr>
            <w:tcW w:w="709" w:type="dxa"/>
            <w:tcBorders>
              <w:top w:val="single" w:sz="4" w:space="0" w:color="auto"/>
              <w:bottom w:val="single" w:sz="4" w:space="0" w:color="auto"/>
              <w:right w:val="single" w:sz="4" w:space="0" w:color="auto"/>
            </w:tcBorders>
            <w:shd w:val="solid" w:color="FFFFFF" w:fill="auto"/>
            <w:vAlign w:val="center"/>
          </w:tcPr>
          <w:p w:rsidR="00565FD5" w:rsidRPr="001131FC" w:rsidRDefault="00565FD5" w:rsidP="00AB62A3">
            <w:pPr>
              <w:ind w:right="57"/>
              <w:jc w:val="right"/>
              <w:rPr>
                <w:b/>
                <w:snapToGrid w:val="0"/>
                <w:color w:val="000000"/>
                <w:sz w:val="15"/>
                <w:szCs w:val="15"/>
              </w:rPr>
            </w:pPr>
            <w:r w:rsidRPr="001131FC">
              <w:rPr>
                <w:b/>
                <w:snapToGrid w:val="0"/>
                <w:color w:val="000000"/>
                <w:sz w:val="15"/>
                <w:szCs w:val="15"/>
              </w:rPr>
              <w:t>2011</w:t>
            </w:r>
          </w:p>
        </w:tc>
        <w:tc>
          <w:tcPr>
            <w:tcW w:w="850" w:type="dxa"/>
            <w:tcBorders>
              <w:top w:val="single" w:sz="4" w:space="0" w:color="auto"/>
              <w:left w:val="single" w:sz="4" w:space="0" w:color="auto"/>
              <w:bottom w:val="single" w:sz="4" w:space="0" w:color="auto"/>
            </w:tcBorders>
            <w:shd w:val="solid" w:color="FFFFFF" w:fill="auto"/>
            <w:vAlign w:val="center"/>
          </w:tcPr>
          <w:p w:rsidR="00565FD5" w:rsidRPr="001131FC" w:rsidRDefault="00565FD5" w:rsidP="00AB62A3">
            <w:pPr>
              <w:ind w:left="-179" w:right="57"/>
              <w:jc w:val="right"/>
              <w:rPr>
                <w:b/>
                <w:snapToGrid w:val="0"/>
                <w:color w:val="000000"/>
                <w:sz w:val="15"/>
                <w:szCs w:val="15"/>
              </w:rPr>
            </w:pPr>
            <w:r w:rsidRPr="001131FC">
              <w:rPr>
                <w:b/>
                <w:snapToGrid w:val="0"/>
                <w:color w:val="000000"/>
                <w:sz w:val="15"/>
                <w:szCs w:val="15"/>
              </w:rPr>
              <w:t>2009</w:t>
            </w:r>
          </w:p>
        </w:tc>
        <w:tc>
          <w:tcPr>
            <w:tcW w:w="709" w:type="dxa"/>
            <w:tcBorders>
              <w:top w:val="single" w:sz="4" w:space="0" w:color="auto"/>
              <w:left w:val="nil"/>
              <w:bottom w:val="single" w:sz="4" w:space="0" w:color="auto"/>
            </w:tcBorders>
            <w:shd w:val="solid" w:color="FFFFFF" w:fill="auto"/>
            <w:vAlign w:val="center"/>
          </w:tcPr>
          <w:p w:rsidR="00565FD5" w:rsidRPr="001131FC" w:rsidRDefault="00565FD5" w:rsidP="00AB62A3">
            <w:pPr>
              <w:ind w:left="-179" w:right="57"/>
              <w:jc w:val="right"/>
              <w:rPr>
                <w:b/>
                <w:snapToGrid w:val="0"/>
                <w:color w:val="000000"/>
                <w:sz w:val="15"/>
                <w:szCs w:val="15"/>
              </w:rPr>
            </w:pPr>
            <w:r w:rsidRPr="001131FC">
              <w:rPr>
                <w:b/>
                <w:snapToGrid w:val="0"/>
                <w:color w:val="000000"/>
                <w:sz w:val="15"/>
                <w:szCs w:val="15"/>
              </w:rPr>
              <w:t>2010</w:t>
            </w:r>
          </w:p>
        </w:tc>
        <w:tc>
          <w:tcPr>
            <w:tcW w:w="708" w:type="dxa"/>
            <w:tcBorders>
              <w:top w:val="single" w:sz="4" w:space="0" w:color="auto"/>
              <w:left w:val="nil"/>
              <w:bottom w:val="single" w:sz="4" w:space="0" w:color="auto"/>
              <w:right w:val="single" w:sz="4" w:space="0" w:color="auto"/>
            </w:tcBorders>
            <w:shd w:val="solid" w:color="FFFFFF" w:fill="auto"/>
            <w:vAlign w:val="center"/>
          </w:tcPr>
          <w:p w:rsidR="00565FD5" w:rsidRPr="001131FC" w:rsidRDefault="00565FD5" w:rsidP="00AB62A3">
            <w:pPr>
              <w:ind w:left="-179" w:right="57"/>
              <w:jc w:val="right"/>
              <w:rPr>
                <w:b/>
                <w:snapToGrid w:val="0"/>
                <w:color w:val="000000"/>
                <w:sz w:val="15"/>
                <w:szCs w:val="15"/>
              </w:rPr>
            </w:pPr>
            <w:r w:rsidRPr="001131FC">
              <w:rPr>
                <w:b/>
                <w:snapToGrid w:val="0"/>
                <w:color w:val="000000"/>
                <w:sz w:val="15"/>
                <w:szCs w:val="15"/>
              </w:rPr>
              <w:t>2011</w:t>
            </w:r>
          </w:p>
        </w:tc>
      </w:tr>
      <w:tr w:rsidR="00565FD5" w:rsidRPr="001131FC" w:rsidTr="00AB62A3">
        <w:tblPrEx>
          <w:tblBorders>
            <w:top w:val="none" w:sz="0" w:space="0" w:color="auto"/>
            <w:left w:val="none" w:sz="0" w:space="0" w:color="auto"/>
            <w:right w:val="none" w:sz="0" w:space="0" w:color="auto"/>
          </w:tblBorders>
        </w:tblPrEx>
        <w:trPr>
          <w:trHeight w:val="259"/>
        </w:trPr>
        <w:tc>
          <w:tcPr>
            <w:tcW w:w="2699" w:type="dxa"/>
            <w:gridSpan w:val="2"/>
            <w:tcBorders>
              <w:top w:val="single" w:sz="4" w:space="0" w:color="auto"/>
              <w:left w:val="single" w:sz="4" w:space="0" w:color="auto"/>
            </w:tcBorders>
            <w:shd w:val="solid" w:color="FFFFFF" w:fill="auto"/>
            <w:vAlign w:val="center"/>
          </w:tcPr>
          <w:p w:rsidR="00565FD5" w:rsidRPr="001131FC" w:rsidRDefault="00565FD5" w:rsidP="00AB62A3">
            <w:pPr>
              <w:ind w:left="120" w:right="57"/>
              <w:rPr>
                <w:b/>
                <w:snapToGrid w:val="0"/>
                <w:color w:val="000000"/>
                <w:sz w:val="15"/>
                <w:szCs w:val="15"/>
              </w:rPr>
            </w:pPr>
            <w:r w:rsidRPr="001131FC">
              <w:rPr>
                <w:rFonts w:eastAsia="Arial Unicode MS"/>
                <w:b/>
                <w:bCs/>
                <w:color w:val="000000"/>
                <w:sz w:val="15"/>
                <w:szCs w:val="15"/>
              </w:rPr>
              <w:t>Çalışma Çağındaki Nüfus</w:t>
            </w:r>
            <w:r w:rsidRPr="001131FC">
              <w:rPr>
                <w:b/>
                <w:snapToGrid w:val="0"/>
                <w:color w:val="000000"/>
                <w:sz w:val="15"/>
                <w:szCs w:val="15"/>
              </w:rPr>
              <w:t xml:space="preserve"> </w:t>
            </w:r>
          </w:p>
        </w:tc>
        <w:tc>
          <w:tcPr>
            <w:tcW w:w="708" w:type="dxa"/>
            <w:tcBorders>
              <w:top w:val="single" w:sz="4" w:space="0" w:color="auto"/>
            </w:tcBorders>
            <w:shd w:val="solid" w:color="FFFFFF" w:fill="auto"/>
            <w:vAlign w:val="center"/>
          </w:tcPr>
          <w:p w:rsidR="00565FD5" w:rsidRPr="001131FC" w:rsidRDefault="00565FD5" w:rsidP="00AB62A3">
            <w:pPr>
              <w:ind w:right="57"/>
              <w:jc w:val="right"/>
              <w:rPr>
                <w:rFonts w:eastAsia="Arial Unicode MS"/>
                <w:b/>
                <w:color w:val="000000"/>
                <w:sz w:val="15"/>
                <w:szCs w:val="15"/>
              </w:rPr>
            </w:pPr>
            <w:r w:rsidRPr="001131FC">
              <w:rPr>
                <w:rFonts w:eastAsia="Arial Unicode MS"/>
                <w:b/>
                <w:color w:val="000000"/>
                <w:sz w:val="15"/>
                <w:szCs w:val="15"/>
              </w:rPr>
              <w:t>36 197</w:t>
            </w:r>
          </w:p>
        </w:tc>
        <w:tc>
          <w:tcPr>
            <w:tcW w:w="709" w:type="dxa"/>
            <w:tcBorders>
              <w:top w:val="single" w:sz="4" w:space="0" w:color="auto"/>
            </w:tcBorders>
            <w:shd w:val="solid" w:color="FFFFFF" w:fill="auto"/>
            <w:vAlign w:val="center"/>
          </w:tcPr>
          <w:p w:rsidR="00565FD5" w:rsidRPr="001131FC" w:rsidRDefault="00565FD5" w:rsidP="00AB62A3">
            <w:pPr>
              <w:ind w:right="57"/>
              <w:jc w:val="right"/>
              <w:rPr>
                <w:rFonts w:eastAsia="Arial Unicode MS"/>
                <w:b/>
                <w:color w:val="000000"/>
                <w:sz w:val="15"/>
                <w:szCs w:val="15"/>
              </w:rPr>
            </w:pPr>
            <w:r w:rsidRPr="001131FC">
              <w:rPr>
                <w:rFonts w:eastAsia="Arial Unicode MS"/>
                <w:b/>
                <w:color w:val="000000"/>
                <w:sz w:val="15"/>
                <w:szCs w:val="15"/>
              </w:rPr>
              <w:t>36 576</w:t>
            </w:r>
          </w:p>
        </w:tc>
        <w:tc>
          <w:tcPr>
            <w:tcW w:w="709" w:type="dxa"/>
            <w:tcBorders>
              <w:top w:val="single" w:sz="4" w:space="0" w:color="auto"/>
              <w:right w:val="single" w:sz="4" w:space="0" w:color="auto"/>
            </w:tcBorders>
            <w:shd w:val="solid" w:color="FFFFFF" w:fill="auto"/>
            <w:vAlign w:val="center"/>
          </w:tcPr>
          <w:p w:rsidR="00565FD5" w:rsidRPr="001131FC" w:rsidRDefault="00565FD5" w:rsidP="00AB62A3">
            <w:pPr>
              <w:ind w:right="57"/>
              <w:jc w:val="right"/>
              <w:rPr>
                <w:rFonts w:eastAsia="Arial Unicode MS"/>
                <w:b/>
                <w:color w:val="000000"/>
                <w:sz w:val="15"/>
                <w:szCs w:val="15"/>
              </w:rPr>
            </w:pPr>
            <w:r w:rsidRPr="001131FC">
              <w:rPr>
                <w:rFonts w:eastAsia="Arial Unicode MS"/>
                <w:b/>
                <w:color w:val="000000"/>
                <w:sz w:val="15"/>
                <w:szCs w:val="15"/>
              </w:rPr>
              <w:t>36 973</w:t>
            </w:r>
          </w:p>
        </w:tc>
        <w:tc>
          <w:tcPr>
            <w:tcW w:w="850" w:type="dxa"/>
            <w:tcBorders>
              <w:top w:val="single" w:sz="4" w:space="0" w:color="auto"/>
              <w:left w:val="single" w:sz="4" w:space="0" w:color="auto"/>
            </w:tcBorders>
            <w:shd w:val="solid" w:color="FFFFFF" w:fill="auto"/>
            <w:vAlign w:val="center"/>
          </w:tcPr>
          <w:p w:rsidR="00565FD5" w:rsidRPr="001131FC" w:rsidRDefault="00565FD5" w:rsidP="00AB62A3">
            <w:pPr>
              <w:ind w:left="-179" w:right="57"/>
              <w:jc w:val="right"/>
              <w:rPr>
                <w:rFonts w:eastAsia="Arial Unicode MS"/>
                <w:b/>
                <w:color w:val="000000"/>
                <w:sz w:val="15"/>
                <w:szCs w:val="15"/>
              </w:rPr>
            </w:pPr>
            <w:r w:rsidRPr="001131FC">
              <w:rPr>
                <w:rFonts w:eastAsia="Arial Unicode MS"/>
                <w:b/>
                <w:color w:val="000000"/>
                <w:sz w:val="15"/>
                <w:szCs w:val="15"/>
              </w:rPr>
              <w:t>15 489</w:t>
            </w:r>
          </w:p>
        </w:tc>
        <w:tc>
          <w:tcPr>
            <w:tcW w:w="709" w:type="dxa"/>
            <w:tcBorders>
              <w:top w:val="single" w:sz="4" w:space="0" w:color="auto"/>
              <w:left w:val="nil"/>
            </w:tcBorders>
            <w:shd w:val="solid" w:color="FFFFFF" w:fill="auto"/>
            <w:vAlign w:val="center"/>
          </w:tcPr>
          <w:p w:rsidR="00565FD5" w:rsidRPr="001131FC" w:rsidRDefault="00565FD5" w:rsidP="00AB62A3">
            <w:pPr>
              <w:ind w:left="-179" w:right="57"/>
              <w:jc w:val="right"/>
              <w:rPr>
                <w:rFonts w:eastAsia="Arial Unicode MS"/>
                <w:b/>
                <w:color w:val="000000"/>
                <w:sz w:val="15"/>
                <w:szCs w:val="15"/>
              </w:rPr>
            </w:pPr>
            <w:r w:rsidRPr="001131FC">
              <w:rPr>
                <w:rFonts w:eastAsia="Arial Unicode MS"/>
                <w:b/>
                <w:color w:val="000000"/>
                <w:sz w:val="15"/>
                <w:szCs w:val="15"/>
              </w:rPr>
              <w:t>15 965</w:t>
            </w:r>
          </w:p>
        </w:tc>
        <w:tc>
          <w:tcPr>
            <w:tcW w:w="708" w:type="dxa"/>
            <w:tcBorders>
              <w:top w:val="single" w:sz="4" w:space="0" w:color="auto"/>
              <w:left w:val="nil"/>
              <w:right w:val="single" w:sz="4" w:space="0" w:color="auto"/>
            </w:tcBorders>
            <w:shd w:val="solid" w:color="FFFFFF" w:fill="auto"/>
            <w:vAlign w:val="center"/>
          </w:tcPr>
          <w:p w:rsidR="00565FD5" w:rsidRPr="001131FC" w:rsidRDefault="00565FD5" w:rsidP="00AB62A3">
            <w:pPr>
              <w:ind w:left="-179" w:right="57"/>
              <w:jc w:val="right"/>
              <w:rPr>
                <w:rFonts w:eastAsia="Arial Unicode MS"/>
                <w:b/>
                <w:color w:val="000000"/>
                <w:sz w:val="15"/>
                <w:szCs w:val="15"/>
              </w:rPr>
            </w:pPr>
            <w:r w:rsidRPr="001131FC">
              <w:rPr>
                <w:rFonts w:eastAsia="Arial Unicode MS"/>
                <w:b/>
                <w:color w:val="000000"/>
                <w:sz w:val="15"/>
                <w:szCs w:val="15"/>
              </w:rPr>
              <w:t>16 620</w:t>
            </w:r>
          </w:p>
        </w:tc>
      </w:tr>
      <w:tr w:rsidR="00565FD5" w:rsidRPr="001131FC" w:rsidTr="00AB62A3">
        <w:tblPrEx>
          <w:tblBorders>
            <w:top w:val="none" w:sz="0" w:space="0" w:color="auto"/>
            <w:left w:val="none" w:sz="0" w:space="0" w:color="auto"/>
            <w:right w:val="none" w:sz="0" w:space="0" w:color="auto"/>
          </w:tblBorders>
        </w:tblPrEx>
        <w:trPr>
          <w:trHeight w:val="259"/>
        </w:trPr>
        <w:tc>
          <w:tcPr>
            <w:tcW w:w="2699" w:type="dxa"/>
            <w:gridSpan w:val="2"/>
            <w:tcBorders>
              <w:left w:val="single" w:sz="4" w:space="0" w:color="auto"/>
            </w:tcBorders>
            <w:shd w:val="solid" w:color="FFFFFF" w:fill="auto"/>
            <w:vAlign w:val="center"/>
          </w:tcPr>
          <w:p w:rsidR="00565FD5" w:rsidRPr="001131FC" w:rsidRDefault="00565FD5" w:rsidP="00AB62A3">
            <w:pPr>
              <w:ind w:left="120" w:right="57"/>
              <w:rPr>
                <w:b/>
                <w:snapToGrid w:val="0"/>
                <w:color w:val="000000"/>
                <w:sz w:val="15"/>
                <w:szCs w:val="15"/>
              </w:rPr>
            </w:pPr>
            <w:r w:rsidRPr="001131FC">
              <w:rPr>
                <w:b/>
                <w:snapToGrid w:val="0"/>
                <w:color w:val="000000"/>
                <w:sz w:val="15"/>
                <w:szCs w:val="15"/>
              </w:rPr>
              <w:t>İşgücü</w:t>
            </w:r>
          </w:p>
        </w:tc>
        <w:tc>
          <w:tcPr>
            <w:tcW w:w="708" w:type="dxa"/>
            <w:shd w:val="solid" w:color="FFFFFF" w:fill="auto"/>
            <w:vAlign w:val="center"/>
          </w:tcPr>
          <w:p w:rsidR="00565FD5" w:rsidRPr="001131FC" w:rsidRDefault="00565FD5" w:rsidP="00AB62A3">
            <w:pPr>
              <w:ind w:right="57"/>
              <w:jc w:val="right"/>
              <w:rPr>
                <w:rFonts w:eastAsia="Arial Unicode MS"/>
                <w:b/>
                <w:color w:val="000000"/>
                <w:sz w:val="15"/>
                <w:szCs w:val="15"/>
              </w:rPr>
            </w:pPr>
            <w:r w:rsidRPr="001131FC">
              <w:rPr>
                <w:rFonts w:eastAsia="Arial Unicode MS"/>
                <w:b/>
                <w:color w:val="000000"/>
                <w:sz w:val="15"/>
                <w:szCs w:val="15"/>
              </w:rPr>
              <w:t>16 585</w:t>
            </w:r>
          </w:p>
        </w:tc>
        <w:tc>
          <w:tcPr>
            <w:tcW w:w="709" w:type="dxa"/>
            <w:shd w:val="solid" w:color="FFFFFF" w:fill="auto"/>
            <w:vAlign w:val="center"/>
          </w:tcPr>
          <w:p w:rsidR="00565FD5" w:rsidRPr="001131FC" w:rsidRDefault="00565FD5" w:rsidP="00AB62A3">
            <w:pPr>
              <w:ind w:right="57"/>
              <w:jc w:val="right"/>
              <w:rPr>
                <w:rFonts w:eastAsia="Arial Unicode MS"/>
                <w:b/>
                <w:color w:val="000000"/>
                <w:sz w:val="15"/>
                <w:szCs w:val="15"/>
              </w:rPr>
            </w:pPr>
            <w:r w:rsidRPr="001131FC">
              <w:rPr>
                <w:rFonts w:eastAsia="Arial Unicode MS"/>
                <w:b/>
                <w:color w:val="000000"/>
                <w:sz w:val="15"/>
                <w:szCs w:val="15"/>
              </w:rPr>
              <w:t>17 105</w:t>
            </w:r>
          </w:p>
        </w:tc>
        <w:tc>
          <w:tcPr>
            <w:tcW w:w="709" w:type="dxa"/>
            <w:tcBorders>
              <w:right w:val="single" w:sz="4" w:space="0" w:color="auto"/>
            </w:tcBorders>
            <w:shd w:val="solid" w:color="FFFFFF" w:fill="auto"/>
            <w:vAlign w:val="center"/>
          </w:tcPr>
          <w:p w:rsidR="00565FD5" w:rsidRPr="001131FC" w:rsidRDefault="00565FD5" w:rsidP="00AB62A3">
            <w:pPr>
              <w:ind w:right="57"/>
              <w:jc w:val="right"/>
              <w:rPr>
                <w:rFonts w:eastAsia="Arial Unicode MS"/>
                <w:b/>
                <w:color w:val="000000"/>
                <w:sz w:val="15"/>
                <w:szCs w:val="15"/>
              </w:rPr>
            </w:pPr>
            <w:r w:rsidRPr="001131FC">
              <w:rPr>
                <w:rFonts w:eastAsia="Arial Unicode MS"/>
                <w:b/>
                <w:color w:val="000000"/>
                <w:sz w:val="15"/>
                <w:szCs w:val="15"/>
              </w:rPr>
              <w:t>17 594</w:t>
            </w:r>
          </w:p>
        </w:tc>
        <w:tc>
          <w:tcPr>
            <w:tcW w:w="850" w:type="dxa"/>
            <w:tcBorders>
              <w:left w:val="single" w:sz="4" w:space="0" w:color="auto"/>
            </w:tcBorders>
            <w:shd w:val="solid" w:color="FFFFFF" w:fill="auto"/>
            <w:vAlign w:val="center"/>
          </w:tcPr>
          <w:p w:rsidR="00565FD5" w:rsidRPr="001131FC" w:rsidRDefault="00565FD5" w:rsidP="00AB62A3">
            <w:pPr>
              <w:ind w:left="-179" w:right="57"/>
              <w:jc w:val="right"/>
              <w:rPr>
                <w:rFonts w:eastAsia="Arial Unicode MS"/>
                <w:b/>
                <w:color w:val="000000"/>
                <w:sz w:val="15"/>
                <w:szCs w:val="15"/>
              </w:rPr>
            </w:pPr>
            <w:r w:rsidRPr="001131FC">
              <w:rPr>
                <w:rFonts w:eastAsia="Arial Unicode MS"/>
                <w:b/>
                <w:color w:val="000000"/>
                <w:sz w:val="15"/>
                <w:szCs w:val="15"/>
              </w:rPr>
              <w:t>8 163</w:t>
            </w:r>
          </w:p>
        </w:tc>
        <w:tc>
          <w:tcPr>
            <w:tcW w:w="709" w:type="dxa"/>
            <w:tcBorders>
              <w:left w:val="nil"/>
            </w:tcBorders>
            <w:shd w:val="solid" w:color="FFFFFF" w:fill="auto"/>
            <w:vAlign w:val="center"/>
          </w:tcPr>
          <w:p w:rsidR="00565FD5" w:rsidRPr="001131FC" w:rsidRDefault="00565FD5" w:rsidP="00AB62A3">
            <w:pPr>
              <w:ind w:left="-179" w:right="57"/>
              <w:jc w:val="right"/>
              <w:rPr>
                <w:rFonts w:eastAsia="Arial Unicode MS"/>
                <w:b/>
                <w:color w:val="000000"/>
                <w:sz w:val="15"/>
                <w:szCs w:val="15"/>
              </w:rPr>
            </w:pPr>
            <w:r w:rsidRPr="001131FC">
              <w:rPr>
                <w:rFonts w:eastAsia="Arial Unicode MS"/>
                <w:b/>
                <w:color w:val="000000"/>
                <w:sz w:val="15"/>
                <w:szCs w:val="15"/>
              </w:rPr>
              <w:t>8 536</w:t>
            </w:r>
          </w:p>
        </w:tc>
        <w:tc>
          <w:tcPr>
            <w:tcW w:w="708" w:type="dxa"/>
            <w:tcBorders>
              <w:left w:val="nil"/>
              <w:right w:val="single" w:sz="4" w:space="0" w:color="auto"/>
            </w:tcBorders>
            <w:shd w:val="solid" w:color="FFFFFF" w:fill="auto"/>
            <w:vAlign w:val="center"/>
          </w:tcPr>
          <w:p w:rsidR="00565FD5" w:rsidRPr="001131FC" w:rsidRDefault="00565FD5" w:rsidP="00AB62A3">
            <w:pPr>
              <w:ind w:left="-179" w:right="57"/>
              <w:jc w:val="right"/>
              <w:rPr>
                <w:rFonts w:eastAsia="Arial Unicode MS"/>
                <w:b/>
                <w:color w:val="000000"/>
                <w:sz w:val="15"/>
                <w:szCs w:val="15"/>
              </w:rPr>
            </w:pPr>
            <w:r w:rsidRPr="001131FC">
              <w:rPr>
                <w:rFonts w:eastAsia="Arial Unicode MS"/>
                <w:b/>
                <w:color w:val="000000"/>
                <w:sz w:val="15"/>
                <w:szCs w:val="15"/>
              </w:rPr>
              <w:t>9 131</w:t>
            </w:r>
          </w:p>
        </w:tc>
      </w:tr>
      <w:tr w:rsidR="00565FD5" w:rsidRPr="001131FC" w:rsidTr="00AB62A3">
        <w:tblPrEx>
          <w:tblBorders>
            <w:top w:val="none" w:sz="0" w:space="0" w:color="auto"/>
            <w:left w:val="none" w:sz="0" w:space="0" w:color="auto"/>
            <w:right w:val="none" w:sz="0" w:space="0" w:color="auto"/>
          </w:tblBorders>
        </w:tblPrEx>
        <w:trPr>
          <w:trHeight w:val="259"/>
        </w:trPr>
        <w:tc>
          <w:tcPr>
            <w:tcW w:w="2699" w:type="dxa"/>
            <w:gridSpan w:val="2"/>
            <w:tcBorders>
              <w:left w:val="single" w:sz="4" w:space="0" w:color="auto"/>
            </w:tcBorders>
            <w:shd w:val="solid" w:color="FFFFFF" w:fill="auto"/>
            <w:vAlign w:val="center"/>
          </w:tcPr>
          <w:p w:rsidR="00565FD5" w:rsidRPr="001131FC" w:rsidRDefault="00565FD5" w:rsidP="00AB62A3">
            <w:pPr>
              <w:ind w:left="120" w:right="57"/>
              <w:rPr>
                <w:b/>
                <w:snapToGrid w:val="0"/>
                <w:color w:val="000000"/>
                <w:sz w:val="15"/>
                <w:szCs w:val="15"/>
              </w:rPr>
            </w:pPr>
            <w:r w:rsidRPr="001131FC">
              <w:rPr>
                <w:b/>
                <w:snapToGrid w:val="0"/>
                <w:color w:val="000000"/>
                <w:sz w:val="15"/>
                <w:szCs w:val="15"/>
              </w:rPr>
              <w:t>İstihdam</w:t>
            </w:r>
          </w:p>
        </w:tc>
        <w:tc>
          <w:tcPr>
            <w:tcW w:w="708" w:type="dxa"/>
            <w:shd w:val="solid" w:color="FFFFFF" w:fill="auto"/>
            <w:vAlign w:val="center"/>
          </w:tcPr>
          <w:p w:rsidR="00565FD5" w:rsidRPr="001131FC" w:rsidRDefault="00565FD5" w:rsidP="00AB62A3">
            <w:pPr>
              <w:ind w:right="57"/>
              <w:jc w:val="right"/>
              <w:rPr>
                <w:rFonts w:eastAsia="Arial Unicode MS"/>
                <w:b/>
                <w:color w:val="000000"/>
                <w:sz w:val="15"/>
                <w:szCs w:val="15"/>
              </w:rPr>
            </w:pPr>
            <w:r w:rsidRPr="001131FC">
              <w:rPr>
                <w:rFonts w:eastAsia="Arial Unicode MS"/>
                <w:b/>
                <w:color w:val="000000"/>
                <w:sz w:val="15"/>
                <w:szCs w:val="15"/>
              </w:rPr>
              <w:t>13 839</w:t>
            </w:r>
          </w:p>
        </w:tc>
        <w:tc>
          <w:tcPr>
            <w:tcW w:w="709" w:type="dxa"/>
            <w:shd w:val="solid" w:color="FFFFFF" w:fill="auto"/>
            <w:vAlign w:val="center"/>
          </w:tcPr>
          <w:p w:rsidR="00565FD5" w:rsidRPr="001131FC" w:rsidRDefault="00565FD5" w:rsidP="00AB62A3">
            <w:pPr>
              <w:ind w:right="57"/>
              <w:jc w:val="right"/>
              <w:rPr>
                <w:rFonts w:eastAsia="Arial Unicode MS"/>
                <w:b/>
                <w:color w:val="000000"/>
                <w:sz w:val="15"/>
                <w:szCs w:val="15"/>
              </w:rPr>
            </w:pPr>
            <w:r w:rsidRPr="001131FC">
              <w:rPr>
                <w:rFonts w:eastAsia="Arial Unicode MS"/>
                <w:b/>
                <w:color w:val="000000"/>
                <w:sz w:val="15"/>
                <w:szCs w:val="15"/>
              </w:rPr>
              <w:t>14 679</w:t>
            </w:r>
          </w:p>
        </w:tc>
        <w:tc>
          <w:tcPr>
            <w:tcW w:w="709" w:type="dxa"/>
            <w:tcBorders>
              <w:right w:val="single" w:sz="4" w:space="0" w:color="auto"/>
            </w:tcBorders>
            <w:shd w:val="solid" w:color="FFFFFF" w:fill="auto"/>
            <w:vAlign w:val="center"/>
          </w:tcPr>
          <w:p w:rsidR="00565FD5" w:rsidRPr="001131FC" w:rsidRDefault="00565FD5" w:rsidP="00AB62A3">
            <w:pPr>
              <w:ind w:right="57"/>
              <w:jc w:val="right"/>
              <w:rPr>
                <w:rFonts w:eastAsia="Arial Unicode MS"/>
                <w:b/>
                <w:color w:val="000000"/>
                <w:sz w:val="15"/>
                <w:szCs w:val="15"/>
              </w:rPr>
            </w:pPr>
            <w:r w:rsidRPr="001131FC">
              <w:rPr>
                <w:rFonts w:eastAsia="Arial Unicode MS"/>
                <w:b/>
                <w:color w:val="000000"/>
                <w:sz w:val="15"/>
                <w:szCs w:val="15"/>
              </w:rPr>
              <w:t>15 508</w:t>
            </w:r>
          </w:p>
        </w:tc>
        <w:tc>
          <w:tcPr>
            <w:tcW w:w="850" w:type="dxa"/>
            <w:tcBorders>
              <w:left w:val="single" w:sz="4" w:space="0" w:color="auto"/>
            </w:tcBorders>
            <w:shd w:val="solid" w:color="FFFFFF" w:fill="auto"/>
            <w:vAlign w:val="center"/>
          </w:tcPr>
          <w:p w:rsidR="00565FD5" w:rsidRPr="001131FC" w:rsidRDefault="00565FD5" w:rsidP="00AB62A3">
            <w:pPr>
              <w:ind w:left="-179" w:right="57"/>
              <w:jc w:val="right"/>
              <w:rPr>
                <w:rFonts w:eastAsia="Arial Unicode MS"/>
                <w:b/>
                <w:color w:val="000000"/>
                <w:sz w:val="15"/>
                <w:szCs w:val="15"/>
              </w:rPr>
            </w:pPr>
            <w:r w:rsidRPr="001131FC">
              <w:rPr>
                <w:rFonts w:eastAsia="Arial Unicode MS"/>
                <w:b/>
                <w:color w:val="000000"/>
                <w:sz w:val="15"/>
                <w:szCs w:val="15"/>
              </w:rPr>
              <w:t>7 438</w:t>
            </w:r>
          </w:p>
        </w:tc>
        <w:tc>
          <w:tcPr>
            <w:tcW w:w="709" w:type="dxa"/>
            <w:tcBorders>
              <w:left w:val="nil"/>
            </w:tcBorders>
            <w:shd w:val="solid" w:color="FFFFFF" w:fill="auto"/>
            <w:vAlign w:val="center"/>
          </w:tcPr>
          <w:p w:rsidR="00565FD5" w:rsidRPr="001131FC" w:rsidRDefault="00565FD5" w:rsidP="00AB62A3">
            <w:pPr>
              <w:ind w:left="-179" w:right="57"/>
              <w:jc w:val="right"/>
              <w:rPr>
                <w:rFonts w:eastAsia="Arial Unicode MS"/>
                <w:b/>
                <w:color w:val="000000"/>
                <w:sz w:val="15"/>
                <w:szCs w:val="15"/>
              </w:rPr>
            </w:pPr>
            <w:r w:rsidRPr="001131FC">
              <w:rPr>
                <w:rFonts w:eastAsia="Arial Unicode MS"/>
                <w:b/>
                <w:color w:val="000000"/>
                <w:sz w:val="15"/>
                <w:szCs w:val="15"/>
              </w:rPr>
              <w:t>7 915</w:t>
            </w:r>
          </w:p>
        </w:tc>
        <w:tc>
          <w:tcPr>
            <w:tcW w:w="708" w:type="dxa"/>
            <w:tcBorders>
              <w:left w:val="nil"/>
              <w:right w:val="single" w:sz="4" w:space="0" w:color="auto"/>
            </w:tcBorders>
            <w:shd w:val="solid" w:color="FFFFFF" w:fill="auto"/>
            <w:vAlign w:val="center"/>
          </w:tcPr>
          <w:p w:rsidR="00565FD5" w:rsidRPr="001131FC" w:rsidRDefault="00565FD5" w:rsidP="00AB62A3">
            <w:pPr>
              <w:ind w:left="-179" w:right="57"/>
              <w:jc w:val="right"/>
              <w:rPr>
                <w:rFonts w:eastAsia="Arial Unicode MS"/>
                <w:b/>
                <w:color w:val="000000"/>
                <w:sz w:val="15"/>
                <w:szCs w:val="15"/>
              </w:rPr>
            </w:pPr>
            <w:r w:rsidRPr="001131FC">
              <w:rPr>
                <w:rFonts w:eastAsia="Arial Unicode MS"/>
                <w:b/>
                <w:color w:val="000000"/>
                <w:sz w:val="15"/>
                <w:szCs w:val="15"/>
              </w:rPr>
              <w:t>8 603</w:t>
            </w:r>
          </w:p>
        </w:tc>
      </w:tr>
      <w:tr w:rsidR="00565FD5" w:rsidRPr="001131FC" w:rsidTr="00AB62A3">
        <w:tblPrEx>
          <w:tblBorders>
            <w:top w:val="none" w:sz="0" w:space="0" w:color="auto"/>
            <w:left w:val="none" w:sz="0" w:space="0" w:color="auto"/>
            <w:right w:val="none" w:sz="0" w:space="0" w:color="auto"/>
          </w:tblBorders>
        </w:tblPrEx>
        <w:trPr>
          <w:trHeight w:val="259"/>
        </w:trPr>
        <w:tc>
          <w:tcPr>
            <w:tcW w:w="2699" w:type="dxa"/>
            <w:gridSpan w:val="2"/>
            <w:tcBorders>
              <w:left w:val="single" w:sz="4" w:space="0" w:color="auto"/>
            </w:tcBorders>
            <w:vAlign w:val="center"/>
          </w:tcPr>
          <w:p w:rsidR="00565FD5" w:rsidRPr="001131FC" w:rsidRDefault="00565FD5" w:rsidP="00AB62A3">
            <w:pPr>
              <w:ind w:left="120" w:right="57"/>
              <w:rPr>
                <w:snapToGrid w:val="0"/>
                <w:color w:val="000000"/>
                <w:sz w:val="15"/>
                <w:szCs w:val="15"/>
              </w:rPr>
            </w:pPr>
            <w:r w:rsidRPr="001131FC">
              <w:rPr>
                <w:snapToGrid w:val="0"/>
                <w:color w:val="000000"/>
                <w:sz w:val="15"/>
                <w:szCs w:val="15"/>
              </w:rPr>
              <w:t xml:space="preserve">   Tarım</w:t>
            </w:r>
          </w:p>
        </w:tc>
        <w:tc>
          <w:tcPr>
            <w:tcW w:w="708" w:type="dxa"/>
            <w:vAlign w:val="center"/>
          </w:tcPr>
          <w:p w:rsidR="00565FD5" w:rsidRPr="001131FC" w:rsidRDefault="00565FD5" w:rsidP="00AB62A3">
            <w:pPr>
              <w:ind w:right="57"/>
              <w:jc w:val="right"/>
              <w:rPr>
                <w:rFonts w:eastAsia="Arial Unicode MS"/>
                <w:color w:val="000000"/>
                <w:sz w:val="15"/>
                <w:szCs w:val="15"/>
              </w:rPr>
            </w:pPr>
            <w:r w:rsidRPr="001131FC">
              <w:rPr>
                <w:rFonts w:eastAsia="Arial Unicode MS"/>
                <w:color w:val="000000"/>
                <w:sz w:val="15"/>
                <w:szCs w:val="15"/>
              </w:rPr>
              <w:t>589</w:t>
            </w:r>
          </w:p>
        </w:tc>
        <w:tc>
          <w:tcPr>
            <w:tcW w:w="709" w:type="dxa"/>
            <w:vAlign w:val="center"/>
          </w:tcPr>
          <w:p w:rsidR="00565FD5" w:rsidRPr="001131FC" w:rsidRDefault="00565FD5" w:rsidP="00AB62A3">
            <w:pPr>
              <w:ind w:right="57"/>
              <w:jc w:val="right"/>
              <w:rPr>
                <w:rFonts w:eastAsia="Arial Unicode MS"/>
                <w:color w:val="000000"/>
                <w:sz w:val="15"/>
                <w:szCs w:val="15"/>
              </w:rPr>
            </w:pPr>
            <w:r w:rsidRPr="001131FC">
              <w:rPr>
                <w:rFonts w:eastAsia="Arial Unicode MS"/>
                <w:color w:val="000000"/>
                <w:sz w:val="15"/>
                <w:szCs w:val="15"/>
              </w:rPr>
              <w:t>701</w:t>
            </w:r>
          </w:p>
        </w:tc>
        <w:tc>
          <w:tcPr>
            <w:tcW w:w="709" w:type="dxa"/>
            <w:tcBorders>
              <w:right w:val="single" w:sz="4" w:space="0" w:color="auto"/>
            </w:tcBorders>
            <w:vAlign w:val="center"/>
          </w:tcPr>
          <w:p w:rsidR="00565FD5" w:rsidRPr="001131FC" w:rsidRDefault="00565FD5" w:rsidP="00AB62A3">
            <w:pPr>
              <w:ind w:right="57"/>
              <w:jc w:val="right"/>
              <w:rPr>
                <w:rFonts w:eastAsia="Arial Unicode MS"/>
                <w:color w:val="000000"/>
                <w:sz w:val="15"/>
                <w:szCs w:val="15"/>
              </w:rPr>
            </w:pPr>
            <w:r w:rsidRPr="001131FC">
              <w:rPr>
                <w:rFonts w:eastAsia="Arial Unicode MS"/>
                <w:color w:val="000000"/>
                <w:sz w:val="15"/>
                <w:szCs w:val="15"/>
              </w:rPr>
              <w:t>783</w:t>
            </w:r>
          </w:p>
        </w:tc>
        <w:tc>
          <w:tcPr>
            <w:tcW w:w="850" w:type="dxa"/>
            <w:tcBorders>
              <w:left w:val="single" w:sz="4" w:space="0" w:color="auto"/>
            </w:tcBorders>
            <w:vAlign w:val="center"/>
          </w:tcPr>
          <w:p w:rsidR="00565FD5" w:rsidRPr="001131FC" w:rsidRDefault="00565FD5" w:rsidP="00AB62A3">
            <w:pPr>
              <w:ind w:left="-179" w:right="57"/>
              <w:jc w:val="right"/>
              <w:rPr>
                <w:rFonts w:eastAsia="Arial Unicode MS"/>
                <w:color w:val="000000"/>
                <w:sz w:val="15"/>
                <w:szCs w:val="15"/>
              </w:rPr>
            </w:pPr>
            <w:r w:rsidRPr="001131FC">
              <w:rPr>
                <w:rFonts w:eastAsia="Arial Unicode MS"/>
                <w:color w:val="000000"/>
                <w:sz w:val="15"/>
                <w:szCs w:val="15"/>
              </w:rPr>
              <w:t>4 651</w:t>
            </w:r>
          </w:p>
        </w:tc>
        <w:tc>
          <w:tcPr>
            <w:tcW w:w="709" w:type="dxa"/>
            <w:tcBorders>
              <w:left w:val="nil"/>
            </w:tcBorders>
            <w:vAlign w:val="center"/>
          </w:tcPr>
          <w:p w:rsidR="00565FD5" w:rsidRPr="001131FC" w:rsidRDefault="00565FD5" w:rsidP="00AB62A3">
            <w:pPr>
              <w:ind w:left="-179" w:right="57"/>
              <w:jc w:val="right"/>
              <w:rPr>
                <w:rFonts w:eastAsia="Arial Unicode MS"/>
                <w:color w:val="000000"/>
                <w:sz w:val="15"/>
                <w:szCs w:val="15"/>
              </w:rPr>
            </w:pPr>
            <w:r w:rsidRPr="001131FC">
              <w:rPr>
                <w:rFonts w:eastAsia="Arial Unicode MS"/>
                <w:color w:val="000000"/>
                <w:sz w:val="15"/>
                <w:szCs w:val="15"/>
              </w:rPr>
              <w:t>4 981</w:t>
            </w:r>
          </w:p>
        </w:tc>
        <w:tc>
          <w:tcPr>
            <w:tcW w:w="708" w:type="dxa"/>
            <w:tcBorders>
              <w:left w:val="nil"/>
              <w:right w:val="single" w:sz="4" w:space="0" w:color="auto"/>
            </w:tcBorders>
            <w:vAlign w:val="center"/>
          </w:tcPr>
          <w:p w:rsidR="00565FD5" w:rsidRPr="001131FC" w:rsidRDefault="00565FD5" w:rsidP="00AB62A3">
            <w:pPr>
              <w:ind w:left="-179" w:right="57"/>
              <w:jc w:val="right"/>
              <w:rPr>
                <w:rFonts w:eastAsia="Arial Unicode MS"/>
                <w:color w:val="000000"/>
                <w:sz w:val="15"/>
                <w:szCs w:val="15"/>
              </w:rPr>
            </w:pPr>
            <w:r w:rsidRPr="001131FC">
              <w:rPr>
                <w:rFonts w:eastAsia="Arial Unicode MS"/>
                <w:color w:val="000000"/>
                <w:sz w:val="15"/>
                <w:szCs w:val="15"/>
              </w:rPr>
              <w:t>5 360</w:t>
            </w:r>
          </w:p>
        </w:tc>
      </w:tr>
      <w:tr w:rsidR="00565FD5" w:rsidRPr="001131FC" w:rsidTr="00AB62A3">
        <w:tblPrEx>
          <w:tblBorders>
            <w:top w:val="none" w:sz="0" w:space="0" w:color="auto"/>
            <w:left w:val="none" w:sz="0" w:space="0" w:color="auto"/>
            <w:right w:val="none" w:sz="0" w:space="0" w:color="auto"/>
          </w:tblBorders>
        </w:tblPrEx>
        <w:trPr>
          <w:trHeight w:val="259"/>
        </w:trPr>
        <w:tc>
          <w:tcPr>
            <w:tcW w:w="2699" w:type="dxa"/>
            <w:gridSpan w:val="2"/>
            <w:tcBorders>
              <w:left w:val="single" w:sz="4" w:space="0" w:color="auto"/>
            </w:tcBorders>
            <w:vAlign w:val="center"/>
          </w:tcPr>
          <w:p w:rsidR="00565FD5" w:rsidRPr="001131FC" w:rsidRDefault="00565FD5" w:rsidP="00AB62A3">
            <w:pPr>
              <w:ind w:left="120" w:right="57"/>
              <w:rPr>
                <w:snapToGrid w:val="0"/>
                <w:color w:val="000000"/>
                <w:sz w:val="15"/>
                <w:szCs w:val="15"/>
              </w:rPr>
            </w:pPr>
            <w:r w:rsidRPr="001131FC">
              <w:rPr>
                <w:snapToGrid w:val="0"/>
                <w:color w:val="000000"/>
                <w:sz w:val="15"/>
                <w:szCs w:val="15"/>
              </w:rPr>
              <w:t xml:space="preserve">   Sanayi</w:t>
            </w:r>
          </w:p>
        </w:tc>
        <w:tc>
          <w:tcPr>
            <w:tcW w:w="708" w:type="dxa"/>
            <w:vAlign w:val="center"/>
          </w:tcPr>
          <w:p w:rsidR="00565FD5" w:rsidRPr="001131FC" w:rsidRDefault="00565FD5" w:rsidP="00AB62A3">
            <w:pPr>
              <w:ind w:right="57"/>
              <w:jc w:val="right"/>
              <w:rPr>
                <w:rFonts w:eastAsia="Arial Unicode MS"/>
                <w:color w:val="000000"/>
                <w:sz w:val="15"/>
                <w:szCs w:val="15"/>
              </w:rPr>
            </w:pPr>
            <w:r w:rsidRPr="001131FC">
              <w:rPr>
                <w:rFonts w:eastAsia="Arial Unicode MS"/>
                <w:color w:val="000000"/>
                <w:sz w:val="15"/>
                <w:szCs w:val="15"/>
              </w:rPr>
              <w:t>3 428</w:t>
            </w:r>
          </w:p>
        </w:tc>
        <w:tc>
          <w:tcPr>
            <w:tcW w:w="709" w:type="dxa"/>
            <w:vAlign w:val="center"/>
          </w:tcPr>
          <w:p w:rsidR="00565FD5" w:rsidRPr="001131FC" w:rsidRDefault="00565FD5" w:rsidP="00AB62A3">
            <w:pPr>
              <w:ind w:right="57"/>
              <w:jc w:val="right"/>
              <w:rPr>
                <w:rFonts w:eastAsia="Arial Unicode MS"/>
                <w:color w:val="000000"/>
                <w:sz w:val="15"/>
                <w:szCs w:val="15"/>
              </w:rPr>
            </w:pPr>
            <w:r w:rsidRPr="001131FC">
              <w:rPr>
                <w:rFonts w:eastAsia="Arial Unicode MS"/>
                <w:color w:val="000000"/>
                <w:sz w:val="15"/>
                <w:szCs w:val="15"/>
              </w:rPr>
              <w:t>3 800</w:t>
            </w:r>
          </w:p>
        </w:tc>
        <w:tc>
          <w:tcPr>
            <w:tcW w:w="709" w:type="dxa"/>
            <w:tcBorders>
              <w:right w:val="single" w:sz="4" w:space="0" w:color="auto"/>
            </w:tcBorders>
            <w:vAlign w:val="center"/>
          </w:tcPr>
          <w:p w:rsidR="00565FD5" w:rsidRPr="001131FC" w:rsidRDefault="00565FD5" w:rsidP="00AB62A3">
            <w:pPr>
              <w:ind w:right="57"/>
              <w:jc w:val="right"/>
              <w:rPr>
                <w:rFonts w:eastAsia="Arial Unicode MS"/>
                <w:color w:val="000000"/>
                <w:sz w:val="15"/>
                <w:szCs w:val="15"/>
              </w:rPr>
            </w:pPr>
            <w:r w:rsidRPr="001131FC">
              <w:rPr>
                <w:rFonts w:eastAsia="Arial Unicode MS"/>
                <w:color w:val="000000"/>
                <w:sz w:val="15"/>
                <w:szCs w:val="15"/>
              </w:rPr>
              <w:t>3 958</w:t>
            </w:r>
          </w:p>
        </w:tc>
        <w:tc>
          <w:tcPr>
            <w:tcW w:w="850" w:type="dxa"/>
            <w:tcBorders>
              <w:left w:val="single" w:sz="4" w:space="0" w:color="auto"/>
            </w:tcBorders>
            <w:vAlign w:val="center"/>
          </w:tcPr>
          <w:p w:rsidR="00565FD5" w:rsidRPr="001131FC" w:rsidRDefault="00565FD5" w:rsidP="00AB62A3">
            <w:pPr>
              <w:ind w:left="-179" w:right="57"/>
              <w:jc w:val="right"/>
              <w:rPr>
                <w:rFonts w:eastAsia="Arial Unicode MS"/>
                <w:color w:val="000000"/>
                <w:sz w:val="15"/>
                <w:szCs w:val="15"/>
              </w:rPr>
            </w:pPr>
            <w:r w:rsidRPr="001131FC">
              <w:rPr>
                <w:rFonts w:eastAsia="Arial Unicode MS"/>
                <w:color w:val="000000"/>
                <w:sz w:val="15"/>
                <w:szCs w:val="15"/>
              </w:rPr>
              <w:t>651</w:t>
            </w:r>
          </w:p>
        </w:tc>
        <w:tc>
          <w:tcPr>
            <w:tcW w:w="709" w:type="dxa"/>
            <w:tcBorders>
              <w:left w:val="nil"/>
            </w:tcBorders>
            <w:vAlign w:val="center"/>
          </w:tcPr>
          <w:p w:rsidR="00565FD5" w:rsidRPr="001131FC" w:rsidRDefault="00565FD5" w:rsidP="00AB62A3">
            <w:pPr>
              <w:ind w:left="-179" w:right="57"/>
              <w:jc w:val="right"/>
              <w:rPr>
                <w:rFonts w:eastAsia="Arial Unicode MS"/>
                <w:color w:val="000000"/>
                <w:sz w:val="15"/>
                <w:szCs w:val="15"/>
              </w:rPr>
            </w:pPr>
            <w:r w:rsidRPr="001131FC">
              <w:rPr>
                <w:rFonts w:eastAsia="Arial Unicode MS"/>
                <w:color w:val="000000"/>
                <w:sz w:val="15"/>
                <w:szCs w:val="15"/>
              </w:rPr>
              <w:t>696</w:t>
            </w:r>
          </w:p>
        </w:tc>
        <w:tc>
          <w:tcPr>
            <w:tcW w:w="708" w:type="dxa"/>
            <w:tcBorders>
              <w:left w:val="nil"/>
              <w:right w:val="single" w:sz="4" w:space="0" w:color="auto"/>
            </w:tcBorders>
            <w:vAlign w:val="center"/>
          </w:tcPr>
          <w:p w:rsidR="00565FD5" w:rsidRPr="001131FC" w:rsidRDefault="00565FD5" w:rsidP="00AB62A3">
            <w:pPr>
              <w:ind w:left="-179" w:right="57"/>
              <w:jc w:val="right"/>
              <w:rPr>
                <w:rFonts w:eastAsia="Arial Unicode MS"/>
                <w:color w:val="000000"/>
                <w:sz w:val="15"/>
                <w:szCs w:val="15"/>
              </w:rPr>
            </w:pPr>
            <w:r w:rsidRPr="001131FC">
              <w:rPr>
                <w:rFonts w:eastAsia="Arial Unicode MS"/>
                <w:color w:val="000000"/>
                <w:sz w:val="15"/>
                <w:szCs w:val="15"/>
              </w:rPr>
              <w:t>746</w:t>
            </w:r>
          </w:p>
        </w:tc>
      </w:tr>
      <w:tr w:rsidR="00565FD5" w:rsidRPr="001131FC" w:rsidTr="00AB62A3">
        <w:tblPrEx>
          <w:tblBorders>
            <w:top w:val="none" w:sz="0" w:space="0" w:color="auto"/>
            <w:left w:val="none" w:sz="0" w:space="0" w:color="auto"/>
            <w:right w:val="none" w:sz="0" w:space="0" w:color="auto"/>
          </w:tblBorders>
        </w:tblPrEx>
        <w:trPr>
          <w:trHeight w:val="259"/>
        </w:trPr>
        <w:tc>
          <w:tcPr>
            <w:tcW w:w="2699" w:type="dxa"/>
            <w:gridSpan w:val="2"/>
            <w:tcBorders>
              <w:left w:val="single" w:sz="4" w:space="0" w:color="auto"/>
            </w:tcBorders>
            <w:vAlign w:val="center"/>
          </w:tcPr>
          <w:p w:rsidR="00565FD5" w:rsidRPr="001131FC" w:rsidRDefault="00565FD5" w:rsidP="00AB62A3">
            <w:pPr>
              <w:ind w:left="120" w:right="57"/>
              <w:rPr>
                <w:snapToGrid w:val="0"/>
                <w:color w:val="000000"/>
                <w:sz w:val="15"/>
                <w:szCs w:val="15"/>
              </w:rPr>
            </w:pPr>
            <w:r w:rsidRPr="001131FC">
              <w:rPr>
                <w:snapToGrid w:val="0"/>
                <w:color w:val="000000"/>
                <w:sz w:val="15"/>
                <w:szCs w:val="15"/>
              </w:rPr>
              <w:t xml:space="preserve">   Hizmetler</w:t>
            </w:r>
          </w:p>
        </w:tc>
        <w:tc>
          <w:tcPr>
            <w:tcW w:w="708" w:type="dxa"/>
            <w:vAlign w:val="center"/>
          </w:tcPr>
          <w:p w:rsidR="00565FD5" w:rsidRPr="001131FC" w:rsidRDefault="00565FD5" w:rsidP="00AB62A3">
            <w:pPr>
              <w:ind w:right="57"/>
              <w:jc w:val="right"/>
              <w:rPr>
                <w:rFonts w:eastAsia="Arial Unicode MS"/>
                <w:color w:val="000000"/>
                <w:sz w:val="15"/>
                <w:szCs w:val="15"/>
              </w:rPr>
            </w:pPr>
            <w:r w:rsidRPr="001131FC">
              <w:rPr>
                <w:rFonts w:eastAsia="Arial Unicode MS"/>
                <w:color w:val="000000"/>
                <w:sz w:val="15"/>
                <w:szCs w:val="15"/>
              </w:rPr>
              <w:t>9 822</w:t>
            </w:r>
          </w:p>
        </w:tc>
        <w:tc>
          <w:tcPr>
            <w:tcW w:w="709" w:type="dxa"/>
            <w:vAlign w:val="center"/>
          </w:tcPr>
          <w:p w:rsidR="00565FD5" w:rsidRPr="001131FC" w:rsidRDefault="00565FD5" w:rsidP="00AB62A3">
            <w:pPr>
              <w:ind w:right="57"/>
              <w:jc w:val="right"/>
              <w:rPr>
                <w:rFonts w:eastAsia="Arial Unicode MS"/>
                <w:color w:val="000000"/>
                <w:sz w:val="15"/>
                <w:szCs w:val="15"/>
              </w:rPr>
            </w:pPr>
            <w:r w:rsidRPr="001131FC">
              <w:rPr>
                <w:rFonts w:eastAsia="Arial Unicode MS"/>
                <w:color w:val="000000"/>
                <w:sz w:val="15"/>
                <w:szCs w:val="15"/>
              </w:rPr>
              <w:t>10 178</w:t>
            </w:r>
          </w:p>
        </w:tc>
        <w:tc>
          <w:tcPr>
            <w:tcW w:w="709" w:type="dxa"/>
            <w:tcBorders>
              <w:right w:val="single" w:sz="4" w:space="0" w:color="auto"/>
            </w:tcBorders>
            <w:vAlign w:val="center"/>
          </w:tcPr>
          <w:p w:rsidR="00565FD5" w:rsidRPr="001131FC" w:rsidRDefault="00565FD5" w:rsidP="00AB62A3">
            <w:pPr>
              <w:ind w:right="57"/>
              <w:jc w:val="right"/>
              <w:rPr>
                <w:rFonts w:eastAsia="Arial Unicode MS"/>
                <w:color w:val="000000"/>
                <w:sz w:val="15"/>
                <w:szCs w:val="15"/>
              </w:rPr>
            </w:pPr>
            <w:r w:rsidRPr="001131FC">
              <w:rPr>
                <w:rFonts w:eastAsia="Arial Unicode MS"/>
                <w:color w:val="000000"/>
                <w:sz w:val="15"/>
                <w:szCs w:val="15"/>
              </w:rPr>
              <w:t>10 766</w:t>
            </w:r>
          </w:p>
        </w:tc>
        <w:tc>
          <w:tcPr>
            <w:tcW w:w="850" w:type="dxa"/>
            <w:tcBorders>
              <w:left w:val="single" w:sz="4" w:space="0" w:color="auto"/>
            </w:tcBorders>
            <w:vAlign w:val="center"/>
          </w:tcPr>
          <w:p w:rsidR="00565FD5" w:rsidRPr="001131FC" w:rsidRDefault="00565FD5" w:rsidP="00AB62A3">
            <w:pPr>
              <w:ind w:left="-179" w:right="57"/>
              <w:jc w:val="right"/>
              <w:rPr>
                <w:rFonts w:eastAsia="Arial Unicode MS"/>
                <w:color w:val="000000"/>
                <w:sz w:val="15"/>
                <w:szCs w:val="15"/>
              </w:rPr>
            </w:pPr>
            <w:r w:rsidRPr="001131FC">
              <w:rPr>
                <w:rFonts w:eastAsia="Arial Unicode MS"/>
                <w:color w:val="000000"/>
                <w:sz w:val="15"/>
                <w:szCs w:val="15"/>
              </w:rPr>
              <w:t>2 136</w:t>
            </w:r>
          </w:p>
        </w:tc>
        <w:tc>
          <w:tcPr>
            <w:tcW w:w="709" w:type="dxa"/>
            <w:tcBorders>
              <w:left w:val="nil"/>
            </w:tcBorders>
            <w:vAlign w:val="center"/>
          </w:tcPr>
          <w:p w:rsidR="00565FD5" w:rsidRPr="001131FC" w:rsidRDefault="00565FD5" w:rsidP="00AB62A3">
            <w:pPr>
              <w:ind w:left="-179" w:right="57"/>
              <w:jc w:val="right"/>
              <w:rPr>
                <w:rFonts w:eastAsia="Arial Unicode MS"/>
                <w:color w:val="000000"/>
                <w:sz w:val="15"/>
                <w:szCs w:val="15"/>
              </w:rPr>
            </w:pPr>
            <w:r w:rsidRPr="001131FC">
              <w:rPr>
                <w:rFonts w:eastAsia="Arial Unicode MS"/>
                <w:color w:val="000000"/>
                <w:sz w:val="15"/>
                <w:szCs w:val="15"/>
              </w:rPr>
              <w:t>2 238</w:t>
            </w:r>
          </w:p>
        </w:tc>
        <w:tc>
          <w:tcPr>
            <w:tcW w:w="708" w:type="dxa"/>
            <w:tcBorders>
              <w:left w:val="nil"/>
              <w:right w:val="single" w:sz="4" w:space="0" w:color="auto"/>
            </w:tcBorders>
            <w:vAlign w:val="center"/>
          </w:tcPr>
          <w:p w:rsidR="00565FD5" w:rsidRPr="001131FC" w:rsidRDefault="00565FD5" w:rsidP="00AB62A3">
            <w:pPr>
              <w:ind w:left="-179" w:right="57"/>
              <w:jc w:val="right"/>
              <w:rPr>
                <w:rFonts w:eastAsia="Arial Unicode MS"/>
                <w:color w:val="000000"/>
                <w:sz w:val="15"/>
                <w:szCs w:val="15"/>
              </w:rPr>
            </w:pPr>
            <w:r w:rsidRPr="001131FC">
              <w:rPr>
                <w:rFonts w:eastAsia="Arial Unicode MS"/>
                <w:color w:val="000000"/>
                <w:sz w:val="15"/>
                <w:szCs w:val="15"/>
              </w:rPr>
              <w:t>2 49</w:t>
            </w:r>
            <w:r>
              <w:rPr>
                <w:rFonts w:eastAsia="Arial Unicode MS"/>
                <w:color w:val="000000"/>
                <w:sz w:val="15"/>
                <w:szCs w:val="15"/>
              </w:rPr>
              <w:t>7</w:t>
            </w:r>
          </w:p>
        </w:tc>
      </w:tr>
      <w:tr w:rsidR="00565FD5" w:rsidRPr="001131FC" w:rsidTr="00AB62A3">
        <w:tblPrEx>
          <w:tblBorders>
            <w:top w:val="none" w:sz="0" w:space="0" w:color="auto"/>
            <w:left w:val="none" w:sz="0" w:space="0" w:color="auto"/>
            <w:right w:val="none" w:sz="0" w:space="0" w:color="auto"/>
          </w:tblBorders>
        </w:tblPrEx>
        <w:trPr>
          <w:trHeight w:val="259"/>
        </w:trPr>
        <w:tc>
          <w:tcPr>
            <w:tcW w:w="2699" w:type="dxa"/>
            <w:gridSpan w:val="2"/>
            <w:tcBorders>
              <w:left w:val="single" w:sz="4" w:space="0" w:color="auto"/>
            </w:tcBorders>
            <w:vAlign w:val="center"/>
          </w:tcPr>
          <w:p w:rsidR="00565FD5" w:rsidRPr="001131FC" w:rsidRDefault="00565FD5" w:rsidP="00AB62A3">
            <w:pPr>
              <w:ind w:left="120" w:right="57"/>
              <w:rPr>
                <w:b/>
                <w:snapToGrid w:val="0"/>
                <w:color w:val="000000"/>
                <w:sz w:val="15"/>
                <w:szCs w:val="15"/>
              </w:rPr>
            </w:pPr>
            <w:r w:rsidRPr="001131FC">
              <w:rPr>
                <w:b/>
                <w:snapToGrid w:val="0"/>
                <w:color w:val="000000"/>
                <w:sz w:val="15"/>
                <w:szCs w:val="15"/>
              </w:rPr>
              <w:t>İşsiz</w:t>
            </w:r>
          </w:p>
        </w:tc>
        <w:tc>
          <w:tcPr>
            <w:tcW w:w="708" w:type="dxa"/>
            <w:vAlign w:val="center"/>
          </w:tcPr>
          <w:p w:rsidR="00565FD5" w:rsidRPr="001131FC" w:rsidRDefault="00565FD5" w:rsidP="00AB62A3">
            <w:pPr>
              <w:ind w:right="57"/>
              <w:jc w:val="right"/>
              <w:rPr>
                <w:rFonts w:eastAsia="Arial Unicode MS"/>
                <w:b/>
                <w:color w:val="000000"/>
                <w:sz w:val="15"/>
                <w:szCs w:val="15"/>
              </w:rPr>
            </w:pPr>
            <w:r w:rsidRPr="001131FC">
              <w:rPr>
                <w:rFonts w:eastAsia="Arial Unicode MS"/>
                <w:b/>
                <w:color w:val="000000"/>
                <w:sz w:val="15"/>
                <w:szCs w:val="15"/>
              </w:rPr>
              <w:t>2 746</w:t>
            </w:r>
          </w:p>
        </w:tc>
        <w:tc>
          <w:tcPr>
            <w:tcW w:w="709" w:type="dxa"/>
            <w:vAlign w:val="center"/>
          </w:tcPr>
          <w:p w:rsidR="00565FD5" w:rsidRPr="001131FC" w:rsidRDefault="00565FD5" w:rsidP="00AB62A3">
            <w:pPr>
              <w:ind w:right="57"/>
              <w:jc w:val="right"/>
              <w:rPr>
                <w:rFonts w:eastAsia="Arial Unicode MS"/>
                <w:b/>
                <w:color w:val="000000"/>
                <w:sz w:val="15"/>
                <w:szCs w:val="15"/>
              </w:rPr>
            </w:pPr>
            <w:r w:rsidRPr="001131FC">
              <w:rPr>
                <w:rFonts w:eastAsia="Arial Unicode MS"/>
                <w:b/>
                <w:color w:val="000000"/>
                <w:sz w:val="15"/>
                <w:szCs w:val="15"/>
              </w:rPr>
              <w:t>2 425</w:t>
            </w:r>
          </w:p>
        </w:tc>
        <w:tc>
          <w:tcPr>
            <w:tcW w:w="709" w:type="dxa"/>
            <w:tcBorders>
              <w:right w:val="single" w:sz="4" w:space="0" w:color="auto"/>
            </w:tcBorders>
            <w:vAlign w:val="center"/>
          </w:tcPr>
          <w:p w:rsidR="00565FD5" w:rsidRPr="001131FC" w:rsidRDefault="00565FD5" w:rsidP="00AB62A3">
            <w:pPr>
              <w:ind w:right="57"/>
              <w:jc w:val="right"/>
              <w:rPr>
                <w:rFonts w:eastAsia="Arial Unicode MS"/>
                <w:b/>
                <w:color w:val="000000"/>
                <w:sz w:val="15"/>
                <w:szCs w:val="15"/>
              </w:rPr>
            </w:pPr>
            <w:r w:rsidRPr="001131FC">
              <w:rPr>
                <w:rFonts w:eastAsia="Arial Unicode MS"/>
                <w:b/>
                <w:color w:val="000000"/>
                <w:sz w:val="15"/>
                <w:szCs w:val="15"/>
              </w:rPr>
              <w:t>2 087</w:t>
            </w:r>
          </w:p>
        </w:tc>
        <w:tc>
          <w:tcPr>
            <w:tcW w:w="850" w:type="dxa"/>
            <w:tcBorders>
              <w:left w:val="single" w:sz="4" w:space="0" w:color="auto"/>
            </w:tcBorders>
            <w:vAlign w:val="center"/>
          </w:tcPr>
          <w:p w:rsidR="00565FD5" w:rsidRPr="001131FC" w:rsidRDefault="00565FD5" w:rsidP="00AB62A3">
            <w:pPr>
              <w:ind w:left="-179" w:right="57"/>
              <w:jc w:val="right"/>
              <w:rPr>
                <w:rFonts w:eastAsia="Arial Unicode MS"/>
                <w:b/>
                <w:color w:val="000000"/>
                <w:sz w:val="15"/>
                <w:szCs w:val="15"/>
              </w:rPr>
            </w:pPr>
            <w:r w:rsidRPr="001131FC">
              <w:rPr>
                <w:rFonts w:eastAsia="Arial Unicode MS"/>
                <w:b/>
                <w:color w:val="000000"/>
                <w:sz w:val="15"/>
                <w:szCs w:val="15"/>
              </w:rPr>
              <w:t>724</w:t>
            </w:r>
          </w:p>
        </w:tc>
        <w:tc>
          <w:tcPr>
            <w:tcW w:w="709" w:type="dxa"/>
            <w:tcBorders>
              <w:left w:val="nil"/>
            </w:tcBorders>
            <w:vAlign w:val="center"/>
          </w:tcPr>
          <w:p w:rsidR="00565FD5" w:rsidRPr="001131FC" w:rsidRDefault="00565FD5" w:rsidP="00AB62A3">
            <w:pPr>
              <w:ind w:left="-179" w:right="57"/>
              <w:jc w:val="right"/>
              <w:rPr>
                <w:rFonts w:eastAsia="Arial Unicode MS"/>
                <w:b/>
                <w:color w:val="000000"/>
                <w:sz w:val="15"/>
                <w:szCs w:val="15"/>
              </w:rPr>
            </w:pPr>
            <w:r w:rsidRPr="001131FC">
              <w:rPr>
                <w:rFonts w:eastAsia="Arial Unicode MS"/>
                <w:b/>
                <w:color w:val="000000"/>
                <w:sz w:val="15"/>
                <w:szCs w:val="15"/>
              </w:rPr>
              <w:t>621</w:t>
            </w:r>
          </w:p>
        </w:tc>
        <w:tc>
          <w:tcPr>
            <w:tcW w:w="708" w:type="dxa"/>
            <w:tcBorders>
              <w:left w:val="nil"/>
              <w:right w:val="single" w:sz="4" w:space="0" w:color="auto"/>
            </w:tcBorders>
            <w:vAlign w:val="center"/>
          </w:tcPr>
          <w:p w:rsidR="00565FD5" w:rsidRPr="001131FC" w:rsidRDefault="00565FD5" w:rsidP="00AB62A3">
            <w:pPr>
              <w:ind w:left="-179" w:right="57"/>
              <w:jc w:val="right"/>
              <w:rPr>
                <w:rFonts w:eastAsia="Arial Unicode MS"/>
                <w:b/>
                <w:color w:val="000000"/>
                <w:sz w:val="15"/>
                <w:szCs w:val="15"/>
              </w:rPr>
            </w:pPr>
            <w:r w:rsidRPr="001131FC">
              <w:rPr>
                <w:rFonts w:eastAsia="Arial Unicode MS"/>
                <w:b/>
                <w:color w:val="000000"/>
                <w:sz w:val="15"/>
                <w:szCs w:val="15"/>
              </w:rPr>
              <w:t>528</w:t>
            </w:r>
          </w:p>
        </w:tc>
      </w:tr>
      <w:tr w:rsidR="00565FD5" w:rsidRPr="001131FC" w:rsidTr="00AB62A3">
        <w:tblPrEx>
          <w:tblBorders>
            <w:top w:val="none" w:sz="0" w:space="0" w:color="auto"/>
            <w:left w:val="none" w:sz="0" w:space="0" w:color="auto"/>
            <w:right w:val="none" w:sz="0" w:space="0" w:color="auto"/>
          </w:tblBorders>
        </w:tblPrEx>
        <w:trPr>
          <w:trHeight w:val="259"/>
        </w:trPr>
        <w:tc>
          <w:tcPr>
            <w:tcW w:w="2699" w:type="dxa"/>
            <w:gridSpan w:val="2"/>
            <w:tcBorders>
              <w:left w:val="single" w:sz="4" w:space="0" w:color="auto"/>
            </w:tcBorders>
            <w:vAlign w:val="center"/>
          </w:tcPr>
          <w:p w:rsidR="00565FD5" w:rsidRPr="001131FC" w:rsidRDefault="00565FD5" w:rsidP="00AB62A3">
            <w:pPr>
              <w:ind w:left="120" w:right="57"/>
              <w:rPr>
                <w:b/>
                <w:snapToGrid w:val="0"/>
                <w:color w:val="000000"/>
                <w:sz w:val="15"/>
                <w:szCs w:val="15"/>
              </w:rPr>
            </w:pPr>
            <w:r w:rsidRPr="001131FC">
              <w:rPr>
                <w:b/>
                <w:snapToGrid w:val="0"/>
                <w:color w:val="000000"/>
                <w:sz w:val="15"/>
                <w:szCs w:val="15"/>
              </w:rPr>
              <w:t>İşgücüne Katılma Oranı (Yüzde)</w:t>
            </w:r>
          </w:p>
        </w:tc>
        <w:tc>
          <w:tcPr>
            <w:tcW w:w="708" w:type="dxa"/>
            <w:vAlign w:val="center"/>
          </w:tcPr>
          <w:p w:rsidR="00565FD5" w:rsidRPr="001131FC" w:rsidRDefault="00565FD5" w:rsidP="00AB62A3">
            <w:pPr>
              <w:ind w:right="57"/>
              <w:jc w:val="right"/>
              <w:rPr>
                <w:rFonts w:eastAsia="Arial Unicode MS"/>
                <w:b/>
                <w:color w:val="000000"/>
                <w:sz w:val="15"/>
                <w:szCs w:val="15"/>
              </w:rPr>
            </w:pPr>
            <w:r w:rsidRPr="001131FC">
              <w:rPr>
                <w:rFonts w:eastAsia="Arial Unicode MS"/>
                <w:b/>
                <w:color w:val="000000"/>
                <w:sz w:val="15"/>
                <w:szCs w:val="15"/>
              </w:rPr>
              <w:t>45,8</w:t>
            </w:r>
          </w:p>
        </w:tc>
        <w:tc>
          <w:tcPr>
            <w:tcW w:w="709" w:type="dxa"/>
            <w:vAlign w:val="center"/>
          </w:tcPr>
          <w:p w:rsidR="00565FD5" w:rsidRPr="001131FC" w:rsidRDefault="00565FD5" w:rsidP="00AB62A3">
            <w:pPr>
              <w:ind w:right="57"/>
              <w:jc w:val="right"/>
              <w:rPr>
                <w:rFonts w:eastAsia="Arial Unicode MS"/>
                <w:b/>
                <w:color w:val="000000"/>
                <w:sz w:val="15"/>
                <w:szCs w:val="15"/>
              </w:rPr>
            </w:pPr>
            <w:r w:rsidRPr="001131FC">
              <w:rPr>
                <w:rFonts w:eastAsia="Arial Unicode MS"/>
                <w:b/>
                <w:color w:val="000000"/>
                <w:sz w:val="15"/>
                <w:szCs w:val="15"/>
              </w:rPr>
              <w:t>46,8</w:t>
            </w:r>
          </w:p>
        </w:tc>
        <w:tc>
          <w:tcPr>
            <w:tcW w:w="709" w:type="dxa"/>
            <w:tcBorders>
              <w:right w:val="single" w:sz="4" w:space="0" w:color="auto"/>
            </w:tcBorders>
            <w:vAlign w:val="center"/>
          </w:tcPr>
          <w:p w:rsidR="00565FD5" w:rsidRPr="001131FC" w:rsidRDefault="00565FD5" w:rsidP="00AB62A3">
            <w:pPr>
              <w:ind w:right="57"/>
              <w:jc w:val="right"/>
              <w:rPr>
                <w:rFonts w:eastAsia="Arial Unicode MS"/>
                <w:b/>
                <w:color w:val="000000"/>
                <w:sz w:val="15"/>
                <w:szCs w:val="15"/>
              </w:rPr>
            </w:pPr>
            <w:r w:rsidRPr="001131FC">
              <w:rPr>
                <w:rFonts w:eastAsia="Arial Unicode MS"/>
                <w:b/>
                <w:color w:val="000000"/>
                <w:sz w:val="15"/>
                <w:szCs w:val="15"/>
              </w:rPr>
              <w:t>47,6</w:t>
            </w:r>
          </w:p>
        </w:tc>
        <w:tc>
          <w:tcPr>
            <w:tcW w:w="850" w:type="dxa"/>
            <w:tcBorders>
              <w:left w:val="single" w:sz="4" w:space="0" w:color="auto"/>
            </w:tcBorders>
            <w:vAlign w:val="center"/>
          </w:tcPr>
          <w:p w:rsidR="00565FD5" w:rsidRPr="001131FC" w:rsidRDefault="00565FD5" w:rsidP="00AB62A3">
            <w:pPr>
              <w:ind w:left="-179" w:right="57"/>
              <w:jc w:val="right"/>
              <w:rPr>
                <w:rFonts w:eastAsia="Arial Unicode MS"/>
                <w:b/>
                <w:color w:val="000000"/>
                <w:sz w:val="15"/>
                <w:szCs w:val="15"/>
              </w:rPr>
            </w:pPr>
            <w:r w:rsidRPr="001131FC">
              <w:rPr>
                <w:rFonts w:eastAsia="Arial Unicode MS"/>
                <w:b/>
                <w:color w:val="000000"/>
                <w:sz w:val="15"/>
                <w:szCs w:val="15"/>
              </w:rPr>
              <w:t>52,7</w:t>
            </w:r>
          </w:p>
        </w:tc>
        <w:tc>
          <w:tcPr>
            <w:tcW w:w="709" w:type="dxa"/>
            <w:tcBorders>
              <w:left w:val="nil"/>
            </w:tcBorders>
            <w:vAlign w:val="center"/>
          </w:tcPr>
          <w:p w:rsidR="00565FD5" w:rsidRPr="001131FC" w:rsidRDefault="00565FD5" w:rsidP="00AB62A3">
            <w:pPr>
              <w:ind w:left="-179" w:right="57"/>
              <w:jc w:val="right"/>
              <w:rPr>
                <w:rFonts w:eastAsia="Arial Unicode MS"/>
                <w:b/>
                <w:color w:val="000000"/>
                <w:sz w:val="15"/>
                <w:szCs w:val="15"/>
              </w:rPr>
            </w:pPr>
            <w:r w:rsidRPr="001131FC">
              <w:rPr>
                <w:rFonts w:eastAsia="Arial Unicode MS"/>
                <w:b/>
                <w:color w:val="000000"/>
                <w:sz w:val="15"/>
                <w:szCs w:val="15"/>
              </w:rPr>
              <w:t>53,5</w:t>
            </w:r>
          </w:p>
        </w:tc>
        <w:tc>
          <w:tcPr>
            <w:tcW w:w="708" w:type="dxa"/>
            <w:tcBorders>
              <w:left w:val="nil"/>
              <w:right w:val="single" w:sz="4" w:space="0" w:color="auto"/>
            </w:tcBorders>
            <w:vAlign w:val="center"/>
          </w:tcPr>
          <w:p w:rsidR="00565FD5" w:rsidRPr="001131FC" w:rsidRDefault="00565FD5" w:rsidP="00AB62A3">
            <w:pPr>
              <w:ind w:left="-179" w:right="57"/>
              <w:jc w:val="right"/>
              <w:rPr>
                <w:rFonts w:eastAsia="Arial Unicode MS"/>
                <w:b/>
                <w:color w:val="000000"/>
                <w:sz w:val="15"/>
                <w:szCs w:val="15"/>
              </w:rPr>
            </w:pPr>
            <w:r w:rsidRPr="001131FC">
              <w:rPr>
                <w:rFonts w:eastAsia="Arial Unicode MS"/>
                <w:b/>
                <w:color w:val="000000"/>
                <w:sz w:val="15"/>
                <w:szCs w:val="15"/>
              </w:rPr>
              <w:t>54,9</w:t>
            </w:r>
          </w:p>
        </w:tc>
      </w:tr>
      <w:tr w:rsidR="00565FD5" w:rsidRPr="001131FC" w:rsidTr="00AB62A3">
        <w:tblPrEx>
          <w:tblBorders>
            <w:top w:val="none" w:sz="0" w:space="0" w:color="auto"/>
            <w:left w:val="none" w:sz="0" w:space="0" w:color="auto"/>
            <w:right w:val="none" w:sz="0" w:space="0" w:color="auto"/>
          </w:tblBorders>
        </w:tblPrEx>
        <w:trPr>
          <w:trHeight w:val="259"/>
        </w:trPr>
        <w:tc>
          <w:tcPr>
            <w:tcW w:w="2699" w:type="dxa"/>
            <w:gridSpan w:val="2"/>
            <w:tcBorders>
              <w:left w:val="single" w:sz="4" w:space="0" w:color="auto"/>
            </w:tcBorders>
            <w:vAlign w:val="center"/>
          </w:tcPr>
          <w:p w:rsidR="00565FD5" w:rsidRPr="001131FC" w:rsidRDefault="00565FD5" w:rsidP="00AB62A3">
            <w:pPr>
              <w:ind w:left="120" w:right="57"/>
              <w:rPr>
                <w:b/>
                <w:snapToGrid w:val="0"/>
                <w:color w:val="000000"/>
                <w:sz w:val="15"/>
                <w:szCs w:val="15"/>
              </w:rPr>
            </w:pPr>
            <w:r w:rsidRPr="001131FC">
              <w:rPr>
                <w:b/>
                <w:snapToGrid w:val="0"/>
                <w:color w:val="000000"/>
                <w:sz w:val="15"/>
                <w:szCs w:val="15"/>
              </w:rPr>
              <w:t>İstihdam Oranı (Yüzde)</w:t>
            </w:r>
          </w:p>
        </w:tc>
        <w:tc>
          <w:tcPr>
            <w:tcW w:w="708" w:type="dxa"/>
            <w:vAlign w:val="center"/>
          </w:tcPr>
          <w:p w:rsidR="00565FD5" w:rsidRPr="001131FC" w:rsidRDefault="00565FD5" w:rsidP="00AB62A3">
            <w:pPr>
              <w:ind w:right="57"/>
              <w:jc w:val="right"/>
              <w:rPr>
                <w:rFonts w:eastAsia="Arial Unicode MS"/>
                <w:b/>
                <w:color w:val="000000"/>
                <w:sz w:val="15"/>
                <w:szCs w:val="15"/>
              </w:rPr>
            </w:pPr>
            <w:r w:rsidRPr="001131FC">
              <w:rPr>
                <w:rFonts w:eastAsia="Arial Unicode MS"/>
                <w:b/>
                <w:color w:val="000000"/>
                <w:sz w:val="15"/>
                <w:szCs w:val="15"/>
              </w:rPr>
              <w:t>38,2</w:t>
            </w:r>
          </w:p>
        </w:tc>
        <w:tc>
          <w:tcPr>
            <w:tcW w:w="709" w:type="dxa"/>
            <w:vAlign w:val="center"/>
          </w:tcPr>
          <w:p w:rsidR="00565FD5" w:rsidRPr="001131FC" w:rsidRDefault="00565FD5" w:rsidP="00AB62A3">
            <w:pPr>
              <w:ind w:right="57"/>
              <w:jc w:val="right"/>
              <w:rPr>
                <w:rFonts w:eastAsia="Arial Unicode MS"/>
                <w:b/>
                <w:color w:val="000000"/>
                <w:sz w:val="15"/>
                <w:szCs w:val="15"/>
              </w:rPr>
            </w:pPr>
            <w:r w:rsidRPr="001131FC">
              <w:rPr>
                <w:rFonts w:eastAsia="Arial Unicode MS"/>
                <w:b/>
                <w:color w:val="000000"/>
                <w:sz w:val="15"/>
                <w:szCs w:val="15"/>
              </w:rPr>
              <w:t>40,1</w:t>
            </w:r>
          </w:p>
        </w:tc>
        <w:tc>
          <w:tcPr>
            <w:tcW w:w="709" w:type="dxa"/>
            <w:tcBorders>
              <w:right w:val="single" w:sz="4" w:space="0" w:color="auto"/>
            </w:tcBorders>
            <w:vAlign w:val="center"/>
          </w:tcPr>
          <w:p w:rsidR="00565FD5" w:rsidRPr="001131FC" w:rsidRDefault="00565FD5" w:rsidP="00AB62A3">
            <w:pPr>
              <w:ind w:right="57"/>
              <w:jc w:val="right"/>
              <w:rPr>
                <w:rFonts w:eastAsia="Arial Unicode MS"/>
                <w:b/>
                <w:color w:val="000000"/>
                <w:sz w:val="15"/>
                <w:szCs w:val="15"/>
              </w:rPr>
            </w:pPr>
            <w:r w:rsidRPr="001131FC">
              <w:rPr>
                <w:rFonts w:eastAsia="Arial Unicode MS"/>
                <w:b/>
                <w:color w:val="000000"/>
                <w:sz w:val="15"/>
                <w:szCs w:val="15"/>
              </w:rPr>
              <w:t>41,9</w:t>
            </w:r>
          </w:p>
        </w:tc>
        <w:tc>
          <w:tcPr>
            <w:tcW w:w="850" w:type="dxa"/>
            <w:tcBorders>
              <w:left w:val="single" w:sz="4" w:space="0" w:color="auto"/>
            </w:tcBorders>
            <w:vAlign w:val="center"/>
          </w:tcPr>
          <w:p w:rsidR="00565FD5" w:rsidRPr="001131FC" w:rsidRDefault="00565FD5" w:rsidP="00AB62A3">
            <w:pPr>
              <w:ind w:left="-179" w:right="57"/>
              <w:jc w:val="right"/>
              <w:rPr>
                <w:rFonts w:eastAsia="Arial Unicode MS"/>
                <w:b/>
                <w:color w:val="000000"/>
                <w:sz w:val="15"/>
                <w:szCs w:val="15"/>
              </w:rPr>
            </w:pPr>
            <w:r w:rsidRPr="001131FC">
              <w:rPr>
                <w:rFonts w:eastAsia="Arial Unicode MS"/>
                <w:b/>
                <w:color w:val="000000"/>
                <w:sz w:val="15"/>
                <w:szCs w:val="15"/>
              </w:rPr>
              <w:t>48,0</w:t>
            </w:r>
          </w:p>
        </w:tc>
        <w:tc>
          <w:tcPr>
            <w:tcW w:w="709" w:type="dxa"/>
            <w:tcBorders>
              <w:left w:val="nil"/>
            </w:tcBorders>
            <w:vAlign w:val="center"/>
          </w:tcPr>
          <w:p w:rsidR="00565FD5" w:rsidRPr="001131FC" w:rsidRDefault="00565FD5" w:rsidP="00AB62A3">
            <w:pPr>
              <w:ind w:left="-179" w:right="57"/>
              <w:jc w:val="right"/>
              <w:rPr>
                <w:rFonts w:eastAsia="Arial Unicode MS"/>
                <w:b/>
                <w:color w:val="000000"/>
                <w:sz w:val="15"/>
                <w:szCs w:val="15"/>
              </w:rPr>
            </w:pPr>
            <w:r w:rsidRPr="001131FC">
              <w:rPr>
                <w:rFonts w:eastAsia="Arial Unicode MS"/>
                <w:b/>
                <w:color w:val="000000"/>
                <w:sz w:val="15"/>
                <w:szCs w:val="15"/>
              </w:rPr>
              <w:t>49,6</w:t>
            </w:r>
          </w:p>
        </w:tc>
        <w:tc>
          <w:tcPr>
            <w:tcW w:w="708" w:type="dxa"/>
            <w:tcBorders>
              <w:left w:val="nil"/>
              <w:right w:val="single" w:sz="4" w:space="0" w:color="auto"/>
            </w:tcBorders>
            <w:vAlign w:val="center"/>
          </w:tcPr>
          <w:p w:rsidR="00565FD5" w:rsidRPr="001131FC" w:rsidRDefault="00565FD5" w:rsidP="00AB62A3">
            <w:pPr>
              <w:ind w:left="-179" w:right="57"/>
              <w:jc w:val="right"/>
              <w:rPr>
                <w:rFonts w:eastAsia="Arial Unicode MS"/>
                <w:b/>
                <w:color w:val="000000"/>
                <w:sz w:val="15"/>
                <w:szCs w:val="15"/>
              </w:rPr>
            </w:pPr>
            <w:r w:rsidRPr="001131FC">
              <w:rPr>
                <w:rFonts w:eastAsia="Arial Unicode MS"/>
                <w:b/>
                <w:color w:val="000000"/>
                <w:sz w:val="15"/>
                <w:szCs w:val="15"/>
              </w:rPr>
              <w:t>51,8</w:t>
            </w:r>
          </w:p>
        </w:tc>
      </w:tr>
      <w:tr w:rsidR="00565FD5" w:rsidRPr="001131FC" w:rsidTr="00AB62A3">
        <w:tblPrEx>
          <w:tblBorders>
            <w:top w:val="none" w:sz="0" w:space="0" w:color="auto"/>
            <w:left w:val="none" w:sz="0" w:space="0" w:color="auto"/>
            <w:right w:val="none" w:sz="0" w:space="0" w:color="auto"/>
          </w:tblBorders>
        </w:tblPrEx>
        <w:trPr>
          <w:trHeight w:val="259"/>
        </w:trPr>
        <w:tc>
          <w:tcPr>
            <w:tcW w:w="2699" w:type="dxa"/>
            <w:gridSpan w:val="2"/>
            <w:tcBorders>
              <w:left w:val="single" w:sz="4" w:space="0" w:color="auto"/>
              <w:bottom w:val="single" w:sz="4" w:space="0" w:color="auto"/>
            </w:tcBorders>
            <w:vAlign w:val="center"/>
          </w:tcPr>
          <w:p w:rsidR="00565FD5" w:rsidRPr="001131FC" w:rsidRDefault="00565FD5" w:rsidP="00AB62A3">
            <w:pPr>
              <w:ind w:left="120" w:right="57"/>
              <w:rPr>
                <w:b/>
                <w:snapToGrid w:val="0"/>
                <w:color w:val="000000"/>
                <w:sz w:val="15"/>
                <w:szCs w:val="15"/>
              </w:rPr>
            </w:pPr>
            <w:r w:rsidRPr="001131FC">
              <w:rPr>
                <w:b/>
                <w:snapToGrid w:val="0"/>
                <w:color w:val="000000"/>
                <w:sz w:val="15"/>
                <w:szCs w:val="15"/>
              </w:rPr>
              <w:t>İşsizlik Oranı (Yüzde)</w:t>
            </w:r>
          </w:p>
        </w:tc>
        <w:tc>
          <w:tcPr>
            <w:tcW w:w="708" w:type="dxa"/>
            <w:tcBorders>
              <w:bottom w:val="single" w:sz="4" w:space="0" w:color="auto"/>
            </w:tcBorders>
            <w:vAlign w:val="center"/>
          </w:tcPr>
          <w:p w:rsidR="00565FD5" w:rsidRPr="001131FC" w:rsidRDefault="00565FD5" w:rsidP="00AB62A3">
            <w:pPr>
              <w:ind w:right="57"/>
              <w:jc w:val="right"/>
              <w:rPr>
                <w:rFonts w:eastAsia="Arial Unicode MS"/>
                <w:b/>
                <w:color w:val="000000"/>
                <w:sz w:val="15"/>
                <w:szCs w:val="15"/>
              </w:rPr>
            </w:pPr>
            <w:r w:rsidRPr="001131FC">
              <w:rPr>
                <w:rFonts w:eastAsia="Arial Unicode MS"/>
                <w:b/>
                <w:color w:val="000000"/>
                <w:sz w:val="15"/>
                <w:szCs w:val="15"/>
              </w:rPr>
              <w:t>16,6</w:t>
            </w:r>
          </w:p>
        </w:tc>
        <w:tc>
          <w:tcPr>
            <w:tcW w:w="709" w:type="dxa"/>
            <w:tcBorders>
              <w:bottom w:val="single" w:sz="4" w:space="0" w:color="auto"/>
            </w:tcBorders>
            <w:vAlign w:val="center"/>
          </w:tcPr>
          <w:p w:rsidR="00565FD5" w:rsidRPr="001131FC" w:rsidRDefault="00565FD5" w:rsidP="00AB62A3">
            <w:pPr>
              <w:ind w:right="57"/>
              <w:jc w:val="right"/>
              <w:rPr>
                <w:rFonts w:eastAsia="Arial Unicode MS"/>
                <w:b/>
                <w:color w:val="000000"/>
                <w:sz w:val="15"/>
                <w:szCs w:val="15"/>
              </w:rPr>
            </w:pPr>
            <w:r w:rsidRPr="001131FC">
              <w:rPr>
                <w:rFonts w:eastAsia="Arial Unicode MS"/>
                <w:b/>
                <w:color w:val="000000"/>
                <w:sz w:val="15"/>
                <w:szCs w:val="15"/>
              </w:rPr>
              <w:t>14,2</w:t>
            </w:r>
          </w:p>
        </w:tc>
        <w:tc>
          <w:tcPr>
            <w:tcW w:w="709" w:type="dxa"/>
            <w:tcBorders>
              <w:bottom w:val="single" w:sz="4" w:space="0" w:color="auto"/>
              <w:right w:val="single" w:sz="4" w:space="0" w:color="auto"/>
            </w:tcBorders>
            <w:vAlign w:val="center"/>
          </w:tcPr>
          <w:p w:rsidR="00565FD5" w:rsidRPr="001131FC" w:rsidRDefault="00565FD5" w:rsidP="00AB62A3">
            <w:pPr>
              <w:ind w:right="57"/>
              <w:jc w:val="right"/>
              <w:rPr>
                <w:rFonts w:eastAsia="Arial Unicode MS"/>
                <w:b/>
                <w:color w:val="000000"/>
                <w:sz w:val="15"/>
                <w:szCs w:val="15"/>
              </w:rPr>
            </w:pPr>
            <w:r w:rsidRPr="001131FC">
              <w:rPr>
                <w:rFonts w:eastAsia="Arial Unicode MS"/>
                <w:b/>
                <w:color w:val="000000"/>
                <w:sz w:val="15"/>
                <w:szCs w:val="15"/>
              </w:rPr>
              <w:t>11,9</w:t>
            </w:r>
          </w:p>
        </w:tc>
        <w:tc>
          <w:tcPr>
            <w:tcW w:w="850" w:type="dxa"/>
            <w:tcBorders>
              <w:left w:val="single" w:sz="4" w:space="0" w:color="auto"/>
              <w:bottom w:val="single" w:sz="4" w:space="0" w:color="auto"/>
            </w:tcBorders>
            <w:vAlign w:val="center"/>
          </w:tcPr>
          <w:p w:rsidR="00565FD5" w:rsidRPr="001131FC" w:rsidRDefault="00565FD5" w:rsidP="00AB62A3">
            <w:pPr>
              <w:ind w:left="-179" w:right="57"/>
              <w:jc w:val="right"/>
              <w:rPr>
                <w:rFonts w:eastAsia="Arial Unicode MS"/>
                <w:b/>
                <w:color w:val="000000"/>
                <w:sz w:val="15"/>
                <w:szCs w:val="15"/>
              </w:rPr>
            </w:pPr>
            <w:r w:rsidRPr="001131FC">
              <w:rPr>
                <w:rFonts w:eastAsia="Arial Unicode MS"/>
                <w:b/>
                <w:color w:val="000000"/>
                <w:sz w:val="15"/>
                <w:szCs w:val="15"/>
              </w:rPr>
              <w:t>8,9</w:t>
            </w:r>
          </w:p>
        </w:tc>
        <w:tc>
          <w:tcPr>
            <w:tcW w:w="709" w:type="dxa"/>
            <w:tcBorders>
              <w:left w:val="nil"/>
              <w:bottom w:val="single" w:sz="4" w:space="0" w:color="auto"/>
            </w:tcBorders>
            <w:vAlign w:val="center"/>
          </w:tcPr>
          <w:p w:rsidR="00565FD5" w:rsidRPr="001131FC" w:rsidRDefault="00565FD5" w:rsidP="00AB62A3">
            <w:pPr>
              <w:ind w:left="-179" w:right="57"/>
              <w:jc w:val="right"/>
              <w:rPr>
                <w:rFonts w:eastAsia="Arial Unicode MS"/>
                <w:b/>
                <w:color w:val="000000"/>
                <w:sz w:val="15"/>
                <w:szCs w:val="15"/>
              </w:rPr>
            </w:pPr>
            <w:r w:rsidRPr="001131FC">
              <w:rPr>
                <w:rFonts w:eastAsia="Arial Unicode MS"/>
                <w:b/>
                <w:color w:val="000000"/>
                <w:sz w:val="15"/>
                <w:szCs w:val="15"/>
              </w:rPr>
              <w:t>7,3</w:t>
            </w:r>
          </w:p>
        </w:tc>
        <w:tc>
          <w:tcPr>
            <w:tcW w:w="708" w:type="dxa"/>
            <w:tcBorders>
              <w:left w:val="nil"/>
              <w:bottom w:val="single" w:sz="4" w:space="0" w:color="auto"/>
              <w:right w:val="single" w:sz="4" w:space="0" w:color="auto"/>
            </w:tcBorders>
            <w:vAlign w:val="center"/>
          </w:tcPr>
          <w:p w:rsidR="00565FD5" w:rsidRPr="001131FC" w:rsidRDefault="00565FD5" w:rsidP="00AB62A3">
            <w:pPr>
              <w:ind w:left="-179" w:right="57"/>
              <w:jc w:val="right"/>
              <w:rPr>
                <w:rFonts w:eastAsia="Arial Unicode MS"/>
                <w:b/>
                <w:color w:val="000000"/>
                <w:sz w:val="15"/>
                <w:szCs w:val="15"/>
              </w:rPr>
            </w:pPr>
            <w:r w:rsidRPr="001131FC">
              <w:rPr>
                <w:rFonts w:eastAsia="Arial Unicode MS"/>
                <w:b/>
                <w:color w:val="000000"/>
                <w:sz w:val="15"/>
                <w:szCs w:val="15"/>
              </w:rPr>
              <w:t>5,8</w:t>
            </w:r>
          </w:p>
        </w:tc>
      </w:tr>
    </w:tbl>
    <w:p w:rsidR="00565FD5" w:rsidRPr="001131FC" w:rsidRDefault="00565FD5" w:rsidP="00565FD5">
      <w:pPr>
        <w:spacing w:after="240"/>
        <w:rPr>
          <w:rFonts w:cs="Tahoma"/>
          <w:color w:val="000000"/>
          <w:sz w:val="14"/>
          <w:szCs w:val="14"/>
        </w:rPr>
      </w:pPr>
      <w:r w:rsidRPr="001131FC">
        <w:rPr>
          <w:rFonts w:cs="Tahoma"/>
          <w:color w:val="000000"/>
          <w:sz w:val="14"/>
          <w:szCs w:val="14"/>
        </w:rPr>
        <w:t>Kaynak: TÜİK, Hanehalkı İşgücü Anketi Sonuçları</w:t>
      </w:r>
    </w:p>
    <w:p w:rsidR="00565FD5" w:rsidRPr="001131FC" w:rsidRDefault="00565FD5" w:rsidP="00565FD5">
      <w:pPr>
        <w:spacing w:after="120"/>
        <w:ind w:firstLine="425"/>
        <w:rPr>
          <w:color w:val="000000"/>
          <w:szCs w:val="18"/>
        </w:rPr>
      </w:pPr>
      <w:r w:rsidRPr="001131FC">
        <w:rPr>
          <w:color w:val="000000"/>
          <w:szCs w:val="18"/>
        </w:rPr>
        <w:t xml:space="preserve">2011 yılında kentsel istihdam bir önceki yıla göre yüzde 5,6 oranında artarken, kırsal istihdam ise yüzde 8,7 oranında artmıştır. Kırsal alanlarda yaşanan istihdam artışında tarımsal istihdamın artması etkili olmuştur. Ayrıca, 2011 yılında kentsel yerlerde işsizlik oranı yüzde 11,9, kırsal yerlerde ise yüzde 5,8 olarak gerçekleşmiştir. </w:t>
      </w:r>
    </w:p>
    <w:p w:rsidR="00565FD5" w:rsidRPr="001131FC" w:rsidRDefault="00565FD5" w:rsidP="00565FD5">
      <w:pPr>
        <w:spacing w:after="120"/>
        <w:ind w:firstLine="425"/>
        <w:rPr>
          <w:color w:val="000000"/>
          <w:szCs w:val="18"/>
        </w:rPr>
      </w:pPr>
      <w:r w:rsidRPr="001131FC">
        <w:rPr>
          <w:color w:val="000000"/>
          <w:szCs w:val="18"/>
        </w:rPr>
        <w:lastRenderedPageBreak/>
        <w:t>2011 yılında bir önceki yıla göre toplam istihdam içerisinde ücretli ve yevmiyeli ve ücretsiz aile işçilerinin payları artarken, kendi hesabına çalışan ve işverenin payı azalmıştır.</w:t>
      </w:r>
    </w:p>
    <w:p w:rsidR="00565FD5" w:rsidRPr="001131FC" w:rsidRDefault="00565FD5" w:rsidP="00565FD5">
      <w:pPr>
        <w:pStyle w:val="ResimYazs"/>
        <w:rPr>
          <w:b w:val="0"/>
          <w:color w:val="000000"/>
        </w:rPr>
      </w:pPr>
      <w:bookmarkStart w:id="315" w:name="_Toc86737745"/>
      <w:bookmarkStart w:id="316" w:name="_Toc86818937"/>
      <w:bookmarkStart w:id="317" w:name="_Toc118525287"/>
      <w:bookmarkStart w:id="318" w:name="_Toc118555939"/>
      <w:bookmarkStart w:id="319" w:name="_Toc118568263"/>
      <w:bookmarkStart w:id="320" w:name="_Toc149926698"/>
      <w:bookmarkStart w:id="321" w:name="_Toc150099329"/>
      <w:bookmarkStart w:id="322" w:name="_Toc181274085"/>
      <w:bookmarkStart w:id="323" w:name="_Toc181286364"/>
      <w:bookmarkStart w:id="324" w:name="_Toc213071575"/>
      <w:bookmarkStart w:id="325" w:name="_Toc275873808"/>
      <w:bookmarkStart w:id="326" w:name="_Toc276076432"/>
      <w:bookmarkStart w:id="327" w:name="_Toc307601596"/>
      <w:bookmarkStart w:id="328" w:name="_Toc307657838"/>
      <w:bookmarkStart w:id="329" w:name="_Toc307702094"/>
      <w:bookmarkStart w:id="330" w:name="_Toc338605958"/>
      <w:bookmarkStart w:id="331" w:name="_Toc338711733"/>
      <w:bookmarkStart w:id="332" w:name="_Toc244339781"/>
      <w:r>
        <w:t xml:space="preserve">TABLO II: </w:t>
      </w:r>
      <w:fldSimple w:instr=" SEQ TABLO_II: \* ARABIC ">
        <w:r>
          <w:rPr>
            <w:noProof/>
          </w:rPr>
          <w:t>6</w:t>
        </w:r>
      </w:fldSimple>
      <w:r w:rsidRPr="00796BF8">
        <w:rPr>
          <w:color w:val="000000"/>
        </w:rPr>
        <w:t>- İstihdam Edilenlerin İşteki Çalışma Durumuna Göre D</w:t>
      </w:r>
      <w:bookmarkEnd w:id="315"/>
      <w:bookmarkEnd w:id="316"/>
      <w:bookmarkEnd w:id="317"/>
      <w:bookmarkEnd w:id="318"/>
      <w:bookmarkEnd w:id="319"/>
      <w:bookmarkEnd w:id="320"/>
      <w:bookmarkEnd w:id="321"/>
      <w:bookmarkEnd w:id="322"/>
      <w:bookmarkEnd w:id="323"/>
      <w:bookmarkEnd w:id="324"/>
      <w:bookmarkEnd w:id="325"/>
      <w:r w:rsidRPr="00796BF8">
        <w:rPr>
          <w:color w:val="000000"/>
        </w:rPr>
        <w:t>ağılımı</w:t>
      </w:r>
      <w:bookmarkEnd w:id="326"/>
      <w:bookmarkEnd w:id="327"/>
      <w:bookmarkEnd w:id="328"/>
      <w:bookmarkEnd w:id="329"/>
      <w:bookmarkEnd w:id="330"/>
      <w:bookmarkEnd w:id="331"/>
      <w:r w:rsidRPr="001131FC">
        <w:rPr>
          <w:b w:val="0"/>
          <w:color w:val="000000"/>
        </w:rPr>
        <w:t xml:space="preserve"> </w:t>
      </w:r>
      <w:bookmarkEnd w:id="332"/>
    </w:p>
    <w:p w:rsidR="00565FD5" w:rsidRPr="001131FC" w:rsidRDefault="00565FD5" w:rsidP="00565FD5">
      <w:pPr>
        <w:jc w:val="right"/>
        <w:rPr>
          <w:color w:val="000000"/>
          <w:sz w:val="14"/>
          <w:szCs w:val="14"/>
        </w:rPr>
      </w:pPr>
      <w:r w:rsidRPr="001131FC">
        <w:rPr>
          <w:color w:val="000000"/>
          <w:sz w:val="14"/>
          <w:szCs w:val="14"/>
        </w:rPr>
        <w:t>(15+Yaş, Bin Kişi)</w:t>
      </w:r>
    </w:p>
    <w:tbl>
      <w:tblPr>
        <w:tblW w:w="4869"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41"/>
        <w:gridCol w:w="754"/>
        <w:gridCol w:w="738"/>
        <w:gridCol w:w="770"/>
        <w:gridCol w:w="714"/>
        <w:gridCol w:w="725"/>
        <w:gridCol w:w="725"/>
      </w:tblGrid>
      <w:tr w:rsidR="00565FD5" w:rsidRPr="001131FC" w:rsidTr="00AB62A3">
        <w:trPr>
          <w:cantSplit/>
          <w:trHeight w:val="227"/>
        </w:trPr>
        <w:tc>
          <w:tcPr>
            <w:tcW w:w="1912" w:type="pct"/>
            <w:vMerge w:val="restart"/>
            <w:tcBorders>
              <w:top w:val="single" w:sz="4" w:space="0" w:color="auto"/>
            </w:tcBorders>
            <w:vAlign w:val="bottom"/>
          </w:tcPr>
          <w:p w:rsidR="00565FD5" w:rsidRPr="001131FC" w:rsidRDefault="00565FD5" w:rsidP="00AB62A3">
            <w:pPr>
              <w:rPr>
                <w:b/>
                <w:color w:val="000000"/>
                <w:sz w:val="14"/>
                <w:szCs w:val="14"/>
              </w:rPr>
            </w:pPr>
            <w:bookmarkStart w:id="333" w:name="_Toc118525288"/>
            <w:bookmarkStart w:id="334" w:name="_Toc118555940"/>
            <w:bookmarkStart w:id="335" w:name="_Toc118568264"/>
          </w:p>
        </w:tc>
        <w:tc>
          <w:tcPr>
            <w:tcW w:w="1041" w:type="pct"/>
            <w:gridSpan w:val="2"/>
            <w:tcBorders>
              <w:top w:val="single" w:sz="4" w:space="0" w:color="auto"/>
              <w:bottom w:val="single" w:sz="4" w:space="0" w:color="auto"/>
              <w:right w:val="single" w:sz="4" w:space="0" w:color="auto"/>
            </w:tcBorders>
            <w:vAlign w:val="bottom"/>
          </w:tcPr>
          <w:p w:rsidR="00565FD5" w:rsidRPr="001131FC" w:rsidRDefault="00565FD5" w:rsidP="00AB62A3">
            <w:pPr>
              <w:jc w:val="center"/>
              <w:rPr>
                <w:b/>
                <w:color w:val="000000"/>
                <w:sz w:val="14"/>
                <w:szCs w:val="14"/>
              </w:rPr>
            </w:pPr>
            <w:r w:rsidRPr="001131FC">
              <w:rPr>
                <w:b/>
                <w:color w:val="000000"/>
                <w:sz w:val="14"/>
                <w:szCs w:val="14"/>
              </w:rPr>
              <w:t>2009</w:t>
            </w:r>
          </w:p>
        </w:tc>
        <w:tc>
          <w:tcPr>
            <w:tcW w:w="1035" w:type="pct"/>
            <w:gridSpan w:val="2"/>
            <w:tcBorders>
              <w:top w:val="single" w:sz="4" w:space="0" w:color="auto"/>
              <w:left w:val="single" w:sz="4" w:space="0" w:color="auto"/>
              <w:bottom w:val="single" w:sz="4" w:space="0" w:color="auto"/>
              <w:right w:val="single" w:sz="4" w:space="0" w:color="auto"/>
            </w:tcBorders>
            <w:vAlign w:val="bottom"/>
          </w:tcPr>
          <w:p w:rsidR="00565FD5" w:rsidRPr="001131FC" w:rsidRDefault="00565FD5" w:rsidP="00AB62A3">
            <w:pPr>
              <w:jc w:val="center"/>
              <w:rPr>
                <w:b/>
                <w:color w:val="000000"/>
                <w:sz w:val="14"/>
                <w:szCs w:val="14"/>
              </w:rPr>
            </w:pPr>
            <w:r w:rsidRPr="001131FC">
              <w:rPr>
                <w:b/>
                <w:color w:val="000000"/>
                <w:sz w:val="14"/>
                <w:szCs w:val="14"/>
              </w:rPr>
              <w:t>2010</w:t>
            </w:r>
          </w:p>
        </w:tc>
        <w:tc>
          <w:tcPr>
            <w:tcW w:w="1012" w:type="pct"/>
            <w:gridSpan w:val="2"/>
            <w:tcBorders>
              <w:top w:val="single" w:sz="4" w:space="0" w:color="auto"/>
              <w:left w:val="single" w:sz="4" w:space="0" w:color="auto"/>
              <w:bottom w:val="single" w:sz="4" w:space="0" w:color="auto"/>
            </w:tcBorders>
            <w:vAlign w:val="bottom"/>
          </w:tcPr>
          <w:p w:rsidR="00565FD5" w:rsidRPr="001131FC" w:rsidRDefault="00565FD5" w:rsidP="00AB62A3">
            <w:pPr>
              <w:jc w:val="center"/>
              <w:rPr>
                <w:b/>
                <w:color w:val="000000"/>
                <w:sz w:val="14"/>
                <w:szCs w:val="14"/>
              </w:rPr>
            </w:pPr>
            <w:r w:rsidRPr="001131FC">
              <w:rPr>
                <w:b/>
                <w:color w:val="000000"/>
                <w:sz w:val="14"/>
                <w:szCs w:val="14"/>
              </w:rPr>
              <w:t>2011</w:t>
            </w:r>
          </w:p>
        </w:tc>
      </w:tr>
      <w:tr w:rsidR="00565FD5" w:rsidRPr="001131FC" w:rsidTr="00AB62A3">
        <w:trPr>
          <w:cantSplit/>
          <w:trHeight w:val="227"/>
        </w:trPr>
        <w:tc>
          <w:tcPr>
            <w:tcW w:w="1912" w:type="pct"/>
            <w:vMerge/>
            <w:tcBorders>
              <w:bottom w:val="single" w:sz="4" w:space="0" w:color="auto"/>
            </w:tcBorders>
            <w:vAlign w:val="bottom"/>
          </w:tcPr>
          <w:p w:rsidR="00565FD5" w:rsidRPr="001131FC" w:rsidRDefault="00565FD5" w:rsidP="00AB62A3">
            <w:pPr>
              <w:rPr>
                <w:b/>
                <w:color w:val="000000"/>
                <w:sz w:val="14"/>
                <w:szCs w:val="14"/>
              </w:rPr>
            </w:pPr>
          </w:p>
        </w:tc>
        <w:tc>
          <w:tcPr>
            <w:tcW w:w="526" w:type="pct"/>
            <w:tcBorders>
              <w:top w:val="single" w:sz="4" w:space="0" w:color="auto"/>
              <w:bottom w:val="single" w:sz="4" w:space="0" w:color="auto"/>
            </w:tcBorders>
            <w:vAlign w:val="bottom"/>
          </w:tcPr>
          <w:p w:rsidR="00565FD5" w:rsidRPr="001131FC" w:rsidRDefault="00565FD5" w:rsidP="00AB62A3">
            <w:pPr>
              <w:jc w:val="center"/>
              <w:rPr>
                <w:b/>
                <w:color w:val="000000"/>
                <w:sz w:val="14"/>
                <w:szCs w:val="14"/>
              </w:rPr>
            </w:pPr>
            <w:r w:rsidRPr="001131FC">
              <w:rPr>
                <w:b/>
                <w:color w:val="000000"/>
                <w:sz w:val="14"/>
                <w:szCs w:val="14"/>
              </w:rPr>
              <w:t>Kişi Sayısı</w:t>
            </w:r>
          </w:p>
        </w:tc>
        <w:tc>
          <w:tcPr>
            <w:tcW w:w="515" w:type="pct"/>
            <w:tcBorders>
              <w:top w:val="single" w:sz="4" w:space="0" w:color="auto"/>
              <w:bottom w:val="single" w:sz="4" w:space="0" w:color="auto"/>
              <w:right w:val="single" w:sz="4" w:space="0" w:color="auto"/>
            </w:tcBorders>
            <w:vAlign w:val="bottom"/>
          </w:tcPr>
          <w:p w:rsidR="00565FD5" w:rsidRPr="001131FC" w:rsidRDefault="00565FD5" w:rsidP="00AB62A3">
            <w:pPr>
              <w:jc w:val="center"/>
              <w:rPr>
                <w:b/>
                <w:color w:val="000000"/>
                <w:sz w:val="14"/>
                <w:szCs w:val="14"/>
              </w:rPr>
            </w:pPr>
            <w:r w:rsidRPr="001131FC">
              <w:rPr>
                <w:b/>
                <w:color w:val="000000"/>
                <w:sz w:val="14"/>
                <w:szCs w:val="14"/>
              </w:rPr>
              <w:t>Yüzde</w:t>
            </w:r>
          </w:p>
        </w:tc>
        <w:tc>
          <w:tcPr>
            <w:tcW w:w="537" w:type="pct"/>
            <w:tcBorders>
              <w:top w:val="single" w:sz="4" w:space="0" w:color="auto"/>
              <w:left w:val="single" w:sz="4" w:space="0" w:color="auto"/>
              <w:bottom w:val="single" w:sz="4" w:space="0" w:color="auto"/>
            </w:tcBorders>
            <w:vAlign w:val="bottom"/>
          </w:tcPr>
          <w:p w:rsidR="00565FD5" w:rsidRPr="001131FC" w:rsidRDefault="00565FD5" w:rsidP="00AB62A3">
            <w:pPr>
              <w:jc w:val="center"/>
              <w:rPr>
                <w:b/>
                <w:color w:val="000000"/>
                <w:sz w:val="14"/>
                <w:szCs w:val="14"/>
              </w:rPr>
            </w:pPr>
            <w:r w:rsidRPr="001131FC">
              <w:rPr>
                <w:b/>
                <w:color w:val="000000"/>
                <w:sz w:val="14"/>
                <w:szCs w:val="14"/>
              </w:rPr>
              <w:t>Kişi Sayısı</w:t>
            </w:r>
          </w:p>
        </w:tc>
        <w:tc>
          <w:tcPr>
            <w:tcW w:w="498" w:type="pct"/>
            <w:tcBorders>
              <w:top w:val="single" w:sz="4" w:space="0" w:color="auto"/>
              <w:bottom w:val="single" w:sz="4" w:space="0" w:color="auto"/>
              <w:right w:val="single" w:sz="4" w:space="0" w:color="auto"/>
            </w:tcBorders>
            <w:vAlign w:val="bottom"/>
          </w:tcPr>
          <w:p w:rsidR="00565FD5" w:rsidRPr="001131FC" w:rsidRDefault="00565FD5" w:rsidP="00AB62A3">
            <w:pPr>
              <w:jc w:val="center"/>
              <w:rPr>
                <w:b/>
                <w:color w:val="000000"/>
                <w:sz w:val="14"/>
                <w:szCs w:val="14"/>
              </w:rPr>
            </w:pPr>
            <w:r w:rsidRPr="001131FC">
              <w:rPr>
                <w:b/>
                <w:color w:val="000000"/>
                <w:sz w:val="14"/>
                <w:szCs w:val="14"/>
              </w:rPr>
              <w:t>Yüzde</w:t>
            </w:r>
          </w:p>
        </w:tc>
        <w:tc>
          <w:tcPr>
            <w:tcW w:w="506" w:type="pct"/>
            <w:tcBorders>
              <w:top w:val="single" w:sz="4" w:space="0" w:color="auto"/>
              <w:left w:val="single" w:sz="4" w:space="0" w:color="auto"/>
              <w:bottom w:val="single" w:sz="4" w:space="0" w:color="auto"/>
            </w:tcBorders>
            <w:vAlign w:val="bottom"/>
          </w:tcPr>
          <w:p w:rsidR="00565FD5" w:rsidRPr="001131FC" w:rsidRDefault="00565FD5" w:rsidP="00AB62A3">
            <w:pPr>
              <w:jc w:val="center"/>
              <w:rPr>
                <w:b/>
                <w:color w:val="000000"/>
                <w:sz w:val="14"/>
                <w:szCs w:val="14"/>
              </w:rPr>
            </w:pPr>
            <w:r w:rsidRPr="001131FC">
              <w:rPr>
                <w:b/>
                <w:color w:val="000000"/>
                <w:sz w:val="14"/>
                <w:szCs w:val="14"/>
              </w:rPr>
              <w:t>Kişi Sayısı</w:t>
            </w:r>
          </w:p>
        </w:tc>
        <w:tc>
          <w:tcPr>
            <w:tcW w:w="506" w:type="pct"/>
            <w:tcBorders>
              <w:top w:val="single" w:sz="4" w:space="0" w:color="auto"/>
              <w:bottom w:val="single" w:sz="4" w:space="0" w:color="auto"/>
            </w:tcBorders>
            <w:vAlign w:val="bottom"/>
          </w:tcPr>
          <w:p w:rsidR="00565FD5" w:rsidRPr="001131FC" w:rsidRDefault="00565FD5" w:rsidP="00AB62A3">
            <w:pPr>
              <w:jc w:val="center"/>
              <w:rPr>
                <w:b/>
                <w:color w:val="000000"/>
                <w:sz w:val="14"/>
                <w:szCs w:val="14"/>
              </w:rPr>
            </w:pPr>
            <w:r w:rsidRPr="001131FC">
              <w:rPr>
                <w:b/>
                <w:color w:val="000000"/>
                <w:sz w:val="14"/>
                <w:szCs w:val="14"/>
              </w:rPr>
              <w:t>Yüzde</w:t>
            </w:r>
          </w:p>
        </w:tc>
      </w:tr>
      <w:tr w:rsidR="00565FD5" w:rsidRPr="001131FC" w:rsidTr="00AB62A3">
        <w:trPr>
          <w:cantSplit/>
          <w:trHeight w:val="198"/>
        </w:trPr>
        <w:tc>
          <w:tcPr>
            <w:tcW w:w="1912" w:type="pct"/>
            <w:tcBorders>
              <w:top w:val="single" w:sz="4" w:space="0" w:color="auto"/>
              <w:bottom w:val="nil"/>
            </w:tcBorders>
            <w:vAlign w:val="bottom"/>
          </w:tcPr>
          <w:p w:rsidR="00565FD5" w:rsidRPr="001131FC" w:rsidRDefault="00565FD5" w:rsidP="00AB62A3">
            <w:pPr>
              <w:rPr>
                <w:bCs/>
                <w:color w:val="000000"/>
                <w:sz w:val="14"/>
                <w:szCs w:val="14"/>
              </w:rPr>
            </w:pPr>
            <w:r w:rsidRPr="001131FC">
              <w:rPr>
                <w:bCs/>
                <w:color w:val="000000"/>
                <w:sz w:val="14"/>
                <w:szCs w:val="14"/>
              </w:rPr>
              <w:t>Ücretli ve Yevmiyeli</w:t>
            </w:r>
          </w:p>
        </w:tc>
        <w:tc>
          <w:tcPr>
            <w:tcW w:w="526" w:type="pct"/>
            <w:tcBorders>
              <w:top w:val="single" w:sz="4" w:space="0" w:color="auto"/>
              <w:bottom w:val="nil"/>
            </w:tcBorders>
            <w:vAlign w:val="bottom"/>
          </w:tcPr>
          <w:p w:rsidR="00565FD5" w:rsidRPr="001131FC" w:rsidRDefault="00565FD5" w:rsidP="00AB62A3">
            <w:pPr>
              <w:jc w:val="right"/>
              <w:rPr>
                <w:bCs/>
                <w:color w:val="000000"/>
                <w:sz w:val="14"/>
                <w:szCs w:val="14"/>
              </w:rPr>
            </w:pPr>
            <w:r w:rsidRPr="001131FC">
              <w:rPr>
                <w:bCs/>
                <w:color w:val="000000"/>
                <w:sz w:val="14"/>
                <w:szCs w:val="14"/>
              </w:rPr>
              <w:t>12 770</w:t>
            </w:r>
          </w:p>
        </w:tc>
        <w:tc>
          <w:tcPr>
            <w:tcW w:w="515" w:type="pct"/>
            <w:tcBorders>
              <w:top w:val="single" w:sz="4" w:space="0" w:color="auto"/>
              <w:bottom w:val="nil"/>
              <w:right w:val="single" w:sz="4" w:space="0" w:color="auto"/>
            </w:tcBorders>
            <w:vAlign w:val="bottom"/>
          </w:tcPr>
          <w:p w:rsidR="00565FD5" w:rsidRPr="001131FC" w:rsidRDefault="00565FD5" w:rsidP="00AB62A3">
            <w:pPr>
              <w:jc w:val="right"/>
              <w:rPr>
                <w:bCs/>
                <w:color w:val="000000"/>
                <w:sz w:val="14"/>
                <w:szCs w:val="14"/>
              </w:rPr>
            </w:pPr>
            <w:r w:rsidRPr="001131FC">
              <w:rPr>
                <w:bCs/>
                <w:color w:val="000000"/>
                <w:sz w:val="14"/>
                <w:szCs w:val="14"/>
              </w:rPr>
              <w:t>60,0</w:t>
            </w:r>
          </w:p>
        </w:tc>
        <w:tc>
          <w:tcPr>
            <w:tcW w:w="537" w:type="pct"/>
            <w:tcBorders>
              <w:top w:val="single" w:sz="4" w:space="0" w:color="auto"/>
              <w:left w:val="single" w:sz="4" w:space="0" w:color="auto"/>
              <w:bottom w:val="nil"/>
            </w:tcBorders>
            <w:vAlign w:val="bottom"/>
          </w:tcPr>
          <w:p w:rsidR="00565FD5" w:rsidRPr="001131FC" w:rsidRDefault="00565FD5" w:rsidP="00AB62A3">
            <w:pPr>
              <w:jc w:val="right"/>
              <w:rPr>
                <w:bCs/>
                <w:color w:val="000000"/>
                <w:sz w:val="14"/>
                <w:szCs w:val="14"/>
              </w:rPr>
            </w:pPr>
            <w:r w:rsidRPr="001131FC">
              <w:rPr>
                <w:bCs/>
                <w:color w:val="000000"/>
                <w:sz w:val="14"/>
                <w:szCs w:val="14"/>
              </w:rPr>
              <w:t>13 762</w:t>
            </w:r>
          </w:p>
        </w:tc>
        <w:tc>
          <w:tcPr>
            <w:tcW w:w="498" w:type="pct"/>
            <w:tcBorders>
              <w:top w:val="single" w:sz="4" w:space="0" w:color="auto"/>
              <w:bottom w:val="nil"/>
              <w:right w:val="single" w:sz="4" w:space="0" w:color="auto"/>
            </w:tcBorders>
            <w:vAlign w:val="bottom"/>
          </w:tcPr>
          <w:p w:rsidR="00565FD5" w:rsidRPr="001131FC" w:rsidRDefault="00565FD5" w:rsidP="00AB62A3">
            <w:pPr>
              <w:jc w:val="right"/>
              <w:rPr>
                <w:bCs/>
                <w:color w:val="000000"/>
                <w:sz w:val="14"/>
                <w:szCs w:val="14"/>
              </w:rPr>
            </w:pPr>
            <w:r w:rsidRPr="001131FC">
              <w:rPr>
                <w:bCs/>
                <w:color w:val="000000"/>
                <w:sz w:val="14"/>
                <w:szCs w:val="14"/>
              </w:rPr>
              <w:t>60,9</w:t>
            </w:r>
          </w:p>
        </w:tc>
        <w:tc>
          <w:tcPr>
            <w:tcW w:w="506" w:type="pct"/>
            <w:tcBorders>
              <w:top w:val="single" w:sz="4" w:space="0" w:color="auto"/>
              <w:left w:val="single" w:sz="4" w:space="0" w:color="auto"/>
              <w:bottom w:val="nil"/>
            </w:tcBorders>
            <w:vAlign w:val="bottom"/>
          </w:tcPr>
          <w:p w:rsidR="00565FD5" w:rsidRPr="001131FC" w:rsidRDefault="00565FD5" w:rsidP="00AB62A3">
            <w:pPr>
              <w:jc w:val="right"/>
              <w:rPr>
                <w:bCs/>
                <w:color w:val="000000"/>
                <w:sz w:val="14"/>
                <w:szCs w:val="14"/>
              </w:rPr>
            </w:pPr>
            <w:r w:rsidRPr="001131FC">
              <w:rPr>
                <w:bCs/>
                <w:color w:val="000000"/>
                <w:sz w:val="14"/>
                <w:szCs w:val="14"/>
              </w:rPr>
              <w:t>14 876</w:t>
            </w:r>
          </w:p>
        </w:tc>
        <w:tc>
          <w:tcPr>
            <w:tcW w:w="506" w:type="pct"/>
            <w:tcBorders>
              <w:top w:val="single" w:sz="4" w:space="0" w:color="auto"/>
              <w:bottom w:val="nil"/>
            </w:tcBorders>
            <w:vAlign w:val="bottom"/>
          </w:tcPr>
          <w:p w:rsidR="00565FD5" w:rsidRPr="001131FC" w:rsidRDefault="00565FD5" w:rsidP="00AB62A3">
            <w:pPr>
              <w:jc w:val="right"/>
              <w:rPr>
                <w:bCs/>
                <w:color w:val="000000"/>
                <w:sz w:val="14"/>
                <w:szCs w:val="14"/>
              </w:rPr>
            </w:pPr>
            <w:r w:rsidRPr="001131FC">
              <w:rPr>
                <w:bCs/>
                <w:color w:val="000000"/>
                <w:sz w:val="14"/>
                <w:szCs w:val="14"/>
              </w:rPr>
              <w:t>61,7</w:t>
            </w:r>
          </w:p>
        </w:tc>
      </w:tr>
      <w:tr w:rsidR="00565FD5" w:rsidRPr="001131FC" w:rsidTr="00AB62A3">
        <w:trPr>
          <w:cantSplit/>
          <w:trHeight w:val="198"/>
        </w:trPr>
        <w:tc>
          <w:tcPr>
            <w:tcW w:w="1912" w:type="pct"/>
            <w:tcBorders>
              <w:top w:val="nil"/>
            </w:tcBorders>
            <w:vAlign w:val="bottom"/>
          </w:tcPr>
          <w:p w:rsidR="00565FD5" w:rsidRPr="001131FC" w:rsidRDefault="00565FD5" w:rsidP="00AB62A3">
            <w:pPr>
              <w:rPr>
                <w:bCs/>
                <w:color w:val="000000"/>
                <w:sz w:val="14"/>
                <w:szCs w:val="14"/>
              </w:rPr>
            </w:pPr>
            <w:r w:rsidRPr="001131FC">
              <w:rPr>
                <w:bCs/>
                <w:color w:val="000000"/>
                <w:sz w:val="14"/>
                <w:szCs w:val="14"/>
              </w:rPr>
              <w:t>Kendi Hesabına Çalışan ve İşveren</w:t>
            </w:r>
          </w:p>
        </w:tc>
        <w:tc>
          <w:tcPr>
            <w:tcW w:w="526" w:type="pct"/>
            <w:tcBorders>
              <w:top w:val="nil"/>
            </w:tcBorders>
            <w:vAlign w:val="bottom"/>
          </w:tcPr>
          <w:p w:rsidR="00565FD5" w:rsidRPr="001131FC" w:rsidRDefault="00565FD5" w:rsidP="00AB62A3">
            <w:pPr>
              <w:jc w:val="right"/>
              <w:rPr>
                <w:bCs/>
                <w:color w:val="000000"/>
                <w:sz w:val="14"/>
                <w:szCs w:val="14"/>
              </w:rPr>
            </w:pPr>
            <w:r w:rsidRPr="001131FC">
              <w:rPr>
                <w:bCs/>
                <w:color w:val="000000"/>
                <w:sz w:val="14"/>
                <w:szCs w:val="14"/>
              </w:rPr>
              <w:t>5 638</w:t>
            </w:r>
          </w:p>
        </w:tc>
        <w:tc>
          <w:tcPr>
            <w:tcW w:w="515" w:type="pct"/>
            <w:tcBorders>
              <w:top w:val="nil"/>
              <w:right w:val="single" w:sz="4" w:space="0" w:color="auto"/>
            </w:tcBorders>
            <w:vAlign w:val="bottom"/>
          </w:tcPr>
          <w:p w:rsidR="00565FD5" w:rsidRPr="001131FC" w:rsidRDefault="00565FD5" w:rsidP="00AB62A3">
            <w:pPr>
              <w:jc w:val="right"/>
              <w:rPr>
                <w:bCs/>
                <w:color w:val="000000"/>
                <w:sz w:val="14"/>
                <w:szCs w:val="14"/>
              </w:rPr>
            </w:pPr>
            <w:r w:rsidRPr="001131FC">
              <w:rPr>
                <w:bCs/>
                <w:color w:val="000000"/>
                <w:sz w:val="14"/>
                <w:szCs w:val="14"/>
              </w:rPr>
              <w:t>26,5</w:t>
            </w:r>
          </w:p>
        </w:tc>
        <w:tc>
          <w:tcPr>
            <w:tcW w:w="537" w:type="pct"/>
            <w:tcBorders>
              <w:top w:val="nil"/>
              <w:left w:val="single" w:sz="4" w:space="0" w:color="auto"/>
            </w:tcBorders>
            <w:vAlign w:val="bottom"/>
          </w:tcPr>
          <w:p w:rsidR="00565FD5" w:rsidRPr="001131FC" w:rsidRDefault="00565FD5" w:rsidP="00AB62A3">
            <w:pPr>
              <w:jc w:val="right"/>
              <w:rPr>
                <w:bCs/>
                <w:color w:val="000000"/>
                <w:sz w:val="14"/>
                <w:szCs w:val="14"/>
              </w:rPr>
            </w:pPr>
            <w:r w:rsidRPr="001131FC">
              <w:rPr>
                <w:bCs/>
                <w:color w:val="000000"/>
                <w:sz w:val="14"/>
                <w:szCs w:val="14"/>
              </w:rPr>
              <w:t>5 750</w:t>
            </w:r>
          </w:p>
        </w:tc>
        <w:tc>
          <w:tcPr>
            <w:tcW w:w="498" w:type="pct"/>
            <w:tcBorders>
              <w:top w:val="nil"/>
              <w:right w:val="single" w:sz="4" w:space="0" w:color="auto"/>
            </w:tcBorders>
            <w:vAlign w:val="bottom"/>
          </w:tcPr>
          <w:p w:rsidR="00565FD5" w:rsidRPr="001131FC" w:rsidRDefault="00565FD5" w:rsidP="00AB62A3">
            <w:pPr>
              <w:jc w:val="right"/>
              <w:rPr>
                <w:bCs/>
                <w:color w:val="000000"/>
                <w:sz w:val="14"/>
                <w:szCs w:val="14"/>
              </w:rPr>
            </w:pPr>
            <w:r w:rsidRPr="001131FC">
              <w:rPr>
                <w:bCs/>
                <w:color w:val="000000"/>
                <w:sz w:val="14"/>
                <w:szCs w:val="14"/>
              </w:rPr>
              <w:t>25,5</w:t>
            </w:r>
          </w:p>
        </w:tc>
        <w:tc>
          <w:tcPr>
            <w:tcW w:w="506" w:type="pct"/>
            <w:tcBorders>
              <w:top w:val="nil"/>
              <w:left w:val="single" w:sz="4" w:space="0" w:color="auto"/>
            </w:tcBorders>
            <w:vAlign w:val="bottom"/>
          </w:tcPr>
          <w:p w:rsidR="00565FD5" w:rsidRPr="001131FC" w:rsidRDefault="00565FD5" w:rsidP="00AB62A3">
            <w:pPr>
              <w:jc w:val="right"/>
              <w:rPr>
                <w:bCs/>
                <w:color w:val="000000"/>
                <w:sz w:val="14"/>
                <w:szCs w:val="14"/>
              </w:rPr>
            </w:pPr>
            <w:r w:rsidRPr="001131FC">
              <w:rPr>
                <w:bCs/>
                <w:color w:val="000000"/>
                <w:sz w:val="14"/>
                <w:szCs w:val="14"/>
              </w:rPr>
              <w:t>5 931</w:t>
            </w:r>
          </w:p>
        </w:tc>
        <w:tc>
          <w:tcPr>
            <w:tcW w:w="506" w:type="pct"/>
            <w:tcBorders>
              <w:top w:val="nil"/>
            </w:tcBorders>
            <w:vAlign w:val="bottom"/>
          </w:tcPr>
          <w:p w:rsidR="00565FD5" w:rsidRPr="001131FC" w:rsidRDefault="00565FD5" w:rsidP="00AB62A3">
            <w:pPr>
              <w:jc w:val="right"/>
              <w:rPr>
                <w:bCs/>
                <w:color w:val="000000"/>
                <w:sz w:val="14"/>
                <w:szCs w:val="14"/>
              </w:rPr>
            </w:pPr>
            <w:r w:rsidRPr="001131FC">
              <w:rPr>
                <w:bCs/>
                <w:color w:val="000000"/>
                <w:sz w:val="14"/>
                <w:szCs w:val="14"/>
              </w:rPr>
              <w:t>24,6</w:t>
            </w:r>
          </w:p>
        </w:tc>
      </w:tr>
      <w:tr w:rsidR="00565FD5" w:rsidRPr="001131FC" w:rsidTr="00AB62A3">
        <w:trPr>
          <w:cantSplit/>
          <w:trHeight w:val="198"/>
        </w:trPr>
        <w:tc>
          <w:tcPr>
            <w:tcW w:w="1912" w:type="pct"/>
            <w:vAlign w:val="bottom"/>
          </w:tcPr>
          <w:p w:rsidR="00565FD5" w:rsidRPr="001131FC" w:rsidRDefault="00565FD5" w:rsidP="00AB62A3">
            <w:pPr>
              <w:rPr>
                <w:bCs/>
                <w:color w:val="000000"/>
                <w:sz w:val="14"/>
                <w:szCs w:val="14"/>
              </w:rPr>
            </w:pPr>
            <w:r w:rsidRPr="001131FC">
              <w:rPr>
                <w:bCs/>
                <w:color w:val="000000"/>
                <w:sz w:val="14"/>
                <w:szCs w:val="14"/>
              </w:rPr>
              <w:t>Ücretsiz Aile İşçisi</w:t>
            </w:r>
          </w:p>
        </w:tc>
        <w:tc>
          <w:tcPr>
            <w:tcW w:w="526" w:type="pct"/>
            <w:vAlign w:val="bottom"/>
          </w:tcPr>
          <w:p w:rsidR="00565FD5" w:rsidRPr="001131FC" w:rsidRDefault="00565FD5" w:rsidP="00AB62A3">
            <w:pPr>
              <w:jc w:val="right"/>
              <w:rPr>
                <w:bCs/>
                <w:color w:val="000000"/>
                <w:sz w:val="14"/>
                <w:szCs w:val="14"/>
              </w:rPr>
            </w:pPr>
            <w:r w:rsidRPr="001131FC">
              <w:rPr>
                <w:bCs/>
                <w:color w:val="000000"/>
                <w:sz w:val="14"/>
                <w:szCs w:val="14"/>
              </w:rPr>
              <w:t>2 870</w:t>
            </w:r>
          </w:p>
        </w:tc>
        <w:tc>
          <w:tcPr>
            <w:tcW w:w="515" w:type="pct"/>
            <w:tcBorders>
              <w:right w:val="single" w:sz="4" w:space="0" w:color="auto"/>
            </w:tcBorders>
            <w:vAlign w:val="bottom"/>
          </w:tcPr>
          <w:p w:rsidR="00565FD5" w:rsidRPr="001131FC" w:rsidRDefault="00565FD5" w:rsidP="00AB62A3">
            <w:pPr>
              <w:jc w:val="right"/>
              <w:rPr>
                <w:bCs/>
                <w:color w:val="000000"/>
                <w:sz w:val="14"/>
                <w:szCs w:val="14"/>
              </w:rPr>
            </w:pPr>
            <w:r w:rsidRPr="001131FC">
              <w:rPr>
                <w:bCs/>
                <w:color w:val="000000"/>
                <w:sz w:val="14"/>
                <w:szCs w:val="14"/>
              </w:rPr>
              <w:t>13,5</w:t>
            </w:r>
          </w:p>
        </w:tc>
        <w:tc>
          <w:tcPr>
            <w:tcW w:w="537" w:type="pct"/>
            <w:tcBorders>
              <w:left w:val="single" w:sz="4" w:space="0" w:color="auto"/>
            </w:tcBorders>
            <w:vAlign w:val="bottom"/>
          </w:tcPr>
          <w:p w:rsidR="00565FD5" w:rsidRPr="001131FC" w:rsidRDefault="00565FD5" w:rsidP="00AB62A3">
            <w:pPr>
              <w:jc w:val="right"/>
              <w:rPr>
                <w:bCs/>
                <w:color w:val="000000"/>
                <w:sz w:val="14"/>
                <w:szCs w:val="14"/>
              </w:rPr>
            </w:pPr>
            <w:r w:rsidRPr="001131FC">
              <w:rPr>
                <w:bCs/>
                <w:color w:val="000000"/>
                <w:sz w:val="14"/>
                <w:szCs w:val="14"/>
              </w:rPr>
              <w:t>3 083</w:t>
            </w:r>
          </w:p>
        </w:tc>
        <w:tc>
          <w:tcPr>
            <w:tcW w:w="498" w:type="pct"/>
            <w:tcBorders>
              <w:right w:val="single" w:sz="4" w:space="0" w:color="auto"/>
            </w:tcBorders>
            <w:vAlign w:val="bottom"/>
          </w:tcPr>
          <w:p w:rsidR="00565FD5" w:rsidRPr="001131FC" w:rsidRDefault="00565FD5" w:rsidP="00AB62A3">
            <w:pPr>
              <w:jc w:val="right"/>
              <w:rPr>
                <w:bCs/>
                <w:color w:val="000000"/>
                <w:sz w:val="14"/>
                <w:szCs w:val="14"/>
              </w:rPr>
            </w:pPr>
            <w:r w:rsidRPr="001131FC">
              <w:rPr>
                <w:bCs/>
                <w:color w:val="000000"/>
                <w:sz w:val="14"/>
                <w:szCs w:val="14"/>
              </w:rPr>
              <w:t>13,6</w:t>
            </w:r>
          </w:p>
        </w:tc>
        <w:tc>
          <w:tcPr>
            <w:tcW w:w="506" w:type="pct"/>
            <w:tcBorders>
              <w:left w:val="single" w:sz="4" w:space="0" w:color="auto"/>
            </w:tcBorders>
            <w:vAlign w:val="bottom"/>
          </w:tcPr>
          <w:p w:rsidR="00565FD5" w:rsidRPr="001131FC" w:rsidRDefault="00565FD5" w:rsidP="00AB62A3">
            <w:pPr>
              <w:jc w:val="right"/>
              <w:rPr>
                <w:bCs/>
                <w:color w:val="000000"/>
                <w:sz w:val="14"/>
                <w:szCs w:val="14"/>
              </w:rPr>
            </w:pPr>
            <w:r w:rsidRPr="001131FC">
              <w:rPr>
                <w:bCs/>
                <w:color w:val="000000"/>
                <w:sz w:val="14"/>
                <w:szCs w:val="14"/>
              </w:rPr>
              <w:t>3 303</w:t>
            </w:r>
          </w:p>
        </w:tc>
        <w:tc>
          <w:tcPr>
            <w:tcW w:w="506" w:type="pct"/>
            <w:vAlign w:val="bottom"/>
          </w:tcPr>
          <w:p w:rsidR="00565FD5" w:rsidRPr="001131FC" w:rsidRDefault="00565FD5" w:rsidP="00AB62A3">
            <w:pPr>
              <w:jc w:val="right"/>
              <w:rPr>
                <w:bCs/>
                <w:color w:val="000000"/>
                <w:sz w:val="14"/>
                <w:szCs w:val="14"/>
              </w:rPr>
            </w:pPr>
            <w:r w:rsidRPr="001131FC">
              <w:rPr>
                <w:bCs/>
                <w:color w:val="000000"/>
                <w:sz w:val="14"/>
                <w:szCs w:val="14"/>
              </w:rPr>
              <w:t>13,7</w:t>
            </w:r>
          </w:p>
        </w:tc>
      </w:tr>
      <w:tr w:rsidR="00565FD5" w:rsidRPr="001131FC" w:rsidTr="00AB62A3">
        <w:trPr>
          <w:cantSplit/>
          <w:trHeight w:val="198"/>
        </w:trPr>
        <w:tc>
          <w:tcPr>
            <w:tcW w:w="1912" w:type="pct"/>
            <w:tcBorders>
              <w:bottom w:val="single" w:sz="4" w:space="0" w:color="auto"/>
            </w:tcBorders>
            <w:vAlign w:val="bottom"/>
          </w:tcPr>
          <w:p w:rsidR="00565FD5" w:rsidRPr="001131FC" w:rsidRDefault="00565FD5" w:rsidP="00AB62A3">
            <w:pPr>
              <w:rPr>
                <w:b/>
                <w:bCs/>
                <w:color w:val="000000"/>
                <w:sz w:val="14"/>
                <w:szCs w:val="14"/>
              </w:rPr>
            </w:pPr>
            <w:r w:rsidRPr="001131FC">
              <w:rPr>
                <w:b/>
                <w:bCs/>
                <w:color w:val="000000"/>
                <w:sz w:val="14"/>
                <w:szCs w:val="14"/>
              </w:rPr>
              <w:t>Toplam</w:t>
            </w:r>
          </w:p>
        </w:tc>
        <w:tc>
          <w:tcPr>
            <w:tcW w:w="526" w:type="pct"/>
            <w:tcBorders>
              <w:bottom w:val="single" w:sz="4" w:space="0" w:color="auto"/>
            </w:tcBorders>
            <w:vAlign w:val="bottom"/>
          </w:tcPr>
          <w:p w:rsidR="00565FD5" w:rsidRPr="001131FC" w:rsidRDefault="00565FD5" w:rsidP="00AB62A3">
            <w:pPr>
              <w:jc w:val="right"/>
              <w:rPr>
                <w:b/>
                <w:bCs/>
                <w:color w:val="000000"/>
                <w:sz w:val="14"/>
                <w:szCs w:val="14"/>
              </w:rPr>
            </w:pPr>
            <w:r w:rsidRPr="001131FC">
              <w:rPr>
                <w:b/>
                <w:bCs/>
                <w:color w:val="000000"/>
                <w:sz w:val="14"/>
                <w:szCs w:val="14"/>
              </w:rPr>
              <w:t>21 277</w:t>
            </w:r>
          </w:p>
        </w:tc>
        <w:tc>
          <w:tcPr>
            <w:tcW w:w="515" w:type="pct"/>
            <w:tcBorders>
              <w:bottom w:val="single" w:sz="4" w:space="0" w:color="auto"/>
              <w:right w:val="single" w:sz="4" w:space="0" w:color="auto"/>
            </w:tcBorders>
            <w:vAlign w:val="bottom"/>
          </w:tcPr>
          <w:p w:rsidR="00565FD5" w:rsidRPr="001131FC" w:rsidRDefault="00565FD5" w:rsidP="00AB62A3">
            <w:pPr>
              <w:jc w:val="right"/>
              <w:rPr>
                <w:b/>
                <w:bCs/>
                <w:color w:val="000000"/>
                <w:sz w:val="14"/>
                <w:szCs w:val="14"/>
              </w:rPr>
            </w:pPr>
            <w:r w:rsidRPr="001131FC">
              <w:rPr>
                <w:b/>
                <w:bCs/>
                <w:color w:val="000000"/>
                <w:sz w:val="14"/>
                <w:szCs w:val="14"/>
              </w:rPr>
              <w:t>100</w:t>
            </w:r>
          </w:p>
        </w:tc>
        <w:tc>
          <w:tcPr>
            <w:tcW w:w="537" w:type="pct"/>
            <w:tcBorders>
              <w:left w:val="single" w:sz="4" w:space="0" w:color="auto"/>
              <w:bottom w:val="single" w:sz="4" w:space="0" w:color="auto"/>
            </w:tcBorders>
            <w:vAlign w:val="bottom"/>
          </w:tcPr>
          <w:p w:rsidR="00565FD5" w:rsidRPr="001131FC" w:rsidRDefault="00565FD5" w:rsidP="00AB62A3">
            <w:pPr>
              <w:jc w:val="right"/>
              <w:rPr>
                <w:b/>
                <w:bCs/>
                <w:color w:val="000000"/>
                <w:sz w:val="14"/>
                <w:szCs w:val="14"/>
              </w:rPr>
            </w:pPr>
            <w:r w:rsidRPr="001131FC">
              <w:rPr>
                <w:b/>
                <w:bCs/>
                <w:color w:val="000000"/>
                <w:sz w:val="14"/>
                <w:szCs w:val="14"/>
              </w:rPr>
              <w:t>22 594</w:t>
            </w:r>
          </w:p>
        </w:tc>
        <w:tc>
          <w:tcPr>
            <w:tcW w:w="498" w:type="pct"/>
            <w:tcBorders>
              <w:bottom w:val="single" w:sz="4" w:space="0" w:color="auto"/>
              <w:right w:val="single" w:sz="4" w:space="0" w:color="auto"/>
            </w:tcBorders>
            <w:vAlign w:val="bottom"/>
          </w:tcPr>
          <w:p w:rsidR="00565FD5" w:rsidRPr="001131FC" w:rsidRDefault="00565FD5" w:rsidP="00AB62A3">
            <w:pPr>
              <w:jc w:val="right"/>
              <w:rPr>
                <w:b/>
                <w:bCs/>
                <w:color w:val="000000"/>
                <w:sz w:val="14"/>
                <w:szCs w:val="14"/>
              </w:rPr>
            </w:pPr>
            <w:r w:rsidRPr="001131FC">
              <w:rPr>
                <w:b/>
                <w:bCs/>
                <w:color w:val="000000"/>
                <w:sz w:val="14"/>
                <w:szCs w:val="14"/>
              </w:rPr>
              <w:t>100</w:t>
            </w:r>
          </w:p>
        </w:tc>
        <w:tc>
          <w:tcPr>
            <w:tcW w:w="506" w:type="pct"/>
            <w:tcBorders>
              <w:left w:val="single" w:sz="4" w:space="0" w:color="auto"/>
              <w:bottom w:val="single" w:sz="4" w:space="0" w:color="auto"/>
            </w:tcBorders>
            <w:vAlign w:val="bottom"/>
          </w:tcPr>
          <w:p w:rsidR="00565FD5" w:rsidRPr="001131FC" w:rsidRDefault="00565FD5" w:rsidP="00AB62A3">
            <w:pPr>
              <w:jc w:val="right"/>
              <w:rPr>
                <w:b/>
                <w:bCs/>
                <w:color w:val="000000"/>
                <w:sz w:val="14"/>
                <w:szCs w:val="14"/>
              </w:rPr>
            </w:pPr>
            <w:r w:rsidRPr="001131FC">
              <w:rPr>
                <w:b/>
                <w:bCs/>
                <w:color w:val="000000"/>
                <w:sz w:val="14"/>
                <w:szCs w:val="14"/>
              </w:rPr>
              <w:t>24 110</w:t>
            </w:r>
          </w:p>
        </w:tc>
        <w:tc>
          <w:tcPr>
            <w:tcW w:w="506" w:type="pct"/>
            <w:tcBorders>
              <w:bottom w:val="single" w:sz="4" w:space="0" w:color="auto"/>
            </w:tcBorders>
            <w:vAlign w:val="bottom"/>
          </w:tcPr>
          <w:p w:rsidR="00565FD5" w:rsidRPr="001131FC" w:rsidRDefault="00565FD5" w:rsidP="00AB62A3">
            <w:pPr>
              <w:jc w:val="right"/>
              <w:rPr>
                <w:b/>
                <w:bCs/>
                <w:color w:val="000000"/>
                <w:sz w:val="14"/>
                <w:szCs w:val="14"/>
              </w:rPr>
            </w:pPr>
            <w:r w:rsidRPr="001131FC">
              <w:rPr>
                <w:b/>
                <w:bCs/>
                <w:color w:val="000000"/>
                <w:sz w:val="14"/>
                <w:szCs w:val="14"/>
              </w:rPr>
              <w:t>100</w:t>
            </w:r>
          </w:p>
        </w:tc>
      </w:tr>
    </w:tbl>
    <w:p w:rsidR="00565FD5" w:rsidRPr="001131FC" w:rsidRDefault="00565FD5" w:rsidP="00565FD5">
      <w:pPr>
        <w:spacing w:after="120"/>
        <w:rPr>
          <w:rFonts w:cs="Tahoma"/>
          <w:color w:val="000000"/>
          <w:sz w:val="14"/>
          <w:szCs w:val="14"/>
        </w:rPr>
      </w:pPr>
      <w:r w:rsidRPr="001131FC">
        <w:rPr>
          <w:rFonts w:cs="Tahoma"/>
          <w:color w:val="000000"/>
          <w:sz w:val="14"/>
          <w:szCs w:val="14"/>
        </w:rPr>
        <w:t>Kaynak: TÜİK, Hanehalkı İşgücü Anketi Sonuçları</w:t>
      </w:r>
    </w:p>
    <w:bookmarkEnd w:id="288"/>
    <w:bookmarkEnd w:id="289"/>
    <w:bookmarkEnd w:id="333"/>
    <w:bookmarkEnd w:id="334"/>
    <w:bookmarkEnd w:id="335"/>
    <w:p w:rsidR="00565FD5" w:rsidRPr="001131FC" w:rsidRDefault="00565FD5" w:rsidP="00565FD5">
      <w:pPr>
        <w:spacing w:after="120"/>
        <w:ind w:firstLine="425"/>
        <w:rPr>
          <w:szCs w:val="18"/>
        </w:rPr>
      </w:pPr>
      <w:r w:rsidRPr="001131FC">
        <w:rPr>
          <w:szCs w:val="18"/>
        </w:rPr>
        <w:t>Türkiye genelinde işsizlik oranı, 2012 yılının Haziran, Temmuz ve Ağustos aylarını içeren döneminde (Temmuz dönemi), bir önceki yılın aynı dönemine göre 0,7 puan azalarak yüzde 8,4 olarak gerçekleşmiştir. Aynı dönemde tarım dışı işsizlik oranı 1,1 puan azalarak yüzde 10,7, genç nüfusta işsizlik oranı ise 2 puan azalarak yüzde 16,3 olmuştur. İstihdam edilen kişi sayısı söz konusu dönemde, bir önceki yılın aynı dönemine göre 545 bin kişi artarak 25.498 bin kişiye yükselmiştir.</w:t>
      </w:r>
    </w:p>
    <w:p w:rsidR="00565FD5" w:rsidRPr="001131FC" w:rsidRDefault="00565FD5" w:rsidP="00565FD5">
      <w:pPr>
        <w:pStyle w:val="ResimYazs"/>
        <w:rPr>
          <w:b w:val="0"/>
          <w:color w:val="000000"/>
        </w:rPr>
      </w:pPr>
      <w:bookmarkStart w:id="336" w:name="_Toc149926700"/>
      <w:bookmarkStart w:id="337" w:name="_Toc150099331"/>
      <w:bookmarkStart w:id="338" w:name="_Toc181274087"/>
      <w:bookmarkStart w:id="339" w:name="_Toc181286366"/>
      <w:bookmarkStart w:id="340" w:name="_Toc213071576"/>
      <w:bookmarkStart w:id="341" w:name="_Toc244339782"/>
      <w:bookmarkStart w:id="342" w:name="_Toc275873809"/>
      <w:bookmarkStart w:id="343" w:name="_Toc276076433"/>
      <w:bookmarkStart w:id="344" w:name="_Toc307601597"/>
      <w:bookmarkStart w:id="345" w:name="_Toc307657839"/>
      <w:bookmarkStart w:id="346" w:name="_Toc307702095"/>
      <w:bookmarkStart w:id="347" w:name="_Toc338605959"/>
      <w:bookmarkStart w:id="348" w:name="_Toc338711734"/>
      <w:r>
        <w:t xml:space="preserve">TABLO II: </w:t>
      </w:r>
      <w:fldSimple w:instr=" SEQ TABLO_II: \* ARABIC ">
        <w:r>
          <w:rPr>
            <w:noProof/>
          </w:rPr>
          <w:t>7</w:t>
        </w:r>
      </w:fldSimple>
      <w:r w:rsidRPr="00796BF8">
        <w:rPr>
          <w:color w:val="000000"/>
        </w:rPr>
        <w:t>- Yurt</w:t>
      </w:r>
      <w:r>
        <w:rPr>
          <w:color w:val="000000"/>
        </w:rPr>
        <w:t>i</w:t>
      </w:r>
      <w:r w:rsidRPr="00796BF8">
        <w:rPr>
          <w:color w:val="000000"/>
        </w:rPr>
        <w:t>çi İşgücü Piyasasındaki Gelişmeler</w:t>
      </w:r>
      <w:r>
        <w:rPr>
          <w:color w:val="000000"/>
        </w:rPr>
        <w:t xml:space="preserve"> </w:t>
      </w:r>
      <w:r w:rsidRPr="001131FC">
        <w:rPr>
          <w:b w:val="0"/>
          <w:color w:val="000000"/>
          <w:sz w:val="15"/>
          <w:szCs w:val="15"/>
        </w:rPr>
        <w:t>(1)</w:t>
      </w:r>
      <w:bookmarkEnd w:id="336"/>
      <w:bookmarkEnd w:id="337"/>
      <w:bookmarkEnd w:id="338"/>
      <w:bookmarkEnd w:id="339"/>
      <w:bookmarkEnd w:id="340"/>
      <w:bookmarkEnd w:id="341"/>
      <w:bookmarkEnd w:id="342"/>
      <w:bookmarkEnd w:id="343"/>
      <w:bookmarkEnd w:id="344"/>
      <w:bookmarkEnd w:id="345"/>
      <w:bookmarkEnd w:id="346"/>
      <w:bookmarkEnd w:id="347"/>
      <w:bookmarkEnd w:id="348"/>
    </w:p>
    <w:p w:rsidR="00565FD5" w:rsidRPr="001131FC" w:rsidRDefault="00565FD5" w:rsidP="00565FD5">
      <w:pPr>
        <w:ind w:right="70"/>
        <w:jc w:val="right"/>
        <w:rPr>
          <w:color w:val="000000"/>
          <w:sz w:val="14"/>
          <w:szCs w:val="16"/>
        </w:rPr>
      </w:pPr>
      <w:r w:rsidRPr="001131FC">
        <w:rPr>
          <w:color w:val="000000"/>
          <w:sz w:val="14"/>
          <w:szCs w:val="16"/>
        </w:rPr>
        <w:t>(15+Yaş, Bin Kişi)</w:t>
      </w:r>
    </w:p>
    <w:tbl>
      <w:tblPr>
        <w:tblW w:w="7146" w:type="dxa"/>
        <w:tblLayout w:type="fixed"/>
        <w:tblCellMar>
          <w:left w:w="0" w:type="dxa"/>
          <w:right w:w="0" w:type="dxa"/>
        </w:tblCellMar>
        <w:tblLook w:val="0000"/>
      </w:tblPr>
      <w:tblGrid>
        <w:gridCol w:w="4408"/>
        <w:gridCol w:w="1369"/>
        <w:gridCol w:w="1369"/>
      </w:tblGrid>
      <w:tr w:rsidR="00565FD5" w:rsidRPr="001131FC" w:rsidTr="00AB62A3">
        <w:trPr>
          <w:trHeight w:val="198"/>
        </w:trPr>
        <w:tc>
          <w:tcPr>
            <w:tcW w:w="3084" w:type="pct"/>
            <w:tcBorders>
              <w:top w:val="single" w:sz="4" w:space="0" w:color="auto"/>
              <w:left w:val="single" w:sz="4" w:space="0" w:color="auto"/>
            </w:tcBorders>
            <w:noWrap/>
            <w:tcMar>
              <w:top w:w="15" w:type="dxa"/>
              <w:left w:w="15" w:type="dxa"/>
              <w:bottom w:w="0" w:type="dxa"/>
              <w:right w:w="15" w:type="dxa"/>
            </w:tcMar>
            <w:vAlign w:val="center"/>
          </w:tcPr>
          <w:p w:rsidR="00565FD5" w:rsidRPr="001131FC" w:rsidRDefault="00565FD5" w:rsidP="00AB62A3">
            <w:pPr>
              <w:ind w:left="120"/>
              <w:rPr>
                <w:rFonts w:eastAsia="Arial Unicode MS"/>
                <w:color w:val="000000"/>
                <w:sz w:val="15"/>
                <w:szCs w:val="15"/>
              </w:rPr>
            </w:pPr>
          </w:p>
        </w:tc>
        <w:tc>
          <w:tcPr>
            <w:tcW w:w="958" w:type="pct"/>
            <w:tcBorders>
              <w:top w:val="single" w:sz="4" w:space="0" w:color="auto"/>
              <w:left w:val="nil"/>
              <w:right w:val="nil"/>
            </w:tcBorders>
            <w:vAlign w:val="center"/>
          </w:tcPr>
          <w:p w:rsidR="00565FD5" w:rsidRPr="001131FC" w:rsidRDefault="00565FD5" w:rsidP="00AB62A3">
            <w:pPr>
              <w:ind w:right="308"/>
              <w:jc w:val="right"/>
              <w:rPr>
                <w:rFonts w:eastAsia="Arial Unicode MS"/>
                <w:b/>
                <w:color w:val="000000"/>
                <w:sz w:val="15"/>
                <w:szCs w:val="15"/>
              </w:rPr>
            </w:pPr>
            <w:r w:rsidRPr="001131FC">
              <w:rPr>
                <w:rFonts w:eastAsia="Arial Unicode MS"/>
                <w:b/>
                <w:color w:val="000000"/>
                <w:sz w:val="15"/>
                <w:szCs w:val="15"/>
              </w:rPr>
              <w:t>2011</w:t>
            </w:r>
          </w:p>
        </w:tc>
        <w:tc>
          <w:tcPr>
            <w:tcW w:w="958" w:type="pct"/>
            <w:tcBorders>
              <w:top w:val="single" w:sz="4" w:space="0" w:color="auto"/>
              <w:left w:val="nil"/>
              <w:right w:val="single" w:sz="4" w:space="0" w:color="auto"/>
            </w:tcBorders>
            <w:vAlign w:val="center"/>
          </w:tcPr>
          <w:p w:rsidR="00565FD5" w:rsidRPr="001131FC" w:rsidRDefault="00565FD5" w:rsidP="00AB62A3">
            <w:pPr>
              <w:ind w:right="272"/>
              <w:jc w:val="right"/>
              <w:rPr>
                <w:rFonts w:eastAsia="Arial Unicode MS"/>
                <w:b/>
                <w:color w:val="000000"/>
                <w:sz w:val="15"/>
                <w:szCs w:val="15"/>
              </w:rPr>
            </w:pPr>
            <w:r w:rsidRPr="001131FC">
              <w:rPr>
                <w:rFonts w:eastAsia="Arial Unicode MS"/>
                <w:b/>
                <w:color w:val="000000"/>
                <w:sz w:val="15"/>
                <w:szCs w:val="15"/>
              </w:rPr>
              <w:t>2012</w:t>
            </w:r>
          </w:p>
        </w:tc>
      </w:tr>
      <w:tr w:rsidR="00565FD5" w:rsidRPr="001131FC" w:rsidTr="00AB62A3">
        <w:trPr>
          <w:trHeight w:val="20"/>
        </w:trPr>
        <w:tc>
          <w:tcPr>
            <w:tcW w:w="3084" w:type="pct"/>
            <w:tcBorders>
              <w:top w:val="single" w:sz="4" w:space="0" w:color="auto"/>
              <w:left w:val="single" w:sz="4" w:space="0" w:color="auto"/>
              <w:bottom w:val="nil"/>
            </w:tcBorders>
            <w:noWrap/>
            <w:tcMar>
              <w:top w:w="15" w:type="dxa"/>
              <w:left w:w="15" w:type="dxa"/>
              <w:bottom w:w="0" w:type="dxa"/>
              <w:right w:w="15" w:type="dxa"/>
            </w:tcMar>
            <w:vAlign w:val="center"/>
          </w:tcPr>
          <w:p w:rsidR="00565FD5" w:rsidRPr="001131FC" w:rsidRDefault="00565FD5" w:rsidP="00AB62A3">
            <w:pPr>
              <w:ind w:left="120"/>
              <w:rPr>
                <w:rFonts w:eastAsia="Arial Unicode MS"/>
                <w:bCs/>
                <w:color w:val="000000"/>
                <w:sz w:val="15"/>
                <w:szCs w:val="15"/>
              </w:rPr>
            </w:pPr>
            <w:r w:rsidRPr="001131FC">
              <w:rPr>
                <w:rFonts w:eastAsia="Arial Unicode MS"/>
                <w:bCs/>
                <w:color w:val="000000"/>
                <w:sz w:val="15"/>
                <w:szCs w:val="15"/>
              </w:rPr>
              <w:t>Çalışma Çağındaki Nüfus</w:t>
            </w:r>
          </w:p>
        </w:tc>
        <w:tc>
          <w:tcPr>
            <w:tcW w:w="958" w:type="pct"/>
            <w:tcBorders>
              <w:top w:val="single" w:sz="4" w:space="0" w:color="auto"/>
              <w:left w:val="nil"/>
              <w:bottom w:val="nil"/>
              <w:right w:val="nil"/>
            </w:tcBorders>
            <w:vAlign w:val="center"/>
          </w:tcPr>
          <w:p w:rsidR="00565FD5" w:rsidRPr="001131FC" w:rsidRDefault="00565FD5" w:rsidP="00AB62A3">
            <w:pPr>
              <w:ind w:right="308"/>
              <w:jc w:val="right"/>
              <w:rPr>
                <w:color w:val="000000"/>
                <w:sz w:val="15"/>
                <w:szCs w:val="15"/>
              </w:rPr>
            </w:pPr>
            <w:r w:rsidRPr="001131FC">
              <w:rPr>
                <w:color w:val="000000"/>
                <w:sz w:val="15"/>
                <w:szCs w:val="15"/>
              </w:rPr>
              <w:t>53 635</w:t>
            </w:r>
          </w:p>
        </w:tc>
        <w:tc>
          <w:tcPr>
            <w:tcW w:w="958" w:type="pct"/>
            <w:tcBorders>
              <w:top w:val="single" w:sz="4" w:space="0" w:color="auto"/>
              <w:left w:val="nil"/>
              <w:bottom w:val="nil"/>
              <w:right w:val="single" w:sz="4" w:space="0" w:color="auto"/>
            </w:tcBorders>
            <w:vAlign w:val="center"/>
          </w:tcPr>
          <w:p w:rsidR="00565FD5" w:rsidRPr="001131FC" w:rsidRDefault="00565FD5" w:rsidP="00AB62A3">
            <w:pPr>
              <w:ind w:right="308"/>
              <w:jc w:val="right"/>
              <w:rPr>
                <w:color w:val="000000"/>
                <w:sz w:val="15"/>
                <w:szCs w:val="15"/>
              </w:rPr>
            </w:pPr>
            <w:r w:rsidRPr="001131FC">
              <w:rPr>
                <w:color w:val="000000"/>
                <w:sz w:val="15"/>
                <w:szCs w:val="15"/>
              </w:rPr>
              <w:t>54 759</w:t>
            </w:r>
          </w:p>
        </w:tc>
      </w:tr>
      <w:tr w:rsidR="00565FD5" w:rsidRPr="001131FC" w:rsidTr="00AB62A3">
        <w:trPr>
          <w:trHeight w:val="20"/>
        </w:trPr>
        <w:tc>
          <w:tcPr>
            <w:tcW w:w="3084" w:type="pct"/>
            <w:tcBorders>
              <w:top w:val="nil"/>
              <w:left w:val="single" w:sz="4" w:space="0" w:color="auto"/>
              <w:bottom w:val="nil"/>
            </w:tcBorders>
            <w:noWrap/>
            <w:tcMar>
              <w:top w:w="15" w:type="dxa"/>
              <w:left w:w="15" w:type="dxa"/>
              <w:bottom w:w="0" w:type="dxa"/>
              <w:right w:w="15" w:type="dxa"/>
            </w:tcMar>
            <w:vAlign w:val="center"/>
          </w:tcPr>
          <w:p w:rsidR="00565FD5" w:rsidRPr="001131FC" w:rsidRDefault="00565FD5" w:rsidP="00AB62A3">
            <w:pPr>
              <w:ind w:left="120"/>
              <w:rPr>
                <w:rFonts w:eastAsia="Arial Unicode MS"/>
                <w:bCs/>
                <w:color w:val="000000"/>
                <w:sz w:val="15"/>
                <w:szCs w:val="15"/>
              </w:rPr>
            </w:pPr>
            <w:r w:rsidRPr="001131FC">
              <w:rPr>
                <w:bCs/>
                <w:color w:val="000000"/>
                <w:sz w:val="15"/>
                <w:szCs w:val="15"/>
              </w:rPr>
              <w:t xml:space="preserve">İşgücü </w:t>
            </w:r>
          </w:p>
        </w:tc>
        <w:tc>
          <w:tcPr>
            <w:tcW w:w="958" w:type="pct"/>
            <w:tcBorders>
              <w:top w:val="nil"/>
              <w:left w:val="nil"/>
              <w:bottom w:val="nil"/>
              <w:right w:val="nil"/>
            </w:tcBorders>
            <w:vAlign w:val="center"/>
          </w:tcPr>
          <w:p w:rsidR="00565FD5" w:rsidRPr="001131FC" w:rsidRDefault="00565FD5" w:rsidP="00AB62A3">
            <w:pPr>
              <w:ind w:right="308"/>
              <w:jc w:val="right"/>
              <w:rPr>
                <w:color w:val="000000"/>
                <w:sz w:val="15"/>
                <w:szCs w:val="15"/>
              </w:rPr>
            </w:pPr>
            <w:r w:rsidRPr="001131FC">
              <w:rPr>
                <w:color w:val="000000"/>
                <w:sz w:val="15"/>
                <w:szCs w:val="15"/>
              </w:rPr>
              <w:t>27 462</w:t>
            </w:r>
          </w:p>
        </w:tc>
        <w:tc>
          <w:tcPr>
            <w:tcW w:w="958" w:type="pct"/>
            <w:tcBorders>
              <w:top w:val="nil"/>
              <w:left w:val="nil"/>
              <w:bottom w:val="nil"/>
              <w:right w:val="single" w:sz="4" w:space="0" w:color="auto"/>
            </w:tcBorders>
            <w:vAlign w:val="center"/>
          </w:tcPr>
          <w:p w:rsidR="00565FD5" w:rsidRPr="001131FC" w:rsidRDefault="00565FD5" w:rsidP="00AB62A3">
            <w:pPr>
              <w:ind w:right="308"/>
              <w:jc w:val="right"/>
              <w:rPr>
                <w:color w:val="000000"/>
                <w:sz w:val="15"/>
                <w:szCs w:val="15"/>
              </w:rPr>
            </w:pPr>
            <w:r w:rsidRPr="001131FC">
              <w:rPr>
                <w:color w:val="000000"/>
                <w:sz w:val="15"/>
                <w:szCs w:val="15"/>
              </w:rPr>
              <w:t>27 821</w:t>
            </w:r>
          </w:p>
        </w:tc>
      </w:tr>
      <w:tr w:rsidR="00565FD5" w:rsidRPr="001131FC" w:rsidTr="00AB62A3">
        <w:trPr>
          <w:trHeight w:val="20"/>
        </w:trPr>
        <w:tc>
          <w:tcPr>
            <w:tcW w:w="3084" w:type="pct"/>
            <w:tcBorders>
              <w:top w:val="nil"/>
              <w:left w:val="single" w:sz="4" w:space="0" w:color="auto"/>
              <w:bottom w:val="nil"/>
            </w:tcBorders>
            <w:noWrap/>
            <w:tcMar>
              <w:top w:w="15" w:type="dxa"/>
              <w:left w:w="15" w:type="dxa"/>
              <w:bottom w:w="0" w:type="dxa"/>
              <w:right w:w="15" w:type="dxa"/>
            </w:tcMar>
            <w:vAlign w:val="center"/>
          </w:tcPr>
          <w:p w:rsidR="00565FD5" w:rsidRPr="001131FC" w:rsidRDefault="00565FD5" w:rsidP="00AB62A3">
            <w:pPr>
              <w:ind w:left="120"/>
              <w:rPr>
                <w:rFonts w:eastAsia="Arial Unicode MS"/>
                <w:b/>
                <w:bCs/>
                <w:color w:val="000000"/>
                <w:sz w:val="15"/>
                <w:szCs w:val="15"/>
              </w:rPr>
            </w:pPr>
            <w:r w:rsidRPr="001131FC">
              <w:rPr>
                <w:b/>
                <w:bCs/>
                <w:color w:val="000000"/>
                <w:sz w:val="15"/>
                <w:szCs w:val="15"/>
              </w:rPr>
              <w:t xml:space="preserve">İstihdam </w:t>
            </w:r>
          </w:p>
        </w:tc>
        <w:tc>
          <w:tcPr>
            <w:tcW w:w="958" w:type="pct"/>
            <w:tcBorders>
              <w:top w:val="nil"/>
              <w:left w:val="nil"/>
              <w:bottom w:val="nil"/>
              <w:right w:val="nil"/>
            </w:tcBorders>
            <w:vAlign w:val="center"/>
          </w:tcPr>
          <w:p w:rsidR="00565FD5" w:rsidRPr="001131FC" w:rsidRDefault="00565FD5" w:rsidP="00AB62A3">
            <w:pPr>
              <w:ind w:right="308"/>
              <w:jc w:val="right"/>
              <w:rPr>
                <w:b/>
                <w:bCs/>
                <w:color w:val="000000"/>
                <w:sz w:val="15"/>
                <w:szCs w:val="15"/>
              </w:rPr>
            </w:pPr>
            <w:r w:rsidRPr="001131FC">
              <w:rPr>
                <w:b/>
                <w:bCs/>
                <w:color w:val="000000"/>
                <w:sz w:val="15"/>
                <w:szCs w:val="15"/>
              </w:rPr>
              <w:t>24 953</w:t>
            </w:r>
          </w:p>
        </w:tc>
        <w:tc>
          <w:tcPr>
            <w:tcW w:w="958" w:type="pct"/>
            <w:tcBorders>
              <w:top w:val="nil"/>
              <w:left w:val="nil"/>
              <w:bottom w:val="nil"/>
              <w:right w:val="single" w:sz="4" w:space="0" w:color="auto"/>
            </w:tcBorders>
            <w:vAlign w:val="center"/>
          </w:tcPr>
          <w:p w:rsidR="00565FD5" w:rsidRPr="001131FC" w:rsidRDefault="00565FD5" w:rsidP="00AB62A3">
            <w:pPr>
              <w:ind w:right="308"/>
              <w:jc w:val="right"/>
              <w:rPr>
                <w:b/>
                <w:bCs/>
                <w:color w:val="000000"/>
                <w:sz w:val="15"/>
                <w:szCs w:val="15"/>
              </w:rPr>
            </w:pPr>
            <w:r w:rsidRPr="001131FC">
              <w:rPr>
                <w:b/>
                <w:bCs/>
                <w:color w:val="000000"/>
                <w:sz w:val="15"/>
                <w:szCs w:val="15"/>
              </w:rPr>
              <w:t>25 498</w:t>
            </w:r>
          </w:p>
        </w:tc>
      </w:tr>
      <w:tr w:rsidR="00565FD5" w:rsidRPr="001131FC" w:rsidTr="00AB62A3">
        <w:trPr>
          <w:trHeight w:val="20"/>
        </w:trPr>
        <w:tc>
          <w:tcPr>
            <w:tcW w:w="3084" w:type="pct"/>
            <w:tcBorders>
              <w:top w:val="nil"/>
              <w:left w:val="single" w:sz="4" w:space="0" w:color="auto"/>
              <w:bottom w:val="nil"/>
            </w:tcBorders>
            <w:noWrap/>
            <w:tcMar>
              <w:top w:w="15" w:type="dxa"/>
              <w:left w:w="15" w:type="dxa"/>
              <w:bottom w:w="0" w:type="dxa"/>
              <w:right w:w="15" w:type="dxa"/>
            </w:tcMar>
            <w:vAlign w:val="center"/>
          </w:tcPr>
          <w:p w:rsidR="00565FD5" w:rsidRPr="001131FC" w:rsidRDefault="00565FD5" w:rsidP="00AB62A3">
            <w:pPr>
              <w:ind w:left="120"/>
              <w:rPr>
                <w:rFonts w:eastAsia="Arial Unicode MS"/>
                <w:color w:val="000000"/>
                <w:sz w:val="15"/>
                <w:szCs w:val="15"/>
              </w:rPr>
            </w:pPr>
            <w:r w:rsidRPr="001131FC">
              <w:rPr>
                <w:color w:val="000000"/>
                <w:sz w:val="15"/>
                <w:szCs w:val="15"/>
              </w:rPr>
              <w:t xml:space="preserve">  Tarım </w:t>
            </w:r>
          </w:p>
        </w:tc>
        <w:tc>
          <w:tcPr>
            <w:tcW w:w="958" w:type="pct"/>
            <w:tcBorders>
              <w:top w:val="nil"/>
              <w:left w:val="nil"/>
              <w:bottom w:val="nil"/>
              <w:right w:val="nil"/>
            </w:tcBorders>
            <w:vAlign w:val="center"/>
          </w:tcPr>
          <w:p w:rsidR="00565FD5" w:rsidRPr="001131FC" w:rsidRDefault="00565FD5" w:rsidP="00AB62A3">
            <w:pPr>
              <w:ind w:right="308"/>
              <w:jc w:val="right"/>
              <w:rPr>
                <w:color w:val="000000"/>
                <w:sz w:val="15"/>
                <w:szCs w:val="15"/>
              </w:rPr>
            </w:pPr>
            <w:r w:rsidRPr="001131FC">
              <w:rPr>
                <w:color w:val="000000"/>
                <w:sz w:val="15"/>
                <w:szCs w:val="15"/>
              </w:rPr>
              <w:t>6 705</w:t>
            </w:r>
          </w:p>
        </w:tc>
        <w:tc>
          <w:tcPr>
            <w:tcW w:w="958" w:type="pct"/>
            <w:tcBorders>
              <w:top w:val="nil"/>
              <w:left w:val="nil"/>
              <w:bottom w:val="nil"/>
              <w:right w:val="single" w:sz="4" w:space="0" w:color="auto"/>
            </w:tcBorders>
            <w:vAlign w:val="center"/>
          </w:tcPr>
          <w:p w:rsidR="00565FD5" w:rsidRPr="001131FC" w:rsidRDefault="00565FD5" w:rsidP="00AB62A3">
            <w:pPr>
              <w:ind w:right="308"/>
              <w:jc w:val="right"/>
              <w:rPr>
                <w:color w:val="000000"/>
                <w:sz w:val="15"/>
                <w:szCs w:val="15"/>
              </w:rPr>
            </w:pPr>
            <w:r w:rsidRPr="001131FC">
              <w:rPr>
                <w:color w:val="000000"/>
                <w:sz w:val="15"/>
                <w:szCs w:val="15"/>
              </w:rPr>
              <w:t>6 638</w:t>
            </w:r>
          </w:p>
        </w:tc>
      </w:tr>
      <w:tr w:rsidR="00565FD5" w:rsidRPr="001131FC" w:rsidTr="00AB62A3">
        <w:trPr>
          <w:trHeight w:val="20"/>
        </w:trPr>
        <w:tc>
          <w:tcPr>
            <w:tcW w:w="3084" w:type="pct"/>
            <w:tcBorders>
              <w:top w:val="nil"/>
              <w:left w:val="single" w:sz="4" w:space="0" w:color="auto"/>
              <w:bottom w:val="nil"/>
            </w:tcBorders>
            <w:noWrap/>
            <w:tcMar>
              <w:top w:w="15" w:type="dxa"/>
              <w:left w:w="15" w:type="dxa"/>
              <w:bottom w:w="0" w:type="dxa"/>
              <w:right w:w="15" w:type="dxa"/>
            </w:tcMar>
            <w:vAlign w:val="center"/>
          </w:tcPr>
          <w:p w:rsidR="00565FD5" w:rsidRPr="001131FC" w:rsidRDefault="00565FD5" w:rsidP="00AB62A3">
            <w:pPr>
              <w:ind w:left="120"/>
              <w:rPr>
                <w:rFonts w:eastAsia="Arial Unicode MS"/>
                <w:color w:val="000000"/>
                <w:sz w:val="15"/>
                <w:szCs w:val="15"/>
              </w:rPr>
            </w:pPr>
            <w:r w:rsidRPr="001131FC">
              <w:rPr>
                <w:color w:val="000000"/>
                <w:sz w:val="15"/>
                <w:szCs w:val="15"/>
              </w:rPr>
              <w:t xml:space="preserve">  Sanayi</w:t>
            </w:r>
          </w:p>
        </w:tc>
        <w:tc>
          <w:tcPr>
            <w:tcW w:w="958" w:type="pct"/>
            <w:tcBorders>
              <w:top w:val="nil"/>
              <w:left w:val="nil"/>
              <w:bottom w:val="nil"/>
              <w:right w:val="nil"/>
            </w:tcBorders>
            <w:vAlign w:val="center"/>
          </w:tcPr>
          <w:p w:rsidR="00565FD5" w:rsidRPr="001131FC" w:rsidRDefault="00565FD5" w:rsidP="00AB62A3">
            <w:pPr>
              <w:ind w:right="308"/>
              <w:jc w:val="right"/>
              <w:rPr>
                <w:color w:val="000000"/>
                <w:sz w:val="15"/>
                <w:szCs w:val="15"/>
              </w:rPr>
            </w:pPr>
            <w:r w:rsidRPr="001131FC">
              <w:rPr>
                <w:color w:val="000000"/>
                <w:sz w:val="15"/>
                <w:szCs w:val="15"/>
              </w:rPr>
              <w:t>4 710</w:t>
            </w:r>
          </w:p>
        </w:tc>
        <w:tc>
          <w:tcPr>
            <w:tcW w:w="958" w:type="pct"/>
            <w:tcBorders>
              <w:top w:val="nil"/>
              <w:left w:val="nil"/>
              <w:bottom w:val="nil"/>
              <w:right w:val="single" w:sz="4" w:space="0" w:color="auto"/>
            </w:tcBorders>
            <w:vAlign w:val="center"/>
          </w:tcPr>
          <w:p w:rsidR="00565FD5" w:rsidRPr="001131FC" w:rsidRDefault="00565FD5" w:rsidP="00AB62A3">
            <w:pPr>
              <w:ind w:right="308"/>
              <w:jc w:val="right"/>
              <w:rPr>
                <w:color w:val="000000"/>
                <w:sz w:val="15"/>
                <w:szCs w:val="15"/>
              </w:rPr>
            </w:pPr>
            <w:r w:rsidRPr="001131FC">
              <w:rPr>
                <w:color w:val="000000"/>
                <w:sz w:val="15"/>
                <w:szCs w:val="15"/>
              </w:rPr>
              <w:t>4 77</w:t>
            </w:r>
            <w:r>
              <w:rPr>
                <w:color w:val="000000"/>
                <w:sz w:val="15"/>
                <w:szCs w:val="15"/>
              </w:rPr>
              <w:t>7</w:t>
            </w:r>
          </w:p>
        </w:tc>
      </w:tr>
      <w:tr w:rsidR="00565FD5" w:rsidRPr="001131FC" w:rsidTr="00AB62A3">
        <w:trPr>
          <w:trHeight w:val="20"/>
        </w:trPr>
        <w:tc>
          <w:tcPr>
            <w:tcW w:w="3084" w:type="pct"/>
            <w:tcBorders>
              <w:top w:val="nil"/>
              <w:left w:val="single" w:sz="4" w:space="0" w:color="auto"/>
              <w:bottom w:val="nil"/>
            </w:tcBorders>
            <w:noWrap/>
            <w:tcMar>
              <w:top w:w="15" w:type="dxa"/>
              <w:left w:w="15" w:type="dxa"/>
              <w:bottom w:w="0" w:type="dxa"/>
              <w:right w:w="15" w:type="dxa"/>
            </w:tcMar>
            <w:vAlign w:val="center"/>
          </w:tcPr>
          <w:p w:rsidR="00565FD5" w:rsidRPr="001131FC" w:rsidRDefault="00565FD5" w:rsidP="00AB62A3">
            <w:pPr>
              <w:ind w:left="120"/>
              <w:rPr>
                <w:rFonts w:eastAsia="Arial Unicode MS"/>
                <w:color w:val="000000"/>
                <w:sz w:val="15"/>
                <w:szCs w:val="15"/>
              </w:rPr>
            </w:pPr>
            <w:r w:rsidRPr="001131FC">
              <w:rPr>
                <w:color w:val="000000"/>
                <w:sz w:val="15"/>
                <w:szCs w:val="15"/>
              </w:rPr>
              <w:t xml:space="preserve">  Hizmetler</w:t>
            </w:r>
          </w:p>
        </w:tc>
        <w:tc>
          <w:tcPr>
            <w:tcW w:w="958" w:type="pct"/>
            <w:tcBorders>
              <w:top w:val="nil"/>
              <w:left w:val="nil"/>
              <w:bottom w:val="nil"/>
              <w:right w:val="nil"/>
            </w:tcBorders>
            <w:vAlign w:val="center"/>
          </w:tcPr>
          <w:p w:rsidR="00565FD5" w:rsidRPr="001131FC" w:rsidRDefault="00565FD5" w:rsidP="00AB62A3">
            <w:pPr>
              <w:ind w:right="308"/>
              <w:jc w:val="right"/>
              <w:rPr>
                <w:color w:val="000000"/>
                <w:sz w:val="15"/>
                <w:szCs w:val="15"/>
              </w:rPr>
            </w:pPr>
            <w:r w:rsidRPr="001131FC">
              <w:rPr>
                <w:color w:val="000000"/>
                <w:sz w:val="15"/>
                <w:szCs w:val="15"/>
              </w:rPr>
              <w:t>13 538</w:t>
            </w:r>
          </w:p>
        </w:tc>
        <w:tc>
          <w:tcPr>
            <w:tcW w:w="958" w:type="pct"/>
            <w:tcBorders>
              <w:top w:val="nil"/>
              <w:left w:val="nil"/>
              <w:bottom w:val="nil"/>
              <w:right w:val="single" w:sz="4" w:space="0" w:color="auto"/>
            </w:tcBorders>
            <w:vAlign w:val="center"/>
          </w:tcPr>
          <w:p w:rsidR="00565FD5" w:rsidRPr="001131FC" w:rsidRDefault="00565FD5" w:rsidP="00AB62A3">
            <w:pPr>
              <w:ind w:right="308"/>
              <w:jc w:val="right"/>
              <w:rPr>
                <w:color w:val="000000"/>
                <w:sz w:val="15"/>
                <w:szCs w:val="15"/>
              </w:rPr>
            </w:pPr>
            <w:r w:rsidRPr="001131FC">
              <w:rPr>
                <w:color w:val="000000"/>
                <w:sz w:val="15"/>
                <w:szCs w:val="15"/>
              </w:rPr>
              <w:t>14 08</w:t>
            </w:r>
            <w:r>
              <w:rPr>
                <w:color w:val="000000"/>
                <w:sz w:val="15"/>
                <w:szCs w:val="15"/>
              </w:rPr>
              <w:t>3</w:t>
            </w:r>
          </w:p>
        </w:tc>
      </w:tr>
      <w:tr w:rsidR="00565FD5" w:rsidRPr="001131FC" w:rsidTr="00AB62A3">
        <w:trPr>
          <w:trHeight w:val="20"/>
        </w:trPr>
        <w:tc>
          <w:tcPr>
            <w:tcW w:w="3084" w:type="pct"/>
            <w:tcBorders>
              <w:top w:val="nil"/>
              <w:left w:val="single" w:sz="4" w:space="0" w:color="auto"/>
              <w:bottom w:val="nil"/>
            </w:tcBorders>
            <w:noWrap/>
            <w:tcMar>
              <w:top w:w="15" w:type="dxa"/>
              <w:left w:w="15" w:type="dxa"/>
              <w:bottom w:w="0" w:type="dxa"/>
              <w:right w:w="15" w:type="dxa"/>
            </w:tcMar>
            <w:vAlign w:val="center"/>
          </w:tcPr>
          <w:p w:rsidR="00565FD5" w:rsidRPr="001131FC" w:rsidRDefault="00565FD5" w:rsidP="00AB62A3">
            <w:pPr>
              <w:ind w:left="120"/>
              <w:rPr>
                <w:rFonts w:eastAsia="Arial Unicode MS"/>
                <w:color w:val="000000"/>
                <w:sz w:val="15"/>
                <w:szCs w:val="15"/>
              </w:rPr>
            </w:pPr>
            <w:r w:rsidRPr="001131FC">
              <w:rPr>
                <w:color w:val="000000"/>
                <w:sz w:val="15"/>
                <w:szCs w:val="15"/>
              </w:rPr>
              <w:lastRenderedPageBreak/>
              <w:t xml:space="preserve">     İnşaat</w:t>
            </w:r>
          </w:p>
        </w:tc>
        <w:tc>
          <w:tcPr>
            <w:tcW w:w="958" w:type="pct"/>
            <w:tcBorders>
              <w:top w:val="nil"/>
              <w:left w:val="nil"/>
              <w:bottom w:val="nil"/>
              <w:right w:val="nil"/>
            </w:tcBorders>
            <w:vAlign w:val="center"/>
          </w:tcPr>
          <w:p w:rsidR="00565FD5" w:rsidRPr="001131FC" w:rsidRDefault="00565FD5" w:rsidP="00AB62A3">
            <w:pPr>
              <w:ind w:right="308"/>
              <w:jc w:val="right"/>
              <w:rPr>
                <w:color w:val="000000"/>
                <w:sz w:val="15"/>
                <w:szCs w:val="15"/>
              </w:rPr>
            </w:pPr>
            <w:r w:rsidRPr="001131FC">
              <w:rPr>
                <w:color w:val="000000"/>
                <w:sz w:val="15"/>
                <w:szCs w:val="15"/>
              </w:rPr>
              <w:t>1 879</w:t>
            </w:r>
          </w:p>
        </w:tc>
        <w:tc>
          <w:tcPr>
            <w:tcW w:w="958" w:type="pct"/>
            <w:tcBorders>
              <w:top w:val="nil"/>
              <w:left w:val="nil"/>
              <w:bottom w:val="nil"/>
              <w:right w:val="single" w:sz="4" w:space="0" w:color="auto"/>
            </w:tcBorders>
            <w:vAlign w:val="center"/>
          </w:tcPr>
          <w:p w:rsidR="00565FD5" w:rsidRPr="001131FC" w:rsidRDefault="00565FD5" w:rsidP="00AB62A3">
            <w:pPr>
              <w:ind w:right="308"/>
              <w:jc w:val="right"/>
              <w:rPr>
                <w:color w:val="000000"/>
                <w:sz w:val="15"/>
                <w:szCs w:val="15"/>
              </w:rPr>
            </w:pPr>
            <w:r w:rsidRPr="001131FC">
              <w:rPr>
                <w:color w:val="000000"/>
                <w:sz w:val="15"/>
                <w:szCs w:val="15"/>
              </w:rPr>
              <w:t>1 882</w:t>
            </w:r>
          </w:p>
        </w:tc>
      </w:tr>
      <w:tr w:rsidR="00565FD5" w:rsidRPr="001131FC" w:rsidTr="00AB62A3">
        <w:trPr>
          <w:trHeight w:val="20"/>
        </w:trPr>
        <w:tc>
          <w:tcPr>
            <w:tcW w:w="3084" w:type="pct"/>
            <w:tcBorders>
              <w:top w:val="nil"/>
              <w:left w:val="single" w:sz="4" w:space="0" w:color="auto"/>
              <w:bottom w:val="nil"/>
            </w:tcBorders>
            <w:noWrap/>
            <w:tcMar>
              <w:top w:w="15" w:type="dxa"/>
              <w:left w:w="15" w:type="dxa"/>
              <w:bottom w:w="0" w:type="dxa"/>
              <w:right w:w="15" w:type="dxa"/>
            </w:tcMar>
            <w:vAlign w:val="center"/>
          </w:tcPr>
          <w:p w:rsidR="00565FD5" w:rsidRPr="001131FC" w:rsidRDefault="00565FD5" w:rsidP="00AB62A3">
            <w:pPr>
              <w:ind w:left="120"/>
              <w:rPr>
                <w:rFonts w:eastAsia="Arial Unicode MS"/>
                <w:color w:val="000000"/>
                <w:sz w:val="15"/>
                <w:szCs w:val="15"/>
              </w:rPr>
            </w:pPr>
            <w:r w:rsidRPr="001131FC">
              <w:rPr>
                <w:color w:val="000000"/>
                <w:sz w:val="15"/>
                <w:szCs w:val="15"/>
              </w:rPr>
              <w:t>İşsiz</w:t>
            </w:r>
          </w:p>
        </w:tc>
        <w:tc>
          <w:tcPr>
            <w:tcW w:w="958" w:type="pct"/>
            <w:tcBorders>
              <w:top w:val="nil"/>
              <w:left w:val="nil"/>
              <w:bottom w:val="nil"/>
              <w:right w:val="nil"/>
            </w:tcBorders>
            <w:vAlign w:val="center"/>
          </w:tcPr>
          <w:p w:rsidR="00565FD5" w:rsidRPr="001131FC" w:rsidRDefault="00565FD5" w:rsidP="00AB62A3">
            <w:pPr>
              <w:ind w:right="308"/>
              <w:jc w:val="right"/>
              <w:rPr>
                <w:color w:val="000000"/>
                <w:sz w:val="15"/>
                <w:szCs w:val="15"/>
              </w:rPr>
            </w:pPr>
            <w:r w:rsidRPr="001131FC">
              <w:rPr>
                <w:color w:val="000000"/>
                <w:sz w:val="15"/>
                <w:szCs w:val="15"/>
              </w:rPr>
              <w:t>2 509</w:t>
            </w:r>
          </w:p>
        </w:tc>
        <w:tc>
          <w:tcPr>
            <w:tcW w:w="958" w:type="pct"/>
            <w:tcBorders>
              <w:top w:val="nil"/>
              <w:left w:val="nil"/>
              <w:bottom w:val="nil"/>
              <w:right w:val="single" w:sz="4" w:space="0" w:color="auto"/>
            </w:tcBorders>
            <w:vAlign w:val="center"/>
          </w:tcPr>
          <w:p w:rsidR="00565FD5" w:rsidRPr="001131FC" w:rsidRDefault="00565FD5" w:rsidP="00AB62A3">
            <w:pPr>
              <w:ind w:right="308"/>
              <w:jc w:val="right"/>
              <w:rPr>
                <w:color w:val="000000"/>
                <w:sz w:val="15"/>
                <w:szCs w:val="15"/>
              </w:rPr>
            </w:pPr>
            <w:r w:rsidRPr="001131FC">
              <w:rPr>
                <w:color w:val="000000"/>
                <w:sz w:val="15"/>
                <w:szCs w:val="15"/>
              </w:rPr>
              <w:t>2 323</w:t>
            </w:r>
          </w:p>
        </w:tc>
      </w:tr>
      <w:tr w:rsidR="00565FD5" w:rsidRPr="001131FC" w:rsidTr="00AB62A3">
        <w:trPr>
          <w:trHeight w:val="20"/>
        </w:trPr>
        <w:tc>
          <w:tcPr>
            <w:tcW w:w="3084" w:type="pct"/>
            <w:tcBorders>
              <w:top w:val="nil"/>
              <w:left w:val="single" w:sz="4" w:space="0" w:color="auto"/>
              <w:bottom w:val="nil"/>
            </w:tcBorders>
            <w:noWrap/>
            <w:tcMar>
              <w:top w:w="15" w:type="dxa"/>
              <w:left w:w="15" w:type="dxa"/>
              <w:bottom w:w="0" w:type="dxa"/>
              <w:right w:w="15" w:type="dxa"/>
            </w:tcMar>
            <w:vAlign w:val="center"/>
          </w:tcPr>
          <w:p w:rsidR="00565FD5" w:rsidRPr="001131FC" w:rsidRDefault="00565FD5" w:rsidP="00AB62A3">
            <w:pPr>
              <w:ind w:left="120"/>
              <w:rPr>
                <w:rFonts w:eastAsia="Arial Unicode MS"/>
                <w:b/>
                <w:color w:val="000000"/>
                <w:sz w:val="15"/>
                <w:szCs w:val="15"/>
              </w:rPr>
            </w:pPr>
            <w:r w:rsidRPr="001131FC">
              <w:rPr>
                <w:b/>
                <w:color w:val="000000"/>
                <w:sz w:val="15"/>
                <w:szCs w:val="15"/>
              </w:rPr>
              <w:t>İşgücüne Katılma Oranı (Yüzde)</w:t>
            </w:r>
          </w:p>
        </w:tc>
        <w:tc>
          <w:tcPr>
            <w:tcW w:w="958" w:type="pct"/>
            <w:tcBorders>
              <w:top w:val="nil"/>
              <w:left w:val="nil"/>
              <w:bottom w:val="nil"/>
              <w:right w:val="nil"/>
            </w:tcBorders>
            <w:vAlign w:val="center"/>
          </w:tcPr>
          <w:p w:rsidR="00565FD5" w:rsidRPr="001131FC" w:rsidRDefault="00565FD5" w:rsidP="00AB62A3">
            <w:pPr>
              <w:ind w:right="308"/>
              <w:jc w:val="right"/>
              <w:rPr>
                <w:b/>
                <w:color w:val="000000"/>
                <w:sz w:val="15"/>
                <w:szCs w:val="15"/>
              </w:rPr>
            </w:pPr>
            <w:r w:rsidRPr="001131FC">
              <w:rPr>
                <w:b/>
                <w:color w:val="000000"/>
                <w:sz w:val="15"/>
                <w:szCs w:val="15"/>
              </w:rPr>
              <w:t>51,2</w:t>
            </w:r>
          </w:p>
        </w:tc>
        <w:tc>
          <w:tcPr>
            <w:tcW w:w="958" w:type="pct"/>
            <w:tcBorders>
              <w:top w:val="nil"/>
              <w:left w:val="nil"/>
              <w:bottom w:val="nil"/>
              <w:right w:val="single" w:sz="4" w:space="0" w:color="auto"/>
            </w:tcBorders>
            <w:vAlign w:val="center"/>
          </w:tcPr>
          <w:p w:rsidR="00565FD5" w:rsidRPr="001131FC" w:rsidRDefault="00565FD5" w:rsidP="00AB62A3">
            <w:pPr>
              <w:ind w:right="308"/>
              <w:jc w:val="right"/>
              <w:rPr>
                <w:b/>
                <w:color w:val="000000"/>
                <w:sz w:val="15"/>
                <w:szCs w:val="15"/>
              </w:rPr>
            </w:pPr>
            <w:r w:rsidRPr="001131FC">
              <w:rPr>
                <w:b/>
                <w:color w:val="000000"/>
                <w:sz w:val="15"/>
                <w:szCs w:val="15"/>
              </w:rPr>
              <w:t>50,8</w:t>
            </w:r>
          </w:p>
        </w:tc>
      </w:tr>
      <w:tr w:rsidR="00565FD5" w:rsidRPr="001131FC" w:rsidTr="00AB62A3">
        <w:trPr>
          <w:trHeight w:val="20"/>
        </w:trPr>
        <w:tc>
          <w:tcPr>
            <w:tcW w:w="3084" w:type="pct"/>
            <w:tcBorders>
              <w:top w:val="nil"/>
              <w:left w:val="single" w:sz="4" w:space="0" w:color="auto"/>
              <w:bottom w:val="nil"/>
            </w:tcBorders>
            <w:noWrap/>
            <w:tcMar>
              <w:top w:w="15" w:type="dxa"/>
              <w:left w:w="15" w:type="dxa"/>
              <w:bottom w:w="0" w:type="dxa"/>
              <w:right w:w="15" w:type="dxa"/>
            </w:tcMar>
            <w:vAlign w:val="center"/>
          </w:tcPr>
          <w:p w:rsidR="00565FD5" w:rsidRPr="001131FC" w:rsidRDefault="00565FD5" w:rsidP="00AB62A3">
            <w:pPr>
              <w:ind w:left="120"/>
              <w:rPr>
                <w:rFonts w:eastAsia="Arial Unicode MS"/>
                <w:bCs/>
                <w:color w:val="000000"/>
                <w:sz w:val="15"/>
                <w:szCs w:val="15"/>
              </w:rPr>
            </w:pPr>
            <w:r w:rsidRPr="001131FC">
              <w:rPr>
                <w:rFonts w:eastAsia="Arial Unicode MS"/>
                <w:bCs/>
                <w:color w:val="000000"/>
                <w:sz w:val="15"/>
                <w:szCs w:val="15"/>
              </w:rPr>
              <w:t>İstihdam Oranı (Yüzde)</w:t>
            </w:r>
          </w:p>
        </w:tc>
        <w:tc>
          <w:tcPr>
            <w:tcW w:w="958" w:type="pct"/>
            <w:tcBorders>
              <w:top w:val="nil"/>
              <w:left w:val="nil"/>
              <w:bottom w:val="nil"/>
              <w:right w:val="nil"/>
            </w:tcBorders>
            <w:vAlign w:val="center"/>
          </w:tcPr>
          <w:p w:rsidR="00565FD5" w:rsidRPr="001131FC" w:rsidRDefault="00565FD5" w:rsidP="00AB62A3">
            <w:pPr>
              <w:ind w:right="308"/>
              <w:jc w:val="right"/>
              <w:rPr>
                <w:color w:val="000000"/>
                <w:sz w:val="15"/>
                <w:szCs w:val="15"/>
              </w:rPr>
            </w:pPr>
            <w:r w:rsidRPr="001131FC">
              <w:rPr>
                <w:color w:val="000000"/>
                <w:sz w:val="15"/>
                <w:szCs w:val="15"/>
              </w:rPr>
              <w:t>46,5</w:t>
            </w:r>
          </w:p>
        </w:tc>
        <w:tc>
          <w:tcPr>
            <w:tcW w:w="958" w:type="pct"/>
            <w:tcBorders>
              <w:top w:val="nil"/>
              <w:left w:val="nil"/>
              <w:bottom w:val="nil"/>
              <w:right w:val="single" w:sz="4" w:space="0" w:color="auto"/>
            </w:tcBorders>
            <w:vAlign w:val="center"/>
          </w:tcPr>
          <w:p w:rsidR="00565FD5" w:rsidRPr="001131FC" w:rsidRDefault="00565FD5" w:rsidP="00AB62A3">
            <w:pPr>
              <w:ind w:right="308"/>
              <w:jc w:val="right"/>
              <w:rPr>
                <w:color w:val="000000"/>
                <w:sz w:val="15"/>
                <w:szCs w:val="15"/>
              </w:rPr>
            </w:pPr>
            <w:r w:rsidRPr="001131FC">
              <w:rPr>
                <w:color w:val="000000"/>
                <w:sz w:val="15"/>
                <w:szCs w:val="15"/>
              </w:rPr>
              <w:t>46,6</w:t>
            </w:r>
          </w:p>
        </w:tc>
      </w:tr>
      <w:tr w:rsidR="00565FD5" w:rsidRPr="001131FC" w:rsidTr="00AB62A3">
        <w:trPr>
          <w:trHeight w:val="20"/>
        </w:trPr>
        <w:tc>
          <w:tcPr>
            <w:tcW w:w="3084" w:type="pct"/>
            <w:tcBorders>
              <w:top w:val="nil"/>
              <w:left w:val="single" w:sz="4" w:space="0" w:color="auto"/>
              <w:bottom w:val="nil"/>
            </w:tcBorders>
            <w:noWrap/>
            <w:tcMar>
              <w:top w:w="15" w:type="dxa"/>
              <w:left w:w="15" w:type="dxa"/>
              <w:bottom w:w="0" w:type="dxa"/>
              <w:right w:w="15" w:type="dxa"/>
            </w:tcMar>
            <w:vAlign w:val="center"/>
          </w:tcPr>
          <w:p w:rsidR="00565FD5" w:rsidRPr="001131FC" w:rsidRDefault="00565FD5" w:rsidP="00AB62A3">
            <w:pPr>
              <w:ind w:left="120"/>
              <w:rPr>
                <w:rFonts w:eastAsia="Arial Unicode MS"/>
                <w:b/>
                <w:color w:val="000000"/>
                <w:sz w:val="15"/>
                <w:szCs w:val="15"/>
              </w:rPr>
            </w:pPr>
            <w:r w:rsidRPr="001131FC">
              <w:rPr>
                <w:b/>
                <w:color w:val="000000"/>
                <w:sz w:val="15"/>
                <w:szCs w:val="15"/>
              </w:rPr>
              <w:t>İşsizlik Oranı (Yüzde)</w:t>
            </w:r>
          </w:p>
        </w:tc>
        <w:tc>
          <w:tcPr>
            <w:tcW w:w="958" w:type="pct"/>
            <w:tcBorders>
              <w:top w:val="nil"/>
              <w:left w:val="nil"/>
              <w:bottom w:val="nil"/>
              <w:right w:val="nil"/>
            </w:tcBorders>
            <w:vAlign w:val="center"/>
          </w:tcPr>
          <w:p w:rsidR="00565FD5" w:rsidRPr="001131FC" w:rsidRDefault="00565FD5" w:rsidP="00AB62A3">
            <w:pPr>
              <w:ind w:right="308"/>
              <w:jc w:val="right"/>
              <w:rPr>
                <w:b/>
                <w:color w:val="000000"/>
                <w:sz w:val="15"/>
                <w:szCs w:val="15"/>
              </w:rPr>
            </w:pPr>
            <w:r w:rsidRPr="001131FC">
              <w:rPr>
                <w:b/>
                <w:color w:val="000000"/>
                <w:sz w:val="15"/>
                <w:szCs w:val="15"/>
              </w:rPr>
              <w:t>9,1</w:t>
            </w:r>
          </w:p>
        </w:tc>
        <w:tc>
          <w:tcPr>
            <w:tcW w:w="958" w:type="pct"/>
            <w:tcBorders>
              <w:top w:val="nil"/>
              <w:left w:val="nil"/>
              <w:bottom w:val="nil"/>
              <w:right w:val="single" w:sz="4" w:space="0" w:color="auto"/>
            </w:tcBorders>
            <w:vAlign w:val="center"/>
          </w:tcPr>
          <w:p w:rsidR="00565FD5" w:rsidRPr="001131FC" w:rsidRDefault="00565FD5" w:rsidP="00AB62A3">
            <w:pPr>
              <w:ind w:right="308"/>
              <w:jc w:val="right"/>
              <w:rPr>
                <w:b/>
                <w:color w:val="000000"/>
                <w:sz w:val="15"/>
                <w:szCs w:val="15"/>
              </w:rPr>
            </w:pPr>
            <w:r w:rsidRPr="001131FC">
              <w:rPr>
                <w:b/>
                <w:color w:val="000000"/>
                <w:sz w:val="15"/>
                <w:szCs w:val="15"/>
              </w:rPr>
              <w:t>8,4</w:t>
            </w:r>
          </w:p>
        </w:tc>
      </w:tr>
      <w:tr w:rsidR="00565FD5" w:rsidRPr="001131FC" w:rsidTr="00AB62A3">
        <w:trPr>
          <w:trHeight w:val="20"/>
        </w:trPr>
        <w:tc>
          <w:tcPr>
            <w:tcW w:w="3084" w:type="pct"/>
            <w:tcBorders>
              <w:top w:val="nil"/>
              <w:left w:val="single" w:sz="4" w:space="0" w:color="auto"/>
            </w:tcBorders>
            <w:noWrap/>
            <w:tcMar>
              <w:top w:w="15" w:type="dxa"/>
              <w:left w:w="15" w:type="dxa"/>
              <w:bottom w:w="0" w:type="dxa"/>
              <w:right w:w="15" w:type="dxa"/>
            </w:tcMar>
            <w:vAlign w:val="center"/>
          </w:tcPr>
          <w:p w:rsidR="00565FD5" w:rsidRPr="001131FC" w:rsidRDefault="00565FD5" w:rsidP="00AB62A3">
            <w:pPr>
              <w:ind w:left="120"/>
              <w:rPr>
                <w:rFonts w:eastAsia="Arial Unicode MS"/>
                <w:bCs/>
                <w:color w:val="000000"/>
                <w:sz w:val="15"/>
                <w:szCs w:val="15"/>
              </w:rPr>
            </w:pPr>
            <w:r w:rsidRPr="001131FC">
              <w:rPr>
                <w:rFonts w:eastAsia="Arial Unicode MS"/>
                <w:bCs/>
                <w:color w:val="000000"/>
                <w:sz w:val="15"/>
                <w:szCs w:val="15"/>
              </w:rPr>
              <w:t>Tarım Dışı İşsizlik Oranı (Yüzde)</w:t>
            </w:r>
          </w:p>
        </w:tc>
        <w:tc>
          <w:tcPr>
            <w:tcW w:w="958" w:type="pct"/>
            <w:tcBorders>
              <w:top w:val="nil"/>
              <w:left w:val="nil"/>
              <w:right w:val="nil"/>
            </w:tcBorders>
            <w:vAlign w:val="center"/>
          </w:tcPr>
          <w:p w:rsidR="00565FD5" w:rsidRPr="001131FC" w:rsidRDefault="00565FD5" w:rsidP="00AB62A3">
            <w:pPr>
              <w:ind w:right="308"/>
              <w:jc w:val="right"/>
              <w:rPr>
                <w:color w:val="000000"/>
                <w:sz w:val="15"/>
                <w:szCs w:val="15"/>
              </w:rPr>
            </w:pPr>
            <w:r w:rsidRPr="001131FC">
              <w:rPr>
                <w:color w:val="000000"/>
                <w:sz w:val="15"/>
                <w:szCs w:val="15"/>
              </w:rPr>
              <w:t>11,8</w:t>
            </w:r>
          </w:p>
        </w:tc>
        <w:tc>
          <w:tcPr>
            <w:tcW w:w="958" w:type="pct"/>
            <w:tcBorders>
              <w:top w:val="nil"/>
              <w:left w:val="nil"/>
              <w:right w:val="single" w:sz="4" w:space="0" w:color="auto"/>
            </w:tcBorders>
            <w:vAlign w:val="center"/>
          </w:tcPr>
          <w:p w:rsidR="00565FD5" w:rsidRPr="001131FC" w:rsidRDefault="00565FD5" w:rsidP="00AB62A3">
            <w:pPr>
              <w:ind w:right="308"/>
              <w:jc w:val="right"/>
              <w:rPr>
                <w:color w:val="000000"/>
                <w:sz w:val="15"/>
                <w:szCs w:val="15"/>
              </w:rPr>
            </w:pPr>
            <w:r w:rsidRPr="001131FC">
              <w:rPr>
                <w:color w:val="000000"/>
                <w:sz w:val="15"/>
                <w:szCs w:val="15"/>
              </w:rPr>
              <w:t>10,7</w:t>
            </w:r>
          </w:p>
        </w:tc>
      </w:tr>
      <w:tr w:rsidR="00565FD5" w:rsidRPr="001131FC" w:rsidTr="00AB62A3">
        <w:trPr>
          <w:trHeight w:val="20"/>
        </w:trPr>
        <w:tc>
          <w:tcPr>
            <w:tcW w:w="3084" w:type="pct"/>
            <w:tcBorders>
              <w:top w:val="nil"/>
              <w:left w:val="single" w:sz="4" w:space="0" w:color="auto"/>
              <w:bottom w:val="single" w:sz="4" w:space="0" w:color="auto"/>
            </w:tcBorders>
            <w:noWrap/>
            <w:tcMar>
              <w:top w:w="15" w:type="dxa"/>
              <w:left w:w="15" w:type="dxa"/>
              <w:bottom w:w="0" w:type="dxa"/>
              <w:right w:w="15" w:type="dxa"/>
            </w:tcMar>
            <w:vAlign w:val="center"/>
          </w:tcPr>
          <w:p w:rsidR="00565FD5" w:rsidRPr="001131FC" w:rsidRDefault="00565FD5" w:rsidP="00AB62A3">
            <w:pPr>
              <w:ind w:left="120"/>
              <w:rPr>
                <w:rFonts w:eastAsia="Arial Unicode MS"/>
                <w:color w:val="000000"/>
                <w:sz w:val="15"/>
                <w:szCs w:val="15"/>
              </w:rPr>
            </w:pPr>
            <w:r w:rsidRPr="001131FC">
              <w:rPr>
                <w:rFonts w:eastAsia="Arial Unicode MS"/>
                <w:color w:val="000000"/>
                <w:sz w:val="15"/>
                <w:szCs w:val="15"/>
              </w:rPr>
              <w:t>Genç Nüfusta İşsizlik Oranı (Yüzde)</w:t>
            </w:r>
          </w:p>
        </w:tc>
        <w:tc>
          <w:tcPr>
            <w:tcW w:w="958" w:type="pct"/>
            <w:tcBorders>
              <w:top w:val="nil"/>
              <w:left w:val="nil"/>
              <w:bottom w:val="single" w:sz="4" w:space="0" w:color="auto"/>
              <w:right w:val="nil"/>
            </w:tcBorders>
            <w:vAlign w:val="center"/>
          </w:tcPr>
          <w:p w:rsidR="00565FD5" w:rsidRPr="001131FC" w:rsidRDefault="00565FD5" w:rsidP="00AB62A3">
            <w:pPr>
              <w:ind w:right="308"/>
              <w:jc w:val="right"/>
              <w:rPr>
                <w:color w:val="000000"/>
                <w:sz w:val="15"/>
                <w:szCs w:val="15"/>
              </w:rPr>
            </w:pPr>
            <w:r w:rsidRPr="001131FC">
              <w:rPr>
                <w:color w:val="000000"/>
                <w:sz w:val="15"/>
                <w:szCs w:val="15"/>
              </w:rPr>
              <w:t>18,3</w:t>
            </w:r>
          </w:p>
        </w:tc>
        <w:tc>
          <w:tcPr>
            <w:tcW w:w="958" w:type="pct"/>
            <w:tcBorders>
              <w:top w:val="nil"/>
              <w:left w:val="nil"/>
              <w:bottom w:val="single" w:sz="4" w:space="0" w:color="auto"/>
              <w:right w:val="single" w:sz="4" w:space="0" w:color="auto"/>
            </w:tcBorders>
            <w:vAlign w:val="center"/>
          </w:tcPr>
          <w:p w:rsidR="00565FD5" w:rsidRPr="001131FC" w:rsidRDefault="00565FD5" w:rsidP="00AB62A3">
            <w:pPr>
              <w:ind w:right="308"/>
              <w:jc w:val="right"/>
              <w:rPr>
                <w:color w:val="000000"/>
                <w:sz w:val="15"/>
                <w:szCs w:val="15"/>
              </w:rPr>
            </w:pPr>
            <w:r w:rsidRPr="001131FC">
              <w:rPr>
                <w:color w:val="000000"/>
                <w:sz w:val="15"/>
                <w:szCs w:val="15"/>
              </w:rPr>
              <w:t>16,3</w:t>
            </w:r>
          </w:p>
        </w:tc>
      </w:tr>
    </w:tbl>
    <w:p w:rsidR="00565FD5" w:rsidRPr="001131FC" w:rsidRDefault="00565FD5" w:rsidP="00565FD5">
      <w:pPr>
        <w:rPr>
          <w:rFonts w:cs="Tahoma"/>
          <w:color w:val="000000"/>
          <w:sz w:val="14"/>
          <w:szCs w:val="14"/>
        </w:rPr>
      </w:pPr>
      <w:r w:rsidRPr="001131FC">
        <w:rPr>
          <w:rFonts w:cs="Tahoma"/>
          <w:color w:val="000000"/>
          <w:sz w:val="14"/>
          <w:szCs w:val="14"/>
        </w:rPr>
        <w:t>Kaynak: TÜİK, Hanehalkı İşgücü Anketi Sonuçları</w:t>
      </w:r>
    </w:p>
    <w:p w:rsidR="00565FD5" w:rsidRPr="001131FC" w:rsidRDefault="00565FD5" w:rsidP="00565FD5">
      <w:pPr>
        <w:spacing w:after="240"/>
        <w:rPr>
          <w:rFonts w:cs="Tahoma"/>
          <w:color w:val="000000"/>
          <w:sz w:val="14"/>
          <w:szCs w:val="14"/>
        </w:rPr>
      </w:pPr>
      <w:r w:rsidRPr="001131FC">
        <w:rPr>
          <w:rFonts w:cs="Tahoma"/>
          <w:color w:val="000000"/>
          <w:sz w:val="14"/>
          <w:szCs w:val="14"/>
        </w:rPr>
        <w:t>(1) Temmuz dönemi itibarıyladır.</w:t>
      </w:r>
    </w:p>
    <w:p w:rsidR="00565FD5" w:rsidRPr="001131FC" w:rsidRDefault="00565FD5" w:rsidP="00565FD5">
      <w:pPr>
        <w:spacing w:after="120"/>
        <w:ind w:firstLine="425"/>
        <w:rPr>
          <w:szCs w:val="18"/>
        </w:rPr>
      </w:pPr>
      <w:r w:rsidRPr="001131FC">
        <w:rPr>
          <w:szCs w:val="18"/>
        </w:rPr>
        <w:t xml:space="preserve">2012 yılının Temmuz döneminde işgücüne katılma oranı, bir önceki yılın aynı dönemine göre 0,4 puan azalarak yüzde 50,8 olarak gerçekleşmiştir. Bu dönemde istihdam, bir önceki yılın aynı dönemine göre, sanayi ve hizmetler (inşaat dahil) sektörlerinde sırasıyla 68 bin ve 544 bin kişi artarken, tarım sektöründe ise 67 bin kişi azalmıştır. </w:t>
      </w:r>
    </w:p>
    <w:p w:rsidR="00565FD5" w:rsidRPr="001131FC" w:rsidRDefault="00565FD5" w:rsidP="00565FD5">
      <w:pPr>
        <w:spacing w:after="180"/>
        <w:ind w:firstLine="425"/>
        <w:rPr>
          <w:szCs w:val="18"/>
        </w:rPr>
      </w:pPr>
      <w:r w:rsidRPr="001131FC">
        <w:rPr>
          <w:szCs w:val="18"/>
        </w:rPr>
        <w:t>2012 yılında işgücüne katılma oranının yüzde 49,6, işsizlik oranının ise yüzde 9 oranında gerçekleşmesi beklenmektedir.</w:t>
      </w:r>
    </w:p>
    <w:p w:rsidR="00565FD5" w:rsidRPr="001131FC" w:rsidRDefault="00565FD5" w:rsidP="00565FD5">
      <w:pPr>
        <w:spacing w:after="180"/>
        <w:ind w:firstLine="425"/>
        <w:rPr>
          <w:b/>
          <w:szCs w:val="18"/>
        </w:rPr>
      </w:pPr>
      <w:bookmarkStart w:id="349" w:name="_Toc118519936"/>
      <w:bookmarkStart w:id="350" w:name="_Toc118521930"/>
      <w:bookmarkStart w:id="351" w:name="_Toc118522313"/>
      <w:bookmarkStart w:id="352" w:name="_Toc118526706"/>
      <w:bookmarkStart w:id="353" w:name="_Toc118526921"/>
      <w:bookmarkStart w:id="354" w:name="_Toc118555819"/>
      <w:bookmarkStart w:id="355" w:name="_Toc118560422"/>
      <w:r w:rsidRPr="001131FC">
        <w:rPr>
          <w:b/>
          <w:szCs w:val="18"/>
        </w:rPr>
        <w:t>b) 2013 Yılı Hedefleri</w:t>
      </w:r>
      <w:bookmarkEnd w:id="349"/>
      <w:bookmarkEnd w:id="350"/>
      <w:bookmarkEnd w:id="351"/>
      <w:bookmarkEnd w:id="352"/>
      <w:bookmarkEnd w:id="353"/>
      <w:bookmarkEnd w:id="354"/>
      <w:bookmarkEnd w:id="355"/>
    </w:p>
    <w:p w:rsidR="00565FD5" w:rsidRPr="001131FC" w:rsidRDefault="00565FD5" w:rsidP="00565FD5">
      <w:pPr>
        <w:spacing w:after="180"/>
        <w:ind w:firstLine="425"/>
        <w:rPr>
          <w:szCs w:val="18"/>
        </w:rPr>
      </w:pPr>
      <w:r w:rsidRPr="001131FC">
        <w:rPr>
          <w:szCs w:val="18"/>
        </w:rPr>
        <w:t xml:space="preserve">2013 yılında, öngörülen büyüme ve yatırım artışlarına bağlı olarak istihdamın 495 bin kişi artacağı, işsizlik oranının ise yüzde 8,9 oranında gerçekleşeceği öngörülmektedir. </w:t>
      </w:r>
    </w:p>
    <w:p w:rsidR="00565FD5" w:rsidRPr="001131FC" w:rsidRDefault="00565FD5" w:rsidP="00565FD5">
      <w:pPr>
        <w:pStyle w:val="Balk4"/>
      </w:pPr>
      <w:bookmarkStart w:id="356" w:name="_Toc213065606"/>
      <w:bookmarkStart w:id="357" w:name="_Toc244253620"/>
      <w:bookmarkStart w:id="358" w:name="_Toc244254870"/>
      <w:bookmarkStart w:id="359" w:name="_Toc244313606"/>
      <w:bookmarkStart w:id="360" w:name="_Toc244315083"/>
      <w:bookmarkStart w:id="361" w:name="_Toc244339546"/>
      <w:bookmarkStart w:id="362" w:name="_Toc276076225"/>
      <w:bookmarkStart w:id="363" w:name="_Toc307601931"/>
      <w:bookmarkStart w:id="364" w:name="_Toc307670379"/>
      <w:bookmarkStart w:id="365" w:name="_Toc307701605"/>
      <w:bookmarkStart w:id="366" w:name="_Toc338505512"/>
      <w:bookmarkStart w:id="367" w:name="_Toc338505764"/>
      <w:bookmarkStart w:id="368" w:name="_Toc338523729"/>
      <w:bookmarkStart w:id="369" w:name="_Toc338523970"/>
      <w:bookmarkStart w:id="370" w:name="_Toc338526196"/>
      <w:bookmarkStart w:id="371" w:name="_Toc338673639"/>
      <w:bookmarkStart w:id="372" w:name="_Toc338711518"/>
      <w:r w:rsidRPr="001131FC">
        <w:t>3. Ekonominin Genel Dengesi</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rsidR="00565FD5" w:rsidRPr="001131FC" w:rsidRDefault="00565FD5" w:rsidP="00565FD5">
      <w:pPr>
        <w:spacing w:after="180"/>
        <w:ind w:firstLine="425"/>
        <w:rPr>
          <w:b/>
          <w:szCs w:val="18"/>
        </w:rPr>
      </w:pPr>
      <w:bookmarkStart w:id="373" w:name="_Toc149968440"/>
      <w:bookmarkStart w:id="374" w:name="_Toc150099128"/>
      <w:r w:rsidRPr="001131FC">
        <w:rPr>
          <w:b/>
          <w:szCs w:val="18"/>
        </w:rPr>
        <w:t>a) Mevcut Durum</w:t>
      </w:r>
    </w:p>
    <w:bookmarkEnd w:id="373"/>
    <w:bookmarkEnd w:id="374"/>
    <w:p w:rsidR="00565FD5" w:rsidRPr="001131FC" w:rsidRDefault="00565FD5" w:rsidP="00565FD5">
      <w:pPr>
        <w:spacing w:after="120"/>
        <w:ind w:firstLine="425"/>
        <w:rPr>
          <w:szCs w:val="18"/>
        </w:rPr>
      </w:pPr>
      <w:r w:rsidRPr="001131FC">
        <w:rPr>
          <w:szCs w:val="18"/>
        </w:rPr>
        <w:t xml:space="preserve">Yurtiçi talepte 2011 yılının ilk dokuz ayında kaydedilen yüzde 12,5 oranındaki yüksek artış yılın son çeyreğinden itibaren hızını kaybetmiş ve 2012 yılının ilk yarısında yerini daralmaya bırakmıştır. 2011 yılının son çeyreğinde yurtiçi talepteki yüzde 1,8 oranındaki artışa rağmen yılın tamamında talep artışı yüzde 9,6 oranında gerçekleşmiştir. Bu talep artışı büyümeye 10 puan katkı yapmıştır. 2011 yılında, net mal ve hizmet ihracatının büyümeye katkısı negatif 1,5 puan olmuş ve böylece GSYH reel olarak yüzde 8,5 oranında artmıştır. </w:t>
      </w:r>
    </w:p>
    <w:p w:rsidR="00565FD5" w:rsidRPr="001131FC" w:rsidRDefault="00565FD5" w:rsidP="00565FD5">
      <w:pPr>
        <w:spacing w:after="120"/>
        <w:ind w:firstLine="425"/>
        <w:rPr>
          <w:szCs w:val="18"/>
        </w:rPr>
      </w:pPr>
      <w:r w:rsidRPr="001131FC">
        <w:rPr>
          <w:szCs w:val="18"/>
        </w:rPr>
        <w:lastRenderedPageBreak/>
        <w:t xml:space="preserve">Net mal ve hizmet ihracatının 2011 yılındaki büyümeye olan negatif katkısında, ithal mallara yönelik yurtiçi talebinin güçlü seyretmesi önemli rol oynamıştır. Böylece, mal ve hizmet ithalatındaki artış mal ve hizmet ihracatındakinden yüksek olarak gerçekleşmiş ve net mal ve hizmet ihracatı GSYH büyümesine negatif katkı yapmıştır. </w:t>
      </w:r>
    </w:p>
    <w:p w:rsidR="00565FD5" w:rsidRPr="001131FC" w:rsidRDefault="00565FD5" w:rsidP="00565FD5">
      <w:pPr>
        <w:spacing w:after="120"/>
        <w:ind w:firstLine="425"/>
        <w:rPr>
          <w:szCs w:val="18"/>
        </w:rPr>
      </w:pPr>
      <w:r w:rsidRPr="001131FC">
        <w:rPr>
          <w:szCs w:val="18"/>
        </w:rPr>
        <w:t>2011 yılındaki toplam tüketim artışında büyük ölçüde özel kesim tüketim harcamalarındaki olumlu seyir etkili olmuştur. Bu dönemde özel tüketim yüzde 7,8 oranında artarken kamu tüketiminde artış yüzde 5,6 oranında gerçekleşmiştir. Böylece GSYH içerisinde özel tüketimin payı yüzde 74 olurken, kamu tüketiminin payı yüzde 10,8 olarak gerçekleşmiştir.</w:t>
      </w:r>
    </w:p>
    <w:p w:rsidR="00565FD5" w:rsidRPr="001131FC" w:rsidRDefault="00565FD5" w:rsidP="00565FD5">
      <w:pPr>
        <w:spacing w:after="120"/>
        <w:ind w:firstLine="425"/>
        <w:rPr>
          <w:szCs w:val="18"/>
        </w:rPr>
      </w:pPr>
      <w:r w:rsidRPr="001131FC">
        <w:rPr>
          <w:szCs w:val="18"/>
        </w:rPr>
        <w:t>Kamu sabit sermaye yatırımları 2010 yılında baz etkisinin olumlu yansımasının da etkisiyle yüzde 19,1 oranında artış kaydetmesinin ardından 2011 yılında yüzde 3 oranında azalmıştır. Özel sektör sabit sermaye yatırımları ise 2011 yılında ekonomideki yüksek büyümenin bir yansıması olarak yüzde 22,6 oranında artış göstermiştir. Özel kesim sabit sermaye yatırımlarında kaydedilen bu yüksek artış, toplam sabit sermaye yatırımlarının GSYH içerisindeki payının 2011 yılında bir önceki yıla göre 2,9 puan artarak yüzde 22,1 seviyesine ulaşmasına neden olmuştur.</w:t>
      </w:r>
    </w:p>
    <w:p w:rsidR="00565FD5" w:rsidRPr="001131FC" w:rsidRDefault="00565FD5" w:rsidP="00565FD5">
      <w:pPr>
        <w:spacing w:after="120"/>
        <w:ind w:firstLine="425"/>
        <w:rPr>
          <w:szCs w:val="18"/>
        </w:rPr>
      </w:pPr>
      <w:r w:rsidRPr="001131FC">
        <w:rPr>
          <w:szCs w:val="18"/>
        </w:rPr>
        <w:t>2012 yılının ilk yarısında toplam tüketim harcamaları bir önceki yılın aynı dönemine göre yüzde 0,5 oranında artarken, sabit sermaye yatırımlarında 2011 yılının son çeyreğinden başlayan ivme kaybı devam ederek azalış yüzde 3,2 seviyesine ulaşmıştır. 2012 yılının ilk yarısında, özel kesim tüketim ve sabit sermaye yatırım harcamaları sırasıyla yüzde 0,2 ile yüzde 3,5 oranlarında azalırken, kamu kesimi tüketim harcamaları yüzde 4,9 oranında artmış, kamu kesimi sabit sermaye yatırım harcamaları ise yüzde 1,5 oranında gerilemiştir. Böylece, toplam yurtiçi talep yılın ilk yarısında yüzde 1,9 oranında azalmıştır.</w:t>
      </w:r>
    </w:p>
    <w:p w:rsidR="00565FD5" w:rsidRPr="001131FC" w:rsidRDefault="00565FD5" w:rsidP="00565FD5">
      <w:pPr>
        <w:spacing w:after="120"/>
        <w:ind w:firstLine="425"/>
        <w:rPr>
          <w:szCs w:val="18"/>
        </w:rPr>
      </w:pPr>
      <w:r w:rsidRPr="001131FC">
        <w:rPr>
          <w:szCs w:val="18"/>
        </w:rPr>
        <w:t xml:space="preserve">Toplam </w:t>
      </w:r>
      <w:r>
        <w:rPr>
          <w:szCs w:val="18"/>
        </w:rPr>
        <w:t>yurtiçi</w:t>
      </w:r>
      <w:r w:rsidRPr="001131FC">
        <w:rPr>
          <w:szCs w:val="18"/>
        </w:rPr>
        <w:t xml:space="preserve"> talebin 2012 yılının ikinci yarısında </w:t>
      </w:r>
      <w:r w:rsidRPr="001131FC">
        <w:t>nispi olarak toparlanması öngörülmektedir. Böylece y</w:t>
      </w:r>
      <w:r w:rsidRPr="001131FC">
        <w:rPr>
          <w:szCs w:val="18"/>
        </w:rPr>
        <w:t xml:space="preserve">ılın tamamında toplam </w:t>
      </w:r>
      <w:r>
        <w:rPr>
          <w:szCs w:val="18"/>
        </w:rPr>
        <w:t>yurtiçi</w:t>
      </w:r>
      <w:r w:rsidRPr="001131FC">
        <w:rPr>
          <w:szCs w:val="18"/>
        </w:rPr>
        <w:t xml:space="preserve"> talebin yüzde 0,1 oranında azalması beklenmektedir. Bununla birlikte, net mal ve hizmet ihracatının GSYH büyümesine olan katkısının pozitif 3,3 puan olarak gerçekleşmesinin de etkisiyle GSYH’nın 2012 yılında yüzde 3,2 oranında artacağı tahmin edilmektedir. </w:t>
      </w:r>
    </w:p>
    <w:p w:rsidR="00565FD5" w:rsidRPr="001131FC" w:rsidRDefault="00565FD5" w:rsidP="00565FD5">
      <w:pPr>
        <w:spacing w:after="120"/>
        <w:ind w:firstLine="425"/>
        <w:rPr>
          <w:szCs w:val="18"/>
        </w:rPr>
      </w:pPr>
      <w:r w:rsidRPr="001131FC">
        <w:rPr>
          <w:szCs w:val="18"/>
        </w:rPr>
        <w:lastRenderedPageBreak/>
        <w:t xml:space="preserve">2012 yılında özel tüketim harcamalarının yüzde 0,6, kamu tüketim harcamalarının ise yüzde 3,9 oranında artması, böylece, toplam tüketimin yılın tamamında yüzde 1 oranında yükselmesi beklenmektedir. </w:t>
      </w:r>
    </w:p>
    <w:p w:rsidR="00565FD5" w:rsidRPr="001131FC" w:rsidRDefault="00565FD5" w:rsidP="00565FD5">
      <w:pPr>
        <w:spacing w:after="180"/>
        <w:ind w:firstLine="425"/>
        <w:rPr>
          <w:szCs w:val="18"/>
        </w:rPr>
      </w:pPr>
      <w:r w:rsidRPr="001131FC">
        <w:rPr>
          <w:szCs w:val="18"/>
        </w:rPr>
        <w:t xml:space="preserve">Kamu kesimi sabit sermaye yatırımlarının 2012 yılında yüzde 5,4 oranında artması, özel kesim sabit sermaye yatırımlarının ise yüzde 1,7 oranında azalması neticesinde toplam sabit sermaye yatırımlarında yüzde 0,5 oranında reel azalma beklenmektedir. </w:t>
      </w:r>
    </w:p>
    <w:p w:rsidR="00565FD5" w:rsidRPr="00E90071" w:rsidRDefault="00565FD5" w:rsidP="00565FD5">
      <w:pPr>
        <w:pStyle w:val="ResimYazs"/>
        <w:rPr>
          <w:rFonts w:cs="Tahoma"/>
        </w:rPr>
      </w:pPr>
      <w:bookmarkStart w:id="375" w:name="_Toc212806252"/>
      <w:bookmarkStart w:id="376" w:name="_Toc213072135"/>
      <w:bookmarkStart w:id="377" w:name="_Toc276076547"/>
      <w:bookmarkStart w:id="378" w:name="_Toc307601773"/>
      <w:bookmarkStart w:id="379" w:name="_Toc307657949"/>
      <w:bookmarkStart w:id="380" w:name="_Toc307713776"/>
      <w:bookmarkStart w:id="381" w:name="_Toc338704787"/>
      <w:bookmarkStart w:id="382" w:name="_Toc338711850"/>
      <w:r>
        <w:t xml:space="preserve">GRAFİK: </w:t>
      </w:r>
      <w:fldSimple w:instr=" SEQ GRAFİK: \* ARABIC ">
        <w:r>
          <w:rPr>
            <w:noProof/>
          </w:rPr>
          <w:t>2</w:t>
        </w:r>
      </w:fldSimple>
      <w:r w:rsidRPr="00E90071">
        <w:t xml:space="preserve">- </w:t>
      </w:r>
      <w:r w:rsidRPr="00E90071">
        <w:rPr>
          <w:rFonts w:cs="Tahoma"/>
        </w:rPr>
        <w:t>GSYH Büyümesine Katkılar</w:t>
      </w:r>
      <w:bookmarkEnd w:id="375"/>
      <w:bookmarkEnd w:id="376"/>
      <w:bookmarkEnd w:id="377"/>
      <w:bookmarkEnd w:id="378"/>
      <w:bookmarkEnd w:id="379"/>
      <w:bookmarkEnd w:id="380"/>
      <w:bookmarkEnd w:id="381"/>
      <w:bookmarkEnd w:id="382"/>
      <w:r w:rsidRPr="00E90071">
        <w:rPr>
          <w:rFonts w:cs="Tahoma"/>
        </w:rPr>
        <w:t xml:space="preserve"> </w:t>
      </w:r>
    </w:p>
    <w:p w:rsidR="00565FD5" w:rsidRPr="001131FC" w:rsidRDefault="00565FD5" w:rsidP="00565FD5">
      <w:pPr>
        <w:rPr>
          <w:rFonts w:cs="Tahoma"/>
        </w:rPr>
      </w:pPr>
      <w:r>
        <w:rPr>
          <w:rFonts w:cs="Tahoma"/>
          <w:noProof/>
          <w:lang w:eastAsia="tr-TR"/>
        </w:rPr>
        <w:drawing>
          <wp:inline distT="0" distB="0" distL="0" distR="0">
            <wp:extent cx="4505325" cy="2743200"/>
            <wp:effectExtent l="0" t="0" r="0" b="0"/>
            <wp:docPr id="2"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65FD5" w:rsidRPr="001131FC" w:rsidRDefault="00565FD5" w:rsidP="00565FD5">
      <w:pPr>
        <w:tabs>
          <w:tab w:val="left" w:pos="284"/>
        </w:tabs>
        <w:rPr>
          <w:rFonts w:cs="Tahoma"/>
          <w:sz w:val="14"/>
          <w:szCs w:val="14"/>
        </w:rPr>
      </w:pPr>
      <w:r w:rsidRPr="001131FC">
        <w:rPr>
          <w:rFonts w:cs="Tahoma"/>
          <w:sz w:val="14"/>
          <w:szCs w:val="14"/>
        </w:rPr>
        <w:t>(1) Gerçekleşme tahmini</w:t>
      </w:r>
    </w:p>
    <w:p w:rsidR="00565FD5" w:rsidRPr="001131FC" w:rsidRDefault="00565FD5" w:rsidP="00565FD5">
      <w:pPr>
        <w:tabs>
          <w:tab w:val="left" w:pos="284"/>
        </w:tabs>
        <w:spacing w:after="120"/>
        <w:rPr>
          <w:rFonts w:cs="Tahoma"/>
          <w:sz w:val="14"/>
          <w:szCs w:val="14"/>
        </w:rPr>
      </w:pPr>
      <w:r w:rsidRPr="001131FC">
        <w:rPr>
          <w:rFonts w:cs="Tahoma"/>
          <w:sz w:val="14"/>
          <w:szCs w:val="14"/>
        </w:rPr>
        <w:t>(2) Program</w:t>
      </w:r>
    </w:p>
    <w:p w:rsidR="00565FD5" w:rsidRPr="001131FC" w:rsidRDefault="00565FD5" w:rsidP="00565FD5">
      <w:pPr>
        <w:spacing w:after="120"/>
        <w:ind w:firstLine="425"/>
        <w:rPr>
          <w:szCs w:val="18"/>
        </w:rPr>
      </w:pPr>
      <w:r w:rsidRPr="001131FC">
        <w:rPr>
          <w:szCs w:val="18"/>
        </w:rPr>
        <w:t>2012 yılı GSYH büyümesine katkılar incelendiğinde öne çıkan unsur, ekonomide yeniden dengelenmenin bir sonucu olarak büyümeye iç tüketimin yaptığı katkının yerini net ihracatın almasıdır. Bu yılda net mal ve hizmet ihracatının GSYH büyümesine olan katkısının pozitif 3,3 puan olarak gerçekleşmesi, özel kesim tüketim ve sabit sermaye yatırım harcamalarının büyümeye toplamda sadece pozitif 0,1 puan katkı yapması beklenmektedir.</w:t>
      </w:r>
    </w:p>
    <w:p w:rsidR="00565FD5" w:rsidRPr="001131FC" w:rsidRDefault="00565FD5" w:rsidP="00565FD5">
      <w:pPr>
        <w:spacing w:after="120"/>
        <w:ind w:firstLine="425"/>
        <w:rPr>
          <w:szCs w:val="18"/>
        </w:rPr>
      </w:pPr>
      <w:r w:rsidRPr="001131FC">
        <w:rPr>
          <w:szCs w:val="18"/>
        </w:rPr>
        <w:t xml:space="preserve">Cari fiyatlarla özel harcanabilir gelirin GSYH’ya oranının 2012 yılında bir önceki yıla göre 0,7 puan artarak yüzde 85,4’e yükseleceği öngörülmektedir. 2012 yılında özel tasarrufların GSYH’ya oranının yüzde 11,9’a yükselmesi, özel </w:t>
      </w:r>
      <w:r w:rsidRPr="001131FC">
        <w:rPr>
          <w:szCs w:val="18"/>
        </w:rPr>
        <w:lastRenderedPageBreak/>
        <w:t xml:space="preserve">yatırımların GSYH’ya oranının ise yüzde 17’ye gerilemesi beklenmektedir. Bunun sonucunda, özel kesim tasarruf yatırım farkının 2011 yılında negatif yüzde 9,3 olan seviyesinden 2012 yılında negatif yüzde 5,1 seviyesine gerilemesi beklenmektedir. </w:t>
      </w:r>
    </w:p>
    <w:p w:rsidR="00565FD5" w:rsidRPr="001131FC" w:rsidRDefault="00565FD5" w:rsidP="00565FD5">
      <w:pPr>
        <w:spacing w:after="120"/>
        <w:ind w:firstLine="425"/>
        <w:rPr>
          <w:szCs w:val="18"/>
        </w:rPr>
      </w:pPr>
      <w:r w:rsidRPr="001131FC">
        <w:rPr>
          <w:szCs w:val="18"/>
        </w:rPr>
        <w:t xml:space="preserve">2012 yılında kamu harcanabilir gelirinin GSYH’ya oranının bir önceki yıla göre 0,5 puan azalarak yüzde 14 olacağı tahmin edilmektedir. Söz konusu gelişmede, yurtiçi talepte ve ithalattaki düşüşün etkisiyle vergi gelirlerinin GSYH içindeki payındaki gerilemenin yanı sıra, sosyal fonlar ve cari transfer kalemlerindeki artışın etkili olması beklenmektedir. </w:t>
      </w:r>
    </w:p>
    <w:p w:rsidR="00565FD5" w:rsidRDefault="00565FD5" w:rsidP="00565FD5">
      <w:pPr>
        <w:spacing w:after="120"/>
        <w:ind w:firstLine="425"/>
        <w:rPr>
          <w:szCs w:val="18"/>
        </w:rPr>
      </w:pPr>
      <w:r w:rsidRPr="001131FC">
        <w:rPr>
          <w:szCs w:val="18"/>
        </w:rPr>
        <w:t>2012 yılında kamu yatırımlarının GSYH içindeki payının 0,3 puan artarak yüzde 4,4, kamu tasarruflarının payının ise 1,3 puan azalarak yüzde 2,4 olarak gerçekleşmesi beklenmektedir. Böylece, kamu tasarruf yatırım farkının 1,6 puan daha bozularak 2012 yılında negatif yüzde 2 olacağı tahmin edilmektedir.</w:t>
      </w:r>
    </w:p>
    <w:p w:rsidR="00565FD5" w:rsidRPr="001131FC" w:rsidRDefault="00565FD5" w:rsidP="00565FD5">
      <w:pPr>
        <w:spacing w:after="120"/>
        <w:ind w:firstLine="425"/>
        <w:rPr>
          <w:szCs w:val="18"/>
        </w:rPr>
        <w:sectPr w:rsidR="00565FD5" w:rsidRPr="001131FC" w:rsidSect="00B50093">
          <w:pgSz w:w="11906" w:h="16838" w:code="9"/>
          <w:pgMar w:top="2948" w:right="2381" w:bottom="2948" w:left="2381" w:header="2268" w:footer="2552" w:gutter="0"/>
          <w:cols w:space="708"/>
          <w:noEndnote/>
        </w:sectPr>
      </w:pPr>
    </w:p>
    <w:p w:rsidR="00565FD5" w:rsidRPr="009F4A85" w:rsidRDefault="00565FD5" w:rsidP="00565FD5">
      <w:pPr>
        <w:pStyle w:val="ResimYazs"/>
      </w:pPr>
      <w:bookmarkStart w:id="383" w:name="_Toc149926701"/>
      <w:bookmarkStart w:id="384" w:name="_Toc150099332"/>
      <w:bookmarkStart w:id="385" w:name="_Toc307713505"/>
      <w:bookmarkStart w:id="386" w:name="_Toc338605960"/>
      <w:bookmarkStart w:id="387" w:name="_Toc338711735"/>
      <w:bookmarkStart w:id="388" w:name="_Toc181274088"/>
      <w:bookmarkStart w:id="389" w:name="_Toc181286367"/>
      <w:bookmarkStart w:id="390" w:name="_Toc212794917"/>
      <w:bookmarkStart w:id="391" w:name="_Toc213071577"/>
      <w:bookmarkStart w:id="392" w:name="_Toc275873810"/>
      <w:bookmarkStart w:id="393" w:name="_Toc276076434"/>
      <w:bookmarkStart w:id="394" w:name="_Toc307601598"/>
      <w:bookmarkStart w:id="395" w:name="_Toc307657840"/>
      <w:bookmarkStart w:id="396" w:name="_Toc149926702"/>
      <w:bookmarkStart w:id="397" w:name="_Toc150099333"/>
      <w:r>
        <w:lastRenderedPageBreak/>
        <w:t xml:space="preserve">TABLO II: </w:t>
      </w:r>
      <w:fldSimple w:instr=" SEQ TABLO_II: \* ARABIC ">
        <w:r>
          <w:rPr>
            <w:noProof/>
          </w:rPr>
          <w:t>8</w:t>
        </w:r>
      </w:fldSimple>
      <w:r w:rsidRPr="009F4A85">
        <w:t>- Ekonominin Genel Dengesi</w:t>
      </w:r>
      <w:bookmarkEnd w:id="383"/>
      <w:bookmarkEnd w:id="384"/>
      <w:bookmarkEnd w:id="385"/>
      <w:bookmarkEnd w:id="386"/>
      <w:bookmarkEnd w:id="387"/>
      <w:r w:rsidRPr="009F4A85">
        <w:t xml:space="preserve"> </w:t>
      </w:r>
      <w:bookmarkEnd w:id="388"/>
      <w:bookmarkEnd w:id="389"/>
      <w:bookmarkEnd w:id="390"/>
      <w:bookmarkEnd w:id="391"/>
      <w:bookmarkEnd w:id="392"/>
      <w:bookmarkEnd w:id="393"/>
      <w:bookmarkEnd w:id="394"/>
      <w:bookmarkEnd w:id="395"/>
    </w:p>
    <w:tbl>
      <w:tblPr>
        <w:tblW w:w="4925" w:type="pct"/>
        <w:tblInd w:w="70" w:type="dxa"/>
        <w:tblLayout w:type="fixed"/>
        <w:tblCellMar>
          <w:left w:w="70" w:type="dxa"/>
          <w:right w:w="70" w:type="dxa"/>
        </w:tblCellMar>
        <w:tblLook w:val="0000"/>
      </w:tblPr>
      <w:tblGrid>
        <w:gridCol w:w="4394"/>
        <w:gridCol w:w="934"/>
        <w:gridCol w:w="177"/>
        <w:gridCol w:w="967"/>
        <w:gridCol w:w="48"/>
        <w:gridCol w:w="1015"/>
        <w:gridCol w:w="114"/>
        <w:gridCol w:w="913"/>
        <w:gridCol w:w="1251"/>
        <w:gridCol w:w="1103"/>
      </w:tblGrid>
      <w:tr w:rsidR="00565FD5" w:rsidRPr="001131FC" w:rsidTr="00AB62A3">
        <w:trPr>
          <w:trHeight w:val="20"/>
        </w:trPr>
        <w:tc>
          <w:tcPr>
            <w:tcW w:w="2013" w:type="pct"/>
            <w:tcBorders>
              <w:top w:val="single" w:sz="4" w:space="0" w:color="auto"/>
              <w:left w:val="single" w:sz="4" w:space="0" w:color="auto"/>
              <w:bottom w:val="nil"/>
              <w:right w:val="nil"/>
            </w:tcBorders>
            <w:vAlign w:val="bottom"/>
          </w:tcPr>
          <w:bookmarkEnd w:id="396"/>
          <w:bookmarkEnd w:id="397"/>
          <w:p w:rsidR="00565FD5" w:rsidRPr="001131FC" w:rsidRDefault="00565FD5" w:rsidP="00AB62A3">
            <w:pPr>
              <w:jc w:val="right"/>
              <w:rPr>
                <w:rFonts w:cs="Tahoma"/>
                <w:b/>
                <w:bCs/>
                <w:sz w:val="14"/>
                <w:szCs w:val="14"/>
                <w:lang w:eastAsia="tr-TR"/>
              </w:rPr>
            </w:pPr>
            <w:r w:rsidRPr="001131FC">
              <w:rPr>
                <w:rFonts w:cs="Tahoma"/>
                <w:b/>
                <w:bCs/>
                <w:sz w:val="14"/>
                <w:szCs w:val="14"/>
                <w:lang w:eastAsia="tr-TR"/>
              </w:rPr>
              <w:t> </w:t>
            </w:r>
          </w:p>
        </w:tc>
        <w:tc>
          <w:tcPr>
            <w:tcW w:w="428" w:type="pct"/>
            <w:tcBorders>
              <w:top w:val="single" w:sz="4" w:space="0" w:color="auto"/>
              <w:left w:val="nil"/>
              <w:bottom w:val="single" w:sz="8" w:space="0" w:color="auto"/>
              <w:right w:val="nil"/>
            </w:tcBorders>
            <w:vAlign w:val="bottom"/>
          </w:tcPr>
          <w:p w:rsidR="00565FD5" w:rsidRPr="001131FC" w:rsidRDefault="00565FD5" w:rsidP="00AB62A3">
            <w:pPr>
              <w:jc w:val="right"/>
              <w:rPr>
                <w:rFonts w:cs="Tahoma"/>
                <w:b/>
                <w:bCs/>
                <w:sz w:val="14"/>
                <w:szCs w:val="14"/>
                <w:lang w:eastAsia="tr-TR"/>
              </w:rPr>
            </w:pPr>
            <w:r w:rsidRPr="001131FC">
              <w:rPr>
                <w:rFonts w:cs="Tahoma"/>
                <w:b/>
                <w:bCs/>
                <w:sz w:val="14"/>
                <w:szCs w:val="14"/>
                <w:lang w:eastAsia="tr-TR"/>
              </w:rPr>
              <w:t>2011</w:t>
            </w:r>
          </w:p>
        </w:tc>
        <w:tc>
          <w:tcPr>
            <w:tcW w:w="524" w:type="pct"/>
            <w:gridSpan w:val="2"/>
            <w:tcBorders>
              <w:top w:val="single" w:sz="4" w:space="0" w:color="auto"/>
              <w:left w:val="nil"/>
              <w:bottom w:val="single" w:sz="8" w:space="0" w:color="auto"/>
              <w:right w:val="nil"/>
            </w:tcBorders>
            <w:vAlign w:val="bottom"/>
          </w:tcPr>
          <w:p w:rsidR="00565FD5" w:rsidRPr="001131FC" w:rsidRDefault="00565FD5" w:rsidP="00AB62A3">
            <w:pPr>
              <w:jc w:val="right"/>
              <w:rPr>
                <w:rFonts w:cs="Tahoma"/>
                <w:b/>
                <w:bCs/>
                <w:sz w:val="14"/>
                <w:szCs w:val="14"/>
                <w:lang w:eastAsia="tr-TR"/>
              </w:rPr>
            </w:pPr>
            <w:r w:rsidRPr="001131FC">
              <w:rPr>
                <w:rFonts w:cs="Tahoma"/>
                <w:b/>
                <w:bCs/>
                <w:sz w:val="14"/>
                <w:szCs w:val="14"/>
                <w:lang w:eastAsia="tr-TR"/>
              </w:rPr>
              <w:t>2012 (1)</w:t>
            </w:r>
          </w:p>
        </w:tc>
        <w:tc>
          <w:tcPr>
            <w:tcW w:w="539" w:type="pct"/>
            <w:gridSpan w:val="3"/>
            <w:tcBorders>
              <w:top w:val="single" w:sz="4" w:space="0" w:color="auto"/>
              <w:left w:val="nil"/>
              <w:bottom w:val="single" w:sz="8" w:space="0" w:color="auto"/>
              <w:right w:val="nil"/>
            </w:tcBorders>
            <w:vAlign w:val="bottom"/>
          </w:tcPr>
          <w:p w:rsidR="00565FD5" w:rsidRPr="001131FC" w:rsidRDefault="00565FD5" w:rsidP="00AB62A3">
            <w:pPr>
              <w:jc w:val="right"/>
              <w:rPr>
                <w:rFonts w:cs="Tahoma"/>
                <w:b/>
                <w:bCs/>
                <w:sz w:val="14"/>
                <w:szCs w:val="14"/>
                <w:lang w:eastAsia="tr-TR"/>
              </w:rPr>
            </w:pPr>
            <w:r w:rsidRPr="001131FC">
              <w:rPr>
                <w:rFonts w:cs="Tahoma"/>
                <w:b/>
                <w:bCs/>
                <w:sz w:val="14"/>
                <w:szCs w:val="14"/>
                <w:lang w:eastAsia="tr-TR"/>
              </w:rPr>
              <w:t>2013 (2)</w:t>
            </w:r>
          </w:p>
        </w:tc>
        <w:tc>
          <w:tcPr>
            <w:tcW w:w="418" w:type="pct"/>
            <w:tcBorders>
              <w:top w:val="single" w:sz="4" w:space="0" w:color="auto"/>
              <w:left w:val="nil"/>
              <w:bottom w:val="single" w:sz="8" w:space="0" w:color="auto"/>
              <w:right w:val="nil"/>
            </w:tcBorders>
            <w:vAlign w:val="bottom"/>
          </w:tcPr>
          <w:p w:rsidR="00565FD5" w:rsidRPr="001131FC" w:rsidRDefault="00565FD5" w:rsidP="00AB62A3">
            <w:pPr>
              <w:jc w:val="right"/>
              <w:rPr>
                <w:rFonts w:cs="Tahoma"/>
                <w:b/>
                <w:bCs/>
                <w:sz w:val="14"/>
                <w:szCs w:val="14"/>
                <w:lang w:eastAsia="tr-TR"/>
              </w:rPr>
            </w:pPr>
            <w:r w:rsidRPr="001131FC">
              <w:rPr>
                <w:rFonts w:cs="Tahoma"/>
                <w:b/>
                <w:bCs/>
                <w:sz w:val="14"/>
                <w:szCs w:val="14"/>
                <w:lang w:eastAsia="tr-TR"/>
              </w:rPr>
              <w:t>2011</w:t>
            </w:r>
          </w:p>
        </w:tc>
        <w:tc>
          <w:tcPr>
            <w:tcW w:w="573" w:type="pct"/>
            <w:tcBorders>
              <w:top w:val="single" w:sz="4" w:space="0" w:color="auto"/>
              <w:left w:val="nil"/>
              <w:bottom w:val="single" w:sz="8" w:space="0" w:color="auto"/>
              <w:right w:val="nil"/>
            </w:tcBorders>
            <w:vAlign w:val="bottom"/>
          </w:tcPr>
          <w:p w:rsidR="00565FD5" w:rsidRPr="001131FC" w:rsidRDefault="00565FD5" w:rsidP="00AB62A3">
            <w:pPr>
              <w:jc w:val="right"/>
              <w:rPr>
                <w:rFonts w:cs="Tahoma"/>
                <w:b/>
                <w:bCs/>
                <w:sz w:val="14"/>
                <w:szCs w:val="14"/>
                <w:lang w:eastAsia="tr-TR"/>
              </w:rPr>
            </w:pPr>
            <w:r w:rsidRPr="001131FC">
              <w:rPr>
                <w:rFonts w:cs="Tahoma"/>
                <w:b/>
                <w:bCs/>
                <w:sz w:val="14"/>
                <w:szCs w:val="14"/>
                <w:lang w:eastAsia="tr-TR"/>
              </w:rPr>
              <w:t>2012 (1)</w:t>
            </w:r>
          </w:p>
        </w:tc>
        <w:tc>
          <w:tcPr>
            <w:tcW w:w="505" w:type="pct"/>
            <w:tcBorders>
              <w:top w:val="single" w:sz="4" w:space="0" w:color="auto"/>
              <w:left w:val="nil"/>
              <w:bottom w:val="single" w:sz="8" w:space="0" w:color="auto"/>
              <w:right w:val="single" w:sz="4" w:space="0" w:color="auto"/>
            </w:tcBorders>
            <w:vAlign w:val="bottom"/>
          </w:tcPr>
          <w:p w:rsidR="00565FD5" w:rsidRPr="001131FC" w:rsidRDefault="00565FD5" w:rsidP="00AB62A3">
            <w:pPr>
              <w:jc w:val="right"/>
              <w:rPr>
                <w:rFonts w:cs="Tahoma"/>
                <w:b/>
                <w:bCs/>
                <w:sz w:val="14"/>
                <w:szCs w:val="14"/>
                <w:lang w:eastAsia="tr-TR"/>
              </w:rPr>
            </w:pPr>
            <w:r w:rsidRPr="001131FC">
              <w:rPr>
                <w:rFonts w:cs="Tahoma"/>
                <w:b/>
                <w:bCs/>
                <w:sz w:val="14"/>
                <w:szCs w:val="14"/>
                <w:lang w:eastAsia="tr-TR"/>
              </w:rPr>
              <w:t>2013 (2)</w:t>
            </w:r>
          </w:p>
        </w:tc>
      </w:tr>
      <w:tr w:rsidR="00565FD5" w:rsidRPr="001131FC" w:rsidTr="00AB62A3">
        <w:trPr>
          <w:trHeight w:val="20"/>
        </w:trPr>
        <w:tc>
          <w:tcPr>
            <w:tcW w:w="2013" w:type="pct"/>
            <w:tcBorders>
              <w:top w:val="nil"/>
              <w:left w:val="single" w:sz="4" w:space="0" w:color="auto"/>
              <w:bottom w:val="single" w:sz="8" w:space="0" w:color="auto"/>
              <w:right w:val="nil"/>
            </w:tcBorders>
            <w:vAlign w:val="bottom"/>
          </w:tcPr>
          <w:p w:rsidR="00565FD5" w:rsidRPr="001131FC" w:rsidRDefault="00565FD5" w:rsidP="00AB62A3">
            <w:pPr>
              <w:rPr>
                <w:rFonts w:cs="Tahoma"/>
                <w:b/>
                <w:bCs/>
                <w:sz w:val="14"/>
                <w:szCs w:val="14"/>
                <w:lang w:eastAsia="tr-TR"/>
              </w:rPr>
            </w:pPr>
            <w:r w:rsidRPr="001131FC">
              <w:rPr>
                <w:rFonts w:cs="Tahoma"/>
                <w:b/>
                <w:bCs/>
                <w:sz w:val="14"/>
                <w:szCs w:val="14"/>
                <w:lang w:eastAsia="tr-TR"/>
              </w:rPr>
              <w:t> </w:t>
            </w:r>
          </w:p>
        </w:tc>
        <w:tc>
          <w:tcPr>
            <w:tcW w:w="1491" w:type="pct"/>
            <w:gridSpan w:val="6"/>
            <w:tcBorders>
              <w:top w:val="single" w:sz="8" w:space="0" w:color="auto"/>
              <w:left w:val="nil"/>
              <w:bottom w:val="single" w:sz="8" w:space="0" w:color="auto"/>
              <w:right w:val="nil"/>
            </w:tcBorders>
            <w:vAlign w:val="bottom"/>
          </w:tcPr>
          <w:p w:rsidR="00565FD5" w:rsidRPr="001131FC" w:rsidRDefault="00565FD5" w:rsidP="00AB62A3">
            <w:pPr>
              <w:jc w:val="center"/>
              <w:rPr>
                <w:rFonts w:cs="Tahoma"/>
                <w:b/>
                <w:bCs/>
                <w:sz w:val="14"/>
                <w:szCs w:val="14"/>
                <w:lang w:eastAsia="tr-TR"/>
              </w:rPr>
            </w:pPr>
            <w:r w:rsidRPr="001131FC">
              <w:rPr>
                <w:rFonts w:cs="Tahoma"/>
                <w:b/>
                <w:bCs/>
                <w:sz w:val="14"/>
                <w:szCs w:val="14"/>
                <w:lang w:eastAsia="tr-TR"/>
              </w:rPr>
              <w:t>(Cari Fiyatlarla, Milyon TL)</w:t>
            </w:r>
          </w:p>
        </w:tc>
        <w:tc>
          <w:tcPr>
            <w:tcW w:w="1496" w:type="pct"/>
            <w:gridSpan w:val="3"/>
            <w:tcBorders>
              <w:top w:val="single" w:sz="8" w:space="0" w:color="auto"/>
              <w:left w:val="nil"/>
              <w:bottom w:val="single" w:sz="8" w:space="0" w:color="auto"/>
              <w:right w:val="single" w:sz="4" w:space="0" w:color="auto"/>
            </w:tcBorders>
            <w:vAlign w:val="bottom"/>
          </w:tcPr>
          <w:p w:rsidR="00565FD5" w:rsidRPr="001131FC" w:rsidRDefault="00565FD5" w:rsidP="00AB62A3">
            <w:pPr>
              <w:jc w:val="center"/>
              <w:rPr>
                <w:rFonts w:cs="Tahoma"/>
                <w:b/>
                <w:bCs/>
                <w:sz w:val="14"/>
                <w:szCs w:val="14"/>
                <w:lang w:eastAsia="tr-TR"/>
              </w:rPr>
            </w:pPr>
            <w:r w:rsidRPr="001131FC">
              <w:rPr>
                <w:rFonts w:cs="Tahoma"/>
                <w:b/>
                <w:bCs/>
                <w:sz w:val="14"/>
                <w:szCs w:val="14"/>
                <w:lang w:eastAsia="tr-TR"/>
              </w:rPr>
              <w:t>(GSYH İçindeki Paylar, Yüzde)</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b/>
                <w:bCs/>
                <w:sz w:val="14"/>
                <w:szCs w:val="14"/>
                <w:lang w:eastAsia="tr-TR"/>
              </w:rPr>
            </w:pPr>
            <w:r w:rsidRPr="001131FC">
              <w:rPr>
                <w:rFonts w:cs="Tahoma"/>
                <w:b/>
                <w:bCs/>
                <w:sz w:val="14"/>
                <w:szCs w:val="14"/>
                <w:lang w:eastAsia="tr-TR"/>
              </w:rPr>
              <w:t>Toplam Tüketim</w:t>
            </w:r>
          </w:p>
        </w:tc>
        <w:tc>
          <w:tcPr>
            <w:tcW w:w="428"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1 100 514</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1 220 156</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1 324 576</w:t>
            </w:r>
          </w:p>
        </w:tc>
        <w:tc>
          <w:tcPr>
            <w:tcW w:w="418"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84,8</w:t>
            </w:r>
          </w:p>
        </w:tc>
        <w:tc>
          <w:tcPr>
            <w:tcW w:w="573"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85,0</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
                <w:bCs/>
                <w:sz w:val="14"/>
                <w:szCs w:val="14"/>
              </w:rPr>
            </w:pPr>
            <w:r w:rsidRPr="001131FC">
              <w:rPr>
                <w:rFonts w:cs="Tahoma"/>
                <w:b/>
                <w:bCs/>
                <w:sz w:val="14"/>
                <w:szCs w:val="14"/>
              </w:rPr>
              <w:t>84,3</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t xml:space="preserve">    Kamu</w:t>
            </w:r>
          </w:p>
        </w:tc>
        <w:tc>
          <w:tcPr>
            <w:tcW w:w="428" w:type="pct"/>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139 845</w:t>
            </w:r>
          </w:p>
        </w:tc>
        <w:tc>
          <w:tcPr>
            <w:tcW w:w="524" w:type="pct"/>
            <w:gridSpan w:val="2"/>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166 042</w:t>
            </w:r>
          </w:p>
        </w:tc>
        <w:tc>
          <w:tcPr>
            <w:tcW w:w="539" w:type="pct"/>
            <w:gridSpan w:val="3"/>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184 001</w:t>
            </w:r>
          </w:p>
        </w:tc>
        <w:tc>
          <w:tcPr>
            <w:tcW w:w="41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10,8</w:t>
            </w:r>
          </w:p>
        </w:tc>
        <w:tc>
          <w:tcPr>
            <w:tcW w:w="573"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11,6</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Cs/>
                <w:sz w:val="14"/>
                <w:szCs w:val="14"/>
              </w:rPr>
            </w:pPr>
            <w:r w:rsidRPr="001131FC">
              <w:rPr>
                <w:rFonts w:cs="Tahoma"/>
                <w:bCs/>
                <w:sz w:val="14"/>
                <w:szCs w:val="14"/>
              </w:rPr>
              <w:t>11,7</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t xml:space="preserve">    Özel</w:t>
            </w:r>
          </w:p>
        </w:tc>
        <w:tc>
          <w:tcPr>
            <w:tcW w:w="428" w:type="pct"/>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960 669</w:t>
            </w:r>
          </w:p>
        </w:tc>
        <w:tc>
          <w:tcPr>
            <w:tcW w:w="524" w:type="pct"/>
            <w:gridSpan w:val="2"/>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1 054 114</w:t>
            </w:r>
          </w:p>
        </w:tc>
        <w:tc>
          <w:tcPr>
            <w:tcW w:w="539" w:type="pct"/>
            <w:gridSpan w:val="3"/>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1 140 575</w:t>
            </w:r>
          </w:p>
        </w:tc>
        <w:tc>
          <w:tcPr>
            <w:tcW w:w="41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74,0</w:t>
            </w:r>
          </w:p>
        </w:tc>
        <w:tc>
          <w:tcPr>
            <w:tcW w:w="573"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73,5</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Cs/>
                <w:sz w:val="14"/>
                <w:szCs w:val="14"/>
              </w:rPr>
            </w:pPr>
            <w:r w:rsidRPr="001131FC">
              <w:rPr>
                <w:rFonts w:cs="Tahoma"/>
                <w:bCs/>
                <w:sz w:val="14"/>
                <w:szCs w:val="14"/>
              </w:rPr>
              <w:t>72,6</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b/>
                <w:bCs/>
                <w:sz w:val="14"/>
                <w:szCs w:val="14"/>
                <w:lang w:eastAsia="tr-TR"/>
              </w:rPr>
            </w:pPr>
            <w:r w:rsidRPr="001131FC">
              <w:rPr>
                <w:rFonts w:cs="Tahoma"/>
                <w:b/>
                <w:bCs/>
                <w:sz w:val="14"/>
                <w:szCs w:val="14"/>
                <w:lang w:eastAsia="tr-TR"/>
              </w:rPr>
              <w:t>Toplam Yatırım</w:t>
            </w:r>
          </w:p>
        </w:tc>
        <w:tc>
          <w:tcPr>
            <w:tcW w:w="428"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312 994</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306 601</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342 686</w:t>
            </w:r>
          </w:p>
        </w:tc>
        <w:tc>
          <w:tcPr>
            <w:tcW w:w="418"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24,1</w:t>
            </w:r>
          </w:p>
        </w:tc>
        <w:tc>
          <w:tcPr>
            <w:tcW w:w="573"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21,4</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
                <w:bCs/>
                <w:sz w:val="14"/>
                <w:szCs w:val="14"/>
              </w:rPr>
            </w:pPr>
            <w:r w:rsidRPr="001131FC">
              <w:rPr>
                <w:rFonts w:cs="Tahoma"/>
                <w:b/>
                <w:bCs/>
                <w:sz w:val="14"/>
                <w:szCs w:val="14"/>
              </w:rPr>
              <w:t>21,8</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t xml:space="preserve">    Kamu</w:t>
            </w:r>
          </w:p>
        </w:tc>
        <w:tc>
          <w:tcPr>
            <w:tcW w:w="428" w:type="pct"/>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53 339</w:t>
            </w:r>
          </w:p>
        </w:tc>
        <w:tc>
          <w:tcPr>
            <w:tcW w:w="524" w:type="pct"/>
            <w:gridSpan w:val="2"/>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63 007</w:t>
            </w:r>
          </w:p>
        </w:tc>
        <w:tc>
          <w:tcPr>
            <w:tcW w:w="539" w:type="pct"/>
            <w:gridSpan w:val="3"/>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68 611</w:t>
            </w:r>
          </w:p>
        </w:tc>
        <w:tc>
          <w:tcPr>
            <w:tcW w:w="41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4,1</w:t>
            </w:r>
          </w:p>
        </w:tc>
        <w:tc>
          <w:tcPr>
            <w:tcW w:w="573"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4,4</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Cs/>
                <w:sz w:val="14"/>
                <w:szCs w:val="14"/>
              </w:rPr>
            </w:pPr>
            <w:r w:rsidRPr="001131FC">
              <w:rPr>
                <w:rFonts w:cs="Tahoma"/>
                <w:bCs/>
                <w:sz w:val="14"/>
                <w:szCs w:val="14"/>
              </w:rPr>
              <w:t>4,4</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t xml:space="preserve">    Özel</w:t>
            </w:r>
          </w:p>
        </w:tc>
        <w:tc>
          <w:tcPr>
            <w:tcW w:w="428" w:type="pct"/>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259 655</w:t>
            </w:r>
          </w:p>
        </w:tc>
        <w:tc>
          <w:tcPr>
            <w:tcW w:w="524" w:type="pct"/>
            <w:gridSpan w:val="2"/>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243 594</w:t>
            </w:r>
          </w:p>
        </w:tc>
        <w:tc>
          <w:tcPr>
            <w:tcW w:w="539" w:type="pct"/>
            <w:gridSpan w:val="3"/>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274 075</w:t>
            </w:r>
          </w:p>
        </w:tc>
        <w:tc>
          <w:tcPr>
            <w:tcW w:w="41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20,0</w:t>
            </w:r>
          </w:p>
        </w:tc>
        <w:tc>
          <w:tcPr>
            <w:tcW w:w="573"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17,0</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Cs/>
                <w:sz w:val="14"/>
                <w:szCs w:val="14"/>
              </w:rPr>
            </w:pPr>
            <w:r w:rsidRPr="001131FC">
              <w:rPr>
                <w:rFonts w:cs="Tahoma"/>
                <w:bCs/>
                <w:sz w:val="14"/>
                <w:szCs w:val="14"/>
              </w:rPr>
              <w:t>17,4</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b/>
                <w:bCs/>
                <w:sz w:val="14"/>
                <w:szCs w:val="14"/>
                <w:lang w:eastAsia="tr-TR"/>
              </w:rPr>
            </w:pPr>
            <w:r w:rsidRPr="001131FC">
              <w:rPr>
                <w:rFonts w:cs="Tahoma"/>
                <w:b/>
                <w:bCs/>
                <w:sz w:val="14"/>
                <w:szCs w:val="14"/>
                <w:lang w:eastAsia="tr-TR"/>
              </w:rPr>
              <w:t xml:space="preserve"> Sabit Sermaye Yatırımı </w:t>
            </w:r>
          </w:p>
        </w:tc>
        <w:tc>
          <w:tcPr>
            <w:tcW w:w="428"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286 629</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319 042</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358 216</w:t>
            </w:r>
          </w:p>
        </w:tc>
        <w:tc>
          <w:tcPr>
            <w:tcW w:w="418"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22,1</w:t>
            </w:r>
          </w:p>
        </w:tc>
        <w:tc>
          <w:tcPr>
            <w:tcW w:w="573"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22,2</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
                <w:bCs/>
                <w:sz w:val="14"/>
                <w:szCs w:val="14"/>
              </w:rPr>
            </w:pPr>
            <w:r w:rsidRPr="001131FC">
              <w:rPr>
                <w:rFonts w:cs="Tahoma"/>
                <w:b/>
                <w:bCs/>
                <w:sz w:val="14"/>
                <w:szCs w:val="14"/>
              </w:rPr>
              <w:t>22,8</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t xml:space="preserve">    Kamu</w:t>
            </w:r>
          </w:p>
        </w:tc>
        <w:tc>
          <w:tcPr>
            <w:tcW w:w="428" w:type="pct"/>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53 247</w:t>
            </w:r>
          </w:p>
        </w:tc>
        <w:tc>
          <w:tcPr>
            <w:tcW w:w="524" w:type="pct"/>
            <w:gridSpan w:val="2"/>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61 832</w:t>
            </w:r>
          </w:p>
        </w:tc>
        <w:tc>
          <w:tcPr>
            <w:tcW w:w="539" w:type="pct"/>
            <w:gridSpan w:val="3"/>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68 301</w:t>
            </w:r>
          </w:p>
        </w:tc>
        <w:tc>
          <w:tcPr>
            <w:tcW w:w="41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4,1</w:t>
            </w:r>
          </w:p>
        </w:tc>
        <w:tc>
          <w:tcPr>
            <w:tcW w:w="573"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4,3</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Cs/>
                <w:sz w:val="14"/>
                <w:szCs w:val="14"/>
              </w:rPr>
            </w:pPr>
            <w:r w:rsidRPr="001131FC">
              <w:rPr>
                <w:rFonts w:cs="Tahoma"/>
                <w:bCs/>
                <w:sz w:val="14"/>
                <w:szCs w:val="14"/>
              </w:rPr>
              <w:t>4,3</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t xml:space="preserve">    Özel</w:t>
            </w:r>
          </w:p>
        </w:tc>
        <w:tc>
          <w:tcPr>
            <w:tcW w:w="428" w:type="pct"/>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233 382</w:t>
            </w:r>
          </w:p>
        </w:tc>
        <w:tc>
          <w:tcPr>
            <w:tcW w:w="524" w:type="pct"/>
            <w:gridSpan w:val="2"/>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257 210</w:t>
            </w:r>
          </w:p>
        </w:tc>
        <w:tc>
          <w:tcPr>
            <w:tcW w:w="539" w:type="pct"/>
            <w:gridSpan w:val="3"/>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289 915</w:t>
            </w:r>
          </w:p>
        </w:tc>
        <w:tc>
          <w:tcPr>
            <w:tcW w:w="41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18,0</w:t>
            </w:r>
          </w:p>
        </w:tc>
        <w:tc>
          <w:tcPr>
            <w:tcW w:w="573"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17,9</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Cs/>
                <w:sz w:val="14"/>
                <w:szCs w:val="14"/>
              </w:rPr>
            </w:pPr>
            <w:r w:rsidRPr="001131FC">
              <w:rPr>
                <w:rFonts w:cs="Tahoma"/>
                <w:bCs/>
                <w:sz w:val="14"/>
                <w:szCs w:val="14"/>
              </w:rPr>
              <w:t>18,5</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b/>
                <w:bCs/>
                <w:sz w:val="14"/>
                <w:szCs w:val="14"/>
                <w:lang w:eastAsia="tr-TR"/>
              </w:rPr>
            </w:pPr>
            <w:r w:rsidRPr="001131FC">
              <w:rPr>
                <w:rFonts w:cs="Tahoma"/>
                <w:b/>
                <w:bCs/>
                <w:sz w:val="14"/>
                <w:szCs w:val="14"/>
                <w:lang w:eastAsia="tr-TR"/>
              </w:rPr>
              <w:t xml:space="preserve"> Stok Değişmesi </w:t>
            </w:r>
          </w:p>
        </w:tc>
        <w:tc>
          <w:tcPr>
            <w:tcW w:w="428"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26 365</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-12 441</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-15 530</w:t>
            </w:r>
          </w:p>
        </w:tc>
        <w:tc>
          <w:tcPr>
            <w:tcW w:w="418"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2,0</w:t>
            </w:r>
          </w:p>
        </w:tc>
        <w:tc>
          <w:tcPr>
            <w:tcW w:w="573"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-0,9</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
                <w:bCs/>
                <w:sz w:val="14"/>
                <w:szCs w:val="14"/>
              </w:rPr>
            </w:pPr>
            <w:r w:rsidRPr="001131FC">
              <w:rPr>
                <w:rFonts w:cs="Tahoma"/>
                <w:b/>
                <w:bCs/>
                <w:sz w:val="14"/>
                <w:szCs w:val="14"/>
              </w:rPr>
              <w:t>-1,0</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t xml:space="preserve">    Kamu</w:t>
            </w:r>
          </w:p>
        </w:tc>
        <w:tc>
          <w:tcPr>
            <w:tcW w:w="428" w:type="pct"/>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92</w:t>
            </w:r>
          </w:p>
        </w:tc>
        <w:tc>
          <w:tcPr>
            <w:tcW w:w="524" w:type="pct"/>
            <w:gridSpan w:val="2"/>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1 175</w:t>
            </w:r>
          </w:p>
        </w:tc>
        <w:tc>
          <w:tcPr>
            <w:tcW w:w="539" w:type="pct"/>
            <w:gridSpan w:val="3"/>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310</w:t>
            </w:r>
          </w:p>
        </w:tc>
        <w:tc>
          <w:tcPr>
            <w:tcW w:w="41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0,0</w:t>
            </w:r>
          </w:p>
        </w:tc>
        <w:tc>
          <w:tcPr>
            <w:tcW w:w="573"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0,1</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Cs/>
                <w:sz w:val="14"/>
                <w:szCs w:val="14"/>
              </w:rPr>
            </w:pPr>
            <w:r w:rsidRPr="001131FC">
              <w:rPr>
                <w:rFonts w:cs="Tahoma"/>
                <w:bCs/>
                <w:sz w:val="14"/>
                <w:szCs w:val="14"/>
              </w:rPr>
              <w:t>0,0</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t xml:space="preserve">    Özel</w:t>
            </w:r>
          </w:p>
        </w:tc>
        <w:tc>
          <w:tcPr>
            <w:tcW w:w="428" w:type="pct"/>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26 272</w:t>
            </w:r>
          </w:p>
        </w:tc>
        <w:tc>
          <w:tcPr>
            <w:tcW w:w="524" w:type="pct"/>
            <w:gridSpan w:val="2"/>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-13 616</w:t>
            </w:r>
          </w:p>
        </w:tc>
        <w:tc>
          <w:tcPr>
            <w:tcW w:w="539" w:type="pct"/>
            <w:gridSpan w:val="3"/>
            <w:tcBorders>
              <w:top w:val="nil"/>
              <w:left w:val="nil"/>
              <w:bottom w:val="nil"/>
              <w:right w:val="nil"/>
            </w:tcBorders>
            <w:vAlign w:val="bottom"/>
          </w:tcPr>
          <w:p w:rsidR="00565FD5" w:rsidRPr="001131FC" w:rsidRDefault="00565FD5" w:rsidP="00AB62A3">
            <w:pPr>
              <w:jc w:val="right"/>
              <w:rPr>
                <w:rFonts w:cs="Tahoma"/>
                <w:sz w:val="14"/>
                <w:szCs w:val="14"/>
              </w:rPr>
            </w:pPr>
            <w:r w:rsidRPr="001131FC">
              <w:rPr>
                <w:rFonts w:cs="Tahoma"/>
                <w:sz w:val="14"/>
                <w:szCs w:val="14"/>
              </w:rPr>
              <w:t>-15 840</w:t>
            </w:r>
          </w:p>
        </w:tc>
        <w:tc>
          <w:tcPr>
            <w:tcW w:w="41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2,0</w:t>
            </w:r>
          </w:p>
        </w:tc>
        <w:tc>
          <w:tcPr>
            <w:tcW w:w="573"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-0,9</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Cs/>
                <w:sz w:val="14"/>
                <w:szCs w:val="14"/>
              </w:rPr>
            </w:pPr>
            <w:r w:rsidRPr="001131FC">
              <w:rPr>
                <w:rFonts w:cs="Tahoma"/>
                <w:bCs/>
                <w:sz w:val="14"/>
                <w:szCs w:val="14"/>
              </w:rPr>
              <w:t>-1,0</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b/>
                <w:bCs/>
                <w:sz w:val="14"/>
                <w:szCs w:val="14"/>
                <w:lang w:eastAsia="tr-TR"/>
              </w:rPr>
            </w:pPr>
            <w:r w:rsidRPr="001131FC">
              <w:rPr>
                <w:rFonts w:cs="Tahoma"/>
                <w:b/>
                <w:bCs/>
                <w:sz w:val="14"/>
                <w:szCs w:val="14"/>
                <w:lang w:eastAsia="tr-TR"/>
              </w:rPr>
              <w:t xml:space="preserve">Toplam </w:t>
            </w:r>
            <w:r>
              <w:rPr>
                <w:rFonts w:cs="Tahoma"/>
                <w:b/>
                <w:bCs/>
                <w:sz w:val="14"/>
                <w:szCs w:val="14"/>
                <w:lang w:eastAsia="tr-TR"/>
              </w:rPr>
              <w:t>Yurtiçi</w:t>
            </w:r>
            <w:r w:rsidRPr="001131FC">
              <w:rPr>
                <w:rFonts w:cs="Tahoma"/>
                <w:b/>
                <w:bCs/>
                <w:sz w:val="14"/>
                <w:szCs w:val="14"/>
                <w:lang w:eastAsia="tr-TR"/>
              </w:rPr>
              <w:t xml:space="preserve"> Talep (Toplam Kaynaklar)</w:t>
            </w:r>
          </w:p>
        </w:tc>
        <w:tc>
          <w:tcPr>
            <w:tcW w:w="428"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1 413 507</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1 526 757</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1 667 262</w:t>
            </w:r>
          </w:p>
        </w:tc>
        <w:tc>
          <w:tcPr>
            <w:tcW w:w="418"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108,9</w:t>
            </w:r>
          </w:p>
        </w:tc>
        <w:tc>
          <w:tcPr>
            <w:tcW w:w="573"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106,4</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
                <w:bCs/>
                <w:sz w:val="14"/>
                <w:szCs w:val="14"/>
              </w:rPr>
            </w:pPr>
            <w:r w:rsidRPr="001131FC">
              <w:rPr>
                <w:rFonts w:cs="Tahoma"/>
                <w:b/>
                <w:bCs/>
                <w:sz w:val="14"/>
                <w:szCs w:val="14"/>
              </w:rPr>
              <w:t>106,1</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t> </w:t>
            </w:r>
          </w:p>
        </w:tc>
        <w:tc>
          <w:tcPr>
            <w:tcW w:w="509" w:type="pct"/>
            <w:gridSpan w:val="2"/>
            <w:tcBorders>
              <w:top w:val="nil"/>
              <w:left w:val="nil"/>
              <w:bottom w:val="nil"/>
              <w:right w:val="nil"/>
            </w:tcBorders>
            <w:vAlign w:val="bottom"/>
          </w:tcPr>
          <w:p w:rsidR="00565FD5" w:rsidRPr="001131FC" w:rsidRDefault="00565FD5" w:rsidP="00AB62A3">
            <w:pPr>
              <w:jc w:val="center"/>
              <w:rPr>
                <w:rFonts w:cs="Tahoma"/>
                <w:b/>
                <w:bCs/>
                <w:sz w:val="14"/>
                <w:szCs w:val="14"/>
                <w:lang w:eastAsia="tr-TR"/>
              </w:rPr>
            </w:pPr>
          </w:p>
        </w:tc>
        <w:tc>
          <w:tcPr>
            <w:tcW w:w="465" w:type="pct"/>
            <w:gridSpan w:val="2"/>
            <w:tcBorders>
              <w:top w:val="nil"/>
              <w:left w:val="nil"/>
              <w:bottom w:val="nil"/>
              <w:right w:val="nil"/>
            </w:tcBorders>
            <w:vAlign w:val="bottom"/>
          </w:tcPr>
          <w:p w:rsidR="00565FD5" w:rsidRPr="001131FC" w:rsidRDefault="00565FD5" w:rsidP="00AB62A3">
            <w:pPr>
              <w:jc w:val="center"/>
              <w:rPr>
                <w:rFonts w:cs="Tahoma"/>
                <w:b/>
                <w:bCs/>
                <w:sz w:val="14"/>
                <w:szCs w:val="14"/>
                <w:lang w:eastAsia="tr-TR"/>
              </w:rPr>
            </w:pPr>
          </w:p>
        </w:tc>
        <w:tc>
          <w:tcPr>
            <w:tcW w:w="465" w:type="pct"/>
            <w:tcBorders>
              <w:top w:val="nil"/>
              <w:left w:val="nil"/>
              <w:bottom w:val="nil"/>
              <w:right w:val="nil"/>
            </w:tcBorders>
            <w:vAlign w:val="bottom"/>
          </w:tcPr>
          <w:p w:rsidR="00565FD5" w:rsidRPr="001131FC" w:rsidRDefault="00565FD5" w:rsidP="00AB62A3">
            <w:pPr>
              <w:jc w:val="center"/>
              <w:rPr>
                <w:rFonts w:cs="Tahoma"/>
                <w:b/>
                <w:bCs/>
                <w:sz w:val="14"/>
                <w:szCs w:val="14"/>
                <w:lang w:eastAsia="tr-TR"/>
              </w:rPr>
            </w:pPr>
          </w:p>
        </w:tc>
        <w:tc>
          <w:tcPr>
            <w:tcW w:w="1549" w:type="pct"/>
            <w:gridSpan w:val="4"/>
            <w:tcBorders>
              <w:top w:val="nil"/>
              <w:left w:val="nil"/>
              <w:bottom w:val="nil"/>
              <w:right w:val="single" w:sz="4" w:space="0" w:color="auto"/>
            </w:tcBorders>
            <w:vAlign w:val="bottom"/>
          </w:tcPr>
          <w:p w:rsidR="00565FD5" w:rsidRPr="001131FC" w:rsidRDefault="00565FD5" w:rsidP="00AB62A3">
            <w:pPr>
              <w:jc w:val="right"/>
              <w:rPr>
                <w:rFonts w:cs="Tahoma"/>
                <w:sz w:val="14"/>
                <w:szCs w:val="14"/>
              </w:rPr>
            </w:pP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b/>
                <w:bCs/>
                <w:sz w:val="14"/>
                <w:szCs w:val="14"/>
                <w:lang w:eastAsia="tr-TR"/>
              </w:rPr>
            </w:pPr>
            <w:r w:rsidRPr="001131FC">
              <w:rPr>
                <w:rFonts w:cs="Tahoma"/>
                <w:b/>
                <w:bCs/>
                <w:sz w:val="14"/>
                <w:szCs w:val="14"/>
                <w:lang w:eastAsia="tr-TR"/>
              </w:rPr>
              <w:t>Net Mal ve Hizmet İhracatı</w:t>
            </w:r>
          </w:p>
        </w:tc>
        <w:tc>
          <w:tcPr>
            <w:tcW w:w="428"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-115 445</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-92 045</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-96 081</w:t>
            </w:r>
          </w:p>
        </w:tc>
        <w:tc>
          <w:tcPr>
            <w:tcW w:w="418"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-8,9</w:t>
            </w:r>
          </w:p>
        </w:tc>
        <w:tc>
          <w:tcPr>
            <w:tcW w:w="573"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-6,4</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
                <w:bCs/>
                <w:sz w:val="14"/>
                <w:szCs w:val="14"/>
              </w:rPr>
            </w:pPr>
            <w:r w:rsidRPr="001131FC">
              <w:rPr>
                <w:rFonts w:cs="Tahoma"/>
                <w:b/>
                <w:bCs/>
                <w:sz w:val="14"/>
                <w:szCs w:val="14"/>
              </w:rPr>
              <w:t>-6,1</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lastRenderedPageBreak/>
              <w:t xml:space="preserve">   Mal ve Hizmet İhracatı</w:t>
            </w:r>
          </w:p>
        </w:tc>
        <w:tc>
          <w:tcPr>
            <w:tcW w:w="42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308 171</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362 020</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392 842</w:t>
            </w:r>
          </w:p>
        </w:tc>
        <w:tc>
          <w:tcPr>
            <w:tcW w:w="41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23,7</w:t>
            </w:r>
          </w:p>
        </w:tc>
        <w:tc>
          <w:tcPr>
            <w:tcW w:w="573"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25,2</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Cs/>
                <w:sz w:val="14"/>
                <w:szCs w:val="14"/>
              </w:rPr>
            </w:pPr>
            <w:r w:rsidRPr="001131FC">
              <w:rPr>
                <w:rFonts w:cs="Tahoma"/>
                <w:bCs/>
                <w:sz w:val="14"/>
                <w:szCs w:val="14"/>
              </w:rPr>
              <w:t>25,0</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t xml:space="preserve">   Mal ve Hizmet İthalatı</w:t>
            </w:r>
          </w:p>
        </w:tc>
        <w:tc>
          <w:tcPr>
            <w:tcW w:w="42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423 616</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454 065</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488 923</w:t>
            </w:r>
          </w:p>
        </w:tc>
        <w:tc>
          <w:tcPr>
            <w:tcW w:w="41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32,6</w:t>
            </w:r>
          </w:p>
        </w:tc>
        <w:tc>
          <w:tcPr>
            <w:tcW w:w="573"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31,6</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Cs/>
                <w:sz w:val="14"/>
                <w:szCs w:val="14"/>
              </w:rPr>
            </w:pPr>
            <w:r w:rsidRPr="001131FC">
              <w:rPr>
                <w:rFonts w:cs="Tahoma"/>
                <w:bCs/>
                <w:sz w:val="14"/>
                <w:szCs w:val="14"/>
              </w:rPr>
              <w:t>31,1</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b/>
                <w:bCs/>
                <w:sz w:val="14"/>
                <w:szCs w:val="14"/>
                <w:lang w:eastAsia="tr-TR"/>
              </w:rPr>
            </w:pPr>
            <w:r w:rsidRPr="001131FC">
              <w:rPr>
                <w:rFonts w:cs="Tahoma"/>
                <w:b/>
                <w:bCs/>
                <w:sz w:val="14"/>
                <w:szCs w:val="14"/>
                <w:lang w:eastAsia="tr-TR"/>
              </w:rPr>
              <w:t xml:space="preserve">GAYRİ SAFİ YURTİÇİ HASILA (GSYH) </w:t>
            </w:r>
          </w:p>
        </w:tc>
        <w:tc>
          <w:tcPr>
            <w:tcW w:w="428"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1 298 062</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1 434 712</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1 571 181</w:t>
            </w:r>
          </w:p>
        </w:tc>
        <w:tc>
          <w:tcPr>
            <w:tcW w:w="418"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100,0</w:t>
            </w:r>
          </w:p>
        </w:tc>
        <w:tc>
          <w:tcPr>
            <w:tcW w:w="573"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100,0</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
                <w:bCs/>
                <w:sz w:val="14"/>
                <w:szCs w:val="14"/>
              </w:rPr>
            </w:pPr>
            <w:r w:rsidRPr="001131FC">
              <w:rPr>
                <w:rFonts w:cs="Tahoma"/>
                <w:b/>
                <w:bCs/>
                <w:sz w:val="14"/>
                <w:szCs w:val="14"/>
              </w:rPr>
              <w:t>100,0</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t xml:space="preserve">   Net Faktör Gelirleri</w:t>
            </w:r>
          </w:p>
        </w:tc>
        <w:tc>
          <w:tcPr>
            <w:tcW w:w="42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-13 255</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-12 531</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-14 417</w:t>
            </w:r>
          </w:p>
        </w:tc>
        <w:tc>
          <w:tcPr>
            <w:tcW w:w="41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-1,0</w:t>
            </w:r>
          </w:p>
        </w:tc>
        <w:tc>
          <w:tcPr>
            <w:tcW w:w="573"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-0,9</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Cs/>
                <w:sz w:val="14"/>
                <w:szCs w:val="14"/>
              </w:rPr>
            </w:pPr>
            <w:r w:rsidRPr="001131FC">
              <w:rPr>
                <w:rFonts w:cs="Tahoma"/>
                <w:bCs/>
                <w:sz w:val="14"/>
                <w:szCs w:val="14"/>
              </w:rPr>
              <w:t>-0,9</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t xml:space="preserve">   Net Dış Âlem Cari Transferleri</w:t>
            </w:r>
          </w:p>
        </w:tc>
        <w:tc>
          <w:tcPr>
            <w:tcW w:w="42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2 903</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2 924</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3 350</w:t>
            </w:r>
          </w:p>
        </w:tc>
        <w:tc>
          <w:tcPr>
            <w:tcW w:w="41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0,2</w:t>
            </w:r>
          </w:p>
        </w:tc>
        <w:tc>
          <w:tcPr>
            <w:tcW w:w="573"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0,2</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Cs/>
                <w:sz w:val="14"/>
                <w:szCs w:val="14"/>
              </w:rPr>
            </w:pPr>
            <w:r w:rsidRPr="001131FC">
              <w:rPr>
                <w:rFonts w:cs="Tahoma"/>
                <w:bCs/>
                <w:sz w:val="14"/>
                <w:szCs w:val="14"/>
              </w:rPr>
              <w:t>0,2</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b/>
                <w:bCs/>
                <w:sz w:val="14"/>
                <w:szCs w:val="14"/>
                <w:lang w:eastAsia="tr-TR"/>
              </w:rPr>
            </w:pPr>
            <w:r w:rsidRPr="001131FC">
              <w:rPr>
                <w:rFonts w:cs="Tahoma"/>
                <w:b/>
                <w:bCs/>
                <w:sz w:val="14"/>
                <w:szCs w:val="14"/>
                <w:lang w:eastAsia="tr-TR"/>
              </w:rPr>
              <w:t xml:space="preserve">GAYRİ SAFİ MİLLİ HARCANABİLİR GELİR (GSMHG) </w:t>
            </w:r>
          </w:p>
        </w:tc>
        <w:tc>
          <w:tcPr>
            <w:tcW w:w="428"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1 287 710</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1 425 104</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1 560 114</w:t>
            </w:r>
          </w:p>
        </w:tc>
        <w:tc>
          <w:tcPr>
            <w:tcW w:w="418"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99,2</w:t>
            </w:r>
          </w:p>
        </w:tc>
        <w:tc>
          <w:tcPr>
            <w:tcW w:w="573"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99,3</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
                <w:bCs/>
                <w:sz w:val="14"/>
                <w:szCs w:val="14"/>
              </w:rPr>
            </w:pPr>
            <w:r w:rsidRPr="001131FC">
              <w:rPr>
                <w:rFonts w:cs="Tahoma"/>
                <w:b/>
                <w:bCs/>
                <w:sz w:val="14"/>
                <w:szCs w:val="14"/>
              </w:rPr>
              <w:t>99,3</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b/>
                <w:bCs/>
                <w:sz w:val="14"/>
                <w:szCs w:val="14"/>
                <w:lang w:eastAsia="tr-TR"/>
              </w:rPr>
            </w:pPr>
            <w:r w:rsidRPr="001131FC">
              <w:rPr>
                <w:rFonts w:cs="Tahoma"/>
                <w:b/>
                <w:bCs/>
                <w:sz w:val="14"/>
                <w:szCs w:val="14"/>
                <w:lang w:eastAsia="tr-TR"/>
              </w:rPr>
              <w:t> </w:t>
            </w:r>
          </w:p>
        </w:tc>
        <w:tc>
          <w:tcPr>
            <w:tcW w:w="428" w:type="pct"/>
            <w:tcBorders>
              <w:top w:val="nil"/>
              <w:left w:val="nil"/>
              <w:bottom w:val="nil"/>
              <w:right w:val="nil"/>
            </w:tcBorders>
            <w:vAlign w:val="bottom"/>
          </w:tcPr>
          <w:p w:rsidR="00565FD5" w:rsidRPr="001131FC" w:rsidRDefault="00565FD5" w:rsidP="00AB62A3">
            <w:pPr>
              <w:rPr>
                <w:rFonts w:cs="Tahoma"/>
                <w:sz w:val="14"/>
                <w:szCs w:val="14"/>
              </w:rPr>
            </w:pPr>
          </w:p>
        </w:tc>
        <w:tc>
          <w:tcPr>
            <w:tcW w:w="524" w:type="pct"/>
            <w:gridSpan w:val="2"/>
            <w:tcBorders>
              <w:top w:val="nil"/>
              <w:left w:val="nil"/>
              <w:bottom w:val="nil"/>
              <w:right w:val="nil"/>
            </w:tcBorders>
            <w:vAlign w:val="bottom"/>
          </w:tcPr>
          <w:p w:rsidR="00565FD5" w:rsidRPr="001131FC" w:rsidRDefault="00565FD5" w:rsidP="00AB62A3">
            <w:pPr>
              <w:rPr>
                <w:rFonts w:cs="Tahoma"/>
                <w:sz w:val="14"/>
                <w:szCs w:val="28"/>
              </w:rPr>
            </w:pPr>
          </w:p>
        </w:tc>
        <w:tc>
          <w:tcPr>
            <w:tcW w:w="539" w:type="pct"/>
            <w:gridSpan w:val="3"/>
            <w:tcBorders>
              <w:top w:val="nil"/>
              <w:left w:val="nil"/>
              <w:bottom w:val="nil"/>
              <w:right w:val="nil"/>
            </w:tcBorders>
            <w:vAlign w:val="bottom"/>
          </w:tcPr>
          <w:p w:rsidR="00565FD5" w:rsidRPr="001131FC" w:rsidRDefault="00565FD5" w:rsidP="00AB62A3">
            <w:pPr>
              <w:rPr>
                <w:rFonts w:cs="Tahoma"/>
                <w:b/>
                <w:bCs/>
                <w:sz w:val="14"/>
                <w:szCs w:val="28"/>
              </w:rPr>
            </w:pPr>
          </w:p>
        </w:tc>
        <w:tc>
          <w:tcPr>
            <w:tcW w:w="418" w:type="pct"/>
            <w:tcBorders>
              <w:top w:val="nil"/>
              <w:left w:val="nil"/>
              <w:bottom w:val="nil"/>
              <w:right w:val="nil"/>
            </w:tcBorders>
            <w:vAlign w:val="bottom"/>
          </w:tcPr>
          <w:p w:rsidR="00565FD5" w:rsidRPr="001131FC" w:rsidRDefault="00565FD5" w:rsidP="00AB62A3">
            <w:pPr>
              <w:rPr>
                <w:rFonts w:cs="Tahoma"/>
                <w:b/>
                <w:bCs/>
                <w:sz w:val="14"/>
                <w:szCs w:val="14"/>
              </w:rPr>
            </w:pPr>
          </w:p>
        </w:tc>
        <w:tc>
          <w:tcPr>
            <w:tcW w:w="573" w:type="pct"/>
            <w:tcBorders>
              <w:top w:val="nil"/>
              <w:left w:val="nil"/>
              <w:bottom w:val="nil"/>
              <w:right w:val="nil"/>
            </w:tcBorders>
            <w:vAlign w:val="bottom"/>
          </w:tcPr>
          <w:p w:rsidR="00565FD5" w:rsidRPr="001131FC" w:rsidRDefault="00565FD5" w:rsidP="00AB62A3">
            <w:pPr>
              <w:rPr>
                <w:rFonts w:cs="Tahoma"/>
                <w:b/>
                <w:bCs/>
                <w:sz w:val="14"/>
                <w:szCs w:val="14"/>
              </w:rPr>
            </w:pPr>
          </w:p>
        </w:tc>
        <w:tc>
          <w:tcPr>
            <w:tcW w:w="505" w:type="pct"/>
            <w:tcBorders>
              <w:top w:val="nil"/>
              <w:left w:val="nil"/>
              <w:bottom w:val="nil"/>
              <w:right w:val="single" w:sz="4" w:space="0" w:color="auto"/>
            </w:tcBorders>
            <w:vAlign w:val="bottom"/>
          </w:tcPr>
          <w:p w:rsidR="00565FD5" w:rsidRPr="001131FC" w:rsidRDefault="00565FD5" w:rsidP="00AB62A3">
            <w:pPr>
              <w:rPr>
                <w:rFonts w:cs="Tahoma"/>
                <w:b/>
                <w:bCs/>
                <w:sz w:val="14"/>
                <w:szCs w:val="14"/>
              </w:rPr>
            </w:pP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b/>
                <w:bCs/>
                <w:sz w:val="14"/>
                <w:szCs w:val="14"/>
                <w:lang w:eastAsia="tr-TR"/>
              </w:rPr>
            </w:pPr>
            <w:r w:rsidRPr="001131FC">
              <w:rPr>
                <w:rFonts w:cs="Tahoma"/>
                <w:b/>
                <w:bCs/>
                <w:sz w:val="14"/>
                <w:szCs w:val="14"/>
                <w:lang w:eastAsia="tr-TR"/>
              </w:rPr>
              <w:t xml:space="preserve"> KAMU HARCANABİLİR GELİRİ</w:t>
            </w:r>
          </w:p>
        </w:tc>
        <w:tc>
          <w:tcPr>
            <w:tcW w:w="428"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187 684</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200 542</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21</w:t>
            </w:r>
            <w:r>
              <w:rPr>
                <w:rFonts w:cs="Tahoma"/>
                <w:b/>
                <w:bCs/>
                <w:sz w:val="14"/>
                <w:szCs w:val="14"/>
              </w:rPr>
              <w:t>6</w:t>
            </w:r>
            <w:r w:rsidRPr="001131FC">
              <w:rPr>
                <w:rFonts w:cs="Tahoma"/>
                <w:b/>
                <w:bCs/>
                <w:sz w:val="14"/>
                <w:szCs w:val="14"/>
              </w:rPr>
              <w:t xml:space="preserve"> 52</w:t>
            </w:r>
            <w:r>
              <w:rPr>
                <w:rFonts w:cs="Tahoma"/>
                <w:b/>
                <w:bCs/>
                <w:sz w:val="14"/>
                <w:szCs w:val="14"/>
              </w:rPr>
              <w:t>4</w:t>
            </w:r>
          </w:p>
        </w:tc>
        <w:tc>
          <w:tcPr>
            <w:tcW w:w="418"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14,5</w:t>
            </w:r>
          </w:p>
        </w:tc>
        <w:tc>
          <w:tcPr>
            <w:tcW w:w="573"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14,0</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
                <w:bCs/>
                <w:sz w:val="14"/>
                <w:szCs w:val="14"/>
              </w:rPr>
            </w:pPr>
            <w:r w:rsidRPr="001131FC">
              <w:rPr>
                <w:rFonts w:cs="Tahoma"/>
                <w:b/>
                <w:bCs/>
                <w:sz w:val="14"/>
                <w:szCs w:val="14"/>
              </w:rPr>
              <w:t>13,8</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t xml:space="preserve">   Kamu Tüketimi</w:t>
            </w:r>
          </w:p>
        </w:tc>
        <w:tc>
          <w:tcPr>
            <w:tcW w:w="42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139 845</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166 042</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184 001</w:t>
            </w:r>
          </w:p>
        </w:tc>
        <w:tc>
          <w:tcPr>
            <w:tcW w:w="41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10,8</w:t>
            </w:r>
          </w:p>
        </w:tc>
        <w:tc>
          <w:tcPr>
            <w:tcW w:w="573"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11,6</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Cs/>
                <w:sz w:val="14"/>
                <w:szCs w:val="14"/>
              </w:rPr>
            </w:pPr>
            <w:r w:rsidRPr="001131FC">
              <w:rPr>
                <w:rFonts w:cs="Tahoma"/>
                <w:bCs/>
                <w:sz w:val="14"/>
                <w:szCs w:val="14"/>
              </w:rPr>
              <w:t>11,7</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t xml:space="preserve">   Kamu Tasarrufu</w:t>
            </w:r>
          </w:p>
        </w:tc>
        <w:tc>
          <w:tcPr>
            <w:tcW w:w="42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47 839</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34 501</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32 5</w:t>
            </w:r>
            <w:r>
              <w:rPr>
                <w:rFonts w:cs="Tahoma"/>
                <w:bCs/>
                <w:sz w:val="14"/>
                <w:szCs w:val="14"/>
              </w:rPr>
              <w:t>23</w:t>
            </w:r>
          </w:p>
        </w:tc>
        <w:tc>
          <w:tcPr>
            <w:tcW w:w="41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3,7</w:t>
            </w:r>
          </w:p>
        </w:tc>
        <w:tc>
          <w:tcPr>
            <w:tcW w:w="573"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2,4</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Cs/>
                <w:sz w:val="14"/>
                <w:szCs w:val="14"/>
              </w:rPr>
            </w:pPr>
            <w:r w:rsidRPr="001131FC">
              <w:rPr>
                <w:rFonts w:cs="Tahoma"/>
                <w:bCs/>
                <w:sz w:val="14"/>
                <w:szCs w:val="14"/>
              </w:rPr>
              <w:t>2,</w:t>
            </w:r>
            <w:r>
              <w:rPr>
                <w:rFonts w:cs="Tahoma"/>
                <w:bCs/>
                <w:sz w:val="14"/>
                <w:szCs w:val="14"/>
              </w:rPr>
              <w:t>1</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t xml:space="preserve">   Kamu Yatırımı</w:t>
            </w:r>
          </w:p>
        </w:tc>
        <w:tc>
          <w:tcPr>
            <w:tcW w:w="42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53 339</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63 007</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68 611</w:t>
            </w:r>
          </w:p>
        </w:tc>
        <w:tc>
          <w:tcPr>
            <w:tcW w:w="41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4,1</w:t>
            </w:r>
          </w:p>
        </w:tc>
        <w:tc>
          <w:tcPr>
            <w:tcW w:w="573"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4,4</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Cs/>
                <w:sz w:val="14"/>
                <w:szCs w:val="14"/>
              </w:rPr>
            </w:pPr>
            <w:r w:rsidRPr="001131FC">
              <w:rPr>
                <w:rFonts w:cs="Tahoma"/>
                <w:bCs/>
                <w:sz w:val="14"/>
                <w:szCs w:val="14"/>
              </w:rPr>
              <w:t>4,4</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t xml:space="preserve">   </w:t>
            </w:r>
            <w:r w:rsidRPr="001131FC">
              <w:rPr>
                <w:rFonts w:cs="Tahoma"/>
                <w:sz w:val="14"/>
                <w:szCs w:val="14"/>
              </w:rPr>
              <w:t>Kamu Tasarruf-Yatırım Farkı</w:t>
            </w:r>
          </w:p>
        </w:tc>
        <w:tc>
          <w:tcPr>
            <w:tcW w:w="42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-5 500</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-28 507</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-36 0</w:t>
            </w:r>
            <w:r>
              <w:rPr>
                <w:rFonts w:cs="Tahoma"/>
                <w:bCs/>
                <w:sz w:val="14"/>
                <w:szCs w:val="14"/>
              </w:rPr>
              <w:t>88</w:t>
            </w:r>
          </w:p>
        </w:tc>
        <w:tc>
          <w:tcPr>
            <w:tcW w:w="41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-0,4</w:t>
            </w:r>
          </w:p>
        </w:tc>
        <w:tc>
          <w:tcPr>
            <w:tcW w:w="573"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-2,0</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Cs/>
                <w:sz w:val="14"/>
                <w:szCs w:val="14"/>
              </w:rPr>
            </w:pPr>
            <w:r w:rsidRPr="001131FC">
              <w:rPr>
                <w:rFonts w:cs="Tahoma"/>
                <w:bCs/>
                <w:sz w:val="14"/>
                <w:szCs w:val="14"/>
              </w:rPr>
              <w:t>-2,3</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t> </w:t>
            </w:r>
          </w:p>
        </w:tc>
        <w:tc>
          <w:tcPr>
            <w:tcW w:w="428" w:type="pct"/>
            <w:tcBorders>
              <w:top w:val="nil"/>
              <w:left w:val="nil"/>
              <w:bottom w:val="nil"/>
              <w:right w:val="nil"/>
            </w:tcBorders>
            <w:vAlign w:val="bottom"/>
          </w:tcPr>
          <w:p w:rsidR="00565FD5" w:rsidRPr="001131FC" w:rsidRDefault="00565FD5" w:rsidP="00AB62A3">
            <w:pPr>
              <w:jc w:val="right"/>
              <w:rPr>
                <w:rFonts w:cs="Tahoma"/>
                <w:b/>
                <w:bCs/>
                <w:sz w:val="14"/>
                <w:szCs w:val="14"/>
              </w:rPr>
            </w:pPr>
          </w:p>
        </w:tc>
        <w:tc>
          <w:tcPr>
            <w:tcW w:w="524" w:type="pct"/>
            <w:gridSpan w:val="2"/>
            <w:tcBorders>
              <w:top w:val="nil"/>
              <w:left w:val="nil"/>
              <w:bottom w:val="nil"/>
              <w:right w:val="nil"/>
            </w:tcBorders>
            <w:vAlign w:val="bottom"/>
          </w:tcPr>
          <w:p w:rsidR="00565FD5" w:rsidRPr="001131FC" w:rsidRDefault="00565FD5" w:rsidP="00AB62A3">
            <w:pPr>
              <w:jc w:val="right"/>
              <w:rPr>
                <w:rFonts w:cs="Tahoma"/>
                <w:b/>
                <w:bCs/>
                <w:sz w:val="14"/>
                <w:szCs w:val="14"/>
              </w:rPr>
            </w:pPr>
          </w:p>
        </w:tc>
        <w:tc>
          <w:tcPr>
            <w:tcW w:w="539" w:type="pct"/>
            <w:gridSpan w:val="3"/>
            <w:tcBorders>
              <w:top w:val="nil"/>
              <w:left w:val="nil"/>
              <w:bottom w:val="nil"/>
              <w:right w:val="nil"/>
            </w:tcBorders>
            <w:vAlign w:val="bottom"/>
          </w:tcPr>
          <w:p w:rsidR="00565FD5" w:rsidRPr="001131FC" w:rsidRDefault="00565FD5" w:rsidP="00AB62A3">
            <w:pPr>
              <w:jc w:val="right"/>
              <w:rPr>
                <w:rFonts w:cs="Tahoma"/>
                <w:b/>
                <w:bCs/>
                <w:sz w:val="14"/>
                <w:szCs w:val="14"/>
              </w:rPr>
            </w:pPr>
          </w:p>
        </w:tc>
        <w:tc>
          <w:tcPr>
            <w:tcW w:w="418" w:type="pct"/>
            <w:tcBorders>
              <w:top w:val="nil"/>
              <w:left w:val="nil"/>
              <w:bottom w:val="nil"/>
              <w:right w:val="nil"/>
            </w:tcBorders>
            <w:vAlign w:val="bottom"/>
          </w:tcPr>
          <w:p w:rsidR="00565FD5" w:rsidRPr="001131FC" w:rsidRDefault="00565FD5" w:rsidP="00AB62A3">
            <w:pPr>
              <w:jc w:val="right"/>
              <w:rPr>
                <w:rFonts w:cs="Tahoma"/>
                <w:b/>
                <w:bCs/>
                <w:sz w:val="14"/>
                <w:szCs w:val="14"/>
              </w:rPr>
            </w:pPr>
          </w:p>
        </w:tc>
        <w:tc>
          <w:tcPr>
            <w:tcW w:w="573" w:type="pct"/>
            <w:tcBorders>
              <w:top w:val="nil"/>
              <w:left w:val="nil"/>
              <w:bottom w:val="nil"/>
              <w:right w:val="nil"/>
            </w:tcBorders>
            <w:vAlign w:val="bottom"/>
          </w:tcPr>
          <w:p w:rsidR="00565FD5" w:rsidRPr="001131FC" w:rsidRDefault="00565FD5" w:rsidP="00AB62A3">
            <w:pPr>
              <w:jc w:val="right"/>
              <w:rPr>
                <w:rFonts w:cs="Tahoma"/>
                <w:b/>
                <w:bCs/>
                <w:sz w:val="14"/>
                <w:szCs w:val="14"/>
              </w:rPr>
            </w:pP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
                <w:bCs/>
                <w:sz w:val="14"/>
                <w:szCs w:val="14"/>
              </w:rPr>
            </w:pP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b/>
                <w:bCs/>
                <w:sz w:val="14"/>
                <w:szCs w:val="14"/>
                <w:lang w:eastAsia="tr-TR"/>
              </w:rPr>
            </w:pPr>
            <w:r w:rsidRPr="001131FC">
              <w:rPr>
                <w:rFonts w:cs="Tahoma"/>
                <w:b/>
                <w:bCs/>
                <w:sz w:val="14"/>
                <w:szCs w:val="14"/>
                <w:lang w:eastAsia="tr-TR"/>
              </w:rPr>
              <w:t xml:space="preserve"> ÖZEL HARCANABİLİR GELİR</w:t>
            </w:r>
          </w:p>
        </w:tc>
        <w:tc>
          <w:tcPr>
            <w:tcW w:w="428"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1 100 026</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1 224 561</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 xml:space="preserve">1 343 </w:t>
            </w:r>
            <w:r>
              <w:rPr>
                <w:rFonts w:cs="Tahoma"/>
                <w:b/>
                <w:bCs/>
                <w:sz w:val="14"/>
                <w:szCs w:val="14"/>
              </w:rPr>
              <w:t>590</w:t>
            </w:r>
          </w:p>
        </w:tc>
        <w:tc>
          <w:tcPr>
            <w:tcW w:w="418"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84,7</w:t>
            </w:r>
          </w:p>
        </w:tc>
        <w:tc>
          <w:tcPr>
            <w:tcW w:w="573" w:type="pct"/>
            <w:tcBorders>
              <w:top w:val="nil"/>
              <w:left w:val="nil"/>
              <w:bottom w:val="nil"/>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85,4</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
                <w:bCs/>
                <w:sz w:val="14"/>
                <w:szCs w:val="14"/>
              </w:rPr>
            </w:pPr>
            <w:r w:rsidRPr="001131FC">
              <w:rPr>
                <w:rFonts w:cs="Tahoma"/>
                <w:b/>
                <w:bCs/>
                <w:sz w:val="14"/>
                <w:szCs w:val="14"/>
              </w:rPr>
              <w:t>85,5</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t xml:space="preserve">   Özel Tüketim</w:t>
            </w:r>
          </w:p>
        </w:tc>
        <w:tc>
          <w:tcPr>
            <w:tcW w:w="42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960 669</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1 054 114</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1 140 575</w:t>
            </w:r>
          </w:p>
        </w:tc>
        <w:tc>
          <w:tcPr>
            <w:tcW w:w="41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74,0</w:t>
            </w:r>
          </w:p>
        </w:tc>
        <w:tc>
          <w:tcPr>
            <w:tcW w:w="573"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73,5</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Cs/>
                <w:sz w:val="14"/>
                <w:szCs w:val="14"/>
              </w:rPr>
            </w:pPr>
            <w:r w:rsidRPr="001131FC">
              <w:rPr>
                <w:rFonts w:cs="Tahoma"/>
                <w:bCs/>
                <w:sz w:val="14"/>
                <w:szCs w:val="14"/>
              </w:rPr>
              <w:t>72,6</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t xml:space="preserve">   Özel Tasarruf</w:t>
            </w:r>
          </w:p>
        </w:tc>
        <w:tc>
          <w:tcPr>
            <w:tcW w:w="42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139 357</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170 448</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203 0</w:t>
            </w:r>
            <w:r>
              <w:rPr>
                <w:rFonts w:cs="Tahoma"/>
                <w:bCs/>
                <w:sz w:val="14"/>
                <w:szCs w:val="14"/>
              </w:rPr>
              <w:t>15</w:t>
            </w:r>
          </w:p>
        </w:tc>
        <w:tc>
          <w:tcPr>
            <w:tcW w:w="41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10,7</w:t>
            </w:r>
          </w:p>
        </w:tc>
        <w:tc>
          <w:tcPr>
            <w:tcW w:w="573"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11,9</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Cs/>
                <w:sz w:val="14"/>
                <w:szCs w:val="14"/>
              </w:rPr>
            </w:pPr>
            <w:r w:rsidRPr="001131FC">
              <w:rPr>
                <w:rFonts w:cs="Tahoma"/>
                <w:bCs/>
                <w:sz w:val="14"/>
                <w:szCs w:val="14"/>
              </w:rPr>
              <w:t>1</w:t>
            </w:r>
            <w:r>
              <w:rPr>
                <w:rFonts w:cs="Tahoma"/>
                <w:bCs/>
                <w:sz w:val="14"/>
                <w:szCs w:val="14"/>
              </w:rPr>
              <w:t>2</w:t>
            </w:r>
            <w:r w:rsidRPr="001131FC">
              <w:rPr>
                <w:rFonts w:cs="Tahoma"/>
                <w:bCs/>
                <w:sz w:val="14"/>
                <w:szCs w:val="14"/>
              </w:rPr>
              <w:t>,</w:t>
            </w:r>
            <w:r>
              <w:rPr>
                <w:rFonts w:cs="Tahoma"/>
                <w:bCs/>
                <w:sz w:val="14"/>
                <w:szCs w:val="14"/>
              </w:rPr>
              <w:t>9</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t xml:space="preserve">   Özel Yatırım</w:t>
            </w:r>
          </w:p>
        </w:tc>
        <w:tc>
          <w:tcPr>
            <w:tcW w:w="42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259 655</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243 594</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274 075</w:t>
            </w:r>
          </w:p>
        </w:tc>
        <w:tc>
          <w:tcPr>
            <w:tcW w:w="41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20,0</w:t>
            </w:r>
          </w:p>
        </w:tc>
        <w:tc>
          <w:tcPr>
            <w:tcW w:w="573"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17,0</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Cs/>
                <w:sz w:val="14"/>
                <w:szCs w:val="14"/>
              </w:rPr>
            </w:pPr>
            <w:r w:rsidRPr="001131FC">
              <w:rPr>
                <w:rFonts w:cs="Tahoma"/>
                <w:bCs/>
                <w:sz w:val="14"/>
                <w:szCs w:val="14"/>
              </w:rPr>
              <w:t>17,4</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sz w:val="14"/>
                <w:szCs w:val="14"/>
                <w:lang w:eastAsia="tr-TR"/>
              </w:rPr>
            </w:pPr>
            <w:r w:rsidRPr="001131FC">
              <w:rPr>
                <w:rFonts w:cs="Tahoma"/>
                <w:sz w:val="14"/>
                <w:szCs w:val="14"/>
                <w:lang w:eastAsia="tr-TR"/>
              </w:rPr>
              <w:lastRenderedPageBreak/>
              <w:t xml:space="preserve">   </w:t>
            </w:r>
            <w:r w:rsidRPr="001131FC">
              <w:rPr>
                <w:rFonts w:cs="Tahoma"/>
                <w:sz w:val="14"/>
                <w:szCs w:val="14"/>
              </w:rPr>
              <w:t>Özel Tasarruf-Yatırım Farkı</w:t>
            </w:r>
          </w:p>
        </w:tc>
        <w:tc>
          <w:tcPr>
            <w:tcW w:w="42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-120 297</w:t>
            </w:r>
          </w:p>
        </w:tc>
        <w:tc>
          <w:tcPr>
            <w:tcW w:w="524" w:type="pct"/>
            <w:gridSpan w:val="2"/>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-73 146</w:t>
            </w:r>
          </w:p>
        </w:tc>
        <w:tc>
          <w:tcPr>
            <w:tcW w:w="539" w:type="pct"/>
            <w:gridSpan w:val="3"/>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-71 0</w:t>
            </w:r>
            <w:r>
              <w:rPr>
                <w:rFonts w:cs="Tahoma"/>
                <w:bCs/>
                <w:sz w:val="14"/>
                <w:szCs w:val="14"/>
              </w:rPr>
              <w:t>60</w:t>
            </w:r>
          </w:p>
        </w:tc>
        <w:tc>
          <w:tcPr>
            <w:tcW w:w="418"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-9,3</w:t>
            </w:r>
          </w:p>
        </w:tc>
        <w:tc>
          <w:tcPr>
            <w:tcW w:w="573" w:type="pct"/>
            <w:tcBorders>
              <w:top w:val="nil"/>
              <w:left w:val="nil"/>
              <w:bottom w:val="nil"/>
              <w:right w:val="nil"/>
            </w:tcBorders>
            <w:vAlign w:val="bottom"/>
          </w:tcPr>
          <w:p w:rsidR="00565FD5" w:rsidRPr="001131FC" w:rsidRDefault="00565FD5" w:rsidP="00AB62A3">
            <w:pPr>
              <w:jc w:val="right"/>
              <w:rPr>
                <w:rFonts w:cs="Tahoma"/>
                <w:bCs/>
                <w:sz w:val="14"/>
                <w:szCs w:val="14"/>
              </w:rPr>
            </w:pPr>
            <w:r w:rsidRPr="001131FC">
              <w:rPr>
                <w:rFonts w:cs="Tahoma"/>
                <w:bCs/>
                <w:sz w:val="14"/>
                <w:szCs w:val="14"/>
              </w:rPr>
              <w:t>-5,1</w:t>
            </w: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Cs/>
                <w:sz w:val="14"/>
                <w:szCs w:val="14"/>
              </w:rPr>
            </w:pPr>
            <w:r w:rsidRPr="001131FC">
              <w:rPr>
                <w:rFonts w:cs="Tahoma"/>
                <w:bCs/>
                <w:sz w:val="14"/>
                <w:szCs w:val="14"/>
              </w:rPr>
              <w:t>-4,5</w:t>
            </w:r>
          </w:p>
        </w:tc>
      </w:tr>
      <w:tr w:rsidR="00565FD5" w:rsidRPr="001131FC" w:rsidTr="00AB62A3">
        <w:trPr>
          <w:trHeight w:val="20"/>
        </w:trPr>
        <w:tc>
          <w:tcPr>
            <w:tcW w:w="2013" w:type="pct"/>
            <w:tcBorders>
              <w:top w:val="nil"/>
              <w:left w:val="single" w:sz="4" w:space="0" w:color="auto"/>
              <w:bottom w:val="nil"/>
              <w:right w:val="nil"/>
            </w:tcBorders>
            <w:vAlign w:val="bottom"/>
          </w:tcPr>
          <w:p w:rsidR="00565FD5" w:rsidRPr="001131FC" w:rsidRDefault="00565FD5" w:rsidP="00AB62A3">
            <w:pPr>
              <w:rPr>
                <w:rFonts w:cs="Tahoma"/>
                <w:b/>
                <w:sz w:val="14"/>
                <w:szCs w:val="14"/>
                <w:u w:val="single"/>
              </w:rPr>
            </w:pPr>
            <w:r w:rsidRPr="001131FC">
              <w:rPr>
                <w:rFonts w:cs="Tahoma"/>
                <w:b/>
                <w:sz w:val="14"/>
                <w:szCs w:val="14"/>
                <w:u w:val="single"/>
              </w:rPr>
              <w:t>Bilgi İçin:</w:t>
            </w:r>
          </w:p>
        </w:tc>
        <w:tc>
          <w:tcPr>
            <w:tcW w:w="428" w:type="pct"/>
            <w:tcBorders>
              <w:top w:val="nil"/>
              <w:left w:val="nil"/>
              <w:bottom w:val="nil"/>
              <w:right w:val="nil"/>
            </w:tcBorders>
            <w:vAlign w:val="bottom"/>
          </w:tcPr>
          <w:p w:rsidR="00565FD5" w:rsidRPr="001131FC" w:rsidRDefault="00565FD5" w:rsidP="00AB62A3">
            <w:pPr>
              <w:jc w:val="right"/>
              <w:rPr>
                <w:rFonts w:cs="Tahoma"/>
                <w:b/>
                <w:bCs/>
                <w:sz w:val="14"/>
                <w:szCs w:val="14"/>
              </w:rPr>
            </w:pPr>
          </w:p>
        </w:tc>
        <w:tc>
          <w:tcPr>
            <w:tcW w:w="524" w:type="pct"/>
            <w:gridSpan w:val="2"/>
            <w:tcBorders>
              <w:top w:val="nil"/>
              <w:left w:val="nil"/>
              <w:bottom w:val="nil"/>
              <w:right w:val="nil"/>
            </w:tcBorders>
            <w:vAlign w:val="bottom"/>
          </w:tcPr>
          <w:p w:rsidR="00565FD5" w:rsidRPr="001131FC" w:rsidRDefault="00565FD5" w:rsidP="00AB62A3">
            <w:pPr>
              <w:jc w:val="right"/>
              <w:rPr>
                <w:rFonts w:cs="Tahoma"/>
                <w:b/>
                <w:bCs/>
                <w:sz w:val="14"/>
                <w:szCs w:val="14"/>
              </w:rPr>
            </w:pPr>
          </w:p>
        </w:tc>
        <w:tc>
          <w:tcPr>
            <w:tcW w:w="539" w:type="pct"/>
            <w:gridSpan w:val="3"/>
            <w:tcBorders>
              <w:top w:val="nil"/>
              <w:left w:val="nil"/>
              <w:bottom w:val="nil"/>
              <w:right w:val="nil"/>
            </w:tcBorders>
            <w:vAlign w:val="bottom"/>
          </w:tcPr>
          <w:p w:rsidR="00565FD5" w:rsidRPr="001131FC" w:rsidRDefault="00565FD5" w:rsidP="00AB62A3">
            <w:pPr>
              <w:jc w:val="right"/>
              <w:rPr>
                <w:rFonts w:cs="Tahoma"/>
                <w:b/>
                <w:bCs/>
                <w:sz w:val="14"/>
                <w:szCs w:val="14"/>
              </w:rPr>
            </w:pPr>
          </w:p>
        </w:tc>
        <w:tc>
          <w:tcPr>
            <w:tcW w:w="418" w:type="pct"/>
            <w:tcBorders>
              <w:top w:val="nil"/>
              <w:left w:val="nil"/>
              <w:bottom w:val="nil"/>
              <w:right w:val="nil"/>
            </w:tcBorders>
            <w:vAlign w:val="bottom"/>
          </w:tcPr>
          <w:p w:rsidR="00565FD5" w:rsidRPr="001131FC" w:rsidRDefault="00565FD5" w:rsidP="00AB62A3">
            <w:pPr>
              <w:jc w:val="right"/>
              <w:rPr>
                <w:rFonts w:cs="Tahoma"/>
                <w:b/>
                <w:bCs/>
                <w:sz w:val="14"/>
                <w:szCs w:val="14"/>
              </w:rPr>
            </w:pPr>
          </w:p>
        </w:tc>
        <w:tc>
          <w:tcPr>
            <w:tcW w:w="573" w:type="pct"/>
            <w:tcBorders>
              <w:top w:val="nil"/>
              <w:left w:val="nil"/>
              <w:bottom w:val="nil"/>
              <w:right w:val="nil"/>
            </w:tcBorders>
            <w:vAlign w:val="bottom"/>
          </w:tcPr>
          <w:p w:rsidR="00565FD5" w:rsidRPr="001131FC" w:rsidRDefault="00565FD5" w:rsidP="00AB62A3">
            <w:pPr>
              <w:jc w:val="right"/>
              <w:rPr>
                <w:rFonts w:cs="Tahoma"/>
                <w:b/>
                <w:bCs/>
                <w:sz w:val="14"/>
                <w:szCs w:val="14"/>
              </w:rPr>
            </w:pPr>
          </w:p>
        </w:tc>
        <w:tc>
          <w:tcPr>
            <w:tcW w:w="505" w:type="pct"/>
            <w:tcBorders>
              <w:top w:val="nil"/>
              <w:left w:val="nil"/>
              <w:bottom w:val="nil"/>
              <w:right w:val="single" w:sz="4" w:space="0" w:color="auto"/>
            </w:tcBorders>
            <w:vAlign w:val="bottom"/>
          </w:tcPr>
          <w:p w:rsidR="00565FD5" w:rsidRPr="001131FC" w:rsidRDefault="00565FD5" w:rsidP="00AB62A3">
            <w:pPr>
              <w:jc w:val="right"/>
              <w:rPr>
                <w:rFonts w:cs="Tahoma"/>
                <w:b/>
                <w:bCs/>
                <w:sz w:val="14"/>
                <w:szCs w:val="14"/>
              </w:rPr>
            </w:pPr>
          </w:p>
        </w:tc>
      </w:tr>
      <w:tr w:rsidR="00565FD5" w:rsidRPr="001131FC" w:rsidTr="00AB62A3">
        <w:trPr>
          <w:trHeight w:val="20"/>
        </w:trPr>
        <w:tc>
          <w:tcPr>
            <w:tcW w:w="2013" w:type="pct"/>
            <w:tcBorders>
              <w:top w:val="nil"/>
              <w:left w:val="single" w:sz="4" w:space="0" w:color="auto"/>
              <w:bottom w:val="single" w:sz="4" w:space="0" w:color="auto"/>
              <w:right w:val="nil"/>
            </w:tcBorders>
            <w:vAlign w:val="bottom"/>
          </w:tcPr>
          <w:p w:rsidR="00565FD5" w:rsidRPr="001131FC" w:rsidRDefault="00565FD5" w:rsidP="00AB62A3">
            <w:pPr>
              <w:rPr>
                <w:rFonts w:cs="Tahoma"/>
                <w:bCs/>
                <w:iCs/>
                <w:sz w:val="14"/>
                <w:szCs w:val="14"/>
              </w:rPr>
            </w:pPr>
            <w:r w:rsidRPr="001131FC">
              <w:rPr>
                <w:rFonts w:cs="Tahoma"/>
                <w:bCs/>
                <w:iCs/>
                <w:sz w:val="14"/>
                <w:szCs w:val="14"/>
              </w:rPr>
              <w:t xml:space="preserve">Toplam </w:t>
            </w:r>
            <w:r>
              <w:rPr>
                <w:rFonts w:cs="Tahoma"/>
                <w:bCs/>
                <w:iCs/>
                <w:sz w:val="14"/>
                <w:szCs w:val="14"/>
              </w:rPr>
              <w:t>Yurtiçi</w:t>
            </w:r>
            <w:r w:rsidRPr="001131FC">
              <w:rPr>
                <w:rFonts w:cs="Tahoma"/>
                <w:bCs/>
                <w:iCs/>
                <w:sz w:val="14"/>
                <w:szCs w:val="14"/>
              </w:rPr>
              <w:t xml:space="preserve"> Tasarruflar</w:t>
            </w:r>
          </w:p>
        </w:tc>
        <w:tc>
          <w:tcPr>
            <w:tcW w:w="428" w:type="pct"/>
            <w:tcBorders>
              <w:top w:val="nil"/>
              <w:left w:val="nil"/>
              <w:bottom w:val="single" w:sz="4" w:space="0" w:color="auto"/>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187 196</w:t>
            </w:r>
          </w:p>
        </w:tc>
        <w:tc>
          <w:tcPr>
            <w:tcW w:w="524" w:type="pct"/>
            <w:gridSpan w:val="2"/>
            <w:tcBorders>
              <w:top w:val="nil"/>
              <w:left w:val="nil"/>
              <w:bottom w:val="single" w:sz="4" w:space="0" w:color="auto"/>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204 948</w:t>
            </w:r>
          </w:p>
        </w:tc>
        <w:tc>
          <w:tcPr>
            <w:tcW w:w="539" w:type="pct"/>
            <w:gridSpan w:val="3"/>
            <w:tcBorders>
              <w:top w:val="nil"/>
              <w:left w:val="nil"/>
              <w:bottom w:val="single" w:sz="4" w:space="0" w:color="auto"/>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235 538</w:t>
            </w:r>
          </w:p>
        </w:tc>
        <w:tc>
          <w:tcPr>
            <w:tcW w:w="418" w:type="pct"/>
            <w:tcBorders>
              <w:top w:val="nil"/>
              <w:left w:val="nil"/>
              <w:bottom w:val="single" w:sz="4" w:space="0" w:color="auto"/>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14,4</w:t>
            </w:r>
          </w:p>
        </w:tc>
        <w:tc>
          <w:tcPr>
            <w:tcW w:w="573" w:type="pct"/>
            <w:tcBorders>
              <w:top w:val="nil"/>
              <w:left w:val="nil"/>
              <w:bottom w:val="single" w:sz="4" w:space="0" w:color="auto"/>
              <w:right w:val="nil"/>
            </w:tcBorders>
            <w:vAlign w:val="bottom"/>
          </w:tcPr>
          <w:p w:rsidR="00565FD5" w:rsidRPr="001131FC" w:rsidRDefault="00565FD5" w:rsidP="00AB62A3">
            <w:pPr>
              <w:jc w:val="right"/>
              <w:rPr>
                <w:rFonts w:cs="Tahoma"/>
                <w:b/>
                <w:bCs/>
                <w:sz w:val="14"/>
                <w:szCs w:val="14"/>
              </w:rPr>
            </w:pPr>
            <w:r w:rsidRPr="001131FC">
              <w:rPr>
                <w:rFonts w:cs="Tahoma"/>
                <w:b/>
                <w:bCs/>
                <w:sz w:val="14"/>
                <w:szCs w:val="14"/>
              </w:rPr>
              <w:t>14,3</w:t>
            </w:r>
          </w:p>
        </w:tc>
        <w:tc>
          <w:tcPr>
            <w:tcW w:w="505" w:type="pct"/>
            <w:tcBorders>
              <w:top w:val="nil"/>
              <w:left w:val="nil"/>
              <w:bottom w:val="single" w:sz="4" w:space="0" w:color="auto"/>
              <w:right w:val="single" w:sz="4" w:space="0" w:color="auto"/>
            </w:tcBorders>
            <w:vAlign w:val="bottom"/>
          </w:tcPr>
          <w:p w:rsidR="00565FD5" w:rsidRPr="001131FC" w:rsidRDefault="00565FD5" w:rsidP="00AB62A3">
            <w:pPr>
              <w:jc w:val="right"/>
              <w:rPr>
                <w:rFonts w:cs="Tahoma"/>
                <w:b/>
                <w:bCs/>
                <w:sz w:val="14"/>
                <w:szCs w:val="14"/>
              </w:rPr>
            </w:pPr>
            <w:r w:rsidRPr="001131FC">
              <w:rPr>
                <w:rFonts w:cs="Tahoma"/>
                <w:b/>
                <w:bCs/>
                <w:sz w:val="14"/>
                <w:szCs w:val="14"/>
              </w:rPr>
              <w:t>15,0</w:t>
            </w:r>
          </w:p>
        </w:tc>
      </w:tr>
    </w:tbl>
    <w:p w:rsidR="00565FD5" w:rsidRPr="001131FC" w:rsidRDefault="00565FD5" w:rsidP="00565FD5">
      <w:pPr>
        <w:rPr>
          <w:rFonts w:cs="Tahoma"/>
          <w:sz w:val="14"/>
          <w:szCs w:val="14"/>
        </w:rPr>
      </w:pPr>
      <w:r w:rsidRPr="001131FC">
        <w:rPr>
          <w:rFonts w:cs="Tahoma"/>
          <w:sz w:val="14"/>
          <w:szCs w:val="14"/>
        </w:rPr>
        <w:t>Kaynak: Kalkınma Bakanlığı</w:t>
      </w:r>
    </w:p>
    <w:p w:rsidR="00565FD5" w:rsidRPr="001131FC" w:rsidRDefault="00565FD5" w:rsidP="00565FD5">
      <w:pPr>
        <w:rPr>
          <w:rFonts w:cs="Tahoma"/>
          <w:sz w:val="14"/>
          <w:szCs w:val="14"/>
        </w:rPr>
      </w:pPr>
      <w:r w:rsidRPr="001131FC">
        <w:rPr>
          <w:rFonts w:cs="Tahoma"/>
          <w:sz w:val="14"/>
          <w:szCs w:val="14"/>
        </w:rPr>
        <w:t>(1) Gerçekleşme tahmini</w:t>
      </w:r>
    </w:p>
    <w:p w:rsidR="00565FD5" w:rsidRPr="001131FC" w:rsidRDefault="00565FD5" w:rsidP="00565FD5">
      <w:pPr>
        <w:spacing w:after="240"/>
        <w:rPr>
          <w:rFonts w:cs="Tahoma"/>
          <w:sz w:val="14"/>
          <w:szCs w:val="14"/>
        </w:rPr>
      </w:pPr>
      <w:r w:rsidRPr="001131FC">
        <w:rPr>
          <w:rFonts w:cs="Tahoma"/>
          <w:sz w:val="14"/>
          <w:szCs w:val="14"/>
        </w:rPr>
        <w:t>(2) Program</w:t>
      </w:r>
    </w:p>
    <w:p w:rsidR="00565FD5" w:rsidRPr="001131FC" w:rsidRDefault="00565FD5" w:rsidP="00565FD5">
      <w:pPr>
        <w:spacing w:after="240"/>
        <w:rPr>
          <w:rFonts w:cs="Tahoma"/>
          <w:sz w:val="14"/>
          <w:szCs w:val="14"/>
        </w:rPr>
        <w:sectPr w:rsidR="00565FD5" w:rsidRPr="001131FC" w:rsidSect="00B50093">
          <w:pgSz w:w="16838" w:h="11906" w:orient="landscape" w:code="9"/>
          <w:pgMar w:top="2381" w:right="2948" w:bottom="2381" w:left="2948" w:header="1871" w:footer="1928" w:gutter="0"/>
          <w:cols w:space="708"/>
          <w:noEndnote/>
        </w:sectPr>
      </w:pPr>
    </w:p>
    <w:p w:rsidR="00565FD5" w:rsidRPr="001131FC" w:rsidRDefault="00565FD5" w:rsidP="00565FD5">
      <w:pPr>
        <w:pStyle w:val="ResimYazs"/>
        <w:rPr>
          <w:b w:val="0"/>
        </w:rPr>
      </w:pPr>
      <w:bookmarkStart w:id="398" w:name="_Toc307713506"/>
      <w:bookmarkStart w:id="399" w:name="_Toc338605961"/>
      <w:bookmarkStart w:id="400" w:name="_Toc338711736"/>
      <w:bookmarkStart w:id="401" w:name="_Toc275873811"/>
      <w:bookmarkStart w:id="402" w:name="_Toc276076435"/>
      <w:bookmarkStart w:id="403" w:name="_Toc307601599"/>
      <w:bookmarkStart w:id="404" w:name="_Toc307657841"/>
      <w:r>
        <w:lastRenderedPageBreak/>
        <w:t xml:space="preserve">TABLO II: </w:t>
      </w:r>
      <w:fldSimple w:instr=" SEQ TABLO_II: \* ARABIC ">
        <w:r>
          <w:rPr>
            <w:noProof/>
          </w:rPr>
          <w:t>9</w:t>
        </w:r>
      </w:fldSimple>
      <w:r w:rsidRPr="00BC6C49">
        <w:t>- Ekonominin Genel Dengesi</w:t>
      </w:r>
      <w:bookmarkEnd w:id="398"/>
      <w:bookmarkEnd w:id="399"/>
      <w:bookmarkEnd w:id="400"/>
      <w:r w:rsidRPr="001131FC">
        <w:rPr>
          <w:b w:val="0"/>
        </w:rPr>
        <w:t xml:space="preserve"> </w:t>
      </w:r>
      <w:bookmarkEnd w:id="401"/>
      <w:bookmarkEnd w:id="402"/>
      <w:bookmarkEnd w:id="403"/>
      <w:bookmarkEnd w:id="404"/>
    </w:p>
    <w:tbl>
      <w:tblPr>
        <w:tblW w:w="10853"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tblPr>
      <w:tblGrid>
        <w:gridCol w:w="4555"/>
        <w:gridCol w:w="1059"/>
        <w:gridCol w:w="1161"/>
        <w:gridCol w:w="1029"/>
        <w:gridCol w:w="28"/>
        <w:gridCol w:w="1020"/>
        <w:gridCol w:w="903"/>
        <w:gridCol w:w="1098"/>
      </w:tblGrid>
      <w:tr w:rsidR="00565FD5" w:rsidRPr="001131FC" w:rsidTr="00AB62A3">
        <w:trPr>
          <w:trHeight w:val="21"/>
        </w:trPr>
        <w:tc>
          <w:tcPr>
            <w:tcW w:w="2098" w:type="pct"/>
            <w:tcBorders>
              <w:top w:val="single" w:sz="4" w:space="0" w:color="auto"/>
              <w:lef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 </w:t>
            </w:r>
          </w:p>
        </w:tc>
        <w:tc>
          <w:tcPr>
            <w:tcW w:w="488" w:type="pct"/>
            <w:tcBorders>
              <w:top w:val="single" w:sz="4" w:space="0" w:color="auto"/>
              <w:bottom w:val="single" w:sz="8" w:space="0" w:color="auto"/>
            </w:tcBorders>
            <w:tcMar>
              <w:top w:w="12" w:type="dxa"/>
              <w:left w:w="12" w:type="dxa"/>
              <w:bottom w:w="0" w:type="dxa"/>
              <w:right w:w="12" w:type="dxa"/>
            </w:tcMar>
            <w:vAlign w:val="bottom"/>
          </w:tcPr>
          <w:p w:rsidR="00565FD5" w:rsidRPr="001131FC" w:rsidRDefault="00565FD5" w:rsidP="00AB62A3">
            <w:pPr>
              <w:jc w:val="right"/>
              <w:rPr>
                <w:rFonts w:cs="Tahoma"/>
                <w:b/>
                <w:bCs/>
                <w:sz w:val="14"/>
                <w:szCs w:val="14"/>
                <w:lang w:eastAsia="tr-TR"/>
              </w:rPr>
            </w:pPr>
            <w:r w:rsidRPr="001131FC">
              <w:rPr>
                <w:rFonts w:cs="Tahoma"/>
                <w:b/>
                <w:bCs/>
                <w:sz w:val="14"/>
                <w:szCs w:val="14"/>
                <w:lang w:eastAsia="tr-TR"/>
              </w:rPr>
              <w:t>2011</w:t>
            </w:r>
          </w:p>
        </w:tc>
        <w:tc>
          <w:tcPr>
            <w:tcW w:w="535" w:type="pct"/>
            <w:tcBorders>
              <w:top w:val="single" w:sz="4" w:space="0" w:color="auto"/>
              <w:bottom w:val="single" w:sz="8" w:space="0" w:color="auto"/>
            </w:tcBorders>
            <w:tcMar>
              <w:top w:w="12" w:type="dxa"/>
              <w:left w:w="12" w:type="dxa"/>
              <w:bottom w:w="0" w:type="dxa"/>
              <w:right w:w="12" w:type="dxa"/>
            </w:tcMar>
            <w:vAlign w:val="bottom"/>
          </w:tcPr>
          <w:p w:rsidR="00565FD5" w:rsidRPr="001131FC" w:rsidRDefault="00565FD5" w:rsidP="00AB62A3">
            <w:pPr>
              <w:jc w:val="right"/>
              <w:rPr>
                <w:rFonts w:cs="Tahoma"/>
                <w:b/>
                <w:bCs/>
                <w:sz w:val="14"/>
                <w:szCs w:val="14"/>
                <w:lang w:eastAsia="tr-TR"/>
              </w:rPr>
            </w:pPr>
            <w:r w:rsidRPr="001131FC">
              <w:rPr>
                <w:rFonts w:cs="Tahoma"/>
                <w:b/>
                <w:bCs/>
                <w:sz w:val="14"/>
                <w:szCs w:val="14"/>
                <w:lang w:eastAsia="tr-TR"/>
              </w:rPr>
              <w:t>2012 (2)</w:t>
            </w:r>
          </w:p>
        </w:tc>
        <w:tc>
          <w:tcPr>
            <w:tcW w:w="487" w:type="pct"/>
            <w:gridSpan w:val="2"/>
            <w:tcBorders>
              <w:top w:val="single" w:sz="4" w:space="0" w:color="auto"/>
              <w:bottom w:val="single" w:sz="8" w:space="0" w:color="auto"/>
            </w:tcBorders>
            <w:tcMar>
              <w:top w:w="12" w:type="dxa"/>
              <w:left w:w="12" w:type="dxa"/>
              <w:bottom w:w="0" w:type="dxa"/>
              <w:right w:w="12" w:type="dxa"/>
            </w:tcMar>
            <w:vAlign w:val="bottom"/>
          </w:tcPr>
          <w:p w:rsidR="00565FD5" w:rsidRPr="001131FC" w:rsidRDefault="00565FD5" w:rsidP="00AB62A3">
            <w:pPr>
              <w:jc w:val="right"/>
              <w:rPr>
                <w:rFonts w:cs="Tahoma"/>
                <w:b/>
                <w:bCs/>
                <w:sz w:val="14"/>
                <w:szCs w:val="14"/>
                <w:lang w:eastAsia="tr-TR"/>
              </w:rPr>
            </w:pPr>
            <w:r w:rsidRPr="001131FC">
              <w:rPr>
                <w:rFonts w:cs="Tahoma"/>
                <w:b/>
                <w:bCs/>
                <w:sz w:val="14"/>
                <w:szCs w:val="14"/>
                <w:lang w:eastAsia="tr-TR"/>
              </w:rPr>
              <w:t>2013 (3)</w:t>
            </w:r>
          </w:p>
        </w:tc>
        <w:tc>
          <w:tcPr>
            <w:tcW w:w="470" w:type="pct"/>
            <w:tcBorders>
              <w:top w:val="single" w:sz="4" w:space="0" w:color="auto"/>
              <w:bottom w:val="single" w:sz="8" w:space="0" w:color="auto"/>
            </w:tcBorders>
            <w:vAlign w:val="bottom"/>
          </w:tcPr>
          <w:p w:rsidR="00565FD5" w:rsidRPr="001131FC" w:rsidRDefault="00565FD5" w:rsidP="00AB62A3">
            <w:pPr>
              <w:ind w:right="51"/>
              <w:jc w:val="right"/>
              <w:rPr>
                <w:rFonts w:cs="Tahoma"/>
                <w:b/>
                <w:bCs/>
                <w:sz w:val="14"/>
                <w:szCs w:val="14"/>
                <w:lang w:eastAsia="tr-TR"/>
              </w:rPr>
            </w:pPr>
            <w:r w:rsidRPr="001131FC">
              <w:rPr>
                <w:rFonts w:cs="Tahoma"/>
                <w:b/>
                <w:bCs/>
                <w:sz w:val="14"/>
                <w:szCs w:val="14"/>
                <w:lang w:eastAsia="tr-TR"/>
              </w:rPr>
              <w:t>2011</w:t>
            </w:r>
          </w:p>
        </w:tc>
        <w:tc>
          <w:tcPr>
            <w:tcW w:w="416" w:type="pct"/>
            <w:tcBorders>
              <w:top w:val="single" w:sz="4" w:space="0" w:color="auto"/>
              <w:bottom w:val="single" w:sz="8" w:space="0" w:color="auto"/>
            </w:tcBorders>
            <w:vAlign w:val="bottom"/>
          </w:tcPr>
          <w:p w:rsidR="00565FD5" w:rsidRPr="001131FC" w:rsidRDefault="00565FD5" w:rsidP="00AB62A3">
            <w:pPr>
              <w:jc w:val="right"/>
              <w:rPr>
                <w:rFonts w:cs="Tahoma"/>
                <w:b/>
                <w:bCs/>
                <w:sz w:val="14"/>
                <w:szCs w:val="14"/>
                <w:lang w:eastAsia="tr-TR"/>
              </w:rPr>
            </w:pPr>
            <w:r w:rsidRPr="001131FC">
              <w:rPr>
                <w:rFonts w:cs="Tahoma"/>
                <w:b/>
                <w:bCs/>
                <w:sz w:val="14"/>
                <w:szCs w:val="14"/>
                <w:lang w:eastAsia="tr-TR"/>
              </w:rPr>
              <w:t>2012 (2)</w:t>
            </w:r>
          </w:p>
        </w:tc>
        <w:tc>
          <w:tcPr>
            <w:tcW w:w="506" w:type="pct"/>
            <w:tcBorders>
              <w:top w:val="single" w:sz="4" w:space="0" w:color="auto"/>
              <w:bottom w:val="single" w:sz="8" w:space="0" w:color="auto"/>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
                <w:bCs/>
                <w:sz w:val="14"/>
                <w:szCs w:val="14"/>
                <w:lang w:eastAsia="tr-TR"/>
              </w:rPr>
            </w:pPr>
            <w:r w:rsidRPr="001131FC">
              <w:rPr>
                <w:rFonts w:cs="Tahoma"/>
                <w:b/>
                <w:bCs/>
                <w:sz w:val="14"/>
                <w:szCs w:val="14"/>
                <w:lang w:eastAsia="tr-TR"/>
              </w:rPr>
              <w:t>2013 (3)</w:t>
            </w:r>
          </w:p>
        </w:tc>
      </w:tr>
      <w:tr w:rsidR="00565FD5" w:rsidRPr="001131FC" w:rsidTr="00AB62A3">
        <w:trPr>
          <w:trHeight w:val="21"/>
        </w:trPr>
        <w:tc>
          <w:tcPr>
            <w:tcW w:w="2098" w:type="pct"/>
            <w:tcBorders>
              <w:left w:val="single" w:sz="4" w:space="0" w:color="auto"/>
              <w:bottom w:val="single" w:sz="8" w:space="0" w:color="auto"/>
            </w:tcBorders>
            <w:tcMar>
              <w:top w:w="12" w:type="dxa"/>
              <w:left w:w="12" w:type="dxa"/>
              <w:bottom w:w="0" w:type="dxa"/>
              <w:right w:w="12" w:type="dxa"/>
            </w:tcMar>
            <w:vAlign w:val="bottom"/>
          </w:tcPr>
          <w:p w:rsidR="00565FD5" w:rsidRPr="001131FC" w:rsidRDefault="00565FD5" w:rsidP="00AB62A3">
            <w:pPr>
              <w:rPr>
                <w:rFonts w:cs="Tahoma"/>
                <w:b/>
                <w:bCs/>
                <w:sz w:val="14"/>
                <w:szCs w:val="14"/>
              </w:rPr>
            </w:pPr>
            <w:r w:rsidRPr="001131FC">
              <w:rPr>
                <w:rFonts w:cs="Tahoma"/>
                <w:b/>
                <w:bCs/>
                <w:sz w:val="14"/>
                <w:szCs w:val="14"/>
              </w:rPr>
              <w:t> </w:t>
            </w:r>
          </w:p>
        </w:tc>
        <w:tc>
          <w:tcPr>
            <w:tcW w:w="1497" w:type="pct"/>
            <w:gridSpan w:val="3"/>
            <w:tcBorders>
              <w:top w:val="single" w:sz="8" w:space="0" w:color="auto"/>
              <w:bottom w:val="single" w:sz="8" w:space="0" w:color="auto"/>
            </w:tcBorders>
            <w:vAlign w:val="bottom"/>
          </w:tcPr>
          <w:p w:rsidR="00565FD5" w:rsidRPr="001131FC" w:rsidRDefault="00565FD5" w:rsidP="00AB62A3">
            <w:pPr>
              <w:ind w:right="70"/>
              <w:jc w:val="center"/>
              <w:rPr>
                <w:rFonts w:cs="Tahoma"/>
                <w:b/>
                <w:bCs/>
                <w:sz w:val="14"/>
                <w:szCs w:val="14"/>
              </w:rPr>
            </w:pPr>
            <w:r w:rsidRPr="001131FC">
              <w:rPr>
                <w:rFonts w:cs="Tahoma"/>
                <w:b/>
                <w:bCs/>
                <w:sz w:val="14"/>
                <w:szCs w:val="14"/>
              </w:rPr>
              <w:t>(1998 Yılı Fiyatlarıyla, Milyon TL)</w:t>
            </w:r>
          </w:p>
        </w:tc>
        <w:tc>
          <w:tcPr>
            <w:tcW w:w="1405" w:type="pct"/>
            <w:gridSpan w:val="4"/>
            <w:tcBorders>
              <w:top w:val="single" w:sz="8" w:space="0" w:color="auto"/>
              <w:bottom w:val="single" w:sz="8" w:space="0" w:color="auto"/>
              <w:right w:val="single" w:sz="4" w:space="0" w:color="auto"/>
            </w:tcBorders>
            <w:vAlign w:val="bottom"/>
          </w:tcPr>
          <w:p w:rsidR="00565FD5" w:rsidRPr="001131FC" w:rsidRDefault="00565FD5" w:rsidP="00AB62A3">
            <w:pPr>
              <w:ind w:right="70"/>
              <w:jc w:val="center"/>
              <w:rPr>
                <w:rFonts w:cs="Tahoma"/>
                <w:b/>
                <w:bCs/>
                <w:sz w:val="14"/>
                <w:szCs w:val="14"/>
              </w:rPr>
            </w:pPr>
            <w:r w:rsidRPr="001131FC">
              <w:rPr>
                <w:rFonts w:cs="Tahoma"/>
                <w:b/>
                <w:bCs/>
                <w:sz w:val="14"/>
                <w:szCs w:val="14"/>
              </w:rPr>
              <w:t>(Yüzde Değişme)</w:t>
            </w:r>
          </w:p>
        </w:tc>
      </w:tr>
      <w:tr w:rsidR="00565FD5" w:rsidRPr="001131FC" w:rsidTr="00AB62A3">
        <w:trPr>
          <w:trHeight w:val="21"/>
        </w:trPr>
        <w:tc>
          <w:tcPr>
            <w:tcW w:w="2098" w:type="pct"/>
            <w:tcBorders>
              <w:top w:val="single" w:sz="8" w:space="0" w:color="auto"/>
              <w:left w:val="single" w:sz="4" w:space="0" w:color="auto"/>
            </w:tcBorders>
            <w:tcMar>
              <w:top w:w="12" w:type="dxa"/>
              <w:left w:w="12" w:type="dxa"/>
              <w:bottom w:w="0" w:type="dxa"/>
              <w:right w:w="12" w:type="dxa"/>
            </w:tcMar>
            <w:vAlign w:val="bottom"/>
          </w:tcPr>
          <w:p w:rsidR="00565FD5" w:rsidRPr="001131FC" w:rsidRDefault="00565FD5" w:rsidP="00AB62A3">
            <w:pPr>
              <w:rPr>
                <w:rFonts w:cs="Tahoma"/>
                <w:b/>
                <w:bCs/>
                <w:sz w:val="14"/>
                <w:szCs w:val="14"/>
              </w:rPr>
            </w:pPr>
            <w:r w:rsidRPr="001131FC">
              <w:rPr>
                <w:rFonts w:cs="Tahoma"/>
                <w:b/>
                <w:bCs/>
                <w:sz w:val="14"/>
                <w:szCs w:val="14"/>
              </w:rPr>
              <w:t>Toplam Tüketim</w:t>
            </w:r>
          </w:p>
        </w:tc>
        <w:tc>
          <w:tcPr>
            <w:tcW w:w="488" w:type="pct"/>
            <w:tcBorders>
              <w:top w:val="single" w:sz="8" w:space="0" w:color="auto"/>
            </w:tcBorders>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90 027</w:t>
            </w:r>
          </w:p>
        </w:tc>
        <w:tc>
          <w:tcPr>
            <w:tcW w:w="535" w:type="pct"/>
            <w:tcBorders>
              <w:top w:val="single" w:sz="8" w:space="0" w:color="auto"/>
            </w:tcBorders>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90 895</w:t>
            </w:r>
          </w:p>
        </w:tc>
        <w:tc>
          <w:tcPr>
            <w:tcW w:w="487" w:type="pct"/>
            <w:gridSpan w:val="2"/>
            <w:tcBorders>
              <w:top w:val="single" w:sz="8" w:space="0" w:color="auto"/>
            </w:tcBorders>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93 737</w:t>
            </w:r>
          </w:p>
        </w:tc>
        <w:tc>
          <w:tcPr>
            <w:tcW w:w="470" w:type="pct"/>
            <w:tcBorders>
              <w:top w:val="single" w:sz="8" w:space="0" w:color="auto"/>
            </w:tcBorders>
            <w:vAlign w:val="bottom"/>
          </w:tcPr>
          <w:p w:rsidR="00565FD5" w:rsidRPr="001131FC" w:rsidRDefault="00565FD5" w:rsidP="00AB62A3">
            <w:pPr>
              <w:jc w:val="right"/>
              <w:rPr>
                <w:rFonts w:cs="Tahoma"/>
                <w:b/>
                <w:bCs/>
                <w:sz w:val="14"/>
                <w:szCs w:val="14"/>
              </w:rPr>
            </w:pPr>
            <w:r w:rsidRPr="001131FC">
              <w:rPr>
                <w:rFonts w:cs="Tahoma"/>
                <w:b/>
                <w:bCs/>
                <w:sz w:val="14"/>
                <w:szCs w:val="14"/>
              </w:rPr>
              <w:t>7,5</w:t>
            </w:r>
          </w:p>
        </w:tc>
        <w:tc>
          <w:tcPr>
            <w:tcW w:w="416" w:type="pct"/>
            <w:tcBorders>
              <w:top w:val="single" w:sz="8" w:space="0" w:color="auto"/>
            </w:tcBorders>
            <w:vAlign w:val="bottom"/>
          </w:tcPr>
          <w:p w:rsidR="00565FD5" w:rsidRPr="001131FC" w:rsidRDefault="00565FD5" w:rsidP="00AB62A3">
            <w:pPr>
              <w:jc w:val="right"/>
              <w:rPr>
                <w:rFonts w:cs="Tahoma"/>
                <w:b/>
                <w:bCs/>
                <w:sz w:val="14"/>
                <w:szCs w:val="14"/>
              </w:rPr>
            </w:pPr>
            <w:r w:rsidRPr="001131FC">
              <w:rPr>
                <w:rFonts w:cs="Tahoma"/>
                <w:b/>
                <w:bCs/>
                <w:sz w:val="14"/>
                <w:szCs w:val="14"/>
              </w:rPr>
              <w:t>1,0</w:t>
            </w:r>
          </w:p>
        </w:tc>
        <w:tc>
          <w:tcPr>
            <w:tcW w:w="506" w:type="pct"/>
            <w:tcBorders>
              <w:top w:val="single" w:sz="8" w:space="0" w:color="auto"/>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3,1</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rPr>
            </w:pPr>
            <w:r w:rsidRPr="001131FC">
              <w:rPr>
                <w:rFonts w:cs="Tahoma"/>
                <w:sz w:val="14"/>
                <w:szCs w:val="14"/>
              </w:rPr>
              <w:t xml:space="preserve">    Kamu</w:t>
            </w:r>
          </w:p>
        </w:tc>
        <w:tc>
          <w:tcPr>
            <w:tcW w:w="488"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8 732</w:t>
            </w:r>
          </w:p>
        </w:tc>
        <w:tc>
          <w:tcPr>
            <w:tcW w:w="535"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9 071</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9 399</w:t>
            </w:r>
          </w:p>
        </w:tc>
        <w:tc>
          <w:tcPr>
            <w:tcW w:w="470" w:type="pct"/>
            <w:vAlign w:val="bottom"/>
          </w:tcPr>
          <w:p w:rsidR="00565FD5" w:rsidRPr="001131FC" w:rsidRDefault="00565FD5" w:rsidP="00AB62A3">
            <w:pPr>
              <w:jc w:val="right"/>
              <w:rPr>
                <w:rFonts w:cs="Tahoma"/>
                <w:bCs/>
                <w:sz w:val="14"/>
                <w:szCs w:val="14"/>
              </w:rPr>
            </w:pPr>
            <w:r w:rsidRPr="001131FC">
              <w:rPr>
                <w:rFonts w:cs="Tahoma"/>
                <w:bCs/>
                <w:sz w:val="14"/>
                <w:szCs w:val="14"/>
              </w:rPr>
              <w:t>5,6</w:t>
            </w:r>
          </w:p>
        </w:tc>
        <w:tc>
          <w:tcPr>
            <w:tcW w:w="416" w:type="pct"/>
            <w:vAlign w:val="bottom"/>
          </w:tcPr>
          <w:p w:rsidR="00565FD5" w:rsidRPr="001131FC" w:rsidRDefault="00565FD5" w:rsidP="00AB62A3">
            <w:pPr>
              <w:jc w:val="right"/>
              <w:rPr>
                <w:rFonts w:cs="Tahoma"/>
                <w:bCs/>
                <w:sz w:val="14"/>
                <w:szCs w:val="14"/>
              </w:rPr>
            </w:pPr>
            <w:r w:rsidRPr="001131FC">
              <w:rPr>
                <w:rFonts w:cs="Tahoma"/>
                <w:bCs/>
                <w:sz w:val="14"/>
                <w:szCs w:val="14"/>
              </w:rPr>
              <w:t>3,9</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3,6</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rPr>
            </w:pPr>
            <w:r w:rsidRPr="001131FC">
              <w:rPr>
                <w:rFonts w:cs="Tahoma"/>
                <w:sz w:val="14"/>
                <w:szCs w:val="14"/>
              </w:rPr>
              <w:t xml:space="preserve">    Özel</w:t>
            </w:r>
          </w:p>
        </w:tc>
        <w:tc>
          <w:tcPr>
            <w:tcW w:w="488"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81 295</w:t>
            </w:r>
          </w:p>
        </w:tc>
        <w:tc>
          <w:tcPr>
            <w:tcW w:w="535"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81 824</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84 337</w:t>
            </w:r>
          </w:p>
        </w:tc>
        <w:tc>
          <w:tcPr>
            <w:tcW w:w="470" w:type="pct"/>
            <w:vAlign w:val="bottom"/>
          </w:tcPr>
          <w:p w:rsidR="00565FD5" w:rsidRPr="001131FC" w:rsidRDefault="00565FD5" w:rsidP="00AB62A3">
            <w:pPr>
              <w:jc w:val="right"/>
              <w:rPr>
                <w:rFonts w:cs="Tahoma"/>
                <w:bCs/>
                <w:sz w:val="14"/>
                <w:szCs w:val="14"/>
              </w:rPr>
            </w:pPr>
            <w:r w:rsidRPr="001131FC">
              <w:rPr>
                <w:rFonts w:cs="Tahoma"/>
                <w:bCs/>
                <w:sz w:val="14"/>
                <w:szCs w:val="14"/>
              </w:rPr>
              <w:t>7,8</w:t>
            </w:r>
          </w:p>
        </w:tc>
        <w:tc>
          <w:tcPr>
            <w:tcW w:w="416" w:type="pct"/>
            <w:vAlign w:val="bottom"/>
          </w:tcPr>
          <w:p w:rsidR="00565FD5" w:rsidRPr="001131FC" w:rsidRDefault="00565FD5" w:rsidP="00AB62A3">
            <w:pPr>
              <w:jc w:val="right"/>
              <w:rPr>
                <w:rFonts w:cs="Tahoma"/>
                <w:bCs/>
                <w:sz w:val="14"/>
                <w:szCs w:val="14"/>
              </w:rPr>
            </w:pPr>
            <w:r w:rsidRPr="001131FC">
              <w:rPr>
                <w:rFonts w:cs="Tahoma"/>
                <w:bCs/>
                <w:sz w:val="14"/>
                <w:szCs w:val="14"/>
              </w:rPr>
              <w:t>0,6</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3,1</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b/>
                <w:bCs/>
                <w:sz w:val="14"/>
                <w:szCs w:val="14"/>
              </w:rPr>
            </w:pPr>
            <w:r w:rsidRPr="001131FC">
              <w:rPr>
                <w:rFonts w:cs="Tahoma"/>
                <w:b/>
                <w:bCs/>
                <w:sz w:val="14"/>
                <w:szCs w:val="14"/>
              </w:rPr>
              <w:t>Toplam Yatırım</w:t>
            </w:r>
          </w:p>
        </w:tc>
        <w:tc>
          <w:tcPr>
            <w:tcW w:w="488" w:type="pct"/>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30 607</w:t>
            </w:r>
          </w:p>
        </w:tc>
        <w:tc>
          <w:tcPr>
            <w:tcW w:w="535" w:type="pct"/>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29 569</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31 468</w:t>
            </w:r>
          </w:p>
        </w:tc>
        <w:tc>
          <w:tcPr>
            <w:tcW w:w="470" w:type="pct"/>
            <w:vAlign w:val="bottom"/>
          </w:tcPr>
          <w:p w:rsidR="00565FD5" w:rsidRPr="001131FC" w:rsidRDefault="00565FD5" w:rsidP="00AB62A3">
            <w:pPr>
              <w:jc w:val="right"/>
              <w:rPr>
                <w:rFonts w:cs="Tahoma"/>
                <w:b/>
                <w:bCs/>
                <w:sz w:val="14"/>
                <w:szCs w:val="14"/>
              </w:rPr>
            </w:pPr>
            <w:r w:rsidRPr="001131FC">
              <w:rPr>
                <w:rFonts w:cs="Tahoma"/>
                <w:b/>
                <w:bCs/>
                <w:sz w:val="14"/>
                <w:szCs w:val="14"/>
              </w:rPr>
              <w:t>16,2</w:t>
            </w:r>
          </w:p>
        </w:tc>
        <w:tc>
          <w:tcPr>
            <w:tcW w:w="416" w:type="pct"/>
            <w:vAlign w:val="bottom"/>
          </w:tcPr>
          <w:p w:rsidR="00565FD5" w:rsidRPr="001131FC" w:rsidRDefault="00565FD5" w:rsidP="00AB62A3">
            <w:pPr>
              <w:jc w:val="right"/>
              <w:rPr>
                <w:rFonts w:cs="Tahoma"/>
                <w:b/>
                <w:bCs/>
                <w:sz w:val="14"/>
                <w:szCs w:val="14"/>
              </w:rPr>
            </w:pPr>
            <w:r w:rsidRPr="001131FC">
              <w:rPr>
                <w:rFonts w:cs="Tahoma"/>
                <w:b/>
                <w:bCs/>
                <w:sz w:val="14"/>
                <w:szCs w:val="14"/>
              </w:rPr>
              <w:t>-3,4</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6,4</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rPr>
            </w:pPr>
            <w:r w:rsidRPr="001131FC">
              <w:rPr>
                <w:rFonts w:cs="Tahoma"/>
                <w:sz w:val="14"/>
                <w:szCs w:val="14"/>
              </w:rPr>
              <w:t xml:space="preserve">    Kamu</w:t>
            </w:r>
          </w:p>
        </w:tc>
        <w:tc>
          <w:tcPr>
            <w:tcW w:w="488"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5 129</w:t>
            </w:r>
          </w:p>
        </w:tc>
        <w:tc>
          <w:tcPr>
            <w:tcW w:w="535"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5 481</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5 712</w:t>
            </w:r>
          </w:p>
        </w:tc>
        <w:tc>
          <w:tcPr>
            <w:tcW w:w="470" w:type="pct"/>
            <w:vAlign w:val="bottom"/>
          </w:tcPr>
          <w:p w:rsidR="00565FD5" w:rsidRPr="001131FC" w:rsidRDefault="00565FD5" w:rsidP="00AB62A3">
            <w:pPr>
              <w:jc w:val="right"/>
              <w:rPr>
                <w:rFonts w:cs="Tahoma"/>
                <w:bCs/>
                <w:sz w:val="14"/>
                <w:szCs w:val="14"/>
              </w:rPr>
            </w:pPr>
            <w:r w:rsidRPr="001131FC">
              <w:rPr>
                <w:rFonts w:cs="Tahoma"/>
                <w:bCs/>
                <w:sz w:val="14"/>
                <w:szCs w:val="14"/>
              </w:rPr>
              <w:t>1,0</w:t>
            </w:r>
          </w:p>
        </w:tc>
        <w:tc>
          <w:tcPr>
            <w:tcW w:w="416" w:type="pct"/>
            <w:vAlign w:val="bottom"/>
          </w:tcPr>
          <w:p w:rsidR="00565FD5" w:rsidRPr="001131FC" w:rsidRDefault="00565FD5" w:rsidP="00AB62A3">
            <w:pPr>
              <w:jc w:val="right"/>
              <w:rPr>
                <w:rFonts w:cs="Tahoma"/>
                <w:bCs/>
                <w:sz w:val="14"/>
                <w:szCs w:val="14"/>
              </w:rPr>
            </w:pPr>
            <w:r w:rsidRPr="001131FC">
              <w:rPr>
                <w:rFonts w:cs="Tahoma"/>
                <w:bCs/>
                <w:sz w:val="14"/>
                <w:szCs w:val="14"/>
              </w:rPr>
              <w:t>6,9</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4,2</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rPr>
            </w:pPr>
            <w:r w:rsidRPr="001131FC">
              <w:rPr>
                <w:rFonts w:cs="Tahoma"/>
                <w:sz w:val="14"/>
                <w:szCs w:val="14"/>
              </w:rPr>
              <w:t xml:space="preserve">    Özel</w:t>
            </w:r>
          </w:p>
        </w:tc>
        <w:tc>
          <w:tcPr>
            <w:tcW w:w="488"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25 478</w:t>
            </w:r>
          </w:p>
        </w:tc>
        <w:tc>
          <w:tcPr>
            <w:tcW w:w="535"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24 088</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25 756</w:t>
            </w:r>
          </w:p>
        </w:tc>
        <w:tc>
          <w:tcPr>
            <w:tcW w:w="470" w:type="pct"/>
            <w:vAlign w:val="bottom"/>
          </w:tcPr>
          <w:p w:rsidR="00565FD5" w:rsidRPr="001131FC" w:rsidRDefault="00565FD5" w:rsidP="00AB62A3">
            <w:pPr>
              <w:jc w:val="right"/>
              <w:rPr>
                <w:rFonts w:cs="Tahoma"/>
                <w:bCs/>
                <w:sz w:val="14"/>
                <w:szCs w:val="14"/>
              </w:rPr>
            </w:pPr>
            <w:r w:rsidRPr="001131FC">
              <w:rPr>
                <w:rFonts w:cs="Tahoma"/>
                <w:bCs/>
                <w:sz w:val="14"/>
                <w:szCs w:val="14"/>
              </w:rPr>
              <w:t>19,9</w:t>
            </w:r>
          </w:p>
        </w:tc>
        <w:tc>
          <w:tcPr>
            <w:tcW w:w="416" w:type="pct"/>
            <w:vAlign w:val="bottom"/>
          </w:tcPr>
          <w:p w:rsidR="00565FD5" w:rsidRPr="001131FC" w:rsidRDefault="00565FD5" w:rsidP="00AB62A3">
            <w:pPr>
              <w:jc w:val="right"/>
              <w:rPr>
                <w:rFonts w:cs="Tahoma"/>
                <w:bCs/>
                <w:sz w:val="14"/>
                <w:szCs w:val="14"/>
              </w:rPr>
            </w:pPr>
            <w:r w:rsidRPr="001131FC">
              <w:rPr>
                <w:rFonts w:cs="Tahoma"/>
                <w:bCs/>
                <w:sz w:val="14"/>
                <w:szCs w:val="14"/>
              </w:rPr>
              <w:t>-5,5</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6,9</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b/>
                <w:bCs/>
                <w:sz w:val="14"/>
                <w:szCs w:val="14"/>
              </w:rPr>
            </w:pPr>
            <w:r w:rsidRPr="001131FC">
              <w:rPr>
                <w:rFonts w:cs="Tahoma"/>
                <w:b/>
                <w:bCs/>
                <w:sz w:val="14"/>
                <w:szCs w:val="14"/>
              </w:rPr>
              <w:t xml:space="preserve">Sabit Sermaye Yatırımı </w:t>
            </w:r>
          </w:p>
        </w:tc>
        <w:tc>
          <w:tcPr>
            <w:tcW w:w="488" w:type="pct"/>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30 593</w:t>
            </w:r>
          </w:p>
        </w:tc>
        <w:tc>
          <w:tcPr>
            <w:tcW w:w="535" w:type="pct"/>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30 425</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32 486</w:t>
            </w:r>
          </w:p>
        </w:tc>
        <w:tc>
          <w:tcPr>
            <w:tcW w:w="470" w:type="pct"/>
            <w:vAlign w:val="bottom"/>
          </w:tcPr>
          <w:p w:rsidR="00565FD5" w:rsidRPr="001131FC" w:rsidRDefault="00565FD5" w:rsidP="00AB62A3">
            <w:pPr>
              <w:jc w:val="right"/>
              <w:rPr>
                <w:rFonts w:cs="Tahoma"/>
                <w:b/>
                <w:bCs/>
                <w:sz w:val="14"/>
                <w:szCs w:val="14"/>
              </w:rPr>
            </w:pPr>
            <w:r w:rsidRPr="001131FC">
              <w:rPr>
                <w:rFonts w:cs="Tahoma"/>
                <w:b/>
                <w:bCs/>
                <w:sz w:val="14"/>
                <w:szCs w:val="14"/>
              </w:rPr>
              <w:t>17,4</w:t>
            </w:r>
          </w:p>
        </w:tc>
        <w:tc>
          <w:tcPr>
            <w:tcW w:w="416" w:type="pct"/>
            <w:vAlign w:val="bottom"/>
          </w:tcPr>
          <w:p w:rsidR="00565FD5" w:rsidRPr="001131FC" w:rsidRDefault="00565FD5" w:rsidP="00AB62A3">
            <w:pPr>
              <w:jc w:val="right"/>
              <w:rPr>
                <w:rFonts w:cs="Tahoma"/>
                <w:b/>
                <w:bCs/>
                <w:sz w:val="14"/>
                <w:szCs w:val="14"/>
              </w:rPr>
            </w:pPr>
            <w:r w:rsidRPr="001131FC">
              <w:rPr>
                <w:rFonts w:cs="Tahoma"/>
                <w:b/>
                <w:bCs/>
                <w:sz w:val="14"/>
                <w:szCs w:val="14"/>
              </w:rPr>
              <w:t>-0,5</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6,8</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rPr>
            </w:pPr>
            <w:r w:rsidRPr="001131FC">
              <w:rPr>
                <w:rFonts w:cs="Tahoma"/>
                <w:sz w:val="14"/>
                <w:szCs w:val="14"/>
              </w:rPr>
              <w:t xml:space="preserve">    Kamu</w:t>
            </w:r>
          </w:p>
        </w:tc>
        <w:tc>
          <w:tcPr>
            <w:tcW w:w="488"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5 123</w:t>
            </w:r>
          </w:p>
        </w:tc>
        <w:tc>
          <w:tcPr>
            <w:tcW w:w="535"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5 400</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5 692</w:t>
            </w:r>
          </w:p>
        </w:tc>
        <w:tc>
          <w:tcPr>
            <w:tcW w:w="470" w:type="pct"/>
            <w:vAlign w:val="bottom"/>
          </w:tcPr>
          <w:p w:rsidR="00565FD5" w:rsidRPr="001131FC" w:rsidRDefault="00565FD5" w:rsidP="00AB62A3">
            <w:pPr>
              <w:jc w:val="right"/>
              <w:rPr>
                <w:rFonts w:cs="Tahoma"/>
                <w:bCs/>
                <w:sz w:val="14"/>
                <w:szCs w:val="14"/>
              </w:rPr>
            </w:pPr>
            <w:r w:rsidRPr="001131FC">
              <w:rPr>
                <w:rFonts w:cs="Tahoma"/>
                <w:bCs/>
                <w:sz w:val="14"/>
                <w:szCs w:val="14"/>
              </w:rPr>
              <w:t>-3,0</w:t>
            </w:r>
          </w:p>
        </w:tc>
        <w:tc>
          <w:tcPr>
            <w:tcW w:w="416" w:type="pct"/>
            <w:vAlign w:val="bottom"/>
          </w:tcPr>
          <w:p w:rsidR="00565FD5" w:rsidRPr="001131FC" w:rsidRDefault="00565FD5" w:rsidP="00AB62A3">
            <w:pPr>
              <w:jc w:val="right"/>
              <w:rPr>
                <w:rFonts w:cs="Tahoma"/>
                <w:bCs/>
                <w:sz w:val="14"/>
                <w:szCs w:val="14"/>
              </w:rPr>
            </w:pPr>
            <w:r w:rsidRPr="001131FC">
              <w:rPr>
                <w:rFonts w:cs="Tahoma"/>
                <w:bCs/>
                <w:sz w:val="14"/>
                <w:szCs w:val="14"/>
              </w:rPr>
              <w:t>5,4</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5,4</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rPr>
            </w:pPr>
            <w:r w:rsidRPr="001131FC">
              <w:rPr>
                <w:rFonts w:cs="Tahoma"/>
                <w:sz w:val="14"/>
                <w:szCs w:val="14"/>
              </w:rPr>
              <w:t xml:space="preserve">    Özel</w:t>
            </w:r>
          </w:p>
        </w:tc>
        <w:tc>
          <w:tcPr>
            <w:tcW w:w="488"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25 470</w:t>
            </w:r>
          </w:p>
        </w:tc>
        <w:tc>
          <w:tcPr>
            <w:tcW w:w="535"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25 025</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26 794</w:t>
            </w:r>
          </w:p>
        </w:tc>
        <w:tc>
          <w:tcPr>
            <w:tcW w:w="470" w:type="pct"/>
            <w:vAlign w:val="bottom"/>
          </w:tcPr>
          <w:p w:rsidR="00565FD5" w:rsidRPr="001131FC" w:rsidRDefault="00565FD5" w:rsidP="00AB62A3">
            <w:pPr>
              <w:jc w:val="right"/>
              <w:rPr>
                <w:rFonts w:cs="Tahoma"/>
                <w:bCs/>
                <w:sz w:val="14"/>
                <w:szCs w:val="14"/>
              </w:rPr>
            </w:pPr>
            <w:r w:rsidRPr="001131FC">
              <w:rPr>
                <w:rFonts w:cs="Tahoma"/>
                <w:bCs/>
                <w:sz w:val="14"/>
                <w:szCs w:val="14"/>
              </w:rPr>
              <w:t>22,6</w:t>
            </w:r>
          </w:p>
        </w:tc>
        <w:tc>
          <w:tcPr>
            <w:tcW w:w="416" w:type="pct"/>
            <w:vAlign w:val="bottom"/>
          </w:tcPr>
          <w:p w:rsidR="00565FD5" w:rsidRPr="001131FC" w:rsidRDefault="00565FD5" w:rsidP="00AB62A3">
            <w:pPr>
              <w:jc w:val="right"/>
              <w:rPr>
                <w:rFonts w:cs="Tahoma"/>
                <w:bCs/>
                <w:sz w:val="14"/>
                <w:szCs w:val="14"/>
              </w:rPr>
            </w:pPr>
            <w:r w:rsidRPr="001131FC">
              <w:rPr>
                <w:rFonts w:cs="Tahoma"/>
                <w:bCs/>
                <w:sz w:val="14"/>
                <w:szCs w:val="14"/>
              </w:rPr>
              <w:t>-1,7</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7,1</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b/>
                <w:bCs/>
                <w:sz w:val="14"/>
                <w:szCs w:val="14"/>
              </w:rPr>
            </w:pPr>
            <w:r w:rsidRPr="001131FC">
              <w:rPr>
                <w:rFonts w:cs="Tahoma"/>
                <w:b/>
                <w:bCs/>
                <w:sz w:val="14"/>
                <w:szCs w:val="14"/>
              </w:rPr>
              <w:t>Stok Değişmesi (1)</w:t>
            </w:r>
          </w:p>
        </w:tc>
        <w:tc>
          <w:tcPr>
            <w:tcW w:w="488" w:type="pct"/>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14</w:t>
            </w:r>
          </w:p>
        </w:tc>
        <w:tc>
          <w:tcPr>
            <w:tcW w:w="535" w:type="pct"/>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-856</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-1 017</w:t>
            </w:r>
          </w:p>
        </w:tc>
        <w:tc>
          <w:tcPr>
            <w:tcW w:w="470" w:type="pct"/>
            <w:vAlign w:val="bottom"/>
          </w:tcPr>
          <w:p w:rsidR="00565FD5" w:rsidRPr="001131FC" w:rsidRDefault="00565FD5" w:rsidP="00AB62A3">
            <w:pPr>
              <w:jc w:val="right"/>
              <w:rPr>
                <w:rFonts w:cs="Tahoma"/>
                <w:b/>
                <w:bCs/>
                <w:sz w:val="14"/>
                <w:szCs w:val="14"/>
              </w:rPr>
            </w:pPr>
            <w:r w:rsidRPr="001131FC">
              <w:rPr>
                <w:rFonts w:cs="Tahoma"/>
                <w:b/>
                <w:bCs/>
                <w:sz w:val="14"/>
                <w:szCs w:val="14"/>
              </w:rPr>
              <w:t>-0,3</w:t>
            </w:r>
          </w:p>
        </w:tc>
        <w:tc>
          <w:tcPr>
            <w:tcW w:w="416" w:type="pct"/>
            <w:vAlign w:val="bottom"/>
          </w:tcPr>
          <w:p w:rsidR="00565FD5" w:rsidRPr="001131FC" w:rsidRDefault="00565FD5" w:rsidP="00AB62A3">
            <w:pPr>
              <w:jc w:val="right"/>
              <w:rPr>
                <w:rFonts w:cs="Tahoma"/>
                <w:b/>
                <w:bCs/>
                <w:sz w:val="14"/>
                <w:szCs w:val="14"/>
              </w:rPr>
            </w:pPr>
            <w:r w:rsidRPr="001131FC">
              <w:rPr>
                <w:rFonts w:cs="Tahoma"/>
                <w:b/>
                <w:bCs/>
                <w:sz w:val="14"/>
                <w:szCs w:val="14"/>
              </w:rPr>
              <w:t>-0,8</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-0,1</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rPr>
            </w:pPr>
            <w:r w:rsidRPr="001131FC">
              <w:rPr>
                <w:rFonts w:cs="Tahoma"/>
                <w:sz w:val="14"/>
                <w:szCs w:val="14"/>
              </w:rPr>
              <w:t xml:space="preserve">    Kamu</w:t>
            </w:r>
          </w:p>
        </w:tc>
        <w:tc>
          <w:tcPr>
            <w:tcW w:w="488"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7</w:t>
            </w:r>
          </w:p>
        </w:tc>
        <w:tc>
          <w:tcPr>
            <w:tcW w:w="535"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81</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20</w:t>
            </w:r>
          </w:p>
        </w:tc>
        <w:tc>
          <w:tcPr>
            <w:tcW w:w="470" w:type="pct"/>
            <w:vAlign w:val="bottom"/>
          </w:tcPr>
          <w:p w:rsidR="00565FD5" w:rsidRPr="001131FC" w:rsidRDefault="00565FD5" w:rsidP="00AB62A3">
            <w:pPr>
              <w:jc w:val="right"/>
              <w:rPr>
                <w:rFonts w:cs="Tahoma"/>
                <w:bCs/>
                <w:sz w:val="14"/>
                <w:szCs w:val="14"/>
              </w:rPr>
            </w:pPr>
            <w:r w:rsidRPr="001131FC">
              <w:rPr>
                <w:rFonts w:cs="Tahoma"/>
                <w:bCs/>
                <w:sz w:val="14"/>
                <w:szCs w:val="14"/>
              </w:rPr>
              <w:t>0,2</w:t>
            </w:r>
          </w:p>
        </w:tc>
        <w:tc>
          <w:tcPr>
            <w:tcW w:w="416" w:type="pct"/>
            <w:vAlign w:val="bottom"/>
          </w:tcPr>
          <w:p w:rsidR="00565FD5" w:rsidRPr="001131FC" w:rsidRDefault="00565FD5" w:rsidP="00AB62A3">
            <w:pPr>
              <w:jc w:val="right"/>
              <w:rPr>
                <w:rFonts w:cs="Tahoma"/>
                <w:bCs/>
                <w:sz w:val="14"/>
                <w:szCs w:val="14"/>
              </w:rPr>
            </w:pPr>
            <w:r w:rsidRPr="001131FC">
              <w:rPr>
                <w:rFonts w:cs="Tahoma"/>
                <w:bCs/>
                <w:sz w:val="14"/>
                <w:szCs w:val="14"/>
              </w:rPr>
              <w:t>0,1</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-0,1</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rPr>
            </w:pPr>
            <w:r w:rsidRPr="001131FC">
              <w:rPr>
                <w:rFonts w:cs="Tahoma"/>
                <w:sz w:val="14"/>
                <w:szCs w:val="14"/>
              </w:rPr>
              <w:t xml:space="preserve">    Özel</w:t>
            </w:r>
          </w:p>
        </w:tc>
        <w:tc>
          <w:tcPr>
            <w:tcW w:w="488"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7</w:t>
            </w:r>
          </w:p>
        </w:tc>
        <w:tc>
          <w:tcPr>
            <w:tcW w:w="535"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-937</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-1 038</w:t>
            </w:r>
          </w:p>
        </w:tc>
        <w:tc>
          <w:tcPr>
            <w:tcW w:w="470" w:type="pct"/>
            <w:vAlign w:val="bottom"/>
          </w:tcPr>
          <w:p w:rsidR="00565FD5" w:rsidRPr="001131FC" w:rsidRDefault="00565FD5" w:rsidP="00AB62A3">
            <w:pPr>
              <w:jc w:val="right"/>
              <w:rPr>
                <w:rFonts w:cs="Tahoma"/>
                <w:bCs/>
                <w:sz w:val="14"/>
                <w:szCs w:val="14"/>
              </w:rPr>
            </w:pPr>
            <w:r w:rsidRPr="001131FC">
              <w:rPr>
                <w:rFonts w:cs="Tahoma"/>
                <w:bCs/>
                <w:sz w:val="14"/>
                <w:szCs w:val="14"/>
              </w:rPr>
              <w:t>-0,4</w:t>
            </w:r>
          </w:p>
        </w:tc>
        <w:tc>
          <w:tcPr>
            <w:tcW w:w="416" w:type="pct"/>
            <w:vAlign w:val="bottom"/>
          </w:tcPr>
          <w:p w:rsidR="00565FD5" w:rsidRPr="001131FC" w:rsidRDefault="00565FD5" w:rsidP="00AB62A3">
            <w:pPr>
              <w:jc w:val="right"/>
              <w:rPr>
                <w:rFonts w:cs="Tahoma"/>
                <w:bCs/>
                <w:sz w:val="14"/>
                <w:szCs w:val="14"/>
              </w:rPr>
            </w:pPr>
            <w:r w:rsidRPr="001131FC">
              <w:rPr>
                <w:rFonts w:cs="Tahoma"/>
                <w:bCs/>
                <w:sz w:val="14"/>
                <w:szCs w:val="14"/>
              </w:rPr>
              <w:t>-0,8</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-0,1</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b/>
                <w:bCs/>
                <w:sz w:val="14"/>
                <w:szCs w:val="14"/>
              </w:rPr>
            </w:pPr>
            <w:r w:rsidRPr="001131FC">
              <w:rPr>
                <w:rFonts w:cs="Tahoma"/>
                <w:b/>
                <w:bCs/>
                <w:sz w:val="14"/>
                <w:szCs w:val="14"/>
              </w:rPr>
              <w:t xml:space="preserve">Toplam </w:t>
            </w:r>
            <w:r>
              <w:rPr>
                <w:rFonts w:cs="Tahoma"/>
                <w:b/>
                <w:bCs/>
                <w:sz w:val="14"/>
                <w:szCs w:val="14"/>
              </w:rPr>
              <w:t>Yurtiçi</w:t>
            </w:r>
            <w:r w:rsidRPr="001131FC">
              <w:rPr>
                <w:rFonts w:cs="Tahoma"/>
                <w:b/>
                <w:bCs/>
                <w:sz w:val="14"/>
                <w:szCs w:val="14"/>
              </w:rPr>
              <w:t xml:space="preserve"> Talep (Toplam Kaynaklar)</w:t>
            </w:r>
          </w:p>
        </w:tc>
        <w:tc>
          <w:tcPr>
            <w:tcW w:w="488" w:type="pct"/>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120 634</w:t>
            </w:r>
          </w:p>
        </w:tc>
        <w:tc>
          <w:tcPr>
            <w:tcW w:w="535" w:type="pct"/>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120 464</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125 205</w:t>
            </w:r>
          </w:p>
        </w:tc>
        <w:tc>
          <w:tcPr>
            <w:tcW w:w="470" w:type="pct"/>
            <w:vAlign w:val="bottom"/>
          </w:tcPr>
          <w:p w:rsidR="00565FD5" w:rsidRPr="001131FC" w:rsidRDefault="00565FD5" w:rsidP="00AB62A3">
            <w:pPr>
              <w:jc w:val="right"/>
              <w:rPr>
                <w:rFonts w:cs="Tahoma"/>
                <w:b/>
                <w:bCs/>
                <w:sz w:val="14"/>
                <w:szCs w:val="14"/>
              </w:rPr>
            </w:pPr>
            <w:r w:rsidRPr="001131FC">
              <w:rPr>
                <w:rFonts w:cs="Tahoma"/>
                <w:b/>
                <w:bCs/>
                <w:sz w:val="14"/>
                <w:szCs w:val="14"/>
              </w:rPr>
              <w:t>9,6</w:t>
            </w:r>
          </w:p>
        </w:tc>
        <w:tc>
          <w:tcPr>
            <w:tcW w:w="416" w:type="pct"/>
            <w:vAlign w:val="bottom"/>
          </w:tcPr>
          <w:p w:rsidR="00565FD5" w:rsidRPr="001131FC" w:rsidRDefault="00565FD5" w:rsidP="00AB62A3">
            <w:pPr>
              <w:jc w:val="right"/>
              <w:rPr>
                <w:rFonts w:cs="Tahoma"/>
                <w:b/>
                <w:bCs/>
                <w:sz w:val="14"/>
                <w:szCs w:val="14"/>
              </w:rPr>
            </w:pPr>
            <w:r w:rsidRPr="001131FC">
              <w:rPr>
                <w:rFonts w:cs="Tahoma"/>
                <w:b/>
                <w:bCs/>
                <w:sz w:val="14"/>
                <w:szCs w:val="14"/>
              </w:rPr>
              <w:t>-0,1</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3,9</w:t>
            </w:r>
          </w:p>
        </w:tc>
      </w:tr>
      <w:tr w:rsidR="00565FD5" w:rsidRPr="001131FC" w:rsidTr="00AB62A3">
        <w:trPr>
          <w:trHeight w:hRule="exact" w:val="119"/>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rPr>
            </w:pPr>
            <w:r w:rsidRPr="001131FC">
              <w:rPr>
                <w:rFonts w:cs="Tahoma"/>
                <w:sz w:val="14"/>
                <w:szCs w:val="14"/>
              </w:rPr>
              <w:t> </w:t>
            </w:r>
          </w:p>
        </w:tc>
        <w:tc>
          <w:tcPr>
            <w:tcW w:w="488" w:type="pct"/>
            <w:tcMar>
              <w:top w:w="12" w:type="dxa"/>
              <w:left w:w="12" w:type="dxa"/>
              <w:bottom w:w="0" w:type="dxa"/>
              <w:right w:w="12" w:type="dxa"/>
            </w:tcMar>
            <w:vAlign w:val="bottom"/>
          </w:tcPr>
          <w:p w:rsidR="00565FD5" w:rsidRPr="001131FC" w:rsidRDefault="00565FD5" w:rsidP="00AB62A3">
            <w:pPr>
              <w:jc w:val="right"/>
              <w:rPr>
                <w:rFonts w:cs="Tahoma"/>
                <w:sz w:val="14"/>
                <w:szCs w:val="14"/>
              </w:rPr>
            </w:pPr>
          </w:p>
        </w:tc>
        <w:tc>
          <w:tcPr>
            <w:tcW w:w="535" w:type="pct"/>
            <w:tcMar>
              <w:top w:w="12" w:type="dxa"/>
              <w:left w:w="12" w:type="dxa"/>
              <w:bottom w:w="0" w:type="dxa"/>
              <w:right w:w="12" w:type="dxa"/>
            </w:tcMar>
            <w:vAlign w:val="bottom"/>
          </w:tcPr>
          <w:p w:rsidR="00565FD5" w:rsidRPr="001131FC" w:rsidRDefault="00565FD5" w:rsidP="00AB62A3">
            <w:pPr>
              <w:jc w:val="right"/>
              <w:rPr>
                <w:rFonts w:cs="Tahoma"/>
                <w:sz w:val="14"/>
                <w:szCs w:val="14"/>
              </w:rPr>
            </w:pP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sz w:val="14"/>
                <w:szCs w:val="14"/>
              </w:rPr>
            </w:pPr>
          </w:p>
        </w:tc>
        <w:tc>
          <w:tcPr>
            <w:tcW w:w="470" w:type="pct"/>
          </w:tcPr>
          <w:p w:rsidR="00565FD5" w:rsidRPr="001131FC" w:rsidRDefault="00565FD5" w:rsidP="00AB62A3">
            <w:pPr>
              <w:tabs>
                <w:tab w:val="left" w:pos="360"/>
              </w:tabs>
              <w:ind w:right="51"/>
              <w:jc w:val="right"/>
              <w:rPr>
                <w:rFonts w:cs="Tahoma"/>
                <w:sz w:val="14"/>
                <w:szCs w:val="14"/>
              </w:rPr>
            </w:pPr>
          </w:p>
        </w:tc>
        <w:tc>
          <w:tcPr>
            <w:tcW w:w="416" w:type="pct"/>
          </w:tcPr>
          <w:p w:rsidR="00565FD5" w:rsidRPr="001131FC" w:rsidRDefault="00565FD5" w:rsidP="00AB62A3">
            <w:pPr>
              <w:ind w:right="70"/>
              <w:jc w:val="right"/>
              <w:rPr>
                <w:rFonts w:cs="Tahoma"/>
                <w:sz w:val="14"/>
                <w:szCs w:val="14"/>
              </w:rPr>
            </w:pP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ind w:right="56"/>
              <w:jc w:val="right"/>
              <w:rPr>
                <w:rFonts w:cs="Tahoma"/>
                <w:sz w:val="14"/>
                <w:szCs w:val="14"/>
              </w:rPr>
            </w:pP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b/>
                <w:bCs/>
                <w:sz w:val="14"/>
                <w:szCs w:val="14"/>
              </w:rPr>
            </w:pPr>
            <w:r w:rsidRPr="001131FC">
              <w:rPr>
                <w:rFonts w:cs="Tahoma"/>
                <w:b/>
                <w:bCs/>
                <w:sz w:val="14"/>
                <w:szCs w:val="14"/>
              </w:rPr>
              <w:t>Net Mal ve Hizmet İhracatı (1)</w:t>
            </w:r>
          </w:p>
        </w:tc>
        <w:tc>
          <w:tcPr>
            <w:tcW w:w="488" w:type="pct"/>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-5 745</w:t>
            </w:r>
          </w:p>
        </w:tc>
        <w:tc>
          <w:tcPr>
            <w:tcW w:w="535" w:type="pct"/>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-1 898</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-1 897</w:t>
            </w:r>
          </w:p>
        </w:tc>
        <w:tc>
          <w:tcPr>
            <w:tcW w:w="470" w:type="pct"/>
            <w:vAlign w:val="bottom"/>
          </w:tcPr>
          <w:p w:rsidR="00565FD5" w:rsidRPr="001131FC" w:rsidRDefault="00565FD5" w:rsidP="00AB62A3">
            <w:pPr>
              <w:jc w:val="right"/>
              <w:rPr>
                <w:rFonts w:cs="Tahoma"/>
                <w:b/>
                <w:bCs/>
                <w:sz w:val="14"/>
                <w:szCs w:val="14"/>
              </w:rPr>
            </w:pPr>
            <w:r w:rsidRPr="001131FC">
              <w:rPr>
                <w:rFonts w:cs="Tahoma"/>
                <w:b/>
                <w:bCs/>
                <w:sz w:val="14"/>
                <w:szCs w:val="14"/>
              </w:rPr>
              <w:t>-1,5</w:t>
            </w:r>
          </w:p>
        </w:tc>
        <w:tc>
          <w:tcPr>
            <w:tcW w:w="416" w:type="pct"/>
            <w:vAlign w:val="bottom"/>
          </w:tcPr>
          <w:p w:rsidR="00565FD5" w:rsidRPr="001131FC" w:rsidRDefault="00565FD5" w:rsidP="00AB62A3">
            <w:pPr>
              <w:jc w:val="right"/>
              <w:rPr>
                <w:rFonts w:cs="Tahoma"/>
                <w:b/>
                <w:bCs/>
                <w:sz w:val="14"/>
                <w:szCs w:val="14"/>
              </w:rPr>
            </w:pPr>
            <w:r w:rsidRPr="001131FC">
              <w:rPr>
                <w:rFonts w:cs="Tahoma"/>
                <w:b/>
                <w:bCs/>
                <w:sz w:val="14"/>
                <w:szCs w:val="14"/>
              </w:rPr>
              <w:t>3,3</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0,0</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rPr>
            </w:pPr>
            <w:r w:rsidRPr="001131FC">
              <w:rPr>
                <w:rFonts w:cs="Tahoma"/>
                <w:sz w:val="14"/>
                <w:szCs w:val="14"/>
              </w:rPr>
              <w:lastRenderedPageBreak/>
              <w:t xml:space="preserve">   Mal ve Hizmet İhracatı</w:t>
            </w:r>
          </w:p>
        </w:tc>
        <w:tc>
          <w:tcPr>
            <w:tcW w:w="488"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27 145</w:t>
            </w:r>
          </w:p>
        </w:tc>
        <w:tc>
          <w:tcPr>
            <w:tcW w:w="535"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30 983</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32 294</w:t>
            </w:r>
          </w:p>
        </w:tc>
        <w:tc>
          <w:tcPr>
            <w:tcW w:w="470" w:type="pct"/>
            <w:vAlign w:val="bottom"/>
          </w:tcPr>
          <w:p w:rsidR="00565FD5" w:rsidRPr="001131FC" w:rsidRDefault="00565FD5" w:rsidP="00AB62A3">
            <w:pPr>
              <w:jc w:val="right"/>
              <w:rPr>
                <w:rFonts w:cs="Tahoma"/>
                <w:bCs/>
                <w:sz w:val="14"/>
                <w:szCs w:val="14"/>
              </w:rPr>
            </w:pPr>
            <w:r w:rsidRPr="001131FC">
              <w:rPr>
                <w:rFonts w:cs="Tahoma"/>
                <w:bCs/>
                <w:sz w:val="14"/>
                <w:szCs w:val="14"/>
              </w:rPr>
              <w:t>6,4</w:t>
            </w:r>
          </w:p>
        </w:tc>
        <w:tc>
          <w:tcPr>
            <w:tcW w:w="416" w:type="pct"/>
            <w:vAlign w:val="bottom"/>
          </w:tcPr>
          <w:p w:rsidR="00565FD5" w:rsidRPr="001131FC" w:rsidRDefault="00565FD5" w:rsidP="00AB62A3">
            <w:pPr>
              <w:jc w:val="right"/>
              <w:rPr>
                <w:rFonts w:cs="Tahoma"/>
                <w:bCs/>
                <w:sz w:val="14"/>
                <w:szCs w:val="14"/>
              </w:rPr>
            </w:pPr>
            <w:r w:rsidRPr="001131FC">
              <w:rPr>
                <w:rFonts w:cs="Tahoma"/>
                <w:bCs/>
                <w:sz w:val="14"/>
                <w:szCs w:val="14"/>
              </w:rPr>
              <w:t>14,1</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4,2</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rPr>
            </w:pPr>
            <w:r w:rsidRPr="001131FC">
              <w:rPr>
                <w:rFonts w:cs="Tahoma"/>
                <w:sz w:val="14"/>
                <w:szCs w:val="14"/>
              </w:rPr>
              <w:t xml:space="preserve">   Mal ve Hizmet İthalatı</w:t>
            </w:r>
          </w:p>
        </w:tc>
        <w:tc>
          <w:tcPr>
            <w:tcW w:w="488"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32 890</w:t>
            </w:r>
          </w:p>
        </w:tc>
        <w:tc>
          <w:tcPr>
            <w:tcW w:w="535"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32 881</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34 191</w:t>
            </w:r>
          </w:p>
        </w:tc>
        <w:tc>
          <w:tcPr>
            <w:tcW w:w="470" w:type="pct"/>
            <w:vAlign w:val="bottom"/>
          </w:tcPr>
          <w:p w:rsidR="00565FD5" w:rsidRPr="001131FC" w:rsidRDefault="00565FD5" w:rsidP="00AB62A3">
            <w:pPr>
              <w:jc w:val="right"/>
              <w:rPr>
                <w:rFonts w:cs="Tahoma"/>
                <w:bCs/>
                <w:sz w:val="14"/>
                <w:szCs w:val="14"/>
              </w:rPr>
            </w:pPr>
            <w:r w:rsidRPr="001131FC">
              <w:rPr>
                <w:rFonts w:cs="Tahoma"/>
                <w:bCs/>
                <w:sz w:val="14"/>
                <w:szCs w:val="14"/>
              </w:rPr>
              <w:t>10,9</w:t>
            </w:r>
          </w:p>
        </w:tc>
        <w:tc>
          <w:tcPr>
            <w:tcW w:w="416" w:type="pct"/>
            <w:vAlign w:val="bottom"/>
          </w:tcPr>
          <w:p w:rsidR="00565FD5" w:rsidRPr="001131FC" w:rsidRDefault="00565FD5" w:rsidP="00AB62A3">
            <w:pPr>
              <w:jc w:val="right"/>
              <w:rPr>
                <w:rFonts w:cs="Tahoma"/>
                <w:bCs/>
                <w:sz w:val="14"/>
                <w:szCs w:val="14"/>
              </w:rPr>
            </w:pPr>
            <w:r w:rsidRPr="001131FC">
              <w:rPr>
                <w:rFonts w:cs="Tahoma"/>
                <w:bCs/>
                <w:sz w:val="14"/>
                <w:szCs w:val="14"/>
              </w:rPr>
              <w:t>0,0</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4,0</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b/>
                <w:bCs/>
                <w:sz w:val="14"/>
                <w:szCs w:val="14"/>
              </w:rPr>
            </w:pPr>
            <w:r w:rsidRPr="001131FC">
              <w:rPr>
                <w:rFonts w:cs="Tahoma"/>
                <w:b/>
                <w:bCs/>
                <w:sz w:val="14"/>
                <w:szCs w:val="14"/>
              </w:rPr>
              <w:t xml:space="preserve">GAYRİ SAFİ YURTİÇİ HASILA (GSYH) </w:t>
            </w:r>
          </w:p>
        </w:tc>
        <w:tc>
          <w:tcPr>
            <w:tcW w:w="488" w:type="pct"/>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114 889</w:t>
            </w:r>
          </w:p>
        </w:tc>
        <w:tc>
          <w:tcPr>
            <w:tcW w:w="535" w:type="pct"/>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118 566</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123 308</w:t>
            </w:r>
          </w:p>
        </w:tc>
        <w:tc>
          <w:tcPr>
            <w:tcW w:w="470" w:type="pct"/>
            <w:vAlign w:val="bottom"/>
          </w:tcPr>
          <w:p w:rsidR="00565FD5" w:rsidRPr="001131FC" w:rsidRDefault="00565FD5" w:rsidP="00AB62A3">
            <w:pPr>
              <w:jc w:val="right"/>
              <w:rPr>
                <w:rFonts w:cs="Tahoma"/>
                <w:b/>
                <w:bCs/>
                <w:sz w:val="14"/>
                <w:szCs w:val="14"/>
              </w:rPr>
            </w:pPr>
            <w:r w:rsidRPr="001131FC">
              <w:rPr>
                <w:rFonts w:cs="Tahoma"/>
                <w:b/>
                <w:bCs/>
                <w:sz w:val="14"/>
                <w:szCs w:val="14"/>
              </w:rPr>
              <w:t>8,5</w:t>
            </w:r>
          </w:p>
        </w:tc>
        <w:tc>
          <w:tcPr>
            <w:tcW w:w="416" w:type="pct"/>
            <w:vAlign w:val="bottom"/>
          </w:tcPr>
          <w:p w:rsidR="00565FD5" w:rsidRPr="001131FC" w:rsidRDefault="00565FD5" w:rsidP="00AB62A3">
            <w:pPr>
              <w:jc w:val="right"/>
              <w:rPr>
                <w:rFonts w:cs="Tahoma"/>
                <w:b/>
                <w:bCs/>
                <w:sz w:val="14"/>
                <w:szCs w:val="14"/>
              </w:rPr>
            </w:pPr>
            <w:r w:rsidRPr="001131FC">
              <w:rPr>
                <w:rFonts w:cs="Tahoma"/>
                <w:b/>
                <w:bCs/>
                <w:sz w:val="14"/>
                <w:szCs w:val="14"/>
              </w:rPr>
              <w:t>3,2</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4,0</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lang w:eastAsia="tr-TR"/>
              </w:rPr>
            </w:pPr>
            <w:r w:rsidRPr="001131FC">
              <w:rPr>
                <w:rFonts w:cs="Tahoma"/>
                <w:sz w:val="14"/>
                <w:szCs w:val="14"/>
                <w:lang w:eastAsia="tr-TR"/>
              </w:rPr>
              <w:t xml:space="preserve">   Net Faktör Gelirleri</w:t>
            </w:r>
          </w:p>
        </w:tc>
        <w:tc>
          <w:tcPr>
            <w:tcW w:w="488"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-1 237</w:t>
            </w:r>
          </w:p>
        </w:tc>
        <w:tc>
          <w:tcPr>
            <w:tcW w:w="535"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-1 186</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-1 298</w:t>
            </w:r>
          </w:p>
        </w:tc>
        <w:tc>
          <w:tcPr>
            <w:tcW w:w="470" w:type="pct"/>
            <w:vAlign w:val="bottom"/>
          </w:tcPr>
          <w:p w:rsidR="00565FD5" w:rsidRPr="001131FC" w:rsidRDefault="00565FD5" w:rsidP="00AB62A3">
            <w:pPr>
              <w:jc w:val="right"/>
              <w:rPr>
                <w:rFonts w:cs="Tahoma"/>
                <w:bCs/>
                <w:sz w:val="14"/>
                <w:szCs w:val="14"/>
              </w:rPr>
            </w:pPr>
            <w:r w:rsidRPr="001131FC">
              <w:rPr>
                <w:rFonts w:cs="Tahoma"/>
                <w:bCs/>
                <w:sz w:val="14"/>
                <w:szCs w:val="14"/>
              </w:rPr>
              <w:t>0,7</w:t>
            </w:r>
          </w:p>
        </w:tc>
        <w:tc>
          <w:tcPr>
            <w:tcW w:w="416" w:type="pct"/>
            <w:vAlign w:val="bottom"/>
          </w:tcPr>
          <w:p w:rsidR="00565FD5" w:rsidRPr="001131FC" w:rsidRDefault="00565FD5" w:rsidP="00AB62A3">
            <w:pPr>
              <w:jc w:val="right"/>
              <w:rPr>
                <w:rFonts w:cs="Tahoma"/>
                <w:bCs/>
                <w:sz w:val="14"/>
                <w:szCs w:val="14"/>
              </w:rPr>
            </w:pPr>
            <w:r w:rsidRPr="001131FC">
              <w:rPr>
                <w:rFonts w:cs="Tahoma"/>
                <w:bCs/>
                <w:sz w:val="14"/>
                <w:szCs w:val="14"/>
              </w:rPr>
              <w:t>-4,1</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9,4</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lang w:eastAsia="tr-TR"/>
              </w:rPr>
            </w:pPr>
            <w:r w:rsidRPr="001131FC">
              <w:rPr>
                <w:rFonts w:cs="Tahoma"/>
                <w:sz w:val="14"/>
                <w:szCs w:val="14"/>
                <w:lang w:eastAsia="tr-TR"/>
              </w:rPr>
              <w:t xml:space="preserve">   Net Dış Alem Cari Transferleri</w:t>
            </w:r>
          </w:p>
        </w:tc>
        <w:tc>
          <w:tcPr>
            <w:tcW w:w="488"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225</w:t>
            </w:r>
          </w:p>
        </w:tc>
        <w:tc>
          <w:tcPr>
            <w:tcW w:w="535"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212</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234</w:t>
            </w:r>
          </w:p>
        </w:tc>
        <w:tc>
          <w:tcPr>
            <w:tcW w:w="470" w:type="pct"/>
            <w:vAlign w:val="bottom"/>
          </w:tcPr>
          <w:p w:rsidR="00565FD5" w:rsidRPr="001131FC" w:rsidRDefault="00565FD5" w:rsidP="00AB62A3">
            <w:pPr>
              <w:jc w:val="right"/>
              <w:rPr>
                <w:rFonts w:cs="Tahoma"/>
                <w:bCs/>
                <w:sz w:val="14"/>
                <w:szCs w:val="14"/>
              </w:rPr>
            </w:pPr>
            <w:r w:rsidRPr="001131FC">
              <w:rPr>
                <w:rFonts w:cs="Tahoma"/>
                <w:bCs/>
                <w:sz w:val="14"/>
                <w:szCs w:val="14"/>
              </w:rPr>
              <w:t>3,1</w:t>
            </w:r>
          </w:p>
        </w:tc>
        <w:tc>
          <w:tcPr>
            <w:tcW w:w="416" w:type="pct"/>
            <w:vAlign w:val="bottom"/>
          </w:tcPr>
          <w:p w:rsidR="00565FD5" w:rsidRPr="001131FC" w:rsidRDefault="00565FD5" w:rsidP="00AB62A3">
            <w:pPr>
              <w:jc w:val="right"/>
              <w:rPr>
                <w:rFonts w:cs="Tahoma"/>
                <w:bCs/>
                <w:sz w:val="14"/>
                <w:szCs w:val="14"/>
              </w:rPr>
            </w:pPr>
            <w:r w:rsidRPr="001131FC">
              <w:rPr>
                <w:rFonts w:cs="Tahoma"/>
                <w:bCs/>
                <w:sz w:val="14"/>
                <w:szCs w:val="14"/>
              </w:rPr>
              <w:t>-6,1</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10,6</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b/>
                <w:bCs/>
                <w:sz w:val="14"/>
                <w:szCs w:val="14"/>
              </w:rPr>
            </w:pPr>
            <w:r w:rsidRPr="001131FC">
              <w:rPr>
                <w:rFonts w:cs="Tahoma"/>
                <w:b/>
                <w:bCs/>
                <w:sz w:val="14"/>
                <w:szCs w:val="14"/>
              </w:rPr>
              <w:t xml:space="preserve">GAYRİ SAFİ MİLLİ HARCANABİLİR GELİR (GSMHG) </w:t>
            </w:r>
          </w:p>
        </w:tc>
        <w:tc>
          <w:tcPr>
            <w:tcW w:w="488" w:type="pct"/>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113 878</w:t>
            </w:r>
          </w:p>
        </w:tc>
        <w:tc>
          <w:tcPr>
            <w:tcW w:w="535" w:type="pct"/>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117 592</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122 245</w:t>
            </w:r>
          </w:p>
        </w:tc>
        <w:tc>
          <w:tcPr>
            <w:tcW w:w="470" w:type="pct"/>
            <w:vAlign w:val="bottom"/>
          </w:tcPr>
          <w:p w:rsidR="00565FD5" w:rsidRPr="001131FC" w:rsidRDefault="00565FD5" w:rsidP="00AB62A3">
            <w:pPr>
              <w:jc w:val="right"/>
              <w:rPr>
                <w:rFonts w:cs="Tahoma"/>
                <w:b/>
                <w:bCs/>
                <w:sz w:val="14"/>
                <w:szCs w:val="14"/>
              </w:rPr>
            </w:pPr>
            <w:r w:rsidRPr="001131FC">
              <w:rPr>
                <w:rFonts w:cs="Tahoma"/>
                <w:b/>
                <w:bCs/>
                <w:sz w:val="14"/>
                <w:szCs w:val="14"/>
              </w:rPr>
              <w:t>8,6</w:t>
            </w:r>
          </w:p>
        </w:tc>
        <w:tc>
          <w:tcPr>
            <w:tcW w:w="416" w:type="pct"/>
            <w:vAlign w:val="bottom"/>
          </w:tcPr>
          <w:p w:rsidR="00565FD5" w:rsidRPr="001131FC" w:rsidRDefault="00565FD5" w:rsidP="00AB62A3">
            <w:pPr>
              <w:jc w:val="right"/>
              <w:rPr>
                <w:rFonts w:cs="Tahoma"/>
                <w:b/>
                <w:bCs/>
                <w:sz w:val="14"/>
                <w:szCs w:val="14"/>
              </w:rPr>
            </w:pPr>
            <w:r w:rsidRPr="001131FC">
              <w:rPr>
                <w:rFonts w:cs="Tahoma"/>
                <w:b/>
                <w:bCs/>
                <w:sz w:val="14"/>
                <w:szCs w:val="14"/>
              </w:rPr>
              <w:t>3,3</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4,0</w:t>
            </w:r>
          </w:p>
        </w:tc>
      </w:tr>
      <w:tr w:rsidR="00565FD5" w:rsidRPr="001131FC" w:rsidTr="00AB62A3">
        <w:trPr>
          <w:trHeight w:hRule="exact" w:val="119"/>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b/>
                <w:bCs/>
                <w:sz w:val="14"/>
                <w:szCs w:val="14"/>
              </w:rPr>
            </w:pPr>
            <w:r w:rsidRPr="001131FC">
              <w:rPr>
                <w:rFonts w:cs="Tahoma"/>
                <w:b/>
                <w:bCs/>
                <w:sz w:val="14"/>
                <w:szCs w:val="14"/>
              </w:rPr>
              <w:t> </w:t>
            </w:r>
          </w:p>
        </w:tc>
        <w:tc>
          <w:tcPr>
            <w:tcW w:w="488" w:type="pct"/>
            <w:tcMar>
              <w:top w:w="12" w:type="dxa"/>
              <w:left w:w="12" w:type="dxa"/>
              <w:bottom w:w="0" w:type="dxa"/>
              <w:right w:w="12" w:type="dxa"/>
            </w:tcMar>
            <w:vAlign w:val="bottom"/>
          </w:tcPr>
          <w:p w:rsidR="00565FD5" w:rsidRPr="001131FC" w:rsidRDefault="00565FD5" w:rsidP="00AB62A3">
            <w:pPr>
              <w:rPr>
                <w:rFonts w:cs="Tahoma"/>
                <w:sz w:val="14"/>
                <w:szCs w:val="14"/>
              </w:rPr>
            </w:pPr>
          </w:p>
        </w:tc>
        <w:tc>
          <w:tcPr>
            <w:tcW w:w="535" w:type="pct"/>
            <w:tcMar>
              <w:top w:w="12" w:type="dxa"/>
              <w:left w:w="12" w:type="dxa"/>
              <w:bottom w:w="0" w:type="dxa"/>
              <w:right w:w="12" w:type="dxa"/>
            </w:tcMar>
            <w:vAlign w:val="bottom"/>
          </w:tcPr>
          <w:p w:rsidR="00565FD5" w:rsidRPr="001131FC" w:rsidRDefault="00565FD5" w:rsidP="00AB62A3">
            <w:pPr>
              <w:rPr>
                <w:rFonts w:cs="Tahoma"/>
                <w:sz w:val="14"/>
                <w:szCs w:val="14"/>
              </w:rPr>
            </w:pPr>
          </w:p>
        </w:tc>
        <w:tc>
          <w:tcPr>
            <w:tcW w:w="487" w:type="pct"/>
            <w:gridSpan w:val="2"/>
            <w:tcMar>
              <w:top w:w="12" w:type="dxa"/>
              <w:left w:w="12" w:type="dxa"/>
              <w:bottom w:w="0" w:type="dxa"/>
              <w:right w:w="12" w:type="dxa"/>
            </w:tcMar>
            <w:vAlign w:val="bottom"/>
          </w:tcPr>
          <w:p w:rsidR="00565FD5" w:rsidRPr="001131FC" w:rsidRDefault="00565FD5" w:rsidP="00AB62A3">
            <w:pPr>
              <w:rPr>
                <w:rFonts w:cs="Tahoma"/>
                <w:sz w:val="14"/>
                <w:szCs w:val="14"/>
              </w:rPr>
            </w:pPr>
          </w:p>
        </w:tc>
        <w:tc>
          <w:tcPr>
            <w:tcW w:w="470" w:type="pct"/>
          </w:tcPr>
          <w:p w:rsidR="00565FD5" w:rsidRPr="001131FC" w:rsidRDefault="00565FD5" w:rsidP="00AB62A3">
            <w:pPr>
              <w:ind w:right="51"/>
              <w:jc w:val="right"/>
              <w:rPr>
                <w:rFonts w:cs="Tahoma"/>
                <w:sz w:val="14"/>
                <w:szCs w:val="14"/>
              </w:rPr>
            </w:pPr>
          </w:p>
        </w:tc>
        <w:tc>
          <w:tcPr>
            <w:tcW w:w="416" w:type="pct"/>
          </w:tcPr>
          <w:p w:rsidR="00565FD5" w:rsidRPr="001131FC" w:rsidRDefault="00565FD5" w:rsidP="00AB62A3">
            <w:pPr>
              <w:ind w:right="70"/>
              <w:jc w:val="right"/>
              <w:rPr>
                <w:rFonts w:cs="Tahoma"/>
                <w:sz w:val="14"/>
                <w:szCs w:val="14"/>
              </w:rPr>
            </w:pP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ind w:right="56"/>
              <w:jc w:val="right"/>
              <w:rPr>
                <w:rFonts w:cs="Tahoma"/>
                <w:sz w:val="14"/>
                <w:szCs w:val="14"/>
              </w:rPr>
            </w:pP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b/>
                <w:bCs/>
                <w:sz w:val="14"/>
                <w:szCs w:val="14"/>
              </w:rPr>
            </w:pPr>
            <w:r w:rsidRPr="001131FC">
              <w:rPr>
                <w:rFonts w:cs="Tahoma"/>
                <w:b/>
                <w:bCs/>
                <w:sz w:val="14"/>
                <w:szCs w:val="14"/>
              </w:rPr>
              <w:t xml:space="preserve"> KAMU HARCANABİLİR GELİRİ</w:t>
            </w:r>
          </w:p>
        </w:tc>
        <w:tc>
          <w:tcPr>
            <w:tcW w:w="488" w:type="pct"/>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16 598</w:t>
            </w:r>
          </w:p>
        </w:tc>
        <w:tc>
          <w:tcPr>
            <w:tcW w:w="535" w:type="pct"/>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16 548</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16 96</w:t>
            </w:r>
            <w:r>
              <w:rPr>
                <w:rFonts w:cs="Tahoma"/>
                <w:b/>
                <w:bCs/>
                <w:sz w:val="14"/>
                <w:szCs w:val="14"/>
              </w:rPr>
              <w:t>6</w:t>
            </w:r>
          </w:p>
        </w:tc>
        <w:tc>
          <w:tcPr>
            <w:tcW w:w="470" w:type="pct"/>
            <w:vAlign w:val="bottom"/>
          </w:tcPr>
          <w:p w:rsidR="00565FD5" w:rsidRPr="001131FC" w:rsidRDefault="00565FD5" w:rsidP="00AB62A3">
            <w:pPr>
              <w:jc w:val="right"/>
              <w:rPr>
                <w:rFonts w:cs="Tahoma"/>
                <w:b/>
                <w:bCs/>
                <w:sz w:val="14"/>
                <w:szCs w:val="14"/>
              </w:rPr>
            </w:pPr>
            <w:r w:rsidRPr="001131FC">
              <w:rPr>
                <w:rFonts w:cs="Tahoma"/>
                <w:b/>
                <w:bCs/>
                <w:sz w:val="14"/>
                <w:szCs w:val="14"/>
              </w:rPr>
              <w:t>25,4</w:t>
            </w:r>
          </w:p>
        </w:tc>
        <w:tc>
          <w:tcPr>
            <w:tcW w:w="416" w:type="pct"/>
            <w:vAlign w:val="bottom"/>
          </w:tcPr>
          <w:p w:rsidR="00565FD5" w:rsidRPr="001131FC" w:rsidRDefault="00565FD5" w:rsidP="00AB62A3">
            <w:pPr>
              <w:jc w:val="right"/>
              <w:rPr>
                <w:rFonts w:cs="Tahoma"/>
                <w:b/>
                <w:bCs/>
                <w:sz w:val="14"/>
                <w:szCs w:val="14"/>
              </w:rPr>
            </w:pPr>
            <w:r w:rsidRPr="001131FC">
              <w:rPr>
                <w:rFonts w:cs="Tahoma"/>
                <w:b/>
                <w:bCs/>
                <w:sz w:val="14"/>
                <w:szCs w:val="14"/>
              </w:rPr>
              <w:t>-0,3</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2,5</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rPr>
            </w:pPr>
            <w:r w:rsidRPr="001131FC">
              <w:rPr>
                <w:rFonts w:cs="Tahoma"/>
                <w:sz w:val="14"/>
                <w:szCs w:val="14"/>
              </w:rPr>
              <w:t xml:space="preserve">   Kamu Tüketimi</w:t>
            </w:r>
          </w:p>
        </w:tc>
        <w:tc>
          <w:tcPr>
            <w:tcW w:w="488"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8 732</w:t>
            </w:r>
          </w:p>
        </w:tc>
        <w:tc>
          <w:tcPr>
            <w:tcW w:w="535"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9 071</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9 399</w:t>
            </w:r>
          </w:p>
        </w:tc>
        <w:tc>
          <w:tcPr>
            <w:tcW w:w="470" w:type="pct"/>
            <w:vAlign w:val="bottom"/>
          </w:tcPr>
          <w:p w:rsidR="00565FD5" w:rsidRPr="001131FC" w:rsidRDefault="00565FD5" w:rsidP="00AB62A3">
            <w:pPr>
              <w:jc w:val="right"/>
              <w:rPr>
                <w:rFonts w:cs="Tahoma"/>
                <w:bCs/>
                <w:sz w:val="14"/>
                <w:szCs w:val="14"/>
              </w:rPr>
            </w:pPr>
            <w:r w:rsidRPr="001131FC">
              <w:rPr>
                <w:rFonts w:cs="Tahoma"/>
                <w:bCs/>
                <w:sz w:val="14"/>
                <w:szCs w:val="14"/>
              </w:rPr>
              <w:t>5,6</w:t>
            </w:r>
          </w:p>
        </w:tc>
        <w:tc>
          <w:tcPr>
            <w:tcW w:w="416" w:type="pct"/>
            <w:vAlign w:val="bottom"/>
          </w:tcPr>
          <w:p w:rsidR="00565FD5" w:rsidRPr="001131FC" w:rsidRDefault="00565FD5" w:rsidP="00AB62A3">
            <w:pPr>
              <w:jc w:val="right"/>
              <w:rPr>
                <w:rFonts w:cs="Tahoma"/>
                <w:bCs/>
                <w:sz w:val="14"/>
                <w:szCs w:val="14"/>
              </w:rPr>
            </w:pPr>
            <w:r w:rsidRPr="001131FC">
              <w:rPr>
                <w:rFonts w:cs="Tahoma"/>
                <w:bCs/>
                <w:sz w:val="14"/>
                <w:szCs w:val="14"/>
              </w:rPr>
              <w:t>3,9</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3,6</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rPr>
            </w:pPr>
            <w:r w:rsidRPr="001131FC">
              <w:rPr>
                <w:rFonts w:cs="Tahoma"/>
                <w:sz w:val="14"/>
                <w:szCs w:val="14"/>
              </w:rPr>
              <w:t xml:space="preserve">   Kamu Tasarrufu</w:t>
            </w:r>
          </w:p>
        </w:tc>
        <w:tc>
          <w:tcPr>
            <w:tcW w:w="488"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7 866</w:t>
            </w:r>
          </w:p>
        </w:tc>
        <w:tc>
          <w:tcPr>
            <w:tcW w:w="535"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7 477</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7 56</w:t>
            </w:r>
            <w:r>
              <w:rPr>
                <w:rFonts w:cs="Tahoma"/>
                <w:bCs/>
                <w:sz w:val="14"/>
                <w:szCs w:val="14"/>
              </w:rPr>
              <w:t>7</w:t>
            </w:r>
          </w:p>
        </w:tc>
        <w:tc>
          <w:tcPr>
            <w:tcW w:w="470" w:type="pct"/>
            <w:vAlign w:val="bottom"/>
          </w:tcPr>
          <w:p w:rsidR="00565FD5" w:rsidRPr="001131FC" w:rsidRDefault="00565FD5" w:rsidP="00AB62A3">
            <w:pPr>
              <w:jc w:val="right"/>
              <w:rPr>
                <w:rFonts w:cs="Tahoma"/>
                <w:bCs/>
                <w:sz w:val="14"/>
                <w:szCs w:val="14"/>
              </w:rPr>
            </w:pPr>
            <w:r w:rsidRPr="001131FC">
              <w:rPr>
                <w:rFonts w:cs="Tahoma"/>
                <w:bCs/>
                <w:sz w:val="14"/>
                <w:szCs w:val="14"/>
              </w:rPr>
              <w:t>58,4</w:t>
            </w:r>
          </w:p>
        </w:tc>
        <w:tc>
          <w:tcPr>
            <w:tcW w:w="416" w:type="pct"/>
            <w:vAlign w:val="bottom"/>
          </w:tcPr>
          <w:p w:rsidR="00565FD5" w:rsidRPr="001131FC" w:rsidRDefault="00565FD5" w:rsidP="00AB62A3">
            <w:pPr>
              <w:jc w:val="right"/>
              <w:rPr>
                <w:rFonts w:cs="Tahoma"/>
                <w:bCs/>
                <w:sz w:val="14"/>
                <w:szCs w:val="14"/>
              </w:rPr>
            </w:pPr>
            <w:r w:rsidRPr="001131FC">
              <w:rPr>
                <w:rFonts w:cs="Tahoma"/>
                <w:bCs/>
                <w:sz w:val="14"/>
                <w:szCs w:val="14"/>
              </w:rPr>
              <w:t>-4,9</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1,2</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rPr>
            </w:pPr>
            <w:r w:rsidRPr="001131FC">
              <w:rPr>
                <w:rFonts w:cs="Tahoma"/>
                <w:sz w:val="14"/>
                <w:szCs w:val="14"/>
              </w:rPr>
              <w:t xml:space="preserve">   Kamu Yatırımı</w:t>
            </w:r>
          </w:p>
        </w:tc>
        <w:tc>
          <w:tcPr>
            <w:tcW w:w="488"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5 129</w:t>
            </w:r>
          </w:p>
        </w:tc>
        <w:tc>
          <w:tcPr>
            <w:tcW w:w="535"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5 481</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5 712</w:t>
            </w:r>
          </w:p>
        </w:tc>
        <w:tc>
          <w:tcPr>
            <w:tcW w:w="470" w:type="pct"/>
            <w:vAlign w:val="bottom"/>
          </w:tcPr>
          <w:p w:rsidR="00565FD5" w:rsidRPr="001131FC" w:rsidRDefault="00565FD5" w:rsidP="00AB62A3">
            <w:pPr>
              <w:jc w:val="right"/>
              <w:rPr>
                <w:rFonts w:cs="Tahoma"/>
                <w:bCs/>
                <w:sz w:val="14"/>
                <w:szCs w:val="14"/>
              </w:rPr>
            </w:pPr>
            <w:r w:rsidRPr="001131FC">
              <w:rPr>
                <w:rFonts w:cs="Tahoma"/>
                <w:bCs/>
                <w:sz w:val="14"/>
                <w:szCs w:val="14"/>
              </w:rPr>
              <w:t>1,0</w:t>
            </w:r>
          </w:p>
        </w:tc>
        <w:tc>
          <w:tcPr>
            <w:tcW w:w="416" w:type="pct"/>
            <w:vAlign w:val="bottom"/>
          </w:tcPr>
          <w:p w:rsidR="00565FD5" w:rsidRPr="001131FC" w:rsidRDefault="00565FD5" w:rsidP="00AB62A3">
            <w:pPr>
              <w:jc w:val="right"/>
              <w:rPr>
                <w:rFonts w:cs="Tahoma"/>
                <w:bCs/>
                <w:sz w:val="14"/>
                <w:szCs w:val="14"/>
              </w:rPr>
            </w:pPr>
            <w:r w:rsidRPr="001131FC">
              <w:rPr>
                <w:rFonts w:cs="Tahoma"/>
                <w:bCs/>
                <w:sz w:val="14"/>
                <w:szCs w:val="14"/>
              </w:rPr>
              <w:t>6,9</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4,2</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rPr>
            </w:pPr>
            <w:r w:rsidRPr="001131FC">
              <w:rPr>
                <w:rFonts w:cs="Tahoma"/>
                <w:sz w:val="14"/>
                <w:szCs w:val="14"/>
              </w:rPr>
              <w:t xml:space="preserve">   Kamu Tasarruf-Yatırım Farkı</w:t>
            </w:r>
          </w:p>
        </w:tc>
        <w:tc>
          <w:tcPr>
            <w:tcW w:w="488"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2 736</w:t>
            </w:r>
          </w:p>
        </w:tc>
        <w:tc>
          <w:tcPr>
            <w:tcW w:w="535"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1 995</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1 85</w:t>
            </w:r>
            <w:r>
              <w:rPr>
                <w:rFonts w:cs="Tahoma"/>
                <w:bCs/>
                <w:sz w:val="14"/>
                <w:szCs w:val="14"/>
              </w:rPr>
              <w:t>4</w:t>
            </w:r>
          </w:p>
        </w:tc>
        <w:tc>
          <w:tcPr>
            <w:tcW w:w="470" w:type="pct"/>
            <w:vAlign w:val="bottom"/>
          </w:tcPr>
          <w:p w:rsidR="00565FD5" w:rsidRPr="001131FC" w:rsidRDefault="00565FD5" w:rsidP="00AB62A3">
            <w:pPr>
              <w:jc w:val="right"/>
              <w:rPr>
                <w:rFonts w:cs="Tahoma"/>
                <w:b/>
                <w:bCs/>
                <w:sz w:val="14"/>
                <w:szCs w:val="14"/>
              </w:rPr>
            </w:pPr>
          </w:p>
        </w:tc>
        <w:tc>
          <w:tcPr>
            <w:tcW w:w="416" w:type="pct"/>
            <w:vAlign w:val="bottom"/>
          </w:tcPr>
          <w:p w:rsidR="00565FD5" w:rsidRPr="001131FC" w:rsidRDefault="00565FD5" w:rsidP="00AB62A3">
            <w:pPr>
              <w:jc w:val="right"/>
              <w:rPr>
                <w:rFonts w:cs="Tahoma"/>
                <w:b/>
                <w:bCs/>
                <w:sz w:val="14"/>
                <w:szCs w:val="14"/>
              </w:rPr>
            </w:pP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
                <w:bCs/>
                <w:sz w:val="14"/>
                <w:szCs w:val="14"/>
              </w:rPr>
            </w:pPr>
          </w:p>
        </w:tc>
      </w:tr>
      <w:tr w:rsidR="00565FD5" w:rsidRPr="001131FC" w:rsidTr="00AB62A3">
        <w:trPr>
          <w:trHeight w:hRule="exact" w:val="119"/>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rPr>
            </w:pPr>
            <w:r w:rsidRPr="001131FC">
              <w:rPr>
                <w:rFonts w:cs="Tahoma"/>
                <w:sz w:val="14"/>
                <w:szCs w:val="14"/>
              </w:rPr>
              <w:t> </w:t>
            </w:r>
          </w:p>
        </w:tc>
        <w:tc>
          <w:tcPr>
            <w:tcW w:w="488" w:type="pct"/>
            <w:tcMar>
              <w:top w:w="12" w:type="dxa"/>
              <w:left w:w="12" w:type="dxa"/>
              <w:bottom w:w="0" w:type="dxa"/>
              <w:right w:w="12" w:type="dxa"/>
            </w:tcMar>
            <w:vAlign w:val="bottom"/>
          </w:tcPr>
          <w:p w:rsidR="00565FD5" w:rsidRPr="001131FC" w:rsidRDefault="00565FD5" w:rsidP="00AB62A3">
            <w:pPr>
              <w:jc w:val="right"/>
              <w:rPr>
                <w:rFonts w:cs="Tahoma"/>
                <w:b/>
                <w:bCs/>
                <w:sz w:val="14"/>
                <w:szCs w:val="14"/>
              </w:rPr>
            </w:pPr>
          </w:p>
        </w:tc>
        <w:tc>
          <w:tcPr>
            <w:tcW w:w="535" w:type="pct"/>
            <w:tcMar>
              <w:top w:w="12" w:type="dxa"/>
              <w:left w:w="12" w:type="dxa"/>
              <w:bottom w:w="0" w:type="dxa"/>
              <w:right w:w="12" w:type="dxa"/>
            </w:tcMar>
            <w:vAlign w:val="bottom"/>
          </w:tcPr>
          <w:p w:rsidR="00565FD5" w:rsidRPr="001131FC" w:rsidRDefault="00565FD5" w:rsidP="00AB62A3">
            <w:pPr>
              <w:jc w:val="right"/>
              <w:rPr>
                <w:rFonts w:cs="Tahoma"/>
                <w:b/>
                <w:bCs/>
                <w:sz w:val="14"/>
                <w:szCs w:val="14"/>
              </w:rPr>
            </w:pP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
                <w:bCs/>
                <w:sz w:val="14"/>
                <w:szCs w:val="14"/>
              </w:rPr>
            </w:pPr>
          </w:p>
        </w:tc>
        <w:tc>
          <w:tcPr>
            <w:tcW w:w="470" w:type="pct"/>
            <w:vAlign w:val="bottom"/>
          </w:tcPr>
          <w:p w:rsidR="00565FD5" w:rsidRPr="001131FC" w:rsidRDefault="00565FD5" w:rsidP="00AB62A3">
            <w:pPr>
              <w:jc w:val="right"/>
              <w:rPr>
                <w:rFonts w:cs="Tahoma"/>
                <w:b/>
                <w:bCs/>
                <w:sz w:val="14"/>
                <w:szCs w:val="14"/>
              </w:rPr>
            </w:pPr>
          </w:p>
        </w:tc>
        <w:tc>
          <w:tcPr>
            <w:tcW w:w="416" w:type="pct"/>
            <w:vAlign w:val="bottom"/>
          </w:tcPr>
          <w:p w:rsidR="00565FD5" w:rsidRPr="001131FC" w:rsidRDefault="00565FD5" w:rsidP="00AB62A3">
            <w:pPr>
              <w:jc w:val="right"/>
              <w:rPr>
                <w:rFonts w:cs="Tahoma"/>
                <w:b/>
                <w:bCs/>
                <w:sz w:val="14"/>
                <w:szCs w:val="14"/>
              </w:rPr>
            </w:pP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
                <w:bCs/>
                <w:sz w:val="14"/>
                <w:szCs w:val="14"/>
              </w:rPr>
            </w:pP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b/>
                <w:bCs/>
                <w:sz w:val="14"/>
                <w:szCs w:val="14"/>
              </w:rPr>
            </w:pPr>
            <w:r w:rsidRPr="001131FC">
              <w:rPr>
                <w:rFonts w:cs="Tahoma"/>
                <w:b/>
                <w:bCs/>
                <w:sz w:val="14"/>
                <w:szCs w:val="14"/>
              </w:rPr>
              <w:t xml:space="preserve"> ÖZEL HARCANABİLİR GELİR</w:t>
            </w:r>
          </w:p>
        </w:tc>
        <w:tc>
          <w:tcPr>
            <w:tcW w:w="488" w:type="pct"/>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97 280</w:t>
            </w:r>
          </w:p>
        </w:tc>
        <w:tc>
          <w:tcPr>
            <w:tcW w:w="535" w:type="pct"/>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101 044</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105 2</w:t>
            </w:r>
            <w:r>
              <w:rPr>
                <w:rFonts w:cs="Tahoma"/>
                <w:b/>
                <w:bCs/>
                <w:sz w:val="14"/>
                <w:szCs w:val="14"/>
              </w:rPr>
              <w:t>79</w:t>
            </w:r>
          </w:p>
        </w:tc>
        <w:tc>
          <w:tcPr>
            <w:tcW w:w="470" w:type="pct"/>
            <w:vAlign w:val="bottom"/>
          </w:tcPr>
          <w:p w:rsidR="00565FD5" w:rsidRPr="001131FC" w:rsidRDefault="00565FD5" w:rsidP="00AB62A3">
            <w:pPr>
              <w:jc w:val="right"/>
              <w:rPr>
                <w:rFonts w:cs="Tahoma"/>
                <w:b/>
                <w:bCs/>
                <w:sz w:val="14"/>
                <w:szCs w:val="14"/>
              </w:rPr>
            </w:pPr>
            <w:r w:rsidRPr="001131FC">
              <w:rPr>
                <w:rFonts w:cs="Tahoma"/>
                <w:b/>
                <w:bCs/>
                <w:sz w:val="14"/>
                <w:szCs w:val="14"/>
              </w:rPr>
              <w:t>6,2</w:t>
            </w:r>
          </w:p>
        </w:tc>
        <w:tc>
          <w:tcPr>
            <w:tcW w:w="416" w:type="pct"/>
            <w:vAlign w:val="bottom"/>
          </w:tcPr>
          <w:p w:rsidR="00565FD5" w:rsidRPr="001131FC" w:rsidRDefault="00565FD5" w:rsidP="00AB62A3">
            <w:pPr>
              <w:jc w:val="right"/>
              <w:rPr>
                <w:rFonts w:cs="Tahoma"/>
                <w:b/>
                <w:bCs/>
                <w:sz w:val="14"/>
                <w:szCs w:val="14"/>
              </w:rPr>
            </w:pPr>
            <w:r w:rsidRPr="001131FC">
              <w:rPr>
                <w:rFonts w:cs="Tahoma"/>
                <w:b/>
                <w:bCs/>
                <w:sz w:val="14"/>
                <w:szCs w:val="14"/>
              </w:rPr>
              <w:t>3,9</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
                <w:bCs/>
                <w:sz w:val="14"/>
                <w:szCs w:val="14"/>
              </w:rPr>
            </w:pPr>
            <w:r w:rsidRPr="001131FC">
              <w:rPr>
                <w:rFonts w:cs="Tahoma"/>
                <w:b/>
                <w:bCs/>
                <w:sz w:val="14"/>
                <w:szCs w:val="14"/>
              </w:rPr>
              <w:t>4,2</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rPr>
            </w:pPr>
            <w:r w:rsidRPr="001131FC">
              <w:rPr>
                <w:rFonts w:cs="Tahoma"/>
                <w:sz w:val="14"/>
                <w:szCs w:val="14"/>
              </w:rPr>
              <w:t xml:space="preserve">   Özel Tüketim</w:t>
            </w:r>
          </w:p>
        </w:tc>
        <w:tc>
          <w:tcPr>
            <w:tcW w:w="488"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81 295</w:t>
            </w:r>
          </w:p>
        </w:tc>
        <w:tc>
          <w:tcPr>
            <w:tcW w:w="535"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81 824</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84 337</w:t>
            </w:r>
          </w:p>
        </w:tc>
        <w:tc>
          <w:tcPr>
            <w:tcW w:w="470" w:type="pct"/>
            <w:vAlign w:val="bottom"/>
          </w:tcPr>
          <w:p w:rsidR="00565FD5" w:rsidRPr="001131FC" w:rsidRDefault="00565FD5" w:rsidP="00AB62A3">
            <w:pPr>
              <w:jc w:val="right"/>
              <w:rPr>
                <w:rFonts w:cs="Tahoma"/>
                <w:bCs/>
                <w:sz w:val="14"/>
                <w:szCs w:val="14"/>
              </w:rPr>
            </w:pPr>
            <w:r w:rsidRPr="001131FC">
              <w:rPr>
                <w:rFonts w:cs="Tahoma"/>
                <w:bCs/>
                <w:sz w:val="14"/>
                <w:szCs w:val="14"/>
              </w:rPr>
              <w:t>7,8</w:t>
            </w:r>
          </w:p>
        </w:tc>
        <w:tc>
          <w:tcPr>
            <w:tcW w:w="416" w:type="pct"/>
            <w:vAlign w:val="bottom"/>
          </w:tcPr>
          <w:p w:rsidR="00565FD5" w:rsidRPr="001131FC" w:rsidRDefault="00565FD5" w:rsidP="00AB62A3">
            <w:pPr>
              <w:jc w:val="right"/>
              <w:rPr>
                <w:rFonts w:cs="Tahoma"/>
                <w:bCs/>
                <w:sz w:val="14"/>
                <w:szCs w:val="14"/>
              </w:rPr>
            </w:pPr>
            <w:r w:rsidRPr="001131FC">
              <w:rPr>
                <w:rFonts w:cs="Tahoma"/>
                <w:bCs/>
                <w:sz w:val="14"/>
                <w:szCs w:val="14"/>
              </w:rPr>
              <w:t>0,6</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3,1</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rPr>
            </w:pPr>
            <w:r w:rsidRPr="001131FC">
              <w:rPr>
                <w:rFonts w:cs="Tahoma"/>
                <w:sz w:val="14"/>
                <w:szCs w:val="14"/>
              </w:rPr>
              <w:t xml:space="preserve">   Özel Tasarruf</w:t>
            </w:r>
          </w:p>
        </w:tc>
        <w:tc>
          <w:tcPr>
            <w:tcW w:w="488"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15 985</w:t>
            </w:r>
          </w:p>
        </w:tc>
        <w:tc>
          <w:tcPr>
            <w:tcW w:w="535"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19 220</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20 94</w:t>
            </w:r>
            <w:r>
              <w:rPr>
                <w:rFonts w:cs="Tahoma"/>
                <w:bCs/>
                <w:sz w:val="14"/>
                <w:szCs w:val="14"/>
              </w:rPr>
              <w:t>1</w:t>
            </w:r>
          </w:p>
        </w:tc>
        <w:tc>
          <w:tcPr>
            <w:tcW w:w="470" w:type="pct"/>
            <w:vAlign w:val="bottom"/>
          </w:tcPr>
          <w:p w:rsidR="00565FD5" w:rsidRPr="001131FC" w:rsidRDefault="00565FD5" w:rsidP="00AB62A3">
            <w:pPr>
              <w:jc w:val="right"/>
              <w:rPr>
                <w:rFonts w:cs="Tahoma"/>
                <w:bCs/>
                <w:sz w:val="14"/>
                <w:szCs w:val="14"/>
              </w:rPr>
            </w:pPr>
            <w:r w:rsidRPr="001131FC">
              <w:rPr>
                <w:rFonts w:cs="Tahoma"/>
                <w:bCs/>
                <w:sz w:val="14"/>
                <w:szCs w:val="14"/>
              </w:rPr>
              <w:t>-1,3</w:t>
            </w:r>
          </w:p>
        </w:tc>
        <w:tc>
          <w:tcPr>
            <w:tcW w:w="416" w:type="pct"/>
            <w:vAlign w:val="bottom"/>
          </w:tcPr>
          <w:p w:rsidR="00565FD5" w:rsidRPr="001131FC" w:rsidRDefault="00565FD5" w:rsidP="00AB62A3">
            <w:pPr>
              <w:jc w:val="right"/>
              <w:rPr>
                <w:rFonts w:cs="Tahoma"/>
                <w:bCs/>
                <w:sz w:val="14"/>
                <w:szCs w:val="14"/>
              </w:rPr>
            </w:pPr>
            <w:r w:rsidRPr="001131FC">
              <w:rPr>
                <w:rFonts w:cs="Tahoma"/>
                <w:bCs/>
                <w:sz w:val="14"/>
                <w:szCs w:val="14"/>
              </w:rPr>
              <w:t>20,2</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9,0</w:t>
            </w:r>
          </w:p>
        </w:tc>
      </w:tr>
      <w:tr w:rsidR="00565FD5" w:rsidRPr="001131FC" w:rsidTr="00AB62A3">
        <w:trPr>
          <w:trHeight w:val="21"/>
        </w:trPr>
        <w:tc>
          <w:tcPr>
            <w:tcW w:w="2098" w:type="pct"/>
            <w:tcBorders>
              <w:left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rPr>
            </w:pPr>
            <w:r w:rsidRPr="001131FC">
              <w:rPr>
                <w:rFonts w:cs="Tahoma"/>
                <w:sz w:val="14"/>
                <w:szCs w:val="14"/>
              </w:rPr>
              <w:t xml:space="preserve">   Özel Yatırım</w:t>
            </w:r>
          </w:p>
        </w:tc>
        <w:tc>
          <w:tcPr>
            <w:tcW w:w="488"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25 478</w:t>
            </w:r>
          </w:p>
        </w:tc>
        <w:tc>
          <w:tcPr>
            <w:tcW w:w="535" w:type="pct"/>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24 088</w:t>
            </w:r>
          </w:p>
        </w:tc>
        <w:tc>
          <w:tcPr>
            <w:tcW w:w="487" w:type="pct"/>
            <w:gridSpan w:val="2"/>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25 756</w:t>
            </w:r>
          </w:p>
        </w:tc>
        <w:tc>
          <w:tcPr>
            <w:tcW w:w="470" w:type="pct"/>
            <w:vAlign w:val="bottom"/>
          </w:tcPr>
          <w:p w:rsidR="00565FD5" w:rsidRPr="001131FC" w:rsidRDefault="00565FD5" w:rsidP="00AB62A3">
            <w:pPr>
              <w:jc w:val="right"/>
              <w:rPr>
                <w:rFonts w:cs="Tahoma"/>
                <w:bCs/>
                <w:sz w:val="14"/>
                <w:szCs w:val="14"/>
              </w:rPr>
            </w:pPr>
            <w:r w:rsidRPr="001131FC">
              <w:rPr>
                <w:rFonts w:cs="Tahoma"/>
                <w:bCs/>
                <w:sz w:val="14"/>
                <w:szCs w:val="14"/>
              </w:rPr>
              <w:t>19,9</w:t>
            </w:r>
          </w:p>
        </w:tc>
        <w:tc>
          <w:tcPr>
            <w:tcW w:w="416" w:type="pct"/>
            <w:vAlign w:val="bottom"/>
          </w:tcPr>
          <w:p w:rsidR="00565FD5" w:rsidRPr="001131FC" w:rsidRDefault="00565FD5" w:rsidP="00AB62A3">
            <w:pPr>
              <w:jc w:val="right"/>
              <w:rPr>
                <w:rFonts w:cs="Tahoma"/>
                <w:bCs/>
                <w:sz w:val="14"/>
                <w:szCs w:val="14"/>
              </w:rPr>
            </w:pPr>
            <w:r w:rsidRPr="001131FC">
              <w:rPr>
                <w:rFonts w:cs="Tahoma"/>
                <w:bCs/>
                <w:sz w:val="14"/>
                <w:szCs w:val="14"/>
              </w:rPr>
              <w:t>-5,5</w:t>
            </w:r>
          </w:p>
        </w:tc>
        <w:tc>
          <w:tcPr>
            <w:tcW w:w="506" w:type="pct"/>
            <w:tcBorders>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6,9</w:t>
            </w:r>
          </w:p>
        </w:tc>
      </w:tr>
      <w:tr w:rsidR="00565FD5" w:rsidRPr="001131FC" w:rsidTr="00AB62A3">
        <w:trPr>
          <w:trHeight w:val="21"/>
        </w:trPr>
        <w:tc>
          <w:tcPr>
            <w:tcW w:w="2098" w:type="pct"/>
            <w:tcBorders>
              <w:left w:val="single" w:sz="4" w:space="0" w:color="auto"/>
              <w:bottom w:val="single" w:sz="4" w:space="0" w:color="auto"/>
            </w:tcBorders>
            <w:tcMar>
              <w:top w:w="12" w:type="dxa"/>
              <w:left w:w="12" w:type="dxa"/>
              <w:bottom w:w="0" w:type="dxa"/>
              <w:right w:w="12" w:type="dxa"/>
            </w:tcMar>
            <w:vAlign w:val="bottom"/>
          </w:tcPr>
          <w:p w:rsidR="00565FD5" w:rsidRPr="001131FC" w:rsidRDefault="00565FD5" w:rsidP="00AB62A3">
            <w:pPr>
              <w:rPr>
                <w:rFonts w:cs="Tahoma"/>
                <w:sz w:val="14"/>
                <w:szCs w:val="14"/>
              </w:rPr>
            </w:pPr>
            <w:r w:rsidRPr="001131FC">
              <w:rPr>
                <w:rFonts w:cs="Tahoma"/>
                <w:sz w:val="14"/>
                <w:szCs w:val="14"/>
              </w:rPr>
              <w:t xml:space="preserve">   Özel Tasarruf-Yatırım Farkı</w:t>
            </w:r>
          </w:p>
        </w:tc>
        <w:tc>
          <w:tcPr>
            <w:tcW w:w="488" w:type="pct"/>
            <w:tcBorders>
              <w:bottom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-9 493</w:t>
            </w:r>
          </w:p>
        </w:tc>
        <w:tc>
          <w:tcPr>
            <w:tcW w:w="535" w:type="pct"/>
            <w:tcBorders>
              <w:bottom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-4 868</w:t>
            </w:r>
          </w:p>
        </w:tc>
        <w:tc>
          <w:tcPr>
            <w:tcW w:w="487" w:type="pct"/>
            <w:gridSpan w:val="2"/>
            <w:tcBorders>
              <w:bottom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r w:rsidRPr="001131FC">
              <w:rPr>
                <w:rFonts w:cs="Tahoma"/>
                <w:bCs/>
                <w:sz w:val="14"/>
                <w:szCs w:val="14"/>
              </w:rPr>
              <w:t>-4 81</w:t>
            </w:r>
            <w:r>
              <w:rPr>
                <w:rFonts w:cs="Tahoma"/>
                <w:bCs/>
                <w:sz w:val="14"/>
                <w:szCs w:val="14"/>
              </w:rPr>
              <w:t>5</w:t>
            </w:r>
          </w:p>
        </w:tc>
        <w:tc>
          <w:tcPr>
            <w:tcW w:w="470" w:type="pct"/>
            <w:tcBorders>
              <w:bottom w:val="single" w:sz="4" w:space="0" w:color="auto"/>
            </w:tcBorders>
            <w:vAlign w:val="bottom"/>
          </w:tcPr>
          <w:p w:rsidR="00565FD5" w:rsidRPr="001131FC" w:rsidRDefault="00565FD5" w:rsidP="00AB62A3">
            <w:pPr>
              <w:jc w:val="right"/>
              <w:rPr>
                <w:rFonts w:cs="Tahoma"/>
                <w:bCs/>
                <w:sz w:val="14"/>
                <w:szCs w:val="14"/>
              </w:rPr>
            </w:pPr>
          </w:p>
        </w:tc>
        <w:tc>
          <w:tcPr>
            <w:tcW w:w="416" w:type="pct"/>
            <w:tcBorders>
              <w:bottom w:val="single" w:sz="4" w:space="0" w:color="auto"/>
            </w:tcBorders>
            <w:vAlign w:val="bottom"/>
          </w:tcPr>
          <w:p w:rsidR="00565FD5" w:rsidRPr="001131FC" w:rsidRDefault="00565FD5" w:rsidP="00AB62A3">
            <w:pPr>
              <w:jc w:val="right"/>
              <w:rPr>
                <w:rFonts w:cs="Tahoma"/>
                <w:bCs/>
                <w:sz w:val="14"/>
                <w:szCs w:val="14"/>
              </w:rPr>
            </w:pPr>
          </w:p>
        </w:tc>
        <w:tc>
          <w:tcPr>
            <w:tcW w:w="506" w:type="pct"/>
            <w:tcBorders>
              <w:bottom w:val="single" w:sz="4" w:space="0" w:color="auto"/>
              <w:right w:val="single" w:sz="4" w:space="0" w:color="auto"/>
            </w:tcBorders>
            <w:tcMar>
              <w:top w:w="12" w:type="dxa"/>
              <w:left w:w="12" w:type="dxa"/>
              <w:bottom w:w="0" w:type="dxa"/>
              <w:right w:w="12" w:type="dxa"/>
            </w:tcMar>
            <w:vAlign w:val="bottom"/>
          </w:tcPr>
          <w:p w:rsidR="00565FD5" w:rsidRPr="001131FC" w:rsidRDefault="00565FD5" w:rsidP="00AB62A3">
            <w:pPr>
              <w:jc w:val="right"/>
              <w:rPr>
                <w:rFonts w:cs="Tahoma"/>
                <w:bCs/>
                <w:sz w:val="14"/>
                <w:szCs w:val="14"/>
              </w:rPr>
            </w:pPr>
          </w:p>
        </w:tc>
      </w:tr>
    </w:tbl>
    <w:p w:rsidR="00565FD5" w:rsidRPr="007570EF" w:rsidRDefault="00565FD5" w:rsidP="00565FD5">
      <w:pPr>
        <w:rPr>
          <w:rFonts w:cs="Tahoma"/>
          <w:sz w:val="12"/>
          <w:szCs w:val="14"/>
        </w:rPr>
      </w:pPr>
      <w:r w:rsidRPr="007570EF">
        <w:rPr>
          <w:rFonts w:cs="Tahoma"/>
          <w:sz w:val="12"/>
          <w:szCs w:val="14"/>
        </w:rPr>
        <w:t>Kaynak: Kalkınma Bakanlığı</w:t>
      </w:r>
    </w:p>
    <w:p w:rsidR="00565FD5" w:rsidRPr="007570EF" w:rsidRDefault="00565FD5" w:rsidP="00565FD5">
      <w:pPr>
        <w:rPr>
          <w:rFonts w:cs="Tahoma"/>
          <w:sz w:val="12"/>
          <w:szCs w:val="14"/>
        </w:rPr>
      </w:pPr>
      <w:r w:rsidRPr="007570EF">
        <w:rPr>
          <w:rFonts w:cs="Tahoma"/>
          <w:sz w:val="12"/>
          <w:szCs w:val="14"/>
        </w:rPr>
        <w:lastRenderedPageBreak/>
        <w:t>(1) Yüzde değişimleri GSYH büyümesine katkıları göstermektedir.</w:t>
      </w:r>
    </w:p>
    <w:p w:rsidR="00565FD5" w:rsidRPr="007570EF" w:rsidRDefault="00565FD5" w:rsidP="00565FD5">
      <w:pPr>
        <w:rPr>
          <w:rFonts w:cs="Tahoma"/>
          <w:sz w:val="12"/>
          <w:szCs w:val="14"/>
        </w:rPr>
      </w:pPr>
      <w:r w:rsidRPr="007570EF">
        <w:rPr>
          <w:rFonts w:cs="Tahoma"/>
          <w:sz w:val="12"/>
          <w:szCs w:val="14"/>
        </w:rPr>
        <w:t xml:space="preserve">(2) Gerçekleşme tahmini </w:t>
      </w:r>
    </w:p>
    <w:p w:rsidR="00565FD5" w:rsidRPr="001131FC" w:rsidRDefault="00565FD5" w:rsidP="00565FD5">
      <w:pPr>
        <w:rPr>
          <w:rFonts w:cs="Tahoma"/>
          <w:sz w:val="14"/>
          <w:szCs w:val="14"/>
        </w:rPr>
      </w:pPr>
      <w:r w:rsidRPr="007570EF">
        <w:rPr>
          <w:rFonts w:cs="Tahoma"/>
          <w:sz w:val="12"/>
          <w:szCs w:val="14"/>
        </w:rPr>
        <w:t>(3) Program</w:t>
      </w:r>
    </w:p>
    <w:p w:rsidR="00565FD5" w:rsidRPr="001131FC" w:rsidRDefault="00565FD5" w:rsidP="00565FD5">
      <w:pPr>
        <w:spacing w:after="240"/>
        <w:ind w:firstLine="425"/>
        <w:rPr>
          <w:b/>
          <w:szCs w:val="18"/>
        </w:rPr>
        <w:sectPr w:rsidR="00565FD5" w:rsidRPr="001131FC" w:rsidSect="00B50093">
          <w:pgSz w:w="16838" w:h="11906" w:orient="landscape" w:code="9"/>
          <w:pgMar w:top="2381" w:right="2948" w:bottom="2381" w:left="2948" w:header="1985" w:footer="1985" w:gutter="0"/>
          <w:cols w:space="708"/>
          <w:noEndnote/>
        </w:sectPr>
      </w:pPr>
    </w:p>
    <w:p w:rsidR="00565FD5" w:rsidRPr="001131FC" w:rsidRDefault="00565FD5" w:rsidP="00565FD5">
      <w:pPr>
        <w:spacing w:after="180"/>
        <w:ind w:firstLine="425"/>
        <w:rPr>
          <w:b/>
          <w:szCs w:val="18"/>
        </w:rPr>
      </w:pPr>
      <w:r w:rsidRPr="001131FC">
        <w:rPr>
          <w:b/>
          <w:szCs w:val="18"/>
        </w:rPr>
        <w:lastRenderedPageBreak/>
        <w:t>b) 2013 Yılı Hedefleri</w:t>
      </w:r>
    </w:p>
    <w:p w:rsidR="00565FD5" w:rsidRPr="001131FC" w:rsidRDefault="00565FD5" w:rsidP="00565FD5">
      <w:pPr>
        <w:spacing w:after="180"/>
        <w:ind w:firstLine="425"/>
        <w:rPr>
          <w:szCs w:val="18"/>
        </w:rPr>
      </w:pPr>
      <w:r w:rsidRPr="001131FC">
        <w:rPr>
          <w:szCs w:val="18"/>
        </w:rPr>
        <w:t xml:space="preserve">2013 yılında GSYH’nın yüzde 4 oranında büyümesi hedeflenmektedir. Bu dönemde ekonomik büyümeye katkının tamamının toplam yurtiçi talepten gelmesi, net mal ve hizmet ihracatının GSYH büyümesine katkısının ise </w:t>
      </w:r>
      <w:r>
        <w:rPr>
          <w:szCs w:val="18"/>
        </w:rPr>
        <w:t>sıfır</w:t>
      </w:r>
      <w:r w:rsidRPr="001131FC">
        <w:rPr>
          <w:szCs w:val="18"/>
        </w:rPr>
        <w:t xml:space="preserve"> puana yakın olması hedeflenmektedir.</w:t>
      </w:r>
    </w:p>
    <w:p w:rsidR="00565FD5" w:rsidRPr="001131FC" w:rsidRDefault="00565FD5" w:rsidP="00565FD5">
      <w:pPr>
        <w:spacing w:after="180"/>
        <w:ind w:firstLine="425"/>
        <w:rPr>
          <w:szCs w:val="18"/>
        </w:rPr>
      </w:pPr>
      <w:r w:rsidRPr="001131FC">
        <w:rPr>
          <w:szCs w:val="18"/>
        </w:rPr>
        <w:t xml:space="preserve">Bu dönemde özel kesim tüketim harcamalarında yüzde 3,1, kamu kesimi tüketim harcamalarında ise yüzde 3,6 oranında artış olacağı öngörülmüştür. 2013 yılında, özel kesim sabit sermaye yatırımlarının yüzde 7,1, kamu kesimi sabit sermaye yatırımlarının ise yüzde 5,4 oranlarında artacağı tahmin edilmektedir. </w:t>
      </w:r>
    </w:p>
    <w:p w:rsidR="00565FD5" w:rsidRPr="001131FC" w:rsidRDefault="00565FD5" w:rsidP="00565FD5">
      <w:pPr>
        <w:spacing w:after="180"/>
        <w:ind w:firstLine="425"/>
        <w:rPr>
          <w:szCs w:val="18"/>
        </w:rPr>
      </w:pPr>
      <w:r w:rsidRPr="001131FC">
        <w:rPr>
          <w:szCs w:val="18"/>
        </w:rPr>
        <w:t xml:space="preserve">2013 yılı GSYH büyümesine; özel tüketimin 2,1 puan, kamu tüketiminin 0,3 puan, özel kesim sabit sermaye yatırımlarının ise 1,5 puan katkı yapması beklenmektedir. Aynı dönemde, stok değişiminin GSYH büyümesine katkısının ise negatif 0,1 puan olacağı tahmin edilmektedir. </w:t>
      </w:r>
    </w:p>
    <w:p w:rsidR="00565FD5" w:rsidRPr="001131FC" w:rsidRDefault="00565FD5" w:rsidP="00565FD5">
      <w:pPr>
        <w:spacing w:after="180"/>
        <w:ind w:firstLine="425"/>
        <w:rPr>
          <w:szCs w:val="18"/>
        </w:rPr>
      </w:pPr>
      <w:r w:rsidRPr="001131FC">
        <w:rPr>
          <w:szCs w:val="18"/>
        </w:rPr>
        <w:t>Kamu harcanabilir gelirinin GSYH’ya oranının 2013 yılında bir önceki yıla göre 0,2 puan azalarak yüzde 13,8 olarak gerçekleşeceği tahmin edilmektedir. 2013 yılında kamu tasarruflarının GSYH’ya oranının 0,</w:t>
      </w:r>
      <w:r>
        <w:rPr>
          <w:szCs w:val="18"/>
        </w:rPr>
        <w:t>3</w:t>
      </w:r>
      <w:r w:rsidRPr="001131FC">
        <w:rPr>
          <w:szCs w:val="18"/>
        </w:rPr>
        <w:t xml:space="preserve"> puan azalarak yüzde 2</w:t>
      </w:r>
      <w:r>
        <w:rPr>
          <w:szCs w:val="18"/>
        </w:rPr>
        <w:t>,1</w:t>
      </w:r>
      <w:r w:rsidRPr="001131FC">
        <w:rPr>
          <w:szCs w:val="18"/>
        </w:rPr>
        <w:t>’ye, kamu yatırımlarının GSYH içindeki payının ise bir önceki yıl seviyesinde kalarak yüzde 4,4 olması neticesinde, kamu tasarruf yatırım farkının GSYH’ya oranının negatif yüzde 2,3 olarak gerçekleşmesi beklenmektedir.</w:t>
      </w:r>
    </w:p>
    <w:p w:rsidR="00565FD5" w:rsidRPr="001131FC" w:rsidRDefault="00565FD5" w:rsidP="00565FD5">
      <w:pPr>
        <w:spacing w:after="180"/>
        <w:ind w:firstLine="425"/>
        <w:rPr>
          <w:szCs w:val="18"/>
        </w:rPr>
      </w:pPr>
      <w:r w:rsidRPr="001131FC">
        <w:rPr>
          <w:szCs w:val="18"/>
        </w:rPr>
        <w:t>Özel tasarrufların GSYH’ya oranının 2013 yılında bir önceki yıla göre 1,</w:t>
      </w:r>
      <w:r>
        <w:rPr>
          <w:szCs w:val="18"/>
        </w:rPr>
        <w:t>0</w:t>
      </w:r>
      <w:r w:rsidRPr="001131FC">
        <w:rPr>
          <w:szCs w:val="18"/>
        </w:rPr>
        <w:t xml:space="preserve"> puan artması ve özel yatırımlardaki artışın 0,4 puan olması neticesinde, özel kesim tasarruf yatırım farkının GSYH’ya oranının 0,6 puan iyileşerek negatif yüzde 4,5 seviyesinde gerçekleşeceği öngörülmektedir.</w:t>
      </w:r>
    </w:p>
    <w:p w:rsidR="00565FD5" w:rsidRPr="004627F9" w:rsidRDefault="00565FD5" w:rsidP="00565FD5">
      <w:pPr>
        <w:pStyle w:val="Balk3"/>
      </w:pPr>
      <w:bookmarkStart w:id="405" w:name="_Toc276076226"/>
      <w:bookmarkStart w:id="406" w:name="_Toc307601932"/>
      <w:bookmarkStart w:id="407" w:name="_Toc307670380"/>
      <w:bookmarkStart w:id="408" w:name="_Toc307701606"/>
      <w:bookmarkStart w:id="409" w:name="_Toc338494210"/>
      <w:bookmarkStart w:id="410" w:name="_Toc338494373"/>
      <w:bookmarkStart w:id="411" w:name="_Toc338505513"/>
      <w:bookmarkStart w:id="412" w:name="_Toc338505726"/>
      <w:bookmarkStart w:id="413" w:name="_Toc338505765"/>
      <w:bookmarkStart w:id="414" w:name="_Toc338523730"/>
      <w:bookmarkStart w:id="415" w:name="_Toc338523971"/>
      <w:bookmarkStart w:id="416" w:name="_Toc338526197"/>
      <w:bookmarkStart w:id="417" w:name="_Toc338673640"/>
      <w:bookmarkStart w:id="418" w:name="_Toc338711519"/>
      <w:r w:rsidRPr="004627F9">
        <w:t>B. YATIRIMLAR</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rsidR="00565FD5" w:rsidRPr="00124D60" w:rsidRDefault="00565FD5" w:rsidP="00565FD5">
      <w:pPr>
        <w:pStyle w:val="Balk4"/>
      </w:pPr>
      <w:bookmarkStart w:id="419" w:name="_Toc149968441"/>
      <w:bookmarkStart w:id="420" w:name="_Toc150099129"/>
      <w:bookmarkStart w:id="421" w:name="_Toc181180661"/>
      <w:bookmarkStart w:id="422" w:name="_Toc181192601"/>
      <w:bookmarkStart w:id="423" w:name="_Toc181284889"/>
      <w:bookmarkStart w:id="424" w:name="_Toc181285968"/>
      <w:bookmarkStart w:id="425" w:name="_Toc213065608"/>
      <w:bookmarkStart w:id="426" w:name="_Toc244253622"/>
      <w:bookmarkStart w:id="427" w:name="_Toc244254872"/>
      <w:bookmarkStart w:id="428" w:name="_Toc244313608"/>
      <w:bookmarkStart w:id="429" w:name="_Toc244315085"/>
      <w:bookmarkStart w:id="430" w:name="_Toc244339548"/>
      <w:bookmarkStart w:id="431" w:name="_Toc276076227"/>
      <w:bookmarkStart w:id="432" w:name="_Toc307601933"/>
      <w:bookmarkStart w:id="433" w:name="_Toc307670381"/>
      <w:bookmarkStart w:id="434" w:name="_Toc307701607"/>
      <w:bookmarkStart w:id="435" w:name="_Toc338494374"/>
      <w:bookmarkStart w:id="436" w:name="_Toc338505514"/>
      <w:bookmarkStart w:id="437" w:name="_Toc338505727"/>
      <w:bookmarkStart w:id="438" w:name="_Toc338505766"/>
      <w:bookmarkStart w:id="439" w:name="_Toc338523731"/>
      <w:bookmarkStart w:id="440" w:name="_Toc338523972"/>
      <w:bookmarkStart w:id="441" w:name="_Toc338526198"/>
      <w:bookmarkStart w:id="442" w:name="_Toc338673641"/>
      <w:bookmarkStart w:id="443" w:name="_Toc338711520"/>
      <w:r w:rsidRPr="00124D60">
        <w:t>1. Yatırımların Sektörel Dağılımı</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rsidR="00565FD5" w:rsidRPr="001131FC" w:rsidRDefault="00565FD5" w:rsidP="00565FD5">
      <w:pPr>
        <w:spacing w:after="180"/>
        <w:ind w:firstLine="425"/>
        <w:rPr>
          <w:b/>
          <w:szCs w:val="18"/>
        </w:rPr>
      </w:pPr>
      <w:r w:rsidRPr="001131FC">
        <w:rPr>
          <w:b/>
          <w:szCs w:val="18"/>
        </w:rPr>
        <w:t>a) Mevcut Durum</w:t>
      </w:r>
    </w:p>
    <w:p w:rsidR="00565FD5" w:rsidRPr="001131FC" w:rsidRDefault="00565FD5" w:rsidP="00565FD5">
      <w:pPr>
        <w:spacing w:after="180"/>
        <w:ind w:firstLine="425"/>
        <w:rPr>
          <w:rFonts w:cs="Tahoma"/>
          <w:szCs w:val="18"/>
        </w:rPr>
      </w:pPr>
      <w:r w:rsidRPr="001131FC">
        <w:rPr>
          <w:rFonts w:cs="Tahoma"/>
          <w:szCs w:val="18"/>
        </w:rPr>
        <w:t xml:space="preserve">Kamu kesimi sabit sermaye yatırımlarının 2012 yılında reel olarak yüzde 5,4 oranında artması beklenmektedir. Bu dönemde, kamu kesimi sabit sermaye yatırımlarının yüzde 57,3’ünün merkezi yönetim bütçesi kapsamındaki idareler, </w:t>
      </w:r>
      <w:r w:rsidRPr="001131FC">
        <w:rPr>
          <w:rFonts w:cs="Tahoma"/>
          <w:szCs w:val="18"/>
        </w:rPr>
        <w:lastRenderedPageBreak/>
        <w:t>yüzde 26,2’sinin mahalli idareler, yüzde 12,6’sının işletmeci KİT’ler, yüzde 1,3’ünün özelleştirme kapsamındaki kuruluşlar, yüzde 0,1’inin İller Bankası, yüzde 2,6’sının döner sermayeli kuruluşlar ve sosyal güvenlik kuruluşları tarafından gerçekleştirileceği tahmin edilmektedir.</w:t>
      </w:r>
    </w:p>
    <w:p w:rsidR="00565FD5" w:rsidRPr="001131FC" w:rsidRDefault="00565FD5" w:rsidP="00565FD5">
      <w:pPr>
        <w:spacing w:after="180"/>
        <w:ind w:firstLine="425"/>
        <w:rPr>
          <w:rFonts w:cs="Tahoma"/>
          <w:szCs w:val="18"/>
        </w:rPr>
      </w:pPr>
      <w:r w:rsidRPr="001131FC">
        <w:rPr>
          <w:rFonts w:cs="Tahoma"/>
          <w:szCs w:val="18"/>
        </w:rPr>
        <w:t xml:space="preserve">2012 yılında kamu kesimi sabit sermaye yatırımları içinde ulaştırma, konut ve diğer hizmetler alt sektörlerinin paylarının 2011 yılına göre azalacağı, diğer alt sektörlerin paylarının ise artacağı tahmin edilmektedir. </w:t>
      </w:r>
    </w:p>
    <w:p w:rsidR="00565FD5" w:rsidRPr="001131FC" w:rsidRDefault="00565FD5" w:rsidP="00565FD5">
      <w:pPr>
        <w:spacing w:after="120"/>
        <w:ind w:firstLine="425"/>
        <w:rPr>
          <w:rFonts w:cs="Tahoma"/>
          <w:szCs w:val="18"/>
        </w:rPr>
      </w:pPr>
      <w:r w:rsidRPr="001131FC">
        <w:rPr>
          <w:rFonts w:cs="Tahoma"/>
          <w:szCs w:val="18"/>
        </w:rPr>
        <w:t>Türkiye ekonomisinde 2012 yılında özel kesim sabit sermaye yatırımlarının reel olarak yüzde 1,7 oranında azalması öngörülmektedir. Bu dönemde, cari fiyatlarla özel kesim sabit sermaye yatırımları içinde imalat, tarım, konut, ulaştırma ve sağlık alt sektörlerinin payının azalacağı; enerji, turizm, eğitim, madencilik ve diğer hizmetler alt sektörlerinin paylarının ise artacağı tahmin edilmektedir.</w:t>
      </w:r>
    </w:p>
    <w:p w:rsidR="00565FD5" w:rsidRPr="001131FC" w:rsidRDefault="00565FD5" w:rsidP="00565FD5">
      <w:pPr>
        <w:spacing w:after="180"/>
        <w:ind w:firstLine="425"/>
        <w:rPr>
          <w:b/>
          <w:szCs w:val="18"/>
        </w:rPr>
      </w:pPr>
      <w:r w:rsidRPr="001131FC">
        <w:rPr>
          <w:b/>
          <w:szCs w:val="18"/>
        </w:rPr>
        <w:t>b) 2013 Yılı Hedefleri</w:t>
      </w:r>
    </w:p>
    <w:p w:rsidR="00565FD5" w:rsidRPr="001131FC" w:rsidRDefault="00565FD5" w:rsidP="00565FD5">
      <w:pPr>
        <w:ind w:firstLine="425"/>
        <w:rPr>
          <w:rFonts w:cs="Tahoma"/>
          <w:szCs w:val="18"/>
        </w:rPr>
      </w:pPr>
      <w:r w:rsidRPr="001131FC">
        <w:rPr>
          <w:rFonts w:cs="Tahoma"/>
          <w:szCs w:val="18"/>
        </w:rPr>
        <w:t>Kamu kesimi sabit sermaye yatırımlarının 2013 yılında reel olarak yüzde 5,4 oranında artacağı öngörülmektedir. Bu dönemde, cari fiyatlarla kamu kesimi sabit sermaye yatırımlarının yüzde 51,7’sinin merkezi yönetim bütçesi kapsamındaki idareler, yüzde 28,5’sının mahalli idareler, yüzde 15,7’sinin işletmeci KİT’ler, yüzde 1,2’sinin özelleştirme kapsamındaki kuruluşlar, yüzde 0,1’inin İller Bankası, yüzde 2,8’inin döner sermayeli kuruluşlar ve sosyal güvenlik kuruluşları tarafından gerçekleştirileceği tahmin edilmektedir.</w:t>
      </w:r>
    </w:p>
    <w:p w:rsidR="00565FD5" w:rsidRPr="001131FC" w:rsidRDefault="00565FD5" w:rsidP="00565FD5">
      <w:pPr>
        <w:ind w:firstLine="425"/>
        <w:rPr>
          <w:rFonts w:cs="Tahoma"/>
          <w:szCs w:val="18"/>
        </w:rPr>
      </w:pPr>
      <w:r w:rsidRPr="001131FC">
        <w:rPr>
          <w:rFonts w:cs="Tahoma"/>
          <w:szCs w:val="18"/>
        </w:rPr>
        <w:t>2013 yılında kamu kesimi sabit sermaye yatırımları içinde, bir önceki yıla göre ulaştırma ve tarım alt sektörlerinin paylarında düşüş, turizm sektörünün payında bir değişme olmaması, diğer tüm alt sektörlerin paylarında ise artış olacağı öngörülmektedir.</w:t>
      </w:r>
    </w:p>
    <w:p w:rsidR="00565FD5" w:rsidRPr="001131FC" w:rsidRDefault="00565FD5" w:rsidP="00565FD5">
      <w:pPr>
        <w:spacing w:after="120"/>
        <w:ind w:firstLine="425"/>
        <w:rPr>
          <w:rFonts w:cs="Tahoma"/>
          <w:szCs w:val="18"/>
        </w:rPr>
      </w:pPr>
      <w:r w:rsidRPr="001131FC">
        <w:rPr>
          <w:rFonts w:cs="Tahoma"/>
          <w:szCs w:val="18"/>
        </w:rPr>
        <w:t xml:space="preserve">2013 yılında özel kesim sabit sermaye yatırımlarının reel olarak yüzde 7,1 oranında artış göstereceği tahmin edilmektedir. 2013 yılında cari fiyatlarla özel kesim sabit sermaye yatırımları içinde imalat, enerji, eğitim ve sağlık alt sektörlerinin paylarının bir önceki yıla göre artacağı, madencilik alt sektörünün payının aynı kalacağı, diğer sektörlerin paylarının ise azalacağı tahmin edilmektedir. </w:t>
      </w:r>
    </w:p>
    <w:p w:rsidR="00565FD5" w:rsidRPr="001131FC" w:rsidRDefault="00565FD5" w:rsidP="00565FD5">
      <w:pPr>
        <w:pStyle w:val="ResimYazs"/>
        <w:rPr>
          <w:rFonts w:cs="Tahoma"/>
          <w:b w:val="0"/>
          <w:snapToGrid w:val="0"/>
        </w:rPr>
      </w:pPr>
      <w:bookmarkStart w:id="444" w:name="_Toc149926703"/>
      <w:bookmarkStart w:id="445" w:name="_Toc150099334"/>
      <w:bookmarkStart w:id="446" w:name="_Toc181274090"/>
      <w:bookmarkStart w:id="447" w:name="_Toc181286369"/>
      <w:bookmarkStart w:id="448" w:name="_Toc213071579"/>
      <w:bookmarkStart w:id="449" w:name="_Toc244339785"/>
      <w:bookmarkStart w:id="450" w:name="_Toc275873812"/>
      <w:bookmarkStart w:id="451" w:name="_Toc276076436"/>
      <w:bookmarkStart w:id="452" w:name="_Toc307601600"/>
      <w:bookmarkStart w:id="453" w:name="_Toc307657842"/>
      <w:bookmarkStart w:id="454" w:name="_Toc307713507"/>
      <w:bookmarkStart w:id="455" w:name="_Toc338605962"/>
      <w:bookmarkStart w:id="456" w:name="_Toc338711737"/>
      <w:bookmarkStart w:id="457" w:name="_Toc149968442"/>
      <w:bookmarkStart w:id="458" w:name="_Toc150099130"/>
      <w:r>
        <w:lastRenderedPageBreak/>
        <w:t xml:space="preserve">TABLO II: </w:t>
      </w:r>
      <w:fldSimple w:instr=" SEQ TABLO_II: \* ARABIC ">
        <w:r>
          <w:rPr>
            <w:noProof/>
          </w:rPr>
          <w:t>10</w:t>
        </w:r>
      </w:fldSimple>
      <w:r w:rsidRPr="00557693">
        <w:rPr>
          <w:rFonts w:cs="Tahoma"/>
        </w:rPr>
        <w:t>-</w:t>
      </w:r>
      <w:r w:rsidRPr="00557693">
        <w:rPr>
          <w:rFonts w:cs="Tahoma"/>
          <w:snapToGrid w:val="0"/>
        </w:rPr>
        <w:t xml:space="preserve"> Kamu Sabit Sermaye Yatırımları (2011)</w:t>
      </w:r>
      <w:bookmarkEnd w:id="444"/>
      <w:bookmarkEnd w:id="445"/>
      <w:bookmarkEnd w:id="446"/>
      <w:bookmarkEnd w:id="447"/>
      <w:bookmarkEnd w:id="448"/>
      <w:bookmarkEnd w:id="449"/>
      <w:bookmarkEnd w:id="450"/>
      <w:bookmarkEnd w:id="451"/>
      <w:bookmarkEnd w:id="452"/>
      <w:bookmarkEnd w:id="453"/>
      <w:bookmarkEnd w:id="454"/>
      <w:bookmarkEnd w:id="455"/>
      <w:bookmarkEnd w:id="456"/>
    </w:p>
    <w:p w:rsidR="00565FD5" w:rsidRPr="001131FC" w:rsidRDefault="00565FD5" w:rsidP="00565FD5">
      <w:pPr>
        <w:jc w:val="right"/>
        <w:rPr>
          <w:rFonts w:cs="Tahoma"/>
          <w:sz w:val="14"/>
          <w:szCs w:val="14"/>
        </w:rPr>
      </w:pPr>
      <w:r w:rsidRPr="001131FC">
        <w:rPr>
          <w:rFonts w:cs="Tahoma"/>
          <w:snapToGrid w:val="0"/>
          <w:sz w:val="14"/>
          <w:szCs w:val="14"/>
        </w:rPr>
        <w:t>(Cari Fiyatlarla, Milyon TL)</w:t>
      </w:r>
    </w:p>
    <w:tbl>
      <w:tblPr>
        <w:tblW w:w="5000" w:type="pct"/>
        <w:tblCellMar>
          <w:left w:w="0" w:type="dxa"/>
          <w:right w:w="0" w:type="dxa"/>
        </w:tblCellMar>
        <w:tblLook w:val="0000"/>
      </w:tblPr>
      <w:tblGrid>
        <w:gridCol w:w="829"/>
        <w:gridCol w:w="621"/>
        <w:gridCol w:w="727"/>
        <w:gridCol w:w="672"/>
        <w:gridCol w:w="624"/>
        <w:gridCol w:w="685"/>
        <w:gridCol w:w="660"/>
        <w:gridCol w:w="515"/>
        <w:gridCol w:w="642"/>
        <w:gridCol w:w="660"/>
        <w:gridCol w:w="519"/>
      </w:tblGrid>
      <w:tr w:rsidR="00565FD5" w:rsidRPr="001131FC" w:rsidTr="00AB62A3">
        <w:trPr>
          <w:trHeight w:val="711"/>
        </w:trPr>
        <w:tc>
          <w:tcPr>
            <w:tcW w:w="579" w:type="pct"/>
            <w:tcBorders>
              <w:top w:val="single" w:sz="4" w:space="0" w:color="auto"/>
              <w:left w:val="single" w:sz="4" w:space="0" w:color="auto"/>
              <w:bottom w:val="single" w:sz="4" w:space="0" w:color="auto"/>
            </w:tcBorders>
            <w:vAlign w:val="center"/>
          </w:tcPr>
          <w:p w:rsidR="00565FD5" w:rsidRPr="001131FC" w:rsidRDefault="00565FD5" w:rsidP="00AB62A3">
            <w:pPr>
              <w:ind w:left="57" w:right="57"/>
              <w:jc w:val="center"/>
              <w:rPr>
                <w:rFonts w:cs="Tahoma"/>
                <w:b/>
                <w:sz w:val="12"/>
                <w:szCs w:val="12"/>
              </w:rPr>
            </w:pPr>
            <w:r w:rsidRPr="001131FC">
              <w:rPr>
                <w:rFonts w:cs="Tahoma"/>
                <w:b/>
                <w:sz w:val="12"/>
                <w:szCs w:val="12"/>
              </w:rPr>
              <w:t>Sektörler</w:t>
            </w:r>
          </w:p>
        </w:tc>
        <w:tc>
          <w:tcPr>
            <w:tcW w:w="434" w:type="pct"/>
            <w:tcBorders>
              <w:top w:val="single" w:sz="4" w:space="0" w:color="auto"/>
              <w:bottom w:val="single" w:sz="4" w:space="0" w:color="auto"/>
            </w:tcBorders>
            <w:vAlign w:val="center"/>
          </w:tcPr>
          <w:p w:rsidR="00565FD5" w:rsidRPr="001131FC" w:rsidRDefault="00565FD5" w:rsidP="00AB62A3">
            <w:pPr>
              <w:ind w:left="57" w:right="57"/>
              <w:jc w:val="right"/>
              <w:rPr>
                <w:rFonts w:cs="Tahoma"/>
                <w:b/>
                <w:snapToGrid w:val="0"/>
                <w:sz w:val="12"/>
                <w:szCs w:val="12"/>
              </w:rPr>
            </w:pPr>
            <w:r w:rsidRPr="001131FC">
              <w:rPr>
                <w:rFonts w:cs="Tahoma"/>
                <w:b/>
                <w:snapToGrid w:val="0"/>
                <w:sz w:val="12"/>
                <w:szCs w:val="12"/>
              </w:rPr>
              <w:t>Merkezi</w:t>
            </w:r>
          </w:p>
          <w:p w:rsidR="00565FD5" w:rsidRPr="001131FC" w:rsidRDefault="00565FD5" w:rsidP="00AB62A3">
            <w:pPr>
              <w:ind w:left="57" w:right="57"/>
              <w:jc w:val="right"/>
              <w:rPr>
                <w:rFonts w:cs="Tahoma"/>
                <w:b/>
                <w:snapToGrid w:val="0"/>
                <w:sz w:val="12"/>
                <w:szCs w:val="12"/>
              </w:rPr>
            </w:pPr>
            <w:r w:rsidRPr="001131FC">
              <w:rPr>
                <w:rFonts w:cs="Tahoma"/>
                <w:b/>
                <w:snapToGrid w:val="0"/>
                <w:sz w:val="12"/>
                <w:szCs w:val="12"/>
              </w:rPr>
              <w:t>Yönetim (1)</w:t>
            </w:r>
          </w:p>
        </w:tc>
        <w:tc>
          <w:tcPr>
            <w:tcW w:w="508" w:type="pct"/>
            <w:tcBorders>
              <w:top w:val="single" w:sz="4" w:space="0" w:color="auto"/>
              <w:bottom w:val="single" w:sz="4" w:space="0" w:color="auto"/>
            </w:tcBorders>
            <w:vAlign w:val="center"/>
          </w:tcPr>
          <w:p w:rsidR="00565FD5" w:rsidRPr="001131FC" w:rsidRDefault="00565FD5" w:rsidP="00AB62A3">
            <w:pPr>
              <w:ind w:left="57" w:right="57"/>
              <w:jc w:val="right"/>
              <w:rPr>
                <w:rFonts w:cs="Tahoma"/>
                <w:b/>
                <w:snapToGrid w:val="0"/>
                <w:sz w:val="12"/>
                <w:szCs w:val="12"/>
              </w:rPr>
            </w:pPr>
            <w:r w:rsidRPr="001131FC">
              <w:rPr>
                <w:rFonts w:cs="Tahoma"/>
                <w:b/>
                <w:snapToGrid w:val="0"/>
                <w:sz w:val="12"/>
                <w:szCs w:val="12"/>
              </w:rPr>
              <w:t>İşletmeci KİT’ler</w:t>
            </w:r>
          </w:p>
        </w:tc>
        <w:tc>
          <w:tcPr>
            <w:tcW w:w="470" w:type="pct"/>
            <w:tcBorders>
              <w:top w:val="single" w:sz="4" w:space="0" w:color="auto"/>
              <w:bottom w:val="single" w:sz="4" w:space="0" w:color="auto"/>
            </w:tcBorders>
            <w:vAlign w:val="center"/>
          </w:tcPr>
          <w:p w:rsidR="00565FD5" w:rsidRPr="001131FC" w:rsidRDefault="00565FD5" w:rsidP="00AB62A3">
            <w:pPr>
              <w:ind w:left="57" w:right="57"/>
              <w:jc w:val="right"/>
              <w:rPr>
                <w:rFonts w:cs="Tahoma"/>
                <w:b/>
                <w:snapToGrid w:val="0"/>
                <w:sz w:val="12"/>
                <w:szCs w:val="12"/>
              </w:rPr>
            </w:pPr>
            <w:r w:rsidRPr="001131FC">
              <w:rPr>
                <w:rFonts w:cs="Tahoma"/>
                <w:b/>
                <w:snapToGrid w:val="0"/>
                <w:sz w:val="12"/>
                <w:szCs w:val="12"/>
              </w:rPr>
              <w:t>Özelleş.</w:t>
            </w:r>
          </w:p>
          <w:p w:rsidR="00565FD5" w:rsidRPr="001131FC" w:rsidRDefault="00565FD5" w:rsidP="00AB62A3">
            <w:pPr>
              <w:ind w:left="57" w:right="57"/>
              <w:jc w:val="right"/>
              <w:rPr>
                <w:rFonts w:cs="Tahoma"/>
                <w:b/>
                <w:snapToGrid w:val="0"/>
                <w:sz w:val="12"/>
                <w:szCs w:val="12"/>
              </w:rPr>
            </w:pPr>
            <w:r w:rsidRPr="001131FC">
              <w:rPr>
                <w:rFonts w:cs="Tahoma"/>
                <w:b/>
                <w:snapToGrid w:val="0"/>
                <w:sz w:val="12"/>
                <w:szCs w:val="12"/>
              </w:rPr>
              <w:t>Kapsam. Kuruluş.</w:t>
            </w:r>
          </w:p>
        </w:tc>
        <w:tc>
          <w:tcPr>
            <w:tcW w:w="436" w:type="pct"/>
            <w:tcBorders>
              <w:top w:val="single" w:sz="4" w:space="0" w:color="auto"/>
              <w:bottom w:val="single" w:sz="4" w:space="0" w:color="auto"/>
            </w:tcBorders>
            <w:vAlign w:val="center"/>
          </w:tcPr>
          <w:p w:rsidR="00565FD5" w:rsidRPr="001131FC" w:rsidRDefault="00565FD5" w:rsidP="00AB62A3">
            <w:pPr>
              <w:ind w:left="57" w:right="57"/>
              <w:jc w:val="right"/>
              <w:rPr>
                <w:rFonts w:cs="Tahoma"/>
                <w:b/>
                <w:snapToGrid w:val="0"/>
                <w:sz w:val="12"/>
                <w:szCs w:val="12"/>
              </w:rPr>
            </w:pPr>
            <w:r w:rsidRPr="001131FC">
              <w:rPr>
                <w:rFonts w:cs="Tahoma"/>
                <w:b/>
                <w:snapToGrid w:val="0"/>
                <w:sz w:val="12"/>
                <w:szCs w:val="12"/>
              </w:rPr>
              <w:t>İller</w:t>
            </w:r>
          </w:p>
          <w:p w:rsidR="00565FD5" w:rsidRPr="001131FC" w:rsidRDefault="00565FD5" w:rsidP="00AB62A3">
            <w:pPr>
              <w:ind w:left="57" w:right="57"/>
              <w:jc w:val="right"/>
              <w:rPr>
                <w:rFonts w:cs="Tahoma"/>
                <w:b/>
                <w:snapToGrid w:val="0"/>
                <w:sz w:val="12"/>
                <w:szCs w:val="12"/>
              </w:rPr>
            </w:pPr>
            <w:r w:rsidRPr="001131FC">
              <w:rPr>
                <w:rFonts w:cs="Tahoma"/>
                <w:b/>
                <w:snapToGrid w:val="0"/>
                <w:sz w:val="12"/>
                <w:szCs w:val="12"/>
              </w:rPr>
              <w:t>Bankası</w:t>
            </w:r>
          </w:p>
        </w:tc>
        <w:tc>
          <w:tcPr>
            <w:tcW w:w="479" w:type="pct"/>
            <w:tcBorders>
              <w:top w:val="single" w:sz="4" w:space="0" w:color="auto"/>
              <w:bottom w:val="single" w:sz="4" w:space="0" w:color="auto"/>
            </w:tcBorders>
            <w:vAlign w:val="center"/>
          </w:tcPr>
          <w:p w:rsidR="00565FD5" w:rsidRPr="001131FC" w:rsidRDefault="00565FD5" w:rsidP="00AB62A3">
            <w:pPr>
              <w:ind w:left="57" w:right="57"/>
              <w:jc w:val="right"/>
              <w:rPr>
                <w:rFonts w:cs="Tahoma"/>
                <w:b/>
                <w:snapToGrid w:val="0"/>
                <w:sz w:val="12"/>
                <w:szCs w:val="12"/>
              </w:rPr>
            </w:pPr>
            <w:r w:rsidRPr="001131FC">
              <w:rPr>
                <w:rFonts w:cs="Tahoma"/>
                <w:b/>
                <w:snapToGrid w:val="0"/>
                <w:sz w:val="12"/>
                <w:szCs w:val="12"/>
              </w:rPr>
              <w:t>Döner Sermaye</w:t>
            </w:r>
          </w:p>
          <w:p w:rsidR="00565FD5" w:rsidRPr="001131FC" w:rsidRDefault="00565FD5" w:rsidP="00AB62A3">
            <w:pPr>
              <w:ind w:left="57" w:right="57"/>
              <w:jc w:val="right"/>
              <w:rPr>
                <w:rFonts w:cs="Tahoma"/>
                <w:b/>
                <w:snapToGrid w:val="0"/>
                <w:sz w:val="12"/>
                <w:szCs w:val="12"/>
              </w:rPr>
            </w:pPr>
            <w:r w:rsidRPr="001131FC">
              <w:rPr>
                <w:rFonts w:cs="Tahoma"/>
                <w:b/>
                <w:snapToGrid w:val="0"/>
                <w:sz w:val="12"/>
                <w:szCs w:val="12"/>
              </w:rPr>
              <w:t>+ SGK</w:t>
            </w:r>
          </w:p>
        </w:tc>
        <w:tc>
          <w:tcPr>
            <w:tcW w:w="461" w:type="pct"/>
            <w:tcBorders>
              <w:top w:val="single" w:sz="4" w:space="0" w:color="auto"/>
              <w:bottom w:val="single" w:sz="4" w:space="0" w:color="auto"/>
            </w:tcBorders>
            <w:vAlign w:val="center"/>
          </w:tcPr>
          <w:p w:rsidR="00565FD5" w:rsidRPr="001131FC" w:rsidRDefault="00565FD5" w:rsidP="00AB62A3">
            <w:pPr>
              <w:ind w:left="57" w:right="57"/>
              <w:jc w:val="right"/>
              <w:rPr>
                <w:rFonts w:cs="Tahoma"/>
                <w:b/>
                <w:snapToGrid w:val="0"/>
                <w:sz w:val="12"/>
                <w:szCs w:val="12"/>
              </w:rPr>
            </w:pPr>
            <w:r w:rsidRPr="001131FC">
              <w:rPr>
                <w:rFonts w:cs="Tahoma"/>
                <w:b/>
                <w:snapToGrid w:val="0"/>
                <w:sz w:val="12"/>
                <w:szCs w:val="12"/>
              </w:rPr>
              <w:t>ALT</w:t>
            </w:r>
          </w:p>
          <w:p w:rsidR="00565FD5" w:rsidRPr="001131FC" w:rsidRDefault="00565FD5" w:rsidP="00AB62A3">
            <w:pPr>
              <w:ind w:left="57" w:right="57"/>
              <w:jc w:val="right"/>
              <w:rPr>
                <w:rFonts w:cs="Tahoma"/>
                <w:b/>
                <w:snapToGrid w:val="0"/>
                <w:sz w:val="12"/>
                <w:szCs w:val="12"/>
              </w:rPr>
            </w:pPr>
            <w:r w:rsidRPr="001131FC">
              <w:rPr>
                <w:rFonts w:cs="Tahoma"/>
                <w:b/>
                <w:snapToGrid w:val="0"/>
                <w:sz w:val="12"/>
                <w:szCs w:val="12"/>
              </w:rPr>
              <w:t>TOPLAM</w:t>
            </w:r>
          </w:p>
        </w:tc>
        <w:tc>
          <w:tcPr>
            <w:tcW w:w="360" w:type="pct"/>
            <w:tcBorders>
              <w:top w:val="single" w:sz="4" w:space="0" w:color="auto"/>
              <w:bottom w:val="single" w:sz="4" w:space="0" w:color="auto"/>
            </w:tcBorders>
            <w:vAlign w:val="center"/>
          </w:tcPr>
          <w:p w:rsidR="00565FD5" w:rsidRPr="001131FC" w:rsidRDefault="00565FD5" w:rsidP="00AB62A3">
            <w:pPr>
              <w:ind w:left="57" w:right="57"/>
              <w:jc w:val="right"/>
              <w:rPr>
                <w:rFonts w:cs="Tahoma"/>
                <w:b/>
                <w:snapToGrid w:val="0"/>
                <w:sz w:val="12"/>
                <w:szCs w:val="12"/>
              </w:rPr>
            </w:pPr>
            <w:r w:rsidRPr="001131FC">
              <w:rPr>
                <w:rFonts w:cs="Tahoma"/>
                <w:b/>
                <w:snapToGrid w:val="0"/>
                <w:sz w:val="12"/>
                <w:szCs w:val="12"/>
              </w:rPr>
              <w:t>Yüzde</w:t>
            </w:r>
          </w:p>
          <w:p w:rsidR="00565FD5" w:rsidRPr="001131FC" w:rsidRDefault="00565FD5" w:rsidP="00AB62A3">
            <w:pPr>
              <w:ind w:left="57" w:right="57"/>
              <w:jc w:val="right"/>
              <w:rPr>
                <w:rFonts w:cs="Tahoma"/>
                <w:b/>
                <w:snapToGrid w:val="0"/>
                <w:sz w:val="12"/>
                <w:szCs w:val="12"/>
              </w:rPr>
            </w:pPr>
            <w:r w:rsidRPr="001131FC">
              <w:rPr>
                <w:rFonts w:cs="Tahoma"/>
                <w:b/>
                <w:snapToGrid w:val="0"/>
                <w:sz w:val="12"/>
                <w:szCs w:val="12"/>
              </w:rPr>
              <w:t>Pay</w:t>
            </w:r>
          </w:p>
        </w:tc>
        <w:tc>
          <w:tcPr>
            <w:tcW w:w="449" w:type="pct"/>
            <w:tcBorders>
              <w:top w:val="single" w:sz="4" w:space="0" w:color="auto"/>
              <w:bottom w:val="single" w:sz="4" w:space="0" w:color="auto"/>
            </w:tcBorders>
            <w:vAlign w:val="center"/>
          </w:tcPr>
          <w:p w:rsidR="00565FD5" w:rsidRPr="001131FC" w:rsidRDefault="00565FD5" w:rsidP="00AB62A3">
            <w:pPr>
              <w:ind w:left="57" w:right="57"/>
              <w:jc w:val="right"/>
              <w:rPr>
                <w:rFonts w:cs="Tahoma"/>
                <w:b/>
                <w:snapToGrid w:val="0"/>
                <w:sz w:val="12"/>
                <w:szCs w:val="12"/>
              </w:rPr>
            </w:pPr>
            <w:r w:rsidRPr="001131FC">
              <w:rPr>
                <w:rFonts w:cs="Tahoma"/>
                <w:b/>
                <w:snapToGrid w:val="0"/>
                <w:sz w:val="12"/>
                <w:szCs w:val="12"/>
              </w:rPr>
              <w:t>Mahalli</w:t>
            </w:r>
          </w:p>
          <w:p w:rsidR="00565FD5" w:rsidRPr="001131FC" w:rsidRDefault="00565FD5" w:rsidP="00AB62A3">
            <w:pPr>
              <w:ind w:left="57" w:right="57"/>
              <w:jc w:val="right"/>
              <w:rPr>
                <w:rFonts w:cs="Tahoma"/>
                <w:b/>
                <w:snapToGrid w:val="0"/>
                <w:sz w:val="12"/>
                <w:szCs w:val="12"/>
              </w:rPr>
            </w:pPr>
            <w:r w:rsidRPr="001131FC">
              <w:rPr>
                <w:rFonts w:cs="Tahoma"/>
                <w:b/>
                <w:snapToGrid w:val="0"/>
                <w:sz w:val="12"/>
                <w:szCs w:val="12"/>
              </w:rPr>
              <w:t>İdareler</w:t>
            </w:r>
          </w:p>
        </w:tc>
        <w:tc>
          <w:tcPr>
            <w:tcW w:w="461" w:type="pct"/>
            <w:tcBorders>
              <w:top w:val="single" w:sz="4" w:space="0" w:color="auto"/>
              <w:bottom w:val="single" w:sz="4" w:space="0" w:color="auto"/>
            </w:tcBorders>
            <w:vAlign w:val="center"/>
          </w:tcPr>
          <w:p w:rsidR="00565FD5" w:rsidRPr="001131FC" w:rsidRDefault="00565FD5" w:rsidP="00AB62A3">
            <w:pPr>
              <w:ind w:left="57" w:right="57"/>
              <w:jc w:val="right"/>
              <w:rPr>
                <w:rFonts w:cs="Tahoma"/>
                <w:b/>
                <w:snapToGrid w:val="0"/>
                <w:sz w:val="12"/>
                <w:szCs w:val="12"/>
              </w:rPr>
            </w:pPr>
            <w:r w:rsidRPr="001131FC">
              <w:rPr>
                <w:rFonts w:cs="Tahoma"/>
                <w:b/>
                <w:snapToGrid w:val="0"/>
                <w:sz w:val="12"/>
                <w:szCs w:val="12"/>
              </w:rPr>
              <w:t>TOPLAM</w:t>
            </w:r>
          </w:p>
          <w:p w:rsidR="00565FD5" w:rsidRPr="001131FC" w:rsidRDefault="00565FD5" w:rsidP="00AB62A3">
            <w:pPr>
              <w:ind w:left="57" w:right="57"/>
              <w:jc w:val="right"/>
              <w:rPr>
                <w:rFonts w:cs="Tahoma"/>
                <w:b/>
                <w:snapToGrid w:val="0"/>
                <w:sz w:val="12"/>
                <w:szCs w:val="12"/>
              </w:rPr>
            </w:pPr>
            <w:r w:rsidRPr="001131FC">
              <w:rPr>
                <w:rFonts w:cs="Tahoma"/>
                <w:b/>
                <w:snapToGrid w:val="0"/>
                <w:sz w:val="12"/>
                <w:szCs w:val="12"/>
              </w:rPr>
              <w:t>KAMU</w:t>
            </w:r>
          </w:p>
        </w:tc>
        <w:tc>
          <w:tcPr>
            <w:tcW w:w="363" w:type="pct"/>
            <w:tcBorders>
              <w:top w:val="single" w:sz="4" w:space="0" w:color="auto"/>
              <w:bottom w:val="single" w:sz="4" w:space="0" w:color="auto"/>
              <w:right w:val="single" w:sz="4" w:space="0" w:color="auto"/>
            </w:tcBorders>
            <w:vAlign w:val="center"/>
          </w:tcPr>
          <w:p w:rsidR="00565FD5" w:rsidRPr="001131FC" w:rsidRDefault="00565FD5" w:rsidP="00AB62A3">
            <w:pPr>
              <w:ind w:left="57" w:right="57"/>
              <w:jc w:val="right"/>
              <w:rPr>
                <w:rFonts w:cs="Tahoma"/>
                <w:b/>
                <w:snapToGrid w:val="0"/>
                <w:sz w:val="12"/>
                <w:szCs w:val="12"/>
              </w:rPr>
            </w:pPr>
            <w:r w:rsidRPr="001131FC">
              <w:rPr>
                <w:rFonts w:cs="Tahoma"/>
                <w:b/>
                <w:snapToGrid w:val="0"/>
                <w:sz w:val="12"/>
                <w:szCs w:val="12"/>
              </w:rPr>
              <w:t>Yüzde</w:t>
            </w:r>
          </w:p>
          <w:p w:rsidR="00565FD5" w:rsidRPr="001131FC" w:rsidRDefault="00565FD5" w:rsidP="00AB62A3">
            <w:pPr>
              <w:ind w:left="57" w:right="57"/>
              <w:jc w:val="right"/>
              <w:rPr>
                <w:rFonts w:cs="Tahoma"/>
                <w:b/>
                <w:snapToGrid w:val="0"/>
                <w:sz w:val="12"/>
                <w:szCs w:val="12"/>
              </w:rPr>
            </w:pPr>
            <w:r w:rsidRPr="001131FC">
              <w:rPr>
                <w:rFonts w:cs="Tahoma"/>
                <w:b/>
                <w:snapToGrid w:val="0"/>
                <w:sz w:val="12"/>
                <w:szCs w:val="12"/>
              </w:rPr>
              <w:t>Pay</w:t>
            </w:r>
          </w:p>
        </w:tc>
      </w:tr>
      <w:tr w:rsidR="00565FD5" w:rsidRPr="001131FC" w:rsidTr="00AB62A3">
        <w:trPr>
          <w:trHeight w:val="284"/>
        </w:trPr>
        <w:tc>
          <w:tcPr>
            <w:tcW w:w="579" w:type="pct"/>
            <w:tcBorders>
              <w:left w:val="single" w:sz="4" w:space="0" w:color="auto"/>
            </w:tcBorders>
            <w:vAlign w:val="bottom"/>
          </w:tcPr>
          <w:p w:rsidR="00565FD5" w:rsidRPr="001131FC" w:rsidRDefault="00565FD5" w:rsidP="00AB62A3">
            <w:pPr>
              <w:ind w:left="57" w:right="57"/>
              <w:rPr>
                <w:rFonts w:cs="Tahoma"/>
                <w:snapToGrid w:val="0"/>
                <w:sz w:val="14"/>
                <w:szCs w:val="14"/>
              </w:rPr>
            </w:pPr>
            <w:r w:rsidRPr="001131FC">
              <w:rPr>
                <w:rFonts w:cs="Tahoma"/>
                <w:snapToGrid w:val="0"/>
                <w:sz w:val="14"/>
                <w:szCs w:val="14"/>
              </w:rPr>
              <w:t>Tarım</w:t>
            </w:r>
          </w:p>
        </w:tc>
        <w:tc>
          <w:tcPr>
            <w:tcW w:w="434"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3 778</w:t>
            </w:r>
          </w:p>
        </w:tc>
        <w:tc>
          <w:tcPr>
            <w:tcW w:w="508"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166</w:t>
            </w:r>
          </w:p>
        </w:tc>
        <w:tc>
          <w:tcPr>
            <w:tcW w:w="470"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w:t>
            </w:r>
          </w:p>
        </w:tc>
        <w:tc>
          <w:tcPr>
            <w:tcW w:w="436"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79"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110</w:t>
            </w:r>
          </w:p>
        </w:tc>
        <w:tc>
          <w:tcPr>
            <w:tcW w:w="461"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4 054</w:t>
            </w:r>
          </w:p>
        </w:tc>
        <w:tc>
          <w:tcPr>
            <w:tcW w:w="360"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11,1</w:t>
            </w:r>
          </w:p>
        </w:tc>
        <w:tc>
          <w:tcPr>
            <w:tcW w:w="449"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430</w:t>
            </w:r>
          </w:p>
        </w:tc>
        <w:tc>
          <w:tcPr>
            <w:tcW w:w="461"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4 484</w:t>
            </w:r>
          </w:p>
        </w:tc>
        <w:tc>
          <w:tcPr>
            <w:tcW w:w="363" w:type="pct"/>
            <w:tcBorders>
              <w:right w:val="single" w:sz="4" w:space="0" w:color="auto"/>
            </w:tcBorders>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9,1</w:t>
            </w:r>
          </w:p>
        </w:tc>
      </w:tr>
      <w:tr w:rsidR="00565FD5" w:rsidRPr="001131FC" w:rsidTr="00AB62A3">
        <w:trPr>
          <w:trHeight w:val="284"/>
        </w:trPr>
        <w:tc>
          <w:tcPr>
            <w:tcW w:w="579" w:type="pct"/>
            <w:tcBorders>
              <w:left w:val="single" w:sz="4" w:space="0" w:color="auto"/>
            </w:tcBorders>
            <w:vAlign w:val="bottom"/>
          </w:tcPr>
          <w:p w:rsidR="00565FD5" w:rsidRPr="001131FC" w:rsidRDefault="00565FD5" w:rsidP="00AB62A3">
            <w:pPr>
              <w:ind w:left="57" w:right="57"/>
              <w:rPr>
                <w:rFonts w:cs="Tahoma"/>
                <w:snapToGrid w:val="0"/>
                <w:sz w:val="14"/>
                <w:szCs w:val="14"/>
              </w:rPr>
            </w:pPr>
            <w:r w:rsidRPr="001131FC">
              <w:rPr>
                <w:rFonts w:cs="Tahoma"/>
                <w:snapToGrid w:val="0"/>
                <w:sz w:val="14"/>
                <w:szCs w:val="14"/>
              </w:rPr>
              <w:t>Madencilik</w:t>
            </w:r>
          </w:p>
        </w:tc>
        <w:tc>
          <w:tcPr>
            <w:tcW w:w="434"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106</w:t>
            </w:r>
          </w:p>
        </w:tc>
        <w:tc>
          <w:tcPr>
            <w:tcW w:w="508"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1 121</w:t>
            </w:r>
          </w:p>
        </w:tc>
        <w:tc>
          <w:tcPr>
            <w:tcW w:w="470"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36"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79"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61"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1 227</w:t>
            </w:r>
          </w:p>
        </w:tc>
        <w:tc>
          <w:tcPr>
            <w:tcW w:w="360"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3,4</w:t>
            </w:r>
          </w:p>
        </w:tc>
        <w:tc>
          <w:tcPr>
            <w:tcW w:w="449"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w:t>
            </w:r>
          </w:p>
        </w:tc>
        <w:tc>
          <w:tcPr>
            <w:tcW w:w="461"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1 228</w:t>
            </w:r>
          </w:p>
        </w:tc>
        <w:tc>
          <w:tcPr>
            <w:tcW w:w="363" w:type="pct"/>
            <w:tcBorders>
              <w:right w:val="single" w:sz="4" w:space="0" w:color="auto"/>
            </w:tcBorders>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2,5</w:t>
            </w:r>
          </w:p>
        </w:tc>
      </w:tr>
      <w:tr w:rsidR="00565FD5" w:rsidRPr="001131FC" w:rsidTr="00AB62A3">
        <w:trPr>
          <w:trHeight w:val="284"/>
        </w:trPr>
        <w:tc>
          <w:tcPr>
            <w:tcW w:w="579" w:type="pct"/>
            <w:tcBorders>
              <w:left w:val="single" w:sz="4" w:space="0" w:color="auto"/>
            </w:tcBorders>
            <w:vAlign w:val="bottom"/>
          </w:tcPr>
          <w:p w:rsidR="00565FD5" w:rsidRPr="001131FC" w:rsidRDefault="00565FD5" w:rsidP="00AB62A3">
            <w:pPr>
              <w:ind w:left="57" w:right="57"/>
              <w:rPr>
                <w:rFonts w:cs="Tahoma"/>
                <w:snapToGrid w:val="0"/>
                <w:sz w:val="14"/>
                <w:szCs w:val="14"/>
              </w:rPr>
            </w:pPr>
            <w:r w:rsidRPr="001131FC">
              <w:rPr>
                <w:rFonts w:cs="Tahoma"/>
                <w:snapToGrid w:val="0"/>
                <w:sz w:val="14"/>
                <w:szCs w:val="14"/>
              </w:rPr>
              <w:t>İmalat</w:t>
            </w:r>
          </w:p>
        </w:tc>
        <w:tc>
          <w:tcPr>
            <w:tcW w:w="434"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33</w:t>
            </w:r>
          </w:p>
        </w:tc>
        <w:tc>
          <w:tcPr>
            <w:tcW w:w="508"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188</w:t>
            </w:r>
          </w:p>
        </w:tc>
        <w:tc>
          <w:tcPr>
            <w:tcW w:w="470"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29</w:t>
            </w:r>
          </w:p>
        </w:tc>
        <w:tc>
          <w:tcPr>
            <w:tcW w:w="436"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79"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7</w:t>
            </w:r>
          </w:p>
        </w:tc>
        <w:tc>
          <w:tcPr>
            <w:tcW w:w="461"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257</w:t>
            </w:r>
          </w:p>
        </w:tc>
        <w:tc>
          <w:tcPr>
            <w:tcW w:w="360"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0,7</w:t>
            </w:r>
          </w:p>
        </w:tc>
        <w:tc>
          <w:tcPr>
            <w:tcW w:w="449"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87</w:t>
            </w:r>
          </w:p>
        </w:tc>
        <w:tc>
          <w:tcPr>
            <w:tcW w:w="461"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344</w:t>
            </w:r>
          </w:p>
        </w:tc>
        <w:tc>
          <w:tcPr>
            <w:tcW w:w="363" w:type="pct"/>
            <w:tcBorders>
              <w:right w:val="single" w:sz="4" w:space="0" w:color="auto"/>
            </w:tcBorders>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0,7</w:t>
            </w:r>
          </w:p>
        </w:tc>
      </w:tr>
      <w:tr w:rsidR="00565FD5" w:rsidRPr="001131FC" w:rsidTr="00AB62A3">
        <w:trPr>
          <w:trHeight w:val="284"/>
        </w:trPr>
        <w:tc>
          <w:tcPr>
            <w:tcW w:w="579" w:type="pct"/>
            <w:tcBorders>
              <w:left w:val="single" w:sz="4" w:space="0" w:color="auto"/>
            </w:tcBorders>
            <w:vAlign w:val="bottom"/>
          </w:tcPr>
          <w:p w:rsidR="00565FD5" w:rsidRPr="001131FC" w:rsidRDefault="00565FD5" w:rsidP="00AB62A3">
            <w:pPr>
              <w:ind w:left="57" w:right="57"/>
              <w:rPr>
                <w:rFonts w:cs="Tahoma"/>
                <w:snapToGrid w:val="0"/>
                <w:sz w:val="14"/>
                <w:szCs w:val="14"/>
              </w:rPr>
            </w:pPr>
            <w:r w:rsidRPr="001131FC">
              <w:rPr>
                <w:rFonts w:cs="Tahoma"/>
                <w:snapToGrid w:val="0"/>
                <w:sz w:val="14"/>
                <w:szCs w:val="14"/>
              </w:rPr>
              <w:t>Enerji</w:t>
            </w:r>
          </w:p>
        </w:tc>
        <w:tc>
          <w:tcPr>
            <w:tcW w:w="434"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1 471</w:t>
            </w:r>
          </w:p>
        </w:tc>
        <w:tc>
          <w:tcPr>
            <w:tcW w:w="508"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789</w:t>
            </w:r>
          </w:p>
        </w:tc>
        <w:tc>
          <w:tcPr>
            <w:tcW w:w="470"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501</w:t>
            </w:r>
          </w:p>
        </w:tc>
        <w:tc>
          <w:tcPr>
            <w:tcW w:w="436"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79"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61"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2 762</w:t>
            </w:r>
          </w:p>
        </w:tc>
        <w:tc>
          <w:tcPr>
            <w:tcW w:w="360"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7,6</w:t>
            </w:r>
          </w:p>
        </w:tc>
        <w:tc>
          <w:tcPr>
            <w:tcW w:w="449"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17</w:t>
            </w:r>
          </w:p>
        </w:tc>
        <w:tc>
          <w:tcPr>
            <w:tcW w:w="461"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2 779</w:t>
            </w:r>
          </w:p>
        </w:tc>
        <w:tc>
          <w:tcPr>
            <w:tcW w:w="363" w:type="pct"/>
            <w:tcBorders>
              <w:right w:val="single" w:sz="4" w:space="0" w:color="auto"/>
            </w:tcBorders>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5,6</w:t>
            </w:r>
          </w:p>
        </w:tc>
      </w:tr>
      <w:tr w:rsidR="00565FD5" w:rsidRPr="001131FC" w:rsidTr="00AB62A3">
        <w:trPr>
          <w:trHeight w:val="284"/>
        </w:trPr>
        <w:tc>
          <w:tcPr>
            <w:tcW w:w="579" w:type="pct"/>
            <w:tcBorders>
              <w:left w:val="single" w:sz="4" w:space="0" w:color="auto"/>
            </w:tcBorders>
            <w:vAlign w:val="bottom"/>
          </w:tcPr>
          <w:p w:rsidR="00565FD5" w:rsidRPr="001131FC" w:rsidRDefault="00565FD5" w:rsidP="00AB62A3">
            <w:pPr>
              <w:ind w:left="57" w:right="57"/>
              <w:rPr>
                <w:rFonts w:cs="Tahoma"/>
                <w:snapToGrid w:val="0"/>
                <w:sz w:val="14"/>
                <w:szCs w:val="14"/>
              </w:rPr>
            </w:pPr>
            <w:r w:rsidRPr="001131FC">
              <w:rPr>
                <w:rFonts w:cs="Tahoma"/>
                <w:snapToGrid w:val="0"/>
                <w:sz w:val="14"/>
                <w:szCs w:val="14"/>
              </w:rPr>
              <w:t>Ulaştırma</w:t>
            </w:r>
          </w:p>
        </w:tc>
        <w:tc>
          <w:tcPr>
            <w:tcW w:w="434"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12 616</w:t>
            </w:r>
          </w:p>
        </w:tc>
        <w:tc>
          <w:tcPr>
            <w:tcW w:w="508"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3 506</w:t>
            </w:r>
          </w:p>
        </w:tc>
        <w:tc>
          <w:tcPr>
            <w:tcW w:w="470"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36"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79"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134</w:t>
            </w:r>
          </w:p>
        </w:tc>
        <w:tc>
          <w:tcPr>
            <w:tcW w:w="461"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16 255</w:t>
            </w:r>
          </w:p>
        </w:tc>
        <w:tc>
          <w:tcPr>
            <w:tcW w:w="360"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44,5</w:t>
            </w:r>
          </w:p>
        </w:tc>
        <w:tc>
          <w:tcPr>
            <w:tcW w:w="449"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5 023</w:t>
            </w:r>
          </w:p>
        </w:tc>
        <w:tc>
          <w:tcPr>
            <w:tcW w:w="461"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21 278</w:t>
            </w:r>
          </w:p>
        </w:tc>
        <w:tc>
          <w:tcPr>
            <w:tcW w:w="363" w:type="pct"/>
            <w:tcBorders>
              <w:right w:val="single" w:sz="4" w:space="0" w:color="auto"/>
            </w:tcBorders>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43,0</w:t>
            </w:r>
          </w:p>
        </w:tc>
      </w:tr>
      <w:tr w:rsidR="00565FD5" w:rsidRPr="001131FC" w:rsidTr="00AB62A3">
        <w:trPr>
          <w:trHeight w:val="284"/>
        </w:trPr>
        <w:tc>
          <w:tcPr>
            <w:tcW w:w="579" w:type="pct"/>
            <w:tcBorders>
              <w:left w:val="single" w:sz="4" w:space="0" w:color="auto"/>
            </w:tcBorders>
            <w:vAlign w:val="bottom"/>
          </w:tcPr>
          <w:p w:rsidR="00565FD5" w:rsidRPr="001131FC" w:rsidRDefault="00565FD5" w:rsidP="00AB62A3">
            <w:pPr>
              <w:ind w:left="57" w:right="57"/>
              <w:rPr>
                <w:rFonts w:cs="Tahoma"/>
                <w:snapToGrid w:val="0"/>
                <w:sz w:val="14"/>
                <w:szCs w:val="14"/>
              </w:rPr>
            </w:pPr>
            <w:r w:rsidRPr="001131FC">
              <w:rPr>
                <w:rFonts w:cs="Tahoma"/>
                <w:snapToGrid w:val="0"/>
                <w:sz w:val="14"/>
                <w:szCs w:val="14"/>
              </w:rPr>
              <w:t>Turizm</w:t>
            </w:r>
          </w:p>
        </w:tc>
        <w:tc>
          <w:tcPr>
            <w:tcW w:w="434"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203</w:t>
            </w:r>
          </w:p>
        </w:tc>
        <w:tc>
          <w:tcPr>
            <w:tcW w:w="508"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70"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36"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79"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3</w:t>
            </w:r>
          </w:p>
        </w:tc>
        <w:tc>
          <w:tcPr>
            <w:tcW w:w="461"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206</w:t>
            </w:r>
          </w:p>
        </w:tc>
        <w:tc>
          <w:tcPr>
            <w:tcW w:w="360"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0,6</w:t>
            </w:r>
          </w:p>
        </w:tc>
        <w:tc>
          <w:tcPr>
            <w:tcW w:w="449"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75</w:t>
            </w:r>
          </w:p>
        </w:tc>
        <w:tc>
          <w:tcPr>
            <w:tcW w:w="461"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281</w:t>
            </w:r>
          </w:p>
        </w:tc>
        <w:tc>
          <w:tcPr>
            <w:tcW w:w="363" w:type="pct"/>
            <w:tcBorders>
              <w:right w:val="single" w:sz="4" w:space="0" w:color="auto"/>
            </w:tcBorders>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0,6</w:t>
            </w:r>
          </w:p>
        </w:tc>
      </w:tr>
      <w:tr w:rsidR="00565FD5" w:rsidRPr="001131FC" w:rsidTr="00AB62A3">
        <w:trPr>
          <w:trHeight w:val="284"/>
        </w:trPr>
        <w:tc>
          <w:tcPr>
            <w:tcW w:w="579" w:type="pct"/>
            <w:tcBorders>
              <w:left w:val="single" w:sz="4" w:space="0" w:color="auto"/>
            </w:tcBorders>
            <w:vAlign w:val="bottom"/>
          </w:tcPr>
          <w:p w:rsidR="00565FD5" w:rsidRPr="001131FC" w:rsidRDefault="00565FD5" w:rsidP="00AB62A3">
            <w:pPr>
              <w:ind w:left="57" w:right="57"/>
              <w:rPr>
                <w:rFonts w:cs="Tahoma"/>
                <w:snapToGrid w:val="0"/>
                <w:sz w:val="14"/>
                <w:szCs w:val="14"/>
              </w:rPr>
            </w:pPr>
            <w:r w:rsidRPr="001131FC">
              <w:rPr>
                <w:rFonts w:cs="Tahoma"/>
                <w:snapToGrid w:val="0"/>
                <w:sz w:val="14"/>
                <w:szCs w:val="14"/>
              </w:rPr>
              <w:t>Konut</w:t>
            </w:r>
          </w:p>
        </w:tc>
        <w:tc>
          <w:tcPr>
            <w:tcW w:w="434"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303</w:t>
            </w:r>
          </w:p>
        </w:tc>
        <w:tc>
          <w:tcPr>
            <w:tcW w:w="508"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10</w:t>
            </w:r>
          </w:p>
        </w:tc>
        <w:tc>
          <w:tcPr>
            <w:tcW w:w="470"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36"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79"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61"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313</w:t>
            </w:r>
          </w:p>
        </w:tc>
        <w:tc>
          <w:tcPr>
            <w:tcW w:w="360"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0,9</w:t>
            </w:r>
          </w:p>
        </w:tc>
        <w:tc>
          <w:tcPr>
            <w:tcW w:w="449"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543</w:t>
            </w:r>
          </w:p>
        </w:tc>
        <w:tc>
          <w:tcPr>
            <w:tcW w:w="461"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856</w:t>
            </w:r>
          </w:p>
        </w:tc>
        <w:tc>
          <w:tcPr>
            <w:tcW w:w="363" w:type="pct"/>
            <w:tcBorders>
              <w:right w:val="single" w:sz="4" w:space="0" w:color="auto"/>
            </w:tcBorders>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1,7</w:t>
            </w:r>
          </w:p>
        </w:tc>
      </w:tr>
      <w:tr w:rsidR="00565FD5" w:rsidRPr="001131FC" w:rsidTr="00AB62A3">
        <w:trPr>
          <w:trHeight w:val="284"/>
        </w:trPr>
        <w:tc>
          <w:tcPr>
            <w:tcW w:w="579" w:type="pct"/>
            <w:tcBorders>
              <w:left w:val="single" w:sz="4" w:space="0" w:color="auto"/>
            </w:tcBorders>
            <w:vAlign w:val="bottom"/>
          </w:tcPr>
          <w:p w:rsidR="00565FD5" w:rsidRPr="001131FC" w:rsidRDefault="00565FD5" w:rsidP="00AB62A3">
            <w:pPr>
              <w:ind w:left="57" w:right="57"/>
              <w:rPr>
                <w:rFonts w:cs="Tahoma"/>
                <w:snapToGrid w:val="0"/>
                <w:sz w:val="14"/>
                <w:szCs w:val="14"/>
              </w:rPr>
            </w:pPr>
            <w:r w:rsidRPr="001131FC">
              <w:rPr>
                <w:rFonts w:cs="Tahoma"/>
                <w:snapToGrid w:val="0"/>
                <w:sz w:val="14"/>
                <w:szCs w:val="14"/>
              </w:rPr>
              <w:t>Eğitim</w:t>
            </w:r>
          </w:p>
        </w:tc>
        <w:tc>
          <w:tcPr>
            <w:tcW w:w="434"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4 630</w:t>
            </w:r>
          </w:p>
        </w:tc>
        <w:tc>
          <w:tcPr>
            <w:tcW w:w="508"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70"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36"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79"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30</w:t>
            </w:r>
          </w:p>
        </w:tc>
        <w:tc>
          <w:tcPr>
            <w:tcW w:w="461"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4 660</w:t>
            </w:r>
          </w:p>
        </w:tc>
        <w:tc>
          <w:tcPr>
            <w:tcW w:w="360"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12,7</w:t>
            </w:r>
          </w:p>
        </w:tc>
        <w:tc>
          <w:tcPr>
            <w:tcW w:w="449"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1 092</w:t>
            </w:r>
          </w:p>
        </w:tc>
        <w:tc>
          <w:tcPr>
            <w:tcW w:w="461"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5 752</w:t>
            </w:r>
          </w:p>
        </w:tc>
        <w:tc>
          <w:tcPr>
            <w:tcW w:w="363" w:type="pct"/>
            <w:tcBorders>
              <w:right w:val="single" w:sz="4" w:space="0" w:color="auto"/>
            </w:tcBorders>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11,6</w:t>
            </w:r>
          </w:p>
        </w:tc>
      </w:tr>
      <w:tr w:rsidR="00565FD5" w:rsidRPr="001131FC" w:rsidTr="00AB62A3">
        <w:trPr>
          <w:trHeight w:val="284"/>
        </w:trPr>
        <w:tc>
          <w:tcPr>
            <w:tcW w:w="579" w:type="pct"/>
            <w:tcBorders>
              <w:left w:val="single" w:sz="4" w:space="0" w:color="auto"/>
            </w:tcBorders>
            <w:vAlign w:val="bottom"/>
          </w:tcPr>
          <w:p w:rsidR="00565FD5" w:rsidRPr="001131FC" w:rsidRDefault="00565FD5" w:rsidP="00AB62A3">
            <w:pPr>
              <w:ind w:left="57" w:right="57"/>
              <w:rPr>
                <w:rFonts w:cs="Tahoma"/>
                <w:snapToGrid w:val="0"/>
                <w:sz w:val="14"/>
                <w:szCs w:val="14"/>
              </w:rPr>
            </w:pPr>
            <w:r w:rsidRPr="001131FC">
              <w:rPr>
                <w:rFonts w:cs="Tahoma"/>
                <w:snapToGrid w:val="0"/>
                <w:sz w:val="14"/>
                <w:szCs w:val="14"/>
              </w:rPr>
              <w:t>Sağlık</w:t>
            </w:r>
          </w:p>
        </w:tc>
        <w:tc>
          <w:tcPr>
            <w:tcW w:w="434"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1 471</w:t>
            </w:r>
          </w:p>
        </w:tc>
        <w:tc>
          <w:tcPr>
            <w:tcW w:w="508"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70"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36"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79"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486</w:t>
            </w:r>
          </w:p>
        </w:tc>
        <w:tc>
          <w:tcPr>
            <w:tcW w:w="461"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1 957</w:t>
            </w:r>
          </w:p>
        </w:tc>
        <w:tc>
          <w:tcPr>
            <w:tcW w:w="360"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5,4</w:t>
            </w:r>
          </w:p>
        </w:tc>
        <w:tc>
          <w:tcPr>
            <w:tcW w:w="449"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427</w:t>
            </w:r>
          </w:p>
        </w:tc>
        <w:tc>
          <w:tcPr>
            <w:tcW w:w="461"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2 384</w:t>
            </w:r>
          </w:p>
        </w:tc>
        <w:tc>
          <w:tcPr>
            <w:tcW w:w="363" w:type="pct"/>
            <w:tcBorders>
              <w:right w:val="single" w:sz="4" w:space="0" w:color="auto"/>
            </w:tcBorders>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4,8</w:t>
            </w:r>
          </w:p>
        </w:tc>
      </w:tr>
      <w:tr w:rsidR="00565FD5" w:rsidRPr="001131FC" w:rsidTr="00AB62A3">
        <w:trPr>
          <w:trHeight w:val="284"/>
        </w:trPr>
        <w:tc>
          <w:tcPr>
            <w:tcW w:w="579" w:type="pct"/>
            <w:tcBorders>
              <w:left w:val="single" w:sz="4" w:space="0" w:color="auto"/>
            </w:tcBorders>
            <w:vAlign w:val="bottom"/>
          </w:tcPr>
          <w:p w:rsidR="00565FD5" w:rsidRPr="001131FC" w:rsidRDefault="00565FD5" w:rsidP="00AB62A3">
            <w:pPr>
              <w:ind w:left="57" w:right="57"/>
              <w:rPr>
                <w:rFonts w:cs="Tahoma"/>
                <w:snapToGrid w:val="0"/>
                <w:sz w:val="14"/>
                <w:szCs w:val="14"/>
              </w:rPr>
            </w:pPr>
            <w:r w:rsidRPr="001131FC">
              <w:rPr>
                <w:rFonts w:cs="Tahoma"/>
                <w:snapToGrid w:val="0"/>
                <w:sz w:val="14"/>
                <w:szCs w:val="14"/>
              </w:rPr>
              <w:t>Diğer Hizmetler</w:t>
            </w:r>
          </w:p>
        </w:tc>
        <w:tc>
          <w:tcPr>
            <w:tcW w:w="434"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4 694</w:t>
            </w:r>
          </w:p>
        </w:tc>
        <w:tc>
          <w:tcPr>
            <w:tcW w:w="508"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11</w:t>
            </w:r>
          </w:p>
        </w:tc>
        <w:tc>
          <w:tcPr>
            <w:tcW w:w="470"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0</w:t>
            </w:r>
          </w:p>
        </w:tc>
        <w:tc>
          <w:tcPr>
            <w:tcW w:w="436"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77</w:t>
            </w:r>
          </w:p>
        </w:tc>
        <w:tc>
          <w:tcPr>
            <w:tcW w:w="479"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86</w:t>
            </w:r>
          </w:p>
        </w:tc>
        <w:tc>
          <w:tcPr>
            <w:tcW w:w="461"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4 867</w:t>
            </w:r>
          </w:p>
        </w:tc>
        <w:tc>
          <w:tcPr>
            <w:tcW w:w="360"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13,3</w:t>
            </w:r>
          </w:p>
        </w:tc>
        <w:tc>
          <w:tcPr>
            <w:tcW w:w="449"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5 204</w:t>
            </w:r>
          </w:p>
        </w:tc>
        <w:tc>
          <w:tcPr>
            <w:tcW w:w="461" w:type="pct"/>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10 072</w:t>
            </w:r>
          </w:p>
        </w:tc>
        <w:tc>
          <w:tcPr>
            <w:tcW w:w="363" w:type="pct"/>
            <w:tcBorders>
              <w:right w:val="single" w:sz="4" w:space="0" w:color="auto"/>
            </w:tcBorders>
            <w:vAlign w:val="bottom"/>
          </w:tcPr>
          <w:p w:rsidR="00565FD5" w:rsidRPr="001131FC" w:rsidRDefault="00565FD5" w:rsidP="00AB62A3">
            <w:pPr>
              <w:ind w:right="57"/>
              <w:jc w:val="right"/>
              <w:rPr>
                <w:rFonts w:cs="Tahoma"/>
                <w:color w:val="000000"/>
                <w:sz w:val="14"/>
                <w:szCs w:val="14"/>
              </w:rPr>
            </w:pPr>
            <w:r w:rsidRPr="001131FC">
              <w:rPr>
                <w:rFonts w:cs="Tahoma"/>
                <w:color w:val="000000"/>
                <w:sz w:val="14"/>
                <w:szCs w:val="14"/>
              </w:rPr>
              <w:t>20,4</w:t>
            </w:r>
          </w:p>
        </w:tc>
      </w:tr>
      <w:tr w:rsidR="00565FD5" w:rsidRPr="001131FC" w:rsidTr="00AB62A3">
        <w:trPr>
          <w:trHeight w:val="284"/>
        </w:trPr>
        <w:tc>
          <w:tcPr>
            <w:tcW w:w="579" w:type="pct"/>
            <w:tcBorders>
              <w:top w:val="single" w:sz="4" w:space="0" w:color="auto"/>
              <w:left w:val="single" w:sz="4" w:space="0" w:color="auto"/>
              <w:bottom w:val="single" w:sz="4" w:space="0" w:color="auto"/>
            </w:tcBorders>
            <w:vAlign w:val="bottom"/>
          </w:tcPr>
          <w:p w:rsidR="00565FD5" w:rsidRPr="001131FC" w:rsidRDefault="00565FD5" w:rsidP="00AB62A3">
            <w:pPr>
              <w:ind w:left="57" w:right="57"/>
              <w:rPr>
                <w:rFonts w:cs="Tahoma"/>
                <w:b/>
                <w:snapToGrid w:val="0"/>
                <w:sz w:val="14"/>
                <w:szCs w:val="14"/>
              </w:rPr>
            </w:pPr>
            <w:r w:rsidRPr="001131FC">
              <w:rPr>
                <w:rFonts w:cs="Tahoma"/>
                <w:b/>
                <w:snapToGrid w:val="0"/>
                <w:sz w:val="14"/>
                <w:szCs w:val="14"/>
              </w:rPr>
              <w:t>Toplam</w:t>
            </w:r>
          </w:p>
        </w:tc>
        <w:tc>
          <w:tcPr>
            <w:tcW w:w="434"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29 305</w:t>
            </w:r>
          </w:p>
        </w:tc>
        <w:tc>
          <w:tcPr>
            <w:tcW w:w="508"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5 791</w:t>
            </w:r>
          </w:p>
        </w:tc>
        <w:tc>
          <w:tcPr>
            <w:tcW w:w="470"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531</w:t>
            </w:r>
          </w:p>
        </w:tc>
        <w:tc>
          <w:tcPr>
            <w:tcW w:w="436"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77</w:t>
            </w:r>
          </w:p>
        </w:tc>
        <w:tc>
          <w:tcPr>
            <w:tcW w:w="479"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854</w:t>
            </w:r>
          </w:p>
        </w:tc>
        <w:tc>
          <w:tcPr>
            <w:tcW w:w="461"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36 558</w:t>
            </w:r>
          </w:p>
        </w:tc>
        <w:tc>
          <w:tcPr>
            <w:tcW w:w="360"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100,0</w:t>
            </w:r>
          </w:p>
        </w:tc>
        <w:tc>
          <w:tcPr>
            <w:tcW w:w="449"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12 899</w:t>
            </w:r>
          </w:p>
        </w:tc>
        <w:tc>
          <w:tcPr>
            <w:tcW w:w="461"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49 457</w:t>
            </w:r>
          </w:p>
        </w:tc>
        <w:tc>
          <w:tcPr>
            <w:tcW w:w="363" w:type="pct"/>
            <w:tcBorders>
              <w:top w:val="single" w:sz="4" w:space="0" w:color="auto"/>
              <w:bottom w:val="single" w:sz="4" w:space="0" w:color="auto"/>
              <w:right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100,0</w:t>
            </w:r>
          </w:p>
        </w:tc>
      </w:tr>
      <w:tr w:rsidR="00565FD5" w:rsidRPr="001131FC" w:rsidTr="00AB62A3">
        <w:trPr>
          <w:trHeight w:val="284"/>
        </w:trPr>
        <w:tc>
          <w:tcPr>
            <w:tcW w:w="579" w:type="pct"/>
            <w:tcBorders>
              <w:top w:val="single" w:sz="4" w:space="0" w:color="auto"/>
              <w:left w:val="single" w:sz="4" w:space="0" w:color="auto"/>
              <w:bottom w:val="single" w:sz="4" w:space="0" w:color="auto"/>
            </w:tcBorders>
            <w:vAlign w:val="bottom"/>
          </w:tcPr>
          <w:p w:rsidR="00565FD5" w:rsidRPr="001131FC" w:rsidRDefault="00565FD5" w:rsidP="00AB62A3">
            <w:pPr>
              <w:ind w:left="57" w:right="57"/>
              <w:rPr>
                <w:rFonts w:cs="Tahoma"/>
                <w:b/>
                <w:snapToGrid w:val="0"/>
                <w:sz w:val="14"/>
                <w:szCs w:val="14"/>
              </w:rPr>
            </w:pPr>
            <w:r w:rsidRPr="001131FC">
              <w:rPr>
                <w:rFonts w:cs="Tahoma"/>
                <w:b/>
                <w:snapToGrid w:val="0"/>
                <w:sz w:val="14"/>
                <w:szCs w:val="14"/>
              </w:rPr>
              <w:t>Yüzde Dağılım</w:t>
            </w:r>
          </w:p>
        </w:tc>
        <w:tc>
          <w:tcPr>
            <w:tcW w:w="434"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80,2</w:t>
            </w:r>
          </w:p>
        </w:tc>
        <w:tc>
          <w:tcPr>
            <w:tcW w:w="508"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15,8</w:t>
            </w:r>
          </w:p>
        </w:tc>
        <w:tc>
          <w:tcPr>
            <w:tcW w:w="470"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1,5</w:t>
            </w:r>
          </w:p>
        </w:tc>
        <w:tc>
          <w:tcPr>
            <w:tcW w:w="436"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0,2</w:t>
            </w:r>
          </w:p>
        </w:tc>
        <w:tc>
          <w:tcPr>
            <w:tcW w:w="479"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2,3</w:t>
            </w:r>
          </w:p>
        </w:tc>
        <w:tc>
          <w:tcPr>
            <w:tcW w:w="461"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100,0</w:t>
            </w:r>
          </w:p>
        </w:tc>
        <w:tc>
          <w:tcPr>
            <w:tcW w:w="360" w:type="pct"/>
            <w:tcBorders>
              <w:top w:val="single" w:sz="4" w:space="0" w:color="auto"/>
              <w:bottom w:val="single" w:sz="4" w:space="0" w:color="auto"/>
            </w:tcBorders>
            <w:vAlign w:val="bottom"/>
          </w:tcPr>
          <w:p w:rsidR="00565FD5" w:rsidRPr="001131FC" w:rsidRDefault="00565FD5" w:rsidP="00AB62A3">
            <w:pPr>
              <w:ind w:right="57"/>
              <w:rPr>
                <w:rFonts w:cs="Tahoma"/>
                <w:b/>
                <w:color w:val="000000"/>
                <w:sz w:val="14"/>
                <w:szCs w:val="14"/>
              </w:rPr>
            </w:pPr>
          </w:p>
        </w:tc>
        <w:tc>
          <w:tcPr>
            <w:tcW w:w="449" w:type="pct"/>
            <w:tcBorders>
              <w:top w:val="single" w:sz="4" w:space="0" w:color="auto"/>
              <w:bottom w:val="single" w:sz="4" w:space="0" w:color="auto"/>
            </w:tcBorders>
            <w:vAlign w:val="bottom"/>
          </w:tcPr>
          <w:p w:rsidR="00565FD5" w:rsidRPr="001131FC" w:rsidRDefault="00565FD5" w:rsidP="00AB62A3">
            <w:pPr>
              <w:ind w:right="57"/>
              <w:rPr>
                <w:rFonts w:cs="Tahoma"/>
                <w:b/>
                <w:color w:val="000000"/>
                <w:sz w:val="14"/>
                <w:szCs w:val="14"/>
              </w:rPr>
            </w:pPr>
          </w:p>
        </w:tc>
        <w:tc>
          <w:tcPr>
            <w:tcW w:w="461" w:type="pct"/>
            <w:tcBorders>
              <w:top w:val="single" w:sz="4" w:space="0" w:color="auto"/>
              <w:bottom w:val="single" w:sz="4" w:space="0" w:color="auto"/>
            </w:tcBorders>
            <w:vAlign w:val="bottom"/>
          </w:tcPr>
          <w:p w:rsidR="00565FD5" w:rsidRPr="001131FC" w:rsidRDefault="00565FD5" w:rsidP="00AB62A3">
            <w:pPr>
              <w:ind w:right="57"/>
              <w:rPr>
                <w:rFonts w:cs="Tahoma"/>
                <w:b/>
                <w:color w:val="000000"/>
                <w:sz w:val="14"/>
                <w:szCs w:val="14"/>
              </w:rPr>
            </w:pPr>
          </w:p>
        </w:tc>
        <w:tc>
          <w:tcPr>
            <w:tcW w:w="363" w:type="pct"/>
            <w:tcBorders>
              <w:top w:val="single" w:sz="4" w:space="0" w:color="auto"/>
              <w:bottom w:val="single" w:sz="4" w:space="0" w:color="auto"/>
              <w:right w:val="single" w:sz="4" w:space="0" w:color="auto"/>
            </w:tcBorders>
            <w:vAlign w:val="bottom"/>
          </w:tcPr>
          <w:p w:rsidR="00565FD5" w:rsidRPr="001131FC" w:rsidRDefault="00565FD5" w:rsidP="00AB62A3">
            <w:pPr>
              <w:ind w:right="57"/>
              <w:rPr>
                <w:rFonts w:cs="Tahoma"/>
                <w:b/>
                <w:color w:val="000000"/>
                <w:sz w:val="14"/>
                <w:szCs w:val="14"/>
              </w:rPr>
            </w:pPr>
          </w:p>
        </w:tc>
      </w:tr>
      <w:tr w:rsidR="00565FD5" w:rsidRPr="001131FC" w:rsidTr="00AB62A3">
        <w:trPr>
          <w:trHeight w:val="284"/>
        </w:trPr>
        <w:tc>
          <w:tcPr>
            <w:tcW w:w="579" w:type="pct"/>
            <w:tcBorders>
              <w:top w:val="single" w:sz="4" w:space="0" w:color="auto"/>
              <w:left w:val="single" w:sz="4" w:space="0" w:color="auto"/>
              <w:bottom w:val="single" w:sz="4" w:space="0" w:color="auto"/>
            </w:tcBorders>
            <w:vAlign w:val="bottom"/>
          </w:tcPr>
          <w:p w:rsidR="00565FD5" w:rsidRPr="001131FC" w:rsidRDefault="00565FD5" w:rsidP="00AB62A3">
            <w:pPr>
              <w:ind w:left="57" w:right="57"/>
              <w:rPr>
                <w:rFonts w:cs="Tahoma"/>
                <w:b/>
                <w:snapToGrid w:val="0"/>
                <w:sz w:val="14"/>
                <w:szCs w:val="14"/>
              </w:rPr>
            </w:pPr>
            <w:r w:rsidRPr="001131FC">
              <w:rPr>
                <w:rFonts w:cs="Tahoma"/>
                <w:b/>
                <w:snapToGrid w:val="0"/>
                <w:sz w:val="14"/>
                <w:szCs w:val="14"/>
              </w:rPr>
              <w:t>Yüzde Dağılım</w:t>
            </w:r>
          </w:p>
        </w:tc>
        <w:tc>
          <w:tcPr>
            <w:tcW w:w="434"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59,3</w:t>
            </w:r>
          </w:p>
        </w:tc>
        <w:tc>
          <w:tcPr>
            <w:tcW w:w="508"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11,7</w:t>
            </w:r>
          </w:p>
        </w:tc>
        <w:tc>
          <w:tcPr>
            <w:tcW w:w="470"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1,1</w:t>
            </w:r>
          </w:p>
        </w:tc>
        <w:tc>
          <w:tcPr>
            <w:tcW w:w="436"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0,2</w:t>
            </w:r>
          </w:p>
        </w:tc>
        <w:tc>
          <w:tcPr>
            <w:tcW w:w="479"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1,7</w:t>
            </w:r>
          </w:p>
        </w:tc>
        <w:tc>
          <w:tcPr>
            <w:tcW w:w="461"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73,9</w:t>
            </w:r>
          </w:p>
        </w:tc>
        <w:tc>
          <w:tcPr>
            <w:tcW w:w="360" w:type="pct"/>
            <w:tcBorders>
              <w:top w:val="single" w:sz="4" w:space="0" w:color="auto"/>
              <w:bottom w:val="single" w:sz="4" w:space="0" w:color="auto"/>
            </w:tcBorders>
            <w:vAlign w:val="bottom"/>
          </w:tcPr>
          <w:p w:rsidR="00565FD5" w:rsidRPr="001131FC" w:rsidRDefault="00565FD5" w:rsidP="00AB62A3">
            <w:pPr>
              <w:ind w:right="57"/>
              <w:rPr>
                <w:rFonts w:cs="Tahoma"/>
                <w:b/>
                <w:color w:val="000000"/>
                <w:sz w:val="14"/>
                <w:szCs w:val="14"/>
              </w:rPr>
            </w:pPr>
          </w:p>
        </w:tc>
        <w:tc>
          <w:tcPr>
            <w:tcW w:w="449"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26,1</w:t>
            </w:r>
          </w:p>
        </w:tc>
        <w:tc>
          <w:tcPr>
            <w:tcW w:w="461" w:type="pct"/>
            <w:tcBorders>
              <w:top w:val="single" w:sz="4" w:space="0" w:color="auto"/>
              <w:bottom w:val="single" w:sz="4" w:space="0" w:color="auto"/>
            </w:tcBorders>
            <w:vAlign w:val="bottom"/>
          </w:tcPr>
          <w:p w:rsidR="00565FD5" w:rsidRPr="001131FC" w:rsidRDefault="00565FD5" w:rsidP="00AB62A3">
            <w:pPr>
              <w:ind w:right="57"/>
              <w:jc w:val="right"/>
              <w:rPr>
                <w:rFonts w:cs="Tahoma"/>
                <w:b/>
                <w:color w:val="000000"/>
                <w:sz w:val="14"/>
                <w:szCs w:val="14"/>
              </w:rPr>
            </w:pPr>
            <w:r w:rsidRPr="001131FC">
              <w:rPr>
                <w:rFonts w:cs="Tahoma"/>
                <w:b/>
                <w:color w:val="000000"/>
                <w:sz w:val="14"/>
                <w:szCs w:val="14"/>
              </w:rPr>
              <w:t>100,0</w:t>
            </w:r>
          </w:p>
        </w:tc>
        <w:tc>
          <w:tcPr>
            <w:tcW w:w="363" w:type="pct"/>
            <w:tcBorders>
              <w:top w:val="single" w:sz="4" w:space="0" w:color="auto"/>
              <w:bottom w:val="single" w:sz="4" w:space="0" w:color="auto"/>
              <w:right w:val="single" w:sz="4" w:space="0" w:color="auto"/>
            </w:tcBorders>
            <w:vAlign w:val="bottom"/>
          </w:tcPr>
          <w:p w:rsidR="00565FD5" w:rsidRPr="001131FC" w:rsidRDefault="00565FD5" w:rsidP="00AB62A3">
            <w:pPr>
              <w:ind w:right="57"/>
              <w:rPr>
                <w:rFonts w:cs="Tahoma"/>
                <w:b/>
                <w:color w:val="000000"/>
                <w:sz w:val="14"/>
                <w:szCs w:val="14"/>
              </w:rPr>
            </w:pPr>
          </w:p>
        </w:tc>
      </w:tr>
    </w:tbl>
    <w:p w:rsidR="00565FD5" w:rsidRPr="001131FC" w:rsidRDefault="00565FD5" w:rsidP="00565FD5">
      <w:pPr>
        <w:rPr>
          <w:rFonts w:cs="Tahoma"/>
          <w:snapToGrid w:val="0"/>
          <w:sz w:val="14"/>
          <w:szCs w:val="14"/>
        </w:rPr>
      </w:pPr>
      <w:r w:rsidRPr="001131FC">
        <w:rPr>
          <w:rFonts w:cs="Tahoma"/>
          <w:snapToGrid w:val="0"/>
          <w:sz w:val="14"/>
          <w:szCs w:val="14"/>
        </w:rPr>
        <w:t>Kaynak: Kalkınma Bakanlığı</w:t>
      </w:r>
    </w:p>
    <w:p w:rsidR="00565FD5" w:rsidRPr="001131FC" w:rsidRDefault="00565FD5" w:rsidP="00565FD5">
      <w:pPr>
        <w:rPr>
          <w:rFonts w:cs="Tahoma"/>
          <w:sz w:val="14"/>
          <w:szCs w:val="14"/>
        </w:rPr>
      </w:pPr>
      <w:r w:rsidRPr="001131FC">
        <w:rPr>
          <w:rFonts w:cs="Tahoma"/>
          <w:sz w:val="14"/>
          <w:szCs w:val="14"/>
        </w:rPr>
        <w:t>(1) Yatırım işçiliği hariç</w:t>
      </w:r>
    </w:p>
    <w:p w:rsidR="00565FD5" w:rsidRPr="001131FC" w:rsidRDefault="00565FD5" w:rsidP="00565FD5">
      <w:pPr>
        <w:rPr>
          <w:rFonts w:cs="Tahoma"/>
          <w:sz w:val="14"/>
          <w:szCs w:val="14"/>
        </w:rPr>
      </w:pPr>
    </w:p>
    <w:p w:rsidR="00565FD5" w:rsidRPr="001131FC" w:rsidRDefault="00565FD5" w:rsidP="00565FD5">
      <w:pPr>
        <w:rPr>
          <w:rFonts w:cs="Tahoma"/>
          <w:sz w:val="14"/>
          <w:szCs w:val="14"/>
        </w:rPr>
      </w:pPr>
    </w:p>
    <w:p w:rsidR="00565FD5" w:rsidRPr="001131FC" w:rsidRDefault="00565FD5" w:rsidP="00565FD5">
      <w:pPr>
        <w:rPr>
          <w:rFonts w:cs="Tahoma"/>
          <w:sz w:val="14"/>
          <w:szCs w:val="14"/>
        </w:rPr>
        <w:sectPr w:rsidR="00565FD5" w:rsidRPr="001131FC" w:rsidSect="00B50093">
          <w:pgSz w:w="11906" w:h="16838" w:code="9"/>
          <w:pgMar w:top="2948" w:right="2381" w:bottom="2948" w:left="2381" w:header="2268" w:footer="2552" w:gutter="0"/>
          <w:cols w:space="708"/>
          <w:noEndnote/>
        </w:sectPr>
      </w:pPr>
    </w:p>
    <w:p w:rsidR="00565FD5" w:rsidRPr="00557693" w:rsidRDefault="00565FD5" w:rsidP="00565FD5">
      <w:pPr>
        <w:spacing w:after="120"/>
        <w:ind w:firstLine="425"/>
        <w:rPr>
          <w:rFonts w:cs="Tahoma"/>
          <w:szCs w:val="18"/>
        </w:rPr>
      </w:pPr>
      <w:bookmarkStart w:id="459" w:name="_Toc149926704"/>
      <w:bookmarkStart w:id="460" w:name="_Toc150099335"/>
      <w:bookmarkStart w:id="461" w:name="_Toc181274091"/>
      <w:bookmarkStart w:id="462" w:name="_Toc181286370"/>
      <w:bookmarkStart w:id="463" w:name="_Toc213071580"/>
      <w:bookmarkStart w:id="464" w:name="_Toc244339786"/>
      <w:bookmarkStart w:id="465" w:name="_Toc275873813"/>
      <w:bookmarkStart w:id="466" w:name="_Toc276076437"/>
      <w:bookmarkStart w:id="467" w:name="_Toc307601601"/>
      <w:bookmarkStart w:id="468" w:name="_Toc307657843"/>
      <w:bookmarkStart w:id="469" w:name="_Toc307713508"/>
    </w:p>
    <w:p w:rsidR="00565FD5" w:rsidRPr="001131FC" w:rsidRDefault="00565FD5" w:rsidP="00565FD5">
      <w:pPr>
        <w:pStyle w:val="ResimYazs"/>
        <w:rPr>
          <w:b w:val="0"/>
          <w:snapToGrid w:val="0"/>
        </w:rPr>
      </w:pPr>
      <w:bookmarkStart w:id="470" w:name="_Toc338605963"/>
      <w:bookmarkStart w:id="471" w:name="_Toc338711738"/>
      <w:r>
        <w:t xml:space="preserve">TABLO II: </w:t>
      </w:r>
      <w:fldSimple w:instr=" SEQ TABLO_II: \* ARABIC ">
        <w:r>
          <w:rPr>
            <w:noProof/>
          </w:rPr>
          <w:t>11</w:t>
        </w:r>
      </w:fldSimple>
      <w:r w:rsidRPr="00557693">
        <w:t>-</w:t>
      </w:r>
      <w:r w:rsidRPr="00557693">
        <w:rPr>
          <w:snapToGrid w:val="0"/>
        </w:rPr>
        <w:t xml:space="preserve"> Kamu Sabit Sermaye Yatırımları (2012)</w:t>
      </w:r>
      <w:r w:rsidRPr="001131FC">
        <w:rPr>
          <w:b w:val="0"/>
          <w:snapToGrid w:val="0"/>
        </w:rPr>
        <w:t xml:space="preserve"> (1)</w:t>
      </w:r>
      <w:bookmarkEnd w:id="459"/>
      <w:bookmarkEnd w:id="460"/>
      <w:bookmarkEnd w:id="461"/>
      <w:bookmarkEnd w:id="462"/>
      <w:bookmarkEnd w:id="463"/>
      <w:bookmarkEnd w:id="464"/>
      <w:bookmarkEnd w:id="465"/>
      <w:bookmarkEnd w:id="466"/>
      <w:bookmarkEnd w:id="467"/>
      <w:bookmarkEnd w:id="468"/>
      <w:bookmarkEnd w:id="469"/>
      <w:bookmarkEnd w:id="470"/>
      <w:bookmarkEnd w:id="471"/>
    </w:p>
    <w:p w:rsidR="00565FD5" w:rsidRPr="001131FC" w:rsidRDefault="00565FD5" w:rsidP="00565FD5">
      <w:pPr>
        <w:ind w:right="-6"/>
        <w:jc w:val="right"/>
        <w:rPr>
          <w:rFonts w:cs="Tahoma"/>
          <w:snapToGrid w:val="0"/>
          <w:sz w:val="14"/>
          <w:szCs w:val="14"/>
        </w:rPr>
      </w:pPr>
      <w:r w:rsidRPr="001131FC">
        <w:rPr>
          <w:rFonts w:cs="Tahoma"/>
          <w:snapToGrid w:val="0"/>
          <w:sz w:val="14"/>
          <w:szCs w:val="14"/>
        </w:rPr>
        <w:t>(Cari Fiyatlarla, Milyon TL)</w:t>
      </w:r>
    </w:p>
    <w:tbl>
      <w:tblPr>
        <w:tblW w:w="4936" w:type="pct"/>
        <w:tblInd w:w="57" w:type="dxa"/>
        <w:tblCellMar>
          <w:left w:w="57" w:type="dxa"/>
          <w:right w:w="57" w:type="dxa"/>
        </w:tblCellMar>
        <w:tblLook w:val="0000"/>
      </w:tblPr>
      <w:tblGrid>
        <w:gridCol w:w="1280"/>
        <w:gridCol w:w="1089"/>
        <w:gridCol w:w="1089"/>
        <w:gridCol w:w="915"/>
        <w:gridCol w:w="919"/>
        <w:gridCol w:w="1177"/>
        <w:gridCol w:w="915"/>
        <w:gridCol w:w="786"/>
        <w:gridCol w:w="1046"/>
        <w:gridCol w:w="899"/>
        <w:gridCol w:w="799"/>
      </w:tblGrid>
      <w:tr w:rsidR="00565FD5" w:rsidRPr="001131FC" w:rsidTr="00AB62A3">
        <w:trPr>
          <w:trHeight w:val="375"/>
        </w:trPr>
        <w:tc>
          <w:tcPr>
            <w:tcW w:w="586" w:type="pct"/>
            <w:tcBorders>
              <w:top w:val="single" w:sz="4" w:space="0" w:color="auto"/>
              <w:left w:val="single" w:sz="4" w:space="0" w:color="auto"/>
              <w:bottom w:val="single" w:sz="4" w:space="0" w:color="auto"/>
            </w:tcBorders>
            <w:vAlign w:val="center"/>
          </w:tcPr>
          <w:p w:rsidR="00565FD5" w:rsidRPr="001131FC" w:rsidRDefault="00565FD5" w:rsidP="00AB62A3">
            <w:pPr>
              <w:rPr>
                <w:rFonts w:cs="Tahoma"/>
                <w:b/>
                <w:sz w:val="14"/>
                <w:szCs w:val="16"/>
              </w:rPr>
            </w:pPr>
            <w:r w:rsidRPr="001131FC">
              <w:rPr>
                <w:rFonts w:cs="Tahoma"/>
                <w:b/>
                <w:sz w:val="14"/>
                <w:szCs w:val="16"/>
              </w:rPr>
              <w:t>Sektörler</w:t>
            </w:r>
          </w:p>
        </w:tc>
        <w:tc>
          <w:tcPr>
            <w:tcW w:w="499" w:type="pct"/>
            <w:tcBorders>
              <w:top w:val="single" w:sz="4" w:space="0" w:color="auto"/>
              <w:bottom w:val="single" w:sz="4" w:space="0" w:color="auto"/>
            </w:tcBorders>
            <w:vAlign w:val="center"/>
          </w:tcPr>
          <w:p w:rsidR="00565FD5" w:rsidRPr="001131FC" w:rsidRDefault="00565FD5" w:rsidP="00AB62A3">
            <w:pPr>
              <w:ind w:left="-52"/>
              <w:jc w:val="right"/>
              <w:rPr>
                <w:rFonts w:cs="Tahoma"/>
                <w:b/>
                <w:snapToGrid w:val="0"/>
                <w:sz w:val="14"/>
                <w:szCs w:val="16"/>
              </w:rPr>
            </w:pPr>
            <w:r w:rsidRPr="001131FC">
              <w:rPr>
                <w:rFonts w:cs="Tahoma"/>
                <w:b/>
                <w:snapToGrid w:val="0"/>
                <w:sz w:val="14"/>
                <w:szCs w:val="16"/>
              </w:rPr>
              <w:t>Merkezi</w:t>
            </w:r>
          </w:p>
          <w:p w:rsidR="00565FD5" w:rsidRPr="001131FC" w:rsidRDefault="00565FD5" w:rsidP="00AB62A3">
            <w:pPr>
              <w:ind w:left="-52"/>
              <w:jc w:val="right"/>
              <w:rPr>
                <w:rFonts w:cs="Tahoma"/>
                <w:b/>
                <w:snapToGrid w:val="0"/>
                <w:sz w:val="14"/>
                <w:szCs w:val="16"/>
              </w:rPr>
            </w:pPr>
            <w:r w:rsidRPr="001131FC">
              <w:rPr>
                <w:rFonts w:cs="Tahoma"/>
                <w:b/>
                <w:snapToGrid w:val="0"/>
                <w:sz w:val="14"/>
                <w:szCs w:val="16"/>
              </w:rPr>
              <w:t>Yönetim (2)</w:t>
            </w:r>
          </w:p>
        </w:tc>
        <w:tc>
          <w:tcPr>
            <w:tcW w:w="499" w:type="pct"/>
            <w:tcBorders>
              <w:top w:val="single" w:sz="4" w:space="0" w:color="auto"/>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İşletmeci KİT’ler</w:t>
            </w:r>
          </w:p>
        </w:tc>
        <w:tc>
          <w:tcPr>
            <w:tcW w:w="419" w:type="pct"/>
            <w:tcBorders>
              <w:top w:val="single" w:sz="4" w:space="0" w:color="auto"/>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Özelleş.</w:t>
            </w:r>
          </w:p>
          <w:p w:rsidR="00565FD5" w:rsidRPr="001131FC" w:rsidRDefault="00565FD5" w:rsidP="00AB62A3">
            <w:pPr>
              <w:jc w:val="right"/>
              <w:rPr>
                <w:rFonts w:cs="Tahoma"/>
                <w:b/>
                <w:snapToGrid w:val="0"/>
                <w:sz w:val="14"/>
                <w:szCs w:val="16"/>
              </w:rPr>
            </w:pPr>
            <w:r w:rsidRPr="001131FC">
              <w:rPr>
                <w:rFonts w:cs="Tahoma"/>
                <w:b/>
                <w:snapToGrid w:val="0"/>
                <w:sz w:val="14"/>
                <w:szCs w:val="16"/>
              </w:rPr>
              <w:t>Kapsam. Kuruluş.</w:t>
            </w:r>
          </w:p>
        </w:tc>
        <w:tc>
          <w:tcPr>
            <w:tcW w:w="421" w:type="pct"/>
            <w:tcBorders>
              <w:top w:val="single" w:sz="4" w:space="0" w:color="auto"/>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İller</w:t>
            </w:r>
          </w:p>
          <w:p w:rsidR="00565FD5" w:rsidRPr="001131FC" w:rsidRDefault="00565FD5" w:rsidP="00AB62A3">
            <w:pPr>
              <w:jc w:val="right"/>
              <w:rPr>
                <w:rFonts w:cs="Tahoma"/>
                <w:b/>
                <w:snapToGrid w:val="0"/>
                <w:sz w:val="14"/>
                <w:szCs w:val="16"/>
              </w:rPr>
            </w:pPr>
            <w:r w:rsidRPr="001131FC">
              <w:rPr>
                <w:rFonts w:cs="Tahoma"/>
                <w:b/>
                <w:snapToGrid w:val="0"/>
                <w:sz w:val="14"/>
                <w:szCs w:val="16"/>
              </w:rPr>
              <w:t>Bankası</w:t>
            </w:r>
          </w:p>
        </w:tc>
        <w:tc>
          <w:tcPr>
            <w:tcW w:w="539" w:type="pct"/>
            <w:tcBorders>
              <w:top w:val="single" w:sz="4" w:space="0" w:color="auto"/>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 xml:space="preserve">Döner Sermaye </w:t>
            </w:r>
          </w:p>
          <w:p w:rsidR="00565FD5" w:rsidRPr="001131FC" w:rsidRDefault="00565FD5" w:rsidP="00AB62A3">
            <w:pPr>
              <w:jc w:val="right"/>
              <w:rPr>
                <w:rFonts w:cs="Tahoma"/>
                <w:b/>
                <w:snapToGrid w:val="0"/>
                <w:sz w:val="14"/>
                <w:szCs w:val="16"/>
              </w:rPr>
            </w:pPr>
            <w:r w:rsidRPr="001131FC">
              <w:rPr>
                <w:rFonts w:cs="Tahoma"/>
                <w:b/>
                <w:snapToGrid w:val="0"/>
                <w:sz w:val="14"/>
                <w:szCs w:val="16"/>
              </w:rPr>
              <w:t>+ SGK</w:t>
            </w:r>
          </w:p>
        </w:tc>
        <w:tc>
          <w:tcPr>
            <w:tcW w:w="419" w:type="pct"/>
            <w:tcBorders>
              <w:top w:val="single" w:sz="4" w:space="0" w:color="auto"/>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ALT</w:t>
            </w:r>
          </w:p>
          <w:p w:rsidR="00565FD5" w:rsidRPr="001131FC" w:rsidRDefault="00565FD5" w:rsidP="00AB62A3">
            <w:pPr>
              <w:jc w:val="right"/>
              <w:rPr>
                <w:rFonts w:cs="Tahoma"/>
                <w:b/>
                <w:snapToGrid w:val="0"/>
                <w:sz w:val="14"/>
                <w:szCs w:val="16"/>
              </w:rPr>
            </w:pPr>
            <w:r w:rsidRPr="001131FC">
              <w:rPr>
                <w:rFonts w:cs="Tahoma"/>
                <w:b/>
                <w:snapToGrid w:val="0"/>
                <w:sz w:val="14"/>
                <w:szCs w:val="16"/>
              </w:rPr>
              <w:t>TOPLAM</w:t>
            </w:r>
          </w:p>
        </w:tc>
        <w:tc>
          <w:tcPr>
            <w:tcW w:w="360" w:type="pct"/>
            <w:tcBorders>
              <w:top w:val="single" w:sz="4" w:space="0" w:color="auto"/>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Yüzde</w:t>
            </w:r>
          </w:p>
          <w:p w:rsidR="00565FD5" w:rsidRPr="001131FC" w:rsidRDefault="00565FD5" w:rsidP="00AB62A3">
            <w:pPr>
              <w:jc w:val="right"/>
              <w:rPr>
                <w:rFonts w:cs="Tahoma"/>
                <w:b/>
                <w:snapToGrid w:val="0"/>
                <w:sz w:val="14"/>
                <w:szCs w:val="16"/>
              </w:rPr>
            </w:pPr>
            <w:r w:rsidRPr="001131FC">
              <w:rPr>
                <w:rFonts w:cs="Tahoma"/>
                <w:b/>
                <w:snapToGrid w:val="0"/>
                <w:sz w:val="14"/>
                <w:szCs w:val="16"/>
              </w:rPr>
              <w:t>Pay</w:t>
            </w:r>
          </w:p>
        </w:tc>
        <w:tc>
          <w:tcPr>
            <w:tcW w:w="479" w:type="pct"/>
            <w:tcBorders>
              <w:top w:val="single" w:sz="4" w:space="0" w:color="auto"/>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Mahalli</w:t>
            </w:r>
          </w:p>
          <w:p w:rsidR="00565FD5" w:rsidRPr="001131FC" w:rsidRDefault="00565FD5" w:rsidP="00AB62A3">
            <w:pPr>
              <w:jc w:val="right"/>
              <w:rPr>
                <w:rFonts w:cs="Tahoma"/>
                <w:b/>
                <w:snapToGrid w:val="0"/>
                <w:sz w:val="14"/>
                <w:szCs w:val="16"/>
              </w:rPr>
            </w:pPr>
            <w:r w:rsidRPr="001131FC">
              <w:rPr>
                <w:rFonts w:cs="Tahoma"/>
                <w:b/>
                <w:snapToGrid w:val="0"/>
                <w:sz w:val="14"/>
                <w:szCs w:val="16"/>
              </w:rPr>
              <w:t>İdareler</w:t>
            </w:r>
          </w:p>
        </w:tc>
        <w:tc>
          <w:tcPr>
            <w:tcW w:w="412" w:type="pct"/>
            <w:tcBorders>
              <w:top w:val="single" w:sz="4" w:space="0" w:color="auto"/>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TOPLAM</w:t>
            </w:r>
          </w:p>
          <w:p w:rsidR="00565FD5" w:rsidRPr="001131FC" w:rsidRDefault="00565FD5" w:rsidP="00AB62A3">
            <w:pPr>
              <w:jc w:val="right"/>
              <w:rPr>
                <w:rFonts w:cs="Tahoma"/>
                <w:b/>
                <w:snapToGrid w:val="0"/>
                <w:sz w:val="14"/>
                <w:szCs w:val="16"/>
              </w:rPr>
            </w:pPr>
            <w:r w:rsidRPr="001131FC">
              <w:rPr>
                <w:rFonts w:cs="Tahoma"/>
                <w:b/>
                <w:snapToGrid w:val="0"/>
                <w:sz w:val="14"/>
                <w:szCs w:val="16"/>
              </w:rPr>
              <w:t>KAMU</w:t>
            </w:r>
          </w:p>
        </w:tc>
        <w:tc>
          <w:tcPr>
            <w:tcW w:w="366" w:type="pct"/>
            <w:tcBorders>
              <w:top w:val="single" w:sz="4" w:space="0" w:color="auto"/>
              <w:bottom w:val="single" w:sz="4" w:space="0" w:color="auto"/>
              <w:right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Yüzde</w:t>
            </w:r>
          </w:p>
          <w:p w:rsidR="00565FD5" w:rsidRPr="001131FC" w:rsidRDefault="00565FD5" w:rsidP="00AB62A3">
            <w:pPr>
              <w:jc w:val="right"/>
              <w:rPr>
                <w:rFonts w:cs="Tahoma"/>
                <w:b/>
                <w:snapToGrid w:val="0"/>
                <w:sz w:val="14"/>
                <w:szCs w:val="16"/>
              </w:rPr>
            </w:pPr>
            <w:r w:rsidRPr="001131FC">
              <w:rPr>
                <w:rFonts w:cs="Tahoma"/>
                <w:b/>
                <w:snapToGrid w:val="0"/>
                <w:sz w:val="14"/>
                <w:szCs w:val="16"/>
              </w:rPr>
              <w:t>Pay</w:t>
            </w:r>
          </w:p>
        </w:tc>
      </w:tr>
      <w:tr w:rsidR="00565FD5" w:rsidRPr="001131FC" w:rsidTr="00AB62A3">
        <w:trPr>
          <w:trHeight w:val="321"/>
        </w:trPr>
        <w:tc>
          <w:tcPr>
            <w:tcW w:w="586" w:type="pct"/>
            <w:tcBorders>
              <w:left w:val="single" w:sz="4" w:space="0" w:color="auto"/>
            </w:tcBorders>
            <w:vAlign w:val="center"/>
          </w:tcPr>
          <w:p w:rsidR="00565FD5" w:rsidRPr="001131FC" w:rsidRDefault="00565FD5" w:rsidP="00AB62A3">
            <w:pPr>
              <w:rPr>
                <w:rFonts w:cs="Tahoma"/>
                <w:snapToGrid w:val="0"/>
                <w:sz w:val="14"/>
                <w:szCs w:val="16"/>
              </w:rPr>
            </w:pPr>
            <w:r w:rsidRPr="001131FC">
              <w:rPr>
                <w:rFonts w:cs="Tahoma"/>
                <w:snapToGrid w:val="0"/>
                <w:sz w:val="14"/>
                <w:szCs w:val="16"/>
              </w:rPr>
              <w:t>Tarım</w:t>
            </w:r>
          </w:p>
        </w:tc>
        <w:tc>
          <w:tcPr>
            <w:tcW w:w="499" w:type="pct"/>
            <w:vAlign w:val="center"/>
          </w:tcPr>
          <w:p w:rsidR="00565FD5" w:rsidRPr="001131FC" w:rsidRDefault="00565FD5" w:rsidP="00AB62A3">
            <w:pPr>
              <w:jc w:val="right"/>
              <w:rPr>
                <w:rFonts w:cs="Tahoma"/>
                <w:sz w:val="14"/>
                <w:szCs w:val="16"/>
              </w:rPr>
            </w:pPr>
            <w:r w:rsidRPr="001131FC">
              <w:rPr>
                <w:rFonts w:cs="Tahoma"/>
                <w:sz w:val="14"/>
                <w:szCs w:val="16"/>
              </w:rPr>
              <w:t>4 937</w:t>
            </w:r>
          </w:p>
        </w:tc>
        <w:tc>
          <w:tcPr>
            <w:tcW w:w="499" w:type="pct"/>
            <w:vAlign w:val="center"/>
          </w:tcPr>
          <w:p w:rsidR="00565FD5" w:rsidRPr="001131FC" w:rsidRDefault="00565FD5" w:rsidP="00AB62A3">
            <w:pPr>
              <w:jc w:val="right"/>
              <w:rPr>
                <w:rFonts w:cs="Tahoma"/>
                <w:sz w:val="14"/>
                <w:szCs w:val="16"/>
              </w:rPr>
            </w:pPr>
            <w:r w:rsidRPr="001131FC">
              <w:rPr>
                <w:rFonts w:cs="Tahoma"/>
                <w:sz w:val="14"/>
                <w:szCs w:val="16"/>
              </w:rPr>
              <w:t>275</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1</w:t>
            </w:r>
          </w:p>
        </w:tc>
        <w:tc>
          <w:tcPr>
            <w:tcW w:w="421"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539" w:type="pct"/>
            <w:vAlign w:val="center"/>
          </w:tcPr>
          <w:p w:rsidR="00565FD5" w:rsidRPr="001131FC" w:rsidRDefault="00565FD5" w:rsidP="00AB62A3">
            <w:pPr>
              <w:jc w:val="right"/>
              <w:rPr>
                <w:rFonts w:cs="Tahoma"/>
                <w:sz w:val="14"/>
                <w:szCs w:val="16"/>
              </w:rPr>
            </w:pPr>
            <w:r w:rsidRPr="001131FC">
              <w:rPr>
                <w:rFonts w:cs="Tahoma"/>
                <w:sz w:val="14"/>
                <w:szCs w:val="16"/>
              </w:rPr>
              <w:t>156</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5 369</w:t>
            </w:r>
          </w:p>
        </w:tc>
        <w:tc>
          <w:tcPr>
            <w:tcW w:w="360" w:type="pct"/>
            <w:vAlign w:val="center"/>
          </w:tcPr>
          <w:p w:rsidR="00565FD5" w:rsidRPr="001131FC" w:rsidRDefault="00565FD5" w:rsidP="00AB62A3">
            <w:pPr>
              <w:jc w:val="right"/>
              <w:rPr>
                <w:rFonts w:cs="Tahoma"/>
                <w:sz w:val="14"/>
                <w:szCs w:val="16"/>
              </w:rPr>
            </w:pPr>
            <w:r w:rsidRPr="001131FC">
              <w:rPr>
                <w:rFonts w:cs="Tahoma"/>
                <w:sz w:val="14"/>
                <w:szCs w:val="16"/>
              </w:rPr>
              <w:t>12,6</w:t>
            </w:r>
          </w:p>
        </w:tc>
        <w:tc>
          <w:tcPr>
            <w:tcW w:w="479" w:type="pct"/>
            <w:vAlign w:val="center"/>
          </w:tcPr>
          <w:p w:rsidR="00565FD5" w:rsidRPr="001131FC" w:rsidRDefault="00565FD5" w:rsidP="00AB62A3">
            <w:pPr>
              <w:jc w:val="right"/>
              <w:rPr>
                <w:rFonts w:cs="Tahoma"/>
                <w:sz w:val="14"/>
                <w:szCs w:val="16"/>
              </w:rPr>
            </w:pPr>
            <w:r w:rsidRPr="001131FC">
              <w:rPr>
                <w:rFonts w:cs="Tahoma"/>
                <w:sz w:val="14"/>
                <w:szCs w:val="16"/>
              </w:rPr>
              <w:t>504</w:t>
            </w:r>
          </w:p>
        </w:tc>
        <w:tc>
          <w:tcPr>
            <w:tcW w:w="412" w:type="pct"/>
            <w:vAlign w:val="center"/>
          </w:tcPr>
          <w:p w:rsidR="00565FD5" w:rsidRPr="001131FC" w:rsidRDefault="00565FD5" w:rsidP="00AB62A3">
            <w:pPr>
              <w:jc w:val="right"/>
              <w:rPr>
                <w:rFonts w:cs="Tahoma"/>
                <w:sz w:val="14"/>
                <w:szCs w:val="16"/>
              </w:rPr>
            </w:pPr>
            <w:r w:rsidRPr="001131FC">
              <w:rPr>
                <w:rFonts w:cs="Tahoma"/>
                <w:sz w:val="14"/>
                <w:szCs w:val="16"/>
              </w:rPr>
              <w:t>5 873</w:t>
            </w:r>
          </w:p>
        </w:tc>
        <w:tc>
          <w:tcPr>
            <w:tcW w:w="366" w:type="pct"/>
            <w:tcBorders>
              <w:top w:val="single" w:sz="4" w:space="0" w:color="auto"/>
              <w:right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10,2</w:t>
            </w:r>
          </w:p>
        </w:tc>
      </w:tr>
      <w:tr w:rsidR="00565FD5" w:rsidRPr="001131FC" w:rsidTr="00AB62A3">
        <w:trPr>
          <w:trHeight w:val="321"/>
        </w:trPr>
        <w:tc>
          <w:tcPr>
            <w:tcW w:w="586" w:type="pct"/>
            <w:tcBorders>
              <w:left w:val="single" w:sz="4" w:space="0" w:color="auto"/>
            </w:tcBorders>
            <w:vAlign w:val="center"/>
          </w:tcPr>
          <w:p w:rsidR="00565FD5" w:rsidRPr="001131FC" w:rsidRDefault="00565FD5" w:rsidP="00AB62A3">
            <w:pPr>
              <w:rPr>
                <w:rFonts w:cs="Tahoma"/>
                <w:snapToGrid w:val="0"/>
                <w:sz w:val="14"/>
                <w:szCs w:val="16"/>
              </w:rPr>
            </w:pPr>
            <w:r w:rsidRPr="001131FC">
              <w:rPr>
                <w:rFonts w:cs="Tahoma"/>
                <w:snapToGrid w:val="0"/>
                <w:sz w:val="14"/>
                <w:szCs w:val="16"/>
              </w:rPr>
              <w:t>Madencilik</w:t>
            </w:r>
          </w:p>
        </w:tc>
        <w:tc>
          <w:tcPr>
            <w:tcW w:w="499" w:type="pct"/>
            <w:vAlign w:val="center"/>
          </w:tcPr>
          <w:p w:rsidR="00565FD5" w:rsidRPr="001131FC" w:rsidRDefault="00565FD5" w:rsidP="00AB62A3">
            <w:pPr>
              <w:jc w:val="right"/>
              <w:rPr>
                <w:rFonts w:cs="Tahoma"/>
                <w:sz w:val="14"/>
                <w:szCs w:val="16"/>
              </w:rPr>
            </w:pPr>
            <w:r w:rsidRPr="001131FC">
              <w:rPr>
                <w:rFonts w:cs="Tahoma"/>
                <w:sz w:val="14"/>
                <w:szCs w:val="16"/>
              </w:rPr>
              <w:t>209</w:t>
            </w:r>
          </w:p>
        </w:tc>
        <w:tc>
          <w:tcPr>
            <w:tcW w:w="499" w:type="pct"/>
            <w:vAlign w:val="center"/>
          </w:tcPr>
          <w:p w:rsidR="00565FD5" w:rsidRPr="001131FC" w:rsidRDefault="00565FD5" w:rsidP="00AB62A3">
            <w:pPr>
              <w:jc w:val="right"/>
              <w:rPr>
                <w:rFonts w:cs="Tahoma"/>
                <w:sz w:val="14"/>
                <w:szCs w:val="16"/>
              </w:rPr>
            </w:pPr>
            <w:r w:rsidRPr="001131FC">
              <w:rPr>
                <w:rFonts w:cs="Tahoma"/>
                <w:sz w:val="14"/>
                <w:szCs w:val="16"/>
              </w:rPr>
              <w:t>1 305</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21"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539"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1 514</w:t>
            </w:r>
          </w:p>
        </w:tc>
        <w:tc>
          <w:tcPr>
            <w:tcW w:w="360" w:type="pct"/>
            <w:vAlign w:val="center"/>
          </w:tcPr>
          <w:p w:rsidR="00565FD5" w:rsidRPr="001131FC" w:rsidRDefault="00565FD5" w:rsidP="00AB62A3">
            <w:pPr>
              <w:jc w:val="right"/>
              <w:rPr>
                <w:rFonts w:cs="Tahoma"/>
                <w:sz w:val="14"/>
                <w:szCs w:val="16"/>
              </w:rPr>
            </w:pPr>
            <w:r w:rsidRPr="001131FC">
              <w:rPr>
                <w:rFonts w:cs="Tahoma"/>
                <w:sz w:val="14"/>
                <w:szCs w:val="16"/>
              </w:rPr>
              <w:t>3,6</w:t>
            </w:r>
          </w:p>
        </w:tc>
        <w:tc>
          <w:tcPr>
            <w:tcW w:w="479" w:type="pct"/>
            <w:vAlign w:val="center"/>
          </w:tcPr>
          <w:p w:rsidR="00565FD5" w:rsidRPr="001131FC" w:rsidRDefault="00565FD5" w:rsidP="00AB62A3">
            <w:pPr>
              <w:jc w:val="right"/>
              <w:rPr>
                <w:rFonts w:cs="Tahoma"/>
                <w:sz w:val="14"/>
                <w:szCs w:val="16"/>
              </w:rPr>
            </w:pPr>
            <w:r w:rsidRPr="001131FC">
              <w:rPr>
                <w:rFonts w:cs="Tahoma"/>
                <w:sz w:val="14"/>
                <w:szCs w:val="16"/>
              </w:rPr>
              <w:t>1</w:t>
            </w:r>
          </w:p>
        </w:tc>
        <w:tc>
          <w:tcPr>
            <w:tcW w:w="412" w:type="pct"/>
            <w:vAlign w:val="center"/>
          </w:tcPr>
          <w:p w:rsidR="00565FD5" w:rsidRPr="001131FC" w:rsidRDefault="00565FD5" w:rsidP="00AB62A3">
            <w:pPr>
              <w:jc w:val="right"/>
              <w:rPr>
                <w:rFonts w:cs="Tahoma"/>
                <w:sz w:val="14"/>
                <w:szCs w:val="16"/>
              </w:rPr>
            </w:pPr>
            <w:r w:rsidRPr="001131FC">
              <w:rPr>
                <w:rFonts w:cs="Tahoma"/>
                <w:sz w:val="14"/>
                <w:szCs w:val="16"/>
              </w:rPr>
              <w:t>1 515</w:t>
            </w:r>
          </w:p>
        </w:tc>
        <w:tc>
          <w:tcPr>
            <w:tcW w:w="366" w:type="pct"/>
            <w:tcBorders>
              <w:right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2,6</w:t>
            </w:r>
          </w:p>
        </w:tc>
      </w:tr>
      <w:tr w:rsidR="00565FD5" w:rsidRPr="001131FC" w:rsidTr="00AB62A3">
        <w:trPr>
          <w:trHeight w:val="321"/>
        </w:trPr>
        <w:tc>
          <w:tcPr>
            <w:tcW w:w="586" w:type="pct"/>
            <w:tcBorders>
              <w:left w:val="single" w:sz="4" w:space="0" w:color="auto"/>
            </w:tcBorders>
            <w:vAlign w:val="center"/>
          </w:tcPr>
          <w:p w:rsidR="00565FD5" w:rsidRPr="001131FC" w:rsidRDefault="00565FD5" w:rsidP="00AB62A3">
            <w:pPr>
              <w:rPr>
                <w:rFonts w:cs="Tahoma"/>
                <w:snapToGrid w:val="0"/>
                <w:sz w:val="14"/>
                <w:szCs w:val="16"/>
              </w:rPr>
            </w:pPr>
            <w:r w:rsidRPr="001131FC">
              <w:rPr>
                <w:rFonts w:cs="Tahoma"/>
                <w:snapToGrid w:val="0"/>
                <w:sz w:val="14"/>
                <w:szCs w:val="16"/>
              </w:rPr>
              <w:t>İmalat</w:t>
            </w:r>
          </w:p>
        </w:tc>
        <w:tc>
          <w:tcPr>
            <w:tcW w:w="499" w:type="pct"/>
            <w:vAlign w:val="center"/>
          </w:tcPr>
          <w:p w:rsidR="00565FD5" w:rsidRPr="001131FC" w:rsidRDefault="00565FD5" w:rsidP="00AB62A3">
            <w:pPr>
              <w:jc w:val="right"/>
              <w:rPr>
                <w:rFonts w:cs="Tahoma"/>
                <w:sz w:val="14"/>
                <w:szCs w:val="16"/>
              </w:rPr>
            </w:pPr>
            <w:r w:rsidRPr="001131FC">
              <w:rPr>
                <w:rFonts w:cs="Tahoma"/>
                <w:sz w:val="14"/>
                <w:szCs w:val="16"/>
              </w:rPr>
              <w:t>105</w:t>
            </w:r>
          </w:p>
        </w:tc>
        <w:tc>
          <w:tcPr>
            <w:tcW w:w="499" w:type="pct"/>
            <w:vAlign w:val="center"/>
          </w:tcPr>
          <w:p w:rsidR="00565FD5" w:rsidRPr="001131FC" w:rsidRDefault="00565FD5" w:rsidP="00AB62A3">
            <w:pPr>
              <w:jc w:val="right"/>
              <w:rPr>
                <w:rFonts w:cs="Tahoma"/>
                <w:sz w:val="14"/>
                <w:szCs w:val="16"/>
              </w:rPr>
            </w:pPr>
            <w:r w:rsidRPr="001131FC">
              <w:rPr>
                <w:rFonts w:cs="Tahoma"/>
                <w:sz w:val="14"/>
                <w:szCs w:val="16"/>
              </w:rPr>
              <w:t>324</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32</w:t>
            </w:r>
          </w:p>
        </w:tc>
        <w:tc>
          <w:tcPr>
            <w:tcW w:w="421"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539" w:type="pct"/>
            <w:vAlign w:val="center"/>
          </w:tcPr>
          <w:p w:rsidR="00565FD5" w:rsidRPr="001131FC" w:rsidRDefault="00565FD5" w:rsidP="00AB62A3">
            <w:pPr>
              <w:jc w:val="right"/>
              <w:rPr>
                <w:rFonts w:cs="Tahoma"/>
                <w:sz w:val="14"/>
                <w:szCs w:val="16"/>
              </w:rPr>
            </w:pPr>
            <w:r w:rsidRPr="001131FC">
              <w:rPr>
                <w:rFonts w:cs="Tahoma"/>
                <w:sz w:val="14"/>
                <w:szCs w:val="16"/>
              </w:rPr>
              <w:t>5</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466</w:t>
            </w:r>
          </w:p>
        </w:tc>
        <w:tc>
          <w:tcPr>
            <w:tcW w:w="360" w:type="pct"/>
            <w:vAlign w:val="center"/>
          </w:tcPr>
          <w:p w:rsidR="00565FD5" w:rsidRPr="001131FC" w:rsidRDefault="00565FD5" w:rsidP="00AB62A3">
            <w:pPr>
              <w:jc w:val="right"/>
              <w:rPr>
                <w:rFonts w:cs="Tahoma"/>
                <w:sz w:val="14"/>
                <w:szCs w:val="16"/>
              </w:rPr>
            </w:pPr>
            <w:r w:rsidRPr="001131FC">
              <w:rPr>
                <w:rFonts w:cs="Tahoma"/>
                <w:sz w:val="14"/>
                <w:szCs w:val="16"/>
              </w:rPr>
              <w:t>1,1</w:t>
            </w:r>
          </w:p>
        </w:tc>
        <w:tc>
          <w:tcPr>
            <w:tcW w:w="479" w:type="pct"/>
            <w:vAlign w:val="center"/>
          </w:tcPr>
          <w:p w:rsidR="00565FD5" w:rsidRPr="001131FC" w:rsidRDefault="00565FD5" w:rsidP="00AB62A3">
            <w:pPr>
              <w:jc w:val="right"/>
              <w:rPr>
                <w:rFonts w:cs="Tahoma"/>
                <w:sz w:val="14"/>
                <w:szCs w:val="16"/>
              </w:rPr>
            </w:pPr>
            <w:r w:rsidRPr="001131FC">
              <w:rPr>
                <w:rFonts w:cs="Tahoma"/>
                <w:sz w:val="14"/>
                <w:szCs w:val="16"/>
              </w:rPr>
              <w:t>177</w:t>
            </w:r>
          </w:p>
        </w:tc>
        <w:tc>
          <w:tcPr>
            <w:tcW w:w="412" w:type="pct"/>
            <w:vAlign w:val="center"/>
          </w:tcPr>
          <w:p w:rsidR="00565FD5" w:rsidRPr="001131FC" w:rsidRDefault="00565FD5" w:rsidP="00AB62A3">
            <w:pPr>
              <w:jc w:val="right"/>
              <w:rPr>
                <w:rFonts w:cs="Tahoma"/>
                <w:sz w:val="14"/>
                <w:szCs w:val="16"/>
              </w:rPr>
            </w:pPr>
            <w:r w:rsidRPr="001131FC">
              <w:rPr>
                <w:rFonts w:cs="Tahoma"/>
                <w:sz w:val="14"/>
                <w:szCs w:val="16"/>
              </w:rPr>
              <w:t>643</w:t>
            </w:r>
          </w:p>
        </w:tc>
        <w:tc>
          <w:tcPr>
            <w:tcW w:w="366" w:type="pct"/>
            <w:tcBorders>
              <w:right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1,1</w:t>
            </w:r>
          </w:p>
        </w:tc>
      </w:tr>
      <w:tr w:rsidR="00565FD5" w:rsidRPr="001131FC" w:rsidTr="00AB62A3">
        <w:trPr>
          <w:trHeight w:val="321"/>
        </w:trPr>
        <w:tc>
          <w:tcPr>
            <w:tcW w:w="586" w:type="pct"/>
            <w:tcBorders>
              <w:left w:val="single" w:sz="4" w:space="0" w:color="auto"/>
            </w:tcBorders>
            <w:vAlign w:val="center"/>
          </w:tcPr>
          <w:p w:rsidR="00565FD5" w:rsidRPr="001131FC" w:rsidRDefault="00565FD5" w:rsidP="00AB62A3">
            <w:pPr>
              <w:rPr>
                <w:rFonts w:cs="Tahoma"/>
                <w:snapToGrid w:val="0"/>
                <w:sz w:val="14"/>
                <w:szCs w:val="16"/>
              </w:rPr>
            </w:pPr>
            <w:r w:rsidRPr="001131FC">
              <w:rPr>
                <w:rFonts w:cs="Tahoma"/>
                <w:snapToGrid w:val="0"/>
                <w:sz w:val="14"/>
                <w:szCs w:val="16"/>
              </w:rPr>
              <w:t>Enerji</w:t>
            </w:r>
          </w:p>
        </w:tc>
        <w:tc>
          <w:tcPr>
            <w:tcW w:w="499" w:type="pct"/>
            <w:vAlign w:val="center"/>
          </w:tcPr>
          <w:p w:rsidR="00565FD5" w:rsidRPr="001131FC" w:rsidRDefault="00565FD5" w:rsidP="00AB62A3">
            <w:pPr>
              <w:jc w:val="right"/>
              <w:rPr>
                <w:rFonts w:cs="Tahoma"/>
                <w:sz w:val="14"/>
                <w:szCs w:val="16"/>
              </w:rPr>
            </w:pPr>
            <w:r w:rsidRPr="001131FC">
              <w:rPr>
                <w:rFonts w:cs="Tahoma"/>
                <w:sz w:val="14"/>
                <w:szCs w:val="16"/>
              </w:rPr>
              <w:t>1 708</w:t>
            </w:r>
          </w:p>
        </w:tc>
        <w:tc>
          <w:tcPr>
            <w:tcW w:w="499" w:type="pct"/>
            <w:vAlign w:val="center"/>
          </w:tcPr>
          <w:p w:rsidR="00565FD5" w:rsidRPr="001131FC" w:rsidRDefault="00565FD5" w:rsidP="00AB62A3">
            <w:pPr>
              <w:jc w:val="right"/>
              <w:rPr>
                <w:rFonts w:cs="Tahoma"/>
                <w:sz w:val="14"/>
                <w:szCs w:val="16"/>
              </w:rPr>
            </w:pPr>
            <w:r w:rsidRPr="001131FC">
              <w:rPr>
                <w:rFonts w:cs="Tahoma"/>
                <w:sz w:val="14"/>
                <w:szCs w:val="16"/>
              </w:rPr>
              <w:t>974</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675</w:t>
            </w:r>
          </w:p>
        </w:tc>
        <w:tc>
          <w:tcPr>
            <w:tcW w:w="421"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539"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3 357</w:t>
            </w:r>
          </w:p>
        </w:tc>
        <w:tc>
          <w:tcPr>
            <w:tcW w:w="360" w:type="pct"/>
            <w:vAlign w:val="center"/>
          </w:tcPr>
          <w:p w:rsidR="00565FD5" w:rsidRPr="001131FC" w:rsidRDefault="00565FD5" w:rsidP="00AB62A3">
            <w:pPr>
              <w:jc w:val="right"/>
              <w:rPr>
                <w:rFonts w:cs="Tahoma"/>
                <w:sz w:val="14"/>
                <w:szCs w:val="16"/>
              </w:rPr>
            </w:pPr>
            <w:r w:rsidRPr="001131FC">
              <w:rPr>
                <w:rFonts w:cs="Tahoma"/>
                <w:sz w:val="14"/>
                <w:szCs w:val="16"/>
              </w:rPr>
              <w:t>7,9</w:t>
            </w:r>
          </w:p>
        </w:tc>
        <w:tc>
          <w:tcPr>
            <w:tcW w:w="479" w:type="pct"/>
            <w:vAlign w:val="center"/>
          </w:tcPr>
          <w:p w:rsidR="00565FD5" w:rsidRPr="001131FC" w:rsidRDefault="00565FD5" w:rsidP="00AB62A3">
            <w:pPr>
              <w:jc w:val="right"/>
              <w:rPr>
                <w:rFonts w:cs="Tahoma"/>
                <w:sz w:val="14"/>
                <w:szCs w:val="16"/>
              </w:rPr>
            </w:pPr>
            <w:r w:rsidRPr="001131FC">
              <w:rPr>
                <w:rFonts w:cs="Tahoma"/>
                <w:sz w:val="14"/>
                <w:szCs w:val="16"/>
              </w:rPr>
              <w:t>20</w:t>
            </w:r>
          </w:p>
        </w:tc>
        <w:tc>
          <w:tcPr>
            <w:tcW w:w="412" w:type="pct"/>
            <w:vAlign w:val="center"/>
          </w:tcPr>
          <w:p w:rsidR="00565FD5" w:rsidRPr="001131FC" w:rsidRDefault="00565FD5" w:rsidP="00AB62A3">
            <w:pPr>
              <w:jc w:val="right"/>
              <w:rPr>
                <w:rFonts w:cs="Tahoma"/>
                <w:sz w:val="14"/>
                <w:szCs w:val="16"/>
              </w:rPr>
            </w:pPr>
            <w:r w:rsidRPr="001131FC">
              <w:rPr>
                <w:rFonts w:cs="Tahoma"/>
                <w:sz w:val="14"/>
                <w:szCs w:val="16"/>
              </w:rPr>
              <w:t>3 377</w:t>
            </w:r>
          </w:p>
        </w:tc>
        <w:tc>
          <w:tcPr>
            <w:tcW w:w="366" w:type="pct"/>
            <w:tcBorders>
              <w:right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5,9</w:t>
            </w:r>
          </w:p>
        </w:tc>
      </w:tr>
      <w:tr w:rsidR="00565FD5" w:rsidRPr="001131FC" w:rsidTr="00AB62A3">
        <w:trPr>
          <w:trHeight w:val="321"/>
        </w:trPr>
        <w:tc>
          <w:tcPr>
            <w:tcW w:w="586" w:type="pct"/>
            <w:tcBorders>
              <w:left w:val="single" w:sz="4" w:space="0" w:color="auto"/>
            </w:tcBorders>
            <w:vAlign w:val="center"/>
          </w:tcPr>
          <w:p w:rsidR="00565FD5" w:rsidRPr="001131FC" w:rsidRDefault="00565FD5" w:rsidP="00AB62A3">
            <w:pPr>
              <w:rPr>
                <w:rFonts w:cs="Tahoma"/>
                <w:snapToGrid w:val="0"/>
                <w:sz w:val="14"/>
                <w:szCs w:val="16"/>
              </w:rPr>
            </w:pPr>
            <w:r w:rsidRPr="001131FC">
              <w:rPr>
                <w:rFonts w:cs="Tahoma"/>
                <w:snapToGrid w:val="0"/>
                <w:sz w:val="14"/>
                <w:szCs w:val="16"/>
              </w:rPr>
              <w:t>Ulaştırma</w:t>
            </w:r>
          </w:p>
        </w:tc>
        <w:tc>
          <w:tcPr>
            <w:tcW w:w="499" w:type="pct"/>
            <w:vAlign w:val="center"/>
          </w:tcPr>
          <w:p w:rsidR="00565FD5" w:rsidRPr="001131FC" w:rsidRDefault="00565FD5" w:rsidP="00AB62A3">
            <w:pPr>
              <w:jc w:val="right"/>
              <w:rPr>
                <w:rFonts w:cs="Tahoma"/>
                <w:sz w:val="14"/>
                <w:szCs w:val="16"/>
              </w:rPr>
            </w:pPr>
            <w:r w:rsidRPr="001131FC">
              <w:rPr>
                <w:rFonts w:cs="Tahoma"/>
                <w:sz w:val="14"/>
                <w:szCs w:val="16"/>
              </w:rPr>
              <w:t>12 086</w:t>
            </w:r>
          </w:p>
        </w:tc>
        <w:tc>
          <w:tcPr>
            <w:tcW w:w="499" w:type="pct"/>
            <w:vAlign w:val="center"/>
          </w:tcPr>
          <w:p w:rsidR="00565FD5" w:rsidRPr="001131FC" w:rsidRDefault="00565FD5" w:rsidP="00AB62A3">
            <w:pPr>
              <w:jc w:val="right"/>
              <w:rPr>
                <w:rFonts w:cs="Tahoma"/>
                <w:sz w:val="14"/>
                <w:szCs w:val="16"/>
              </w:rPr>
            </w:pPr>
            <w:r w:rsidRPr="001131FC">
              <w:rPr>
                <w:rFonts w:cs="Tahoma"/>
                <w:sz w:val="14"/>
                <w:szCs w:val="16"/>
              </w:rPr>
              <w:t>4 353</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48</w:t>
            </w:r>
          </w:p>
        </w:tc>
        <w:tc>
          <w:tcPr>
            <w:tcW w:w="421"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539" w:type="pct"/>
            <w:vAlign w:val="center"/>
          </w:tcPr>
          <w:p w:rsidR="00565FD5" w:rsidRPr="001131FC" w:rsidRDefault="00565FD5" w:rsidP="00AB62A3">
            <w:pPr>
              <w:jc w:val="right"/>
              <w:rPr>
                <w:rFonts w:cs="Tahoma"/>
                <w:sz w:val="14"/>
                <w:szCs w:val="16"/>
              </w:rPr>
            </w:pPr>
            <w:r w:rsidRPr="001131FC">
              <w:rPr>
                <w:rFonts w:cs="Tahoma"/>
                <w:sz w:val="14"/>
                <w:szCs w:val="16"/>
              </w:rPr>
              <w:t>105</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16 592</w:t>
            </w:r>
          </w:p>
        </w:tc>
        <w:tc>
          <w:tcPr>
            <w:tcW w:w="360" w:type="pct"/>
            <w:vAlign w:val="center"/>
          </w:tcPr>
          <w:p w:rsidR="00565FD5" w:rsidRPr="001131FC" w:rsidRDefault="00565FD5" w:rsidP="00AB62A3">
            <w:pPr>
              <w:jc w:val="right"/>
              <w:rPr>
                <w:rFonts w:cs="Tahoma"/>
                <w:sz w:val="14"/>
                <w:szCs w:val="16"/>
              </w:rPr>
            </w:pPr>
            <w:r w:rsidRPr="001131FC">
              <w:rPr>
                <w:rFonts w:cs="Tahoma"/>
                <w:sz w:val="14"/>
                <w:szCs w:val="16"/>
              </w:rPr>
              <w:t>39,0</w:t>
            </w:r>
          </w:p>
        </w:tc>
        <w:tc>
          <w:tcPr>
            <w:tcW w:w="479" w:type="pct"/>
            <w:vAlign w:val="center"/>
          </w:tcPr>
          <w:p w:rsidR="00565FD5" w:rsidRPr="001131FC" w:rsidRDefault="00565FD5" w:rsidP="00AB62A3">
            <w:pPr>
              <w:jc w:val="right"/>
              <w:rPr>
                <w:rFonts w:cs="Tahoma"/>
                <w:sz w:val="14"/>
                <w:szCs w:val="16"/>
              </w:rPr>
            </w:pPr>
            <w:r w:rsidRPr="001131FC">
              <w:rPr>
                <w:rFonts w:cs="Tahoma"/>
                <w:sz w:val="14"/>
                <w:szCs w:val="16"/>
              </w:rPr>
              <w:t>6 035</w:t>
            </w:r>
          </w:p>
        </w:tc>
        <w:tc>
          <w:tcPr>
            <w:tcW w:w="412" w:type="pct"/>
            <w:vAlign w:val="center"/>
          </w:tcPr>
          <w:p w:rsidR="00565FD5" w:rsidRPr="001131FC" w:rsidRDefault="00565FD5" w:rsidP="00AB62A3">
            <w:pPr>
              <w:jc w:val="right"/>
              <w:rPr>
                <w:rFonts w:cs="Tahoma"/>
                <w:sz w:val="14"/>
                <w:szCs w:val="16"/>
              </w:rPr>
            </w:pPr>
            <w:r w:rsidRPr="001131FC">
              <w:rPr>
                <w:rFonts w:cs="Tahoma"/>
                <w:sz w:val="14"/>
                <w:szCs w:val="16"/>
              </w:rPr>
              <w:t>22 627</w:t>
            </w:r>
          </w:p>
        </w:tc>
        <w:tc>
          <w:tcPr>
            <w:tcW w:w="366" w:type="pct"/>
            <w:tcBorders>
              <w:right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39,2</w:t>
            </w:r>
          </w:p>
        </w:tc>
      </w:tr>
      <w:tr w:rsidR="00565FD5" w:rsidRPr="001131FC" w:rsidTr="00AB62A3">
        <w:trPr>
          <w:trHeight w:val="321"/>
        </w:trPr>
        <w:tc>
          <w:tcPr>
            <w:tcW w:w="586" w:type="pct"/>
            <w:tcBorders>
              <w:left w:val="single" w:sz="4" w:space="0" w:color="auto"/>
            </w:tcBorders>
            <w:vAlign w:val="center"/>
          </w:tcPr>
          <w:p w:rsidR="00565FD5" w:rsidRPr="001131FC" w:rsidRDefault="00565FD5" w:rsidP="00AB62A3">
            <w:pPr>
              <w:rPr>
                <w:rFonts w:cs="Tahoma"/>
                <w:snapToGrid w:val="0"/>
                <w:sz w:val="14"/>
                <w:szCs w:val="16"/>
              </w:rPr>
            </w:pPr>
            <w:r w:rsidRPr="001131FC">
              <w:rPr>
                <w:rFonts w:cs="Tahoma"/>
                <w:snapToGrid w:val="0"/>
                <w:sz w:val="14"/>
                <w:szCs w:val="16"/>
              </w:rPr>
              <w:t>Turizm</w:t>
            </w:r>
          </w:p>
        </w:tc>
        <w:tc>
          <w:tcPr>
            <w:tcW w:w="499" w:type="pct"/>
            <w:vAlign w:val="center"/>
          </w:tcPr>
          <w:p w:rsidR="00565FD5" w:rsidRPr="001131FC" w:rsidRDefault="00565FD5" w:rsidP="00AB62A3">
            <w:pPr>
              <w:jc w:val="right"/>
              <w:rPr>
                <w:rFonts w:cs="Tahoma"/>
                <w:sz w:val="14"/>
                <w:szCs w:val="16"/>
              </w:rPr>
            </w:pPr>
            <w:r w:rsidRPr="001131FC">
              <w:rPr>
                <w:rFonts w:cs="Tahoma"/>
                <w:sz w:val="14"/>
                <w:szCs w:val="16"/>
              </w:rPr>
              <w:t>290</w:t>
            </w:r>
          </w:p>
        </w:tc>
        <w:tc>
          <w:tcPr>
            <w:tcW w:w="499"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21"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539" w:type="pct"/>
            <w:vAlign w:val="center"/>
          </w:tcPr>
          <w:p w:rsidR="00565FD5" w:rsidRPr="001131FC" w:rsidRDefault="00565FD5" w:rsidP="00AB62A3">
            <w:pPr>
              <w:jc w:val="right"/>
              <w:rPr>
                <w:rFonts w:cs="Tahoma"/>
                <w:sz w:val="14"/>
                <w:szCs w:val="16"/>
              </w:rPr>
            </w:pPr>
            <w:r w:rsidRPr="001131FC">
              <w:rPr>
                <w:rFonts w:cs="Tahoma"/>
                <w:sz w:val="14"/>
                <w:szCs w:val="16"/>
              </w:rPr>
              <w:t>3</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293</w:t>
            </w:r>
          </w:p>
        </w:tc>
        <w:tc>
          <w:tcPr>
            <w:tcW w:w="360" w:type="pct"/>
            <w:vAlign w:val="center"/>
          </w:tcPr>
          <w:p w:rsidR="00565FD5" w:rsidRPr="001131FC" w:rsidRDefault="00565FD5" w:rsidP="00AB62A3">
            <w:pPr>
              <w:jc w:val="right"/>
              <w:rPr>
                <w:rFonts w:cs="Tahoma"/>
                <w:sz w:val="14"/>
                <w:szCs w:val="16"/>
              </w:rPr>
            </w:pPr>
            <w:r w:rsidRPr="001131FC">
              <w:rPr>
                <w:rFonts w:cs="Tahoma"/>
                <w:sz w:val="14"/>
                <w:szCs w:val="16"/>
              </w:rPr>
              <w:t>0,7</w:t>
            </w:r>
          </w:p>
        </w:tc>
        <w:tc>
          <w:tcPr>
            <w:tcW w:w="479" w:type="pct"/>
            <w:vAlign w:val="center"/>
          </w:tcPr>
          <w:p w:rsidR="00565FD5" w:rsidRPr="001131FC" w:rsidRDefault="00565FD5" w:rsidP="00AB62A3">
            <w:pPr>
              <w:jc w:val="right"/>
              <w:rPr>
                <w:rFonts w:cs="Tahoma"/>
                <w:sz w:val="14"/>
                <w:szCs w:val="16"/>
              </w:rPr>
            </w:pPr>
            <w:r w:rsidRPr="001131FC">
              <w:rPr>
                <w:rFonts w:cs="Tahoma"/>
                <w:sz w:val="14"/>
                <w:szCs w:val="16"/>
              </w:rPr>
              <w:t>88</w:t>
            </w:r>
          </w:p>
        </w:tc>
        <w:tc>
          <w:tcPr>
            <w:tcW w:w="412" w:type="pct"/>
            <w:vAlign w:val="center"/>
          </w:tcPr>
          <w:p w:rsidR="00565FD5" w:rsidRPr="001131FC" w:rsidRDefault="00565FD5" w:rsidP="00AB62A3">
            <w:pPr>
              <w:jc w:val="right"/>
              <w:rPr>
                <w:rFonts w:cs="Tahoma"/>
                <w:sz w:val="14"/>
                <w:szCs w:val="16"/>
              </w:rPr>
            </w:pPr>
            <w:r w:rsidRPr="001131FC">
              <w:rPr>
                <w:rFonts w:cs="Tahoma"/>
                <w:sz w:val="14"/>
                <w:szCs w:val="16"/>
              </w:rPr>
              <w:t>381</w:t>
            </w:r>
          </w:p>
        </w:tc>
        <w:tc>
          <w:tcPr>
            <w:tcW w:w="366" w:type="pct"/>
            <w:tcBorders>
              <w:right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0,7</w:t>
            </w:r>
          </w:p>
        </w:tc>
      </w:tr>
      <w:tr w:rsidR="00565FD5" w:rsidRPr="001131FC" w:rsidTr="00AB62A3">
        <w:trPr>
          <w:trHeight w:val="321"/>
        </w:trPr>
        <w:tc>
          <w:tcPr>
            <w:tcW w:w="586" w:type="pct"/>
            <w:tcBorders>
              <w:left w:val="single" w:sz="4" w:space="0" w:color="auto"/>
            </w:tcBorders>
            <w:vAlign w:val="center"/>
          </w:tcPr>
          <w:p w:rsidR="00565FD5" w:rsidRPr="001131FC" w:rsidRDefault="00565FD5" w:rsidP="00AB62A3">
            <w:pPr>
              <w:rPr>
                <w:rFonts w:cs="Tahoma"/>
                <w:snapToGrid w:val="0"/>
                <w:sz w:val="14"/>
                <w:szCs w:val="16"/>
              </w:rPr>
            </w:pPr>
            <w:r w:rsidRPr="001131FC">
              <w:rPr>
                <w:rFonts w:cs="Tahoma"/>
                <w:snapToGrid w:val="0"/>
                <w:sz w:val="14"/>
                <w:szCs w:val="16"/>
              </w:rPr>
              <w:t>Konut</w:t>
            </w:r>
          </w:p>
        </w:tc>
        <w:tc>
          <w:tcPr>
            <w:tcW w:w="499" w:type="pct"/>
            <w:vAlign w:val="center"/>
          </w:tcPr>
          <w:p w:rsidR="00565FD5" w:rsidRPr="001131FC" w:rsidRDefault="00565FD5" w:rsidP="00AB62A3">
            <w:pPr>
              <w:jc w:val="right"/>
              <w:rPr>
                <w:rFonts w:cs="Tahoma"/>
                <w:sz w:val="14"/>
                <w:szCs w:val="16"/>
              </w:rPr>
            </w:pPr>
            <w:r w:rsidRPr="001131FC">
              <w:rPr>
                <w:rFonts w:cs="Tahoma"/>
                <w:sz w:val="14"/>
                <w:szCs w:val="16"/>
              </w:rPr>
              <w:t>294</w:t>
            </w:r>
          </w:p>
        </w:tc>
        <w:tc>
          <w:tcPr>
            <w:tcW w:w="499" w:type="pct"/>
            <w:vAlign w:val="center"/>
          </w:tcPr>
          <w:p w:rsidR="00565FD5" w:rsidRPr="001131FC" w:rsidRDefault="00565FD5" w:rsidP="00AB62A3">
            <w:pPr>
              <w:jc w:val="right"/>
              <w:rPr>
                <w:rFonts w:cs="Tahoma"/>
                <w:sz w:val="14"/>
                <w:szCs w:val="16"/>
              </w:rPr>
            </w:pPr>
            <w:r w:rsidRPr="001131FC">
              <w:rPr>
                <w:rFonts w:cs="Tahoma"/>
                <w:sz w:val="14"/>
                <w:szCs w:val="16"/>
              </w:rPr>
              <w:t>9</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21"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539"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302</w:t>
            </w:r>
          </w:p>
        </w:tc>
        <w:tc>
          <w:tcPr>
            <w:tcW w:w="360" w:type="pct"/>
            <w:vAlign w:val="center"/>
          </w:tcPr>
          <w:p w:rsidR="00565FD5" w:rsidRPr="001131FC" w:rsidRDefault="00565FD5" w:rsidP="00AB62A3">
            <w:pPr>
              <w:jc w:val="right"/>
              <w:rPr>
                <w:rFonts w:cs="Tahoma"/>
                <w:sz w:val="14"/>
                <w:szCs w:val="16"/>
              </w:rPr>
            </w:pPr>
            <w:r w:rsidRPr="001131FC">
              <w:rPr>
                <w:rFonts w:cs="Tahoma"/>
                <w:sz w:val="14"/>
                <w:szCs w:val="16"/>
              </w:rPr>
              <w:t>0,7</w:t>
            </w:r>
          </w:p>
        </w:tc>
        <w:tc>
          <w:tcPr>
            <w:tcW w:w="479" w:type="pct"/>
            <w:vAlign w:val="center"/>
          </w:tcPr>
          <w:p w:rsidR="00565FD5" w:rsidRPr="001131FC" w:rsidRDefault="00565FD5" w:rsidP="00AB62A3">
            <w:pPr>
              <w:jc w:val="right"/>
              <w:rPr>
                <w:rFonts w:cs="Tahoma"/>
                <w:sz w:val="14"/>
                <w:szCs w:val="16"/>
              </w:rPr>
            </w:pPr>
            <w:r w:rsidRPr="001131FC">
              <w:rPr>
                <w:rFonts w:cs="Tahoma"/>
                <w:sz w:val="14"/>
                <w:szCs w:val="16"/>
              </w:rPr>
              <w:t>561</w:t>
            </w:r>
          </w:p>
        </w:tc>
        <w:tc>
          <w:tcPr>
            <w:tcW w:w="412" w:type="pct"/>
            <w:vAlign w:val="center"/>
          </w:tcPr>
          <w:p w:rsidR="00565FD5" w:rsidRPr="001131FC" w:rsidRDefault="00565FD5" w:rsidP="00AB62A3">
            <w:pPr>
              <w:jc w:val="right"/>
              <w:rPr>
                <w:rFonts w:cs="Tahoma"/>
                <w:sz w:val="14"/>
                <w:szCs w:val="16"/>
              </w:rPr>
            </w:pPr>
            <w:r w:rsidRPr="001131FC">
              <w:rPr>
                <w:rFonts w:cs="Tahoma"/>
                <w:sz w:val="14"/>
                <w:szCs w:val="16"/>
              </w:rPr>
              <w:t>863</w:t>
            </w:r>
          </w:p>
        </w:tc>
        <w:tc>
          <w:tcPr>
            <w:tcW w:w="366" w:type="pct"/>
            <w:tcBorders>
              <w:right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1,5</w:t>
            </w:r>
          </w:p>
        </w:tc>
      </w:tr>
      <w:tr w:rsidR="00565FD5" w:rsidRPr="001131FC" w:rsidTr="00AB62A3">
        <w:trPr>
          <w:trHeight w:val="321"/>
        </w:trPr>
        <w:tc>
          <w:tcPr>
            <w:tcW w:w="586" w:type="pct"/>
            <w:tcBorders>
              <w:left w:val="single" w:sz="4" w:space="0" w:color="auto"/>
            </w:tcBorders>
            <w:vAlign w:val="center"/>
          </w:tcPr>
          <w:p w:rsidR="00565FD5" w:rsidRPr="001131FC" w:rsidRDefault="00565FD5" w:rsidP="00AB62A3">
            <w:pPr>
              <w:rPr>
                <w:rFonts w:cs="Tahoma"/>
                <w:snapToGrid w:val="0"/>
                <w:sz w:val="14"/>
                <w:szCs w:val="16"/>
              </w:rPr>
            </w:pPr>
            <w:r w:rsidRPr="001131FC">
              <w:rPr>
                <w:rFonts w:cs="Tahoma"/>
                <w:snapToGrid w:val="0"/>
                <w:sz w:val="14"/>
                <w:szCs w:val="16"/>
              </w:rPr>
              <w:t>Eğitim</w:t>
            </w:r>
          </w:p>
        </w:tc>
        <w:tc>
          <w:tcPr>
            <w:tcW w:w="499" w:type="pct"/>
            <w:vAlign w:val="center"/>
          </w:tcPr>
          <w:p w:rsidR="00565FD5" w:rsidRPr="001131FC" w:rsidRDefault="00565FD5" w:rsidP="00AB62A3">
            <w:pPr>
              <w:jc w:val="right"/>
              <w:rPr>
                <w:rFonts w:cs="Tahoma"/>
                <w:sz w:val="14"/>
                <w:szCs w:val="16"/>
              </w:rPr>
            </w:pPr>
            <w:r w:rsidRPr="001131FC">
              <w:rPr>
                <w:rFonts w:cs="Tahoma"/>
                <w:sz w:val="14"/>
                <w:szCs w:val="16"/>
              </w:rPr>
              <w:t>6 452</w:t>
            </w:r>
          </w:p>
        </w:tc>
        <w:tc>
          <w:tcPr>
            <w:tcW w:w="499"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21"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539" w:type="pct"/>
            <w:vAlign w:val="center"/>
          </w:tcPr>
          <w:p w:rsidR="00565FD5" w:rsidRPr="001131FC" w:rsidRDefault="00565FD5" w:rsidP="00AB62A3">
            <w:pPr>
              <w:jc w:val="right"/>
              <w:rPr>
                <w:rFonts w:cs="Tahoma"/>
                <w:sz w:val="14"/>
                <w:szCs w:val="16"/>
              </w:rPr>
            </w:pPr>
            <w:r w:rsidRPr="001131FC">
              <w:rPr>
                <w:rFonts w:cs="Tahoma"/>
                <w:sz w:val="14"/>
                <w:szCs w:val="16"/>
              </w:rPr>
              <w:t>49</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6 501</w:t>
            </w:r>
          </w:p>
        </w:tc>
        <w:tc>
          <w:tcPr>
            <w:tcW w:w="360" w:type="pct"/>
            <w:vAlign w:val="center"/>
          </w:tcPr>
          <w:p w:rsidR="00565FD5" w:rsidRPr="001131FC" w:rsidRDefault="00565FD5" w:rsidP="00AB62A3">
            <w:pPr>
              <w:jc w:val="right"/>
              <w:rPr>
                <w:rFonts w:cs="Tahoma"/>
                <w:sz w:val="14"/>
                <w:szCs w:val="16"/>
              </w:rPr>
            </w:pPr>
            <w:r w:rsidRPr="001131FC">
              <w:rPr>
                <w:rFonts w:cs="Tahoma"/>
                <w:sz w:val="14"/>
                <w:szCs w:val="16"/>
              </w:rPr>
              <w:t>15,3</w:t>
            </w:r>
          </w:p>
        </w:tc>
        <w:tc>
          <w:tcPr>
            <w:tcW w:w="479" w:type="pct"/>
            <w:vAlign w:val="center"/>
          </w:tcPr>
          <w:p w:rsidR="00565FD5" w:rsidRPr="001131FC" w:rsidRDefault="00565FD5" w:rsidP="00AB62A3">
            <w:pPr>
              <w:jc w:val="right"/>
              <w:rPr>
                <w:rFonts w:cs="Tahoma"/>
                <w:sz w:val="14"/>
                <w:szCs w:val="16"/>
              </w:rPr>
            </w:pPr>
            <w:r w:rsidRPr="001131FC">
              <w:rPr>
                <w:rFonts w:cs="Tahoma"/>
                <w:sz w:val="14"/>
                <w:szCs w:val="16"/>
              </w:rPr>
              <w:t>1 279</w:t>
            </w:r>
          </w:p>
        </w:tc>
        <w:tc>
          <w:tcPr>
            <w:tcW w:w="412" w:type="pct"/>
            <w:vAlign w:val="center"/>
          </w:tcPr>
          <w:p w:rsidR="00565FD5" w:rsidRPr="001131FC" w:rsidRDefault="00565FD5" w:rsidP="00AB62A3">
            <w:pPr>
              <w:jc w:val="right"/>
              <w:rPr>
                <w:rFonts w:cs="Tahoma"/>
                <w:sz w:val="14"/>
                <w:szCs w:val="16"/>
              </w:rPr>
            </w:pPr>
            <w:r w:rsidRPr="001131FC">
              <w:rPr>
                <w:rFonts w:cs="Tahoma"/>
                <w:sz w:val="14"/>
                <w:szCs w:val="16"/>
              </w:rPr>
              <w:t>7 780</w:t>
            </w:r>
          </w:p>
        </w:tc>
        <w:tc>
          <w:tcPr>
            <w:tcW w:w="366" w:type="pct"/>
            <w:tcBorders>
              <w:right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13,5</w:t>
            </w:r>
          </w:p>
        </w:tc>
      </w:tr>
      <w:tr w:rsidR="00565FD5" w:rsidRPr="001131FC" w:rsidTr="00AB62A3">
        <w:trPr>
          <w:trHeight w:val="321"/>
        </w:trPr>
        <w:tc>
          <w:tcPr>
            <w:tcW w:w="586" w:type="pct"/>
            <w:tcBorders>
              <w:left w:val="single" w:sz="4" w:space="0" w:color="auto"/>
            </w:tcBorders>
            <w:vAlign w:val="center"/>
          </w:tcPr>
          <w:p w:rsidR="00565FD5" w:rsidRPr="001131FC" w:rsidRDefault="00565FD5" w:rsidP="00AB62A3">
            <w:pPr>
              <w:rPr>
                <w:rFonts w:cs="Tahoma"/>
                <w:snapToGrid w:val="0"/>
                <w:sz w:val="14"/>
                <w:szCs w:val="16"/>
              </w:rPr>
            </w:pPr>
            <w:r w:rsidRPr="001131FC">
              <w:rPr>
                <w:rFonts w:cs="Tahoma"/>
                <w:snapToGrid w:val="0"/>
                <w:sz w:val="14"/>
                <w:szCs w:val="16"/>
              </w:rPr>
              <w:t>Sağlık</w:t>
            </w:r>
          </w:p>
        </w:tc>
        <w:tc>
          <w:tcPr>
            <w:tcW w:w="499" w:type="pct"/>
            <w:vAlign w:val="center"/>
          </w:tcPr>
          <w:p w:rsidR="00565FD5" w:rsidRPr="001131FC" w:rsidRDefault="00565FD5" w:rsidP="00AB62A3">
            <w:pPr>
              <w:jc w:val="right"/>
              <w:rPr>
                <w:rFonts w:cs="Tahoma"/>
                <w:sz w:val="14"/>
                <w:szCs w:val="16"/>
              </w:rPr>
            </w:pPr>
            <w:r w:rsidRPr="001131FC">
              <w:rPr>
                <w:rFonts w:cs="Tahoma"/>
                <w:sz w:val="14"/>
                <w:szCs w:val="16"/>
              </w:rPr>
              <w:t>1 618</w:t>
            </w:r>
          </w:p>
        </w:tc>
        <w:tc>
          <w:tcPr>
            <w:tcW w:w="499"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21"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539" w:type="pct"/>
            <w:vAlign w:val="center"/>
          </w:tcPr>
          <w:p w:rsidR="00565FD5" w:rsidRPr="001131FC" w:rsidRDefault="00565FD5" w:rsidP="00AB62A3">
            <w:pPr>
              <w:jc w:val="right"/>
              <w:rPr>
                <w:rFonts w:cs="Tahoma"/>
                <w:sz w:val="14"/>
                <w:szCs w:val="16"/>
              </w:rPr>
            </w:pPr>
            <w:r w:rsidRPr="001131FC">
              <w:rPr>
                <w:rFonts w:cs="Tahoma"/>
                <w:sz w:val="14"/>
                <w:szCs w:val="16"/>
              </w:rPr>
              <w:t>1 011</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2 629</w:t>
            </w:r>
          </w:p>
        </w:tc>
        <w:tc>
          <w:tcPr>
            <w:tcW w:w="360" w:type="pct"/>
            <w:vAlign w:val="center"/>
          </w:tcPr>
          <w:p w:rsidR="00565FD5" w:rsidRPr="001131FC" w:rsidRDefault="00565FD5" w:rsidP="00AB62A3">
            <w:pPr>
              <w:jc w:val="right"/>
              <w:rPr>
                <w:rFonts w:cs="Tahoma"/>
                <w:sz w:val="14"/>
                <w:szCs w:val="16"/>
              </w:rPr>
            </w:pPr>
            <w:r w:rsidRPr="001131FC">
              <w:rPr>
                <w:rFonts w:cs="Tahoma"/>
                <w:sz w:val="14"/>
                <w:szCs w:val="16"/>
              </w:rPr>
              <w:t>6,2</w:t>
            </w:r>
          </w:p>
        </w:tc>
        <w:tc>
          <w:tcPr>
            <w:tcW w:w="479" w:type="pct"/>
            <w:vAlign w:val="center"/>
          </w:tcPr>
          <w:p w:rsidR="00565FD5" w:rsidRPr="001131FC" w:rsidRDefault="00565FD5" w:rsidP="00AB62A3">
            <w:pPr>
              <w:jc w:val="right"/>
              <w:rPr>
                <w:rFonts w:cs="Tahoma"/>
                <w:sz w:val="14"/>
                <w:szCs w:val="16"/>
              </w:rPr>
            </w:pPr>
            <w:r w:rsidRPr="001131FC">
              <w:rPr>
                <w:rFonts w:cs="Tahoma"/>
                <w:sz w:val="14"/>
                <w:szCs w:val="16"/>
              </w:rPr>
              <w:t>349</w:t>
            </w:r>
          </w:p>
        </w:tc>
        <w:tc>
          <w:tcPr>
            <w:tcW w:w="412" w:type="pct"/>
            <w:vAlign w:val="center"/>
          </w:tcPr>
          <w:p w:rsidR="00565FD5" w:rsidRPr="001131FC" w:rsidRDefault="00565FD5" w:rsidP="00AB62A3">
            <w:pPr>
              <w:jc w:val="right"/>
              <w:rPr>
                <w:rFonts w:cs="Tahoma"/>
                <w:sz w:val="14"/>
                <w:szCs w:val="16"/>
              </w:rPr>
            </w:pPr>
            <w:r w:rsidRPr="001131FC">
              <w:rPr>
                <w:rFonts w:cs="Tahoma"/>
                <w:sz w:val="14"/>
                <w:szCs w:val="16"/>
              </w:rPr>
              <w:t>2 978</w:t>
            </w:r>
          </w:p>
        </w:tc>
        <w:tc>
          <w:tcPr>
            <w:tcW w:w="366" w:type="pct"/>
            <w:tcBorders>
              <w:right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5,2</w:t>
            </w:r>
          </w:p>
        </w:tc>
      </w:tr>
      <w:tr w:rsidR="00565FD5" w:rsidRPr="001131FC" w:rsidTr="00AB62A3">
        <w:trPr>
          <w:trHeight w:val="321"/>
        </w:trPr>
        <w:tc>
          <w:tcPr>
            <w:tcW w:w="586" w:type="pct"/>
            <w:tcBorders>
              <w:left w:val="single" w:sz="4" w:space="0" w:color="auto"/>
            </w:tcBorders>
            <w:vAlign w:val="center"/>
          </w:tcPr>
          <w:p w:rsidR="00565FD5" w:rsidRPr="001131FC" w:rsidRDefault="00565FD5" w:rsidP="00AB62A3">
            <w:pPr>
              <w:rPr>
                <w:rFonts w:cs="Tahoma"/>
                <w:snapToGrid w:val="0"/>
                <w:sz w:val="14"/>
                <w:szCs w:val="16"/>
              </w:rPr>
            </w:pPr>
            <w:r w:rsidRPr="001131FC">
              <w:rPr>
                <w:rFonts w:cs="Tahoma"/>
                <w:snapToGrid w:val="0"/>
                <w:sz w:val="14"/>
                <w:szCs w:val="16"/>
              </w:rPr>
              <w:t>Diğer Hizmetler</w:t>
            </w:r>
          </w:p>
        </w:tc>
        <w:tc>
          <w:tcPr>
            <w:tcW w:w="499" w:type="pct"/>
            <w:vAlign w:val="center"/>
          </w:tcPr>
          <w:p w:rsidR="00565FD5" w:rsidRPr="001131FC" w:rsidRDefault="00565FD5" w:rsidP="00AB62A3">
            <w:pPr>
              <w:jc w:val="right"/>
              <w:rPr>
                <w:rFonts w:cs="Tahoma"/>
                <w:sz w:val="14"/>
                <w:szCs w:val="16"/>
              </w:rPr>
            </w:pPr>
            <w:r w:rsidRPr="001131FC">
              <w:rPr>
                <w:rFonts w:cs="Tahoma"/>
                <w:sz w:val="14"/>
                <w:szCs w:val="16"/>
              </w:rPr>
              <w:t>5 338</w:t>
            </w:r>
          </w:p>
        </w:tc>
        <w:tc>
          <w:tcPr>
            <w:tcW w:w="499" w:type="pct"/>
            <w:vAlign w:val="center"/>
          </w:tcPr>
          <w:p w:rsidR="00565FD5" w:rsidRPr="001131FC" w:rsidRDefault="00565FD5" w:rsidP="00AB62A3">
            <w:pPr>
              <w:jc w:val="right"/>
              <w:rPr>
                <w:rFonts w:cs="Tahoma"/>
                <w:sz w:val="14"/>
                <w:szCs w:val="16"/>
              </w:rPr>
            </w:pPr>
            <w:r w:rsidRPr="001131FC">
              <w:rPr>
                <w:rFonts w:cs="Tahoma"/>
                <w:sz w:val="14"/>
                <w:szCs w:val="16"/>
              </w:rPr>
              <w:t>20</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21" w:type="pct"/>
            <w:vAlign w:val="center"/>
          </w:tcPr>
          <w:p w:rsidR="00565FD5" w:rsidRPr="001131FC" w:rsidRDefault="00565FD5" w:rsidP="00AB62A3">
            <w:pPr>
              <w:jc w:val="right"/>
              <w:rPr>
                <w:rFonts w:cs="Tahoma"/>
                <w:sz w:val="14"/>
                <w:szCs w:val="16"/>
              </w:rPr>
            </w:pPr>
            <w:r w:rsidRPr="001131FC">
              <w:rPr>
                <w:rFonts w:cs="Tahoma"/>
                <w:sz w:val="14"/>
                <w:szCs w:val="16"/>
              </w:rPr>
              <w:t>31</w:t>
            </w:r>
          </w:p>
        </w:tc>
        <w:tc>
          <w:tcPr>
            <w:tcW w:w="539" w:type="pct"/>
            <w:vAlign w:val="center"/>
          </w:tcPr>
          <w:p w:rsidR="00565FD5" w:rsidRPr="001131FC" w:rsidRDefault="00565FD5" w:rsidP="00AB62A3">
            <w:pPr>
              <w:jc w:val="right"/>
              <w:rPr>
                <w:rFonts w:cs="Tahoma"/>
                <w:sz w:val="14"/>
                <w:szCs w:val="16"/>
              </w:rPr>
            </w:pPr>
            <w:r w:rsidRPr="001131FC">
              <w:rPr>
                <w:rFonts w:cs="Tahoma"/>
                <w:sz w:val="14"/>
                <w:szCs w:val="16"/>
              </w:rPr>
              <w:t>165</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5 554</w:t>
            </w:r>
          </w:p>
        </w:tc>
        <w:tc>
          <w:tcPr>
            <w:tcW w:w="360" w:type="pct"/>
            <w:vAlign w:val="center"/>
          </w:tcPr>
          <w:p w:rsidR="00565FD5" w:rsidRPr="001131FC" w:rsidRDefault="00565FD5" w:rsidP="00AB62A3">
            <w:pPr>
              <w:jc w:val="right"/>
              <w:rPr>
                <w:rFonts w:cs="Tahoma"/>
                <w:sz w:val="14"/>
                <w:szCs w:val="16"/>
              </w:rPr>
            </w:pPr>
            <w:r w:rsidRPr="001131FC">
              <w:rPr>
                <w:rFonts w:cs="Tahoma"/>
                <w:sz w:val="14"/>
                <w:szCs w:val="16"/>
              </w:rPr>
              <w:t>13,0</w:t>
            </w:r>
          </w:p>
        </w:tc>
        <w:tc>
          <w:tcPr>
            <w:tcW w:w="479" w:type="pct"/>
            <w:vAlign w:val="center"/>
          </w:tcPr>
          <w:p w:rsidR="00565FD5" w:rsidRPr="001131FC" w:rsidRDefault="00565FD5" w:rsidP="00AB62A3">
            <w:pPr>
              <w:jc w:val="right"/>
              <w:rPr>
                <w:rFonts w:cs="Tahoma"/>
                <w:sz w:val="14"/>
                <w:szCs w:val="16"/>
              </w:rPr>
            </w:pPr>
            <w:r w:rsidRPr="001131FC">
              <w:rPr>
                <w:rFonts w:cs="Tahoma"/>
                <w:sz w:val="14"/>
                <w:szCs w:val="16"/>
              </w:rPr>
              <w:t>6 096</w:t>
            </w:r>
          </w:p>
        </w:tc>
        <w:tc>
          <w:tcPr>
            <w:tcW w:w="412" w:type="pct"/>
            <w:vAlign w:val="center"/>
          </w:tcPr>
          <w:p w:rsidR="00565FD5" w:rsidRPr="001131FC" w:rsidRDefault="00565FD5" w:rsidP="00AB62A3">
            <w:pPr>
              <w:jc w:val="right"/>
              <w:rPr>
                <w:rFonts w:cs="Tahoma"/>
                <w:sz w:val="14"/>
                <w:szCs w:val="16"/>
              </w:rPr>
            </w:pPr>
            <w:r w:rsidRPr="001131FC">
              <w:rPr>
                <w:rFonts w:cs="Tahoma"/>
                <w:sz w:val="14"/>
                <w:szCs w:val="16"/>
              </w:rPr>
              <w:t>11 650</w:t>
            </w:r>
          </w:p>
        </w:tc>
        <w:tc>
          <w:tcPr>
            <w:tcW w:w="366" w:type="pct"/>
            <w:tcBorders>
              <w:right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20,2</w:t>
            </w:r>
          </w:p>
        </w:tc>
      </w:tr>
      <w:tr w:rsidR="00565FD5" w:rsidRPr="001131FC" w:rsidTr="00AB62A3">
        <w:trPr>
          <w:trHeight w:val="321"/>
        </w:trPr>
        <w:tc>
          <w:tcPr>
            <w:tcW w:w="586" w:type="pct"/>
            <w:tcBorders>
              <w:top w:val="single" w:sz="4" w:space="0" w:color="auto"/>
              <w:left w:val="single" w:sz="4" w:space="0" w:color="auto"/>
              <w:bottom w:val="single" w:sz="4" w:space="0" w:color="auto"/>
            </w:tcBorders>
            <w:vAlign w:val="center"/>
          </w:tcPr>
          <w:p w:rsidR="00565FD5" w:rsidRPr="001131FC" w:rsidRDefault="00565FD5" w:rsidP="00AB62A3">
            <w:pPr>
              <w:rPr>
                <w:rFonts w:cs="Tahoma"/>
                <w:b/>
                <w:snapToGrid w:val="0"/>
                <w:sz w:val="14"/>
                <w:szCs w:val="16"/>
              </w:rPr>
            </w:pPr>
            <w:r w:rsidRPr="001131FC">
              <w:rPr>
                <w:rFonts w:cs="Tahoma"/>
                <w:b/>
                <w:snapToGrid w:val="0"/>
                <w:sz w:val="14"/>
                <w:szCs w:val="16"/>
              </w:rPr>
              <w:t>Toplam</w:t>
            </w:r>
          </w:p>
        </w:tc>
        <w:tc>
          <w:tcPr>
            <w:tcW w:w="49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33 037</w:t>
            </w:r>
          </w:p>
        </w:tc>
        <w:tc>
          <w:tcPr>
            <w:tcW w:w="49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7 260</w:t>
            </w:r>
          </w:p>
        </w:tc>
        <w:tc>
          <w:tcPr>
            <w:tcW w:w="41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756</w:t>
            </w:r>
          </w:p>
        </w:tc>
        <w:tc>
          <w:tcPr>
            <w:tcW w:w="421"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31</w:t>
            </w:r>
          </w:p>
        </w:tc>
        <w:tc>
          <w:tcPr>
            <w:tcW w:w="53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1 494</w:t>
            </w:r>
          </w:p>
        </w:tc>
        <w:tc>
          <w:tcPr>
            <w:tcW w:w="41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42 578</w:t>
            </w:r>
          </w:p>
        </w:tc>
        <w:tc>
          <w:tcPr>
            <w:tcW w:w="360"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100,0</w:t>
            </w:r>
          </w:p>
        </w:tc>
        <w:tc>
          <w:tcPr>
            <w:tcW w:w="47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15 110</w:t>
            </w:r>
          </w:p>
        </w:tc>
        <w:tc>
          <w:tcPr>
            <w:tcW w:w="412"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57 688</w:t>
            </w:r>
          </w:p>
        </w:tc>
        <w:tc>
          <w:tcPr>
            <w:tcW w:w="366" w:type="pct"/>
            <w:tcBorders>
              <w:top w:val="single" w:sz="4" w:space="0" w:color="auto"/>
              <w:bottom w:val="single" w:sz="4" w:space="0" w:color="auto"/>
              <w:right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100,0</w:t>
            </w:r>
          </w:p>
        </w:tc>
      </w:tr>
      <w:tr w:rsidR="00565FD5" w:rsidRPr="001131FC" w:rsidTr="00AB62A3">
        <w:trPr>
          <w:trHeight w:val="321"/>
        </w:trPr>
        <w:tc>
          <w:tcPr>
            <w:tcW w:w="586" w:type="pct"/>
            <w:tcBorders>
              <w:top w:val="single" w:sz="4" w:space="0" w:color="auto"/>
              <w:left w:val="single" w:sz="4" w:space="0" w:color="auto"/>
              <w:bottom w:val="single" w:sz="4" w:space="0" w:color="auto"/>
            </w:tcBorders>
            <w:vAlign w:val="center"/>
          </w:tcPr>
          <w:p w:rsidR="00565FD5" w:rsidRPr="001131FC" w:rsidRDefault="00565FD5" w:rsidP="00AB62A3">
            <w:pPr>
              <w:rPr>
                <w:rFonts w:cs="Tahoma"/>
                <w:b/>
                <w:snapToGrid w:val="0"/>
                <w:sz w:val="14"/>
                <w:szCs w:val="16"/>
              </w:rPr>
            </w:pPr>
            <w:r w:rsidRPr="001131FC">
              <w:rPr>
                <w:rFonts w:cs="Tahoma"/>
                <w:b/>
                <w:snapToGrid w:val="0"/>
                <w:sz w:val="14"/>
                <w:szCs w:val="16"/>
              </w:rPr>
              <w:t>Yüzde Dağılım</w:t>
            </w:r>
          </w:p>
        </w:tc>
        <w:tc>
          <w:tcPr>
            <w:tcW w:w="49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77,6</w:t>
            </w:r>
          </w:p>
        </w:tc>
        <w:tc>
          <w:tcPr>
            <w:tcW w:w="49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17,1</w:t>
            </w:r>
          </w:p>
        </w:tc>
        <w:tc>
          <w:tcPr>
            <w:tcW w:w="41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1,8</w:t>
            </w:r>
          </w:p>
        </w:tc>
        <w:tc>
          <w:tcPr>
            <w:tcW w:w="421"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0,1</w:t>
            </w:r>
          </w:p>
        </w:tc>
        <w:tc>
          <w:tcPr>
            <w:tcW w:w="53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3,5</w:t>
            </w:r>
          </w:p>
        </w:tc>
        <w:tc>
          <w:tcPr>
            <w:tcW w:w="41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100,0</w:t>
            </w:r>
          </w:p>
        </w:tc>
        <w:tc>
          <w:tcPr>
            <w:tcW w:w="360"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 </w:t>
            </w:r>
          </w:p>
        </w:tc>
        <w:tc>
          <w:tcPr>
            <w:tcW w:w="47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 </w:t>
            </w:r>
          </w:p>
        </w:tc>
        <w:tc>
          <w:tcPr>
            <w:tcW w:w="412"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 </w:t>
            </w:r>
          </w:p>
        </w:tc>
        <w:tc>
          <w:tcPr>
            <w:tcW w:w="366" w:type="pct"/>
            <w:tcBorders>
              <w:top w:val="single" w:sz="4" w:space="0" w:color="auto"/>
              <w:bottom w:val="single" w:sz="4" w:space="0" w:color="auto"/>
              <w:right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 </w:t>
            </w:r>
          </w:p>
        </w:tc>
      </w:tr>
      <w:tr w:rsidR="00565FD5" w:rsidRPr="001131FC" w:rsidTr="00AB62A3">
        <w:trPr>
          <w:trHeight w:val="321"/>
        </w:trPr>
        <w:tc>
          <w:tcPr>
            <w:tcW w:w="586" w:type="pct"/>
            <w:tcBorders>
              <w:top w:val="single" w:sz="4" w:space="0" w:color="auto"/>
              <w:left w:val="single" w:sz="4" w:space="0" w:color="auto"/>
              <w:bottom w:val="single" w:sz="4" w:space="0" w:color="auto"/>
            </w:tcBorders>
            <w:vAlign w:val="center"/>
          </w:tcPr>
          <w:p w:rsidR="00565FD5" w:rsidRPr="001131FC" w:rsidRDefault="00565FD5" w:rsidP="00AB62A3">
            <w:pPr>
              <w:rPr>
                <w:rFonts w:cs="Tahoma"/>
                <w:b/>
                <w:snapToGrid w:val="0"/>
                <w:sz w:val="14"/>
                <w:szCs w:val="16"/>
              </w:rPr>
            </w:pPr>
            <w:r w:rsidRPr="001131FC">
              <w:rPr>
                <w:rFonts w:cs="Tahoma"/>
                <w:b/>
                <w:snapToGrid w:val="0"/>
                <w:sz w:val="14"/>
                <w:szCs w:val="16"/>
              </w:rPr>
              <w:lastRenderedPageBreak/>
              <w:t>Yüzde Dağılım</w:t>
            </w:r>
          </w:p>
        </w:tc>
        <w:tc>
          <w:tcPr>
            <w:tcW w:w="49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57,3</w:t>
            </w:r>
          </w:p>
        </w:tc>
        <w:tc>
          <w:tcPr>
            <w:tcW w:w="49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12,6</w:t>
            </w:r>
          </w:p>
        </w:tc>
        <w:tc>
          <w:tcPr>
            <w:tcW w:w="41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1,3</w:t>
            </w:r>
          </w:p>
        </w:tc>
        <w:tc>
          <w:tcPr>
            <w:tcW w:w="421"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0,1</w:t>
            </w:r>
          </w:p>
        </w:tc>
        <w:tc>
          <w:tcPr>
            <w:tcW w:w="53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2,6</w:t>
            </w:r>
          </w:p>
        </w:tc>
        <w:tc>
          <w:tcPr>
            <w:tcW w:w="41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73,8</w:t>
            </w:r>
          </w:p>
        </w:tc>
        <w:tc>
          <w:tcPr>
            <w:tcW w:w="360"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 </w:t>
            </w:r>
          </w:p>
        </w:tc>
        <w:tc>
          <w:tcPr>
            <w:tcW w:w="47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26,2</w:t>
            </w:r>
          </w:p>
        </w:tc>
        <w:tc>
          <w:tcPr>
            <w:tcW w:w="412"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100,0</w:t>
            </w:r>
          </w:p>
        </w:tc>
        <w:tc>
          <w:tcPr>
            <w:tcW w:w="366" w:type="pct"/>
            <w:tcBorders>
              <w:top w:val="single" w:sz="4" w:space="0" w:color="auto"/>
              <w:bottom w:val="single" w:sz="4" w:space="0" w:color="auto"/>
              <w:right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 </w:t>
            </w:r>
          </w:p>
        </w:tc>
      </w:tr>
    </w:tbl>
    <w:p w:rsidR="00565FD5" w:rsidRPr="001131FC" w:rsidRDefault="00565FD5" w:rsidP="00565FD5">
      <w:pPr>
        <w:rPr>
          <w:rFonts w:cs="Tahoma"/>
          <w:snapToGrid w:val="0"/>
          <w:sz w:val="14"/>
          <w:szCs w:val="14"/>
        </w:rPr>
      </w:pPr>
      <w:r w:rsidRPr="001131FC">
        <w:rPr>
          <w:rFonts w:cs="Tahoma"/>
          <w:snapToGrid w:val="0"/>
          <w:sz w:val="14"/>
          <w:szCs w:val="14"/>
        </w:rPr>
        <w:t>Kaynak: Kalkınma Bakanlığı</w:t>
      </w:r>
    </w:p>
    <w:p w:rsidR="00565FD5" w:rsidRPr="001131FC" w:rsidRDefault="00565FD5" w:rsidP="00565FD5">
      <w:pPr>
        <w:rPr>
          <w:rFonts w:cs="Tahoma"/>
          <w:snapToGrid w:val="0"/>
          <w:sz w:val="14"/>
          <w:szCs w:val="14"/>
        </w:rPr>
      </w:pPr>
      <w:r w:rsidRPr="001131FC">
        <w:rPr>
          <w:rFonts w:cs="Tahoma"/>
          <w:snapToGrid w:val="0"/>
          <w:sz w:val="14"/>
          <w:szCs w:val="14"/>
        </w:rPr>
        <w:t>(1) Gerçekleşme tahmini</w:t>
      </w:r>
    </w:p>
    <w:p w:rsidR="00565FD5" w:rsidRPr="001131FC" w:rsidRDefault="00565FD5" w:rsidP="00565FD5">
      <w:pPr>
        <w:rPr>
          <w:rFonts w:cs="Tahoma"/>
          <w:sz w:val="14"/>
          <w:szCs w:val="14"/>
        </w:rPr>
      </w:pPr>
      <w:r w:rsidRPr="001131FC">
        <w:rPr>
          <w:rFonts w:cs="Tahoma"/>
          <w:snapToGrid w:val="0"/>
          <w:sz w:val="14"/>
          <w:szCs w:val="14"/>
        </w:rPr>
        <w:t>(2) Yatırım işçiliği hariç</w:t>
      </w:r>
    </w:p>
    <w:p w:rsidR="00565FD5" w:rsidRPr="001131FC" w:rsidRDefault="00565FD5" w:rsidP="00565FD5">
      <w:pPr>
        <w:tabs>
          <w:tab w:val="left" w:pos="567"/>
        </w:tabs>
        <w:spacing w:after="120"/>
        <w:rPr>
          <w:rFonts w:cs="Tahoma"/>
          <w:szCs w:val="18"/>
        </w:rPr>
      </w:pPr>
    </w:p>
    <w:p w:rsidR="00565FD5" w:rsidRPr="001131FC" w:rsidRDefault="00565FD5" w:rsidP="00565FD5">
      <w:pPr>
        <w:spacing w:after="120"/>
        <w:ind w:left="283"/>
        <w:rPr>
          <w:rFonts w:cs="Tahoma"/>
          <w:szCs w:val="18"/>
        </w:rPr>
        <w:sectPr w:rsidR="00565FD5" w:rsidRPr="001131FC" w:rsidSect="00B50093">
          <w:pgSz w:w="16838" w:h="11906" w:orient="landscape" w:code="9"/>
          <w:pgMar w:top="2381" w:right="2948" w:bottom="2381" w:left="2948" w:header="1985" w:footer="1985" w:gutter="0"/>
          <w:cols w:space="708"/>
          <w:noEndnote/>
        </w:sectPr>
      </w:pPr>
    </w:p>
    <w:p w:rsidR="00565FD5" w:rsidRDefault="00565FD5" w:rsidP="00565FD5">
      <w:pPr>
        <w:rPr>
          <w:rFonts w:cs="Tahoma"/>
          <w:snapToGrid w:val="0"/>
          <w:sz w:val="14"/>
          <w:szCs w:val="18"/>
        </w:rPr>
      </w:pPr>
      <w:bookmarkStart w:id="472" w:name="_Toc149926705"/>
      <w:bookmarkStart w:id="473" w:name="_Toc150099336"/>
      <w:bookmarkStart w:id="474" w:name="_Toc181274092"/>
      <w:bookmarkStart w:id="475" w:name="_Toc181286371"/>
      <w:bookmarkStart w:id="476" w:name="_Toc213071581"/>
      <w:bookmarkStart w:id="477" w:name="_Toc244339787"/>
      <w:bookmarkStart w:id="478" w:name="_Toc275873814"/>
      <w:bookmarkStart w:id="479" w:name="_Toc276076438"/>
      <w:bookmarkStart w:id="480" w:name="_Toc307601602"/>
      <w:bookmarkStart w:id="481" w:name="_Toc307657844"/>
      <w:bookmarkStart w:id="482" w:name="_Toc307713509"/>
    </w:p>
    <w:p w:rsidR="00565FD5" w:rsidRPr="00557693" w:rsidRDefault="00565FD5" w:rsidP="00565FD5">
      <w:pPr>
        <w:rPr>
          <w:rFonts w:cs="Tahoma"/>
          <w:snapToGrid w:val="0"/>
          <w:sz w:val="14"/>
          <w:szCs w:val="18"/>
        </w:rPr>
      </w:pPr>
    </w:p>
    <w:p w:rsidR="00565FD5" w:rsidRPr="001131FC" w:rsidRDefault="00565FD5" w:rsidP="00565FD5">
      <w:pPr>
        <w:pStyle w:val="ResimYazs"/>
        <w:rPr>
          <w:b w:val="0"/>
          <w:snapToGrid w:val="0"/>
        </w:rPr>
      </w:pPr>
      <w:bookmarkStart w:id="483" w:name="_Toc338605964"/>
      <w:bookmarkStart w:id="484" w:name="_Toc338711739"/>
      <w:r>
        <w:t xml:space="preserve">TABLO II: </w:t>
      </w:r>
      <w:fldSimple w:instr=" SEQ TABLO_II: \* ARABIC ">
        <w:r>
          <w:rPr>
            <w:noProof/>
          </w:rPr>
          <w:t>12</w:t>
        </w:r>
      </w:fldSimple>
      <w:r w:rsidRPr="00557693">
        <w:t>-</w:t>
      </w:r>
      <w:r w:rsidRPr="00557693">
        <w:rPr>
          <w:snapToGrid w:val="0"/>
        </w:rPr>
        <w:t xml:space="preserve"> Kamu Sabit Sermaye Yatırımları (2013)</w:t>
      </w:r>
      <w:r w:rsidRPr="001131FC">
        <w:rPr>
          <w:b w:val="0"/>
          <w:snapToGrid w:val="0"/>
        </w:rPr>
        <w:t xml:space="preserve"> (1)</w:t>
      </w:r>
      <w:bookmarkEnd w:id="472"/>
      <w:bookmarkEnd w:id="473"/>
      <w:bookmarkEnd w:id="474"/>
      <w:bookmarkEnd w:id="475"/>
      <w:bookmarkEnd w:id="476"/>
      <w:bookmarkEnd w:id="477"/>
      <w:bookmarkEnd w:id="478"/>
      <w:bookmarkEnd w:id="479"/>
      <w:bookmarkEnd w:id="480"/>
      <w:bookmarkEnd w:id="481"/>
      <w:bookmarkEnd w:id="482"/>
      <w:bookmarkEnd w:id="483"/>
      <w:bookmarkEnd w:id="484"/>
    </w:p>
    <w:p w:rsidR="00565FD5" w:rsidRPr="001131FC" w:rsidRDefault="00565FD5" w:rsidP="00565FD5">
      <w:pPr>
        <w:ind w:right="-36"/>
        <w:jc w:val="right"/>
        <w:rPr>
          <w:rFonts w:cs="Tahoma"/>
          <w:snapToGrid w:val="0"/>
          <w:sz w:val="14"/>
          <w:szCs w:val="14"/>
        </w:rPr>
      </w:pPr>
      <w:r w:rsidRPr="001131FC">
        <w:rPr>
          <w:rFonts w:cs="Tahoma"/>
          <w:snapToGrid w:val="0"/>
          <w:sz w:val="14"/>
          <w:szCs w:val="14"/>
        </w:rPr>
        <w:t xml:space="preserve"> (Cari Fiyatlarla, Milyon TL)</w:t>
      </w:r>
    </w:p>
    <w:tbl>
      <w:tblPr>
        <w:tblW w:w="4969" w:type="pct"/>
        <w:tblInd w:w="57" w:type="dxa"/>
        <w:tblCellMar>
          <w:left w:w="57" w:type="dxa"/>
          <w:right w:w="57" w:type="dxa"/>
        </w:tblCellMar>
        <w:tblLook w:val="0000"/>
      </w:tblPr>
      <w:tblGrid>
        <w:gridCol w:w="1449"/>
        <w:gridCol w:w="1075"/>
        <w:gridCol w:w="1042"/>
        <w:gridCol w:w="886"/>
        <w:gridCol w:w="921"/>
        <w:gridCol w:w="1182"/>
        <w:gridCol w:w="921"/>
        <w:gridCol w:w="672"/>
        <w:gridCol w:w="1055"/>
        <w:gridCol w:w="923"/>
        <w:gridCol w:w="861"/>
      </w:tblGrid>
      <w:tr w:rsidR="00565FD5" w:rsidRPr="001131FC" w:rsidTr="00AB62A3">
        <w:trPr>
          <w:trHeight w:val="381"/>
        </w:trPr>
        <w:tc>
          <w:tcPr>
            <w:tcW w:w="660" w:type="pct"/>
            <w:tcBorders>
              <w:top w:val="single" w:sz="4" w:space="0" w:color="auto"/>
              <w:left w:val="single" w:sz="4" w:space="0" w:color="auto"/>
              <w:bottom w:val="single" w:sz="4" w:space="0" w:color="auto"/>
            </w:tcBorders>
            <w:vAlign w:val="center"/>
          </w:tcPr>
          <w:p w:rsidR="00565FD5" w:rsidRPr="001131FC" w:rsidRDefault="00565FD5" w:rsidP="00AB62A3">
            <w:pPr>
              <w:rPr>
                <w:rFonts w:cs="Tahoma"/>
                <w:b/>
                <w:sz w:val="14"/>
                <w:szCs w:val="16"/>
              </w:rPr>
            </w:pPr>
            <w:r w:rsidRPr="001131FC">
              <w:rPr>
                <w:rFonts w:cs="Tahoma"/>
                <w:b/>
                <w:sz w:val="14"/>
                <w:szCs w:val="16"/>
              </w:rPr>
              <w:t>Sektörler</w:t>
            </w:r>
          </w:p>
        </w:tc>
        <w:tc>
          <w:tcPr>
            <w:tcW w:w="489" w:type="pct"/>
            <w:tcBorders>
              <w:top w:val="single" w:sz="4" w:space="0" w:color="auto"/>
              <w:bottom w:val="single" w:sz="4" w:space="0" w:color="auto"/>
            </w:tcBorders>
            <w:vAlign w:val="center"/>
          </w:tcPr>
          <w:p w:rsidR="00565FD5" w:rsidRPr="001131FC" w:rsidRDefault="00565FD5" w:rsidP="00AB62A3">
            <w:pPr>
              <w:ind w:left="-52"/>
              <w:jc w:val="right"/>
              <w:rPr>
                <w:rFonts w:cs="Tahoma"/>
                <w:b/>
                <w:snapToGrid w:val="0"/>
                <w:sz w:val="14"/>
                <w:szCs w:val="16"/>
              </w:rPr>
            </w:pPr>
            <w:r w:rsidRPr="001131FC">
              <w:rPr>
                <w:rFonts w:cs="Tahoma"/>
                <w:b/>
                <w:snapToGrid w:val="0"/>
                <w:sz w:val="14"/>
                <w:szCs w:val="16"/>
              </w:rPr>
              <w:t>Merkezi</w:t>
            </w:r>
          </w:p>
          <w:p w:rsidR="00565FD5" w:rsidRPr="001131FC" w:rsidRDefault="00565FD5" w:rsidP="00AB62A3">
            <w:pPr>
              <w:ind w:left="-52"/>
              <w:jc w:val="right"/>
              <w:rPr>
                <w:rFonts w:cs="Tahoma"/>
                <w:b/>
                <w:snapToGrid w:val="0"/>
                <w:sz w:val="14"/>
                <w:szCs w:val="16"/>
              </w:rPr>
            </w:pPr>
            <w:r w:rsidRPr="001131FC">
              <w:rPr>
                <w:rFonts w:cs="Tahoma"/>
                <w:b/>
                <w:snapToGrid w:val="0"/>
                <w:sz w:val="14"/>
                <w:szCs w:val="16"/>
              </w:rPr>
              <w:t>Yönetim (2)</w:t>
            </w:r>
          </w:p>
        </w:tc>
        <w:tc>
          <w:tcPr>
            <w:tcW w:w="474" w:type="pct"/>
            <w:tcBorders>
              <w:top w:val="single" w:sz="4" w:space="0" w:color="auto"/>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İşletmeci KİT’ler</w:t>
            </w:r>
          </w:p>
        </w:tc>
        <w:tc>
          <w:tcPr>
            <w:tcW w:w="403" w:type="pct"/>
            <w:tcBorders>
              <w:top w:val="single" w:sz="4" w:space="0" w:color="auto"/>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Özelleş.</w:t>
            </w:r>
          </w:p>
          <w:p w:rsidR="00565FD5" w:rsidRPr="001131FC" w:rsidRDefault="00565FD5" w:rsidP="00AB62A3">
            <w:pPr>
              <w:jc w:val="right"/>
              <w:rPr>
                <w:rFonts w:cs="Tahoma"/>
                <w:b/>
                <w:snapToGrid w:val="0"/>
                <w:sz w:val="14"/>
                <w:szCs w:val="16"/>
              </w:rPr>
            </w:pPr>
            <w:r w:rsidRPr="001131FC">
              <w:rPr>
                <w:rFonts w:cs="Tahoma"/>
                <w:b/>
                <w:snapToGrid w:val="0"/>
                <w:sz w:val="14"/>
                <w:szCs w:val="16"/>
              </w:rPr>
              <w:t>Kapsam. Kuruluş.</w:t>
            </w:r>
          </w:p>
        </w:tc>
        <w:tc>
          <w:tcPr>
            <w:tcW w:w="419" w:type="pct"/>
            <w:tcBorders>
              <w:top w:val="single" w:sz="4" w:space="0" w:color="auto"/>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İller</w:t>
            </w:r>
          </w:p>
          <w:p w:rsidR="00565FD5" w:rsidRPr="001131FC" w:rsidRDefault="00565FD5" w:rsidP="00AB62A3">
            <w:pPr>
              <w:jc w:val="right"/>
              <w:rPr>
                <w:rFonts w:cs="Tahoma"/>
                <w:b/>
                <w:snapToGrid w:val="0"/>
                <w:sz w:val="14"/>
                <w:szCs w:val="16"/>
              </w:rPr>
            </w:pPr>
            <w:r w:rsidRPr="001131FC">
              <w:rPr>
                <w:rFonts w:cs="Tahoma"/>
                <w:b/>
                <w:snapToGrid w:val="0"/>
                <w:sz w:val="14"/>
                <w:szCs w:val="16"/>
              </w:rPr>
              <w:t>Bankası</w:t>
            </w:r>
          </w:p>
        </w:tc>
        <w:tc>
          <w:tcPr>
            <w:tcW w:w="538" w:type="pct"/>
            <w:tcBorders>
              <w:top w:val="single" w:sz="4" w:space="0" w:color="auto"/>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 xml:space="preserve">Döner Sermaye </w:t>
            </w:r>
          </w:p>
          <w:p w:rsidR="00565FD5" w:rsidRPr="001131FC" w:rsidRDefault="00565FD5" w:rsidP="00AB62A3">
            <w:pPr>
              <w:jc w:val="right"/>
              <w:rPr>
                <w:rFonts w:cs="Tahoma"/>
                <w:b/>
                <w:snapToGrid w:val="0"/>
                <w:sz w:val="14"/>
                <w:szCs w:val="16"/>
              </w:rPr>
            </w:pPr>
            <w:r w:rsidRPr="001131FC">
              <w:rPr>
                <w:rFonts w:cs="Tahoma"/>
                <w:b/>
                <w:snapToGrid w:val="0"/>
                <w:sz w:val="14"/>
                <w:szCs w:val="16"/>
              </w:rPr>
              <w:t>+ SGK</w:t>
            </w:r>
          </w:p>
        </w:tc>
        <w:tc>
          <w:tcPr>
            <w:tcW w:w="419" w:type="pct"/>
            <w:tcBorders>
              <w:top w:val="single" w:sz="4" w:space="0" w:color="auto"/>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ALT</w:t>
            </w:r>
          </w:p>
          <w:p w:rsidR="00565FD5" w:rsidRPr="001131FC" w:rsidRDefault="00565FD5" w:rsidP="00AB62A3">
            <w:pPr>
              <w:jc w:val="right"/>
              <w:rPr>
                <w:rFonts w:cs="Tahoma"/>
                <w:b/>
                <w:snapToGrid w:val="0"/>
                <w:sz w:val="14"/>
                <w:szCs w:val="16"/>
              </w:rPr>
            </w:pPr>
            <w:r w:rsidRPr="001131FC">
              <w:rPr>
                <w:rFonts w:cs="Tahoma"/>
                <w:b/>
                <w:snapToGrid w:val="0"/>
                <w:sz w:val="14"/>
                <w:szCs w:val="16"/>
              </w:rPr>
              <w:t>TOPLAM</w:t>
            </w:r>
          </w:p>
        </w:tc>
        <w:tc>
          <w:tcPr>
            <w:tcW w:w="306" w:type="pct"/>
            <w:tcBorders>
              <w:top w:val="single" w:sz="4" w:space="0" w:color="auto"/>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Yüzde</w:t>
            </w:r>
          </w:p>
          <w:p w:rsidR="00565FD5" w:rsidRPr="001131FC" w:rsidRDefault="00565FD5" w:rsidP="00AB62A3">
            <w:pPr>
              <w:jc w:val="right"/>
              <w:rPr>
                <w:rFonts w:cs="Tahoma"/>
                <w:b/>
                <w:snapToGrid w:val="0"/>
                <w:sz w:val="14"/>
                <w:szCs w:val="16"/>
              </w:rPr>
            </w:pPr>
            <w:r w:rsidRPr="001131FC">
              <w:rPr>
                <w:rFonts w:cs="Tahoma"/>
                <w:b/>
                <w:snapToGrid w:val="0"/>
                <w:sz w:val="14"/>
                <w:szCs w:val="16"/>
              </w:rPr>
              <w:t>Pay</w:t>
            </w:r>
          </w:p>
        </w:tc>
        <w:tc>
          <w:tcPr>
            <w:tcW w:w="480" w:type="pct"/>
            <w:tcBorders>
              <w:top w:val="single" w:sz="4" w:space="0" w:color="auto"/>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Mahalli</w:t>
            </w:r>
          </w:p>
          <w:p w:rsidR="00565FD5" w:rsidRPr="001131FC" w:rsidRDefault="00565FD5" w:rsidP="00AB62A3">
            <w:pPr>
              <w:jc w:val="right"/>
              <w:rPr>
                <w:rFonts w:cs="Tahoma"/>
                <w:b/>
                <w:snapToGrid w:val="0"/>
                <w:sz w:val="14"/>
                <w:szCs w:val="16"/>
              </w:rPr>
            </w:pPr>
            <w:r w:rsidRPr="001131FC">
              <w:rPr>
                <w:rFonts w:cs="Tahoma"/>
                <w:b/>
                <w:snapToGrid w:val="0"/>
                <w:sz w:val="14"/>
                <w:szCs w:val="16"/>
              </w:rPr>
              <w:t>İdareler</w:t>
            </w:r>
          </w:p>
        </w:tc>
        <w:tc>
          <w:tcPr>
            <w:tcW w:w="420" w:type="pct"/>
            <w:tcBorders>
              <w:top w:val="single" w:sz="4" w:space="0" w:color="auto"/>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TOPLAM</w:t>
            </w:r>
          </w:p>
          <w:p w:rsidR="00565FD5" w:rsidRPr="001131FC" w:rsidRDefault="00565FD5" w:rsidP="00AB62A3">
            <w:pPr>
              <w:jc w:val="right"/>
              <w:rPr>
                <w:rFonts w:cs="Tahoma"/>
                <w:b/>
                <w:snapToGrid w:val="0"/>
                <w:sz w:val="14"/>
                <w:szCs w:val="16"/>
              </w:rPr>
            </w:pPr>
            <w:r w:rsidRPr="001131FC">
              <w:rPr>
                <w:rFonts w:cs="Tahoma"/>
                <w:b/>
                <w:snapToGrid w:val="0"/>
                <w:sz w:val="14"/>
                <w:szCs w:val="16"/>
              </w:rPr>
              <w:t>KAMU</w:t>
            </w:r>
          </w:p>
        </w:tc>
        <w:tc>
          <w:tcPr>
            <w:tcW w:w="392" w:type="pct"/>
            <w:tcBorders>
              <w:top w:val="single" w:sz="4" w:space="0" w:color="auto"/>
              <w:bottom w:val="single" w:sz="4" w:space="0" w:color="auto"/>
              <w:right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Yüzde</w:t>
            </w:r>
          </w:p>
          <w:p w:rsidR="00565FD5" w:rsidRPr="001131FC" w:rsidRDefault="00565FD5" w:rsidP="00AB62A3">
            <w:pPr>
              <w:jc w:val="right"/>
              <w:rPr>
                <w:rFonts w:cs="Tahoma"/>
                <w:b/>
                <w:snapToGrid w:val="0"/>
                <w:sz w:val="14"/>
                <w:szCs w:val="16"/>
              </w:rPr>
            </w:pPr>
            <w:r w:rsidRPr="001131FC">
              <w:rPr>
                <w:rFonts w:cs="Tahoma"/>
                <w:b/>
                <w:snapToGrid w:val="0"/>
                <w:sz w:val="14"/>
                <w:szCs w:val="16"/>
              </w:rPr>
              <w:t>Pay</w:t>
            </w:r>
          </w:p>
        </w:tc>
      </w:tr>
      <w:tr w:rsidR="00565FD5" w:rsidRPr="001131FC" w:rsidTr="00AB62A3">
        <w:trPr>
          <w:trHeight w:val="326"/>
        </w:trPr>
        <w:tc>
          <w:tcPr>
            <w:tcW w:w="660" w:type="pct"/>
            <w:tcBorders>
              <w:left w:val="single" w:sz="4" w:space="0" w:color="auto"/>
            </w:tcBorders>
            <w:vAlign w:val="center"/>
          </w:tcPr>
          <w:p w:rsidR="00565FD5" w:rsidRPr="001131FC" w:rsidRDefault="00565FD5" w:rsidP="00AB62A3">
            <w:pPr>
              <w:rPr>
                <w:rFonts w:cs="Tahoma"/>
                <w:snapToGrid w:val="0"/>
                <w:sz w:val="14"/>
                <w:szCs w:val="18"/>
              </w:rPr>
            </w:pPr>
            <w:r w:rsidRPr="001131FC">
              <w:rPr>
                <w:rFonts w:cs="Tahoma"/>
                <w:snapToGrid w:val="0"/>
                <w:sz w:val="14"/>
                <w:szCs w:val="18"/>
              </w:rPr>
              <w:t>Tarım</w:t>
            </w:r>
          </w:p>
        </w:tc>
        <w:tc>
          <w:tcPr>
            <w:tcW w:w="489" w:type="pct"/>
            <w:vAlign w:val="center"/>
          </w:tcPr>
          <w:p w:rsidR="00565FD5" w:rsidRPr="001131FC" w:rsidRDefault="00565FD5" w:rsidP="00AB62A3">
            <w:pPr>
              <w:jc w:val="right"/>
              <w:rPr>
                <w:rFonts w:cs="Tahoma"/>
                <w:sz w:val="14"/>
                <w:szCs w:val="16"/>
              </w:rPr>
            </w:pPr>
            <w:r w:rsidRPr="001131FC">
              <w:rPr>
                <w:rFonts w:cs="Tahoma"/>
                <w:sz w:val="14"/>
                <w:szCs w:val="16"/>
              </w:rPr>
              <w:t>5 193</w:t>
            </w:r>
          </w:p>
        </w:tc>
        <w:tc>
          <w:tcPr>
            <w:tcW w:w="474" w:type="pct"/>
            <w:vAlign w:val="center"/>
          </w:tcPr>
          <w:p w:rsidR="00565FD5" w:rsidRPr="001131FC" w:rsidRDefault="00565FD5" w:rsidP="00AB62A3">
            <w:pPr>
              <w:jc w:val="right"/>
              <w:rPr>
                <w:rFonts w:cs="Tahoma"/>
                <w:sz w:val="14"/>
                <w:szCs w:val="16"/>
              </w:rPr>
            </w:pPr>
            <w:r w:rsidRPr="001131FC">
              <w:rPr>
                <w:rFonts w:cs="Tahoma"/>
                <w:sz w:val="14"/>
                <w:szCs w:val="16"/>
              </w:rPr>
              <w:t>336</w:t>
            </w:r>
          </w:p>
        </w:tc>
        <w:tc>
          <w:tcPr>
            <w:tcW w:w="403" w:type="pct"/>
            <w:vAlign w:val="center"/>
          </w:tcPr>
          <w:p w:rsidR="00565FD5" w:rsidRPr="001131FC" w:rsidRDefault="00565FD5" w:rsidP="00AB62A3">
            <w:pPr>
              <w:jc w:val="right"/>
              <w:rPr>
                <w:rFonts w:cs="Tahoma"/>
                <w:sz w:val="14"/>
                <w:szCs w:val="16"/>
              </w:rPr>
            </w:pPr>
            <w:r w:rsidRPr="001131FC">
              <w:rPr>
                <w:rFonts w:cs="Tahoma"/>
                <w:sz w:val="14"/>
                <w:szCs w:val="16"/>
              </w:rPr>
              <w:t>1</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538" w:type="pct"/>
            <w:vAlign w:val="center"/>
          </w:tcPr>
          <w:p w:rsidR="00565FD5" w:rsidRPr="001131FC" w:rsidRDefault="00565FD5" w:rsidP="00AB62A3">
            <w:pPr>
              <w:jc w:val="right"/>
              <w:rPr>
                <w:rFonts w:cs="Tahoma"/>
                <w:sz w:val="14"/>
                <w:szCs w:val="16"/>
              </w:rPr>
            </w:pPr>
            <w:r w:rsidRPr="001131FC">
              <w:rPr>
                <w:rFonts w:cs="Tahoma"/>
                <w:sz w:val="14"/>
                <w:szCs w:val="16"/>
              </w:rPr>
              <w:t>194</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5 724</w:t>
            </w:r>
          </w:p>
        </w:tc>
        <w:tc>
          <w:tcPr>
            <w:tcW w:w="306" w:type="pct"/>
            <w:vAlign w:val="center"/>
          </w:tcPr>
          <w:p w:rsidR="00565FD5" w:rsidRPr="001131FC" w:rsidRDefault="00565FD5" w:rsidP="00AB62A3">
            <w:pPr>
              <w:jc w:val="right"/>
              <w:rPr>
                <w:rFonts w:cs="Tahoma"/>
                <w:sz w:val="14"/>
                <w:szCs w:val="16"/>
              </w:rPr>
            </w:pPr>
            <w:r w:rsidRPr="001131FC">
              <w:rPr>
                <w:rFonts w:cs="Tahoma"/>
                <w:sz w:val="14"/>
                <w:szCs w:val="16"/>
              </w:rPr>
              <w:t>12,5</w:t>
            </w:r>
          </w:p>
        </w:tc>
        <w:tc>
          <w:tcPr>
            <w:tcW w:w="480" w:type="pct"/>
            <w:vAlign w:val="center"/>
          </w:tcPr>
          <w:p w:rsidR="00565FD5" w:rsidRPr="001131FC" w:rsidRDefault="00565FD5" w:rsidP="00AB62A3">
            <w:pPr>
              <w:jc w:val="right"/>
              <w:rPr>
                <w:rFonts w:cs="Tahoma"/>
                <w:sz w:val="14"/>
                <w:szCs w:val="16"/>
              </w:rPr>
            </w:pPr>
            <w:r w:rsidRPr="001131FC">
              <w:rPr>
                <w:rFonts w:cs="Tahoma"/>
                <w:sz w:val="14"/>
                <w:szCs w:val="16"/>
              </w:rPr>
              <w:t>606</w:t>
            </w:r>
          </w:p>
        </w:tc>
        <w:tc>
          <w:tcPr>
            <w:tcW w:w="420" w:type="pct"/>
            <w:vAlign w:val="center"/>
          </w:tcPr>
          <w:p w:rsidR="00565FD5" w:rsidRPr="001131FC" w:rsidRDefault="00565FD5" w:rsidP="00AB62A3">
            <w:pPr>
              <w:jc w:val="right"/>
              <w:rPr>
                <w:rFonts w:cs="Tahoma"/>
                <w:sz w:val="14"/>
                <w:szCs w:val="16"/>
              </w:rPr>
            </w:pPr>
            <w:r w:rsidRPr="001131FC">
              <w:rPr>
                <w:rFonts w:cs="Tahoma"/>
                <w:sz w:val="14"/>
                <w:szCs w:val="16"/>
              </w:rPr>
              <w:t>6 330</w:t>
            </w:r>
          </w:p>
        </w:tc>
        <w:tc>
          <w:tcPr>
            <w:tcW w:w="392" w:type="pct"/>
            <w:tcBorders>
              <w:right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9,9</w:t>
            </w:r>
          </w:p>
        </w:tc>
      </w:tr>
      <w:tr w:rsidR="00565FD5" w:rsidRPr="001131FC" w:rsidTr="00AB62A3">
        <w:trPr>
          <w:trHeight w:val="326"/>
        </w:trPr>
        <w:tc>
          <w:tcPr>
            <w:tcW w:w="660" w:type="pct"/>
            <w:tcBorders>
              <w:left w:val="single" w:sz="4" w:space="0" w:color="auto"/>
            </w:tcBorders>
            <w:vAlign w:val="center"/>
          </w:tcPr>
          <w:p w:rsidR="00565FD5" w:rsidRPr="001131FC" w:rsidRDefault="00565FD5" w:rsidP="00AB62A3">
            <w:pPr>
              <w:rPr>
                <w:rFonts w:cs="Tahoma"/>
                <w:snapToGrid w:val="0"/>
                <w:sz w:val="14"/>
                <w:szCs w:val="18"/>
              </w:rPr>
            </w:pPr>
            <w:r w:rsidRPr="001131FC">
              <w:rPr>
                <w:rFonts w:cs="Tahoma"/>
                <w:snapToGrid w:val="0"/>
                <w:sz w:val="14"/>
                <w:szCs w:val="18"/>
              </w:rPr>
              <w:t>Madencilik</w:t>
            </w:r>
          </w:p>
        </w:tc>
        <w:tc>
          <w:tcPr>
            <w:tcW w:w="489" w:type="pct"/>
            <w:vAlign w:val="center"/>
          </w:tcPr>
          <w:p w:rsidR="00565FD5" w:rsidRPr="001131FC" w:rsidRDefault="00565FD5" w:rsidP="00AB62A3">
            <w:pPr>
              <w:jc w:val="right"/>
              <w:rPr>
                <w:rFonts w:cs="Tahoma"/>
                <w:sz w:val="14"/>
                <w:szCs w:val="16"/>
              </w:rPr>
            </w:pPr>
            <w:r w:rsidRPr="001131FC">
              <w:rPr>
                <w:rFonts w:cs="Tahoma"/>
                <w:sz w:val="14"/>
                <w:szCs w:val="16"/>
              </w:rPr>
              <w:t>165</w:t>
            </w:r>
          </w:p>
        </w:tc>
        <w:tc>
          <w:tcPr>
            <w:tcW w:w="474" w:type="pct"/>
            <w:vAlign w:val="center"/>
          </w:tcPr>
          <w:p w:rsidR="00565FD5" w:rsidRPr="001131FC" w:rsidRDefault="00565FD5" w:rsidP="00AB62A3">
            <w:pPr>
              <w:jc w:val="right"/>
              <w:rPr>
                <w:rFonts w:cs="Tahoma"/>
                <w:sz w:val="14"/>
                <w:szCs w:val="16"/>
              </w:rPr>
            </w:pPr>
            <w:r w:rsidRPr="001131FC">
              <w:rPr>
                <w:rFonts w:cs="Tahoma"/>
                <w:sz w:val="14"/>
                <w:szCs w:val="16"/>
              </w:rPr>
              <w:t>1 626</w:t>
            </w:r>
          </w:p>
        </w:tc>
        <w:tc>
          <w:tcPr>
            <w:tcW w:w="403"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538"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1 791</w:t>
            </w:r>
          </w:p>
        </w:tc>
        <w:tc>
          <w:tcPr>
            <w:tcW w:w="306" w:type="pct"/>
            <w:vAlign w:val="center"/>
          </w:tcPr>
          <w:p w:rsidR="00565FD5" w:rsidRPr="001131FC" w:rsidRDefault="00565FD5" w:rsidP="00AB62A3">
            <w:pPr>
              <w:jc w:val="right"/>
              <w:rPr>
                <w:rFonts w:cs="Tahoma"/>
                <w:sz w:val="14"/>
                <w:szCs w:val="16"/>
              </w:rPr>
            </w:pPr>
            <w:r w:rsidRPr="001131FC">
              <w:rPr>
                <w:rFonts w:cs="Tahoma"/>
                <w:sz w:val="14"/>
                <w:szCs w:val="16"/>
              </w:rPr>
              <w:t>3,9</w:t>
            </w:r>
          </w:p>
        </w:tc>
        <w:tc>
          <w:tcPr>
            <w:tcW w:w="480" w:type="pct"/>
            <w:vAlign w:val="center"/>
          </w:tcPr>
          <w:p w:rsidR="00565FD5" w:rsidRPr="001131FC" w:rsidRDefault="00565FD5" w:rsidP="00AB62A3">
            <w:pPr>
              <w:jc w:val="right"/>
              <w:rPr>
                <w:rFonts w:cs="Tahoma"/>
                <w:sz w:val="14"/>
                <w:szCs w:val="16"/>
              </w:rPr>
            </w:pPr>
            <w:r w:rsidRPr="001131FC">
              <w:rPr>
                <w:rFonts w:cs="Tahoma"/>
                <w:sz w:val="14"/>
                <w:szCs w:val="16"/>
              </w:rPr>
              <w:t>2</w:t>
            </w:r>
          </w:p>
        </w:tc>
        <w:tc>
          <w:tcPr>
            <w:tcW w:w="420" w:type="pct"/>
            <w:vAlign w:val="center"/>
          </w:tcPr>
          <w:p w:rsidR="00565FD5" w:rsidRPr="001131FC" w:rsidRDefault="00565FD5" w:rsidP="00AB62A3">
            <w:pPr>
              <w:jc w:val="right"/>
              <w:rPr>
                <w:rFonts w:cs="Tahoma"/>
                <w:sz w:val="14"/>
                <w:szCs w:val="16"/>
              </w:rPr>
            </w:pPr>
            <w:r w:rsidRPr="001131FC">
              <w:rPr>
                <w:rFonts w:cs="Tahoma"/>
                <w:sz w:val="14"/>
                <w:szCs w:val="16"/>
              </w:rPr>
              <w:t>1 792</w:t>
            </w:r>
          </w:p>
        </w:tc>
        <w:tc>
          <w:tcPr>
            <w:tcW w:w="392" w:type="pct"/>
            <w:tcBorders>
              <w:right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2,8</w:t>
            </w:r>
          </w:p>
        </w:tc>
      </w:tr>
      <w:tr w:rsidR="00565FD5" w:rsidRPr="001131FC" w:rsidTr="00AB62A3">
        <w:trPr>
          <w:trHeight w:val="326"/>
        </w:trPr>
        <w:tc>
          <w:tcPr>
            <w:tcW w:w="660" w:type="pct"/>
            <w:tcBorders>
              <w:left w:val="single" w:sz="4" w:space="0" w:color="auto"/>
            </w:tcBorders>
            <w:vAlign w:val="center"/>
          </w:tcPr>
          <w:p w:rsidR="00565FD5" w:rsidRPr="001131FC" w:rsidRDefault="00565FD5" w:rsidP="00AB62A3">
            <w:pPr>
              <w:rPr>
                <w:rFonts w:cs="Tahoma"/>
                <w:snapToGrid w:val="0"/>
                <w:sz w:val="14"/>
                <w:szCs w:val="18"/>
              </w:rPr>
            </w:pPr>
            <w:r w:rsidRPr="001131FC">
              <w:rPr>
                <w:rFonts w:cs="Tahoma"/>
                <w:snapToGrid w:val="0"/>
                <w:sz w:val="14"/>
                <w:szCs w:val="18"/>
              </w:rPr>
              <w:t>İmalat</w:t>
            </w:r>
          </w:p>
        </w:tc>
        <w:tc>
          <w:tcPr>
            <w:tcW w:w="489" w:type="pct"/>
            <w:vAlign w:val="center"/>
          </w:tcPr>
          <w:p w:rsidR="00565FD5" w:rsidRPr="001131FC" w:rsidRDefault="00565FD5" w:rsidP="00AB62A3">
            <w:pPr>
              <w:jc w:val="right"/>
              <w:rPr>
                <w:rFonts w:cs="Tahoma"/>
                <w:sz w:val="14"/>
                <w:szCs w:val="16"/>
              </w:rPr>
            </w:pPr>
            <w:r w:rsidRPr="001131FC">
              <w:rPr>
                <w:rFonts w:cs="Tahoma"/>
                <w:sz w:val="14"/>
                <w:szCs w:val="16"/>
              </w:rPr>
              <w:t>56</w:t>
            </w:r>
          </w:p>
        </w:tc>
        <w:tc>
          <w:tcPr>
            <w:tcW w:w="474" w:type="pct"/>
            <w:vAlign w:val="center"/>
          </w:tcPr>
          <w:p w:rsidR="00565FD5" w:rsidRPr="001131FC" w:rsidRDefault="00565FD5" w:rsidP="00AB62A3">
            <w:pPr>
              <w:jc w:val="right"/>
              <w:rPr>
                <w:rFonts w:cs="Tahoma"/>
                <w:sz w:val="14"/>
                <w:szCs w:val="16"/>
              </w:rPr>
            </w:pPr>
            <w:r w:rsidRPr="001131FC">
              <w:rPr>
                <w:rFonts w:cs="Tahoma"/>
                <w:sz w:val="14"/>
                <w:szCs w:val="16"/>
              </w:rPr>
              <w:t>585</w:t>
            </w:r>
          </w:p>
        </w:tc>
        <w:tc>
          <w:tcPr>
            <w:tcW w:w="403" w:type="pct"/>
            <w:vAlign w:val="center"/>
          </w:tcPr>
          <w:p w:rsidR="00565FD5" w:rsidRPr="001131FC" w:rsidRDefault="00565FD5" w:rsidP="00AB62A3">
            <w:pPr>
              <w:jc w:val="right"/>
              <w:rPr>
                <w:rFonts w:cs="Tahoma"/>
                <w:sz w:val="14"/>
                <w:szCs w:val="16"/>
              </w:rPr>
            </w:pPr>
            <w:r w:rsidRPr="001131FC">
              <w:rPr>
                <w:rFonts w:cs="Tahoma"/>
                <w:sz w:val="14"/>
                <w:szCs w:val="16"/>
              </w:rPr>
              <w:t>34</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538" w:type="pct"/>
            <w:vAlign w:val="center"/>
          </w:tcPr>
          <w:p w:rsidR="00565FD5" w:rsidRPr="001131FC" w:rsidRDefault="00565FD5" w:rsidP="00AB62A3">
            <w:pPr>
              <w:jc w:val="right"/>
              <w:rPr>
                <w:rFonts w:cs="Tahoma"/>
                <w:sz w:val="14"/>
                <w:szCs w:val="16"/>
              </w:rPr>
            </w:pPr>
            <w:r w:rsidRPr="001131FC">
              <w:rPr>
                <w:rFonts w:cs="Tahoma"/>
                <w:sz w:val="14"/>
                <w:szCs w:val="16"/>
              </w:rPr>
              <w:t>8</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683</w:t>
            </w:r>
          </w:p>
        </w:tc>
        <w:tc>
          <w:tcPr>
            <w:tcW w:w="306" w:type="pct"/>
            <w:vAlign w:val="center"/>
          </w:tcPr>
          <w:p w:rsidR="00565FD5" w:rsidRPr="001131FC" w:rsidRDefault="00565FD5" w:rsidP="00AB62A3">
            <w:pPr>
              <w:jc w:val="right"/>
              <w:rPr>
                <w:rFonts w:cs="Tahoma"/>
                <w:sz w:val="14"/>
                <w:szCs w:val="16"/>
              </w:rPr>
            </w:pPr>
            <w:r w:rsidRPr="001131FC">
              <w:rPr>
                <w:rFonts w:cs="Tahoma"/>
                <w:sz w:val="14"/>
                <w:szCs w:val="16"/>
              </w:rPr>
              <w:t>1,5</w:t>
            </w:r>
          </w:p>
        </w:tc>
        <w:tc>
          <w:tcPr>
            <w:tcW w:w="480" w:type="pct"/>
            <w:vAlign w:val="center"/>
          </w:tcPr>
          <w:p w:rsidR="00565FD5" w:rsidRPr="001131FC" w:rsidRDefault="00565FD5" w:rsidP="00AB62A3">
            <w:pPr>
              <w:jc w:val="right"/>
              <w:rPr>
                <w:rFonts w:cs="Tahoma"/>
                <w:sz w:val="14"/>
                <w:szCs w:val="16"/>
              </w:rPr>
            </w:pPr>
            <w:r w:rsidRPr="001131FC">
              <w:rPr>
                <w:rFonts w:cs="Tahoma"/>
                <w:sz w:val="14"/>
                <w:szCs w:val="16"/>
              </w:rPr>
              <w:t>213</w:t>
            </w:r>
          </w:p>
        </w:tc>
        <w:tc>
          <w:tcPr>
            <w:tcW w:w="420" w:type="pct"/>
            <w:vAlign w:val="center"/>
          </w:tcPr>
          <w:p w:rsidR="00565FD5" w:rsidRPr="001131FC" w:rsidRDefault="00565FD5" w:rsidP="00AB62A3">
            <w:pPr>
              <w:jc w:val="right"/>
              <w:rPr>
                <w:rFonts w:cs="Tahoma"/>
                <w:sz w:val="14"/>
                <w:szCs w:val="16"/>
              </w:rPr>
            </w:pPr>
            <w:r w:rsidRPr="001131FC">
              <w:rPr>
                <w:rFonts w:cs="Tahoma"/>
                <w:sz w:val="14"/>
                <w:szCs w:val="16"/>
              </w:rPr>
              <w:t>896</w:t>
            </w:r>
          </w:p>
        </w:tc>
        <w:tc>
          <w:tcPr>
            <w:tcW w:w="392" w:type="pct"/>
            <w:tcBorders>
              <w:right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1,4</w:t>
            </w:r>
          </w:p>
        </w:tc>
      </w:tr>
      <w:tr w:rsidR="00565FD5" w:rsidRPr="001131FC" w:rsidTr="00AB62A3">
        <w:trPr>
          <w:trHeight w:val="326"/>
        </w:trPr>
        <w:tc>
          <w:tcPr>
            <w:tcW w:w="660" w:type="pct"/>
            <w:tcBorders>
              <w:left w:val="single" w:sz="4" w:space="0" w:color="auto"/>
            </w:tcBorders>
            <w:vAlign w:val="center"/>
          </w:tcPr>
          <w:p w:rsidR="00565FD5" w:rsidRPr="001131FC" w:rsidRDefault="00565FD5" w:rsidP="00AB62A3">
            <w:pPr>
              <w:rPr>
                <w:rFonts w:cs="Tahoma"/>
                <w:snapToGrid w:val="0"/>
                <w:sz w:val="14"/>
                <w:szCs w:val="18"/>
              </w:rPr>
            </w:pPr>
            <w:r w:rsidRPr="001131FC">
              <w:rPr>
                <w:rFonts w:cs="Tahoma"/>
                <w:snapToGrid w:val="0"/>
                <w:sz w:val="14"/>
                <w:szCs w:val="18"/>
              </w:rPr>
              <w:t>Enerji</w:t>
            </w:r>
          </w:p>
        </w:tc>
        <w:tc>
          <w:tcPr>
            <w:tcW w:w="489" w:type="pct"/>
            <w:vAlign w:val="center"/>
          </w:tcPr>
          <w:p w:rsidR="00565FD5" w:rsidRPr="001131FC" w:rsidRDefault="00565FD5" w:rsidP="00AB62A3">
            <w:pPr>
              <w:jc w:val="right"/>
              <w:rPr>
                <w:rFonts w:cs="Tahoma"/>
                <w:sz w:val="14"/>
                <w:szCs w:val="16"/>
              </w:rPr>
            </w:pPr>
            <w:r w:rsidRPr="001131FC">
              <w:rPr>
                <w:rFonts w:cs="Tahoma"/>
                <w:sz w:val="14"/>
                <w:szCs w:val="16"/>
              </w:rPr>
              <w:t>2 079</w:t>
            </w:r>
          </w:p>
        </w:tc>
        <w:tc>
          <w:tcPr>
            <w:tcW w:w="474" w:type="pct"/>
            <w:vAlign w:val="center"/>
          </w:tcPr>
          <w:p w:rsidR="00565FD5" w:rsidRPr="001131FC" w:rsidRDefault="00565FD5" w:rsidP="00AB62A3">
            <w:pPr>
              <w:jc w:val="right"/>
              <w:rPr>
                <w:rFonts w:cs="Tahoma"/>
                <w:sz w:val="14"/>
                <w:szCs w:val="16"/>
              </w:rPr>
            </w:pPr>
            <w:r w:rsidRPr="001131FC">
              <w:rPr>
                <w:rFonts w:cs="Tahoma"/>
                <w:sz w:val="14"/>
                <w:szCs w:val="16"/>
              </w:rPr>
              <w:t>1 502</w:t>
            </w:r>
          </w:p>
        </w:tc>
        <w:tc>
          <w:tcPr>
            <w:tcW w:w="403" w:type="pct"/>
            <w:vAlign w:val="center"/>
          </w:tcPr>
          <w:p w:rsidR="00565FD5" w:rsidRPr="001131FC" w:rsidRDefault="00565FD5" w:rsidP="00AB62A3">
            <w:pPr>
              <w:jc w:val="right"/>
              <w:rPr>
                <w:rFonts w:cs="Tahoma"/>
                <w:sz w:val="14"/>
                <w:szCs w:val="16"/>
              </w:rPr>
            </w:pPr>
            <w:r w:rsidRPr="001131FC">
              <w:rPr>
                <w:rFonts w:cs="Tahoma"/>
                <w:sz w:val="14"/>
                <w:szCs w:val="16"/>
              </w:rPr>
              <w:t>710</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538"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4 291</w:t>
            </w:r>
          </w:p>
        </w:tc>
        <w:tc>
          <w:tcPr>
            <w:tcW w:w="306" w:type="pct"/>
            <w:vAlign w:val="center"/>
          </w:tcPr>
          <w:p w:rsidR="00565FD5" w:rsidRPr="001131FC" w:rsidRDefault="00565FD5" w:rsidP="00AB62A3">
            <w:pPr>
              <w:jc w:val="right"/>
              <w:rPr>
                <w:rFonts w:cs="Tahoma"/>
                <w:sz w:val="14"/>
                <w:szCs w:val="16"/>
              </w:rPr>
            </w:pPr>
            <w:r w:rsidRPr="001131FC">
              <w:rPr>
                <w:rFonts w:cs="Tahoma"/>
                <w:sz w:val="14"/>
                <w:szCs w:val="16"/>
              </w:rPr>
              <w:t>9,4</w:t>
            </w:r>
          </w:p>
        </w:tc>
        <w:tc>
          <w:tcPr>
            <w:tcW w:w="480" w:type="pct"/>
            <w:vAlign w:val="center"/>
          </w:tcPr>
          <w:p w:rsidR="00565FD5" w:rsidRPr="001131FC" w:rsidRDefault="00565FD5" w:rsidP="00AB62A3">
            <w:pPr>
              <w:jc w:val="right"/>
              <w:rPr>
                <w:rFonts w:cs="Tahoma"/>
                <w:sz w:val="14"/>
                <w:szCs w:val="16"/>
              </w:rPr>
            </w:pPr>
            <w:r w:rsidRPr="001131FC">
              <w:rPr>
                <w:rFonts w:cs="Tahoma"/>
                <w:sz w:val="14"/>
                <w:szCs w:val="16"/>
              </w:rPr>
              <w:t>24</w:t>
            </w:r>
          </w:p>
        </w:tc>
        <w:tc>
          <w:tcPr>
            <w:tcW w:w="420" w:type="pct"/>
            <w:vAlign w:val="center"/>
          </w:tcPr>
          <w:p w:rsidR="00565FD5" w:rsidRPr="001131FC" w:rsidRDefault="00565FD5" w:rsidP="00AB62A3">
            <w:pPr>
              <w:jc w:val="right"/>
              <w:rPr>
                <w:rFonts w:cs="Tahoma"/>
                <w:sz w:val="14"/>
                <w:szCs w:val="16"/>
              </w:rPr>
            </w:pPr>
            <w:r w:rsidRPr="001131FC">
              <w:rPr>
                <w:rFonts w:cs="Tahoma"/>
                <w:sz w:val="14"/>
                <w:szCs w:val="16"/>
              </w:rPr>
              <w:t>4 315</w:t>
            </w:r>
          </w:p>
        </w:tc>
        <w:tc>
          <w:tcPr>
            <w:tcW w:w="392" w:type="pct"/>
            <w:tcBorders>
              <w:right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6,8</w:t>
            </w:r>
          </w:p>
        </w:tc>
      </w:tr>
      <w:tr w:rsidR="00565FD5" w:rsidRPr="001131FC" w:rsidTr="00AB62A3">
        <w:trPr>
          <w:trHeight w:val="326"/>
        </w:trPr>
        <w:tc>
          <w:tcPr>
            <w:tcW w:w="660" w:type="pct"/>
            <w:tcBorders>
              <w:left w:val="single" w:sz="4" w:space="0" w:color="auto"/>
            </w:tcBorders>
            <w:vAlign w:val="center"/>
          </w:tcPr>
          <w:p w:rsidR="00565FD5" w:rsidRPr="001131FC" w:rsidRDefault="00565FD5" w:rsidP="00AB62A3">
            <w:pPr>
              <w:rPr>
                <w:rFonts w:cs="Tahoma"/>
                <w:snapToGrid w:val="0"/>
                <w:sz w:val="14"/>
                <w:szCs w:val="18"/>
              </w:rPr>
            </w:pPr>
            <w:r w:rsidRPr="001131FC">
              <w:rPr>
                <w:rFonts w:cs="Tahoma"/>
                <w:snapToGrid w:val="0"/>
                <w:sz w:val="14"/>
                <w:szCs w:val="18"/>
              </w:rPr>
              <w:t>Ulaştırma</w:t>
            </w:r>
          </w:p>
        </w:tc>
        <w:tc>
          <w:tcPr>
            <w:tcW w:w="489" w:type="pct"/>
            <w:vAlign w:val="center"/>
          </w:tcPr>
          <w:p w:rsidR="00565FD5" w:rsidRPr="001131FC" w:rsidRDefault="00565FD5" w:rsidP="00AB62A3">
            <w:pPr>
              <w:jc w:val="right"/>
              <w:rPr>
                <w:rFonts w:cs="Tahoma"/>
                <w:sz w:val="14"/>
                <w:szCs w:val="16"/>
              </w:rPr>
            </w:pPr>
            <w:r w:rsidRPr="001131FC">
              <w:rPr>
                <w:rFonts w:cs="Tahoma"/>
                <w:sz w:val="14"/>
                <w:szCs w:val="16"/>
              </w:rPr>
              <w:t>7 414</w:t>
            </w:r>
          </w:p>
        </w:tc>
        <w:tc>
          <w:tcPr>
            <w:tcW w:w="474" w:type="pct"/>
            <w:vAlign w:val="center"/>
          </w:tcPr>
          <w:p w:rsidR="00565FD5" w:rsidRPr="001131FC" w:rsidRDefault="00565FD5" w:rsidP="00AB62A3">
            <w:pPr>
              <w:jc w:val="right"/>
              <w:rPr>
                <w:rFonts w:cs="Tahoma"/>
                <w:sz w:val="14"/>
                <w:szCs w:val="16"/>
              </w:rPr>
            </w:pPr>
            <w:r w:rsidRPr="001131FC">
              <w:rPr>
                <w:rFonts w:cs="Tahoma"/>
                <w:sz w:val="14"/>
                <w:szCs w:val="16"/>
              </w:rPr>
              <w:t>5 903</w:t>
            </w:r>
          </w:p>
        </w:tc>
        <w:tc>
          <w:tcPr>
            <w:tcW w:w="403" w:type="pct"/>
            <w:vAlign w:val="center"/>
          </w:tcPr>
          <w:p w:rsidR="00565FD5" w:rsidRPr="001131FC" w:rsidRDefault="00565FD5" w:rsidP="00AB62A3">
            <w:pPr>
              <w:jc w:val="right"/>
              <w:rPr>
                <w:rFonts w:cs="Tahoma"/>
                <w:sz w:val="14"/>
                <w:szCs w:val="16"/>
              </w:rPr>
            </w:pPr>
            <w:r w:rsidRPr="001131FC">
              <w:rPr>
                <w:rFonts w:cs="Tahoma"/>
                <w:sz w:val="14"/>
                <w:szCs w:val="16"/>
              </w:rPr>
              <w:t>45</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538" w:type="pct"/>
            <w:vAlign w:val="center"/>
          </w:tcPr>
          <w:p w:rsidR="00565FD5" w:rsidRPr="001131FC" w:rsidRDefault="00565FD5" w:rsidP="00AB62A3">
            <w:pPr>
              <w:jc w:val="right"/>
              <w:rPr>
                <w:rFonts w:cs="Tahoma"/>
                <w:sz w:val="14"/>
                <w:szCs w:val="16"/>
              </w:rPr>
            </w:pPr>
            <w:r w:rsidRPr="001131FC">
              <w:rPr>
                <w:rFonts w:cs="Tahoma"/>
                <w:sz w:val="14"/>
                <w:szCs w:val="16"/>
              </w:rPr>
              <w:t>153</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13 515</w:t>
            </w:r>
          </w:p>
        </w:tc>
        <w:tc>
          <w:tcPr>
            <w:tcW w:w="306" w:type="pct"/>
            <w:vAlign w:val="center"/>
          </w:tcPr>
          <w:p w:rsidR="00565FD5" w:rsidRPr="001131FC" w:rsidRDefault="00565FD5" w:rsidP="00AB62A3">
            <w:pPr>
              <w:jc w:val="right"/>
              <w:rPr>
                <w:rFonts w:cs="Tahoma"/>
                <w:sz w:val="14"/>
                <w:szCs w:val="16"/>
              </w:rPr>
            </w:pPr>
            <w:r w:rsidRPr="001131FC">
              <w:rPr>
                <w:rFonts w:cs="Tahoma"/>
                <w:sz w:val="14"/>
                <w:szCs w:val="16"/>
              </w:rPr>
              <w:t>29,6</w:t>
            </w:r>
          </w:p>
        </w:tc>
        <w:tc>
          <w:tcPr>
            <w:tcW w:w="480" w:type="pct"/>
            <w:vAlign w:val="center"/>
          </w:tcPr>
          <w:p w:rsidR="00565FD5" w:rsidRPr="001131FC" w:rsidRDefault="00565FD5" w:rsidP="00AB62A3">
            <w:pPr>
              <w:jc w:val="right"/>
              <w:rPr>
                <w:rFonts w:cs="Tahoma"/>
                <w:sz w:val="14"/>
                <w:szCs w:val="16"/>
              </w:rPr>
            </w:pPr>
            <w:r w:rsidRPr="001131FC">
              <w:rPr>
                <w:rFonts w:cs="Tahoma"/>
                <w:sz w:val="14"/>
                <w:szCs w:val="16"/>
              </w:rPr>
              <w:t>7 252</w:t>
            </w:r>
          </w:p>
        </w:tc>
        <w:tc>
          <w:tcPr>
            <w:tcW w:w="420" w:type="pct"/>
            <w:vAlign w:val="center"/>
          </w:tcPr>
          <w:p w:rsidR="00565FD5" w:rsidRPr="001131FC" w:rsidRDefault="00565FD5" w:rsidP="00AB62A3">
            <w:pPr>
              <w:jc w:val="right"/>
              <w:rPr>
                <w:rFonts w:cs="Tahoma"/>
                <w:sz w:val="14"/>
                <w:szCs w:val="16"/>
              </w:rPr>
            </w:pPr>
            <w:r w:rsidRPr="001131FC">
              <w:rPr>
                <w:rFonts w:cs="Tahoma"/>
                <w:sz w:val="14"/>
                <w:szCs w:val="16"/>
              </w:rPr>
              <w:t>20 767</w:t>
            </w:r>
          </w:p>
        </w:tc>
        <w:tc>
          <w:tcPr>
            <w:tcW w:w="392" w:type="pct"/>
            <w:tcBorders>
              <w:right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32,5</w:t>
            </w:r>
          </w:p>
        </w:tc>
      </w:tr>
      <w:tr w:rsidR="00565FD5" w:rsidRPr="001131FC" w:rsidTr="00AB62A3">
        <w:trPr>
          <w:trHeight w:val="326"/>
        </w:trPr>
        <w:tc>
          <w:tcPr>
            <w:tcW w:w="660" w:type="pct"/>
            <w:tcBorders>
              <w:left w:val="single" w:sz="4" w:space="0" w:color="auto"/>
            </w:tcBorders>
            <w:vAlign w:val="center"/>
          </w:tcPr>
          <w:p w:rsidR="00565FD5" w:rsidRPr="001131FC" w:rsidRDefault="00565FD5" w:rsidP="00AB62A3">
            <w:pPr>
              <w:rPr>
                <w:rFonts w:cs="Tahoma"/>
                <w:snapToGrid w:val="0"/>
                <w:sz w:val="14"/>
                <w:szCs w:val="18"/>
              </w:rPr>
            </w:pPr>
            <w:r w:rsidRPr="001131FC">
              <w:rPr>
                <w:rFonts w:cs="Tahoma"/>
                <w:snapToGrid w:val="0"/>
                <w:sz w:val="14"/>
                <w:szCs w:val="18"/>
              </w:rPr>
              <w:t>Turizm</w:t>
            </w:r>
          </w:p>
        </w:tc>
        <w:tc>
          <w:tcPr>
            <w:tcW w:w="489" w:type="pct"/>
            <w:vAlign w:val="center"/>
          </w:tcPr>
          <w:p w:rsidR="00565FD5" w:rsidRPr="001131FC" w:rsidRDefault="00565FD5" w:rsidP="00AB62A3">
            <w:pPr>
              <w:jc w:val="right"/>
              <w:rPr>
                <w:rFonts w:cs="Tahoma"/>
                <w:sz w:val="14"/>
                <w:szCs w:val="16"/>
              </w:rPr>
            </w:pPr>
            <w:r w:rsidRPr="001131FC">
              <w:rPr>
                <w:rFonts w:cs="Tahoma"/>
                <w:sz w:val="14"/>
                <w:szCs w:val="16"/>
              </w:rPr>
              <w:t>353</w:t>
            </w:r>
          </w:p>
        </w:tc>
        <w:tc>
          <w:tcPr>
            <w:tcW w:w="474"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03"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538" w:type="pct"/>
            <w:vAlign w:val="center"/>
          </w:tcPr>
          <w:p w:rsidR="00565FD5" w:rsidRPr="001131FC" w:rsidRDefault="00565FD5" w:rsidP="00AB62A3">
            <w:pPr>
              <w:jc w:val="right"/>
              <w:rPr>
                <w:rFonts w:cs="Tahoma"/>
                <w:sz w:val="14"/>
                <w:szCs w:val="16"/>
              </w:rPr>
            </w:pPr>
            <w:r w:rsidRPr="001131FC">
              <w:rPr>
                <w:rFonts w:cs="Tahoma"/>
                <w:sz w:val="14"/>
                <w:szCs w:val="16"/>
              </w:rPr>
              <w:t>3</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356</w:t>
            </w:r>
          </w:p>
        </w:tc>
        <w:tc>
          <w:tcPr>
            <w:tcW w:w="306" w:type="pct"/>
            <w:vAlign w:val="center"/>
          </w:tcPr>
          <w:p w:rsidR="00565FD5" w:rsidRPr="001131FC" w:rsidRDefault="00565FD5" w:rsidP="00AB62A3">
            <w:pPr>
              <w:jc w:val="right"/>
              <w:rPr>
                <w:rFonts w:cs="Tahoma"/>
                <w:sz w:val="14"/>
                <w:szCs w:val="16"/>
              </w:rPr>
            </w:pPr>
            <w:r w:rsidRPr="001131FC">
              <w:rPr>
                <w:rFonts w:cs="Tahoma"/>
                <w:sz w:val="14"/>
                <w:szCs w:val="16"/>
              </w:rPr>
              <w:t>0,8</w:t>
            </w:r>
          </w:p>
        </w:tc>
        <w:tc>
          <w:tcPr>
            <w:tcW w:w="480" w:type="pct"/>
            <w:vAlign w:val="center"/>
          </w:tcPr>
          <w:p w:rsidR="00565FD5" w:rsidRPr="001131FC" w:rsidRDefault="00565FD5" w:rsidP="00AB62A3">
            <w:pPr>
              <w:jc w:val="right"/>
              <w:rPr>
                <w:rFonts w:cs="Tahoma"/>
                <w:sz w:val="14"/>
                <w:szCs w:val="16"/>
              </w:rPr>
            </w:pPr>
            <w:r w:rsidRPr="001131FC">
              <w:rPr>
                <w:rFonts w:cs="Tahoma"/>
                <w:sz w:val="14"/>
                <w:szCs w:val="16"/>
              </w:rPr>
              <w:t>105</w:t>
            </w:r>
          </w:p>
        </w:tc>
        <w:tc>
          <w:tcPr>
            <w:tcW w:w="420" w:type="pct"/>
            <w:vAlign w:val="center"/>
          </w:tcPr>
          <w:p w:rsidR="00565FD5" w:rsidRPr="001131FC" w:rsidRDefault="00565FD5" w:rsidP="00AB62A3">
            <w:pPr>
              <w:jc w:val="right"/>
              <w:rPr>
                <w:rFonts w:cs="Tahoma"/>
                <w:sz w:val="14"/>
                <w:szCs w:val="16"/>
              </w:rPr>
            </w:pPr>
            <w:r w:rsidRPr="001131FC">
              <w:rPr>
                <w:rFonts w:cs="Tahoma"/>
                <w:sz w:val="14"/>
                <w:szCs w:val="16"/>
              </w:rPr>
              <w:t>462</w:t>
            </w:r>
          </w:p>
        </w:tc>
        <w:tc>
          <w:tcPr>
            <w:tcW w:w="392" w:type="pct"/>
            <w:tcBorders>
              <w:right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0,7</w:t>
            </w:r>
          </w:p>
        </w:tc>
      </w:tr>
      <w:tr w:rsidR="00565FD5" w:rsidRPr="001131FC" w:rsidTr="00AB62A3">
        <w:trPr>
          <w:trHeight w:val="326"/>
        </w:trPr>
        <w:tc>
          <w:tcPr>
            <w:tcW w:w="660" w:type="pct"/>
            <w:tcBorders>
              <w:left w:val="single" w:sz="4" w:space="0" w:color="auto"/>
            </w:tcBorders>
            <w:vAlign w:val="center"/>
          </w:tcPr>
          <w:p w:rsidR="00565FD5" w:rsidRPr="001131FC" w:rsidRDefault="00565FD5" w:rsidP="00AB62A3">
            <w:pPr>
              <w:rPr>
                <w:rFonts w:cs="Tahoma"/>
                <w:snapToGrid w:val="0"/>
                <w:sz w:val="14"/>
                <w:szCs w:val="18"/>
              </w:rPr>
            </w:pPr>
            <w:r w:rsidRPr="001131FC">
              <w:rPr>
                <w:rFonts w:cs="Tahoma"/>
                <w:snapToGrid w:val="0"/>
                <w:sz w:val="14"/>
                <w:szCs w:val="18"/>
              </w:rPr>
              <w:t>Konut</w:t>
            </w:r>
          </w:p>
        </w:tc>
        <w:tc>
          <w:tcPr>
            <w:tcW w:w="489" w:type="pct"/>
            <w:vAlign w:val="center"/>
          </w:tcPr>
          <w:p w:rsidR="00565FD5" w:rsidRPr="001131FC" w:rsidRDefault="00565FD5" w:rsidP="00AB62A3">
            <w:pPr>
              <w:jc w:val="right"/>
              <w:rPr>
                <w:rFonts w:cs="Tahoma"/>
                <w:sz w:val="14"/>
                <w:szCs w:val="16"/>
              </w:rPr>
            </w:pPr>
            <w:r w:rsidRPr="001131FC">
              <w:rPr>
                <w:rFonts w:cs="Tahoma"/>
                <w:sz w:val="14"/>
                <w:szCs w:val="16"/>
              </w:rPr>
              <w:t>593</w:t>
            </w:r>
          </w:p>
        </w:tc>
        <w:tc>
          <w:tcPr>
            <w:tcW w:w="474" w:type="pct"/>
            <w:vAlign w:val="center"/>
          </w:tcPr>
          <w:p w:rsidR="00565FD5" w:rsidRPr="001131FC" w:rsidRDefault="00565FD5" w:rsidP="00AB62A3">
            <w:pPr>
              <w:jc w:val="right"/>
              <w:rPr>
                <w:rFonts w:cs="Tahoma"/>
                <w:sz w:val="14"/>
                <w:szCs w:val="16"/>
              </w:rPr>
            </w:pPr>
            <w:r w:rsidRPr="001131FC">
              <w:rPr>
                <w:rFonts w:cs="Tahoma"/>
                <w:sz w:val="14"/>
                <w:szCs w:val="16"/>
              </w:rPr>
              <w:t>20</w:t>
            </w:r>
          </w:p>
        </w:tc>
        <w:tc>
          <w:tcPr>
            <w:tcW w:w="403"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538"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613</w:t>
            </w:r>
          </w:p>
        </w:tc>
        <w:tc>
          <w:tcPr>
            <w:tcW w:w="306" w:type="pct"/>
            <w:vAlign w:val="center"/>
          </w:tcPr>
          <w:p w:rsidR="00565FD5" w:rsidRPr="001131FC" w:rsidRDefault="00565FD5" w:rsidP="00AB62A3">
            <w:pPr>
              <w:jc w:val="right"/>
              <w:rPr>
                <w:rFonts w:cs="Tahoma"/>
                <w:sz w:val="14"/>
                <w:szCs w:val="16"/>
              </w:rPr>
            </w:pPr>
            <w:r w:rsidRPr="001131FC">
              <w:rPr>
                <w:rFonts w:cs="Tahoma"/>
                <w:sz w:val="14"/>
                <w:szCs w:val="16"/>
              </w:rPr>
              <w:t>1,3</w:t>
            </w:r>
          </w:p>
        </w:tc>
        <w:tc>
          <w:tcPr>
            <w:tcW w:w="480" w:type="pct"/>
            <w:vAlign w:val="center"/>
          </w:tcPr>
          <w:p w:rsidR="00565FD5" w:rsidRPr="001131FC" w:rsidRDefault="00565FD5" w:rsidP="00AB62A3">
            <w:pPr>
              <w:jc w:val="right"/>
              <w:rPr>
                <w:rFonts w:cs="Tahoma"/>
                <w:sz w:val="14"/>
                <w:szCs w:val="16"/>
              </w:rPr>
            </w:pPr>
            <w:r w:rsidRPr="001131FC">
              <w:rPr>
                <w:rFonts w:cs="Tahoma"/>
                <w:sz w:val="14"/>
                <w:szCs w:val="16"/>
              </w:rPr>
              <w:t>674</w:t>
            </w:r>
          </w:p>
        </w:tc>
        <w:tc>
          <w:tcPr>
            <w:tcW w:w="420" w:type="pct"/>
            <w:vAlign w:val="center"/>
          </w:tcPr>
          <w:p w:rsidR="00565FD5" w:rsidRPr="001131FC" w:rsidRDefault="00565FD5" w:rsidP="00AB62A3">
            <w:pPr>
              <w:jc w:val="right"/>
              <w:rPr>
                <w:rFonts w:cs="Tahoma"/>
                <w:sz w:val="14"/>
                <w:szCs w:val="16"/>
              </w:rPr>
            </w:pPr>
            <w:r w:rsidRPr="001131FC">
              <w:rPr>
                <w:rFonts w:cs="Tahoma"/>
                <w:sz w:val="14"/>
                <w:szCs w:val="16"/>
              </w:rPr>
              <w:t>1 287</w:t>
            </w:r>
          </w:p>
        </w:tc>
        <w:tc>
          <w:tcPr>
            <w:tcW w:w="392" w:type="pct"/>
            <w:tcBorders>
              <w:right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2,0</w:t>
            </w:r>
          </w:p>
        </w:tc>
      </w:tr>
      <w:tr w:rsidR="00565FD5" w:rsidRPr="001131FC" w:rsidTr="00AB62A3">
        <w:trPr>
          <w:trHeight w:val="326"/>
        </w:trPr>
        <w:tc>
          <w:tcPr>
            <w:tcW w:w="660" w:type="pct"/>
            <w:tcBorders>
              <w:left w:val="single" w:sz="4" w:space="0" w:color="auto"/>
            </w:tcBorders>
            <w:vAlign w:val="center"/>
          </w:tcPr>
          <w:p w:rsidR="00565FD5" w:rsidRPr="001131FC" w:rsidRDefault="00565FD5" w:rsidP="00AB62A3">
            <w:pPr>
              <w:rPr>
                <w:rFonts w:cs="Tahoma"/>
                <w:snapToGrid w:val="0"/>
                <w:sz w:val="14"/>
                <w:szCs w:val="18"/>
              </w:rPr>
            </w:pPr>
            <w:r w:rsidRPr="001131FC">
              <w:rPr>
                <w:rFonts w:cs="Tahoma"/>
                <w:snapToGrid w:val="0"/>
                <w:sz w:val="14"/>
                <w:szCs w:val="18"/>
              </w:rPr>
              <w:t>Eğitim</w:t>
            </w:r>
          </w:p>
        </w:tc>
        <w:tc>
          <w:tcPr>
            <w:tcW w:w="489" w:type="pct"/>
            <w:vAlign w:val="center"/>
          </w:tcPr>
          <w:p w:rsidR="00565FD5" w:rsidRPr="001131FC" w:rsidRDefault="00565FD5" w:rsidP="00AB62A3">
            <w:pPr>
              <w:jc w:val="right"/>
              <w:rPr>
                <w:rFonts w:cs="Tahoma"/>
                <w:sz w:val="14"/>
                <w:szCs w:val="16"/>
              </w:rPr>
            </w:pPr>
            <w:r w:rsidRPr="001131FC">
              <w:rPr>
                <w:rFonts w:cs="Tahoma"/>
                <w:sz w:val="14"/>
                <w:szCs w:val="16"/>
              </w:rPr>
              <w:t>7 736</w:t>
            </w:r>
          </w:p>
        </w:tc>
        <w:tc>
          <w:tcPr>
            <w:tcW w:w="474"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03"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538" w:type="pct"/>
            <w:vAlign w:val="center"/>
          </w:tcPr>
          <w:p w:rsidR="00565FD5" w:rsidRPr="001131FC" w:rsidRDefault="00565FD5" w:rsidP="00AB62A3">
            <w:pPr>
              <w:jc w:val="right"/>
              <w:rPr>
                <w:rFonts w:cs="Tahoma"/>
                <w:sz w:val="14"/>
                <w:szCs w:val="16"/>
              </w:rPr>
            </w:pPr>
            <w:r w:rsidRPr="001131FC">
              <w:rPr>
                <w:rFonts w:cs="Tahoma"/>
                <w:sz w:val="14"/>
                <w:szCs w:val="16"/>
              </w:rPr>
              <w:t>119</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7 855</w:t>
            </w:r>
          </w:p>
        </w:tc>
        <w:tc>
          <w:tcPr>
            <w:tcW w:w="306" w:type="pct"/>
            <w:vAlign w:val="center"/>
          </w:tcPr>
          <w:p w:rsidR="00565FD5" w:rsidRPr="001131FC" w:rsidRDefault="00565FD5" w:rsidP="00AB62A3">
            <w:pPr>
              <w:jc w:val="right"/>
              <w:rPr>
                <w:rFonts w:cs="Tahoma"/>
                <w:sz w:val="14"/>
                <w:szCs w:val="16"/>
              </w:rPr>
            </w:pPr>
            <w:r w:rsidRPr="001131FC">
              <w:rPr>
                <w:rFonts w:cs="Tahoma"/>
                <w:sz w:val="14"/>
                <w:szCs w:val="16"/>
              </w:rPr>
              <w:t>17,2</w:t>
            </w:r>
          </w:p>
        </w:tc>
        <w:tc>
          <w:tcPr>
            <w:tcW w:w="480" w:type="pct"/>
            <w:vAlign w:val="center"/>
          </w:tcPr>
          <w:p w:rsidR="00565FD5" w:rsidRPr="001131FC" w:rsidRDefault="00565FD5" w:rsidP="00AB62A3">
            <w:pPr>
              <w:jc w:val="right"/>
              <w:rPr>
                <w:rFonts w:cs="Tahoma"/>
                <w:sz w:val="14"/>
                <w:szCs w:val="16"/>
              </w:rPr>
            </w:pPr>
            <w:r w:rsidRPr="001131FC">
              <w:rPr>
                <w:rFonts w:cs="Tahoma"/>
                <w:sz w:val="14"/>
                <w:szCs w:val="16"/>
              </w:rPr>
              <w:t>1 537</w:t>
            </w:r>
          </w:p>
        </w:tc>
        <w:tc>
          <w:tcPr>
            <w:tcW w:w="420" w:type="pct"/>
            <w:vAlign w:val="center"/>
          </w:tcPr>
          <w:p w:rsidR="00565FD5" w:rsidRPr="001131FC" w:rsidRDefault="00565FD5" w:rsidP="00AB62A3">
            <w:pPr>
              <w:jc w:val="right"/>
              <w:rPr>
                <w:rFonts w:cs="Tahoma"/>
                <w:sz w:val="14"/>
                <w:szCs w:val="16"/>
              </w:rPr>
            </w:pPr>
            <w:r w:rsidRPr="001131FC">
              <w:rPr>
                <w:rFonts w:cs="Tahoma"/>
                <w:sz w:val="14"/>
                <w:szCs w:val="16"/>
              </w:rPr>
              <w:t>9 392</w:t>
            </w:r>
          </w:p>
        </w:tc>
        <w:tc>
          <w:tcPr>
            <w:tcW w:w="392" w:type="pct"/>
            <w:tcBorders>
              <w:right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14,7</w:t>
            </w:r>
          </w:p>
        </w:tc>
      </w:tr>
      <w:tr w:rsidR="00565FD5" w:rsidRPr="001131FC" w:rsidTr="00AB62A3">
        <w:trPr>
          <w:trHeight w:val="326"/>
        </w:trPr>
        <w:tc>
          <w:tcPr>
            <w:tcW w:w="660" w:type="pct"/>
            <w:tcBorders>
              <w:left w:val="single" w:sz="4" w:space="0" w:color="auto"/>
            </w:tcBorders>
            <w:vAlign w:val="center"/>
          </w:tcPr>
          <w:p w:rsidR="00565FD5" w:rsidRPr="001131FC" w:rsidRDefault="00565FD5" w:rsidP="00AB62A3">
            <w:pPr>
              <w:rPr>
                <w:rFonts w:cs="Tahoma"/>
                <w:snapToGrid w:val="0"/>
                <w:sz w:val="14"/>
                <w:szCs w:val="18"/>
              </w:rPr>
            </w:pPr>
            <w:r w:rsidRPr="001131FC">
              <w:rPr>
                <w:rFonts w:cs="Tahoma"/>
                <w:snapToGrid w:val="0"/>
                <w:sz w:val="14"/>
                <w:szCs w:val="18"/>
              </w:rPr>
              <w:t>Sağlık</w:t>
            </w:r>
          </w:p>
        </w:tc>
        <w:tc>
          <w:tcPr>
            <w:tcW w:w="489" w:type="pct"/>
            <w:vAlign w:val="center"/>
          </w:tcPr>
          <w:p w:rsidR="00565FD5" w:rsidRPr="001131FC" w:rsidRDefault="00565FD5" w:rsidP="00AB62A3">
            <w:pPr>
              <w:jc w:val="right"/>
              <w:rPr>
                <w:rFonts w:cs="Tahoma"/>
                <w:sz w:val="14"/>
                <w:szCs w:val="16"/>
              </w:rPr>
            </w:pPr>
            <w:r w:rsidRPr="001131FC">
              <w:rPr>
                <w:rFonts w:cs="Tahoma"/>
                <w:sz w:val="14"/>
                <w:szCs w:val="16"/>
              </w:rPr>
              <w:t>2 184</w:t>
            </w:r>
          </w:p>
        </w:tc>
        <w:tc>
          <w:tcPr>
            <w:tcW w:w="474"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03"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538" w:type="pct"/>
            <w:vAlign w:val="center"/>
          </w:tcPr>
          <w:p w:rsidR="00565FD5" w:rsidRPr="001131FC" w:rsidRDefault="00565FD5" w:rsidP="00AB62A3">
            <w:pPr>
              <w:jc w:val="right"/>
              <w:rPr>
                <w:rFonts w:cs="Tahoma"/>
                <w:sz w:val="14"/>
                <w:szCs w:val="16"/>
              </w:rPr>
            </w:pPr>
            <w:r w:rsidRPr="001131FC">
              <w:rPr>
                <w:rFonts w:cs="Tahoma"/>
                <w:sz w:val="14"/>
                <w:szCs w:val="16"/>
              </w:rPr>
              <w:t>986</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3 170</w:t>
            </w:r>
          </w:p>
        </w:tc>
        <w:tc>
          <w:tcPr>
            <w:tcW w:w="306" w:type="pct"/>
            <w:vAlign w:val="center"/>
          </w:tcPr>
          <w:p w:rsidR="00565FD5" w:rsidRPr="001131FC" w:rsidRDefault="00565FD5" w:rsidP="00AB62A3">
            <w:pPr>
              <w:jc w:val="right"/>
              <w:rPr>
                <w:rFonts w:cs="Tahoma"/>
                <w:sz w:val="14"/>
                <w:szCs w:val="16"/>
              </w:rPr>
            </w:pPr>
            <w:r w:rsidRPr="001131FC">
              <w:rPr>
                <w:rFonts w:cs="Tahoma"/>
                <w:sz w:val="14"/>
                <w:szCs w:val="16"/>
              </w:rPr>
              <w:t>6,9</w:t>
            </w:r>
          </w:p>
        </w:tc>
        <w:tc>
          <w:tcPr>
            <w:tcW w:w="480" w:type="pct"/>
            <w:vAlign w:val="center"/>
          </w:tcPr>
          <w:p w:rsidR="00565FD5" w:rsidRPr="001131FC" w:rsidRDefault="00565FD5" w:rsidP="00AB62A3">
            <w:pPr>
              <w:jc w:val="right"/>
              <w:rPr>
                <w:rFonts w:cs="Tahoma"/>
                <w:sz w:val="14"/>
                <w:szCs w:val="16"/>
              </w:rPr>
            </w:pPr>
            <w:r w:rsidRPr="001131FC">
              <w:rPr>
                <w:rFonts w:cs="Tahoma"/>
                <w:sz w:val="14"/>
                <w:szCs w:val="16"/>
              </w:rPr>
              <w:t>419</w:t>
            </w:r>
          </w:p>
        </w:tc>
        <w:tc>
          <w:tcPr>
            <w:tcW w:w="420" w:type="pct"/>
            <w:vAlign w:val="center"/>
          </w:tcPr>
          <w:p w:rsidR="00565FD5" w:rsidRPr="001131FC" w:rsidRDefault="00565FD5" w:rsidP="00AB62A3">
            <w:pPr>
              <w:jc w:val="right"/>
              <w:rPr>
                <w:rFonts w:cs="Tahoma"/>
                <w:sz w:val="14"/>
                <w:szCs w:val="16"/>
              </w:rPr>
            </w:pPr>
            <w:r w:rsidRPr="001131FC">
              <w:rPr>
                <w:rFonts w:cs="Tahoma"/>
                <w:sz w:val="14"/>
                <w:szCs w:val="16"/>
              </w:rPr>
              <w:t>3 589</w:t>
            </w:r>
          </w:p>
        </w:tc>
        <w:tc>
          <w:tcPr>
            <w:tcW w:w="392" w:type="pct"/>
            <w:tcBorders>
              <w:right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5,6</w:t>
            </w:r>
          </w:p>
        </w:tc>
      </w:tr>
      <w:tr w:rsidR="00565FD5" w:rsidRPr="001131FC" w:rsidTr="00AB62A3">
        <w:trPr>
          <w:trHeight w:val="326"/>
        </w:trPr>
        <w:tc>
          <w:tcPr>
            <w:tcW w:w="660" w:type="pct"/>
            <w:tcBorders>
              <w:left w:val="single" w:sz="4" w:space="0" w:color="auto"/>
            </w:tcBorders>
            <w:vAlign w:val="center"/>
          </w:tcPr>
          <w:p w:rsidR="00565FD5" w:rsidRPr="001131FC" w:rsidRDefault="00565FD5" w:rsidP="00AB62A3">
            <w:pPr>
              <w:rPr>
                <w:rFonts w:cs="Tahoma"/>
                <w:snapToGrid w:val="0"/>
                <w:sz w:val="14"/>
                <w:szCs w:val="18"/>
              </w:rPr>
            </w:pPr>
            <w:r w:rsidRPr="001131FC">
              <w:rPr>
                <w:rFonts w:cs="Tahoma"/>
                <w:snapToGrid w:val="0"/>
                <w:sz w:val="14"/>
                <w:szCs w:val="18"/>
              </w:rPr>
              <w:t>Diğer Hizmetler</w:t>
            </w:r>
          </w:p>
        </w:tc>
        <w:tc>
          <w:tcPr>
            <w:tcW w:w="489" w:type="pct"/>
            <w:vAlign w:val="center"/>
          </w:tcPr>
          <w:p w:rsidR="00565FD5" w:rsidRPr="001131FC" w:rsidRDefault="00565FD5" w:rsidP="00AB62A3">
            <w:pPr>
              <w:jc w:val="right"/>
              <w:rPr>
                <w:rFonts w:cs="Tahoma"/>
                <w:sz w:val="14"/>
                <w:szCs w:val="16"/>
              </w:rPr>
            </w:pPr>
            <w:r w:rsidRPr="001131FC">
              <w:rPr>
                <w:rFonts w:cs="Tahoma"/>
                <w:sz w:val="14"/>
                <w:szCs w:val="16"/>
              </w:rPr>
              <w:t>7 226</w:t>
            </w:r>
          </w:p>
        </w:tc>
        <w:tc>
          <w:tcPr>
            <w:tcW w:w="474" w:type="pct"/>
            <w:vAlign w:val="center"/>
          </w:tcPr>
          <w:p w:rsidR="00565FD5" w:rsidRPr="001131FC" w:rsidRDefault="00565FD5" w:rsidP="00AB62A3">
            <w:pPr>
              <w:jc w:val="right"/>
              <w:rPr>
                <w:rFonts w:cs="Tahoma"/>
                <w:sz w:val="14"/>
                <w:szCs w:val="16"/>
              </w:rPr>
            </w:pPr>
            <w:r w:rsidRPr="001131FC">
              <w:rPr>
                <w:rFonts w:cs="Tahoma"/>
                <w:sz w:val="14"/>
                <w:szCs w:val="16"/>
              </w:rPr>
              <w:t>24</w:t>
            </w:r>
          </w:p>
        </w:tc>
        <w:tc>
          <w:tcPr>
            <w:tcW w:w="403" w:type="pct"/>
            <w:vAlign w:val="center"/>
          </w:tcPr>
          <w:p w:rsidR="00565FD5" w:rsidRPr="001131FC" w:rsidRDefault="00565FD5" w:rsidP="00AB62A3">
            <w:pPr>
              <w:jc w:val="right"/>
              <w:rPr>
                <w:rFonts w:cs="Tahoma"/>
                <w:sz w:val="14"/>
                <w:szCs w:val="16"/>
              </w:rPr>
            </w:pPr>
            <w:r w:rsidRPr="001131FC">
              <w:rPr>
                <w:rFonts w:cs="Tahoma"/>
                <w:sz w:val="14"/>
                <w:szCs w:val="16"/>
              </w:rPr>
              <w:t>0</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49</w:t>
            </w:r>
          </w:p>
        </w:tc>
        <w:tc>
          <w:tcPr>
            <w:tcW w:w="538" w:type="pct"/>
            <w:vAlign w:val="center"/>
          </w:tcPr>
          <w:p w:rsidR="00565FD5" w:rsidRPr="001131FC" w:rsidRDefault="00565FD5" w:rsidP="00AB62A3">
            <w:pPr>
              <w:jc w:val="right"/>
              <w:rPr>
                <w:rFonts w:cs="Tahoma"/>
                <w:sz w:val="14"/>
                <w:szCs w:val="16"/>
              </w:rPr>
            </w:pPr>
            <w:r w:rsidRPr="001131FC">
              <w:rPr>
                <w:rFonts w:cs="Tahoma"/>
                <w:sz w:val="14"/>
                <w:szCs w:val="16"/>
              </w:rPr>
              <w:t>350</w:t>
            </w:r>
          </w:p>
        </w:tc>
        <w:tc>
          <w:tcPr>
            <w:tcW w:w="419" w:type="pct"/>
            <w:vAlign w:val="center"/>
          </w:tcPr>
          <w:p w:rsidR="00565FD5" w:rsidRPr="001131FC" w:rsidRDefault="00565FD5" w:rsidP="00AB62A3">
            <w:pPr>
              <w:jc w:val="right"/>
              <w:rPr>
                <w:rFonts w:cs="Tahoma"/>
                <w:sz w:val="14"/>
                <w:szCs w:val="16"/>
              </w:rPr>
            </w:pPr>
            <w:r w:rsidRPr="001131FC">
              <w:rPr>
                <w:rFonts w:cs="Tahoma"/>
                <w:sz w:val="14"/>
                <w:szCs w:val="16"/>
              </w:rPr>
              <w:t>7 650</w:t>
            </w:r>
          </w:p>
        </w:tc>
        <w:tc>
          <w:tcPr>
            <w:tcW w:w="306" w:type="pct"/>
            <w:vAlign w:val="center"/>
          </w:tcPr>
          <w:p w:rsidR="00565FD5" w:rsidRPr="001131FC" w:rsidRDefault="00565FD5" w:rsidP="00AB62A3">
            <w:pPr>
              <w:jc w:val="right"/>
              <w:rPr>
                <w:rFonts w:cs="Tahoma"/>
                <w:sz w:val="14"/>
                <w:szCs w:val="16"/>
              </w:rPr>
            </w:pPr>
            <w:r w:rsidRPr="001131FC">
              <w:rPr>
                <w:rFonts w:cs="Tahoma"/>
                <w:sz w:val="14"/>
                <w:szCs w:val="16"/>
              </w:rPr>
              <w:t>16,8</w:t>
            </w:r>
          </w:p>
        </w:tc>
        <w:tc>
          <w:tcPr>
            <w:tcW w:w="480" w:type="pct"/>
            <w:vAlign w:val="center"/>
          </w:tcPr>
          <w:p w:rsidR="00565FD5" w:rsidRPr="001131FC" w:rsidRDefault="00565FD5" w:rsidP="00AB62A3">
            <w:pPr>
              <w:jc w:val="right"/>
              <w:rPr>
                <w:rFonts w:cs="Tahoma"/>
                <w:sz w:val="14"/>
                <w:szCs w:val="16"/>
              </w:rPr>
            </w:pPr>
            <w:r w:rsidRPr="001131FC">
              <w:rPr>
                <w:rFonts w:cs="Tahoma"/>
                <w:sz w:val="14"/>
                <w:szCs w:val="16"/>
              </w:rPr>
              <w:t>7 325</w:t>
            </w:r>
          </w:p>
        </w:tc>
        <w:tc>
          <w:tcPr>
            <w:tcW w:w="420" w:type="pct"/>
            <w:vAlign w:val="center"/>
          </w:tcPr>
          <w:p w:rsidR="00565FD5" w:rsidRPr="001131FC" w:rsidRDefault="00565FD5" w:rsidP="00AB62A3">
            <w:pPr>
              <w:jc w:val="right"/>
              <w:rPr>
                <w:rFonts w:cs="Tahoma"/>
                <w:sz w:val="14"/>
                <w:szCs w:val="16"/>
              </w:rPr>
            </w:pPr>
            <w:r w:rsidRPr="001131FC">
              <w:rPr>
                <w:rFonts w:cs="Tahoma"/>
                <w:sz w:val="14"/>
                <w:szCs w:val="16"/>
              </w:rPr>
              <w:t>14 975</w:t>
            </w:r>
          </w:p>
        </w:tc>
        <w:tc>
          <w:tcPr>
            <w:tcW w:w="392" w:type="pct"/>
            <w:tcBorders>
              <w:right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23,5</w:t>
            </w:r>
          </w:p>
        </w:tc>
      </w:tr>
      <w:tr w:rsidR="00565FD5" w:rsidRPr="001131FC" w:rsidTr="00AB62A3">
        <w:trPr>
          <w:trHeight w:val="326"/>
        </w:trPr>
        <w:tc>
          <w:tcPr>
            <w:tcW w:w="660" w:type="pct"/>
            <w:tcBorders>
              <w:top w:val="single" w:sz="4" w:space="0" w:color="auto"/>
              <w:left w:val="single" w:sz="4" w:space="0" w:color="auto"/>
              <w:bottom w:val="single" w:sz="4" w:space="0" w:color="auto"/>
            </w:tcBorders>
            <w:vAlign w:val="center"/>
          </w:tcPr>
          <w:p w:rsidR="00565FD5" w:rsidRPr="001131FC" w:rsidRDefault="00565FD5" w:rsidP="00AB62A3">
            <w:pPr>
              <w:rPr>
                <w:rFonts w:cs="Tahoma"/>
                <w:b/>
                <w:snapToGrid w:val="0"/>
                <w:sz w:val="14"/>
                <w:szCs w:val="18"/>
              </w:rPr>
            </w:pPr>
            <w:r w:rsidRPr="001131FC">
              <w:rPr>
                <w:rFonts w:cs="Tahoma"/>
                <w:b/>
                <w:snapToGrid w:val="0"/>
                <w:sz w:val="14"/>
                <w:szCs w:val="18"/>
              </w:rPr>
              <w:t>Toplam</w:t>
            </w:r>
          </w:p>
        </w:tc>
        <w:tc>
          <w:tcPr>
            <w:tcW w:w="48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33 000</w:t>
            </w:r>
          </w:p>
        </w:tc>
        <w:tc>
          <w:tcPr>
            <w:tcW w:w="474"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9 997</w:t>
            </w:r>
          </w:p>
        </w:tc>
        <w:tc>
          <w:tcPr>
            <w:tcW w:w="403"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790</w:t>
            </w:r>
          </w:p>
        </w:tc>
        <w:tc>
          <w:tcPr>
            <w:tcW w:w="41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49</w:t>
            </w:r>
          </w:p>
        </w:tc>
        <w:tc>
          <w:tcPr>
            <w:tcW w:w="538"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1 813</w:t>
            </w:r>
          </w:p>
        </w:tc>
        <w:tc>
          <w:tcPr>
            <w:tcW w:w="41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45 649</w:t>
            </w:r>
          </w:p>
        </w:tc>
        <w:tc>
          <w:tcPr>
            <w:tcW w:w="306"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100,0</w:t>
            </w:r>
          </w:p>
        </w:tc>
        <w:tc>
          <w:tcPr>
            <w:tcW w:w="480"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18 156</w:t>
            </w:r>
          </w:p>
        </w:tc>
        <w:tc>
          <w:tcPr>
            <w:tcW w:w="420"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63 805</w:t>
            </w:r>
          </w:p>
        </w:tc>
        <w:tc>
          <w:tcPr>
            <w:tcW w:w="392" w:type="pct"/>
            <w:tcBorders>
              <w:top w:val="single" w:sz="4" w:space="0" w:color="auto"/>
              <w:bottom w:val="single" w:sz="4" w:space="0" w:color="auto"/>
              <w:right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100,0</w:t>
            </w:r>
          </w:p>
        </w:tc>
      </w:tr>
      <w:tr w:rsidR="00565FD5" w:rsidRPr="001131FC" w:rsidTr="00AB62A3">
        <w:trPr>
          <w:trHeight w:val="326"/>
        </w:trPr>
        <w:tc>
          <w:tcPr>
            <w:tcW w:w="660" w:type="pct"/>
            <w:tcBorders>
              <w:top w:val="single" w:sz="4" w:space="0" w:color="auto"/>
              <w:left w:val="single" w:sz="4" w:space="0" w:color="auto"/>
              <w:bottom w:val="single" w:sz="4" w:space="0" w:color="auto"/>
            </w:tcBorders>
            <w:vAlign w:val="center"/>
          </w:tcPr>
          <w:p w:rsidR="00565FD5" w:rsidRPr="001131FC" w:rsidRDefault="00565FD5" w:rsidP="00AB62A3">
            <w:pPr>
              <w:rPr>
                <w:rFonts w:cs="Tahoma"/>
                <w:b/>
                <w:snapToGrid w:val="0"/>
                <w:sz w:val="14"/>
                <w:szCs w:val="18"/>
              </w:rPr>
            </w:pPr>
            <w:r w:rsidRPr="001131FC">
              <w:rPr>
                <w:rFonts w:cs="Tahoma"/>
                <w:b/>
                <w:snapToGrid w:val="0"/>
                <w:sz w:val="14"/>
                <w:szCs w:val="18"/>
              </w:rPr>
              <w:lastRenderedPageBreak/>
              <w:t>Yüzde Dağılım</w:t>
            </w:r>
          </w:p>
        </w:tc>
        <w:tc>
          <w:tcPr>
            <w:tcW w:w="48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72,3</w:t>
            </w:r>
          </w:p>
        </w:tc>
        <w:tc>
          <w:tcPr>
            <w:tcW w:w="474"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21,9</w:t>
            </w:r>
          </w:p>
        </w:tc>
        <w:tc>
          <w:tcPr>
            <w:tcW w:w="403"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1,7</w:t>
            </w:r>
          </w:p>
        </w:tc>
        <w:tc>
          <w:tcPr>
            <w:tcW w:w="41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0,1</w:t>
            </w:r>
          </w:p>
        </w:tc>
        <w:tc>
          <w:tcPr>
            <w:tcW w:w="538"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4,0</w:t>
            </w:r>
          </w:p>
        </w:tc>
        <w:tc>
          <w:tcPr>
            <w:tcW w:w="41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100,0</w:t>
            </w:r>
          </w:p>
        </w:tc>
        <w:tc>
          <w:tcPr>
            <w:tcW w:w="306"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 </w:t>
            </w:r>
          </w:p>
        </w:tc>
        <w:tc>
          <w:tcPr>
            <w:tcW w:w="480"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 </w:t>
            </w:r>
          </w:p>
        </w:tc>
        <w:tc>
          <w:tcPr>
            <w:tcW w:w="420"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 </w:t>
            </w:r>
          </w:p>
        </w:tc>
        <w:tc>
          <w:tcPr>
            <w:tcW w:w="392" w:type="pct"/>
            <w:tcBorders>
              <w:top w:val="single" w:sz="4" w:space="0" w:color="auto"/>
              <w:bottom w:val="single" w:sz="4" w:space="0" w:color="auto"/>
              <w:right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 </w:t>
            </w:r>
          </w:p>
        </w:tc>
      </w:tr>
      <w:tr w:rsidR="00565FD5" w:rsidRPr="001131FC" w:rsidTr="00AB62A3">
        <w:trPr>
          <w:trHeight w:val="326"/>
        </w:trPr>
        <w:tc>
          <w:tcPr>
            <w:tcW w:w="660" w:type="pct"/>
            <w:tcBorders>
              <w:top w:val="single" w:sz="4" w:space="0" w:color="auto"/>
              <w:left w:val="single" w:sz="4" w:space="0" w:color="auto"/>
              <w:bottom w:val="single" w:sz="4" w:space="0" w:color="auto"/>
            </w:tcBorders>
            <w:vAlign w:val="center"/>
          </w:tcPr>
          <w:p w:rsidR="00565FD5" w:rsidRPr="001131FC" w:rsidRDefault="00565FD5" w:rsidP="00AB62A3">
            <w:pPr>
              <w:rPr>
                <w:rFonts w:cs="Tahoma"/>
                <w:b/>
                <w:snapToGrid w:val="0"/>
                <w:sz w:val="14"/>
                <w:szCs w:val="18"/>
              </w:rPr>
            </w:pPr>
            <w:r w:rsidRPr="001131FC">
              <w:rPr>
                <w:rFonts w:cs="Tahoma"/>
                <w:b/>
                <w:snapToGrid w:val="0"/>
                <w:sz w:val="14"/>
                <w:szCs w:val="18"/>
              </w:rPr>
              <w:t>Yüzde Dağılım</w:t>
            </w:r>
          </w:p>
        </w:tc>
        <w:tc>
          <w:tcPr>
            <w:tcW w:w="48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51,7</w:t>
            </w:r>
          </w:p>
        </w:tc>
        <w:tc>
          <w:tcPr>
            <w:tcW w:w="474"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15,7</w:t>
            </w:r>
          </w:p>
        </w:tc>
        <w:tc>
          <w:tcPr>
            <w:tcW w:w="403"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1,2</w:t>
            </w:r>
          </w:p>
        </w:tc>
        <w:tc>
          <w:tcPr>
            <w:tcW w:w="41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0,1</w:t>
            </w:r>
          </w:p>
        </w:tc>
        <w:tc>
          <w:tcPr>
            <w:tcW w:w="538"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2,8</w:t>
            </w:r>
          </w:p>
        </w:tc>
        <w:tc>
          <w:tcPr>
            <w:tcW w:w="419"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71,5</w:t>
            </w:r>
          </w:p>
        </w:tc>
        <w:tc>
          <w:tcPr>
            <w:tcW w:w="306"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 </w:t>
            </w:r>
          </w:p>
        </w:tc>
        <w:tc>
          <w:tcPr>
            <w:tcW w:w="480"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28,5</w:t>
            </w:r>
          </w:p>
        </w:tc>
        <w:tc>
          <w:tcPr>
            <w:tcW w:w="420" w:type="pct"/>
            <w:tcBorders>
              <w:top w:val="single" w:sz="4" w:space="0" w:color="auto"/>
              <w:bottom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100,0</w:t>
            </w:r>
          </w:p>
        </w:tc>
        <w:tc>
          <w:tcPr>
            <w:tcW w:w="392" w:type="pct"/>
            <w:tcBorders>
              <w:top w:val="single" w:sz="4" w:space="0" w:color="auto"/>
              <w:bottom w:val="single" w:sz="4" w:space="0" w:color="auto"/>
              <w:right w:val="single" w:sz="4" w:space="0" w:color="auto"/>
            </w:tcBorders>
            <w:vAlign w:val="bottom"/>
          </w:tcPr>
          <w:p w:rsidR="00565FD5" w:rsidRPr="001131FC" w:rsidRDefault="00565FD5" w:rsidP="00AB62A3">
            <w:pPr>
              <w:jc w:val="right"/>
              <w:rPr>
                <w:rFonts w:cs="Tahoma"/>
                <w:b/>
                <w:sz w:val="14"/>
                <w:szCs w:val="16"/>
              </w:rPr>
            </w:pPr>
            <w:r w:rsidRPr="001131FC">
              <w:rPr>
                <w:rFonts w:cs="Tahoma"/>
                <w:b/>
                <w:sz w:val="14"/>
                <w:szCs w:val="16"/>
              </w:rPr>
              <w:t> </w:t>
            </w:r>
          </w:p>
        </w:tc>
      </w:tr>
    </w:tbl>
    <w:p w:rsidR="00565FD5" w:rsidRPr="001131FC" w:rsidRDefault="00565FD5" w:rsidP="00565FD5">
      <w:pPr>
        <w:rPr>
          <w:rFonts w:cs="Tahoma"/>
          <w:snapToGrid w:val="0"/>
          <w:sz w:val="14"/>
          <w:szCs w:val="14"/>
        </w:rPr>
      </w:pPr>
      <w:r w:rsidRPr="001131FC">
        <w:rPr>
          <w:rFonts w:cs="Tahoma"/>
          <w:snapToGrid w:val="0"/>
          <w:sz w:val="14"/>
          <w:szCs w:val="14"/>
        </w:rPr>
        <w:t>Kaynak: Kalkınma Bakanlığı</w:t>
      </w:r>
    </w:p>
    <w:p w:rsidR="00565FD5" w:rsidRPr="001131FC" w:rsidRDefault="00565FD5" w:rsidP="00565FD5">
      <w:pPr>
        <w:rPr>
          <w:rFonts w:cs="Tahoma"/>
          <w:snapToGrid w:val="0"/>
          <w:sz w:val="14"/>
          <w:szCs w:val="14"/>
        </w:rPr>
      </w:pPr>
      <w:r w:rsidRPr="001131FC">
        <w:rPr>
          <w:rFonts w:cs="Tahoma"/>
          <w:snapToGrid w:val="0"/>
          <w:sz w:val="14"/>
          <w:szCs w:val="14"/>
        </w:rPr>
        <w:t xml:space="preserve">(1) Program </w:t>
      </w:r>
    </w:p>
    <w:p w:rsidR="00565FD5" w:rsidRDefault="00565FD5" w:rsidP="00565FD5">
      <w:pPr>
        <w:rPr>
          <w:rFonts w:cs="Tahoma"/>
          <w:snapToGrid w:val="0"/>
          <w:sz w:val="14"/>
          <w:szCs w:val="14"/>
        </w:rPr>
      </w:pPr>
      <w:r w:rsidRPr="001131FC">
        <w:rPr>
          <w:rFonts w:cs="Tahoma"/>
          <w:snapToGrid w:val="0"/>
          <w:sz w:val="14"/>
          <w:szCs w:val="14"/>
        </w:rPr>
        <w:t>(2) Yatırım işçiliği hariç</w:t>
      </w:r>
    </w:p>
    <w:p w:rsidR="00565FD5" w:rsidRDefault="00565FD5" w:rsidP="00565FD5">
      <w:pPr>
        <w:rPr>
          <w:rFonts w:cs="Tahoma"/>
          <w:snapToGrid w:val="0"/>
          <w:sz w:val="14"/>
          <w:szCs w:val="14"/>
        </w:rPr>
      </w:pPr>
    </w:p>
    <w:p w:rsidR="00565FD5" w:rsidRPr="001131FC" w:rsidRDefault="00565FD5" w:rsidP="00565FD5">
      <w:pPr>
        <w:rPr>
          <w:rFonts w:cs="Tahoma"/>
          <w:snapToGrid w:val="0"/>
          <w:sz w:val="14"/>
          <w:szCs w:val="14"/>
        </w:rPr>
        <w:sectPr w:rsidR="00565FD5" w:rsidRPr="001131FC" w:rsidSect="00B50093">
          <w:pgSz w:w="16838" w:h="11906" w:orient="landscape" w:code="9"/>
          <w:pgMar w:top="2381" w:right="2948" w:bottom="2381" w:left="2948" w:header="1985" w:footer="1985" w:gutter="0"/>
          <w:cols w:space="708"/>
          <w:noEndnote/>
        </w:sectPr>
      </w:pPr>
    </w:p>
    <w:p w:rsidR="00565FD5" w:rsidRDefault="00565FD5" w:rsidP="00565FD5">
      <w:pPr>
        <w:rPr>
          <w:rFonts w:cs="Tahoma"/>
          <w:snapToGrid w:val="0"/>
          <w:sz w:val="14"/>
          <w:szCs w:val="16"/>
        </w:rPr>
      </w:pPr>
      <w:bookmarkStart w:id="485" w:name="_Toc149926706"/>
      <w:bookmarkStart w:id="486" w:name="_Toc150099337"/>
      <w:bookmarkStart w:id="487" w:name="_Toc181274093"/>
      <w:bookmarkStart w:id="488" w:name="_Toc181286372"/>
      <w:bookmarkStart w:id="489" w:name="_Toc213071582"/>
      <w:bookmarkStart w:id="490" w:name="_Toc244339788"/>
      <w:bookmarkStart w:id="491" w:name="_Toc275873815"/>
      <w:bookmarkStart w:id="492" w:name="_Toc276076439"/>
      <w:bookmarkStart w:id="493" w:name="_Toc307601603"/>
      <w:bookmarkStart w:id="494" w:name="_Toc307657845"/>
      <w:bookmarkStart w:id="495" w:name="_Toc307713510"/>
    </w:p>
    <w:p w:rsidR="00565FD5" w:rsidRPr="00557693" w:rsidRDefault="00565FD5" w:rsidP="00565FD5">
      <w:pPr>
        <w:rPr>
          <w:rFonts w:cs="Tahoma"/>
          <w:snapToGrid w:val="0"/>
          <w:sz w:val="14"/>
          <w:szCs w:val="16"/>
        </w:rPr>
      </w:pPr>
    </w:p>
    <w:p w:rsidR="00565FD5" w:rsidRPr="001131FC" w:rsidRDefault="00565FD5" w:rsidP="00565FD5">
      <w:pPr>
        <w:pStyle w:val="ResimYazs"/>
        <w:rPr>
          <w:b w:val="0"/>
          <w:snapToGrid w:val="0"/>
        </w:rPr>
      </w:pPr>
      <w:bookmarkStart w:id="496" w:name="_Toc338605965"/>
      <w:bookmarkStart w:id="497" w:name="_Toc338711740"/>
      <w:r>
        <w:t xml:space="preserve">TABLO II: </w:t>
      </w:r>
      <w:fldSimple w:instr=" SEQ TABLO_II: \* ARABIC ">
        <w:r>
          <w:rPr>
            <w:noProof/>
          </w:rPr>
          <w:t>13</w:t>
        </w:r>
      </w:fldSimple>
      <w:r w:rsidRPr="00557693">
        <w:t>-</w:t>
      </w:r>
      <w:r w:rsidRPr="00557693">
        <w:rPr>
          <w:snapToGrid w:val="0"/>
        </w:rPr>
        <w:t xml:space="preserve"> Sabit Sermaye Yatırımlarının Sektörel Dağılımı</w:t>
      </w:r>
      <w:r w:rsidRPr="001131FC">
        <w:rPr>
          <w:b w:val="0"/>
          <w:snapToGrid w:val="0"/>
        </w:rPr>
        <w:t xml:space="preserve"> (1)</w:t>
      </w:r>
      <w:bookmarkEnd w:id="485"/>
      <w:bookmarkEnd w:id="486"/>
      <w:bookmarkEnd w:id="487"/>
      <w:bookmarkEnd w:id="488"/>
      <w:bookmarkEnd w:id="489"/>
      <w:bookmarkEnd w:id="490"/>
      <w:bookmarkEnd w:id="491"/>
      <w:bookmarkEnd w:id="492"/>
      <w:bookmarkEnd w:id="493"/>
      <w:bookmarkEnd w:id="494"/>
      <w:bookmarkEnd w:id="495"/>
      <w:bookmarkEnd w:id="496"/>
      <w:bookmarkEnd w:id="497"/>
    </w:p>
    <w:p w:rsidR="00565FD5" w:rsidRPr="001131FC" w:rsidRDefault="00565FD5" w:rsidP="00565FD5">
      <w:pPr>
        <w:ind w:right="84"/>
        <w:jc w:val="right"/>
        <w:rPr>
          <w:rFonts w:cs="Tahoma"/>
          <w:snapToGrid w:val="0"/>
          <w:sz w:val="14"/>
          <w:szCs w:val="14"/>
        </w:rPr>
      </w:pPr>
      <w:r w:rsidRPr="001131FC">
        <w:rPr>
          <w:rFonts w:cs="Tahoma"/>
          <w:snapToGrid w:val="0"/>
          <w:sz w:val="14"/>
          <w:szCs w:val="14"/>
        </w:rPr>
        <w:t>(Cari Fiyatlarla, Milyon TL)</w:t>
      </w:r>
    </w:p>
    <w:tbl>
      <w:tblPr>
        <w:tblW w:w="10915" w:type="dxa"/>
        <w:tblInd w:w="85" w:type="dxa"/>
        <w:tblBorders>
          <w:top w:val="single" w:sz="4" w:space="0" w:color="auto"/>
          <w:left w:val="single" w:sz="4" w:space="0" w:color="auto"/>
          <w:bottom w:val="single" w:sz="4" w:space="0" w:color="auto"/>
          <w:right w:val="single" w:sz="4" w:space="0" w:color="auto"/>
        </w:tblBorders>
        <w:tblCellMar>
          <w:left w:w="85" w:type="dxa"/>
          <w:right w:w="85" w:type="dxa"/>
        </w:tblCellMar>
        <w:tblLook w:val="0000"/>
      </w:tblPr>
      <w:tblGrid>
        <w:gridCol w:w="1534"/>
        <w:gridCol w:w="928"/>
        <w:gridCol w:w="928"/>
        <w:gridCol w:w="991"/>
        <w:gridCol w:w="327"/>
        <w:gridCol w:w="926"/>
        <w:gridCol w:w="926"/>
        <w:gridCol w:w="1039"/>
        <w:gridCol w:w="327"/>
        <w:gridCol w:w="926"/>
        <w:gridCol w:w="1037"/>
        <w:gridCol w:w="1026"/>
      </w:tblGrid>
      <w:tr w:rsidR="00565FD5" w:rsidRPr="001131FC" w:rsidTr="00AB62A3">
        <w:trPr>
          <w:trHeight w:val="287"/>
        </w:trPr>
        <w:tc>
          <w:tcPr>
            <w:tcW w:w="703" w:type="pct"/>
            <w:tcBorders>
              <w:top w:val="single" w:sz="4" w:space="0" w:color="auto"/>
              <w:bottom w:val="nil"/>
            </w:tcBorders>
            <w:vAlign w:val="center"/>
          </w:tcPr>
          <w:p w:rsidR="00565FD5" w:rsidRPr="001131FC" w:rsidRDefault="00565FD5" w:rsidP="00AB62A3">
            <w:pPr>
              <w:jc w:val="center"/>
              <w:rPr>
                <w:rFonts w:cs="Tahoma"/>
                <w:b/>
                <w:snapToGrid w:val="0"/>
                <w:sz w:val="14"/>
                <w:szCs w:val="16"/>
              </w:rPr>
            </w:pPr>
          </w:p>
        </w:tc>
        <w:tc>
          <w:tcPr>
            <w:tcW w:w="1303" w:type="pct"/>
            <w:gridSpan w:val="3"/>
            <w:tcBorders>
              <w:top w:val="single" w:sz="4" w:space="0" w:color="auto"/>
              <w:bottom w:val="single" w:sz="4" w:space="0" w:color="auto"/>
            </w:tcBorders>
            <w:vAlign w:val="center"/>
          </w:tcPr>
          <w:p w:rsidR="00565FD5" w:rsidRPr="001131FC" w:rsidRDefault="00565FD5" w:rsidP="00AB62A3">
            <w:pPr>
              <w:jc w:val="center"/>
              <w:rPr>
                <w:rFonts w:cs="Tahoma"/>
                <w:b/>
                <w:snapToGrid w:val="0"/>
                <w:sz w:val="14"/>
                <w:szCs w:val="16"/>
              </w:rPr>
            </w:pPr>
            <w:r w:rsidRPr="001131FC">
              <w:rPr>
                <w:rFonts w:cs="Tahoma"/>
                <w:b/>
                <w:snapToGrid w:val="0"/>
                <w:sz w:val="14"/>
                <w:szCs w:val="16"/>
              </w:rPr>
              <w:t>2011</w:t>
            </w:r>
          </w:p>
        </w:tc>
        <w:tc>
          <w:tcPr>
            <w:tcW w:w="150" w:type="pct"/>
            <w:tcBorders>
              <w:top w:val="single" w:sz="4" w:space="0" w:color="auto"/>
              <w:bottom w:val="nil"/>
            </w:tcBorders>
            <w:vAlign w:val="center"/>
          </w:tcPr>
          <w:p w:rsidR="00565FD5" w:rsidRPr="001131FC" w:rsidRDefault="00565FD5" w:rsidP="00AB62A3">
            <w:pPr>
              <w:jc w:val="center"/>
              <w:rPr>
                <w:rFonts w:cs="Tahoma"/>
                <w:b/>
                <w:snapToGrid w:val="0"/>
                <w:sz w:val="14"/>
                <w:szCs w:val="16"/>
              </w:rPr>
            </w:pPr>
          </w:p>
        </w:tc>
        <w:tc>
          <w:tcPr>
            <w:tcW w:w="1324" w:type="pct"/>
            <w:gridSpan w:val="3"/>
            <w:tcBorders>
              <w:top w:val="single" w:sz="4" w:space="0" w:color="auto"/>
              <w:bottom w:val="single" w:sz="4" w:space="0" w:color="auto"/>
            </w:tcBorders>
            <w:vAlign w:val="center"/>
          </w:tcPr>
          <w:p w:rsidR="00565FD5" w:rsidRPr="001131FC" w:rsidRDefault="00565FD5" w:rsidP="00AB62A3">
            <w:pPr>
              <w:jc w:val="center"/>
              <w:rPr>
                <w:rFonts w:cs="Tahoma"/>
                <w:b/>
                <w:snapToGrid w:val="0"/>
                <w:sz w:val="14"/>
                <w:szCs w:val="16"/>
              </w:rPr>
            </w:pPr>
            <w:r w:rsidRPr="001131FC">
              <w:rPr>
                <w:rFonts w:cs="Tahoma"/>
                <w:b/>
                <w:snapToGrid w:val="0"/>
                <w:sz w:val="14"/>
                <w:szCs w:val="16"/>
              </w:rPr>
              <w:t>2012 (2)</w:t>
            </w:r>
          </w:p>
        </w:tc>
        <w:tc>
          <w:tcPr>
            <w:tcW w:w="150" w:type="pct"/>
            <w:tcBorders>
              <w:top w:val="single" w:sz="4" w:space="0" w:color="auto"/>
              <w:bottom w:val="nil"/>
            </w:tcBorders>
            <w:vAlign w:val="center"/>
          </w:tcPr>
          <w:p w:rsidR="00565FD5" w:rsidRPr="001131FC" w:rsidRDefault="00565FD5" w:rsidP="00AB62A3">
            <w:pPr>
              <w:jc w:val="center"/>
              <w:rPr>
                <w:rFonts w:cs="Tahoma"/>
                <w:b/>
                <w:snapToGrid w:val="0"/>
                <w:sz w:val="14"/>
                <w:szCs w:val="16"/>
              </w:rPr>
            </w:pPr>
          </w:p>
        </w:tc>
        <w:tc>
          <w:tcPr>
            <w:tcW w:w="1370" w:type="pct"/>
            <w:gridSpan w:val="3"/>
            <w:tcBorders>
              <w:top w:val="single" w:sz="4" w:space="0" w:color="auto"/>
              <w:bottom w:val="single" w:sz="4" w:space="0" w:color="auto"/>
            </w:tcBorders>
            <w:vAlign w:val="center"/>
          </w:tcPr>
          <w:p w:rsidR="00565FD5" w:rsidRPr="001131FC" w:rsidRDefault="00565FD5" w:rsidP="00AB62A3">
            <w:pPr>
              <w:jc w:val="center"/>
              <w:rPr>
                <w:rFonts w:cs="Tahoma"/>
                <w:b/>
                <w:snapToGrid w:val="0"/>
                <w:sz w:val="14"/>
                <w:szCs w:val="16"/>
              </w:rPr>
            </w:pPr>
            <w:r w:rsidRPr="001131FC">
              <w:rPr>
                <w:rFonts w:cs="Tahoma"/>
                <w:b/>
                <w:snapToGrid w:val="0"/>
                <w:sz w:val="14"/>
                <w:szCs w:val="16"/>
              </w:rPr>
              <w:t>2013 (3)</w:t>
            </w:r>
          </w:p>
        </w:tc>
      </w:tr>
      <w:tr w:rsidR="00565FD5" w:rsidRPr="001131FC" w:rsidTr="00AB62A3">
        <w:trPr>
          <w:trHeight w:val="287"/>
        </w:trPr>
        <w:tc>
          <w:tcPr>
            <w:tcW w:w="703" w:type="pct"/>
            <w:tcBorders>
              <w:top w:val="nil"/>
              <w:bottom w:val="single" w:sz="4" w:space="0" w:color="auto"/>
            </w:tcBorders>
            <w:vAlign w:val="center"/>
          </w:tcPr>
          <w:p w:rsidR="00565FD5" w:rsidRPr="001131FC" w:rsidRDefault="00565FD5" w:rsidP="00AB62A3">
            <w:pPr>
              <w:jc w:val="center"/>
              <w:rPr>
                <w:rFonts w:cs="Tahoma"/>
                <w:b/>
                <w:snapToGrid w:val="0"/>
                <w:sz w:val="14"/>
                <w:szCs w:val="16"/>
              </w:rPr>
            </w:pPr>
          </w:p>
        </w:tc>
        <w:tc>
          <w:tcPr>
            <w:tcW w:w="425" w:type="pct"/>
            <w:tcBorders>
              <w:top w:val="nil"/>
              <w:bottom w:val="single" w:sz="4" w:space="0" w:color="auto"/>
            </w:tcBorders>
            <w:vAlign w:val="center"/>
          </w:tcPr>
          <w:p w:rsidR="00565FD5" w:rsidRPr="001131FC" w:rsidRDefault="00565FD5" w:rsidP="00AB62A3">
            <w:pPr>
              <w:jc w:val="right"/>
              <w:rPr>
                <w:rFonts w:cs="Tahoma"/>
                <w:b/>
                <w:sz w:val="14"/>
                <w:szCs w:val="16"/>
              </w:rPr>
            </w:pPr>
            <w:r w:rsidRPr="001131FC">
              <w:rPr>
                <w:rFonts w:cs="Tahoma"/>
                <w:b/>
                <w:snapToGrid w:val="0"/>
                <w:sz w:val="14"/>
                <w:szCs w:val="16"/>
              </w:rPr>
              <w:t>Kamu</w:t>
            </w:r>
          </w:p>
        </w:tc>
        <w:tc>
          <w:tcPr>
            <w:tcW w:w="425" w:type="pct"/>
            <w:tcBorders>
              <w:top w:val="nil"/>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Özel</w:t>
            </w:r>
          </w:p>
        </w:tc>
        <w:tc>
          <w:tcPr>
            <w:tcW w:w="454" w:type="pct"/>
            <w:tcBorders>
              <w:top w:val="nil"/>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Toplam</w:t>
            </w:r>
          </w:p>
        </w:tc>
        <w:tc>
          <w:tcPr>
            <w:tcW w:w="150" w:type="pct"/>
            <w:tcBorders>
              <w:top w:val="nil"/>
              <w:bottom w:val="nil"/>
            </w:tcBorders>
            <w:vAlign w:val="center"/>
          </w:tcPr>
          <w:p w:rsidR="00565FD5" w:rsidRPr="001131FC" w:rsidRDefault="00565FD5" w:rsidP="00AB62A3">
            <w:pPr>
              <w:jc w:val="right"/>
              <w:rPr>
                <w:rFonts w:cs="Tahoma"/>
                <w:b/>
                <w:snapToGrid w:val="0"/>
                <w:sz w:val="14"/>
                <w:szCs w:val="16"/>
              </w:rPr>
            </w:pPr>
          </w:p>
        </w:tc>
        <w:tc>
          <w:tcPr>
            <w:tcW w:w="424" w:type="pct"/>
            <w:tcBorders>
              <w:top w:val="nil"/>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Kamu</w:t>
            </w:r>
          </w:p>
        </w:tc>
        <w:tc>
          <w:tcPr>
            <w:tcW w:w="424" w:type="pct"/>
            <w:tcBorders>
              <w:top w:val="nil"/>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Özel</w:t>
            </w:r>
          </w:p>
        </w:tc>
        <w:tc>
          <w:tcPr>
            <w:tcW w:w="476" w:type="pct"/>
            <w:tcBorders>
              <w:top w:val="nil"/>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Toplam</w:t>
            </w:r>
          </w:p>
        </w:tc>
        <w:tc>
          <w:tcPr>
            <w:tcW w:w="150" w:type="pct"/>
            <w:tcBorders>
              <w:top w:val="nil"/>
              <w:bottom w:val="nil"/>
            </w:tcBorders>
            <w:vAlign w:val="center"/>
          </w:tcPr>
          <w:p w:rsidR="00565FD5" w:rsidRPr="001131FC" w:rsidRDefault="00565FD5" w:rsidP="00AB62A3">
            <w:pPr>
              <w:jc w:val="right"/>
              <w:rPr>
                <w:rFonts w:cs="Tahoma"/>
                <w:b/>
                <w:snapToGrid w:val="0"/>
                <w:sz w:val="14"/>
                <w:szCs w:val="16"/>
              </w:rPr>
            </w:pPr>
          </w:p>
        </w:tc>
        <w:tc>
          <w:tcPr>
            <w:tcW w:w="424" w:type="pct"/>
            <w:tcBorders>
              <w:top w:val="nil"/>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Kamu</w:t>
            </w:r>
          </w:p>
        </w:tc>
        <w:tc>
          <w:tcPr>
            <w:tcW w:w="475" w:type="pct"/>
            <w:tcBorders>
              <w:top w:val="nil"/>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Özel</w:t>
            </w:r>
          </w:p>
        </w:tc>
        <w:tc>
          <w:tcPr>
            <w:tcW w:w="471" w:type="pct"/>
            <w:tcBorders>
              <w:top w:val="nil"/>
              <w:bottom w:val="single" w:sz="4" w:space="0" w:color="auto"/>
            </w:tcBorders>
            <w:vAlign w:val="center"/>
          </w:tcPr>
          <w:p w:rsidR="00565FD5" w:rsidRPr="001131FC" w:rsidRDefault="00565FD5" w:rsidP="00AB62A3">
            <w:pPr>
              <w:jc w:val="right"/>
              <w:rPr>
                <w:rFonts w:cs="Tahoma"/>
                <w:b/>
                <w:snapToGrid w:val="0"/>
                <w:sz w:val="14"/>
                <w:szCs w:val="16"/>
              </w:rPr>
            </w:pPr>
            <w:r w:rsidRPr="001131FC">
              <w:rPr>
                <w:rFonts w:cs="Tahoma"/>
                <w:b/>
                <w:snapToGrid w:val="0"/>
                <w:sz w:val="14"/>
                <w:szCs w:val="16"/>
              </w:rPr>
              <w:t>Toplam</w:t>
            </w:r>
          </w:p>
        </w:tc>
      </w:tr>
      <w:tr w:rsidR="00565FD5" w:rsidRPr="001131FC" w:rsidTr="00AB62A3">
        <w:trPr>
          <w:trHeight w:val="343"/>
        </w:trPr>
        <w:tc>
          <w:tcPr>
            <w:tcW w:w="703" w:type="pct"/>
            <w:tcBorders>
              <w:top w:val="nil"/>
            </w:tcBorders>
            <w:vAlign w:val="center"/>
          </w:tcPr>
          <w:p w:rsidR="00565FD5" w:rsidRPr="001131FC" w:rsidRDefault="00565FD5" w:rsidP="00AB62A3">
            <w:pPr>
              <w:rPr>
                <w:rFonts w:cs="Tahoma"/>
                <w:snapToGrid w:val="0"/>
                <w:sz w:val="14"/>
                <w:szCs w:val="16"/>
              </w:rPr>
            </w:pPr>
            <w:r w:rsidRPr="001131FC">
              <w:rPr>
                <w:rFonts w:cs="Tahoma"/>
                <w:snapToGrid w:val="0"/>
                <w:sz w:val="14"/>
                <w:szCs w:val="16"/>
              </w:rPr>
              <w:t>Tarım</w:t>
            </w:r>
          </w:p>
        </w:tc>
        <w:tc>
          <w:tcPr>
            <w:tcW w:w="425" w:type="pct"/>
            <w:tcBorders>
              <w:top w:val="nil"/>
            </w:tcBorders>
            <w:vAlign w:val="center"/>
          </w:tcPr>
          <w:p w:rsidR="00565FD5" w:rsidRPr="001131FC" w:rsidRDefault="00565FD5" w:rsidP="00AB62A3">
            <w:pPr>
              <w:jc w:val="right"/>
              <w:rPr>
                <w:rFonts w:cs="Tahoma"/>
                <w:sz w:val="14"/>
                <w:szCs w:val="16"/>
              </w:rPr>
            </w:pPr>
            <w:r w:rsidRPr="001131FC">
              <w:rPr>
                <w:rFonts w:cs="Tahoma"/>
                <w:sz w:val="14"/>
                <w:szCs w:val="16"/>
              </w:rPr>
              <w:t>5 209</w:t>
            </w:r>
          </w:p>
        </w:tc>
        <w:tc>
          <w:tcPr>
            <w:tcW w:w="425" w:type="pct"/>
            <w:tcBorders>
              <w:top w:val="nil"/>
            </w:tcBorders>
            <w:vAlign w:val="center"/>
          </w:tcPr>
          <w:p w:rsidR="00565FD5" w:rsidRPr="001131FC" w:rsidRDefault="00565FD5" w:rsidP="00AB62A3">
            <w:pPr>
              <w:jc w:val="right"/>
              <w:rPr>
                <w:rFonts w:cs="Tahoma"/>
                <w:sz w:val="14"/>
                <w:szCs w:val="16"/>
              </w:rPr>
            </w:pPr>
            <w:r w:rsidRPr="001131FC">
              <w:rPr>
                <w:rFonts w:cs="Tahoma"/>
                <w:sz w:val="14"/>
                <w:szCs w:val="16"/>
              </w:rPr>
              <w:t>7 762</w:t>
            </w:r>
          </w:p>
        </w:tc>
        <w:tc>
          <w:tcPr>
            <w:tcW w:w="454" w:type="pct"/>
            <w:tcBorders>
              <w:top w:val="nil"/>
            </w:tcBorders>
            <w:vAlign w:val="center"/>
          </w:tcPr>
          <w:p w:rsidR="00565FD5" w:rsidRPr="001131FC" w:rsidRDefault="00565FD5" w:rsidP="00AB62A3">
            <w:pPr>
              <w:jc w:val="right"/>
              <w:rPr>
                <w:rFonts w:cs="Tahoma"/>
                <w:sz w:val="14"/>
                <w:szCs w:val="16"/>
              </w:rPr>
            </w:pPr>
            <w:r w:rsidRPr="001131FC">
              <w:rPr>
                <w:rFonts w:cs="Tahoma"/>
                <w:sz w:val="14"/>
                <w:szCs w:val="16"/>
              </w:rPr>
              <w:t>12 971</w:t>
            </w:r>
          </w:p>
        </w:tc>
        <w:tc>
          <w:tcPr>
            <w:tcW w:w="150" w:type="pct"/>
            <w:tcBorders>
              <w:top w:val="nil"/>
            </w:tcBorders>
            <w:vAlign w:val="center"/>
          </w:tcPr>
          <w:p w:rsidR="00565FD5" w:rsidRPr="001131FC" w:rsidRDefault="00565FD5" w:rsidP="00AB62A3">
            <w:pPr>
              <w:jc w:val="right"/>
              <w:rPr>
                <w:rFonts w:cs="Tahoma"/>
                <w:sz w:val="14"/>
                <w:szCs w:val="16"/>
              </w:rPr>
            </w:pPr>
          </w:p>
        </w:tc>
        <w:tc>
          <w:tcPr>
            <w:tcW w:w="424" w:type="pct"/>
            <w:tcBorders>
              <w:top w:val="nil"/>
            </w:tcBorders>
            <w:vAlign w:val="center"/>
          </w:tcPr>
          <w:p w:rsidR="00565FD5" w:rsidRPr="001131FC" w:rsidRDefault="00565FD5" w:rsidP="00AB62A3">
            <w:pPr>
              <w:jc w:val="right"/>
              <w:rPr>
                <w:rFonts w:cs="Tahoma"/>
                <w:sz w:val="14"/>
                <w:szCs w:val="16"/>
              </w:rPr>
            </w:pPr>
            <w:r w:rsidRPr="001131FC">
              <w:rPr>
                <w:rFonts w:cs="Tahoma"/>
                <w:sz w:val="14"/>
                <w:szCs w:val="16"/>
              </w:rPr>
              <w:t>6 493</w:t>
            </w:r>
          </w:p>
        </w:tc>
        <w:tc>
          <w:tcPr>
            <w:tcW w:w="424" w:type="pct"/>
            <w:tcBorders>
              <w:top w:val="nil"/>
            </w:tcBorders>
            <w:vAlign w:val="center"/>
          </w:tcPr>
          <w:p w:rsidR="00565FD5" w:rsidRPr="001131FC" w:rsidRDefault="00565FD5" w:rsidP="00AB62A3">
            <w:pPr>
              <w:jc w:val="right"/>
              <w:rPr>
                <w:rFonts w:cs="Tahoma"/>
                <w:sz w:val="14"/>
                <w:szCs w:val="16"/>
              </w:rPr>
            </w:pPr>
            <w:r w:rsidRPr="001131FC">
              <w:rPr>
                <w:rFonts w:cs="Tahoma"/>
                <w:sz w:val="14"/>
                <w:szCs w:val="16"/>
              </w:rPr>
              <w:t>7 135</w:t>
            </w:r>
          </w:p>
        </w:tc>
        <w:tc>
          <w:tcPr>
            <w:tcW w:w="476" w:type="pct"/>
            <w:tcBorders>
              <w:top w:val="nil"/>
            </w:tcBorders>
            <w:vAlign w:val="center"/>
          </w:tcPr>
          <w:p w:rsidR="00565FD5" w:rsidRPr="001131FC" w:rsidRDefault="00565FD5" w:rsidP="00AB62A3">
            <w:pPr>
              <w:jc w:val="right"/>
              <w:rPr>
                <w:rFonts w:cs="Tahoma"/>
                <w:sz w:val="14"/>
                <w:szCs w:val="16"/>
              </w:rPr>
            </w:pPr>
            <w:r w:rsidRPr="001131FC">
              <w:rPr>
                <w:rFonts w:cs="Tahoma"/>
                <w:sz w:val="14"/>
                <w:szCs w:val="16"/>
              </w:rPr>
              <w:t>13 627</w:t>
            </w:r>
          </w:p>
        </w:tc>
        <w:tc>
          <w:tcPr>
            <w:tcW w:w="150" w:type="pct"/>
            <w:tcBorders>
              <w:top w:val="nil"/>
            </w:tcBorders>
            <w:vAlign w:val="center"/>
          </w:tcPr>
          <w:p w:rsidR="00565FD5" w:rsidRPr="001131FC" w:rsidRDefault="00565FD5" w:rsidP="00AB62A3">
            <w:pPr>
              <w:jc w:val="right"/>
              <w:rPr>
                <w:rFonts w:cs="Tahoma"/>
                <w:sz w:val="14"/>
                <w:szCs w:val="16"/>
              </w:rPr>
            </w:pPr>
          </w:p>
        </w:tc>
        <w:tc>
          <w:tcPr>
            <w:tcW w:w="424" w:type="pct"/>
            <w:tcBorders>
              <w:top w:val="nil"/>
            </w:tcBorders>
            <w:vAlign w:val="center"/>
          </w:tcPr>
          <w:p w:rsidR="00565FD5" w:rsidRPr="001131FC" w:rsidRDefault="00565FD5" w:rsidP="00AB62A3">
            <w:pPr>
              <w:jc w:val="right"/>
              <w:rPr>
                <w:rFonts w:cs="Tahoma"/>
                <w:sz w:val="14"/>
                <w:szCs w:val="16"/>
              </w:rPr>
            </w:pPr>
            <w:r w:rsidRPr="001131FC">
              <w:rPr>
                <w:rFonts w:cs="Tahoma"/>
                <w:sz w:val="14"/>
                <w:szCs w:val="16"/>
              </w:rPr>
              <w:t>7 038</w:t>
            </w:r>
          </w:p>
        </w:tc>
        <w:tc>
          <w:tcPr>
            <w:tcW w:w="475" w:type="pct"/>
            <w:tcBorders>
              <w:top w:val="nil"/>
            </w:tcBorders>
            <w:vAlign w:val="center"/>
          </w:tcPr>
          <w:p w:rsidR="00565FD5" w:rsidRPr="001131FC" w:rsidRDefault="00565FD5" w:rsidP="00AB62A3">
            <w:pPr>
              <w:jc w:val="right"/>
              <w:rPr>
                <w:rFonts w:cs="Tahoma"/>
                <w:sz w:val="14"/>
                <w:szCs w:val="16"/>
              </w:rPr>
            </w:pPr>
            <w:r w:rsidRPr="001131FC">
              <w:rPr>
                <w:rFonts w:cs="Tahoma"/>
                <w:sz w:val="14"/>
                <w:szCs w:val="16"/>
              </w:rPr>
              <w:t>7 888</w:t>
            </w:r>
          </w:p>
        </w:tc>
        <w:tc>
          <w:tcPr>
            <w:tcW w:w="471" w:type="pct"/>
            <w:tcBorders>
              <w:top w:val="nil"/>
            </w:tcBorders>
            <w:vAlign w:val="center"/>
          </w:tcPr>
          <w:p w:rsidR="00565FD5" w:rsidRPr="001131FC" w:rsidRDefault="00565FD5" w:rsidP="00AB62A3">
            <w:pPr>
              <w:jc w:val="right"/>
              <w:rPr>
                <w:rFonts w:cs="Tahoma"/>
                <w:sz w:val="14"/>
                <w:szCs w:val="16"/>
              </w:rPr>
            </w:pPr>
            <w:r w:rsidRPr="001131FC">
              <w:rPr>
                <w:rFonts w:cs="Tahoma"/>
                <w:sz w:val="14"/>
                <w:szCs w:val="16"/>
              </w:rPr>
              <w:t>14 926</w:t>
            </w:r>
          </w:p>
        </w:tc>
      </w:tr>
      <w:tr w:rsidR="00565FD5" w:rsidRPr="001131FC" w:rsidTr="00AB62A3">
        <w:trPr>
          <w:trHeight w:val="343"/>
        </w:trPr>
        <w:tc>
          <w:tcPr>
            <w:tcW w:w="703" w:type="pct"/>
            <w:vAlign w:val="center"/>
          </w:tcPr>
          <w:p w:rsidR="00565FD5" w:rsidRPr="001131FC" w:rsidRDefault="00565FD5" w:rsidP="00AB62A3">
            <w:pPr>
              <w:rPr>
                <w:rFonts w:cs="Tahoma"/>
                <w:snapToGrid w:val="0"/>
                <w:sz w:val="14"/>
                <w:szCs w:val="16"/>
              </w:rPr>
            </w:pPr>
            <w:r w:rsidRPr="001131FC">
              <w:rPr>
                <w:rFonts w:cs="Tahoma"/>
                <w:snapToGrid w:val="0"/>
                <w:sz w:val="14"/>
                <w:szCs w:val="16"/>
              </w:rPr>
              <w:t>Madencilik</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1 247</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3 438</w:t>
            </w:r>
          </w:p>
        </w:tc>
        <w:tc>
          <w:tcPr>
            <w:tcW w:w="454" w:type="pct"/>
            <w:vAlign w:val="center"/>
          </w:tcPr>
          <w:p w:rsidR="00565FD5" w:rsidRPr="001131FC" w:rsidRDefault="00565FD5" w:rsidP="00AB62A3">
            <w:pPr>
              <w:jc w:val="right"/>
              <w:rPr>
                <w:rFonts w:cs="Tahoma"/>
                <w:sz w:val="14"/>
                <w:szCs w:val="16"/>
              </w:rPr>
            </w:pPr>
            <w:r w:rsidRPr="001131FC">
              <w:rPr>
                <w:rFonts w:cs="Tahoma"/>
                <w:sz w:val="14"/>
                <w:szCs w:val="16"/>
              </w:rPr>
              <w:t>4 685</w:t>
            </w:r>
          </w:p>
        </w:tc>
        <w:tc>
          <w:tcPr>
            <w:tcW w:w="150" w:type="pct"/>
            <w:vAlign w:val="center"/>
          </w:tcPr>
          <w:p w:rsidR="00565FD5" w:rsidRPr="001131FC" w:rsidRDefault="00565FD5" w:rsidP="00AB62A3">
            <w:pPr>
              <w:jc w:val="right"/>
              <w:rPr>
                <w:rFonts w:cs="Tahoma"/>
                <w:sz w:val="14"/>
                <w:szCs w:val="16"/>
              </w:rPr>
            </w:pP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1 542</w:t>
            </w: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4 212</w:t>
            </w:r>
          </w:p>
        </w:tc>
        <w:tc>
          <w:tcPr>
            <w:tcW w:w="476" w:type="pct"/>
            <w:vAlign w:val="center"/>
          </w:tcPr>
          <w:p w:rsidR="00565FD5" w:rsidRPr="001131FC" w:rsidRDefault="00565FD5" w:rsidP="00AB62A3">
            <w:pPr>
              <w:jc w:val="right"/>
              <w:rPr>
                <w:rFonts w:cs="Tahoma"/>
                <w:sz w:val="14"/>
                <w:szCs w:val="16"/>
              </w:rPr>
            </w:pPr>
            <w:r w:rsidRPr="001131FC">
              <w:rPr>
                <w:rFonts w:cs="Tahoma"/>
                <w:sz w:val="14"/>
                <w:szCs w:val="16"/>
              </w:rPr>
              <w:t>5 754</w:t>
            </w:r>
          </w:p>
        </w:tc>
        <w:tc>
          <w:tcPr>
            <w:tcW w:w="150" w:type="pct"/>
            <w:vAlign w:val="center"/>
          </w:tcPr>
          <w:p w:rsidR="00565FD5" w:rsidRPr="001131FC" w:rsidRDefault="00565FD5" w:rsidP="00AB62A3">
            <w:pPr>
              <w:jc w:val="right"/>
              <w:rPr>
                <w:rFonts w:cs="Tahoma"/>
                <w:sz w:val="14"/>
                <w:szCs w:val="16"/>
              </w:rPr>
            </w:pP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1 815</w:t>
            </w:r>
          </w:p>
        </w:tc>
        <w:tc>
          <w:tcPr>
            <w:tcW w:w="475" w:type="pct"/>
            <w:vAlign w:val="center"/>
          </w:tcPr>
          <w:p w:rsidR="00565FD5" w:rsidRPr="001131FC" w:rsidRDefault="00565FD5" w:rsidP="00AB62A3">
            <w:pPr>
              <w:jc w:val="right"/>
              <w:rPr>
                <w:rFonts w:cs="Tahoma"/>
                <w:sz w:val="14"/>
                <w:szCs w:val="16"/>
              </w:rPr>
            </w:pPr>
            <w:r w:rsidRPr="001131FC">
              <w:rPr>
                <w:rFonts w:cs="Tahoma"/>
                <w:sz w:val="14"/>
                <w:szCs w:val="16"/>
              </w:rPr>
              <w:t>4 533</w:t>
            </w:r>
          </w:p>
        </w:tc>
        <w:tc>
          <w:tcPr>
            <w:tcW w:w="471" w:type="pct"/>
            <w:vAlign w:val="center"/>
          </w:tcPr>
          <w:p w:rsidR="00565FD5" w:rsidRPr="001131FC" w:rsidRDefault="00565FD5" w:rsidP="00AB62A3">
            <w:pPr>
              <w:jc w:val="right"/>
              <w:rPr>
                <w:rFonts w:cs="Tahoma"/>
                <w:sz w:val="14"/>
                <w:szCs w:val="16"/>
              </w:rPr>
            </w:pPr>
            <w:r w:rsidRPr="001131FC">
              <w:rPr>
                <w:rFonts w:cs="Tahoma"/>
                <w:sz w:val="14"/>
                <w:szCs w:val="16"/>
              </w:rPr>
              <w:t>6 348</w:t>
            </w:r>
          </w:p>
        </w:tc>
      </w:tr>
      <w:tr w:rsidR="00565FD5" w:rsidRPr="001131FC" w:rsidTr="00AB62A3">
        <w:trPr>
          <w:trHeight w:val="343"/>
        </w:trPr>
        <w:tc>
          <w:tcPr>
            <w:tcW w:w="703" w:type="pct"/>
            <w:vAlign w:val="center"/>
          </w:tcPr>
          <w:p w:rsidR="00565FD5" w:rsidRPr="001131FC" w:rsidRDefault="00565FD5" w:rsidP="00AB62A3">
            <w:pPr>
              <w:rPr>
                <w:rFonts w:cs="Tahoma"/>
                <w:snapToGrid w:val="0"/>
                <w:sz w:val="14"/>
                <w:szCs w:val="16"/>
              </w:rPr>
            </w:pPr>
            <w:r w:rsidRPr="001131FC">
              <w:rPr>
                <w:rFonts w:cs="Tahoma"/>
                <w:snapToGrid w:val="0"/>
                <w:sz w:val="14"/>
                <w:szCs w:val="16"/>
              </w:rPr>
              <w:t>İmalat</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351</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98 407</w:t>
            </w:r>
          </w:p>
        </w:tc>
        <w:tc>
          <w:tcPr>
            <w:tcW w:w="454" w:type="pct"/>
            <w:vAlign w:val="center"/>
          </w:tcPr>
          <w:p w:rsidR="00565FD5" w:rsidRPr="001131FC" w:rsidRDefault="00565FD5" w:rsidP="00AB62A3">
            <w:pPr>
              <w:jc w:val="right"/>
              <w:rPr>
                <w:rFonts w:cs="Tahoma"/>
                <w:sz w:val="14"/>
                <w:szCs w:val="16"/>
              </w:rPr>
            </w:pPr>
            <w:r w:rsidRPr="001131FC">
              <w:rPr>
                <w:rFonts w:cs="Tahoma"/>
                <w:sz w:val="14"/>
                <w:szCs w:val="16"/>
              </w:rPr>
              <w:t>98 758</w:t>
            </w:r>
          </w:p>
        </w:tc>
        <w:tc>
          <w:tcPr>
            <w:tcW w:w="150" w:type="pct"/>
            <w:vAlign w:val="center"/>
          </w:tcPr>
          <w:p w:rsidR="00565FD5" w:rsidRPr="001131FC" w:rsidRDefault="00565FD5" w:rsidP="00AB62A3">
            <w:pPr>
              <w:jc w:val="right"/>
              <w:rPr>
                <w:rFonts w:cs="Tahoma"/>
                <w:sz w:val="14"/>
                <w:szCs w:val="16"/>
              </w:rPr>
            </w:pP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657</w:t>
            </w: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103 982</w:t>
            </w:r>
          </w:p>
        </w:tc>
        <w:tc>
          <w:tcPr>
            <w:tcW w:w="476" w:type="pct"/>
            <w:vAlign w:val="center"/>
          </w:tcPr>
          <w:p w:rsidR="00565FD5" w:rsidRPr="001131FC" w:rsidRDefault="00565FD5" w:rsidP="00AB62A3">
            <w:pPr>
              <w:jc w:val="right"/>
              <w:rPr>
                <w:rFonts w:cs="Tahoma"/>
                <w:sz w:val="14"/>
                <w:szCs w:val="16"/>
              </w:rPr>
            </w:pPr>
            <w:r w:rsidRPr="001131FC">
              <w:rPr>
                <w:rFonts w:cs="Tahoma"/>
                <w:sz w:val="14"/>
                <w:szCs w:val="16"/>
              </w:rPr>
              <w:t>104 638</w:t>
            </w:r>
          </w:p>
        </w:tc>
        <w:tc>
          <w:tcPr>
            <w:tcW w:w="150" w:type="pct"/>
            <w:vAlign w:val="center"/>
          </w:tcPr>
          <w:p w:rsidR="00565FD5" w:rsidRPr="001131FC" w:rsidRDefault="00565FD5" w:rsidP="00AB62A3">
            <w:pPr>
              <w:jc w:val="right"/>
              <w:rPr>
                <w:rFonts w:cs="Tahoma"/>
                <w:sz w:val="14"/>
                <w:szCs w:val="16"/>
              </w:rPr>
            </w:pP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904</w:t>
            </w:r>
          </w:p>
        </w:tc>
        <w:tc>
          <w:tcPr>
            <w:tcW w:w="475" w:type="pct"/>
            <w:vAlign w:val="center"/>
          </w:tcPr>
          <w:p w:rsidR="00565FD5" w:rsidRPr="001131FC" w:rsidRDefault="00565FD5" w:rsidP="00AB62A3">
            <w:pPr>
              <w:jc w:val="right"/>
              <w:rPr>
                <w:rFonts w:cs="Tahoma"/>
                <w:sz w:val="14"/>
                <w:szCs w:val="16"/>
              </w:rPr>
            </w:pPr>
            <w:r w:rsidRPr="001131FC">
              <w:rPr>
                <w:rFonts w:cs="Tahoma"/>
                <w:sz w:val="14"/>
                <w:szCs w:val="16"/>
              </w:rPr>
              <w:t>118 362</w:t>
            </w:r>
          </w:p>
        </w:tc>
        <w:tc>
          <w:tcPr>
            <w:tcW w:w="471" w:type="pct"/>
            <w:vAlign w:val="center"/>
          </w:tcPr>
          <w:p w:rsidR="00565FD5" w:rsidRPr="001131FC" w:rsidRDefault="00565FD5" w:rsidP="00AB62A3">
            <w:pPr>
              <w:jc w:val="right"/>
              <w:rPr>
                <w:rFonts w:cs="Tahoma"/>
                <w:sz w:val="14"/>
                <w:szCs w:val="16"/>
              </w:rPr>
            </w:pPr>
            <w:r w:rsidRPr="001131FC">
              <w:rPr>
                <w:rFonts w:cs="Tahoma"/>
                <w:sz w:val="14"/>
                <w:szCs w:val="16"/>
              </w:rPr>
              <w:t>119 266</w:t>
            </w:r>
          </w:p>
        </w:tc>
      </w:tr>
      <w:tr w:rsidR="00565FD5" w:rsidRPr="001131FC" w:rsidTr="00AB62A3">
        <w:trPr>
          <w:trHeight w:val="343"/>
        </w:trPr>
        <w:tc>
          <w:tcPr>
            <w:tcW w:w="703" w:type="pct"/>
            <w:vAlign w:val="center"/>
          </w:tcPr>
          <w:p w:rsidR="00565FD5" w:rsidRPr="001131FC" w:rsidRDefault="00565FD5" w:rsidP="00AB62A3">
            <w:pPr>
              <w:rPr>
                <w:rFonts w:cs="Tahoma"/>
                <w:snapToGrid w:val="0"/>
                <w:sz w:val="14"/>
                <w:szCs w:val="16"/>
              </w:rPr>
            </w:pPr>
            <w:r w:rsidRPr="001131FC">
              <w:rPr>
                <w:rFonts w:cs="Tahoma"/>
                <w:snapToGrid w:val="0"/>
                <w:sz w:val="14"/>
                <w:szCs w:val="16"/>
              </w:rPr>
              <w:t>Enerji</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3 040</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9 432</w:t>
            </w:r>
          </w:p>
        </w:tc>
        <w:tc>
          <w:tcPr>
            <w:tcW w:w="454" w:type="pct"/>
            <w:vAlign w:val="center"/>
          </w:tcPr>
          <w:p w:rsidR="00565FD5" w:rsidRPr="001131FC" w:rsidRDefault="00565FD5" w:rsidP="00AB62A3">
            <w:pPr>
              <w:jc w:val="right"/>
              <w:rPr>
                <w:rFonts w:cs="Tahoma"/>
                <w:sz w:val="14"/>
                <w:szCs w:val="16"/>
              </w:rPr>
            </w:pPr>
            <w:r w:rsidRPr="001131FC">
              <w:rPr>
                <w:rFonts w:cs="Tahoma"/>
                <w:sz w:val="14"/>
                <w:szCs w:val="16"/>
              </w:rPr>
              <w:t>12 472</w:t>
            </w:r>
          </w:p>
        </w:tc>
        <w:tc>
          <w:tcPr>
            <w:tcW w:w="150" w:type="pct"/>
            <w:vAlign w:val="center"/>
          </w:tcPr>
          <w:p w:rsidR="00565FD5" w:rsidRPr="001131FC" w:rsidRDefault="00565FD5" w:rsidP="00AB62A3">
            <w:pPr>
              <w:jc w:val="right"/>
              <w:rPr>
                <w:rFonts w:cs="Tahoma"/>
                <w:sz w:val="14"/>
                <w:szCs w:val="16"/>
              </w:rPr>
            </w:pP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3 591</w:t>
            </w: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15 883</w:t>
            </w:r>
          </w:p>
        </w:tc>
        <w:tc>
          <w:tcPr>
            <w:tcW w:w="476" w:type="pct"/>
            <w:vAlign w:val="center"/>
          </w:tcPr>
          <w:p w:rsidR="00565FD5" w:rsidRPr="001131FC" w:rsidRDefault="00565FD5" w:rsidP="00AB62A3">
            <w:pPr>
              <w:jc w:val="right"/>
              <w:rPr>
                <w:rFonts w:cs="Tahoma"/>
                <w:sz w:val="14"/>
                <w:szCs w:val="16"/>
              </w:rPr>
            </w:pPr>
            <w:r w:rsidRPr="001131FC">
              <w:rPr>
                <w:rFonts w:cs="Tahoma"/>
                <w:sz w:val="14"/>
                <w:szCs w:val="16"/>
              </w:rPr>
              <w:t>19 474</w:t>
            </w:r>
          </w:p>
        </w:tc>
        <w:tc>
          <w:tcPr>
            <w:tcW w:w="150" w:type="pct"/>
            <w:vAlign w:val="center"/>
          </w:tcPr>
          <w:p w:rsidR="00565FD5" w:rsidRPr="001131FC" w:rsidRDefault="00565FD5" w:rsidP="00AB62A3">
            <w:pPr>
              <w:jc w:val="right"/>
              <w:rPr>
                <w:rFonts w:cs="Tahoma"/>
                <w:sz w:val="14"/>
                <w:szCs w:val="16"/>
              </w:rPr>
            </w:pP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4 598</w:t>
            </w:r>
          </w:p>
        </w:tc>
        <w:tc>
          <w:tcPr>
            <w:tcW w:w="475" w:type="pct"/>
            <w:vAlign w:val="center"/>
          </w:tcPr>
          <w:p w:rsidR="00565FD5" w:rsidRPr="001131FC" w:rsidRDefault="00565FD5" w:rsidP="00AB62A3">
            <w:pPr>
              <w:jc w:val="right"/>
              <w:rPr>
                <w:rFonts w:cs="Tahoma"/>
                <w:sz w:val="14"/>
                <w:szCs w:val="16"/>
              </w:rPr>
            </w:pPr>
            <w:r w:rsidRPr="001131FC">
              <w:rPr>
                <w:rFonts w:cs="Tahoma"/>
                <w:sz w:val="14"/>
                <w:szCs w:val="16"/>
              </w:rPr>
              <w:t>18 397</w:t>
            </w:r>
          </w:p>
        </w:tc>
        <w:tc>
          <w:tcPr>
            <w:tcW w:w="471" w:type="pct"/>
            <w:vAlign w:val="center"/>
          </w:tcPr>
          <w:p w:rsidR="00565FD5" w:rsidRPr="001131FC" w:rsidRDefault="00565FD5" w:rsidP="00AB62A3">
            <w:pPr>
              <w:jc w:val="right"/>
              <w:rPr>
                <w:rFonts w:cs="Tahoma"/>
                <w:sz w:val="14"/>
                <w:szCs w:val="16"/>
              </w:rPr>
            </w:pPr>
            <w:r w:rsidRPr="001131FC">
              <w:rPr>
                <w:rFonts w:cs="Tahoma"/>
                <w:sz w:val="14"/>
                <w:szCs w:val="16"/>
              </w:rPr>
              <w:t>22 995</w:t>
            </w:r>
          </w:p>
        </w:tc>
      </w:tr>
      <w:tr w:rsidR="00565FD5" w:rsidRPr="001131FC" w:rsidTr="00AB62A3">
        <w:trPr>
          <w:trHeight w:val="343"/>
        </w:trPr>
        <w:tc>
          <w:tcPr>
            <w:tcW w:w="703" w:type="pct"/>
            <w:vAlign w:val="center"/>
          </w:tcPr>
          <w:p w:rsidR="00565FD5" w:rsidRPr="001131FC" w:rsidRDefault="00565FD5" w:rsidP="00AB62A3">
            <w:pPr>
              <w:rPr>
                <w:rFonts w:cs="Tahoma"/>
                <w:snapToGrid w:val="0"/>
                <w:sz w:val="14"/>
                <w:szCs w:val="16"/>
              </w:rPr>
            </w:pPr>
            <w:r w:rsidRPr="001131FC">
              <w:rPr>
                <w:rFonts w:cs="Tahoma"/>
                <w:snapToGrid w:val="0"/>
                <w:sz w:val="14"/>
                <w:szCs w:val="16"/>
              </w:rPr>
              <w:t>Ulaştırma</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22 069</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46 394</w:t>
            </w:r>
          </w:p>
        </w:tc>
        <w:tc>
          <w:tcPr>
            <w:tcW w:w="454" w:type="pct"/>
            <w:vAlign w:val="center"/>
          </w:tcPr>
          <w:p w:rsidR="00565FD5" w:rsidRPr="001131FC" w:rsidRDefault="00565FD5" w:rsidP="00AB62A3">
            <w:pPr>
              <w:jc w:val="right"/>
              <w:rPr>
                <w:rFonts w:cs="Tahoma"/>
                <w:sz w:val="14"/>
                <w:szCs w:val="16"/>
              </w:rPr>
            </w:pPr>
            <w:r w:rsidRPr="001131FC">
              <w:rPr>
                <w:rFonts w:cs="Tahoma"/>
                <w:sz w:val="14"/>
                <w:szCs w:val="16"/>
              </w:rPr>
              <w:t>68 463</w:t>
            </w:r>
          </w:p>
        </w:tc>
        <w:tc>
          <w:tcPr>
            <w:tcW w:w="150" w:type="pct"/>
            <w:vAlign w:val="center"/>
          </w:tcPr>
          <w:p w:rsidR="00565FD5" w:rsidRPr="001131FC" w:rsidRDefault="00565FD5" w:rsidP="00AB62A3">
            <w:pPr>
              <w:jc w:val="right"/>
              <w:rPr>
                <w:rFonts w:cs="Tahoma"/>
                <w:sz w:val="14"/>
                <w:szCs w:val="16"/>
              </w:rPr>
            </w:pP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24 143</w:t>
            </w: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50 463</w:t>
            </w:r>
          </w:p>
        </w:tc>
        <w:tc>
          <w:tcPr>
            <w:tcW w:w="476" w:type="pct"/>
            <w:vAlign w:val="center"/>
          </w:tcPr>
          <w:p w:rsidR="00565FD5" w:rsidRPr="001131FC" w:rsidRDefault="00565FD5" w:rsidP="00AB62A3">
            <w:pPr>
              <w:jc w:val="right"/>
              <w:rPr>
                <w:rFonts w:cs="Tahoma"/>
                <w:sz w:val="14"/>
                <w:szCs w:val="16"/>
              </w:rPr>
            </w:pPr>
            <w:r w:rsidRPr="001131FC">
              <w:rPr>
                <w:rFonts w:cs="Tahoma"/>
                <w:sz w:val="14"/>
                <w:szCs w:val="16"/>
              </w:rPr>
              <w:t>74 606</w:t>
            </w:r>
          </w:p>
        </w:tc>
        <w:tc>
          <w:tcPr>
            <w:tcW w:w="150" w:type="pct"/>
            <w:vAlign w:val="center"/>
          </w:tcPr>
          <w:p w:rsidR="00565FD5" w:rsidRPr="001131FC" w:rsidRDefault="00565FD5" w:rsidP="00AB62A3">
            <w:pPr>
              <w:jc w:val="right"/>
              <w:rPr>
                <w:rFonts w:cs="Tahoma"/>
                <w:sz w:val="14"/>
                <w:szCs w:val="16"/>
              </w:rPr>
            </w:pP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21 777</w:t>
            </w:r>
          </w:p>
        </w:tc>
        <w:tc>
          <w:tcPr>
            <w:tcW w:w="475" w:type="pct"/>
            <w:vAlign w:val="center"/>
          </w:tcPr>
          <w:p w:rsidR="00565FD5" w:rsidRPr="001131FC" w:rsidRDefault="00565FD5" w:rsidP="00AB62A3">
            <w:pPr>
              <w:jc w:val="right"/>
              <w:rPr>
                <w:rFonts w:cs="Tahoma"/>
                <w:sz w:val="14"/>
                <w:szCs w:val="16"/>
              </w:rPr>
            </w:pPr>
            <w:r w:rsidRPr="001131FC">
              <w:rPr>
                <w:rFonts w:cs="Tahoma"/>
                <w:sz w:val="14"/>
                <w:szCs w:val="16"/>
              </w:rPr>
              <w:t>56 325</w:t>
            </w:r>
          </w:p>
        </w:tc>
        <w:tc>
          <w:tcPr>
            <w:tcW w:w="471" w:type="pct"/>
            <w:vAlign w:val="center"/>
          </w:tcPr>
          <w:p w:rsidR="00565FD5" w:rsidRPr="001131FC" w:rsidRDefault="00565FD5" w:rsidP="00AB62A3">
            <w:pPr>
              <w:jc w:val="right"/>
              <w:rPr>
                <w:rFonts w:cs="Tahoma"/>
                <w:sz w:val="14"/>
                <w:szCs w:val="16"/>
              </w:rPr>
            </w:pPr>
            <w:r w:rsidRPr="001131FC">
              <w:rPr>
                <w:rFonts w:cs="Tahoma"/>
                <w:sz w:val="14"/>
                <w:szCs w:val="16"/>
              </w:rPr>
              <w:t>78 102</w:t>
            </w:r>
          </w:p>
        </w:tc>
      </w:tr>
      <w:tr w:rsidR="00565FD5" w:rsidRPr="001131FC" w:rsidTr="00AB62A3">
        <w:trPr>
          <w:trHeight w:val="343"/>
        </w:trPr>
        <w:tc>
          <w:tcPr>
            <w:tcW w:w="703" w:type="pct"/>
            <w:vAlign w:val="center"/>
          </w:tcPr>
          <w:p w:rsidR="00565FD5" w:rsidRPr="001131FC" w:rsidRDefault="00565FD5" w:rsidP="00AB62A3">
            <w:pPr>
              <w:rPr>
                <w:rFonts w:cs="Tahoma"/>
                <w:snapToGrid w:val="0"/>
                <w:sz w:val="14"/>
                <w:szCs w:val="16"/>
              </w:rPr>
            </w:pPr>
            <w:r w:rsidRPr="001131FC">
              <w:rPr>
                <w:rFonts w:cs="Tahoma"/>
                <w:snapToGrid w:val="0"/>
                <w:sz w:val="14"/>
                <w:szCs w:val="16"/>
              </w:rPr>
              <w:t>Turizm</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324</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14 407</w:t>
            </w:r>
          </w:p>
        </w:tc>
        <w:tc>
          <w:tcPr>
            <w:tcW w:w="454" w:type="pct"/>
            <w:vAlign w:val="center"/>
          </w:tcPr>
          <w:p w:rsidR="00565FD5" w:rsidRPr="001131FC" w:rsidRDefault="00565FD5" w:rsidP="00AB62A3">
            <w:pPr>
              <w:jc w:val="right"/>
              <w:rPr>
                <w:rFonts w:cs="Tahoma"/>
                <w:sz w:val="14"/>
                <w:szCs w:val="16"/>
              </w:rPr>
            </w:pPr>
            <w:r w:rsidRPr="001131FC">
              <w:rPr>
                <w:rFonts w:cs="Tahoma"/>
                <w:sz w:val="14"/>
                <w:szCs w:val="16"/>
              </w:rPr>
              <w:t>14 730</w:t>
            </w:r>
          </w:p>
        </w:tc>
        <w:tc>
          <w:tcPr>
            <w:tcW w:w="150" w:type="pct"/>
            <w:vAlign w:val="center"/>
          </w:tcPr>
          <w:p w:rsidR="00565FD5" w:rsidRPr="001131FC" w:rsidRDefault="00565FD5" w:rsidP="00AB62A3">
            <w:pPr>
              <w:jc w:val="right"/>
              <w:rPr>
                <w:rFonts w:cs="Tahoma"/>
                <w:sz w:val="14"/>
                <w:szCs w:val="16"/>
              </w:rPr>
            </w:pP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417</w:t>
            </w: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17 243</w:t>
            </w:r>
          </w:p>
        </w:tc>
        <w:tc>
          <w:tcPr>
            <w:tcW w:w="476" w:type="pct"/>
            <w:vAlign w:val="center"/>
          </w:tcPr>
          <w:p w:rsidR="00565FD5" w:rsidRPr="001131FC" w:rsidRDefault="00565FD5" w:rsidP="00AB62A3">
            <w:pPr>
              <w:jc w:val="right"/>
              <w:rPr>
                <w:rFonts w:cs="Tahoma"/>
                <w:sz w:val="14"/>
                <w:szCs w:val="16"/>
              </w:rPr>
            </w:pPr>
            <w:r w:rsidRPr="001131FC">
              <w:rPr>
                <w:rFonts w:cs="Tahoma"/>
                <w:sz w:val="14"/>
                <w:szCs w:val="16"/>
              </w:rPr>
              <w:t>17 660</w:t>
            </w:r>
          </w:p>
        </w:tc>
        <w:tc>
          <w:tcPr>
            <w:tcW w:w="150" w:type="pct"/>
            <w:vAlign w:val="center"/>
          </w:tcPr>
          <w:p w:rsidR="00565FD5" w:rsidRPr="001131FC" w:rsidRDefault="00565FD5" w:rsidP="00AB62A3">
            <w:pPr>
              <w:jc w:val="right"/>
              <w:rPr>
                <w:rFonts w:cs="Tahoma"/>
                <w:sz w:val="14"/>
                <w:szCs w:val="16"/>
              </w:rPr>
            </w:pP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510</w:t>
            </w:r>
          </w:p>
        </w:tc>
        <w:tc>
          <w:tcPr>
            <w:tcW w:w="475" w:type="pct"/>
            <w:vAlign w:val="center"/>
          </w:tcPr>
          <w:p w:rsidR="00565FD5" w:rsidRPr="001131FC" w:rsidRDefault="00565FD5" w:rsidP="00AB62A3">
            <w:pPr>
              <w:jc w:val="right"/>
              <w:rPr>
                <w:rFonts w:cs="Tahoma"/>
                <w:sz w:val="14"/>
                <w:szCs w:val="16"/>
              </w:rPr>
            </w:pPr>
            <w:r w:rsidRPr="001131FC">
              <w:rPr>
                <w:rFonts w:cs="Tahoma"/>
                <w:sz w:val="14"/>
                <w:szCs w:val="16"/>
              </w:rPr>
              <w:t>19 210</w:t>
            </w:r>
          </w:p>
        </w:tc>
        <w:tc>
          <w:tcPr>
            <w:tcW w:w="471" w:type="pct"/>
            <w:vAlign w:val="center"/>
          </w:tcPr>
          <w:p w:rsidR="00565FD5" w:rsidRPr="001131FC" w:rsidRDefault="00565FD5" w:rsidP="00AB62A3">
            <w:pPr>
              <w:jc w:val="right"/>
              <w:rPr>
                <w:rFonts w:cs="Tahoma"/>
                <w:sz w:val="14"/>
                <w:szCs w:val="16"/>
              </w:rPr>
            </w:pPr>
            <w:r w:rsidRPr="001131FC">
              <w:rPr>
                <w:rFonts w:cs="Tahoma"/>
                <w:sz w:val="14"/>
                <w:szCs w:val="16"/>
              </w:rPr>
              <w:t>19 720</w:t>
            </w:r>
          </w:p>
        </w:tc>
      </w:tr>
      <w:tr w:rsidR="00565FD5" w:rsidRPr="001131FC" w:rsidTr="00AB62A3">
        <w:trPr>
          <w:trHeight w:val="343"/>
        </w:trPr>
        <w:tc>
          <w:tcPr>
            <w:tcW w:w="703" w:type="pct"/>
            <w:vAlign w:val="center"/>
          </w:tcPr>
          <w:p w:rsidR="00565FD5" w:rsidRPr="001131FC" w:rsidRDefault="00565FD5" w:rsidP="00AB62A3">
            <w:pPr>
              <w:rPr>
                <w:rFonts w:cs="Tahoma"/>
                <w:snapToGrid w:val="0"/>
                <w:sz w:val="14"/>
                <w:szCs w:val="16"/>
              </w:rPr>
            </w:pPr>
            <w:r w:rsidRPr="001131FC">
              <w:rPr>
                <w:rFonts w:cs="Tahoma"/>
                <w:snapToGrid w:val="0"/>
                <w:sz w:val="14"/>
                <w:szCs w:val="16"/>
              </w:rPr>
              <w:t>Konut</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924</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33 582</w:t>
            </w:r>
          </w:p>
        </w:tc>
        <w:tc>
          <w:tcPr>
            <w:tcW w:w="454" w:type="pct"/>
            <w:vAlign w:val="center"/>
          </w:tcPr>
          <w:p w:rsidR="00565FD5" w:rsidRPr="001131FC" w:rsidRDefault="00565FD5" w:rsidP="00AB62A3">
            <w:pPr>
              <w:jc w:val="right"/>
              <w:rPr>
                <w:rFonts w:cs="Tahoma"/>
                <w:sz w:val="14"/>
                <w:szCs w:val="16"/>
              </w:rPr>
            </w:pPr>
            <w:r w:rsidRPr="001131FC">
              <w:rPr>
                <w:rFonts w:cs="Tahoma"/>
                <w:sz w:val="14"/>
                <w:szCs w:val="16"/>
              </w:rPr>
              <w:t>34 506</w:t>
            </w:r>
          </w:p>
        </w:tc>
        <w:tc>
          <w:tcPr>
            <w:tcW w:w="150" w:type="pct"/>
            <w:vAlign w:val="center"/>
          </w:tcPr>
          <w:p w:rsidR="00565FD5" w:rsidRPr="001131FC" w:rsidRDefault="00565FD5" w:rsidP="00AB62A3">
            <w:pPr>
              <w:jc w:val="right"/>
              <w:rPr>
                <w:rFonts w:cs="Tahoma"/>
                <w:sz w:val="14"/>
                <w:szCs w:val="16"/>
              </w:rPr>
            </w:pP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900</w:t>
            </w: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35 594</w:t>
            </w:r>
          </w:p>
        </w:tc>
        <w:tc>
          <w:tcPr>
            <w:tcW w:w="476" w:type="pct"/>
            <w:vAlign w:val="center"/>
          </w:tcPr>
          <w:p w:rsidR="00565FD5" w:rsidRPr="001131FC" w:rsidRDefault="00565FD5" w:rsidP="00AB62A3">
            <w:pPr>
              <w:jc w:val="right"/>
              <w:rPr>
                <w:rFonts w:cs="Tahoma"/>
                <w:sz w:val="14"/>
                <w:szCs w:val="16"/>
              </w:rPr>
            </w:pPr>
            <w:r w:rsidRPr="001131FC">
              <w:rPr>
                <w:rFonts w:cs="Tahoma"/>
                <w:sz w:val="14"/>
                <w:szCs w:val="16"/>
              </w:rPr>
              <w:t>36 494</w:t>
            </w:r>
          </w:p>
        </w:tc>
        <w:tc>
          <w:tcPr>
            <w:tcW w:w="150" w:type="pct"/>
            <w:vAlign w:val="center"/>
          </w:tcPr>
          <w:p w:rsidR="00565FD5" w:rsidRPr="001131FC" w:rsidRDefault="00565FD5" w:rsidP="00AB62A3">
            <w:pPr>
              <w:jc w:val="right"/>
              <w:rPr>
                <w:rFonts w:cs="Tahoma"/>
                <w:sz w:val="14"/>
                <w:szCs w:val="16"/>
              </w:rPr>
            </w:pP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1 368</w:t>
            </w:r>
          </w:p>
        </w:tc>
        <w:tc>
          <w:tcPr>
            <w:tcW w:w="475" w:type="pct"/>
            <w:vAlign w:val="center"/>
          </w:tcPr>
          <w:p w:rsidR="00565FD5" w:rsidRPr="001131FC" w:rsidRDefault="00565FD5" w:rsidP="00AB62A3">
            <w:pPr>
              <w:jc w:val="right"/>
              <w:rPr>
                <w:rFonts w:cs="Tahoma"/>
                <w:sz w:val="14"/>
                <w:szCs w:val="16"/>
              </w:rPr>
            </w:pPr>
            <w:r w:rsidRPr="001131FC">
              <w:rPr>
                <w:rFonts w:cs="Tahoma"/>
                <w:sz w:val="14"/>
                <w:szCs w:val="16"/>
              </w:rPr>
              <w:t>38 905</w:t>
            </w:r>
          </w:p>
        </w:tc>
        <w:tc>
          <w:tcPr>
            <w:tcW w:w="471" w:type="pct"/>
            <w:vAlign w:val="center"/>
          </w:tcPr>
          <w:p w:rsidR="00565FD5" w:rsidRPr="001131FC" w:rsidRDefault="00565FD5" w:rsidP="00AB62A3">
            <w:pPr>
              <w:jc w:val="right"/>
              <w:rPr>
                <w:rFonts w:cs="Tahoma"/>
                <w:sz w:val="14"/>
                <w:szCs w:val="16"/>
              </w:rPr>
            </w:pPr>
            <w:r w:rsidRPr="001131FC">
              <w:rPr>
                <w:rFonts w:cs="Tahoma"/>
                <w:sz w:val="14"/>
                <w:szCs w:val="16"/>
              </w:rPr>
              <w:t>40 273</w:t>
            </w:r>
          </w:p>
        </w:tc>
      </w:tr>
      <w:tr w:rsidR="00565FD5" w:rsidRPr="001131FC" w:rsidTr="00AB62A3">
        <w:trPr>
          <w:trHeight w:val="343"/>
        </w:trPr>
        <w:tc>
          <w:tcPr>
            <w:tcW w:w="703" w:type="pct"/>
            <w:vAlign w:val="center"/>
          </w:tcPr>
          <w:p w:rsidR="00565FD5" w:rsidRPr="001131FC" w:rsidRDefault="00565FD5" w:rsidP="00AB62A3">
            <w:pPr>
              <w:rPr>
                <w:rFonts w:cs="Tahoma"/>
                <w:snapToGrid w:val="0"/>
                <w:sz w:val="14"/>
                <w:szCs w:val="16"/>
              </w:rPr>
            </w:pPr>
            <w:r w:rsidRPr="001131FC">
              <w:rPr>
                <w:rFonts w:cs="Tahoma"/>
                <w:snapToGrid w:val="0"/>
                <w:sz w:val="14"/>
                <w:szCs w:val="16"/>
              </w:rPr>
              <w:t>Eğitim</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6 506</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5 023</w:t>
            </w:r>
          </w:p>
        </w:tc>
        <w:tc>
          <w:tcPr>
            <w:tcW w:w="454" w:type="pct"/>
            <w:vAlign w:val="center"/>
          </w:tcPr>
          <w:p w:rsidR="00565FD5" w:rsidRPr="001131FC" w:rsidRDefault="00565FD5" w:rsidP="00AB62A3">
            <w:pPr>
              <w:jc w:val="right"/>
              <w:rPr>
                <w:rFonts w:cs="Tahoma"/>
                <w:sz w:val="14"/>
                <w:szCs w:val="16"/>
              </w:rPr>
            </w:pPr>
            <w:r w:rsidRPr="001131FC">
              <w:rPr>
                <w:rFonts w:cs="Tahoma"/>
                <w:sz w:val="14"/>
                <w:szCs w:val="16"/>
              </w:rPr>
              <w:t>11 529</w:t>
            </w:r>
          </w:p>
        </w:tc>
        <w:tc>
          <w:tcPr>
            <w:tcW w:w="150" w:type="pct"/>
            <w:vAlign w:val="center"/>
          </w:tcPr>
          <w:p w:rsidR="00565FD5" w:rsidRPr="001131FC" w:rsidRDefault="00565FD5" w:rsidP="00AB62A3">
            <w:pPr>
              <w:jc w:val="right"/>
              <w:rPr>
                <w:rFonts w:cs="Tahoma"/>
                <w:sz w:val="14"/>
                <w:szCs w:val="16"/>
              </w:rPr>
            </w:pP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8 589</w:t>
            </w: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6 248</w:t>
            </w:r>
          </w:p>
        </w:tc>
        <w:tc>
          <w:tcPr>
            <w:tcW w:w="476" w:type="pct"/>
            <w:vAlign w:val="center"/>
          </w:tcPr>
          <w:p w:rsidR="00565FD5" w:rsidRPr="001131FC" w:rsidRDefault="00565FD5" w:rsidP="00AB62A3">
            <w:pPr>
              <w:jc w:val="right"/>
              <w:rPr>
                <w:rFonts w:cs="Tahoma"/>
                <w:sz w:val="14"/>
                <w:szCs w:val="16"/>
              </w:rPr>
            </w:pPr>
            <w:r w:rsidRPr="001131FC">
              <w:rPr>
                <w:rFonts w:cs="Tahoma"/>
                <w:sz w:val="14"/>
                <w:szCs w:val="16"/>
              </w:rPr>
              <w:t>14 837</w:t>
            </w:r>
          </w:p>
        </w:tc>
        <w:tc>
          <w:tcPr>
            <w:tcW w:w="150" w:type="pct"/>
            <w:vAlign w:val="center"/>
          </w:tcPr>
          <w:p w:rsidR="00565FD5" w:rsidRPr="001131FC" w:rsidRDefault="00565FD5" w:rsidP="00AB62A3">
            <w:pPr>
              <w:jc w:val="right"/>
              <w:rPr>
                <w:rFonts w:cs="Tahoma"/>
                <w:sz w:val="14"/>
                <w:szCs w:val="16"/>
              </w:rPr>
            </w:pP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10 446</w:t>
            </w:r>
          </w:p>
        </w:tc>
        <w:tc>
          <w:tcPr>
            <w:tcW w:w="475" w:type="pct"/>
            <w:vAlign w:val="center"/>
          </w:tcPr>
          <w:p w:rsidR="00565FD5" w:rsidRPr="001131FC" w:rsidRDefault="00565FD5" w:rsidP="00AB62A3">
            <w:pPr>
              <w:jc w:val="right"/>
              <w:rPr>
                <w:rFonts w:cs="Tahoma"/>
                <w:sz w:val="14"/>
                <w:szCs w:val="16"/>
              </w:rPr>
            </w:pPr>
            <w:r w:rsidRPr="001131FC">
              <w:rPr>
                <w:rFonts w:cs="Tahoma"/>
                <w:sz w:val="14"/>
                <w:szCs w:val="16"/>
              </w:rPr>
              <w:t>7 565</w:t>
            </w:r>
          </w:p>
        </w:tc>
        <w:tc>
          <w:tcPr>
            <w:tcW w:w="471" w:type="pct"/>
            <w:vAlign w:val="center"/>
          </w:tcPr>
          <w:p w:rsidR="00565FD5" w:rsidRPr="001131FC" w:rsidRDefault="00565FD5" w:rsidP="00AB62A3">
            <w:pPr>
              <w:jc w:val="right"/>
              <w:rPr>
                <w:rFonts w:cs="Tahoma"/>
                <w:sz w:val="14"/>
                <w:szCs w:val="16"/>
              </w:rPr>
            </w:pPr>
            <w:r w:rsidRPr="001131FC">
              <w:rPr>
                <w:rFonts w:cs="Tahoma"/>
                <w:sz w:val="14"/>
                <w:szCs w:val="16"/>
              </w:rPr>
              <w:t>18 011</w:t>
            </w:r>
          </w:p>
        </w:tc>
      </w:tr>
      <w:tr w:rsidR="00565FD5" w:rsidRPr="001131FC" w:rsidTr="00AB62A3">
        <w:trPr>
          <w:trHeight w:val="343"/>
        </w:trPr>
        <w:tc>
          <w:tcPr>
            <w:tcW w:w="703" w:type="pct"/>
            <w:vAlign w:val="center"/>
          </w:tcPr>
          <w:p w:rsidR="00565FD5" w:rsidRPr="001131FC" w:rsidRDefault="00565FD5" w:rsidP="00AB62A3">
            <w:pPr>
              <w:rPr>
                <w:rFonts w:cs="Tahoma"/>
                <w:snapToGrid w:val="0"/>
                <w:sz w:val="14"/>
                <w:szCs w:val="16"/>
              </w:rPr>
            </w:pPr>
            <w:r w:rsidRPr="001131FC">
              <w:rPr>
                <w:rFonts w:cs="Tahoma"/>
                <w:snapToGrid w:val="0"/>
                <w:sz w:val="14"/>
                <w:szCs w:val="16"/>
              </w:rPr>
              <w:t>Sağlık</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2 642</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5 683</w:t>
            </w:r>
          </w:p>
        </w:tc>
        <w:tc>
          <w:tcPr>
            <w:tcW w:w="454" w:type="pct"/>
            <w:vAlign w:val="center"/>
          </w:tcPr>
          <w:p w:rsidR="00565FD5" w:rsidRPr="001131FC" w:rsidRDefault="00565FD5" w:rsidP="00AB62A3">
            <w:pPr>
              <w:jc w:val="right"/>
              <w:rPr>
                <w:rFonts w:cs="Tahoma"/>
                <w:sz w:val="14"/>
                <w:szCs w:val="16"/>
              </w:rPr>
            </w:pPr>
            <w:r w:rsidRPr="001131FC">
              <w:rPr>
                <w:rFonts w:cs="Tahoma"/>
                <w:sz w:val="14"/>
                <w:szCs w:val="16"/>
              </w:rPr>
              <w:t>8 325</w:t>
            </w:r>
          </w:p>
        </w:tc>
        <w:tc>
          <w:tcPr>
            <w:tcW w:w="150" w:type="pct"/>
            <w:vAlign w:val="center"/>
          </w:tcPr>
          <w:p w:rsidR="00565FD5" w:rsidRPr="001131FC" w:rsidRDefault="00565FD5" w:rsidP="00AB62A3">
            <w:pPr>
              <w:jc w:val="right"/>
              <w:rPr>
                <w:rFonts w:cs="Tahoma"/>
                <w:sz w:val="14"/>
                <w:szCs w:val="16"/>
              </w:rPr>
            </w:pP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3 181</w:t>
            </w: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5 751</w:t>
            </w:r>
          </w:p>
        </w:tc>
        <w:tc>
          <w:tcPr>
            <w:tcW w:w="476" w:type="pct"/>
            <w:vAlign w:val="center"/>
          </w:tcPr>
          <w:p w:rsidR="00565FD5" w:rsidRPr="001131FC" w:rsidRDefault="00565FD5" w:rsidP="00AB62A3">
            <w:pPr>
              <w:jc w:val="right"/>
              <w:rPr>
                <w:rFonts w:cs="Tahoma"/>
                <w:sz w:val="14"/>
                <w:szCs w:val="16"/>
              </w:rPr>
            </w:pPr>
            <w:r w:rsidRPr="001131FC">
              <w:rPr>
                <w:rFonts w:cs="Tahoma"/>
                <w:sz w:val="14"/>
                <w:szCs w:val="16"/>
              </w:rPr>
              <w:t>8 931</w:t>
            </w:r>
          </w:p>
        </w:tc>
        <w:tc>
          <w:tcPr>
            <w:tcW w:w="150" w:type="pct"/>
            <w:vAlign w:val="center"/>
          </w:tcPr>
          <w:p w:rsidR="00565FD5" w:rsidRPr="001131FC" w:rsidRDefault="00565FD5" w:rsidP="00AB62A3">
            <w:pPr>
              <w:jc w:val="right"/>
              <w:rPr>
                <w:rFonts w:cs="Tahoma"/>
                <w:sz w:val="14"/>
                <w:szCs w:val="16"/>
              </w:rPr>
            </w:pPr>
          </w:p>
        </w:tc>
        <w:tc>
          <w:tcPr>
            <w:tcW w:w="424" w:type="pct"/>
            <w:vAlign w:val="center"/>
          </w:tcPr>
          <w:p w:rsidR="00565FD5" w:rsidRPr="001131FC" w:rsidRDefault="00565FD5" w:rsidP="00AB62A3">
            <w:pPr>
              <w:jc w:val="right"/>
              <w:rPr>
                <w:rFonts w:cs="Tahoma"/>
                <w:sz w:val="14"/>
                <w:szCs w:val="16"/>
              </w:rPr>
            </w:pPr>
            <w:r w:rsidRPr="001131FC">
              <w:rPr>
                <w:rFonts w:cs="Tahoma"/>
                <w:sz w:val="14"/>
                <w:szCs w:val="16"/>
              </w:rPr>
              <w:t>3 887</w:t>
            </w:r>
          </w:p>
        </w:tc>
        <w:tc>
          <w:tcPr>
            <w:tcW w:w="475" w:type="pct"/>
            <w:vAlign w:val="center"/>
          </w:tcPr>
          <w:p w:rsidR="00565FD5" w:rsidRPr="001131FC" w:rsidRDefault="00565FD5" w:rsidP="00AB62A3">
            <w:pPr>
              <w:jc w:val="right"/>
              <w:rPr>
                <w:rFonts w:cs="Tahoma"/>
                <w:sz w:val="14"/>
                <w:szCs w:val="16"/>
              </w:rPr>
            </w:pPr>
            <w:r w:rsidRPr="001131FC">
              <w:rPr>
                <w:rFonts w:cs="Tahoma"/>
                <w:sz w:val="14"/>
                <w:szCs w:val="16"/>
              </w:rPr>
              <w:t>6 903</w:t>
            </w:r>
          </w:p>
        </w:tc>
        <w:tc>
          <w:tcPr>
            <w:tcW w:w="471" w:type="pct"/>
            <w:vAlign w:val="center"/>
          </w:tcPr>
          <w:p w:rsidR="00565FD5" w:rsidRPr="001131FC" w:rsidRDefault="00565FD5" w:rsidP="00AB62A3">
            <w:pPr>
              <w:jc w:val="right"/>
              <w:rPr>
                <w:rFonts w:cs="Tahoma"/>
                <w:sz w:val="14"/>
                <w:szCs w:val="16"/>
              </w:rPr>
            </w:pPr>
            <w:r w:rsidRPr="001131FC">
              <w:rPr>
                <w:rFonts w:cs="Tahoma"/>
                <w:sz w:val="14"/>
                <w:szCs w:val="16"/>
              </w:rPr>
              <w:t>10 790</w:t>
            </w:r>
          </w:p>
        </w:tc>
      </w:tr>
      <w:tr w:rsidR="00565FD5" w:rsidRPr="001131FC" w:rsidTr="00AB62A3">
        <w:trPr>
          <w:trHeight w:val="343"/>
        </w:trPr>
        <w:tc>
          <w:tcPr>
            <w:tcW w:w="703" w:type="pct"/>
            <w:tcBorders>
              <w:bottom w:val="single" w:sz="4" w:space="0" w:color="auto"/>
            </w:tcBorders>
            <w:vAlign w:val="center"/>
          </w:tcPr>
          <w:p w:rsidR="00565FD5" w:rsidRPr="001131FC" w:rsidRDefault="00565FD5" w:rsidP="00AB62A3">
            <w:pPr>
              <w:rPr>
                <w:rFonts w:cs="Tahoma"/>
                <w:snapToGrid w:val="0"/>
                <w:sz w:val="14"/>
                <w:szCs w:val="16"/>
              </w:rPr>
            </w:pPr>
            <w:r w:rsidRPr="001131FC">
              <w:rPr>
                <w:rFonts w:cs="Tahoma"/>
                <w:snapToGrid w:val="0"/>
                <w:sz w:val="14"/>
                <w:szCs w:val="16"/>
              </w:rPr>
              <w:t>Diğer Hizmetler</w:t>
            </w:r>
          </w:p>
        </w:tc>
        <w:tc>
          <w:tcPr>
            <w:tcW w:w="425" w:type="pct"/>
            <w:tcBorders>
              <w:bottom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10 936</w:t>
            </w:r>
          </w:p>
        </w:tc>
        <w:tc>
          <w:tcPr>
            <w:tcW w:w="425" w:type="pct"/>
            <w:tcBorders>
              <w:bottom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9 254</w:t>
            </w:r>
          </w:p>
        </w:tc>
        <w:tc>
          <w:tcPr>
            <w:tcW w:w="454" w:type="pct"/>
            <w:tcBorders>
              <w:bottom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20 190</w:t>
            </w:r>
          </w:p>
        </w:tc>
        <w:tc>
          <w:tcPr>
            <w:tcW w:w="150" w:type="pct"/>
            <w:tcBorders>
              <w:bottom w:val="single" w:sz="4" w:space="0" w:color="auto"/>
            </w:tcBorders>
            <w:vAlign w:val="center"/>
          </w:tcPr>
          <w:p w:rsidR="00565FD5" w:rsidRPr="001131FC" w:rsidRDefault="00565FD5" w:rsidP="00AB62A3">
            <w:pPr>
              <w:jc w:val="right"/>
              <w:rPr>
                <w:rFonts w:cs="Tahoma"/>
                <w:sz w:val="14"/>
                <w:szCs w:val="16"/>
              </w:rPr>
            </w:pPr>
          </w:p>
        </w:tc>
        <w:tc>
          <w:tcPr>
            <w:tcW w:w="424" w:type="pct"/>
            <w:tcBorders>
              <w:bottom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12 320</w:t>
            </w:r>
          </w:p>
        </w:tc>
        <w:tc>
          <w:tcPr>
            <w:tcW w:w="424" w:type="pct"/>
            <w:tcBorders>
              <w:bottom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10 701</w:t>
            </w:r>
          </w:p>
        </w:tc>
        <w:tc>
          <w:tcPr>
            <w:tcW w:w="476" w:type="pct"/>
            <w:tcBorders>
              <w:bottom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23 020</w:t>
            </w:r>
          </w:p>
        </w:tc>
        <w:tc>
          <w:tcPr>
            <w:tcW w:w="150" w:type="pct"/>
            <w:tcBorders>
              <w:bottom w:val="single" w:sz="4" w:space="0" w:color="auto"/>
            </w:tcBorders>
            <w:vAlign w:val="center"/>
          </w:tcPr>
          <w:p w:rsidR="00565FD5" w:rsidRPr="001131FC" w:rsidRDefault="00565FD5" w:rsidP="00AB62A3">
            <w:pPr>
              <w:jc w:val="right"/>
              <w:rPr>
                <w:rFonts w:cs="Tahoma"/>
                <w:sz w:val="14"/>
                <w:szCs w:val="16"/>
              </w:rPr>
            </w:pPr>
          </w:p>
        </w:tc>
        <w:tc>
          <w:tcPr>
            <w:tcW w:w="424" w:type="pct"/>
            <w:tcBorders>
              <w:bottom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15 960</w:t>
            </w:r>
          </w:p>
        </w:tc>
        <w:tc>
          <w:tcPr>
            <w:tcW w:w="475" w:type="pct"/>
            <w:tcBorders>
              <w:bottom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11 826</w:t>
            </w:r>
          </w:p>
        </w:tc>
        <w:tc>
          <w:tcPr>
            <w:tcW w:w="471" w:type="pct"/>
            <w:tcBorders>
              <w:bottom w:val="single" w:sz="4" w:space="0" w:color="auto"/>
            </w:tcBorders>
            <w:vAlign w:val="center"/>
          </w:tcPr>
          <w:p w:rsidR="00565FD5" w:rsidRPr="001131FC" w:rsidRDefault="00565FD5" w:rsidP="00AB62A3">
            <w:pPr>
              <w:jc w:val="right"/>
              <w:rPr>
                <w:rFonts w:cs="Tahoma"/>
                <w:sz w:val="14"/>
                <w:szCs w:val="16"/>
              </w:rPr>
            </w:pPr>
            <w:r w:rsidRPr="001131FC">
              <w:rPr>
                <w:rFonts w:cs="Tahoma"/>
                <w:sz w:val="14"/>
                <w:szCs w:val="16"/>
              </w:rPr>
              <w:t>27 786</w:t>
            </w:r>
          </w:p>
        </w:tc>
      </w:tr>
      <w:tr w:rsidR="00565FD5" w:rsidRPr="001131FC" w:rsidTr="00AB62A3">
        <w:trPr>
          <w:trHeight w:val="343"/>
        </w:trPr>
        <w:tc>
          <w:tcPr>
            <w:tcW w:w="703" w:type="pct"/>
            <w:tcBorders>
              <w:top w:val="single" w:sz="4" w:space="0" w:color="auto"/>
              <w:bottom w:val="single" w:sz="4" w:space="0" w:color="auto"/>
            </w:tcBorders>
            <w:vAlign w:val="center"/>
          </w:tcPr>
          <w:p w:rsidR="00565FD5" w:rsidRPr="001131FC" w:rsidRDefault="00565FD5" w:rsidP="00AB62A3">
            <w:pPr>
              <w:rPr>
                <w:rFonts w:cs="Tahoma"/>
                <w:b/>
                <w:snapToGrid w:val="0"/>
                <w:sz w:val="14"/>
                <w:szCs w:val="16"/>
              </w:rPr>
            </w:pPr>
            <w:r w:rsidRPr="001131FC">
              <w:rPr>
                <w:rFonts w:cs="Tahoma"/>
                <w:b/>
                <w:snapToGrid w:val="0"/>
                <w:sz w:val="14"/>
                <w:szCs w:val="16"/>
              </w:rPr>
              <w:t>TOPLAM</w:t>
            </w:r>
          </w:p>
        </w:tc>
        <w:tc>
          <w:tcPr>
            <w:tcW w:w="425"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r w:rsidRPr="001131FC">
              <w:rPr>
                <w:rFonts w:cs="Tahoma"/>
                <w:b/>
                <w:sz w:val="14"/>
                <w:szCs w:val="16"/>
              </w:rPr>
              <w:t>53 247</w:t>
            </w:r>
          </w:p>
        </w:tc>
        <w:tc>
          <w:tcPr>
            <w:tcW w:w="425"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r w:rsidRPr="001131FC">
              <w:rPr>
                <w:rFonts w:cs="Tahoma"/>
                <w:b/>
                <w:sz w:val="14"/>
                <w:szCs w:val="16"/>
              </w:rPr>
              <w:t>233 382</w:t>
            </w:r>
          </w:p>
        </w:tc>
        <w:tc>
          <w:tcPr>
            <w:tcW w:w="454"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r w:rsidRPr="001131FC">
              <w:rPr>
                <w:rFonts w:cs="Tahoma"/>
                <w:b/>
                <w:sz w:val="14"/>
                <w:szCs w:val="16"/>
              </w:rPr>
              <w:t>286 629</w:t>
            </w:r>
          </w:p>
        </w:tc>
        <w:tc>
          <w:tcPr>
            <w:tcW w:w="150"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p>
        </w:tc>
        <w:tc>
          <w:tcPr>
            <w:tcW w:w="424"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r w:rsidRPr="001131FC">
              <w:rPr>
                <w:rFonts w:cs="Tahoma"/>
                <w:b/>
                <w:sz w:val="14"/>
                <w:szCs w:val="16"/>
              </w:rPr>
              <w:t>61 832</w:t>
            </w:r>
          </w:p>
        </w:tc>
        <w:tc>
          <w:tcPr>
            <w:tcW w:w="424"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r w:rsidRPr="001131FC">
              <w:rPr>
                <w:rFonts w:cs="Tahoma"/>
                <w:b/>
                <w:sz w:val="14"/>
                <w:szCs w:val="16"/>
              </w:rPr>
              <w:t>257 210</w:t>
            </w:r>
          </w:p>
        </w:tc>
        <w:tc>
          <w:tcPr>
            <w:tcW w:w="476"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r w:rsidRPr="001131FC">
              <w:rPr>
                <w:rFonts w:cs="Tahoma"/>
                <w:b/>
                <w:sz w:val="14"/>
                <w:szCs w:val="16"/>
              </w:rPr>
              <w:t>319 042</w:t>
            </w:r>
          </w:p>
        </w:tc>
        <w:tc>
          <w:tcPr>
            <w:tcW w:w="150"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p>
        </w:tc>
        <w:tc>
          <w:tcPr>
            <w:tcW w:w="424"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r w:rsidRPr="001131FC">
              <w:rPr>
                <w:rFonts w:cs="Tahoma"/>
                <w:b/>
                <w:sz w:val="14"/>
                <w:szCs w:val="16"/>
              </w:rPr>
              <w:t>68 301</w:t>
            </w:r>
          </w:p>
        </w:tc>
        <w:tc>
          <w:tcPr>
            <w:tcW w:w="475"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r w:rsidRPr="001131FC">
              <w:rPr>
                <w:rFonts w:cs="Tahoma"/>
                <w:b/>
                <w:sz w:val="14"/>
                <w:szCs w:val="16"/>
              </w:rPr>
              <w:t>289 915</w:t>
            </w:r>
          </w:p>
        </w:tc>
        <w:tc>
          <w:tcPr>
            <w:tcW w:w="471"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r w:rsidRPr="001131FC">
              <w:rPr>
                <w:rFonts w:cs="Tahoma"/>
                <w:b/>
                <w:sz w:val="14"/>
                <w:szCs w:val="16"/>
              </w:rPr>
              <w:t>358 216</w:t>
            </w:r>
          </w:p>
        </w:tc>
      </w:tr>
    </w:tbl>
    <w:p w:rsidR="00565FD5" w:rsidRPr="001131FC" w:rsidRDefault="00565FD5" w:rsidP="00565FD5">
      <w:pPr>
        <w:spacing w:before="80"/>
        <w:rPr>
          <w:rFonts w:cs="Tahoma"/>
          <w:snapToGrid w:val="0"/>
          <w:sz w:val="14"/>
          <w:szCs w:val="14"/>
        </w:rPr>
      </w:pPr>
      <w:r w:rsidRPr="001131FC">
        <w:rPr>
          <w:rFonts w:cs="Tahoma"/>
          <w:snapToGrid w:val="0"/>
          <w:sz w:val="14"/>
          <w:szCs w:val="14"/>
        </w:rPr>
        <w:t>Kaynak: Kalkınma Bakanlığı</w:t>
      </w:r>
    </w:p>
    <w:p w:rsidR="00565FD5" w:rsidRPr="001131FC" w:rsidRDefault="00565FD5" w:rsidP="00565FD5">
      <w:pPr>
        <w:rPr>
          <w:rFonts w:cs="Tahoma"/>
          <w:snapToGrid w:val="0"/>
          <w:sz w:val="14"/>
          <w:szCs w:val="14"/>
        </w:rPr>
      </w:pPr>
      <w:r w:rsidRPr="001131FC">
        <w:rPr>
          <w:rFonts w:cs="Tahoma"/>
          <w:snapToGrid w:val="0"/>
          <w:sz w:val="14"/>
          <w:szCs w:val="14"/>
        </w:rPr>
        <w:lastRenderedPageBreak/>
        <w:t>(1) Merkezi yönetim bütçesinde yatırım işçiliği dahildir.</w:t>
      </w:r>
    </w:p>
    <w:p w:rsidR="00565FD5" w:rsidRPr="001131FC" w:rsidRDefault="00565FD5" w:rsidP="00565FD5">
      <w:pPr>
        <w:rPr>
          <w:rFonts w:cs="Tahoma"/>
          <w:snapToGrid w:val="0"/>
          <w:sz w:val="14"/>
          <w:szCs w:val="14"/>
        </w:rPr>
      </w:pPr>
      <w:r w:rsidRPr="001131FC">
        <w:rPr>
          <w:rFonts w:cs="Tahoma"/>
          <w:snapToGrid w:val="0"/>
          <w:sz w:val="14"/>
          <w:szCs w:val="14"/>
        </w:rPr>
        <w:t>(2) Gerçekleşme tahmini</w:t>
      </w:r>
    </w:p>
    <w:p w:rsidR="00565FD5" w:rsidRPr="001131FC" w:rsidRDefault="00565FD5" w:rsidP="00565FD5">
      <w:pPr>
        <w:rPr>
          <w:rFonts w:cs="Tahoma"/>
          <w:snapToGrid w:val="0"/>
          <w:sz w:val="14"/>
          <w:szCs w:val="14"/>
        </w:rPr>
      </w:pPr>
      <w:r w:rsidRPr="001131FC">
        <w:rPr>
          <w:rFonts w:cs="Tahoma"/>
          <w:snapToGrid w:val="0"/>
          <w:sz w:val="14"/>
          <w:szCs w:val="14"/>
        </w:rPr>
        <w:t>(3) Program</w:t>
      </w:r>
    </w:p>
    <w:p w:rsidR="00565FD5" w:rsidRPr="001131FC" w:rsidRDefault="00565FD5" w:rsidP="00565FD5">
      <w:pPr>
        <w:spacing w:after="120"/>
        <w:ind w:left="283"/>
        <w:rPr>
          <w:rFonts w:cs="Tahoma"/>
          <w:szCs w:val="18"/>
        </w:rPr>
      </w:pPr>
    </w:p>
    <w:p w:rsidR="00565FD5" w:rsidRPr="001131FC" w:rsidRDefault="00565FD5" w:rsidP="00565FD5">
      <w:pPr>
        <w:spacing w:after="120"/>
        <w:ind w:left="283"/>
        <w:rPr>
          <w:rFonts w:cs="Tahoma"/>
          <w:szCs w:val="18"/>
        </w:rPr>
        <w:sectPr w:rsidR="00565FD5" w:rsidRPr="001131FC" w:rsidSect="00B50093">
          <w:type w:val="nextColumn"/>
          <w:pgSz w:w="16838" w:h="11906" w:orient="landscape" w:code="9"/>
          <w:pgMar w:top="2381" w:right="2948" w:bottom="2381" w:left="2948" w:header="1985" w:footer="1985" w:gutter="0"/>
          <w:cols w:space="708"/>
          <w:noEndnote/>
        </w:sectPr>
      </w:pPr>
    </w:p>
    <w:p w:rsidR="00565FD5" w:rsidRPr="001131FC" w:rsidRDefault="00565FD5" w:rsidP="00565FD5">
      <w:pPr>
        <w:pStyle w:val="ResimYazs"/>
        <w:rPr>
          <w:b w:val="0"/>
          <w:snapToGrid w:val="0"/>
        </w:rPr>
      </w:pPr>
      <w:bookmarkStart w:id="498" w:name="_Toc149926707"/>
      <w:bookmarkStart w:id="499" w:name="_Toc150099338"/>
      <w:bookmarkStart w:id="500" w:name="_Toc181274094"/>
      <w:bookmarkStart w:id="501" w:name="_Toc181286373"/>
      <w:bookmarkStart w:id="502" w:name="_Toc213071583"/>
      <w:bookmarkStart w:id="503" w:name="_Toc244339789"/>
      <w:bookmarkStart w:id="504" w:name="_Toc275873816"/>
      <w:bookmarkStart w:id="505" w:name="_Toc276076440"/>
      <w:bookmarkStart w:id="506" w:name="_Toc307601604"/>
      <w:bookmarkStart w:id="507" w:name="_Toc307657846"/>
      <w:bookmarkStart w:id="508" w:name="_Toc307713511"/>
      <w:bookmarkStart w:id="509" w:name="_Toc338605966"/>
      <w:bookmarkStart w:id="510" w:name="_Toc338711741"/>
      <w:r>
        <w:lastRenderedPageBreak/>
        <w:t xml:space="preserve">TABLO II: </w:t>
      </w:r>
      <w:fldSimple w:instr=" SEQ TABLO_II: \* ARABIC ">
        <w:r>
          <w:rPr>
            <w:noProof/>
          </w:rPr>
          <w:t>14</w:t>
        </w:r>
      </w:fldSimple>
      <w:r w:rsidRPr="00557693">
        <w:t>-</w:t>
      </w:r>
      <w:r w:rsidRPr="00557693">
        <w:rPr>
          <w:snapToGrid w:val="0"/>
        </w:rPr>
        <w:t xml:space="preserve"> Sabit Sermaye Yatırımlarının Sektörel Dağılımı</w:t>
      </w:r>
      <w:bookmarkEnd w:id="498"/>
      <w:r w:rsidRPr="001131FC">
        <w:rPr>
          <w:b w:val="0"/>
          <w:snapToGrid w:val="0"/>
        </w:rPr>
        <w:t xml:space="preserve"> (1)</w:t>
      </w:r>
      <w:bookmarkEnd w:id="499"/>
      <w:bookmarkEnd w:id="500"/>
      <w:bookmarkEnd w:id="501"/>
      <w:bookmarkEnd w:id="502"/>
      <w:bookmarkEnd w:id="503"/>
      <w:bookmarkEnd w:id="504"/>
      <w:bookmarkEnd w:id="505"/>
      <w:bookmarkEnd w:id="506"/>
      <w:bookmarkEnd w:id="507"/>
      <w:bookmarkEnd w:id="508"/>
      <w:bookmarkEnd w:id="509"/>
      <w:bookmarkEnd w:id="510"/>
    </w:p>
    <w:p w:rsidR="00565FD5" w:rsidRPr="001131FC" w:rsidRDefault="00565FD5" w:rsidP="00565FD5">
      <w:pPr>
        <w:spacing w:before="240"/>
        <w:jc w:val="right"/>
        <w:rPr>
          <w:rFonts w:cs="Tahoma"/>
          <w:snapToGrid w:val="0"/>
          <w:sz w:val="14"/>
          <w:szCs w:val="16"/>
        </w:rPr>
      </w:pPr>
      <w:r w:rsidRPr="001131FC">
        <w:rPr>
          <w:rFonts w:cs="Tahoma"/>
          <w:snapToGrid w:val="0"/>
          <w:sz w:val="14"/>
          <w:szCs w:val="16"/>
        </w:rPr>
        <w:t>(Cari Fiyatlarla, Yüzde Dağılım)</w:t>
      </w:r>
    </w:p>
    <w:bookmarkEnd w:id="457"/>
    <w:bookmarkEnd w:id="458"/>
    <w:tbl>
      <w:tblPr>
        <w:tblW w:w="7144" w:type="dxa"/>
        <w:jc w:val="center"/>
        <w:tblCellMar>
          <w:left w:w="54" w:type="dxa"/>
          <w:right w:w="54" w:type="dxa"/>
        </w:tblCellMar>
        <w:tblLook w:val="0000"/>
      </w:tblPr>
      <w:tblGrid>
        <w:gridCol w:w="930"/>
        <w:gridCol w:w="607"/>
        <w:gridCol w:w="604"/>
        <w:gridCol w:w="742"/>
        <w:gridCol w:w="127"/>
        <w:gridCol w:w="603"/>
        <w:gridCol w:w="603"/>
        <w:gridCol w:w="734"/>
        <w:gridCol w:w="127"/>
        <w:gridCol w:w="603"/>
        <w:gridCol w:w="603"/>
        <w:gridCol w:w="737"/>
        <w:gridCol w:w="124"/>
      </w:tblGrid>
      <w:tr w:rsidR="00565FD5" w:rsidRPr="001131FC" w:rsidTr="00AB62A3">
        <w:trPr>
          <w:trHeight w:val="340"/>
          <w:jc w:val="center"/>
        </w:trPr>
        <w:tc>
          <w:tcPr>
            <w:tcW w:w="650" w:type="pct"/>
            <w:tcBorders>
              <w:top w:val="single" w:sz="4" w:space="0" w:color="auto"/>
              <w:left w:val="single" w:sz="4" w:space="0" w:color="auto"/>
            </w:tcBorders>
            <w:vAlign w:val="center"/>
          </w:tcPr>
          <w:p w:rsidR="00565FD5" w:rsidRPr="001131FC" w:rsidRDefault="00565FD5" w:rsidP="00AB62A3">
            <w:pPr>
              <w:rPr>
                <w:rFonts w:cs="Tahoma"/>
                <w:b/>
                <w:sz w:val="14"/>
                <w:szCs w:val="16"/>
              </w:rPr>
            </w:pPr>
          </w:p>
        </w:tc>
        <w:tc>
          <w:tcPr>
            <w:tcW w:w="1367" w:type="pct"/>
            <w:gridSpan w:val="3"/>
            <w:tcBorders>
              <w:top w:val="single" w:sz="4" w:space="0" w:color="auto"/>
              <w:bottom w:val="single" w:sz="4" w:space="0" w:color="auto"/>
            </w:tcBorders>
            <w:vAlign w:val="center"/>
          </w:tcPr>
          <w:p w:rsidR="00565FD5" w:rsidRPr="001131FC" w:rsidRDefault="00565FD5" w:rsidP="00AB62A3">
            <w:pPr>
              <w:jc w:val="center"/>
              <w:rPr>
                <w:rFonts w:cs="Tahoma"/>
                <w:b/>
                <w:sz w:val="14"/>
                <w:szCs w:val="16"/>
              </w:rPr>
            </w:pPr>
            <w:r w:rsidRPr="001131FC">
              <w:rPr>
                <w:rFonts w:cs="Tahoma"/>
                <w:b/>
                <w:sz w:val="14"/>
                <w:szCs w:val="16"/>
              </w:rPr>
              <w:t>2011</w:t>
            </w:r>
          </w:p>
        </w:tc>
        <w:tc>
          <w:tcPr>
            <w:tcW w:w="89" w:type="pct"/>
            <w:tcBorders>
              <w:top w:val="single" w:sz="4" w:space="0" w:color="auto"/>
            </w:tcBorders>
            <w:vAlign w:val="center"/>
          </w:tcPr>
          <w:p w:rsidR="00565FD5" w:rsidRPr="001131FC" w:rsidRDefault="00565FD5" w:rsidP="00AB62A3">
            <w:pPr>
              <w:jc w:val="center"/>
              <w:rPr>
                <w:rFonts w:cs="Tahoma"/>
                <w:b/>
                <w:sz w:val="14"/>
                <w:szCs w:val="16"/>
              </w:rPr>
            </w:pPr>
          </w:p>
        </w:tc>
        <w:tc>
          <w:tcPr>
            <w:tcW w:w="1357" w:type="pct"/>
            <w:gridSpan w:val="3"/>
            <w:tcBorders>
              <w:top w:val="single" w:sz="4" w:space="0" w:color="auto"/>
              <w:bottom w:val="single" w:sz="4" w:space="0" w:color="auto"/>
            </w:tcBorders>
            <w:vAlign w:val="center"/>
          </w:tcPr>
          <w:p w:rsidR="00565FD5" w:rsidRPr="001131FC" w:rsidRDefault="00565FD5" w:rsidP="00AB62A3">
            <w:pPr>
              <w:jc w:val="center"/>
              <w:rPr>
                <w:rFonts w:cs="Tahoma"/>
                <w:b/>
                <w:sz w:val="14"/>
                <w:szCs w:val="16"/>
              </w:rPr>
            </w:pPr>
            <w:r w:rsidRPr="001131FC">
              <w:rPr>
                <w:rFonts w:cs="Tahoma"/>
                <w:b/>
                <w:sz w:val="14"/>
                <w:szCs w:val="16"/>
              </w:rPr>
              <w:t>2012 (2)</w:t>
            </w:r>
          </w:p>
        </w:tc>
        <w:tc>
          <w:tcPr>
            <w:tcW w:w="89" w:type="pct"/>
            <w:tcBorders>
              <w:top w:val="single" w:sz="4" w:space="0" w:color="auto"/>
            </w:tcBorders>
            <w:vAlign w:val="center"/>
          </w:tcPr>
          <w:p w:rsidR="00565FD5" w:rsidRPr="001131FC" w:rsidRDefault="00565FD5" w:rsidP="00AB62A3">
            <w:pPr>
              <w:jc w:val="center"/>
              <w:rPr>
                <w:rFonts w:cs="Tahoma"/>
                <w:b/>
                <w:sz w:val="14"/>
                <w:szCs w:val="16"/>
              </w:rPr>
            </w:pPr>
          </w:p>
        </w:tc>
        <w:tc>
          <w:tcPr>
            <w:tcW w:w="1359" w:type="pct"/>
            <w:gridSpan w:val="3"/>
            <w:tcBorders>
              <w:top w:val="single" w:sz="4" w:space="0" w:color="auto"/>
              <w:bottom w:val="single" w:sz="4" w:space="0" w:color="auto"/>
            </w:tcBorders>
            <w:vAlign w:val="center"/>
          </w:tcPr>
          <w:p w:rsidR="00565FD5" w:rsidRPr="001131FC" w:rsidRDefault="00565FD5" w:rsidP="00AB62A3">
            <w:pPr>
              <w:jc w:val="center"/>
              <w:rPr>
                <w:rFonts w:cs="Tahoma"/>
                <w:b/>
                <w:sz w:val="14"/>
                <w:szCs w:val="16"/>
              </w:rPr>
            </w:pPr>
            <w:r w:rsidRPr="001131FC">
              <w:rPr>
                <w:rFonts w:cs="Tahoma"/>
                <w:b/>
                <w:sz w:val="14"/>
                <w:szCs w:val="16"/>
              </w:rPr>
              <w:t>2013 (3)</w:t>
            </w:r>
          </w:p>
        </w:tc>
        <w:tc>
          <w:tcPr>
            <w:tcW w:w="89" w:type="pct"/>
            <w:tcBorders>
              <w:top w:val="single" w:sz="4" w:space="0" w:color="auto"/>
              <w:right w:val="single" w:sz="4" w:space="0" w:color="auto"/>
            </w:tcBorders>
            <w:vAlign w:val="center"/>
          </w:tcPr>
          <w:p w:rsidR="00565FD5" w:rsidRPr="001131FC" w:rsidRDefault="00565FD5" w:rsidP="00AB62A3">
            <w:pPr>
              <w:jc w:val="center"/>
              <w:rPr>
                <w:rFonts w:cs="Tahoma"/>
                <w:b/>
                <w:sz w:val="14"/>
                <w:szCs w:val="16"/>
              </w:rPr>
            </w:pPr>
          </w:p>
        </w:tc>
      </w:tr>
      <w:tr w:rsidR="00565FD5" w:rsidRPr="001131FC" w:rsidTr="00AB62A3">
        <w:trPr>
          <w:trHeight w:val="340"/>
          <w:jc w:val="center"/>
        </w:trPr>
        <w:tc>
          <w:tcPr>
            <w:tcW w:w="650" w:type="pct"/>
            <w:tcBorders>
              <w:left w:val="single" w:sz="4" w:space="0" w:color="auto"/>
              <w:bottom w:val="single" w:sz="6" w:space="0" w:color="auto"/>
            </w:tcBorders>
            <w:vAlign w:val="center"/>
          </w:tcPr>
          <w:p w:rsidR="00565FD5" w:rsidRPr="001131FC" w:rsidRDefault="00565FD5" w:rsidP="00AB62A3">
            <w:pPr>
              <w:rPr>
                <w:rFonts w:cs="Tahoma"/>
                <w:b/>
                <w:spacing w:val="-4"/>
                <w:sz w:val="14"/>
                <w:szCs w:val="16"/>
              </w:rPr>
            </w:pPr>
          </w:p>
        </w:tc>
        <w:tc>
          <w:tcPr>
            <w:tcW w:w="425" w:type="pct"/>
            <w:tcBorders>
              <w:bottom w:val="single" w:sz="6" w:space="0" w:color="auto"/>
            </w:tcBorders>
            <w:vAlign w:val="center"/>
          </w:tcPr>
          <w:p w:rsidR="00565FD5" w:rsidRPr="001131FC" w:rsidRDefault="00565FD5" w:rsidP="00AB62A3">
            <w:pPr>
              <w:jc w:val="right"/>
              <w:rPr>
                <w:rFonts w:cs="Tahoma"/>
                <w:b/>
                <w:spacing w:val="-4"/>
                <w:sz w:val="14"/>
                <w:szCs w:val="16"/>
              </w:rPr>
            </w:pPr>
            <w:r w:rsidRPr="001131FC">
              <w:rPr>
                <w:rFonts w:cs="Tahoma"/>
                <w:b/>
                <w:spacing w:val="-4"/>
                <w:sz w:val="14"/>
                <w:szCs w:val="16"/>
              </w:rPr>
              <w:t>Kamu</w:t>
            </w:r>
          </w:p>
        </w:tc>
        <w:tc>
          <w:tcPr>
            <w:tcW w:w="423" w:type="pct"/>
            <w:tcBorders>
              <w:bottom w:val="single" w:sz="6" w:space="0" w:color="auto"/>
            </w:tcBorders>
            <w:vAlign w:val="center"/>
          </w:tcPr>
          <w:p w:rsidR="00565FD5" w:rsidRPr="001131FC" w:rsidRDefault="00565FD5" w:rsidP="00AB62A3">
            <w:pPr>
              <w:jc w:val="right"/>
              <w:rPr>
                <w:rFonts w:cs="Tahoma"/>
                <w:b/>
                <w:spacing w:val="-4"/>
                <w:sz w:val="14"/>
                <w:szCs w:val="16"/>
              </w:rPr>
            </w:pPr>
            <w:r w:rsidRPr="001131FC">
              <w:rPr>
                <w:rFonts w:cs="Tahoma"/>
                <w:b/>
                <w:spacing w:val="-4"/>
                <w:sz w:val="14"/>
                <w:szCs w:val="16"/>
              </w:rPr>
              <w:t>Özel</w:t>
            </w:r>
          </w:p>
        </w:tc>
        <w:tc>
          <w:tcPr>
            <w:tcW w:w="519" w:type="pct"/>
            <w:tcBorders>
              <w:bottom w:val="single" w:sz="6" w:space="0" w:color="auto"/>
            </w:tcBorders>
            <w:vAlign w:val="center"/>
          </w:tcPr>
          <w:p w:rsidR="00565FD5" w:rsidRPr="001131FC" w:rsidRDefault="00565FD5" w:rsidP="00AB62A3">
            <w:pPr>
              <w:jc w:val="right"/>
              <w:rPr>
                <w:rFonts w:cs="Tahoma"/>
                <w:b/>
                <w:spacing w:val="-4"/>
                <w:sz w:val="14"/>
                <w:szCs w:val="16"/>
              </w:rPr>
            </w:pPr>
            <w:r w:rsidRPr="001131FC">
              <w:rPr>
                <w:rFonts w:cs="Tahoma"/>
                <w:b/>
                <w:spacing w:val="-4"/>
                <w:sz w:val="14"/>
                <w:szCs w:val="16"/>
              </w:rPr>
              <w:t>Toplam</w:t>
            </w:r>
          </w:p>
        </w:tc>
        <w:tc>
          <w:tcPr>
            <w:tcW w:w="89" w:type="pct"/>
            <w:vAlign w:val="center"/>
          </w:tcPr>
          <w:p w:rsidR="00565FD5" w:rsidRPr="001131FC" w:rsidRDefault="00565FD5" w:rsidP="00AB62A3">
            <w:pPr>
              <w:jc w:val="right"/>
              <w:rPr>
                <w:rFonts w:cs="Tahoma"/>
                <w:b/>
                <w:spacing w:val="-4"/>
                <w:sz w:val="14"/>
                <w:szCs w:val="16"/>
              </w:rPr>
            </w:pPr>
          </w:p>
        </w:tc>
        <w:tc>
          <w:tcPr>
            <w:tcW w:w="422" w:type="pct"/>
            <w:tcBorders>
              <w:bottom w:val="single" w:sz="6" w:space="0" w:color="auto"/>
            </w:tcBorders>
            <w:vAlign w:val="center"/>
          </w:tcPr>
          <w:p w:rsidR="00565FD5" w:rsidRPr="001131FC" w:rsidRDefault="00565FD5" w:rsidP="00AB62A3">
            <w:pPr>
              <w:jc w:val="right"/>
              <w:rPr>
                <w:rFonts w:cs="Tahoma"/>
                <w:b/>
                <w:spacing w:val="-4"/>
                <w:sz w:val="14"/>
                <w:szCs w:val="16"/>
              </w:rPr>
            </w:pPr>
            <w:r w:rsidRPr="001131FC">
              <w:rPr>
                <w:rFonts w:cs="Tahoma"/>
                <w:b/>
                <w:spacing w:val="-4"/>
                <w:sz w:val="14"/>
                <w:szCs w:val="16"/>
              </w:rPr>
              <w:t>Kamu</w:t>
            </w:r>
          </w:p>
        </w:tc>
        <w:tc>
          <w:tcPr>
            <w:tcW w:w="422" w:type="pct"/>
            <w:tcBorders>
              <w:bottom w:val="single" w:sz="6" w:space="0" w:color="auto"/>
            </w:tcBorders>
            <w:vAlign w:val="center"/>
          </w:tcPr>
          <w:p w:rsidR="00565FD5" w:rsidRPr="001131FC" w:rsidRDefault="00565FD5" w:rsidP="00AB62A3">
            <w:pPr>
              <w:jc w:val="right"/>
              <w:rPr>
                <w:rFonts w:cs="Tahoma"/>
                <w:b/>
                <w:spacing w:val="-4"/>
                <w:sz w:val="14"/>
                <w:szCs w:val="16"/>
              </w:rPr>
            </w:pPr>
            <w:r w:rsidRPr="001131FC">
              <w:rPr>
                <w:rFonts w:cs="Tahoma"/>
                <w:b/>
                <w:spacing w:val="-4"/>
                <w:sz w:val="14"/>
                <w:szCs w:val="16"/>
              </w:rPr>
              <w:t>Özel</w:t>
            </w:r>
          </w:p>
        </w:tc>
        <w:tc>
          <w:tcPr>
            <w:tcW w:w="514" w:type="pct"/>
            <w:tcBorders>
              <w:bottom w:val="single" w:sz="6" w:space="0" w:color="auto"/>
            </w:tcBorders>
            <w:vAlign w:val="center"/>
          </w:tcPr>
          <w:p w:rsidR="00565FD5" w:rsidRPr="001131FC" w:rsidRDefault="00565FD5" w:rsidP="00AB62A3">
            <w:pPr>
              <w:jc w:val="right"/>
              <w:rPr>
                <w:rFonts w:cs="Tahoma"/>
                <w:b/>
                <w:spacing w:val="-4"/>
                <w:sz w:val="14"/>
                <w:szCs w:val="16"/>
              </w:rPr>
            </w:pPr>
            <w:r w:rsidRPr="001131FC">
              <w:rPr>
                <w:rFonts w:cs="Tahoma"/>
                <w:b/>
                <w:spacing w:val="-4"/>
                <w:sz w:val="14"/>
                <w:szCs w:val="16"/>
              </w:rPr>
              <w:t>Toplam</w:t>
            </w:r>
          </w:p>
        </w:tc>
        <w:tc>
          <w:tcPr>
            <w:tcW w:w="89" w:type="pct"/>
            <w:vAlign w:val="center"/>
          </w:tcPr>
          <w:p w:rsidR="00565FD5" w:rsidRPr="001131FC" w:rsidRDefault="00565FD5" w:rsidP="00AB62A3">
            <w:pPr>
              <w:jc w:val="right"/>
              <w:rPr>
                <w:rFonts w:cs="Tahoma"/>
                <w:b/>
                <w:spacing w:val="-4"/>
                <w:sz w:val="14"/>
                <w:szCs w:val="16"/>
              </w:rPr>
            </w:pPr>
          </w:p>
        </w:tc>
        <w:tc>
          <w:tcPr>
            <w:tcW w:w="422" w:type="pct"/>
            <w:tcBorders>
              <w:bottom w:val="single" w:sz="6" w:space="0" w:color="auto"/>
            </w:tcBorders>
            <w:vAlign w:val="center"/>
          </w:tcPr>
          <w:p w:rsidR="00565FD5" w:rsidRPr="001131FC" w:rsidRDefault="00565FD5" w:rsidP="00AB62A3">
            <w:pPr>
              <w:jc w:val="right"/>
              <w:rPr>
                <w:rFonts w:cs="Tahoma"/>
                <w:b/>
                <w:spacing w:val="-4"/>
                <w:sz w:val="14"/>
                <w:szCs w:val="16"/>
              </w:rPr>
            </w:pPr>
            <w:r w:rsidRPr="001131FC">
              <w:rPr>
                <w:rFonts w:cs="Tahoma"/>
                <w:b/>
                <w:spacing w:val="-4"/>
                <w:sz w:val="14"/>
                <w:szCs w:val="16"/>
              </w:rPr>
              <w:t>Kamu</w:t>
            </w:r>
          </w:p>
        </w:tc>
        <w:tc>
          <w:tcPr>
            <w:tcW w:w="422" w:type="pct"/>
            <w:tcBorders>
              <w:bottom w:val="single" w:sz="6" w:space="0" w:color="auto"/>
            </w:tcBorders>
            <w:vAlign w:val="center"/>
          </w:tcPr>
          <w:p w:rsidR="00565FD5" w:rsidRPr="001131FC" w:rsidRDefault="00565FD5" w:rsidP="00AB62A3">
            <w:pPr>
              <w:jc w:val="right"/>
              <w:rPr>
                <w:rFonts w:cs="Tahoma"/>
                <w:b/>
                <w:spacing w:val="-4"/>
                <w:sz w:val="14"/>
                <w:szCs w:val="16"/>
              </w:rPr>
            </w:pPr>
            <w:r w:rsidRPr="001131FC">
              <w:rPr>
                <w:rFonts w:cs="Tahoma"/>
                <w:b/>
                <w:spacing w:val="-4"/>
                <w:sz w:val="14"/>
                <w:szCs w:val="16"/>
              </w:rPr>
              <w:t>Özel</w:t>
            </w:r>
          </w:p>
        </w:tc>
        <w:tc>
          <w:tcPr>
            <w:tcW w:w="516" w:type="pct"/>
            <w:tcBorders>
              <w:bottom w:val="single" w:sz="6" w:space="0" w:color="auto"/>
            </w:tcBorders>
            <w:vAlign w:val="center"/>
          </w:tcPr>
          <w:p w:rsidR="00565FD5" w:rsidRPr="001131FC" w:rsidRDefault="00565FD5" w:rsidP="00AB62A3">
            <w:pPr>
              <w:jc w:val="right"/>
              <w:rPr>
                <w:rFonts w:cs="Tahoma"/>
                <w:b/>
                <w:spacing w:val="-4"/>
                <w:sz w:val="14"/>
                <w:szCs w:val="16"/>
              </w:rPr>
            </w:pPr>
            <w:r w:rsidRPr="001131FC">
              <w:rPr>
                <w:rFonts w:cs="Tahoma"/>
                <w:b/>
                <w:spacing w:val="-4"/>
                <w:sz w:val="14"/>
                <w:szCs w:val="16"/>
              </w:rPr>
              <w:t>Toplam</w:t>
            </w:r>
          </w:p>
        </w:tc>
        <w:tc>
          <w:tcPr>
            <w:tcW w:w="89" w:type="pct"/>
            <w:tcBorders>
              <w:bottom w:val="single" w:sz="6" w:space="0" w:color="auto"/>
              <w:right w:val="single" w:sz="4" w:space="0" w:color="auto"/>
            </w:tcBorders>
            <w:vAlign w:val="center"/>
          </w:tcPr>
          <w:p w:rsidR="00565FD5" w:rsidRPr="001131FC" w:rsidRDefault="00565FD5" w:rsidP="00AB62A3">
            <w:pPr>
              <w:jc w:val="center"/>
              <w:rPr>
                <w:rFonts w:cs="Tahoma"/>
                <w:b/>
                <w:spacing w:val="-4"/>
                <w:sz w:val="14"/>
                <w:szCs w:val="16"/>
              </w:rPr>
            </w:pPr>
          </w:p>
        </w:tc>
      </w:tr>
      <w:tr w:rsidR="00565FD5" w:rsidRPr="001131FC" w:rsidTr="00AB62A3">
        <w:trPr>
          <w:trHeight w:val="397"/>
          <w:jc w:val="center"/>
        </w:trPr>
        <w:tc>
          <w:tcPr>
            <w:tcW w:w="650" w:type="pct"/>
            <w:tcBorders>
              <w:left w:val="single" w:sz="4" w:space="0" w:color="auto"/>
            </w:tcBorders>
            <w:vAlign w:val="center"/>
          </w:tcPr>
          <w:p w:rsidR="00565FD5" w:rsidRPr="001131FC" w:rsidRDefault="00565FD5" w:rsidP="00AB62A3">
            <w:pPr>
              <w:rPr>
                <w:rFonts w:cs="Tahoma"/>
                <w:sz w:val="14"/>
                <w:szCs w:val="16"/>
              </w:rPr>
            </w:pPr>
            <w:r w:rsidRPr="001131FC">
              <w:rPr>
                <w:rFonts w:cs="Tahoma"/>
                <w:sz w:val="14"/>
                <w:szCs w:val="16"/>
              </w:rPr>
              <w:t>Tarım</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9,8</w:t>
            </w:r>
          </w:p>
        </w:tc>
        <w:tc>
          <w:tcPr>
            <w:tcW w:w="423" w:type="pct"/>
            <w:vAlign w:val="center"/>
          </w:tcPr>
          <w:p w:rsidR="00565FD5" w:rsidRPr="001131FC" w:rsidRDefault="00565FD5" w:rsidP="00AB62A3">
            <w:pPr>
              <w:jc w:val="right"/>
              <w:rPr>
                <w:rFonts w:cs="Tahoma"/>
                <w:sz w:val="14"/>
                <w:szCs w:val="16"/>
              </w:rPr>
            </w:pPr>
            <w:r w:rsidRPr="001131FC">
              <w:rPr>
                <w:rFonts w:cs="Tahoma"/>
                <w:sz w:val="14"/>
                <w:szCs w:val="16"/>
              </w:rPr>
              <w:t>3,3</w:t>
            </w:r>
          </w:p>
        </w:tc>
        <w:tc>
          <w:tcPr>
            <w:tcW w:w="519" w:type="pct"/>
            <w:vAlign w:val="center"/>
          </w:tcPr>
          <w:p w:rsidR="00565FD5" w:rsidRPr="001131FC" w:rsidRDefault="00565FD5" w:rsidP="00AB62A3">
            <w:pPr>
              <w:jc w:val="right"/>
              <w:rPr>
                <w:rFonts w:cs="Tahoma"/>
                <w:sz w:val="14"/>
                <w:szCs w:val="16"/>
              </w:rPr>
            </w:pPr>
            <w:r w:rsidRPr="001131FC">
              <w:rPr>
                <w:rFonts w:cs="Tahoma"/>
                <w:sz w:val="14"/>
                <w:szCs w:val="16"/>
              </w:rPr>
              <w:t>4,5</w:t>
            </w:r>
          </w:p>
        </w:tc>
        <w:tc>
          <w:tcPr>
            <w:tcW w:w="89" w:type="pct"/>
            <w:vAlign w:val="center"/>
          </w:tcPr>
          <w:p w:rsidR="00565FD5" w:rsidRPr="001131FC" w:rsidRDefault="00565FD5" w:rsidP="00AB62A3">
            <w:pPr>
              <w:jc w:val="right"/>
              <w:rPr>
                <w:rFonts w:cs="Tahoma"/>
                <w:sz w:val="14"/>
                <w:szCs w:val="16"/>
              </w:rPr>
            </w:pP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10,5</w:t>
            </w: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2,8</w:t>
            </w:r>
          </w:p>
        </w:tc>
        <w:tc>
          <w:tcPr>
            <w:tcW w:w="514" w:type="pct"/>
            <w:vAlign w:val="center"/>
          </w:tcPr>
          <w:p w:rsidR="00565FD5" w:rsidRPr="001131FC" w:rsidRDefault="00565FD5" w:rsidP="00AB62A3">
            <w:pPr>
              <w:jc w:val="right"/>
              <w:rPr>
                <w:rFonts w:cs="Tahoma"/>
                <w:sz w:val="14"/>
                <w:szCs w:val="16"/>
              </w:rPr>
            </w:pPr>
            <w:r w:rsidRPr="001131FC">
              <w:rPr>
                <w:rFonts w:cs="Tahoma"/>
                <w:sz w:val="14"/>
                <w:szCs w:val="16"/>
              </w:rPr>
              <w:t>4,3</w:t>
            </w:r>
          </w:p>
        </w:tc>
        <w:tc>
          <w:tcPr>
            <w:tcW w:w="89" w:type="pct"/>
            <w:vAlign w:val="center"/>
          </w:tcPr>
          <w:p w:rsidR="00565FD5" w:rsidRPr="001131FC" w:rsidRDefault="00565FD5" w:rsidP="00AB62A3">
            <w:pPr>
              <w:jc w:val="right"/>
              <w:rPr>
                <w:rFonts w:cs="Tahoma"/>
                <w:sz w:val="14"/>
                <w:szCs w:val="16"/>
              </w:rPr>
            </w:pP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10,3</w:t>
            </w: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2,7</w:t>
            </w:r>
          </w:p>
        </w:tc>
        <w:tc>
          <w:tcPr>
            <w:tcW w:w="516" w:type="pct"/>
            <w:vAlign w:val="center"/>
          </w:tcPr>
          <w:p w:rsidR="00565FD5" w:rsidRPr="001131FC" w:rsidRDefault="00565FD5" w:rsidP="00AB62A3">
            <w:pPr>
              <w:jc w:val="right"/>
              <w:rPr>
                <w:rFonts w:cs="Tahoma"/>
                <w:sz w:val="14"/>
                <w:szCs w:val="16"/>
              </w:rPr>
            </w:pPr>
            <w:r w:rsidRPr="001131FC">
              <w:rPr>
                <w:rFonts w:cs="Tahoma"/>
                <w:sz w:val="14"/>
                <w:szCs w:val="16"/>
              </w:rPr>
              <w:t>4,2</w:t>
            </w:r>
          </w:p>
        </w:tc>
        <w:tc>
          <w:tcPr>
            <w:tcW w:w="89" w:type="pct"/>
            <w:tcBorders>
              <w:right w:val="single" w:sz="4" w:space="0" w:color="auto"/>
            </w:tcBorders>
            <w:vAlign w:val="center"/>
          </w:tcPr>
          <w:p w:rsidR="00565FD5" w:rsidRPr="001131FC" w:rsidRDefault="00565FD5" w:rsidP="00AB62A3">
            <w:pPr>
              <w:jc w:val="right"/>
              <w:rPr>
                <w:rFonts w:cs="Tahoma"/>
                <w:sz w:val="14"/>
                <w:szCs w:val="16"/>
              </w:rPr>
            </w:pPr>
          </w:p>
        </w:tc>
      </w:tr>
      <w:tr w:rsidR="00565FD5" w:rsidRPr="001131FC" w:rsidTr="00AB62A3">
        <w:trPr>
          <w:trHeight w:val="397"/>
          <w:jc w:val="center"/>
        </w:trPr>
        <w:tc>
          <w:tcPr>
            <w:tcW w:w="650" w:type="pct"/>
            <w:tcBorders>
              <w:left w:val="single" w:sz="4" w:space="0" w:color="auto"/>
            </w:tcBorders>
            <w:vAlign w:val="center"/>
          </w:tcPr>
          <w:p w:rsidR="00565FD5" w:rsidRPr="001131FC" w:rsidRDefault="00565FD5" w:rsidP="00AB62A3">
            <w:pPr>
              <w:rPr>
                <w:rFonts w:cs="Tahoma"/>
                <w:sz w:val="14"/>
                <w:szCs w:val="16"/>
              </w:rPr>
            </w:pPr>
            <w:r w:rsidRPr="001131FC">
              <w:rPr>
                <w:rFonts w:cs="Tahoma"/>
                <w:sz w:val="14"/>
                <w:szCs w:val="16"/>
              </w:rPr>
              <w:t>Madencilik</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2,3</w:t>
            </w:r>
          </w:p>
        </w:tc>
        <w:tc>
          <w:tcPr>
            <w:tcW w:w="423" w:type="pct"/>
            <w:vAlign w:val="center"/>
          </w:tcPr>
          <w:p w:rsidR="00565FD5" w:rsidRPr="001131FC" w:rsidRDefault="00565FD5" w:rsidP="00AB62A3">
            <w:pPr>
              <w:jc w:val="right"/>
              <w:rPr>
                <w:rFonts w:cs="Tahoma"/>
                <w:sz w:val="14"/>
                <w:szCs w:val="16"/>
              </w:rPr>
            </w:pPr>
            <w:r w:rsidRPr="001131FC">
              <w:rPr>
                <w:rFonts w:cs="Tahoma"/>
                <w:sz w:val="14"/>
                <w:szCs w:val="16"/>
              </w:rPr>
              <w:t>1,5</w:t>
            </w:r>
          </w:p>
        </w:tc>
        <w:tc>
          <w:tcPr>
            <w:tcW w:w="519" w:type="pct"/>
            <w:vAlign w:val="center"/>
          </w:tcPr>
          <w:p w:rsidR="00565FD5" w:rsidRPr="001131FC" w:rsidRDefault="00565FD5" w:rsidP="00AB62A3">
            <w:pPr>
              <w:jc w:val="right"/>
              <w:rPr>
                <w:rFonts w:cs="Tahoma"/>
                <w:sz w:val="14"/>
                <w:szCs w:val="16"/>
              </w:rPr>
            </w:pPr>
            <w:r w:rsidRPr="001131FC">
              <w:rPr>
                <w:rFonts w:cs="Tahoma"/>
                <w:sz w:val="14"/>
                <w:szCs w:val="16"/>
              </w:rPr>
              <w:t>1,6</w:t>
            </w:r>
          </w:p>
        </w:tc>
        <w:tc>
          <w:tcPr>
            <w:tcW w:w="89" w:type="pct"/>
            <w:vAlign w:val="center"/>
          </w:tcPr>
          <w:p w:rsidR="00565FD5" w:rsidRPr="001131FC" w:rsidRDefault="00565FD5" w:rsidP="00AB62A3">
            <w:pPr>
              <w:jc w:val="right"/>
              <w:rPr>
                <w:rFonts w:cs="Tahoma"/>
                <w:sz w:val="14"/>
                <w:szCs w:val="16"/>
              </w:rPr>
            </w:pP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2,5</w:t>
            </w: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1,6</w:t>
            </w:r>
          </w:p>
        </w:tc>
        <w:tc>
          <w:tcPr>
            <w:tcW w:w="514" w:type="pct"/>
            <w:vAlign w:val="center"/>
          </w:tcPr>
          <w:p w:rsidR="00565FD5" w:rsidRPr="001131FC" w:rsidRDefault="00565FD5" w:rsidP="00AB62A3">
            <w:pPr>
              <w:jc w:val="right"/>
              <w:rPr>
                <w:rFonts w:cs="Tahoma"/>
                <w:sz w:val="14"/>
                <w:szCs w:val="16"/>
              </w:rPr>
            </w:pPr>
            <w:r w:rsidRPr="001131FC">
              <w:rPr>
                <w:rFonts w:cs="Tahoma"/>
                <w:sz w:val="14"/>
                <w:szCs w:val="16"/>
              </w:rPr>
              <w:t>1,8</w:t>
            </w:r>
          </w:p>
        </w:tc>
        <w:tc>
          <w:tcPr>
            <w:tcW w:w="89" w:type="pct"/>
            <w:vAlign w:val="center"/>
          </w:tcPr>
          <w:p w:rsidR="00565FD5" w:rsidRPr="001131FC" w:rsidRDefault="00565FD5" w:rsidP="00AB62A3">
            <w:pPr>
              <w:jc w:val="right"/>
              <w:rPr>
                <w:rFonts w:cs="Tahoma"/>
                <w:sz w:val="14"/>
                <w:szCs w:val="16"/>
              </w:rPr>
            </w:pP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2,7</w:t>
            </w: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1,6</w:t>
            </w:r>
          </w:p>
        </w:tc>
        <w:tc>
          <w:tcPr>
            <w:tcW w:w="516" w:type="pct"/>
            <w:vAlign w:val="center"/>
          </w:tcPr>
          <w:p w:rsidR="00565FD5" w:rsidRPr="001131FC" w:rsidRDefault="00565FD5" w:rsidP="00AB62A3">
            <w:pPr>
              <w:jc w:val="right"/>
              <w:rPr>
                <w:rFonts w:cs="Tahoma"/>
                <w:sz w:val="14"/>
                <w:szCs w:val="16"/>
              </w:rPr>
            </w:pPr>
            <w:r w:rsidRPr="001131FC">
              <w:rPr>
                <w:rFonts w:cs="Tahoma"/>
                <w:sz w:val="14"/>
                <w:szCs w:val="16"/>
              </w:rPr>
              <w:t>1,8</w:t>
            </w:r>
          </w:p>
        </w:tc>
        <w:tc>
          <w:tcPr>
            <w:tcW w:w="89" w:type="pct"/>
            <w:tcBorders>
              <w:right w:val="single" w:sz="4" w:space="0" w:color="auto"/>
            </w:tcBorders>
            <w:vAlign w:val="center"/>
          </w:tcPr>
          <w:p w:rsidR="00565FD5" w:rsidRPr="001131FC" w:rsidRDefault="00565FD5" w:rsidP="00AB62A3">
            <w:pPr>
              <w:jc w:val="right"/>
              <w:rPr>
                <w:rFonts w:cs="Tahoma"/>
                <w:sz w:val="14"/>
                <w:szCs w:val="16"/>
              </w:rPr>
            </w:pPr>
          </w:p>
        </w:tc>
      </w:tr>
      <w:tr w:rsidR="00565FD5" w:rsidRPr="001131FC" w:rsidTr="00AB62A3">
        <w:trPr>
          <w:trHeight w:val="397"/>
          <w:jc w:val="center"/>
        </w:trPr>
        <w:tc>
          <w:tcPr>
            <w:tcW w:w="650" w:type="pct"/>
            <w:tcBorders>
              <w:left w:val="single" w:sz="4" w:space="0" w:color="auto"/>
            </w:tcBorders>
            <w:vAlign w:val="center"/>
          </w:tcPr>
          <w:p w:rsidR="00565FD5" w:rsidRPr="001131FC" w:rsidRDefault="00565FD5" w:rsidP="00AB62A3">
            <w:pPr>
              <w:rPr>
                <w:rFonts w:cs="Tahoma"/>
                <w:sz w:val="14"/>
                <w:szCs w:val="16"/>
              </w:rPr>
            </w:pPr>
            <w:r w:rsidRPr="001131FC">
              <w:rPr>
                <w:rFonts w:cs="Tahoma"/>
                <w:sz w:val="14"/>
                <w:szCs w:val="16"/>
              </w:rPr>
              <w:t>İmalat</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0,7</w:t>
            </w:r>
          </w:p>
        </w:tc>
        <w:tc>
          <w:tcPr>
            <w:tcW w:w="423" w:type="pct"/>
            <w:vAlign w:val="center"/>
          </w:tcPr>
          <w:p w:rsidR="00565FD5" w:rsidRPr="001131FC" w:rsidRDefault="00565FD5" w:rsidP="00AB62A3">
            <w:pPr>
              <w:jc w:val="right"/>
              <w:rPr>
                <w:rFonts w:cs="Tahoma"/>
                <w:sz w:val="14"/>
                <w:szCs w:val="16"/>
              </w:rPr>
            </w:pPr>
            <w:r w:rsidRPr="001131FC">
              <w:rPr>
                <w:rFonts w:cs="Tahoma"/>
                <w:sz w:val="14"/>
                <w:szCs w:val="16"/>
              </w:rPr>
              <w:t>42,2</w:t>
            </w:r>
          </w:p>
        </w:tc>
        <w:tc>
          <w:tcPr>
            <w:tcW w:w="519" w:type="pct"/>
            <w:vAlign w:val="center"/>
          </w:tcPr>
          <w:p w:rsidR="00565FD5" w:rsidRPr="001131FC" w:rsidRDefault="00565FD5" w:rsidP="00AB62A3">
            <w:pPr>
              <w:jc w:val="right"/>
              <w:rPr>
                <w:rFonts w:cs="Tahoma"/>
                <w:sz w:val="14"/>
                <w:szCs w:val="16"/>
              </w:rPr>
            </w:pPr>
            <w:r w:rsidRPr="001131FC">
              <w:rPr>
                <w:rFonts w:cs="Tahoma"/>
                <w:sz w:val="14"/>
                <w:szCs w:val="16"/>
              </w:rPr>
              <w:t>34,5</w:t>
            </w:r>
          </w:p>
        </w:tc>
        <w:tc>
          <w:tcPr>
            <w:tcW w:w="89" w:type="pct"/>
            <w:vAlign w:val="center"/>
          </w:tcPr>
          <w:p w:rsidR="00565FD5" w:rsidRPr="001131FC" w:rsidRDefault="00565FD5" w:rsidP="00AB62A3">
            <w:pPr>
              <w:jc w:val="right"/>
              <w:rPr>
                <w:rFonts w:cs="Tahoma"/>
                <w:sz w:val="14"/>
                <w:szCs w:val="16"/>
              </w:rPr>
            </w:pP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1,1</w:t>
            </w: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40,4</w:t>
            </w:r>
          </w:p>
        </w:tc>
        <w:tc>
          <w:tcPr>
            <w:tcW w:w="514" w:type="pct"/>
            <w:vAlign w:val="center"/>
          </w:tcPr>
          <w:p w:rsidR="00565FD5" w:rsidRPr="001131FC" w:rsidRDefault="00565FD5" w:rsidP="00AB62A3">
            <w:pPr>
              <w:jc w:val="right"/>
              <w:rPr>
                <w:rFonts w:cs="Tahoma"/>
                <w:sz w:val="14"/>
                <w:szCs w:val="16"/>
              </w:rPr>
            </w:pPr>
            <w:r w:rsidRPr="001131FC">
              <w:rPr>
                <w:rFonts w:cs="Tahoma"/>
                <w:sz w:val="14"/>
                <w:szCs w:val="16"/>
              </w:rPr>
              <w:t>32,8</w:t>
            </w:r>
          </w:p>
        </w:tc>
        <w:tc>
          <w:tcPr>
            <w:tcW w:w="89" w:type="pct"/>
            <w:vAlign w:val="center"/>
          </w:tcPr>
          <w:p w:rsidR="00565FD5" w:rsidRPr="001131FC" w:rsidRDefault="00565FD5" w:rsidP="00AB62A3">
            <w:pPr>
              <w:jc w:val="right"/>
              <w:rPr>
                <w:rFonts w:cs="Tahoma"/>
                <w:sz w:val="14"/>
                <w:szCs w:val="16"/>
              </w:rPr>
            </w:pP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1,3</w:t>
            </w: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40,8</w:t>
            </w:r>
          </w:p>
        </w:tc>
        <w:tc>
          <w:tcPr>
            <w:tcW w:w="516" w:type="pct"/>
            <w:vAlign w:val="center"/>
          </w:tcPr>
          <w:p w:rsidR="00565FD5" w:rsidRPr="001131FC" w:rsidRDefault="00565FD5" w:rsidP="00AB62A3">
            <w:pPr>
              <w:jc w:val="right"/>
              <w:rPr>
                <w:rFonts w:cs="Tahoma"/>
                <w:sz w:val="14"/>
                <w:szCs w:val="16"/>
              </w:rPr>
            </w:pPr>
            <w:r w:rsidRPr="001131FC">
              <w:rPr>
                <w:rFonts w:cs="Tahoma"/>
                <w:sz w:val="14"/>
                <w:szCs w:val="16"/>
              </w:rPr>
              <w:t>33,3</w:t>
            </w:r>
          </w:p>
        </w:tc>
        <w:tc>
          <w:tcPr>
            <w:tcW w:w="89" w:type="pct"/>
            <w:tcBorders>
              <w:right w:val="single" w:sz="4" w:space="0" w:color="auto"/>
            </w:tcBorders>
            <w:vAlign w:val="center"/>
          </w:tcPr>
          <w:p w:rsidR="00565FD5" w:rsidRPr="001131FC" w:rsidRDefault="00565FD5" w:rsidP="00AB62A3">
            <w:pPr>
              <w:jc w:val="right"/>
              <w:rPr>
                <w:rFonts w:cs="Tahoma"/>
                <w:sz w:val="14"/>
                <w:szCs w:val="16"/>
              </w:rPr>
            </w:pPr>
          </w:p>
        </w:tc>
      </w:tr>
      <w:tr w:rsidR="00565FD5" w:rsidRPr="001131FC" w:rsidTr="00AB62A3">
        <w:trPr>
          <w:trHeight w:val="397"/>
          <w:jc w:val="center"/>
        </w:trPr>
        <w:tc>
          <w:tcPr>
            <w:tcW w:w="650" w:type="pct"/>
            <w:tcBorders>
              <w:left w:val="single" w:sz="4" w:space="0" w:color="auto"/>
            </w:tcBorders>
            <w:vAlign w:val="center"/>
          </w:tcPr>
          <w:p w:rsidR="00565FD5" w:rsidRPr="001131FC" w:rsidRDefault="00565FD5" w:rsidP="00AB62A3">
            <w:pPr>
              <w:rPr>
                <w:rFonts w:cs="Tahoma"/>
                <w:sz w:val="14"/>
                <w:szCs w:val="16"/>
              </w:rPr>
            </w:pPr>
            <w:r w:rsidRPr="001131FC">
              <w:rPr>
                <w:rFonts w:cs="Tahoma"/>
                <w:sz w:val="14"/>
                <w:szCs w:val="16"/>
              </w:rPr>
              <w:t>Enerji</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5,7</w:t>
            </w:r>
          </w:p>
        </w:tc>
        <w:tc>
          <w:tcPr>
            <w:tcW w:w="423" w:type="pct"/>
            <w:vAlign w:val="center"/>
          </w:tcPr>
          <w:p w:rsidR="00565FD5" w:rsidRPr="001131FC" w:rsidRDefault="00565FD5" w:rsidP="00AB62A3">
            <w:pPr>
              <w:jc w:val="right"/>
              <w:rPr>
                <w:rFonts w:cs="Tahoma"/>
                <w:sz w:val="14"/>
                <w:szCs w:val="16"/>
              </w:rPr>
            </w:pPr>
            <w:r w:rsidRPr="001131FC">
              <w:rPr>
                <w:rFonts w:cs="Tahoma"/>
                <w:sz w:val="14"/>
                <w:szCs w:val="16"/>
              </w:rPr>
              <w:t>4,0</w:t>
            </w:r>
          </w:p>
        </w:tc>
        <w:tc>
          <w:tcPr>
            <w:tcW w:w="519" w:type="pct"/>
            <w:vAlign w:val="center"/>
          </w:tcPr>
          <w:p w:rsidR="00565FD5" w:rsidRPr="001131FC" w:rsidRDefault="00565FD5" w:rsidP="00AB62A3">
            <w:pPr>
              <w:jc w:val="right"/>
              <w:rPr>
                <w:rFonts w:cs="Tahoma"/>
                <w:sz w:val="14"/>
                <w:szCs w:val="16"/>
              </w:rPr>
            </w:pPr>
            <w:r w:rsidRPr="001131FC">
              <w:rPr>
                <w:rFonts w:cs="Tahoma"/>
                <w:sz w:val="14"/>
                <w:szCs w:val="16"/>
              </w:rPr>
              <w:t>4,4</w:t>
            </w:r>
          </w:p>
        </w:tc>
        <w:tc>
          <w:tcPr>
            <w:tcW w:w="89" w:type="pct"/>
            <w:vAlign w:val="center"/>
          </w:tcPr>
          <w:p w:rsidR="00565FD5" w:rsidRPr="001131FC" w:rsidRDefault="00565FD5" w:rsidP="00AB62A3">
            <w:pPr>
              <w:jc w:val="right"/>
              <w:rPr>
                <w:rFonts w:cs="Tahoma"/>
                <w:sz w:val="14"/>
                <w:szCs w:val="16"/>
              </w:rPr>
            </w:pP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5,8</w:t>
            </w: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6,2</w:t>
            </w:r>
          </w:p>
        </w:tc>
        <w:tc>
          <w:tcPr>
            <w:tcW w:w="514" w:type="pct"/>
            <w:vAlign w:val="center"/>
          </w:tcPr>
          <w:p w:rsidR="00565FD5" w:rsidRPr="001131FC" w:rsidRDefault="00565FD5" w:rsidP="00AB62A3">
            <w:pPr>
              <w:jc w:val="right"/>
              <w:rPr>
                <w:rFonts w:cs="Tahoma"/>
                <w:sz w:val="14"/>
                <w:szCs w:val="16"/>
              </w:rPr>
            </w:pPr>
            <w:r w:rsidRPr="001131FC">
              <w:rPr>
                <w:rFonts w:cs="Tahoma"/>
                <w:sz w:val="14"/>
                <w:szCs w:val="16"/>
              </w:rPr>
              <w:t>6,1</w:t>
            </w:r>
          </w:p>
        </w:tc>
        <w:tc>
          <w:tcPr>
            <w:tcW w:w="89" w:type="pct"/>
            <w:vAlign w:val="center"/>
          </w:tcPr>
          <w:p w:rsidR="00565FD5" w:rsidRPr="001131FC" w:rsidRDefault="00565FD5" w:rsidP="00AB62A3">
            <w:pPr>
              <w:jc w:val="right"/>
              <w:rPr>
                <w:rFonts w:cs="Tahoma"/>
                <w:sz w:val="14"/>
                <w:szCs w:val="16"/>
              </w:rPr>
            </w:pP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6,7</w:t>
            </w: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6,3</w:t>
            </w:r>
          </w:p>
        </w:tc>
        <w:tc>
          <w:tcPr>
            <w:tcW w:w="516" w:type="pct"/>
            <w:vAlign w:val="center"/>
          </w:tcPr>
          <w:p w:rsidR="00565FD5" w:rsidRPr="001131FC" w:rsidRDefault="00565FD5" w:rsidP="00AB62A3">
            <w:pPr>
              <w:jc w:val="right"/>
              <w:rPr>
                <w:rFonts w:cs="Tahoma"/>
                <w:sz w:val="14"/>
                <w:szCs w:val="16"/>
              </w:rPr>
            </w:pPr>
            <w:r w:rsidRPr="001131FC">
              <w:rPr>
                <w:rFonts w:cs="Tahoma"/>
                <w:sz w:val="14"/>
                <w:szCs w:val="16"/>
              </w:rPr>
              <w:t>6,4</w:t>
            </w:r>
          </w:p>
        </w:tc>
        <w:tc>
          <w:tcPr>
            <w:tcW w:w="89" w:type="pct"/>
            <w:tcBorders>
              <w:right w:val="single" w:sz="4" w:space="0" w:color="auto"/>
            </w:tcBorders>
            <w:vAlign w:val="center"/>
          </w:tcPr>
          <w:p w:rsidR="00565FD5" w:rsidRPr="001131FC" w:rsidRDefault="00565FD5" w:rsidP="00AB62A3">
            <w:pPr>
              <w:jc w:val="right"/>
              <w:rPr>
                <w:rFonts w:cs="Tahoma"/>
                <w:sz w:val="14"/>
                <w:szCs w:val="16"/>
              </w:rPr>
            </w:pPr>
          </w:p>
        </w:tc>
      </w:tr>
      <w:tr w:rsidR="00565FD5" w:rsidRPr="001131FC" w:rsidTr="00AB62A3">
        <w:trPr>
          <w:trHeight w:val="397"/>
          <w:jc w:val="center"/>
        </w:trPr>
        <w:tc>
          <w:tcPr>
            <w:tcW w:w="650" w:type="pct"/>
            <w:tcBorders>
              <w:left w:val="single" w:sz="4" w:space="0" w:color="auto"/>
            </w:tcBorders>
            <w:vAlign w:val="center"/>
          </w:tcPr>
          <w:p w:rsidR="00565FD5" w:rsidRPr="001131FC" w:rsidRDefault="00565FD5" w:rsidP="00AB62A3">
            <w:pPr>
              <w:rPr>
                <w:rFonts w:cs="Tahoma"/>
                <w:sz w:val="14"/>
                <w:szCs w:val="16"/>
              </w:rPr>
            </w:pPr>
            <w:r w:rsidRPr="001131FC">
              <w:rPr>
                <w:rFonts w:cs="Tahoma"/>
                <w:sz w:val="14"/>
                <w:szCs w:val="16"/>
              </w:rPr>
              <w:t>Ulaştırma</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41,4</w:t>
            </w:r>
          </w:p>
        </w:tc>
        <w:tc>
          <w:tcPr>
            <w:tcW w:w="423" w:type="pct"/>
            <w:vAlign w:val="center"/>
          </w:tcPr>
          <w:p w:rsidR="00565FD5" w:rsidRPr="001131FC" w:rsidRDefault="00565FD5" w:rsidP="00AB62A3">
            <w:pPr>
              <w:jc w:val="right"/>
              <w:rPr>
                <w:rFonts w:cs="Tahoma"/>
                <w:sz w:val="14"/>
                <w:szCs w:val="16"/>
              </w:rPr>
            </w:pPr>
            <w:r w:rsidRPr="001131FC">
              <w:rPr>
                <w:rFonts w:cs="Tahoma"/>
                <w:sz w:val="14"/>
                <w:szCs w:val="16"/>
              </w:rPr>
              <w:t>19,9</w:t>
            </w:r>
          </w:p>
        </w:tc>
        <w:tc>
          <w:tcPr>
            <w:tcW w:w="519" w:type="pct"/>
            <w:vAlign w:val="center"/>
          </w:tcPr>
          <w:p w:rsidR="00565FD5" w:rsidRPr="001131FC" w:rsidRDefault="00565FD5" w:rsidP="00AB62A3">
            <w:pPr>
              <w:jc w:val="right"/>
              <w:rPr>
                <w:rFonts w:cs="Tahoma"/>
                <w:sz w:val="14"/>
                <w:szCs w:val="16"/>
              </w:rPr>
            </w:pPr>
            <w:r w:rsidRPr="001131FC">
              <w:rPr>
                <w:rFonts w:cs="Tahoma"/>
                <w:sz w:val="14"/>
                <w:szCs w:val="16"/>
              </w:rPr>
              <w:t>23,9</w:t>
            </w:r>
          </w:p>
        </w:tc>
        <w:tc>
          <w:tcPr>
            <w:tcW w:w="89" w:type="pct"/>
            <w:vAlign w:val="center"/>
          </w:tcPr>
          <w:p w:rsidR="00565FD5" w:rsidRPr="001131FC" w:rsidRDefault="00565FD5" w:rsidP="00AB62A3">
            <w:pPr>
              <w:jc w:val="right"/>
              <w:rPr>
                <w:rFonts w:cs="Tahoma"/>
                <w:sz w:val="14"/>
                <w:szCs w:val="16"/>
              </w:rPr>
            </w:pP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39,0</w:t>
            </w: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19,6</w:t>
            </w:r>
          </w:p>
        </w:tc>
        <w:tc>
          <w:tcPr>
            <w:tcW w:w="514" w:type="pct"/>
            <w:vAlign w:val="center"/>
          </w:tcPr>
          <w:p w:rsidR="00565FD5" w:rsidRPr="001131FC" w:rsidRDefault="00565FD5" w:rsidP="00AB62A3">
            <w:pPr>
              <w:jc w:val="right"/>
              <w:rPr>
                <w:rFonts w:cs="Tahoma"/>
                <w:sz w:val="14"/>
                <w:szCs w:val="16"/>
              </w:rPr>
            </w:pPr>
            <w:r w:rsidRPr="001131FC">
              <w:rPr>
                <w:rFonts w:cs="Tahoma"/>
                <w:sz w:val="14"/>
                <w:szCs w:val="16"/>
              </w:rPr>
              <w:t>23,4</w:t>
            </w:r>
          </w:p>
        </w:tc>
        <w:tc>
          <w:tcPr>
            <w:tcW w:w="89" w:type="pct"/>
            <w:vAlign w:val="center"/>
          </w:tcPr>
          <w:p w:rsidR="00565FD5" w:rsidRPr="001131FC" w:rsidRDefault="00565FD5" w:rsidP="00AB62A3">
            <w:pPr>
              <w:jc w:val="right"/>
              <w:rPr>
                <w:rFonts w:cs="Tahoma"/>
                <w:sz w:val="14"/>
                <w:szCs w:val="16"/>
              </w:rPr>
            </w:pP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31,9</w:t>
            </w: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19,4</w:t>
            </w:r>
          </w:p>
        </w:tc>
        <w:tc>
          <w:tcPr>
            <w:tcW w:w="516" w:type="pct"/>
            <w:vAlign w:val="center"/>
          </w:tcPr>
          <w:p w:rsidR="00565FD5" w:rsidRPr="001131FC" w:rsidRDefault="00565FD5" w:rsidP="00AB62A3">
            <w:pPr>
              <w:jc w:val="right"/>
              <w:rPr>
                <w:rFonts w:cs="Tahoma"/>
                <w:sz w:val="14"/>
                <w:szCs w:val="16"/>
              </w:rPr>
            </w:pPr>
            <w:r w:rsidRPr="001131FC">
              <w:rPr>
                <w:rFonts w:cs="Tahoma"/>
                <w:sz w:val="14"/>
                <w:szCs w:val="16"/>
              </w:rPr>
              <w:t>21,8</w:t>
            </w:r>
          </w:p>
        </w:tc>
        <w:tc>
          <w:tcPr>
            <w:tcW w:w="89" w:type="pct"/>
            <w:tcBorders>
              <w:right w:val="single" w:sz="4" w:space="0" w:color="auto"/>
            </w:tcBorders>
            <w:vAlign w:val="center"/>
          </w:tcPr>
          <w:p w:rsidR="00565FD5" w:rsidRPr="001131FC" w:rsidRDefault="00565FD5" w:rsidP="00AB62A3">
            <w:pPr>
              <w:jc w:val="right"/>
              <w:rPr>
                <w:rFonts w:cs="Tahoma"/>
                <w:sz w:val="14"/>
                <w:szCs w:val="16"/>
              </w:rPr>
            </w:pPr>
          </w:p>
        </w:tc>
      </w:tr>
      <w:tr w:rsidR="00565FD5" w:rsidRPr="001131FC" w:rsidTr="00AB62A3">
        <w:trPr>
          <w:trHeight w:val="397"/>
          <w:jc w:val="center"/>
        </w:trPr>
        <w:tc>
          <w:tcPr>
            <w:tcW w:w="650" w:type="pct"/>
            <w:tcBorders>
              <w:left w:val="single" w:sz="4" w:space="0" w:color="auto"/>
            </w:tcBorders>
            <w:vAlign w:val="center"/>
          </w:tcPr>
          <w:p w:rsidR="00565FD5" w:rsidRPr="001131FC" w:rsidRDefault="00565FD5" w:rsidP="00AB62A3">
            <w:pPr>
              <w:rPr>
                <w:rFonts w:cs="Tahoma"/>
                <w:sz w:val="14"/>
                <w:szCs w:val="16"/>
              </w:rPr>
            </w:pPr>
            <w:r w:rsidRPr="001131FC">
              <w:rPr>
                <w:rFonts w:cs="Tahoma"/>
                <w:sz w:val="14"/>
                <w:szCs w:val="16"/>
              </w:rPr>
              <w:t>Turizm</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0,6</w:t>
            </w:r>
          </w:p>
        </w:tc>
        <w:tc>
          <w:tcPr>
            <w:tcW w:w="423" w:type="pct"/>
            <w:vAlign w:val="center"/>
          </w:tcPr>
          <w:p w:rsidR="00565FD5" w:rsidRPr="001131FC" w:rsidRDefault="00565FD5" w:rsidP="00AB62A3">
            <w:pPr>
              <w:jc w:val="right"/>
              <w:rPr>
                <w:rFonts w:cs="Tahoma"/>
                <w:sz w:val="14"/>
                <w:szCs w:val="16"/>
              </w:rPr>
            </w:pPr>
            <w:r w:rsidRPr="001131FC">
              <w:rPr>
                <w:rFonts w:cs="Tahoma"/>
                <w:sz w:val="14"/>
                <w:szCs w:val="16"/>
              </w:rPr>
              <w:t>6,2</w:t>
            </w:r>
          </w:p>
        </w:tc>
        <w:tc>
          <w:tcPr>
            <w:tcW w:w="519" w:type="pct"/>
            <w:vAlign w:val="center"/>
          </w:tcPr>
          <w:p w:rsidR="00565FD5" w:rsidRPr="001131FC" w:rsidRDefault="00565FD5" w:rsidP="00AB62A3">
            <w:pPr>
              <w:jc w:val="right"/>
              <w:rPr>
                <w:rFonts w:cs="Tahoma"/>
                <w:sz w:val="14"/>
                <w:szCs w:val="16"/>
              </w:rPr>
            </w:pPr>
            <w:r w:rsidRPr="001131FC">
              <w:rPr>
                <w:rFonts w:cs="Tahoma"/>
                <w:sz w:val="14"/>
                <w:szCs w:val="16"/>
              </w:rPr>
              <w:t>5,1</w:t>
            </w:r>
          </w:p>
        </w:tc>
        <w:tc>
          <w:tcPr>
            <w:tcW w:w="89" w:type="pct"/>
            <w:vAlign w:val="center"/>
          </w:tcPr>
          <w:p w:rsidR="00565FD5" w:rsidRPr="001131FC" w:rsidRDefault="00565FD5" w:rsidP="00AB62A3">
            <w:pPr>
              <w:jc w:val="right"/>
              <w:rPr>
                <w:rFonts w:cs="Tahoma"/>
                <w:sz w:val="14"/>
                <w:szCs w:val="16"/>
              </w:rPr>
            </w:pP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0,7</w:t>
            </w: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6,7</w:t>
            </w:r>
          </w:p>
        </w:tc>
        <w:tc>
          <w:tcPr>
            <w:tcW w:w="514" w:type="pct"/>
            <w:vAlign w:val="center"/>
          </w:tcPr>
          <w:p w:rsidR="00565FD5" w:rsidRPr="001131FC" w:rsidRDefault="00565FD5" w:rsidP="00AB62A3">
            <w:pPr>
              <w:jc w:val="right"/>
              <w:rPr>
                <w:rFonts w:cs="Tahoma"/>
                <w:sz w:val="14"/>
                <w:szCs w:val="16"/>
              </w:rPr>
            </w:pPr>
            <w:r w:rsidRPr="001131FC">
              <w:rPr>
                <w:rFonts w:cs="Tahoma"/>
                <w:sz w:val="14"/>
                <w:szCs w:val="16"/>
              </w:rPr>
              <w:t>5,5</w:t>
            </w:r>
          </w:p>
        </w:tc>
        <w:tc>
          <w:tcPr>
            <w:tcW w:w="89" w:type="pct"/>
            <w:vAlign w:val="center"/>
          </w:tcPr>
          <w:p w:rsidR="00565FD5" w:rsidRPr="001131FC" w:rsidRDefault="00565FD5" w:rsidP="00AB62A3">
            <w:pPr>
              <w:jc w:val="right"/>
              <w:rPr>
                <w:rFonts w:cs="Tahoma"/>
                <w:sz w:val="14"/>
                <w:szCs w:val="16"/>
              </w:rPr>
            </w:pP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0,7</w:t>
            </w: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6,6</w:t>
            </w:r>
          </w:p>
        </w:tc>
        <w:tc>
          <w:tcPr>
            <w:tcW w:w="516" w:type="pct"/>
            <w:vAlign w:val="center"/>
          </w:tcPr>
          <w:p w:rsidR="00565FD5" w:rsidRPr="001131FC" w:rsidRDefault="00565FD5" w:rsidP="00AB62A3">
            <w:pPr>
              <w:jc w:val="right"/>
              <w:rPr>
                <w:rFonts w:cs="Tahoma"/>
                <w:sz w:val="14"/>
                <w:szCs w:val="16"/>
              </w:rPr>
            </w:pPr>
            <w:r w:rsidRPr="001131FC">
              <w:rPr>
                <w:rFonts w:cs="Tahoma"/>
                <w:sz w:val="14"/>
                <w:szCs w:val="16"/>
              </w:rPr>
              <w:t>5,5</w:t>
            </w:r>
          </w:p>
        </w:tc>
        <w:tc>
          <w:tcPr>
            <w:tcW w:w="89" w:type="pct"/>
            <w:tcBorders>
              <w:right w:val="single" w:sz="4" w:space="0" w:color="auto"/>
            </w:tcBorders>
            <w:vAlign w:val="center"/>
          </w:tcPr>
          <w:p w:rsidR="00565FD5" w:rsidRPr="001131FC" w:rsidRDefault="00565FD5" w:rsidP="00AB62A3">
            <w:pPr>
              <w:jc w:val="right"/>
              <w:rPr>
                <w:rFonts w:cs="Tahoma"/>
                <w:sz w:val="14"/>
                <w:szCs w:val="16"/>
              </w:rPr>
            </w:pPr>
          </w:p>
        </w:tc>
      </w:tr>
      <w:tr w:rsidR="00565FD5" w:rsidRPr="001131FC" w:rsidTr="00AB62A3">
        <w:trPr>
          <w:trHeight w:val="397"/>
          <w:jc w:val="center"/>
        </w:trPr>
        <w:tc>
          <w:tcPr>
            <w:tcW w:w="650" w:type="pct"/>
            <w:tcBorders>
              <w:left w:val="single" w:sz="4" w:space="0" w:color="auto"/>
            </w:tcBorders>
            <w:vAlign w:val="center"/>
          </w:tcPr>
          <w:p w:rsidR="00565FD5" w:rsidRPr="001131FC" w:rsidRDefault="00565FD5" w:rsidP="00AB62A3">
            <w:pPr>
              <w:rPr>
                <w:rFonts w:cs="Tahoma"/>
                <w:sz w:val="14"/>
                <w:szCs w:val="16"/>
              </w:rPr>
            </w:pPr>
            <w:r w:rsidRPr="001131FC">
              <w:rPr>
                <w:rFonts w:cs="Tahoma"/>
                <w:sz w:val="14"/>
                <w:szCs w:val="16"/>
              </w:rPr>
              <w:t>Konut</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1,7</w:t>
            </w:r>
          </w:p>
        </w:tc>
        <w:tc>
          <w:tcPr>
            <w:tcW w:w="423" w:type="pct"/>
            <w:vAlign w:val="center"/>
          </w:tcPr>
          <w:p w:rsidR="00565FD5" w:rsidRPr="001131FC" w:rsidRDefault="00565FD5" w:rsidP="00AB62A3">
            <w:pPr>
              <w:jc w:val="right"/>
              <w:rPr>
                <w:rFonts w:cs="Tahoma"/>
                <w:sz w:val="14"/>
                <w:szCs w:val="16"/>
              </w:rPr>
            </w:pPr>
            <w:r w:rsidRPr="001131FC">
              <w:rPr>
                <w:rFonts w:cs="Tahoma"/>
                <w:sz w:val="14"/>
                <w:szCs w:val="16"/>
              </w:rPr>
              <w:t>14,4</w:t>
            </w:r>
          </w:p>
        </w:tc>
        <w:tc>
          <w:tcPr>
            <w:tcW w:w="519" w:type="pct"/>
            <w:vAlign w:val="center"/>
          </w:tcPr>
          <w:p w:rsidR="00565FD5" w:rsidRPr="001131FC" w:rsidRDefault="00565FD5" w:rsidP="00AB62A3">
            <w:pPr>
              <w:jc w:val="right"/>
              <w:rPr>
                <w:rFonts w:cs="Tahoma"/>
                <w:sz w:val="14"/>
                <w:szCs w:val="16"/>
              </w:rPr>
            </w:pPr>
            <w:r w:rsidRPr="001131FC">
              <w:rPr>
                <w:rFonts w:cs="Tahoma"/>
                <w:sz w:val="14"/>
                <w:szCs w:val="16"/>
              </w:rPr>
              <w:t>12,0</w:t>
            </w:r>
          </w:p>
        </w:tc>
        <w:tc>
          <w:tcPr>
            <w:tcW w:w="89" w:type="pct"/>
            <w:vAlign w:val="center"/>
          </w:tcPr>
          <w:p w:rsidR="00565FD5" w:rsidRPr="001131FC" w:rsidRDefault="00565FD5" w:rsidP="00AB62A3">
            <w:pPr>
              <w:jc w:val="right"/>
              <w:rPr>
                <w:rFonts w:cs="Tahoma"/>
                <w:sz w:val="14"/>
                <w:szCs w:val="16"/>
              </w:rPr>
            </w:pP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1,5</w:t>
            </w: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13,8</w:t>
            </w:r>
          </w:p>
        </w:tc>
        <w:tc>
          <w:tcPr>
            <w:tcW w:w="514" w:type="pct"/>
            <w:vAlign w:val="center"/>
          </w:tcPr>
          <w:p w:rsidR="00565FD5" w:rsidRPr="001131FC" w:rsidRDefault="00565FD5" w:rsidP="00AB62A3">
            <w:pPr>
              <w:jc w:val="right"/>
              <w:rPr>
                <w:rFonts w:cs="Tahoma"/>
                <w:sz w:val="14"/>
                <w:szCs w:val="16"/>
              </w:rPr>
            </w:pPr>
            <w:r w:rsidRPr="001131FC">
              <w:rPr>
                <w:rFonts w:cs="Tahoma"/>
                <w:sz w:val="14"/>
                <w:szCs w:val="16"/>
              </w:rPr>
              <w:t>11,4</w:t>
            </w:r>
          </w:p>
        </w:tc>
        <w:tc>
          <w:tcPr>
            <w:tcW w:w="89" w:type="pct"/>
            <w:vAlign w:val="center"/>
          </w:tcPr>
          <w:p w:rsidR="00565FD5" w:rsidRPr="001131FC" w:rsidRDefault="00565FD5" w:rsidP="00AB62A3">
            <w:pPr>
              <w:jc w:val="right"/>
              <w:rPr>
                <w:rFonts w:cs="Tahoma"/>
                <w:sz w:val="14"/>
                <w:szCs w:val="16"/>
              </w:rPr>
            </w:pP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2,0</w:t>
            </w: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13,4</w:t>
            </w:r>
          </w:p>
        </w:tc>
        <w:tc>
          <w:tcPr>
            <w:tcW w:w="516" w:type="pct"/>
            <w:vAlign w:val="center"/>
          </w:tcPr>
          <w:p w:rsidR="00565FD5" w:rsidRPr="001131FC" w:rsidRDefault="00565FD5" w:rsidP="00AB62A3">
            <w:pPr>
              <w:jc w:val="right"/>
              <w:rPr>
                <w:rFonts w:cs="Tahoma"/>
                <w:sz w:val="14"/>
                <w:szCs w:val="16"/>
              </w:rPr>
            </w:pPr>
            <w:r w:rsidRPr="001131FC">
              <w:rPr>
                <w:rFonts w:cs="Tahoma"/>
                <w:sz w:val="14"/>
                <w:szCs w:val="16"/>
              </w:rPr>
              <w:t>11,2</w:t>
            </w:r>
          </w:p>
        </w:tc>
        <w:tc>
          <w:tcPr>
            <w:tcW w:w="89" w:type="pct"/>
            <w:tcBorders>
              <w:right w:val="single" w:sz="4" w:space="0" w:color="auto"/>
            </w:tcBorders>
            <w:vAlign w:val="center"/>
          </w:tcPr>
          <w:p w:rsidR="00565FD5" w:rsidRPr="001131FC" w:rsidRDefault="00565FD5" w:rsidP="00AB62A3">
            <w:pPr>
              <w:jc w:val="right"/>
              <w:rPr>
                <w:rFonts w:cs="Tahoma"/>
                <w:sz w:val="14"/>
                <w:szCs w:val="16"/>
              </w:rPr>
            </w:pPr>
          </w:p>
        </w:tc>
      </w:tr>
      <w:tr w:rsidR="00565FD5" w:rsidRPr="001131FC" w:rsidTr="00AB62A3">
        <w:trPr>
          <w:trHeight w:val="397"/>
          <w:jc w:val="center"/>
        </w:trPr>
        <w:tc>
          <w:tcPr>
            <w:tcW w:w="650" w:type="pct"/>
            <w:tcBorders>
              <w:left w:val="single" w:sz="4" w:space="0" w:color="auto"/>
            </w:tcBorders>
            <w:vAlign w:val="center"/>
          </w:tcPr>
          <w:p w:rsidR="00565FD5" w:rsidRPr="001131FC" w:rsidRDefault="00565FD5" w:rsidP="00AB62A3">
            <w:pPr>
              <w:rPr>
                <w:rFonts w:cs="Tahoma"/>
                <w:sz w:val="14"/>
                <w:szCs w:val="16"/>
              </w:rPr>
            </w:pPr>
            <w:r w:rsidRPr="001131FC">
              <w:rPr>
                <w:rFonts w:cs="Tahoma"/>
                <w:sz w:val="14"/>
                <w:szCs w:val="16"/>
              </w:rPr>
              <w:t>Eğitim</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12,2</w:t>
            </w:r>
          </w:p>
        </w:tc>
        <w:tc>
          <w:tcPr>
            <w:tcW w:w="423" w:type="pct"/>
            <w:vAlign w:val="center"/>
          </w:tcPr>
          <w:p w:rsidR="00565FD5" w:rsidRPr="001131FC" w:rsidRDefault="00565FD5" w:rsidP="00AB62A3">
            <w:pPr>
              <w:jc w:val="right"/>
              <w:rPr>
                <w:rFonts w:cs="Tahoma"/>
                <w:sz w:val="14"/>
                <w:szCs w:val="16"/>
              </w:rPr>
            </w:pPr>
            <w:r w:rsidRPr="001131FC">
              <w:rPr>
                <w:rFonts w:cs="Tahoma"/>
                <w:sz w:val="14"/>
                <w:szCs w:val="16"/>
              </w:rPr>
              <w:t>2,2</w:t>
            </w:r>
          </w:p>
        </w:tc>
        <w:tc>
          <w:tcPr>
            <w:tcW w:w="519" w:type="pct"/>
            <w:vAlign w:val="center"/>
          </w:tcPr>
          <w:p w:rsidR="00565FD5" w:rsidRPr="001131FC" w:rsidRDefault="00565FD5" w:rsidP="00AB62A3">
            <w:pPr>
              <w:jc w:val="right"/>
              <w:rPr>
                <w:rFonts w:cs="Tahoma"/>
                <w:sz w:val="14"/>
                <w:szCs w:val="16"/>
              </w:rPr>
            </w:pPr>
            <w:r w:rsidRPr="001131FC">
              <w:rPr>
                <w:rFonts w:cs="Tahoma"/>
                <w:sz w:val="14"/>
                <w:szCs w:val="16"/>
              </w:rPr>
              <w:t>4,0</w:t>
            </w:r>
          </w:p>
        </w:tc>
        <w:tc>
          <w:tcPr>
            <w:tcW w:w="89" w:type="pct"/>
            <w:vAlign w:val="center"/>
          </w:tcPr>
          <w:p w:rsidR="00565FD5" w:rsidRPr="001131FC" w:rsidRDefault="00565FD5" w:rsidP="00AB62A3">
            <w:pPr>
              <w:jc w:val="right"/>
              <w:rPr>
                <w:rFonts w:cs="Tahoma"/>
                <w:sz w:val="14"/>
                <w:szCs w:val="16"/>
              </w:rPr>
            </w:pP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13,9</w:t>
            </w: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2,4</w:t>
            </w:r>
          </w:p>
        </w:tc>
        <w:tc>
          <w:tcPr>
            <w:tcW w:w="514" w:type="pct"/>
            <w:vAlign w:val="center"/>
          </w:tcPr>
          <w:p w:rsidR="00565FD5" w:rsidRPr="001131FC" w:rsidRDefault="00565FD5" w:rsidP="00AB62A3">
            <w:pPr>
              <w:jc w:val="right"/>
              <w:rPr>
                <w:rFonts w:cs="Tahoma"/>
                <w:sz w:val="14"/>
                <w:szCs w:val="16"/>
              </w:rPr>
            </w:pPr>
            <w:r w:rsidRPr="001131FC">
              <w:rPr>
                <w:rFonts w:cs="Tahoma"/>
                <w:sz w:val="14"/>
                <w:szCs w:val="16"/>
              </w:rPr>
              <w:t>4,7</w:t>
            </w:r>
          </w:p>
        </w:tc>
        <w:tc>
          <w:tcPr>
            <w:tcW w:w="89" w:type="pct"/>
            <w:vAlign w:val="center"/>
          </w:tcPr>
          <w:p w:rsidR="00565FD5" w:rsidRPr="001131FC" w:rsidRDefault="00565FD5" w:rsidP="00AB62A3">
            <w:pPr>
              <w:jc w:val="right"/>
              <w:rPr>
                <w:rFonts w:cs="Tahoma"/>
                <w:sz w:val="14"/>
                <w:szCs w:val="16"/>
              </w:rPr>
            </w:pP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15,3</w:t>
            </w: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2,6</w:t>
            </w:r>
          </w:p>
        </w:tc>
        <w:tc>
          <w:tcPr>
            <w:tcW w:w="516" w:type="pct"/>
            <w:vAlign w:val="center"/>
          </w:tcPr>
          <w:p w:rsidR="00565FD5" w:rsidRPr="001131FC" w:rsidRDefault="00565FD5" w:rsidP="00AB62A3">
            <w:pPr>
              <w:jc w:val="right"/>
              <w:rPr>
                <w:rFonts w:cs="Tahoma"/>
                <w:sz w:val="14"/>
                <w:szCs w:val="16"/>
              </w:rPr>
            </w:pPr>
            <w:r w:rsidRPr="001131FC">
              <w:rPr>
                <w:rFonts w:cs="Tahoma"/>
                <w:sz w:val="14"/>
                <w:szCs w:val="16"/>
              </w:rPr>
              <w:t>5,0</w:t>
            </w:r>
          </w:p>
        </w:tc>
        <w:tc>
          <w:tcPr>
            <w:tcW w:w="89" w:type="pct"/>
            <w:tcBorders>
              <w:right w:val="single" w:sz="4" w:space="0" w:color="auto"/>
            </w:tcBorders>
            <w:vAlign w:val="center"/>
          </w:tcPr>
          <w:p w:rsidR="00565FD5" w:rsidRPr="001131FC" w:rsidRDefault="00565FD5" w:rsidP="00AB62A3">
            <w:pPr>
              <w:jc w:val="right"/>
              <w:rPr>
                <w:rFonts w:cs="Tahoma"/>
                <w:sz w:val="14"/>
                <w:szCs w:val="16"/>
              </w:rPr>
            </w:pPr>
          </w:p>
        </w:tc>
      </w:tr>
      <w:tr w:rsidR="00565FD5" w:rsidRPr="001131FC" w:rsidTr="00AB62A3">
        <w:trPr>
          <w:trHeight w:val="397"/>
          <w:jc w:val="center"/>
        </w:trPr>
        <w:tc>
          <w:tcPr>
            <w:tcW w:w="650" w:type="pct"/>
            <w:tcBorders>
              <w:left w:val="single" w:sz="4" w:space="0" w:color="auto"/>
            </w:tcBorders>
            <w:vAlign w:val="center"/>
          </w:tcPr>
          <w:p w:rsidR="00565FD5" w:rsidRPr="001131FC" w:rsidRDefault="00565FD5" w:rsidP="00AB62A3">
            <w:pPr>
              <w:rPr>
                <w:rFonts w:cs="Tahoma"/>
                <w:sz w:val="14"/>
                <w:szCs w:val="16"/>
              </w:rPr>
            </w:pPr>
            <w:r w:rsidRPr="001131FC">
              <w:rPr>
                <w:rFonts w:cs="Tahoma"/>
                <w:sz w:val="14"/>
                <w:szCs w:val="16"/>
              </w:rPr>
              <w:t>Sağlık</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5,0</w:t>
            </w:r>
          </w:p>
        </w:tc>
        <w:tc>
          <w:tcPr>
            <w:tcW w:w="423" w:type="pct"/>
            <w:vAlign w:val="center"/>
          </w:tcPr>
          <w:p w:rsidR="00565FD5" w:rsidRPr="001131FC" w:rsidRDefault="00565FD5" w:rsidP="00AB62A3">
            <w:pPr>
              <w:jc w:val="right"/>
              <w:rPr>
                <w:rFonts w:cs="Tahoma"/>
                <w:sz w:val="14"/>
                <w:szCs w:val="16"/>
              </w:rPr>
            </w:pPr>
            <w:r w:rsidRPr="001131FC">
              <w:rPr>
                <w:rFonts w:cs="Tahoma"/>
                <w:sz w:val="14"/>
                <w:szCs w:val="16"/>
              </w:rPr>
              <w:t>2,4</w:t>
            </w:r>
          </w:p>
        </w:tc>
        <w:tc>
          <w:tcPr>
            <w:tcW w:w="519" w:type="pct"/>
            <w:vAlign w:val="center"/>
          </w:tcPr>
          <w:p w:rsidR="00565FD5" w:rsidRPr="001131FC" w:rsidRDefault="00565FD5" w:rsidP="00AB62A3">
            <w:pPr>
              <w:jc w:val="right"/>
              <w:rPr>
                <w:rFonts w:cs="Tahoma"/>
                <w:sz w:val="14"/>
                <w:szCs w:val="16"/>
              </w:rPr>
            </w:pPr>
            <w:r w:rsidRPr="001131FC">
              <w:rPr>
                <w:rFonts w:cs="Tahoma"/>
                <w:sz w:val="14"/>
                <w:szCs w:val="16"/>
              </w:rPr>
              <w:t>2,9</w:t>
            </w:r>
          </w:p>
        </w:tc>
        <w:tc>
          <w:tcPr>
            <w:tcW w:w="89" w:type="pct"/>
            <w:vAlign w:val="center"/>
          </w:tcPr>
          <w:p w:rsidR="00565FD5" w:rsidRPr="001131FC" w:rsidRDefault="00565FD5" w:rsidP="00AB62A3">
            <w:pPr>
              <w:jc w:val="right"/>
              <w:rPr>
                <w:rFonts w:cs="Tahoma"/>
                <w:sz w:val="14"/>
                <w:szCs w:val="16"/>
              </w:rPr>
            </w:pP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5,1</w:t>
            </w: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2,2</w:t>
            </w:r>
          </w:p>
        </w:tc>
        <w:tc>
          <w:tcPr>
            <w:tcW w:w="514" w:type="pct"/>
            <w:vAlign w:val="center"/>
          </w:tcPr>
          <w:p w:rsidR="00565FD5" w:rsidRPr="001131FC" w:rsidRDefault="00565FD5" w:rsidP="00AB62A3">
            <w:pPr>
              <w:jc w:val="right"/>
              <w:rPr>
                <w:rFonts w:cs="Tahoma"/>
                <w:sz w:val="14"/>
                <w:szCs w:val="16"/>
              </w:rPr>
            </w:pPr>
            <w:r w:rsidRPr="001131FC">
              <w:rPr>
                <w:rFonts w:cs="Tahoma"/>
                <w:sz w:val="14"/>
                <w:szCs w:val="16"/>
              </w:rPr>
              <w:t>2,8</w:t>
            </w:r>
          </w:p>
        </w:tc>
        <w:tc>
          <w:tcPr>
            <w:tcW w:w="89" w:type="pct"/>
            <w:vAlign w:val="center"/>
          </w:tcPr>
          <w:p w:rsidR="00565FD5" w:rsidRPr="001131FC" w:rsidRDefault="00565FD5" w:rsidP="00AB62A3">
            <w:pPr>
              <w:jc w:val="right"/>
              <w:rPr>
                <w:rFonts w:cs="Tahoma"/>
                <w:sz w:val="14"/>
                <w:szCs w:val="16"/>
              </w:rPr>
            </w:pP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5,7</w:t>
            </w: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2,4</w:t>
            </w:r>
          </w:p>
        </w:tc>
        <w:tc>
          <w:tcPr>
            <w:tcW w:w="516" w:type="pct"/>
            <w:vAlign w:val="center"/>
          </w:tcPr>
          <w:p w:rsidR="00565FD5" w:rsidRPr="001131FC" w:rsidRDefault="00565FD5" w:rsidP="00AB62A3">
            <w:pPr>
              <w:jc w:val="right"/>
              <w:rPr>
                <w:rFonts w:cs="Tahoma"/>
                <w:sz w:val="14"/>
                <w:szCs w:val="16"/>
              </w:rPr>
            </w:pPr>
            <w:r w:rsidRPr="001131FC">
              <w:rPr>
                <w:rFonts w:cs="Tahoma"/>
                <w:sz w:val="14"/>
                <w:szCs w:val="16"/>
              </w:rPr>
              <w:t>3,0</w:t>
            </w:r>
          </w:p>
        </w:tc>
        <w:tc>
          <w:tcPr>
            <w:tcW w:w="89" w:type="pct"/>
            <w:tcBorders>
              <w:right w:val="single" w:sz="4" w:space="0" w:color="auto"/>
            </w:tcBorders>
            <w:vAlign w:val="center"/>
          </w:tcPr>
          <w:p w:rsidR="00565FD5" w:rsidRPr="001131FC" w:rsidRDefault="00565FD5" w:rsidP="00AB62A3">
            <w:pPr>
              <w:jc w:val="right"/>
              <w:rPr>
                <w:rFonts w:cs="Tahoma"/>
                <w:sz w:val="14"/>
                <w:szCs w:val="16"/>
              </w:rPr>
            </w:pPr>
          </w:p>
        </w:tc>
      </w:tr>
      <w:tr w:rsidR="00565FD5" w:rsidRPr="001131FC" w:rsidTr="00AB62A3">
        <w:trPr>
          <w:trHeight w:val="397"/>
          <w:jc w:val="center"/>
        </w:trPr>
        <w:tc>
          <w:tcPr>
            <w:tcW w:w="650" w:type="pct"/>
            <w:tcBorders>
              <w:left w:val="single" w:sz="4" w:space="0" w:color="auto"/>
            </w:tcBorders>
            <w:vAlign w:val="center"/>
          </w:tcPr>
          <w:p w:rsidR="00565FD5" w:rsidRPr="001131FC" w:rsidRDefault="00565FD5" w:rsidP="00AB62A3">
            <w:pPr>
              <w:rPr>
                <w:rFonts w:cs="Tahoma"/>
                <w:sz w:val="14"/>
                <w:szCs w:val="16"/>
              </w:rPr>
            </w:pPr>
            <w:r w:rsidRPr="001131FC">
              <w:rPr>
                <w:rFonts w:cs="Tahoma"/>
                <w:sz w:val="14"/>
                <w:szCs w:val="16"/>
              </w:rPr>
              <w:t>Diğer Hizmetler</w:t>
            </w:r>
          </w:p>
        </w:tc>
        <w:tc>
          <w:tcPr>
            <w:tcW w:w="425" w:type="pct"/>
            <w:vAlign w:val="center"/>
          </w:tcPr>
          <w:p w:rsidR="00565FD5" w:rsidRPr="001131FC" w:rsidRDefault="00565FD5" w:rsidP="00AB62A3">
            <w:pPr>
              <w:jc w:val="right"/>
              <w:rPr>
                <w:rFonts w:cs="Tahoma"/>
                <w:sz w:val="14"/>
                <w:szCs w:val="16"/>
              </w:rPr>
            </w:pPr>
            <w:r w:rsidRPr="001131FC">
              <w:rPr>
                <w:rFonts w:cs="Tahoma"/>
                <w:sz w:val="14"/>
                <w:szCs w:val="16"/>
              </w:rPr>
              <w:t>20,5</w:t>
            </w:r>
          </w:p>
        </w:tc>
        <w:tc>
          <w:tcPr>
            <w:tcW w:w="423" w:type="pct"/>
            <w:vAlign w:val="center"/>
          </w:tcPr>
          <w:p w:rsidR="00565FD5" w:rsidRPr="001131FC" w:rsidRDefault="00565FD5" w:rsidP="00AB62A3">
            <w:pPr>
              <w:jc w:val="right"/>
              <w:rPr>
                <w:rFonts w:cs="Tahoma"/>
                <w:sz w:val="14"/>
                <w:szCs w:val="16"/>
              </w:rPr>
            </w:pPr>
            <w:r w:rsidRPr="001131FC">
              <w:rPr>
                <w:rFonts w:cs="Tahoma"/>
                <w:sz w:val="14"/>
                <w:szCs w:val="16"/>
              </w:rPr>
              <w:t>4,0</w:t>
            </w:r>
          </w:p>
        </w:tc>
        <w:tc>
          <w:tcPr>
            <w:tcW w:w="519" w:type="pct"/>
            <w:vAlign w:val="center"/>
          </w:tcPr>
          <w:p w:rsidR="00565FD5" w:rsidRPr="001131FC" w:rsidRDefault="00565FD5" w:rsidP="00AB62A3">
            <w:pPr>
              <w:jc w:val="right"/>
              <w:rPr>
                <w:rFonts w:cs="Tahoma"/>
                <w:sz w:val="14"/>
                <w:szCs w:val="16"/>
              </w:rPr>
            </w:pPr>
            <w:r w:rsidRPr="001131FC">
              <w:rPr>
                <w:rFonts w:cs="Tahoma"/>
                <w:sz w:val="14"/>
                <w:szCs w:val="16"/>
              </w:rPr>
              <w:t>7,0</w:t>
            </w:r>
          </w:p>
        </w:tc>
        <w:tc>
          <w:tcPr>
            <w:tcW w:w="89" w:type="pct"/>
            <w:vAlign w:val="center"/>
          </w:tcPr>
          <w:p w:rsidR="00565FD5" w:rsidRPr="001131FC" w:rsidRDefault="00565FD5" w:rsidP="00AB62A3">
            <w:pPr>
              <w:jc w:val="right"/>
              <w:rPr>
                <w:rFonts w:cs="Tahoma"/>
                <w:sz w:val="14"/>
                <w:szCs w:val="16"/>
              </w:rPr>
            </w:pP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19,9</w:t>
            </w: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4,2</w:t>
            </w:r>
          </w:p>
        </w:tc>
        <w:tc>
          <w:tcPr>
            <w:tcW w:w="514" w:type="pct"/>
            <w:vAlign w:val="center"/>
          </w:tcPr>
          <w:p w:rsidR="00565FD5" w:rsidRPr="001131FC" w:rsidRDefault="00565FD5" w:rsidP="00AB62A3">
            <w:pPr>
              <w:jc w:val="right"/>
              <w:rPr>
                <w:rFonts w:cs="Tahoma"/>
                <w:sz w:val="14"/>
                <w:szCs w:val="16"/>
              </w:rPr>
            </w:pPr>
            <w:r w:rsidRPr="001131FC">
              <w:rPr>
                <w:rFonts w:cs="Tahoma"/>
                <w:sz w:val="14"/>
                <w:szCs w:val="16"/>
              </w:rPr>
              <w:t>7,2</w:t>
            </w:r>
          </w:p>
        </w:tc>
        <w:tc>
          <w:tcPr>
            <w:tcW w:w="89" w:type="pct"/>
            <w:vAlign w:val="center"/>
          </w:tcPr>
          <w:p w:rsidR="00565FD5" w:rsidRPr="001131FC" w:rsidRDefault="00565FD5" w:rsidP="00AB62A3">
            <w:pPr>
              <w:jc w:val="right"/>
              <w:rPr>
                <w:rFonts w:cs="Tahoma"/>
                <w:sz w:val="14"/>
                <w:szCs w:val="16"/>
              </w:rPr>
            </w:pP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23,4</w:t>
            </w:r>
          </w:p>
        </w:tc>
        <w:tc>
          <w:tcPr>
            <w:tcW w:w="422" w:type="pct"/>
            <w:vAlign w:val="center"/>
          </w:tcPr>
          <w:p w:rsidR="00565FD5" w:rsidRPr="001131FC" w:rsidRDefault="00565FD5" w:rsidP="00AB62A3">
            <w:pPr>
              <w:jc w:val="right"/>
              <w:rPr>
                <w:rFonts w:cs="Tahoma"/>
                <w:sz w:val="14"/>
                <w:szCs w:val="16"/>
              </w:rPr>
            </w:pPr>
            <w:r w:rsidRPr="001131FC">
              <w:rPr>
                <w:rFonts w:cs="Tahoma"/>
                <w:sz w:val="14"/>
                <w:szCs w:val="16"/>
              </w:rPr>
              <w:t>4,1</w:t>
            </w:r>
          </w:p>
        </w:tc>
        <w:tc>
          <w:tcPr>
            <w:tcW w:w="516" w:type="pct"/>
            <w:vAlign w:val="center"/>
          </w:tcPr>
          <w:p w:rsidR="00565FD5" w:rsidRPr="001131FC" w:rsidRDefault="00565FD5" w:rsidP="00AB62A3">
            <w:pPr>
              <w:jc w:val="right"/>
              <w:rPr>
                <w:rFonts w:cs="Tahoma"/>
                <w:sz w:val="14"/>
                <w:szCs w:val="16"/>
              </w:rPr>
            </w:pPr>
            <w:r w:rsidRPr="001131FC">
              <w:rPr>
                <w:rFonts w:cs="Tahoma"/>
                <w:sz w:val="14"/>
                <w:szCs w:val="16"/>
              </w:rPr>
              <w:t>7,8</w:t>
            </w:r>
          </w:p>
        </w:tc>
        <w:tc>
          <w:tcPr>
            <w:tcW w:w="89" w:type="pct"/>
            <w:tcBorders>
              <w:right w:val="single" w:sz="4" w:space="0" w:color="auto"/>
            </w:tcBorders>
            <w:vAlign w:val="center"/>
          </w:tcPr>
          <w:p w:rsidR="00565FD5" w:rsidRPr="001131FC" w:rsidRDefault="00565FD5" w:rsidP="00AB62A3">
            <w:pPr>
              <w:jc w:val="right"/>
              <w:rPr>
                <w:rFonts w:cs="Tahoma"/>
                <w:sz w:val="14"/>
                <w:szCs w:val="16"/>
              </w:rPr>
            </w:pPr>
          </w:p>
        </w:tc>
      </w:tr>
      <w:tr w:rsidR="00565FD5" w:rsidRPr="001131FC" w:rsidTr="00AB62A3">
        <w:trPr>
          <w:trHeight w:val="340"/>
          <w:jc w:val="center"/>
        </w:trPr>
        <w:tc>
          <w:tcPr>
            <w:tcW w:w="650" w:type="pct"/>
            <w:tcBorders>
              <w:top w:val="single" w:sz="4" w:space="0" w:color="auto"/>
              <w:left w:val="single" w:sz="4" w:space="0" w:color="auto"/>
              <w:bottom w:val="single" w:sz="4" w:space="0" w:color="auto"/>
            </w:tcBorders>
            <w:vAlign w:val="center"/>
          </w:tcPr>
          <w:p w:rsidR="00565FD5" w:rsidRPr="001131FC" w:rsidRDefault="00565FD5" w:rsidP="00AB62A3">
            <w:pPr>
              <w:rPr>
                <w:rFonts w:cs="Tahoma"/>
                <w:b/>
                <w:sz w:val="14"/>
                <w:szCs w:val="16"/>
              </w:rPr>
            </w:pPr>
            <w:r w:rsidRPr="001131FC">
              <w:rPr>
                <w:rFonts w:cs="Tahoma"/>
                <w:b/>
                <w:sz w:val="14"/>
                <w:szCs w:val="16"/>
              </w:rPr>
              <w:t>TOPLAM</w:t>
            </w:r>
          </w:p>
        </w:tc>
        <w:tc>
          <w:tcPr>
            <w:tcW w:w="425"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r w:rsidRPr="001131FC">
              <w:rPr>
                <w:rFonts w:cs="Tahoma"/>
                <w:b/>
                <w:sz w:val="14"/>
                <w:szCs w:val="16"/>
              </w:rPr>
              <w:t>100</w:t>
            </w:r>
          </w:p>
        </w:tc>
        <w:tc>
          <w:tcPr>
            <w:tcW w:w="423"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r w:rsidRPr="001131FC">
              <w:rPr>
                <w:rFonts w:cs="Tahoma"/>
                <w:b/>
                <w:sz w:val="14"/>
                <w:szCs w:val="16"/>
              </w:rPr>
              <w:t>100</w:t>
            </w:r>
          </w:p>
        </w:tc>
        <w:tc>
          <w:tcPr>
            <w:tcW w:w="519"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r w:rsidRPr="001131FC">
              <w:rPr>
                <w:rFonts w:cs="Tahoma"/>
                <w:b/>
                <w:sz w:val="14"/>
                <w:szCs w:val="16"/>
              </w:rPr>
              <w:t>100</w:t>
            </w:r>
          </w:p>
        </w:tc>
        <w:tc>
          <w:tcPr>
            <w:tcW w:w="89"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p>
        </w:tc>
        <w:tc>
          <w:tcPr>
            <w:tcW w:w="422"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r w:rsidRPr="001131FC">
              <w:rPr>
                <w:rFonts w:cs="Tahoma"/>
                <w:b/>
                <w:sz w:val="14"/>
                <w:szCs w:val="16"/>
              </w:rPr>
              <w:t>100</w:t>
            </w:r>
          </w:p>
        </w:tc>
        <w:tc>
          <w:tcPr>
            <w:tcW w:w="422"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r w:rsidRPr="001131FC">
              <w:rPr>
                <w:rFonts w:cs="Tahoma"/>
                <w:b/>
                <w:sz w:val="14"/>
                <w:szCs w:val="16"/>
              </w:rPr>
              <w:t>100</w:t>
            </w:r>
          </w:p>
        </w:tc>
        <w:tc>
          <w:tcPr>
            <w:tcW w:w="514"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r w:rsidRPr="001131FC">
              <w:rPr>
                <w:rFonts w:cs="Tahoma"/>
                <w:b/>
                <w:sz w:val="14"/>
                <w:szCs w:val="16"/>
              </w:rPr>
              <w:t>100</w:t>
            </w:r>
          </w:p>
        </w:tc>
        <w:tc>
          <w:tcPr>
            <w:tcW w:w="89"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p>
        </w:tc>
        <w:tc>
          <w:tcPr>
            <w:tcW w:w="422"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r w:rsidRPr="001131FC">
              <w:rPr>
                <w:rFonts w:cs="Tahoma"/>
                <w:b/>
                <w:sz w:val="14"/>
                <w:szCs w:val="16"/>
              </w:rPr>
              <w:t>100</w:t>
            </w:r>
          </w:p>
        </w:tc>
        <w:tc>
          <w:tcPr>
            <w:tcW w:w="422"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r w:rsidRPr="001131FC">
              <w:rPr>
                <w:rFonts w:cs="Tahoma"/>
                <w:b/>
                <w:sz w:val="14"/>
                <w:szCs w:val="16"/>
              </w:rPr>
              <w:t>100</w:t>
            </w:r>
          </w:p>
        </w:tc>
        <w:tc>
          <w:tcPr>
            <w:tcW w:w="516" w:type="pct"/>
            <w:tcBorders>
              <w:top w:val="single" w:sz="4" w:space="0" w:color="auto"/>
              <w:bottom w:val="single" w:sz="4" w:space="0" w:color="auto"/>
            </w:tcBorders>
            <w:vAlign w:val="center"/>
          </w:tcPr>
          <w:p w:rsidR="00565FD5" w:rsidRPr="001131FC" w:rsidRDefault="00565FD5" w:rsidP="00AB62A3">
            <w:pPr>
              <w:jc w:val="right"/>
              <w:rPr>
                <w:rFonts w:cs="Tahoma"/>
                <w:b/>
                <w:sz w:val="14"/>
                <w:szCs w:val="16"/>
              </w:rPr>
            </w:pPr>
            <w:r w:rsidRPr="001131FC">
              <w:rPr>
                <w:rFonts w:cs="Tahoma"/>
                <w:b/>
                <w:sz w:val="14"/>
                <w:szCs w:val="16"/>
              </w:rPr>
              <w:t>100</w:t>
            </w:r>
          </w:p>
        </w:tc>
        <w:tc>
          <w:tcPr>
            <w:tcW w:w="89" w:type="pct"/>
            <w:tcBorders>
              <w:top w:val="single" w:sz="4" w:space="0" w:color="auto"/>
              <w:bottom w:val="single" w:sz="4" w:space="0" w:color="auto"/>
              <w:right w:val="single" w:sz="4" w:space="0" w:color="auto"/>
            </w:tcBorders>
            <w:vAlign w:val="center"/>
          </w:tcPr>
          <w:p w:rsidR="00565FD5" w:rsidRPr="001131FC" w:rsidRDefault="00565FD5" w:rsidP="00AB62A3">
            <w:pPr>
              <w:jc w:val="right"/>
              <w:rPr>
                <w:rFonts w:cs="Tahoma"/>
                <w:sz w:val="14"/>
                <w:szCs w:val="16"/>
              </w:rPr>
            </w:pPr>
          </w:p>
        </w:tc>
      </w:tr>
    </w:tbl>
    <w:p w:rsidR="00565FD5" w:rsidRPr="001131FC" w:rsidRDefault="00565FD5" w:rsidP="00565FD5">
      <w:pPr>
        <w:rPr>
          <w:rFonts w:cs="Tahoma"/>
          <w:snapToGrid w:val="0"/>
          <w:sz w:val="14"/>
          <w:szCs w:val="14"/>
        </w:rPr>
      </w:pPr>
      <w:r w:rsidRPr="001131FC">
        <w:rPr>
          <w:rFonts w:cs="Tahoma"/>
          <w:snapToGrid w:val="0"/>
          <w:sz w:val="14"/>
          <w:szCs w:val="14"/>
        </w:rPr>
        <w:t>Kaynak: Kalkınma Bakanlığı</w:t>
      </w:r>
    </w:p>
    <w:p w:rsidR="00565FD5" w:rsidRPr="001131FC" w:rsidRDefault="00565FD5" w:rsidP="00565FD5">
      <w:pPr>
        <w:rPr>
          <w:rFonts w:cs="Tahoma"/>
          <w:snapToGrid w:val="0"/>
          <w:sz w:val="14"/>
          <w:szCs w:val="14"/>
        </w:rPr>
      </w:pPr>
      <w:r w:rsidRPr="001131FC">
        <w:rPr>
          <w:rFonts w:cs="Tahoma"/>
          <w:snapToGrid w:val="0"/>
          <w:sz w:val="14"/>
          <w:szCs w:val="14"/>
        </w:rPr>
        <w:t>(1) Merkezi yönetim bütçesinde yatırım işçiliği dahildir.</w:t>
      </w:r>
    </w:p>
    <w:p w:rsidR="00565FD5" w:rsidRPr="001131FC" w:rsidRDefault="00565FD5" w:rsidP="00565FD5">
      <w:pPr>
        <w:rPr>
          <w:rFonts w:cs="Tahoma"/>
          <w:snapToGrid w:val="0"/>
          <w:sz w:val="14"/>
          <w:szCs w:val="14"/>
        </w:rPr>
      </w:pPr>
      <w:r w:rsidRPr="001131FC">
        <w:rPr>
          <w:rFonts w:cs="Tahoma"/>
          <w:snapToGrid w:val="0"/>
          <w:sz w:val="14"/>
          <w:szCs w:val="14"/>
        </w:rPr>
        <w:t>(2) Gerçekleşme tahmini</w:t>
      </w:r>
    </w:p>
    <w:p w:rsidR="00565FD5" w:rsidRPr="001131FC" w:rsidRDefault="00565FD5" w:rsidP="00565FD5">
      <w:pPr>
        <w:spacing w:after="240"/>
        <w:rPr>
          <w:rFonts w:cs="Tahoma"/>
          <w:snapToGrid w:val="0"/>
          <w:sz w:val="14"/>
          <w:szCs w:val="14"/>
        </w:rPr>
      </w:pPr>
      <w:r w:rsidRPr="001131FC">
        <w:rPr>
          <w:rFonts w:cs="Tahoma"/>
          <w:snapToGrid w:val="0"/>
          <w:sz w:val="14"/>
          <w:szCs w:val="14"/>
        </w:rPr>
        <w:t>(3) Program</w:t>
      </w:r>
    </w:p>
    <w:p w:rsidR="00565FD5" w:rsidRPr="0083212C" w:rsidRDefault="00565FD5" w:rsidP="00565FD5">
      <w:pPr>
        <w:pStyle w:val="Balk4"/>
        <w:rPr>
          <w:noProof/>
          <w:lang w:val="en-US"/>
        </w:rPr>
      </w:pPr>
      <w:bookmarkStart w:id="511" w:name="_Toc338494211"/>
      <w:bookmarkStart w:id="512" w:name="_Toc338505515"/>
      <w:bookmarkStart w:id="513" w:name="_Toc338505728"/>
      <w:bookmarkStart w:id="514" w:name="_Toc338505767"/>
      <w:bookmarkStart w:id="515" w:name="_Toc338523732"/>
      <w:bookmarkStart w:id="516" w:name="_Toc338523973"/>
      <w:bookmarkStart w:id="517" w:name="_Toc338526199"/>
      <w:bookmarkStart w:id="518" w:name="_Toc338673642"/>
      <w:bookmarkStart w:id="519" w:name="_Toc338711521"/>
      <w:r w:rsidRPr="0083212C">
        <w:rPr>
          <w:noProof/>
          <w:lang w:val="en-US"/>
        </w:rPr>
        <w:t>2. Kamu Yatırım Uygulamaları</w:t>
      </w:r>
      <w:bookmarkEnd w:id="511"/>
      <w:bookmarkEnd w:id="512"/>
      <w:bookmarkEnd w:id="513"/>
      <w:bookmarkEnd w:id="514"/>
      <w:bookmarkEnd w:id="515"/>
      <w:bookmarkEnd w:id="516"/>
      <w:bookmarkEnd w:id="517"/>
      <w:bookmarkEnd w:id="518"/>
      <w:bookmarkEnd w:id="519"/>
    </w:p>
    <w:p w:rsidR="00565FD5" w:rsidRPr="0083212C" w:rsidRDefault="00565FD5" w:rsidP="00565FD5">
      <w:pPr>
        <w:spacing w:before="120" w:after="120"/>
        <w:ind w:firstLine="425"/>
        <w:rPr>
          <w:rFonts w:cs="Tahoma"/>
          <w:szCs w:val="18"/>
        </w:rPr>
      </w:pPr>
      <w:r w:rsidRPr="0083212C">
        <w:rPr>
          <w:rFonts w:cs="Tahoma"/>
          <w:szCs w:val="18"/>
        </w:rPr>
        <w:t xml:space="preserve">Ülkemizin eğitim ve sağlık hizmetlerinin etkili bir şekilde sunulması ve yaşam kalitesinin yükseltilmesi, rekabet gücümüzün artırılması ve sürdürülebilir büyümenin sağlanması için gerekli sosyal ve fiziki altyapının geliştirilmesi, çevrenin korunması, AB kriterlerine uyumun sağlanması, </w:t>
      </w:r>
      <w:r w:rsidRPr="00557693">
        <w:rPr>
          <w:rFonts w:cs="Tahoma"/>
          <w:szCs w:val="18"/>
        </w:rPr>
        <w:t xml:space="preserve">gelişmiş ülkelerle ülkemiz arasındaki ve ülkemizdeki </w:t>
      </w:r>
      <w:r w:rsidRPr="0083212C">
        <w:rPr>
          <w:rFonts w:cs="Tahoma"/>
          <w:szCs w:val="18"/>
        </w:rPr>
        <w:t>bölgeler arası</w:t>
      </w:r>
      <w:r w:rsidRPr="00557693">
        <w:rPr>
          <w:rFonts w:cs="Tahoma"/>
          <w:szCs w:val="18"/>
        </w:rPr>
        <w:t xml:space="preserve">, bölge içi </w:t>
      </w:r>
      <w:r w:rsidRPr="0083212C">
        <w:rPr>
          <w:rFonts w:cs="Tahoma"/>
          <w:szCs w:val="18"/>
        </w:rPr>
        <w:t>gelişmişlik farklarının azaltılması için önemli miktarlarda kamu yatırımı ihtiyacı bulunmaktadır.</w:t>
      </w:r>
    </w:p>
    <w:p w:rsidR="00565FD5" w:rsidRDefault="00565FD5" w:rsidP="00565FD5">
      <w:pPr>
        <w:spacing w:before="120" w:after="120"/>
        <w:ind w:firstLine="425"/>
        <w:rPr>
          <w:rFonts w:cs="Tahoma"/>
          <w:szCs w:val="18"/>
        </w:rPr>
      </w:pPr>
      <w:r w:rsidRPr="0083212C">
        <w:rPr>
          <w:rFonts w:cs="Tahoma"/>
          <w:szCs w:val="18"/>
        </w:rPr>
        <w:t xml:space="preserve">2007-2012 döneminde genel devlet kapsamındaki kamu sabit sermaye yatırımlarının (KSSY) GSYH içindeki payının ortalamaları dikkate alındığında, </w:t>
      </w:r>
      <w:r w:rsidRPr="0083212C">
        <w:rPr>
          <w:rFonts w:cs="Tahoma"/>
          <w:szCs w:val="18"/>
        </w:rPr>
        <w:lastRenderedPageBreak/>
        <w:t>ülkemizde</w:t>
      </w:r>
      <w:r>
        <w:rPr>
          <w:rFonts w:cs="Tahoma"/>
          <w:szCs w:val="18"/>
        </w:rPr>
        <w:t>,</w:t>
      </w:r>
      <w:r w:rsidRPr="0083212C">
        <w:rPr>
          <w:rFonts w:cs="Tahoma"/>
          <w:szCs w:val="18"/>
        </w:rPr>
        <w:t xml:space="preserve"> Avro Bölgesi dışındaki 10 AB üyesi ülke ortalamasından</w:t>
      </w:r>
      <w:r>
        <w:rPr>
          <w:rFonts w:cs="Tahoma"/>
          <w:szCs w:val="18"/>
        </w:rPr>
        <w:t>,</w:t>
      </w:r>
      <w:r w:rsidRPr="00557693">
        <w:rPr>
          <w:rFonts w:cs="Tahoma"/>
          <w:szCs w:val="18"/>
        </w:rPr>
        <w:t xml:space="preserve"> bazı yıllarda </w:t>
      </w:r>
      <w:r>
        <w:rPr>
          <w:rFonts w:cs="Tahoma"/>
          <w:szCs w:val="18"/>
        </w:rPr>
        <w:t xml:space="preserve">ise </w:t>
      </w:r>
      <w:r w:rsidRPr="00557693">
        <w:rPr>
          <w:rFonts w:cs="Tahoma"/>
          <w:szCs w:val="18"/>
        </w:rPr>
        <w:t xml:space="preserve">27 AB üyesi ülke ortalamasından ve Japonya’dan </w:t>
      </w:r>
      <w:r w:rsidRPr="0083212C">
        <w:rPr>
          <w:rFonts w:cs="Tahoma"/>
          <w:szCs w:val="18"/>
        </w:rPr>
        <w:t>daha az oranda KSSY gerçekleştirildiği görülmektedir. Söz konusu ülkelerin yüzölçümlerinin ve Almanya hariç nüfuslarının Türkiye’den daha az olduğu, mevcut gelişmişlik seviyelerinin Türkiye’den daha yüksek olduğu, mevcut altyapı ihtiyaçlarının büyük ölçüde tamamlanmış olduğu ve GSYH’larının mutlak büyüklüğü dikkate alındığında, ülkemizde daha fazla kamu yatırımı yapılması gereği ortaya çıkmaktadır.</w:t>
      </w:r>
    </w:p>
    <w:p w:rsidR="00565FD5" w:rsidRPr="00557693" w:rsidRDefault="00565FD5" w:rsidP="00565FD5">
      <w:pPr>
        <w:spacing w:before="120" w:after="120"/>
        <w:ind w:firstLine="425"/>
        <w:rPr>
          <w:rFonts w:cs="Tahoma"/>
          <w:szCs w:val="18"/>
        </w:rPr>
      </w:pPr>
    </w:p>
    <w:p w:rsidR="00565FD5" w:rsidRPr="008D0643" w:rsidRDefault="00565FD5" w:rsidP="00565FD5">
      <w:pPr>
        <w:pStyle w:val="ResimYazs"/>
        <w:rPr>
          <w:bCs/>
        </w:rPr>
      </w:pPr>
      <w:bookmarkStart w:id="520" w:name="_Toc338605967"/>
      <w:bookmarkStart w:id="521" w:name="_Toc338711742"/>
      <w:r>
        <w:t xml:space="preserve">TABLO II: </w:t>
      </w:r>
      <w:fldSimple w:instr=" SEQ TABLO_II: \* ARABIC ">
        <w:r>
          <w:rPr>
            <w:noProof/>
          </w:rPr>
          <w:t>15</w:t>
        </w:r>
      </w:fldSimple>
      <w:r w:rsidRPr="008D0643">
        <w:rPr>
          <w:bCs/>
        </w:rPr>
        <w:t>- Genel Devlet Sabit Sermaye Yatırımlarının GSYH İçindeki Payı</w:t>
      </w:r>
      <w:bookmarkEnd w:id="520"/>
      <w:bookmarkEnd w:id="521"/>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268"/>
        <w:gridCol w:w="656"/>
        <w:gridCol w:w="582"/>
        <w:gridCol w:w="583"/>
        <w:gridCol w:w="673"/>
        <w:gridCol w:w="673"/>
        <w:gridCol w:w="709"/>
      </w:tblGrid>
      <w:tr w:rsidR="00565FD5" w:rsidRPr="008D0643" w:rsidTr="00AB62A3">
        <w:trPr>
          <w:trHeight w:val="30"/>
          <w:jc w:val="center"/>
        </w:trPr>
        <w:tc>
          <w:tcPr>
            <w:tcW w:w="2288" w:type="pct"/>
            <w:tcBorders>
              <w:top w:val="nil"/>
              <w:left w:val="nil"/>
              <w:right w:val="nil"/>
            </w:tcBorders>
            <w:tcMar>
              <w:top w:w="0" w:type="dxa"/>
              <w:left w:w="108" w:type="dxa"/>
              <w:bottom w:w="0" w:type="dxa"/>
              <w:right w:w="108" w:type="dxa"/>
            </w:tcMar>
            <w:vAlign w:val="center"/>
          </w:tcPr>
          <w:p w:rsidR="00565FD5" w:rsidRPr="008D0643" w:rsidRDefault="00565FD5" w:rsidP="00AB62A3">
            <w:pPr>
              <w:spacing w:after="240"/>
              <w:outlineLvl w:val="5"/>
              <w:rPr>
                <w:rFonts w:cs="Tahoma"/>
                <w:b/>
                <w:color w:val="000000"/>
                <w:sz w:val="15"/>
                <w:szCs w:val="15"/>
              </w:rPr>
            </w:pPr>
          </w:p>
        </w:tc>
        <w:tc>
          <w:tcPr>
            <w:tcW w:w="459" w:type="pct"/>
            <w:tcBorders>
              <w:top w:val="nil"/>
              <w:left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p>
        </w:tc>
        <w:tc>
          <w:tcPr>
            <w:tcW w:w="407" w:type="pct"/>
            <w:tcBorders>
              <w:top w:val="nil"/>
              <w:left w:val="nil"/>
              <w:right w:val="nil"/>
            </w:tcBorders>
            <w:tcMar>
              <w:top w:w="0" w:type="dxa"/>
              <w:left w:w="108" w:type="dxa"/>
              <w:bottom w:w="0" w:type="dxa"/>
              <w:right w:w="108" w:type="dxa"/>
            </w:tcMar>
            <w:vAlign w:val="center"/>
          </w:tcPr>
          <w:p w:rsidR="00565FD5" w:rsidRPr="008D0643" w:rsidRDefault="00565FD5" w:rsidP="00AB62A3">
            <w:pPr>
              <w:jc w:val="center"/>
              <w:rPr>
                <w:rFonts w:cs="Tahoma"/>
                <w:b/>
                <w:color w:val="000000"/>
                <w:sz w:val="15"/>
                <w:szCs w:val="15"/>
              </w:rPr>
            </w:pPr>
          </w:p>
        </w:tc>
        <w:tc>
          <w:tcPr>
            <w:tcW w:w="408" w:type="pct"/>
            <w:tcBorders>
              <w:top w:val="nil"/>
              <w:left w:val="nil"/>
              <w:right w:val="nil"/>
            </w:tcBorders>
            <w:tcMar>
              <w:top w:w="0" w:type="dxa"/>
              <w:left w:w="108" w:type="dxa"/>
              <w:bottom w:w="0" w:type="dxa"/>
              <w:right w:w="108" w:type="dxa"/>
            </w:tcMar>
            <w:vAlign w:val="center"/>
          </w:tcPr>
          <w:p w:rsidR="00565FD5" w:rsidRPr="008D0643" w:rsidRDefault="00565FD5" w:rsidP="00AB62A3">
            <w:pPr>
              <w:jc w:val="center"/>
              <w:rPr>
                <w:rFonts w:cs="Tahoma"/>
                <w:b/>
                <w:color w:val="000000"/>
                <w:sz w:val="15"/>
                <w:szCs w:val="15"/>
              </w:rPr>
            </w:pPr>
          </w:p>
        </w:tc>
        <w:tc>
          <w:tcPr>
            <w:tcW w:w="471" w:type="pct"/>
            <w:tcBorders>
              <w:top w:val="nil"/>
              <w:left w:val="nil"/>
              <w:right w:val="nil"/>
            </w:tcBorders>
            <w:tcMar>
              <w:top w:w="0" w:type="dxa"/>
              <w:left w:w="108" w:type="dxa"/>
              <w:bottom w:w="0" w:type="dxa"/>
              <w:right w:w="108" w:type="dxa"/>
            </w:tcMar>
            <w:vAlign w:val="center"/>
          </w:tcPr>
          <w:p w:rsidR="00565FD5" w:rsidRPr="008D0643" w:rsidRDefault="00565FD5" w:rsidP="00AB62A3">
            <w:pPr>
              <w:jc w:val="center"/>
              <w:rPr>
                <w:rFonts w:cs="Tahoma"/>
                <w:b/>
                <w:color w:val="000000"/>
                <w:sz w:val="15"/>
                <w:szCs w:val="15"/>
              </w:rPr>
            </w:pPr>
          </w:p>
        </w:tc>
        <w:tc>
          <w:tcPr>
            <w:tcW w:w="471" w:type="pct"/>
            <w:tcBorders>
              <w:top w:val="nil"/>
              <w:left w:val="nil"/>
              <w:right w:val="nil"/>
            </w:tcBorders>
            <w:vAlign w:val="center"/>
          </w:tcPr>
          <w:p w:rsidR="00565FD5" w:rsidRPr="008D0643" w:rsidRDefault="00565FD5" w:rsidP="00AB62A3">
            <w:pPr>
              <w:jc w:val="center"/>
              <w:rPr>
                <w:rFonts w:cs="Tahoma"/>
                <w:b/>
                <w:color w:val="000000"/>
                <w:sz w:val="15"/>
                <w:szCs w:val="15"/>
              </w:rPr>
            </w:pPr>
          </w:p>
        </w:tc>
        <w:tc>
          <w:tcPr>
            <w:tcW w:w="496" w:type="pct"/>
            <w:tcBorders>
              <w:top w:val="nil"/>
              <w:left w:val="nil"/>
              <w:right w:val="nil"/>
            </w:tcBorders>
            <w:tcMar>
              <w:top w:w="0" w:type="dxa"/>
              <w:left w:w="108" w:type="dxa"/>
              <w:bottom w:w="0" w:type="dxa"/>
              <w:right w:w="108" w:type="dxa"/>
            </w:tcMar>
            <w:vAlign w:val="bottom"/>
          </w:tcPr>
          <w:p w:rsidR="00565FD5" w:rsidRPr="008D0643" w:rsidRDefault="00565FD5" w:rsidP="00AB62A3">
            <w:pPr>
              <w:jc w:val="right"/>
              <w:rPr>
                <w:rFonts w:cs="Tahoma"/>
                <w:b/>
                <w:color w:val="000000"/>
                <w:sz w:val="15"/>
                <w:szCs w:val="15"/>
              </w:rPr>
            </w:pPr>
            <w:r w:rsidRPr="008D0643">
              <w:rPr>
                <w:bCs/>
                <w:sz w:val="15"/>
                <w:szCs w:val="15"/>
              </w:rPr>
              <w:t>(Yüzde)</w:t>
            </w:r>
          </w:p>
        </w:tc>
      </w:tr>
      <w:tr w:rsidR="00565FD5" w:rsidRPr="008D0643" w:rsidTr="00AB62A3">
        <w:trPr>
          <w:trHeight w:val="340"/>
          <w:jc w:val="center"/>
        </w:trPr>
        <w:tc>
          <w:tcPr>
            <w:tcW w:w="2288" w:type="pct"/>
            <w:tcBorders>
              <w:right w:val="nil"/>
            </w:tcBorders>
            <w:tcMar>
              <w:top w:w="0" w:type="dxa"/>
              <w:left w:w="108" w:type="dxa"/>
              <w:bottom w:w="0" w:type="dxa"/>
              <w:right w:w="108" w:type="dxa"/>
            </w:tcMar>
            <w:vAlign w:val="center"/>
          </w:tcPr>
          <w:p w:rsidR="00565FD5" w:rsidRPr="008D0643" w:rsidRDefault="00565FD5" w:rsidP="00AB62A3">
            <w:pPr>
              <w:rPr>
                <w:rFonts w:cs="Tahoma"/>
                <w:b/>
                <w:bCs/>
                <w:color w:val="000000"/>
                <w:sz w:val="15"/>
                <w:szCs w:val="15"/>
              </w:rPr>
            </w:pPr>
            <w:r w:rsidRPr="008D0643">
              <w:rPr>
                <w:rFonts w:cs="Tahoma"/>
                <w:b/>
                <w:bCs/>
                <w:color w:val="000000"/>
                <w:sz w:val="15"/>
                <w:szCs w:val="15"/>
              </w:rPr>
              <w:t>Ü</w:t>
            </w:r>
            <w:r>
              <w:rPr>
                <w:rFonts w:cs="Tahoma"/>
                <w:b/>
                <w:bCs/>
                <w:color w:val="000000"/>
                <w:sz w:val="15"/>
                <w:szCs w:val="15"/>
              </w:rPr>
              <w:t xml:space="preserve"> </w:t>
            </w:r>
            <w:r w:rsidRPr="008D0643">
              <w:rPr>
                <w:rFonts w:cs="Tahoma"/>
                <w:b/>
                <w:bCs/>
                <w:color w:val="000000"/>
                <w:sz w:val="15"/>
                <w:szCs w:val="15"/>
              </w:rPr>
              <w:t>l</w:t>
            </w:r>
            <w:r>
              <w:rPr>
                <w:rFonts w:cs="Tahoma"/>
                <w:b/>
                <w:bCs/>
                <w:color w:val="000000"/>
                <w:sz w:val="15"/>
                <w:szCs w:val="15"/>
              </w:rPr>
              <w:t xml:space="preserve"> </w:t>
            </w:r>
            <w:r w:rsidRPr="008D0643">
              <w:rPr>
                <w:rFonts w:cs="Tahoma"/>
                <w:b/>
                <w:bCs/>
                <w:color w:val="000000"/>
                <w:sz w:val="15"/>
                <w:szCs w:val="15"/>
              </w:rPr>
              <w:t>k</w:t>
            </w:r>
            <w:r>
              <w:rPr>
                <w:rFonts w:cs="Tahoma"/>
                <w:b/>
                <w:bCs/>
                <w:color w:val="000000"/>
                <w:sz w:val="15"/>
                <w:szCs w:val="15"/>
              </w:rPr>
              <w:t xml:space="preserve"> </w:t>
            </w:r>
            <w:r w:rsidRPr="008D0643">
              <w:rPr>
                <w:rFonts w:cs="Tahoma"/>
                <w:b/>
                <w:bCs/>
                <w:color w:val="000000"/>
                <w:sz w:val="15"/>
                <w:szCs w:val="15"/>
              </w:rPr>
              <w:t>e</w:t>
            </w:r>
            <w:r>
              <w:rPr>
                <w:rFonts w:cs="Tahoma"/>
                <w:b/>
                <w:bCs/>
                <w:color w:val="000000"/>
                <w:sz w:val="15"/>
                <w:szCs w:val="15"/>
              </w:rPr>
              <w:t xml:space="preserve"> </w:t>
            </w:r>
            <w:r w:rsidRPr="008D0643">
              <w:rPr>
                <w:rFonts w:cs="Tahoma"/>
                <w:b/>
                <w:bCs/>
                <w:color w:val="000000"/>
                <w:sz w:val="15"/>
                <w:szCs w:val="15"/>
              </w:rPr>
              <w:t>l</w:t>
            </w:r>
            <w:r>
              <w:rPr>
                <w:rFonts w:cs="Tahoma"/>
                <w:b/>
                <w:bCs/>
                <w:color w:val="000000"/>
                <w:sz w:val="15"/>
                <w:szCs w:val="15"/>
              </w:rPr>
              <w:t xml:space="preserve"> </w:t>
            </w:r>
            <w:r w:rsidRPr="008D0643">
              <w:rPr>
                <w:rFonts w:cs="Tahoma"/>
                <w:b/>
                <w:bCs/>
                <w:color w:val="000000"/>
                <w:sz w:val="15"/>
                <w:szCs w:val="15"/>
              </w:rPr>
              <w:t>e</w:t>
            </w:r>
            <w:r>
              <w:rPr>
                <w:rFonts w:cs="Tahoma"/>
                <w:b/>
                <w:bCs/>
                <w:color w:val="000000"/>
                <w:sz w:val="15"/>
                <w:szCs w:val="15"/>
              </w:rPr>
              <w:t xml:space="preserve"> </w:t>
            </w:r>
            <w:r w:rsidRPr="008D0643">
              <w:rPr>
                <w:rFonts w:cs="Tahoma"/>
                <w:b/>
                <w:bCs/>
                <w:color w:val="000000"/>
                <w:sz w:val="15"/>
                <w:szCs w:val="15"/>
              </w:rPr>
              <w:t>r</w:t>
            </w:r>
          </w:p>
        </w:tc>
        <w:tc>
          <w:tcPr>
            <w:tcW w:w="459" w:type="pct"/>
            <w:tcBorders>
              <w:left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2007</w:t>
            </w:r>
          </w:p>
        </w:tc>
        <w:tc>
          <w:tcPr>
            <w:tcW w:w="407" w:type="pct"/>
            <w:tcBorders>
              <w:left w:val="nil"/>
              <w:right w:val="nil"/>
            </w:tcBorders>
            <w:tcMar>
              <w:top w:w="0" w:type="dxa"/>
              <w:left w:w="108" w:type="dxa"/>
              <w:bottom w:w="0" w:type="dxa"/>
              <w:right w:w="108" w:type="dxa"/>
            </w:tcMar>
            <w:vAlign w:val="center"/>
          </w:tcPr>
          <w:p w:rsidR="00565FD5" w:rsidRPr="008D0643" w:rsidRDefault="00565FD5" w:rsidP="00AB62A3">
            <w:pPr>
              <w:jc w:val="center"/>
              <w:rPr>
                <w:rFonts w:cs="Tahoma"/>
                <w:b/>
                <w:color w:val="000000"/>
                <w:sz w:val="15"/>
                <w:szCs w:val="15"/>
              </w:rPr>
            </w:pPr>
            <w:r w:rsidRPr="008D0643">
              <w:rPr>
                <w:rFonts w:cs="Tahoma"/>
                <w:b/>
                <w:color w:val="000000"/>
                <w:sz w:val="15"/>
                <w:szCs w:val="15"/>
              </w:rPr>
              <w:t>2008</w:t>
            </w:r>
          </w:p>
        </w:tc>
        <w:tc>
          <w:tcPr>
            <w:tcW w:w="408" w:type="pct"/>
            <w:tcBorders>
              <w:left w:val="nil"/>
              <w:right w:val="nil"/>
            </w:tcBorders>
            <w:tcMar>
              <w:top w:w="0" w:type="dxa"/>
              <w:left w:w="108" w:type="dxa"/>
              <w:bottom w:w="0" w:type="dxa"/>
              <w:right w:w="108" w:type="dxa"/>
            </w:tcMar>
            <w:vAlign w:val="center"/>
          </w:tcPr>
          <w:p w:rsidR="00565FD5" w:rsidRPr="008D0643" w:rsidRDefault="00565FD5" w:rsidP="00AB62A3">
            <w:pPr>
              <w:jc w:val="center"/>
              <w:rPr>
                <w:rFonts w:cs="Tahoma"/>
                <w:b/>
                <w:color w:val="000000"/>
                <w:sz w:val="15"/>
                <w:szCs w:val="15"/>
              </w:rPr>
            </w:pPr>
            <w:r w:rsidRPr="008D0643">
              <w:rPr>
                <w:rFonts w:cs="Tahoma"/>
                <w:b/>
                <w:color w:val="000000"/>
                <w:sz w:val="15"/>
                <w:szCs w:val="15"/>
              </w:rPr>
              <w:t>2009</w:t>
            </w:r>
          </w:p>
        </w:tc>
        <w:tc>
          <w:tcPr>
            <w:tcW w:w="471" w:type="pct"/>
            <w:tcBorders>
              <w:left w:val="nil"/>
              <w:right w:val="nil"/>
            </w:tcBorders>
            <w:tcMar>
              <w:top w:w="0" w:type="dxa"/>
              <w:left w:w="108" w:type="dxa"/>
              <w:bottom w:w="0" w:type="dxa"/>
              <w:right w:w="108" w:type="dxa"/>
            </w:tcMar>
            <w:vAlign w:val="center"/>
          </w:tcPr>
          <w:p w:rsidR="00565FD5" w:rsidRPr="008D0643" w:rsidRDefault="00565FD5" w:rsidP="00AB62A3">
            <w:pPr>
              <w:jc w:val="center"/>
              <w:rPr>
                <w:rFonts w:cs="Tahoma"/>
                <w:b/>
                <w:color w:val="000000"/>
                <w:sz w:val="15"/>
                <w:szCs w:val="15"/>
              </w:rPr>
            </w:pPr>
            <w:r w:rsidRPr="008D0643">
              <w:rPr>
                <w:rFonts w:cs="Tahoma"/>
                <w:b/>
                <w:color w:val="000000"/>
                <w:sz w:val="15"/>
                <w:szCs w:val="15"/>
              </w:rPr>
              <w:t>2010</w:t>
            </w:r>
          </w:p>
        </w:tc>
        <w:tc>
          <w:tcPr>
            <w:tcW w:w="471" w:type="pct"/>
            <w:tcBorders>
              <w:left w:val="nil"/>
              <w:right w:val="nil"/>
            </w:tcBorders>
            <w:vAlign w:val="center"/>
          </w:tcPr>
          <w:p w:rsidR="00565FD5" w:rsidRPr="008D0643" w:rsidRDefault="00565FD5" w:rsidP="00AB62A3">
            <w:pPr>
              <w:jc w:val="center"/>
              <w:rPr>
                <w:rFonts w:cs="Tahoma"/>
                <w:b/>
                <w:color w:val="000000"/>
                <w:sz w:val="15"/>
                <w:szCs w:val="15"/>
              </w:rPr>
            </w:pPr>
            <w:r w:rsidRPr="008D0643">
              <w:rPr>
                <w:rFonts w:cs="Tahoma"/>
                <w:b/>
                <w:color w:val="000000"/>
                <w:sz w:val="15"/>
                <w:szCs w:val="15"/>
              </w:rPr>
              <w:t>2011</w:t>
            </w:r>
          </w:p>
        </w:tc>
        <w:tc>
          <w:tcPr>
            <w:tcW w:w="496" w:type="pct"/>
            <w:tcBorders>
              <w:left w:val="nil"/>
            </w:tcBorders>
            <w:tcMar>
              <w:top w:w="0" w:type="dxa"/>
              <w:left w:w="108" w:type="dxa"/>
              <w:bottom w:w="0" w:type="dxa"/>
              <w:right w:w="108" w:type="dxa"/>
            </w:tcMar>
            <w:vAlign w:val="center"/>
          </w:tcPr>
          <w:p w:rsidR="00565FD5" w:rsidRPr="008D0643" w:rsidRDefault="00565FD5" w:rsidP="00AB62A3">
            <w:pPr>
              <w:jc w:val="center"/>
              <w:rPr>
                <w:rFonts w:cs="Tahoma"/>
                <w:b/>
                <w:color w:val="000000"/>
                <w:sz w:val="15"/>
                <w:szCs w:val="15"/>
              </w:rPr>
            </w:pPr>
            <w:r w:rsidRPr="008D0643">
              <w:rPr>
                <w:rFonts w:cs="Tahoma"/>
                <w:b/>
                <w:color w:val="000000"/>
                <w:sz w:val="15"/>
                <w:szCs w:val="15"/>
              </w:rPr>
              <w:t>2012</w:t>
            </w:r>
          </w:p>
        </w:tc>
      </w:tr>
      <w:tr w:rsidR="00565FD5" w:rsidRPr="008D0643" w:rsidTr="00AB62A3">
        <w:trPr>
          <w:trHeight w:val="227"/>
          <w:jc w:val="center"/>
        </w:trPr>
        <w:tc>
          <w:tcPr>
            <w:tcW w:w="2288" w:type="pct"/>
            <w:tcBorders>
              <w:bottom w:val="nil"/>
              <w:right w:val="nil"/>
            </w:tcBorders>
            <w:tcMar>
              <w:top w:w="0" w:type="dxa"/>
              <w:left w:w="108" w:type="dxa"/>
              <w:bottom w:w="0" w:type="dxa"/>
              <w:right w:w="108" w:type="dxa"/>
            </w:tcMar>
            <w:vAlign w:val="center"/>
          </w:tcPr>
          <w:p w:rsidR="00565FD5" w:rsidRPr="008D0643" w:rsidRDefault="00565FD5" w:rsidP="00AB62A3">
            <w:pPr>
              <w:ind w:firstLine="360"/>
              <w:rPr>
                <w:rFonts w:cs="Tahoma"/>
                <w:color w:val="000000"/>
                <w:sz w:val="15"/>
                <w:szCs w:val="15"/>
              </w:rPr>
            </w:pPr>
            <w:r w:rsidRPr="008D0643">
              <w:rPr>
                <w:rFonts w:cs="Tahoma"/>
                <w:color w:val="000000"/>
                <w:sz w:val="15"/>
                <w:szCs w:val="15"/>
              </w:rPr>
              <w:t>Belçika</w:t>
            </w:r>
          </w:p>
        </w:tc>
        <w:tc>
          <w:tcPr>
            <w:tcW w:w="459" w:type="pct"/>
            <w:tcBorders>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1,6</w:t>
            </w:r>
          </w:p>
        </w:tc>
        <w:tc>
          <w:tcPr>
            <w:tcW w:w="407" w:type="pct"/>
            <w:tcBorders>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1,5</w:t>
            </w:r>
          </w:p>
        </w:tc>
        <w:tc>
          <w:tcPr>
            <w:tcW w:w="408" w:type="pct"/>
            <w:tcBorders>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1,7</w:t>
            </w:r>
          </w:p>
        </w:tc>
        <w:tc>
          <w:tcPr>
            <w:tcW w:w="471" w:type="pct"/>
            <w:tcBorders>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1,6</w:t>
            </w:r>
          </w:p>
        </w:tc>
        <w:tc>
          <w:tcPr>
            <w:tcW w:w="471" w:type="pct"/>
            <w:tcBorders>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1,7</w:t>
            </w:r>
          </w:p>
        </w:tc>
        <w:tc>
          <w:tcPr>
            <w:tcW w:w="496" w:type="pct"/>
            <w:tcBorders>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1,8</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firstLine="360"/>
              <w:rPr>
                <w:rFonts w:cs="Tahoma"/>
                <w:color w:val="000000"/>
                <w:sz w:val="15"/>
                <w:szCs w:val="15"/>
              </w:rPr>
            </w:pPr>
            <w:r w:rsidRPr="008D0643">
              <w:rPr>
                <w:rFonts w:cs="Tahoma"/>
                <w:color w:val="000000"/>
                <w:sz w:val="15"/>
                <w:szCs w:val="15"/>
              </w:rPr>
              <w:t>Almanya</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1,5</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1,6</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1,7</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1,6</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1,6</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1,5</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firstLine="360"/>
              <w:rPr>
                <w:rFonts w:cs="Tahoma"/>
                <w:color w:val="000000"/>
                <w:sz w:val="15"/>
                <w:szCs w:val="15"/>
              </w:rPr>
            </w:pPr>
            <w:r w:rsidRPr="008D0643">
              <w:rPr>
                <w:rFonts w:cs="Tahoma"/>
                <w:color w:val="000000"/>
                <w:sz w:val="15"/>
                <w:szCs w:val="15"/>
              </w:rPr>
              <w:t>Estonya</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5,1</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5,2</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5,1</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3,9</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4,2</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5,5</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firstLine="360"/>
              <w:rPr>
                <w:rFonts w:cs="Tahoma"/>
                <w:color w:val="000000"/>
                <w:sz w:val="15"/>
                <w:szCs w:val="15"/>
              </w:rPr>
            </w:pPr>
            <w:r w:rsidRPr="008D0643">
              <w:rPr>
                <w:rFonts w:cs="Tahoma"/>
                <w:color w:val="000000"/>
                <w:sz w:val="15"/>
                <w:szCs w:val="15"/>
              </w:rPr>
              <w:t>İrlanda</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4,6</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5,2</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4,0</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3,9</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3,3</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2,7</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firstLine="360"/>
              <w:rPr>
                <w:rFonts w:cs="Tahoma"/>
                <w:color w:val="000000"/>
                <w:sz w:val="15"/>
                <w:szCs w:val="15"/>
              </w:rPr>
            </w:pPr>
            <w:r w:rsidRPr="008D0643">
              <w:rPr>
                <w:rFonts w:cs="Tahoma"/>
                <w:color w:val="000000"/>
                <w:sz w:val="15"/>
                <w:szCs w:val="15"/>
              </w:rPr>
              <w:t>Yunanistan</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3,7</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3,1</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2,2</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1,6</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2,5</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firstLine="360"/>
              <w:rPr>
                <w:rFonts w:cs="Tahoma"/>
                <w:color w:val="000000"/>
                <w:sz w:val="15"/>
                <w:szCs w:val="15"/>
              </w:rPr>
            </w:pPr>
            <w:r w:rsidRPr="008D0643">
              <w:rPr>
                <w:rFonts w:cs="Tahoma"/>
                <w:color w:val="000000"/>
                <w:sz w:val="15"/>
                <w:szCs w:val="15"/>
              </w:rPr>
              <w:t>İspanya</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4,0</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4,0</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4,5</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3,8</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2,8</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1,9</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firstLine="360"/>
              <w:rPr>
                <w:rFonts w:cs="Tahoma"/>
                <w:color w:val="000000"/>
                <w:sz w:val="15"/>
                <w:szCs w:val="15"/>
              </w:rPr>
            </w:pPr>
            <w:r w:rsidRPr="008D0643">
              <w:rPr>
                <w:rFonts w:cs="Tahoma"/>
                <w:color w:val="000000"/>
                <w:sz w:val="15"/>
                <w:szCs w:val="15"/>
              </w:rPr>
              <w:t>Fransa</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3,3</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3,2</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3,4</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3,1</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3,1</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firstLine="360"/>
              <w:rPr>
                <w:rFonts w:cs="Tahoma"/>
                <w:color w:val="000000"/>
                <w:sz w:val="15"/>
                <w:szCs w:val="15"/>
              </w:rPr>
            </w:pPr>
            <w:r w:rsidRPr="008D0643">
              <w:rPr>
                <w:rFonts w:cs="Tahoma"/>
                <w:color w:val="000000"/>
                <w:sz w:val="15"/>
                <w:szCs w:val="15"/>
              </w:rPr>
              <w:t>İtalya</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2,2</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2,5</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2,1</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2,0</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1,8</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firstLine="360"/>
              <w:rPr>
                <w:rFonts w:cs="Tahoma"/>
                <w:color w:val="000000"/>
                <w:sz w:val="15"/>
                <w:szCs w:val="15"/>
              </w:rPr>
            </w:pPr>
            <w:r w:rsidRPr="008D0643">
              <w:rPr>
                <w:rFonts w:cs="Tahoma"/>
                <w:color w:val="000000"/>
                <w:sz w:val="15"/>
                <w:szCs w:val="15"/>
              </w:rPr>
              <w:t>Lüksemburg</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3,3</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3,2</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3,7</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4,0</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4,0</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3,9</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left="-180" w:firstLine="540"/>
              <w:rPr>
                <w:rFonts w:cs="Tahoma"/>
                <w:color w:val="000000"/>
                <w:sz w:val="15"/>
                <w:szCs w:val="15"/>
              </w:rPr>
            </w:pPr>
            <w:r w:rsidRPr="008D0643">
              <w:rPr>
                <w:rFonts w:cs="Tahoma"/>
                <w:color w:val="000000"/>
                <w:sz w:val="15"/>
                <w:szCs w:val="15"/>
              </w:rPr>
              <w:t>Malta</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3,8</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2,4</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2,2</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2,2</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2,5</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2,6</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firstLine="360"/>
              <w:rPr>
                <w:rFonts w:cs="Tahoma"/>
                <w:color w:val="000000"/>
                <w:sz w:val="15"/>
                <w:szCs w:val="15"/>
              </w:rPr>
            </w:pPr>
            <w:r w:rsidRPr="008D0643">
              <w:rPr>
                <w:rFonts w:cs="Tahoma"/>
                <w:color w:val="000000"/>
                <w:sz w:val="15"/>
                <w:szCs w:val="15"/>
              </w:rPr>
              <w:t>Hollanda</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3,3</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3,5</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3,8</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3,6</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3,5</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3,5</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firstLine="360"/>
              <w:rPr>
                <w:rFonts w:cs="Tahoma"/>
                <w:color w:val="000000"/>
                <w:sz w:val="15"/>
                <w:szCs w:val="15"/>
              </w:rPr>
            </w:pPr>
            <w:r w:rsidRPr="008D0643">
              <w:rPr>
                <w:rFonts w:cs="Tahoma"/>
                <w:color w:val="000000"/>
                <w:sz w:val="15"/>
                <w:szCs w:val="15"/>
              </w:rPr>
              <w:t>Avusturya</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1,1</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1,1</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1,2</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1,1</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1,0</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1,0</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firstLine="360"/>
              <w:rPr>
                <w:rFonts w:cs="Tahoma"/>
                <w:color w:val="000000"/>
                <w:sz w:val="15"/>
                <w:szCs w:val="15"/>
              </w:rPr>
            </w:pPr>
            <w:r w:rsidRPr="008D0643">
              <w:rPr>
                <w:rFonts w:cs="Tahoma"/>
                <w:color w:val="000000"/>
                <w:sz w:val="15"/>
                <w:szCs w:val="15"/>
              </w:rPr>
              <w:t>Portekiz</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2,7</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2,9</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3,0</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3,6</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2,6</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2,0</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firstLine="360"/>
              <w:rPr>
                <w:rFonts w:cs="Tahoma"/>
                <w:color w:val="000000"/>
                <w:sz w:val="15"/>
                <w:szCs w:val="15"/>
              </w:rPr>
            </w:pPr>
            <w:r w:rsidRPr="008D0643">
              <w:rPr>
                <w:rFonts w:cs="Tahoma"/>
                <w:color w:val="000000"/>
                <w:sz w:val="15"/>
                <w:szCs w:val="15"/>
              </w:rPr>
              <w:t>Slovenya</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4,2</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4,4</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4,6</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4,3</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3,6</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3,2</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left="-180" w:firstLine="540"/>
              <w:rPr>
                <w:rFonts w:cs="Tahoma"/>
                <w:color w:val="000000"/>
                <w:sz w:val="15"/>
                <w:szCs w:val="15"/>
              </w:rPr>
            </w:pPr>
            <w:r w:rsidRPr="008D0643">
              <w:rPr>
                <w:rFonts w:cs="Tahoma"/>
                <w:color w:val="000000"/>
                <w:sz w:val="15"/>
                <w:szCs w:val="15"/>
              </w:rPr>
              <w:t>Slovakya</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1,9</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2,0</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2,3</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2,6</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2,3</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2,1</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bottom"/>
          </w:tcPr>
          <w:p w:rsidR="00565FD5" w:rsidRPr="008D0643" w:rsidRDefault="00565FD5" w:rsidP="00AB62A3">
            <w:pPr>
              <w:ind w:firstLine="360"/>
              <w:rPr>
                <w:rFonts w:cs="Tahoma"/>
                <w:color w:val="000000"/>
                <w:sz w:val="15"/>
                <w:szCs w:val="15"/>
              </w:rPr>
            </w:pPr>
            <w:r w:rsidRPr="008D0643">
              <w:rPr>
                <w:rFonts w:cs="Tahoma"/>
                <w:color w:val="000000"/>
                <w:sz w:val="15"/>
                <w:szCs w:val="15"/>
              </w:rPr>
              <w:t>Finlandiya</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2,4</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2,5</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2,8</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2,5</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2,5</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2,5</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rPr>
                <w:rFonts w:cs="Tahoma"/>
                <w:b/>
                <w:bCs/>
                <w:color w:val="000000"/>
                <w:sz w:val="15"/>
                <w:szCs w:val="15"/>
              </w:rPr>
            </w:pPr>
            <w:r w:rsidRPr="008D0643">
              <w:rPr>
                <w:rFonts w:cs="Tahoma"/>
                <w:b/>
                <w:bCs/>
                <w:color w:val="000000"/>
                <w:sz w:val="15"/>
                <w:szCs w:val="15"/>
              </w:rPr>
              <w:lastRenderedPageBreak/>
              <w:t>Avro Bölgesi Ülke. Ort. (17 Ülke)</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3,0</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3,0</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3,2</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2,9</w:t>
            </w:r>
          </w:p>
        </w:tc>
        <w:tc>
          <w:tcPr>
            <w:tcW w:w="471" w:type="pct"/>
            <w:tcBorders>
              <w:top w:val="nil"/>
              <w:left w:val="nil"/>
              <w:bottom w:val="nil"/>
              <w:right w:val="nil"/>
            </w:tcBorders>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2,7</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2,6</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left="-180" w:firstLine="540"/>
              <w:rPr>
                <w:rFonts w:cs="Tahoma"/>
                <w:color w:val="000000"/>
                <w:sz w:val="15"/>
                <w:szCs w:val="15"/>
              </w:rPr>
            </w:pPr>
            <w:r w:rsidRPr="008D0643">
              <w:rPr>
                <w:rFonts w:cs="Tahoma"/>
                <w:color w:val="000000"/>
                <w:sz w:val="15"/>
                <w:szCs w:val="15"/>
              </w:rPr>
              <w:t>Bulgaristan</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5,2</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5,6</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4,9</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4,6</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3,2</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3,3</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left="-180" w:firstLine="540"/>
              <w:rPr>
                <w:rFonts w:cs="Tahoma"/>
                <w:color w:val="000000"/>
                <w:sz w:val="15"/>
                <w:szCs w:val="15"/>
              </w:rPr>
            </w:pPr>
            <w:r w:rsidRPr="008D0643">
              <w:rPr>
                <w:rFonts w:cs="Tahoma"/>
                <w:color w:val="000000"/>
                <w:sz w:val="15"/>
                <w:szCs w:val="15"/>
              </w:rPr>
              <w:t>Çek Cumhuriyeti</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4,2</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4,6</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5,1</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4,3</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3,6</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3,7</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left="-180" w:firstLine="540"/>
              <w:rPr>
                <w:rFonts w:cs="Tahoma"/>
                <w:color w:val="000000"/>
                <w:sz w:val="15"/>
                <w:szCs w:val="15"/>
              </w:rPr>
            </w:pPr>
            <w:r w:rsidRPr="008D0643">
              <w:rPr>
                <w:rFonts w:cs="Tahoma"/>
                <w:color w:val="000000"/>
                <w:sz w:val="15"/>
                <w:szCs w:val="15"/>
              </w:rPr>
              <w:t>Danimarka</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1,9</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1,9</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2,0</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2,1</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2,1</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2,4</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left="-180" w:firstLine="540"/>
              <w:rPr>
                <w:rFonts w:cs="Tahoma"/>
                <w:color w:val="000000"/>
                <w:sz w:val="15"/>
                <w:szCs w:val="15"/>
              </w:rPr>
            </w:pPr>
            <w:r w:rsidRPr="008D0643">
              <w:rPr>
                <w:rFonts w:cs="Tahoma"/>
                <w:color w:val="000000"/>
                <w:sz w:val="15"/>
                <w:szCs w:val="15"/>
              </w:rPr>
              <w:t>Letonya</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5,7</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4,9</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4,3</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3,7</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4,2</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4,2</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left="-180" w:firstLine="540"/>
              <w:rPr>
                <w:rFonts w:cs="Tahoma"/>
                <w:color w:val="000000"/>
                <w:sz w:val="15"/>
                <w:szCs w:val="15"/>
              </w:rPr>
            </w:pPr>
            <w:r w:rsidRPr="008D0643">
              <w:rPr>
                <w:rFonts w:cs="Tahoma"/>
                <w:color w:val="000000"/>
                <w:sz w:val="15"/>
                <w:szCs w:val="15"/>
              </w:rPr>
              <w:t>Litvanya</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5,2</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4,9</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3,9</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4,6</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4,2</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4,2</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left="-180" w:firstLine="540"/>
              <w:rPr>
                <w:rFonts w:cs="Tahoma"/>
                <w:color w:val="000000"/>
                <w:sz w:val="15"/>
                <w:szCs w:val="15"/>
              </w:rPr>
            </w:pPr>
            <w:r w:rsidRPr="008D0643">
              <w:rPr>
                <w:rFonts w:cs="Tahoma"/>
                <w:color w:val="000000"/>
                <w:sz w:val="15"/>
                <w:szCs w:val="15"/>
              </w:rPr>
              <w:t>Macaristan</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3,7</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2,9</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3,1</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3,4</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2,9</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4,4</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left="-180" w:firstLine="540"/>
              <w:rPr>
                <w:rFonts w:cs="Tahoma"/>
                <w:color w:val="000000"/>
                <w:sz w:val="15"/>
                <w:szCs w:val="15"/>
              </w:rPr>
            </w:pPr>
            <w:r w:rsidRPr="008D0643">
              <w:rPr>
                <w:rFonts w:cs="Tahoma"/>
                <w:color w:val="000000"/>
                <w:sz w:val="15"/>
                <w:szCs w:val="15"/>
              </w:rPr>
              <w:t>Polonya</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4,2</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4,6</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5,2</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5,6</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5,8</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5,6</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left="-180" w:firstLine="540"/>
              <w:rPr>
                <w:rFonts w:cs="Tahoma"/>
                <w:color w:val="000000"/>
                <w:sz w:val="15"/>
                <w:szCs w:val="15"/>
              </w:rPr>
            </w:pPr>
            <w:r w:rsidRPr="008D0643">
              <w:rPr>
                <w:rFonts w:cs="Tahoma"/>
                <w:color w:val="000000"/>
                <w:sz w:val="15"/>
                <w:szCs w:val="15"/>
              </w:rPr>
              <w:t>Romanya</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6,2</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6,6</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5,9</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5,7</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5,2</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5,5</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left="-180" w:firstLine="540"/>
              <w:rPr>
                <w:rFonts w:cs="Tahoma"/>
                <w:color w:val="000000"/>
                <w:sz w:val="15"/>
                <w:szCs w:val="15"/>
              </w:rPr>
            </w:pPr>
            <w:r w:rsidRPr="008D0643">
              <w:rPr>
                <w:rFonts w:cs="Tahoma"/>
                <w:color w:val="000000"/>
                <w:sz w:val="15"/>
                <w:szCs w:val="15"/>
              </w:rPr>
              <w:t>İsveç</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3,3</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3,5</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3,5</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3,4</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3,5</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ind w:left="-180" w:firstLine="540"/>
              <w:rPr>
                <w:rFonts w:cs="Tahoma"/>
                <w:color w:val="000000"/>
                <w:sz w:val="15"/>
                <w:szCs w:val="15"/>
              </w:rPr>
            </w:pPr>
            <w:r w:rsidRPr="008D0643">
              <w:rPr>
                <w:rFonts w:cs="Tahoma"/>
                <w:color w:val="000000"/>
                <w:sz w:val="15"/>
                <w:szCs w:val="15"/>
              </w:rPr>
              <w:t>İngiltere</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1,9</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2,3</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2,7</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2,5</w:t>
            </w:r>
          </w:p>
        </w:tc>
        <w:tc>
          <w:tcPr>
            <w:tcW w:w="471" w:type="pct"/>
            <w:tcBorders>
              <w:top w:val="nil"/>
              <w:left w:val="nil"/>
              <w:bottom w:val="nil"/>
              <w:right w:val="nil"/>
            </w:tcBorders>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2,2</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color w:val="000000"/>
                <w:sz w:val="15"/>
                <w:szCs w:val="15"/>
              </w:rPr>
            </w:pPr>
            <w:r w:rsidRPr="008D0643">
              <w:rPr>
                <w:rFonts w:cs="Tahoma"/>
                <w:color w:val="000000"/>
                <w:sz w:val="15"/>
                <w:szCs w:val="15"/>
              </w:rPr>
              <w:t>2,2</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rPr>
                <w:rFonts w:cs="Tahoma"/>
                <w:b/>
                <w:bCs/>
                <w:color w:val="000000"/>
                <w:sz w:val="15"/>
                <w:szCs w:val="15"/>
              </w:rPr>
            </w:pPr>
            <w:r w:rsidRPr="008D0643">
              <w:rPr>
                <w:rFonts w:cs="Tahoma"/>
                <w:b/>
                <w:bCs/>
                <w:color w:val="000000"/>
                <w:sz w:val="15"/>
                <w:szCs w:val="15"/>
              </w:rPr>
              <w:t>Avro Bölgesi Dışı AB Ülke. Ort. (10 Ülke)</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4,1</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4,2</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4,0</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4,0</w:t>
            </w:r>
          </w:p>
        </w:tc>
        <w:tc>
          <w:tcPr>
            <w:tcW w:w="471" w:type="pct"/>
            <w:tcBorders>
              <w:top w:val="nil"/>
              <w:left w:val="nil"/>
              <w:bottom w:val="nil"/>
              <w:right w:val="nil"/>
            </w:tcBorders>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3,7</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3,9</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rPr>
                <w:rFonts w:cs="Tahoma"/>
                <w:b/>
                <w:bCs/>
                <w:color w:val="000000"/>
                <w:sz w:val="15"/>
                <w:szCs w:val="15"/>
              </w:rPr>
            </w:pPr>
            <w:r w:rsidRPr="008D0643">
              <w:rPr>
                <w:rFonts w:cs="Tahoma"/>
                <w:b/>
                <w:bCs/>
                <w:color w:val="000000"/>
                <w:sz w:val="15"/>
                <w:szCs w:val="15"/>
              </w:rPr>
              <w:t>AB Ülkeleri Ort. (27 Ülke)</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3,5</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3,5</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3,3</w:t>
            </w:r>
          </w:p>
        </w:tc>
        <w:tc>
          <w:tcPr>
            <w:tcW w:w="471" w:type="pct"/>
            <w:tcBorders>
              <w:top w:val="nil"/>
              <w:left w:val="nil"/>
              <w:bottom w:val="nil"/>
              <w:right w:val="nil"/>
            </w:tcBorders>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3,1</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rPr>
                <w:rFonts w:cs="Tahoma"/>
                <w:b/>
                <w:bCs/>
                <w:color w:val="000000"/>
                <w:sz w:val="15"/>
                <w:szCs w:val="15"/>
              </w:rPr>
            </w:pPr>
            <w:r w:rsidRPr="008D0643">
              <w:rPr>
                <w:rFonts w:cs="Tahoma"/>
                <w:b/>
                <w:bCs/>
                <w:color w:val="000000"/>
                <w:sz w:val="15"/>
                <w:szCs w:val="15"/>
              </w:rPr>
              <w:t>ABD</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2,4</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2,6</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2,6</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2,5</w:t>
            </w:r>
          </w:p>
        </w:tc>
        <w:tc>
          <w:tcPr>
            <w:tcW w:w="471" w:type="pct"/>
            <w:tcBorders>
              <w:top w:val="nil"/>
              <w:left w:val="nil"/>
              <w:bottom w:val="nil"/>
              <w:right w:val="nil"/>
            </w:tcBorders>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2,3</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2,2</w:t>
            </w:r>
          </w:p>
        </w:tc>
      </w:tr>
      <w:tr w:rsidR="00565FD5" w:rsidRPr="008D0643" w:rsidTr="00AB62A3">
        <w:trPr>
          <w:trHeight w:val="227"/>
          <w:jc w:val="center"/>
        </w:trPr>
        <w:tc>
          <w:tcPr>
            <w:tcW w:w="2288" w:type="pct"/>
            <w:tcBorders>
              <w:top w:val="nil"/>
              <w:bottom w:val="nil"/>
              <w:right w:val="nil"/>
            </w:tcBorders>
            <w:tcMar>
              <w:top w:w="0" w:type="dxa"/>
              <w:left w:w="108" w:type="dxa"/>
              <w:bottom w:w="0" w:type="dxa"/>
              <w:right w:w="108" w:type="dxa"/>
            </w:tcMar>
            <w:vAlign w:val="center"/>
          </w:tcPr>
          <w:p w:rsidR="00565FD5" w:rsidRPr="008D0643" w:rsidRDefault="00565FD5" w:rsidP="00AB62A3">
            <w:pPr>
              <w:rPr>
                <w:rFonts w:cs="Tahoma"/>
                <w:b/>
                <w:bCs/>
                <w:color w:val="000000"/>
                <w:sz w:val="15"/>
                <w:szCs w:val="15"/>
              </w:rPr>
            </w:pPr>
            <w:r w:rsidRPr="008D0643">
              <w:rPr>
                <w:rFonts w:cs="Tahoma"/>
                <w:b/>
                <w:bCs/>
                <w:color w:val="000000"/>
                <w:sz w:val="15"/>
                <w:szCs w:val="15"/>
              </w:rPr>
              <w:t>Japonya</w:t>
            </w:r>
          </w:p>
        </w:tc>
        <w:tc>
          <w:tcPr>
            <w:tcW w:w="459"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3,0</w:t>
            </w:r>
          </w:p>
        </w:tc>
        <w:tc>
          <w:tcPr>
            <w:tcW w:w="408"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3,4</w:t>
            </w:r>
          </w:p>
        </w:tc>
        <w:tc>
          <w:tcPr>
            <w:tcW w:w="471" w:type="pct"/>
            <w:tcBorders>
              <w:top w:val="nil"/>
              <w:left w:val="nil"/>
              <w:bottom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3,3</w:t>
            </w:r>
          </w:p>
        </w:tc>
        <w:tc>
          <w:tcPr>
            <w:tcW w:w="471" w:type="pct"/>
            <w:tcBorders>
              <w:top w:val="nil"/>
              <w:left w:val="nil"/>
              <w:bottom w:val="nil"/>
              <w:right w:val="nil"/>
            </w:tcBorders>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3,3</w:t>
            </w:r>
          </w:p>
        </w:tc>
        <w:tc>
          <w:tcPr>
            <w:tcW w:w="496" w:type="pct"/>
            <w:tcBorders>
              <w:top w:val="nil"/>
              <w:left w:val="nil"/>
              <w:bottom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3,6</w:t>
            </w:r>
          </w:p>
        </w:tc>
      </w:tr>
      <w:tr w:rsidR="00565FD5" w:rsidRPr="008D0643" w:rsidTr="00AB62A3">
        <w:trPr>
          <w:trHeight w:val="227"/>
          <w:jc w:val="center"/>
        </w:trPr>
        <w:tc>
          <w:tcPr>
            <w:tcW w:w="2288" w:type="pct"/>
            <w:tcBorders>
              <w:top w:val="nil"/>
              <w:right w:val="nil"/>
            </w:tcBorders>
            <w:tcMar>
              <w:top w:w="0" w:type="dxa"/>
              <w:left w:w="108" w:type="dxa"/>
              <w:bottom w:w="0" w:type="dxa"/>
              <w:right w:w="108" w:type="dxa"/>
            </w:tcMar>
            <w:vAlign w:val="center"/>
          </w:tcPr>
          <w:p w:rsidR="00565FD5" w:rsidRPr="008D0643" w:rsidRDefault="00565FD5" w:rsidP="00AB62A3">
            <w:pPr>
              <w:rPr>
                <w:rFonts w:cs="Tahoma"/>
                <w:b/>
                <w:bCs/>
                <w:color w:val="000000"/>
                <w:sz w:val="15"/>
                <w:szCs w:val="15"/>
              </w:rPr>
            </w:pPr>
            <w:r w:rsidRPr="008D0643">
              <w:rPr>
                <w:rFonts w:cs="Tahoma"/>
                <w:b/>
                <w:color w:val="000000"/>
                <w:sz w:val="15"/>
                <w:szCs w:val="15"/>
              </w:rPr>
              <w:t>Türkiye</w:t>
            </w:r>
          </w:p>
        </w:tc>
        <w:tc>
          <w:tcPr>
            <w:tcW w:w="459" w:type="pct"/>
            <w:tcBorders>
              <w:top w:val="nil"/>
              <w:left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3,1</w:t>
            </w:r>
          </w:p>
        </w:tc>
        <w:tc>
          <w:tcPr>
            <w:tcW w:w="407" w:type="pct"/>
            <w:tcBorders>
              <w:top w:val="nil"/>
              <w:left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3,4</w:t>
            </w:r>
          </w:p>
        </w:tc>
        <w:tc>
          <w:tcPr>
            <w:tcW w:w="408" w:type="pct"/>
            <w:tcBorders>
              <w:top w:val="nil"/>
              <w:left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3,3</w:t>
            </w:r>
          </w:p>
        </w:tc>
        <w:tc>
          <w:tcPr>
            <w:tcW w:w="471" w:type="pct"/>
            <w:tcBorders>
              <w:top w:val="nil"/>
              <w:left w:val="nil"/>
              <w:righ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3,4</w:t>
            </w:r>
          </w:p>
        </w:tc>
        <w:tc>
          <w:tcPr>
            <w:tcW w:w="471" w:type="pct"/>
            <w:tcBorders>
              <w:top w:val="nil"/>
              <w:left w:val="nil"/>
              <w:right w:val="nil"/>
            </w:tcBorders>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3,3</w:t>
            </w:r>
          </w:p>
        </w:tc>
        <w:tc>
          <w:tcPr>
            <w:tcW w:w="496" w:type="pct"/>
            <w:tcBorders>
              <w:top w:val="nil"/>
              <w:left w:val="nil"/>
            </w:tcBorders>
            <w:tcMar>
              <w:top w:w="0" w:type="dxa"/>
              <w:left w:w="108" w:type="dxa"/>
              <w:bottom w:w="0" w:type="dxa"/>
              <w:right w:w="108" w:type="dxa"/>
            </w:tcMar>
            <w:vAlign w:val="center"/>
          </w:tcPr>
          <w:p w:rsidR="00565FD5" w:rsidRPr="008D0643" w:rsidRDefault="00565FD5" w:rsidP="00AB62A3">
            <w:pPr>
              <w:jc w:val="center"/>
              <w:rPr>
                <w:rFonts w:cs="Tahoma"/>
                <w:b/>
                <w:bCs/>
                <w:color w:val="000000"/>
                <w:sz w:val="15"/>
                <w:szCs w:val="15"/>
              </w:rPr>
            </w:pPr>
            <w:r w:rsidRPr="008D0643">
              <w:rPr>
                <w:rFonts w:cs="Tahoma"/>
                <w:b/>
                <w:bCs/>
                <w:color w:val="000000"/>
                <w:sz w:val="15"/>
                <w:szCs w:val="15"/>
              </w:rPr>
              <w:t>3,5</w:t>
            </w:r>
          </w:p>
        </w:tc>
      </w:tr>
    </w:tbl>
    <w:p w:rsidR="00565FD5" w:rsidRDefault="00565FD5" w:rsidP="00565FD5">
      <w:pPr>
        <w:spacing w:after="240"/>
        <w:rPr>
          <w:rFonts w:cs="Tahoma"/>
          <w:iCs/>
          <w:sz w:val="14"/>
          <w:szCs w:val="14"/>
        </w:rPr>
      </w:pPr>
      <w:r w:rsidRPr="0083212C">
        <w:rPr>
          <w:rFonts w:cs="Tahoma"/>
          <w:sz w:val="14"/>
          <w:szCs w:val="14"/>
        </w:rPr>
        <w:t xml:space="preserve">Kaynak: Avrupa Komisyonu, </w:t>
      </w:r>
      <w:r w:rsidRPr="0083212C">
        <w:rPr>
          <w:rFonts w:cs="Tahoma"/>
          <w:iCs/>
          <w:sz w:val="14"/>
          <w:szCs w:val="14"/>
        </w:rPr>
        <w:t>European Economy</w:t>
      </w:r>
      <w:r w:rsidRPr="0083212C">
        <w:rPr>
          <w:rFonts w:cs="Tahoma"/>
          <w:sz w:val="14"/>
          <w:szCs w:val="14"/>
        </w:rPr>
        <w:t xml:space="preserve"> (</w:t>
      </w:r>
      <w:r w:rsidRPr="0083212C">
        <w:rPr>
          <w:rFonts w:cs="Tahoma"/>
          <w:iCs/>
          <w:sz w:val="14"/>
          <w:szCs w:val="14"/>
        </w:rPr>
        <w:t>Economic Forecasts), İlkbahar 2012, Kalkınma Bakanlığı.</w:t>
      </w:r>
    </w:p>
    <w:p w:rsidR="00565FD5" w:rsidRPr="0083212C" w:rsidRDefault="00565FD5" w:rsidP="00565FD5">
      <w:pPr>
        <w:spacing w:before="120" w:after="240"/>
        <w:ind w:firstLine="425"/>
        <w:rPr>
          <w:rFonts w:cs="Tahoma"/>
          <w:color w:val="000000"/>
          <w:szCs w:val="18"/>
        </w:rPr>
      </w:pPr>
      <w:r w:rsidRPr="0083212C">
        <w:rPr>
          <w:rFonts w:cs="Tahoma"/>
          <w:szCs w:val="18"/>
        </w:rPr>
        <w:t>2012 yılı kamu yatırım uygulamalarında; sektörel, bölgesel ve proje bazındaki</w:t>
      </w:r>
      <w:r w:rsidRPr="0083212C">
        <w:rPr>
          <w:rFonts w:cs="Tahoma"/>
          <w:color w:val="000000"/>
          <w:szCs w:val="18"/>
        </w:rPr>
        <w:t xml:space="preserve"> öncelikler dikkate alınarak </w:t>
      </w:r>
      <w:r w:rsidRPr="0083212C">
        <w:rPr>
          <w:rFonts w:cs="Tahoma"/>
          <w:szCs w:val="18"/>
        </w:rPr>
        <w:t xml:space="preserve">ekonomik ve sosyal altyapıyı geliştirecek yatırımlara </w:t>
      </w:r>
      <w:r w:rsidRPr="0083212C">
        <w:rPr>
          <w:rFonts w:cs="Tahoma"/>
          <w:color w:val="000000"/>
          <w:szCs w:val="18"/>
        </w:rPr>
        <w:t>ağırlık verilmiştir.</w:t>
      </w:r>
    </w:p>
    <w:p w:rsidR="00565FD5" w:rsidRDefault="00565FD5" w:rsidP="00565FD5">
      <w:pPr>
        <w:spacing w:after="180"/>
        <w:ind w:firstLine="425"/>
        <w:rPr>
          <w:rFonts w:cs="Tahoma"/>
          <w:szCs w:val="18"/>
        </w:rPr>
      </w:pPr>
      <w:r w:rsidRPr="0083212C">
        <w:rPr>
          <w:rFonts w:cs="Tahoma"/>
          <w:szCs w:val="18"/>
        </w:rPr>
        <w:t>2012 yılında, mahalli idare yatırımları ve yatırım işçilik giderleri hariç olmak üzere, ülkemizde; toplam tutarı 362 milyar TL, 2011 yılı sonu kümülatif harcaması 162,9 milyar TL ve 2012 yılı başlangıç ödeneği 38,2 milyar TL olan 2.622 k</w:t>
      </w:r>
      <w:bookmarkStart w:id="522" w:name="_Toc213071585"/>
      <w:r w:rsidRPr="0083212C">
        <w:rPr>
          <w:rFonts w:cs="Tahoma"/>
          <w:szCs w:val="18"/>
        </w:rPr>
        <w:t>amu yatırım projesi yürütülmektedir.</w:t>
      </w:r>
    </w:p>
    <w:p w:rsidR="00565FD5" w:rsidRPr="008D0643" w:rsidRDefault="00565FD5" w:rsidP="00565FD5">
      <w:pPr>
        <w:spacing w:after="180"/>
        <w:ind w:firstLine="425"/>
        <w:rPr>
          <w:rFonts w:cs="Tahoma"/>
          <w:szCs w:val="18"/>
        </w:rPr>
      </w:pPr>
    </w:p>
    <w:p w:rsidR="00565FD5" w:rsidRPr="0083212C" w:rsidRDefault="00565FD5" w:rsidP="00565FD5">
      <w:pPr>
        <w:pStyle w:val="ResimYazs"/>
        <w:rPr>
          <w:b w:val="0"/>
          <w:color w:val="000000"/>
        </w:rPr>
      </w:pPr>
      <w:bookmarkStart w:id="523" w:name="_Toc338605968"/>
      <w:bookmarkStart w:id="524" w:name="_Toc338711743"/>
      <w:r>
        <w:t xml:space="preserve">TABLO II: </w:t>
      </w:r>
      <w:fldSimple w:instr=" SEQ TABLO_II: \* ARABIC ">
        <w:r>
          <w:rPr>
            <w:noProof/>
          </w:rPr>
          <w:t>16</w:t>
        </w:r>
      </w:fldSimple>
      <w:r w:rsidRPr="008D0643">
        <w:rPr>
          <w:bCs/>
          <w:color w:val="000000"/>
        </w:rPr>
        <w:t>- Türkiye’de Kamu Yatırımları (2003-2012)</w:t>
      </w:r>
      <w:r w:rsidRPr="0083212C">
        <w:rPr>
          <w:b w:val="0"/>
          <w:bCs/>
          <w:color w:val="000000"/>
        </w:rPr>
        <w:t xml:space="preserve"> (1)</w:t>
      </w:r>
      <w:bookmarkEnd w:id="523"/>
      <w:bookmarkEnd w:id="524"/>
    </w:p>
    <w:tbl>
      <w:tblPr>
        <w:tblW w:w="7144" w:type="dxa"/>
        <w:jc w:val="center"/>
        <w:tblBorders>
          <w:top w:val="single" w:sz="4" w:space="0" w:color="auto"/>
          <w:left w:val="single" w:sz="4" w:space="0" w:color="auto"/>
          <w:bottom w:val="single" w:sz="4" w:space="0" w:color="auto"/>
          <w:right w:val="single" w:sz="4" w:space="0" w:color="auto"/>
        </w:tblBorders>
        <w:tblLook w:val="00A0"/>
      </w:tblPr>
      <w:tblGrid>
        <w:gridCol w:w="1300"/>
        <w:gridCol w:w="585"/>
        <w:gridCol w:w="585"/>
        <w:gridCol w:w="585"/>
        <w:gridCol w:w="585"/>
        <w:gridCol w:w="584"/>
        <w:gridCol w:w="584"/>
        <w:gridCol w:w="584"/>
        <w:gridCol w:w="584"/>
        <w:gridCol w:w="584"/>
        <w:gridCol w:w="584"/>
      </w:tblGrid>
      <w:tr w:rsidR="00565FD5" w:rsidRPr="00CB76AC" w:rsidTr="00AB62A3">
        <w:trPr>
          <w:trHeight w:val="397"/>
          <w:jc w:val="center"/>
        </w:trPr>
        <w:tc>
          <w:tcPr>
            <w:tcW w:w="909" w:type="pct"/>
            <w:tcBorders>
              <w:top w:val="single" w:sz="4" w:space="0" w:color="auto"/>
              <w:bottom w:val="single" w:sz="4" w:space="0" w:color="auto"/>
              <w:right w:val="single" w:sz="4" w:space="0" w:color="auto"/>
            </w:tcBorders>
            <w:vAlign w:val="center"/>
          </w:tcPr>
          <w:p w:rsidR="00565FD5" w:rsidRPr="00CB76AC" w:rsidRDefault="00565FD5" w:rsidP="00AB62A3">
            <w:pPr>
              <w:rPr>
                <w:rFonts w:cs="Tahoma"/>
                <w:color w:val="000000"/>
                <w:sz w:val="14"/>
                <w:szCs w:val="14"/>
              </w:rPr>
            </w:pP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b/>
                <w:bCs/>
                <w:color w:val="000000"/>
                <w:sz w:val="14"/>
                <w:szCs w:val="14"/>
              </w:rPr>
            </w:pPr>
            <w:r w:rsidRPr="00CB76AC">
              <w:rPr>
                <w:rFonts w:cs="Tahoma"/>
                <w:b/>
                <w:bCs/>
                <w:color w:val="000000"/>
                <w:sz w:val="14"/>
                <w:szCs w:val="14"/>
              </w:rPr>
              <w:t>2003</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b/>
                <w:bCs/>
                <w:color w:val="000000"/>
                <w:sz w:val="14"/>
                <w:szCs w:val="14"/>
              </w:rPr>
            </w:pPr>
            <w:r w:rsidRPr="00CB76AC">
              <w:rPr>
                <w:rFonts w:cs="Tahoma"/>
                <w:b/>
                <w:bCs/>
                <w:color w:val="000000"/>
                <w:sz w:val="14"/>
                <w:szCs w:val="14"/>
              </w:rPr>
              <w:t>2004</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b/>
                <w:bCs/>
                <w:color w:val="000000"/>
                <w:sz w:val="14"/>
                <w:szCs w:val="14"/>
              </w:rPr>
            </w:pPr>
            <w:r w:rsidRPr="00CB76AC">
              <w:rPr>
                <w:rFonts w:cs="Tahoma"/>
                <w:b/>
                <w:bCs/>
                <w:color w:val="000000"/>
                <w:sz w:val="14"/>
                <w:szCs w:val="14"/>
              </w:rPr>
              <w:t>2005</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b/>
                <w:bCs/>
                <w:color w:val="000000"/>
                <w:sz w:val="14"/>
                <w:szCs w:val="14"/>
              </w:rPr>
            </w:pPr>
            <w:r w:rsidRPr="00CB76AC">
              <w:rPr>
                <w:rFonts w:cs="Tahoma"/>
                <w:b/>
                <w:bCs/>
                <w:color w:val="000000"/>
                <w:sz w:val="14"/>
                <w:szCs w:val="14"/>
              </w:rPr>
              <w:t>2006</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b/>
                <w:bCs/>
                <w:color w:val="000000"/>
                <w:sz w:val="14"/>
                <w:szCs w:val="14"/>
              </w:rPr>
            </w:pPr>
            <w:r w:rsidRPr="00CB76AC">
              <w:rPr>
                <w:rFonts w:cs="Tahoma"/>
                <w:b/>
                <w:bCs/>
                <w:color w:val="000000"/>
                <w:sz w:val="14"/>
                <w:szCs w:val="14"/>
              </w:rPr>
              <w:t>2007</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b/>
                <w:bCs/>
                <w:color w:val="000000"/>
                <w:sz w:val="14"/>
                <w:szCs w:val="14"/>
              </w:rPr>
            </w:pPr>
            <w:r w:rsidRPr="00CB76AC">
              <w:rPr>
                <w:rFonts w:cs="Tahoma"/>
                <w:b/>
                <w:bCs/>
                <w:color w:val="000000"/>
                <w:sz w:val="14"/>
                <w:szCs w:val="14"/>
              </w:rPr>
              <w:t>2008</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b/>
                <w:bCs/>
                <w:color w:val="000000"/>
                <w:sz w:val="14"/>
                <w:szCs w:val="14"/>
              </w:rPr>
            </w:pPr>
            <w:r w:rsidRPr="00CB76AC">
              <w:rPr>
                <w:rFonts w:cs="Tahoma"/>
                <w:b/>
                <w:bCs/>
                <w:color w:val="000000"/>
                <w:sz w:val="14"/>
                <w:szCs w:val="14"/>
              </w:rPr>
              <w:t>2009</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b/>
                <w:bCs/>
                <w:color w:val="000000"/>
                <w:sz w:val="14"/>
                <w:szCs w:val="14"/>
              </w:rPr>
              <w:t>2010</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b/>
                <w:bCs/>
                <w:color w:val="000000"/>
                <w:sz w:val="14"/>
                <w:szCs w:val="14"/>
              </w:rPr>
            </w:pPr>
            <w:r w:rsidRPr="00CB76AC">
              <w:rPr>
                <w:rFonts w:cs="Tahoma"/>
                <w:b/>
                <w:bCs/>
                <w:color w:val="000000"/>
                <w:sz w:val="14"/>
                <w:szCs w:val="14"/>
              </w:rPr>
              <w:t>2011</w:t>
            </w:r>
          </w:p>
        </w:tc>
        <w:tc>
          <w:tcPr>
            <w:tcW w:w="409" w:type="pct"/>
            <w:tcBorders>
              <w:top w:val="single" w:sz="4" w:space="0" w:color="auto"/>
              <w:left w:val="single" w:sz="4" w:space="0" w:color="auto"/>
              <w:bottom w:val="single" w:sz="4" w:space="0" w:color="auto"/>
            </w:tcBorders>
            <w:vAlign w:val="center"/>
          </w:tcPr>
          <w:p w:rsidR="00565FD5" w:rsidRPr="00CB76AC" w:rsidRDefault="00565FD5" w:rsidP="00AB62A3">
            <w:pPr>
              <w:jc w:val="center"/>
              <w:rPr>
                <w:rFonts w:cs="Tahoma"/>
                <w:b/>
                <w:bCs/>
                <w:color w:val="000000"/>
                <w:sz w:val="14"/>
                <w:szCs w:val="14"/>
              </w:rPr>
            </w:pPr>
            <w:r w:rsidRPr="00CB76AC">
              <w:rPr>
                <w:rFonts w:cs="Tahoma"/>
                <w:b/>
                <w:bCs/>
                <w:color w:val="000000"/>
                <w:sz w:val="14"/>
                <w:szCs w:val="14"/>
              </w:rPr>
              <w:t>2012</w:t>
            </w:r>
          </w:p>
        </w:tc>
      </w:tr>
      <w:tr w:rsidR="00565FD5" w:rsidRPr="00CB76AC" w:rsidTr="00AB62A3">
        <w:trPr>
          <w:trHeight w:val="680"/>
          <w:jc w:val="center"/>
        </w:trPr>
        <w:tc>
          <w:tcPr>
            <w:tcW w:w="909" w:type="pct"/>
            <w:tcBorders>
              <w:top w:val="single" w:sz="4" w:space="0" w:color="auto"/>
              <w:bottom w:val="single" w:sz="4" w:space="0" w:color="auto"/>
              <w:right w:val="single" w:sz="4" w:space="0" w:color="auto"/>
            </w:tcBorders>
            <w:vAlign w:val="center"/>
          </w:tcPr>
          <w:p w:rsidR="00565FD5" w:rsidRPr="00CB76AC" w:rsidRDefault="00565FD5" w:rsidP="00AB62A3">
            <w:pPr>
              <w:rPr>
                <w:rFonts w:cs="Tahoma"/>
                <w:color w:val="000000"/>
                <w:sz w:val="14"/>
                <w:szCs w:val="14"/>
              </w:rPr>
            </w:pPr>
            <w:r w:rsidRPr="00CB76AC">
              <w:rPr>
                <w:rFonts w:cs="Tahoma"/>
                <w:color w:val="000000"/>
                <w:sz w:val="14"/>
                <w:szCs w:val="14"/>
              </w:rPr>
              <w:lastRenderedPageBreak/>
              <w:t xml:space="preserve">Proje Sayısı </w:t>
            </w:r>
          </w:p>
          <w:p w:rsidR="00565FD5" w:rsidRPr="00CB76AC" w:rsidRDefault="00565FD5" w:rsidP="00AB62A3">
            <w:pPr>
              <w:rPr>
                <w:rFonts w:cs="Tahoma"/>
                <w:color w:val="000000"/>
                <w:sz w:val="14"/>
                <w:szCs w:val="14"/>
              </w:rPr>
            </w:pPr>
            <w:r w:rsidRPr="00CB76AC">
              <w:rPr>
                <w:rFonts w:cs="Tahoma"/>
                <w:color w:val="000000"/>
                <w:sz w:val="14"/>
                <w:szCs w:val="14"/>
              </w:rPr>
              <w:t>(Adet)</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3</w:t>
            </w:r>
            <w:r>
              <w:rPr>
                <w:rFonts w:cs="Tahoma"/>
                <w:color w:val="000000"/>
                <w:sz w:val="14"/>
                <w:szCs w:val="14"/>
              </w:rPr>
              <w:t xml:space="preserve"> </w:t>
            </w:r>
            <w:r w:rsidRPr="00CB76AC">
              <w:rPr>
                <w:rFonts w:cs="Tahoma"/>
                <w:color w:val="000000"/>
                <w:sz w:val="14"/>
                <w:szCs w:val="14"/>
              </w:rPr>
              <w:t>851</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3</w:t>
            </w:r>
            <w:r>
              <w:rPr>
                <w:rFonts w:cs="Tahoma"/>
                <w:color w:val="000000"/>
                <w:sz w:val="14"/>
                <w:szCs w:val="14"/>
              </w:rPr>
              <w:t xml:space="preserve"> </w:t>
            </w:r>
            <w:r w:rsidRPr="00CB76AC">
              <w:rPr>
                <w:rFonts w:cs="Tahoma"/>
                <w:color w:val="000000"/>
                <w:sz w:val="14"/>
                <w:szCs w:val="14"/>
              </w:rPr>
              <w:t>555</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2</w:t>
            </w:r>
            <w:r>
              <w:rPr>
                <w:rFonts w:cs="Tahoma"/>
                <w:color w:val="000000"/>
                <w:sz w:val="14"/>
                <w:szCs w:val="14"/>
              </w:rPr>
              <w:t xml:space="preserve"> </w:t>
            </w:r>
            <w:r w:rsidRPr="00CB76AC">
              <w:rPr>
                <w:rFonts w:cs="Tahoma"/>
                <w:color w:val="000000"/>
                <w:sz w:val="14"/>
                <w:szCs w:val="14"/>
              </w:rPr>
              <w:t>627</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2</w:t>
            </w:r>
            <w:r>
              <w:rPr>
                <w:rFonts w:cs="Tahoma"/>
                <w:color w:val="000000"/>
                <w:sz w:val="14"/>
                <w:szCs w:val="14"/>
              </w:rPr>
              <w:t xml:space="preserve"> </w:t>
            </w:r>
            <w:r w:rsidRPr="00CB76AC">
              <w:rPr>
                <w:rFonts w:cs="Tahoma"/>
                <w:color w:val="000000"/>
                <w:sz w:val="14"/>
                <w:szCs w:val="14"/>
              </w:rPr>
              <w:t>525</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2</w:t>
            </w:r>
            <w:r>
              <w:rPr>
                <w:rFonts w:cs="Tahoma"/>
                <w:color w:val="000000"/>
                <w:sz w:val="14"/>
                <w:szCs w:val="14"/>
              </w:rPr>
              <w:t xml:space="preserve"> </w:t>
            </w:r>
            <w:r w:rsidRPr="00CB76AC">
              <w:rPr>
                <w:rFonts w:cs="Tahoma"/>
                <w:color w:val="000000"/>
                <w:sz w:val="14"/>
                <w:szCs w:val="14"/>
              </w:rPr>
              <w:t>710</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2</w:t>
            </w:r>
            <w:r>
              <w:rPr>
                <w:rFonts w:cs="Tahoma"/>
                <w:color w:val="000000"/>
                <w:sz w:val="14"/>
                <w:szCs w:val="14"/>
              </w:rPr>
              <w:t xml:space="preserve"> </w:t>
            </w:r>
            <w:r w:rsidRPr="00CB76AC">
              <w:rPr>
                <w:rFonts w:cs="Tahoma"/>
                <w:color w:val="000000"/>
                <w:sz w:val="14"/>
                <w:szCs w:val="14"/>
              </w:rPr>
              <w:t>759</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2</w:t>
            </w:r>
            <w:r>
              <w:rPr>
                <w:rFonts w:cs="Tahoma"/>
                <w:color w:val="000000"/>
                <w:sz w:val="14"/>
                <w:szCs w:val="14"/>
              </w:rPr>
              <w:t xml:space="preserve"> </w:t>
            </w:r>
            <w:r w:rsidRPr="00CB76AC">
              <w:rPr>
                <w:rFonts w:cs="Tahoma"/>
                <w:color w:val="000000"/>
                <w:sz w:val="14"/>
                <w:szCs w:val="14"/>
              </w:rPr>
              <w:t>332</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ind w:left="-184" w:right="-127"/>
              <w:jc w:val="center"/>
              <w:rPr>
                <w:rFonts w:cs="Tahoma"/>
                <w:color w:val="000000"/>
                <w:sz w:val="14"/>
                <w:szCs w:val="14"/>
              </w:rPr>
            </w:pPr>
            <w:r w:rsidRPr="00CB76AC">
              <w:rPr>
                <w:rFonts w:cs="Tahoma"/>
                <w:color w:val="000000"/>
                <w:sz w:val="14"/>
                <w:szCs w:val="14"/>
              </w:rPr>
              <w:t>2</w:t>
            </w:r>
            <w:r>
              <w:rPr>
                <w:rFonts w:cs="Tahoma"/>
                <w:color w:val="000000"/>
                <w:sz w:val="14"/>
                <w:szCs w:val="14"/>
              </w:rPr>
              <w:t xml:space="preserve"> </w:t>
            </w:r>
            <w:r w:rsidRPr="00CB76AC">
              <w:rPr>
                <w:rFonts w:cs="Tahoma"/>
                <w:color w:val="000000"/>
                <w:sz w:val="14"/>
                <w:szCs w:val="14"/>
              </w:rPr>
              <w:t>425</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2</w:t>
            </w:r>
            <w:r>
              <w:rPr>
                <w:rFonts w:cs="Tahoma"/>
                <w:color w:val="000000"/>
                <w:sz w:val="14"/>
                <w:szCs w:val="14"/>
              </w:rPr>
              <w:t xml:space="preserve"> </w:t>
            </w:r>
            <w:r w:rsidRPr="00CB76AC">
              <w:rPr>
                <w:rFonts w:cs="Tahoma"/>
                <w:color w:val="000000"/>
                <w:sz w:val="14"/>
                <w:szCs w:val="14"/>
              </w:rPr>
              <w:t>534</w:t>
            </w:r>
          </w:p>
        </w:tc>
        <w:tc>
          <w:tcPr>
            <w:tcW w:w="409" w:type="pct"/>
            <w:tcBorders>
              <w:top w:val="single" w:sz="4" w:space="0" w:color="auto"/>
              <w:left w:val="single" w:sz="4" w:space="0" w:color="auto"/>
              <w:bottom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2</w:t>
            </w:r>
            <w:r>
              <w:rPr>
                <w:rFonts w:cs="Tahoma"/>
                <w:color w:val="000000"/>
                <w:sz w:val="14"/>
                <w:szCs w:val="14"/>
              </w:rPr>
              <w:t xml:space="preserve"> </w:t>
            </w:r>
            <w:r w:rsidRPr="00CB76AC">
              <w:rPr>
                <w:rFonts w:cs="Tahoma"/>
                <w:color w:val="000000"/>
                <w:sz w:val="14"/>
                <w:szCs w:val="14"/>
              </w:rPr>
              <w:t>622</w:t>
            </w:r>
          </w:p>
        </w:tc>
      </w:tr>
      <w:tr w:rsidR="00565FD5" w:rsidRPr="00CB76AC" w:rsidTr="00AB62A3">
        <w:trPr>
          <w:trHeight w:val="499"/>
          <w:jc w:val="center"/>
        </w:trPr>
        <w:tc>
          <w:tcPr>
            <w:tcW w:w="909" w:type="pct"/>
            <w:tcBorders>
              <w:top w:val="single" w:sz="4" w:space="0" w:color="auto"/>
              <w:bottom w:val="single" w:sz="4" w:space="0" w:color="auto"/>
              <w:right w:val="single" w:sz="4" w:space="0" w:color="auto"/>
            </w:tcBorders>
            <w:vAlign w:val="center"/>
          </w:tcPr>
          <w:p w:rsidR="00565FD5" w:rsidRPr="00CB76AC" w:rsidRDefault="00565FD5" w:rsidP="00AB62A3">
            <w:pPr>
              <w:rPr>
                <w:rFonts w:cs="Tahoma"/>
                <w:color w:val="000000"/>
                <w:sz w:val="14"/>
                <w:szCs w:val="14"/>
              </w:rPr>
            </w:pPr>
            <w:r w:rsidRPr="00CB76AC">
              <w:rPr>
                <w:rFonts w:cs="Tahoma"/>
                <w:color w:val="000000"/>
                <w:sz w:val="14"/>
                <w:szCs w:val="14"/>
              </w:rPr>
              <w:t xml:space="preserve">Toplam Proje Tutarı </w:t>
            </w:r>
          </w:p>
          <w:p w:rsidR="00565FD5" w:rsidRPr="00CB76AC" w:rsidRDefault="00565FD5" w:rsidP="00AB62A3">
            <w:pPr>
              <w:rPr>
                <w:rFonts w:cs="Tahoma"/>
                <w:color w:val="000000"/>
                <w:sz w:val="14"/>
                <w:szCs w:val="14"/>
              </w:rPr>
            </w:pPr>
            <w:r w:rsidRPr="00CB76AC">
              <w:rPr>
                <w:rFonts w:cs="Tahoma"/>
                <w:color w:val="000000"/>
                <w:sz w:val="14"/>
                <w:szCs w:val="14"/>
              </w:rPr>
              <w:t>(Cari Fiyatlarla, Milyar TL)</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eastAsia="Arial Unicode MS" w:cs="Tahoma"/>
                <w:color w:val="000000"/>
                <w:sz w:val="14"/>
                <w:szCs w:val="14"/>
              </w:rPr>
            </w:pPr>
            <w:r w:rsidRPr="00CB76AC">
              <w:rPr>
                <w:rFonts w:cs="Tahoma"/>
                <w:color w:val="000000"/>
                <w:sz w:val="14"/>
                <w:szCs w:val="14"/>
              </w:rPr>
              <w:t>187,1</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eastAsia="Arial Unicode MS" w:cs="Tahoma"/>
                <w:color w:val="000000"/>
                <w:sz w:val="14"/>
                <w:szCs w:val="14"/>
              </w:rPr>
            </w:pPr>
            <w:r w:rsidRPr="00CB76AC">
              <w:rPr>
                <w:rFonts w:cs="Tahoma"/>
                <w:color w:val="000000"/>
                <w:sz w:val="14"/>
                <w:szCs w:val="14"/>
              </w:rPr>
              <w:t>196,1</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eastAsia="Arial Unicode MS" w:cs="Tahoma"/>
                <w:color w:val="000000"/>
                <w:sz w:val="14"/>
                <w:szCs w:val="14"/>
              </w:rPr>
            </w:pPr>
            <w:r w:rsidRPr="00CB76AC">
              <w:rPr>
                <w:rFonts w:cs="Tahoma"/>
                <w:color w:val="000000"/>
                <w:sz w:val="14"/>
                <w:szCs w:val="14"/>
              </w:rPr>
              <w:t>206,7</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200,4</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209,3</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219</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245,8</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ind w:left="-676" w:right="-108" w:firstLine="676"/>
              <w:jc w:val="center"/>
              <w:rPr>
                <w:rFonts w:cs="Tahoma"/>
                <w:color w:val="000000"/>
                <w:sz w:val="14"/>
                <w:szCs w:val="14"/>
              </w:rPr>
            </w:pPr>
            <w:r w:rsidRPr="00CB76AC">
              <w:rPr>
                <w:rFonts w:cs="Tahoma"/>
                <w:color w:val="000000"/>
                <w:sz w:val="14"/>
                <w:szCs w:val="14"/>
              </w:rPr>
              <w:t>273,4</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eastAsia="Arial Unicode MS" w:cs="Tahoma"/>
                <w:color w:val="000000"/>
                <w:sz w:val="14"/>
                <w:szCs w:val="14"/>
              </w:rPr>
            </w:pPr>
            <w:r w:rsidRPr="00CB76AC">
              <w:rPr>
                <w:rFonts w:eastAsia="Arial Unicode MS" w:cs="Tahoma"/>
                <w:color w:val="000000"/>
                <w:sz w:val="14"/>
                <w:szCs w:val="14"/>
              </w:rPr>
              <w:t>303,7</w:t>
            </w:r>
          </w:p>
        </w:tc>
        <w:tc>
          <w:tcPr>
            <w:tcW w:w="409" w:type="pct"/>
            <w:tcBorders>
              <w:top w:val="single" w:sz="4" w:space="0" w:color="auto"/>
              <w:left w:val="single" w:sz="4" w:space="0" w:color="auto"/>
              <w:bottom w:val="single" w:sz="4" w:space="0" w:color="auto"/>
            </w:tcBorders>
            <w:vAlign w:val="center"/>
          </w:tcPr>
          <w:p w:rsidR="00565FD5" w:rsidRPr="00CB76AC" w:rsidRDefault="00565FD5" w:rsidP="00AB62A3">
            <w:pPr>
              <w:jc w:val="center"/>
              <w:rPr>
                <w:rFonts w:eastAsia="Arial Unicode MS" w:cs="Tahoma"/>
                <w:color w:val="000000"/>
                <w:sz w:val="14"/>
                <w:szCs w:val="14"/>
              </w:rPr>
            </w:pPr>
            <w:r w:rsidRPr="00CB76AC">
              <w:rPr>
                <w:rFonts w:eastAsia="Arial Unicode MS" w:cs="Tahoma"/>
                <w:color w:val="000000"/>
                <w:sz w:val="14"/>
                <w:szCs w:val="14"/>
              </w:rPr>
              <w:t>362,0</w:t>
            </w:r>
          </w:p>
        </w:tc>
      </w:tr>
      <w:tr w:rsidR="00565FD5" w:rsidRPr="00CB76AC" w:rsidTr="00AB62A3">
        <w:trPr>
          <w:trHeight w:val="499"/>
          <w:jc w:val="center"/>
        </w:trPr>
        <w:tc>
          <w:tcPr>
            <w:tcW w:w="909" w:type="pct"/>
            <w:tcBorders>
              <w:top w:val="single" w:sz="4" w:space="0" w:color="auto"/>
              <w:bottom w:val="single" w:sz="4" w:space="0" w:color="auto"/>
              <w:right w:val="single" w:sz="4" w:space="0" w:color="auto"/>
            </w:tcBorders>
            <w:vAlign w:val="center"/>
          </w:tcPr>
          <w:p w:rsidR="00565FD5" w:rsidRPr="00CB76AC" w:rsidRDefault="00565FD5" w:rsidP="00AB62A3">
            <w:pPr>
              <w:rPr>
                <w:rFonts w:cs="Tahoma"/>
                <w:color w:val="000000"/>
                <w:sz w:val="14"/>
                <w:szCs w:val="14"/>
              </w:rPr>
            </w:pPr>
            <w:r w:rsidRPr="00CB76AC">
              <w:rPr>
                <w:rFonts w:cs="Tahoma"/>
                <w:color w:val="000000"/>
                <w:sz w:val="14"/>
                <w:szCs w:val="14"/>
              </w:rPr>
              <w:t xml:space="preserve">Cari Yıl Öncesi Kümülatif Harc. </w:t>
            </w:r>
          </w:p>
          <w:p w:rsidR="00565FD5" w:rsidRPr="00CB76AC" w:rsidRDefault="00565FD5" w:rsidP="00AB62A3">
            <w:pPr>
              <w:rPr>
                <w:rFonts w:cs="Tahoma"/>
                <w:color w:val="000000"/>
                <w:sz w:val="14"/>
                <w:szCs w:val="14"/>
              </w:rPr>
            </w:pPr>
            <w:r w:rsidRPr="00CB76AC">
              <w:rPr>
                <w:rFonts w:cs="Tahoma"/>
                <w:color w:val="000000"/>
                <w:sz w:val="14"/>
                <w:szCs w:val="14"/>
              </w:rPr>
              <w:t>(Cari Fiyatlarla, Milyar TL)</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eastAsia="Arial Unicode MS" w:cs="Tahoma"/>
                <w:color w:val="000000"/>
                <w:sz w:val="14"/>
                <w:szCs w:val="14"/>
              </w:rPr>
            </w:pPr>
            <w:r w:rsidRPr="00CB76AC">
              <w:rPr>
                <w:rFonts w:cs="Tahoma"/>
                <w:color w:val="000000"/>
                <w:sz w:val="14"/>
                <w:szCs w:val="14"/>
              </w:rPr>
              <w:t>80,4</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eastAsia="Arial Unicode MS" w:cs="Tahoma"/>
                <w:color w:val="000000"/>
                <w:sz w:val="14"/>
                <w:szCs w:val="14"/>
              </w:rPr>
            </w:pPr>
            <w:r w:rsidRPr="00CB76AC">
              <w:rPr>
                <w:rFonts w:cs="Tahoma"/>
                <w:color w:val="000000"/>
                <w:sz w:val="14"/>
                <w:szCs w:val="14"/>
              </w:rPr>
              <w:t>86,8</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eastAsia="Arial Unicode MS" w:cs="Tahoma"/>
                <w:color w:val="000000"/>
                <w:sz w:val="14"/>
                <w:szCs w:val="14"/>
              </w:rPr>
            </w:pPr>
            <w:r w:rsidRPr="00CB76AC">
              <w:rPr>
                <w:rFonts w:cs="Tahoma"/>
                <w:color w:val="000000"/>
                <w:sz w:val="14"/>
                <w:szCs w:val="14"/>
              </w:rPr>
              <w:t>84,0</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86,5</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93,5</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102,4</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110,9</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ind w:right="-108"/>
              <w:jc w:val="center"/>
              <w:rPr>
                <w:rFonts w:cs="Tahoma"/>
                <w:color w:val="000000"/>
                <w:sz w:val="14"/>
                <w:szCs w:val="14"/>
              </w:rPr>
            </w:pPr>
            <w:r w:rsidRPr="00CB76AC">
              <w:rPr>
                <w:rFonts w:cs="Tahoma"/>
                <w:color w:val="000000"/>
                <w:sz w:val="14"/>
                <w:szCs w:val="14"/>
              </w:rPr>
              <w:t>118,4</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eastAsia="Arial Unicode MS" w:cs="Tahoma"/>
                <w:color w:val="000000"/>
                <w:sz w:val="14"/>
                <w:szCs w:val="14"/>
              </w:rPr>
            </w:pPr>
            <w:r w:rsidRPr="00CB76AC">
              <w:rPr>
                <w:rFonts w:eastAsia="Arial Unicode MS" w:cs="Tahoma"/>
                <w:color w:val="000000"/>
                <w:sz w:val="14"/>
                <w:szCs w:val="14"/>
              </w:rPr>
              <w:t>140,6</w:t>
            </w:r>
          </w:p>
        </w:tc>
        <w:tc>
          <w:tcPr>
            <w:tcW w:w="409" w:type="pct"/>
            <w:tcBorders>
              <w:top w:val="single" w:sz="4" w:space="0" w:color="auto"/>
              <w:left w:val="single" w:sz="4" w:space="0" w:color="auto"/>
              <w:bottom w:val="single" w:sz="4" w:space="0" w:color="auto"/>
            </w:tcBorders>
            <w:vAlign w:val="center"/>
          </w:tcPr>
          <w:p w:rsidR="00565FD5" w:rsidRPr="00CB76AC" w:rsidRDefault="00565FD5" w:rsidP="00AB62A3">
            <w:pPr>
              <w:jc w:val="center"/>
              <w:rPr>
                <w:rFonts w:eastAsia="Arial Unicode MS" w:cs="Tahoma"/>
                <w:color w:val="000000"/>
                <w:sz w:val="14"/>
                <w:szCs w:val="14"/>
              </w:rPr>
            </w:pPr>
            <w:r w:rsidRPr="00CB76AC">
              <w:rPr>
                <w:rFonts w:eastAsia="Arial Unicode MS" w:cs="Tahoma"/>
                <w:color w:val="000000"/>
                <w:sz w:val="14"/>
                <w:szCs w:val="14"/>
              </w:rPr>
              <w:t>162,9</w:t>
            </w:r>
          </w:p>
        </w:tc>
      </w:tr>
      <w:tr w:rsidR="00565FD5" w:rsidRPr="00CB76AC" w:rsidTr="00AB62A3">
        <w:trPr>
          <w:trHeight w:val="499"/>
          <w:jc w:val="center"/>
        </w:trPr>
        <w:tc>
          <w:tcPr>
            <w:tcW w:w="909" w:type="pct"/>
            <w:tcBorders>
              <w:top w:val="single" w:sz="4" w:space="0" w:color="auto"/>
              <w:bottom w:val="single" w:sz="4" w:space="0" w:color="auto"/>
              <w:right w:val="single" w:sz="4" w:space="0" w:color="auto"/>
            </w:tcBorders>
            <w:vAlign w:val="center"/>
          </w:tcPr>
          <w:p w:rsidR="00565FD5" w:rsidRPr="00CB76AC" w:rsidRDefault="00565FD5" w:rsidP="00AB62A3">
            <w:pPr>
              <w:rPr>
                <w:rFonts w:cs="Tahoma"/>
                <w:color w:val="000000"/>
                <w:sz w:val="14"/>
                <w:szCs w:val="14"/>
              </w:rPr>
            </w:pPr>
            <w:r w:rsidRPr="00CB76AC">
              <w:rPr>
                <w:rFonts w:cs="Tahoma"/>
                <w:color w:val="000000"/>
                <w:sz w:val="14"/>
                <w:szCs w:val="14"/>
              </w:rPr>
              <w:t>Toplam Program Ödenek</w:t>
            </w:r>
          </w:p>
          <w:p w:rsidR="00565FD5" w:rsidRPr="00CB76AC" w:rsidRDefault="00565FD5" w:rsidP="00AB62A3">
            <w:pPr>
              <w:rPr>
                <w:rFonts w:cs="Tahoma"/>
                <w:color w:val="000000"/>
                <w:sz w:val="14"/>
                <w:szCs w:val="14"/>
              </w:rPr>
            </w:pPr>
            <w:r w:rsidRPr="00CB76AC">
              <w:rPr>
                <w:rFonts w:cs="Tahoma"/>
                <w:color w:val="000000"/>
                <w:sz w:val="14"/>
                <w:szCs w:val="14"/>
              </w:rPr>
              <w:t>(Cari Fiyatlarla, Milyar TL)</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12,5</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12,0</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16,2</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17,5</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17,1</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17,1</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21,5</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ind w:right="-108"/>
              <w:jc w:val="center"/>
              <w:rPr>
                <w:rFonts w:cs="Tahoma"/>
                <w:color w:val="000000"/>
                <w:sz w:val="14"/>
                <w:szCs w:val="14"/>
              </w:rPr>
            </w:pPr>
            <w:r w:rsidRPr="00CB76AC">
              <w:rPr>
                <w:rFonts w:cs="Tahoma"/>
                <w:color w:val="000000"/>
                <w:sz w:val="14"/>
                <w:szCs w:val="14"/>
              </w:rPr>
              <w:t>27,8</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31,3</w:t>
            </w:r>
          </w:p>
        </w:tc>
        <w:tc>
          <w:tcPr>
            <w:tcW w:w="409" w:type="pct"/>
            <w:tcBorders>
              <w:top w:val="single" w:sz="4" w:space="0" w:color="auto"/>
              <w:left w:val="single" w:sz="4" w:space="0" w:color="auto"/>
              <w:bottom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38,2</w:t>
            </w:r>
          </w:p>
        </w:tc>
      </w:tr>
      <w:tr w:rsidR="00565FD5" w:rsidRPr="00CB76AC" w:rsidTr="00AB62A3">
        <w:trPr>
          <w:trHeight w:val="499"/>
          <w:jc w:val="center"/>
        </w:trPr>
        <w:tc>
          <w:tcPr>
            <w:tcW w:w="909" w:type="pct"/>
            <w:tcBorders>
              <w:top w:val="single" w:sz="4" w:space="0" w:color="auto"/>
              <w:bottom w:val="single" w:sz="4" w:space="0" w:color="auto"/>
              <w:right w:val="single" w:sz="4" w:space="0" w:color="auto"/>
            </w:tcBorders>
            <w:vAlign w:val="center"/>
          </w:tcPr>
          <w:p w:rsidR="00565FD5" w:rsidRPr="00CB76AC" w:rsidRDefault="00565FD5" w:rsidP="00AB62A3">
            <w:pPr>
              <w:rPr>
                <w:rFonts w:cs="Tahoma"/>
                <w:color w:val="000000"/>
                <w:sz w:val="14"/>
                <w:szCs w:val="14"/>
              </w:rPr>
            </w:pPr>
            <w:r w:rsidRPr="00CB76AC">
              <w:rPr>
                <w:rFonts w:cs="Tahoma"/>
                <w:color w:val="000000"/>
                <w:sz w:val="14"/>
                <w:szCs w:val="14"/>
              </w:rPr>
              <w:t xml:space="preserve">Yatırım Programına Alınan Çok </w:t>
            </w:r>
          </w:p>
          <w:p w:rsidR="00565FD5" w:rsidRPr="00CB76AC" w:rsidRDefault="00565FD5" w:rsidP="00AB62A3">
            <w:pPr>
              <w:rPr>
                <w:rFonts w:cs="Tahoma"/>
                <w:color w:val="000000"/>
                <w:sz w:val="14"/>
                <w:szCs w:val="14"/>
              </w:rPr>
            </w:pPr>
            <w:r w:rsidRPr="00CB76AC">
              <w:rPr>
                <w:rFonts w:cs="Tahoma"/>
                <w:color w:val="000000"/>
                <w:sz w:val="14"/>
                <w:szCs w:val="14"/>
              </w:rPr>
              <w:t xml:space="preserve">Yıllık Yeni Proje Sayısı (Adet) </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eastAsia="Arial Unicode MS" w:cs="Tahoma"/>
                <w:color w:val="000000"/>
                <w:sz w:val="14"/>
                <w:szCs w:val="14"/>
              </w:rPr>
            </w:pPr>
            <w:r w:rsidRPr="00CB76AC">
              <w:rPr>
                <w:rFonts w:cs="Tahoma"/>
                <w:color w:val="000000"/>
                <w:sz w:val="14"/>
                <w:szCs w:val="14"/>
              </w:rPr>
              <w:t>134</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eastAsia="Arial Unicode MS" w:cs="Tahoma"/>
                <w:color w:val="000000"/>
                <w:sz w:val="14"/>
                <w:szCs w:val="14"/>
              </w:rPr>
            </w:pPr>
            <w:r w:rsidRPr="00CB76AC">
              <w:rPr>
                <w:rFonts w:cs="Tahoma"/>
                <w:color w:val="000000"/>
                <w:sz w:val="14"/>
                <w:szCs w:val="14"/>
              </w:rPr>
              <w:t>149</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eastAsia="Arial Unicode MS" w:cs="Tahoma"/>
                <w:color w:val="000000"/>
                <w:sz w:val="14"/>
                <w:szCs w:val="14"/>
              </w:rPr>
            </w:pPr>
            <w:r w:rsidRPr="00CB76AC">
              <w:rPr>
                <w:rFonts w:cs="Tahoma"/>
                <w:color w:val="000000"/>
                <w:sz w:val="14"/>
                <w:szCs w:val="14"/>
              </w:rPr>
              <w:t>137</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155</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161</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180</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279</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ind w:right="-108"/>
              <w:jc w:val="center"/>
              <w:rPr>
                <w:rFonts w:cs="Tahoma"/>
                <w:color w:val="000000"/>
                <w:sz w:val="14"/>
                <w:szCs w:val="14"/>
              </w:rPr>
            </w:pPr>
            <w:r w:rsidRPr="00CB76AC">
              <w:rPr>
                <w:rFonts w:cs="Tahoma"/>
                <w:color w:val="000000"/>
                <w:sz w:val="14"/>
                <w:szCs w:val="14"/>
              </w:rPr>
              <w:t>241</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eastAsia="Arial Unicode MS" w:cs="Tahoma"/>
                <w:color w:val="000000"/>
                <w:sz w:val="14"/>
                <w:szCs w:val="14"/>
              </w:rPr>
            </w:pPr>
            <w:r w:rsidRPr="00CB76AC">
              <w:rPr>
                <w:rFonts w:eastAsia="Arial Unicode MS" w:cs="Tahoma"/>
                <w:color w:val="000000"/>
                <w:sz w:val="14"/>
                <w:szCs w:val="14"/>
              </w:rPr>
              <w:t>196</w:t>
            </w:r>
          </w:p>
        </w:tc>
        <w:tc>
          <w:tcPr>
            <w:tcW w:w="409" w:type="pct"/>
            <w:tcBorders>
              <w:top w:val="single" w:sz="4" w:space="0" w:color="auto"/>
              <w:left w:val="single" w:sz="4" w:space="0" w:color="auto"/>
              <w:bottom w:val="single" w:sz="4" w:space="0" w:color="auto"/>
            </w:tcBorders>
            <w:vAlign w:val="center"/>
          </w:tcPr>
          <w:p w:rsidR="00565FD5" w:rsidRPr="00CB76AC" w:rsidRDefault="00565FD5" w:rsidP="00AB62A3">
            <w:pPr>
              <w:jc w:val="center"/>
              <w:rPr>
                <w:rFonts w:eastAsia="Arial Unicode MS" w:cs="Tahoma"/>
                <w:color w:val="000000"/>
                <w:sz w:val="14"/>
                <w:szCs w:val="14"/>
              </w:rPr>
            </w:pPr>
            <w:r w:rsidRPr="00CB76AC">
              <w:rPr>
                <w:rFonts w:eastAsia="Arial Unicode MS" w:cs="Tahoma"/>
                <w:color w:val="000000"/>
                <w:sz w:val="14"/>
                <w:szCs w:val="14"/>
              </w:rPr>
              <w:t>212</w:t>
            </w:r>
          </w:p>
        </w:tc>
      </w:tr>
      <w:tr w:rsidR="00565FD5" w:rsidRPr="00CB76AC" w:rsidTr="00AB62A3">
        <w:trPr>
          <w:trHeight w:val="499"/>
          <w:jc w:val="center"/>
        </w:trPr>
        <w:tc>
          <w:tcPr>
            <w:tcW w:w="909" w:type="pct"/>
            <w:tcBorders>
              <w:top w:val="single" w:sz="4" w:space="0" w:color="auto"/>
              <w:bottom w:val="single" w:sz="4" w:space="0" w:color="auto"/>
              <w:right w:val="single" w:sz="4" w:space="0" w:color="auto"/>
            </w:tcBorders>
            <w:vAlign w:val="center"/>
          </w:tcPr>
          <w:p w:rsidR="00565FD5" w:rsidRPr="00CB76AC" w:rsidRDefault="00565FD5" w:rsidP="00AB62A3">
            <w:pPr>
              <w:rPr>
                <w:rFonts w:cs="Tahoma"/>
                <w:color w:val="000000"/>
                <w:sz w:val="14"/>
                <w:szCs w:val="14"/>
              </w:rPr>
            </w:pPr>
            <w:r w:rsidRPr="00CB76AC">
              <w:rPr>
                <w:rFonts w:cs="Tahoma"/>
                <w:color w:val="000000"/>
                <w:sz w:val="14"/>
                <w:szCs w:val="14"/>
              </w:rPr>
              <w:t xml:space="preserve">Toplam Program Ödenek / </w:t>
            </w:r>
          </w:p>
          <w:p w:rsidR="00565FD5" w:rsidRPr="00CB76AC" w:rsidRDefault="00565FD5" w:rsidP="00AB62A3">
            <w:pPr>
              <w:rPr>
                <w:rFonts w:cs="Tahoma"/>
                <w:color w:val="000000"/>
                <w:sz w:val="14"/>
                <w:szCs w:val="14"/>
              </w:rPr>
            </w:pPr>
            <w:r w:rsidRPr="00CB76AC">
              <w:rPr>
                <w:rFonts w:cs="Tahoma"/>
                <w:color w:val="000000"/>
                <w:sz w:val="14"/>
                <w:szCs w:val="14"/>
              </w:rPr>
              <w:t xml:space="preserve">Toplam Proje Tutarı  (Yüzde) </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6,7</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6,1</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7,8</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8,7</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8,2</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7,8</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8,7</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ind w:right="-108"/>
              <w:jc w:val="center"/>
              <w:rPr>
                <w:rFonts w:cs="Tahoma"/>
                <w:color w:val="000000"/>
                <w:sz w:val="14"/>
                <w:szCs w:val="14"/>
              </w:rPr>
            </w:pPr>
            <w:r w:rsidRPr="00CB76AC">
              <w:rPr>
                <w:rFonts w:cs="Tahoma"/>
                <w:color w:val="000000"/>
                <w:sz w:val="14"/>
                <w:szCs w:val="14"/>
              </w:rPr>
              <w:t>10,1</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10,3</w:t>
            </w:r>
          </w:p>
        </w:tc>
        <w:tc>
          <w:tcPr>
            <w:tcW w:w="409" w:type="pct"/>
            <w:tcBorders>
              <w:top w:val="single" w:sz="4" w:space="0" w:color="auto"/>
              <w:left w:val="single" w:sz="4" w:space="0" w:color="auto"/>
              <w:bottom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10,5</w:t>
            </w:r>
          </w:p>
        </w:tc>
      </w:tr>
      <w:tr w:rsidR="00565FD5" w:rsidRPr="00CB76AC" w:rsidTr="00AB62A3">
        <w:trPr>
          <w:trHeight w:val="593"/>
          <w:jc w:val="center"/>
        </w:trPr>
        <w:tc>
          <w:tcPr>
            <w:tcW w:w="909" w:type="pct"/>
            <w:tcBorders>
              <w:top w:val="single" w:sz="4" w:space="0" w:color="auto"/>
              <w:bottom w:val="single" w:sz="4" w:space="0" w:color="auto"/>
              <w:right w:val="single" w:sz="4" w:space="0" w:color="auto"/>
            </w:tcBorders>
            <w:vAlign w:val="center"/>
          </w:tcPr>
          <w:p w:rsidR="00565FD5" w:rsidRPr="00CB76AC" w:rsidRDefault="00565FD5" w:rsidP="00AB62A3">
            <w:pPr>
              <w:rPr>
                <w:rFonts w:cs="Tahoma"/>
                <w:color w:val="000000"/>
                <w:sz w:val="14"/>
                <w:szCs w:val="14"/>
              </w:rPr>
            </w:pPr>
            <w:r w:rsidRPr="00CB76AC">
              <w:rPr>
                <w:rFonts w:cs="Tahoma"/>
                <w:color w:val="000000"/>
                <w:sz w:val="14"/>
                <w:szCs w:val="14"/>
              </w:rPr>
              <w:t>Yatırım Stokunun Ortalama Tamamlanma Süresi  (Yıl) (2)</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7,6</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8,1</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6,6</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5,5</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5,8</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5,8</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5,3</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ind w:right="-108"/>
              <w:jc w:val="center"/>
              <w:rPr>
                <w:rFonts w:cs="Tahoma"/>
                <w:color w:val="000000"/>
                <w:sz w:val="14"/>
                <w:szCs w:val="14"/>
              </w:rPr>
            </w:pPr>
            <w:r w:rsidRPr="00CB76AC">
              <w:rPr>
                <w:rFonts w:cs="Tahoma"/>
                <w:color w:val="000000"/>
                <w:sz w:val="14"/>
                <w:szCs w:val="14"/>
              </w:rPr>
              <w:t>4,6</w:t>
            </w:r>
          </w:p>
        </w:tc>
        <w:tc>
          <w:tcPr>
            <w:tcW w:w="409" w:type="pct"/>
            <w:tcBorders>
              <w:top w:val="single" w:sz="4" w:space="0" w:color="auto"/>
              <w:left w:val="single" w:sz="4" w:space="0" w:color="auto"/>
              <w:bottom w:val="single" w:sz="4" w:space="0" w:color="auto"/>
              <w:right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4,2</w:t>
            </w:r>
          </w:p>
        </w:tc>
        <w:tc>
          <w:tcPr>
            <w:tcW w:w="409" w:type="pct"/>
            <w:tcBorders>
              <w:top w:val="single" w:sz="4" w:space="0" w:color="auto"/>
              <w:left w:val="single" w:sz="4" w:space="0" w:color="auto"/>
              <w:bottom w:val="single" w:sz="4" w:space="0" w:color="auto"/>
            </w:tcBorders>
            <w:vAlign w:val="center"/>
          </w:tcPr>
          <w:p w:rsidR="00565FD5" w:rsidRPr="00CB76AC" w:rsidRDefault="00565FD5" w:rsidP="00AB62A3">
            <w:pPr>
              <w:jc w:val="center"/>
              <w:rPr>
                <w:rFonts w:cs="Tahoma"/>
                <w:color w:val="000000"/>
                <w:sz w:val="14"/>
                <w:szCs w:val="14"/>
              </w:rPr>
            </w:pPr>
            <w:r w:rsidRPr="00CB76AC">
              <w:rPr>
                <w:rFonts w:cs="Tahoma"/>
                <w:color w:val="000000"/>
                <w:sz w:val="14"/>
                <w:szCs w:val="14"/>
              </w:rPr>
              <w:t>4,2</w:t>
            </w:r>
          </w:p>
        </w:tc>
      </w:tr>
    </w:tbl>
    <w:bookmarkEnd w:id="522"/>
    <w:p w:rsidR="00565FD5" w:rsidRPr="0083212C" w:rsidRDefault="00565FD5" w:rsidP="00565FD5">
      <w:pPr>
        <w:rPr>
          <w:rFonts w:cs="Tahoma"/>
          <w:color w:val="000000"/>
          <w:sz w:val="14"/>
          <w:szCs w:val="14"/>
        </w:rPr>
      </w:pPr>
      <w:r w:rsidRPr="0083212C">
        <w:rPr>
          <w:rFonts w:cs="Tahoma"/>
          <w:color w:val="000000"/>
          <w:sz w:val="14"/>
          <w:szCs w:val="14"/>
        </w:rPr>
        <w:t xml:space="preserve">(1) Mahalli idare yatırımları, kamulaştırma harcamaları ve yatırım programında toplam dışı tutulan yatırımlar hariçtir. </w:t>
      </w:r>
    </w:p>
    <w:p w:rsidR="00565FD5" w:rsidRPr="0083212C" w:rsidRDefault="00565FD5" w:rsidP="00565FD5">
      <w:pPr>
        <w:spacing w:after="360"/>
        <w:rPr>
          <w:rFonts w:cs="Tahoma"/>
          <w:color w:val="000000"/>
          <w:sz w:val="14"/>
          <w:szCs w:val="14"/>
        </w:rPr>
      </w:pPr>
      <w:r w:rsidRPr="0083212C">
        <w:rPr>
          <w:rFonts w:cs="Tahoma"/>
          <w:color w:val="000000"/>
          <w:sz w:val="14"/>
          <w:szCs w:val="14"/>
        </w:rPr>
        <w:t>(2) Mevcut stokun, ilgili yıldaki program ödenek seviyesiyle tamamlanması için gereken ilave süreyi göstermektedir.</w:t>
      </w:r>
    </w:p>
    <w:p w:rsidR="00565FD5" w:rsidRPr="0083212C" w:rsidRDefault="00565FD5" w:rsidP="00565FD5">
      <w:pPr>
        <w:spacing w:after="180"/>
        <w:ind w:firstLine="425"/>
        <w:rPr>
          <w:rFonts w:cs="Tahoma"/>
          <w:szCs w:val="18"/>
        </w:rPr>
      </w:pPr>
      <w:r w:rsidRPr="0083212C">
        <w:rPr>
          <w:rFonts w:cs="Tahoma"/>
          <w:szCs w:val="18"/>
        </w:rPr>
        <w:t>2012 Yılı Yatırım Programında yer alan 2.622 projenin 9,1 milyar TL tutarındaki 696 adedi yıl içinde başlanıp bitirilmesi programlanan yıllık projelerden oluşmaktadır. Ayrıca 2012 yılında toplam proje tutarı 8,2 milyar TL, 2011 yılı ödeneği 1,2 milyar TL olan 212 yeni çok yıllı proje yatırım programına dahil edilmiştir.</w:t>
      </w:r>
    </w:p>
    <w:p w:rsidR="00565FD5" w:rsidRPr="0083212C" w:rsidRDefault="00565FD5" w:rsidP="00565FD5">
      <w:pPr>
        <w:spacing w:after="180"/>
        <w:ind w:firstLine="425"/>
        <w:rPr>
          <w:rFonts w:cs="Tahoma"/>
          <w:szCs w:val="18"/>
        </w:rPr>
      </w:pPr>
      <w:r w:rsidRPr="0083212C">
        <w:rPr>
          <w:rFonts w:cs="Tahoma"/>
          <w:szCs w:val="18"/>
        </w:rPr>
        <w:lastRenderedPageBreak/>
        <w:t>2012 Yılı Yatırım Programında 2.622 projeye yapılan 38,2 milyar TL tutarındaki tahsis içinde yüzde 31,5 oranındaki payla ulaştırma-haberleşme sektörü ilk sırayı almış, bunu yüzde 15,5’le eğitim, yüzde 14,5’le tarım, yüzde 9,8’le enerji ve yüzde 5,6’yla sağlık sektörü izlemiştir. 2012 yılı kamu yatırım tahsisleri içinde madencilik, imalat, turizm ve konut sektörlerinin toplam payı yüzde 6,6 olurken, diğer kamu hizmetlerinin payı yüzde 16,5 olmuştur.</w:t>
      </w:r>
    </w:p>
    <w:p w:rsidR="00565FD5" w:rsidRPr="0083212C" w:rsidRDefault="00565FD5" w:rsidP="00565FD5">
      <w:pPr>
        <w:spacing w:after="180"/>
        <w:ind w:firstLine="425"/>
        <w:rPr>
          <w:rFonts w:cs="Tahoma"/>
          <w:szCs w:val="18"/>
        </w:rPr>
      </w:pPr>
      <w:r w:rsidRPr="0083212C">
        <w:rPr>
          <w:rFonts w:cs="Tahoma"/>
          <w:szCs w:val="18"/>
        </w:rPr>
        <w:t>2012 Yılı Yatırım Programına göre, tamamlanmak üzere kalan proje stoku büyüklüğü 199 milyar TL’dir. Bu durumda, 2012 yılı ödeneklerinin tamamının harcanacağı, kamu yatırımları için sonraki yıllarda da 2012 yılı düzeyinde ödenek ayrılacağı ve Programa yeni proje alınmayacağı varsayımıyla, mevcut stokun tamamen bitirilebilmesi için 2012 yılı sonrasında 4,2 yıllık bir süre gerekmektedir. 2012 yılı, proje tutarına oranla en yüksek seviyede kamu yatırım ödeneğinin tahsis edildiği yıl olmuştur. Yıl içinde verilen ilave ödeneklerle, proje tutarına oranla ayrılan ödenek seviyesi daha da artırılmış ve proje stokunun ortalama tamamlanma süresi daha düşük seviyelere çekilmiştir.</w:t>
      </w:r>
    </w:p>
    <w:p w:rsidR="00565FD5" w:rsidRPr="0083212C" w:rsidRDefault="00565FD5" w:rsidP="00565FD5">
      <w:pPr>
        <w:spacing w:after="180"/>
        <w:ind w:firstLine="425"/>
        <w:rPr>
          <w:rFonts w:cs="Tahoma"/>
          <w:szCs w:val="18"/>
        </w:rPr>
      </w:pPr>
      <w:r w:rsidRPr="0083212C">
        <w:rPr>
          <w:rFonts w:cs="Tahoma"/>
          <w:szCs w:val="18"/>
        </w:rPr>
        <w:t>2012 yılında tahsis edilen 38,2 milyar TL tutarındaki yatırım ödeneğinin yüzde 73’üne karşılık gelen 27,8 milyar TL tutarındaki merkezi yönetim bütçesi yatırımlarından en büyük payı yüzde 23,9’luk pay ile ulaştırma-haberleşme sektörü almış, bu sektörü yüzde 21,1’le eğitim sektörü, yüzde 18,2’yle tarım sektörü takip etmiştir. Genel idare, güvenlik, adalet, içmesuyu, çevre, teknolojik araştırma gibi alt sektörlerin yer aldığı diğer kamu hizmetleri sektörünün payı ise yüzde 21’dir.</w:t>
      </w:r>
    </w:p>
    <w:p w:rsidR="00565FD5" w:rsidRPr="0083212C" w:rsidRDefault="00565FD5" w:rsidP="00565FD5">
      <w:pPr>
        <w:spacing w:after="180"/>
        <w:ind w:firstLine="425"/>
        <w:rPr>
          <w:rFonts w:cs="Tahoma"/>
          <w:szCs w:val="18"/>
        </w:rPr>
      </w:pPr>
      <w:r w:rsidRPr="0083212C">
        <w:rPr>
          <w:rFonts w:cs="Tahoma"/>
          <w:szCs w:val="18"/>
        </w:rPr>
        <w:t>2.622 proje için tahsis edilen 38,2 milyar TL tutarındaki ödeneğin yüzde 11,4’ü olan 4,3 milyar TL’nin dış proje kredisiyle finanse edilmesi öngörülmüştür. 2012 Yılı Yatırım Programında yer alan, kısmen veya tamamen dış proje kredisiyle finanse edilmesi öngörülen 60 projenin</w:t>
      </w:r>
      <w:r>
        <w:rPr>
          <w:rFonts w:cs="Tahoma"/>
          <w:szCs w:val="18"/>
        </w:rPr>
        <w:t xml:space="preserve"> </w:t>
      </w:r>
      <w:r w:rsidRPr="0083212C">
        <w:rPr>
          <w:rFonts w:cs="Tahoma"/>
          <w:szCs w:val="18"/>
        </w:rPr>
        <w:t>toplam tutarı 81,6 milyar TL’dir.</w:t>
      </w:r>
    </w:p>
    <w:p w:rsidR="00565FD5" w:rsidRPr="0083212C" w:rsidRDefault="00565FD5" w:rsidP="00565FD5">
      <w:pPr>
        <w:spacing w:after="180"/>
        <w:ind w:firstLine="425"/>
        <w:rPr>
          <w:rFonts w:cs="Tahoma"/>
          <w:szCs w:val="18"/>
        </w:rPr>
      </w:pPr>
      <w:r w:rsidRPr="0083212C">
        <w:rPr>
          <w:rFonts w:cs="Tahoma"/>
          <w:szCs w:val="18"/>
        </w:rPr>
        <w:t xml:space="preserve">Kamu yatırım programının rasyonelleştirilmesi çalışmaları kapsamında, kısıtlı ödenekler, kısa sürede tamamlanabilecek acil ve öncelikli projelere tahsis edilmiş, 2,1 milyar TL tutarındaki 10 proje ise sonraki yıllarda yürütülmek üzere, 2012 Yılı Yatırım Programında sembolik miktardaki iz ödenekle yer almıştır. </w:t>
      </w:r>
    </w:p>
    <w:p w:rsidR="00565FD5" w:rsidRPr="0083212C" w:rsidRDefault="00565FD5" w:rsidP="00565FD5">
      <w:pPr>
        <w:spacing w:after="180"/>
        <w:ind w:firstLine="425"/>
        <w:rPr>
          <w:rFonts w:cs="Tahoma"/>
          <w:szCs w:val="18"/>
        </w:rPr>
      </w:pPr>
      <w:r w:rsidRPr="0083212C">
        <w:rPr>
          <w:rFonts w:cs="Tahoma"/>
          <w:szCs w:val="18"/>
        </w:rPr>
        <w:lastRenderedPageBreak/>
        <w:t xml:space="preserve">Ülkemizde, rasyonelleştirme çalışmalarıyla son yıllarda sağlanan iyileştirmelere rağmen, sistematik proje döngüsü yaklaşımındaki ve kamu kuruluşlarının proje hazırlama, uygulama, izleme ve değerlendirme konularındaki eksiklikler gibi  faktörler </w:t>
      </w:r>
      <w:r w:rsidRPr="0083212C">
        <w:rPr>
          <w:rFonts w:ascii="Calibri" w:hAnsi="Calibri"/>
          <w:szCs w:val="18"/>
        </w:rPr>
        <w:t xml:space="preserve">  </w:t>
      </w:r>
      <w:r w:rsidRPr="0083212C">
        <w:rPr>
          <w:rFonts w:cs="Tahoma"/>
          <w:szCs w:val="18"/>
        </w:rPr>
        <w:t xml:space="preserve"> projelerin planlandığı şekilde yürütülmesini engellemektedir. Bununla birlikte, ülkemizin birçok alanda yeni yatırım ihtiyacının yanı sıra, mevcut sermaye stokunun daha etkin kullanılmasına ve korunmasına yönelik idame-yenileme, bakım-onarım, rehabilitasyon ve modernizasyon ihtiyacı bulunmaktadır.</w:t>
      </w:r>
    </w:p>
    <w:p w:rsidR="00565FD5" w:rsidRPr="0083212C" w:rsidRDefault="00565FD5" w:rsidP="00565FD5">
      <w:pPr>
        <w:spacing w:after="180"/>
        <w:rPr>
          <w:rFonts w:cs="Tahoma"/>
          <w:color w:val="000000"/>
          <w:szCs w:val="18"/>
        </w:rPr>
      </w:pPr>
      <w:r w:rsidRPr="0083212C">
        <w:rPr>
          <w:rFonts w:cs="Tahoma"/>
          <w:color w:val="000000"/>
          <w:szCs w:val="18"/>
        </w:rPr>
        <w:tab/>
        <w:t>2013 yılında, sektörel ve bölgesel önceliklerin yanı sıra devam eden projelerden;</w:t>
      </w:r>
    </w:p>
    <w:p w:rsidR="00565FD5" w:rsidRPr="0083212C" w:rsidRDefault="00565FD5" w:rsidP="00EB1E69">
      <w:pPr>
        <w:numPr>
          <w:ilvl w:val="0"/>
          <w:numId w:val="1"/>
        </w:numPr>
        <w:tabs>
          <w:tab w:val="num" w:pos="720"/>
        </w:tabs>
        <w:spacing w:after="120" w:line="240" w:lineRule="auto"/>
        <w:ind w:left="720" w:hanging="238"/>
        <w:jc w:val="both"/>
        <w:rPr>
          <w:rFonts w:cs="Tahoma"/>
          <w:color w:val="000000"/>
          <w:szCs w:val="18"/>
        </w:rPr>
      </w:pPr>
      <w:r w:rsidRPr="0083212C">
        <w:rPr>
          <w:rFonts w:cs="Tahoma"/>
          <w:color w:val="000000"/>
          <w:szCs w:val="18"/>
        </w:rPr>
        <w:t>2013 yılı içinde tamamlanarak ekonomiye kazandırılabilecek projelere,</w:t>
      </w:r>
    </w:p>
    <w:p w:rsidR="00565FD5" w:rsidRPr="0083212C" w:rsidRDefault="00565FD5" w:rsidP="00EB1E69">
      <w:pPr>
        <w:numPr>
          <w:ilvl w:val="0"/>
          <w:numId w:val="1"/>
        </w:numPr>
        <w:tabs>
          <w:tab w:val="num" w:pos="720"/>
        </w:tabs>
        <w:spacing w:after="120" w:line="240" w:lineRule="auto"/>
        <w:ind w:left="720" w:hanging="238"/>
        <w:jc w:val="both"/>
        <w:rPr>
          <w:rFonts w:cs="Tahoma"/>
          <w:color w:val="000000"/>
          <w:szCs w:val="18"/>
        </w:rPr>
      </w:pPr>
      <w:r w:rsidRPr="0083212C">
        <w:rPr>
          <w:rFonts w:cs="Tahoma"/>
          <w:color w:val="000000"/>
          <w:szCs w:val="18"/>
        </w:rPr>
        <w:t>Uygulamasında önemli fiziki gerçekleşme sağlanmış projelere,</w:t>
      </w:r>
    </w:p>
    <w:p w:rsidR="00565FD5" w:rsidRPr="0083212C" w:rsidRDefault="00565FD5" w:rsidP="00EB1E69">
      <w:pPr>
        <w:numPr>
          <w:ilvl w:val="0"/>
          <w:numId w:val="1"/>
        </w:numPr>
        <w:tabs>
          <w:tab w:val="num" w:pos="720"/>
        </w:tabs>
        <w:spacing w:after="120" w:line="240" w:lineRule="auto"/>
        <w:ind w:left="720" w:hanging="238"/>
        <w:jc w:val="both"/>
        <w:rPr>
          <w:rFonts w:cs="Tahoma"/>
          <w:color w:val="000000"/>
          <w:szCs w:val="18"/>
        </w:rPr>
      </w:pPr>
      <w:r w:rsidRPr="0083212C">
        <w:rPr>
          <w:rFonts w:cs="Tahoma"/>
          <w:color w:val="000000"/>
          <w:szCs w:val="18"/>
        </w:rPr>
        <w:t>Başlatılmış bulunan diğer projelerle bağlantılı veya eş zamanlı olarak yürütülmesi ve tamamlanması gereken projelere,</w:t>
      </w:r>
    </w:p>
    <w:p w:rsidR="00565FD5" w:rsidRPr="0083212C" w:rsidRDefault="00565FD5" w:rsidP="00EB1E69">
      <w:pPr>
        <w:numPr>
          <w:ilvl w:val="0"/>
          <w:numId w:val="1"/>
        </w:numPr>
        <w:tabs>
          <w:tab w:val="num" w:pos="720"/>
        </w:tabs>
        <w:spacing w:after="120" w:line="240" w:lineRule="auto"/>
        <w:ind w:left="720" w:hanging="238"/>
        <w:jc w:val="both"/>
        <w:rPr>
          <w:rFonts w:cs="Tahoma"/>
          <w:color w:val="000000"/>
          <w:szCs w:val="18"/>
        </w:rPr>
      </w:pPr>
      <w:r w:rsidRPr="0083212C">
        <w:rPr>
          <w:rFonts w:cs="Tahoma"/>
          <w:color w:val="000000"/>
          <w:szCs w:val="18"/>
        </w:rPr>
        <w:t>Mevcut sermaye stokunun daha etkin kullanılmasına ve korunmasına yönelik idame-yenileme, bakım-onarım, rehabilitasyon ve modernizasyon türü yatırım projelerine,</w:t>
      </w:r>
    </w:p>
    <w:p w:rsidR="00565FD5" w:rsidRPr="0083212C" w:rsidRDefault="00565FD5" w:rsidP="00EB1E69">
      <w:pPr>
        <w:numPr>
          <w:ilvl w:val="0"/>
          <w:numId w:val="1"/>
        </w:numPr>
        <w:tabs>
          <w:tab w:val="num" w:pos="720"/>
        </w:tabs>
        <w:spacing w:after="120" w:line="240" w:lineRule="auto"/>
        <w:ind w:left="720" w:hanging="238"/>
        <w:jc w:val="both"/>
        <w:rPr>
          <w:rFonts w:cs="Tahoma"/>
          <w:color w:val="000000"/>
          <w:szCs w:val="18"/>
        </w:rPr>
      </w:pPr>
      <w:r w:rsidRPr="0083212C">
        <w:rPr>
          <w:rFonts w:cs="Tahoma"/>
          <w:color w:val="000000"/>
          <w:szCs w:val="18"/>
        </w:rPr>
        <w:t>Afet risklerinin azaltılması ve afetlerin önlenmesi ile afet hasarlarının telafisine yönelik projelere,</w:t>
      </w:r>
    </w:p>
    <w:p w:rsidR="00565FD5" w:rsidRPr="0083212C" w:rsidRDefault="00565FD5" w:rsidP="00EB1E69">
      <w:pPr>
        <w:numPr>
          <w:ilvl w:val="0"/>
          <w:numId w:val="1"/>
        </w:numPr>
        <w:tabs>
          <w:tab w:val="num" w:pos="720"/>
        </w:tabs>
        <w:spacing w:after="0" w:line="240" w:lineRule="auto"/>
        <w:ind w:left="720" w:hanging="240"/>
        <w:jc w:val="both"/>
        <w:rPr>
          <w:rFonts w:ascii="Arial" w:hAnsi="Arial"/>
        </w:rPr>
      </w:pPr>
      <w:r w:rsidRPr="0083212C">
        <w:rPr>
          <w:rFonts w:ascii="Arial" w:hAnsi="Arial"/>
        </w:rPr>
        <w:t>e-Dönüşüm Türkiye Projesi ve Bil</w:t>
      </w:r>
      <w:r>
        <w:rPr>
          <w:rFonts w:ascii="Arial" w:hAnsi="Arial"/>
        </w:rPr>
        <w:t>gi Toplumu Stratejisiyle uyumlu</w:t>
      </w:r>
      <w:r w:rsidRPr="0083212C">
        <w:rPr>
          <w:rFonts w:ascii="Arial" w:hAnsi="Arial"/>
        </w:rPr>
        <w:t xml:space="preserve"> projelere </w:t>
      </w:r>
    </w:p>
    <w:p w:rsidR="00565FD5" w:rsidRPr="0083212C" w:rsidRDefault="00565FD5" w:rsidP="00565FD5">
      <w:pPr>
        <w:ind w:left="720"/>
        <w:rPr>
          <w:rFonts w:cs="Tahoma"/>
          <w:color w:val="000000"/>
          <w:szCs w:val="18"/>
        </w:rPr>
      </w:pPr>
    </w:p>
    <w:p w:rsidR="00565FD5" w:rsidRPr="0083212C" w:rsidRDefault="00565FD5" w:rsidP="00565FD5">
      <w:pPr>
        <w:spacing w:after="240"/>
        <w:rPr>
          <w:rFonts w:cs="Tahoma"/>
          <w:color w:val="000000"/>
          <w:szCs w:val="18"/>
        </w:rPr>
      </w:pPr>
      <w:r w:rsidRPr="0083212C">
        <w:rPr>
          <w:rFonts w:cs="Tahoma"/>
          <w:color w:val="000000"/>
          <w:szCs w:val="18"/>
        </w:rPr>
        <w:t xml:space="preserve">ağırlık verilecektir. </w:t>
      </w:r>
    </w:p>
    <w:p w:rsidR="00565FD5" w:rsidRPr="00A12B45" w:rsidRDefault="00565FD5" w:rsidP="00565FD5">
      <w:pPr>
        <w:pStyle w:val="Balk4"/>
        <w:rPr>
          <w:noProof/>
          <w:lang w:val="en-US"/>
        </w:rPr>
      </w:pPr>
      <w:bookmarkStart w:id="525" w:name="_Toc338505516"/>
      <w:bookmarkStart w:id="526" w:name="_Toc338505729"/>
      <w:bookmarkStart w:id="527" w:name="_Toc338505768"/>
      <w:bookmarkStart w:id="528" w:name="_Toc338523733"/>
      <w:bookmarkStart w:id="529" w:name="_Toc338523974"/>
      <w:bookmarkStart w:id="530" w:name="_Toc338526200"/>
      <w:bookmarkStart w:id="531" w:name="_Toc338673643"/>
      <w:bookmarkStart w:id="532" w:name="_Toc338711522"/>
      <w:r>
        <w:rPr>
          <w:noProof/>
          <w:lang w:val="en-US"/>
        </w:rPr>
        <w:t xml:space="preserve">3. </w:t>
      </w:r>
      <w:r w:rsidRPr="00A12B45">
        <w:rPr>
          <w:noProof/>
          <w:lang w:val="en-US"/>
        </w:rPr>
        <w:t>Kamu Özel İşbirliği Uygulamaları</w:t>
      </w:r>
      <w:bookmarkEnd w:id="525"/>
      <w:bookmarkEnd w:id="526"/>
      <w:bookmarkEnd w:id="527"/>
      <w:bookmarkEnd w:id="528"/>
      <w:bookmarkEnd w:id="529"/>
      <w:bookmarkEnd w:id="530"/>
      <w:bookmarkEnd w:id="531"/>
      <w:bookmarkEnd w:id="532"/>
    </w:p>
    <w:p w:rsidR="00565FD5" w:rsidRPr="0083212C" w:rsidRDefault="00565FD5" w:rsidP="00565FD5">
      <w:pPr>
        <w:rPr>
          <w:rFonts w:cs="Tahoma"/>
        </w:rPr>
      </w:pPr>
      <w:r w:rsidRPr="0083212C">
        <w:rPr>
          <w:rFonts w:cs="Tahoma"/>
        </w:rPr>
        <w:tab/>
        <w:t xml:space="preserve">Ülkemizde, 3996 ve 3359 sayılı Kanunlar kapsamında bugüne kadar, toplam 137 proje için Yüksek Planlama Kurulundan (YPK) yetki alınmıştır. Yetki alınan 137 projeden 42’sinin uygulama sözleşmesi imzalanmıştır. 42 projenin 29’u işletmede olup kalan 13’ünün yapımına devam edilmektedir. Uygulama sözleşmesi imzalanan projeler içerisinde sayı bakımından yat limanları ilk sırada yer alırken havaalanları ve gümrük tesisleri yat limanlarını izlemektedir. Son 3 yıllık süreç içerisinde ise 19 projeyle YPK’dan en fazla yetki alan sektör, entegre </w:t>
      </w:r>
      <w:r w:rsidRPr="0083212C">
        <w:rPr>
          <w:rFonts w:cs="Tahoma"/>
        </w:rPr>
        <w:lastRenderedPageBreak/>
        <w:t>sağlık kampüsleri inşasıyla hizmetlerin daha modern şekilde sunulması amaçlanan sağlık sektörüdür.</w:t>
      </w:r>
    </w:p>
    <w:p w:rsidR="00565FD5" w:rsidRPr="0083212C" w:rsidRDefault="00565FD5" w:rsidP="00565FD5">
      <w:pPr>
        <w:rPr>
          <w:rFonts w:cs="Tahoma"/>
        </w:rPr>
      </w:pPr>
    </w:p>
    <w:p w:rsidR="00565FD5" w:rsidRPr="0083212C" w:rsidRDefault="00565FD5" w:rsidP="00565FD5">
      <w:pPr>
        <w:rPr>
          <w:rFonts w:cs="Tahoma"/>
        </w:rPr>
      </w:pPr>
      <w:r w:rsidRPr="0083212C">
        <w:rPr>
          <w:rFonts w:cs="Tahoma"/>
        </w:rPr>
        <w:tab/>
        <w:t xml:space="preserve">Söz konusu projelere ilaveten, YPK yetkisine tabi olmayan 17 otoyol hizmet tesisi projesi ve 25 enerji projesi Yap-İşlet-Devret (YİD) modeliyle hayata geçirilmiştir. Bunlara ilaveten enerji sektöründe, halihazırda işletmede olan 13 İşletme Hakkı Devri (İHD) ve 5 Yap-İşlet modelli KÖİ projesi bulunmaktadır. Ayrıca, Özelleştirme İdaresi Başkanlığı tarafından 16 limanın, DHMİ tarafından 5 ve Savunma Sanayii Müsteşarlığı tarafından 1 olmak üzere toplam 6 havaalanının işletme hakları özel sektöre devredilmiştir. </w:t>
      </w:r>
    </w:p>
    <w:p w:rsidR="00565FD5" w:rsidRPr="0083212C" w:rsidRDefault="00565FD5" w:rsidP="00565FD5">
      <w:pPr>
        <w:rPr>
          <w:rFonts w:cs="Tahoma"/>
        </w:rPr>
      </w:pPr>
    </w:p>
    <w:p w:rsidR="00565FD5" w:rsidRPr="0083212C" w:rsidRDefault="00565FD5" w:rsidP="00565FD5">
      <w:pPr>
        <w:rPr>
          <w:rFonts w:cs="Tahoma"/>
        </w:rPr>
      </w:pPr>
      <w:r w:rsidRPr="0083212C">
        <w:rPr>
          <w:rFonts w:cs="Tahoma"/>
        </w:rPr>
        <w:tab/>
        <w:t>2012 yılı Eylül ayı itibarıyla KÖİ envanterinde, yapım aşamasında olan 7 proje, sözleşmesi imzalanmış olup finansman aşamasında olan 7 proje, ihale süreci tamamlanmış ancak sözleşmesi imzalanmamış 6 proje ve ihale süreci devam eden 16 proje mevcuttur. İnşaatı devam eden projelerin toplam tutarı 351 milyon TL iken sözleşmesi imzalanmış olup finansman arayan projelerin toplam tutarı 17,2 milyar TL’dir.</w:t>
      </w:r>
    </w:p>
    <w:p w:rsidR="00565FD5" w:rsidRPr="0083212C" w:rsidRDefault="00565FD5" w:rsidP="00565FD5">
      <w:pPr>
        <w:rPr>
          <w:rFonts w:cs="Tahoma"/>
        </w:rPr>
      </w:pPr>
    </w:p>
    <w:p w:rsidR="00565FD5" w:rsidRPr="0083212C" w:rsidRDefault="00565FD5" w:rsidP="00565FD5">
      <w:pPr>
        <w:rPr>
          <w:rFonts w:cs="Tahoma"/>
        </w:rPr>
      </w:pPr>
      <w:r w:rsidRPr="0083212C">
        <w:rPr>
          <w:rFonts w:cs="Tahoma"/>
        </w:rPr>
        <w:tab/>
        <w:t xml:space="preserve">YİD mevzuatında 2011 yılı içinde kapsamlı değişiklikler gerçekleştirilmiştir. Bu çerçevede 25/02/2011 tarihli ve 6111 sayılı Kanunla 3996 sayılı Kanunda bir dizi değişiklik yapılmıştır. Söz konusu değişikliklerle, YİD projelerinin hazırlık ve onay sürecinin kolaylaştırılması, nitelikli proje belgelerinin hazırlanmasına imkân sağlanması ve projelerin yatırımcılar için daha cazip hale getirilmesi amaçlanmıştır. 2012 yılında ise 6288 sayılı Kanunla 2023 yılına kadar 3996 ve 3359 sayılı Kanunlar kapsamında gerçekleştirilmesi planlanan KÖİ projeleri ihale edilirken, projeyi üstlenen firmaların proje kapsamında inşaata yönelik olarak yaptığı mal ve hizmet teslimleri ile sağlık tesislerinin Sağlık Bakanlığına kiralanmasının katma değer vergisinden müstesna olması hususu düzenlenmiştir. Yine aynı Kanunla YİD Modelinde kredi üstlenimi hususu yasal zemine kavuşturulmuştur. Eğitim alanında KÖİ projelerinin uygulanmasının altyapısı 14/09/2011 tarihli ve 652 sayılı Kanun Hükmünde </w:t>
      </w:r>
      <w:r w:rsidRPr="0083212C">
        <w:rPr>
          <w:rFonts w:cs="Tahoma"/>
        </w:rPr>
        <w:lastRenderedPageBreak/>
        <w:t>Kararnameyle oluşturulmuştur.  Yap-Kirala olarak adlandırılan modelin Yönetmeliği 08/09/2012 tarihli Resmi Gazete’de yayımlanarak yürürlüğe girmiştir.</w:t>
      </w:r>
    </w:p>
    <w:p w:rsidR="00565FD5" w:rsidRPr="0083212C" w:rsidRDefault="00565FD5" w:rsidP="00565FD5">
      <w:pPr>
        <w:rPr>
          <w:rFonts w:cs="Tahoma"/>
        </w:rPr>
      </w:pPr>
    </w:p>
    <w:p w:rsidR="00565FD5" w:rsidRDefault="00565FD5" w:rsidP="00565FD5">
      <w:pPr>
        <w:spacing w:after="120"/>
        <w:rPr>
          <w:rFonts w:cs="Tahoma"/>
        </w:rPr>
      </w:pPr>
      <w:r w:rsidRPr="0083212C">
        <w:rPr>
          <w:rFonts w:cs="Tahoma"/>
        </w:rPr>
        <w:tab/>
        <w:t xml:space="preserve">Uzun bir uygulama geçmişinin bulunmasına ve gelişen mevzuata rağmen, KÖİ alanında; </w:t>
      </w:r>
      <w:r>
        <w:rPr>
          <w:rFonts w:cs="Tahoma"/>
        </w:rPr>
        <w:t xml:space="preserve">daha </w:t>
      </w:r>
      <w:r w:rsidRPr="0083212C">
        <w:rPr>
          <w:rFonts w:cs="Tahoma"/>
        </w:rPr>
        <w:t>nitelikli yapılabilirlik etüdlerinin hazırlanması, diğer kamu yatırımlarına ait yapılabilirlik etüdlerinden farklı olarak, geleneksel yöntemler ile KÖİ alternatifinin karşılaştırmalı analizlerinin tam olarak yapılması, gerek yatırımcı kuruluşlarda gerekse sistemdeki diğer kurumlardaki kurumsal kapasite</w:t>
      </w:r>
      <w:r>
        <w:rPr>
          <w:rFonts w:cs="Tahoma"/>
        </w:rPr>
        <w:t>nin</w:t>
      </w:r>
      <w:r w:rsidRPr="0083212C">
        <w:rPr>
          <w:rFonts w:cs="Tahoma"/>
        </w:rPr>
        <w:t xml:space="preserve"> </w:t>
      </w:r>
      <w:r>
        <w:rPr>
          <w:rFonts w:cs="Tahoma"/>
        </w:rPr>
        <w:t>geliştirilmesi</w:t>
      </w:r>
      <w:r w:rsidRPr="0083212C">
        <w:rPr>
          <w:rFonts w:cs="Tahoma"/>
        </w:rPr>
        <w:t xml:space="preserve">, projelerin düzenli takibi ve raporlanmasına yönelik nitelikli bir izleme ve değerlendirme sisteminin </w:t>
      </w:r>
      <w:r>
        <w:rPr>
          <w:rFonts w:cs="Tahoma"/>
        </w:rPr>
        <w:t>kurulması ihtiyacı</w:t>
      </w:r>
      <w:r w:rsidRPr="0083212C">
        <w:rPr>
          <w:rFonts w:cs="Tahoma"/>
        </w:rPr>
        <w:t xml:space="preserve"> devam etmektedir. </w:t>
      </w:r>
    </w:p>
    <w:p w:rsidR="00565FD5" w:rsidRDefault="00565FD5" w:rsidP="00565FD5">
      <w:pPr>
        <w:rPr>
          <w:rFonts w:cs="Tahoma"/>
        </w:rPr>
      </w:pPr>
    </w:p>
    <w:p w:rsidR="00565FD5" w:rsidRPr="0083212C" w:rsidRDefault="00565FD5" w:rsidP="00565FD5">
      <w:pPr>
        <w:spacing w:after="120"/>
        <w:rPr>
          <w:rFonts w:cs="Tahoma"/>
        </w:rPr>
      </w:pPr>
      <w:r w:rsidRPr="0083212C">
        <w:rPr>
          <w:rFonts w:cs="Tahoma"/>
        </w:rPr>
        <w:tab/>
        <w:t>Artan kamu yatırım ihtiyacını karşılamak ve özel sektörün sermaye birikiminden ve yönetim becerilerinden azami şekilde faydalanılarak, yatırımlara alternatif finansman kaynakları yaratmak amacıyla KÖİ modellerinin uygulanmasına devam edilecektir. Bu kapsamda nitelikli etütlere dayanan ve projelerin bütçeye olan yüklerini de analiz eden çalışmalara dayalı olarak, KÖİ’nin geleneksel yöntemlere göre daha avantajlı olmasına ve muhtemel yük ile sorumlulukların kamu ve özel kesim arasında dengeli bir şekilde dağılmasına dikkat edilecektir. Ayrıca, bu alanda kurumsal kapasitenin geliştirilmesine yönelik çalışmalara hız verilecektir.</w:t>
      </w:r>
    </w:p>
    <w:p w:rsidR="00565FD5" w:rsidRPr="009A7DA0" w:rsidRDefault="00565FD5" w:rsidP="00565FD5">
      <w:pPr>
        <w:pStyle w:val="Balk3"/>
      </w:pPr>
      <w:bookmarkStart w:id="533" w:name="_Toc276076229"/>
      <w:bookmarkStart w:id="534" w:name="_Toc307601936"/>
      <w:bookmarkStart w:id="535" w:name="_Toc307670384"/>
      <w:bookmarkStart w:id="536" w:name="_Toc307701610"/>
      <w:bookmarkStart w:id="537" w:name="_Toc338494212"/>
      <w:bookmarkStart w:id="538" w:name="_Toc338494375"/>
      <w:bookmarkStart w:id="539" w:name="_Toc338505517"/>
      <w:bookmarkStart w:id="540" w:name="_Toc338505730"/>
      <w:bookmarkStart w:id="541" w:name="_Toc338505769"/>
      <w:bookmarkStart w:id="542" w:name="_Toc338523734"/>
      <w:bookmarkStart w:id="543" w:name="_Toc338523975"/>
      <w:bookmarkStart w:id="544" w:name="_Toc338526201"/>
      <w:bookmarkStart w:id="545" w:name="_Toc338673644"/>
      <w:bookmarkStart w:id="546" w:name="_Toc338711523"/>
      <w:r w:rsidRPr="009A7DA0">
        <w:t>C. ÖDEMELER DENGESİ</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rsidR="00565FD5" w:rsidRPr="001131FC" w:rsidRDefault="00565FD5" w:rsidP="00565FD5">
      <w:pPr>
        <w:pStyle w:val="Balk4"/>
      </w:pPr>
      <w:bookmarkStart w:id="547" w:name="_Toc118519947"/>
      <w:bookmarkStart w:id="548" w:name="_Toc118521941"/>
      <w:bookmarkStart w:id="549" w:name="_Toc118522323"/>
      <w:bookmarkStart w:id="550" w:name="_Toc118526716"/>
      <w:bookmarkStart w:id="551" w:name="_Toc118526931"/>
      <w:bookmarkStart w:id="552" w:name="_Toc118555829"/>
      <w:bookmarkStart w:id="553" w:name="_Toc118560432"/>
      <w:bookmarkStart w:id="554" w:name="_Toc118567077"/>
      <w:bookmarkStart w:id="555" w:name="_Toc118567182"/>
      <w:bookmarkStart w:id="556" w:name="_Toc118568060"/>
      <w:bookmarkStart w:id="557" w:name="_Toc213065611"/>
      <w:bookmarkStart w:id="558" w:name="_Toc244253625"/>
      <w:bookmarkStart w:id="559" w:name="_Toc244254875"/>
      <w:bookmarkStart w:id="560" w:name="_Toc244313611"/>
      <w:bookmarkStart w:id="561" w:name="_Toc244315088"/>
      <w:bookmarkStart w:id="562" w:name="_Toc244339551"/>
      <w:bookmarkStart w:id="563" w:name="_Toc276076230"/>
      <w:bookmarkStart w:id="564" w:name="_Toc307601937"/>
      <w:bookmarkStart w:id="565" w:name="_Toc307670385"/>
      <w:bookmarkStart w:id="566" w:name="_Toc307701611"/>
      <w:bookmarkStart w:id="567" w:name="_Toc338505518"/>
      <w:bookmarkStart w:id="568" w:name="_Toc338505731"/>
      <w:bookmarkStart w:id="569" w:name="_Toc338505770"/>
      <w:bookmarkStart w:id="570" w:name="_Toc338523735"/>
      <w:bookmarkStart w:id="571" w:name="_Toc338523976"/>
      <w:bookmarkStart w:id="572" w:name="_Toc338526202"/>
      <w:bookmarkStart w:id="573" w:name="_Toc338673645"/>
      <w:bookmarkStart w:id="574" w:name="_Toc338711524"/>
      <w:r w:rsidRPr="001131FC">
        <w:t xml:space="preserve">1. Cari İşlemler </w:t>
      </w:r>
      <w:bookmarkEnd w:id="547"/>
      <w:bookmarkEnd w:id="548"/>
      <w:bookmarkEnd w:id="549"/>
      <w:bookmarkEnd w:id="550"/>
      <w:bookmarkEnd w:id="551"/>
      <w:bookmarkEnd w:id="552"/>
      <w:bookmarkEnd w:id="553"/>
      <w:bookmarkEnd w:id="554"/>
      <w:bookmarkEnd w:id="555"/>
      <w:bookmarkEnd w:id="556"/>
      <w:bookmarkEnd w:id="557"/>
      <w:r w:rsidRPr="001131FC">
        <w:t>Hesabı</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rsidR="00565FD5" w:rsidRPr="001131FC" w:rsidRDefault="00565FD5" w:rsidP="00565FD5">
      <w:pPr>
        <w:spacing w:after="180"/>
        <w:ind w:firstLine="425"/>
        <w:rPr>
          <w:b/>
          <w:szCs w:val="18"/>
        </w:rPr>
      </w:pPr>
      <w:r w:rsidRPr="001131FC">
        <w:rPr>
          <w:b/>
          <w:szCs w:val="18"/>
        </w:rPr>
        <w:t>a) Mevcut Durum</w:t>
      </w:r>
      <w:bookmarkStart w:id="575" w:name="_Toc213071592"/>
    </w:p>
    <w:p w:rsidR="00565FD5" w:rsidRPr="001131FC" w:rsidRDefault="00565FD5" w:rsidP="00565FD5">
      <w:pPr>
        <w:spacing w:after="240"/>
        <w:ind w:firstLine="425"/>
        <w:rPr>
          <w:color w:val="00B050"/>
          <w:szCs w:val="18"/>
        </w:rPr>
      </w:pPr>
      <w:bookmarkStart w:id="576" w:name="_Toc244339792"/>
      <w:r w:rsidRPr="001131FC">
        <w:rPr>
          <w:szCs w:val="18"/>
        </w:rPr>
        <w:t xml:space="preserve">2010 yılında hızla artan iç talep, 2011 yılında da canlılığını korumuş, yurtdışı talep ise zayıf seyrini devam ettirmiştir. İthalatın ihracattan hızlı artışının devam etmesi dış ticaret açığı ve cari açığın yükselmesinde etkili olmuştur. Bu gelişmeler sonucunda, 2010 yılında 46,6 milyar ABD doları seviyesinde gerçekleşen cari işlemler açığı, 2011 yılında 77,1 milyar ABD dolarına ulaşmıştır. Alınan tedbirler neticesinde yavaşlayan iç talep, 2012 yılının Ocak-Ağustos </w:t>
      </w:r>
      <w:r w:rsidRPr="001131FC">
        <w:rPr>
          <w:szCs w:val="18"/>
        </w:rPr>
        <w:lastRenderedPageBreak/>
        <w:t xml:space="preserve">döneminde ithalatın hız kesmesine neden olmuş ve net ihracattaki artışın da etkisiyle Ağustos ayında yıllıklandırılmış cari işlemler açığı 59 milyar ABD dolarına gerilemiştir. </w:t>
      </w:r>
    </w:p>
    <w:p w:rsidR="00565FD5" w:rsidRPr="00AE74B1" w:rsidRDefault="00565FD5" w:rsidP="00565FD5">
      <w:pPr>
        <w:pStyle w:val="ResimYazs"/>
      </w:pPr>
      <w:bookmarkStart w:id="577" w:name="_Toc275873819"/>
      <w:bookmarkStart w:id="578" w:name="_Toc276076443"/>
      <w:bookmarkStart w:id="579" w:name="_Toc307601607"/>
      <w:bookmarkStart w:id="580" w:name="_Toc307657849"/>
      <w:bookmarkStart w:id="581" w:name="_Toc307702105"/>
      <w:bookmarkStart w:id="582" w:name="_Toc338605969"/>
      <w:bookmarkStart w:id="583" w:name="_Toc338711744"/>
      <w:r>
        <w:t xml:space="preserve">TABLO II: </w:t>
      </w:r>
      <w:fldSimple w:instr=" SEQ TABLO_II: \* ARABIC ">
        <w:r>
          <w:rPr>
            <w:noProof/>
          </w:rPr>
          <w:t>17</w:t>
        </w:r>
      </w:fldSimple>
      <w:r w:rsidRPr="00AE74B1">
        <w:t>- Türkiye’nin Dış Ticareti ve Dış Ticareti Etkileyen Faktörler</w:t>
      </w:r>
      <w:bookmarkEnd w:id="575"/>
      <w:bookmarkEnd w:id="576"/>
      <w:bookmarkEnd w:id="577"/>
      <w:bookmarkEnd w:id="578"/>
      <w:bookmarkEnd w:id="579"/>
      <w:bookmarkEnd w:id="580"/>
      <w:bookmarkEnd w:id="581"/>
      <w:bookmarkEnd w:id="582"/>
      <w:bookmarkEnd w:id="583"/>
    </w:p>
    <w:p w:rsidR="00565FD5" w:rsidRPr="001131FC" w:rsidRDefault="00565FD5" w:rsidP="00565FD5">
      <w:pPr>
        <w:ind w:right="67"/>
        <w:jc w:val="right"/>
      </w:pPr>
      <w:r w:rsidRPr="001131FC">
        <w:rPr>
          <w:rFonts w:cs="Tahoma"/>
          <w:sz w:val="16"/>
          <w:szCs w:val="16"/>
        </w:rPr>
        <w:t>(Yüzde Değişim)</w:t>
      </w:r>
    </w:p>
    <w:tbl>
      <w:tblPr>
        <w:tblW w:w="5000" w:type="pct"/>
        <w:tblCellMar>
          <w:left w:w="0" w:type="dxa"/>
          <w:right w:w="0" w:type="dxa"/>
        </w:tblCellMar>
        <w:tblLook w:val="0000"/>
      </w:tblPr>
      <w:tblGrid>
        <w:gridCol w:w="3549"/>
        <w:gridCol w:w="730"/>
        <w:gridCol w:w="1072"/>
        <w:gridCol w:w="983"/>
        <w:gridCol w:w="821"/>
      </w:tblGrid>
      <w:tr w:rsidR="00565FD5" w:rsidRPr="001131FC" w:rsidTr="00AB62A3">
        <w:trPr>
          <w:trHeight w:val="227"/>
        </w:trPr>
        <w:tc>
          <w:tcPr>
            <w:tcW w:w="2480" w:type="pct"/>
            <w:tcBorders>
              <w:top w:val="single" w:sz="4" w:space="0" w:color="auto"/>
              <w:left w:val="single" w:sz="4" w:space="0" w:color="auto"/>
              <w:bottom w:val="single" w:sz="4" w:space="0" w:color="auto"/>
              <w:right w:val="nil"/>
            </w:tcBorders>
            <w:noWrap/>
            <w:vAlign w:val="center"/>
          </w:tcPr>
          <w:p w:rsidR="00565FD5" w:rsidRPr="001131FC" w:rsidRDefault="00565FD5" w:rsidP="00AB62A3">
            <w:pPr>
              <w:ind w:left="57" w:right="57"/>
              <w:rPr>
                <w:rFonts w:cs="Tahoma"/>
                <w:b/>
                <w:bCs/>
                <w:color w:val="00B050"/>
                <w:sz w:val="16"/>
                <w:szCs w:val="16"/>
              </w:rPr>
            </w:pPr>
          </w:p>
        </w:tc>
        <w:tc>
          <w:tcPr>
            <w:tcW w:w="510" w:type="pct"/>
            <w:tcBorders>
              <w:top w:val="single" w:sz="4" w:space="0" w:color="auto"/>
              <w:left w:val="nil"/>
              <w:bottom w:val="single" w:sz="4" w:space="0" w:color="auto"/>
              <w:right w:val="nil"/>
            </w:tcBorders>
            <w:vAlign w:val="center"/>
          </w:tcPr>
          <w:p w:rsidR="00565FD5" w:rsidRPr="001131FC" w:rsidRDefault="00565FD5" w:rsidP="00AB62A3">
            <w:pPr>
              <w:ind w:left="57" w:right="57"/>
              <w:jc w:val="right"/>
              <w:rPr>
                <w:rFonts w:cs="Tahoma"/>
                <w:b/>
                <w:bCs/>
                <w:sz w:val="16"/>
                <w:szCs w:val="16"/>
              </w:rPr>
            </w:pPr>
            <w:r w:rsidRPr="001131FC">
              <w:rPr>
                <w:rFonts w:cs="Tahoma"/>
                <w:b/>
                <w:bCs/>
                <w:sz w:val="16"/>
                <w:szCs w:val="16"/>
              </w:rPr>
              <w:t>2010</w:t>
            </w:r>
          </w:p>
        </w:tc>
        <w:tc>
          <w:tcPr>
            <w:tcW w:w="749" w:type="pct"/>
            <w:tcBorders>
              <w:top w:val="single" w:sz="4" w:space="0" w:color="auto"/>
              <w:left w:val="nil"/>
              <w:bottom w:val="single" w:sz="4" w:space="0" w:color="auto"/>
              <w:right w:val="nil"/>
            </w:tcBorders>
            <w:vAlign w:val="center"/>
          </w:tcPr>
          <w:p w:rsidR="00565FD5" w:rsidRPr="001131FC" w:rsidRDefault="00565FD5" w:rsidP="00AB62A3">
            <w:pPr>
              <w:ind w:left="57" w:right="57"/>
              <w:jc w:val="right"/>
              <w:rPr>
                <w:rFonts w:cs="Tahoma"/>
                <w:b/>
                <w:bCs/>
                <w:sz w:val="16"/>
                <w:szCs w:val="16"/>
              </w:rPr>
            </w:pPr>
            <w:r w:rsidRPr="001131FC">
              <w:rPr>
                <w:rFonts w:cs="Tahoma"/>
                <w:b/>
                <w:bCs/>
                <w:sz w:val="16"/>
                <w:szCs w:val="16"/>
              </w:rPr>
              <w:t>2011</w:t>
            </w:r>
          </w:p>
        </w:tc>
        <w:tc>
          <w:tcPr>
            <w:tcW w:w="687" w:type="pct"/>
            <w:tcBorders>
              <w:top w:val="single" w:sz="4" w:space="0" w:color="auto"/>
              <w:left w:val="nil"/>
              <w:bottom w:val="single" w:sz="4" w:space="0" w:color="auto"/>
              <w:right w:val="nil"/>
            </w:tcBorders>
            <w:vAlign w:val="center"/>
          </w:tcPr>
          <w:p w:rsidR="00565FD5" w:rsidRPr="001131FC" w:rsidRDefault="00565FD5" w:rsidP="00AB62A3">
            <w:pPr>
              <w:ind w:left="57" w:right="57"/>
              <w:jc w:val="right"/>
              <w:rPr>
                <w:rFonts w:cs="Tahoma"/>
                <w:b/>
                <w:bCs/>
                <w:sz w:val="16"/>
                <w:szCs w:val="16"/>
              </w:rPr>
            </w:pPr>
            <w:r w:rsidRPr="001131FC">
              <w:rPr>
                <w:rFonts w:cs="Tahoma"/>
                <w:b/>
                <w:bCs/>
                <w:sz w:val="16"/>
                <w:szCs w:val="16"/>
              </w:rPr>
              <w:t>2012 (1)</w:t>
            </w:r>
          </w:p>
        </w:tc>
        <w:tc>
          <w:tcPr>
            <w:tcW w:w="574" w:type="pct"/>
            <w:tcBorders>
              <w:top w:val="single" w:sz="4" w:space="0" w:color="auto"/>
              <w:left w:val="nil"/>
              <w:bottom w:val="single" w:sz="4" w:space="0" w:color="auto"/>
              <w:right w:val="single" w:sz="4" w:space="0" w:color="auto"/>
            </w:tcBorders>
            <w:noWrap/>
            <w:vAlign w:val="center"/>
          </w:tcPr>
          <w:p w:rsidR="00565FD5" w:rsidRPr="001131FC" w:rsidRDefault="00565FD5" w:rsidP="00AB62A3">
            <w:pPr>
              <w:ind w:left="57" w:right="57"/>
              <w:jc w:val="right"/>
              <w:rPr>
                <w:rFonts w:cs="Tahoma"/>
                <w:b/>
                <w:bCs/>
                <w:sz w:val="16"/>
                <w:szCs w:val="16"/>
              </w:rPr>
            </w:pPr>
            <w:r w:rsidRPr="001131FC">
              <w:rPr>
                <w:rFonts w:cs="Tahoma"/>
                <w:b/>
                <w:bCs/>
                <w:sz w:val="16"/>
                <w:szCs w:val="16"/>
              </w:rPr>
              <w:t>2013 (2)</w:t>
            </w:r>
          </w:p>
        </w:tc>
      </w:tr>
      <w:tr w:rsidR="00565FD5" w:rsidRPr="001131FC" w:rsidTr="00AB62A3">
        <w:trPr>
          <w:trHeight w:val="227"/>
        </w:trPr>
        <w:tc>
          <w:tcPr>
            <w:tcW w:w="2480" w:type="pct"/>
            <w:tcBorders>
              <w:top w:val="single" w:sz="4" w:space="0" w:color="auto"/>
              <w:left w:val="single" w:sz="4" w:space="0" w:color="auto"/>
              <w:bottom w:val="nil"/>
              <w:right w:val="nil"/>
            </w:tcBorders>
            <w:noWrap/>
            <w:tcMar>
              <w:top w:w="57" w:type="dxa"/>
            </w:tcMar>
            <w:vAlign w:val="center"/>
          </w:tcPr>
          <w:p w:rsidR="00565FD5" w:rsidRPr="001131FC" w:rsidRDefault="00565FD5" w:rsidP="00AB62A3">
            <w:pPr>
              <w:ind w:left="57" w:right="57" w:firstLineChars="25" w:firstLine="40"/>
              <w:rPr>
                <w:rFonts w:cs="Tahoma"/>
                <w:sz w:val="16"/>
                <w:szCs w:val="16"/>
              </w:rPr>
            </w:pPr>
            <w:r w:rsidRPr="001131FC">
              <w:rPr>
                <w:rFonts w:cs="Tahoma"/>
                <w:sz w:val="16"/>
                <w:szCs w:val="16"/>
              </w:rPr>
              <w:t>İhracat  (Milyar ABD Doları)</w:t>
            </w:r>
          </w:p>
        </w:tc>
        <w:tc>
          <w:tcPr>
            <w:tcW w:w="510" w:type="pct"/>
            <w:tcBorders>
              <w:top w:val="single" w:sz="4" w:space="0" w:color="auto"/>
              <w:left w:val="nil"/>
              <w:bottom w:val="nil"/>
              <w:right w:val="nil"/>
            </w:tcBorders>
            <w:vAlign w:val="center"/>
          </w:tcPr>
          <w:p w:rsidR="00565FD5" w:rsidRPr="001131FC" w:rsidRDefault="00565FD5" w:rsidP="00AB62A3">
            <w:pPr>
              <w:ind w:left="57" w:right="57" w:firstLineChars="100" w:firstLine="160"/>
              <w:jc w:val="right"/>
              <w:rPr>
                <w:bCs/>
                <w:sz w:val="16"/>
                <w:szCs w:val="16"/>
              </w:rPr>
            </w:pPr>
            <w:r w:rsidRPr="001131FC">
              <w:rPr>
                <w:bCs/>
                <w:sz w:val="16"/>
                <w:szCs w:val="16"/>
              </w:rPr>
              <w:t>113,9</w:t>
            </w:r>
          </w:p>
        </w:tc>
        <w:tc>
          <w:tcPr>
            <w:tcW w:w="749" w:type="pct"/>
            <w:tcBorders>
              <w:top w:val="single" w:sz="4" w:space="0" w:color="auto"/>
              <w:left w:val="nil"/>
              <w:bottom w:val="nil"/>
              <w:right w:val="nil"/>
            </w:tcBorders>
            <w:vAlign w:val="center"/>
          </w:tcPr>
          <w:p w:rsidR="00565FD5" w:rsidRPr="001131FC" w:rsidRDefault="00565FD5" w:rsidP="00AB62A3">
            <w:pPr>
              <w:ind w:left="57" w:right="57" w:firstLineChars="100" w:firstLine="160"/>
              <w:jc w:val="right"/>
              <w:rPr>
                <w:bCs/>
                <w:sz w:val="16"/>
                <w:szCs w:val="16"/>
              </w:rPr>
            </w:pPr>
            <w:r w:rsidRPr="001131FC">
              <w:rPr>
                <w:bCs/>
                <w:sz w:val="16"/>
                <w:szCs w:val="16"/>
              </w:rPr>
              <w:t>134,9</w:t>
            </w:r>
          </w:p>
        </w:tc>
        <w:tc>
          <w:tcPr>
            <w:tcW w:w="687" w:type="pct"/>
            <w:tcBorders>
              <w:top w:val="single" w:sz="4" w:space="0" w:color="auto"/>
              <w:left w:val="nil"/>
              <w:bottom w:val="nil"/>
              <w:right w:val="nil"/>
            </w:tcBorders>
            <w:vAlign w:val="center"/>
          </w:tcPr>
          <w:p w:rsidR="00565FD5" w:rsidRPr="001131FC" w:rsidRDefault="00565FD5" w:rsidP="00AB62A3">
            <w:pPr>
              <w:ind w:left="57" w:right="57" w:firstLineChars="100" w:firstLine="160"/>
              <w:jc w:val="right"/>
              <w:rPr>
                <w:bCs/>
                <w:sz w:val="16"/>
                <w:szCs w:val="16"/>
              </w:rPr>
            </w:pPr>
            <w:r w:rsidRPr="001131FC">
              <w:rPr>
                <w:bCs/>
                <w:sz w:val="16"/>
                <w:szCs w:val="16"/>
              </w:rPr>
              <w:t>149,5</w:t>
            </w:r>
          </w:p>
        </w:tc>
        <w:tc>
          <w:tcPr>
            <w:tcW w:w="574" w:type="pct"/>
            <w:tcBorders>
              <w:top w:val="single" w:sz="4" w:space="0" w:color="auto"/>
              <w:left w:val="nil"/>
              <w:bottom w:val="nil"/>
              <w:right w:val="single" w:sz="4" w:space="0" w:color="auto"/>
            </w:tcBorders>
            <w:noWrap/>
            <w:tcMar>
              <w:top w:w="57" w:type="dxa"/>
            </w:tcMar>
            <w:vAlign w:val="center"/>
          </w:tcPr>
          <w:p w:rsidR="00565FD5" w:rsidRPr="001131FC" w:rsidRDefault="00565FD5" w:rsidP="00AB62A3">
            <w:pPr>
              <w:ind w:left="57" w:right="57" w:firstLineChars="100" w:firstLine="160"/>
              <w:jc w:val="right"/>
              <w:rPr>
                <w:bCs/>
                <w:sz w:val="16"/>
                <w:szCs w:val="16"/>
              </w:rPr>
            </w:pPr>
            <w:r w:rsidRPr="001131FC">
              <w:rPr>
                <w:bCs/>
                <w:sz w:val="16"/>
                <w:szCs w:val="16"/>
              </w:rPr>
              <w:t>158,0</w:t>
            </w:r>
          </w:p>
        </w:tc>
      </w:tr>
      <w:tr w:rsidR="00565FD5" w:rsidRPr="001131FC" w:rsidTr="00AB62A3">
        <w:trPr>
          <w:trHeight w:val="227"/>
        </w:trPr>
        <w:tc>
          <w:tcPr>
            <w:tcW w:w="2480" w:type="pct"/>
            <w:tcBorders>
              <w:top w:val="nil"/>
              <w:left w:val="single" w:sz="4" w:space="0" w:color="auto"/>
              <w:bottom w:val="single" w:sz="4" w:space="0" w:color="auto"/>
              <w:right w:val="nil"/>
            </w:tcBorders>
            <w:noWrap/>
            <w:tcMar>
              <w:bottom w:w="57" w:type="dxa"/>
            </w:tcMar>
            <w:vAlign w:val="center"/>
          </w:tcPr>
          <w:p w:rsidR="00565FD5" w:rsidRPr="001131FC" w:rsidRDefault="00565FD5" w:rsidP="00AB62A3">
            <w:pPr>
              <w:ind w:left="57" w:right="57" w:firstLineChars="25" w:firstLine="40"/>
              <w:rPr>
                <w:rFonts w:cs="Tahoma"/>
                <w:sz w:val="16"/>
                <w:szCs w:val="16"/>
              </w:rPr>
            </w:pPr>
            <w:r w:rsidRPr="001131FC">
              <w:rPr>
                <w:rFonts w:cs="Tahoma"/>
                <w:sz w:val="16"/>
                <w:szCs w:val="16"/>
              </w:rPr>
              <w:t>İthalat  (Milyar ABD Doları)</w:t>
            </w:r>
          </w:p>
        </w:tc>
        <w:tc>
          <w:tcPr>
            <w:tcW w:w="510" w:type="pct"/>
            <w:tcBorders>
              <w:top w:val="nil"/>
              <w:left w:val="nil"/>
              <w:bottom w:val="single" w:sz="4" w:space="0" w:color="auto"/>
              <w:right w:val="nil"/>
            </w:tcBorders>
            <w:vAlign w:val="center"/>
          </w:tcPr>
          <w:p w:rsidR="00565FD5" w:rsidRPr="001131FC" w:rsidRDefault="00565FD5" w:rsidP="00AB62A3">
            <w:pPr>
              <w:ind w:left="57" w:right="57" w:firstLineChars="100" w:firstLine="160"/>
              <w:jc w:val="right"/>
              <w:rPr>
                <w:bCs/>
                <w:sz w:val="16"/>
                <w:szCs w:val="16"/>
              </w:rPr>
            </w:pPr>
            <w:r w:rsidRPr="001131FC">
              <w:rPr>
                <w:bCs/>
                <w:sz w:val="16"/>
                <w:szCs w:val="16"/>
              </w:rPr>
              <w:t>185,5</w:t>
            </w:r>
          </w:p>
        </w:tc>
        <w:tc>
          <w:tcPr>
            <w:tcW w:w="749" w:type="pct"/>
            <w:tcBorders>
              <w:top w:val="nil"/>
              <w:left w:val="nil"/>
              <w:bottom w:val="single" w:sz="4" w:space="0" w:color="auto"/>
              <w:right w:val="nil"/>
            </w:tcBorders>
            <w:vAlign w:val="center"/>
          </w:tcPr>
          <w:p w:rsidR="00565FD5" w:rsidRPr="001131FC" w:rsidRDefault="00565FD5" w:rsidP="00AB62A3">
            <w:pPr>
              <w:ind w:left="57" w:right="57" w:firstLineChars="100" w:firstLine="160"/>
              <w:jc w:val="right"/>
              <w:rPr>
                <w:bCs/>
                <w:sz w:val="16"/>
                <w:szCs w:val="16"/>
              </w:rPr>
            </w:pPr>
            <w:r w:rsidRPr="001131FC">
              <w:rPr>
                <w:bCs/>
                <w:sz w:val="16"/>
                <w:szCs w:val="16"/>
              </w:rPr>
              <w:t>240,8</w:t>
            </w:r>
          </w:p>
        </w:tc>
        <w:tc>
          <w:tcPr>
            <w:tcW w:w="687" w:type="pct"/>
            <w:tcBorders>
              <w:top w:val="nil"/>
              <w:left w:val="nil"/>
              <w:bottom w:val="single" w:sz="4" w:space="0" w:color="auto"/>
              <w:right w:val="nil"/>
            </w:tcBorders>
            <w:vAlign w:val="center"/>
          </w:tcPr>
          <w:p w:rsidR="00565FD5" w:rsidRPr="001131FC" w:rsidRDefault="00565FD5" w:rsidP="00AB62A3">
            <w:pPr>
              <w:ind w:left="57" w:right="57" w:firstLineChars="100" w:firstLine="160"/>
              <w:jc w:val="right"/>
              <w:rPr>
                <w:bCs/>
                <w:sz w:val="16"/>
                <w:szCs w:val="16"/>
              </w:rPr>
            </w:pPr>
            <w:r w:rsidRPr="001131FC">
              <w:rPr>
                <w:bCs/>
                <w:sz w:val="16"/>
                <w:szCs w:val="16"/>
              </w:rPr>
              <w:t>239,5</w:t>
            </w:r>
          </w:p>
        </w:tc>
        <w:tc>
          <w:tcPr>
            <w:tcW w:w="574" w:type="pct"/>
            <w:tcBorders>
              <w:top w:val="nil"/>
              <w:left w:val="nil"/>
              <w:bottom w:val="single" w:sz="4" w:space="0" w:color="auto"/>
              <w:right w:val="single" w:sz="4" w:space="0" w:color="auto"/>
            </w:tcBorders>
            <w:noWrap/>
            <w:tcMar>
              <w:bottom w:w="57" w:type="dxa"/>
            </w:tcMar>
            <w:vAlign w:val="center"/>
          </w:tcPr>
          <w:p w:rsidR="00565FD5" w:rsidRPr="001131FC" w:rsidRDefault="00565FD5" w:rsidP="00AB62A3">
            <w:pPr>
              <w:ind w:left="57" w:right="57" w:firstLineChars="100" w:firstLine="160"/>
              <w:jc w:val="right"/>
              <w:rPr>
                <w:bCs/>
                <w:sz w:val="16"/>
                <w:szCs w:val="16"/>
              </w:rPr>
            </w:pPr>
            <w:r w:rsidRPr="001131FC">
              <w:rPr>
                <w:bCs/>
                <w:sz w:val="16"/>
                <w:szCs w:val="16"/>
              </w:rPr>
              <w:t>253,0</w:t>
            </w:r>
          </w:p>
        </w:tc>
      </w:tr>
      <w:tr w:rsidR="00565FD5" w:rsidRPr="001131FC" w:rsidTr="00AB62A3">
        <w:trPr>
          <w:trHeight w:val="227"/>
        </w:trPr>
        <w:tc>
          <w:tcPr>
            <w:tcW w:w="2480" w:type="pct"/>
            <w:tcBorders>
              <w:top w:val="single" w:sz="4" w:space="0" w:color="auto"/>
              <w:left w:val="single" w:sz="4" w:space="0" w:color="auto"/>
              <w:bottom w:val="nil"/>
              <w:right w:val="nil"/>
            </w:tcBorders>
            <w:noWrap/>
            <w:vAlign w:val="center"/>
          </w:tcPr>
          <w:p w:rsidR="00565FD5" w:rsidRPr="001131FC" w:rsidRDefault="00565FD5" w:rsidP="00AB62A3">
            <w:pPr>
              <w:tabs>
                <w:tab w:val="left" w:pos="1800"/>
              </w:tabs>
              <w:ind w:left="57" w:right="57" w:firstLineChars="25" w:firstLine="40"/>
              <w:rPr>
                <w:rFonts w:cs="Tahoma"/>
                <w:sz w:val="16"/>
                <w:szCs w:val="16"/>
              </w:rPr>
            </w:pPr>
            <w:r w:rsidRPr="001131FC">
              <w:rPr>
                <w:rFonts w:cs="Tahoma"/>
                <w:sz w:val="16"/>
                <w:szCs w:val="16"/>
              </w:rPr>
              <w:t>İhracat</w:t>
            </w:r>
          </w:p>
        </w:tc>
        <w:tc>
          <w:tcPr>
            <w:tcW w:w="510" w:type="pct"/>
            <w:tcBorders>
              <w:top w:val="single" w:sz="4" w:space="0" w:color="auto"/>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11,5</w:t>
            </w:r>
          </w:p>
        </w:tc>
        <w:tc>
          <w:tcPr>
            <w:tcW w:w="749" w:type="pct"/>
            <w:tcBorders>
              <w:top w:val="single" w:sz="4" w:space="0" w:color="auto"/>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18,5</w:t>
            </w:r>
          </w:p>
        </w:tc>
        <w:tc>
          <w:tcPr>
            <w:tcW w:w="687" w:type="pct"/>
            <w:tcBorders>
              <w:top w:val="single" w:sz="4" w:space="0" w:color="auto"/>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10,8</w:t>
            </w:r>
          </w:p>
        </w:tc>
        <w:tc>
          <w:tcPr>
            <w:tcW w:w="574" w:type="pct"/>
            <w:tcBorders>
              <w:top w:val="single" w:sz="4" w:space="0" w:color="auto"/>
              <w:left w:val="nil"/>
              <w:bottom w:val="nil"/>
              <w:right w:val="single" w:sz="4" w:space="0" w:color="auto"/>
            </w:tcBorders>
            <w:noWrap/>
            <w:vAlign w:val="center"/>
          </w:tcPr>
          <w:p w:rsidR="00565FD5" w:rsidRPr="001131FC" w:rsidRDefault="00565FD5" w:rsidP="00AB62A3">
            <w:pPr>
              <w:ind w:left="57" w:right="57" w:firstLineChars="100" w:firstLine="160"/>
              <w:jc w:val="right"/>
              <w:rPr>
                <w:sz w:val="16"/>
                <w:szCs w:val="16"/>
              </w:rPr>
            </w:pPr>
            <w:r w:rsidRPr="001131FC">
              <w:rPr>
                <w:sz w:val="16"/>
                <w:szCs w:val="16"/>
              </w:rPr>
              <w:t>5,7</w:t>
            </w:r>
          </w:p>
        </w:tc>
      </w:tr>
      <w:tr w:rsidR="00565FD5" w:rsidRPr="001131FC" w:rsidTr="00AB62A3">
        <w:trPr>
          <w:trHeight w:val="227"/>
        </w:trPr>
        <w:tc>
          <w:tcPr>
            <w:tcW w:w="2480" w:type="pct"/>
            <w:tcBorders>
              <w:top w:val="nil"/>
              <w:left w:val="single" w:sz="4" w:space="0" w:color="auto"/>
              <w:bottom w:val="nil"/>
              <w:right w:val="nil"/>
            </w:tcBorders>
            <w:noWrap/>
            <w:vAlign w:val="center"/>
          </w:tcPr>
          <w:p w:rsidR="00565FD5" w:rsidRPr="001131FC" w:rsidRDefault="00565FD5" w:rsidP="00AB62A3">
            <w:pPr>
              <w:tabs>
                <w:tab w:val="left" w:pos="1800"/>
              </w:tabs>
              <w:ind w:left="57" w:right="57" w:firstLineChars="25" w:firstLine="40"/>
              <w:rPr>
                <w:rFonts w:cs="Tahoma"/>
                <w:sz w:val="16"/>
                <w:szCs w:val="16"/>
              </w:rPr>
            </w:pPr>
            <w:r w:rsidRPr="001131FC">
              <w:rPr>
                <w:rFonts w:cs="Tahoma"/>
                <w:sz w:val="16"/>
                <w:szCs w:val="16"/>
              </w:rPr>
              <w:t>İthalat</w:t>
            </w:r>
          </w:p>
        </w:tc>
        <w:tc>
          <w:tcPr>
            <w:tcW w:w="510" w:type="pct"/>
            <w:tcBorders>
              <w:top w:val="nil"/>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31,7</w:t>
            </w:r>
          </w:p>
        </w:tc>
        <w:tc>
          <w:tcPr>
            <w:tcW w:w="749" w:type="pct"/>
            <w:tcBorders>
              <w:top w:val="nil"/>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29,8</w:t>
            </w:r>
          </w:p>
        </w:tc>
        <w:tc>
          <w:tcPr>
            <w:tcW w:w="687" w:type="pct"/>
            <w:tcBorders>
              <w:top w:val="nil"/>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-0,6</w:t>
            </w:r>
          </w:p>
        </w:tc>
        <w:tc>
          <w:tcPr>
            <w:tcW w:w="574" w:type="pct"/>
            <w:tcBorders>
              <w:top w:val="nil"/>
              <w:left w:val="nil"/>
              <w:bottom w:val="nil"/>
              <w:right w:val="single" w:sz="4" w:space="0" w:color="auto"/>
            </w:tcBorders>
            <w:noWrap/>
            <w:vAlign w:val="center"/>
          </w:tcPr>
          <w:p w:rsidR="00565FD5" w:rsidRPr="001131FC" w:rsidRDefault="00565FD5" w:rsidP="00AB62A3">
            <w:pPr>
              <w:ind w:left="57" w:right="57" w:firstLineChars="100" w:firstLine="160"/>
              <w:jc w:val="right"/>
              <w:rPr>
                <w:sz w:val="16"/>
                <w:szCs w:val="16"/>
              </w:rPr>
            </w:pPr>
            <w:r w:rsidRPr="001131FC">
              <w:rPr>
                <w:sz w:val="16"/>
                <w:szCs w:val="16"/>
              </w:rPr>
              <w:t>5,6</w:t>
            </w:r>
          </w:p>
        </w:tc>
      </w:tr>
      <w:tr w:rsidR="00565FD5" w:rsidRPr="001131FC" w:rsidTr="00AB62A3">
        <w:trPr>
          <w:trHeight w:val="227"/>
        </w:trPr>
        <w:tc>
          <w:tcPr>
            <w:tcW w:w="2480" w:type="pct"/>
            <w:tcBorders>
              <w:top w:val="nil"/>
              <w:left w:val="single" w:sz="4" w:space="0" w:color="auto"/>
              <w:bottom w:val="nil"/>
              <w:right w:val="nil"/>
            </w:tcBorders>
            <w:noWrap/>
            <w:vAlign w:val="center"/>
          </w:tcPr>
          <w:p w:rsidR="00565FD5" w:rsidRPr="001131FC" w:rsidRDefault="00565FD5" w:rsidP="00AB62A3">
            <w:pPr>
              <w:tabs>
                <w:tab w:val="left" w:pos="1800"/>
              </w:tabs>
              <w:ind w:left="57" w:right="57" w:firstLineChars="25" w:firstLine="40"/>
              <w:rPr>
                <w:rFonts w:cs="Tahoma"/>
                <w:sz w:val="16"/>
                <w:szCs w:val="16"/>
              </w:rPr>
            </w:pPr>
            <w:r w:rsidRPr="001131FC">
              <w:rPr>
                <w:rFonts w:cs="Tahoma"/>
                <w:sz w:val="16"/>
                <w:szCs w:val="16"/>
              </w:rPr>
              <w:t>İhracat Fiyatları</w:t>
            </w:r>
          </w:p>
        </w:tc>
        <w:tc>
          <w:tcPr>
            <w:tcW w:w="510" w:type="pct"/>
            <w:tcBorders>
              <w:top w:val="nil"/>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4,9</w:t>
            </w:r>
          </w:p>
        </w:tc>
        <w:tc>
          <w:tcPr>
            <w:tcW w:w="749" w:type="pct"/>
            <w:tcBorders>
              <w:top w:val="nil"/>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11,6</w:t>
            </w:r>
          </w:p>
        </w:tc>
        <w:tc>
          <w:tcPr>
            <w:tcW w:w="687" w:type="pct"/>
            <w:tcBorders>
              <w:top w:val="nil"/>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-3,7</w:t>
            </w:r>
          </w:p>
        </w:tc>
        <w:tc>
          <w:tcPr>
            <w:tcW w:w="574" w:type="pct"/>
            <w:tcBorders>
              <w:top w:val="nil"/>
              <w:left w:val="nil"/>
              <w:bottom w:val="nil"/>
              <w:right w:val="single" w:sz="4" w:space="0" w:color="auto"/>
            </w:tcBorders>
            <w:noWrap/>
            <w:vAlign w:val="center"/>
          </w:tcPr>
          <w:p w:rsidR="00565FD5" w:rsidRPr="001131FC" w:rsidRDefault="00565FD5" w:rsidP="00AB62A3">
            <w:pPr>
              <w:ind w:left="57" w:right="57" w:firstLineChars="100" w:firstLine="160"/>
              <w:jc w:val="right"/>
              <w:rPr>
                <w:sz w:val="16"/>
                <w:szCs w:val="16"/>
              </w:rPr>
            </w:pPr>
            <w:r w:rsidRPr="001131FC">
              <w:rPr>
                <w:sz w:val="16"/>
                <w:szCs w:val="16"/>
              </w:rPr>
              <w:t>2,7</w:t>
            </w:r>
          </w:p>
        </w:tc>
      </w:tr>
      <w:tr w:rsidR="00565FD5" w:rsidRPr="001131FC" w:rsidTr="00AB62A3">
        <w:trPr>
          <w:trHeight w:val="227"/>
        </w:trPr>
        <w:tc>
          <w:tcPr>
            <w:tcW w:w="2480" w:type="pct"/>
            <w:tcBorders>
              <w:top w:val="nil"/>
              <w:left w:val="single" w:sz="4" w:space="0" w:color="auto"/>
              <w:bottom w:val="nil"/>
              <w:right w:val="nil"/>
            </w:tcBorders>
            <w:noWrap/>
            <w:vAlign w:val="center"/>
          </w:tcPr>
          <w:p w:rsidR="00565FD5" w:rsidRPr="001131FC" w:rsidRDefault="00565FD5" w:rsidP="00AB62A3">
            <w:pPr>
              <w:tabs>
                <w:tab w:val="left" w:pos="1800"/>
              </w:tabs>
              <w:ind w:left="57" w:right="57" w:firstLineChars="25" w:firstLine="40"/>
              <w:rPr>
                <w:rFonts w:cs="Tahoma"/>
                <w:sz w:val="16"/>
                <w:szCs w:val="16"/>
              </w:rPr>
            </w:pPr>
            <w:r w:rsidRPr="001131FC">
              <w:rPr>
                <w:rFonts w:cs="Tahoma"/>
                <w:sz w:val="16"/>
                <w:szCs w:val="16"/>
              </w:rPr>
              <w:t>İthalat Fiyatları</w:t>
            </w:r>
          </w:p>
        </w:tc>
        <w:tc>
          <w:tcPr>
            <w:tcW w:w="510" w:type="pct"/>
            <w:tcBorders>
              <w:top w:val="nil"/>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9,0</w:t>
            </w:r>
          </w:p>
        </w:tc>
        <w:tc>
          <w:tcPr>
            <w:tcW w:w="749" w:type="pct"/>
            <w:tcBorders>
              <w:top w:val="nil"/>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15,8</w:t>
            </w:r>
          </w:p>
        </w:tc>
        <w:tc>
          <w:tcPr>
            <w:tcW w:w="687" w:type="pct"/>
            <w:tcBorders>
              <w:top w:val="nil"/>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-1,7</w:t>
            </w:r>
          </w:p>
        </w:tc>
        <w:tc>
          <w:tcPr>
            <w:tcW w:w="574" w:type="pct"/>
            <w:tcBorders>
              <w:top w:val="nil"/>
              <w:left w:val="nil"/>
              <w:bottom w:val="nil"/>
              <w:right w:val="single" w:sz="4" w:space="0" w:color="auto"/>
            </w:tcBorders>
            <w:noWrap/>
            <w:vAlign w:val="center"/>
          </w:tcPr>
          <w:p w:rsidR="00565FD5" w:rsidRPr="001131FC" w:rsidRDefault="00565FD5" w:rsidP="00AB62A3">
            <w:pPr>
              <w:ind w:left="57" w:right="57" w:firstLineChars="100" w:firstLine="160"/>
              <w:jc w:val="right"/>
              <w:rPr>
                <w:sz w:val="16"/>
                <w:szCs w:val="16"/>
              </w:rPr>
            </w:pPr>
            <w:r w:rsidRPr="001131FC">
              <w:rPr>
                <w:sz w:val="16"/>
                <w:szCs w:val="16"/>
              </w:rPr>
              <w:t>1,5</w:t>
            </w:r>
          </w:p>
        </w:tc>
      </w:tr>
      <w:tr w:rsidR="00565FD5" w:rsidRPr="001131FC" w:rsidTr="00AB62A3">
        <w:trPr>
          <w:trHeight w:val="227"/>
        </w:trPr>
        <w:tc>
          <w:tcPr>
            <w:tcW w:w="2480" w:type="pct"/>
            <w:tcBorders>
              <w:top w:val="nil"/>
              <w:left w:val="single" w:sz="4" w:space="0" w:color="auto"/>
              <w:bottom w:val="nil"/>
              <w:right w:val="nil"/>
            </w:tcBorders>
            <w:noWrap/>
            <w:vAlign w:val="center"/>
          </w:tcPr>
          <w:p w:rsidR="00565FD5" w:rsidRPr="001131FC" w:rsidRDefault="00565FD5" w:rsidP="00AB62A3">
            <w:pPr>
              <w:tabs>
                <w:tab w:val="left" w:pos="1800"/>
              </w:tabs>
              <w:ind w:left="57" w:right="57" w:firstLineChars="25" w:firstLine="40"/>
              <w:rPr>
                <w:rFonts w:cs="Tahoma"/>
                <w:sz w:val="16"/>
                <w:szCs w:val="16"/>
              </w:rPr>
            </w:pPr>
            <w:r w:rsidRPr="001131FC">
              <w:rPr>
                <w:rFonts w:cs="Tahoma"/>
                <w:sz w:val="16"/>
                <w:szCs w:val="16"/>
              </w:rPr>
              <w:t>Reel İhracat</w:t>
            </w:r>
          </w:p>
        </w:tc>
        <w:tc>
          <w:tcPr>
            <w:tcW w:w="510" w:type="pct"/>
            <w:tcBorders>
              <w:top w:val="nil"/>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6,3</w:t>
            </w:r>
          </w:p>
        </w:tc>
        <w:tc>
          <w:tcPr>
            <w:tcW w:w="749" w:type="pct"/>
            <w:tcBorders>
              <w:top w:val="nil"/>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6,2</w:t>
            </w:r>
          </w:p>
        </w:tc>
        <w:tc>
          <w:tcPr>
            <w:tcW w:w="687" w:type="pct"/>
            <w:tcBorders>
              <w:top w:val="nil"/>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15,1</w:t>
            </w:r>
          </w:p>
        </w:tc>
        <w:tc>
          <w:tcPr>
            <w:tcW w:w="574" w:type="pct"/>
            <w:tcBorders>
              <w:top w:val="nil"/>
              <w:left w:val="nil"/>
              <w:bottom w:val="nil"/>
              <w:right w:val="single" w:sz="4" w:space="0" w:color="auto"/>
            </w:tcBorders>
            <w:noWrap/>
            <w:vAlign w:val="center"/>
          </w:tcPr>
          <w:p w:rsidR="00565FD5" w:rsidRPr="001131FC" w:rsidRDefault="00565FD5" w:rsidP="00AB62A3">
            <w:pPr>
              <w:ind w:left="57" w:right="57" w:firstLineChars="100" w:firstLine="160"/>
              <w:jc w:val="right"/>
              <w:rPr>
                <w:sz w:val="16"/>
                <w:szCs w:val="16"/>
              </w:rPr>
            </w:pPr>
            <w:r w:rsidRPr="001131FC">
              <w:rPr>
                <w:sz w:val="16"/>
                <w:szCs w:val="16"/>
              </w:rPr>
              <w:t>2,9</w:t>
            </w:r>
          </w:p>
        </w:tc>
      </w:tr>
      <w:tr w:rsidR="00565FD5" w:rsidRPr="001131FC" w:rsidTr="00AB62A3">
        <w:trPr>
          <w:trHeight w:val="227"/>
        </w:trPr>
        <w:tc>
          <w:tcPr>
            <w:tcW w:w="2480" w:type="pct"/>
            <w:tcBorders>
              <w:top w:val="nil"/>
              <w:left w:val="single" w:sz="4" w:space="0" w:color="auto"/>
              <w:bottom w:val="nil"/>
              <w:right w:val="nil"/>
            </w:tcBorders>
            <w:noWrap/>
            <w:vAlign w:val="center"/>
          </w:tcPr>
          <w:p w:rsidR="00565FD5" w:rsidRPr="001131FC" w:rsidRDefault="00565FD5" w:rsidP="00AB62A3">
            <w:pPr>
              <w:tabs>
                <w:tab w:val="left" w:pos="1800"/>
              </w:tabs>
              <w:ind w:left="57" w:right="57" w:firstLineChars="25" w:firstLine="40"/>
              <w:rPr>
                <w:rFonts w:cs="Tahoma"/>
                <w:sz w:val="16"/>
                <w:szCs w:val="16"/>
              </w:rPr>
            </w:pPr>
            <w:r w:rsidRPr="001131FC">
              <w:rPr>
                <w:rFonts w:cs="Tahoma"/>
                <w:sz w:val="16"/>
                <w:szCs w:val="16"/>
              </w:rPr>
              <w:t>Reel İthalat</w:t>
            </w:r>
          </w:p>
        </w:tc>
        <w:tc>
          <w:tcPr>
            <w:tcW w:w="510" w:type="pct"/>
            <w:tcBorders>
              <w:top w:val="nil"/>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20,8</w:t>
            </w:r>
          </w:p>
        </w:tc>
        <w:tc>
          <w:tcPr>
            <w:tcW w:w="749" w:type="pct"/>
            <w:tcBorders>
              <w:top w:val="nil"/>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12,1</w:t>
            </w:r>
          </w:p>
        </w:tc>
        <w:tc>
          <w:tcPr>
            <w:tcW w:w="687" w:type="pct"/>
            <w:tcBorders>
              <w:top w:val="nil"/>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1,2</w:t>
            </w:r>
          </w:p>
        </w:tc>
        <w:tc>
          <w:tcPr>
            <w:tcW w:w="574" w:type="pct"/>
            <w:tcBorders>
              <w:top w:val="nil"/>
              <w:left w:val="nil"/>
              <w:bottom w:val="nil"/>
              <w:right w:val="single" w:sz="4" w:space="0" w:color="auto"/>
            </w:tcBorders>
            <w:noWrap/>
            <w:vAlign w:val="center"/>
          </w:tcPr>
          <w:p w:rsidR="00565FD5" w:rsidRPr="001131FC" w:rsidRDefault="00565FD5" w:rsidP="00AB62A3">
            <w:pPr>
              <w:ind w:left="57" w:right="57" w:firstLineChars="100" w:firstLine="160"/>
              <w:jc w:val="right"/>
              <w:rPr>
                <w:sz w:val="16"/>
                <w:szCs w:val="16"/>
              </w:rPr>
            </w:pPr>
            <w:r w:rsidRPr="001131FC">
              <w:rPr>
                <w:sz w:val="16"/>
                <w:szCs w:val="16"/>
              </w:rPr>
              <w:t>4,0</w:t>
            </w:r>
          </w:p>
        </w:tc>
      </w:tr>
      <w:tr w:rsidR="00565FD5" w:rsidRPr="001131FC" w:rsidTr="00AB62A3">
        <w:trPr>
          <w:trHeight w:val="227"/>
        </w:trPr>
        <w:tc>
          <w:tcPr>
            <w:tcW w:w="2480" w:type="pct"/>
            <w:tcBorders>
              <w:top w:val="nil"/>
              <w:left w:val="single" w:sz="4" w:space="0" w:color="auto"/>
              <w:bottom w:val="nil"/>
              <w:right w:val="nil"/>
            </w:tcBorders>
            <w:noWrap/>
            <w:vAlign w:val="center"/>
          </w:tcPr>
          <w:p w:rsidR="00565FD5" w:rsidRPr="001131FC" w:rsidRDefault="00565FD5" w:rsidP="00AB62A3">
            <w:pPr>
              <w:tabs>
                <w:tab w:val="left" w:pos="1800"/>
              </w:tabs>
              <w:ind w:left="57" w:right="57" w:firstLineChars="25" w:firstLine="40"/>
              <w:rPr>
                <w:rFonts w:cs="Tahoma"/>
                <w:sz w:val="16"/>
                <w:szCs w:val="16"/>
              </w:rPr>
            </w:pPr>
            <w:r w:rsidRPr="001131FC">
              <w:rPr>
                <w:rFonts w:cs="Tahoma"/>
                <w:sz w:val="16"/>
                <w:szCs w:val="16"/>
              </w:rPr>
              <w:t>Mamul Fiyatları</w:t>
            </w:r>
          </w:p>
        </w:tc>
        <w:tc>
          <w:tcPr>
            <w:tcW w:w="510" w:type="pct"/>
            <w:tcBorders>
              <w:top w:val="nil"/>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2,7</w:t>
            </w:r>
          </w:p>
        </w:tc>
        <w:tc>
          <w:tcPr>
            <w:tcW w:w="749" w:type="pct"/>
            <w:tcBorders>
              <w:top w:val="nil"/>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6,5</w:t>
            </w:r>
          </w:p>
        </w:tc>
        <w:tc>
          <w:tcPr>
            <w:tcW w:w="687" w:type="pct"/>
            <w:tcBorders>
              <w:top w:val="nil"/>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-0,5</w:t>
            </w:r>
          </w:p>
        </w:tc>
        <w:tc>
          <w:tcPr>
            <w:tcW w:w="574" w:type="pct"/>
            <w:tcBorders>
              <w:top w:val="nil"/>
              <w:left w:val="nil"/>
              <w:bottom w:val="nil"/>
              <w:right w:val="single" w:sz="4" w:space="0" w:color="auto"/>
            </w:tcBorders>
            <w:noWrap/>
            <w:vAlign w:val="center"/>
          </w:tcPr>
          <w:p w:rsidR="00565FD5" w:rsidRPr="001131FC" w:rsidRDefault="00565FD5" w:rsidP="00AB62A3">
            <w:pPr>
              <w:ind w:left="57" w:right="57" w:firstLineChars="100" w:firstLine="160"/>
              <w:jc w:val="right"/>
              <w:rPr>
                <w:sz w:val="16"/>
                <w:szCs w:val="16"/>
              </w:rPr>
            </w:pPr>
            <w:r w:rsidRPr="001131FC">
              <w:rPr>
                <w:sz w:val="16"/>
                <w:szCs w:val="16"/>
              </w:rPr>
              <w:t>-0,3</w:t>
            </w:r>
          </w:p>
        </w:tc>
      </w:tr>
      <w:tr w:rsidR="00565FD5" w:rsidRPr="001131FC" w:rsidTr="00AB62A3">
        <w:trPr>
          <w:trHeight w:val="227"/>
        </w:trPr>
        <w:tc>
          <w:tcPr>
            <w:tcW w:w="2480" w:type="pct"/>
            <w:tcBorders>
              <w:top w:val="nil"/>
              <w:left w:val="single" w:sz="4" w:space="0" w:color="auto"/>
              <w:right w:val="nil"/>
            </w:tcBorders>
            <w:noWrap/>
            <w:vAlign w:val="center"/>
          </w:tcPr>
          <w:p w:rsidR="00565FD5" w:rsidRPr="001131FC" w:rsidRDefault="00565FD5" w:rsidP="00AB62A3">
            <w:pPr>
              <w:tabs>
                <w:tab w:val="left" w:pos="1800"/>
              </w:tabs>
              <w:ind w:left="57" w:right="57" w:firstLineChars="25" w:firstLine="40"/>
              <w:rPr>
                <w:rFonts w:cs="Tahoma"/>
                <w:sz w:val="16"/>
                <w:szCs w:val="16"/>
              </w:rPr>
            </w:pPr>
            <w:r w:rsidRPr="001131FC">
              <w:rPr>
                <w:rFonts w:cs="Tahoma"/>
                <w:sz w:val="16"/>
                <w:szCs w:val="16"/>
              </w:rPr>
              <w:t>Yakıt Dışı Başlıca Emtia Fiyatları</w:t>
            </w:r>
          </w:p>
        </w:tc>
        <w:tc>
          <w:tcPr>
            <w:tcW w:w="510" w:type="pct"/>
            <w:tcBorders>
              <w:top w:val="nil"/>
              <w:left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26,3</w:t>
            </w:r>
          </w:p>
        </w:tc>
        <w:tc>
          <w:tcPr>
            <w:tcW w:w="749" w:type="pct"/>
            <w:tcBorders>
              <w:top w:val="nil"/>
              <w:left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17,8</w:t>
            </w:r>
          </w:p>
        </w:tc>
        <w:tc>
          <w:tcPr>
            <w:tcW w:w="687" w:type="pct"/>
            <w:tcBorders>
              <w:top w:val="nil"/>
              <w:left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-9,5</w:t>
            </w:r>
          </w:p>
        </w:tc>
        <w:tc>
          <w:tcPr>
            <w:tcW w:w="574" w:type="pct"/>
            <w:tcBorders>
              <w:top w:val="nil"/>
              <w:left w:val="nil"/>
              <w:right w:val="single" w:sz="4" w:space="0" w:color="auto"/>
            </w:tcBorders>
            <w:noWrap/>
            <w:vAlign w:val="center"/>
          </w:tcPr>
          <w:p w:rsidR="00565FD5" w:rsidRPr="001131FC" w:rsidRDefault="00565FD5" w:rsidP="00AB62A3">
            <w:pPr>
              <w:ind w:left="57" w:right="57" w:firstLineChars="100" w:firstLine="160"/>
              <w:jc w:val="right"/>
              <w:rPr>
                <w:sz w:val="16"/>
                <w:szCs w:val="16"/>
              </w:rPr>
            </w:pPr>
            <w:r w:rsidRPr="001131FC">
              <w:rPr>
                <w:sz w:val="16"/>
                <w:szCs w:val="16"/>
              </w:rPr>
              <w:t>-2,9</w:t>
            </w:r>
          </w:p>
        </w:tc>
      </w:tr>
      <w:tr w:rsidR="00565FD5" w:rsidRPr="001131FC" w:rsidTr="00AB62A3">
        <w:trPr>
          <w:trHeight w:val="227"/>
        </w:trPr>
        <w:tc>
          <w:tcPr>
            <w:tcW w:w="2480" w:type="pct"/>
            <w:tcBorders>
              <w:left w:val="single" w:sz="4" w:space="0" w:color="auto"/>
              <w:bottom w:val="single" w:sz="4" w:space="0" w:color="auto"/>
              <w:right w:val="nil"/>
            </w:tcBorders>
            <w:noWrap/>
            <w:tcMar>
              <w:bottom w:w="57" w:type="dxa"/>
            </w:tcMar>
            <w:vAlign w:val="center"/>
          </w:tcPr>
          <w:p w:rsidR="00565FD5" w:rsidRPr="001131FC" w:rsidRDefault="00565FD5" w:rsidP="00AB62A3">
            <w:pPr>
              <w:tabs>
                <w:tab w:val="left" w:pos="1800"/>
              </w:tabs>
              <w:ind w:left="57" w:right="57" w:firstLineChars="25" w:firstLine="40"/>
              <w:rPr>
                <w:rFonts w:cs="Tahoma"/>
                <w:sz w:val="16"/>
                <w:szCs w:val="16"/>
              </w:rPr>
            </w:pPr>
            <w:r w:rsidRPr="001131FC">
              <w:rPr>
                <w:rFonts w:cs="Tahoma"/>
                <w:sz w:val="16"/>
                <w:szCs w:val="16"/>
              </w:rPr>
              <w:t>Ham Petrol Brent Varil Fiyatı</w:t>
            </w:r>
            <w:r w:rsidRPr="001131FC">
              <w:rPr>
                <w:rFonts w:cs="Tahoma"/>
                <w:sz w:val="16"/>
                <w:szCs w:val="16"/>
                <w:vertAlign w:val="superscript"/>
              </w:rPr>
              <w:t xml:space="preserve"> </w:t>
            </w:r>
            <w:r w:rsidRPr="001131FC">
              <w:rPr>
                <w:rFonts w:cs="Tahoma"/>
                <w:sz w:val="16"/>
                <w:szCs w:val="16"/>
              </w:rPr>
              <w:t>(ABD Doları)</w:t>
            </w:r>
          </w:p>
        </w:tc>
        <w:tc>
          <w:tcPr>
            <w:tcW w:w="510" w:type="pct"/>
            <w:tcBorders>
              <w:left w:val="nil"/>
              <w:bottom w:val="single" w:sz="4" w:space="0" w:color="auto"/>
              <w:right w:val="nil"/>
            </w:tcBorders>
            <w:vAlign w:val="center"/>
          </w:tcPr>
          <w:p w:rsidR="00565FD5" w:rsidRPr="001131FC" w:rsidRDefault="00565FD5" w:rsidP="00AB62A3">
            <w:pPr>
              <w:ind w:left="57" w:right="57" w:firstLineChars="100" w:firstLine="160"/>
              <w:jc w:val="right"/>
              <w:rPr>
                <w:rFonts w:cs="Tahoma"/>
                <w:sz w:val="16"/>
                <w:szCs w:val="16"/>
              </w:rPr>
            </w:pPr>
            <w:r w:rsidRPr="001131FC">
              <w:rPr>
                <w:rFonts w:cs="Tahoma"/>
                <w:sz w:val="16"/>
                <w:szCs w:val="16"/>
              </w:rPr>
              <w:t>80,2</w:t>
            </w:r>
          </w:p>
        </w:tc>
        <w:tc>
          <w:tcPr>
            <w:tcW w:w="749" w:type="pct"/>
            <w:tcBorders>
              <w:left w:val="nil"/>
              <w:bottom w:val="single" w:sz="4" w:space="0" w:color="auto"/>
              <w:right w:val="nil"/>
            </w:tcBorders>
            <w:vAlign w:val="center"/>
          </w:tcPr>
          <w:p w:rsidR="00565FD5" w:rsidRPr="001131FC" w:rsidRDefault="00565FD5" w:rsidP="00AB62A3">
            <w:pPr>
              <w:ind w:left="57" w:right="57" w:firstLineChars="100" w:firstLine="160"/>
              <w:jc w:val="right"/>
              <w:rPr>
                <w:rFonts w:cs="Tahoma"/>
                <w:sz w:val="16"/>
                <w:szCs w:val="16"/>
              </w:rPr>
            </w:pPr>
            <w:r w:rsidRPr="001131FC">
              <w:rPr>
                <w:rFonts w:cs="Tahoma"/>
                <w:sz w:val="16"/>
                <w:szCs w:val="16"/>
              </w:rPr>
              <w:t>113,4</w:t>
            </w:r>
          </w:p>
        </w:tc>
        <w:tc>
          <w:tcPr>
            <w:tcW w:w="687" w:type="pct"/>
            <w:tcBorders>
              <w:left w:val="nil"/>
              <w:bottom w:val="single" w:sz="4" w:space="0" w:color="auto"/>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112,1</w:t>
            </w:r>
          </w:p>
        </w:tc>
        <w:tc>
          <w:tcPr>
            <w:tcW w:w="574" w:type="pct"/>
            <w:tcBorders>
              <w:left w:val="nil"/>
              <w:bottom w:val="single" w:sz="4" w:space="0" w:color="auto"/>
              <w:right w:val="single" w:sz="4" w:space="0" w:color="auto"/>
            </w:tcBorders>
            <w:noWrap/>
            <w:tcMar>
              <w:bottom w:w="57" w:type="dxa"/>
            </w:tcMar>
            <w:vAlign w:val="center"/>
          </w:tcPr>
          <w:p w:rsidR="00565FD5" w:rsidRPr="001131FC" w:rsidRDefault="00565FD5" w:rsidP="00AB62A3">
            <w:pPr>
              <w:ind w:left="57" w:right="57" w:firstLineChars="100" w:firstLine="160"/>
              <w:jc w:val="right"/>
              <w:rPr>
                <w:sz w:val="16"/>
                <w:szCs w:val="16"/>
              </w:rPr>
            </w:pPr>
            <w:r w:rsidRPr="001131FC">
              <w:rPr>
                <w:sz w:val="16"/>
                <w:szCs w:val="16"/>
              </w:rPr>
              <w:t>110,0</w:t>
            </w:r>
          </w:p>
        </w:tc>
      </w:tr>
      <w:tr w:rsidR="00565FD5" w:rsidRPr="001131FC" w:rsidTr="00AB62A3">
        <w:trPr>
          <w:trHeight w:val="227"/>
        </w:trPr>
        <w:tc>
          <w:tcPr>
            <w:tcW w:w="2480" w:type="pct"/>
            <w:tcBorders>
              <w:top w:val="single" w:sz="4" w:space="0" w:color="auto"/>
              <w:left w:val="single" w:sz="4" w:space="0" w:color="auto"/>
              <w:bottom w:val="nil"/>
              <w:right w:val="nil"/>
            </w:tcBorders>
            <w:noWrap/>
            <w:tcMar>
              <w:bottom w:w="57" w:type="dxa"/>
            </w:tcMar>
            <w:vAlign w:val="center"/>
          </w:tcPr>
          <w:p w:rsidR="00565FD5" w:rsidRPr="001131FC" w:rsidRDefault="00565FD5" w:rsidP="00AB62A3">
            <w:pPr>
              <w:tabs>
                <w:tab w:val="left" w:pos="1800"/>
              </w:tabs>
              <w:ind w:left="57" w:right="57" w:firstLineChars="25" w:firstLine="40"/>
              <w:rPr>
                <w:rFonts w:cs="Tahoma"/>
                <w:sz w:val="16"/>
                <w:szCs w:val="16"/>
              </w:rPr>
            </w:pPr>
            <w:r w:rsidRPr="001131FC">
              <w:rPr>
                <w:rFonts w:cs="Tahoma"/>
                <w:sz w:val="16"/>
                <w:szCs w:val="16"/>
              </w:rPr>
              <w:t>GSYH Büyüme Hızı</w:t>
            </w:r>
          </w:p>
        </w:tc>
        <w:tc>
          <w:tcPr>
            <w:tcW w:w="510" w:type="pct"/>
            <w:tcBorders>
              <w:top w:val="single" w:sz="4" w:space="0" w:color="auto"/>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9,2</w:t>
            </w:r>
          </w:p>
        </w:tc>
        <w:tc>
          <w:tcPr>
            <w:tcW w:w="749" w:type="pct"/>
            <w:tcBorders>
              <w:top w:val="single" w:sz="4" w:space="0" w:color="auto"/>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8,5</w:t>
            </w:r>
          </w:p>
        </w:tc>
        <w:tc>
          <w:tcPr>
            <w:tcW w:w="687" w:type="pct"/>
            <w:tcBorders>
              <w:top w:val="single" w:sz="4" w:space="0" w:color="auto"/>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3,2</w:t>
            </w:r>
          </w:p>
        </w:tc>
        <w:tc>
          <w:tcPr>
            <w:tcW w:w="574" w:type="pct"/>
            <w:tcBorders>
              <w:top w:val="single" w:sz="4" w:space="0" w:color="auto"/>
              <w:left w:val="nil"/>
              <w:bottom w:val="nil"/>
              <w:right w:val="single" w:sz="4" w:space="0" w:color="auto"/>
            </w:tcBorders>
            <w:noWrap/>
            <w:tcMar>
              <w:bottom w:w="57" w:type="dxa"/>
            </w:tcMar>
            <w:vAlign w:val="center"/>
          </w:tcPr>
          <w:p w:rsidR="00565FD5" w:rsidRPr="001131FC" w:rsidRDefault="00565FD5" w:rsidP="00AB62A3">
            <w:pPr>
              <w:ind w:left="57" w:right="57" w:firstLineChars="100" w:firstLine="160"/>
              <w:jc w:val="right"/>
              <w:rPr>
                <w:sz w:val="16"/>
                <w:szCs w:val="16"/>
              </w:rPr>
            </w:pPr>
            <w:r w:rsidRPr="001131FC">
              <w:rPr>
                <w:sz w:val="16"/>
                <w:szCs w:val="16"/>
              </w:rPr>
              <w:t>4,0</w:t>
            </w:r>
          </w:p>
        </w:tc>
      </w:tr>
      <w:tr w:rsidR="00565FD5" w:rsidRPr="001131FC" w:rsidTr="00AB62A3">
        <w:trPr>
          <w:trHeight w:val="227"/>
        </w:trPr>
        <w:tc>
          <w:tcPr>
            <w:tcW w:w="2480" w:type="pct"/>
            <w:tcBorders>
              <w:top w:val="nil"/>
              <w:left w:val="single" w:sz="4" w:space="0" w:color="auto"/>
              <w:bottom w:val="nil"/>
              <w:right w:val="nil"/>
            </w:tcBorders>
            <w:noWrap/>
            <w:vAlign w:val="center"/>
          </w:tcPr>
          <w:p w:rsidR="00565FD5" w:rsidRPr="001131FC" w:rsidRDefault="00565FD5" w:rsidP="00AB62A3">
            <w:pPr>
              <w:ind w:left="57" w:right="57" w:firstLineChars="25" w:firstLine="40"/>
              <w:rPr>
                <w:rFonts w:cs="Tahoma"/>
                <w:sz w:val="16"/>
                <w:szCs w:val="16"/>
              </w:rPr>
            </w:pPr>
            <w:r w:rsidRPr="001131FC">
              <w:rPr>
                <w:rFonts w:cs="Tahoma"/>
                <w:sz w:val="16"/>
                <w:szCs w:val="16"/>
              </w:rPr>
              <w:t>Sanayi Büyümesi</w:t>
            </w:r>
          </w:p>
        </w:tc>
        <w:tc>
          <w:tcPr>
            <w:tcW w:w="510" w:type="pct"/>
            <w:tcBorders>
              <w:top w:val="nil"/>
              <w:left w:val="nil"/>
              <w:bottom w:val="nil"/>
              <w:right w:val="nil"/>
            </w:tcBorders>
            <w:vAlign w:val="center"/>
          </w:tcPr>
          <w:p w:rsidR="00565FD5" w:rsidRPr="001131FC" w:rsidRDefault="00565FD5" w:rsidP="00AB62A3">
            <w:pPr>
              <w:ind w:left="57" w:right="57" w:firstLineChars="100" w:firstLine="160"/>
              <w:jc w:val="right"/>
              <w:rPr>
                <w:rFonts w:cs="Tahoma"/>
                <w:sz w:val="16"/>
                <w:szCs w:val="16"/>
              </w:rPr>
            </w:pPr>
            <w:r w:rsidRPr="001131FC">
              <w:rPr>
                <w:rFonts w:cs="Tahoma"/>
                <w:sz w:val="16"/>
                <w:szCs w:val="16"/>
              </w:rPr>
              <w:t>12,8</w:t>
            </w:r>
          </w:p>
        </w:tc>
        <w:tc>
          <w:tcPr>
            <w:tcW w:w="749" w:type="pct"/>
            <w:tcBorders>
              <w:top w:val="nil"/>
              <w:left w:val="nil"/>
              <w:bottom w:val="nil"/>
              <w:right w:val="nil"/>
            </w:tcBorders>
            <w:vAlign w:val="center"/>
          </w:tcPr>
          <w:p w:rsidR="00565FD5" w:rsidRPr="001131FC" w:rsidRDefault="00565FD5" w:rsidP="00AB62A3">
            <w:pPr>
              <w:ind w:left="57" w:right="57" w:firstLineChars="100" w:firstLine="160"/>
              <w:jc w:val="right"/>
              <w:rPr>
                <w:rFonts w:cs="Tahoma"/>
                <w:sz w:val="16"/>
                <w:szCs w:val="16"/>
              </w:rPr>
            </w:pPr>
            <w:r w:rsidRPr="001131FC">
              <w:rPr>
                <w:rFonts w:cs="Tahoma"/>
                <w:sz w:val="16"/>
                <w:szCs w:val="16"/>
              </w:rPr>
              <w:t>9,4</w:t>
            </w:r>
          </w:p>
        </w:tc>
        <w:tc>
          <w:tcPr>
            <w:tcW w:w="687" w:type="pct"/>
            <w:tcBorders>
              <w:top w:val="nil"/>
              <w:left w:val="nil"/>
              <w:bottom w:val="nil"/>
              <w:right w:val="nil"/>
            </w:tcBorders>
            <w:vAlign w:val="center"/>
          </w:tcPr>
          <w:p w:rsidR="00565FD5" w:rsidRPr="001131FC" w:rsidRDefault="00565FD5" w:rsidP="00AB62A3">
            <w:pPr>
              <w:ind w:left="57" w:right="57" w:firstLineChars="100" w:firstLine="160"/>
              <w:jc w:val="right"/>
              <w:rPr>
                <w:rFonts w:cs="Tahoma"/>
                <w:sz w:val="16"/>
                <w:szCs w:val="16"/>
              </w:rPr>
            </w:pPr>
            <w:r w:rsidRPr="001131FC">
              <w:rPr>
                <w:rFonts w:cs="Tahoma"/>
                <w:sz w:val="16"/>
                <w:szCs w:val="16"/>
              </w:rPr>
              <w:t>3,1</w:t>
            </w:r>
          </w:p>
        </w:tc>
        <w:tc>
          <w:tcPr>
            <w:tcW w:w="574" w:type="pct"/>
            <w:tcBorders>
              <w:top w:val="nil"/>
              <w:left w:val="nil"/>
              <w:bottom w:val="nil"/>
              <w:right w:val="single" w:sz="4" w:space="0" w:color="auto"/>
            </w:tcBorders>
            <w:noWrap/>
            <w:vAlign w:val="center"/>
          </w:tcPr>
          <w:p w:rsidR="00565FD5" w:rsidRPr="001131FC" w:rsidRDefault="00565FD5" w:rsidP="00AB62A3">
            <w:pPr>
              <w:ind w:left="57" w:right="57" w:firstLineChars="100" w:firstLine="160"/>
              <w:jc w:val="right"/>
              <w:rPr>
                <w:rFonts w:cs="Tahoma"/>
                <w:sz w:val="16"/>
                <w:szCs w:val="16"/>
              </w:rPr>
            </w:pPr>
            <w:r w:rsidRPr="001131FC">
              <w:rPr>
                <w:rFonts w:cs="Tahoma"/>
                <w:sz w:val="16"/>
                <w:szCs w:val="16"/>
              </w:rPr>
              <w:t>4,0</w:t>
            </w:r>
          </w:p>
        </w:tc>
      </w:tr>
      <w:tr w:rsidR="00565FD5" w:rsidRPr="001131FC" w:rsidTr="00AB62A3">
        <w:trPr>
          <w:trHeight w:val="227"/>
        </w:trPr>
        <w:tc>
          <w:tcPr>
            <w:tcW w:w="2480" w:type="pct"/>
            <w:tcBorders>
              <w:top w:val="nil"/>
              <w:left w:val="single" w:sz="4" w:space="0" w:color="auto"/>
              <w:bottom w:val="nil"/>
              <w:right w:val="nil"/>
            </w:tcBorders>
            <w:noWrap/>
            <w:vAlign w:val="center"/>
          </w:tcPr>
          <w:p w:rsidR="00565FD5" w:rsidRPr="001131FC" w:rsidRDefault="00565FD5" w:rsidP="00AB62A3">
            <w:pPr>
              <w:ind w:left="57" w:right="57" w:firstLineChars="25" w:firstLine="40"/>
              <w:rPr>
                <w:rFonts w:cs="Tahoma"/>
                <w:sz w:val="16"/>
                <w:szCs w:val="16"/>
              </w:rPr>
            </w:pPr>
            <w:r>
              <w:rPr>
                <w:rFonts w:cs="Tahoma"/>
                <w:sz w:val="16"/>
                <w:szCs w:val="16"/>
              </w:rPr>
              <w:t>Yurtiçi</w:t>
            </w:r>
            <w:r w:rsidRPr="001131FC">
              <w:rPr>
                <w:rFonts w:cs="Tahoma"/>
                <w:sz w:val="16"/>
                <w:szCs w:val="16"/>
              </w:rPr>
              <w:t xml:space="preserve"> Nihai Talep Büyümesi</w:t>
            </w:r>
          </w:p>
        </w:tc>
        <w:tc>
          <w:tcPr>
            <w:tcW w:w="510" w:type="pct"/>
            <w:tcBorders>
              <w:top w:val="nil"/>
              <w:left w:val="nil"/>
              <w:bottom w:val="nil"/>
              <w:right w:val="nil"/>
            </w:tcBorders>
            <w:vAlign w:val="center"/>
          </w:tcPr>
          <w:p w:rsidR="00565FD5" w:rsidRPr="001131FC" w:rsidRDefault="00565FD5" w:rsidP="00AB62A3">
            <w:pPr>
              <w:ind w:left="57" w:right="57" w:firstLineChars="100" w:firstLine="160"/>
              <w:jc w:val="right"/>
              <w:rPr>
                <w:rFonts w:cs="Tahoma"/>
                <w:sz w:val="16"/>
                <w:szCs w:val="16"/>
              </w:rPr>
            </w:pPr>
            <w:r w:rsidRPr="001131FC">
              <w:rPr>
                <w:rFonts w:cs="Tahoma"/>
                <w:sz w:val="16"/>
                <w:szCs w:val="16"/>
              </w:rPr>
              <w:t>10,8</w:t>
            </w:r>
          </w:p>
        </w:tc>
        <w:tc>
          <w:tcPr>
            <w:tcW w:w="749" w:type="pct"/>
            <w:tcBorders>
              <w:top w:val="nil"/>
              <w:left w:val="nil"/>
              <w:bottom w:val="nil"/>
              <w:right w:val="nil"/>
            </w:tcBorders>
            <w:vAlign w:val="center"/>
          </w:tcPr>
          <w:p w:rsidR="00565FD5" w:rsidRPr="001131FC" w:rsidRDefault="00565FD5" w:rsidP="00AB62A3">
            <w:pPr>
              <w:ind w:left="57" w:right="57" w:firstLineChars="100" w:firstLine="160"/>
              <w:jc w:val="right"/>
              <w:rPr>
                <w:rFonts w:cs="Tahoma"/>
                <w:sz w:val="16"/>
                <w:szCs w:val="16"/>
              </w:rPr>
            </w:pPr>
            <w:r w:rsidRPr="001131FC">
              <w:rPr>
                <w:rFonts w:cs="Tahoma"/>
                <w:sz w:val="16"/>
                <w:szCs w:val="16"/>
              </w:rPr>
              <w:t>9,9</w:t>
            </w:r>
          </w:p>
        </w:tc>
        <w:tc>
          <w:tcPr>
            <w:tcW w:w="687" w:type="pct"/>
            <w:tcBorders>
              <w:top w:val="nil"/>
              <w:left w:val="nil"/>
              <w:bottom w:val="nil"/>
              <w:right w:val="nil"/>
            </w:tcBorders>
            <w:vAlign w:val="center"/>
          </w:tcPr>
          <w:p w:rsidR="00565FD5" w:rsidRPr="001131FC" w:rsidRDefault="00565FD5" w:rsidP="00AB62A3">
            <w:pPr>
              <w:ind w:left="57" w:right="57" w:firstLineChars="100" w:firstLine="160"/>
              <w:jc w:val="right"/>
              <w:rPr>
                <w:rFonts w:cs="Tahoma"/>
                <w:sz w:val="16"/>
                <w:szCs w:val="16"/>
              </w:rPr>
            </w:pPr>
            <w:r w:rsidRPr="001131FC">
              <w:rPr>
                <w:rFonts w:cs="Tahoma"/>
                <w:sz w:val="16"/>
                <w:szCs w:val="16"/>
              </w:rPr>
              <w:t>0,6</w:t>
            </w:r>
          </w:p>
        </w:tc>
        <w:tc>
          <w:tcPr>
            <w:tcW w:w="574" w:type="pct"/>
            <w:tcBorders>
              <w:top w:val="nil"/>
              <w:left w:val="nil"/>
              <w:bottom w:val="nil"/>
              <w:right w:val="single" w:sz="4" w:space="0" w:color="auto"/>
            </w:tcBorders>
            <w:noWrap/>
            <w:vAlign w:val="center"/>
          </w:tcPr>
          <w:p w:rsidR="00565FD5" w:rsidRPr="001131FC" w:rsidRDefault="00565FD5" w:rsidP="00AB62A3">
            <w:pPr>
              <w:ind w:left="57" w:right="57" w:firstLineChars="100" w:firstLine="160"/>
              <w:jc w:val="right"/>
              <w:rPr>
                <w:rFonts w:cs="Tahoma"/>
                <w:sz w:val="16"/>
                <w:szCs w:val="16"/>
              </w:rPr>
            </w:pPr>
            <w:r w:rsidRPr="001131FC">
              <w:rPr>
                <w:rFonts w:cs="Tahoma"/>
                <w:sz w:val="16"/>
                <w:szCs w:val="16"/>
              </w:rPr>
              <w:t>4,0</w:t>
            </w:r>
          </w:p>
        </w:tc>
      </w:tr>
      <w:tr w:rsidR="00565FD5" w:rsidRPr="001131FC" w:rsidTr="00AB62A3">
        <w:trPr>
          <w:trHeight w:val="227"/>
        </w:trPr>
        <w:tc>
          <w:tcPr>
            <w:tcW w:w="2480" w:type="pct"/>
            <w:tcBorders>
              <w:top w:val="nil"/>
              <w:left w:val="single" w:sz="4" w:space="0" w:color="auto"/>
              <w:bottom w:val="nil"/>
              <w:right w:val="nil"/>
            </w:tcBorders>
            <w:noWrap/>
            <w:vAlign w:val="center"/>
          </w:tcPr>
          <w:p w:rsidR="00565FD5" w:rsidRPr="001131FC" w:rsidRDefault="00565FD5" w:rsidP="00AB62A3">
            <w:pPr>
              <w:ind w:left="57" w:right="57" w:firstLineChars="25" w:firstLine="40"/>
              <w:rPr>
                <w:rFonts w:cs="Tahoma"/>
                <w:sz w:val="16"/>
                <w:szCs w:val="16"/>
              </w:rPr>
            </w:pPr>
            <w:r w:rsidRPr="001131FC">
              <w:rPr>
                <w:rFonts w:cs="Tahoma"/>
                <w:sz w:val="16"/>
                <w:szCs w:val="16"/>
              </w:rPr>
              <w:t>Dünya Büyüme Hızı</w:t>
            </w:r>
          </w:p>
        </w:tc>
        <w:tc>
          <w:tcPr>
            <w:tcW w:w="510" w:type="pct"/>
            <w:tcBorders>
              <w:top w:val="nil"/>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5,1</w:t>
            </w:r>
          </w:p>
        </w:tc>
        <w:tc>
          <w:tcPr>
            <w:tcW w:w="749" w:type="pct"/>
            <w:tcBorders>
              <w:top w:val="nil"/>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3,8</w:t>
            </w:r>
          </w:p>
        </w:tc>
        <w:tc>
          <w:tcPr>
            <w:tcW w:w="687" w:type="pct"/>
            <w:tcBorders>
              <w:top w:val="nil"/>
              <w:left w:val="nil"/>
              <w:bottom w:val="nil"/>
              <w:right w:val="nil"/>
            </w:tcBorders>
            <w:vAlign w:val="center"/>
          </w:tcPr>
          <w:p w:rsidR="00565FD5" w:rsidRPr="001131FC" w:rsidRDefault="00565FD5" w:rsidP="00AB62A3">
            <w:pPr>
              <w:ind w:left="57" w:right="57" w:firstLineChars="100" w:firstLine="160"/>
              <w:jc w:val="right"/>
              <w:rPr>
                <w:sz w:val="16"/>
                <w:szCs w:val="16"/>
              </w:rPr>
            </w:pPr>
            <w:r w:rsidRPr="001131FC">
              <w:rPr>
                <w:sz w:val="16"/>
                <w:szCs w:val="16"/>
              </w:rPr>
              <w:t>3,3</w:t>
            </w:r>
          </w:p>
        </w:tc>
        <w:tc>
          <w:tcPr>
            <w:tcW w:w="574" w:type="pct"/>
            <w:tcBorders>
              <w:top w:val="nil"/>
              <w:left w:val="nil"/>
              <w:bottom w:val="nil"/>
              <w:right w:val="single" w:sz="4" w:space="0" w:color="auto"/>
            </w:tcBorders>
            <w:noWrap/>
            <w:vAlign w:val="center"/>
          </w:tcPr>
          <w:p w:rsidR="00565FD5" w:rsidRPr="001131FC" w:rsidRDefault="00565FD5" w:rsidP="00AB62A3">
            <w:pPr>
              <w:ind w:left="57" w:right="57" w:firstLineChars="100" w:firstLine="160"/>
              <w:jc w:val="right"/>
              <w:rPr>
                <w:sz w:val="16"/>
                <w:szCs w:val="16"/>
              </w:rPr>
            </w:pPr>
            <w:r w:rsidRPr="001131FC">
              <w:rPr>
                <w:sz w:val="16"/>
                <w:szCs w:val="16"/>
              </w:rPr>
              <w:t>3,6</w:t>
            </w:r>
          </w:p>
        </w:tc>
      </w:tr>
      <w:tr w:rsidR="00565FD5" w:rsidRPr="001131FC" w:rsidTr="00AB62A3">
        <w:trPr>
          <w:trHeight w:val="227"/>
        </w:trPr>
        <w:tc>
          <w:tcPr>
            <w:tcW w:w="2480" w:type="pct"/>
            <w:tcBorders>
              <w:top w:val="nil"/>
              <w:left w:val="single" w:sz="4" w:space="0" w:color="auto"/>
              <w:right w:val="nil"/>
            </w:tcBorders>
            <w:noWrap/>
            <w:vAlign w:val="center"/>
          </w:tcPr>
          <w:p w:rsidR="00565FD5" w:rsidRPr="001131FC" w:rsidRDefault="00565FD5" w:rsidP="00AB62A3">
            <w:pPr>
              <w:ind w:left="57" w:right="57" w:firstLineChars="25" w:firstLine="40"/>
              <w:rPr>
                <w:rFonts w:cs="Tahoma"/>
                <w:sz w:val="16"/>
                <w:szCs w:val="16"/>
              </w:rPr>
            </w:pPr>
            <w:r w:rsidRPr="001131FC">
              <w:rPr>
                <w:rFonts w:cs="Tahoma"/>
                <w:sz w:val="16"/>
                <w:szCs w:val="16"/>
              </w:rPr>
              <w:t>Dünya Mal ve Hizmet Ticareti</w:t>
            </w:r>
          </w:p>
        </w:tc>
        <w:tc>
          <w:tcPr>
            <w:tcW w:w="510" w:type="pct"/>
            <w:tcBorders>
              <w:top w:val="nil"/>
              <w:left w:val="nil"/>
              <w:right w:val="nil"/>
            </w:tcBorders>
            <w:vAlign w:val="center"/>
          </w:tcPr>
          <w:p w:rsidR="00565FD5" w:rsidRPr="001131FC" w:rsidRDefault="00565FD5" w:rsidP="00AB62A3">
            <w:pPr>
              <w:ind w:left="57" w:right="57" w:firstLineChars="100" w:firstLine="160"/>
              <w:jc w:val="right"/>
              <w:rPr>
                <w:rFonts w:cs="Tahoma"/>
                <w:sz w:val="16"/>
                <w:szCs w:val="16"/>
              </w:rPr>
            </w:pPr>
            <w:r w:rsidRPr="001131FC">
              <w:rPr>
                <w:rFonts w:cs="Tahoma"/>
                <w:sz w:val="16"/>
                <w:szCs w:val="16"/>
              </w:rPr>
              <w:t>12,6</w:t>
            </w:r>
          </w:p>
        </w:tc>
        <w:tc>
          <w:tcPr>
            <w:tcW w:w="749" w:type="pct"/>
            <w:tcBorders>
              <w:top w:val="nil"/>
              <w:left w:val="nil"/>
              <w:right w:val="nil"/>
            </w:tcBorders>
            <w:vAlign w:val="center"/>
          </w:tcPr>
          <w:p w:rsidR="00565FD5" w:rsidRPr="001131FC" w:rsidRDefault="00565FD5" w:rsidP="00AB62A3">
            <w:pPr>
              <w:ind w:left="57" w:right="57" w:firstLineChars="100" w:firstLine="160"/>
              <w:jc w:val="right"/>
              <w:rPr>
                <w:rFonts w:cs="Tahoma"/>
                <w:sz w:val="16"/>
                <w:szCs w:val="16"/>
              </w:rPr>
            </w:pPr>
            <w:r w:rsidRPr="001131FC">
              <w:rPr>
                <w:rFonts w:cs="Tahoma"/>
                <w:sz w:val="16"/>
                <w:szCs w:val="16"/>
              </w:rPr>
              <w:t>5,8</w:t>
            </w:r>
          </w:p>
        </w:tc>
        <w:tc>
          <w:tcPr>
            <w:tcW w:w="687" w:type="pct"/>
            <w:tcBorders>
              <w:top w:val="nil"/>
              <w:left w:val="nil"/>
              <w:right w:val="nil"/>
            </w:tcBorders>
            <w:vAlign w:val="center"/>
          </w:tcPr>
          <w:p w:rsidR="00565FD5" w:rsidRPr="001131FC" w:rsidRDefault="00565FD5" w:rsidP="00AB62A3">
            <w:pPr>
              <w:ind w:left="57" w:right="57" w:firstLineChars="100" w:firstLine="160"/>
              <w:jc w:val="right"/>
              <w:rPr>
                <w:rFonts w:cs="Tahoma"/>
                <w:sz w:val="16"/>
                <w:szCs w:val="16"/>
              </w:rPr>
            </w:pPr>
            <w:r w:rsidRPr="001131FC">
              <w:rPr>
                <w:rFonts w:cs="Tahoma"/>
                <w:sz w:val="16"/>
                <w:szCs w:val="16"/>
              </w:rPr>
              <w:t>3,2</w:t>
            </w:r>
          </w:p>
        </w:tc>
        <w:tc>
          <w:tcPr>
            <w:tcW w:w="574" w:type="pct"/>
            <w:tcBorders>
              <w:top w:val="nil"/>
              <w:left w:val="nil"/>
              <w:right w:val="single" w:sz="4" w:space="0" w:color="auto"/>
            </w:tcBorders>
            <w:noWrap/>
            <w:vAlign w:val="center"/>
          </w:tcPr>
          <w:p w:rsidR="00565FD5" w:rsidRPr="001131FC" w:rsidRDefault="00565FD5" w:rsidP="00AB62A3">
            <w:pPr>
              <w:ind w:left="57" w:right="57" w:firstLineChars="100" w:firstLine="160"/>
              <w:jc w:val="right"/>
              <w:rPr>
                <w:rFonts w:cs="Tahoma"/>
                <w:sz w:val="16"/>
                <w:szCs w:val="16"/>
              </w:rPr>
            </w:pPr>
            <w:r w:rsidRPr="001131FC">
              <w:rPr>
                <w:rFonts w:cs="Tahoma"/>
                <w:sz w:val="16"/>
                <w:szCs w:val="16"/>
              </w:rPr>
              <w:t>4,5</w:t>
            </w:r>
          </w:p>
        </w:tc>
      </w:tr>
      <w:tr w:rsidR="00565FD5" w:rsidRPr="001131FC" w:rsidTr="00AB62A3">
        <w:trPr>
          <w:trHeight w:val="227"/>
        </w:trPr>
        <w:tc>
          <w:tcPr>
            <w:tcW w:w="2480" w:type="pct"/>
            <w:tcBorders>
              <w:top w:val="nil"/>
              <w:left w:val="single" w:sz="4" w:space="0" w:color="auto"/>
              <w:bottom w:val="single" w:sz="4" w:space="0" w:color="auto"/>
              <w:right w:val="nil"/>
            </w:tcBorders>
            <w:noWrap/>
            <w:vAlign w:val="center"/>
          </w:tcPr>
          <w:p w:rsidR="00565FD5" w:rsidRPr="001131FC" w:rsidRDefault="00565FD5" w:rsidP="00AB62A3">
            <w:pPr>
              <w:ind w:left="57" w:right="57" w:firstLineChars="25" w:firstLine="40"/>
              <w:rPr>
                <w:rFonts w:cs="Tahoma"/>
                <w:sz w:val="16"/>
                <w:szCs w:val="16"/>
              </w:rPr>
            </w:pPr>
            <w:r w:rsidRPr="001131FC">
              <w:rPr>
                <w:rFonts w:cs="Tahoma"/>
                <w:sz w:val="16"/>
                <w:szCs w:val="16"/>
              </w:rPr>
              <w:t>Avro Bölgesi Büyüme Hızı</w:t>
            </w:r>
          </w:p>
        </w:tc>
        <w:tc>
          <w:tcPr>
            <w:tcW w:w="510" w:type="pct"/>
            <w:tcBorders>
              <w:top w:val="nil"/>
              <w:left w:val="nil"/>
              <w:bottom w:val="single" w:sz="4" w:space="0" w:color="auto"/>
              <w:right w:val="nil"/>
            </w:tcBorders>
            <w:vAlign w:val="center"/>
          </w:tcPr>
          <w:p w:rsidR="00565FD5" w:rsidRPr="001131FC" w:rsidRDefault="00565FD5" w:rsidP="00AB62A3">
            <w:pPr>
              <w:ind w:left="57" w:right="57" w:firstLineChars="100" w:firstLine="160"/>
              <w:jc w:val="right"/>
              <w:rPr>
                <w:rFonts w:cs="Tahoma"/>
                <w:sz w:val="16"/>
                <w:szCs w:val="16"/>
              </w:rPr>
            </w:pPr>
            <w:r w:rsidRPr="001131FC">
              <w:rPr>
                <w:rFonts w:cs="Tahoma"/>
                <w:sz w:val="16"/>
                <w:szCs w:val="16"/>
              </w:rPr>
              <w:t>2,0</w:t>
            </w:r>
          </w:p>
        </w:tc>
        <w:tc>
          <w:tcPr>
            <w:tcW w:w="749" w:type="pct"/>
            <w:tcBorders>
              <w:top w:val="nil"/>
              <w:left w:val="nil"/>
              <w:bottom w:val="single" w:sz="4" w:space="0" w:color="auto"/>
              <w:right w:val="nil"/>
            </w:tcBorders>
            <w:vAlign w:val="center"/>
          </w:tcPr>
          <w:p w:rsidR="00565FD5" w:rsidRPr="001131FC" w:rsidRDefault="00565FD5" w:rsidP="00AB62A3">
            <w:pPr>
              <w:ind w:left="57" w:right="57" w:firstLineChars="100" w:firstLine="160"/>
              <w:jc w:val="right"/>
              <w:rPr>
                <w:rFonts w:cs="Tahoma"/>
                <w:sz w:val="16"/>
                <w:szCs w:val="16"/>
              </w:rPr>
            </w:pPr>
            <w:r w:rsidRPr="001131FC">
              <w:rPr>
                <w:rFonts w:cs="Tahoma"/>
                <w:sz w:val="16"/>
                <w:szCs w:val="16"/>
              </w:rPr>
              <w:t>1,4</w:t>
            </w:r>
          </w:p>
        </w:tc>
        <w:tc>
          <w:tcPr>
            <w:tcW w:w="687" w:type="pct"/>
            <w:tcBorders>
              <w:top w:val="nil"/>
              <w:left w:val="nil"/>
              <w:bottom w:val="single" w:sz="4" w:space="0" w:color="auto"/>
              <w:right w:val="nil"/>
            </w:tcBorders>
            <w:vAlign w:val="center"/>
          </w:tcPr>
          <w:p w:rsidR="00565FD5" w:rsidRPr="001131FC" w:rsidRDefault="00565FD5" w:rsidP="00AB62A3">
            <w:pPr>
              <w:ind w:left="57" w:right="57" w:firstLineChars="100" w:firstLine="160"/>
              <w:jc w:val="right"/>
              <w:rPr>
                <w:rFonts w:cs="Tahoma"/>
                <w:sz w:val="16"/>
                <w:szCs w:val="16"/>
              </w:rPr>
            </w:pPr>
            <w:r w:rsidRPr="001131FC">
              <w:rPr>
                <w:rFonts w:cs="Tahoma"/>
                <w:sz w:val="16"/>
                <w:szCs w:val="16"/>
              </w:rPr>
              <w:t>-0,4</w:t>
            </w:r>
          </w:p>
        </w:tc>
        <w:tc>
          <w:tcPr>
            <w:tcW w:w="574" w:type="pct"/>
            <w:tcBorders>
              <w:top w:val="nil"/>
              <w:left w:val="nil"/>
              <w:bottom w:val="single" w:sz="4" w:space="0" w:color="auto"/>
              <w:right w:val="single" w:sz="4" w:space="0" w:color="auto"/>
            </w:tcBorders>
            <w:noWrap/>
            <w:vAlign w:val="center"/>
          </w:tcPr>
          <w:p w:rsidR="00565FD5" w:rsidRPr="001131FC" w:rsidRDefault="00565FD5" w:rsidP="00AB62A3">
            <w:pPr>
              <w:ind w:left="57" w:right="57" w:firstLineChars="100" w:firstLine="160"/>
              <w:jc w:val="right"/>
              <w:rPr>
                <w:rFonts w:cs="Tahoma"/>
                <w:sz w:val="16"/>
                <w:szCs w:val="16"/>
              </w:rPr>
            </w:pPr>
            <w:r w:rsidRPr="001131FC">
              <w:rPr>
                <w:rFonts w:cs="Tahoma"/>
                <w:sz w:val="16"/>
                <w:szCs w:val="16"/>
              </w:rPr>
              <w:t>0,2</w:t>
            </w:r>
          </w:p>
        </w:tc>
      </w:tr>
    </w:tbl>
    <w:p w:rsidR="00565FD5" w:rsidRPr="001131FC" w:rsidRDefault="00565FD5" w:rsidP="00565FD5">
      <w:pPr>
        <w:tabs>
          <w:tab w:val="left" w:pos="499"/>
        </w:tabs>
        <w:spacing w:before="60"/>
        <w:rPr>
          <w:rFonts w:cs="Tahoma"/>
          <w:sz w:val="14"/>
          <w:szCs w:val="14"/>
        </w:rPr>
      </w:pPr>
      <w:r w:rsidRPr="001131FC">
        <w:rPr>
          <w:rFonts w:cs="Tahoma"/>
          <w:sz w:val="14"/>
          <w:szCs w:val="14"/>
        </w:rPr>
        <w:t>Kaynak: TÜİK, Kalkınma Bakanlığı, IMF Dünya Ekonomik Görünümü, Ekim 2012</w:t>
      </w:r>
    </w:p>
    <w:p w:rsidR="00565FD5" w:rsidRPr="001131FC" w:rsidRDefault="00565FD5" w:rsidP="00565FD5">
      <w:pPr>
        <w:tabs>
          <w:tab w:val="left" w:pos="499"/>
        </w:tabs>
        <w:rPr>
          <w:rFonts w:cs="Tahoma"/>
          <w:sz w:val="14"/>
          <w:szCs w:val="14"/>
        </w:rPr>
      </w:pPr>
      <w:r w:rsidRPr="001131FC">
        <w:rPr>
          <w:rFonts w:cs="Tahoma"/>
          <w:sz w:val="14"/>
          <w:szCs w:val="14"/>
        </w:rPr>
        <w:t xml:space="preserve">(1) Gerçekleşme tahmini </w:t>
      </w:r>
    </w:p>
    <w:p w:rsidR="00565FD5" w:rsidRPr="001131FC" w:rsidRDefault="00565FD5" w:rsidP="00565FD5">
      <w:pPr>
        <w:tabs>
          <w:tab w:val="left" w:pos="499"/>
        </w:tabs>
        <w:spacing w:after="240"/>
        <w:rPr>
          <w:rFonts w:cs="Tahoma"/>
          <w:sz w:val="14"/>
          <w:szCs w:val="14"/>
        </w:rPr>
      </w:pPr>
      <w:r w:rsidRPr="001131FC">
        <w:rPr>
          <w:rFonts w:cs="Tahoma"/>
          <w:sz w:val="14"/>
          <w:szCs w:val="14"/>
        </w:rPr>
        <w:t>(2) Program</w:t>
      </w:r>
    </w:p>
    <w:p w:rsidR="00565FD5" w:rsidRPr="001131FC" w:rsidRDefault="00565FD5" w:rsidP="00565FD5">
      <w:pPr>
        <w:spacing w:after="80"/>
        <w:ind w:firstLine="425"/>
        <w:rPr>
          <w:b/>
          <w:szCs w:val="18"/>
        </w:rPr>
      </w:pPr>
      <w:r w:rsidRPr="001131FC">
        <w:rPr>
          <w:b/>
          <w:szCs w:val="18"/>
        </w:rPr>
        <w:lastRenderedPageBreak/>
        <w:t>Dış Ticaret Dengesi</w:t>
      </w:r>
    </w:p>
    <w:p w:rsidR="00565FD5" w:rsidRPr="001131FC" w:rsidRDefault="00565FD5" w:rsidP="00565FD5">
      <w:pPr>
        <w:spacing w:after="80"/>
        <w:ind w:firstLine="425"/>
        <w:rPr>
          <w:szCs w:val="18"/>
        </w:rPr>
      </w:pPr>
      <w:r w:rsidRPr="001131FC">
        <w:rPr>
          <w:szCs w:val="18"/>
        </w:rPr>
        <w:t xml:space="preserve">2011 yılının Ocak-Ağustos döneminde, ödemeler dengesinde gösterildiği şekliyle 61,3 milyar ABD doları olan dış ticaret açığı, 2012 yılının aynı döneminde 45,2 milyar ABD dolarına gerilemiştir. Ayrıca, ihracatın ithalatı karşılama oranı aynı dönemde yüzde 55,3’ten yüzde 63,9’a yükselmiştir. Bu gelişmede, iç talepteki yavaşlama ve kıymetli maden ihracındaki yüksek oranlı artış belirleyici olmuştur. </w:t>
      </w:r>
    </w:p>
    <w:p w:rsidR="00565FD5" w:rsidRPr="001131FC" w:rsidRDefault="00565FD5" w:rsidP="00565FD5">
      <w:pPr>
        <w:spacing w:after="80"/>
        <w:ind w:firstLine="425"/>
        <w:rPr>
          <w:b/>
          <w:szCs w:val="18"/>
        </w:rPr>
      </w:pPr>
      <w:r w:rsidRPr="001131FC">
        <w:rPr>
          <w:b/>
          <w:szCs w:val="18"/>
        </w:rPr>
        <w:t>İhracat</w:t>
      </w:r>
    </w:p>
    <w:p w:rsidR="00565FD5" w:rsidRPr="001131FC" w:rsidRDefault="00565FD5" w:rsidP="00565FD5">
      <w:pPr>
        <w:spacing w:after="80"/>
        <w:ind w:firstLine="425"/>
        <w:rPr>
          <w:color w:val="FF0000"/>
          <w:szCs w:val="18"/>
        </w:rPr>
      </w:pPr>
      <w:bookmarkStart w:id="584" w:name="_Toc213071590"/>
      <w:bookmarkStart w:id="585" w:name="_Toc244339793"/>
      <w:bookmarkStart w:id="586" w:name="_Toc275873820"/>
      <w:bookmarkStart w:id="587" w:name="_Toc276076444"/>
      <w:r w:rsidRPr="001131FC">
        <w:rPr>
          <w:szCs w:val="18"/>
        </w:rPr>
        <w:t>İhracat, 2012 yılının Ocak-Ağustos döneminde bir önceki yılın aynı dönemine göre yüzde 12,8 oranında artarak 100,1 milyar ABD doları olmuştur. Söz konusu dönemde, toplam ihracatın yüzde 94,2’sini oluşturan imalat sanayii ürünlerindeki yüzde 13,3 oranındaki artış, ihracat performansının temel belirleyicisi olmuştur</w:t>
      </w:r>
      <w:r w:rsidRPr="001131FC">
        <w:rPr>
          <w:color w:val="FF0000"/>
          <w:szCs w:val="18"/>
        </w:rPr>
        <w:t xml:space="preserve">. </w:t>
      </w:r>
      <w:r w:rsidRPr="001131FC">
        <w:rPr>
          <w:szCs w:val="18"/>
        </w:rPr>
        <w:t>Aynı dönemde tarım ve ormancılık sektörü ihracatı yüzde 3,2, madencilik sektörü ihracatı ise yüzde 8,7 oranında artmıştır.</w:t>
      </w:r>
      <w:r w:rsidRPr="001131FC">
        <w:rPr>
          <w:color w:val="FF0000"/>
          <w:szCs w:val="18"/>
        </w:rPr>
        <w:t xml:space="preserve"> </w:t>
      </w:r>
    </w:p>
    <w:p w:rsidR="00565FD5" w:rsidRDefault="00565FD5" w:rsidP="00565FD5">
      <w:pPr>
        <w:spacing w:after="80"/>
        <w:ind w:firstLine="425"/>
        <w:rPr>
          <w:szCs w:val="18"/>
        </w:rPr>
      </w:pPr>
      <w:r w:rsidRPr="001131FC">
        <w:rPr>
          <w:szCs w:val="18"/>
        </w:rPr>
        <w:t>Fasıllara göre ihracat rakamlarına bakıldığında 2012 yılının ilk sekiz ayında önceki yılın aynı dönemine göre inciler, kıymetli taş ve metaller faslı, yüzde 428,5 oranında artarak 11,2 milyar ABD dolarına ulaşmış ve en yüksek ihracat kaydedilen fasıl olmuştur. Aynı dönemde, ikinci sırada yer alan kara taşıtları ve bunların aksam ve parçaları faslı yüzde 5,8 oranında azalarak 9,9 milyar ABD dolarına gerilerken; makineler, mekanik cihazlar, kazanlar ve aksam parçaları faslı yüzde 3,3 oranında artarak 7,9 milyar ABD dolarına; demir ve çelik faslı yüzde 4,8 oranında artarak 7,8 milyar ABD dolarına ulaşmıştır.</w:t>
      </w:r>
    </w:p>
    <w:p w:rsidR="00565FD5" w:rsidRPr="001131FC" w:rsidRDefault="00565FD5" w:rsidP="00565FD5">
      <w:pPr>
        <w:spacing w:after="80"/>
        <w:ind w:firstLine="425"/>
        <w:rPr>
          <w:szCs w:val="18"/>
        </w:rPr>
      </w:pPr>
    </w:p>
    <w:p w:rsidR="00565FD5" w:rsidRPr="00AE74B1" w:rsidRDefault="00565FD5" w:rsidP="00565FD5">
      <w:pPr>
        <w:pStyle w:val="ResimYazs"/>
        <w:rPr>
          <w:color w:val="000000"/>
        </w:rPr>
      </w:pPr>
      <w:bookmarkStart w:id="588" w:name="_Toc307601608"/>
      <w:bookmarkStart w:id="589" w:name="_Toc307657850"/>
      <w:bookmarkStart w:id="590" w:name="_Toc307702106"/>
      <w:bookmarkStart w:id="591" w:name="_Toc338605970"/>
      <w:bookmarkStart w:id="592" w:name="_Toc338711745"/>
      <w:r>
        <w:t xml:space="preserve">TABLO II: </w:t>
      </w:r>
      <w:fldSimple w:instr=" SEQ TABLO_II: \* ARABIC ">
        <w:r>
          <w:rPr>
            <w:noProof/>
          </w:rPr>
          <w:t>18</w:t>
        </w:r>
      </w:fldSimple>
      <w:r w:rsidRPr="00AE74B1">
        <w:rPr>
          <w:color w:val="000000"/>
        </w:rPr>
        <w:t>- Ülke ve Fasıllara Göre İhracat</w:t>
      </w:r>
      <w:bookmarkEnd w:id="584"/>
      <w:bookmarkEnd w:id="585"/>
      <w:bookmarkEnd w:id="586"/>
      <w:bookmarkEnd w:id="587"/>
      <w:bookmarkEnd w:id="588"/>
      <w:bookmarkEnd w:id="589"/>
      <w:bookmarkEnd w:id="590"/>
      <w:bookmarkEnd w:id="591"/>
      <w:bookmarkEnd w:id="592"/>
      <w:r w:rsidRPr="00AE74B1">
        <w:rPr>
          <w:color w:val="000000"/>
        </w:rPr>
        <w:t xml:space="preserve"> </w:t>
      </w:r>
    </w:p>
    <w:p w:rsidR="00565FD5" w:rsidRPr="001131FC" w:rsidRDefault="00565FD5" w:rsidP="00565FD5">
      <w:pPr>
        <w:jc w:val="right"/>
        <w:rPr>
          <w:sz w:val="14"/>
          <w:szCs w:val="16"/>
        </w:rPr>
      </w:pPr>
      <w:r w:rsidRPr="001131FC">
        <w:rPr>
          <w:sz w:val="14"/>
          <w:szCs w:val="16"/>
        </w:rPr>
        <w:t>(Milyar ABD Doları)</w:t>
      </w:r>
    </w:p>
    <w:tbl>
      <w:tblPr>
        <w:tblW w:w="5000" w:type="pct"/>
        <w:tblCellMar>
          <w:left w:w="0" w:type="dxa"/>
          <w:right w:w="0" w:type="dxa"/>
        </w:tblCellMar>
        <w:tblLook w:val="0000"/>
      </w:tblPr>
      <w:tblGrid>
        <w:gridCol w:w="4223"/>
        <w:gridCol w:w="776"/>
        <w:gridCol w:w="667"/>
        <w:gridCol w:w="798"/>
        <w:gridCol w:w="691"/>
      </w:tblGrid>
      <w:tr w:rsidR="00565FD5" w:rsidRPr="001131FC" w:rsidTr="00AB62A3">
        <w:trPr>
          <w:trHeight w:val="170"/>
        </w:trPr>
        <w:tc>
          <w:tcPr>
            <w:tcW w:w="2951" w:type="pct"/>
            <w:tcBorders>
              <w:top w:val="single" w:sz="4" w:space="0" w:color="auto"/>
              <w:left w:val="single" w:sz="4" w:space="0" w:color="auto"/>
              <w:bottom w:val="nil"/>
              <w:right w:val="nil"/>
            </w:tcBorders>
            <w:noWrap/>
            <w:vAlign w:val="center"/>
          </w:tcPr>
          <w:p w:rsidR="00565FD5" w:rsidRPr="001131FC" w:rsidRDefault="00565FD5" w:rsidP="00AB62A3">
            <w:pPr>
              <w:ind w:left="57" w:right="57"/>
              <w:rPr>
                <w:rFonts w:cs="Tahoma"/>
                <w:b/>
                <w:bCs/>
                <w:color w:val="FF0000"/>
                <w:sz w:val="15"/>
                <w:szCs w:val="15"/>
                <w:lang w:eastAsia="tr-TR"/>
              </w:rPr>
            </w:pPr>
            <w:bookmarkStart w:id="593" w:name="_Toc213071593"/>
            <w:r w:rsidRPr="001131FC">
              <w:rPr>
                <w:rFonts w:cs="Tahoma"/>
                <w:b/>
                <w:bCs/>
                <w:color w:val="FF0000"/>
                <w:sz w:val="15"/>
                <w:szCs w:val="15"/>
                <w:lang w:eastAsia="tr-TR"/>
              </w:rPr>
              <w:t> </w:t>
            </w:r>
          </w:p>
        </w:tc>
        <w:tc>
          <w:tcPr>
            <w:tcW w:w="1007" w:type="pct"/>
            <w:gridSpan w:val="2"/>
            <w:tcBorders>
              <w:top w:val="single" w:sz="4" w:space="0" w:color="auto"/>
              <w:left w:val="nil"/>
              <w:bottom w:val="single" w:sz="8" w:space="0" w:color="auto"/>
              <w:right w:val="single" w:sz="8" w:space="0" w:color="000000"/>
            </w:tcBorders>
            <w:noWrap/>
            <w:vAlign w:val="center"/>
          </w:tcPr>
          <w:p w:rsidR="00565FD5" w:rsidRPr="001131FC" w:rsidRDefault="00565FD5" w:rsidP="00AB62A3">
            <w:pPr>
              <w:ind w:left="57" w:right="57"/>
              <w:jc w:val="center"/>
              <w:rPr>
                <w:rFonts w:cs="Tahoma"/>
                <w:b/>
                <w:bCs/>
                <w:sz w:val="15"/>
                <w:szCs w:val="15"/>
                <w:lang w:eastAsia="tr-TR"/>
              </w:rPr>
            </w:pPr>
            <w:r w:rsidRPr="001131FC">
              <w:rPr>
                <w:rFonts w:cs="Tahoma"/>
                <w:b/>
                <w:bCs/>
                <w:sz w:val="15"/>
                <w:szCs w:val="15"/>
                <w:lang w:eastAsia="tr-TR"/>
              </w:rPr>
              <w:t>Yıllık</w:t>
            </w:r>
          </w:p>
        </w:tc>
        <w:tc>
          <w:tcPr>
            <w:tcW w:w="1041" w:type="pct"/>
            <w:gridSpan w:val="2"/>
            <w:tcBorders>
              <w:top w:val="single" w:sz="4" w:space="0" w:color="auto"/>
              <w:left w:val="nil"/>
              <w:bottom w:val="single" w:sz="8" w:space="0" w:color="auto"/>
              <w:right w:val="single" w:sz="4" w:space="0" w:color="auto"/>
            </w:tcBorders>
            <w:noWrap/>
            <w:vAlign w:val="center"/>
          </w:tcPr>
          <w:p w:rsidR="00565FD5" w:rsidRPr="001131FC" w:rsidRDefault="00565FD5" w:rsidP="00AB62A3">
            <w:pPr>
              <w:ind w:left="57" w:right="57"/>
              <w:jc w:val="center"/>
              <w:rPr>
                <w:rFonts w:cs="Tahoma"/>
                <w:b/>
                <w:bCs/>
                <w:sz w:val="15"/>
                <w:szCs w:val="15"/>
                <w:lang w:eastAsia="tr-TR"/>
              </w:rPr>
            </w:pPr>
            <w:r w:rsidRPr="001131FC">
              <w:rPr>
                <w:rFonts w:cs="Tahoma"/>
                <w:b/>
                <w:bCs/>
                <w:sz w:val="15"/>
                <w:szCs w:val="15"/>
                <w:lang w:eastAsia="tr-TR"/>
              </w:rPr>
              <w:t>Ocak – Ağustos</w:t>
            </w:r>
          </w:p>
        </w:tc>
      </w:tr>
      <w:tr w:rsidR="00565FD5" w:rsidRPr="001131FC" w:rsidTr="00AB62A3">
        <w:trPr>
          <w:trHeight w:val="170"/>
        </w:trPr>
        <w:tc>
          <w:tcPr>
            <w:tcW w:w="2951" w:type="pct"/>
            <w:tcBorders>
              <w:top w:val="nil"/>
              <w:left w:val="single" w:sz="4" w:space="0" w:color="auto"/>
              <w:bottom w:val="single" w:sz="8" w:space="0" w:color="auto"/>
              <w:right w:val="nil"/>
            </w:tcBorders>
            <w:noWrap/>
            <w:vAlign w:val="center"/>
          </w:tcPr>
          <w:p w:rsidR="00565FD5" w:rsidRPr="001131FC" w:rsidRDefault="00565FD5" w:rsidP="00AB62A3">
            <w:pPr>
              <w:ind w:left="57" w:right="57"/>
              <w:rPr>
                <w:rFonts w:cs="Tahoma"/>
                <w:b/>
                <w:bCs/>
                <w:color w:val="FF0000"/>
                <w:sz w:val="15"/>
                <w:szCs w:val="15"/>
                <w:lang w:eastAsia="tr-TR"/>
              </w:rPr>
            </w:pPr>
            <w:r w:rsidRPr="001131FC">
              <w:rPr>
                <w:rFonts w:cs="Tahoma"/>
                <w:b/>
                <w:bCs/>
                <w:color w:val="FF0000"/>
                <w:sz w:val="15"/>
                <w:szCs w:val="15"/>
                <w:lang w:eastAsia="tr-TR"/>
              </w:rPr>
              <w:t> </w:t>
            </w:r>
          </w:p>
        </w:tc>
        <w:tc>
          <w:tcPr>
            <w:tcW w:w="542" w:type="pct"/>
            <w:tcBorders>
              <w:top w:val="nil"/>
              <w:left w:val="nil"/>
              <w:bottom w:val="single" w:sz="8" w:space="0" w:color="auto"/>
              <w:right w:val="nil"/>
            </w:tcBorders>
            <w:noWrap/>
            <w:vAlign w:val="center"/>
          </w:tcPr>
          <w:p w:rsidR="00565FD5" w:rsidRPr="001131FC" w:rsidRDefault="00565FD5" w:rsidP="00AB62A3">
            <w:pPr>
              <w:ind w:left="57" w:right="57"/>
              <w:jc w:val="right"/>
              <w:rPr>
                <w:rFonts w:cs="Tahoma"/>
                <w:b/>
                <w:bCs/>
                <w:sz w:val="15"/>
                <w:szCs w:val="15"/>
                <w:lang w:eastAsia="tr-TR"/>
              </w:rPr>
            </w:pPr>
            <w:r w:rsidRPr="001131FC">
              <w:rPr>
                <w:rFonts w:cs="Tahoma"/>
                <w:b/>
                <w:bCs/>
                <w:sz w:val="15"/>
                <w:szCs w:val="15"/>
                <w:lang w:eastAsia="tr-TR"/>
              </w:rPr>
              <w:t>2010</w:t>
            </w:r>
          </w:p>
        </w:tc>
        <w:tc>
          <w:tcPr>
            <w:tcW w:w="466" w:type="pct"/>
            <w:tcBorders>
              <w:top w:val="nil"/>
              <w:left w:val="nil"/>
              <w:bottom w:val="single" w:sz="8" w:space="0" w:color="auto"/>
              <w:right w:val="single" w:sz="8" w:space="0" w:color="auto"/>
            </w:tcBorders>
            <w:noWrap/>
            <w:vAlign w:val="center"/>
          </w:tcPr>
          <w:p w:rsidR="00565FD5" w:rsidRPr="001131FC" w:rsidRDefault="00565FD5" w:rsidP="00AB62A3">
            <w:pPr>
              <w:ind w:left="57" w:right="57"/>
              <w:jc w:val="right"/>
              <w:rPr>
                <w:rFonts w:cs="Tahoma"/>
                <w:b/>
                <w:bCs/>
                <w:sz w:val="15"/>
                <w:szCs w:val="15"/>
                <w:lang w:eastAsia="tr-TR"/>
              </w:rPr>
            </w:pPr>
            <w:r w:rsidRPr="001131FC">
              <w:rPr>
                <w:rFonts w:cs="Tahoma"/>
                <w:b/>
                <w:bCs/>
                <w:sz w:val="15"/>
                <w:szCs w:val="15"/>
                <w:lang w:eastAsia="tr-TR"/>
              </w:rPr>
              <w:t>2011</w:t>
            </w:r>
          </w:p>
        </w:tc>
        <w:tc>
          <w:tcPr>
            <w:tcW w:w="558" w:type="pct"/>
            <w:tcBorders>
              <w:top w:val="nil"/>
              <w:left w:val="nil"/>
              <w:bottom w:val="single" w:sz="8" w:space="0" w:color="auto"/>
              <w:right w:val="nil"/>
            </w:tcBorders>
            <w:noWrap/>
            <w:vAlign w:val="center"/>
          </w:tcPr>
          <w:p w:rsidR="00565FD5" w:rsidRPr="001131FC" w:rsidRDefault="00565FD5" w:rsidP="00AB62A3">
            <w:pPr>
              <w:ind w:left="57" w:right="57"/>
              <w:jc w:val="right"/>
              <w:rPr>
                <w:rFonts w:cs="Tahoma"/>
                <w:b/>
                <w:bCs/>
                <w:sz w:val="15"/>
                <w:szCs w:val="15"/>
                <w:lang w:eastAsia="tr-TR"/>
              </w:rPr>
            </w:pPr>
            <w:r w:rsidRPr="001131FC">
              <w:rPr>
                <w:rFonts w:cs="Tahoma"/>
                <w:b/>
                <w:bCs/>
                <w:sz w:val="15"/>
                <w:szCs w:val="15"/>
                <w:lang w:eastAsia="tr-TR"/>
              </w:rPr>
              <w:t>2011</w:t>
            </w:r>
          </w:p>
        </w:tc>
        <w:tc>
          <w:tcPr>
            <w:tcW w:w="483" w:type="pct"/>
            <w:tcBorders>
              <w:top w:val="nil"/>
              <w:left w:val="nil"/>
              <w:bottom w:val="single" w:sz="8" w:space="0" w:color="auto"/>
              <w:right w:val="single" w:sz="4" w:space="0" w:color="auto"/>
            </w:tcBorders>
            <w:noWrap/>
            <w:vAlign w:val="center"/>
          </w:tcPr>
          <w:p w:rsidR="00565FD5" w:rsidRPr="001131FC" w:rsidRDefault="00565FD5" w:rsidP="00AB62A3">
            <w:pPr>
              <w:ind w:left="57" w:right="57"/>
              <w:jc w:val="right"/>
              <w:rPr>
                <w:rFonts w:cs="Tahoma"/>
                <w:b/>
                <w:bCs/>
                <w:sz w:val="15"/>
                <w:szCs w:val="15"/>
                <w:lang w:eastAsia="tr-TR"/>
              </w:rPr>
            </w:pPr>
            <w:r w:rsidRPr="001131FC">
              <w:rPr>
                <w:rFonts w:cs="Tahoma"/>
                <w:b/>
                <w:bCs/>
                <w:sz w:val="15"/>
                <w:szCs w:val="15"/>
                <w:lang w:eastAsia="tr-TR"/>
              </w:rPr>
              <w:t>2012</w:t>
            </w:r>
          </w:p>
        </w:tc>
      </w:tr>
      <w:tr w:rsidR="00565FD5" w:rsidRPr="001131FC" w:rsidTr="00AB62A3">
        <w:trPr>
          <w:trHeight w:val="198"/>
        </w:trPr>
        <w:tc>
          <w:tcPr>
            <w:tcW w:w="2951" w:type="pct"/>
            <w:tcBorders>
              <w:top w:val="nil"/>
              <w:left w:val="single" w:sz="4" w:space="0" w:color="auto"/>
              <w:bottom w:val="nil"/>
              <w:right w:val="nil"/>
            </w:tcBorders>
            <w:noWrap/>
            <w:vAlign w:val="center"/>
          </w:tcPr>
          <w:p w:rsidR="00565FD5" w:rsidRPr="001131FC" w:rsidRDefault="00565FD5" w:rsidP="00AB62A3">
            <w:pPr>
              <w:ind w:left="57" w:right="57"/>
              <w:rPr>
                <w:rFonts w:cs="Tahoma"/>
                <w:b/>
                <w:bCs/>
                <w:sz w:val="15"/>
                <w:szCs w:val="15"/>
                <w:lang w:eastAsia="tr-TR"/>
              </w:rPr>
            </w:pPr>
            <w:r w:rsidRPr="001131FC">
              <w:rPr>
                <w:rFonts w:cs="Tahoma"/>
                <w:b/>
                <w:bCs/>
                <w:sz w:val="15"/>
                <w:szCs w:val="15"/>
                <w:lang w:eastAsia="tr-TR"/>
              </w:rPr>
              <w:t>TOPLAM İHRACAT</w:t>
            </w:r>
          </w:p>
        </w:tc>
        <w:tc>
          <w:tcPr>
            <w:tcW w:w="542" w:type="pct"/>
            <w:tcBorders>
              <w:top w:val="nil"/>
              <w:left w:val="nil"/>
              <w:bottom w:val="nil"/>
              <w:right w:val="nil"/>
            </w:tcBorders>
            <w:noWrap/>
            <w:vAlign w:val="center"/>
          </w:tcPr>
          <w:p w:rsidR="00565FD5" w:rsidRPr="001131FC" w:rsidRDefault="00565FD5" w:rsidP="00AB62A3">
            <w:pPr>
              <w:ind w:left="57" w:right="57"/>
              <w:jc w:val="right"/>
              <w:rPr>
                <w:rFonts w:cs="Tahoma"/>
                <w:b/>
                <w:bCs/>
                <w:sz w:val="15"/>
                <w:szCs w:val="15"/>
                <w:lang w:eastAsia="tr-TR"/>
              </w:rPr>
            </w:pPr>
            <w:r w:rsidRPr="001131FC">
              <w:rPr>
                <w:rFonts w:cs="Tahoma"/>
                <w:b/>
                <w:bCs/>
                <w:sz w:val="15"/>
                <w:szCs w:val="15"/>
                <w:lang w:eastAsia="tr-TR"/>
              </w:rPr>
              <w:t>113,9</w:t>
            </w:r>
          </w:p>
        </w:tc>
        <w:tc>
          <w:tcPr>
            <w:tcW w:w="466" w:type="pct"/>
            <w:tcBorders>
              <w:top w:val="nil"/>
              <w:left w:val="nil"/>
              <w:bottom w:val="nil"/>
              <w:right w:val="single" w:sz="8" w:space="0" w:color="auto"/>
            </w:tcBorders>
            <w:noWrap/>
            <w:vAlign w:val="center"/>
          </w:tcPr>
          <w:p w:rsidR="00565FD5" w:rsidRPr="001131FC" w:rsidRDefault="00565FD5" w:rsidP="00AB62A3">
            <w:pPr>
              <w:ind w:left="57" w:right="57"/>
              <w:jc w:val="right"/>
              <w:rPr>
                <w:rFonts w:cs="Tahoma"/>
                <w:b/>
                <w:bCs/>
                <w:sz w:val="15"/>
                <w:szCs w:val="15"/>
                <w:lang w:eastAsia="tr-TR"/>
              </w:rPr>
            </w:pPr>
            <w:r w:rsidRPr="001131FC">
              <w:rPr>
                <w:rFonts w:cs="Tahoma"/>
                <w:b/>
                <w:bCs/>
                <w:sz w:val="15"/>
                <w:szCs w:val="15"/>
                <w:lang w:eastAsia="tr-TR"/>
              </w:rPr>
              <w:t>134,9</w:t>
            </w:r>
          </w:p>
        </w:tc>
        <w:tc>
          <w:tcPr>
            <w:tcW w:w="558" w:type="pct"/>
            <w:tcBorders>
              <w:top w:val="nil"/>
              <w:left w:val="nil"/>
              <w:bottom w:val="nil"/>
              <w:right w:val="nil"/>
            </w:tcBorders>
            <w:noWrap/>
            <w:vAlign w:val="center"/>
          </w:tcPr>
          <w:p w:rsidR="00565FD5" w:rsidRPr="001131FC" w:rsidRDefault="00565FD5" w:rsidP="00AB62A3">
            <w:pPr>
              <w:ind w:left="57" w:right="57"/>
              <w:jc w:val="right"/>
              <w:rPr>
                <w:rFonts w:cs="Tahoma"/>
                <w:b/>
                <w:bCs/>
                <w:sz w:val="15"/>
                <w:szCs w:val="15"/>
                <w:lang w:eastAsia="tr-TR"/>
              </w:rPr>
            </w:pPr>
            <w:r w:rsidRPr="001131FC">
              <w:rPr>
                <w:rFonts w:cs="Tahoma"/>
                <w:b/>
                <w:bCs/>
                <w:sz w:val="15"/>
                <w:szCs w:val="15"/>
                <w:lang w:eastAsia="tr-TR"/>
              </w:rPr>
              <w:t>88,7</w:t>
            </w:r>
          </w:p>
        </w:tc>
        <w:tc>
          <w:tcPr>
            <w:tcW w:w="483" w:type="pct"/>
            <w:tcBorders>
              <w:top w:val="nil"/>
              <w:left w:val="nil"/>
              <w:bottom w:val="nil"/>
              <w:right w:val="single" w:sz="4" w:space="0" w:color="auto"/>
            </w:tcBorders>
            <w:noWrap/>
            <w:vAlign w:val="center"/>
          </w:tcPr>
          <w:p w:rsidR="00565FD5" w:rsidRPr="001131FC" w:rsidRDefault="00565FD5" w:rsidP="00AB62A3">
            <w:pPr>
              <w:ind w:left="57" w:right="57"/>
              <w:jc w:val="right"/>
              <w:rPr>
                <w:rFonts w:cs="Tahoma"/>
                <w:b/>
                <w:bCs/>
                <w:sz w:val="15"/>
                <w:szCs w:val="15"/>
                <w:lang w:eastAsia="tr-TR"/>
              </w:rPr>
            </w:pPr>
            <w:r w:rsidRPr="001131FC">
              <w:rPr>
                <w:rFonts w:cs="Tahoma"/>
                <w:b/>
                <w:bCs/>
                <w:sz w:val="15"/>
                <w:szCs w:val="15"/>
                <w:lang w:eastAsia="tr-TR"/>
              </w:rPr>
              <w:t>100,1</w:t>
            </w:r>
          </w:p>
        </w:tc>
      </w:tr>
      <w:tr w:rsidR="00565FD5" w:rsidRPr="001131FC" w:rsidTr="00AB62A3">
        <w:trPr>
          <w:trHeight w:val="198"/>
        </w:trPr>
        <w:tc>
          <w:tcPr>
            <w:tcW w:w="2951" w:type="pct"/>
            <w:tcBorders>
              <w:top w:val="nil"/>
              <w:left w:val="single" w:sz="4" w:space="0" w:color="auto"/>
              <w:bottom w:val="nil"/>
              <w:right w:val="nil"/>
            </w:tcBorders>
            <w:noWrap/>
            <w:vAlign w:val="center"/>
          </w:tcPr>
          <w:p w:rsidR="00565FD5" w:rsidRPr="001131FC" w:rsidRDefault="00565FD5" w:rsidP="00AB62A3">
            <w:pPr>
              <w:ind w:left="57" w:right="57"/>
              <w:rPr>
                <w:rFonts w:cs="Tahoma"/>
                <w:b/>
                <w:bCs/>
                <w:sz w:val="15"/>
                <w:szCs w:val="15"/>
                <w:lang w:eastAsia="tr-TR"/>
              </w:rPr>
            </w:pPr>
            <w:r w:rsidRPr="001131FC">
              <w:rPr>
                <w:rFonts w:cs="Tahoma"/>
                <w:b/>
                <w:bCs/>
                <w:sz w:val="15"/>
                <w:szCs w:val="15"/>
                <w:lang w:eastAsia="tr-TR"/>
              </w:rPr>
              <w:t>Avrupa Birliği Ülkeleri (AB-27)</w:t>
            </w:r>
          </w:p>
        </w:tc>
        <w:tc>
          <w:tcPr>
            <w:tcW w:w="542" w:type="pct"/>
            <w:tcBorders>
              <w:top w:val="nil"/>
              <w:left w:val="nil"/>
              <w:bottom w:val="nil"/>
              <w:right w:val="nil"/>
            </w:tcBorders>
            <w:noWrap/>
            <w:vAlign w:val="center"/>
          </w:tcPr>
          <w:p w:rsidR="00565FD5" w:rsidRPr="001131FC" w:rsidRDefault="00565FD5" w:rsidP="00AB62A3">
            <w:pPr>
              <w:ind w:left="57" w:right="57"/>
              <w:jc w:val="right"/>
              <w:rPr>
                <w:rFonts w:cs="Tahoma"/>
                <w:b/>
                <w:bCs/>
                <w:sz w:val="15"/>
                <w:szCs w:val="15"/>
                <w:lang w:eastAsia="tr-TR"/>
              </w:rPr>
            </w:pPr>
            <w:r w:rsidRPr="001131FC">
              <w:rPr>
                <w:rFonts w:cs="Tahoma"/>
                <w:b/>
                <w:bCs/>
                <w:sz w:val="15"/>
                <w:szCs w:val="15"/>
                <w:lang w:eastAsia="tr-TR"/>
              </w:rPr>
              <w:t>52,7</w:t>
            </w:r>
          </w:p>
        </w:tc>
        <w:tc>
          <w:tcPr>
            <w:tcW w:w="466" w:type="pct"/>
            <w:tcBorders>
              <w:top w:val="nil"/>
              <w:left w:val="nil"/>
              <w:bottom w:val="nil"/>
              <w:right w:val="single" w:sz="8" w:space="0" w:color="auto"/>
            </w:tcBorders>
            <w:noWrap/>
            <w:vAlign w:val="center"/>
          </w:tcPr>
          <w:p w:rsidR="00565FD5" w:rsidRPr="001131FC" w:rsidRDefault="00565FD5" w:rsidP="00AB62A3">
            <w:pPr>
              <w:ind w:left="57" w:right="57"/>
              <w:jc w:val="right"/>
              <w:rPr>
                <w:rFonts w:cs="Tahoma"/>
                <w:b/>
                <w:bCs/>
                <w:sz w:val="15"/>
                <w:szCs w:val="15"/>
                <w:lang w:eastAsia="tr-TR"/>
              </w:rPr>
            </w:pPr>
            <w:r w:rsidRPr="001131FC">
              <w:rPr>
                <w:rFonts w:cs="Tahoma"/>
                <w:b/>
                <w:bCs/>
                <w:sz w:val="15"/>
                <w:szCs w:val="15"/>
                <w:lang w:eastAsia="tr-TR"/>
              </w:rPr>
              <w:t>62,3</w:t>
            </w:r>
          </w:p>
        </w:tc>
        <w:tc>
          <w:tcPr>
            <w:tcW w:w="558" w:type="pct"/>
            <w:tcBorders>
              <w:top w:val="nil"/>
              <w:left w:val="nil"/>
              <w:bottom w:val="nil"/>
              <w:right w:val="nil"/>
            </w:tcBorders>
            <w:noWrap/>
            <w:vAlign w:val="center"/>
          </w:tcPr>
          <w:p w:rsidR="00565FD5" w:rsidRPr="001131FC" w:rsidRDefault="00565FD5" w:rsidP="00AB62A3">
            <w:pPr>
              <w:ind w:left="57" w:right="57"/>
              <w:jc w:val="right"/>
              <w:rPr>
                <w:rFonts w:cs="Tahoma"/>
                <w:b/>
                <w:bCs/>
                <w:sz w:val="15"/>
                <w:szCs w:val="15"/>
                <w:lang w:eastAsia="tr-TR"/>
              </w:rPr>
            </w:pPr>
            <w:r w:rsidRPr="001131FC">
              <w:rPr>
                <w:rFonts w:cs="Tahoma"/>
                <w:b/>
                <w:bCs/>
                <w:sz w:val="15"/>
                <w:szCs w:val="15"/>
                <w:lang w:eastAsia="tr-TR"/>
              </w:rPr>
              <w:t>42,2</w:t>
            </w:r>
          </w:p>
        </w:tc>
        <w:tc>
          <w:tcPr>
            <w:tcW w:w="483" w:type="pct"/>
            <w:tcBorders>
              <w:top w:val="nil"/>
              <w:left w:val="nil"/>
              <w:bottom w:val="nil"/>
              <w:right w:val="single" w:sz="4" w:space="0" w:color="auto"/>
            </w:tcBorders>
            <w:noWrap/>
            <w:vAlign w:val="center"/>
          </w:tcPr>
          <w:p w:rsidR="00565FD5" w:rsidRPr="001131FC" w:rsidRDefault="00565FD5" w:rsidP="00AB62A3">
            <w:pPr>
              <w:ind w:left="57" w:right="57"/>
              <w:jc w:val="right"/>
              <w:rPr>
                <w:rFonts w:cs="Tahoma"/>
                <w:b/>
                <w:bCs/>
                <w:sz w:val="15"/>
                <w:szCs w:val="15"/>
                <w:lang w:eastAsia="tr-TR"/>
              </w:rPr>
            </w:pPr>
            <w:r w:rsidRPr="001131FC">
              <w:rPr>
                <w:rFonts w:cs="Tahoma"/>
                <w:b/>
                <w:bCs/>
                <w:sz w:val="15"/>
                <w:szCs w:val="15"/>
                <w:lang w:eastAsia="tr-TR"/>
              </w:rPr>
              <w:t>38,2</w:t>
            </w:r>
          </w:p>
        </w:tc>
      </w:tr>
      <w:tr w:rsidR="00565FD5" w:rsidRPr="001131FC" w:rsidTr="00AB62A3">
        <w:trPr>
          <w:trHeight w:val="198"/>
        </w:trPr>
        <w:tc>
          <w:tcPr>
            <w:tcW w:w="2951" w:type="pct"/>
            <w:tcBorders>
              <w:top w:val="nil"/>
              <w:left w:val="single" w:sz="4" w:space="0" w:color="auto"/>
              <w:bottom w:val="nil"/>
              <w:right w:val="nil"/>
            </w:tcBorders>
            <w:noWrap/>
            <w:vAlign w:val="center"/>
          </w:tcPr>
          <w:p w:rsidR="00565FD5" w:rsidRPr="001131FC" w:rsidRDefault="00565FD5" w:rsidP="00AB62A3">
            <w:pPr>
              <w:ind w:left="57" w:right="57"/>
              <w:rPr>
                <w:rFonts w:cs="Tahoma"/>
                <w:b/>
                <w:bCs/>
                <w:sz w:val="15"/>
                <w:szCs w:val="15"/>
                <w:lang w:eastAsia="tr-TR"/>
              </w:rPr>
            </w:pPr>
            <w:r w:rsidRPr="001131FC">
              <w:rPr>
                <w:rFonts w:cs="Tahoma"/>
                <w:b/>
                <w:bCs/>
                <w:sz w:val="15"/>
                <w:szCs w:val="15"/>
                <w:lang w:eastAsia="tr-TR"/>
              </w:rPr>
              <w:t>Diğer</w:t>
            </w:r>
          </w:p>
        </w:tc>
        <w:tc>
          <w:tcPr>
            <w:tcW w:w="542" w:type="pct"/>
            <w:tcBorders>
              <w:top w:val="nil"/>
              <w:left w:val="nil"/>
              <w:bottom w:val="nil"/>
              <w:right w:val="nil"/>
            </w:tcBorders>
            <w:noWrap/>
            <w:vAlign w:val="center"/>
          </w:tcPr>
          <w:p w:rsidR="00565FD5" w:rsidRPr="001131FC" w:rsidRDefault="00565FD5" w:rsidP="00AB62A3">
            <w:pPr>
              <w:ind w:left="57" w:right="57"/>
              <w:jc w:val="right"/>
              <w:rPr>
                <w:rFonts w:cs="Tahoma"/>
                <w:b/>
                <w:bCs/>
                <w:sz w:val="15"/>
                <w:szCs w:val="15"/>
                <w:lang w:eastAsia="tr-TR"/>
              </w:rPr>
            </w:pPr>
            <w:r w:rsidRPr="001131FC">
              <w:rPr>
                <w:rFonts w:cs="Tahoma"/>
                <w:b/>
                <w:bCs/>
                <w:sz w:val="15"/>
                <w:szCs w:val="15"/>
                <w:lang w:eastAsia="tr-TR"/>
              </w:rPr>
              <w:t>61,2</w:t>
            </w:r>
          </w:p>
        </w:tc>
        <w:tc>
          <w:tcPr>
            <w:tcW w:w="466" w:type="pct"/>
            <w:tcBorders>
              <w:top w:val="nil"/>
              <w:left w:val="nil"/>
              <w:bottom w:val="nil"/>
              <w:right w:val="single" w:sz="8" w:space="0" w:color="auto"/>
            </w:tcBorders>
            <w:noWrap/>
            <w:vAlign w:val="center"/>
          </w:tcPr>
          <w:p w:rsidR="00565FD5" w:rsidRPr="001131FC" w:rsidRDefault="00565FD5" w:rsidP="00AB62A3">
            <w:pPr>
              <w:ind w:left="57" w:right="57"/>
              <w:jc w:val="right"/>
              <w:rPr>
                <w:rFonts w:cs="Tahoma"/>
                <w:b/>
                <w:bCs/>
                <w:sz w:val="15"/>
                <w:szCs w:val="15"/>
                <w:lang w:eastAsia="tr-TR"/>
              </w:rPr>
            </w:pPr>
            <w:r w:rsidRPr="001131FC">
              <w:rPr>
                <w:rFonts w:cs="Tahoma"/>
                <w:b/>
                <w:bCs/>
                <w:sz w:val="15"/>
                <w:szCs w:val="15"/>
                <w:lang w:eastAsia="tr-TR"/>
              </w:rPr>
              <w:t>72,6</w:t>
            </w:r>
          </w:p>
        </w:tc>
        <w:tc>
          <w:tcPr>
            <w:tcW w:w="558" w:type="pct"/>
            <w:tcBorders>
              <w:top w:val="nil"/>
              <w:left w:val="nil"/>
              <w:bottom w:val="nil"/>
              <w:right w:val="nil"/>
            </w:tcBorders>
            <w:noWrap/>
            <w:vAlign w:val="center"/>
          </w:tcPr>
          <w:p w:rsidR="00565FD5" w:rsidRPr="001131FC" w:rsidRDefault="00565FD5" w:rsidP="00AB62A3">
            <w:pPr>
              <w:ind w:left="57" w:right="57"/>
              <w:jc w:val="right"/>
              <w:rPr>
                <w:rFonts w:cs="Tahoma"/>
                <w:b/>
                <w:bCs/>
                <w:sz w:val="15"/>
                <w:szCs w:val="15"/>
                <w:lang w:eastAsia="tr-TR"/>
              </w:rPr>
            </w:pPr>
            <w:r w:rsidRPr="001131FC">
              <w:rPr>
                <w:rFonts w:cs="Tahoma"/>
                <w:b/>
                <w:bCs/>
                <w:sz w:val="15"/>
                <w:szCs w:val="15"/>
                <w:lang w:eastAsia="tr-TR"/>
              </w:rPr>
              <w:t>46,5</w:t>
            </w:r>
          </w:p>
        </w:tc>
        <w:tc>
          <w:tcPr>
            <w:tcW w:w="483" w:type="pct"/>
            <w:tcBorders>
              <w:top w:val="nil"/>
              <w:left w:val="nil"/>
              <w:bottom w:val="nil"/>
              <w:right w:val="single" w:sz="4" w:space="0" w:color="auto"/>
            </w:tcBorders>
            <w:noWrap/>
            <w:vAlign w:val="center"/>
          </w:tcPr>
          <w:p w:rsidR="00565FD5" w:rsidRPr="001131FC" w:rsidRDefault="00565FD5" w:rsidP="00AB62A3">
            <w:pPr>
              <w:ind w:left="57" w:right="57"/>
              <w:jc w:val="right"/>
              <w:rPr>
                <w:rFonts w:cs="Tahoma"/>
                <w:b/>
                <w:bCs/>
                <w:sz w:val="15"/>
                <w:szCs w:val="15"/>
                <w:lang w:eastAsia="tr-TR"/>
              </w:rPr>
            </w:pPr>
            <w:r w:rsidRPr="001131FC">
              <w:rPr>
                <w:rFonts w:cs="Tahoma"/>
                <w:b/>
                <w:bCs/>
                <w:sz w:val="15"/>
                <w:szCs w:val="15"/>
                <w:lang w:eastAsia="tr-TR"/>
              </w:rPr>
              <w:t>61,9</w:t>
            </w:r>
          </w:p>
        </w:tc>
      </w:tr>
      <w:tr w:rsidR="00565FD5" w:rsidRPr="001131FC" w:rsidTr="00AB62A3">
        <w:trPr>
          <w:trHeight w:val="198"/>
        </w:trPr>
        <w:tc>
          <w:tcPr>
            <w:tcW w:w="2951" w:type="pct"/>
            <w:tcBorders>
              <w:top w:val="nil"/>
              <w:left w:val="single" w:sz="4" w:space="0" w:color="auto"/>
              <w:bottom w:val="nil"/>
              <w:right w:val="nil"/>
            </w:tcBorders>
            <w:shd w:val="clear" w:color="auto" w:fill="FFFFFF"/>
            <w:noWrap/>
            <w:vAlign w:val="center"/>
          </w:tcPr>
          <w:p w:rsidR="00565FD5" w:rsidRPr="001131FC" w:rsidRDefault="00565FD5" w:rsidP="00AB62A3">
            <w:pPr>
              <w:ind w:left="57" w:right="57"/>
              <w:rPr>
                <w:rFonts w:cs="Tahoma"/>
                <w:b/>
                <w:sz w:val="15"/>
                <w:szCs w:val="15"/>
                <w:lang w:eastAsia="tr-TR"/>
              </w:rPr>
            </w:pPr>
            <w:r w:rsidRPr="001131FC">
              <w:rPr>
                <w:rFonts w:cs="Tahoma"/>
                <w:b/>
                <w:sz w:val="15"/>
                <w:szCs w:val="15"/>
                <w:lang w:eastAsia="tr-TR"/>
              </w:rPr>
              <w:t>Seçilmiş Ülke Grupları</w:t>
            </w:r>
          </w:p>
        </w:tc>
        <w:tc>
          <w:tcPr>
            <w:tcW w:w="542" w:type="pct"/>
            <w:tcBorders>
              <w:top w:val="nil"/>
              <w:left w:val="nil"/>
              <w:bottom w:val="nil"/>
              <w:right w:val="nil"/>
            </w:tcBorders>
            <w:noWrap/>
            <w:vAlign w:val="center"/>
          </w:tcPr>
          <w:p w:rsidR="00565FD5" w:rsidRPr="001131FC" w:rsidRDefault="00565FD5" w:rsidP="00AB62A3">
            <w:pPr>
              <w:ind w:left="57" w:right="57"/>
              <w:jc w:val="right"/>
              <w:rPr>
                <w:rFonts w:cs="Tahoma"/>
                <w:sz w:val="15"/>
                <w:szCs w:val="15"/>
                <w:lang w:eastAsia="tr-TR"/>
              </w:rPr>
            </w:pPr>
          </w:p>
        </w:tc>
        <w:tc>
          <w:tcPr>
            <w:tcW w:w="466" w:type="pct"/>
            <w:tcBorders>
              <w:top w:val="nil"/>
              <w:left w:val="nil"/>
              <w:bottom w:val="nil"/>
              <w:right w:val="single" w:sz="8" w:space="0" w:color="auto"/>
            </w:tcBorders>
            <w:noWrap/>
            <w:vAlign w:val="center"/>
          </w:tcPr>
          <w:p w:rsidR="00565FD5" w:rsidRPr="001131FC" w:rsidRDefault="00565FD5" w:rsidP="00AB62A3">
            <w:pPr>
              <w:ind w:left="57" w:right="57"/>
              <w:jc w:val="right"/>
              <w:rPr>
                <w:rFonts w:cs="Tahoma"/>
                <w:sz w:val="15"/>
                <w:szCs w:val="15"/>
                <w:lang w:eastAsia="tr-TR"/>
              </w:rPr>
            </w:pPr>
          </w:p>
        </w:tc>
        <w:tc>
          <w:tcPr>
            <w:tcW w:w="558" w:type="pct"/>
            <w:tcBorders>
              <w:top w:val="nil"/>
              <w:left w:val="nil"/>
              <w:bottom w:val="nil"/>
              <w:right w:val="nil"/>
            </w:tcBorders>
            <w:noWrap/>
            <w:vAlign w:val="center"/>
          </w:tcPr>
          <w:p w:rsidR="00565FD5" w:rsidRPr="001131FC" w:rsidRDefault="00565FD5" w:rsidP="00AB62A3">
            <w:pPr>
              <w:ind w:left="57" w:right="57"/>
              <w:jc w:val="right"/>
              <w:rPr>
                <w:rFonts w:cs="Tahoma"/>
                <w:sz w:val="15"/>
                <w:szCs w:val="15"/>
                <w:lang w:eastAsia="tr-TR"/>
              </w:rPr>
            </w:pPr>
          </w:p>
        </w:tc>
        <w:tc>
          <w:tcPr>
            <w:tcW w:w="483" w:type="pct"/>
            <w:tcBorders>
              <w:top w:val="nil"/>
              <w:left w:val="nil"/>
              <w:bottom w:val="nil"/>
              <w:right w:val="single" w:sz="4" w:space="0" w:color="auto"/>
            </w:tcBorders>
            <w:noWrap/>
            <w:vAlign w:val="center"/>
          </w:tcPr>
          <w:p w:rsidR="00565FD5" w:rsidRPr="001131FC" w:rsidRDefault="00565FD5" w:rsidP="00AB62A3">
            <w:pPr>
              <w:ind w:left="57" w:right="57"/>
              <w:jc w:val="right"/>
              <w:rPr>
                <w:rFonts w:cs="Tahoma"/>
                <w:sz w:val="15"/>
                <w:szCs w:val="15"/>
                <w:lang w:eastAsia="tr-TR"/>
              </w:rPr>
            </w:pPr>
          </w:p>
        </w:tc>
      </w:tr>
      <w:tr w:rsidR="00565FD5" w:rsidRPr="001131FC" w:rsidTr="00AB62A3">
        <w:trPr>
          <w:trHeight w:val="198"/>
        </w:trPr>
        <w:tc>
          <w:tcPr>
            <w:tcW w:w="2951" w:type="pct"/>
            <w:tcBorders>
              <w:top w:val="nil"/>
              <w:left w:val="single" w:sz="4" w:space="0" w:color="auto"/>
              <w:bottom w:val="nil"/>
              <w:right w:val="nil"/>
            </w:tcBorders>
            <w:shd w:val="clear" w:color="auto" w:fill="FFFFFF"/>
            <w:noWrap/>
            <w:vAlign w:val="center"/>
          </w:tcPr>
          <w:p w:rsidR="00565FD5" w:rsidRPr="001131FC" w:rsidRDefault="00565FD5" w:rsidP="00AB62A3">
            <w:pPr>
              <w:ind w:left="57" w:right="57"/>
              <w:rPr>
                <w:rFonts w:cs="Tahoma"/>
                <w:sz w:val="15"/>
                <w:szCs w:val="15"/>
                <w:lang w:eastAsia="tr-TR"/>
              </w:rPr>
            </w:pPr>
            <w:r w:rsidRPr="001131FC">
              <w:rPr>
                <w:rFonts w:cs="Tahoma"/>
                <w:sz w:val="15"/>
                <w:szCs w:val="15"/>
                <w:lang w:eastAsia="tr-TR"/>
              </w:rPr>
              <w:lastRenderedPageBreak/>
              <w:t xml:space="preserve">    Karadeniz Ekonomik İşbirliği</w:t>
            </w:r>
          </w:p>
        </w:tc>
        <w:tc>
          <w:tcPr>
            <w:tcW w:w="542" w:type="pct"/>
            <w:tcBorders>
              <w:top w:val="nil"/>
              <w:left w:val="nil"/>
              <w:bottom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14,5</w:t>
            </w:r>
          </w:p>
        </w:tc>
        <w:tc>
          <w:tcPr>
            <w:tcW w:w="466" w:type="pct"/>
            <w:tcBorders>
              <w:top w:val="nil"/>
              <w:left w:val="nil"/>
              <w:bottom w:val="nil"/>
              <w:right w:val="single" w:sz="8"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17,8</w:t>
            </w:r>
          </w:p>
        </w:tc>
        <w:tc>
          <w:tcPr>
            <w:tcW w:w="558" w:type="pct"/>
            <w:tcBorders>
              <w:top w:val="nil"/>
              <w:left w:val="nil"/>
              <w:bottom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11,4</w:t>
            </w:r>
          </w:p>
        </w:tc>
        <w:tc>
          <w:tcPr>
            <w:tcW w:w="483" w:type="pct"/>
            <w:tcBorders>
              <w:top w:val="nil"/>
              <w:left w:val="nil"/>
              <w:bottom w:val="nil"/>
              <w:right w:val="single" w:sz="4"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11,9</w:t>
            </w:r>
          </w:p>
        </w:tc>
      </w:tr>
      <w:tr w:rsidR="00565FD5" w:rsidRPr="001131FC" w:rsidTr="00AB62A3">
        <w:trPr>
          <w:trHeight w:val="198"/>
        </w:trPr>
        <w:tc>
          <w:tcPr>
            <w:tcW w:w="2951" w:type="pct"/>
            <w:tcBorders>
              <w:top w:val="nil"/>
              <w:left w:val="single" w:sz="4" w:space="0" w:color="auto"/>
              <w:bottom w:val="nil"/>
              <w:right w:val="nil"/>
            </w:tcBorders>
            <w:shd w:val="clear" w:color="auto" w:fill="FFFFFF"/>
            <w:noWrap/>
            <w:vAlign w:val="center"/>
          </w:tcPr>
          <w:p w:rsidR="00565FD5" w:rsidRPr="001131FC" w:rsidRDefault="00565FD5" w:rsidP="00AB62A3">
            <w:pPr>
              <w:ind w:left="57" w:right="57"/>
              <w:rPr>
                <w:rFonts w:cs="Tahoma"/>
                <w:sz w:val="15"/>
                <w:szCs w:val="15"/>
                <w:lang w:eastAsia="tr-TR"/>
              </w:rPr>
            </w:pPr>
            <w:r w:rsidRPr="001131FC">
              <w:rPr>
                <w:rFonts w:cs="Tahoma"/>
                <w:sz w:val="15"/>
                <w:szCs w:val="15"/>
                <w:lang w:eastAsia="tr-TR"/>
              </w:rPr>
              <w:t xml:space="preserve">    Ekonomik İşbirliği Teşkilatı</w:t>
            </w:r>
          </w:p>
        </w:tc>
        <w:tc>
          <w:tcPr>
            <w:tcW w:w="542" w:type="pct"/>
            <w:tcBorders>
              <w:top w:val="nil"/>
              <w:left w:val="nil"/>
              <w:bottom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7,6</w:t>
            </w:r>
          </w:p>
        </w:tc>
        <w:tc>
          <w:tcPr>
            <w:tcW w:w="466" w:type="pct"/>
            <w:tcBorders>
              <w:top w:val="nil"/>
              <w:left w:val="nil"/>
              <w:bottom w:val="nil"/>
              <w:right w:val="single" w:sz="8"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9,3</w:t>
            </w:r>
          </w:p>
        </w:tc>
        <w:tc>
          <w:tcPr>
            <w:tcW w:w="558" w:type="pct"/>
            <w:tcBorders>
              <w:top w:val="nil"/>
              <w:left w:val="nil"/>
              <w:bottom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6,0</w:t>
            </w:r>
          </w:p>
        </w:tc>
        <w:tc>
          <w:tcPr>
            <w:tcW w:w="483" w:type="pct"/>
            <w:tcBorders>
              <w:top w:val="nil"/>
              <w:left w:val="nil"/>
              <w:bottom w:val="nil"/>
              <w:right w:val="single" w:sz="4"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12,9</w:t>
            </w:r>
          </w:p>
        </w:tc>
      </w:tr>
      <w:tr w:rsidR="00565FD5" w:rsidRPr="001131FC" w:rsidTr="00AB62A3">
        <w:trPr>
          <w:trHeight w:val="198"/>
        </w:trPr>
        <w:tc>
          <w:tcPr>
            <w:tcW w:w="2951" w:type="pct"/>
            <w:tcBorders>
              <w:top w:val="nil"/>
              <w:left w:val="single" w:sz="4" w:space="0" w:color="auto"/>
              <w:bottom w:val="nil"/>
              <w:right w:val="nil"/>
            </w:tcBorders>
            <w:shd w:val="clear" w:color="auto" w:fill="FFFFFF"/>
            <w:noWrap/>
            <w:vAlign w:val="center"/>
          </w:tcPr>
          <w:p w:rsidR="00565FD5" w:rsidRPr="001131FC" w:rsidRDefault="00565FD5" w:rsidP="00AB62A3">
            <w:pPr>
              <w:ind w:left="57" w:right="57"/>
              <w:rPr>
                <w:rFonts w:cs="Tahoma"/>
                <w:sz w:val="15"/>
                <w:szCs w:val="15"/>
                <w:lang w:eastAsia="tr-TR"/>
              </w:rPr>
            </w:pPr>
            <w:r w:rsidRPr="001131FC">
              <w:rPr>
                <w:rFonts w:cs="Tahoma"/>
                <w:sz w:val="15"/>
                <w:szCs w:val="15"/>
                <w:lang w:eastAsia="tr-TR"/>
              </w:rPr>
              <w:t xml:space="preserve">    Bağımsız Devletler Topluluğu</w:t>
            </w:r>
          </w:p>
        </w:tc>
        <w:tc>
          <w:tcPr>
            <w:tcW w:w="542" w:type="pct"/>
            <w:tcBorders>
              <w:top w:val="nil"/>
              <w:left w:val="nil"/>
              <w:bottom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10,3</w:t>
            </w:r>
          </w:p>
        </w:tc>
        <w:tc>
          <w:tcPr>
            <w:tcW w:w="466" w:type="pct"/>
            <w:tcBorders>
              <w:top w:val="nil"/>
              <w:left w:val="nil"/>
              <w:bottom w:val="nil"/>
              <w:right w:val="single" w:sz="8"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13,4</w:t>
            </w:r>
          </w:p>
        </w:tc>
        <w:tc>
          <w:tcPr>
            <w:tcW w:w="558" w:type="pct"/>
            <w:tcBorders>
              <w:top w:val="nil"/>
              <w:left w:val="nil"/>
              <w:bottom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8,5</w:t>
            </w:r>
          </w:p>
        </w:tc>
        <w:tc>
          <w:tcPr>
            <w:tcW w:w="483" w:type="pct"/>
            <w:tcBorders>
              <w:top w:val="nil"/>
              <w:left w:val="nil"/>
              <w:bottom w:val="nil"/>
              <w:right w:val="single" w:sz="4"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9,6</w:t>
            </w:r>
          </w:p>
        </w:tc>
      </w:tr>
      <w:tr w:rsidR="00565FD5" w:rsidRPr="001131FC" w:rsidTr="00AB62A3">
        <w:trPr>
          <w:trHeight w:val="198"/>
        </w:trPr>
        <w:tc>
          <w:tcPr>
            <w:tcW w:w="2951" w:type="pct"/>
            <w:tcBorders>
              <w:top w:val="nil"/>
              <w:left w:val="single" w:sz="4" w:space="0" w:color="auto"/>
              <w:right w:val="nil"/>
            </w:tcBorders>
            <w:shd w:val="clear" w:color="auto" w:fill="FFFFFF"/>
            <w:noWrap/>
            <w:vAlign w:val="center"/>
          </w:tcPr>
          <w:p w:rsidR="00565FD5" w:rsidRPr="001131FC" w:rsidRDefault="00565FD5" w:rsidP="00AB62A3">
            <w:pPr>
              <w:ind w:left="57" w:right="57"/>
              <w:rPr>
                <w:rFonts w:cs="Tahoma"/>
                <w:sz w:val="15"/>
                <w:szCs w:val="15"/>
                <w:lang w:eastAsia="tr-TR"/>
              </w:rPr>
            </w:pPr>
            <w:r w:rsidRPr="001131FC">
              <w:rPr>
                <w:rFonts w:cs="Tahoma"/>
                <w:sz w:val="15"/>
                <w:szCs w:val="15"/>
                <w:lang w:eastAsia="tr-TR"/>
              </w:rPr>
              <w:t xml:space="preserve">    Türk Cumhuriyetleri</w:t>
            </w:r>
          </w:p>
        </w:tc>
        <w:tc>
          <w:tcPr>
            <w:tcW w:w="542" w:type="pct"/>
            <w:tcBorders>
              <w:top w:val="nil"/>
              <w:left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3,9</w:t>
            </w:r>
          </w:p>
        </w:tc>
        <w:tc>
          <w:tcPr>
            <w:tcW w:w="466" w:type="pct"/>
            <w:tcBorders>
              <w:top w:val="nil"/>
              <w:left w:val="nil"/>
              <w:right w:val="single" w:sz="8"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5,0</w:t>
            </w:r>
          </w:p>
        </w:tc>
        <w:tc>
          <w:tcPr>
            <w:tcW w:w="558" w:type="pct"/>
            <w:tcBorders>
              <w:top w:val="nil"/>
              <w:left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3,2</w:t>
            </w:r>
          </w:p>
        </w:tc>
        <w:tc>
          <w:tcPr>
            <w:tcW w:w="483" w:type="pct"/>
            <w:tcBorders>
              <w:top w:val="nil"/>
              <w:left w:val="nil"/>
              <w:right w:val="single" w:sz="4"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3,7</w:t>
            </w:r>
          </w:p>
        </w:tc>
      </w:tr>
      <w:tr w:rsidR="00565FD5" w:rsidRPr="001131FC" w:rsidTr="00AB62A3">
        <w:trPr>
          <w:trHeight w:val="198"/>
        </w:trPr>
        <w:tc>
          <w:tcPr>
            <w:tcW w:w="2951" w:type="pct"/>
            <w:tcBorders>
              <w:top w:val="nil"/>
              <w:left w:val="single" w:sz="4" w:space="0" w:color="auto"/>
              <w:bottom w:val="single" w:sz="8" w:space="0" w:color="auto"/>
              <w:right w:val="nil"/>
            </w:tcBorders>
            <w:noWrap/>
            <w:vAlign w:val="center"/>
          </w:tcPr>
          <w:p w:rsidR="00565FD5" w:rsidRPr="001131FC" w:rsidRDefault="00565FD5" w:rsidP="00AB62A3">
            <w:pPr>
              <w:ind w:left="57" w:right="57"/>
              <w:rPr>
                <w:rFonts w:cs="Tahoma"/>
                <w:sz w:val="15"/>
                <w:szCs w:val="15"/>
                <w:lang w:eastAsia="tr-TR"/>
              </w:rPr>
            </w:pPr>
            <w:r w:rsidRPr="001131FC">
              <w:rPr>
                <w:rFonts w:cs="Tahoma"/>
                <w:sz w:val="15"/>
                <w:szCs w:val="15"/>
                <w:lang w:eastAsia="tr-TR"/>
              </w:rPr>
              <w:t xml:space="preserve">    İslam Konferansı Teşkilatı </w:t>
            </w:r>
          </w:p>
        </w:tc>
        <w:tc>
          <w:tcPr>
            <w:tcW w:w="542" w:type="pct"/>
            <w:tcBorders>
              <w:top w:val="nil"/>
              <w:left w:val="nil"/>
              <w:bottom w:val="single" w:sz="8" w:space="0" w:color="auto"/>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32,5</w:t>
            </w:r>
          </w:p>
        </w:tc>
        <w:tc>
          <w:tcPr>
            <w:tcW w:w="466" w:type="pct"/>
            <w:tcBorders>
              <w:top w:val="nil"/>
              <w:left w:val="nil"/>
              <w:bottom w:val="single" w:sz="8" w:space="0" w:color="auto"/>
              <w:right w:val="single" w:sz="8"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37,3</w:t>
            </w:r>
          </w:p>
        </w:tc>
        <w:tc>
          <w:tcPr>
            <w:tcW w:w="558" w:type="pct"/>
            <w:tcBorders>
              <w:top w:val="nil"/>
              <w:left w:val="nil"/>
              <w:bottom w:val="single" w:sz="8" w:space="0" w:color="auto"/>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23,9</w:t>
            </w:r>
          </w:p>
        </w:tc>
        <w:tc>
          <w:tcPr>
            <w:tcW w:w="483" w:type="pct"/>
            <w:tcBorders>
              <w:top w:val="nil"/>
              <w:left w:val="nil"/>
              <w:bottom w:val="single" w:sz="8" w:space="0" w:color="auto"/>
              <w:right w:val="single" w:sz="4"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37,5</w:t>
            </w:r>
          </w:p>
        </w:tc>
      </w:tr>
      <w:tr w:rsidR="00565FD5" w:rsidRPr="001131FC" w:rsidTr="00AB62A3">
        <w:trPr>
          <w:trHeight w:val="198"/>
        </w:trPr>
        <w:tc>
          <w:tcPr>
            <w:tcW w:w="2951" w:type="pct"/>
            <w:tcBorders>
              <w:top w:val="single" w:sz="8" w:space="0" w:color="auto"/>
              <w:left w:val="single" w:sz="4" w:space="0" w:color="auto"/>
              <w:right w:val="nil"/>
            </w:tcBorders>
            <w:noWrap/>
            <w:vAlign w:val="center"/>
          </w:tcPr>
          <w:p w:rsidR="00565FD5" w:rsidRPr="001131FC" w:rsidRDefault="00565FD5" w:rsidP="00AB62A3">
            <w:pPr>
              <w:ind w:left="57" w:right="57"/>
              <w:rPr>
                <w:rFonts w:cs="Tahoma"/>
                <w:b/>
                <w:iCs/>
                <w:sz w:val="15"/>
                <w:szCs w:val="15"/>
                <w:lang w:eastAsia="tr-TR"/>
              </w:rPr>
            </w:pPr>
            <w:r w:rsidRPr="001131FC">
              <w:rPr>
                <w:rFonts w:cs="Tahoma"/>
                <w:b/>
                <w:iCs/>
                <w:sz w:val="15"/>
                <w:szCs w:val="15"/>
                <w:lang w:eastAsia="tr-TR"/>
              </w:rPr>
              <w:t xml:space="preserve">En Yüksek İhracat Yapılan Ülkeler </w:t>
            </w:r>
            <w:r w:rsidRPr="001131FC">
              <w:rPr>
                <w:rFonts w:cs="Tahoma"/>
                <w:b/>
                <w:iCs/>
                <w:sz w:val="13"/>
                <w:szCs w:val="15"/>
                <w:lang w:eastAsia="tr-TR"/>
              </w:rPr>
              <w:t>(1)</w:t>
            </w:r>
          </w:p>
        </w:tc>
        <w:tc>
          <w:tcPr>
            <w:tcW w:w="542" w:type="pct"/>
            <w:tcBorders>
              <w:top w:val="single" w:sz="8" w:space="0" w:color="auto"/>
              <w:left w:val="nil"/>
              <w:right w:val="nil"/>
            </w:tcBorders>
            <w:noWrap/>
            <w:vAlign w:val="center"/>
          </w:tcPr>
          <w:p w:rsidR="00565FD5" w:rsidRPr="001131FC" w:rsidRDefault="00565FD5" w:rsidP="00AB62A3">
            <w:pPr>
              <w:ind w:left="57" w:right="57"/>
              <w:jc w:val="right"/>
              <w:rPr>
                <w:rFonts w:cs="Tahoma"/>
                <w:sz w:val="15"/>
                <w:szCs w:val="15"/>
                <w:lang w:eastAsia="tr-TR"/>
              </w:rPr>
            </w:pPr>
          </w:p>
        </w:tc>
        <w:tc>
          <w:tcPr>
            <w:tcW w:w="466" w:type="pct"/>
            <w:tcBorders>
              <w:top w:val="single" w:sz="8" w:space="0" w:color="auto"/>
              <w:left w:val="nil"/>
              <w:right w:val="single" w:sz="8" w:space="0" w:color="auto"/>
            </w:tcBorders>
            <w:noWrap/>
            <w:vAlign w:val="center"/>
          </w:tcPr>
          <w:p w:rsidR="00565FD5" w:rsidRPr="001131FC" w:rsidRDefault="00565FD5" w:rsidP="00AB62A3">
            <w:pPr>
              <w:ind w:left="57" w:right="57"/>
              <w:jc w:val="right"/>
              <w:rPr>
                <w:rFonts w:cs="Tahoma"/>
                <w:sz w:val="15"/>
                <w:szCs w:val="15"/>
                <w:lang w:eastAsia="tr-TR"/>
              </w:rPr>
            </w:pPr>
          </w:p>
        </w:tc>
        <w:tc>
          <w:tcPr>
            <w:tcW w:w="558" w:type="pct"/>
            <w:tcBorders>
              <w:top w:val="single" w:sz="8" w:space="0" w:color="auto"/>
              <w:left w:val="nil"/>
              <w:right w:val="nil"/>
            </w:tcBorders>
            <w:noWrap/>
            <w:vAlign w:val="center"/>
          </w:tcPr>
          <w:p w:rsidR="00565FD5" w:rsidRPr="001131FC" w:rsidRDefault="00565FD5" w:rsidP="00AB62A3">
            <w:pPr>
              <w:ind w:left="57" w:right="57"/>
              <w:jc w:val="right"/>
              <w:rPr>
                <w:rFonts w:cs="Tahoma"/>
                <w:sz w:val="15"/>
                <w:szCs w:val="15"/>
                <w:lang w:eastAsia="tr-TR"/>
              </w:rPr>
            </w:pPr>
          </w:p>
        </w:tc>
        <w:tc>
          <w:tcPr>
            <w:tcW w:w="483" w:type="pct"/>
            <w:tcBorders>
              <w:top w:val="single" w:sz="8" w:space="0" w:color="auto"/>
              <w:left w:val="nil"/>
              <w:right w:val="single" w:sz="4" w:space="0" w:color="auto"/>
            </w:tcBorders>
            <w:noWrap/>
            <w:vAlign w:val="center"/>
          </w:tcPr>
          <w:p w:rsidR="00565FD5" w:rsidRPr="001131FC" w:rsidRDefault="00565FD5" w:rsidP="00AB62A3">
            <w:pPr>
              <w:ind w:left="57" w:right="57"/>
              <w:jc w:val="right"/>
              <w:rPr>
                <w:rFonts w:cs="Tahoma"/>
                <w:sz w:val="15"/>
                <w:szCs w:val="15"/>
                <w:lang w:eastAsia="tr-TR"/>
              </w:rPr>
            </w:pPr>
          </w:p>
        </w:tc>
      </w:tr>
      <w:tr w:rsidR="00565FD5" w:rsidRPr="001131FC" w:rsidTr="00AB62A3">
        <w:trPr>
          <w:trHeight w:val="198"/>
        </w:trPr>
        <w:tc>
          <w:tcPr>
            <w:tcW w:w="2951" w:type="pct"/>
            <w:tcBorders>
              <w:top w:val="nil"/>
              <w:left w:val="single" w:sz="4" w:space="0" w:color="auto"/>
              <w:right w:val="nil"/>
            </w:tcBorders>
            <w:noWrap/>
            <w:vAlign w:val="center"/>
          </w:tcPr>
          <w:p w:rsidR="00565FD5" w:rsidRPr="001131FC" w:rsidRDefault="00565FD5" w:rsidP="00AB62A3">
            <w:pPr>
              <w:rPr>
                <w:rFonts w:ascii="Arial" w:hAnsi="Arial" w:cs="Arial"/>
                <w:bCs/>
                <w:sz w:val="15"/>
                <w:szCs w:val="16"/>
              </w:rPr>
            </w:pPr>
            <w:r w:rsidRPr="001131FC">
              <w:rPr>
                <w:rFonts w:ascii="Arial" w:hAnsi="Arial" w:cs="Arial"/>
                <w:bCs/>
                <w:sz w:val="15"/>
                <w:szCs w:val="16"/>
              </w:rPr>
              <w:t xml:space="preserve">      Almanya</w:t>
            </w:r>
          </w:p>
        </w:tc>
        <w:tc>
          <w:tcPr>
            <w:tcW w:w="542" w:type="pct"/>
            <w:tcBorders>
              <w:top w:val="nil"/>
              <w:left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11,5</w:t>
            </w:r>
          </w:p>
        </w:tc>
        <w:tc>
          <w:tcPr>
            <w:tcW w:w="466" w:type="pct"/>
            <w:tcBorders>
              <w:top w:val="nil"/>
              <w:left w:val="nil"/>
              <w:right w:val="single" w:sz="8"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14,0</w:t>
            </w:r>
          </w:p>
        </w:tc>
        <w:tc>
          <w:tcPr>
            <w:tcW w:w="558" w:type="pct"/>
            <w:tcBorders>
              <w:top w:val="nil"/>
              <w:left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9,4</w:t>
            </w:r>
          </w:p>
        </w:tc>
        <w:tc>
          <w:tcPr>
            <w:tcW w:w="483" w:type="pct"/>
            <w:tcBorders>
              <w:top w:val="nil"/>
              <w:left w:val="nil"/>
              <w:right w:val="single" w:sz="4"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8,7</w:t>
            </w:r>
          </w:p>
        </w:tc>
      </w:tr>
      <w:tr w:rsidR="00565FD5" w:rsidRPr="001131FC" w:rsidTr="00AB62A3">
        <w:trPr>
          <w:trHeight w:val="198"/>
        </w:trPr>
        <w:tc>
          <w:tcPr>
            <w:tcW w:w="2951" w:type="pct"/>
            <w:tcBorders>
              <w:left w:val="single" w:sz="4" w:space="0" w:color="auto"/>
              <w:right w:val="nil"/>
            </w:tcBorders>
            <w:noWrap/>
            <w:vAlign w:val="center"/>
          </w:tcPr>
          <w:p w:rsidR="00565FD5" w:rsidRPr="001131FC" w:rsidRDefault="00565FD5" w:rsidP="00AB62A3">
            <w:pPr>
              <w:rPr>
                <w:rFonts w:ascii="Arial" w:hAnsi="Arial" w:cs="Arial"/>
                <w:bCs/>
                <w:sz w:val="15"/>
                <w:szCs w:val="16"/>
              </w:rPr>
            </w:pPr>
            <w:r w:rsidRPr="001131FC">
              <w:rPr>
                <w:rFonts w:ascii="Arial" w:hAnsi="Arial" w:cs="Arial"/>
                <w:bCs/>
                <w:sz w:val="15"/>
                <w:szCs w:val="16"/>
              </w:rPr>
              <w:t xml:space="preserve">      Irak</w:t>
            </w:r>
          </w:p>
        </w:tc>
        <w:tc>
          <w:tcPr>
            <w:tcW w:w="542" w:type="pct"/>
            <w:tcBorders>
              <w:left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6,0</w:t>
            </w:r>
          </w:p>
        </w:tc>
        <w:tc>
          <w:tcPr>
            <w:tcW w:w="466" w:type="pct"/>
            <w:tcBorders>
              <w:left w:val="nil"/>
              <w:right w:val="single" w:sz="8"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8,3</w:t>
            </w:r>
          </w:p>
        </w:tc>
        <w:tc>
          <w:tcPr>
            <w:tcW w:w="558" w:type="pct"/>
            <w:tcBorders>
              <w:left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5,0</w:t>
            </w:r>
          </w:p>
        </w:tc>
        <w:tc>
          <w:tcPr>
            <w:tcW w:w="483" w:type="pct"/>
            <w:tcBorders>
              <w:left w:val="nil"/>
              <w:right w:val="single" w:sz="4"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6,8</w:t>
            </w:r>
          </w:p>
        </w:tc>
      </w:tr>
      <w:tr w:rsidR="00565FD5" w:rsidRPr="001131FC" w:rsidTr="00AB62A3">
        <w:trPr>
          <w:trHeight w:val="198"/>
        </w:trPr>
        <w:tc>
          <w:tcPr>
            <w:tcW w:w="2951" w:type="pct"/>
            <w:tcBorders>
              <w:top w:val="nil"/>
              <w:left w:val="single" w:sz="4" w:space="0" w:color="auto"/>
              <w:right w:val="nil"/>
            </w:tcBorders>
            <w:noWrap/>
            <w:vAlign w:val="center"/>
          </w:tcPr>
          <w:p w:rsidR="00565FD5" w:rsidRPr="001131FC" w:rsidRDefault="00565FD5" w:rsidP="00AB62A3">
            <w:pPr>
              <w:rPr>
                <w:rFonts w:ascii="Arial" w:hAnsi="Arial" w:cs="Arial"/>
                <w:bCs/>
                <w:sz w:val="15"/>
                <w:szCs w:val="16"/>
              </w:rPr>
            </w:pPr>
            <w:r w:rsidRPr="001131FC">
              <w:rPr>
                <w:rFonts w:ascii="Arial" w:hAnsi="Arial" w:cs="Arial"/>
                <w:bCs/>
                <w:sz w:val="15"/>
                <w:szCs w:val="16"/>
              </w:rPr>
              <w:t xml:space="preserve">      İngiltere</w:t>
            </w:r>
          </w:p>
        </w:tc>
        <w:tc>
          <w:tcPr>
            <w:tcW w:w="542" w:type="pct"/>
            <w:tcBorders>
              <w:top w:val="nil"/>
              <w:left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7,2</w:t>
            </w:r>
          </w:p>
        </w:tc>
        <w:tc>
          <w:tcPr>
            <w:tcW w:w="466" w:type="pct"/>
            <w:tcBorders>
              <w:top w:val="nil"/>
              <w:left w:val="nil"/>
              <w:right w:val="single" w:sz="8"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8,2</w:t>
            </w:r>
          </w:p>
        </w:tc>
        <w:tc>
          <w:tcPr>
            <w:tcW w:w="558" w:type="pct"/>
            <w:tcBorders>
              <w:top w:val="nil"/>
              <w:left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5,3</w:t>
            </w:r>
          </w:p>
        </w:tc>
        <w:tc>
          <w:tcPr>
            <w:tcW w:w="483" w:type="pct"/>
            <w:tcBorders>
              <w:top w:val="nil"/>
              <w:left w:val="nil"/>
              <w:right w:val="single" w:sz="4"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5,4</w:t>
            </w:r>
          </w:p>
        </w:tc>
      </w:tr>
      <w:tr w:rsidR="00565FD5" w:rsidRPr="001131FC" w:rsidTr="00AB62A3">
        <w:trPr>
          <w:trHeight w:val="198"/>
        </w:trPr>
        <w:tc>
          <w:tcPr>
            <w:tcW w:w="2951" w:type="pct"/>
            <w:tcBorders>
              <w:top w:val="nil"/>
              <w:left w:val="single" w:sz="4" w:space="0" w:color="auto"/>
              <w:right w:val="nil"/>
            </w:tcBorders>
            <w:noWrap/>
            <w:vAlign w:val="center"/>
          </w:tcPr>
          <w:p w:rsidR="00565FD5" w:rsidRPr="001131FC" w:rsidRDefault="00565FD5" w:rsidP="00AB62A3">
            <w:pPr>
              <w:rPr>
                <w:rFonts w:ascii="Arial" w:hAnsi="Arial" w:cs="Arial"/>
                <w:bCs/>
                <w:sz w:val="15"/>
                <w:szCs w:val="16"/>
              </w:rPr>
            </w:pPr>
            <w:r w:rsidRPr="001131FC">
              <w:rPr>
                <w:rFonts w:ascii="Arial" w:hAnsi="Arial" w:cs="Arial"/>
                <w:bCs/>
                <w:sz w:val="15"/>
                <w:szCs w:val="16"/>
              </w:rPr>
              <w:t xml:space="preserve">      İtalya</w:t>
            </w:r>
          </w:p>
        </w:tc>
        <w:tc>
          <w:tcPr>
            <w:tcW w:w="542" w:type="pct"/>
            <w:tcBorders>
              <w:top w:val="nil"/>
              <w:left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6,5</w:t>
            </w:r>
          </w:p>
        </w:tc>
        <w:tc>
          <w:tcPr>
            <w:tcW w:w="466" w:type="pct"/>
            <w:tcBorders>
              <w:top w:val="nil"/>
              <w:left w:val="nil"/>
              <w:right w:val="single" w:sz="8"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7,9</w:t>
            </w:r>
          </w:p>
        </w:tc>
        <w:tc>
          <w:tcPr>
            <w:tcW w:w="558" w:type="pct"/>
            <w:tcBorders>
              <w:top w:val="nil"/>
              <w:left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5,5</w:t>
            </w:r>
          </w:p>
        </w:tc>
        <w:tc>
          <w:tcPr>
            <w:tcW w:w="483" w:type="pct"/>
            <w:tcBorders>
              <w:top w:val="nil"/>
              <w:left w:val="nil"/>
              <w:right w:val="single" w:sz="4"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4,1</w:t>
            </w:r>
          </w:p>
        </w:tc>
      </w:tr>
      <w:tr w:rsidR="00565FD5" w:rsidRPr="001131FC" w:rsidTr="00AB62A3">
        <w:trPr>
          <w:trHeight w:val="198"/>
        </w:trPr>
        <w:tc>
          <w:tcPr>
            <w:tcW w:w="2951" w:type="pct"/>
            <w:tcBorders>
              <w:top w:val="nil"/>
              <w:left w:val="single" w:sz="4" w:space="0" w:color="auto"/>
              <w:right w:val="nil"/>
            </w:tcBorders>
            <w:noWrap/>
            <w:vAlign w:val="center"/>
          </w:tcPr>
          <w:p w:rsidR="00565FD5" w:rsidRPr="001131FC" w:rsidRDefault="00565FD5" w:rsidP="00AB62A3">
            <w:pPr>
              <w:rPr>
                <w:rFonts w:ascii="Arial" w:hAnsi="Arial" w:cs="Arial"/>
                <w:bCs/>
                <w:sz w:val="15"/>
                <w:szCs w:val="16"/>
              </w:rPr>
            </w:pPr>
            <w:r w:rsidRPr="001131FC">
              <w:rPr>
                <w:rFonts w:ascii="Arial" w:hAnsi="Arial" w:cs="Arial"/>
                <w:bCs/>
                <w:sz w:val="15"/>
                <w:szCs w:val="16"/>
              </w:rPr>
              <w:t xml:space="preserve">      Fransa</w:t>
            </w:r>
          </w:p>
        </w:tc>
        <w:tc>
          <w:tcPr>
            <w:tcW w:w="542" w:type="pct"/>
            <w:tcBorders>
              <w:top w:val="nil"/>
              <w:left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6,1</w:t>
            </w:r>
          </w:p>
        </w:tc>
        <w:tc>
          <w:tcPr>
            <w:tcW w:w="466" w:type="pct"/>
            <w:tcBorders>
              <w:top w:val="nil"/>
              <w:left w:val="nil"/>
              <w:right w:val="single" w:sz="8"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6,8</w:t>
            </w:r>
          </w:p>
        </w:tc>
        <w:tc>
          <w:tcPr>
            <w:tcW w:w="558" w:type="pct"/>
            <w:tcBorders>
              <w:top w:val="nil"/>
              <w:left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4,6</w:t>
            </w:r>
          </w:p>
        </w:tc>
        <w:tc>
          <w:tcPr>
            <w:tcW w:w="483" w:type="pct"/>
            <w:tcBorders>
              <w:top w:val="nil"/>
              <w:left w:val="nil"/>
              <w:right w:val="single" w:sz="4"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4,0</w:t>
            </w:r>
          </w:p>
        </w:tc>
      </w:tr>
      <w:tr w:rsidR="00565FD5" w:rsidRPr="001131FC" w:rsidTr="00AB62A3">
        <w:trPr>
          <w:trHeight w:val="198"/>
        </w:trPr>
        <w:tc>
          <w:tcPr>
            <w:tcW w:w="2951" w:type="pct"/>
            <w:tcBorders>
              <w:left w:val="single" w:sz="4" w:space="0" w:color="auto"/>
              <w:bottom w:val="single" w:sz="8" w:space="0" w:color="auto"/>
              <w:right w:val="nil"/>
            </w:tcBorders>
            <w:noWrap/>
            <w:vAlign w:val="center"/>
          </w:tcPr>
          <w:p w:rsidR="00565FD5" w:rsidRPr="001131FC" w:rsidRDefault="00565FD5" w:rsidP="00AB62A3">
            <w:pPr>
              <w:rPr>
                <w:rFonts w:ascii="Arial" w:hAnsi="Arial" w:cs="Arial"/>
                <w:bCs/>
                <w:sz w:val="15"/>
                <w:szCs w:val="16"/>
              </w:rPr>
            </w:pPr>
            <w:r w:rsidRPr="001131FC">
              <w:rPr>
                <w:rFonts w:ascii="Arial" w:hAnsi="Arial" w:cs="Arial"/>
                <w:bCs/>
                <w:sz w:val="15"/>
                <w:szCs w:val="16"/>
              </w:rPr>
              <w:t xml:space="preserve">      İran</w:t>
            </w:r>
          </w:p>
        </w:tc>
        <w:tc>
          <w:tcPr>
            <w:tcW w:w="542" w:type="pct"/>
            <w:tcBorders>
              <w:left w:val="nil"/>
              <w:bottom w:val="single" w:sz="8" w:space="0" w:color="auto"/>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3,0</w:t>
            </w:r>
          </w:p>
        </w:tc>
        <w:tc>
          <w:tcPr>
            <w:tcW w:w="466" w:type="pct"/>
            <w:tcBorders>
              <w:left w:val="nil"/>
              <w:bottom w:val="single" w:sz="8" w:space="0" w:color="auto"/>
              <w:right w:val="single" w:sz="8"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3,6</w:t>
            </w:r>
          </w:p>
        </w:tc>
        <w:tc>
          <w:tcPr>
            <w:tcW w:w="558" w:type="pct"/>
            <w:tcBorders>
              <w:left w:val="nil"/>
              <w:bottom w:val="single" w:sz="8" w:space="0" w:color="auto"/>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2,3</w:t>
            </w:r>
          </w:p>
        </w:tc>
        <w:tc>
          <w:tcPr>
            <w:tcW w:w="483" w:type="pct"/>
            <w:tcBorders>
              <w:left w:val="nil"/>
              <w:bottom w:val="single" w:sz="8" w:space="0" w:color="auto"/>
              <w:right w:val="single" w:sz="4"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8,6</w:t>
            </w:r>
          </w:p>
        </w:tc>
      </w:tr>
      <w:tr w:rsidR="00565FD5" w:rsidRPr="001131FC" w:rsidTr="00AB62A3">
        <w:trPr>
          <w:trHeight w:val="198"/>
        </w:trPr>
        <w:tc>
          <w:tcPr>
            <w:tcW w:w="2951" w:type="pct"/>
            <w:tcBorders>
              <w:top w:val="single" w:sz="8" w:space="0" w:color="auto"/>
              <w:left w:val="single" w:sz="4" w:space="0" w:color="auto"/>
              <w:right w:val="nil"/>
            </w:tcBorders>
            <w:shd w:val="clear" w:color="auto" w:fill="FFFFFF"/>
            <w:noWrap/>
            <w:vAlign w:val="center"/>
          </w:tcPr>
          <w:p w:rsidR="00565FD5" w:rsidRPr="001131FC" w:rsidRDefault="00565FD5" w:rsidP="00AB62A3">
            <w:pPr>
              <w:ind w:left="57" w:right="57"/>
              <w:rPr>
                <w:rFonts w:cs="Tahoma"/>
                <w:b/>
                <w:iCs/>
                <w:sz w:val="15"/>
                <w:szCs w:val="15"/>
                <w:lang w:eastAsia="tr-TR"/>
              </w:rPr>
            </w:pPr>
            <w:r w:rsidRPr="001131FC">
              <w:rPr>
                <w:rFonts w:cs="Tahoma"/>
                <w:b/>
                <w:iCs/>
                <w:sz w:val="15"/>
                <w:szCs w:val="15"/>
                <w:lang w:eastAsia="tr-TR"/>
              </w:rPr>
              <w:t>En Yüksek İhracat Yapılan Fasıllar</w:t>
            </w:r>
            <w:r w:rsidRPr="001131FC">
              <w:rPr>
                <w:rFonts w:cs="Tahoma"/>
                <w:b/>
                <w:iCs/>
                <w:sz w:val="14"/>
                <w:szCs w:val="15"/>
                <w:lang w:eastAsia="tr-TR"/>
              </w:rPr>
              <w:t xml:space="preserve"> (1)</w:t>
            </w:r>
          </w:p>
        </w:tc>
        <w:tc>
          <w:tcPr>
            <w:tcW w:w="542" w:type="pct"/>
            <w:tcBorders>
              <w:top w:val="single" w:sz="8" w:space="0" w:color="auto"/>
              <w:left w:val="nil"/>
              <w:right w:val="nil"/>
            </w:tcBorders>
            <w:noWrap/>
            <w:vAlign w:val="center"/>
          </w:tcPr>
          <w:p w:rsidR="00565FD5" w:rsidRPr="001131FC" w:rsidRDefault="00565FD5" w:rsidP="00AB62A3">
            <w:pPr>
              <w:ind w:left="57" w:right="57"/>
              <w:jc w:val="right"/>
              <w:rPr>
                <w:rFonts w:cs="Tahoma"/>
                <w:sz w:val="15"/>
                <w:szCs w:val="15"/>
                <w:lang w:eastAsia="tr-TR"/>
              </w:rPr>
            </w:pPr>
          </w:p>
        </w:tc>
        <w:tc>
          <w:tcPr>
            <w:tcW w:w="466" w:type="pct"/>
            <w:tcBorders>
              <w:top w:val="single" w:sz="8" w:space="0" w:color="auto"/>
              <w:left w:val="nil"/>
              <w:right w:val="single" w:sz="8" w:space="0" w:color="auto"/>
            </w:tcBorders>
            <w:noWrap/>
            <w:vAlign w:val="center"/>
          </w:tcPr>
          <w:p w:rsidR="00565FD5" w:rsidRPr="001131FC" w:rsidRDefault="00565FD5" w:rsidP="00AB62A3">
            <w:pPr>
              <w:ind w:left="57" w:right="57"/>
              <w:jc w:val="right"/>
              <w:rPr>
                <w:rFonts w:cs="Tahoma"/>
                <w:sz w:val="15"/>
                <w:szCs w:val="15"/>
                <w:lang w:eastAsia="tr-TR"/>
              </w:rPr>
            </w:pPr>
          </w:p>
        </w:tc>
        <w:tc>
          <w:tcPr>
            <w:tcW w:w="558" w:type="pct"/>
            <w:tcBorders>
              <w:top w:val="single" w:sz="8" w:space="0" w:color="auto"/>
              <w:left w:val="nil"/>
              <w:right w:val="nil"/>
            </w:tcBorders>
            <w:noWrap/>
            <w:vAlign w:val="center"/>
          </w:tcPr>
          <w:p w:rsidR="00565FD5" w:rsidRPr="001131FC" w:rsidRDefault="00565FD5" w:rsidP="00AB62A3">
            <w:pPr>
              <w:ind w:left="57" w:right="57"/>
              <w:jc w:val="right"/>
              <w:rPr>
                <w:rFonts w:cs="Tahoma"/>
                <w:sz w:val="15"/>
                <w:szCs w:val="15"/>
                <w:lang w:eastAsia="tr-TR"/>
              </w:rPr>
            </w:pPr>
          </w:p>
        </w:tc>
        <w:tc>
          <w:tcPr>
            <w:tcW w:w="483" w:type="pct"/>
            <w:tcBorders>
              <w:top w:val="single" w:sz="8" w:space="0" w:color="auto"/>
              <w:left w:val="nil"/>
              <w:right w:val="single" w:sz="4" w:space="0" w:color="auto"/>
            </w:tcBorders>
            <w:noWrap/>
            <w:vAlign w:val="center"/>
          </w:tcPr>
          <w:p w:rsidR="00565FD5" w:rsidRPr="001131FC" w:rsidRDefault="00565FD5" w:rsidP="00AB62A3">
            <w:pPr>
              <w:ind w:left="57" w:right="57"/>
              <w:jc w:val="right"/>
              <w:rPr>
                <w:rFonts w:cs="Tahoma"/>
                <w:sz w:val="15"/>
                <w:szCs w:val="15"/>
                <w:lang w:eastAsia="tr-TR"/>
              </w:rPr>
            </w:pPr>
          </w:p>
        </w:tc>
      </w:tr>
      <w:tr w:rsidR="00565FD5" w:rsidRPr="001131FC" w:rsidTr="00AB62A3">
        <w:trPr>
          <w:trHeight w:val="198"/>
        </w:trPr>
        <w:tc>
          <w:tcPr>
            <w:tcW w:w="2951" w:type="pct"/>
            <w:tcBorders>
              <w:top w:val="nil"/>
              <w:left w:val="single" w:sz="4" w:space="0" w:color="auto"/>
              <w:right w:val="nil"/>
            </w:tcBorders>
            <w:noWrap/>
            <w:vAlign w:val="center"/>
          </w:tcPr>
          <w:p w:rsidR="00565FD5" w:rsidRPr="001131FC" w:rsidRDefault="00565FD5" w:rsidP="00AB62A3">
            <w:pPr>
              <w:ind w:left="57" w:right="57"/>
              <w:rPr>
                <w:rFonts w:cs="Tahoma"/>
                <w:sz w:val="15"/>
                <w:szCs w:val="15"/>
                <w:lang w:eastAsia="tr-TR"/>
              </w:rPr>
            </w:pPr>
            <w:r w:rsidRPr="001131FC">
              <w:rPr>
                <w:rFonts w:cs="Tahoma"/>
                <w:sz w:val="15"/>
                <w:szCs w:val="15"/>
                <w:lang w:eastAsia="tr-TR"/>
              </w:rPr>
              <w:t>87. Kara taşıtları ve bunların aksam ve parçaları</w:t>
            </w:r>
          </w:p>
        </w:tc>
        <w:tc>
          <w:tcPr>
            <w:tcW w:w="542" w:type="pct"/>
            <w:tcBorders>
              <w:top w:val="nil"/>
              <w:left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13,8</w:t>
            </w:r>
          </w:p>
        </w:tc>
        <w:tc>
          <w:tcPr>
            <w:tcW w:w="466" w:type="pct"/>
            <w:tcBorders>
              <w:top w:val="nil"/>
              <w:left w:val="nil"/>
              <w:right w:val="single" w:sz="8"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15,8</w:t>
            </w:r>
          </w:p>
        </w:tc>
        <w:tc>
          <w:tcPr>
            <w:tcW w:w="558" w:type="pct"/>
            <w:tcBorders>
              <w:top w:val="nil"/>
              <w:left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10,5</w:t>
            </w:r>
          </w:p>
        </w:tc>
        <w:tc>
          <w:tcPr>
            <w:tcW w:w="483" w:type="pct"/>
            <w:tcBorders>
              <w:top w:val="nil"/>
              <w:left w:val="nil"/>
              <w:right w:val="single" w:sz="4"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9,9</w:t>
            </w:r>
          </w:p>
        </w:tc>
      </w:tr>
      <w:tr w:rsidR="00565FD5" w:rsidRPr="001131FC" w:rsidTr="00AB62A3">
        <w:trPr>
          <w:trHeight w:val="198"/>
        </w:trPr>
        <w:tc>
          <w:tcPr>
            <w:tcW w:w="2951" w:type="pct"/>
            <w:tcBorders>
              <w:top w:val="nil"/>
              <w:left w:val="single" w:sz="4" w:space="0" w:color="auto"/>
              <w:right w:val="nil"/>
            </w:tcBorders>
            <w:noWrap/>
            <w:vAlign w:val="center"/>
          </w:tcPr>
          <w:p w:rsidR="00565FD5" w:rsidRPr="001131FC" w:rsidRDefault="00565FD5" w:rsidP="00AB62A3">
            <w:pPr>
              <w:ind w:left="57" w:right="57"/>
              <w:rPr>
                <w:rFonts w:cs="Tahoma"/>
                <w:sz w:val="15"/>
                <w:szCs w:val="15"/>
                <w:lang w:eastAsia="tr-TR"/>
              </w:rPr>
            </w:pPr>
            <w:r w:rsidRPr="001131FC">
              <w:rPr>
                <w:rFonts w:cs="Tahoma"/>
                <w:sz w:val="15"/>
                <w:szCs w:val="15"/>
                <w:lang w:eastAsia="tr-TR"/>
              </w:rPr>
              <w:t>84. Makineler, mekanik cihazlar, kazanlar ve aksam, parçalar</w:t>
            </w:r>
          </w:p>
        </w:tc>
        <w:tc>
          <w:tcPr>
            <w:tcW w:w="542" w:type="pct"/>
            <w:tcBorders>
              <w:top w:val="nil"/>
              <w:left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9,4</w:t>
            </w:r>
          </w:p>
        </w:tc>
        <w:tc>
          <w:tcPr>
            <w:tcW w:w="466" w:type="pct"/>
            <w:tcBorders>
              <w:top w:val="nil"/>
              <w:left w:val="nil"/>
              <w:right w:val="single" w:sz="8"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11,6</w:t>
            </w:r>
          </w:p>
        </w:tc>
        <w:tc>
          <w:tcPr>
            <w:tcW w:w="558" w:type="pct"/>
            <w:tcBorders>
              <w:top w:val="nil"/>
              <w:left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7,6</w:t>
            </w:r>
          </w:p>
        </w:tc>
        <w:tc>
          <w:tcPr>
            <w:tcW w:w="483" w:type="pct"/>
            <w:tcBorders>
              <w:top w:val="nil"/>
              <w:left w:val="nil"/>
              <w:right w:val="single" w:sz="4"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7,9</w:t>
            </w:r>
          </w:p>
        </w:tc>
      </w:tr>
      <w:tr w:rsidR="00565FD5" w:rsidRPr="001131FC" w:rsidTr="00AB62A3">
        <w:trPr>
          <w:trHeight w:val="198"/>
        </w:trPr>
        <w:tc>
          <w:tcPr>
            <w:tcW w:w="2951" w:type="pct"/>
            <w:tcBorders>
              <w:top w:val="nil"/>
              <w:left w:val="single" w:sz="4" w:space="0" w:color="auto"/>
              <w:right w:val="nil"/>
            </w:tcBorders>
            <w:noWrap/>
            <w:vAlign w:val="center"/>
          </w:tcPr>
          <w:p w:rsidR="00565FD5" w:rsidRPr="001131FC" w:rsidRDefault="00565FD5" w:rsidP="00AB62A3">
            <w:pPr>
              <w:ind w:left="57" w:right="57"/>
              <w:rPr>
                <w:rFonts w:cs="Tahoma"/>
                <w:sz w:val="15"/>
                <w:szCs w:val="15"/>
                <w:lang w:eastAsia="tr-TR"/>
              </w:rPr>
            </w:pPr>
            <w:r w:rsidRPr="001131FC">
              <w:rPr>
                <w:rFonts w:cs="Tahoma"/>
                <w:sz w:val="15"/>
                <w:szCs w:val="15"/>
                <w:lang w:eastAsia="tr-TR"/>
              </w:rPr>
              <w:t xml:space="preserve">72. Demir ve çelik </w:t>
            </w:r>
          </w:p>
        </w:tc>
        <w:tc>
          <w:tcPr>
            <w:tcW w:w="542" w:type="pct"/>
            <w:tcBorders>
              <w:top w:val="nil"/>
              <w:left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8,7</w:t>
            </w:r>
          </w:p>
        </w:tc>
        <w:tc>
          <w:tcPr>
            <w:tcW w:w="466" w:type="pct"/>
            <w:tcBorders>
              <w:top w:val="nil"/>
              <w:left w:val="nil"/>
              <w:right w:val="single" w:sz="8"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11,2</w:t>
            </w:r>
          </w:p>
        </w:tc>
        <w:tc>
          <w:tcPr>
            <w:tcW w:w="558" w:type="pct"/>
            <w:tcBorders>
              <w:top w:val="nil"/>
              <w:left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7,5</w:t>
            </w:r>
          </w:p>
        </w:tc>
        <w:tc>
          <w:tcPr>
            <w:tcW w:w="483" w:type="pct"/>
            <w:tcBorders>
              <w:top w:val="nil"/>
              <w:left w:val="nil"/>
              <w:right w:val="single" w:sz="4"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7,8</w:t>
            </w:r>
          </w:p>
        </w:tc>
      </w:tr>
      <w:tr w:rsidR="00565FD5" w:rsidRPr="001131FC" w:rsidTr="00AB62A3">
        <w:trPr>
          <w:trHeight w:val="198"/>
        </w:trPr>
        <w:tc>
          <w:tcPr>
            <w:tcW w:w="2951" w:type="pct"/>
            <w:tcBorders>
              <w:top w:val="nil"/>
              <w:left w:val="single" w:sz="4" w:space="0" w:color="auto"/>
              <w:bottom w:val="nil"/>
              <w:right w:val="nil"/>
            </w:tcBorders>
            <w:noWrap/>
            <w:vAlign w:val="center"/>
          </w:tcPr>
          <w:p w:rsidR="00565FD5" w:rsidRPr="001131FC" w:rsidRDefault="00565FD5" w:rsidP="00AB62A3">
            <w:pPr>
              <w:ind w:left="57" w:right="57"/>
              <w:rPr>
                <w:rFonts w:cs="Tahoma"/>
                <w:sz w:val="15"/>
                <w:szCs w:val="15"/>
                <w:lang w:eastAsia="tr-TR"/>
              </w:rPr>
            </w:pPr>
            <w:r w:rsidRPr="001131FC">
              <w:rPr>
                <w:rFonts w:cs="Tahoma"/>
                <w:sz w:val="15"/>
                <w:szCs w:val="15"/>
                <w:lang w:eastAsia="tr-TR"/>
              </w:rPr>
              <w:t>85. Elektrikli makine ve cihazlar</w:t>
            </w:r>
          </w:p>
        </w:tc>
        <w:tc>
          <w:tcPr>
            <w:tcW w:w="542" w:type="pct"/>
            <w:tcBorders>
              <w:top w:val="nil"/>
              <w:left w:val="nil"/>
              <w:bottom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7,5</w:t>
            </w:r>
          </w:p>
        </w:tc>
        <w:tc>
          <w:tcPr>
            <w:tcW w:w="466" w:type="pct"/>
            <w:tcBorders>
              <w:top w:val="nil"/>
              <w:left w:val="nil"/>
              <w:bottom w:val="nil"/>
              <w:right w:val="single" w:sz="8"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8,9</w:t>
            </w:r>
          </w:p>
        </w:tc>
        <w:tc>
          <w:tcPr>
            <w:tcW w:w="558" w:type="pct"/>
            <w:tcBorders>
              <w:top w:val="nil"/>
              <w:left w:val="nil"/>
              <w:bottom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5,5</w:t>
            </w:r>
          </w:p>
        </w:tc>
        <w:tc>
          <w:tcPr>
            <w:tcW w:w="483" w:type="pct"/>
            <w:tcBorders>
              <w:top w:val="nil"/>
              <w:left w:val="nil"/>
              <w:bottom w:val="nil"/>
              <w:right w:val="single" w:sz="4"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6,1</w:t>
            </w:r>
          </w:p>
        </w:tc>
      </w:tr>
      <w:tr w:rsidR="00565FD5" w:rsidRPr="001131FC" w:rsidTr="00AB62A3">
        <w:trPr>
          <w:trHeight w:val="198"/>
        </w:trPr>
        <w:tc>
          <w:tcPr>
            <w:tcW w:w="2951" w:type="pct"/>
            <w:tcBorders>
              <w:top w:val="nil"/>
              <w:left w:val="single" w:sz="4" w:space="0" w:color="auto"/>
              <w:bottom w:val="nil"/>
              <w:right w:val="nil"/>
            </w:tcBorders>
            <w:noWrap/>
            <w:vAlign w:val="center"/>
          </w:tcPr>
          <w:p w:rsidR="00565FD5" w:rsidRPr="001131FC" w:rsidRDefault="00565FD5" w:rsidP="00AB62A3">
            <w:pPr>
              <w:ind w:left="57" w:right="57"/>
              <w:rPr>
                <w:rFonts w:cs="Tahoma"/>
                <w:sz w:val="15"/>
                <w:szCs w:val="15"/>
                <w:lang w:eastAsia="tr-TR"/>
              </w:rPr>
            </w:pPr>
            <w:r w:rsidRPr="001131FC">
              <w:rPr>
                <w:rFonts w:cs="Tahoma"/>
                <w:sz w:val="15"/>
                <w:szCs w:val="15"/>
                <w:lang w:eastAsia="tr-TR"/>
              </w:rPr>
              <w:t xml:space="preserve">61. Örme giyim eşyası </w:t>
            </w:r>
          </w:p>
        </w:tc>
        <w:tc>
          <w:tcPr>
            <w:tcW w:w="542" w:type="pct"/>
            <w:tcBorders>
              <w:top w:val="nil"/>
              <w:left w:val="nil"/>
              <w:bottom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7,7</w:t>
            </w:r>
          </w:p>
        </w:tc>
        <w:tc>
          <w:tcPr>
            <w:tcW w:w="466" w:type="pct"/>
            <w:tcBorders>
              <w:top w:val="nil"/>
              <w:left w:val="nil"/>
              <w:bottom w:val="nil"/>
              <w:right w:val="single" w:sz="8"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8,4</w:t>
            </w:r>
          </w:p>
        </w:tc>
        <w:tc>
          <w:tcPr>
            <w:tcW w:w="558" w:type="pct"/>
            <w:tcBorders>
              <w:top w:val="nil"/>
              <w:left w:val="nil"/>
              <w:bottom w:val="nil"/>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5,9</w:t>
            </w:r>
          </w:p>
        </w:tc>
        <w:tc>
          <w:tcPr>
            <w:tcW w:w="483" w:type="pct"/>
            <w:tcBorders>
              <w:top w:val="nil"/>
              <w:left w:val="nil"/>
              <w:bottom w:val="nil"/>
              <w:right w:val="single" w:sz="4"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5,5</w:t>
            </w:r>
          </w:p>
        </w:tc>
      </w:tr>
      <w:tr w:rsidR="00565FD5" w:rsidRPr="001131FC" w:rsidTr="00AB62A3">
        <w:trPr>
          <w:trHeight w:val="198"/>
        </w:trPr>
        <w:tc>
          <w:tcPr>
            <w:tcW w:w="2951" w:type="pct"/>
            <w:tcBorders>
              <w:top w:val="nil"/>
              <w:left w:val="single" w:sz="4" w:space="0" w:color="auto"/>
              <w:bottom w:val="single" w:sz="4" w:space="0" w:color="auto"/>
              <w:right w:val="nil"/>
            </w:tcBorders>
            <w:noWrap/>
            <w:vAlign w:val="center"/>
          </w:tcPr>
          <w:p w:rsidR="00565FD5" w:rsidRPr="001131FC" w:rsidRDefault="00565FD5" w:rsidP="00AB62A3">
            <w:pPr>
              <w:ind w:left="57" w:right="57"/>
              <w:rPr>
                <w:rFonts w:cs="Tahoma"/>
                <w:sz w:val="15"/>
                <w:szCs w:val="15"/>
                <w:lang w:eastAsia="tr-TR"/>
              </w:rPr>
            </w:pPr>
            <w:r w:rsidRPr="001131FC">
              <w:rPr>
                <w:rFonts w:cs="Tahoma"/>
                <w:sz w:val="15"/>
                <w:szCs w:val="15"/>
                <w:lang w:eastAsia="tr-TR"/>
              </w:rPr>
              <w:t>71. İnciler, kıymetli taş ve metaller</w:t>
            </w:r>
          </w:p>
        </w:tc>
        <w:tc>
          <w:tcPr>
            <w:tcW w:w="542" w:type="pct"/>
            <w:tcBorders>
              <w:top w:val="nil"/>
              <w:left w:val="nil"/>
              <w:bottom w:val="single" w:sz="4" w:space="0" w:color="auto"/>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3,7</w:t>
            </w:r>
          </w:p>
        </w:tc>
        <w:tc>
          <w:tcPr>
            <w:tcW w:w="466" w:type="pct"/>
            <w:tcBorders>
              <w:top w:val="nil"/>
              <w:left w:val="nil"/>
              <w:bottom w:val="single" w:sz="4" w:space="0" w:color="auto"/>
              <w:right w:val="single" w:sz="8"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3,7</w:t>
            </w:r>
          </w:p>
        </w:tc>
        <w:tc>
          <w:tcPr>
            <w:tcW w:w="558" w:type="pct"/>
            <w:tcBorders>
              <w:top w:val="nil"/>
              <w:left w:val="nil"/>
              <w:bottom w:val="single" w:sz="4" w:space="0" w:color="auto"/>
              <w:right w:val="nil"/>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2,1</w:t>
            </w:r>
          </w:p>
        </w:tc>
        <w:tc>
          <w:tcPr>
            <w:tcW w:w="483" w:type="pct"/>
            <w:tcBorders>
              <w:top w:val="nil"/>
              <w:left w:val="nil"/>
              <w:bottom w:val="single" w:sz="4" w:space="0" w:color="auto"/>
              <w:right w:val="single" w:sz="4" w:space="0" w:color="auto"/>
            </w:tcBorders>
            <w:noWrap/>
            <w:vAlign w:val="center"/>
          </w:tcPr>
          <w:p w:rsidR="00565FD5" w:rsidRPr="001131FC" w:rsidRDefault="00565FD5" w:rsidP="00AB62A3">
            <w:pPr>
              <w:ind w:left="57" w:right="57"/>
              <w:jc w:val="right"/>
              <w:rPr>
                <w:rFonts w:cs="Tahoma"/>
                <w:sz w:val="15"/>
                <w:szCs w:val="15"/>
                <w:lang w:eastAsia="tr-TR"/>
              </w:rPr>
            </w:pPr>
            <w:r w:rsidRPr="001131FC">
              <w:rPr>
                <w:rFonts w:cs="Tahoma"/>
                <w:sz w:val="15"/>
                <w:szCs w:val="15"/>
                <w:lang w:eastAsia="tr-TR"/>
              </w:rPr>
              <w:t>11,2</w:t>
            </w:r>
          </w:p>
        </w:tc>
      </w:tr>
    </w:tbl>
    <w:p w:rsidR="00565FD5" w:rsidRPr="001131FC" w:rsidRDefault="00565FD5" w:rsidP="00565FD5">
      <w:pPr>
        <w:tabs>
          <w:tab w:val="left" w:pos="499"/>
        </w:tabs>
        <w:spacing w:before="20"/>
        <w:rPr>
          <w:rFonts w:cs="Tahoma"/>
          <w:sz w:val="14"/>
          <w:szCs w:val="14"/>
        </w:rPr>
      </w:pPr>
      <w:r w:rsidRPr="001131FC">
        <w:rPr>
          <w:rFonts w:cs="Tahoma"/>
          <w:sz w:val="14"/>
          <w:szCs w:val="14"/>
        </w:rPr>
        <w:t>Kaynak: TÜİK</w:t>
      </w:r>
    </w:p>
    <w:p w:rsidR="00565FD5" w:rsidRPr="001131FC" w:rsidRDefault="00565FD5" w:rsidP="00565FD5">
      <w:pPr>
        <w:tabs>
          <w:tab w:val="left" w:pos="499"/>
        </w:tabs>
        <w:spacing w:after="240"/>
        <w:rPr>
          <w:rFonts w:cs="Tahoma"/>
          <w:sz w:val="14"/>
          <w:szCs w:val="14"/>
        </w:rPr>
      </w:pPr>
      <w:r w:rsidRPr="001131FC">
        <w:rPr>
          <w:rFonts w:cs="Tahoma"/>
          <w:sz w:val="14"/>
          <w:szCs w:val="14"/>
        </w:rPr>
        <w:t>(1) Sıralama 2011 yılı verilerine göre yapılmıştır.</w:t>
      </w:r>
    </w:p>
    <w:p w:rsidR="00565FD5" w:rsidRPr="001131FC" w:rsidRDefault="00565FD5" w:rsidP="00565FD5">
      <w:pPr>
        <w:spacing w:after="80"/>
        <w:ind w:firstLine="425"/>
        <w:rPr>
          <w:color w:val="00B050"/>
          <w:szCs w:val="18"/>
        </w:rPr>
      </w:pPr>
      <w:r w:rsidRPr="001131FC">
        <w:rPr>
          <w:szCs w:val="18"/>
        </w:rPr>
        <w:t xml:space="preserve">İhracat pazarlarını çeşitlendirme yönündeki çalışmaların olumlu katkısının yanı sıra AB’deki durgunluğun devam etmesinin etkisiyle AB’nin toplam ihracatımız içindeki payı 2012 yılı Ocak-Ağustos döneminde bir önceki yılın aynı dönemindeki yüzde 47,5 oranından yüzde 38,2’ye gerilemiştir.  </w:t>
      </w:r>
    </w:p>
    <w:p w:rsidR="00565FD5" w:rsidRPr="001131FC" w:rsidRDefault="00565FD5" w:rsidP="00565FD5">
      <w:pPr>
        <w:spacing w:after="180"/>
        <w:ind w:firstLine="425"/>
        <w:rPr>
          <w:szCs w:val="18"/>
        </w:rPr>
      </w:pPr>
      <w:r w:rsidRPr="001131FC">
        <w:rPr>
          <w:szCs w:val="18"/>
        </w:rPr>
        <w:t xml:space="preserve">2012 yılının tamamında ihracatın yüzde 10,8 oranında artarak 149,5 milyar ABD dolarına ulaşması beklenmektedir. İhracat fiyatlarının 2012 yılında yüzde </w:t>
      </w:r>
      <w:r w:rsidRPr="001131FC">
        <w:rPr>
          <w:szCs w:val="18"/>
        </w:rPr>
        <w:lastRenderedPageBreak/>
        <w:t>3,7 oranında azalması ve reel ihracatın yüzde 15,1 oranında artması tahmin edilmektedir.</w:t>
      </w:r>
    </w:p>
    <w:p w:rsidR="00565FD5" w:rsidRPr="001131FC" w:rsidRDefault="00565FD5" w:rsidP="00565FD5">
      <w:pPr>
        <w:pStyle w:val="ResimYazs"/>
        <w:rPr>
          <w:b w:val="0"/>
        </w:rPr>
      </w:pPr>
      <w:bookmarkStart w:id="594" w:name="_Toc244339794"/>
      <w:bookmarkStart w:id="595" w:name="_Toc275873821"/>
      <w:bookmarkStart w:id="596" w:name="_Toc276076445"/>
      <w:bookmarkStart w:id="597" w:name="_Toc307601609"/>
      <w:bookmarkStart w:id="598" w:name="_Toc307657851"/>
      <w:bookmarkStart w:id="599" w:name="_Toc307702107"/>
      <w:bookmarkStart w:id="600" w:name="_Toc338605971"/>
      <w:bookmarkStart w:id="601" w:name="_Toc338711746"/>
      <w:r>
        <w:t xml:space="preserve">TABLO II: </w:t>
      </w:r>
      <w:fldSimple w:instr=" SEQ TABLO_II: \* ARABIC ">
        <w:r>
          <w:rPr>
            <w:noProof/>
          </w:rPr>
          <w:t>19</w:t>
        </w:r>
      </w:fldSimple>
      <w:r w:rsidRPr="00AE74B1">
        <w:t xml:space="preserve">- İhracatın Sektörel Dağılımı </w:t>
      </w:r>
      <w:bookmarkEnd w:id="593"/>
      <w:bookmarkEnd w:id="594"/>
      <w:bookmarkEnd w:id="595"/>
      <w:bookmarkEnd w:id="596"/>
      <w:bookmarkEnd w:id="597"/>
      <w:bookmarkEnd w:id="598"/>
      <w:bookmarkEnd w:id="599"/>
      <w:bookmarkEnd w:id="600"/>
      <w:r w:rsidRPr="004C29A2">
        <w:rPr>
          <w:b w:val="0"/>
        </w:rPr>
        <w:t>(1)</w:t>
      </w:r>
      <w:bookmarkEnd w:id="601"/>
    </w:p>
    <w:tbl>
      <w:tblPr>
        <w:tblW w:w="5000" w:type="pct"/>
        <w:tblCellMar>
          <w:left w:w="0" w:type="dxa"/>
          <w:right w:w="0" w:type="dxa"/>
        </w:tblCellMar>
        <w:tblLook w:val="0000"/>
      </w:tblPr>
      <w:tblGrid>
        <w:gridCol w:w="1429"/>
        <w:gridCol w:w="541"/>
        <w:gridCol w:w="585"/>
        <w:gridCol w:w="498"/>
        <w:gridCol w:w="585"/>
        <w:gridCol w:w="541"/>
        <w:gridCol w:w="585"/>
        <w:gridCol w:w="541"/>
        <w:gridCol w:w="585"/>
        <w:gridCol w:w="578"/>
        <w:gridCol w:w="703"/>
      </w:tblGrid>
      <w:tr w:rsidR="00565FD5" w:rsidRPr="001131FC" w:rsidTr="00AB62A3">
        <w:trPr>
          <w:cantSplit/>
          <w:trHeight w:val="340"/>
        </w:trPr>
        <w:tc>
          <w:tcPr>
            <w:tcW w:w="997" w:type="pct"/>
            <w:tcBorders>
              <w:top w:val="single" w:sz="4" w:space="0" w:color="auto"/>
              <w:left w:val="single" w:sz="4" w:space="0" w:color="auto"/>
              <w:right w:val="single" w:sz="8" w:space="0" w:color="auto"/>
            </w:tcBorders>
            <w:tcMar>
              <w:top w:w="13" w:type="dxa"/>
              <w:left w:w="13" w:type="dxa"/>
              <w:bottom w:w="0" w:type="dxa"/>
              <w:right w:w="13" w:type="dxa"/>
            </w:tcMar>
            <w:vAlign w:val="center"/>
          </w:tcPr>
          <w:p w:rsidR="00565FD5" w:rsidRPr="001131FC" w:rsidRDefault="00565FD5" w:rsidP="00AB62A3">
            <w:pPr>
              <w:ind w:left="57" w:right="57" w:firstLine="90"/>
              <w:rPr>
                <w:rFonts w:cs="Tahoma"/>
                <w:b/>
                <w:bCs/>
                <w:color w:val="00B050"/>
                <w:sz w:val="14"/>
                <w:szCs w:val="14"/>
              </w:rPr>
            </w:pPr>
            <w:r w:rsidRPr="001131FC">
              <w:rPr>
                <w:rFonts w:cs="Tahoma"/>
                <w:b/>
                <w:bCs/>
                <w:color w:val="00B050"/>
                <w:sz w:val="14"/>
                <w:szCs w:val="14"/>
              </w:rPr>
              <w:t> </w:t>
            </w:r>
          </w:p>
        </w:tc>
        <w:tc>
          <w:tcPr>
            <w:tcW w:w="1540" w:type="pct"/>
            <w:gridSpan w:val="4"/>
            <w:tcBorders>
              <w:top w:val="single" w:sz="4" w:space="0" w:color="auto"/>
              <w:left w:val="nil"/>
              <w:bottom w:val="single" w:sz="8" w:space="0" w:color="000000"/>
              <w:right w:val="single" w:sz="8" w:space="0" w:color="000000"/>
            </w:tcBorders>
            <w:tcMar>
              <w:top w:w="13" w:type="dxa"/>
              <w:left w:w="13" w:type="dxa"/>
              <w:bottom w:w="0" w:type="dxa"/>
              <w:right w:w="13" w:type="dxa"/>
            </w:tcMar>
            <w:vAlign w:val="center"/>
          </w:tcPr>
          <w:p w:rsidR="00565FD5" w:rsidRPr="001131FC" w:rsidRDefault="00565FD5" w:rsidP="00AB62A3">
            <w:pPr>
              <w:ind w:left="57" w:right="57"/>
              <w:jc w:val="center"/>
              <w:rPr>
                <w:rFonts w:cs="Tahoma"/>
                <w:b/>
                <w:bCs/>
                <w:sz w:val="14"/>
                <w:szCs w:val="14"/>
              </w:rPr>
            </w:pPr>
            <w:r w:rsidRPr="001131FC">
              <w:rPr>
                <w:rFonts w:cs="Tahoma"/>
                <w:b/>
                <w:bCs/>
                <w:sz w:val="14"/>
                <w:szCs w:val="14"/>
              </w:rPr>
              <w:t>(Milyar ABD Doları)</w:t>
            </w:r>
          </w:p>
        </w:tc>
        <w:tc>
          <w:tcPr>
            <w:tcW w:w="1570" w:type="pct"/>
            <w:gridSpan w:val="4"/>
            <w:tcBorders>
              <w:top w:val="single" w:sz="4" w:space="0" w:color="auto"/>
              <w:left w:val="nil"/>
              <w:bottom w:val="single" w:sz="8" w:space="0" w:color="000000"/>
              <w:right w:val="single" w:sz="8" w:space="0" w:color="000000"/>
            </w:tcBorders>
            <w:tcMar>
              <w:top w:w="13" w:type="dxa"/>
              <w:left w:w="13" w:type="dxa"/>
              <w:bottom w:w="0" w:type="dxa"/>
              <w:right w:w="13" w:type="dxa"/>
            </w:tcMar>
            <w:vAlign w:val="center"/>
          </w:tcPr>
          <w:p w:rsidR="00565FD5" w:rsidRPr="001131FC" w:rsidRDefault="00565FD5" w:rsidP="00AB62A3">
            <w:pPr>
              <w:ind w:left="57" w:right="57"/>
              <w:jc w:val="center"/>
              <w:rPr>
                <w:rFonts w:cs="Tahoma"/>
                <w:b/>
                <w:bCs/>
                <w:sz w:val="14"/>
                <w:szCs w:val="14"/>
              </w:rPr>
            </w:pPr>
            <w:r w:rsidRPr="001131FC">
              <w:rPr>
                <w:rFonts w:cs="Tahoma"/>
                <w:b/>
                <w:bCs/>
                <w:sz w:val="14"/>
                <w:szCs w:val="14"/>
              </w:rPr>
              <w:t>(Yüzde Pay)</w:t>
            </w:r>
          </w:p>
        </w:tc>
        <w:tc>
          <w:tcPr>
            <w:tcW w:w="893" w:type="pct"/>
            <w:gridSpan w:val="2"/>
            <w:tcBorders>
              <w:top w:val="single" w:sz="4" w:space="0" w:color="auto"/>
              <w:left w:val="nil"/>
              <w:bottom w:val="single" w:sz="8" w:space="0" w:color="000000"/>
              <w:right w:val="single" w:sz="4" w:space="0" w:color="auto"/>
            </w:tcBorders>
            <w:tcMar>
              <w:top w:w="13" w:type="dxa"/>
              <w:left w:w="13" w:type="dxa"/>
              <w:bottom w:w="0" w:type="dxa"/>
              <w:right w:w="13" w:type="dxa"/>
            </w:tcMar>
            <w:vAlign w:val="center"/>
          </w:tcPr>
          <w:p w:rsidR="00565FD5" w:rsidRPr="001131FC" w:rsidRDefault="00565FD5" w:rsidP="00AB62A3">
            <w:pPr>
              <w:ind w:left="57" w:right="57"/>
              <w:jc w:val="center"/>
              <w:rPr>
                <w:rFonts w:cs="Tahoma"/>
                <w:b/>
                <w:bCs/>
                <w:sz w:val="14"/>
                <w:szCs w:val="14"/>
              </w:rPr>
            </w:pPr>
            <w:r w:rsidRPr="001131FC">
              <w:rPr>
                <w:rFonts w:cs="Tahoma"/>
                <w:b/>
                <w:bCs/>
                <w:sz w:val="14"/>
                <w:szCs w:val="14"/>
              </w:rPr>
              <w:t>(Yüzde Değişim)</w:t>
            </w:r>
          </w:p>
        </w:tc>
      </w:tr>
      <w:tr w:rsidR="00565FD5" w:rsidRPr="001131FC" w:rsidTr="00AB62A3">
        <w:trPr>
          <w:cantSplit/>
          <w:trHeight w:val="350"/>
        </w:trPr>
        <w:tc>
          <w:tcPr>
            <w:tcW w:w="997" w:type="pct"/>
            <w:tcBorders>
              <w:top w:val="nil"/>
              <w:left w:val="single" w:sz="4" w:space="0" w:color="auto"/>
              <w:right w:val="single" w:sz="8" w:space="0" w:color="auto"/>
            </w:tcBorders>
            <w:tcMar>
              <w:top w:w="13" w:type="dxa"/>
              <w:left w:w="13" w:type="dxa"/>
              <w:bottom w:w="0" w:type="dxa"/>
              <w:right w:w="13" w:type="dxa"/>
            </w:tcMar>
            <w:vAlign w:val="bottom"/>
          </w:tcPr>
          <w:p w:rsidR="00565FD5" w:rsidRPr="001131FC" w:rsidRDefault="00565FD5" w:rsidP="00AB62A3">
            <w:pPr>
              <w:ind w:left="57" w:right="57" w:firstLine="90"/>
              <w:rPr>
                <w:rFonts w:cs="Tahoma"/>
                <w:b/>
                <w:bCs/>
                <w:color w:val="00B050"/>
                <w:sz w:val="14"/>
                <w:szCs w:val="14"/>
              </w:rPr>
            </w:pPr>
          </w:p>
        </w:tc>
        <w:tc>
          <w:tcPr>
            <w:tcW w:w="785" w:type="pct"/>
            <w:gridSpan w:val="2"/>
            <w:tcBorders>
              <w:top w:val="single" w:sz="8" w:space="0" w:color="000000"/>
              <w:left w:val="single" w:sz="8" w:space="0" w:color="auto"/>
              <w:bottom w:val="single" w:sz="8" w:space="0" w:color="auto"/>
              <w:right w:val="single" w:sz="4" w:space="0" w:color="auto"/>
            </w:tcBorders>
            <w:tcMar>
              <w:top w:w="13" w:type="dxa"/>
              <w:left w:w="13" w:type="dxa"/>
              <w:bottom w:w="0" w:type="dxa"/>
              <w:right w:w="13" w:type="dxa"/>
            </w:tcMar>
          </w:tcPr>
          <w:p w:rsidR="00565FD5" w:rsidRPr="001131FC" w:rsidRDefault="00565FD5" w:rsidP="00AB62A3">
            <w:pPr>
              <w:ind w:left="57" w:right="57"/>
              <w:jc w:val="center"/>
              <w:rPr>
                <w:rFonts w:cs="Tahoma"/>
                <w:b/>
                <w:bCs/>
                <w:sz w:val="14"/>
                <w:szCs w:val="14"/>
              </w:rPr>
            </w:pPr>
            <w:r w:rsidRPr="001131FC">
              <w:rPr>
                <w:rFonts w:cs="Tahoma"/>
                <w:b/>
                <w:bCs/>
                <w:sz w:val="14"/>
                <w:szCs w:val="14"/>
              </w:rPr>
              <w:t>Yıllık</w:t>
            </w:r>
          </w:p>
        </w:tc>
        <w:tc>
          <w:tcPr>
            <w:tcW w:w="754" w:type="pct"/>
            <w:gridSpan w:val="2"/>
            <w:tcBorders>
              <w:top w:val="single" w:sz="8" w:space="0" w:color="000000"/>
              <w:left w:val="single" w:sz="4" w:space="0" w:color="auto"/>
              <w:bottom w:val="single" w:sz="8" w:space="0" w:color="auto"/>
              <w:right w:val="single" w:sz="8" w:space="0" w:color="auto"/>
            </w:tcBorders>
            <w:tcMar>
              <w:top w:w="13" w:type="dxa"/>
              <w:left w:w="13" w:type="dxa"/>
              <w:bottom w:w="0" w:type="dxa"/>
              <w:right w:w="13" w:type="dxa"/>
            </w:tcMar>
          </w:tcPr>
          <w:p w:rsidR="00565FD5" w:rsidRPr="001131FC" w:rsidRDefault="00565FD5" w:rsidP="00AB62A3">
            <w:pPr>
              <w:ind w:left="57" w:right="57"/>
              <w:jc w:val="center"/>
              <w:rPr>
                <w:rFonts w:cs="Tahoma"/>
                <w:b/>
                <w:bCs/>
                <w:sz w:val="14"/>
                <w:szCs w:val="14"/>
              </w:rPr>
            </w:pPr>
            <w:r w:rsidRPr="001131FC">
              <w:rPr>
                <w:rFonts w:cs="Tahoma"/>
                <w:b/>
                <w:bCs/>
                <w:sz w:val="14"/>
                <w:szCs w:val="14"/>
              </w:rPr>
              <w:t>Ocak-Ağustos</w:t>
            </w:r>
          </w:p>
        </w:tc>
        <w:tc>
          <w:tcPr>
            <w:tcW w:w="785" w:type="pct"/>
            <w:gridSpan w:val="2"/>
            <w:tcBorders>
              <w:top w:val="single" w:sz="8" w:space="0" w:color="000000"/>
              <w:left w:val="nil"/>
              <w:bottom w:val="single" w:sz="8" w:space="0" w:color="auto"/>
              <w:right w:val="single" w:sz="4" w:space="0" w:color="auto"/>
            </w:tcBorders>
            <w:tcMar>
              <w:top w:w="13" w:type="dxa"/>
              <w:left w:w="13" w:type="dxa"/>
              <w:bottom w:w="0" w:type="dxa"/>
              <w:right w:w="13" w:type="dxa"/>
            </w:tcMar>
          </w:tcPr>
          <w:p w:rsidR="00565FD5" w:rsidRPr="001131FC" w:rsidRDefault="00565FD5" w:rsidP="00AB62A3">
            <w:pPr>
              <w:ind w:left="57" w:right="57"/>
              <w:jc w:val="center"/>
              <w:rPr>
                <w:rFonts w:cs="Tahoma"/>
                <w:b/>
                <w:bCs/>
                <w:sz w:val="14"/>
                <w:szCs w:val="14"/>
              </w:rPr>
            </w:pPr>
            <w:r w:rsidRPr="001131FC">
              <w:rPr>
                <w:rFonts w:cs="Tahoma"/>
                <w:b/>
                <w:bCs/>
                <w:sz w:val="14"/>
                <w:szCs w:val="14"/>
              </w:rPr>
              <w:t>Yıllık</w:t>
            </w:r>
          </w:p>
        </w:tc>
        <w:tc>
          <w:tcPr>
            <w:tcW w:w="785" w:type="pct"/>
            <w:gridSpan w:val="2"/>
            <w:tcBorders>
              <w:top w:val="single" w:sz="8" w:space="0" w:color="000000"/>
              <w:left w:val="single" w:sz="4" w:space="0" w:color="auto"/>
              <w:bottom w:val="single" w:sz="8" w:space="0" w:color="auto"/>
              <w:right w:val="single" w:sz="8" w:space="0" w:color="auto"/>
            </w:tcBorders>
            <w:tcMar>
              <w:top w:w="13" w:type="dxa"/>
              <w:left w:w="13" w:type="dxa"/>
              <w:bottom w:w="0" w:type="dxa"/>
              <w:right w:w="13" w:type="dxa"/>
            </w:tcMar>
          </w:tcPr>
          <w:p w:rsidR="00565FD5" w:rsidRPr="001131FC" w:rsidRDefault="00565FD5" w:rsidP="00AB62A3">
            <w:pPr>
              <w:ind w:left="57" w:right="57"/>
              <w:jc w:val="center"/>
              <w:rPr>
                <w:rFonts w:cs="Tahoma"/>
                <w:b/>
                <w:bCs/>
                <w:sz w:val="14"/>
                <w:szCs w:val="14"/>
              </w:rPr>
            </w:pPr>
            <w:r w:rsidRPr="001131FC">
              <w:rPr>
                <w:rFonts w:cs="Tahoma"/>
                <w:b/>
                <w:bCs/>
                <w:sz w:val="14"/>
                <w:szCs w:val="14"/>
              </w:rPr>
              <w:t>Ocak-Ağustos</w:t>
            </w:r>
          </w:p>
        </w:tc>
        <w:tc>
          <w:tcPr>
            <w:tcW w:w="403" w:type="pct"/>
            <w:tcBorders>
              <w:top w:val="single" w:sz="8" w:space="0" w:color="000000"/>
              <w:left w:val="nil"/>
              <w:bottom w:val="single" w:sz="8" w:space="0" w:color="auto"/>
              <w:right w:val="single" w:sz="4" w:space="0" w:color="auto"/>
            </w:tcBorders>
            <w:tcMar>
              <w:top w:w="13" w:type="dxa"/>
              <w:left w:w="13" w:type="dxa"/>
              <w:bottom w:w="0" w:type="dxa"/>
              <w:right w:w="13" w:type="dxa"/>
            </w:tcMar>
          </w:tcPr>
          <w:p w:rsidR="00565FD5" w:rsidRPr="001131FC" w:rsidRDefault="00565FD5" w:rsidP="00AB62A3">
            <w:pPr>
              <w:ind w:left="57" w:right="57"/>
              <w:jc w:val="center"/>
              <w:rPr>
                <w:rFonts w:cs="Tahoma"/>
                <w:b/>
                <w:bCs/>
                <w:sz w:val="14"/>
                <w:szCs w:val="14"/>
              </w:rPr>
            </w:pPr>
            <w:r w:rsidRPr="001131FC">
              <w:rPr>
                <w:rFonts w:cs="Tahoma"/>
                <w:b/>
                <w:bCs/>
                <w:sz w:val="14"/>
                <w:szCs w:val="14"/>
              </w:rPr>
              <w:t>Yıllık</w:t>
            </w:r>
          </w:p>
        </w:tc>
        <w:tc>
          <w:tcPr>
            <w:tcW w:w="490" w:type="pct"/>
            <w:tcBorders>
              <w:top w:val="single" w:sz="8" w:space="0" w:color="000000"/>
              <w:left w:val="single" w:sz="4" w:space="0" w:color="auto"/>
              <w:bottom w:val="single" w:sz="8" w:space="0" w:color="auto"/>
              <w:right w:val="single" w:sz="4" w:space="0" w:color="auto"/>
            </w:tcBorders>
            <w:tcMar>
              <w:top w:w="13" w:type="dxa"/>
              <w:left w:w="13" w:type="dxa"/>
              <w:bottom w:w="0" w:type="dxa"/>
              <w:right w:w="13" w:type="dxa"/>
            </w:tcMar>
          </w:tcPr>
          <w:p w:rsidR="00565FD5" w:rsidRPr="001131FC" w:rsidRDefault="00565FD5" w:rsidP="00AB62A3">
            <w:pPr>
              <w:ind w:left="57" w:right="57"/>
              <w:jc w:val="center"/>
              <w:rPr>
                <w:rFonts w:cs="Tahoma"/>
                <w:b/>
                <w:bCs/>
                <w:sz w:val="14"/>
                <w:szCs w:val="14"/>
              </w:rPr>
            </w:pPr>
            <w:r w:rsidRPr="001131FC">
              <w:rPr>
                <w:rFonts w:cs="Tahoma"/>
                <w:b/>
                <w:bCs/>
                <w:sz w:val="14"/>
                <w:szCs w:val="14"/>
              </w:rPr>
              <w:t>Ocak-Ağustos</w:t>
            </w:r>
          </w:p>
        </w:tc>
      </w:tr>
      <w:tr w:rsidR="00565FD5" w:rsidRPr="001131FC" w:rsidTr="00AB62A3">
        <w:trPr>
          <w:cantSplit/>
          <w:trHeight w:val="227"/>
        </w:trPr>
        <w:tc>
          <w:tcPr>
            <w:tcW w:w="997" w:type="pct"/>
            <w:tcBorders>
              <w:left w:val="single" w:sz="4" w:space="0" w:color="auto"/>
              <w:bottom w:val="single" w:sz="8" w:space="0" w:color="auto"/>
              <w:right w:val="single" w:sz="8" w:space="0" w:color="auto"/>
            </w:tcBorders>
            <w:tcMar>
              <w:top w:w="13" w:type="dxa"/>
              <w:left w:w="13" w:type="dxa"/>
              <w:bottom w:w="0" w:type="dxa"/>
              <w:right w:w="13" w:type="dxa"/>
            </w:tcMar>
            <w:vAlign w:val="bottom"/>
          </w:tcPr>
          <w:p w:rsidR="00565FD5" w:rsidRPr="001131FC" w:rsidRDefault="00565FD5" w:rsidP="00AB62A3">
            <w:pPr>
              <w:ind w:left="57" w:right="57" w:firstLine="90"/>
              <w:rPr>
                <w:rFonts w:cs="Tahoma"/>
                <w:b/>
                <w:bCs/>
                <w:sz w:val="14"/>
                <w:szCs w:val="14"/>
              </w:rPr>
            </w:pPr>
            <w:r w:rsidRPr="001131FC">
              <w:rPr>
                <w:rFonts w:cs="Tahoma"/>
                <w:b/>
                <w:bCs/>
                <w:sz w:val="14"/>
                <w:szCs w:val="14"/>
              </w:rPr>
              <w:t> </w:t>
            </w:r>
          </w:p>
        </w:tc>
        <w:tc>
          <w:tcPr>
            <w:tcW w:w="377" w:type="pct"/>
            <w:tcBorders>
              <w:top w:val="nil"/>
              <w:left w:val="nil"/>
              <w:bottom w:val="single" w:sz="8" w:space="0" w:color="auto"/>
              <w:right w:val="nil"/>
            </w:tcBorders>
            <w:tcMar>
              <w:top w:w="13" w:type="dxa"/>
              <w:left w:w="13" w:type="dxa"/>
              <w:bottom w:w="0" w:type="dxa"/>
              <w:right w:w="13" w:type="dxa"/>
            </w:tcMar>
            <w:vAlign w:val="center"/>
          </w:tcPr>
          <w:p w:rsidR="00565FD5" w:rsidRPr="001131FC" w:rsidRDefault="00565FD5" w:rsidP="00AB62A3">
            <w:pPr>
              <w:ind w:left="57" w:right="57"/>
              <w:jc w:val="right"/>
              <w:rPr>
                <w:rFonts w:cs="Tahoma"/>
                <w:b/>
                <w:bCs/>
                <w:sz w:val="14"/>
                <w:szCs w:val="14"/>
              </w:rPr>
            </w:pPr>
            <w:r w:rsidRPr="001131FC">
              <w:rPr>
                <w:rFonts w:cs="Tahoma"/>
                <w:b/>
                <w:bCs/>
                <w:sz w:val="14"/>
                <w:szCs w:val="14"/>
              </w:rPr>
              <w:t>2010</w:t>
            </w:r>
          </w:p>
        </w:tc>
        <w:tc>
          <w:tcPr>
            <w:tcW w:w="408" w:type="pct"/>
            <w:tcBorders>
              <w:top w:val="nil"/>
              <w:left w:val="nil"/>
              <w:bottom w:val="single" w:sz="8" w:space="0" w:color="auto"/>
              <w:right w:val="single" w:sz="4" w:space="0" w:color="auto"/>
            </w:tcBorders>
            <w:tcMar>
              <w:top w:w="13" w:type="dxa"/>
              <w:left w:w="13" w:type="dxa"/>
              <w:bottom w:w="0" w:type="dxa"/>
              <w:right w:w="13" w:type="dxa"/>
            </w:tcMar>
            <w:vAlign w:val="center"/>
          </w:tcPr>
          <w:p w:rsidR="00565FD5" w:rsidRPr="001131FC" w:rsidRDefault="00565FD5" w:rsidP="00AB62A3">
            <w:pPr>
              <w:ind w:left="57" w:right="57"/>
              <w:jc w:val="right"/>
              <w:rPr>
                <w:rFonts w:cs="Tahoma"/>
                <w:b/>
                <w:bCs/>
                <w:sz w:val="14"/>
                <w:szCs w:val="14"/>
              </w:rPr>
            </w:pPr>
            <w:r w:rsidRPr="001131FC">
              <w:rPr>
                <w:rFonts w:cs="Tahoma"/>
                <w:b/>
                <w:bCs/>
                <w:sz w:val="14"/>
                <w:szCs w:val="14"/>
              </w:rPr>
              <w:t>2011</w:t>
            </w:r>
          </w:p>
        </w:tc>
        <w:tc>
          <w:tcPr>
            <w:tcW w:w="347" w:type="pct"/>
            <w:tcBorders>
              <w:top w:val="nil"/>
              <w:left w:val="single" w:sz="4" w:space="0" w:color="auto"/>
              <w:bottom w:val="single" w:sz="8" w:space="0" w:color="auto"/>
              <w:right w:val="nil"/>
            </w:tcBorders>
            <w:tcMar>
              <w:top w:w="13" w:type="dxa"/>
              <w:left w:w="13" w:type="dxa"/>
              <w:bottom w:w="0" w:type="dxa"/>
              <w:right w:w="13" w:type="dxa"/>
            </w:tcMar>
            <w:vAlign w:val="center"/>
          </w:tcPr>
          <w:p w:rsidR="00565FD5" w:rsidRPr="001131FC" w:rsidRDefault="00565FD5" w:rsidP="00AB62A3">
            <w:pPr>
              <w:ind w:left="57" w:right="57"/>
              <w:jc w:val="right"/>
              <w:rPr>
                <w:rFonts w:cs="Tahoma"/>
                <w:b/>
                <w:bCs/>
                <w:sz w:val="14"/>
                <w:szCs w:val="14"/>
              </w:rPr>
            </w:pPr>
            <w:r w:rsidRPr="001131FC">
              <w:rPr>
                <w:rFonts w:cs="Tahoma"/>
                <w:b/>
                <w:bCs/>
                <w:sz w:val="14"/>
                <w:szCs w:val="14"/>
              </w:rPr>
              <w:t>2011</w:t>
            </w:r>
          </w:p>
        </w:tc>
        <w:tc>
          <w:tcPr>
            <w:tcW w:w="408" w:type="pct"/>
            <w:tcBorders>
              <w:top w:val="nil"/>
              <w:left w:val="nil"/>
              <w:bottom w:val="single" w:sz="8" w:space="0" w:color="auto"/>
              <w:right w:val="single" w:sz="8" w:space="0" w:color="auto"/>
            </w:tcBorders>
            <w:tcMar>
              <w:top w:w="13" w:type="dxa"/>
              <w:left w:w="13" w:type="dxa"/>
              <w:bottom w:w="0" w:type="dxa"/>
              <w:right w:w="13" w:type="dxa"/>
            </w:tcMar>
            <w:vAlign w:val="center"/>
          </w:tcPr>
          <w:p w:rsidR="00565FD5" w:rsidRPr="001131FC" w:rsidRDefault="00565FD5" w:rsidP="00AB62A3">
            <w:pPr>
              <w:ind w:left="57" w:right="57"/>
              <w:jc w:val="right"/>
              <w:rPr>
                <w:rFonts w:cs="Tahoma"/>
                <w:b/>
                <w:bCs/>
                <w:sz w:val="14"/>
                <w:szCs w:val="14"/>
              </w:rPr>
            </w:pPr>
            <w:r w:rsidRPr="001131FC">
              <w:rPr>
                <w:rFonts w:cs="Tahoma"/>
                <w:b/>
                <w:bCs/>
                <w:sz w:val="14"/>
                <w:szCs w:val="14"/>
              </w:rPr>
              <w:t>2012</w:t>
            </w:r>
          </w:p>
        </w:tc>
        <w:tc>
          <w:tcPr>
            <w:tcW w:w="377" w:type="pct"/>
            <w:tcBorders>
              <w:top w:val="nil"/>
              <w:left w:val="nil"/>
              <w:bottom w:val="single" w:sz="8" w:space="0" w:color="auto"/>
              <w:right w:val="nil"/>
            </w:tcBorders>
            <w:tcMar>
              <w:top w:w="13" w:type="dxa"/>
              <w:left w:w="13" w:type="dxa"/>
              <w:bottom w:w="0" w:type="dxa"/>
              <w:right w:w="13" w:type="dxa"/>
            </w:tcMar>
            <w:vAlign w:val="center"/>
          </w:tcPr>
          <w:p w:rsidR="00565FD5" w:rsidRPr="001131FC" w:rsidRDefault="00565FD5" w:rsidP="00AB62A3">
            <w:pPr>
              <w:ind w:left="57" w:right="57"/>
              <w:jc w:val="right"/>
              <w:rPr>
                <w:rFonts w:cs="Tahoma"/>
                <w:b/>
                <w:bCs/>
                <w:sz w:val="14"/>
                <w:szCs w:val="14"/>
              </w:rPr>
            </w:pPr>
            <w:r w:rsidRPr="001131FC">
              <w:rPr>
                <w:rFonts w:cs="Tahoma"/>
                <w:b/>
                <w:bCs/>
                <w:sz w:val="14"/>
                <w:szCs w:val="14"/>
              </w:rPr>
              <w:t>2010</w:t>
            </w:r>
          </w:p>
        </w:tc>
        <w:tc>
          <w:tcPr>
            <w:tcW w:w="408" w:type="pct"/>
            <w:tcBorders>
              <w:top w:val="nil"/>
              <w:left w:val="nil"/>
              <w:bottom w:val="single" w:sz="8" w:space="0" w:color="auto"/>
              <w:right w:val="single" w:sz="4" w:space="0" w:color="auto"/>
            </w:tcBorders>
            <w:tcMar>
              <w:top w:w="13" w:type="dxa"/>
              <w:left w:w="13" w:type="dxa"/>
              <w:bottom w:w="0" w:type="dxa"/>
              <w:right w:w="13" w:type="dxa"/>
            </w:tcMar>
            <w:vAlign w:val="center"/>
          </w:tcPr>
          <w:p w:rsidR="00565FD5" w:rsidRPr="001131FC" w:rsidRDefault="00565FD5" w:rsidP="00AB62A3">
            <w:pPr>
              <w:ind w:left="57" w:right="57"/>
              <w:jc w:val="right"/>
              <w:rPr>
                <w:rFonts w:cs="Tahoma"/>
                <w:b/>
                <w:bCs/>
                <w:sz w:val="14"/>
                <w:szCs w:val="14"/>
              </w:rPr>
            </w:pPr>
            <w:r w:rsidRPr="001131FC">
              <w:rPr>
                <w:rFonts w:cs="Tahoma"/>
                <w:b/>
                <w:bCs/>
                <w:sz w:val="14"/>
                <w:szCs w:val="14"/>
              </w:rPr>
              <w:t>2011</w:t>
            </w:r>
          </w:p>
        </w:tc>
        <w:tc>
          <w:tcPr>
            <w:tcW w:w="377" w:type="pct"/>
            <w:tcBorders>
              <w:top w:val="nil"/>
              <w:left w:val="single" w:sz="4" w:space="0" w:color="auto"/>
              <w:bottom w:val="single" w:sz="8" w:space="0" w:color="auto"/>
              <w:right w:val="nil"/>
            </w:tcBorders>
            <w:tcMar>
              <w:top w:w="13" w:type="dxa"/>
              <w:left w:w="13" w:type="dxa"/>
              <w:bottom w:w="0" w:type="dxa"/>
              <w:right w:w="13" w:type="dxa"/>
            </w:tcMar>
            <w:vAlign w:val="center"/>
          </w:tcPr>
          <w:p w:rsidR="00565FD5" w:rsidRPr="001131FC" w:rsidRDefault="00565FD5" w:rsidP="00AB62A3">
            <w:pPr>
              <w:ind w:left="57" w:right="57"/>
              <w:jc w:val="right"/>
              <w:rPr>
                <w:rFonts w:cs="Tahoma"/>
                <w:b/>
                <w:bCs/>
                <w:sz w:val="14"/>
                <w:szCs w:val="14"/>
              </w:rPr>
            </w:pPr>
            <w:r w:rsidRPr="001131FC">
              <w:rPr>
                <w:rFonts w:cs="Tahoma"/>
                <w:b/>
                <w:bCs/>
                <w:sz w:val="14"/>
                <w:szCs w:val="14"/>
              </w:rPr>
              <w:t>2011</w:t>
            </w:r>
          </w:p>
        </w:tc>
        <w:tc>
          <w:tcPr>
            <w:tcW w:w="408" w:type="pct"/>
            <w:tcBorders>
              <w:top w:val="nil"/>
              <w:left w:val="nil"/>
              <w:bottom w:val="single" w:sz="8" w:space="0" w:color="auto"/>
              <w:right w:val="single" w:sz="8" w:space="0" w:color="auto"/>
            </w:tcBorders>
            <w:tcMar>
              <w:top w:w="13" w:type="dxa"/>
              <w:left w:w="13" w:type="dxa"/>
              <w:bottom w:w="0" w:type="dxa"/>
              <w:right w:w="13" w:type="dxa"/>
            </w:tcMar>
            <w:vAlign w:val="center"/>
          </w:tcPr>
          <w:p w:rsidR="00565FD5" w:rsidRPr="001131FC" w:rsidRDefault="00565FD5" w:rsidP="00AB62A3">
            <w:pPr>
              <w:ind w:left="57" w:right="57"/>
              <w:jc w:val="right"/>
              <w:rPr>
                <w:rFonts w:cs="Tahoma"/>
                <w:b/>
                <w:bCs/>
                <w:sz w:val="14"/>
                <w:szCs w:val="14"/>
              </w:rPr>
            </w:pPr>
            <w:r w:rsidRPr="001131FC">
              <w:rPr>
                <w:rFonts w:cs="Tahoma"/>
                <w:b/>
                <w:bCs/>
                <w:sz w:val="14"/>
                <w:szCs w:val="14"/>
              </w:rPr>
              <w:t>2012</w:t>
            </w:r>
          </w:p>
        </w:tc>
        <w:tc>
          <w:tcPr>
            <w:tcW w:w="403" w:type="pct"/>
            <w:tcBorders>
              <w:top w:val="nil"/>
              <w:left w:val="nil"/>
              <w:bottom w:val="single" w:sz="8" w:space="0" w:color="auto"/>
              <w:right w:val="single" w:sz="4" w:space="0" w:color="auto"/>
            </w:tcBorders>
            <w:tcMar>
              <w:top w:w="13" w:type="dxa"/>
              <w:left w:w="13" w:type="dxa"/>
              <w:bottom w:w="0" w:type="dxa"/>
              <w:right w:w="13" w:type="dxa"/>
            </w:tcMar>
            <w:vAlign w:val="center"/>
          </w:tcPr>
          <w:p w:rsidR="00565FD5" w:rsidRPr="001131FC" w:rsidRDefault="00565FD5" w:rsidP="00AB62A3">
            <w:pPr>
              <w:ind w:left="57" w:right="57"/>
              <w:jc w:val="right"/>
              <w:rPr>
                <w:rFonts w:cs="Tahoma"/>
                <w:b/>
                <w:bCs/>
                <w:sz w:val="14"/>
                <w:szCs w:val="14"/>
              </w:rPr>
            </w:pPr>
            <w:r w:rsidRPr="001131FC">
              <w:rPr>
                <w:rFonts w:cs="Tahoma"/>
                <w:b/>
                <w:bCs/>
                <w:sz w:val="14"/>
                <w:szCs w:val="14"/>
              </w:rPr>
              <w:t>11/10</w:t>
            </w:r>
          </w:p>
        </w:tc>
        <w:tc>
          <w:tcPr>
            <w:tcW w:w="490" w:type="pct"/>
            <w:tcBorders>
              <w:top w:val="nil"/>
              <w:left w:val="single" w:sz="4" w:space="0" w:color="auto"/>
              <w:bottom w:val="single" w:sz="8" w:space="0" w:color="auto"/>
              <w:right w:val="single" w:sz="4" w:space="0" w:color="auto"/>
            </w:tcBorders>
            <w:tcMar>
              <w:top w:w="13" w:type="dxa"/>
              <w:left w:w="13" w:type="dxa"/>
              <w:bottom w:w="0" w:type="dxa"/>
              <w:right w:w="13" w:type="dxa"/>
            </w:tcMar>
            <w:vAlign w:val="center"/>
          </w:tcPr>
          <w:p w:rsidR="00565FD5" w:rsidRPr="001131FC" w:rsidRDefault="00565FD5" w:rsidP="00AB62A3">
            <w:pPr>
              <w:ind w:left="57" w:right="57"/>
              <w:jc w:val="right"/>
              <w:rPr>
                <w:rFonts w:cs="Tahoma"/>
                <w:b/>
                <w:bCs/>
                <w:sz w:val="14"/>
                <w:szCs w:val="14"/>
              </w:rPr>
            </w:pPr>
            <w:r w:rsidRPr="001131FC">
              <w:rPr>
                <w:rFonts w:cs="Tahoma"/>
                <w:b/>
                <w:bCs/>
                <w:sz w:val="14"/>
                <w:szCs w:val="14"/>
              </w:rPr>
              <w:t>12/11</w:t>
            </w:r>
          </w:p>
        </w:tc>
      </w:tr>
      <w:tr w:rsidR="00565FD5" w:rsidRPr="001131FC" w:rsidTr="00AB62A3">
        <w:trPr>
          <w:cantSplit/>
          <w:trHeight w:val="227"/>
        </w:trPr>
        <w:tc>
          <w:tcPr>
            <w:tcW w:w="997" w:type="pct"/>
            <w:tcBorders>
              <w:top w:val="nil"/>
              <w:left w:val="single" w:sz="4" w:space="0" w:color="auto"/>
              <w:bottom w:val="nil"/>
              <w:right w:val="single" w:sz="8" w:space="0" w:color="auto"/>
            </w:tcBorders>
            <w:tcMar>
              <w:top w:w="13" w:type="dxa"/>
              <w:left w:w="13" w:type="dxa"/>
              <w:bottom w:w="0" w:type="dxa"/>
              <w:right w:w="13" w:type="dxa"/>
            </w:tcMar>
            <w:vAlign w:val="center"/>
          </w:tcPr>
          <w:p w:rsidR="00565FD5" w:rsidRPr="001131FC" w:rsidRDefault="00565FD5" w:rsidP="00AB62A3">
            <w:pPr>
              <w:ind w:left="57" w:right="57"/>
              <w:rPr>
                <w:rFonts w:cs="Tahoma"/>
                <w:b/>
                <w:bCs/>
                <w:sz w:val="14"/>
                <w:szCs w:val="14"/>
              </w:rPr>
            </w:pPr>
            <w:r w:rsidRPr="001131FC">
              <w:rPr>
                <w:rFonts w:cs="Tahoma"/>
                <w:b/>
                <w:bCs/>
                <w:sz w:val="14"/>
                <w:szCs w:val="14"/>
              </w:rPr>
              <w:t>TOPLAM İHRACAT</w:t>
            </w:r>
          </w:p>
        </w:tc>
        <w:tc>
          <w:tcPr>
            <w:tcW w:w="377" w:type="pct"/>
            <w:tcBorders>
              <w:top w:val="nil"/>
              <w:left w:val="nil"/>
              <w:bottom w:val="nil"/>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
                <w:bCs/>
                <w:sz w:val="14"/>
                <w:szCs w:val="14"/>
              </w:rPr>
            </w:pPr>
            <w:r w:rsidRPr="001131FC">
              <w:rPr>
                <w:rFonts w:cs="Tahoma"/>
                <w:b/>
                <w:bCs/>
                <w:sz w:val="14"/>
                <w:szCs w:val="14"/>
              </w:rPr>
              <w:t>113,9</w:t>
            </w:r>
          </w:p>
        </w:tc>
        <w:tc>
          <w:tcPr>
            <w:tcW w:w="408" w:type="pct"/>
            <w:tcBorders>
              <w:top w:val="nil"/>
              <w:left w:val="nil"/>
              <w:bottom w:val="nil"/>
              <w:right w:val="single" w:sz="4" w:space="0" w:color="auto"/>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
                <w:bCs/>
                <w:sz w:val="14"/>
                <w:szCs w:val="14"/>
              </w:rPr>
            </w:pPr>
            <w:r w:rsidRPr="001131FC">
              <w:rPr>
                <w:rFonts w:cs="Tahoma"/>
                <w:b/>
                <w:bCs/>
                <w:sz w:val="14"/>
                <w:szCs w:val="14"/>
              </w:rPr>
              <w:t>134,9</w:t>
            </w:r>
          </w:p>
        </w:tc>
        <w:tc>
          <w:tcPr>
            <w:tcW w:w="347" w:type="pct"/>
            <w:tcBorders>
              <w:top w:val="nil"/>
              <w:left w:val="single" w:sz="4" w:space="0" w:color="auto"/>
              <w:bottom w:val="nil"/>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
                <w:bCs/>
                <w:sz w:val="14"/>
                <w:szCs w:val="14"/>
              </w:rPr>
            </w:pPr>
            <w:r w:rsidRPr="001131FC">
              <w:rPr>
                <w:rFonts w:cs="Tahoma"/>
                <w:b/>
                <w:bCs/>
                <w:sz w:val="14"/>
                <w:szCs w:val="14"/>
              </w:rPr>
              <w:t>88,7</w:t>
            </w:r>
          </w:p>
        </w:tc>
        <w:tc>
          <w:tcPr>
            <w:tcW w:w="408" w:type="pct"/>
            <w:tcBorders>
              <w:top w:val="nil"/>
              <w:left w:val="nil"/>
              <w:bottom w:val="nil"/>
              <w:right w:val="nil"/>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
                <w:bCs/>
                <w:sz w:val="14"/>
                <w:szCs w:val="14"/>
              </w:rPr>
            </w:pPr>
            <w:r w:rsidRPr="001131FC">
              <w:rPr>
                <w:rFonts w:cs="Tahoma"/>
                <w:b/>
                <w:bCs/>
                <w:sz w:val="14"/>
                <w:szCs w:val="14"/>
              </w:rPr>
              <w:t>100,1</w:t>
            </w:r>
          </w:p>
        </w:tc>
        <w:tc>
          <w:tcPr>
            <w:tcW w:w="377" w:type="pct"/>
            <w:tcBorders>
              <w:top w:val="nil"/>
              <w:left w:val="single" w:sz="8" w:space="0" w:color="auto"/>
              <w:bottom w:val="nil"/>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
                <w:bCs/>
                <w:sz w:val="14"/>
                <w:szCs w:val="14"/>
              </w:rPr>
            </w:pPr>
            <w:r w:rsidRPr="001131FC">
              <w:rPr>
                <w:rFonts w:cs="Tahoma"/>
                <w:b/>
                <w:bCs/>
                <w:sz w:val="14"/>
                <w:szCs w:val="14"/>
              </w:rPr>
              <w:t>100</w:t>
            </w:r>
          </w:p>
        </w:tc>
        <w:tc>
          <w:tcPr>
            <w:tcW w:w="408" w:type="pct"/>
            <w:tcBorders>
              <w:top w:val="nil"/>
              <w:left w:val="nil"/>
              <w:bottom w:val="nil"/>
              <w:right w:val="single" w:sz="4" w:space="0" w:color="auto"/>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
                <w:bCs/>
                <w:sz w:val="14"/>
                <w:szCs w:val="14"/>
              </w:rPr>
            </w:pPr>
            <w:r w:rsidRPr="001131FC">
              <w:rPr>
                <w:rFonts w:cs="Tahoma"/>
                <w:b/>
                <w:bCs/>
                <w:sz w:val="14"/>
                <w:szCs w:val="14"/>
              </w:rPr>
              <w:t>100</w:t>
            </w:r>
          </w:p>
        </w:tc>
        <w:tc>
          <w:tcPr>
            <w:tcW w:w="377" w:type="pct"/>
            <w:tcBorders>
              <w:top w:val="nil"/>
              <w:left w:val="single" w:sz="4" w:space="0" w:color="auto"/>
              <w:bottom w:val="nil"/>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
                <w:bCs/>
                <w:sz w:val="14"/>
                <w:szCs w:val="14"/>
              </w:rPr>
            </w:pPr>
            <w:r w:rsidRPr="001131FC">
              <w:rPr>
                <w:rFonts w:cs="Tahoma"/>
                <w:b/>
                <w:bCs/>
                <w:sz w:val="14"/>
                <w:szCs w:val="14"/>
              </w:rPr>
              <w:t>100</w:t>
            </w:r>
          </w:p>
        </w:tc>
        <w:tc>
          <w:tcPr>
            <w:tcW w:w="408" w:type="pct"/>
            <w:tcBorders>
              <w:top w:val="nil"/>
              <w:left w:val="nil"/>
              <w:bottom w:val="nil"/>
              <w:right w:val="nil"/>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
                <w:bCs/>
                <w:sz w:val="14"/>
                <w:szCs w:val="14"/>
              </w:rPr>
            </w:pPr>
            <w:r w:rsidRPr="001131FC">
              <w:rPr>
                <w:rFonts w:cs="Tahoma"/>
                <w:b/>
                <w:bCs/>
                <w:sz w:val="14"/>
                <w:szCs w:val="14"/>
              </w:rPr>
              <w:t>100</w:t>
            </w:r>
          </w:p>
        </w:tc>
        <w:tc>
          <w:tcPr>
            <w:tcW w:w="403" w:type="pct"/>
            <w:tcBorders>
              <w:top w:val="nil"/>
              <w:left w:val="single" w:sz="8" w:space="0" w:color="auto"/>
              <w:bottom w:val="nil"/>
              <w:right w:val="single" w:sz="4" w:space="0" w:color="auto"/>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
                <w:bCs/>
                <w:sz w:val="14"/>
                <w:szCs w:val="14"/>
              </w:rPr>
            </w:pPr>
            <w:r w:rsidRPr="001131FC">
              <w:rPr>
                <w:rFonts w:cs="Tahoma"/>
                <w:b/>
                <w:bCs/>
                <w:sz w:val="14"/>
                <w:szCs w:val="14"/>
              </w:rPr>
              <w:t>18,5</w:t>
            </w:r>
          </w:p>
        </w:tc>
        <w:tc>
          <w:tcPr>
            <w:tcW w:w="490" w:type="pct"/>
            <w:tcBorders>
              <w:top w:val="nil"/>
              <w:left w:val="single" w:sz="4" w:space="0" w:color="auto"/>
              <w:bottom w:val="nil"/>
              <w:right w:val="single" w:sz="4" w:space="0" w:color="auto"/>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
                <w:bCs/>
                <w:sz w:val="14"/>
                <w:szCs w:val="14"/>
              </w:rPr>
            </w:pPr>
            <w:r w:rsidRPr="001131FC">
              <w:rPr>
                <w:rFonts w:cs="Tahoma"/>
                <w:b/>
                <w:bCs/>
                <w:sz w:val="14"/>
                <w:szCs w:val="14"/>
              </w:rPr>
              <w:t>12,8</w:t>
            </w:r>
          </w:p>
        </w:tc>
      </w:tr>
      <w:tr w:rsidR="00565FD5" w:rsidRPr="001131FC" w:rsidTr="00AB62A3">
        <w:trPr>
          <w:cantSplit/>
          <w:trHeight w:val="227"/>
        </w:trPr>
        <w:tc>
          <w:tcPr>
            <w:tcW w:w="997" w:type="pct"/>
            <w:tcBorders>
              <w:top w:val="nil"/>
              <w:left w:val="single" w:sz="4" w:space="0" w:color="auto"/>
              <w:bottom w:val="nil"/>
              <w:right w:val="single" w:sz="8" w:space="0" w:color="auto"/>
            </w:tcBorders>
            <w:tcMar>
              <w:top w:w="13" w:type="dxa"/>
              <w:left w:w="13" w:type="dxa"/>
              <w:bottom w:w="0" w:type="dxa"/>
              <w:right w:w="13" w:type="dxa"/>
            </w:tcMar>
            <w:vAlign w:val="center"/>
          </w:tcPr>
          <w:p w:rsidR="00565FD5" w:rsidRPr="001131FC" w:rsidRDefault="00565FD5" w:rsidP="00AB62A3">
            <w:pPr>
              <w:ind w:left="57" w:right="57"/>
              <w:rPr>
                <w:rFonts w:cs="Tahoma"/>
                <w:sz w:val="14"/>
                <w:szCs w:val="14"/>
              </w:rPr>
            </w:pPr>
            <w:r w:rsidRPr="001131FC">
              <w:rPr>
                <w:rFonts w:cs="Tahoma"/>
                <w:bCs/>
                <w:sz w:val="14"/>
                <w:szCs w:val="14"/>
              </w:rPr>
              <w:t>Tarım ve Orman.</w:t>
            </w:r>
          </w:p>
        </w:tc>
        <w:tc>
          <w:tcPr>
            <w:tcW w:w="377" w:type="pct"/>
            <w:tcBorders>
              <w:top w:val="nil"/>
              <w:left w:val="nil"/>
              <w:bottom w:val="nil"/>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4,9</w:t>
            </w:r>
          </w:p>
        </w:tc>
        <w:tc>
          <w:tcPr>
            <w:tcW w:w="408" w:type="pct"/>
            <w:tcBorders>
              <w:top w:val="nil"/>
              <w:left w:val="nil"/>
              <w:bottom w:val="nil"/>
              <w:right w:val="single" w:sz="4" w:space="0" w:color="auto"/>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5,2</w:t>
            </w:r>
          </w:p>
        </w:tc>
        <w:tc>
          <w:tcPr>
            <w:tcW w:w="347" w:type="pct"/>
            <w:tcBorders>
              <w:top w:val="nil"/>
              <w:left w:val="single" w:sz="4" w:space="0" w:color="auto"/>
              <w:bottom w:val="nil"/>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3,1</w:t>
            </w:r>
          </w:p>
        </w:tc>
        <w:tc>
          <w:tcPr>
            <w:tcW w:w="408" w:type="pct"/>
            <w:tcBorders>
              <w:top w:val="nil"/>
              <w:left w:val="nil"/>
              <w:bottom w:val="nil"/>
              <w:right w:val="nil"/>
            </w:tcBorders>
            <w:tcMar>
              <w:top w:w="0" w:type="dxa"/>
              <w:left w:w="13" w:type="dxa"/>
              <w:bottom w:w="0" w:type="dxa"/>
              <w:right w:w="57"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3,2</w:t>
            </w:r>
          </w:p>
        </w:tc>
        <w:tc>
          <w:tcPr>
            <w:tcW w:w="377" w:type="pct"/>
            <w:tcBorders>
              <w:top w:val="nil"/>
              <w:left w:val="single" w:sz="8" w:space="0" w:color="auto"/>
              <w:bottom w:val="nil"/>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4,3</w:t>
            </w:r>
          </w:p>
        </w:tc>
        <w:tc>
          <w:tcPr>
            <w:tcW w:w="408" w:type="pct"/>
            <w:tcBorders>
              <w:top w:val="nil"/>
              <w:left w:val="nil"/>
              <w:bottom w:val="nil"/>
              <w:right w:val="single" w:sz="4" w:space="0" w:color="auto"/>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3,8</w:t>
            </w:r>
          </w:p>
        </w:tc>
        <w:tc>
          <w:tcPr>
            <w:tcW w:w="377" w:type="pct"/>
            <w:tcBorders>
              <w:top w:val="nil"/>
              <w:left w:val="single" w:sz="4" w:space="0" w:color="auto"/>
              <w:bottom w:val="nil"/>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3,4</w:t>
            </w:r>
          </w:p>
        </w:tc>
        <w:tc>
          <w:tcPr>
            <w:tcW w:w="408" w:type="pct"/>
            <w:tcBorders>
              <w:top w:val="nil"/>
              <w:left w:val="nil"/>
              <w:bottom w:val="nil"/>
              <w:right w:val="nil"/>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3,1</w:t>
            </w:r>
          </w:p>
        </w:tc>
        <w:tc>
          <w:tcPr>
            <w:tcW w:w="403" w:type="pct"/>
            <w:tcBorders>
              <w:top w:val="nil"/>
              <w:left w:val="single" w:sz="8" w:space="0" w:color="auto"/>
              <w:bottom w:val="nil"/>
              <w:right w:val="single" w:sz="4" w:space="0" w:color="auto"/>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4,7</w:t>
            </w:r>
          </w:p>
        </w:tc>
        <w:tc>
          <w:tcPr>
            <w:tcW w:w="490" w:type="pct"/>
            <w:tcBorders>
              <w:top w:val="nil"/>
              <w:left w:val="single" w:sz="4" w:space="0" w:color="auto"/>
              <w:bottom w:val="nil"/>
              <w:right w:val="single" w:sz="4" w:space="0" w:color="auto"/>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3,2</w:t>
            </w:r>
          </w:p>
        </w:tc>
      </w:tr>
      <w:tr w:rsidR="00565FD5" w:rsidRPr="001131FC" w:rsidTr="00AB62A3">
        <w:trPr>
          <w:cantSplit/>
          <w:trHeight w:val="227"/>
        </w:trPr>
        <w:tc>
          <w:tcPr>
            <w:tcW w:w="997" w:type="pct"/>
            <w:tcBorders>
              <w:top w:val="nil"/>
              <w:left w:val="single" w:sz="4" w:space="0" w:color="auto"/>
              <w:bottom w:val="nil"/>
              <w:right w:val="single" w:sz="8" w:space="0" w:color="auto"/>
            </w:tcBorders>
            <w:tcMar>
              <w:top w:w="13" w:type="dxa"/>
              <w:left w:w="13" w:type="dxa"/>
              <w:bottom w:w="0" w:type="dxa"/>
              <w:right w:w="13" w:type="dxa"/>
            </w:tcMar>
            <w:vAlign w:val="center"/>
          </w:tcPr>
          <w:p w:rsidR="00565FD5" w:rsidRPr="001131FC" w:rsidRDefault="00565FD5" w:rsidP="00AB62A3">
            <w:pPr>
              <w:ind w:left="57" w:right="57"/>
              <w:rPr>
                <w:rFonts w:cs="Tahoma"/>
                <w:bCs/>
                <w:sz w:val="14"/>
                <w:szCs w:val="14"/>
              </w:rPr>
            </w:pPr>
            <w:r w:rsidRPr="001131FC">
              <w:rPr>
                <w:rFonts w:cs="Tahoma"/>
                <w:bCs/>
                <w:sz w:val="14"/>
                <w:szCs w:val="14"/>
              </w:rPr>
              <w:t>Balıkçılık</w:t>
            </w:r>
          </w:p>
        </w:tc>
        <w:tc>
          <w:tcPr>
            <w:tcW w:w="377" w:type="pct"/>
            <w:tcBorders>
              <w:top w:val="nil"/>
              <w:left w:val="nil"/>
              <w:bottom w:val="nil"/>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0,2</w:t>
            </w:r>
          </w:p>
        </w:tc>
        <w:tc>
          <w:tcPr>
            <w:tcW w:w="408" w:type="pct"/>
            <w:tcBorders>
              <w:top w:val="nil"/>
              <w:left w:val="nil"/>
              <w:bottom w:val="nil"/>
              <w:right w:val="single" w:sz="4" w:space="0" w:color="auto"/>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0,2</w:t>
            </w:r>
          </w:p>
        </w:tc>
        <w:tc>
          <w:tcPr>
            <w:tcW w:w="347" w:type="pct"/>
            <w:tcBorders>
              <w:top w:val="nil"/>
              <w:left w:val="single" w:sz="4" w:space="0" w:color="auto"/>
              <w:bottom w:val="nil"/>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0,1</w:t>
            </w:r>
          </w:p>
        </w:tc>
        <w:tc>
          <w:tcPr>
            <w:tcW w:w="408" w:type="pct"/>
            <w:tcBorders>
              <w:top w:val="nil"/>
              <w:left w:val="nil"/>
              <w:bottom w:val="nil"/>
              <w:right w:val="nil"/>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0,1</w:t>
            </w:r>
          </w:p>
        </w:tc>
        <w:tc>
          <w:tcPr>
            <w:tcW w:w="377" w:type="pct"/>
            <w:tcBorders>
              <w:top w:val="nil"/>
              <w:left w:val="single" w:sz="8" w:space="0" w:color="auto"/>
              <w:bottom w:val="nil"/>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0,1</w:t>
            </w:r>
          </w:p>
        </w:tc>
        <w:tc>
          <w:tcPr>
            <w:tcW w:w="408" w:type="pct"/>
            <w:tcBorders>
              <w:top w:val="nil"/>
              <w:left w:val="nil"/>
              <w:bottom w:val="nil"/>
              <w:right w:val="single" w:sz="4" w:space="0" w:color="auto"/>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0,1</w:t>
            </w:r>
          </w:p>
        </w:tc>
        <w:tc>
          <w:tcPr>
            <w:tcW w:w="377" w:type="pct"/>
            <w:tcBorders>
              <w:top w:val="nil"/>
              <w:left w:val="single" w:sz="4" w:space="0" w:color="auto"/>
              <w:bottom w:val="nil"/>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0,1</w:t>
            </w:r>
          </w:p>
        </w:tc>
        <w:tc>
          <w:tcPr>
            <w:tcW w:w="408" w:type="pct"/>
            <w:tcBorders>
              <w:top w:val="nil"/>
              <w:left w:val="nil"/>
              <w:bottom w:val="nil"/>
              <w:right w:val="nil"/>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0,1</w:t>
            </w:r>
          </w:p>
        </w:tc>
        <w:tc>
          <w:tcPr>
            <w:tcW w:w="403" w:type="pct"/>
            <w:tcBorders>
              <w:top w:val="nil"/>
              <w:left w:val="single" w:sz="8" w:space="0" w:color="auto"/>
              <w:bottom w:val="nil"/>
              <w:right w:val="single" w:sz="4" w:space="0" w:color="auto"/>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19,2</w:t>
            </w:r>
          </w:p>
        </w:tc>
        <w:tc>
          <w:tcPr>
            <w:tcW w:w="490" w:type="pct"/>
            <w:tcBorders>
              <w:top w:val="nil"/>
              <w:left w:val="single" w:sz="4" w:space="0" w:color="auto"/>
              <w:bottom w:val="nil"/>
              <w:right w:val="single" w:sz="4" w:space="0" w:color="auto"/>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-6,0</w:t>
            </w:r>
          </w:p>
        </w:tc>
      </w:tr>
      <w:tr w:rsidR="00565FD5" w:rsidRPr="001131FC" w:rsidTr="00AB62A3">
        <w:trPr>
          <w:cantSplit/>
          <w:trHeight w:val="227"/>
        </w:trPr>
        <w:tc>
          <w:tcPr>
            <w:tcW w:w="997" w:type="pct"/>
            <w:tcBorders>
              <w:top w:val="nil"/>
              <w:left w:val="single" w:sz="4" w:space="0" w:color="auto"/>
              <w:bottom w:val="nil"/>
              <w:right w:val="single" w:sz="8" w:space="0" w:color="auto"/>
            </w:tcBorders>
            <w:tcMar>
              <w:top w:w="13" w:type="dxa"/>
              <w:left w:w="13" w:type="dxa"/>
              <w:bottom w:w="0" w:type="dxa"/>
              <w:right w:w="13" w:type="dxa"/>
            </w:tcMar>
            <w:vAlign w:val="center"/>
          </w:tcPr>
          <w:p w:rsidR="00565FD5" w:rsidRPr="001131FC" w:rsidRDefault="00565FD5" w:rsidP="00AB62A3">
            <w:pPr>
              <w:ind w:left="57" w:right="57"/>
              <w:rPr>
                <w:rFonts w:cs="Tahoma"/>
                <w:sz w:val="14"/>
                <w:szCs w:val="14"/>
              </w:rPr>
            </w:pPr>
            <w:r w:rsidRPr="001131FC">
              <w:rPr>
                <w:rFonts w:cs="Tahoma"/>
                <w:bCs/>
                <w:sz w:val="14"/>
                <w:szCs w:val="14"/>
              </w:rPr>
              <w:t>Mad. ve Taş Ocak.</w:t>
            </w:r>
          </w:p>
        </w:tc>
        <w:tc>
          <w:tcPr>
            <w:tcW w:w="377" w:type="pct"/>
            <w:tcBorders>
              <w:top w:val="nil"/>
              <w:left w:val="nil"/>
              <w:bottom w:val="nil"/>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2,7</w:t>
            </w:r>
          </w:p>
        </w:tc>
        <w:tc>
          <w:tcPr>
            <w:tcW w:w="408" w:type="pct"/>
            <w:tcBorders>
              <w:top w:val="nil"/>
              <w:left w:val="nil"/>
              <w:bottom w:val="nil"/>
              <w:right w:val="single" w:sz="4" w:space="0" w:color="auto"/>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2,8</w:t>
            </w:r>
          </w:p>
        </w:tc>
        <w:tc>
          <w:tcPr>
            <w:tcW w:w="347" w:type="pct"/>
            <w:tcBorders>
              <w:top w:val="nil"/>
              <w:left w:val="single" w:sz="4" w:space="0" w:color="auto"/>
              <w:bottom w:val="nil"/>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1,8</w:t>
            </w:r>
          </w:p>
        </w:tc>
        <w:tc>
          <w:tcPr>
            <w:tcW w:w="408" w:type="pct"/>
            <w:tcBorders>
              <w:top w:val="nil"/>
              <w:left w:val="nil"/>
              <w:bottom w:val="nil"/>
              <w:right w:val="nil"/>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2,0</w:t>
            </w:r>
          </w:p>
        </w:tc>
        <w:tc>
          <w:tcPr>
            <w:tcW w:w="377" w:type="pct"/>
            <w:tcBorders>
              <w:top w:val="nil"/>
              <w:left w:val="single" w:sz="8" w:space="0" w:color="auto"/>
              <w:bottom w:val="nil"/>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2,4</w:t>
            </w:r>
          </w:p>
        </w:tc>
        <w:tc>
          <w:tcPr>
            <w:tcW w:w="408" w:type="pct"/>
            <w:tcBorders>
              <w:top w:val="nil"/>
              <w:left w:val="nil"/>
              <w:bottom w:val="nil"/>
              <w:right w:val="single" w:sz="4" w:space="0" w:color="auto"/>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2,1</w:t>
            </w:r>
          </w:p>
        </w:tc>
        <w:tc>
          <w:tcPr>
            <w:tcW w:w="377" w:type="pct"/>
            <w:tcBorders>
              <w:top w:val="nil"/>
              <w:left w:val="single" w:sz="4" w:space="0" w:color="auto"/>
              <w:bottom w:val="nil"/>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2,0</w:t>
            </w:r>
          </w:p>
        </w:tc>
        <w:tc>
          <w:tcPr>
            <w:tcW w:w="408" w:type="pct"/>
            <w:tcBorders>
              <w:top w:val="nil"/>
              <w:left w:val="nil"/>
              <w:bottom w:val="nil"/>
              <w:right w:val="nil"/>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2,0</w:t>
            </w:r>
          </w:p>
        </w:tc>
        <w:tc>
          <w:tcPr>
            <w:tcW w:w="403" w:type="pct"/>
            <w:tcBorders>
              <w:top w:val="nil"/>
              <w:left w:val="single" w:sz="8" w:space="0" w:color="auto"/>
              <w:bottom w:val="nil"/>
              <w:right w:val="single" w:sz="4" w:space="0" w:color="auto"/>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4,4</w:t>
            </w:r>
          </w:p>
        </w:tc>
        <w:tc>
          <w:tcPr>
            <w:tcW w:w="490" w:type="pct"/>
            <w:tcBorders>
              <w:top w:val="nil"/>
              <w:left w:val="single" w:sz="4" w:space="0" w:color="auto"/>
              <w:bottom w:val="nil"/>
              <w:right w:val="single" w:sz="4" w:space="0" w:color="auto"/>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8,7</w:t>
            </w:r>
          </w:p>
        </w:tc>
      </w:tr>
      <w:tr w:rsidR="00565FD5" w:rsidRPr="001131FC" w:rsidTr="00AB62A3">
        <w:trPr>
          <w:cantSplit/>
          <w:trHeight w:val="227"/>
        </w:trPr>
        <w:tc>
          <w:tcPr>
            <w:tcW w:w="997" w:type="pct"/>
            <w:tcBorders>
              <w:top w:val="nil"/>
              <w:left w:val="single" w:sz="4" w:space="0" w:color="auto"/>
              <w:bottom w:val="nil"/>
              <w:right w:val="single" w:sz="8" w:space="0" w:color="auto"/>
            </w:tcBorders>
            <w:tcMar>
              <w:top w:w="13" w:type="dxa"/>
              <w:left w:w="13" w:type="dxa"/>
              <w:bottom w:w="0" w:type="dxa"/>
              <w:right w:w="13" w:type="dxa"/>
            </w:tcMar>
            <w:vAlign w:val="center"/>
          </w:tcPr>
          <w:p w:rsidR="00565FD5" w:rsidRPr="001131FC" w:rsidRDefault="00565FD5" w:rsidP="00AB62A3">
            <w:pPr>
              <w:ind w:left="57" w:right="57"/>
              <w:rPr>
                <w:rFonts w:cs="Tahoma"/>
                <w:sz w:val="14"/>
                <w:szCs w:val="14"/>
              </w:rPr>
            </w:pPr>
            <w:r w:rsidRPr="001131FC">
              <w:rPr>
                <w:rFonts w:cs="Tahoma"/>
                <w:bCs/>
                <w:sz w:val="14"/>
                <w:szCs w:val="14"/>
              </w:rPr>
              <w:t>İmalat Sanayi</w:t>
            </w:r>
          </w:p>
        </w:tc>
        <w:tc>
          <w:tcPr>
            <w:tcW w:w="377" w:type="pct"/>
            <w:tcBorders>
              <w:top w:val="nil"/>
              <w:left w:val="nil"/>
              <w:bottom w:val="nil"/>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105,5</w:t>
            </w:r>
          </w:p>
        </w:tc>
        <w:tc>
          <w:tcPr>
            <w:tcW w:w="408" w:type="pct"/>
            <w:tcBorders>
              <w:top w:val="nil"/>
              <w:left w:val="nil"/>
              <w:bottom w:val="nil"/>
              <w:right w:val="single" w:sz="4" w:space="0" w:color="auto"/>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126,0</w:t>
            </w:r>
          </w:p>
        </w:tc>
        <w:tc>
          <w:tcPr>
            <w:tcW w:w="347" w:type="pct"/>
            <w:tcBorders>
              <w:top w:val="nil"/>
              <w:left w:val="single" w:sz="4" w:space="0" w:color="auto"/>
              <w:bottom w:val="nil"/>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83,2</w:t>
            </w:r>
          </w:p>
        </w:tc>
        <w:tc>
          <w:tcPr>
            <w:tcW w:w="408" w:type="pct"/>
            <w:tcBorders>
              <w:top w:val="nil"/>
              <w:left w:val="nil"/>
              <w:bottom w:val="nil"/>
              <w:right w:val="nil"/>
            </w:tcBorders>
            <w:tcMar>
              <w:top w:w="0" w:type="dxa"/>
              <w:left w:w="13" w:type="dxa"/>
              <w:bottom w:w="0" w:type="dxa"/>
              <w:right w:w="57"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94,3</w:t>
            </w:r>
          </w:p>
        </w:tc>
        <w:tc>
          <w:tcPr>
            <w:tcW w:w="377" w:type="pct"/>
            <w:tcBorders>
              <w:top w:val="nil"/>
              <w:left w:val="single" w:sz="8" w:space="0" w:color="auto"/>
              <w:bottom w:val="nil"/>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92,6</w:t>
            </w:r>
          </w:p>
        </w:tc>
        <w:tc>
          <w:tcPr>
            <w:tcW w:w="408" w:type="pct"/>
            <w:tcBorders>
              <w:top w:val="nil"/>
              <w:left w:val="nil"/>
              <w:bottom w:val="nil"/>
              <w:right w:val="single" w:sz="4" w:space="0" w:color="auto"/>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93,4</w:t>
            </w:r>
          </w:p>
        </w:tc>
        <w:tc>
          <w:tcPr>
            <w:tcW w:w="377" w:type="pct"/>
            <w:tcBorders>
              <w:top w:val="nil"/>
              <w:left w:val="single" w:sz="4" w:space="0" w:color="auto"/>
              <w:bottom w:val="nil"/>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93,8</w:t>
            </w:r>
          </w:p>
        </w:tc>
        <w:tc>
          <w:tcPr>
            <w:tcW w:w="408" w:type="pct"/>
            <w:tcBorders>
              <w:top w:val="nil"/>
              <w:left w:val="nil"/>
              <w:bottom w:val="nil"/>
              <w:right w:val="nil"/>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94,2</w:t>
            </w:r>
          </w:p>
        </w:tc>
        <w:tc>
          <w:tcPr>
            <w:tcW w:w="403" w:type="pct"/>
            <w:tcBorders>
              <w:top w:val="nil"/>
              <w:left w:val="single" w:sz="8" w:space="0" w:color="auto"/>
              <w:bottom w:val="nil"/>
              <w:right w:val="single" w:sz="4" w:space="0" w:color="auto"/>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19,4</w:t>
            </w:r>
          </w:p>
        </w:tc>
        <w:tc>
          <w:tcPr>
            <w:tcW w:w="490" w:type="pct"/>
            <w:tcBorders>
              <w:top w:val="nil"/>
              <w:left w:val="single" w:sz="4" w:space="0" w:color="auto"/>
              <w:bottom w:val="nil"/>
              <w:right w:val="single" w:sz="4" w:space="0" w:color="auto"/>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13,3</w:t>
            </w:r>
          </w:p>
        </w:tc>
      </w:tr>
      <w:tr w:rsidR="00565FD5" w:rsidRPr="001131FC" w:rsidTr="00AB62A3">
        <w:trPr>
          <w:cantSplit/>
          <w:trHeight w:val="227"/>
        </w:trPr>
        <w:tc>
          <w:tcPr>
            <w:tcW w:w="997" w:type="pct"/>
            <w:tcBorders>
              <w:top w:val="nil"/>
              <w:left w:val="single" w:sz="4" w:space="0" w:color="auto"/>
              <w:bottom w:val="single" w:sz="4" w:space="0" w:color="auto"/>
              <w:right w:val="single" w:sz="8" w:space="0" w:color="auto"/>
            </w:tcBorders>
            <w:tcMar>
              <w:top w:w="13" w:type="dxa"/>
              <w:left w:w="13" w:type="dxa"/>
              <w:bottom w:w="0" w:type="dxa"/>
              <w:right w:w="13" w:type="dxa"/>
            </w:tcMar>
            <w:vAlign w:val="center"/>
          </w:tcPr>
          <w:p w:rsidR="00565FD5" w:rsidRPr="001131FC" w:rsidRDefault="00565FD5" w:rsidP="00AB62A3">
            <w:pPr>
              <w:ind w:left="57" w:right="57"/>
              <w:rPr>
                <w:rFonts w:cs="Tahoma"/>
                <w:sz w:val="14"/>
                <w:szCs w:val="14"/>
              </w:rPr>
            </w:pPr>
            <w:r w:rsidRPr="001131FC">
              <w:rPr>
                <w:rFonts w:cs="Tahoma"/>
                <w:bCs/>
                <w:sz w:val="14"/>
                <w:szCs w:val="14"/>
              </w:rPr>
              <w:t>Diğer</w:t>
            </w:r>
          </w:p>
        </w:tc>
        <w:tc>
          <w:tcPr>
            <w:tcW w:w="377" w:type="pct"/>
            <w:tcBorders>
              <w:top w:val="nil"/>
              <w:left w:val="nil"/>
              <w:bottom w:val="single" w:sz="4" w:space="0" w:color="auto"/>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0,6</w:t>
            </w:r>
          </w:p>
        </w:tc>
        <w:tc>
          <w:tcPr>
            <w:tcW w:w="408" w:type="pct"/>
            <w:tcBorders>
              <w:top w:val="nil"/>
              <w:left w:val="nil"/>
              <w:bottom w:val="single" w:sz="4" w:space="0" w:color="auto"/>
              <w:right w:val="single" w:sz="4" w:space="0" w:color="auto"/>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0,8</w:t>
            </w:r>
          </w:p>
        </w:tc>
        <w:tc>
          <w:tcPr>
            <w:tcW w:w="347" w:type="pct"/>
            <w:tcBorders>
              <w:top w:val="nil"/>
              <w:left w:val="single" w:sz="4" w:space="0" w:color="auto"/>
              <w:bottom w:val="single" w:sz="4" w:space="0" w:color="auto"/>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0,5</w:t>
            </w:r>
          </w:p>
        </w:tc>
        <w:tc>
          <w:tcPr>
            <w:tcW w:w="408" w:type="pct"/>
            <w:tcBorders>
              <w:top w:val="nil"/>
              <w:left w:val="nil"/>
              <w:bottom w:val="single" w:sz="4" w:space="0" w:color="auto"/>
              <w:right w:val="nil"/>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0,5</w:t>
            </w:r>
          </w:p>
        </w:tc>
        <w:tc>
          <w:tcPr>
            <w:tcW w:w="377" w:type="pct"/>
            <w:tcBorders>
              <w:top w:val="nil"/>
              <w:left w:val="single" w:sz="8" w:space="0" w:color="auto"/>
              <w:bottom w:val="single" w:sz="4" w:space="0" w:color="auto"/>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0,6</w:t>
            </w:r>
          </w:p>
        </w:tc>
        <w:tc>
          <w:tcPr>
            <w:tcW w:w="408" w:type="pct"/>
            <w:tcBorders>
              <w:top w:val="nil"/>
              <w:left w:val="nil"/>
              <w:bottom w:val="single" w:sz="4" w:space="0" w:color="auto"/>
              <w:right w:val="single" w:sz="4" w:space="0" w:color="auto"/>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0,6</w:t>
            </w:r>
          </w:p>
        </w:tc>
        <w:tc>
          <w:tcPr>
            <w:tcW w:w="377" w:type="pct"/>
            <w:tcBorders>
              <w:top w:val="nil"/>
              <w:left w:val="single" w:sz="4" w:space="0" w:color="auto"/>
              <w:bottom w:val="single" w:sz="4" w:space="0" w:color="auto"/>
              <w:right w:val="nil"/>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0,6</w:t>
            </w:r>
          </w:p>
        </w:tc>
        <w:tc>
          <w:tcPr>
            <w:tcW w:w="408" w:type="pct"/>
            <w:tcBorders>
              <w:top w:val="nil"/>
              <w:left w:val="nil"/>
              <w:bottom w:val="single" w:sz="4" w:space="0" w:color="auto"/>
              <w:right w:val="nil"/>
            </w:tcBorders>
            <w:tcMar>
              <w:top w:w="13" w:type="dxa"/>
              <w:left w:w="13" w:type="dxa"/>
              <w:bottom w:w="0" w:type="dxa"/>
              <w:right w:w="57"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0,5</w:t>
            </w:r>
          </w:p>
        </w:tc>
        <w:tc>
          <w:tcPr>
            <w:tcW w:w="403" w:type="pct"/>
            <w:tcBorders>
              <w:top w:val="nil"/>
              <w:left w:val="single" w:sz="8" w:space="0" w:color="auto"/>
              <w:bottom w:val="single" w:sz="4" w:space="0" w:color="auto"/>
              <w:right w:val="single" w:sz="4" w:space="0" w:color="auto"/>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23,1</w:t>
            </w:r>
          </w:p>
        </w:tc>
        <w:tc>
          <w:tcPr>
            <w:tcW w:w="490" w:type="pct"/>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565FD5" w:rsidRPr="001131FC" w:rsidRDefault="00565FD5" w:rsidP="00AB62A3">
            <w:pPr>
              <w:tabs>
                <w:tab w:val="left" w:pos="250"/>
              </w:tabs>
              <w:ind w:left="57" w:right="57"/>
              <w:jc w:val="right"/>
              <w:rPr>
                <w:rFonts w:cs="Tahoma"/>
                <w:bCs/>
                <w:sz w:val="14"/>
                <w:szCs w:val="14"/>
              </w:rPr>
            </w:pPr>
            <w:r w:rsidRPr="001131FC">
              <w:rPr>
                <w:rFonts w:cs="Tahoma"/>
                <w:bCs/>
                <w:sz w:val="14"/>
                <w:szCs w:val="14"/>
              </w:rPr>
              <w:t>2,2</w:t>
            </w:r>
          </w:p>
        </w:tc>
      </w:tr>
    </w:tbl>
    <w:p w:rsidR="00565FD5" w:rsidRDefault="00565FD5" w:rsidP="00565FD5">
      <w:pPr>
        <w:tabs>
          <w:tab w:val="left" w:pos="499"/>
        </w:tabs>
        <w:rPr>
          <w:rFonts w:cs="Tahoma"/>
          <w:sz w:val="14"/>
          <w:szCs w:val="14"/>
        </w:rPr>
      </w:pPr>
      <w:r w:rsidRPr="001131FC">
        <w:rPr>
          <w:rFonts w:cs="Tahoma"/>
          <w:sz w:val="14"/>
          <w:szCs w:val="14"/>
        </w:rPr>
        <w:t>Kaynak: TÜİK</w:t>
      </w:r>
    </w:p>
    <w:p w:rsidR="00565FD5" w:rsidRPr="001131FC" w:rsidRDefault="00565FD5" w:rsidP="00565FD5">
      <w:pPr>
        <w:tabs>
          <w:tab w:val="left" w:pos="499"/>
        </w:tabs>
        <w:spacing w:after="180"/>
        <w:rPr>
          <w:rFonts w:cs="Tahoma"/>
          <w:sz w:val="14"/>
          <w:szCs w:val="14"/>
        </w:rPr>
      </w:pPr>
      <w:r>
        <w:rPr>
          <w:rFonts w:cs="Tahoma"/>
          <w:sz w:val="14"/>
          <w:szCs w:val="14"/>
        </w:rPr>
        <w:t>(1) ISIC Rev. 3'e göredir.</w:t>
      </w:r>
    </w:p>
    <w:p w:rsidR="00565FD5" w:rsidRPr="001131FC" w:rsidRDefault="00565FD5" w:rsidP="00565FD5">
      <w:pPr>
        <w:spacing w:after="180"/>
        <w:ind w:firstLine="425"/>
        <w:rPr>
          <w:b/>
          <w:szCs w:val="18"/>
        </w:rPr>
      </w:pPr>
      <w:r w:rsidRPr="001131FC">
        <w:rPr>
          <w:b/>
          <w:szCs w:val="18"/>
        </w:rPr>
        <w:t>İthalat</w:t>
      </w:r>
    </w:p>
    <w:p w:rsidR="00565FD5" w:rsidRPr="001131FC" w:rsidRDefault="00565FD5" w:rsidP="00565FD5">
      <w:pPr>
        <w:spacing w:after="180"/>
        <w:ind w:firstLine="425"/>
        <w:rPr>
          <w:color w:val="FF0000"/>
          <w:szCs w:val="18"/>
        </w:rPr>
      </w:pPr>
      <w:r w:rsidRPr="001131FC">
        <w:rPr>
          <w:szCs w:val="18"/>
        </w:rPr>
        <w:t>İthalat, 2012 yılının Ocak-Ağustos döneminde bir önceki yılın aynı dönemine göre yüzde 2,4 oranında azalarak 156,6 milyar ABD doları olarak gerçekleşmiştir.</w:t>
      </w:r>
      <w:r w:rsidRPr="001131FC">
        <w:rPr>
          <w:color w:val="FF0000"/>
          <w:szCs w:val="18"/>
        </w:rPr>
        <w:t xml:space="preserve"> </w:t>
      </w:r>
      <w:r w:rsidRPr="001131FC">
        <w:rPr>
          <w:szCs w:val="18"/>
        </w:rPr>
        <w:t xml:space="preserve">Söz konusu dönemde, hızlı iç talep yavaşlamasına bağlı olarak tüketim ve yatırım malları ithalatında yüksek oranlı azalışlar kaydedilmiştir. Ancak, ihracat artışına paralel olarak ara malı ithalatı artışı devam etmiştir. Tüketim ve yatırım malları ithalatı sırasıyla yüzde 14,5 ve yüzde 11 oranında azalırken; ara malları ithalatındaki artış yüzde 1,7 ile sınırlı kalmıştır. </w:t>
      </w:r>
    </w:p>
    <w:p w:rsidR="00565FD5" w:rsidRPr="005316B9" w:rsidRDefault="00565FD5" w:rsidP="00565FD5">
      <w:pPr>
        <w:pStyle w:val="ResimYazs"/>
        <w:rPr>
          <w:b w:val="0"/>
        </w:rPr>
      </w:pPr>
      <w:bookmarkStart w:id="602" w:name="_Toc213071594"/>
      <w:bookmarkStart w:id="603" w:name="_Toc244339795"/>
      <w:bookmarkStart w:id="604" w:name="_Toc275873822"/>
      <w:bookmarkStart w:id="605" w:name="_Toc276076446"/>
      <w:bookmarkStart w:id="606" w:name="_Toc307601610"/>
      <w:bookmarkStart w:id="607" w:name="_Toc307657852"/>
      <w:bookmarkStart w:id="608" w:name="_Toc307702108"/>
      <w:bookmarkStart w:id="609" w:name="_Toc338605972"/>
      <w:bookmarkStart w:id="610" w:name="_Toc338711747"/>
      <w:r>
        <w:t xml:space="preserve">TABLO II: </w:t>
      </w:r>
      <w:fldSimple w:instr=" SEQ TABLO_II: \* ARABIC ">
        <w:r>
          <w:rPr>
            <w:noProof/>
          </w:rPr>
          <w:t>20</w:t>
        </w:r>
      </w:fldSimple>
      <w:r w:rsidRPr="00AE74B1">
        <w:t xml:space="preserve">- İthalatın Ekonomik Gruplara Göre Dağılımı </w:t>
      </w:r>
      <w:r w:rsidRPr="004C29A2">
        <w:rPr>
          <w:b w:val="0"/>
        </w:rPr>
        <w:t>(1)</w:t>
      </w:r>
      <w:bookmarkEnd w:id="602"/>
      <w:bookmarkEnd w:id="603"/>
      <w:bookmarkEnd w:id="604"/>
      <w:bookmarkEnd w:id="605"/>
      <w:bookmarkEnd w:id="606"/>
      <w:bookmarkEnd w:id="607"/>
      <w:bookmarkEnd w:id="608"/>
      <w:bookmarkEnd w:id="609"/>
      <w:bookmarkEnd w:id="610"/>
    </w:p>
    <w:tbl>
      <w:tblPr>
        <w:tblW w:w="4953" w:type="pct"/>
        <w:tblCellMar>
          <w:left w:w="0" w:type="dxa"/>
          <w:right w:w="0" w:type="dxa"/>
        </w:tblCellMar>
        <w:tblLook w:val="0000"/>
      </w:tblPr>
      <w:tblGrid>
        <w:gridCol w:w="1603"/>
        <w:gridCol w:w="543"/>
        <w:gridCol w:w="497"/>
        <w:gridCol w:w="595"/>
        <w:gridCol w:w="547"/>
        <w:gridCol w:w="628"/>
        <w:gridCol w:w="503"/>
        <w:gridCol w:w="53"/>
        <w:gridCol w:w="446"/>
        <w:gridCol w:w="503"/>
        <w:gridCol w:w="578"/>
        <w:gridCol w:w="608"/>
      </w:tblGrid>
      <w:tr w:rsidR="00565FD5" w:rsidRPr="001131FC" w:rsidTr="00AB62A3">
        <w:trPr>
          <w:trHeight w:val="198"/>
        </w:trPr>
        <w:tc>
          <w:tcPr>
            <w:tcW w:w="1128" w:type="pct"/>
            <w:tcBorders>
              <w:top w:val="single" w:sz="4" w:space="0" w:color="auto"/>
              <w:left w:val="single" w:sz="4" w:space="0" w:color="auto"/>
              <w:right w:val="single" w:sz="8" w:space="0" w:color="auto"/>
            </w:tcBorders>
            <w:tcMar>
              <w:top w:w="13" w:type="dxa"/>
              <w:left w:w="13" w:type="dxa"/>
              <w:bottom w:w="0" w:type="dxa"/>
              <w:right w:w="13" w:type="dxa"/>
            </w:tcMar>
            <w:vAlign w:val="center"/>
          </w:tcPr>
          <w:p w:rsidR="00565FD5" w:rsidRPr="001131FC" w:rsidRDefault="00565FD5" w:rsidP="00AB62A3">
            <w:pPr>
              <w:ind w:firstLine="90"/>
              <w:rPr>
                <w:rFonts w:cs="Tahoma"/>
                <w:b/>
                <w:bCs/>
                <w:color w:val="00B050"/>
                <w:sz w:val="14"/>
                <w:szCs w:val="14"/>
              </w:rPr>
            </w:pPr>
            <w:bookmarkStart w:id="611" w:name="_Toc213071591"/>
            <w:bookmarkStart w:id="612" w:name="_Toc244339796"/>
            <w:r w:rsidRPr="001131FC">
              <w:rPr>
                <w:rFonts w:cs="Tahoma"/>
                <w:b/>
                <w:bCs/>
                <w:color w:val="00B050"/>
                <w:sz w:val="14"/>
                <w:szCs w:val="14"/>
              </w:rPr>
              <w:t> </w:t>
            </w:r>
          </w:p>
        </w:tc>
        <w:tc>
          <w:tcPr>
            <w:tcW w:w="1536" w:type="pct"/>
            <w:gridSpan w:val="4"/>
            <w:tcBorders>
              <w:top w:val="single" w:sz="4" w:space="0" w:color="auto"/>
              <w:left w:val="nil"/>
              <w:bottom w:val="single" w:sz="6" w:space="0" w:color="auto"/>
              <w:right w:val="single" w:sz="8" w:space="0" w:color="000000"/>
            </w:tcBorders>
            <w:tcMar>
              <w:top w:w="13" w:type="dxa"/>
              <w:left w:w="13" w:type="dxa"/>
              <w:bottom w:w="0" w:type="dxa"/>
              <w:right w:w="13" w:type="dxa"/>
            </w:tcMar>
            <w:vAlign w:val="center"/>
          </w:tcPr>
          <w:p w:rsidR="00565FD5" w:rsidRPr="001131FC" w:rsidRDefault="00565FD5" w:rsidP="00AB62A3">
            <w:pPr>
              <w:jc w:val="center"/>
              <w:rPr>
                <w:rFonts w:cs="Tahoma"/>
                <w:b/>
                <w:bCs/>
                <w:sz w:val="14"/>
                <w:szCs w:val="14"/>
              </w:rPr>
            </w:pPr>
            <w:r w:rsidRPr="001131FC">
              <w:rPr>
                <w:rFonts w:cs="Tahoma"/>
                <w:b/>
                <w:bCs/>
                <w:sz w:val="14"/>
                <w:szCs w:val="14"/>
              </w:rPr>
              <w:t>(Milyar ABD Doları)</w:t>
            </w:r>
          </w:p>
        </w:tc>
        <w:tc>
          <w:tcPr>
            <w:tcW w:w="1501" w:type="pct"/>
            <w:gridSpan w:val="5"/>
            <w:tcBorders>
              <w:top w:val="single" w:sz="4" w:space="0" w:color="auto"/>
              <w:left w:val="nil"/>
              <w:bottom w:val="single" w:sz="6" w:space="0" w:color="auto"/>
              <w:right w:val="single" w:sz="8" w:space="0" w:color="000000"/>
            </w:tcBorders>
            <w:tcMar>
              <w:top w:w="13" w:type="dxa"/>
              <w:left w:w="13" w:type="dxa"/>
              <w:bottom w:w="0" w:type="dxa"/>
              <w:right w:w="13" w:type="dxa"/>
            </w:tcMar>
            <w:vAlign w:val="center"/>
          </w:tcPr>
          <w:p w:rsidR="00565FD5" w:rsidRPr="001131FC" w:rsidRDefault="00565FD5" w:rsidP="00AB62A3">
            <w:pPr>
              <w:jc w:val="center"/>
              <w:rPr>
                <w:rFonts w:cs="Tahoma"/>
                <w:b/>
                <w:bCs/>
                <w:sz w:val="14"/>
                <w:szCs w:val="14"/>
              </w:rPr>
            </w:pPr>
            <w:r w:rsidRPr="001131FC">
              <w:rPr>
                <w:rFonts w:cs="Tahoma"/>
                <w:b/>
                <w:bCs/>
                <w:sz w:val="14"/>
                <w:szCs w:val="14"/>
              </w:rPr>
              <w:t>(Yüzde Pay)</w:t>
            </w:r>
          </w:p>
        </w:tc>
        <w:tc>
          <w:tcPr>
            <w:tcW w:w="835" w:type="pct"/>
            <w:gridSpan w:val="2"/>
            <w:tcBorders>
              <w:top w:val="single" w:sz="4" w:space="0" w:color="auto"/>
              <w:left w:val="nil"/>
              <w:bottom w:val="single" w:sz="6" w:space="0" w:color="auto"/>
              <w:right w:val="single" w:sz="4" w:space="0" w:color="auto"/>
            </w:tcBorders>
            <w:tcMar>
              <w:top w:w="13" w:type="dxa"/>
              <w:left w:w="13" w:type="dxa"/>
              <w:bottom w:w="0" w:type="dxa"/>
              <w:right w:w="13" w:type="dxa"/>
            </w:tcMar>
            <w:vAlign w:val="center"/>
          </w:tcPr>
          <w:p w:rsidR="00565FD5" w:rsidRPr="001131FC" w:rsidRDefault="00565FD5" w:rsidP="00AB62A3">
            <w:pPr>
              <w:jc w:val="center"/>
              <w:rPr>
                <w:rFonts w:cs="Tahoma"/>
                <w:b/>
                <w:bCs/>
                <w:sz w:val="14"/>
                <w:szCs w:val="14"/>
              </w:rPr>
            </w:pPr>
            <w:r w:rsidRPr="001131FC">
              <w:rPr>
                <w:rFonts w:cs="Tahoma"/>
                <w:b/>
                <w:bCs/>
                <w:sz w:val="14"/>
                <w:szCs w:val="14"/>
              </w:rPr>
              <w:t>(Yüzde Değ.)</w:t>
            </w:r>
          </w:p>
        </w:tc>
      </w:tr>
      <w:tr w:rsidR="00565FD5" w:rsidRPr="001131FC" w:rsidTr="00AB62A3">
        <w:trPr>
          <w:trHeight w:val="198"/>
        </w:trPr>
        <w:tc>
          <w:tcPr>
            <w:tcW w:w="1128" w:type="pct"/>
            <w:tcBorders>
              <w:top w:val="nil"/>
              <w:left w:val="single" w:sz="6" w:space="0" w:color="auto"/>
              <w:right w:val="single" w:sz="8" w:space="0" w:color="auto"/>
            </w:tcBorders>
            <w:tcMar>
              <w:top w:w="13" w:type="dxa"/>
              <w:left w:w="13" w:type="dxa"/>
              <w:bottom w:w="0" w:type="dxa"/>
              <w:right w:w="13" w:type="dxa"/>
            </w:tcMar>
            <w:vAlign w:val="center"/>
          </w:tcPr>
          <w:p w:rsidR="00565FD5" w:rsidRPr="001131FC" w:rsidRDefault="00565FD5" w:rsidP="00AB62A3">
            <w:pPr>
              <w:ind w:firstLine="90"/>
              <w:rPr>
                <w:rFonts w:cs="Tahoma"/>
                <w:b/>
                <w:bCs/>
                <w:color w:val="00B050"/>
                <w:sz w:val="14"/>
                <w:szCs w:val="14"/>
              </w:rPr>
            </w:pPr>
          </w:p>
        </w:tc>
        <w:tc>
          <w:tcPr>
            <w:tcW w:w="732" w:type="pct"/>
            <w:gridSpan w:val="2"/>
            <w:tcBorders>
              <w:top w:val="single" w:sz="8" w:space="0" w:color="auto"/>
              <w:left w:val="single" w:sz="8" w:space="0" w:color="auto"/>
              <w:bottom w:val="single" w:sz="8" w:space="0" w:color="auto"/>
              <w:right w:val="single" w:sz="6" w:space="0" w:color="auto"/>
            </w:tcBorders>
            <w:tcMar>
              <w:top w:w="13" w:type="dxa"/>
              <w:left w:w="13" w:type="dxa"/>
              <w:bottom w:w="0" w:type="dxa"/>
              <w:right w:w="13" w:type="dxa"/>
            </w:tcMar>
            <w:vAlign w:val="center"/>
          </w:tcPr>
          <w:p w:rsidR="00565FD5" w:rsidRPr="001131FC" w:rsidRDefault="00565FD5" w:rsidP="00AB62A3">
            <w:pPr>
              <w:jc w:val="center"/>
              <w:rPr>
                <w:rFonts w:cs="Tahoma"/>
                <w:b/>
                <w:bCs/>
                <w:sz w:val="14"/>
                <w:szCs w:val="14"/>
              </w:rPr>
            </w:pPr>
            <w:r w:rsidRPr="001131FC">
              <w:rPr>
                <w:rFonts w:cs="Tahoma"/>
                <w:b/>
                <w:bCs/>
                <w:sz w:val="14"/>
                <w:szCs w:val="14"/>
              </w:rPr>
              <w:t>Yıllık</w:t>
            </w:r>
          </w:p>
        </w:tc>
        <w:tc>
          <w:tcPr>
            <w:tcW w:w="804" w:type="pct"/>
            <w:gridSpan w:val="2"/>
            <w:tcBorders>
              <w:top w:val="single" w:sz="8" w:space="0" w:color="auto"/>
              <w:left w:val="single" w:sz="6" w:space="0" w:color="auto"/>
              <w:bottom w:val="single" w:sz="8" w:space="0" w:color="auto"/>
              <w:right w:val="single" w:sz="8" w:space="0" w:color="auto"/>
            </w:tcBorders>
            <w:tcMar>
              <w:top w:w="13" w:type="dxa"/>
              <w:left w:w="13" w:type="dxa"/>
              <w:bottom w:w="0" w:type="dxa"/>
              <w:right w:w="13" w:type="dxa"/>
            </w:tcMar>
            <w:vAlign w:val="center"/>
          </w:tcPr>
          <w:p w:rsidR="00565FD5" w:rsidRPr="001131FC" w:rsidRDefault="00565FD5" w:rsidP="00AB62A3">
            <w:pPr>
              <w:jc w:val="center"/>
              <w:rPr>
                <w:rFonts w:cs="Tahoma"/>
                <w:b/>
                <w:bCs/>
                <w:sz w:val="14"/>
                <w:szCs w:val="14"/>
              </w:rPr>
            </w:pPr>
            <w:r w:rsidRPr="001131FC">
              <w:rPr>
                <w:rFonts w:cs="Tahoma"/>
                <w:b/>
                <w:bCs/>
                <w:sz w:val="14"/>
                <w:szCs w:val="14"/>
              </w:rPr>
              <w:t>Ocak-Ağustos</w:t>
            </w:r>
          </w:p>
        </w:tc>
        <w:tc>
          <w:tcPr>
            <w:tcW w:w="796" w:type="pct"/>
            <w:gridSpan w:val="2"/>
            <w:tcBorders>
              <w:top w:val="single" w:sz="8" w:space="0" w:color="auto"/>
              <w:left w:val="nil"/>
              <w:bottom w:val="single" w:sz="8" w:space="0" w:color="auto"/>
              <w:right w:val="nil"/>
            </w:tcBorders>
            <w:tcMar>
              <w:top w:w="13" w:type="dxa"/>
              <w:left w:w="13" w:type="dxa"/>
              <w:bottom w:w="0" w:type="dxa"/>
              <w:right w:w="13" w:type="dxa"/>
            </w:tcMar>
            <w:vAlign w:val="center"/>
          </w:tcPr>
          <w:p w:rsidR="00565FD5" w:rsidRPr="001131FC" w:rsidRDefault="00565FD5" w:rsidP="00AB62A3">
            <w:pPr>
              <w:jc w:val="center"/>
              <w:rPr>
                <w:rFonts w:cs="Tahoma"/>
                <w:b/>
                <w:bCs/>
                <w:sz w:val="14"/>
                <w:szCs w:val="14"/>
              </w:rPr>
            </w:pPr>
            <w:r w:rsidRPr="001131FC">
              <w:rPr>
                <w:rFonts w:cs="Tahoma"/>
                <w:b/>
                <w:bCs/>
                <w:sz w:val="14"/>
                <w:szCs w:val="14"/>
              </w:rPr>
              <w:t>Yıllık</w:t>
            </w:r>
          </w:p>
        </w:tc>
        <w:tc>
          <w:tcPr>
            <w:tcW w:w="37" w:type="pct"/>
            <w:tcBorders>
              <w:top w:val="single" w:sz="8" w:space="0" w:color="auto"/>
              <w:left w:val="nil"/>
              <w:bottom w:val="single" w:sz="8" w:space="0" w:color="auto"/>
              <w:right w:val="single" w:sz="6" w:space="0" w:color="auto"/>
            </w:tcBorders>
            <w:tcMar>
              <w:top w:w="13" w:type="dxa"/>
              <w:left w:w="13" w:type="dxa"/>
              <w:bottom w:w="0" w:type="dxa"/>
              <w:right w:w="13" w:type="dxa"/>
            </w:tcMar>
            <w:vAlign w:val="center"/>
          </w:tcPr>
          <w:p w:rsidR="00565FD5" w:rsidRPr="001131FC" w:rsidRDefault="00565FD5" w:rsidP="00AB62A3">
            <w:pPr>
              <w:jc w:val="center"/>
              <w:rPr>
                <w:rFonts w:cs="Tahoma"/>
                <w:b/>
                <w:bCs/>
                <w:sz w:val="14"/>
                <w:szCs w:val="14"/>
              </w:rPr>
            </w:pPr>
          </w:p>
          <w:p w:rsidR="00565FD5" w:rsidRPr="001131FC" w:rsidRDefault="00565FD5" w:rsidP="00AB62A3">
            <w:pPr>
              <w:jc w:val="center"/>
              <w:rPr>
                <w:rFonts w:cs="Tahoma"/>
                <w:b/>
                <w:bCs/>
                <w:sz w:val="14"/>
                <w:szCs w:val="14"/>
              </w:rPr>
            </w:pPr>
          </w:p>
        </w:tc>
        <w:tc>
          <w:tcPr>
            <w:tcW w:w="668" w:type="pct"/>
            <w:gridSpan w:val="2"/>
            <w:tcBorders>
              <w:top w:val="single" w:sz="8" w:space="0" w:color="auto"/>
              <w:left w:val="single" w:sz="6" w:space="0" w:color="auto"/>
              <w:bottom w:val="single" w:sz="8" w:space="0" w:color="auto"/>
              <w:right w:val="single" w:sz="8" w:space="0" w:color="auto"/>
            </w:tcBorders>
            <w:tcMar>
              <w:top w:w="13" w:type="dxa"/>
              <w:left w:w="13" w:type="dxa"/>
              <w:bottom w:w="0" w:type="dxa"/>
              <w:right w:w="13" w:type="dxa"/>
            </w:tcMar>
            <w:vAlign w:val="center"/>
          </w:tcPr>
          <w:p w:rsidR="00565FD5" w:rsidRPr="001131FC" w:rsidRDefault="00565FD5" w:rsidP="00AB62A3">
            <w:pPr>
              <w:jc w:val="center"/>
              <w:rPr>
                <w:rFonts w:cs="Tahoma"/>
                <w:b/>
                <w:bCs/>
                <w:sz w:val="14"/>
                <w:szCs w:val="14"/>
              </w:rPr>
            </w:pPr>
            <w:r w:rsidRPr="001131FC">
              <w:rPr>
                <w:rFonts w:cs="Tahoma"/>
                <w:b/>
                <w:bCs/>
                <w:sz w:val="14"/>
                <w:szCs w:val="14"/>
              </w:rPr>
              <w:t>Ocak-</w:t>
            </w:r>
          </w:p>
          <w:p w:rsidR="00565FD5" w:rsidRPr="001131FC" w:rsidRDefault="00565FD5" w:rsidP="00AB62A3">
            <w:pPr>
              <w:jc w:val="center"/>
              <w:rPr>
                <w:rFonts w:cs="Tahoma"/>
                <w:b/>
                <w:bCs/>
                <w:sz w:val="14"/>
                <w:szCs w:val="14"/>
              </w:rPr>
            </w:pPr>
            <w:r w:rsidRPr="001131FC">
              <w:rPr>
                <w:rFonts w:cs="Tahoma"/>
                <w:b/>
                <w:bCs/>
                <w:sz w:val="14"/>
                <w:szCs w:val="14"/>
              </w:rPr>
              <w:t>Ağustos</w:t>
            </w:r>
          </w:p>
        </w:tc>
        <w:tc>
          <w:tcPr>
            <w:tcW w:w="407" w:type="pct"/>
            <w:tcBorders>
              <w:top w:val="single" w:sz="8" w:space="0" w:color="auto"/>
              <w:left w:val="nil"/>
              <w:bottom w:val="single" w:sz="8" w:space="0" w:color="auto"/>
              <w:right w:val="single" w:sz="6" w:space="0" w:color="auto"/>
            </w:tcBorders>
            <w:tcMar>
              <w:top w:w="13" w:type="dxa"/>
              <w:left w:w="13" w:type="dxa"/>
              <w:bottom w:w="0" w:type="dxa"/>
              <w:right w:w="13" w:type="dxa"/>
            </w:tcMar>
            <w:vAlign w:val="center"/>
          </w:tcPr>
          <w:p w:rsidR="00565FD5" w:rsidRPr="001131FC" w:rsidRDefault="00565FD5" w:rsidP="00AB62A3">
            <w:pPr>
              <w:jc w:val="center"/>
              <w:rPr>
                <w:rFonts w:cs="Tahoma"/>
                <w:b/>
                <w:bCs/>
                <w:sz w:val="14"/>
                <w:szCs w:val="14"/>
              </w:rPr>
            </w:pPr>
            <w:r w:rsidRPr="001131FC">
              <w:rPr>
                <w:rFonts w:cs="Tahoma"/>
                <w:b/>
                <w:bCs/>
                <w:sz w:val="14"/>
                <w:szCs w:val="14"/>
              </w:rPr>
              <w:t>Yıllık</w:t>
            </w:r>
          </w:p>
        </w:tc>
        <w:tc>
          <w:tcPr>
            <w:tcW w:w="428" w:type="pct"/>
            <w:tcBorders>
              <w:top w:val="single" w:sz="8" w:space="0" w:color="auto"/>
              <w:left w:val="single" w:sz="6" w:space="0" w:color="auto"/>
              <w:bottom w:val="single" w:sz="8" w:space="0" w:color="auto"/>
              <w:right w:val="single" w:sz="4" w:space="0" w:color="auto"/>
            </w:tcBorders>
            <w:tcMar>
              <w:top w:w="13" w:type="dxa"/>
              <w:left w:w="13" w:type="dxa"/>
              <w:bottom w:w="0" w:type="dxa"/>
              <w:right w:w="13" w:type="dxa"/>
            </w:tcMar>
            <w:vAlign w:val="center"/>
          </w:tcPr>
          <w:p w:rsidR="00565FD5" w:rsidRPr="001131FC" w:rsidRDefault="00565FD5" w:rsidP="00AB62A3">
            <w:pPr>
              <w:jc w:val="center"/>
              <w:rPr>
                <w:rFonts w:cs="Tahoma"/>
                <w:b/>
                <w:bCs/>
                <w:sz w:val="14"/>
                <w:szCs w:val="14"/>
              </w:rPr>
            </w:pPr>
            <w:r w:rsidRPr="001131FC">
              <w:rPr>
                <w:rFonts w:cs="Tahoma"/>
                <w:b/>
                <w:bCs/>
                <w:sz w:val="14"/>
                <w:szCs w:val="14"/>
              </w:rPr>
              <w:t>Ocak-Ağustos</w:t>
            </w:r>
          </w:p>
        </w:tc>
      </w:tr>
      <w:tr w:rsidR="00565FD5" w:rsidRPr="001131FC" w:rsidTr="00AB62A3">
        <w:trPr>
          <w:trHeight w:val="198"/>
        </w:trPr>
        <w:tc>
          <w:tcPr>
            <w:tcW w:w="1128" w:type="pct"/>
            <w:tcBorders>
              <w:left w:val="single" w:sz="4" w:space="0" w:color="auto"/>
              <w:bottom w:val="single" w:sz="8" w:space="0" w:color="auto"/>
              <w:right w:val="single" w:sz="8" w:space="0" w:color="auto"/>
            </w:tcBorders>
            <w:tcMar>
              <w:top w:w="13" w:type="dxa"/>
              <w:left w:w="13" w:type="dxa"/>
              <w:bottom w:w="0" w:type="dxa"/>
              <w:right w:w="13" w:type="dxa"/>
            </w:tcMar>
            <w:vAlign w:val="center"/>
          </w:tcPr>
          <w:p w:rsidR="00565FD5" w:rsidRPr="001131FC" w:rsidRDefault="00565FD5" w:rsidP="00AB62A3">
            <w:pPr>
              <w:ind w:firstLine="90"/>
              <w:rPr>
                <w:rFonts w:cs="Tahoma"/>
                <w:b/>
                <w:bCs/>
                <w:color w:val="00B050"/>
                <w:sz w:val="14"/>
                <w:szCs w:val="14"/>
              </w:rPr>
            </w:pPr>
            <w:r w:rsidRPr="001131FC">
              <w:rPr>
                <w:rFonts w:cs="Tahoma"/>
                <w:b/>
                <w:bCs/>
                <w:color w:val="00B050"/>
                <w:sz w:val="14"/>
                <w:szCs w:val="14"/>
              </w:rPr>
              <w:t> </w:t>
            </w:r>
          </w:p>
        </w:tc>
        <w:tc>
          <w:tcPr>
            <w:tcW w:w="382" w:type="pct"/>
            <w:tcBorders>
              <w:top w:val="nil"/>
              <w:left w:val="nil"/>
              <w:bottom w:val="single" w:sz="8" w:space="0" w:color="auto"/>
              <w:right w:val="nil"/>
            </w:tcBorders>
            <w:tcMar>
              <w:top w:w="13" w:type="dxa"/>
              <w:left w:w="13" w:type="dxa"/>
              <w:bottom w:w="0" w:type="dxa"/>
              <w:right w:w="13"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2010</w:t>
            </w:r>
          </w:p>
        </w:tc>
        <w:tc>
          <w:tcPr>
            <w:tcW w:w="350" w:type="pct"/>
            <w:tcBorders>
              <w:top w:val="nil"/>
              <w:left w:val="nil"/>
              <w:bottom w:val="single" w:sz="8" w:space="0" w:color="auto"/>
              <w:right w:val="single" w:sz="6" w:space="0" w:color="auto"/>
            </w:tcBorders>
            <w:tcMar>
              <w:top w:w="13" w:type="dxa"/>
              <w:left w:w="13" w:type="dxa"/>
              <w:bottom w:w="0" w:type="dxa"/>
              <w:right w:w="13"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2011</w:t>
            </w:r>
          </w:p>
        </w:tc>
        <w:tc>
          <w:tcPr>
            <w:tcW w:w="419" w:type="pct"/>
            <w:tcBorders>
              <w:top w:val="nil"/>
              <w:left w:val="single" w:sz="6" w:space="0" w:color="auto"/>
              <w:bottom w:val="single" w:sz="8" w:space="0" w:color="auto"/>
              <w:right w:val="nil"/>
            </w:tcBorders>
            <w:tcMar>
              <w:top w:w="13" w:type="dxa"/>
              <w:left w:w="13" w:type="dxa"/>
              <w:bottom w:w="0" w:type="dxa"/>
              <w:right w:w="13"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2011</w:t>
            </w:r>
          </w:p>
        </w:tc>
        <w:tc>
          <w:tcPr>
            <w:tcW w:w="385" w:type="pct"/>
            <w:tcBorders>
              <w:top w:val="nil"/>
              <w:left w:val="nil"/>
              <w:bottom w:val="single" w:sz="8" w:space="0" w:color="auto"/>
              <w:right w:val="single" w:sz="8" w:space="0" w:color="auto"/>
            </w:tcBorders>
            <w:tcMar>
              <w:top w:w="13" w:type="dxa"/>
              <w:left w:w="13" w:type="dxa"/>
              <w:bottom w:w="0" w:type="dxa"/>
              <w:right w:w="13"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2012</w:t>
            </w:r>
          </w:p>
        </w:tc>
        <w:tc>
          <w:tcPr>
            <w:tcW w:w="442" w:type="pct"/>
            <w:tcBorders>
              <w:top w:val="nil"/>
              <w:left w:val="nil"/>
              <w:bottom w:val="single" w:sz="8" w:space="0" w:color="auto"/>
              <w:right w:val="nil"/>
            </w:tcBorders>
            <w:tcMar>
              <w:top w:w="13" w:type="dxa"/>
              <w:left w:w="13" w:type="dxa"/>
              <w:bottom w:w="0" w:type="dxa"/>
              <w:right w:w="13"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2010</w:t>
            </w:r>
          </w:p>
        </w:tc>
        <w:tc>
          <w:tcPr>
            <w:tcW w:w="354" w:type="pct"/>
            <w:tcBorders>
              <w:top w:val="nil"/>
              <w:left w:val="nil"/>
              <w:bottom w:val="single" w:sz="8" w:space="0" w:color="auto"/>
              <w:right w:val="nil"/>
            </w:tcBorders>
            <w:tcMar>
              <w:top w:w="13" w:type="dxa"/>
              <w:left w:w="13" w:type="dxa"/>
              <w:bottom w:w="0" w:type="dxa"/>
              <w:right w:w="13"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2011</w:t>
            </w:r>
          </w:p>
        </w:tc>
        <w:tc>
          <w:tcPr>
            <w:tcW w:w="37" w:type="pct"/>
            <w:tcBorders>
              <w:top w:val="nil"/>
              <w:left w:val="nil"/>
              <w:bottom w:val="single" w:sz="8" w:space="0" w:color="auto"/>
              <w:right w:val="single" w:sz="6" w:space="0" w:color="auto"/>
            </w:tcBorders>
            <w:tcMar>
              <w:top w:w="13" w:type="dxa"/>
              <w:left w:w="13" w:type="dxa"/>
              <w:bottom w:w="0" w:type="dxa"/>
              <w:right w:w="13" w:type="dxa"/>
            </w:tcMar>
            <w:vAlign w:val="center"/>
          </w:tcPr>
          <w:p w:rsidR="00565FD5" w:rsidRPr="001131FC" w:rsidRDefault="00565FD5" w:rsidP="00AB62A3">
            <w:pPr>
              <w:jc w:val="right"/>
              <w:rPr>
                <w:rFonts w:cs="Tahoma"/>
                <w:b/>
                <w:bCs/>
                <w:sz w:val="14"/>
                <w:szCs w:val="14"/>
              </w:rPr>
            </w:pPr>
          </w:p>
        </w:tc>
        <w:tc>
          <w:tcPr>
            <w:tcW w:w="314" w:type="pct"/>
            <w:tcBorders>
              <w:top w:val="nil"/>
              <w:left w:val="single" w:sz="6" w:space="0" w:color="auto"/>
              <w:bottom w:val="single" w:sz="8" w:space="0" w:color="auto"/>
              <w:right w:val="nil"/>
            </w:tcBorders>
            <w:tcMar>
              <w:top w:w="13" w:type="dxa"/>
              <w:left w:w="13" w:type="dxa"/>
              <w:bottom w:w="0" w:type="dxa"/>
              <w:right w:w="13"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2011</w:t>
            </w:r>
          </w:p>
        </w:tc>
        <w:tc>
          <w:tcPr>
            <w:tcW w:w="354" w:type="pct"/>
            <w:tcBorders>
              <w:top w:val="nil"/>
              <w:left w:val="nil"/>
              <w:bottom w:val="single" w:sz="8" w:space="0" w:color="auto"/>
              <w:right w:val="single" w:sz="8" w:space="0" w:color="auto"/>
            </w:tcBorders>
            <w:tcMar>
              <w:top w:w="13" w:type="dxa"/>
              <w:left w:w="13" w:type="dxa"/>
              <w:bottom w:w="0" w:type="dxa"/>
              <w:right w:w="13"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2012</w:t>
            </w:r>
          </w:p>
        </w:tc>
        <w:tc>
          <w:tcPr>
            <w:tcW w:w="407" w:type="pct"/>
            <w:tcBorders>
              <w:top w:val="nil"/>
              <w:left w:val="nil"/>
              <w:bottom w:val="single" w:sz="8" w:space="0" w:color="auto"/>
              <w:right w:val="single" w:sz="6" w:space="0" w:color="auto"/>
            </w:tcBorders>
            <w:tcMar>
              <w:top w:w="13" w:type="dxa"/>
              <w:left w:w="13" w:type="dxa"/>
              <w:bottom w:w="0" w:type="dxa"/>
              <w:right w:w="13" w:type="dxa"/>
            </w:tcMar>
            <w:vAlign w:val="center"/>
          </w:tcPr>
          <w:p w:rsidR="00565FD5" w:rsidRPr="001131FC" w:rsidRDefault="00565FD5" w:rsidP="00AB62A3">
            <w:pPr>
              <w:tabs>
                <w:tab w:val="left" w:pos="148"/>
              </w:tabs>
              <w:jc w:val="right"/>
              <w:rPr>
                <w:rFonts w:cs="Tahoma"/>
                <w:b/>
                <w:bCs/>
                <w:sz w:val="14"/>
                <w:szCs w:val="14"/>
              </w:rPr>
            </w:pPr>
            <w:r w:rsidRPr="001131FC">
              <w:rPr>
                <w:rFonts w:cs="Tahoma"/>
                <w:b/>
                <w:bCs/>
                <w:sz w:val="14"/>
                <w:szCs w:val="14"/>
              </w:rPr>
              <w:t>11/10</w:t>
            </w:r>
          </w:p>
        </w:tc>
        <w:tc>
          <w:tcPr>
            <w:tcW w:w="428" w:type="pct"/>
            <w:tcBorders>
              <w:top w:val="nil"/>
              <w:left w:val="single" w:sz="6" w:space="0" w:color="auto"/>
              <w:bottom w:val="single" w:sz="8" w:space="0" w:color="auto"/>
              <w:right w:val="single" w:sz="4" w:space="0" w:color="auto"/>
            </w:tcBorders>
            <w:tcMar>
              <w:top w:w="13" w:type="dxa"/>
              <w:left w:w="13" w:type="dxa"/>
              <w:bottom w:w="0" w:type="dxa"/>
              <w:right w:w="13"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12/11</w:t>
            </w:r>
          </w:p>
        </w:tc>
      </w:tr>
      <w:tr w:rsidR="00565FD5" w:rsidRPr="001131FC" w:rsidTr="00AB62A3">
        <w:trPr>
          <w:trHeight w:val="198"/>
        </w:trPr>
        <w:tc>
          <w:tcPr>
            <w:tcW w:w="1128" w:type="pct"/>
            <w:tcBorders>
              <w:top w:val="nil"/>
              <w:left w:val="single" w:sz="4" w:space="0" w:color="auto"/>
              <w:bottom w:val="nil"/>
              <w:right w:val="nil"/>
            </w:tcBorders>
            <w:tcMar>
              <w:top w:w="13" w:type="dxa"/>
              <w:left w:w="13" w:type="dxa"/>
              <w:bottom w:w="0" w:type="dxa"/>
              <w:right w:w="13" w:type="dxa"/>
            </w:tcMar>
            <w:vAlign w:val="center"/>
          </w:tcPr>
          <w:p w:rsidR="00565FD5" w:rsidRPr="001131FC" w:rsidRDefault="00565FD5" w:rsidP="00AB62A3">
            <w:pPr>
              <w:ind w:firstLine="90"/>
              <w:rPr>
                <w:rFonts w:cs="Tahoma"/>
                <w:b/>
                <w:bCs/>
                <w:sz w:val="14"/>
                <w:szCs w:val="14"/>
              </w:rPr>
            </w:pPr>
            <w:r w:rsidRPr="001131FC">
              <w:rPr>
                <w:rFonts w:cs="Tahoma"/>
                <w:b/>
                <w:bCs/>
                <w:sz w:val="14"/>
                <w:szCs w:val="14"/>
              </w:rPr>
              <w:lastRenderedPageBreak/>
              <w:t>TOPLAM İTHALAT</w:t>
            </w:r>
          </w:p>
        </w:tc>
        <w:tc>
          <w:tcPr>
            <w:tcW w:w="382" w:type="pct"/>
            <w:tcBorders>
              <w:top w:val="nil"/>
              <w:left w:val="single" w:sz="8" w:space="0" w:color="auto"/>
              <w:bottom w:val="nil"/>
              <w:right w:val="nil"/>
            </w:tcBorders>
            <w:tcMar>
              <w:top w:w="13" w:type="dxa"/>
              <w:left w:w="13" w:type="dxa"/>
              <w:bottom w:w="0" w:type="dxa"/>
              <w:right w:w="13"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185,5</w:t>
            </w:r>
          </w:p>
        </w:tc>
        <w:tc>
          <w:tcPr>
            <w:tcW w:w="350" w:type="pct"/>
            <w:tcBorders>
              <w:top w:val="nil"/>
              <w:left w:val="nil"/>
              <w:bottom w:val="nil"/>
              <w:right w:val="single" w:sz="6" w:space="0" w:color="auto"/>
            </w:tcBorders>
            <w:tcMar>
              <w:top w:w="13" w:type="dxa"/>
              <w:left w:w="13" w:type="dxa"/>
              <w:bottom w:w="0" w:type="dxa"/>
              <w:right w:w="57"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240,8</w:t>
            </w:r>
          </w:p>
        </w:tc>
        <w:tc>
          <w:tcPr>
            <w:tcW w:w="419" w:type="pct"/>
            <w:tcBorders>
              <w:top w:val="nil"/>
              <w:left w:val="single" w:sz="6" w:space="0" w:color="auto"/>
              <w:bottom w:val="nil"/>
              <w:right w:val="nil"/>
            </w:tcBorders>
            <w:tcMar>
              <w:top w:w="13" w:type="dxa"/>
              <w:left w:w="13" w:type="dxa"/>
              <w:bottom w:w="0" w:type="dxa"/>
              <w:right w:w="13"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160,5</w:t>
            </w:r>
          </w:p>
        </w:tc>
        <w:tc>
          <w:tcPr>
            <w:tcW w:w="385" w:type="pct"/>
            <w:tcBorders>
              <w:top w:val="nil"/>
              <w:left w:val="nil"/>
              <w:bottom w:val="nil"/>
              <w:right w:val="single" w:sz="8" w:space="0" w:color="auto"/>
            </w:tcBorders>
            <w:tcMar>
              <w:top w:w="13" w:type="dxa"/>
              <w:left w:w="13" w:type="dxa"/>
              <w:bottom w:w="0" w:type="dxa"/>
              <w:right w:w="57"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156,6</w:t>
            </w:r>
          </w:p>
        </w:tc>
        <w:tc>
          <w:tcPr>
            <w:tcW w:w="442" w:type="pct"/>
            <w:tcBorders>
              <w:top w:val="nil"/>
              <w:left w:val="nil"/>
              <w:bottom w:val="nil"/>
              <w:right w:val="nil"/>
            </w:tcBorders>
            <w:tcMar>
              <w:top w:w="13" w:type="dxa"/>
              <w:left w:w="13" w:type="dxa"/>
              <w:bottom w:w="0" w:type="dxa"/>
              <w:right w:w="13"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100</w:t>
            </w:r>
          </w:p>
        </w:tc>
        <w:tc>
          <w:tcPr>
            <w:tcW w:w="354" w:type="pct"/>
            <w:tcBorders>
              <w:top w:val="nil"/>
              <w:left w:val="nil"/>
              <w:bottom w:val="nil"/>
              <w:right w:val="nil"/>
            </w:tcBorders>
            <w:tcMar>
              <w:top w:w="13" w:type="dxa"/>
              <w:left w:w="13" w:type="dxa"/>
              <w:bottom w:w="0" w:type="dxa"/>
              <w:right w:w="13"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100</w:t>
            </w:r>
          </w:p>
        </w:tc>
        <w:tc>
          <w:tcPr>
            <w:tcW w:w="37" w:type="pct"/>
            <w:tcBorders>
              <w:top w:val="nil"/>
              <w:left w:val="nil"/>
              <w:bottom w:val="nil"/>
              <w:right w:val="single" w:sz="6" w:space="0" w:color="auto"/>
            </w:tcBorders>
            <w:tcMar>
              <w:top w:w="13" w:type="dxa"/>
              <w:left w:w="13" w:type="dxa"/>
              <w:bottom w:w="0" w:type="dxa"/>
              <w:right w:w="13" w:type="dxa"/>
            </w:tcMar>
            <w:vAlign w:val="center"/>
          </w:tcPr>
          <w:p w:rsidR="00565FD5" w:rsidRPr="001131FC" w:rsidRDefault="00565FD5" w:rsidP="00AB62A3">
            <w:pPr>
              <w:jc w:val="right"/>
              <w:rPr>
                <w:rFonts w:cs="Tahoma"/>
                <w:b/>
                <w:bCs/>
                <w:sz w:val="14"/>
                <w:szCs w:val="14"/>
              </w:rPr>
            </w:pPr>
          </w:p>
        </w:tc>
        <w:tc>
          <w:tcPr>
            <w:tcW w:w="314" w:type="pct"/>
            <w:tcBorders>
              <w:top w:val="nil"/>
              <w:left w:val="single" w:sz="6" w:space="0" w:color="auto"/>
              <w:bottom w:val="nil"/>
              <w:right w:val="nil"/>
            </w:tcBorders>
            <w:tcMar>
              <w:top w:w="13" w:type="dxa"/>
              <w:left w:w="13" w:type="dxa"/>
              <w:bottom w:w="0" w:type="dxa"/>
              <w:right w:w="13"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100</w:t>
            </w:r>
          </w:p>
        </w:tc>
        <w:tc>
          <w:tcPr>
            <w:tcW w:w="354" w:type="pct"/>
            <w:tcBorders>
              <w:top w:val="nil"/>
              <w:left w:val="nil"/>
              <w:bottom w:val="nil"/>
              <w:right w:val="single" w:sz="8" w:space="0" w:color="auto"/>
            </w:tcBorders>
            <w:tcMar>
              <w:top w:w="13" w:type="dxa"/>
              <w:left w:w="13" w:type="dxa"/>
              <w:bottom w:w="0" w:type="dxa"/>
              <w:right w:w="57"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100</w:t>
            </w:r>
          </w:p>
        </w:tc>
        <w:tc>
          <w:tcPr>
            <w:tcW w:w="407" w:type="pct"/>
            <w:tcBorders>
              <w:top w:val="nil"/>
              <w:left w:val="nil"/>
              <w:bottom w:val="nil"/>
              <w:right w:val="single" w:sz="6" w:space="0" w:color="auto"/>
            </w:tcBorders>
            <w:tcMar>
              <w:top w:w="13" w:type="dxa"/>
              <w:left w:w="13" w:type="dxa"/>
              <w:bottom w:w="0" w:type="dxa"/>
              <w:right w:w="13" w:type="dxa"/>
            </w:tcMar>
            <w:vAlign w:val="center"/>
          </w:tcPr>
          <w:p w:rsidR="00565FD5" w:rsidRPr="001131FC" w:rsidRDefault="00565FD5" w:rsidP="00AB62A3">
            <w:pPr>
              <w:tabs>
                <w:tab w:val="left" w:pos="148"/>
              </w:tabs>
              <w:jc w:val="right"/>
              <w:rPr>
                <w:rFonts w:cs="Tahoma"/>
                <w:b/>
                <w:bCs/>
                <w:sz w:val="14"/>
                <w:szCs w:val="14"/>
              </w:rPr>
            </w:pPr>
            <w:r w:rsidRPr="001131FC">
              <w:rPr>
                <w:rFonts w:cs="Tahoma"/>
                <w:b/>
                <w:bCs/>
                <w:sz w:val="14"/>
                <w:szCs w:val="14"/>
              </w:rPr>
              <w:t>29,8</w:t>
            </w:r>
          </w:p>
        </w:tc>
        <w:tc>
          <w:tcPr>
            <w:tcW w:w="428" w:type="pct"/>
            <w:tcBorders>
              <w:top w:val="nil"/>
              <w:left w:val="single" w:sz="6" w:space="0" w:color="auto"/>
              <w:bottom w:val="nil"/>
              <w:right w:val="single" w:sz="4" w:space="0" w:color="auto"/>
            </w:tcBorders>
            <w:tcMar>
              <w:top w:w="13" w:type="dxa"/>
              <w:left w:w="13" w:type="dxa"/>
              <w:bottom w:w="0" w:type="dxa"/>
              <w:right w:w="13"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-2,4</w:t>
            </w:r>
          </w:p>
        </w:tc>
      </w:tr>
      <w:tr w:rsidR="00565FD5" w:rsidRPr="001131FC" w:rsidTr="00AB62A3">
        <w:trPr>
          <w:trHeight w:val="198"/>
        </w:trPr>
        <w:tc>
          <w:tcPr>
            <w:tcW w:w="1128" w:type="pct"/>
            <w:tcBorders>
              <w:top w:val="nil"/>
              <w:left w:val="single" w:sz="4" w:space="0" w:color="auto"/>
              <w:bottom w:val="nil"/>
              <w:right w:val="nil"/>
            </w:tcBorders>
            <w:vAlign w:val="center"/>
          </w:tcPr>
          <w:p w:rsidR="00565FD5" w:rsidRPr="001131FC" w:rsidRDefault="00565FD5" w:rsidP="00AB62A3">
            <w:pPr>
              <w:ind w:firstLine="90"/>
              <w:rPr>
                <w:rFonts w:cs="Tahoma"/>
                <w:sz w:val="14"/>
                <w:szCs w:val="14"/>
              </w:rPr>
            </w:pPr>
            <w:r w:rsidRPr="001131FC">
              <w:rPr>
                <w:rFonts w:cs="Tahoma"/>
                <w:sz w:val="14"/>
                <w:szCs w:val="14"/>
              </w:rPr>
              <w:t>Sermaye Malları</w:t>
            </w:r>
          </w:p>
        </w:tc>
        <w:tc>
          <w:tcPr>
            <w:tcW w:w="382" w:type="pct"/>
            <w:tcBorders>
              <w:top w:val="nil"/>
              <w:left w:val="single" w:sz="8" w:space="0" w:color="auto"/>
              <w:bottom w:val="nil"/>
              <w:right w:val="nil"/>
            </w:tcBorders>
            <w:tcMar>
              <w:bottom w:w="0" w:type="dxa"/>
            </w:tcMar>
            <w:vAlign w:val="center"/>
          </w:tcPr>
          <w:p w:rsidR="00565FD5" w:rsidRPr="001131FC" w:rsidRDefault="00565FD5" w:rsidP="00AB62A3">
            <w:pPr>
              <w:jc w:val="right"/>
              <w:rPr>
                <w:rFonts w:cs="Tahoma"/>
                <w:bCs/>
                <w:sz w:val="14"/>
                <w:szCs w:val="14"/>
              </w:rPr>
            </w:pPr>
            <w:r w:rsidRPr="001131FC">
              <w:rPr>
                <w:rFonts w:cs="Tahoma"/>
                <w:bCs/>
                <w:sz w:val="14"/>
                <w:szCs w:val="14"/>
              </w:rPr>
              <w:t>28,8</w:t>
            </w:r>
          </w:p>
        </w:tc>
        <w:tc>
          <w:tcPr>
            <w:tcW w:w="350" w:type="pct"/>
            <w:tcBorders>
              <w:top w:val="nil"/>
              <w:left w:val="nil"/>
              <w:bottom w:val="nil"/>
              <w:right w:val="single" w:sz="6" w:space="0" w:color="auto"/>
            </w:tcBorders>
            <w:tcMar>
              <w:top w:w="10" w:type="dxa"/>
              <w:left w:w="13" w:type="dxa"/>
              <w:bottom w:w="0" w:type="dxa"/>
              <w:right w:w="57" w:type="dxa"/>
            </w:tcMar>
            <w:vAlign w:val="center"/>
          </w:tcPr>
          <w:p w:rsidR="00565FD5" w:rsidRPr="001131FC" w:rsidRDefault="00565FD5" w:rsidP="00AB62A3">
            <w:pPr>
              <w:jc w:val="right"/>
              <w:rPr>
                <w:rFonts w:cs="Tahoma"/>
                <w:bCs/>
                <w:sz w:val="14"/>
                <w:szCs w:val="14"/>
              </w:rPr>
            </w:pPr>
            <w:r w:rsidRPr="001131FC">
              <w:rPr>
                <w:rFonts w:cs="Tahoma"/>
                <w:bCs/>
                <w:sz w:val="14"/>
                <w:szCs w:val="14"/>
              </w:rPr>
              <w:t>37,3</w:t>
            </w:r>
          </w:p>
        </w:tc>
        <w:tc>
          <w:tcPr>
            <w:tcW w:w="419" w:type="pct"/>
            <w:tcBorders>
              <w:top w:val="nil"/>
              <w:left w:val="single" w:sz="6" w:space="0" w:color="auto"/>
              <w:bottom w:val="nil"/>
              <w:right w:val="nil"/>
            </w:tcBorders>
            <w:tcMar>
              <w:top w:w="13"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24,9</w:t>
            </w:r>
          </w:p>
        </w:tc>
        <w:tc>
          <w:tcPr>
            <w:tcW w:w="385" w:type="pct"/>
            <w:tcBorders>
              <w:top w:val="nil"/>
              <w:left w:val="nil"/>
              <w:bottom w:val="nil"/>
              <w:right w:val="single" w:sz="8" w:space="0" w:color="auto"/>
            </w:tcBorders>
            <w:tcMar>
              <w:top w:w="13" w:type="dxa"/>
              <w:left w:w="13" w:type="dxa"/>
              <w:bottom w:w="0" w:type="dxa"/>
              <w:right w:w="57" w:type="dxa"/>
            </w:tcMar>
            <w:vAlign w:val="center"/>
          </w:tcPr>
          <w:p w:rsidR="00565FD5" w:rsidRPr="001131FC" w:rsidRDefault="00565FD5" w:rsidP="00AB62A3">
            <w:pPr>
              <w:jc w:val="right"/>
              <w:rPr>
                <w:rFonts w:cs="Tahoma"/>
                <w:bCs/>
                <w:sz w:val="14"/>
                <w:szCs w:val="14"/>
              </w:rPr>
            </w:pPr>
            <w:r w:rsidRPr="001131FC">
              <w:rPr>
                <w:rFonts w:cs="Tahoma"/>
                <w:bCs/>
                <w:sz w:val="14"/>
                <w:szCs w:val="14"/>
              </w:rPr>
              <w:t>22,2</w:t>
            </w:r>
          </w:p>
        </w:tc>
        <w:tc>
          <w:tcPr>
            <w:tcW w:w="442" w:type="pct"/>
            <w:tcBorders>
              <w:top w:val="nil"/>
              <w:left w:val="nil"/>
              <w:bottom w:val="nil"/>
              <w:right w:val="nil"/>
            </w:tcBorders>
            <w:tcMar>
              <w:top w:w="13"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15,5</w:t>
            </w:r>
          </w:p>
        </w:tc>
        <w:tc>
          <w:tcPr>
            <w:tcW w:w="354" w:type="pct"/>
            <w:tcBorders>
              <w:top w:val="nil"/>
              <w:left w:val="nil"/>
              <w:bottom w:val="nil"/>
              <w:right w:val="nil"/>
            </w:tcBorders>
            <w:tcMar>
              <w:top w:w="10"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15,5</w:t>
            </w:r>
          </w:p>
        </w:tc>
        <w:tc>
          <w:tcPr>
            <w:tcW w:w="37" w:type="pct"/>
            <w:tcBorders>
              <w:top w:val="nil"/>
              <w:left w:val="nil"/>
              <w:bottom w:val="nil"/>
              <w:right w:val="single" w:sz="6" w:space="0" w:color="auto"/>
            </w:tcBorders>
            <w:vAlign w:val="center"/>
          </w:tcPr>
          <w:p w:rsidR="00565FD5" w:rsidRPr="001131FC" w:rsidRDefault="00565FD5" w:rsidP="00AB62A3">
            <w:pPr>
              <w:jc w:val="right"/>
              <w:rPr>
                <w:rFonts w:cs="Tahoma"/>
                <w:bCs/>
                <w:sz w:val="14"/>
                <w:szCs w:val="14"/>
              </w:rPr>
            </w:pPr>
          </w:p>
        </w:tc>
        <w:tc>
          <w:tcPr>
            <w:tcW w:w="314" w:type="pct"/>
            <w:tcBorders>
              <w:top w:val="nil"/>
              <w:left w:val="single" w:sz="6" w:space="0" w:color="auto"/>
              <w:bottom w:val="nil"/>
              <w:right w:val="nil"/>
            </w:tcBorders>
            <w:vAlign w:val="center"/>
          </w:tcPr>
          <w:p w:rsidR="00565FD5" w:rsidRPr="001131FC" w:rsidRDefault="00565FD5" w:rsidP="00AB62A3">
            <w:pPr>
              <w:jc w:val="right"/>
              <w:rPr>
                <w:rFonts w:cs="Tahoma"/>
                <w:bCs/>
                <w:sz w:val="14"/>
                <w:szCs w:val="14"/>
              </w:rPr>
            </w:pPr>
            <w:r w:rsidRPr="001131FC">
              <w:rPr>
                <w:rFonts w:cs="Tahoma"/>
                <w:bCs/>
                <w:sz w:val="14"/>
                <w:szCs w:val="14"/>
              </w:rPr>
              <w:t>15,5</w:t>
            </w:r>
          </w:p>
        </w:tc>
        <w:tc>
          <w:tcPr>
            <w:tcW w:w="354" w:type="pct"/>
            <w:tcBorders>
              <w:top w:val="nil"/>
              <w:left w:val="nil"/>
              <w:bottom w:val="nil"/>
              <w:right w:val="single" w:sz="8" w:space="0" w:color="auto"/>
            </w:tcBorders>
            <w:tcMar>
              <w:top w:w="13" w:type="dxa"/>
              <w:left w:w="13" w:type="dxa"/>
              <w:bottom w:w="0" w:type="dxa"/>
              <w:right w:w="57" w:type="dxa"/>
            </w:tcMar>
            <w:vAlign w:val="center"/>
          </w:tcPr>
          <w:p w:rsidR="00565FD5" w:rsidRPr="001131FC" w:rsidRDefault="00565FD5" w:rsidP="00AB62A3">
            <w:pPr>
              <w:jc w:val="right"/>
              <w:rPr>
                <w:rFonts w:cs="Tahoma"/>
                <w:bCs/>
                <w:sz w:val="14"/>
                <w:szCs w:val="14"/>
              </w:rPr>
            </w:pPr>
            <w:r w:rsidRPr="001131FC">
              <w:rPr>
                <w:rFonts w:cs="Tahoma"/>
                <w:bCs/>
                <w:sz w:val="14"/>
                <w:szCs w:val="14"/>
              </w:rPr>
              <w:t>14,1</w:t>
            </w:r>
          </w:p>
        </w:tc>
        <w:tc>
          <w:tcPr>
            <w:tcW w:w="407" w:type="pct"/>
            <w:tcBorders>
              <w:top w:val="nil"/>
              <w:left w:val="nil"/>
              <w:bottom w:val="nil"/>
              <w:right w:val="single" w:sz="6" w:space="0" w:color="auto"/>
            </w:tcBorders>
            <w:tcMar>
              <w:top w:w="10" w:type="dxa"/>
              <w:left w:w="13" w:type="dxa"/>
              <w:bottom w:w="0" w:type="dxa"/>
              <w:right w:w="13" w:type="dxa"/>
            </w:tcMar>
            <w:vAlign w:val="center"/>
          </w:tcPr>
          <w:p w:rsidR="00565FD5" w:rsidRPr="001131FC" w:rsidRDefault="00565FD5" w:rsidP="00AB62A3">
            <w:pPr>
              <w:tabs>
                <w:tab w:val="left" w:pos="148"/>
              </w:tabs>
              <w:jc w:val="right"/>
              <w:rPr>
                <w:rFonts w:cs="Tahoma"/>
                <w:bCs/>
                <w:sz w:val="14"/>
                <w:szCs w:val="14"/>
              </w:rPr>
            </w:pPr>
            <w:r w:rsidRPr="001131FC">
              <w:rPr>
                <w:rFonts w:cs="Tahoma"/>
                <w:bCs/>
                <w:sz w:val="14"/>
                <w:szCs w:val="14"/>
              </w:rPr>
              <w:t>29,3</w:t>
            </w:r>
          </w:p>
        </w:tc>
        <w:tc>
          <w:tcPr>
            <w:tcW w:w="428" w:type="pct"/>
            <w:tcBorders>
              <w:top w:val="nil"/>
              <w:left w:val="single" w:sz="6" w:space="0" w:color="auto"/>
              <w:bottom w:val="nil"/>
              <w:right w:val="single" w:sz="4" w:space="0" w:color="auto"/>
            </w:tcBorders>
            <w:tcMar>
              <w:top w:w="13"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-11,0</w:t>
            </w:r>
          </w:p>
        </w:tc>
      </w:tr>
      <w:tr w:rsidR="00565FD5" w:rsidRPr="001131FC" w:rsidTr="00AB62A3">
        <w:trPr>
          <w:trHeight w:val="198"/>
        </w:trPr>
        <w:tc>
          <w:tcPr>
            <w:tcW w:w="1128" w:type="pct"/>
            <w:tcBorders>
              <w:top w:val="nil"/>
              <w:left w:val="single" w:sz="4" w:space="0" w:color="auto"/>
              <w:bottom w:val="nil"/>
              <w:right w:val="nil"/>
            </w:tcBorders>
            <w:vAlign w:val="center"/>
          </w:tcPr>
          <w:p w:rsidR="00565FD5" w:rsidRPr="001131FC" w:rsidRDefault="00565FD5" w:rsidP="00AB62A3">
            <w:pPr>
              <w:ind w:firstLine="90"/>
              <w:rPr>
                <w:rFonts w:cs="Tahoma"/>
                <w:sz w:val="14"/>
                <w:szCs w:val="14"/>
              </w:rPr>
            </w:pPr>
            <w:r w:rsidRPr="001131FC">
              <w:rPr>
                <w:rFonts w:cs="Tahoma"/>
                <w:sz w:val="14"/>
                <w:szCs w:val="14"/>
              </w:rPr>
              <w:t>Ara Malları</w:t>
            </w:r>
          </w:p>
        </w:tc>
        <w:tc>
          <w:tcPr>
            <w:tcW w:w="382" w:type="pct"/>
            <w:tcBorders>
              <w:top w:val="nil"/>
              <w:left w:val="single" w:sz="8" w:space="0" w:color="auto"/>
              <w:bottom w:val="nil"/>
              <w:right w:val="nil"/>
            </w:tcBorders>
            <w:tcMar>
              <w:bottom w:w="0" w:type="dxa"/>
            </w:tcMar>
            <w:vAlign w:val="center"/>
          </w:tcPr>
          <w:p w:rsidR="00565FD5" w:rsidRPr="001131FC" w:rsidRDefault="00565FD5" w:rsidP="00AB62A3">
            <w:pPr>
              <w:jc w:val="right"/>
              <w:rPr>
                <w:rFonts w:cs="Tahoma"/>
                <w:bCs/>
                <w:sz w:val="14"/>
                <w:szCs w:val="14"/>
              </w:rPr>
            </w:pPr>
            <w:r w:rsidRPr="001131FC">
              <w:rPr>
                <w:rFonts w:cs="Tahoma"/>
                <w:bCs/>
                <w:sz w:val="14"/>
                <w:szCs w:val="14"/>
              </w:rPr>
              <w:t>131,4</w:t>
            </w:r>
          </w:p>
        </w:tc>
        <w:tc>
          <w:tcPr>
            <w:tcW w:w="350" w:type="pct"/>
            <w:tcBorders>
              <w:top w:val="nil"/>
              <w:left w:val="nil"/>
              <w:bottom w:val="nil"/>
              <w:right w:val="single" w:sz="6" w:space="0" w:color="auto"/>
            </w:tcBorders>
            <w:tcMar>
              <w:top w:w="10" w:type="dxa"/>
              <w:left w:w="13" w:type="dxa"/>
              <w:bottom w:w="0" w:type="dxa"/>
              <w:right w:w="57" w:type="dxa"/>
            </w:tcMar>
            <w:vAlign w:val="center"/>
          </w:tcPr>
          <w:p w:rsidR="00565FD5" w:rsidRPr="001131FC" w:rsidRDefault="00565FD5" w:rsidP="00AB62A3">
            <w:pPr>
              <w:jc w:val="right"/>
              <w:rPr>
                <w:rFonts w:cs="Tahoma"/>
                <w:bCs/>
                <w:sz w:val="14"/>
                <w:szCs w:val="14"/>
              </w:rPr>
            </w:pPr>
            <w:r w:rsidRPr="001131FC">
              <w:rPr>
                <w:rFonts w:cs="Tahoma"/>
                <w:bCs/>
                <w:sz w:val="14"/>
                <w:szCs w:val="14"/>
              </w:rPr>
              <w:t>173,1</w:t>
            </w:r>
          </w:p>
        </w:tc>
        <w:tc>
          <w:tcPr>
            <w:tcW w:w="419" w:type="pct"/>
            <w:tcBorders>
              <w:top w:val="nil"/>
              <w:left w:val="single" w:sz="6" w:space="0" w:color="auto"/>
              <w:bottom w:val="nil"/>
              <w:right w:val="nil"/>
            </w:tcBorders>
            <w:tcMar>
              <w:top w:w="13"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115,0</w:t>
            </w:r>
          </w:p>
        </w:tc>
        <w:tc>
          <w:tcPr>
            <w:tcW w:w="385" w:type="pct"/>
            <w:tcBorders>
              <w:top w:val="nil"/>
              <w:left w:val="nil"/>
              <w:bottom w:val="nil"/>
              <w:right w:val="single" w:sz="8" w:space="0" w:color="auto"/>
            </w:tcBorders>
            <w:tcMar>
              <w:top w:w="13" w:type="dxa"/>
              <w:left w:w="13" w:type="dxa"/>
              <w:bottom w:w="0" w:type="dxa"/>
              <w:right w:w="57" w:type="dxa"/>
            </w:tcMar>
            <w:vAlign w:val="center"/>
          </w:tcPr>
          <w:p w:rsidR="00565FD5" w:rsidRPr="001131FC" w:rsidRDefault="00565FD5" w:rsidP="00AB62A3">
            <w:pPr>
              <w:jc w:val="right"/>
              <w:rPr>
                <w:rFonts w:cs="Tahoma"/>
                <w:bCs/>
                <w:sz w:val="14"/>
                <w:szCs w:val="14"/>
              </w:rPr>
            </w:pPr>
            <w:r w:rsidRPr="001131FC">
              <w:rPr>
                <w:rFonts w:cs="Tahoma"/>
                <w:bCs/>
                <w:sz w:val="14"/>
                <w:szCs w:val="14"/>
              </w:rPr>
              <w:t>116,9</w:t>
            </w:r>
          </w:p>
        </w:tc>
        <w:tc>
          <w:tcPr>
            <w:tcW w:w="442" w:type="pct"/>
            <w:tcBorders>
              <w:top w:val="nil"/>
              <w:left w:val="nil"/>
              <w:bottom w:val="nil"/>
              <w:right w:val="nil"/>
            </w:tcBorders>
            <w:tcMar>
              <w:top w:w="13" w:type="dxa"/>
              <w:left w:w="13" w:type="dxa"/>
              <w:bottom w:w="0" w:type="dxa"/>
              <w:right w:w="13" w:type="dxa"/>
            </w:tcMar>
            <w:vAlign w:val="center"/>
          </w:tcPr>
          <w:p w:rsidR="00565FD5" w:rsidRPr="001131FC" w:rsidRDefault="00565FD5" w:rsidP="00AB62A3">
            <w:pPr>
              <w:jc w:val="right"/>
              <w:rPr>
                <w:rFonts w:cs="Tahoma"/>
                <w:sz w:val="14"/>
                <w:szCs w:val="14"/>
              </w:rPr>
            </w:pPr>
            <w:r w:rsidRPr="001131FC">
              <w:rPr>
                <w:rFonts w:cs="Tahoma"/>
                <w:sz w:val="14"/>
                <w:szCs w:val="14"/>
              </w:rPr>
              <w:t>70,8</w:t>
            </w:r>
          </w:p>
        </w:tc>
        <w:tc>
          <w:tcPr>
            <w:tcW w:w="354" w:type="pct"/>
            <w:tcBorders>
              <w:top w:val="nil"/>
              <w:left w:val="nil"/>
              <w:bottom w:val="nil"/>
              <w:right w:val="nil"/>
            </w:tcBorders>
            <w:tcMar>
              <w:top w:w="10"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71,9</w:t>
            </w:r>
          </w:p>
        </w:tc>
        <w:tc>
          <w:tcPr>
            <w:tcW w:w="37" w:type="pct"/>
            <w:tcBorders>
              <w:top w:val="nil"/>
              <w:left w:val="nil"/>
              <w:bottom w:val="nil"/>
              <w:right w:val="single" w:sz="6" w:space="0" w:color="auto"/>
            </w:tcBorders>
            <w:vAlign w:val="center"/>
          </w:tcPr>
          <w:p w:rsidR="00565FD5" w:rsidRPr="001131FC" w:rsidRDefault="00565FD5" w:rsidP="00AB62A3">
            <w:pPr>
              <w:jc w:val="right"/>
              <w:rPr>
                <w:rFonts w:cs="Tahoma"/>
                <w:sz w:val="14"/>
                <w:szCs w:val="14"/>
              </w:rPr>
            </w:pPr>
          </w:p>
        </w:tc>
        <w:tc>
          <w:tcPr>
            <w:tcW w:w="314" w:type="pct"/>
            <w:tcBorders>
              <w:top w:val="nil"/>
              <w:left w:val="single" w:sz="6" w:space="0" w:color="auto"/>
              <w:bottom w:val="nil"/>
              <w:right w:val="nil"/>
            </w:tcBorders>
            <w:vAlign w:val="center"/>
          </w:tcPr>
          <w:p w:rsidR="00565FD5" w:rsidRPr="001131FC" w:rsidRDefault="00565FD5" w:rsidP="00AB62A3">
            <w:pPr>
              <w:jc w:val="right"/>
              <w:rPr>
                <w:rFonts w:cs="Tahoma"/>
                <w:bCs/>
                <w:sz w:val="14"/>
                <w:szCs w:val="14"/>
              </w:rPr>
            </w:pPr>
            <w:r w:rsidRPr="001131FC">
              <w:rPr>
                <w:rFonts w:cs="Tahoma"/>
                <w:bCs/>
                <w:sz w:val="14"/>
                <w:szCs w:val="14"/>
              </w:rPr>
              <w:t>71,6</w:t>
            </w:r>
          </w:p>
        </w:tc>
        <w:tc>
          <w:tcPr>
            <w:tcW w:w="354" w:type="pct"/>
            <w:tcBorders>
              <w:top w:val="nil"/>
              <w:left w:val="nil"/>
              <w:bottom w:val="nil"/>
              <w:right w:val="single" w:sz="8" w:space="0" w:color="auto"/>
            </w:tcBorders>
            <w:tcMar>
              <w:top w:w="13" w:type="dxa"/>
              <w:left w:w="13" w:type="dxa"/>
              <w:bottom w:w="0" w:type="dxa"/>
              <w:right w:w="57" w:type="dxa"/>
            </w:tcMar>
            <w:vAlign w:val="center"/>
          </w:tcPr>
          <w:p w:rsidR="00565FD5" w:rsidRPr="001131FC" w:rsidRDefault="00565FD5" w:rsidP="00AB62A3">
            <w:pPr>
              <w:jc w:val="right"/>
              <w:rPr>
                <w:rFonts w:cs="Tahoma"/>
                <w:bCs/>
                <w:sz w:val="14"/>
                <w:szCs w:val="14"/>
              </w:rPr>
            </w:pPr>
            <w:r w:rsidRPr="001131FC">
              <w:rPr>
                <w:rFonts w:cs="Tahoma"/>
                <w:bCs/>
                <w:sz w:val="14"/>
                <w:szCs w:val="14"/>
              </w:rPr>
              <w:t>74,6</w:t>
            </w:r>
          </w:p>
        </w:tc>
        <w:tc>
          <w:tcPr>
            <w:tcW w:w="407" w:type="pct"/>
            <w:tcBorders>
              <w:top w:val="nil"/>
              <w:left w:val="nil"/>
              <w:bottom w:val="nil"/>
              <w:right w:val="single" w:sz="6" w:space="0" w:color="auto"/>
            </w:tcBorders>
            <w:tcMar>
              <w:top w:w="10" w:type="dxa"/>
              <w:left w:w="13" w:type="dxa"/>
              <w:bottom w:w="0" w:type="dxa"/>
              <w:right w:w="13" w:type="dxa"/>
            </w:tcMar>
            <w:vAlign w:val="center"/>
          </w:tcPr>
          <w:p w:rsidR="00565FD5" w:rsidRPr="001131FC" w:rsidRDefault="00565FD5" w:rsidP="00AB62A3">
            <w:pPr>
              <w:tabs>
                <w:tab w:val="left" w:pos="148"/>
              </w:tabs>
              <w:jc w:val="right"/>
              <w:rPr>
                <w:rFonts w:cs="Tahoma"/>
                <w:bCs/>
                <w:sz w:val="14"/>
                <w:szCs w:val="14"/>
              </w:rPr>
            </w:pPr>
            <w:r w:rsidRPr="001131FC">
              <w:rPr>
                <w:rFonts w:cs="Tahoma"/>
                <w:bCs/>
                <w:sz w:val="14"/>
                <w:szCs w:val="14"/>
              </w:rPr>
              <w:t>31,7</w:t>
            </w:r>
          </w:p>
        </w:tc>
        <w:tc>
          <w:tcPr>
            <w:tcW w:w="428" w:type="pct"/>
            <w:tcBorders>
              <w:top w:val="nil"/>
              <w:left w:val="single" w:sz="6" w:space="0" w:color="auto"/>
              <w:bottom w:val="nil"/>
              <w:right w:val="single" w:sz="4" w:space="0" w:color="auto"/>
            </w:tcBorders>
            <w:tcMar>
              <w:top w:w="13"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1,7</w:t>
            </w:r>
          </w:p>
        </w:tc>
      </w:tr>
      <w:tr w:rsidR="00565FD5" w:rsidRPr="001131FC" w:rsidTr="00AB62A3">
        <w:trPr>
          <w:trHeight w:val="198"/>
        </w:trPr>
        <w:tc>
          <w:tcPr>
            <w:tcW w:w="1128" w:type="pct"/>
            <w:tcBorders>
              <w:top w:val="nil"/>
              <w:left w:val="single" w:sz="4" w:space="0" w:color="auto"/>
              <w:bottom w:val="nil"/>
              <w:right w:val="nil"/>
            </w:tcBorders>
            <w:vAlign w:val="center"/>
          </w:tcPr>
          <w:p w:rsidR="00565FD5" w:rsidRPr="001131FC" w:rsidRDefault="00565FD5" w:rsidP="00AB62A3">
            <w:pPr>
              <w:ind w:firstLine="90"/>
              <w:rPr>
                <w:rFonts w:cs="Tahoma"/>
                <w:sz w:val="14"/>
                <w:szCs w:val="14"/>
              </w:rPr>
            </w:pPr>
            <w:r w:rsidRPr="001131FC">
              <w:rPr>
                <w:rFonts w:cs="Tahoma"/>
                <w:sz w:val="14"/>
                <w:szCs w:val="14"/>
              </w:rPr>
              <w:t>Tüketim Malları</w:t>
            </w:r>
          </w:p>
        </w:tc>
        <w:tc>
          <w:tcPr>
            <w:tcW w:w="382" w:type="pct"/>
            <w:tcBorders>
              <w:top w:val="nil"/>
              <w:left w:val="single" w:sz="8" w:space="0" w:color="auto"/>
              <w:bottom w:val="nil"/>
              <w:right w:val="nil"/>
            </w:tcBorders>
            <w:tcMar>
              <w:bottom w:w="0" w:type="dxa"/>
            </w:tcMar>
            <w:vAlign w:val="center"/>
          </w:tcPr>
          <w:p w:rsidR="00565FD5" w:rsidRPr="001131FC" w:rsidRDefault="00565FD5" w:rsidP="00AB62A3">
            <w:pPr>
              <w:jc w:val="right"/>
              <w:rPr>
                <w:rFonts w:cs="Tahoma"/>
                <w:bCs/>
                <w:sz w:val="14"/>
                <w:szCs w:val="14"/>
              </w:rPr>
            </w:pPr>
            <w:r w:rsidRPr="001131FC">
              <w:rPr>
                <w:rFonts w:cs="Tahoma"/>
                <w:bCs/>
                <w:sz w:val="14"/>
                <w:szCs w:val="14"/>
              </w:rPr>
              <w:t>24,7</w:t>
            </w:r>
          </w:p>
        </w:tc>
        <w:tc>
          <w:tcPr>
            <w:tcW w:w="350" w:type="pct"/>
            <w:tcBorders>
              <w:top w:val="nil"/>
              <w:left w:val="nil"/>
              <w:bottom w:val="nil"/>
              <w:right w:val="single" w:sz="6" w:space="0" w:color="auto"/>
            </w:tcBorders>
            <w:tcMar>
              <w:top w:w="10" w:type="dxa"/>
              <w:left w:w="13" w:type="dxa"/>
              <w:bottom w:w="0" w:type="dxa"/>
              <w:right w:w="57" w:type="dxa"/>
            </w:tcMar>
            <w:vAlign w:val="center"/>
          </w:tcPr>
          <w:p w:rsidR="00565FD5" w:rsidRPr="001131FC" w:rsidRDefault="00565FD5" w:rsidP="00AB62A3">
            <w:pPr>
              <w:jc w:val="right"/>
              <w:rPr>
                <w:rFonts w:cs="Tahoma"/>
                <w:bCs/>
                <w:sz w:val="14"/>
                <w:szCs w:val="14"/>
              </w:rPr>
            </w:pPr>
            <w:r w:rsidRPr="001131FC">
              <w:rPr>
                <w:rFonts w:cs="Tahoma"/>
                <w:bCs/>
                <w:sz w:val="14"/>
                <w:szCs w:val="14"/>
              </w:rPr>
              <w:t>29,7</w:t>
            </w:r>
          </w:p>
        </w:tc>
        <w:tc>
          <w:tcPr>
            <w:tcW w:w="419" w:type="pct"/>
            <w:tcBorders>
              <w:top w:val="nil"/>
              <w:left w:val="single" w:sz="6" w:space="0" w:color="auto"/>
              <w:bottom w:val="nil"/>
              <w:right w:val="nil"/>
            </w:tcBorders>
            <w:tcMar>
              <w:top w:w="13"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20,1</w:t>
            </w:r>
          </w:p>
        </w:tc>
        <w:tc>
          <w:tcPr>
            <w:tcW w:w="385" w:type="pct"/>
            <w:tcBorders>
              <w:top w:val="nil"/>
              <w:left w:val="nil"/>
              <w:bottom w:val="nil"/>
              <w:right w:val="single" w:sz="8" w:space="0" w:color="auto"/>
            </w:tcBorders>
            <w:tcMar>
              <w:top w:w="13" w:type="dxa"/>
              <w:left w:w="13" w:type="dxa"/>
              <w:bottom w:w="0" w:type="dxa"/>
              <w:right w:w="57" w:type="dxa"/>
            </w:tcMar>
            <w:vAlign w:val="center"/>
          </w:tcPr>
          <w:p w:rsidR="00565FD5" w:rsidRPr="001131FC" w:rsidRDefault="00565FD5" w:rsidP="00AB62A3">
            <w:pPr>
              <w:jc w:val="right"/>
              <w:rPr>
                <w:rFonts w:cs="Tahoma"/>
                <w:bCs/>
                <w:sz w:val="14"/>
                <w:szCs w:val="14"/>
              </w:rPr>
            </w:pPr>
            <w:r w:rsidRPr="001131FC">
              <w:rPr>
                <w:rFonts w:cs="Tahoma"/>
                <w:bCs/>
                <w:sz w:val="14"/>
                <w:szCs w:val="14"/>
              </w:rPr>
              <w:t>17,2</w:t>
            </w:r>
          </w:p>
        </w:tc>
        <w:tc>
          <w:tcPr>
            <w:tcW w:w="442" w:type="pct"/>
            <w:tcBorders>
              <w:top w:val="nil"/>
              <w:left w:val="nil"/>
              <w:bottom w:val="nil"/>
              <w:right w:val="nil"/>
            </w:tcBorders>
            <w:tcMar>
              <w:top w:w="13" w:type="dxa"/>
              <w:left w:w="13" w:type="dxa"/>
              <w:bottom w:w="0" w:type="dxa"/>
              <w:right w:w="13" w:type="dxa"/>
            </w:tcMar>
            <w:vAlign w:val="center"/>
          </w:tcPr>
          <w:p w:rsidR="00565FD5" w:rsidRPr="001131FC" w:rsidRDefault="00565FD5" w:rsidP="00AB62A3">
            <w:pPr>
              <w:jc w:val="right"/>
              <w:rPr>
                <w:rFonts w:cs="Tahoma"/>
                <w:sz w:val="14"/>
                <w:szCs w:val="14"/>
              </w:rPr>
            </w:pPr>
            <w:r w:rsidRPr="001131FC">
              <w:rPr>
                <w:rFonts w:cs="Tahoma"/>
                <w:sz w:val="14"/>
                <w:szCs w:val="14"/>
              </w:rPr>
              <w:t>13,3</w:t>
            </w:r>
          </w:p>
        </w:tc>
        <w:tc>
          <w:tcPr>
            <w:tcW w:w="354" w:type="pct"/>
            <w:tcBorders>
              <w:top w:val="nil"/>
              <w:left w:val="nil"/>
              <w:bottom w:val="nil"/>
              <w:right w:val="nil"/>
            </w:tcBorders>
            <w:tcMar>
              <w:top w:w="10"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12,3</w:t>
            </w:r>
          </w:p>
        </w:tc>
        <w:tc>
          <w:tcPr>
            <w:tcW w:w="37" w:type="pct"/>
            <w:tcBorders>
              <w:top w:val="nil"/>
              <w:left w:val="nil"/>
              <w:bottom w:val="nil"/>
              <w:right w:val="single" w:sz="6" w:space="0" w:color="auto"/>
            </w:tcBorders>
            <w:vAlign w:val="center"/>
          </w:tcPr>
          <w:p w:rsidR="00565FD5" w:rsidRPr="001131FC" w:rsidRDefault="00565FD5" w:rsidP="00AB62A3">
            <w:pPr>
              <w:jc w:val="right"/>
              <w:rPr>
                <w:rFonts w:cs="Tahoma"/>
                <w:sz w:val="14"/>
                <w:szCs w:val="14"/>
              </w:rPr>
            </w:pPr>
          </w:p>
        </w:tc>
        <w:tc>
          <w:tcPr>
            <w:tcW w:w="314" w:type="pct"/>
            <w:tcBorders>
              <w:top w:val="nil"/>
              <w:left w:val="single" w:sz="6" w:space="0" w:color="auto"/>
              <w:bottom w:val="nil"/>
              <w:right w:val="nil"/>
            </w:tcBorders>
            <w:vAlign w:val="center"/>
          </w:tcPr>
          <w:p w:rsidR="00565FD5" w:rsidRPr="001131FC" w:rsidRDefault="00565FD5" w:rsidP="00AB62A3">
            <w:pPr>
              <w:jc w:val="right"/>
              <w:rPr>
                <w:rFonts w:cs="Tahoma"/>
                <w:bCs/>
                <w:sz w:val="14"/>
                <w:szCs w:val="14"/>
              </w:rPr>
            </w:pPr>
            <w:r w:rsidRPr="001131FC">
              <w:rPr>
                <w:rFonts w:cs="Tahoma"/>
                <w:bCs/>
                <w:sz w:val="14"/>
                <w:szCs w:val="14"/>
              </w:rPr>
              <w:t>12,5</w:t>
            </w:r>
          </w:p>
        </w:tc>
        <w:tc>
          <w:tcPr>
            <w:tcW w:w="354" w:type="pct"/>
            <w:tcBorders>
              <w:top w:val="nil"/>
              <w:left w:val="nil"/>
              <w:bottom w:val="nil"/>
              <w:right w:val="single" w:sz="8" w:space="0" w:color="auto"/>
            </w:tcBorders>
            <w:tcMar>
              <w:top w:w="13" w:type="dxa"/>
              <w:left w:w="13" w:type="dxa"/>
              <w:bottom w:w="0" w:type="dxa"/>
              <w:right w:w="57" w:type="dxa"/>
            </w:tcMar>
            <w:vAlign w:val="center"/>
          </w:tcPr>
          <w:p w:rsidR="00565FD5" w:rsidRPr="001131FC" w:rsidRDefault="00565FD5" w:rsidP="00AB62A3">
            <w:pPr>
              <w:jc w:val="right"/>
              <w:rPr>
                <w:rFonts w:cs="Tahoma"/>
                <w:bCs/>
                <w:sz w:val="14"/>
                <w:szCs w:val="14"/>
              </w:rPr>
            </w:pPr>
            <w:r w:rsidRPr="001131FC">
              <w:rPr>
                <w:rFonts w:cs="Tahoma"/>
                <w:bCs/>
                <w:sz w:val="14"/>
                <w:szCs w:val="14"/>
              </w:rPr>
              <w:t>11,0</w:t>
            </w:r>
          </w:p>
        </w:tc>
        <w:tc>
          <w:tcPr>
            <w:tcW w:w="407" w:type="pct"/>
            <w:tcBorders>
              <w:top w:val="nil"/>
              <w:left w:val="nil"/>
              <w:bottom w:val="nil"/>
              <w:right w:val="single" w:sz="6" w:space="0" w:color="auto"/>
            </w:tcBorders>
            <w:tcMar>
              <w:top w:w="10" w:type="dxa"/>
              <w:left w:w="13" w:type="dxa"/>
              <w:bottom w:w="0" w:type="dxa"/>
              <w:right w:w="13" w:type="dxa"/>
            </w:tcMar>
            <w:vAlign w:val="center"/>
          </w:tcPr>
          <w:p w:rsidR="00565FD5" w:rsidRPr="001131FC" w:rsidRDefault="00565FD5" w:rsidP="00AB62A3">
            <w:pPr>
              <w:tabs>
                <w:tab w:val="left" w:pos="148"/>
              </w:tabs>
              <w:jc w:val="right"/>
              <w:rPr>
                <w:rFonts w:cs="Tahoma"/>
                <w:bCs/>
                <w:sz w:val="14"/>
                <w:szCs w:val="14"/>
              </w:rPr>
            </w:pPr>
            <w:r w:rsidRPr="001131FC">
              <w:rPr>
                <w:rFonts w:cs="Tahoma"/>
                <w:bCs/>
                <w:sz w:val="14"/>
                <w:szCs w:val="14"/>
              </w:rPr>
              <w:t>20,0</w:t>
            </w:r>
          </w:p>
        </w:tc>
        <w:tc>
          <w:tcPr>
            <w:tcW w:w="428" w:type="pct"/>
            <w:tcBorders>
              <w:top w:val="nil"/>
              <w:left w:val="single" w:sz="6" w:space="0" w:color="auto"/>
              <w:bottom w:val="nil"/>
              <w:right w:val="single" w:sz="4" w:space="0" w:color="auto"/>
            </w:tcBorders>
            <w:tcMar>
              <w:top w:w="13"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-14,5</w:t>
            </w:r>
          </w:p>
        </w:tc>
      </w:tr>
      <w:tr w:rsidR="00565FD5" w:rsidRPr="001131FC" w:rsidTr="00AB62A3">
        <w:trPr>
          <w:trHeight w:val="198"/>
        </w:trPr>
        <w:tc>
          <w:tcPr>
            <w:tcW w:w="1128" w:type="pct"/>
            <w:tcBorders>
              <w:top w:val="nil"/>
              <w:left w:val="single" w:sz="4" w:space="0" w:color="auto"/>
              <w:bottom w:val="single" w:sz="4" w:space="0" w:color="auto"/>
              <w:right w:val="nil"/>
            </w:tcBorders>
            <w:vAlign w:val="center"/>
          </w:tcPr>
          <w:p w:rsidR="00565FD5" w:rsidRPr="001131FC" w:rsidRDefault="00565FD5" w:rsidP="00AB62A3">
            <w:pPr>
              <w:ind w:firstLine="90"/>
              <w:rPr>
                <w:rFonts w:cs="Tahoma"/>
                <w:sz w:val="14"/>
                <w:szCs w:val="14"/>
              </w:rPr>
            </w:pPr>
            <w:r w:rsidRPr="001131FC">
              <w:rPr>
                <w:rFonts w:cs="Tahoma"/>
                <w:sz w:val="14"/>
                <w:szCs w:val="14"/>
              </w:rPr>
              <w:t>Diğer</w:t>
            </w:r>
          </w:p>
        </w:tc>
        <w:tc>
          <w:tcPr>
            <w:tcW w:w="382" w:type="pct"/>
            <w:tcBorders>
              <w:top w:val="nil"/>
              <w:left w:val="single" w:sz="8" w:space="0" w:color="auto"/>
              <w:bottom w:val="single" w:sz="4" w:space="0" w:color="auto"/>
              <w:right w:val="nil"/>
            </w:tcBorders>
            <w:tcMar>
              <w:bottom w:w="0" w:type="dxa"/>
            </w:tcMar>
            <w:vAlign w:val="center"/>
          </w:tcPr>
          <w:p w:rsidR="00565FD5" w:rsidRPr="001131FC" w:rsidRDefault="00565FD5" w:rsidP="00AB62A3">
            <w:pPr>
              <w:jc w:val="right"/>
              <w:rPr>
                <w:rFonts w:cs="Tahoma"/>
                <w:bCs/>
                <w:sz w:val="14"/>
                <w:szCs w:val="14"/>
              </w:rPr>
            </w:pPr>
            <w:r w:rsidRPr="001131FC">
              <w:rPr>
                <w:rFonts w:cs="Tahoma"/>
                <w:bCs/>
                <w:sz w:val="14"/>
                <w:szCs w:val="14"/>
              </w:rPr>
              <w:t>0,5</w:t>
            </w:r>
          </w:p>
        </w:tc>
        <w:tc>
          <w:tcPr>
            <w:tcW w:w="350" w:type="pct"/>
            <w:tcBorders>
              <w:top w:val="nil"/>
              <w:left w:val="nil"/>
              <w:bottom w:val="single" w:sz="4" w:space="0" w:color="auto"/>
              <w:right w:val="single" w:sz="6" w:space="0" w:color="auto"/>
            </w:tcBorders>
            <w:tcMar>
              <w:top w:w="10" w:type="dxa"/>
              <w:left w:w="13" w:type="dxa"/>
              <w:bottom w:w="0" w:type="dxa"/>
              <w:right w:w="57" w:type="dxa"/>
            </w:tcMar>
            <w:vAlign w:val="center"/>
          </w:tcPr>
          <w:p w:rsidR="00565FD5" w:rsidRPr="001131FC" w:rsidRDefault="00565FD5" w:rsidP="00AB62A3">
            <w:pPr>
              <w:jc w:val="right"/>
              <w:rPr>
                <w:rFonts w:cs="Tahoma"/>
                <w:bCs/>
                <w:sz w:val="14"/>
                <w:szCs w:val="14"/>
              </w:rPr>
            </w:pPr>
            <w:r w:rsidRPr="001131FC">
              <w:rPr>
                <w:rFonts w:cs="Tahoma"/>
                <w:bCs/>
                <w:sz w:val="14"/>
                <w:szCs w:val="14"/>
              </w:rPr>
              <w:t>0,7</w:t>
            </w:r>
          </w:p>
        </w:tc>
        <w:tc>
          <w:tcPr>
            <w:tcW w:w="419" w:type="pct"/>
            <w:tcBorders>
              <w:top w:val="nil"/>
              <w:left w:val="single" w:sz="6" w:space="0" w:color="auto"/>
              <w:bottom w:val="single" w:sz="4" w:space="0" w:color="auto"/>
              <w:right w:val="nil"/>
            </w:tcBorders>
            <w:tcMar>
              <w:top w:w="13"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0,5</w:t>
            </w:r>
          </w:p>
        </w:tc>
        <w:tc>
          <w:tcPr>
            <w:tcW w:w="385" w:type="pct"/>
            <w:tcBorders>
              <w:top w:val="nil"/>
              <w:left w:val="nil"/>
              <w:bottom w:val="single" w:sz="4" w:space="0" w:color="auto"/>
              <w:right w:val="single" w:sz="8" w:space="0" w:color="auto"/>
            </w:tcBorders>
            <w:tcMar>
              <w:top w:w="13" w:type="dxa"/>
              <w:left w:w="13" w:type="dxa"/>
              <w:bottom w:w="0" w:type="dxa"/>
              <w:right w:w="57" w:type="dxa"/>
            </w:tcMar>
            <w:vAlign w:val="center"/>
          </w:tcPr>
          <w:p w:rsidR="00565FD5" w:rsidRPr="001131FC" w:rsidRDefault="00565FD5" w:rsidP="00AB62A3">
            <w:pPr>
              <w:jc w:val="right"/>
              <w:rPr>
                <w:rFonts w:cs="Tahoma"/>
                <w:bCs/>
                <w:sz w:val="14"/>
                <w:szCs w:val="14"/>
              </w:rPr>
            </w:pPr>
            <w:r w:rsidRPr="001131FC">
              <w:rPr>
                <w:rFonts w:cs="Tahoma"/>
                <w:bCs/>
                <w:sz w:val="14"/>
                <w:szCs w:val="14"/>
              </w:rPr>
              <w:t>0,4</w:t>
            </w:r>
          </w:p>
        </w:tc>
        <w:tc>
          <w:tcPr>
            <w:tcW w:w="442" w:type="pct"/>
            <w:tcBorders>
              <w:top w:val="nil"/>
              <w:left w:val="nil"/>
              <w:bottom w:val="single" w:sz="4" w:space="0" w:color="auto"/>
              <w:right w:val="nil"/>
            </w:tcBorders>
            <w:tcMar>
              <w:top w:w="13" w:type="dxa"/>
              <w:left w:w="13" w:type="dxa"/>
              <w:bottom w:w="0" w:type="dxa"/>
              <w:right w:w="13" w:type="dxa"/>
            </w:tcMar>
            <w:vAlign w:val="center"/>
          </w:tcPr>
          <w:p w:rsidR="00565FD5" w:rsidRPr="001131FC" w:rsidRDefault="00565FD5" w:rsidP="00AB62A3">
            <w:pPr>
              <w:jc w:val="right"/>
              <w:rPr>
                <w:rFonts w:cs="Tahoma"/>
                <w:sz w:val="14"/>
                <w:szCs w:val="14"/>
              </w:rPr>
            </w:pPr>
            <w:r w:rsidRPr="001131FC">
              <w:rPr>
                <w:rFonts w:cs="Tahoma"/>
                <w:sz w:val="14"/>
                <w:szCs w:val="14"/>
              </w:rPr>
              <w:t>0,3</w:t>
            </w:r>
          </w:p>
        </w:tc>
        <w:tc>
          <w:tcPr>
            <w:tcW w:w="354" w:type="pct"/>
            <w:tcBorders>
              <w:top w:val="nil"/>
              <w:left w:val="nil"/>
              <w:bottom w:val="single" w:sz="4" w:space="0" w:color="auto"/>
              <w:right w:val="nil"/>
            </w:tcBorders>
            <w:tcMar>
              <w:top w:w="10"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0,3</w:t>
            </w:r>
          </w:p>
        </w:tc>
        <w:tc>
          <w:tcPr>
            <w:tcW w:w="37" w:type="pct"/>
            <w:tcBorders>
              <w:top w:val="nil"/>
              <w:left w:val="nil"/>
              <w:bottom w:val="single" w:sz="4" w:space="0" w:color="auto"/>
              <w:right w:val="single" w:sz="6" w:space="0" w:color="auto"/>
            </w:tcBorders>
            <w:vAlign w:val="center"/>
          </w:tcPr>
          <w:p w:rsidR="00565FD5" w:rsidRPr="001131FC" w:rsidRDefault="00565FD5" w:rsidP="00AB62A3">
            <w:pPr>
              <w:jc w:val="right"/>
              <w:rPr>
                <w:rFonts w:cs="Tahoma"/>
                <w:sz w:val="14"/>
                <w:szCs w:val="14"/>
              </w:rPr>
            </w:pPr>
          </w:p>
        </w:tc>
        <w:tc>
          <w:tcPr>
            <w:tcW w:w="314" w:type="pct"/>
            <w:tcBorders>
              <w:top w:val="nil"/>
              <w:left w:val="single" w:sz="6" w:space="0" w:color="auto"/>
              <w:bottom w:val="single" w:sz="4" w:space="0" w:color="auto"/>
              <w:right w:val="nil"/>
            </w:tcBorders>
            <w:vAlign w:val="center"/>
          </w:tcPr>
          <w:p w:rsidR="00565FD5" w:rsidRPr="001131FC" w:rsidRDefault="00565FD5" w:rsidP="00AB62A3">
            <w:pPr>
              <w:jc w:val="right"/>
              <w:rPr>
                <w:rFonts w:cs="Tahoma"/>
                <w:bCs/>
                <w:sz w:val="14"/>
                <w:szCs w:val="14"/>
              </w:rPr>
            </w:pPr>
            <w:r w:rsidRPr="001131FC">
              <w:rPr>
                <w:rFonts w:cs="Tahoma"/>
                <w:bCs/>
                <w:sz w:val="14"/>
                <w:szCs w:val="14"/>
              </w:rPr>
              <w:t>0,3</w:t>
            </w:r>
          </w:p>
        </w:tc>
        <w:tc>
          <w:tcPr>
            <w:tcW w:w="354" w:type="pct"/>
            <w:tcBorders>
              <w:top w:val="nil"/>
              <w:left w:val="nil"/>
              <w:bottom w:val="single" w:sz="4" w:space="0" w:color="auto"/>
              <w:right w:val="single" w:sz="8" w:space="0" w:color="auto"/>
            </w:tcBorders>
            <w:tcMar>
              <w:top w:w="13" w:type="dxa"/>
              <w:left w:w="13" w:type="dxa"/>
              <w:bottom w:w="0" w:type="dxa"/>
              <w:right w:w="57" w:type="dxa"/>
            </w:tcMar>
            <w:vAlign w:val="center"/>
          </w:tcPr>
          <w:p w:rsidR="00565FD5" w:rsidRPr="001131FC" w:rsidRDefault="00565FD5" w:rsidP="00AB62A3">
            <w:pPr>
              <w:jc w:val="right"/>
              <w:rPr>
                <w:rFonts w:cs="Tahoma"/>
                <w:bCs/>
                <w:sz w:val="14"/>
                <w:szCs w:val="14"/>
              </w:rPr>
            </w:pPr>
            <w:r w:rsidRPr="001131FC">
              <w:rPr>
                <w:rFonts w:cs="Tahoma"/>
                <w:bCs/>
                <w:sz w:val="14"/>
                <w:szCs w:val="14"/>
              </w:rPr>
              <w:t>0,3</w:t>
            </w:r>
          </w:p>
        </w:tc>
        <w:tc>
          <w:tcPr>
            <w:tcW w:w="407" w:type="pct"/>
            <w:tcBorders>
              <w:top w:val="nil"/>
              <w:left w:val="nil"/>
              <w:bottom w:val="single" w:sz="4" w:space="0" w:color="auto"/>
              <w:right w:val="single" w:sz="6" w:space="0" w:color="auto"/>
            </w:tcBorders>
            <w:tcMar>
              <w:top w:w="10" w:type="dxa"/>
              <w:left w:w="13" w:type="dxa"/>
              <w:bottom w:w="0" w:type="dxa"/>
              <w:right w:w="13" w:type="dxa"/>
            </w:tcMar>
            <w:vAlign w:val="center"/>
          </w:tcPr>
          <w:p w:rsidR="00565FD5" w:rsidRPr="001131FC" w:rsidRDefault="00565FD5" w:rsidP="00AB62A3">
            <w:pPr>
              <w:tabs>
                <w:tab w:val="left" w:pos="148"/>
              </w:tabs>
              <w:jc w:val="right"/>
              <w:rPr>
                <w:rFonts w:cs="Tahoma"/>
                <w:bCs/>
                <w:sz w:val="14"/>
                <w:szCs w:val="14"/>
              </w:rPr>
            </w:pPr>
            <w:r w:rsidRPr="001131FC">
              <w:rPr>
                <w:rFonts w:cs="Tahoma"/>
                <w:bCs/>
                <w:sz w:val="14"/>
                <w:szCs w:val="14"/>
              </w:rPr>
              <w:t>35,3</w:t>
            </w:r>
          </w:p>
        </w:tc>
        <w:tc>
          <w:tcPr>
            <w:tcW w:w="428" w:type="pct"/>
            <w:tcBorders>
              <w:top w:val="nil"/>
              <w:left w:val="single" w:sz="6" w:space="0" w:color="auto"/>
              <w:bottom w:val="single" w:sz="4" w:space="0" w:color="auto"/>
              <w:right w:val="single" w:sz="4" w:space="0" w:color="auto"/>
            </w:tcBorders>
            <w:tcMar>
              <w:top w:w="13"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-21,4</w:t>
            </w:r>
          </w:p>
        </w:tc>
      </w:tr>
      <w:tr w:rsidR="00565FD5" w:rsidRPr="001131FC" w:rsidTr="00AB62A3">
        <w:trPr>
          <w:trHeight w:val="198"/>
        </w:trPr>
        <w:tc>
          <w:tcPr>
            <w:tcW w:w="1128" w:type="pct"/>
            <w:tcBorders>
              <w:top w:val="single" w:sz="4" w:space="0" w:color="auto"/>
              <w:left w:val="single" w:sz="4" w:space="0" w:color="auto"/>
              <w:right w:val="nil"/>
            </w:tcBorders>
            <w:vAlign w:val="center"/>
          </w:tcPr>
          <w:p w:rsidR="00565FD5" w:rsidRPr="001131FC" w:rsidRDefault="00565FD5" w:rsidP="00AB62A3">
            <w:pPr>
              <w:ind w:firstLine="90"/>
              <w:rPr>
                <w:rFonts w:cs="Tahoma"/>
                <w:b/>
                <w:bCs/>
                <w:sz w:val="14"/>
                <w:szCs w:val="14"/>
              </w:rPr>
            </w:pPr>
            <w:r w:rsidRPr="001131FC">
              <w:rPr>
                <w:rFonts w:cs="Tahoma"/>
                <w:b/>
                <w:bCs/>
                <w:sz w:val="14"/>
                <w:szCs w:val="14"/>
              </w:rPr>
              <w:t>TOPLAM İTHALAT</w:t>
            </w:r>
          </w:p>
        </w:tc>
        <w:tc>
          <w:tcPr>
            <w:tcW w:w="382" w:type="pct"/>
            <w:tcBorders>
              <w:top w:val="single" w:sz="4" w:space="0" w:color="auto"/>
              <w:left w:val="single" w:sz="8" w:space="0" w:color="auto"/>
              <w:right w:val="nil"/>
            </w:tcBorders>
            <w:vAlign w:val="center"/>
          </w:tcPr>
          <w:p w:rsidR="00565FD5" w:rsidRPr="001131FC" w:rsidRDefault="00565FD5" w:rsidP="00AB62A3">
            <w:pPr>
              <w:jc w:val="right"/>
              <w:rPr>
                <w:rFonts w:cs="Tahoma"/>
                <w:b/>
                <w:bCs/>
                <w:sz w:val="14"/>
                <w:szCs w:val="14"/>
              </w:rPr>
            </w:pPr>
            <w:r w:rsidRPr="001131FC">
              <w:rPr>
                <w:rFonts w:cs="Tahoma"/>
                <w:b/>
                <w:bCs/>
                <w:sz w:val="14"/>
                <w:szCs w:val="14"/>
              </w:rPr>
              <w:t>185,5</w:t>
            </w:r>
          </w:p>
        </w:tc>
        <w:tc>
          <w:tcPr>
            <w:tcW w:w="350" w:type="pct"/>
            <w:tcBorders>
              <w:top w:val="single" w:sz="4" w:space="0" w:color="auto"/>
              <w:left w:val="nil"/>
              <w:right w:val="single" w:sz="6" w:space="0" w:color="auto"/>
            </w:tcBorders>
            <w:tcMar>
              <w:right w:w="57"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240,8</w:t>
            </w:r>
          </w:p>
        </w:tc>
        <w:tc>
          <w:tcPr>
            <w:tcW w:w="419" w:type="pct"/>
            <w:tcBorders>
              <w:top w:val="single" w:sz="4" w:space="0" w:color="auto"/>
              <w:left w:val="single" w:sz="6" w:space="0" w:color="auto"/>
              <w:right w:val="nil"/>
            </w:tcBorders>
            <w:vAlign w:val="center"/>
          </w:tcPr>
          <w:p w:rsidR="00565FD5" w:rsidRPr="001131FC" w:rsidRDefault="00565FD5" w:rsidP="00AB62A3">
            <w:pPr>
              <w:jc w:val="right"/>
              <w:rPr>
                <w:rFonts w:cs="Tahoma"/>
                <w:b/>
                <w:bCs/>
                <w:sz w:val="14"/>
                <w:szCs w:val="14"/>
              </w:rPr>
            </w:pPr>
            <w:r w:rsidRPr="001131FC">
              <w:rPr>
                <w:rFonts w:cs="Tahoma"/>
                <w:b/>
                <w:bCs/>
                <w:sz w:val="14"/>
                <w:szCs w:val="14"/>
              </w:rPr>
              <w:t>160,5</w:t>
            </w:r>
          </w:p>
        </w:tc>
        <w:tc>
          <w:tcPr>
            <w:tcW w:w="385" w:type="pct"/>
            <w:tcBorders>
              <w:top w:val="single" w:sz="4" w:space="0" w:color="auto"/>
              <w:left w:val="nil"/>
              <w:right w:val="single" w:sz="8" w:space="0" w:color="auto"/>
            </w:tcBorders>
            <w:tcMar>
              <w:top w:w="13" w:type="dxa"/>
              <w:left w:w="13" w:type="dxa"/>
              <w:bottom w:w="0" w:type="dxa"/>
              <w:right w:w="57"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156,6</w:t>
            </w:r>
          </w:p>
        </w:tc>
        <w:tc>
          <w:tcPr>
            <w:tcW w:w="442" w:type="pct"/>
            <w:tcBorders>
              <w:top w:val="single" w:sz="4" w:space="0" w:color="auto"/>
              <w:left w:val="nil"/>
              <w:right w:val="nil"/>
            </w:tcBorders>
            <w:tcMar>
              <w:top w:w="10" w:type="dxa"/>
              <w:left w:w="13" w:type="dxa"/>
              <w:right w:w="13"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100</w:t>
            </w:r>
          </w:p>
        </w:tc>
        <w:tc>
          <w:tcPr>
            <w:tcW w:w="354" w:type="pct"/>
            <w:tcBorders>
              <w:top w:val="single" w:sz="4" w:space="0" w:color="auto"/>
              <w:left w:val="nil"/>
              <w:right w:val="nil"/>
            </w:tcBorders>
            <w:vAlign w:val="center"/>
          </w:tcPr>
          <w:p w:rsidR="00565FD5" w:rsidRPr="001131FC" w:rsidRDefault="00565FD5" w:rsidP="00AB62A3">
            <w:pPr>
              <w:jc w:val="right"/>
              <w:rPr>
                <w:rFonts w:cs="Tahoma"/>
                <w:b/>
                <w:bCs/>
                <w:sz w:val="14"/>
                <w:szCs w:val="14"/>
              </w:rPr>
            </w:pPr>
            <w:r w:rsidRPr="001131FC">
              <w:rPr>
                <w:rFonts w:cs="Tahoma"/>
                <w:b/>
                <w:bCs/>
                <w:sz w:val="14"/>
                <w:szCs w:val="14"/>
              </w:rPr>
              <w:t>100</w:t>
            </w:r>
          </w:p>
        </w:tc>
        <w:tc>
          <w:tcPr>
            <w:tcW w:w="37" w:type="pct"/>
            <w:tcBorders>
              <w:top w:val="single" w:sz="4" w:space="0" w:color="auto"/>
              <w:left w:val="nil"/>
              <w:right w:val="single" w:sz="6" w:space="0" w:color="auto"/>
            </w:tcBorders>
            <w:tcMar>
              <w:top w:w="10" w:type="dxa"/>
              <w:left w:w="13" w:type="dxa"/>
              <w:bottom w:w="0" w:type="dxa"/>
              <w:right w:w="13" w:type="dxa"/>
            </w:tcMar>
            <w:vAlign w:val="center"/>
          </w:tcPr>
          <w:p w:rsidR="00565FD5" w:rsidRPr="001131FC" w:rsidRDefault="00565FD5" w:rsidP="00AB62A3">
            <w:pPr>
              <w:jc w:val="right"/>
              <w:rPr>
                <w:rFonts w:cs="Tahoma"/>
                <w:b/>
                <w:bCs/>
                <w:sz w:val="14"/>
                <w:szCs w:val="14"/>
              </w:rPr>
            </w:pPr>
          </w:p>
        </w:tc>
        <w:tc>
          <w:tcPr>
            <w:tcW w:w="314" w:type="pct"/>
            <w:tcBorders>
              <w:top w:val="single" w:sz="4" w:space="0" w:color="auto"/>
              <w:left w:val="single" w:sz="6" w:space="0" w:color="auto"/>
              <w:right w:val="nil"/>
            </w:tcBorders>
            <w:vAlign w:val="center"/>
          </w:tcPr>
          <w:p w:rsidR="00565FD5" w:rsidRPr="001131FC" w:rsidRDefault="00565FD5" w:rsidP="00AB62A3">
            <w:pPr>
              <w:jc w:val="right"/>
              <w:rPr>
                <w:rFonts w:cs="Tahoma"/>
                <w:b/>
                <w:bCs/>
                <w:sz w:val="14"/>
                <w:szCs w:val="14"/>
              </w:rPr>
            </w:pPr>
            <w:r w:rsidRPr="001131FC">
              <w:rPr>
                <w:rFonts w:cs="Tahoma"/>
                <w:b/>
                <w:bCs/>
                <w:sz w:val="14"/>
                <w:szCs w:val="14"/>
              </w:rPr>
              <w:t>100</w:t>
            </w:r>
          </w:p>
        </w:tc>
        <w:tc>
          <w:tcPr>
            <w:tcW w:w="354" w:type="pct"/>
            <w:tcBorders>
              <w:top w:val="single" w:sz="4" w:space="0" w:color="auto"/>
              <w:left w:val="nil"/>
              <w:right w:val="single" w:sz="8" w:space="0" w:color="auto"/>
            </w:tcBorders>
            <w:tcMar>
              <w:top w:w="13" w:type="dxa"/>
              <w:left w:w="13" w:type="dxa"/>
              <w:bottom w:w="0" w:type="dxa"/>
              <w:right w:w="57"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100</w:t>
            </w:r>
          </w:p>
        </w:tc>
        <w:tc>
          <w:tcPr>
            <w:tcW w:w="407" w:type="pct"/>
            <w:tcBorders>
              <w:top w:val="single" w:sz="4" w:space="0" w:color="auto"/>
              <w:left w:val="nil"/>
              <w:right w:val="single" w:sz="6" w:space="0" w:color="auto"/>
            </w:tcBorders>
            <w:tcMar>
              <w:top w:w="10" w:type="dxa"/>
              <w:left w:w="13" w:type="dxa"/>
              <w:bottom w:w="0" w:type="dxa"/>
              <w:right w:w="57" w:type="dxa"/>
            </w:tcMar>
            <w:vAlign w:val="center"/>
          </w:tcPr>
          <w:p w:rsidR="00565FD5" w:rsidRPr="001131FC" w:rsidRDefault="00565FD5" w:rsidP="00AB62A3">
            <w:pPr>
              <w:tabs>
                <w:tab w:val="left" w:pos="148"/>
              </w:tabs>
              <w:jc w:val="right"/>
              <w:rPr>
                <w:rFonts w:cs="Tahoma"/>
                <w:b/>
                <w:bCs/>
                <w:sz w:val="14"/>
                <w:szCs w:val="14"/>
              </w:rPr>
            </w:pPr>
            <w:r w:rsidRPr="001131FC">
              <w:rPr>
                <w:rFonts w:cs="Tahoma"/>
                <w:b/>
                <w:bCs/>
                <w:sz w:val="14"/>
                <w:szCs w:val="14"/>
              </w:rPr>
              <w:t>29,8</w:t>
            </w:r>
          </w:p>
        </w:tc>
        <w:tc>
          <w:tcPr>
            <w:tcW w:w="428" w:type="pct"/>
            <w:tcBorders>
              <w:top w:val="single" w:sz="4" w:space="0" w:color="auto"/>
              <w:left w:val="single" w:sz="6" w:space="0" w:color="auto"/>
              <w:right w:val="single" w:sz="4" w:space="0" w:color="auto"/>
            </w:tcBorders>
            <w:tcMar>
              <w:bottom w:w="0" w:type="dxa"/>
              <w:right w:w="57" w:type="dxa"/>
            </w:tcMar>
            <w:vAlign w:val="center"/>
          </w:tcPr>
          <w:p w:rsidR="00565FD5" w:rsidRPr="001131FC" w:rsidRDefault="00565FD5" w:rsidP="00AB62A3">
            <w:pPr>
              <w:jc w:val="right"/>
              <w:rPr>
                <w:rFonts w:cs="Tahoma"/>
                <w:b/>
                <w:bCs/>
                <w:sz w:val="14"/>
                <w:szCs w:val="14"/>
              </w:rPr>
            </w:pPr>
            <w:r w:rsidRPr="001131FC">
              <w:rPr>
                <w:rFonts w:cs="Tahoma"/>
                <w:b/>
                <w:bCs/>
                <w:sz w:val="14"/>
                <w:szCs w:val="14"/>
              </w:rPr>
              <w:t>-2,4</w:t>
            </w:r>
          </w:p>
        </w:tc>
      </w:tr>
      <w:tr w:rsidR="00565FD5" w:rsidRPr="001131FC" w:rsidTr="00AB62A3">
        <w:trPr>
          <w:trHeight w:val="198"/>
        </w:trPr>
        <w:tc>
          <w:tcPr>
            <w:tcW w:w="1128" w:type="pct"/>
            <w:tcBorders>
              <w:left w:val="single" w:sz="4" w:space="0" w:color="auto"/>
              <w:bottom w:val="nil"/>
              <w:right w:val="nil"/>
            </w:tcBorders>
            <w:tcMar>
              <w:top w:w="13" w:type="dxa"/>
              <w:left w:w="13" w:type="dxa"/>
              <w:bottom w:w="0" w:type="dxa"/>
              <w:right w:w="13" w:type="dxa"/>
            </w:tcMar>
            <w:vAlign w:val="center"/>
          </w:tcPr>
          <w:p w:rsidR="00565FD5" w:rsidRPr="001131FC" w:rsidRDefault="00565FD5" w:rsidP="00AB62A3">
            <w:pPr>
              <w:ind w:firstLine="90"/>
              <w:rPr>
                <w:rFonts w:cs="Tahoma"/>
                <w:sz w:val="14"/>
                <w:szCs w:val="14"/>
              </w:rPr>
            </w:pPr>
            <w:r w:rsidRPr="001131FC">
              <w:rPr>
                <w:rFonts w:cs="Tahoma"/>
                <w:sz w:val="14"/>
                <w:szCs w:val="14"/>
              </w:rPr>
              <w:t xml:space="preserve">Enerji Ürünleri </w:t>
            </w:r>
          </w:p>
          <w:p w:rsidR="00565FD5" w:rsidRPr="001131FC" w:rsidRDefault="00565FD5" w:rsidP="00AB62A3">
            <w:pPr>
              <w:ind w:firstLine="90"/>
              <w:rPr>
                <w:rFonts w:cs="Tahoma"/>
                <w:sz w:val="14"/>
                <w:szCs w:val="14"/>
              </w:rPr>
            </w:pPr>
            <w:r w:rsidRPr="001131FC">
              <w:rPr>
                <w:rFonts w:cs="Tahoma"/>
                <w:sz w:val="14"/>
                <w:szCs w:val="14"/>
              </w:rPr>
              <w:t>(27. Fasıl)</w:t>
            </w:r>
          </w:p>
        </w:tc>
        <w:tc>
          <w:tcPr>
            <w:tcW w:w="382" w:type="pct"/>
            <w:tcBorders>
              <w:left w:val="single" w:sz="8" w:space="0" w:color="auto"/>
              <w:bottom w:val="nil"/>
              <w:right w:val="nil"/>
            </w:tcBorders>
            <w:tcMar>
              <w:top w:w="13"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38,5</w:t>
            </w:r>
          </w:p>
        </w:tc>
        <w:tc>
          <w:tcPr>
            <w:tcW w:w="350" w:type="pct"/>
            <w:tcBorders>
              <w:left w:val="nil"/>
              <w:bottom w:val="nil"/>
              <w:right w:val="single" w:sz="6" w:space="0" w:color="auto"/>
            </w:tcBorders>
            <w:tcMar>
              <w:top w:w="13" w:type="dxa"/>
              <w:left w:w="13" w:type="dxa"/>
              <w:bottom w:w="0" w:type="dxa"/>
              <w:right w:w="57" w:type="dxa"/>
            </w:tcMar>
            <w:vAlign w:val="center"/>
          </w:tcPr>
          <w:p w:rsidR="00565FD5" w:rsidRPr="001131FC" w:rsidRDefault="00565FD5" w:rsidP="00AB62A3">
            <w:pPr>
              <w:jc w:val="right"/>
              <w:rPr>
                <w:rFonts w:cs="Tahoma"/>
                <w:bCs/>
                <w:sz w:val="14"/>
                <w:szCs w:val="14"/>
              </w:rPr>
            </w:pPr>
            <w:r w:rsidRPr="001131FC">
              <w:rPr>
                <w:rFonts w:cs="Tahoma"/>
                <w:bCs/>
                <w:sz w:val="14"/>
                <w:szCs w:val="14"/>
              </w:rPr>
              <w:t>54,1</w:t>
            </w:r>
          </w:p>
        </w:tc>
        <w:tc>
          <w:tcPr>
            <w:tcW w:w="419" w:type="pct"/>
            <w:tcBorders>
              <w:left w:val="single" w:sz="6" w:space="0" w:color="auto"/>
              <w:bottom w:val="nil"/>
              <w:right w:val="nil"/>
            </w:tcBorders>
            <w:tcMar>
              <w:top w:w="13"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34,4</w:t>
            </w:r>
          </w:p>
        </w:tc>
        <w:tc>
          <w:tcPr>
            <w:tcW w:w="385" w:type="pct"/>
            <w:tcBorders>
              <w:left w:val="nil"/>
              <w:bottom w:val="nil"/>
              <w:right w:val="single" w:sz="8" w:space="0" w:color="auto"/>
            </w:tcBorders>
            <w:tcMar>
              <w:top w:w="13" w:type="dxa"/>
              <w:left w:w="13" w:type="dxa"/>
              <w:bottom w:w="0" w:type="dxa"/>
              <w:right w:w="57" w:type="dxa"/>
            </w:tcMar>
            <w:vAlign w:val="center"/>
          </w:tcPr>
          <w:p w:rsidR="00565FD5" w:rsidRPr="001131FC" w:rsidRDefault="00565FD5" w:rsidP="00AB62A3">
            <w:pPr>
              <w:jc w:val="right"/>
              <w:rPr>
                <w:rFonts w:cs="Tahoma"/>
                <w:bCs/>
                <w:sz w:val="14"/>
                <w:szCs w:val="14"/>
              </w:rPr>
            </w:pPr>
            <w:r w:rsidRPr="001131FC">
              <w:rPr>
                <w:rFonts w:cs="Tahoma"/>
                <w:bCs/>
                <w:sz w:val="14"/>
                <w:szCs w:val="14"/>
              </w:rPr>
              <w:t>39,1</w:t>
            </w:r>
          </w:p>
        </w:tc>
        <w:tc>
          <w:tcPr>
            <w:tcW w:w="442" w:type="pct"/>
            <w:tcBorders>
              <w:left w:val="nil"/>
              <w:bottom w:val="nil"/>
              <w:right w:val="nil"/>
            </w:tcBorders>
            <w:tcMar>
              <w:top w:w="13" w:type="dxa"/>
              <w:left w:w="13" w:type="dxa"/>
              <w:bottom w:w="0" w:type="dxa"/>
              <w:right w:w="13" w:type="dxa"/>
            </w:tcMar>
            <w:vAlign w:val="center"/>
          </w:tcPr>
          <w:p w:rsidR="00565FD5" w:rsidRPr="001131FC" w:rsidRDefault="00565FD5" w:rsidP="00AB62A3">
            <w:pPr>
              <w:jc w:val="right"/>
              <w:rPr>
                <w:rFonts w:cs="Tahoma"/>
                <w:sz w:val="14"/>
                <w:szCs w:val="14"/>
              </w:rPr>
            </w:pPr>
            <w:r w:rsidRPr="001131FC">
              <w:rPr>
                <w:rFonts w:cs="Tahoma"/>
                <w:sz w:val="14"/>
                <w:szCs w:val="14"/>
              </w:rPr>
              <w:t>20,7</w:t>
            </w:r>
          </w:p>
        </w:tc>
        <w:tc>
          <w:tcPr>
            <w:tcW w:w="354" w:type="pct"/>
            <w:tcBorders>
              <w:left w:val="nil"/>
              <w:bottom w:val="nil"/>
              <w:right w:val="nil"/>
            </w:tcBorders>
            <w:tcMar>
              <w:top w:w="13"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22,5</w:t>
            </w:r>
          </w:p>
        </w:tc>
        <w:tc>
          <w:tcPr>
            <w:tcW w:w="37" w:type="pct"/>
            <w:tcBorders>
              <w:left w:val="nil"/>
              <w:bottom w:val="nil"/>
              <w:right w:val="single" w:sz="6" w:space="0" w:color="auto"/>
            </w:tcBorders>
            <w:tcMar>
              <w:top w:w="13" w:type="dxa"/>
              <w:left w:w="13" w:type="dxa"/>
              <w:bottom w:w="0" w:type="dxa"/>
              <w:right w:w="13" w:type="dxa"/>
            </w:tcMar>
            <w:vAlign w:val="center"/>
          </w:tcPr>
          <w:p w:rsidR="00565FD5" w:rsidRPr="001131FC" w:rsidRDefault="00565FD5" w:rsidP="00AB62A3">
            <w:pPr>
              <w:jc w:val="right"/>
              <w:rPr>
                <w:rFonts w:cs="Tahoma"/>
                <w:sz w:val="14"/>
                <w:szCs w:val="14"/>
              </w:rPr>
            </w:pPr>
          </w:p>
        </w:tc>
        <w:tc>
          <w:tcPr>
            <w:tcW w:w="314" w:type="pct"/>
            <w:tcBorders>
              <w:left w:val="single" w:sz="6" w:space="0" w:color="auto"/>
              <w:bottom w:val="nil"/>
              <w:right w:val="nil"/>
            </w:tcBorders>
            <w:tcMar>
              <w:top w:w="13"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21,4</w:t>
            </w:r>
          </w:p>
        </w:tc>
        <w:tc>
          <w:tcPr>
            <w:tcW w:w="354" w:type="pct"/>
            <w:tcBorders>
              <w:left w:val="nil"/>
              <w:bottom w:val="nil"/>
              <w:right w:val="single" w:sz="8" w:space="0" w:color="auto"/>
            </w:tcBorders>
            <w:tcMar>
              <w:top w:w="13" w:type="dxa"/>
              <w:left w:w="13" w:type="dxa"/>
              <w:bottom w:w="0" w:type="dxa"/>
              <w:right w:w="57" w:type="dxa"/>
            </w:tcMar>
            <w:vAlign w:val="center"/>
          </w:tcPr>
          <w:p w:rsidR="00565FD5" w:rsidRPr="001131FC" w:rsidRDefault="00565FD5" w:rsidP="00AB62A3">
            <w:pPr>
              <w:jc w:val="right"/>
              <w:rPr>
                <w:rFonts w:cs="Tahoma"/>
                <w:bCs/>
                <w:sz w:val="14"/>
                <w:szCs w:val="14"/>
              </w:rPr>
            </w:pPr>
            <w:r w:rsidRPr="001131FC">
              <w:rPr>
                <w:rFonts w:cs="Tahoma"/>
                <w:bCs/>
                <w:sz w:val="14"/>
                <w:szCs w:val="14"/>
              </w:rPr>
              <w:t>24,9</w:t>
            </w:r>
          </w:p>
        </w:tc>
        <w:tc>
          <w:tcPr>
            <w:tcW w:w="407" w:type="pct"/>
            <w:tcBorders>
              <w:left w:val="nil"/>
              <w:bottom w:val="nil"/>
              <w:right w:val="single" w:sz="6" w:space="0" w:color="auto"/>
            </w:tcBorders>
            <w:tcMar>
              <w:top w:w="13" w:type="dxa"/>
              <w:left w:w="13" w:type="dxa"/>
              <w:bottom w:w="0" w:type="dxa"/>
              <w:right w:w="13" w:type="dxa"/>
            </w:tcMar>
            <w:vAlign w:val="center"/>
          </w:tcPr>
          <w:p w:rsidR="00565FD5" w:rsidRPr="001131FC" w:rsidRDefault="00565FD5" w:rsidP="00AB62A3">
            <w:pPr>
              <w:tabs>
                <w:tab w:val="left" w:pos="148"/>
              </w:tabs>
              <w:jc w:val="right"/>
              <w:rPr>
                <w:rFonts w:cs="Tahoma"/>
                <w:bCs/>
                <w:sz w:val="14"/>
                <w:szCs w:val="14"/>
              </w:rPr>
            </w:pPr>
            <w:r w:rsidRPr="001131FC">
              <w:rPr>
                <w:rFonts w:cs="Tahoma"/>
                <w:bCs/>
                <w:sz w:val="14"/>
                <w:szCs w:val="14"/>
              </w:rPr>
              <w:t>40,6</w:t>
            </w:r>
          </w:p>
        </w:tc>
        <w:tc>
          <w:tcPr>
            <w:tcW w:w="428" w:type="pct"/>
            <w:tcBorders>
              <w:left w:val="single" w:sz="6" w:space="0" w:color="auto"/>
              <w:bottom w:val="nil"/>
              <w:right w:val="single" w:sz="4" w:space="0" w:color="auto"/>
            </w:tcBorders>
            <w:tcMar>
              <w:top w:w="13"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13,7</w:t>
            </w:r>
          </w:p>
        </w:tc>
      </w:tr>
      <w:tr w:rsidR="00565FD5" w:rsidRPr="001131FC" w:rsidTr="00AB62A3">
        <w:trPr>
          <w:trHeight w:val="198"/>
        </w:trPr>
        <w:tc>
          <w:tcPr>
            <w:tcW w:w="1128" w:type="pct"/>
            <w:tcBorders>
              <w:top w:val="nil"/>
              <w:left w:val="single" w:sz="4" w:space="0" w:color="auto"/>
              <w:bottom w:val="single" w:sz="4" w:space="0" w:color="auto"/>
              <w:right w:val="nil"/>
            </w:tcBorders>
            <w:tcMar>
              <w:top w:w="13" w:type="dxa"/>
              <w:left w:w="13" w:type="dxa"/>
              <w:bottom w:w="0" w:type="dxa"/>
              <w:right w:w="13" w:type="dxa"/>
            </w:tcMar>
            <w:vAlign w:val="center"/>
          </w:tcPr>
          <w:p w:rsidR="00565FD5" w:rsidRPr="001131FC" w:rsidRDefault="00565FD5" w:rsidP="00AB62A3">
            <w:pPr>
              <w:ind w:firstLine="90"/>
              <w:rPr>
                <w:rFonts w:cs="Tahoma"/>
                <w:sz w:val="14"/>
                <w:szCs w:val="14"/>
              </w:rPr>
            </w:pPr>
            <w:r w:rsidRPr="001131FC">
              <w:rPr>
                <w:rFonts w:cs="Tahoma"/>
                <w:sz w:val="14"/>
                <w:szCs w:val="14"/>
              </w:rPr>
              <w:t>Enerji Hariç</w:t>
            </w:r>
          </w:p>
        </w:tc>
        <w:tc>
          <w:tcPr>
            <w:tcW w:w="382" w:type="pct"/>
            <w:tcBorders>
              <w:top w:val="nil"/>
              <w:left w:val="single" w:sz="8" w:space="0" w:color="auto"/>
              <w:bottom w:val="single" w:sz="4" w:space="0" w:color="auto"/>
              <w:right w:val="nil"/>
            </w:tcBorders>
            <w:tcMar>
              <w:top w:w="13"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147,0</w:t>
            </w:r>
          </w:p>
        </w:tc>
        <w:tc>
          <w:tcPr>
            <w:tcW w:w="350" w:type="pct"/>
            <w:tcBorders>
              <w:top w:val="nil"/>
              <w:left w:val="nil"/>
              <w:bottom w:val="single" w:sz="4" w:space="0" w:color="auto"/>
              <w:right w:val="single" w:sz="6" w:space="0" w:color="auto"/>
            </w:tcBorders>
            <w:tcMar>
              <w:top w:w="13" w:type="dxa"/>
              <w:left w:w="13" w:type="dxa"/>
              <w:bottom w:w="0" w:type="dxa"/>
              <w:right w:w="57" w:type="dxa"/>
            </w:tcMar>
            <w:vAlign w:val="center"/>
          </w:tcPr>
          <w:p w:rsidR="00565FD5" w:rsidRPr="001131FC" w:rsidRDefault="00565FD5" w:rsidP="00AB62A3">
            <w:pPr>
              <w:jc w:val="right"/>
              <w:rPr>
                <w:rFonts w:cs="Tahoma"/>
                <w:bCs/>
                <w:sz w:val="14"/>
                <w:szCs w:val="14"/>
              </w:rPr>
            </w:pPr>
            <w:r w:rsidRPr="001131FC">
              <w:rPr>
                <w:rFonts w:cs="Tahoma"/>
                <w:bCs/>
                <w:sz w:val="14"/>
                <w:szCs w:val="14"/>
              </w:rPr>
              <w:t>186,7</w:t>
            </w:r>
          </w:p>
        </w:tc>
        <w:tc>
          <w:tcPr>
            <w:tcW w:w="419" w:type="pct"/>
            <w:tcBorders>
              <w:top w:val="nil"/>
              <w:left w:val="single" w:sz="6" w:space="0" w:color="auto"/>
              <w:bottom w:val="single" w:sz="4" w:space="0" w:color="auto"/>
              <w:right w:val="nil"/>
            </w:tcBorders>
            <w:tcMar>
              <w:top w:w="13"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126,1</w:t>
            </w:r>
          </w:p>
        </w:tc>
        <w:tc>
          <w:tcPr>
            <w:tcW w:w="385" w:type="pct"/>
            <w:tcBorders>
              <w:top w:val="nil"/>
              <w:left w:val="nil"/>
              <w:bottom w:val="single" w:sz="4" w:space="0" w:color="auto"/>
              <w:right w:val="single" w:sz="8" w:space="0" w:color="auto"/>
            </w:tcBorders>
            <w:tcMar>
              <w:top w:w="13" w:type="dxa"/>
              <w:left w:w="13" w:type="dxa"/>
              <w:bottom w:w="0" w:type="dxa"/>
              <w:right w:w="57" w:type="dxa"/>
            </w:tcMar>
            <w:vAlign w:val="center"/>
          </w:tcPr>
          <w:p w:rsidR="00565FD5" w:rsidRPr="001131FC" w:rsidRDefault="00565FD5" w:rsidP="00AB62A3">
            <w:pPr>
              <w:jc w:val="right"/>
              <w:rPr>
                <w:rFonts w:cs="Tahoma"/>
                <w:bCs/>
                <w:sz w:val="14"/>
                <w:szCs w:val="14"/>
              </w:rPr>
            </w:pPr>
            <w:r w:rsidRPr="001131FC">
              <w:rPr>
                <w:rFonts w:cs="Tahoma"/>
                <w:bCs/>
                <w:sz w:val="14"/>
                <w:szCs w:val="14"/>
              </w:rPr>
              <w:t>117,6</w:t>
            </w:r>
          </w:p>
        </w:tc>
        <w:tc>
          <w:tcPr>
            <w:tcW w:w="442" w:type="pct"/>
            <w:tcBorders>
              <w:top w:val="nil"/>
              <w:left w:val="nil"/>
              <w:bottom w:val="single" w:sz="4" w:space="0" w:color="auto"/>
              <w:right w:val="nil"/>
            </w:tcBorders>
            <w:tcMar>
              <w:top w:w="13" w:type="dxa"/>
              <w:left w:w="13" w:type="dxa"/>
              <w:bottom w:w="0" w:type="dxa"/>
              <w:right w:w="13" w:type="dxa"/>
            </w:tcMar>
            <w:vAlign w:val="center"/>
          </w:tcPr>
          <w:p w:rsidR="00565FD5" w:rsidRPr="001131FC" w:rsidRDefault="00565FD5" w:rsidP="00AB62A3">
            <w:pPr>
              <w:jc w:val="right"/>
              <w:rPr>
                <w:rFonts w:cs="Tahoma"/>
                <w:sz w:val="14"/>
                <w:szCs w:val="14"/>
              </w:rPr>
            </w:pPr>
            <w:r w:rsidRPr="001131FC">
              <w:rPr>
                <w:rFonts w:cs="Tahoma"/>
                <w:sz w:val="14"/>
                <w:szCs w:val="14"/>
              </w:rPr>
              <w:t>79,3</w:t>
            </w:r>
          </w:p>
        </w:tc>
        <w:tc>
          <w:tcPr>
            <w:tcW w:w="354" w:type="pct"/>
            <w:tcBorders>
              <w:top w:val="nil"/>
              <w:left w:val="nil"/>
              <w:bottom w:val="single" w:sz="4" w:space="0" w:color="auto"/>
              <w:right w:val="nil"/>
            </w:tcBorders>
            <w:tcMar>
              <w:top w:w="13"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77,5</w:t>
            </w:r>
          </w:p>
        </w:tc>
        <w:tc>
          <w:tcPr>
            <w:tcW w:w="37" w:type="pct"/>
            <w:tcBorders>
              <w:top w:val="nil"/>
              <w:left w:val="nil"/>
              <w:bottom w:val="single" w:sz="4" w:space="0" w:color="auto"/>
              <w:right w:val="single" w:sz="6" w:space="0" w:color="auto"/>
            </w:tcBorders>
            <w:tcMar>
              <w:top w:w="13" w:type="dxa"/>
              <w:left w:w="13" w:type="dxa"/>
              <w:bottom w:w="0" w:type="dxa"/>
              <w:right w:w="13" w:type="dxa"/>
            </w:tcMar>
            <w:vAlign w:val="center"/>
          </w:tcPr>
          <w:p w:rsidR="00565FD5" w:rsidRPr="001131FC" w:rsidRDefault="00565FD5" w:rsidP="00AB62A3">
            <w:pPr>
              <w:jc w:val="right"/>
              <w:rPr>
                <w:rFonts w:cs="Tahoma"/>
                <w:sz w:val="14"/>
                <w:szCs w:val="14"/>
              </w:rPr>
            </w:pPr>
          </w:p>
        </w:tc>
        <w:tc>
          <w:tcPr>
            <w:tcW w:w="314" w:type="pct"/>
            <w:tcBorders>
              <w:top w:val="nil"/>
              <w:left w:val="single" w:sz="6" w:space="0" w:color="auto"/>
              <w:bottom w:val="single" w:sz="4" w:space="0" w:color="auto"/>
              <w:right w:val="nil"/>
            </w:tcBorders>
            <w:tcMar>
              <w:top w:w="13"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78,6</w:t>
            </w:r>
          </w:p>
        </w:tc>
        <w:tc>
          <w:tcPr>
            <w:tcW w:w="354" w:type="pct"/>
            <w:tcBorders>
              <w:top w:val="nil"/>
              <w:left w:val="nil"/>
              <w:bottom w:val="single" w:sz="4" w:space="0" w:color="auto"/>
              <w:right w:val="single" w:sz="8" w:space="0" w:color="auto"/>
            </w:tcBorders>
            <w:tcMar>
              <w:top w:w="13" w:type="dxa"/>
              <w:left w:w="13" w:type="dxa"/>
              <w:bottom w:w="0" w:type="dxa"/>
              <w:right w:w="57" w:type="dxa"/>
            </w:tcMar>
            <w:vAlign w:val="center"/>
          </w:tcPr>
          <w:p w:rsidR="00565FD5" w:rsidRPr="001131FC" w:rsidRDefault="00565FD5" w:rsidP="00AB62A3">
            <w:pPr>
              <w:jc w:val="right"/>
              <w:rPr>
                <w:rFonts w:cs="Tahoma"/>
                <w:bCs/>
                <w:sz w:val="14"/>
                <w:szCs w:val="14"/>
              </w:rPr>
            </w:pPr>
            <w:r w:rsidRPr="001131FC">
              <w:rPr>
                <w:rFonts w:cs="Tahoma"/>
                <w:bCs/>
                <w:sz w:val="14"/>
                <w:szCs w:val="14"/>
              </w:rPr>
              <w:t>75,1</w:t>
            </w:r>
          </w:p>
        </w:tc>
        <w:tc>
          <w:tcPr>
            <w:tcW w:w="407" w:type="pct"/>
            <w:tcBorders>
              <w:top w:val="nil"/>
              <w:left w:val="nil"/>
              <w:bottom w:val="single" w:sz="4" w:space="0" w:color="auto"/>
              <w:right w:val="single" w:sz="6" w:space="0" w:color="auto"/>
            </w:tcBorders>
            <w:tcMar>
              <w:top w:w="13" w:type="dxa"/>
              <w:left w:w="13" w:type="dxa"/>
              <w:bottom w:w="0" w:type="dxa"/>
              <w:right w:w="13" w:type="dxa"/>
            </w:tcMar>
            <w:vAlign w:val="center"/>
          </w:tcPr>
          <w:p w:rsidR="00565FD5" w:rsidRPr="001131FC" w:rsidRDefault="00565FD5" w:rsidP="00AB62A3">
            <w:pPr>
              <w:tabs>
                <w:tab w:val="left" w:pos="148"/>
              </w:tabs>
              <w:jc w:val="right"/>
              <w:rPr>
                <w:rFonts w:cs="Tahoma"/>
                <w:bCs/>
                <w:sz w:val="14"/>
                <w:szCs w:val="14"/>
              </w:rPr>
            </w:pPr>
            <w:r w:rsidRPr="001131FC">
              <w:rPr>
                <w:rFonts w:cs="Tahoma"/>
                <w:bCs/>
                <w:sz w:val="14"/>
                <w:szCs w:val="14"/>
              </w:rPr>
              <w:t>27,0</w:t>
            </w:r>
          </w:p>
        </w:tc>
        <w:tc>
          <w:tcPr>
            <w:tcW w:w="428" w:type="pct"/>
            <w:tcBorders>
              <w:top w:val="nil"/>
              <w:left w:val="single" w:sz="6" w:space="0" w:color="auto"/>
              <w:bottom w:val="single" w:sz="4" w:space="0" w:color="auto"/>
              <w:right w:val="single" w:sz="4" w:space="0" w:color="auto"/>
            </w:tcBorders>
            <w:tcMar>
              <w:top w:w="13" w:type="dxa"/>
              <w:left w:w="13" w:type="dxa"/>
              <w:bottom w:w="0" w:type="dxa"/>
              <w:right w:w="13" w:type="dxa"/>
            </w:tcMar>
            <w:vAlign w:val="center"/>
          </w:tcPr>
          <w:p w:rsidR="00565FD5" w:rsidRPr="001131FC" w:rsidRDefault="00565FD5" w:rsidP="00AB62A3">
            <w:pPr>
              <w:jc w:val="right"/>
              <w:rPr>
                <w:rFonts w:cs="Tahoma"/>
                <w:bCs/>
                <w:sz w:val="14"/>
                <w:szCs w:val="14"/>
              </w:rPr>
            </w:pPr>
            <w:r w:rsidRPr="001131FC">
              <w:rPr>
                <w:rFonts w:cs="Tahoma"/>
                <w:bCs/>
                <w:sz w:val="14"/>
                <w:szCs w:val="14"/>
              </w:rPr>
              <w:t>-6,8</w:t>
            </w:r>
          </w:p>
        </w:tc>
      </w:tr>
    </w:tbl>
    <w:p w:rsidR="00565FD5" w:rsidRDefault="00565FD5" w:rsidP="00565FD5">
      <w:pPr>
        <w:tabs>
          <w:tab w:val="left" w:pos="499"/>
        </w:tabs>
        <w:rPr>
          <w:rFonts w:cs="Tahoma"/>
          <w:sz w:val="14"/>
          <w:szCs w:val="14"/>
        </w:rPr>
      </w:pPr>
      <w:r w:rsidRPr="001131FC">
        <w:rPr>
          <w:rFonts w:cs="Tahoma"/>
          <w:sz w:val="14"/>
          <w:szCs w:val="14"/>
        </w:rPr>
        <w:t>Kaynak: TÜİK</w:t>
      </w:r>
    </w:p>
    <w:p w:rsidR="00565FD5" w:rsidRPr="001131FC" w:rsidRDefault="00565FD5" w:rsidP="00565FD5">
      <w:pPr>
        <w:tabs>
          <w:tab w:val="left" w:pos="499"/>
        </w:tabs>
        <w:spacing w:after="180"/>
        <w:rPr>
          <w:rFonts w:cs="Tahoma"/>
          <w:sz w:val="14"/>
          <w:szCs w:val="14"/>
        </w:rPr>
      </w:pPr>
      <w:r>
        <w:rPr>
          <w:rFonts w:cs="Tahoma"/>
          <w:sz w:val="14"/>
          <w:szCs w:val="14"/>
        </w:rPr>
        <w:t>(1) BEC'e göredir.</w:t>
      </w:r>
    </w:p>
    <w:bookmarkEnd w:id="611"/>
    <w:bookmarkEnd w:id="612"/>
    <w:p w:rsidR="00565FD5" w:rsidRPr="001131FC" w:rsidRDefault="00565FD5" w:rsidP="00565FD5">
      <w:pPr>
        <w:spacing w:after="160"/>
        <w:ind w:firstLine="425"/>
        <w:rPr>
          <w:szCs w:val="18"/>
        </w:rPr>
      </w:pPr>
      <w:r w:rsidRPr="001131FC">
        <w:rPr>
          <w:szCs w:val="18"/>
        </w:rPr>
        <w:t>2012 yılında ithalatın bir önceki yıla göre yüzde 0,6 oranında azalarak 239,5 milyar ABD doları olması beklenmektedir. 2012 yılında ithalat fiyatlarının yüzde 1,7 oranında azalacağı ve reel ithalat artışının yüzde 1,2 olacağı öngörülmektedir.</w:t>
      </w:r>
    </w:p>
    <w:p w:rsidR="00565FD5" w:rsidRPr="001131FC" w:rsidRDefault="00565FD5" w:rsidP="00565FD5">
      <w:pPr>
        <w:spacing w:after="180"/>
        <w:ind w:firstLine="425"/>
        <w:rPr>
          <w:szCs w:val="18"/>
        </w:rPr>
      </w:pPr>
      <w:r w:rsidRPr="001131FC">
        <w:rPr>
          <w:szCs w:val="18"/>
        </w:rPr>
        <w:t xml:space="preserve">2011 yılında, yurtiçi talep, üretim ve enerji fiyatlarındaki hızlı artışla beraber ithalatın hızla artması cari açığı olumsuz etkilemiştir. Nitekim 2010 yılında yüzde 6,4 seviyesinde olan cari açığın GSYH’ya oranı, 2011 yılında yüzde 10’a yükselmiştir. 2012 yılında yurtiçi talebin yavaşlamasıyla yıllıklandırılmış cari açığın GSYH’ya oranı ilk çeyrekte yüzde 9,3’e ikinci çeyrekte ise yüzde 8,3’e gerilemiştir. Enerji fiyatlarının 2002 seviyesinde sabit kaldığı varsayıldığında ise söz konusu oran, 2011 yılında yüzde 5,6’ya, 2012 yılı ikinci çeyreğinde yüzde 3,4’e gerilemektedir. </w:t>
      </w:r>
    </w:p>
    <w:p w:rsidR="00565FD5" w:rsidRPr="00AE74B1" w:rsidRDefault="00565FD5" w:rsidP="00565FD5">
      <w:pPr>
        <w:pStyle w:val="ResimYazs"/>
      </w:pPr>
      <w:bookmarkStart w:id="613" w:name="_Toc307601611"/>
      <w:bookmarkStart w:id="614" w:name="_Toc307657853"/>
      <w:bookmarkStart w:id="615" w:name="_Toc307713518"/>
      <w:bookmarkStart w:id="616" w:name="_Toc338605973"/>
      <w:bookmarkStart w:id="617" w:name="_Toc338711748"/>
      <w:r>
        <w:t xml:space="preserve">TABLO II: </w:t>
      </w:r>
      <w:fldSimple w:instr=" SEQ TABLO_II: \* ARABIC ">
        <w:r>
          <w:rPr>
            <w:noProof/>
          </w:rPr>
          <w:t>21</w:t>
        </w:r>
      </w:fldSimple>
      <w:r w:rsidRPr="00AE74B1">
        <w:t xml:space="preserve">- Enerji Fiyatlarının </w:t>
      </w:r>
      <w:r w:rsidRPr="00AE74B1">
        <w:rPr>
          <w:szCs w:val="16"/>
        </w:rPr>
        <w:t>Yıllıklandırılmış</w:t>
      </w:r>
      <w:r w:rsidRPr="00AE74B1">
        <w:t xml:space="preserve"> Cari Açık Üzerine Etkisi</w:t>
      </w:r>
      <w:bookmarkEnd w:id="613"/>
      <w:bookmarkEnd w:id="614"/>
      <w:bookmarkEnd w:id="615"/>
      <w:bookmarkEnd w:id="616"/>
      <w:bookmarkEnd w:id="617"/>
    </w:p>
    <w:p w:rsidR="00565FD5" w:rsidRPr="001131FC" w:rsidRDefault="00565FD5" w:rsidP="00565FD5">
      <w:pPr>
        <w:jc w:val="right"/>
        <w:rPr>
          <w:sz w:val="14"/>
          <w:szCs w:val="16"/>
        </w:rPr>
      </w:pPr>
      <w:r w:rsidRPr="001131FC">
        <w:rPr>
          <w:sz w:val="14"/>
          <w:szCs w:val="16"/>
        </w:rPr>
        <w:t>(Milyar ABD Doları)</w:t>
      </w:r>
    </w:p>
    <w:tbl>
      <w:tblPr>
        <w:tblW w:w="7144" w:type="dxa"/>
        <w:jc w:val="center"/>
        <w:tblCellMar>
          <w:left w:w="70" w:type="dxa"/>
          <w:right w:w="70" w:type="dxa"/>
        </w:tblCellMar>
        <w:tblLook w:val="00A0"/>
      </w:tblPr>
      <w:tblGrid>
        <w:gridCol w:w="4319"/>
        <w:gridCol w:w="496"/>
        <w:gridCol w:w="676"/>
        <w:gridCol w:w="827"/>
        <w:gridCol w:w="826"/>
      </w:tblGrid>
      <w:tr w:rsidR="00565FD5" w:rsidRPr="001131FC" w:rsidTr="00AB62A3">
        <w:trPr>
          <w:trHeight w:val="227"/>
          <w:jc w:val="center"/>
        </w:trPr>
        <w:tc>
          <w:tcPr>
            <w:tcW w:w="3023" w:type="pct"/>
            <w:tcBorders>
              <w:top w:val="single" w:sz="4" w:space="0" w:color="auto"/>
              <w:left w:val="single" w:sz="4" w:space="0" w:color="auto"/>
              <w:bottom w:val="single" w:sz="4" w:space="0" w:color="auto"/>
              <w:right w:val="nil"/>
            </w:tcBorders>
            <w:noWrap/>
            <w:vAlign w:val="center"/>
          </w:tcPr>
          <w:p w:rsidR="00565FD5" w:rsidRPr="001131FC" w:rsidRDefault="00565FD5" w:rsidP="00AB62A3">
            <w:pPr>
              <w:tabs>
                <w:tab w:val="left" w:pos="708"/>
              </w:tabs>
              <w:rPr>
                <w:rFonts w:cs="Tahoma"/>
                <w:sz w:val="14"/>
                <w:szCs w:val="14"/>
                <w:lang w:eastAsia="tr-TR"/>
              </w:rPr>
            </w:pPr>
            <w:r w:rsidRPr="001131FC">
              <w:rPr>
                <w:rFonts w:cs="Tahoma"/>
                <w:sz w:val="14"/>
                <w:szCs w:val="14"/>
                <w:lang w:eastAsia="tr-TR"/>
              </w:rPr>
              <w:t> </w:t>
            </w:r>
          </w:p>
        </w:tc>
        <w:tc>
          <w:tcPr>
            <w:tcW w:w="347" w:type="pct"/>
            <w:tcBorders>
              <w:top w:val="single" w:sz="4" w:space="0" w:color="auto"/>
              <w:left w:val="nil"/>
              <w:bottom w:val="single" w:sz="4" w:space="0" w:color="auto"/>
              <w:right w:val="nil"/>
            </w:tcBorders>
            <w:noWrap/>
            <w:vAlign w:val="center"/>
          </w:tcPr>
          <w:p w:rsidR="00565FD5" w:rsidRPr="001131FC" w:rsidRDefault="00565FD5" w:rsidP="00AB62A3">
            <w:pPr>
              <w:tabs>
                <w:tab w:val="left" w:pos="708"/>
              </w:tabs>
              <w:jc w:val="right"/>
              <w:rPr>
                <w:rFonts w:cs="Tahoma"/>
                <w:b/>
                <w:bCs/>
                <w:sz w:val="14"/>
                <w:szCs w:val="14"/>
                <w:lang w:eastAsia="tr-TR"/>
              </w:rPr>
            </w:pPr>
            <w:r w:rsidRPr="001131FC">
              <w:rPr>
                <w:rFonts w:cs="Tahoma"/>
                <w:b/>
                <w:bCs/>
                <w:sz w:val="14"/>
                <w:szCs w:val="14"/>
                <w:lang w:eastAsia="tr-TR"/>
              </w:rPr>
              <w:t xml:space="preserve">2010 </w:t>
            </w:r>
          </w:p>
        </w:tc>
        <w:tc>
          <w:tcPr>
            <w:tcW w:w="473" w:type="pct"/>
            <w:tcBorders>
              <w:top w:val="single" w:sz="4" w:space="0" w:color="auto"/>
              <w:left w:val="nil"/>
              <w:bottom w:val="single" w:sz="4" w:space="0" w:color="auto"/>
              <w:right w:val="nil"/>
            </w:tcBorders>
            <w:noWrap/>
            <w:vAlign w:val="center"/>
          </w:tcPr>
          <w:p w:rsidR="00565FD5" w:rsidRPr="001131FC" w:rsidRDefault="00565FD5" w:rsidP="00AB62A3">
            <w:pPr>
              <w:tabs>
                <w:tab w:val="left" w:pos="708"/>
              </w:tabs>
              <w:jc w:val="right"/>
              <w:rPr>
                <w:rFonts w:cs="Tahoma"/>
                <w:b/>
                <w:bCs/>
                <w:sz w:val="14"/>
                <w:szCs w:val="14"/>
                <w:lang w:eastAsia="tr-TR"/>
              </w:rPr>
            </w:pPr>
            <w:r w:rsidRPr="001131FC">
              <w:rPr>
                <w:rFonts w:cs="Tahoma"/>
                <w:b/>
                <w:bCs/>
                <w:sz w:val="14"/>
                <w:szCs w:val="14"/>
                <w:lang w:eastAsia="tr-TR"/>
              </w:rPr>
              <w:t xml:space="preserve">2011 </w:t>
            </w:r>
          </w:p>
        </w:tc>
        <w:tc>
          <w:tcPr>
            <w:tcW w:w="579" w:type="pct"/>
            <w:tcBorders>
              <w:top w:val="single" w:sz="4" w:space="0" w:color="auto"/>
              <w:left w:val="nil"/>
              <w:bottom w:val="single" w:sz="4" w:space="0" w:color="auto"/>
              <w:right w:val="nil"/>
            </w:tcBorders>
            <w:noWrap/>
            <w:vAlign w:val="center"/>
          </w:tcPr>
          <w:p w:rsidR="00565FD5" w:rsidRPr="001131FC" w:rsidRDefault="00565FD5" w:rsidP="00AB62A3">
            <w:pPr>
              <w:tabs>
                <w:tab w:val="left" w:pos="708"/>
              </w:tabs>
              <w:jc w:val="right"/>
              <w:rPr>
                <w:rFonts w:cs="Tahoma"/>
                <w:b/>
                <w:bCs/>
                <w:sz w:val="14"/>
                <w:szCs w:val="14"/>
                <w:lang w:eastAsia="tr-TR"/>
              </w:rPr>
            </w:pPr>
            <w:r w:rsidRPr="001131FC">
              <w:rPr>
                <w:rFonts w:cs="Tahoma"/>
                <w:b/>
                <w:bCs/>
                <w:sz w:val="14"/>
                <w:szCs w:val="14"/>
                <w:lang w:eastAsia="tr-TR"/>
              </w:rPr>
              <w:t>2012-1.Ç.</w:t>
            </w:r>
          </w:p>
        </w:tc>
        <w:tc>
          <w:tcPr>
            <w:tcW w:w="578" w:type="pct"/>
            <w:tcBorders>
              <w:top w:val="single" w:sz="4" w:space="0" w:color="auto"/>
              <w:left w:val="nil"/>
              <w:bottom w:val="single" w:sz="4" w:space="0" w:color="auto"/>
              <w:right w:val="single" w:sz="4" w:space="0" w:color="auto"/>
            </w:tcBorders>
            <w:noWrap/>
            <w:vAlign w:val="center"/>
          </w:tcPr>
          <w:p w:rsidR="00565FD5" w:rsidRPr="001131FC" w:rsidRDefault="00565FD5" w:rsidP="00AB62A3">
            <w:pPr>
              <w:tabs>
                <w:tab w:val="left" w:pos="708"/>
              </w:tabs>
              <w:jc w:val="right"/>
              <w:rPr>
                <w:rFonts w:cs="Tahoma"/>
                <w:b/>
                <w:bCs/>
                <w:sz w:val="14"/>
                <w:szCs w:val="14"/>
                <w:lang w:eastAsia="tr-TR"/>
              </w:rPr>
            </w:pPr>
            <w:r w:rsidRPr="001131FC">
              <w:rPr>
                <w:rFonts w:cs="Tahoma"/>
                <w:b/>
                <w:bCs/>
                <w:sz w:val="14"/>
                <w:szCs w:val="14"/>
                <w:lang w:eastAsia="tr-TR"/>
              </w:rPr>
              <w:t>2012-2.Ç.</w:t>
            </w:r>
          </w:p>
        </w:tc>
      </w:tr>
      <w:tr w:rsidR="00565FD5" w:rsidRPr="001131FC" w:rsidTr="00AB62A3">
        <w:trPr>
          <w:trHeight w:val="198"/>
          <w:jc w:val="center"/>
        </w:trPr>
        <w:tc>
          <w:tcPr>
            <w:tcW w:w="3023" w:type="pct"/>
            <w:tcBorders>
              <w:top w:val="nil"/>
              <w:left w:val="single" w:sz="4" w:space="0" w:color="auto"/>
              <w:bottom w:val="nil"/>
              <w:right w:val="nil"/>
            </w:tcBorders>
            <w:noWrap/>
            <w:vAlign w:val="center"/>
          </w:tcPr>
          <w:p w:rsidR="00565FD5" w:rsidRPr="001131FC" w:rsidRDefault="00565FD5" w:rsidP="00AB62A3">
            <w:pPr>
              <w:tabs>
                <w:tab w:val="left" w:pos="708"/>
              </w:tabs>
              <w:rPr>
                <w:rFonts w:cs="Tahoma"/>
                <w:sz w:val="14"/>
                <w:szCs w:val="14"/>
                <w:lang w:eastAsia="tr-TR"/>
              </w:rPr>
            </w:pPr>
            <w:r w:rsidRPr="001131FC">
              <w:rPr>
                <w:rFonts w:cs="Tahoma"/>
                <w:sz w:val="14"/>
                <w:szCs w:val="14"/>
                <w:lang w:eastAsia="tr-TR"/>
              </w:rPr>
              <w:t>Cari İşlemler Hesabı</w:t>
            </w:r>
          </w:p>
        </w:tc>
        <w:tc>
          <w:tcPr>
            <w:tcW w:w="347" w:type="pct"/>
            <w:noWrap/>
            <w:vAlign w:val="center"/>
          </w:tcPr>
          <w:p w:rsidR="00565FD5" w:rsidRPr="001131FC" w:rsidRDefault="00565FD5" w:rsidP="00AB62A3">
            <w:pPr>
              <w:jc w:val="right"/>
              <w:rPr>
                <w:rFonts w:cs="Tahoma"/>
                <w:sz w:val="14"/>
                <w:szCs w:val="14"/>
              </w:rPr>
            </w:pPr>
            <w:r w:rsidRPr="001131FC">
              <w:rPr>
                <w:rFonts w:cs="Tahoma"/>
                <w:sz w:val="14"/>
                <w:szCs w:val="14"/>
              </w:rPr>
              <w:t>-46,6</w:t>
            </w:r>
          </w:p>
        </w:tc>
        <w:tc>
          <w:tcPr>
            <w:tcW w:w="473" w:type="pct"/>
            <w:noWrap/>
            <w:vAlign w:val="center"/>
          </w:tcPr>
          <w:p w:rsidR="00565FD5" w:rsidRPr="001131FC" w:rsidRDefault="00565FD5" w:rsidP="00AB62A3">
            <w:pPr>
              <w:jc w:val="right"/>
              <w:rPr>
                <w:rFonts w:cs="Tahoma"/>
                <w:sz w:val="14"/>
                <w:szCs w:val="14"/>
              </w:rPr>
            </w:pPr>
            <w:r w:rsidRPr="001131FC">
              <w:rPr>
                <w:rFonts w:cs="Tahoma"/>
                <w:sz w:val="14"/>
                <w:szCs w:val="14"/>
              </w:rPr>
              <w:t>-77,1</w:t>
            </w:r>
          </w:p>
        </w:tc>
        <w:tc>
          <w:tcPr>
            <w:tcW w:w="579" w:type="pct"/>
            <w:noWrap/>
            <w:vAlign w:val="center"/>
          </w:tcPr>
          <w:p w:rsidR="00565FD5" w:rsidRPr="001131FC" w:rsidRDefault="00565FD5" w:rsidP="00AB62A3">
            <w:pPr>
              <w:jc w:val="right"/>
              <w:rPr>
                <w:rFonts w:cs="Tahoma"/>
                <w:sz w:val="14"/>
                <w:szCs w:val="14"/>
              </w:rPr>
            </w:pPr>
            <w:r w:rsidRPr="001131FC">
              <w:rPr>
                <w:rFonts w:cs="Tahoma"/>
                <w:sz w:val="14"/>
                <w:szCs w:val="14"/>
              </w:rPr>
              <w:t>-71,8</w:t>
            </w:r>
          </w:p>
        </w:tc>
        <w:tc>
          <w:tcPr>
            <w:tcW w:w="578" w:type="pct"/>
            <w:tcBorders>
              <w:top w:val="nil"/>
              <w:left w:val="nil"/>
              <w:bottom w:val="nil"/>
              <w:right w:val="single" w:sz="4" w:space="0" w:color="auto"/>
            </w:tcBorders>
            <w:noWrap/>
            <w:vAlign w:val="center"/>
          </w:tcPr>
          <w:p w:rsidR="00565FD5" w:rsidRPr="001131FC" w:rsidRDefault="00565FD5" w:rsidP="00AB62A3">
            <w:pPr>
              <w:jc w:val="right"/>
              <w:rPr>
                <w:rFonts w:cs="Tahoma"/>
                <w:sz w:val="14"/>
                <w:szCs w:val="14"/>
              </w:rPr>
            </w:pPr>
            <w:r w:rsidRPr="001131FC">
              <w:rPr>
                <w:rFonts w:cs="Tahoma"/>
                <w:sz w:val="14"/>
                <w:szCs w:val="14"/>
              </w:rPr>
              <w:t>-63,2</w:t>
            </w:r>
          </w:p>
        </w:tc>
      </w:tr>
      <w:tr w:rsidR="00565FD5" w:rsidRPr="001131FC" w:rsidTr="00AB62A3">
        <w:trPr>
          <w:trHeight w:val="198"/>
          <w:jc w:val="center"/>
        </w:trPr>
        <w:tc>
          <w:tcPr>
            <w:tcW w:w="3023" w:type="pct"/>
            <w:tcBorders>
              <w:top w:val="nil"/>
              <w:left w:val="single" w:sz="4" w:space="0" w:color="auto"/>
              <w:bottom w:val="nil"/>
              <w:right w:val="nil"/>
            </w:tcBorders>
            <w:noWrap/>
            <w:vAlign w:val="center"/>
          </w:tcPr>
          <w:p w:rsidR="00565FD5" w:rsidRPr="001131FC" w:rsidRDefault="00565FD5" w:rsidP="00AB62A3">
            <w:pPr>
              <w:tabs>
                <w:tab w:val="left" w:pos="708"/>
              </w:tabs>
              <w:rPr>
                <w:rFonts w:cs="Tahoma"/>
                <w:sz w:val="14"/>
                <w:szCs w:val="14"/>
                <w:lang w:eastAsia="tr-TR"/>
              </w:rPr>
            </w:pPr>
            <w:r w:rsidRPr="001131FC">
              <w:rPr>
                <w:rFonts w:cs="Tahoma"/>
                <w:sz w:val="14"/>
                <w:szCs w:val="14"/>
                <w:lang w:eastAsia="tr-TR"/>
              </w:rPr>
              <w:t>Net Enerji İthalatı (27. Fasıl İhracatı - İthalatı)</w:t>
            </w:r>
          </w:p>
        </w:tc>
        <w:tc>
          <w:tcPr>
            <w:tcW w:w="347" w:type="pct"/>
            <w:noWrap/>
            <w:vAlign w:val="center"/>
          </w:tcPr>
          <w:p w:rsidR="00565FD5" w:rsidRPr="001131FC" w:rsidRDefault="00565FD5" w:rsidP="00AB62A3">
            <w:pPr>
              <w:jc w:val="right"/>
              <w:rPr>
                <w:rFonts w:cs="Tahoma"/>
                <w:sz w:val="14"/>
                <w:szCs w:val="14"/>
              </w:rPr>
            </w:pPr>
            <w:r w:rsidRPr="001131FC">
              <w:rPr>
                <w:rFonts w:cs="Tahoma"/>
                <w:sz w:val="14"/>
                <w:szCs w:val="14"/>
              </w:rPr>
              <w:t>-34,0</w:t>
            </w:r>
          </w:p>
        </w:tc>
        <w:tc>
          <w:tcPr>
            <w:tcW w:w="473" w:type="pct"/>
            <w:noWrap/>
            <w:vAlign w:val="center"/>
          </w:tcPr>
          <w:p w:rsidR="00565FD5" w:rsidRPr="001131FC" w:rsidRDefault="00565FD5" w:rsidP="00AB62A3">
            <w:pPr>
              <w:jc w:val="right"/>
              <w:rPr>
                <w:rFonts w:cs="Tahoma"/>
                <w:sz w:val="14"/>
                <w:szCs w:val="14"/>
              </w:rPr>
            </w:pPr>
            <w:r w:rsidRPr="001131FC">
              <w:rPr>
                <w:rFonts w:cs="Tahoma"/>
                <w:sz w:val="14"/>
                <w:szCs w:val="14"/>
              </w:rPr>
              <w:t>-47,6</w:t>
            </w:r>
          </w:p>
        </w:tc>
        <w:tc>
          <w:tcPr>
            <w:tcW w:w="579" w:type="pct"/>
            <w:noWrap/>
            <w:vAlign w:val="center"/>
          </w:tcPr>
          <w:p w:rsidR="00565FD5" w:rsidRPr="001131FC" w:rsidRDefault="00565FD5" w:rsidP="00AB62A3">
            <w:pPr>
              <w:jc w:val="right"/>
              <w:rPr>
                <w:rFonts w:cs="Tahoma"/>
                <w:sz w:val="14"/>
                <w:szCs w:val="14"/>
              </w:rPr>
            </w:pPr>
            <w:r w:rsidRPr="001131FC">
              <w:rPr>
                <w:rFonts w:cs="Tahoma"/>
                <w:sz w:val="14"/>
                <w:szCs w:val="14"/>
              </w:rPr>
              <w:t>-49,9</w:t>
            </w:r>
          </w:p>
        </w:tc>
        <w:tc>
          <w:tcPr>
            <w:tcW w:w="578" w:type="pct"/>
            <w:tcBorders>
              <w:top w:val="nil"/>
              <w:left w:val="nil"/>
              <w:bottom w:val="nil"/>
              <w:right w:val="single" w:sz="4" w:space="0" w:color="auto"/>
            </w:tcBorders>
            <w:noWrap/>
            <w:vAlign w:val="center"/>
          </w:tcPr>
          <w:p w:rsidR="00565FD5" w:rsidRPr="001131FC" w:rsidRDefault="00565FD5" w:rsidP="00AB62A3">
            <w:pPr>
              <w:jc w:val="right"/>
              <w:rPr>
                <w:rFonts w:cs="Tahoma"/>
                <w:sz w:val="14"/>
                <w:szCs w:val="14"/>
              </w:rPr>
            </w:pPr>
            <w:r w:rsidRPr="001131FC">
              <w:rPr>
                <w:rFonts w:cs="Tahoma"/>
                <w:sz w:val="14"/>
                <w:szCs w:val="14"/>
              </w:rPr>
              <w:t>-51,4</w:t>
            </w:r>
          </w:p>
        </w:tc>
      </w:tr>
      <w:tr w:rsidR="00565FD5" w:rsidRPr="001131FC" w:rsidTr="00AB62A3">
        <w:trPr>
          <w:trHeight w:val="198"/>
          <w:jc w:val="center"/>
        </w:trPr>
        <w:tc>
          <w:tcPr>
            <w:tcW w:w="3023" w:type="pct"/>
            <w:tcBorders>
              <w:top w:val="nil"/>
              <w:left w:val="single" w:sz="4" w:space="0" w:color="auto"/>
              <w:bottom w:val="nil"/>
              <w:right w:val="nil"/>
            </w:tcBorders>
            <w:noWrap/>
            <w:vAlign w:val="center"/>
          </w:tcPr>
          <w:p w:rsidR="00565FD5" w:rsidRPr="001131FC" w:rsidRDefault="00565FD5" w:rsidP="00AB62A3">
            <w:pPr>
              <w:tabs>
                <w:tab w:val="left" w:pos="708"/>
              </w:tabs>
              <w:rPr>
                <w:rFonts w:cs="Tahoma"/>
                <w:sz w:val="14"/>
                <w:szCs w:val="14"/>
                <w:lang w:eastAsia="tr-TR"/>
              </w:rPr>
            </w:pPr>
            <w:r w:rsidRPr="001131FC">
              <w:rPr>
                <w:rFonts w:cs="Tahoma"/>
                <w:sz w:val="14"/>
                <w:szCs w:val="14"/>
                <w:lang w:eastAsia="tr-TR"/>
              </w:rPr>
              <w:t>2002 Fiyatlarıyla Net Enerji İthalatı</w:t>
            </w:r>
          </w:p>
        </w:tc>
        <w:tc>
          <w:tcPr>
            <w:tcW w:w="347" w:type="pct"/>
            <w:noWrap/>
            <w:vAlign w:val="center"/>
          </w:tcPr>
          <w:p w:rsidR="00565FD5" w:rsidRPr="001131FC" w:rsidRDefault="00565FD5" w:rsidP="00AB62A3">
            <w:pPr>
              <w:jc w:val="right"/>
              <w:rPr>
                <w:rFonts w:cs="Tahoma"/>
                <w:sz w:val="14"/>
                <w:szCs w:val="14"/>
              </w:rPr>
            </w:pPr>
            <w:r w:rsidRPr="001131FC">
              <w:rPr>
                <w:rFonts w:cs="Tahoma"/>
                <w:sz w:val="14"/>
                <w:szCs w:val="14"/>
              </w:rPr>
              <w:t>-13,2</w:t>
            </w:r>
          </w:p>
        </w:tc>
        <w:tc>
          <w:tcPr>
            <w:tcW w:w="473" w:type="pct"/>
            <w:noWrap/>
            <w:vAlign w:val="center"/>
          </w:tcPr>
          <w:p w:rsidR="00565FD5" w:rsidRPr="001131FC" w:rsidRDefault="00565FD5" w:rsidP="00AB62A3">
            <w:pPr>
              <w:jc w:val="right"/>
              <w:rPr>
                <w:rFonts w:cs="Tahoma"/>
                <w:sz w:val="14"/>
                <w:szCs w:val="14"/>
              </w:rPr>
            </w:pPr>
            <w:r w:rsidRPr="001131FC">
              <w:rPr>
                <w:rFonts w:cs="Tahoma"/>
                <w:sz w:val="14"/>
                <w:szCs w:val="14"/>
              </w:rPr>
              <w:t>-13,9</w:t>
            </w:r>
          </w:p>
        </w:tc>
        <w:tc>
          <w:tcPr>
            <w:tcW w:w="579" w:type="pct"/>
            <w:noWrap/>
            <w:vAlign w:val="center"/>
          </w:tcPr>
          <w:p w:rsidR="00565FD5" w:rsidRPr="001131FC" w:rsidRDefault="00565FD5" w:rsidP="00AB62A3">
            <w:pPr>
              <w:jc w:val="right"/>
              <w:rPr>
                <w:rFonts w:cs="Tahoma"/>
                <w:sz w:val="14"/>
                <w:szCs w:val="14"/>
              </w:rPr>
            </w:pPr>
            <w:r w:rsidRPr="001131FC">
              <w:rPr>
                <w:rFonts w:cs="Tahoma"/>
                <w:sz w:val="14"/>
                <w:szCs w:val="14"/>
              </w:rPr>
              <w:t>-14,0</w:t>
            </w:r>
          </w:p>
        </w:tc>
        <w:tc>
          <w:tcPr>
            <w:tcW w:w="578" w:type="pct"/>
            <w:tcBorders>
              <w:top w:val="nil"/>
              <w:left w:val="nil"/>
              <w:bottom w:val="nil"/>
              <w:right w:val="single" w:sz="4" w:space="0" w:color="auto"/>
            </w:tcBorders>
            <w:noWrap/>
            <w:vAlign w:val="center"/>
          </w:tcPr>
          <w:p w:rsidR="00565FD5" w:rsidRPr="001131FC" w:rsidRDefault="00565FD5" w:rsidP="00AB62A3">
            <w:pPr>
              <w:jc w:val="right"/>
              <w:rPr>
                <w:rFonts w:cs="Tahoma"/>
                <w:sz w:val="14"/>
                <w:szCs w:val="14"/>
              </w:rPr>
            </w:pPr>
            <w:r w:rsidRPr="001131FC">
              <w:rPr>
                <w:rFonts w:cs="Tahoma"/>
                <w:sz w:val="14"/>
                <w:szCs w:val="14"/>
              </w:rPr>
              <w:t>-14,3</w:t>
            </w:r>
          </w:p>
        </w:tc>
      </w:tr>
      <w:tr w:rsidR="00565FD5" w:rsidRPr="001131FC" w:rsidTr="00AB62A3">
        <w:trPr>
          <w:trHeight w:val="198"/>
          <w:jc w:val="center"/>
        </w:trPr>
        <w:tc>
          <w:tcPr>
            <w:tcW w:w="3023" w:type="pct"/>
            <w:tcBorders>
              <w:top w:val="nil"/>
              <w:left w:val="single" w:sz="4" w:space="0" w:color="auto"/>
              <w:bottom w:val="nil"/>
              <w:right w:val="nil"/>
            </w:tcBorders>
            <w:noWrap/>
            <w:vAlign w:val="center"/>
          </w:tcPr>
          <w:p w:rsidR="00565FD5" w:rsidRPr="001131FC" w:rsidRDefault="00565FD5" w:rsidP="00AB62A3">
            <w:pPr>
              <w:tabs>
                <w:tab w:val="left" w:pos="708"/>
              </w:tabs>
              <w:rPr>
                <w:rFonts w:cs="Tahoma"/>
                <w:sz w:val="14"/>
                <w:szCs w:val="14"/>
                <w:lang w:eastAsia="tr-TR"/>
              </w:rPr>
            </w:pPr>
            <w:r w:rsidRPr="001131FC">
              <w:rPr>
                <w:rFonts w:cs="Tahoma"/>
                <w:sz w:val="14"/>
                <w:szCs w:val="14"/>
                <w:lang w:eastAsia="tr-TR"/>
              </w:rPr>
              <w:lastRenderedPageBreak/>
              <w:t>Enerji Fiyat Etkisinden Arındırılmış Cari İşlemler Açığı (1)</w:t>
            </w:r>
          </w:p>
        </w:tc>
        <w:tc>
          <w:tcPr>
            <w:tcW w:w="347" w:type="pct"/>
            <w:noWrap/>
            <w:vAlign w:val="center"/>
          </w:tcPr>
          <w:p w:rsidR="00565FD5" w:rsidRPr="001131FC" w:rsidRDefault="00565FD5" w:rsidP="00AB62A3">
            <w:pPr>
              <w:jc w:val="right"/>
              <w:rPr>
                <w:rFonts w:cs="Tahoma"/>
                <w:sz w:val="14"/>
                <w:szCs w:val="14"/>
              </w:rPr>
            </w:pPr>
            <w:r w:rsidRPr="001131FC">
              <w:rPr>
                <w:rFonts w:cs="Tahoma"/>
                <w:sz w:val="14"/>
                <w:szCs w:val="14"/>
              </w:rPr>
              <w:t>-25,8</w:t>
            </w:r>
          </w:p>
        </w:tc>
        <w:tc>
          <w:tcPr>
            <w:tcW w:w="473" w:type="pct"/>
            <w:noWrap/>
            <w:vAlign w:val="center"/>
          </w:tcPr>
          <w:p w:rsidR="00565FD5" w:rsidRPr="001131FC" w:rsidRDefault="00565FD5" w:rsidP="00AB62A3">
            <w:pPr>
              <w:jc w:val="right"/>
              <w:rPr>
                <w:rFonts w:cs="Tahoma"/>
                <w:sz w:val="14"/>
                <w:szCs w:val="14"/>
              </w:rPr>
            </w:pPr>
            <w:r w:rsidRPr="001131FC">
              <w:rPr>
                <w:rFonts w:cs="Tahoma"/>
                <w:sz w:val="14"/>
                <w:szCs w:val="14"/>
              </w:rPr>
              <w:t>-43,5</w:t>
            </w:r>
          </w:p>
        </w:tc>
        <w:tc>
          <w:tcPr>
            <w:tcW w:w="579" w:type="pct"/>
            <w:noWrap/>
            <w:vAlign w:val="center"/>
          </w:tcPr>
          <w:p w:rsidR="00565FD5" w:rsidRPr="001131FC" w:rsidRDefault="00565FD5" w:rsidP="00AB62A3">
            <w:pPr>
              <w:jc w:val="right"/>
              <w:rPr>
                <w:rFonts w:cs="Tahoma"/>
                <w:sz w:val="14"/>
                <w:szCs w:val="14"/>
              </w:rPr>
            </w:pPr>
            <w:r w:rsidRPr="001131FC">
              <w:rPr>
                <w:rFonts w:cs="Tahoma"/>
                <w:sz w:val="14"/>
                <w:szCs w:val="14"/>
              </w:rPr>
              <w:t>-35,9</w:t>
            </w:r>
          </w:p>
        </w:tc>
        <w:tc>
          <w:tcPr>
            <w:tcW w:w="578" w:type="pct"/>
            <w:tcBorders>
              <w:top w:val="nil"/>
              <w:left w:val="nil"/>
              <w:bottom w:val="nil"/>
              <w:right w:val="single" w:sz="4" w:space="0" w:color="auto"/>
            </w:tcBorders>
            <w:noWrap/>
            <w:vAlign w:val="center"/>
          </w:tcPr>
          <w:p w:rsidR="00565FD5" w:rsidRPr="001131FC" w:rsidRDefault="00565FD5" w:rsidP="00AB62A3">
            <w:pPr>
              <w:jc w:val="right"/>
              <w:rPr>
                <w:rFonts w:cs="Tahoma"/>
                <w:sz w:val="14"/>
                <w:szCs w:val="14"/>
              </w:rPr>
            </w:pPr>
            <w:r w:rsidRPr="001131FC">
              <w:rPr>
                <w:rFonts w:cs="Tahoma"/>
                <w:sz w:val="14"/>
                <w:szCs w:val="14"/>
              </w:rPr>
              <w:t>-26,1</w:t>
            </w:r>
          </w:p>
        </w:tc>
      </w:tr>
      <w:tr w:rsidR="00565FD5" w:rsidRPr="001131FC" w:rsidTr="00AB62A3">
        <w:trPr>
          <w:trHeight w:val="198"/>
          <w:jc w:val="center"/>
        </w:trPr>
        <w:tc>
          <w:tcPr>
            <w:tcW w:w="3023" w:type="pct"/>
            <w:tcBorders>
              <w:top w:val="nil"/>
              <w:left w:val="single" w:sz="4" w:space="0" w:color="auto"/>
              <w:bottom w:val="nil"/>
              <w:right w:val="nil"/>
            </w:tcBorders>
            <w:noWrap/>
            <w:vAlign w:val="center"/>
          </w:tcPr>
          <w:p w:rsidR="00565FD5" w:rsidRPr="001131FC" w:rsidRDefault="00565FD5" w:rsidP="00AB62A3">
            <w:pPr>
              <w:tabs>
                <w:tab w:val="left" w:pos="708"/>
              </w:tabs>
              <w:rPr>
                <w:rFonts w:cs="Tahoma"/>
                <w:sz w:val="14"/>
                <w:szCs w:val="14"/>
                <w:lang w:eastAsia="tr-TR"/>
              </w:rPr>
            </w:pPr>
            <w:r w:rsidRPr="001131FC">
              <w:rPr>
                <w:rFonts w:cs="Tahoma"/>
                <w:sz w:val="14"/>
                <w:szCs w:val="14"/>
                <w:lang w:eastAsia="tr-TR"/>
              </w:rPr>
              <w:t>Cari İşlemler Açığı / GSYH (%)</w:t>
            </w:r>
          </w:p>
        </w:tc>
        <w:tc>
          <w:tcPr>
            <w:tcW w:w="347" w:type="pct"/>
            <w:noWrap/>
            <w:vAlign w:val="center"/>
          </w:tcPr>
          <w:p w:rsidR="00565FD5" w:rsidRPr="001131FC" w:rsidRDefault="00565FD5" w:rsidP="00AB62A3">
            <w:pPr>
              <w:jc w:val="right"/>
              <w:rPr>
                <w:rFonts w:cs="Tahoma"/>
                <w:sz w:val="14"/>
                <w:szCs w:val="14"/>
              </w:rPr>
            </w:pPr>
            <w:r w:rsidRPr="001131FC">
              <w:rPr>
                <w:rFonts w:cs="Tahoma"/>
                <w:sz w:val="14"/>
                <w:szCs w:val="14"/>
              </w:rPr>
              <w:t>-6,4</w:t>
            </w:r>
          </w:p>
        </w:tc>
        <w:tc>
          <w:tcPr>
            <w:tcW w:w="473" w:type="pct"/>
            <w:noWrap/>
            <w:vAlign w:val="center"/>
          </w:tcPr>
          <w:p w:rsidR="00565FD5" w:rsidRPr="001131FC" w:rsidRDefault="00565FD5" w:rsidP="00AB62A3">
            <w:pPr>
              <w:jc w:val="right"/>
              <w:rPr>
                <w:rFonts w:cs="Tahoma"/>
                <w:sz w:val="14"/>
                <w:szCs w:val="14"/>
              </w:rPr>
            </w:pPr>
            <w:r w:rsidRPr="001131FC">
              <w:rPr>
                <w:rFonts w:cs="Tahoma"/>
                <w:sz w:val="14"/>
                <w:szCs w:val="14"/>
              </w:rPr>
              <w:t>-10,0</w:t>
            </w:r>
          </w:p>
        </w:tc>
        <w:tc>
          <w:tcPr>
            <w:tcW w:w="579" w:type="pct"/>
            <w:noWrap/>
            <w:vAlign w:val="center"/>
          </w:tcPr>
          <w:p w:rsidR="00565FD5" w:rsidRPr="001131FC" w:rsidRDefault="00565FD5" w:rsidP="00AB62A3">
            <w:pPr>
              <w:jc w:val="right"/>
              <w:rPr>
                <w:rFonts w:cs="Tahoma"/>
                <w:sz w:val="14"/>
                <w:szCs w:val="14"/>
              </w:rPr>
            </w:pPr>
            <w:r w:rsidRPr="001131FC">
              <w:rPr>
                <w:rFonts w:cs="Tahoma"/>
                <w:sz w:val="14"/>
                <w:szCs w:val="14"/>
              </w:rPr>
              <w:t>-9,3</w:t>
            </w:r>
          </w:p>
        </w:tc>
        <w:tc>
          <w:tcPr>
            <w:tcW w:w="578" w:type="pct"/>
            <w:tcBorders>
              <w:top w:val="nil"/>
              <w:left w:val="nil"/>
              <w:bottom w:val="nil"/>
              <w:right w:val="single" w:sz="4" w:space="0" w:color="auto"/>
            </w:tcBorders>
            <w:noWrap/>
            <w:vAlign w:val="center"/>
          </w:tcPr>
          <w:p w:rsidR="00565FD5" w:rsidRPr="001131FC" w:rsidRDefault="00565FD5" w:rsidP="00AB62A3">
            <w:pPr>
              <w:jc w:val="right"/>
              <w:rPr>
                <w:rFonts w:cs="Tahoma"/>
                <w:sz w:val="14"/>
                <w:szCs w:val="14"/>
              </w:rPr>
            </w:pPr>
            <w:r w:rsidRPr="001131FC">
              <w:rPr>
                <w:rFonts w:cs="Tahoma"/>
                <w:sz w:val="14"/>
                <w:szCs w:val="14"/>
              </w:rPr>
              <w:t>-8,3</w:t>
            </w:r>
          </w:p>
        </w:tc>
      </w:tr>
      <w:tr w:rsidR="00565FD5" w:rsidRPr="001131FC" w:rsidTr="00AB62A3">
        <w:trPr>
          <w:trHeight w:val="198"/>
          <w:jc w:val="center"/>
        </w:trPr>
        <w:tc>
          <w:tcPr>
            <w:tcW w:w="3023" w:type="pct"/>
            <w:tcBorders>
              <w:top w:val="nil"/>
              <w:left w:val="single" w:sz="4" w:space="0" w:color="auto"/>
              <w:bottom w:val="single" w:sz="4" w:space="0" w:color="auto"/>
              <w:right w:val="nil"/>
            </w:tcBorders>
            <w:noWrap/>
            <w:vAlign w:val="center"/>
          </w:tcPr>
          <w:p w:rsidR="00565FD5" w:rsidRPr="001131FC" w:rsidRDefault="00565FD5" w:rsidP="00AB62A3">
            <w:pPr>
              <w:tabs>
                <w:tab w:val="left" w:pos="708"/>
              </w:tabs>
              <w:rPr>
                <w:rFonts w:cs="Tahoma"/>
                <w:sz w:val="14"/>
                <w:szCs w:val="14"/>
                <w:lang w:eastAsia="tr-TR"/>
              </w:rPr>
            </w:pPr>
            <w:r w:rsidRPr="001131FC">
              <w:rPr>
                <w:rFonts w:cs="Tahoma"/>
                <w:sz w:val="14"/>
                <w:szCs w:val="14"/>
                <w:lang w:eastAsia="tr-TR"/>
              </w:rPr>
              <w:t>Enerji Fiyat Etkisinden Arındırılmış Cari İşlemler Açığı / GSYH (%)</w:t>
            </w:r>
          </w:p>
        </w:tc>
        <w:tc>
          <w:tcPr>
            <w:tcW w:w="347" w:type="pct"/>
            <w:tcBorders>
              <w:top w:val="nil"/>
              <w:left w:val="nil"/>
              <w:bottom w:val="single" w:sz="4" w:space="0" w:color="auto"/>
              <w:right w:val="nil"/>
            </w:tcBorders>
            <w:noWrap/>
            <w:vAlign w:val="center"/>
          </w:tcPr>
          <w:p w:rsidR="00565FD5" w:rsidRPr="001131FC" w:rsidRDefault="00565FD5" w:rsidP="00AB62A3">
            <w:pPr>
              <w:jc w:val="right"/>
              <w:rPr>
                <w:rFonts w:cs="Tahoma"/>
                <w:sz w:val="14"/>
                <w:szCs w:val="14"/>
              </w:rPr>
            </w:pPr>
            <w:r w:rsidRPr="001131FC">
              <w:rPr>
                <w:rFonts w:cs="Tahoma"/>
                <w:sz w:val="14"/>
                <w:szCs w:val="14"/>
              </w:rPr>
              <w:t>-3,5</w:t>
            </w:r>
          </w:p>
        </w:tc>
        <w:tc>
          <w:tcPr>
            <w:tcW w:w="473" w:type="pct"/>
            <w:tcBorders>
              <w:top w:val="nil"/>
              <w:left w:val="nil"/>
              <w:bottom w:val="single" w:sz="4" w:space="0" w:color="auto"/>
              <w:right w:val="nil"/>
            </w:tcBorders>
            <w:noWrap/>
            <w:vAlign w:val="center"/>
          </w:tcPr>
          <w:p w:rsidR="00565FD5" w:rsidRPr="001131FC" w:rsidRDefault="00565FD5" w:rsidP="00AB62A3">
            <w:pPr>
              <w:jc w:val="right"/>
              <w:rPr>
                <w:rFonts w:cs="Tahoma"/>
                <w:sz w:val="14"/>
                <w:szCs w:val="14"/>
              </w:rPr>
            </w:pPr>
            <w:r w:rsidRPr="001131FC">
              <w:rPr>
                <w:rFonts w:cs="Tahoma"/>
                <w:sz w:val="14"/>
                <w:szCs w:val="14"/>
              </w:rPr>
              <w:t>-5,6</w:t>
            </w:r>
          </w:p>
        </w:tc>
        <w:tc>
          <w:tcPr>
            <w:tcW w:w="579" w:type="pct"/>
            <w:tcBorders>
              <w:top w:val="nil"/>
              <w:left w:val="nil"/>
              <w:bottom w:val="single" w:sz="4" w:space="0" w:color="auto"/>
              <w:right w:val="nil"/>
            </w:tcBorders>
            <w:noWrap/>
            <w:vAlign w:val="center"/>
          </w:tcPr>
          <w:p w:rsidR="00565FD5" w:rsidRPr="001131FC" w:rsidRDefault="00565FD5" w:rsidP="00AB62A3">
            <w:pPr>
              <w:jc w:val="right"/>
              <w:rPr>
                <w:rFonts w:cs="Tahoma"/>
                <w:sz w:val="14"/>
                <w:szCs w:val="14"/>
              </w:rPr>
            </w:pPr>
            <w:r w:rsidRPr="001131FC">
              <w:rPr>
                <w:rFonts w:cs="Tahoma"/>
                <w:sz w:val="14"/>
                <w:szCs w:val="14"/>
              </w:rPr>
              <w:t>-4,7</w:t>
            </w:r>
          </w:p>
        </w:tc>
        <w:tc>
          <w:tcPr>
            <w:tcW w:w="578" w:type="pct"/>
            <w:tcBorders>
              <w:top w:val="nil"/>
              <w:left w:val="nil"/>
              <w:bottom w:val="single" w:sz="4" w:space="0" w:color="auto"/>
              <w:right w:val="single" w:sz="4" w:space="0" w:color="auto"/>
            </w:tcBorders>
            <w:noWrap/>
            <w:vAlign w:val="center"/>
          </w:tcPr>
          <w:p w:rsidR="00565FD5" w:rsidRPr="001131FC" w:rsidRDefault="00565FD5" w:rsidP="00AB62A3">
            <w:pPr>
              <w:jc w:val="right"/>
              <w:rPr>
                <w:rFonts w:cs="Tahoma"/>
                <w:sz w:val="14"/>
                <w:szCs w:val="14"/>
              </w:rPr>
            </w:pPr>
            <w:r w:rsidRPr="001131FC">
              <w:rPr>
                <w:rFonts w:cs="Tahoma"/>
                <w:sz w:val="14"/>
                <w:szCs w:val="14"/>
              </w:rPr>
              <w:t>-3,4</w:t>
            </w:r>
          </w:p>
        </w:tc>
      </w:tr>
    </w:tbl>
    <w:p w:rsidR="00565FD5" w:rsidRPr="001131FC" w:rsidRDefault="00565FD5" w:rsidP="00565FD5">
      <w:pPr>
        <w:rPr>
          <w:rFonts w:cs="Tahoma"/>
          <w:sz w:val="13"/>
          <w:szCs w:val="13"/>
          <w:lang w:eastAsia="tr-TR"/>
        </w:rPr>
      </w:pPr>
      <w:r w:rsidRPr="001131FC">
        <w:rPr>
          <w:rFonts w:cs="Tahoma"/>
          <w:sz w:val="13"/>
          <w:szCs w:val="13"/>
        </w:rPr>
        <w:t xml:space="preserve">Kaynak: </w:t>
      </w:r>
      <w:r w:rsidRPr="001131FC">
        <w:rPr>
          <w:rFonts w:cs="Tahoma"/>
          <w:sz w:val="13"/>
          <w:szCs w:val="13"/>
          <w:lang w:eastAsia="tr-TR"/>
        </w:rPr>
        <w:t>Kalkınma Bakanlığı, TÜİK, TCMB</w:t>
      </w:r>
    </w:p>
    <w:p w:rsidR="00565FD5" w:rsidRPr="001131FC" w:rsidRDefault="00565FD5" w:rsidP="00565FD5">
      <w:pPr>
        <w:spacing w:after="180"/>
        <w:rPr>
          <w:szCs w:val="18"/>
        </w:rPr>
      </w:pPr>
      <w:r w:rsidRPr="001131FC">
        <w:rPr>
          <w:rFonts w:cs="Tahoma"/>
          <w:sz w:val="13"/>
          <w:szCs w:val="13"/>
          <w:lang w:eastAsia="tr-TR"/>
        </w:rPr>
        <w:t>(1) TÜİK tarafından yayımlanan Dış Ticaret İstatistikleri ve Endekslerinden zımni olarak oluşturulan enerji ürünleri fiyat endeksi kullanılarak ilgili yıllar için 2002 enerji fiyat seviyesinin aynı kalması durumunda cari işlemler açığının seviyesini göstermektedir</w:t>
      </w:r>
      <w:r w:rsidRPr="001131FC">
        <w:rPr>
          <w:rFonts w:cs="Tahoma"/>
          <w:sz w:val="14"/>
          <w:szCs w:val="14"/>
          <w:lang w:eastAsia="tr-TR"/>
        </w:rPr>
        <w:t>.</w:t>
      </w:r>
    </w:p>
    <w:p w:rsidR="00565FD5" w:rsidRPr="001131FC" w:rsidRDefault="00565FD5" w:rsidP="00565FD5">
      <w:pPr>
        <w:spacing w:after="120"/>
        <w:ind w:firstLine="425"/>
        <w:rPr>
          <w:b/>
          <w:szCs w:val="18"/>
        </w:rPr>
      </w:pPr>
      <w:r w:rsidRPr="001131FC">
        <w:rPr>
          <w:b/>
          <w:szCs w:val="18"/>
        </w:rPr>
        <w:t>Hizmetler Dengesi, Gelir Dengesi ve Cari Transferler</w:t>
      </w:r>
    </w:p>
    <w:p w:rsidR="00565FD5" w:rsidRPr="001131FC" w:rsidRDefault="00565FD5" w:rsidP="00565FD5">
      <w:pPr>
        <w:spacing w:after="120"/>
        <w:ind w:firstLine="425"/>
        <w:rPr>
          <w:color w:val="FF0000"/>
          <w:szCs w:val="18"/>
        </w:rPr>
      </w:pPr>
      <w:bookmarkStart w:id="618" w:name="_Toc213071595"/>
      <w:bookmarkStart w:id="619" w:name="_Toc244339797"/>
      <w:r w:rsidRPr="001131FC">
        <w:rPr>
          <w:szCs w:val="18"/>
        </w:rPr>
        <w:t>2011 yılında 23 milyar ABD dolarına ulaşan turizm gelirleri, 2012 yılının Ocak-Ağustos döneminde bir önceki yılın aynı dönemindeki seviyesini koruyarak 14,8 milyar ABD doları olarak gerçekleşmiştir. Hizmetler dengesinin en önemli kalemi olan turizm gelirlerinin, 2012 yılının tamamında 23,5 milyar ABD dolarına ulaşacağı tahmin edilmektedir. Turizm gelirlerinde 2011 yılına göre kayda değer bir artışın gerçekleştirilememesinde çevre ülkelerde yaşanan olumsuzluklarla birlikte AB ülkelerindeki durgunluğun devam etmesi etkili olmuştur. 2012 yılı Ocak-Ağustos döneminde önceki yılın aynı dönemine göre yüzde 12,7 oranında artarak 13,1 milyar ABD doları olan hizmetler dengesi fazlasının, yılın tamamında yaklaşık 20 milyar ABD doları olması beklenmektedir.</w:t>
      </w:r>
      <w:r w:rsidRPr="001131FC">
        <w:rPr>
          <w:color w:val="FF0000"/>
          <w:szCs w:val="18"/>
        </w:rPr>
        <w:t xml:space="preserve">  </w:t>
      </w:r>
    </w:p>
    <w:p w:rsidR="00565FD5" w:rsidRPr="00AE74B1" w:rsidRDefault="00565FD5" w:rsidP="00565FD5">
      <w:pPr>
        <w:pStyle w:val="ResimYazs"/>
        <w:rPr>
          <w:lang w:eastAsia="tr-TR"/>
        </w:rPr>
      </w:pPr>
      <w:bookmarkStart w:id="620" w:name="_Toc275873824"/>
      <w:bookmarkStart w:id="621" w:name="_Toc276076448"/>
      <w:bookmarkStart w:id="622" w:name="_Toc307601612"/>
      <w:bookmarkStart w:id="623" w:name="_Toc307657854"/>
      <w:bookmarkStart w:id="624" w:name="_Toc307702110"/>
      <w:bookmarkStart w:id="625" w:name="_Toc338605974"/>
      <w:bookmarkStart w:id="626" w:name="_Toc338711749"/>
      <w:r>
        <w:t xml:space="preserve">TABLO II: </w:t>
      </w:r>
      <w:fldSimple w:instr=" SEQ TABLO_II: \* ARABIC ">
        <w:r>
          <w:rPr>
            <w:noProof/>
          </w:rPr>
          <w:t>22</w:t>
        </w:r>
      </w:fldSimple>
      <w:r w:rsidRPr="00AE74B1">
        <w:t>- Cari İşlemler Dengesi</w:t>
      </w:r>
      <w:bookmarkEnd w:id="618"/>
      <w:bookmarkEnd w:id="619"/>
      <w:bookmarkEnd w:id="620"/>
      <w:bookmarkEnd w:id="621"/>
      <w:bookmarkEnd w:id="622"/>
      <w:bookmarkEnd w:id="623"/>
      <w:bookmarkEnd w:id="624"/>
      <w:bookmarkEnd w:id="625"/>
      <w:bookmarkEnd w:id="626"/>
    </w:p>
    <w:p w:rsidR="00565FD5" w:rsidRPr="001131FC" w:rsidRDefault="00565FD5" w:rsidP="00565FD5">
      <w:pPr>
        <w:jc w:val="right"/>
        <w:rPr>
          <w:sz w:val="14"/>
          <w:szCs w:val="16"/>
        </w:rPr>
      </w:pPr>
      <w:r w:rsidRPr="001131FC">
        <w:rPr>
          <w:sz w:val="14"/>
          <w:szCs w:val="16"/>
        </w:rPr>
        <w:t>(Milyar ABD Doları)</w:t>
      </w:r>
    </w:p>
    <w:tbl>
      <w:tblPr>
        <w:tblW w:w="7144" w:type="dxa"/>
        <w:jc w:val="center"/>
        <w:tblCellMar>
          <w:left w:w="0" w:type="dxa"/>
          <w:right w:w="0" w:type="dxa"/>
        </w:tblCellMar>
        <w:tblLook w:val="0000"/>
      </w:tblPr>
      <w:tblGrid>
        <w:gridCol w:w="3462"/>
        <w:gridCol w:w="922"/>
        <w:gridCol w:w="923"/>
        <w:gridCol w:w="923"/>
        <w:gridCol w:w="914"/>
      </w:tblGrid>
      <w:tr w:rsidR="00565FD5" w:rsidRPr="001651D9" w:rsidTr="00AB62A3">
        <w:trPr>
          <w:trHeight w:val="20"/>
          <w:jc w:val="center"/>
        </w:trPr>
        <w:tc>
          <w:tcPr>
            <w:tcW w:w="2423" w:type="pct"/>
            <w:tcBorders>
              <w:top w:val="single" w:sz="4" w:space="0" w:color="auto"/>
              <w:left w:val="single" w:sz="4" w:space="0" w:color="auto"/>
              <w:bottom w:val="single" w:sz="8" w:space="0" w:color="auto"/>
              <w:right w:val="nil"/>
            </w:tcBorders>
            <w:noWrap/>
            <w:tcMar>
              <w:top w:w="10" w:type="dxa"/>
              <w:left w:w="10" w:type="dxa"/>
              <w:bottom w:w="0" w:type="dxa"/>
              <w:right w:w="10" w:type="dxa"/>
            </w:tcMar>
            <w:vAlign w:val="bottom"/>
          </w:tcPr>
          <w:p w:rsidR="00565FD5" w:rsidRPr="001651D9" w:rsidRDefault="00565FD5" w:rsidP="00AB62A3">
            <w:pPr>
              <w:ind w:firstLine="90"/>
              <w:jc w:val="center"/>
              <w:rPr>
                <w:rFonts w:cs="Tahoma"/>
                <w:b/>
                <w:bCs/>
                <w:sz w:val="14"/>
                <w:szCs w:val="14"/>
              </w:rPr>
            </w:pPr>
            <w:r w:rsidRPr="001651D9">
              <w:rPr>
                <w:rFonts w:cs="Tahoma"/>
                <w:b/>
                <w:bCs/>
                <w:sz w:val="14"/>
                <w:szCs w:val="14"/>
              </w:rPr>
              <w:t> </w:t>
            </w:r>
          </w:p>
        </w:tc>
        <w:tc>
          <w:tcPr>
            <w:tcW w:w="645" w:type="pct"/>
            <w:tcBorders>
              <w:top w:val="single" w:sz="4" w:space="0" w:color="auto"/>
              <w:left w:val="nil"/>
              <w:bottom w:val="single" w:sz="8" w:space="0" w:color="auto"/>
              <w:right w:val="nil"/>
            </w:tcBorders>
            <w:vAlign w:val="bottom"/>
          </w:tcPr>
          <w:p w:rsidR="00565FD5" w:rsidRPr="001651D9" w:rsidRDefault="00565FD5" w:rsidP="00AB62A3">
            <w:pPr>
              <w:jc w:val="right"/>
              <w:rPr>
                <w:rFonts w:cs="Tahoma"/>
                <w:b/>
                <w:bCs/>
                <w:sz w:val="14"/>
                <w:szCs w:val="14"/>
              </w:rPr>
            </w:pPr>
            <w:r w:rsidRPr="001651D9">
              <w:rPr>
                <w:rFonts w:cs="Tahoma"/>
                <w:b/>
                <w:bCs/>
                <w:sz w:val="14"/>
                <w:szCs w:val="14"/>
              </w:rPr>
              <w:t>2010</w:t>
            </w:r>
          </w:p>
        </w:tc>
        <w:tc>
          <w:tcPr>
            <w:tcW w:w="646" w:type="pct"/>
            <w:tcBorders>
              <w:top w:val="single" w:sz="4" w:space="0" w:color="auto"/>
              <w:left w:val="nil"/>
              <w:bottom w:val="single" w:sz="8" w:space="0" w:color="auto"/>
              <w:right w:val="nil"/>
            </w:tcBorders>
            <w:vAlign w:val="bottom"/>
          </w:tcPr>
          <w:p w:rsidR="00565FD5" w:rsidRPr="001651D9" w:rsidRDefault="00565FD5" w:rsidP="00AB62A3">
            <w:pPr>
              <w:ind w:right="33"/>
              <w:jc w:val="right"/>
              <w:rPr>
                <w:rFonts w:cs="Tahoma"/>
                <w:b/>
                <w:bCs/>
                <w:sz w:val="14"/>
                <w:szCs w:val="14"/>
              </w:rPr>
            </w:pPr>
            <w:r w:rsidRPr="001651D9">
              <w:rPr>
                <w:rFonts w:cs="Tahoma"/>
                <w:b/>
                <w:bCs/>
                <w:sz w:val="14"/>
                <w:szCs w:val="14"/>
              </w:rPr>
              <w:t>2011</w:t>
            </w:r>
          </w:p>
        </w:tc>
        <w:tc>
          <w:tcPr>
            <w:tcW w:w="646" w:type="pct"/>
            <w:tcBorders>
              <w:top w:val="single" w:sz="4" w:space="0" w:color="auto"/>
              <w:left w:val="nil"/>
              <w:bottom w:val="single" w:sz="8" w:space="0" w:color="auto"/>
              <w:right w:val="nil"/>
            </w:tcBorders>
            <w:vAlign w:val="bottom"/>
          </w:tcPr>
          <w:p w:rsidR="00565FD5" w:rsidRPr="001651D9" w:rsidRDefault="00565FD5" w:rsidP="00AB62A3">
            <w:pPr>
              <w:ind w:right="33"/>
              <w:jc w:val="right"/>
              <w:rPr>
                <w:rFonts w:cs="Tahoma"/>
                <w:b/>
                <w:bCs/>
                <w:sz w:val="14"/>
                <w:szCs w:val="14"/>
              </w:rPr>
            </w:pPr>
            <w:r w:rsidRPr="001651D9">
              <w:rPr>
                <w:rFonts w:cs="Tahoma"/>
                <w:b/>
                <w:bCs/>
                <w:sz w:val="14"/>
                <w:szCs w:val="14"/>
              </w:rPr>
              <w:t>2012(1)</w:t>
            </w:r>
          </w:p>
        </w:tc>
        <w:tc>
          <w:tcPr>
            <w:tcW w:w="640" w:type="pct"/>
            <w:tcBorders>
              <w:top w:val="single" w:sz="4" w:space="0" w:color="auto"/>
              <w:left w:val="nil"/>
              <w:bottom w:val="single" w:sz="8" w:space="0" w:color="auto"/>
              <w:right w:val="single" w:sz="4" w:space="0" w:color="auto"/>
            </w:tcBorders>
            <w:tcMar>
              <w:right w:w="57" w:type="dxa"/>
            </w:tcMar>
            <w:vAlign w:val="bottom"/>
          </w:tcPr>
          <w:p w:rsidR="00565FD5" w:rsidRPr="001651D9" w:rsidRDefault="00565FD5" w:rsidP="00AB62A3">
            <w:pPr>
              <w:ind w:right="33"/>
              <w:jc w:val="right"/>
              <w:rPr>
                <w:rFonts w:cs="Tahoma"/>
                <w:b/>
                <w:bCs/>
                <w:sz w:val="14"/>
                <w:szCs w:val="14"/>
              </w:rPr>
            </w:pPr>
            <w:r w:rsidRPr="001651D9">
              <w:rPr>
                <w:rFonts w:cs="Tahoma"/>
                <w:b/>
                <w:bCs/>
                <w:sz w:val="14"/>
                <w:szCs w:val="14"/>
              </w:rPr>
              <w:t>2013(2)</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10" w:type="dxa"/>
              <w:bottom w:w="0" w:type="dxa"/>
              <w:right w:w="10" w:type="dxa"/>
            </w:tcMar>
            <w:vAlign w:val="bottom"/>
          </w:tcPr>
          <w:p w:rsidR="00565FD5" w:rsidRPr="001651D9" w:rsidRDefault="00565FD5" w:rsidP="00AB62A3">
            <w:pPr>
              <w:ind w:firstLine="90"/>
              <w:rPr>
                <w:rFonts w:cs="Tahoma"/>
                <w:b/>
                <w:bCs/>
                <w:sz w:val="14"/>
                <w:szCs w:val="14"/>
              </w:rPr>
            </w:pPr>
            <w:r w:rsidRPr="001651D9">
              <w:rPr>
                <w:rFonts w:cs="Tahoma"/>
                <w:b/>
                <w:bCs/>
                <w:sz w:val="14"/>
                <w:szCs w:val="14"/>
              </w:rPr>
              <w:t>CARİ İŞLEMLER HESABI</w:t>
            </w:r>
          </w:p>
        </w:tc>
        <w:tc>
          <w:tcPr>
            <w:tcW w:w="645" w:type="pct"/>
            <w:tcBorders>
              <w:top w:val="nil"/>
              <w:left w:val="nil"/>
              <w:bottom w:val="nil"/>
              <w:right w:val="nil"/>
            </w:tcBorders>
            <w:vAlign w:val="bottom"/>
          </w:tcPr>
          <w:p w:rsidR="00565FD5" w:rsidRPr="001651D9" w:rsidRDefault="00565FD5" w:rsidP="00AB62A3">
            <w:pPr>
              <w:jc w:val="right"/>
              <w:rPr>
                <w:rFonts w:cs="Tahoma"/>
                <w:b/>
                <w:bCs/>
                <w:sz w:val="14"/>
                <w:szCs w:val="14"/>
              </w:rPr>
            </w:pPr>
            <w:r w:rsidRPr="001651D9">
              <w:rPr>
                <w:rFonts w:cs="Tahoma"/>
                <w:b/>
                <w:bCs/>
                <w:sz w:val="14"/>
                <w:szCs w:val="14"/>
              </w:rPr>
              <w:t>-46,6</w:t>
            </w:r>
          </w:p>
        </w:tc>
        <w:tc>
          <w:tcPr>
            <w:tcW w:w="646" w:type="pct"/>
            <w:tcBorders>
              <w:top w:val="nil"/>
              <w:left w:val="nil"/>
              <w:bottom w:val="nil"/>
              <w:right w:val="nil"/>
            </w:tcBorders>
            <w:vAlign w:val="bottom"/>
          </w:tcPr>
          <w:p w:rsidR="00565FD5" w:rsidRPr="001651D9" w:rsidRDefault="00565FD5" w:rsidP="00AB62A3">
            <w:pPr>
              <w:jc w:val="right"/>
              <w:rPr>
                <w:rFonts w:cs="Tahoma"/>
                <w:b/>
                <w:bCs/>
                <w:sz w:val="14"/>
                <w:szCs w:val="14"/>
              </w:rPr>
            </w:pPr>
            <w:r w:rsidRPr="001651D9">
              <w:rPr>
                <w:rFonts w:cs="Tahoma"/>
                <w:b/>
                <w:bCs/>
                <w:sz w:val="14"/>
                <w:szCs w:val="14"/>
              </w:rPr>
              <w:t>-77,1</w:t>
            </w:r>
          </w:p>
        </w:tc>
        <w:tc>
          <w:tcPr>
            <w:tcW w:w="646" w:type="pct"/>
            <w:tcBorders>
              <w:top w:val="nil"/>
              <w:left w:val="nil"/>
              <w:bottom w:val="nil"/>
              <w:right w:val="nil"/>
            </w:tcBorders>
            <w:vAlign w:val="bottom"/>
          </w:tcPr>
          <w:p w:rsidR="00565FD5" w:rsidRPr="001651D9" w:rsidRDefault="00565FD5" w:rsidP="00AB62A3">
            <w:pPr>
              <w:jc w:val="right"/>
              <w:rPr>
                <w:rFonts w:cs="Tahoma"/>
                <w:b/>
                <w:bCs/>
                <w:sz w:val="14"/>
                <w:szCs w:val="14"/>
              </w:rPr>
            </w:pPr>
            <w:r w:rsidRPr="001651D9">
              <w:rPr>
                <w:rFonts w:cs="Tahoma"/>
                <w:b/>
                <w:bCs/>
                <w:sz w:val="14"/>
                <w:szCs w:val="14"/>
              </w:rPr>
              <w:t xml:space="preserve">-58,7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
                <w:bCs/>
                <w:sz w:val="14"/>
                <w:szCs w:val="14"/>
              </w:rPr>
            </w:pPr>
            <w:r w:rsidRPr="001651D9">
              <w:rPr>
                <w:rFonts w:cs="Tahoma"/>
                <w:b/>
                <w:bCs/>
                <w:sz w:val="14"/>
                <w:szCs w:val="14"/>
              </w:rPr>
              <w:t xml:space="preserve">-60,7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10" w:type="dxa"/>
              <w:bottom w:w="0" w:type="dxa"/>
              <w:right w:w="10" w:type="dxa"/>
            </w:tcMar>
            <w:vAlign w:val="bottom"/>
          </w:tcPr>
          <w:p w:rsidR="00565FD5" w:rsidRPr="001651D9" w:rsidRDefault="00565FD5" w:rsidP="00AB62A3">
            <w:pPr>
              <w:ind w:firstLine="90"/>
              <w:rPr>
                <w:rFonts w:cs="Tahoma"/>
                <w:b/>
                <w:bCs/>
                <w:sz w:val="14"/>
                <w:szCs w:val="14"/>
              </w:rPr>
            </w:pPr>
            <w:r w:rsidRPr="001651D9">
              <w:rPr>
                <w:rFonts w:cs="Tahoma"/>
                <w:b/>
                <w:bCs/>
                <w:sz w:val="14"/>
                <w:szCs w:val="14"/>
              </w:rPr>
              <w:t>DIŞ TİCARET DENGESİ</w:t>
            </w:r>
          </w:p>
        </w:tc>
        <w:tc>
          <w:tcPr>
            <w:tcW w:w="645" w:type="pct"/>
            <w:tcBorders>
              <w:top w:val="nil"/>
              <w:left w:val="nil"/>
              <w:bottom w:val="nil"/>
              <w:right w:val="nil"/>
            </w:tcBorders>
            <w:vAlign w:val="bottom"/>
          </w:tcPr>
          <w:p w:rsidR="00565FD5" w:rsidRPr="001651D9" w:rsidRDefault="00565FD5" w:rsidP="00AB62A3">
            <w:pPr>
              <w:jc w:val="right"/>
              <w:rPr>
                <w:rFonts w:cs="Tahoma"/>
                <w:b/>
                <w:bCs/>
                <w:sz w:val="14"/>
                <w:szCs w:val="14"/>
              </w:rPr>
            </w:pPr>
            <w:r w:rsidRPr="001651D9">
              <w:rPr>
                <w:rFonts w:cs="Tahoma"/>
                <w:b/>
                <w:bCs/>
                <w:sz w:val="14"/>
                <w:szCs w:val="14"/>
              </w:rPr>
              <w:t>-56,4</w:t>
            </w:r>
          </w:p>
        </w:tc>
        <w:tc>
          <w:tcPr>
            <w:tcW w:w="646" w:type="pct"/>
            <w:tcBorders>
              <w:top w:val="nil"/>
              <w:left w:val="nil"/>
              <w:bottom w:val="nil"/>
              <w:right w:val="nil"/>
            </w:tcBorders>
            <w:vAlign w:val="bottom"/>
          </w:tcPr>
          <w:p w:rsidR="00565FD5" w:rsidRPr="001651D9" w:rsidRDefault="00565FD5" w:rsidP="00AB62A3">
            <w:pPr>
              <w:jc w:val="right"/>
              <w:rPr>
                <w:rFonts w:cs="Tahoma"/>
                <w:b/>
                <w:bCs/>
                <w:sz w:val="14"/>
                <w:szCs w:val="14"/>
              </w:rPr>
            </w:pPr>
            <w:r w:rsidRPr="001651D9">
              <w:rPr>
                <w:rFonts w:cs="Tahoma"/>
                <w:b/>
                <w:bCs/>
                <w:sz w:val="14"/>
                <w:szCs w:val="14"/>
              </w:rPr>
              <w:t>-89,1</w:t>
            </w:r>
          </w:p>
        </w:tc>
        <w:tc>
          <w:tcPr>
            <w:tcW w:w="646" w:type="pct"/>
            <w:tcBorders>
              <w:top w:val="nil"/>
              <w:left w:val="nil"/>
              <w:bottom w:val="nil"/>
              <w:right w:val="nil"/>
            </w:tcBorders>
            <w:vAlign w:val="bottom"/>
          </w:tcPr>
          <w:p w:rsidR="00565FD5" w:rsidRPr="001651D9" w:rsidRDefault="00565FD5" w:rsidP="00AB62A3">
            <w:pPr>
              <w:jc w:val="right"/>
              <w:rPr>
                <w:rFonts w:cs="Tahoma"/>
                <w:b/>
                <w:bCs/>
                <w:sz w:val="14"/>
                <w:szCs w:val="14"/>
              </w:rPr>
            </w:pPr>
            <w:r w:rsidRPr="001651D9">
              <w:rPr>
                <w:rFonts w:cs="Tahoma"/>
                <w:b/>
                <w:bCs/>
                <w:sz w:val="14"/>
                <w:szCs w:val="14"/>
              </w:rPr>
              <w:t xml:space="preserve">-73,4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
                <w:bCs/>
                <w:sz w:val="14"/>
                <w:szCs w:val="14"/>
              </w:rPr>
            </w:pPr>
            <w:r w:rsidRPr="001651D9">
              <w:rPr>
                <w:rFonts w:cs="Tahoma"/>
                <w:b/>
                <w:bCs/>
                <w:sz w:val="14"/>
                <w:szCs w:val="14"/>
              </w:rPr>
              <w:t xml:space="preserve">-77,4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238" w:type="dxa"/>
              <w:bottom w:w="0" w:type="dxa"/>
              <w:right w:w="10" w:type="dxa"/>
            </w:tcMar>
            <w:vAlign w:val="bottom"/>
          </w:tcPr>
          <w:p w:rsidR="00565FD5" w:rsidRPr="001651D9" w:rsidRDefault="00565FD5" w:rsidP="00AB62A3">
            <w:pPr>
              <w:rPr>
                <w:rFonts w:cs="Tahoma"/>
                <w:sz w:val="14"/>
                <w:szCs w:val="14"/>
              </w:rPr>
            </w:pPr>
            <w:r w:rsidRPr="001651D9">
              <w:rPr>
                <w:rFonts w:cs="Tahoma"/>
                <w:sz w:val="14"/>
                <w:szCs w:val="14"/>
              </w:rPr>
              <w:t>İhracat (fob)</w:t>
            </w:r>
          </w:p>
        </w:tc>
        <w:tc>
          <w:tcPr>
            <w:tcW w:w="645"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117,9</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140,7</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 xml:space="preserve">145,3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Cs/>
                <w:sz w:val="14"/>
                <w:szCs w:val="14"/>
              </w:rPr>
            </w:pPr>
            <w:r w:rsidRPr="001651D9">
              <w:rPr>
                <w:rFonts w:cs="Tahoma"/>
                <w:bCs/>
                <w:sz w:val="14"/>
                <w:szCs w:val="14"/>
              </w:rPr>
              <w:t xml:space="preserve">164,2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477" w:type="dxa"/>
              <w:bottom w:w="0" w:type="dxa"/>
              <w:right w:w="10" w:type="dxa"/>
            </w:tcMar>
            <w:vAlign w:val="bottom"/>
          </w:tcPr>
          <w:p w:rsidR="00565FD5" w:rsidRPr="001651D9" w:rsidRDefault="00565FD5" w:rsidP="00AB62A3">
            <w:pPr>
              <w:rPr>
                <w:rFonts w:cs="Tahoma"/>
                <w:sz w:val="14"/>
                <w:szCs w:val="14"/>
              </w:rPr>
            </w:pPr>
            <w:r w:rsidRPr="001651D9">
              <w:rPr>
                <w:rFonts w:cs="Tahoma"/>
                <w:sz w:val="14"/>
                <w:szCs w:val="14"/>
              </w:rPr>
              <w:t>İhracat (fob)</w:t>
            </w:r>
          </w:p>
        </w:tc>
        <w:tc>
          <w:tcPr>
            <w:tcW w:w="645"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113,9</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134,9</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 xml:space="preserve">149,5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Cs/>
                <w:sz w:val="14"/>
                <w:szCs w:val="14"/>
              </w:rPr>
            </w:pPr>
            <w:r w:rsidRPr="001651D9">
              <w:rPr>
                <w:rFonts w:cs="Tahoma"/>
                <w:bCs/>
                <w:sz w:val="14"/>
                <w:szCs w:val="14"/>
              </w:rPr>
              <w:t xml:space="preserve">158,0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477" w:type="dxa"/>
              <w:bottom w:w="0" w:type="dxa"/>
              <w:right w:w="10" w:type="dxa"/>
            </w:tcMar>
            <w:vAlign w:val="bottom"/>
          </w:tcPr>
          <w:p w:rsidR="00565FD5" w:rsidRPr="001651D9" w:rsidRDefault="00565FD5" w:rsidP="00AB62A3">
            <w:pPr>
              <w:rPr>
                <w:rFonts w:cs="Tahoma"/>
                <w:sz w:val="14"/>
                <w:szCs w:val="14"/>
              </w:rPr>
            </w:pPr>
            <w:r w:rsidRPr="001651D9">
              <w:rPr>
                <w:rFonts w:cs="Tahoma"/>
                <w:sz w:val="14"/>
                <w:szCs w:val="14"/>
              </w:rPr>
              <w:t>Bavul Ticareti ve Uyarlama</w:t>
            </w:r>
          </w:p>
        </w:tc>
        <w:tc>
          <w:tcPr>
            <w:tcW w:w="645"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4,0</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5,8</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 xml:space="preserve">-4,2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Cs/>
                <w:sz w:val="14"/>
                <w:szCs w:val="14"/>
              </w:rPr>
            </w:pPr>
            <w:r w:rsidRPr="001651D9">
              <w:rPr>
                <w:rFonts w:cs="Tahoma"/>
                <w:bCs/>
                <w:sz w:val="14"/>
                <w:szCs w:val="14"/>
              </w:rPr>
              <w:t xml:space="preserve">6,2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238" w:type="dxa"/>
              <w:bottom w:w="0" w:type="dxa"/>
              <w:right w:w="10" w:type="dxa"/>
            </w:tcMar>
            <w:vAlign w:val="bottom"/>
          </w:tcPr>
          <w:p w:rsidR="00565FD5" w:rsidRPr="001651D9" w:rsidRDefault="00565FD5" w:rsidP="00AB62A3">
            <w:pPr>
              <w:rPr>
                <w:rFonts w:cs="Tahoma"/>
                <w:sz w:val="14"/>
                <w:szCs w:val="14"/>
              </w:rPr>
            </w:pPr>
            <w:r w:rsidRPr="001651D9">
              <w:rPr>
                <w:rFonts w:cs="Tahoma"/>
                <w:sz w:val="14"/>
                <w:szCs w:val="14"/>
              </w:rPr>
              <w:t>İthalat (fob)</w:t>
            </w:r>
          </w:p>
        </w:tc>
        <w:tc>
          <w:tcPr>
            <w:tcW w:w="645"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-173,9</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-224,9</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 xml:space="preserve">-223,1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Cs/>
                <w:sz w:val="14"/>
                <w:szCs w:val="14"/>
              </w:rPr>
            </w:pPr>
            <w:r w:rsidRPr="001651D9">
              <w:rPr>
                <w:rFonts w:cs="Tahoma"/>
                <w:bCs/>
                <w:sz w:val="14"/>
                <w:szCs w:val="14"/>
              </w:rPr>
              <w:t xml:space="preserve">-241,4 </w:t>
            </w:r>
          </w:p>
        </w:tc>
      </w:tr>
      <w:tr w:rsidR="00565FD5" w:rsidRPr="001651D9" w:rsidTr="00AB62A3">
        <w:trPr>
          <w:trHeight w:val="20"/>
          <w:jc w:val="center"/>
        </w:trPr>
        <w:tc>
          <w:tcPr>
            <w:tcW w:w="2423" w:type="pct"/>
            <w:tcBorders>
              <w:top w:val="nil"/>
              <w:left w:val="single" w:sz="4" w:space="0" w:color="auto"/>
              <w:bottom w:val="nil"/>
              <w:right w:val="nil"/>
            </w:tcBorders>
            <w:tcMar>
              <w:top w:w="10" w:type="dxa"/>
              <w:left w:w="477" w:type="dxa"/>
              <w:bottom w:w="0" w:type="dxa"/>
              <w:right w:w="10" w:type="dxa"/>
            </w:tcMar>
            <w:vAlign w:val="bottom"/>
          </w:tcPr>
          <w:p w:rsidR="00565FD5" w:rsidRPr="001651D9" w:rsidRDefault="00565FD5" w:rsidP="00AB62A3">
            <w:pPr>
              <w:rPr>
                <w:rFonts w:cs="Tahoma"/>
                <w:sz w:val="14"/>
                <w:szCs w:val="14"/>
              </w:rPr>
            </w:pPr>
            <w:r w:rsidRPr="001651D9">
              <w:rPr>
                <w:rFonts w:cs="Tahoma"/>
                <w:sz w:val="14"/>
                <w:szCs w:val="14"/>
              </w:rPr>
              <w:t>İthalat (cif)</w:t>
            </w:r>
          </w:p>
        </w:tc>
        <w:tc>
          <w:tcPr>
            <w:tcW w:w="645"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-185,5</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-240,8</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 xml:space="preserve">-239,5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Cs/>
                <w:sz w:val="14"/>
                <w:szCs w:val="14"/>
              </w:rPr>
            </w:pPr>
            <w:r w:rsidRPr="001651D9">
              <w:rPr>
                <w:rFonts w:cs="Tahoma"/>
                <w:bCs/>
                <w:sz w:val="14"/>
                <w:szCs w:val="14"/>
              </w:rPr>
              <w:t xml:space="preserve">-253,0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477" w:type="dxa"/>
              <w:bottom w:w="0" w:type="dxa"/>
              <w:right w:w="10" w:type="dxa"/>
            </w:tcMar>
            <w:vAlign w:val="bottom"/>
          </w:tcPr>
          <w:p w:rsidR="00565FD5" w:rsidRPr="001651D9" w:rsidRDefault="00565FD5" w:rsidP="00AB62A3">
            <w:pPr>
              <w:rPr>
                <w:rFonts w:cs="Tahoma"/>
                <w:sz w:val="14"/>
                <w:szCs w:val="14"/>
              </w:rPr>
            </w:pPr>
            <w:r w:rsidRPr="001651D9">
              <w:rPr>
                <w:rFonts w:cs="Tahoma"/>
                <w:sz w:val="14"/>
                <w:szCs w:val="14"/>
              </w:rPr>
              <w:t>Navlun ve Sigorta ve Uyarlama</w:t>
            </w:r>
          </w:p>
        </w:tc>
        <w:tc>
          <w:tcPr>
            <w:tcW w:w="645"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11,6</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16,0</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 xml:space="preserve">16,4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Cs/>
                <w:sz w:val="14"/>
                <w:szCs w:val="14"/>
              </w:rPr>
            </w:pPr>
            <w:r w:rsidRPr="001651D9">
              <w:rPr>
                <w:rFonts w:cs="Tahoma"/>
                <w:bCs/>
                <w:sz w:val="14"/>
                <w:szCs w:val="14"/>
              </w:rPr>
              <w:t xml:space="preserve">11,6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10" w:type="dxa"/>
              <w:bottom w:w="0" w:type="dxa"/>
              <w:right w:w="10" w:type="dxa"/>
            </w:tcMar>
            <w:vAlign w:val="bottom"/>
          </w:tcPr>
          <w:p w:rsidR="00565FD5" w:rsidRPr="001651D9" w:rsidRDefault="00565FD5" w:rsidP="00AB62A3">
            <w:pPr>
              <w:ind w:firstLine="90"/>
              <w:rPr>
                <w:rFonts w:cs="Tahoma"/>
                <w:b/>
                <w:bCs/>
                <w:sz w:val="14"/>
                <w:szCs w:val="14"/>
              </w:rPr>
            </w:pPr>
            <w:r w:rsidRPr="001651D9">
              <w:rPr>
                <w:rFonts w:cs="Tahoma"/>
                <w:b/>
                <w:bCs/>
                <w:sz w:val="14"/>
                <w:szCs w:val="14"/>
              </w:rPr>
              <w:t>HİZMETLER DENGESİ</w:t>
            </w:r>
          </w:p>
        </w:tc>
        <w:tc>
          <w:tcPr>
            <w:tcW w:w="645" w:type="pct"/>
            <w:tcBorders>
              <w:top w:val="nil"/>
              <w:left w:val="nil"/>
              <w:bottom w:val="nil"/>
              <w:right w:val="nil"/>
            </w:tcBorders>
            <w:vAlign w:val="bottom"/>
          </w:tcPr>
          <w:p w:rsidR="00565FD5" w:rsidRPr="001651D9" w:rsidRDefault="00565FD5" w:rsidP="00AB62A3">
            <w:pPr>
              <w:jc w:val="right"/>
              <w:rPr>
                <w:rFonts w:cs="Tahoma"/>
                <w:b/>
                <w:bCs/>
                <w:sz w:val="14"/>
                <w:szCs w:val="14"/>
              </w:rPr>
            </w:pPr>
            <w:r w:rsidRPr="001651D9">
              <w:rPr>
                <w:rFonts w:cs="Tahoma"/>
                <w:b/>
                <w:bCs/>
                <w:sz w:val="14"/>
                <w:szCs w:val="14"/>
              </w:rPr>
              <w:t>15,5</w:t>
            </w:r>
          </w:p>
        </w:tc>
        <w:tc>
          <w:tcPr>
            <w:tcW w:w="646" w:type="pct"/>
            <w:tcBorders>
              <w:top w:val="nil"/>
              <w:left w:val="nil"/>
              <w:bottom w:val="nil"/>
              <w:right w:val="nil"/>
            </w:tcBorders>
            <w:vAlign w:val="bottom"/>
          </w:tcPr>
          <w:p w:rsidR="00565FD5" w:rsidRPr="001651D9" w:rsidRDefault="00565FD5" w:rsidP="00AB62A3">
            <w:pPr>
              <w:jc w:val="right"/>
              <w:rPr>
                <w:rFonts w:cs="Tahoma"/>
                <w:b/>
                <w:bCs/>
                <w:sz w:val="14"/>
                <w:szCs w:val="14"/>
              </w:rPr>
            </w:pPr>
            <w:r w:rsidRPr="001651D9">
              <w:rPr>
                <w:rFonts w:cs="Tahoma"/>
                <w:b/>
                <w:bCs/>
                <w:sz w:val="14"/>
                <w:szCs w:val="14"/>
              </w:rPr>
              <w:t>18,0</w:t>
            </w:r>
          </w:p>
        </w:tc>
        <w:tc>
          <w:tcPr>
            <w:tcW w:w="646" w:type="pct"/>
            <w:tcBorders>
              <w:top w:val="nil"/>
              <w:left w:val="nil"/>
              <w:bottom w:val="nil"/>
              <w:right w:val="nil"/>
            </w:tcBorders>
            <w:vAlign w:val="bottom"/>
          </w:tcPr>
          <w:p w:rsidR="00565FD5" w:rsidRPr="001651D9" w:rsidRDefault="00565FD5" w:rsidP="00AB62A3">
            <w:pPr>
              <w:jc w:val="right"/>
              <w:rPr>
                <w:rFonts w:cs="Tahoma"/>
                <w:b/>
                <w:bCs/>
                <w:sz w:val="14"/>
                <w:szCs w:val="14"/>
              </w:rPr>
            </w:pPr>
            <w:r w:rsidRPr="001651D9">
              <w:rPr>
                <w:rFonts w:cs="Tahoma"/>
                <w:b/>
                <w:bCs/>
                <w:sz w:val="14"/>
                <w:szCs w:val="14"/>
              </w:rPr>
              <w:t xml:space="preserve">19,9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
                <w:bCs/>
                <w:sz w:val="14"/>
                <w:szCs w:val="14"/>
              </w:rPr>
            </w:pPr>
            <w:r w:rsidRPr="001651D9">
              <w:rPr>
                <w:rFonts w:cs="Tahoma"/>
                <w:b/>
                <w:bCs/>
                <w:sz w:val="14"/>
                <w:szCs w:val="14"/>
              </w:rPr>
              <w:t xml:space="preserve">22,6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358" w:type="dxa"/>
              <w:bottom w:w="0" w:type="dxa"/>
              <w:right w:w="10" w:type="dxa"/>
            </w:tcMar>
            <w:vAlign w:val="bottom"/>
          </w:tcPr>
          <w:p w:rsidR="00565FD5" w:rsidRPr="001651D9" w:rsidRDefault="00565FD5" w:rsidP="00AB62A3">
            <w:pPr>
              <w:tabs>
                <w:tab w:val="left" w:pos="198"/>
              </w:tabs>
              <w:ind w:left="-64"/>
              <w:rPr>
                <w:rFonts w:cs="Tahoma"/>
                <w:sz w:val="14"/>
                <w:szCs w:val="14"/>
              </w:rPr>
            </w:pPr>
            <w:r w:rsidRPr="001651D9">
              <w:rPr>
                <w:rFonts w:cs="Tahoma"/>
                <w:sz w:val="14"/>
                <w:szCs w:val="14"/>
              </w:rPr>
              <w:t>Gelir</w:t>
            </w:r>
          </w:p>
        </w:tc>
        <w:tc>
          <w:tcPr>
            <w:tcW w:w="645"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34,7</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38,6</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 xml:space="preserve">40,3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Cs/>
                <w:sz w:val="14"/>
                <w:szCs w:val="14"/>
              </w:rPr>
            </w:pPr>
            <w:r w:rsidRPr="001651D9">
              <w:rPr>
                <w:rFonts w:cs="Tahoma"/>
                <w:bCs/>
                <w:sz w:val="14"/>
                <w:szCs w:val="14"/>
              </w:rPr>
              <w:t xml:space="preserve">44,0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358" w:type="dxa"/>
              <w:bottom w:w="0" w:type="dxa"/>
              <w:right w:w="10" w:type="dxa"/>
            </w:tcMar>
            <w:vAlign w:val="bottom"/>
          </w:tcPr>
          <w:p w:rsidR="00565FD5" w:rsidRPr="001651D9" w:rsidRDefault="00565FD5" w:rsidP="00AB62A3">
            <w:pPr>
              <w:tabs>
                <w:tab w:val="left" w:pos="-64"/>
              </w:tabs>
              <w:ind w:hanging="64"/>
              <w:rPr>
                <w:rFonts w:cs="Tahoma"/>
                <w:sz w:val="14"/>
                <w:szCs w:val="14"/>
              </w:rPr>
            </w:pPr>
            <w:r w:rsidRPr="001651D9">
              <w:rPr>
                <w:rFonts w:cs="Tahoma"/>
                <w:sz w:val="14"/>
                <w:szCs w:val="14"/>
              </w:rPr>
              <w:lastRenderedPageBreak/>
              <w:t>Gider</w:t>
            </w:r>
          </w:p>
        </w:tc>
        <w:tc>
          <w:tcPr>
            <w:tcW w:w="645"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-19,3</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-20,6</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 xml:space="preserve">-20,5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Cs/>
                <w:sz w:val="14"/>
                <w:szCs w:val="14"/>
              </w:rPr>
            </w:pPr>
            <w:r w:rsidRPr="001651D9">
              <w:rPr>
                <w:rFonts w:cs="Tahoma"/>
                <w:bCs/>
                <w:sz w:val="14"/>
                <w:szCs w:val="14"/>
              </w:rPr>
              <w:t xml:space="preserve">-21,5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238" w:type="dxa"/>
              <w:bottom w:w="0" w:type="dxa"/>
              <w:right w:w="10" w:type="dxa"/>
            </w:tcMar>
            <w:vAlign w:val="bottom"/>
          </w:tcPr>
          <w:p w:rsidR="00565FD5" w:rsidRPr="001651D9" w:rsidRDefault="00565FD5" w:rsidP="00AB62A3">
            <w:pPr>
              <w:tabs>
                <w:tab w:val="left" w:pos="56"/>
              </w:tabs>
              <w:rPr>
                <w:rFonts w:cs="Tahoma"/>
                <w:sz w:val="14"/>
                <w:szCs w:val="14"/>
              </w:rPr>
            </w:pPr>
            <w:r w:rsidRPr="001651D9">
              <w:rPr>
                <w:rFonts w:cs="Tahoma"/>
                <w:sz w:val="14"/>
                <w:szCs w:val="14"/>
              </w:rPr>
              <w:t xml:space="preserve"> Turizm</w:t>
            </w:r>
          </w:p>
        </w:tc>
        <w:tc>
          <w:tcPr>
            <w:tcW w:w="645" w:type="pct"/>
            <w:tcBorders>
              <w:top w:val="nil"/>
              <w:left w:val="nil"/>
              <w:bottom w:val="nil"/>
              <w:right w:val="nil"/>
            </w:tcBorders>
            <w:vAlign w:val="center"/>
          </w:tcPr>
          <w:p w:rsidR="00565FD5" w:rsidRPr="001651D9" w:rsidRDefault="00565FD5" w:rsidP="00AB62A3">
            <w:pPr>
              <w:jc w:val="right"/>
              <w:rPr>
                <w:rFonts w:cs="Tahoma"/>
                <w:bCs/>
                <w:sz w:val="14"/>
                <w:szCs w:val="14"/>
              </w:rPr>
            </w:pPr>
            <w:r w:rsidRPr="001651D9">
              <w:rPr>
                <w:rFonts w:cs="Tahoma"/>
                <w:bCs/>
                <w:sz w:val="14"/>
                <w:szCs w:val="14"/>
              </w:rPr>
              <w:t>16,0</w:t>
            </w:r>
          </w:p>
        </w:tc>
        <w:tc>
          <w:tcPr>
            <w:tcW w:w="646" w:type="pct"/>
            <w:tcBorders>
              <w:top w:val="nil"/>
              <w:left w:val="nil"/>
              <w:bottom w:val="nil"/>
              <w:right w:val="nil"/>
            </w:tcBorders>
            <w:vAlign w:val="center"/>
          </w:tcPr>
          <w:p w:rsidR="00565FD5" w:rsidRPr="001651D9" w:rsidRDefault="00565FD5" w:rsidP="00AB62A3">
            <w:pPr>
              <w:jc w:val="right"/>
              <w:rPr>
                <w:rFonts w:cs="Tahoma"/>
                <w:bCs/>
                <w:sz w:val="14"/>
                <w:szCs w:val="14"/>
              </w:rPr>
            </w:pPr>
            <w:r w:rsidRPr="001651D9">
              <w:rPr>
                <w:rFonts w:cs="Tahoma"/>
                <w:bCs/>
                <w:sz w:val="14"/>
                <w:szCs w:val="14"/>
              </w:rPr>
              <w:t>18,0</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 xml:space="preserve">19,3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Cs/>
                <w:sz w:val="14"/>
                <w:szCs w:val="14"/>
              </w:rPr>
            </w:pPr>
            <w:r w:rsidRPr="001651D9">
              <w:rPr>
                <w:rFonts w:cs="Tahoma"/>
                <w:bCs/>
                <w:sz w:val="14"/>
                <w:szCs w:val="14"/>
              </w:rPr>
              <w:t xml:space="preserve">21,0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477" w:type="dxa"/>
              <w:bottom w:w="0" w:type="dxa"/>
              <w:right w:w="10" w:type="dxa"/>
            </w:tcMar>
            <w:vAlign w:val="bottom"/>
          </w:tcPr>
          <w:p w:rsidR="00565FD5" w:rsidRPr="001651D9" w:rsidRDefault="00565FD5" w:rsidP="00AB62A3">
            <w:pPr>
              <w:rPr>
                <w:rFonts w:cs="Tahoma"/>
                <w:sz w:val="14"/>
                <w:szCs w:val="14"/>
              </w:rPr>
            </w:pPr>
            <w:r w:rsidRPr="001651D9">
              <w:rPr>
                <w:rFonts w:cs="Tahoma"/>
                <w:sz w:val="14"/>
                <w:szCs w:val="14"/>
              </w:rPr>
              <w:t>Gelir</w:t>
            </w:r>
          </w:p>
        </w:tc>
        <w:tc>
          <w:tcPr>
            <w:tcW w:w="645"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20,8</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23,0</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 xml:space="preserve">23,5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Cs/>
                <w:sz w:val="14"/>
                <w:szCs w:val="14"/>
              </w:rPr>
            </w:pPr>
            <w:r w:rsidRPr="001651D9">
              <w:rPr>
                <w:rFonts w:cs="Tahoma"/>
                <w:bCs/>
                <w:sz w:val="14"/>
                <w:szCs w:val="14"/>
              </w:rPr>
              <w:t xml:space="preserve">25,4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477" w:type="dxa"/>
              <w:bottom w:w="0" w:type="dxa"/>
              <w:right w:w="10" w:type="dxa"/>
            </w:tcMar>
            <w:vAlign w:val="bottom"/>
          </w:tcPr>
          <w:p w:rsidR="00565FD5" w:rsidRPr="001651D9" w:rsidRDefault="00565FD5" w:rsidP="00AB62A3">
            <w:pPr>
              <w:rPr>
                <w:rFonts w:cs="Tahoma"/>
                <w:sz w:val="14"/>
                <w:szCs w:val="14"/>
              </w:rPr>
            </w:pPr>
            <w:r w:rsidRPr="001651D9">
              <w:rPr>
                <w:rFonts w:cs="Tahoma"/>
                <w:sz w:val="14"/>
                <w:szCs w:val="14"/>
              </w:rPr>
              <w:t>Gider</w:t>
            </w:r>
          </w:p>
        </w:tc>
        <w:tc>
          <w:tcPr>
            <w:tcW w:w="645"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-4,8</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-5,0</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 xml:space="preserve">-4,3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Cs/>
                <w:sz w:val="14"/>
                <w:szCs w:val="14"/>
              </w:rPr>
            </w:pPr>
            <w:r w:rsidRPr="001651D9">
              <w:rPr>
                <w:rFonts w:cs="Tahoma"/>
                <w:bCs/>
                <w:sz w:val="14"/>
                <w:szCs w:val="14"/>
              </w:rPr>
              <w:t xml:space="preserve">-4,4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10" w:type="dxa"/>
              <w:bottom w:w="0" w:type="dxa"/>
              <w:right w:w="10" w:type="dxa"/>
            </w:tcMar>
            <w:vAlign w:val="bottom"/>
          </w:tcPr>
          <w:p w:rsidR="00565FD5" w:rsidRPr="001651D9" w:rsidRDefault="00565FD5" w:rsidP="00AB62A3">
            <w:pPr>
              <w:ind w:firstLine="90"/>
              <w:rPr>
                <w:rFonts w:cs="Tahoma"/>
                <w:b/>
                <w:bCs/>
                <w:sz w:val="14"/>
                <w:szCs w:val="14"/>
              </w:rPr>
            </w:pPr>
            <w:r w:rsidRPr="001651D9">
              <w:rPr>
                <w:rFonts w:cs="Tahoma"/>
                <w:b/>
                <w:bCs/>
                <w:sz w:val="14"/>
                <w:szCs w:val="14"/>
              </w:rPr>
              <w:t>GELİR DENGESİ</w:t>
            </w:r>
          </w:p>
        </w:tc>
        <w:tc>
          <w:tcPr>
            <w:tcW w:w="645" w:type="pct"/>
            <w:tcBorders>
              <w:top w:val="nil"/>
              <w:left w:val="nil"/>
              <w:bottom w:val="nil"/>
              <w:right w:val="nil"/>
            </w:tcBorders>
            <w:vAlign w:val="bottom"/>
          </w:tcPr>
          <w:p w:rsidR="00565FD5" w:rsidRPr="001651D9" w:rsidRDefault="00565FD5" w:rsidP="00AB62A3">
            <w:pPr>
              <w:jc w:val="right"/>
              <w:rPr>
                <w:rFonts w:cs="Tahoma"/>
                <w:b/>
                <w:bCs/>
                <w:sz w:val="14"/>
                <w:szCs w:val="14"/>
              </w:rPr>
            </w:pPr>
            <w:r w:rsidRPr="001651D9">
              <w:rPr>
                <w:rFonts w:cs="Tahoma"/>
                <w:b/>
                <w:bCs/>
                <w:sz w:val="14"/>
                <w:szCs w:val="14"/>
              </w:rPr>
              <w:t>-7,1</w:t>
            </w:r>
          </w:p>
        </w:tc>
        <w:tc>
          <w:tcPr>
            <w:tcW w:w="646" w:type="pct"/>
            <w:tcBorders>
              <w:top w:val="nil"/>
              <w:left w:val="nil"/>
              <w:bottom w:val="nil"/>
              <w:right w:val="nil"/>
            </w:tcBorders>
            <w:vAlign w:val="bottom"/>
          </w:tcPr>
          <w:p w:rsidR="00565FD5" w:rsidRPr="001651D9" w:rsidRDefault="00565FD5" w:rsidP="00AB62A3">
            <w:pPr>
              <w:jc w:val="right"/>
              <w:rPr>
                <w:rFonts w:cs="Tahoma"/>
                <w:b/>
                <w:bCs/>
                <w:sz w:val="14"/>
                <w:szCs w:val="14"/>
              </w:rPr>
            </w:pPr>
            <w:r w:rsidRPr="001651D9">
              <w:rPr>
                <w:rFonts w:cs="Tahoma"/>
                <w:b/>
                <w:bCs/>
                <w:sz w:val="14"/>
                <w:szCs w:val="14"/>
              </w:rPr>
              <w:t>-7,8</w:t>
            </w:r>
          </w:p>
        </w:tc>
        <w:tc>
          <w:tcPr>
            <w:tcW w:w="646" w:type="pct"/>
            <w:tcBorders>
              <w:top w:val="nil"/>
              <w:left w:val="nil"/>
              <w:bottom w:val="nil"/>
              <w:right w:val="nil"/>
            </w:tcBorders>
            <w:vAlign w:val="bottom"/>
          </w:tcPr>
          <w:p w:rsidR="00565FD5" w:rsidRPr="001651D9" w:rsidRDefault="00565FD5" w:rsidP="00AB62A3">
            <w:pPr>
              <w:jc w:val="right"/>
              <w:rPr>
                <w:rFonts w:cs="Tahoma"/>
                <w:b/>
                <w:bCs/>
                <w:sz w:val="14"/>
                <w:szCs w:val="14"/>
              </w:rPr>
            </w:pPr>
            <w:r w:rsidRPr="001651D9">
              <w:rPr>
                <w:rFonts w:cs="Tahoma"/>
                <w:b/>
                <w:bCs/>
                <w:sz w:val="14"/>
                <w:szCs w:val="14"/>
              </w:rPr>
              <w:t xml:space="preserve">-6,8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
                <w:bCs/>
                <w:sz w:val="14"/>
                <w:szCs w:val="14"/>
              </w:rPr>
            </w:pPr>
            <w:r w:rsidRPr="001651D9">
              <w:rPr>
                <w:rFonts w:cs="Tahoma"/>
                <w:b/>
                <w:bCs/>
                <w:sz w:val="14"/>
                <w:szCs w:val="14"/>
              </w:rPr>
              <w:t xml:space="preserve">-7,7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477" w:type="dxa"/>
              <w:bottom w:w="0" w:type="dxa"/>
              <w:right w:w="10" w:type="dxa"/>
            </w:tcMar>
            <w:vAlign w:val="bottom"/>
          </w:tcPr>
          <w:p w:rsidR="00565FD5" w:rsidRPr="001651D9" w:rsidRDefault="00565FD5" w:rsidP="00AB62A3">
            <w:pPr>
              <w:ind w:left="-183"/>
              <w:rPr>
                <w:rFonts w:cs="Tahoma"/>
                <w:sz w:val="14"/>
                <w:szCs w:val="14"/>
              </w:rPr>
            </w:pPr>
            <w:r w:rsidRPr="001651D9">
              <w:rPr>
                <w:rFonts w:cs="Tahoma"/>
                <w:sz w:val="14"/>
                <w:szCs w:val="14"/>
              </w:rPr>
              <w:t>Gelir</w:t>
            </w:r>
          </w:p>
        </w:tc>
        <w:tc>
          <w:tcPr>
            <w:tcW w:w="645"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4,5</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4,0</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 xml:space="preserve">4,8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Cs/>
                <w:sz w:val="14"/>
                <w:szCs w:val="14"/>
              </w:rPr>
            </w:pPr>
            <w:r w:rsidRPr="001651D9">
              <w:rPr>
                <w:rFonts w:cs="Tahoma"/>
                <w:bCs/>
                <w:sz w:val="14"/>
                <w:szCs w:val="14"/>
              </w:rPr>
              <w:t xml:space="preserve">5,0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477" w:type="dxa"/>
              <w:bottom w:w="0" w:type="dxa"/>
              <w:right w:w="10" w:type="dxa"/>
            </w:tcMar>
            <w:vAlign w:val="bottom"/>
          </w:tcPr>
          <w:p w:rsidR="00565FD5" w:rsidRPr="001651D9" w:rsidRDefault="00565FD5" w:rsidP="00AB62A3">
            <w:pPr>
              <w:ind w:left="-183"/>
              <w:rPr>
                <w:rFonts w:cs="Tahoma"/>
                <w:sz w:val="14"/>
                <w:szCs w:val="14"/>
              </w:rPr>
            </w:pPr>
            <w:r w:rsidRPr="001651D9">
              <w:rPr>
                <w:rFonts w:cs="Tahoma"/>
                <w:sz w:val="14"/>
                <w:szCs w:val="14"/>
              </w:rPr>
              <w:t>Gider</w:t>
            </w:r>
          </w:p>
        </w:tc>
        <w:tc>
          <w:tcPr>
            <w:tcW w:w="645"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-11,6</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-11,7</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 xml:space="preserve">-11,6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Cs/>
                <w:sz w:val="14"/>
                <w:szCs w:val="14"/>
              </w:rPr>
            </w:pPr>
            <w:r w:rsidRPr="001651D9">
              <w:rPr>
                <w:rFonts w:cs="Tahoma"/>
                <w:bCs/>
                <w:sz w:val="14"/>
                <w:szCs w:val="14"/>
              </w:rPr>
              <w:t xml:space="preserve">-12,7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238" w:type="dxa"/>
              <w:bottom w:w="0" w:type="dxa"/>
              <w:right w:w="10" w:type="dxa"/>
            </w:tcMar>
            <w:vAlign w:val="bottom"/>
          </w:tcPr>
          <w:p w:rsidR="00565FD5" w:rsidRPr="001651D9" w:rsidRDefault="00565FD5" w:rsidP="00565FD5">
            <w:pPr>
              <w:ind w:leftChars="6" w:left="13" w:firstLine="45"/>
              <w:rPr>
                <w:rFonts w:cs="Tahoma"/>
                <w:sz w:val="14"/>
                <w:szCs w:val="14"/>
              </w:rPr>
            </w:pPr>
            <w:r w:rsidRPr="001651D9">
              <w:rPr>
                <w:rFonts w:cs="Tahoma"/>
                <w:sz w:val="14"/>
                <w:szCs w:val="14"/>
              </w:rPr>
              <w:t>Yatırım Geliri Dengesi</w:t>
            </w:r>
          </w:p>
        </w:tc>
        <w:tc>
          <w:tcPr>
            <w:tcW w:w="645"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-7,0</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-7,6</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 xml:space="preserve">-6,6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Cs/>
                <w:sz w:val="14"/>
                <w:szCs w:val="14"/>
              </w:rPr>
            </w:pPr>
            <w:r w:rsidRPr="001651D9">
              <w:rPr>
                <w:rFonts w:cs="Tahoma"/>
                <w:bCs/>
                <w:sz w:val="14"/>
                <w:szCs w:val="14"/>
              </w:rPr>
              <w:t xml:space="preserve">-7,5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358" w:type="dxa"/>
              <w:bottom w:w="0" w:type="dxa"/>
              <w:right w:w="10" w:type="dxa"/>
            </w:tcMar>
            <w:vAlign w:val="bottom"/>
          </w:tcPr>
          <w:p w:rsidR="00565FD5" w:rsidRPr="001651D9" w:rsidRDefault="00565FD5" w:rsidP="00AB62A3">
            <w:pPr>
              <w:ind w:firstLineChars="120" w:firstLine="168"/>
              <w:rPr>
                <w:rFonts w:cs="Tahoma"/>
                <w:sz w:val="14"/>
                <w:szCs w:val="14"/>
              </w:rPr>
            </w:pPr>
            <w:r w:rsidRPr="001651D9">
              <w:rPr>
                <w:rFonts w:cs="Tahoma"/>
                <w:sz w:val="14"/>
                <w:szCs w:val="14"/>
              </w:rPr>
              <w:t>Doğrudan Yatırımlar</w:t>
            </w:r>
          </w:p>
        </w:tc>
        <w:tc>
          <w:tcPr>
            <w:tcW w:w="645"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-2,2</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-2,8</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 xml:space="preserve">-2,2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Cs/>
                <w:sz w:val="14"/>
                <w:szCs w:val="14"/>
              </w:rPr>
            </w:pPr>
            <w:r w:rsidRPr="001651D9">
              <w:rPr>
                <w:rFonts w:cs="Tahoma"/>
                <w:bCs/>
                <w:sz w:val="14"/>
                <w:szCs w:val="14"/>
              </w:rPr>
              <w:t xml:space="preserve">-2,4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358" w:type="dxa"/>
              <w:bottom w:w="0" w:type="dxa"/>
              <w:right w:w="10" w:type="dxa"/>
            </w:tcMar>
            <w:vAlign w:val="bottom"/>
          </w:tcPr>
          <w:p w:rsidR="00565FD5" w:rsidRPr="001651D9" w:rsidRDefault="00565FD5" w:rsidP="00AB62A3">
            <w:pPr>
              <w:ind w:firstLineChars="120" w:firstLine="168"/>
              <w:rPr>
                <w:rFonts w:cs="Tahoma"/>
                <w:sz w:val="14"/>
                <w:szCs w:val="14"/>
              </w:rPr>
            </w:pPr>
            <w:r w:rsidRPr="001651D9">
              <w:rPr>
                <w:rFonts w:cs="Tahoma"/>
                <w:sz w:val="14"/>
                <w:szCs w:val="14"/>
              </w:rPr>
              <w:t>Portföy Yatırımları</w:t>
            </w:r>
          </w:p>
        </w:tc>
        <w:tc>
          <w:tcPr>
            <w:tcW w:w="645"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-0,5</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-0,9</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 xml:space="preserve">-0,4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Cs/>
                <w:sz w:val="14"/>
                <w:szCs w:val="14"/>
              </w:rPr>
            </w:pPr>
            <w:r w:rsidRPr="001651D9">
              <w:rPr>
                <w:rFonts w:cs="Tahoma"/>
                <w:bCs/>
                <w:sz w:val="14"/>
                <w:szCs w:val="14"/>
              </w:rPr>
              <w:t xml:space="preserve">-0,5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358" w:type="dxa"/>
              <w:bottom w:w="0" w:type="dxa"/>
              <w:right w:w="10" w:type="dxa"/>
            </w:tcMar>
            <w:vAlign w:val="bottom"/>
          </w:tcPr>
          <w:p w:rsidR="00565FD5" w:rsidRPr="001651D9" w:rsidRDefault="00565FD5" w:rsidP="00AB62A3">
            <w:pPr>
              <w:ind w:firstLineChars="120" w:firstLine="168"/>
              <w:rPr>
                <w:rFonts w:cs="Tahoma"/>
                <w:sz w:val="14"/>
                <w:szCs w:val="14"/>
              </w:rPr>
            </w:pPr>
            <w:r w:rsidRPr="001651D9">
              <w:rPr>
                <w:rFonts w:cs="Tahoma"/>
                <w:sz w:val="14"/>
                <w:szCs w:val="14"/>
              </w:rPr>
              <w:t>Diğer Yatırımlar</w:t>
            </w:r>
          </w:p>
        </w:tc>
        <w:tc>
          <w:tcPr>
            <w:tcW w:w="645"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-4,3</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-3,9</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 xml:space="preserve">-4,1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Cs/>
                <w:sz w:val="14"/>
                <w:szCs w:val="14"/>
              </w:rPr>
            </w:pPr>
            <w:r w:rsidRPr="001651D9">
              <w:rPr>
                <w:rFonts w:cs="Tahoma"/>
                <w:bCs/>
                <w:sz w:val="14"/>
                <w:szCs w:val="14"/>
              </w:rPr>
              <w:t xml:space="preserve">-4,6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596" w:type="dxa"/>
              <w:bottom w:w="0" w:type="dxa"/>
              <w:right w:w="10" w:type="dxa"/>
            </w:tcMar>
            <w:vAlign w:val="bottom"/>
          </w:tcPr>
          <w:p w:rsidR="00565FD5" w:rsidRPr="001651D9" w:rsidRDefault="00565FD5" w:rsidP="00AB62A3">
            <w:pPr>
              <w:rPr>
                <w:rFonts w:cs="Tahoma"/>
                <w:sz w:val="14"/>
                <w:szCs w:val="14"/>
              </w:rPr>
            </w:pPr>
            <w:r w:rsidRPr="001651D9">
              <w:rPr>
                <w:rFonts w:cs="Tahoma"/>
                <w:sz w:val="14"/>
                <w:szCs w:val="14"/>
              </w:rPr>
              <w:t xml:space="preserve">  Faiz Geliri</w:t>
            </w:r>
          </w:p>
        </w:tc>
        <w:tc>
          <w:tcPr>
            <w:tcW w:w="645"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1,1</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1,2</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 xml:space="preserve">1,7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Cs/>
                <w:sz w:val="14"/>
                <w:szCs w:val="14"/>
              </w:rPr>
            </w:pPr>
            <w:r w:rsidRPr="001651D9">
              <w:rPr>
                <w:rFonts w:cs="Tahoma"/>
                <w:bCs/>
                <w:sz w:val="14"/>
                <w:szCs w:val="14"/>
              </w:rPr>
              <w:t xml:space="preserve">1,8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596" w:type="dxa"/>
              <w:bottom w:w="0" w:type="dxa"/>
              <w:right w:w="10" w:type="dxa"/>
            </w:tcMar>
            <w:vAlign w:val="bottom"/>
          </w:tcPr>
          <w:p w:rsidR="00565FD5" w:rsidRPr="001651D9" w:rsidRDefault="00565FD5" w:rsidP="00AB62A3">
            <w:pPr>
              <w:rPr>
                <w:rFonts w:cs="Tahoma"/>
                <w:sz w:val="14"/>
                <w:szCs w:val="14"/>
              </w:rPr>
            </w:pPr>
            <w:r w:rsidRPr="001651D9">
              <w:rPr>
                <w:rFonts w:cs="Tahoma"/>
                <w:sz w:val="14"/>
                <w:szCs w:val="14"/>
              </w:rPr>
              <w:t xml:space="preserve">  Faiz Gideri</w:t>
            </w:r>
          </w:p>
        </w:tc>
        <w:tc>
          <w:tcPr>
            <w:tcW w:w="645"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-5,4</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-5,1</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 xml:space="preserve">-5,8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Cs/>
                <w:sz w:val="14"/>
                <w:szCs w:val="14"/>
              </w:rPr>
            </w:pPr>
            <w:r w:rsidRPr="001651D9">
              <w:rPr>
                <w:rFonts w:cs="Tahoma"/>
                <w:bCs/>
                <w:sz w:val="14"/>
                <w:szCs w:val="14"/>
              </w:rPr>
              <w:t xml:space="preserve">-6,4 </w:t>
            </w:r>
          </w:p>
        </w:tc>
      </w:tr>
      <w:tr w:rsidR="00565FD5" w:rsidRPr="001651D9" w:rsidTr="00AB62A3">
        <w:trPr>
          <w:trHeight w:val="20"/>
          <w:jc w:val="center"/>
        </w:trPr>
        <w:tc>
          <w:tcPr>
            <w:tcW w:w="2423" w:type="pct"/>
            <w:tcBorders>
              <w:top w:val="nil"/>
              <w:left w:val="single" w:sz="4" w:space="0" w:color="auto"/>
              <w:bottom w:val="nil"/>
              <w:right w:val="nil"/>
            </w:tcBorders>
            <w:noWrap/>
            <w:tcMar>
              <w:top w:w="10" w:type="dxa"/>
              <w:left w:w="834" w:type="dxa"/>
              <w:bottom w:w="0" w:type="dxa"/>
              <w:right w:w="10" w:type="dxa"/>
            </w:tcMar>
            <w:vAlign w:val="bottom"/>
          </w:tcPr>
          <w:p w:rsidR="00565FD5" w:rsidRPr="001651D9" w:rsidRDefault="00565FD5" w:rsidP="00AB62A3">
            <w:pPr>
              <w:rPr>
                <w:rFonts w:cs="Tahoma"/>
                <w:sz w:val="14"/>
                <w:szCs w:val="14"/>
              </w:rPr>
            </w:pPr>
            <w:r w:rsidRPr="001651D9">
              <w:rPr>
                <w:rFonts w:cs="Tahoma"/>
                <w:sz w:val="14"/>
                <w:szCs w:val="14"/>
              </w:rPr>
              <w:t xml:space="preserve"> Uzun Vade</w:t>
            </w:r>
          </w:p>
        </w:tc>
        <w:tc>
          <w:tcPr>
            <w:tcW w:w="645"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-5,1</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-4,5</w:t>
            </w:r>
          </w:p>
        </w:tc>
        <w:tc>
          <w:tcPr>
            <w:tcW w:w="646" w:type="pct"/>
            <w:tcBorders>
              <w:top w:val="nil"/>
              <w:left w:val="nil"/>
              <w:bottom w:val="nil"/>
              <w:right w:val="nil"/>
            </w:tcBorders>
            <w:vAlign w:val="bottom"/>
          </w:tcPr>
          <w:p w:rsidR="00565FD5" w:rsidRPr="001651D9" w:rsidRDefault="00565FD5" w:rsidP="00AB62A3">
            <w:pPr>
              <w:jc w:val="right"/>
              <w:rPr>
                <w:rFonts w:cs="Tahoma"/>
                <w:bCs/>
                <w:sz w:val="14"/>
                <w:szCs w:val="14"/>
              </w:rPr>
            </w:pPr>
            <w:r w:rsidRPr="001651D9">
              <w:rPr>
                <w:rFonts w:cs="Tahoma"/>
                <w:bCs/>
                <w:sz w:val="14"/>
                <w:szCs w:val="14"/>
              </w:rPr>
              <w:t xml:space="preserve">-4,8 </w:t>
            </w:r>
          </w:p>
        </w:tc>
        <w:tc>
          <w:tcPr>
            <w:tcW w:w="640" w:type="pct"/>
            <w:tcBorders>
              <w:top w:val="nil"/>
              <w:left w:val="nil"/>
              <w:bottom w:val="nil"/>
              <w:right w:val="single" w:sz="4" w:space="0" w:color="auto"/>
            </w:tcBorders>
            <w:tcMar>
              <w:right w:w="57" w:type="dxa"/>
            </w:tcMar>
            <w:vAlign w:val="bottom"/>
          </w:tcPr>
          <w:p w:rsidR="00565FD5" w:rsidRPr="001651D9" w:rsidRDefault="00565FD5" w:rsidP="00AB62A3">
            <w:pPr>
              <w:jc w:val="right"/>
              <w:rPr>
                <w:rFonts w:cs="Tahoma"/>
                <w:bCs/>
                <w:sz w:val="14"/>
                <w:szCs w:val="14"/>
              </w:rPr>
            </w:pPr>
            <w:r w:rsidRPr="001651D9">
              <w:rPr>
                <w:rFonts w:cs="Tahoma"/>
                <w:bCs/>
                <w:sz w:val="14"/>
                <w:szCs w:val="14"/>
              </w:rPr>
              <w:t xml:space="preserve">-5,4 </w:t>
            </w:r>
          </w:p>
        </w:tc>
      </w:tr>
      <w:tr w:rsidR="00565FD5" w:rsidRPr="001651D9" w:rsidTr="00AB62A3">
        <w:trPr>
          <w:trHeight w:val="20"/>
          <w:jc w:val="center"/>
        </w:trPr>
        <w:tc>
          <w:tcPr>
            <w:tcW w:w="2423" w:type="pct"/>
            <w:tcBorders>
              <w:top w:val="nil"/>
              <w:left w:val="single" w:sz="4" w:space="0" w:color="auto"/>
              <w:bottom w:val="single" w:sz="4" w:space="0" w:color="auto"/>
              <w:right w:val="nil"/>
            </w:tcBorders>
            <w:noWrap/>
            <w:tcMar>
              <w:top w:w="10" w:type="dxa"/>
              <w:left w:w="10" w:type="dxa"/>
              <w:bottom w:w="0" w:type="dxa"/>
              <w:right w:w="10" w:type="dxa"/>
            </w:tcMar>
            <w:vAlign w:val="bottom"/>
          </w:tcPr>
          <w:p w:rsidR="00565FD5" w:rsidRPr="001651D9" w:rsidRDefault="00565FD5" w:rsidP="00AB62A3">
            <w:pPr>
              <w:ind w:firstLine="90"/>
              <w:rPr>
                <w:rFonts w:cs="Tahoma"/>
                <w:b/>
                <w:bCs/>
                <w:sz w:val="14"/>
                <w:szCs w:val="14"/>
              </w:rPr>
            </w:pPr>
            <w:r w:rsidRPr="001651D9">
              <w:rPr>
                <w:rFonts w:cs="Tahoma"/>
                <w:b/>
                <w:bCs/>
                <w:sz w:val="14"/>
                <w:szCs w:val="14"/>
              </w:rPr>
              <w:t>CARİ TRANSFERLER</w:t>
            </w:r>
          </w:p>
        </w:tc>
        <w:tc>
          <w:tcPr>
            <w:tcW w:w="645" w:type="pct"/>
            <w:tcBorders>
              <w:top w:val="nil"/>
              <w:left w:val="nil"/>
              <w:bottom w:val="single" w:sz="4" w:space="0" w:color="auto"/>
              <w:right w:val="nil"/>
            </w:tcBorders>
            <w:vAlign w:val="bottom"/>
          </w:tcPr>
          <w:p w:rsidR="00565FD5" w:rsidRPr="001651D9" w:rsidRDefault="00565FD5" w:rsidP="00AB62A3">
            <w:pPr>
              <w:jc w:val="right"/>
              <w:rPr>
                <w:rFonts w:cs="Tahoma"/>
                <w:b/>
                <w:bCs/>
                <w:sz w:val="14"/>
                <w:szCs w:val="14"/>
              </w:rPr>
            </w:pPr>
            <w:r w:rsidRPr="001651D9">
              <w:rPr>
                <w:rFonts w:cs="Tahoma"/>
                <w:b/>
                <w:bCs/>
                <w:sz w:val="14"/>
                <w:szCs w:val="14"/>
              </w:rPr>
              <w:t>1,4</w:t>
            </w:r>
          </w:p>
        </w:tc>
        <w:tc>
          <w:tcPr>
            <w:tcW w:w="646" w:type="pct"/>
            <w:tcBorders>
              <w:top w:val="nil"/>
              <w:left w:val="nil"/>
              <w:bottom w:val="single" w:sz="4" w:space="0" w:color="auto"/>
              <w:right w:val="nil"/>
            </w:tcBorders>
            <w:vAlign w:val="bottom"/>
          </w:tcPr>
          <w:p w:rsidR="00565FD5" w:rsidRPr="001651D9" w:rsidRDefault="00565FD5" w:rsidP="00AB62A3">
            <w:pPr>
              <w:jc w:val="right"/>
              <w:rPr>
                <w:rFonts w:cs="Tahoma"/>
                <w:b/>
                <w:bCs/>
                <w:sz w:val="14"/>
                <w:szCs w:val="14"/>
              </w:rPr>
            </w:pPr>
            <w:r w:rsidRPr="001651D9">
              <w:rPr>
                <w:rFonts w:cs="Tahoma"/>
                <w:b/>
                <w:bCs/>
                <w:sz w:val="14"/>
                <w:szCs w:val="14"/>
              </w:rPr>
              <w:t>1,7</w:t>
            </w:r>
          </w:p>
        </w:tc>
        <w:tc>
          <w:tcPr>
            <w:tcW w:w="646" w:type="pct"/>
            <w:tcBorders>
              <w:top w:val="nil"/>
              <w:left w:val="nil"/>
              <w:bottom w:val="single" w:sz="4" w:space="0" w:color="auto"/>
              <w:right w:val="nil"/>
            </w:tcBorders>
            <w:vAlign w:val="bottom"/>
          </w:tcPr>
          <w:p w:rsidR="00565FD5" w:rsidRPr="001651D9" w:rsidRDefault="00565FD5" w:rsidP="00AB62A3">
            <w:pPr>
              <w:jc w:val="right"/>
              <w:rPr>
                <w:rFonts w:cs="Tahoma"/>
                <w:b/>
                <w:bCs/>
                <w:sz w:val="14"/>
                <w:szCs w:val="14"/>
              </w:rPr>
            </w:pPr>
            <w:r w:rsidRPr="001651D9">
              <w:rPr>
                <w:rFonts w:cs="Tahoma"/>
                <w:b/>
                <w:bCs/>
                <w:sz w:val="14"/>
                <w:szCs w:val="14"/>
              </w:rPr>
              <w:t xml:space="preserve">1,6 </w:t>
            </w:r>
          </w:p>
        </w:tc>
        <w:tc>
          <w:tcPr>
            <w:tcW w:w="640" w:type="pct"/>
            <w:tcBorders>
              <w:top w:val="nil"/>
              <w:left w:val="nil"/>
              <w:bottom w:val="single" w:sz="4" w:space="0" w:color="auto"/>
              <w:right w:val="single" w:sz="4" w:space="0" w:color="auto"/>
            </w:tcBorders>
            <w:tcMar>
              <w:right w:w="57" w:type="dxa"/>
            </w:tcMar>
            <w:vAlign w:val="bottom"/>
          </w:tcPr>
          <w:p w:rsidR="00565FD5" w:rsidRPr="001651D9" w:rsidRDefault="00565FD5" w:rsidP="00AB62A3">
            <w:pPr>
              <w:jc w:val="right"/>
              <w:rPr>
                <w:rFonts w:cs="Tahoma"/>
                <w:b/>
                <w:bCs/>
                <w:sz w:val="14"/>
                <w:szCs w:val="14"/>
              </w:rPr>
            </w:pPr>
            <w:r w:rsidRPr="001651D9">
              <w:rPr>
                <w:rFonts w:cs="Tahoma"/>
                <w:b/>
                <w:bCs/>
                <w:sz w:val="14"/>
                <w:szCs w:val="14"/>
              </w:rPr>
              <w:t xml:space="preserve">1,8 </w:t>
            </w:r>
          </w:p>
        </w:tc>
      </w:tr>
    </w:tbl>
    <w:p w:rsidR="00565FD5" w:rsidRPr="001131FC" w:rsidRDefault="00565FD5" w:rsidP="00565FD5">
      <w:pPr>
        <w:rPr>
          <w:rFonts w:cs="Tahoma"/>
          <w:sz w:val="14"/>
          <w:szCs w:val="14"/>
        </w:rPr>
      </w:pPr>
      <w:r w:rsidRPr="001131FC">
        <w:rPr>
          <w:rFonts w:cs="Tahoma"/>
          <w:sz w:val="14"/>
          <w:szCs w:val="14"/>
        </w:rPr>
        <w:t>Kaynak: Kalkınma Bakanlığı, TCMB</w:t>
      </w:r>
    </w:p>
    <w:p w:rsidR="00565FD5" w:rsidRDefault="00565FD5" w:rsidP="00565FD5">
      <w:pPr>
        <w:spacing w:after="360"/>
        <w:rPr>
          <w:rFonts w:cs="Tahoma"/>
          <w:sz w:val="14"/>
          <w:szCs w:val="14"/>
        </w:rPr>
      </w:pPr>
      <w:r w:rsidRPr="001131FC">
        <w:rPr>
          <w:rFonts w:cs="Tahoma"/>
          <w:sz w:val="14"/>
          <w:szCs w:val="14"/>
        </w:rPr>
        <w:t>(1) Gerçekleşme tahmini, (2) Program</w:t>
      </w:r>
    </w:p>
    <w:p w:rsidR="00565FD5" w:rsidRDefault="00565FD5" w:rsidP="00565FD5">
      <w:pPr>
        <w:spacing w:after="180"/>
        <w:ind w:firstLine="425"/>
        <w:rPr>
          <w:szCs w:val="18"/>
        </w:rPr>
      </w:pPr>
      <w:r w:rsidRPr="001131FC">
        <w:rPr>
          <w:szCs w:val="18"/>
        </w:rPr>
        <w:t xml:space="preserve">Gelir dengesindeki açık, 2012 yılının Ocak-Ağustos döneminde önceki yılın aynı dönemine göre yüzde 12,9 oranında azalarak 4,9 milyar ABD dolarına gerilemiştir. Söz konusu dönemde kar transferi 1,5 milyar dolara gerilemiş, faiz gideri ise 3,7 milyar dolara yükselmiştir. </w:t>
      </w:r>
    </w:p>
    <w:p w:rsidR="00565FD5" w:rsidRPr="001131FC" w:rsidRDefault="00565FD5" w:rsidP="00565FD5">
      <w:pPr>
        <w:spacing w:after="180"/>
        <w:ind w:firstLine="425"/>
        <w:rPr>
          <w:b/>
          <w:szCs w:val="18"/>
        </w:rPr>
      </w:pPr>
      <w:r w:rsidRPr="001131FC">
        <w:rPr>
          <w:b/>
          <w:szCs w:val="18"/>
        </w:rPr>
        <w:t>b) 2013 Yılı Hedefleri</w:t>
      </w:r>
    </w:p>
    <w:p w:rsidR="00565FD5" w:rsidRPr="001131FC" w:rsidRDefault="00565FD5" w:rsidP="00565FD5">
      <w:pPr>
        <w:spacing w:after="180"/>
        <w:ind w:firstLine="425"/>
        <w:rPr>
          <w:szCs w:val="18"/>
        </w:rPr>
      </w:pPr>
      <w:r w:rsidRPr="001131FC">
        <w:rPr>
          <w:szCs w:val="18"/>
        </w:rPr>
        <w:t>2013 yılında ihracatın yüzde 5,7 oranında artarak 158 milyar ABD dolarına, ithalatın ise yüzde 5,6 oranında artarak 253 milyar ABD dolarına ulaşacağı ve böylece dış ticaret açığının 95 milyar ABD doları olacağı öngörülmektedir. Ödemeler dengesindeki gösterimiyle dış ticaret dengesinin ise 77,4 milyar ABD doları açık vereceği tahmin edilmektedir.</w:t>
      </w:r>
    </w:p>
    <w:p w:rsidR="00565FD5" w:rsidRPr="001131FC" w:rsidRDefault="00565FD5" w:rsidP="00565FD5">
      <w:pPr>
        <w:spacing w:after="180"/>
        <w:ind w:firstLine="425"/>
        <w:rPr>
          <w:szCs w:val="18"/>
        </w:rPr>
      </w:pPr>
      <w:r w:rsidRPr="001131FC">
        <w:rPr>
          <w:szCs w:val="18"/>
        </w:rPr>
        <w:lastRenderedPageBreak/>
        <w:t>İhracat fiyatlarının 2013 yılında yüzde 2,7, ithalat fiyatlarının ise yüzde 1,5 oranında artacağı ve böylece ihracat ve ithalatın reel olarak sırasıyla yüzde 2,9 ve yüzde 4 oranında yükseleceği tahmin edilmektedir.</w:t>
      </w:r>
    </w:p>
    <w:p w:rsidR="00565FD5" w:rsidRPr="001131FC" w:rsidRDefault="00565FD5" w:rsidP="00565FD5">
      <w:pPr>
        <w:spacing w:after="160"/>
        <w:ind w:firstLine="425"/>
        <w:rPr>
          <w:szCs w:val="18"/>
        </w:rPr>
      </w:pPr>
      <w:r w:rsidRPr="001131FC">
        <w:t xml:space="preserve">2013 yılında turizm gelirlerinin 25,4 milyar ABD dolarına ulaşacağı, hizmetler dengesinin ise 22,6 milyar ABD doları fazla vereceği tahmin edilmektedir. </w:t>
      </w:r>
      <w:r w:rsidRPr="001131FC">
        <w:rPr>
          <w:szCs w:val="18"/>
        </w:rPr>
        <w:t xml:space="preserve">2013 yılında gelir dengesinde 7,7 milyar ABD doları açık öngörülürken, cari transferler kaleminde 1,8 milyar ABD doları fazla beklenmektedir. </w:t>
      </w:r>
    </w:p>
    <w:p w:rsidR="00565FD5" w:rsidRPr="001131FC" w:rsidRDefault="00565FD5" w:rsidP="00565FD5">
      <w:pPr>
        <w:spacing w:after="160"/>
        <w:ind w:firstLine="425"/>
        <w:rPr>
          <w:szCs w:val="18"/>
        </w:rPr>
      </w:pPr>
      <w:r w:rsidRPr="001131FC">
        <w:rPr>
          <w:szCs w:val="18"/>
        </w:rPr>
        <w:t>Cari işlemler açığının bu gelişmeler sonucunda 2013 yılında 60,7 milyar ABD doları seviyesinde gerçekleşeceği öngörülmektedir. 2013 yılında cari açığın GSYH’ya oranının, bir önceki yıla göre yüzde 7,3 seviyesinden yüzde 7,1’e gerileyeceği tahmin edilmektedir.</w:t>
      </w:r>
    </w:p>
    <w:p w:rsidR="00565FD5" w:rsidRPr="001131FC" w:rsidRDefault="00565FD5" w:rsidP="00565FD5">
      <w:pPr>
        <w:pStyle w:val="Balk4"/>
      </w:pPr>
      <w:bookmarkStart w:id="627" w:name="_Toc213065613"/>
      <w:bookmarkStart w:id="628" w:name="_Toc244253626"/>
      <w:bookmarkStart w:id="629" w:name="_Toc244254876"/>
      <w:bookmarkStart w:id="630" w:name="_Toc244313612"/>
      <w:bookmarkStart w:id="631" w:name="_Toc244315089"/>
      <w:bookmarkStart w:id="632" w:name="_Toc244339552"/>
      <w:bookmarkStart w:id="633" w:name="_Toc276076231"/>
      <w:bookmarkStart w:id="634" w:name="_Toc307601938"/>
      <w:bookmarkStart w:id="635" w:name="_Toc307670386"/>
      <w:bookmarkStart w:id="636" w:name="_Toc307701612"/>
      <w:bookmarkStart w:id="637" w:name="_Toc338505519"/>
      <w:bookmarkStart w:id="638" w:name="_Toc338505732"/>
      <w:bookmarkStart w:id="639" w:name="_Toc338505771"/>
      <w:bookmarkStart w:id="640" w:name="_Toc338523736"/>
      <w:bookmarkStart w:id="641" w:name="_Toc338523977"/>
      <w:bookmarkStart w:id="642" w:name="_Toc338526203"/>
      <w:bookmarkStart w:id="643" w:name="_Toc338673646"/>
      <w:bookmarkStart w:id="644" w:name="_Toc338711525"/>
      <w:r w:rsidRPr="001131FC">
        <w:t>2. Sermaye ve Finans Hesapları</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rsidR="00565FD5" w:rsidRPr="001131FC" w:rsidRDefault="00565FD5" w:rsidP="00565FD5">
      <w:pPr>
        <w:spacing w:after="160"/>
        <w:ind w:firstLine="425"/>
        <w:rPr>
          <w:color w:val="FF0000"/>
          <w:szCs w:val="18"/>
        </w:rPr>
      </w:pPr>
      <w:bookmarkStart w:id="645" w:name="_Toc213071596"/>
      <w:r w:rsidRPr="001131FC">
        <w:rPr>
          <w:szCs w:val="18"/>
        </w:rPr>
        <w:t>Küresel krizden çıkış döneminde hızla artarak 2010 yılında 604,7 milyar ABD dolarına ulaşan gelişmekte olan ülkelere yönelik sermaye girişleri, 2011 yılında 503 milyar ABD doları olarak gerçekleşmiştir</w:t>
      </w:r>
      <w:r w:rsidRPr="001131FC">
        <w:rPr>
          <w:szCs w:val="18"/>
          <w:vertAlign w:val="superscript"/>
        </w:rPr>
        <w:footnoteReference w:id="4"/>
      </w:r>
      <w:r w:rsidRPr="001131FC">
        <w:rPr>
          <w:szCs w:val="18"/>
        </w:rPr>
        <w:t xml:space="preserve">. Sermaye girişlerindeki söz konusu gerilemeye karşın Türkiye’ye 2010 yılında 56,7 milyar ABD doları olarak gerçekleşen rezerv hariç sermaye girişi, 2011 yılında 63,9 milyar ABD dolarına yükselmiştir. </w:t>
      </w:r>
      <w:r w:rsidRPr="001131FC">
        <w:rPr>
          <w:color w:val="FF0000"/>
          <w:szCs w:val="18"/>
        </w:rPr>
        <w:t xml:space="preserve"> </w:t>
      </w:r>
    </w:p>
    <w:p w:rsidR="00565FD5" w:rsidRPr="001131FC" w:rsidRDefault="00565FD5" w:rsidP="00565FD5">
      <w:pPr>
        <w:spacing w:after="160"/>
        <w:ind w:firstLine="425"/>
        <w:rPr>
          <w:szCs w:val="18"/>
        </w:rPr>
      </w:pPr>
      <w:r w:rsidRPr="001131FC">
        <w:rPr>
          <w:szCs w:val="18"/>
        </w:rPr>
        <w:t>Gelişmekte olan ülkeler ve yükselen piyasa ekonomilerine yönelik doğrudan yabancı sermaye girişleri, 2010 yılında 392 milyar ABD doları seviyesinden 2011 yılında 462,4 milyar ABD dolarına yükselmiştir.</w:t>
      </w:r>
      <w:r w:rsidRPr="001131FC">
        <w:rPr>
          <w:color w:val="FF0000"/>
          <w:szCs w:val="18"/>
        </w:rPr>
        <w:t xml:space="preserve"> </w:t>
      </w:r>
      <w:r w:rsidRPr="001131FC">
        <w:rPr>
          <w:szCs w:val="18"/>
        </w:rPr>
        <w:t>Söz konusu büyüklüğün 2012 yılında 393,8 milyar ABD doları olarak gerçekleşmesi beklenmektedir.</w:t>
      </w:r>
      <w:r w:rsidRPr="001131FC">
        <w:rPr>
          <w:szCs w:val="18"/>
          <w:vertAlign w:val="superscript"/>
        </w:rPr>
        <w:footnoteReference w:id="5"/>
      </w:r>
      <w:r w:rsidRPr="001131FC">
        <w:rPr>
          <w:szCs w:val="18"/>
        </w:rPr>
        <w:t xml:space="preserve"> 2011 yılında dünya genelinde doğrudan yabancı yatırım akımlarında kaydedilen genişleme, Türkiye’yi de etkilemiş ve 2010 yılında 7,6 milyar ABD doları olan net doğrudan yatırım girişi, 2011 yılında 13,6 milyar ABD dolarına yükselmiştir. 2011 yılında ülkemize giren 16 milyar ABD doları tutarındaki doğrudan yabancı yatırımların yaklaşık 11 milyar ABD doları tutarındaki kısmının birleşme ve satın alma şeklinde olduğu tahmin ed</w:t>
      </w:r>
      <w:r>
        <w:rPr>
          <w:szCs w:val="18"/>
        </w:rPr>
        <w:t>ilmektedir.</w:t>
      </w:r>
      <w:r w:rsidRPr="001131FC">
        <w:rPr>
          <w:szCs w:val="18"/>
          <w:vertAlign w:val="superscript"/>
        </w:rPr>
        <w:footnoteReference w:id="6"/>
      </w:r>
      <w:r w:rsidRPr="001131FC">
        <w:rPr>
          <w:color w:val="FF0000"/>
          <w:szCs w:val="18"/>
        </w:rPr>
        <w:t xml:space="preserve"> </w:t>
      </w:r>
      <w:r w:rsidRPr="001131FC">
        <w:rPr>
          <w:szCs w:val="18"/>
        </w:rPr>
        <w:t xml:space="preserve">2012 yılının ilk sekiz ayında ise net doğrudan yatırım girişi geçen </w:t>
      </w:r>
      <w:r w:rsidRPr="001131FC">
        <w:rPr>
          <w:szCs w:val="18"/>
        </w:rPr>
        <w:lastRenderedPageBreak/>
        <w:t xml:space="preserve">yılın aynı dönemine göre gerileyerek 6,8 milyar ABD doları olarak gerçekleşmiştir. </w:t>
      </w:r>
    </w:p>
    <w:p w:rsidR="00565FD5" w:rsidRPr="001131FC" w:rsidRDefault="00565FD5" w:rsidP="00565FD5">
      <w:pPr>
        <w:spacing w:after="160"/>
        <w:ind w:firstLine="425"/>
        <w:rPr>
          <w:szCs w:val="18"/>
        </w:rPr>
      </w:pPr>
      <w:r w:rsidRPr="001131FC">
        <w:rPr>
          <w:szCs w:val="18"/>
        </w:rPr>
        <w:t>Mevcut durumda birleşme ve satın alma şeklinde ve ağırlıklı olarak mali aracılık hizmetleri ve perakendecilik sektörlerine gelen doğrudan yabancı yatırımların yeni teşvik kararıyla birlikte yeni yatırımlara yönelmesi ve imalat sanayii sektörlerinin payının artması öngörülmektedir. Böylece doğrudan yabancı yatırımların istihdam artışına ve teknoloji transferine önemli katkı vermesi beklenmektedir.</w:t>
      </w:r>
    </w:p>
    <w:p w:rsidR="00565FD5" w:rsidRPr="001131FC" w:rsidRDefault="00565FD5" w:rsidP="00565FD5">
      <w:pPr>
        <w:spacing w:after="180"/>
        <w:ind w:firstLine="425"/>
        <w:rPr>
          <w:szCs w:val="18"/>
        </w:rPr>
      </w:pPr>
      <w:r w:rsidRPr="001131FC">
        <w:rPr>
          <w:szCs w:val="18"/>
        </w:rPr>
        <w:t>2011 yılında finansal piyasalardaki toparlanmaya bağlı olarak, Türkiye’ye yönelik portföy yatırım girişleri 22 milyar ABD dolarına ulaşmıştır. Söz konusu yılda, DİBS yatırımlarında 14,8 milyar ABD doları net giriş olurken, Hazine tarafından ihraç edilen yurt dışı tahviller yoluyla 2,5 milyar ABD doları net borçlanma gerçekleştirilmiştir.</w:t>
      </w:r>
      <w:r w:rsidRPr="001131FC">
        <w:rPr>
          <w:color w:val="FF0000"/>
          <w:szCs w:val="18"/>
        </w:rPr>
        <w:t xml:space="preserve"> </w:t>
      </w:r>
      <w:r w:rsidRPr="001131FC">
        <w:rPr>
          <w:szCs w:val="18"/>
        </w:rPr>
        <w:t>Ayrıca bankalar 2011 yılında yurt dışı tahvil ihraçları yoluyla 2,8 milyar ABD doları tutarında kaynak girişi sağlamıştır.</w:t>
      </w:r>
      <w:r w:rsidRPr="001131FC">
        <w:rPr>
          <w:color w:val="FF0000"/>
          <w:szCs w:val="18"/>
        </w:rPr>
        <w:t xml:space="preserve"> </w:t>
      </w:r>
      <w:r w:rsidRPr="001131FC">
        <w:rPr>
          <w:szCs w:val="18"/>
        </w:rPr>
        <w:t xml:space="preserve">2012 yılının ilk sekiz ayında, Türkiye’ye yönelik net portföy yatırımları 20,3 milyar ABD dolarına ulaşmış ve söz konusu büyüklüğün alt kalemleri olan DİBS’de 10,4 milyar ABD doları, bankaların yurt dışı tahvil ihraçlarında 2,3 milyar ABD doları ve Hazine’nin yurt dışı tahvil ihracında 2,3 milyar ABD doları ve hisse senetlerinde 2,4 milyar ABD doları net giriş kaydedilmiştir. Hazine Müsteşarlığının finansman araçlarını çeşitlendirmesi neticesinde 2012 yılının son aylarında faizsiz DİBS ve EUROBOND ihracıyla 2012 yılının genelinde portföy yatırımlarının ağırlığının artması beklenmektedir. </w:t>
      </w:r>
    </w:p>
    <w:p w:rsidR="00565FD5" w:rsidRPr="001131FC" w:rsidRDefault="00565FD5" w:rsidP="00565FD5">
      <w:pPr>
        <w:spacing w:after="180"/>
        <w:ind w:firstLine="425"/>
        <w:rPr>
          <w:szCs w:val="18"/>
        </w:rPr>
      </w:pPr>
      <w:r w:rsidRPr="001131FC">
        <w:rPr>
          <w:szCs w:val="18"/>
        </w:rPr>
        <w:t>Diğer yatırımlar kaleminde 2011 yılında bir önceki yıla göre özellikle yurtdışı bankaların mevduatlarındaki azalmanın etkisiyle net giriş 28,4 milyar ABD dolarına gerilemiştir.</w:t>
      </w:r>
      <w:r w:rsidRPr="001131FC">
        <w:rPr>
          <w:color w:val="FF0000"/>
          <w:szCs w:val="18"/>
        </w:rPr>
        <w:t xml:space="preserve"> </w:t>
      </w:r>
      <w:r w:rsidRPr="001131FC">
        <w:rPr>
          <w:szCs w:val="18"/>
        </w:rPr>
        <w:t xml:space="preserve">2012 yılının Ocak-Ağustos döneminde ise diğer yatırımlar kaleminde 20,4 milyar ABD doları giriş kaydedilmiştir. Bankaların ve diğer sektörlerin yurt dışından sırasıyla 2,6 ve 3,8 milyar ABD doları tutarındaki net kredi kullanımları ile bankaların mevduatlarındaki 11,1 milyar ABD doları tutarındaki artış diğer yatırımlar kalemindeki gelişmede belirleyici olmuştur. </w:t>
      </w:r>
    </w:p>
    <w:p w:rsidR="00565FD5" w:rsidRPr="00DB1374" w:rsidRDefault="00565FD5" w:rsidP="00565FD5">
      <w:pPr>
        <w:pStyle w:val="ResimYazs"/>
      </w:pPr>
      <w:bookmarkStart w:id="646" w:name="_Toc276076449"/>
      <w:bookmarkStart w:id="647" w:name="_Toc275873825"/>
      <w:bookmarkStart w:id="648" w:name="_Toc244339798"/>
      <w:bookmarkStart w:id="649" w:name="_Toc307601613"/>
      <w:bookmarkStart w:id="650" w:name="_Toc307657855"/>
      <w:bookmarkStart w:id="651" w:name="_Toc307702111"/>
      <w:bookmarkStart w:id="652" w:name="_Toc338605975"/>
      <w:bookmarkStart w:id="653" w:name="_Toc338711750"/>
      <w:bookmarkEnd w:id="645"/>
      <w:r>
        <w:t xml:space="preserve">TABLO II: </w:t>
      </w:r>
      <w:fldSimple w:instr=" SEQ TABLO_II: \* ARABIC ">
        <w:r>
          <w:rPr>
            <w:noProof/>
          </w:rPr>
          <w:t>23</w:t>
        </w:r>
      </w:fldSimple>
      <w:r w:rsidRPr="00DB1374">
        <w:t>- Sermaye ve Finans Hesabı</w:t>
      </w:r>
      <w:bookmarkEnd w:id="646"/>
      <w:bookmarkEnd w:id="647"/>
      <w:bookmarkEnd w:id="648"/>
      <w:bookmarkEnd w:id="649"/>
      <w:bookmarkEnd w:id="650"/>
      <w:bookmarkEnd w:id="651"/>
      <w:bookmarkEnd w:id="652"/>
      <w:bookmarkEnd w:id="653"/>
      <w:r w:rsidRPr="00DB1374">
        <w:t xml:space="preserve"> </w:t>
      </w:r>
    </w:p>
    <w:p w:rsidR="00565FD5" w:rsidRPr="00DB1374" w:rsidRDefault="00565FD5" w:rsidP="00565FD5">
      <w:pPr>
        <w:jc w:val="right"/>
        <w:rPr>
          <w:sz w:val="14"/>
          <w:szCs w:val="14"/>
        </w:rPr>
      </w:pPr>
      <w:r w:rsidRPr="00DB1374">
        <w:rPr>
          <w:sz w:val="14"/>
          <w:szCs w:val="14"/>
        </w:rPr>
        <w:t>(Milyar ABD Doları)</w:t>
      </w:r>
    </w:p>
    <w:tbl>
      <w:tblPr>
        <w:tblW w:w="7144" w:type="dxa"/>
        <w:jc w:val="center"/>
        <w:tblLayout w:type="fixed"/>
        <w:tblCellMar>
          <w:left w:w="70" w:type="dxa"/>
          <w:right w:w="70" w:type="dxa"/>
        </w:tblCellMar>
        <w:tblLook w:val="00A0"/>
      </w:tblPr>
      <w:tblGrid>
        <w:gridCol w:w="3265"/>
        <w:gridCol w:w="700"/>
        <w:gridCol w:w="650"/>
        <w:gridCol w:w="50"/>
        <w:gridCol w:w="842"/>
        <w:gridCol w:w="673"/>
        <w:gridCol w:w="964"/>
      </w:tblGrid>
      <w:tr w:rsidR="00565FD5" w:rsidRPr="001131FC" w:rsidTr="00AB62A3">
        <w:trPr>
          <w:trHeight w:val="198"/>
          <w:jc w:val="center"/>
        </w:trPr>
        <w:tc>
          <w:tcPr>
            <w:tcW w:w="2285" w:type="pct"/>
            <w:vMerge w:val="restart"/>
            <w:tcBorders>
              <w:top w:val="single" w:sz="4" w:space="0" w:color="auto"/>
              <w:left w:val="single" w:sz="4" w:space="0" w:color="auto"/>
              <w:bottom w:val="single" w:sz="4" w:space="0" w:color="auto"/>
              <w:right w:val="nil"/>
            </w:tcBorders>
            <w:noWrap/>
            <w:vAlign w:val="center"/>
          </w:tcPr>
          <w:p w:rsidR="00565FD5" w:rsidRPr="001131FC" w:rsidRDefault="00565FD5" w:rsidP="00AB62A3">
            <w:pPr>
              <w:rPr>
                <w:rFonts w:cs="Tahoma"/>
                <w:b/>
                <w:bCs/>
                <w:sz w:val="15"/>
                <w:szCs w:val="15"/>
              </w:rPr>
            </w:pPr>
          </w:p>
        </w:tc>
        <w:tc>
          <w:tcPr>
            <w:tcW w:w="490" w:type="pct"/>
            <w:tcBorders>
              <w:top w:val="single" w:sz="4" w:space="0" w:color="auto"/>
              <w:left w:val="nil"/>
              <w:bottom w:val="nil"/>
              <w:right w:val="nil"/>
            </w:tcBorders>
            <w:noWrap/>
            <w:vAlign w:val="center"/>
          </w:tcPr>
          <w:p w:rsidR="00565FD5" w:rsidRPr="001131FC" w:rsidRDefault="00565FD5" w:rsidP="00AB62A3">
            <w:pPr>
              <w:ind w:left="-49"/>
              <w:rPr>
                <w:rFonts w:cs="Tahoma"/>
                <w:b/>
                <w:bCs/>
                <w:sz w:val="15"/>
                <w:szCs w:val="15"/>
              </w:rPr>
            </w:pPr>
          </w:p>
        </w:tc>
        <w:tc>
          <w:tcPr>
            <w:tcW w:w="455" w:type="pct"/>
            <w:tcBorders>
              <w:top w:val="single" w:sz="4" w:space="0" w:color="auto"/>
              <w:left w:val="nil"/>
              <w:bottom w:val="nil"/>
              <w:right w:val="nil"/>
            </w:tcBorders>
            <w:vAlign w:val="center"/>
          </w:tcPr>
          <w:p w:rsidR="00565FD5" w:rsidRPr="001131FC" w:rsidRDefault="00565FD5" w:rsidP="00AB62A3">
            <w:pPr>
              <w:ind w:firstLineChars="100" w:firstLine="151"/>
              <w:rPr>
                <w:rFonts w:cs="Tahoma"/>
                <w:b/>
                <w:bCs/>
                <w:sz w:val="15"/>
                <w:szCs w:val="15"/>
              </w:rPr>
            </w:pPr>
          </w:p>
        </w:tc>
        <w:tc>
          <w:tcPr>
            <w:tcW w:w="624" w:type="pct"/>
            <w:gridSpan w:val="2"/>
            <w:tcBorders>
              <w:top w:val="single" w:sz="4" w:space="0" w:color="auto"/>
              <w:left w:val="nil"/>
              <w:bottom w:val="nil"/>
              <w:right w:val="single" w:sz="4" w:space="0" w:color="auto"/>
            </w:tcBorders>
            <w:noWrap/>
            <w:vAlign w:val="center"/>
          </w:tcPr>
          <w:p w:rsidR="00565FD5" w:rsidRPr="001131FC" w:rsidRDefault="00565FD5" w:rsidP="00AB62A3">
            <w:pPr>
              <w:ind w:firstLineChars="100" w:firstLine="151"/>
              <w:rPr>
                <w:rFonts w:cs="Tahoma"/>
                <w:b/>
                <w:bCs/>
                <w:sz w:val="15"/>
                <w:szCs w:val="15"/>
              </w:rPr>
            </w:pPr>
          </w:p>
        </w:tc>
        <w:tc>
          <w:tcPr>
            <w:tcW w:w="1147" w:type="pct"/>
            <w:gridSpan w:val="2"/>
            <w:tcBorders>
              <w:top w:val="single" w:sz="4" w:space="0" w:color="auto"/>
              <w:left w:val="single" w:sz="4" w:space="0" w:color="auto"/>
              <w:bottom w:val="nil"/>
              <w:right w:val="single" w:sz="4" w:space="0" w:color="auto"/>
            </w:tcBorders>
            <w:noWrap/>
            <w:vAlign w:val="center"/>
          </w:tcPr>
          <w:p w:rsidR="00565FD5" w:rsidRPr="001131FC" w:rsidRDefault="00565FD5" w:rsidP="00AB62A3">
            <w:pPr>
              <w:ind w:left="113"/>
              <w:jc w:val="center"/>
              <w:rPr>
                <w:rFonts w:cs="Tahoma"/>
                <w:b/>
                <w:bCs/>
                <w:sz w:val="15"/>
                <w:szCs w:val="15"/>
              </w:rPr>
            </w:pPr>
            <w:r w:rsidRPr="001131FC">
              <w:rPr>
                <w:rFonts w:cs="Tahoma"/>
                <w:b/>
                <w:bCs/>
                <w:sz w:val="15"/>
                <w:szCs w:val="15"/>
              </w:rPr>
              <w:t>Ocak-Ağustos</w:t>
            </w:r>
          </w:p>
        </w:tc>
      </w:tr>
      <w:tr w:rsidR="00565FD5" w:rsidRPr="001131FC" w:rsidTr="00AB62A3">
        <w:trPr>
          <w:trHeight w:val="198"/>
          <w:jc w:val="center"/>
        </w:trPr>
        <w:tc>
          <w:tcPr>
            <w:tcW w:w="2285" w:type="pct"/>
            <w:vMerge/>
            <w:tcBorders>
              <w:top w:val="single" w:sz="4" w:space="0" w:color="auto"/>
              <w:left w:val="single" w:sz="4" w:space="0" w:color="auto"/>
              <w:bottom w:val="single" w:sz="4" w:space="0" w:color="auto"/>
              <w:right w:val="nil"/>
            </w:tcBorders>
            <w:vAlign w:val="center"/>
          </w:tcPr>
          <w:p w:rsidR="00565FD5" w:rsidRPr="001131FC" w:rsidRDefault="00565FD5" w:rsidP="00AB62A3">
            <w:pPr>
              <w:rPr>
                <w:rFonts w:cs="Tahoma"/>
                <w:b/>
                <w:bCs/>
                <w:sz w:val="15"/>
                <w:szCs w:val="15"/>
              </w:rPr>
            </w:pPr>
          </w:p>
        </w:tc>
        <w:tc>
          <w:tcPr>
            <w:tcW w:w="490" w:type="pct"/>
            <w:tcBorders>
              <w:top w:val="nil"/>
              <w:left w:val="nil"/>
              <w:bottom w:val="single" w:sz="4" w:space="0" w:color="auto"/>
              <w:right w:val="nil"/>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2010</w:t>
            </w:r>
          </w:p>
        </w:tc>
        <w:tc>
          <w:tcPr>
            <w:tcW w:w="490" w:type="pct"/>
            <w:gridSpan w:val="2"/>
            <w:tcBorders>
              <w:top w:val="nil"/>
              <w:left w:val="nil"/>
              <w:bottom w:val="single" w:sz="4" w:space="0" w:color="auto"/>
              <w:right w:val="nil"/>
            </w:tcBorders>
            <w:vAlign w:val="center"/>
          </w:tcPr>
          <w:p w:rsidR="00565FD5" w:rsidRPr="001131FC" w:rsidRDefault="00565FD5" w:rsidP="00AB62A3">
            <w:pPr>
              <w:jc w:val="right"/>
              <w:rPr>
                <w:rFonts w:cs="Tahoma"/>
                <w:b/>
                <w:bCs/>
                <w:sz w:val="15"/>
                <w:szCs w:val="15"/>
              </w:rPr>
            </w:pPr>
            <w:r w:rsidRPr="001131FC">
              <w:rPr>
                <w:rFonts w:cs="Tahoma"/>
                <w:b/>
                <w:bCs/>
                <w:sz w:val="15"/>
                <w:szCs w:val="15"/>
              </w:rPr>
              <w:t>2011</w:t>
            </w:r>
          </w:p>
        </w:tc>
        <w:tc>
          <w:tcPr>
            <w:tcW w:w="588" w:type="pct"/>
            <w:tcBorders>
              <w:top w:val="nil"/>
              <w:left w:val="nil"/>
              <w:bottom w:val="single" w:sz="4" w:space="0" w:color="auto"/>
              <w:right w:val="single" w:sz="4" w:space="0" w:color="auto"/>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2012</w:t>
            </w:r>
            <w:r w:rsidRPr="001131FC">
              <w:rPr>
                <w:rFonts w:cs="Tahoma"/>
                <w:b/>
                <w:bCs/>
                <w:sz w:val="13"/>
                <w:szCs w:val="15"/>
              </w:rPr>
              <w:t>(1)</w:t>
            </w:r>
          </w:p>
        </w:tc>
        <w:tc>
          <w:tcPr>
            <w:tcW w:w="471" w:type="pct"/>
            <w:tcBorders>
              <w:top w:val="nil"/>
              <w:left w:val="single" w:sz="4" w:space="0" w:color="auto"/>
              <w:bottom w:val="single" w:sz="4" w:space="0" w:color="auto"/>
              <w:right w:val="nil"/>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2011</w:t>
            </w:r>
          </w:p>
        </w:tc>
        <w:tc>
          <w:tcPr>
            <w:tcW w:w="676" w:type="pct"/>
            <w:tcBorders>
              <w:top w:val="nil"/>
              <w:left w:val="nil"/>
              <w:bottom w:val="single" w:sz="4" w:space="0" w:color="auto"/>
              <w:right w:val="single" w:sz="4" w:space="0" w:color="auto"/>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2012</w:t>
            </w:r>
          </w:p>
        </w:tc>
      </w:tr>
      <w:tr w:rsidR="00565FD5" w:rsidRPr="001131FC" w:rsidTr="00AB62A3">
        <w:trPr>
          <w:trHeight w:val="198"/>
          <w:jc w:val="center"/>
        </w:trPr>
        <w:tc>
          <w:tcPr>
            <w:tcW w:w="2285" w:type="pct"/>
            <w:tcBorders>
              <w:top w:val="single" w:sz="4" w:space="0" w:color="auto"/>
              <w:left w:val="single" w:sz="4" w:space="0" w:color="auto"/>
              <w:bottom w:val="nil"/>
              <w:right w:val="nil"/>
            </w:tcBorders>
            <w:vAlign w:val="center"/>
          </w:tcPr>
          <w:p w:rsidR="00565FD5" w:rsidRPr="001131FC" w:rsidRDefault="00565FD5" w:rsidP="00AB62A3">
            <w:pPr>
              <w:rPr>
                <w:rFonts w:cs="Tahoma"/>
                <w:b/>
                <w:sz w:val="15"/>
                <w:szCs w:val="15"/>
              </w:rPr>
            </w:pPr>
            <w:r w:rsidRPr="001131FC">
              <w:rPr>
                <w:rFonts w:cs="Tahoma"/>
                <w:b/>
                <w:sz w:val="15"/>
                <w:szCs w:val="15"/>
              </w:rPr>
              <w:t>Cari İşlemler Dengesi</w:t>
            </w:r>
          </w:p>
        </w:tc>
        <w:tc>
          <w:tcPr>
            <w:tcW w:w="490" w:type="pct"/>
            <w:tcBorders>
              <w:top w:val="single" w:sz="4" w:space="0" w:color="auto"/>
              <w:left w:val="nil"/>
              <w:bottom w:val="nil"/>
              <w:right w:val="nil"/>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-46,6</w:t>
            </w:r>
          </w:p>
        </w:tc>
        <w:tc>
          <w:tcPr>
            <w:tcW w:w="490" w:type="pct"/>
            <w:gridSpan w:val="2"/>
            <w:tcBorders>
              <w:top w:val="single" w:sz="4" w:space="0" w:color="auto"/>
              <w:left w:val="nil"/>
              <w:bottom w:val="nil"/>
              <w:right w:val="nil"/>
            </w:tcBorders>
            <w:vAlign w:val="center"/>
          </w:tcPr>
          <w:p w:rsidR="00565FD5" w:rsidRPr="001131FC" w:rsidRDefault="00565FD5" w:rsidP="00AB62A3">
            <w:pPr>
              <w:jc w:val="right"/>
              <w:rPr>
                <w:rFonts w:cs="Tahoma"/>
                <w:b/>
                <w:bCs/>
                <w:sz w:val="15"/>
                <w:szCs w:val="15"/>
              </w:rPr>
            </w:pPr>
            <w:r w:rsidRPr="001131FC">
              <w:rPr>
                <w:rFonts w:cs="Tahoma"/>
                <w:b/>
                <w:bCs/>
                <w:sz w:val="15"/>
                <w:szCs w:val="15"/>
              </w:rPr>
              <w:t>77,1</w:t>
            </w:r>
          </w:p>
        </w:tc>
        <w:tc>
          <w:tcPr>
            <w:tcW w:w="588" w:type="pct"/>
            <w:tcBorders>
              <w:top w:val="single" w:sz="4" w:space="0" w:color="auto"/>
              <w:left w:val="nil"/>
              <w:bottom w:val="nil"/>
              <w:right w:val="single" w:sz="4" w:space="0" w:color="auto"/>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-59,0</w:t>
            </w:r>
          </w:p>
        </w:tc>
        <w:tc>
          <w:tcPr>
            <w:tcW w:w="471" w:type="pct"/>
            <w:tcBorders>
              <w:top w:val="single" w:sz="4" w:space="0" w:color="auto"/>
              <w:left w:val="single" w:sz="4" w:space="0" w:color="auto"/>
              <w:bottom w:val="nil"/>
              <w:right w:val="nil"/>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-54,2</w:t>
            </w:r>
          </w:p>
        </w:tc>
        <w:tc>
          <w:tcPr>
            <w:tcW w:w="676" w:type="pct"/>
            <w:tcBorders>
              <w:top w:val="single" w:sz="4" w:space="0" w:color="auto"/>
              <w:left w:val="nil"/>
              <w:bottom w:val="nil"/>
              <w:right w:val="single" w:sz="4" w:space="0" w:color="auto"/>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-36,1</w:t>
            </w:r>
          </w:p>
        </w:tc>
      </w:tr>
      <w:tr w:rsidR="00565FD5" w:rsidRPr="001131FC" w:rsidTr="00AB62A3">
        <w:trPr>
          <w:trHeight w:val="198"/>
          <w:jc w:val="center"/>
        </w:trPr>
        <w:tc>
          <w:tcPr>
            <w:tcW w:w="2285" w:type="pct"/>
            <w:tcBorders>
              <w:top w:val="nil"/>
              <w:left w:val="single" w:sz="4" w:space="0" w:color="auto"/>
              <w:bottom w:val="nil"/>
              <w:right w:val="nil"/>
            </w:tcBorders>
            <w:noWrap/>
            <w:vAlign w:val="center"/>
          </w:tcPr>
          <w:p w:rsidR="00565FD5" w:rsidRPr="001131FC" w:rsidRDefault="00565FD5" w:rsidP="00AB62A3">
            <w:pPr>
              <w:rPr>
                <w:rFonts w:cs="Tahoma"/>
                <w:b/>
                <w:sz w:val="15"/>
                <w:szCs w:val="15"/>
              </w:rPr>
            </w:pPr>
            <w:r w:rsidRPr="001131FC">
              <w:rPr>
                <w:rFonts w:cs="Tahoma"/>
                <w:b/>
                <w:sz w:val="15"/>
                <w:szCs w:val="15"/>
              </w:rPr>
              <w:t>Türlerine Göre Sermaye Hareketleri (</w:t>
            </w:r>
            <w:r>
              <w:rPr>
                <w:rFonts w:cs="Tahoma"/>
                <w:b/>
                <w:sz w:val="15"/>
                <w:szCs w:val="15"/>
              </w:rPr>
              <w:t>R</w:t>
            </w:r>
            <w:r w:rsidRPr="001131FC">
              <w:rPr>
                <w:rFonts w:cs="Tahoma"/>
                <w:b/>
                <w:sz w:val="15"/>
                <w:szCs w:val="15"/>
              </w:rPr>
              <w:t xml:space="preserve">ezerv </w:t>
            </w:r>
            <w:r>
              <w:rPr>
                <w:rFonts w:cs="Tahoma"/>
                <w:b/>
                <w:sz w:val="15"/>
                <w:szCs w:val="15"/>
              </w:rPr>
              <w:t>H</w:t>
            </w:r>
            <w:r w:rsidRPr="001131FC">
              <w:rPr>
                <w:rFonts w:cs="Tahoma"/>
                <w:b/>
                <w:sz w:val="15"/>
                <w:szCs w:val="15"/>
              </w:rPr>
              <w:t>ariç)</w:t>
            </w:r>
          </w:p>
        </w:tc>
        <w:tc>
          <w:tcPr>
            <w:tcW w:w="490" w:type="pct"/>
            <w:noWrap/>
            <w:vAlign w:val="center"/>
          </w:tcPr>
          <w:p w:rsidR="00565FD5" w:rsidRPr="001131FC" w:rsidRDefault="00565FD5" w:rsidP="00AB62A3">
            <w:pPr>
              <w:jc w:val="right"/>
              <w:rPr>
                <w:rFonts w:cs="Tahoma"/>
                <w:b/>
                <w:bCs/>
                <w:sz w:val="15"/>
                <w:szCs w:val="15"/>
              </w:rPr>
            </w:pPr>
            <w:r w:rsidRPr="001131FC">
              <w:rPr>
                <w:rFonts w:cs="Tahoma"/>
                <w:b/>
                <w:bCs/>
                <w:sz w:val="15"/>
                <w:szCs w:val="15"/>
              </w:rPr>
              <w:t>56,7</w:t>
            </w:r>
          </w:p>
        </w:tc>
        <w:tc>
          <w:tcPr>
            <w:tcW w:w="490" w:type="pct"/>
            <w:gridSpan w:val="2"/>
            <w:vAlign w:val="center"/>
          </w:tcPr>
          <w:p w:rsidR="00565FD5" w:rsidRPr="001131FC" w:rsidRDefault="00565FD5" w:rsidP="00AB62A3">
            <w:pPr>
              <w:jc w:val="right"/>
              <w:rPr>
                <w:rFonts w:cs="Tahoma"/>
                <w:b/>
                <w:bCs/>
                <w:sz w:val="15"/>
                <w:szCs w:val="15"/>
              </w:rPr>
            </w:pPr>
            <w:r w:rsidRPr="001131FC">
              <w:rPr>
                <w:rFonts w:cs="Tahoma"/>
                <w:b/>
                <w:bCs/>
                <w:sz w:val="15"/>
                <w:szCs w:val="15"/>
              </w:rPr>
              <w:t>63,9</w:t>
            </w:r>
          </w:p>
        </w:tc>
        <w:tc>
          <w:tcPr>
            <w:tcW w:w="588" w:type="pct"/>
            <w:tcBorders>
              <w:top w:val="nil"/>
              <w:left w:val="nil"/>
              <w:bottom w:val="nil"/>
              <w:right w:val="single" w:sz="4" w:space="0" w:color="auto"/>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61,6</w:t>
            </w:r>
          </w:p>
        </w:tc>
        <w:tc>
          <w:tcPr>
            <w:tcW w:w="471" w:type="pct"/>
            <w:tcBorders>
              <w:top w:val="nil"/>
              <w:left w:val="single" w:sz="4" w:space="0" w:color="auto"/>
              <w:bottom w:val="nil"/>
              <w:right w:val="nil"/>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49,8</w:t>
            </w:r>
          </w:p>
        </w:tc>
        <w:tc>
          <w:tcPr>
            <w:tcW w:w="676" w:type="pct"/>
            <w:tcBorders>
              <w:top w:val="nil"/>
              <w:left w:val="nil"/>
              <w:bottom w:val="nil"/>
              <w:right w:val="single" w:sz="4" w:space="0" w:color="auto"/>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47,6</w:t>
            </w:r>
          </w:p>
        </w:tc>
      </w:tr>
      <w:tr w:rsidR="00565FD5" w:rsidRPr="001131FC" w:rsidTr="00AB62A3">
        <w:trPr>
          <w:trHeight w:val="198"/>
          <w:jc w:val="center"/>
        </w:trPr>
        <w:tc>
          <w:tcPr>
            <w:tcW w:w="2285" w:type="pct"/>
            <w:tcBorders>
              <w:top w:val="nil"/>
              <w:left w:val="single" w:sz="4" w:space="0" w:color="auto"/>
              <w:bottom w:val="nil"/>
              <w:right w:val="nil"/>
            </w:tcBorders>
            <w:noWrap/>
            <w:vAlign w:val="center"/>
          </w:tcPr>
          <w:p w:rsidR="00565FD5" w:rsidRPr="001131FC" w:rsidRDefault="00565FD5" w:rsidP="00AB62A3">
            <w:pPr>
              <w:rPr>
                <w:rFonts w:cs="Tahoma"/>
                <w:sz w:val="15"/>
                <w:szCs w:val="15"/>
              </w:rPr>
            </w:pPr>
            <w:r w:rsidRPr="001131FC">
              <w:rPr>
                <w:rFonts w:cs="Tahoma"/>
                <w:sz w:val="15"/>
                <w:szCs w:val="15"/>
              </w:rPr>
              <w:t xml:space="preserve">  Doğrudan Yatırımlar (net)</w:t>
            </w:r>
          </w:p>
        </w:tc>
        <w:tc>
          <w:tcPr>
            <w:tcW w:w="490" w:type="pct"/>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7,6</w:t>
            </w:r>
          </w:p>
        </w:tc>
        <w:tc>
          <w:tcPr>
            <w:tcW w:w="490" w:type="pct"/>
            <w:gridSpan w:val="2"/>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13,6</w:t>
            </w:r>
          </w:p>
        </w:tc>
        <w:tc>
          <w:tcPr>
            <w:tcW w:w="588" w:type="pct"/>
            <w:tcBorders>
              <w:top w:val="nil"/>
              <w:left w:val="nil"/>
              <w:bottom w:val="nil"/>
              <w:right w:val="single" w:sz="4" w:space="0" w:color="auto"/>
            </w:tcBorders>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11,4</w:t>
            </w:r>
          </w:p>
        </w:tc>
        <w:tc>
          <w:tcPr>
            <w:tcW w:w="471" w:type="pct"/>
            <w:tcBorders>
              <w:top w:val="nil"/>
              <w:left w:val="single" w:sz="4" w:space="0" w:color="auto"/>
              <w:bottom w:val="nil"/>
              <w:right w:val="nil"/>
            </w:tcBorders>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9,0</w:t>
            </w:r>
          </w:p>
        </w:tc>
        <w:tc>
          <w:tcPr>
            <w:tcW w:w="676" w:type="pct"/>
            <w:tcBorders>
              <w:top w:val="nil"/>
              <w:left w:val="nil"/>
              <w:bottom w:val="nil"/>
              <w:right w:val="single" w:sz="4" w:space="0" w:color="auto"/>
            </w:tcBorders>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6,8</w:t>
            </w:r>
          </w:p>
        </w:tc>
      </w:tr>
      <w:tr w:rsidR="00565FD5" w:rsidRPr="001131FC" w:rsidTr="00AB62A3">
        <w:trPr>
          <w:trHeight w:val="198"/>
          <w:jc w:val="center"/>
        </w:trPr>
        <w:tc>
          <w:tcPr>
            <w:tcW w:w="2285" w:type="pct"/>
            <w:tcBorders>
              <w:top w:val="nil"/>
              <w:left w:val="single" w:sz="4" w:space="0" w:color="auto"/>
              <w:bottom w:val="nil"/>
              <w:right w:val="nil"/>
            </w:tcBorders>
            <w:noWrap/>
            <w:vAlign w:val="center"/>
          </w:tcPr>
          <w:p w:rsidR="00565FD5" w:rsidRPr="001131FC" w:rsidRDefault="00565FD5" w:rsidP="00AB62A3">
            <w:pPr>
              <w:rPr>
                <w:rFonts w:cs="Tahoma"/>
                <w:sz w:val="15"/>
                <w:szCs w:val="15"/>
              </w:rPr>
            </w:pPr>
            <w:r w:rsidRPr="001131FC">
              <w:rPr>
                <w:rFonts w:cs="Tahoma"/>
                <w:sz w:val="15"/>
                <w:szCs w:val="15"/>
              </w:rPr>
              <w:t xml:space="preserve">  Portföy Yatırımları (net)</w:t>
            </w:r>
          </w:p>
        </w:tc>
        <w:tc>
          <w:tcPr>
            <w:tcW w:w="490" w:type="pct"/>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16,1</w:t>
            </w:r>
          </w:p>
        </w:tc>
        <w:tc>
          <w:tcPr>
            <w:tcW w:w="490" w:type="pct"/>
            <w:gridSpan w:val="2"/>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22,0</w:t>
            </w:r>
          </w:p>
        </w:tc>
        <w:tc>
          <w:tcPr>
            <w:tcW w:w="588" w:type="pct"/>
            <w:tcBorders>
              <w:top w:val="nil"/>
              <w:left w:val="nil"/>
              <w:bottom w:val="nil"/>
              <w:right w:val="single" w:sz="4" w:space="0" w:color="auto"/>
            </w:tcBorders>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24,8</w:t>
            </w:r>
          </w:p>
        </w:tc>
        <w:tc>
          <w:tcPr>
            <w:tcW w:w="471" w:type="pct"/>
            <w:tcBorders>
              <w:top w:val="nil"/>
              <w:left w:val="single" w:sz="4" w:space="0" w:color="auto"/>
              <w:bottom w:val="nil"/>
              <w:right w:val="nil"/>
            </w:tcBorders>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17,5</w:t>
            </w:r>
          </w:p>
        </w:tc>
        <w:tc>
          <w:tcPr>
            <w:tcW w:w="676" w:type="pct"/>
            <w:tcBorders>
              <w:top w:val="nil"/>
              <w:left w:val="nil"/>
              <w:bottom w:val="nil"/>
              <w:right w:val="single" w:sz="4" w:space="0" w:color="auto"/>
            </w:tcBorders>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20,3</w:t>
            </w:r>
          </w:p>
        </w:tc>
      </w:tr>
      <w:tr w:rsidR="00565FD5" w:rsidRPr="001131FC" w:rsidTr="00AB62A3">
        <w:trPr>
          <w:trHeight w:val="198"/>
          <w:jc w:val="center"/>
        </w:trPr>
        <w:tc>
          <w:tcPr>
            <w:tcW w:w="2285" w:type="pct"/>
            <w:tcBorders>
              <w:top w:val="nil"/>
              <w:left w:val="single" w:sz="4" w:space="0" w:color="auto"/>
              <w:bottom w:val="nil"/>
              <w:right w:val="nil"/>
            </w:tcBorders>
            <w:noWrap/>
            <w:vAlign w:val="center"/>
          </w:tcPr>
          <w:p w:rsidR="00565FD5" w:rsidRPr="001131FC" w:rsidRDefault="00565FD5" w:rsidP="00AB62A3">
            <w:pPr>
              <w:rPr>
                <w:rFonts w:cs="Tahoma"/>
                <w:sz w:val="15"/>
                <w:szCs w:val="15"/>
              </w:rPr>
            </w:pPr>
            <w:r w:rsidRPr="001131FC">
              <w:rPr>
                <w:rFonts w:cs="Tahoma"/>
                <w:sz w:val="15"/>
                <w:szCs w:val="15"/>
              </w:rPr>
              <w:t xml:space="preserve">     Yabancıların Hisse Senedi Alımları</w:t>
            </w:r>
          </w:p>
        </w:tc>
        <w:tc>
          <w:tcPr>
            <w:tcW w:w="490" w:type="pct"/>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3,5</w:t>
            </w:r>
          </w:p>
        </w:tc>
        <w:tc>
          <w:tcPr>
            <w:tcW w:w="490" w:type="pct"/>
            <w:gridSpan w:val="2"/>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-1,0</w:t>
            </w:r>
          </w:p>
        </w:tc>
        <w:tc>
          <w:tcPr>
            <w:tcW w:w="588" w:type="pct"/>
            <w:tcBorders>
              <w:top w:val="nil"/>
              <w:left w:val="nil"/>
              <w:bottom w:val="nil"/>
              <w:right w:val="single" w:sz="4" w:space="0" w:color="auto"/>
            </w:tcBorders>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2,6</w:t>
            </w:r>
          </w:p>
        </w:tc>
        <w:tc>
          <w:tcPr>
            <w:tcW w:w="471" w:type="pct"/>
            <w:tcBorders>
              <w:top w:val="nil"/>
              <w:left w:val="single" w:sz="4" w:space="0" w:color="auto"/>
              <w:bottom w:val="nil"/>
              <w:right w:val="nil"/>
            </w:tcBorders>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-1,2</w:t>
            </w:r>
          </w:p>
        </w:tc>
        <w:tc>
          <w:tcPr>
            <w:tcW w:w="676" w:type="pct"/>
            <w:tcBorders>
              <w:top w:val="nil"/>
              <w:left w:val="nil"/>
              <w:bottom w:val="nil"/>
              <w:right w:val="single" w:sz="4" w:space="0" w:color="auto"/>
            </w:tcBorders>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2,4</w:t>
            </w:r>
          </w:p>
        </w:tc>
      </w:tr>
      <w:tr w:rsidR="00565FD5" w:rsidRPr="001131FC" w:rsidTr="00AB62A3">
        <w:trPr>
          <w:trHeight w:val="198"/>
          <w:jc w:val="center"/>
        </w:trPr>
        <w:tc>
          <w:tcPr>
            <w:tcW w:w="2285" w:type="pct"/>
            <w:tcBorders>
              <w:top w:val="nil"/>
              <w:left w:val="single" w:sz="4" w:space="0" w:color="auto"/>
              <w:bottom w:val="nil"/>
              <w:right w:val="nil"/>
            </w:tcBorders>
            <w:noWrap/>
            <w:vAlign w:val="center"/>
          </w:tcPr>
          <w:p w:rsidR="00565FD5" w:rsidRPr="001131FC" w:rsidRDefault="00565FD5" w:rsidP="00AB62A3">
            <w:pPr>
              <w:rPr>
                <w:rFonts w:cs="Tahoma"/>
                <w:sz w:val="15"/>
                <w:szCs w:val="15"/>
              </w:rPr>
            </w:pPr>
            <w:r w:rsidRPr="001131FC">
              <w:rPr>
                <w:rFonts w:cs="Tahoma"/>
                <w:sz w:val="15"/>
                <w:szCs w:val="15"/>
              </w:rPr>
              <w:t xml:space="preserve">     Yabancıların DİBS Alımları</w:t>
            </w:r>
          </w:p>
        </w:tc>
        <w:tc>
          <w:tcPr>
            <w:tcW w:w="490" w:type="pct"/>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10,7</w:t>
            </w:r>
          </w:p>
        </w:tc>
        <w:tc>
          <w:tcPr>
            <w:tcW w:w="490" w:type="pct"/>
            <w:gridSpan w:val="2"/>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14,8</w:t>
            </w:r>
          </w:p>
        </w:tc>
        <w:tc>
          <w:tcPr>
            <w:tcW w:w="588" w:type="pct"/>
            <w:tcBorders>
              <w:top w:val="nil"/>
              <w:left w:val="nil"/>
              <w:bottom w:val="nil"/>
              <w:right w:val="single" w:sz="4" w:space="0" w:color="auto"/>
            </w:tcBorders>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12,7</w:t>
            </w:r>
          </w:p>
        </w:tc>
        <w:tc>
          <w:tcPr>
            <w:tcW w:w="471" w:type="pct"/>
            <w:tcBorders>
              <w:top w:val="nil"/>
              <w:left w:val="single" w:sz="4" w:space="0" w:color="auto"/>
              <w:bottom w:val="nil"/>
              <w:right w:val="nil"/>
            </w:tcBorders>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12,4</w:t>
            </w:r>
          </w:p>
        </w:tc>
        <w:tc>
          <w:tcPr>
            <w:tcW w:w="676" w:type="pct"/>
            <w:tcBorders>
              <w:top w:val="nil"/>
              <w:left w:val="nil"/>
              <w:bottom w:val="nil"/>
              <w:right w:val="single" w:sz="4" w:space="0" w:color="auto"/>
            </w:tcBorders>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10,4</w:t>
            </w:r>
          </w:p>
        </w:tc>
      </w:tr>
      <w:tr w:rsidR="00565FD5" w:rsidRPr="001131FC" w:rsidTr="00AB62A3">
        <w:trPr>
          <w:trHeight w:val="198"/>
          <w:jc w:val="center"/>
        </w:trPr>
        <w:tc>
          <w:tcPr>
            <w:tcW w:w="2285" w:type="pct"/>
            <w:tcBorders>
              <w:top w:val="nil"/>
              <w:left w:val="single" w:sz="4" w:space="0" w:color="auto"/>
              <w:bottom w:val="single" w:sz="6" w:space="0" w:color="auto"/>
              <w:right w:val="nil"/>
            </w:tcBorders>
            <w:noWrap/>
            <w:vAlign w:val="center"/>
          </w:tcPr>
          <w:p w:rsidR="00565FD5" w:rsidRPr="001131FC" w:rsidRDefault="00565FD5" w:rsidP="00AB62A3">
            <w:pPr>
              <w:rPr>
                <w:rFonts w:cs="Tahoma"/>
                <w:sz w:val="15"/>
                <w:szCs w:val="15"/>
              </w:rPr>
            </w:pPr>
            <w:r w:rsidRPr="001131FC">
              <w:rPr>
                <w:rFonts w:cs="Tahoma"/>
                <w:sz w:val="15"/>
                <w:szCs w:val="15"/>
              </w:rPr>
              <w:t xml:space="preserve">  Diğer Yatırımlar (net)</w:t>
            </w:r>
          </w:p>
        </w:tc>
        <w:tc>
          <w:tcPr>
            <w:tcW w:w="490" w:type="pct"/>
            <w:tcBorders>
              <w:top w:val="nil"/>
              <w:left w:val="nil"/>
              <w:bottom w:val="single" w:sz="6" w:space="0" w:color="auto"/>
              <w:right w:val="nil"/>
            </w:tcBorders>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33,1</w:t>
            </w:r>
          </w:p>
        </w:tc>
        <w:tc>
          <w:tcPr>
            <w:tcW w:w="490" w:type="pct"/>
            <w:gridSpan w:val="2"/>
            <w:tcBorders>
              <w:top w:val="nil"/>
              <w:left w:val="nil"/>
              <w:bottom w:val="single" w:sz="6" w:space="0" w:color="auto"/>
              <w:right w:val="nil"/>
            </w:tcBorders>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28,4</w:t>
            </w:r>
          </w:p>
        </w:tc>
        <w:tc>
          <w:tcPr>
            <w:tcW w:w="588" w:type="pct"/>
            <w:tcBorders>
              <w:top w:val="nil"/>
              <w:left w:val="nil"/>
              <w:bottom w:val="single" w:sz="6" w:space="0" w:color="auto"/>
              <w:right w:val="single" w:sz="4" w:space="0" w:color="auto"/>
            </w:tcBorders>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25,4</w:t>
            </w:r>
          </w:p>
        </w:tc>
        <w:tc>
          <w:tcPr>
            <w:tcW w:w="471" w:type="pct"/>
            <w:tcBorders>
              <w:top w:val="nil"/>
              <w:left w:val="single" w:sz="4" w:space="0" w:color="auto"/>
              <w:bottom w:val="single" w:sz="6" w:space="0" w:color="auto"/>
              <w:right w:val="nil"/>
            </w:tcBorders>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23,4</w:t>
            </w:r>
          </w:p>
        </w:tc>
        <w:tc>
          <w:tcPr>
            <w:tcW w:w="676" w:type="pct"/>
            <w:tcBorders>
              <w:top w:val="nil"/>
              <w:left w:val="nil"/>
              <w:bottom w:val="single" w:sz="6" w:space="0" w:color="auto"/>
              <w:right w:val="single" w:sz="4" w:space="0" w:color="auto"/>
            </w:tcBorders>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20,4</w:t>
            </w:r>
          </w:p>
        </w:tc>
      </w:tr>
      <w:tr w:rsidR="00565FD5" w:rsidRPr="001131FC" w:rsidTr="00AB62A3">
        <w:trPr>
          <w:trHeight w:val="198"/>
          <w:jc w:val="center"/>
        </w:trPr>
        <w:tc>
          <w:tcPr>
            <w:tcW w:w="2285" w:type="pct"/>
            <w:tcBorders>
              <w:top w:val="single" w:sz="6" w:space="0" w:color="auto"/>
              <w:left w:val="single" w:sz="4" w:space="0" w:color="auto"/>
              <w:bottom w:val="nil"/>
              <w:right w:val="nil"/>
            </w:tcBorders>
            <w:noWrap/>
            <w:vAlign w:val="center"/>
          </w:tcPr>
          <w:p w:rsidR="00565FD5" w:rsidRPr="001131FC" w:rsidRDefault="00565FD5" w:rsidP="00AB62A3">
            <w:pPr>
              <w:rPr>
                <w:rFonts w:cs="Tahoma"/>
                <w:b/>
                <w:sz w:val="15"/>
                <w:szCs w:val="15"/>
              </w:rPr>
            </w:pPr>
            <w:r w:rsidRPr="001131FC">
              <w:rPr>
                <w:rFonts w:cs="Tahoma"/>
                <w:b/>
                <w:sz w:val="15"/>
                <w:szCs w:val="15"/>
              </w:rPr>
              <w:t xml:space="preserve">Kullanıcıya Göre Sermaye Hareketleri </w:t>
            </w:r>
            <w:r w:rsidRPr="001131FC">
              <w:rPr>
                <w:rFonts w:cs="Tahoma"/>
                <w:b/>
                <w:sz w:val="13"/>
                <w:szCs w:val="15"/>
              </w:rPr>
              <w:t>(2)</w:t>
            </w:r>
          </w:p>
        </w:tc>
        <w:tc>
          <w:tcPr>
            <w:tcW w:w="490" w:type="pct"/>
            <w:tcBorders>
              <w:top w:val="single" w:sz="6" w:space="0" w:color="auto"/>
              <w:left w:val="nil"/>
              <w:bottom w:val="nil"/>
              <w:right w:val="nil"/>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49,1</w:t>
            </w:r>
          </w:p>
        </w:tc>
        <w:tc>
          <w:tcPr>
            <w:tcW w:w="490" w:type="pct"/>
            <w:gridSpan w:val="2"/>
            <w:tcBorders>
              <w:top w:val="single" w:sz="6" w:space="0" w:color="auto"/>
              <w:left w:val="nil"/>
              <w:bottom w:val="nil"/>
              <w:right w:val="nil"/>
            </w:tcBorders>
            <w:vAlign w:val="center"/>
          </w:tcPr>
          <w:p w:rsidR="00565FD5" w:rsidRPr="001131FC" w:rsidRDefault="00565FD5" w:rsidP="00AB62A3">
            <w:pPr>
              <w:jc w:val="right"/>
              <w:rPr>
                <w:rFonts w:cs="Tahoma"/>
                <w:b/>
                <w:bCs/>
                <w:sz w:val="15"/>
                <w:szCs w:val="15"/>
              </w:rPr>
            </w:pPr>
            <w:r w:rsidRPr="001131FC">
              <w:rPr>
                <w:rFonts w:cs="Tahoma"/>
                <w:b/>
                <w:bCs/>
                <w:sz w:val="15"/>
                <w:szCs w:val="15"/>
              </w:rPr>
              <w:t>50,3</w:t>
            </w:r>
          </w:p>
        </w:tc>
        <w:tc>
          <w:tcPr>
            <w:tcW w:w="588" w:type="pct"/>
            <w:tcBorders>
              <w:top w:val="single" w:sz="6" w:space="0" w:color="auto"/>
              <w:left w:val="nil"/>
              <w:bottom w:val="nil"/>
              <w:right w:val="single" w:sz="4" w:space="0" w:color="auto"/>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50,2</w:t>
            </w:r>
          </w:p>
        </w:tc>
        <w:tc>
          <w:tcPr>
            <w:tcW w:w="471" w:type="pct"/>
            <w:tcBorders>
              <w:top w:val="single" w:sz="6" w:space="0" w:color="auto"/>
              <w:left w:val="single" w:sz="4" w:space="0" w:color="auto"/>
              <w:bottom w:val="nil"/>
              <w:right w:val="nil"/>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40,9</w:t>
            </w:r>
          </w:p>
        </w:tc>
        <w:tc>
          <w:tcPr>
            <w:tcW w:w="676" w:type="pct"/>
            <w:tcBorders>
              <w:top w:val="single" w:sz="6" w:space="0" w:color="auto"/>
              <w:left w:val="nil"/>
              <w:bottom w:val="nil"/>
              <w:right w:val="single" w:sz="4" w:space="0" w:color="auto"/>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40,7</w:t>
            </w:r>
          </w:p>
        </w:tc>
      </w:tr>
      <w:tr w:rsidR="00565FD5" w:rsidRPr="001131FC" w:rsidTr="00AB62A3">
        <w:trPr>
          <w:trHeight w:val="198"/>
          <w:jc w:val="center"/>
        </w:trPr>
        <w:tc>
          <w:tcPr>
            <w:tcW w:w="2285" w:type="pct"/>
            <w:tcBorders>
              <w:top w:val="nil"/>
              <w:left w:val="single" w:sz="4" w:space="0" w:color="auto"/>
              <w:bottom w:val="nil"/>
              <w:right w:val="nil"/>
            </w:tcBorders>
            <w:noWrap/>
            <w:vAlign w:val="center"/>
          </w:tcPr>
          <w:p w:rsidR="00565FD5" w:rsidRPr="001131FC" w:rsidRDefault="00565FD5" w:rsidP="00AB62A3">
            <w:pPr>
              <w:rPr>
                <w:rFonts w:cs="Tahoma"/>
                <w:sz w:val="15"/>
                <w:szCs w:val="15"/>
              </w:rPr>
            </w:pPr>
            <w:r w:rsidRPr="001131FC">
              <w:rPr>
                <w:rFonts w:cs="Tahoma"/>
                <w:sz w:val="15"/>
                <w:szCs w:val="15"/>
              </w:rPr>
              <w:t xml:space="preserve">  Kamu Kesimi</w:t>
            </w:r>
          </w:p>
        </w:tc>
        <w:tc>
          <w:tcPr>
            <w:tcW w:w="490" w:type="pct"/>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15,7</w:t>
            </w:r>
          </w:p>
        </w:tc>
        <w:tc>
          <w:tcPr>
            <w:tcW w:w="490" w:type="pct"/>
            <w:gridSpan w:val="2"/>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14,5</w:t>
            </w:r>
          </w:p>
        </w:tc>
        <w:tc>
          <w:tcPr>
            <w:tcW w:w="588" w:type="pct"/>
            <w:tcBorders>
              <w:top w:val="nil"/>
              <w:left w:val="nil"/>
              <w:bottom w:val="nil"/>
              <w:right w:val="single" w:sz="4" w:space="0" w:color="auto"/>
            </w:tcBorders>
            <w:noWrap/>
            <w:vAlign w:val="center"/>
          </w:tcPr>
          <w:p w:rsidR="00565FD5" w:rsidRPr="001131FC" w:rsidRDefault="00565FD5" w:rsidP="00AB62A3">
            <w:pPr>
              <w:jc w:val="right"/>
              <w:rPr>
                <w:rFonts w:cs="Tahoma"/>
                <w:bCs/>
                <w:sz w:val="15"/>
                <w:szCs w:val="15"/>
              </w:rPr>
            </w:pPr>
            <w:r w:rsidRPr="001131FC">
              <w:rPr>
                <w:rFonts w:cs="Tahoma"/>
                <w:bCs/>
                <w:sz w:val="15"/>
                <w:szCs w:val="15"/>
              </w:rPr>
              <w:t>11,9</w:t>
            </w:r>
          </w:p>
        </w:tc>
        <w:tc>
          <w:tcPr>
            <w:tcW w:w="471" w:type="pct"/>
            <w:tcBorders>
              <w:top w:val="nil"/>
              <w:left w:val="single" w:sz="4" w:space="0" w:color="auto"/>
              <w:bottom w:val="nil"/>
              <w:right w:val="nil"/>
            </w:tcBorders>
            <w:noWrap/>
            <w:vAlign w:val="center"/>
          </w:tcPr>
          <w:p w:rsidR="00565FD5" w:rsidRPr="001131FC" w:rsidRDefault="00565FD5" w:rsidP="00AB62A3">
            <w:pPr>
              <w:jc w:val="right"/>
              <w:rPr>
                <w:rFonts w:cs="Tahoma"/>
                <w:bCs/>
                <w:sz w:val="15"/>
                <w:szCs w:val="15"/>
              </w:rPr>
            </w:pPr>
            <w:r w:rsidRPr="001131FC">
              <w:rPr>
                <w:rFonts w:cs="Tahoma"/>
                <w:bCs/>
                <w:sz w:val="15"/>
                <w:szCs w:val="15"/>
              </w:rPr>
              <w:t>12,5</w:t>
            </w:r>
          </w:p>
        </w:tc>
        <w:tc>
          <w:tcPr>
            <w:tcW w:w="676" w:type="pct"/>
            <w:tcBorders>
              <w:top w:val="nil"/>
              <w:left w:val="nil"/>
              <w:bottom w:val="nil"/>
              <w:right w:val="single" w:sz="4" w:space="0" w:color="auto"/>
            </w:tcBorders>
            <w:noWrap/>
            <w:vAlign w:val="center"/>
          </w:tcPr>
          <w:p w:rsidR="00565FD5" w:rsidRPr="001131FC" w:rsidRDefault="00565FD5" w:rsidP="00AB62A3">
            <w:pPr>
              <w:jc w:val="right"/>
              <w:rPr>
                <w:rFonts w:cs="Tahoma"/>
                <w:bCs/>
                <w:sz w:val="15"/>
                <w:szCs w:val="15"/>
              </w:rPr>
            </w:pPr>
            <w:r w:rsidRPr="001131FC">
              <w:rPr>
                <w:rFonts w:cs="Tahoma"/>
                <w:bCs/>
                <w:sz w:val="15"/>
                <w:szCs w:val="15"/>
              </w:rPr>
              <w:t>9,9</w:t>
            </w:r>
          </w:p>
        </w:tc>
      </w:tr>
      <w:tr w:rsidR="00565FD5" w:rsidRPr="001131FC" w:rsidTr="00AB62A3">
        <w:trPr>
          <w:trHeight w:val="198"/>
          <w:jc w:val="center"/>
        </w:trPr>
        <w:tc>
          <w:tcPr>
            <w:tcW w:w="2285" w:type="pct"/>
            <w:tcBorders>
              <w:top w:val="nil"/>
              <w:left w:val="single" w:sz="4" w:space="0" w:color="auto"/>
              <w:bottom w:val="nil"/>
              <w:right w:val="nil"/>
            </w:tcBorders>
            <w:noWrap/>
            <w:vAlign w:val="center"/>
          </w:tcPr>
          <w:p w:rsidR="00565FD5" w:rsidRPr="001131FC" w:rsidRDefault="00565FD5" w:rsidP="00AB62A3">
            <w:pPr>
              <w:rPr>
                <w:rFonts w:cs="Tahoma"/>
                <w:sz w:val="15"/>
                <w:szCs w:val="15"/>
              </w:rPr>
            </w:pPr>
            <w:r w:rsidRPr="001131FC">
              <w:rPr>
                <w:rFonts w:cs="Tahoma"/>
                <w:sz w:val="15"/>
                <w:szCs w:val="15"/>
              </w:rPr>
              <w:t xml:space="preserve">  Özel Kesim</w:t>
            </w:r>
          </w:p>
        </w:tc>
        <w:tc>
          <w:tcPr>
            <w:tcW w:w="490" w:type="pct"/>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33,5</w:t>
            </w:r>
          </w:p>
        </w:tc>
        <w:tc>
          <w:tcPr>
            <w:tcW w:w="490" w:type="pct"/>
            <w:gridSpan w:val="2"/>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35,9</w:t>
            </w:r>
          </w:p>
        </w:tc>
        <w:tc>
          <w:tcPr>
            <w:tcW w:w="588" w:type="pct"/>
            <w:tcBorders>
              <w:top w:val="nil"/>
              <w:left w:val="nil"/>
              <w:bottom w:val="nil"/>
              <w:right w:val="single" w:sz="4" w:space="0" w:color="auto"/>
            </w:tcBorders>
            <w:noWrap/>
            <w:vAlign w:val="center"/>
          </w:tcPr>
          <w:p w:rsidR="00565FD5" w:rsidRPr="001131FC" w:rsidRDefault="00565FD5" w:rsidP="00AB62A3">
            <w:pPr>
              <w:jc w:val="right"/>
              <w:rPr>
                <w:rFonts w:cs="Tahoma"/>
                <w:bCs/>
                <w:sz w:val="15"/>
                <w:szCs w:val="15"/>
              </w:rPr>
            </w:pPr>
            <w:r w:rsidRPr="001131FC">
              <w:rPr>
                <w:rFonts w:cs="Tahoma"/>
                <w:bCs/>
                <w:sz w:val="15"/>
                <w:szCs w:val="15"/>
              </w:rPr>
              <w:t>38,3</w:t>
            </w:r>
          </w:p>
        </w:tc>
        <w:tc>
          <w:tcPr>
            <w:tcW w:w="471" w:type="pct"/>
            <w:tcBorders>
              <w:top w:val="nil"/>
              <w:left w:val="single" w:sz="4" w:space="0" w:color="auto"/>
              <w:bottom w:val="nil"/>
              <w:right w:val="nil"/>
            </w:tcBorders>
            <w:noWrap/>
            <w:vAlign w:val="center"/>
          </w:tcPr>
          <w:p w:rsidR="00565FD5" w:rsidRPr="001131FC" w:rsidRDefault="00565FD5" w:rsidP="00AB62A3">
            <w:pPr>
              <w:jc w:val="right"/>
              <w:rPr>
                <w:rFonts w:cs="Tahoma"/>
                <w:bCs/>
                <w:sz w:val="15"/>
                <w:szCs w:val="15"/>
              </w:rPr>
            </w:pPr>
            <w:r w:rsidRPr="001131FC">
              <w:rPr>
                <w:rFonts w:cs="Tahoma"/>
                <w:bCs/>
                <w:sz w:val="15"/>
                <w:szCs w:val="15"/>
              </w:rPr>
              <w:t>28,4</w:t>
            </w:r>
          </w:p>
        </w:tc>
        <w:tc>
          <w:tcPr>
            <w:tcW w:w="676" w:type="pct"/>
            <w:tcBorders>
              <w:top w:val="nil"/>
              <w:left w:val="nil"/>
              <w:bottom w:val="nil"/>
              <w:right w:val="single" w:sz="4" w:space="0" w:color="auto"/>
            </w:tcBorders>
            <w:noWrap/>
            <w:vAlign w:val="center"/>
          </w:tcPr>
          <w:p w:rsidR="00565FD5" w:rsidRPr="001131FC" w:rsidRDefault="00565FD5" w:rsidP="00AB62A3">
            <w:pPr>
              <w:jc w:val="right"/>
              <w:rPr>
                <w:rFonts w:cs="Tahoma"/>
                <w:bCs/>
                <w:sz w:val="15"/>
                <w:szCs w:val="15"/>
              </w:rPr>
            </w:pPr>
            <w:r w:rsidRPr="001131FC">
              <w:rPr>
                <w:rFonts w:cs="Tahoma"/>
                <w:bCs/>
                <w:sz w:val="15"/>
                <w:szCs w:val="15"/>
              </w:rPr>
              <w:t>30,8</w:t>
            </w:r>
          </w:p>
        </w:tc>
      </w:tr>
      <w:tr w:rsidR="00565FD5" w:rsidRPr="001131FC" w:rsidTr="00AB62A3">
        <w:trPr>
          <w:trHeight w:val="198"/>
          <w:jc w:val="center"/>
        </w:trPr>
        <w:tc>
          <w:tcPr>
            <w:tcW w:w="2285" w:type="pct"/>
            <w:tcBorders>
              <w:top w:val="nil"/>
              <w:left w:val="single" w:sz="4" w:space="0" w:color="auto"/>
              <w:bottom w:val="nil"/>
              <w:right w:val="nil"/>
            </w:tcBorders>
            <w:noWrap/>
            <w:vAlign w:val="center"/>
          </w:tcPr>
          <w:p w:rsidR="00565FD5" w:rsidRPr="001131FC" w:rsidRDefault="00565FD5" w:rsidP="00AB62A3">
            <w:pPr>
              <w:rPr>
                <w:rFonts w:cs="Tahoma"/>
                <w:sz w:val="15"/>
                <w:szCs w:val="15"/>
              </w:rPr>
            </w:pPr>
            <w:r w:rsidRPr="001131FC">
              <w:rPr>
                <w:rFonts w:cs="Tahoma"/>
                <w:sz w:val="15"/>
                <w:szCs w:val="15"/>
              </w:rPr>
              <w:t xml:space="preserve">    Bankalar</w:t>
            </w:r>
          </w:p>
        </w:tc>
        <w:tc>
          <w:tcPr>
            <w:tcW w:w="490" w:type="pct"/>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40,4</w:t>
            </w:r>
          </w:p>
        </w:tc>
        <w:tc>
          <w:tcPr>
            <w:tcW w:w="490" w:type="pct"/>
            <w:gridSpan w:val="2"/>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15,8</w:t>
            </w:r>
          </w:p>
        </w:tc>
        <w:tc>
          <w:tcPr>
            <w:tcW w:w="588" w:type="pct"/>
            <w:tcBorders>
              <w:top w:val="nil"/>
              <w:left w:val="nil"/>
              <w:bottom w:val="nil"/>
              <w:right w:val="single" w:sz="4" w:space="0" w:color="auto"/>
            </w:tcBorders>
            <w:noWrap/>
            <w:vAlign w:val="center"/>
          </w:tcPr>
          <w:p w:rsidR="00565FD5" w:rsidRPr="001131FC" w:rsidRDefault="00565FD5" w:rsidP="00AB62A3">
            <w:pPr>
              <w:jc w:val="right"/>
              <w:rPr>
                <w:rFonts w:cs="Tahoma"/>
                <w:bCs/>
                <w:sz w:val="15"/>
                <w:szCs w:val="15"/>
              </w:rPr>
            </w:pPr>
            <w:r w:rsidRPr="001131FC">
              <w:rPr>
                <w:rFonts w:cs="Tahoma"/>
                <w:bCs/>
                <w:sz w:val="15"/>
                <w:szCs w:val="15"/>
              </w:rPr>
              <w:t>27,9</w:t>
            </w:r>
          </w:p>
        </w:tc>
        <w:tc>
          <w:tcPr>
            <w:tcW w:w="471" w:type="pct"/>
            <w:tcBorders>
              <w:top w:val="nil"/>
              <w:left w:val="single" w:sz="4" w:space="0" w:color="auto"/>
              <w:bottom w:val="nil"/>
              <w:right w:val="nil"/>
            </w:tcBorders>
            <w:noWrap/>
            <w:vAlign w:val="center"/>
          </w:tcPr>
          <w:p w:rsidR="00565FD5" w:rsidRPr="001131FC" w:rsidRDefault="00565FD5" w:rsidP="00AB62A3">
            <w:pPr>
              <w:jc w:val="right"/>
              <w:rPr>
                <w:rFonts w:cs="Tahoma"/>
                <w:bCs/>
                <w:sz w:val="15"/>
                <w:szCs w:val="15"/>
              </w:rPr>
            </w:pPr>
            <w:r w:rsidRPr="001131FC">
              <w:rPr>
                <w:rFonts w:cs="Tahoma"/>
                <w:bCs/>
                <w:sz w:val="15"/>
                <w:szCs w:val="15"/>
              </w:rPr>
              <w:t>11,0</w:t>
            </w:r>
          </w:p>
        </w:tc>
        <w:tc>
          <w:tcPr>
            <w:tcW w:w="676" w:type="pct"/>
            <w:tcBorders>
              <w:top w:val="nil"/>
              <w:left w:val="nil"/>
              <w:bottom w:val="nil"/>
              <w:right w:val="single" w:sz="4" w:space="0" w:color="auto"/>
            </w:tcBorders>
            <w:noWrap/>
            <w:vAlign w:val="center"/>
          </w:tcPr>
          <w:p w:rsidR="00565FD5" w:rsidRPr="001131FC" w:rsidRDefault="00565FD5" w:rsidP="00AB62A3">
            <w:pPr>
              <w:jc w:val="right"/>
              <w:rPr>
                <w:rFonts w:cs="Tahoma"/>
                <w:bCs/>
                <w:sz w:val="15"/>
                <w:szCs w:val="15"/>
              </w:rPr>
            </w:pPr>
            <w:r w:rsidRPr="001131FC">
              <w:rPr>
                <w:rFonts w:cs="Tahoma"/>
                <w:bCs/>
                <w:sz w:val="15"/>
                <w:szCs w:val="15"/>
              </w:rPr>
              <w:t>23,2</w:t>
            </w:r>
          </w:p>
        </w:tc>
      </w:tr>
      <w:tr w:rsidR="00565FD5" w:rsidRPr="001131FC" w:rsidTr="00AB62A3">
        <w:trPr>
          <w:trHeight w:val="198"/>
          <w:jc w:val="center"/>
        </w:trPr>
        <w:tc>
          <w:tcPr>
            <w:tcW w:w="2285" w:type="pct"/>
            <w:tcBorders>
              <w:top w:val="nil"/>
              <w:left w:val="single" w:sz="4" w:space="0" w:color="auto"/>
              <w:bottom w:val="nil"/>
              <w:right w:val="nil"/>
            </w:tcBorders>
            <w:noWrap/>
            <w:vAlign w:val="center"/>
          </w:tcPr>
          <w:p w:rsidR="00565FD5" w:rsidRPr="001131FC" w:rsidRDefault="00565FD5" w:rsidP="00AB62A3">
            <w:pPr>
              <w:rPr>
                <w:rFonts w:cs="Tahoma"/>
                <w:sz w:val="15"/>
                <w:szCs w:val="15"/>
              </w:rPr>
            </w:pPr>
            <w:r w:rsidRPr="001131FC">
              <w:rPr>
                <w:rFonts w:cs="Tahoma"/>
                <w:sz w:val="15"/>
                <w:szCs w:val="15"/>
              </w:rPr>
              <w:t xml:space="preserve">    Banka dışı</w:t>
            </w:r>
          </w:p>
        </w:tc>
        <w:tc>
          <w:tcPr>
            <w:tcW w:w="490" w:type="pct"/>
            <w:noWrap/>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-6,9</w:t>
            </w:r>
          </w:p>
        </w:tc>
        <w:tc>
          <w:tcPr>
            <w:tcW w:w="490" w:type="pct"/>
            <w:gridSpan w:val="2"/>
            <w:vAlign w:val="center"/>
          </w:tcPr>
          <w:p w:rsidR="00565FD5" w:rsidRPr="001131FC" w:rsidRDefault="00565FD5" w:rsidP="00AB62A3">
            <w:pPr>
              <w:ind w:firstLineChars="100" w:firstLine="150"/>
              <w:jc w:val="right"/>
              <w:rPr>
                <w:rFonts w:cs="Tahoma"/>
                <w:sz w:val="15"/>
                <w:szCs w:val="15"/>
              </w:rPr>
            </w:pPr>
            <w:r w:rsidRPr="001131FC">
              <w:rPr>
                <w:rFonts w:cs="Tahoma"/>
                <w:sz w:val="15"/>
                <w:szCs w:val="15"/>
              </w:rPr>
              <w:t>20,1</w:t>
            </w:r>
          </w:p>
        </w:tc>
        <w:tc>
          <w:tcPr>
            <w:tcW w:w="588" w:type="pct"/>
            <w:tcBorders>
              <w:top w:val="nil"/>
              <w:left w:val="nil"/>
              <w:bottom w:val="nil"/>
              <w:right w:val="single" w:sz="4" w:space="0" w:color="auto"/>
            </w:tcBorders>
            <w:noWrap/>
            <w:vAlign w:val="center"/>
          </w:tcPr>
          <w:p w:rsidR="00565FD5" w:rsidRPr="001131FC" w:rsidRDefault="00565FD5" w:rsidP="00AB62A3">
            <w:pPr>
              <w:jc w:val="right"/>
              <w:rPr>
                <w:rFonts w:cs="Tahoma"/>
                <w:bCs/>
                <w:sz w:val="15"/>
                <w:szCs w:val="15"/>
              </w:rPr>
            </w:pPr>
            <w:r w:rsidRPr="001131FC">
              <w:rPr>
                <w:rFonts w:cs="Tahoma"/>
                <w:bCs/>
                <w:sz w:val="15"/>
                <w:szCs w:val="15"/>
              </w:rPr>
              <w:t>10,4</w:t>
            </w:r>
          </w:p>
        </w:tc>
        <w:tc>
          <w:tcPr>
            <w:tcW w:w="471" w:type="pct"/>
            <w:tcBorders>
              <w:top w:val="nil"/>
              <w:left w:val="single" w:sz="4" w:space="0" w:color="auto"/>
              <w:bottom w:val="nil"/>
              <w:right w:val="nil"/>
            </w:tcBorders>
            <w:noWrap/>
            <w:vAlign w:val="center"/>
          </w:tcPr>
          <w:p w:rsidR="00565FD5" w:rsidRPr="001131FC" w:rsidRDefault="00565FD5" w:rsidP="00AB62A3">
            <w:pPr>
              <w:jc w:val="right"/>
              <w:rPr>
                <w:rFonts w:cs="Tahoma"/>
                <w:bCs/>
                <w:sz w:val="15"/>
                <w:szCs w:val="15"/>
              </w:rPr>
            </w:pPr>
            <w:r w:rsidRPr="001131FC">
              <w:rPr>
                <w:rFonts w:cs="Tahoma"/>
                <w:bCs/>
                <w:sz w:val="15"/>
                <w:szCs w:val="15"/>
              </w:rPr>
              <w:t>17,4</w:t>
            </w:r>
          </w:p>
        </w:tc>
        <w:tc>
          <w:tcPr>
            <w:tcW w:w="676" w:type="pct"/>
            <w:tcBorders>
              <w:top w:val="nil"/>
              <w:left w:val="nil"/>
              <w:bottom w:val="nil"/>
              <w:right w:val="single" w:sz="4" w:space="0" w:color="auto"/>
            </w:tcBorders>
            <w:noWrap/>
            <w:vAlign w:val="center"/>
          </w:tcPr>
          <w:p w:rsidR="00565FD5" w:rsidRPr="001131FC" w:rsidRDefault="00565FD5" w:rsidP="00AB62A3">
            <w:pPr>
              <w:jc w:val="right"/>
              <w:rPr>
                <w:rFonts w:cs="Tahoma"/>
                <w:bCs/>
                <w:sz w:val="15"/>
                <w:szCs w:val="15"/>
              </w:rPr>
            </w:pPr>
            <w:r w:rsidRPr="001131FC">
              <w:rPr>
                <w:rFonts w:cs="Tahoma"/>
                <w:bCs/>
                <w:sz w:val="15"/>
                <w:szCs w:val="15"/>
              </w:rPr>
              <w:t>7,7</w:t>
            </w:r>
          </w:p>
        </w:tc>
      </w:tr>
      <w:tr w:rsidR="00565FD5" w:rsidRPr="001131FC" w:rsidTr="00AB62A3">
        <w:trPr>
          <w:trHeight w:val="198"/>
          <w:jc w:val="center"/>
        </w:trPr>
        <w:tc>
          <w:tcPr>
            <w:tcW w:w="2285" w:type="pct"/>
            <w:tcBorders>
              <w:top w:val="nil"/>
              <w:left w:val="single" w:sz="4" w:space="0" w:color="auto"/>
              <w:bottom w:val="nil"/>
              <w:right w:val="nil"/>
            </w:tcBorders>
            <w:noWrap/>
            <w:vAlign w:val="center"/>
          </w:tcPr>
          <w:p w:rsidR="00565FD5" w:rsidRPr="001131FC" w:rsidRDefault="00565FD5" w:rsidP="00AB62A3">
            <w:pPr>
              <w:rPr>
                <w:rFonts w:cs="Tahoma"/>
                <w:b/>
                <w:sz w:val="15"/>
                <w:szCs w:val="15"/>
              </w:rPr>
            </w:pPr>
            <w:r w:rsidRPr="001131FC">
              <w:rPr>
                <w:rFonts w:cs="Tahoma"/>
                <w:b/>
                <w:sz w:val="15"/>
                <w:szCs w:val="15"/>
              </w:rPr>
              <w:t>Doğrudan Yatırımlar (net)</w:t>
            </w:r>
          </w:p>
        </w:tc>
        <w:tc>
          <w:tcPr>
            <w:tcW w:w="490" w:type="pct"/>
            <w:noWrap/>
            <w:vAlign w:val="center"/>
          </w:tcPr>
          <w:p w:rsidR="00565FD5" w:rsidRPr="001131FC" w:rsidRDefault="00565FD5" w:rsidP="00AB62A3">
            <w:pPr>
              <w:ind w:firstLineChars="100" w:firstLine="151"/>
              <w:jc w:val="right"/>
              <w:rPr>
                <w:rFonts w:cs="Tahoma"/>
                <w:b/>
                <w:sz w:val="15"/>
                <w:szCs w:val="15"/>
              </w:rPr>
            </w:pPr>
            <w:r w:rsidRPr="001131FC">
              <w:rPr>
                <w:rFonts w:cs="Tahoma"/>
                <w:b/>
                <w:sz w:val="15"/>
                <w:szCs w:val="15"/>
              </w:rPr>
              <w:t>7,6</w:t>
            </w:r>
          </w:p>
        </w:tc>
        <w:tc>
          <w:tcPr>
            <w:tcW w:w="490" w:type="pct"/>
            <w:gridSpan w:val="2"/>
            <w:vAlign w:val="center"/>
          </w:tcPr>
          <w:p w:rsidR="00565FD5" w:rsidRPr="001131FC" w:rsidRDefault="00565FD5" w:rsidP="00AB62A3">
            <w:pPr>
              <w:ind w:firstLineChars="100" w:firstLine="151"/>
              <w:jc w:val="right"/>
              <w:rPr>
                <w:rFonts w:cs="Tahoma"/>
                <w:sz w:val="15"/>
                <w:szCs w:val="15"/>
              </w:rPr>
            </w:pPr>
            <w:r w:rsidRPr="001131FC">
              <w:rPr>
                <w:rFonts w:cs="Tahoma"/>
                <w:b/>
                <w:sz w:val="15"/>
                <w:szCs w:val="15"/>
              </w:rPr>
              <w:t>13,6</w:t>
            </w:r>
          </w:p>
        </w:tc>
        <w:tc>
          <w:tcPr>
            <w:tcW w:w="588" w:type="pct"/>
            <w:tcBorders>
              <w:top w:val="nil"/>
              <w:left w:val="nil"/>
              <w:bottom w:val="nil"/>
              <w:right w:val="single" w:sz="4" w:space="0" w:color="auto"/>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11,4</w:t>
            </w:r>
          </w:p>
        </w:tc>
        <w:tc>
          <w:tcPr>
            <w:tcW w:w="471" w:type="pct"/>
            <w:tcBorders>
              <w:top w:val="nil"/>
              <w:left w:val="single" w:sz="4" w:space="0" w:color="auto"/>
              <w:bottom w:val="nil"/>
              <w:right w:val="nil"/>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9,0</w:t>
            </w:r>
          </w:p>
        </w:tc>
        <w:tc>
          <w:tcPr>
            <w:tcW w:w="676" w:type="pct"/>
            <w:tcBorders>
              <w:top w:val="nil"/>
              <w:left w:val="nil"/>
              <w:bottom w:val="nil"/>
              <w:right w:val="single" w:sz="4" w:space="0" w:color="auto"/>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6,8</w:t>
            </w:r>
          </w:p>
        </w:tc>
      </w:tr>
      <w:tr w:rsidR="00565FD5" w:rsidRPr="001131FC" w:rsidTr="00AB62A3">
        <w:trPr>
          <w:trHeight w:val="198"/>
          <w:jc w:val="center"/>
        </w:trPr>
        <w:tc>
          <w:tcPr>
            <w:tcW w:w="2285" w:type="pct"/>
            <w:tcBorders>
              <w:top w:val="single" w:sz="4" w:space="0" w:color="auto"/>
              <w:left w:val="single" w:sz="4" w:space="0" w:color="auto"/>
              <w:bottom w:val="nil"/>
              <w:right w:val="nil"/>
            </w:tcBorders>
            <w:noWrap/>
            <w:vAlign w:val="center"/>
          </w:tcPr>
          <w:p w:rsidR="00565FD5" w:rsidRPr="001131FC" w:rsidRDefault="00565FD5" w:rsidP="00AB62A3">
            <w:pPr>
              <w:rPr>
                <w:rFonts w:cs="Tahoma"/>
                <w:b/>
                <w:sz w:val="15"/>
                <w:szCs w:val="15"/>
              </w:rPr>
            </w:pPr>
            <w:r w:rsidRPr="001131FC">
              <w:rPr>
                <w:rFonts w:cs="Tahoma"/>
                <w:b/>
                <w:sz w:val="15"/>
                <w:szCs w:val="15"/>
              </w:rPr>
              <w:t xml:space="preserve">Rezerv Varlıklar </w:t>
            </w:r>
            <w:r w:rsidRPr="001131FC">
              <w:rPr>
                <w:rFonts w:cs="Tahoma"/>
                <w:b/>
                <w:sz w:val="13"/>
                <w:szCs w:val="15"/>
              </w:rPr>
              <w:t>(3)</w:t>
            </w:r>
          </w:p>
        </w:tc>
        <w:tc>
          <w:tcPr>
            <w:tcW w:w="490" w:type="pct"/>
            <w:tcBorders>
              <w:top w:val="single" w:sz="4" w:space="0" w:color="auto"/>
              <w:left w:val="nil"/>
              <w:bottom w:val="nil"/>
              <w:right w:val="nil"/>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-12,8</w:t>
            </w:r>
          </w:p>
        </w:tc>
        <w:tc>
          <w:tcPr>
            <w:tcW w:w="490" w:type="pct"/>
            <w:gridSpan w:val="2"/>
            <w:tcBorders>
              <w:top w:val="single" w:sz="4" w:space="0" w:color="auto"/>
              <w:left w:val="nil"/>
              <w:bottom w:val="nil"/>
              <w:right w:val="nil"/>
            </w:tcBorders>
            <w:vAlign w:val="center"/>
          </w:tcPr>
          <w:p w:rsidR="00565FD5" w:rsidRPr="001131FC" w:rsidRDefault="00565FD5" w:rsidP="00AB62A3">
            <w:pPr>
              <w:jc w:val="right"/>
              <w:rPr>
                <w:rFonts w:cs="Tahoma"/>
                <w:b/>
                <w:bCs/>
                <w:sz w:val="15"/>
                <w:szCs w:val="15"/>
              </w:rPr>
            </w:pPr>
            <w:r w:rsidRPr="001131FC">
              <w:rPr>
                <w:rFonts w:cs="Tahoma"/>
                <w:b/>
                <w:bCs/>
                <w:sz w:val="15"/>
                <w:szCs w:val="15"/>
              </w:rPr>
              <w:t>1,8</w:t>
            </w:r>
          </w:p>
        </w:tc>
        <w:tc>
          <w:tcPr>
            <w:tcW w:w="588" w:type="pct"/>
            <w:tcBorders>
              <w:top w:val="single" w:sz="4" w:space="0" w:color="auto"/>
              <w:left w:val="nil"/>
              <w:bottom w:val="nil"/>
              <w:right w:val="single" w:sz="4" w:space="0" w:color="auto"/>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-9,3</w:t>
            </w:r>
          </w:p>
        </w:tc>
        <w:tc>
          <w:tcPr>
            <w:tcW w:w="471" w:type="pct"/>
            <w:tcBorders>
              <w:top w:val="single" w:sz="4" w:space="0" w:color="auto"/>
              <w:left w:val="single" w:sz="4" w:space="0" w:color="auto"/>
              <w:bottom w:val="nil"/>
              <w:right w:val="nil"/>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-4,7</w:t>
            </w:r>
          </w:p>
        </w:tc>
        <w:tc>
          <w:tcPr>
            <w:tcW w:w="676" w:type="pct"/>
            <w:tcBorders>
              <w:top w:val="single" w:sz="4" w:space="0" w:color="auto"/>
              <w:left w:val="nil"/>
              <w:bottom w:val="nil"/>
              <w:right w:val="single" w:sz="4" w:space="0" w:color="auto"/>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-15,7</w:t>
            </w:r>
          </w:p>
        </w:tc>
      </w:tr>
      <w:tr w:rsidR="00565FD5" w:rsidRPr="001131FC" w:rsidTr="00AB62A3">
        <w:trPr>
          <w:trHeight w:val="198"/>
          <w:jc w:val="center"/>
        </w:trPr>
        <w:tc>
          <w:tcPr>
            <w:tcW w:w="2285" w:type="pct"/>
            <w:tcBorders>
              <w:top w:val="nil"/>
              <w:left w:val="single" w:sz="4" w:space="0" w:color="auto"/>
              <w:bottom w:val="single" w:sz="4" w:space="0" w:color="auto"/>
              <w:right w:val="nil"/>
            </w:tcBorders>
            <w:noWrap/>
            <w:vAlign w:val="center"/>
          </w:tcPr>
          <w:p w:rsidR="00565FD5" w:rsidRPr="001131FC" w:rsidRDefault="00565FD5" w:rsidP="00AB62A3">
            <w:pPr>
              <w:rPr>
                <w:rFonts w:cs="Tahoma"/>
                <w:b/>
                <w:sz w:val="15"/>
                <w:szCs w:val="15"/>
              </w:rPr>
            </w:pPr>
            <w:r w:rsidRPr="001131FC">
              <w:rPr>
                <w:rFonts w:cs="Tahoma"/>
                <w:b/>
                <w:sz w:val="15"/>
                <w:szCs w:val="15"/>
              </w:rPr>
              <w:t>Net Hata Noksan</w:t>
            </w:r>
          </w:p>
        </w:tc>
        <w:tc>
          <w:tcPr>
            <w:tcW w:w="490" w:type="pct"/>
            <w:tcBorders>
              <w:top w:val="nil"/>
              <w:left w:val="nil"/>
              <w:bottom w:val="single" w:sz="4" w:space="0" w:color="auto"/>
              <w:right w:val="nil"/>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2,7</w:t>
            </w:r>
          </w:p>
        </w:tc>
        <w:tc>
          <w:tcPr>
            <w:tcW w:w="490" w:type="pct"/>
            <w:gridSpan w:val="2"/>
            <w:tcBorders>
              <w:top w:val="nil"/>
              <w:left w:val="nil"/>
              <w:bottom w:val="single" w:sz="4" w:space="0" w:color="auto"/>
              <w:right w:val="nil"/>
            </w:tcBorders>
            <w:vAlign w:val="center"/>
          </w:tcPr>
          <w:p w:rsidR="00565FD5" w:rsidRPr="001131FC" w:rsidRDefault="00565FD5" w:rsidP="00AB62A3">
            <w:pPr>
              <w:jc w:val="right"/>
              <w:rPr>
                <w:rFonts w:cs="Tahoma"/>
                <w:b/>
                <w:bCs/>
                <w:sz w:val="15"/>
                <w:szCs w:val="15"/>
              </w:rPr>
            </w:pPr>
            <w:r w:rsidRPr="001131FC">
              <w:rPr>
                <w:rFonts w:cs="Tahoma"/>
                <w:b/>
                <w:bCs/>
                <w:sz w:val="15"/>
                <w:szCs w:val="15"/>
              </w:rPr>
              <w:t>11,4</w:t>
            </w:r>
          </w:p>
        </w:tc>
        <w:tc>
          <w:tcPr>
            <w:tcW w:w="588" w:type="pct"/>
            <w:tcBorders>
              <w:top w:val="nil"/>
              <w:left w:val="nil"/>
              <w:bottom w:val="single" w:sz="4" w:space="0" w:color="auto"/>
              <w:right w:val="single" w:sz="4" w:space="0" w:color="auto"/>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6,6</w:t>
            </w:r>
          </w:p>
        </w:tc>
        <w:tc>
          <w:tcPr>
            <w:tcW w:w="471" w:type="pct"/>
            <w:tcBorders>
              <w:top w:val="nil"/>
              <w:left w:val="single" w:sz="4" w:space="0" w:color="auto"/>
              <w:bottom w:val="single" w:sz="4" w:space="0" w:color="auto"/>
              <w:right w:val="nil"/>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9,0</w:t>
            </w:r>
          </w:p>
        </w:tc>
        <w:tc>
          <w:tcPr>
            <w:tcW w:w="676" w:type="pct"/>
            <w:tcBorders>
              <w:top w:val="nil"/>
              <w:left w:val="nil"/>
              <w:bottom w:val="single" w:sz="4" w:space="0" w:color="auto"/>
              <w:right w:val="single" w:sz="4" w:space="0" w:color="auto"/>
            </w:tcBorders>
            <w:noWrap/>
            <w:vAlign w:val="center"/>
          </w:tcPr>
          <w:p w:rsidR="00565FD5" w:rsidRPr="001131FC" w:rsidRDefault="00565FD5" w:rsidP="00AB62A3">
            <w:pPr>
              <w:jc w:val="right"/>
              <w:rPr>
                <w:rFonts w:cs="Tahoma"/>
                <w:b/>
                <w:bCs/>
                <w:sz w:val="15"/>
                <w:szCs w:val="15"/>
              </w:rPr>
            </w:pPr>
            <w:r w:rsidRPr="001131FC">
              <w:rPr>
                <w:rFonts w:cs="Tahoma"/>
                <w:b/>
                <w:bCs/>
                <w:sz w:val="15"/>
                <w:szCs w:val="15"/>
              </w:rPr>
              <w:t>4,2</w:t>
            </w:r>
          </w:p>
        </w:tc>
      </w:tr>
    </w:tbl>
    <w:p w:rsidR="00565FD5" w:rsidRPr="001131FC" w:rsidRDefault="00565FD5" w:rsidP="00565FD5">
      <w:pPr>
        <w:spacing w:before="40"/>
        <w:rPr>
          <w:rFonts w:cs="Tahoma"/>
          <w:sz w:val="14"/>
          <w:szCs w:val="14"/>
        </w:rPr>
      </w:pPr>
      <w:r w:rsidRPr="001131FC">
        <w:rPr>
          <w:rFonts w:cs="Tahoma"/>
          <w:sz w:val="14"/>
          <w:szCs w:val="14"/>
        </w:rPr>
        <w:t>Kaynak: TCMB</w:t>
      </w:r>
    </w:p>
    <w:p w:rsidR="00565FD5" w:rsidRPr="001131FC" w:rsidRDefault="00565FD5" w:rsidP="00565FD5">
      <w:pPr>
        <w:tabs>
          <w:tab w:val="left" w:pos="0"/>
        </w:tabs>
        <w:ind w:left="270" w:hanging="270"/>
        <w:rPr>
          <w:rFonts w:cs="Tahoma"/>
          <w:sz w:val="14"/>
          <w:szCs w:val="14"/>
        </w:rPr>
      </w:pPr>
      <w:r w:rsidRPr="001131FC">
        <w:rPr>
          <w:rFonts w:cs="Tahoma"/>
          <w:sz w:val="14"/>
          <w:szCs w:val="14"/>
        </w:rPr>
        <w:t>(1)</w:t>
      </w:r>
      <w:r w:rsidRPr="001131FC">
        <w:rPr>
          <w:rFonts w:cs="Tahoma"/>
          <w:sz w:val="14"/>
          <w:szCs w:val="14"/>
        </w:rPr>
        <w:tab/>
        <w:t>Ağustos ayı itibarıyla, yıllıklandırılmış</w:t>
      </w:r>
    </w:p>
    <w:p w:rsidR="00565FD5" w:rsidRPr="001131FC" w:rsidRDefault="00565FD5" w:rsidP="00565FD5">
      <w:pPr>
        <w:tabs>
          <w:tab w:val="left" w:pos="270"/>
        </w:tabs>
        <w:ind w:left="270" w:hanging="270"/>
        <w:rPr>
          <w:rFonts w:cs="Tahoma"/>
          <w:sz w:val="14"/>
          <w:szCs w:val="14"/>
        </w:rPr>
      </w:pPr>
      <w:r w:rsidRPr="001131FC">
        <w:rPr>
          <w:rFonts w:cs="Tahoma"/>
          <w:sz w:val="14"/>
          <w:szCs w:val="14"/>
        </w:rPr>
        <w:t>(2)</w:t>
      </w:r>
      <w:r w:rsidRPr="001131FC">
        <w:rPr>
          <w:rFonts w:cs="Tahoma"/>
          <w:sz w:val="14"/>
          <w:szCs w:val="14"/>
        </w:rPr>
        <w:tab/>
        <w:t xml:space="preserve">Doğrudan yatırımlar girişinde kamu özel ayrımı net olarak yapılamadığından ve borç yaratan bir kalem olarak kabul edilmediğinden kullanıcıya göre sermaye hareketleri kısmında hesaplamaya dahil edilmeyip ayrı olarak verilmiştir. Ayrıca sermaye hesabı altında yer alan göçmen transferleri ve üretilmeyen ve finansal olmayan varlıklar kalemleri hesaplamaya dahil edilmemiştir.  </w:t>
      </w:r>
    </w:p>
    <w:p w:rsidR="00565FD5" w:rsidRPr="001131FC" w:rsidRDefault="00565FD5" w:rsidP="00565FD5">
      <w:pPr>
        <w:tabs>
          <w:tab w:val="left" w:pos="270"/>
        </w:tabs>
        <w:spacing w:after="360"/>
        <w:ind w:left="272" w:hanging="272"/>
        <w:rPr>
          <w:rFonts w:cs="Tahoma"/>
          <w:sz w:val="14"/>
          <w:szCs w:val="14"/>
        </w:rPr>
      </w:pPr>
      <w:r w:rsidRPr="001131FC">
        <w:rPr>
          <w:rFonts w:cs="Tahoma"/>
          <w:sz w:val="14"/>
          <w:szCs w:val="14"/>
        </w:rPr>
        <w:t>(3)</w:t>
      </w:r>
      <w:r w:rsidRPr="001131FC">
        <w:rPr>
          <w:rFonts w:cs="Tahoma"/>
          <w:sz w:val="14"/>
          <w:szCs w:val="14"/>
        </w:rPr>
        <w:tab/>
        <w:t>(–) işareti artışı göstermektedir.</w:t>
      </w:r>
    </w:p>
    <w:p w:rsidR="00565FD5" w:rsidRPr="001131FC" w:rsidRDefault="00565FD5" w:rsidP="00565FD5">
      <w:pPr>
        <w:spacing w:after="180"/>
        <w:ind w:firstLine="425"/>
        <w:rPr>
          <w:szCs w:val="18"/>
        </w:rPr>
      </w:pPr>
      <w:r w:rsidRPr="001131FC">
        <w:rPr>
          <w:szCs w:val="18"/>
        </w:rPr>
        <w:t xml:space="preserve">Doğrudan yatırımlar hariç sermaye hareketleri 2012 yılı Ocak-Ağustos döneminde yurtdışından sağlanan krediler ile yurtdışı tahvil ihraçları ve DİBS’lere yatırım başta olmak üzere 9,9 milyar ABD dolarının kamu kesimi yoluyla, bankaların yurt dışı uzun ve kısa vadeli kredi kullanımları ve sendikasyon kredileri ile yurt dışı banka ve yerleşiklerin mevduatları başta </w:t>
      </w:r>
      <w:r w:rsidRPr="001131FC">
        <w:rPr>
          <w:szCs w:val="18"/>
        </w:rPr>
        <w:lastRenderedPageBreak/>
        <w:t xml:space="preserve">olmak üzere 30,8 milyar ABD dolarının ise özel kesim yoluyla </w:t>
      </w:r>
      <w:r>
        <w:rPr>
          <w:szCs w:val="18"/>
        </w:rPr>
        <w:t>yurtiçi</w:t>
      </w:r>
      <w:r w:rsidRPr="001131FC">
        <w:rPr>
          <w:szCs w:val="18"/>
        </w:rPr>
        <w:t xml:space="preserve">ne getirildiği görülmektedir. </w:t>
      </w:r>
    </w:p>
    <w:p w:rsidR="00565FD5" w:rsidRPr="001131FC" w:rsidRDefault="00565FD5" w:rsidP="00565FD5">
      <w:pPr>
        <w:pStyle w:val="Balk4"/>
      </w:pPr>
      <w:bookmarkStart w:id="654" w:name="_Toc213065614"/>
      <w:bookmarkStart w:id="655" w:name="_Toc244253627"/>
      <w:bookmarkStart w:id="656" w:name="_Toc244254877"/>
      <w:bookmarkStart w:id="657" w:name="_Toc244313613"/>
      <w:bookmarkStart w:id="658" w:name="_Toc244315090"/>
      <w:bookmarkStart w:id="659" w:name="_Toc244339553"/>
      <w:bookmarkStart w:id="660" w:name="_Toc276076232"/>
      <w:bookmarkStart w:id="661" w:name="_Toc307601939"/>
      <w:bookmarkStart w:id="662" w:name="_Toc307670387"/>
      <w:bookmarkStart w:id="663" w:name="_Toc307701613"/>
      <w:bookmarkStart w:id="664" w:name="_Toc338505520"/>
      <w:bookmarkStart w:id="665" w:name="_Toc338505733"/>
      <w:bookmarkStart w:id="666" w:name="_Toc338505772"/>
      <w:bookmarkStart w:id="667" w:name="_Toc338523737"/>
      <w:bookmarkStart w:id="668" w:name="_Toc338523978"/>
      <w:bookmarkStart w:id="669" w:name="_Toc338526204"/>
      <w:bookmarkStart w:id="670" w:name="_Toc338673647"/>
      <w:bookmarkStart w:id="671" w:name="_Toc338711526"/>
      <w:r w:rsidRPr="001131FC">
        <w:t>3. Dış Borç Stoku</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rsidR="00565FD5" w:rsidRPr="001131FC" w:rsidRDefault="00565FD5" w:rsidP="00565FD5">
      <w:pPr>
        <w:spacing w:after="180"/>
        <w:ind w:firstLine="425"/>
        <w:rPr>
          <w:szCs w:val="18"/>
        </w:rPr>
      </w:pPr>
      <w:r w:rsidRPr="001131FC">
        <w:rPr>
          <w:szCs w:val="18"/>
        </w:rPr>
        <w:t xml:space="preserve">2011 yılında bir önceki yıl sonuna göre yüzde 5 oranında artarak 306,7 milyar ABD doları olan toplam dış borç stoku, 2012 yılının ikinci çeyreği itibarıyla 323,5 milyar ABD dolarına yükselmiştir. Bu gelişmede söz konusu dönemde kısa vadeli dış borçlarda gerçekleşen artış belirleyici olmuştur. </w:t>
      </w:r>
    </w:p>
    <w:p w:rsidR="00565FD5" w:rsidRPr="001131FC" w:rsidRDefault="00565FD5" w:rsidP="00565FD5">
      <w:pPr>
        <w:spacing w:after="180"/>
        <w:ind w:firstLine="425"/>
        <w:rPr>
          <w:color w:val="FF0000"/>
          <w:szCs w:val="18"/>
        </w:rPr>
      </w:pPr>
      <w:r w:rsidRPr="001131FC">
        <w:rPr>
          <w:szCs w:val="18"/>
        </w:rPr>
        <w:t xml:space="preserve">2011 yılında yüzde 39,6 olarak gerçekleşen dış borç stokunun GSYH’ya oranı, 2012 yılının ikinci çeyreği itibarıyla yüzde 42,3’e yükselmiştir. Diğer taraftan, 2011 yılında yüzde 27,3 olarak gerçekleşen kısa vadeli dış borçların toplam dış borç stoku içindeki payı, 2012 yılı ikinci çeyreği sonunda yüzde 30,6’ya yükselmiştir. </w:t>
      </w:r>
    </w:p>
    <w:p w:rsidR="00565FD5" w:rsidRPr="00DB1374" w:rsidRDefault="00565FD5" w:rsidP="00565FD5">
      <w:pPr>
        <w:pStyle w:val="ResimYazs"/>
        <w:rPr>
          <w:color w:val="000000"/>
        </w:rPr>
      </w:pPr>
      <w:bookmarkStart w:id="672" w:name="_Toc307601614"/>
      <w:bookmarkStart w:id="673" w:name="_Toc307657856"/>
      <w:bookmarkStart w:id="674" w:name="_Toc307702112"/>
      <w:bookmarkStart w:id="675" w:name="_Toc338605976"/>
      <w:bookmarkStart w:id="676" w:name="_Toc338711751"/>
      <w:r>
        <w:t xml:space="preserve">TABLO II: </w:t>
      </w:r>
      <w:fldSimple w:instr=" SEQ TABLO_II: \* ARABIC ">
        <w:r>
          <w:rPr>
            <w:noProof/>
          </w:rPr>
          <w:t>24</w:t>
        </w:r>
      </w:fldSimple>
      <w:r w:rsidRPr="00DB1374">
        <w:rPr>
          <w:color w:val="000000"/>
        </w:rPr>
        <w:t>- Dış Borç Stokuna Ait Bazı Göstergeler</w:t>
      </w:r>
      <w:bookmarkEnd w:id="672"/>
      <w:bookmarkEnd w:id="673"/>
      <w:bookmarkEnd w:id="674"/>
      <w:bookmarkEnd w:id="675"/>
      <w:r>
        <w:rPr>
          <w:color w:val="000000"/>
        </w:rPr>
        <w:t xml:space="preserve"> </w:t>
      </w:r>
      <w:r w:rsidRPr="004C29A2">
        <w:rPr>
          <w:b w:val="0"/>
          <w:color w:val="000000"/>
        </w:rPr>
        <w:t>(1)</w:t>
      </w:r>
      <w:bookmarkEnd w:id="676"/>
    </w:p>
    <w:p w:rsidR="00565FD5" w:rsidRPr="001131FC" w:rsidRDefault="00565FD5" w:rsidP="00565FD5">
      <w:pPr>
        <w:ind w:left="720"/>
        <w:contextualSpacing/>
        <w:jc w:val="right"/>
        <w:rPr>
          <w:sz w:val="14"/>
          <w:szCs w:val="16"/>
        </w:rPr>
      </w:pPr>
      <w:r w:rsidRPr="001131FC">
        <w:rPr>
          <w:sz w:val="14"/>
          <w:szCs w:val="16"/>
        </w:rPr>
        <w:t>(Milyar ABD Doları)</w:t>
      </w:r>
    </w:p>
    <w:tbl>
      <w:tblPr>
        <w:tblW w:w="7144" w:type="dxa"/>
        <w:jc w:val="center"/>
        <w:tblBorders>
          <w:top w:val="single" w:sz="8" w:space="0" w:color="auto"/>
          <w:left w:val="single" w:sz="8" w:space="0" w:color="auto"/>
          <w:bottom w:val="single" w:sz="8" w:space="0" w:color="auto"/>
          <w:right w:val="single" w:sz="8" w:space="0" w:color="auto"/>
        </w:tblBorders>
        <w:tblCellMar>
          <w:left w:w="70" w:type="dxa"/>
          <w:right w:w="70" w:type="dxa"/>
        </w:tblCellMar>
        <w:tblLook w:val="00A0"/>
      </w:tblPr>
      <w:tblGrid>
        <w:gridCol w:w="2907"/>
        <w:gridCol w:w="1559"/>
        <w:gridCol w:w="516"/>
        <w:gridCol w:w="516"/>
        <w:gridCol w:w="516"/>
        <w:gridCol w:w="516"/>
        <w:gridCol w:w="614"/>
      </w:tblGrid>
      <w:tr w:rsidR="00565FD5" w:rsidRPr="00B83A90" w:rsidTr="00AB62A3">
        <w:trPr>
          <w:trHeight w:val="227"/>
          <w:jc w:val="center"/>
        </w:trPr>
        <w:tc>
          <w:tcPr>
            <w:tcW w:w="2180" w:type="pct"/>
            <w:tcBorders>
              <w:top w:val="single" w:sz="8" w:space="0" w:color="auto"/>
              <w:bottom w:val="single" w:sz="8" w:space="0" w:color="auto"/>
            </w:tcBorders>
            <w:noWrap/>
            <w:vAlign w:val="center"/>
          </w:tcPr>
          <w:p w:rsidR="00565FD5" w:rsidRPr="00B83A90" w:rsidRDefault="00565FD5" w:rsidP="00AB62A3">
            <w:pPr>
              <w:rPr>
                <w:rFonts w:ascii="Arial" w:hAnsi="Arial" w:cs="Arial"/>
                <w:sz w:val="15"/>
                <w:szCs w:val="15"/>
                <w:lang w:eastAsia="tr-TR"/>
              </w:rPr>
            </w:pPr>
            <w:r w:rsidRPr="00B83A90">
              <w:rPr>
                <w:rFonts w:ascii="Arial" w:hAnsi="Arial" w:cs="Arial"/>
                <w:sz w:val="15"/>
                <w:szCs w:val="15"/>
                <w:lang w:eastAsia="tr-TR"/>
              </w:rPr>
              <w:t> </w:t>
            </w:r>
          </w:p>
        </w:tc>
        <w:tc>
          <w:tcPr>
            <w:tcW w:w="2180" w:type="pct"/>
            <w:tcBorders>
              <w:top w:val="single" w:sz="8" w:space="0" w:color="auto"/>
              <w:bottom w:val="single" w:sz="8" w:space="0" w:color="auto"/>
            </w:tcBorders>
            <w:noWrap/>
            <w:vAlign w:val="center"/>
          </w:tcPr>
          <w:p w:rsidR="00565FD5" w:rsidRPr="00B83A90" w:rsidRDefault="00565FD5" w:rsidP="00AB62A3">
            <w:pPr>
              <w:jc w:val="right"/>
              <w:rPr>
                <w:rFonts w:cs="Tahoma"/>
                <w:b/>
                <w:sz w:val="15"/>
                <w:szCs w:val="15"/>
              </w:rPr>
            </w:pPr>
            <w:r w:rsidRPr="00B83A90">
              <w:rPr>
                <w:rFonts w:cs="Tahoma"/>
                <w:b/>
                <w:sz w:val="15"/>
                <w:szCs w:val="15"/>
              </w:rPr>
              <w:t>2007</w:t>
            </w:r>
          </w:p>
        </w:tc>
        <w:tc>
          <w:tcPr>
            <w:tcW w:w="2180" w:type="pct"/>
            <w:tcBorders>
              <w:top w:val="single" w:sz="8" w:space="0" w:color="auto"/>
              <w:bottom w:val="single" w:sz="8" w:space="0" w:color="auto"/>
            </w:tcBorders>
            <w:noWrap/>
            <w:vAlign w:val="center"/>
          </w:tcPr>
          <w:p w:rsidR="00565FD5" w:rsidRPr="00B83A90" w:rsidRDefault="00565FD5" w:rsidP="00AB62A3">
            <w:pPr>
              <w:jc w:val="right"/>
              <w:rPr>
                <w:rFonts w:cs="Tahoma"/>
                <w:b/>
                <w:sz w:val="15"/>
                <w:szCs w:val="15"/>
              </w:rPr>
            </w:pPr>
            <w:r w:rsidRPr="00B83A90">
              <w:rPr>
                <w:rFonts w:cs="Tahoma"/>
                <w:b/>
                <w:sz w:val="15"/>
                <w:szCs w:val="15"/>
              </w:rPr>
              <w:t>2008</w:t>
            </w:r>
          </w:p>
        </w:tc>
        <w:tc>
          <w:tcPr>
            <w:tcW w:w="2180" w:type="pct"/>
            <w:tcBorders>
              <w:top w:val="single" w:sz="8" w:space="0" w:color="auto"/>
              <w:bottom w:val="single" w:sz="8" w:space="0" w:color="auto"/>
            </w:tcBorders>
            <w:noWrap/>
            <w:vAlign w:val="center"/>
          </w:tcPr>
          <w:p w:rsidR="00565FD5" w:rsidRPr="00B83A90" w:rsidRDefault="00565FD5" w:rsidP="00AB62A3">
            <w:pPr>
              <w:jc w:val="right"/>
              <w:rPr>
                <w:rFonts w:cs="Tahoma"/>
                <w:b/>
                <w:sz w:val="15"/>
                <w:szCs w:val="15"/>
              </w:rPr>
            </w:pPr>
            <w:r w:rsidRPr="00B83A90">
              <w:rPr>
                <w:rFonts w:cs="Tahoma"/>
                <w:b/>
                <w:sz w:val="15"/>
                <w:szCs w:val="15"/>
              </w:rPr>
              <w:t>2009</w:t>
            </w:r>
          </w:p>
        </w:tc>
        <w:tc>
          <w:tcPr>
            <w:tcW w:w="2180" w:type="pct"/>
            <w:tcBorders>
              <w:top w:val="single" w:sz="8" w:space="0" w:color="auto"/>
              <w:bottom w:val="single" w:sz="8" w:space="0" w:color="auto"/>
            </w:tcBorders>
            <w:noWrap/>
            <w:vAlign w:val="center"/>
          </w:tcPr>
          <w:p w:rsidR="00565FD5" w:rsidRPr="00B83A90" w:rsidRDefault="00565FD5" w:rsidP="00AB62A3">
            <w:pPr>
              <w:jc w:val="right"/>
              <w:rPr>
                <w:rFonts w:cs="Tahoma"/>
                <w:b/>
                <w:sz w:val="15"/>
                <w:szCs w:val="15"/>
              </w:rPr>
            </w:pPr>
            <w:r w:rsidRPr="00B83A90">
              <w:rPr>
                <w:rFonts w:cs="Tahoma"/>
                <w:b/>
                <w:sz w:val="15"/>
                <w:szCs w:val="15"/>
              </w:rPr>
              <w:t>2010</w:t>
            </w:r>
          </w:p>
        </w:tc>
        <w:tc>
          <w:tcPr>
            <w:tcW w:w="2180" w:type="pct"/>
            <w:tcBorders>
              <w:top w:val="single" w:sz="8" w:space="0" w:color="auto"/>
              <w:bottom w:val="single" w:sz="8" w:space="0" w:color="auto"/>
            </w:tcBorders>
            <w:noWrap/>
            <w:vAlign w:val="center"/>
          </w:tcPr>
          <w:p w:rsidR="00565FD5" w:rsidRPr="00B83A90" w:rsidRDefault="00565FD5" w:rsidP="00AB62A3">
            <w:pPr>
              <w:jc w:val="right"/>
              <w:rPr>
                <w:rFonts w:cs="Tahoma"/>
                <w:b/>
                <w:sz w:val="15"/>
                <w:szCs w:val="15"/>
              </w:rPr>
            </w:pPr>
            <w:r w:rsidRPr="00B83A90">
              <w:rPr>
                <w:rFonts w:cs="Tahoma"/>
                <w:b/>
                <w:sz w:val="15"/>
                <w:szCs w:val="15"/>
              </w:rPr>
              <w:t>2011</w:t>
            </w:r>
          </w:p>
        </w:tc>
        <w:tc>
          <w:tcPr>
            <w:tcW w:w="2180" w:type="pct"/>
            <w:tcBorders>
              <w:top w:val="single" w:sz="8" w:space="0" w:color="auto"/>
              <w:bottom w:val="single" w:sz="8" w:space="0" w:color="auto"/>
            </w:tcBorders>
            <w:noWrap/>
            <w:vAlign w:val="center"/>
          </w:tcPr>
          <w:p w:rsidR="00565FD5" w:rsidRPr="00B83A90" w:rsidRDefault="00565FD5" w:rsidP="00AB62A3">
            <w:pPr>
              <w:jc w:val="right"/>
              <w:rPr>
                <w:rFonts w:cs="Tahoma"/>
                <w:b/>
                <w:sz w:val="15"/>
                <w:szCs w:val="15"/>
              </w:rPr>
            </w:pPr>
            <w:r w:rsidRPr="00B83A90">
              <w:rPr>
                <w:rFonts w:cs="Tahoma"/>
                <w:b/>
                <w:sz w:val="15"/>
                <w:szCs w:val="15"/>
              </w:rPr>
              <w:t>2012</w:t>
            </w:r>
            <w:r w:rsidRPr="00B83A90">
              <w:rPr>
                <w:b/>
                <w:sz w:val="15"/>
                <w:szCs w:val="15"/>
              </w:rPr>
              <w:t>(</w:t>
            </w:r>
            <w:r>
              <w:rPr>
                <w:b/>
                <w:sz w:val="15"/>
                <w:szCs w:val="15"/>
              </w:rPr>
              <w:t>2</w:t>
            </w:r>
            <w:r w:rsidRPr="00B83A90">
              <w:rPr>
                <w:b/>
                <w:sz w:val="15"/>
                <w:szCs w:val="15"/>
              </w:rPr>
              <w:t>)</w:t>
            </w:r>
          </w:p>
        </w:tc>
      </w:tr>
      <w:tr w:rsidR="00565FD5" w:rsidRPr="00B83A90" w:rsidTr="00AB62A3">
        <w:trPr>
          <w:trHeight w:val="227"/>
          <w:jc w:val="center"/>
        </w:trPr>
        <w:tc>
          <w:tcPr>
            <w:tcW w:w="2180" w:type="pct"/>
            <w:tcBorders>
              <w:top w:val="single" w:sz="8" w:space="0" w:color="auto"/>
            </w:tcBorders>
            <w:noWrap/>
            <w:vAlign w:val="center"/>
          </w:tcPr>
          <w:p w:rsidR="00565FD5" w:rsidRPr="00B83A90" w:rsidRDefault="00565FD5" w:rsidP="00AB62A3">
            <w:pPr>
              <w:rPr>
                <w:rFonts w:cs="Tahoma"/>
                <w:b/>
                <w:bCs/>
                <w:sz w:val="15"/>
                <w:szCs w:val="15"/>
              </w:rPr>
            </w:pPr>
            <w:r w:rsidRPr="00B83A90">
              <w:rPr>
                <w:rFonts w:cs="Tahoma"/>
                <w:b/>
                <w:bCs/>
                <w:sz w:val="15"/>
                <w:szCs w:val="15"/>
              </w:rPr>
              <w:t>Toplam Dış Borç Stoku</w:t>
            </w:r>
          </w:p>
        </w:tc>
        <w:tc>
          <w:tcPr>
            <w:tcW w:w="2180" w:type="pct"/>
            <w:tcBorders>
              <w:top w:val="single" w:sz="8" w:space="0" w:color="auto"/>
            </w:tcBorders>
            <w:noWrap/>
            <w:vAlign w:val="center"/>
          </w:tcPr>
          <w:p w:rsidR="00565FD5" w:rsidRPr="00B83A90" w:rsidRDefault="00565FD5" w:rsidP="00AB62A3">
            <w:pPr>
              <w:jc w:val="right"/>
              <w:rPr>
                <w:rFonts w:cs="Tahoma"/>
                <w:sz w:val="15"/>
                <w:szCs w:val="15"/>
              </w:rPr>
            </w:pPr>
            <w:r w:rsidRPr="00B83A90">
              <w:rPr>
                <w:rFonts w:cs="Tahoma"/>
                <w:sz w:val="15"/>
                <w:szCs w:val="15"/>
              </w:rPr>
              <w:t>250,4</w:t>
            </w:r>
          </w:p>
        </w:tc>
        <w:tc>
          <w:tcPr>
            <w:tcW w:w="2180" w:type="pct"/>
            <w:tcBorders>
              <w:top w:val="single" w:sz="8" w:space="0" w:color="auto"/>
            </w:tcBorders>
            <w:noWrap/>
            <w:vAlign w:val="center"/>
          </w:tcPr>
          <w:p w:rsidR="00565FD5" w:rsidRPr="00B83A90" w:rsidRDefault="00565FD5" w:rsidP="00AB62A3">
            <w:pPr>
              <w:jc w:val="right"/>
              <w:rPr>
                <w:rFonts w:cs="Tahoma"/>
                <w:sz w:val="15"/>
                <w:szCs w:val="15"/>
              </w:rPr>
            </w:pPr>
            <w:r w:rsidRPr="00B83A90">
              <w:rPr>
                <w:rFonts w:cs="Tahoma"/>
                <w:sz w:val="15"/>
                <w:szCs w:val="15"/>
              </w:rPr>
              <w:t>281,4</w:t>
            </w:r>
          </w:p>
        </w:tc>
        <w:tc>
          <w:tcPr>
            <w:tcW w:w="2180" w:type="pct"/>
            <w:tcBorders>
              <w:top w:val="single" w:sz="8" w:space="0" w:color="auto"/>
            </w:tcBorders>
            <w:noWrap/>
            <w:vAlign w:val="center"/>
          </w:tcPr>
          <w:p w:rsidR="00565FD5" w:rsidRPr="00B83A90" w:rsidRDefault="00565FD5" w:rsidP="00AB62A3">
            <w:pPr>
              <w:jc w:val="right"/>
              <w:rPr>
                <w:rFonts w:cs="Tahoma"/>
                <w:sz w:val="15"/>
                <w:szCs w:val="15"/>
              </w:rPr>
            </w:pPr>
            <w:r w:rsidRPr="00B83A90">
              <w:rPr>
                <w:rFonts w:cs="Tahoma"/>
                <w:sz w:val="15"/>
                <w:szCs w:val="15"/>
              </w:rPr>
              <w:t>269,5</w:t>
            </w:r>
          </w:p>
        </w:tc>
        <w:tc>
          <w:tcPr>
            <w:tcW w:w="2180" w:type="pct"/>
            <w:tcBorders>
              <w:top w:val="single" w:sz="8" w:space="0" w:color="auto"/>
            </w:tcBorders>
            <w:noWrap/>
            <w:vAlign w:val="center"/>
          </w:tcPr>
          <w:p w:rsidR="00565FD5" w:rsidRPr="00B83A90" w:rsidRDefault="00565FD5" w:rsidP="00AB62A3">
            <w:pPr>
              <w:jc w:val="right"/>
              <w:rPr>
                <w:rFonts w:cs="Tahoma"/>
                <w:sz w:val="15"/>
                <w:szCs w:val="15"/>
              </w:rPr>
            </w:pPr>
            <w:r w:rsidRPr="00B83A90">
              <w:rPr>
                <w:rFonts w:cs="Tahoma"/>
                <w:sz w:val="15"/>
                <w:szCs w:val="15"/>
              </w:rPr>
              <w:t>292,2</w:t>
            </w:r>
          </w:p>
        </w:tc>
        <w:tc>
          <w:tcPr>
            <w:tcW w:w="2180" w:type="pct"/>
            <w:tcBorders>
              <w:top w:val="single" w:sz="8" w:space="0" w:color="auto"/>
            </w:tcBorders>
            <w:noWrap/>
            <w:vAlign w:val="center"/>
          </w:tcPr>
          <w:p w:rsidR="00565FD5" w:rsidRPr="00B83A90" w:rsidRDefault="00565FD5" w:rsidP="00AB62A3">
            <w:pPr>
              <w:jc w:val="right"/>
              <w:rPr>
                <w:rFonts w:cs="Tahoma"/>
                <w:sz w:val="15"/>
                <w:szCs w:val="15"/>
              </w:rPr>
            </w:pPr>
            <w:r w:rsidRPr="00B83A90">
              <w:rPr>
                <w:rFonts w:cs="Tahoma"/>
                <w:sz w:val="15"/>
                <w:szCs w:val="15"/>
              </w:rPr>
              <w:t>306,7</w:t>
            </w:r>
          </w:p>
        </w:tc>
        <w:tc>
          <w:tcPr>
            <w:tcW w:w="2180" w:type="pct"/>
            <w:tcBorders>
              <w:top w:val="single" w:sz="8" w:space="0" w:color="auto"/>
            </w:tcBorders>
            <w:noWrap/>
            <w:vAlign w:val="center"/>
          </w:tcPr>
          <w:p w:rsidR="00565FD5" w:rsidRPr="00B83A90" w:rsidRDefault="00565FD5" w:rsidP="00AB62A3">
            <w:pPr>
              <w:jc w:val="right"/>
              <w:rPr>
                <w:rFonts w:cs="Tahoma"/>
                <w:sz w:val="15"/>
                <w:szCs w:val="15"/>
              </w:rPr>
            </w:pPr>
            <w:r w:rsidRPr="00B83A90">
              <w:rPr>
                <w:rFonts w:cs="Tahoma"/>
                <w:sz w:val="15"/>
                <w:szCs w:val="15"/>
              </w:rPr>
              <w:t>323,5</w:t>
            </w:r>
          </w:p>
        </w:tc>
      </w:tr>
      <w:tr w:rsidR="00565FD5" w:rsidRPr="00B83A90" w:rsidTr="00AB62A3">
        <w:trPr>
          <w:trHeight w:val="227"/>
          <w:jc w:val="center"/>
        </w:trPr>
        <w:tc>
          <w:tcPr>
            <w:tcW w:w="2180" w:type="pct"/>
            <w:noWrap/>
            <w:vAlign w:val="center"/>
          </w:tcPr>
          <w:p w:rsidR="00565FD5" w:rsidRPr="00B83A90" w:rsidRDefault="00565FD5" w:rsidP="00AB62A3">
            <w:pPr>
              <w:rPr>
                <w:rFonts w:cs="Tahoma"/>
                <w:b/>
                <w:bCs/>
                <w:sz w:val="15"/>
                <w:szCs w:val="15"/>
              </w:rPr>
            </w:pPr>
            <w:r w:rsidRPr="00B83A90">
              <w:rPr>
                <w:rFonts w:cs="Tahoma"/>
                <w:b/>
                <w:bCs/>
                <w:sz w:val="15"/>
                <w:szCs w:val="15"/>
              </w:rPr>
              <w:t>Vadesine Göre</w:t>
            </w:r>
          </w:p>
        </w:tc>
        <w:tc>
          <w:tcPr>
            <w:tcW w:w="2180" w:type="pct"/>
            <w:noWrap/>
            <w:vAlign w:val="center"/>
          </w:tcPr>
          <w:p w:rsidR="00565FD5" w:rsidRPr="00B83A90" w:rsidRDefault="00565FD5" w:rsidP="00AB62A3">
            <w:pPr>
              <w:jc w:val="right"/>
              <w:rPr>
                <w:rFonts w:cs="Tahoma"/>
                <w:sz w:val="15"/>
                <w:szCs w:val="15"/>
              </w:rPr>
            </w:pPr>
          </w:p>
        </w:tc>
        <w:tc>
          <w:tcPr>
            <w:tcW w:w="2180" w:type="pct"/>
            <w:noWrap/>
            <w:vAlign w:val="center"/>
          </w:tcPr>
          <w:p w:rsidR="00565FD5" w:rsidRPr="00B83A90" w:rsidRDefault="00565FD5" w:rsidP="00AB62A3">
            <w:pPr>
              <w:jc w:val="right"/>
              <w:rPr>
                <w:rFonts w:cs="Tahoma"/>
                <w:sz w:val="15"/>
                <w:szCs w:val="15"/>
              </w:rPr>
            </w:pPr>
          </w:p>
        </w:tc>
        <w:tc>
          <w:tcPr>
            <w:tcW w:w="2180" w:type="pct"/>
            <w:noWrap/>
            <w:vAlign w:val="center"/>
          </w:tcPr>
          <w:p w:rsidR="00565FD5" w:rsidRPr="00B83A90" w:rsidRDefault="00565FD5" w:rsidP="00AB62A3">
            <w:pPr>
              <w:jc w:val="right"/>
              <w:rPr>
                <w:rFonts w:cs="Tahoma"/>
                <w:sz w:val="15"/>
                <w:szCs w:val="15"/>
              </w:rPr>
            </w:pPr>
          </w:p>
        </w:tc>
        <w:tc>
          <w:tcPr>
            <w:tcW w:w="2180" w:type="pct"/>
            <w:noWrap/>
            <w:vAlign w:val="center"/>
          </w:tcPr>
          <w:p w:rsidR="00565FD5" w:rsidRPr="00B83A90" w:rsidRDefault="00565FD5" w:rsidP="00AB62A3">
            <w:pPr>
              <w:jc w:val="right"/>
              <w:rPr>
                <w:rFonts w:cs="Tahoma"/>
                <w:sz w:val="15"/>
                <w:szCs w:val="15"/>
              </w:rPr>
            </w:pPr>
          </w:p>
        </w:tc>
        <w:tc>
          <w:tcPr>
            <w:tcW w:w="2180" w:type="pct"/>
            <w:noWrap/>
            <w:vAlign w:val="center"/>
          </w:tcPr>
          <w:p w:rsidR="00565FD5" w:rsidRPr="00B83A90" w:rsidRDefault="00565FD5" w:rsidP="00AB62A3">
            <w:pPr>
              <w:jc w:val="right"/>
              <w:rPr>
                <w:rFonts w:cs="Tahoma"/>
                <w:sz w:val="15"/>
                <w:szCs w:val="15"/>
              </w:rPr>
            </w:pPr>
          </w:p>
        </w:tc>
        <w:tc>
          <w:tcPr>
            <w:tcW w:w="2180" w:type="pct"/>
            <w:noWrap/>
            <w:vAlign w:val="center"/>
          </w:tcPr>
          <w:p w:rsidR="00565FD5" w:rsidRPr="00B83A90" w:rsidRDefault="00565FD5" w:rsidP="00AB62A3">
            <w:pPr>
              <w:jc w:val="right"/>
              <w:rPr>
                <w:rFonts w:cs="Tahoma"/>
                <w:sz w:val="15"/>
                <w:szCs w:val="15"/>
              </w:rPr>
            </w:pPr>
          </w:p>
        </w:tc>
      </w:tr>
      <w:tr w:rsidR="00565FD5" w:rsidRPr="00B83A90" w:rsidTr="00AB62A3">
        <w:trPr>
          <w:trHeight w:val="227"/>
          <w:jc w:val="center"/>
        </w:trPr>
        <w:tc>
          <w:tcPr>
            <w:tcW w:w="2180" w:type="pct"/>
            <w:noWrap/>
            <w:vAlign w:val="center"/>
          </w:tcPr>
          <w:p w:rsidR="00565FD5" w:rsidRPr="00B83A90" w:rsidRDefault="00565FD5" w:rsidP="00AB62A3">
            <w:pPr>
              <w:rPr>
                <w:rFonts w:cs="Tahoma"/>
                <w:bCs/>
                <w:sz w:val="15"/>
                <w:szCs w:val="15"/>
              </w:rPr>
            </w:pPr>
            <w:r w:rsidRPr="00B83A90">
              <w:rPr>
                <w:rFonts w:cs="Tahoma"/>
                <w:b/>
                <w:bCs/>
                <w:sz w:val="15"/>
                <w:szCs w:val="15"/>
              </w:rPr>
              <w:t xml:space="preserve">  </w:t>
            </w:r>
            <w:r w:rsidRPr="00B83A90">
              <w:rPr>
                <w:rFonts w:cs="Tahoma"/>
                <w:bCs/>
                <w:sz w:val="15"/>
                <w:szCs w:val="15"/>
              </w:rPr>
              <w:t>Kısa Vadeli Dış Borçlar</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43,2</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52,5</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49,0</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77,5</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83,8</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99,0</w:t>
            </w:r>
          </w:p>
        </w:tc>
      </w:tr>
      <w:tr w:rsidR="00565FD5" w:rsidRPr="00B83A90" w:rsidTr="00AB62A3">
        <w:trPr>
          <w:trHeight w:val="227"/>
          <w:jc w:val="center"/>
        </w:trPr>
        <w:tc>
          <w:tcPr>
            <w:tcW w:w="2180" w:type="pct"/>
            <w:noWrap/>
            <w:vAlign w:val="center"/>
          </w:tcPr>
          <w:p w:rsidR="00565FD5" w:rsidRPr="00B83A90" w:rsidRDefault="00565FD5" w:rsidP="00AB62A3">
            <w:pPr>
              <w:rPr>
                <w:rFonts w:cs="Tahoma"/>
                <w:bCs/>
                <w:sz w:val="15"/>
                <w:szCs w:val="15"/>
              </w:rPr>
            </w:pPr>
            <w:r w:rsidRPr="00B83A90">
              <w:rPr>
                <w:rFonts w:cs="Tahoma"/>
                <w:bCs/>
                <w:sz w:val="15"/>
                <w:szCs w:val="15"/>
              </w:rPr>
              <w:t xml:space="preserve">     Kamu</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2,2</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3,2</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3,6</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4,3</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7,0</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12,8</w:t>
            </w:r>
          </w:p>
        </w:tc>
      </w:tr>
      <w:tr w:rsidR="00565FD5" w:rsidRPr="00B83A90" w:rsidTr="00AB62A3">
        <w:trPr>
          <w:trHeight w:val="227"/>
          <w:jc w:val="center"/>
        </w:trPr>
        <w:tc>
          <w:tcPr>
            <w:tcW w:w="2180" w:type="pct"/>
            <w:noWrap/>
            <w:vAlign w:val="center"/>
          </w:tcPr>
          <w:p w:rsidR="00565FD5" w:rsidRPr="00B83A90" w:rsidRDefault="00565FD5" w:rsidP="00AB62A3">
            <w:pPr>
              <w:rPr>
                <w:rFonts w:cs="Tahoma"/>
                <w:bCs/>
                <w:sz w:val="15"/>
                <w:szCs w:val="15"/>
              </w:rPr>
            </w:pPr>
            <w:r w:rsidRPr="00B83A90">
              <w:rPr>
                <w:rFonts w:cs="Tahoma"/>
                <w:bCs/>
                <w:sz w:val="15"/>
                <w:szCs w:val="15"/>
              </w:rPr>
              <w:t xml:space="preserve">     TCMB</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2,3</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1,9</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1,8</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1,6</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1,3</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1,2</w:t>
            </w:r>
          </w:p>
        </w:tc>
      </w:tr>
      <w:tr w:rsidR="00565FD5" w:rsidRPr="00B83A90" w:rsidTr="00AB62A3">
        <w:trPr>
          <w:trHeight w:val="227"/>
          <w:jc w:val="center"/>
        </w:trPr>
        <w:tc>
          <w:tcPr>
            <w:tcW w:w="2180" w:type="pct"/>
            <w:noWrap/>
            <w:vAlign w:val="center"/>
          </w:tcPr>
          <w:p w:rsidR="00565FD5" w:rsidRPr="00B83A90" w:rsidRDefault="00565FD5" w:rsidP="00AB62A3">
            <w:pPr>
              <w:rPr>
                <w:rFonts w:cs="Tahoma"/>
                <w:bCs/>
                <w:sz w:val="15"/>
                <w:szCs w:val="15"/>
              </w:rPr>
            </w:pPr>
            <w:r w:rsidRPr="00B83A90">
              <w:rPr>
                <w:rFonts w:cs="Tahoma"/>
                <w:bCs/>
                <w:sz w:val="15"/>
                <w:szCs w:val="15"/>
              </w:rPr>
              <w:t xml:space="preserve">     Özel</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38,7</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47,4</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43,7</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71,6</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75,6</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85,1</w:t>
            </w:r>
          </w:p>
        </w:tc>
      </w:tr>
      <w:tr w:rsidR="00565FD5" w:rsidRPr="00B83A90" w:rsidTr="00AB62A3">
        <w:trPr>
          <w:trHeight w:val="227"/>
          <w:jc w:val="center"/>
        </w:trPr>
        <w:tc>
          <w:tcPr>
            <w:tcW w:w="2180" w:type="pct"/>
            <w:noWrap/>
            <w:vAlign w:val="center"/>
          </w:tcPr>
          <w:p w:rsidR="00565FD5" w:rsidRPr="00B83A90" w:rsidRDefault="00565FD5" w:rsidP="00AB62A3">
            <w:pPr>
              <w:rPr>
                <w:rFonts w:cs="Tahoma"/>
                <w:bCs/>
                <w:sz w:val="15"/>
                <w:szCs w:val="15"/>
              </w:rPr>
            </w:pPr>
            <w:r w:rsidRPr="00B83A90">
              <w:rPr>
                <w:rFonts w:cs="Tahoma"/>
                <w:bCs/>
                <w:sz w:val="15"/>
                <w:szCs w:val="15"/>
              </w:rPr>
              <w:t xml:space="preserve">         Finansal Kuruluşlar </w:t>
            </w:r>
          </w:p>
        </w:tc>
        <w:tc>
          <w:tcPr>
            <w:tcW w:w="2180" w:type="pct"/>
            <w:noWrap/>
            <w:vAlign w:val="center"/>
          </w:tcPr>
          <w:p w:rsidR="00565FD5" w:rsidRPr="00B83A90" w:rsidRDefault="00565FD5" w:rsidP="00AB62A3">
            <w:pPr>
              <w:jc w:val="right"/>
              <w:rPr>
                <w:rFonts w:cs="Tahoma"/>
                <w:color w:val="000000"/>
                <w:sz w:val="15"/>
                <w:szCs w:val="15"/>
              </w:rPr>
            </w:pPr>
            <w:r w:rsidRPr="00B83A90">
              <w:rPr>
                <w:rFonts w:cs="Tahoma"/>
                <w:color w:val="000000"/>
                <w:sz w:val="15"/>
                <w:szCs w:val="15"/>
              </w:rPr>
              <w:t>16,</w:t>
            </w:r>
            <w:r>
              <w:rPr>
                <w:rFonts w:cs="Tahoma"/>
                <w:color w:val="000000"/>
                <w:sz w:val="15"/>
                <w:szCs w:val="15"/>
              </w:rPr>
              <w:t>7</w:t>
            </w:r>
          </w:p>
        </w:tc>
        <w:tc>
          <w:tcPr>
            <w:tcW w:w="2180" w:type="pct"/>
            <w:noWrap/>
            <w:vAlign w:val="center"/>
          </w:tcPr>
          <w:p w:rsidR="00565FD5" w:rsidRPr="00B83A90" w:rsidRDefault="00565FD5" w:rsidP="00AB62A3">
            <w:pPr>
              <w:jc w:val="right"/>
              <w:rPr>
                <w:rFonts w:ascii="Arial" w:hAnsi="Arial" w:cs="Arial"/>
                <w:color w:val="000000"/>
                <w:sz w:val="15"/>
                <w:szCs w:val="15"/>
              </w:rPr>
            </w:pPr>
            <w:r w:rsidRPr="00B83A90">
              <w:rPr>
                <w:rFonts w:ascii="Arial" w:hAnsi="Arial" w:cs="Arial"/>
                <w:color w:val="000000"/>
                <w:sz w:val="15"/>
                <w:szCs w:val="15"/>
              </w:rPr>
              <w:t>24,1</w:t>
            </w:r>
          </w:p>
        </w:tc>
        <w:tc>
          <w:tcPr>
            <w:tcW w:w="2180" w:type="pct"/>
            <w:noWrap/>
            <w:vAlign w:val="center"/>
          </w:tcPr>
          <w:p w:rsidR="00565FD5" w:rsidRPr="00B83A90" w:rsidRDefault="00565FD5" w:rsidP="00AB62A3">
            <w:pPr>
              <w:jc w:val="right"/>
              <w:rPr>
                <w:rFonts w:cs="Tahoma"/>
                <w:color w:val="000000"/>
                <w:sz w:val="15"/>
                <w:szCs w:val="15"/>
              </w:rPr>
            </w:pPr>
            <w:r w:rsidRPr="00B83A90">
              <w:rPr>
                <w:rFonts w:cs="Tahoma"/>
                <w:color w:val="000000"/>
                <w:sz w:val="15"/>
                <w:szCs w:val="15"/>
              </w:rPr>
              <w:t>21,9</w:t>
            </w:r>
          </w:p>
        </w:tc>
        <w:tc>
          <w:tcPr>
            <w:tcW w:w="2180" w:type="pct"/>
            <w:noWrap/>
            <w:vAlign w:val="center"/>
          </w:tcPr>
          <w:p w:rsidR="00565FD5" w:rsidRPr="00B83A90" w:rsidRDefault="00565FD5" w:rsidP="00AB62A3">
            <w:pPr>
              <w:jc w:val="right"/>
              <w:rPr>
                <w:rFonts w:cs="Tahoma"/>
                <w:color w:val="000000"/>
                <w:sz w:val="15"/>
                <w:szCs w:val="15"/>
              </w:rPr>
            </w:pPr>
            <w:r w:rsidRPr="00B83A90">
              <w:rPr>
                <w:rFonts w:cs="Tahoma"/>
                <w:color w:val="000000"/>
                <w:sz w:val="15"/>
                <w:szCs w:val="15"/>
              </w:rPr>
              <w:t>47,7</w:t>
            </w:r>
          </w:p>
        </w:tc>
        <w:tc>
          <w:tcPr>
            <w:tcW w:w="2180" w:type="pct"/>
            <w:noWrap/>
            <w:vAlign w:val="center"/>
          </w:tcPr>
          <w:p w:rsidR="00565FD5" w:rsidRPr="00B83A90" w:rsidRDefault="00565FD5" w:rsidP="00AB62A3">
            <w:pPr>
              <w:jc w:val="right"/>
              <w:rPr>
                <w:rFonts w:cs="Tahoma"/>
                <w:color w:val="000000"/>
                <w:sz w:val="15"/>
                <w:szCs w:val="15"/>
              </w:rPr>
            </w:pPr>
            <w:r w:rsidRPr="00B83A90">
              <w:rPr>
                <w:rFonts w:cs="Tahoma"/>
                <w:color w:val="000000"/>
                <w:sz w:val="15"/>
                <w:szCs w:val="15"/>
              </w:rPr>
              <w:t>48,1</w:t>
            </w:r>
          </w:p>
        </w:tc>
        <w:tc>
          <w:tcPr>
            <w:tcW w:w="2180" w:type="pct"/>
            <w:noWrap/>
            <w:vAlign w:val="center"/>
          </w:tcPr>
          <w:p w:rsidR="00565FD5" w:rsidRPr="00B83A90" w:rsidRDefault="00565FD5" w:rsidP="00AB62A3">
            <w:pPr>
              <w:jc w:val="right"/>
              <w:rPr>
                <w:rFonts w:cs="Tahoma"/>
                <w:color w:val="000000"/>
                <w:sz w:val="15"/>
                <w:szCs w:val="15"/>
              </w:rPr>
            </w:pPr>
            <w:r w:rsidRPr="00B83A90">
              <w:rPr>
                <w:rFonts w:cs="Tahoma"/>
                <w:color w:val="000000"/>
                <w:sz w:val="15"/>
                <w:szCs w:val="15"/>
              </w:rPr>
              <w:t>53,8</w:t>
            </w:r>
          </w:p>
        </w:tc>
      </w:tr>
      <w:tr w:rsidR="00565FD5" w:rsidRPr="00B83A90" w:rsidTr="00AB62A3">
        <w:trPr>
          <w:trHeight w:val="227"/>
          <w:jc w:val="center"/>
        </w:trPr>
        <w:tc>
          <w:tcPr>
            <w:tcW w:w="2180" w:type="pct"/>
            <w:noWrap/>
            <w:vAlign w:val="center"/>
          </w:tcPr>
          <w:p w:rsidR="00565FD5" w:rsidRPr="00B83A90" w:rsidRDefault="00565FD5" w:rsidP="00AB62A3">
            <w:pPr>
              <w:rPr>
                <w:rFonts w:cs="Tahoma"/>
                <w:bCs/>
                <w:sz w:val="15"/>
                <w:szCs w:val="15"/>
              </w:rPr>
            </w:pPr>
            <w:r w:rsidRPr="00B83A90">
              <w:rPr>
                <w:rFonts w:cs="Tahoma"/>
                <w:bCs/>
                <w:sz w:val="15"/>
                <w:szCs w:val="15"/>
              </w:rPr>
              <w:t xml:space="preserve">         Finansal Olmayan Kuruluşlar</w:t>
            </w:r>
          </w:p>
        </w:tc>
        <w:tc>
          <w:tcPr>
            <w:tcW w:w="2180" w:type="pct"/>
            <w:noWrap/>
            <w:vAlign w:val="center"/>
          </w:tcPr>
          <w:p w:rsidR="00565FD5" w:rsidRPr="00B83A90" w:rsidRDefault="00565FD5" w:rsidP="00AB62A3">
            <w:pPr>
              <w:jc w:val="right"/>
              <w:rPr>
                <w:rFonts w:cs="Tahoma"/>
                <w:color w:val="000000"/>
                <w:sz w:val="15"/>
                <w:szCs w:val="15"/>
              </w:rPr>
            </w:pPr>
            <w:r w:rsidRPr="00B83A90">
              <w:rPr>
                <w:rFonts w:cs="Tahoma"/>
                <w:color w:val="000000"/>
                <w:sz w:val="15"/>
                <w:szCs w:val="15"/>
              </w:rPr>
              <w:t>22,1</w:t>
            </w:r>
          </w:p>
        </w:tc>
        <w:tc>
          <w:tcPr>
            <w:tcW w:w="2180" w:type="pct"/>
            <w:noWrap/>
            <w:vAlign w:val="center"/>
          </w:tcPr>
          <w:p w:rsidR="00565FD5" w:rsidRPr="00B83A90" w:rsidRDefault="00565FD5" w:rsidP="00AB62A3">
            <w:pPr>
              <w:jc w:val="right"/>
              <w:rPr>
                <w:rFonts w:ascii="Arial" w:hAnsi="Arial" w:cs="Arial"/>
                <w:color w:val="000000"/>
                <w:sz w:val="15"/>
                <w:szCs w:val="15"/>
              </w:rPr>
            </w:pPr>
            <w:r w:rsidRPr="00B83A90">
              <w:rPr>
                <w:rFonts w:ascii="Arial" w:hAnsi="Arial" w:cs="Arial"/>
                <w:color w:val="000000"/>
                <w:sz w:val="15"/>
                <w:szCs w:val="15"/>
              </w:rPr>
              <w:t>23,3</w:t>
            </w:r>
          </w:p>
        </w:tc>
        <w:tc>
          <w:tcPr>
            <w:tcW w:w="2180" w:type="pct"/>
            <w:noWrap/>
            <w:vAlign w:val="center"/>
          </w:tcPr>
          <w:p w:rsidR="00565FD5" w:rsidRPr="00B83A90" w:rsidRDefault="00565FD5" w:rsidP="00AB62A3">
            <w:pPr>
              <w:jc w:val="right"/>
              <w:rPr>
                <w:rFonts w:cs="Tahoma"/>
                <w:color w:val="000000"/>
                <w:sz w:val="15"/>
                <w:szCs w:val="15"/>
              </w:rPr>
            </w:pPr>
            <w:r w:rsidRPr="00B83A90">
              <w:rPr>
                <w:rFonts w:cs="Tahoma"/>
                <w:color w:val="000000"/>
                <w:sz w:val="15"/>
                <w:szCs w:val="15"/>
              </w:rPr>
              <w:t>21,8</w:t>
            </w:r>
          </w:p>
        </w:tc>
        <w:tc>
          <w:tcPr>
            <w:tcW w:w="2180" w:type="pct"/>
            <w:noWrap/>
            <w:vAlign w:val="center"/>
          </w:tcPr>
          <w:p w:rsidR="00565FD5" w:rsidRPr="00B83A90" w:rsidRDefault="00565FD5" w:rsidP="00AB62A3">
            <w:pPr>
              <w:jc w:val="right"/>
              <w:rPr>
                <w:rFonts w:cs="Tahoma"/>
                <w:color w:val="000000"/>
                <w:sz w:val="15"/>
                <w:szCs w:val="15"/>
              </w:rPr>
            </w:pPr>
            <w:r w:rsidRPr="00B83A90">
              <w:rPr>
                <w:rFonts w:cs="Tahoma"/>
                <w:color w:val="000000"/>
                <w:sz w:val="15"/>
                <w:szCs w:val="15"/>
              </w:rPr>
              <w:t>23,9</w:t>
            </w:r>
          </w:p>
        </w:tc>
        <w:tc>
          <w:tcPr>
            <w:tcW w:w="2180" w:type="pct"/>
            <w:noWrap/>
            <w:vAlign w:val="center"/>
          </w:tcPr>
          <w:p w:rsidR="00565FD5" w:rsidRPr="00B83A90" w:rsidRDefault="00565FD5" w:rsidP="00AB62A3">
            <w:pPr>
              <w:jc w:val="right"/>
              <w:rPr>
                <w:rFonts w:cs="Tahoma"/>
                <w:color w:val="000000"/>
                <w:sz w:val="15"/>
                <w:szCs w:val="15"/>
              </w:rPr>
            </w:pPr>
            <w:r w:rsidRPr="00B83A90">
              <w:rPr>
                <w:rFonts w:cs="Tahoma"/>
                <w:color w:val="000000"/>
                <w:sz w:val="15"/>
                <w:szCs w:val="15"/>
              </w:rPr>
              <w:t>27,5</w:t>
            </w:r>
          </w:p>
        </w:tc>
        <w:tc>
          <w:tcPr>
            <w:tcW w:w="2180" w:type="pct"/>
            <w:noWrap/>
            <w:vAlign w:val="center"/>
          </w:tcPr>
          <w:p w:rsidR="00565FD5" w:rsidRPr="00B83A90" w:rsidRDefault="00565FD5" w:rsidP="00AB62A3">
            <w:pPr>
              <w:jc w:val="right"/>
              <w:rPr>
                <w:rFonts w:cs="Tahoma"/>
                <w:color w:val="000000"/>
                <w:sz w:val="15"/>
                <w:szCs w:val="15"/>
              </w:rPr>
            </w:pPr>
            <w:r w:rsidRPr="00B83A90">
              <w:rPr>
                <w:rFonts w:cs="Tahoma"/>
                <w:color w:val="000000"/>
                <w:sz w:val="15"/>
                <w:szCs w:val="15"/>
              </w:rPr>
              <w:t>31,3</w:t>
            </w:r>
          </w:p>
        </w:tc>
      </w:tr>
      <w:tr w:rsidR="00565FD5" w:rsidRPr="00B83A90" w:rsidTr="00AB62A3">
        <w:trPr>
          <w:trHeight w:val="227"/>
          <w:jc w:val="center"/>
        </w:trPr>
        <w:tc>
          <w:tcPr>
            <w:tcW w:w="2180" w:type="pct"/>
            <w:noWrap/>
            <w:vAlign w:val="center"/>
          </w:tcPr>
          <w:p w:rsidR="00565FD5" w:rsidRPr="00B83A90" w:rsidRDefault="00565FD5" w:rsidP="00AB62A3">
            <w:pPr>
              <w:rPr>
                <w:rFonts w:cs="Tahoma"/>
                <w:bCs/>
                <w:sz w:val="15"/>
                <w:szCs w:val="15"/>
              </w:rPr>
            </w:pPr>
            <w:r w:rsidRPr="00B83A90">
              <w:rPr>
                <w:rFonts w:cs="Tahoma"/>
                <w:bCs/>
                <w:sz w:val="15"/>
                <w:szCs w:val="15"/>
              </w:rPr>
              <w:t xml:space="preserve">  Uzun Vadeli Dış Borçlar</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207,3</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228,9</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220,5</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214,8</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222,9</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224,5</w:t>
            </w:r>
          </w:p>
        </w:tc>
      </w:tr>
      <w:tr w:rsidR="00565FD5" w:rsidRPr="00B83A90" w:rsidTr="00AB62A3">
        <w:trPr>
          <w:trHeight w:val="227"/>
          <w:jc w:val="center"/>
        </w:trPr>
        <w:tc>
          <w:tcPr>
            <w:tcW w:w="2180" w:type="pct"/>
            <w:noWrap/>
            <w:vAlign w:val="center"/>
          </w:tcPr>
          <w:p w:rsidR="00565FD5" w:rsidRPr="00B83A90" w:rsidRDefault="00565FD5" w:rsidP="00AB62A3">
            <w:pPr>
              <w:rPr>
                <w:rFonts w:cs="Tahoma"/>
                <w:bCs/>
                <w:sz w:val="15"/>
                <w:szCs w:val="15"/>
              </w:rPr>
            </w:pPr>
            <w:r w:rsidRPr="00B83A90">
              <w:rPr>
                <w:rFonts w:cs="Tahoma"/>
                <w:bCs/>
                <w:sz w:val="15"/>
                <w:szCs w:val="15"/>
              </w:rPr>
              <w:t xml:space="preserve">     Kamu</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71,4</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75,0</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79,9</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84,8</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87,3</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89,5</w:t>
            </w:r>
          </w:p>
        </w:tc>
      </w:tr>
      <w:tr w:rsidR="00565FD5" w:rsidRPr="00B83A90" w:rsidTr="00AB62A3">
        <w:trPr>
          <w:trHeight w:val="227"/>
          <w:jc w:val="center"/>
        </w:trPr>
        <w:tc>
          <w:tcPr>
            <w:tcW w:w="2180" w:type="pct"/>
            <w:noWrap/>
            <w:vAlign w:val="center"/>
          </w:tcPr>
          <w:p w:rsidR="00565FD5" w:rsidRPr="00B83A90" w:rsidRDefault="00565FD5" w:rsidP="00AB62A3">
            <w:pPr>
              <w:rPr>
                <w:rFonts w:cs="Tahoma"/>
                <w:bCs/>
                <w:sz w:val="15"/>
                <w:szCs w:val="15"/>
              </w:rPr>
            </w:pPr>
            <w:r w:rsidRPr="00B83A90">
              <w:rPr>
                <w:rFonts w:cs="Tahoma"/>
                <w:bCs/>
                <w:sz w:val="15"/>
                <w:szCs w:val="15"/>
              </w:rPr>
              <w:t xml:space="preserve">     TCMB</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13,5</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12,2</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11,5</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10,3</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8,4</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7,6</w:t>
            </w:r>
          </w:p>
        </w:tc>
      </w:tr>
      <w:tr w:rsidR="00565FD5" w:rsidRPr="00B83A90" w:rsidTr="00AB62A3">
        <w:trPr>
          <w:trHeight w:val="227"/>
          <w:jc w:val="center"/>
        </w:trPr>
        <w:tc>
          <w:tcPr>
            <w:tcW w:w="2180" w:type="pct"/>
            <w:noWrap/>
            <w:vAlign w:val="center"/>
          </w:tcPr>
          <w:p w:rsidR="00565FD5" w:rsidRPr="00B83A90" w:rsidRDefault="00565FD5" w:rsidP="00AB62A3">
            <w:pPr>
              <w:rPr>
                <w:rFonts w:cs="Tahoma"/>
                <w:bCs/>
                <w:sz w:val="15"/>
                <w:szCs w:val="15"/>
              </w:rPr>
            </w:pPr>
            <w:r w:rsidRPr="00B83A90">
              <w:rPr>
                <w:rFonts w:cs="Tahoma"/>
                <w:bCs/>
                <w:sz w:val="15"/>
                <w:szCs w:val="15"/>
              </w:rPr>
              <w:t xml:space="preserve">     Özel</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122,4</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141,6</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129,1</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119,7</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127,2</w:t>
            </w:r>
          </w:p>
        </w:tc>
        <w:tc>
          <w:tcPr>
            <w:tcW w:w="2180" w:type="pct"/>
            <w:noWrap/>
            <w:vAlign w:val="center"/>
          </w:tcPr>
          <w:p w:rsidR="00565FD5" w:rsidRPr="00B83A90" w:rsidRDefault="00565FD5" w:rsidP="00AB62A3">
            <w:pPr>
              <w:jc w:val="right"/>
              <w:rPr>
                <w:rFonts w:ascii="Arial" w:hAnsi="Arial" w:cs="Arial"/>
                <w:sz w:val="15"/>
                <w:szCs w:val="15"/>
              </w:rPr>
            </w:pPr>
            <w:r w:rsidRPr="00B83A90">
              <w:rPr>
                <w:rFonts w:ascii="Arial" w:hAnsi="Arial" w:cs="Arial"/>
                <w:sz w:val="15"/>
                <w:szCs w:val="15"/>
              </w:rPr>
              <w:t>127,4</w:t>
            </w:r>
          </w:p>
        </w:tc>
      </w:tr>
      <w:tr w:rsidR="00565FD5" w:rsidRPr="00B83A90" w:rsidTr="00AB62A3">
        <w:trPr>
          <w:trHeight w:val="227"/>
          <w:jc w:val="center"/>
        </w:trPr>
        <w:tc>
          <w:tcPr>
            <w:tcW w:w="2180" w:type="pct"/>
            <w:noWrap/>
            <w:vAlign w:val="center"/>
          </w:tcPr>
          <w:p w:rsidR="00565FD5" w:rsidRPr="00B83A90" w:rsidRDefault="00565FD5" w:rsidP="00AB62A3">
            <w:pPr>
              <w:rPr>
                <w:rFonts w:cs="Tahoma"/>
                <w:bCs/>
                <w:sz w:val="15"/>
                <w:szCs w:val="15"/>
              </w:rPr>
            </w:pPr>
            <w:r w:rsidRPr="00B83A90">
              <w:rPr>
                <w:rFonts w:cs="Tahoma"/>
                <w:bCs/>
                <w:sz w:val="15"/>
                <w:szCs w:val="15"/>
              </w:rPr>
              <w:t xml:space="preserve">         Finansal Kuruluşlar </w:t>
            </w:r>
          </w:p>
        </w:tc>
        <w:tc>
          <w:tcPr>
            <w:tcW w:w="2180" w:type="pct"/>
            <w:noWrap/>
            <w:vAlign w:val="center"/>
          </w:tcPr>
          <w:p w:rsidR="00565FD5" w:rsidRPr="00B83A90" w:rsidRDefault="00565FD5" w:rsidP="00AB62A3">
            <w:pPr>
              <w:jc w:val="right"/>
              <w:rPr>
                <w:rFonts w:cs="Tahoma"/>
                <w:color w:val="000000"/>
                <w:sz w:val="15"/>
                <w:szCs w:val="15"/>
              </w:rPr>
            </w:pPr>
            <w:r>
              <w:rPr>
                <w:rFonts w:cs="Tahoma"/>
                <w:color w:val="000000"/>
                <w:sz w:val="15"/>
                <w:szCs w:val="15"/>
              </w:rPr>
              <w:t>5</w:t>
            </w:r>
            <w:r w:rsidRPr="00B83A90">
              <w:rPr>
                <w:rFonts w:cs="Tahoma"/>
                <w:color w:val="000000"/>
                <w:sz w:val="15"/>
                <w:szCs w:val="15"/>
              </w:rPr>
              <w:t>1,</w:t>
            </w:r>
            <w:r>
              <w:rPr>
                <w:rFonts w:cs="Tahoma"/>
                <w:color w:val="000000"/>
                <w:sz w:val="15"/>
                <w:szCs w:val="15"/>
              </w:rPr>
              <w:t>4</w:t>
            </w:r>
          </w:p>
        </w:tc>
        <w:tc>
          <w:tcPr>
            <w:tcW w:w="2180" w:type="pct"/>
            <w:noWrap/>
            <w:vAlign w:val="center"/>
          </w:tcPr>
          <w:p w:rsidR="00565FD5" w:rsidRPr="00B83A90" w:rsidRDefault="00565FD5" w:rsidP="00AB62A3">
            <w:pPr>
              <w:jc w:val="right"/>
              <w:rPr>
                <w:rFonts w:ascii="Arial" w:hAnsi="Arial" w:cs="Arial"/>
                <w:color w:val="000000"/>
                <w:sz w:val="15"/>
                <w:szCs w:val="15"/>
              </w:rPr>
            </w:pPr>
            <w:r w:rsidRPr="00B83A90">
              <w:rPr>
                <w:rFonts w:ascii="Arial" w:hAnsi="Arial" w:cs="Arial"/>
                <w:color w:val="000000"/>
                <w:sz w:val="15"/>
                <w:szCs w:val="15"/>
              </w:rPr>
              <w:t>50,8</w:t>
            </w:r>
          </w:p>
        </w:tc>
        <w:tc>
          <w:tcPr>
            <w:tcW w:w="2180" w:type="pct"/>
            <w:noWrap/>
            <w:vAlign w:val="center"/>
          </w:tcPr>
          <w:p w:rsidR="00565FD5" w:rsidRPr="00B83A90" w:rsidRDefault="00565FD5" w:rsidP="00AB62A3">
            <w:pPr>
              <w:jc w:val="right"/>
              <w:rPr>
                <w:rFonts w:cs="Tahoma"/>
                <w:color w:val="000000"/>
                <w:sz w:val="15"/>
                <w:szCs w:val="15"/>
              </w:rPr>
            </w:pPr>
            <w:r w:rsidRPr="00B83A90">
              <w:rPr>
                <w:rFonts w:cs="Tahoma"/>
                <w:color w:val="000000"/>
                <w:sz w:val="15"/>
                <w:szCs w:val="15"/>
              </w:rPr>
              <w:t>44,3</w:t>
            </w:r>
          </w:p>
        </w:tc>
        <w:tc>
          <w:tcPr>
            <w:tcW w:w="2180" w:type="pct"/>
            <w:noWrap/>
            <w:vAlign w:val="center"/>
          </w:tcPr>
          <w:p w:rsidR="00565FD5" w:rsidRPr="00B83A90" w:rsidRDefault="00565FD5" w:rsidP="00AB62A3">
            <w:pPr>
              <w:jc w:val="right"/>
              <w:rPr>
                <w:rFonts w:cs="Tahoma"/>
                <w:color w:val="000000"/>
                <w:sz w:val="15"/>
                <w:szCs w:val="15"/>
              </w:rPr>
            </w:pPr>
            <w:r w:rsidRPr="00B83A90">
              <w:rPr>
                <w:rFonts w:cs="Tahoma"/>
                <w:color w:val="000000"/>
                <w:sz w:val="15"/>
                <w:szCs w:val="15"/>
              </w:rPr>
              <w:t>40,3</w:t>
            </w:r>
          </w:p>
        </w:tc>
        <w:tc>
          <w:tcPr>
            <w:tcW w:w="2180" w:type="pct"/>
            <w:noWrap/>
            <w:vAlign w:val="center"/>
          </w:tcPr>
          <w:p w:rsidR="00565FD5" w:rsidRPr="00B83A90" w:rsidRDefault="00565FD5" w:rsidP="00AB62A3">
            <w:pPr>
              <w:jc w:val="right"/>
              <w:rPr>
                <w:rFonts w:cs="Tahoma"/>
                <w:color w:val="000000"/>
                <w:sz w:val="15"/>
                <w:szCs w:val="15"/>
              </w:rPr>
            </w:pPr>
            <w:r w:rsidRPr="00B83A90">
              <w:rPr>
                <w:rFonts w:cs="Tahoma"/>
                <w:color w:val="000000"/>
                <w:sz w:val="15"/>
                <w:szCs w:val="15"/>
              </w:rPr>
              <w:t>46,9</w:t>
            </w:r>
          </w:p>
        </w:tc>
        <w:tc>
          <w:tcPr>
            <w:tcW w:w="2180" w:type="pct"/>
            <w:noWrap/>
            <w:vAlign w:val="center"/>
          </w:tcPr>
          <w:p w:rsidR="00565FD5" w:rsidRPr="00B83A90" w:rsidRDefault="00565FD5" w:rsidP="00AB62A3">
            <w:pPr>
              <w:jc w:val="right"/>
              <w:rPr>
                <w:rFonts w:cs="Tahoma"/>
                <w:color w:val="000000"/>
                <w:sz w:val="15"/>
                <w:szCs w:val="15"/>
              </w:rPr>
            </w:pPr>
            <w:r w:rsidRPr="00B83A90">
              <w:rPr>
                <w:rFonts w:cs="Tahoma"/>
                <w:color w:val="000000"/>
                <w:sz w:val="15"/>
                <w:szCs w:val="15"/>
              </w:rPr>
              <w:t>47,5</w:t>
            </w:r>
          </w:p>
        </w:tc>
      </w:tr>
      <w:tr w:rsidR="00565FD5" w:rsidRPr="00B83A90" w:rsidTr="00AB62A3">
        <w:trPr>
          <w:trHeight w:val="227"/>
          <w:jc w:val="center"/>
        </w:trPr>
        <w:tc>
          <w:tcPr>
            <w:tcW w:w="2180" w:type="pct"/>
            <w:noWrap/>
            <w:vAlign w:val="center"/>
          </w:tcPr>
          <w:p w:rsidR="00565FD5" w:rsidRPr="00B83A90" w:rsidRDefault="00565FD5" w:rsidP="00AB62A3">
            <w:pPr>
              <w:rPr>
                <w:rFonts w:cs="Tahoma"/>
                <w:bCs/>
                <w:sz w:val="15"/>
                <w:szCs w:val="15"/>
              </w:rPr>
            </w:pPr>
            <w:r w:rsidRPr="00B83A90">
              <w:rPr>
                <w:rFonts w:cs="Tahoma"/>
                <w:bCs/>
                <w:sz w:val="15"/>
                <w:szCs w:val="15"/>
              </w:rPr>
              <w:t xml:space="preserve">         Finansal Olmayan Kuruluşlar</w:t>
            </w:r>
          </w:p>
        </w:tc>
        <w:tc>
          <w:tcPr>
            <w:tcW w:w="2180" w:type="pct"/>
            <w:noWrap/>
            <w:vAlign w:val="center"/>
          </w:tcPr>
          <w:p w:rsidR="00565FD5" w:rsidRPr="00B83A90" w:rsidRDefault="00565FD5" w:rsidP="00AB62A3">
            <w:pPr>
              <w:jc w:val="right"/>
              <w:rPr>
                <w:rFonts w:cs="Tahoma"/>
                <w:color w:val="000000"/>
                <w:sz w:val="15"/>
                <w:szCs w:val="15"/>
              </w:rPr>
            </w:pPr>
            <w:r w:rsidRPr="00B83A90">
              <w:rPr>
                <w:rFonts w:cs="Tahoma"/>
                <w:color w:val="000000"/>
                <w:sz w:val="15"/>
                <w:szCs w:val="15"/>
              </w:rPr>
              <w:t>7</w:t>
            </w:r>
            <w:r>
              <w:rPr>
                <w:rFonts w:cs="Tahoma"/>
                <w:color w:val="000000"/>
                <w:sz w:val="15"/>
                <w:szCs w:val="15"/>
              </w:rPr>
              <w:t>0</w:t>
            </w:r>
            <w:r w:rsidRPr="00B83A90">
              <w:rPr>
                <w:rFonts w:cs="Tahoma"/>
                <w:color w:val="000000"/>
                <w:sz w:val="15"/>
                <w:szCs w:val="15"/>
              </w:rPr>
              <w:t>,</w:t>
            </w:r>
            <w:r>
              <w:rPr>
                <w:rFonts w:cs="Tahoma"/>
                <w:color w:val="000000"/>
                <w:sz w:val="15"/>
                <w:szCs w:val="15"/>
              </w:rPr>
              <w:t>9</w:t>
            </w:r>
          </w:p>
        </w:tc>
        <w:tc>
          <w:tcPr>
            <w:tcW w:w="2180" w:type="pct"/>
            <w:noWrap/>
            <w:vAlign w:val="center"/>
          </w:tcPr>
          <w:p w:rsidR="00565FD5" w:rsidRPr="00B83A90" w:rsidRDefault="00565FD5" w:rsidP="00AB62A3">
            <w:pPr>
              <w:jc w:val="right"/>
              <w:rPr>
                <w:rFonts w:ascii="Arial" w:hAnsi="Arial" w:cs="Arial"/>
                <w:color w:val="000000"/>
                <w:sz w:val="15"/>
                <w:szCs w:val="15"/>
              </w:rPr>
            </w:pPr>
            <w:r w:rsidRPr="00B83A90">
              <w:rPr>
                <w:rFonts w:ascii="Arial" w:hAnsi="Arial" w:cs="Arial"/>
                <w:color w:val="000000"/>
                <w:sz w:val="15"/>
                <w:szCs w:val="15"/>
              </w:rPr>
              <w:t>90,8</w:t>
            </w:r>
          </w:p>
        </w:tc>
        <w:tc>
          <w:tcPr>
            <w:tcW w:w="2180" w:type="pct"/>
            <w:noWrap/>
            <w:vAlign w:val="center"/>
          </w:tcPr>
          <w:p w:rsidR="00565FD5" w:rsidRPr="00B83A90" w:rsidRDefault="00565FD5" w:rsidP="00AB62A3">
            <w:pPr>
              <w:jc w:val="right"/>
              <w:rPr>
                <w:rFonts w:cs="Tahoma"/>
                <w:color w:val="000000"/>
                <w:sz w:val="15"/>
                <w:szCs w:val="15"/>
              </w:rPr>
            </w:pPr>
            <w:r w:rsidRPr="00B83A90">
              <w:rPr>
                <w:rFonts w:cs="Tahoma"/>
                <w:color w:val="000000"/>
                <w:sz w:val="15"/>
                <w:szCs w:val="15"/>
              </w:rPr>
              <w:t>84,8</w:t>
            </w:r>
          </w:p>
        </w:tc>
        <w:tc>
          <w:tcPr>
            <w:tcW w:w="2180" w:type="pct"/>
            <w:noWrap/>
            <w:vAlign w:val="center"/>
          </w:tcPr>
          <w:p w:rsidR="00565FD5" w:rsidRPr="00B83A90" w:rsidRDefault="00565FD5" w:rsidP="00AB62A3">
            <w:pPr>
              <w:jc w:val="right"/>
              <w:rPr>
                <w:rFonts w:cs="Tahoma"/>
                <w:color w:val="000000"/>
                <w:sz w:val="15"/>
                <w:szCs w:val="15"/>
              </w:rPr>
            </w:pPr>
            <w:r w:rsidRPr="00B83A90">
              <w:rPr>
                <w:rFonts w:cs="Tahoma"/>
                <w:color w:val="000000"/>
                <w:sz w:val="15"/>
                <w:szCs w:val="15"/>
              </w:rPr>
              <w:t>79,4</w:t>
            </w:r>
          </w:p>
        </w:tc>
        <w:tc>
          <w:tcPr>
            <w:tcW w:w="2180" w:type="pct"/>
            <w:noWrap/>
            <w:vAlign w:val="center"/>
          </w:tcPr>
          <w:p w:rsidR="00565FD5" w:rsidRPr="00B83A90" w:rsidRDefault="00565FD5" w:rsidP="00AB62A3">
            <w:pPr>
              <w:jc w:val="right"/>
              <w:rPr>
                <w:rFonts w:cs="Tahoma"/>
                <w:color w:val="000000"/>
                <w:sz w:val="15"/>
                <w:szCs w:val="15"/>
              </w:rPr>
            </w:pPr>
            <w:r w:rsidRPr="00B83A90">
              <w:rPr>
                <w:rFonts w:cs="Tahoma"/>
                <w:color w:val="000000"/>
                <w:sz w:val="15"/>
                <w:szCs w:val="15"/>
              </w:rPr>
              <w:t>80,3</w:t>
            </w:r>
          </w:p>
        </w:tc>
        <w:tc>
          <w:tcPr>
            <w:tcW w:w="2180" w:type="pct"/>
            <w:noWrap/>
            <w:vAlign w:val="center"/>
          </w:tcPr>
          <w:p w:rsidR="00565FD5" w:rsidRPr="00B83A90" w:rsidRDefault="00565FD5" w:rsidP="00AB62A3">
            <w:pPr>
              <w:jc w:val="right"/>
              <w:rPr>
                <w:rFonts w:cs="Tahoma"/>
                <w:color w:val="000000"/>
                <w:sz w:val="15"/>
                <w:szCs w:val="15"/>
              </w:rPr>
            </w:pPr>
            <w:r w:rsidRPr="00B83A90">
              <w:rPr>
                <w:rFonts w:cs="Tahoma"/>
                <w:color w:val="000000"/>
                <w:sz w:val="15"/>
                <w:szCs w:val="15"/>
              </w:rPr>
              <w:t>79,9</w:t>
            </w:r>
          </w:p>
        </w:tc>
      </w:tr>
      <w:tr w:rsidR="00565FD5" w:rsidRPr="00B83A90" w:rsidTr="00AB62A3">
        <w:trPr>
          <w:trHeight w:val="227"/>
          <w:jc w:val="center"/>
        </w:trPr>
        <w:tc>
          <w:tcPr>
            <w:tcW w:w="2180" w:type="pct"/>
            <w:noWrap/>
            <w:vAlign w:val="center"/>
          </w:tcPr>
          <w:p w:rsidR="00565FD5" w:rsidRPr="00B83A90" w:rsidRDefault="00565FD5" w:rsidP="00AB62A3">
            <w:pPr>
              <w:rPr>
                <w:rFonts w:cs="Tahoma"/>
                <w:b/>
                <w:bCs/>
                <w:sz w:val="15"/>
                <w:szCs w:val="15"/>
              </w:rPr>
            </w:pPr>
            <w:r w:rsidRPr="00B83A90">
              <w:rPr>
                <w:rFonts w:cs="Tahoma"/>
                <w:b/>
                <w:bCs/>
                <w:sz w:val="15"/>
                <w:szCs w:val="15"/>
              </w:rPr>
              <w:lastRenderedPageBreak/>
              <w:t>Borçluya Göre</w:t>
            </w:r>
          </w:p>
        </w:tc>
        <w:tc>
          <w:tcPr>
            <w:tcW w:w="2180" w:type="pct"/>
            <w:noWrap/>
            <w:vAlign w:val="center"/>
          </w:tcPr>
          <w:p w:rsidR="00565FD5" w:rsidRPr="00B83A90" w:rsidRDefault="00565FD5" w:rsidP="00AB62A3">
            <w:pPr>
              <w:jc w:val="right"/>
              <w:rPr>
                <w:rFonts w:cs="Tahoma"/>
                <w:sz w:val="15"/>
                <w:szCs w:val="15"/>
              </w:rPr>
            </w:pPr>
          </w:p>
        </w:tc>
        <w:tc>
          <w:tcPr>
            <w:tcW w:w="2180" w:type="pct"/>
            <w:noWrap/>
            <w:vAlign w:val="center"/>
          </w:tcPr>
          <w:p w:rsidR="00565FD5" w:rsidRPr="00B83A90" w:rsidRDefault="00565FD5" w:rsidP="00AB62A3">
            <w:pPr>
              <w:jc w:val="right"/>
              <w:rPr>
                <w:rFonts w:cs="Tahoma"/>
                <w:sz w:val="15"/>
                <w:szCs w:val="15"/>
              </w:rPr>
            </w:pPr>
          </w:p>
        </w:tc>
        <w:tc>
          <w:tcPr>
            <w:tcW w:w="2180" w:type="pct"/>
            <w:noWrap/>
            <w:vAlign w:val="center"/>
          </w:tcPr>
          <w:p w:rsidR="00565FD5" w:rsidRPr="00B83A90" w:rsidRDefault="00565FD5" w:rsidP="00AB62A3">
            <w:pPr>
              <w:jc w:val="right"/>
              <w:rPr>
                <w:rFonts w:cs="Tahoma"/>
                <w:sz w:val="15"/>
                <w:szCs w:val="15"/>
              </w:rPr>
            </w:pPr>
          </w:p>
        </w:tc>
        <w:tc>
          <w:tcPr>
            <w:tcW w:w="2180" w:type="pct"/>
            <w:noWrap/>
            <w:vAlign w:val="center"/>
          </w:tcPr>
          <w:p w:rsidR="00565FD5" w:rsidRPr="00B83A90" w:rsidRDefault="00565FD5" w:rsidP="00AB62A3">
            <w:pPr>
              <w:jc w:val="right"/>
              <w:rPr>
                <w:rFonts w:cs="Tahoma"/>
                <w:sz w:val="15"/>
                <w:szCs w:val="15"/>
              </w:rPr>
            </w:pPr>
          </w:p>
        </w:tc>
        <w:tc>
          <w:tcPr>
            <w:tcW w:w="2180" w:type="pct"/>
            <w:noWrap/>
            <w:vAlign w:val="center"/>
          </w:tcPr>
          <w:p w:rsidR="00565FD5" w:rsidRPr="00B83A90" w:rsidRDefault="00565FD5" w:rsidP="00AB62A3">
            <w:pPr>
              <w:jc w:val="right"/>
              <w:rPr>
                <w:rFonts w:cs="Tahoma"/>
                <w:sz w:val="15"/>
                <w:szCs w:val="15"/>
              </w:rPr>
            </w:pPr>
          </w:p>
        </w:tc>
        <w:tc>
          <w:tcPr>
            <w:tcW w:w="2180" w:type="pct"/>
            <w:noWrap/>
            <w:vAlign w:val="center"/>
          </w:tcPr>
          <w:p w:rsidR="00565FD5" w:rsidRPr="00B83A90" w:rsidRDefault="00565FD5" w:rsidP="00AB62A3">
            <w:pPr>
              <w:jc w:val="right"/>
              <w:rPr>
                <w:rFonts w:cs="Tahoma"/>
                <w:sz w:val="15"/>
                <w:szCs w:val="15"/>
              </w:rPr>
            </w:pPr>
          </w:p>
        </w:tc>
      </w:tr>
      <w:tr w:rsidR="00565FD5" w:rsidRPr="00B83A90" w:rsidTr="00AB62A3">
        <w:trPr>
          <w:trHeight w:val="227"/>
          <w:jc w:val="center"/>
        </w:trPr>
        <w:tc>
          <w:tcPr>
            <w:tcW w:w="2180" w:type="pct"/>
            <w:noWrap/>
            <w:vAlign w:val="center"/>
          </w:tcPr>
          <w:p w:rsidR="00565FD5" w:rsidRPr="00B83A90" w:rsidRDefault="00565FD5" w:rsidP="00AB62A3">
            <w:pPr>
              <w:rPr>
                <w:rFonts w:cs="Tahoma"/>
                <w:bCs/>
                <w:sz w:val="15"/>
                <w:szCs w:val="15"/>
              </w:rPr>
            </w:pPr>
            <w:r w:rsidRPr="00B83A90">
              <w:rPr>
                <w:rFonts w:cs="Tahoma"/>
                <w:bCs/>
                <w:sz w:val="15"/>
                <w:szCs w:val="15"/>
              </w:rPr>
              <w:t xml:space="preserve">  Kamu Kesimi Dış Borç Stoku</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73,5</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78,3</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83,5</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89,1</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94,3</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102,3</w:t>
            </w:r>
          </w:p>
        </w:tc>
      </w:tr>
      <w:tr w:rsidR="00565FD5" w:rsidRPr="00B83A90" w:rsidTr="00AB62A3">
        <w:trPr>
          <w:trHeight w:val="227"/>
          <w:jc w:val="center"/>
        </w:trPr>
        <w:tc>
          <w:tcPr>
            <w:tcW w:w="2180" w:type="pct"/>
            <w:noWrap/>
            <w:vAlign w:val="center"/>
          </w:tcPr>
          <w:p w:rsidR="00565FD5" w:rsidRPr="00B83A90" w:rsidRDefault="00565FD5" w:rsidP="00AB62A3">
            <w:pPr>
              <w:rPr>
                <w:rFonts w:cs="Tahoma"/>
                <w:bCs/>
                <w:sz w:val="15"/>
                <w:szCs w:val="15"/>
              </w:rPr>
            </w:pPr>
            <w:r w:rsidRPr="00B83A90">
              <w:rPr>
                <w:rFonts w:cs="Tahoma"/>
                <w:bCs/>
                <w:sz w:val="15"/>
                <w:szCs w:val="15"/>
              </w:rPr>
              <w:t xml:space="preserve">  TCMB Dış Borç Stoku</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15,8</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14,1</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13,3</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11,8</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9,7</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8,7</w:t>
            </w:r>
          </w:p>
        </w:tc>
      </w:tr>
      <w:tr w:rsidR="00565FD5" w:rsidRPr="00B83A90" w:rsidTr="00AB62A3">
        <w:trPr>
          <w:trHeight w:val="227"/>
          <w:jc w:val="center"/>
        </w:trPr>
        <w:tc>
          <w:tcPr>
            <w:tcW w:w="2180" w:type="pct"/>
            <w:noWrap/>
            <w:vAlign w:val="center"/>
          </w:tcPr>
          <w:p w:rsidR="00565FD5" w:rsidRPr="00B83A90" w:rsidRDefault="00565FD5" w:rsidP="00AB62A3">
            <w:pPr>
              <w:rPr>
                <w:rFonts w:cs="Tahoma"/>
                <w:bCs/>
                <w:sz w:val="15"/>
                <w:szCs w:val="15"/>
              </w:rPr>
            </w:pPr>
            <w:r w:rsidRPr="00B83A90">
              <w:rPr>
                <w:rFonts w:cs="Tahoma"/>
                <w:bCs/>
                <w:sz w:val="15"/>
                <w:szCs w:val="15"/>
              </w:rPr>
              <w:t xml:space="preserve">  Özel Sektör Dış Borç Stoku</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161,1</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189,0</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172,8</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191,3</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202,7</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212,5</w:t>
            </w:r>
          </w:p>
        </w:tc>
      </w:tr>
      <w:tr w:rsidR="00565FD5" w:rsidRPr="00B83A90" w:rsidTr="00AB62A3">
        <w:trPr>
          <w:trHeight w:val="227"/>
          <w:jc w:val="center"/>
        </w:trPr>
        <w:tc>
          <w:tcPr>
            <w:tcW w:w="2180" w:type="pct"/>
            <w:noWrap/>
            <w:vAlign w:val="center"/>
          </w:tcPr>
          <w:p w:rsidR="00565FD5" w:rsidRPr="00B83A90" w:rsidRDefault="00565FD5" w:rsidP="00AB62A3">
            <w:pPr>
              <w:rPr>
                <w:rFonts w:cs="Tahoma"/>
                <w:b/>
                <w:bCs/>
                <w:sz w:val="15"/>
                <w:szCs w:val="15"/>
              </w:rPr>
            </w:pPr>
            <w:r w:rsidRPr="00B83A90">
              <w:rPr>
                <w:rFonts w:cs="Tahoma"/>
                <w:b/>
                <w:bCs/>
                <w:sz w:val="15"/>
                <w:szCs w:val="15"/>
              </w:rPr>
              <w:t> </w:t>
            </w:r>
          </w:p>
        </w:tc>
        <w:tc>
          <w:tcPr>
            <w:tcW w:w="2180" w:type="pct"/>
            <w:noWrap/>
            <w:vAlign w:val="center"/>
          </w:tcPr>
          <w:p w:rsidR="00565FD5" w:rsidRPr="00B83A90" w:rsidRDefault="00565FD5" w:rsidP="00AB62A3">
            <w:pPr>
              <w:jc w:val="right"/>
              <w:rPr>
                <w:rFonts w:cs="Tahoma"/>
                <w:b/>
                <w:sz w:val="15"/>
                <w:szCs w:val="15"/>
              </w:rPr>
            </w:pPr>
          </w:p>
        </w:tc>
        <w:tc>
          <w:tcPr>
            <w:tcW w:w="2180" w:type="pct"/>
            <w:noWrap/>
            <w:vAlign w:val="center"/>
          </w:tcPr>
          <w:p w:rsidR="00565FD5" w:rsidRPr="00B83A90" w:rsidRDefault="00565FD5" w:rsidP="00AB62A3">
            <w:pPr>
              <w:jc w:val="right"/>
              <w:rPr>
                <w:rFonts w:cs="Tahoma"/>
                <w:b/>
                <w:sz w:val="15"/>
                <w:szCs w:val="15"/>
              </w:rPr>
            </w:pPr>
          </w:p>
        </w:tc>
        <w:tc>
          <w:tcPr>
            <w:tcW w:w="2180" w:type="pct"/>
            <w:noWrap/>
            <w:vAlign w:val="center"/>
          </w:tcPr>
          <w:p w:rsidR="00565FD5" w:rsidRPr="00B83A90" w:rsidRDefault="00565FD5" w:rsidP="00AB62A3">
            <w:pPr>
              <w:jc w:val="right"/>
              <w:rPr>
                <w:rFonts w:cs="Tahoma"/>
                <w:b/>
                <w:sz w:val="15"/>
                <w:szCs w:val="15"/>
              </w:rPr>
            </w:pPr>
          </w:p>
        </w:tc>
        <w:tc>
          <w:tcPr>
            <w:tcW w:w="2180" w:type="pct"/>
            <w:noWrap/>
            <w:vAlign w:val="center"/>
          </w:tcPr>
          <w:p w:rsidR="00565FD5" w:rsidRPr="00B83A90" w:rsidRDefault="00565FD5" w:rsidP="00AB62A3">
            <w:pPr>
              <w:jc w:val="right"/>
              <w:rPr>
                <w:rFonts w:cs="Tahoma"/>
                <w:b/>
                <w:sz w:val="15"/>
                <w:szCs w:val="15"/>
              </w:rPr>
            </w:pPr>
          </w:p>
        </w:tc>
        <w:tc>
          <w:tcPr>
            <w:tcW w:w="2180" w:type="pct"/>
            <w:noWrap/>
            <w:vAlign w:val="center"/>
          </w:tcPr>
          <w:p w:rsidR="00565FD5" w:rsidRPr="00B83A90" w:rsidRDefault="00565FD5" w:rsidP="00AB62A3">
            <w:pPr>
              <w:jc w:val="right"/>
              <w:rPr>
                <w:rFonts w:cs="Tahoma"/>
                <w:b/>
                <w:sz w:val="15"/>
                <w:szCs w:val="15"/>
              </w:rPr>
            </w:pPr>
          </w:p>
        </w:tc>
        <w:tc>
          <w:tcPr>
            <w:tcW w:w="2180" w:type="pct"/>
            <w:noWrap/>
            <w:vAlign w:val="center"/>
          </w:tcPr>
          <w:p w:rsidR="00565FD5" w:rsidRPr="00B83A90" w:rsidRDefault="00565FD5" w:rsidP="00AB62A3">
            <w:pPr>
              <w:jc w:val="right"/>
              <w:rPr>
                <w:rFonts w:cs="Tahoma"/>
                <w:b/>
                <w:sz w:val="15"/>
                <w:szCs w:val="15"/>
              </w:rPr>
            </w:pPr>
          </w:p>
        </w:tc>
      </w:tr>
      <w:tr w:rsidR="00565FD5" w:rsidRPr="00B83A90" w:rsidTr="00AB62A3">
        <w:trPr>
          <w:trHeight w:val="227"/>
          <w:jc w:val="center"/>
        </w:trPr>
        <w:tc>
          <w:tcPr>
            <w:tcW w:w="2180" w:type="pct"/>
            <w:noWrap/>
            <w:vAlign w:val="center"/>
          </w:tcPr>
          <w:p w:rsidR="00565FD5" w:rsidRPr="00B83A90" w:rsidRDefault="00565FD5" w:rsidP="00AB62A3">
            <w:pPr>
              <w:rPr>
                <w:rFonts w:cs="Tahoma"/>
                <w:b/>
                <w:bCs/>
                <w:sz w:val="15"/>
                <w:szCs w:val="15"/>
              </w:rPr>
            </w:pPr>
            <w:r w:rsidRPr="00B83A90">
              <w:rPr>
                <w:rFonts w:cs="Tahoma"/>
                <w:b/>
                <w:bCs/>
                <w:sz w:val="15"/>
                <w:szCs w:val="15"/>
              </w:rPr>
              <w:t>Yüzde Oranlar</w:t>
            </w:r>
          </w:p>
        </w:tc>
        <w:tc>
          <w:tcPr>
            <w:tcW w:w="2180" w:type="pct"/>
            <w:shd w:val="clear" w:color="000000" w:fill="FFFFFF"/>
            <w:noWrap/>
            <w:vAlign w:val="center"/>
          </w:tcPr>
          <w:p w:rsidR="00565FD5" w:rsidRPr="00B83A90" w:rsidRDefault="00565FD5" w:rsidP="00AB62A3">
            <w:pPr>
              <w:jc w:val="right"/>
              <w:rPr>
                <w:rFonts w:cs="Tahoma"/>
                <w:b/>
                <w:sz w:val="15"/>
                <w:szCs w:val="15"/>
              </w:rPr>
            </w:pPr>
          </w:p>
        </w:tc>
        <w:tc>
          <w:tcPr>
            <w:tcW w:w="2180" w:type="pct"/>
            <w:shd w:val="clear" w:color="000000" w:fill="FFFFFF"/>
            <w:noWrap/>
            <w:vAlign w:val="center"/>
          </w:tcPr>
          <w:p w:rsidR="00565FD5" w:rsidRPr="00B83A90" w:rsidRDefault="00565FD5" w:rsidP="00AB62A3">
            <w:pPr>
              <w:jc w:val="right"/>
              <w:rPr>
                <w:rFonts w:cs="Tahoma"/>
                <w:b/>
                <w:sz w:val="15"/>
                <w:szCs w:val="15"/>
              </w:rPr>
            </w:pPr>
          </w:p>
        </w:tc>
        <w:tc>
          <w:tcPr>
            <w:tcW w:w="2180" w:type="pct"/>
            <w:shd w:val="clear" w:color="000000" w:fill="FFFFFF"/>
            <w:noWrap/>
            <w:vAlign w:val="center"/>
          </w:tcPr>
          <w:p w:rsidR="00565FD5" w:rsidRPr="00B83A90" w:rsidRDefault="00565FD5" w:rsidP="00AB62A3">
            <w:pPr>
              <w:jc w:val="right"/>
              <w:rPr>
                <w:rFonts w:cs="Tahoma"/>
                <w:b/>
                <w:sz w:val="15"/>
                <w:szCs w:val="15"/>
              </w:rPr>
            </w:pPr>
          </w:p>
        </w:tc>
        <w:tc>
          <w:tcPr>
            <w:tcW w:w="2180" w:type="pct"/>
            <w:shd w:val="clear" w:color="000000" w:fill="FFFFFF"/>
            <w:noWrap/>
            <w:vAlign w:val="center"/>
          </w:tcPr>
          <w:p w:rsidR="00565FD5" w:rsidRPr="00B83A90" w:rsidRDefault="00565FD5" w:rsidP="00AB62A3">
            <w:pPr>
              <w:jc w:val="right"/>
              <w:rPr>
                <w:rFonts w:cs="Tahoma"/>
                <w:b/>
                <w:sz w:val="15"/>
                <w:szCs w:val="15"/>
              </w:rPr>
            </w:pPr>
          </w:p>
        </w:tc>
        <w:tc>
          <w:tcPr>
            <w:tcW w:w="2180" w:type="pct"/>
            <w:shd w:val="clear" w:color="000000" w:fill="FFFFFF"/>
            <w:noWrap/>
            <w:vAlign w:val="center"/>
          </w:tcPr>
          <w:p w:rsidR="00565FD5" w:rsidRPr="00B83A90" w:rsidRDefault="00565FD5" w:rsidP="00AB62A3">
            <w:pPr>
              <w:jc w:val="right"/>
              <w:rPr>
                <w:rFonts w:cs="Tahoma"/>
                <w:b/>
                <w:sz w:val="15"/>
                <w:szCs w:val="15"/>
              </w:rPr>
            </w:pPr>
          </w:p>
        </w:tc>
        <w:tc>
          <w:tcPr>
            <w:tcW w:w="2180" w:type="pct"/>
            <w:shd w:val="clear" w:color="000000" w:fill="FFFFFF"/>
            <w:noWrap/>
            <w:vAlign w:val="center"/>
          </w:tcPr>
          <w:p w:rsidR="00565FD5" w:rsidRPr="00B83A90" w:rsidRDefault="00565FD5" w:rsidP="00AB62A3">
            <w:pPr>
              <w:jc w:val="right"/>
              <w:rPr>
                <w:rFonts w:cs="Tahoma"/>
                <w:b/>
                <w:sz w:val="15"/>
                <w:szCs w:val="15"/>
              </w:rPr>
            </w:pPr>
          </w:p>
        </w:tc>
      </w:tr>
      <w:tr w:rsidR="00565FD5" w:rsidRPr="00B83A90" w:rsidTr="00AB62A3">
        <w:trPr>
          <w:trHeight w:val="227"/>
          <w:jc w:val="center"/>
        </w:trPr>
        <w:tc>
          <w:tcPr>
            <w:tcW w:w="2180" w:type="pct"/>
            <w:noWrap/>
            <w:vAlign w:val="center"/>
          </w:tcPr>
          <w:p w:rsidR="00565FD5" w:rsidRPr="00B83A90" w:rsidRDefault="00565FD5" w:rsidP="00AB62A3">
            <w:pPr>
              <w:rPr>
                <w:rFonts w:cs="Tahoma"/>
                <w:bCs/>
                <w:sz w:val="15"/>
                <w:szCs w:val="15"/>
              </w:rPr>
            </w:pPr>
            <w:r w:rsidRPr="00B83A90">
              <w:rPr>
                <w:rFonts w:cs="Tahoma"/>
                <w:bCs/>
                <w:sz w:val="15"/>
                <w:szCs w:val="15"/>
              </w:rPr>
              <w:t>Kısa V. Dış Borçlar/ Top. Dış Borç Stoku</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17,2</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18,7</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18,2</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26,5</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27,3</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30,6</w:t>
            </w:r>
          </w:p>
        </w:tc>
      </w:tr>
      <w:tr w:rsidR="00565FD5" w:rsidRPr="00B83A90" w:rsidTr="00AB62A3">
        <w:trPr>
          <w:trHeight w:val="227"/>
          <w:jc w:val="center"/>
        </w:trPr>
        <w:tc>
          <w:tcPr>
            <w:tcW w:w="2180" w:type="pct"/>
            <w:noWrap/>
            <w:vAlign w:val="center"/>
          </w:tcPr>
          <w:p w:rsidR="00565FD5" w:rsidRPr="00B83A90" w:rsidRDefault="00565FD5" w:rsidP="00AB62A3">
            <w:pPr>
              <w:rPr>
                <w:rFonts w:cs="Tahoma"/>
                <w:bCs/>
                <w:sz w:val="15"/>
                <w:szCs w:val="15"/>
              </w:rPr>
            </w:pPr>
            <w:r w:rsidRPr="00B83A90">
              <w:rPr>
                <w:rFonts w:cs="Tahoma"/>
                <w:bCs/>
                <w:sz w:val="15"/>
                <w:szCs w:val="15"/>
              </w:rPr>
              <w:t>Kamu Dış Borç Stoku / Top. Dış Borç Stoku</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29,4</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27,8</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31,0</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30,5</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30,7</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31,6</w:t>
            </w:r>
          </w:p>
        </w:tc>
      </w:tr>
      <w:tr w:rsidR="00565FD5" w:rsidRPr="00B83A90" w:rsidTr="00AB62A3">
        <w:trPr>
          <w:trHeight w:val="227"/>
          <w:jc w:val="center"/>
        </w:trPr>
        <w:tc>
          <w:tcPr>
            <w:tcW w:w="2180" w:type="pct"/>
            <w:noWrap/>
            <w:vAlign w:val="center"/>
          </w:tcPr>
          <w:p w:rsidR="00565FD5" w:rsidRPr="00B83A90" w:rsidRDefault="00565FD5" w:rsidP="00AB62A3">
            <w:pPr>
              <w:rPr>
                <w:rFonts w:cs="Tahoma"/>
                <w:bCs/>
                <w:sz w:val="15"/>
                <w:szCs w:val="15"/>
              </w:rPr>
            </w:pPr>
            <w:r w:rsidRPr="00B83A90">
              <w:rPr>
                <w:rFonts w:cs="Tahoma"/>
                <w:bCs/>
                <w:sz w:val="15"/>
                <w:szCs w:val="15"/>
              </w:rPr>
              <w:t>TCMB Rezervler (net) / Kısa Vadeli Dış Borçlar</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177,1</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141,3</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152,6</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111,0</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105,4</w:t>
            </w:r>
          </w:p>
        </w:tc>
        <w:tc>
          <w:tcPr>
            <w:tcW w:w="2180" w:type="pct"/>
            <w:noWrap/>
            <w:vAlign w:val="center"/>
          </w:tcPr>
          <w:p w:rsidR="00565FD5" w:rsidRPr="00B83A90" w:rsidRDefault="00565FD5" w:rsidP="00AB62A3">
            <w:pPr>
              <w:jc w:val="right"/>
              <w:rPr>
                <w:rFonts w:cs="Tahoma"/>
                <w:sz w:val="15"/>
                <w:szCs w:val="15"/>
              </w:rPr>
            </w:pPr>
            <w:r w:rsidRPr="00B83A90">
              <w:rPr>
                <w:rFonts w:cs="Tahoma"/>
                <w:sz w:val="15"/>
                <w:szCs w:val="15"/>
              </w:rPr>
              <w:t>96,4</w:t>
            </w:r>
          </w:p>
        </w:tc>
      </w:tr>
      <w:tr w:rsidR="00565FD5" w:rsidRPr="00B83A90" w:rsidTr="00AB62A3">
        <w:trPr>
          <w:trHeight w:val="227"/>
          <w:jc w:val="center"/>
        </w:trPr>
        <w:tc>
          <w:tcPr>
            <w:tcW w:w="2180" w:type="pct"/>
            <w:tcBorders>
              <w:bottom w:val="single" w:sz="8" w:space="0" w:color="auto"/>
            </w:tcBorders>
            <w:noWrap/>
            <w:vAlign w:val="center"/>
          </w:tcPr>
          <w:p w:rsidR="00565FD5" w:rsidRPr="00B83A90" w:rsidRDefault="00565FD5" w:rsidP="00AB62A3">
            <w:pPr>
              <w:rPr>
                <w:rFonts w:cs="Tahoma"/>
                <w:bCs/>
                <w:sz w:val="15"/>
                <w:szCs w:val="15"/>
              </w:rPr>
            </w:pPr>
            <w:r w:rsidRPr="00B83A90">
              <w:rPr>
                <w:rFonts w:cs="Tahoma"/>
                <w:bCs/>
                <w:sz w:val="15"/>
                <w:szCs w:val="15"/>
              </w:rPr>
              <w:t xml:space="preserve">Toplam Dış Borç Stoku / GSYH </w:t>
            </w:r>
            <w:r w:rsidRPr="00B83A90">
              <w:rPr>
                <w:sz w:val="15"/>
                <w:szCs w:val="15"/>
              </w:rPr>
              <w:t>(</w:t>
            </w:r>
            <w:r>
              <w:rPr>
                <w:sz w:val="15"/>
                <w:szCs w:val="15"/>
              </w:rPr>
              <w:t>3</w:t>
            </w:r>
            <w:r w:rsidRPr="00B83A90">
              <w:rPr>
                <w:sz w:val="15"/>
                <w:szCs w:val="15"/>
              </w:rPr>
              <w:t>)</w:t>
            </w:r>
          </w:p>
        </w:tc>
        <w:tc>
          <w:tcPr>
            <w:tcW w:w="2180" w:type="pct"/>
            <w:tcBorders>
              <w:bottom w:val="single" w:sz="8" w:space="0" w:color="auto"/>
            </w:tcBorders>
            <w:noWrap/>
            <w:vAlign w:val="center"/>
          </w:tcPr>
          <w:p w:rsidR="00565FD5" w:rsidRPr="00B83A90" w:rsidRDefault="00565FD5" w:rsidP="00AB62A3">
            <w:pPr>
              <w:jc w:val="right"/>
              <w:rPr>
                <w:rFonts w:cs="Tahoma"/>
                <w:sz w:val="15"/>
                <w:szCs w:val="15"/>
              </w:rPr>
            </w:pPr>
            <w:r w:rsidRPr="00B83A90">
              <w:rPr>
                <w:rFonts w:cs="Tahoma"/>
                <w:sz w:val="15"/>
                <w:szCs w:val="15"/>
              </w:rPr>
              <w:t>38,6</w:t>
            </w:r>
          </w:p>
        </w:tc>
        <w:tc>
          <w:tcPr>
            <w:tcW w:w="2180" w:type="pct"/>
            <w:tcBorders>
              <w:bottom w:val="single" w:sz="8" w:space="0" w:color="auto"/>
            </w:tcBorders>
            <w:noWrap/>
            <w:vAlign w:val="center"/>
          </w:tcPr>
          <w:p w:rsidR="00565FD5" w:rsidRPr="00B83A90" w:rsidRDefault="00565FD5" w:rsidP="00AB62A3">
            <w:pPr>
              <w:jc w:val="right"/>
              <w:rPr>
                <w:rFonts w:cs="Tahoma"/>
                <w:sz w:val="15"/>
                <w:szCs w:val="15"/>
              </w:rPr>
            </w:pPr>
            <w:r w:rsidRPr="00B83A90">
              <w:rPr>
                <w:rFonts w:cs="Tahoma"/>
                <w:sz w:val="15"/>
                <w:szCs w:val="15"/>
              </w:rPr>
              <w:t>37,9</w:t>
            </w:r>
          </w:p>
        </w:tc>
        <w:tc>
          <w:tcPr>
            <w:tcW w:w="2180" w:type="pct"/>
            <w:tcBorders>
              <w:bottom w:val="single" w:sz="8" w:space="0" w:color="auto"/>
            </w:tcBorders>
            <w:noWrap/>
            <w:vAlign w:val="center"/>
          </w:tcPr>
          <w:p w:rsidR="00565FD5" w:rsidRPr="00B83A90" w:rsidRDefault="00565FD5" w:rsidP="00AB62A3">
            <w:pPr>
              <w:jc w:val="right"/>
              <w:rPr>
                <w:rFonts w:cs="Tahoma"/>
                <w:sz w:val="15"/>
                <w:szCs w:val="15"/>
              </w:rPr>
            </w:pPr>
            <w:r w:rsidRPr="00B83A90">
              <w:rPr>
                <w:rFonts w:cs="Tahoma"/>
                <w:sz w:val="15"/>
                <w:szCs w:val="15"/>
              </w:rPr>
              <w:t>43,6</w:t>
            </w:r>
          </w:p>
        </w:tc>
        <w:tc>
          <w:tcPr>
            <w:tcW w:w="2180" w:type="pct"/>
            <w:tcBorders>
              <w:bottom w:val="single" w:sz="8" w:space="0" w:color="auto"/>
            </w:tcBorders>
            <w:noWrap/>
            <w:vAlign w:val="center"/>
          </w:tcPr>
          <w:p w:rsidR="00565FD5" w:rsidRPr="00B83A90" w:rsidRDefault="00565FD5" w:rsidP="00AB62A3">
            <w:pPr>
              <w:jc w:val="right"/>
              <w:rPr>
                <w:rFonts w:cs="Tahoma"/>
                <w:sz w:val="15"/>
                <w:szCs w:val="15"/>
              </w:rPr>
            </w:pPr>
            <w:r w:rsidRPr="00B83A90">
              <w:rPr>
                <w:rFonts w:cs="Tahoma"/>
                <w:sz w:val="15"/>
                <w:szCs w:val="15"/>
              </w:rPr>
              <w:t>39,9</w:t>
            </w:r>
          </w:p>
        </w:tc>
        <w:tc>
          <w:tcPr>
            <w:tcW w:w="2180" w:type="pct"/>
            <w:tcBorders>
              <w:bottom w:val="single" w:sz="8" w:space="0" w:color="auto"/>
            </w:tcBorders>
            <w:noWrap/>
            <w:vAlign w:val="center"/>
          </w:tcPr>
          <w:p w:rsidR="00565FD5" w:rsidRPr="00B83A90" w:rsidRDefault="00565FD5" w:rsidP="00AB62A3">
            <w:pPr>
              <w:jc w:val="right"/>
              <w:rPr>
                <w:rFonts w:cs="Tahoma"/>
                <w:sz w:val="15"/>
                <w:szCs w:val="15"/>
              </w:rPr>
            </w:pPr>
            <w:r w:rsidRPr="00B83A90">
              <w:rPr>
                <w:rFonts w:cs="Tahoma"/>
                <w:sz w:val="15"/>
                <w:szCs w:val="15"/>
              </w:rPr>
              <w:t>39,6</w:t>
            </w:r>
          </w:p>
        </w:tc>
        <w:tc>
          <w:tcPr>
            <w:tcW w:w="2180" w:type="pct"/>
            <w:tcBorders>
              <w:bottom w:val="single" w:sz="8" w:space="0" w:color="auto"/>
            </w:tcBorders>
            <w:noWrap/>
            <w:vAlign w:val="center"/>
          </w:tcPr>
          <w:p w:rsidR="00565FD5" w:rsidRPr="00B83A90" w:rsidRDefault="00565FD5" w:rsidP="00AB62A3">
            <w:pPr>
              <w:jc w:val="right"/>
              <w:rPr>
                <w:rFonts w:cs="Tahoma"/>
                <w:sz w:val="15"/>
                <w:szCs w:val="15"/>
              </w:rPr>
            </w:pPr>
            <w:r w:rsidRPr="00B83A90">
              <w:rPr>
                <w:rFonts w:cs="Tahoma"/>
                <w:sz w:val="15"/>
                <w:szCs w:val="15"/>
              </w:rPr>
              <w:t>42,3</w:t>
            </w:r>
          </w:p>
        </w:tc>
      </w:tr>
    </w:tbl>
    <w:p w:rsidR="00565FD5" w:rsidRPr="001131FC" w:rsidRDefault="00565FD5" w:rsidP="00565FD5">
      <w:pPr>
        <w:rPr>
          <w:rFonts w:cs="Tahoma"/>
          <w:sz w:val="14"/>
          <w:szCs w:val="14"/>
        </w:rPr>
      </w:pPr>
      <w:r w:rsidRPr="001131FC">
        <w:rPr>
          <w:rFonts w:cs="Tahoma"/>
          <w:sz w:val="14"/>
          <w:szCs w:val="14"/>
        </w:rPr>
        <w:t>Kaynak: Hazine Müsteşarlığı</w:t>
      </w:r>
    </w:p>
    <w:p w:rsidR="00565FD5" w:rsidRPr="001131FC" w:rsidRDefault="00565FD5" w:rsidP="00565FD5">
      <w:pPr>
        <w:tabs>
          <w:tab w:val="left" w:pos="499"/>
        </w:tabs>
        <w:rPr>
          <w:rFonts w:cs="Tahoma"/>
          <w:sz w:val="14"/>
          <w:szCs w:val="14"/>
        </w:rPr>
      </w:pPr>
      <w:r>
        <w:rPr>
          <w:rFonts w:cs="Tahoma"/>
          <w:sz w:val="14"/>
          <w:szCs w:val="14"/>
        </w:rPr>
        <w:t>(1)</w:t>
      </w:r>
      <w:r w:rsidRPr="001131FC">
        <w:rPr>
          <w:rFonts w:cs="Tahoma"/>
          <w:sz w:val="14"/>
          <w:szCs w:val="14"/>
        </w:rPr>
        <w:t xml:space="preserve"> Yuvarlamalar nedeniyle hesaplamalar net sonuçları vermeyebilir. </w:t>
      </w:r>
    </w:p>
    <w:p w:rsidR="00565FD5" w:rsidRPr="001131FC" w:rsidRDefault="00565FD5" w:rsidP="00565FD5">
      <w:pPr>
        <w:tabs>
          <w:tab w:val="left" w:pos="499"/>
        </w:tabs>
        <w:rPr>
          <w:rFonts w:cs="Tahoma"/>
          <w:sz w:val="14"/>
          <w:szCs w:val="14"/>
        </w:rPr>
      </w:pPr>
      <w:r w:rsidRPr="001131FC">
        <w:rPr>
          <w:rFonts w:cs="Tahoma"/>
          <w:sz w:val="14"/>
          <w:szCs w:val="14"/>
        </w:rPr>
        <w:t>(</w:t>
      </w:r>
      <w:r>
        <w:rPr>
          <w:rFonts w:cs="Tahoma"/>
          <w:sz w:val="14"/>
          <w:szCs w:val="14"/>
        </w:rPr>
        <w:t>2</w:t>
      </w:r>
      <w:r w:rsidRPr="001131FC">
        <w:rPr>
          <w:rFonts w:cs="Tahoma"/>
          <w:sz w:val="14"/>
          <w:szCs w:val="14"/>
        </w:rPr>
        <w:t>) Haziran sonu itibarıyla</w:t>
      </w:r>
    </w:p>
    <w:p w:rsidR="00565FD5" w:rsidRPr="001131FC" w:rsidRDefault="00565FD5" w:rsidP="00565FD5">
      <w:pPr>
        <w:tabs>
          <w:tab w:val="left" w:pos="499"/>
        </w:tabs>
        <w:spacing w:after="360"/>
        <w:rPr>
          <w:rFonts w:cs="Tahoma"/>
          <w:sz w:val="14"/>
          <w:szCs w:val="14"/>
        </w:rPr>
      </w:pPr>
      <w:r w:rsidRPr="001131FC">
        <w:rPr>
          <w:rFonts w:cs="Tahoma"/>
          <w:sz w:val="14"/>
          <w:szCs w:val="14"/>
        </w:rPr>
        <w:t>(</w:t>
      </w:r>
      <w:r>
        <w:rPr>
          <w:rFonts w:cs="Tahoma"/>
          <w:sz w:val="14"/>
          <w:szCs w:val="14"/>
        </w:rPr>
        <w:t>3</w:t>
      </w:r>
      <w:r w:rsidRPr="001131FC">
        <w:rPr>
          <w:rFonts w:cs="Tahoma"/>
          <w:sz w:val="14"/>
          <w:szCs w:val="14"/>
        </w:rPr>
        <w:t>) 2012 yılı GSYH verisi Haziran ayı itibarıyla yıllıklandırılmıştır.</w:t>
      </w:r>
    </w:p>
    <w:p w:rsidR="00565FD5" w:rsidRPr="001131FC" w:rsidRDefault="00565FD5" w:rsidP="00565FD5">
      <w:pPr>
        <w:pStyle w:val="Balk3"/>
      </w:pPr>
      <w:bookmarkStart w:id="677" w:name="_Toc338494213"/>
      <w:bookmarkStart w:id="678" w:name="_Toc338505521"/>
      <w:bookmarkStart w:id="679" w:name="_Toc338505734"/>
      <w:bookmarkStart w:id="680" w:name="_Toc338505773"/>
      <w:bookmarkStart w:id="681" w:name="_Toc338523738"/>
      <w:bookmarkStart w:id="682" w:name="_Toc338523979"/>
      <w:bookmarkStart w:id="683" w:name="_Toc338526205"/>
      <w:bookmarkStart w:id="684" w:name="_Toc338673648"/>
      <w:bookmarkStart w:id="685" w:name="_Toc338711527"/>
      <w:r>
        <w:t>Ç</w:t>
      </w:r>
      <w:r w:rsidRPr="001131FC">
        <w:t>. ENFLASYON ve PARA-KUR POLİTİKASI</w:t>
      </w:r>
      <w:bookmarkEnd w:id="677"/>
      <w:bookmarkEnd w:id="678"/>
      <w:bookmarkEnd w:id="679"/>
      <w:bookmarkEnd w:id="680"/>
      <w:bookmarkEnd w:id="681"/>
      <w:bookmarkEnd w:id="682"/>
      <w:bookmarkEnd w:id="683"/>
      <w:bookmarkEnd w:id="684"/>
      <w:bookmarkEnd w:id="685"/>
    </w:p>
    <w:p w:rsidR="00565FD5" w:rsidRPr="001131FC" w:rsidRDefault="00565FD5" w:rsidP="00565FD5">
      <w:pPr>
        <w:pStyle w:val="Balk4"/>
      </w:pPr>
      <w:bookmarkStart w:id="686" w:name="_Toc244253629"/>
      <w:bookmarkStart w:id="687" w:name="_Toc244254879"/>
      <w:bookmarkStart w:id="688" w:name="_Toc244313615"/>
      <w:bookmarkStart w:id="689" w:name="_Toc244315092"/>
      <w:bookmarkStart w:id="690" w:name="_Toc244339555"/>
      <w:bookmarkStart w:id="691" w:name="_Toc276076234"/>
      <w:bookmarkStart w:id="692" w:name="_Toc338505522"/>
      <w:bookmarkStart w:id="693" w:name="_Toc338505735"/>
      <w:bookmarkStart w:id="694" w:name="_Toc338505774"/>
      <w:bookmarkStart w:id="695" w:name="_Toc338523739"/>
      <w:bookmarkStart w:id="696" w:name="_Toc338523980"/>
      <w:bookmarkStart w:id="697" w:name="_Toc338526206"/>
      <w:bookmarkStart w:id="698" w:name="_Toc338673649"/>
      <w:bookmarkStart w:id="699" w:name="_Toc338711528"/>
      <w:r w:rsidRPr="001131FC">
        <w:t>1. Enflasyon</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r w:rsidRPr="001131FC">
        <w:t xml:space="preserve"> </w:t>
      </w:r>
    </w:p>
    <w:p w:rsidR="00565FD5" w:rsidRDefault="00565FD5" w:rsidP="00565FD5">
      <w:pPr>
        <w:spacing w:after="180"/>
        <w:ind w:firstLine="425"/>
        <w:rPr>
          <w:szCs w:val="18"/>
        </w:rPr>
      </w:pPr>
      <w:r w:rsidRPr="00DB1374">
        <w:rPr>
          <w:szCs w:val="18"/>
        </w:rPr>
        <w:t>2011 yılı sonunda TÜFE ve ÜFE yıllık artış hızları sırasıyla yüzde 10,45 ve yüzde 13,33 olarak gerçekleşmiştir. İşlenmemiş gıda fiyatlarındaki olumlu gelişmeler ve baz etkisi nedeniyle 2011 yılı Mart ayı sonu itibarıyla yüzde 3,99 ile oldukça düşük bir düzeye gerileyen TÜFE yıllık artış hızı, Türk Lirasında gözlenen değer kaybının yanı sıra dolar bazında ithalat fiyatlarında kaydedilen artışlar nedeniyle ivmelenmeye başlayarak 2011 yılı Eylül ayı itibarıyla yüzde 6,15’e yükselmiştir. Yılın son çeyreğinde Türk Lirasında yaşanan değer kayıplarının belirginleşmesi, yönetilen/yönlendirilen fiyatlarda yapılan ayarlamalar ve işlenmemiş gıda fiyatlarında kaydedilen yüksek artışların etkisiyle 4,3 puan artan TÜFE yıllık artış hızı yüzde 10,5 olarak gerçekleşmiştir. Bu gelişmede yıl genelinde yurtiçi talepte kaydedilen güçlü seyrin de etkisi olmuştur.</w:t>
      </w:r>
    </w:p>
    <w:p w:rsidR="00565FD5" w:rsidRPr="00E90071" w:rsidRDefault="00565FD5" w:rsidP="00565FD5">
      <w:pPr>
        <w:pStyle w:val="ResimYazs"/>
        <w:rPr>
          <w:rFonts w:cs="Tahoma"/>
          <w:szCs w:val="24"/>
        </w:rPr>
      </w:pPr>
      <w:bookmarkStart w:id="700" w:name="_Toc338704788"/>
      <w:bookmarkStart w:id="701" w:name="_Toc338711851"/>
      <w:r>
        <w:lastRenderedPageBreak/>
        <w:t xml:space="preserve">GRAFİK: </w:t>
      </w:r>
      <w:fldSimple w:instr=" SEQ GRAFİK: \* ARABIC ">
        <w:r>
          <w:rPr>
            <w:noProof/>
          </w:rPr>
          <w:t>3</w:t>
        </w:r>
      </w:fldSimple>
      <w:r w:rsidRPr="00E90071">
        <w:t>-</w:t>
      </w:r>
      <w:r w:rsidRPr="00E90071">
        <w:rPr>
          <w:rFonts w:cs="Tahoma"/>
          <w:szCs w:val="24"/>
        </w:rPr>
        <w:t xml:space="preserve"> Fiyat Gelişmeleri</w:t>
      </w:r>
      <w:bookmarkEnd w:id="700"/>
      <w:bookmarkEnd w:id="701"/>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9"/>
        <w:gridCol w:w="3485"/>
      </w:tblGrid>
      <w:tr w:rsidR="00565FD5" w:rsidRPr="001131FC" w:rsidTr="00AB62A3">
        <w:trPr>
          <w:trHeight w:val="203"/>
          <w:jc w:val="center"/>
        </w:trPr>
        <w:tc>
          <w:tcPr>
            <w:tcW w:w="2561" w:type="pct"/>
          </w:tcPr>
          <w:p w:rsidR="00565FD5" w:rsidRPr="00B83A90" w:rsidRDefault="00565FD5" w:rsidP="00AB62A3">
            <w:pPr>
              <w:jc w:val="center"/>
              <w:rPr>
                <w:rFonts w:cs="Tahoma"/>
                <w:b/>
                <w:sz w:val="16"/>
                <w:szCs w:val="16"/>
              </w:rPr>
            </w:pPr>
            <w:r w:rsidRPr="00B83A90">
              <w:rPr>
                <w:rFonts w:cs="Tahoma"/>
                <w:b/>
                <w:sz w:val="16"/>
                <w:szCs w:val="16"/>
              </w:rPr>
              <w:t>TÜFE ve Özel Kapsamlı TÜFE</w:t>
            </w:r>
          </w:p>
          <w:p w:rsidR="00565FD5" w:rsidRPr="00B83A90" w:rsidRDefault="00565FD5" w:rsidP="00AB62A3">
            <w:pPr>
              <w:jc w:val="center"/>
              <w:rPr>
                <w:rFonts w:cs="Tahoma"/>
                <w:b/>
                <w:sz w:val="16"/>
                <w:szCs w:val="16"/>
              </w:rPr>
            </w:pPr>
            <w:r w:rsidRPr="00B83A90">
              <w:rPr>
                <w:rFonts w:cs="Tahoma"/>
                <w:b/>
                <w:sz w:val="16"/>
                <w:szCs w:val="16"/>
              </w:rPr>
              <w:t>Göstergesi I</w:t>
            </w:r>
          </w:p>
          <w:p w:rsidR="00565FD5" w:rsidRPr="001131FC" w:rsidRDefault="00565FD5" w:rsidP="00AB62A3">
            <w:pPr>
              <w:jc w:val="center"/>
              <w:rPr>
                <w:rFonts w:cs="Tahoma"/>
                <w:sz w:val="16"/>
                <w:szCs w:val="16"/>
              </w:rPr>
            </w:pPr>
            <w:r w:rsidRPr="00B83A90">
              <w:rPr>
                <w:rFonts w:cs="Tahoma"/>
                <w:b/>
                <w:sz w:val="16"/>
                <w:szCs w:val="16"/>
              </w:rPr>
              <w:t>(Yıllık Yüzde Değişim)</w:t>
            </w:r>
          </w:p>
        </w:tc>
        <w:tc>
          <w:tcPr>
            <w:tcW w:w="2439" w:type="pct"/>
          </w:tcPr>
          <w:p w:rsidR="00565FD5" w:rsidRPr="00B83A90" w:rsidRDefault="00565FD5" w:rsidP="00AB62A3">
            <w:pPr>
              <w:spacing w:after="120"/>
              <w:jc w:val="center"/>
              <w:rPr>
                <w:rFonts w:cs="Tahoma"/>
                <w:b/>
                <w:sz w:val="16"/>
                <w:szCs w:val="16"/>
              </w:rPr>
            </w:pPr>
            <w:r w:rsidRPr="00B83A90">
              <w:rPr>
                <w:rFonts w:cs="Tahoma"/>
                <w:b/>
                <w:sz w:val="16"/>
                <w:szCs w:val="16"/>
              </w:rPr>
              <w:t>ÜFE ve İmalat Sanayi Fiyatları</w:t>
            </w:r>
          </w:p>
          <w:p w:rsidR="00565FD5" w:rsidRPr="001131FC" w:rsidRDefault="00565FD5" w:rsidP="00AB62A3">
            <w:pPr>
              <w:spacing w:after="120"/>
              <w:jc w:val="center"/>
              <w:rPr>
                <w:rFonts w:cs="Tahoma"/>
                <w:szCs w:val="16"/>
              </w:rPr>
            </w:pPr>
            <w:r w:rsidRPr="00B83A90">
              <w:rPr>
                <w:rFonts w:cs="Tahoma"/>
                <w:b/>
                <w:sz w:val="16"/>
                <w:szCs w:val="16"/>
              </w:rPr>
              <w:t>(Yıllık Yüzde Değişim)</w:t>
            </w:r>
          </w:p>
        </w:tc>
      </w:tr>
      <w:tr w:rsidR="00565FD5" w:rsidRPr="001131FC" w:rsidTr="00AB62A3">
        <w:trPr>
          <w:trHeight w:val="2656"/>
          <w:jc w:val="center"/>
        </w:trPr>
        <w:tc>
          <w:tcPr>
            <w:tcW w:w="2561" w:type="pct"/>
          </w:tcPr>
          <w:p w:rsidR="00565FD5" w:rsidRPr="001131FC" w:rsidRDefault="00565FD5" w:rsidP="00AB62A3">
            <w:pPr>
              <w:spacing w:after="120"/>
              <w:rPr>
                <w:rFonts w:cs="Tahoma"/>
                <w:szCs w:val="16"/>
              </w:rPr>
            </w:pPr>
            <w:r>
              <w:rPr>
                <w:rFonts w:cs="Tahoma"/>
                <w:noProof/>
                <w:szCs w:val="16"/>
                <w:lang w:eastAsia="tr-TR"/>
              </w:rPr>
              <w:drawing>
                <wp:inline distT="0" distB="0" distL="0" distR="0">
                  <wp:extent cx="2105025" cy="1600200"/>
                  <wp:effectExtent l="0" t="0" r="0" b="0"/>
                  <wp:docPr id="3"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2439" w:type="pct"/>
          </w:tcPr>
          <w:p w:rsidR="00565FD5" w:rsidRPr="001131FC" w:rsidRDefault="00565FD5" w:rsidP="00AB62A3">
            <w:pPr>
              <w:spacing w:after="120"/>
              <w:rPr>
                <w:rFonts w:cs="Tahoma"/>
                <w:szCs w:val="16"/>
              </w:rPr>
            </w:pPr>
            <w:r>
              <w:rPr>
                <w:rFonts w:cs="Tahoma"/>
                <w:noProof/>
                <w:szCs w:val="16"/>
                <w:lang w:eastAsia="tr-TR"/>
              </w:rPr>
              <w:drawing>
                <wp:inline distT="0" distB="0" distL="0" distR="0">
                  <wp:extent cx="2019300" cy="1600200"/>
                  <wp:effectExtent l="0" t="0" r="0" b="0"/>
                  <wp:docPr id="4"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565FD5" w:rsidRPr="00B83A90" w:rsidRDefault="00565FD5" w:rsidP="00565FD5">
      <w:pPr>
        <w:spacing w:after="120"/>
        <w:rPr>
          <w:rFonts w:cs="Tahoma"/>
          <w:sz w:val="14"/>
          <w:szCs w:val="14"/>
        </w:rPr>
      </w:pPr>
      <w:r w:rsidRPr="00B83A90">
        <w:rPr>
          <w:rFonts w:cs="Tahoma"/>
          <w:sz w:val="14"/>
          <w:szCs w:val="14"/>
        </w:rPr>
        <w:t xml:space="preserve">Kaynak: TÜİK </w:t>
      </w:r>
    </w:p>
    <w:p w:rsidR="00565FD5" w:rsidRDefault="00565FD5" w:rsidP="00565FD5">
      <w:pPr>
        <w:spacing w:after="180"/>
        <w:ind w:firstLine="425"/>
        <w:rPr>
          <w:szCs w:val="18"/>
        </w:rPr>
      </w:pPr>
      <w:r w:rsidRPr="00B83A90">
        <w:rPr>
          <w:szCs w:val="18"/>
        </w:rPr>
        <w:t xml:space="preserve">2012 yılının ilk çeyreğinde yatay seyreden TÜFE yıllık artış hızı Nisan ayında giyim ve ayakkabı grubu fiyatlarında yaşanan mevsimsel ortalamaların üzerindeki artış ve elektrik ile doğal gaz fiyatlarına yapılan ayarlamanın etkisiyle yüzde 11,14’e yükselmiştir. 2012 yılı Mayıs ayında olumlu baz etkisiyle yüzde 8,28 gerileyen TÜFE yıllık artış hızı Ocak-Eylül döneminde ise 2011 yıl sonuna göre 1,26 puan gerileyerek yüzde 9,19 olarak gerçekleşmiştir. Bu gelişmede, yavaşlayan ekonomik faaliyet ile döviz kurunun gecikmeli yansımalarının büyük ölçüde tamamlanmasının yanında yılın ilk yarısında işlenmemiş gıda fiyatlarında kaydedilen olumlu seyir etkili olmuştur. Temel mal grubu fiyatları yıllık artış hızı, Türk Lirasındaki değer kaybının etkilerinin yavaşlamasıyla ivme kaybetmeye başlamış ve 2012 yılı Eylül ayında 2011 yıl sonuna göre 3,7 puan azalarak yüzde 6,41 olarak gerçekleşmiştir. Hizmet grubu fiyatları yıllık artış hızı ise TÜFE yıllık artış hızının yüksek seyrettiği bu dönemde 0,7 puanlık sınırlı bir artışla 6,93 olarak gerçekleşmiştir. Öte yandan, Eylül ayı içinde açıklanan vergi ayarlamaları ile 1 Ekim 2012 tarihinden geçerli olmak üzere doğalgaz ve elektrik tarifelerinde yapılan artış yılın son çeyreğinde enflasyona artırıcı yönde etki yapacaktır. </w:t>
      </w:r>
    </w:p>
    <w:p w:rsidR="00565FD5" w:rsidRPr="00330669" w:rsidRDefault="00565FD5" w:rsidP="00565FD5">
      <w:pPr>
        <w:spacing w:after="180"/>
        <w:ind w:firstLine="425"/>
        <w:rPr>
          <w:szCs w:val="18"/>
        </w:rPr>
      </w:pPr>
      <w:r w:rsidRPr="00330669">
        <w:rPr>
          <w:szCs w:val="18"/>
        </w:rPr>
        <w:t xml:space="preserve">2010 yılı Ekim ayından itibaren istikrarlı bir şekilde yükselen özel kapsamlı TÜFE göstergelerinden ÖKTG-H ve ÖKTG-I endeksleri yıllık artış oranları 2012 yılında temel mal fiyatlarında yaşanan gelişmelere paralel olarak azalmaya </w:t>
      </w:r>
      <w:r w:rsidRPr="00330669">
        <w:rPr>
          <w:szCs w:val="18"/>
        </w:rPr>
        <w:lastRenderedPageBreak/>
        <w:t>başlamıştır. 2012 yılı Eylül ayı itibarıyla ÖKTG-H ve ÖKTG-I endeksleri yıllık artış hızları sırasıyla yüzde 7,21 ve yüzde 6,68 olarak gerçekleşmiştir.</w:t>
      </w:r>
    </w:p>
    <w:p w:rsidR="00565FD5" w:rsidRPr="00E90071" w:rsidRDefault="00565FD5" w:rsidP="00565FD5">
      <w:pPr>
        <w:pStyle w:val="ResimYazs"/>
        <w:rPr>
          <w:rFonts w:cs="Tahoma"/>
          <w:szCs w:val="24"/>
        </w:rPr>
      </w:pPr>
      <w:bookmarkStart w:id="702" w:name="_Toc338704789"/>
      <w:bookmarkStart w:id="703" w:name="_Toc338711852"/>
      <w:r>
        <w:t xml:space="preserve">GRAFİK: </w:t>
      </w:r>
      <w:fldSimple w:instr=" SEQ GRAFİK: \* ARABIC ">
        <w:r>
          <w:rPr>
            <w:noProof/>
          </w:rPr>
          <w:t>4</w:t>
        </w:r>
      </w:fldSimple>
      <w:r w:rsidRPr="00E90071">
        <w:rPr>
          <w:rFonts w:cs="Tahoma"/>
          <w:szCs w:val="24"/>
        </w:rPr>
        <w:t>- Mal ve Hizmet Fiyatları (Yıllık Yüzde Değişim)</w:t>
      </w:r>
      <w:bookmarkEnd w:id="702"/>
      <w:bookmarkEnd w:id="703"/>
    </w:p>
    <w:p w:rsidR="00565FD5" w:rsidRPr="001131FC" w:rsidRDefault="00565FD5" w:rsidP="00565FD5">
      <w:r>
        <w:rPr>
          <w:rFonts w:cs="Tahoma"/>
          <w:noProof/>
          <w:lang w:eastAsia="tr-TR"/>
        </w:rPr>
        <w:drawing>
          <wp:inline distT="0" distB="0" distL="0" distR="0">
            <wp:extent cx="4543425" cy="1638300"/>
            <wp:effectExtent l="0" t="0" r="0" b="0"/>
            <wp:docPr id="5"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65FD5" w:rsidRPr="00330669" w:rsidRDefault="00565FD5" w:rsidP="00565FD5">
      <w:pPr>
        <w:spacing w:after="120"/>
        <w:rPr>
          <w:rFonts w:cs="Tahoma"/>
          <w:sz w:val="14"/>
          <w:szCs w:val="14"/>
        </w:rPr>
      </w:pPr>
      <w:r w:rsidRPr="00330669">
        <w:rPr>
          <w:rFonts w:cs="Tahoma"/>
          <w:sz w:val="14"/>
          <w:szCs w:val="14"/>
        </w:rPr>
        <w:t>Kaynak: Merkez Bankası</w:t>
      </w:r>
    </w:p>
    <w:p w:rsidR="00565FD5" w:rsidRPr="00330669" w:rsidRDefault="00565FD5" w:rsidP="00565FD5">
      <w:pPr>
        <w:spacing w:after="120"/>
        <w:ind w:firstLine="425"/>
        <w:rPr>
          <w:szCs w:val="18"/>
        </w:rPr>
      </w:pPr>
      <w:r w:rsidRPr="00330669">
        <w:rPr>
          <w:szCs w:val="18"/>
        </w:rPr>
        <w:t>2011 yılında temelde uluslararası emtia fiyatları ve döviz kuru gelişmelerine bağlı olarak ivmelenen ÜFE yıllık artış hızı, 2012 yılında söz konusu etkilerin yavaşlamasıyla azalmaya başlamış ve 2012 yılı Eylül ayı itibarıyla yüzde 4,03 olarak gerçekleşmiştir. Tarım fiyatları mevsimsel gelişmeler sonucunda dalgalı seyrederken, imalat sanayi fiyatlarının aylık artış eğilimi 2012 yılında oldukça düşük seviyelerde seyretmiştir. Üretici fiyat gelişmeleri tüketici fiyatları üzerindeki maliyet yönlü baskıların zayıf seyrettiğine işaret etmektedir.</w:t>
      </w:r>
    </w:p>
    <w:p w:rsidR="00565FD5" w:rsidRPr="001131FC" w:rsidRDefault="00565FD5" w:rsidP="00565FD5">
      <w:pPr>
        <w:pStyle w:val="Balk4"/>
      </w:pPr>
      <w:bookmarkStart w:id="704" w:name="_Toc307601942"/>
      <w:bookmarkStart w:id="705" w:name="_Toc307670390"/>
      <w:bookmarkStart w:id="706" w:name="_Toc307701616"/>
      <w:bookmarkStart w:id="707" w:name="_Toc338505523"/>
      <w:bookmarkStart w:id="708" w:name="_Toc338505736"/>
      <w:bookmarkStart w:id="709" w:name="_Toc338505775"/>
      <w:bookmarkStart w:id="710" w:name="_Toc338523740"/>
      <w:bookmarkStart w:id="711" w:name="_Toc338523981"/>
      <w:bookmarkStart w:id="712" w:name="_Toc338526207"/>
      <w:bookmarkStart w:id="713" w:name="_Toc338673650"/>
      <w:bookmarkStart w:id="714" w:name="_Toc338711529"/>
      <w:bookmarkStart w:id="715" w:name="_Toc181180676"/>
      <w:r w:rsidRPr="001131FC">
        <w:t>2. Para ve Kur Politikası</w:t>
      </w:r>
      <w:bookmarkEnd w:id="704"/>
      <w:bookmarkEnd w:id="705"/>
      <w:bookmarkEnd w:id="706"/>
      <w:bookmarkEnd w:id="707"/>
      <w:bookmarkEnd w:id="708"/>
      <w:bookmarkEnd w:id="709"/>
      <w:bookmarkEnd w:id="710"/>
      <w:bookmarkEnd w:id="711"/>
      <w:bookmarkEnd w:id="712"/>
      <w:bookmarkEnd w:id="713"/>
      <w:bookmarkEnd w:id="714"/>
    </w:p>
    <w:p w:rsidR="00565FD5" w:rsidRPr="001131FC" w:rsidRDefault="00565FD5" w:rsidP="00565FD5">
      <w:pPr>
        <w:spacing w:after="120"/>
        <w:ind w:firstLine="426"/>
        <w:rPr>
          <w:rFonts w:cs="Tahoma"/>
          <w:b/>
          <w:szCs w:val="18"/>
        </w:rPr>
      </w:pPr>
      <w:r w:rsidRPr="001131FC">
        <w:rPr>
          <w:rFonts w:cs="Tahoma"/>
          <w:b/>
          <w:szCs w:val="18"/>
        </w:rPr>
        <w:t>a) Mevcut Durum</w:t>
      </w:r>
    </w:p>
    <w:p w:rsidR="00565FD5" w:rsidRPr="00330669" w:rsidRDefault="00565FD5" w:rsidP="00565FD5">
      <w:pPr>
        <w:spacing w:after="120"/>
        <w:ind w:firstLine="425"/>
        <w:rPr>
          <w:szCs w:val="18"/>
        </w:rPr>
      </w:pPr>
      <w:bookmarkStart w:id="716" w:name="_Toc213071599"/>
      <w:bookmarkEnd w:id="715"/>
      <w:r w:rsidRPr="00330669">
        <w:rPr>
          <w:szCs w:val="18"/>
        </w:rPr>
        <w:t xml:space="preserve">Merkez Bankası fiyat istikrarını sağlamak ve sürdürmek temel amacı doğrultusunda enflasyon hedeflemesi rejimi çerçevesinde para politikası uygulamalarını sürdürmektedir. 2012 yılı için enflasyon hedefi Hükümetle birlikte yüzde 5 olarak belirlenmiştir. Merkez Bankasının hesap verme yükümlülüğüne esas teşkil edecek olan belirsizlik aralığı ise ±2 puan olarak ilan edilmiştir. </w:t>
      </w:r>
    </w:p>
    <w:p w:rsidR="00565FD5" w:rsidRDefault="00565FD5" w:rsidP="00565FD5">
      <w:pPr>
        <w:spacing w:after="120"/>
        <w:ind w:firstLine="425"/>
        <w:rPr>
          <w:szCs w:val="18"/>
        </w:rPr>
      </w:pPr>
      <w:bookmarkStart w:id="717" w:name="_Toc276076550"/>
      <w:bookmarkStart w:id="718" w:name="_Toc307601776"/>
      <w:bookmarkStart w:id="719" w:name="_Toc307657952"/>
      <w:bookmarkStart w:id="720" w:name="_Toc307713779"/>
      <w:r w:rsidRPr="00330669">
        <w:rPr>
          <w:szCs w:val="18"/>
        </w:rPr>
        <w:t xml:space="preserve">Banka, fiyat istikrarı ve finansal istikrarın makroekonomik açıdan iki önemli hedef olması sebebiyle, finansal sistemde istikrarı sağlayıcı tedbirler de almaktadır. Bu bağlamda, temel para politikası aracı olan bir hafta vadeli repo faiziyle birlikte, faiz koridoru (gecelik borç verme ve borçlanma faizi arasındaki </w:t>
      </w:r>
      <w:r w:rsidRPr="00330669">
        <w:rPr>
          <w:szCs w:val="18"/>
        </w:rPr>
        <w:lastRenderedPageBreak/>
        <w:t>fark), zorunlu karşılıklar ve likidite yönetimi gibi alternatif araçları da etkin bir şekilde kullanmaktadır.</w:t>
      </w:r>
    </w:p>
    <w:p w:rsidR="00565FD5" w:rsidRPr="00330669" w:rsidRDefault="00565FD5" w:rsidP="00565FD5">
      <w:pPr>
        <w:spacing w:after="180"/>
        <w:ind w:firstLine="425"/>
        <w:rPr>
          <w:szCs w:val="18"/>
        </w:rPr>
      </w:pPr>
      <w:r w:rsidRPr="00330669">
        <w:rPr>
          <w:szCs w:val="18"/>
        </w:rPr>
        <w:t xml:space="preserve">Merkez Bankasının 2011 ve 2012 yılı para politikası uygulamalarında küresel ekonomideki gelişmeler ve süregelen belirsizlikler etkili olmuştur. 2010 yılının son çeyreğinden itibaren başlayan süreçte gelişmiş ülke merkez bankalarının aldığı kararlar Türk Lirasının aşırı değer kazanmasına ve hızlı kredi genişlemesine yol açarak cari işlemler açığının hızla artmasına neden olmuştur. Bu gelişmeler karşısında Banka, makro finansal riskleri kontrol altında tutabilmek amacıyla enflasyon hedeflemesi rejimini geliştirerek bir yandan kısa vadeli faizleri düşük tutarak kısa vadeli sermaye girişlerini caydırmayı, diğer yandan zorunlu karşılık oranlarını artırarak kredi artış hızını yavaşlatmayı hedefleyen yeni bir para politikası stratejisi izlemeye başlamıştır. </w:t>
      </w:r>
    </w:p>
    <w:p w:rsidR="00565FD5" w:rsidRPr="00694F5D" w:rsidRDefault="00565FD5" w:rsidP="00565FD5">
      <w:pPr>
        <w:pStyle w:val="ResimYazs"/>
        <w:rPr>
          <w:rFonts w:cs="Tahoma"/>
          <w:b w:val="0"/>
        </w:rPr>
      </w:pPr>
      <w:bookmarkStart w:id="721" w:name="_Toc338704790"/>
      <w:bookmarkStart w:id="722" w:name="_Toc338711853"/>
      <w:r>
        <w:t xml:space="preserve">GRAFİK: </w:t>
      </w:r>
      <w:fldSimple w:instr=" SEQ GRAFİK: \* ARABIC ">
        <w:r>
          <w:rPr>
            <w:noProof/>
          </w:rPr>
          <w:t>5</w:t>
        </w:r>
      </w:fldSimple>
      <w:r w:rsidRPr="00E90071">
        <w:rPr>
          <w:rFonts w:cs="Tahoma"/>
        </w:rPr>
        <w:t>- Yıllık Enflasyon ve Hedefle Uyumlu Patika</w:t>
      </w:r>
      <w:bookmarkEnd w:id="717"/>
      <w:bookmarkEnd w:id="718"/>
      <w:bookmarkEnd w:id="719"/>
      <w:bookmarkEnd w:id="720"/>
      <w:bookmarkEnd w:id="721"/>
      <w:bookmarkEnd w:id="722"/>
    </w:p>
    <w:p w:rsidR="00565FD5" w:rsidRPr="00694F5D" w:rsidRDefault="00565FD5" w:rsidP="00565FD5">
      <w:pPr>
        <w:keepNext/>
        <w:tabs>
          <w:tab w:val="left" w:pos="1170"/>
        </w:tabs>
        <w:spacing w:after="120"/>
        <w:rPr>
          <w:rFonts w:eastAsia="Batang" w:cs="Tahoma"/>
          <w:sz w:val="14"/>
          <w:szCs w:val="14"/>
          <w:lang w:eastAsia="ko-KR"/>
        </w:rPr>
      </w:pPr>
      <w:r>
        <w:rPr>
          <w:rFonts w:cs="Tahoma"/>
          <w:noProof/>
          <w:lang w:eastAsia="tr-TR"/>
        </w:rPr>
        <w:drawing>
          <wp:inline distT="0" distB="0" distL="0" distR="0">
            <wp:extent cx="4543425" cy="1619250"/>
            <wp:effectExtent l="0" t="0" r="0" b="0"/>
            <wp:docPr id="6"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694F5D">
        <w:rPr>
          <w:rFonts w:eastAsia="Batang" w:cs="Tahoma"/>
          <w:sz w:val="14"/>
          <w:szCs w:val="14"/>
          <w:lang w:eastAsia="ko-KR"/>
        </w:rPr>
        <w:t>Kaynak: TCMB, TÜİK</w:t>
      </w:r>
    </w:p>
    <w:p w:rsidR="00565FD5" w:rsidRDefault="00565FD5" w:rsidP="00565FD5">
      <w:pPr>
        <w:spacing w:after="180"/>
        <w:ind w:firstLine="425"/>
        <w:rPr>
          <w:szCs w:val="18"/>
        </w:rPr>
      </w:pPr>
      <w:r w:rsidRPr="00330669">
        <w:rPr>
          <w:szCs w:val="18"/>
        </w:rPr>
        <w:t xml:space="preserve">2011 yılının son çeyreğinde enflasyonda öngörülenden daha hızlı bir yükseliş yaşanmıştır. Banka, bu durumun orta vadeli enflasyon beklentilerini ve görünümünü olumsuz etkilemesini engellemek amacıyla, Ekim ayından itibaren güçlü bir parasal sıkılaştırmaya gitmiştir. Bu çerçevede, gecelik borç verme faizleri 350 baz puan artırılarak faiz koridoru yukarı doğru genişletilmiştir. Ayrıca, haftalık repo faiz oranından yapılan bir hafta vadeli fonlama miktarı düşürülerek bankaların fon ihtiyaçlarını, genişletilmiş bant içinde daha yüksek maliyetli kaynaklardan karşılamaları sağlanmıştır. Böylece, Banka tarafından piyasaya sağlanan likiditenin ağırlıklı ortalama maliyeti yükseltilmiştir. Bunun yanında, Banka 29 Aralık 2011 tarihinde ek parasal sıkılaştırmaya giderek politika faizinden yapılan fonlamayı kaldırmış ve geleneksel ihale yöntemiyle gün içi bir hafta vadeli repo fonlaması yapmaya başlamıştır. Bu ihalelerde </w:t>
      </w:r>
      <w:r w:rsidRPr="00330669">
        <w:rPr>
          <w:szCs w:val="18"/>
        </w:rPr>
        <w:lastRenderedPageBreak/>
        <w:t>faizlerin piyasa tarafından belirlenmesi fonlama maliyetini artırmıştır. Ayrıca döviz satım ihaleleri ve doğrudan müdahaleler yoluyla piyasadan çekilen Türk Lirasının daha sonra tekrar piyasaya verilmemesi de ek sıkılaştırmaya katkıda bulunmuştur. Ek parasal sıkılaştırma uygulaması 10 Ocak 2012 tarihinde sonlandırılmıştır. Haftalık repo ihalelerine ilave olarak, 30 Aralık 2011 tarihinden itibaren Merkez Bankası küresel ekonomik gelişmeleri dengelemek ve likiditenin daha etkin dağılmasına katkıda bulunmak amaçları ile her hafta Cuma günü bir ay (dört hafta) vadeli repo ihalesi düzenlemeye başlamıştır.</w:t>
      </w:r>
    </w:p>
    <w:p w:rsidR="00565FD5" w:rsidRPr="00694F5D" w:rsidRDefault="00565FD5" w:rsidP="00565FD5">
      <w:pPr>
        <w:spacing w:after="120"/>
        <w:ind w:firstLine="426"/>
        <w:rPr>
          <w:rFonts w:eastAsia="Batang" w:cs="Tahoma"/>
          <w:lang w:eastAsia="ko-KR"/>
        </w:rPr>
      </w:pPr>
      <w:r w:rsidRPr="00694F5D">
        <w:rPr>
          <w:rFonts w:eastAsia="Batang" w:cs="Tahoma"/>
          <w:lang w:eastAsia="ko-KR"/>
        </w:rPr>
        <w:t>Merkez Bankası, 2012 yılının ilk çeyreğinde küresel risk algılamalarındaki olumlu seyre karşın maliyet unsurlarına dair yukarı yönlü risklerin varlığı nedeniyle temkinli duruşunu sürdürmüştür. Küresel ölçekte alınan parasal genişlemeye ilişkin kararlar göz önüne alınarak Şubat ayında faiz koridorunun üst sınırı 100 baz puan indirilmiştir. Diğer taraftan, petrol fiyatları ve diğer maliyet unsurlarında gözlenen artışların enflasyon beklentilerini bozmasını engellemek amacıyla 22 Mart – 4 Haziran 2012 tarihleri arasında Banka toplam beş kez ek parasal sıkılaştırmaya gitmiştir. Merkez Bankası bu dönemde bankaların likidite yönetimlerini kolaylaştırmak ve toplam fonlama maliyetlerini öngörebilmelerine yardımcı olmak amacıyla bir hafta vadeli repo ihalesiyle sağlamayı planladığı fonlama miktarının alt sınırına ilave olarak, ihalelerin günlük miktarına ilişkin alt ve üst sınırlarını da ilan etmeye başlamıştır. Takip eden dönemde para politikası temkinli duruşunu devam ettirmiş, bununla birlikte risk iştahının artmasına paralel olarak Temmuz ayından itibaren gerek ortalama fonlama maliyetinin gerekse piyasada oluşan gecelik faizin daha düşük seviyelerde oluşması sağlanmıştır. Ayrıca, küresel ölçekte alınan parasal genişlemeye ilişkin kararlar göz önüne alınarak Eylül</w:t>
      </w:r>
      <w:r>
        <w:rPr>
          <w:rFonts w:eastAsia="Batang" w:cs="Tahoma"/>
          <w:lang w:eastAsia="ko-KR"/>
        </w:rPr>
        <w:t xml:space="preserve"> ve Ekim</w:t>
      </w:r>
      <w:r w:rsidRPr="00694F5D">
        <w:rPr>
          <w:rFonts w:eastAsia="Batang" w:cs="Tahoma"/>
          <w:lang w:eastAsia="ko-KR"/>
        </w:rPr>
        <w:t xml:space="preserve"> ay</w:t>
      </w:r>
      <w:r>
        <w:rPr>
          <w:rFonts w:eastAsia="Batang" w:cs="Tahoma"/>
          <w:lang w:eastAsia="ko-KR"/>
        </w:rPr>
        <w:t>larında</w:t>
      </w:r>
      <w:r w:rsidRPr="00694F5D">
        <w:rPr>
          <w:rFonts w:eastAsia="Batang" w:cs="Tahoma"/>
          <w:lang w:eastAsia="ko-KR"/>
        </w:rPr>
        <w:t xml:space="preserve"> faiz koridorunun üst sınırı</w:t>
      </w:r>
      <w:r>
        <w:rPr>
          <w:rFonts w:eastAsia="Batang" w:cs="Tahoma"/>
          <w:lang w:eastAsia="ko-KR"/>
        </w:rPr>
        <w:t xml:space="preserve"> toplamda</w:t>
      </w:r>
      <w:r w:rsidRPr="00694F5D">
        <w:rPr>
          <w:rFonts w:eastAsia="Batang" w:cs="Tahoma"/>
          <w:lang w:eastAsia="ko-KR"/>
        </w:rPr>
        <w:t xml:space="preserve"> </w:t>
      </w:r>
      <w:r>
        <w:rPr>
          <w:rFonts w:eastAsia="Batang" w:cs="Tahoma"/>
          <w:lang w:eastAsia="ko-KR"/>
        </w:rPr>
        <w:t>200</w:t>
      </w:r>
      <w:r w:rsidRPr="00694F5D">
        <w:rPr>
          <w:rFonts w:eastAsia="Batang" w:cs="Tahoma"/>
          <w:lang w:eastAsia="ko-KR"/>
        </w:rPr>
        <w:t xml:space="preserve"> baz puan indirilmiştir. Bu dönemde FED ve AMB tarafından alınan parasal genişlemeye yönelik kararlara rağmen küresel ekonomiye dair belirsizliklerin sürmesi nedeniyle Merkez Bankası para politikasındaki esnekliği korumaya devam etmiştir.</w:t>
      </w:r>
    </w:p>
    <w:p w:rsidR="00565FD5" w:rsidRPr="00694F5D" w:rsidRDefault="00565FD5" w:rsidP="00565FD5">
      <w:pPr>
        <w:pStyle w:val="ResimYazs"/>
        <w:rPr>
          <w:rFonts w:eastAsia="Batang" w:cs="Tahoma"/>
          <w:b w:val="0"/>
          <w:szCs w:val="16"/>
          <w:lang w:eastAsia="ko-KR"/>
        </w:rPr>
      </w:pPr>
      <w:bookmarkStart w:id="723" w:name="_Toc338704791"/>
      <w:bookmarkStart w:id="724" w:name="_Toc338711854"/>
      <w:r>
        <w:t xml:space="preserve">GRAFİK: </w:t>
      </w:r>
      <w:fldSimple w:instr=" SEQ GRAFİK: \* ARABIC ">
        <w:r>
          <w:rPr>
            <w:noProof/>
          </w:rPr>
          <w:t>6</w:t>
        </w:r>
      </w:fldSimple>
      <w:r w:rsidRPr="00E90071">
        <w:rPr>
          <w:rFonts w:eastAsia="Batang" w:cs="Tahoma"/>
          <w:szCs w:val="16"/>
          <w:lang w:eastAsia="ko-KR"/>
        </w:rPr>
        <w:t>- Merkez Bankası Faiz Oranları</w:t>
      </w:r>
      <w:bookmarkEnd w:id="723"/>
      <w:bookmarkEnd w:id="724"/>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44"/>
      </w:tblGrid>
      <w:tr w:rsidR="00565FD5" w:rsidRPr="00694F5D" w:rsidTr="00AB62A3">
        <w:trPr>
          <w:trHeight w:val="327"/>
          <w:jc w:val="center"/>
        </w:trPr>
        <w:tc>
          <w:tcPr>
            <w:tcW w:w="5000" w:type="pct"/>
            <w:vAlign w:val="center"/>
          </w:tcPr>
          <w:p w:rsidR="00565FD5" w:rsidRPr="00694F5D" w:rsidRDefault="00565FD5" w:rsidP="00AB62A3">
            <w:pPr>
              <w:jc w:val="center"/>
              <w:rPr>
                <w:rFonts w:cs="Tahoma"/>
                <w:b/>
                <w:sz w:val="16"/>
                <w:szCs w:val="16"/>
              </w:rPr>
            </w:pPr>
            <w:r w:rsidRPr="00694F5D">
              <w:rPr>
                <w:rFonts w:cs="Tahoma"/>
                <w:b/>
                <w:sz w:val="16"/>
                <w:szCs w:val="16"/>
              </w:rPr>
              <w:t>TCMB Faiz Oranları</w:t>
            </w:r>
          </w:p>
        </w:tc>
      </w:tr>
      <w:tr w:rsidR="00565FD5" w:rsidRPr="00694F5D" w:rsidTr="00AB62A3">
        <w:tblPrEx>
          <w:tblCellMar>
            <w:left w:w="70" w:type="dxa"/>
            <w:right w:w="70" w:type="dxa"/>
          </w:tblCellMar>
        </w:tblPrEx>
        <w:trPr>
          <w:trHeight w:val="3819"/>
          <w:jc w:val="center"/>
        </w:trPr>
        <w:tc>
          <w:tcPr>
            <w:tcW w:w="5000" w:type="pct"/>
          </w:tcPr>
          <w:p w:rsidR="00565FD5" w:rsidRPr="00694F5D" w:rsidRDefault="00565FD5" w:rsidP="00AB62A3">
            <w:pPr>
              <w:spacing w:after="120"/>
              <w:jc w:val="center"/>
              <w:rPr>
                <w:rFonts w:cs="Tahoma"/>
                <w:sz w:val="16"/>
              </w:rPr>
            </w:pPr>
            <w:r>
              <w:rPr>
                <w:rFonts w:cs="Tahoma"/>
                <w:noProof/>
                <w:sz w:val="16"/>
                <w:lang w:eastAsia="tr-TR"/>
              </w:rPr>
              <w:lastRenderedPageBreak/>
              <w:drawing>
                <wp:inline distT="0" distB="0" distL="0" distR="0">
                  <wp:extent cx="4324350" cy="2314575"/>
                  <wp:effectExtent l="0" t="0" r="0" b="0"/>
                  <wp:docPr id="7"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565FD5" w:rsidRPr="00C202FB" w:rsidRDefault="00565FD5" w:rsidP="00565FD5">
      <w:pPr>
        <w:spacing w:after="120"/>
        <w:ind w:firstLine="708"/>
        <w:rPr>
          <w:rFonts w:eastAsia="Batang" w:cs="Tahoma"/>
          <w:sz w:val="10"/>
          <w:szCs w:val="10"/>
          <w:lang w:eastAsia="ko-KR"/>
        </w:rPr>
      </w:pP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45"/>
      </w:tblGrid>
      <w:tr w:rsidR="00565FD5" w:rsidRPr="00694F5D" w:rsidTr="00AB62A3">
        <w:trPr>
          <w:trHeight w:val="327"/>
          <w:jc w:val="center"/>
        </w:trPr>
        <w:tc>
          <w:tcPr>
            <w:tcW w:w="2484" w:type="pct"/>
            <w:vAlign w:val="center"/>
          </w:tcPr>
          <w:p w:rsidR="00565FD5" w:rsidRPr="00694F5D" w:rsidRDefault="00565FD5" w:rsidP="00AB62A3">
            <w:pPr>
              <w:jc w:val="center"/>
              <w:rPr>
                <w:rFonts w:cs="Tahoma"/>
                <w:b/>
                <w:sz w:val="16"/>
                <w:szCs w:val="16"/>
              </w:rPr>
            </w:pPr>
            <w:r w:rsidRPr="00694F5D">
              <w:rPr>
                <w:rFonts w:cs="Tahoma"/>
                <w:b/>
                <w:sz w:val="16"/>
                <w:szCs w:val="16"/>
              </w:rPr>
              <w:t>TCMB Ortalama Fonlama Faizi</w:t>
            </w:r>
          </w:p>
        </w:tc>
      </w:tr>
      <w:tr w:rsidR="00565FD5" w:rsidRPr="00694F5D" w:rsidTr="00AB62A3">
        <w:tblPrEx>
          <w:tblCellMar>
            <w:left w:w="70" w:type="dxa"/>
            <w:right w:w="70" w:type="dxa"/>
          </w:tblCellMar>
        </w:tblPrEx>
        <w:trPr>
          <w:trHeight w:val="4123"/>
          <w:jc w:val="center"/>
        </w:trPr>
        <w:tc>
          <w:tcPr>
            <w:tcW w:w="2484" w:type="pct"/>
          </w:tcPr>
          <w:p w:rsidR="00565FD5" w:rsidRPr="00694F5D" w:rsidRDefault="00565FD5" w:rsidP="00AB62A3">
            <w:pPr>
              <w:spacing w:after="120"/>
              <w:rPr>
                <w:rFonts w:cs="Tahoma"/>
                <w:sz w:val="20"/>
              </w:rPr>
            </w:pPr>
            <w:r>
              <w:rPr>
                <w:rFonts w:cs="Tahoma"/>
                <w:noProof/>
                <w:sz w:val="20"/>
                <w:lang w:eastAsia="tr-TR"/>
              </w:rPr>
              <w:drawing>
                <wp:inline distT="0" distB="0" distL="0" distR="0">
                  <wp:extent cx="4448175" cy="2457450"/>
                  <wp:effectExtent l="0" t="0" r="0" b="0"/>
                  <wp:docPr id="8"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rsidR="00565FD5" w:rsidRPr="00694F5D" w:rsidRDefault="00565FD5" w:rsidP="00565FD5">
      <w:pPr>
        <w:spacing w:after="120"/>
        <w:rPr>
          <w:rFonts w:eastAsia="Batang" w:cs="Tahoma"/>
          <w:lang w:eastAsia="ko-KR"/>
        </w:rPr>
      </w:pPr>
    </w:p>
    <w:p w:rsidR="00565FD5" w:rsidRPr="00694F5D" w:rsidRDefault="00565FD5" w:rsidP="00565FD5">
      <w:pPr>
        <w:spacing w:after="120"/>
        <w:ind w:firstLine="426"/>
        <w:rPr>
          <w:rFonts w:eastAsia="Batang" w:cs="Tahoma"/>
          <w:lang w:eastAsia="ko-KR"/>
        </w:rPr>
      </w:pPr>
      <w:r w:rsidRPr="00694F5D">
        <w:rPr>
          <w:rFonts w:eastAsia="Batang" w:cs="Tahoma"/>
          <w:lang w:eastAsia="ko-KR"/>
        </w:rPr>
        <w:t>Merkez Bankasının altın rezervlerinin güçlendirilmesi, bankacılık sisteminin maliyet ve likidite kanallarının olumlu etkilenmesi amacıyla Türk Lirası yükümlülükler için tesis edilmesi gereken zorunlu karşılıkların altın olarak tesis edilebilecek kısmı 27 Mart 2012 tarihinde yüzde 10’dan yüzde 20’ye yükseltilmiştir.</w:t>
      </w:r>
    </w:p>
    <w:p w:rsidR="00565FD5" w:rsidRPr="00694F5D" w:rsidRDefault="00565FD5" w:rsidP="00565FD5">
      <w:pPr>
        <w:spacing w:after="120"/>
        <w:ind w:firstLine="426"/>
        <w:rPr>
          <w:rFonts w:eastAsia="Batang" w:cs="Tahoma"/>
          <w:lang w:eastAsia="ko-KR"/>
        </w:rPr>
      </w:pPr>
      <w:r w:rsidRPr="00694F5D">
        <w:rPr>
          <w:rFonts w:eastAsia="Batang" w:cs="Tahoma"/>
          <w:lang w:eastAsia="ko-KR"/>
        </w:rPr>
        <w:lastRenderedPageBreak/>
        <w:t xml:space="preserve">2012 yılı Mayıs ayında Merkez Bankası finansal istikrarı desteklemek amacıyla Türk Lirası yükümlülükler için tutulması gereken zorunlu karşılıkların döviz ve altın cinsinden tesis imkânına dair getirdiği esnekliği artırmıştır. İlk aşamada zorunlu karşılıkların yabancı para olarak tutulabilecek oranı yüzde 40’dan yüzde 45’e, altın olarak tutulabilecek oranı ise yüzde 20’den yüzde 25’e yükseltilmiştir. Öte yandan Banka, Türk Lirası zorunlu karşılıkların Türk Lirası, altın veya döviz cinsinden tesis edilmesindeki maliyet farkının azaltılması amacıyla, ilave imkânlar için birim Türk Lirası başına tutulacak altın ve döviz cinsi miktarının rezerv opsiyon katsayısı (ROK) yoluyla artırılmasına karar vermiştir. Banka Mayıs-Eylül döneminde bu imkânın uygulandığı dilimleri kademeli olarak artırmış ve kullanılan imkan arttıkça artan ROK uygulamasını benimsemiştir. Söz konusu mekanizmanın sermaye hareketlerindeki dalgalanmalar karşısında bankacılık sektörünün yabancı para likidite ihtiyacı açısından otomatik bir dengeleyici olarak çalışması beklenmektedir. </w:t>
      </w:r>
    </w:p>
    <w:p w:rsidR="00565FD5" w:rsidRPr="00694F5D" w:rsidRDefault="00565FD5" w:rsidP="00565FD5">
      <w:pPr>
        <w:spacing w:after="160"/>
        <w:ind w:firstLine="426"/>
        <w:rPr>
          <w:rFonts w:cs="Tahoma"/>
          <w:szCs w:val="18"/>
        </w:rPr>
      </w:pPr>
      <w:bookmarkStart w:id="725" w:name="_Toc244339800"/>
      <w:bookmarkStart w:id="726" w:name="_Toc276076451"/>
      <w:bookmarkStart w:id="727" w:name="_Toc307601615"/>
      <w:bookmarkStart w:id="728" w:name="_Toc307657857"/>
      <w:bookmarkStart w:id="729" w:name="_Toc307713522"/>
      <w:r w:rsidRPr="00694F5D">
        <w:rPr>
          <w:rFonts w:cs="Tahoma"/>
          <w:szCs w:val="18"/>
        </w:rPr>
        <w:t>Merkez Bankası 22 Temmuz 2011 tarihine kadar olan dönemde düzenlediği döviz alım ihaleleriyle piyasadan 6,5 milyar ABD doları döviz likiditesi çekerken, 5 Ağustos 2011 tarihinden itibaren düzenlediği döviz satım ihaleleriyle ve döviz satım müdahaleleri ile piyasaya toplam 13,6 milyar döviz likiditesi sağlamıştır. Bu gelişmelere paralel olarak 2010 yılı sonu itibarıyla 80,7 milyar ABD doları düzeyinde olan altın hariç brüt döviz rezervleri, 2011 yılı sonunda 78,3 milyar ABD doları düzeyine gerilemiştir. 2011 yılının ikinci yarısından itibaren zorunlu karşılık oranlarına ilişkin alınan kararların etkisiyle altın hariç brüt döviz rezervlerinin seviyesi yükselmeye başlamıştır. 28 Eylül 2012 tarihi itibarıyla söz konusu rezervin seviyesi, 2011 yıl sonuna göre 16,5 milyar ABD doları artışla 94,8 milyar ABD doları olarak gerçekleşmiştir. Altın rezervlerinin seviyesinin artırılmasına yönelik tedbirlerle ise altın rezervi 28 Eylül 2012 tarihi itibarıyla 2011 yıl sonuna göre 7,4 milyar ABD doları artışla 17,3 milyar ABD doları seviyesine yükselmiştir.</w:t>
      </w:r>
    </w:p>
    <w:p w:rsidR="00565FD5" w:rsidRDefault="00565FD5" w:rsidP="00565FD5">
      <w:pPr>
        <w:pStyle w:val="ResimYazs"/>
        <w:rPr>
          <w:rFonts w:cs="Tahoma"/>
        </w:rPr>
      </w:pPr>
      <w:bookmarkStart w:id="730" w:name="_Toc338605977"/>
      <w:bookmarkStart w:id="731" w:name="_Toc338711752"/>
      <w:r>
        <w:t xml:space="preserve">TABLO II: </w:t>
      </w:r>
      <w:fldSimple w:instr=" SEQ TABLO_II: \* ARABIC ">
        <w:r>
          <w:rPr>
            <w:noProof/>
          </w:rPr>
          <w:t>25</w:t>
        </w:r>
      </w:fldSimple>
      <w:r w:rsidRPr="00330669">
        <w:rPr>
          <w:rFonts w:cs="Tahoma"/>
        </w:rPr>
        <w:t xml:space="preserve">- </w:t>
      </w:r>
      <w:bookmarkEnd w:id="725"/>
      <w:r w:rsidRPr="00330669">
        <w:rPr>
          <w:rFonts w:cs="Tahoma"/>
        </w:rPr>
        <w:t>Merkez Bankası Döviz Müdahale ve İhaleleri</w:t>
      </w:r>
      <w:bookmarkEnd w:id="726"/>
      <w:bookmarkEnd w:id="727"/>
      <w:bookmarkEnd w:id="728"/>
      <w:bookmarkEnd w:id="729"/>
      <w:bookmarkEnd w:id="730"/>
      <w:bookmarkEnd w:id="731"/>
    </w:p>
    <w:p w:rsidR="00565FD5" w:rsidRPr="004C29A2" w:rsidRDefault="00565FD5" w:rsidP="00565FD5">
      <w:pPr>
        <w:jc w:val="right"/>
        <w:rPr>
          <w:sz w:val="14"/>
          <w:szCs w:val="14"/>
        </w:rPr>
      </w:pPr>
      <w:r w:rsidRPr="004C29A2">
        <w:rPr>
          <w:sz w:val="14"/>
          <w:szCs w:val="14"/>
        </w:rPr>
        <w:t>(Milyon ABD Doları)</w:t>
      </w:r>
    </w:p>
    <w:tbl>
      <w:tblPr>
        <w:tblW w:w="4950" w:type="pct"/>
        <w:tblCellSpacing w:w="0" w:type="dxa"/>
        <w:tblBorders>
          <w:top w:val="single" w:sz="4" w:space="0" w:color="auto"/>
          <w:bottom w:val="single" w:sz="4" w:space="0" w:color="auto"/>
        </w:tblBorders>
        <w:tblCellMar>
          <w:left w:w="0" w:type="dxa"/>
          <w:right w:w="425" w:type="dxa"/>
        </w:tblCellMar>
        <w:tblLook w:val="0000"/>
      </w:tblPr>
      <w:tblGrid>
        <w:gridCol w:w="1243"/>
        <w:gridCol w:w="816"/>
        <w:gridCol w:w="1164"/>
        <w:gridCol w:w="1252"/>
        <w:gridCol w:w="1164"/>
        <w:gridCol w:w="1484"/>
      </w:tblGrid>
      <w:tr w:rsidR="00565FD5" w:rsidRPr="00694F5D" w:rsidTr="00AB62A3">
        <w:trPr>
          <w:trHeight w:val="16"/>
          <w:tblCellSpacing w:w="0" w:type="dxa"/>
        </w:trPr>
        <w:tc>
          <w:tcPr>
            <w:tcW w:w="872" w:type="pct"/>
            <w:tcBorders>
              <w:top w:val="single" w:sz="4" w:space="0" w:color="auto"/>
              <w:left w:val="single" w:sz="4" w:space="0" w:color="auto"/>
              <w:bottom w:val="single" w:sz="4" w:space="0" w:color="auto"/>
            </w:tcBorders>
            <w:tcMar>
              <w:top w:w="15" w:type="dxa"/>
              <w:left w:w="15" w:type="dxa"/>
              <w:bottom w:w="0" w:type="dxa"/>
              <w:right w:w="15" w:type="dxa"/>
            </w:tcMar>
            <w:vAlign w:val="center"/>
          </w:tcPr>
          <w:p w:rsidR="00565FD5" w:rsidRPr="00694F5D" w:rsidRDefault="00565FD5" w:rsidP="00AB62A3">
            <w:pPr>
              <w:jc w:val="center"/>
              <w:rPr>
                <w:rFonts w:cs="Tahoma"/>
                <w:b/>
                <w:bCs/>
                <w:sz w:val="14"/>
                <w:szCs w:val="16"/>
              </w:rPr>
            </w:pPr>
            <w:r w:rsidRPr="00694F5D">
              <w:rPr>
                <w:rFonts w:cs="Tahoma"/>
                <w:b/>
                <w:bCs/>
                <w:sz w:val="14"/>
                <w:szCs w:val="16"/>
              </w:rPr>
              <w:t>Yıl</w:t>
            </w:r>
          </w:p>
        </w:tc>
        <w:tc>
          <w:tcPr>
            <w:tcW w:w="573" w:type="pct"/>
            <w:tcBorders>
              <w:top w:val="single" w:sz="4" w:space="0" w:color="auto"/>
              <w:bottom w:val="single" w:sz="4" w:space="0" w:color="auto"/>
            </w:tcBorders>
            <w:tcMar>
              <w:top w:w="15" w:type="dxa"/>
              <w:left w:w="15" w:type="dxa"/>
              <w:bottom w:w="0" w:type="dxa"/>
              <w:right w:w="15" w:type="dxa"/>
            </w:tcMar>
            <w:vAlign w:val="center"/>
          </w:tcPr>
          <w:p w:rsidR="00565FD5" w:rsidRPr="00694F5D" w:rsidRDefault="00565FD5" w:rsidP="00AB62A3">
            <w:pPr>
              <w:jc w:val="right"/>
              <w:rPr>
                <w:rFonts w:cs="Tahoma"/>
                <w:b/>
                <w:bCs/>
                <w:sz w:val="14"/>
                <w:szCs w:val="16"/>
              </w:rPr>
            </w:pPr>
            <w:r w:rsidRPr="00694F5D">
              <w:rPr>
                <w:rFonts w:cs="Tahoma"/>
                <w:b/>
                <w:bCs/>
                <w:sz w:val="14"/>
                <w:szCs w:val="16"/>
              </w:rPr>
              <w:t>Döviz Alım İhaleleri</w:t>
            </w:r>
          </w:p>
        </w:tc>
        <w:tc>
          <w:tcPr>
            <w:tcW w:w="817" w:type="pct"/>
            <w:tcBorders>
              <w:top w:val="single" w:sz="4" w:space="0" w:color="auto"/>
              <w:bottom w:val="single" w:sz="4" w:space="0" w:color="auto"/>
            </w:tcBorders>
            <w:tcMar>
              <w:top w:w="15" w:type="dxa"/>
              <w:left w:w="15" w:type="dxa"/>
              <w:bottom w:w="0" w:type="dxa"/>
              <w:right w:w="15" w:type="dxa"/>
            </w:tcMar>
            <w:vAlign w:val="center"/>
          </w:tcPr>
          <w:p w:rsidR="00565FD5" w:rsidRPr="00694F5D" w:rsidRDefault="00565FD5" w:rsidP="00AB62A3">
            <w:pPr>
              <w:jc w:val="right"/>
              <w:rPr>
                <w:rFonts w:cs="Tahoma"/>
                <w:b/>
                <w:bCs/>
                <w:sz w:val="14"/>
                <w:szCs w:val="16"/>
              </w:rPr>
            </w:pPr>
            <w:r w:rsidRPr="00694F5D">
              <w:rPr>
                <w:rFonts w:cs="Tahoma"/>
                <w:b/>
                <w:bCs/>
                <w:sz w:val="14"/>
                <w:szCs w:val="16"/>
              </w:rPr>
              <w:t>Döviz Satım İhaleleri</w:t>
            </w:r>
          </w:p>
        </w:tc>
        <w:tc>
          <w:tcPr>
            <w:tcW w:w="879" w:type="pct"/>
            <w:tcBorders>
              <w:top w:val="single" w:sz="4" w:space="0" w:color="auto"/>
              <w:bottom w:val="single" w:sz="4" w:space="0" w:color="auto"/>
            </w:tcBorders>
            <w:tcMar>
              <w:top w:w="15" w:type="dxa"/>
              <w:left w:w="15" w:type="dxa"/>
              <w:bottom w:w="0" w:type="dxa"/>
              <w:right w:w="15" w:type="dxa"/>
            </w:tcMar>
            <w:vAlign w:val="center"/>
          </w:tcPr>
          <w:p w:rsidR="00565FD5" w:rsidRPr="00694F5D" w:rsidRDefault="00565FD5" w:rsidP="00AB62A3">
            <w:pPr>
              <w:jc w:val="right"/>
              <w:rPr>
                <w:rFonts w:cs="Tahoma"/>
                <w:b/>
                <w:bCs/>
                <w:sz w:val="14"/>
                <w:szCs w:val="16"/>
              </w:rPr>
            </w:pPr>
            <w:r w:rsidRPr="00694F5D">
              <w:rPr>
                <w:rFonts w:cs="Tahoma"/>
                <w:b/>
                <w:bCs/>
                <w:sz w:val="14"/>
                <w:szCs w:val="16"/>
              </w:rPr>
              <w:t>Döviz Alım Müdahaleleri</w:t>
            </w:r>
          </w:p>
        </w:tc>
        <w:tc>
          <w:tcPr>
            <w:tcW w:w="817" w:type="pct"/>
            <w:tcBorders>
              <w:top w:val="single" w:sz="4" w:space="0" w:color="auto"/>
              <w:bottom w:val="single" w:sz="4" w:space="0" w:color="auto"/>
            </w:tcBorders>
            <w:tcMar>
              <w:top w:w="15" w:type="dxa"/>
              <w:left w:w="15" w:type="dxa"/>
              <w:bottom w:w="0" w:type="dxa"/>
              <w:right w:w="15" w:type="dxa"/>
            </w:tcMar>
            <w:vAlign w:val="center"/>
          </w:tcPr>
          <w:p w:rsidR="00565FD5" w:rsidRPr="00694F5D" w:rsidRDefault="00565FD5" w:rsidP="00AB62A3">
            <w:pPr>
              <w:jc w:val="right"/>
              <w:rPr>
                <w:rFonts w:cs="Tahoma"/>
                <w:b/>
                <w:bCs/>
                <w:sz w:val="14"/>
                <w:szCs w:val="16"/>
                <w:vertAlign w:val="superscript"/>
              </w:rPr>
            </w:pPr>
            <w:r w:rsidRPr="00694F5D">
              <w:rPr>
                <w:rFonts w:cs="Tahoma"/>
                <w:b/>
                <w:bCs/>
                <w:sz w:val="14"/>
                <w:szCs w:val="16"/>
              </w:rPr>
              <w:t>Döviz Satım Müdahaleleri</w:t>
            </w:r>
          </w:p>
        </w:tc>
        <w:tc>
          <w:tcPr>
            <w:tcW w:w="1042" w:type="pct"/>
            <w:tcBorders>
              <w:top w:val="single" w:sz="4" w:space="0" w:color="auto"/>
              <w:bottom w:val="single" w:sz="4" w:space="0" w:color="auto"/>
              <w:right w:val="single" w:sz="4" w:space="0" w:color="auto"/>
            </w:tcBorders>
            <w:tcMar>
              <w:top w:w="15" w:type="dxa"/>
              <w:left w:w="15" w:type="dxa"/>
              <w:bottom w:w="0" w:type="dxa"/>
              <w:right w:w="15" w:type="dxa"/>
            </w:tcMar>
            <w:vAlign w:val="center"/>
          </w:tcPr>
          <w:p w:rsidR="00565FD5" w:rsidRPr="00694F5D" w:rsidRDefault="00565FD5" w:rsidP="00AB62A3">
            <w:pPr>
              <w:ind w:right="125"/>
              <w:jc w:val="right"/>
              <w:rPr>
                <w:rFonts w:cs="Tahoma"/>
                <w:b/>
                <w:bCs/>
                <w:sz w:val="14"/>
                <w:szCs w:val="16"/>
              </w:rPr>
            </w:pPr>
            <w:r w:rsidRPr="00694F5D">
              <w:rPr>
                <w:rFonts w:cs="Tahoma"/>
                <w:b/>
                <w:bCs/>
                <w:sz w:val="14"/>
                <w:szCs w:val="16"/>
              </w:rPr>
              <w:t>Toplam Net Döviz Alımları</w:t>
            </w:r>
          </w:p>
        </w:tc>
      </w:tr>
      <w:tr w:rsidR="00565FD5" w:rsidRPr="00694F5D" w:rsidTr="00AB62A3">
        <w:trPr>
          <w:trHeight w:val="227"/>
          <w:tblCellSpacing w:w="0" w:type="dxa"/>
        </w:trPr>
        <w:tc>
          <w:tcPr>
            <w:tcW w:w="872" w:type="pct"/>
            <w:tcBorders>
              <w:top w:val="single" w:sz="4" w:space="0" w:color="auto"/>
              <w:left w:val="single" w:sz="4" w:space="0" w:color="auto"/>
              <w:bottom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ind w:firstLine="90"/>
              <w:contextualSpacing/>
              <w:rPr>
                <w:rFonts w:cs="Tahoma"/>
                <w:bCs/>
                <w:sz w:val="16"/>
                <w:szCs w:val="16"/>
              </w:rPr>
            </w:pPr>
            <w:r w:rsidRPr="00694F5D">
              <w:rPr>
                <w:rFonts w:cs="Tahoma"/>
                <w:bCs/>
                <w:sz w:val="16"/>
                <w:szCs w:val="16"/>
              </w:rPr>
              <w:t>2004</w:t>
            </w:r>
          </w:p>
        </w:tc>
        <w:tc>
          <w:tcPr>
            <w:tcW w:w="573" w:type="pct"/>
            <w:tcBorders>
              <w:top w:val="single" w:sz="4" w:space="0" w:color="auto"/>
              <w:bottom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 xml:space="preserve">4 104                </w:t>
            </w:r>
          </w:p>
        </w:tc>
        <w:tc>
          <w:tcPr>
            <w:tcW w:w="817" w:type="pct"/>
            <w:tcBorders>
              <w:top w:val="single" w:sz="4" w:space="0" w:color="auto"/>
              <w:bottom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w:t>
            </w:r>
          </w:p>
        </w:tc>
        <w:tc>
          <w:tcPr>
            <w:tcW w:w="879" w:type="pct"/>
            <w:tcBorders>
              <w:top w:val="single" w:sz="4" w:space="0" w:color="auto"/>
              <w:bottom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1 283</w:t>
            </w:r>
          </w:p>
        </w:tc>
        <w:tc>
          <w:tcPr>
            <w:tcW w:w="817" w:type="pct"/>
            <w:tcBorders>
              <w:top w:val="single" w:sz="4" w:space="0" w:color="auto"/>
              <w:bottom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9</w:t>
            </w:r>
          </w:p>
        </w:tc>
        <w:tc>
          <w:tcPr>
            <w:tcW w:w="1042" w:type="pct"/>
            <w:tcBorders>
              <w:top w:val="single" w:sz="4" w:space="0" w:color="auto"/>
              <w:bottom w:val="single" w:sz="4" w:space="0" w:color="auto"/>
              <w:right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ind w:right="125"/>
              <w:contextualSpacing/>
              <w:jc w:val="right"/>
              <w:rPr>
                <w:rFonts w:cs="Tahoma"/>
                <w:sz w:val="16"/>
                <w:szCs w:val="16"/>
              </w:rPr>
            </w:pPr>
            <w:r w:rsidRPr="00694F5D">
              <w:rPr>
                <w:rFonts w:cs="Tahoma"/>
                <w:sz w:val="16"/>
                <w:szCs w:val="16"/>
              </w:rPr>
              <w:t>5 378</w:t>
            </w:r>
          </w:p>
        </w:tc>
      </w:tr>
      <w:tr w:rsidR="00565FD5" w:rsidRPr="00694F5D" w:rsidTr="00AB62A3">
        <w:trPr>
          <w:trHeight w:val="227"/>
          <w:tblCellSpacing w:w="0" w:type="dxa"/>
        </w:trPr>
        <w:tc>
          <w:tcPr>
            <w:tcW w:w="872" w:type="pct"/>
            <w:tcBorders>
              <w:left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ind w:firstLine="90"/>
              <w:contextualSpacing/>
              <w:rPr>
                <w:rFonts w:cs="Tahoma"/>
                <w:bCs/>
                <w:sz w:val="16"/>
                <w:szCs w:val="16"/>
              </w:rPr>
            </w:pPr>
            <w:r w:rsidRPr="00694F5D">
              <w:rPr>
                <w:rFonts w:cs="Tahoma"/>
                <w:bCs/>
                <w:sz w:val="16"/>
                <w:szCs w:val="16"/>
              </w:rPr>
              <w:t>2005</w:t>
            </w:r>
          </w:p>
        </w:tc>
        <w:tc>
          <w:tcPr>
            <w:tcW w:w="573"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7 442</w:t>
            </w:r>
          </w:p>
        </w:tc>
        <w:tc>
          <w:tcPr>
            <w:tcW w:w="817"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w:t>
            </w:r>
          </w:p>
        </w:tc>
        <w:tc>
          <w:tcPr>
            <w:tcW w:w="879"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14 565</w:t>
            </w:r>
          </w:p>
        </w:tc>
        <w:tc>
          <w:tcPr>
            <w:tcW w:w="817"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w:t>
            </w:r>
          </w:p>
        </w:tc>
        <w:tc>
          <w:tcPr>
            <w:tcW w:w="1042" w:type="pct"/>
            <w:tcBorders>
              <w:right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ind w:right="125"/>
              <w:contextualSpacing/>
              <w:jc w:val="right"/>
              <w:rPr>
                <w:rFonts w:cs="Tahoma"/>
                <w:sz w:val="16"/>
                <w:szCs w:val="16"/>
              </w:rPr>
            </w:pPr>
            <w:r w:rsidRPr="00694F5D">
              <w:rPr>
                <w:rFonts w:cs="Tahoma"/>
                <w:sz w:val="16"/>
                <w:szCs w:val="16"/>
              </w:rPr>
              <w:t>22 007</w:t>
            </w:r>
          </w:p>
        </w:tc>
      </w:tr>
      <w:tr w:rsidR="00565FD5" w:rsidRPr="00694F5D" w:rsidTr="00AB62A3">
        <w:trPr>
          <w:trHeight w:val="227"/>
          <w:tblCellSpacing w:w="0" w:type="dxa"/>
        </w:trPr>
        <w:tc>
          <w:tcPr>
            <w:tcW w:w="872" w:type="pct"/>
            <w:tcBorders>
              <w:left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ind w:firstLine="90"/>
              <w:contextualSpacing/>
              <w:rPr>
                <w:rFonts w:cs="Tahoma"/>
                <w:bCs/>
                <w:sz w:val="16"/>
                <w:szCs w:val="16"/>
              </w:rPr>
            </w:pPr>
            <w:r w:rsidRPr="00694F5D">
              <w:rPr>
                <w:rFonts w:cs="Tahoma"/>
                <w:bCs/>
                <w:sz w:val="16"/>
                <w:szCs w:val="16"/>
              </w:rPr>
              <w:lastRenderedPageBreak/>
              <w:t>2006</w:t>
            </w:r>
          </w:p>
        </w:tc>
        <w:tc>
          <w:tcPr>
            <w:tcW w:w="573"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4 296</w:t>
            </w:r>
          </w:p>
        </w:tc>
        <w:tc>
          <w:tcPr>
            <w:tcW w:w="817"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1 000</w:t>
            </w:r>
          </w:p>
        </w:tc>
        <w:tc>
          <w:tcPr>
            <w:tcW w:w="879"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5 441</w:t>
            </w:r>
          </w:p>
        </w:tc>
        <w:tc>
          <w:tcPr>
            <w:tcW w:w="817"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2 105</w:t>
            </w:r>
          </w:p>
        </w:tc>
        <w:tc>
          <w:tcPr>
            <w:tcW w:w="1042" w:type="pct"/>
            <w:tcBorders>
              <w:right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ind w:right="125"/>
              <w:contextualSpacing/>
              <w:jc w:val="right"/>
              <w:rPr>
                <w:rFonts w:cs="Tahoma"/>
                <w:sz w:val="16"/>
                <w:szCs w:val="16"/>
              </w:rPr>
            </w:pPr>
            <w:r w:rsidRPr="00694F5D">
              <w:rPr>
                <w:rFonts w:cs="Tahoma"/>
                <w:sz w:val="16"/>
                <w:szCs w:val="16"/>
              </w:rPr>
              <w:t>6 632</w:t>
            </w:r>
          </w:p>
        </w:tc>
      </w:tr>
      <w:tr w:rsidR="00565FD5" w:rsidRPr="00694F5D" w:rsidTr="00AB62A3">
        <w:trPr>
          <w:trHeight w:val="227"/>
          <w:tblCellSpacing w:w="0" w:type="dxa"/>
        </w:trPr>
        <w:tc>
          <w:tcPr>
            <w:tcW w:w="872" w:type="pct"/>
            <w:tcBorders>
              <w:left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ind w:firstLine="90"/>
              <w:contextualSpacing/>
              <w:rPr>
                <w:rFonts w:cs="Tahoma"/>
                <w:bCs/>
                <w:sz w:val="16"/>
                <w:szCs w:val="16"/>
              </w:rPr>
            </w:pPr>
            <w:r w:rsidRPr="00694F5D">
              <w:rPr>
                <w:rFonts w:cs="Tahoma"/>
                <w:bCs/>
                <w:sz w:val="16"/>
                <w:szCs w:val="16"/>
              </w:rPr>
              <w:t>2007</w:t>
            </w:r>
          </w:p>
        </w:tc>
        <w:tc>
          <w:tcPr>
            <w:tcW w:w="573"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9 906</w:t>
            </w:r>
          </w:p>
        </w:tc>
        <w:tc>
          <w:tcPr>
            <w:tcW w:w="817"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w:t>
            </w:r>
          </w:p>
        </w:tc>
        <w:tc>
          <w:tcPr>
            <w:tcW w:w="879"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w:t>
            </w:r>
          </w:p>
        </w:tc>
        <w:tc>
          <w:tcPr>
            <w:tcW w:w="817"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w:t>
            </w:r>
          </w:p>
        </w:tc>
        <w:tc>
          <w:tcPr>
            <w:tcW w:w="1042" w:type="pct"/>
            <w:tcBorders>
              <w:right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ind w:right="125"/>
              <w:contextualSpacing/>
              <w:jc w:val="right"/>
              <w:rPr>
                <w:rFonts w:cs="Tahoma"/>
                <w:sz w:val="16"/>
                <w:szCs w:val="16"/>
              </w:rPr>
            </w:pPr>
            <w:r w:rsidRPr="00694F5D">
              <w:rPr>
                <w:rFonts w:cs="Tahoma"/>
                <w:sz w:val="16"/>
                <w:szCs w:val="16"/>
              </w:rPr>
              <w:t>9 906</w:t>
            </w:r>
          </w:p>
        </w:tc>
      </w:tr>
      <w:tr w:rsidR="00565FD5" w:rsidRPr="00694F5D" w:rsidTr="00AB62A3">
        <w:trPr>
          <w:trHeight w:val="227"/>
          <w:tblCellSpacing w:w="0" w:type="dxa"/>
        </w:trPr>
        <w:tc>
          <w:tcPr>
            <w:tcW w:w="872" w:type="pct"/>
            <w:tcBorders>
              <w:left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ind w:firstLine="90"/>
              <w:contextualSpacing/>
              <w:rPr>
                <w:rFonts w:cs="Tahoma"/>
                <w:bCs/>
                <w:sz w:val="16"/>
                <w:szCs w:val="16"/>
              </w:rPr>
            </w:pPr>
            <w:r w:rsidRPr="00694F5D">
              <w:rPr>
                <w:rFonts w:cs="Tahoma"/>
                <w:bCs/>
                <w:sz w:val="16"/>
                <w:szCs w:val="16"/>
              </w:rPr>
              <w:t>2008</w:t>
            </w:r>
          </w:p>
        </w:tc>
        <w:tc>
          <w:tcPr>
            <w:tcW w:w="573"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7 584</w:t>
            </w:r>
          </w:p>
        </w:tc>
        <w:tc>
          <w:tcPr>
            <w:tcW w:w="817"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100</w:t>
            </w:r>
          </w:p>
        </w:tc>
        <w:tc>
          <w:tcPr>
            <w:tcW w:w="879"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w:t>
            </w:r>
          </w:p>
        </w:tc>
        <w:tc>
          <w:tcPr>
            <w:tcW w:w="817"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w:t>
            </w:r>
          </w:p>
        </w:tc>
        <w:tc>
          <w:tcPr>
            <w:tcW w:w="1042" w:type="pct"/>
            <w:tcBorders>
              <w:right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ind w:right="125"/>
              <w:contextualSpacing/>
              <w:jc w:val="right"/>
              <w:rPr>
                <w:rFonts w:cs="Tahoma"/>
                <w:sz w:val="16"/>
                <w:szCs w:val="16"/>
              </w:rPr>
            </w:pPr>
            <w:r w:rsidRPr="00694F5D">
              <w:rPr>
                <w:rFonts w:cs="Tahoma"/>
                <w:sz w:val="16"/>
                <w:szCs w:val="16"/>
              </w:rPr>
              <w:t>7 484</w:t>
            </w:r>
          </w:p>
        </w:tc>
      </w:tr>
      <w:tr w:rsidR="00565FD5" w:rsidRPr="00694F5D" w:rsidTr="00AB62A3">
        <w:trPr>
          <w:trHeight w:val="227"/>
          <w:tblCellSpacing w:w="0" w:type="dxa"/>
        </w:trPr>
        <w:tc>
          <w:tcPr>
            <w:tcW w:w="872" w:type="pct"/>
            <w:tcBorders>
              <w:left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ind w:firstLine="90"/>
              <w:contextualSpacing/>
              <w:rPr>
                <w:rFonts w:cs="Tahoma"/>
                <w:bCs/>
                <w:sz w:val="16"/>
                <w:szCs w:val="16"/>
              </w:rPr>
            </w:pPr>
            <w:r w:rsidRPr="00694F5D">
              <w:rPr>
                <w:rFonts w:cs="Tahoma"/>
                <w:bCs/>
                <w:sz w:val="16"/>
                <w:szCs w:val="16"/>
              </w:rPr>
              <w:t>2009</w:t>
            </w:r>
          </w:p>
        </w:tc>
        <w:tc>
          <w:tcPr>
            <w:tcW w:w="573"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4 314</w:t>
            </w:r>
          </w:p>
        </w:tc>
        <w:tc>
          <w:tcPr>
            <w:tcW w:w="817"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900</w:t>
            </w:r>
          </w:p>
        </w:tc>
        <w:tc>
          <w:tcPr>
            <w:tcW w:w="879"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w:t>
            </w:r>
          </w:p>
        </w:tc>
        <w:tc>
          <w:tcPr>
            <w:tcW w:w="817"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w:t>
            </w:r>
          </w:p>
        </w:tc>
        <w:tc>
          <w:tcPr>
            <w:tcW w:w="1042" w:type="pct"/>
            <w:tcBorders>
              <w:right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ind w:right="125"/>
              <w:contextualSpacing/>
              <w:jc w:val="right"/>
              <w:rPr>
                <w:rFonts w:cs="Tahoma"/>
                <w:sz w:val="16"/>
                <w:szCs w:val="16"/>
              </w:rPr>
            </w:pPr>
            <w:r w:rsidRPr="00694F5D">
              <w:rPr>
                <w:rFonts w:cs="Tahoma"/>
                <w:sz w:val="16"/>
                <w:szCs w:val="16"/>
              </w:rPr>
              <w:t>3 414</w:t>
            </w:r>
          </w:p>
        </w:tc>
      </w:tr>
      <w:tr w:rsidR="00565FD5" w:rsidRPr="00694F5D" w:rsidTr="00AB62A3">
        <w:trPr>
          <w:trHeight w:val="227"/>
          <w:tblCellSpacing w:w="0" w:type="dxa"/>
        </w:trPr>
        <w:tc>
          <w:tcPr>
            <w:tcW w:w="872" w:type="pct"/>
            <w:tcBorders>
              <w:left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ind w:firstLine="90"/>
              <w:contextualSpacing/>
              <w:rPr>
                <w:rFonts w:cs="Tahoma"/>
                <w:bCs/>
                <w:sz w:val="16"/>
                <w:szCs w:val="16"/>
              </w:rPr>
            </w:pPr>
            <w:r w:rsidRPr="00694F5D">
              <w:rPr>
                <w:rFonts w:cs="Tahoma"/>
                <w:bCs/>
                <w:sz w:val="16"/>
                <w:szCs w:val="16"/>
              </w:rPr>
              <w:t>2010</w:t>
            </w:r>
          </w:p>
        </w:tc>
        <w:tc>
          <w:tcPr>
            <w:tcW w:w="573"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14 865</w:t>
            </w:r>
          </w:p>
        </w:tc>
        <w:tc>
          <w:tcPr>
            <w:tcW w:w="817"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w:t>
            </w:r>
          </w:p>
        </w:tc>
        <w:tc>
          <w:tcPr>
            <w:tcW w:w="879"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w:t>
            </w:r>
          </w:p>
        </w:tc>
        <w:tc>
          <w:tcPr>
            <w:tcW w:w="817"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w:t>
            </w:r>
          </w:p>
        </w:tc>
        <w:tc>
          <w:tcPr>
            <w:tcW w:w="1042" w:type="pct"/>
            <w:tcBorders>
              <w:right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ind w:right="125"/>
              <w:contextualSpacing/>
              <w:jc w:val="right"/>
              <w:rPr>
                <w:rFonts w:cs="Tahoma"/>
                <w:sz w:val="16"/>
                <w:szCs w:val="16"/>
              </w:rPr>
            </w:pPr>
            <w:r w:rsidRPr="00694F5D">
              <w:rPr>
                <w:rFonts w:cs="Tahoma"/>
                <w:sz w:val="16"/>
                <w:szCs w:val="16"/>
              </w:rPr>
              <w:t>14 865</w:t>
            </w:r>
          </w:p>
        </w:tc>
      </w:tr>
      <w:tr w:rsidR="00565FD5" w:rsidRPr="00694F5D" w:rsidTr="00AB62A3">
        <w:trPr>
          <w:trHeight w:val="227"/>
          <w:tblCellSpacing w:w="0" w:type="dxa"/>
        </w:trPr>
        <w:tc>
          <w:tcPr>
            <w:tcW w:w="872" w:type="pct"/>
            <w:tcBorders>
              <w:left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ind w:firstLine="90"/>
              <w:contextualSpacing/>
              <w:rPr>
                <w:rFonts w:cs="Tahoma"/>
                <w:bCs/>
                <w:sz w:val="16"/>
                <w:szCs w:val="16"/>
                <w:vertAlign w:val="superscript"/>
              </w:rPr>
            </w:pPr>
            <w:r w:rsidRPr="00694F5D">
              <w:rPr>
                <w:rFonts w:cs="Tahoma"/>
                <w:bCs/>
                <w:sz w:val="16"/>
                <w:szCs w:val="16"/>
              </w:rPr>
              <w:t>2011</w:t>
            </w:r>
          </w:p>
        </w:tc>
        <w:tc>
          <w:tcPr>
            <w:tcW w:w="573"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6 450</w:t>
            </w:r>
          </w:p>
        </w:tc>
        <w:tc>
          <w:tcPr>
            <w:tcW w:w="817"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11</w:t>
            </w:r>
            <w:r>
              <w:rPr>
                <w:rFonts w:cs="Tahoma"/>
                <w:sz w:val="16"/>
                <w:szCs w:val="16"/>
              </w:rPr>
              <w:t xml:space="preserve"> </w:t>
            </w:r>
            <w:r w:rsidRPr="00694F5D">
              <w:rPr>
                <w:rFonts w:cs="Tahoma"/>
                <w:sz w:val="16"/>
                <w:szCs w:val="16"/>
              </w:rPr>
              <w:t>210</w:t>
            </w:r>
          </w:p>
        </w:tc>
        <w:tc>
          <w:tcPr>
            <w:tcW w:w="879"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w:t>
            </w:r>
          </w:p>
        </w:tc>
        <w:tc>
          <w:tcPr>
            <w:tcW w:w="817" w:type="pct"/>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2</w:t>
            </w:r>
            <w:r>
              <w:rPr>
                <w:rFonts w:cs="Tahoma"/>
                <w:sz w:val="16"/>
                <w:szCs w:val="16"/>
              </w:rPr>
              <w:t xml:space="preserve"> </w:t>
            </w:r>
            <w:r w:rsidRPr="00694F5D">
              <w:rPr>
                <w:rFonts w:cs="Tahoma"/>
                <w:sz w:val="16"/>
                <w:szCs w:val="16"/>
              </w:rPr>
              <w:t>390</w:t>
            </w:r>
          </w:p>
        </w:tc>
        <w:tc>
          <w:tcPr>
            <w:tcW w:w="1042" w:type="pct"/>
            <w:tcBorders>
              <w:right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ind w:right="125"/>
              <w:contextualSpacing/>
              <w:jc w:val="right"/>
              <w:rPr>
                <w:rFonts w:cs="Tahoma"/>
                <w:sz w:val="16"/>
                <w:szCs w:val="16"/>
              </w:rPr>
            </w:pPr>
            <w:r w:rsidRPr="00694F5D">
              <w:rPr>
                <w:rFonts w:cs="Tahoma"/>
                <w:sz w:val="16"/>
                <w:szCs w:val="16"/>
              </w:rPr>
              <w:t>-7</w:t>
            </w:r>
            <w:r>
              <w:rPr>
                <w:rFonts w:cs="Tahoma"/>
                <w:sz w:val="16"/>
                <w:szCs w:val="16"/>
              </w:rPr>
              <w:t xml:space="preserve"> </w:t>
            </w:r>
            <w:r w:rsidRPr="00694F5D">
              <w:rPr>
                <w:rFonts w:cs="Tahoma"/>
                <w:sz w:val="16"/>
                <w:szCs w:val="16"/>
              </w:rPr>
              <w:t>150</w:t>
            </w:r>
          </w:p>
        </w:tc>
      </w:tr>
      <w:tr w:rsidR="00565FD5" w:rsidRPr="00694F5D" w:rsidTr="00AB62A3">
        <w:trPr>
          <w:trHeight w:val="227"/>
          <w:tblCellSpacing w:w="0" w:type="dxa"/>
        </w:trPr>
        <w:tc>
          <w:tcPr>
            <w:tcW w:w="872" w:type="pct"/>
            <w:tcBorders>
              <w:left w:val="single" w:sz="4" w:space="0" w:color="auto"/>
              <w:bottom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ind w:firstLine="90"/>
              <w:contextualSpacing/>
              <w:rPr>
                <w:rFonts w:cs="Tahoma"/>
                <w:bCs/>
                <w:sz w:val="16"/>
                <w:szCs w:val="16"/>
              </w:rPr>
            </w:pPr>
            <w:r w:rsidRPr="00694F5D">
              <w:rPr>
                <w:rFonts w:cs="Tahoma"/>
                <w:bCs/>
                <w:sz w:val="16"/>
                <w:szCs w:val="16"/>
              </w:rPr>
              <w:t>2012 (1)</w:t>
            </w:r>
            <w:r>
              <w:rPr>
                <w:rFonts w:cs="Tahoma"/>
                <w:bCs/>
                <w:sz w:val="16"/>
                <w:szCs w:val="16"/>
              </w:rPr>
              <w:t>(2)</w:t>
            </w:r>
          </w:p>
        </w:tc>
        <w:tc>
          <w:tcPr>
            <w:tcW w:w="573" w:type="pct"/>
            <w:tcBorders>
              <w:bottom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w:t>
            </w:r>
          </w:p>
        </w:tc>
        <w:tc>
          <w:tcPr>
            <w:tcW w:w="817" w:type="pct"/>
            <w:tcBorders>
              <w:bottom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1</w:t>
            </w:r>
            <w:r>
              <w:rPr>
                <w:rFonts w:cs="Tahoma"/>
                <w:sz w:val="16"/>
                <w:szCs w:val="16"/>
              </w:rPr>
              <w:t xml:space="preserve"> </w:t>
            </w:r>
            <w:r w:rsidRPr="00694F5D">
              <w:rPr>
                <w:rFonts w:cs="Tahoma"/>
                <w:sz w:val="16"/>
                <w:szCs w:val="16"/>
              </w:rPr>
              <w:t xml:space="preserve">450 </w:t>
            </w:r>
          </w:p>
        </w:tc>
        <w:tc>
          <w:tcPr>
            <w:tcW w:w="879" w:type="pct"/>
            <w:tcBorders>
              <w:bottom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Pr>
                <w:rFonts w:cs="Tahoma"/>
                <w:sz w:val="16"/>
                <w:szCs w:val="16"/>
              </w:rPr>
              <w:t>-</w:t>
            </w:r>
          </w:p>
        </w:tc>
        <w:tc>
          <w:tcPr>
            <w:tcW w:w="817" w:type="pct"/>
            <w:tcBorders>
              <w:bottom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contextualSpacing/>
              <w:jc w:val="right"/>
              <w:rPr>
                <w:rFonts w:cs="Tahoma"/>
                <w:sz w:val="16"/>
                <w:szCs w:val="16"/>
              </w:rPr>
            </w:pPr>
            <w:r w:rsidRPr="00694F5D">
              <w:rPr>
                <w:rFonts w:cs="Tahoma"/>
                <w:sz w:val="16"/>
                <w:szCs w:val="16"/>
              </w:rPr>
              <w:t>1</w:t>
            </w:r>
            <w:r>
              <w:rPr>
                <w:rFonts w:cs="Tahoma"/>
                <w:sz w:val="16"/>
                <w:szCs w:val="16"/>
              </w:rPr>
              <w:t xml:space="preserve"> </w:t>
            </w:r>
            <w:r w:rsidRPr="00694F5D">
              <w:rPr>
                <w:rFonts w:cs="Tahoma"/>
                <w:sz w:val="16"/>
                <w:szCs w:val="16"/>
              </w:rPr>
              <w:t>006</w:t>
            </w:r>
          </w:p>
        </w:tc>
        <w:tc>
          <w:tcPr>
            <w:tcW w:w="1042" w:type="pct"/>
            <w:tcBorders>
              <w:bottom w:val="single" w:sz="4" w:space="0" w:color="auto"/>
              <w:right w:val="single" w:sz="4" w:space="0" w:color="auto"/>
            </w:tcBorders>
            <w:noWrap/>
            <w:tcMar>
              <w:top w:w="15" w:type="dxa"/>
              <w:left w:w="15" w:type="dxa"/>
              <w:bottom w:w="0" w:type="dxa"/>
              <w:right w:w="15" w:type="dxa"/>
            </w:tcMar>
            <w:vAlign w:val="center"/>
          </w:tcPr>
          <w:p w:rsidR="00565FD5" w:rsidRPr="00694F5D" w:rsidRDefault="00565FD5" w:rsidP="00AB62A3">
            <w:pPr>
              <w:spacing w:line="40" w:lineRule="atLeast"/>
              <w:ind w:right="125"/>
              <w:contextualSpacing/>
              <w:jc w:val="right"/>
              <w:rPr>
                <w:rFonts w:cs="Tahoma"/>
                <w:sz w:val="16"/>
                <w:szCs w:val="16"/>
              </w:rPr>
            </w:pPr>
            <w:r w:rsidRPr="00694F5D">
              <w:rPr>
                <w:rFonts w:cs="Tahoma"/>
                <w:sz w:val="16"/>
                <w:szCs w:val="16"/>
              </w:rPr>
              <w:t>-2</w:t>
            </w:r>
            <w:r>
              <w:rPr>
                <w:rFonts w:cs="Tahoma"/>
                <w:sz w:val="16"/>
                <w:szCs w:val="16"/>
              </w:rPr>
              <w:t xml:space="preserve"> </w:t>
            </w:r>
            <w:r w:rsidRPr="00694F5D">
              <w:rPr>
                <w:rFonts w:cs="Tahoma"/>
                <w:sz w:val="16"/>
                <w:szCs w:val="16"/>
              </w:rPr>
              <w:t>456</w:t>
            </w:r>
          </w:p>
        </w:tc>
      </w:tr>
    </w:tbl>
    <w:p w:rsidR="00565FD5" w:rsidRPr="00694F5D" w:rsidRDefault="00565FD5" w:rsidP="00565FD5">
      <w:pPr>
        <w:rPr>
          <w:rFonts w:eastAsia="Batang" w:cs="Tahoma"/>
          <w:sz w:val="14"/>
          <w:lang w:eastAsia="ko-KR"/>
        </w:rPr>
      </w:pPr>
      <w:r w:rsidRPr="00694F5D">
        <w:rPr>
          <w:rFonts w:eastAsia="Batang" w:cs="Tahoma"/>
          <w:sz w:val="14"/>
          <w:lang w:eastAsia="ko-KR"/>
        </w:rPr>
        <w:t>Kaynak: TCMB</w:t>
      </w:r>
    </w:p>
    <w:p w:rsidR="00565FD5" w:rsidRPr="00694F5D" w:rsidRDefault="00565FD5" w:rsidP="00EB1E69">
      <w:pPr>
        <w:numPr>
          <w:ilvl w:val="0"/>
          <w:numId w:val="6"/>
        </w:numPr>
        <w:spacing w:after="0" w:line="240" w:lineRule="auto"/>
        <w:ind w:left="360"/>
        <w:jc w:val="both"/>
        <w:rPr>
          <w:rFonts w:eastAsia="Batang" w:cs="Tahoma"/>
          <w:sz w:val="14"/>
          <w:lang w:eastAsia="ko-KR"/>
        </w:rPr>
      </w:pPr>
      <w:r w:rsidRPr="00694F5D">
        <w:rPr>
          <w:rFonts w:eastAsia="Batang" w:cs="Tahoma"/>
          <w:sz w:val="14"/>
          <w:lang w:eastAsia="ko-KR"/>
        </w:rPr>
        <w:t>15 Ekim 2012 tarihi itibarıyla</w:t>
      </w:r>
    </w:p>
    <w:p w:rsidR="00565FD5" w:rsidRPr="00694F5D" w:rsidRDefault="00565FD5" w:rsidP="00EB1E69">
      <w:pPr>
        <w:numPr>
          <w:ilvl w:val="0"/>
          <w:numId w:val="6"/>
        </w:numPr>
        <w:spacing w:after="120" w:line="240" w:lineRule="auto"/>
        <w:ind w:left="357" w:hanging="357"/>
        <w:jc w:val="both"/>
        <w:rPr>
          <w:rFonts w:eastAsia="Batang" w:cs="Tahoma"/>
          <w:sz w:val="14"/>
          <w:lang w:eastAsia="ko-KR"/>
        </w:rPr>
      </w:pPr>
      <w:r w:rsidRPr="00694F5D">
        <w:rPr>
          <w:rFonts w:eastAsia="Batang" w:cs="Tahoma"/>
          <w:sz w:val="14"/>
          <w:lang w:eastAsia="ko-KR"/>
        </w:rPr>
        <w:t>En son döviz satım ihalesi 24 Ocak 2012 tarihinde yapılmıştır.</w:t>
      </w:r>
    </w:p>
    <w:p w:rsidR="00565FD5" w:rsidRPr="00694F5D" w:rsidRDefault="00565FD5" w:rsidP="00565FD5">
      <w:pPr>
        <w:spacing w:after="160"/>
        <w:ind w:firstLine="425"/>
        <w:rPr>
          <w:rFonts w:cs="Tahoma"/>
          <w:szCs w:val="18"/>
        </w:rPr>
      </w:pPr>
      <w:r w:rsidRPr="00694F5D">
        <w:rPr>
          <w:rFonts w:cs="Tahoma"/>
          <w:szCs w:val="18"/>
        </w:rPr>
        <w:t>2012 yılı Eylül döneminde 2011 yılı sonuna göre Merkez Bankası net dış varlıklarının ABD doları ve TL değeri artmıştır. Söz konusu dönemde toplam iç varlıklar kalemi 11,9 milyar TL artarak -14,3 milyar TL olmuştur. Bu artışta değerleme hesabında yaşanan 5,1 milyar TL tutarında artış etkili olmuştur. Merkez Bankasının temel yükümlülük kalemlerinden olan emisyon hacmi, yüzde 10,4 oranında artarak 60,8 milyar TL’ye yükselmiştir. Bu gelişmeler sonucunda Merkez Bankası Parası, 2011 yılı sonunda 53,2 milyar TL iken 2012 yılı Eylül ayı itibarıyla 61 milyar TL olarak gerçekleşmiştir.</w:t>
      </w:r>
    </w:p>
    <w:p w:rsidR="00565FD5" w:rsidRPr="00694F5D" w:rsidRDefault="00565FD5" w:rsidP="00565FD5">
      <w:pPr>
        <w:spacing w:after="160"/>
        <w:ind w:firstLine="425"/>
        <w:rPr>
          <w:rFonts w:cs="Tahoma"/>
          <w:szCs w:val="18"/>
        </w:rPr>
      </w:pPr>
      <w:r w:rsidRPr="00694F5D">
        <w:rPr>
          <w:rFonts w:cs="Tahoma"/>
          <w:szCs w:val="18"/>
        </w:rPr>
        <w:t>M1, M2 ve M3 para arzları, 28</w:t>
      </w:r>
      <w:r>
        <w:rPr>
          <w:rFonts w:cs="Tahoma"/>
          <w:szCs w:val="18"/>
        </w:rPr>
        <w:t>/09/</w:t>
      </w:r>
      <w:r w:rsidRPr="00694F5D">
        <w:rPr>
          <w:rFonts w:cs="Tahoma"/>
          <w:szCs w:val="18"/>
        </w:rPr>
        <w:t>2012 tarihi itibarıyla 2011 yılı sonuna göre sırasıyla yüzde 17,1, yüzde 7,5 ve yüzde 7,8 oranlarında artmıştır. M1 para arzındaki artışta, Türk Lirası cinsinden vadesiz mevduatlarda yaşanan artış etkili olmuştur. M2 para arzında kaydedilen artışta ise mevduat bankalarındaki vadeli Türk Lirası mevduatların yükselişi belirleyici olmuştur.</w:t>
      </w:r>
    </w:p>
    <w:p w:rsidR="00565FD5" w:rsidRPr="00B50093" w:rsidRDefault="00565FD5" w:rsidP="00565FD5">
      <w:pPr>
        <w:pStyle w:val="ResimYazs"/>
        <w:rPr>
          <w:rFonts w:cs="Tahoma"/>
        </w:rPr>
      </w:pPr>
      <w:bookmarkStart w:id="732" w:name="_Toc213071600"/>
      <w:bookmarkStart w:id="733" w:name="_Toc244339801"/>
      <w:bookmarkStart w:id="734" w:name="_Toc275873828"/>
      <w:bookmarkStart w:id="735" w:name="_Toc276076452"/>
      <w:bookmarkStart w:id="736" w:name="_Toc307601616"/>
      <w:bookmarkStart w:id="737" w:name="_Toc307657858"/>
      <w:bookmarkStart w:id="738" w:name="_Toc307713523"/>
      <w:bookmarkStart w:id="739" w:name="_Toc338605978"/>
      <w:bookmarkStart w:id="740" w:name="_Toc338711753"/>
      <w:r>
        <w:t xml:space="preserve">TABLO II: </w:t>
      </w:r>
      <w:fldSimple w:instr=" SEQ TABLO_II: \* ARABIC ">
        <w:r>
          <w:rPr>
            <w:noProof/>
          </w:rPr>
          <w:t>26</w:t>
        </w:r>
      </w:fldSimple>
      <w:r w:rsidRPr="00B50093">
        <w:rPr>
          <w:rFonts w:cs="Tahoma"/>
        </w:rPr>
        <w:t xml:space="preserve">- </w:t>
      </w:r>
      <w:bookmarkEnd w:id="732"/>
      <w:bookmarkEnd w:id="733"/>
      <w:r w:rsidRPr="00B50093">
        <w:rPr>
          <w:rFonts w:cs="Tahoma"/>
          <w:snapToGrid w:val="0"/>
        </w:rPr>
        <w:t>Parasal Büyüklükler ve Merkez Bankası Bilançosu Seçilmiş Kalemleri</w:t>
      </w:r>
      <w:bookmarkEnd w:id="734"/>
      <w:bookmarkEnd w:id="735"/>
      <w:bookmarkEnd w:id="736"/>
      <w:bookmarkEnd w:id="737"/>
      <w:bookmarkEnd w:id="738"/>
      <w:bookmarkEnd w:id="739"/>
      <w:r>
        <w:rPr>
          <w:rFonts w:cs="Tahoma"/>
          <w:snapToGrid w:val="0"/>
        </w:rPr>
        <w:t xml:space="preserve"> </w:t>
      </w:r>
      <w:r w:rsidRPr="004C29A2">
        <w:rPr>
          <w:rFonts w:cs="Tahoma"/>
          <w:b w:val="0"/>
          <w:snapToGrid w:val="0"/>
        </w:rPr>
        <w:t>(1)</w:t>
      </w:r>
      <w:bookmarkEnd w:id="740"/>
    </w:p>
    <w:tbl>
      <w:tblPr>
        <w:tblW w:w="7144" w:type="dxa"/>
        <w:jc w:val="center"/>
        <w:tblCellMar>
          <w:left w:w="54" w:type="dxa"/>
          <w:right w:w="54" w:type="dxa"/>
        </w:tblCellMar>
        <w:tblLook w:val="0000"/>
      </w:tblPr>
      <w:tblGrid>
        <w:gridCol w:w="2201"/>
        <w:gridCol w:w="1000"/>
        <w:gridCol w:w="874"/>
        <w:gridCol w:w="1123"/>
        <w:gridCol w:w="1002"/>
        <w:gridCol w:w="944"/>
      </w:tblGrid>
      <w:tr w:rsidR="00565FD5" w:rsidRPr="00694F5D" w:rsidTr="00AB62A3">
        <w:trPr>
          <w:trHeight w:val="289"/>
          <w:jc w:val="center"/>
        </w:trPr>
        <w:tc>
          <w:tcPr>
            <w:tcW w:w="1540" w:type="pct"/>
            <w:tcBorders>
              <w:top w:val="single" w:sz="4" w:space="0" w:color="auto"/>
              <w:left w:val="single" w:sz="4" w:space="0" w:color="auto"/>
            </w:tcBorders>
            <w:vAlign w:val="center"/>
          </w:tcPr>
          <w:p w:rsidR="00565FD5" w:rsidRPr="00694F5D" w:rsidRDefault="00565FD5" w:rsidP="00AB62A3">
            <w:pPr>
              <w:rPr>
                <w:rFonts w:cs="Tahoma"/>
                <w:b/>
                <w:sz w:val="14"/>
                <w:szCs w:val="14"/>
              </w:rPr>
            </w:pPr>
          </w:p>
        </w:tc>
        <w:tc>
          <w:tcPr>
            <w:tcW w:w="700" w:type="pct"/>
            <w:tcBorders>
              <w:top w:val="single" w:sz="4" w:space="0" w:color="auto"/>
              <w:left w:val="nil"/>
              <w:bottom w:val="single" w:sz="4" w:space="0" w:color="auto"/>
              <w:right w:val="nil"/>
            </w:tcBorders>
            <w:vAlign w:val="center"/>
          </w:tcPr>
          <w:p w:rsidR="00565FD5" w:rsidRPr="00694F5D" w:rsidRDefault="00565FD5" w:rsidP="00AB62A3">
            <w:pPr>
              <w:jc w:val="right"/>
              <w:rPr>
                <w:rFonts w:cs="Tahoma"/>
                <w:b/>
                <w:sz w:val="14"/>
                <w:szCs w:val="14"/>
              </w:rPr>
            </w:pPr>
            <w:r w:rsidRPr="00694F5D">
              <w:rPr>
                <w:rFonts w:cs="Tahoma"/>
                <w:b/>
                <w:sz w:val="14"/>
                <w:szCs w:val="14"/>
              </w:rPr>
              <w:t>2010</w:t>
            </w:r>
          </w:p>
        </w:tc>
        <w:tc>
          <w:tcPr>
            <w:tcW w:w="612" w:type="pct"/>
            <w:tcBorders>
              <w:top w:val="single" w:sz="4" w:space="0" w:color="auto"/>
              <w:bottom w:val="single" w:sz="4" w:space="0" w:color="auto"/>
            </w:tcBorders>
            <w:vAlign w:val="center"/>
          </w:tcPr>
          <w:p w:rsidR="00565FD5" w:rsidRPr="00694F5D" w:rsidRDefault="00565FD5" w:rsidP="00AB62A3">
            <w:pPr>
              <w:jc w:val="right"/>
              <w:rPr>
                <w:rFonts w:cs="Tahoma"/>
                <w:b/>
                <w:sz w:val="14"/>
                <w:szCs w:val="14"/>
              </w:rPr>
            </w:pPr>
            <w:r w:rsidRPr="00694F5D">
              <w:rPr>
                <w:rFonts w:cs="Tahoma"/>
                <w:b/>
                <w:sz w:val="14"/>
                <w:szCs w:val="14"/>
              </w:rPr>
              <w:t>2011</w:t>
            </w:r>
          </w:p>
        </w:tc>
        <w:tc>
          <w:tcPr>
            <w:tcW w:w="2148" w:type="pct"/>
            <w:gridSpan w:val="3"/>
            <w:tcBorders>
              <w:top w:val="single" w:sz="4" w:space="0" w:color="auto"/>
              <w:bottom w:val="single" w:sz="4" w:space="0" w:color="auto"/>
              <w:right w:val="single" w:sz="4" w:space="0" w:color="auto"/>
            </w:tcBorders>
            <w:vAlign w:val="center"/>
          </w:tcPr>
          <w:p w:rsidR="00565FD5" w:rsidRPr="00694F5D" w:rsidRDefault="00565FD5" w:rsidP="00AB62A3">
            <w:pPr>
              <w:jc w:val="center"/>
              <w:rPr>
                <w:rFonts w:cs="Tahoma"/>
                <w:b/>
                <w:sz w:val="14"/>
                <w:szCs w:val="14"/>
              </w:rPr>
            </w:pPr>
            <w:r w:rsidRPr="00694F5D">
              <w:rPr>
                <w:rFonts w:cs="Tahoma"/>
                <w:b/>
                <w:sz w:val="14"/>
                <w:szCs w:val="14"/>
              </w:rPr>
              <w:t>2012</w:t>
            </w:r>
          </w:p>
        </w:tc>
      </w:tr>
      <w:tr w:rsidR="00565FD5" w:rsidRPr="00694F5D" w:rsidTr="00AB62A3">
        <w:trPr>
          <w:trHeight w:val="289"/>
          <w:jc w:val="center"/>
        </w:trPr>
        <w:tc>
          <w:tcPr>
            <w:tcW w:w="1540" w:type="pct"/>
            <w:tcBorders>
              <w:left w:val="single" w:sz="4" w:space="0" w:color="auto"/>
              <w:bottom w:val="single" w:sz="4" w:space="0" w:color="auto"/>
            </w:tcBorders>
            <w:vAlign w:val="center"/>
          </w:tcPr>
          <w:p w:rsidR="00565FD5" w:rsidRPr="00694F5D" w:rsidRDefault="00565FD5" w:rsidP="00AB62A3">
            <w:pPr>
              <w:rPr>
                <w:rFonts w:cs="Tahoma"/>
                <w:b/>
                <w:sz w:val="14"/>
                <w:szCs w:val="14"/>
              </w:rPr>
            </w:pPr>
          </w:p>
        </w:tc>
        <w:tc>
          <w:tcPr>
            <w:tcW w:w="700" w:type="pct"/>
            <w:tcBorders>
              <w:left w:val="nil"/>
              <w:bottom w:val="single" w:sz="4" w:space="0" w:color="auto"/>
              <w:right w:val="nil"/>
            </w:tcBorders>
            <w:vAlign w:val="center"/>
          </w:tcPr>
          <w:p w:rsidR="00565FD5" w:rsidRPr="00694F5D" w:rsidRDefault="00565FD5" w:rsidP="00AB62A3">
            <w:pPr>
              <w:jc w:val="right"/>
              <w:rPr>
                <w:rFonts w:cs="Tahoma"/>
                <w:b/>
                <w:sz w:val="14"/>
                <w:szCs w:val="14"/>
              </w:rPr>
            </w:pPr>
            <w:r w:rsidRPr="00694F5D">
              <w:rPr>
                <w:rFonts w:cs="Tahoma"/>
                <w:b/>
                <w:sz w:val="14"/>
                <w:szCs w:val="14"/>
              </w:rPr>
              <w:t>Aralık</w:t>
            </w:r>
          </w:p>
        </w:tc>
        <w:tc>
          <w:tcPr>
            <w:tcW w:w="612" w:type="pct"/>
            <w:tcBorders>
              <w:top w:val="single" w:sz="4" w:space="0" w:color="auto"/>
              <w:bottom w:val="single" w:sz="4" w:space="0" w:color="auto"/>
            </w:tcBorders>
            <w:vAlign w:val="center"/>
          </w:tcPr>
          <w:p w:rsidR="00565FD5" w:rsidRPr="00694F5D" w:rsidRDefault="00565FD5" w:rsidP="00AB62A3">
            <w:pPr>
              <w:jc w:val="right"/>
              <w:rPr>
                <w:rFonts w:cs="Tahoma"/>
                <w:b/>
                <w:sz w:val="14"/>
                <w:szCs w:val="14"/>
              </w:rPr>
            </w:pPr>
            <w:r w:rsidRPr="00694F5D">
              <w:rPr>
                <w:rFonts w:cs="Tahoma"/>
                <w:b/>
                <w:sz w:val="14"/>
                <w:szCs w:val="14"/>
              </w:rPr>
              <w:t>Aralık</w:t>
            </w:r>
          </w:p>
        </w:tc>
        <w:tc>
          <w:tcPr>
            <w:tcW w:w="786" w:type="pct"/>
            <w:tcBorders>
              <w:top w:val="single" w:sz="4" w:space="0" w:color="auto"/>
              <w:bottom w:val="single" w:sz="4" w:space="0" w:color="auto"/>
            </w:tcBorders>
            <w:vAlign w:val="center"/>
          </w:tcPr>
          <w:p w:rsidR="00565FD5" w:rsidRPr="00694F5D" w:rsidRDefault="00565FD5" w:rsidP="00AB62A3">
            <w:pPr>
              <w:jc w:val="right"/>
              <w:rPr>
                <w:rFonts w:cs="Tahoma"/>
                <w:b/>
                <w:sz w:val="14"/>
                <w:szCs w:val="14"/>
              </w:rPr>
            </w:pPr>
            <w:r w:rsidRPr="00694F5D">
              <w:rPr>
                <w:rFonts w:cs="Tahoma"/>
                <w:b/>
                <w:sz w:val="14"/>
                <w:szCs w:val="14"/>
              </w:rPr>
              <w:t>Mart</w:t>
            </w:r>
          </w:p>
        </w:tc>
        <w:tc>
          <w:tcPr>
            <w:tcW w:w="701" w:type="pct"/>
            <w:tcBorders>
              <w:top w:val="single" w:sz="4" w:space="0" w:color="auto"/>
              <w:bottom w:val="single" w:sz="4" w:space="0" w:color="auto"/>
            </w:tcBorders>
            <w:vAlign w:val="center"/>
          </w:tcPr>
          <w:p w:rsidR="00565FD5" w:rsidRPr="00694F5D" w:rsidRDefault="00565FD5" w:rsidP="00AB62A3">
            <w:pPr>
              <w:jc w:val="right"/>
              <w:rPr>
                <w:rFonts w:cs="Tahoma"/>
                <w:b/>
                <w:sz w:val="14"/>
                <w:szCs w:val="14"/>
              </w:rPr>
            </w:pPr>
            <w:r w:rsidRPr="00694F5D">
              <w:rPr>
                <w:rFonts w:cs="Tahoma"/>
                <w:b/>
                <w:sz w:val="14"/>
                <w:szCs w:val="14"/>
              </w:rPr>
              <w:t>Haziran</w:t>
            </w:r>
          </w:p>
        </w:tc>
        <w:tc>
          <w:tcPr>
            <w:tcW w:w="661" w:type="pct"/>
            <w:tcBorders>
              <w:top w:val="single" w:sz="4" w:space="0" w:color="auto"/>
              <w:bottom w:val="single" w:sz="4" w:space="0" w:color="auto"/>
              <w:right w:val="single" w:sz="4" w:space="0" w:color="auto"/>
            </w:tcBorders>
            <w:vAlign w:val="center"/>
          </w:tcPr>
          <w:p w:rsidR="00565FD5" w:rsidRPr="00694F5D" w:rsidRDefault="00565FD5" w:rsidP="00AB62A3">
            <w:pPr>
              <w:jc w:val="right"/>
              <w:rPr>
                <w:rFonts w:cs="Tahoma"/>
                <w:b/>
                <w:sz w:val="14"/>
                <w:szCs w:val="14"/>
              </w:rPr>
            </w:pPr>
            <w:r w:rsidRPr="00694F5D">
              <w:rPr>
                <w:rFonts w:cs="Tahoma"/>
                <w:b/>
                <w:sz w:val="14"/>
                <w:szCs w:val="14"/>
              </w:rPr>
              <w:t>Eylül</w:t>
            </w:r>
          </w:p>
        </w:tc>
      </w:tr>
      <w:tr w:rsidR="00565FD5" w:rsidRPr="00694F5D" w:rsidTr="00AB62A3">
        <w:trPr>
          <w:trHeight w:val="255"/>
          <w:jc w:val="center"/>
        </w:trPr>
        <w:tc>
          <w:tcPr>
            <w:tcW w:w="1540" w:type="pct"/>
            <w:tcBorders>
              <w:top w:val="single" w:sz="4" w:space="0" w:color="auto"/>
              <w:left w:val="single" w:sz="4" w:space="0" w:color="auto"/>
              <w:bottom w:val="single" w:sz="4" w:space="0" w:color="auto"/>
            </w:tcBorders>
            <w:vAlign w:val="center"/>
          </w:tcPr>
          <w:p w:rsidR="00565FD5" w:rsidRPr="00694F5D" w:rsidRDefault="00565FD5" w:rsidP="00AB62A3">
            <w:pPr>
              <w:rPr>
                <w:rFonts w:cs="Tahoma"/>
                <w:b/>
                <w:sz w:val="14"/>
                <w:szCs w:val="14"/>
              </w:rPr>
            </w:pPr>
          </w:p>
        </w:tc>
        <w:tc>
          <w:tcPr>
            <w:tcW w:w="3460" w:type="pct"/>
            <w:gridSpan w:val="5"/>
            <w:tcBorders>
              <w:top w:val="single" w:sz="4" w:space="0" w:color="auto"/>
              <w:left w:val="nil"/>
              <w:bottom w:val="single" w:sz="4" w:space="0" w:color="auto"/>
              <w:right w:val="single" w:sz="4" w:space="0" w:color="auto"/>
            </w:tcBorders>
            <w:vAlign w:val="center"/>
          </w:tcPr>
          <w:p w:rsidR="00565FD5" w:rsidRPr="00694F5D" w:rsidRDefault="00565FD5" w:rsidP="00AB62A3">
            <w:pPr>
              <w:jc w:val="center"/>
              <w:rPr>
                <w:rFonts w:eastAsia="Arial Unicode MS" w:cs="Tahoma"/>
                <w:b/>
                <w:sz w:val="14"/>
                <w:szCs w:val="14"/>
              </w:rPr>
            </w:pPr>
            <w:r w:rsidRPr="00694F5D">
              <w:rPr>
                <w:rFonts w:eastAsia="Arial Unicode MS" w:cs="Tahoma"/>
                <w:b/>
                <w:sz w:val="14"/>
                <w:szCs w:val="14"/>
              </w:rPr>
              <w:t>(Milyon TL)</w:t>
            </w:r>
          </w:p>
        </w:tc>
      </w:tr>
      <w:tr w:rsidR="00565FD5" w:rsidRPr="00694F5D" w:rsidTr="00AB62A3">
        <w:trPr>
          <w:trHeight w:val="255"/>
          <w:jc w:val="center"/>
        </w:trPr>
        <w:tc>
          <w:tcPr>
            <w:tcW w:w="1540" w:type="pct"/>
            <w:tcBorders>
              <w:top w:val="single" w:sz="4" w:space="0" w:color="auto"/>
              <w:left w:val="single" w:sz="4" w:space="0" w:color="auto"/>
            </w:tcBorders>
            <w:vAlign w:val="center"/>
          </w:tcPr>
          <w:p w:rsidR="00565FD5" w:rsidRPr="00694F5D" w:rsidRDefault="00565FD5" w:rsidP="00AB62A3">
            <w:pPr>
              <w:rPr>
                <w:rFonts w:cs="Tahoma"/>
                <w:b/>
                <w:bCs/>
                <w:sz w:val="14"/>
                <w:szCs w:val="14"/>
              </w:rPr>
            </w:pPr>
            <w:r w:rsidRPr="00694F5D">
              <w:rPr>
                <w:rFonts w:cs="Tahoma"/>
                <w:b/>
                <w:sz w:val="14"/>
                <w:szCs w:val="14"/>
              </w:rPr>
              <w:t>Para Arzları</w:t>
            </w:r>
          </w:p>
        </w:tc>
        <w:tc>
          <w:tcPr>
            <w:tcW w:w="3460" w:type="pct"/>
            <w:gridSpan w:val="5"/>
            <w:tcBorders>
              <w:top w:val="single" w:sz="4" w:space="0" w:color="auto"/>
              <w:left w:val="nil"/>
              <w:right w:val="single" w:sz="4" w:space="0" w:color="auto"/>
            </w:tcBorders>
            <w:vAlign w:val="center"/>
          </w:tcPr>
          <w:p w:rsidR="00565FD5" w:rsidRPr="00694F5D" w:rsidRDefault="00565FD5" w:rsidP="00AB62A3">
            <w:pPr>
              <w:rPr>
                <w:rFonts w:eastAsia="Arial Unicode MS" w:cs="Tahoma"/>
                <w:b/>
                <w:sz w:val="14"/>
                <w:szCs w:val="14"/>
              </w:rPr>
            </w:pPr>
          </w:p>
        </w:tc>
      </w:tr>
      <w:tr w:rsidR="00565FD5" w:rsidRPr="00694F5D" w:rsidTr="00AB62A3">
        <w:trPr>
          <w:trHeight w:val="255"/>
          <w:jc w:val="center"/>
        </w:trPr>
        <w:tc>
          <w:tcPr>
            <w:tcW w:w="1540" w:type="pct"/>
            <w:tcBorders>
              <w:left w:val="single" w:sz="4" w:space="0" w:color="auto"/>
            </w:tcBorders>
            <w:vAlign w:val="center"/>
          </w:tcPr>
          <w:p w:rsidR="00565FD5" w:rsidRPr="00694F5D" w:rsidRDefault="00565FD5" w:rsidP="00AB62A3">
            <w:pPr>
              <w:rPr>
                <w:rFonts w:cs="Tahoma"/>
                <w:bCs/>
                <w:sz w:val="14"/>
                <w:szCs w:val="14"/>
              </w:rPr>
            </w:pPr>
            <w:r w:rsidRPr="00694F5D">
              <w:rPr>
                <w:rFonts w:cs="Tahoma"/>
                <w:bCs/>
                <w:sz w:val="14"/>
                <w:szCs w:val="14"/>
              </w:rPr>
              <w:t>M1</w:t>
            </w:r>
          </w:p>
        </w:tc>
        <w:tc>
          <w:tcPr>
            <w:tcW w:w="700" w:type="pct"/>
            <w:tcBorders>
              <w:left w:val="nil"/>
              <w:right w:val="nil"/>
            </w:tcBorders>
            <w:vAlign w:val="center"/>
          </w:tcPr>
          <w:p w:rsidR="00565FD5" w:rsidRPr="00694F5D" w:rsidRDefault="00565FD5" w:rsidP="00AB62A3">
            <w:pPr>
              <w:jc w:val="right"/>
              <w:rPr>
                <w:rFonts w:cs="Tahoma"/>
                <w:sz w:val="14"/>
                <w:szCs w:val="14"/>
              </w:rPr>
            </w:pPr>
            <w:r w:rsidRPr="00694F5D">
              <w:rPr>
                <w:rFonts w:cs="Tahoma"/>
                <w:sz w:val="14"/>
                <w:szCs w:val="14"/>
              </w:rPr>
              <w:t>133 885</w:t>
            </w:r>
          </w:p>
        </w:tc>
        <w:tc>
          <w:tcPr>
            <w:tcW w:w="612" w:type="pct"/>
            <w:vAlign w:val="center"/>
          </w:tcPr>
          <w:p w:rsidR="00565FD5" w:rsidRPr="00694F5D" w:rsidRDefault="00565FD5" w:rsidP="00AB62A3">
            <w:pPr>
              <w:jc w:val="right"/>
              <w:rPr>
                <w:rFonts w:cs="Tahoma"/>
                <w:sz w:val="14"/>
                <w:szCs w:val="14"/>
              </w:rPr>
            </w:pPr>
            <w:r w:rsidRPr="00694F5D">
              <w:rPr>
                <w:rFonts w:cs="Tahoma"/>
                <w:sz w:val="14"/>
                <w:szCs w:val="14"/>
              </w:rPr>
              <w:t>136 237</w:t>
            </w:r>
          </w:p>
        </w:tc>
        <w:tc>
          <w:tcPr>
            <w:tcW w:w="786" w:type="pct"/>
            <w:vAlign w:val="center"/>
          </w:tcPr>
          <w:p w:rsidR="00565FD5" w:rsidRPr="00694F5D" w:rsidRDefault="00565FD5" w:rsidP="00AB62A3">
            <w:pPr>
              <w:jc w:val="right"/>
              <w:rPr>
                <w:rFonts w:cs="Tahoma"/>
                <w:sz w:val="14"/>
                <w:szCs w:val="14"/>
              </w:rPr>
            </w:pPr>
            <w:r w:rsidRPr="00694F5D">
              <w:rPr>
                <w:rFonts w:cs="Tahoma"/>
                <w:sz w:val="14"/>
                <w:szCs w:val="14"/>
              </w:rPr>
              <w:t>132 295</w:t>
            </w:r>
          </w:p>
        </w:tc>
        <w:tc>
          <w:tcPr>
            <w:tcW w:w="701" w:type="pct"/>
            <w:vAlign w:val="center"/>
          </w:tcPr>
          <w:p w:rsidR="00565FD5" w:rsidRPr="00694F5D" w:rsidRDefault="00565FD5" w:rsidP="00AB62A3">
            <w:pPr>
              <w:jc w:val="right"/>
              <w:rPr>
                <w:rFonts w:cs="Tahoma"/>
                <w:sz w:val="14"/>
                <w:szCs w:val="14"/>
              </w:rPr>
            </w:pPr>
            <w:r w:rsidRPr="00694F5D">
              <w:rPr>
                <w:rFonts w:cs="Tahoma"/>
                <w:sz w:val="14"/>
                <w:szCs w:val="14"/>
              </w:rPr>
              <w:t>142 242</w:t>
            </w:r>
          </w:p>
        </w:tc>
        <w:tc>
          <w:tcPr>
            <w:tcW w:w="661" w:type="pct"/>
            <w:tcBorders>
              <w:right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159 530</w:t>
            </w:r>
          </w:p>
        </w:tc>
      </w:tr>
      <w:tr w:rsidR="00565FD5" w:rsidRPr="00694F5D" w:rsidTr="00AB62A3">
        <w:trPr>
          <w:trHeight w:val="255"/>
          <w:jc w:val="center"/>
        </w:trPr>
        <w:tc>
          <w:tcPr>
            <w:tcW w:w="1540" w:type="pct"/>
            <w:tcBorders>
              <w:left w:val="single" w:sz="4" w:space="0" w:color="auto"/>
            </w:tcBorders>
            <w:vAlign w:val="center"/>
          </w:tcPr>
          <w:p w:rsidR="00565FD5" w:rsidRPr="00694F5D" w:rsidRDefault="00565FD5" w:rsidP="00AB62A3">
            <w:pPr>
              <w:rPr>
                <w:rFonts w:cs="Tahoma"/>
                <w:bCs/>
                <w:sz w:val="14"/>
                <w:szCs w:val="14"/>
              </w:rPr>
            </w:pPr>
            <w:r w:rsidRPr="00694F5D">
              <w:rPr>
                <w:rFonts w:cs="Tahoma"/>
                <w:bCs/>
                <w:sz w:val="14"/>
                <w:szCs w:val="14"/>
              </w:rPr>
              <w:t>M2</w:t>
            </w:r>
          </w:p>
        </w:tc>
        <w:tc>
          <w:tcPr>
            <w:tcW w:w="700" w:type="pct"/>
            <w:tcBorders>
              <w:left w:val="nil"/>
              <w:right w:val="nil"/>
            </w:tcBorders>
            <w:vAlign w:val="center"/>
          </w:tcPr>
          <w:p w:rsidR="00565FD5" w:rsidRPr="00694F5D" w:rsidRDefault="00565FD5" w:rsidP="00AB62A3">
            <w:pPr>
              <w:jc w:val="right"/>
              <w:rPr>
                <w:rFonts w:cs="Tahoma"/>
                <w:sz w:val="14"/>
                <w:szCs w:val="14"/>
              </w:rPr>
            </w:pPr>
            <w:r w:rsidRPr="00694F5D">
              <w:rPr>
                <w:rFonts w:cs="Tahoma"/>
                <w:sz w:val="14"/>
                <w:szCs w:val="14"/>
              </w:rPr>
              <w:t>587 815</w:t>
            </w:r>
          </w:p>
        </w:tc>
        <w:tc>
          <w:tcPr>
            <w:tcW w:w="612" w:type="pct"/>
            <w:vAlign w:val="center"/>
          </w:tcPr>
          <w:p w:rsidR="00565FD5" w:rsidRPr="00694F5D" w:rsidRDefault="00565FD5" w:rsidP="00AB62A3">
            <w:pPr>
              <w:jc w:val="right"/>
              <w:rPr>
                <w:rFonts w:cs="Tahoma"/>
                <w:sz w:val="14"/>
                <w:szCs w:val="14"/>
              </w:rPr>
            </w:pPr>
            <w:r w:rsidRPr="00694F5D">
              <w:rPr>
                <w:rFonts w:cs="Tahoma"/>
                <w:sz w:val="14"/>
                <w:szCs w:val="14"/>
              </w:rPr>
              <w:t>655 523</w:t>
            </w:r>
          </w:p>
        </w:tc>
        <w:tc>
          <w:tcPr>
            <w:tcW w:w="786" w:type="pct"/>
            <w:vAlign w:val="center"/>
          </w:tcPr>
          <w:p w:rsidR="00565FD5" w:rsidRPr="00694F5D" w:rsidRDefault="00565FD5" w:rsidP="00AB62A3">
            <w:pPr>
              <w:jc w:val="right"/>
              <w:rPr>
                <w:rFonts w:cs="Tahoma"/>
                <w:sz w:val="14"/>
                <w:szCs w:val="14"/>
              </w:rPr>
            </w:pPr>
            <w:r w:rsidRPr="00694F5D">
              <w:rPr>
                <w:rFonts w:cs="Tahoma"/>
                <w:sz w:val="14"/>
                <w:szCs w:val="14"/>
              </w:rPr>
              <w:t>657 482</w:t>
            </w:r>
          </w:p>
        </w:tc>
        <w:tc>
          <w:tcPr>
            <w:tcW w:w="701" w:type="pct"/>
            <w:vAlign w:val="center"/>
          </w:tcPr>
          <w:p w:rsidR="00565FD5" w:rsidRPr="00694F5D" w:rsidRDefault="00565FD5" w:rsidP="00AB62A3">
            <w:pPr>
              <w:jc w:val="right"/>
              <w:rPr>
                <w:rFonts w:cs="Tahoma"/>
                <w:sz w:val="14"/>
                <w:szCs w:val="14"/>
              </w:rPr>
            </w:pPr>
            <w:r w:rsidRPr="00694F5D">
              <w:rPr>
                <w:rFonts w:cs="Tahoma"/>
                <w:sz w:val="14"/>
                <w:szCs w:val="14"/>
              </w:rPr>
              <w:t>673 406</w:t>
            </w:r>
          </w:p>
        </w:tc>
        <w:tc>
          <w:tcPr>
            <w:tcW w:w="661" w:type="pct"/>
            <w:tcBorders>
              <w:right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704 566</w:t>
            </w:r>
          </w:p>
        </w:tc>
      </w:tr>
      <w:tr w:rsidR="00565FD5" w:rsidRPr="00694F5D" w:rsidTr="00AB62A3">
        <w:trPr>
          <w:trHeight w:val="255"/>
          <w:jc w:val="center"/>
        </w:trPr>
        <w:tc>
          <w:tcPr>
            <w:tcW w:w="1540" w:type="pct"/>
            <w:tcBorders>
              <w:left w:val="single" w:sz="4" w:space="0" w:color="auto"/>
            </w:tcBorders>
            <w:vAlign w:val="center"/>
          </w:tcPr>
          <w:p w:rsidR="00565FD5" w:rsidRPr="00694F5D" w:rsidRDefault="00565FD5" w:rsidP="00AB62A3">
            <w:pPr>
              <w:rPr>
                <w:rFonts w:cs="Tahoma"/>
                <w:bCs/>
                <w:sz w:val="14"/>
                <w:szCs w:val="14"/>
              </w:rPr>
            </w:pPr>
            <w:r w:rsidRPr="00694F5D">
              <w:rPr>
                <w:rFonts w:cs="Tahoma"/>
                <w:bCs/>
                <w:sz w:val="14"/>
                <w:szCs w:val="14"/>
              </w:rPr>
              <w:t>M3</w:t>
            </w:r>
          </w:p>
        </w:tc>
        <w:tc>
          <w:tcPr>
            <w:tcW w:w="700" w:type="pct"/>
            <w:tcBorders>
              <w:left w:val="nil"/>
              <w:right w:val="nil"/>
            </w:tcBorders>
            <w:vAlign w:val="center"/>
          </w:tcPr>
          <w:p w:rsidR="00565FD5" w:rsidRPr="00694F5D" w:rsidRDefault="00565FD5" w:rsidP="00AB62A3">
            <w:pPr>
              <w:jc w:val="right"/>
              <w:rPr>
                <w:rFonts w:cs="Tahoma"/>
                <w:sz w:val="14"/>
                <w:szCs w:val="14"/>
              </w:rPr>
            </w:pPr>
            <w:r w:rsidRPr="00694F5D">
              <w:rPr>
                <w:rFonts w:cs="Tahoma"/>
                <w:sz w:val="14"/>
                <w:szCs w:val="14"/>
              </w:rPr>
              <w:t>616 201</w:t>
            </w:r>
          </w:p>
        </w:tc>
        <w:tc>
          <w:tcPr>
            <w:tcW w:w="612" w:type="pct"/>
            <w:vAlign w:val="center"/>
          </w:tcPr>
          <w:p w:rsidR="00565FD5" w:rsidRPr="00694F5D" w:rsidRDefault="00565FD5" w:rsidP="00AB62A3">
            <w:pPr>
              <w:jc w:val="right"/>
              <w:rPr>
                <w:rFonts w:cs="Tahoma"/>
                <w:sz w:val="14"/>
                <w:szCs w:val="14"/>
              </w:rPr>
            </w:pPr>
            <w:r w:rsidRPr="00694F5D">
              <w:rPr>
                <w:rFonts w:cs="Tahoma"/>
                <w:sz w:val="14"/>
                <w:szCs w:val="14"/>
              </w:rPr>
              <w:t>693 069</w:t>
            </w:r>
          </w:p>
        </w:tc>
        <w:tc>
          <w:tcPr>
            <w:tcW w:w="786" w:type="pct"/>
            <w:vAlign w:val="center"/>
          </w:tcPr>
          <w:p w:rsidR="00565FD5" w:rsidRPr="00694F5D" w:rsidRDefault="00565FD5" w:rsidP="00AB62A3">
            <w:pPr>
              <w:jc w:val="right"/>
              <w:rPr>
                <w:rFonts w:cs="Tahoma"/>
                <w:sz w:val="14"/>
                <w:szCs w:val="14"/>
              </w:rPr>
            </w:pPr>
            <w:r w:rsidRPr="00694F5D">
              <w:rPr>
                <w:rFonts w:cs="Tahoma"/>
                <w:sz w:val="14"/>
                <w:szCs w:val="14"/>
              </w:rPr>
              <w:t>696 645</w:t>
            </w:r>
          </w:p>
        </w:tc>
        <w:tc>
          <w:tcPr>
            <w:tcW w:w="701" w:type="pct"/>
            <w:vAlign w:val="center"/>
          </w:tcPr>
          <w:p w:rsidR="00565FD5" w:rsidRPr="00694F5D" w:rsidRDefault="00565FD5" w:rsidP="00AB62A3">
            <w:pPr>
              <w:jc w:val="right"/>
              <w:rPr>
                <w:rFonts w:cs="Tahoma"/>
                <w:sz w:val="14"/>
                <w:szCs w:val="14"/>
              </w:rPr>
            </w:pPr>
            <w:r w:rsidRPr="00694F5D">
              <w:rPr>
                <w:rFonts w:cs="Tahoma"/>
                <w:sz w:val="14"/>
                <w:szCs w:val="14"/>
              </w:rPr>
              <w:t>720 377</w:t>
            </w:r>
          </w:p>
        </w:tc>
        <w:tc>
          <w:tcPr>
            <w:tcW w:w="661" w:type="pct"/>
            <w:tcBorders>
              <w:right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746 829</w:t>
            </w:r>
          </w:p>
        </w:tc>
      </w:tr>
      <w:tr w:rsidR="00565FD5" w:rsidRPr="00694F5D" w:rsidTr="00AB62A3">
        <w:trPr>
          <w:trHeight w:val="255"/>
          <w:jc w:val="center"/>
        </w:trPr>
        <w:tc>
          <w:tcPr>
            <w:tcW w:w="1540" w:type="pct"/>
            <w:tcBorders>
              <w:top w:val="single" w:sz="4" w:space="0" w:color="auto"/>
              <w:left w:val="single" w:sz="4" w:space="0" w:color="auto"/>
            </w:tcBorders>
            <w:vAlign w:val="center"/>
          </w:tcPr>
          <w:p w:rsidR="00565FD5" w:rsidRPr="00694F5D" w:rsidRDefault="00565FD5" w:rsidP="00AB62A3">
            <w:pPr>
              <w:rPr>
                <w:rFonts w:cs="Tahoma"/>
                <w:b/>
                <w:sz w:val="14"/>
                <w:szCs w:val="14"/>
              </w:rPr>
            </w:pPr>
          </w:p>
        </w:tc>
        <w:tc>
          <w:tcPr>
            <w:tcW w:w="3460" w:type="pct"/>
            <w:gridSpan w:val="5"/>
            <w:tcBorders>
              <w:top w:val="single" w:sz="4" w:space="0" w:color="auto"/>
              <w:left w:val="nil"/>
              <w:right w:val="single" w:sz="4" w:space="0" w:color="auto"/>
            </w:tcBorders>
            <w:vAlign w:val="center"/>
          </w:tcPr>
          <w:p w:rsidR="00565FD5" w:rsidRPr="00694F5D" w:rsidRDefault="00565FD5" w:rsidP="00AB62A3">
            <w:pPr>
              <w:jc w:val="center"/>
              <w:rPr>
                <w:rFonts w:eastAsia="Arial Unicode MS" w:cs="Tahoma"/>
                <w:b/>
                <w:sz w:val="14"/>
                <w:szCs w:val="14"/>
              </w:rPr>
            </w:pPr>
            <w:r w:rsidRPr="00694F5D">
              <w:rPr>
                <w:rFonts w:eastAsia="Arial Unicode MS" w:cs="Tahoma"/>
                <w:b/>
                <w:sz w:val="14"/>
                <w:szCs w:val="14"/>
              </w:rPr>
              <w:t>(Milyon TL)</w:t>
            </w:r>
          </w:p>
        </w:tc>
      </w:tr>
      <w:tr w:rsidR="00565FD5" w:rsidRPr="00694F5D" w:rsidTr="00AB62A3">
        <w:trPr>
          <w:trHeight w:val="255"/>
          <w:jc w:val="center"/>
        </w:trPr>
        <w:tc>
          <w:tcPr>
            <w:tcW w:w="1540" w:type="pct"/>
            <w:tcBorders>
              <w:top w:val="single" w:sz="4" w:space="0" w:color="auto"/>
              <w:left w:val="single" w:sz="4" w:space="0" w:color="auto"/>
            </w:tcBorders>
            <w:vAlign w:val="center"/>
          </w:tcPr>
          <w:p w:rsidR="00565FD5" w:rsidRPr="00694F5D" w:rsidRDefault="00565FD5" w:rsidP="00AB62A3">
            <w:pPr>
              <w:rPr>
                <w:rFonts w:cs="Tahoma"/>
                <w:b/>
                <w:sz w:val="14"/>
                <w:szCs w:val="14"/>
              </w:rPr>
            </w:pPr>
            <w:r w:rsidRPr="00694F5D">
              <w:rPr>
                <w:rFonts w:cs="Tahoma"/>
                <w:b/>
                <w:sz w:val="14"/>
                <w:szCs w:val="14"/>
              </w:rPr>
              <w:t>Net Dış Varlıklar</w:t>
            </w:r>
          </w:p>
        </w:tc>
        <w:tc>
          <w:tcPr>
            <w:tcW w:w="700" w:type="pct"/>
            <w:tcBorders>
              <w:top w:val="single" w:sz="4" w:space="0" w:color="auto"/>
              <w:left w:val="nil"/>
              <w:right w:val="nil"/>
            </w:tcBorders>
            <w:vAlign w:val="center"/>
          </w:tcPr>
          <w:p w:rsidR="00565FD5" w:rsidRPr="00694F5D" w:rsidRDefault="00565FD5" w:rsidP="00AB62A3">
            <w:pPr>
              <w:jc w:val="right"/>
              <w:rPr>
                <w:rFonts w:cs="Tahoma"/>
                <w:sz w:val="14"/>
                <w:szCs w:val="14"/>
              </w:rPr>
            </w:pPr>
            <w:r w:rsidRPr="00694F5D">
              <w:rPr>
                <w:rFonts w:cs="Tahoma"/>
                <w:sz w:val="14"/>
                <w:szCs w:val="14"/>
              </w:rPr>
              <w:t>114 572</w:t>
            </w:r>
          </w:p>
        </w:tc>
        <w:tc>
          <w:tcPr>
            <w:tcW w:w="612" w:type="pct"/>
            <w:tcBorders>
              <w:top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150 119</w:t>
            </w:r>
          </w:p>
        </w:tc>
        <w:tc>
          <w:tcPr>
            <w:tcW w:w="786" w:type="pct"/>
            <w:tcBorders>
              <w:top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144 589</w:t>
            </w:r>
          </w:p>
        </w:tc>
        <w:tc>
          <w:tcPr>
            <w:tcW w:w="701" w:type="pct"/>
            <w:tcBorders>
              <w:top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158 177</w:t>
            </w:r>
          </w:p>
        </w:tc>
        <w:tc>
          <w:tcPr>
            <w:tcW w:w="661" w:type="pct"/>
            <w:tcBorders>
              <w:top w:val="single" w:sz="4" w:space="0" w:color="auto"/>
              <w:right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185 821</w:t>
            </w:r>
          </w:p>
        </w:tc>
      </w:tr>
      <w:tr w:rsidR="00565FD5" w:rsidRPr="00694F5D" w:rsidTr="00AB62A3">
        <w:trPr>
          <w:trHeight w:val="255"/>
          <w:jc w:val="center"/>
        </w:trPr>
        <w:tc>
          <w:tcPr>
            <w:tcW w:w="1540" w:type="pct"/>
            <w:tcBorders>
              <w:left w:val="single" w:sz="4" w:space="0" w:color="auto"/>
            </w:tcBorders>
            <w:vAlign w:val="center"/>
          </w:tcPr>
          <w:p w:rsidR="00565FD5" w:rsidRPr="00694F5D" w:rsidRDefault="00565FD5" w:rsidP="00AB62A3">
            <w:pPr>
              <w:rPr>
                <w:rFonts w:cs="Tahoma"/>
                <w:b/>
                <w:sz w:val="14"/>
                <w:szCs w:val="14"/>
              </w:rPr>
            </w:pPr>
            <w:r w:rsidRPr="00694F5D">
              <w:rPr>
                <w:rFonts w:cs="Tahoma"/>
                <w:b/>
                <w:sz w:val="14"/>
                <w:szCs w:val="14"/>
              </w:rPr>
              <w:lastRenderedPageBreak/>
              <w:t xml:space="preserve">Net İç Varlıklar </w:t>
            </w:r>
          </w:p>
        </w:tc>
        <w:tc>
          <w:tcPr>
            <w:tcW w:w="700" w:type="pct"/>
            <w:tcBorders>
              <w:left w:val="nil"/>
              <w:right w:val="nil"/>
            </w:tcBorders>
            <w:vAlign w:val="center"/>
          </w:tcPr>
          <w:p w:rsidR="00565FD5" w:rsidRPr="00694F5D" w:rsidRDefault="00565FD5" w:rsidP="00AB62A3">
            <w:pPr>
              <w:jc w:val="right"/>
              <w:rPr>
                <w:rFonts w:cs="Tahoma"/>
                <w:sz w:val="14"/>
                <w:szCs w:val="14"/>
              </w:rPr>
            </w:pPr>
            <w:r w:rsidRPr="00694F5D">
              <w:rPr>
                <w:rFonts w:cs="Tahoma"/>
                <w:sz w:val="14"/>
                <w:szCs w:val="14"/>
              </w:rPr>
              <w:t>-7 112</w:t>
            </w:r>
          </w:p>
        </w:tc>
        <w:tc>
          <w:tcPr>
            <w:tcW w:w="612" w:type="pct"/>
            <w:vAlign w:val="center"/>
          </w:tcPr>
          <w:p w:rsidR="00565FD5" w:rsidRPr="00694F5D" w:rsidRDefault="00565FD5" w:rsidP="00AB62A3">
            <w:pPr>
              <w:jc w:val="right"/>
              <w:rPr>
                <w:rFonts w:cs="Tahoma"/>
                <w:sz w:val="14"/>
                <w:szCs w:val="14"/>
              </w:rPr>
            </w:pPr>
            <w:r w:rsidRPr="00694F5D">
              <w:rPr>
                <w:rFonts w:cs="Tahoma"/>
                <w:sz w:val="14"/>
                <w:szCs w:val="14"/>
              </w:rPr>
              <w:t>-26 219</w:t>
            </w:r>
          </w:p>
        </w:tc>
        <w:tc>
          <w:tcPr>
            <w:tcW w:w="786" w:type="pct"/>
            <w:vAlign w:val="center"/>
          </w:tcPr>
          <w:p w:rsidR="00565FD5" w:rsidRPr="00694F5D" w:rsidRDefault="00565FD5" w:rsidP="00AB62A3">
            <w:pPr>
              <w:jc w:val="right"/>
              <w:rPr>
                <w:rFonts w:cs="Tahoma"/>
                <w:sz w:val="14"/>
                <w:szCs w:val="14"/>
              </w:rPr>
            </w:pPr>
            <w:r w:rsidRPr="00694F5D">
              <w:rPr>
                <w:rFonts w:cs="Tahoma"/>
                <w:sz w:val="14"/>
                <w:szCs w:val="14"/>
              </w:rPr>
              <w:t>-20 985</w:t>
            </w:r>
          </w:p>
        </w:tc>
        <w:tc>
          <w:tcPr>
            <w:tcW w:w="701" w:type="pct"/>
            <w:vAlign w:val="center"/>
          </w:tcPr>
          <w:p w:rsidR="00565FD5" w:rsidRPr="00694F5D" w:rsidRDefault="00565FD5" w:rsidP="00AB62A3">
            <w:pPr>
              <w:jc w:val="right"/>
              <w:rPr>
                <w:rFonts w:cs="Tahoma"/>
                <w:sz w:val="14"/>
                <w:szCs w:val="14"/>
              </w:rPr>
            </w:pPr>
            <w:r w:rsidRPr="00694F5D">
              <w:rPr>
                <w:rFonts w:cs="Tahoma"/>
                <w:sz w:val="14"/>
                <w:szCs w:val="14"/>
              </w:rPr>
              <w:t>-13 841</w:t>
            </w:r>
          </w:p>
        </w:tc>
        <w:tc>
          <w:tcPr>
            <w:tcW w:w="661" w:type="pct"/>
            <w:tcBorders>
              <w:right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-14 306</w:t>
            </w:r>
          </w:p>
        </w:tc>
      </w:tr>
      <w:tr w:rsidR="00565FD5" w:rsidRPr="00694F5D" w:rsidTr="00AB62A3">
        <w:trPr>
          <w:trHeight w:val="255"/>
          <w:jc w:val="center"/>
        </w:trPr>
        <w:tc>
          <w:tcPr>
            <w:tcW w:w="1540" w:type="pct"/>
            <w:tcBorders>
              <w:left w:val="single" w:sz="4" w:space="0" w:color="auto"/>
            </w:tcBorders>
            <w:vAlign w:val="center"/>
          </w:tcPr>
          <w:p w:rsidR="00565FD5" w:rsidRPr="00694F5D" w:rsidRDefault="00565FD5" w:rsidP="00AB62A3">
            <w:pPr>
              <w:ind w:right="367"/>
              <w:rPr>
                <w:rFonts w:cs="Tahoma"/>
                <w:bCs/>
                <w:sz w:val="14"/>
                <w:szCs w:val="14"/>
              </w:rPr>
            </w:pPr>
            <w:r w:rsidRPr="00694F5D">
              <w:rPr>
                <w:rFonts w:cs="Tahoma"/>
                <w:bCs/>
                <w:sz w:val="14"/>
                <w:szCs w:val="14"/>
              </w:rPr>
              <w:t xml:space="preserve">   DİBS Portföyü</w:t>
            </w:r>
          </w:p>
        </w:tc>
        <w:tc>
          <w:tcPr>
            <w:tcW w:w="700" w:type="pct"/>
            <w:tcBorders>
              <w:left w:val="nil"/>
              <w:right w:val="nil"/>
            </w:tcBorders>
            <w:vAlign w:val="center"/>
          </w:tcPr>
          <w:p w:rsidR="00565FD5" w:rsidRPr="00694F5D" w:rsidRDefault="00565FD5" w:rsidP="00AB62A3">
            <w:pPr>
              <w:jc w:val="right"/>
              <w:rPr>
                <w:rFonts w:cs="Tahoma"/>
                <w:sz w:val="14"/>
                <w:szCs w:val="14"/>
              </w:rPr>
            </w:pPr>
            <w:r w:rsidRPr="00694F5D">
              <w:rPr>
                <w:rFonts w:cs="Tahoma"/>
                <w:sz w:val="14"/>
                <w:szCs w:val="14"/>
              </w:rPr>
              <w:t>8 023</w:t>
            </w:r>
          </w:p>
        </w:tc>
        <w:tc>
          <w:tcPr>
            <w:tcW w:w="612" w:type="pct"/>
            <w:vAlign w:val="center"/>
          </w:tcPr>
          <w:p w:rsidR="00565FD5" w:rsidRPr="00694F5D" w:rsidRDefault="00565FD5" w:rsidP="00AB62A3">
            <w:pPr>
              <w:jc w:val="right"/>
              <w:rPr>
                <w:rFonts w:cs="Tahoma"/>
                <w:sz w:val="14"/>
                <w:szCs w:val="14"/>
              </w:rPr>
            </w:pPr>
            <w:r w:rsidRPr="00694F5D">
              <w:rPr>
                <w:rFonts w:cs="Tahoma"/>
                <w:sz w:val="14"/>
                <w:szCs w:val="14"/>
              </w:rPr>
              <w:t>7 817</w:t>
            </w:r>
          </w:p>
        </w:tc>
        <w:tc>
          <w:tcPr>
            <w:tcW w:w="786" w:type="pct"/>
            <w:vAlign w:val="center"/>
          </w:tcPr>
          <w:p w:rsidR="00565FD5" w:rsidRPr="00694F5D" w:rsidRDefault="00565FD5" w:rsidP="00AB62A3">
            <w:pPr>
              <w:jc w:val="right"/>
              <w:rPr>
                <w:rFonts w:cs="Tahoma"/>
                <w:sz w:val="14"/>
                <w:szCs w:val="14"/>
              </w:rPr>
            </w:pPr>
            <w:r w:rsidRPr="00694F5D">
              <w:rPr>
                <w:rFonts w:cs="Tahoma"/>
                <w:sz w:val="14"/>
                <w:szCs w:val="14"/>
              </w:rPr>
              <w:t>7 899</w:t>
            </w:r>
          </w:p>
        </w:tc>
        <w:tc>
          <w:tcPr>
            <w:tcW w:w="701" w:type="pct"/>
            <w:vAlign w:val="center"/>
          </w:tcPr>
          <w:p w:rsidR="00565FD5" w:rsidRPr="00694F5D" w:rsidRDefault="00565FD5" w:rsidP="00AB62A3">
            <w:pPr>
              <w:jc w:val="right"/>
              <w:rPr>
                <w:rFonts w:cs="Tahoma"/>
                <w:sz w:val="14"/>
                <w:szCs w:val="14"/>
              </w:rPr>
            </w:pPr>
            <w:r w:rsidRPr="00694F5D">
              <w:rPr>
                <w:rFonts w:cs="Tahoma"/>
                <w:sz w:val="14"/>
                <w:szCs w:val="14"/>
              </w:rPr>
              <w:t>8 110</w:t>
            </w:r>
          </w:p>
        </w:tc>
        <w:tc>
          <w:tcPr>
            <w:tcW w:w="661" w:type="pct"/>
            <w:tcBorders>
              <w:right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8 301</w:t>
            </w:r>
          </w:p>
        </w:tc>
      </w:tr>
      <w:tr w:rsidR="00565FD5" w:rsidRPr="00694F5D" w:rsidTr="00AB62A3">
        <w:trPr>
          <w:trHeight w:val="255"/>
          <w:jc w:val="center"/>
        </w:trPr>
        <w:tc>
          <w:tcPr>
            <w:tcW w:w="1540" w:type="pct"/>
            <w:tcBorders>
              <w:left w:val="single" w:sz="4" w:space="0" w:color="auto"/>
            </w:tcBorders>
            <w:vAlign w:val="center"/>
          </w:tcPr>
          <w:p w:rsidR="00565FD5" w:rsidRPr="00694F5D" w:rsidRDefault="00565FD5" w:rsidP="00AB62A3">
            <w:pPr>
              <w:rPr>
                <w:rFonts w:cs="Tahoma"/>
                <w:bCs/>
                <w:sz w:val="14"/>
                <w:szCs w:val="14"/>
              </w:rPr>
            </w:pPr>
            <w:r w:rsidRPr="00694F5D">
              <w:rPr>
                <w:rFonts w:cs="Tahoma"/>
                <w:bCs/>
                <w:sz w:val="14"/>
                <w:szCs w:val="14"/>
              </w:rPr>
              <w:t xml:space="preserve">   Değerleme Hesabı</w:t>
            </w:r>
          </w:p>
        </w:tc>
        <w:tc>
          <w:tcPr>
            <w:tcW w:w="700" w:type="pct"/>
            <w:tcBorders>
              <w:left w:val="nil"/>
              <w:right w:val="nil"/>
            </w:tcBorders>
            <w:vAlign w:val="center"/>
          </w:tcPr>
          <w:p w:rsidR="00565FD5" w:rsidRPr="00694F5D" w:rsidRDefault="00565FD5" w:rsidP="00AB62A3">
            <w:pPr>
              <w:jc w:val="right"/>
              <w:rPr>
                <w:rFonts w:cs="Tahoma"/>
                <w:sz w:val="14"/>
                <w:szCs w:val="14"/>
              </w:rPr>
            </w:pPr>
            <w:r w:rsidRPr="00694F5D">
              <w:rPr>
                <w:rFonts w:cs="Tahoma"/>
                <w:sz w:val="14"/>
                <w:szCs w:val="14"/>
              </w:rPr>
              <w:t>-7 246</w:t>
            </w:r>
          </w:p>
        </w:tc>
        <w:tc>
          <w:tcPr>
            <w:tcW w:w="612" w:type="pct"/>
            <w:vAlign w:val="center"/>
          </w:tcPr>
          <w:p w:rsidR="00565FD5" w:rsidRPr="00694F5D" w:rsidRDefault="00565FD5" w:rsidP="00AB62A3">
            <w:pPr>
              <w:jc w:val="right"/>
              <w:rPr>
                <w:rFonts w:cs="Tahoma"/>
                <w:sz w:val="14"/>
                <w:szCs w:val="14"/>
              </w:rPr>
            </w:pPr>
            <w:r w:rsidRPr="00694F5D">
              <w:rPr>
                <w:rFonts w:cs="Tahoma"/>
                <w:sz w:val="14"/>
                <w:szCs w:val="14"/>
              </w:rPr>
              <w:t>-19 489</w:t>
            </w:r>
          </w:p>
        </w:tc>
        <w:tc>
          <w:tcPr>
            <w:tcW w:w="786" w:type="pct"/>
            <w:vAlign w:val="center"/>
          </w:tcPr>
          <w:p w:rsidR="00565FD5" w:rsidRPr="00694F5D" w:rsidRDefault="00565FD5" w:rsidP="00AB62A3">
            <w:pPr>
              <w:jc w:val="right"/>
              <w:rPr>
                <w:rFonts w:cs="Tahoma"/>
                <w:sz w:val="14"/>
                <w:szCs w:val="14"/>
              </w:rPr>
            </w:pPr>
            <w:r w:rsidRPr="00694F5D">
              <w:rPr>
                <w:rFonts w:cs="Tahoma"/>
                <w:sz w:val="14"/>
                <w:szCs w:val="14"/>
              </w:rPr>
              <w:t>-13 749</w:t>
            </w:r>
          </w:p>
        </w:tc>
        <w:tc>
          <w:tcPr>
            <w:tcW w:w="701" w:type="pct"/>
            <w:vAlign w:val="center"/>
          </w:tcPr>
          <w:p w:rsidR="00565FD5" w:rsidRPr="00694F5D" w:rsidRDefault="00565FD5" w:rsidP="00AB62A3">
            <w:pPr>
              <w:jc w:val="right"/>
              <w:rPr>
                <w:rFonts w:cs="Tahoma"/>
                <w:sz w:val="14"/>
                <w:szCs w:val="14"/>
              </w:rPr>
            </w:pPr>
            <w:r w:rsidRPr="00694F5D">
              <w:rPr>
                <w:rFonts w:cs="Tahoma"/>
                <w:sz w:val="14"/>
                <w:szCs w:val="14"/>
              </w:rPr>
              <w:t>-14 279</w:t>
            </w:r>
          </w:p>
        </w:tc>
        <w:tc>
          <w:tcPr>
            <w:tcW w:w="661" w:type="pct"/>
            <w:tcBorders>
              <w:right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-14 353</w:t>
            </w:r>
          </w:p>
        </w:tc>
      </w:tr>
      <w:tr w:rsidR="00565FD5" w:rsidRPr="00694F5D" w:rsidTr="00AB62A3">
        <w:trPr>
          <w:trHeight w:val="255"/>
          <w:jc w:val="center"/>
        </w:trPr>
        <w:tc>
          <w:tcPr>
            <w:tcW w:w="1540" w:type="pct"/>
            <w:tcBorders>
              <w:left w:val="single" w:sz="4" w:space="0" w:color="auto"/>
            </w:tcBorders>
            <w:vAlign w:val="center"/>
          </w:tcPr>
          <w:p w:rsidR="00565FD5" w:rsidRPr="00694F5D" w:rsidRDefault="00565FD5" w:rsidP="00AB62A3">
            <w:pPr>
              <w:rPr>
                <w:rFonts w:cs="Tahoma"/>
                <w:b/>
                <w:sz w:val="14"/>
                <w:szCs w:val="14"/>
              </w:rPr>
            </w:pPr>
            <w:r w:rsidRPr="00694F5D">
              <w:rPr>
                <w:rFonts w:cs="Tahoma"/>
                <w:b/>
                <w:sz w:val="14"/>
                <w:szCs w:val="14"/>
              </w:rPr>
              <w:t>Rezerv Para</w:t>
            </w:r>
          </w:p>
        </w:tc>
        <w:tc>
          <w:tcPr>
            <w:tcW w:w="700" w:type="pct"/>
            <w:tcBorders>
              <w:left w:val="nil"/>
              <w:right w:val="nil"/>
            </w:tcBorders>
            <w:vAlign w:val="center"/>
          </w:tcPr>
          <w:p w:rsidR="00565FD5" w:rsidRPr="00694F5D" w:rsidRDefault="00565FD5" w:rsidP="00AB62A3">
            <w:pPr>
              <w:jc w:val="right"/>
              <w:rPr>
                <w:rFonts w:cs="Tahoma"/>
                <w:sz w:val="14"/>
                <w:szCs w:val="14"/>
              </w:rPr>
            </w:pPr>
            <w:r w:rsidRPr="00694F5D">
              <w:rPr>
                <w:rFonts w:cs="Tahoma"/>
                <w:sz w:val="14"/>
                <w:szCs w:val="14"/>
              </w:rPr>
              <w:t>75 987</w:t>
            </w:r>
          </w:p>
        </w:tc>
        <w:tc>
          <w:tcPr>
            <w:tcW w:w="612" w:type="pct"/>
            <w:vAlign w:val="center"/>
          </w:tcPr>
          <w:p w:rsidR="00565FD5" w:rsidRPr="00694F5D" w:rsidRDefault="00565FD5" w:rsidP="00AB62A3">
            <w:pPr>
              <w:jc w:val="right"/>
              <w:rPr>
                <w:rFonts w:cs="Tahoma"/>
                <w:sz w:val="14"/>
                <w:szCs w:val="14"/>
              </w:rPr>
            </w:pPr>
            <w:r w:rsidRPr="00694F5D">
              <w:rPr>
                <w:rFonts w:cs="Tahoma"/>
                <w:sz w:val="14"/>
                <w:szCs w:val="14"/>
              </w:rPr>
              <w:t>84 047</w:t>
            </w:r>
          </w:p>
        </w:tc>
        <w:tc>
          <w:tcPr>
            <w:tcW w:w="786" w:type="pct"/>
            <w:vAlign w:val="center"/>
          </w:tcPr>
          <w:p w:rsidR="00565FD5" w:rsidRPr="00694F5D" w:rsidRDefault="00565FD5" w:rsidP="00AB62A3">
            <w:pPr>
              <w:jc w:val="right"/>
              <w:rPr>
                <w:rFonts w:cs="Tahoma"/>
                <w:sz w:val="14"/>
                <w:szCs w:val="14"/>
              </w:rPr>
            </w:pPr>
            <w:r w:rsidRPr="00694F5D">
              <w:rPr>
                <w:rFonts w:cs="Tahoma"/>
                <w:sz w:val="14"/>
                <w:szCs w:val="14"/>
              </w:rPr>
              <w:t>85 528</w:t>
            </w:r>
          </w:p>
        </w:tc>
        <w:tc>
          <w:tcPr>
            <w:tcW w:w="701" w:type="pct"/>
            <w:vAlign w:val="center"/>
          </w:tcPr>
          <w:p w:rsidR="00565FD5" w:rsidRPr="00694F5D" w:rsidRDefault="00565FD5" w:rsidP="00AB62A3">
            <w:pPr>
              <w:jc w:val="right"/>
              <w:rPr>
                <w:rFonts w:cs="Tahoma"/>
                <w:sz w:val="14"/>
                <w:szCs w:val="14"/>
              </w:rPr>
            </w:pPr>
            <w:r w:rsidRPr="00694F5D">
              <w:rPr>
                <w:rFonts w:cs="Tahoma"/>
                <w:sz w:val="14"/>
                <w:szCs w:val="14"/>
              </w:rPr>
              <w:t>77 009</w:t>
            </w:r>
          </w:p>
        </w:tc>
        <w:tc>
          <w:tcPr>
            <w:tcW w:w="661" w:type="pct"/>
            <w:tcBorders>
              <w:right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73 126</w:t>
            </w:r>
          </w:p>
        </w:tc>
      </w:tr>
      <w:tr w:rsidR="00565FD5" w:rsidRPr="00694F5D" w:rsidTr="00AB62A3">
        <w:trPr>
          <w:trHeight w:val="255"/>
          <w:jc w:val="center"/>
        </w:trPr>
        <w:tc>
          <w:tcPr>
            <w:tcW w:w="1540" w:type="pct"/>
            <w:tcBorders>
              <w:left w:val="single" w:sz="4" w:space="0" w:color="auto"/>
            </w:tcBorders>
            <w:vAlign w:val="center"/>
          </w:tcPr>
          <w:p w:rsidR="00565FD5" w:rsidRPr="00694F5D" w:rsidRDefault="00565FD5" w:rsidP="00AB62A3">
            <w:pPr>
              <w:ind w:firstLine="186"/>
              <w:rPr>
                <w:rFonts w:cs="Tahoma"/>
                <w:bCs/>
                <w:sz w:val="14"/>
                <w:szCs w:val="14"/>
              </w:rPr>
            </w:pPr>
            <w:r w:rsidRPr="00694F5D">
              <w:rPr>
                <w:rFonts w:cs="Tahoma"/>
                <w:bCs/>
                <w:sz w:val="14"/>
                <w:szCs w:val="14"/>
              </w:rPr>
              <w:t>Emisyon</w:t>
            </w:r>
          </w:p>
        </w:tc>
        <w:tc>
          <w:tcPr>
            <w:tcW w:w="700" w:type="pct"/>
            <w:tcBorders>
              <w:left w:val="nil"/>
              <w:right w:val="nil"/>
            </w:tcBorders>
            <w:vAlign w:val="center"/>
          </w:tcPr>
          <w:p w:rsidR="00565FD5" w:rsidRPr="00694F5D" w:rsidRDefault="00565FD5" w:rsidP="00AB62A3">
            <w:pPr>
              <w:jc w:val="right"/>
              <w:rPr>
                <w:rFonts w:cs="Tahoma"/>
                <w:sz w:val="14"/>
                <w:szCs w:val="14"/>
              </w:rPr>
            </w:pPr>
            <w:r w:rsidRPr="00694F5D">
              <w:rPr>
                <w:rFonts w:cs="Tahoma"/>
                <w:sz w:val="14"/>
                <w:szCs w:val="14"/>
              </w:rPr>
              <w:t>48 938</w:t>
            </w:r>
          </w:p>
        </w:tc>
        <w:tc>
          <w:tcPr>
            <w:tcW w:w="612" w:type="pct"/>
            <w:vAlign w:val="center"/>
          </w:tcPr>
          <w:p w:rsidR="00565FD5" w:rsidRPr="00694F5D" w:rsidRDefault="00565FD5" w:rsidP="00AB62A3">
            <w:pPr>
              <w:jc w:val="right"/>
              <w:rPr>
                <w:rFonts w:cs="Tahoma"/>
                <w:sz w:val="14"/>
                <w:szCs w:val="14"/>
              </w:rPr>
            </w:pPr>
            <w:r w:rsidRPr="00694F5D">
              <w:rPr>
                <w:rFonts w:cs="Tahoma"/>
                <w:sz w:val="14"/>
                <w:szCs w:val="14"/>
              </w:rPr>
              <w:t>55 103</w:t>
            </w:r>
          </w:p>
        </w:tc>
        <w:tc>
          <w:tcPr>
            <w:tcW w:w="786" w:type="pct"/>
            <w:vAlign w:val="center"/>
          </w:tcPr>
          <w:p w:rsidR="00565FD5" w:rsidRPr="00694F5D" w:rsidRDefault="00565FD5" w:rsidP="00AB62A3">
            <w:pPr>
              <w:jc w:val="right"/>
              <w:rPr>
                <w:rFonts w:cs="Tahoma"/>
                <w:sz w:val="14"/>
                <w:szCs w:val="14"/>
              </w:rPr>
            </w:pPr>
            <w:r w:rsidRPr="00694F5D">
              <w:rPr>
                <w:rFonts w:cs="Tahoma"/>
                <w:sz w:val="14"/>
                <w:szCs w:val="14"/>
              </w:rPr>
              <w:t xml:space="preserve">53 177 </w:t>
            </w:r>
          </w:p>
        </w:tc>
        <w:tc>
          <w:tcPr>
            <w:tcW w:w="701" w:type="pct"/>
            <w:vAlign w:val="center"/>
          </w:tcPr>
          <w:p w:rsidR="00565FD5" w:rsidRPr="00694F5D" w:rsidRDefault="00565FD5" w:rsidP="00AB62A3">
            <w:pPr>
              <w:jc w:val="right"/>
              <w:rPr>
                <w:rFonts w:cs="Tahoma"/>
                <w:sz w:val="14"/>
                <w:szCs w:val="14"/>
              </w:rPr>
            </w:pPr>
            <w:r w:rsidRPr="00694F5D">
              <w:rPr>
                <w:rFonts w:cs="Tahoma"/>
                <w:sz w:val="14"/>
                <w:szCs w:val="14"/>
              </w:rPr>
              <w:t>56 868</w:t>
            </w:r>
          </w:p>
        </w:tc>
        <w:tc>
          <w:tcPr>
            <w:tcW w:w="661" w:type="pct"/>
            <w:tcBorders>
              <w:right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60 822</w:t>
            </w:r>
          </w:p>
        </w:tc>
      </w:tr>
      <w:tr w:rsidR="00565FD5" w:rsidRPr="00694F5D" w:rsidTr="00AB62A3">
        <w:trPr>
          <w:trHeight w:val="255"/>
          <w:jc w:val="center"/>
        </w:trPr>
        <w:tc>
          <w:tcPr>
            <w:tcW w:w="1540" w:type="pct"/>
            <w:tcBorders>
              <w:left w:val="single" w:sz="4" w:space="0" w:color="auto"/>
            </w:tcBorders>
            <w:vAlign w:val="center"/>
          </w:tcPr>
          <w:p w:rsidR="00565FD5" w:rsidRPr="00694F5D" w:rsidRDefault="00565FD5" w:rsidP="00AB62A3">
            <w:pPr>
              <w:ind w:firstLine="186"/>
              <w:rPr>
                <w:rFonts w:cs="Tahoma"/>
                <w:bCs/>
                <w:sz w:val="14"/>
                <w:szCs w:val="14"/>
              </w:rPr>
            </w:pPr>
            <w:r w:rsidRPr="00694F5D">
              <w:rPr>
                <w:rFonts w:cs="Tahoma"/>
                <w:bCs/>
                <w:sz w:val="14"/>
                <w:szCs w:val="14"/>
              </w:rPr>
              <w:t>Bankalar Serbest Mevduatı</w:t>
            </w:r>
          </w:p>
        </w:tc>
        <w:tc>
          <w:tcPr>
            <w:tcW w:w="700" w:type="pct"/>
            <w:tcBorders>
              <w:left w:val="nil"/>
              <w:right w:val="nil"/>
            </w:tcBorders>
            <w:vAlign w:val="center"/>
          </w:tcPr>
          <w:p w:rsidR="00565FD5" w:rsidRPr="00694F5D" w:rsidRDefault="00565FD5" w:rsidP="00AB62A3">
            <w:pPr>
              <w:jc w:val="right"/>
              <w:rPr>
                <w:rFonts w:cs="Tahoma"/>
                <w:sz w:val="14"/>
                <w:szCs w:val="14"/>
              </w:rPr>
            </w:pPr>
            <w:r w:rsidRPr="00694F5D">
              <w:rPr>
                <w:rFonts w:cs="Tahoma"/>
                <w:sz w:val="14"/>
                <w:szCs w:val="14"/>
              </w:rPr>
              <w:t>26 806</w:t>
            </w:r>
          </w:p>
        </w:tc>
        <w:tc>
          <w:tcPr>
            <w:tcW w:w="612" w:type="pct"/>
            <w:vAlign w:val="center"/>
          </w:tcPr>
          <w:p w:rsidR="00565FD5" w:rsidRPr="00694F5D" w:rsidRDefault="00565FD5" w:rsidP="00AB62A3">
            <w:pPr>
              <w:jc w:val="right"/>
              <w:rPr>
                <w:rFonts w:cs="Tahoma"/>
                <w:sz w:val="14"/>
                <w:szCs w:val="14"/>
              </w:rPr>
            </w:pPr>
            <w:r w:rsidRPr="00694F5D">
              <w:rPr>
                <w:rFonts w:cs="Tahoma"/>
                <w:sz w:val="14"/>
                <w:szCs w:val="14"/>
              </w:rPr>
              <w:t>28 782</w:t>
            </w:r>
          </w:p>
        </w:tc>
        <w:tc>
          <w:tcPr>
            <w:tcW w:w="786" w:type="pct"/>
            <w:vAlign w:val="center"/>
          </w:tcPr>
          <w:p w:rsidR="00565FD5" w:rsidRPr="00694F5D" w:rsidRDefault="00565FD5" w:rsidP="00AB62A3">
            <w:pPr>
              <w:jc w:val="right"/>
              <w:rPr>
                <w:rFonts w:cs="Tahoma"/>
                <w:sz w:val="14"/>
                <w:szCs w:val="14"/>
              </w:rPr>
            </w:pPr>
            <w:r w:rsidRPr="00694F5D">
              <w:rPr>
                <w:rFonts w:cs="Tahoma"/>
                <w:sz w:val="14"/>
                <w:szCs w:val="14"/>
              </w:rPr>
              <w:t>32 211</w:t>
            </w:r>
          </w:p>
        </w:tc>
        <w:tc>
          <w:tcPr>
            <w:tcW w:w="701" w:type="pct"/>
            <w:vAlign w:val="center"/>
          </w:tcPr>
          <w:p w:rsidR="00565FD5" w:rsidRPr="00694F5D" w:rsidRDefault="00565FD5" w:rsidP="00AB62A3">
            <w:pPr>
              <w:jc w:val="right"/>
              <w:rPr>
                <w:rFonts w:cs="Tahoma"/>
                <w:sz w:val="14"/>
                <w:szCs w:val="14"/>
              </w:rPr>
            </w:pPr>
            <w:r w:rsidRPr="00694F5D">
              <w:rPr>
                <w:rFonts w:cs="Tahoma"/>
                <w:sz w:val="14"/>
                <w:szCs w:val="14"/>
              </w:rPr>
              <w:t>19 545</w:t>
            </w:r>
          </w:p>
        </w:tc>
        <w:tc>
          <w:tcPr>
            <w:tcW w:w="661" w:type="pct"/>
            <w:tcBorders>
              <w:right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12 050</w:t>
            </w:r>
          </w:p>
        </w:tc>
      </w:tr>
      <w:tr w:rsidR="00565FD5" w:rsidRPr="00694F5D" w:rsidTr="00AB62A3">
        <w:trPr>
          <w:trHeight w:val="255"/>
          <w:jc w:val="center"/>
        </w:trPr>
        <w:tc>
          <w:tcPr>
            <w:tcW w:w="1540" w:type="pct"/>
            <w:tcBorders>
              <w:left w:val="single" w:sz="4" w:space="0" w:color="auto"/>
            </w:tcBorders>
            <w:vAlign w:val="center"/>
          </w:tcPr>
          <w:p w:rsidR="00565FD5" w:rsidRPr="00694F5D" w:rsidRDefault="00565FD5" w:rsidP="00AB62A3">
            <w:pPr>
              <w:rPr>
                <w:rFonts w:cs="Tahoma"/>
                <w:b/>
                <w:sz w:val="14"/>
                <w:szCs w:val="14"/>
              </w:rPr>
            </w:pPr>
            <w:r w:rsidRPr="00694F5D">
              <w:rPr>
                <w:rFonts w:cs="Tahoma"/>
                <w:b/>
                <w:sz w:val="14"/>
                <w:szCs w:val="14"/>
              </w:rPr>
              <w:t>Parasal Taban</w:t>
            </w:r>
          </w:p>
        </w:tc>
        <w:tc>
          <w:tcPr>
            <w:tcW w:w="700" w:type="pct"/>
            <w:tcBorders>
              <w:left w:val="nil"/>
              <w:right w:val="nil"/>
            </w:tcBorders>
            <w:vAlign w:val="center"/>
          </w:tcPr>
          <w:p w:rsidR="00565FD5" w:rsidRPr="00694F5D" w:rsidRDefault="00565FD5" w:rsidP="00AB62A3">
            <w:pPr>
              <w:jc w:val="right"/>
              <w:rPr>
                <w:rFonts w:cs="Tahoma"/>
                <w:sz w:val="14"/>
                <w:szCs w:val="14"/>
              </w:rPr>
            </w:pPr>
            <w:r w:rsidRPr="00694F5D">
              <w:rPr>
                <w:rFonts w:cs="Tahoma"/>
                <w:sz w:val="14"/>
                <w:szCs w:val="14"/>
              </w:rPr>
              <w:t>65 074</w:t>
            </w:r>
          </w:p>
        </w:tc>
        <w:tc>
          <w:tcPr>
            <w:tcW w:w="612" w:type="pct"/>
            <w:vAlign w:val="center"/>
          </w:tcPr>
          <w:p w:rsidR="00565FD5" w:rsidRPr="00694F5D" w:rsidRDefault="00565FD5" w:rsidP="00AB62A3">
            <w:pPr>
              <w:jc w:val="right"/>
              <w:rPr>
                <w:rFonts w:cs="Tahoma"/>
                <w:sz w:val="14"/>
                <w:szCs w:val="14"/>
              </w:rPr>
            </w:pPr>
            <w:r w:rsidRPr="00694F5D">
              <w:rPr>
                <w:rFonts w:cs="Tahoma"/>
                <w:sz w:val="14"/>
                <w:szCs w:val="14"/>
              </w:rPr>
              <w:t>44 919</w:t>
            </w:r>
          </w:p>
        </w:tc>
        <w:tc>
          <w:tcPr>
            <w:tcW w:w="786" w:type="pct"/>
            <w:vAlign w:val="center"/>
          </w:tcPr>
          <w:p w:rsidR="00565FD5" w:rsidRPr="00694F5D" w:rsidRDefault="00565FD5" w:rsidP="00AB62A3">
            <w:pPr>
              <w:jc w:val="right"/>
              <w:rPr>
                <w:rFonts w:cs="Tahoma"/>
                <w:sz w:val="14"/>
                <w:szCs w:val="14"/>
              </w:rPr>
            </w:pPr>
            <w:r w:rsidRPr="00694F5D">
              <w:rPr>
                <w:rFonts w:cs="Tahoma"/>
                <w:sz w:val="14"/>
                <w:szCs w:val="14"/>
              </w:rPr>
              <w:t>39 329</w:t>
            </w:r>
          </w:p>
        </w:tc>
        <w:tc>
          <w:tcPr>
            <w:tcW w:w="701" w:type="pct"/>
            <w:vAlign w:val="center"/>
          </w:tcPr>
          <w:p w:rsidR="00565FD5" w:rsidRPr="00694F5D" w:rsidRDefault="00565FD5" w:rsidP="00AB62A3">
            <w:pPr>
              <w:jc w:val="right"/>
              <w:rPr>
                <w:rFonts w:cs="Tahoma"/>
                <w:sz w:val="14"/>
                <w:szCs w:val="14"/>
              </w:rPr>
            </w:pPr>
            <w:r w:rsidRPr="00694F5D">
              <w:rPr>
                <w:rFonts w:cs="Tahoma"/>
                <w:sz w:val="14"/>
                <w:szCs w:val="14"/>
              </w:rPr>
              <w:t>47 154</w:t>
            </w:r>
          </w:p>
        </w:tc>
        <w:tc>
          <w:tcPr>
            <w:tcW w:w="661" w:type="pct"/>
            <w:tcBorders>
              <w:right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46 909</w:t>
            </w:r>
          </w:p>
        </w:tc>
      </w:tr>
      <w:tr w:rsidR="00565FD5" w:rsidRPr="00694F5D" w:rsidTr="00AB62A3">
        <w:trPr>
          <w:trHeight w:val="255"/>
          <w:jc w:val="center"/>
        </w:trPr>
        <w:tc>
          <w:tcPr>
            <w:tcW w:w="1540" w:type="pct"/>
            <w:tcBorders>
              <w:left w:val="single" w:sz="4" w:space="0" w:color="auto"/>
            </w:tcBorders>
            <w:vAlign w:val="center"/>
          </w:tcPr>
          <w:p w:rsidR="00565FD5" w:rsidRPr="00694F5D" w:rsidRDefault="00565FD5" w:rsidP="00AB62A3">
            <w:pPr>
              <w:ind w:firstLine="186"/>
              <w:rPr>
                <w:rFonts w:cs="Tahoma"/>
                <w:bCs/>
                <w:sz w:val="14"/>
                <w:szCs w:val="14"/>
              </w:rPr>
            </w:pPr>
            <w:r w:rsidRPr="00694F5D">
              <w:rPr>
                <w:rFonts w:cs="Tahoma"/>
                <w:bCs/>
                <w:sz w:val="14"/>
                <w:szCs w:val="14"/>
              </w:rPr>
              <w:t>APİ’den Borçlar</w:t>
            </w:r>
          </w:p>
        </w:tc>
        <w:tc>
          <w:tcPr>
            <w:tcW w:w="700" w:type="pct"/>
            <w:tcBorders>
              <w:left w:val="nil"/>
              <w:right w:val="nil"/>
            </w:tcBorders>
            <w:vAlign w:val="center"/>
          </w:tcPr>
          <w:p w:rsidR="00565FD5" w:rsidRPr="00694F5D" w:rsidRDefault="00565FD5" w:rsidP="00AB62A3">
            <w:pPr>
              <w:jc w:val="right"/>
              <w:rPr>
                <w:rFonts w:cs="Tahoma"/>
                <w:sz w:val="14"/>
                <w:szCs w:val="14"/>
              </w:rPr>
            </w:pPr>
            <w:r w:rsidRPr="00694F5D">
              <w:rPr>
                <w:rFonts w:cs="Tahoma"/>
                <w:sz w:val="14"/>
                <w:szCs w:val="14"/>
              </w:rPr>
              <w:t>-10 913</w:t>
            </w:r>
          </w:p>
        </w:tc>
        <w:tc>
          <w:tcPr>
            <w:tcW w:w="612" w:type="pct"/>
            <w:vAlign w:val="center"/>
          </w:tcPr>
          <w:p w:rsidR="00565FD5" w:rsidRPr="00694F5D" w:rsidRDefault="00565FD5" w:rsidP="00AB62A3">
            <w:pPr>
              <w:jc w:val="right"/>
              <w:rPr>
                <w:rFonts w:cs="Tahoma"/>
                <w:sz w:val="14"/>
                <w:szCs w:val="14"/>
              </w:rPr>
            </w:pPr>
            <w:r w:rsidRPr="00694F5D">
              <w:rPr>
                <w:rFonts w:cs="Tahoma"/>
                <w:sz w:val="14"/>
                <w:szCs w:val="14"/>
              </w:rPr>
              <w:t>-39 129</w:t>
            </w:r>
          </w:p>
        </w:tc>
        <w:tc>
          <w:tcPr>
            <w:tcW w:w="786" w:type="pct"/>
            <w:vAlign w:val="center"/>
          </w:tcPr>
          <w:p w:rsidR="00565FD5" w:rsidRPr="00694F5D" w:rsidRDefault="00565FD5" w:rsidP="00AB62A3">
            <w:pPr>
              <w:jc w:val="right"/>
              <w:rPr>
                <w:rFonts w:cs="Tahoma"/>
                <w:sz w:val="14"/>
                <w:szCs w:val="14"/>
              </w:rPr>
            </w:pPr>
            <w:r w:rsidRPr="00694F5D">
              <w:rPr>
                <w:rFonts w:cs="Tahoma"/>
                <w:sz w:val="14"/>
                <w:szCs w:val="14"/>
              </w:rPr>
              <w:t>-46 199</w:t>
            </w:r>
          </w:p>
        </w:tc>
        <w:tc>
          <w:tcPr>
            <w:tcW w:w="701" w:type="pct"/>
            <w:vAlign w:val="center"/>
          </w:tcPr>
          <w:p w:rsidR="00565FD5" w:rsidRPr="00694F5D" w:rsidRDefault="00565FD5" w:rsidP="00AB62A3">
            <w:pPr>
              <w:jc w:val="right"/>
              <w:rPr>
                <w:rFonts w:cs="Tahoma"/>
                <w:sz w:val="14"/>
                <w:szCs w:val="14"/>
              </w:rPr>
            </w:pPr>
            <w:r w:rsidRPr="00694F5D">
              <w:rPr>
                <w:rFonts w:cs="Tahoma"/>
                <w:sz w:val="14"/>
                <w:szCs w:val="14"/>
              </w:rPr>
              <w:t>-29 854</w:t>
            </w:r>
          </w:p>
        </w:tc>
        <w:tc>
          <w:tcPr>
            <w:tcW w:w="661" w:type="pct"/>
            <w:tcBorders>
              <w:right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-26 217</w:t>
            </w:r>
          </w:p>
        </w:tc>
      </w:tr>
      <w:tr w:rsidR="00565FD5" w:rsidRPr="00694F5D" w:rsidTr="00AB62A3">
        <w:trPr>
          <w:trHeight w:val="255"/>
          <w:jc w:val="center"/>
        </w:trPr>
        <w:tc>
          <w:tcPr>
            <w:tcW w:w="1540" w:type="pct"/>
            <w:tcBorders>
              <w:left w:val="single" w:sz="4" w:space="0" w:color="auto"/>
            </w:tcBorders>
            <w:vAlign w:val="center"/>
          </w:tcPr>
          <w:p w:rsidR="00565FD5" w:rsidRPr="00694F5D" w:rsidRDefault="00565FD5" w:rsidP="00AB62A3">
            <w:pPr>
              <w:rPr>
                <w:rFonts w:cs="Tahoma"/>
                <w:b/>
                <w:sz w:val="14"/>
                <w:szCs w:val="14"/>
              </w:rPr>
            </w:pPr>
            <w:r w:rsidRPr="00694F5D">
              <w:rPr>
                <w:rFonts w:cs="Tahoma"/>
                <w:b/>
                <w:sz w:val="14"/>
                <w:szCs w:val="14"/>
              </w:rPr>
              <w:t>Merkez Bankası Parası</w:t>
            </w:r>
          </w:p>
        </w:tc>
        <w:tc>
          <w:tcPr>
            <w:tcW w:w="700" w:type="pct"/>
            <w:tcBorders>
              <w:left w:val="nil"/>
              <w:right w:val="nil"/>
            </w:tcBorders>
            <w:vAlign w:val="center"/>
          </w:tcPr>
          <w:p w:rsidR="00565FD5" w:rsidRPr="00694F5D" w:rsidRDefault="00565FD5" w:rsidP="00AB62A3">
            <w:pPr>
              <w:jc w:val="right"/>
              <w:rPr>
                <w:rFonts w:cs="Tahoma"/>
                <w:sz w:val="14"/>
                <w:szCs w:val="14"/>
              </w:rPr>
            </w:pPr>
            <w:r w:rsidRPr="00694F5D">
              <w:rPr>
                <w:rFonts w:cs="Tahoma"/>
                <w:sz w:val="14"/>
                <w:szCs w:val="14"/>
              </w:rPr>
              <w:t>70 617</w:t>
            </w:r>
          </w:p>
        </w:tc>
        <w:tc>
          <w:tcPr>
            <w:tcW w:w="612" w:type="pct"/>
            <w:vAlign w:val="center"/>
          </w:tcPr>
          <w:p w:rsidR="00565FD5" w:rsidRPr="00694F5D" w:rsidRDefault="00565FD5" w:rsidP="00AB62A3">
            <w:pPr>
              <w:jc w:val="right"/>
              <w:rPr>
                <w:rFonts w:cs="Tahoma"/>
                <w:sz w:val="14"/>
                <w:szCs w:val="14"/>
              </w:rPr>
            </w:pPr>
            <w:r w:rsidRPr="00694F5D">
              <w:rPr>
                <w:rFonts w:cs="Tahoma"/>
                <w:sz w:val="14"/>
                <w:szCs w:val="14"/>
              </w:rPr>
              <w:t>53 154</w:t>
            </w:r>
          </w:p>
        </w:tc>
        <w:tc>
          <w:tcPr>
            <w:tcW w:w="786" w:type="pct"/>
            <w:vAlign w:val="center"/>
          </w:tcPr>
          <w:p w:rsidR="00565FD5" w:rsidRPr="00694F5D" w:rsidRDefault="00565FD5" w:rsidP="00AB62A3">
            <w:pPr>
              <w:jc w:val="right"/>
              <w:rPr>
                <w:rFonts w:cs="Tahoma"/>
                <w:sz w:val="14"/>
                <w:szCs w:val="14"/>
              </w:rPr>
            </w:pPr>
            <w:r w:rsidRPr="00694F5D">
              <w:rPr>
                <w:rFonts w:cs="Tahoma"/>
                <w:sz w:val="14"/>
                <w:szCs w:val="14"/>
              </w:rPr>
              <w:t>46 488</w:t>
            </w:r>
          </w:p>
        </w:tc>
        <w:tc>
          <w:tcPr>
            <w:tcW w:w="701" w:type="pct"/>
            <w:vAlign w:val="center"/>
          </w:tcPr>
          <w:p w:rsidR="00565FD5" w:rsidRPr="00694F5D" w:rsidRDefault="00565FD5" w:rsidP="00AB62A3">
            <w:pPr>
              <w:jc w:val="right"/>
              <w:rPr>
                <w:rFonts w:cs="Tahoma"/>
                <w:sz w:val="14"/>
                <w:szCs w:val="14"/>
              </w:rPr>
            </w:pPr>
            <w:r w:rsidRPr="00694F5D">
              <w:rPr>
                <w:rFonts w:cs="Tahoma"/>
                <w:sz w:val="14"/>
                <w:szCs w:val="14"/>
              </w:rPr>
              <w:t>56 543</w:t>
            </w:r>
          </w:p>
        </w:tc>
        <w:tc>
          <w:tcPr>
            <w:tcW w:w="661" w:type="pct"/>
            <w:tcBorders>
              <w:right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61 035</w:t>
            </w:r>
          </w:p>
        </w:tc>
      </w:tr>
      <w:tr w:rsidR="00565FD5" w:rsidRPr="00694F5D" w:rsidTr="00AB62A3">
        <w:trPr>
          <w:trHeight w:val="255"/>
          <w:jc w:val="center"/>
        </w:trPr>
        <w:tc>
          <w:tcPr>
            <w:tcW w:w="1540" w:type="pct"/>
            <w:tcBorders>
              <w:left w:val="single" w:sz="4" w:space="0" w:color="auto"/>
              <w:bottom w:val="single" w:sz="2" w:space="0" w:color="auto"/>
            </w:tcBorders>
            <w:vAlign w:val="center"/>
          </w:tcPr>
          <w:p w:rsidR="00565FD5" w:rsidRPr="00694F5D" w:rsidRDefault="00565FD5" w:rsidP="00AB62A3">
            <w:pPr>
              <w:ind w:firstLine="186"/>
              <w:rPr>
                <w:rFonts w:cs="Tahoma"/>
                <w:bCs/>
                <w:sz w:val="14"/>
                <w:szCs w:val="14"/>
              </w:rPr>
            </w:pPr>
            <w:r w:rsidRPr="00694F5D">
              <w:rPr>
                <w:rFonts w:cs="Tahoma"/>
                <w:bCs/>
                <w:sz w:val="14"/>
                <w:szCs w:val="14"/>
              </w:rPr>
              <w:t>Kamu Mevduatı</w:t>
            </w:r>
          </w:p>
        </w:tc>
        <w:tc>
          <w:tcPr>
            <w:tcW w:w="700" w:type="pct"/>
            <w:tcBorders>
              <w:left w:val="nil"/>
              <w:bottom w:val="single" w:sz="2" w:space="0" w:color="auto"/>
              <w:right w:val="nil"/>
            </w:tcBorders>
            <w:vAlign w:val="center"/>
          </w:tcPr>
          <w:p w:rsidR="00565FD5" w:rsidRPr="00694F5D" w:rsidRDefault="00565FD5" w:rsidP="00AB62A3">
            <w:pPr>
              <w:jc w:val="right"/>
              <w:rPr>
                <w:rFonts w:cs="Tahoma"/>
                <w:sz w:val="14"/>
                <w:szCs w:val="14"/>
              </w:rPr>
            </w:pPr>
            <w:r w:rsidRPr="00694F5D">
              <w:rPr>
                <w:rFonts w:cs="Tahoma"/>
                <w:sz w:val="14"/>
                <w:szCs w:val="14"/>
              </w:rPr>
              <w:t>5 543</w:t>
            </w:r>
          </w:p>
        </w:tc>
        <w:tc>
          <w:tcPr>
            <w:tcW w:w="612" w:type="pct"/>
            <w:tcBorders>
              <w:bottom w:val="single" w:sz="2" w:space="0" w:color="auto"/>
            </w:tcBorders>
            <w:vAlign w:val="center"/>
          </w:tcPr>
          <w:p w:rsidR="00565FD5" w:rsidRPr="00694F5D" w:rsidRDefault="00565FD5" w:rsidP="00AB62A3">
            <w:pPr>
              <w:jc w:val="right"/>
              <w:rPr>
                <w:rFonts w:cs="Tahoma"/>
                <w:sz w:val="14"/>
                <w:szCs w:val="14"/>
              </w:rPr>
            </w:pPr>
            <w:r w:rsidRPr="00694F5D">
              <w:rPr>
                <w:rFonts w:cs="Tahoma"/>
                <w:sz w:val="14"/>
                <w:szCs w:val="14"/>
              </w:rPr>
              <w:t>8 235</w:t>
            </w:r>
          </w:p>
        </w:tc>
        <w:tc>
          <w:tcPr>
            <w:tcW w:w="786" w:type="pct"/>
            <w:tcBorders>
              <w:bottom w:val="single" w:sz="2" w:space="0" w:color="auto"/>
            </w:tcBorders>
            <w:vAlign w:val="center"/>
          </w:tcPr>
          <w:p w:rsidR="00565FD5" w:rsidRPr="00694F5D" w:rsidRDefault="00565FD5" w:rsidP="00AB62A3">
            <w:pPr>
              <w:jc w:val="right"/>
              <w:rPr>
                <w:rFonts w:cs="Tahoma"/>
                <w:sz w:val="14"/>
                <w:szCs w:val="14"/>
              </w:rPr>
            </w:pPr>
            <w:r w:rsidRPr="00694F5D">
              <w:rPr>
                <w:rFonts w:cs="Tahoma"/>
                <w:sz w:val="14"/>
                <w:szCs w:val="14"/>
              </w:rPr>
              <w:t>7 159</w:t>
            </w:r>
          </w:p>
        </w:tc>
        <w:tc>
          <w:tcPr>
            <w:tcW w:w="701" w:type="pct"/>
            <w:tcBorders>
              <w:bottom w:val="single" w:sz="2" w:space="0" w:color="auto"/>
            </w:tcBorders>
            <w:vAlign w:val="center"/>
          </w:tcPr>
          <w:p w:rsidR="00565FD5" w:rsidRPr="00694F5D" w:rsidRDefault="00565FD5" w:rsidP="00AB62A3">
            <w:pPr>
              <w:jc w:val="right"/>
              <w:rPr>
                <w:rFonts w:cs="Tahoma"/>
                <w:sz w:val="14"/>
                <w:szCs w:val="14"/>
              </w:rPr>
            </w:pPr>
            <w:r w:rsidRPr="00694F5D">
              <w:rPr>
                <w:rFonts w:cs="Tahoma"/>
                <w:sz w:val="14"/>
                <w:szCs w:val="14"/>
              </w:rPr>
              <w:t>9 389</w:t>
            </w:r>
          </w:p>
        </w:tc>
        <w:tc>
          <w:tcPr>
            <w:tcW w:w="661" w:type="pct"/>
            <w:tcBorders>
              <w:bottom w:val="single" w:sz="2" w:space="0" w:color="auto"/>
              <w:right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14 126</w:t>
            </w:r>
          </w:p>
        </w:tc>
      </w:tr>
      <w:tr w:rsidR="00565FD5" w:rsidRPr="00694F5D" w:rsidTr="00AB62A3">
        <w:trPr>
          <w:trHeight w:val="255"/>
          <w:jc w:val="center"/>
        </w:trPr>
        <w:tc>
          <w:tcPr>
            <w:tcW w:w="1540" w:type="pct"/>
            <w:tcBorders>
              <w:top w:val="single" w:sz="2" w:space="0" w:color="auto"/>
              <w:left w:val="single" w:sz="4" w:space="0" w:color="auto"/>
              <w:bottom w:val="single" w:sz="2" w:space="0" w:color="auto"/>
            </w:tcBorders>
            <w:vAlign w:val="center"/>
          </w:tcPr>
          <w:p w:rsidR="00565FD5" w:rsidRPr="00694F5D" w:rsidRDefault="00565FD5" w:rsidP="00AB62A3">
            <w:pPr>
              <w:rPr>
                <w:rFonts w:cs="Tahoma"/>
                <w:b/>
                <w:sz w:val="14"/>
                <w:szCs w:val="14"/>
              </w:rPr>
            </w:pPr>
          </w:p>
        </w:tc>
        <w:tc>
          <w:tcPr>
            <w:tcW w:w="3460" w:type="pct"/>
            <w:gridSpan w:val="5"/>
            <w:tcBorders>
              <w:top w:val="single" w:sz="2" w:space="0" w:color="auto"/>
              <w:left w:val="nil"/>
              <w:bottom w:val="single" w:sz="2" w:space="0" w:color="auto"/>
              <w:right w:val="single" w:sz="4" w:space="0" w:color="auto"/>
            </w:tcBorders>
            <w:vAlign w:val="center"/>
          </w:tcPr>
          <w:p w:rsidR="00565FD5" w:rsidRPr="00694F5D" w:rsidRDefault="00565FD5" w:rsidP="00AB62A3">
            <w:pPr>
              <w:jc w:val="center"/>
              <w:rPr>
                <w:rFonts w:eastAsia="Arial Unicode MS" w:cs="Tahoma"/>
                <w:b/>
                <w:sz w:val="14"/>
                <w:szCs w:val="14"/>
              </w:rPr>
            </w:pPr>
            <w:r w:rsidRPr="00694F5D">
              <w:rPr>
                <w:rFonts w:eastAsia="Arial Unicode MS" w:cs="Tahoma"/>
                <w:b/>
                <w:sz w:val="14"/>
                <w:szCs w:val="14"/>
              </w:rPr>
              <w:t>(Milyon ABD Doları)</w:t>
            </w:r>
          </w:p>
        </w:tc>
      </w:tr>
      <w:tr w:rsidR="00565FD5" w:rsidRPr="00694F5D" w:rsidTr="00AB62A3">
        <w:trPr>
          <w:trHeight w:val="255"/>
          <w:jc w:val="center"/>
        </w:trPr>
        <w:tc>
          <w:tcPr>
            <w:tcW w:w="1540" w:type="pct"/>
            <w:tcBorders>
              <w:top w:val="single" w:sz="2" w:space="0" w:color="auto"/>
              <w:left w:val="single" w:sz="4" w:space="0" w:color="auto"/>
            </w:tcBorders>
            <w:vAlign w:val="center"/>
          </w:tcPr>
          <w:p w:rsidR="00565FD5" w:rsidRPr="00694F5D" w:rsidRDefault="00565FD5" w:rsidP="00AB62A3">
            <w:pPr>
              <w:rPr>
                <w:rFonts w:cs="Tahoma"/>
                <w:b/>
                <w:sz w:val="14"/>
                <w:szCs w:val="14"/>
              </w:rPr>
            </w:pPr>
            <w:r w:rsidRPr="00694F5D">
              <w:rPr>
                <w:rFonts w:cs="Tahoma"/>
                <w:b/>
                <w:sz w:val="14"/>
                <w:szCs w:val="14"/>
              </w:rPr>
              <w:t xml:space="preserve">Net Döviz Pozisyonu </w:t>
            </w:r>
          </w:p>
        </w:tc>
        <w:tc>
          <w:tcPr>
            <w:tcW w:w="700" w:type="pct"/>
            <w:tcBorders>
              <w:top w:val="single" w:sz="2" w:space="0" w:color="auto"/>
              <w:left w:val="nil"/>
              <w:right w:val="nil"/>
            </w:tcBorders>
            <w:vAlign w:val="center"/>
          </w:tcPr>
          <w:p w:rsidR="00565FD5" w:rsidRPr="00694F5D" w:rsidRDefault="00565FD5" w:rsidP="00AB62A3">
            <w:pPr>
              <w:jc w:val="right"/>
              <w:rPr>
                <w:rFonts w:cs="Tahoma"/>
                <w:sz w:val="14"/>
                <w:szCs w:val="14"/>
              </w:rPr>
            </w:pPr>
            <w:r w:rsidRPr="00694F5D">
              <w:rPr>
                <w:rFonts w:cs="Tahoma"/>
                <w:sz w:val="14"/>
                <w:szCs w:val="14"/>
              </w:rPr>
              <w:t>50 278</w:t>
            </w:r>
          </w:p>
        </w:tc>
        <w:tc>
          <w:tcPr>
            <w:tcW w:w="612" w:type="pct"/>
            <w:tcBorders>
              <w:top w:val="single" w:sz="2" w:space="0" w:color="auto"/>
            </w:tcBorders>
            <w:vAlign w:val="center"/>
          </w:tcPr>
          <w:p w:rsidR="00565FD5" w:rsidRPr="00694F5D" w:rsidRDefault="00565FD5" w:rsidP="00AB62A3">
            <w:pPr>
              <w:jc w:val="right"/>
              <w:rPr>
                <w:rFonts w:cs="Tahoma"/>
                <w:sz w:val="14"/>
                <w:szCs w:val="14"/>
              </w:rPr>
            </w:pPr>
            <w:r w:rsidRPr="00694F5D">
              <w:rPr>
                <w:rFonts w:cs="Tahoma"/>
                <w:sz w:val="14"/>
                <w:szCs w:val="14"/>
              </w:rPr>
              <w:t>44 359</w:t>
            </w:r>
          </w:p>
        </w:tc>
        <w:tc>
          <w:tcPr>
            <w:tcW w:w="786" w:type="pct"/>
            <w:tcBorders>
              <w:top w:val="single" w:sz="2" w:space="0" w:color="auto"/>
            </w:tcBorders>
            <w:vAlign w:val="center"/>
          </w:tcPr>
          <w:p w:rsidR="00565FD5" w:rsidRPr="00694F5D" w:rsidRDefault="00565FD5" w:rsidP="00AB62A3">
            <w:pPr>
              <w:jc w:val="right"/>
              <w:rPr>
                <w:rFonts w:cs="Tahoma"/>
                <w:sz w:val="14"/>
                <w:szCs w:val="14"/>
              </w:rPr>
            </w:pPr>
            <w:r w:rsidRPr="00694F5D">
              <w:rPr>
                <w:rFonts w:cs="Tahoma"/>
                <w:sz w:val="14"/>
                <w:szCs w:val="14"/>
              </w:rPr>
              <w:t>38 084</w:t>
            </w:r>
          </w:p>
        </w:tc>
        <w:tc>
          <w:tcPr>
            <w:tcW w:w="701" w:type="pct"/>
            <w:tcBorders>
              <w:top w:val="single" w:sz="2" w:space="0" w:color="auto"/>
            </w:tcBorders>
            <w:vAlign w:val="center"/>
          </w:tcPr>
          <w:p w:rsidR="00565FD5" w:rsidRPr="00694F5D" w:rsidRDefault="00565FD5" w:rsidP="00AB62A3">
            <w:pPr>
              <w:jc w:val="right"/>
              <w:rPr>
                <w:rFonts w:cs="Tahoma"/>
                <w:sz w:val="14"/>
                <w:szCs w:val="14"/>
              </w:rPr>
            </w:pPr>
            <w:r w:rsidRPr="00694F5D">
              <w:rPr>
                <w:rFonts w:cs="Tahoma"/>
                <w:sz w:val="14"/>
                <w:szCs w:val="14"/>
              </w:rPr>
              <w:t>38 773</w:t>
            </w:r>
          </w:p>
        </w:tc>
        <w:tc>
          <w:tcPr>
            <w:tcW w:w="661" w:type="pct"/>
            <w:tcBorders>
              <w:top w:val="single" w:sz="2" w:space="0" w:color="auto"/>
              <w:right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42 279</w:t>
            </w:r>
          </w:p>
        </w:tc>
      </w:tr>
      <w:tr w:rsidR="00565FD5" w:rsidRPr="00694F5D" w:rsidTr="00AB62A3">
        <w:trPr>
          <w:trHeight w:val="255"/>
          <w:jc w:val="center"/>
        </w:trPr>
        <w:tc>
          <w:tcPr>
            <w:tcW w:w="1540" w:type="pct"/>
            <w:tcBorders>
              <w:left w:val="single" w:sz="4" w:space="0" w:color="auto"/>
            </w:tcBorders>
            <w:vAlign w:val="center"/>
          </w:tcPr>
          <w:p w:rsidR="00565FD5" w:rsidRPr="00694F5D" w:rsidRDefault="00565FD5" w:rsidP="00AB62A3">
            <w:pPr>
              <w:rPr>
                <w:rFonts w:cs="Tahoma"/>
                <w:sz w:val="14"/>
                <w:szCs w:val="14"/>
              </w:rPr>
            </w:pPr>
            <w:r w:rsidRPr="00694F5D">
              <w:rPr>
                <w:rFonts w:cs="Tahoma"/>
                <w:sz w:val="14"/>
                <w:szCs w:val="14"/>
              </w:rPr>
              <w:t xml:space="preserve">Net Dış Varlıklar </w:t>
            </w:r>
          </w:p>
        </w:tc>
        <w:tc>
          <w:tcPr>
            <w:tcW w:w="700" w:type="pct"/>
            <w:tcBorders>
              <w:left w:val="nil"/>
              <w:right w:val="nil"/>
            </w:tcBorders>
            <w:vAlign w:val="center"/>
          </w:tcPr>
          <w:p w:rsidR="00565FD5" w:rsidRPr="00694F5D" w:rsidRDefault="00565FD5" w:rsidP="00AB62A3">
            <w:pPr>
              <w:jc w:val="right"/>
              <w:rPr>
                <w:rFonts w:cs="Tahoma"/>
                <w:sz w:val="14"/>
                <w:szCs w:val="14"/>
              </w:rPr>
            </w:pPr>
            <w:r w:rsidRPr="00694F5D">
              <w:rPr>
                <w:rFonts w:cs="Tahoma"/>
                <w:sz w:val="14"/>
                <w:szCs w:val="14"/>
              </w:rPr>
              <w:t>74 109</w:t>
            </w:r>
          </w:p>
        </w:tc>
        <w:tc>
          <w:tcPr>
            <w:tcW w:w="612" w:type="pct"/>
            <w:vAlign w:val="center"/>
          </w:tcPr>
          <w:p w:rsidR="00565FD5" w:rsidRPr="00694F5D" w:rsidRDefault="00565FD5" w:rsidP="00AB62A3">
            <w:pPr>
              <w:jc w:val="right"/>
              <w:rPr>
                <w:rFonts w:cs="Tahoma"/>
                <w:sz w:val="14"/>
                <w:szCs w:val="14"/>
              </w:rPr>
            </w:pPr>
            <w:r w:rsidRPr="00694F5D">
              <w:rPr>
                <w:rFonts w:cs="Tahoma"/>
                <w:sz w:val="14"/>
                <w:szCs w:val="14"/>
              </w:rPr>
              <w:t>83 898</w:t>
            </w:r>
          </w:p>
        </w:tc>
        <w:tc>
          <w:tcPr>
            <w:tcW w:w="786" w:type="pct"/>
            <w:vAlign w:val="center"/>
          </w:tcPr>
          <w:p w:rsidR="00565FD5" w:rsidRPr="00694F5D" w:rsidRDefault="00565FD5" w:rsidP="00AB62A3">
            <w:pPr>
              <w:jc w:val="right"/>
              <w:rPr>
                <w:rFonts w:cs="Tahoma"/>
                <w:sz w:val="14"/>
                <w:szCs w:val="14"/>
              </w:rPr>
            </w:pPr>
            <w:r w:rsidRPr="00694F5D">
              <w:rPr>
                <w:rFonts w:cs="Tahoma"/>
                <w:sz w:val="14"/>
                <w:szCs w:val="14"/>
              </w:rPr>
              <w:t>81 610</w:t>
            </w:r>
          </w:p>
        </w:tc>
        <w:tc>
          <w:tcPr>
            <w:tcW w:w="701" w:type="pct"/>
            <w:vAlign w:val="center"/>
          </w:tcPr>
          <w:p w:rsidR="00565FD5" w:rsidRPr="00694F5D" w:rsidRDefault="00565FD5" w:rsidP="00AB62A3">
            <w:pPr>
              <w:jc w:val="right"/>
              <w:rPr>
                <w:rFonts w:cs="Tahoma"/>
                <w:sz w:val="14"/>
                <w:szCs w:val="14"/>
              </w:rPr>
            </w:pPr>
            <w:r w:rsidRPr="00694F5D">
              <w:rPr>
                <w:rFonts w:cs="Tahoma"/>
                <w:sz w:val="14"/>
                <w:szCs w:val="14"/>
              </w:rPr>
              <w:t>87 135</w:t>
            </w:r>
          </w:p>
        </w:tc>
        <w:tc>
          <w:tcPr>
            <w:tcW w:w="661" w:type="pct"/>
            <w:tcBorders>
              <w:right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104 277</w:t>
            </w:r>
          </w:p>
        </w:tc>
      </w:tr>
      <w:tr w:rsidR="00565FD5" w:rsidRPr="00694F5D" w:rsidTr="00AB62A3">
        <w:trPr>
          <w:trHeight w:val="255"/>
          <w:jc w:val="center"/>
        </w:trPr>
        <w:tc>
          <w:tcPr>
            <w:tcW w:w="1540" w:type="pct"/>
            <w:tcBorders>
              <w:left w:val="single" w:sz="4" w:space="0" w:color="auto"/>
            </w:tcBorders>
            <w:vAlign w:val="center"/>
          </w:tcPr>
          <w:p w:rsidR="00565FD5" w:rsidRPr="00694F5D" w:rsidRDefault="00565FD5" w:rsidP="00AB62A3">
            <w:pPr>
              <w:rPr>
                <w:rFonts w:cs="Tahoma"/>
                <w:sz w:val="14"/>
                <w:szCs w:val="14"/>
              </w:rPr>
            </w:pPr>
            <w:r w:rsidRPr="00694F5D">
              <w:rPr>
                <w:rFonts w:cs="Tahoma"/>
                <w:sz w:val="14"/>
                <w:szCs w:val="14"/>
              </w:rPr>
              <w:t xml:space="preserve">  Net Rezervler </w:t>
            </w:r>
          </w:p>
        </w:tc>
        <w:tc>
          <w:tcPr>
            <w:tcW w:w="700" w:type="pct"/>
            <w:tcBorders>
              <w:left w:val="nil"/>
              <w:right w:val="nil"/>
            </w:tcBorders>
            <w:vAlign w:val="center"/>
          </w:tcPr>
          <w:p w:rsidR="00565FD5" w:rsidRPr="00694F5D" w:rsidRDefault="00565FD5" w:rsidP="00AB62A3">
            <w:pPr>
              <w:jc w:val="right"/>
              <w:rPr>
                <w:rFonts w:cs="Tahoma"/>
                <w:sz w:val="14"/>
                <w:szCs w:val="14"/>
              </w:rPr>
            </w:pPr>
            <w:r w:rsidRPr="00694F5D">
              <w:rPr>
                <w:rFonts w:cs="Tahoma"/>
                <w:sz w:val="14"/>
                <w:szCs w:val="14"/>
              </w:rPr>
              <w:t>80 237</w:t>
            </w:r>
          </w:p>
        </w:tc>
        <w:tc>
          <w:tcPr>
            <w:tcW w:w="612" w:type="pct"/>
            <w:vAlign w:val="center"/>
          </w:tcPr>
          <w:p w:rsidR="00565FD5" w:rsidRPr="00694F5D" w:rsidRDefault="00565FD5" w:rsidP="00AB62A3">
            <w:pPr>
              <w:jc w:val="right"/>
              <w:rPr>
                <w:rFonts w:cs="Tahoma"/>
                <w:sz w:val="14"/>
                <w:szCs w:val="14"/>
              </w:rPr>
            </w:pPr>
            <w:r w:rsidRPr="00694F5D">
              <w:rPr>
                <w:rFonts w:cs="Tahoma"/>
                <w:sz w:val="14"/>
                <w:szCs w:val="14"/>
              </w:rPr>
              <w:t>82 296</w:t>
            </w:r>
          </w:p>
        </w:tc>
        <w:tc>
          <w:tcPr>
            <w:tcW w:w="786" w:type="pct"/>
            <w:vAlign w:val="center"/>
          </w:tcPr>
          <w:p w:rsidR="00565FD5" w:rsidRPr="00694F5D" w:rsidRDefault="00565FD5" w:rsidP="00AB62A3">
            <w:pPr>
              <w:jc w:val="right"/>
              <w:rPr>
                <w:rFonts w:cs="Tahoma"/>
                <w:sz w:val="14"/>
                <w:szCs w:val="14"/>
              </w:rPr>
            </w:pPr>
            <w:r w:rsidRPr="00694F5D">
              <w:rPr>
                <w:rFonts w:cs="Tahoma"/>
                <w:sz w:val="14"/>
                <w:szCs w:val="14"/>
              </w:rPr>
              <w:t>79 692</w:t>
            </w:r>
          </w:p>
        </w:tc>
        <w:tc>
          <w:tcPr>
            <w:tcW w:w="701" w:type="pct"/>
            <w:vAlign w:val="center"/>
          </w:tcPr>
          <w:p w:rsidR="00565FD5" w:rsidRPr="00694F5D" w:rsidRDefault="00565FD5" w:rsidP="00AB62A3">
            <w:pPr>
              <w:jc w:val="right"/>
              <w:rPr>
                <w:rFonts w:cs="Tahoma"/>
                <w:sz w:val="14"/>
                <w:szCs w:val="14"/>
              </w:rPr>
            </w:pPr>
            <w:r w:rsidRPr="00694F5D">
              <w:rPr>
                <w:rFonts w:cs="Tahoma"/>
                <w:sz w:val="14"/>
                <w:szCs w:val="14"/>
              </w:rPr>
              <w:t>82 554</w:t>
            </w:r>
          </w:p>
        </w:tc>
        <w:tc>
          <w:tcPr>
            <w:tcW w:w="661" w:type="pct"/>
            <w:tcBorders>
              <w:right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94 392</w:t>
            </w:r>
          </w:p>
        </w:tc>
      </w:tr>
      <w:tr w:rsidR="00565FD5" w:rsidRPr="00694F5D" w:rsidTr="00AB62A3">
        <w:trPr>
          <w:trHeight w:val="255"/>
          <w:jc w:val="center"/>
        </w:trPr>
        <w:tc>
          <w:tcPr>
            <w:tcW w:w="1540" w:type="pct"/>
            <w:tcBorders>
              <w:left w:val="single" w:sz="4" w:space="0" w:color="auto"/>
            </w:tcBorders>
            <w:vAlign w:val="center"/>
          </w:tcPr>
          <w:p w:rsidR="00565FD5" w:rsidRPr="00694F5D" w:rsidRDefault="00565FD5" w:rsidP="00AB62A3">
            <w:pPr>
              <w:rPr>
                <w:rFonts w:cs="Tahoma"/>
                <w:sz w:val="14"/>
                <w:szCs w:val="14"/>
              </w:rPr>
            </w:pPr>
            <w:r w:rsidRPr="00694F5D">
              <w:rPr>
                <w:rFonts w:cs="Tahoma"/>
                <w:sz w:val="14"/>
                <w:szCs w:val="14"/>
              </w:rPr>
              <w:t xml:space="preserve">  KMDTH ve SDMH (-)</w:t>
            </w:r>
          </w:p>
        </w:tc>
        <w:tc>
          <w:tcPr>
            <w:tcW w:w="700" w:type="pct"/>
            <w:tcBorders>
              <w:left w:val="nil"/>
              <w:right w:val="nil"/>
            </w:tcBorders>
            <w:vAlign w:val="center"/>
          </w:tcPr>
          <w:p w:rsidR="00565FD5" w:rsidRPr="00694F5D" w:rsidRDefault="00565FD5" w:rsidP="00AB62A3">
            <w:pPr>
              <w:jc w:val="right"/>
              <w:rPr>
                <w:rFonts w:cs="Tahoma"/>
                <w:sz w:val="14"/>
                <w:szCs w:val="14"/>
              </w:rPr>
            </w:pPr>
            <w:r w:rsidRPr="00694F5D">
              <w:rPr>
                <w:rFonts w:cs="Tahoma"/>
                <w:sz w:val="14"/>
                <w:szCs w:val="14"/>
              </w:rPr>
              <w:t>11 345</w:t>
            </w:r>
          </w:p>
        </w:tc>
        <w:tc>
          <w:tcPr>
            <w:tcW w:w="612" w:type="pct"/>
            <w:vAlign w:val="center"/>
          </w:tcPr>
          <w:p w:rsidR="00565FD5" w:rsidRPr="00694F5D" w:rsidRDefault="00565FD5" w:rsidP="00AB62A3">
            <w:pPr>
              <w:jc w:val="right"/>
              <w:rPr>
                <w:rFonts w:cs="Tahoma"/>
                <w:sz w:val="14"/>
                <w:szCs w:val="14"/>
              </w:rPr>
            </w:pPr>
            <w:r w:rsidRPr="00694F5D">
              <w:rPr>
                <w:rFonts w:cs="Tahoma"/>
                <w:sz w:val="14"/>
                <w:szCs w:val="14"/>
              </w:rPr>
              <w:t>9 706</w:t>
            </w:r>
          </w:p>
        </w:tc>
        <w:tc>
          <w:tcPr>
            <w:tcW w:w="786" w:type="pct"/>
            <w:vAlign w:val="center"/>
          </w:tcPr>
          <w:p w:rsidR="00565FD5" w:rsidRPr="00694F5D" w:rsidRDefault="00565FD5" w:rsidP="00AB62A3">
            <w:pPr>
              <w:jc w:val="right"/>
              <w:rPr>
                <w:rFonts w:cs="Tahoma"/>
                <w:sz w:val="14"/>
                <w:szCs w:val="14"/>
              </w:rPr>
            </w:pPr>
            <w:r w:rsidRPr="00694F5D">
              <w:rPr>
                <w:rFonts w:cs="Tahoma"/>
                <w:sz w:val="14"/>
                <w:szCs w:val="14"/>
              </w:rPr>
              <w:t>9 150</w:t>
            </w:r>
          </w:p>
        </w:tc>
        <w:tc>
          <w:tcPr>
            <w:tcW w:w="701" w:type="pct"/>
            <w:vAlign w:val="center"/>
          </w:tcPr>
          <w:p w:rsidR="00565FD5" w:rsidRPr="00694F5D" w:rsidRDefault="00565FD5" w:rsidP="00AB62A3">
            <w:pPr>
              <w:jc w:val="right"/>
              <w:rPr>
                <w:rFonts w:cs="Tahoma"/>
                <w:sz w:val="14"/>
                <w:szCs w:val="14"/>
              </w:rPr>
            </w:pPr>
            <w:r w:rsidRPr="00694F5D">
              <w:rPr>
                <w:rFonts w:cs="Tahoma"/>
                <w:sz w:val="14"/>
                <w:szCs w:val="14"/>
              </w:rPr>
              <w:t>8 161</w:t>
            </w:r>
          </w:p>
        </w:tc>
        <w:tc>
          <w:tcPr>
            <w:tcW w:w="661" w:type="pct"/>
            <w:tcBorders>
              <w:right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7 372</w:t>
            </w:r>
          </w:p>
        </w:tc>
      </w:tr>
      <w:tr w:rsidR="00565FD5" w:rsidRPr="00694F5D" w:rsidTr="00AB62A3">
        <w:trPr>
          <w:trHeight w:val="255"/>
          <w:jc w:val="center"/>
        </w:trPr>
        <w:tc>
          <w:tcPr>
            <w:tcW w:w="1540" w:type="pct"/>
            <w:tcBorders>
              <w:left w:val="single" w:sz="4" w:space="0" w:color="auto"/>
            </w:tcBorders>
            <w:vAlign w:val="center"/>
          </w:tcPr>
          <w:p w:rsidR="00565FD5" w:rsidRPr="00694F5D" w:rsidRDefault="00565FD5" w:rsidP="00AB62A3">
            <w:pPr>
              <w:rPr>
                <w:rFonts w:cs="Tahoma"/>
                <w:sz w:val="14"/>
                <w:szCs w:val="14"/>
              </w:rPr>
            </w:pPr>
            <w:r w:rsidRPr="00694F5D">
              <w:rPr>
                <w:rFonts w:cs="Tahoma"/>
                <w:sz w:val="14"/>
                <w:szCs w:val="14"/>
              </w:rPr>
              <w:t xml:space="preserve">İç Döviz Yükümlülükleri  </w:t>
            </w:r>
          </w:p>
        </w:tc>
        <w:tc>
          <w:tcPr>
            <w:tcW w:w="700" w:type="pct"/>
            <w:tcBorders>
              <w:left w:val="nil"/>
              <w:right w:val="nil"/>
            </w:tcBorders>
            <w:vAlign w:val="center"/>
          </w:tcPr>
          <w:p w:rsidR="00565FD5" w:rsidRPr="00694F5D" w:rsidRDefault="00565FD5" w:rsidP="00AB62A3">
            <w:pPr>
              <w:jc w:val="right"/>
              <w:rPr>
                <w:rFonts w:cs="Tahoma"/>
                <w:sz w:val="14"/>
                <w:szCs w:val="14"/>
              </w:rPr>
            </w:pPr>
            <w:r w:rsidRPr="00694F5D">
              <w:rPr>
                <w:rFonts w:cs="Tahoma"/>
                <w:sz w:val="14"/>
                <w:szCs w:val="14"/>
              </w:rPr>
              <w:t>23 831</w:t>
            </w:r>
          </w:p>
        </w:tc>
        <w:tc>
          <w:tcPr>
            <w:tcW w:w="612" w:type="pct"/>
            <w:vAlign w:val="center"/>
          </w:tcPr>
          <w:p w:rsidR="00565FD5" w:rsidRPr="00694F5D" w:rsidRDefault="00565FD5" w:rsidP="00AB62A3">
            <w:pPr>
              <w:jc w:val="right"/>
              <w:rPr>
                <w:rFonts w:cs="Tahoma"/>
                <w:sz w:val="14"/>
                <w:szCs w:val="14"/>
              </w:rPr>
            </w:pPr>
            <w:r w:rsidRPr="00694F5D">
              <w:rPr>
                <w:rFonts w:cs="Tahoma"/>
                <w:sz w:val="14"/>
                <w:szCs w:val="14"/>
              </w:rPr>
              <w:t>39 539</w:t>
            </w:r>
          </w:p>
        </w:tc>
        <w:tc>
          <w:tcPr>
            <w:tcW w:w="786" w:type="pct"/>
            <w:vAlign w:val="center"/>
          </w:tcPr>
          <w:p w:rsidR="00565FD5" w:rsidRPr="00694F5D" w:rsidRDefault="00565FD5" w:rsidP="00AB62A3">
            <w:pPr>
              <w:jc w:val="right"/>
              <w:rPr>
                <w:rFonts w:cs="Tahoma"/>
                <w:sz w:val="14"/>
                <w:szCs w:val="14"/>
              </w:rPr>
            </w:pPr>
            <w:r w:rsidRPr="00694F5D">
              <w:rPr>
                <w:rFonts w:cs="Tahoma"/>
                <w:sz w:val="14"/>
                <w:szCs w:val="14"/>
              </w:rPr>
              <w:t>43 526</w:t>
            </w:r>
          </w:p>
        </w:tc>
        <w:tc>
          <w:tcPr>
            <w:tcW w:w="701" w:type="pct"/>
            <w:vAlign w:val="center"/>
          </w:tcPr>
          <w:p w:rsidR="00565FD5" w:rsidRPr="00694F5D" w:rsidRDefault="00565FD5" w:rsidP="00AB62A3">
            <w:pPr>
              <w:jc w:val="right"/>
              <w:rPr>
                <w:rFonts w:cs="Tahoma"/>
                <w:sz w:val="14"/>
                <w:szCs w:val="14"/>
              </w:rPr>
            </w:pPr>
            <w:r w:rsidRPr="00694F5D">
              <w:rPr>
                <w:rFonts w:cs="Tahoma"/>
                <w:sz w:val="14"/>
                <w:szCs w:val="14"/>
              </w:rPr>
              <w:t>48 362</w:t>
            </w:r>
          </w:p>
        </w:tc>
        <w:tc>
          <w:tcPr>
            <w:tcW w:w="661" w:type="pct"/>
            <w:tcBorders>
              <w:right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61 998</w:t>
            </w:r>
          </w:p>
        </w:tc>
      </w:tr>
      <w:tr w:rsidR="00565FD5" w:rsidRPr="00694F5D" w:rsidTr="00AB62A3">
        <w:trPr>
          <w:trHeight w:val="255"/>
          <w:jc w:val="center"/>
        </w:trPr>
        <w:tc>
          <w:tcPr>
            <w:tcW w:w="1540" w:type="pct"/>
            <w:tcBorders>
              <w:left w:val="single" w:sz="4" w:space="0" w:color="auto"/>
            </w:tcBorders>
            <w:vAlign w:val="center"/>
          </w:tcPr>
          <w:p w:rsidR="00565FD5" w:rsidRPr="00694F5D" w:rsidRDefault="00565FD5" w:rsidP="00AB62A3">
            <w:pPr>
              <w:rPr>
                <w:rFonts w:cs="Tahoma"/>
                <w:sz w:val="14"/>
                <w:szCs w:val="14"/>
              </w:rPr>
            </w:pPr>
            <w:r w:rsidRPr="00694F5D">
              <w:rPr>
                <w:rFonts w:cs="Tahoma"/>
                <w:sz w:val="14"/>
                <w:szCs w:val="14"/>
              </w:rPr>
              <w:t xml:space="preserve">  Döviz Olarak Takip Edilen  </w:t>
            </w:r>
          </w:p>
          <w:p w:rsidR="00565FD5" w:rsidRPr="00694F5D" w:rsidRDefault="00565FD5" w:rsidP="00AB62A3">
            <w:pPr>
              <w:rPr>
                <w:rFonts w:cs="Tahoma"/>
                <w:sz w:val="14"/>
                <w:szCs w:val="14"/>
              </w:rPr>
            </w:pPr>
            <w:r w:rsidRPr="00694F5D">
              <w:rPr>
                <w:rFonts w:cs="Tahoma"/>
                <w:sz w:val="14"/>
                <w:szCs w:val="14"/>
              </w:rPr>
              <w:t xml:space="preserve">  Kamu Mevduatı</w:t>
            </w:r>
          </w:p>
        </w:tc>
        <w:tc>
          <w:tcPr>
            <w:tcW w:w="700" w:type="pct"/>
            <w:tcBorders>
              <w:left w:val="nil"/>
              <w:right w:val="nil"/>
            </w:tcBorders>
            <w:vAlign w:val="center"/>
          </w:tcPr>
          <w:p w:rsidR="00565FD5" w:rsidRPr="00694F5D" w:rsidRDefault="00565FD5" w:rsidP="00AB62A3">
            <w:pPr>
              <w:jc w:val="right"/>
              <w:rPr>
                <w:rFonts w:cs="Tahoma"/>
                <w:sz w:val="14"/>
                <w:szCs w:val="14"/>
              </w:rPr>
            </w:pPr>
            <w:r w:rsidRPr="00694F5D">
              <w:rPr>
                <w:rFonts w:cs="Tahoma"/>
                <w:sz w:val="14"/>
                <w:szCs w:val="14"/>
              </w:rPr>
              <w:t>4 850</w:t>
            </w:r>
          </w:p>
        </w:tc>
        <w:tc>
          <w:tcPr>
            <w:tcW w:w="612" w:type="pct"/>
            <w:vAlign w:val="center"/>
          </w:tcPr>
          <w:p w:rsidR="00565FD5" w:rsidRPr="00694F5D" w:rsidRDefault="00565FD5" w:rsidP="00AB62A3">
            <w:pPr>
              <w:jc w:val="right"/>
              <w:rPr>
                <w:rFonts w:cs="Tahoma"/>
                <w:sz w:val="14"/>
                <w:szCs w:val="14"/>
              </w:rPr>
            </w:pPr>
            <w:r w:rsidRPr="00694F5D">
              <w:rPr>
                <w:rFonts w:cs="Tahoma"/>
                <w:sz w:val="14"/>
                <w:szCs w:val="14"/>
              </w:rPr>
              <w:t>4 602</w:t>
            </w:r>
          </w:p>
        </w:tc>
        <w:tc>
          <w:tcPr>
            <w:tcW w:w="786" w:type="pct"/>
            <w:vAlign w:val="center"/>
          </w:tcPr>
          <w:p w:rsidR="00565FD5" w:rsidRPr="00694F5D" w:rsidRDefault="00565FD5" w:rsidP="00AB62A3">
            <w:pPr>
              <w:jc w:val="right"/>
              <w:rPr>
                <w:rFonts w:cs="Tahoma"/>
                <w:sz w:val="14"/>
                <w:szCs w:val="14"/>
              </w:rPr>
            </w:pPr>
            <w:r w:rsidRPr="00694F5D">
              <w:rPr>
                <w:rFonts w:cs="Tahoma"/>
                <w:sz w:val="14"/>
                <w:szCs w:val="14"/>
              </w:rPr>
              <w:t>5 841</w:t>
            </w:r>
          </w:p>
        </w:tc>
        <w:tc>
          <w:tcPr>
            <w:tcW w:w="701" w:type="pct"/>
            <w:vAlign w:val="center"/>
          </w:tcPr>
          <w:p w:rsidR="00565FD5" w:rsidRPr="00694F5D" w:rsidRDefault="00565FD5" w:rsidP="00AB62A3">
            <w:pPr>
              <w:jc w:val="right"/>
              <w:rPr>
                <w:rFonts w:cs="Tahoma"/>
                <w:sz w:val="14"/>
                <w:szCs w:val="14"/>
              </w:rPr>
            </w:pPr>
            <w:r w:rsidRPr="00694F5D">
              <w:rPr>
                <w:rFonts w:cs="Tahoma"/>
                <w:sz w:val="14"/>
                <w:szCs w:val="14"/>
              </w:rPr>
              <w:t>5 940</w:t>
            </w:r>
          </w:p>
        </w:tc>
        <w:tc>
          <w:tcPr>
            <w:tcW w:w="661" w:type="pct"/>
            <w:tcBorders>
              <w:right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4 564</w:t>
            </w:r>
          </w:p>
        </w:tc>
      </w:tr>
      <w:tr w:rsidR="00565FD5" w:rsidRPr="00694F5D" w:rsidTr="00AB62A3">
        <w:trPr>
          <w:trHeight w:val="255"/>
          <w:jc w:val="center"/>
        </w:trPr>
        <w:tc>
          <w:tcPr>
            <w:tcW w:w="1540" w:type="pct"/>
            <w:tcBorders>
              <w:left w:val="single" w:sz="4" w:space="0" w:color="auto"/>
              <w:bottom w:val="single" w:sz="4" w:space="0" w:color="auto"/>
            </w:tcBorders>
            <w:vAlign w:val="center"/>
          </w:tcPr>
          <w:p w:rsidR="00565FD5" w:rsidRPr="00694F5D" w:rsidRDefault="00565FD5" w:rsidP="00AB62A3">
            <w:pPr>
              <w:rPr>
                <w:rFonts w:cs="Tahoma"/>
                <w:sz w:val="14"/>
                <w:szCs w:val="14"/>
              </w:rPr>
            </w:pPr>
            <w:r w:rsidRPr="00694F5D">
              <w:rPr>
                <w:rFonts w:cs="Tahoma"/>
                <w:sz w:val="14"/>
                <w:szCs w:val="14"/>
              </w:rPr>
              <w:t xml:space="preserve">  Bankaların Döviz Mevduatı </w:t>
            </w:r>
          </w:p>
        </w:tc>
        <w:tc>
          <w:tcPr>
            <w:tcW w:w="700" w:type="pct"/>
            <w:tcBorders>
              <w:left w:val="nil"/>
              <w:bottom w:val="single" w:sz="4" w:space="0" w:color="auto"/>
              <w:right w:val="nil"/>
            </w:tcBorders>
            <w:vAlign w:val="center"/>
          </w:tcPr>
          <w:p w:rsidR="00565FD5" w:rsidRPr="00694F5D" w:rsidRDefault="00565FD5" w:rsidP="00AB62A3">
            <w:pPr>
              <w:jc w:val="right"/>
              <w:rPr>
                <w:rFonts w:cs="Tahoma"/>
                <w:sz w:val="14"/>
                <w:szCs w:val="14"/>
              </w:rPr>
            </w:pPr>
            <w:r w:rsidRPr="00694F5D">
              <w:rPr>
                <w:rFonts w:cs="Tahoma"/>
                <w:sz w:val="14"/>
                <w:szCs w:val="14"/>
              </w:rPr>
              <w:t>18 981</w:t>
            </w:r>
          </w:p>
        </w:tc>
        <w:tc>
          <w:tcPr>
            <w:tcW w:w="612" w:type="pct"/>
            <w:tcBorders>
              <w:bottom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34 937</w:t>
            </w:r>
          </w:p>
        </w:tc>
        <w:tc>
          <w:tcPr>
            <w:tcW w:w="786" w:type="pct"/>
            <w:tcBorders>
              <w:bottom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37 685</w:t>
            </w:r>
          </w:p>
        </w:tc>
        <w:tc>
          <w:tcPr>
            <w:tcW w:w="701" w:type="pct"/>
            <w:tcBorders>
              <w:bottom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42 422</w:t>
            </w:r>
          </w:p>
        </w:tc>
        <w:tc>
          <w:tcPr>
            <w:tcW w:w="661" w:type="pct"/>
            <w:tcBorders>
              <w:bottom w:val="single" w:sz="4" w:space="0" w:color="auto"/>
              <w:right w:val="single" w:sz="4" w:space="0" w:color="auto"/>
            </w:tcBorders>
            <w:vAlign w:val="center"/>
          </w:tcPr>
          <w:p w:rsidR="00565FD5" w:rsidRPr="00694F5D" w:rsidRDefault="00565FD5" w:rsidP="00AB62A3">
            <w:pPr>
              <w:jc w:val="right"/>
              <w:rPr>
                <w:rFonts w:cs="Tahoma"/>
                <w:sz w:val="14"/>
                <w:szCs w:val="14"/>
              </w:rPr>
            </w:pPr>
            <w:r w:rsidRPr="00694F5D">
              <w:rPr>
                <w:rFonts w:cs="Tahoma"/>
                <w:sz w:val="14"/>
                <w:szCs w:val="14"/>
              </w:rPr>
              <w:t>57 433</w:t>
            </w:r>
          </w:p>
        </w:tc>
      </w:tr>
    </w:tbl>
    <w:p w:rsidR="00565FD5" w:rsidRPr="00694F5D" w:rsidRDefault="00565FD5" w:rsidP="00565FD5">
      <w:pPr>
        <w:rPr>
          <w:rFonts w:cs="Tahoma"/>
          <w:sz w:val="14"/>
          <w:szCs w:val="14"/>
        </w:rPr>
      </w:pPr>
      <w:r w:rsidRPr="00694F5D">
        <w:rPr>
          <w:rFonts w:cs="Tahoma"/>
          <w:sz w:val="14"/>
          <w:szCs w:val="14"/>
        </w:rPr>
        <w:t>Kaynak: TCMB</w:t>
      </w:r>
    </w:p>
    <w:p w:rsidR="00565FD5" w:rsidRPr="00694F5D" w:rsidRDefault="00565FD5" w:rsidP="00565FD5">
      <w:pPr>
        <w:spacing w:after="360"/>
        <w:rPr>
          <w:rFonts w:cs="Tahoma"/>
          <w:sz w:val="14"/>
          <w:szCs w:val="14"/>
        </w:rPr>
      </w:pPr>
      <w:r>
        <w:rPr>
          <w:rFonts w:cs="Tahoma"/>
          <w:sz w:val="14"/>
          <w:szCs w:val="14"/>
        </w:rPr>
        <w:t xml:space="preserve">(1) </w:t>
      </w:r>
      <w:r w:rsidRPr="00694F5D">
        <w:rPr>
          <w:rFonts w:cs="Tahoma"/>
          <w:sz w:val="14"/>
          <w:szCs w:val="14"/>
        </w:rPr>
        <w:t>Alt kalemlerin tamamı gösterilmediği için toplamlar tutmayabilir. Veriler ayın son Cuma günü itibarıyladır.</w:t>
      </w:r>
    </w:p>
    <w:bookmarkEnd w:id="716"/>
    <w:p w:rsidR="00565FD5" w:rsidRPr="00B50093" w:rsidRDefault="00565FD5" w:rsidP="00565FD5">
      <w:pPr>
        <w:spacing w:after="120"/>
        <w:ind w:firstLine="426"/>
        <w:rPr>
          <w:rFonts w:cs="Tahoma"/>
          <w:b/>
          <w:szCs w:val="18"/>
        </w:rPr>
      </w:pPr>
      <w:r w:rsidRPr="00B50093">
        <w:rPr>
          <w:rFonts w:cs="Tahoma"/>
          <w:b/>
          <w:szCs w:val="18"/>
        </w:rPr>
        <w:t xml:space="preserve">b) 2013 Yılı Hedefleri </w:t>
      </w:r>
    </w:p>
    <w:p w:rsidR="00565FD5" w:rsidRPr="00B50093" w:rsidRDefault="00565FD5" w:rsidP="00565FD5">
      <w:pPr>
        <w:spacing w:after="160"/>
        <w:ind w:firstLine="425"/>
        <w:rPr>
          <w:rFonts w:cs="Tahoma"/>
          <w:szCs w:val="18"/>
        </w:rPr>
      </w:pPr>
      <w:r w:rsidRPr="00B50093">
        <w:rPr>
          <w:rFonts w:cs="Tahoma"/>
          <w:szCs w:val="18"/>
        </w:rPr>
        <w:t>Para politikası, finansal istikrarı da gözetecek şekilde enflasyon hedeflemesi çerçevesinde yürütülecektir. Bu kapsamda, Banka tarafından 2013 yılı için yüzde 5 olarak açıklanan hedef enflasyonun, 2013 Yılı Programında yüzde 5,3 oranında gerçekleşmesi beklenmektedir.</w:t>
      </w:r>
    </w:p>
    <w:p w:rsidR="00565FD5" w:rsidRDefault="00565FD5" w:rsidP="00565FD5">
      <w:pPr>
        <w:pStyle w:val="Balk1"/>
        <w:jc w:val="center"/>
        <w:rPr>
          <w:szCs w:val="22"/>
        </w:rPr>
      </w:pPr>
      <w:bookmarkStart w:id="741" w:name="_Toc307601943"/>
      <w:bookmarkStart w:id="742" w:name="_Toc307670391"/>
      <w:bookmarkStart w:id="743" w:name="_Toc307701617"/>
      <w:bookmarkStart w:id="744" w:name="_Toc338494214"/>
      <w:bookmarkStart w:id="745" w:name="_Toc338494376"/>
      <w:bookmarkStart w:id="746" w:name="_Toc338505524"/>
      <w:bookmarkStart w:id="747" w:name="_Toc338505737"/>
      <w:bookmarkStart w:id="748" w:name="_Toc338505776"/>
      <w:bookmarkStart w:id="749" w:name="_Toc338523741"/>
      <w:bookmarkStart w:id="750" w:name="_Toc338523982"/>
      <w:bookmarkStart w:id="751" w:name="_Toc338526208"/>
      <w:bookmarkStart w:id="752" w:name="_Toc338673651"/>
      <w:bookmarkStart w:id="753" w:name="_Toc338711530"/>
      <w:r w:rsidRPr="005D1053">
        <w:rPr>
          <w:szCs w:val="22"/>
        </w:rPr>
        <w:lastRenderedPageBreak/>
        <w:t>ÜÇÜNCÜ BÖLÜM</w:t>
      </w:r>
      <w:bookmarkEnd w:id="741"/>
      <w:bookmarkEnd w:id="742"/>
      <w:bookmarkEnd w:id="743"/>
      <w:bookmarkEnd w:id="744"/>
      <w:bookmarkEnd w:id="745"/>
      <w:bookmarkEnd w:id="746"/>
      <w:bookmarkEnd w:id="747"/>
      <w:bookmarkEnd w:id="748"/>
      <w:bookmarkEnd w:id="749"/>
      <w:bookmarkEnd w:id="750"/>
      <w:bookmarkEnd w:id="751"/>
      <w:bookmarkEnd w:id="752"/>
      <w:bookmarkEnd w:id="753"/>
    </w:p>
    <w:p w:rsidR="00565FD5" w:rsidRPr="004A11DF" w:rsidRDefault="00565FD5" w:rsidP="00565FD5"/>
    <w:p w:rsidR="00565FD5" w:rsidRPr="005D1053" w:rsidRDefault="00565FD5" w:rsidP="00565FD5">
      <w:pPr>
        <w:pStyle w:val="Balk1"/>
        <w:jc w:val="center"/>
        <w:rPr>
          <w:szCs w:val="22"/>
        </w:rPr>
      </w:pPr>
      <w:bookmarkStart w:id="754" w:name="_Toc181192612"/>
      <w:bookmarkStart w:id="755" w:name="_Toc181284900"/>
      <w:bookmarkStart w:id="756" w:name="_Toc181285979"/>
      <w:bookmarkStart w:id="757" w:name="_Toc213065619"/>
      <w:bookmarkStart w:id="758" w:name="_Toc244253632"/>
      <w:bookmarkStart w:id="759" w:name="_Toc244254882"/>
      <w:bookmarkStart w:id="760" w:name="_Toc244313618"/>
      <w:bookmarkStart w:id="761" w:name="_Toc244315095"/>
      <w:bookmarkStart w:id="762" w:name="_Toc244339558"/>
      <w:bookmarkStart w:id="763" w:name="_Toc276076237"/>
      <w:bookmarkStart w:id="764" w:name="_Toc307601944"/>
      <w:bookmarkStart w:id="765" w:name="_Toc307670392"/>
      <w:bookmarkStart w:id="766" w:name="_Toc307701618"/>
      <w:bookmarkStart w:id="767" w:name="_Toc338494215"/>
      <w:bookmarkStart w:id="768" w:name="_Toc338494377"/>
      <w:bookmarkStart w:id="769" w:name="_Toc338505525"/>
      <w:bookmarkStart w:id="770" w:name="_Toc338505738"/>
      <w:bookmarkStart w:id="771" w:name="_Toc338505777"/>
      <w:bookmarkStart w:id="772" w:name="_Toc338523742"/>
      <w:bookmarkStart w:id="773" w:name="_Toc338523983"/>
      <w:bookmarkStart w:id="774" w:name="_Toc338526209"/>
      <w:bookmarkStart w:id="775" w:name="_Toc338673652"/>
      <w:bookmarkStart w:id="776" w:name="_Toc338711531"/>
      <w:r w:rsidRPr="005D1053">
        <w:rPr>
          <w:szCs w:val="22"/>
        </w:rPr>
        <w:t>KAMU MALİYESİNDE GELİŞMELER VE HEDEFLER</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rsidR="00565FD5" w:rsidRPr="00BF3740" w:rsidRDefault="00565FD5" w:rsidP="00565FD5">
      <w:pPr>
        <w:pStyle w:val="Balk2"/>
      </w:pPr>
      <w:bookmarkStart w:id="777" w:name="_Toc181192613"/>
      <w:bookmarkStart w:id="778" w:name="_Toc181284901"/>
      <w:bookmarkStart w:id="779" w:name="_Toc181285980"/>
      <w:bookmarkStart w:id="780" w:name="_Toc213065620"/>
      <w:bookmarkStart w:id="781" w:name="_Toc244253633"/>
      <w:bookmarkStart w:id="782" w:name="_Toc244254883"/>
      <w:bookmarkStart w:id="783" w:name="_Toc244313619"/>
      <w:bookmarkStart w:id="784" w:name="_Toc244315096"/>
      <w:bookmarkStart w:id="785" w:name="_Toc244339559"/>
      <w:bookmarkStart w:id="786" w:name="_Toc276076238"/>
      <w:bookmarkStart w:id="787" w:name="_Toc338494216"/>
      <w:bookmarkStart w:id="788" w:name="_Toc338505526"/>
      <w:bookmarkStart w:id="789" w:name="_Toc338505739"/>
      <w:bookmarkStart w:id="790" w:name="_Toc338505778"/>
      <w:bookmarkStart w:id="791" w:name="_Toc338523743"/>
      <w:bookmarkStart w:id="792" w:name="_Toc338523984"/>
      <w:bookmarkStart w:id="793" w:name="_Toc338526210"/>
      <w:bookmarkStart w:id="794" w:name="_Toc338673653"/>
      <w:bookmarkStart w:id="795" w:name="_Toc338711532"/>
      <w:r w:rsidRPr="00BF3740">
        <w:t>I. GENEL DEVLET</w:t>
      </w:r>
      <w:bookmarkStart w:id="796" w:name="_Toc338494217"/>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rsidR="00565FD5" w:rsidRPr="00BF3740" w:rsidRDefault="00565FD5" w:rsidP="00565FD5">
      <w:pPr>
        <w:pStyle w:val="Balk4"/>
      </w:pPr>
      <w:bookmarkStart w:id="797" w:name="_Toc181192614"/>
      <w:bookmarkStart w:id="798" w:name="_Toc181284902"/>
      <w:bookmarkStart w:id="799" w:name="_Toc181285981"/>
      <w:bookmarkStart w:id="800" w:name="_Toc213065621"/>
      <w:bookmarkStart w:id="801" w:name="_Toc244253634"/>
      <w:bookmarkStart w:id="802" w:name="_Toc244254884"/>
      <w:bookmarkStart w:id="803" w:name="_Toc244313620"/>
      <w:bookmarkStart w:id="804" w:name="_Toc244315097"/>
      <w:bookmarkStart w:id="805" w:name="_Toc244339560"/>
      <w:bookmarkStart w:id="806" w:name="_Toc276076239"/>
      <w:bookmarkStart w:id="807" w:name="_Toc338505527"/>
      <w:bookmarkStart w:id="808" w:name="_Toc338505740"/>
      <w:bookmarkStart w:id="809" w:name="_Toc338505779"/>
      <w:bookmarkStart w:id="810" w:name="_Toc338523744"/>
      <w:bookmarkStart w:id="811" w:name="_Toc338523985"/>
      <w:bookmarkStart w:id="812" w:name="_Toc338526211"/>
      <w:bookmarkStart w:id="813" w:name="_Toc338673654"/>
      <w:bookmarkStart w:id="814" w:name="_Toc338711533"/>
      <w:r w:rsidRPr="00BF3740">
        <w:t>1. Mevcut Durum</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rsidR="00565FD5" w:rsidRPr="00BF3740" w:rsidRDefault="00565FD5" w:rsidP="00565FD5">
      <w:pPr>
        <w:spacing w:after="180"/>
        <w:ind w:firstLine="425"/>
        <w:rPr>
          <w:szCs w:val="18"/>
        </w:rPr>
      </w:pPr>
      <w:r w:rsidRPr="00BF3740">
        <w:rPr>
          <w:szCs w:val="18"/>
        </w:rPr>
        <w:t xml:space="preserve">2010 ve 2011 yıllarında kaydedilen yüksek büyüme performansı kamu kesimi göstergelerini olumlu etkilemiştir. Bu dönemdeki güçlü toparlanma ile iç talep ve dış ticaret hacmindeki artışlar vergi ve sosyal güvenlik prim tahsilatına olumlu yönde yansımış, ayrıca bazı kamu alacaklarının yeniden yapılandırılmasına ilişkin düzenleme kapsamında ilâve gelirler elde edilmiştir. Böylece, merkezi yönetim bütçesi, mahalli idareler, sosyal güvenlik kuruluşları, genel sağlık sigortası, fonlar, döner sermayeli işletmeler, İşsizlik Sigortası Fonu ve KİT’leri kapsayan kamu sektörünün en önemli göstergesi olan kamu kesimi borçlanma gereğinin GSYH’ya oranı 2009 yılındaki yüzde 5 seviyesinden, sırasıyla yüzde 2,4 ve yüzde 0,1 düzeyine gerilemiştir. </w:t>
      </w:r>
    </w:p>
    <w:p w:rsidR="00565FD5" w:rsidRPr="00BF3740" w:rsidRDefault="00565FD5" w:rsidP="00565FD5">
      <w:pPr>
        <w:spacing w:after="180"/>
        <w:ind w:firstLine="425"/>
        <w:rPr>
          <w:szCs w:val="18"/>
        </w:rPr>
      </w:pPr>
      <w:r w:rsidRPr="00BF3740">
        <w:rPr>
          <w:szCs w:val="18"/>
        </w:rPr>
        <w:t>Aynı dönemde kamu kesimi kapsamından KİT’ler hariç tutularak elde edilen genel devlet dengesi de benzer bir gelişme göstermiştir. 2009 yılında GSYH’ya oranla yüzde 5,5 olarak gerçekleşen genel devlet açığı 2010 yılında yüzde 3 düzeyine gerilemiş, 2011 yılında yüzde 0,4 seviyesinde gerçekleşmiştir.</w:t>
      </w:r>
    </w:p>
    <w:p w:rsidR="00565FD5" w:rsidRPr="00BF3740" w:rsidRDefault="00565FD5" w:rsidP="00565FD5">
      <w:pPr>
        <w:spacing w:after="180"/>
        <w:ind w:firstLine="425"/>
        <w:rPr>
          <w:szCs w:val="18"/>
        </w:rPr>
      </w:pPr>
      <w:r w:rsidRPr="00BF3740">
        <w:rPr>
          <w:szCs w:val="18"/>
        </w:rPr>
        <w:t xml:space="preserve">2012 yılında genel devlet vergi gelirlerinin GSYH’ya oranının önceki yıla göre 0,1 puan azalması beklenmektedir. Bununla birlikte, Merkez Bankasından elde edilen kar payı ile özel kesim ve kamu kesiminden elde edilen sosyal güvenlik prim tahsilatlarındaki artış sonucunda 2012 yılı özelleştirme hariç genel devlet gelirlerinin GSYH’ya oranının bir önceki yıla göre 0,8 puan yükselerek yüzde 36,9 düzeyinde gerçekleşeceği tahmin edilmektedir. </w:t>
      </w:r>
    </w:p>
    <w:p w:rsidR="00565FD5" w:rsidRPr="00BF3740" w:rsidRDefault="00565FD5" w:rsidP="00565FD5">
      <w:pPr>
        <w:spacing w:after="180"/>
        <w:ind w:firstLine="425"/>
        <w:rPr>
          <w:szCs w:val="18"/>
        </w:rPr>
      </w:pPr>
      <w:r w:rsidRPr="00BF3740">
        <w:rPr>
          <w:szCs w:val="18"/>
        </w:rPr>
        <w:t>Genel devlet faiz dışı harcamalarının cari giderler ve cari transferlerdeki artışlar sonrasında 2012 yılında önceki yıla göre 1,7 puan artarak GSYH’nın yüzde 35,1’i düzeyine yükselmesi, faiz giderlerinin ise 0,2 puan artarak yüzde 3,5 düzeyinde olması beklenmektedir.</w:t>
      </w:r>
    </w:p>
    <w:p w:rsidR="00565FD5" w:rsidRPr="00BF3740" w:rsidRDefault="00565FD5" w:rsidP="00565FD5">
      <w:pPr>
        <w:spacing w:after="180"/>
        <w:ind w:firstLine="425"/>
        <w:rPr>
          <w:szCs w:val="18"/>
        </w:rPr>
      </w:pPr>
      <w:r w:rsidRPr="00BF3740">
        <w:rPr>
          <w:szCs w:val="18"/>
        </w:rPr>
        <w:lastRenderedPageBreak/>
        <w:t>Bu çerçevede, GSYH’ya oran olarak, 2012 yılında bir önceki yıla göre genel devlet açığının 1,2 puan yükselerek yüzde 1,6 olarak gerçekleşmesi; faiz giderleri ve özelleştirme gelirleri hariç genel devlet fazlasının ise 0,9 puan azalarak yüzde 1,8 düzeyine gerilemesi öngörülmektedir.</w:t>
      </w:r>
    </w:p>
    <w:p w:rsidR="00565FD5" w:rsidRPr="00BF3740" w:rsidRDefault="00565FD5" w:rsidP="00565FD5">
      <w:pPr>
        <w:spacing w:after="180"/>
        <w:ind w:firstLine="425"/>
        <w:rPr>
          <w:rFonts w:cs="Tahoma"/>
          <w:szCs w:val="18"/>
        </w:rPr>
      </w:pPr>
      <w:r w:rsidRPr="00BF3740">
        <w:rPr>
          <w:szCs w:val="18"/>
        </w:rPr>
        <w:t>Kamu kesimi borçlanma gereğinin bir önceki yıl seviyesinin 1,6 puan üzerine çıkarak GSYH’ya oranla yüzde 1,7 olması; program tanımlı kamu kesimi faiz dışı fazlasının GSYH’ya oranının ise bir önceki yıla göre 1,4 puan azalarak yüzde 0,5 seviyesinde gerçekleşmesi beklenmektedir.</w:t>
      </w:r>
    </w:p>
    <w:p w:rsidR="00565FD5" w:rsidRPr="00BF3740" w:rsidRDefault="00565FD5" w:rsidP="00565FD5">
      <w:pPr>
        <w:spacing w:after="180"/>
        <w:ind w:firstLine="425"/>
        <w:rPr>
          <w:rFonts w:cs="Tahoma"/>
          <w:szCs w:val="18"/>
        </w:rPr>
      </w:pPr>
      <w:r w:rsidRPr="00BA69C0">
        <w:rPr>
          <w:rFonts w:cs="Times New Roman"/>
          <w:noProof/>
          <w:szCs w:val="20"/>
          <w:lang w:eastAsia="tr-TR"/>
        </w:rPr>
        <w:lastRenderedPageBreak/>
        <w:pict>
          <v:shapetype id="_x0000_t202" coordsize="21600,21600" o:spt="202" path="m,l,21600r21600,l21600,xe">
            <v:stroke joinstyle="miter"/>
            <v:path gradientshapeok="t" o:connecttype="rect"/>
          </v:shapetype>
          <v:shape id="Metin Kutusu 11" o:spid="_x0000_s1026" type="#_x0000_t202" style="position:absolute;left:0;text-align:left;margin-left:0;margin-top:18pt;width:358pt;height:484.15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">
            <v:textbox>
              <w:txbxContent>
                <w:p w:rsidR="00565FD5" w:rsidRPr="00D2457A" w:rsidRDefault="00565FD5" w:rsidP="00565FD5">
                  <w:pPr>
                    <w:pStyle w:val="BodyText2"/>
                    <w:rPr>
                      <w:b/>
                    </w:rPr>
                  </w:pPr>
                  <w:bookmarkStart w:id="815" w:name="_Toc338494473"/>
                  <w:bookmarkStart w:id="816" w:name="_Toc338505528"/>
                  <w:bookmarkStart w:id="817" w:name="_Toc338523745"/>
                  <w:r w:rsidRPr="00D2457A">
                    <w:rPr>
                      <w:b/>
                    </w:rPr>
                    <w:t>KUTU: 1-Genel Devlet İstatistiklerinin Üretilmesi ve Konsolidasyonu</w:t>
                  </w:r>
                  <w:bookmarkEnd w:id="815"/>
                  <w:bookmarkEnd w:id="816"/>
                  <w:bookmarkEnd w:id="817"/>
                </w:p>
                <w:p w:rsidR="00565FD5" w:rsidRPr="000618D2" w:rsidRDefault="00565FD5" w:rsidP="00565FD5">
                  <w:pPr>
                    <w:pStyle w:val="BodyText2"/>
                    <w:rPr>
                      <w:color w:val="000000"/>
                    </w:rPr>
                  </w:pPr>
                  <w:bookmarkStart w:id="818" w:name="_Toc338494218"/>
                  <w:bookmarkStart w:id="819" w:name="_Toc338494474"/>
                  <w:bookmarkStart w:id="820" w:name="_Toc338505529"/>
                  <w:bookmarkStart w:id="821" w:name="_Toc338523746"/>
                  <w:r w:rsidRPr="000618D2">
                    <w:rPr>
                      <w:color w:val="000000"/>
                    </w:rPr>
                    <w:t>Ülkemizde Devlet Planlama Teşkilatı (DPT) tarafından 1975 yılında yayımlanmaya başlanan kamu kesimi genel dengesi; merkezi yönetim bütçesi kapsamındaki kurum ve kuruluşlar, mahalli idareler, sosyal güvenlik kuruluşları ile genel sağlık sigortası, fonlar, döner sermayeli işletmeler, İşsizlik Sigortası Fonu ve KİT’leri kapsamaktadır. Kamu kesimi genel dengesi belli bir dönemde kamunun gelir, gider, tasarruf ve yatırımları ile tasarruf-yatırım farkının hangi kaynaktan finanse edildiğini göstermektedir.</w:t>
                  </w:r>
                  <w:bookmarkEnd w:id="818"/>
                  <w:bookmarkEnd w:id="819"/>
                  <w:bookmarkEnd w:id="820"/>
                  <w:bookmarkEnd w:id="821"/>
                  <w:r w:rsidRPr="000618D2">
                    <w:rPr>
                      <w:color w:val="000000"/>
                    </w:rPr>
                    <w:t xml:space="preserve"> </w:t>
                  </w:r>
                </w:p>
                <w:p w:rsidR="00565FD5" w:rsidRPr="000618D2" w:rsidRDefault="00565FD5" w:rsidP="00565FD5">
                  <w:pPr>
                    <w:pStyle w:val="BodyText2"/>
                    <w:rPr>
                      <w:color w:val="000000"/>
                    </w:rPr>
                  </w:pPr>
                  <w:bookmarkStart w:id="822" w:name="_Toc338494219"/>
                  <w:bookmarkStart w:id="823" w:name="_Toc338494475"/>
                  <w:bookmarkStart w:id="824" w:name="_Toc338505530"/>
                  <w:bookmarkStart w:id="825" w:name="_Toc338523747"/>
                  <w:r w:rsidRPr="000618D2">
                    <w:rPr>
                      <w:color w:val="000000"/>
                    </w:rPr>
                    <w:t>DPT tarafından 1999 yılında üretilmeye başlanan genel devlet istatistiklerinde toplam harcama ve gelir büyüklüklerinin elde edilmesi ve kapsam dahilinde yer alan idareler arasındaki mali ilişkilerin netleştirilmesi açısından kamu kesimi genel dengesinden farklı bir yöntem esas alınmıştır. Genel devlet toplam harcama ve gelir büyüklükleri elde edilirken KİT’ler kapsam dışında bırakılmış, uluslararası standartlara paralel olarak gayri safilik ilkesi esas alınmış ve yöntem olarak gelir-gider kalemleri arasında herhangi bir netleştirme işlemi yapılmamıştır.</w:t>
                  </w:r>
                  <w:bookmarkEnd w:id="822"/>
                  <w:bookmarkEnd w:id="823"/>
                  <w:bookmarkEnd w:id="824"/>
                  <w:bookmarkEnd w:id="825"/>
                </w:p>
                <w:p w:rsidR="00565FD5" w:rsidRPr="000618D2" w:rsidRDefault="00565FD5" w:rsidP="00565FD5">
                  <w:pPr>
                    <w:pStyle w:val="BodyText2"/>
                    <w:rPr>
                      <w:color w:val="000000"/>
                    </w:rPr>
                  </w:pPr>
                  <w:bookmarkStart w:id="826" w:name="_Toc338494220"/>
                  <w:bookmarkStart w:id="827" w:name="_Toc338494476"/>
                  <w:bookmarkStart w:id="828" w:name="_Toc338505531"/>
                  <w:bookmarkStart w:id="829" w:name="_Toc338523748"/>
                  <w:r w:rsidRPr="000618D2">
                    <w:rPr>
                      <w:color w:val="000000"/>
                    </w:rPr>
                    <w:t>Genel devlet kapsamında yer alan birimlerin harcama ve gelirlerinin hesaplanması sürecinde; bir kamu geliri, geliri ilk olarak elde eden birimin hesabında gelir, nihai olarak harcayan birimin hesabında da gider olarak yazılmaktadır. Böylece, kapsam dahilindeki birimler arasındaki transfer işlemlerinde, ilgili transfer tutarlarının, transferi yapan kuruluşta harcama olarak; transfer yapılan kuruluşta da gelir olarak gösterilmemesi sağlanmıştır.</w:t>
                  </w:r>
                  <w:bookmarkEnd w:id="826"/>
                  <w:bookmarkEnd w:id="827"/>
                  <w:bookmarkEnd w:id="828"/>
                  <w:bookmarkEnd w:id="829"/>
                </w:p>
                <w:p w:rsidR="00565FD5" w:rsidRPr="000618D2" w:rsidRDefault="00565FD5" w:rsidP="00565FD5">
                  <w:pPr>
                    <w:pStyle w:val="BodyText2"/>
                    <w:rPr>
                      <w:color w:val="000000"/>
                    </w:rPr>
                  </w:pPr>
                  <w:bookmarkStart w:id="830" w:name="_Toc338494221"/>
                  <w:bookmarkStart w:id="831" w:name="_Toc338494477"/>
                  <w:bookmarkStart w:id="832" w:name="_Toc338505532"/>
                  <w:bookmarkStart w:id="833" w:name="_Toc338523749"/>
                  <w:r w:rsidRPr="000618D2">
                    <w:rPr>
                      <w:color w:val="000000"/>
                    </w:rPr>
                    <w:t>Yapılan bu işlem sonucunda kuruluşlar itibarıyla denge rakamları değişmekte, ancak toplam genel devlet dengesi değişmemektedir.</w:t>
                  </w:r>
                  <w:bookmarkEnd w:id="830"/>
                  <w:bookmarkEnd w:id="831"/>
                  <w:bookmarkEnd w:id="832"/>
                  <w:bookmarkEnd w:id="833"/>
                </w:p>
                <w:p w:rsidR="00565FD5" w:rsidRPr="000618D2" w:rsidRDefault="00565FD5" w:rsidP="00565FD5">
                  <w:pPr>
                    <w:pStyle w:val="BodyText2"/>
                    <w:rPr>
                      <w:color w:val="000000"/>
                    </w:rPr>
                  </w:pPr>
                  <w:bookmarkStart w:id="834" w:name="_Toc338494222"/>
                  <w:bookmarkStart w:id="835" w:name="_Toc338494478"/>
                  <w:bookmarkStart w:id="836" w:name="_Toc338505533"/>
                  <w:bookmarkStart w:id="837" w:name="_Toc338523750"/>
                  <w:r w:rsidRPr="000618D2">
                    <w:rPr>
                      <w:color w:val="000000"/>
                    </w:rPr>
                    <w:t>Benimsenen konsolidasyon yaklaşımı çerçevesinde;</w:t>
                  </w:r>
                  <w:bookmarkEnd w:id="834"/>
                  <w:bookmarkEnd w:id="835"/>
                  <w:bookmarkEnd w:id="836"/>
                  <w:bookmarkEnd w:id="837"/>
                </w:p>
                <w:p w:rsidR="00565FD5" w:rsidRPr="000618D2" w:rsidRDefault="00565FD5" w:rsidP="00565FD5">
                  <w:pPr>
                    <w:pStyle w:val="BodyText2"/>
                    <w:rPr>
                      <w:color w:val="000000"/>
                    </w:rPr>
                  </w:pPr>
                  <w:bookmarkStart w:id="838" w:name="_Toc338494223"/>
                  <w:bookmarkStart w:id="839" w:name="_Toc338494479"/>
                  <w:bookmarkStart w:id="840" w:name="_Toc338505534"/>
                  <w:bookmarkStart w:id="841" w:name="_Toc338523751"/>
                  <w:r w:rsidRPr="000618D2">
                    <w:rPr>
                      <w:color w:val="000000"/>
                    </w:rPr>
                    <w:t>- Genel bütçe vergi gelirleri üzerinden mahalli idarelere ve fonlara aktarılan paylar ve diğer transferler, merkezi yönetim bütçe harcamalarından temizlenmekte ve ilgili oldukları mahalli idare ya da fon dengesinde gösterilmekte,</w:t>
                  </w:r>
                  <w:bookmarkEnd w:id="838"/>
                  <w:bookmarkEnd w:id="839"/>
                  <w:bookmarkEnd w:id="840"/>
                  <w:bookmarkEnd w:id="841"/>
                </w:p>
                <w:p w:rsidR="00565FD5" w:rsidRPr="000618D2" w:rsidRDefault="00565FD5" w:rsidP="00565FD5">
                  <w:pPr>
                    <w:pStyle w:val="BodyText2"/>
                    <w:rPr>
                      <w:color w:val="000000"/>
                    </w:rPr>
                  </w:pPr>
                  <w:bookmarkStart w:id="842" w:name="_Toc338494224"/>
                  <w:bookmarkStart w:id="843" w:name="_Toc338494480"/>
                  <w:bookmarkStart w:id="844" w:name="_Toc338505535"/>
                  <w:bookmarkStart w:id="845" w:name="_Toc338523752"/>
                  <w:r w:rsidRPr="000618D2">
                    <w:rPr>
                      <w:color w:val="000000"/>
                    </w:rPr>
                    <w:t>- Merkezi yönetim bütçesinden sosyal güvenlik ve genel sağlık sigortası sistemine aktarılan cari transferler, merkezi yönetim bütçe harcamalarından ve sosyal güvenlik ile genel sağlık sigortası sisteminin gelirlerinden temizlenmekte,</w:t>
                  </w:r>
                  <w:bookmarkEnd w:id="842"/>
                  <w:bookmarkEnd w:id="843"/>
                  <w:bookmarkEnd w:id="844"/>
                  <w:bookmarkEnd w:id="845"/>
                </w:p>
                <w:p w:rsidR="00565FD5" w:rsidRPr="000618D2" w:rsidRDefault="00565FD5" w:rsidP="00565FD5">
                  <w:pPr>
                    <w:pStyle w:val="BodyText2"/>
                    <w:rPr>
                      <w:color w:val="000000"/>
                    </w:rPr>
                  </w:pPr>
                  <w:bookmarkStart w:id="846" w:name="_Toc338494225"/>
                  <w:bookmarkStart w:id="847" w:name="_Toc338494481"/>
                  <w:bookmarkStart w:id="848" w:name="_Toc338505536"/>
                  <w:bookmarkStart w:id="849" w:name="_Toc338523753"/>
                  <w:r w:rsidRPr="000618D2">
                    <w:rPr>
                      <w:color w:val="000000"/>
                    </w:rPr>
                    <w:t>- Döner sermayeli işletmeler, fonlar ve İşsizlik Sigortası Fonundan merkezi yönetim bütçesine aktarılan tutarlar merkezi yönetim bütçe gelirlerinden ve ilgili birimlerin harcamalarından temizlenmekte,</w:t>
                  </w:r>
                  <w:bookmarkEnd w:id="846"/>
                  <w:bookmarkEnd w:id="847"/>
                  <w:bookmarkEnd w:id="848"/>
                  <w:bookmarkEnd w:id="849"/>
                </w:p>
                <w:p w:rsidR="00565FD5" w:rsidRPr="00331D0F" w:rsidRDefault="00565FD5" w:rsidP="00565FD5">
                  <w:pPr>
                    <w:pStyle w:val="BodyText2"/>
                    <w:rPr>
                      <w:color w:val="000000"/>
                    </w:rPr>
                  </w:pPr>
                  <w:bookmarkStart w:id="850" w:name="_Toc338494226"/>
                  <w:bookmarkStart w:id="851" w:name="_Toc338494482"/>
                  <w:bookmarkStart w:id="852" w:name="_Toc338505537"/>
                  <w:bookmarkStart w:id="853" w:name="_Toc338523754"/>
                  <w:r w:rsidRPr="000618D2">
                    <w:rPr>
                      <w:color w:val="000000"/>
                    </w:rPr>
                    <w:t>- Genel devlet kapsamı içerisinde yer alan merkezi yönetim bütçe haricindeki diğer alt kurumsal birimler arasındaki mali ilişkiler mükerrerliği önleyecek şekilde düzenlenmektedir.</w:t>
                  </w:r>
                  <w:bookmarkEnd w:id="850"/>
                  <w:bookmarkEnd w:id="851"/>
                  <w:bookmarkEnd w:id="852"/>
                  <w:bookmarkEnd w:id="853"/>
                </w:p>
              </w:txbxContent>
            </v:textbox>
            <w10:wrap type="square"/>
          </v:shape>
        </w:pict>
      </w:r>
    </w:p>
    <w:p w:rsidR="00565FD5" w:rsidRPr="00BF3740" w:rsidRDefault="00565FD5" w:rsidP="00565FD5">
      <w:pPr>
        <w:pStyle w:val="Balk4"/>
      </w:pPr>
      <w:bookmarkStart w:id="854" w:name="_Toc181192615"/>
      <w:bookmarkStart w:id="855" w:name="_Toc181284903"/>
      <w:bookmarkStart w:id="856" w:name="_Toc181285982"/>
      <w:bookmarkStart w:id="857" w:name="_Toc213065622"/>
      <w:bookmarkStart w:id="858" w:name="_Toc244253635"/>
      <w:bookmarkStart w:id="859" w:name="_Toc244254885"/>
      <w:bookmarkStart w:id="860" w:name="_Toc244313621"/>
      <w:bookmarkStart w:id="861" w:name="_Toc244315098"/>
      <w:bookmarkStart w:id="862" w:name="_Toc244339561"/>
      <w:bookmarkStart w:id="863" w:name="_Toc244721114"/>
      <w:bookmarkStart w:id="864" w:name="_Toc276076240"/>
      <w:bookmarkStart w:id="865" w:name="_Toc338505538"/>
      <w:bookmarkStart w:id="866" w:name="_Toc338523755"/>
      <w:bookmarkStart w:id="867" w:name="_Toc338523986"/>
      <w:bookmarkStart w:id="868" w:name="_Toc338526212"/>
      <w:bookmarkStart w:id="869" w:name="_Toc338673655"/>
      <w:bookmarkStart w:id="870" w:name="_Toc338711534"/>
      <w:r w:rsidRPr="00BF3740">
        <w:lastRenderedPageBreak/>
        <w:t>2. 2013 Yılı Hedefleri</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rsidR="00565FD5" w:rsidRPr="00BF3740" w:rsidRDefault="00565FD5" w:rsidP="00565FD5">
      <w:pPr>
        <w:spacing w:after="180"/>
        <w:ind w:firstLine="425"/>
        <w:rPr>
          <w:rFonts w:cs="Tahoma"/>
          <w:szCs w:val="18"/>
        </w:rPr>
      </w:pPr>
      <w:r w:rsidRPr="00BF3740">
        <w:rPr>
          <w:rFonts w:cs="Tahoma"/>
          <w:szCs w:val="18"/>
        </w:rPr>
        <w:t>2012 yılında yüzde 19,9 düzeyinde gerçekleşmesi beklenen genel devlet vergi gelirlerinin GSYH’ya oranının, 2013 yılında dolaylı vergilerdeki artışın etkisiyle 0,8 puan artarak yüzde 20,7 düzeyine yükseleceği tahmin edilmektedir. 2013 yılında GSYH içinde pay olarak dolaysız vergilerin yüzde 5,9, dolaylı vergilerin yüzde 14,2, servet vergilerinin ise yüzde 0,7 seviyesinde gerçekleşeceği öngörülmektedir.</w:t>
      </w:r>
    </w:p>
    <w:p w:rsidR="00565FD5" w:rsidRPr="00BF3740" w:rsidRDefault="00565FD5" w:rsidP="00565FD5">
      <w:pPr>
        <w:spacing w:after="180"/>
        <w:ind w:firstLine="425"/>
        <w:rPr>
          <w:rFonts w:cs="Tahoma"/>
          <w:szCs w:val="18"/>
        </w:rPr>
      </w:pPr>
      <w:r w:rsidRPr="00BF3740">
        <w:rPr>
          <w:rFonts w:cs="Tahoma"/>
          <w:szCs w:val="18"/>
        </w:rPr>
        <w:t xml:space="preserve">2012 yılında GSYH’ya oran olarak yüzde 7,5 düzeyinde gerçekleşmesi beklenen genel devlet vergi dışı normal gelirleri ile faktör gelirleri toplamının 2012 yılında Merkez Bankasından elde edilen kar payının 2013 yılında öngörülmemesi ve örgün-yaygın öğretimden elde edilen üniversite harçlarının kaldırılmasıyla birlikte yüzde 6,9 düzeyine gerilemesi beklenmektedir. </w:t>
      </w:r>
    </w:p>
    <w:p w:rsidR="00565FD5" w:rsidRPr="00BF3740" w:rsidRDefault="00565FD5" w:rsidP="00565FD5">
      <w:pPr>
        <w:spacing w:after="180"/>
        <w:ind w:firstLine="425"/>
        <w:rPr>
          <w:rFonts w:cs="Tahoma"/>
          <w:szCs w:val="18"/>
        </w:rPr>
      </w:pPr>
      <w:r w:rsidRPr="00BF3740">
        <w:rPr>
          <w:rFonts w:cs="Tahoma"/>
          <w:szCs w:val="18"/>
        </w:rPr>
        <w:t>Aktif sigortalı sayısındaki ve ödeme gücü olmayanlar için ödenen genel sağlık sigortası primi ödemelerindeki artışlar sonucunda sosyal fon gelirlerinin GSYH’ya oranının, 2013 yılında bir önceki yıla göre 0,3 puan artarak yüzde 9,7 seviyesinde gerçekleşeceği öngörülmektedir.</w:t>
      </w:r>
    </w:p>
    <w:p w:rsidR="00565FD5" w:rsidRPr="00BF3740" w:rsidRDefault="00565FD5" w:rsidP="00565FD5">
      <w:pPr>
        <w:spacing w:after="180"/>
        <w:ind w:firstLine="425"/>
        <w:rPr>
          <w:rFonts w:cs="Tahoma"/>
          <w:szCs w:val="18"/>
        </w:rPr>
      </w:pPr>
      <w:r w:rsidRPr="00BF3740">
        <w:rPr>
          <w:rFonts w:cs="Tahoma"/>
          <w:szCs w:val="18"/>
        </w:rPr>
        <w:t>2013 yılı özelleştirme gelirlerinin, orman vasfını yitirmiş Hazine arazilerinin satışından elde edilecek gelirlerle birlikte değerlendirildiğinde, bir önceki yıla kıyasla GSYH’ya oranla 0,5 puan artarak yüzde 0,6 düzeyinde gerçekleşmesi beklenmektedir. Bu çerçevede, özelleştirme gelirleri hariç genel devlet gelirlerinin 2013 yılında GSYH’ya oran olarak bir önceki yıla göre 0,4 puan artarak yüzde 37,3 olması, genel devlet toplam gelirlerinin ise 0,9 puan artarak yüzde 37,9 düzeyine yükselmesi beklenmektedir.</w:t>
      </w:r>
    </w:p>
    <w:p w:rsidR="00565FD5" w:rsidRPr="00BF3740" w:rsidRDefault="00565FD5" w:rsidP="00565FD5">
      <w:pPr>
        <w:spacing w:after="180"/>
        <w:ind w:firstLine="425"/>
        <w:rPr>
          <w:rFonts w:cs="Tahoma"/>
          <w:szCs w:val="18"/>
        </w:rPr>
      </w:pPr>
      <w:r w:rsidRPr="00BF3740">
        <w:rPr>
          <w:rFonts w:cs="Tahoma"/>
          <w:szCs w:val="18"/>
        </w:rPr>
        <w:t>2013 yılında genel devlet cari harcamalarının özellikle mahalli idare harcamalarındaki artışın etkisiyle GSYH’ya oran olarak önceki yıla göre 0,2 puan artarak yüzde 17,7 düzeyine yükselmesi beklenmektedir. Genel devlet transfer harcamalarının ise, sosyal güvenlik harcamalarındaki artışın etkisiyle 0,7 puan artarak yüzde 18,3 düzeyine yükseleceği tahmin edilmektedir. Aynı dönemde, yatırım harcamalarının yüzde 3,4 olarak gerçekleşeceği öngörülmektedir.</w:t>
      </w:r>
    </w:p>
    <w:p w:rsidR="00565FD5" w:rsidRPr="00BF3740" w:rsidRDefault="00565FD5" w:rsidP="00565FD5">
      <w:pPr>
        <w:spacing w:after="180"/>
        <w:ind w:firstLine="425"/>
        <w:rPr>
          <w:rFonts w:cs="Tahoma"/>
          <w:szCs w:val="18"/>
        </w:rPr>
      </w:pPr>
      <w:r w:rsidRPr="00BF3740">
        <w:rPr>
          <w:rFonts w:cs="Tahoma"/>
          <w:szCs w:val="18"/>
        </w:rPr>
        <w:t xml:space="preserve">GSYH’ya oran olarak, 2012 yılında yüzde 35,1 olması beklenen genel devlet faiz dışı harcamalarının 2013 yılında yüzde 35,9 düzeyinde gerçekleşeceği öngörülmektedir. Genel devlet faiz harcamalarının 2012 yılı seviyesini koruyarak </w:t>
      </w:r>
      <w:r w:rsidRPr="00BF3740">
        <w:rPr>
          <w:rFonts w:cs="Tahoma"/>
          <w:szCs w:val="18"/>
        </w:rPr>
        <w:lastRenderedPageBreak/>
        <w:t>yüzde 3,5 olarak gerçekleşmesi, böylece genel devlet toplam harcamalarının yüzde 39,4 seviyesine yükselmesi beklenmektedir.</w:t>
      </w:r>
    </w:p>
    <w:p w:rsidR="00565FD5" w:rsidRPr="00BF3740" w:rsidRDefault="00565FD5" w:rsidP="00565FD5">
      <w:pPr>
        <w:spacing w:after="180"/>
        <w:ind w:firstLine="425"/>
        <w:rPr>
          <w:rFonts w:cs="Tahoma"/>
          <w:szCs w:val="18"/>
        </w:rPr>
      </w:pPr>
      <w:r w:rsidRPr="00BF3740">
        <w:rPr>
          <w:rFonts w:cs="Tahoma"/>
          <w:szCs w:val="18"/>
        </w:rPr>
        <w:t>Yukarıda ifade edilen gelişmeler sonucunda, genel devlet dengesinin 2013 yılında GSYH’ya oranla yüzde 1,5 düzeyinde açık vermesi beklenmektedir. Genel devlet faiz dışı fazlasının yüzde 2 düzeyinde olacağı, faiz ödemeleri ve özelleştirme gelirleri hariç genel devlet dengesinin ise yüzde 1,4 oranında fazla vereceği tahmin edilmektedir.</w:t>
      </w:r>
    </w:p>
    <w:p w:rsidR="00565FD5" w:rsidRPr="00BF3740" w:rsidRDefault="00565FD5" w:rsidP="00565FD5">
      <w:pPr>
        <w:spacing w:after="180"/>
        <w:ind w:firstLine="425"/>
        <w:rPr>
          <w:szCs w:val="18"/>
        </w:rPr>
      </w:pPr>
      <w:r w:rsidRPr="00BF3740">
        <w:rPr>
          <w:rFonts w:cs="Tahoma"/>
          <w:szCs w:val="18"/>
        </w:rPr>
        <w:t>Kamu kesimi borçlanma gereğinin 2013 yılında GSYH’ya oran olarak yüzde 1,5 düzeyinde gerçekleşeceği, program tanımlı kamu kesimi faiz dışı fazlasının GSYH’ya oranının ise önceki yıla göre 0,3 puan artarak yüzde 0,8 seviyesine yükseleceği beklenmektedir.</w:t>
      </w:r>
    </w:p>
    <w:p w:rsidR="00565FD5" w:rsidRPr="00BF3740" w:rsidRDefault="00565FD5" w:rsidP="00565FD5">
      <w:pPr>
        <w:spacing w:after="180"/>
        <w:rPr>
          <w:szCs w:val="18"/>
        </w:rPr>
        <w:sectPr w:rsidR="00565FD5" w:rsidRPr="00BF3740" w:rsidSect="00B50093">
          <w:footerReference w:type="even" r:id="rId21"/>
          <w:footerReference w:type="default" r:id="rId22"/>
          <w:pgSz w:w="11907" w:h="16840" w:code="9"/>
          <w:pgMar w:top="2948" w:right="2381" w:bottom="2948" w:left="2381" w:header="2268" w:footer="2552" w:gutter="0"/>
          <w:paperSrc w:first="15" w:other="15"/>
          <w:cols w:space="708"/>
          <w:noEndnote/>
        </w:sectPr>
      </w:pPr>
    </w:p>
    <w:p w:rsidR="00565FD5" w:rsidRDefault="00565FD5" w:rsidP="00565FD5">
      <w:pPr>
        <w:pStyle w:val="ResimYazs"/>
      </w:pPr>
      <w:bookmarkStart w:id="871" w:name="_Toc181241017"/>
      <w:bookmarkStart w:id="872" w:name="_Toc181274119"/>
      <w:bookmarkStart w:id="873" w:name="_Toc181286398"/>
      <w:bookmarkStart w:id="874" w:name="_Toc213071647"/>
      <w:bookmarkStart w:id="875" w:name="_Toc275874272"/>
      <w:bookmarkStart w:id="876" w:name="_Toc276076453"/>
      <w:bookmarkStart w:id="877" w:name="_Toc338605979"/>
    </w:p>
    <w:p w:rsidR="00565FD5" w:rsidRPr="00BF3740" w:rsidRDefault="00565FD5" w:rsidP="00565FD5">
      <w:pPr>
        <w:pStyle w:val="ResimYazs"/>
        <w:rPr>
          <w:b w:val="0"/>
        </w:rPr>
      </w:pPr>
      <w:bookmarkStart w:id="878" w:name="_Toc338711754"/>
      <w:r>
        <w:t xml:space="preserve">TABLO III: </w:t>
      </w:r>
      <w:fldSimple w:instr=" SEQ TABLO_III: \* ARABIC ">
        <w:r>
          <w:rPr>
            <w:noProof/>
          </w:rPr>
          <w:t>1</w:t>
        </w:r>
      </w:fldSimple>
      <w:r w:rsidRPr="00FF6818">
        <w:t>- Genel Devlet Toplam Gelir ve Harcamaları</w:t>
      </w:r>
      <w:bookmarkEnd w:id="871"/>
      <w:bookmarkEnd w:id="872"/>
      <w:bookmarkEnd w:id="873"/>
      <w:bookmarkEnd w:id="874"/>
      <w:bookmarkEnd w:id="875"/>
      <w:r w:rsidRPr="00BF3740">
        <w:rPr>
          <w:b w:val="0"/>
        </w:rPr>
        <w:t xml:space="preserve"> (1)</w:t>
      </w:r>
      <w:bookmarkEnd w:id="876"/>
      <w:bookmarkEnd w:id="877"/>
      <w:bookmarkEnd w:id="878"/>
    </w:p>
    <w:tbl>
      <w:tblPr>
        <w:tblW w:w="5000" w:type="pct"/>
        <w:tblCellMar>
          <w:left w:w="0" w:type="dxa"/>
          <w:right w:w="0" w:type="dxa"/>
        </w:tblCellMar>
        <w:tblLook w:val="0000"/>
      </w:tblPr>
      <w:tblGrid>
        <w:gridCol w:w="3456"/>
        <w:gridCol w:w="752"/>
        <w:gridCol w:w="753"/>
        <w:gridCol w:w="753"/>
        <w:gridCol w:w="753"/>
        <w:gridCol w:w="753"/>
        <w:gridCol w:w="753"/>
        <w:gridCol w:w="753"/>
        <w:gridCol w:w="753"/>
        <w:gridCol w:w="753"/>
        <w:gridCol w:w="742"/>
      </w:tblGrid>
      <w:tr w:rsidR="00565FD5" w:rsidRPr="00BF3740" w:rsidTr="00AB62A3">
        <w:trPr>
          <w:trHeight w:hRule="exact" w:val="227"/>
        </w:trPr>
        <w:tc>
          <w:tcPr>
            <w:tcW w:w="1575" w:type="pct"/>
            <w:tcBorders>
              <w:top w:val="single" w:sz="4" w:space="0" w:color="auto"/>
              <w:left w:val="single" w:sz="4" w:space="0" w:color="auto"/>
              <w:bottom w:val="nil"/>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b/>
                <w:bCs/>
                <w:sz w:val="15"/>
                <w:szCs w:val="15"/>
              </w:rPr>
            </w:pPr>
          </w:p>
        </w:tc>
        <w:tc>
          <w:tcPr>
            <w:tcW w:w="1715" w:type="pct"/>
            <w:gridSpan w:val="5"/>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cs="Tahoma"/>
                <w:b/>
                <w:bCs/>
                <w:sz w:val="15"/>
                <w:szCs w:val="15"/>
              </w:rPr>
              <w:t>(Cari Fiyatlarla, Milyon TL)</w:t>
            </w:r>
          </w:p>
        </w:tc>
        <w:tc>
          <w:tcPr>
            <w:tcW w:w="1710" w:type="pct"/>
            <w:gridSpan w:val="5"/>
            <w:tcBorders>
              <w:top w:val="single" w:sz="4" w:space="0" w:color="auto"/>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center"/>
              <w:rPr>
                <w:rFonts w:cs="Tahoma"/>
                <w:b/>
                <w:bCs/>
                <w:sz w:val="15"/>
                <w:szCs w:val="15"/>
              </w:rPr>
            </w:pPr>
            <w:r w:rsidRPr="00BF3740">
              <w:rPr>
                <w:rFonts w:cs="Tahoma"/>
                <w:b/>
                <w:bCs/>
                <w:sz w:val="15"/>
                <w:szCs w:val="15"/>
              </w:rPr>
              <w:t>(GSYH'ya Oran, Yüzde)</w:t>
            </w:r>
          </w:p>
        </w:tc>
      </w:tr>
      <w:tr w:rsidR="00565FD5" w:rsidRPr="00BF3740" w:rsidTr="00AB62A3">
        <w:trPr>
          <w:trHeight w:hRule="exact" w:val="227"/>
        </w:trPr>
        <w:tc>
          <w:tcPr>
            <w:tcW w:w="1575" w:type="pct"/>
            <w:tcBorders>
              <w:top w:val="nil"/>
              <w:left w:val="single" w:sz="4" w:space="0" w:color="auto"/>
              <w:bottom w:val="single" w:sz="4" w:space="0" w:color="auto"/>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w:t>
            </w:r>
          </w:p>
        </w:tc>
        <w:tc>
          <w:tcPr>
            <w:tcW w:w="343"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eastAsia="Arial Unicode MS" w:cs="Tahoma"/>
                <w:b/>
                <w:bCs/>
                <w:sz w:val="15"/>
                <w:szCs w:val="15"/>
              </w:rPr>
            </w:pPr>
            <w:r w:rsidRPr="00BF3740">
              <w:rPr>
                <w:rFonts w:cs="Tahoma"/>
                <w:b/>
                <w:bCs/>
                <w:sz w:val="15"/>
                <w:szCs w:val="15"/>
              </w:rPr>
              <w:t>2009</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eastAsia="Arial Unicode MS" w:cs="Tahoma"/>
                <w:b/>
                <w:bCs/>
                <w:sz w:val="15"/>
                <w:szCs w:val="15"/>
              </w:rPr>
            </w:pPr>
            <w:r w:rsidRPr="00BF3740">
              <w:rPr>
                <w:rFonts w:cs="Tahoma"/>
                <w:b/>
                <w:bCs/>
                <w:sz w:val="15"/>
                <w:szCs w:val="15"/>
              </w:rPr>
              <w:t>2010</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eastAsia="Arial Unicode MS" w:cs="Tahoma"/>
                <w:b/>
                <w:bCs/>
                <w:sz w:val="15"/>
                <w:szCs w:val="15"/>
              </w:rPr>
            </w:pPr>
            <w:r w:rsidRPr="00BF3740">
              <w:rPr>
                <w:rFonts w:cs="Tahoma"/>
                <w:b/>
                <w:bCs/>
                <w:sz w:val="15"/>
                <w:szCs w:val="15"/>
              </w:rPr>
              <w:t>2011</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eastAsia="Arial Unicode MS" w:cs="Tahoma"/>
                <w:b/>
                <w:bCs/>
                <w:sz w:val="15"/>
                <w:szCs w:val="15"/>
              </w:rPr>
            </w:pPr>
            <w:r w:rsidRPr="00BF3740">
              <w:rPr>
                <w:rFonts w:cs="Tahoma"/>
                <w:b/>
                <w:bCs/>
                <w:sz w:val="15"/>
                <w:szCs w:val="15"/>
              </w:rPr>
              <w:t>2012 (2)</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eastAsia="Arial Unicode MS" w:cs="Tahoma"/>
                <w:b/>
                <w:bCs/>
                <w:sz w:val="15"/>
                <w:szCs w:val="15"/>
              </w:rPr>
            </w:pPr>
            <w:r w:rsidRPr="00BF3740">
              <w:rPr>
                <w:rFonts w:cs="Tahoma"/>
                <w:b/>
                <w:bCs/>
                <w:sz w:val="15"/>
                <w:szCs w:val="15"/>
              </w:rPr>
              <w:t>2013 (3)</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eastAsia="Arial Unicode MS" w:cs="Tahoma"/>
                <w:b/>
                <w:bCs/>
                <w:sz w:val="15"/>
                <w:szCs w:val="15"/>
              </w:rPr>
            </w:pPr>
            <w:r w:rsidRPr="00BF3740">
              <w:rPr>
                <w:rFonts w:cs="Tahoma"/>
                <w:b/>
                <w:bCs/>
                <w:sz w:val="15"/>
                <w:szCs w:val="15"/>
              </w:rPr>
              <w:t>2009</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eastAsia="Arial Unicode MS" w:cs="Tahoma"/>
                <w:b/>
                <w:bCs/>
                <w:sz w:val="15"/>
                <w:szCs w:val="15"/>
              </w:rPr>
            </w:pPr>
            <w:r w:rsidRPr="00BF3740">
              <w:rPr>
                <w:rFonts w:cs="Tahoma"/>
                <w:b/>
                <w:bCs/>
                <w:sz w:val="15"/>
                <w:szCs w:val="15"/>
              </w:rPr>
              <w:t>2010</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eastAsia="Arial Unicode MS" w:cs="Tahoma"/>
                <w:b/>
                <w:bCs/>
                <w:sz w:val="15"/>
                <w:szCs w:val="15"/>
              </w:rPr>
            </w:pPr>
            <w:r w:rsidRPr="00BF3740">
              <w:rPr>
                <w:rFonts w:cs="Tahoma"/>
                <w:b/>
                <w:bCs/>
                <w:sz w:val="15"/>
                <w:szCs w:val="15"/>
              </w:rPr>
              <w:t>2011</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eastAsia="Arial Unicode MS" w:cs="Tahoma"/>
                <w:b/>
                <w:bCs/>
                <w:sz w:val="15"/>
                <w:szCs w:val="15"/>
              </w:rPr>
            </w:pPr>
            <w:r w:rsidRPr="00BF3740">
              <w:rPr>
                <w:rFonts w:cs="Tahoma"/>
                <w:b/>
                <w:bCs/>
                <w:sz w:val="15"/>
                <w:szCs w:val="15"/>
              </w:rPr>
              <w:t>2012 (2)</w:t>
            </w:r>
          </w:p>
        </w:tc>
        <w:tc>
          <w:tcPr>
            <w:tcW w:w="338"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eastAsia="Arial Unicode MS" w:cs="Tahoma"/>
                <w:b/>
                <w:bCs/>
                <w:sz w:val="15"/>
                <w:szCs w:val="15"/>
              </w:rPr>
            </w:pPr>
            <w:r w:rsidRPr="00BF3740">
              <w:rPr>
                <w:rFonts w:cs="Tahoma"/>
                <w:b/>
                <w:bCs/>
                <w:sz w:val="15"/>
                <w:szCs w:val="15"/>
              </w:rPr>
              <w:t>2013 (3)</w:t>
            </w:r>
          </w:p>
        </w:tc>
      </w:tr>
      <w:tr w:rsidR="00565FD5" w:rsidRPr="00BF3740" w:rsidTr="00AB62A3">
        <w:trPr>
          <w:trHeight w:hRule="exact" w:val="227"/>
        </w:trPr>
        <w:tc>
          <w:tcPr>
            <w:tcW w:w="1575" w:type="pct"/>
            <w:tcBorders>
              <w:top w:val="single" w:sz="4" w:space="0" w:color="auto"/>
              <w:left w:val="single" w:sz="4" w:space="0" w:color="auto"/>
              <w:bottom w:val="nil"/>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Vergiler</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176 141</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216 109</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260 262</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286 117</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325 709</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565FD5" w:rsidRPr="00C63082" w:rsidRDefault="00565FD5" w:rsidP="00AB62A3">
            <w:pPr>
              <w:jc w:val="right"/>
              <w:rPr>
                <w:rFonts w:cs="Tahoma"/>
                <w:bCs/>
                <w:sz w:val="15"/>
                <w:szCs w:val="15"/>
              </w:rPr>
            </w:pPr>
            <w:r w:rsidRPr="00C63082">
              <w:rPr>
                <w:rFonts w:cs="Tahoma"/>
                <w:bCs/>
                <w:sz w:val="15"/>
                <w:szCs w:val="15"/>
              </w:rPr>
              <w:t>18,49</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565FD5" w:rsidRPr="00C63082" w:rsidRDefault="00565FD5" w:rsidP="00AB62A3">
            <w:pPr>
              <w:jc w:val="right"/>
              <w:rPr>
                <w:rFonts w:cs="Tahoma"/>
                <w:bCs/>
                <w:sz w:val="15"/>
                <w:szCs w:val="15"/>
              </w:rPr>
            </w:pPr>
            <w:r w:rsidRPr="00C63082">
              <w:rPr>
                <w:rFonts w:cs="Tahoma"/>
                <w:bCs/>
                <w:sz w:val="15"/>
                <w:szCs w:val="15"/>
              </w:rPr>
              <w:t>19,67</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565FD5" w:rsidRPr="00C63082" w:rsidRDefault="00565FD5" w:rsidP="00AB62A3">
            <w:pPr>
              <w:jc w:val="right"/>
              <w:rPr>
                <w:rFonts w:cs="Tahoma"/>
                <w:bCs/>
                <w:sz w:val="15"/>
                <w:szCs w:val="15"/>
              </w:rPr>
            </w:pPr>
            <w:r w:rsidRPr="00C63082">
              <w:rPr>
                <w:rFonts w:cs="Tahoma"/>
                <w:bCs/>
                <w:sz w:val="15"/>
                <w:szCs w:val="15"/>
              </w:rPr>
              <w:t>20,05</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565FD5" w:rsidRPr="00C63082" w:rsidRDefault="00565FD5" w:rsidP="00AB62A3">
            <w:pPr>
              <w:jc w:val="right"/>
              <w:rPr>
                <w:rFonts w:cs="Tahoma"/>
                <w:bCs/>
                <w:sz w:val="15"/>
                <w:szCs w:val="15"/>
              </w:rPr>
            </w:pPr>
            <w:r w:rsidRPr="00C63082">
              <w:rPr>
                <w:rFonts w:cs="Tahoma"/>
                <w:bCs/>
                <w:sz w:val="15"/>
                <w:szCs w:val="15"/>
              </w:rPr>
              <w:t>19,94</w:t>
            </w:r>
          </w:p>
        </w:tc>
        <w:tc>
          <w:tcPr>
            <w:tcW w:w="338" w:type="pct"/>
            <w:tcBorders>
              <w:top w:val="single" w:sz="4" w:space="0" w:color="auto"/>
              <w:left w:val="nil"/>
              <w:bottom w:val="nil"/>
              <w:right w:val="single" w:sz="4" w:space="0" w:color="auto"/>
            </w:tcBorders>
            <w:tcMar>
              <w:top w:w="15" w:type="dxa"/>
              <w:left w:w="15" w:type="dxa"/>
              <w:bottom w:w="0" w:type="dxa"/>
              <w:right w:w="15" w:type="dxa"/>
            </w:tcMar>
            <w:vAlign w:val="bottom"/>
          </w:tcPr>
          <w:p w:rsidR="00565FD5" w:rsidRPr="00C63082" w:rsidRDefault="00565FD5" w:rsidP="00AB62A3">
            <w:pPr>
              <w:jc w:val="right"/>
              <w:rPr>
                <w:rFonts w:cs="Tahoma"/>
                <w:bCs/>
                <w:sz w:val="15"/>
                <w:szCs w:val="15"/>
              </w:rPr>
            </w:pPr>
            <w:r w:rsidRPr="00C63082">
              <w:rPr>
                <w:rFonts w:cs="Tahoma"/>
                <w:bCs/>
                <w:sz w:val="15"/>
                <w:szCs w:val="15"/>
              </w:rPr>
              <w:t>20,73</w:t>
            </w:r>
          </w:p>
        </w:tc>
      </w:tr>
      <w:tr w:rsidR="00565FD5" w:rsidRPr="00BF3740" w:rsidTr="00AB62A3">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-Vasıtasız</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57 293</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61 295</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76 012</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85 530</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92 024</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6,01</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5,58</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5,86</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5,96</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5,86</w:t>
            </w:r>
          </w:p>
        </w:tc>
      </w:tr>
      <w:tr w:rsidR="00565FD5" w:rsidRPr="00BF3740" w:rsidTr="00AB62A3">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-Vasıtalı</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112 790</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147 422</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175 155</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190 891</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223 385</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11,84</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13,42</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13,49</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13,31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14,22</w:t>
            </w:r>
          </w:p>
        </w:tc>
      </w:tr>
      <w:tr w:rsidR="00565FD5" w:rsidRPr="00BF3740" w:rsidTr="00AB62A3">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-Servet</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6 058</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7 392</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9 095</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9 696</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10 300</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0,64</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0,67</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0,70</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0,68</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0,66</w:t>
            </w:r>
          </w:p>
        </w:tc>
      </w:tr>
      <w:tr w:rsidR="00565FD5" w:rsidRPr="00BF3740" w:rsidTr="00AB62A3">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Vergi Dışı Normal Gelirler</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19 195</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19 447</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23 836</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27 449</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25 003</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2,02</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1,77</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1,84</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1,91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1,59</w:t>
            </w:r>
          </w:p>
        </w:tc>
      </w:tr>
      <w:tr w:rsidR="00565FD5" w:rsidRPr="00BF3740" w:rsidTr="00AB62A3">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Faktör Gelirleri</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59 414</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60 749</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65 395</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80 430</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82 630</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6,24</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5,53</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5,04</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5,61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5,26</w:t>
            </w:r>
          </w:p>
        </w:tc>
      </w:tr>
      <w:tr w:rsidR="00565FD5" w:rsidRPr="00BF3740" w:rsidTr="00AB62A3">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Sosyal Fonlar</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70 823</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89 514</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118 858</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135 332</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152 523</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7,44</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8,15</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9,16</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9,43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9,71</w:t>
            </w:r>
          </w:p>
        </w:tc>
      </w:tr>
      <w:tr w:rsidR="00565FD5" w:rsidRPr="00BF3740" w:rsidTr="00AB62A3">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b/>
                <w:bCs/>
                <w:sz w:val="15"/>
                <w:szCs w:val="15"/>
              </w:rPr>
            </w:pPr>
            <w:r w:rsidRPr="00BF3740">
              <w:rPr>
                <w:rFonts w:cs="Tahoma"/>
                <w:b/>
                <w:bCs/>
                <w:sz w:val="15"/>
                <w:szCs w:val="15"/>
              </w:rPr>
              <w:t>TOPLAM</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325 573</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385 819</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468 352</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529 328</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585 865</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34,18</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35,11</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36,08</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36,89</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37,29</w:t>
            </w:r>
          </w:p>
        </w:tc>
      </w:tr>
      <w:tr w:rsidR="00565FD5" w:rsidRPr="00BF3740" w:rsidTr="00AB62A3">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-Özelleştirme Gelirleri </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4 370</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3 924</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4 117</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1 359</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9 479</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0,46</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0,36</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0,32</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0,09</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0,60</w:t>
            </w:r>
          </w:p>
        </w:tc>
      </w:tr>
      <w:tr w:rsidR="00565FD5" w:rsidRPr="00BF3740" w:rsidTr="00AB62A3">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b/>
                <w:bCs/>
                <w:sz w:val="15"/>
                <w:szCs w:val="15"/>
              </w:rPr>
            </w:pPr>
            <w:r w:rsidRPr="00BF3740">
              <w:rPr>
                <w:rFonts w:cs="Tahoma"/>
                <w:b/>
                <w:bCs/>
                <w:sz w:val="15"/>
                <w:szCs w:val="15"/>
              </w:rPr>
              <w:t>TOPLAM GELİR</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329 943</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389 743</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472 469</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530 687</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595 344</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34,64</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35,47</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36,40</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36,99</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37,89</w:t>
            </w:r>
          </w:p>
        </w:tc>
      </w:tr>
      <w:tr w:rsidR="00565FD5" w:rsidRPr="00BF3740" w:rsidTr="00AB62A3">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Cari Harcamalar</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168 771</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187 871</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215 946</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251 041</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277 686</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17,72</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17,10</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16,64</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17,50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17,67</w:t>
            </w:r>
          </w:p>
        </w:tc>
      </w:tr>
      <w:tr w:rsidR="00565FD5" w:rsidRPr="00BF3740" w:rsidTr="00AB62A3">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Yatırım Harcamaları</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31 405</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37 545</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43 322</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49 848</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53 189</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3,30</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3,42</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3,34</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3,47</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3,39</w:t>
            </w:r>
          </w:p>
        </w:tc>
      </w:tr>
      <w:tr w:rsidR="00565FD5" w:rsidRPr="00BF3740" w:rsidTr="00AB62A3">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-Sabit Sermaye</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31 442</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37 712</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43 136</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49 672</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53 019</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3,30</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3,43</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3,32</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3,46</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3,37</w:t>
            </w:r>
          </w:p>
        </w:tc>
      </w:tr>
      <w:tr w:rsidR="00565FD5" w:rsidRPr="00BF3740" w:rsidTr="00AB62A3">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-Stok Değişmesi</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- 37</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- 167</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 xml:space="preserve"> 187</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 xml:space="preserve"> 176</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 xml:space="preserve"> 171</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0,00</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-0,02</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0,01</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0,01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0,01</w:t>
            </w:r>
          </w:p>
        </w:tc>
      </w:tr>
      <w:tr w:rsidR="00565FD5" w:rsidRPr="00BF3740" w:rsidTr="00AB62A3">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Transfer Harcamaları</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181 794</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197 317</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217 801</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252 627</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288 090</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19,08</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17,96</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16,78</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17,61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18,34</w:t>
            </w:r>
          </w:p>
        </w:tc>
      </w:tr>
      <w:tr w:rsidR="00565FD5" w:rsidRPr="00BF3740" w:rsidTr="00AB62A3">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-Cari Transferler </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172 212</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184 540</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205 841</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241 403</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275 549</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18,08</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16,79</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15,86</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16,83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17,54</w:t>
            </w:r>
          </w:p>
        </w:tc>
      </w:tr>
      <w:tr w:rsidR="00565FD5" w:rsidRPr="00BF3740" w:rsidTr="00AB62A3">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-Sermaye Transferleri</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9 582</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12 777</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11 960</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11 224</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12 541</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1,01</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1,16</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0,92</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0,78</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r w:rsidRPr="00BF3740">
              <w:rPr>
                <w:rFonts w:cs="Tahoma"/>
                <w:sz w:val="15"/>
                <w:szCs w:val="15"/>
              </w:rPr>
              <w:t>0,80</w:t>
            </w:r>
          </w:p>
        </w:tc>
      </w:tr>
      <w:tr w:rsidR="00565FD5" w:rsidRPr="00BF3740" w:rsidTr="00AB62A3">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565FD5" w:rsidRPr="00BF3740" w:rsidRDefault="00565FD5" w:rsidP="00AB62A3">
            <w:pPr>
              <w:ind w:left="120"/>
              <w:rPr>
                <w:rFonts w:cs="Tahoma"/>
                <w:sz w:val="15"/>
                <w:szCs w:val="15"/>
              </w:rPr>
            </w:pPr>
            <w:r w:rsidRPr="00BF3740">
              <w:rPr>
                <w:rFonts w:cs="Tahoma"/>
                <w:b/>
                <w:bCs/>
                <w:sz w:val="15"/>
                <w:szCs w:val="15"/>
              </w:rPr>
              <w:t>FAİZ DIŞI HARCAMALAR</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327 381</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373 009</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433 459</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503 002</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564 333</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34,37</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33,95</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33,39</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35,06</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35,92</w:t>
            </w:r>
          </w:p>
        </w:tc>
      </w:tr>
      <w:tr w:rsidR="00565FD5" w:rsidRPr="00BF3740" w:rsidTr="00AB62A3">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b/>
                <w:bCs/>
                <w:sz w:val="15"/>
                <w:szCs w:val="15"/>
              </w:rPr>
              <w:t>TOPLAM HARCAMA</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381 970</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422 734</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477 070</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553 516</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618 966</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40,10</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38,47</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36,75</w:t>
            </w:r>
          </w:p>
        </w:tc>
        <w:tc>
          <w:tcPr>
            <w:tcW w:w="343"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38,58</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39,39</w:t>
            </w:r>
          </w:p>
        </w:tc>
      </w:tr>
      <w:tr w:rsidR="00565FD5" w:rsidRPr="00BF3740" w:rsidTr="00AB62A3">
        <w:trPr>
          <w:trHeight w:hRule="exact" w:val="227"/>
        </w:trPr>
        <w:tc>
          <w:tcPr>
            <w:tcW w:w="1575" w:type="pct"/>
            <w:tcBorders>
              <w:top w:val="nil"/>
              <w:left w:val="single" w:sz="4" w:space="0" w:color="auto"/>
              <w:right w:val="nil"/>
            </w:tcBorders>
            <w:noWrap/>
            <w:tcMar>
              <w:top w:w="15" w:type="dxa"/>
              <w:left w:w="15" w:type="dxa"/>
              <w:bottom w:w="0" w:type="dxa"/>
              <w:right w:w="15" w:type="dxa"/>
            </w:tcMar>
            <w:vAlign w:val="bottom"/>
          </w:tcPr>
          <w:p w:rsidR="00565FD5" w:rsidRPr="00BF3740" w:rsidRDefault="00565FD5" w:rsidP="00AB62A3">
            <w:pPr>
              <w:ind w:left="120"/>
              <w:rPr>
                <w:rFonts w:cs="Tahoma"/>
                <w:b/>
                <w:bCs/>
                <w:sz w:val="15"/>
                <w:szCs w:val="15"/>
              </w:rPr>
            </w:pPr>
            <w:r w:rsidRPr="00BF3740">
              <w:rPr>
                <w:rFonts w:cs="Tahoma"/>
                <w:b/>
                <w:bCs/>
                <w:sz w:val="15"/>
                <w:szCs w:val="15"/>
              </w:rPr>
              <w:t>BORÇLANMA GEREĞİ</w:t>
            </w:r>
          </w:p>
        </w:tc>
        <w:tc>
          <w:tcPr>
            <w:tcW w:w="343"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52 026</w:t>
            </w:r>
          </w:p>
        </w:tc>
        <w:tc>
          <w:tcPr>
            <w:tcW w:w="343"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32 991</w:t>
            </w:r>
          </w:p>
        </w:tc>
        <w:tc>
          <w:tcPr>
            <w:tcW w:w="343"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4 601</w:t>
            </w:r>
          </w:p>
        </w:tc>
        <w:tc>
          <w:tcPr>
            <w:tcW w:w="343"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22 829</w:t>
            </w:r>
          </w:p>
        </w:tc>
        <w:tc>
          <w:tcPr>
            <w:tcW w:w="343"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23 621</w:t>
            </w:r>
          </w:p>
        </w:tc>
        <w:tc>
          <w:tcPr>
            <w:tcW w:w="343"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5,46</w:t>
            </w:r>
          </w:p>
        </w:tc>
        <w:tc>
          <w:tcPr>
            <w:tcW w:w="343"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3,00</w:t>
            </w:r>
          </w:p>
        </w:tc>
        <w:tc>
          <w:tcPr>
            <w:tcW w:w="343"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0,35</w:t>
            </w:r>
          </w:p>
        </w:tc>
        <w:tc>
          <w:tcPr>
            <w:tcW w:w="343"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1,59</w:t>
            </w:r>
          </w:p>
        </w:tc>
        <w:tc>
          <w:tcPr>
            <w:tcW w:w="338" w:type="pct"/>
            <w:tcBorders>
              <w:top w:val="nil"/>
              <w:left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1,50</w:t>
            </w:r>
          </w:p>
        </w:tc>
      </w:tr>
      <w:tr w:rsidR="00565FD5" w:rsidRPr="00BF3740" w:rsidTr="00AB62A3">
        <w:trPr>
          <w:trHeight w:hRule="exact" w:val="227"/>
        </w:trPr>
        <w:tc>
          <w:tcPr>
            <w:tcW w:w="1575" w:type="pct"/>
            <w:tcBorders>
              <w:top w:val="nil"/>
              <w:left w:val="single" w:sz="4" w:space="0" w:color="auto"/>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b/>
                <w:bCs/>
                <w:sz w:val="15"/>
                <w:szCs w:val="15"/>
              </w:rPr>
            </w:pPr>
            <w:r w:rsidRPr="00BF3740">
              <w:rPr>
                <w:rFonts w:eastAsia="Arial Unicode MS" w:cs="Tahoma"/>
                <w:b/>
                <w:bCs/>
                <w:sz w:val="15"/>
                <w:szCs w:val="15"/>
              </w:rPr>
              <w:t>FAİZ DIŞI BORÇLANMA GEREĞİ</w:t>
            </w:r>
          </w:p>
        </w:tc>
        <w:tc>
          <w:tcPr>
            <w:tcW w:w="343"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-2 562</w:t>
            </w:r>
          </w:p>
        </w:tc>
        <w:tc>
          <w:tcPr>
            <w:tcW w:w="343"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-16 734</w:t>
            </w:r>
          </w:p>
        </w:tc>
        <w:tc>
          <w:tcPr>
            <w:tcW w:w="343"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-39 010</w:t>
            </w:r>
          </w:p>
        </w:tc>
        <w:tc>
          <w:tcPr>
            <w:tcW w:w="343"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-27 685</w:t>
            </w:r>
          </w:p>
        </w:tc>
        <w:tc>
          <w:tcPr>
            <w:tcW w:w="343"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-31 011</w:t>
            </w:r>
          </w:p>
        </w:tc>
        <w:tc>
          <w:tcPr>
            <w:tcW w:w="343"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-0,27</w:t>
            </w:r>
          </w:p>
        </w:tc>
        <w:tc>
          <w:tcPr>
            <w:tcW w:w="343"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-1,52</w:t>
            </w:r>
          </w:p>
        </w:tc>
        <w:tc>
          <w:tcPr>
            <w:tcW w:w="343"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-3,01</w:t>
            </w:r>
          </w:p>
        </w:tc>
        <w:tc>
          <w:tcPr>
            <w:tcW w:w="343"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-1,93</w:t>
            </w:r>
          </w:p>
        </w:tc>
        <w:tc>
          <w:tcPr>
            <w:tcW w:w="338" w:type="pct"/>
            <w:tcBorders>
              <w:top w:val="nil"/>
              <w:left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-1,97</w:t>
            </w:r>
          </w:p>
        </w:tc>
      </w:tr>
      <w:tr w:rsidR="00565FD5" w:rsidRPr="00BF3740" w:rsidTr="00AB62A3">
        <w:trPr>
          <w:trHeight w:hRule="exact" w:val="227"/>
        </w:trPr>
        <w:tc>
          <w:tcPr>
            <w:tcW w:w="1575" w:type="pct"/>
            <w:tcBorders>
              <w:top w:val="nil"/>
              <w:left w:val="single" w:sz="4" w:space="0" w:color="auto"/>
              <w:bottom w:val="single" w:sz="4" w:space="0" w:color="auto"/>
              <w:right w:val="nil"/>
            </w:tcBorders>
            <w:noWrap/>
            <w:tcMar>
              <w:top w:w="15" w:type="dxa"/>
              <w:left w:w="15" w:type="dxa"/>
              <w:bottom w:w="0" w:type="dxa"/>
              <w:right w:w="15" w:type="dxa"/>
            </w:tcMar>
            <w:vAlign w:val="bottom"/>
          </w:tcPr>
          <w:p w:rsidR="00565FD5" w:rsidRPr="00BF3740" w:rsidRDefault="00565FD5" w:rsidP="00AB62A3">
            <w:pPr>
              <w:ind w:left="120"/>
              <w:rPr>
                <w:rFonts w:eastAsia="Arial Unicode MS" w:cs="Tahoma"/>
                <w:b/>
                <w:bCs/>
                <w:sz w:val="15"/>
                <w:szCs w:val="15"/>
              </w:rPr>
            </w:pPr>
            <w:r w:rsidRPr="00BF3740">
              <w:rPr>
                <w:rFonts w:eastAsia="Arial Unicode MS" w:cs="Tahoma"/>
                <w:b/>
                <w:bCs/>
                <w:sz w:val="15"/>
                <w:szCs w:val="15"/>
              </w:rPr>
              <w:t>FAİZ GİD. VE ÖZEL. GEL. HARİÇ BORÇ. GER.</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1 808</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-12 810</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-34 893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-26 326</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-21 533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0,19</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-1,17</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-2,69</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-1,83</w:t>
            </w:r>
          </w:p>
        </w:tc>
        <w:tc>
          <w:tcPr>
            <w:tcW w:w="338" w:type="pct"/>
            <w:tcBorders>
              <w:top w:val="nil"/>
              <w:left w:val="nil"/>
              <w:bottom w:val="single" w:sz="4" w:space="0" w:color="auto"/>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b/>
                <w:bCs/>
                <w:sz w:val="15"/>
                <w:szCs w:val="15"/>
              </w:rPr>
            </w:pPr>
            <w:r w:rsidRPr="00BF3740">
              <w:rPr>
                <w:rFonts w:cs="Tahoma"/>
                <w:b/>
                <w:bCs/>
                <w:sz w:val="15"/>
                <w:szCs w:val="15"/>
              </w:rPr>
              <w:t>-1,37</w:t>
            </w:r>
          </w:p>
        </w:tc>
      </w:tr>
    </w:tbl>
    <w:p w:rsidR="00565FD5" w:rsidRPr="00BF3740" w:rsidRDefault="00565FD5" w:rsidP="00565FD5">
      <w:pPr>
        <w:rPr>
          <w:rFonts w:cs="Tahoma"/>
          <w:sz w:val="14"/>
          <w:szCs w:val="14"/>
        </w:rPr>
      </w:pPr>
      <w:r w:rsidRPr="00BF3740">
        <w:rPr>
          <w:rFonts w:cs="Tahoma"/>
          <w:sz w:val="14"/>
          <w:szCs w:val="14"/>
        </w:rPr>
        <w:t>Kaynak: Kalkınma Bakanlığı</w:t>
      </w:r>
    </w:p>
    <w:p w:rsidR="00565FD5" w:rsidRPr="00BF3740" w:rsidRDefault="00565FD5" w:rsidP="00565FD5">
      <w:pPr>
        <w:rPr>
          <w:rFonts w:cs="Tahoma"/>
          <w:sz w:val="14"/>
          <w:szCs w:val="14"/>
        </w:rPr>
      </w:pPr>
      <w:r w:rsidRPr="00BF3740">
        <w:rPr>
          <w:rFonts w:cs="Tahoma"/>
          <w:sz w:val="14"/>
          <w:szCs w:val="14"/>
        </w:rPr>
        <w:t>Not: Negatif işaret fazlayı göstermektedir.</w:t>
      </w:r>
      <w:r w:rsidRPr="00BF3740">
        <w:rPr>
          <w:rFonts w:cs="Tahoma"/>
          <w:sz w:val="14"/>
          <w:szCs w:val="14"/>
        </w:rPr>
        <w:tab/>
      </w:r>
    </w:p>
    <w:p w:rsidR="00565FD5" w:rsidRPr="00BF3740" w:rsidRDefault="00565FD5" w:rsidP="00565FD5">
      <w:pPr>
        <w:rPr>
          <w:rFonts w:cs="Tahoma"/>
          <w:sz w:val="14"/>
          <w:szCs w:val="14"/>
        </w:rPr>
      </w:pPr>
      <w:r w:rsidRPr="00BF3740">
        <w:rPr>
          <w:rFonts w:cs="Tahoma"/>
          <w:sz w:val="14"/>
          <w:szCs w:val="14"/>
        </w:rPr>
        <w:t>(1) Genel devlet; merkezi yönetim bütçesi, mahalli idareler, döner sermayeli kuruluşlar, İşsizlik Sigortası Fonu, sosyal güvenlik kuruluşları, genel sağlık sigortası ve fonları kapsamaktadır.</w:t>
      </w:r>
    </w:p>
    <w:p w:rsidR="00565FD5" w:rsidRPr="00BF3740" w:rsidRDefault="00565FD5" w:rsidP="00565FD5">
      <w:pPr>
        <w:tabs>
          <w:tab w:val="left" w:pos="2565"/>
        </w:tabs>
        <w:rPr>
          <w:rFonts w:cs="Tahoma"/>
          <w:sz w:val="14"/>
          <w:szCs w:val="14"/>
        </w:rPr>
      </w:pPr>
      <w:r w:rsidRPr="00BF3740">
        <w:rPr>
          <w:rFonts w:cs="Tahoma"/>
          <w:sz w:val="14"/>
          <w:szCs w:val="14"/>
        </w:rPr>
        <w:t>(2) Gerçekleşme tahmini</w:t>
      </w:r>
    </w:p>
    <w:p w:rsidR="00565FD5" w:rsidRPr="00BF3740" w:rsidRDefault="00565FD5" w:rsidP="00565FD5">
      <w:pPr>
        <w:sectPr w:rsidR="00565FD5" w:rsidRPr="00BF3740" w:rsidSect="00B50093">
          <w:pgSz w:w="16840" w:h="11907" w:orient="landscape" w:code="9"/>
          <w:pgMar w:top="2268" w:right="2948" w:bottom="2268" w:left="2948" w:header="1701" w:footer="1985" w:gutter="0"/>
          <w:paperSrc w:first="15" w:other="15"/>
          <w:cols w:space="708"/>
          <w:noEndnote/>
        </w:sectPr>
      </w:pPr>
      <w:r w:rsidRPr="00BF3740">
        <w:rPr>
          <w:rFonts w:cs="Tahoma"/>
          <w:sz w:val="14"/>
          <w:szCs w:val="14"/>
        </w:rPr>
        <w:lastRenderedPageBreak/>
        <w:t>(3) Program</w:t>
      </w:r>
    </w:p>
    <w:p w:rsidR="00565FD5" w:rsidRPr="00BF3740" w:rsidRDefault="00565FD5" w:rsidP="00565FD5">
      <w:pPr>
        <w:pStyle w:val="ResimYazs"/>
        <w:rPr>
          <w:b w:val="0"/>
        </w:rPr>
      </w:pPr>
      <w:bookmarkStart w:id="879" w:name="_Toc276076454"/>
      <w:bookmarkStart w:id="880" w:name="_Toc338605980"/>
      <w:bookmarkStart w:id="881" w:name="_Toc338711755"/>
      <w:bookmarkStart w:id="882" w:name="_Toc181241018"/>
      <w:bookmarkStart w:id="883" w:name="_Toc181274120"/>
      <w:bookmarkStart w:id="884" w:name="_Toc181286399"/>
      <w:bookmarkStart w:id="885" w:name="_Toc213071648"/>
      <w:bookmarkStart w:id="886" w:name="_Toc275874273"/>
      <w:r>
        <w:lastRenderedPageBreak/>
        <w:t xml:space="preserve">TABLO III: </w:t>
      </w:r>
      <w:fldSimple w:instr=" SEQ TABLO_III: \* ARABIC ">
        <w:r>
          <w:rPr>
            <w:noProof/>
          </w:rPr>
          <w:t>2</w:t>
        </w:r>
      </w:fldSimple>
      <w:r w:rsidRPr="00FF6818">
        <w:t>- Kamu Kesimi Borçlanma Gereği (KKBG)</w:t>
      </w:r>
      <w:bookmarkEnd w:id="879"/>
      <w:bookmarkEnd w:id="880"/>
      <w:bookmarkEnd w:id="881"/>
      <w:r w:rsidRPr="00BF3740">
        <w:rPr>
          <w:b w:val="0"/>
        </w:rPr>
        <w:t xml:space="preserve"> </w:t>
      </w:r>
      <w:bookmarkEnd w:id="882"/>
      <w:bookmarkEnd w:id="883"/>
      <w:bookmarkEnd w:id="884"/>
      <w:bookmarkEnd w:id="885"/>
      <w:bookmarkEnd w:id="886"/>
    </w:p>
    <w:tbl>
      <w:tblPr>
        <w:tblW w:w="5000" w:type="pct"/>
        <w:tblLayout w:type="fixed"/>
        <w:tblCellMar>
          <w:left w:w="0" w:type="dxa"/>
          <w:right w:w="0" w:type="dxa"/>
        </w:tblCellMar>
        <w:tblLook w:val="0000"/>
      </w:tblPr>
      <w:tblGrid>
        <w:gridCol w:w="4424"/>
        <w:gridCol w:w="1262"/>
        <w:gridCol w:w="1172"/>
        <w:gridCol w:w="1372"/>
        <w:gridCol w:w="1372"/>
        <w:gridCol w:w="1372"/>
      </w:tblGrid>
      <w:tr w:rsidR="00565FD5" w:rsidRPr="00BF3740" w:rsidTr="00AB62A3">
        <w:trPr>
          <w:cantSplit/>
          <w:trHeight w:val="187"/>
        </w:trPr>
        <w:tc>
          <w:tcPr>
            <w:tcW w:w="201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565FD5" w:rsidRPr="00BF3740" w:rsidRDefault="00565FD5" w:rsidP="00AB62A3">
            <w:pPr>
              <w:ind w:left="1065"/>
              <w:rPr>
                <w:rFonts w:eastAsia="Arial Unicode MS" w:cs="Tahoma"/>
                <w:b/>
                <w:bCs/>
                <w:sz w:val="13"/>
                <w:szCs w:val="13"/>
              </w:rPr>
            </w:pPr>
            <w:bookmarkStart w:id="887" w:name="_Toc181241019"/>
            <w:bookmarkStart w:id="888" w:name="_Toc181274121"/>
            <w:bookmarkStart w:id="889" w:name="_Toc181286400"/>
            <w:bookmarkStart w:id="890" w:name="_Toc213071649"/>
            <w:bookmarkStart w:id="891" w:name="_Toc275874274"/>
            <w:bookmarkStart w:id="892" w:name="_Toc276076455"/>
            <w:bookmarkStart w:id="893" w:name="_Toc149920070"/>
            <w:bookmarkStart w:id="894" w:name="_Toc149968455"/>
            <w:bookmarkStart w:id="895" w:name="_Toc150099144"/>
            <w:r w:rsidRPr="00BF3740">
              <w:rPr>
                <w:rFonts w:cs="Tahoma"/>
                <w:b/>
                <w:bCs/>
                <w:sz w:val="13"/>
                <w:szCs w:val="13"/>
              </w:rPr>
              <w:t> </w:t>
            </w:r>
          </w:p>
        </w:tc>
        <w:tc>
          <w:tcPr>
            <w:tcW w:w="57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eastAsia="Arial Unicode MS" w:cs="Tahoma"/>
                <w:b/>
                <w:bCs/>
                <w:sz w:val="13"/>
                <w:szCs w:val="13"/>
              </w:rPr>
            </w:pPr>
            <w:r w:rsidRPr="00BF3740">
              <w:rPr>
                <w:rFonts w:cs="Tahoma"/>
                <w:b/>
                <w:bCs/>
                <w:sz w:val="13"/>
                <w:szCs w:val="13"/>
              </w:rPr>
              <w:t>2009</w:t>
            </w:r>
          </w:p>
        </w:tc>
        <w:tc>
          <w:tcPr>
            <w:tcW w:w="534"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eastAsia="Arial Unicode MS" w:cs="Tahoma"/>
                <w:b/>
                <w:bCs/>
                <w:sz w:val="13"/>
                <w:szCs w:val="13"/>
              </w:rPr>
            </w:pPr>
            <w:r w:rsidRPr="00BF3740">
              <w:rPr>
                <w:rFonts w:cs="Tahoma"/>
                <w:b/>
                <w:bCs/>
                <w:sz w:val="13"/>
                <w:szCs w:val="13"/>
              </w:rPr>
              <w:t>2010</w:t>
            </w:r>
          </w:p>
        </w:tc>
        <w:tc>
          <w:tcPr>
            <w:tcW w:w="62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eastAsia="Arial Unicode MS" w:cs="Tahoma"/>
                <w:b/>
                <w:bCs/>
                <w:sz w:val="13"/>
                <w:szCs w:val="13"/>
              </w:rPr>
            </w:pPr>
            <w:r w:rsidRPr="00BF3740">
              <w:rPr>
                <w:rFonts w:cs="Tahoma"/>
                <w:b/>
                <w:bCs/>
                <w:sz w:val="13"/>
                <w:szCs w:val="13"/>
              </w:rPr>
              <w:t>2011</w:t>
            </w:r>
          </w:p>
        </w:tc>
        <w:tc>
          <w:tcPr>
            <w:tcW w:w="62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eastAsia="Arial Unicode MS" w:cs="Tahoma"/>
                <w:b/>
                <w:bCs/>
                <w:sz w:val="13"/>
                <w:szCs w:val="13"/>
              </w:rPr>
            </w:pPr>
            <w:r w:rsidRPr="00BF3740">
              <w:rPr>
                <w:rFonts w:cs="Tahoma"/>
                <w:b/>
                <w:bCs/>
                <w:sz w:val="13"/>
                <w:szCs w:val="13"/>
              </w:rPr>
              <w:t>2012 (1)</w:t>
            </w:r>
          </w:p>
        </w:tc>
        <w:tc>
          <w:tcPr>
            <w:tcW w:w="62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eastAsia="Arial Unicode MS" w:cs="Tahoma"/>
                <w:b/>
                <w:bCs/>
                <w:sz w:val="13"/>
                <w:szCs w:val="13"/>
              </w:rPr>
            </w:pPr>
            <w:r w:rsidRPr="00BF3740">
              <w:rPr>
                <w:rFonts w:cs="Tahoma"/>
                <w:b/>
                <w:bCs/>
                <w:sz w:val="13"/>
                <w:szCs w:val="13"/>
              </w:rPr>
              <w:t>2013 (2)</w:t>
            </w:r>
          </w:p>
        </w:tc>
      </w:tr>
      <w:tr w:rsidR="00565FD5" w:rsidRPr="00BF3740" w:rsidTr="00AB62A3">
        <w:trPr>
          <w:cantSplit/>
          <w:trHeight w:val="187"/>
        </w:trPr>
        <w:tc>
          <w:tcPr>
            <w:tcW w:w="2016" w:type="pct"/>
            <w:tcBorders>
              <w:top w:val="single" w:sz="4" w:space="0" w:color="auto"/>
              <w:left w:val="single" w:sz="4" w:space="0" w:color="auto"/>
              <w:right w:val="nil"/>
            </w:tcBorders>
            <w:noWrap/>
            <w:tcMar>
              <w:top w:w="15" w:type="dxa"/>
              <w:left w:w="15" w:type="dxa"/>
              <w:bottom w:w="0" w:type="dxa"/>
              <w:right w:w="15" w:type="dxa"/>
            </w:tcMar>
            <w:vAlign w:val="center"/>
          </w:tcPr>
          <w:p w:rsidR="00565FD5" w:rsidRPr="00BF3740" w:rsidRDefault="00565FD5" w:rsidP="00AB62A3">
            <w:pPr>
              <w:ind w:left="90"/>
              <w:rPr>
                <w:rFonts w:eastAsia="Arial Unicode MS" w:cs="Tahoma"/>
                <w:b/>
                <w:bCs/>
                <w:sz w:val="13"/>
                <w:szCs w:val="13"/>
              </w:rPr>
            </w:pPr>
          </w:p>
        </w:tc>
        <w:tc>
          <w:tcPr>
            <w:tcW w:w="2984" w:type="pct"/>
            <w:gridSpan w:val="5"/>
            <w:tcBorders>
              <w:top w:val="single" w:sz="4" w:space="0" w:color="auto"/>
              <w:left w:val="nil"/>
              <w:bottom w:val="single" w:sz="4" w:space="0" w:color="auto"/>
              <w:right w:val="single" w:sz="4" w:space="0" w:color="auto"/>
            </w:tcBorders>
            <w:noWrap/>
            <w:tcMar>
              <w:top w:w="15" w:type="dxa"/>
              <w:left w:w="540" w:type="dxa"/>
              <w:bottom w:w="0" w:type="dxa"/>
              <w:right w:w="15" w:type="dxa"/>
            </w:tcMar>
            <w:vAlign w:val="center"/>
          </w:tcPr>
          <w:p w:rsidR="00565FD5" w:rsidRPr="00BF3740" w:rsidRDefault="00565FD5" w:rsidP="00AB62A3">
            <w:pPr>
              <w:jc w:val="center"/>
              <w:rPr>
                <w:rFonts w:eastAsia="Arial Unicode MS" w:cs="Tahoma"/>
                <w:sz w:val="13"/>
                <w:szCs w:val="13"/>
              </w:rPr>
            </w:pPr>
            <w:r w:rsidRPr="00BF3740">
              <w:rPr>
                <w:rFonts w:cs="Tahoma"/>
                <w:b/>
                <w:bCs/>
                <w:sz w:val="13"/>
                <w:szCs w:val="13"/>
              </w:rPr>
              <w:t>(Cari Fiyatlarla, Milyon TL)</w:t>
            </w:r>
          </w:p>
        </w:tc>
      </w:tr>
      <w:tr w:rsidR="00565FD5" w:rsidRPr="00BF3740" w:rsidTr="00AB62A3">
        <w:trPr>
          <w:cantSplit/>
          <w:trHeight w:val="187"/>
        </w:trPr>
        <w:tc>
          <w:tcPr>
            <w:tcW w:w="2016" w:type="pct"/>
            <w:tcBorders>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rPr>
                <w:rFonts w:cs="Tahoma"/>
                <w:sz w:val="13"/>
                <w:szCs w:val="13"/>
              </w:rPr>
            </w:pPr>
            <w:r w:rsidRPr="00BF3740">
              <w:rPr>
                <w:rFonts w:cs="Tahoma"/>
                <w:sz w:val="13"/>
                <w:szCs w:val="13"/>
              </w:rPr>
              <w:t>Merkezi Yönetim Bütçesi Borçlanma Gereği</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52 761</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40 081</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17 783</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33 472</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33 893</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rPr>
                <w:rFonts w:cs="Tahoma"/>
                <w:sz w:val="13"/>
                <w:szCs w:val="13"/>
              </w:rPr>
            </w:pPr>
            <w:r w:rsidRPr="00BF3740">
              <w:rPr>
                <w:rFonts w:cs="Tahoma"/>
                <w:sz w:val="13"/>
                <w:szCs w:val="13"/>
              </w:rPr>
              <w:t>KİT Borçlanma Gereği</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-3 935</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-7 041</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-2 810</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2 002</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- 231</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firstLineChars="200" w:firstLine="260"/>
              <w:rPr>
                <w:rFonts w:cs="Tahoma"/>
                <w:sz w:val="13"/>
                <w:szCs w:val="13"/>
              </w:rPr>
            </w:pPr>
            <w:r w:rsidRPr="00BF3740">
              <w:rPr>
                <w:rFonts w:cs="Tahoma"/>
                <w:sz w:val="13"/>
                <w:szCs w:val="13"/>
              </w:rPr>
              <w:t>İşletmeci KİT Borçlanma Gereği</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-4 213</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-8 049</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-2 169</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 xml:space="preserve"> 890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-1 554</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firstLineChars="200" w:firstLine="260"/>
              <w:rPr>
                <w:rFonts w:cs="Tahoma"/>
                <w:sz w:val="13"/>
                <w:szCs w:val="13"/>
              </w:rPr>
            </w:pPr>
            <w:r w:rsidRPr="00BF3740">
              <w:rPr>
                <w:rFonts w:cs="Tahoma"/>
                <w:sz w:val="13"/>
                <w:szCs w:val="13"/>
              </w:rPr>
              <w:t>Özelleştirme Kapsamındaki Kuruluşlar Borçlanma Gereği</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 xml:space="preserve"> 279</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1 008</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- 641</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1 112</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1 324</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rPr>
                <w:rFonts w:cs="Tahoma"/>
                <w:sz w:val="13"/>
                <w:szCs w:val="13"/>
              </w:rPr>
            </w:pPr>
            <w:r w:rsidRPr="00BF3740">
              <w:rPr>
                <w:rFonts w:cs="Tahoma"/>
                <w:sz w:val="13"/>
                <w:szCs w:val="13"/>
              </w:rPr>
              <w:t>Mahalli İdareler Borçlanma Gereği</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4 036</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-1 021</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-2 525</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-1 069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1 231</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rPr>
                <w:rFonts w:cs="Tahoma"/>
                <w:sz w:val="13"/>
                <w:szCs w:val="13"/>
              </w:rPr>
            </w:pPr>
            <w:r w:rsidRPr="00BF3740">
              <w:rPr>
                <w:rFonts w:cs="Tahoma"/>
                <w:sz w:val="13"/>
                <w:szCs w:val="13"/>
              </w:rPr>
              <w:t>Döner Sermaye Borçlanma Gereği</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- 828</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-1 425</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-1 514</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- 359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- 190</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rPr>
                <w:rFonts w:cs="Tahoma"/>
                <w:sz w:val="13"/>
                <w:szCs w:val="13"/>
              </w:rPr>
            </w:pPr>
            <w:r w:rsidRPr="00BF3740">
              <w:rPr>
                <w:rFonts w:cs="Tahoma"/>
                <w:sz w:val="13"/>
                <w:szCs w:val="13"/>
              </w:rPr>
              <w:t>Sosyal Güvenlik Kuruluşları Borçlanma Gereği</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- 546</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- 346</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- 320</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 xml:space="preserve"> 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 xml:space="preserve"> 0</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rPr>
                <w:rFonts w:cs="Tahoma"/>
                <w:sz w:val="13"/>
                <w:szCs w:val="13"/>
              </w:rPr>
            </w:pPr>
            <w:r w:rsidRPr="00BF3740">
              <w:rPr>
                <w:rFonts w:cs="Tahoma"/>
                <w:sz w:val="13"/>
                <w:szCs w:val="13"/>
              </w:rPr>
              <w:t>İşsizlik Sigortası Fonu Borçlanma Gereği</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-3 743</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-3 844</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-7 582</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-7 980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-10 303</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rPr>
                <w:rFonts w:cs="Tahoma"/>
                <w:sz w:val="13"/>
                <w:szCs w:val="13"/>
              </w:rPr>
            </w:pPr>
            <w:r w:rsidRPr="00BF3740">
              <w:rPr>
                <w:rFonts w:cs="Tahoma"/>
                <w:sz w:val="13"/>
                <w:szCs w:val="13"/>
              </w:rPr>
              <w:t>Fonlar Borçlanma Gereği</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 xml:space="preserve"> 346</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- 456</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-1 241</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-1 235</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-1 010</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rPr>
                <w:rFonts w:cs="Tahoma"/>
                <w:b/>
                <w:bCs/>
                <w:sz w:val="13"/>
                <w:szCs w:val="13"/>
              </w:rPr>
            </w:pPr>
            <w:r w:rsidRPr="00BF3740">
              <w:rPr>
                <w:rFonts w:cs="Tahoma"/>
                <w:b/>
                <w:bCs/>
                <w:sz w:val="13"/>
                <w:szCs w:val="13"/>
              </w:rPr>
              <w:t>TOPLAM KKBG</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48 091</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25 949</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1 790</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24 831</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23 391</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rPr>
                <w:rFonts w:cs="Tahoma"/>
                <w:b/>
                <w:bCs/>
                <w:sz w:val="13"/>
                <w:szCs w:val="13"/>
              </w:rPr>
            </w:pPr>
            <w:r w:rsidRPr="00BF3740">
              <w:rPr>
                <w:rFonts w:cs="Tahoma"/>
                <w:b/>
                <w:bCs/>
                <w:sz w:val="13"/>
                <w:szCs w:val="13"/>
              </w:rPr>
              <w:t xml:space="preserve">Toplam KKBG (Faiz Giderleri Hariç) </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-7 268</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-24 381</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-42 460</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-26 105</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-31 705</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rPr>
                <w:rFonts w:cs="Tahoma"/>
                <w:b/>
                <w:bCs/>
                <w:sz w:val="13"/>
                <w:szCs w:val="13"/>
              </w:rPr>
            </w:pPr>
            <w:r w:rsidRPr="00BF3740">
              <w:rPr>
                <w:rFonts w:cs="Tahoma"/>
                <w:b/>
                <w:bCs/>
                <w:sz w:val="13"/>
                <w:szCs w:val="13"/>
              </w:rPr>
              <w:t xml:space="preserve">Toplam KKBG (Özelleştirme Gelirleri Hariç) </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52 462</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29 873</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5 908</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26 190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32 870</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rPr>
                <w:rFonts w:cs="Tahoma"/>
                <w:b/>
                <w:bCs/>
                <w:sz w:val="13"/>
                <w:szCs w:val="13"/>
              </w:rPr>
            </w:pPr>
            <w:r w:rsidRPr="00BF3740">
              <w:rPr>
                <w:rFonts w:cs="Tahoma"/>
                <w:b/>
                <w:bCs/>
                <w:sz w:val="13"/>
                <w:szCs w:val="13"/>
              </w:rPr>
              <w:t xml:space="preserve">Toplam KKBG (Faiz Giderleri ve Özelleştirme Gelirleri Hariç) </w:t>
            </w:r>
          </w:p>
        </w:tc>
        <w:tc>
          <w:tcPr>
            <w:tcW w:w="57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-2 898</w:t>
            </w:r>
          </w:p>
        </w:tc>
        <w:tc>
          <w:tcPr>
            <w:tcW w:w="5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-20 457</w:t>
            </w:r>
          </w:p>
        </w:tc>
        <w:tc>
          <w:tcPr>
            <w:tcW w:w="62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-38 343</w:t>
            </w:r>
          </w:p>
        </w:tc>
        <w:tc>
          <w:tcPr>
            <w:tcW w:w="62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-24 746</w:t>
            </w:r>
          </w:p>
        </w:tc>
        <w:tc>
          <w:tcPr>
            <w:tcW w:w="625"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-22 226</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90"/>
              <w:rPr>
                <w:rFonts w:cs="Tahoma"/>
                <w:sz w:val="13"/>
                <w:szCs w:val="13"/>
              </w:rPr>
            </w:pPr>
          </w:p>
        </w:tc>
        <w:tc>
          <w:tcPr>
            <w:tcW w:w="2984" w:type="pct"/>
            <w:gridSpan w:val="5"/>
            <w:tcBorders>
              <w:top w:val="nil"/>
              <w:left w:val="nil"/>
              <w:bottom w:val="single" w:sz="4" w:space="0" w:color="auto"/>
              <w:right w:val="single" w:sz="4" w:space="0" w:color="auto"/>
            </w:tcBorders>
            <w:tcMar>
              <w:top w:w="15" w:type="dxa"/>
              <w:left w:w="15" w:type="dxa"/>
              <w:bottom w:w="0" w:type="dxa"/>
              <w:right w:w="15" w:type="dxa"/>
            </w:tcMar>
            <w:vAlign w:val="center"/>
          </w:tcPr>
          <w:p w:rsidR="00565FD5" w:rsidRPr="00BF3740" w:rsidRDefault="00565FD5" w:rsidP="00AB62A3">
            <w:pPr>
              <w:ind w:right="57"/>
              <w:jc w:val="center"/>
              <w:rPr>
                <w:rFonts w:cs="Tahoma"/>
                <w:b/>
                <w:bCs/>
                <w:sz w:val="13"/>
                <w:szCs w:val="13"/>
              </w:rPr>
            </w:pPr>
            <w:r w:rsidRPr="00BF3740">
              <w:rPr>
                <w:rFonts w:cs="Tahoma"/>
                <w:b/>
                <w:bCs/>
                <w:sz w:val="13"/>
                <w:szCs w:val="13"/>
              </w:rPr>
              <w:t xml:space="preserve">            (GSYH’ya Oran, Yüzde)</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rPr>
                <w:rFonts w:cs="Tahoma"/>
                <w:sz w:val="13"/>
                <w:szCs w:val="13"/>
              </w:rPr>
            </w:pPr>
            <w:r w:rsidRPr="00BF3740">
              <w:rPr>
                <w:rFonts w:cs="Tahoma"/>
                <w:sz w:val="13"/>
                <w:szCs w:val="13"/>
              </w:rPr>
              <w:t>Merkezi Yönetim Bütçesi Borçlanma Gereği</w:t>
            </w:r>
          </w:p>
        </w:tc>
        <w:tc>
          <w:tcPr>
            <w:tcW w:w="575"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5,54</w:t>
            </w:r>
          </w:p>
        </w:tc>
        <w:tc>
          <w:tcPr>
            <w:tcW w:w="534"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3,65</w:t>
            </w:r>
          </w:p>
        </w:tc>
        <w:tc>
          <w:tcPr>
            <w:tcW w:w="625"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1,37</w:t>
            </w:r>
          </w:p>
        </w:tc>
        <w:tc>
          <w:tcPr>
            <w:tcW w:w="625"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2,33</w:t>
            </w:r>
          </w:p>
        </w:tc>
        <w:tc>
          <w:tcPr>
            <w:tcW w:w="625" w:type="pct"/>
            <w:tcBorders>
              <w:top w:val="single" w:sz="4" w:space="0" w:color="auto"/>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2,16</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rPr>
                <w:rFonts w:cs="Tahoma"/>
                <w:sz w:val="13"/>
                <w:szCs w:val="13"/>
              </w:rPr>
            </w:pPr>
            <w:r w:rsidRPr="00BF3740">
              <w:rPr>
                <w:rFonts w:cs="Tahoma"/>
                <w:sz w:val="13"/>
                <w:szCs w:val="13"/>
              </w:rPr>
              <w:lastRenderedPageBreak/>
              <w:t>KİT Borçlanma Gereği</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-0,41</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-0,64</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-0,22</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0,14</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-0,01</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firstLineChars="200" w:firstLine="260"/>
              <w:rPr>
                <w:rFonts w:cs="Tahoma"/>
                <w:sz w:val="13"/>
                <w:szCs w:val="13"/>
              </w:rPr>
            </w:pPr>
            <w:r w:rsidRPr="00BF3740">
              <w:rPr>
                <w:rFonts w:cs="Tahoma"/>
                <w:sz w:val="13"/>
                <w:szCs w:val="13"/>
              </w:rPr>
              <w:t>İşletmeci KİT Borçlanma Gereği</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-0,44</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-0,73</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-0,17</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0,06</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-0,10</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firstLineChars="200" w:firstLine="260"/>
              <w:rPr>
                <w:rFonts w:cs="Tahoma"/>
                <w:sz w:val="13"/>
                <w:szCs w:val="13"/>
              </w:rPr>
            </w:pPr>
            <w:r w:rsidRPr="00BF3740">
              <w:rPr>
                <w:rFonts w:cs="Tahoma"/>
                <w:sz w:val="13"/>
                <w:szCs w:val="13"/>
              </w:rPr>
              <w:t>Özelleştirme Kapsamındaki Kuruluşlar Borçlanma Gereği</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0,03</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0,09</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-0,05</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0,08</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0,08</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rPr>
                <w:rFonts w:cs="Tahoma"/>
                <w:sz w:val="13"/>
                <w:szCs w:val="13"/>
              </w:rPr>
            </w:pPr>
            <w:r w:rsidRPr="00BF3740">
              <w:rPr>
                <w:rFonts w:cs="Tahoma"/>
                <w:sz w:val="13"/>
                <w:szCs w:val="13"/>
              </w:rPr>
              <w:t>Mahalli İdareler Borçlanma Gereği</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0,42</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-0,09</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-0,19</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-0,07</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0,08</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rPr>
                <w:rFonts w:cs="Tahoma"/>
                <w:sz w:val="13"/>
                <w:szCs w:val="13"/>
              </w:rPr>
            </w:pPr>
            <w:r w:rsidRPr="00BF3740">
              <w:rPr>
                <w:rFonts w:cs="Tahoma"/>
                <w:sz w:val="13"/>
                <w:szCs w:val="13"/>
              </w:rPr>
              <w:t>Döner Sermaye Borçlanma Gereği</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-0,09</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-0,13</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-0,12</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-0,01</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rPr>
                <w:rFonts w:cs="Tahoma"/>
                <w:sz w:val="13"/>
                <w:szCs w:val="13"/>
              </w:rPr>
            </w:pPr>
            <w:r w:rsidRPr="00BF3740">
              <w:rPr>
                <w:rFonts w:cs="Tahoma"/>
                <w:sz w:val="13"/>
                <w:szCs w:val="13"/>
              </w:rPr>
              <w:t>Sosyal Güvenlik Kuruluşları Borçlanma Gereği</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-0,06</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-0,03</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-0,02</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0,00</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rPr>
                <w:rFonts w:cs="Tahoma"/>
                <w:sz w:val="13"/>
                <w:szCs w:val="13"/>
              </w:rPr>
            </w:pPr>
            <w:r w:rsidRPr="00BF3740">
              <w:rPr>
                <w:rFonts w:cs="Tahoma"/>
                <w:sz w:val="13"/>
                <w:szCs w:val="13"/>
              </w:rPr>
              <w:t>İşsizlik Sigortası Fonu Borçlanma Gereği</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-0,39</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-0,35</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-0,58</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-0,56</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-0,66</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rPr>
                <w:rFonts w:cs="Tahoma"/>
                <w:sz w:val="13"/>
                <w:szCs w:val="13"/>
              </w:rPr>
            </w:pPr>
            <w:r w:rsidRPr="00BF3740">
              <w:rPr>
                <w:rFonts w:cs="Tahoma"/>
                <w:sz w:val="13"/>
                <w:szCs w:val="13"/>
              </w:rPr>
              <w:t>Fonlar Borçlanma Gereği</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0,04</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-0,04</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-0,10</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sz w:val="13"/>
                <w:szCs w:val="13"/>
              </w:rPr>
            </w:pPr>
            <w:r w:rsidRPr="00BF3740">
              <w:rPr>
                <w:rFonts w:cs="Tahoma"/>
                <w:sz w:val="13"/>
                <w:szCs w:val="13"/>
              </w:rPr>
              <w:t>-0,06</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rPr>
                <w:rFonts w:cs="Tahoma"/>
                <w:b/>
                <w:bCs/>
                <w:sz w:val="13"/>
                <w:szCs w:val="13"/>
              </w:rPr>
            </w:pPr>
            <w:r w:rsidRPr="00BF3740">
              <w:rPr>
                <w:rFonts w:cs="Tahoma"/>
                <w:b/>
                <w:bCs/>
                <w:sz w:val="13"/>
                <w:szCs w:val="13"/>
              </w:rPr>
              <w:t>TOPLAM KKBG</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5,05</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2,36</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0,14</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1,73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1,49</w:t>
            </w:r>
          </w:p>
        </w:tc>
      </w:tr>
      <w:tr w:rsidR="00565FD5" w:rsidRPr="00BF3740" w:rsidTr="00AB62A3">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90"/>
              <w:rPr>
                <w:rFonts w:cs="Tahoma"/>
                <w:b/>
                <w:bCs/>
                <w:sz w:val="13"/>
                <w:szCs w:val="13"/>
              </w:rPr>
            </w:pPr>
            <w:r w:rsidRPr="00BF3740">
              <w:rPr>
                <w:rFonts w:cs="Tahoma"/>
                <w:b/>
                <w:bCs/>
                <w:sz w:val="13"/>
                <w:szCs w:val="13"/>
              </w:rPr>
              <w:t xml:space="preserve">Toplam KKBG (Faiz Giderleri Hariç) </w:t>
            </w:r>
          </w:p>
        </w:tc>
        <w:tc>
          <w:tcPr>
            <w:tcW w:w="57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-0,76</w:t>
            </w:r>
          </w:p>
        </w:tc>
        <w:tc>
          <w:tcPr>
            <w:tcW w:w="534"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-2,22</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-3,27</w:t>
            </w:r>
          </w:p>
        </w:tc>
        <w:tc>
          <w:tcPr>
            <w:tcW w:w="625"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-1,82</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-2,02</w:t>
            </w:r>
          </w:p>
        </w:tc>
      </w:tr>
      <w:tr w:rsidR="00565FD5" w:rsidRPr="00BF3740" w:rsidTr="00AB62A3">
        <w:trPr>
          <w:cantSplit/>
          <w:trHeight w:val="187"/>
        </w:trPr>
        <w:tc>
          <w:tcPr>
            <w:tcW w:w="2016" w:type="pct"/>
            <w:tcBorders>
              <w:top w:val="nil"/>
              <w:left w:val="single" w:sz="4" w:space="0" w:color="auto"/>
              <w:right w:val="nil"/>
            </w:tcBorders>
            <w:tcMar>
              <w:top w:w="15" w:type="dxa"/>
              <w:left w:w="15" w:type="dxa"/>
              <w:bottom w:w="0" w:type="dxa"/>
              <w:right w:w="15" w:type="dxa"/>
            </w:tcMar>
            <w:vAlign w:val="bottom"/>
          </w:tcPr>
          <w:p w:rsidR="00565FD5" w:rsidRPr="00BF3740" w:rsidRDefault="00565FD5" w:rsidP="00AB62A3">
            <w:pPr>
              <w:ind w:left="90"/>
              <w:rPr>
                <w:rFonts w:cs="Tahoma"/>
                <w:b/>
                <w:bCs/>
                <w:sz w:val="13"/>
                <w:szCs w:val="13"/>
              </w:rPr>
            </w:pPr>
            <w:r w:rsidRPr="00BF3740">
              <w:rPr>
                <w:rFonts w:cs="Tahoma"/>
                <w:b/>
                <w:bCs/>
                <w:sz w:val="13"/>
                <w:szCs w:val="13"/>
              </w:rPr>
              <w:t xml:space="preserve">Toplam KKBG (Özelleştirme Gelirleri Hariç) </w:t>
            </w:r>
          </w:p>
        </w:tc>
        <w:tc>
          <w:tcPr>
            <w:tcW w:w="575"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5,51</w:t>
            </w:r>
          </w:p>
        </w:tc>
        <w:tc>
          <w:tcPr>
            <w:tcW w:w="534"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2,72</w:t>
            </w:r>
          </w:p>
        </w:tc>
        <w:tc>
          <w:tcPr>
            <w:tcW w:w="625"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0,46</w:t>
            </w:r>
          </w:p>
        </w:tc>
        <w:tc>
          <w:tcPr>
            <w:tcW w:w="625"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1,83</w:t>
            </w:r>
          </w:p>
        </w:tc>
        <w:tc>
          <w:tcPr>
            <w:tcW w:w="625" w:type="pct"/>
            <w:tcBorders>
              <w:top w:val="nil"/>
              <w:left w:val="nil"/>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2,09</w:t>
            </w:r>
          </w:p>
        </w:tc>
      </w:tr>
      <w:tr w:rsidR="00565FD5" w:rsidRPr="00BF3740" w:rsidTr="00AB62A3">
        <w:trPr>
          <w:cantSplit/>
          <w:trHeight w:val="187"/>
        </w:trPr>
        <w:tc>
          <w:tcPr>
            <w:tcW w:w="2016" w:type="pct"/>
            <w:tcBorders>
              <w:top w:val="nil"/>
              <w:left w:val="single" w:sz="4" w:space="0" w:color="auto"/>
              <w:bottom w:val="single" w:sz="4" w:space="0" w:color="auto"/>
              <w:right w:val="nil"/>
            </w:tcBorders>
            <w:tcMar>
              <w:top w:w="15" w:type="dxa"/>
              <w:left w:w="15" w:type="dxa"/>
              <w:bottom w:w="0" w:type="dxa"/>
              <w:right w:w="15" w:type="dxa"/>
            </w:tcMar>
            <w:vAlign w:val="bottom"/>
          </w:tcPr>
          <w:p w:rsidR="00565FD5" w:rsidRPr="00BF3740" w:rsidRDefault="00565FD5" w:rsidP="00AB62A3">
            <w:pPr>
              <w:ind w:left="90"/>
              <w:rPr>
                <w:rFonts w:cs="Tahoma"/>
                <w:b/>
                <w:bCs/>
                <w:sz w:val="13"/>
                <w:szCs w:val="13"/>
              </w:rPr>
            </w:pPr>
            <w:r w:rsidRPr="00BF3740">
              <w:rPr>
                <w:rFonts w:cs="Tahoma"/>
                <w:b/>
                <w:bCs/>
                <w:sz w:val="13"/>
                <w:szCs w:val="13"/>
              </w:rPr>
              <w:t xml:space="preserve">Toplam KKBG (Faiz Giderleri ve Özelleştirme Gelirleri Hariç) </w:t>
            </w:r>
          </w:p>
        </w:tc>
        <w:tc>
          <w:tcPr>
            <w:tcW w:w="575"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-0,30</w:t>
            </w:r>
          </w:p>
        </w:tc>
        <w:tc>
          <w:tcPr>
            <w:tcW w:w="534"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-1,86</w:t>
            </w:r>
          </w:p>
        </w:tc>
        <w:tc>
          <w:tcPr>
            <w:tcW w:w="625"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-2,95</w:t>
            </w:r>
          </w:p>
        </w:tc>
        <w:tc>
          <w:tcPr>
            <w:tcW w:w="625"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-1,72</w:t>
            </w:r>
          </w:p>
        </w:tc>
        <w:tc>
          <w:tcPr>
            <w:tcW w:w="625" w:type="pct"/>
            <w:tcBorders>
              <w:top w:val="nil"/>
              <w:left w:val="nil"/>
              <w:bottom w:val="single" w:sz="4" w:space="0" w:color="auto"/>
              <w:right w:val="single" w:sz="4" w:space="0" w:color="auto"/>
            </w:tcBorders>
            <w:tcMar>
              <w:top w:w="15" w:type="dxa"/>
              <w:left w:w="15" w:type="dxa"/>
              <w:bottom w:w="0" w:type="dxa"/>
              <w:right w:w="15" w:type="dxa"/>
            </w:tcMar>
            <w:vAlign w:val="bottom"/>
          </w:tcPr>
          <w:p w:rsidR="00565FD5" w:rsidRPr="00BF3740" w:rsidRDefault="00565FD5" w:rsidP="00AB62A3">
            <w:pPr>
              <w:jc w:val="right"/>
              <w:rPr>
                <w:rFonts w:cs="Tahoma"/>
                <w:b/>
                <w:bCs/>
                <w:sz w:val="13"/>
                <w:szCs w:val="13"/>
              </w:rPr>
            </w:pPr>
            <w:r w:rsidRPr="00BF3740">
              <w:rPr>
                <w:rFonts w:cs="Tahoma"/>
                <w:b/>
                <w:bCs/>
                <w:sz w:val="13"/>
                <w:szCs w:val="13"/>
              </w:rPr>
              <w:t>-1,41</w:t>
            </w:r>
          </w:p>
        </w:tc>
      </w:tr>
    </w:tbl>
    <w:p w:rsidR="00565FD5" w:rsidRPr="00BF3740" w:rsidRDefault="00565FD5" w:rsidP="00565FD5">
      <w:pPr>
        <w:rPr>
          <w:rFonts w:cs="Tahoma"/>
          <w:sz w:val="14"/>
          <w:szCs w:val="14"/>
        </w:rPr>
      </w:pPr>
      <w:r w:rsidRPr="00BF3740">
        <w:rPr>
          <w:rFonts w:cs="Tahoma"/>
          <w:sz w:val="14"/>
          <w:szCs w:val="14"/>
        </w:rPr>
        <w:t>Kaynak: Kalkınma Bakanlığı</w:t>
      </w:r>
    </w:p>
    <w:p w:rsidR="00565FD5" w:rsidRPr="00BF3740" w:rsidRDefault="00565FD5" w:rsidP="00565FD5">
      <w:pPr>
        <w:rPr>
          <w:rFonts w:eastAsia="Arial Unicode MS" w:cs="Tahoma"/>
          <w:sz w:val="14"/>
          <w:szCs w:val="14"/>
        </w:rPr>
      </w:pPr>
      <w:r w:rsidRPr="00BF3740">
        <w:rPr>
          <w:rFonts w:eastAsia="Arial Unicode MS" w:cs="Tahoma"/>
          <w:sz w:val="14"/>
          <w:szCs w:val="14"/>
        </w:rPr>
        <w:t>Not: Negatif işaret fazlayı göstermektedir.</w:t>
      </w:r>
    </w:p>
    <w:p w:rsidR="00565FD5" w:rsidRPr="00BF3740" w:rsidRDefault="00565FD5" w:rsidP="00565FD5">
      <w:pPr>
        <w:rPr>
          <w:rFonts w:cs="Tahoma"/>
          <w:sz w:val="14"/>
          <w:szCs w:val="14"/>
        </w:rPr>
      </w:pPr>
      <w:r w:rsidRPr="00BF3740">
        <w:rPr>
          <w:rFonts w:cs="Tahoma"/>
          <w:sz w:val="14"/>
          <w:szCs w:val="14"/>
        </w:rPr>
        <w:t xml:space="preserve">(1) Gerçekleşme tahmini </w:t>
      </w:r>
    </w:p>
    <w:p w:rsidR="00565FD5" w:rsidRPr="00BF3740" w:rsidRDefault="00565FD5" w:rsidP="00565FD5">
      <w:pPr>
        <w:rPr>
          <w:rFonts w:cs="Tahoma"/>
          <w:sz w:val="14"/>
          <w:szCs w:val="14"/>
        </w:rPr>
      </w:pPr>
      <w:r w:rsidRPr="00BF3740">
        <w:rPr>
          <w:rFonts w:cs="Tahoma"/>
          <w:sz w:val="14"/>
          <w:szCs w:val="14"/>
        </w:rPr>
        <w:t>(2) Program</w:t>
      </w:r>
    </w:p>
    <w:p w:rsidR="00565FD5" w:rsidRPr="00FF6818" w:rsidRDefault="00565FD5" w:rsidP="00565FD5">
      <w:pPr>
        <w:pStyle w:val="ResimYazs"/>
      </w:pPr>
      <w:r w:rsidRPr="00BF3740">
        <w:rPr>
          <w:b w:val="0"/>
        </w:rPr>
        <w:br w:type="page"/>
      </w:r>
      <w:bookmarkStart w:id="896" w:name="_Toc338605981"/>
      <w:bookmarkStart w:id="897" w:name="_Toc338711756"/>
      <w:bookmarkStart w:id="898" w:name="_Toc181241020"/>
      <w:bookmarkStart w:id="899" w:name="_Toc181274122"/>
      <w:bookmarkStart w:id="900" w:name="_Toc181286401"/>
      <w:bookmarkEnd w:id="887"/>
      <w:bookmarkEnd w:id="888"/>
      <w:bookmarkEnd w:id="889"/>
      <w:bookmarkEnd w:id="890"/>
      <w:bookmarkEnd w:id="891"/>
      <w:bookmarkEnd w:id="892"/>
      <w:r>
        <w:lastRenderedPageBreak/>
        <w:t xml:space="preserve">TABLO III: </w:t>
      </w:r>
      <w:fldSimple w:instr=" SEQ TABLO_III: \* ARABIC ">
        <w:r>
          <w:rPr>
            <w:noProof/>
          </w:rPr>
          <w:t>3</w:t>
        </w:r>
      </w:fldSimple>
      <w:r w:rsidRPr="00FF6818">
        <w:t>- 2010 Yılı Kamu Kesimi Genel Dengesi</w:t>
      </w:r>
      <w:bookmarkEnd w:id="896"/>
      <w:bookmarkEnd w:id="897"/>
    </w:p>
    <w:p w:rsidR="00565FD5" w:rsidRPr="00BF3740" w:rsidRDefault="00565FD5" w:rsidP="00565FD5">
      <w:pPr>
        <w:ind w:right="-36"/>
        <w:jc w:val="right"/>
        <w:rPr>
          <w:sz w:val="16"/>
          <w:szCs w:val="16"/>
        </w:rPr>
      </w:pPr>
      <w:r w:rsidRPr="00BF3740">
        <w:rPr>
          <w:sz w:val="16"/>
          <w:szCs w:val="16"/>
        </w:rPr>
        <w:t>(Cari Fiyatlarla, Milyon TL)</w:t>
      </w:r>
    </w:p>
    <w:tbl>
      <w:tblPr>
        <w:tblW w:w="5000" w:type="pct"/>
        <w:tblCellMar>
          <w:left w:w="0" w:type="dxa"/>
          <w:right w:w="0" w:type="dxa"/>
        </w:tblCellMar>
        <w:tblLook w:val="0000"/>
      </w:tblPr>
      <w:tblGrid>
        <w:gridCol w:w="2632"/>
        <w:gridCol w:w="812"/>
        <w:gridCol w:w="805"/>
        <w:gridCol w:w="721"/>
        <w:gridCol w:w="721"/>
        <w:gridCol w:w="735"/>
        <w:gridCol w:w="708"/>
        <w:gridCol w:w="833"/>
        <w:gridCol w:w="732"/>
        <w:gridCol w:w="715"/>
        <w:gridCol w:w="719"/>
        <w:gridCol w:w="831"/>
      </w:tblGrid>
      <w:tr w:rsidR="00565FD5" w:rsidRPr="00BF3740" w:rsidTr="00AB62A3">
        <w:trPr>
          <w:trHeight w:val="198"/>
        </w:trPr>
        <w:tc>
          <w:tcPr>
            <w:tcW w:w="1200" w:type="pct"/>
            <w:tcBorders>
              <w:top w:val="single" w:sz="4" w:space="0" w:color="auto"/>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rPr>
                <w:rFonts w:eastAsia="Arial Unicode MS" w:cs="Tahoma"/>
                <w:sz w:val="15"/>
                <w:szCs w:val="15"/>
              </w:rPr>
            </w:pPr>
            <w:r w:rsidRPr="00BF3740">
              <w:rPr>
                <w:rFonts w:cs="Tahoma"/>
                <w:sz w:val="15"/>
                <w:szCs w:val="15"/>
              </w:rPr>
              <w:t> </w:t>
            </w:r>
          </w:p>
        </w:tc>
        <w:tc>
          <w:tcPr>
            <w:tcW w:w="370"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sz w:val="15"/>
                <w:szCs w:val="15"/>
              </w:rPr>
            </w:pPr>
            <w:r w:rsidRPr="00BF3740">
              <w:rPr>
                <w:rFonts w:cs="Tahoma"/>
                <w:sz w:val="15"/>
                <w:szCs w:val="15"/>
              </w:rPr>
              <w:t> </w:t>
            </w:r>
          </w:p>
        </w:tc>
        <w:tc>
          <w:tcPr>
            <w:tcW w:w="367"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sz w:val="15"/>
                <w:szCs w:val="15"/>
              </w:rPr>
            </w:pPr>
            <w:r w:rsidRPr="00BF3740">
              <w:rPr>
                <w:rFonts w:cs="Tahoma"/>
                <w:sz w:val="15"/>
                <w:szCs w:val="15"/>
              </w:rPr>
              <w:t> </w:t>
            </w:r>
          </w:p>
        </w:tc>
        <w:tc>
          <w:tcPr>
            <w:tcW w:w="329"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sz w:val="15"/>
                <w:szCs w:val="15"/>
              </w:rPr>
            </w:pPr>
            <w:r w:rsidRPr="00BF3740">
              <w:rPr>
                <w:rFonts w:cs="Tahoma"/>
                <w:sz w:val="15"/>
                <w:szCs w:val="15"/>
              </w:rPr>
              <w:t> </w:t>
            </w:r>
          </w:p>
        </w:tc>
        <w:tc>
          <w:tcPr>
            <w:tcW w:w="329" w:type="pct"/>
            <w:tcBorders>
              <w:top w:val="single" w:sz="4" w:space="0" w:color="auto"/>
              <w:left w:val="nil"/>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p>
        </w:tc>
        <w:tc>
          <w:tcPr>
            <w:tcW w:w="335" w:type="pct"/>
            <w:tcBorders>
              <w:top w:val="single" w:sz="4" w:space="0" w:color="auto"/>
              <w:lef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sz w:val="15"/>
                <w:szCs w:val="15"/>
              </w:rPr>
            </w:pPr>
          </w:p>
        </w:tc>
        <w:tc>
          <w:tcPr>
            <w:tcW w:w="323" w:type="pct"/>
            <w:tcBorders>
              <w:top w:val="single" w:sz="4" w:space="0" w:color="auto"/>
              <w:left w:val="nil"/>
            </w:tcBorders>
            <w:vAlign w:val="bottom"/>
          </w:tcPr>
          <w:p w:rsidR="00565FD5" w:rsidRPr="00BF3740" w:rsidRDefault="00565FD5" w:rsidP="00AB62A3">
            <w:pPr>
              <w:jc w:val="center"/>
              <w:rPr>
                <w:rFonts w:eastAsia="Arial Unicode MS" w:cs="Tahoma"/>
                <w:sz w:val="15"/>
                <w:szCs w:val="15"/>
              </w:rPr>
            </w:pPr>
          </w:p>
        </w:tc>
        <w:tc>
          <w:tcPr>
            <w:tcW w:w="380" w:type="pct"/>
            <w:tcBorders>
              <w:top w:val="single" w:sz="4" w:space="0" w:color="auto"/>
              <w:left w:val="nil"/>
            </w:tcBorders>
            <w:vAlign w:val="bottom"/>
          </w:tcPr>
          <w:p w:rsidR="00565FD5" w:rsidRPr="00BF3740" w:rsidRDefault="00565FD5" w:rsidP="00AB62A3">
            <w:pPr>
              <w:jc w:val="center"/>
              <w:rPr>
                <w:rFonts w:eastAsia="Arial Unicode MS" w:cs="Tahoma"/>
                <w:sz w:val="15"/>
                <w:szCs w:val="15"/>
              </w:rPr>
            </w:pPr>
          </w:p>
        </w:tc>
        <w:tc>
          <w:tcPr>
            <w:tcW w:w="988" w:type="pct"/>
            <w:gridSpan w:val="3"/>
            <w:tcBorders>
              <w:top w:val="single" w:sz="4" w:space="0" w:color="auto"/>
            </w:tcBorders>
            <w:vAlign w:val="bottom"/>
          </w:tcPr>
          <w:p w:rsidR="00565FD5" w:rsidRPr="00BF3740" w:rsidRDefault="00565FD5" w:rsidP="00AB62A3">
            <w:pPr>
              <w:jc w:val="center"/>
              <w:rPr>
                <w:rFonts w:eastAsia="Arial Unicode MS" w:cs="Tahoma"/>
                <w:sz w:val="15"/>
                <w:szCs w:val="15"/>
              </w:rPr>
            </w:pPr>
            <w:r w:rsidRPr="00BF3740">
              <w:rPr>
                <w:rFonts w:cs="Tahoma"/>
                <w:b/>
                <w:bCs/>
                <w:sz w:val="15"/>
                <w:szCs w:val="15"/>
              </w:rPr>
              <w:t>KİT</w:t>
            </w:r>
          </w:p>
        </w:tc>
        <w:tc>
          <w:tcPr>
            <w:tcW w:w="379" w:type="pct"/>
            <w:tcBorders>
              <w:top w:val="single" w:sz="4" w:space="0" w:color="auto"/>
              <w:left w:val="nil"/>
              <w:right w:val="single" w:sz="4" w:space="0" w:color="auto"/>
            </w:tcBorders>
            <w:vAlign w:val="bottom"/>
          </w:tcPr>
          <w:p w:rsidR="00565FD5" w:rsidRPr="00BF3740" w:rsidRDefault="00565FD5" w:rsidP="00AB62A3">
            <w:pPr>
              <w:jc w:val="center"/>
              <w:rPr>
                <w:rFonts w:eastAsia="Arial Unicode MS" w:cs="Tahoma"/>
                <w:sz w:val="15"/>
                <w:szCs w:val="15"/>
              </w:rPr>
            </w:pPr>
          </w:p>
        </w:tc>
      </w:tr>
      <w:tr w:rsidR="00565FD5" w:rsidRPr="00BF3740" w:rsidTr="00AB62A3">
        <w:trPr>
          <w:trHeight w:hRule="exact" w:val="567"/>
        </w:trPr>
        <w:tc>
          <w:tcPr>
            <w:tcW w:w="1200" w:type="pct"/>
            <w:tcBorders>
              <w:top w:val="nil"/>
              <w:left w:val="single" w:sz="4" w:space="0" w:color="auto"/>
              <w:bottom w:val="single" w:sz="4" w:space="0" w:color="auto"/>
              <w:right w:val="nil"/>
            </w:tcBorders>
            <w:tcMar>
              <w:top w:w="15" w:type="dxa"/>
              <w:left w:w="15" w:type="dxa"/>
              <w:bottom w:w="0" w:type="dxa"/>
              <w:right w:w="15" w:type="dxa"/>
            </w:tcMar>
            <w:vAlign w:val="bottom"/>
          </w:tcPr>
          <w:p w:rsidR="00565FD5" w:rsidRPr="00BF3740" w:rsidRDefault="00565FD5" w:rsidP="00AB62A3">
            <w:pPr>
              <w:rPr>
                <w:rFonts w:eastAsia="Arial Unicode MS" w:cs="Tahoma"/>
                <w:sz w:val="15"/>
                <w:szCs w:val="15"/>
              </w:rPr>
            </w:pPr>
            <w:r w:rsidRPr="00BF3740">
              <w:rPr>
                <w:rFonts w:cs="Tahoma"/>
                <w:sz w:val="15"/>
                <w:szCs w:val="15"/>
              </w:rPr>
              <w:t> </w:t>
            </w:r>
          </w:p>
          <w:p w:rsidR="00565FD5" w:rsidRPr="00BF3740" w:rsidRDefault="00565FD5" w:rsidP="00AB62A3">
            <w:pPr>
              <w:rPr>
                <w:rFonts w:eastAsia="Arial Unicode MS" w:cs="Tahoma"/>
                <w:sz w:val="15"/>
                <w:szCs w:val="15"/>
              </w:rPr>
            </w:pPr>
            <w:r w:rsidRPr="00BF3740">
              <w:rPr>
                <w:rFonts w:cs="Tahoma"/>
                <w:sz w:val="15"/>
                <w:szCs w:val="15"/>
              </w:rPr>
              <w:t> </w:t>
            </w:r>
          </w:p>
        </w:tc>
        <w:tc>
          <w:tcPr>
            <w:tcW w:w="370"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cs="Tahoma"/>
                <w:b/>
                <w:bCs/>
                <w:sz w:val="15"/>
                <w:szCs w:val="15"/>
              </w:rPr>
              <w:t>Merkezi Yönetim Bütçesi</w:t>
            </w:r>
          </w:p>
        </w:tc>
        <w:tc>
          <w:tcPr>
            <w:tcW w:w="367"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cs="Tahoma"/>
                <w:b/>
                <w:bCs/>
                <w:sz w:val="15"/>
                <w:szCs w:val="15"/>
              </w:rPr>
              <w:t>Mahalli</w:t>
            </w:r>
          </w:p>
          <w:p w:rsidR="00565FD5" w:rsidRPr="00BF3740" w:rsidRDefault="00565FD5" w:rsidP="00AB62A3">
            <w:pPr>
              <w:jc w:val="center"/>
              <w:rPr>
                <w:rFonts w:eastAsia="Arial Unicode MS" w:cs="Tahoma"/>
                <w:b/>
                <w:bCs/>
                <w:sz w:val="15"/>
                <w:szCs w:val="15"/>
              </w:rPr>
            </w:pPr>
            <w:r w:rsidRPr="00BF3740">
              <w:rPr>
                <w:rFonts w:cs="Tahoma"/>
                <w:b/>
                <w:bCs/>
                <w:sz w:val="15"/>
                <w:szCs w:val="15"/>
              </w:rPr>
              <w:t>İdareler</w:t>
            </w:r>
          </w:p>
        </w:tc>
        <w:tc>
          <w:tcPr>
            <w:tcW w:w="329"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eastAsia="Arial Unicode MS" w:cs="Tahoma"/>
                <w:b/>
                <w:bCs/>
                <w:sz w:val="15"/>
                <w:szCs w:val="15"/>
              </w:rPr>
              <w:t>Fonlar</w:t>
            </w:r>
          </w:p>
        </w:tc>
        <w:tc>
          <w:tcPr>
            <w:tcW w:w="329" w:type="pct"/>
            <w:tcBorders>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eastAsia="Arial Unicode MS" w:cs="Tahoma"/>
                <w:b/>
                <w:bCs/>
                <w:sz w:val="15"/>
                <w:szCs w:val="15"/>
              </w:rPr>
              <w:t>İşsizlik Sigortası</w:t>
            </w:r>
          </w:p>
        </w:tc>
        <w:tc>
          <w:tcPr>
            <w:tcW w:w="335"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sz w:val="15"/>
                <w:szCs w:val="15"/>
              </w:rPr>
            </w:pPr>
            <w:r w:rsidRPr="00BF3740">
              <w:rPr>
                <w:rFonts w:cs="Tahoma"/>
                <w:b/>
                <w:bCs/>
                <w:sz w:val="15"/>
                <w:szCs w:val="15"/>
              </w:rPr>
              <w:t>Sosyal Güvenlik</w:t>
            </w:r>
          </w:p>
        </w:tc>
        <w:tc>
          <w:tcPr>
            <w:tcW w:w="323"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cs="Tahoma"/>
                <w:b/>
                <w:bCs/>
                <w:sz w:val="15"/>
                <w:szCs w:val="15"/>
              </w:rPr>
              <w:t>Döner Sermaye</w:t>
            </w:r>
          </w:p>
        </w:tc>
        <w:tc>
          <w:tcPr>
            <w:tcW w:w="380"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cs="Tahoma"/>
                <w:b/>
                <w:bCs/>
                <w:sz w:val="15"/>
                <w:szCs w:val="15"/>
              </w:rPr>
            </w:pPr>
            <w:r w:rsidRPr="00BF3740">
              <w:rPr>
                <w:rFonts w:cs="Tahoma"/>
                <w:b/>
                <w:bCs/>
                <w:sz w:val="15"/>
                <w:szCs w:val="15"/>
              </w:rPr>
              <w:t>GENEL</w:t>
            </w:r>
          </w:p>
          <w:p w:rsidR="00565FD5" w:rsidRPr="00BF3740" w:rsidRDefault="00565FD5" w:rsidP="00AB62A3">
            <w:pPr>
              <w:jc w:val="center"/>
              <w:rPr>
                <w:rFonts w:eastAsia="Arial Unicode MS" w:cs="Tahoma"/>
                <w:b/>
                <w:bCs/>
                <w:sz w:val="15"/>
                <w:szCs w:val="15"/>
              </w:rPr>
            </w:pPr>
            <w:r w:rsidRPr="00BF3740">
              <w:rPr>
                <w:rFonts w:cs="Tahoma"/>
                <w:b/>
                <w:bCs/>
                <w:sz w:val="15"/>
                <w:szCs w:val="15"/>
              </w:rPr>
              <w:t>DEVLET     TOPLAMI</w:t>
            </w:r>
          </w:p>
        </w:tc>
        <w:tc>
          <w:tcPr>
            <w:tcW w:w="334" w:type="pct"/>
            <w:tcBorders>
              <w:top w:val="single" w:sz="4" w:space="0" w:color="auto"/>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sz w:val="15"/>
                <w:szCs w:val="15"/>
              </w:rPr>
            </w:pPr>
            <w:r w:rsidRPr="00BF3740">
              <w:rPr>
                <w:rFonts w:cs="Tahoma"/>
                <w:b/>
                <w:bCs/>
                <w:sz w:val="15"/>
                <w:szCs w:val="15"/>
              </w:rPr>
              <w:t>İşletmeci</w:t>
            </w:r>
          </w:p>
        </w:tc>
        <w:tc>
          <w:tcPr>
            <w:tcW w:w="326" w:type="pct"/>
            <w:tcBorders>
              <w:top w:val="single" w:sz="4" w:space="0" w:color="auto"/>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cs="Tahoma"/>
                <w:b/>
                <w:bCs/>
                <w:sz w:val="15"/>
                <w:szCs w:val="15"/>
              </w:rPr>
            </w:pPr>
            <w:r w:rsidRPr="00BF3740">
              <w:rPr>
                <w:rFonts w:cs="Tahoma"/>
                <w:b/>
                <w:bCs/>
                <w:sz w:val="15"/>
                <w:szCs w:val="15"/>
              </w:rPr>
              <w:t>Özelleş. Kapsamı</w:t>
            </w:r>
          </w:p>
        </w:tc>
        <w:tc>
          <w:tcPr>
            <w:tcW w:w="328" w:type="pct"/>
            <w:tcBorders>
              <w:top w:val="single" w:sz="4" w:space="0" w:color="auto"/>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cs="Tahoma"/>
                <w:b/>
                <w:bCs/>
                <w:sz w:val="15"/>
                <w:szCs w:val="15"/>
              </w:rPr>
            </w:pPr>
            <w:r w:rsidRPr="00BF3740">
              <w:rPr>
                <w:rFonts w:cs="Tahoma"/>
                <w:b/>
                <w:bCs/>
                <w:sz w:val="15"/>
                <w:szCs w:val="15"/>
              </w:rPr>
              <w:t>TOPLAM</w:t>
            </w:r>
          </w:p>
        </w:tc>
        <w:tc>
          <w:tcPr>
            <w:tcW w:w="379" w:type="pct"/>
            <w:tcBorders>
              <w:top w:val="nil"/>
              <w:left w:val="nil"/>
              <w:bottom w:val="single" w:sz="4" w:space="0" w:color="auto"/>
              <w:right w:val="single" w:sz="4" w:space="0" w:color="auto"/>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cs="Tahoma"/>
                <w:b/>
                <w:bCs/>
                <w:sz w:val="15"/>
                <w:szCs w:val="15"/>
              </w:rPr>
              <w:t>TOPLAM</w:t>
            </w:r>
          </w:p>
          <w:p w:rsidR="00565FD5" w:rsidRPr="00BF3740" w:rsidRDefault="00565FD5" w:rsidP="00AB62A3">
            <w:pPr>
              <w:jc w:val="center"/>
              <w:rPr>
                <w:rFonts w:eastAsia="Arial Unicode MS" w:cs="Tahoma"/>
                <w:b/>
                <w:bCs/>
                <w:sz w:val="15"/>
                <w:szCs w:val="15"/>
              </w:rPr>
            </w:pPr>
            <w:r w:rsidRPr="00BF3740">
              <w:rPr>
                <w:rFonts w:cs="Tahoma"/>
                <w:b/>
                <w:bCs/>
                <w:sz w:val="15"/>
                <w:szCs w:val="15"/>
              </w:rPr>
              <w:t>KAMU</w:t>
            </w:r>
          </w:p>
        </w:tc>
      </w:tr>
      <w:tr w:rsidR="00565FD5" w:rsidRPr="00BF3740" w:rsidTr="00AB62A3">
        <w:trPr>
          <w:trHeight w:hRule="exact" w:val="198"/>
        </w:trPr>
        <w:tc>
          <w:tcPr>
            <w:tcW w:w="1200" w:type="pct"/>
            <w:tcBorders>
              <w:top w:val="single" w:sz="4" w:space="0" w:color="auto"/>
              <w:left w:val="single" w:sz="4" w:space="0" w:color="auto"/>
              <w:bottom w:val="nil"/>
              <w:right w:val="nil"/>
            </w:tcBorders>
            <w:tcMar>
              <w:top w:w="15" w:type="dxa"/>
              <w:left w:w="15" w:type="dxa"/>
              <w:bottom w:w="0" w:type="dxa"/>
              <w:right w:w="15" w:type="dxa"/>
            </w:tcMar>
          </w:tcPr>
          <w:p w:rsidR="00565FD5" w:rsidRPr="00BF3740" w:rsidRDefault="00565FD5" w:rsidP="00AB62A3">
            <w:pPr>
              <w:ind w:left="120"/>
              <w:rPr>
                <w:rFonts w:eastAsia="Arial Unicode MS" w:cs="Tahoma"/>
                <w:sz w:val="15"/>
                <w:szCs w:val="15"/>
              </w:rPr>
            </w:pPr>
            <w:r w:rsidRPr="00BF3740">
              <w:rPr>
                <w:rFonts w:cs="Tahoma"/>
                <w:sz w:val="15"/>
                <w:szCs w:val="15"/>
              </w:rPr>
              <w:t>1. Vergiler</w:t>
            </w:r>
          </w:p>
        </w:tc>
        <w:tc>
          <w:tcPr>
            <w:tcW w:w="370"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181 041</w:t>
            </w:r>
          </w:p>
        </w:tc>
        <w:tc>
          <w:tcPr>
            <w:tcW w:w="367"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23 755</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4 074</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- 36</w:t>
            </w:r>
          </w:p>
        </w:tc>
        <w:tc>
          <w:tcPr>
            <w:tcW w:w="380"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208 834</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-2 030</w:t>
            </w:r>
          </w:p>
        </w:tc>
        <w:tc>
          <w:tcPr>
            <w:tcW w:w="326"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- 55</w:t>
            </w:r>
          </w:p>
        </w:tc>
        <w:tc>
          <w:tcPr>
            <w:tcW w:w="328"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-2 085</w:t>
            </w:r>
          </w:p>
        </w:tc>
        <w:tc>
          <w:tcPr>
            <w:tcW w:w="379"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206 749</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a. Vasıtasız</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50 957</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6 412</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4 074</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- 36</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61 408</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-2 030</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- 55</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-2 085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59 322</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b. Vasıtalı</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130 084</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17 342</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147 427</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147 427</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2. Vergi Dışı Normal Gelirler</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20 354</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4 244</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334</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- 478</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24 454</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- 829</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- 829</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23 624</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3. Faktör Gelirleri</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18 855</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7 282</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- 3</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621</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1 921</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1 964</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30 640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9 677</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-1 079</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8 598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39 238</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4. Sosyal Fonlar</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2 046</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-28 569</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-26 523</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-26 523</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5. Cari Transferler</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-130 995</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-2 931</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-1 604</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1 176</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27 069</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209</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-107 075</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1 607</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1 607</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-105 468</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b/>
                <w:bCs/>
                <w:sz w:val="15"/>
                <w:szCs w:val="15"/>
              </w:rPr>
            </w:pPr>
            <w:r w:rsidRPr="00BF3740">
              <w:rPr>
                <w:rFonts w:cs="Tahoma"/>
                <w:b/>
                <w:bCs/>
                <w:sz w:val="15"/>
                <w:szCs w:val="15"/>
              </w:rPr>
              <w:t>I. KAMU HARCANABİLİR GELİRİ</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89 255</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32 349</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2 801</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3 844</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422</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1 660</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130 330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8 424</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-1 134</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7 290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137 620</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b/>
                <w:bCs/>
                <w:sz w:val="15"/>
                <w:szCs w:val="15"/>
              </w:rPr>
            </w:pPr>
            <w:r w:rsidRPr="00BF3740">
              <w:rPr>
                <w:rFonts w:cs="Tahoma"/>
                <w:b/>
                <w:bCs/>
                <w:sz w:val="15"/>
                <w:szCs w:val="15"/>
              </w:rPr>
              <w:t>II. CARİ GİDERLER</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-94 104</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-23 900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-2 634</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-120 638</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-120 638</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b/>
                <w:bCs/>
                <w:sz w:val="15"/>
                <w:szCs w:val="15"/>
              </w:rPr>
            </w:pPr>
            <w:r w:rsidRPr="00BF3740">
              <w:rPr>
                <w:rFonts w:cs="Tahoma"/>
                <w:b/>
                <w:bCs/>
                <w:sz w:val="15"/>
                <w:szCs w:val="15"/>
              </w:rPr>
              <w:t>III. KAMU TASARRUFU</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-4 849</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8 449</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167</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3 844</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422</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1 660</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9 692</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8 424</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-1 134</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7 290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16 982</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b/>
                <w:bCs/>
                <w:sz w:val="15"/>
                <w:szCs w:val="15"/>
              </w:rPr>
            </w:pPr>
            <w:r w:rsidRPr="00BF3740">
              <w:rPr>
                <w:rFonts w:cs="Tahoma"/>
                <w:b/>
                <w:bCs/>
                <w:sz w:val="15"/>
                <w:szCs w:val="15"/>
              </w:rPr>
              <w:t>IV. YATIRIMLAR</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-29 215</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-11 312</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- 76</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- 315</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-40 917</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-3 193</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- 407</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-3 600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-44 517</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a. Sabit Sermaye</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-29 215</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-11 314</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- 76</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- 621</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-41 226</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-5 165</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- 612</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-5 777</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-47 003</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b. Stok Değişmesi</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2</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307</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309</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1 972</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206</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2 177</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2 486</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b/>
                <w:bCs/>
                <w:sz w:val="15"/>
                <w:szCs w:val="15"/>
              </w:rPr>
            </w:pPr>
            <w:r w:rsidRPr="00BF3740">
              <w:rPr>
                <w:rFonts w:cs="Tahoma"/>
                <w:b/>
                <w:bCs/>
                <w:sz w:val="15"/>
                <w:szCs w:val="15"/>
              </w:rPr>
              <w:t>V. TASARRUF-YATIRIM FARKI</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-34 064</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-2 863</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167</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3 844</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346</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1 345</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-31 225</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5 231</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-1 541</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3 690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-27 535</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b/>
                <w:bCs/>
                <w:sz w:val="15"/>
                <w:szCs w:val="15"/>
              </w:rPr>
            </w:pPr>
            <w:r w:rsidRPr="00BF3740">
              <w:rPr>
                <w:rFonts w:cs="Tahoma"/>
                <w:b/>
                <w:bCs/>
                <w:sz w:val="15"/>
                <w:szCs w:val="15"/>
              </w:rPr>
              <w:t>VI. SERMAYE TRANSFERLERİ</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-6 018</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3 895</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289</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211</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-1 624</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3 358</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894</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4 251</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2 628</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1. Servet Vergileri</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4 723</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2 669</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7 392</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7 392</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2. Diğer Transferler</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-9 429</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234</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289</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-8 906</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3 895</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582</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4 477</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-4 429</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3. Kamulaş. ve Sabit Değer. Art. </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-1 311</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991</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211</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- 109</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- 537</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311</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- 226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- 335</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b/>
                <w:bCs/>
                <w:sz w:val="15"/>
                <w:szCs w:val="15"/>
              </w:rPr>
            </w:pPr>
            <w:r w:rsidRPr="00BF3740">
              <w:rPr>
                <w:rFonts w:cs="Tahoma"/>
                <w:b/>
                <w:bCs/>
                <w:sz w:val="15"/>
                <w:szCs w:val="15"/>
              </w:rPr>
              <w:t>VII. KASA-BANKA/BORÇLANMA</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40 081</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-1 032</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- 456</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-3 844</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- 346</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-1 556</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32 849</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-8 589</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647</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-7 941</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24 907</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1. Kasa-Banka Değişimi</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- 978</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- 310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211</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-1 077</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-1 785</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219</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-1 565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-2 643</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2. Dış Borçlanma (net)</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7 756</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1 240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- 69</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8 927</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- 919</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-1 196</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-2 115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6 812</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-Dış Borç Ödemesi</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-10 680</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- 489</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- 69</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-11 238</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-3 841</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-1 196</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-5 037</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-16 276</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-Dış Borç Kullanımı</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18 436</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1 729</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20 165</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2 923</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2 923</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23 088</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3. İç Borç/Alacak (net)</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32 326</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-1 283</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- 77</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-3 844</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- 346</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-1 635</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25 141</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-5 346</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1 984</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-3 362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21 780</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4. Stok Değişim Fonu</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- 11</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- 131</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- 142</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- 539</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- 361</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- 900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-1 042</w:t>
            </w:r>
          </w:p>
        </w:tc>
      </w:tr>
      <w:tr w:rsidR="00565FD5" w:rsidRPr="00BF3740" w:rsidTr="00AB62A3">
        <w:trPr>
          <w:trHeight w:hRule="exact" w:val="198"/>
        </w:trPr>
        <w:tc>
          <w:tcPr>
            <w:tcW w:w="1200" w:type="pct"/>
            <w:tcBorders>
              <w:top w:val="nil"/>
              <w:left w:val="single" w:sz="4" w:space="0" w:color="auto"/>
              <w:bottom w:val="single" w:sz="4" w:space="0" w:color="auto"/>
              <w:right w:val="nil"/>
            </w:tcBorders>
            <w:tcMar>
              <w:top w:w="15" w:type="dxa"/>
              <w:left w:w="15" w:type="dxa"/>
              <w:bottom w:w="0" w:type="dxa"/>
              <w:right w:w="15" w:type="dxa"/>
            </w:tcMar>
            <w:vAlign w:val="center"/>
          </w:tcPr>
          <w:p w:rsidR="00565FD5" w:rsidRPr="00BF3740" w:rsidRDefault="00565FD5" w:rsidP="00AB62A3">
            <w:pPr>
              <w:ind w:left="120"/>
              <w:rPr>
                <w:rFonts w:cs="Tahoma"/>
                <w:b/>
                <w:sz w:val="15"/>
                <w:szCs w:val="15"/>
              </w:rPr>
            </w:pPr>
            <w:r w:rsidRPr="00BF3740">
              <w:rPr>
                <w:rFonts w:cs="Tahoma"/>
                <w:b/>
                <w:sz w:val="15"/>
                <w:szCs w:val="15"/>
              </w:rPr>
              <w:t>BORÇLANMA GEREĞİ</w:t>
            </w:r>
          </w:p>
        </w:tc>
        <w:tc>
          <w:tcPr>
            <w:tcW w:w="370"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40 081</w:t>
            </w:r>
          </w:p>
        </w:tc>
        <w:tc>
          <w:tcPr>
            <w:tcW w:w="367"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-1 021</w:t>
            </w:r>
          </w:p>
        </w:tc>
        <w:tc>
          <w:tcPr>
            <w:tcW w:w="329"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- 456</w:t>
            </w:r>
          </w:p>
        </w:tc>
        <w:tc>
          <w:tcPr>
            <w:tcW w:w="329"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-3 844</w:t>
            </w:r>
          </w:p>
        </w:tc>
        <w:tc>
          <w:tcPr>
            <w:tcW w:w="335"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- 346</w:t>
            </w:r>
          </w:p>
        </w:tc>
        <w:tc>
          <w:tcPr>
            <w:tcW w:w="323"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-1 425</w:t>
            </w:r>
          </w:p>
        </w:tc>
        <w:tc>
          <w:tcPr>
            <w:tcW w:w="380"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32 991</w:t>
            </w:r>
          </w:p>
        </w:tc>
        <w:tc>
          <w:tcPr>
            <w:tcW w:w="334"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-8 049</w:t>
            </w:r>
          </w:p>
        </w:tc>
        <w:tc>
          <w:tcPr>
            <w:tcW w:w="326"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1 008</w:t>
            </w:r>
          </w:p>
        </w:tc>
        <w:tc>
          <w:tcPr>
            <w:tcW w:w="328"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-7 041</w:t>
            </w:r>
          </w:p>
        </w:tc>
        <w:tc>
          <w:tcPr>
            <w:tcW w:w="379" w:type="pct"/>
            <w:tcBorders>
              <w:top w:val="nil"/>
              <w:left w:val="nil"/>
              <w:bottom w:val="single" w:sz="4" w:space="0" w:color="auto"/>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25 949</w:t>
            </w:r>
          </w:p>
        </w:tc>
      </w:tr>
    </w:tbl>
    <w:p w:rsidR="00565FD5" w:rsidRPr="00BF3740" w:rsidRDefault="00565FD5" w:rsidP="00565FD5">
      <w:pPr>
        <w:rPr>
          <w:rFonts w:cs="Tahoma"/>
          <w:sz w:val="14"/>
          <w:szCs w:val="14"/>
        </w:rPr>
      </w:pPr>
      <w:r w:rsidRPr="00BF3740">
        <w:rPr>
          <w:rFonts w:cs="Tahoma"/>
          <w:sz w:val="14"/>
          <w:szCs w:val="14"/>
        </w:rPr>
        <w:t>Kaynak: Kalkınma Bakanlığı</w:t>
      </w:r>
    </w:p>
    <w:p w:rsidR="00565FD5" w:rsidRPr="00BF3740" w:rsidRDefault="00565FD5" w:rsidP="00565FD5">
      <w:pPr>
        <w:rPr>
          <w:rFonts w:eastAsia="Arial Unicode MS" w:cs="Tahoma"/>
          <w:sz w:val="14"/>
          <w:szCs w:val="14"/>
        </w:rPr>
      </w:pPr>
      <w:r w:rsidRPr="00BF3740">
        <w:rPr>
          <w:rFonts w:eastAsia="Arial Unicode MS" w:cs="Tahoma"/>
          <w:sz w:val="14"/>
          <w:szCs w:val="14"/>
        </w:rPr>
        <w:lastRenderedPageBreak/>
        <w:t>Not: Genel sağlık sigortası hesapları, sosyal güvenlik dengesi içerisinde yer almaktadır.</w:t>
      </w:r>
    </w:p>
    <w:p w:rsidR="00565FD5" w:rsidRPr="00FF6818" w:rsidRDefault="00565FD5" w:rsidP="00565FD5">
      <w:pPr>
        <w:pStyle w:val="ResimYazs"/>
      </w:pPr>
      <w:r w:rsidRPr="00BF3740">
        <w:rPr>
          <w:b w:val="0"/>
          <w:sz w:val="22"/>
          <w:szCs w:val="22"/>
        </w:rPr>
        <w:br w:type="page"/>
      </w:r>
      <w:bookmarkStart w:id="901" w:name="_Toc338605982"/>
      <w:bookmarkStart w:id="902" w:name="_Toc338711757"/>
      <w:bookmarkStart w:id="903" w:name="_Toc181241021"/>
      <w:bookmarkStart w:id="904" w:name="_Toc181274123"/>
      <w:bookmarkStart w:id="905" w:name="_Toc181286402"/>
      <w:bookmarkEnd w:id="898"/>
      <w:bookmarkEnd w:id="899"/>
      <w:bookmarkEnd w:id="900"/>
      <w:r>
        <w:lastRenderedPageBreak/>
        <w:t xml:space="preserve">TABLO III: </w:t>
      </w:r>
      <w:fldSimple w:instr=" SEQ TABLO_III: \* ARABIC ">
        <w:r>
          <w:rPr>
            <w:noProof/>
          </w:rPr>
          <w:t>4</w:t>
        </w:r>
      </w:fldSimple>
      <w:r w:rsidRPr="00FF6818">
        <w:t>- 2011 Yılı Kamu Kesimi Genel Dengesi</w:t>
      </w:r>
      <w:bookmarkEnd w:id="901"/>
      <w:bookmarkEnd w:id="902"/>
    </w:p>
    <w:p w:rsidR="00565FD5" w:rsidRPr="00BF3740" w:rsidRDefault="00565FD5" w:rsidP="00565FD5">
      <w:pPr>
        <w:ind w:right="-36"/>
        <w:jc w:val="right"/>
        <w:rPr>
          <w:sz w:val="16"/>
          <w:szCs w:val="16"/>
        </w:rPr>
      </w:pPr>
      <w:r w:rsidRPr="00BF3740">
        <w:rPr>
          <w:sz w:val="16"/>
          <w:szCs w:val="16"/>
        </w:rPr>
        <w:t>(Cari Fiyatlarla, Milyon TL)</w:t>
      </w:r>
    </w:p>
    <w:tbl>
      <w:tblPr>
        <w:tblW w:w="5000" w:type="pct"/>
        <w:tblCellMar>
          <w:left w:w="0" w:type="dxa"/>
          <w:right w:w="0" w:type="dxa"/>
        </w:tblCellMar>
        <w:tblLook w:val="0000"/>
      </w:tblPr>
      <w:tblGrid>
        <w:gridCol w:w="2632"/>
        <w:gridCol w:w="812"/>
        <w:gridCol w:w="805"/>
        <w:gridCol w:w="721"/>
        <w:gridCol w:w="721"/>
        <w:gridCol w:w="735"/>
        <w:gridCol w:w="708"/>
        <w:gridCol w:w="833"/>
        <w:gridCol w:w="732"/>
        <w:gridCol w:w="715"/>
        <w:gridCol w:w="719"/>
        <w:gridCol w:w="831"/>
      </w:tblGrid>
      <w:tr w:rsidR="00565FD5" w:rsidRPr="00BF3740" w:rsidTr="00AB62A3">
        <w:trPr>
          <w:trHeight w:val="198"/>
        </w:trPr>
        <w:tc>
          <w:tcPr>
            <w:tcW w:w="1200" w:type="pct"/>
            <w:tcBorders>
              <w:top w:val="single" w:sz="4" w:space="0" w:color="auto"/>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rPr>
                <w:rFonts w:eastAsia="Arial Unicode MS" w:cs="Tahoma"/>
                <w:sz w:val="15"/>
                <w:szCs w:val="15"/>
              </w:rPr>
            </w:pPr>
            <w:r w:rsidRPr="00BF3740">
              <w:rPr>
                <w:rFonts w:cs="Tahoma"/>
                <w:sz w:val="15"/>
                <w:szCs w:val="15"/>
              </w:rPr>
              <w:t> </w:t>
            </w:r>
          </w:p>
        </w:tc>
        <w:tc>
          <w:tcPr>
            <w:tcW w:w="370"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sz w:val="15"/>
                <w:szCs w:val="15"/>
              </w:rPr>
            </w:pPr>
            <w:r w:rsidRPr="00BF3740">
              <w:rPr>
                <w:rFonts w:cs="Tahoma"/>
                <w:sz w:val="15"/>
                <w:szCs w:val="15"/>
              </w:rPr>
              <w:t> </w:t>
            </w:r>
          </w:p>
        </w:tc>
        <w:tc>
          <w:tcPr>
            <w:tcW w:w="367"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sz w:val="15"/>
                <w:szCs w:val="15"/>
              </w:rPr>
            </w:pPr>
            <w:r w:rsidRPr="00BF3740">
              <w:rPr>
                <w:rFonts w:cs="Tahoma"/>
                <w:sz w:val="15"/>
                <w:szCs w:val="15"/>
              </w:rPr>
              <w:t> </w:t>
            </w:r>
          </w:p>
        </w:tc>
        <w:tc>
          <w:tcPr>
            <w:tcW w:w="329"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sz w:val="15"/>
                <w:szCs w:val="15"/>
              </w:rPr>
            </w:pPr>
            <w:r w:rsidRPr="00BF3740">
              <w:rPr>
                <w:rFonts w:cs="Tahoma"/>
                <w:sz w:val="15"/>
                <w:szCs w:val="15"/>
              </w:rPr>
              <w:t> </w:t>
            </w:r>
          </w:p>
        </w:tc>
        <w:tc>
          <w:tcPr>
            <w:tcW w:w="329" w:type="pct"/>
            <w:tcBorders>
              <w:top w:val="single" w:sz="4" w:space="0" w:color="auto"/>
              <w:left w:val="nil"/>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p>
        </w:tc>
        <w:tc>
          <w:tcPr>
            <w:tcW w:w="335" w:type="pct"/>
            <w:tcBorders>
              <w:top w:val="single" w:sz="4" w:space="0" w:color="auto"/>
              <w:lef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sz w:val="15"/>
                <w:szCs w:val="15"/>
              </w:rPr>
            </w:pPr>
          </w:p>
        </w:tc>
        <w:tc>
          <w:tcPr>
            <w:tcW w:w="323" w:type="pct"/>
            <w:tcBorders>
              <w:top w:val="single" w:sz="4" w:space="0" w:color="auto"/>
              <w:left w:val="nil"/>
            </w:tcBorders>
            <w:vAlign w:val="bottom"/>
          </w:tcPr>
          <w:p w:rsidR="00565FD5" w:rsidRPr="00BF3740" w:rsidRDefault="00565FD5" w:rsidP="00AB62A3">
            <w:pPr>
              <w:jc w:val="center"/>
              <w:rPr>
                <w:rFonts w:eastAsia="Arial Unicode MS" w:cs="Tahoma"/>
                <w:sz w:val="15"/>
                <w:szCs w:val="15"/>
              </w:rPr>
            </w:pPr>
          </w:p>
        </w:tc>
        <w:tc>
          <w:tcPr>
            <w:tcW w:w="380" w:type="pct"/>
            <w:tcBorders>
              <w:top w:val="single" w:sz="4" w:space="0" w:color="auto"/>
              <w:left w:val="nil"/>
            </w:tcBorders>
            <w:vAlign w:val="bottom"/>
          </w:tcPr>
          <w:p w:rsidR="00565FD5" w:rsidRPr="00BF3740" w:rsidRDefault="00565FD5" w:rsidP="00AB62A3">
            <w:pPr>
              <w:jc w:val="center"/>
              <w:rPr>
                <w:rFonts w:eastAsia="Arial Unicode MS" w:cs="Tahoma"/>
                <w:sz w:val="15"/>
                <w:szCs w:val="15"/>
              </w:rPr>
            </w:pPr>
          </w:p>
        </w:tc>
        <w:tc>
          <w:tcPr>
            <w:tcW w:w="988" w:type="pct"/>
            <w:gridSpan w:val="3"/>
            <w:tcBorders>
              <w:top w:val="single" w:sz="4" w:space="0" w:color="auto"/>
            </w:tcBorders>
            <w:vAlign w:val="bottom"/>
          </w:tcPr>
          <w:p w:rsidR="00565FD5" w:rsidRPr="00BF3740" w:rsidRDefault="00565FD5" w:rsidP="00AB62A3">
            <w:pPr>
              <w:jc w:val="center"/>
              <w:rPr>
                <w:rFonts w:eastAsia="Arial Unicode MS" w:cs="Tahoma"/>
                <w:sz w:val="15"/>
                <w:szCs w:val="15"/>
              </w:rPr>
            </w:pPr>
            <w:r w:rsidRPr="00BF3740">
              <w:rPr>
                <w:rFonts w:cs="Tahoma"/>
                <w:b/>
                <w:bCs/>
                <w:sz w:val="15"/>
                <w:szCs w:val="15"/>
              </w:rPr>
              <w:t>KİT</w:t>
            </w:r>
          </w:p>
        </w:tc>
        <w:tc>
          <w:tcPr>
            <w:tcW w:w="379" w:type="pct"/>
            <w:tcBorders>
              <w:top w:val="single" w:sz="4" w:space="0" w:color="auto"/>
              <w:left w:val="nil"/>
              <w:right w:val="single" w:sz="4" w:space="0" w:color="auto"/>
            </w:tcBorders>
            <w:vAlign w:val="bottom"/>
          </w:tcPr>
          <w:p w:rsidR="00565FD5" w:rsidRPr="00BF3740" w:rsidRDefault="00565FD5" w:rsidP="00AB62A3">
            <w:pPr>
              <w:jc w:val="center"/>
              <w:rPr>
                <w:rFonts w:eastAsia="Arial Unicode MS" w:cs="Tahoma"/>
                <w:sz w:val="15"/>
                <w:szCs w:val="15"/>
              </w:rPr>
            </w:pPr>
          </w:p>
        </w:tc>
      </w:tr>
      <w:tr w:rsidR="00565FD5" w:rsidRPr="00BF3740" w:rsidTr="00AB62A3">
        <w:trPr>
          <w:trHeight w:hRule="exact" w:val="567"/>
        </w:trPr>
        <w:tc>
          <w:tcPr>
            <w:tcW w:w="1200" w:type="pct"/>
            <w:tcBorders>
              <w:top w:val="nil"/>
              <w:left w:val="single" w:sz="4" w:space="0" w:color="auto"/>
              <w:bottom w:val="single" w:sz="4" w:space="0" w:color="auto"/>
              <w:right w:val="nil"/>
            </w:tcBorders>
            <w:tcMar>
              <w:top w:w="15" w:type="dxa"/>
              <w:left w:w="15" w:type="dxa"/>
              <w:bottom w:w="0" w:type="dxa"/>
              <w:right w:w="15" w:type="dxa"/>
            </w:tcMar>
            <w:vAlign w:val="bottom"/>
          </w:tcPr>
          <w:p w:rsidR="00565FD5" w:rsidRPr="00BF3740" w:rsidRDefault="00565FD5" w:rsidP="00AB62A3">
            <w:pPr>
              <w:rPr>
                <w:rFonts w:eastAsia="Arial Unicode MS" w:cs="Tahoma"/>
                <w:sz w:val="15"/>
                <w:szCs w:val="15"/>
              </w:rPr>
            </w:pPr>
            <w:r w:rsidRPr="00BF3740">
              <w:rPr>
                <w:rFonts w:cs="Tahoma"/>
                <w:sz w:val="15"/>
                <w:szCs w:val="15"/>
              </w:rPr>
              <w:t> </w:t>
            </w:r>
          </w:p>
          <w:p w:rsidR="00565FD5" w:rsidRPr="00BF3740" w:rsidRDefault="00565FD5" w:rsidP="00AB62A3">
            <w:pPr>
              <w:rPr>
                <w:rFonts w:eastAsia="Arial Unicode MS" w:cs="Tahoma"/>
                <w:sz w:val="15"/>
                <w:szCs w:val="15"/>
              </w:rPr>
            </w:pPr>
            <w:r w:rsidRPr="00BF3740">
              <w:rPr>
                <w:rFonts w:cs="Tahoma"/>
                <w:sz w:val="15"/>
                <w:szCs w:val="15"/>
              </w:rPr>
              <w:t> </w:t>
            </w:r>
          </w:p>
        </w:tc>
        <w:tc>
          <w:tcPr>
            <w:tcW w:w="370"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cs="Tahoma"/>
                <w:b/>
                <w:bCs/>
                <w:sz w:val="15"/>
                <w:szCs w:val="15"/>
              </w:rPr>
              <w:t>Merkezi Yönetim Bütçesi</w:t>
            </w:r>
          </w:p>
        </w:tc>
        <w:tc>
          <w:tcPr>
            <w:tcW w:w="367"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cs="Tahoma"/>
                <w:b/>
                <w:bCs/>
                <w:sz w:val="15"/>
                <w:szCs w:val="15"/>
              </w:rPr>
              <w:t>Mahalli</w:t>
            </w:r>
          </w:p>
          <w:p w:rsidR="00565FD5" w:rsidRPr="00BF3740" w:rsidRDefault="00565FD5" w:rsidP="00AB62A3">
            <w:pPr>
              <w:jc w:val="center"/>
              <w:rPr>
                <w:rFonts w:eastAsia="Arial Unicode MS" w:cs="Tahoma"/>
                <w:b/>
                <w:bCs/>
                <w:sz w:val="15"/>
                <w:szCs w:val="15"/>
              </w:rPr>
            </w:pPr>
            <w:r w:rsidRPr="00BF3740">
              <w:rPr>
                <w:rFonts w:cs="Tahoma"/>
                <w:b/>
                <w:bCs/>
                <w:sz w:val="15"/>
                <w:szCs w:val="15"/>
              </w:rPr>
              <w:t>İdareler</w:t>
            </w:r>
          </w:p>
        </w:tc>
        <w:tc>
          <w:tcPr>
            <w:tcW w:w="329"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eastAsia="Arial Unicode MS" w:cs="Tahoma"/>
                <w:b/>
                <w:bCs/>
                <w:sz w:val="15"/>
                <w:szCs w:val="15"/>
              </w:rPr>
              <w:t>Fonlar</w:t>
            </w:r>
          </w:p>
        </w:tc>
        <w:tc>
          <w:tcPr>
            <w:tcW w:w="329" w:type="pct"/>
            <w:tcBorders>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eastAsia="Arial Unicode MS" w:cs="Tahoma"/>
                <w:b/>
                <w:bCs/>
                <w:sz w:val="15"/>
                <w:szCs w:val="15"/>
              </w:rPr>
              <w:t>İşsizlik Sigortası</w:t>
            </w:r>
          </w:p>
        </w:tc>
        <w:tc>
          <w:tcPr>
            <w:tcW w:w="335"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sz w:val="15"/>
                <w:szCs w:val="15"/>
              </w:rPr>
            </w:pPr>
            <w:r w:rsidRPr="00BF3740">
              <w:rPr>
                <w:rFonts w:cs="Tahoma"/>
                <w:b/>
                <w:bCs/>
                <w:sz w:val="15"/>
                <w:szCs w:val="15"/>
              </w:rPr>
              <w:t>Sosyal Güvenlik</w:t>
            </w:r>
          </w:p>
        </w:tc>
        <w:tc>
          <w:tcPr>
            <w:tcW w:w="323"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cs="Tahoma"/>
                <w:b/>
                <w:bCs/>
                <w:sz w:val="15"/>
                <w:szCs w:val="15"/>
              </w:rPr>
              <w:t>Döner Sermaye</w:t>
            </w:r>
          </w:p>
        </w:tc>
        <w:tc>
          <w:tcPr>
            <w:tcW w:w="380"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cs="Tahoma"/>
                <w:b/>
                <w:bCs/>
                <w:sz w:val="15"/>
                <w:szCs w:val="15"/>
              </w:rPr>
            </w:pPr>
            <w:r w:rsidRPr="00BF3740">
              <w:rPr>
                <w:rFonts w:cs="Tahoma"/>
                <w:b/>
                <w:bCs/>
                <w:sz w:val="15"/>
                <w:szCs w:val="15"/>
              </w:rPr>
              <w:t>GENEL</w:t>
            </w:r>
          </w:p>
          <w:p w:rsidR="00565FD5" w:rsidRPr="00BF3740" w:rsidRDefault="00565FD5" w:rsidP="00AB62A3">
            <w:pPr>
              <w:jc w:val="center"/>
              <w:rPr>
                <w:rFonts w:eastAsia="Arial Unicode MS" w:cs="Tahoma"/>
                <w:b/>
                <w:bCs/>
                <w:sz w:val="15"/>
                <w:szCs w:val="15"/>
              </w:rPr>
            </w:pPr>
            <w:r w:rsidRPr="00BF3740">
              <w:rPr>
                <w:rFonts w:cs="Tahoma"/>
                <w:b/>
                <w:bCs/>
                <w:sz w:val="15"/>
                <w:szCs w:val="15"/>
              </w:rPr>
              <w:t>DEVLET     TOPLAMI</w:t>
            </w:r>
          </w:p>
        </w:tc>
        <w:tc>
          <w:tcPr>
            <w:tcW w:w="334" w:type="pct"/>
            <w:tcBorders>
              <w:top w:val="single" w:sz="4" w:space="0" w:color="auto"/>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sz w:val="15"/>
                <w:szCs w:val="15"/>
              </w:rPr>
            </w:pPr>
            <w:r w:rsidRPr="00BF3740">
              <w:rPr>
                <w:rFonts w:cs="Tahoma"/>
                <w:b/>
                <w:bCs/>
                <w:sz w:val="15"/>
                <w:szCs w:val="15"/>
              </w:rPr>
              <w:t>İşletmeci</w:t>
            </w:r>
          </w:p>
        </w:tc>
        <w:tc>
          <w:tcPr>
            <w:tcW w:w="326" w:type="pct"/>
            <w:tcBorders>
              <w:top w:val="single" w:sz="4" w:space="0" w:color="auto"/>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cs="Tahoma"/>
                <w:b/>
                <w:bCs/>
                <w:sz w:val="15"/>
                <w:szCs w:val="15"/>
              </w:rPr>
            </w:pPr>
            <w:r w:rsidRPr="00BF3740">
              <w:rPr>
                <w:rFonts w:cs="Tahoma"/>
                <w:b/>
                <w:bCs/>
                <w:sz w:val="15"/>
                <w:szCs w:val="15"/>
              </w:rPr>
              <w:t>Özelleş. Kapsamı</w:t>
            </w:r>
          </w:p>
        </w:tc>
        <w:tc>
          <w:tcPr>
            <w:tcW w:w="328" w:type="pct"/>
            <w:tcBorders>
              <w:top w:val="single" w:sz="4" w:space="0" w:color="auto"/>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cs="Tahoma"/>
                <w:b/>
                <w:bCs/>
                <w:sz w:val="15"/>
                <w:szCs w:val="15"/>
              </w:rPr>
            </w:pPr>
            <w:r w:rsidRPr="00BF3740">
              <w:rPr>
                <w:rFonts w:cs="Tahoma"/>
                <w:b/>
                <w:bCs/>
                <w:sz w:val="15"/>
                <w:szCs w:val="15"/>
              </w:rPr>
              <w:t>TOPLAM</w:t>
            </w:r>
          </w:p>
        </w:tc>
        <w:tc>
          <w:tcPr>
            <w:tcW w:w="379" w:type="pct"/>
            <w:tcBorders>
              <w:top w:val="nil"/>
              <w:left w:val="nil"/>
              <w:bottom w:val="single" w:sz="4" w:space="0" w:color="auto"/>
              <w:right w:val="single" w:sz="4" w:space="0" w:color="auto"/>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cs="Tahoma"/>
                <w:b/>
                <w:bCs/>
                <w:sz w:val="15"/>
                <w:szCs w:val="15"/>
              </w:rPr>
              <w:t>TOPLAM</w:t>
            </w:r>
          </w:p>
          <w:p w:rsidR="00565FD5" w:rsidRPr="00BF3740" w:rsidRDefault="00565FD5" w:rsidP="00AB62A3">
            <w:pPr>
              <w:jc w:val="center"/>
              <w:rPr>
                <w:rFonts w:eastAsia="Arial Unicode MS" w:cs="Tahoma"/>
                <w:b/>
                <w:bCs/>
                <w:sz w:val="15"/>
                <w:szCs w:val="15"/>
              </w:rPr>
            </w:pPr>
            <w:r w:rsidRPr="00BF3740">
              <w:rPr>
                <w:rFonts w:cs="Tahoma"/>
                <w:b/>
                <w:bCs/>
                <w:sz w:val="15"/>
                <w:szCs w:val="15"/>
              </w:rPr>
              <w:t>KAMU</w:t>
            </w:r>
          </w:p>
        </w:tc>
      </w:tr>
      <w:tr w:rsidR="00565FD5" w:rsidRPr="00BF3740" w:rsidTr="00AB62A3">
        <w:trPr>
          <w:trHeight w:hRule="exact" w:val="198"/>
        </w:trPr>
        <w:tc>
          <w:tcPr>
            <w:tcW w:w="1200" w:type="pct"/>
            <w:tcBorders>
              <w:top w:val="single" w:sz="4" w:space="0" w:color="auto"/>
              <w:left w:val="single" w:sz="4" w:space="0" w:color="auto"/>
              <w:bottom w:val="nil"/>
              <w:right w:val="nil"/>
            </w:tcBorders>
            <w:tcMar>
              <w:top w:w="15" w:type="dxa"/>
              <w:left w:w="15" w:type="dxa"/>
              <w:bottom w:w="0" w:type="dxa"/>
              <w:right w:w="15" w:type="dxa"/>
            </w:tcMar>
          </w:tcPr>
          <w:p w:rsidR="00565FD5" w:rsidRPr="00BF3740" w:rsidRDefault="00565FD5" w:rsidP="00AB62A3">
            <w:pPr>
              <w:ind w:left="120"/>
              <w:rPr>
                <w:rFonts w:eastAsia="Arial Unicode MS" w:cs="Tahoma"/>
                <w:sz w:val="15"/>
                <w:szCs w:val="15"/>
              </w:rPr>
            </w:pPr>
            <w:r w:rsidRPr="00BF3740">
              <w:rPr>
                <w:rFonts w:cs="Tahoma"/>
                <w:sz w:val="15"/>
                <w:szCs w:val="15"/>
              </w:rPr>
              <w:t>1. Vergiler</w:t>
            </w:r>
          </w:p>
        </w:tc>
        <w:tc>
          <w:tcPr>
            <w:tcW w:w="370"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218 438</w:t>
            </w:r>
          </w:p>
        </w:tc>
        <w:tc>
          <w:tcPr>
            <w:tcW w:w="367"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27 897</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5 018</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- 59</w:t>
            </w:r>
          </w:p>
        </w:tc>
        <w:tc>
          <w:tcPr>
            <w:tcW w:w="380"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251 294</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-1 302</w:t>
            </w:r>
          </w:p>
        </w:tc>
        <w:tc>
          <w:tcPr>
            <w:tcW w:w="326"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- 78</w:t>
            </w:r>
          </w:p>
        </w:tc>
        <w:tc>
          <w:tcPr>
            <w:tcW w:w="328"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-1 380</w:t>
            </w:r>
          </w:p>
        </w:tc>
        <w:tc>
          <w:tcPr>
            <w:tcW w:w="379"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249 914</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a. Vasıtasız</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63 389</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7 787</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5 018</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- 59</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76 134</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-1 302</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- 78</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-1 380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74 754</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b. Vasıtalı</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155 049</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20 111</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175 160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175 160</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2. Vergi Dışı Normal Gelirler</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20 347</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6 044</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707</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- 441</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26 657</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-1 564</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-1 564</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25 093</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3. Faktör Gelirleri</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18 437</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8 911</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39</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3 938</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1 559</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2 045</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34 930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6 134</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52</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6 186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41 115</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4. Sosyal Fonlar</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2 213</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-17 722</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-15 508</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-15 508</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5. Cari Transferler</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-129 194</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-3 048</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-1 842</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1 431</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16 555</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616</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-115 483</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2 541</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12</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2 552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-112 931</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b/>
                <w:bCs/>
                <w:sz w:val="15"/>
                <w:szCs w:val="15"/>
              </w:rPr>
            </w:pPr>
            <w:r w:rsidRPr="00BF3740">
              <w:rPr>
                <w:rFonts w:cs="Tahoma"/>
                <w:b/>
                <w:bCs/>
                <w:sz w:val="15"/>
                <w:szCs w:val="15"/>
              </w:rPr>
              <w:t>I. KAMU HARCANABİLİR GELİRİ</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128 028</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39 804</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3 921</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7 582</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392</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2 161</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181 889</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5 809</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- 15</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5 795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187 684</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b/>
                <w:bCs/>
                <w:sz w:val="15"/>
                <w:szCs w:val="15"/>
              </w:rPr>
            </w:pPr>
            <w:r w:rsidRPr="00BF3740">
              <w:rPr>
                <w:rFonts w:cs="Tahoma"/>
                <w:b/>
                <w:bCs/>
                <w:sz w:val="15"/>
                <w:szCs w:val="15"/>
              </w:rPr>
              <w:t>II. CARİ GİDERLER</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-109 632</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-28 126</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-2 087</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-139 845</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-139 845</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b/>
                <w:bCs/>
                <w:sz w:val="15"/>
                <w:szCs w:val="15"/>
              </w:rPr>
            </w:pPr>
            <w:r w:rsidRPr="00BF3740">
              <w:rPr>
                <w:rFonts w:cs="Tahoma"/>
                <w:b/>
                <w:bCs/>
                <w:sz w:val="15"/>
                <w:szCs w:val="15"/>
              </w:rPr>
              <w:t>III. KAMU TASARRUFU</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18 396</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11 678</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1 834</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7 582</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392</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2 161</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42 044</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5 809</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- 15</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5 795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47 839</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b/>
                <w:bCs/>
                <w:sz w:val="15"/>
                <w:szCs w:val="15"/>
              </w:rPr>
            </w:pPr>
            <w:r w:rsidRPr="00BF3740">
              <w:rPr>
                <w:rFonts w:cs="Tahoma"/>
                <w:b/>
                <w:bCs/>
                <w:sz w:val="15"/>
                <w:szCs w:val="15"/>
              </w:rPr>
              <w:t>IV. YATIRIMLAR</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-33 094</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-12 962</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- 72</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- 781</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-46 909</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-6 302</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- 128</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-6 430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-53 339</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a. Sabit Sermaye</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-33 094</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-12 976</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- 72</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- 782</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-46 925</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-5 791</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- 531</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-6 322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-53 247</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b. Stok Değişmesi</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14</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1</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15</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- 511</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404</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- 108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- 92</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b/>
                <w:bCs/>
                <w:sz w:val="15"/>
                <w:szCs w:val="15"/>
              </w:rPr>
            </w:pPr>
            <w:r w:rsidRPr="00BF3740">
              <w:rPr>
                <w:rFonts w:cs="Tahoma"/>
                <w:b/>
                <w:bCs/>
                <w:sz w:val="15"/>
                <w:szCs w:val="15"/>
              </w:rPr>
              <w:t>V. TASARRUF-YATIRIM FARKI</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-14 699</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-1 284</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1 834</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7 582</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320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1 380</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-4 865</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- 493</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- 142</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- 635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-5 500</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b/>
                <w:bCs/>
                <w:sz w:val="15"/>
                <w:szCs w:val="15"/>
              </w:rPr>
            </w:pPr>
            <w:r w:rsidRPr="00BF3740">
              <w:rPr>
                <w:rFonts w:cs="Tahoma"/>
                <w:b/>
                <w:bCs/>
                <w:sz w:val="15"/>
                <w:szCs w:val="15"/>
              </w:rPr>
              <w:t>VI. SERMAYE TRANSFERLERİ</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-3 085</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3 825</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- 594</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319</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466</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3 331</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1 314</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4 645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5 111</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1. Servet Vergileri</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5 627</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3 468</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9 095</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9 095</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2. Diğer Transferler</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-6 088</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238</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- 444</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-6 294</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4 254</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1 094</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5 348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- 946</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3. Kamulaş. ve Sabit Değer. Art. </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-2 624</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119</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- 150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319</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-2 335</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- 923</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220</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- 703</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-3 038</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b/>
                <w:bCs/>
                <w:sz w:val="15"/>
                <w:szCs w:val="15"/>
              </w:rPr>
            </w:pPr>
            <w:r w:rsidRPr="00BF3740">
              <w:rPr>
                <w:rFonts w:cs="Tahoma"/>
                <w:b/>
                <w:bCs/>
                <w:sz w:val="15"/>
                <w:szCs w:val="15"/>
              </w:rPr>
              <w:t>VII. KASA-BANKA/BORÇLANMA</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17 783</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-2 541</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-1 241</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-7 582</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- 320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-1 700</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4 399</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-2 838</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-1 172</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-4 010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389</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1. Kasa-Banka Değişimi</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-1 649</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- 933</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408</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-2 174</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570</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- 71</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499</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-1 675</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2. Dış Borçlanma (net)</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2 </w:t>
            </w:r>
            <w:r>
              <w:rPr>
                <w:rFonts w:cs="Tahoma"/>
                <w:sz w:val="14"/>
                <w:szCs w:val="14"/>
              </w:rPr>
              <w:t>469</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394</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- 52</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Pr>
                <w:rFonts w:cs="Tahoma"/>
                <w:sz w:val="14"/>
                <w:szCs w:val="14"/>
              </w:rPr>
              <w:t>2</w:t>
            </w:r>
            <w:r w:rsidRPr="00BF3740">
              <w:rPr>
                <w:rFonts w:cs="Tahoma"/>
                <w:sz w:val="14"/>
                <w:szCs w:val="14"/>
              </w:rPr>
              <w:t xml:space="preserve"> </w:t>
            </w:r>
            <w:r>
              <w:rPr>
                <w:rFonts w:cs="Tahoma"/>
                <w:sz w:val="14"/>
                <w:szCs w:val="14"/>
              </w:rPr>
              <w:t>811</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-2 584</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159</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-2 425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Pr>
                <w:rFonts w:cs="Tahoma"/>
                <w:sz w:val="14"/>
                <w:szCs w:val="14"/>
              </w:rPr>
              <w:t>386</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-Dış Borç Ödemesi</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-11 5</w:t>
            </w:r>
            <w:r>
              <w:rPr>
                <w:rFonts w:cs="Tahoma"/>
                <w:sz w:val="14"/>
                <w:szCs w:val="14"/>
              </w:rPr>
              <w:t>22</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- 624</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- 52</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-12 1</w:t>
            </w:r>
            <w:r>
              <w:rPr>
                <w:rFonts w:cs="Tahoma"/>
                <w:sz w:val="14"/>
                <w:szCs w:val="14"/>
              </w:rPr>
              <w:t>9</w:t>
            </w:r>
            <w:r w:rsidRPr="00BF3740">
              <w:rPr>
                <w:rFonts w:cs="Tahoma"/>
                <w:sz w:val="14"/>
                <w:szCs w:val="14"/>
              </w:rPr>
              <w:t>7</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-2 198</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- 4</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-2 202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-14 3</w:t>
            </w:r>
            <w:r>
              <w:rPr>
                <w:rFonts w:cs="Tahoma"/>
                <w:sz w:val="14"/>
                <w:szCs w:val="14"/>
              </w:rPr>
              <w:t>9</w:t>
            </w:r>
            <w:r w:rsidRPr="00BF3740">
              <w:rPr>
                <w:rFonts w:cs="Tahoma"/>
                <w:sz w:val="14"/>
                <w:szCs w:val="14"/>
              </w:rPr>
              <w:t>9</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-Dış Borç Kullanımı</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w:t>
            </w:r>
            <w:r>
              <w:rPr>
                <w:rFonts w:cs="Tahoma"/>
                <w:sz w:val="14"/>
                <w:szCs w:val="14"/>
              </w:rPr>
              <w:t>3</w:t>
            </w:r>
            <w:r w:rsidRPr="00BF3740">
              <w:rPr>
                <w:rFonts w:cs="Tahoma"/>
                <w:sz w:val="14"/>
                <w:szCs w:val="14"/>
              </w:rPr>
              <w:t xml:space="preserve"> </w:t>
            </w:r>
            <w:r>
              <w:rPr>
                <w:rFonts w:cs="Tahoma"/>
                <w:sz w:val="14"/>
                <w:szCs w:val="14"/>
              </w:rPr>
              <w:t>990</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1 018</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15 </w:t>
            </w:r>
            <w:r>
              <w:rPr>
                <w:rFonts w:cs="Tahoma"/>
                <w:sz w:val="14"/>
                <w:szCs w:val="14"/>
              </w:rPr>
              <w:t>009</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- 386</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162</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- 224</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w:t>
            </w:r>
            <w:r>
              <w:rPr>
                <w:rFonts w:cs="Tahoma"/>
                <w:sz w:val="14"/>
                <w:szCs w:val="14"/>
              </w:rPr>
              <w:t>4</w:t>
            </w:r>
            <w:r w:rsidRPr="00BF3740">
              <w:rPr>
                <w:rFonts w:cs="Tahoma"/>
                <w:sz w:val="14"/>
                <w:szCs w:val="14"/>
              </w:rPr>
              <w:t xml:space="preserve"> </w:t>
            </w:r>
            <w:r>
              <w:rPr>
                <w:rFonts w:cs="Tahoma"/>
                <w:sz w:val="14"/>
                <w:szCs w:val="14"/>
              </w:rPr>
              <w:t>785</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3. İç Borç/Alacak (net)</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w:t>
            </w:r>
            <w:r>
              <w:rPr>
                <w:rFonts w:cs="Tahoma"/>
                <w:sz w:val="14"/>
                <w:szCs w:val="14"/>
              </w:rPr>
              <w:t>5</w:t>
            </w:r>
            <w:r w:rsidRPr="00BF3740">
              <w:rPr>
                <w:rFonts w:cs="Tahoma"/>
                <w:sz w:val="14"/>
                <w:szCs w:val="14"/>
              </w:rPr>
              <w:t xml:space="preserve"> </w:t>
            </w:r>
            <w:r>
              <w:rPr>
                <w:rFonts w:cs="Tahoma"/>
                <w:sz w:val="14"/>
                <w:szCs w:val="14"/>
              </w:rPr>
              <w:t>314</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-1 270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- 256</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-7 582</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- 320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-1 922</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3 </w:t>
            </w:r>
            <w:r>
              <w:rPr>
                <w:rFonts w:cs="Tahoma"/>
                <w:sz w:val="14"/>
                <w:szCs w:val="14"/>
              </w:rPr>
              <w:t>964</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- 155</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- 729</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- 884</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Pr>
                <w:rFonts w:cs="Tahoma"/>
                <w:sz w:val="14"/>
                <w:szCs w:val="14"/>
              </w:rPr>
              <w:t>3</w:t>
            </w:r>
            <w:r w:rsidRPr="00BF3740">
              <w:rPr>
                <w:rFonts w:cs="Tahoma"/>
                <w:sz w:val="14"/>
                <w:szCs w:val="14"/>
              </w:rPr>
              <w:t xml:space="preserve"> </w:t>
            </w:r>
            <w:r>
              <w:rPr>
                <w:rFonts w:cs="Tahoma"/>
                <w:sz w:val="14"/>
                <w:szCs w:val="14"/>
              </w:rPr>
              <w:t>080</w:t>
            </w:r>
          </w:p>
        </w:tc>
      </w:tr>
      <w:tr w:rsidR="00565FD5" w:rsidRPr="00BF3740" w:rsidTr="00AB62A3">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565FD5" w:rsidRPr="00BF3740" w:rsidRDefault="00565FD5" w:rsidP="00AB62A3">
            <w:pPr>
              <w:ind w:left="120"/>
              <w:rPr>
                <w:rFonts w:eastAsia="Arial Unicode MS" w:cs="Tahoma"/>
                <w:sz w:val="15"/>
                <w:szCs w:val="15"/>
              </w:rPr>
            </w:pPr>
            <w:r w:rsidRPr="00BF3740">
              <w:rPr>
                <w:rFonts w:cs="Tahoma"/>
                <w:sz w:val="15"/>
                <w:szCs w:val="15"/>
              </w:rPr>
              <w:t xml:space="preserve"> 4. Stok Değişim Fonu</w:t>
            </w:r>
          </w:p>
        </w:tc>
        <w:tc>
          <w:tcPr>
            <w:tcW w:w="37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- 16</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- 186</w:t>
            </w:r>
          </w:p>
        </w:tc>
        <w:tc>
          <w:tcPr>
            <w:tcW w:w="38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- 202</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- 669</w:t>
            </w:r>
          </w:p>
        </w:tc>
        <w:tc>
          <w:tcPr>
            <w:tcW w:w="32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- 531</w:t>
            </w:r>
          </w:p>
        </w:tc>
        <w:tc>
          <w:tcPr>
            <w:tcW w:w="32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-1 199</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-1 401</w:t>
            </w:r>
          </w:p>
        </w:tc>
      </w:tr>
      <w:tr w:rsidR="00565FD5" w:rsidRPr="00BF3740" w:rsidTr="00AB62A3">
        <w:trPr>
          <w:trHeight w:hRule="exact" w:val="198"/>
        </w:trPr>
        <w:tc>
          <w:tcPr>
            <w:tcW w:w="1200" w:type="pct"/>
            <w:tcBorders>
              <w:top w:val="nil"/>
              <w:left w:val="single" w:sz="4" w:space="0" w:color="auto"/>
              <w:bottom w:val="single" w:sz="4" w:space="0" w:color="auto"/>
              <w:right w:val="nil"/>
            </w:tcBorders>
            <w:tcMar>
              <w:top w:w="15" w:type="dxa"/>
              <w:left w:w="15" w:type="dxa"/>
              <w:bottom w:w="0" w:type="dxa"/>
              <w:right w:w="15" w:type="dxa"/>
            </w:tcMar>
            <w:vAlign w:val="center"/>
          </w:tcPr>
          <w:p w:rsidR="00565FD5" w:rsidRPr="00BF3740" w:rsidRDefault="00565FD5" w:rsidP="00AB62A3">
            <w:pPr>
              <w:ind w:left="120"/>
              <w:rPr>
                <w:rFonts w:cs="Tahoma"/>
                <w:b/>
                <w:sz w:val="15"/>
                <w:szCs w:val="15"/>
              </w:rPr>
            </w:pPr>
            <w:r w:rsidRPr="00BF3740">
              <w:rPr>
                <w:rFonts w:cs="Tahoma"/>
                <w:b/>
                <w:sz w:val="15"/>
                <w:szCs w:val="15"/>
              </w:rPr>
              <w:t>BORÇLANMA GEREĞİ</w:t>
            </w:r>
          </w:p>
        </w:tc>
        <w:tc>
          <w:tcPr>
            <w:tcW w:w="370"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17 783</w:t>
            </w:r>
          </w:p>
        </w:tc>
        <w:tc>
          <w:tcPr>
            <w:tcW w:w="367"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-2 525</w:t>
            </w:r>
          </w:p>
        </w:tc>
        <w:tc>
          <w:tcPr>
            <w:tcW w:w="329"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-1 241</w:t>
            </w:r>
          </w:p>
        </w:tc>
        <w:tc>
          <w:tcPr>
            <w:tcW w:w="329"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-7 582</w:t>
            </w:r>
          </w:p>
        </w:tc>
        <w:tc>
          <w:tcPr>
            <w:tcW w:w="335"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- 320</w:t>
            </w:r>
          </w:p>
        </w:tc>
        <w:tc>
          <w:tcPr>
            <w:tcW w:w="323"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-1 514</w:t>
            </w:r>
          </w:p>
        </w:tc>
        <w:tc>
          <w:tcPr>
            <w:tcW w:w="380"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4 601</w:t>
            </w:r>
          </w:p>
        </w:tc>
        <w:tc>
          <w:tcPr>
            <w:tcW w:w="334"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-2 169</w:t>
            </w:r>
          </w:p>
        </w:tc>
        <w:tc>
          <w:tcPr>
            <w:tcW w:w="326"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- 641</w:t>
            </w:r>
          </w:p>
        </w:tc>
        <w:tc>
          <w:tcPr>
            <w:tcW w:w="328"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-2 810</w:t>
            </w:r>
          </w:p>
        </w:tc>
        <w:tc>
          <w:tcPr>
            <w:tcW w:w="379" w:type="pct"/>
            <w:tcBorders>
              <w:top w:val="nil"/>
              <w:left w:val="nil"/>
              <w:bottom w:val="single" w:sz="4" w:space="0" w:color="auto"/>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1 790</w:t>
            </w:r>
          </w:p>
        </w:tc>
      </w:tr>
    </w:tbl>
    <w:p w:rsidR="00565FD5" w:rsidRPr="00BF3740" w:rsidRDefault="00565FD5" w:rsidP="00565FD5">
      <w:pPr>
        <w:rPr>
          <w:rFonts w:cs="Tahoma"/>
          <w:sz w:val="14"/>
          <w:szCs w:val="14"/>
        </w:rPr>
      </w:pPr>
      <w:r w:rsidRPr="00BF3740">
        <w:rPr>
          <w:rFonts w:cs="Tahoma"/>
          <w:sz w:val="14"/>
          <w:szCs w:val="14"/>
        </w:rPr>
        <w:t>Kaynak: Kalkınma Bakanlığı</w:t>
      </w:r>
    </w:p>
    <w:p w:rsidR="00565FD5" w:rsidRPr="00BF3740" w:rsidRDefault="00565FD5" w:rsidP="00565FD5">
      <w:pPr>
        <w:rPr>
          <w:rFonts w:eastAsia="Arial Unicode MS" w:cs="Tahoma"/>
          <w:sz w:val="14"/>
          <w:szCs w:val="14"/>
        </w:rPr>
      </w:pPr>
      <w:r w:rsidRPr="00BF3740">
        <w:rPr>
          <w:rFonts w:eastAsia="Arial Unicode MS" w:cs="Tahoma"/>
          <w:sz w:val="14"/>
          <w:szCs w:val="14"/>
        </w:rPr>
        <w:lastRenderedPageBreak/>
        <w:t>Not: Genel sağlık sigortası hesapları, sosyal güvenlik dengesi içerisinde yer almaktadır.</w:t>
      </w:r>
    </w:p>
    <w:p w:rsidR="00565FD5" w:rsidRPr="00BF3740" w:rsidRDefault="00565FD5" w:rsidP="00565FD5">
      <w:pPr>
        <w:pStyle w:val="ResimYazs"/>
        <w:rPr>
          <w:b w:val="0"/>
        </w:rPr>
      </w:pPr>
      <w:r w:rsidRPr="00BF3740">
        <w:rPr>
          <w:b w:val="0"/>
          <w:sz w:val="22"/>
          <w:szCs w:val="22"/>
        </w:rPr>
        <w:br w:type="page"/>
      </w:r>
      <w:bookmarkStart w:id="906" w:name="_Toc213071651"/>
      <w:bookmarkStart w:id="907" w:name="_Toc275874276"/>
      <w:bookmarkStart w:id="908" w:name="_Toc276076457"/>
      <w:bookmarkStart w:id="909" w:name="_Toc338605983"/>
      <w:bookmarkStart w:id="910" w:name="_Toc338711758"/>
      <w:bookmarkEnd w:id="903"/>
      <w:bookmarkEnd w:id="904"/>
      <w:bookmarkEnd w:id="905"/>
      <w:r>
        <w:lastRenderedPageBreak/>
        <w:t xml:space="preserve">TABLO III: </w:t>
      </w:r>
      <w:fldSimple w:instr=" SEQ TABLO_III: \* ARABIC ">
        <w:r>
          <w:rPr>
            <w:noProof/>
          </w:rPr>
          <w:t>5</w:t>
        </w:r>
      </w:fldSimple>
      <w:r w:rsidRPr="00FF6818">
        <w:t>- 2012 Yılı Kamu Kesimi Genel Dengesi</w:t>
      </w:r>
      <w:r w:rsidRPr="00BF3740">
        <w:rPr>
          <w:b w:val="0"/>
        </w:rPr>
        <w:t xml:space="preserve"> (1)</w:t>
      </w:r>
      <w:bookmarkEnd w:id="906"/>
      <w:bookmarkEnd w:id="907"/>
      <w:bookmarkEnd w:id="908"/>
      <w:bookmarkEnd w:id="909"/>
      <w:bookmarkEnd w:id="910"/>
    </w:p>
    <w:p w:rsidR="00565FD5" w:rsidRPr="00BF3740" w:rsidRDefault="00565FD5" w:rsidP="00565FD5">
      <w:pPr>
        <w:ind w:right="54"/>
        <w:jc w:val="right"/>
        <w:rPr>
          <w:sz w:val="16"/>
          <w:szCs w:val="16"/>
        </w:rPr>
      </w:pPr>
      <w:r w:rsidRPr="00BF3740">
        <w:rPr>
          <w:sz w:val="16"/>
          <w:szCs w:val="16"/>
        </w:rPr>
        <w:t xml:space="preserve"> (Cari Fiyatlarla, Milyon TL)</w:t>
      </w:r>
    </w:p>
    <w:tbl>
      <w:tblPr>
        <w:tblW w:w="4984" w:type="pct"/>
        <w:tblCellMar>
          <w:left w:w="0" w:type="dxa"/>
          <w:right w:w="0" w:type="dxa"/>
        </w:tblCellMar>
        <w:tblLook w:val="0000"/>
      </w:tblPr>
      <w:tblGrid>
        <w:gridCol w:w="2657"/>
        <w:gridCol w:w="811"/>
        <w:gridCol w:w="813"/>
        <w:gridCol w:w="715"/>
        <w:gridCol w:w="715"/>
        <w:gridCol w:w="732"/>
        <w:gridCol w:w="715"/>
        <w:gridCol w:w="894"/>
        <w:gridCol w:w="732"/>
        <w:gridCol w:w="678"/>
        <w:gridCol w:w="717"/>
        <w:gridCol w:w="750"/>
      </w:tblGrid>
      <w:tr w:rsidR="00565FD5" w:rsidRPr="00BF3740" w:rsidTr="00AB62A3">
        <w:trPr>
          <w:trHeight w:hRule="exact" w:val="198"/>
        </w:trPr>
        <w:tc>
          <w:tcPr>
            <w:tcW w:w="1216" w:type="pct"/>
            <w:tcBorders>
              <w:top w:val="single" w:sz="4" w:space="0" w:color="auto"/>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rPr>
                <w:rFonts w:eastAsia="Arial Unicode MS" w:cs="Tahoma"/>
                <w:sz w:val="15"/>
                <w:szCs w:val="15"/>
              </w:rPr>
            </w:pPr>
            <w:r w:rsidRPr="00BF3740">
              <w:rPr>
                <w:rFonts w:cs="Tahoma"/>
                <w:sz w:val="15"/>
                <w:szCs w:val="15"/>
              </w:rPr>
              <w:t> </w:t>
            </w:r>
          </w:p>
        </w:tc>
        <w:tc>
          <w:tcPr>
            <w:tcW w:w="371"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eastAsia="Arial Unicode MS" w:cs="Tahoma"/>
                <w:sz w:val="15"/>
                <w:szCs w:val="15"/>
              </w:rPr>
            </w:pPr>
            <w:r w:rsidRPr="00BF3740">
              <w:rPr>
                <w:rFonts w:cs="Tahoma"/>
                <w:sz w:val="15"/>
                <w:szCs w:val="15"/>
              </w:rPr>
              <w:t> </w:t>
            </w:r>
          </w:p>
        </w:tc>
        <w:tc>
          <w:tcPr>
            <w:tcW w:w="372"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p>
        </w:tc>
        <w:tc>
          <w:tcPr>
            <w:tcW w:w="327"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eastAsia="Arial Unicode MS" w:cs="Tahoma"/>
                <w:sz w:val="15"/>
                <w:szCs w:val="15"/>
              </w:rPr>
            </w:pPr>
            <w:r w:rsidRPr="00BF3740">
              <w:rPr>
                <w:rFonts w:cs="Tahoma"/>
                <w:sz w:val="15"/>
                <w:szCs w:val="15"/>
              </w:rPr>
              <w:t> </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eastAsia="Arial Unicode MS" w:cs="Tahoma"/>
                <w:sz w:val="15"/>
                <w:szCs w:val="15"/>
              </w:rPr>
            </w:pPr>
            <w:r w:rsidRPr="00BF3740">
              <w:rPr>
                <w:rFonts w:cs="Tahoma"/>
                <w:sz w:val="15"/>
                <w:szCs w:val="15"/>
              </w:rPr>
              <w:t> </w:t>
            </w:r>
          </w:p>
        </w:tc>
        <w:tc>
          <w:tcPr>
            <w:tcW w:w="335" w:type="pct"/>
            <w:tcBorders>
              <w:top w:val="single" w:sz="4" w:space="0" w:color="auto"/>
              <w:left w:val="nil"/>
            </w:tcBorders>
            <w:tcMar>
              <w:top w:w="15" w:type="dxa"/>
              <w:left w:w="15" w:type="dxa"/>
              <w:bottom w:w="0" w:type="dxa"/>
              <w:right w:w="15" w:type="dxa"/>
            </w:tcMar>
            <w:vAlign w:val="bottom"/>
          </w:tcPr>
          <w:p w:rsidR="00565FD5" w:rsidRPr="00BF3740" w:rsidRDefault="00565FD5" w:rsidP="00AB62A3">
            <w:pPr>
              <w:jc w:val="right"/>
              <w:rPr>
                <w:rFonts w:eastAsia="Arial Unicode MS" w:cs="Tahoma"/>
                <w:sz w:val="15"/>
                <w:szCs w:val="15"/>
              </w:rPr>
            </w:pPr>
          </w:p>
        </w:tc>
        <w:tc>
          <w:tcPr>
            <w:tcW w:w="327" w:type="pct"/>
            <w:tcBorders>
              <w:top w:val="single" w:sz="4" w:space="0" w:color="auto"/>
              <w:left w:val="nil"/>
            </w:tcBorders>
            <w:vAlign w:val="bottom"/>
          </w:tcPr>
          <w:p w:rsidR="00565FD5" w:rsidRPr="00BF3740" w:rsidRDefault="00565FD5" w:rsidP="00AB62A3">
            <w:pPr>
              <w:jc w:val="right"/>
              <w:rPr>
                <w:rFonts w:eastAsia="Arial Unicode MS" w:cs="Tahoma"/>
                <w:sz w:val="15"/>
                <w:szCs w:val="15"/>
              </w:rPr>
            </w:pPr>
          </w:p>
        </w:tc>
        <w:tc>
          <w:tcPr>
            <w:tcW w:w="409" w:type="pct"/>
            <w:tcBorders>
              <w:top w:val="single" w:sz="4" w:space="0" w:color="auto"/>
              <w:left w:val="nil"/>
            </w:tcBorders>
            <w:vAlign w:val="bottom"/>
          </w:tcPr>
          <w:p w:rsidR="00565FD5" w:rsidRPr="00BF3740" w:rsidRDefault="00565FD5" w:rsidP="00AB62A3">
            <w:pPr>
              <w:jc w:val="right"/>
              <w:rPr>
                <w:rFonts w:eastAsia="Arial Unicode MS" w:cs="Tahoma"/>
                <w:sz w:val="15"/>
                <w:szCs w:val="15"/>
              </w:rPr>
            </w:pPr>
          </w:p>
        </w:tc>
        <w:tc>
          <w:tcPr>
            <w:tcW w:w="973" w:type="pct"/>
            <w:gridSpan w:val="3"/>
            <w:tcBorders>
              <w:top w:val="single" w:sz="4" w:space="0" w:color="auto"/>
            </w:tcBorders>
            <w:vAlign w:val="bottom"/>
          </w:tcPr>
          <w:p w:rsidR="00565FD5" w:rsidRPr="00BF3740" w:rsidRDefault="00565FD5" w:rsidP="00AB62A3">
            <w:pPr>
              <w:jc w:val="center"/>
              <w:rPr>
                <w:rFonts w:eastAsia="Arial Unicode MS" w:cs="Tahoma"/>
                <w:sz w:val="15"/>
                <w:szCs w:val="15"/>
              </w:rPr>
            </w:pPr>
            <w:r w:rsidRPr="00BF3740">
              <w:rPr>
                <w:rFonts w:cs="Tahoma"/>
                <w:b/>
                <w:bCs/>
                <w:sz w:val="15"/>
                <w:szCs w:val="15"/>
              </w:rPr>
              <w:t>KİT</w:t>
            </w:r>
          </w:p>
        </w:tc>
        <w:tc>
          <w:tcPr>
            <w:tcW w:w="343" w:type="pct"/>
            <w:tcBorders>
              <w:top w:val="single" w:sz="4" w:space="0" w:color="auto"/>
              <w:left w:val="nil"/>
              <w:right w:val="single" w:sz="4" w:space="0" w:color="auto"/>
            </w:tcBorders>
            <w:vAlign w:val="bottom"/>
          </w:tcPr>
          <w:p w:rsidR="00565FD5" w:rsidRPr="00BF3740" w:rsidRDefault="00565FD5" w:rsidP="00AB62A3">
            <w:pPr>
              <w:jc w:val="right"/>
              <w:rPr>
                <w:rFonts w:eastAsia="Arial Unicode MS" w:cs="Tahoma"/>
                <w:sz w:val="15"/>
                <w:szCs w:val="15"/>
              </w:rPr>
            </w:pPr>
          </w:p>
        </w:tc>
      </w:tr>
      <w:tr w:rsidR="00565FD5" w:rsidRPr="00BF3740" w:rsidTr="00AB62A3">
        <w:trPr>
          <w:trHeight w:hRule="exact" w:val="567"/>
        </w:trPr>
        <w:tc>
          <w:tcPr>
            <w:tcW w:w="1216" w:type="pct"/>
            <w:tcBorders>
              <w:top w:val="nil"/>
              <w:left w:val="single" w:sz="4" w:space="0" w:color="auto"/>
              <w:bottom w:val="single" w:sz="4" w:space="0" w:color="auto"/>
              <w:right w:val="nil"/>
            </w:tcBorders>
            <w:tcMar>
              <w:top w:w="15" w:type="dxa"/>
              <w:left w:w="15" w:type="dxa"/>
              <w:bottom w:w="0" w:type="dxa"/>
              <w:right w:w="15" w:type="dxa"/>
            </w:tcMar>
            <w:vAlign w:val="bottom"/>
          </w:tcPr>
          <w:p w:rsidR="00565FD5" w:rsidRPr="00BF3740" w:rsidRDefault="00565FD5" w:rsidP="00AB62A3">
            <w:pPr>
              <w:rPr>
                <w:rFonts w:eastAsia="Arial Unicode MS" w:cs="Tahoma"/>
                <w:sz w:val="15"/>
                <w:szCs w:val="15"/>
              </w:rPr>
            </w:pPr>
            <w:r w:rsidRPr="00BF3740">
              <w:rPr>
                <w:rFonts w:cs="Tahoma"/>
                <w:sz w:val="15"/>
                <w:szCs w:val="15"/>
              </w:rPr>
              <w:t> </w:t>
            </w:r>
          </w:p>
          <w:p w:rsidR="00565FD5" w:rsidRPr="00BF3740" w:rsidRDefault="00565FD5" w:rsidP="00AB62A3">
            <w:pPr>
              <w:rPr>
                <w:rFonts w:eastAsia="Arial Unicode MS" w:cs="Tahoma"/>
                <w:sz w:val="15"/>
                <w:szCs w:val="15"/>
              </w:rPr>
            </w:pPr>
            <w:r w:rsidRPr="00BF3740">
              <w:rPr>
                <w:rFonts w:cs="Tahoma"/>
                <w:sz w:val="15"/>
                <w:szCs w:val="15"/>
              </w:rPr>
              <w:t> </w:t>
            </w:r>
          </w:p>
        </w:tc>
        <w:tc>
          <w:tcPr>
            <w:tcW w:w="371"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cs="Tahoma"/>
                <w:b/>
                <w:bCs/>
                <w:sz w:val="15"/>
                <w:szCs w:val="15"/>
              </w:rPr>
              <w:t>Merkezi Yönetim Bütçesi</w:t>
            </w:r>
          </w:p>
        </w:tc>
        <w:tc>
          <w:tcPr>
            <w:tcW w:w="372"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cs="Tahoma"/>
                <w:b/>
                <w:bCs/>
                <w:sz w:val="15"/>
                <w:szCs w:val="15"/>
              </w:rPr>
            </w:pPr>
            <w:r w:rsidRPr="00BF3740">
              <w:rPr>
                <w:rFonts w:cs="Tahoma"/>
                <w:b/>
                <w:bCs/>
                <w:sz w:val="15"/>
                <w:szCs w:val="15"/>
              </w:rPr>
              <w:t>Mahalli İdareler</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eastAsia="Arial Unicode MS" w:cs="Tahoma"/>
                <w:b/>
                <w:bCs/>
                <w:sz w:val="15"/>
                <w:szCs w:val="15"/>
              </w:rPr>
              <w:t>Fonlar</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eastAsia="Arial Unicode MS" w:cs="Tahoma"/>
                <w:b/>
                <w:bCs/>
                <w:sz w:val="15"/>
                <w:szCs w:val="15"/>
              </w:rPr>
              <w:t>İşsizlik Sigortası</w:t>
            </w:r>
          </w:p>
        </w:tc>
        <w:tc>
          <w:tcPr>
            <w:tcW w:w="335"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sz w:val="15"/>
                <w:szCs w:val="15"/>
              </w:rPr>
            </w:pPr>
            <w:r w:rsidRPr="00BF3740">
              <w:rPr>
                <w:rFonts w:cs="Tahoma"/>
                <w:b/>
                <w:bCs/>
                <w:sz w:val="15"/>
                <w:szCs w:val="15"/>
              </w:rPr>
              <w:t>Sosyal Güvenlik</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cs="Tahoma"/>
                <w:b/>
                <w:bCs/>
                <w:sz w:val="15"/>
                <w:szCs w:val="15"/>
              </w:rPr>
              <w:t>Döner Sermaye</w:t>
            </w:r>
          </w:p>
        </w:tc>
        <w:tc>
          <w:tcPr>
            <w:tcW w:w="409"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cs="Tahoma"/>
                <w:b/>
                <w:bCs/>
                <w:sz w:val="15"/>
                <w:szCs w:val="15"/>
              </w:rPr>
            </w:pPr>
            <w:r w:rsidRPr="00BF3740">
              <w:rPr>
                <w:rFonts w:cs="Tahoma"/>
                <w:b/>
                <w:bCs/>
                <w:sz w:val="15"/>
                <w:szCs w:val="15"/>
              </w:rPr>
              <w:t>GENEL</w:t>
            </w:r>
          </w:p>
          <w:p w:rsidR="00565FD5" w:rsidRPr="00BF3740" w:rsidRDefault="00565FD5" w:rsidP="00AB62A3">
            <w:pPr>
              <w:jc w:val="center"/>
              <w:rPr>
                <w:rFonts w:eastAsia="Arial Unicode MS" w:cs="Tahoma"/>
                <w:b/>
                <w:bCs/>
                <w:sz w:val="15"/>
                <w:szCs w:val="15"/>
              </w:rPr>
            </w:pPr>
            <w:r w:rsidRPr="00BF3740">
              <w:rPr>
                <w:rFonts w:cs="Tahoma"/>
                <w:b/>
                <w:bCs/>
                <w:sz w:val="15"/>
                <w:szCs w:val="15"/>
              </w:rPr>
              <w:t>DEVLET      TOPLAMI</w:t>
            </w:r>
          </w:p>
        </w:tc>
        <w:tc>
          <w:tcPr>
            <w:tcW w:w="335" w:type="pct"/>
            <w:tcBorders>
              <w:top w:val="single" w:sz="4" w:space="0" w:color="auto"/>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sz w:val="15"/>
                <w:szCs w:val="15"/>
              </w:rPr>
            </w:pPr>
            <w:r w:rsidRPr="00BF3740">
              <w:rPr>
                <w:rFonts w:cs="Tahoma"/>
                <w:b/>
                <w:bCs/>
                <w:sz w:val="15"/>
                <w:szCs w:val="15"/>
              </w:rPr>
              <w:t>İşletmeci</w:t>
            </w:r>
          </w:p>
        </w:tc>
        <w:tc>
          <w:tcPr>
            <w:tcW w:w="310" w:type="pct"/>
            <w:tcBorders>
              <w:top w:val="single" w:sz="4" w:space="0" w:color="auto"/>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cs="Tahoma"/>
                <w:sz w:val="15"/>
                <w:szCs w:val="15"/>
              </w:rPr>
            </w:pPr>
            <w:r w:rsidRPr="00BF3740">
              <w:rPr>
                <w:rFonts w:cs="Tahoma"/>
                <w:b/>
                <w:bCs/>
                <w:sz w:val="15"/>
                <w:szCs w:val="15"/>
              </w:rPr>
              <w:t>Özelleş. Kapsamı</w:t>
            </w:r>
          </w:p>
        </w:tc>
        <w:tc>
          <w:tcPr>
            <w:tcW w:w="327" w:type="pct"/>
            <w:tcBorders>
              <w:top w:val="single" w:sz="4" w:space="0" w:color="auto"/>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cs="Tahoma"/>
                <w:b/>
                <w:bCs/>
                <w:sz w:val="15"/>
                <w:szCs w:val="15"/>
              </w:rPr>
            </w:pPr>
            <w:r w:rsidRPr="00BF3740">
              <w:rPr>
                <w:rFonts w:cs="Tahoma"/>
                <w:b/>
                <w:bCs/>
                <w:sz w:val="15"/>
                <w:szCs w:val="15"/>
              </w:rPr>
              <w:t>TOPLAM</w:t>
            </w:r>
          </w:p>
        </w:tc>
        <w:tc>
          <w:tcPr>
            <w:tcW w:w="343" w:type="pct"/>
            <w:tcBorders>
              <w:top w:val="nil"/>
              <w:left w:val="nil"/>
              <w:bottom w:val="single" w:sz="4" w:space="0" w:color="auto"/>
              <w:right w:val="single" w:sz="4" w:space="0" w:color="auto"/>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cs="Tahoma"/>
                <w:b/>
                <w:bCs/>
                <w:sz w:val="15"/>
                <w:szCs w:val="15"/>
              </w:rPr>
              <w:t>TOPLAM</w:t>
            </w:r>
          </w:p>
          <w:p w:rsidR="00565FD5" w:rsidRPr="00BF3740" w:rsidRDefault="00565FD5" w:rsidP="00AB62A3">
            <w:pPr>
              <w:jc w:val="center"/>
              <w:rPr>
                <w:rFonts w:eastAsia="Arial Unicode MS" w:cs="Tahoma"/>
                <w:b/>
                <w:bCs/>
                <w:sz w:val="15"/>
                <w:szCs w:val="15"/>
              </w:rPr>
            </w:pPr>
            <w:r w:rsidRPr="00BF3740">
              <w:rPr>
                <w:rFonts w:cs="Tahoma"/>
                <w:b/>
                <w:bCs/>
                <w:sz w:val="15"/>
                <w:szCs w:val="15"/>
              </w:rPr>
              <w:t>KAMU</w:t>
            </w:r>
          </w:p>
        </w:tc>
      </w:tr>
      <w:tr w:rsidR="00565FD5" w:rsidRPr="00BF3740" w:rsidTr="00AB62A3">
        <w:trPr>
          <w:trHeight w:hRule="exact" w:val="198"/>
        </w:trPr>
        <w:tc>
          <w:tcPr>
            <w:tcW w:w="1216" w:type="pct"/>
            <w:tcBorders>
              <w:top w:val="single" w:sz="4" w:space="0" w:color="auto"/>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1. Vergiler</w:t>
            </w:r>
          </w:p>
        </w:tc>
        <w:tc>
          <w:tcPr>
            <w:tcW w:w="371"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238 910</w:t>
            </w:r>
          </w:p>
        </w:tc>
        <w:tc>
          <w:tcPr>
            <w:tcW w:w="372"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32 235</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5 499</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- 88</w:t>
            </w:r>
          </w:p>
        </w:tc>
        <w:tc>
          <w:tcPr>
            <w:tcW w:w="409"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276 557</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-1 050</w:t>
            </w:r>
          </w:p>
        </w:tc>
        <w:tc>
          <w:tcPr>
            <w:tcW w:w="310"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- 36</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-1 086</w:t>
            </w:r>
          </w:p>
        </w:tc>
        <w:tc>
          <w:tcPr>
            <w:tcW w:w="343"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275 471</w:t>
            </w:r>
          </w:p>
        </w:tc>
      </w:tr>
      <w:tr w:rsidR="00565FD5" w:rsidRPr="00BF3740" w:rsidTr="00AB62A3">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a. Vasıtasız</w:t>
            </w:r>
          </w:p>
        </w:tc>
        <w:tc>
          <w:tcPr>
            <w:tcW w:w="371"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71 175</w:t>
            </w:r>
          </w:p>
        </w:tc>
        <w:tc>
          <w:tcPr>
            <w:tcW w:w="372"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9 075</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5 499</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- 88</w:t>
            </w:r>
          </w:p>
        </w:tc>
        <w:tc>
          <w:tcPr>
            <w:tcW w:w="40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85 661</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-1 050</w:t>
            </w:r>
          </w:p>
        </w:tc>
        <w:tc>
          <w:tcPr>
            <w:tcW w:w="31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- 36</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-1 086</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84 575</w:t>
            </w:r>
          </w:p>
        </w:tc>
      </w:tr>
      <w:tr w:rsidR="00565FD5" w:rsidRPr="00BF3740" w:rsidTr="00AB62A3">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b. Vasıtalı</w:t>
            </w:r>
          </w:p>
        </w:tc>
        <w:tc>
          <w:tcPr>
            <w:tcW w:w="371"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167 736</w:t>
            </w:r>
          </w:p>
        </w:tc>
        <w:tc>
          <w:tcPr>
            <w:tcW w:w="372"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23 160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190 896</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190 896</w:t>
            </w:r>
          </w:p>
        </w:tc>
      </w:tr>
      <w:tr w:rsidR="00565FD5" w:rsidRPr="00BF3740" w:rsidTr="00AB62A3">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2. Vergi Dışı Normal Gelirler</w:t>
            </w:r>
          </w:p>
        </w:tc>
        <w:tc>
          <w:tcPr>
            <w:tcW w:w="371"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22 080</w:t>
            </w:r>
          </w:p>
        </w:tc>
        <w:tc>
          <w:tcPr>
            <w:tcW w:w="372"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6 411</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928</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- 440</w:t>
            </w:r>
          </w:p>
        </w:tc>
        <w:tc>
          <w:tcPr>
            <w:tcW w:w="40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28 980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-1 821</w:t>
            </w:r>
          </w:p>
        </w:tc>
        <w:tc>
          <w:tcPr>
            <w:tcW w:w="31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-1 821</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27 159</w:t>
            </w:r>
          </w:p>
        </w:tc>
      </w:tr>
      <w:tr w:rsidR="00565FD5" w:rsidRPr="00BF3740" w:rsidTr="00AB62A3">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3. Faktör Gelirleri</w:t>
            </w:r>
          </w:p>
        </w:tc>
        <w:tc>
          <w:tcPr>
            <w:tcW w:w="371"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24 548</w:t>
            </w:r>
          </w:p>
        </w:tc>
        <w:tc>
          <w:tcPr>
            <w:tcW w:w="372"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10 388</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65</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4 160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2 107</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1 598</w:t>
            </w:r>
          </w:p>
        </w:tc>
        <w:tc>
          <w:tcPr>
            <w:tcW w:w="40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42 867</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4 439</w:t>
            </w:r>
          </w:p>
        </w:tc>
        <w:tc>
          <w:tcPr>
            <w:tcW w:w="31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- 584</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3 856</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46 723</w:t>
            </w:r>
          </w:p>
        </w:tc>
      </w:tr>
      <w:tr w:rsidR="00565FD5" w:rsidRPr="00BF3740" w:rsidTr="00AB62A3">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4. Sosyal Fonlar</w:t>
            </w:r>
          </w:p>
        </w:tc>
        <w:tc>
          <w:tcPr>
            <w:tcW w:w="371"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72"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2 271</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-22 488</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-20 218</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-20 218</w:t>
            </w:r>
          </w:p>
        </w:tc>
      </w:tr>
      <w:tr w:rsidR="00565FD5" w:rsidRPr="00BF3740" w:rsidTr="00AB62A3">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5. Cari Transferler</w:t>
            </w:r>
          </w:p>
        </w:tc>
        <w:tc>
          <w:tcPr>
            <w:tcW w:w="371"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-146 759</w:t>
            </w:r>
          </w:p>
        </w:tc>
        <w:tc>
          <w:tcPr>
            <w:tcW w:w="372"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-3 557</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-2 707</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1 550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20 501</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-130 971</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2 373</w:t>
            </w:r>
          </w:p>
        </w:tc>
        <w:tc>
          <w:tcPr>
            <w:tcW w:w="31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6</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2 378</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-128 593</w:t>
            </w:r>
          </w:p>
        </w:tc>
      </w:tr>
      <w:tr w:rsidR="00565FD5" w:rsidRPr="00BF3740" w:rsidTr="00AB62A3">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b/>
                <w:bCs/>
                <w:sz w:val="15"/>
                <w:szCs w:val="15"/>
              </w:rPr>
            </w:pPr>
            <w:r w:rsidRPr="00BF3740">
              <w:rPr>
                <w:rFonts w:cs="Tahoma"/>
                <w:b/>
                <w:bCs/>
                <w:sz w:val="15"/>
                <w:szCs w:val="15"/>
              </w:rPr>
              <w:t>I. KAMU HARCANABİLİR GELİRİ</w:t>
            </w:r>
          </w:p>
        </w:tc>
        <w:tc>
          <w:tcPr>
            <w:tcW w:w="371"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138 780</w:t>
            </w:r>
          </w:p>
        </w:tc>
        <w:tc>
          <w:tcPr>
            <w:tcW w:w="372"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45 478</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3 786</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7 980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120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1 071</w:t>
            </w:r>
          </w:p>
        </w:tc>
        <w:tc>
          <w:tcPr>
            <w:tcW w:w="40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197 215</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3 941</w:t>
            </w:r>
          </w:p>
        </w:tc>
        <w:tc>
          <w:tcPr>
            <w:tcW w:w="31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- 614</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3 327</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200 542</w:t>
            </w:r>
          </w:p>
        </w:tc>
      </w:tr>
      <w:tr w:rsidR="00565FD5" w:rsidRPr="00BF3740" w:rsidTr="00AB62A3">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b/>
                <w:bCs/>
                <w:sz w:val="15"/>
                <w:szCs w:val="15"/>
              </w:rPr>
            </w:pPr>
            <w:r w:rsidRPr="00BF3740">
              <w:rPr>
                <w:rFonts w:cs="Tahoma"/>
                <w:b/>
                <w:bCs/>
                <w:sz w:val="15"/>
                <w:szCs w:val="15"/>
              </w:rPr>
              <w:t>II. CARİ GİDERLER</w:t>
            </w:r>
          </w:p>
        </w:tc>
        <w:tc>
          <w:tcPr>
            <w:tcW w:w="371"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-131 062</w:t>
            </w:r>
          </w:p>
        </w:tc>
        <w:tc>
          <w:tcPr>
            <w:tcW w:w="372"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-32 455</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-2 525</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-166 042</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-166 042</w:t>
            </w:r>
          </w:p>
        </w:tc>
      </w:tr>
      <w:tr w:rsidR="00565FD5" w:rsidRPr="00BF3740" w:rsidTr="00AB62A3">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b/>
                <w:bCs/>
                <w:sz w:val="15"/>
                <w:szCs w:val="15"/>
              </w:rPr>
            </w:pPr>
            <w:r w:rsidRPr="00BF3740">
              <w:rPr>
                <w:rFonts w:cs="Tahoma"/>
                <w:b/>
                <w:bCs/>
                <w:sz w:val="15"/>
                <w:szCs w:val="15"/>
              </w:rPr>
              <w:t>III. KAMU TASARRUFU</w:t>
            </w:r>
          </w:p>
        </w:tc>
        <w:tc>
          <w:tcPr>
            <w:tcW w:w="371"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7 718</w:t>
            </w:r>
          </w:p>
        </w:tc>
        <w:tc>
          <w:tcPr>
            <w:tcW w:w="372"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13 023</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1 261</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7 980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120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1 071</w:t>
            </w:r>
          </w:p>
        </w:tc>
        <w:tc>
          <w:tcPr>
            <w:tcW w:w="40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31 174</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3 941</w:t>
            </w:r>
          </w:p>
        </w:tc>
        <w:tc>
          <w:tcPr>
            <w:tcW w:w="31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- 614</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3 327</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34 501</w:t>
            </w:r>
          </w:p>
        </w:tc>
      </w:tr>
      <w:tr w:rsidR="00565FD5" w:rsidRPr="00BF3740" w:rsidTr="00AB62A3">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b/>
                <w:bCs/>
                <w:sz w:val="15"/>
                <w:szCs w:val="15"/>
              </w:rPr>
            </w:pPr>
            <w:r w:rsidRPr="00BF3740">
              <w:rPr>
                <w:rFonts w:cs="Tahoma"/>
                <w:b/>
                <w:bCs/>
                <w:sz w:val="15"/>
                <w:szCs w:val="15"/>
              </w:rPr>
              <w:t>IV. YATIRIMLAR</w:t>
            </w:r>
          </w:p>
        </w:tc>
        <w:tc>
          <w:tcPr>
            <w:tcW w:w="371"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-37 182</w:t>
            </w:r>
          </w:p>
        </w:tc>
        <w:tc>
          <w:tcPr>
            <w:tcW w:w="372"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-15 144</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- 120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-1 485</w:t>
            </w:r>
          </w:p>
        </w:tc>
        <w:tc>
          <w:tcPr>
            <w:tcW w:w="40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-53 931</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-8 754</w:t>
            </w:r>
          </w:p>
        </w:tc>
        <w:tc>
          <w:tcPr>
            <w:tcW w:w="31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- 322</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-9 076</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-63 007</w:t>
            </w:r>
          </w:p>
        </w:tc>
      </w:tr>
      <w:tr w:rsidR="00565FD5" w:rsidRPr="00BF3740" w:rsidTr="00AB62A3">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a. Sabit Sermaye</w:t>
            </w:r>
          </w:p>
        </w:tc>
        <w:tc>
          <w:tcPr>
            <w:tcW w:w="371"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-37 182</w:t>
            </w:r>
          </w:p>
        </w:tc>
        <w:tc>
          <w:tcPr>
            <w:tcW w:w="372"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-15 141</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- 120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-1 374</w:t>
            </w:r>
          </w:p>
        </w:tc>
        <w:tc>
          <w:tcPr>
            <w:tcW w:w="40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-53 816</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-7 260</w:t>
            </w:r>
          </w:p>
        </w:tc>
        <w:tc>
          <w:tcPr>
            <w:tcW w:w="31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- 756</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-8 016</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-61 832</w:t>
            </w:r>
          </w:p>
        </w:tc>
      </w:tr>
      <w:tr w:rsidR="00565FD5" w:rsidRPr="00BF3740" w:rsidTr="00AB62A3">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b. Stok Değişmesi</w:t>
            </w:r>
          </w:p>
        </w:tc>
        <w:tc>
          <w:tcPr>
            <w:tcW w:w="371"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72"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- 4</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- 111</w:t>
            </w:r>
          </w:p>
        </w:tc>
        <w:tc>
          <w:tcPr>
            <w:tcW w:w="40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- 115</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-1 495</w:t>
            </w:r>
          </w:p>
        </w:tc>
        <w:tc>
          <w:tcPr>
            <w:tcW w:w="31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434</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-1 061</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-1 175</w:t>
            </w:r>
          </w:p>
        </w:tc>
      </w:tr>
      <w:tr w:rsidR="00565FD5" w:rsidRPr="00BF3740" w:rsidTr="00AB62A3">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b/>
                <w:bCs/>
                <w:sz w:val="15"/>
                <w:szCs w:val="15"/>
              </w:rPr>
            </w:pPr>
            <w:r w:rsidRPr="00BF3740">
              <w:rPr>
                <w:rFonts w:cs="Tahoma"/>
                <w:b/>
                <w:bCs/>
                <w:sz w:val="15"/>
                <w:szCs w:val="15"/>
              </w:rPr>
              <w:t>V. TASARRUF-YATIRIM FARKI</w:t>
            </w:r>
          </w:p>
        </w:tc>
        <w:tc>
          <w:tcPr>
            <w:tcW w:w="371"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-29 463</w:t>
            </w:r>
          </w:p>
        </w:tc>
        <w:tc>
          <w:tcPr>
            <w:tcW w:w="372"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-2 122</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1 261</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7 980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- 414</w:t>
            </w:r>
          </w:p>
        </w:tc>
        <w:tc>
          <w:tcPr>
            <w:tcW w:w="40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-22 757</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-4 814</w:t>
            </w:r>
          </w:p>
        </w:tc>
        <w:tc>
          <w:tcPr>
            <w:tcW w:w="31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- 936</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-5 749</w:t>
            </w:r>
          </w:p>
        </w:tc>
        <w:tc>
          <w:tcPr>
            <w:tcW w:w="343" w:type="pct"/>
            <w:tcBorders>
              <w:top w:val="nil"/>
              <w:left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-28 507</w:t>
            </w:r>
          </w:p>
        </w:tc>
      </w:tr>
      <w:tr w:rsidR="00565FD5" w:rsidRPr="00BF3740" w:rsidTr="00AB62A3">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b/>
                <w:bCs/>
                <w:sz w:val="15"/>
                <w:szCs w:val="15"/>
              </w:rPr>
            </w:pPr>
            <w:r w:rsidRPr="00BF3740">
              <w:rPr>
                <w:rFonts w:cs="Tahoma"/>
                <w:b/>
                <w:bCs/>
                <w:sz w:val="15"/>
                <w:szCs w:val="15"/>
              </w:rPr>
              <w:t>VI. SERMAYE TRANSFERLERİ</w:t>
            </w:r>
          </w:p>
        </w:tc>
        <w:tc>
          <w:tcPr>
            <w:tcW w:w="371"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-4 008</w:t>
            </w:r>
          </w:p>
        </w:tc>
        <w:tc>
          <w:tcPr>
            <w:tcW w:w="372"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3 195</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- 26</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830</w:t>
            </w:r>
          </w:p>
        </w:tc>
        <w:tc>
          <w:tcPr>
            <w:tcW w:w="40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- 10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3 994</w:t>
            </w:r>
          </w:p>
        </w:tc>
        <w:tc>
          <w:tcPr>
            <w:tcW w:w="31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281</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4 276</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4 266</w:t>
            </w:r>
          </w:p>
        </w:tc>
      </w:tr>
      <w:tr w:rsidR="00565FD5" w:rsidRPr="00BF3740" w:rsidTr="00AB62A3">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1. Servet Vergileri</w:t>
            </w:r>
          </w:p>
        </w:tc>
        <w:tc>
          <w:tcPr>
            <w:tcW w:w="371"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6 251</w:t>
            </w:r>
          </w:p>
        </w:tc>
        <w:tc>
          <w:tcPr>
            <w:tcW w:w="372"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3 445</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409"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9 696</w:t>
            </w:r>
          </w:p>
        </w:tc>
        <w:tc>
          <w:tcPr>
            <w:tcW w:w="335"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10"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43" w:type="pct"/>
            <w:tcBorders>
              <w:top w:val="nil"/>
              <w:left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9 696</w:t>
            </w:r>
          </w:p>
        </w:tc>
      </w:tr>
      <w:tr w:rsidR="00565FD5" w:rsidRPr="00BF3740" w:rsidTr="00AB62A3">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2. Diğer Transferler</w:t>
            </w:r>
          </w:p>
        </w:tc>
        <w:tc>
          <w:tcPr>
            <w:tcW w:w="371"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-9 266</w:t>
            </w:r>
          </w:p>
        </w:tc>
        <w:tc>
          <w:tcPr>
            <w:tcW w:w="372"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- 892</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- 26</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-10 185</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5 366</w:t>
            </w:r>
          </w:p>
        </w:tc>
        <w:tc>
          <w:tcPr>
            <w:tcW w:w="31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43</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5 410</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-4 775</w:t>
            </w:r>
          </w:p>
        </w:tc>
      </w:tr>
      <w:tr w:rsidR="00565FD5" w:rsidRPr="00BF3740" w:rsidTr="00AB62A3">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3. Kamulaş. ve Sabit Değer Art. </w:t>
            </w:r>
          </w:p>
        </w:tc>
        <w:tc>
          <w:tcPr>
            <w:tcW w:w="371"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- 993</w:t>
            </w:r>
          </w:p>
        </w:tc>
        <w:tc>
          <w:tcPr>
            <w:tcW w:w="372"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642</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830</w:t>
            </w:r>
          </w:p>
        </w:tc>
        <w:tc>
          <w:tcPr>
            <w:tcW w:w="409"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478</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-1 372</w:t>
            </w:r>
          </w:p>
        </w:tc>
        <w:tc>
          <w:tcPr>
            <w:tcW w:w="310"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238</w:t>
            </w:r>
          </w:p>
        </w:tc>
        <w:tc>
          <w:tcPr>
            <w:tcW w:w="32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-1 134</w:t>
            </w:r>
          </w:p>
        </w:tc>
        <w:tc>
          <w:tcPr>
            <w:tcW w:w="343"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- 656</w:t>
            </w:r>
          </w:p>
        </w:tc>
      </w:tr>
      <w:tr w:rsidR="00565FD5" w:rsidRPr="00BF3740" w:rsidTr="00AB62A3">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b/>
                <w:bCs/>
                <w:sz w:val="15"/>
                <w:szCs w:val="15"/>
              </w:rPr>
            </w:pPr>
            <w:r w:rsidRPr="00BF3740">
              <w:rPr>
                <w:rFonts w:cs="Tahoma"/>
                <w:b/>
                <w:bCs/>
                <w:sz w:val="15"/>
                <w:szCs w:val="15"/>
              </w:rPr>
              <w:t>VII. KASA-BANKA/BORÇLANMA</w:t>
            </w:r>
          </w:p>
        </w:tc>
        <w:tc>
          <w:tcPr>
            <w:tcW w:w="371"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33 472</w:t>
            </w:r>
          </w:p>
        </w:tc>
        <w:tc>
          <w:tcPr>
            <w:tcW w:w="372"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-1 073</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-1 235</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-7 980</w:t>
            </w:r>
          </w:p>
        </w:tc>
        <w:tc>
          <w:tcPr>
            <w:tcW w:w="335"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- 416</w:t>
            </w:r>
          </w:p>
        </w:tc>
        <w:tc>
          <w:tcPr>
            <w:tcW w:w="409"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22 768</w:t>
            </w:r>
          </w:p>
        </w:tc>
        <w:tc>
          <w:tcPr>
            <w:tcW w:w="335"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819</w:t>
            </w:r>
          </w:p>
        </w:tc>
        <w:tc>
          <w:tcPr>
            <w:tcW w:w="310"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654</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1 474</w:t>
            </w:r>
          </w:p>
        </w:tc>
        <w:tc>
          <w:tcPr>
            <w:tcW w:w="343" w:type="pct"/>
            <w:tcBorders>
              <w:top w:val="nil"/>
              <w:left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24 241</w:t>
            </w:r>
          </w:p>
        </w:tc>
      </w:tr>
      <w:tr w:rsidR="00565FD5" w:rsidRPr="00BF3740" w:rsidTr="00AB62A3">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1. Kasa-Banka Değişimi</w:t>
            </w:r>
          </w:p>
        </w:tc>
        <w:tc>
          <w:tcPr>
            <w:tcW w:w="371"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72"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269</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-1 151</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- 203</w:t>
            </w:r>
          </w:p>
        </w:tc>
        <w:tc>
          <w:tcPr>
            <w:tcW w:w="409"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-1 085</w:t>
            </w:r>
          </w:p>
        </w:tc>
        <w:tc>
          <w:tcPr>
            <w:tcW w:w="335"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- 426</w:t>
            </w:r>
          </w:p>
        </w:tc>
        <w:tc>
          <w:tcPr>
            <w:tcW w:w="310"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8</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- 418</w:t>
            </w:r>
          </w:p>
        </w:tc>
        <w:tc>
          <w:tcPr>
            <w:tcW w:w="343" w:type="pct"/>
            <w:tcBorders>
              <w:top w:val="nil"/>
              <w:left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-1 502</w:t>
            </w:r>
          </w:p>
        </w:tc>
      </w:tr>
      <w:tr w:rsidR="00565FD5" w:rsidRPr="00BF3740" w:rsidTr="00AB62A3">
        <w:trPr>
          <w:trHeight w:hRule="exact" w:val="198"/>
        </w:trPr>
        <w:tc>
          <w:tcPr>
            <w:tcW w:w="1216" w:type="pct"/>
            <w:tcBorders>
              <w:left w:val="single" w:sz="4" w:space="0" w:color="auto"/>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2. Dış Borçlanma (net)</w:t>
            </w:r>
          </w:p>
        </w:tc>
        <w:tc>
          <w:tcPr>
            <w:tcW w:w="371" w:type="pct"/>
            <w:tcBorders>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Pr>
                <w:rFonts w:cs="Tahoma"/>
                <w:sz w:val="14"/>
                <w:szCs w:val="14"/>
              </w:rPr>
              <w:t>2 029</w:t>
            </w:r>
          </w:p>
        </w:tc>
        <w:tc>
          <w:tcPr>
            <w:tcW w:w="372" w:type="pct"/>
            <w:tcBorders>
              <w:left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- 235</w:t>
            </w:r>
          </w:p>
        </w:tc>
        <w:tc>
          <w:tcPr>
            <w:tcW w:w="327" w:type="pct"/>
            <w:tcBorders>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- 57</w:t>
            </w:r>
          </w:p>
        </w:tc>
        <w:tc>
          <w:tcPr>
            <w:tcW w:w="327" w:type="pct"/>
            <w:tcBorders>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409" w:type="pct"/>
            <w:tcBorders>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Pr>
                <w:rFonts w:cs="Tahoma"/>
                <w:sz w:val="14"/>
                <w:szCs w:val="14"/>
              </w:rPr>
              <w:t>1 737</w:t>
            </w:r>
          </w:p>
        </w:tc>
        <w:tc>
          <w:tcPr>
            <w:tcW w:w="335" w:type="pct"/>
            <w:tcBorders>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386</w:t>
            </w:r>
          </w:p>
        </w:tc>
        <w:tc>
          <w:tcPr>
            <w:tcW w:w="310" w:type="pct"/>
            <w:tcBorders>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106</w:t>
            </w:r>
          </w:p>
        </w:tc>
        <w:tc>
          <w:tcPr>
            <w:tcW w:w="327" w:type="pct"/>
            <w:tcBorders>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492</w:t>
            </w:r>
          </w:p>
        </w:tc>
        <w:tc>
          <w:tcPr>
            <w:tcW w:w="343" w:type="pct"/>
            <w:tcBorders>
              <w:left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Pr>
                <w:rFonts w:cs="Tahoma"/>
                <w:sz w:val="14"/>
                <w:szCs w:val="14"/>
              </w:rPr>
              <w:t>2 229</w:t>
            </w:r>
          </w:p>
        </w:tc>
      </w:tr>
      <w:tr w:rsidR="00565FD5" w:rsidRPr="00BF3740" w:rsidTr="00AB62A3">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565FD5" w:rsidRPr="00BF3740" w:rsidRDefault="00565FD5" w:rsidP="00AB62A3">
            <w:pPr>
              <w:ind w:left="120"/>
              <w:rPr>
                <w:rFonts w:cs="Tahoma"/>
                <w:sz w:val="15"/>
                <w:szCs w:val="15"/>
              </w:rPr>
            </w:pPr>
            <w:r w:rsidRPr="00BF3740">
              <w:rPr>
                <w:rFonts w:cs="Tahoma"/>
                <w:sz w:val="15"/>
                <w:szCs w:val="15"/>
              </w:rPr>
              <w:t xml:space="preserve">  -Dış Borç Ödemesi</w:t>
            </w:r>
          </w:p>
        </w:tc>
        <w:tc>
          <w:tcPr>
            <w:tcW w:w="371"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Pr>
                <w:rFonts w:cs="Tahoma"/>
                <w:sz w:val="14"/>
                <w:szCs w:val="14"/>
              </w:rPr>
              <w:t>-12 011</w:t>
            </w:r>
          </w:p>
        </w:tc>
        <w:tc>
          <w:tcPr>
            <w:tcW w:w="372"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- 683</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- 57</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409"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w:t>
            </w:r>
            <w:r>
              <w:rPr>
                <w:rFonts w:cs="Tahoma"/>
                <w:sz w:val="14"/>
                <w:szCs w:val="14"/>
              </w:rPr>
              <w:t>12 751</w:t>
            </w:r>
          </w:p>
        </w:tc>
        <w:tc>
          <w:tcPr>
            <w:tcW w:w="335"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-1 332</w:t>
            </w:r>
          </w:p>
        </w:tc>
        <w:tc>
          <w:tcPr>
            <w:tcW w:w="310"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-1 333</w:t>
            </w:r>
          </w:p>
        </w:tc>
        <w:tc>
          <w:tcPr>
            <w:tcW w:w="343" w:type="pct"/>
            <w:tcBorders>
              <w:top w:val="nil"/>
              <w:left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w:t>
            </w:r>
            <w:r>
              <w:rPr>
                <w:rFonts w:cs="Tahoma"/>
                <w:sz w:val="14"/>
                <w:szCs w:val="14"/>
              </w:rPr>
              <w:t>14 084</w:t>
            </w:r>
          </w:p>
        </w:tc>
      </w:tr>
      <w:tr w:rsidR="00565FD5" w:rsidRPr="00BF3740" w:rsidTr="00AB62A3">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565FD5" w:rsidRPr="00BF3740" w:rsidRDefault="00565FD5" w:rsidP="00AB62A3">
            <w:pPr>
              <w:ind w:left="120"/>
              <w:rPr>
                <w:rFonts w:cs="Tahoma"/>
                <w:sz w:val="15"/>
                <w:szCs w:val="15"/>
              </w:rPr>
            </w:pPr>
            <w:r w:rsidRPr="00BF3740">
              <w:rPr>
                <w:rFonts w:cs="Tahoma"/>
                <w:sz w:val="15"/>
                <w:szCs w:val="15"/>
              </w:rPr>
              <w:t xml:space="preserve">  -Dış Borç Kullanımı</w:t>
            </w:r>
          </w:p>
        </w:tc>
        <w:tc>
          <w:tcPr>
            <w:tcW w:w="371"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Pr>
                <w:rFonts w:cs="Tahoma"/>
                <w:sz w:val="14"/>
                <w:szCs w:val="14"/>
              </w:rPr>
              <w:t>14 040</w:t>
            </w:r>
          </w:p>
        </w:tc>
        <w:tc>
          <w:tcPr>
            <w:tcW w:w="372"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448</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409"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Pr>
                <w:rFonts w:cs="Tahoma"/>
                <w:sz w:val="14"/>
                <w:szCs w:val="14"/>
              </w:rPr>
              <w:t>14 488</w:t>
            </w:r>
          </w:p>
        </w:tc>
        <w:tc>
          <w:tcPr>
            <w:tcW w:w="335"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1 718</w:t>
            </w:r>
          </w:p>
        </w:tc>
        <w:tc>
          <w:tcPr>
            <w:tcW w:w="310"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106</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1 825</w:t>
            </w:r>
          </w:p>
        </w:tc>
        <w:tc>
          <w:tcPr>
            <w:tcW w:w="343" w:type="pct"/>
            <w:tcBorders>
              <w:top w:val="nil"/>
              <w:left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Pr>
                <w:rFonts w:cs="Tahoma"/>
                <w:sz w:val="14"/>
                <w:szCs w:val="14"/>
              </w:rPr>
              <w:t>16</w:t>
            </w:r>
            <w:r w:rsidRPr="00BF3740">
              <w:rPr>
                <w:rFonts w:cs="Tahoma"/>
                <w:sz w:val="14"/>
                <w:szCs w:val="14"/>
              </w:rPr>
              <w:t xml:space="preserve"> </w:t>
            </w:r>
            <w:r>
              <w:rPr>
                <w:rFonts w:cs="Tahoma"/>
                <w:sz w:val="14"/>
                <w:szCs w:val="14"/>
              </w:rPr>
              <w:t>312</w:t>
            </w:r>
          </w:p>
        </w:tc>
      </w:tr>
      <w:tr w:rsidR="00565FD5" w:rsidRPr="00BF3740" w:rsidTr="00AB62A3">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3. İç Borç/Alacak (net)</w:t>
            </w:r>
          </w:p>
        </w:tc>
        <w:tc>
          <w:tcPr>
            <w:tcW w:w="371"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w:t>
            </w:r>
            <w:r>
              <w:rPr>
                <w:rFonts w:cs="Tahoma"/>
                <w:sz w:val="14"/>
                <w:szCs w:val="14"/>
              </w:rPr>
              <w:t>1</w:t>
            </w:r>
            <w:r w:rsidRPr="00BF3740">
              <w:rPr>
                <w:rFonts w:cs="Tahoma"/>
                <w:sz w:val="14"/>
                <w:szCs w:val="14"/>
              </w:rPr>
              <w:t xml:space="preserve"> 4</w:t>
            </w:r>
            <w:r>
              <w:rPr>
                <w:rFonts w:cs="Tahoma"/>
                <w:sz w:val="14"/>
                <w:szCs w:val="14"/>
              </w:rPr>
              <w:t>43</w:t>
            </w:r>
          </w:p>
        </w:tc>
        <w:tc>
          <w:tcPr>
            <w:tcW w:w="372"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-1 103</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- 27</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-7 980</w:t>
            </w:r>
          </w:p>
        </w:tc>
        <w:tc>
          <w:tcPr>
            <w:tcW w:w="335"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- 156</w:t>
            </w:r>
          </w:p>
        </w:tc>
        <w:tc>
          <w:tcPr>
            <w:tcW w:w="409"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w:t>
            </w:r>
            <w:r>
              <w:rPr>
                <w:rFonts w:cs="Tahoma"/>
                <w:sz w:val="14"/>
                <w:szCs w:val="14"/>
              </w:rPr>
              <w:t>2</w:t>
            </w:r>
            <w:r w:rsidRPr="00BF3740">
              <w:rPr>
                <w:rFonts w:cs="Tahoma"/>
                <w:sz w:val="14"/>
                <w:szCs w:val="14"/>
              </w:rPr>
              <w:t xml:space="preserve"> </w:t>
            </w:r>
            <w:r>
              <w:rPr>
                <w:rFonts w:cs="Tahoma"/>
                <w:sz w:val="14"/>
                <w:szCs w:val="14"/>
              </w:rPr>
              <w:t>177</w:t>
            </w:r>
          </w:p>
        </w:tc>
        <w:tc>
          <w:tcPr>
            <w:tcW w:w="335"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930</w:t>
            </w:r>
          </w:p>
        </w:tc>
        <w:tc>
          <w:tcPr>
            <w:tcW w:w="310"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998</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1 928</w:t>
            </w:r>
          </w:p>
        </w:tc>
        <w:tc>
          <w:tcPr>
            <w:tcW w:w="343" w:type="pct"/>
            <w:tcBorders>
              <w:top w:val="nil"/>
              <w:left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w:t>
            </w:r>
            <w:r>
              <w:rPr>
                <w:rFonts w:cs="Tahoma"/>
                <w:sz w:val="14"/>
                <w:szCs w:val="14"/>
              </w:rPr>
              <w:t>4</w:t>
            </w:r>
            <w:r w:rsidRPr="00BF3740">
              <w:rPr>
                <w:rFonts w:cs="Tahoma"/>
                <w:sz w:val="14"/>
                <w:szCs w:val="14"/>
              </w:rPr>
              <w:t xml:space="preserve"> 1</w:t>
            </w:r>
            <w:r>
              <w:rPr>
                <w:rFonts w:cs="Tahoma"/>
                <w:sz w:val="14"/>
                <w:szCs w:val="14"/>
              </w:rPr>
              <w:t>05</w:t>
            </w:r>
          </w:p>
        </w:tc>
      </w:tr>
      <w:tr w:rsidR="00565FD5" w:rsidRPr="00BF3740" w:rsidTr="00AB62A3">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4. Stok Değişim Fonu</w:t>
            </w:r>
          </w:p>
        </w:tc>
        <w:tc>
          <w:tcPr>
            <w:tcW w:w="371"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72"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- 5</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- 57</w:t>
            </w:r>
          </w:p>
        </w:tc>
        <w:tc>
          <w:tcPr>
            <w:tcW w:w="409"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- 61</w:t>
            </w:r>
          </w:p>
        </w:tc>
        <w:tc>
          <w:tcPr>
            <w:tcW w:w="335"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- 71</w:t>
            </w:r>
          </w:p>
        </w:tc>
        <w:tc>
          <w:tcPr>
            <w:tcW w:w="310"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- 458</w:t>
            </w:r>
          </w:p>
        </w:tc>
        <w:tc>
          <w:tcPr>
            <w:tcW w:w="32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- 528</w:t>
            </w:r>
          </w:p>
        </w:tc>
        <w:tc>
          <w:tcPr>
            <w:tcW w:w="343" w:type="pct"/>
            <w:tcBorders>
              <w:top w:val="nil"/>
              <w:left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- 590</w:t>
            </w:r>
          </w:p>
        </w:tc>
      </w:tr>
      <w:tr w:rsidR="00565FD5" w:rsidRPr="00BF3740" w:rsidTr="00AB62A3">
        <w:trPr>
          <w:trHeight w:hRule="exact" w:val="198"/>
        </w:trPr>
        <w:tc>
          <w:tcPr>
            <w:tcW w:w="1216" w:type="pct"/>
            <w:tcBorders>
              <w:top w:val="nil"/>
              <w:left w:val="single" w:sz="4" w:space="0" w:color="auto"/>
              <w:bottom w:val="single" w:sz="4" w:space="0" w:color="auto"/>
              <w:right w:val="nil"/>
            </w:tcBorders>
            <w:tcMar>
              <w:top w:w="15" w:type="dxa"/>
              <w:left w:w="15" w:type="dxa"/>
              <w:bottom w:w="0" w:type="dxa"/>
              <w:right w:w="15" w:type="dxa"/>
            </w:tcMar>
            <w:vAlign w:val="bottom"/>
          </w:tcPr>
          <w:p w:rsidR="00565FD5" w:rsidRPr="00BF3740" w:rsidRDefault="00565FD5" w:rsidP="00AB62A3">
            <w:pPr>
              <w:ind w:left="120"/>
              <w:rPr>
                <w:rFonts w:cs="Tahoma"/>
                <w:sz w:val="15"/>
                <w:szCs w:val="15"/>
              </w:rPr>
            </w:pPr>
            <w:r w:rsidRPr="00BF3740">
              <w:rPr>
                <w:rFonts w:cs="Tahoma"/>
                <w:b/>
                <w:sz w:val="15"/>
                <w:szCs w:val="15"/>
              </w:rPr>
              <w:t>BORÇLANMA GEREĞİ</w:t>
            </w:r>
          </w:p>
        </w:tc>
        <w:tc>
          <w:tcPr>
            <w:tcW w:w="371"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33 472</w:t>
            </w:r>
          </w:p>
        </w:tc>
        <w:tc>
          <w:tcPr>
            <w:tcW w:w="372"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-1 069</w:t>
            </w:r>
          </w:p>
        </w:tc>
        <w:tc>
          <w:tcPr>
            <w:tcW w:w="327"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-1 235</w:t>
            </w:r>
          </w:p>
        </w:tc>
        <w:tc>
          <w:tcPr>
            <w:tcW w:w="327"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-7 980</w:t>
            </w:r>
          </w:p>
        </w:tc>
        <w:tc>
          <w:tcPr>
            <w:tcW w:w="335"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27"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- 359</w:t>
            </w:r>
          </w:p>
        </w:tc>
        <w:tc>
          <w:tcPr>
            <w:tcW w:w="409"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22 829</w:t>
            </w:r>
          </w:p>
        </w:tc>
        <w:tc>
          <w:tcPr>
            <w:tcW w:w="335"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890</w:t>
            </w:r>
          </w:p>
        </w:tc>
        <w:tc>
          <w:tcPr>
            <w:tcW w:w="310"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1 112</w:t>
            </w:r>
          </w:p>
        </w:tc>
        <w:tc>
          <w:tcPr>
            <w:tcW w:w="327"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2 002</w:t>
            </w:r>
          </w:p>
        </w:tc>
        <w:tc>
          <w:tcPr>
            <w:tcW w:w="343" w:type="pct"/>
            <w:tcBorders>
              <w:top w:val="nil"/>
              <w:left w:val="nil"/>
              <w:bottom w:val="single" w:sz="4" w:space="0" w:color="auto"/>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24 831</w:t>
            </w:r>
          </w:p>
        </w:tc>
      </w:tr>
    </w:tbl>
    <w:p w:rsidR="00565FD5" w:rsidRPr="00BF3740" w:rsidRDefault="00565FD5" w:rsidP="00565FD5">
      <w:pPr>
        <w:rPr>
          <w:rFonts w:cs="Tahoma"/>
          <w:sz w:val="14"/>
          <w:szCs w:val="14"/>
        </w:rPr>
      </w:pPr>
      <w:r w:rsidRPr="00BF3740">
        <w:rPr>
          <w:rFonts w:cs="Tahoma"/>
          <w:sz w:val="14"/>
          <w:szCs w:val="14"/>
        </w:rPr>
        <w:t>Kaynak: Kalkınma Bakanlığı</w:t>
      </w:r>
    </w:p>
    <w:p w:rsidR="00565FD5" w:rsidRPr="00BF3740" w:rsidRDefault="00565FD5" w:rsidP="00565FD5">
      <w:pPr>
        <w:rPr>
          <w:rFonts w:eastAsia="Arial Unicode MS" w:cs="Tahoma"/>
          <w:sz w:val="14"/>
          <w:szCs w:val="14"/>
        </w:rPr>
      </w:pPr>
      <w:r w:rsidRPr="00BF3740">
        <w:rPr>
          <w:rFonts w:eastAsia="Arial Unicode MS" w:cs="Tahoma"/>
          <w:sz w:val="14"/>
          <w:szCs w:val="14"/>
        </w:rPr>
        <w:t>Not: Genel sağlık sigortası hesapları, sosyal güvenlik dengesi içerisinde yer almaktadır.</w:t>
      </w:r>
    </w:p>
    <w:p w:rsidR="00565FD5" w:rsidRPr="00BF3740" w:rsidRDefault="00565FD5" w:rsidP="00565FD5">
      <w:pPr>
        <w:rPr>
          <w:rFonts w:cs="Tahoma"/>
          <w:sz w:val="14"/>
          <w:szCs w:val="14"/>
        </w:rPr>
      </w:pPr>
      <w:r w:rsidRPr="00BF3740">
        <w:rPr>
          <w:rFonts w:cs="Tahoma"/>
          <w:sz w:val="14"/>
          <w:szCs w:val="14"/>
        </w:rPr>
        <w:lastRenderedPageBreak/>
        <w:t>(1) Gerçekleşme tahmini</w:t>
      </w:r>
    </w:p>
    <w:p w:rsidR="00565FD5" w:rsidRPr="00BF3740" w:rsidRDefault="00565FD5" w:rsidP="00565FD5">
      <w:pPr>
        <w:pStyle w:val="ResimYazs"/>
        <w:rPr>
          <w:b w:val="0"/>
        </w:rPr>
      </w:pPr>
      <w:r w:rsidRPr="00BF3740">
        <w:rPr>
          <w:b w:val="0"/>
          <w:bCs/>
          <w:sz w:val="22"/>
          <w:szCs w:val="22"/>
        </w:rPr>
        <w:br w:type="page"/>
      </w:r>
      <w:bookmarkStart w:id="911" w:name="_Toc181241022"/>
      <w:bookmarkStart w:id="912" w:name="_Toc181274124"/>
      <w:bookmarkStart w:id="913" w:name="_Toc181286403"/>
      <w:bookmarkStart w:id="914" w:name="_Toc213071652"/>
      <w:bookmarkStart w:id="915" w:name="_Toc275874277"/>
      <w:bookmarkStart w:id="916" w:name="_Toc276076458"/>
      <w:bookmarkStart w:id="917" w:name="_Toc338605984"/>
      <w:bookmarkStart w:id="918" w:name="_Toc338711759"/>
      <w:r>
        <w:lastRenderedPageBreak/>
        <w:t xml:space="preserve">TABLO III: </w:t>
      </w:r>
      <w:fldSimple w:instr=" SEQ TABLO_III: \* ARABIC ">
        <w:r>
          <w:rPr>
            <w:noProof/>
          </w:rPr>
          <w:t>6</w:t>
        </w:r>
      </w:fldSimple>
      <w:r w:rsidRPr="00FF6818">
        <w:t>- 2013 Yılı Kamu Kesimi Genel Dengesi</w:t>
      </w:r>
      <w:r w:rsidRPr="00BF3740">
        <w:rPr>
          <w:b w:val="0"/>
        </w:rPr>
        <w:t xml:space="preserve"> (1)</w:t>
      </w:r>
      <w:bookmarkEnd w:id="911"/>
      <w:bookmarkEnd w:id="912"/>
      <w:bookmarkEnd w:id="913"/>
      <w:bookmarkEnd w:id="914"/>
      <w:bookmarkEnd w:id="915"/>
      <w:bookmarkEnd w:id="916"/>
      <w:bookmarkEnd w:id="917"/>
      <w:bookmarkEnd w:id="918"/>
      <w:r w:rsidRPr="00BF3740">
        <w:rPr>
          <w:b w:val="0"/>
        </w:rPr>
        <w:t xml:space="preserve"> </w:t>
      </w:r>
    </w:p>
    <w:p w:rsidR="00565FD5" w:rsidRPr="00BF3740" w:rsidRDefault="00565FD5" w:rsidP="00565FD5">
      <w:pPr>
        <w:ind w:right="54"/>
        <w:jc w:val="right"/>
        <w:rPr>
          <w:sz w:val="16"/>
          <w:szCs w:val="16"/>
        </w:rPr>
      </w:pPr>
      <w:r w:rsidRPr="00BF3740">
        <w:rPr>
          <w:sz w:val="16"/>
          <w:szCs w:val="16"/>
        </w:rPr>
        <w:t xml:space="preserve"> (Cari Fiyatlarla, Milyon TL)</w:t>
      </w:r>
    </w:p>
    <w:tbl>
      <w:tblPr>
        <w:tblW w:w="5021" w:type="pct"/>
        <w:tblCellMar>
          <w:left w:w="0" w:type="dxa"/>
          <w:right w:w="0" w:type="dxa"/>
        </w:tblCellMar>
        <w:tblLook w:val="0000"/>
      </w:tblPr>
      <w:tblGrid>
        <w:gridCol w:w="2626"/>
        <w:gridCol w:w="808"/>
        <w:gridCol w:w="720"/>
        <w:gridCol w:w="733"/>
        <w:gridCol w:w="740"/>
        <w:gridCol w:w="735"/>
        <w:gridCol w:w="735"/>
        <w:gridCol w:w="810"/>
        <w:gridCol w:w="780"/>
        <w:gridCol w:w="863"/>
        <w:gridCol w:w="738"/>
        <w:gridCol w:w="722"/>
      </w:tblGrid>
      <w:tr w:rsidR="00565FD5" w:rsidRPr="00BF3740" w:rsidTr="00AB62A3">
        <w:trPr>
          <w:trHeight w:hRule="exact" w:val="198"/>
        </w:trPr>
        <w:tc>
          <w:tcPr>
            <w:tcW w:w="1192" w:type="pct"/>
            <w:tcBorders>
              <w:top w:val="single" w:sz="4" w:space="0" w:color="auto"/>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rPr>
                <w:rFonts w:eastAsia="Arial Unicode MS" w:cs="Tahoma"/>
                <w:sz w:val="15"/>
                <w:szCs w:val="15"/>
              </w:rPr>
            </w:pPr>
            <w:r w:rsidRPr="00BF3740">
              <w:rPr>
                <w:rFonts w:cs="Tahoma"/>
                <w:sz w:val="15"/>
                <w:szCs w:val="15"/>
              </w:rPr>
              <w:t> </w:t>
            </w:r>
          </w:p>
        </w:tc>
        <w:tc>
          <w:tcPr>
            <w:tcW w:w="367"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eastAsia="Arial Unicode MS" w:cs="Tahoma"/>
                <w:sz w:val="15"/>
                <w:szCs w:val="15"/>
              </w:rPr>
            </w:pPr>
            <w:r w:rsidRPr="00BF3740">
              <w:rPr>
                <w:rFonts w:cs="Tahoma"/>
                <w:sz w:val="15"/>
                <w:szCs w:val="15"/>
              </w:rPr>
              <w:t> </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5"/>
                <w:szCs w:val="15"/>
              </w:rPr>
            </w:pPr>
          </w:p>
        </w:tc>
        <w:tc>
          <w:tcPr>
            <w:tcW w:w="333"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eastAsia="Arial Unicode MS" w:cs="Tahoma"/>
                <w:sz w:val="15"/>
                <w:szCs w:val="15"/>
              </w:rPr>
            </w:pPr>
            <w:r w:rsidRPr="00BF3740">
              <w:rPr>
                <w:rFonts w:cs="Tahoma"/>
                <w:sz w:val="15"/>
                <w:szCs w:val="15"/>
              </w:rPr>
              <w:t> </w:t>
            </w:r>
          </w:p>
        </w:tc>
        <w:tc>
          <w:tcPr>
            <w:tcW w:w="336"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eastAsia="Arial Unicode MS" w:cs="Tahoma"/>
                <w:sz w:val="15"/>
                <w:szCs w:val="15"/>
              </w:rPr>
            </w:pPr>
            <w:r w:rsidRPr="00BF3740">
              <w:rPr>
                <w:rFonts w:cs="Tahoma"/>
                <w:sz w:val="15"/>
                <w:szCs w:val="15"/>
              </w:rPr>
              <w:t> </w:t>
            </w:r>
          </w:p>
        </w:tc>
        <w:tc>
          <w:tcPr>
            <w:tcW w:w="334" w:type="pct"/>
            <w:tcBorders>
              <w:top w:val="single" w:sz="4" w:space="0" w:color="auto"/>
              <w:left w:val="nil"/>
            </w:tcBorders>
            <w:tcMar>
              <w:top w:w="15" w:type="dxa"/>
              <w:left w:w="15" w:type="dxa"/>
              <w:bottom w:w="0" w:type="dxa"/>
              <w:right w:w="15" w:type="dxa"/>
            </w:tcMar>
            <w:vAlign w:val="bottom"/>
          </w:tcPr>
          <w:p w:rsidR="00565FD5" w:rsidRPr="00BF3740" w:rsidRDefault="00565FD5" w:rsidP="00AB62A3">
            <w:pPr>
              <w:jc w:val="right"/>
              <w:rPr>
                <w:rFonts w:eastAsia="Arial Unicode MS" w:cs="Tahoma"/>
                <w:sz w:val="15"/>
                <w:szCs w:val="15"/>
              </w:rPr>
            </w:pPr>
          </w:p>
        </w:tc>
        <w:tc>
          <w:tcPr>
            <w:tcW w:w="334" w:type="pct"/>
            <w:tcBorders>
              <w:top w:val="single" w:sz="4" w:space="0" w:color="auto"/>
              <w:left w:val="nil"/>
            </w:tcBorders>
            <w:vAlign w:val="bottom"/>
          </w:tcPr>
          <w:p w:rsidR="00565FD5" w:rsidRPr="00BF3740" w:rsidRDefault="00565FD5" w:rsidP="00AB62A3">
            <w:pPr>
              <w:jc w:val="right"/>
              <w:rPr>
                <w:rFonts w:eastAsia="Arial Unicode MS" w:cs="Tahoma"/>
                <w:sz w:val="15"/>
                <w:szCs w:val="15"/>
              </w:rPr>
            </w:pPr>
          </w:p>
        </w:tc>
        <w:tc>
          <w:tcPr>
            <w:tcW w:w="368" w:type="pct"/>
            <w:tcBorders>
              <w:top w:val="single" w:sz="4" w:space="0" w:color="auto"/>
              <w:left w:val="nil"/>
            </w:tcBorders>
            <w:vAlign w:val="bottom"/>
          </w:tcPr>
          <w:p w:rsidR="00565FD5" w:rsidRPr="00BF3740" w:rsidRDefault="00565FD5" w:rsidP="00AB62A3">
            <w:pPr>
              <w:jc w:val="right"/>
              <w:rPr>
                <w:rFonts w:eastAsia="Arial Unicode MS" w:cs="Tahoma"/>
                <w:sz w:val="15"/>
                <w:szCs w:val="15"/>
              </w:rPr>
            </w:pPr>
          </w:p>
        </w:tc>
        <w:tc>
          <w:tcPr>
            <w:tcW w:w="1081" w:type="pct"/>
            <w:gridSpan w:val="3"/>
            <w:tcBorders>
              <w:top w:val="single" w:sz="4" w:space="0" w:color="auto"/>
            </w:tcBorders>
            <w:vAlign w:val="bottom"/>
          </w:tcPr>
          <w:p w:rsidR="00565FD5" w:rsidRPr="00BF3740" w:rsidRDefault="00565FD5" w:rsidP="00AB62A3">
            <w:pPr>
              <w:jc w:val="center"/>
              <w:rPr>
                <w:rFonts w:eastAsia="Arial Unicode MS" w:cs="Tahoma"/>
                <w:sz w:val="15"/>
                <w:szCs w:val="15"/>
              </w:rPr>
            </w:pPr>
            <w:r w:rsidRPr="00BF3740">
              <w:rPr>
                <w:rFonts w:cs="Tahoma"/>
                <w:b/>
                <w:bCs/>
                <w:sz w:val="15"/>
                <w:szCs w:val="15"/>
              </w:rPr>
              <w:t>KİT</w:t>
            </w:r>
          </w:p>
        </w:tc>
        <w:tc>
          <w:tcPr>
            <w:tcW w:w="329" w:type="pct"/>
            <w:tcBorders>
              <w:top w:val="single" w:sz="4" w:space="0" w:color="auto"/>
              <w:left w:val="nil"/>
              <w:right w:val="single" w:sz="4" w:space="0" w:color="auto"/>
            </w:tcBorders>
            <w:vAlign w:val="bottom"/>
          </w:tcPr>
          <w:p w:rsidR="00565FD5" w:rsidRPr="00BF3740" w:rsidRDefault="00565FD5" w:rsidP="00AB62A3">
            <w:pPr>
              <w:jc w:val="right"/>
              <w:rPr>
                <w:rFonts w:eastAsia="Arial Unicode MS" w:cs="Tahoma"/>
                <w:sz w:val="15"/>
                <w:szCs w:val="15"/>
              </w:rPr>
            </w:pPr>
          </w:p>
        </w:tc>
      </w:tr>
      <w:tr w:rsidR="00565FD5" w:rsidRPr="00BF3740" w:rsidTr="00AB62A3">
        <w:trPr>
          <w:trHeight w:hRule="exact" w:val="567"/>
        </w:trPr>
        <w:tc>
          <w:tcPr>
            <w:tcW w:w="1192" w:type="pct"/>
            <w:tcBorders>
              <w:top w:val="nil"/>
              <w:left w:val="single" w:sz="4" w:space="0" w:color="auto"/>
              <w:bottom w:val="single" w:sz="4" w:space="0" w:color="auto"/>
              <w:right w:val="nil"/>
            </w:tcBorders>
            <w:tcMar>
              <w:top w:w="15" w:type="dxa"/>
              <w:left w:w="15" w:type="dxa"/>
              <w:bottom w:w="0" w:type="dxa"/>
              <w:right w:w="15" w:type="dxa"/>
            </w:tcMar>
            <w:vAlign w:val="bottom"/>
          </w:tcPr>
          <w:p w:rsidR="00565FD5" w:rsidRPr="00BF3740" w:rsidRDefault="00565FD5" w:rsidP="00AB62A3">
            <w:pPr>
              <w:rPr>
                <w:rFonts w:eastAsia="Arial Unicode MS" w:cs="Tahoma"/>
                <w:sz w:val="15"/>
                <w:szCs w:val="15"/>
              </w:rPr>
            </w:pPr>
            <w:r w:rsidRPr="00BF3740">
              <w:rPr>
                <w:rFonts w:cs="Tahoma"/>
                <w:sz w:val="15"/>
                <w:szCs w:val="15"/>
              </w:rPr>
              <w:t> </w:t>
            </w:r>
          </w:p>
          <w:p w:rsidR="00565FD5" w:rsidRPr="00BF3740" w:rsidRDefault="00565FD5" w:rsidP="00AB62A3">
            <w:pPr>
              <w:rPr>
                <w:rFonts w:eastAsia="Arial Unicode MS" w:cs="Tahoma"/>
                <w:sz w:val="15"/>
                <w:szCs w:val="15"/>
              </w:rPr>
            </w:pPr>
            <w:r w:rsidRPr="00BF3740">
              <w:rPr>
                <w:rFonts w:cs="Tahoma"/>
                <w:sz w:val="15"/>
                <w:szCs w:val="15"/>
              </w:rPr>
              <w:t> </w:t>
            </w:r>
          </w:p>
        </w:tc>
        <w:tc>
          <w:tcPr>
            <w:tcW w:w="367"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cs="Tahoma"/>
                <w:b/>
                <w:bCs/>
                <w:sz w:val="15"/>
                <w:szCs w:val="15"/>
              </w:rPr>
              <w:t>Merkezi Yönetim Bütçesi</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cs="Tahoma"/>
                <w:b/>
                <w:bCs/>
                <w:sz w:val="15"/>
                <w:szCs w:val="15"/>
              </w:rPr>
            </w:pPr>
            <w:r w:rsidRPr="00BF3740">
              <w:rPr>
                <w:rFonts w:cs="Tahoma"/>
                <w:b/>
                <w:bCs/>
                <w:sz w:val="15"/>
                <w:szCs w:val="15"/>
              </w:rPr>
              <w:t>Mahalli İdareler</w:t>
            </w:r>
          </w:p>
        </w:tc>
        <w:tc>
          <w:tcPr>
            <w:tcW w:w="333"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eastAsia="Arial Unicode MS" w:cs="Tahoma"/>
                <w:b/>
                <w:bCs/>
                <w:sz w:val="15"/>
                <w:szCs w:val="15"/>
              </w:rPr>
              <w:t>Fonlar</w:t>
            </w:r>
          </w:p>
        </w:tc>
        <w:tc>
          <w:tcPr>
            <w:tcW w:w="336"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eastAsia="Arial Unicode MS" w:cs="Tahoma"/>
                <w:b/>
                <w:bCs/>
                <w:sz w:val="15"/>
                <w:szCs w:val="15"/>
              </w:rPr>
              <w:t>İşsizlik Sigortası</w:t>
            </w:r>
          </w:p>
        </w:tc>
        <w:tc>
          <w:tcPr>
            <w:tcW w:w="334"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sz w:val="15"/>
                <w:szCs w:val="15"/>
              </w:rPr>
            </w:pPr>
            <w:r w:rsidRPr="00BF3740">
              <w:rPr>
                <w:rFonts w:cs="Tahoma"/>
                <w:b/>
                <w:bCs/>
                <w:sz w:val="15"/>
                <w:szCs w:val="15"/>
              </w:rPr>
              <w:t>Sosyal Güvenlik</w:t>
            </w:r>
          </w:p>
        </w:tc>
        <w:tc>
          <w:tcPr>
            <w:tcW w:w="334"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cs="Tahoma"/>
                <w:b/>
                <w:bCs/>
                <w:sz w:val="15"/>
                <w:szCs w:val="15"/>
              </w:rPr>
              <w:t>Döner Sermaye</w:t>
            </w:r>
          </w:p>
        </w:tc>
        <w:tc>
          <w:tcPr>
            <w:tcW w:w="368"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cs="Tahoma"/>
                <w:b/>
                <w:bCs/>
                <w:sz w:val="15"/>
                <w:szCs w:val="15"/>
              </w:rPr>
            </w:pPr>
            <w:r w:rsidRPr="00BF3740">
              <w:rPr>
                <w:rFonts w:cs="Tahoma"/>
                <w:b/>
                <w:bCs/>
                <w:sz w:val="15"/>
                <w:szCs w:val="15"/>
              </w:rPr>
              <w:t>GENEL</w:t>
            </w:r>
          </w:p>
          <w:p w:rsidR="00565FD5" w:rsidRPr="00BF3740" w:rsidRDefault="00565FD5" w:rsidP="00AB62A3">
            <w:pPr>
              <w:jc w:val="center"/>
              <w:rPr>
                <w:rFonts w:eastAsia="Arial Unicode MS" w:cs="Tahoma"/>
                <w:b/>
                <w:bCs/>
                <w:sz w:val="15"/>
                <w:szCs w:val="15"/>
              </w:rPr>
            </w:pPr>
            <w:r w:rsidRPr="00BF3740">
              <w:rPr>
                <w:rFonts w:cs="Tahoma"/>
                <w:b/>
                <w:bCs/>
                <w:sz w:val="15"/>
                <w:szCs w:val="15"/>
              </w:rPr>
              <w:t>DEVLET      TOPLAMI</w:t>
            </w:r>
          </w:p>
        </w:tc>
        <w:tc>
          <w:tcPr>
            <w:tcW w:w="354" w:type="pct"/>
            <w:tcBorders>
              <w:top w:val="single" w:sz="4" w:space="0" w:color="auto"/>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eastAsia="Arial Unicode MS" w:cs="Tahoma"/>
                <w:sz w:val="15"/>
                <w:szCs w:val="15"/>
              </w:rPr>
            </w:pPr>
            <w:r w:rsidRPr="00BF3740">
              <w:rPr>
                <w:rFonts w:cs="Tahoma"/>
                <w:b/>
                <w:bCs/>
                <w:sz w:val="15"/>
                <w:szCs w:val="15"/>
              </w:rPr>
              <w:t>İşletmeci</w:t>
            </w:r>
          </w:p>
        </w:tc>
        <w:tc>
          <w:tcPr>
            <w:tcW w:w="392" w:type="pct"/>
            <w:tcBorders>
              <w:top w:val="single" w:sz="4" w:space="0" w:color="auto"/>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cs="Tahoma"/>
                <w:sz w:val="15"/>
                <w:szCs w:val="15"/>
              </w:rPr>
            </w:pPr>
            <w:r w:rsidRPr="00BF3740">
              <w:rPr>
                <w:rFonts w:cs="Tahoma"/>
                <w:b/>
                <w:bCs/>
                <w:sz w:val="15"/>
                <w:szCs w:val="15"/>
              </w:rPr>
              <w:t>Özelleş. Kapsamı</w:t>
            </w:r>
          </w:p>
        </w:tc>
        <w:tc>
          <w:tcPr>
            <w:tcW w:w="335" w:type="pct"/>
            <w:tcBorders>
              <w:top w:val="single" w:sz="4" w:space="0" w:color="auto"/>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center"/>
              <w:rPr>
                <w:rFonts w:cs="Tahoma"/>
                <w:b/>
                <w:bCs/>
                <w:sz w:val="15"/>
                <w:szCs w:val="15"/>
              </w:rPr>
            </w:pPr>
            <w:r w:rsidRPr="00BF3740">
              <w:rPr>
                <w:rFonts w:cs="Tahoma"/>
                <w:b/>
                <w:bCs/>
                <w:sz w:val="15"/>
                <w:szCs w:val="15"/>
              </w:rPr>
              <w:t>TOPLAM</w:t>
            </w:r>
          </w:p>
        </w:tc>
        <w:tc>
          <w:tcPr>
            <w:tcW w:w="329" w:type="pct"/>
            <w:tcBorders>
              <w:top w:val="nil"/>
              <w:left w:val="nil"/>
              <w:bottom w:val="single" w:sz="4" w:space="0" w:color="auto"/>
              <w:right w:val="single" w:sz="4" w:space="0" w:color="auto"/>
            </w:tcBorders>
            <w:tcMar>
              <w:top w:w="15" w:type="dxa"/>
              <w:left w:w="15" w:type="dxa"/>
              <w:bottom w:w="0" w:type="dxa"/>
              <w:right w:w="15" w:type="dxa"/>
            </w:tcMar>
            <w:vAlign w:val="bottom"/>
          </w:tcPr>
          <w:p w:rsidR="00565FD5" w:rsidRPr="00BF3740" w:rsidRDefault="00565FD5" w:rsidP="00AB62A3">
            <w:pPr>
              <w:jc w:val="center"/>
              <w:rPr>
                <w:rFonts w:eastAsia="Arial Unicode MS" w:cs="Tahoma"/>
                <w:b/>
                <w:bCs/>
                <w:sz w:val="15"/>
                <w:szCs w:val="15"/>
              </w:rPr>
            </w:pPr>
            <w:r w:rsidRPr="00BF3740">
              <w:rPr>
                <w:rFonts w:cs="Tahoma"/>
                <w:b/>
                <w:bCs/>
                <w:sz w:val="15"/>
                <w:szCs w:val="15"/>
              </w:rPr>
              <w:t>TOPLAM</w:t>
            </w:r>
          </w:p>
          <w:p w:rsidR="00565FD5" w:rsidRPr="00BF3740" w:rsidRDefault="00565FD5" w:rsidP="00AB62A3">
            <w:pPr>
              <w:jc w:val="center"/>
              <w:rPr>
                <w:rFonts w:eastAsia="Arial Unicode MS" w:cs="Tahoma"/>
                <w:b/>
                <w:bCs/>
                <w:sz w:val="15"/>
                <w:szCs w:val="15"/>
              </w:rPr>
            </w:pPr>
            <w:r w:rsidRPr="00BF3740">
              <w:rPr>
                <w:rFonts w:cs="Tahoma"/>
                <w:b/>
                <w:bCs/>
                <w:sz w:val="15"/>
                <w:szCs w:val="15"/>
              </w:rPr>
              <w:t>KAMU</w:t>
            </w:r>
          </w:p>
        </w:tc>
      </w:tr>
      <w:tr w:rsidR="00565FD5" w:rsidRPr="00BF3740" w:rsidTr="00AB62A3">
        <w:trPr>
          <w:trHeight w:val="20"/>
        </w:trPr>
        <w:tc>
          <w:tcPr>
            <w:tcW w:w="1192" w:type="pct"/>
            <w:tcBorders>
              <w:top w:val="single" w:sz="4" w:space="0" w:color="auto"/>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1. Vergiler</w:t>
            </w:r>
          </w:p>
        </w:tc>
        <w:tc>
          <w:tcPr>
            <w:tcW w:w="367"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271 911</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37 808</w:t>
            </w:r>
          </w:p>
        </w:tc>
        <w:tc>
          <w:tcPr>
            <w:tcW w:w="333"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5 930</w:t>
            </w:r>
          </w:p>
        </w:tc>
        <w:tc>
          <w:tcPr>
            <w:tcW w:w="336"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- 97</w:t>
            </w:r>
          </w:p>
        </w:tc>
        <w:tc>
          <w:tcPr>
            <w:tcW w:w="368"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315 552</w:t>
            </w:r>
          </w:p>
        </w:tc>
        <w:tc>
          <w:tcPr>
            <w:tcW w:w="354"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-1 148</w:t>
            </w:r>
          </w:p>
        </w:tc>
        <w:tc>
          <w:tcPr>
            <w:tcW w:w="392"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- 10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-1 158</w:t>
            </w:r>
          </w:p>
        </w:tc>
        <w:tc>
          <w:tcPr>
            <w:tcW w:w="329"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314 394</w:t>
            </w:r>
          </w:p>
        </w:tc>
      </w:tr>
      <w:tr w:rsidR="00565FD5" w:rsidRPr="00BF3740" w:rsidTr="00AB62A3">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a. Vasıtasız</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75 609</w:t>
            </w:r>
          </w:p>
        </w:tc>
        <w:tc>
          <w:tcPr>
            <w:tcW w:w="327"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10 720</w:t>
            </w:r>
          </w:p>
        </w:tc>
        <w:tc>
          <w:tcPr>
            <w:tcW w:w="33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5 930</w:t>
            </w:r>
          </w:p>
        </w:tc>
        <w:tc>
          <w:tcPr>
            <w:tcW w:w="33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- 97</w:t>
            </w:r>
          </w:p>
        </w:tc>
        <w:tc>
          <w:tcPr>
            <w:tcW w:w="36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92 162</w:t>
            </w:r>
          </w:p>
        </w:tc>
        <w:tc>
          <w:tcPr>
            <w:tcW w:w="35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-1 148</w:t>
            </w:r>
          </w:p>
        </w:tc>
        <w:tc>
          <w:tcPr>
            <w:tcW w:w="392"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- 10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-1 158</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91 004</w:t>
            </w:r>
          </w:p>
        </w:tc>
      </w:tr>
      <w:tr w:rsidR="00565FD5" w:rsidRPr="00BF3740" w:rsidTr="00AB62A3">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b. Vasıtalı</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196 302</w:t>
            </w:r>
          </w:p>
        </w:tc>
        <w:tc>
          <w:tcPr>
            <w:tcW w:w="327"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27 089</w:t>
            </w:r>
          </w:p>
        </w:tc>
        <w:tc>
          <w:tcPr>
            <w:tcW w:w="33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223 390</w:t>
            </w:r>
          </w:p>
        </w:tc>
        <w:tc>
          <w:tcPr>
            <w:tcW w:w="35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223 390</w:t>
            </w:r>
          </w:p>
        </w:tc>
      </w:tr>
      <w:tr w:rsidR="00565FD5" w:rsidRPr="00BF3740" w:rsidTr="00AB62A3">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2. Vergi Dışı Normal Gelirler</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23 350</w:t>
            </w:r>
          </w:p>
        </w:tc>
        <w:tc>
          <w:tcPr>
            <w:tcW w:w="327"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6 930</w:t>
            </w:r>
          </w:p>
        </w:tc>
        <w:tc>
          <w:tcPr>
            <w:tcW w:w="33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885</w:t>
            </w:r>
          </w:p>
        </w:tc>
        <w:tc>
          <w:tcPr>
            <w:tcW w:w="33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- 476</w:t>
            </w:r>
          </w:p>
        </w:tc>
        <w:tc>
          <w:tcPr>
            <w:tcW w:w="36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30 688</w:t>
            </w:r>
          </w:p>
        </w:tc>
        <w:tc>
          <w:tcPr>
            <w:tcW w:w="35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-2 094</w:t>
            </w:r>
          </w:p>
        </w:tc>
        <w:tc>
          <w:tcPr>
            <w:tcW w:w="392"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-2 094</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28 595</w:t>
            </w:r>
          </w:p>
        </w:tc>
      </w:tr>
      <w:tr w:rsidR="00565FD5" w:rsidRPr="00BF3740" w:rsidTr="00AB62A3">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3. Faktör Gelirleri</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17 501</w:t>
            </w:r>
          </w:p>
        </w:tc>
        <w:tc>
          <w:tcPr>
            <w:tcW w:w="327"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11 117</w:t>
            </w:r>
          </w:p>
        </w:tc>
        <w:tc>
          <w:tcPr>
            <w:tcW w:w="33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39</w:t>
            </w:r>
          </w:p>
        </w:tc>
        <w:tc>
          <w:tcPr>
            <w:tcW w:w="33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5 799</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2 285</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1 474</w:t>
            </w:r>
          </w:p>
        </w:tc>
        <w:tc>
          <w:tcPr>
            <w:tcW w:w="36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38 215</w:t>
            </w:r>
          </w:p>
        </w:tc>
        <w:tc>
          <w:tcPr>
            <w:tcW w:w="35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7 940</w:t>
            </w:r>
          </w:p>
        </w:tc>
        <w:tc>
          <w:tcPr>
            <w:tcW w:w="392"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- 770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7 171</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45 385</w:t>
            </w:r>
          </w:p>
        </w:tc>
      </w:tr>
      <w:tr w:rsidR="00565FD5" w:rsidRPr="00BF3740" w:rsidTr="00AB62A3">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4. Sosyal Fonlar</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2 704</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-26 857</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-24 153</w:t>
            </w:r>
          </w:p>
        </w:tc>
        <w:tc>
          <w:tcPr>
            <w:tcW w:w="35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-24 153</w:t>
            </w:r>
          </w:p>
        </w:tc>
      </w:tr>
      <w:tr w:rsidR="00565FD5" w:rsidRPr="00BF3740" w:rsidTr="00AB62A3">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5. Cari Transferler</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-169 137</w:t>
            </w:r>
          </w:p>
        </w:tc>
        <w:tc>
          <w:tcPr>
            <w:tcW w:w="327"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-3 931</w:t>
            </w:r>
          </w:p>
        </w:tc>
        <w:tc>
          <w:tcPr>
            <w:tcW w:w="33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-3 034</w:t>
            </w:r>
          </w:p>
        </w:tc>
        <w:tc>
          <w:tcPr>
            <w:tcW w:w="33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1 800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24 891</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-149 412</w:t>
            </w:r>
          </w:p>
        </w:tc>
        <w:tc>
          <w:tcPr>
            <w:tcW w:w="35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1 710</w:t>
            </w:r>
          </w:p>
        </w:tc>
        <w:tc>
          <w:tcPr>
            <w:tcW w:w="392"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4</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1 714</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-147 698</w:t>
            </w:r>
          </w:p>
        </w:tc>
      </w:tr>
      <w:tr w:rsidR="00565FD5" w:rsidRPr="00BF3740" w:rsidTr="00AB62A3">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b/>
                <w:bCs/>
                <w:sz w:val="15"/>
                <w:szCs w:val="15"/>
              </w:rPr>
            </w:pPr>
            <w:r w:rsidRPr="00BF3740">
              <w:rPr>
                <w:rFonts w:cs="Tahoma"/>
                <w:b/>
                <w:bCs/>
                <w:sz w:val="15"/>
                <w:szCs w:val="15"/>
              </w:rPr>
              <w:t>I. KAMU HARCANABİLİR GELİRİ</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143 625</w:t>
            </w:r>
          </w:p>
        </w:tc>
        <w:tc>
          <w:tcPr>
            <w:tcW w:w="327"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51 923</w:t>
            </w:r>
          </w:p>
        </w:tc>
        <w:tc>
          <w:tcPr>
            <w:tcW w:w="33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3 819</w:t>
            </w:r>
          </w:p>
        </w:tc>
        <w:tc>
          <w:tcPr>
            <w:tcW w:w="33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10 303</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319</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901</w:t>
            </w:r>
          </w:p>
        </w:tc>
        <w:tc>
          <w:tcPr>
            <w:tcW w:w="36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210 891</w:t>
            </w:r>
          </w:p>
        </w:tc>
        <w:tc>
          <w:tcPr>
            <w:tcW w:w="35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6 408</w:t>
            </w:r>
          </w:p>
        </w:tc>
        <w:tc>
          <w:tcPr>
            <w:tcW w:w="392"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- 776</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5 633</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216 524</w:t>
            </w:r>
          </w:p>
        </w:tc>
      </w:tr>
      <w:tr w:rsidR="00565FD5" w:rsidRPr="00BF3740" w:rsidTr="00AB62A3">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b/>
                <w:bCs/>
                <w:sz w:val="15"/>
                <w:szCs w:val="15"/>
              </w:rPr>
            </w:pPr>
            <w:r w:rsidRPr="00BF3740">
              <w:rPr>
                <w:rFonts w:cs="Tahoma"/>
                <w:b/>
                <w:bCs/>
                <w:sz w:val="15"/>
                <w:szCs w:val="15"/>
              </w:rPr>
              <w:t>II. CARİ GİDERLER</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-142 955</w:t>
            </w:r>
          </w:p>
        </w:tc>
        <w:tc>
          <w:tcPr>
            <w:tcW w:w="327"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-38 282</w:t>
            </w:r>
          </w:p>
        </w:tc>
        <w:tc>
          <w:tcPr>
            <w:tcW w:w="33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-2 764</w:t>
            </w:r>
          </w:p>
        </w:tc>
        <w:tc>
          <w:tcPr>
            <w:tcW w:w="33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-184 001</w:t>
            </w:r>
          </w:p>
        </w:tc>
        <w:tc>
          <w:tcPr>
            <w:tcW w:w="35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-184 001</w:t>
            </w:r>
          </w:p>
        </w:tc>
      </w:tr>
      <w:tr w:rsidR="00565FD5" w:rsidRPr="00BF3740" w:rsidTr="00AB62A3">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b/>
                <w:bCs/>
                <w:sz w:val="15"/>
                <w:szCs w:val="15"/>
              </w:rPr>
            </w:pPr>
            <w:r w:rsidRPr="00BF3740">
              <w:rPr>
                <w:rFonts w:cs="Tahoma"/>
                <w:b/>
                <w:bCs/>
                <w:sz w:val="15"/>
                <w:szCs w:val="15"/>
              </w:rPr>
              <w:t>III. KAMU TASARRUFU</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670</w:t>
            </w:r>
          </w:p>
        </w:tc>
        <w:tc>
          <w:tcPr>
            <w:tcW w:w="327"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13 641</w:t>
            </w:r>
          </w:p>
        </w:tc>
        <w:tc>
          <w:tcPr>
            <w:tcW w:w="33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1 055</w:t>
            </w:r>
          </w:p>
        </w:tc>
        <w:tc>
          <w:tcPr>
            <w:tcW w:w="33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10 303</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319</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901</w:t>
            </w:r>
          </w:p>
        </w:tc>
        <w:tc>
          <w:tcPr>
            <w:tcW w:w="36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26 890</w:t>
            </w:r>
          </w:p>
        </w:tc>
        <w:tc>
          <w:tcPr>
            <w:tcW w:w="35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6 408</w:t>
            </w:r>
          </w:p>
        </w:tc>
        <w:tc>
          <w:tcPr>
            <w:tcW w:w="392"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- 776</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5 633</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32 523</w:t>
            </w:r>
          </w:p>
        </w:tc>
      </w:tr>
      <w:tr w:rsidR="00565FD5" w:rsidRPr="00BF3740" w:rsidTr="00AB62A3">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b/>
                <w:bCs/>
                <w:sz w:val="15"/>
                <w:szCs w:val="15"/>
              </w:rPr>
            </w:pPr>
            <w:r w:rsidRPr="00BF3740">
              <w:rPr>
                <w:rFonts w:cs="Tahoma"/>
                <w:b/>
                <w:bCs/>
                <w:sz w:val="15"/>
                <w:szCs w:val="15"/>
              </w:rPr>
              <w:t>IV. YATIRIMLAR</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-37 496</w:t>
            </w:r>
          </w:p>
        </w:tc>
        <w:tc>
          <w:tcPr>
            <w:tcW w:w="327"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-18 201</w:t>
            </w:r>
          </w:p>
        </w:tc>
        <w:tc>
          <w:tcPr>
            <w:tcW w:w="33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- 319</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-1 564</w:t>
            </w:r>
          </w:p>
        </w:tc>
        <w:tc>
          <w:tcPr>
            <w:tcW w:w="36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-57 581</w:t>
            </w:r>
          </w:p>
        </w:tc>
        <w:tc>
          <w:tcPr>
            <w:tcW w:w="35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-10 351</w:t>
            </w:r>
          </w:p>
        </w:tc>
        <w:tc>
          <w:tcPr>
            <w:tcW w:w="392"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- 679</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-11 030</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-68 611</w:t>
            </w:r>
          </w:p>
        </w:tc>
      </w:tr>
      <w:tr w:rsidR="00565FD5" w:rsidRPr="00BF3740" w:rsidTr="00AB62A3">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a. Sabit Sermaye</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-37 496</w:t>
            </w:r>
          </w:p>
        </w:tc>
        <w:tc>
          <w:tcPr>
            <w:tcW w:w="327"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-18 205</w:t>
            </w:r>
          </w:p>
        </w:tc>
        <w:tc>
          <w:tcPr>
            <w:tcW w:w="33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- 319</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-1 494</w:t>
            </w:r>
          </w:p>
        </w:tc>
        <w:tc>
          <w:tcPr>
            <w:tcW w:w="36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-57 515</w:t>
            </w:r>
          </w:p>
        </w:tc>
        <w:tc>
          <w:tcPr>
            <w:tcW w:w="35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-9 997</w:t>
            </w:r>
          </w:p>
        </w:tc>
        <w:tc>
          <w:tcPr>
            <w:tcW w:w="392"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- 790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-10 787</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-68 301</w:t>
            </w:r>
          </w:p>
        </w:tc>
      </w:tr>
      <w:tr w:rsidR="00565FD5" w:rsidRPr="00BF3740" w:rsidTr="00AB62A3">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b. Stok Değişmesi</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4</w:t>
            </w:r>
          </w:p>
        </w:tc>
        <w:tc>
          <w:tcPr>
            <w:tcW w:w="33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- 70</w:t>
            </w:r>
          </w:p>
        </w:tc>
        <w:tc>
          <w:tcPr>
            <w:tcW w:w="36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- 66</w:t>
            </w:r>
          </w:p>
        </w:tc>
        <w:tc>
          <w:tcPr>
            <w:tcW w:w="35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- 355</w:t>
            </w:r>
          </w:p>
        </w:tc>
        <w:tc>
          <w:tcPr>
            <w:tcW w:w="392"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111</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- 244</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- 310</w:t>
            </w:r>
          </w:p>
        </w:tc>
      </w:tr>
      <w:tr w:rsidR="00565FD5" w:rsidRPr="00BF3740" w:rsidTr="00AB62A3">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b/>
                <w:bCs/>
                <w:sz w:val="15"/>
                <w:szCs w:val="15"/>
              </w:rPr>
            </w:pPr>
            <w:r w:rsidRPr="00BF3740">
              <w:rPr>
                <w:rFonts w:cs="Tahoma"/>
                <w:b/>
                <w:bCs/>
                <w:sz w:val="15"/>
                <w:szCs w:val="15"/>
              </w:rPr>
              <w:lastRenderedPageBreak/>
              <w:t>V. TASARRUF-YATIRIM FARKI</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-36 826</w:t>
            </w:r>
          </w:p>
        </w:tc>
        <w:tc>
          <w:tcPr>
            <w:tcW w:w="327"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-4 559</w:t>
            </w:r>
          </w:p>
        </w:tc>
        <w:tc>
          <w:tcPr>
            <w:tcW w:w="33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1 055</w:t>
            </w:r>
          </w:p>
        </w:tc>
        <w:tc>
          <w:tcPr>
            <w:tcW w:w="33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10 303</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- 663</w:t>
            </w:r>
          </w:p>
        </w:tc>
        <w:tc>
          <w:tcPr>
            <w:tcW w:w="36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-30 691</w:t>
            </w:r>
          </w:p>
        </w:tc>
        <w:tc>
          <w:tcPr>
            <w:tcW w:w="35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-3 943</w:t>
            </w:r>
          </w:p>
        </w:tc>
        <w:tc>
          <w:tcPr>
            <w:tcW w:w="392"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-1 455</w:t>
            </w:r>
          </w:p>
        </w:tc>
        <w:tc>
          <w:tcPr>
            <w:tcW w:w="335"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-5 398</w:t>
            </w:r>
          </w:p>
        </w:tc>
        <w:tc>
          <w:tcPr>
            <w:tcW w:w="329" w:type="pct"/>
            <w:tcBorders>
              <w:top w:val="nil"/>
              <w:left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-36 088</w:t>
            </w:r>
          </w:p>
        </w:tc>
      </w:tr>
      <w:tr w:rsidR="00565FD5" w:rsidRPr="00BF3740" w:rsidTr="00AB62A3">
        <w:trPr>
          <w:trHeight w:val="20"/>
        </w:trPr>
        <w:tc>
          <w:tcPr>
            <w:tcW w:w="1192" w:type="pct"/>
            <w:tcBorders>
              <w:top w:val="nil"/>
              <w:left w:val="single" w:sz="4" w:space="0" w:color="auto"/>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b/>
                <w:bCs/>
                <w:sz w:val="15"/>
                <w:szCs w:val="15"/>
              </w:rPr>
            </w:pPr>
            <w:r w:rsidRPr="00BF3740">
              <w:rPr>
                <w:rFonts w:cs="Tahoma"/>
                <w:b/>
                <w:bCs/>
                <w:sz w:val="15"/>
                <w:szCs w:val="15"/>
              </w:rPr>
              <w:t>VI. SERMAYE TRANSFERLERİ</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2 933</w:t>
            </w:r>
          </w:p>
        </w:tc>
        <w:tc>
          <w:tcPr>
            <w:tcW w:w="327"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3 336</w:t>
            </w:r>
          </w:p>
        </w:tc>
        <w:tc>
          <w:tcPr>
            <w:tcW w:w="33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- 45</w:t>
            </w:r>
          </w:p>
        </w:tc>
        <w:tc>
          <w:tcPr>
            <w:tcW w:w="33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950</w:t>
            </w:r>
          </w:p>
        </w:tc>
        <w:tc>
          <w:tcPr>
            <w:tcW w:w="36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7 174</w:t>
            </w:r>
          </w:p>
        </w:tc>
        <w:tc>
          <w:tcPr>
            <w:tcW w:w="35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5 786</w:t>
            </w:r>
          </w:p>
        </w:tc>
        <w:tc>
          <w:tcPr>
            <w:tcW w:w="392"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303</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6 089</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13 263</w:t>
            </w:r>
          </w:p>
        </w:tc>
      </w:tr>
      <w:tr w:rsidR="00565FD5" w:rsidRPr="00BF3740" w:rsidTr="00AB62A3">
        <w:trPr>
          <w:trHeight w:val="20"/>
        </w:trPr>
        <w:tc>
          <w:tcPr>
            <w:tcW w:w="1192" w:type="pct"/>
            <w:tcBorders>
              <w:top w:val="nil"/>
              <w:left w:val="single" w:sz="4" w:space="0" w:color="auto"/>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1. Servet Vergileri</w:t>
            </w:r>
          </w:p>
        </w:tc>
        <w:tc>
          <w:tcPr>
            <w:tcW w:w="36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6 882</w:t>
            </w:r>
          </w:p>
        </w:tc>
        <w:tc>
          <w:tcPr>
            <w:tcW w:w="327"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3 418</w:t>
            </w:r>
          </w:p>
        </w:tc>
        <w:tc>
          <w:tcPr>
            <w:tcW w:w="333"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6"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68"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10 300</w:t>
            </w:r>
          </w:p>
        </w:tc>
        <w:tc>
          <w:tcPr>
            <w:tcW w:w="354"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92"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9" w:type="pct"/>
            <w:tcBorders>
              <w:top w:val="nil"/>
              <w:left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10 300</w:t>
            </w:r>
          </w:p>
        </w:tc>
      </w:tr>
      <w:tr w:rsidR="00565FD5" w:rsidRPr="00BF3740" w:rsidTr="00AB62A3">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2. Diğer Transferler</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-7 669</w:t>
            </w:r>
          </w:p>
        </w:tc>
        <w:tc>
          <w:tcPr>
            <w:tcW w:w="327"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- 203</w:t>
            </w:r>
          </w:p>
        </w:tc>
        <w:tc>
          <w:tcPr>
            <w:tcW w:w="33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- 45</w:t>
            </w:r>
          </w:p>
        </w:tc>
        <w:tc>
          <w:tcPr>
            <w:tcW w:w="33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-7 917</w:t>
            </w:r>
          </w:p>
        </w:tc>
        <w:tc>
          <w:tcPr>
            <w:tcW w:w="35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6 319</w:t>
            </w:r>
          </w:p>
        </w:tc>
        <w:tc>
          <w:tcPr>
            <w:tcW w:w="392"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66</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6 385</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-1 532</w:t>
            </w:r>
          </w:p>
        </w:tc>
      </w:tr>
      <w:tr w:rsidR="00565FD5" w:rsidRPr="00BF3740" w:rsidTr="00AB62A3">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3. Kamulaş. Ve Sabit Değer Art.</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3 719</w:t>
            </w:r>
          </w:p>
        </w:tc>
        <w:tc>
          <w:tcPr>
            <w:tcW w:w="327"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121</w:t>
            </w:r>
          </w:p>
        </w:tc>
        <w:tc>
          <w:tcPr>
            <w:tcW w:w="33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950</w:t>
            </w:r>
          </w:p>
        </w:tc>
        <w:tc>
          <w:tcPr>
            <w:tcW w:w="36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4 791</w:t>
            </w:r>
          </w:p>
        </w:tc>
        <w:tc>
          <w:tcPr>
            <w:tcW w:w="35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- 533</w:t>
            </w:r>
          </w:p>
        </w:tc>
        <w:tc>
          <w:tcPr>
            <w:tcW w:w="392"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237</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- 296</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4 495</w:t>
            </w:r>
          </w:p>
        </w:tc>
      </w:tr>
      <w:tr w:rsidR="00565FD5" w:rsidRPr="00BF3740" w:rsidTr="00AB62A3">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b/>
                <w:bCs/>
                <w:sz w:val="15"/>
                <w:szCs w:val="15"/>
              </w:rPr>
            </w:pPr>
            <w:r w:rsidRPr="00BF3740">
              <w:rPr>
                <w:rFonts w:cs="Tahoma"/>
                <w:b/>
                <w:bCs/>
                <w:sz w:val="15"/>
                <w:szCs w:val="15"/>
              </w:rPr>
              <w:t>VII. KASA-BANKA/BORÇLANMA</w:t>
            </w:r>
          </w:p>
        </w:tc>
        <w:tc>
          <w:tcPr>
            <w:tcW w:w="36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33 893</w:t>
            </w:r>
          </w:p>
        </w:tc>
        <w:tc>
          <w:tcPr>
            <w:tcW w:w="327"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1 224</w:t>
            </w:r>
          </w:p>
        </w:tc>
        <w:tc>
          <w:tcPr>
            <w:tcW w:w="33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-1 010</w:t>
            </w:r>
          </w:p>
        </w:tc>
        <w:tc>
          <w:tcPr>
            <w:tcW w:w="33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-10 303</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- 288</w:t>
            </w:r>
          </w:p>
        </w:tc>
        <w:tc>
          <w:tcPr>
            <w:tcW w:w="36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23 517</w:t>
            </w:r>
          </w:p>
        </w:tc>
        <w:tc>
          <w:tcPr>
            <w:tcW w:w="35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-1 843</w:t>
            </w:r>
          </w:p>
        </w:tc>
        <w:tc>
          <w:tcPr>
            <w:tcW w:w="392"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1 151</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- 691</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22 825</w:t>
            </w:r>
          </w:p>
        </w:tc>
      </w:tr>
      <w:tr w:rsidR="00565FD5" w:rsidRPr="00BF3740" w:rsidTr="00AB62A3">
        <w:trPr>
          <w:trHeight w:val="20"/>
        </w:trPr>
        <w:tc>
          <w:tcPr>
            <w:tcW w:w="1192" w:type="pct"/>
            <w:tcBorders>
              <w:top w:val="nil"/>
              <w:left w:val="single" w:sz="4" w:space="0" w:color="auto"/>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1. Kasa-Banka Değişimi</w:t>
            </w:r>
          </w:p>
        </w:tc>
        <w:tc>
          <w:tcPr>
            <w:tcW w:w="36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2 762</w:t>
            </w:r>
          </w:p>
        </w:tc>
        <w:tc>
          <w:tcPr>
            <w:tcW w:w="333"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- 947</w:t>
            </w:r>
          </w:p>
        </w:tc>
        <w:tc>
          <w:tcPr>
            <w:tcW w:w="336"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- 343</w:t>
            </w:r>
          </w:p>
        </w:tc>
        <w:tc>
          <w:tcPr>
            <w:tcW w:w="368"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1 473</w:t>
            </w:r>
          </w:p>
        </w:tc>
        <w:tc>
          <w:tcPr>
            <w:tcW w:w="354"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-1 467</w:t>
            </w:r>
          </w:p>
        </w:tc>
        <w:tc>
          <w:tcPr>
            <w:tcW w:w="392"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- 24</w:t>
            </w:r>
          </w:p>
        </w:tc>
        <w:tc>
          <w:tcPr>
            <w:tcW w:w="335"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-1 491</w:t>
            </w:r>
          </w:p>
        </w:tc>
        <w:tc>
          <w:tcPr>
            <w:tcW w:w="329" w:type="pct"/>
            <w:tcBorders>
              <w:top w:val="nil"/>
              <w:left w:val="nil"/>
              <w:right w:val="single" w:sz="4" w:space="0" w:color="auto"/>
            </w:tcBorders>
            <w:noWrap/>
            <w:tcMar>
              <w:top w:w="15" w:type="dxa"/>
              <w:left w:w="15" w:type="dxa"/>
              <w:bottom w:w="0" w:type="dxa"/>
              <w:right w:w="15" w:type="dxa"/>
            </w:tcMar>
            <w:vAlign w:val="bottom"/>
          </w:tcPr>
          <w:p w:rsidR="00565FD5" w:rsidRPr="00872BBA" w:rsidRDefault="00565FD5" w:rsidP="00AB62A3">
            <w:pPr>
              <w:jc w:val="right"/>
              <w:rPr>
                <w:rFonts w:cs="Tahoma"/>
                <w:sz w:val="14"/>
                <w:szCs w:val="14"/>
              </w:rPr>
            </w:pPr>
            <w:r w:rsidRPr="00872BBA">
              <w:rPr>
                <w:rFonts w:cs="Tahoma"/>
                <w:sz w:val="14"/>
                <w:szCs w:val="14"/>
              </w:rPr>
              <w:t>- 18</w:t>
            </w:r>
          </w:p>
        </w:tc>
      </w:tr>
      <w:tr w:rsidR="00565FD5" w:rsidRPr="00BF3740" w:rsidTr="00AB62A3">
        <w:trPr>
          <w:trHeight w:val="20"/>
        </w:trPr>
        <w:tc>
          <w:tcPr>
            <w:tcW w:w="1192" w:type="pct"/>
            <w:tcBorders>
              <w:left w:val="single" w:sz="4" w:space="0" w:color="auto"/>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2. Dış Borçlanma (net)</w:t>
            </w:r>
          </w:p>
        </w:tc>
        <w:tc>
          <w:tcPr>
            <w:tcW w:w="367" w:type="pct"/>
            <w:tcBorders>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Pr>
                <w:rFonts w:cs="Tahoma"/>
                <w:sz w:val="14"/>
                <w:szCs w:val="14"/>
              </w:rPr>
              <w:t>3 923</w:t>
            </w:r>
          </w:p>
        </w:tc>
        <w:tc>
          <w:tcPr>
            <w:tcW w:w="327" w:type="pct"/>
            <w:tcBorders>
              <w:left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- 239</w:t>
            </w:r>
          </w:p>
        </w:tc>
        <w:tc>
          <w:tcPr>
            <w:tcW w:w="333" w:type="pct"/>
            <w:tcBorders>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- 63</w:t>
            </w:r>
          </w:p>
        </w:tc>
        <w:tc>
          <w:tcPr>
            <w:tcW w:w="336" w:type="pct"/>
            <w:tcBorders>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68" w:type="pct"/>
            <w:tcBorders>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Pr>
                <w:rFonts w:cs="Tahoma"/>
                <w:sz w:val="14"/>
                <w:szCs w:val="14"/>
              </w:rPr>
              <w:t>3 621</w:t>
            </w:r>
          </w:p>
        </w:tc>
        <w:tc>
          <w:tcPr>
            <w:tcW w:w="354" w:type="pct"/>
            <w:tcBorders>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1 966</w:t>
            </w:r>
          </w:p>
        </w:tc>
        <w:tc>
          <w:tcPr>
            <w:tcW w:w="392" w:type="pct"/>
            <w:tcBorders>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68</w:t>
            </w:r>
          </w:p>
        </w:tc>
        <w:tc>
          <w:tcPr>
            <w:tcW w:w="335" w:type="pct"/>
            <w:tcBorders>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2 034</w:t>
            </w:r>
          </w:p>
        </w:tc>
        <w:tc>
          <w:tcPr>
            <w:tcW w:w="329" w:type="pct"/>
            <w:tcBorders>
              <w:left w:val="nil"/>
              <w:right w:val="single" w:sz="4" w:space="0" w:color="auto"/>
            </w:tcBorders>
            <w:noWrap/>
            <w:tcMar>
              <w:top w:w="15" w:type="dxa"/>
              <w:left w:w="15" w:type="dxa"/>
              <w:bottom w:w="0" w:type="dxa"/>
              <w:right w:w="15" w:type="dxa"/>
            </w:tcMar>
            <w:vAlign w:val="bottom"/>
          </w:tcPr>
          <w:p w:rsidR="00565FD5" w:rsidRPr="00872BBA" w:rsidRDefault="00565FD5" w:rsidP="00AB62A3">
            <w:pPr>
              <w:jc w:val="right"/>
              <w:rPr>
                <w:rFonts w:cs="Tahoma"/>
                <w:sz w:val="14"/>
                <w:szCs w:val="14"/>
              </w:rPr>
            </w:pPr>
            <w:r w:rsidRPr="00872BBA">
              <w:rPr>
                <w:rFonts w:cs="Tahoma"/>
                <w:sz w:val="14"/>
                <w:szCs w:val="14"/>
              </w:rPr>
              <w:t>5 655</w:t>
            </w:r>
          </w:p>
        </w:tc>
      </w:tr>
      <w:tr w:rsidR="00565FD5" w:rsidRPr="00BF3740" w:rsidTr="00AB62A3">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-Dış Borç Ödemesi</w:t>
            </w:r>
          </w:p>
        </w:tc>
        <w:tc>
          <w:tcPr>
            <w:tcW w:w="367"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Pr>
                <w:rFonts w:cs="Tahoma"/>
                <w:sz w:val="14"/>
                <w:szCs w:val="14"/>
              </w:rPr>
              <w:t>-8 827</w:t>
            </w:r>
          </w:p>
        </w:tc>
        <w:tc>
          <w:tcPr>
            <w:tcW w:w="327" w:type="pct"/>
            <w:tcBorders>
              <w:top w:val="nil"/>
              <w:left w:val="nil"/>
              <w:bottom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- 681</w:t>
            </w:r>
          </w:p>
        </w:tc>
        <w:tc>
          <w:tcPr>
            <w:tcW w:w="333"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- 63</w:t>
            </w:r>
          </w:p>
        </w:tc>
        <w:tc>
          <w:tcPr>
            <w:tcW w:w="336"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w:t>
            </w:r>
            <w:r>
              <w:rPr>
                <w:rFonts w:cs="Tahoma"/>
                <w:sz w:val="14"/>
                <w:szCs w:val="14"/>
              </w:rPr>
              <w:t>9 571</w:t>
            </w:r>
          </w:p>
        </w:tc>
        <w:tc>
          <w:tcPr>
            <w:tcW w:w="354"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-1 089</w:t>
            </w:r>
          </w:p>
        </w:tc>
        <w:tc>
          <w:tcPr>
            <w:tcW w:w="392"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-1 089</w:t>
            </w:r>
          </w:p>
        </w:tc>
        <w:tc>
          <w:tcPr>
            <w:tcW w:w="329" w:type="pct"/>
            <w:tcBorders>
              <w:top w:val="nil"/>
              <w:left w:val="nil"/>
              <w:bottom w:val="nil"/>
              <w:right w:val="single" w:sz="4" w:space="0" w:color="auto"/>
            </w:tcBorders>
            <w:noWrap/>
            <w:tcMar>
              <w:top w:w="15" w:type="dxa"/>
              <w:left w:w="15" w:type="dxa"/>
              <w:bottom w:w="0" w:type="dxa"/>
              <w:right w:w="15" w:type="dxa"/>
            </w:tcMar>
            <w:vAlign w:val="bottom"/>
          </w:tcPr>
          <w:p w:rsidR="00565FD5" w:rsidRPr="00872BBA" w:rsidRDefault="00565FD5" w:rsidP="00AB62A3">
            <w:pPr>
              <w:jc w:val="right"/>
              <w:rPr>
                <w:rFonts w:cs="Tahoma"/>
                <w:sz w:val="14"/>
                <w:szCs w:val="14"/>
              </w:rPr>
            </w:pPr>
            <w:r w:rsidRPr="00872BBA">
              <w:rPr>
                <w:rFonts w:cs="Tahoma"/>
                <w:sz w:val="14"/>
                <w:szCs w:val="14"/>
              </w:rPr>
              <w:t>-10 660</w:t>
            </w:r>
          </w:p>
        </w:tc>
      </w:tr>
      <w:tr w:rsidR="00565FD5" w:rsidRPr="00BF3740" w:rsidTr="00AB62A3">
        <w:trPr>
          <w:trHeight w:val="20"/>
        </w:trPr>
        <w:tc>
          <w:tcPr>
            <w:tcW w:w="1192" w:type="pct"/>
            <w:tcBorders>
              <w:top w:val="nil"/>
              <w:left w:val="single" w:sz="4" w:space="0" w:color="auto"/>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-Dış Borç Kullanımı</w:t>
            </w:r>
          </w:p>
        </w:tc>
        <w:tc>
          <w:tcPr>
            <w:tcW w:w="36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Pr>
                <w:rFonts w:cs="Tahoma"/>
                <w:sz w:val="14"/>
                <w:szCs w:val="14"/>
              </w:rPr>
              <w:t xml:space="preserve">12 750 </w:t>
            </w:r>
          </w:p>
        </w:tc>
        <w:tc>
          <w:tcPr>
            <w:tcW w:w="327"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442</w:t>
            </w:r>
          </w:p>
        </w:tc>
        <w:tc>
          <w:tcPr>
            <w:tcW w:w="333"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6"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68"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Pr>
                <w:rFonts w:cs="Tahoma"/>
                <w:sz w:val="14"/>
                <w:szCs w:val="14"/>
              </w:rPr>
              <w:t>13 192</w:t>
            </w:r>
          </w:p>
        </w:tc>
        <w:tc>
          <w:tcPr>
            <w:tcW w:w="354"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3 055</w:t>
            </w:r>
          </w:p>
        </w:tc>
        <w:tc>
          <w:tcPr>
            <w:tcW w:w="392"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68</w:t>
            </w:r>
          </w:p>
        </w:tc>
        <w:tc>
          <w:tcPr>
            <w:tcW w:w="335"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3 123</w:t>
            </w:r>
          </w:p>
        </w:tc>
        <w:tc>
          <w:tcPr>
            <w:tcW w:w="329" w:type="pct"/>
            <w:tcBorders>
              <w:top w:val="nil"/>
              <w:left w:val="nil"/>
              <w:right w:val="single" w:sz="4" w:space="0" w:color="auto"/>
            </w:tcBorders>
            <w:noWrap/>
            <w:tcMar>
              <w:top w:w="15" w:type="dxa"/>
              <w:left w:w="15" w:type="dxa"/>
              <w:bottom w:w="0" w:type="dxa"/>
              <w:right w:w="15" w:type="dxa"/>
            </w:tcMar>
            <w:vAlign w:val="bottom"/>
          </w:tcPr>
          <w:p w:rsidR="00565FD5" w:rsidRPr="00872BBA" w:rsidRDefault="00565FD5" w:rsidP="00AB62A3">
            <w:pPr>
              <w:jc w:val="right"/>
              <w:rPr>
                <w:rFonts w:cs="Tahoma"/>
                <w:sz w:val="14"/>
                <w:szCs w:val="14"/>
              </w:rPr>
            </w:pPr>
            <w:r w:rsidRPr="00872BBA">
              <w:rPr>
                <w:rFonts w:cs="Tahoma"/>
                <w:sz w:val="14"/>
                <w:szCs w:val="14"/>
              </w:rPr>
              <w:t>16 315</w:t>
            </w:r>
          </w:p>
        </w:tc>
      </w:tr>
      <w:tr w:rsidR="00565FD5" w:rsidRPr="00BF3740" w:rsidTr="00AB62A3">
        <w:trPr>
          <w:trHeight w:val="20"/>
        </w:trPr>
        <w:tc>
          <w:tcPr>
            <w:tcW w:w="1192" w:type="pct"/>
            <w:tcBorders>
              <w:top w:val="nil"/>
              <w:left w:val="single" w:sz="4" w:space="0" w:color="auto"/>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3. İç Borç/Alacak (net)</w:t>
            </w:r>
          </w:p>
        </w:tc>
        <w:tc>
          <w:tcPr>
            <w:tcW w:w="36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Pr>
                <w:rFonts w:cs="Tahoma"/>
                <w:sz w:val="14"/>
                <w:szCs w:val="14"/>
              </w:rPr>
              <w:t>29 970</w:t>
            </w:r>
          </w:p>
        </w:tc>
        <w:tc>
          <w:tcPr>
            <w:tcW w:w="327"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-1 292</w:t>
            </w:r>
          </w:p>
        </w:tc>
        <w:tc>
          <w:tcPr>
            <w:tcW w:w="333"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6"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-10 303</w:t>
            </w:r>
          </w:p>
        </w:tc>
        <w:tc>
          <w:tcPr>
            <w:tcW w:w="334"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152</w:t>
            </w:r>
          </w:p>
        </w:tc>
        <w:tc>
          <w:tcPr>
            <w:tcW w:w="368"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Pr>
                <w:rFonts w:cs="Tahoma"/>
                <w:sz w:val="14"/>
                <w:szCs w:val="14"/>
              </w:rPr>
              <w:t>18 528</w:t>
            </w:r>
          </w:p>
        </w:tc>
        <w:tc>
          <w:tcPr>
            <w:tcW w:w="354"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-2 053</w:t>
            </w:r>
          </w:p>
        </w:tc>
        <w:tc>
          <w:tcPr>
            <w:tcW w:w="392"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1 280</w:t>
            </w:r>
          </w:p>
        </w:tc>
        <w:tc>
          <w:tcPr>
            <w:tcW w:w="335"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- 774</w:t>
            </w:r>
          </w:p>
        </w:tc>
        <w:tc>
          <w:tcPr>
            <w:tcW w:w="329" w:type="pct"/>
            <w:tcBorders>
              <w:top w:val="nil"/>
              <w:left w:val="nil"/>
              <w:right w:val="single" w:sz="4" w:space="0" w:color="auto"/>
            </w:tcBorders>
            <w:noWrap/>
            <w:tcMar>
              <w:top w:w="15" w:type="dxa"/>
              <w:left w:w="15" w:type="dxa"/>
              <w:bottom w:w="0" w:type="dxa"/>
              <w:right w:w="15" w:type="dxa"/>
            </w:tcMar>
            <w:vAlign w:val="bottom"/>
          </w:tcPr>
          <w:p w:rsidR="00565FD5" w:rsidRPr="00872BBA" w:rsidRDefault="00565FD5" w:rsidP="00AB62A3">
            <w:pPr>
              <w:jc w:val="right"/>
              <w:rPr>
                <w:rFonts w:cs="Tahoma"/>
                <w:sz w:val="14"/>
                <w:szCs w:val="14"/>
              </w:rPr>
            </w:pPr>
            <w:r w:rsidRPr="00872BBA">
              <w:rPr>
                <w:rFonts w:cs="Tahoma"/>
                <w:sz w:val="14"/>
                <w:szCs w:val="14"/>
              </w:rPr>
              <w:t>17 754</w:t>
            </w:r>
          </w:p>
        </w:tc>
      </w:tr>
      <w:tr w:rsidR="00565FD5" w:rsidRPr="00BF3740" w:rsidTr="00AB62A3">
        <w:trPr>
          <w:trHeight w:val="20"/>
        </w:trPr>
        <w:tc>
          <w:tcPr>
            <w:tcW w:w="1192" w:type="pct"/>
            <w:tcBorders>
              <w:top w:val="nil"/>
              <w:left w:val="single" w:sz="4" w:space="0" w:color="auto"/>
              <w:bottom w:val="nil"/>
              <w:right w:val="nil"/>
            </w:tcBorders>
            <w:tcMar>
              <w:top w:w="15" w:type="dxa"/>
              <w:left w:w="15" w:type="dxa"/>
              <w:bottom w:w="0" w:type="dxa"/>
              <w:right w:w="15" w:type="dxa"/>
            </w:tcMar>
            <w:vAlign w:val="bottom"/>
          </w:tcPr>
          <w:p w:rsidR="00565FD5" w:rsidRPr="00BF3740" w:rsidRDefault="00565FD5" w:rsidP="00AB62A3">
            <w:pPr>
              <w:ind w:left="120"/>
              <w:rPr>
                <w:rFonts w:eastAsia="Arial Unicode MS" w:cs="Tahoma"/>
                <w:sz w:val="15"/>
                <w:szCs w:val="15"/>
              </w:rPr>
            </w:pPr>
            <w:r w:rsidRPr="00BF3740">
              <w:rPr>
                <w:rFonts w:cs="Tahoma"/>
                <w:sz w:val="15"/>
                <w:szCs w:val="15"/>
              </w:rPr>
              <w:t xml:space="preserve"> 4. Stok Değişim Fonu</w:t>
            </w:r>
          </w:p>
        </w:tc>
        <w:tc>
          <w:tcPr>
            <w:tcW w:w="367"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27" w:type="pct"/>
            <w:tcBorders>
              <w:top w:val="nil"/>
              <w:left w:val="nil"/>
              <w:right w:val="nil"/>
            </w:tcBorders>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- 7</w:t>
            </w:r>
          </w:p>
        </w:tc>
        <w:tc>
          <w:tcPr>
            <w:tcW w:w="333"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6"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xml:space="preserve"> 0</w:t>
            </w:r>
          </w:p>
        </w:tc>
        <w:tc>
          <w:tcPr>
            <w:tcW w:w="334"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- 97</w:t>
            </w:r>
          </w:p>
        </w:tc>
        <w:tc>
          <w:tcPr>
            <w:tcW w:w="368"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- 104</w:t>
            </w:r>
          </w:p>
        </w:tc>
        <w:tc>
          <w:tcPr>
            <w:tcW w:w="354"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- 289</w:t>
            </w:r>
          </w:p>
        </w:tc>
        <w:tc>
          <w:tcPr>
            <w:tcW w:w="392"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- 172</w:t>
            </w:r>
          </w:p>
        </w:tc>
        <w:tc>
          <w:tcPr>
            <w:tcW w:w="335" w:type="pct"/>
            <w:tcBorders>
              <w:top w:val="nil"/>
              <w:left w:val="nil"/>
              <w:right w:val="nil"/>
            </w:tcBorders>
            <w:noWrap/>
            <w:tcMar>
              <w:top w:w="15" w:type="dxa"/>
              <w:left w:w="15" w:type="dxa"/>
              <w:bottom w:w="0" w:type="dxa"/>
              <w:right w:w="15" w:type="dxa"/>
            </w:tcMar>
            <w:vAlign w:val="bottom"/>
          </w:tcPr>
          <w:p w:rsidR="00565FD5" w:rsidRPr="00BF3740" w:rsidRDefault="00565FD5" w:rsidP="00AB62A3">
            <w:pPr>
              <w:jc w:val="right"/>
              <w:rPr>
                <w:rFonts w:cs="Tahoma"/>
                <w:sz w:val="14"/>
                <w:szCs w:val="14"/>
              </w:rPr>
            </w:pPr>
            <w:r w:rsidRPr="00BF3740">
              <w:rPr>
                <w:rFonts w:cs="Tahoma"/>
                <w:sz w:val="14"/>
                <w:szCs w:val="14"/>
              </w:rPr>
              <w:t>- 461</w:t>
            </w:r>
          </w:p>
        </w:tc>
        <w:tc>
          <w:tcPr>
            <w:tcW w:w="329" w:type="pct"/>
            <w:tcBorders>
              <w:top w:val="nil"/>
              <w:left w:val="nil"/>
              <w:right w:val="single" w:sz="4" w:space="0" w:color="auto"/>
            </w:tcBorders>
            <w:noWrap/>
            <w:tcMar>
              <w:top w:w="15" w:type="dxa"/>
              <w:left w:w="15" w:type="dxa"/>
              <w:bottom w:w="0" w:type="dxa"/>
              <w:right w:w="15" w:type="dxa"/>
            </w:tcMar>
            <w:vAlign w:val="bottom"/>
          </w:tcPr>
          <w:p w:rsidR="00565FD5" w:rsidRPr="00872BBA" w:rsidRDefault="00565FD5" w:rsidP="00AB62A3">
            <w:pPr>
              <w:jc w:val="right"/>
              <w:rPr>
                <w:rFonts w:cs="Tahoma"/>
                <w:sz w:val="14"/>
                <w:szCs w:val="14"/>
              </w:rPr>
            </w:pPr>
            <w:r w:rsidRPr="00872BBA">
              <w:rPr>
                <w:rFonts w:cs="Tahoma"/>
                <w:sz w:val="14"/>
                <w:szCs w:val="14"/>
              </w:rPr>
              <w:t>- 565</w:t>
            </w:r>
          </w:p>
        </w:tc>
      </w:tr>
      <w:tr w:rsidR="00565FD5" w:rsidRPr="00BF3740" w:rsidTr="00AB62A3">
        <w:trPr>
          <w:trHeight w:val="20"/>
        </w:trPr>
        <w:tc>
          <w:tcPr>
            <w:tcW w:w="1192" w:type="pct"/>
            <w:tcBorders>
              <w:top w:val="nil"/>
              <w:left w:val="single" w:sz="4" w:space="0" w:color="auto"/>
              <w:bottom w:val="single" w:sz="4" w:space="0" w:color="auto"/>
              <w:right w:val="nil"/>
            </w:tcBorders>
            <w:tcMar>
              <w:top w:w="15" w:type="dxa"/>
              <w:left w:w="15" w:type="dxa"/>
              <w:bottom w:w="0" w:type="dxa"/>
              <w:right w:w="15" w:type="dxa"/>
            </w:tcMar>
            <w:vAlign w:val="bottom"/>
          </w:tcPr>
          <w:p w:rsidR="00565FD5" w:rsidRPr="00BF3740" w:rsidRDefault="00565FD5" w:rsidP="00AB62A3">
            <w:pPr>
              <w:ind w:left="120"/>
              <w:rPr>
                <w:rFonts w:cs="Tahoma"/>
                <w:b/>
                <w:sz w:val="15"/>
                <w:szCs w:val="15"/>
              </w:rPr>
            </w:pPr>
            <w:r w:rsidRPr="00BF3740">
              <w:rPr>
                <w:rFonts w:cs="Tahoma"/>
                <w:b/>
                <w:sz w:val="15"/>
                <w:szCs w:val="15"/>
              </w:rPr>
              <w:t>BORÇLANMA GEREĞİ</w:t>
            </w:r>
          </w:p>
        </w:tc>
        <w:tc>
          <w:tcPr>
            <w:tcW w:w="367"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33 893</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1 231</w:t>
            </w:r>
          </w:p>
        </w:tc>
        <w:tc>
          <w:tcPr>
            <w:tcW w:w="333"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-1 010</w:t>
            </w:r>
          </w:p>
        </w:tc>
        <w:tc>
          <w:tcPr>
            <w:tcW w:w="336"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-10 303</w:t>
            </w:r>
          </w:p>
        </w:tc>
        <w:tc>
          <w:tcPr>
            <w:tcW w:w="334"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xml:space="preserve"> 0</w:t>
            </w:r>
          </w:p>
        </w:tc>
        <w:tc>
          <w:tcPr>
            <w:tcW w:w="334"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- 190</w:t>
            </w:r>
          </w:p>
        </w:tc>
        <w:tc>
          <w:tcPr>
            <w:tcW w:w="368"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23 621</w:t>
            </w:r>
          </w:p>
        </w:tc>
        <w:tc>
          <w:tcPr>
            <w:tcW w:w="354"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-1 554</w:t>
            </w:r>
          </w:p>
        </w:tc>
        <w:tc>
          <w:tcPr>
            <w:tcW w:w="392"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1 324</w:t>
            </w:r>
          </w:p>
        </w:tc>
        <w:tc>
          <w:tcPr>
            <w:tcW w:w="335" w:type="pct"/>
            <w:tcBorders>
              <w:top w:val="nil"/>
              <w:left w:val="nil"/>
              <w:bottom w:val="single" w:sz="4" w:space="0" w:color="auto"/>
              <w:right w:val="nil"/>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- 231</w:t>
            </w:r>
          </w:p>
        </w:tc>
        <w:tc>
          <w:tcPr>
            <w:tcW w:w="329" w:type="pct"/>
            <w:tcBorders>
              <w:top w:val="nil"/>
              <w:left w:val="nil"/>
              <w:bottom w:val="single" w:sz="4" w:space="0" w:color="auto"/>
              <w:right w:val="single" w:sz="4" w:space="0" w:color="auto"/>
            </w:tcBorders>
            <w:noWrap/>
            <w:tcMar>
              <w:top w:w="15" w:type="dxa"/>
              <w:left w:w="15" w:type="dxa"/>
              <w:bottom w:w="0" w:type="dxa"/>
              <w:right w:w="15" w:type="dxa"/>
            </w:tcMar>
            <w:vAlign w:val="bottom"/>
          </w:tcPr>
          <w:p w:rsidR="00565FD5" w:rsidRPr="00BF3740" w:rsidRDefault="00565FD5" w:rsidP="00AB62A3">
            <w:pPr>
              <w:jc w:val="right"/>
              <w:rPr>
                <w:rFonts w:cs="Tahoma"/>
                <w:b/>
                <w:bCs/>
                <w:sz w:val="14"/>
                <w:szCs w:val="14"/>
              </w:rPr>
            </w:pPr>
            <w:r w:rsidRPr="00BF3740">
              <w:rPr>
                <w:rFonts w:cs="Tahoma"/>
                <w:b/>
                <w:bCs/>
                <w:sz w:val="14"/>
                <w:szCs w:val="14"/>
              </w:rPr>
              <w:t>23 391</w:t>
            </w:r>
          </w:p>
        </w:tc>
      </w:tr>
    </w:tbl>
    <w:p w:rsidR="00565FD5" w:rsidRPr="00BF3740" w:rsidRDefault="00565FD5" w:rsidP="00565FD5">
      <w:pPr>
        <w:rPr>
          <w:rFonts w:cs="Tahoma"/>
          <w:sz w:val="14"/>
          <w:szCs w:val="14"/>
        </w:rPr>
      </w:pPr>
      <w:r w:rsidRPr="00BF3740">
        <w:rPr>
          <w:rFonts w:cs="Tahoma"/>
          <w:sz w:val="14"/>
          <w:szCs w:val="14"/>
        </w:rPr>
        <w:t>Kaynak: Kalkınma Bakanlığı</w:t>
      </w:r>
    </w:p>
    <w:p w:rsidR="00565FD5" w:rsidRPr="00BF3740" w:rsidRDefault="00565FD5" w:rsidP="00565FD5">
      <w:pPr>
        <w:rPr>
          <w:rFonts w:eastAsia="Arial Unicode MS" w:cs="Tahoma"/>
          <w:sz w:val="14"/>
          <w:szCs w:val="14"/>
        </w:rPr>
      </w:pPr>
      <w:r w:rsidRPr="00BF3740">
        <w:rPr>
          <w:rFonts w:cs="Tahoma"/>
          <w:sz w:val="14"/>
          <w:szCs w:val="14"/>
        </w:rPr>
        <w:t xml:space="preserve">Not: </w:t>
      </w:r>
      <w:r w:rsidRPr="00BF3740">
        <w:rPr>
          <w:rFonts w:eastAsia="Arial Unicode MS" w:cs="Tahoma"/>
          <w:sz w:val="14"/>
          <w:szCs w:val="14"/>
        </w:rPr>
        <w:t>Genel sağlık sigortası hesapları, sosyal güvenlik dengesi içerisinde yer almaktadır.</w:t>
      </w:r>
    </w:p>
    <w:p w:rsidR="00565FD5" w:rsidRPr="00BF3740" w:rsidRDefault="00565FD5" w:rsidP="00565FD5">
      <w:pPr>
        <w:rPr>
          <w:rFonts w:cs="Tahoma"/>
          <w:sz w:val="14"/>
          <w:szCs w:val="14"/>
        </w:rPr>
      </w:pPr>
      <w:r w:rsidRPr="00BF3740">
        <w:rPr>
          <w:rFonts w:cs="Tahoma"/>
          <w:sz w:val="14"/>
          <w:szCs w:val="14"/>
        </w:rPr>
        <w:t>(1) Program</w:t>
      </w:r>
    </w:p>
    <w:p w:rsidR="00565FD5" w:rsidRPr="00BF3740" w:rsidRDefault="00565FD5" w:rsidP="00565FD5">
      <w:pPr>
        <w:keepNext/>
        <w:spacing w:after="80"/>
        <w:rPr>
          <w:b/>
          <w:sz w:val="14"/>
          <w:szCs w:val="14"/>
        </w:rPr>
        <w:sectPr w:rsidR="00565FD5" w:rsidRPr="00BF3740" w:rsidSect="00FF6818">
          <w:type w:val="nextColumn"/>
          <w:pgSz w:w="16840" w:h="11907" w:orient="landscape" w:code="9"/>
          <w:pgMar w:top="2268" w:right="2948" w:bottom="2268" w:left="2948" w:header="1701" w:footer="1985" w:gutter="0"/>
          <w:paperSrc w:first="15" w:other="15"/>
          <w:cols w:space="708"/>
          <w:noEndnote/>
        </w:sectPr>
      </w:pPr>
    </w:p>
    <w:p w:rsidR="00565FD5" w:rsidRPr="00BF3740" w:rsidRDefault="00565FD5" w:rsidP="00565FD5">
      <w:pPr>
        <w:pStyle w:val="Balk3"/>
      </w:pPr>
      <w:bookmarkStart w:id="919" w:name="_Toc181192616"/>
      <w:bookmarkStart w:id="920" w:name="_Toc181284904"/>
      <w:bookmarkStart w:id="921" w:name="_Toc181285983"/>
      <w:bookmarkStart w:id="922" w:name="_Toc213065623"/>
      <w:bookmarkStart w:id="923" w:name="_Toc244253636"/>
      <w:bookmarkStart w:id="924" w:name="_Toc244254886"/>
      <w:bookmarkStart w:id="925" w:name="_Toc244313622"/>
      <w:bookmarkStart w:id="926" w:name="_Toc244315099"/>
      <w:bookmarkStart w:id="927" w:name="_Toc244339562"/>
      <w:bookmarkStart w:id="928" w:name="_Toc276076241"/>
      <w:bookmarkStart w:id="929" w:name="_Toc338494227"/>
      <w:bookmarkStart w:id="930" w:name="_Toc338505539"/>
      <w:bookmarkStart w:id="931" w:name="_Toc338523756"/>
      <w:bookmarkStart w:id="932" w:name="_Toc338523987"/>
      <w:bookmarkStart w:id="933" w:name="_Toc338526213"/>
      <w:bookmarkStart w:id="934" w:name="_Toc338673656"/>
      <w:bookmarkStart w:id="935" w:name="_Toc338711535"/>
      <w:bookmarkEnd w:id="893"/>
      <w:bookmarkEnd w:id="894"/>
      <w:bookmarkEnd w:id="895"/>
      <w:r w:rsidRPr="00BF3740">
        <w:lastRenderedPageBreak/>
        <w:t>A. MERKEZİ YÖNETİM BÜTÇESİ</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rsidR="00565FD5" w:rsidRPr="00BF3740" w:rsidRDefault="00565FD5" w:rsidP="00565FD5">
      <w:pPr>
        <w:pStyle w:val="Balk4"/>
      </w:pPr>
      <w:bookmarkStart w:id="936" w:name="_Toc149968456"/>
      <w:bookmarkStart w:id="937" w:name="_Toc150099145"/>
      <w:bookmarkStart w:id="938" w:name="_Toc181192617"/>
      <w:bookmarkStart w:id="939" w:name="_Toc181284905"/>
      <w:bookmarkStart w:id="940" w:name="_Toc181285984"/>
      <w:bookmarkStart w:id="941" w:name="_Toc213065624"/>
      <w:bookmarkStart w:id="942" w:name="_Toc244253637"/>
      <w:bookmarkStart w:id="943" w:name="_Toc244254887"/>
      <w:bookmarkStart w:id="944" w:name="_Toc244313623"/>
      <w:bookmarkStart w:id="945" w:name="_Toc244315100"/>
      <w:bookmarkStart w:id="946" w:name="_Toc244339563"/>
      <w:bookmarkStart w:id="947" w:name="_Toc276076242"/>
      <w:bookmarkStart w:id="948" w:name="_Toc338505540"/>
      <w:bookmarkStart w:id="949" w:name="_Toc338523757"/>
      <w:bookmarkStart w:id="950" w:name="_Toc338523988"/>
      <w:bookmarkStart w:id="951" w:name="_Toc338526214"/>
      <w:bookmarkStart w:id="952" w:name="_Toc338673657"/>
      <w:bookmarkStart w:id="953" w:name="_Toc338711536"/>
      <w:r w:rsidRPr="00BF3740">
        <w:t>1. Mevcut Durum</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rsidR="00565FD5" w:rsidRPr="00BF3740" w:rsidRDefault="00565FD5" w:rsidP="00565FD5">
      <w:pPr>
        <w:spacing w:after="140"/>
        <w:ind w:firstLine="425"/>
        <w:rPr>
          <w:rFonts w:cs="Tahoma"/>
          <w:szCs w:val="18"/>
        </w:rPr>
      </w:pPr>
      <w:r w:rsidRPr="00BF3740">
        <w:rPr>
          <w:rFonts w:cs="Tahoma"/>
          <w:szCs w:val="18"/>
        </w:rPr>
        <w:t>2010 yılındaki yüksek ekonomik büyüme 2011 yılında da devam etmiş ve bu durum gelir performansını olumlu yönde etkilemiştir. Buna ilave olarak, bazı kamu alacaklarına sağlanan ödeme kolaylıkları, bir taraftan bütçe gelirlerini artırırken diğer taraftan ilave gelir elde eden sosyal güvenlik sisteminin finansman ihtiyacını azaltmıştır. Faiz giderlerindeki düşüşün de etkisiyle 2011 yılı merkezi yönetim bütçe açığının GSYH’ya oranı bir önceki yıla göre 2,3 puan azalarak yüzde 1,4 düzeyinde gerçekleşmiştir.</w:t>
      </w:r>
    </w:p>
    <w:p w:rsidR="00565FD5" w:rsidRPr="00BF3740" w:rsidRDefault="00565FD5" w:rsidP="00565FD5">
      <w:pPr>
        <w:spacing w:after="140"/>
        <w:ind w:firstLine="425"/>
        <w:rPr>
          <w:rFonts w:cs="Tahoma"/>
          <w:szCs w:val="18"/>
        </w:rPr>
      </w:pPr>
      <w:r w:rsidRPr="00BF3740">
        <w:rPr>
          <w:rFonts w:cs="Tahoma"/>
          <w:szCs w:val="18"/>
        </w:rPr>
        <w:t>Yüksek büyümenin yerini ılımlı bir büyümeye bıraktığı 2012 yılında, merkezi yönetim bütçe gelirlerinin GSYH’ya oranının 2011 yılındaki yüzde 22,9 seviyesini koruyacağı tahmin edilmektedir. Bununla beraber, 2012 yılında GSYH’ya oran olarak bir önceki yıla göre, vergi gelirlerinin 0,1 puan azalarak yüzde 19,4’e gerilemesi; vergi dışı diğer gelirlerin ise, kamu bankalarından elde edilen yüksek miktardaki kar payının da katkısıyla, 0,2 puan artarak yüzde 3,5 seviyesine yükselmesi beklenmektedir.</w:t>
      </w:r>
    </w:p>
    <w:p w:rsidR="00565FD5" w:rsidRPr="00BF3740" w:rsidRDefault="00565FD5" w:rsidP="00565FD5">
      <w:pPr>
        <w:spacing w:after="140"/>
        <w:ind w:firstLine="425"/>
        <w:rPr>
          <w:rFonts w:cs="Tahoma"/>
          <w:szCs w:val="18"/>
        </w:rPr>
      </w:pPr>
      <w:r w:rsidRPr="00BF3740">
        <w:rPr>
          <w:rFonts w:cs="Tahoma"/>
          <w:szCs w:val="18"/>
        </w:rPr>
        <w:t>Merkezi yönetim bütçe harcamalarının, özellikle personel giderleri, sosyal güvenlik açık finansmanı ve faiz giderlerindeki artış nedeniyle 2012 yılında GSYH’ya oranla bir önceki yıla göre 1 puan artarak yüzde 25,3 seviyesine yükselmesi beklenmektedir.</w:t>
      </w:r>
    </w:p>
    <w:p w:rsidR="00565FD5" w:rsidRPr="00BF3740" w:rsidRDefault="00565FD5" w:rsidP="00565FD5">
      <w:pPr>
        <w:spacing w:after="140"/>
        <w:ind w:firstLine="425"/>
        <w:rPr>
          <w:rFonts w:cs="Tahoma"/>
          <w:szCs w:val="18"/>
        </w:rPr>
      </w:pPr>
      <w:r w:rsidRPr="00BF3740">
        <w:rPr>
          <w:rFonts w:cs="Tahoma"/>
          <w:szCs w:val="18"/>
        </w:rPr>
        <w:t>2012 yılında GSYH’ya oran olarak merkezi yönetim bütçe açığının yüzde 2,3’e yükseleceği tahmin edilmektedir. Merkezi yönetim bütçe dengesindeki bu bozulma, kamu kesimi borçlanma gereğindeki GSYH’ya oran olarak bir önceki yıla göre 1,6 puanlık artışın temel belirleyicisi olmaktadır.</w:t>
      </w:r>
    </w:p>
    <w:p w:rsidR="00565FD5" w:rsidRPr="00BF3740" w:rsidRDefault="00565FD5" w:rsidP="00565FD5">
      <w:pPr>
        <w:spacing w:after="140"/>
        <w:ind w:firstLine="425"/>
        <w:rPr>
          <w:rFonts w:cs="Tahoma"/>
          <w:szCs w:val="18"/>
        </w:rPr>
      </w:pPr>
      <w:r w:rsidRPr="00BF3740">
        <w:rPr>
          <w:rFonts w:cs="Tahoma"/>
          <w:szCs w:val="18"/>
        </w:rPr>
        <w:t>Cari açığı düşürmeye yönelik alınan önlemlerin de etkisiyle ekonomik büyümede gözlenen yavaşlama ve bazı kamu idarelerinin vergi yükümlülüklerini tam olarak yerine getirememeleri, katma değer vergisi (KDV) ve özel tüketim vergisi (ÖTV) tahsilatındaki artışın sınırlı kalmasına yol açmıştır.</w:t>
      </w:r>
    </w:p>
    <w:p w:rsidR="00565FD5" w:rsidRPr="00BF3740" w:rsidRDefault="00565FD5" w:rsidP="00565FD5">
      <w:pPr>
        <w:spacing w:after="140"/>
        <w:ind w:firstLine="425"/>
        <w:rPr>
          <w:rFonts w:cs="Tahoma"/>
          <w:szCs w:val="18"/>
        </w:rPr>
      </w:pPr>
      <w:r w:rsidRPr="00BF3740">
        <w:rPr>
          <w:rFonts w:cs="Tahoma"/>
          <w:szCs w:val="18"/>
        </w:rPr>
        <w:t>Öte yandan, 2012 yılında, gelir vergisi ve kurumlar vergisi tahsilatının, bütçe hedefinin sırasıyla 2,9 milyar TL ve 1,4 milyar TL üzerine çıkması beklenmektedir. Gelir vergisi tahsilatındaki artışta kayıtlı istihdamdaki ve ücretlerdeki yüksek oranlı artışların önemli etkisi olmuştur.</w:t>
      </w:r>
    </w:p>
    <w:p w:rsidR="00565FD5" w:rsidRPr="00BF3740" w:rsidRDefault="00565FD5" w:rsidP="00565FD5">
      <w:pPr>
        <w:spacing w:after="140"/>
        <w:ind w:firstLine="425"/>
        <w:rPr>
          <w:rFonts w:cs="Tahoma"/>
          <w:szCs w:val="18"/>
        </w:rPr>
      </w:pPr>
      <w:r w:rsidRPr="00BF3740">
        <w:rPr>
          <w:rFonts w:cs="Tahoma"/>
          <w:szCs w:val="18"/>
        </w:rPr>
        <w:lastRenderedPageBreak/>
        <w:t>22</w:t>
      </w:r>
      <w:r>
        <w:rPr>
          <w:rFonts w:cs="Tahoma"/>
          <w:szCs w:val="18"/>
        </w:rPr>
        <w:t>/</w:t>
      </w:r>
      <w:r w:rsidRPr="00BF3740">
        <w:rPr>
          <w:rFonts w:cs="Tahoma"/>
          <w:szCs w:val="18"/>
        </w:rPr>
        <w:t>09</w:t>
      </w:r>
      <w:r>
        <w:rPr>
          <w:rFonts w:cs="Tahoma"/>
          <w:szCs w:val="18"/>
        </w:rPr>
        <w:t>/</w:t>
      </w:r>
      <w:r w:rsidRPr="00BF3740">
        <w:rPr>
          <w:rFonts w:cs="Tahoma"/>
          <w:szCs w:val="18"/>
        </w:rPr>
        <w:t>2012 tarihli ve 2012/3735 sayılı Bakanlar Kurulu Kararıyla (BKK) 4760 sayılı Özel Tüketim Vergisi Kanununa ekli (I), (II) ve (III) sayılı listelerde yer alan bazı malların ÖTV oran ve tutarlarıyla 492 sayılı Harçlar Kanununun (4) sayılı tarifesinde yer alan tapu işlemleri üzerinden alınan harç oranında değişiklik yapılmıştır. Bu kapsamda, alkollü içkiler üzerindeki maktu ÖTV tutarları yüzde 17 oranında, akaryakıt ürünleri üzerindeki maktu ÖTV tutarları 0,3 TL tutarında artırılmış, motor silindir hacmi 1600 cm3’ü geçmeyen otomobiller için uygulanan ÖTV oranı ise yüzde 37’den yüzde 40’a yükseltilmiştir. Bunun yanı sıra, tapu işlemleri üzerinden, binde 16,5 nispetinde alınan tapu harcı oranı binde 20 düzeyine yükseltilmiştir. Yapılan bu artışların 2012 yılı bütçe gelirlerine etkisinin 2,3 milyar TL civarında olması beklenmektedir.</w:t>
      </w:r>
    </w:p>
    <w:p w:rsidR="00565FD5" w:rsidRPr="00BF3740" w:rsidRDefault="00565FD5" w:rsidP="00565FD5">
      <w:pPr>
        <w:spacing w:after="140"/>
        <w:ind w:firstLine="425"/>
        <w:rPr>
          <w:rFonts w:cs="Tahoma"/>
          <w:szCs w:val="18"/>
        </w:rPr>
      </w:pPr>
      <w:r w:rsidRPr="00BF3740">
        <w:rPr>
          <w:rFonts w:cs="Tahoma"/>
          <w:szCs w:val="18"/>
        </w:rPr>
        <w:t>Merkezi yönetim bütçesi vergi gelirleri içinde önemli paya sahip olan ÖTV tahsilatının 2012 yılında, Eylül ayında yapılan vergi artışlarının da katkısıyla bütçe hedefinin 0,7 milyar TL üzerinde gerçekleşeceği tahmin edilmektedir. Bu kapsamda, bütçe hedefine göre, alkollü içkiler üzerinden alınan ÖTV tahsilatı ile araç satışlarında görülen aşağı yönlü eğilimin yılın ikinci yarısından itibaren ortadan kalkmasının etkisiyle motorlu taşıtlar üzerinden alınan ÖTV tahsilatında sırasıyla 0,3 milyar TL ve 1,6 milyar TL artış olacağı tahmin edilmektedir. Bunun yanında, akaryakıt ve doğal gaz ürünleri üzerinden alınan ÖTV tahsilatı ile tütün mamulleri üzerinden alınan ÖTV tahsilatının bütçe hedefinin sırasıyla 0,5 milyar TL ve 0,3 milyar TL altında gerçekleşmesi beklenmektedir.</w:t>
      </w:r>
    </w:p>
    <w:p w:rsidR="00565FD5" w:rsidRPr="00BF3740" w:rsidRDefault="00565FD5" w:rsidP="00565FD5">
      <w:pPr>
        <w:spacing w:after="140"/>
        <w:ind w:firstLine="425"/>
        <w:rPr>
          <w:rFonts w:cs="Tahoma"/>
          <w:szCs w:val="18"/>
        </w:rPr>
      </w:pPr>
      <w:r w:rsidRPr="00BF3740">
        <w:rPr>
          <w:rFonts w:cs="Tahoma"/>
          <w:szCs w:val="18"/>
        </w:rPr>
        <w:t>2012 yılında, bütçe hedefine göre, yurtiçi iktisadi faaliyet hacmindeki beklentinin altındaki büyüme nedeniyle dahilde alınan KDV tahsilatının 1,5 milyar TL; ithalat hacmindeki azalma ve BOTAŞ’ın vergi yükümlülüklerini tam olarak yerine getirememesinin de etkisiyle ithalde alınan KDV tahsilatının 3,9 milyar TL düşük gerçekleşmesi beklenmektedir.</w:t>
      </w:r>
    </w:p>
    <w:p w:rsidR="00565FD5" w:rsidRPr="00BF3740" w:rsidRDefault="00565FD5" w:rsidP="00565FD5">
      <w:pPr>
        <w:spacing w:after="140"/>
        <w:ind w:firstLine="425"/>
        <w:rPr>
          <w:rFonts w:cs="Tahoma"/>
          <w:szCs w:val="18"/>
        </w:rPr>
      </w:pPr>
      <w:r w:rsidRPr="00BF3740">
        <w:rPr>
          <w:rFonts w:cs="Tahoma"/>
          <w:szCs w:val="18"/>
        </w:rPr>
        <w:t>Uluslararası piyasalardaki belirsizliklerin devam etmesi özelleştirme sürecini de etkilemiştir. Bu kapsamda, 10,5 milyar TL olarak hedeflenen özelleştirme gelirlerinin yıl sonunda 1,4 milyar TL olarak gerçekleşmesi beklenmektedir. Özelleştirme gelirleri hariç vergi dışı diğer gelirlerin ise, özellikle kamu bankalarından elde edilen yüksek miktardaki kar payının katkısıyla, bütçe hedefinin 7,3 milyar TL üzerinde gerçekleşmesi beklenmektedir.</w:t>
      </w:r>
    </w:p>
    <w:p w:rsidR="00565FD5" w:rsidRPr="00BF3740" w:rsidRDefault="00565FD5" w:rsidP="00565FD5">
      <w:pPr>
        <w:spacing w:after="140"/>
        <w:ind w:firstLine="425"/>
        <w:rPr>
          <w:rFonts w:cs="Tahoma"/>
          <w:szCs w:val="18"/>
        </w:rPr>
      </w:pPr>
      <w:r w:rsidRPr="00BF3740">
        <w:rPr>
          <w:rFonts w:cs="Tahoma"/>
          <w:szCs w:val="18"/>
        </w:rPr>
        <w:lastRenderedPageBreak/>
        <w:t>Ayrıca, 13</w:t>
      </w:r>
      <w:r>
        <w:rPr>
          <w:rFonts w:cs="Tahoma"/>
          <w:szCs w:val="18"/>
        </w:rPr>
        <w:t>/</w:t>
      </w:r>
      <w:r w:rsidRPr="00BF3740">
        <w:rPr>
          <w:rFonts w:cs="Tahoma"/>
          <w:szCs w:val="18"/>
        </w:rPr>
        <w:t>02</w:t>
      </w:r>
      <w:r>
        <w:rPr>
          <w:rFonts w:cs="Tahoma"/>
          <w:szCs w:val="18"/>
        </w:rPr>
        <w:t>/</w:t>
      </w:r>
      <w:r w:rsidRPr="00BF3740">
        <w:rPr>
          <w:rFonts w:cs="Tahoma"/>
          <w:szCs w:val="18"/>
        </w:rPr>
        <w:t>2011 tarihli ve 6111 sayılı Kanunla bazı kamu alacaklarına ödeme kolaylıkları getiren düzenlemenin 2012 yılı merkezi yönetim bütçe gelirleri üzerindeki net etkisinin 2 milyar TL civarında olması öngörülmektedir.</w:t>
      </w:r>
    </w:p>
    <w:p w:rsidR="00565FD5" w:rsidRPr="00BF3740" w:rsidRDefault="00565FD5" w:rsidP="00565FD5">
      <w:pPr>
        <w:spacing w:after="140"/>
        <w:ind w:firstLine="425"/>
        <w:rPr>
          <w:rFonts w:cs="Tahoma"/>
          <w:szCs w:val="18"/>
        </w:rPr>
      </w:pPr>
      <w:r w:rsidRPr="00BF3740">
        <w:rPr>
          <w:rFonts w:cs="Tahoma"/>
          <w:szCs w:val="18"/>
        </w:rPr>
        <w:t>2012 yılı merkezi yönetim bütçesi faiz dışı harcamalarının başlangıç ödeneğinin 13 milyar TL üzerinde, GSYH’ya oranla bir önceki yıla göre 0,9 puan artarak yüzde 21,9 seviyesinde gerçekleşmesi beklenmektedir. 2011 yılında yüzde 3,3 düzeyinde gerçekleşen ve 2012 yılı için yüzde 3,5 olarak öngörülen faiz ödemelerinin GSYH içindeki payının ise yıl sonunda başlangıç ödeneğinin 1,3 milyar TL altında ve yüzde 3,4 seviyesinde gerçekleşeceği tahmin edilmektedir. Böylece, 2012 yılı merkezi yönetim bütçesi toplam harcamalarının, başlangıç ödeneğinin 11,7 milyar TL üzerinde ve GSYH’ya oranla bir önceki yıla göre 1 puan artarak yüzde 25,3 seviyesinde gerçekleşeceği öngörülmektedir.</w:t>
      </w:r>
    </w:p>
    <w:p w:rsidR="00565FD5" w:rsidRPr="00BF3740" w:rsidRDefault="00565FD5" w:rsidP="00565FD5">
      <w:pPr>
        <w:spacing w:after="140"/>
        <w:ind w:firstLine="425"/>
        <w:rPr>
          <w:rFonts w:cs="Tahoma"/>
          <w:szCs w:val="18"/>
        </w:rPr>
      </w:pPr>
      <w:r w:rsidRPr="00BF3740">
        <w:rPr>
          <w:rFonts w:cs="Tahoma"/>
          <w:szCs w:val="18"/>
        </w:rPr>
        <w:t>2012 yılı bütçesinde personel harcamaları için; 81,7 milyar TL’si personel giderleri, 14,3 milyar TL’si sosyal güvenlik kurumlarına devlet primi giderleri ve 3,2 milyar TL’si de personel yedek ödeneği olmak üzere toplamda 99,1 milyar TL ödenek tahsis edilmiştir. Kamu Görevlileri Sendikaları Kanununda 6289 sayılı Kanunla yapılan değişiklikle, işçi statüsü dışında çalışan kamu görevlilerinin mali ve sosyal haklarının toplu sözleşme ile belirlenmesi hükme bağlanmış, toplu sözleşme görüşmelerinin sonucunda Ocak ve Temmuz ayları genel maaş artış oranları yüzde 4 ve yüzde 4 olarak belirlenmiştir. Öngörülenin üzerinde gerçekleşen maaş artış oranlarına ilâve olarak, Ocak ayında yüzde 2,68 oranında enflasyon farkı verilmesi, ilâve personel istihdamı ve bazı çalışanların mali ve sosyal haklarında yapılan iyileştirmeler nedeniyle personel giderlerinin 2012 yılında 102,1 milyar TL ile GSYH’ya oranla bir önceki yıla göre 0,5 puan artarak yüzde 7,1 seviyesinde gerçekleşeceği tahmin edilmektedir.</w:t>
      </w:r>
    </w:p>
    <w:p w:rsidR="00565FD5" w:rsidRPr="00BF3740" w:rsidRDefault="00565FD5" w:rsidP="00565FD5">
      <w:pPr>
        <w:spacing w:after="140"/>
        <w:ind w:firstLine="425"/>
        <w:rPr>
          <w:rFonts w:cs="Tahoma"/>
          <w:szCs w:val="18"/>
        </w:rPr>
      </w:pPr>
      <w:r w:rsidRPr="00BF3740">
        <w:rPr>
          <w:rFonts w:cs="Tahoma"/>
          <w:szCs w:val="18"/>
        </w:rPr>
        <w:t xml:space="preserve">Mal ve hizmet alım giderlerinin 2012 yılında başlangıç ödeneğinin 4,5 milyar TL üzerinde gerçekleşmesi beklenmektedir. Bu gelişmede; ilköğretim öğrencilerine süt yardımı yapılması, kadına şiddetin önlenmesine yönelik düzenlemelerin hayata geçirilmesi, yükseköğretim harçlarının kaldırılması ile çeşitli kamu kurum ve kuruluşları tarafından yürütülen projeler kapsamında ortaya çıkan ilâve kaynak ihtiyaçları etkili olmuştur. Ayrıca, Karayolları Genel Müdürlüğü bitüm giderlerinde fiyat ve miktar artışlarından ötürü ilave ödenek ihtiyacı doğmuştur. Öte yandan, yeşil kart sahiplerinin sağlık harcamalarının </w:t>
      </w:r>
      <w:r w:rsidRPr="00BF3740">
        <w:rPr>
          <w:rFonts w:cs="Tahoma"/>
          <w:szCs w:val="18"/>
        </w:rPr>
        <w:lastRenderedPageBreak/>
        <w:t>SGK’ya devredilmesiyle sağlık giderlerinde GSYH’ya oran olarak bir önceki yıla göre 0,4 puanlık bir düşüş beklenmektedir. Böylece mal ve hizmet alım giderlerinin 0,2 puan azalarak yüzde 2,3 seviyesinde gerçekleşeceği tahmin edilmektedir.</w:t>
      </w:r>
    </w:p>
    <w:p w:rsidR="00565FD5" w:rsidRPr="00BF3740" w:rsidRDefault="00565FD5" w:rsidP="00565FD5">
      <w:pPr>
        <w:spacing w:after="140"/>
        <w:ind w:firstLine="425"/>
        <w:rPr>
          <w:rFonts w:cs="Tahoma"/>
          <w:szCs w:val="18"/>
        </w:rPr>
      </w:pPr>
      <w:r w:rsidRPr="00BF3740">
        <w:rPr>
          <w:rFonts w:cs="Tahoma"/>
          <w:szCs w:val="18"/>
        </w:rPr>
        <w:t>Sağlık, emeklilik ve sosyal yardım giderlerinin başlangıç ödeneğinin 6,2 milyar TL altında gerçekleşeceği tahmin edilmektedir. Bu gelişmede, asgari ücret artış oranının ve memur maaş zamlarının öngörülenin üzerinde olmasının ve aktif sigortalı sayısındaki artışın etkisi bulunmaktadır. Bu çerçevede, devlet sosyal güvenlik katkısının 1,4 milyar TL artması, sosyal güvenlik açık finansmanının ise 5 milyar TL düşmesi beklenmektedir. Bununla birlikte, 2022 sayılı Kanun kapsamında yapılan 65 yaş aylığı ödemelerinin SGK’dan Aile ve Sosyal Politikalar Bakanlığına devredilmesinin de etkisiyle faturalı ödemelerde 2,5 milyar TL düşüş beklenmektedir.</w:t>
      </w:r>
    </w:p>
    <w:p w:rsidR="00565FD5" w:rsidRPr="00BF3740" w:rsidRDefault="00565FD5" w:rsidP="00565FD5">
      <w:pPr>
        <w:spacing w:after="140"/>
        <w:ind w:firstLine="425"/>
        <w:rPr>
          <w:rFonts w:cs="Tahoma"/>
          <w:szCs w:val="18"/>
        </w:rPr>
      </w:pPr>
      <w:r w:rsidRPr="00BF3740">
        <w:rPr>
          <w:rFonts w:cs="Tahoma"/>
          <w:szCs w:val="18"/>
        </w:rPr>
        <w:t>Diğer hazine yardımlarının, başlangıç ödeneğinin 109 milyon TL altında gerçekleşmesi beklenmektedir. Siyasi partilere yapılan transferler 129 milyon TL olarak gerçekleşmiş, kâr amacı gütmeyen diğer kuruluşlara yapılan transferlerde ise cami ve derneklere yardım</w:t>
      </w:r>
      <w:r>
        <w:rPr>
          <w:rFonts w:cs="Tahoma"/>
          <w:szCs w:val="18"/>
        </w:rPr>
        <w:t>,</w:t>
      </w:r>
      <w:r w:rsidRPr="00BF3740">
        <w:rPr>
          <w:rFonts w:cs="Tahoma"/>
          <w:szCs w:val="18"/>
        </w:rPr>
        <w:t xml:space="preserve"> İzmir EXPO organizasyonu</w:t>
      </w:r>
      <w:r>
        <w:rPr>
          <w:rFonts w:cs="Tahoma"/>
          <w:szCs w:val="18"/>
        </w:rPr>
        <w:t xml:space="preserve"> ve diğer ihtiyaçlar</w:t>
      </w:r>
      <w:r w:rsidRPr="00BF3740">
        <w:rPr>
          <w:rFonts w:cs="Tahoma"/>
          <w:szCs w:val="18"/>
        </w:rPr>
        <w:t xml:space="preserve"> için 160 milyon TL ödenek ilâve edileceği öngörülmüştür. Yararlanıcı sayısı ve yardım miktarının öngörülenin üzerinde artması nedeniyle hanehalkına yapılan transferlerde 132 milyon TL ilâve harcama yapılması beklenmektedir.</w:t>
      </w:r>
    </w:p>
    <w:p w:rsidR="00565FD5" w:rsidRPr="00BF3740" w:rsidRDefault="00565FD5" w:rsidP="00565FD5">
      <w:pPr>
        <w:spacing w:after="140"/>
        <w:ind w:firstLine="425"/>
        <w:rPr>
          <w:rFonts w:cs="Tahoma"/>
          <w:szCs w:val="18"/>
        </w:rPr>
      </w:pPr>
      <w:r w:rsidRPr="00BF3740">
        <w:rPr>
          <w:rFonts w:cs="Tahoma"/>
          <w:szCs w:val="18"/>
        </w:rPr>
        <w:t>Tarımsal amaçlı transferlerin, 2012 yılında, tarım sigortası kapsamının genişletilmesi, çay budama tazminatı uygulamasının devam ettirilmesi ile büyükbaş hayvan besi desteğindeki, alan bazlı desteklemelerdeki ve fark ödemelerindeki artışlar nedeniyle başlangıç ödeneğini 659 milyon TL aşarak 7,8 milyar TL düzeyinde gerçekleşmesi beklenmektedir.</w:t>
      </w:r>
    </w:p>
    <w:p w:rsidR="00565FD5" w:rsidRPr="00BF3740" w:rsidRDefault="00565FD5" w:rsidP="00565FD5">
      <w:pPr>
        <w:spacing w:after="140"/>
        <w:ind w:firstLine="425"/>
        <w:rPr>
          <w:rFonts w:cs="Tahoma"/>
          <w:szCs w:val="18"/>
        </w:rPr>
      </w:pPr>
      <w:r w:rsidRPr="00BF3740">
        <w:rPr>
          <w:rFonts w:cs="Tahoma"/>
          <w:szCs w:val="18"/>
        </w:rPr>
        <w:t>2012 yılında, 2022 sayılı Kanun kapsamındaki ödemelerin SGK’dan Aile ve Sosyal Politikalar Bakanlığına devredilmesinin yanı sıra yararlanıcı sayısı ve yardım tutarlarındaki artışa paralel olarak artan sosyal yardımlar nedeniyle sosyal amaçlı transferlerin başlangıç ödeneğinin 3,2 milyar TL üzerine çıkması beklenmektedir.</w:t>
      </w:r>
    </w:p>
    <w:p w:rsidR="00565FD5" w:rsidRPr="00BF3740" w:rsidRDefault="00565FD5" w:rsidP="00565FD5">
      <w:pPr>
        <w:spacing w:after="140"/>
        <w:ind w:firstLine="425"/>
        <w:rPr>
          <w:rFonts w:cs="Tahoma"/>
          <w:szCs w:val="18"/>
        </w:rPr>
      </w:pPr>
      <w:r w:rsidRPr="00BF3740">
        <w:rPr>
          <w:rFonts w:cs="Tahoma"/>
          <w:szCs w:val="18"/>
        </w:rPr>
        <w:t xml:space="preserve">2012 yılı merkezi yönetim bütçesi vergi gelirleri performansının programlanan seviyeye yakın gerçekleşmesi; özellikle gelir ve kurumlar vergisi gibi gelirden ayrılan payların hesabına konu olan bazı vergi kalemlerinde ise </w:t>
      </w:r>
      <w:r w:rsidRPr="00BF3740">
        <w:rPr>
          <w:rFonts w:cs="Tahoma"/>
          <w:szCs w:val="18"/>
        </w:rPr>
        <w:lastRenderedPageBreak/>
        <w:t>bütçe hedeflerinin üzerinde gelir elde edilmesi beklenmektedir. Bunun sonucunda, mahalli idarelere ve fonlara ayrılan payların başlangıç ödeneğinin 1,2 milyar TL üzerine çıkarak 35,1 milyar TL olarak gerçekleşeceği tahmin edilmektedir.</w:t>
      </w:r>
    </w:p>
    <w:p w:rsidR="00565FD5" w:rsidRPr="00BF3740" w:rsidRDefault="00565FD5" w:rsidP="00565FD5">
      <w:pPr>
        <w:spacing w:after="140"/>
        <w:ind w:firstLine="425"/>
        <w:rPr>
          <w:rFonts w:cs="Tahoma"/>
          <w:szCs w:val="18"/>
        </w:rPr>
      </w:pPr>
      <w:r w:rsidRPr="00BF3740">
        <w:rPr>
          <w:rFonts w:cs="Tahoma"/>
          <w:szCs w:val="18"/>
        </w:rPr>
        <w:t>Bu gelişmeler ışığında, 2012 yılında cari transferlerin GSYH’ya oranının bir önceki yıla göre 0,5 puan artarak yüzde 9 düzeyinde ve 129,3 milyar TL olarak gerçekleşeceği öngörülmektedir.</w:t>
      </w:r>
    </w:p>
    <w:p w:rsidR="00565FD5" w:rsidRPr="00BF3740" w:rsidRDefault="00565FD5" w:rsidP="00565FD5">
      <w:pPr>
        <w:spacing w:after="140"/>
        <w:ind w:firstLine="425"/>
        <w:rPr>
          <w:rFonts w:cs="Tahoma"/>
          <w:szCs w:val="18"/>
        </w:rPr>
      </w:pPr>
      <w:r w:rsidRPr="00BF3740">
        <w:rPr>
          <w:rFonts w:cs="Tahoma"/>
          <w:szCs w:val="18"/>
        </w:rPr>
        <w:t xml:space="preserve">2012 yılı merkezi yönetim bütçesinde 27,9 milyar TL ödenek öngörülen sermaye giderlerinin yıl sonunda 5,8 milyar TL artışla 33,7 milyar TL olarak gerçekleşmesi ve GSYH’ya oranının bir önceki yıl seviyesi olan yüzde 2,4 düzeyinde kalması beklenmektedir. Söz konusu gelişme üzerinde, eğitim alanında ortaya çıkan ilave yatırım ihtiyacına ve ulaştırma sektöründe yürütülen proje ve faaliyetlere ayrılan kaynakların artırılması belirleyici olmaktadır. </w:t>
      </w:r>
    </w:p>
    <w:p w:rsidR="00565FD5" w:rsidRPr="00BF3740" w:rsidRDefault="00565FD5" w:rsidP="00565FD5">
      <w:pPr>
        <w:spacing w:after="140"/>
        <w:ind w:firstLine="425"/>
        <w:rPr>
          <w:rFonts w:cs="Tahoma"/>
          <w:szCs w:val="18"/>
        </w:rPr>
      </w:pPr>
      <w:r w:rsidRPr="00BF3740">
        <w:rPr>
          <w:rFonts w:cs="Tahoma"/>
          <w:szCs w:val="18"/>
        </w:rPr>
        <w:t>Sermaye transferlerinin; KÖYDES, SUKAP, TÜBİTAK Ar-Ge ödeneği, kalkınma ajansları ve SODES kalemlerinde başlangıç ödeneği kadar harcama yapılması beklenmektedir. Öte yandan, Van deprem konutlarının inşası ile il özel idareleri ve diğer idarelerin ilave talepleri nedeniyle, sermaye transferlerinin 2012 yılında başlangıç ödeneğinin 1,3 milyar TL üzerinde ve GSYH’ya oran olarak yüzde 0,4 olarak gerçekleşeceği tahmin edilmektedir.</w:t>
      </w:r>
    </w:p>
    <w:p w:rsidR="00565FD5" w:rsidRPr="00BF3740" w:rsidRDefault="00565FD5" w:rsidP="00565FD5">
      <w:pPr>
        <w:spacing w:after="140"/>
        <w:ind w:firstLine="425"/>
        <w:rPr>
          <w:rFonts w:cs="Tahoma"/>
          <w:szCs w:val="18"/>
        </w:rPr>
      </w:pPr>
      <w:r w:rsidRPr="00BF3740">
        <w:rPr>
          <w:rFonts w:cs="Tahoma"/>
          <w:szCs w:val="18"/>
        </w:rPr>
        <w:t xml:space="preserve">Borç verme giderlerinin, 2012 yılında, diğer ülkelere yapılan yardımlardaki artış nedeniyle başlangıç ödeneğinin 1 milyar TL üzerinde, bir önceki yıla göre GSYH’ya oran olarak 0,2 puan artarak yüzde 0,7 düzeyinde gerçekleşmesi beklenmektedir. </w:t>
      </w:r>
    </w:p>
    <w:p w:rsidR="00565FD5" w:rsidRPr="00BF3740" w:rsidRDefault="00565FD5" w:rsidP="00565FD5">
      <w:pPr>
        <w:spacing w:after="140"/>
        <w:ind w:firstLine="425"/>
        <w:rPr>
          <w:rFonts w:cs="Tahoma"/>
          <w:szCs w:val="18"/>
        </w:rPr>
      </w:pPr>
      <w:r w:rsidRPr="00BF3740">
        <w:rPr>
          <w:rFonts w:cs="Tahoma"/>
          <w:szCs w:val="18"/>
        </w:rPr>
        <w:t>Yukarıda ifade edilen gelişmeler sonucunda, 21,1 milyar TL ile GSYH’ya oran olarak yüzde 1,5 seviyesinde programlanan 2012 yılı merkezi yönetim bütçe açığının 33,5 milyar TL ile GSYH’ya oran olarak yüzde 2,3 düzeyinde olması beklenmektedir. Bu doğrultuda, merkezi yönetim bütçe dengesinde bir önceki yıla göre 1 puan bozulma meydana geleceği tahmin edilmektedir. Ayrıca, 2011 yılında yüzde 1,2 olarak gerçekleşen program tanımlı merkezi yönetim bütçe fazlasının 2012 yılında yüzde 0,2 seviyesine gerilemesi beklenmektedir.</w:t>
      </w:r>
    </w:p>
    <w:p w:rsidR="00565FD5" w:rsidRPr="00BF3740" w:rsidRDefault="00565FD5" w:rsidP="00565FD5">
      <w:pPr>
        <w:spacing w:after="140"/>
        <w:ind w:firstLine="425"/>
        <w:rPr>
          <w:rFonts w:cs="Tahoma"/>
          <w:szCs w:val="18"/>
        </w:rPr>
      </w:pPr>
      <w:r w:rsidRPr="00BF3740">
        <w:rPr>
          <w:rFonts w:cs="Tahoma"/>
          <w:szCs w:val="18"/>
        </w:rPr>
        <w:t xml:space="preserve">Borçlanma politikası, belirlenen stratejik ölçütlere göre, piyasa koşulları ile maliyet unsurları göz önünde tutularak yürütülmüştür. Bu kapsamda, 2012 yılı </w:t>
      </w:r>
      <w:r w:rsidRPr="00BF3740">
        <w:rPr>
          <w:rFonts w:cs="Tahoma"/>
          <w:szCs w:val="18"/>
        </w:rPr>
        <w:lastRenderedPageBreak/>
        <w:t xml:space="preserve">Ocak-Eylül döneminde gerçekleştirilen iç borçlanmanın yüzde 65,8’i TL cinsi sabit faizli, yüzde 18,8’i TL cinsi TÜFE’ye endeksli, yüzde 14,1’i TL cinsi kuponsuz, yüzde 1’i TL cinsi değişken faizli ve yüzde 0,1’i ise TL cinsi gelire endeksli senetlerle gerçekleştirilmiştir. </w:t>
      </w:r>
    </w:p>
    <w:p w:rsidR="00565FD5" w:rsidRPr="00BF3740" w:rsidRDefault="00565FD5" w:rsidP="00565FD5">
      <w:pPr>
        <w:spacing w:after="140"/>
        <w:ind w:firstLine="425"/>
        <w:rPr>
          <w:rFonts w:cs="Tahoma"/>
          <w:szCs w:val="18"/>
        </w:rPr>
      </w:pPr>
      <w:r w:rsidRPr="00BF3740">
        <w:rPr>
          <w:rFonts w:cs="Tahoma"/>
          <w:szCs w:val="18"/>
        </w:rPr>
        <w:t>Yurtiçi tasarrufların artırılması, vadenin uzatılması, yatırımcı tabanının genişletilmesi ve finansman araçlarının çeşitlendirilmesi amacıyla geliştirilen yeni borçlanma uygulamaları 2012 yılında da sürdürülmüştür. Bu kapsamda, 2012 yılı Ekim ayında iç piyasada ilk defa kira sertifikası ihraç edilmiştir.  Ayrıca, ilk defa 2009 yılında ihraç edilen, gelire endeksli senetlerin ve 2010 yılında başlatılan 10 yıl vadeli TÜFE’ye endeksli senetlerin ihracına 2012 yılında da devam edilmiştir. Devlet iç borçlanma senetleri piyasasının daha da gelişmesi amacıyla uluslararası uygulamalara paralel olarak 2, 5 ve 10 yıl vadeli TL cinsinden sabit kuponlu senetlerin düzenli olarak ihracına 2012 yılında başlanılmıştır.</w:t>
      </w:r>
    </w:p>
    <w:p w:rsidR="00565FD5" w:rsidRPr="00BF3740" w:rsidRDefault="00565FD5" w:rsidP="00565FD5">
      <w:pPr>
        <w:spacing w:after="140"/>
        <w:ind w:firstLine="425"/>
        <w:rPr>
          <w:rFonts w:cs="Tahoma"/>
          <w:szCs w:val="18"/>
        </w:rPr>
      </w:pPr>
      <w:r w:rsidRPr="00BF3740">
        <w:rPr>
          <w:rFonts w:cs="Tahoma"/>
          <w:szCs w:val="18"/>
        </w:rPr>
        <w:t>Bununla birlikte, 2012 yılı Ocak-Eylül döneminde uluslararası sermaye piyasalarında 10 yıl ve 30 yıl vadeli toplamda 3,5 milyar ABD Doları tutarında tahvil ihracı ile 10 yıl vadeli 90 milyar Yen tutarında tahvil ihracı gerçekleştirilmiştir. Ayrıca, Eylül ayında 5,5 yıl vadeli 1,5 milyar ABD Doları tutarında kira sertifikası ilk defa uluslararası sermaye piyasalarında ihraç edilmiştir.</w:t>
      </w:r>
    </w:p>
    <w:p w:rsidR="00565FD5" w:rsidRPr="00BF3740" w:rsidRDefault="00565FD5" w:rsidP="00565FD5">
      <w:pPr>
        <w:spacing w:after="140"/>
        <w:ind w:firstLine="425"/>
        <w:rPr>
          <w:rFonts w:cs="Tahoma"/>
          <w:szCs w:val="18"/>
        </w:rPr>
      </w:pPr>
      <w:r w:rsidRPr="00BF3740">
        <w:rPr>
          <w:rFonts w:cs="Tahoma"/>
          <w:szCs w:val="18"/>
        </w:rPr>
        <w:t>2012 yılı Ocak-Eylül döneminde gerçekleştirilen iç borçlanmanın ağırlıklı ortalama vadesi 60,5 ay, TL cinsi sabit faizli iç borçlanmanın ortalama maliyeti ise yüzde 9,1 olmuştur. 2011 yılında yüzde 84,5 olarak gerçekleşen toplam iç borç çevirme oranı 2012 yılı Ocak-Eylül döneminde yüzde 85,7 olarak gerçekleşmiştir.</w:t>
      </w:r>
    </w:p>
    <w:p w:rsidR="00565FD5" w:rsidRPr="00BF3740" w:rsidRDefault="00565FD5" w:rsidP="00565FD5">
      <w:pPr>
        <w:spacing w:after="140"/>
        <w:ind w:firstLine="425"/>
        <w:rPr>
          <w:rFonts w:cs="Tahoma"/>
          <w:szCs w:val="18"/>
        </w:rPr>
      </w:pPr>
      <w:r w:rsidRPr="00BF3740">
        <w:rPr>
          <w:rFonts w:cs="Tahoma"/>
          <w:szCs w:val="18"/>
        </w:rPr>
        <w:t>Bu gelişmeler sonucunda, 2012 yılı Eylül ayı itibarıyla, merkezi yönetim bütçesi borç stoku; 387,7 milyar TL’si iç borç, 142,8 milyar TL’si dış borç olmak üzere 530,5 milyar TL olarak gerçekleşmiştir. Bu dönemde, 2011 yılı sonuna göre iç borçlardaki artış oranı yüzde 5,1 olurken, dış borç stoku yüzde 4,5 oranında azalmıştır.</w:t>
      </w:r>
    </w:p>
    <w:p w:rsidR="00565FD5" w:rsidRPr="00BF3740" w:rsidRDefault="00565FD5" w:rsidP="00565FD5">
      <w:pPr>
        <w:spacing w:after="180"/>
        <w:ind w:firstLine="425"/>
        <w:rPr>
          <w:rFonts w:cs="Tahoma"/>
          <w:szCs w:val="18"/>
        </w:rPr>
      </w:pPr>
      <w:r w:rsidRPr="00BF3740">
        <w:rPr>
          <w:rFonts w:cs="Tahoma"/>
          <w:szCs w:val="18"/>
        </w:rPr>
        <w:t xml:space="preserve">2011 yılı sonunda 509,4 milyar TL olarak gerçekleşen ve GSYH’ya oranla yüzde 39,2 olan AB tanımlı genel yönetim nominal borç stoku, 2012 yılının ilk </w:t>
      </w:r>
      <w:r w:rsidRPr="00BF3740">
        <w:rPr>
          <w:rFonts w:cs="Tahoma"/>
          <w:szCs w:val="18"/>
        </w:rPr>
        <w:lastRenderedPageBreak/>
        <w:t>yarısı itibarıyla 508,1 milyar TL olarak gerçekleşmiştir. Söz konusu oranın 2012 yılı sonunda yüzde 36,5 düzeyine gerilemesi beklenmektedir.</w:t>
      </w:r>
    </w:p>
    <w:p w:rsidR="00565FD5" w:rsidRPr="00FF6818" w:rsidRDefault="00565FD5" w:rsidP="00565FD5">
      <w:pPr>
        <w:pStyle w:val="ResimYazs"/>
        <w:rPr>
          <w:rFonts w:cs="Tahoma"/>
          <w:szCs w:val="16"/>
        </w:rPr>
      </w:pPr>
      <w:bookmarkStart w:id="954" w:name="_Toc338605985"/>
      <w:bookmarkStart w:id="955" w:name="_Toc338711760"/>
      <w:r>
        <w:t xml:space="preserve">TABLO III: </w:t>
      </w:r>
      <w:fldSimple w:instr=" SEQ TABLO_III: \* ARABIC ">
        <w:r>
          <w:rPr>
            <w:noProof/>
          </w:rPr>
          <w:t>7</w:t>
        </w:r>
      </w:fldSimple>
      <w:r w:rsidRPr="00FF6818">
        <w:rPr>
          <w:rFonts w:cs="Tahoma"/>
          <w:szCs w:val="16"/>
        </w:rPr>
        <w:t>- Merkezi Yönetim Brüt Borç Stokundaki Gelişmeler</w:t>
      </w:r>
      <w:bookmarkEnd w:id="954"/>
      <w:bookmarkEnd w:id="955"/>
    </w:p>
    <w:tbl>
      <w:tblPr>
        <w:tblW w:w="4867" w:type="pct"/>
        <w:tblInd w:w="70" w:type="dxa"/>
        <w:tblLayout w:type="fixed"/>
        <w:tblCellMar>
          <w:left w:w="70" w:type="dxa"/>
          <w:right w:w="70" w:type="dxa"/>
        </w:tblCellMar>
        <w:tblLook w:val="00A0"/>
      </w:tblPr>
      <w:tblGrid>
        <w:gridCol w:w="1706"/>
        <w:gridCol w:w="803"/>
        <w:gridCol w:w="72"/>
        <w:gridCol w:w="727"/>
        <w:gridCol w:w="72"/>
        <w:gridCol w:w="727"/>
        <w:gridCol w:w="72"/>
        <w:gridCol w:w="771"/>
        <w:gridCol w:w="13"/>
        <w:gridCol w:w="160"/>
        <w:gridCol w:w="16"/>
        <w:gridCol w:w="622"/>
        <w:gridCol w:w="51"/>
        <w:gridCol w:w="567"/>
        <w:gridCol w:w="7"/>
        <w:gridCol w:w="702"/>
      </w:tblGrid>
      <w:tr w:rsidR="00565FD5" w:rsidRPr="00BF3740" w:rsidTr="00AB62A3">
        <w:trPr>
          <w:trHeight w:val="227"/>
        </w:trPr>
        <w:tc>
          <w:tcPr>
            <w:tcW w:w="1203" w:type="pct"/>
            <w:tcBorders>
              <w:top w:val="single" w:sz="4" w:space="0" w:color="auto"/>
              <w:left w:val="single" w:sz="4" w:space="0" w:color="auto"/>
              <w:bottom w:val="nil"/>
              <w:right w:val="nil"/>
            </w:tcBorders>
            <w:shd w:val="clear" w:color="000000" w:fill="FFFFFF"/>
            <w:noWrap/>
            <w:vAlign w:val="bottom"/>
          </w:tcPr>
          <w:p w:rsidR="00565FD5" w:rsidRPr="00BF3740" w:rsidRDefault="00565FD5" w:rsidP="00AB62A3">
            <w:pPr>
              <w:rPr>
                <w:rFonts w:cs="Tahoma"/>
                <w:sz w:val="14"/>
                <w:szCs w:val="14"/>
                <w:lang w:eastAsia="tr-TR"/>
              </w:rPr>
            </w:pPr>
            <w:r w:rsidRPr="00BF3740">
              <w:rPr>
                <w:rFonts w:cs="Tahoma"/>
                <w:sz w:val="14"/>
                <w:szCs w:val="14"/>
                <w:lang w:eastAsia="tr-TR"/>
              </w:rPr>
              <w:t> </w:t>
            </w:r>
          </w:p>
        </w:tc>
        <w:tc>
          <w:tcPr>
            <w:tcW w:w="2298" w:type="pct"/>
            <w:gridSpan w:val="8"/>
            <w:tcBorders>
              <w:top w:val="single" w:sz="4" w:space="0" w:color="auto"/>
              <w:left w:val="nil"/>
              <w:bottom w:val="single" w:sz="4" w:space="0" w:color="auto"/>
              <w:right w:val="nil"/>
            </w:tcBorders>
            <w:shd w:val="clear" w:color="000000" w:fill="FFFFFF"/>
            <w:vAlign w:val="bottom"/>
          </w:tcPr>
          <w:p w:rsidR="00565FD5" w:rsidRPr="00BF3740" w:rsidRDefault="00565FD5" w:rsidP="00AB62A3">
            <w:pPr>
              <w:jc w:val="center"/>
              <w:rPr>
                <w:rFonts w:cs="Tahoma"/>
                <w:b/>
                <w:bCs/>
                <w:sz w:val="14"/>
                <w:szCs w:val="14"/>
                <w:lang w:eastAsia="tr-TR"/>
              </w:rPr>
            </w:pPr>
            <w:r w:rsidRPr="00BF3740">
              <w:rPr>
                <w:rFonts w:cs="Tahoma"/>
                <w:b/>
                <w:bCs/>
                <w:sz w:val="14"/>
                <w:szCs w:val="14"/>
                <w:lang w:eastAsia="tr-TR"/>
              </w:rPr>
              <w:t>(Cari Fiyatlarla, Milyon TL)</w:t>
            </w:r>
          </w:p>
        </w:tc>
        <w:tc>
          <w:tcPr>
            <w:tcW w:w="113" w:type="pct"/>
            <w:tcBorders>
              <w:top w:val="single" w:sz="4" w:space="0" w:color="auto"/>
              <w:left w:val="nil"/>
              <w:bottom w:val="nil"/>
              <w:right w:val="nil"/>
            </w:tcBorders>
            <w:shd w:val="clear" w:color="000000" w:fill="FFFFFF"/>
            <w:noWrap/>
            <w:vAlign w:val="bottom"/>
          </w:tcPr>
          <w:p w:rsidR="00565FD5" w:rsidRPr="00BF3740" w:rsidRDefault="00565FD5" w:rsidP="00AB62A3">
            <w:pPr>
              <w:rPr>
                <w:rFonts w:cs="Tahoma"/>
                <w:sz w:val="14"/>
                <w:szCs w:val="14"/>
                <w:lang w:eastAsia="tr-TR"/>
              </w:rPr>
            </w:pPr>
            <w:r w:rsidRPr="00BF3740">
              <w:rPr>
                <w:rFonts w:cs="Tahoma"/>
                <w:sz w:val="14"/>
                <w:szCs w:val="14"/>
                <w:lang w:eastAsia="tr-TR"/>
              </w:rPr>
              <w:t> </w:t>
            </w:r>
          </w:p>
        </w:tc>
        <w:tc>
          <w:tcPr>
            <w:tcW w:w="1386" w:type="pct"/>
            <w:gridSpan w:val="6"/>
            <w:tcBorders>
              <w:top w:val="single" w:sz="4" w:space="0" w:color="auto"/>
              <w:left w:val="nil"/>
              <w:bottom w:val="single" w:sz="4" w:space="0" w:color="auto"/>
              <w:right w:val="single" w:sz="4" w:space="0" w:color="000000"/>
            </w:tcBorders>
            <w:shd w:val="clear" w:color="000000" w:fill="FFFFFF"/>
            <w:vAlign w:val="bottom"/>
          </w:tcPr>
          <w:p w:rsidR="00565FD5" w:rsidRPr="00BF3740" w:rsidRDefault="00565FD5" w:rsidP="00AB62A3">
            <w:pPr>
              <w:jc w:val="center"/>
              <w:rPr>
                <w:rFonts w:cs="Tahoma"/>
                <w:b/>
                <w:bCs/>
                <w:sz w:val="14"/>
                <w:szCs w:val="14"/>
                <w:lang w:eastAsia="tr-TR"/>
              </w:rPr>
            </w:pPr>
            <w:r w:rsidRPr="00BF3740">
              <w:rPr>
                <w:rFonts w:cs="Tahoma"/>
                <w:b/>
                <w:bCs/>
                <w:sz w:val="14"/>
                <w:szCs w:val="14"/>
                <w:lang w:eastAsia="tr-TR"/>
              </w:rPr>
              <w:t>(GSYH'ya Oran, Yüzde)</w:t>
            </w:r>
          </w:p>
        </w:tc>
      </w:tr>
      <w:tr w:rsidR="00565FD5" w:rsidRPr="00BF3740" w:rsidTr="00AB62A3">
        <w:trPr>
          <w:trHeight w:val="227"/>
        </w:trPr>
        <w:tc>
          <w:tcPr>
            <w:tcW w:w="1203" w:type="pct"/>
            <w:tcBorders>
              <w:top w:val="nil"/>
              <w:left w:val="single" w:sz="4" w:space="0" w:color="auto"/>
              <w:bottom w:val="nil"/>
              <w:right w:val="nil"/>
            </w:tcBorders>
            <w:shd w:val="clear" w:color="000000" w:fill="FFFFFF"/>
            <w:noWrap/>
            <w:vAlign w:val="bottom"/>
          </w:tcPr>
          <w:p w:rsidR="00565FD5" w:rsidRPr="00BF3740" w:rsidRDefault="00565FD5" w:rsidP="00AB62A3">
            <w:pPr>
              <w:rPr>
                <w:rFonts w:cs="Tahoma"/>
                <w:sz w:val="14"/>
                <w:szCs w:val="14"/>
                <w:lang w:eastAsia="tr-TR"/>
              </w:rPr>
            </w:pPr>
            <w:r w:rsidRPr="00BF3740">
              <w:rPr>
                <w:rFonts w:cs="Tahoma"/>
                <w:sz w:val="14"/>
                <w:szCs w:val="14"/>
                <w:lang w:eastAsia="tr-TR"/>
              </w:rPr>
              <w:t> </w:t>
            </w:r>
          </w:p>
        </w:tc>
        <w:tc>
          <w:tcPr>
            <w:tcW w:w="617" w:type="pct"/>
            <w:gridSpan w:val="2"/>
            <w:tcBorders>
              <w:top w:val="nil"/>
              <w:left w:val="nil"/>
              <w:bottom w:val="single" w:sz="4" w:space="0" w:color="auto"/>
              <w:right w:val="nil"/>
            </w:tcBorders>
            <w:shd w:val="clear" w:color="000000" w:fill="FFFFFF"/>
            <w:noWrap/>
            <w:vAlign w:val="bottom"/>
          </w:tcPr>
          <w:p w:rsidR="00565FD5" w:rsidRPr="00BF3740" w:rsidRDefault="00565FD5" w:rsidP="00AB62A3">
            <w:pPr>
              <w:jc w:val="right"/>
              <w:rPr>
                <w:rFonts w:cs="Tahoma"/>
                <w:b/>
                <w:bCs/>
                <w:sz w:val="14"/>
                <w:szCs w:val="14"/>
                <w:lang w:eastAsia="tr-TR"/>
              </w:rPr>
            </w:pPr>
            <w:r w:rsidRPr="00BF3740">
              <w:rPr>
                <w:rFonts w:cs="Tahoma"/>
                <w:b/>
                <w:bCs/>
                <w:sz w:val="14"/>
                <w:szCs w:val="14"/>
                <w:lang w:eastAsia="tr-TR"/>
              </w:rPr>
              <w:t>2009</w:t>
            </w:r>
          </w:p>
        </w:tc>
        <w:tc>
          <w:tcPr>
            <w:tcW w:w="564" w:type="pct"/>
            <w:gridSpan w:val="2"/>
            <w:tcBorders>
              <w:top w:val="nil"/>
              <w:left w:val="nil"/>
              <w:bottom w:val="single" w:sz="4" w:space="0" w:color="auto"/>
              <w:right w:val="nil"/>
            </w:tcBorders>
            <w:shd w:val="clear" w:color="000000" w:fill="FFFFFF"/>
            <w:noWrap/>
            <w:vAlign w:val="bottom"/>
          </w:tcPr>
          <w:p w:rsidR="00565FD5" w:rsidRPr="00BF3740" w:rsidRDefault="00565FD5" w:rsidP="00AB62A3">
            <w:pPr>
              <w:jc w:val="right"/>
              <w:rPr>
                <w:rFonts w:cs="Tahoma"/>
                <w:b/>
                <w:bCs/>
                <w:sz w:val="14"/>
                <w:szCs w:val="14"/>
                <w:lang w:eastAsia="tr-TR"/>
              </w:rPr>
            </w:pPr>
            <w:r w:rsidRPr="00BF3740">
              <w:rPr>
                <w:rFonts w:cs="Tahoma"/>
                <w:b/>
                <w:bCs/>
                <w:sz w:val="14"/>
                <w:szCs w:val="14"/>
                <w:lang w:eastAsia="tr-TR"/>
              </w:rPr>
              <w:t>2010</w:t>
            </w:r>
          </w:p>
        </w:tc>
        <w:tc>
          <w:tcPr>
            <w:tcW w:w="564" w:type="pct"/>
            <w:gridSpan w:val="2"/>
            <w:tcBorders>
              <w:top w:val="nil"/>
              <w:left w:val="nil"/>
              <w:bottom w:val="single" w:sz="4" w:space="0" w:color="auto"/>
              <w:right w:val="nil"/>
            </w:tcBorders>
            <w:shd w:val="clear" w:color="000000" w:fill="FFFFFF"/>
            <w:noWrap/>
            <w:vAlign w:val="bottom"/>
          </w:tcPr>
          <w:p w:rsidR="00565FD5" w:rsidRPr="00BF3740" w:rsidRDefault="00565FD5" w:rsidP="00AB62A3">
            <w:pPr>
              <w:jc w:val="right"/>
              <w:rPr>
                <w:rFonts w:cs="Tahoma"/>
                <w:b/>
                <w:bCs/>
                <w:sz w:val="14"/>
                <w:szCs w:val="14"/>
                <w:lang w:eastAsia="tr-TR"/>
              </w:rPr>
            </w:pPr>
            <w:r w:rsidRPr="00BF3740">
              <w:rPr>
                <w:rFonts w:cs="Tahoma"/>
                <w:b/>
                <w:bCs/>
                <w:sz w:val="14"/>
                <w:szCs w:val="14"/>
                <w:lang w:eastAsia="tr-TR"/>
              </w:rPr>
              <w:t>2011</w:t>
            </w:r>
          </w:p>
        </w:tc>
        <w:tc>
          <w:tcPr>
            <w:tcW w:w="553" w:type="pct"/>
            <w:gridSpan w:val="2"/>
            <w:tcBorders>
              <w:top w:val="nil"/>
              <w:left w:val="nil"/>
              <w:bottom w:val="single" w:sz="4" w:space="0" w:color="auto"/>
              <w:right w:val="nil"/>
            </w:tcBorders>
            <w:shd w:val="clear" w:color="000000" w:fill="FFFFFF"/>
            <w:noWrap/>
            <w:vAlign w:val="bottom"/>
          </w:tcPr>
          <w:p w:rsidR="00565FD5" w:rsidRPr="00BF3740" w:rsidRDefault="00565FD5" w:rsidP="00AB62A3">
            <w:pPr>
              <w:jc w:val="right"/>
              <w:rPr>
                <w:rFonts w:cs="Tahoma"/>
                <w:b/>
                <w:bCs/>
                <w:sz w:val="14"/>
                <w:szCs w:val="14"/>
                <w:lang w:eastAsia="tr-TR"/>
              </w:rPr>
            </w:pPr>
            <w:r w:rsidRPr="00BF3740">
              <w:rPr>
                <w:rFonts w:cs="Tahoma"/>
                <w:b/>
                <w:bCs/>
                <w:sz w:val="14"/>
                <w:szCs w:val="14"/>
                <w:lang w:eastAsia="tr-TR"/>
              </w:rPr>
              <w:t>2012 (</w:t>
            </w:r>
            <w:r>
              <w:rPr>
                <w:rFonts w:cs="Tahoma"/>
                <w:b/>
                <w:bCs/>
                <w:sz w:val="14"/>
                <w:szCs w:val="14"/>
                <w:lang w:eastAsia="tr-TR"/>
              </w:rPr>
              <w:t>1</w:t>
            </w:r>
            <w:r w:rsidRPr="00BF3740">
              <w:rPr>
                <w:rFonts w:cs="Tahoma"/>
                <w:b/>
                <w:bCs/>
                <w:sz w:val="14"/>
                <w:szCs w:val="14"/>
                <w:lang w:eastAsia="tr-TR"/>
              </w:rPr>
              <w:t>)</w:t>
            </w:r>
          </w:p>
        </w:tc>
        <w:tc>
          <w:tcPr>
            <w:tcW w:w="113" w:type="pct"/>
            <w:tcBorders>
              <w:top w:val="nil"/>
              <w:left w:val="nil"/>
              <w:bottom w:val="nil"/>
              <w:right w:val="nil"/>
            </w:tcBorders>
            <w:shd w:val="clear" w:color="000000" w:fill="FFFFFF"/>
            <w:noWrap/>
            <w:vAlign w:val="bottom"/>
          </w:tcPr>
          <w:p w:rsidR="00565FD5" w:rsidRPr="00BF3740" w:rsidRDefault="00565FD5" w:rsidP="00AB62A3">
            <w:pPr>
              <w:rPr>
                <w:rFonts w:cs="Tahoma"/>
                <w:sz w:val="14"/>
                <w:szCs w:val="14"/>
                <w:lang w:eastAsia="tr-TR"/>
              </w:rPr>
            </w:pPr>
            <w:r w:rsidRPr="00BF3740">
              <w:rPr>
                <w:rFonts w:cs="Tahoma"/>
                <w:sz w:val="14"/>
                <w:szCs w:val="14"/>
                <w:lang w:eastAsia="tr-TR"/>
              </w:rPr>
              <w:t> </w:t>
            </w:r>
          </w:p>
        </w:tc>
        <w:tc>
          <w:tcPr>
            <w:tcW w:w="486" w:type="pct"/>
            <w:gridSpan w:val="3"/>
            <w:tcBorders>
              <w:top w:val="nil"/>
              <w:left w:val="nil"/>
              <w:bottom w:val="single" w:sz="4" w:space="0" w:color="auto"/>
              <w:right w:val="nil"/>
            </w:tcBorders>
            <w:shd w:val="clear" w:color="000000" w:fill="FFFFFF"/>
            <w:noWrap/>
            <w:vAlign w:val="bottom"/>
          </w:tcPr>
          <w:p w:rsidR="00565FD5" w:rsidRPr="00BF3740" w:rsidRDefault="00565FD5" w:rsidP="00AB62A3">
            <w:pPr>
              <w:jc w:val="right"/>
              <w:rPr>
                <w:rFonts w:cs="Tahoma"/>
                <w:b/>
                <w:bCs/>
                <w:sz w:val="14"/>
                <w:szCs w:val="14"/>
                <w:lang w:eastAsia="tr-TR"/>
              </w:rPr>
            </w:pPr>
            <w:r w:rsidRPr="00BF3740">
              <w:rPr>
                <w:rFonts w:cs="Tahoma"/>
                <w:b/>
                <w:bCs/>
                <w:sz w:val="14"/>
                <w:szCs w:val="14"/>
                <w:lang w:eastAsia="tr-TR"/>
              </w:rPr>
              <w:t>2009</w:t>
            </w:r>
          </w:p>
        </w:tc>
        <w:tc>
          <w:tcPr>
            <w:tcW w:w="400" w:type="pct"/>
            <w:tcBorders>
              <w:top w:val="nil"/>
              <w:left w:val="nil"/>
              <w:bottom w:val="single" w:sz="4" w:space="0" w:color="auto"/>
              <w:right w:val="nil"/>
            </w:tcBorders>
            <w:shd w:val="clear" w:color="000000" w:fill="FFFFFF"/>
            <w:noWrap/>
            <w:vAlign w:val="bottom"/>
          </w:tcPr>
          <w:p w:rsidR="00565FD5" w:rsidRPr="00BF3740" w:rsidRDefault="00565FD5" w:rsidP="00AB62A3">
            <w:pPr>
              <w:jc w:val="right"/>
              <w:rPr>
                <w:rFonts w:cs="Tahoma"/>
                <w:b/>
                <w:bCs/>
                <w:sz w:val="14"/>
                <w:szCs w:val="14"/>
                <w:lang w:eastAsia="tr-TR"/>
              </w:rPr>
            </w:pPr>
            <w:r w:rsidRPr="00BF3740">
              <w:rPr>
                <w:rFonts w:cs="Tahoma"/>
                <w:b/>
                <w:bCs/>
                <w:sz w:val="14"/>
                <w:szCs w:val="14"/>
                <w:lang w:eastAsia="tr-TR"/>
              </w:rPr>
              <w:t>2010</w:t>
            </w:r>
          </w:p>
        </w:tc>
        <w:tc>
          <w:tcPr>
            <w:tcW w:w="500" w:type="pct"/>
            <w:gridSpan w:val="2"/>
            <w:tcBorders>
              <w:top w:val="nil"/>
              <w:left w:val="nil"/>
              <w:bottom w:val="single" w:sz="4" w:space="0" w:color="auto"/>
              <w:right w:val="single" w:sz="4" w:space="0" w:color="auto"/>
            </w:tcBorders>
            <w:shd w:val="clear" w:color="000000" w:fill="FFFFFF"/>
            <w:noWrap/>
            <w:vAlign w:val="bottom"/>
          </w:tcPr>
          <w:p w:rsidR="00565FD5" w:rsidRPr="00BF3740" w:rsidRDefault="00565FD5" w:rsidP="00AB62A3">
            <w:pPr>
              <w:jc w:val="right"/>
              <w:rPr>
                <w:rFonts w:cs="Tahoma"/>
                <w:b/>
                <w:bCs/>
                <w:sz w:val="14"/>
                <w:szCs w:val="14"/>
                <w:lang w:eastAsia="tr-TR"/>
              </w:rPr>
            </w:pPr>
            <w:r w:rsidRPr="00BF3740">
              <w:rPr>
                <w:rFonts w:cs="Tahoma"/>
                <w:b/>
                <w:bCs/>
                <w:sz w:val="14"/>
                <w:szCs w:val="14"/>
                <w:lang w:eastAsia="tr-TR"/>
              </w:rPr>
              <w:t>2011</w:t>
            </w:r>
          </w:p>
        </w:tc>
      </w:tr>
      <w:tr w:rsidR="00565FD5" w:rsidRPr="00BF3740" w:rsidTr="00AB62A3">
        <w:trPr>
          <w:trHeight w:val="227"/>
        </w:trPr>
        <w:tc>
          <w:tcPr>
            <w:tcW w:w="1203" w:type="pct"/>
            <w:tcBorders>
              <w:top w:val="single" w:sz="4" w:space="0" w:color="auto"/>
              <w:left w:val="single" w:sz="4" w:space="0" w:color="auto"/>
              <w:bottom w:val="nil"/>
              <w:right w:val="nil"/>
            </w:tcBorders>
            <w:shd w:val="clear" w:color="000000" w:fill="FFFFFF"/>
            <w:noWrap/>
            <w:vAlign w:val="bottom"/>
          </w:tcPr>
          <w:p w:rsidR="00565FD5" w:rsidRPr="00BF3740" w:rsidRDefault="00565FD5" w:rsidP="00AB62A3">
            <w:pPr>
              <w:rPr>
                <w:rFonts w:cs="Tahoma"/>
                <w:b/>
                <w:bCs/>
                <w:sz w:val="14"/>
                <w:szCs w:val="14"/>
              </w:rPr>
            </w:pPr>
            <w:r w:rsidRPr="00BF3740">
              <w:rPr>
                <w:rFonts w:cs="Tahoma"/>
                <w:b/>
                <w:bCs/>
                <w:sz w:val="14"/>
                <w:szCs w:val="14"/>
              </w:rPr>
              <w:t>Brüt Borç Stoku</w:t>
            </w:r>
          </w:p>
        </w:tc>
        <w:tc>
          <w:tcPr>
            <w:tcW w:w="566" w:type="pct"/>
            <w:tcBorders>
              <w:top w:val="nil"/>
              <w:left w:val="nil"/>
              <w:bottom w:val="nil"/>
              <w:right w:val="nil"/>
            </w:tcBorders>
            <w:shd w:val="clear" w:color="000000" w:fill="FFFFFF"/>
            <w:noWrap/>
            <w:vAlign w:val="bottom"/>
          </w:tcPr>
          <w:p w:rsidR="00565FD5" w:rsidRPr="00BF3740" w:rsidRDefault="00565FD5" w:rsidP="00AB62A3">
            <w:pPr>
              <w:ind w:firstLineChars="54" w:firstLine="70"/>
              <w:jc w:val="right"/>
              <w:rPr>
                <w:rFonts w:cs="Tahoma"/>
                <w:b/>
                <w:bCs/>
                <w:sz w:val="13"/>
                <w:szCs w:val="13"/>
              </w:rPr>
            </w:pPr>
            <w:r w:rsidRPr="00BF3740">
              <w:rPr>
                <w:rFonts w:cs="Tahoma"/>
                <w:b/>
                <w:bCs/>
                <w:sz w:val="13"/>
                <w:szCs w:val="13"/>
              </w:rPr>
              <w:t>441 508</w:t>
            </w:r>
          </w:p>
        </w:tc>
        <w:tc>
          <w:tcPr>
            <w:tcW w:w="564" w:type="pct"/>
            <w:gridSpan w:val="2"/>
            <w:tcBorders>
              <w:top w:val="nil"/>
              <w:left w:val="nil"/>
              <w:bottom w:val="nil"/>
              <w:right w:val="nil"/>
            </w:tcBorders>
            <w:shd w:val="clear" w:color="000000" w:fill="FFFFFF"/>
            <w:noWrap/>
            <w:vAlign w:val="bottom"/>
          </w:tcPr>
          <w:p w:rsidR="00565FD5" w:rsidRPr="00BF3740" w:rsidRDefault="00565FD5" w:rsidP="00AB62A3">
            <w:pPr>
              <w:jc w:val="right"/>
              <w:rPr>
                <w:rFonts w:cs="Tahoma"/>
                <w:b/>
                <w:bCs/>
                <w:sz w:val="13"/>
                <w:szCs w:val="13"/>
              </w:rPr>
            </w:pPr>
            <w:r w:rsidRPr="00BF3740">
              <w:rPr>
                <w:rFonts w:cs="Tahoma"/>
                <w:b/>
                <w:bCs/>
                <w:sz w:val="13"/>
                <w:szCs w:val="13"/>
              </w:rPr>
              <w:t>473 561</w:t>
            </w:r>
          </w:p>
        </w:tc>
        <w:tc>
          <w:tcPr>
            <w:tcW w:w="564" w:type="pct"/>
            <w:gridSpan w:val="2"/>
            <w:tcBorders>
              <w:top w:val="nil"/>
              <w:left w:val="nil"/>
              <w:bottom w:val="nil"/>
              <w:right w:val="nil"/>
            </w:tcBorders>
            <w:shd w:val="clear" w:color="000000" w:fill="FFFFFF"/>
            <w:noWrap/>
            <w:vAlign w:val="bottom"/>
          </w:tcPr>
          <w:p w:rsidR="00565FD5" w:rsidRPr="00BF3740" w:rsidRDefault="00565FD5" w:rsidP="00AB62A3">
            <w:pPr>
              <w:ind w:firstLineChars="23" w:firstLine="30"/>
              <w:jc w:val="right"/>
              <w:rPr>
                <w:rFonts w:cs="Tahoma"/>
                <w:b/>
                <w:bCs/>
                <w:sz w:val="13"/>
                <w:szCs w:val="13"/>
              </w:rPr>
            </w:pPr>
            <w:r w:rsidRPr="00BF3740">
              <w:rPr>
                <w:rFonts w:cs="Tahoma"/>
                <w:b/>
                <w:bCs/>
                <w:sz w:val="13"/>
                <w:szCs w:val="13"/>
              </w:rPr>
              <w:t>518 350</w:t>
            </w:r>
          </w:p>
        </w:tc>
        <w:tc>
          <w:tcPr>
            <w:tcW w:w="595"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1"/>
              <w:jc w:val="right"/>
              <w:rPr>
                <w:rFonts w:cs="Tahoma"/>
                <w:b/>
                <w:bCs/>
                <w:sz w:val="13"/>
                <w:szCs w:val="13"/>
              </w:rPr>
            </w:pPr>
            <w:r w:rsidRPr="00BF3740">
              <w:rPr>
                <w:rFonts w:cs="Tahoma"/>
                <w:b/>
                <w:bCs/>
                <w:sz w:val="13"/>
                <w:szCs w:val="13"/>
              </w:rPr>
              <w:t>530 474</w:t>
            </w:r>
          </w:p>
        </w:tc>
        <w:tc>
          <w:tcPr>
            <w:tcW w:w="133" w:type="pct"/>
            <w:gridSpan w:val="3"/>
            <w:tcBorders>
              <w:top w:val="nil"/>
              <w:left w:val="nil"/>
              <w:bottom w:val="nil"/>
              <w:right w:val="nil"/>
            </w:tcBorders>
            <w:shd w:val="clear" w:color="000000" w:fill="FFFFFF"/>
            <w:noWrap/>
            <w:vAlign w:val="bottom"/>
          </w:tcPr>
          <w:p w:rsidR="00565FD5" w:rsidRPr="00BF3740" w:rsidRDefault="00565FD5" w:rsidP="00AB62A3">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565FD5" w:rsidRPr="00BF3740" w:rsidRDefault="00565FD5" w:rsidP="00AB62A3">
            <w:pPr>
              <w:jc w:val="right"/>
              <w:rPr>
                <w:rFonts w:cs="Tahoma"/>
                <w:b/>
                <w:bCs/>
                <w:sz w:val="13"/>
                <w:szCs w:val="13"/>
              </w:rPr>
            </w:pPr>
            <w:r w:rsidRPr="00BF3740">
              <w:rPr>
                <w:rFonts w:cs="Tahoma"/>
                <w:b/>
                <w:bCs/>
                <w:sz w:val="13"/>
                <w:szCs w:val="13"/>
              </w:rPr>
              <w:t>46,3</w:t>
            </w:r>
          </w:p>
        </w:tc>
        <w:tc>
          <w:tcPr>
            <w:tcW w:w="441" w:type="pct"/>
            <w:gridSpan w:val="3"/>
            <w:tcBorders>
              <w:top w:val="nil"/>
              <w:left w:val="nil"/>
              <w:bottom w:val="nil"/>
              <w:right w:val="nil"/>
            </w:tcBorders>
            <w:shd w:val="clear" w:color="000000" w:fill="FFFFFF"/>
            <w:noWrap/>
            <w:vAlign w:val="bottom"/>
          </w:tcPr>
          <w:p w:rsidR="00565FD5" w:rsidRPr="00BF3740" w:rsidRDefault="00565FD5" w:rsidP="00AB62A3">
            <w:pPr>
              <w:jc w:val="right"/>
              <w:rPr>
                <w:rFonts w:cs="Tahoma"/>
                <w:b/>
                <w:bCs/>
                <w:sz w:val="13"/>
                <w:szCs w:val="13"/>
              </w:rPr>
            </w:pPr>
            <w:r w:rsidRPr="00BF3740">
              <w:rPr>
                <w:rFonts w:cs="Tahoma"/>
                <w:b/>
                <w:bCs/>
                <w:sz w:val="13"/>
                <w:szCs w:val="13"/>
              </w:rPr>
              <w:t>43,1</w:t>
            </w:r>
          </w:p>
        </w:tc>
        <w:tc>
          <w:tcPr>
            <w:tcW w:w="495" w:type="pct"/>
            <w:tcBorders>
              <w:top w:val="nil"/>
              <w:left w:val="nil"/>
              <w:bottom w:val="nil"/>
              <w:right w:val="single" w:sz="4" w:space="0" w:color="auto"/>
            </w:tcBorders>
            <w:shd w:val="clear" w:color="000000" w:fill="FFFFFF"/>
            <w:noWrap/>
            <w:vAlign w:val="bottom"/>
          </w:tcPr>
          <w:p w:rsidR="00565FD5" w:rsidRPr="00BF3740" w:rsidRDefault="00565FD5" w:rsidP="00AB62A3">
            <w:pPr>
              <w:jc w:val="right"/>
              <w:rPr>
                <w:rFonts w:cs="Tahoma"/>
                <w:b/>
                <w:bCs/>
                <w:sz w:val="13"/>
                <w:szCs w:val="13"/>
              </w:rPr>
            </w:pPr>
            <w:r w:rsidRPr="00BF3740">
              <w:rPr>
                <w:rFonts w:cs="Tahoma"/>
                <w:b/>
                <w:bCs/>
                <w:sz w:val="13"/>
                <w:szCs w:val="13"/>
              </w:rPr>
              <w:t>39,9</w:t>
            </w:r>
          </w:p>
        </w:tc>
      </w:tr>
      <w:tr w:rsidR="00565FD5" w:rsidRPr="00BF3740" w:rsidTr="00AB62A3">
        <w:trPr>
          <w:trHeight w:val="227"/>
        </w:trPr>
        <w:tc>
          <w:tcPr>
            <w:tcW w:w="1203" w:type="pct"/>
            <w:tcBorders>
              <w:top w:val="nil"/>
              <w:left w:val="single" w:sz="4" w:space="0" w:color="auto"/>
              <w:bottom w:val="nil"/>
              <w:right w:val="nil"/>
            </w:tcBorders>
            <w:shd w:val="clear" w:color="000000" w:fill="FFFFFF"/>
            <w:noWrap/>
            <w:vAlign w:val="bottom"/>
          </w:tcPr>
          <w:p w:rsidR="00565FD5" w:rsidRPr="00BF3740" w:rsidRDefault="00565FD5" w:rsidP="00AB62A3">
            <w:pPr>
              <w:ind w:firstLine="87"/>
              <w:rPr>
                <w:rFonts w:cs="Tahoma"/>
                <w:b/>
                <w:bCs/>
                <w:sz w:val="14"/>
                <w:szCs w:val="14"/>
              </w:rPr>
            </w:pPr>
            <w:r w:rsidRPr="00BF3740">
              <w:rPr>
                <w:rFonts w:cs="Tahoma"/>
                <w:b/>
                <w:bCs/>
                <w:sz w:val="14"/>
                <w:szCs w:val="14"/>
              </w:rPr>
              <w:t>İç Borç Stoku</w:t>
            </w:r>
          </w:p>
        </w:tc>
        <w:tc>
          <w:tcPr>
            <w:tcW w:w="566" w:type="pct"/>
            <w:tcBorders>
              <w:top w:val="nil"/>
              <w:left w:val="nil"/>
              <w:bottom w:val="nil"/>
              <w:right w:val="nil"/>
            </w:tcBorders>
            <w:shd w:val="clear" w:color="000000" w:fill="FFFFFF"/>
            <w:noWrap/>
            <w:vAlign w:val="bottom"/>
          </w:tcPr>
          <w:p w:rsidR="00565FD5" w:rsidRPr="00BF3740" w:rsidRDefault="00565FD5" w:rsidP="00AB62A3">
            <w:pPr>
              <w:jc w:val="right"/>
              <w:rPr>
                <w:rFonts w:cs="Tahoma"/>
                <w:b/>
                <w:bCs/>
                <w:sz w:val="13"/>
                <w:szCs w:val="13"/>
              </w:rPr>
            </w:pPr>
            <w:r w:rsidRPr="00BF3740">
              <w:rPr>
                <w:rFonts w:cs="Tahoma"/>
                <w:b/>
                <w:bCs/>
                <w:sz w:val="13"/>
                <w:szCs w:val="13"/>
              </w:rPr>
              <w:t>330 005</w:t>
            </w:r>
          </w:p>
        </w:tc>
        <w:tc>
          <w:tcPr>
            <w:tcW w:w="564" w:type="pct"/>
            <w:gridSpan w:val="2"/>
            <w:tcBorders>
              <w:top w:val="nil"/>
              <w:left w:val="nil"/>
              <w:bottom w:val="nil"/>
              <w:right w:val="nil"/>
            </w:tcBorders>
            <w:shd w:val="clear" w:color="000000" w:fill="FFFFFF"/>
            <w:noWrap/>
            <w:vAlign w:val="bottom"/>
          </w:tcPr>
          <w:p w:rsidR="00565FD5" w:rsidRPr="00BF3740" w:rsidRDefault="00565FD5" w:rsidP="00AB62A3">
            <w:pPr>
              <w:jc w:val="right"/>
              <w:rPr>
                <w:rFonts w:cs="Tahoma"/>
                <w:b/>
                <w:bCs/>
                <w:sz w:val="13"/>
                <w:szCs w:val="13"/>
              </w:rPr>
            </w:pPr>
            <w:r w:rsidRPr="00BF3740">
              <w:rPr>
                <w:rFonts w:cs="Tahoma"/>
                <w:b/>
                <w:bCs/>
                <w:sz w:val="13"/>
                <w:szCs w:val="13"/>
              </w:rPr>
              <w:t>352 841</w:t>
            </w:r>
          </w:p>
        </w:tc>
        <w:tc>
          <w:tcPr>
            <w:tcW w:w="564" w:type="pct"/>
            <w:gridSpan w:val="2"/>
            <w:tcBorders>
              <w:top w:val="nil"/>
              <w:left w:val="nil"/>
              <w:bottom w:val="nil"/>
              <w:right w:val="nil"/>
            </w:tcBorders>
            <w:shd w:val="clear" w:color="000000" w:fill="FFFFFF"/>
            <w:noWrap/>
            <w:vAlign w:val="bottom"/>
          </w:tcPr>
          <w:p w:rsidR="00565FD5" w:rsidRPr="00BF3740" w:rsidRDefault="00565FD5" w:rsidP="00AB62A3">
            <w:pPr>
              <w:ind w:firstLineChars="23" w:firstLine="30"/>
              <w:jc w:val="right"/>
              <w:rPr>
                <w:rFonts w:cs="Tahoma"/>
                <w:b/>
                <w:bCs/>
                <w:sz w:val="13"/>
                <w:szCs w:val="13"/>
              </w:rPr>
            </w:pPr>
            <w:r w:rsidRPr="00BF3740">
              <w:rPr>
                <w:rFonts w:cs="Tahoma"/>
                <w:b/>
                <w:bCs/>
                <w:sz w:val="13"/>
                <w:szCs w:val="13"/>
              </w:rPr>
              <w:t>368 778</w:t>
            </w:r>
          </w:p>
        </w:tc>
        <w:tc>
          <w:tcPr>
            <w:tcW w:w="595"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1"/>
              <w:jc w:val="right"/>
              <w:rPr>
                <w:rFonts w:cs="Tahoma"/>
                <w:b/>
                <w:bCs/>
                <w:sz w:val="13"/>
                <w:szCs w:val="13"/>
              </w:rPr>
            </w:pPr>
            <w:r w:rsidRPr="00BF3740">
              <w:rPr>
                <w:rFonts w:cs="Tahoma"/>
                <w:b/>
                <w:bCs/>
                <w:sz w:val="13"/>
                <w:szCs w:val="13"/>
              </w:rPr>
              <w:t>387 675</w:t>
            </w:r>
          </w:p>
        </w:tc>
        <w:tc>
          <w:tcPr>
            <w:tcW w:w="133" w:type="pct"/>
            <w:gridSpan w:val="3"/>
            <w:tcBorders>
              <w:top w:val="nil"/>
              <w:left w:val="nil"/>
              <w:bottom w:val="nil"/>
              <w:right w:val="nil"/>
            </w:tcBorders>
            <w:shd w:val="clear" w:color="000000" w:fill="FFFFFF"/>
            <w:noWrap/>
            <w:vAlign w:val="bottom"/>
          </w:tcPr>
          <w:p w:rsidR="00565FD5" w:rsidRPr="00BF3740" w:rsidRDefault="00565FD5" w:rsidP="00AB62A3">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565FD5" w:rsidRPr="00BF3740" w:rsidRDefault="00565FD5" w:rsidP="00AB62A3">
            <w:pPr>
              <w:jc w:val="right"/>
              <w:rPr>
                <w:rFonts w:cs="Tahoma"/>
                <w:b/>
                <w:bCs/>
                <w:sz w:val="13"/>
                <w:szCs w:val="13"/>
              </w:rPr>
            </w:pPr>
            <w:r w:rsidRPr="00BF3740">
              <w:rPr>
                <w:rFonts w:cs="Tahoma"/>
                <w:b/>
                <w:bCs/>
                <w:sz w:val="13"/>
                <w:szCs w:val="13"/>
              </w:rPr>
              <w:t>34,6</w:t>
            </w:r>
          </w:p>
        </w:tc>
        <w:tc>
          <w:tcPr>
            <w:tcW w:w="441" w:type="pct"/>
            <w:gridSpan w:val="3"/>
            <w:tcBorders>
              <w:top w:val="nil"/>
              <w:left w:val="nil"/>
              <w:bottom w:val="nil"/>
              <w:right w:val="nil"/>
            </w:tcBorders>
            <w:shd w:val="clear" w:color="000000" w:fill="FFFFFF"/>
            <w:noWrap/>
            <w:vAlign w:val="bottom"/>
          </w:tcPr>
          <w:p w:rsidR="00565FD5" w:rsidRPr="00BF3740" w:rsidRDefault="00565FD5" w:rsidP="00AB62A3">
            <w:pPr>
              <w:jc w:val="right"/>
              <w:rPr>
                <w:rFonts w:cs="Tahoma"/>
                <w:b/>
                <w:bCs/>
                <w:sz w:val="13"/>
                <w:szCs w:val="13"/>
              </w:rPr>
            </w:pPr>
            <w:r w:rsidRPr="00BF3740">
              <w:rPr>
                <w:rFonts w:cs="Tahoma"/>
                <w:b/>
                <w:bCs/>
                <w:sz w:val="13"/>
                <w:szCs w:val="13"/>
              </w:rPr>
              <w:t>32,1</w:t>
            </w:r>
          </w:p>
        </w:tc>
        <w:tc>
          <w:tcPr>
            <w:tcW w:w="495" w:type="pct"/>
            <w:tcBorders>
              <w:top w:val="nil"/>
              <w:left w:val="nil"/>
              <w:bottom w:val="nil"/>
              <w:right w:val="single" w:sz="4" w:space="0" w:color="auto"/>
            </w:tcBorders>
            <w:shd w:val="clear" w:color="000000" w:fill="FFFFFF"/>
            <w:noWrap/>
            <w:vAlign w:val="bottom"/>
          </w:tcPr>
          <w:p w:rsidR="00565FD5" w:rsidRPr="00BF3740" w:rsidRDefault="00565FD5" w:rsidP="00AB62A3">
            <w:pPr>
              <w:jc w:val="right"/>
              <w:rPr>
                <w:rFonts w:cs="Tahoma"/>
                <w:b/>
                <w:bCs/>
                <w:sz w:val="13"/>
                <w:szCs w:val="13"/>
              </w:rPr>
            </w:pPr>
            <w:r w:rsidRPr="00BF3740">
              <w:rPr>
                <w:rFonts w:cs="Tahoma"/>
                <w:b/>
                <w:bCs/>
                <w:sz w:val="13"/>
                <w:szCs w:val="13"/>
              </w:rPr>
              <w:t>28,4</w:t>
            </w:r>
          </w:p>
        </w:tc>
      </w:tr>
      <w:tr w:rsidR="00565FD5" w:rsidRPr="00BF3740" w:rsidTr="00AB62A3">
        <w:trPr>
          <w:trHeight w:val="227"/>
        </w:trPr>
        <w:tc>
          <w:tcPr>
            <w:tcW w:w="1203" w:type="pct"/>
            <w:tcBorders>
              <w:top w:val="nil"/>
              <w:left w:val="single" w:sz="4" w:space="0" w:color="auto"/>
              <w:bottom w:val="nil"/>
              <w:right w:val="nil"/>
            </w:tcBorders>
            <w:shd w:val="clear" w:color="000000" w:fill="FFFFFF"/>
            <w:noWrap/>
            <w:vAlign w:val="bottom"/>
          </w:tcPr>
          <w:p w:rsidR="00565FD5" w:rsidRPr="00BF3740" w:rsidRDefault="00565FD5" w:rsidP="00AB62A3">
            <w:pPr>
              <w:ind w:firstLineChars="100" w:firstLine="140"/>
              <w:rPr>
                <w:rFonts w:cs="Tahoma"/>
                <w:bCs/>
                <w:sz w:val="14"/>
                <w:szCs w:val="14"/>
              </w:rPr>
            </w:pPr>
            <w:r w:rsidRPr="00BF3740">
              <w:rPr>
                <w:rFonts w:cs="Tahoma"/>
                <w:bCs/>
                <w:sz w:val="14"/>
                <w:szCs w:val="14"/>
              </w:rPr>
              <w:t>Tahvil</w:t>
            </w:r>
          </w:p>
        </w:tc>
        <w:tc>
          <w:tcPr>
            <w:tcW w:w="566" w:type="pct"/>
            <w:tcBorders>
              <w:top w:val="nil"/>
              <w:left w:val="nil"/>
              <w:bottom w:val="nil"/>
              <w:right w:val="nil"/>
            </w:tcBorders>
            <w:shd w:val="clear" w:color="000000" w:fill="FFFFFF"/>
            <w:noWrap/>
            <w:vAlign w:val="bottom"/>
          </w:tcPr>
          <w:p w:rsidR="00565FD5" w:rsidRPr="009F7CE4" w:rsidRDefault="00565FD5" w:rsidP="00AB62A3">
            <w:pPr>
              <w:jc w:val="right"/>
              <w:rPr>
                <w:rFonts w:cs="Tahoma"/>
                <w:bCs/>
                <w:sz w:val="13"/>
                <w:szCs w:val="13"/>
              </w:rPr>
            </w:pPr>
            <w:r w:rsidRPr="009F7CE4">
              <w:rPr>
                <w:rFonts w:cs="Tahoma"/>
                <w:bCs/>
                <w:sz w:val="13"/>
                <w:szCs w:val="13"/>
              </w:rPr>
              <w:t>315 969</w:t>
            </w:r>
          </w:p>
        </w:tc>
        <w:tc>
          <w:tcPr>
            <w:tcW w:w="564" w:type="pct"/>
            <w:gridSpan w:val="2"/>
            <w:tcBorders>
              <w:top w:val="nil"/>
              <w:left w:val="nil"/>
              <w:bottom w:val="nil"/>
              <w:right w:val="nil"/>
            </w:tcBorders>
            <w:shd w:val="clear" w:color="000000" w:fill="FFFFFF"/>
            <w:noWrap/>
            <w:vAlign w:val="bottom"/>
          </w:tcPr>
          <w:p w:rsidR="00565FD5" w:rsidRPr="009F7CE4" w:rsidRDefault="00565FD5" w:rsidP="00AB62A3">
            <w:pPr>
              <w:jc w:val="right"/>
              <w:rPr>
                <w:rFonts w:cs="Tahoma"/>
                <w:bCs/>
                <w:sz w:val="13"/>
                <w:szCs w:val="13"/>
              </w:rPr>
            </w:pPr>
            <w:r w:rsidRPr="009F7CE4">
              <w:rPr>
                <w:rFonts w:cs="Tahoma"/>
                <w:bCs/>
                <w:sz w:val="13"/>
                <w:szCs w:val="13"/>
              </w:rPr>
              <w:t>343 317</w:t>
            </w:r>
          </w:p>
        </w:tc>
        <w:tc>
          <w:tcPr>
            <w:tcW w:w="564" w:type="pct"/>
            <w:gridSpan w:val="2"/>
            <w:tcBorders>
              <w:top w:val="nil"/>
              <w:left w:val="nil"/>
              <w:bottom w:val="nil"/>
              <w:right w:val="nil"/>
            </w:tcBorders>
            <w:shd w:val="clear" w:color="000000" w:fill="FFFFFF"/>
            <w:noWrap/>
            <w:vAlign w:val="bottom"/>
          </w:tcPr>
          <w:p w:rsidR="00565FD5" w:rsidRPr="009F7CE4" w:rsidRDefault="00565FD5" w:rsidP="00AB62A3">
            <w:pPr>
              <w:ind w:firstLineChars="23" w:firstLine="30"/>
              <w:jc w:val="right"/>
              <w:rPr>
                <w:rFonts w:cs="Tahoma"/>
                <w:bCs/>
                <w:sz w:val="13"/>
                <w:szCs w:val="13"/>
              </w:rPr>
            </w:pPr>
            <w:r w:rsidRPr="009F7CE4">
              <w:rPr>
                <w:rFonts w:cs="Tahoma"/>
                <w:bCs/>
                <w:sz w:val="13"/>
                <w:szCs w:val="13"/>
              </w:rPr>
              <w:t>368 778</w:t>
            </w:r>
          </w:p>
        </w:tc>
        <w:tc>
          <w:tcPr>
            <w:tcW w:w="595" w:type="pct"/>
            <w:gridSpan w:val="2"/>
            <w:tcBorders>
              <w:top w:val="nil"/>
              <w:left w:val="nil"/>
              <w:bottom w:val="nil"/>
              <w:right w:val="nil"/>
            </w:tcBorders>
            <w:shd w:val="clear" w:color="000000" w:fill="FFFFFF"/>
            <w:noWrap/>
            <w:vAlign w:val="bottom"/>
          </w:tcPr>
          <w:p w:rsidR="00565FD5" w:rsidRPr="009F7CE4" w:rsidRDefault="00565FD5" w:rsidP="00AB62A3">
            <w:pPr>
              <w:ind w:firstLineChars="100" w:firstLine="130"/>
              <w:jc w:val="right"/>
              <w:rPr>
                <w:rFonts w:cs="Tahoma"/>
                <w:bCs/>
                <w:sz w:val="13"/>
                <w:szCs w:val="13"/>
              </w:rPr>
            </w:pPr>
            <w:r w:rsidRPr="009F7CE4">
              <w:rPr>
                <w:rFonts w:cs="Tahoma"/>
                <w:bCs/>
                <w:sz w:val="13"/>
                <w:szCs w:val="13"/>
              </w:rPr>
              <w:t>38</w:t>
            </w:r>
            <w:r>
              <w:rPr>
                <w:rFonts w:cs="Tahoma"/>
                <w:bCs/>
                <w:sz w:val="13"/>
                <w:szCs w:val="13"/>
              </w:rPr>
              <w:t>5</w:t>
            </w:r>
            <w:r w:rsidRPr="009F7CE4">
              <w:rPr>
                <w:rFonts w:cs="Tahoma"/>
                <w:bCs/>
                <w:sz w:val="13"/>
                <w:szCs w:val="13"/>
              </w:rPr>
              <w:t xml:space="preserve"> </w:t>
            </w:r>
            <w:r>
              <w:rPr>
                <w:rFonts w:cs="Tahoma"/>
                <w:bCs/>
                <w:sz w:val="13"/>
                <w:szCs w:val="13"/>
              </w:rPr>
              <w:t>361</w:t>
            </w:r>
          </w:p>
        </w:tc>
        <w:tc>
          <w:tcPr>
            <w:tcW w:w="133" w:type="pct"/>
            <w:gridSpan w:val="3"/>
            <w:tcBorders>
              <w:top w:val="nil"/>
              <w:left w:val="nil"/>
              <w:bottom w:val="nil"/>
              <w:right w:val="nil"/>
            </w:tcBorders>
            <w:shd w:val="clear" w:color="000000" w:fill="FFFFFF"/>
            <w:noWrap/>
            <w:vAlign w:val="bottom"/>
          </w:tcPr>
          <w:p w:rsidR="00565FD5" w:rsidRPr="009F7CE4" w:rsidRDefault="00565FD5" w:rsidP="00AB62A3">
            <w:pPr>
              <w:jc w:val="right"/>
              <w:rPr>
                <w:rFonts w:cs="Tahoma"/>
                <w:bCs/>
                <w:sz w:val="13"/>
                <w:szCs w:val="13"/>
                <w:lang w:eastAsia="tr-TR"/>
              </w:rPr>
            </w:pPr>
          </w:p>
        </w:tc>
        <w:tc>
          <w:tcPr>
            <w:tcW w:w="439" w:type="pct"/>
            <w:tcBorders>
              <w:top w:val="nil"/>
              <w:left w:val="nil"/>
              <w:bottom w:val="nil"/>
              <w:right w:val="nil"/>
            </w:tcBorders>
            <w:shd w:val="clear" w:color="000000" w:fill="FFFFFF"/>
            <w:noWrap/>
            <w:vAlign w:val="bottom"/>
          </w:tcPr>
          <w:p w:rsidR="00565FD5" w:rsidRPr="009F7CE4" w:rsidRDefault="00565FD5" w:rsidP="00AB62A3">
            <w:pPr>
              <w:ind w:firstLineChars="21" w:firstLine="27"/>
              <w:jc w:val="right"/>
              <w:rPr>
                <w:rFonts w:cs="Tahoma"/>
                <w:bCs/>
                <w:sz w:val="13"/>
                <w:szCs w:val="13"/>
              </w:rPr>
            </w:pPr>
            <w:r w:rsidRPr="009F7CE4">
              <w:rPr>
                <w:rFonts w:cs="Tahoma"/>
                <w:bCs/>
                <w:sz w:val="13"/>
                <w:szCs w:val="13"/>
              </w:rPr>
              <w:t>33,2</w:t>
            </w:r>
          </w:p>
        </w:tc>
        <w:tc>
          <w:tcPr>
            <w:tcW w:w="441" w:type="pct"/>
            <w:gridSpan w:val="3"/>
            <w:tcBorders>
              <w:top w:val="nil"/>
              <w:left w:val="nil"/>
              <w:bottom w:val="nil"/>
              <w:right w:val="nil"/>
            </w:tcBorders>
            <w:shd w:val="clear" w:color="000000" w:fill="FFFFFF"/>
            <w:noWrap/>
            <w:vAlign w:val="bottom"/>
          </w:tcPr>
          <w:p w:rsidR="00565FD5" w:rsidRPr="009F7CE4" w:rsidRDefault="00565FD5" w:rsidP="00AB62A3">
            <w:pPr>
              <w:jc w:val="right"/>
              <w:rPr>
                <w:rFonts w:cs="Tahoma"/>
                <w:bCs/>
                <w:sz w:val="13"/>
                <w:szCs w:val="13"/>
              </w:rPr>
            </w:pPr>
            <w:r w:rsidRPr="009F7CE4">
              <w:rPr>
                <w:rFonts w:cs="Tahoma"/>
                <w:bCs/>
                <w:sz w:val="13"/>
                <w:szCs w:val="13"/>
              </w:rPr>
              <w:t>31,2</w:t>
            </w:r>
          </w:p>
        </w:tc>
        <w:tc>
          <w:tcPr>
            <w:tcW w:w="495" w:type="pct"/>
            <w:tcBorders>
              <w:top w:val="nil"/>
              <w:left w:val="nil"/>
              <w:bottom w:val="nil"/>
              <w:right w:val="single" w:sz="4" w:space="0" w:color="auto"/>
            </w:tcBorders>
            <w:shd w:val="clear" w:color="000000" w:fill="FFFFFF"/>
            <w:noWrap/>
            <w:vAlign w:val="bottom"/>
          </w:tcPr>
          <w:p w:rsidR="00565FD5" w:rsidRPr="009F7CE4" w:rsidRDefault="00565FD5" w:rsidP="00AB62A3">
            <w:pPr>
              <w:jc w:val="right"/>
              <w:rPr>
                <w:rFonts w:cs="Tahoma"/>
                <w:bCs/>
                <w:sz w:val="13"/>
                <w:szCs w:val="13"/>
              </w:rPr>
            </w:pPr>
            <w:r w:rsidRPr="009F7CE4">
              <w:rPr>
                <w:rFonts w:cs="Tahoma"/>
                <w:bCs/>
                <w:sz w:val="13"/>
                <w:szCs w:val="13"/>
              </w:rPr>
              <w:t>28,4</w:t>
            </w:r>
          </w:p>
        </w:tc>
      </w:tr>
      <w:tr w:rsidR="00565FD5" w:rsidRPr="00BF3740" w:rsidTr="00AB62A3">
        <w:trPr>
          <w:trHeight w:val="227"/>
        </w:trPr>
        <w:tc>
          <w:tcPr>
            <w:tcW w:w="1203" w:type="pct"/>
            <w:tcBorders>
              <w:top w:val="nil"/>
              <w:left w:val="single" w:sz="4" w:space="0" w:color="auto"/>
              <w:bottom w:val="nil"/>
              <w:right w:val="nil"/>
            </w:tcBorders>
            <w:shd w:val="clear" w:color="000000" w:fill="FFFFFF"/>
            <w:noWrap/>
            <w:vAlign w:val="bottom"/>
          </w:tcPr>
          <w:p w:rsidR="00565FD5" w:rsidRPr="00BF3740" w:rsidRDefault="00565FD5" w:rsidP="00AB62A3">
            <w:pPr>
              <w:ind w:firstLineChars="143" w:firstLine="200"/>
              <w:rPr>
                <w:rFonts w:cs="Tahoma"/>
                <w:sz w:val="14"/>
                <w:szCs w:val="14"/>
              </w:rPr>
            </w:pPr>
            <w:r w:rsidRPr="00BF3740">
              <w:rPr>
                <w:rFonts w:cs="Tahoma"/>
                <w:sz w:val="14"/>
                <w:szCs w:val="14"/>
              </w:rPr>
              <w:t xml:space="preserve">Nakit </w:t>
            </w:r>
          </w:p>
        </w:tc>
        <w:tc>
          <w:tcPr>
            <w:tcW w:w="566" w:type="pct"/>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sz w:val="13"/>
                <w:szCs w:val="13"/>
              </w:rPr>
            </w:pPr>
            <w:r w:rsidRPr="00BF3740">
              <w:rPr>
                <w:rFonts w:cs="Tahoma"/>
                <w:sz w:val="13"/>
                <w:szCs w:val="13"/>
              </w:rPr>
              <w:t>299 196</w:t>
            </w:r>
          </w:p>
        </w:tc>
        <w:tc>
          <w:tcPr>
            <w:tcW w:w="564"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sz w:val="13"/>
                <w:szCs w:val="13"/>
              </w:rPr>
            </w:pPr>
            <w:r w:rsidRPr="00BF3740">
              <w:rPr>
                <w:rFonts w:cs="Tahoma"/>
                <w:sz w:val="13"/>
                <w:szCs w:val="13"/>
              </w:rPr>
              <w:t>340 854</w:t>
            </w:r>
          </w:p>
        </w:tc>
        <w:tc>
          <w:tcPr>
            <w:tcW w:w="564"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sz w:val="13"/>
                <w:szCs w:val="13"/>
              </w:rPr>
            </w:pPr>
            <w:r w:rsidRPr="00BF3740">
              <w:rPr>
                <w:rFonts w:cs="Tahoma"/>
                <w:sz w:val="13"/>
                <w:szCs w:val="13"/>
              </w:rPr>
              <w:t>366 322</w:t>
            </w:r>
          </w:p>
        </w:tc>
        <w:tc>
          <w:tcPr>
            <w:tcW w:w="595"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sz w:val="13"/>
                <w:szCs w:val="13"/>
              </w:rPr>
            </w:pPr>
            <w:r w:rsidRPr="00BF3740">
              <w:rPr>
                <w:rFonts w:cs="Tahoma"/>
                <w:sz w:val="13"/>
                <w:szCs w:val="13"/>
              </w:rPr>
              <w:t>38</w:t>
            </w:r>
            <w:r>
              <w:rPr>
                <w:rFonts w:cs="Tahoma"/>
                <w:sz w:val="13"/>
                <w:szCs w:val="13"/>
              </w:rPr>
              <w:t>2</w:t>
            </w:r>
            <w:r w:rsidRPr="00BF3740">
              <w:rPr>
                <w:rFonts w:cs="Tahoma"/>
                <w:sz w:val="13"/>
                <w:szCs w:val="13"/>
              </w:rPr>
              <w:t xml:space="preserve"> </w:t>
            </w:r>
            <w:r>
              <w:rPr>
                <w:rFonts w:cs="Tahoma"/>
                <w:sz w:val="13"/>
                <w:szCs w:val="13"/>
              </w:rPr>
              <w:t>950</w:t>
            </w:r>
          </w:p>
        </w:tc>
        <w:tc>
          <w:tcPr>
            <w:tcW w:w="133" w:type="pct"/>
            <w:gridSpan w:val="3"/>
            <w:tcBorders>
              <w:top w:val="nil"/>
              <w:left w:val="nil"/>
              <w:bottom w:val="nil"/>
              <w:right w:val="nil"/>
            </w:tcBorders>
            <w:shd w:val="clear" w:color="000000" w:fill="FFFFFF"/>
            <w:noWrap/>
            <w:vAlign w:val="bottom"/>
          </w:tcPr>
          <w:p w:rsidR="00565FD5" w:rsidRPr="00BF3740" w:rsidRDefault="00565FD5" w:rsidP="00AB62A3">
            <w:pPr>
              <w:jc w:val="right"/>
              <w:rPr>
                <w:rFonts w:cs="Tahoma"/>
                <w:sz w:val="13"/>
                <w:szCs w:val="13"/>
                <w:lang w:eastAsia="tr-TR"/>
              </w:rPr>
            </w:pPr>
          </w:p>
        </w:tc>
        <w:tc>
          <w:tcPr>
            <w:tcW w:w="439" w:type="pct"/>
            <w:tcBorders>
              <w:top w:val="nil"/>
              <w:left w:val="nil"/>
              <w:bottom w:val="nil"/>
              <w:right w:val="nil"/>
            </w:tcBorders>
            <w:shd w:val="clear" w:color="000000" w:fill="FFFFFF"/>
            <w:noWrap/>
            <w:vAlign w:val="bottom"/>
          </w:tcPr>
          <w:p w:rsidR="00565FD5" w:rsidRPr="00BF3740" w:rsidRDefault="00565FD5" w:rsidP="00AB62A3">
            <w:pPr>
              <w:ind w:firstLineChars="32" w:firstLine="42"/>
              <w:jc w:val="right"/>
              <w:rPr>
                <w:rFonts w:cs="Tahoma"/>
                <w:sz w:val="13"/>
                <w:szCs w:val="13"/>
              </w:rPr>
            </w:pPr>
            <w:r w:rsidRPr="00BF3740">
              <w:rPr>
                <w:rFonts w:cs="Tahoma"/>
                <w:sz w:val="13"/>
                <w:szCs w:val="13"/>
              </w:rPr>
              <w:t>31,4</w:t>
            </w:r>
          </w:p>
        </w:tc>
        <w:tc>
          <w:tcPr>
            <w:tcW w:w="441" w:type="pct"/>
            <w:gridSpan w:val="3"/>
            <w:tcBorders>
              <w:top w:val="nil"/>
              <w:left w:val="nil"/>
              <w:bottom w:val="nil"/>
              <w:right w:val="nil"/>
            </w:tcBorders>
            <w:shd w:val="clear" w:color="000000" w:fill="FFFFFF"/>
            <w:noWrap/>
            <w:vAlign w:val="bottom"/>
          </w:tcPr>
          <w:p w:rsidR="00565FD5" w:rsidRPr="00BF3740" w:rsidRDefault="00565FD5" w:rsidP="00AB62A3">
            <w:pPr>
              <w:jc w:val="right"/>
              <w:rPr>
                <w:rFonts w:cs="Tahoma"/>
                <w:sz w:val="13"/>
                <w:szCs w:val="13"/>
              </w:rPr>
            </w:pPr>
            <w:r w:rsidRPr="00BF3740">
              <w:rPr>
                <w:rFonts w:cs="Tahoma"/>
                <w:sz w:val="13"/>
                <w:szCs w:val="13"/>
              </w:rPr>
              <w:t>31,0</w:t>
            </w:r>
          </w:p>
        </w:tc>
        <w:tc>
          <w:tcPr>
            <w:tcW w:w="495" w:type="pct"/>
            <w:tcBorders>
              <w:top w:val="nil"/>
              <w:left w:val="nil"/>
              <w:bottom w:val="nil"/>
              <w:right w:val="single" w:sz="4" w:space="0" w:color="auto"/>
            </w:tcBorders>
            <w:shd w:val="clear" w:color="000000" w:fill="FFFFFF"/>
            <w:noWrap/>
            <w:vAlign w:val="bottom"/>
          </w:tcPr>
          <w:p w:rsidR="00565FD5" w:rsidRPr="00BF3740" w:rsidRDefault="00565FD5" w:rsidP="00AB62A3">
            <w:pPr>
              <w:jc w:val="right"/>
              <w:rPr>
                <w:rFonts w:cs="Tahoma"/>
                <w:sz w:val="13"/>
                <w:szCs w:val="13"/>
              </w:rPr>
            </w:pPr>
            <w:r w:rsidRPr="00BF3740">
              <w:rPr>
                <w:rFonts w:cs="Tahoma"/>
                <w:sz w:val="13"/>
                <w:szCs w:val="13"/>
              </w:rPr>
              <w:t>28,2</w:t>
            </w:r>
          </w:p>
        </w:tc>
      </w:tr>
      <w:tr w:rsidR="00565FD5" w:rsidRPr="00BF3740" w:rsidTr="00AB62A3">
        <w:trPr>
          <w:trHeight w:val="227"/>
        </w:trPr>
        <w:tc>
          <w:tcPr>
            <w:tcW w:w="1203" w:type="pct"/>
            <w:tcBorders>
              <w:top w:val="nil"/>
              <w:left w:val="single" w:sz="4" w:space="0" w:color="auto"/>
              <w:bottom w:val="nil"/>
              <w:right w:val="nil"/>
            </w:tcBorders>
            <w:shd w:val="clear" w:color="000000" w:fill="FFFFFF"/>
            <w:noWrap/>
            <w:vAlign w:val="bottom"/>
          </w:tcPr>
          <w:p w:rsidR="00565FD5" w:rsidRPr="00BF3740" w:rsidRDefault="00565FD5" w:rsidP="00AB62A3">
            <w:pPr>
              <w:ind w:firstLineChars="143" w:firstLine="200"/>
              <w:rPr>
                <w:rFonts w:cs="Tahoma"/>
                <w:sz w:val="14"/>
                <w:szCs w:val="14"/>
              </w:rPr>
            </w:pPr>
            <w:r w:rsidRPr="00BF3740">
              <w:rPr>
                <w:rFonts w:cs="Tahoma"/>
                <w:sz w:val="14"/>
                <w:szCs w:val="14"/>
              </w:rPr>
              <w:t>Nakit Dışı</w:t>
            </w:r>
          </w:p>
        </w:tc>
        <w:tc>
          <w:tcPr>
            <w:tcW w:w="566" w:type="pct"/>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sz w:val="13"/>
                <w:szCs w:val="13"/>
              </w:rPr>
            </w:pPr>
            <w:r w:rsidRPr="00BF3740">
              <w:rPr>
                <w:rFonts w:cs="Tahoma"/>
                <w:sz w:val="13"/>
                <w:szCs w:val="13"/>
              </w:rPr>
              <w:t>16 772</w:t>
            </w:r>
          </w:p>
        </w:tc>
        <w:tc>
          <w:tcPr>
            <w:tcW w:w="564"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sz w:val="13"/>
                <w:szCs w:val="13"/>
              </w:rPr>
            </w:pPr>
            <w:r w:rsidRPr="00BF3740">
              <w:rPr>
                <w:rFonts w:cs="Tahoma"/>
                <w:sz w:val="13"/>
                <w:szCs w:val="13"/>
              </w:rPr>
              <w:t>2 463</w:t>
            </w:r>
          </w:p>
        </w:tc>
        <w:tc>
          <w:tcPr>
            <w:tcW w:w="564"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sz w:val="13"/>
                <w:szCs w:val="13"/>
              </w:rPr>
            </w:pPr>
            <w:r w:rsidRPr="00BF3740">
              <w:rPr>
                <w:rFonts w:cs="Tahoma"/>
                <w:sz w:val="13"/>
                <w:szCs w:val="13"/>
              </w:rPr>
              <w:t>2 456</w:t>
            </w:r>
          </w:p>
        </w:tc>
        <w:tc>
          <w:tcPr>
            <w:tcW w:w="595"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sz w:val="13"/>
                <w:szCs w:val="13"/>
              </w:rPr>
            </w:pPr>
            <w:r w:rsidRPr="00BF3740">
              <w:rPr>
                <w:rFonts w:cs="Tahoma"/>
                <w:sz w:val="13"/>
                <w:szCs w:val="13"/>
              </w:rPr>
              <w:t>2 411</w:t>
            </w:r>
          </w:p>
        </w:tc>
        <w:tc>
          <w:tcPr>
            <w:tcW w:w="133" w:type="pct"/>
            <w:gridSpan w:val="3"/>
            <w:tcBorders>
              <w:top w:val="nil"/>
              <w:left w:val="nil"/>
              <w:bottom w:val="nil"/>
              <w:right w:val="nil"/>
            </w:tcBorders>
            <w:shd w:val="clear" w:color="000000" w:fill="FFFFFF"/>
            <w:noWrap/>
            <w:vAlign w:val="bottom"/>
          </w:tcPr>
          <w:p w:rsidR="00565FD5" w:rsidRPr="00BF3740" w:rsidRDefault="00565FD5" w:rsidP="00AB62A3">
            <w:pPr>
              <w:jc w:val="right"/>
              <w:rPr>
                <w:rFonts w:cs="Tahoma"/>
                <w:sz w:val="13"/>
                <w:szCs w:val="13"/>
                <w:lang w:eastAsia="tr-TR"/>
              </w:rPr>
            </w:pPr>
          </w:p>
        </w:tc>
        <w:tc>
          <w:tcPr>
            <w:tcW w:w="439" w:type="pct"/>
            <w:tcBorders>
              <w:top w:val="nil"/>
              <w:left w:val="nil"/>
              <w:bottom w:val="nil"/>
              <w:right w:val="nil"/>
            </w:tcBorders>
            <w:shd w:val="clear" w:color="000000" w:fill="FFFFFF"/>
            <w:noWrap/>
            <w:vAlign w:val="bottom"/>
          </w:tcPr>
          <w:p w:rsidR="00565FD5" w:rsidRPr="00BF3740" w:rsidRDefault="00565FD5" w:rsidP="00AB62A3">
            <w:pPr>
              <w:ind w:firstLineChars="200" w:firstLine="260"/>
              <w:jc w:val="right"/>
              <w:rPr>
                <w:rFonts w:cs="Tahoma"/>
                <w:sz w:val="13"/>
                <w:szCs w:val="13"/>
              </w:rPr>
            </w:pPr>
            <w:r w:rsidRPr="00BF3740">
              <w:rPr>
                <w:rFonts w:cs="Tahoma"/>
                <w:sz w:val="13"/>
                <w:szCs w:val="13"/>
              </w:rPr>
              <w:t>1,8</w:t>
            </w:r>
          </w:p>
        </w:tc>
        <w:tc>
          <w:tcPr>
            <w:tcW w:w="441" w:type="pct"/>
            <w:gridSpan w:val="3"/>
            <w:tcBorders>
              <w:top w:val="nil"/>
              <w:left w:val="nil"/>
              <w:bottom w:val="nil"/>
              <w:right w:val="nil"/>
            </w:tcBorders>
            <w:shd w:val="clear" w:color="000000" w:fill="FFFFFF"/>
            <w:noWrap/>
            <w:vAlign w:val="bottom"/>
          </w:tcPr>
          <w:p w:rsidR="00565FD5" w:rsidRPr="00BF3740" w:rsidRDefault="00565FD5" w:rsidP="00AB62A3">
            <w:pPr>
              <w:ind w:firstLineChars="200" w:firstLine="260"/>
              <w:jc w:val="right"/>
              <w:rPr>
                <w:rFonts w:cs="Tahoma"/>
                <w:sz w:val="13"/>
                <w:szCs w:val="13"/>
              </w:rPr>
            </w:pPr>
            <w:r w:rsidRPr="00BF3740">
              <w:rPr>
                <w:rFonts w:cs="Tahoma"/>
                <w:sz w:val="13"/>
                <w:szCs w:val="13"/>
              </w:rPr>
              <w:t>0,2</w:t>
            </w:r>
          </w:p>
        </w:tc>
        <w:tc>
          <w:tcPr>
            <w:tcW w:w="495" w:type="pct"/>
            <w:tcBorders>
              <w:top w:val="nil"/>
              <w:left w:val="nil"/>
              <w:bottom w:val="nil"/>
              <w:right w:val="single" w:sz="4" w:space="0" w:color="auto"/>
            </w:tcBorders>
            <w:shd w:val="clear" w:color="000000" w:fill="FFFFFF"/>
            <w:noWrap/>
            <w:vAlign w:val="bottom"/>
          </w:tcPr>
          <w:p w:rsidR="00565FD5" w:rsidRPr="00BF3740" w:rsidRDefault="00565FD5" w:rsidP="00AB62A3">
            <w:pPr>
              <w:ind w:firstLineChars="200" w:firstLine="260"/>
              <w:jc w:val="right"/>
              <w:rPr>
                <w:rFonts w:cs="Tahoma"/>
                <w:sz w:val="13"/>
                <w:szCs w:val="13"/>
              </w:rPr>
            </w:pPr>
            <w:r w:rsidRPr="00BF3740">
              <w:rPr>
                <w:rFonts w:cs="Tahoma"/>
                <w:sz w:val="13"/>
                <w:szCs w:val="13"/>
              </w:rPr>
              <w:t>0,2</w:t>
            </w:r>
          </w:p>
        </w:tc>
      </w:tr>
      <w:tr w:rsidR="00565FD5" w:rsidRPr="00BF3740" w:rsidTr="00AB62A3">
        <w:trPr>
          <w:trHeight w:val="227"/>
        </w:trPr>
        <w:tc>
          <w:tcPr>
            <w:tcW w:w="1203" w:type="pct"/>
            <w:tcBorders>
              <w:top w:val="nil"/>
              <w:left w:val="single" w:sz="4" w:space="0" w:color="auto"/>
              <w:bottom w:val="nil"/>
              <w:right w:val="nil"/>
            </w:tcBorders>
            <w:shd w:val="clear" w:color="000000" w:fill="FFFFFF"/>
            <w:noWrap/>
            <w:vAlign w:val="bottom"/>
          </w:tcPr>
          <w:p w:rsidR="00565FD5" w:rsidRPr="00BF3740" w:rsidRDefault="00565FD5" w:rsidP="00AB62A3">
            <w:pPr>
              <w:ind w:firstLineChars="100" w:firstLine="140"/>
              <w:rPr>
                <w:rFonts w:cs="Tahoma"/>
                <w:bCs/>
                <w:sz w:val="14"/>
                <w:szCs w:val="14"/>
              </w:rPr>
            </w:pPr>
            <w:r w:rsidRPr="00BF3740">
              <w:rPr>
                <w:rFonts w:cs="Tahoma"/>
                <w:bCs/>
                <w:sz w:val="14"/>
                <w:szCs w:val="14"/>
              </w:rPr>
              <w:t>Bono</w:t>
            </w:r>
          </w:p>
        </w:tc>
        <w:tc>
          <w:tcPr>
            <w:tcW w:w="566" w:type="pct"/>
            <w:tcBorders>
              <w:top w:val="nil"/>
              <w:left w:val="nil"/>
              <w:bottom w:val="nil"/>
              <w:right w:val="nil"/>
            </w:tcBorders>
            <w:shd w:val="clear" w:color="000000" w:fill="FFFFFF"/>
            <w:noWrap/>
            <w:vAlign w:val="bottom"/>
          </w:tcPr>
          <w:p w:rsidR="00565FD5" w:rsidRPr="009F7CE4" w:rsidRDefault="00565FD5" w:rsidP="00AB62A3">
            <w:pPr>
              <w:ind w:firstLineChars="100" w:firstLine="130"/>
              <w:jc w:val="right"/>
              <w:rPr>
                <w:rFonts w:cs="Tahoma"/>
                <w:bCs/>
                <w:sz w:val="13"/>
                <w:szCs w:val="13"/>
              </w:rPr>
            </w:pPr>
            <w:r w:rsidRPr="009F7CE4">
              <w:rPr>
                <w:rFonts w:cs="Tahoma"/>
                <w:bCs/>
                <w:sz w:val="13"/>
                <w:szCs w:val="13"/>
              </w:rPr>
              <w:t>14 036</w:t>
            </w:r>
          </w:p>
        </w:tc>
        <w:tc>
          <w:tcPr>
            <w:tcW w:w="564" w:type="pct"/>
            <w:gridSpan w:val="2"/>
            <w:tcBorders>
              <w:top w:val="nil"/>
              <w:left w:val="nil"/>
              <w:bottom w:val="nil"/>
              <w:right w:val="nil"/>
            </w:tcBorders>
            <w:shd w:val="clear" w:color="000000" w:fill="FFFFFF"/>
            <w:noWrap/>
            <w:vAlign w:val="bottom"/>
          </w:tcPr>
          <w:p w:rsidR="00565FD5" w:rsidRPr="009F7CE4" w:rsidRDefault="00565FD5" w:rsidP="00AB62A3">
            <w:pPr>
              <w:ind w:firstLineChars="100" w:firstLine="130"/>
              <w:jc w:val="right"/>
              <w:rPr>
                <w:rFonts w:cs="Tahoma"/>
                <w:bCs/>
                <w:sz w:val="13"/>
                <w:szCs w:val="13"/>
              </w:rPr>
            </w:pPr>
            <w:r w:rsidRPr="009F7CE4">
              <w:rPr>
                <w:rFonts w:cs="Tahoma"/>
                <w:bCs/>
                <w:sz w:val="13"/>
                <w:szCs w:val="13"/>
              </w:rPr>
              <w:t>9 525</w:t>
            </w:r>
          </w:p>
        </w:tc>
        <w:tc>
          <w:tcPr>
            <w:tcW w:w="564" w:type="pct"/>
            <w:gridSpan w:val="2"/>
            <w:tcBorders>
              <w:top w:val="nil"/>
              <w:left w:val="nil"/>
              <w:bottom w:val="nil"/>
              <w:right w:val="nil"/>
            </w:tcBorders>
            <w:shd w:val="clear" w:color="000000" w:fill="FFFFFF"/>
            <w:noWrap/>
            <w:vAlign w:val="bottom"/>
          </w:tcPr>
          <w:p w:rsidR="00565FD5" w:rsidRPr="009F7CE4" w:rsidRDefault="00565FD5" w:rsidP="00AB62A3">
            <w:pPr>
              <w:ind w:firstLineChars="100" w:firstLine="130"/>
              <w:jc w:val="right"/>
              <w:rPr>
                <w:rFonts w:cs="Tahoma"/>
                <w:bCs/>
                <w:sz w:val="13"/>
                <w:szCs w:val="13"/>
              </w:rPr>
            </w:pPr>
            <w:r w:rsidRPr="009F7CE4">
              <w:rPr>
                <w:rFonts w:cs="Tahoma"/>
                <w:bCs/>
                <w:sz w:val="13"/>
                <w:szCs w:val="13"/>
              </w:rPr>
              <w:t>0</w:t>
            </w:r>
          </w:p>
        </w:tc>
        <w:tc>
          <w:tcPr>
            <w:tcW w:w="595" w:type="pct"/>
            <w:gridSpan w:val="2"/>
            <w:tcBorders>
              <w:top w:val="nil"/>
              <w:left w:val="nil"/>
              <w:bottom w:val="nil"/>
              <w:right w:val="nil"/>
            </w:tcBorders>
            <w:shd w:val="clear" w:color="000000" w:fill="FFFFFF"/>
            <w:noWrap/>
            <w:vAlign w:val="bottom"/>
          </w:tcPr>
          <w:p w:rsidR="00565FD5" w:rsidRPr="009F7CE4" w:rsidRDefault="00565FD5" w:rsidP="00AB62A3">
            <w:pPr>
              <w:ind w:firstLineChars="100" w:firstLine="130"/>
              <w:jc w:val="right"/>
              <w:rPr>
                <w:rFonts w:cs="Tahoma"/>
                <w:bCs/>
                <w:sz w:val="13"/>
                <w:szCs w:val="13"/>
              </w:rPr>
            </w:pPr>
            <w:r>
              <w:rPr>
                <w:rFonts w:cs="Tahoma"/>
                <w:bCs/>
                <w:sz w:val="13"/>
                <w:szCs w:val="13"/>
              </w:rPr>
              <w:t>2 314</w:t>
            </w:r>
          </w:p>
        </w:tc>
        <w:tc>
          <w:tcPr>
            <w:tcW w:w="133" w:type="pct"/>
            <w:gridSpan w:val="3"/>
            <w:tcBorders>
              <w:top w:val="nil"/>
              <w:left w:val="nil"/>
              <w:bottom w:val="nil"/>
              <w:right w:val="nil"/>
            </w:tcBorders>
            <w:shd w:val="clear" w:color="000000" w:fill="FFFFFF"/>
            <w:noWrap/>
            <w:vAlign w:val="bottom"/>
          </w:tcPr>
          <w:p w:rsidR="00565FD5" w:rsidRPr="009F7CE4" w:rsidRDefault="00565FD5" w:rsidP="00AB62A3">
            <w:pPr>
              <w:jc w:val="right"/>
              <w:rPr>
                <w:rFonts w:cs="Tahoma"/>
                <w:bCs/>
                <w:sz w:val="13"/>
                <w:szCs w:val="13"/>
                <w:lang w:eastAsia="tr-TR"/>
              </w:rPr>
            </w:pPr>
          </w:p>
        </w:tc>
        <w:tc>
          <w:tcPr>
            <w:tcW w:w="439" w:type="pct"/>
            <w:tcBorders>
              <w:top w:val="nil"/>
              <w:left w:val="nil"/>
              <w:bottom w:val="nil"/>
              <w:right w:val="nil"/>
            </w:tcBorders>
            <w:shd w:val="clear" w:color="000000" w:fill="FFFFFF"/>
            <w:noWrap/>
            <w:vAlign w:val="bottom"/>
          </w:tcPr>
          <w:p w:rsidR="00565FD5" w:rsidRPr="009F7CE4" w:rsidRDefault="00565FD5" w:rsidP="00AB62A3">
            <w:pPr>
              <w:ind w:firstLineChars="200" w:firstLine="260"/>
              <w:jc w:val="right"/>
              <w:rPr>
                <w:rFonts w:cs="Tahoma"/>
                <w:bCs/>
                <w:sz w:val="13"/>
                <w:szCs w:val="13"/>
              </w:rPr>
            </w:pPr>
            <w:r w:rsidRPr="009F7CE4">
              <w:rPr>
                <w:rFonts w:cs="Tahoma"/>
                <w:bCs/>
                <w:sz w:val="13"/>
                <w:szCs w:val="13"/>
              </w:rPr>
              <w:t>1,5</w:t>
            </w:r>
          </w:p>
        </w:tc>
        <w:tc>
          <w:tcPr>
            <w:tcW w:w="441" w:type="pct"/>
            <w:gridSpan w:val="3"/>
            <w:tcBorders>
              <w:top w:val="nil"/>
              <w:left w:val="nil"/>
              <w:bottom w:val="nil"/>
              <w:right w:val="nil"/>
            </w:tcBorders>
            <w:shd w:val="clear" w:color="000000" w:fill="FFFFFF"/>
            <w:noWrap/>
            <w:vAlign w:val="bottom"/>
          </w:tcPr>
          <w:p w:rsidR="00565FD5" w:rsidRPr="009F7CE4" w:rsidRDefault="00565FD5" w:rsidP="00AB62A3">
            <w:pPr>
              <w:ind w:firstLineChars="200" w:firstLine="260"/>
              <w:jc w:val="right"/>
              <w:rPr>
                <w:rFonts w:cs="Tahoma"/>
                <w:bCs/>
                <w:sz w:val="13"/>
                <w:szCs w:val="13"/>
              </w:rPr>
            </w:pPr>
            <w:r w:rsidRPr="009F7CE4">
              <w:rPr>
                <w:rFonts w:cs="Tahoma"/>
                <w:bCs/>
                <w:sz w:val="13"/>
                <w:szCs w:val="13"/>
              </w:rPr>
              <w:t>0,9</w:t>
            </w:r>
          </w:p>
        </w:tc>
        <w:tc>
          <w:tcPr>
            <w:tcW w:w="495" w:type="pct"/>
            <w:tcBorders>
              <w:top w:val="nil"/>
              <w:left w:val="nil"/>
              <w:bottom w:val="nil"/>
              <w:right w:val="single" w:sz="4" w:space="0" w:color="auto"/>
            </w:tcBorders>
            <w:shd w:val="clear" w:color="000000" w:fill="FFFFFF"/>
            <w:noWrap/>
            <w:vAlign w:val="bottom"/>
          </w:tcPr>
          <w:p w:rsidR="00565FD5" w:rsidRPr="009F7CE4" w:rsidRDefault="00565FD5" w:rsidP="00AB62A3">
            <w:pPr>
              <w:ind w:firstLineChars="200" w:firstLine="260"/>
              <w:jc w:val="right"/>
              <w:rPr>
                <w:rFonts w:cs="Tahoma"/>
                <w:bCs/>
                <w:sz w:val="13"/>
                <w:szCs w:val="13"/>
              </w:rPr>
            </w:pPr>
            <w:r w:rsidRPr="009F7CE4">
              <w:rPr>
                <w:rFonts w:cs="Tahoma"/>
                <w:bCs/>
                <w:sz w:val="13"/>
                <w:szCs w:val="13"/>
              </w:rPr>
              <w:t>0,0</w:t>
            </w:r>
          </w:p>
        </w:tc>
      </w:tr>
      <w:tr w:rsidR="00565FD5" w:rsidRPr="00BF3740" w:rsidTr="00AB62A3">
        <w:trPr>
          <w:trHeight w:val="227"/>
        </w:trPr>
        <w:tc>
          <w:tcPr>
            <w:tcW w:w="1203" w:type="pct"/>
            <w:tcBorders>
              <w:top w:val="nil"/>
              <w:left w:val="single" w:sz="4" w:space="0" w:color="auto"/>
              <w:bottom w:val="nil"/>
              <w:right w:val="nil"/>
            </w:tcBorders>
            <w:shd w:val="clear" w:color="000000" w:fill="FFFFFF"/>
            <w:noWrap/>
            <w:vAlign w:val="bottom"/>
          </w:tcPr>
          <w:p w:rsidR="00565FD5" w:rsidRPr="00BF3740" w:rsidRDefault="00565FD5" w:rsidP="00AB62A3">
            <w:pPr>
              <w:ind w:firstLineChars="143" w:firstLine="200"/>
              <w:rPr>
                <w:rFonts w:cs="Tahoma"/>
                <w:sz w:val="14"/>
                <w:szCs w:val="14"/>
              </w:rPr>
            </w:pPr>
            <w:r w:rsidRPr="00BF3740">
              <w:rPr>
                <w:rFonts w:cs="Tahoma"/>
                <w:sz w:val="14"/>
                <w:szCs w:val="14"/>
              </w:rPr>
              <w:t xml:space="preserve">Nakit </w:t>
            </w:r>
          </w:p>
        </w:tc>
        <w:tc>
          <w:tcPr>
            <w:tcW w:w="566" w:type="pct"/>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sz w:val="13"/>
                <w:szCs w:val="13"/>
              </w:rPr>
            </w:pPr>
            <w:r w:rsidRPr="00BF3740">
              <w:rPr>
                <w:rFonts w:cs="Tahoma"/>
                <w:sz w:val="13"/>
                <w:szCs w:val="13"/>
              </w:rPr>
              <w:t>14 036</w:t>
            </w:r>
          </w:p>
        </w:tc>
        <w:tc>
          <w:tcPr>
            <w:tcW w:w="564"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sz w:val="13"/>
                <w:szCs w:val="13"/>
              </w:rPr>
            </w:pPr>
            <w:r w:rsidRPr="00BF3740">
              <w:rPr>
                <w:rFonts w:cs="Tahoma"/>
                <w:sz w:val="13"/>
                <w:szCs w:val="13"/>
              </w:rPr>
              <w:t>9 525</w:t>
            </w:r>
          </w:p>
        </w:tc>
        <w:tc>
          <w:tcPr>
            <w:tcW w:w="564"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sz w:val="13"/>
                <w:szCs w:val="13"/>
              </w:rPr>
            </w:pPr>
            <w:r w:rsidRPr="00BF3740">
              <w:rPr>
                <w:rFonts w:cs="Tahoma"/>
                <w:sz w:val="13"/>
                <w:szCs w:val="13"/>
              </w:rPr>
              <w:t>0</w:t>
            </w:r>
          </w:p>
        </w:tc>
        <w:tc>
          <w:tcPr>
            <w:tcW w:w="595"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sz w:val="13"/>
                <w:szCs w:val="13"/>
              </w:rPr>
            </w:pPr>
            <w:r>
              <w:rPr>
                <w:rFonts w:cs="Tahoma"/>
                <w:sz w:val="13"/>
                <w:szCs w:val="13"/>
              </w:rPr>
              <w:t>2 314</w:t>
            </w:r>
          </w:p>
        </w:tc>
        <w:tc>
          <w:tcPr>
            <w:tcW w:w="133" w:type="pct"/>
            <w:gridSpan w:val="3"/>
            <w:tcBorders>
              <w:top w:val="nil"/>
              <w:left w:val="nil"/>
              <w:bottom w:val="nil"/>
              <w:right w:val="nil"/>
            </w:tcBorders>
            <w:shd w:val="clear" w:color="000000" w:fill="FFFFFF"/>
            <w:noWrap/>
            <w:vAlign w:val="bottom"/>
          </w:tcPr>
          <w:p w:rsidR="00565FD5" w:rsidRPr="00BF3740" w:rsidRDefault="00565FD5" w:rsidP="00AB62A3">
            <w:pPr>
              <w:jc w:val="right"/>
              <w:rPr>
                <w:rFonts w:cs="Tahoma"/>
                <w:sz w:val="13"/>
                <w:szCs w:val="13"/>
                <w:lang w:eastAsia="tr-TR"/>
              </w:rPr>
            </w:pPr>
          </w:p>
        </w:tc>
        <w:tc>
          <w:tcPr>
            <w:tcW w:w="439" w:type="pct"/>
            <w:tcBorders>
              <w:top w:val="nil"/>
              <w:left w:val="nil"/>
              <w:bottom w:val="nil"/>
              <w:right w:val="nil"/>
            </w:tcBorders>
            <w:shd w:val="clear" w:color="000000" w:fill="FFFFFF"/>
            <w:noWrap/>
            <w:vAlign w:val="bottom"/>
          </w:tcPr>
          <w:p w:rsidR="00565FD5" w:rsidRPr="00BF3740" w:rsidRDefault="00565FD5" w:rsidP="00AB62A3">
            <w:pPr>
              <w:ind w:firstLineChars="200" w:firstLine="260"/>
              <w:jc w:val="right"/>
              <w:rPr>
                <w:rFonts w:cs="Tahoma"/>
                <w:sz w:val="13"/>
                <w:szCs w:val="13"/>
              </w:rPr>
            </w:pPr>
            <w:r w:rsidRPr="00BF3740">
              <w:rPr>
                <w:rFonts w:cs="Tahoma"/>
                <w:sz w:val="13"/>
                <w:szCs w:val="13"/>
              </w:rPr>
              <w:t>1,5</w:t>
            </w:r>
          </w:p>
        </w:tc>
        <w:tc>
          <w:tcPr>
            <w:tcW w:w="441" w:type="pct"/>
            <w:gridSpan w:val="3"/>
            <w:tcBorders>
              <w:top w:val="nil"/>
              <w:left w:val="nil"/>
              <w:bottom w:val="nil"/>
              <w:right w:val="nil"/>
            </w:tcBorders>
            <w:shd w:val="clear" w:color="000000" w:fill="FFFFFF"/>
            <w:noWrap/>
            <w:vAlign w:val="bottom"/>
          </w:tcPr>
          <w:p w:rsidR="00565FD5" w:rsidRPr="00BF3740" w:rsidRDefault="00565FD5" w:rsidP="00AB62A3">
            <w:pPr>
              <w:ind w:firstLineChars="200" w:firstLine="260"/>
              <w:jc w:val="right"/>
              <w:rPr>
                <w:rFonts w:cs="Tahoma"/>
                <w:sz w:val="13"/>
                <w:szCs w:val="13"/>
              </w:rPr>
            </w:pPr>
            <w:r w:rsidRPr="00BF3740">
              <w:rPr>
                <w:rFonts w:cs="Tahoma"/>
                <w:sz w:val="13"/>
                <w:szCs w:val="13"/>
              </w:rPr>
              <w:t>0,9</w:t>
            </w:r>
          </w:p>
        </w:tc>
        <w:tc>
          <w:tcPr>
            <w:tcW w:w="495" w:type="pct"/>
            <w:tcBorders>
              <w:top w:val="nil"/>
              <w:left w:val="nil"/>
              <w:bottom w:val="nil"/>
              <w:right w:val="single" w:sz="4" w:space="0" w:color="auto"/>
            </w:tcBorders>
            <w:shd w:val="clear" w:color="000000" w:fill="FFFFFF"/>
            <w:noWrap/>
            <w:vAlign w:val="bottom"/>
          </w:tcPr>
          <w:p w:rsidR="00565FD5" w:rsidRPr="00BF3740" w:rsidRDefault="00565FD5" w:rsidP="00AB62A3">
            <w:pPr>
              <w:ind w:firstLineChars="200" w:firstLine="260"/>
              <w:jc w:val="right"/>
              <w:rPr>
                <w:rFonts w:cs="Tahoma"/>
                <w:sz w:val="13"/>
                <w:szCs w:val="13"/>
              </w:rPr>
            </w:pPr>
            <w:r w:rsidRPr="00BF3740">
              <w:rPr>
                <w:rFonts w:cs="Tahoma"/>
                <w:sz w:val="13"/>
                <w:szCs w:val="13"/>
              </w:rPr>
              <w:t>0,0</w:t>
            </w:r>
          </w:p>
        </w:tc>
      </w:tr>
      <w:tr w:rsidR="00565FD5" w:rsidRPr="00BF3740" w:rsidTr="00AB62A3">
        <w:trPr>
          <w:trHeight w:val="227"/>
        </w:trPr>
        <w:tc>
          <w:tcPr>
            <w:tcW w:w="1203" w:type="pct"/>
            <w:tcBorders>
              <w:top w:val="nil"/>
              <w:left w:val="single" w:sz="4" w:space="0" w:color="auto"/>
              <w:bottom w:val="nil"/>
              <w:right w:val="nil"/>
            </w:tcBorders>
            <w:shd w:val="clear" w:color="000000" w:fill="FFFFFF"/>
            <w:noWrap/>
            <w:vAlign w:val="bottom"/>
          </w:tcPr>
          <w:p w:rsidR="00565FD5" w:rsidRPr="00BF3740" w:rsidRDefault="00565FD5" w:rsidP="00AB62A3">
            <w:pPr>
              <w:ind w:firstLineChars="143" w:firstLine="200"/>
              <w:rPr>
                <w:rFonts w:cs="Tahoma"/>
                <w:sz w:val="14"/>
                <w:szCs w:val="14"/>
              </w:rPr>
            </w:pPr>
            <w:r w:rsidRPr="00BF3740">
              <w:rPr>
                <w:rFonts w:cs="Tahoma"/>
                <w:sz w:val="14"/>
                <w:szCs w:val="14"/>
              </w:rPr>
              <w:t xml:space="preserve">Nakit Dışı </w:t>
            </w:r>
          </w:p>
        </w:tc>
        <w:tc>
          <w:tcPr>
            <w:tcW w:w="566" w:type="pct"/>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sz w:val="13"/>
                <w:szCs w:val="13"/>
              </w:rPr>
            </w:pPr>
            <w:r w:rsidRPr="00BF3740">
              <w:rPr>
                <w:rFonts w:cs="Tahoma"/>
                <w:sz w:val="13"/>
                <w:szCs w:val="13"/>
              </w:rPr>
              <w:t>0</w:t>
            </w:r>
          </w:p>
        </w:tc>
        <w:tc>
          <w:tcPr>
            <w:tcW w:w="564"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sz w:val="13"/>
                <w:szCs w:val="13"/>
              </w:rPr>
            </w:pPr>
            <w:r w:rsidRPr="00BF3740">
              <w:rPr>
                <w:rFonts w:cs="Tahoma"/>
                <w:sz w:val="13"/>
                <w:szCs w:val="13"/>
              </w:rPr>
              <w:t>0</w:t>
            </w:r>
          </w:p>
        </w:tc>
        <w:tc>
          <w:tcPr>
            <w:tcW w:w="564"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sz w:val="13"/>
                <w:szCs w:val="13"/>
              </w:rPr>
            </w:pPr>
            <w:r w:rsidRPr="00BF3740">
              <w:rPr>
                <w:rFonts w:cs="Tahoma"/>
                <w:sz w:val="13"/>
                <w:szCs w:val="13"/>
              </w:rPr>
              <w:t>0</w:t>
            </w:r>
          </w:p>
        </w:tc>
        <w:tc>
          <w:tcPr>
            <w:tcW w:w="595"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sz w:val="13"/>
                <w:szCs w:val="13"/>
              </w:rPr>
            </w:pPr>
            <w:r w:rsidRPr="00BF3740">
              <w:rPr>
                <w:rFonts w:cs="Tahoma"/>
                <w:sz w:val="13"/>
                <w:szCs w:val="13"/>
              </w:rPr>
              <w:t>0</w:t>
            </w:r>
          </w:p>
        </w:tc>
        <w:tc>
          <w:tcPr>
            <w:tcW w:w="133" w:type="pct"/>
            <w:gridSpan w:val="3"/>
            <w:tcBorders>
              <w:top w:val="nil"/>
              <w:left w:val="nil"/>
              <w:bottom w:val="nil"/>
              <w:right w:val="nil"/>
            </w:tcBorders>
            <w:shd w:val="clear" w:color="000000" w:fill="FFFFFF"/>
            <w:noWrap/>
            <w:vAlign w:val="bottom"/>
          </w:tcPr>
          <w:p w:rsidR="00565FD5" w:rsidRPr="00BF3740" w:rsidRDefault="00565FD5" w:rsidP="00AB62A3">
            <w:pPr>
              <w:jc w:val="right"/>
              <w:rPr>
                <w:rFonts w:cs="Tahoma"/>
                <w:sz w:val="13"/>
                <w:szCs w:val="13"/>
                <w:lang w:eastAsia="tr-TR"/>
              </w:rPr>
            </w:pPr>
          </w:p>
        </w:tc>
        <w:tc>
          <w:tcPr>
            <w:tcW w:w="439" w:type="pct"/>
            <w:tcBorders>
              <w:top w:val="nil"/>
              <w:left w:val="nil"/>
              <w:bottom w:val="nil"/>
              <w:right w:val="nil"/>
            </w:tcBorders>
            <w:shd w:val="clear" w:color="000000" w:fill="FFFFFF"/>
            <w:noWrap/>
            <w:vAlign w:val="bottom"/>
          </w:tcPr>
          <w:p w:rsidR="00565FD5" w:rsidRPr="00BF3740" w:rsidRDefault="00565FD5" w:rsidP="00AB62A3">
            <w:pPr>
              <w:ind w:firstLineChars="200" w:firstLine="260"/>
              <w:jc w:val="right"/>
              <w:rPr>
                <w:rFonts w:cs="Tahoma"/>
                <w:sz w:val="13"/>
                <w:szCs w:val="13"/>
              </w:rPr>
            </w:pPr>
            <w:r w:rsidRPr="00BF3740">
              <w:rPr>
                <w:rFonts w:cs="Tahoma"/>
                <w:sz w:val="13"/>
                <w:szCs w:val="13"/>
              </w:rPr>
              <w:t>0,0</w:t>
            </w:r>
          </w:p>
        </w:tc>
        <w:tc>
          <w:tcPr>
            <w:tcW w:w="441" w:type="pct"/>
            <w:gridSpan w:val="3"/>
            <w:tcBorders>
              <w:top w:val="nil"/>
              <w:left w:val="nil"/>
              <w:bottom w:val="nil"/>
              <w:right w:val="nil"/>
            </w:tcBorders>
            <w:shd w:val="clear" w:color="000000" w:fill="FFFFFF"/>
            <w:noWrap/>
            <w:vAlign w:val="bottom"/>
          </w:tcPr>
          <w:p w:rsidR="00565FD5" w:rsidRPr="00BF3740" w:rsidRDefault="00565FD5" w:rsidP="00AB62A3">
            <w:pPr>
              <w:ind w:firstLineChars="200" w:firstLine="260"/>
              <w:jc w:val="right"/>
              <w:rPr>
                <w:rFonts w:cs="Tahoma"/>
                <w:sz w:val="13"/>
                <w:szCs w:val="13"/>
              </w:rPr>
            </w:pPr>
            <w:r w:rsidRPr="00BF3740">
              <w:rPr>
                <w:rFonts w:cs="Tahoma"/>
                <w:sz w:val="13"/>
                <w:szCs w:val="13"/>
              </w:rPr>
              <w:t>0,0</w:t>
            </w:r>
          </w:p>
        </w:tc>
        <w:tc>
          <w:tcPr>
            <w:tcW w:w="495" w:type="pct"/>
            <w:tcBorders>
              <w:top w:val="nil"/>
              <w:left w:val="nil"/>
              <w:bottom w:val="nil"/>
              <w:right w:val="single" w:sz="4" w:space="0" w:color="auto"/>
            </w:tcBorders>
            <w:shd w:val="clear" w:color="000000" w:fill="FFFFFF"/>
            <w:noWrap/>
            <w:vAlign w:val="bottom"/>
          </w:tcPr>
          <w:p w:rsidR="00565FD5" w:rsidRPr="00BF3740" w:rsidRDefault="00565FD5" w:rsidP="00AB62A3">
            <w:pPr>
              <w:ind w:firstLineChars="200" w:firstLine="260"/>
              <w:jc w:val="right"/>
              <w:rPr>
                <w:rFonts w:cs="Tahoma"/>
                <w:sz w:val="13"/>
                <w:szCs w:val="13"/>
              </w:rPr>
            </w:pPr>
            <w:r w:rsidRPr="00BF3740">
              <w:rPr>
                <w:rFonts w:cs="Tahoma"/>
                <w:sz w:val="13"/>
                <w:szCs w:val="13"/>
              </w:rPr>
              <w:t>0,0</w:t>
            </w:r>
          </w:p>
        </w:tc>
      </w:tr>
      <w:tr w:rsidR="00565FD5" w:rsidRPr="00BF3740" w:rsidTr="00AB62A3">
        <w:trPr>
          <w:trHeight w:val="227"/>
        </w:trPr>
        <w:tc>
          <w:tcPr>
            <w:tcW w:w="1203" w:type="pct"/>
            <w:tcBorders>
              <w:top w:val="nil"/>
              <w:left w:val="single" w:sz="4" w:space="0" w:color="auto"/>
              <w:bottom w:val="nil"/>
              <w:right w:val="nil"/>
            </w:tcBorders>
            <w:shd w:val="clear" w:color="000000" w:fill="FFFFFF"/>
            <w:noWrap/>
            <w:vAlign w:val="bottom"/>
          </w:tcPr>
          <w:p w:rsidR="00565FD5" w:rsidRPr="00BF3740" w:rsidRDefault="00565FD5" w:rsidP="00AB62A3">
            <w:pPr>
              <w:ind w:firstLine="87"/>
              <w:rPr>
                <w:rFonts w:cs="Tahoma"/>
                <w:b/>
                <w:bCs/>
                <w:sz w:val="14"/>
                <w:szCs w:val="14"/>
              </w:rPr>
            </w:pPr>
            <w:r w:rsidRPr="00BF3740">
              <w:rPr>
                <w:rFonts w:cs="Tahoma"/>
                <w:b/>
                <w:bCs/>
                <w:sz w:val="14"/>
                <w:szCs w:val="14"/>
              </w:rPr>
              <w:t>Dış Borç Stoku</w:t>
            </w:r>
          </w:p>
        </w:tc>
        <w:tc>
          <w:tcPr>
            <w:tcW w:w="566" w:type="pct"/>
            <w:tcBorders>
              <w:top w:val="nil"/>
              <w:left w:val="nil"/>
              <w:bottom w:val="nil"/>
              <w:right w:val="nil"/>
            </w:tcBorders>
            <w:shd w:val="clear" w:color="000000" w:fill="FFFFFF"/>
            <w:noWrap/>
            <w:vAlign w:val="bottom"/>
          </w:tcPr>
          <w:p w:rsidR="00565FD5" w:rsidRPr="00BF3740" w:rsidRDefault="00565FD5" w:rsidP="00AB62A3">
            <w:pPr>
              <w:jc w:val="right"/>
              <w:rPr>
                <w:rFonts w:cs="Tahoma"/>
                <w:b/>
                <w:bCs/>
                <w:sz w:val="13"/>
                <w:szCs w:val="13"/>
              </w:rPr>
            </w:pPr>
            <w:r w:rsidRPr="00BF3740">
              <w:rPr>
                <w:rFonts w:cs="Tahoma"/>
                <w:b/>
                <w:bCs/>
                <w:sz w:val="13"/>
                <w:szCs w:val="13"/>
              </w:rPr>
              <w:t>111 504</w:t>
            </w:r>
          </w:p>
        </w:tc>
        <w:tc>
          <w:tcPr>
            <w:tcW w:w="564" w:type="pct"/>
            <w:gridSpan w:val="2"/>
            <w:tcBorders>
              <w:top w:val="nil"/>
              <w:left w:val="nil"/>
              <w:bottom w:val="nil"/>
              <w:right w:val="nil"/>
            </w:tcBorders>
            <w:shd w:val="clear" w:color="000000" w:fill="FFFFFF"/>
            <w:noWrap/>
            <w:vAlign w:val="bottom"/>
          </w:tcPr>
          <w:p w:rsidR="00565FD5" w:rsidRPr="00BF3740" w:rsidRDefault="00565FD5" w:rsidP="00AB62A3">
            <w:pPr>
              <w:jc w:val="right"/>
              <w:rPr>
                <w:rFonts w:cs="Tahoma"/>
                <w:b/>
                <w:bCs/>
                <w:sz w:val="13"/>
                <w:szCs w:val="13"/>
              </w:rPr>
            </w:pPr>
            <w:r w:rsidRPr="00BF3740">
              <w:rPr>
                <w:rFonts w:cs="Tahoma"/>
                <w:b/>
                <w:bCs/>
                <w:sz w:val="13"/>
                <w:szCs w:val="13"/>
              </w:rPr>
              <w:t>120 720</w:t>
            </w:r>
          </w:p>
        </w:tc>
        <w:tc>
          <w:tcPr>
            <w:tcW w:w="564" w:type="pct"/>
            <w:gridSpan w:val="2"/>
            <w:tcBorders>
              <w:top w:val="nil"/>
              <w:left w:val="nil"/>
              <w:bottom w:val="nil"/>
              <w:right w:val="nil"/>
            </w:tcBorders>
            <w:shd w:val="clear" w:color="000000" w:fill="FFFFFF"/>
            <w:noWrap/>
            <w:vAlign w:val="bottom"/>
          </w:tcPr>
          <w:p w:rsidR="00565FD5" w:rsidRPr="00BF3740" w:rsidRDefault="00565FD5" w:rsidP="00AB62A3">
            <w:pPr>
              <w:ind w:firstLineChars="23" w:firstLine="30"/>
              <w:jc w:val="right"/>
              <w:rPr>
                <w:rFonts w:cs="Tahoma"/>
                <w:b/>
                <w:bCs/>
                <w:sz w:val="13"/>
                <w:szCs w:val="13"/>
              </w:rPr>
            </w:pPr>
            <w:r w:rsidRPr="00BF3740">
              <w:rPr>
                <w:rFonts w:cs="Tahoma"/>
                <w:b/>
                <w:bCs/>
                <w:sz w:val="13"/>
                <w:szCs w:val="13"/>
              </w:rPr>
              <w:t>149 572</w:t>
            </w:r>
          </w:p>
        </w:tc>
        <w:tc>
          <w:tcPr>
            <w:tcW w:w="595"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1"/>
              <w:jc w:val="right"/>
              <w:rPr>
                <w:rFonts w:cs="Tahoma"/>
                <w:b/>
                <w:bCs/>
                <w:sz w:val="13"/>
                <w:szCs w:val="13"/>
              </w:rPr>
            </w:pPr>
            <w:r w:rsidRPr="00BF3740">
              <w:rPr>
                <w:rFonts w:cs="Tahoma"/>
                <w:b/>
                <w:bCs/>
                <w:sz w:val="13"/>
                <w:szCs w:val="13"/>
              </w:rPr>
              <w:t>142 799</w:t>
            </w:r>
          </w:p>
        </w:tc>
        <w:tc>
          <w:tcPr>
            <w:tcW w:w="133" w:type="pct"/>
            <w:gridSpan w:val="3"/>
            <w:tcBorders>
              <w:top w:val="nil"/>
              <w:left w:val="nil"/>
              <w:bottom w:val="nil"/>
              <w:right w:val="nil"/>
            </w:tcBorders>
            <w:shd w:val="clear" w:color="000000" w:fill="FFFFFF"/>
            <w:noWrap/>
            <w:vAlign w:val="bottom"/>
          </w:tcPr>
          <w:p w:rsidR="00565FD5" w:rsidRPr="00BF3740" w:rsidRDefault="00565FD5" w:rsidP="00AB62A3">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565FD5" w:rsidRPr="00BF3740" w:rsidRDefault="00565FD5" w:rsidP="00AB62A3">
            <w:pPr>
              <w:jc w:val="right"/>
              <w:rPr>
                <w:rFonts w:cs="Tahoma"/>
                <w:b/>
                <w:bCs/>
                <w:sz w:val="13"/>
                <w:szCs w:val="13"/>
              </w:rPr>
            </w:pPr>
            <w:r w:rsidRPr="00BF3740">
              <w:rPr>
                <w:rFonts w:cs="Tahoma"/>
                <w:b/>
                <w:bCs/>
                <w:sz w:val="13"/>
                <w:szCs w:val="13"/>
              </w:rPr>
              <w:t>11,7</w:t>
            </w:r>
          </w:p>
        </w:tc>
        <w:tc>
          <w:tcPr>
            <w:tcW w:w="441" w:type="pct"/>
            <w:gridSpan w:val="3"/>
            <w:tcBorders>
              <w:top w:val="nil"/>
              <w:left w:val="nil"/>
              <w:bottom w:val="nil"/>
              <w:right w:val="nil"/>
            </w:tcBorders>
            <w:shd w:val="clear" w:color="000000" w:fill="FFFFFF"/>
            <w:noWrap/>
            <w:vAlign w:val="bottom"/>
          </w:tcPr>
          <w:p w:rsidR="00565FD5" w:rsidRPr="00BF3740" w:rsidRDefault="00565FD5" w:rsidP="00AB62A3">
            <w:pPr>
              <w:jc w:val="right"/>
              <w:rPr>
                <w:rFonts w:cs="Tahoma"/>
                <w:b/>
                <w:bCs/>
                <w:sz w:val="13"/>
                <w:szCs w:val="13"/>
              </w:rPr>
            </w:pPr>
            <w:r w:rsidRPr="00BF3740">
              <w:rPr>
                <w:rFonts w:cs="Tahoma"/>
                <w:b/>
                <w:bCs/>
                <w:sz w:val="13"/>
                <w:szCs w:val="13"/>
              </w:rPr>
              <w:t>11,0</w:t>
            </w:r>
          </w:p>
        </w:tc>
        <w:tc>
          <w:tcPr>
            <w:tcW w:w="495" w:type="pct"/>
            <w:tcBorders>
              <w:top w:val="nil"/>
              <w:left w:val="nil"/>
              <w:bottom w:val="nil"/>
              <w:right w:val="single" w:sz="4" w:space="0" w:color="auto"/>
            </w:tcBorders>
            <w:shd w:val="clear" w:color="000000" w:fill="FFFFFF"/>
            <w:noWrap/>
            <w:vAlign w:val="bottom"/>
          </w:tcPr>
          <w:p w:rsidR="00565FD5" w:rsidRPr="00BF3740" w:rsidRDefault="00565FD5" w:rsidP="00AB62A3">
            <w:pPr>
              <w:jc w:val="right"/>
              <w:rPr>
                <w:rFonts w:cs="Tahoma"/>
                <w:b/>
                <w:bCs/>
                <w:sz w:val="13"/>
                <w:szCs w:val="13"/>
              </w:rPr>
            </w:pPr>
            <w:r w:rsidRPr="00BF3740">
              <w:rPr>
                <w:rFonts w:cs="Tahoma"/>
                <w:b/>
                <w:bCs/>
                <w:sz w:val="13"/>
                <w:szCs w:val="13"/>
              </w:rPr>
              <w:t>11,5</w:t>
            </w:r>
          </w:p>
        </w:tc>
      </w:tr>
      <w:tr w:rsidR="00565FD5" w:rsidRPr="00BF3740" w:rsidTr="00AB62A3">
        <w:trPr>
          <w:trHeight w:val="227"/>
        </w:trPr>
        <w:tc>
          <w:tcPr>
            <w:tcW w:w="1203" w:type="pct"/>
            <w:tcBorders>
              <w:top w:val="nil"/>
              <w:left w:val="single" w:sz="4" w:space="0" w:color="auto"/>
              <w:bottom w:val="nil"/>
              <w:right w:val="nil"/>
            </w:tcBorders>
            <w:shd w:val="clear" w:color="000000" w:fill="FFFFFF"/>
            <w:noWrap/>
            <w:vAlign w:val="bottom"/>
          </w:tcPr>
          <w:p w:rsidR="00565FD5" w:rsidRPr="00BF3740" w:rsidRDefault="00565FD5" w:rsidP="00AB62A3">
            <w:pPr>
              <w:ind w:firstLineChars="100" w:firstLine="140"/>
              <w:rPr>
                <w:rFonts w:cs="Tahoma"/>
                <w:bCs/>
                <w:sz w:val="14"/>
                <w:szCs w:val="14"/>
              </w:rPr>
            </w:pPr>
            <w:r w:rsidRPr="00BF3740">
              <w:rPr>
                <w:rFonts w:cs="Tahoma"/>
                <w:bCs/>
                <w:sz w:val="14"/>
                <w:szCs w:val="14"/>
              </w:rPr>
              <w:t>Kredi</w:t>
            </w:r>
          </w:p>
        </w:tc>
        <w:tc>
          <w:tcPr>
            <w:tcW w:w="566" w:type="pct"/>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bCs/>
                <w:sz w:val="13"/>
                <w:szCs w:val="13"/>
              </w:rPr>
            </w:pPr>
            <w:r w:rsidRPr="00BF3740">
              <w:rPr>
                <w:rFonts w:cs="Tahoma"/>
                <w:bCs/>
                <w:sz w:val="13"/>
                <w:szCs w:val="13"/>
              </w:rPr>
              <w:t>49 921</w:t>
            </w:r>
          </w:p>
        </w:tc>
        <w:tc>
          <w:tcPr>
            <w:tcW w:w="564"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bCs/>
                <w:sz w:val="13"/>
                <w:szCs w:val="13"/>
              </w:rPr>
            </w:pPr>
            <w:r w:rsidRPr="00BF3740">
              <w:rPr>
                <w:rFonts w:cs="Tahoma"/>
                <w:bCs/>
                <w:sz w:val="13"/>
                <w:szCs w:val="13"/>
              </w:rPr>
              <w:t>52 410</w:t>
            </w:r>
          </w:p>
        </w:tc>
        <w:tc>
          <w:tcPr>
            <w:tcW w:w="564"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bCs/>
                <w:sz w:val="13"/>
                <w:szCs w:val="13"/>
              </w:rPr>
            </w:pPr>
            <w:r w:rsidRPr="00BF3740">
              <w:rPr>
                <w:rFonts w:cs="Tahoma"/>
                <w:bCs/>
                <w:sz w:val="13"/>
                <w:szCs w:val="13"/>
              </w:rPr>
              <w:t>61 686</w:t>
            </w:r>
          </w:p>
        </w:tc>
        <w:tc>
          <w:tcPr>
            <w:tcW w:w="595"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bCs/>
                <w:sz w:val="13"/>
                <w:szCs w:val="13"/>
              </w:rPr>
            </w:pPr>
            <w:r w:rsidRPr="00BF3740">
              <w:rPr>
                <w:rFonts w:cs="Tahoma"/>
                <w:bCs/>
                <w:sz w:val="13"/>
                <w:szCs w:val="13"/>
              </w:rPr>
              <w:t xml:space="preserve">55 </w:t>
            </w:r>
            <w:r>
              <w:rPr>
                <w:rFonts w:cs="Tahoma"/>
                <w:bCs/>
                <w:sz w:val="13"/>
                <w:szCs w:val="13"/>
              </w:rPr>
              <w:t>551</w:t>
            </w:r>
          </w:p>
        </w:tc>
        <w:tc>
          <w:tcPr>
            <w:tcW w:w="133" w:type="pct"/>
            <w:gridSpan w:val="3"/>
            <w:tcBorders>
              <w:top w:val="nil"/>
              <w:left w:val="nil"/>
              <w:bottom w:val="nil"/>
              <w:right w:val="nil"/>
            </w:tcBorders>
            <w:shd w:val="clear" w:color="000000" w:fill="FFFFFF"/>
            <w:noWrap/>
            <w:vAlign w:val="bottom"/>
          </w:tcPr>
          <w:p w:rsidR="00565FD5" w:rsidRPr="00BF3740" w:rsidRDefault="00565FD5" w:rsidP="00AB62A3">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565FD5" w:rsidRPr="00BF3740" w:rsidRDefault="00565FD5" w:rsidP="00AB62A3">
            <w:pPr>
              <w:ind w:firstLineChars="200" w:firstLine="260"/>
              <w:jc w:val="right"/>
              <w:rPr>
                <w:rFonts w:cs="Tahoma"/>
                <w:bCs/>
                <w:sz w:val="13"/>
                <w:szCs w:val="13"/>
              </w:rPr>
            </w:pPr>
            <w:r w:rsidRPr="00BF3740">
              <w:rPr>
                <w:rFonts w:cs="Tahoma"/>
                <w:bCs/>
                <w:sz w:val="13"/>
                <w:szCs w:val="13"/>
              </w:rPr>
              <w:t>5,2</w:t>
            </w:r>
          </w:p>
        </w:tc>
        <w:tc>
          <w:tcPr>
            <w:tcW w:w="441" w:type="pct"/>
            <w:gridSpan w:val="3"/>
            <w:tcBorders>
              <w:top w:val="nil"/>
              <w:left w:val="nil"/>
              <w:bottom w:val="nil"/>
              <w:right w:val="nil"/>
            </w:tcBorders>
            <w:shd w:val="clear" w:color="000000" w:fill="FFFFFF"/>
            <w:noWrap/>
            <w:vAlign w:val="bottom"/>
          </w:tcPr>
          <w:p w:rsidR="00565FD5" w:rsidRPr="00BF3740" w:rsidRDefault="00565FD5" w:rsidP="00AB62A3">
            <w:pPr>
              <w:ind w:firstLineChars="200" w:firstLine="260"/>
              <w:jc w:val="right"/>
              <w:rPr>
                <w:rFonts w:cs="Tahoma"/>
                <w:bCs/>
                <w:sz w:val="13"/>
                <w:szCs w:val="13"/>
              </w:rPr>
            </w:pPr>
            <w:r w:rsidRPr="00BF3740">
              <w:rPr>
                <w:rFonts w:cs="Tahoma"/>
                <w:bCs/>
                <w:sz w:val="13"/>
                <w:szCs w:val="13"/>
              </w:rPr>
              <w:t>4,8</w:t>
            </w:r>
          </w:p>
        </w:tc>
        <w:tc>
          <w:tcPr>
            <w:tcW w:w="495" w:type="pct"/>
            <w:tcBorders>
              <w:top w:val="nil"/>
              <w:left w:val="nil"/>
              <w:bottom w:val="nil"/>
              <w:right w:val="single" w:sz="4" w:space="0" w:color="auto"/>
            </w:tcBorders>
            <w:shd w:val="clear" w:color="000000" w:fill="FFFFFF"/>
            <w:noWrap/>
            <w:vAlign w:val="bottom"/>
          </w:tcPr>
          <w:p w:rsidR="00565FD5" w:rsidRPr="00BF3740" w:rsidRDefault="00565FD5" w:rsidP="00AB62A3">
            <w:pPr>
              <w:ind w:firstLineChars="200" w:firstLine="260"/>
              <w:jc w:val="right"/>
              <w:rPr>
                <w:rFonts w:cs="Tahoma"/>
                <w:bCs/>
                <w:sz w:val="13"/>
                <w:szCs w:val="13"/>
              </w:rPr>
            </w:pPr>
            <w:r w:rsidRPr="00BF3740">
              <w:rPr>
                <w:rFonts w:cs="Tahoma"/>
                <w:bCs/>
                <w:sz w:val="13"/>
                <w:szCs w:val="13"/>
              </w:rPr>
              <w:t>4,8</w:t>
            </w:r>
          </w:p>
        </w:tc>
      </w:tr>
      <w:tr w:rsidR="00565FD5" w:rsidRPr="00BF3740" w:rsidTr="00AB62A3">
        <w:trPr>
          <w:trHeight w:val="227"/>
        </w:trPr>
        <w:tc>
          <w:tcPr>
            <w:tcW w:w="1203" w:type="pct"/>
            <w:tcBorders>
              <w:top w:val="nil"/>
              <w:left w:val="single" w:sz="4" w:space="0" w:color="auto"/>
              <w:bottom w:val="nil"/>
              <w:right w:val="nil"/>
            </w:tcBorders>
            <w:shd w:val="clear" w:color="000000" w:fill="FFFFFF"/>
            <w:noWrap/>
            <w:vAlign w:val="bottom"/>
          </w:tcPr>
          <w:p w:rsidR="00565FD5" w:rsidRPr="00BF3740" w:rsidRDefault="00565FD5" w:rsidP="00AB62A3">
            <w:pPr>
              <w:ind w:firstLineChars="143" w:firstLine="200"/>
              <w:rPr>
                <w:rFonts w:cs="Tahoma"/>
                <w:sz w:val="14"/>
                <w:szCs w:val="14"/>
              </w:rPr>
            </w:pPr>
            <w:r w:rsidRPr="00BF3740">
              <w:rPr>
                <w:rFonts w:cs="Tahoma"/>
                <w:sz w:val="14"/>
                <w:szCs w:val="14"/>
              </w:rPr>
              <w:t>Uluslararası Kur.</w:t>
            </w:r>
          </w:p>
        </w:tc>
        <w:tc>
          <w:tcPr>
            <w:tcW w:w="566" w:type="pct"/>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bCs/>
                <w:sz w:val="13"/>
                <w:szCs w:val="13"/>
              </w:rPr>
            </w:pPr>
            <w:r w:rsidRPr="00BF3740">
              <w:rPr>
                <w:rFonts w:cs="Tahoma"/>
                <w:bCs/>
                <w:sz w:val="13"/>
                <w:szCs w:val="13"/>
              </w:rPr>
              <w:t>32 200</w:t>
            </w:r>
          </w:p>
        </w:tc>
        <w:tc>
          <w:tcPr>
            <w:tcW w:w="564"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bCs/>
                <w:sz w:val="13"/>
                <w:szCs w:val="13"/>
              </w:rPr>
            </w:pPr>
            <w:r w:rsidRPr="00BF3740">
              <w:rPr>
                <w:rFonts w:cs="Tahoma"/>
                <w:bCs/>
                <w:sz w:val="13"/>
                <w:szCs w:val="13"/>
              </w:rPr>
              <w:t>32 263</w:t>
            </w:r>
          </w:p>
        </w:tc>
        <w:tc>
          <w:tcPr>
            <w:tcW w:w="564"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bCs/>
                <w:sz w:val="13"/>
                <w:szCs w:val="13"/>
              </w:rPr>
            </w:pPr>
            <w:r w:rsidRPr="00BF3740">
              <w:rPr>
                <w:rFonts w:cs="Tahoma"/>
                <w:bCs/>
                <w:sz w:val="13"/>
                <w:szCs w:val="13"/>
              </w:rPr>
              <w:t>35 527</w:t>
            </w:r>
          </w:p>
        </w:tc>
        <w:tc>
          <w:tcPr>
            <w:tcW w:w="595"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bCs/>
                <w:sz w:val="13"/>
                <w:szCs w:val="13"/>
              </w:rPr>
            </w:pPr>
            <w:r w:rsidRPr="00BF3740">
              <w:rPr>
                <w:rFonts w:cs="Tahoma"/>
                <w:bCs/>
                <w:sz w:val="13"/>
                <w:szCs w:val="13"/>
              </w:rPr>
              <w:t>3</w:t>
            </w:r>
            <w:r>
              <w:rPr>
                <w:rFonts w:cs="Tahoma"/>
                <w:bCs/>
                <w:sz w:val="13"/>
                <w:szCs w:val="13"/>
              </w:rPr>
              <w:t>2</w:t>
            </w:r>
            <w:r w:rsidRPr="00BF3740">
              <w:rPr>
                <w:rFonts w:cs="Tahoma"/>
                <w:bCs/>
                <w:sz w:val="13"/>
                <w:szCs w:val="13"/>
              </w:rPr>
              <w:t xml:space="preserve"> </w:t>
            </w:r>
            <w:r>
              <w:rPr>
                <w:rFonts w:cs="Tahoma"/>
                <w:bCs/>
                <w:sz w:val="13"/>
                <w:szCs w:val="13"/>
              </w:rPr>
              <w:t>007</w:t>
            </w:r>
          </w:p>
        </w:tc>
        <w:tc>
          <w:tcPr>
            <w:tcW w:w="133" w:type="pct"/>
            <w:gridSpan w:val="3"/>
            <w:tcBorders>
              <w:top w:val="nil"/>
              <w:left w:val="nil"/>
              <w:bottom w:val="nil"/>
              <w:right w:val="nil"/>
            </w:tcBorders>
            <w:shd w:val="clear" w:color="000000" w:fill="FFFFFF"/>
            <w:noWrap/>
            <w:vAlign w:val="bottom"/>
          </w:tcPr>
          <w:p w:rsidR="00565FD5" w:rsidRPr="00BF3740" w:rsidRDefault="00565FD5" w:rsidP="00AB62A3">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565FD5" w:rsidRPr="00BF3740" w:rsidRDefault="00565FD5" w:rsidP="00AB62A3">
            <w:pPr>
              <w:ind w:firstLineChars="200" w:firstLine="260"/>
              <w:jc w:val="right"/>
              <w:rPr>
                <w:rFonts w:cs="Tahoma"/>
                <w:bCs/>
                <w:sz w:val="13"/>
                <w:szCs w:val="13"/>
              </w:rPr>
            </w:pPr>
            <w:r w:rsidRPr="00BF3740">
              <w:rPr>
                <w:rFonts w:cs="Tahoma"/>
                <w:bCs/>
                <w:sz w:val="13"/>
                <w:szCs w:val="13"/>
              </w:rPr>
              <w:t>3,4</w:t>
            </w:r>
          </w:p>
        </w:tc>
        <w:tc>
          <w:tcPr>
            <w:tcW w:w="441" w:type="pct"/>
            <w:gridSpan w:val="3"/>
            <w:tcBorders>
              <w:top w:val="nil"/>
              <w:left w:val="nil"/>
              <w:bottom w:val="nil"/>
              <w:right w:val="nil"/>
            </w:tcBorders>
            <w:shd w:val="clear" w:color="000000" w:fill="FFFFFF"/>
            <w:noWrap/>
            <w:vAlign w:val="bottom"/>
          </w:tcPr>
          <w:p w:rsidR="00565FD5" w:rsidRPr="00BF3740" w:rsidRDefault="00565FD5" w:rsidP="00AB62A3">
            <w:pPr>
              <w:ind w:firstLineChars="200" w:firstLine="260"/>
              <w:jc w:val="right"/>
              <w:rPr>
                <w:rFonts w:cs="Tahoma"/>
                <w:bCs/>
                <w:sz w:val="13"/>
                <w:szCs w:val="13"/>
              </w:rPr>
            </w:pPr>
            <w:r w:rsidRPr="00BF3740">
              <w:rPr>
                <w:rFonts w:cs="Tahoma"/>
                <w:bCs/>
                <w:sz w:val="13"/>
                <w:szCs w:val="13"/>
              </w:rPr>
              <w:t>2,9</w:t>
            </w:r>
          </w:p>
        </w:tc>
        <w:tc>
          <w:tcPr>
            <w:tcW w:w="495" w:type="pct"/>
            <w:tcBorders>
              <w:top w:val="nil"/>
              <w:left w:val="nil"/>
              <w:bottom w:val="nil"/>
              <w:right w:val="single" w:sz="4" w:space="0" w:color="auto"/>
            </w:tcBorders>
            <w:shd w:val="clear" w:color="000000" w:fill="FFFFFF"/>
            <w:noWrap/>
            <w:vAlign w:val="bottom"/>
          </w:tcPr>
          <w:p w:rsidR="00565FD5" w:rsidRPr="00BF3740" w:rsidRDefault="00565FD5" w:rsidP="00AB62A3">
            <w:pPr>
              <w:ind w:firstLineChars="200" w:firstLine="260"/>
              <w:jc w:val="right"/>
              <w:rPr>
                <w:rFonts w:cs="Tahoma"/>
                <w:bCs/>
                <w:sz w:val="13"/>
                <w:szCs w:val="13"/>
              </w:rPr>
            </w:pPr>
            <w:r w:rsidRPr="00BF3740">
              <w:rPr>
                <w:rFonts w:cs="Tahoma"/>
                <w:bCs/>
                <w:sz w:val="13"/>
                <w:szCs w:val="13"/>
              </w:rPr>
              <w:t>2,7</w:t>
            </w:r>
          </w:p>
        </w:tc>
      </w:tr>
      <w:tr w:rsidR="00565FD5" w:rsidRPr="00BF3740" w:rsidTr="00AB62A3">
        <w:trPr>
          <w:trHeight w:val="227"/>
        </w:trPr>
        <w:tc>
          <w:tcPr>
            <w:tcW w:w="1203" w:type="pct"/>
            <w:tcBorders>
              <w:top w:val="nil"/>
              <w:left w:val="single" w:sz="4" w:space="0" w:color="auto"/>
              <w:bottom w:val="nil"/>
              <w:right w:val="nil"/>
            </w:tcBorders>
            <w:shd w:val="clear" w:color="000000" w:fill="FFFFFF"/>
            <w:noWrap/>
            <w:vAlign w:val="bottom"/>
          </w:tcPr>
          <w:p w:rsidR="00565FD5" w:rsidRPr="00BF3740" w:rsidRDefault="00565FD5" w:rsidP="00AB62A3">
            <w:pPr>
              <w:ind w:firstLineChars="143" w:firstLine="200"/>
              <w:rPr>
                <w:rFonts w:cs="Tahoma"/>
                <w:sz w:val="14"/>
                <w:szCs w:val="14"/>
              </w:rPr>
            </w:pPr>
            <w:r w:rsidRPr="00BF3740">
              <w:rPr>
                <w:rFonts w:cs="Tahoma"/>
                <w:sz w:val="14"/>
                <w:szCs w:val="14"/>
              </w:rPr>
              <w:t>Hükümet Kuruluşları</w:t>
            </w:r>
          </w:p>
        </w:tc>
        <w:tc>
          <w:tcPr>
            <w:tcW w:w="566" w:type="pct"/>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bCs/>
                <w:sz w:val="13"/>
                <w:szCs w:val="13"/>
              </w:rPr>
            </w:pPr>
            <w:r w:rsidRPr="00BF3740">
              <w:rPr>
                <w:rFonts w:cs="Tahoma"/>
                <w:bCs/>
                <w:sz w:val="13"/>
                <w:szCs w:val="13"/>
              </w:rPr>
              <w:t>8 517</w:t>
            </w:r>
          </w:p>
        </w:tc>
        <w:tc>
          <w:tcPr>
            <w:tcW w:w="564"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bCs/>
                <w:sz w:val="13"/>
                <w:szCs w:val="13"/>
              </w:rPr>
            </w:pPr>
            <w:r w:rsidRPr="00BF3740">
              <w:rPr>
                <w:rFonts w:cs="Tahoma"/>
                <w:bCs/>
                <w:sz w:val="13"/>
                <w:szCs w:val="13"/>
              </w:rPr>
              <w:t>9 751</w:t>
            </w:r>
          </w:p>
        </w:tc>
        <w:tc>
          <w:tcPr>
            <w:tcW w:w="564"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bCs/>
                <w:sz w:val="13"/>
                <w:szCs w:val="13"/>
              </w:rPr>
            </w:pPr>
            <w:r w:rsidRPr="00BF3740">
              <w:rPr>
                <w:rFonts w:cs="Tahoma"/>
                <w:bCs/>
                <w:sz w:val="13"/>
                <w:szCs w:val="13"/>
              </w:rPr>
              <w:t>12 296</w:t>
            </w:r>
          </w:p>
        </w:tc>
        <w:tc>
          <w:tcPr>
            <w:tcW w:w="595" w:type="pct"/>
            <w:gridSpan w:val="2"/>
            <w:tcBorders>
              <w:top w:val="nil"/>
              <w:left w:val="nil"/>
              <w:bottom w:val="nil"/>
              <w:right w:val="nil"/>
            </w:tcBorders>
            <w:shd w:val="clear" w:color="000000" w:fill="FFFFFF"/>
            <w:noWrap/>
            <w:vAlign w:val="bottom"/>
          </w:tcPr>
          <w:p w:rsidR="00565FD5" w:rsidRPr="00BF3740" w:rsidRDefault="00565FD5" w:rsidP="00AB62A3">
            <w:pPr>
              <w:ind w:firstLineChars="100" w:firstLine="130"/>
              <w:jc w:val="right"/>
              <w:rPr>
                <w:rFonts w:cs="Tahoma"/>
                <w:bCs/>
                <w:sz w:val="13"/>
                <w:szCs w:val="13"/>
              </w:rPr>
            </w:pPr>
            <w:r w:rsidRPr="00BF3740">
              <w:rPr>
                <w:rFonts w:cs="Tahoma"/>
                <w:bCs/>
                <w:sz w:val="13"/>
                <w:szCs w:val="13"/>
              </w:rPr>
              <w:t xml:space="preserve">11 </w:t>
            </w:r>
            <w:r>
              <w:rPr>
                <w:rFonts w:cs="Tahoma"/>
                <w:bCs/>
                <w:sz w:val="13"/>
                <w:szCs w:val="13"/>
              </w:rPr>
              <w:t>271</w:t>
            </w:r>
          </w:p>
        </w:tc>
        <w:tc>
          <w:tcPr>
            <w:tcW w:w="133" w:type="pct"/>
            <w:gridSpan w:val="3"/>
            <w:tcBorders>
              <w:top w:val="nil"/>
              <w:left w:val="nil"/>
              <w:bottom w:val="nil"/>
              <w:right w:val="nil"/>
            </w:tcBorders>
            <w:shd w:val="clear" w:color="000000" w:fill="FFFFFF"/>
            <w:noWrap/>
            <w:vAlign w:val="bottom"/>
          </w:tcPr>
          <w:p w:rsidR="00565FD5" w:rsidRPr="00BF3740" w:rsidRDefault="00565FD5" w:rsidP="00AB62A3">
            <w:pPr>
              <w:jc w:val="right"/>
              <w:rPr>
                <w:rFonts w:cs="Tahoma"/>
                <w:b/>
                <w:bCs/>
                <w:sz w:val="13"/>
                <w:szCs w:val="13"/>
                <w:lang w:eastAsia="tr-TR"/>
              </w:rPr>
            </w:pPr>
          </w:p>
        </w:tc>
        <w:tc>
          <w:tcPr>
            <w:tcW w:w="439" w:type="pct"/>
            <w:tcBorders>
              <w:top w:val="nil"/>
              <w:left w:val="nil"/>
              <w:bottom w:val="nil"/>
              <w:right w:val="nil"/>
            </w:tcBorders>
            <w:shd w:val="clear" w:color="000000" w:fill="FFFFFF"/>
            <w:noWrap/>
            <w:vAlign w:val="bottom"/>
          </w:tcPr>
          <w:p w:rsidR="00565FD5" w:rsidRPr="00BF3740" w:rsidRDefault="00565FD5" w:rsidP="00AB62A3">
            <w:pPr>
              <w:ind w:firstLineChars="200" w:firstLine="260"/>
              <w:jc w:val="right"/>
              <w:rPr>
                <w:rFonts w:cs="Tahoma"/>
                <w:bCs/>
                <w:sz w:val="13"/>
                <w:szCs w:val="13"/>
              </w:rPr>
            </w:pPr>
            <w:r w:rsidRPr="00BF3740">
              <w:rPr>
                <w:rFonts w:cs="Tahoma"/>
                <w:bCs/>
                <w:sz w:val="13"/>
                <w:szCs w:val="13"/>
              </w:rPr>
              <w:t>0,9</w:t>
            </w:r>
          </w:p>
        </w:tc>
        <w:tc>
          <w:tcPr>
            <w:tcW w:w="441" w:type="pct"/>
            <w:gridSpan w:val="3"/>
            <w:tcBorders>
              <w:top w:val="nil"/>
              <w:left w:val="nil"/>
              <w:bottom w:val="nil"/>
              <w:right w:val="nil"/>
            </w:tcBorders>
            <w:shd w:val="clear" w:color="000000" w:fill="FFFFFF"/>
            <w:noWrap/>
            <w:vAlign w:val="bottom"/>
          </w:tcPr>
          <w:p w:rsidR="00565FD5" w:rsidRPr="00BF3740" w:rsidRDefault="00565FD5" w:rsidP="00AB62A3">
            <w:pPr>
              <w:ind w:firstLineChars="200" w:firstLine="260"/>
              <w:jc w:val="right"/>
              <w:rPr>
                <w:rFonts w:cs="Tahoma"/>
                <w:bCs/>
                <w:sz w:val="13"/>
                <w:szCs w:val="13"/>
              </w:rPr>
            </w:pPr>
            <w:r w:rsidRPr="00BF3740">
              <w:rPr>
                <w:rFonts w:cs="Tahoma"/>
                <w:bCs/>
                <w:sz w:val="13"/>
                <w:szCs w:val="13"/>
              </w:rPr>
              <w:t>0,9</w:t>
            </w:r>
          </w:p>
        </w:tc>
        <w:tc>
          <w:tcPr>
            <w:tcW w:w="495" w:type="pct"/>
            <w:tcBorders>
              <w:top w:val="nil"/>
              <w:left w:val="nil"/>
              <w:bottom w:val="nil"/>
              <w:right w:val="single" w:sz="4" w:space="0" w:color="auto"/>
            </w:tcBorders>
            <w:shd w:val="clear" w:color="000000" w:fill="FFFFFF"/>
            <w:noWrap/>
            <w:vAlign w:val="bottom"/>
          </w:tcPr>
          <w:p w:rsidR="00565FD5" w:rsidRPr="00BF3740" w:rsidRDefault="00565FD5" w:rsidP="00AB62A3">
            <w:pPr>
              <w:ind w:firstLineChars="200" w:firstLine="260"/>
              <w:jc w:val="right"/>
              <w:rPr>
                <w:rFonts w:cs="Tahoma"/>
                <w:bCs/>
                <w:sz w:val="13"/>
                <w:szCs w:val="13"/>
              </w:rPr>
            </w:pPr>
            <w:r w:rsidRPr="00BF3740">
              <w:rPr>
                <w:rFonts w:cs="Tahoma"/>
                <w:bCs/>
                <w:sz w:val="13"/>
                <w:szCs w:val="13"/>
              </w:rPr>
              <w:t>0,9</w:t>
            </w:r>
          </w:p>
        </w:tc>
      </w:tr>
      <w:tr w:rsidR="00565FD5" w:rsidRPr="00BF3740" w:rsidTr="00AB62A3">
        <w:trPr>
          <w:trHeight w:val="227"/>
        </w:trPr>
        <w:tc>
          <w:tcPr>
            <w:tcW w:w="1203" w:type="pct"/>
            <w:tcBorders>
              <w:top w:val="nil"/>
              <w:left w:val="single" w:sz="4" w:space="0" w:color="auto"/>
              <w:right w:val="nil"/>
            </w:tcBorders>
            <w:shd w:val="clear" w:color="000000" w:fill="FFFFFF"/>
            <w:noWrap/>
            <w:vAlign w:val="bottom"/>
          </w:tcPr>
          <w:p w:rsidR="00565FD5" w:rsidRPr="00BF3740" w:rsidRDefault="00565FD5" w:rsidP="00AB62A3">
            <w:pPr>
              <w:ind w:firstLineChars="143" w:firstLine="200"/>
              <w:rPr>
                <w:rFonts w:cs="Tahoma"/>
                <w:sz w:val="14"/>
                <w:szCs w:val="14"/>
              </w:rPr>
            </w:pPr>
            <w:r w:rsidRPr="00BF3740">
              <w:rPr>
                <w:rFonts w:cs="Tahoma"/>
                <w:sz w:val="14"/>
                <w:szCs w:val="14"/>
              </w:rPr>
              <w:t>Diğer</w:t>
            </w:r>
          </w:p>
        </w:tc>
        <w:tc>
          <w:tcPr>
            <w:tcW w:w="566" w:type="pct"/>
            <w:tcBorders>
              <w:top w:val="nil"/>
              <w:left w:val="nil"/>
              <w:right w:val="nil"/>
            </w:tcBorders>
            <w:shd w:val="clear" w:color="000000" w:fill="FFFFFF"/>
            <w:noWrap/>
            <w:vAlign w:val="bottom"/>
          </w:tcPr>
          <w:p w:rsidR="00565FD5" w:rsidRPr="00BF3740" w:rsidRDefault="00565FD5" w:rsidP="00AB62A3">
            <w:pPr>
              <w:ind w:firstLineChars="100" w:firstLine="130"/>
              <w:jc w:val="right"/>
              <w:rPr>
                <w:rFonts w:cs="Tahoma"/>
                <w:bCs/>
                <w:sz w:val="13"/>
                <w:szCs w:val="13"/>
              </w:rPr>
            </w:pPr>
            <w:r w:rsidRPr="00BF3740">
              <w:rPr>
                <w:rFonts w:cs="Tahoma"/>
                <w:bCs/>
                <w:sz w:val="13"/>
                <w:szCs w:val="13"/>
              </w:rPr>
              <w:t>9 204</w:t>
            </w:r>
          </w:p>
        </w:tc>
        <w:tc>
          <w:tcPr>
            <w:tcW w:w="564" w:type="pct"/>
            <w:gridSpan w:val="2"/>
            <w:tcBorders>
              <w:top w:val="nil"/>
              <w:left w:val="nil"/>
              <w:right w:val="nil"/>
            </w:tcBorders>
            <w:shd w:val="clear" w:color="000000" w:fill="FFFFFF"/>
            <w:noWrap/>
            <w:vAlign w:val="bottom"/>
          </w:tcPr>
          <w:p w:rsidR="00565FD5" w:rsidRPr="00BF3740" w:rsidRDefault="00565FD5" w:rsidP="00AB62A3">
            <w:pPr>
              <w:ind w:firstLineChars="100" w:firstLine="130"/>
              <w:jc w:val="right"/>
              <w:rPr>
                <w:rFonts w:cs="Tahoma"/>
                <w:bCs/>
                <w:sz w:val="13"/>
                <w:szCs w:val="13"/>
              </w:rPr>
            </w:pPr>
            <w:r w:rsidRPr="00BF3740">
              <w:rPr>
                <w:rFonts w:cs="Tahoma"/>
                <w:bCs/>
                <w:sz w:val="13"/>
                <w:szCs w:val="13"/>
              </w:rPr>
              <w:t>10 397</w:t>
            </w:r>
          </w:p>
        </w:tc>
        <w:tc>
          <w:tcPr>
            <w:tcW w:w="564" w:type="pct"/>
            <w:gridSpan w:val="2"/>
            <w:tcBorders>
              <w:top w:val="nil"/>
              <w:left w:val="nil"/>
              <w:right w:val="nil"/>
            </w:tcBorders>
            <w:shd w:val="clear" w:color="000000" w:fill="FFFFFF"/>
            <w:noWrap/>
            <w:vAlign w:val="bottom"/>
          </w:tcPr>
          <w:p w:rsidR="00565FD5" w:rsidRPr="00BF3740" w:rsidRDefault="00565FD5" w:rsidP="00AB62A3">
            <w:pPr>
              <w:ind w:firstLineChars="100" w:firstLine="130"/>
              <w:jc w:val="right"/>
              <w:rPr>
                <w:rFonts w:cs="Tahoma"/>
                <w:bCs/>
                <w:sz w:val="13"/>
                <w:szCs w:val="13"/>
              </w:rPr>
            </w:pPr>
            <w:r w:rsidRPr="00BF3740">
              <w:rPr>
                <w:rFonts w:cs="Tahoma"/>
                <w:bCs/>
                <w:sz w:val="13"/>
                <w:szCs w:val="13"/>
              </w:rPr>
              <w:t>13 863</w:t>
            </w:r>
          </w:p>
        </w:tc>
        <w:tc>
          <w:tcPr>
            <w:tcW w:w="595" w:type="pct"/>
            <w:gridSpan w:val="2"/>
            <w:tcBorders>
              <w:top w:val="nil"/>
              <w:left w:val="nil"/>
              <w:right w:val="nil"/>
            </w:tcBorders>
            <w:shd w:val="clear" w:color="000000" w:fill="FFFFFF"/>
            <w:noWrap/>
            <w:vAlign w:val="bottom"/>
          </w:tcPr>
          <w:p w:rsidR="00565FD5" w:rsidRPr="00BF3740" w:rsidRDefault="00565FD5" w:rsidP="00AB62A3">
            <w:pPr>
              <w:ind w:firstLineChars="100" w:firstLine="130"/>
              <w:jc w:val="right"/>
              <w:rPr>
                <w:rFonts w:cs="Tahoma"/>
                <w:bCs/>
                <w:sz w:val="13"/>
                <w:szCs w:val="13"/>
              </w:rPr>
            </w:pPr>
            <w:r w:rsidRPr="00BF3740">
              <w:rPr>
                <w:rFonts w:cs="Tahoma"/>
                <w:bCs/>
                <w:sz w:val="13"/>
                <w:szCs w:val="13"/>
              </w:rPr>
              <w:t xml:space="preserve">12 </w:t>
            </w:r>
            <w:r>
              <w:rPr>
                <w:rFonts w:cs="Tahoma"/>
                <w:bCs/>
                <w:sz w:val="13"/>
                <w:szCs w:val="13"/>
              </w:rPr>
              <w:t>273</w:t>
            </w:r>
          </w:p>
        </w:tc>
        <w:tc>
          <w:tcPr>
            <w:tcW w:w="133" w:type="pct"/>
            <w:gridSpan w:val="3"/>
            <w:tcBorders>
              <w:top w:val="nil"/>
              <w:left w:val="nil"/>
              <w:right w:val="nil"/>
            </w:tcBorders>
            <w:shd w:val="clear" w:color="000000" w:fill="FFFFFF"/>
            <w:noWrap/>
            <w:vAlign w:val="bottom"/>
          </w:tcPr>
          <w:p w:rsidR="00565FD5" w:rsidRPr="00BF3740" w:rsidRDefault="00565FD5" w:rsidP="00AB62A3">
            <w:pPr>
              <w:jc w:val="right"/>
              <w:rPr>
                <w:rFonts w:cs="Tahoma"/>
                <w:b/>
                <w:bCs/>
                <w:sz w:val="13"/>
                <w:szCs w:val="13"/>
                <w:lang w:eastAsia="tr-TR"/>
              </w:rPr>
            </w:pPr>
          </w:p>
        </w:tc>
        <w:tc>
          <w:tcPr>
            <w:tcW w:w="439" w:type="pct"/>
            <w:tcBorders>
              <w:top w:val="nil"/>
              <w:left w:val="nil"/>
              <w:right w:val="nil"/>
            </w:tcBorders>
            <w:shd w:val="clear" w:color="000000" w:fill="FFFFFF"/>
            <w:noWrap/>
            <w:vAlign w:val="bottom"/>
          </w:tcPr>
          <w:p w:rsidR="00565FD5" w:rsidRPr="00BF3740" w:rsidRDefault="00565FD5" w:rsidP="00AB62A3">
            <w:pPr>
              <w:ind w:firstLineChars="200" w:firstLine="260"/>
              <w:jc w:val="right"/>
              <w:rPr>
                <w:rFonts w:cs="Tahoma"/>
                <w:bCs/>
                <w:sz w:val="13"/>
                <w:szCs w:val="13"/>
              </w:rPr>
            </w:pPr>
            <w:r w:rsidRPr="00BF3740">
              <w:rPr>
                <w:rFonts w:cs="Tahoma"/>
                <w:bCs/>
                <w:sz w:val="13"/>
                <w:szCs w:val="13"/>
              </w:rPr>
              <w:t>1,0</w:t>
            </w:r>
          </w:p>
        </w:tc>
        <w:tc>
          <w:tcPr>
            <w:tcW w:w="441" w:type="pct"/>
            <w:gridSpan w:val="3"/>
            <w:tcBorders>
              <w:top w:val="nil"/>
              <w:left w:val="nil"/>
              <w:right w:val="nil"/>
            </w:tcBorders>
            <w:shd w:val="clear" w:color="000000" w:fill="FFFFFF"/>
            <w:noWrap/>
            <w:vAlign w:val="bottom"/>
          </w:tcPr>
          <w:p w:rsidR="00565FD5" w:rsidRPr="00BF3740" w:rsidRDefault="00565FD5" w:rsidP="00AB62A3">
            <w:pPr>
              <w:ind w:firstLineChars="200" w:firstLine="260"/>
              <w:jc w:val="right"/>
              <w:rPr>
                <w:rFonts w:cs="Tahoma"/>
                <w:bCs/>
                <w:sz w:val="13"/>
                <w:szCs w:val="13"/>
              </w:rPr>
            </w:pPr>
            <w:r w:rsidRPr="00BF3740">
              <w:rPr>
                <w:rFonts w:cs="Tahoma"/>
                <w:bCs/>
                <w:sz w:val="13"/>
                <w:szCs w:val="13"/>
              </w:rPr>
              <w:t>0,9</w:t>
            </w:r>
          </w:p>
        </w:tc>
        <w:tc>
          <w:tcPr>
            <w:tcW w:w="495" w:type="pct"/>
            <w:tcBorders>
              <w:top w:val="nil"/>
              <w:left w:val="nil"/>
              <w:right w:val="single" w:sz="4" w:space="0" w:color="auto"/>
            </w:tcBorders>
            <w:shd w:val="clear" w:color="000000" w:fill="FFFFFF"/>
            <w:noWrap/>
            <w:vAlign w:val="bottom"/>
          </w:tcPr>
          <w:p w:rsidR="00565FD5" w:rsidRPr="00BF3740" w:rsidRDefault="00565FD5" w:rsidP="00AB62A3">
            <w:pPr>
              <w:ind w:firstLineChars="200" w:firstLine="260"/>
              <w:jc w:val="right"/>
              <w:rPr>
                <w:rFonts w:cs="Tahoma"/>
                <w:bCs/>
                <w:sz w:val="13"/>
                <w:szCs w:val="13"/>
              </w:rPr>
            </w:pPr>
            <w:r w:rsidRPr="00BF3740">
              <w:rPr>
                <w:rFonts w:cs="Tahoma"/>
                <w:bCs/>
                <w:sz w:val="13"/>
                <w:szCs w:val="13"/>
              </w:rPr>
              <w:t>1,1</w:t>
            </w:r>
          </w:p>
        </w:tc>
      </w:tr>
      <w:tr w:rsidR="00565FD5" w:rsidRPr="00BF3740" w:rsidTr="00AB62A3">
        <w:trPr>
          <w:trHeight w:val="227"/>
        </w:trPr>
        <w:tc>
          <w:tcPr>
            <w:tcW w:w="1203" w:type="pct"/>
            <w:tcBorders>
              <w:top w:val="nil"/>
              <w:left w:val="single" w:sz="4" w:space="0" w:color="auto"/>
              <w:bottom w:val="single" w:sz="4" w:space="0" w:color="auto"/>
              <w:right w:val="nil"/>
            </w:tcBorders>
            <w:shd w:val="clear" w:color="000000" w:fill="FFFFFF"/>
            <w:noWrap/>
            <w:vAlign w:val="bottom"/>
          </w:tcPr>
          <w:p w:rsidR="00565FD5" w:rsidRPr="00BF3740" w:rsidRDefault="00565FD5" w:rsidP="00AB62A3">
            <w:pPr>
              <w:ind w:firstLineChars="100" w:firstLine="140"/>
              <w:rPr>
                <w:rFonts w:cs="Tahoma"/>
                <w:bCs/>
                <w:sz w:val="14"/>
                <w:szCs w:val="14"/>
              </w:rPr>
            </w:pPr>
            <w:r w:rsidRPr="00BF3740">
              <w:rPr>
                <w:rFonts w:cs="Tahoma"/>
                <w:bCs/>
                <w:sz w:val="14"/>
                <w:szCs w:val="14"/>
              </w:rPr>
              <w:t>Tahvil</w:t>
            </w:r>
          </w:p>
        </w:tc>
        <w:tc>
          <w:tcPr>
            <w:tcW w:w="566" w:type="pct"/>
            <w:tcBorders>
              <w:top w:val="nil"/>
              <w:left w:val="nil"/>
              <w:bottom w:val="single" w:sz="4" w:space="0" w:color="auto"/>
              <w:right w:val="nil"/>
            </w:tcBorders>
            <w:shd w:val="clear" w:color="000000" w:fill="FFFFFF"/>
            <w:noWrap/>
            <w:vAlign w:val="bottom"/>
          </w:tcPr>
          <w:p w:rsidR="00565FD5" w:rsidRPr="00BF3740" w:rsidRDefault="00565FD5" w:rsidP="00AB62A3">
            <w:pPr>
              <w:ind w:firstLineChars="100" w:firstLine="130"/>
              <w:jc w:val="right"/>
              <w:rPr>
                <w:rFonts w:cs="Tahoma"/>
                <w:bCs/>
                <w:sz w:val="13"/>
                <w:szCs w:val="13"/>
              </w:rPr>
            </w:pPr>
            <w:r w:rsidRPr="00BF3740">
              <w:rPr>
                <w:rFonts w:cs="Tahoma"/>
                <w:bCs/>
                <w:sz w:val="13"/>
                <w:szCs w:val="13"/>
              </w:rPr>
              <w:t>61 582</w:t>
            </w:r>
          </w:p>
        </w:tc>
        <w:tc>
          <w:tcPr>
            <w:tcW w:w="564" w:type="pct"/>
            <w:gridSpan w:val="2"/>
            <w:tcBorders>
              <w:top w:val="nil"/>
              <w:left w:val="nil"/>
              <w:bottom w:val="single" w:sz="4" w:space="0" w:color="auto"/>
              <w:right w:val="nil"/>
            </w:tcBorders>
            <w:shd w:val="clear" w:color="000000" w:fill="FFFFFF"/>
            <w:noWrap/>
            <w:vAlign w:val="bottom"/>
          </w:tcPr>
          <w:p w:rsidR="00565FD5" w:rsidRPr="00BF3740" w:rsidRDefault="00565FD5" w:rsidP="00AB62A3">
            <w:pPr>
              <w:ind w:firstLineChars="100" w:firstLine="130"/>
              <w:jc w:val="right"/>
              <w:rPr>
                <w:rFonts w:cs="Tahoma"/>
                <w:bCs/>
                <w:sz w:val="13"/>
                <w:szCs w:val="13"/>
              </w:rPr>
            </w:pPr>
            <w:r w:rsidRPr="00BF3740">
              <w:rPr>
                <w:rFonts w:cs="Tahoma"/>
                <w:bCs/>
                <w:sz w:val="13"/>
                <w:szCs w:val="13"/>
              </w:rPr>
              <w:t>68 309</w:t>
            </w:r>
          </w:p>
        </w:tc>
        <w:tc>
          <w:tcPr>
            <w:tcW w:w="564" w:type="pct"/>
            <w:gridSpan w:val="2"/>
            <w:tcBorders>
              <w:top w:val="nil"/>
              <w:left w:val="nil"/>
              <w:bottom w:val="single" w:sz="4" w:space="0" w:color="auto"/>
              <w:right w:val="nil"/>
            </w:tcBorders>
            <w:shd w:val="clear" w:color="000000" w:fill="FFFFFF"/>
            <w:noWrap/>
            <w:vAlign w:val="bottom"/>
          </w:tcPr>
          <w:p w:rsidR="00565FD5" w:rsidRPr="00BF3740" w:rsidRDefault="00565FD5" w:rsidP="00AB62A3">
            <w:pPr>
              <w:ind w:firstLineChars="100" w:firstLine="130"/>
              <w:jc w:val="right"/>
              <w:rPr>
                <w:rFonts w:cs="Tahoma"/>
                <w:bCs/>
                <w:sz w:val="13"/>
                <w:szCs w:val="13"/>
              </w:rPr>
            </w:pPr>
            <w:r w:rsidRPr="00BF3740">
              <w:rPr>
                <w:rFonts w:cs="Tahoma"/>
                <w:bCs/>
                <w:sz w:val="13"/>
                <w:szCs w:val="13"/>
              </w:rPr>
              <w:t>87 885</w:t>
            </w:r>
          </w:p>
        </w:tc>
        <w:tc>
          <w:tcPr>
            <w:tcW w:w="595" w:type="pct"/>
            <w:gridSpan w:val="2"/>
            <w:tcBorders>
              <w:top w:val="nil"/>
              <w:left w:val="nil"/>
              <w:bottom w:val="single" w:sz="4" w:space="0" w:color="auto"/>
              <w:right w:val="nil"/>
            </w:tcBorders>
            <w:shd w:val="clear" w:color="000000" w:fill="FFFFFF"/>
            <w:noWrap/>
            <w:vAlign w:val="bottom"/>
          </w:tcPr>
          <w:p w:rsidR="00565FD5" w:rsidRPr="00BF3740" w:rsidRDefault="00565FD5" w:rsidP="00AB62A3">
            <w:pPr>
              <w:ind w:firstLineChars="100" w:firstLine="130"/>
              <w:jc w:val="right"/>
              <w:rPr>
                <w:rFonts w:cs="Tahoma"/>
                <w:bCs/>
                <w:sz w:val="13"/>
                <w:szCs w:val="13"/>
              </w:rPr>
            </w:pPr>
            <w:r w:rsidRPr="00BF3740">
              <w:rPr>
                <w:rFonts w:cs="Tahoma"/>
                <w:bCs/>
                <w:sz w:val="13"/>
                <w:szCs w:val="13"/>
              </w:rPr>
              <w:t xml:space="preserve">87 </w:t>
            </w:r>
            <w:r>
              <w:rPr>
                <w:rFonts w:cs="Tahoma"/>
                <w:bCs/>
                <w:sz w:val="13"/>
                <w:szCs w:val="13"/>
              </w:rPr>
              <w:t>248</w:t>
            </w:r>
          </w:p>
        </w:tc>
        <w:tc>
          <w:tcPr>
            <w:tcW w:w="133" w:type="pct"/>
            <w:gridSpan w:val="3"/>
            <w:tcBorders>
              <w:top w:val="nil"/>
              <w:left w:val="nil"/>
              <w:bottom w:val="single" w:sz="4" w:space="0" w:color="auto"/>
              <w:right w:val="nil"/>
            </w:tcBorders>
            <w:shd w:val="clear" w:color="000000" w:fill="FFFFFF"/>
            <w:noWrap/>
            <w:vAlign w:val="bottom"/>
          </w:tcPr>
          <w:p w:rsidR="00565FD5" w:rsidRPr="00BF3740" w:rsidRDefault="00565FD5" w:rsidP="00AB62A3">
            <w:pPr>
              <w:jc w:val="right"/>
              <w:rPr>
                <w:rFonts w:cs="Tahoma"/>
                <w:b/>
                <w:bCs/>
                <w:sz w:val="13"/>
                <w:szCs w:val="13"/>
                <w:lang w:eastAsia="tr-TR"/>
              </w:rPr>
            </w:pPr>
          </w:p>
        </w:tc>
        <w:tc>
          <w:tcPr>
            <w:tcW w:w="439" w:type="pct"/>
            <w:tcBorders>
              <w:top w:val="nil"/>
              <w:left w:val="nil"/>
              <w:bottom w:val="single" w:sz="4" w:space="0" w:color="auto"/>
              <w:right w:val="nil"/>
            </w:tcBorders>
            <w:shd w:val="clear" w:color="000000" w:fill="FFFFFF"/>
            <w:noWrap/>
            <w:vAlign w:val="bottom"/>
          </w:tcPr>
          <w:p w:rsidR="00565FD5" w:rsidRPr="00BF3740" w:rsidRDefault="00565FD5" w:rsidP="00AB62A3">
            <w:pPr>
              <w:ind w:firstLineChars="200" w:firstLine="260"/>
              <w:jc w:val="right"/>
              <w:rPr>
                <w:rFonts w:cs="Tahoma"/>
                <w:bCs/>
                <w:sz w:val="13"/>
                <w:szCs w:val="13"/>
              </w:rPr>
            </w:pPr>
            <w:r w:rsidRPr="00BF3740">
              <w:rPr>
                <w:rFonts w:cs="Tahoma"/>
                <w:bCs/>
                <w:sz w:val="13"/>
                <w:szCs w:val="13"/>
              </w:rPr>
              <w:t>6,5</w:t>
            </w:r>
          </w:p>
        </w:tc>
        <w:tc>
          <w:tcPr>
            <w:tcW w:w="441" w:type="pct"/>
            <w:gridSpan w:val="3"/>
            <w:tcBorders>
              <w:top w:val="nil"/>
              <w:left w:val="nil"/>
              <w:bottom w:val="single" w:sz="4" w:space="0" w:color="auto"/>
              <w:right w:val="nil"/>
            </w:tcBorders>
            <w:shd w:val="clear" w:color="000000" w:fill="FFFFFF"/>
            <w:noWrap/>
            <w:vAlign w:val="bottom"/>
          </w:tcPr>
          <w:p w:rsidR="00565FD5" w:rsidRPr="00BF3740" w:rsidRDefault="00565FD5" w:rsidP="00AB62A3">
            <w:pPr>
              <w:ind w:firstLineChars="200" w:firstLine="260"/>
              <w:jc w:val="right"/>
              <w:rPr>
                <w:rFonts w:cs="Tahoma"/>
                <w:bCs/>
                <w:sz w:val="13"/>
                <w:szCs w:val="13"/>
              </w:rPr>
            </w:pPr>
            <w:r w:rsidRPr="00BF3740">
              <w:rPr>
                <w:rFonts w:cs="Tahoma"/>
                <w:bCs/>
                <w:sz w:val="13"/>
                <w:szCs w:val="13"/>
              </w:rPr>
              <w:t>6,2</w:t>
            </w:r>
          </w:p>
        </w:tc>
        <w:tc>
          <w:tcPr>
            <w:tcW w:w="495" w:type="pct"/>
            <w:tcBorders>
              <w:top w:val="nil"/>
              <w:left w:val="nil"/>
              <w:bottom w:val="single" w:sz="4" w:space="0" w:color="auto"/>
              <w:right w:val="single" w:sz="4" w:space="0" w:color="auto"/>
            </w:tcBorders>
            <w:shd w:val="clear" w:color="000000" w:fill="FFFFFF"/>
            <w:noWrap/>
            <w:vAlign w:val="bottom"/>
          </w:tcPr>
          <w:p w:rsidR="00565FD5" w:rsidRPr="00BF3740" w:rsidRDefault="00565FD5" w:rsidP="00AB62A3">
            <w:pPr>
              <w:ind w:firstLineChars="200" w:firstLine="260"/>
              <w:jc w:val="right"/>
              <w:rPr>
                <w:rFonts w:cs="Tahoma"/>
                <w:bCs/>
                <w:sz w:val="13"/>
                <w:szCs w:val="13"/>
              </w:rPr>
            </w:pPr>
            <w:r w:rsidRPr="00BF3740">
              <w:rPr>
                <w:rFonts w:cs="Tahoma"/>
                <w:bCs/>
                <w:sz w:val="13"/>
                <w:szCs w:val="13"/>
              </w:rPr>
              <w:t>6,8</w:t>
            </w:r>
          </w:p>
        </w:tc>
      </w:tr>
    </w:tbl>
    <w:p w:rsidR="00565FD5" w:rsidRPr="00BF3740" w:rsidRDefault="00565FD5" w:rsidP="00565FD5">
      <w:pPr>
        <w:rPr>
          <w:rFonts w:cs="Tahoma"/>
          <w:sz w:val="14"/>
          <w:szCs w:val="14"/>
          <w:lang w:eastAsia="tr-TR"/>
        </w:rPr>
      </w:pPr>
      <w:r w:rsidRPr="00BF3740">
        <w:rPr>
          <w:rFonts w:cs="Tahoma"/>
          <w:sz w:val="14"/>
          <w:szCs w:val="14"/>
          <w:lang w:eastAsia="tr-TR"/>
        </w:rPr>
        <w:t>Kaynak: Hazine Müsteşarlığı</w:t>
      </w:r>
    </w:p>
    <w:p w:rsidR="00565FD5" w:rsidRPr="00BF3740" w:rsidRDefault="00565FD5" w:rsidP="00565FD5">
      <w:pPr>
        <w:spacing w:after="180"/>
        <w:rPr>
          <w:rFonts w:cs="Tahoma"/>
          <w:szCs w:val="18"/>
        </w:rPr>
      </w:pPr>
      <w:r w:rsidRPr="00BF3740">
        <w:rPr>
          <w:rFonts w:cs="Tahoma"/>
          <w:sz w:val="14"/>
          <w:szCs w:val="14"/>
          <w:lang w:eastAsia="tr-TR"/>
        </w:rPr>
        <w:t>(</w:t>
      </w:r>
      <w:r>
        <w:rPr>
          <w:rFonts w:cs="Tahoma"/>
          <w:sz w:val="14"/>
          <w:szCs w:val="14"/>
          <w:lang w:eastAsia="tr-TR"/>
        </w:rPr>
        <w:t>1</w:t>
      </w:r>
      <w:r w:rsidRPr="00BF3740">
        <w:rPr>
          <w:rFonts w:cs="Tahoma"/>
          <w:sz w:val="14"/>
          <w:szCs w:val="14"/>
          <w:lang w:eastAsia="tr-TR"/>
        </w:rPr>
        <w:t>) Eylül ayı sonu itibarıyladır.</w:t>
      </w:r>
    </w:p>
    <w:p w:rsidR="00565FD5" w:rsidRPr="00BF3740" w:rsidRDefault="00565FD5" w:rsidP="00565FD5">
      <w:pPr>
        <w:pStyle w:val="Balk4"/>
      </w:pPr>
      <w:bookmarkStart w:id="956" w:name="_Toc244721117"/>
      <w:bookmarkStart w:id="957" w:name="_Toc276076243"/>
      <w:bookmarkStart w:id="958" w:name="_Toc338505541"/>
      <w:bookmarkStart w:id="959" w:name="_Toc338523758"/>
      <w:bookmarkStart w:id="960" w:name="_Toc338523989"/>
      <w:bookmarkStart w:id="961" w:name="_Toc338526215"/>
      <w:bookmarkStart w:id="962" w:name="_Toc338673658"/>
      <w:bookmarkStart w:id="963" w:name="_Toc338711537"/>
      <w:r w:rsidRPr="00BF3740">
        <w:t>2. 2013 Yılı Hedefleri</w:t>
      </w:r>
      <w:bookmarkEnd w:id="956"/>
      <w:bookmarkEnd w:id="957"/>
      <w:bookmarkEnd w:id="958"/>
      <w:bookmarkEnd w:id="959"/>
      <w:bookmarkEnd w:id="960"/>
      <w:bookmarkEnd w:id="961"/>
      <w:bookmarkEnd w:id="962"/>
      <w:bookmarkEnd w:id="963"/>
    </w:p>
    <w:p w:rsidR="00565FD5" w:rsidRPr="00BF3740" w:rsidRDefault="00565FD5" w:rsidP="00565FD5">
      <w:pPr>
        <w:spacing w:after="120"/>
        <w:ind w:firstLine="425"/>
        <w:rPr>
          <w:rFonts w:cs="Tahoma"/>
          <w:szCs w:val="18"/>
        </w:rPr>
      </w:pPr>
      <w:r w:rsidRPr="00BF3740">
        <w:rPr>
          <w:rFonts w:cs="Tahoma"/>
          <w:szCs w:val="18"/>
        </w:rPr>
        <w:t>Merkezi yönetim bütçe gelirlerinin GSYH’ya oranının, 2013 yılında bir önceki yıl seviyesinin 0,6 puan üzerinde yüzde 23,6 olarak gerçekleşmesi beklenmektedir. Vergi gelirlerinin ise, GSYH’ya oran olarak 2012 yılındaki yüzde 19,4 seviyesinden yüzde 20,2 seviyesine yükseleceği tahmin edilmektedir.</w:t>
      </w:r>
    </w:p>
    <w:p w:rsidR="00565FD5" w:rsidRPr="00BF3740" w:rsidRDefault="00565FD5" w:rsidP="00565FD5">
      <w:pPr>
        <w:spacing w:after="120"/>
        <w:ind w:firstLine="425"/>
        <w:rPr>
          <w:rFonts w:cs="Tahoma"/>
          <w:szCs w:val="18"/>
        </w:rPr>
      </w:pPr>
      <w:r w:rsidRPr="00BF3740">
        <w:rPr>
          <w:rFonts w:cs="Tahoma"/>
          <w:szCs w:val="18"/>
        </w:rPr>
        <w:t xml:space="preserve">2012/3735 sayılı BKK ile yapılan gelir artırıcı düzenlemelerin 2013 yılı vergi gelirlerine 9,5 milyar TL katkı sağlayacağı öngörülmektedir. Bu kapsamda, petrol ve doğal gaz ürünleri üzerinden elde edilen ÖTV tahsilatının, GSYH’ya oran </w:t>
      </w:r>
      <w:r w:rsidRPr="00BF3740">
        <w:rPr>
          <w:rFonts w:cs="Tahoma"/>
          <w:szCs w:val="18"/>
        </w:rPr>
        <w:lastRenderedPageBreak/>
        <w:t>olarak 2012 yılındaki yüzde 2,5 seviyesinden 2013 yılında yüzde 2,8 seviyesine çıkacağı tahmin edilmektedir. Alkollü içkilerden elde edilen ÖTV tahsilatının da yapılan vergi artışı neticesinde, GSYH’ya oran olarak, 2012 yılındaki yüzde 0,3 seviyesinden yüzde 0,4 seviyesine çıkması beklenmektedir. Ayrıca, 2013 yılında genel ekonomik koşullar göz önüne alınarak bazı maktu vergiler güncellenecek, gelir kaybına yol açacak düzenlemelerden kaçınılacaktır.</w:t>
      </w:r>
    </w:p>
    <w:p w:rsidR="00565FD5" w:rsidRPr="00BF3740" w:rsidRDefault="00565FD5" w:rsidP="00565FD5">
      <w:pPr>
        <w:spacing w:after="120"/>
        <w:ind w:firstLine="425"/>
        <w:rPr>
          <w:rFonts w:cs="Tahoma"/>
          <w:szCs w:val="18"/>
        </w:rPr>
      </w:pPr>
      <w:r w:rsidRPr="00BF3740">
        <w:rPr>
          <w:rFonts w:cs="Tahoma"/>
          <w:szCs w:val="18"/>
        </w:rPr>
        <w:t>İthalatta alınan KDV tahsilatının GSYH’ya oranının, BOTAŞ’ın vergi yükümlülüklerinin önemli bir kısmını yerine getireceği varsayımıyla, 2012 yılı için tahmin edilen yüzde 3,5 seviyesinden yüzde 3,9 seviyesine yükselmesi beklenmektedir.</w:t>
      </w:r>
    </w:p>
    <w:p w:rsidR="00565FD5" w:rsidRPr="00BF3740" w:rsidRDefault="00565FD5" w:rsidP="00565FD5">
      <w:pPr>
        <w:spacing w:after="120"/>
        <w:ind w:firstLine="425"/>
        <w:rPr>
          <w:rFonts w:cs="Tahoma"/>
          <w:szCs w:val="18"/>
        </w:rPr>
      </w:pPr>
      <w:r w:rsidRPr="00BF3740">
        <w:rPr>
          <w:rFonts w:cs="Tahoma"/>
          <w:szCs w:val="18"/>
        </w:rPr>
        <w:t>15</w:t>
      </w:r>
      <w:r>
        <w:rPr>
          <w:rFonts w:cs="Tahoma"/>
          <w:szCs w:val="18"/>
        </w:rPr>
        <w:t>/</w:t>
      </w:r>
      <w:r w:rsidRPr="00BF3740">
        <w:rPr>
          <w:rFonts w:cs="Tahoma"/>
          <w:szCs w:val="18"/>
        </w:rPr>
        <w:t>06</w:t>
      </w:r>
      <w:r>
        <w:rPr>
          <w:rFonts w:cs="Tahoma"/>
          <w:szCs w:val="18"/>
        </w:rPr>
        <w:t>/</w:t>
      </w:r>
      <w:r w:rsidRPr="00BF3740">
        <w:rPr>
          <w:rFonts w:cs="Tahoma"/>
          <w:szCs w:val="18"/>
        </w:rPr>
        <w:t>2012 tarihli ve 2012/3305 sayılı BKK ile uygulamaya giren yeni teşvik sistemiyle, daha önceki teşvik sisteminden farklı olarak, firmalara yatırım aşamasında da indirimli kurumlar vergisinden yararlanma imkânı getirilmiştir. Bu kapsamda, kurumlar vergisi tahsilatının 2013 yılında bir önceki yıla göre, GSYH’ya oran olarak 0,1 puan düşeceği tahmin edilmektedir.</w:t>
      </w:r>
    </w:p>
    <w:p w:rsidR="00565FD5" w:rsidRPr="00BF3740" w:rsidRDefault="00565FD5" w:rsidP="00565FD5">
      <w:pPr>
        <w:spacing w:after="120"/>
        <w:ind w:firstLine="425"/>
        <w:rPr>
          <w:rFonts w:cs="Tahoma"/>
          <w:szCs w:val="18"/>
        </w:rPr>
      </w:pPr>
      <w:r w:rsidRPr="00BF3740">
        <w:rPr>
          <w:rFonts w:cs="Tahoma"/>
          <w:szCs w:val="18"/>
        </w:rPr>
        <w:t>Bazı kamu alacaklarına ödeme kolaylıkları getiren 6111 sayılı Kanunun 2013 yılı bütçe gelirleri üzerindeki net etkisinin 0,7 milyar TL civarında olacağı tahmin edilmektedir. Ayrıca, 26</w:t>
      </w:r>
      <w:r>
        <w:rPr>
          <w:rFonts w:cs="Tahoma"/>
          <w:szCs w:val="18"/>
        </w:rPr>
        <w:t>/</w:t>
      </w:r>
      <w:r w:rsidRPr="00BF3740">
        <w:rPr>
          <w:rFonts w:cs="Tahoma"/>
          <w:szCs w:val="18"/>
        </w:rPr>
        <w:t>04</w:t>
      </w:r>
      <w:r>
        <w:rPr>
          <w:rFonts w:cs="Tahoma"/>
          <w:szCs w:val="18"/>
        </w:rPr>
        <w:t>/</w:t>
      </w:r>
      <w:r w:rsidRPr="00BF3740">
        <w:rPr>
          <w:rFonts w:cs="Tahoma"/>
          <w:szCs w:val="18"/>
        </w:rPr>
        <w:t xml:space="preserve">2012 tarihli </w:t>
      </w:r>
      <w:r>
        <w:rPr>
          <w:rFonts w:cs="Tahoma"/>
          <w:szCs w:val="18"/>
        </w:rPr>
        <w:t>Resmi Gazete'de</w:t>
      </w:r>
      <w:r w:rsidRPr="00BF3740">
        <w:rPr>
          <w:rFonts w:cs="Tahoma"/>
          <w:szCs w:val="18"/>
        </w:rPr>
        <w:t xml:space="preserve"> yayımlanarak yürürlüğe giren orman vasfını yitirmiş Hazine arazilerinin satışına ilişkin 6292 sayılı Kanun kapsamında, 2013 yılında, 4,8 milyar TL gelir elde edilmesi beklenmektedir. Özelleştirme uygulamaları kapsamında ise, 4 milyar TL gelir elde edileceği tahmin edilmektedir.</w:t>
      </w:r>
    </w:p>
    <w:p w:rsidR="00565FD5" w:rsidRPr="00BF3740" w:rsidRDefault="00565FD5" w:rsidP="00565FD5">
      <w:pPr>
        <w:spacing w:after="120"/>
        <w:ind w:firstLine="425"/>
        <w:rPr>
          <w:rFonts w:cs="Tahoma"/>
          <w:szCs w:val="18"/>
        </w:rPr>
      </w:pPr>
      <w:r w:rsidRPr="00BF3740">
        <w:rPr>
          <w:rFonts w:cs="Tahoma"/>
          <w:szCs w:val="18"/>
        </w:rPr>
        <w:t>Faiz hariç harcamaların GSYH’ya oran olarak, 2013 yılında bir önceki yıla göre 0,5 puan artarak yüzde 22,3 düzeyine yükselmesi, faiz ödemelerinin ise yüzde 3,4 ile 2012 yılı seviyesinde kalması beklenmektedir. Bu çerçevede, merkezi yönetim bütçe harcamalarının GSYH’ya oranının yüzde 25,7 seviyesinde gerçekleşeceği öngörülmektedir.</w:t>
      </w:r>
    </w:p>
    <w:p w:rsidR="00565FD5" w:rsidRPr="00BF3740" w:rsidRDefault="00565FD5" w:rsidP="00565FD5">
      <w:pPr>
        <w:spacing w:after="120"/>
        <w:ind w:firstLine="425"/>
        <w:rPr>
          <w:rFonts w:cs="Tahoma"/>
          <w:szCs w:val="18"/>
        </w:rPr>
      </w:pPr>
      <w:r w:rsidRPr="00BF3740">
        <w:rPr>
          <w:rFonts w:cs="Tahoma"/>
          <w:szCs w:val="18"/>
        </w:rPr>
        <w:t>2013 yılı personel ödenekleri öngörülürken, toplu sözleşme</w:t>
      </w:r>
      <w:r>
        <w:rPr>
          <w:rFonts w:cs="Tahoma"/>
          <w:szCs w:val="18"/>
        </w:rPr>
        <w:t xml:space="preserve"> görüşmeleri</w:t>
      </w:r>
      <w:r w:rsidRPr="00BF3740">
        <w:rPr>
          <w:rFonts w:cs="Tahoma"/>
          <w:szCs w:val="18"/>
        </w:rPr>
        <w:t xml:space="preserve"> neticesinde </w:t>
      </w:r>
      <w:r>
        <w:rPr>
          <w:rFonts w:cs="Tahoma"/>
          <w:szCs w:val="18"/>
        </w:rPr>
        <w:t>Ocak ve Temmuz aylarında</w:t>
      </w:r>
      <w:r w:rsidRPr="00BF3740">
        <w:rPr>
          <w:rFonts w:cs="Tahoma"/>
          <w:szCs w:val="18"/>
        </w:rPr>
        <w:t xml:space="preserve"> yüzde 3 ve yüzde 3 olarak belirlenen kamu personeli maaş ve ücret artış oranları</w:t>
      </w:r>
      <w:r>
        <w:rPr>
          <w:rFonts w:cs="Tahoma"/>
          <w:szCs w:val="18"/>
        </w:rPr>
        <w:t xml:space="preserve"> dikkate alınmıştır.</w:t>
      </w:r>
      <w:r w:rsidRPr="00BF3740">
        <w:rPr>
          <w:rFonts w:cs="Tahoma"/>
          <w:szCs w:val="18"/>
        </w:rPr>
        <w:t xml:space="preserve"> Bu doğrultuda, 2013 yılı merkezi yönetim bütçesi personel giderleri, sosyal güvenlik kurumlarına devlet primi giderleri ve personel giderlerini karşılama ödeneği </w:t>
      </w:r>
      <w:r w:rsidRPr="00BF3740">
        <w:rPr>
          <w:rFonts w:cs="Tahoma"/>
          <w:szCs w:val="18"/>
        </w:rPr>
        <w:lastRenderedPageBreak/>
        <w:t>toplamının GSYH’ya oranının bir önceki yıla göre 0,2 puan artarak yüzde 7,3 olması beklenmektedir.</w:t>
      </w:r>
    </w:p>
    <w:p w:rsidR="00565FD5" w:rsidRPr="00BF3740" w:rsidRDefault="00565FD5" w:rsidP="00565FD5">
      <w:pPr>
        <w:spacing w:after="120"/>
        <w:ind w:firstLine="425"/>
        <w:rPr>
          <w:rFonts w:cs="Tahoma"/>
          <w:szCs w:val="18"/>
        </w:rPr>
      </w:pPr>
      <w:r w:rsidRPr="00BF3740">
        <w:rPr>
          <w:rFonts w:cs="Tahoma"/>
          <w:szCs w:val="18"/>
        </w:rPr>
        <w:t>Savunma ve güvenlik giderleri, sağlık giderleri ve devlet borçları genel giderlerinin 2012 yılı seviyesine yakın gerçekleşmesi beklenmektedir. Diğer mal ve hizmet alım giderlerinin ise, ilköğretim öğrencilerine yapılan süt yardımının, kadına şiddetin önlenmesine yönelik hayata geçirilen düzenlemelerin ve yükseköğretim harçlarının kaldırılmasının yukarı yönlü etkisine rağmen bir önceki yıla göre 0,1 puan düşeceği öngörülmektedir. Böylece, 2013 yılında toplam mal ve hizmet alım giderlerinin yüzde 2,1 düzeyinde gerçekleşeceği tahmin edilmektedir.</w:t>
      </w:r>
    </w:p>
    <w:p w:rsidR="00565FD5" w:rsidRPr="00BF3740" w:rsidRDefault="00565FD5" w:rsidP="00565FD5">
      <w:pPr>
        <w:spacing w:after="120"/>
        <w:ind w:firstLine="425"/>
        <w:rPr>
          <w:rFonts w:cs="Tahoma"/>
          <w:szCs w:val="18"/>
        </w:rPr>
      </w:pPr>
      <w:r w:rsidRPr="00BF3740">
        <w:rPr>
          <w:rFonts w:cs="Tahoma"/>
          <w:szCs w:val="18"/>
        </w:rPr>
        <w:t xml:space="preserve">2012 yılında asgari ücretin ve aktif sigortalı sayısının öngörülenin üzerinde artmasının 2013 yılı prim gelirleri üzerindeki yukarı yönlü etkisine rağmen, bu gelişmenin devlet sosyal güvenlik katkısını artırması, intibak düzenlemesinin maliyeti ve tedavi giderlerindeki artış beklentisinin etkisiyle sosyal güvenlik transferlerinin bir önceki yıla göre GSYH’ya oranla 0,3 puan artacağı tahmin edilmektedir. 2013 yılında bir önceki yıla göre GSYH’ya oranla, kar amacı gütmeyen kuruluşlara yapılan transferlerin 6292 sayılı Kanun kapsamında Çevre ve Şehircilik Bakanlığı tarafından yapılacak ödemeler, Eskişehir 2013 Türk Dünyası Kültür Başkentliği hazırlıkları, İzmir EXPO organizasyonu, mahalli idare seçim hazırlıkları ve diğer ihtiyaçların etkisiyle 0,1 puan artması beklenmektedir. Yükseköğretim harçlarının kaldırılmasının etkisiyle hanehalkına yapılan transferlerin 2013 yılında GSYH’ya oran olarak 0,1 puan artması beklenmektedir. Ayrıca, 6327 sayılı Kanunla bireysel emeklilik sisteminin yeniden düzenlenmesinin GSYH’ya oranla 0,1 puan maliyet yaratacağı öngörülmektedir. Öte yandan, görev zararları, tarımsal amaçlı transferler, sosyal amaçlı transferler ve yurtdışına yapılan transferlerin GSYH içindeki paylarının bir önceki yıl seviyesinde gerçekleşmesi programlanmaktadır. 2013 yılında, mahalli idarelere ve fonlara ayrılan payların GSYH’ya oranının da, 2012 yılına kıyasla 0,1 puan artarak yüzde 2,6 düzeyinde gerçekleşeceği tahmin edilmektedir. Böylece, 2013 yılında cari transferlerin GSYH’ya oran olarak bir önceki yıla göre 0,6 puan artarak yüzde 9,6 düzeyine yükselmesi beklenmektedir. </w:t>
      </w:r>
    </w:p>
    <w:p w:rsidR="00565FD5" w:rsidRPr="00BF3740" w:rsidRDefault="00565FD5" w:rsidP="00565FD5">
      <w:pPr>
        <w:spacing w:after="120"/>
        <w:ind w:firstLine="425"/>
        <w:rPr>
          <w:rFonts w:cs="Tahoma"/>
          <w:szCs w:val="18"/>
        </w:rPr>
      </w:pPr>
      <w:r w:rsidRPr="00BF3740">
        <w:rPr>
          <w:rFonts w:cs="Tahoma"/>
          <w:szCs w:val="18"/>
        </w:rPr>
        <w:t xml:space="preserve">2012 yılında 27,9 milyar TL ödenek tahsis edilen sermaye giderlerinin yıl sonunda 33,7 milyar TL ile GSYH’ya oran olarak yüzde 2,4 seviyesinde </w:t>
      </w:r>
      <w:r w:rsidRPr="00BF3740">
        <w:rPr>
          <w:rFonts w:cs="Tahoma"/>
          <w:szCs w:val="18"/>
        </w:rPr>
        <w:lastRenderedPageBreak/>
        <w:t>gerçekleşeceği tahmin edilmektedir. 2013 yılında ise söz konusu kalemin bir önceki yıla göre GSYH’ya oranla 0,2 puan azalarak yüzde 2,1 düzeyinde ve 33,5 milyar TL olarak gerçekleşmesi hedeflenmektedir.</w:t>
      </w:r>
    </w:p>
    <w:p w:rsidR="00565FD5" w:rsidRPr="00BF3740" w:rsidRDefault="00565FD5" w:rsidP="00565FD5">
      <w:pPr>
        <w:ind w:firstLine="425"/>
        <w:rPr>
          <w:rFonts w:cs="Tahoma"/>
          <w:szCs w:val="18"/>
        </w:rPr>
      </w:pPr>
      <w:r w:rsidRPr="00BF3740">
        <w:rPr>
          <w:rFonts w:cs="Tahoma"/>
          <w:szCs w:val="18"/>
        </w:rPr>
        <w:t>Sermaye transferlerinin GSYH’ya oranının, 2013 yılında bir önceki yıla göre 0,1 puan azalarak yüzde 0,3 düzeyinde gerçekleşeceği öngörülmektedir. Bu kapsamda; KÖYDES için 578 milyon TL, SUKAP için 526 milyon TL, SODES için 210 milyon TL, kalkınma ajansları için 47</w:t>
      </w:r>
      <w:r>
        <w:rPr>
          <w:rFonts w:cs="Tahoma"/>
          <w:szCs w:val="18"/>
        </w:rPr>
        <w:t>9</w:t>
      </w:r>
      <w:r w:rsidRPr="00BF3740">
        <w:rPr>
          <w:rFonts w:cs="Tahoma"/>
          <w:szCs w:val="18"/>
        </w:rPr>
        <w:t xml:space="preserve"> milyon TL ve TÜBİTAK Ar-Ge harcamaları için 841 milyon TL kullanılması programlanmaktadır.</w:t>
      </w:r>
    </w:p>
    <w:p w:rsidR="00565FD5" w:rsidRPr="00BF3740" w:rsidRDefault="00565FD5" w:rsidP="00565FD5">
      <w:pPr>
        <w:keepNext/>
        <w:tabs>
          <w:tab w:val="left" w:pos="1170"/>
        </w:tabs>
        <w:spacing w:after="80"/>
        <w:rPr>
          <w:b/>
          <w:sz w:val="16"/>
          <w:szCs w:val="18"/>
        </w:rPr>
        <w:sectPr w:rsidR="00565FD5" w:rsidRPr="00BF3740" w:rsidSect="00B50093">
          <w:footerReference w:type="even" r:id="rId23"/>
          <w:footerReference w:type="default" r:id="rId24"/>
          <w:pgSz w:w="11904" w:h="16838" w:code="9"/>
          <w:pgMar w:top="2948" w:right="2381" w:bottom="2948" w:left="2381" w:header="2268" w:footer="2268" w:gutter="0"/>
          <w:cols w:space="60"/>
          <w:noEndnote/>
        </w:sectPr>
      </w:pPr>
      <w:bookmarkStart w:id="964" w:name="_Toc149975914"/>
      <w:bookmarkStart w:id="965" w:name="_Toc150099372"/>
      <w:bookmarkStart w:id="966" w:name="_Toc181241024"/>
      <w:bookmarkStart w:id="967" w:name="_Toc181274126"/>
      <w:bookmarkStart w:id="968" w:name="_Toc181286405"/>
      <w:bookmarkStart w:id="969" w:name="_Toc213071654"/>
      <w:bookmarkStart w:id="970" w:name="_Toc244721363"/>
      <w:bookmarkStart w:id="971" w:name="_Toc275874279"/>
      <w:bookmarkStart w:id="972" w:name="_Toc276076460"/>
    </w:p>
    <w:p w:rsidR="00565FD5" w:rsidRPr="00A253C6" w:rsidRDefault="00565FD5" w:rsidP="00565FD5">
      <w:pPr>
        <w:pStyle w:val="ResimYazs"/>
        <w:rPr>
          <w:bCs/>
        </w:rPr>
      </w:pPr>
      <w:bookmarkStart w:id="973" w:name="_Toc338605986"/>
      <w:bookmarkStart w:id="974" w:name="_Toc338711761"/>
      <w:r>
        <w:lastRenderedPageBreak/>
        <w:t xml:space="preserve">TABLO III: </w:t>
      </w:r>
      <w:fldSimple w:instr=" SEQ TABLO_III: \* ARABIC ">
        <w:r>
          <w:rPr>
            <w:noProof/>
          </w:rPr>
          <w:t>8</w:t>
        </w:r>
      </w:fldSimple>
      <w:r w:rsidRPr="00A253C6">
        <w:t>-</w:t>
      </w:r>
      <w:r w:rsidRPr="00A253C6">
        <w:rPr>
          <w:bCs/>
        </w:rPr>
        <w:t xml:space="preserve"> Merkezi Yönetim Bütçesi </w:t>
      </w:r>
      <w:bookmarkEnd w:id="964"/>
      <w:r w:rsidRPr="00A253C6">
        <w:rPr>
          <w:bCs/>
        </w:rPr>
        <w:t>Büyüklükleri</w:t>
      </w:r>
      <w:bookmarkEnd w:id="965"/>
      <w:bookmarkEnd w:id="966"/>
      <w:bookmarkEnd w:id="967"/>
      <w:bookmarkEnd w:id="968"/>
      <w:bookmarkEnd w:id="969"/>
      <w:bookmarkEnd w:id="970"/>
      <w:bookmarkEnd w:id="971"/>
      <w:bookmarkEnd w:id="972"/>
      <w:bookmarkEnd w:id="973"/>
      <w:bookmarkEnd w:id="974"/>
    </w:p>
    <w:tbl>
      <w:tblPr>
        <w:tblW w:w="5000" w:type="pct"/>
        <w:tblCellMar>
          <w:left w:w="54" w:type="dxa"/>
          <w:right w:w="54" w:type="dxa"/>
        </w:tblCellMar>
        <w:tblLook w:val="0000"/>
      </w:tblPr>
      <w:tblGrid>
        <w:gridCol w:w="2630"/>
        <w:gridCol w:w="696"/>
        <w:gridCol w:w="751"/>
        <w:gridCol w:w="787"/>
        <w:gridCol w:w="159"/>
        <w:gridCol w:w="787"/>
        <w:gridCol w:w="780"/>
        <w:gridCol w:w="159"/>
        <w:gridCol w:w="577"/>
        <w:gridCol w:w="769"/>
        <w:gridCol w:w="692"/>
        <w:gridCol w:w="159"/>
        <w:gridCol w:w="555"/>
        <w:gridCol w:w="769"/>
        <w:gridCol w:w="780"/>
      </w:tblGrid>
      <w:tr w:rsidR="00565FD5" w:rsidRPr="00A253C6" w:rsidTr="00AB62A3">
        <w:trPr>
          <w:trHeight w:hRule="exact" w:val="227"/>
        </w:trPr>
        <w:tc>
          <w:tcPr>
            <w:tcW w:w="1190" w:type="pct"/>
            <w:tcBorders>
              <w:top w:val="single" w:sz="4" w:space="0" w:color="auto"/>
              <w:left w:val="single" w:sz="4" w:space="0" w:color="auto"/>
            </w:tcBorders>
            <w:vAlign w:val="center"/>
          </w:tcPr>
          <w:p w:rsidR="00565FD5" w:rsidRPr="00A253C6" w:rsidRDefault="00565FD5" w:rsidP="00AB62A3">
            <w:pPr>
              <w:widowControl w:val="0"/>
              <w:rPr>
                <w:rFonts w:cs="Tahoma"/>
                <w:b/>
                <w:sz w:val="13"/>
                <w:szCs w:val="13"/>
              </w:rPr>
            </w:pPr>
          </w:p>
        </w:tc>
        <w:tc>
          <w:tcPr>
            <w:tcW w:w="1011" w:type="pct"/>
            <w:gridSpan w:val="3"/>
            <w:tcBorders>
              <w:top w:val="single" w:sz="4" w:space="0" w:color="auto"/>
              <w:bottom w:val="single" w:sz="6" w:space="0" w:color="auto"/>
            </w:tcBorders>
            <w:vAlign w:val="center"/>
          </w:tcPr>
          <w:p w:rsidR="00565FD5" w:rsidRPr="00A253C6" w:rsidRDefault="00565FD5" w:rsidP="00AB62A3">
            <w:pPr>
              <w:widowControl w:val="0"/>
              <w:jc w:val="center"/>
              <w:rPr>
                <w:rFonts w:cs="Tahoma"/>
                <w:b/>
                <w:sz w:val="13"/>
                <w:szCs w:val="13"/>
              </w:rPr>
            </w:pPr>
            <w:r w:rsidRPr="00A253C6">
              <w:rPr>
                <w:rFonts w:cs="Tahoma"/>
                <w:b/>
                <w:sz w:val="13"/>
                <w:szCs w:val="13"/>
              </w:rPr>
              <w:t>(Cari Fiyatlarla, Milyon TL)</w:t>
            </w:r>
          </w:p>
        </w:tc>
        <w:tc>
          <w:tcPr>
            <w:tcW w:w="72" w:type="pct"/>
            <w:tcBorders>
              <w:top w:val="single" w:sz="4" w:space="0" w:color="auto"/>
            </w:tcBorders>
            <w:vAlign w:val="center"/>
          </w:tcPr>
          <w:p w:rsidR="00565FD5" w:rsidRPr="00A253C6" w:rsidRDefault="00565FD5" w:rsidP="00AB62A3">
            <w:pPr>
              <w:widowControl w:val="0"/>
              <w:jc w:val="center"/>
              <w:rPr>
                <w:rFonts w:cs="Tahoma"/>
                <w:b/>
                <w:sz w:val="13"/>
                <w:szCs w:val="13"/>
              </w:rPr>
            </w:pPr>
          </w:p>
        </w:tc>
        <w:tc>
          <w:tcPr>
            <w:tcW w:w="709" w:type="pct"/>
            <w:gridSpan w:val="2"/>
            <w:tcBorders>
              <w:top w:val="single" w:sz="4" w:space="0" w:color="auto"/>
              <w:bottom w:val="single" w:sz="6" w:space="0" w:color="auto"/>
            </w:tcBorders>
            <w:vAlign w:val="center"/>
          </w:tcPr>
          <w:p w:rsidR="00565FD5" w:rsidRPr="00A253C6" w:rsidRDefault="00565FD5" w:rsidP="00AB62A3">
            <w:pPr>
              <w:widowControl w:val="0"/>
              <w:jc w:val="center"/>
              <w:rPr>
                <w:rFonts w:cs="Tahoma"/>
                <w:b/>
                <w:sz w:val="13"/>
                <w:szCs w:val="13"/>
              </w:rPr>
            </w:pPr>
            <w:r w:rsidRPr="00A253C6">
              <w:rPr>
                <w:rFonts w:cs="Tahoma"/>
                <w:b/>
                <w:sz w:val="13"/>
                <w:szCs w:val="13"/>
              </w:rPr>
              <w:t>(Yüzde Değişim)</w:t>
            </w:r>
          </w:p>
        </w:tc>
        <w:tc>
          <w:tcPr>
            <w:tcW w:w="72" w:type="pct"/>
            <w:tcBorders>
              <w:top w:val="single" w:sz="4" w:space="0" w:color="auto"/>
            </w:tcBorders>
            <w:vAlign w:val="center"/>
          </w:tcPr>
          <w:p w:rsidR="00565FD5" w:rsidRPr="00A253C6" w:rsidRDefault="00565FD5" w:rsidP="00AB62A3">
            <w:pPr>
              <w:widowControl w:val="0"/>
              <w:jc w:val="center"/>
              <w:rPr>
                <w:rFonts w:cs="Tahoma"/>
                <w:b/>
                <w:sz w:val="13"/>
                <w:szCs w:val="13"/>
              </w:rPr>
            </w:pPr>
          </w:p>
        </w:tc>
        <w:tc>
          <w:tcPr>
            <w:tcW w:w="922" w:type="pct"/>
            <w:gridSpan w:val="3"/>
            <w:tcBorders>
              <w:top w:val="single" w:sz="4" w:space="0" w:color="auto"/>
              <w:bottom w:val="single" w:sz="6" w:space="0" w:color="auto"/>
            </w:tcBorders>
            <w:vAlign w:val="center"/>
          </w:tcPr>
          <w:p w:rsidR="00565FD5" w:rsidRPr="00A253C6" w:rsidRDefault="00565FD5" w:rsidP="00AB62A3">
            <w:pPr>
              <w:widowControl w:val="0"/>
              <w:jc w:val="center"/>
              <w:rPr>
                <w:rFonts w:cs="Tahoma"/>
                <w:b/>
                <w:sz w:val="13"/>
                <w:szCs w:val="13"/>
              </w:rPr>
            </w:pPr>
            <w:r w:rsidRPr="00A253C6">
              <w:rPr>
                <w:rFonts w:cs="Tahoma"/>
                <w:b/>
                <w:sz w:val="13"/>
                <w:szCs w:val="13"/>
              </w:rPr>
              <w:t>(Yüzde Dağılım)</w:t>
            </w:r>
          </w:p>
        </w:tc>
        <w:tc>
          <w:tcPr>
            <w:tcW w:w="72" w:type="pct"/>
            <w:tcBorders>
              <w:top w:val="single" w:sz="4" w:space="0" w:color="auto"/>
            </w:tcBorders>
            <w:vAlign w:val="center"/>
          </w:tcPr>
          <w:p w:rsidR="00565FD5" w:rsidRPr="00A253C6" w:rsidRDefault="00565FD5" w:rsidP="00AB62A3">
            <w:pPr>
              <w:widowControl w:val="0"/>
              <w:jc w:val="center"/>
              <w:rPr>
                <w:rFonts w:cs="Tahoma"/>
                <w:b/>
                <w:sz w:val="13"/>
                <w:szCs w:val="13"/>
              </w:rPr>
            </w:pPr>
          </w:p>
        </w:tc>
        <w:tc>
          <w:tcPr>
            <w:tcW w:w="952" w:type="pct"/>
            <w:gridSpan w:val="3"/>
            <w:tcBorders>
              <w:top w:val="single" w:sz="4" w:space="0" w:color="auto"/>
              <w:bottom w:val="single" w:sz="6" w:space="0" w:color="auto"/>
              <w:right w:val="single" w:sz="4" w:space="0" w:color="auto"/>
            </w:tcBorders>
            <w:vAlign w:val="center"/>
          </w:tcPr>
          <w:p w:rsidR="00565FD5" w:rsidRPr="00A253C6" w:rsidRDefault="00565FD5" w:rsidP="00AB62A3">
            <w:pPr>
              <w:widowControl w:val="0"/>
              <w:jc w:val="center"/>
              <w:rPr>
                <w:rFonts w:cs="Tahoma"/>
                <w:b/>
                <w:sz w:val="13"/>
                <w:szCs w:val="13"/>
              </w:rPr>
            </w:pPr>
            <w:r w:rsidRPr="00A253C6">
              <w:rPr>
                <w:rFonts w:cs="Tahoma"/>
                <w:b/>
                <w:sz w:val="13"/>
                <w:szCs w:val="13"/>
              </w:rPr>
              <w:t>(GSYH’ya Oran, Yüzde)</w:t>
            </w:r>
          </w:p>
        </w:tc>
      </w:tr>
      <w:tr w:rsidR="00565FD5" w:rsidRPr="00A253C6" w:rsidTr="00AB62A3">
        <w:trPr>
          <w:trHeight w:hRule="exact" w:val="227"/>
        </w:trPr>
        <w:tc>
          <w:tcPr>
            <w:tcW w:w="1190" w:type="pct"/>
            <w:tcBorders>
              <w:left w:val="single" w:sz="4" w:space="0" w:color="auto"/>
              <w:bottom w:val="single" w:sz="6" w:space="0" w:color="auto"/>
            </w:tcBorders>
            <w:vAlign w:val="center"/>
          </w:tcPr>
          <w:p w:rsidR="00565FD5" w:rsidRPr="00A253C6" w:rsidRDefault="00565FD5" w:rsidP="00AB62A3">
            <w:pPr>
              <w:widowControl w:val="0"/>
              <w:rPr>
                <w:rFonts w:cs="Tahoma"/>
                <w:b/>
                <w:sz w:val="13"/>
                <w:szCs w:val="13"/>
              </w:rPr>
            </w:pPr>
          </w:p>
        </w:tc>
        <w:tc>
          <w:tcPr>
            <w:tcW w:w="315" w:type="pct"/>
            <w:tcBorders>
              <w:bottom w:val="single" w:sz="6" w:space="0" w:color="auto"/>
            </w:tcBorders>
            <w:vAlign w:val="bottom"/>
          </w:tcPr>
          <w:p w:rsidR="00565FD5" w:rsidRPr="00A253C6" w:rsidRDefault="00565FD5" w:rsidP="00AB62A3">
            <w:pPr>
              <w:widowControl w:val="0"/>
              <w:jc w:val="right"/>
              <w:rPr>
                <w:rFonts w:cs="Tahoma"/>
                <w:b/>
                <w:sz w:val="13"/>
                <w:szCs w:val="13"/>
              </w:rPr>
            </w:pPr>
            <w:r w:rsidRPr="00A253C6">
              <w:rPr>
                <w:rFonts w:cs="Tahoma"/>
                <w:b/>
                <w:bCs/>
                <w:sz w:val="13"/>
                <w:szCs w:val="13"/>
              </w:rPr>
              <w:t>2011</w:t>
            </w:r>
          </w:p>
        </w:tc>
        <w:tc>
          <w:tcPr>
            <w:tcW w:w="340" w:type="pct"/>
            <w:tcBorders>
              <w:bottom w:val="single" w:sz="6" w:space="0" w:color="auto"/>
            </w:tcBorders>
            <w:vAlign w:val="bottom"/>
          </w:tcPr>
          <w:p w:rsidR="00565FD5" w:rsidRPr="00A253C6" w:rsidRDefault="00565FD5" w:rsidP="00AB62A3">
            <w:pPr>
              <w:widowControl w:val="0"/>
              <w:jc w:val="right"/>
              <w:rPr>
                <w:rFonts w:cs="Tahoma"/>
                <w:b/>
                <w:sz w:val="13"/>
                <w:szCs w:val="13"/>
              </w:rPr>
            </w:pPr>
            <w:r w:rsidRPr="00A253C6">
              <w:rPr>
                <w:rFonts w:cs="Tahoma"/>
                <w:b/>
                <w:bCs/>
                <w:sz w:val="13"/>
                <w:szCs w:val="13"/>
              </w:rPr>
              <w:t>2012 (1)</w:t>
            </w:r>
          </w:p>
        </w:tc>
        <w:tc>
          <w:tcPr>
            <w:tcW w:w="356" w:type="pct"/>
            <w:tcBorders>
              <w:bottom w:val="single" w:sz="6" w:space="0" w:color="auto"/>
            </w:tcBorders>
            <w:vAlign w:val="bottom"/>
          </w:tcPr>
          <w:p w:rsidR="00565FD5" w:rsidRPr="00A253C6" w:rsidRDefault="00565FD5" w:rsidP="00AB62A3">
            <w:pPr>
              <w:widowControl w:val="0"/>
              <w:ind w:left="-25"/>
              <w:jc w:val="right"/>
              <w:rPr>
                <w:rFonts w:cs="Tahoma"/>
                <w:b/>
                <w:sz w:val="13"/>
                <w:szCs w:val="13"/>
              </w:rPr>
            </w:pPr>
            <w:r w:rsidRPr="00A253C6">
              <w:rPr>
                <w:rFonts w:cs="Tahoma"/>
                <w:b/>
                <w:bCs/>
                <w:sz w:val="13"/>
                <w:szCs w:val="13"/>
              </w:rPr>
              <w:t>2013 (2)</w:t>
            </w:r>
          </w:p>
        </w:tc>
        <w:tc>
          <w:tcPr>
            <w:tcW w:w="72" w:type="pct"/>
            <w:vAlign w:val="bottom"/>
          </w:tcPr>
          <w:p w:rsidR="00565FD5" w:rsidRPr="00A253C6" w:rsidRDefault="00565FD5" w:rsidP="00AB62A3">
            <w:pPr>
              <w:widowControl w:val="0"/>
              <w:jc w:val="right"/>
              <w:rPr>
                <w:rFonts w:cs="Tahoma"/>
                <w:b/>
                <w:sz w:val="13"/>
                <w:szCs w:val="13"/>
              </w:rPr>
            </w:pPr>
            <w:r w:rsidRPr="00A253C6">
              <w:rPr>
                <w:rFonts w:cs="Tahoma"/>
                <w:b/>
                <w:bCs/>
                <w:sz w:val="13"/>
                <w:szCs w:val="13"/>
              </w:rPr>
              <w:t> </w:t>
            </w:r>
          </w:p>
        </w:tc>
        <w:tc>
          <w:tcPr>
            <w:tcW w:w="356" w:type="pct"/>
            <w:tcBorders>
              <w:bottom w:val="single" w:sz="6" w:space="0" w:color="auto"/>
            </w:tcBorders>
            <w:vAlign w:val="bottom"/>
          </w:tcPr>
          <w:p w:rsidR="00565FD5" w:rsidRPr="00A253C6" w:rsidRDefault="00565FD5" w:rsidP="00AB62A3">
            <w:pPr>
              <w:widowControl w:val="0"/>
              <w:jc w:val="right"/>
              <w:rPr>
                <w:rFonts w:cs="Tahoma"/>
                <w:b/>
                <w:sz w:val="13"/>
                <w:szCs w:val="13"/>
              </w:rPr>
            </w:pPr>
            <w:r w:rsidRPr="00A253C6">
              <w:rPr>
                <w:rFonts w:cs="Tahoma"/>
                <w:b/>
                <w:bCs/>
                <w:sz w:val="13"/>
                <w:szCs w:val="13"/>
              </w:rPr>
              <w:t>2012 (1)</w:t>
            </w:r>
          </w:p>
        </w:tc>
        <w:tc>
          <w:tcPr>
            <w:tcW w:w="353" w:type="pct"/>
            <w:tcBorders>
              <w:bottom w:val="single" w:sz="6" w:space="0" w:color="auto"/>
            </w:tcBorders>
            <w:vAlign w:val="bottom"/>
          </w:tcPr>
          <w:p w:rsidR="00565FD5" w:rsidRPr="00A253C6" w:rsidRDefault="00565FD5" w:rsidP="00AB62A3">
            <w:pPr>
              <w:widowControl w:val="0"/>
              <w:jc w:val="right"/>
              <w:rPr>
                <w:rFonts w:cs="Tahoma"/>
                <w:b/>
                <w:sz w:val="13"/>
                <w:szCs w:val="13"/>
              </w:rPr>
            </w:pPr>
            <w:r w:rsidRPr="00A253C6">
              <w:rPr>
                <w:rFonts w:cs="Tahoma"/>
                <w:b/>
                <w:bCs/>
                <w:sz w:val="13"/>
                <w:szCs w:val="13"/>
              </w:rPr>
              <w:t>2013 (2)</w:t>
            </w:r>
          </w:p>
        </w:tc>
        <w:tc>
          <w:tcPr>
            <w:tcW w:w="72" w:type="pct"/>
            <w:vAlign w:val="bottom"/>
          </w:tcPr>
          <w:p w:rsidR="00565FD5" w:rsidRPr="00A253C6" w:rsidRDefault="00565FD5" w:rsidP="00AB62A3">
            <w:pPr>
              <w:widowControl w:val="0"/>
              <w:jc w:val="right"/>
              <w:rPr>
                <w:rFonts w:cs="Tahoma"/>
                <w:b/>
                <w:sz w:val="13"/>
                <w:szCs w:val="13"/>
              </w:rPr>
            </w:pPr>
            <w:r w:rsidRPr="00A253C6">
              <w:rPr>
                <w:rFonts w:cs="Tahoma"/>
                <w:sz w:val="13"/>
                <w:szCs w:val="13"/>
              </w:rPr>
              <w:t> </w:t>
            </w:r>
          </w:p>
        </w:tc>
        <w:tc>
          <w:tcPr>
            <w:tcW w:w="261" w:type="pct"/>
            <w:tcBorders>
              <w:bottom w:val="single" w:sz="6" w:space="0" w:color="auto"/>
            </w:tcBorders>
            <w:vAlign w:val="bottom"/>
          </w:tcPr>
          <w:p w:rsidR="00565FD5" w:rsidRPr="00A253C6" w:rsidRDefault="00565FD5" w:rsidP="00AB62A3">
            <w:pPr>
              <w:widowControl w:val="0"/>
              <w:jc w:val="right"/>
              <w:rPr>
                <w:rFonts w:cs="Tahoma"/>
                <w:b/>
                <w:sz w:val="13"/>
                <w:szCs w:val="13"/>
              </w:rPr>
            </w:pPr>
            <w:r w:rsidRPr="00A253C6">
              <w:rPr>
                <w:rFonts w:cs="Tahoma"/>
                <w:b/>
                <w:bCs/>
                <w:sz w:val="13"/>
                <w:szCs w:val="13"/>
              </w:rPr>
              <w:t>2011</w:t>
            </w:r>
          </w:p>
        </w:tc>
        <w:tc>
          <w:tcPr>
            <w:tcW w:w="348" w:type="pct"/>
            <w:tcBorders>
              <w:bottom w:val="single" w:sz="6" w:space="0" w:color="auto"/>
            </w:tcBorders>
            <w:vAlign w:val="bottom"/>
          </w:tcPr>
          <w:p w:rsidR="00565FD5" w:rsidRPr="00A253C6" w:rsidRDefault="00565FD5" w:rsidP="00AB62A3">
            <w:pPr>
              <w:widowControl w:val="0"/>
              <w:jc w:val="right"/>
              <w:rPr>
                <w:rFonts w:cs="Tahoma"/>
                <w:b/>
                <w:sz w:val="13"/>
                <w:szCs w:val="13"/>
              </w:rPr>
            </w:pPr>
            <w:r w:rsidRPr="00A253C6">
              <w:rPr>
                <w:rFonts w:cs="Tahoma"/>
                <w:b/>
                <w:bCs/>
                <w:sz w:val="13"/>
                <w:szCs w:val="13"/>
              </w:rPr>
              <w:t>2012 (1)</w:t>
            </w:r>
          </w:p>
        </w:tc>
        <w:tc>
          <w:tcPr>
            <w:tcW w:w="313" w:type="pct"/>
            <w:tcBorders>
              <w:bottom w:val="single" w:sz="6" w:space="0" w:color="auto"/>
            </w:tcBorders>
            <w:vAlign w:val="bottom"/>
          </w:tcPr>
          <w:p w:rsidR="00565FD5" w:rsidRPr="00A253C6" w:rsidRDefault="00565FD5" w:rsidP="00AB62A3">
            <w:pPr>
              <w:widowControl w:val="0"/>
              <w:ind w:left="126" w:hanging="154"/>
              <w:jc w:val="right"/>
              <w:rPr>
                <w:rFonts w:cs="Tahoma"/>
                <w:b/>
                <w:sz w:val="13"/>
                <w:szCs w:val="13"/>
              </w:rPr>
            </w:pPr>
            <w:r w:rsidRPr="00A253C6">
              <w:rPr>
                <w:rFonts w:cs="Tahoma"/>
                <w:b/>
                <w:bCs/>
                <w:sz w:val="13"/>
                <w:szCs w:val="13"/>
              </w:rPr>
              <w:t>2013 (2)</w:t>
            </w:r>
          </w:p>
        </w:tc>
        <w:tc>
          <w:tcPr>
            <w:tcW w:w="72" w:type="pct"/>
            <w:vAlign w:val="bottom"/>
          </w:tcPr>
          <w:p w:rsidR="00565FD5" w:rsidRPr="00A253C6" w:rsidRDefault="00565FD5" w:rsidP="00AB62A3">
            <w:pPr>
              <w:widowControl w:val="0"/>
              <w:jc w:val="right"/>
              <w:rPr>
                <w:rFonts w:cs="Tahoma"/>
                <w:b/>
                <w:sz w:val="13"/>
                <w:szCs w:val="13"/>
              </w:rPr>
            </w:pPr>
            <w:r w:rsidRPr="00A253C6">
              <w:rPr>
                <w:rFonts w:cs="Tahoma"/>
                <w:sz w:val="13"/>
                <w:szCs w:val="13"/>
              </w:rPr>
              <w:t> </w:t>
            </w:r>
          </w:p>
        </w:tc>
        <w:tc>
          <w:tcPr>
            <w:tcW w:w="251" w:type="pct"/>
            <w:tcBorders>
              <w:bottom w:val="single" w:sz="6" w:space="0" w:color="auto"/>
            </w:tcBorders>
            <w:vAlign w:val="bottom"/>
          </w:tcPr>
          <w:p w:rsidR="00565FD5" w:rsidRPr="00A253C6" w:rsidRDefault="00565FD5" w:rsidP="00AB62A3">
            <w:pPr>
              <w:widowControl w:val="0"/>
              <w:jc w:val="right"/>
              <w:rPr>
                <w:rFonts w:cs="Tahoma"/>
                <w:b/>
                <w:sz w:val="13"/>
                <w:szCs w:val="13"/>
              </w:rPr>
            </w:pPr>
            <w:r w:rsidRPr="00A253C6">
              <w:rPr>
                <w:rFonts w:cs="Tahoma"/>
                <w:b/>
                <w:bCs/>
                <w:sz w:val="13"/>
                <w:szCs w:val="13"/>
              </w:rPr>
              <w:t>2011</w:t>
            </w:r>
          </w:p>
        </w:tc>
        <w:tc>
          <w:tcPr>
            <w:tcW w:w="348" w:type="pct"/>
            <w:tcBorders>
              <w:bottom w:val="single" w:sz="6" w:space="0" w:color="auto"/>
            </w:tcBorders>
            <w:vAlign w:val="bottom"/>
          </w:tcPr>
          <w:p w:rsidR="00565FD5" w:rsidRPr="00A253C6" w:rsidRDefault="00565FD5" w:rsidP="00AB62A3">
            <w:pPr>
              <w:widowControl w:val="0"/>
              <w:jc w:val="right"/>
              <w:rPr>
                <w:rFonts w:cs="Tahoma"/>
                <w:b/>
                <w:sz w:val="13"/>
                <w:szCs w:val="13"/>
              </w:rPr>
            </w:pPr>
            <w:r w:rsidRPr="00A253C6">
              <w:rPr>
                <w:rFonts w:cs="Tahoma"/>
                <w:b/>
                <w:bCs/>
                <w:sz w:val="13"/>
                <w:szCs w:val="13"/>
              </w:rPr>
              <w:t>2012 (1)</w:t>
            </w:r>
          </w:p>
        </w:tc>
        <w:tc>
          <w:tcPr>
            <w:tcW w:w="353" w:type="pct"/>
            <w:tcBorders>
              <w:bottom w:val="single" w:sz="6" w:space="0" w:color="auto"/>
              <w:right w:val="single" w:sz="4" w:space="0" w:color="auto"/>
            </w:tcBorders>
            <w:vAlign w:val="bottom"/>
          </w:tcPr>
          <w:p w:rsidR="00565FD5" w:rsidRPr="00A253C6" w:rsidRDefault="00565FD5" w:rsidP="00AB62A3">
            <w:pPr>
              <w:widowControl w:val="0"/>
              <w:jc w:val="right"/>
              <w:rPr>
                <w:rFonts w:cs="Tahoma"/>
                <w:b/>
                <w:sz w:val="13"/>
                <w:szCs w:val="13"/>
              </w:rPr>
            </w:pPr>
            <w:r w:rsidRPr="00A253C6">
              <w:rPr>
                <w:rFonts w:cs="Tahoma"/>
                <w:b/>
                <w:bCs/>
                <w:sz w:val="13"/>
                <w:szCs w:val="13"/>
              </w:rPr>
              <w:t>2013 (2)</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rPr>
                <w:rFonts w:cs="Tahoma"/>
                <w:b/>
                <w:bCs/>
                <w:sz w:val="13"/>
                <w:szCs w:val="13"/>
              </w:rPr>
            </w:pPr>
            <w:r w:rsidRPr="00A253C6">
              <w:rPr>
                <w:rFonts w:cs="Tahoma"/>
                <w:b/>
                <w:bCs/>
                <w:sz w:val="13"/>
                <w:szCs w:val="13"/>
              </w:rPr>
              <w:t>HARCAMALAR</w:t>
            </w:r>
          </w:p>
        </w:tc>
        <w:tc>
          <w:tcPr>
            <w:tcW w:w="315" w:type="pct"/>
            <w:vAlign w:val="bottom"/>
          </w:tcPr>
          <w:p w:rsidR="00565FD5" w:rsidRPr="00A253C6" w:rsidRDefault="00565FD5" w:rsidP="00AB62A3">
            <w:pPr>
              <w:jc w:val="right"/>
              <w:rPr>
                <w:rFonts w:cs="Tahoma"/>
                <w:b/>
                <w:bCs/>
                <w:sz w:val="13"/>
                <w:szCs w:val="13"/>
              </w:rPr>
            </w:pPr>
            <w:r w:rsidRPr="00A253C6">
              <w:rPr>
                <w:rFonts w:cs="Tahoma"/>
                <w:b/>
                <w:bCs/>
                <w:sz w:val="13"/>
                <w:szCs w:val="13"/>
              </w:rPr>
              <w:t>314 607</w:t>
            </w:r>
          </w:p>
        </w:tc>
        <w:tc>
          <w:tcPr>
            <w:tcW w:w="340" w:type="pct"/>
            <w:vAlign w:val="bottom"/>
          </w:tcPr>
          <w:p w:rsidR="00565FD5" w:rsidRPr="00A253C6" w:rsidRDefault="00565FD5" w:rsidP="00AB62A3">
            <w:pPr>
              <w:jc w:val="right"/>
              <w:rPr>
                <w:rFonts w:cs="Tahoma"/>
                <w:b/>
                <w:bCs/>
                <w:sz w:val="13"/>
                <w:szCs w:val="13"/>
              </w:rPr>
            </w:pPr>
            <w:r w:rsidRPr="00A253C6">
              <w:rPr>
                <w:rFonts w:cs="Tahoma"/>
                <w:b/>
                <w:bCs/>
                <w:sz w:val="13"/>
                <w:szCs w:val="13"/>
              </w:rPr>
              <w:t>362 668</w:t>
            </w:r>
          </w:p>
        </w:tc>
        <w:tc>
          <w:tcPr>
            <w:tcW w:w="356" w:type="pct"/>
            <w:vAlign w:val="bottom"/>
          </w:tcPr>
          <w:p w:rsidR="00565FD5" w:rsidRPr="00A253C6" w:rsidRDefault="00565FD5" w:rsidP="00AB62A3">
            <w:pPr>
              <w:jc w:val="right"/>
              <w:rPr>
                <w:rFonts w:cs="Tahoma"/>
                <w:b/>
                <w:bCs/>
                <w:sz w:val="13"/>
                <w:szCs w:val="13"/>
              </w:rPr>
            </w:pPr>
            <w:r w:rsidRPr="00A253C6">
              <w:rPr>
                <w:rFonts w:cs="Tahoma"/>
                <w:b/>
                <w:bCs/>
                <w:sz w:val="13"/>
                <w:szCs w:val="13"/>
              </w:rPr>
              <w:t>403 988</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b/>
                <w:bCs/>
                <w:sz w:val="13"/>
                <w:szCs w:val="13"/>
              </w:rPr>
            </w:pPr>
            <w:r w:rsidRPr="00A253C6">
              <w:rPr>
                <w:rFonts w:cs="Tahoma"/>
                <w:b/>
                <w:bCs/>
                <w:sz w:val="13"/>
                <w:szCs w:val="13"/>
              </w:rPr>
              <w:t>15,3</w:t>
            </w:r>
          </w:p>
        </w:tc>
        <w:tc>
          <w:tcPr>
            <w:tcW w:w="353" w:type="pct"/>
            <w:vAlign w:val="bottom"/>
          </w:tcPr>
          <w:p w:rsidR="00565FD5" w:rsidRPr="00A253C6" w:rsidRDefault="00565FD5" w:rsidP="00AB62A3">
            <w:pPr>
              <w:jc w:val="right"/>
              <w:rPr>
                <w:rFonts w:cs="Tahoma"/>
                <w:b/>
                <w:bCs/>
                <w:sz w:val="13"/>
                <w:szCs w:val="13"/>
              </w:rPr>
            </w:pPr>
            <w:r w:rsidRPr="00A253C6">
              <w:rPr>
                <w:rFonts w:cs="Tahoma"/>
                <w:b/>
                <w:bCs/>
                <w:sz w:val="13"/>
                <w:szCs w:val="13"/>
              </w:rPr>
              <w:t>11,4</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b/>
                <w:bCs/>
                <w:sz w:val="13"/>
                <w:szCs w:val="13"/>
              </w:rPr>
            </w:pPr>
            <w:r w:rsidRPr="00A253C6">
              <w:rPr>
                <w:rFonts w:cs="Tahoma"/>
                <w:b/>
                <w:bCs/>
                <w:sz w:val="13"/>
                <w:szCs w:val="13"/>
              </w:rPr>
              <w:t>100,0</w:t>
            </w:r>
          </w:p>
        </w:tc>
        <w:tc>
          <w:tcPr>
            <w:tcW w:w="348" w:type="pct"/>
            <w:vAlign w:val="bottom"/>
          </w:tcPr>
          <w:p w:rsidR="00565FD5" w:rsidRPr="00A253C6" w:rsidRDefault="00565FD5" w:rsidP="00AB62A3">
            <w:pPr>
              <w:jc w:val="right"/>
              <w:rPr>
                <w:rFonts w:cs="Tahoma"/>
                <w:b/>
                <w:bCs/>
                <w:sz w:val="13"/>
                <w:szCs w:val="13"/>
              </w:rPr>
            </w:pPr>
            <w:r w:rsidRPr="00A253C6">
              <w:rPr>
                <w:rFonts w:cs="Tahoma"/>
                <w:b/>
                <w:bCs/>
                <w:sz w:val="13"/>
                <w:szCs w:val="13"/>
              </w:rPr>
              <w:t>100,0</w:t>
            </w:r>
          </w:p>
        </w:tc>
        <w:tc>
          <w:tcPr>
            <w:tcW w:w="313" w:type="pct"/>
            <w:vAlign w:val="bottom"/>
          </w:tcPr>
          <w:p w:rsidR="00565FD5" w:rsidRPr="00A253C6" w:rsidRDefault="00565FD5" w:rsidP="00AB62A3">
            <w:pPr>
              <w:jc w:val="right"/>
              <w:rPr>
                <w:rFonts w:cs="Tahoma"/>
                <w:b/>
                <w:bCs/>
                <w:sz w:val="13"/>
                <w:szCs w:val="13"/>
              </w:rPr>
            </w:pPr>
            <w:r w:rsidRPr="00A253C6">
              <w:rPr>
                <w:rFonts w:cs="Tahoma"/>
                <w:b/>
                <w:bCs/>
                <w:sz w:val="13"/>
                <w:szCs w:val="13"/>
              </w:rPr>
              <w:t>100,0</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b/>
                <w:bCs/>
                <w:sz w:val="13"/>
                <w:szCs w:val="13"/>
              </w:rPr>
            </w:pPr>
            <w:r w:rsidRPr="00A253C6">
              <w:rPr>
                <w:rFonts w:cs="Tahoma"/>
                <w:b/>
                <w:bCs/>
                <w:sz w:val="13"/>
                <w:szCs w:val="13"/>
              </w:rPr>
              <w:t>24,2</w:t>
            </w:r>
          </w:p>
        </w:tc>
        <w:tc>
          <w:tcPr>
            <w:tcW w:w="348" w:type="pct"/>
            <w:vAlign w:val="bottom"/>
          </w:tcPr>
          <w:p w:rsidR="00565FD5" w:rsidRPr="00A253C6" w:rsidRDefault="00565FD5" w:rsidP="00AB62A3">
            <w:pPr>
              <w:jc w:val="right"/>
              <w:rPr>
                <w:rFonts w:cs="Tahoma"/>
                <w:b/>
                <w:bCs/>
                <w:sz w:val="13"/>
                <w:szCs w:val="13"/>
              </w:rPr>
            </w:pPr>
            <w:r w:rsidRPr="00A253C6">
              <w:rPr>
                <w:rFonts w:cs="Tahoma"/>
                <w:b/>
                <w:bCs/>
                <w:sz w:val="13"/>
                <w:szCs w:val="13"/>
              </w:rPr>
              <w:t>25,3</w:t>
            </w:r>
          </w:p>
        </w:tc>
        <w:tc>
          <w:tcPr>
            <w:tcW w:w="353" w:type="pct"/>
            <w:tcBorders>
              <w:right w:val="single" w:sz="4" w:space="0" w:color="auto"/>
            </w:tcBorders>
            <w:vAlign w:val="bottom"/>
          </w:tcPr>
          <w:p w:rsidR="00565FD5" w:rsidRPr="00A253C6" w:rsidRDefault="00565FD5" w:rsidP="00AB62A3">
            <w:pPr>
              <w:jc w:val="right"/>
              <w:rPr>
                <w:rFonts w:cs="Tahoma"/>
                <w:b/>
                <w:bCs/>
                <w:sz w:val="13"/>
                <w:szCs w:val="13"/>
              </w:rPr>
            </w:pPr>
            <w:r w:rsidRPr="00A253C6">
              <w:rPr>
                <w:rFonts w:cs="Tahoma"/>
                <w:b/>
                <w:bCs/>
                <w:sz w:val="13"/>
                <w:szCs w:val="13"/>
              </w:rPr>
              <w:t>25,7</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rPr>
                <w:rFonts w:cs="Tahoma"/>
                <w:sz w:val="13"/>
                <w:szCs w:val="13"/>
              </w:rPr>
            </w:pPr>
            <w:r w:rsidRPr="00A253C6">
              <w:rPr>
                <w:rFonts w:cs="Tahoma"/>
                <w:sz w:val="13"/>
                <w:szCs w:val="13"/>
              </w:rPr>
              <w:t xml:space="preserve"> 01 - Personel Giderleri</w:t>
            </w:r>
          </w:p>
        </w:tc>
        <w:tc>
          <w:tcPr>
            <w:tcW w:w="315" w:type="pct"/>
            <w:vAlign w:val="bottom"/>
          </w:tcPr>
          <w:p w:rsidR="00565FD5" w:rsidRPr="00A253C6" w:rsidRDefault="00565FD5" w:rsidP="00AB62A3">
            <w:pPr>
              <w:jc w:val="right"/>
              <w:rPr>
                <w:rFonts w:cs="Tahoma"/>
                <w:sz w:val="13"/>
                <w:szCs w:val="13"/>
              </w:rPr>
            </w:pPr>
            <w:r w:rsidRPr="00A253C6">
              <w:rPr>
                <w:rFonts w:cs="Tahoma"/>
                <w:sz w:val="13"/>
                <w:szCs w:val="13"/>
              </w:rPr>
              <w:t>72 914</w:t>
            </w:r>
          </w:p>
        </w:tc>
        <w:tc>
          <w:tcPr>
            <w:tcW w:w="340" w:type="pct"/>
            <w:vAlign w:val="bottom"/>
          </w:tcPr>
          <w:p w:rsidR="00565FD5" w:rsidRPr="00A253C6" w:rsidRDefault="00565FD5" w:rsidP="00AB62A3">
            <w:pPr>
              <w:jc w:val="right"/>
              <w:rPr>
                <w:rFonts w:cs="Tahoma"/>
                <w:sz w:val="13"/>
                <w:szCs w:val="13"/>
              </w:rPr>
            </w:pPr>
            <w:r w:rsidRPr="00A253C6">
              <w:rPr>
                <w:rFonts w:cs="Tahoma"/>
                <w:sz w:val="13"/>
                <w:szCs w:val="13"/>
              </w:rPr>
              <w:t>87 145</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97 224</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19,5</w:t>
            </w:r>
          </w:p>
        </w:tc>
        <w:tc>
          <w:tcPr>
            <w:tcW w:w="353" w:type="pct"/>
            <w:vAlign w:val="bottom"/>
          </w:tcPr>
          <w:p w:rsidR="00565FD5" w:rsidRPr="00A253C6" w:rsidRDefault="00565FD5" w:rsidP="00AB62A3">
            <w:pPr>
              <w:jc w:val="right"/>
              <w:rPr>
                <w:rFonts w:cs="Tahoma"/>
                <w:sz w:val="13"/>
                <w:szCs w:val="13"/>
              </w:rPr>
            </w:pPr>
            <w:r w:rsidRPr="00A253C6">
              <w:rPr>
                <w:rFonts w:cs="Tahoma"/>
                <w:sz w:val="13"/>
                <w:szCs w:val="13"/>
              </w:rPr>
              <w:t>11,6</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sz w:val="13"/>
                <w:szCs w:val="13"/>
              </w:rPr>
            </w:pPr>
            <w:r w:rsidRPr="00A253C6">
              <w:rPr>
                <w:rFonts w:cs="Tahoma"/>
                <w:sz w:val="13"/>
                <w:szCs w:val="13"/>
              </w:rPr>
              <w:t>23,2</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24,0</w:t>
            </w:r>
          </w:p>
        </w:tc>
        <w:tc>
          <w:tcPr>
            <w:tcW w:w="313" w:type="pct"/>
            <w:vAlign w:val="bottom"/>
          </w:tcPr>
          <w:p w:rsidR="00565FD5" w:rsidRPr="00A253C6" w:rsidRDefault="00565FD5" w:rsidP="00AB62A3">
            <w:pPr>
              <w:jc w:val="right"/>
              <w:rPr>
                <w:rFonts w:cs="Tahoma"/>
                <w:sz w:val="13"/>
                <w:szCs w:val="13"/>
              </w:rPr>
            </w:pPr>
            <w:r w:rsidRPr="00A253C6">
              <w:rPr>
                <w:rFonts w:cs="Tahoma"/>
                <w:sz w:val="13"/>
                <w:szCs w:val="13"/>
              </w:rPr>
              <w:t>24,1</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sz w:val="13"/>
                <w:szCs w:val="13"/>
              </w:rPr>
            </w:pPr>
            <w:r w:rsidRPr="00A253C6">
              <w:rPr>
                <w:rFonts w:cs="Tahoma"/>
                <w:sz w:val="13"/>
                <w:szCs w:val="13"/>
              </w:rPr>
              <w:t>5,6</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6,1</w:t>
            </w:r>
          </w:p>
        </w:tc>
        <w:tc>
          <w:tcPr>
            <w:tcW w:w="353" w:type="pct"/>
            <w:tcBorders>
              <w:right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6,2</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ind w:right="-95"/>
              <w:rPr>
                <w:rFonts w:cs="Tahoma"/>
                <w:sz w:val="13"/>
                <w:szCs w:val="13"/>
              </w:rPr>
            </w:pPr>
            <w:r w:rsidRPr="00A253C6">
              <w:rPr>
                <w:rFonts w:cs="Tahoma"/>
                <w:sz w:val="13"/>
                <w:szCs w:val="13"/>
              </w:rPr>
              <w:t xml:space="preserve"> 02 - SGK Devlet Primi Giderleri</w:t>
            </w:r>
          </w:p>
        </w:tc>
        <w:tc>
          <w:tcPr>
            <w:tcW w:w="315" w:type="pct"/>
            <w:vAlign w:val="bottom"/>
          </w:tcPr>
          <w:p w:rsidR="00565FD5" w:rsidRPr="00A253C6" w:rsidRDefault="00565FD5" w:rsidP="00AB62A3">
            <w:pPr>
              <w:jc w:val="right"/>
              <w:rPr>
                <w:rFonts w:cs="Tahoma"/>
                <w:sz w:val="13"/>
                <w:szCs w:val="13"/>
              </w:rPr>
            </w:pPr>
            <w:r w:rsidRPr="00A253C6">
              <w:rPr>
                <w:rFonts w:cs="Tahoma"/>
                <w:sz w:val="13"/>
                <w:szCs w:val="13"/>
              </w:rPr>
              <w:t>12 850</w:t>
            </w:r>
          </w:p>
        </w:tc>
        <w:tc>
          <w:tcPr>
            <w:tcW w:w="340" w:type="pct"/>
            <w:vAlign w:val="bottom"/>
          </w:tcPr>
          <w:p w:rsidR="00565FD5" w:rsidRPr="00A253C6" w:rsidRDefault="00565FD5" w:rsidP="00AB62A3">
            <w:pPr>
              <w:jc w:val="right"/>
              <w:rPr>
                <w:rFonts w:cs="Tahoma"/>
                <w:sz w:val="13"/>
                <w:szCs w:val="13"/>
              </w:rPr>
            </w:pPr>
            <w:r w:rsidRPr="00A253C6">
              <w:rPr>
                <w:rFonts w:cs="Tahoma"/>
                <w:sz w:val="13"/>
                <w:szCs w:val="13"/>
              </w:rPr>
              <w:t>14 955</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16 791</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16,4</w:t>
            </w:r>
          </w:p>
        </w:tc>
        <w:tc>
          <w:tcPr>
            <w:tcW w:w="353" w:type="pct"/>
            <w:vAlign w:val="bottom"/>
          </w:tcPr>
          <w:p w:rsidR="00565FD5" w:rsidRPr="00A253C6" w:rsidRDefault="00565FD5" w:rsidP="00AB62A3">
            <w:pPr>
              <w:jc w:val="right"/>
              <w:rPr>
                <w:rFonts w:cs="Tahoma"/>
                <w:sz w:val="13"/>
                <w:szCs w:val="13"/>
              </w:rPr>
            </w:pPr>
            <w:r w:rsidRPr="00A253C6">
              <w:rPr>
                <w:rFonts w:cs="Tahoma"/>
                <w:sz w:val="13"/>
                <w:szCs w:val="13"/>
              </w:rPr>
              <w:t>12,3</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sz w:val="13"/>
                <w:szCs w:val="13"/>
              </w:rPr>
            </w:pPr>
            <w:r w:rsidRPr="00A253C6">
              <w:rPr>
                <w:rFonts w:cs="Tahoma"/>
                <w:sz w:val="13"/>
                <w:szCs w:val="13"/>
              </w:rPr>
              <w:t>4,1</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4,1</w:t>
            </w:r>
          </w:p>
        </w:tc>
        <w:tc>
          <w:tcPr>
            <w:tcW w:w="313" w:type="pct"/>
            <w:vAlign w:val="bottom"/>
          </w:tcPr>
          <w:p w:rsidR="00565FD5" w:rsidRPr="00A253C6" w:rsidRDefault="00565FD5" w:rsidP="00AB62A3">
            <w:pPr>
              <w:jc w:val="right"/>
              <w:rPr>
                <w:rFonts w:cs="Tahoma"/>
                <w:sz w:val="13"/>
                <w:szCs w:val="13"/>
              </w:rPr>
            </w:pPr>
            <w:r w:rsidRPr="00A253C6">
              <w:rPr>
                <w:rFonts w:cs="Tahoma"/>
                <w:sz w:val="13"/>
                <w:szCs w:val="13"/>
              </w:rPr>
              <w:t>4,2</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sz w:val="13"/>
                <w:szCs w:val="13"/>
              </w:rPr>
            </w:pPr>
            <w:r w:rsidRPr="00A253C6">
              <w:rPr>
                <w:rFonts w:cs="Tahoma"/>
                <w:sz w:val="13"/>
                <w:szCs w:val="13"/>
              </w:rPr>
              <w:t>1,0</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1,0</w:t>
            </w:r>
          </w:p>
        </w:tc>
        <w:tc>
          <w:tcPr>
            <w:tcW w:w="353" w:type="pct"/>
            <w:tcBorders>
              <w:right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1,1</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rPr>
                <w:rFonts w:cs="Tahoma"/>
                <w:sz w:val="13"/>
                <w:szCs w:val="13"/>
              </w:rPr>
            </w:pPr>
            <w:r w:rsidRPr="00A253C6">
              <w:rPr>
                <w:rFonts w:cs="Tahoma"/>
                <w:sz w:val="13"/>
                <w:szCs w:val="13"/>
              </w:rPr>
              <w:t xml:space="preserve"> 03 - Mal ve Hizmet Alım Giderleri</w:t>
            </w:r>
          </w:p>
        </w:tc>
        <w:tc>
          <w:tcPr>
            <w:tcW w:w="315" w:type="pct"/>
            <w:vAlign w:val="bottom"/>
          </w:tcPr>
          <w:p w:rsidR="00565FD5" w:rsidRPr="00A253C6" w:rsidRDefault="00565FD5" w:rsidP="00AB62A3">
            <w:pPr>
              <w:jc w:val="right"/>
              <w:rPr>
                <w:rFonts w:cs="Tahoma"/>
                <w:sz w:val="13"/>
                <w:szCs w:val="13"/>
              </w:rPr>
            </w:pPr>
            <w:r w:rsidRPr="00A253C6">
              <w:rPr>
                <w:rFonts w:cs="Tahoma"/>
                <w:sz w:val="13"/>
                <w:szCs w:val="13"/>
              </w:rPr>
              <w:t>32 797</w:t>
            </w:r>
          </w:p>
        </w:tc>
        <w:tc>
          <w:tcPr>
            <w:tcW w:w="340" w:type="pct"/>
            <w:vAlign w:val="bottom"/>
          </w:tcPr>
          <w:p w:rsidR="00565FD5" w:rsidRPr="00A253C6" w:rsidRDefault="00565FD5" w:rsidP="00AB62A3">
            <w:pPr>
              <w:jc w:val="right"/>
              <w:rPr>
                <w:rFonts w:cs="Tahoma"/>
                <w:sz w:val="13"/>
                <w:szCs w:val="13"/>
              </w:rPr>
            </w:pPr>
            <w:r w:rsidRPr="00A253C6">
              <w:rPr>
                <w:rFonts w:cs="Tahoma"/>
                <w:sz w:val="13"/>
                <w:szCs w:val="13"/>
              </w:rPr>
              <w:t>33 396</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33 436</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1,8</w:t>
            </w:r>
          </w:p>
        </w:tc>
        <w:tc>
          <w:tcPr>
            <w:tcW w:w="353" w:type="pct"/>
            <w:vAlign w:val="bottom"/>
          </w:tcPr>
          <w:p w:rsidR="00565FD5" w:rsidRPr="00A253C6" w:rsidRDefault="00565FD5" w:rsidP="00AB62A3">
            <w:pPr>
              <w:jc w:val="right"/>
              <w:rPr>
                <w:rFonts w:cs="Tahoma"/>
                <w:sz w:val="13"/>
                <w:szCs w:val="13"/>
              </w:rPr>
            </w:pPr>
            <w:r w:rsidRPr="00A253C6">
              <w:rPr>
                <w:rFonts w:cs="Tahoma"/>
                <w:sz w:val="13"/>
                <w:szCs w:val="13"/>
              </w:rPr>
              <w:t>0,1</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sz w:val="13"/>
                <w:szCs w:val="13"/>
              </w:rPr>
            </w:pPr>
            <w:r w:rsidRPr="00A253C6">
              <w:rPr>
                <w:rFonts w:cs="Tahoma"/>
                <w:sz w:val="13"/>
                <w:szCs w:val="13"/>
              </w:rPr>
              <w:t>10,4</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9,2</w:t>
            </w:r>
          </w:p>
        </w:tc>
        <w:tc>
          <w:tcPr>
            <w:tcW w:w="313" w:type="pct"/>
            <w:vAlign w:val="bottom"/>
          </w:tcPr>
          <w:p w:rsidR="00565FD5" w:rsidRPr="00A253C6" w:rsidRDefault="00565FD5" w:rsidP="00AB62A3">
            <w:pPr>
              <w:jc w:val="right"/>
              <w:rPr>
                <w:rFonts w:cs="Tahoma"/>
                <w:sz w:val="13"/>
                <w:szCs w:val="13"/>
              </w:rPr>
            </w:pPr>
            <w:r w:rsidRPr="00A253C6">
              <w:rPr>
                <w:rFonts w:cs="Tahoma"/>
                <w:sz w:val="13"/>
                <w:szCs w:val="13"/>
              </w:rPr>
              <w:t>8,3</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sz w:val="13"/>
                <w:szCs w:val="13"/>
              </w:rPr>
            </w:pPr>
            <w:r w:rsidRPr="00A253C6">
              <w:rPr>
                <w:rFonts w:cs="Tahoma"/>
                <w:sz w:val="13"/>
                <w:szCs w:val="13"/>
              </w:rPr>
              <w:t>2,5</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2,3</w:t>
            </w:r>
          </w:p>
        </w:tc>
        <w:tc>
          <w:tcPr>
            <w:tcW w:w="353" w:type="pct"/>
            <w:tcBorders>
              <w:right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2,1</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rPr>
                <w:rFonts w:cs="Tahoma"/>
                <w:sz w:val="13"/>
                <w:szCs w:val="13"/>
              </w:rPr>
            </w:pPr>
            <w:r w:rsidRPr="00A253C6">
              <w:rPr>
                <w:rFonts w:cs="Tahoma"/>
                <w:sz w:val="13"/>
                <w:szCs w:val="13"/>
              </w:rPr>
              <w:t xml:space="preserve"> 04 - Faiz Giderleri  </w:t>
            </w:r>
          </w:p>
        </w:tc>
        <w:tc>
          <w:tcPr>
            <w:tcW w:w="315" w:type="pct"/>
            <w:vAlign w:val="bottom"/>
          </w:tcPr>
          <w:p w:rsidR="00565FD5" w:rsidRPr="00A253C6" w:rsidRDefault="00565FD5" w:rsidP="00AB62A3">
            <w:pPr>
              <w:jc w:val="right"/>
              <w:rPr>
                <w:rFonts w:cs="Tahoma"/>
                <w:sz w:val="13"/>
                <w:szCs w:val="13"/>
              </w:rPr>
            </w:pPr>
            <w:r w:rsidRPr="00A253C6">
              <w:rPr>
                <w:rFonts w:cs="Tahoma"/>
                <w:sz w:val="13"/>
                <w:szCs w:val="13"/>
              </w:rPr>
              <w:t>42 232</w:t>
            </w:r>
          </w:p>
        </w:tc>
        <w:tc>
          <w:tcPr>
            <w:tcW w:w="340" w:type="pct"/>
            <w:vAlign w:val="bottom"/>
          </w:tcPr>
          <w:p w:rsidR="00565FD5" w:rsidRPr="00A253C6" w:rsidRDefault="00565FD5" w:rsidP="00AB62A3">
            <w:pPr>
              <w:jc w:val="right"/>
              <w:rPr>
                <w:rFonts w:cs="Tahoma"/>
                <w:sz w:val="13"/>
                <w:szCs w:val="13"/>
              </w:rPr>
            </w:pPr>
            <w:r w:rsidRPr="00A253C6">
              <w:rPr>
                <w:rFonts w:cs="Tahoma"/>
                <w:sz w:val="13"/>
                <w:szCs w:val="13"/>
              </w:rPr>
              <w:t>49 000</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53 000</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16,0</w:t>
            </w:r>
          </w:p>
        </w:tc>
        <w:tc>
          <w:tcPr>
            <w:tcW w:w="353" w:type="pct"/>
            <w:vAlign w:val="bottom"/>
          </w:tcPr>
          <w:p w:rsidR="00565FD5" w:rsidRPr="00A253C6" w:rsidRDefault="00565FD5" w:rsidP="00AB62A3">
            <w:pPr>
              <w:jc w:val="right"/>
              <w:rPr>
                <w:rFonts w:cs="Tahoma"/>
                <w:sz w:val="13"/>
                <w:szCs w:val="13"/>
              </w:rPr>
            </w:pPr>
            <w:r w:rsidRPr="00A253C6">
              <w:rPr>
                <w:rFonts w:cs="Tahoma"/>
                <w:sz w:val="13"/>
                <w:szCs w:val="13"/>
              </w:rPr>
              <w:t>8,2</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sz w:val="13"/>
                <w:szCs w:val="13"/>
              </w:rPr>
            </w:pPr>
            <w:r w:rsidRPr="00A253C6">
              <w:rPr>
                <w:rFonts w:cs="Tahoma"/>
                <w:sz w:val="13"/>
                <w:szCs w:val="13"/>
              </w:rPr>
              <w:t>13,4</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13,5</w:t>
            </w:r>
          </w:p>
        </w:tc>
        <w:tc>
          <w:tcPr>
            <w:tcW w:w="313" w:type="pct"/>
            <w:vAlign w:val="bottom"/>
          </w:tcPr>
          <w:p w:rsidR="00565FD5" w:rsidRPr="00A253C6" w:rsidRDefault="00565FD5" w:rsidP="00AB62A3">
            <w:pPr>
              <w:jc w:val="right"/>
              <w:rPr>
                <w:rFonts w:cs="Tahoma"/>
                <w:sz w:val="13"/>
                <w:szCs w:val="13"/>
              </w:rPr>
            </w:pPr>
            <w:r w:rsidRPr="00A253C6">
              <w:rPr>
                <w:rFonts w:cs="Tahoma"/>
                <w:sz w:val="13"/>
                <w:szCs w:val="13"/>
              </w:rPr>
              <w:t>13,1</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sz w:val="13"/>
                <w:szCs w:val="13"/>
              </w:rPr>
            </w:pPr>
            <w:r w:rsidRPr="00A253C6">
              <w:rPr>
                <w:rFonts w:cs="Tahoma"/>
                <w:sz w:val="13"/>
                <w:szCs w:val="13"/>
              </w:rPr>
              <w:t>3,3</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3,4</w:t>
            </w:r>
          </w:p>
        </w:tc>
        <w:tc>
          <w:tcPr>
            <w:tcW w:w="353" w:type="pct"/>
            <w:tcBorders>
              <w:right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3,4</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rPr>
                <w:rFonts w:cs="Tahoma"/>
                <w:sz w:val="13"/>
                <w:szCs w:val="13"/>
              </w:rPr>
            </w:pPr>
            <w:r w:rsidRPr="00A253C6">
              <w:rPr>
                <w:rFonts w:cs="Tahoma"/>
                <w:sz w:val="13"/>
                <w:szCs w:val="13"/>
              </w:rPr>
              <w:t xml:space="preserve"> 05 - Cari Transferler</w:t>
            </w:r>
          </w:p>
        </w:tc>
        <w:tc>
          <w:tcPr>
            <w:tcW w:w="315" w:type="pct"/>
            <w:vAlign w:val="bottom"/>
          </w:tcPr>
          <w:p w:rsidR="00565FD5" w:rsidRPr="00A253C6" w:rsidRDefault="00565FD5" w:rsidP="00AB62A3">
            <w:pPr>
              <w:jc w:val="right"/>
              <w:rPr>
                <w:rFonts w:cs="Tahoma"/>
                <w:sz w:val="13"/>
                <w:szCs w:val="13"/>
              </w:rPr>
            </w:pPr>
            <w:r w:rsidRPr="00A253C6">
              <w:rPr>
                <w:rFonts w:cs="Tahoma"/>
                <w:sz w:val="13"/>
                <w:szCs w:val="13"/>
              </w:rPr>
              <w:t>110 499</w:t>
            </w:r>
          </w:p>
        </w:tc>
        <w:tc>
          <w:tcPr>
            <w:tcW w:w="340" w:type="pct"/>
            <w:vAlign w:val="bottom"/>
          </w:tcPr>
          <w:p w:rsidR="00565FD5" w:rsidRPr="00A253C6" w:rsidRDefault="00565FD5" w:rsidP="00AB62A3">
            <w:pPr>
              <w:jc w:val="right"/>
              <w:rPr>
                <w:rFonts w:cs="Tahoma"/>
                <w:sz w:val="13"/>
                <w:szCs w:val="13"/>
              </w:rPr>
            </w:pPr>
            <w:r w:rsidRPr="00A253C6">
              <w:rPr>
                <w:rFonts w:cs="Tahoma"/>
                <w:sz w:val="13"/>
                <w:szCs w:val="13"/>
              </w:rPr>
              <w:t>129 258</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151 287</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17,0</w:t>
            </w:r>
          </w:p>
        </w:tc>
        <w:tc>
          <w:tcPr>
            <w:tcW w:w="353" w:type="pct"/>
            <w:vAlign w:val="bottom"/>
          </w:tcPr>
          <w:p w:rsidR="00565FD5" w:rsidRPr="00A253C6" w:rsidRDefault="00565FD5" w:rsidP="00AB62A3">
            <w:pPr>
              <w:jc w:val="right"/>
              <w:rPr>
                <w:rFonts w:cs="Tahoma"/>
                <w:sz w:val="13"/>
                <w:szCs w:val="13"/>
              </w:rPr>
            </w:pPr>
            <w:r w:rsidRPr="00A253C6">
              <w:rPr>
                <w:rFonts w:cs="Tahoma"/>
                <w:sz w:val="13"/>
                <w:szCs w:val="13"/>
              </w:rPr>
              <w:t>17,0</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sz w:val="13"/>
                <w:szCs w:val="13"/>
              </w:rPr>
            </w:pPr>
            <w:r w:rsidRPr="00A253C6">
              <w:rPr>
                <w:rFonts w:cs="Tahoma"/>
                <w:sz w:val="13"/>
                <w:szCs w:val="13"/>
              </w:rPr>
              <w:t>35,1</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35,6</w:t>
            </w:r>
          </w:p>
        </w:tc>
        <w:tc>
          <w:tcPr>
            <w:tcW w:w="313" w:type="pct"/>
            <w:vAlign w:val="bottom"/>
          </w:tcPr>
          <w:p w:rsidR="00565FD5" w:rsidRPr="00A253C6" w:rsidRDefault="00565FD5" w:rsidP="00AB62A3">
            <w:pPr>
              <w:jc w:val="right"/>
              <w:rPr>
                <w:rFonts w:cs="Tahoma"/>
                <w:sz w:val="13"/>
                <w:szCs w:val="13"/>
              </w:rPr>
            </w:pPr>
            <w:r w:rsidRPr="00A253C6">
              <w:rPr>
                <w:rFonts w:cs="Tahoma"/>
                <w:sz w:val="13"/>
                <w:szCs w:val="13"/>
              </w:rPr>
              <w:t>37,4</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sz w:val="13"/>
                <w:szCs w:val="13"/>
              </w:rPr>
            </w:pPr>
            <w:r w:rsidRPr="00A253C6">
              <w:rPr>
                <w:rFonts w:cs="Tahoma"/>
                <w:sz w:val="13"/>
                <w:szCs w:val="13"/>
              </w:rPr>
              <w:t>8,5</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9,0</w:t>
            </w:r>
          </w:p>
        </w:tc>
        <w:tc>
          <w:tcPr>
            <w:tcW w:w="353" w:type="pct"/>
            <w:tcBorders>
              <w:right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9,6</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rPr>
                <w:rFonts w:cs="Tahoma"/>
                <w:sz w:val="13"/>
                <w:szCs w:val="13"/>
              </w:rPr>
            </w:pPr>
            <w:r w:rsidRPr="00A253C6">
              <w:rPr>
                <w:rFonts w:cs="Tahoma"/>
                <w:sz w:val="13"/>
                <w:szCs w:val="13"/>
              </w:rPr>
              <w:t xml:space="preserve"> 06 - Sermaye Giderleri</w:t>
            </w:r>
          </w:p>
        </w:tc>
        <w:tc>
          <w:tcPr>
            <w:tcW w:w="315" w:type="pct"/>
            <w:vAlign w:val="bottom"/>
          </w:tcPr>
          <w:p w:rsidR="00565FD5" w:rsidRPr="00A253C6" w:rsidRDefault="00565FD5" w:rsidP="00AB62A3">
            <w:pPr>
              <w:jc w:val="right"/>
              <w:rPr>
                <w:rFonts w:cs="Tahoma"/>
                <w:sz w:val="13"/>
                <w:szCs w:val="13"/>
              </w:rPr>
            </w:pPr>
            <w:r w:rsidRPr="00A253C6">
              <w:rPr>
                <w:rFonts w:cs="Tahoma"/>
                <w:sz w:val="13"/>
                <w:szCs w:val="13"/>
              </w:rPr>
              <w:t>30 905</w:t>
            </w:r>
          </w:p>
        </w:tc>
        <w:tc>
          <w:tcPr>
            <w:tcW w:w="340" w:type="pct"/>
            <w:vAlign w:val="bottom"/>
          </w:tcPr>
          <w:p w:rsidR="00565FD5" w:rsidRPr="00A253C6" w:rsidRDefault="00565FD5" w:rsidP="00AB62A3">
            <w:pPr>
              <w:jc w:val="right"/>
              <w:rPr>
                <w:rFonts w:cs="Tahoma"/>
                <w:sz w:val="13"/>
                <w:szCs w:val="13"/>
              </w:rPr>
            </w:pPr>
            <w:r w:rsidRPr="00A253C6">
              <w:rPr>
                <w:rFonts w:cs="Tahoma"/>
                <w:sz w:val="13"/>
                <w:szCs w:val="13"/>
              </w:rPr>
              <w:t>33 731</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33 489</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9,1</w:t>
            </w:r>
          </w:p>
        </w:tc>
        <w:tc>
          <w:tcPr>
            <w:tcW w:w="353" w:type="pct"/>
            <w:vAlign w:val="bottom"/>
          </w:tcPr>
          <w:p w:rsidR="00565FD5" w:rsidRPr="00A253C6" w:rsidRDefault="00565FD5" w:rsidP="00AB62A3">
            <w:pPr>
              <w:jc w:val="right"/>
              <w:rPr>
                <w:rFonts w:cs="Tahoma"/>
                <w:sz w:val="13"/>
                <w:szCs w:val="13"/>
              </w:rPr>
            </w:pPr>
            <w:r w:rsidRPr="00A253C6">
              <w:rPr>
                <w:rFonts w:cs="Tahoma"/>
                <w:sz w:val="13"/>
                <w:szCs w:val="13"/>
              </w:rPr>
              <w:t>-0,7</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sz w:val="13"/>
                <w:szCs w:val="13"/>
              </w:rPr>
            </w:pPr>
            <w:r w:rsidRPr="00A253C6">
              <w:rPr>
                <w:rFonts w:cs="Tahoma"/>
                <w:sz w:val="13"/>
                <w:szCs w:val="13"/>
              </w:rPr>
              <w:t>9,8</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9,3</w:t>
            </w:r>
          </w:p>
        </w:tc>
        <w:tc>
          <w:tcPr>
            <w:tcW w:w="313" w:type="pct"/>
            <w:vAlign w:val="bottom"/>
          </w:tcPr>
          <w:p w:rsidR="00565FD5" w:rsidRPr="00A253C6" w:rsidRDefault="00565FD5" w:rsidP="00AB62A3">
            <w:pPr>
              <w:jc w:val="right"/>
              <w:rPr>
                <w:rFonts w:cs="Tahoma"/>
                <w:sz w:val="13"/>
                <w:szCs w:val="13"/>
              </w:rPr>
            </w:pPr>
            <w:r w:rsidRPr="00A253C6">
              <w:rPr>
                <w:rFonts w:cs="Tahoma"/>
                <w:sz w:val="13"/>
                <w:szCs w:val="13"/>
              </w:rPr>
              <w:t>8,3</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sz w:val="13"/>
                <w:szCs w:val="13"/>
              </w:rPr>
            </w:pPr>
            <w:r w:rsidRPr="00A253C6">
              <w:rPr>
                <w:rFonts w:cs="Tahoma"/>
                <w:sz w:val="13"/>
                <w:szCs w:val="13"/>
              </w:rPr>
              <w:t>2,4</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2,4</w:t>
            </w:r>
          </w:p>
        </w:tc>
        <w:tc>
          <w:tcPr>
            <w:tcW w:w="353" w:type="pct"/>
            <w:tcBorders>
              <w:right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2,1</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rPr>
                <w:rFonts w:cs="Tahoma"/>
                <w:sz w:val="13"/>
                <w:szCs w:val="13"/>
              </w:rPr>
            </w:pPr>
            <w:r w:rsidRPr="00A253C6">
              <w:rPr>
                <w:rFonts w:cs="Tahoma"/>
                <w:sz w:val="13"/>
                <w:szCs w:val="13"/>
              </w:rPr>
              <w:t xml:space="preserve"> 07 - Sermaye Transferleri</w:t>
            </w:r>
          </w:p>
        </w:tc>
        <w:tc>
          <w:tcPr>
            <w:tcW w:w="315" w:type="pct"/>
            <w:vAlign w:val="bottom"/>
          </w:tcPr>
          <w:p w:rsidR="00565FD5" w:rsidRPr="00A253C6" w:rsidRDefault="00565FD5" w:rsidP="00AB62A3">
            <w:pPr>
              <w:jc w:val="right"/>
              <w:rPr>
                <w:rFonts w:cs="Tahoma"/>
                <w:sz w:val="13"/>
                <w:szCs w:val="13"/>
              </w:rPr>
            </w:pPr>
            <w:r w:rsidRPr="00A253C6">
              <w:rPr>
                <w:rFonts w:cs="Tahoma"/>
                <w:sz w:val="13"/>
                <w:szCs w:val="13"/>
              </w:rPr>
              <w:t>6 739</w:t>
            </w:r>
          </w:p>
        </w:tc>
        <w:tc>
          <w:tcPr>
            <w:tcW w:w="340" w:type="pct"/>
            <w:vAlign w:val="bottom"/>
          </w:tcPr>
          <w:p w:rsidR="00565FD5" w:rsidRPr="00A253C6" w:rsidRDefault="00565FD5" w:rsidP="00AB62A3">
            <w:pPr>
              <w:jc w:val="right"/>
              <w:rPr>
                <w:rFonts w:cs="Tahoma"/>
                <w:sz w:val="13"/>
                <w:szCs w:val="13"/>
              </w:rPr>
            </w:pPr>
            <w:r w:rsidRPr="00A253C6">
              <w:rPr>
                <w:rFonts w:cs="Tahoma"/>
                <w:sz w:val="13"/>
                <w:szCs w:val="13"/>
              </w:rPr>
              <w:t>5 573</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5 103</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-17,3</w:t>
            </w:r>
          </w:p>
        </w:tc>
        <w:tc>
          <w:tcPr>
            <w:tcW w:w="353" w:type="pct"/>
            <w:vAlign w:val="bottom"/>
          </w:tcPr>
          <w:p w:rsidR="00565FD5" w:rsidRPr="00A253C6" w:rsidRDefault="00565FD5" w:rsidP="00AB62A3">
            <w:pPr>
              <w:jc w:val="right"/>
              <w:rPr>
                <w:rFonts w:cs="Tahoma"/>
                <w:sz w:val="13"/>
                <w:szCs w:val="13"/>
              </w:rPr>
            </w:pPr>
            <w:r w:rsidRPr="00A253C6">
              <w:rPr>
                <w:rFonts w:cs="Tahoma"/>
                <w:sz w:val="13"/>
                <w:szCs w:val="13"/>
              </w:rPr>
              <w:t>-8,4</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sz w:val="13"/>
                <w:szCs w:val="13"/>
              </w:rPr>
            </w:pPr>
            <w:r w:rsidRPr="00A253C6">
              <w:rPr>
                <w:rFonts w:cs="Tahoma"/>
                <w:sz w:val="13"/>
                <w:szCs w:val="13"/>
              </w:rPr>
              <w:t>2,1</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1,5</w:t>
            </w:r>
          </w:p>
        </w:tc>
        <w:tc>
          <w:tcPr>
            <w:tcW w:w="313" w:type="pct"/>
            <w:vAlign w:val="bottom"/>
          </w:tcPr>
          <w:p w:rsidR="00565FD5" w:rsidRPr="00A253C6" w:rsidRDefault="00565FD5" w:rsidP="00AB62A3">
            <w:pPr>
              <w:jc w:val="right"/>
              <w:rPr>
                <w:rFonts w:cs="Tahoma"/>
                <w:sz w:val="13"/>
                <w:szCs w:val="13"/>
              </w:rPr>
            </w:pPr>
            <w:r w:rsidRPr="00A253C6">
              <w:rPr>
                <w:rFonts w:cs="Tahoma"/>
                <w:sz w:val="13"/>
                <w:szCs w:val="13"/>
              </w:rPr>
              <w:t>1,3</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sz w:val="13"/>
                <w:szCs w:val="13"/>
              </w:rPr>
            </w:pPr>
            <w:r w:rsidRPr="00A253C6">
              <w:rPr>
                <w:rFonts w:cs="Tahoma"/>
                <w:sz w:val="13"/>
                <w:szCs w:val="13"/>
              </w:rPr>
              <w:t>0,5</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0,4</w:t>
            </w:r>
          </w:p>
        </w:tc>
        <w:tc>
          <w:tcPr>
            <w:tcW w:w="353" w:type="pct"/>
            <w:tcBorders>
              <w:right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0,3</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rPr>
                <w:rFonts w:cs="Tahoma"/>
                <w:sz w:val="13"/>
                <w:szCs w:val="13"/>
              </w:rPr>
            </w:pPr>
            <w:r w:rsidRPr="00A253C6">
              <w:rPr>
                <w:rFonts w:cs="Tahoma"/>
                <w:sz w:val="13"/>
                <w:szCs w:val="13"/>
              </w:rPr>
              <w:t xml:space="preserve"> 08 - Borç Verme</w:t>
            </w:r>
          </w:p>
        </w:tc>
        <w:tc>
          <w:tcPr>
            <w:tcW w:w="315" w:type="pct"/>
            <w:vAlign w:val="bottom"/>
          </w:tcPr>
          <w:p w:rsidR="00565FD5" w:rsidRPr="00A253C6" w:rsidRDefault="00565FD5" w:rsidP="00AB62A3">
            <w:pPr>
              <w:jc w:val="right"/>
              <w:rPr>
                <w:rFonts w:cs="Tahoma"/>
                <w:sz w:val="13"/>
                <w:szCs w:val="13"/>
              </w:rPr>
            </w:pPr>
            <w:r w:rsidRPr="00A253C6">
              <w:rPr>
                <w:rFonts w:cs="Tahoma"/>
                <w:sz w:val="13"/>
                <w:szCs w:val="13"/>
              </w:rPr>
              <w:t>5 671</w:t>
            </w:r>
          </w:p>
        </w:tc>
        <w:tc>
          <w:tcPr>
            <w:tcW w:w="340" w:type="pct"/>
            <w:vAlign w:val="bottom"/>
          </w:tcPr>
          <w:p w:rsidR="00565FD5" w:rsidRPr="00A253C6" w:rsidRDefault="00565FD5" w:rsidP="00AB62A3">
            <w:pPr>
              <w:jc w:val="right"/>
              <w:rPr>
                <w:rFonts w:cs="Tahoma"/>
                <w:sz w:val="13"/>
                <w:szCs w:val="13"/>
              </w:rPr>
            </w:pPr>
            <w:r w:rsidRPr="00A253C6">
              <w:rPr>
                <w:rFonts w:cs="Tahoma"/>
                <w:sz w:val="13"/>
                <w:szCs w:val="13"/>
              </w:rPr>
              <w:t>9 611</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11 115</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69,5</w:t>
            </w:r>
          </w:p>
        </w:tc>
        <w:tc>
          <w:tcPr>
            <w:tcW w:w="353" w:type="pct"/>
            <w:vAlign w:val="bottom"/>
          </w:tcPr>
          <w:p w:rsidR="00565FD5" w:rsidRPr="00A253C6" w:rsidRDefault="00565FD5" w:rsidP="00AB62A3">
            <w:pPr>
              <w:jc w:val="right"/>
              <w:rPr>
                <w:rFonts w:cs="Tahoma"/>
                <w:sz w:val="13"/>
                <w:szCs w:val="13"/>
              </w:rPr>
            </w:pPr>
            <w:r w:rsidRPr="00A253C6">
              <w:rPr>
                <w:rFonts w:cs="Tahoma"/>
                <w:sz w:val="13"/>
                <w:szCs w:val="13"/>
              </w:rPr>
              <w:t>15,6</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sz w:val="13"/>
                <w:szCs w:val="13"/>
              </w:rPr>
            </w:pPr>
            <w:r w:rsidRPr="00A253C6">
              <w:rPr>
                <w:rFonts w:cs="Tahoma"/>
                <w:sz w:val="13"/>
                <w:szCs w:val="13"/>
              </w:rPr>
              <w:t>1,8</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2,7</w:t>
            </w:r>
          </w:p>
        </w:tc>
        <w:tc>
          <w:tcPr>
            <w:tcW w:w="313" w:type="pct"/>
            <w:vAlign w:val="bottom"/>
          </w:tcPr>
          <w:p w:rsidR="00565FD5" w:rsidRPr="00A253C6" w:rsidRDefault="00565FD5" w:rsidP="00AB62A3">
            <w:pPr>
              <w:jc w:val="right"/>
              <w:rPr>
                <w:rFonts w:cs="Tahoma"/>
                <w:sz w:val="13"/>
                <w:szCs w:val="13"/>
              </w:rPr>
            </w:pPr>
            <w:r w:rsidRPr="00A253C6">
              <w:rPr>
                <w:rFonts w:cs="Tahoma"/>
                <w:sz w:val="13"/>
                <w:szCs w:val="13"/>
              </w:rPr>
              <w:t>2,8</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sz w:val="13"/>
                <w:szCs w:val="13"/>
              </w:rPr>
            </w:pPr>
            <w:r w:rsidRPr="00A253C6">
              <w:rPr>
                <w:rFonts w:cs="Tahoma"/>
                <w:sz w:val="13"/>
                <w:szCs w:val="13"/>
              </w:rPr>
              <w:t>0,4</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0,7</w:t>
            </w:r>
          </w:p>
        </w:tc>
        <w:tc>
          <w:tcPr>
            <w:tcW w:w="353" w:type="pct"/>
            <w:tcBorders>
              <w:right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0,7</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rPr>
                <w:rFonts w:cs="Tahoma"/>
                <w:sz w:val="13"/>
                <w:szCs w:val="13"/>
              </w:rPr>
            </w:pPr>
            <w:r w:rsidRPr="00A253C6">
              <w:rPr>
                <w:rFonts w:cs="Tahoma"/>
                <w:sz w:val="13"/>
                <w:szCs w:val="13"/>
              </w:rPr>
              <w:t xml:space="preserve"> 09 - Yedek Ödenekler</w:t>
            </w:r>
          </w:p>
        </w:tc>
        <w:tc>
          <w:tcPr>
            <w:tcW w:w="315" w:type="pct"/>
            <w:vAlign w:val="bottom"/>
          </w:tcPr>
          <w:p w:rsidR="00565FD5" w:rsidRPr="00A253C6" w:rsidRDefault="00565FD5" w:rsidP="00AB62A3">
            <w:pPr>
              <w:jc w:val="right"/>
              <w:rPr>
                <w:rFonts w:cs="Tahoma"/>
                <w:sz w:val="13"/>
                <w:szCs w:val="13"/>
              </w:rPr>
            </w:pPr>
            <w:r w:rsidRPr="00A253C6">
              <w:rPr>
                <w:rFonts w:cs="Tahoma"/>
                <w:sz w:val="13"/>
                <w:szCs w:val="13"/>
              </w:rPr>
              <w:t xml:space="preserve"> 0</w:t>
            </w:r>
          </w:p>
        </w:tc>
        <w:tc>
          <w:tcPr>
            <w:tcW w:w="340" w:type="pct"/>
            <w:vAlign w:val="bottom"/>
          </w:tcPr>
          <w:p w:rsidR="00565FD5" w:rsidRPr="00A253C6" w:rsidRDefault="00565FD5" w:rsidP="00AB62A3">
            <w:pPr>
              <w:jc w:val="right"/>
              <w:rPr>
                <w:rFonts w:cs="Tahoma"/>
                <w:sz w:val="13"/>
                <w:szCs w:val="13"/>
              </w:rPr>
            </w:pPr>
            <w:r w:rsidRPr="00A253C6">
              <w:rPr>
                <w:rFonts w:cs="Tahoma"/>
                <w:sz w:val="13"/>
                <w:szCs w:val="13"/>
              </w:rPr>
              <w:t xml:space="preserve"> 0</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2 543</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0,0</w:t>
            </w:r>
          </w:p>
        </w:tc>
        <w:tc>
          <w:tcPr>
            <w:tcW w:w="353" w:type="pct"/>
            <w:vAlign w:val="bottom"/>
          </w:tcPr>
          <w:p w:rsidR="00565FD5" w:rsidRPr="00A253C6" w:rsidRDefault="00565FD5" w:rsidP="00AB62A3">
            <w:pPr>
              <w:jc w:val="right"/>
              <w:rPr>
                <w:rFonts w:cs="Tahoma"/>
                <w:sz w:val="13"/>
                <w:szCs w:val="13"/>
              </w:rPr>
            </w:pPr>
            <w:r w:rsidRPr="00A253C6">
              <w:rPr>
                <w:rFonts w:cs="Tahoma"/>
                <w:sz w:val="13"/>
                <w:szCs w:val="13"/>
              </w:rPr>
              <w:t>0,0</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sz w:val="13"/>
                <w:szCs w:val="13"/>
              </w:rPr>
            </w:pPr>
            <w:r w:rsidRPr="00A253C6">
              <w:rPr>
                <w:rFonts w:cs="Tahoma"/>
                <w:sz w:val="13"/>
                <w:szCs w:val="13"/>
              </w:rPr>
              <w:t>0,0</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0,0</w:t>
            </w:r>
          </w:p>
        </w:tc>
        <w:tc>
          <w:tcPr>
            <w:tcW w:w="313" w:type="pct"/>
            <w:vAlign w:val="bottom"/>
          </w:tcPr>
          <w:p w:rsidR="00565FD5" w:rsidRPr="00A253C6" w:rsidRDefault="00565FD5" w:rsidP="00AB62A3">
            <w:pPr>
              <w:jc w:val="right"/>
              <w:rPr>
                <w:rFonts w:cs="Tahoma"/>
                <w:sz w:val="13"/>
                <w:szCs w:val="13"/>
              </w:rPr>
            </w:pPr>
            <w:r w:rsidRPr="00A253C6">
              <w:rPr>
                <w:rFonts w:cs="Tahoma"/>
                <w:sz w:val="13"/>
                <w:szCs w:val="13"/>
              </w:rPr>
              <w:t>0,6</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sz w:val="13"/>
                <w:szCs w:val="13"/>
              </w:rPr>
            </w:pPr>
            <w:r w:rsidRPr="00A253C6">
              <w:rPr>
                <w:rFonts w:cs="Tahoma"/>
                <w:sz w:val="13"/>
                <w:szCs w:val="13"/>
              </w:rPr>
              <w:t>0,0</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0,0</w:t>
            </w:r>
          </w:p>
        </w:tc>
        <w:tc>
          <w:tcPr>
            <w:tcW w:w="353" w:type="pct"/>
            <w:tcBorders>
              <w:right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0,2</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rPr>
                <w:rFonts w:cs="Tahoma"/>
                <w:b/>
                <w:bCs/>
                <w:sz w:val="13"/>
                <w:szCs w:val="13"/>
              </w:rPr>
            </w:pPr>
          </w:p>
        </w:tc>
        <w:tc>
          <w:tcPr>
            <w:tcW w:w="315"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40"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353"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348"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313"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348"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353" w:type="pct"/>
            <w:tcBorders>
              <w:right w:val="single" w:sz="4" w:space="0" w:color="auto"/>
            </w:tcBorders>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rPr>
                <w:rFonts w:cs="Tahoma"/>
                <w:b/>
                <w:bCs/>
                <w:sz w:val="13"/>
                <w:szCs w:val="13"/>
              </w:rPr>
            </w:pPr>
            <w:r w:rsidRPr="00A253C6">
              <w:rPr>
                <w:rFonts w:cs="Tahoma"/>
                <w:b/>
                <w:bCs/>
                <w:sz w:val="13"/>
                <w:szCs w:val="13"/>
              </w:rPr>
              <w:t>GELİRLER</w:t>
            </w:r>
          </w:p>
        </w:tc>
        <w:tc>
          <w:tcPr>
            <w:tcW w:w="315" w:type="pct"/>
            <w:vAlign w:val="bottom"/>
          </w:tcPr>
          <w:p w:rsidR="00565FD5" w:rsidRPr="00A253C6" w:rsidRDefault="00565FD5" w:rsidP="00AB62A3">
            <w:pPr>
              <w:jc w:val="right"/>
              <w:rPr>
                <w:rFonts w:cs="Tahoma"/>
                <w:b/>
                <w:bCs/>
                <w:sz w:val="13"/>
                <w:szCs w:val="13"/>
              </w:rPr>
            </w:pPr>
            <w:r w:rsidRPr="00A253C6">
              <w:rPr>
                <w:rFonts w:cs="Tahoma"/>
                <w:b/>
                <w:bCs/>
                <w:sz w:val="13"/>
                <w:szCs w:val="13"/>
              </w:rPr>
              <w:t>296 824</w:t>
            </w:r>
          </w:p>
        </w:tc>
        <w:tc>
          <w:tcPr>
            <w:tcW w:w="340" w:type="pct"/>
            <w:vAlign w:val="bottom"/>
          </w:tcPr>
          <w:p w:rsidR="00565FD5" w:rsidRPr="00A253C6" w:rsidRDefault="00565FD5" w:rsidP="00AB62A3">
            <w:pPr>
              <w:jc w:val="right"/>
              <w:rPr>
                <w:rFonts w:cs="Tahoma"/>
                <w:b/>
                <w:bCs/>
                <w:sz w:val="13"/>
                <w:szCs w:val="13"/>
              </w:rPr>
            </w:pPr>
            <w:r w:rsidRPr="00A253C6">
              <w:rPr>
                <w:rFonts w:cs="Tahoma"/>
                <w:b/>
                <w:bCs/>
                <w:sz w:val="13"/>
                <w:szCs w:val="13"/>
              </w:rPr>
              <w:t>329 197</w:t>
            </w:r>
          </w:p>
        </w:tc>
        <w:tc>
          <w:tcPr>
            <w:tcW w:w="356" w:type="pct"/>
            <w:vAlign w:val="bottom"/>
          </w:tcPr>
          <w:p w:rsidR="00565FD5" w:rsidRPr="00A253C6" w:rsidRDefault="00565FD5" w:rsidP="00AB62A3">
            <w:pPr>
              <w:jc w:val="right"/>
              <w:rPr>
                <w:rFonts w:cs="Tahoma"/>
                <w:b/>
                <w:bCs/>
                <w:sz w:val="13"/>
                <w:szCs w:val="13"/>
              </w:rPr>
            </w:pPr>
            <w:r w:rsidRPr="00A253C6">
              <w:rPr>
                <w:rFonts w:cs="Tahoma"/>
                <w:b/>
                <w:bCs/>
                <w:sz w:val="13"/>
                <w:szCs w:val="13"/>
              </w:rPr>
              <w:t>370 095</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b/>
                <w:bCs/>
                <w:sz w:val="13"/>
                <w:szCs w:val="13"/>
              </w:rPr>
            </w:pPr>
            <w:r w:rsidRPr="00A253C6">
              <w:rPr>
                <w:rFonts w:cs="Tahoma"/>
                <w:b/>
                <w:bCs/>
                <w:sz w:val="13"/>
                <w:szCs w:val="13"/>
              </w:rPr>
              <w:t>10,9</w:t>
            </w:r>
          </w:p>
        </w:tc>
        <w:tc>
          <w:tcPr>
            <w:tcW w:w="353" w:type="pct"/>
            <w:vAlign w:val="bottom"/>
          </w:tcPr>
          <w:p w:rsidR="00565FD5" w:rsidRPr="00A253C6" w:rsidRDefault="00565FD5" w:rsidP="00AB62A3">
            <w:pPr>
              <w:jc w:val="right"/>
              <w:rPr>
                <w:rFonts w:cs="Tahoma"/>
                <w:b/>
                <w:bCs/>
                <w:sz w:val="13"/>
                <w:szCs w:val="13"/>
              </w:rPr>
            </w:pPr>
            <w:r w:rsidRPr="00A253C6">
              <w:rPr>
                <w:rFonts w:cs="Tahoma"/>
                <w:b/>
                <w:bCs/>
                <w:sz w:val="13"/>
                <w:szCs w:val="13"/>
              </w:rPr>
              <w:t>12,4</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b/>
                <w:bCs/>
                <w:sz w:val="13"/>
                <w:szCs w:val="13"/>
              </w:rPr>
            </w:pPr>
            <w:r w:rsidRPr="00A253C6">
              <w:rPr>
                <w:rFonts w:cs="Tahoma"/>
                <w:b/>
                <w:bCs/>
                <w:sz w:val="13"/>
                <w:szCs w:val="13"/>
              </w:rPr>
              <w:t>100,0</w:t>
            </w:r>
          </w:p>
        </w:tc>
        <w:tc>
          <w:tcPr>
            <w:tcW w:w="348" w:type="pct"/>
            <w:vAlign w:val="bottom"/>
          </w:tcPr>
          <w:p w:rsidR="00565FD5" w:rsidRPr="00A253C6" w:rsidRDefault="00565FD5" w:rsidP="00AB62A3">
            <w:pPr>
              <w:jc w:val="right"/>
              <w:rPr>
                <w:rFonts w:cs="Tahoma"/>
                <w:b/>
                <w:bCs/>
                <w:sz w:val="13"/>
                <w:szCs w:val="13"/>
              </w:rPr>
            </w:pPr>
            <w:r w:rsidRPr="00A253C6">
              <w:rPr>
                <w:rFonts w:cs="Tahoma"/>
                <w:b/>
                <w:bCs/>
                <w:sz w:val="13"/>
                <w:szCs w:val="13"/>
              </w:rPr>
              <w:t>100,0</w:t>
            </w:r>
          </w:p>
        </w:tc>
        <w:tc>
          <w:tcPr>
            <w:tcW w:w="313" w:type="pct"/>
            <w:vAlign w:val="bottom"/>
          </w:tcPr>
          <w:p w:rsidR="00565FD5" w:rsidRPr="00A253C6" w:rsidRDefault="00565FD5" w:rsidP="00AB62A3">
            <w:pPr>
              <w:jc w:val="right"/>
              <w:rPr>
                <w:rFonts w:cs="Tahoma"/>
                <w:b/>
                <w:bCs/>
                <w:sz w:val="13"/>
                <w:szCs w:val="13"/>
              </w:rPr>
            </w:pPr>
            <w:r w:rsidRPr="00A253C6">
              <w:rPr>
                <w:rFonts w:cs="Tahoma"/>
                <w:b/>
                <w:bCs/>
                <w:sz w:val="13"/>
                <w:szCs w:val="13"/>
              </w:rPr>
              <w:t>100,0</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b/>
                <w:bCs/>
                <w:sz w:val="13"/>
                <w:szCs w:val="13"/>
              </w:rPr>
            </w:pPr>
            <w:r w:rsidRPr="00A253C6">
              <w:rPr>
                <w:rFonts w:cs="Tahoma"/>
                <w:b/>
                <w:bCs/>
                <w:sz w:val="13"/>
                <w:szCs w:val="13"/>
              </w:rPr>
              <w:t>22,9</w:t>
            </w:r>
          </w:p>
        </w:tc>
        <w:tc>
          <w:tcPr>
            <w:tcW w:w="348" w:type="pct"/>
            <w:vAlign w:val="bottom"/>
          </w:tcPr>
          <w:p w:rsidR="00565FD5" w:rsidRPr="00A253C6" w:rsidRDefault="00565FD5" w:rsidP="00AB62A3">
            <w:pPr>
              <w:jc w:val="right"/>
              <w:rPr>
                <w:rFonts w:cs="Tahoma"/>
                <w:b/>
                <w:bCs/>
                <w:sz w:val="13"/>
                <w:szCs w:val="13"/>
              </w:rPr>
            </w:pPr>
            <w:r w:rsidRPr="00A253C6">
              <w:rPr>
                <w:rFonts w:cs="Tahoma"/>
                <w:b/>
                <w:bCs/>
                <w:sz w:val="13"/>
                <w:szCs w:val="13"/>
              </w:rPr>
              <w:t>22,9</w:t>
            </w:r>
          </w:p>
        </w:tc>
        <w:tc>
          <w:tcPr>
            <w:tcW w:w="353" w:type="pct"/>
            <w:tcBorders>
              <w:right w:val="single" w:sz="4" w:space="0" w:color="auto"/>
            </w:tcBorders>
            <w:vAlign w:val="bottom"/>
          </w:tcPr>
          <w:p w:rsidR="00565FD5" w:rsidRPr="00A253C6" w:rsidRDefault="00565FD5" w:rsidP="00AB62A3">
            <w:pPr>
              <w:jc w:val="right"/>
              <w:rPr>
                <w:rFonts w:cs="Tahoma"/>
                <w:b/>
                <w:bCs/>
                <w:sz w:val="13"/>
                <w:szCs w:val="13"/>
              </w:rPr>
            </w:pPr>
            <w:r w:rsidRPr="00A253C6">
              <w:rPr>
                <w:rFonts w:cs="Tahoma"/>
                <w:b/>
                <w:bCs/>
                <w:sz w:val="13"/>
                <w:szCs w:val="13"/>
              </w:rPr>
              <w:t>23,6</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rPr>
                <w:rFonts w:cs="Tahoma"/>
                <w:b/>
                <w:bCs/>
                <w:sz w:val="13"/>
                <w:szCs w:val="13"/>
              </w:rPr>
            </w:pPr>
            <w:r w:rsidRPr="00A253C6">
              <w:rPr>
                <w:rFonts w:cs="Tahoma"/>
                <w:b/>
                <w:bCs/>
                <w:sz w:val="13"/>
                <w:szCs w:val="13"/>
              </w:rPr>
              <w:t>1 - Genel Bütçe</w:t>
            </w:r>
          </w:p>
        </w:tc>
        <w:tc>
          <w:tcPr>
            <w:tcW w:w="315" w:type="pct"/>
            <w:vAlign w:val="bottom"/>
          </w:tcPr>
          <w:p w:rsidR="00565FD5" w:rsidRPr="00A253C6" w:rsidRDefault="00565FD5" w:rsidP="00AB62A3">
            <w:pPr>
              <w:jc w:val="right"/>
              <w:rPr>
                <w:rFonts w:cs="Tahoma"/>
                <w:b/>
                <w:bCs/>
                <w:sz w:val="13"/>
                <w:szCs w:val="13"/>
              </w:rPr>
            </w:pPr>
            <w:r w:rsidRPr="00A253C6">
              <w:rPr>
                <w:rFonts w:cs="Tahoma"/>
                <w:b/>
                <w:bCs/>
                <w:sz w:val="13"/>
                <w:szCs w:val="13"/>
              </w:rPr>
              <w:t>286 554</w:t>
            </w:r>
          </w:p>
        </w:tc>
        <w:tc>
          <w:tcPr>
            <w:tcW w:w="340" w:type="pct"/>
            <w:vAlign w:val="bottom"/>
          </w:tcPr>
          <w:p w:rsidR="00565FD5" w:rsidRPr="00A253C6" w:rsidRDefault="00565FD5" w:rsidP="00AB62A3">
            <w:pPr>
              <w:jc w:val="right"/>
              <w:rPr>
                <w:rFonts w:cs="Tahoma"/>
                <w:b/>
                <w:bCs/>
                <w:sz w:val="13"/>
                <w:szCs w:val="13"/>
              </w:rPr>
            </w:pPr>
            <w:r w:rsidRPr="00A253C6">
              <w:rPr>
                <w:rFonts w:cs="Tahoma"/>
                <w:b/>
                <w:bCs/>
                <w:sz w:val="13"/>
                <w:szCs w:val="13"/>
              </w:rPr>
              <w:t>319 098</w:t>
            </w:r>
          </w:p>
        </w:tc>
        <w:tc>
          <w:tcPr>
            <w:tcW w:w="356" w:type="pct"/>
            <w:vAlign w:val="bottom"/>
          </w:tcPr>
          <w:p w:rsidR="00565FD5" w:rsidRPr="00A253C6" w:rsidRDefault="00565FD5" w:rsidP="00AB62A3">
            <w:pPr>
              <w:jc w:val="right"/>
              <w:rPr>
                <w:rFonts w:cs="Tahoma"/>
                <w:b/>
                <w:bCs/>
                <w:sz w:val="13"/>
                <w:szCs w:val="13"/>
              </w:rPr>
            </w:pPr>
            <w:r w:rsidRPr="00A253C6">
              <w:rPr>
                <w:rFonts w:cs="Tahoma"/>
                <w:b/>
                <w:bCs/>
                <w:sz w:val="13"/>
                <w:szCs w:val="13"/>
              </w:rPr>
              <w:t>361 135</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b/>
                <w:bCs/>
                <w:sz w:val="13"/>
                <w:szCs w:val="13"/>
              </w:rPr>
            </w:pPr>
            <w:r w:rsidRPr="00A253C6">
              <w:rPr>
                <w:rFonts w:cs="Tahoma"/>
                <w:b/>
                <w:bCs/>
                <w:sz w:val="13"/>
                <w:szCs w:val="13"/>
              </w:rPr>
              <w:t>11,4</w:t>
            </w:r>
          </w:p>
        </w:tc>
        <w:tc>
          <w:tcPr>
            <w:tcW w:w="353" w:type="pct"/>
            <w:vAlign w:val="bottom"/>
          </w:tcPr>
          <w:p w:rsidR="00565FD5" w:rsidRPr="00A253C6" w:rsidRDefault="00565FD5" w:rsidP="00AB62A3">
            <w:pPr>
              <w:jc w:val="right"/>
              <w:rPr>
                <w:rFonts w:cs="Tahoma"/>
                <w:b/>
                <w:bCs/>
                <w:sz w:val="13"/>
                <w:szCs w:val="13"/>
              </w:rPr>
            </w:pPr>
            <w:r w:rsidRPr="00A253C6">
              <w:rPr>
                <w:rFonts w:cs="Tahoma"/>
                <w:b/>
                <w:bCs/>
                <w:sz w:val="13"/>
                <w:szCs w:val="13"/>
              </w:rPr>
              <w:t>13,2</w:t>
            </w:r>
          </w:p>
        </w:tc>
        <w:tc>
          <w:tcPr>
            <w:tcW w:w="72"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261" w:type="pct"/>
            <w:vAlign w:val="bottom"/>
          </w:tcPr>
          <w:p w:rsidR="00565FD5" w:rsidRPr="00A253C6" w:rsidRDefault="00565FD5" w:rsidP="00AB62A3">
            <w:pPr>
              <w:jc w:val="right"/>
              <w:rPr>
                <w:rFonts w:cs="Tahoma"/>
                <w:b/>
                <w:bCs/>
                <w:sz w:val="13"/>
                <w:szCs w:val="13"/>
              </w:rPr>
            </w:pPr>
            <w:r w:rsidRPr="00A253C6">
              <w:rPr>
                <w:rFonts w:cs="Tahoma"/>
                <w:b/>
                <w:bCs/>
                <w:sz w:val="13"/>
                <w:szCs w:val="13"/>
              </w:rPr>
              <w:t>96,5</w:t>
            </w:r>
          </w:p>
        </w:tc>
        <w:tc>
          <w:tcPr>
            <w:tcW w:w="348" w:type="pct"/>
            <w:vAlign w:val="bottom"/>
          </w:tcPr>
          <w:p w:rsidR="00565FD5" w:rsidRPr="00A253C6" w:rsidRDefault="00565FD5" w:rsidP="00AB62A3">
            <w:pPr>
              <w:jc w:val="right"/>
              <w:rPr>
                <w:rFonts w:cs="Tahoma"/>
                <w:b/>
                <w:bCs/>
                <w:sz w:val="13"/>
                <w:szCs w:val="13"/>
              </w:rPr>
            </w:pPr>
            <w:r w:rsidRPr="00A253C6">
              <w:rPr>
                <w:rFonts w:cs="Tahoma"/>
                <w:b/>
                <w:bCs/>
                <w:sz w:val="13"/>
                <w:szCs w:val="13"/>
              </w:rPr>
              <w:t>96,9</w:t>
            </w:r>
          </w:p>
        </w:tc>
        <w:tc>
          <w:tcPr>
            <w:tcW w:w="313" w:type="pct"/>
            <w:vAlign w:val="bottom"/>
          </w:tcPr>
          <w:p w:rsidR="00565FD5" w:rsidRPr="00A253C6" w:rsidRDefault="00565FD5" w:rsidP="00AB62A3">
            <w:pPr>
              <w:jc w:val="right"/>
              <w:rPr>
                <w:rFonts w:cs="Tahoma"/>
                <w:b/>
                <w:bCs/>
                <w:sz w:val="13"/>
                <w:szCs w:val="13"/>
              </w:rPr>
            </w:pPr>
            <w:r w:rsidRPr="00A253C6">
              <w:rPr>
                <w:rFonts w:cs="Tahoma"/>
                <w:b/>
                <w:bCs/>
                <w:sz w:val="13"/>
                <w:szCs w:val="13"/>
              </w:rPr>
              <w:t>97,6</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b/>
                <w:bCs/>
                <w:sz w:val="13"/>
                <w:szCs w:val="13"/>
              </w:rPr>
            </w:pPr>
            <w:r w:rsidRPr="00A253C6">
              <w:rPr>
                <w:rFonts w:cs="Tahoma"/>
                <w:b/>
                <w:bCs/>
                <w:sz w:val="13"/>
                <w:szCs w:val="13"/>
              </w:rPr>
              <w:t>22,1</w:t>
            </w:r>
          </w:p>
        </w:tc>
        <w:tc>
          <w:tcPr>
            <w:tcW w:w="348" w:type="pct"/>
            <w:vAlign w:val="bottom"/>
          </w:tcPr>
          <w:p w:rsidR="00565FD5" w:rsidRPr="00A253C6" w:rsidRDefault="00565FD5" w:rsidP="00AB62A3">
            <w:pPr>
              <w:jc w:val="right"/>
              <w:rPr>
                <w:rFonts w:cs="Tahoma"/>
                <w:b/>
                <w:bCs/>
                <w:sz w:val="13"/>
                <w:szCs w:val="13"/>
              </w:rPr>
            </w:pPr>
            <w:r w:rsidRPr="00A253C6">
              <w:rPr>
                <w:rFonts w:cs="Tahoma"/>
                <w:b/>
                <w:bCs/>
                <w:sz w:val="13"/>
                <w:szCs w:val="13"/>
              </w:rPr>
              <w:t>22,2</w:t>
            </w:r>
          </w:p>
        </w:tc>
        <w:tc>
          <w:tcPr>
            <w:tcW w:w="353" w:type="pct"/>
            <w:tcBorders>
              <w:right w:val="single" w:sz="4" w:space="0" w:color="auto"/>
            </w:tcBorders>
            <w:vAlign w:val="bottom"/>
          </w:tcPr>
          <w:p w:rsidR="00565FD5" w:rsidRPr="00A253C6" w:rsidRDefault="00565FD5" w:rsidP="00AB62A3">
            <w:pPr>
              <w:jc w:val="right"/>
              <w:rPr>
                <w:rFonts w:cs="Tahoma"/>
                <w:b/>
                <w:bCs/>
                <w:sz w:val="13"/>
                <w:szCs w:val="13"/>
              </w:rPr>
            </w:pPr>
            <w:r w:rsidRPr="00A253C6">
              <w:rPr>
                <w:rFonts w:cs="Tahoma"/>
                <w:b/>
                <w:bCs/>
                <w:sz w:val="13"/>
                <w:szCs w:val="13"/>
              </w:rPr>
              <w:t>23,0</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rPr>
                <w:rFonts w:cs="Tahoma"/>
                <w:sz w:val="13"/>
                <w:szCs w:val="13"/>
              </w:rPr>
            </w:pPr>
            <w:r w:rsidRPr="00A253C6">
              <w:rPr>
                <w:rFonts w:cs="Tahoma"/>
                <w:sz w:val="13"/>
                <w:szCs w:val="13"/>
              </w:rPr>
              <w:t xml:space="preserve"> 01 - Vergi Gelirleri</w:t>
            </w:r>
          </w:p>
        </w:tc>
        <w:tc>
          <w:tcPr>
            <w:tcW w:w="315" w:type="pct"/>
            <w:vAlign w:val="bottom"/>
          </w:tcPr>
          <w:p w:rsidR="00565FD5" w:rsidRPr="00A253C6" w:rsidRDefault="00565FD5" w:rsidP="00AB62A3">
            <w:pPr>
              <w:jc w:val="right"/>
              <w:rPr>
                <w:rFonts w:cs="Tahoma"/>
                <w:sz w:val="13"/>
                <w:szCs w:val="13"/>
              </w:rPr>
            </w:pPr>
            <w:r w:rsidRPr="00A253C6">
              <w:rPr>
                <w:rFonts w:cs="Tahoma"/>
                <w:sz w:val="13"/>
                <w:szCs w:val="13"/>
              </w:rPr>
              <w:t>253 809</w:t>
            </w:r>
          </w:p>
        </w:tc>
        <w:tc>
          <w:tcPr>
            <w:tcW w:w="340" w:type="pct"/>
            <w:vAlign w:val="bottom"/>
          </w:tcPr>
          <w:p w:rsidR="00565FD5" w:rsidRPr="00A253C6" w:rsidRDefault="00565FD5" w:rsidP="00AB62A3">
            <w:pPr>
              <w:jc w:val="right"/>
              <w:rPr>
                <w:rFonts w:cs="Tahoma"/>
                <w:sz w:val="13"/>
                <w:szCs w:val="13"/>
              </w:rPr>
            </w:pPr>
            <w:r w:rsidRPr="00A253C6">
              <w:rPr>
                <w:rFonts w:cs="Tahoma"/>
                <w:sz w:val="13"/>
                <w:szCs w:val="13"/>
              </w:rPr>
              <w:t>278 822</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317 949</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9,9</w:t>
            </w:r>
          </w:p>
        </w:tc>
        <w:tc>
          <w:tcPr>
            <w:tcW w:w="353" w:type="pct"/>
            <w:vAlign w:val="bottom"/>
          </w:tcPr>
          <w:p w:rsidR="00565FD5" w:rsidRPr="00A253C6" w:rsidRDefault="00565FD5" w:rsidP="00AB62A3">
            <w:pPr>
              <w:jc w:val="right"/>
              <w:rPr>
                <w:rFonts w:cs="Tahoma"/>
                <w:sz w:val="13"/>
                <w:szCs w:val="13"/>
              </w:rPr>
            </w:pPr>
            <w:r w:rsidRPr="00A253C6">
              <w:rPr>
                <w:rFonts w:cs="Tahoma"/>
                <w:sz w:val="13"/>
                <w:szCs w:val="13"/>
              </w:rPr>
              <w:t>14,0</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sz w:val="13"/>
                <w:szCs w:val="13"/>
              </w:rPr>
            </w:pPr>
            <w:r w:rsidRPr="00A253C6">
              <w:rPr>
                <w:rFonts w:cs="Tahoma"/>
                <w:sz w:val="13"/>
                <w:szCs w:val="13"/>
              </w:rPr>
              <w:t>85,5</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84,7</w:t>
            </w:r>
          </w:p>
        </w:tc>
        <w:tc>
          <w:tcPr>
            <w:tcW w:w="313" w:type="pct"/>
            <w:vAlign w:val="bottom"/>
          </w:tcPr>
          <w:p w:rsidR="00565FD5" w:rsidRPr="00A253C6" w:rsidRDefault="00565FD5" w:rsidP="00AB62A3">
            <w:pPr>
              <w:jc w:val="right"/>
              <w:rPr>
                <w:rFonts w:cs="Tahoma"/>
                <w:sz w:val="13"/>
                <w:szCs w:val="13"/>
              </w:rPr>
            </w:pPr>
            <w:r w:rsidRPr="00A253C6">
              <w:rPr>
                <w:rFonts w:cs="Tahoma"/>
                <w:sz w:val="13"/>
                <w:szCs w:val="13"/>
              </w:rPr>
              <w:t>85,9</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sz w:val="13"/>
                <w:szCs w:val="13"/>
              </w:rPr>
            </w:pPr>
            <w:r w:rsidRPr="00A253C6">
              <w:rPr>
                <w:rFonts w:cs="Tahoma"/>
                <w:sz w:val="13"/>
                <w:szCs w:val="13"/>
              </w:rPr>
              <w:t>19,6</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19,4</w:t>
            </w:r>
          </w:p>
        </w:tc>
        <w:tc>
          <w:tcPr>
            <w:tcW w:w="353" w:type="pct"/>
            <w:tcBorders>
              <w:right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20,2</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rPr>
                <w:rFonts w:cs="Tahoma"/>
                <w:sz w:val="13"/>
                <w:szCs w:val="13"/>
              </w:rPr>
            </w:pPr>
            <w:r w:rsidRPr="00A253C6">
              <w:rPr>
                <w:rFonts w:cs="Tahoma"/>
                <w:sz w:val="13"/>
                <w:szCs w:val="13"/>
              </w:rPr>
              <w:t xml:space="preserve"> 02 - Vergi Dışı Gelirler</w:t>
            </w:r>
          </w:p>
        </w:tc>
        <w:tc>
          <w:tcPr>
            <w:tcW w:w="315" w:type="pct"/>
            <w:vAlign w:val="bottom"/>
          </w:tcPr>
          <w:p w:rsidR="00565FD5" w:rsidRPr="00A253C6" w:rsidRDefault="00565FD5" w:rsidP="00AB62A3">
            <w:pPr>
              <w:jc w:val="right"/>
              <w:rPr>
                <w:rFonts w:cs="Tahoma"/>
                <w:sz w:val="13"/>
                <w:szCs w:val="13"/>
              </w:rPr>
            </w:pPr>
            <w:r w:rsidRPr="00A253C6">
              <w:rPr>
                <w:rFonts w:cs="Tahoma"/>
                <w:sz w:val="13"/>
                <w:szCs w:val="13"/>
              </w:rPr>
              <w:t>28 080</w:t>
            </w:r>
          </w:p>
        </w:tc>
        <w:tc>
          <w:tcPr>
            <w:tcW w:w="340" w:type="pct"/>
            <w:vAlign w:val="bottom"/>
          </w:tcPr>
          <w:p w:rsidR="00565FD5" w:rsidRPr="00A253C6" w:rsidRDefault="00565FD5" w:rsidP="00AB62A3">
            <w:pPr>
              <w:jc w:val="right"/>
              <w:rPr>
                <w:rFonts w:cs="Tahoma"/>
                <w:sz w:val="13"/>
                <w:szCs w:val="13"/>
              </w:rPr>
            </w:pPr>
            <w:r w:rsidRPr="00A253C6">
              <w:rPr>
                <w:rFonts w:cs="Tahoma"/>
                <w:sz w:val="13"/>
                <w:szCs w:val="13"/>
              </w:rPr>
              <w:t>35 833</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31 853</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27,6</w:t>
            </w:r>
          </w:p>
        </w:tc>
        <w:tc>
          <w:tcPr>
            <w:tcW w:w="353" w:type="pct"/>
            <w:vAlign w:val="bottom"/>
          </w:tcPr>
          <w:p w:rsidR="00565FD5" w:rsidRPr="00A253C6" w:rsidRDefault="00565FD5" w:rsidP="00AB62A3">
            <w:pPr>
              <w:jc w:val="right"/>
              <w:rPr>
                <w:rFonts w:cs="Tahoma"/>
                <w:sz w:val="13"/>
                <w:szCs w:val="13"/>
              </w:rPr>
            </w:pPr>
            <w:r w:rsidRPr="00A253C6">
              <w:rPr>
                <w:rFonts w:cs="Tahoma"/>
                <w:sz w:val="13"/>
                <w:szCs w:val="13"/>
              </w:rPr>
              <w:t>-11,1</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sz w:val="13"/>
                <w:szCs w:val="13"/>
              </w:rPr>
            </w:pPr>
            <w:r w:rsidRPr="00A253C6">
              <w:rPr>
                <w:rFonts w:cs="Tahoma"/>
                <w:sz w:val="13"/>
                <w:szCs w:val="13"/>
              </w:rPr>
              <w:t>9,5</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10,9</w:t>
            </w:r>
          </w:p>
        </w:tc>
        <w:tc>
          <w:tcPr>
            <w:tcW w:w="313" w:type="pct"/>
            <w:vAlign w:val="bottom"/>
          </w:tcPr>
          <w:p w:rsidR="00565FD5" w:rsidRPr="00A253C6" w:rsidRDefault="00565FD5" w:rsidP="00AB62A3">
            <w:pPr>
              <w:jc w:val="right"/>
              <w:rPr>
                <w:rFonts w:cs="Tahoma"/>
                <w:sz w:val="13"/>
                <w:szCs w:val="13"/>
              </w:rPr>
            </w:pPr>
            <w:r w:rsidRPr="00A253C6">
              <w:rPr>
                <w:rFonts w:cs="Tahoma"/>
                <w:sz w:val="13"/>
                <w:szCs w:val="13"/>
              </w:rPr>
              <w:t>8,6</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sz w:val="13"/>
                <w:szCs w:val="13"/>
              </w:rPr>
            </w:pPr>
            <w:r w:rsidRPr="00A253C6">
              <w:rPr>
                <w:rFonts w:cs="Tahoma"/>
                <w:sz w:val="13"/>
                <w:szCs w:val="13"/>
              </w:rPr>
              <w:t>2,2</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2,5</w:t>
            </w:r>
          </w:p>
        </w:tc>
        <w:tc>
          <w:tcPr>
            <w:tcW w:w="353" w:type="pct"/>
            <w:tcBorders>
              <w:right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2,0</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rPr>
                <w:rFonts w:cs="Tahoma"/>
                <w:sz w:val="13"/>
                <w:szCs w:val="13"/>
              </w:rPr>
            </w:pPr>
            <w:r w:rsidRPr="00A253C6">
              <w:rPr>
                <w:rFonts w:cs="Tahoma"/>
                <w:sz w:val="13"/>
                <w:szCs w:val="13"/>
              </w:rPr>
              <w:t xml:space="preserve"> 03 - Sermaye Gelirleri</w:t>
            </w:r>
          </w:p>
        </w:tc>
        <w:tc>
          <w:tcPr>
            <w:tcW w:w="315" w:type="pct"/>
            <w:vAlign w:val="bottom"/>
          </w:tcPr>
          <w:p w:rsidR="00565FD5" w:rsidRPr="00A253C6" w:rsidRDefault="00565FD5" w:rsidP="00AB62A3">
            <w:pPr>
              <w:jc w:val="right"/>
              <w:rPr>
                <w:rFonts w:cs="Tahoma"/>
                <w:sz w:val="13"/>
                <w:szCs w:val="13"/>
              </w:rPr>
            </w:pPr>
            <w:r w:rsidRPr="00A253C6">
              <w:rPr>
                <w:rFonts w:cs="Tahoma"/>
                <w:sz w:val="13"/>
                <w:szCs w:val="13"/>
              </w:rPr>
              <w:t>2 530</w:t>
            </w:r>
          </w:p>
        </w:tc>
        <w:tc>
          <w:tcPr>
            <w:tcW w:w="340" w:type="pct"/>
            <w:vAlign w:val="bottom"/>
          </w:tcPr>
          <w:p w:rsidR="00565FD5" w:rsidRPr="00A253C6" w:rsidRDefault="00565FD5" w:rsidP="00AB62A3">
            <w:pPr>
              <w:jc w:val="right"/>
              <w:rPr>
                <w:rFonts w:cs="Tahoma"/>
                <w:sz w:val="13"/>
                <w:szCs w:val="13"/>
              </w:rPr>
            </w:pPr>
            <w:r w:rsidRPr="00A253C6">
              <w:rPr>
                <w:rFonts w:cs="Tahoma"/>
                <w:sz w:val="13"/>
                <w:szCs w:val="13"/>
              </w:rPr>
              <w:t>1 887</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9 287</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-25,4</w:t>
            </w:r>
          </w:p>
        </w:tc>
        <w:tc>
          <w:tcPr>
            <w:tcW w:w="353" w:type="pct"/>
            <w:vAlign w:val="bottom"/>
          </w:tcPr>
          <w:p w:rsidR="00565FD5" w:rsidRPr="00A253C6" w:rsidRDefault="00565FD5" w:rsidP="00AB62A3">
            <w:pPr>
              <w:jc w:val="right"/>
              <w:rPr>
                <w:rFonts w:cs="Tahoma"/>
                <w:sz w:val="13"/>
                <w:szCs w:val="13"/>
              </w:rPr>
            </w:pPr>
            <w:r w:rsidRPr="00A253C6">
              <w:rPr>
                <w:rFonts w:cs="Tahoma"/>
                <w:sz w:val="13"/>
                <w:szCs w:val="13"/>
              </w:rPr>
              <w:t>392,3</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sz w:val="13"/>
                <w:szCs w:val="13"/>
              </w:rPr>
            </w:pPr>
            <w:r w:rsidRPr="00A253C6">
              <w:rPr>
                <w:rFonts w:cs="Tahoma"/>
                <w:sz w:val="13"/>
                <w:szCs w:val="13"/>
              </w:rPr>
              <w:t>0,9</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0,6</w:t>
            </w:r>
          </w:p>
        </w:tc>
        <w:tc>
          <w:tcPr>
            <w:tcW w:w="313" w:type="pct"/>
            <w:vAlign w:val="bottom"/>
          </w:tcPr>
          <w:p w:rsidR="00565FD5" w:rsidRPr="00A253C6" w:rsidRDefault="00565FD5" w:rsidP="00AB62A3">
            <w:pPr>
              <w:jc w:val="right"/>
              <w:rPr>
                <w:rFonts w:cs="Tahoma"/>
                <w:sz w:val="13"/>
                <w:szCs w:val="13"/>
              </w:rPr>
            </w:pPr>
            <w:r w:rsidRPr="00A253C6">
              <w:rPr>
                <w:rFonts w:cs="Tahoma"/>
                <w:sz w:val="13"/>
                <w:szCs w:val="13"/>
              </w:rPr>
              <w:t>2,5</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sz w:val="13"/>
                <w:szCs w:val="13"/>
              </w:rPr>
            </w:pPr>
            <w:r w:rsidRPr="00A253C6">
              <w:rPr>
                <w:rFonts w:cs="Tahoma"/>
                <w:sz w:val="13"/>
                <w:szCs w:val="13"/>
              </w:rPr>
              <w:t>0,2</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0,1</w:t>
            </w:r>
          </w:p>
        </w:tc>
        <w:tc>
          <w:tcPr>
            <w:tcW w:w="353" w:type="pct"/>
            <w:tcBorders>
              <w:right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0,6</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rPr>
                <w:rFonts w:cs="Tahoma"/>
                <w:sz w:val="13"/>
                <w:szCs w:val="13"/>
              </w:rPr>
            </w:pPr>
            <w:r w:rsidRPr="00A253C6">
              <w:rPr>
                <w:rFonts w:cs="Tahoma"/>
                <w:sz w:val="13"/>
                <w:szCs w:val="13"/>
              </w:rPr>
              <w:t xml:space="preserve"> 04 - Alınan Bağış ve Yardımlar</w:t>
            </w:r>
          </w:p>
        </w:tc>
        <w:tc>
          <w:tcPr>
            <w:tcW w:w="315" w:type="pct"/>
            <w:vAlign w:val="bottom"/>
          </w:tcPr>
          <w:p w:rsidR="00565FD5" w:rsidRPr="00A253C6" w:rsidRDefault="00565FD5" w:rsidP="00AB62A3">
            <w:pPr>
              <w:jc w:val="right"/>
              <w:rPr>
                <w:rFonts w:cs="Tahoma"/>
                <w:sz w:val="13"/>
                <w:szCs w:val="13"/>
              </w:rPr>
            </w:pPr>
            <w:r w:rsidRPr="00A253C6">
              <w:rPr>
                <w:rFonts w:cs="Tahoma"/>
                <w:sz w:val="13"/>
                <w:szCs w:val="13"/>
              </w:rPr>
              <w:t>2 135</w:t>
            </w:r>
          </w:p>
        </w:tc>
        <w:tc>
          <w:tcPr>
            <w:tcW w:w="340" w:type="pct"/>
            <w:vAlign w:val="bottom"/>
          </w:tcPr>
          <w:p w:rsidR="00565FD5" w:rsidRPr="00A253C6" w:rsidRDefault="00565FD5" w:rsidP="00AB62A3">
            <w:pPr>
              <w:jc w:val="right"/>
              <w:rPr>
                <w:rFonts w:cs="Tahoma"/>
                <w:sz w:val="13"/>
                <w:szCs w:val="13"/>
              </w:rPr>
            </w:pPr>
            <w:r w:rsidRPr="00A253C6">
              <w:rPr>
                <w:rFonts w:cs="Tahoma"/>
                <w:sz w:val="13"/>
                <w:szCs w:val="13"/>
              </w:rPr>
              <w:t>2 556</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2 046</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19,7</w:t>
            </w:r>
          </w:p>
        </w:tc>
        <w:tc>
          <w:tcPr>
            <w:tcW w:w="353" w:type="pct"/>
            <w:vAlign w:val="bottom"/>
          </w:tcPr>
          <w:p w:rsidR="00565FD5" w:rsidRPr="00A253C6" w:rsidRDefault="00565FD5" w:rsidP="00AB62A3">
            <w:pPr>
              <w:jc w:val="right"/>
              <w:rPr>
                <w:rFonts w:cs="Tahoma"/>
                <w:sz w:val="13"/>
                <w:szCs w:val="13"/>
              </w:rPr>
            </w:pPr>
            <w:r w:rsidRPr="00A253C6">
              <w:rPr>
                <w:rFonts w:cs="Tahoma"/>
                <w:sz w:val="13"/>
                <w:szCs w:val="13"/>
              </w:rPr>
              <w:t>-20,0</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sz w:val="13"/>
                <w:szCs w:val="13"/>
              </w:rPr>
            </w:pPr>
            <w:r w:rsidRPr="00A253C6">
              <w:rPr>
                <w:rFonts w:cs="Tahoma"/>
                <w:sz w:val="13"/>
                <w:szCs w:val="13"/>
              </w:rPr>
              <w:t>0,7</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0,8</w:t>
            </w:r>
          </w:p>
        </w:tc>
        <w:tc>
          <w:tcPr>
            <w:tcW w:w="313" w:type="pct"/>
            <w:vAlign w:val="bottom"/>
          </w:tcPr>
          <w:p w:rsidR="00565FD5" w:rsidRPr="00A253C6" w:rsidRDefault="00565FD5" w:rsidP="00AB62A3">
            <w:pPr>
              <w:jc w:val="right"/>
              <w:rPr>
                <w:rFonts w:cs="Tahoma"/>
                <w:sz w:val="13"/>
                <w:szCs w:val="13"/>
              </w:rPr>
            </w:pPr>
            <w:r w:rsidRPr="00A253C6">
              <w:rPr>
                <w:rFonts w:cs="Tahoma"/>
                <w:sz w:val="13"/>
                <w:szCs w:val="13"/>
              </w:rPr>
              <w:t>0,6</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sz w:val="13"/>
                <w:szCs w:val="13"/>
              </w:rPr>
            </w:pPr>
            <w:r w:rsidRPr="00A253C6">
              <w:rPr>
                <w:rFonts w:cs="Tahoma"/>
                <w:sz w:val="13"/>
                <w:szCs w:val="13"/>
              </w:rPr>
              <w:t>0,2</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0,2</w:t>
            </w:r>
          </w:p>
        </w:tc>
        <w:tc>
          <w:tcPr>
            <w:tcW w:w="353" w:type="pct"/>
            <w:tcBorders>
              <w:right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0,1</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ind w:right="-54"/>
              <w:rPr>
                <w:rFonts w:cs="Tahoma"/>
                <w:b/>
                <w:bCs/>
                <w:sz w:val="13"/>
                <w:szCs w:val="13"/>
              </w:rPr>
            </w:pPr>
            <w:r w:rsidRPr="00A253C6">
              <w:rPr>
                <w:rFonts w:cs="Tahoma"/>
                <w:b/>
                <w:bCs/>
                <w:sz w:val="13"/>
                <w:szCs w:val="13"/>
              </w:rPr>
              <w:t>2 - Özel Büt. İda. ve Düz. Den. Kur.</w:t>
            </w:r>
          </w:p>
        </w:tc>
        <w:tc>
          <w:tcPr>
            <w:tcW w:w="315" w:type="pct"/>
            <w:vAlign w:val="bottom"/>
          </w:tcPr>
          <w:p w:rsidR="00565FD5" w:rsidRPr="00A253C6" w:rsidRDefault="00565FD5" w:rsidP="00AB62A3">
            <w:pPr>
              <w:jc w:val="right"/>
              <w:rPr>
                <w:rFonts w:cs="Tahoma"/>
                <w:b/>
                <w:bCs/>
                <w:sz w:val="13"/>
                <w:szCs w:val="13"/>
              </w:rPr>
            </w:pPr>
            <w:r w:rsidRPr="00A253C6">
              <w:rPr>
                <w:rFonts w:cs="Tahoma"/>
                <w:b/>
                <w:bCs/>
                <w:sz w:val="13"/>
                <w:szCs w:val="13"/>
              </w:rPr>
              <w:t>10 270</w:t>
            </w:r>
          </w:p>
        </w:tc>
        <w:tc>
          <w:tcPr>
            <w:tcW w:w="340" w:type="pct"/>
            <w:vAlign w:val="bottom"/>
          </w:tcPr>
          <w:p w:rsidR="00565FD5" w:rsidRPr="00A253C6" w:rsidRDefault="00565FD5" w:rsidP="00AB62A3">
            <w:pPr>
              <w:jc w:val="right"/>
              <w:rPr>
                <w:rFonts w:cs="Tahoma"/>
                <w:b/>
                <w:bCs/>
                <w:sz w:val="13"/>
                <w:szCs w:val="13"/>
              </w:rPr>
            </w:pPr>
            <w:r w:rsidRPr="00A253C6">
              <w:rPr>
                <w:rFonts w:cs="Tahoma"/>
                <w:b/>
                <w:bCs/>
                <w:sz w:val="13"/>
                <w:szCs w:val="13"/>
              </w:rPr>
              <w:t>10 099</w:t>
            </w:r>
          </w:p>
        </w:tc>
        <w:tc>
          <w:tcPr>
            <w:tcW w:w="356" w:type="pct"/>
            <w:vAlign w:val="bottom"/>
          </w:tcPr>
          <w:p w:rsidR="00565FD5" w:rsidRPr="00A253C6" w:rsidRDefault="00565FD5" w:rsidP="00AB62A3">
            <w:pPr>
              <w:jc w:val="right"/>
              <w:rPr>
                <w:rFonts w:cs="Tahoma"/>
                <w:b/>
                <w:bCs/>
                <w:sz w:val="13"/>
                <w:szCs w:val="13"/>
              </w:rPr>
            </w:pPr>
            <w:r w:rsidRPr="00A253C6">
              <w:rPr>
                <w:rFonts w:cs="Tahoma"/>
                <w:b/>
                <w:bCs/>
                <w:sz w:val="13"/>
                <w:szCs w:val="13"/>
              </w:rPr>
              <w:t>8 960</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b/>
                <w:bCs/>
                <w:sz w:val="13"/>
                <w:szCs w:val="13"/>
              </w:rPr>
            </w:pPr>
            <w:r w:rsidRPr="00A253C6">
              <w:rPr>
                <w:rFonts w:cs="Tahoma"/>
                <w:b/>
                <w:bCs/>
                <w:sz w:val="13"/>
                <w:szCs w:val="13"/>
              </w:rPr>
              <w:t>-1,7</w:t>
            </w:r>
          </w:p>
        </w:tc>
        <w:tc>
          <w:tcPr>
            <w:tcW w:w="353" w:type="pct"/>
            <w:vAlign w:val="bottom"/>
          </w:tcPr>
          <w:p w:rsidR="00565FD5" w:rsidRPr="00A253C6" w:rsidRDefault="00565FD5" w:rsidP="00AB62A3">
            <w:pPr>
              <w:jc w:val="right"/>
              <w:rPr>
                <w:rFonts w:cs="Tahoma"/>
                <w:b/>
                <w:bCs/>
                <w:sz w:val="13"/>
                <w:szCs w:val="13"/>
              </w:rPr>
            </w:pPr>
            <w:r w:rsidRPr="00A253C6">
              <w:rPr>
                <w:rFonts w:cs="Tahoma"/>
                <w:b/>
                <w:bCs/>
                <w:sz w:val="13"/>
                <w:szCs w:val="13"/>
              </w:rPr>
              <w:t>-11,3</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b/>
                <w:bCs/>
                <w:sz w:val="13"/>
                <w:szCs w:val="13"/>
              </w:rPr>
            </w:pPr>
            <w:r w:rsidRPr="00A253C6">
              <w:rPr>
                <w:rFonts w:cs="Tahoma"/>
                <w:b/>
                <w:bCs/>
                <w:sz w:val="13"/>
                <w:szCs w:val="13"/>
              </w:rPr>
              <w:t>3,5</w:t>
            </w:r>
          </w:p>
        </w:tc>
        <w:tc>
          <w:tcPr>
            <w:tcW w:w="348" w:type="pct"/>
            <w:vAlign w:val="bottom"/>
          </w:tcPr>
          <w:p w:rsidR="00565FD5" w:rsidRPr="00A253C6" w:rsidRDefault="00565FD5" w:rsidP="00AB62A3">
            <w:pPr>
              <w:jc w:val="right"/>
              <w:rPr>
                <w:rFonts w:cs="Tahoma"/>
                <w:b/>
                <w:bCs/>
                <w:sz w:val="13"/>
                <w:szCs w:val="13"/>
              </w:rPr>
            </w:pPr>
            <w:r w:rsidRPr="00A253C6">
              <w:rPr>
                <w:rFonts w:cs="Tahoma"/>
                <w:b/>
                <w:bCs/>
                <w:sz w:val="13"/>
                <w:szCs w:val="13"/>
              </w:rPr>
              <w:t>3,1</w:t>
            </w:r>
          </w:p>
        </w:tc>
        <w:tc>
          <w:tcPr>
            <w:tcW w:w="313" w:type="pct"/>
            <w:vAlign w:val="bottom"/>
          </w:tcPr>
          <w:p w:rsidR="00565FD5" w:rsidRPr="00A253C6" w:rsidRDefault="00565FD5" w:rsidP="00AB62A3">
            <w:pPr>
              <w:jc w:val="right"/>
              <w:rPr>
                <w:rFonts w:cs="Tahoma"/>
                <w:b/>
                <w:bCs/>
                <w:sz w:val="13"/>
                <w:szCs w:val="13"/>
              </w:rPr>
            </w:pPr>
            <w:r w:rsidRPr="00A253C6">
              <w:rPr>
                <w:rFonts w:cs="Tahoma"/>
                <w:b/>
                <w:bCs/>
                <w:sz w:val="13"/>
                <w:szCs w:val="13"/>
              </w:rPr>
              <w:t>2,4</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b/>
                <w:bCs/>
                <w:sz w:val="13"/>
                <w:szCs w:val="13"/>
              </w:rPr>
            </w:pPr>
            <w:r w:rsidRPr="00A253C6">
              <w:rPr>
                <w:rFonts w:cs="Tahoma"/>
                <w:b/>
                <w:bCs/>
                <w:sz w:val="13"/>
                <w:szCs w:val="13"/>
              </w:rPr>
              <w:t>0,8</w:t>
            </w:r>
          </w:p>
        </w:tc>
        <w:tc>
          <w:tcPr>
            <w:tcW w:w="348" w:type="pct"/>
            <w:vAlign w:val="bottom"/>
          </w:tcPr>
          <w:p w:rsidR="00565FD5" w:rsidRPr="00A253C6" w:rsidRDefault="00565FD5" w:rsidP="00AB62A3">
            <w:pPr>
              <w:jc w:val="right"/>
              <w:rPr>
                <w:rFonts w:cs="Tahoma"/>
                <w:b/>
                <w:bCs/>
                <w:sz w:val="13"/>
                <w:szCs w:val="13"/>
              </w:rPr>
            </w:pPr>
            <w:r w:rsidRPr="00A253C6">
              <w:rPr>
                <w:rFonts w:cs="Tahoma"/>
                <w:b/>
                <w:bCs/>
                <w:sz w:val="13"/>
                <w:szCs w:val="13"/>
              </w:rPr>
              <w:t>0,7</w:t>
            </w:r>
          </w:p>
        </w:tc>
        <w:tc>
          <w:tcPr>
            <w:tcW w:w="353" w:type="pct"/>
            <w:tcBorders>
              <w:right w:val="single" w:sz="4" w:space="0" w:color="auto"/>
            </w:tcBorders>
            <w:vAlign w:val="bottom"/>
          </w:tcPr>
          <w:p w:rsidR="00565FD5" w:rsidRPr="00A253C6" w:rsidRDefault="00565FD5" w:rsidP="00AB62A3">
            <w:pPr>
              <w:jc w:val="right"/>
              <w:rPr>
                <w:rFonts w:cs="Tahoma"/>
                <w:b/>
                <w:bCs/>
                <w:sz w:val="13"/>
                <w:szCs w:val="13"/>
              </w:rPr>
            </w:pPr>
            <w:r w:rsidRPr="00A253C6">
              <w:rPr>
                <w:rFonts w:cs="Tahoma"/>
                <w:b/>
                <w:bCs/>
                <w:sz w:val="13"/>
                <w:szCs w:val="13"/>
              </w:rPr>
              <w:t>0,6</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rPr>
                <w:rFonts w:cs="Tahoma"/>
                <w:b/>
                <w:bCs/>
                <w:sz w:val="13"/>
                <w:szCs w:val="13"/>
              </w:rPr>
            </w:pPr>
          </w:p>
        </w:tc>
        <w:tc>
          <w:tcPr>
            <w:tcW w:w="315"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40"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353"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348"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313"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348"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353" w:type="pct"/>
            <w:tcBorders>
              <w:right w:val="single" w:sz="4" w:space="0" w:color="auto"/>
            </w:tcBorders>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rPr>
                <w:rFonts w:cs="Tahoma"/>
                <w:b/>
                <w:bCs/>
                <w:sz w:val="13"/>
                <w:szCs w:val="13"/>
              </w:rPr>
            </w:pPr>
            <w:r w:rsidRPr="00A253C6">
              <w:rPr>
                <w:rFonts w:cs="Tahoma"/>
                <w:b/>
                <w:bCs/>
                <w:sz w:val="13"/>
                <w:szCs w:val="13"/>
              </w:rPr>
              <w:t>BÜTÇE AÇIĞI</w:t>
            </w:r>
          </w:p>
        </w:tc>
        <w:tc>
          <w:tcPr>
            <w:tcW w:w="315" w:type="pct"/>
            <w:vAlign w:val="bottom"/>
          </w:tcPr>
          <w:p w:rsidR="00565FD5" w:rsidRPr="00A253C6" w:rsidRDefault="00565FD5" w:rsidP="00AB62A3">
            <w:pPr>
              <w:jc w:val="right"/>
              <w:rPr>
                <w:rFonts w:cs="Tahoma"/>
                <w:b/>
                <w:bCs/>
                <w:sz w:val="13"/>
                <w:szCs w:val="13"/>
              </w:rPr>
            </w:pPr>
            <w:r w:rsidRPr="00A253C6">
              <w:rPr>
                <w:rFonts w:cs="Tahoma"/>
                <w:b/>
                <w:bCs/>
                <w:sz w:val="13"/>
                <w:szCs w:val="13"/>
              </w:rPr>
              <w:t>-17 783</w:t>
            </w:r>
          </w:p>
        </w:tc>
        <w:tc>
          <w:tcPr>
            <w:tcW w:w="340" w:type="pct"/>
            <w:vAlign w:val="bottom"/>
          </w:tcPr>
          <w:p w:rsidR="00565FD5" w:rsidRPr="00A253C6" w:rsidRDefault="00565FD5" w:rsidP="00AB62A3">
            <w:pPr>
              <w:jc w:val="right"/>
              <w:rPr>
                <w:rFonts w:cs="Tahoma"/>
                <w:b/>
                <w:bCs/>
                <w:sz w:val="13"/>
                <w:szCs w:val="13"/>
              </w:rPr>
            </w:pPr>
            <w:r w:rsidRPr="00A253C6">
              <w:rPr>
                <w:rFonts w:cs="Tahoma"/>
                <w:b/>
                <w:bCs/>
                <w:sz w:val="13"/>
                <w:szCs w:val="13"/>
              </w:rPr>
              <w:t>-33 472</w:t>
            </w:r>
          </w:p>
        </w:tc>
        <w:tc>
          <w:tcPr>
            <w:tcW w:w="356" w:type="pct"/>
            <w:vAlign w:val="bottom"/>
          </w:tcPr>
          <w:p w:rsidR="00565FD5" w:rsidRPr="00A253C6" w:rsidRDefault="00565FD5" w:rsidP="00AB62A3">
            <w:pPr>
              <w:jc w:val="right"/>
              <w:rPr>
                <w:rFonts w:cs="Tahoma"/>
                <w:b/>
                <w:bCs/>
                <w:sz w:val="13"/>
                <w:szCs w:val="13"/>
              </w:rPr>
            </w:pPr>
            <w:r w:rsidRPr="00A253C6">
              <w:rPr>
                <w:rFonts w:cs="Tahoma"/>
                <w:b/>
                <w:bCs/>
                <w:sz w:val="13"/>
                <w:szCs w:val="13"/>
              </w:rPr>
              <w:t>-33 893</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b/>
                <w:bCs/>
                <w:sz w:val="13"/>
                <w:szCs w:val="13"/>
              </w:rPr>
            </w:pPr>
            <w:r w:rsidRPr="00A253C6">
              <w:rPr>
                <w:rFonts w:cs="Tahoma"/>
                <w:b/>
                <w:bCs/>
                <w:sz w:val="13"/>
                <w:szCs w:val="13"/>
              </w:rPr>
              <w:t>88,2</w:t>
            </w:r>
          </w:p>
        </w:tc>
        <w:tc>
          <w:tcPr>
            <w:tcW w:w="353" w:type="pct"/>
            <w:vAlign w:val="bottom"/>
          </w:tcPr>
          <w:p w:rsidR="00565FD5" w:rsidRPr="00A253C6" w:rsidRDefault="00565FD5" w:rsidP="00AB62A3">
            <w:pPr>
              <w:jc w:val="right"/>
              <w:rPr>
                <w:rFonts w:cs="Tahoma"/>
                <w:b/>
                <w:bCs/>
                <w:sz w:val="13"/>
                <w:szCs w:val="13"/>
              </w:rPr>
            </w:pPr>
            <w:r w:rsidRPr="00A253C6">
              <w:rPr>
                <w:rFonts w:cs="Tahoma"/>
                <w:b/>
                <w:bCs/>
                <w:sz w:val="13"/>
                <w:szCs w:val="13"/>
              </w:rPr>
              <w:t>1,3</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348"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313"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b/>
                <w:bCs/>
                <w:sz w:val="13"/>
                <w:szCs w:val="13"/>
              </w:rPr>
            </w:pPr>
            <w:r w:rsidRPr="00A253C6">
              <w:rPr>
                <w:rFonts w:cs="Tahoma"/>
                <w:b/>
                <w:bCs/>
                <w:sz w:val="13"/>
                <w:szCs w:val="13"/>
              </w:rPr>
              <w:t>-1,4</w:t>
            </w:r>
          </w:p>
        </w:tc>
        <w:tc>
          <w:tcPr>
            <w:tcW w:w="348" w:type="pct"/>
            <w:vAlign w:val="bottom"/>
          </w:tcPr>
          <w:p w:rsidR="00565FD5" w:rsidRPr="00A253C6" w:rsidRDefault="00565FD5" w:rsidP="00AB62A3">
            <w:pPr>
              <w:jc w:val="right"/>
              <w:rPr>
                <w:rFonts w:cs="Tahoma"/>
                <w:b/>
                <w:bCs/>
                <w:sz w:val="13"/>
                <w:szCs w:val="13"/>
              </w:rPr>
            </w:pPr>
            <w:r w:rsidRPr="00A253C6">
              <w:rPr>
                <w:rFonts w:cs="Tahoma"/>
                <w:b/>
                <w:bCs/>
                <w:sz w:val="13"/>
                <w:szCs w:val="13"/>
              </w:rPr>
              <w:t>-2,3</w:t>
            </w:r>
          </w:p>
        </w:tc>
        <w:tc>
          <w:tcPr>
            <w:tcW w:w="353" w:type="pct"/>
            <w:tcBorders>
              <w:right w:val="single" w:sz="4" w:space="0" w:color="auto"/>
            </w:tcBorders>
            <w:vAlign w:val="bottom"/>
          </w:tcPr>
          <w:p w:rsidR="00565FD5" w:rsidRPr="00A253C6" w:rsidRDefault="00565FD5" w:rsidP="00AB62A3">
            <w:pPr>
              <w:jc w:val="right"/>
              <w:rPr>
                <w:rFonts w:cs="Tahoma"/>
                <w:b/>
                <w:bCs/>
                <w:sz w:val="13"/>
                <w:szCs w:val="13"/>
              </w:rPr>
            </w:pPr>
            <w:r w:rsidRPr="00A253C6">
              <w:rPr>
                <w:rFonts w:cs="Tahoma"/>
                <w:b/>
                <w:bCs/>
                <w:sz w:val="13"/>
                <w:szCs w:val="13"/>
              </w:rPr>
              <w:t>-2,2</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rPr>
                <w:rFonts w:cs="Tahoma"/>
                <w:sz w:val="13"/>
                <w:szCs w:val="13"/>
              </w:rPr>
            </w:pPr>
            <w:r w:rsidRPr="00A253C6">
              <w:rPr>
                <w:rFonts w:cs="Tahoma"/>
                <w:b/>
                <w:bCs/>
                <w:sz w:val="13"/>
                <w:szCs w:val="13"/>
                <w:u w:val="single"/>
              </w:rPr>
              <w:t>Bilgi İçin</w:t>
            </w:r>
            <w:r w:rsidRPr="00A253C6">
              <w:rPr>
                <w:rFonts w:cs="Tahoma"/>
                <w:b/>
                <w:bCs/>
                <w:sz w:val="13"/>
                <w:szCs w:val="13"/>
              </w:rPr>
              <w:t>:</w:t>
            </w:r>
          </w:p>
        </w:tc>
        <w:tc>
          <w:tcPr>
            <w:tcW w:w="315"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40"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353"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348"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313"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348" w:type="pct"/>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c>
          <w:tcPr>
            <w:tcW w:w="353" w:type="pct"/>
            <w:tcBorders>
              <w:right w:val="single" w:sz="4" w:space="0" w:color="auto"/>
            </w:tcBorders>
            <w:vAlign w:val="bottom"/>
          </w:tcPr>
          <w:p w:rsidR="00565FD5" w:rsidRPr="00A253C6" w:rsidRDefault="00565FD5" w:rsidP="00AB62A3">
            <w:pPr>
              <w:jc w:val="right"/>
              <w:rPr>
                <w:rFonts w:cs="Tahoma"/>
                <w:b/>
                <w:bCs/>
                <w:sz w:val="13"/>
                <w:szCs w:val="13"/>
              </w:rPr>
            </w:pPr>
            <w:r w:rsidRPr="00A253C6">
              <w:rPr>
                <w:rFonts w:cs="Tahoma"/>
                <w:b/>
                <w:bCs/>
                <w:sz w:val="13"/>
                <w:szCs w:val="13"/>
              </w:rPr>
              <w:t> </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rPr>
                <w:rFonts w:cs="Tahoma"/>
                <w:sz w:val="13"/>
                <w:szCs w:val="13"/>
              </w:rPr>
            </w:pPr>
            <w:r w:rsidRPr="00A253C6">
              <w:rPr>
                <w:rFonts w:cs="Tahoma"/>
                <w:sz w:val="13"/>
                <w:szCs w:val="13"/>
              </w:rPr>
              <w:t xml:space="preserve"> Faiz Dışı Harcamalar</w:t>
            </w:r>
          </w:p>
        </w:tc>
        <w:tc>
          <w:tcPr>
            <w:tcW w:w="315" w:type="pct"/>
            <w:vAlign w:val="bottom"/>
          </w:tcPr>
          <w:p w:rsidR="00565FD5" w:rsidRPr="00A253C6" w:rsidRDefault="00565FD5" w:rsidP="00AB62A3">
            <w:pPr>
              <w:jc w:val="right"/>
              <w:rPr>
                <w:rFonts w:cs="Tahoma"/>
                <w:sz w:val="13"/>
                <w:szCs w:val="13"/>
              </w:rPr>
            </w:pPr>
            <w:r w:rsidRPr="00A253C6">
              <w:rPr>
                <w:rFonts w:cs="Tahoma"/>
                <w:sz w:val="13"/>
                <w:szCs w:val="13"/>
              </w:rPr>
              <w:t>272 375</w:t>
            </w:r>
          </w:p>
        </w:tc>
        <w:tc>
          <w:tcPr>
            <w:tcW w:w="340" w:type="pct"/>
            <w:vAlign w:val="bottom"/>
          </w:tcPr>
          <w:p w:rsidR="00565FD5" w:rsidRPr="00A253C6" w:rsidRDefault="00565FD5" w:rsidP="00AB62A3">
            <w:pPr>
              <w:jc w:val="right"/>
              <w:rPr>
                <w:rFonts w:cs="Tahoma"/>
                <w:sz w:val="13"/>
                <w:szCs w:val="13"/>
              </w:rPr>
            </w:pPr>
            <w:r w:rsidRPr="00A253C6">
              <w:rPr>
                <w:rFonts w:cs="Tahoma"/>
                <w:sz w:val="13"/>
                <w:szCs w:val="13"/>
              </w:rPr>
              <w:t>313 668</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350 988</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15,2</w:t>
            </w:r>
          </w:p>
        </w:tc>
        <w:tc>
          <w:tcPr>
            <w:tcW w:w="353" w:type="pct"/>
            <w:vAlign w:val="bottom"/>
          </w:tcPr>
          <w:p w:rsidR="00565FD5" w:rsidRPr="00A253C6" w:rsidRDefault="00565FD5" w:rsidP="00AB62A3">
            <w:pPr>
              <w:jc w:val="right"/>
              <w:rPr>
                <w:rFonts w:cs="Tahoma"/>
                <w:sz w:val="13"/>
                <w:szCs w:val="13"/>
              </w:rPr>
            </w:pPr>
            <w:r w:rsidRPr="00A253C6">
              <w:rPr>
                <w:rFonts w:cs="Tahoma"/>
                <w:sz w:val="13"/>
                <w:szCs w:val="13"/>
              </w:rPr>
              <w:t>11,9</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13"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sz w:val="13"/>
                <w:szCs w:val="13"/>
              </w:rPr>
            </w:pPr>
            <w:r w:rsidRPr="00A253C6">
              <w:rPr>
                <w:rFonts w:cs="Tahoma"/>
                <w:sz w:val="13"/>
                <w:szCs w:val="13"/>
              </w:rPr>
              <w:t>21,0</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21,9</w:t>
            </w:r>
          </w:p>
        </w:tc>
        <w:tc>
          <w:tcPr>
            <w:tcW w:w="353" w:type="pct"/>
            <w:tcBorders>
              <w:right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22,3</w:t>
            </w:r>
          </w:p>
        </w:tc>
      </w:tr>
      <w:tr w:rsidR="00565FD5" w:rsidRPr="00A253C6" w:rsidTr="00AB62A3">
        <w:trPr>
          <w:trHeight w:hRule="exact" w:val="227"/>
        </w:trPr>
        <w:tc>
          <w:tcPr>
            <w:tcW w:w="1190" w:type="pct"/>
            <w:tcBorders>
              <w:left w:val="single" w:sz="4" w:space="0" w:color="auto"/>
            </w:tcBorders>
            <w:vAlign w:val="bottom"/>
          </w:tcPr>
          <w:p w:rsidR="00565FD5" w:rsidRPr="00A253C6" w:rsidRDefault="00565FD5" w:rsidP="00AB62A3">
            <w:pPr>
              <w:widowControl w:val="0"/>
              <w:rPr>
                <w:rFonts w:cs="Tahoma"/>
                <w:sz w:val="13"/>
                <w:szCs w:val="13"/>
              </w:rPr>
            </w:pPr>
            <w:r w:rsidRPr="00A253C6">
              <w:rPr>
                <w:rFonts w:cs="Tahoma"/>
                <w:sz w:val="13"/>
                <w:szCs w:val="13"/>
              </w:rPr>
              <w:t xml:space="preserve"> Faiz Dışı Bütçe Dengesi</w:t>
            </w:r>
          </w:p>
        </w:tc>
        <w:tc>
          <w:tcPr>
            <w:tcW w:w="315" w:type="pct"/>
            <w:vAlign w:val="bottom"/>
          </w:tcPr>
          <w:p w:rsidR="00565FD5" w:rsidRPr="00A253C6" w:rsidRDefault="00565FD5" w:rsidP="00AB62A3">
            <w:pPr>
              <w:jc w:val="right"/>
              <w:rPr>
                <w:rFonts w:cs="Tahoma"/>
                <w:sz w:val="13"/>
                <w:szCs w:val="13"/>
              </w:rPr>
            </w:pPr>
            <w:r w:rsidRPr="00A253C6">
              <w:rPr>
                <w:rFonts w:cs="Tahoma"/>
                <w:sz w:val="13"/>
                <w:szCs w:val="13"/>
              </w:rPr>
              <w:t>24 448</w:t>
            </w:r>
          </w:p>
        </w:tc>
        <w:tc>
          <w:tcPr>
            <w:tcW w:w="340" w:type="pct"/>
            <w:vAlign w:val="bottom"/>
          </w:tcPr>
          <w:p w:rsidR="00565FD5" w:rsidRPr="00A253C6" w:rsidRDefault="00565FD5" w:rsidP="00AB62A3">
            <w:pPr>
              <w:jc w:val="right"/>
              <w:rPr>
                <w:rFonts w:cs="Tahoma"/>
                <w:sz w:val="13"/>
                <w:szCs w:val="13"/>
              </w:rPr>
            </w:pPr>
            <w:r w:rsidRPr="00A253C6">
              <w:rPr>
                <w:rFonts w:cs="Tahoma"/>
                <w:sz w:val="13"/>
                <w:szCs w:val="13"/>
              </w:rPr>
              <w:t>15 528</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19 107</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vAlign w:val="bottom"/>
          </w:tcPr>
          <w:p w:rsidR="00565FD5" w:rsidRPr="00A253C6" w:rsidRDefault="00565FD5" w:rsidP="00AB62A3">
            <w:pPr>
              <w:jc w:val="right"/>
              <w:rPr>
                <w:rFonts w:cs="Tahoma"/>
                <w:sz w:val="13"/>
                <w:szCs w:val="13"/>
              </w:rPr>
            </w:pPr>
            <w:r w:rsidRPr="00A253C6">
              <w:rPr>
                <w:rFonts w:cs="Tahoma"/>
                <w:sz w:val="13"/>
                <w:szCs w:val="13"/>
              </w:rPr>
              <w:t>-36,5</w:t>
            </w:r>
          </w:p>
        </w:tc>
        <w:tc>
          <w:tcPr>
            <w:tcW w:w="353" w:type="pct"/>
            <w:vAlign w:val="bottom"/>
          </w:tcPr>
          <w:p w:rsidR="00565FD5" w:rsidRPr="00A253C6" w:rsidRDefault="00565FD5" w:rsidP="00AB62A3">
            <w:pPr>
              <w:jc w:val="right"/>
              <w:rPr>
                <w:rFonts w:cs="Tahoma"/>
                <w:sz w:val="13"/>
                <w:szCs w:val="13"/>
              </w:rPr>
            </w:pPr>
            <w:r w:rsidRPr="00A253C6">
              <w:rPr>
                <w:rFonts w:cs="Tahoma"/>
                <w:sz w:val="13"/>
                <w:szCs w:val="13"/>
              </w:rPr>
              <w:t>23,0</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13"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72" w:type="pct"/>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vAlign w:val="bottom"/>
          </w:tcPr>
          <w:p w:rsidR="00565FD5" w:rsidRPr="00A253C6" w:rsidRDefault="00565FD5" w:rsidP="00AB62A3">
            <w:pPr>
              <w:jc w:val="right"/>
              <w:rPr>
                <w:rFonts w:cs="Tahoma"/>
                <w:sz w:val="13"/>
                <w:szCs w:val="13"/>
              </w:rPr>
            </w:pPr>
            <w:r w:rsidRPr="00A253C6">
              <w:rPr>
                <w:rFonts w:cs="Tahoma"/>
                <w:sz w:val="13"/>
                <w:szCs w:val="13"/>
              </w:rPr>
              <w:t>1,9</w:t>
            </w:r>
          </w:p>
        </w:tc>
        <w:tc>
          <w:tcPr>
            <w:tcW w:w="348" w:type="pct"/>
            <w:vAlign w:val="bottom"/>
          </w:tcPr>
          <w:p w:rsidR="00565FD5" w:rsidRPr="00A253C6" w:rsidRDefault="00565FD5" w:rsidP="00AB62A3">
            <w:pPr>
              <w:jc w:val="right"/>
              <w:rPr>
                <w:rFonts w:cs="Tahoma"/>
                <w:sz w:val="13"/>
                <w:szCs w:val="13"/>
              </w:rPr>
            </w:pPr>
            <w:r w:rsidRPr="00A253C6">
              <w:rPr>
                <w:rFonts w:cs="Tahoma"/>
                <w:sz w:val="13"/>
                <w:szCs w:val="13"/>
              </w:rPr>
              <w:t>1,1</w:t>
            </w:r>
          </w:p>
        </w:tc>
        <w:tc>
          <w:tcPr>
            <w:tcW w:w="353" w:type="pct"/>
            <w:tcBorders>
              <w:right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1,2</w:t>
            </w:r>
          </w:p>
        </w:tc>
      </w:tr>
      <w:tr w:rsidR="00565FD5" w:rsidRPr="00A253C6" w:rsidTr="00AB62A3">
        <w:trPr>
          <w:trHeight w:hRule="exact" w:val="227"/>
        </w:trPr>
        <w:tc>
          <w:tcPr>
            <w:tcW w:w="1190" w:type="pct"/>
            <w:tcBorders>
              <w:left w:val="single" w:sz="4" w:space="0" w:color="auto"/>
              <w:bottom w:val="single" w:sz="4" w:space="0" w:color="auto"/>
            </w:tcBorders>
            <w:vAlign w:val="bottom"/>
          </w:tcPr>
          <w:p w:rsidR="00565FD5" w:rsidRPr="00A253C6" w:rsidRDefault="00565FD5" w:rsidP="00AB62A3">
            <w:pPr>
              <w:widowControl w:val="0"/>
              <w:rPr>
                <w:rFonts w:cs="Tahoma"/>
                <w:sz w:val="13"/>
                <w:szCs w:val="13"/>
              </w:rPr>
            </w:pPr>
            <w:r w:rsidRPr="00A253C6">
              <w:rPr>
                <w:rFonts w:cs="Tahoma"/>
                <w:sz w:val="13"/>
                <w:szCs w:val="13"/>
              </w:rPr>
              <w:t xml:space="preserve"> Program Tanımlı Faiz Dışı Bütçe Dengesi</w:t>
            </w:r>
          </w:p>
        </w:tc>
        <w:tc>
          <w:tcPr>
            <w:tcW w:w="315" w:type="pct"/>
            <w:tcBorders>
              <w:bottom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16 196</w:t>
            </w:r>
          </w:p>
        </w:tc>
        <w:tc>
          <w:tcPr>
            <w:tcW w:w="340" w:type="pct"/>
            <w:tcBorders>
              <w:bottom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2 557</w:t>
            </w:r>
          </w:p>
        </w:tc>
        <w:tc>
          <w:tcPr>
            <w:tcW w:w="356" w:type="pct"/>
            <w:tcBorders>
              <w:bottom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7 999</w:t>
            </w:r>
          </w:p>
        </w:tc>
        <w:tc>
          <w:tcPr>
            <w:tcW w:w="72" w:type="pct"/>
            <w:tcBorders>
              <w:bottom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56" w:type="pct"/>
            <w:tcBorders>
              <w:bottom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-84,2</w:t>
            </w:r>
          </w:p>
        </w:tc>
        <w:tc>
          <w:tcPr>
            <w:tcW w:w="353" w:type="pct"/>
            <w:tcBorders>
              <w:bottom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212,8</w:t>
            </w:r>
          </w:p>
        </w:tc>
        <w:tc>
          <w:tcPr>
            <w:tcW w:w="72" w:type="pct"/>
            <w:tcBorders>
              <w:bottom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61" w:type="pct"/>
            <w:tcBorders>
              <w:bottom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48" w:type="pct"/>
            <w:tcBorders>
              <w:bottom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 </w:t>
            </w:r>
          </w:p>
        </w:tc>
        <w:tc>
          <w:tcPr>
            <w:tcW w:w="313" w:type="pct"/>
            <w:tcBorders>
              <w:bottom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 </w:t>
            </w:r>
          </w:p>
        </w:tc>
        <w:tc>
          <w:tcPr>
            <w:tcW w:w="72" w:type="pct"/>
            <w:tcBorders>
              <w:bottom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 </w:t>
            </w:r>
          </w:p>
        </w:tc>
        <w:tc>
          <w:tcPr>
            <w:tcW w:w="251" w:type="pct"/>
            <w:tcBorders>
              <w:bottom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1,2</w:t>
            </w:r>
          </w:p>
        </w:tc>
        <w:tc>
          <w:tcPr>
            <w:tcW w:w="348" w:type="pct"/>
            <w:tcBorders>
              <w:bottom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0,2</w:t>
            </w:r>
          </w:p>
        </w:tc>
        <w:tc>
          <w:tcPr>
            <w:tcW w:w="353" w:type="pct"/>
            <w:tcBorders>
              <w:bottom w:val="single" w:sz="4" w:space="0" w:color="auto"/>
              <w:right w:val="single" w:sz="4" w:space="0" w:color="auto"/>
            </w:tcBorders>
            <w:vAlign w:val="bottom"/>
          </w:tcPr>
          <w:p w:rsidR="00565FD5" w:rsidRPr="00A253C6" w:rsidRDefault="00565FD5" w:rsidP="00AB62A3">
            <w:pPr>
              <w:jc w:val="right"/>
              <w:rPr>
                <w:rFonts w:cs="Tahoma"/>
                <w:sz w:val="13"/>
                <w:szCs w:val="13"/>
              </w:rPr>
            </w:pPr>
            <w:r w:rsidRPr="00A253C6">
              <w:rPr>
                <w:rFonts w:cs="Tahoma"/>
                <w:sz w:val="13"/>
                <w:szCs w:val="13"/>
              </w:rPr>
              <w:t>0,5</w:t>
            </w:r>
          </w:p>
        </w:tc>
      </w:tr>
    </w:tbl>
    <w:p w:rsidR="00565FD5" w:rsidRPr="00BF3740" w:rsidRDefault="00565FD5" w:rsidP="00565FD5">
      <w:pPr>
        <w:rPr>
          <w:rFonts w:cs="Tahoma"/>
          <w:sz w:val="14"/>
          <w:szCs w:val="14"/>
        </w:rPr>
      </w:pPr>
      <w:r w:rsidRPr="00BF3740">
        <w:rPr>
          <w:rFonts w:cs="Tahoma"/>
          <w:sz w:val="14"/>
          <w:szCs w:val="14"/>
        </w:rPr>
        <w:t>Not: Düzenleyici ve denetleyici kurumların gelir fazlaları genel bütçe vergi dışı gelirlerinden düşülmüştür.</w:t>
      </w:r>
    </w:p>
    <w:p w:rsidR="00565FD5" w:rsidRPr="00BF3740" w:rsidRDefault="00565FD5" w:rsidP="00565FD5">
      <w:pPr>
        <w:rPr>
          <w:rFonts w:cs="Tahoma"/>
          <w:sz w:val="14"/>
          <w:szCs w:val="14"/>
        </w:rPr>
      </w:pPr>
      <w:r w:rsidRPr="00BF3740">
        <w:rPr>
          <w:rFonts w:cs="Tahoma"/>
          <w:sz w:val="14"/>
          <w:szCs w:val="14"/>
        </w:rPr>
        <w:lastRenderedPageBreak/>
        <w:t>(1) Gerçekleşme tahmini</w:t>
      </w:r>
    </w:p>
    <w:p w:rsidR="00565FD5" w:rsidRDefault="00565FD5" w:rsidP="00565FD5">
      <w:pPr>
        <w:rPr>
          <w:rFonts w:cs="Tahoma"/>
          <w:szCs w:val="18"/>
        </w:rPr>
      </w:pPr>
      <w:r w:rsidRPr="00BF3740">
        <w:rPr>
          <w:rFonts w:cs="Tahoma"/>
          <w:sz w:val="14"/>
          <w:szCs w:val="14"/>
        </w:rPr>
        <w:t>(2) Program</w:t>
      </w:r>
    </w:p>
    <w:p w:rsidR="00565FD5" w:rsidRPr="00BF3740" w:rsidRDefault="00565FD5" w:rsidP="00565FD5">
      <w:pPr>
        <w:ind w:firstLine="425"/>
        <w:rPr>
          <w:rFonts w:cs="Tahoma"/>
          <w:szCs w:val="18"/>
        </w:rPr>
        <w:sectPr w:rsidR="00565FD5" w:rsidRPr="00BF3740" w:rsidSect="00B50093">
          <w:pgSz w:w="16838" w:h="11904" w:orient="landscape" w:code="9"/>
          <w:pgMar w:top="2381" w:right="2948" w:bottom="2381" w:left="2948" w:header="2268" w:footer="2268" w:gutter="0"/>
          <w:cols w:space="60"/>
          <w:noEndnote/>
        </w:sectPr>
      </w:pPr>
    </w:p>
    <w:p w:rsidR="00565FD5" w:rsidRPr="00BF3740" w:rsidRDefault="00565FD5" w:rsidP="00565FD5">
      <w:pPr>
        <w:spacing w:after="140"/>
        <w:ind w:firstLine="425"/>
        <w:rPr>
          <w:rFonts w:cs="Tahoma"/>
          <w:szCs w:val="18"/>
        </w:rPr>
      </w:pPr>
      <w:bookmarkStart w:id="975" w:name="_Toc149968458"/>
      <w:bookmarkStart w:id="976" w:name="_Toc150099147"/>
      <w:bookmarkStart w:id="977" w:name="_Toc181192619"/>
      <w:bookmarkStart w:id="978" w:name="_Toc181284907"/>
      <w:bookmarkStart w:id="979" w:name="_Toc181285986"/>
      <w:bookmarkStart w:id="980" w:name="_Toc244253639"/>
      <w:bookmarkStart w:id="981" w:name="_Toc244254889"/>
      <w:bookmarkStart w:id="982" w:name="_Toc244313625"/>
      <w:bookmarkStart w:id="983" w:name="_Toc244315102"/>
      <w:bookmarkStart w:id="984" w:name="_Toc244339565"/>
      <w:r w:rsidRPr="00BF3740">
        <w:rPr>
          <w:rFonts w:cs="Tahoma"/>
          <w:szCs w:val="18"/>
        </w:rPr>
        <w:lastRenderedPageBreak/>
        <w:t>Başta TCDD olmak üzere KİT’lere yapılan sermaye transferlerinin, 2013 yılında bir önceki yıla göre 1,1 milyar TL artarak, GSYH’ya oranla yüzde 0,4 olarak gerçekleşmesi beklenmektedir. Öte yandan, yükseköğretim harçlarının kaldırılmasının aşağı yönlü etkisi ile yararlanıcı sayısı ve kredi miktarındaki artışın yukarı yönlü etkisi sonucunda öğrenim ve harç kredisi ödemelerinin GSYH’ya oran olarak yüzde 0,2 ile 2012 yılı seviyesinde gerçekleşeceği öngörülmektedir. Bu gelişmeler ışığında, 2013 yılında borç verme giderlerinin GSYH’ya oranla yüzde 0,7 seviyesinde gerçekleşmesi hedeflenmektedir.</w:t>
      </w:r>
    </w:p>
    <w:p w:rsidR="00565FD5" w:rsidRPr="00BF3740" w:rsidRDefault="00565FD5" w:rsidP="00565FD5">
      <w:pPr>
        <w:spacing w:after="140"/>
        <w:ind w:firstLine="425"/>
        <w:rPr>
          <w:rFonts w:cs="Tahoma"/>
          <w:szCs w:val="18"/>
        </w:rPr>
      </w:pPr>
      <w:r w:rsidRPr="00BF3740">
        <w:rPr>
          <w:rFonts w:cs="Tahoma"/>
          <w:szCs w:val="18"/>
        </w:rPr>
        <w:t>Merkezi yönetim bütçe açığının, yukarıda açıklanan gelir ve gider beklentileri çerçevesinde, 2013 yılında 33,9 milyar TL ve GSYH’ya oran olarak yüzde 2,2 düzeyinde gerçekleşmesi beklenmektedir.</w:t>
      </w:r>
    </w:p>
    <w:p w:rsidR="00565FD5" w:rsidRPr="00BF3740" w:rsidRDefault="00565FD5" w:rsidP="00565FD5">
      <w:pPr>
        <w:spacing w:after="140"/>
        <w:ind w:firstLine="425"/>
        <w:rPr>
          <w:rFonts w:cs="Tahoma"/>
          <w:szCs w:val="18"/>
        </w:rPr>
      </w:pPr>
      <w:r w:rsidRPr="00BF3740">
        <w:rPr>
          <w:rFonts w:cs="Tahoma"/>
          <w:szCs w:val="18"/>
        </w:rPr>
        <w:t>Program tanımlı merkezi yönetim bütçesi faiz dışı fazlasının, 2013 yılında 8 milyar TL ile GSYH’ya oran olarak yüzde 0,5 seviyesinde gerçekleşeceği öngörülmektedir.</w:t>
      </w:r>
    </w:p>
    <w:p w:rsidR="00565FD5" w:rsidRPr="00BF3740" w:rsidRDefault="00565FD5" w:rsidP="00565FD5">
      <w:pPr>
        <w:spacing w:after="140"/>
        <w:ind w:firstLine="425"/>
        <w:rPr>
          <w:rFonts w:cs="Tahoma"/>
          <w:szCs w:val="18"/>
        </w:rPr>
      </w:pPr>
      <w:r w:rsidRPr="00BF3740">
        <w:rPr>
          <w:rFonts w:cs="Tahoma"/>
          <w:szCs w:val="18"/>
        </w:rPr>
        <w:t>Borç yönetimine ilişkin olarak, 2013 yılında da stratejik ölçüt uygulamasına devam edilecektir. Bu kapsamda, borçlanmanın ağırlıklı olarak TL cinsinden ve sabit faizli araçlarla yapılması, nakit ve borç yönetiminde oluşabilecek likidite riskinin azaltılması amacıyla güçlü rezerv tutulması ve ortalama vadenin piyasa koşulları elverdiği ölçüde uzatılması vasıtasıyla orta ve uzun vadede piyasa risklerinin kontrol altında tutulması hedeflenmektedir.</w:t>
      </w:r>
    </w:p>
    <w:p w:rsidR="00565FD5" w:rsidRPr="00BF3740" w:rsidRDefault="00565FD5" w:rsidP="00565FD5">
      <w:pPr>
        <w:spacing w:after="140"/>
        <w:ind w:firstLine="425"/>
        <w:rPr>
          <w:rFonts w:cs="Tahoma"/>
          <w:szCs w:val="18"/>
        </w:rPr>
      </w:pPr>
      <w:r w:rsidRPr="00BF3740">
        <w:rPr>
          <w:rFonts w:cs="Tahoma"/>
          <w:szCs w:val="18"/>
        </w:rPr>
        <w:t>Devlet iç borçlanma senetleri piyasasının daha da gelişmesi ve likiditenin getiri eğrisi üzerinde tüm vadelerde artırılmasını teminen ölçüt borçlanma stratejisi geliştirilerek sürdürülecektir. Ayrıca, ikincil piyasalarda sağlıklı bir verim eğrisinin oluşturulması ve likiditenin sağlanmasına yönelik olarak senetlerin azalan vadelerde yeniden ihraç edilmesi politikasına devam edilecektir.</w:t>
      </w:r>
    </w:p>
    <w:p w:rsidR="00565FD5" w:rsidRPr="00BF3740" w:rsidRDefault="00565FD5" w:rsidP="00565FD5">
      <w:pPr>
        <w:spacing w:after="180"/>
        <w:ind w:firstLine="425"/>
        <w:rPr>
          <w:rFonts w:cs="Tahoma"/>
          <w:szCs w:val="18"/>
        </w:rPr>
      </w:pPr>
      <w:r w:rsidRPr="00BF3740">
        <w:rPr>
          <w:rFonts w:cs="Tahoma"/>
          <w:szCs w:val="18"/>
        </w:rPr>
        <w:t>Borç servisinin dönemler arası dengeli dağılmasının sağlanması ve ikincil piyasada fiyat etkinliğinin artırılması amaçlarıyla piyasa koşulları çerçevesinde değişim ve geri alım ihaleleri yapılabilecektir. Devlet iç borçlanma senetlerinin yatırımcı tabanının genişletilmesi amacına yönelik olarak yeni araçların geliştirilmesine ilişkin çalışmalara devam edilecektir. Piyasa yapıcılığı sisteminin bundan sonraki dönemde de sürdürülmesi planlanmaktadır.</w:t>
      </w:r>
    </w:p>
    <w:p w:rsidR="00565FD5" w:rsidRPr="00BF3740" w:rsidRDefault="00565FD5" w:rsidP="00565FD5">
      <w:pPr>
        <w:pStyle w:val="Balk3"/>
      </w:pPr>
      <w:bookmarkStart w:id="985" w:name="_Toc338494228"/>
      <w:bookmarkStart w:id="986" w:name="_Toc338505542"/>
      <w:bookmarkStart w:id="987" w:name="_Toc338523759"/>
      <w:bookmarkStart w:id="988" w:name="_Toc338523990"/>
      <w:bookmarkStart w:id="989" w:name="_Toc338526216"/>
      <w:bookmarkStart w:id="990" w:name="_Toc338673659"/>
      <w:bookmarkStart w:id="991" w:name="_Toc338711538"/>
      <w:bookmarkEnd w:id="975"/>
      <w:bookmarkEnd w:id="976"/>
      <w:bookmarkEnd w:id="977"/>
      <w:bookmarkEnd w:id="978"/>
      <w:bookmarkEnd w:id="979"/>
      <w:bookmarkEnd w:id="980"/>
      <w:bookmarkEnd w:id="981"/>
      <w:bookmarkEnd w:id="982"/>
      <w:bookmarkEnd w:id="983"/>
      <w:bookmarkEnd w:id="984"/>
      <w:r w:rsidRPr="00BF3740">
        <w:lastRenderedPageBreak/>
        <w:t>B. MAHALLİ İDARELER</w:t>
      </w:r>
      <w:bookmarkEnd w:id="985"/>
      <w:bookmarkEnd w:id="986"/>
      <w:bookmarkEnd w:id="987"/>
      <w:bookmarkEnd w:id="988"/>
      <w:bookmarkEnd w:id="989"/>
      <w:bookmarkEnd w:id="990"/>
      <w:bookmarkEnd w:id="991"/>
    </w:p>
    <w:p w:rsidR="00565FD5" w:rsidRPr="00BF3740" w:rsidRDefault="00565FD5" w:rsidP="00565FD5">
      <w:pPr>
        <w:pStyle w:val="Balk4"/>
      </w:pPr>
      <w:bookmarkStart w:id="992" w:name="_Toc181285987"/>
      <w:bookmarkStart w:id="993" w:name="_Toc181284908"/>
      <w:bookmarkStart w:id="994" w:name="_Toc181192620"/>
      <w:bookmarkStart w:id="995" w:name="_Toc150099148"/>
      <w:bookmarkStart w:id="996" w:name="_Toc149968459"/>
      <w:bookmarkStart w:id="997" w:name="_Toc338505543"/>
      <w:bookmarkStart w:id="998" w:name="_Toc338523760"/>
      <w:bookmarkStart w:id="999" w:name="_Toc338523991"/>
      <w:bookmarkStart w:id="1000" w:name="_Toc338526217"/>
      <w:bookmarkStart w:id="1001" w:name="_Toc338673660"/>
      <w:bookmarkStart w:id="1002" w:name="_Toc338711539"/>
      <w:r w:rsidRPr="00BF3740">
        <w:t>1. Mevcut Durum</w:t>
      </w:r>
      <w:bookmarkEnd w:id="992"/>
      <w:bookmarkEnd w:id="993"/>
      <w:bookmarkEnd w:id="994"/>
      <w:bookmarkEnd w:id="995"/>
      <w:bookmarkEnd w:id="996"/>
      <w:bookmarkEnd w:id="997"/>
      <w:bookmarkEnd w:id="998"/>
      <w:bookmarkEnd w:id="999"/>
      <w:bookmarkEnd w:id="1000"/>
      <w:bookmarkEnd w:id="1001"/>
      <w:bookmarkEnd w:id="1002"/>
    </w:p>
    <w:p w:rsidR="00565FD5" w:rsidRPr="00BF3740" w:rsidRDefault="00565FD5" w:rsidP="00565FD5">
      <w:pPr>
        <w:spacing w:after="180"/>
        <w:ind w:firstLine="425"/>
        <w:rPr>
          <w:szCs w:val="18"/>
        </w:rPr>
      </w:pPr>
      <w:r w:rsidRPr="00BF3740">
        <w:rPr>
          <w:szCs w:val="18"/>
        </w:rPr>
        <w:t>Mahalli idareler dengesi; il özel idareleri, belediyeler, büyükşehir belediyelerine bağlı idareler, belediyelerin oluşturduğu birlikler ve İller Bankası hesaplarını kapsamaktadır.</w:t>
      </w:r>
    </w:p>
    <w:p w:rsidR="00565FD5" w:rsidRPr="00BF3740" w:rsidRDefault="00565FD5" w:rsidP="00565FD5">
      <w:pPr>
        <w:spacing w:after="180"/>
        <w:ind w:firstLine="425"/>
        <w:rPr>
          <w:szCs w:val="18"/>
        </w:rPr>
      </w:pPr>
      <w:r w:rsidRPr="00BF3740">
        <w:rPr>
          <w:szCs w:val="18"/>
        </w:rPr>
        <w:t xml:space="preserve">2011 yılında, ekonomik büyümenin etkisiyle genel bütçe vergi gelirlerinden aktarılan paylarda ve diğer gelir kalemlerinde meydana gelen reel artışlar, 6111 sayılı Kanun kapsamında yapılandırılan kamu alacaklarından yapılan tahsilatlar ve özelleştirme gelirinin etkisiyle mahalli idare gelirleri bir önceki yıla göre yüzde 21,9 oranında artarak 46,6 milyar TL’ye yükselmiştir. </w:t>
      </w:r>
    </w:p>
    <w:p w:rsidR="00565FD5" w:rsidRPr="00BF3740" w:rsidRDefault="00565FD5" w:rsidP="00565FD5">
      <w:pPr>
        <w:spacing w:after="180"/>
        <w:ind w:firstLine="425"/>
        <w:rPr>
          <w:szCs w:val="18"/>
        </w:rPr>
      </w:pPr>
      <w:r w:rsidRPr="00BF3740">
        <w:rPr>
          <w:szCs w:val="18"/>
        </w:rPr>
        <w:t xml:space="preserve">Mahalli idare harcamaları ise, büyükşehir belediyeleri ve bağlı idarelerinin finansman ihtiyacındaki artışın harcamalar üzerinde yarattığı baskıya paralel olarak yüzde 18,5 oranında artarak 44 milyar TL olarak gerçekleşmiştir. </w:t>
      </w:r>
    </w:p>
    <w:p w:rsidR="00565FD5" w:rsidRDefault="00565FD5" w:rsidP="00565FD5">
      <w:pPr>
        <w:spacing w:after="180"/>
        <w:ind w:firstLine="425"/>
        <w:rPr>
          <w:szCs w:val="18"/>
        </w:rPr>
      </w:pPr>
      <w:r w:rsidRPr="00BF3740">
        <w:rPr>
          <w:szCs w:val="18"/>
        </w:rPr>
        <w:t>Böylece, 2010 yılında GSYH’nın yüzde 0,1’i seviyesinde fazla veren mahalli idareler dengesi, 2011 yılında yüzde 0,2 düzeyine yükselmiştir.</w:t>
      </w:r>
    </w:p>
    <w:p w:rsidR="00565FD5" w:rsidRDefault="00565FD5" w:rsidP="00565FD5">
      <w:pPr>
        <w:spacing w:after="180"/>
        <w:ind w:firstLine="425"/>
        <w:rPr>
          <w:szCs w:val="18"/>
        </w:rPr>
      </w:pPr>
    </w:p>
    <w:p w:rsidR="00565FD5" w:rsidRPr="00A253C6" w:rsidRDefault="00565FD5" w:rsidP="00565FD5">
      <w:pPr>
        <w:pStyle w:val="ResimYazs"/>
        <w:rPr>
          <w:szCs w:val="16"/>
        </w:rPr>
      </w:pPr>
      <w:bookmarkStart w:id="1003" w:name="_Toc181286406"/>
      <w:bookmarkStart w:id="1004" w:name="_Toc181274127"/>
      <w:bookmarkStart w:id="1005" w:name="_Toc181241025"/>
      <w:bookmarkStart w:id="1006" w:name="_Toc150099373"/>
      <w:bookmarkStart w:id="1007" w:name="_Toc149975915"/>
      <w:bookmarkStart w:id="1008" w:name="_Toc338605987"/>
      <w:bookmarkStart w:id="1009" w:name="_Toc338711762"/>
      <w:r>
        <w:t xml:space="preserve">TABLO III: </w:t>
      </w:r>
      <w:fldSimple w:instr=" SEQ TABLO_III: \* ARABIC ">
        <w:r>
          <w:rPr>
            <w:noProof/>
          </w:rPr>
          <w:t>9</w:t>
        </w:r>
      </w:fldSimple>
      <w:r w:rsidRPr="00A253C6">
        <w:rPr>
          <w:szCs w:val="16"/>
        </w:rPr>
        <w:t>-Genel Bütçe Vergi Gelirlerinden Mahalli İdarelere Ayrılan Paylar</w:t>
      </w:r>
      <w:bookmarkEnd w:id="1003"/>
      <w:bookmarkEnd w:id="1004"/>
      <w:bookmarkEnd w:id="1005"/>
      <w:bookmarkEnd w:id="1006"/>
      <w:bookmarkEnd w:id="1007"/>
      <w:bookmarkEnd w:id="1008"/>
      <w:bookmarkEnd w:id="1009"/>
    </w:p>
    <w:tbl>
      <w:tblPr>
        <w:tblW w:w="7144" w:type="dxa"/>
        <w:jc w:val="center"/>
        <w:tblCellMar>
          <w:left w:w="54" w:type="dxa"/>
          <w:right w:w="54" w:type="dxa"/>
        </w:tblCellMar>
        <w:tblLook w:val="00A0"/>
      </w:tblPr>
      <w:tblGrid>
        <w:gridCol w:w="2901"/>
        <w:gridCol w:w="999"/>
        <w:gridCol w:w="1000"/>
        <w:gridCol w:w="1043"/>
        <w:gridCol w:w="1044"/>
        <w:gridCol w:w="157"/>
      </w:tblGrid>
      <w:tr w:rsidR="00565FD5" w:rsidRPr="00BF3740" w:rsidTr="00AB62A3">
        <w:trPr>
          <w:cantSplit/>
          <w:trHeight w:hRule="exact" w:val="340"/>
          <w:jc w:val="center"/>
        </w:trPr>
        <w:tc>
          <w:tcPr>
            <w:tcW w:w="2030" w:type="pct"/>
            <w:tcBorders>
              <w:top w:val="single" w:sz="4" w:space="0" w:color="auto"/>
              <w:left w:val="single" w:sz="4" w:space="0" w:color="auto"/>
              <w:bottom w:val="single" w:sz="6" w:space="0" w:color="auto"/>
              <w:right w:val="nil"/>
            </w:tcBorders>
            <w:vAlign w:val="center"/>
          </w:tcPr>
          <w:p w:rsidR="00565FD5" w:rsidRPr="00BF3740" w:rsidRDefault="00565FD5" w:rsidP="00AB62A3">
            <w:pPr>
              <w:rPr>
                <w:rFonts w:cs="Tahoma"/>
                <w:b/>
                <w:sz w:val="16"/>
                <w:szCs w:val="16"/>
              </w:rPr>
            </w:pPr>
          </w:p>
        </w:tc>
        <w:tc>
          <w:tcPr>
            <w:tcW w:w="699" w:type="pct"/>
            <w:tcBorders>
              <w:top w:val="single" w:sz="4" w:space="0" w:color="auto"/>
              <w:left w:val="nil"/>
              <w:bottom w:val="single" w:sz="4" w:space="0" w:color="auto"/>
              <w:right w:val="nil"/>
            </w:tcBorders>
            <w:vAlign w:val="center"/>
          </w:tcPr>
          <w:p w:rsidR="00565FD5" w:rsidRPr="00BF3740" w:rsidRDefault="00565FD5" w:rsidP="00AB62A3">
            <w:pPr>
              <w:jc w:val="right"/>
              <w:rPr>
                <w:rFonts w:cs="Tahoma"/>
                <w:b/>
                <w:sz w:val="16"/>
                <w:szCs w:val="16"/>
              </w:rPr>
            </w:pPr>
            <w:r w:rsidRPr="00BF3740">
              <w:rPr>
                <w:rFonts w:cs="Tahoma"/>
                <w:b/>
                <w:sz w:val="16"/>
                <w:szCs w:val="16"/>
              </w:rPr>
              <w:t>2010</w:t>
            </w:r>
          </w:p>
        </w:tc>
        <w:tc>
          <w:tcPr>
            <w:tcW w:w="700" w:type="pct"/>
            <w:tcBorders>
              <w:top w:val="single" w:sz="4" w:space="0" w:color="auto"/>
              <w:left w:val="nil"/>
              <w:bottom w:val="single" w:sz="6" w:space="0" w:color="auto"/>
              <w:right w:val="nil"/>
            </w:tcBorders>
            <w:vAlign w:val="center"/>
          </w:tcPr>
          <w:p w:rsidR="00565FD5" w:rsidRPr="00BF3740" w:rsidRDefault="00565FD5" w:rsidP="00AB62A3">
            <w:pPr>
              <w:jc w:val="right"/>
              <w:rPr>
                <w:rFonts w:cs="Tahoma"/>
                <w:b/>
                <w:sz w:val="16"/>
                <w:szCs w:val="16"/>
              </w:rPr>
            </w:pPr>
            <w:r w:rsidRPr="00BF3740">
              <w:rPr>
                <w:rFonts w:cs="Tahoma"/>
                <w:b/>
                <w:sz w:val="16"/>
                <w:szCs w:val="16"/>
              </w:rPr>
              <w:t>2011</w:t>
            </w:r>
          </w:p>
        </w:tc>
        <w:tc>
          <w:tcPr>
            <w:tcW w:w="730" w:type="pct"/>
            <w:tcBorders>
              <w:top w:val="single" w:sz="4" w:space="0" w:color="auto"/>
              <w:left w:val="nil"/>
              <w:bottom w:val="single" w:sz="6" w:space="0" w:color="auto"/>
              <w:right w:val="nil"/>
            </w:tcBorders>
            <w:vAlign w:val="center"/>
          </w:tcPr>
          <w:p w:rsidR="00565FD5" w:rsidRPr="00BF3740" w:rsidRDefault="00565FD5" w:rsidP="00AB62A3">
            <w:pPr>
              <w:jc w:val="right"/>
              <w:rPr>
                <w:rFonts w:cs="Tahoma"/>
                <w:b/>
                <w:sz w:val="16"/>
                <w:szCs w:val="16"/>
              </w:rPr>
            </w:pPr>
            <w:r w:rsidRPr="00BF3740">
              <w:rPr>
                <w:rFonts w:cs="Tahoma"/>
                <w:b/>
                <w:sz w:val="16"/>
                <w:szCs w:val="16"/>
              </w:rPr>
              <w:t>2012(1)</w:t>
            </w:r>
          </w:p>
        </w:tc>
        <w:tc>
          <w:tcPr>
            <w:tcW w:w="731" w:type="pct"/>
            <w:tcBorders>
              <w:top w:val="single" w:sz="4" w:space="0" w:color="auto"/>
              <w:left w:val="nil"/>
              <w:bottom w:val="single" w:sz="4" w:space="0" w:color="auto"/>
              <w:right w:val="nil"/>
            </w:tcBorders>
            <w:vAlign w:val="center"/>
          </w:tcPr>
          <w:p w:rsidR="00565FD5" w:rsidRPr="00BF3740" w:rsidRDefault="00565FD5" w:rsidP="00AB62A3">
            <w:pPr>
              <w:jc w:val="right"/>
              <w:rPr>
                <w:rFonts w:cs="Tahoma"/>
                <w:b/>
                <w:sz w:val="16"/>
                <w:szCs w:val="16"/>
              </w:rPr>
            </w:pPr>
            <w:r w:rsidRPr="00BF3740">
              <w:rPr>
                <w:rFonts w:cs="Tahoma"/>
                <w:b/>
                <w:sz w:val="16"/>
                <w:szCs w:val="16"/>
              </w:rPr>
              <w:t>2013(2)</w:t>
            </w:r>
          </w:p>
        </w:tc>
        <w:tc>
          <w:tcPr>
            <w:tcW w:w="110" w:type="pct"/>
            <w:tcBorders>
              <w:top w:val="single" w:sz="4" w:space="0" w:color="auto"/>
              <w:left w:val="nil"/>
              <w:bottom w:val="single" w:sz="6" w:space="0" w:color="auto"/>
              <w:right w:val="single" w:sz="4" w:space="0" w:color="auto"/>
            </w:tcBorders>
            <w:vAlign w:val="center"/>
          </w:tcPr>
          <w:p w:rsidR="00565FD5" w:rsidRPr="00BF3740" w:rsidRDefault="00565FD5" w:rsidP="00AB62A3">
            <w:pPr>
              <w:jc w:val="right"/>
              <w:rPr>
                <w:rFonts w:cs="Tahoma"/>
                <w:b/>
                <w:sz w:val="16"/>
                <w:szCs w:val="16"/>
              </w:rPr>
            </w:pPr>
          </w:p>
        </w:tc>
      </w:tr>
      <w:tr w:rsidR="00565FD5" w:rsidRPr="00BF3740" w:rsidTr="00AB62A3">
        <w:trPr>
          <w:cantSplit/>
          <w:trHeight w:hRule="exact" w:val="340"/>
          <w:jc w:val="center"/>
        </w:trPr>
        <w:tc>
          <w:tcPr>
            <w:tcW w:w="2030" w:type="pct"/>
            <w:tcBorders>
              <w:left w:val="single" w:sz="4" w:space="0" w:color="auto"/>
              <w:bottom w:val="single" w:sz="6" w:space="0" w:color="auto"/>
              <w:right w:val="nil"/>
            </w:tcBorders>
            <w:vAlign w:val="center"/>
          </w:tcPr>
          <w:p w:rsidR="00565FD5" w:rsidRPr="00BF3740" w:rsidRDefault="00565FD5" w:rsidP="00AB62A3">
            <w:pPr>
              <w:rPr>
                <w:rFonts w:cs="Tahoma"/>
                <w:b/>
                <w:sz w:val="16"/>
                <w:szCs w:val="16"/>
              </w:rPr>
            </w:pPr>
          </w:p>
        </w:tc>
        <w:tc>
          <w:tcPr>
            <w:tcW w:w="2860" w:type="pct"/>
            <w:gridSpan w:val="4"/>
            <w:tcBorders>
              <w:top w:val="single" w:sz="4" w:space="0" w:color="auto"/>
              <w:left w:val="nil"/>
              <w:bottom w:val="single" w:sz="4" w:space="0" w:color="auto"/>
              <w:right w:val="nil"/>
            </w:tcBorders>
            <w:vAlign w:val="center"/>
          </w:tcPr>
          <w:p w:rsidR="00565FD5" w:rsidRPr="00BF3740" w:rsidRDefault="00565FD5" w:rsidP="00AB62A3">
            <w:pPr>
              <w:jc w:val="center"/>
              <w:rPr>
                <w:rFonts w:cs="Tahoma"/>
                <w:b/>
                <w:sz w:val="16"/>
                <w:szCs w:val="16"/>
              </w:rPr>
            </w:pPr>
            <w:r w:rsidRPr="00BF3740">
              <w:rPr>
                <w:rFonts w:cs="Tahoma"/>
                <w:b/>
                <w:sz w:val="16"/>
                <w:szCs w:val="16"/>
              </w:rPr>
              <w:t>(Cari Fiyatlarla, Milyon TL)</w:t>
            </w:r>
          </w:p>
        </w:tc>
        <w:tc>
          <w:tcPr>
            <w:tcW w:w="110" w:type="pct"/>
            <w:tcBorders>
              <w:top w:val="nil"/>
              <w:left w:val="nil"/>
              <w:bottom w:val="single" w:sz="6" w:space="0" w:color="auto"/>
              <w:right w:val="single" w:sz="4" w:space="0" w:color="auto"/>
            </w:tcBorders>
            <w:vAlign w:val="center"/>
          </w:tcPr>
          <w:p w:rsidR="00565FD5" w:rsidRPr="00BF3740" w:rsidRDefault="00565FD5" w:rsidP="00AB62A3">
            <w:pPr>
              <w:jc w:val="right"/>
              <w:rPr>
                <w:rFonts w:cs="Tahoma"/>
                <w:b/>
                <w:sz w:val="16"/>
                <w:szCs w:val="16"/>
              </w:rPr>
            </w:pPr>
          </w:p>
        </w:tc>
      </w:tr>
      <w:tr w:rsidR="00565FD5" w:rsidRPr="00BF3740" w:rsidTr="00AB62A3">
        <w:trPr>
          <w:cantSplit/>
          <w:trHeight w:hRule="exact" w:val="340"/>
          <w:jc w:val="center"/>
        </w:trPr>
        <w:tc>
          <w:tcPr>
            <w:tcW w:w="2030" w:type="pct"/>
            <w:tcBorders>
              <w:top w:val="single" w:sz="4" w:space="0" w:color="auto"/>
              <w:left w:val="single" w:sz="4" w:space="0" w:color="auto"/>
              <w:bottom w:val="nil"/>
              <w:right w:val="nil"/>
            </w:tcBorders>
            <w:vAlign w:val="center"/>
          </w:tcPr>
          <w:p w:rsidR="00565FD5" w:rsidRPr="00BF3740" w:rsidRDefault="00565FD5" w:rsidP="00AB62A3">
            <w:pPr>
              <w:rPr>
                <w:rFonts w:cs="Tahoma"/>
                <w:sz w:val="16"/>
                <w:szCs w:val="16"/>
              </w:rPr>
            </w:pPr>
            <w:r w:rsidRPr="00BF3740">
              <w:rPr>
                <w:rFonts w:cs="Tahoma"/>
                <w:sz w:val="16"/>
                <w:szCs w:val="16"/>
              </w:rPr>
              <w:t>Belediyeler</w:t>
            </w:r>
          </w:p>
        </w:tc>
        <w:tc>
          <w:tcPr>
            <w:tcW w:w="699" w:type="pct"/>
            <w:tcBorders>
              <w:top w:val="single" w:sz="4" w:space="0" w:color="auto"/>
              <w:left w:val="nil"/>
              <w:bottom w:val="nil"/>
              <w:right w:val="nil"/>
            </w:tcBorders>
            <w:vAlign w:val="center"/>
          </w:tcPr>
          <w:p w:rsidR="00565FD5" w:rsidRPr="00BF3740" w:rsidRDefault="00565FD5" w:rsidP="00AB62A3">
            <w:pPr>
              <w:jc w:val="right"/>
              <w:rPr>
                <w:rFonts w:cs="Tahoma"/>
                <w:sz w:val="16"/>
                <w:szCs w:val="16"/>
              </w:rPr>
            </w:pPr>
            <w:r w:rsidRPr="00BF3740">
              <w:rPr>
                <w:rFonts w:cs="Tahoma"/>
                <w:sz w:val="16"/>
                <w:szCs w:val="16"/>
              </w:rPr>
              <w:t>11 276</w:t>
            </w:r>
          </w:p>
        </w:tc>
        <w:tc>
          <w:tcPr>
            <w:tcW w:w="700" w:type="pct"/>
            <w:tcBorders>
              <w:top w:val="single" w:sz="4" w:space="0" w:color="auto"/>
              <w:left w:val="nil"/>
              <w:bottom w:val="nil"/>
              <w:right w:val="nil"/>
            </w:tcBorders>
            <w:vAlign w:val="center"/>
          </w:tcPr>
          <w:p w:rsidR="00565FD5" w:rsidRPr="00BF3740" w:rsidRDefault="00565FD5" w:rsidP="00AB62A3">
            <w:pPr>
              <w:jc w:val="right"/>
              <w:rPr>
                <w:rFonts w:cs="Tahoma"/>
                <w:sz w:val="16"/>
                <w:szCs w:val="16"/>
              </w:rPr>
            </w:pPr>
            <w:r w:rsidRPr="00BF3740">
              <w:rPr>
                <w:rFonts w:cs="Tahoma"/>
                <w:sz w:val="16"/>
                <w:szCs w:val="16"/>
              </w:rPr>
              <w:t>13 487</w:t>
            </w:r>
          </w:p>
        </w:tc>
        <w:tc>
          <w:tcPr>
            <w:tcW w:w="730" w:type="pct"/>
            <w:tcBorders>
              <w:top w:val="single" w:sz="4" w:space="0" w:color="auto"/>
              <w:left w:val="nil"/>
              <w:bottom w:val="nil"/>
              <w:right w:val="nil"/>
            </w:tcBorders>
            <w:vAlign w:val="center"/>
          </w:tcPr>
          <w:p w:rsidR="00565FD5" w:rsidRPr="00BF3740" w:rsidRDefault="00565FD5" w:rsidP="00AB62A3">
            <w:pPr>
              <w:jc w:val="right"/>
              <w:rPr>
                <w:rFonts w:cs="Tahoma"/>
                <w:sz w:val="16"/>
                <w:szCs w:val="16"/>
              </w:rPr>
            </w:pPr>
            <w:r w:rsidRPr="00BF3740">
              <w:rPr>
                <w:rFonts w:cs="Tahoma"/>
                <w:sz w:val="16"/>
                <w:szCs w:val="16"/>
              </w:rPr>
              <w:t>14 917</w:t>
            </w:r>
          </w:p>
        </w:tc>
        <w:tc>
          <w:tcPr>
            <w:tcW w:w="731" w:type="pct"/>
            <w:tcBorders>
              <w:top w:val="single" w:sz="4" w:space="0" w:color="auto"/>
              <w:left w:val="nil"/>
              <w:bottom w:val="nil"/>
              <w:right w:val="nil"/>
            </w:tcBorders>
            <w:vAlign w:val="center"/>
          </w:tcPr>
          <w:p w:rsidR="00565FD5" w:rsidRPr="00BF3740" w:rsidRDefault="00565FD5" w:rsidP="00AB62A3">
            <w:pPr>
              <w:jc w:val="right"/>
              <w:rPr>
                <w:rFonts w:cs="Tahoma"/>
                <w:sz w:val="16"/>
                <w:szCs w:val="16"/>
              </w:rPr>
            </w:pPr>
            <w:r w:rsidRPr="00BF3740">
              <w:rPr>
                <w:rFonts w:cs="Tahoma"/>
                <w:sz w:val="16"/>
                <w:szCs w:val="16"/>
              </w:rPr>
              <w:t>17 383</w:t>
            </w:r>
          </w:p>
        </w:tc>
        <w:tc>
          <w:tcPr>
            <w:tcW w:w="110" w:type="pct"/>
            <w:tcBorders>
              <w:top w:val="nil"/>
              <w:left w:val="nil"/>
              <w:bottom w:val="nil"/>
              <w:right w:val="single" w:sz="4" w:space="0" w:color="auto"/>
            </w:tcBorders>
            <w:vAlign w:val="bottom"/>
          </w:tcPr>
          <w:p w:rsidR="00565FD5" w:rsidRPr="00BF3740" w:rsidRDefault="00565FD5" w:rsidP="00AB62A3">
            <w:pPr>
              <w:jc w:val="right"/>
              <w:rPr>
                <w:rFonts w:cs="Tahoma"/>
                <w:sz w:val="16"/>
                <w:szCs w:val="16"/>
              </w:rPr>
            </w:pPr>
          </w:p>
        </w:tc>
      </w:tr>
      <w:tr w:rsidR="00565FD5" w:rsidRPr="00BF3740" w:rsidTr="00AB62A3">
        <w:trPr>
          <w:cantSplit/>
          <w:trHeight w:hRule="exact" w:val="340"/>
          <w:jc w:val="center"/>
        </w:trPr>
        <w:tc>
          <w:tcPr>
            <w:tcW w:w="2030" w:type="pct"/>
            <w:tcBorders>
              <w:top w:val="nil"/>
              <w:left w:val="single" w:sz="4" w:space="0" w:color="auto"/>
              <w:bottom w:val="nil"/>
              <w:right w:val="nil"/>
            </w:tcBorders>
            <w:vAlign w:val="center"/>
          </w:tcPr>
          <w:p w:rsidR="00565FD5" w:rsidRPr="00BF3740" w:rsidRDefault="00565FD5" w:rsidP="00AB62A3">
            <w:pPr>
              <w:rPr>
                <w:rFonts w:cs="Tahoma"/>
                <w:sz w:val="16"/>
                <w:szCs w:val="16"/>
              </w:rPr>
            </w:pPr>
            <w:r w:rsidRPr="00BF3740">
              <w:rPr>
                <w:rFonts w:cs="Tahoma"/>
                <w:sz w:val="16"/>
                <w:szCs w:val="16"/>
              </w:rPr>
              <w:t>Büyükşehir Belediyeleri</w:t>
            </w:r>
          </w:p>
        </w:tc>
        <w:tc>
          <w:tcPr>
            <w:tcW w:w="699" w:type="pct"/>
            <w:vAlign w:val="center"/>
          </w:tcPr>
          <w:p w:rsidR="00565FD5" w:rsidRPr="00BF3740" w:rsidRDefault="00565FD5" w:rsidP="00AB62A3">
            <w:pPr>
              <w:jc w:val="right"/>
              <w:rPr>
                <w:rFonts w:cs="Tahoma"/>
                <w:sz w:val="16"/>
                <w:szCs w:val="16"/>
              </w:rPr>
            </w:pPr>
            <w:r w:rsidRPr="00BF3740">
              <w:rPr>
                <w:rFonts w:cs="Tahoma"/>
                <w:sz w:val="16"/>
                <w:szCs w:val="16"/>
              </w:rPr>
              <w:t>7 210</w:t>
            </w:r>
          </w:p>
        </w:tc>
        <w:tc>
          <w:tcPr>
            <w:tcW w:w="700" w:type="pct"/>
            <w:vAlign w:val="center"/>
          </w:tcPr>
          <w:p w:rsidR="00565FD5" w:rsidRPr="00BF3740" w:rsidRDefault="00565FD5" w:rsidP="00AB62A3">
            <w:pPr>
              <w:jc w:val="right"/>
              <w:rPr>
                <w:rFonts w:cs="Tahoma"/>
                <w:sz w:val="16"/>
                <w:szCs w:val="16"/>
              </w:rPr>
            </w:pPr>
            <w:r w:rsidRPr="00BF3740">
              <w:rPr>
                <w:rFonts w:cs="Tahoma"/>
                <w:sz w:val="16"/>
                <w:szCs w:val="16"/>
              </w:rPr>
              <w:t>8 514</w:t>
            </w:r>
          </w:p>
        </w:tc>
        <w:tc>
          <w:tcPr>
            <w:tcW w:w="730" w:type="pct"/>
            <w:vAlign w:val="center"/>
          </w:tcPr>
          <w:p w:rsidR="00565FD5" w:rsidRPr="00BF3740" w:rsidRDefault="00565FD5" w:rsidP="00AB62A3">
            <w:pPr>
              <w:jc w:val="right"/>
              <w:rPr>
                <w:rFonts w:cs="Tahoma"/>
                <w:sz w:val="16"/>
                <w:szCs w:val="16"/>
              </w:rPr>
            </w:pPr>
            <w:r w:rsidRPr="00BF3740">
              <w:rPr>
                <w:rFonts w:cs="Tahoma"/>
                <w:sz w:val="16"/>
                <w:szCs w:val="16"/>
              </w:rPr>
              <w:t>10 217</w:t>
            </w:r>
          </w:p>
        </w:tc>
        <w:tc>
          <w:tcPr>
            <w:tcW w:w="731" w:type="pct"/>
            <w:vAlign w:val="center"/>
          </w:tcPr>
          <w:p w:rsidR="00565FD5" w:rsidRPr="00BF3740" w:rsidRDefault="00565FD5" w:rsidP="00AB62A3">
            <w:pPr>
              <w:jc w:val="right"/>
              <w:rPr>
                <w:rFonts w:cs="Tahoma"/>
                <w:sz w:val="16"/>
                <w:szCs w:val="16"/>
              </w:rPr>
            </w:pPr>
            <w:r w:rsidRPr="00BF3740">
              <w:rPr>
                <w:rFonts w:cs="Tahoma"/>
                <w:sz w:val="16"/>
                <w:szCs w:val="16"/>
              </w:rPr>
              <w:t>12 751</w:t>
            </w:r>
          </w:p>
        </w:tc>
        <w:tc>
          <w:tcPr>
            <w:tcW w:w="110" w:type="pct"/>
            <w:tcBorders>
              <w:top w:val="nil"/>
              <w:left w:val="nil"/>
              <w:bottom w:val="nil"/>
              <w:right w:val="single" w:sz="4" w:space="0" w:color="auto"/>
            </w:tcBorders>
            <w:vAlign w:val="bottom"/>
          </w:tcPr>
          <w:p w:rsidR="00565FD5" w:rsidRPr="00BF3740" w:rsidRDefault="00565FD5" w:rsidP="00AB62A3">
            <w:pPr>
              <w:jc w:val="right"/>
              <w:rPr>
                <w:rFonts w:cs="Tahoma"/>
                <w:sz w:val="16"/>
                <w:szCs w:val="16"/>
              </w:rPr>
            </w:pPr>
          </w:p>
        </w:tc>
      </w:tr>
      <w:tr w:rsidR="00565FD5" w:rsidRPr="00BF3740" w:rsidTr="00AB62A3">
        <w:trPr>
          <w:cantSplit/>
          <w:trHeight w:hRule="exact" w:val="340"/>
          <w:jc w:val="center"/>
        </w:trPr>
        <w:tc>
          <w:tcPr>
            <w:tcW w:w="2030" w:type="pct"/>
            <w:tcBorders>
              <w:top w:val="nil"/>
              <w:left w:val="single" w:sz="4" w:space="0" w:color="auto"/>
              <w:bottom w:val="nil"/>
              <w:right w:val="nil"/>
            </w:tcBorders>
            <w:vAlign w:val="center"/>
          </w:tcPr>
          <w:p w:rsidR="00565FD5" w:rsidRPr="00BF3740" w:rsidRDefault="00565FD5" w:rsidP="00AB62A3">
            <w:pPr>
              <w:rPr>
                <w:rFonts w:cs="Tahoma"/>
                <w:sz w:val="16"/>
                <w:szCs w:val="16"/>
              </w:rPr>
            </w:pPr>
            <w:r w:rsidRPr="00BF3740">
              <w:rPr>
                <w:rFonts w:cs="Tahoma"/>
                <w:sz w:val="16"/>
                <w:szCs w:val="16"/>
              </w:rPr>
              <w:t>İl Özel İdareleri</w:t>
            </w:r>
          </w:p>
        </w:tc>
        <w:tc>
          <w:tcPr>
            <w:tcW w:w="699" w:type="pct"/>
            <w:vAlign w:val="center"/>
          </w:tcPr>
          <w:p w:rsidR="00565FD5" w:rsidRPr="00BF3740" w:rsidRDefault="00565FD5" w:rsidP="00AB62A3">
            <w:pPr>
              <w:jc w:val="right"/>
              <w:rPr>
                <w:rFonts w:cs="Tahoma"/>
                <w:sz w:val="16"/>
                <w:szCs w:val="16"/>
              </w:rPr>
            </w:pPr>
            <w:r w:rsidRPr="00BF3740">
              <w:rPr>
                <w:rFonts w:cs="Tahoma"/>
                <w:sz w:val="16"/>
                <w:szCs w:val="16"/>
              </w:rPr>
              <w:t>2 424</w:t>
            </w:r>
          </w:p>
        </w:tc>
        <w:tc>
          <w:tcPr>
            <w:tcW w:w="700" w:type="pct"/>
            <w:vAlign w:val="center"/>
          </w:tcPr>
          <w:p w:rsidR="00565FD5" w:rsidRPr="00BF3740" w:rsidRDefault="00565FD5" w:rsidP="00AB62A3">
            <w:pPr>
              <w:jc w:val="right"/>
              <w:rPr>
                <w:rFonts w:cs="Tahoma"/>
                <w:sz w:val="16"/>
                <w:szCs w:val="16"/>
              </w:rPr>
            </w:pPr>
            <w:r w:rsidRPr="00BF3740">
              <w:rPr>
                <w:rFonts w:cs="Tahoma"/>
                <w:sz w:val="16"/>
                <w:szCs w:val="16"/>
              </w:rPr>
              <w:t>2 899</w:t>
            </w:r>
          </w:p>
        </w:tc>
        <w:tc>
          <w:tcPr>
            <w:tcW w:w="730" w:type="pct"/>
            <w:vAlign w:val="center"/>
          </w:tcPr>
          <w:p w:rsidR="00565FD5" w:rsidRPr="00BF3740" w:rsidRDefault="00565FD5" w:rsidP="00AB62A3">
            <w:pPr>
              <w:jc w:val="right"/>
              <w:rPr>
                <w:rFonts w:cs="Tahoma"/>
                <w:sz w:val="16"/>
                <w:szCs w:val="16"/>
              </w:rPr>
            </w:pPr>
            <w:r w:rsidRPr="00BF3740">
              <w:rPr>
                <w:rFonts w:cs="Tahoma"/>
                <w:sz w:val="16"/>
                <w:szCs w:val="16"/>
              </w:rPr>
              <w:t>3 206</w:t>
            </w:r>
          </w:p>
        </w:tc>
        <w:tc>
          <w:tcPr>
            <w:tcW w:w="731" w:type="pct"/>
            <w:vAlign w:val="center"/>
          </w:tcPr>
          <w:p w:rsidR="00565FD5" w:rsidRPr="00BF3740" w:rsidRDefault="00565FD5" w:rsidP="00AB62A3">
            <w:pPr>
              <w:jc w:val="right"/>
              <w:rPr>
                <w:rFonts w:cs="Tahoma"/>
                <w:sz w:val="16"/>
                <w:szCs w:val="16"/>
              </w:rPr>
            </w:pPr>
            <w:r w:rsidRPr="00BF3740">
              <w:rPr>
                <w:rFonts w:cs="Tahoma"/>
                <w:sz w:val="16"/>
                <w:szCs w:val="16"/>
              </w:rPr>
              <w:t>3 284</w:t>
            </w:r>
          </w:p>
        </w:tc>
        <w:tc>
          <w:tcPr>
            <w:tcW w:w="110" w:type="pct"/>
            <w:tcBorders>
              <w:top w:val="nil"/>
              <w:left w:val="nil"/>
              <w:bottom w:val="nil"/>
              <w:right w:val="single" w:sz="4" w:space="0" w:color="auto"/>
            </w:tcBorders>
            <w:vAlign w:val="bottom"/>
          </w:tcPr>
          <w:p w:rsidR="00565FD5" w:rsidRPr="00BF3740" w:rsidRDefault="00565FD5" w:rsidP="00AB62A3">
            <w:pPr>
              <w:jc w:val="right"/>
              <w:rPr>
                <w:rFonts w:cs="Tahoma"/>
                <w:sz w:val="16"/>
                <w:szCs w:val="16"/>
              </w:rPr>
            </w:pPr>
          </w:p>
        </w:tc>
      </w:tr>
      <w:tr w:rsidR="00565FD5" w:rsidRPr="00BF3740" w:rsidTr="00AB62A3">
        <w:trPr>
          <w:cantSplit/>
          <w:trHeight w:hRule="exact" w:val="340"/>
          <w:jc w:val="center"/>
        </w:trPr>
        <w:tc>
          <w:tcPr>
            <w:tcW w:w="2030" w:type="pct"/>
            <w:tcBorders>
              <w:top w:val="nil"/>
              <w:left w:val="single" w:sz="4" w:space="0" w:color="auto"/>
              <w:bottom w:val="single" w:sz="4" w:space="0" w:color="auto"/>
              <w:right w:val="nil"/>
            </w:tcBorders>
            <w:vAlign w:val="center"/>
          </w:tcPr>
          <w:p w:rsidR="00565FD5" w:rsidRPr="00BF3740" w:rsidRDefault="00565FD5" w:rsidP="00AB62A3">
            <w:pPr>
              <w:rPr>
                <w:rFonts w:cs="Tahoma"/>
                <w:b/>
                <w:bCs/>
                <w:sz w:val="16"/>
                <w:szCs w:val="16"/>
              </w:rPr>
            </w:pPr>
            <w:r w:rsidRPr="00BF3740">
              <w:rPr>
                <w:rFonts w:cs="Tahoma"/>
                <w:b/>
                <w:bCs/>
                <w:sz w:val="16"/>
                <w:szCs w:val="16"/>
              </w:rPr>
              <w:t xml:space="preserve">TOPLAM </w:t>
            </w:r>
          </w:p>
        </w:tc>
        <w:tc>
          <w:tcPr>
            <w:tcW w:w="699" w:type="pct"/>
            <w:tcBorders>
              <w:top w:val="nil"/>
              <w:left w:val="nil"/>
              <w:bottom w:val="single" w:sz="4" w:space="0" w:color="auto"/>
              <w:right w:val="nil"/>
            </w:tcBorders>
            <w:vAlign w:val="center"/>
          </w:tcPr>
          <w:p w:rsidR="00565FD5" w:rsidRPr="00BF3740" w:rsidRDefault="00565FD5" w:rsidP="00AB62A3">
            <w:pPr>
              <w:jc w:val="right"/>
              <w:rPr>
                <w:rFonts w:cs="Tahoma"/>
                <w:b/>
                <w:bCs/>
                <w:sz w:val="16"/>
                <w:szCs w:val="16"/>
              </w:rPr>
            </w:pPr>
            <w:r w:rsidRPr="00BF3740">
              <w:rPr>
                <w:rFonts w:cs="Tahoma"/>
                <w:b/>
                <w:bCs/>
                <w:sz w:val="16"/>
                <w:szCs w:val="16"/>
              </w:rPr>
              <w:t>20 910</w:t>
            </w:r>
          </w:p>
        </w:tc>
        <w:tc>
          <w:tcPr>
            <w:tcW w:w="700" w:type="pct"/>
            <w:tcBorders>
              <w:top w:val="nil"/>
              <w:left w:val="nil"/>
              <w:bottom w:val="single" w:sz="4" w:space="0" w:color="auto"/>
              <w:right w:val="nil"/>
            </w:tcBorders>
            <w:vAlign w:val="center"/>
          </w:tcPr>
          <w:p w:rsidR="00565FD5" w:rsidRPr="00BF3740" w:rsidRDefault="00565FD5" w:rsidP="00AB62A3">
            <w:pPr>
              <w:jc w:val="right"/>
              <w:rPr>
                <w:rFonts w:cs="Tahoma"/>
                <w:b/>
                <w:bCs/>
                <w:sz w:val="16"/>
                <w:szCs w:val="16"/>
              </w:rPr>
            </w:pPr>
            <w:r w:rsidRPr="00BF3740">
              <w:rPr>
                <w:rFonts w:cs="Tahoma"/>
                <w:b/>
                <w:bCs/>
                <w:sz w:val="16"/>
                <w:szCs w:val="16"/>
              </w:rPr>
              <w:t>24 900</w:t>
            </w:r>
          </w:p>
        </w:tc>
        <w:tc>
          <w:tcPr>
            <w:tcW w:w="730" w:type="pct"/>
            <w:tcBorders>
              <w:top w:val="nil"/>
              <w:left w:val="nil"/>
              <w:bottom w:val="single" w:sz="4" w:space="0" w:color="auto"/>
              <w:right w:val="nil"/>
            </w:tcBorders>
            <w:vAlign w:val="center"/>
          </w:tcPr>
          <w:p w:rsidR="00565FD5" w:rsidRPr="00BF3740" w:rsidRDefault="00565FD5" w:rsidP="00AB62A3">
            <w:pPr>
              <w:jc w:val="right"/>
              <w:rPr>
                <w:rFonts w:cs="Tahoma"/>
                <w:b/>
                <w:bCs/>
                <w:sz w:val="16"/>
                <w:szCs w:val="16"/>
              </w:rPr>
            </w:pPr>
            <w:r w:rsidRPr="00BF3740">
              <w:rPr>
                <w:rFonts w:cs="Tahoma"/>
                <w:b/>
                <w:bCs/>
                <w:sz w:val="16"/>
                <w:szCs w:val="16"/>
              </w:rPr>
              <w:t>28 340</w:t>
            </w:r>
          </w:p>
        </w:tc>
        <w:tc>
          <w:tcPr>
            <w:tcW w:w="731" w:type="pct"/>
            <w:tcBorders>
              <w:top w:val="nil"/>
              <w:left w:val="nil"/>
              <w:bottom w:val="single" w:sz="4" w:space="0" w:color="auto"/>
              <w:right w:val="nil"/>
            </w:tcBorders>
            <w:vAlign w:val="center"/>
          </w:tcPr>
          <w:p w:rsidR="00565FD5" w:rsidRPr="00BF3740" w:rsidRDefault="00565FD5" w:rsidP="00AB62A3">
            <w:pPr>
              <w:jc w:val="right"/>
              <w:rPr>
                <w:rFonts w:cs="Tahoma"/>
                <w:b/>
                <w:bCs/>
                <w:sz w:val="16"/>
                <w:szCs w:val="16"/>
              </w:rPr>
            </w:pPr>
            <w:r w:rsidRPr="00BF3740">
              <w:rPr>
                <w:rFonts w:cs="Tahoma"/>
                <w:b/>
                <w:bCs/>
                <w:sz w:val="16"/>
                <w:szCs w:val="16"/>
              </w:rPr>
              <w:t>33 418</w:t>
            </w:r>
          </w:p>
        </w:tc>
        <w:tc>
          <w:tcPr>
            <w:tcW w:w="110" w:type="pct"/>
            <w:tcBorders>
              <w:top w:val="nil"/>
              <w:left w:val="nil"/>
              <w:bottom w:val="single" w:sz="4" w:space="0" w:color="auto"/>
              <w:right w:val="single" w:sz="4" w:space="0" w:color="auto"/>
            </w:tcBorders>
            <w:vAlign w:val="bottom"/>
          </w:tcPr>
          <w:p w:rsidR="00565FD5" w:rsidRPr="00BF3740" w:rsidRDefault="00565FD5" w:rsidP="00AB62A3">
            <w:pPr>
              <w:jc w:val="right"/>
              <w:rPr>
                <w:rFonts w:cs="Tahoma"/>
                <w:b/>
                <w:bCs/>
                <w:sz w:val="16"/>
                <w:szCs w:val="16"/>
              </w:rPr>
            </w:pPr>
          </w:p>
        </w:tc>
      </w:tr>
      <w:tr w:rsidR="00565FD5" w:rsidRPr="00BF3740" w:rsidTr="00AB62A3">
        <w:trPr>
          <w:cantSplit/>
          <w:trHeight w:hRule="exact" w:val="340"/>
          <w:jc w:val="center"/>
        </w:trPr>
        <w:tc>
          <w:tcPr>
            <w:tcW w:w="2030" w:type="pct"/>
            <w:tcBorders>
              <w:left w:val="single" w:sz="4" w:space="0" w:color="auto"/>
              <w:bottom w:val="single" w:sz="6" w:space="0" w:color="auto"/>
              <w:right w:val="nil"/>
            </w:tcBorders>
            <w:vAlign w:val="center"/>
          </w:tcPr>
          <w:p w:rsidR="00565FD5" w:rsidRPr="00BF3740" w:rsidRDefault="00565FD5" w:rsidP="00AB62A3">
            <w:pPr>
              <w:rPr>
                <w:rFonts w:cs="Tahoma"/>
                <w:b/>
                <w:sz w:val="16"/>
                <w:szCs w:val="16"/>
              </w:rPr>
            </w:pPr>
          </w:p>
        </w:tc>
        <w:tc>
          <w:tcPr>
            <w:tcW w:w="2860" w:type="pct"/>
            <w:gridSpan w:val="4"/>
            <w:tcBorders>
              <w:top w:val="single" w:sz="4" w:space="0" w:color="auto"/>
              <w:left w:val="nil"/>
              <w:bottom w:val="single" w:sz="4" w:space="0" w:color="auto"/>
              <w:right w:val="nil"/>
            </w:tcBorders>
            <w:vAlign w:val="center"/>
          </w:tcPr>
          <w:p w:rsidR="00565FD5" w:rsidRPr="00BF3740" w:rsidRDefault="00565FD5" w:rsidP="00AB62A3">
            <w:pPr>
              <w:jc w:val="center"/>
              <w:rPr>
                <w:rFonts w:cs="Tahoma"/>
                <w:b/>
                <w:sz w:val="16"/>
                <w:szCs w:val="16"/>
              </w:rPr>
            </w:pPr>
            <w:r w:rsidRPr="00BF3740">
              <w:rPr>
                <w:rFonts w:cs="Tahoma"/>
                <w:b/>
                <w:sz w:val="16"/>
                <w:szCs w:val="16"/>
              </w:rPr>
              <w:t>(GSYH’ya Oran, Yüzde)</w:t>
            </w:r>
          </w:p>
        </w:tc>
        <w:tc>
          <w:tcPr>
            <w:tcW w:w="110" w:type="pct"/>
            <w:tcBorders>
              <w:top w:val="nil"/>
              <w:left w:val="nil"/>
              <w:bottom w:val="single" w:sz="6" w:space="0" w:color="auto"/>
              <w:right w:val="single" w:sz="4" w:space="0" w:color="auto"/>
            </w:tcBorders>
            <w:vAlign w:val="center"/>
          </w:tcPr>
          <w:p w:rsidR="00565FD5" w:rsidRPr="00BF3740" w:rsidRDefault="00565FD5" w:rsidP="00AB62A3">
            <w:pPr>
              <w:jc w:val="right"/>
              <w:rPr>
                <w:rFonts w:cs="Tahoma"/>
                <w:b/>
                <w:sz w:val="16"/>
                <w:szCs w:val="16"/>
              </w:rPr>
            </w:pPr>
          </w:p>
        </w:tc>
      </w:tr>
      <w:tr w:rsidR="00565FD5" w:rsidRPr="00BF3740" w:rsidTr="00AB62A3">
        <w:trPr>
          <w:cantSplit/>
          <w:trHeight w:hRule="exact" w:val="340"/>
          <w:jc w:val="center"/>
        </w:trPr>
        <w:tc>
          <w:tcPr>
            <w:tcW w:w="2030" w:type="pct"/>
            <w:tcBorders>
              <w:top w:val="single" w:sz="4" w:space="0" w:color="auto"/>
              <w:left w:val="single" w:sz="4" w:space="0" w:color="auto"/>
              <w:bottom w:val="nil"/>
              <w:right w:val="nil"/>
            </w:tcBorders>
            <w:vAlign w:val="center"/>
          </w:tcPr>
          <w:p w:rsidR="00565FD5" w:rsidRPr="00BF3740" w:rsidRDefault="00565FD5" w:rsidP="00AB62A3">
            <w:pPr>
              <w:rPr>
                <w:rFonts w:cs="Tahoma"/>
                <w:sz w:val="16"/>
                <w:szCs w:val="16"/>
              </w:rPr>
            </w:pPr>
            <w:r w:rsidRPr="00BF3740">
              <w:rPr>
                <w:rFonts w:cs="Tahoma"/>
                <w:sz w:val="16"/>
                <w:szCs w:val="16"/>
              </w:rPr>
              <w:t>Belediyeler</w:t>
            </w:r>
          </w:p>
        </w:tc>
        <w:tc>
          <w:tcPr>
            <w:tcW w:w="699" w:type="pct"/>
            <w:tcBorders>
              <w:top w:val="single" w:sz="4" w:space="0" w:color="auto"/>
              <w:left w:val="nil"/>
              <w:bottom w:val="nil"/>
              <w:right w:val="nil"/>
            </w:tcBorders>
            <w:vAlign w:val="center"/>
          </w:tcPr>
          <w:p w:rsidR="00565FD5" w:rsidRPr="00BF3740" w:rsidRDefault="00565FD5" w:rsidP="00AB62A3">
            <w:pPr>
              <w:jc w:val="right"/>
              <w:rPr>
                <w:rFonts w:cs="Tahoma"/>
                <w:sz w:val="16"/>
                <w:szCs w:val="16"/>
              </w:rPr>
            </w:pPr>
            <w:r w:rsidRPr="00BF3740">
              <w:rPr>
                <w:rFonts w:cs="Tahoma"/>
                <w:sz w:val="16"/>
                <w:szCs w:val="16"/>
              </w:rPr>
              <w:t>1,03</w:t>
            </w:r>
          </w:p>
        </w:tc>
        <w:tc>
          <w:tcPr>
            <w:tcW w:w="700" w:type="pct"/>
            <w:tcBorders>
              <w:top w:val="single" w:sz="4" w:space="0" w:color="auto"/>
              <w:left w:val="nil"/>
              <w:bottom w:val="nil"/>
              <w:right w:val="nil"/>
            </w:tcBorders>
            <w:vAlign w:val="center"/>
          </w:tcPr>
          <w:p w:rsidR="00565FD5" w:rsidRPr="00BF3740" w:rsidRDefault="00565FD5" w:rsidP="00AB62A3">
            <w:pPr>
              <w:jc w:val="right"/>
              <w:rPr>
                <w:rFonts w:cs="Tahoma"/>
                <w:sz w:val="16"/>
                <w:szCs w:val="16"/>
              </w:rPr>
            </w:pPr>
            <w:r w:rsidRPr="00BF3740">
              <w:rPr>
                <w:rFonts w:cs="Tahoma"/>
                <w:sz w:val="16"/>
                <w:szCs w:val="16"/>
              </w:rPr>
              <w:t>1,04</w:t>
            </w:r>
          </w:p>
        </w:tc>
        <w:tc>
          <w:tcPr>
            <w:tcW w:w="730" w:type="pct"/>
            <w:tcBorders>
              <w:top w:val="single" w:sz="4" w:space="0" w:color="auto"/>
              <w:left w:val="nil"/>
              <w:bottom w:val="nil"/>
              <w:right w:val="nil"/>
            </w:tcBorders>
            <w:vAlign w:val="center"/>
          </w:tcPr>
          <w:p w:rsidR="00565FD5" w:rsidRPr="00BF3740" w:rsidRDefault="00565FD5" w:rsidP="00AB62A3">
            <w:pPr>
              <w:jc w:val="right"/>
              <w:rPr>
                <w:rFonts w:cs="Tahoma"/>
                <w:sz w:val="16"/>
                <w:szCs w:val="16"/>
              </w:rPr>
            </w:pPr>
            <w:r w:rsidRPr="00BF3740">
              <w:rPr>
                <w:rFonts w:cs="Tahoma"/>
                <w:sz w:val="16"/>
                <w:szCs w:val="16"/>
              </w:rPr>
              <w:t>1,04</w:t>
            </w:r>
          </w:p>
        </w:tc>
        <w:tc>
          <w:tcPr>
            <w:tcW w:w="731" w:type="pct"/>
            <w:tcBorders>
              <w:top w:val="single" w:sz="4" w:space="0" w:color="auto"/>
              <w:left w:val="nil"/>
              <w:bottom w:val="nil"/>
              <w:right w:val="nil"/>
            </w:tcBorders>
            <w:vAlign w:val="center"/>
          </w:tcPr>
          <w:p w:rsidR="00565FD5" w:rsidRPr="00BF3740" w:rsidRDefault="00565FD5" w:rsidP="00AB62A3">
            <w:pPr>
              <w:jc w:val="right"/>
              <w:rPr>
                <w:rFonts w:cs="Tahoma"/>
                <w:sz w:val="16"/>
                <w:szCs w:val="16"/>
              </w:rPr>
            </w:pPr>
            <w:r w:rsidRPr="00BF3740">
              <w:rPr>
                <w:rFonts w:cs="Tahoma"/>
                <w:sz w:val="16"/>
                <w:szCs w:val="16"/>
              </w:rPr>
              <w:t>1,11</w:t>
            </w:r>
          </w:p>
        </w:tc>
        <w:tc>
          <w:tcPr>
            <w:tcW w:w="110" w:type="pct"/>
            <w:tcBorders>
              <w:top w:val="nil"/>
              <w:left w:val="nil"/>
              <w:bottom w:val="nil"/>
              <w:right w:val="single" w:sz="4" w:space="0" w:color="auto"/>
            </w:tcBorders>
            <w:vAlign w:val="bottom"/>
          </w:tcPr>
          <w:p w:rsidR="00565FD5" w:rsidRPr="00BF3740" w:rsidRDefault="00565FD5" w:rsidP="00AB62A3">
            <w:pPr>
              <w:jc w:val="right"/>
              <w:rPr>
                <w:rFonts w:cs="Tahoma"/>
                <w:sz w:val="16"/>
                <w:szCs w:val="16"/>
              </w:rPr>
            </w:pPr>
          </w:p>
        </w:tc>
      </w:tr>
      <w:tr w:rsidR="00565FD5" w:rsidRPr="00BF3740" w:rsidTr="00AB62A3">
        <w:trPr>
          <w:cantSplit/>
          <w:trHeight w:hRule="exact" w:val="340"/>
          <w:jc w:val="center"/>
        </w:trPr>
        <w:tc>
          <w:tcPr>
            <w:tcW w:w="2030" w:type="pct"/>
            <w:tcBorders>
              <w:top w:val="nil"/>
              <w:left w:val="single" w:sz="4" w:space="0" w:color="auto"/>
              <w:bottom w:val="nil"/>
              <w:right w:val="nil"/>
            </w:tcBorders>
            <w:vAlign w:val="center"/>
          </w:tcPr>
          <w:p w:rsidR="00565FD5" w:rsidRPr="00BF3740" w:rsidRDefault="00565FD5" w:rsidP="00AB62A3">
            <w:pPr>
              <w:rPr>
                <w:rFonts w:cs="Tahoma"/>
                <w:sz w:val="16"/>
                <w:szCs w:val="16"/>
              </w:rPr>
            </w:pPr>
            <w:r w:rsidRPr="00BF3740">
              <w:rPr>
                <w:rFonts w:cs="Tahoma"/>
                <w:sz w:val="16"/>
                <w:szCs w:val="16"/>
              </w:rPr>
              <w:t>Büyükşehir Belediyeleri</w:t>
            </w:r>
          </w:p>
        </w:tc>
        <w:tc>
          <w:tcPr>
            <w:tcW w:w="699" w:type="pct"/>
            <w:vAlign w:val="center"/>
          </w:tcPr>
          <w:p w:rsidR="00565FD5" w:rsidRPr="00BF3740" w:rsidRDefault="00565FD5" w:rsidP="00AB62A3">
            <w:pPr>
              <w:jc w:val="right"/>
              <w:rPr>
                <w:rFonts w:cs="Tahoma"/>
                <w:sz w:val="16"/>
                <w:szCs w:val="16"/>
              </w:rPr>
            </w:pPr>
            <w:r w:rsidRPr="00BF3740">
              <w:rPr>
                <w:rFonts w:cs="Tahoma"/>
                <w:sz w:val="16"/>
                <w:szCs w:val="16"/>
              </w:rPr>
              <w:t>0,66</w:t>
            </w:r>
          </w:p>
        </w:tc>
        <w:tc>
          <w:tcPr>
            <w:tcW w:w="700" w:type="pct"/>
            <w:vAlign w:val="center"/>
          </w:tcPr>
          <w:p w:rsidR="00565FD5" w:rsidRPr="00BF3740" w:rsidRDefault="00565FD5" w:rsidP="00AB62A3">
            <w:pPr>
              <w:jc w:val="right"/>
              <w:rPr>
                <w:rFonts w:cs="Tahoma"/>
                <w:sz w:val="16"/>
                <w:szCs w:val="16"/>
              </w:rPr>
            </w:pPr>
            <w:r w:rsidRPr="00BF3740">
              <w:rPr>
                <w:rFonts w:cs="Tahoma"/>
                <w:sz w:val="16"/>
                <w:szCs w:val="16"/>
              </w:rPr>
              <w:t>0,66</w:t>
            </w:r>
          </w:p>
        </w:tc>
        <w:tc>
          <w:tcPr>
            <w:tcW w:w="730" w:type="pct"/>
            <w:vAlign w:val="center"/>
          </w:tcPr>
          <w:p w:rsidR="00565FD5" w:rsidRPr="00BF3740" w:rsidRDefault="00565FD5" w:rsidP="00AB62A3">
            <w:pPr>
              <w:jc w:val="right"/>
              <w:rPr>
                <w:rFonts w:cs="Tahoma"/>
                <w:sz w:val="16"/>
                <w:szCs w:val="16"/>
              </w:rPr>
            </w:pPr>
            <w:r w:rsidRPr="00BF3740">
              <w:rPr>
                <w:rFonts w:cs="Tahoma"/>
                <w:sz w:val="16"/>
                <w:szCs w:val="16"/>
              </w:rPr>
              <w:t>0,71</w:t>
            </w:r>
          </w:p>
        </w:tc>
        <w:tc>
          <w:tcPr>
            <w:tcW w:w="731" w:type="pct"/>
            <w:vAlign w:val="center"/>
          </w:tcPr>
          <w:p w:rsidR="00565FD5" w:rsidRPr="00BF3740" w:rsidRDefault="00565FD5" w:rsidP="00AB62A3">
            <w:pPr>
              <w:jc w:val="right"/>
              <w:rPr>
                <w:rFonts w:cs="Tahoma"/>
                <w:sz w:val="16"/>
                <w:szCs w:val="16"/>
              </w:rPr>
            </w:pPr>
            <w:r w:rsidRPr="00BF3740">
              <w:rPr>
                <w:rFonts w:cs="Tahoma"/>
                <w:sz w:val="16"/>
                <w:szCs w:val="16"/>
              </w:rPr>
              <w:t>0,81</w:t>
            </w:r>
          </w:p>
        </w:tc>
        <w:tc>
          <w:tcPr>
            <w:tcW w:w="110" w:type="pct"/>
            <w:tcBorders>
              <w:top w:val="nil"/>
              <w:left w:val="nil"/>
              <w:bottom w:val="nil"/>
              <w:right w:val="single" w:sz="4" w:space="0" w:color="auto"/>
            </w:tcBorders>
            <w:vAlign w:val="bottom"/>
          </w:tcPr>
          <w:p w:rsidR="00565FD5" w:rsidRPr="00BF3740" w:rsidRDefault="00565FD5" w:rsidP="00AB62A3">
            <w:pPr>
              <w:jc w:val="right"/>
              <w:rPr>
                <w:rFonts w:cs="Tahoma"/>
                <w:sz w:val="16"/>
                <w:szCs w:val="16"/>
              </w:rPr>
            </w:pPr>
          </w:p>
        </w:tc>
      </w:tr>
      <w:tr w:rsidR="00565FD5" w:rsidRPr="00BF3740" w:rsidTr="00AB62A3">
        <w:trPr>
          <w:cantSplit/>
          <w:trHeight w:hRule="exact" w:val="340"/>
          <w:jc w:val="center"/>
        </w:trPr>
        <w:tc>
          <w:tcPr>
            <w:tcW w:w="2030" w:type="pct"/>
            <w:tcBorders>
              <w:top w:val="nil"/>
              <w:left w:val="single" w:sz="4" w:space="0" w:color="auto"/>
              <w:bottom w:val="nil"/>
              <w:right w:val="nil"/>
            </w:tcBorders>
            <w:vAlign w:val="center"/>
          </w:tcPr>
          <w:p w:rsidR="00565FD5" w:rsidRPr="00BF3740" w:rsidRDefault="00565FD5" w:rsidP="00AB62A3">
            <w:pPr>
              <w:rPr>
                <w:rFonts w:cs="Tahoma"/>
                <w:sz w:val="16"/>
                <w:szCs w:val="16"/>
              </w:rPr>
            </w:pPr>
            <w:r w:rsidRPr="00BF3740">
              <w:rPr>
                <w:rFonts w:cs="Tahoma"/>
                <w:sz w:val="16"/>
                <w:szCs w:val="16"/>
              </w:rPr>
              <w:t>İl Özel İdareleri</w:t>
            </w:r>
          </w:p>
        </w:tc>
        <w:tc>
          <w:tcPr>
            <w:tcW w:w="699" w:type="pct"/>
            <w:vAlign w:val="center"/>
          </w:tcPr>
          <w:p w:rsidR="00565FD5" w:rsidRPr="00BF3740" w:rsidRDefault="00565FD5" w:rsidP="00AB62A3">
            <w:pPr>
              <w:jc w:val="right"/>
              <w:rPr>
                <w:rFonts w:cs="Tahoma"/>
                <w:sz w:val="16"/>
                <w:szCs w:val="16"/>
              </w:rPr>
            </w:pPr>
            <w:r w:rsidRPr="00BF3740">
              <w:rPr>
                <w:rFonts w:cs="Tahoma"/>
                <w:sz w:val="16"/>
                <w:szCs w:val="16"/>
              </w:rPr>
              <w:t>0,22</w:t>
            </w:r>
          </w:p>
        </w:tc>
        <w:tc>
          <w:tcPr>
            <w:tcW w:w="700" w:type="pct"/>
            <w:vAlign w:val="center"/>
          </w:tcPr>
          <w:p w:rsidR="00565FD5" w:rsidRPr="00BF3740" w:rsidRDefault="00565FD5" w:rsidP="00AB62A3">
            <w:pPr>
              <w:jc w:val="right"/>
              <w:rPr>
                <w:rFonts w:cs="Tahoma"/>
                <w:sz w:val="16"/>
                <w:szCs w:val="16"/>
              </w:rPr>
            </w:pPr>
            <w:r w:rsidRPr="00BF3740">
              <w:rPr>
                <w:rFonts w:cs="Tahoma"/>
                <w:sz w:val="16"/>
                <w:szCs w:val="16"/>
              </w:rPr>
              <w:t>0,22</w:t>
            </w:r>
          </w:p>
        </w:tc>
        <w:tc>
          <w:tcPr>
            <w:tcW w:w="730" w:type="pct"/>
            <w:vAlign w:val="center"/>
          </w:tcPr>
          <w:p w:rsidR="00565FD5" w:rsidRPr="00BF3740" w:rsidRDefault="00565FD5" w:rsidP="00AB62A3">
            <w:pPr>
              <w:jc w:val="right"/>
              <w:rPr>
                <w:rFonts w:cs="Tahoma"/>
                <w:sz w:val="16"/>
                <w:szCs w:val="16"/>
              </w:rPr>
            </w:pPr>
            <w:r w:rsidRPr="00BF3740">
              <w:rPr>
                <w:rFonts w:cs="Tahoma"/>
                <w:sz w:val="16"/>
                <w:szCs w:val="16"/>
              </w:rPr>
              <w:t>0,22</w:t>
            </w:r>
          </w:p>
        </w:tc>
        <w:tc>
          <w:tcPr>
            <w:tcW w:w="731" w:type="pct"/>
            <w:vAlign w:val="center"/>
          </w:tcPr>
          <w:p w:rsidR="00565FD5" w:rsidRPr="00BF3740" w:rsidRDefault="00565FD5" w:rsidP="00AB62A3">
            <w:pPr>
              <w:jc w:val="right"/>
              <w:rPr>
                <w:rFonts w:cs="Tahoma"/>
                <w:sz w:val="16"/>
                <w:szCs w:val="16"/>
              </w:rPr>
            </w:pPr>
            <w:r w:rsidRPr="00BF3740">
              <w:rPr>
                <w:rFonts w:cs="Tahoma"/>
                <w:sz w:val="16"/>
                <w:szCs w:val="16"/>
              </w:rPr>
              <w:t>0,21</w:t>
            </w:r>
          </w:p>
        </w:tc>
        <w:tc>
          <w:tcPr>
            <w:tcW w:w="110" w:type="pct"/>
            <w:tcBorders>
              <w:top w:val="nil"/>
              <w:left w:val="nil"/>
              <w:bottom w:val="nil"/>
              <w:right w:val="single" w:sz="4" w:space="0" w:color="auto"/>
            </w:tcBorders>
            <w:vAlign w:val="bottom"/>
          </w:tcPr>
          <w:p w:rsidR="00565FD5" w:rsidRPr="00BF3740" w:rsidRDefault="00565FD5" w:rsidP="00AB62A3">
            <w:pPr>
              <w:jc w:val="right"/>
              <w:rPr>
                <w:rFonts w:cs="Tahoma"/>
                <w:sz w:val="16"/>
                <w:szCs w:val="16"/>
              </w:rPr>
            </w:pPr>
          </w:p>
        </w:tc>
      </w:tr>
      <w:tr w:rsidR="00565FD5" w:rsidRPr="00BF3740" w:rsidTr="00AB62A3">
        <w:trPr>
          <w:cantSplit/>
          <w:trHeight w:hRule="exact" w:val="340"/>
          <w:jc w:val="center"/>
        </w:trPr>
        <w:tc>
          <w:tcPr>
            <w:tcW w:w="2030" w:type="pct"/>
            <w:tcBorders>
              <w:top w:val="nil"/>
              <w:left w:val="single" w:sz="4" w:space="0" w:color="auto"/>
              <w:bottom w:val="single" w:sz="4" w:space="0" w:color="auto"/>
              <w:right w:val="nil"/>
            </w:tcBorders>
            <w:vAlign w:val="center"/>
          </w:tcPr>
          <w:p w:rsidR="00565FD5" w:rsidRPr="00BF3740" w:rsidRDefault="00565FD5" w:rsidP="00AB62A3">
            <w:pPr>
              <w:rPr>
                <w:rFonts w:cs="Tahoma"/>
                <w:b/>
                <w:bCs/>
                <w:sz w:val="16"/>
                <w:szCs w:val="16"/>
              </w:rPr>
            </w:pPr>
            <w:r w:rsidRPr="00BF3740">
              <w:rPr>
                <w:rFonts w:cs="Tahoma"/>
                <w:b/>
                <w:bCs/>
                <w:sz w:val="16"/>
                <w:szCs w:val="16"/>
              </w:rPr>
              <w:t xml:space="preserve">TOPLAM </w:t>
            </w:r>
          </w:p>
        </w:tc>
        <w:tc>
          <w:tcPr>
            <w:tcW w:w="699" w:type="pct"/>
            <w:tcBorders>
              <w:top w:val="nil"/>
              <w:left w:val="nil"/>
              <w:bottom w:val="single" w:sz="4" w:space="0" w:color="auto"/>
              <w:right w:val="nil"/>
            </w:tcBorders>
            <w:vAlign w:val="center"/>
          </w:tcPr>
          <w:p w:rsidR="00565FD5" w:rsidRPr="00BF3740" w:rsidRDefault="00565FD5" w:rsidP="00AB62A3">
            <w:pPr>
              <w:jc w:val="right"/>
              <w:rPr>
                <w:rFonts w:cs="Tahoma"/>
                <w:b/>
                <w:bCs/>
                <w:sz w:val="16"/>
                <w:szCs w:val="16"/>
              </w:rPr>
            </w:pPr>
            <w:r w:rsidRPr="00BF3740">
              <w:rPr>
                <w:rFonts w:cs="Tahoma"/>
                <w:b/>
                <w:bCs/>
                <w:sz w:val="16"/>
                <w:szCs w:val="16"/>
              </w:rPr>
              <w:t>1,90</w:t>
            </w:r>
          </w:p>
        </w:tc>
        <w:tc>
          <w:tcPr>
            <w:tcW w:w="700" w:type="pct"/>
            <w:tcBorders>
              <w:top w:val="nil"/>
              <w:left w:val="nil"/>
              <w:bottom w:val="single" w:sz="4" w:space="0" w:color="auto"/>
              <w:right w:val="nil"/>
            </w:tcBorders>
            <w:vAlign w:val="center"/>
          </w:tcPr>
          <w:p w:rsidR="00565FD5" w:rsidRPr="00BF3740" w:rsidRDefault="00565FD5" w:rsidP="00AB62A3">
            <w:pPr>
              <w:jc w:val="right"/>
              <w:rPr>
                <w:rFonts w:cs="Tahoma"/>
                <w:b/>
                <w:bCs/>
                <w:sz w:val="16"/>
                <w:szCs w:val="16"/>
              </w:rPr>
            </w:pPr>
            <w:r w:rsidRPr="00BF3740">
              <w:rPr>
                <w:rFonts w:cs="Tahoma"/>
                <w:b/>
                <w:bCs/>
                <w:sz w:val="16"/>
                <w:szCs w:val="16"/>
              </w:rPr>
              <w:t>1,92</w:t>
            </w:r>
          </w:p>
        </w:tc>
        <w:tc>
          <w:tcPr>
            <w:tcW w:w="730" w:type="pct"/>
            <w:tcBorders>
              <w:top w:val="nil"/>
              <w:left w:val="nil"/>
              <w:bottom w:val="single" w:sz="4" w:space="0" w:color="auto"/>
              <w:right w:val="nil"/>
            </w:tcBorders>
            <w:vAlign w:val="center"/>
          </w:tcPr>
          <w:p w:rsidR="00565FD5" w:rsidRPr="00BF3740" w:rsidRDefault="00565FD5" w:rsidP="00AB62A3">
            <w:pPr>
              <w:jc w:val="right"/>
              <w:rPr>
                <w:rFonts w:cs="Tahoma"/>
                <w:b/>
                <w:bCs/>
                <w:sz w:val="16"/>
                <w:szCs w:val="16"/>
              </w:rPr>
            </w:pPr>
            <w:r w:rsidRPr="00BF3740">
              <w:rPr>
                <w:rFonts w:cs="Tahoma"/>
                <w:b/>
                <w:bCs/>
                <w:sz w:val="16"/>
                <w:szCs w:val="16"/>
              </w:rPr>
              <w:t>1,98</w:t>
            </w:r>
          </w:p>
        </w:tc>
        <w:tc>
          <w:tcPr>
            <w:tcW w:w="731" w:type="pct"/>
            <w:tcBorders>
              <w:top w:val="nil"/>
              <w:left w:val="nil"/>
              <w:bottom w:val="single" w:sz="4" w:space="0" w:color="auto"/>
              <w:right w:val="nil"/>
            </w:tcBorders>
            <w:vAlign w:val="center"/>
          </w:tcPr>
          <w:p w:rsidR="00565FD5" w:rsidRPr="00BF3740" w:rsidRDefault="00565FD5" w:rsidP="00AB62A3">
            <w:pPr>
              <w:jc w:val="right"/>
              <w:rPr>
                <w:rFonts w:cs="Tahoma"/>
                <w:b/>
                <w:bCs/>
                <w:sz w:val="16"/>
                <w:szCs w:val="16"/>
              </w:rPr>
            </w:pPr>
            <w:r w:rsidRPr="00BF3740">
              <w:rPr>
                <w:rFonts w:cs="Tahoma"/>
                <w:b/>
                <w:bCs/>
                <w:sz w:val="16"/>
                <w:szCs w:val="16"/>
              </w:rPr>
              <w:t>2,13</w:t>
            </w:r>
          </w:p>
        </w:tc>
        <w:tc>
          <w:tcPr>
            <w:tcW w:w="110" w:type="pct"/>
            <w:tcBorders>
              <w:top w:val="nil"/>
              <w:left w:val="nil"/>
              <w:bottom w:val="single" w:sz="4" w:space="0" w:color="auto"/>
              <w:right w:val="single" w:sz="4" w:space="0" w:color="auto"/>
            </w:tcBorders>
            <w:vAlign w:val="bottom"/>
          </w:tcPr>
          <w:p w:rsidR="00565FD5" w:rsidRPr="00BF3740" w:rsidRDefault="00565FD5" w:rsidP="00AB62A3">
            <w:pPr>
              <w:jc w:val="right"/>
              <w:rPr>
                <w:rFonts w:cs="Tahoma"/>
                <w:b/>
                <w:bCs/>
                <w:sz w:val="16"/>
                <w:szCs w:val="16"/>
              </w:rPr>
            </w:pPr>
          </w:p>
        </w:tc>
      </w:tr>
    </w:tbl>
    <w:p w:rsidR="00565FD5" w:rsidRPr="00BF3740" w:rsidRDefault="00565FD5" w:rsidP="00565FD5">
      <w:pPr>
        <w:rPr>
          <w:rFonts w:cs="Tahoma"/>
          <w:sz w:val="14"/>
        </w:rPr>
      </w:pPr>
      <w:r w:rsidRPr="00BF3740">
        <w:rPr>
          <w:rFonts w:cs="Tahoma"/>
          <w:sz w:val="14"/>
        </w:rPr>
        <w:t>(1) Gerçekleşme tahmini</w:t>
      </w:r>
    </w:p>
    <w:p w:rsidR="00565FD5" w:rsidRPr="00BF3740" w:rsidRDefault="00565FD5" w:rsidP="00565FD5">
      <w:pPr>
        <w:spacing w:after="240"/>
        <w:rPr>
          <w:rFonts w:cs="Tahoma"/>
          <w:sz w:val="14"/>
        </w:rPr>
      </w:pPr>
      <w:r w:rsidRPr="00BF3740">
        <w:rPr>
          <w:rFonts w:cs="Tahoma"/>
          <w:sz w:val="14"/>
        </w:rPr>
        <w:t>(2) Program</w:t>
      </w:r>
    </w:p>
    <w:p w:rsidR="00565FD5" w:rsidRPr="00BF3740" w:rsidRDefault="00565FD5" w:rsidP="00565FD5">
      <w:pPr>
        <w:spacing w:after="180"/>
        <w:ind w:firstLine="425"/>
        <w:rPr>
          <w:szCs w:val="18"/>
        </w:rPr>
      </w:pPr>
      <w:r w:rsidRPr="00BF3740">
        <w:rPr>
          <w:szCs w:val="18"/>
        </w:rPr>
        <w:lastRenderedPageBreak/>
        <w:t>2012 yılında, mahalli idare gelirlerinin, bir önceki yıla göre yüzde 12,7 oranında artarak 52,5 milyar TL’ye ulaşacağı, GSYH içindeki payının da yüzde 3,7 olacağı tahmin edilmektedir.</w:t>
      </w:r>
    </w:p>
    <w:p w:rsidR="00565FD5" w:rsidRPr="00BF3740" w:rsidRDefault="00565FD5" w:rsidP="00565FD5">
      <w:pPr>
        <w:spacing w:after="180"/>
        <w:ind w:firstLine="425"/>
        <w:rPr>
          <w:szCs w:val="18"/>
        </w:rPr>
      </w:pPr>
      <w:r w:rsidRPr="00BF3740">
        <w:rPr>
          <w:szCs w:val="18"/>
        </w:rPr>
        <w:t>Mahalli idare harcamalarının ise, sürekli işçi kadrolarından merkezi idareye yapıla</w:t>
      </w:r>
      <w:r>
        <w:rPr>
          <w:szCs w:val="18"/>
        </w:rPr>
        <w:t>n</w:t>
      </w:r>
      <w:r w:rsidRPr="00BF3740">
        <w:rPr>
          <w:szCs w:val="18"/>
        </w:rPr>
        <w:t xml:space="preserve"> devrin ortaya çıkaracağı tasarrufa rağmen, mal ve hizmet alım gideri ile yatırım harcamalarındaki artışın etkisiyle, yüzde 16,</w:t>
      </w:r>
      <w:r>
        <w:rPr>
          <w:szCs w:val="18"/>
        </w:rPr>
        <w:t>8</w:t>
      </w:r>
      <w:r w:rsidRPr="00BF3740">
        <w:rPr>
          <w:szCs w:val="18"/>
        </w:rPr>
        <w:t xml:space="preserve"> oranında artarak 51,4 milyar TL olması ve GSYH içindeki payının da yüzde 3,6 olarak gerçekleşmesi beklenmektedir.</w:t>
      </w:r>
    </w:p>
    <w:p w:rsidR="00565FD5" w:rsidRPr="00BF3740" w:rsidRDefault="00565FD5" w:rsidP="00565FD5">
      <w:pPr>
        <w:spacing w:after="180"/>
        <w:ind w:firstLine="425"/>
        <w:rPr>
          <w:szCs w:val="18"/>
        </w:rPr>
      </w:pPr>
      <w:r w:rsidRPr="00BF3740">
        <w:rPr>
          <w:szCs w:val="18"/>
        </w:rPr>
        <w:t>Bu gelişmeler neticesinde, mahalli idareler fazlasının 2011 yılına göre azalarak GSYH’nın yüzde 0,1’i seviyesine gerileyeceği tahmin edilmektedir.</w:t>
      </w:r>
    </w:p>
    <w:p w:rsidR="00565FD5" w:rsidRPr="00BF3740" w:rsidRDefault="00565FD5" w:rsidP="00565FD5">
      <w:pPr>
        <w:pStyle w:val="Balk4"/>
      </w:pPr>
      <w:bookmarkStart w:id="1010" w:name="_Toc181285988"/>
      <w:bookmarkStart w:id="1011" w:name="_Toc181284909"/>
      <w:bookmarkStart w:id="1012" w:name="_Toc181192621"/>
      <w:bookmarkStart w:id="1013" w:name="_Toc150099149"/>
      <w:bookmarkStart w:id="1014" w:name="_Toc149968460"/>
      <w:bookmarkStart w:id="1015" w:name="_Toc338505544"/>
      <w:bookmarkStart w:id="1016" w:name="_Toc338523761"/>
      <w:bookmarkStart w:id="1017" w:name="_Toc338523992"/>
      <w:bookmarkStart w:id="1018" w:name="_Toc338526218"/>
      <w:bookmarkStart w:id="1019" w:name="_Toc338673661"/>
      <w:bookmarkStart w:id="1020" w:name="_Toc338711540"/>
      <w:r w:rsidRPr="00BF3740">
        <w:t>2. 2013 Yılı Hedefleri</w:t>
      </w:r>
      <w:bookmarkEnd w:id="1010"/>
      <w:bookmarkEnd w:id="1011"/>
      <w:bookmarkEnd w:id="1012"/>
      <w:bookmarkEnd w:id="1013"/>
      <w:bookmarkEnd w:id="1014"/>
      <w:bookmarkEnd w:id="1015"/>
      <w:bookmarkEnd w:id="1016"/>
      <w:bookmarkEnd w:id="1017"/>
      <w:bookmarkEnd w:id="1018"/>
      <w:bookmarkEnd w:id="1019"/>
      <w:bookmarkEnd w:id="1020"/>
      <w:r w:rsidRPr="00BF3740">
        <w:t xml:space="preserve"> </w:t>
      </w:r>
    </w:p>
    <w:p w:rsidR="00565FD5" w:rsidRDefault="00565FD5" w:rsidP="00565FD5">
      <w:pPr>
        <w:spacing w:after="180"/>
        <w:ind w:firstLine="425"/>
        <w:rPr>
          <w:szCs w:val="18"/>
        </w:rPr>
      </w:pPr>
      <w:r w:rsidRPr="00BF3740">
        <w:rPr>
          <w:szCs w:val="18"/>
        </w:rPr>
        <w:t>2013 yılında, mahalli idare gelirlerinin 59,3 milyar TL, harcamalarının ise 60,5 milyar TL olarak gerçekleşeceği, böylece mahalli idareler dengesinin 1,2 milyar TL açık vereceği tahmin edilmektedir.</w:t>
      </w:r>
    </w:p>
    <w:p w:rsidR="00565FD5" w:rsidRDefault="00565FD5" w:rsidP="00565FD5">
      <w:pPr>
        <w:spacing w:before="120" w:after="180"/>
        <w:ind w:firstLine="425"/>
        <w:rPr>
          <w:szCs w:val="18"/>
        </w:rPr>
      </w:pPr>
      <w:r w:rsidRPr="00BF3740">
        <w:rPr>
          <w:szCs w:val="18"/>
        </w:rPr>
        <w:t>2013 yılında, mahalli idareler dengesinin açığa dönüşmesinde, yaklaşan yerel seçimlerin mahalli idare harcamalarını artıracağı beklentisi etkili olmuştur. Bununla birlikte, mali disiplini artırmaya yönelik olarak, mahalli idarelerin genel bütçe vergi gelirleri payından kamuya olan borçlarına mahsuben yapılacak kesinti oranı, yeni borç doğmasını engelleyecek ve borç stokunun azalmasına yardımcı olacak bir düzeyde tespit edilecektir.</w:t>
      </w:r>
    </w:p>
    <w:p w:rsidR="00565FD5" w:rsidRDefault="00565FD5" w:rsidP="00565FD5">
      <w:pPr>
        <w:spacing w:before="120" w:after="180"/>
        <w:ind w:firstLine="425"/>
        <w:rPr>
          <w:szCs w:val="18"/>
        </w:rPr>
      </w:pPr>
    </w:p>
    <w:p w:rsidR="00565FD5" w:rsidRDefault="00565FD5" w:rsidP="00565FD5">
      <w:pPr>
        <w:spacing w:before="120" w:after="180"/>
        <w:ind w:firstLine="425"/>
        <w:rPr>
          <w:szCs w:val="18"/>
        </w:rPr>
      </w:pPr>
    </w:p>
    <w:p w:rsidR="00565FD5" w:rsidRPr="00BF3740" w:rsidRDefault="00565FD5" w:rsidP="00565FD5">
      <w:pPr>
        <w:pStyle w:val="ResimYazs"/>
        <w:rPr>
          <w:b w:val="0"/>
          <w:szCs w:val="16"/>
        </w:rPr>
      </w:pPr>
      <w:bookmarkStart w:id="1021" w:name="_Toc338605988"/>
      <w:bookmarkStart w:id="1022" w:name="_Toc338711763"/>
      <w:r>
        <w:t xml:space="preserve">TABLO III: </w:t>
      </w:r>
      <w:fldSimple w:instr=" SEQ TABLO_III: \* ARABIC ">
        <w:r>
          <w:rPr>
            <w:noProof/>
          </w:rPr>
          <w:t>10</w:t>
        </w:r>
      </w:fldSimple>
      <w:r w:rsidRPr="00A253C6">
        <w:t>-</w:t>
      </w:r>
      <w:r w:rsidRPr="00A253C6">
        <w:rPr>
          <w:szCs w:val="16"/>
        </w:rPr>
        <w:t xml:space="preserve"> Mahalli İdareler Gelir ve Harcamaları</w:t>
      </w:r>
      <w:r w:rsidRPr="00BF3740">
        <w:rPr>
          <w:b w:val="0"/>
          <w:szCs w:val="16"/>
        </w:rPr>
        <w:t xml:space="preserve"> (1)</w:t>
      </w:r>
      <w:bookmarkEnd w:id="1021"/>
      <w:bookmarkEnd w:id="1022"/>
    </w:p>
    <w:tbl>
      <w:tblPr>
        <w:tblW w:w="7144" w:type="dxa"/>
        <w:tblCellMar>
          <w:left w:w="54" w:type="dxa"/>
          <w:right w:w="54" w:type="dxa"/>
        </w:tblCellMar>
        <w:tblLook w:val="00A0"/>
      </w:tblPr>
      <w:tblGrid>
        <w:gridCol w:w="2994"/>
        <w:gridCol w:w="1076"/>
        <w:gridCol w:w="1079"/>
        <w:gridCol w:w="1079"/>
        <w:gridCol w:w="916"/>
      </w:tblGrid>
      <w:tr w:rsidR="00565FD5" w:rsidRPr="00BF3740" w:rsidTr="00AB62A3">
        <w:trPr>
          <w:cantSplit/>
          <w:trHeight w:hRule="exact" w:val="255"/>
        </w:trPr>
        <w:tc>
          <w:tcPr>
            <w:tcW w:w="2096" w:type="pct"/>
            <w:tcBorders>
              <w:top w:val="single" w:sz="4" w:space="0" w:color="auto"/>
              <w:left w:val="single" w:sz="4" w:space="0" w:color="auto"/>
              <w:bottom w:val="single" w:sz="4" w:space="0" w:color="auto"/>
              <w:right w:val="nil"/>
            </w:tcBorders>
            <w:vAlign w:val="center"/>
          </w:tcPr>
          <w:p w:rsidR="00565FD5" w:rsidRPr="00BF3740" w:rsidRDefault="00565FD5" w:rsidP="00AB62A3">
            <w:pPr>
              <w:rPr>
                <w:rFonts w:cs="Tahoma"/>
                <w:b/>
                <w:sz w:val="15"/>
                <w:szCs w:val="15"/>
              </w:rPr>
            </w:pPr>
          </w:p>
        </w:tc>
        <w:tc>
          <w:tcPr>
            <w:tcW w:w="753" w:type="pct"/>
            <w:tcBorders>
              <w:top w:val="single" w:sz="4" w:space="0" w:color="auto"/>
              <w:left w:val="nil"/>
              <w:bottom w:val="single" w:sz="4" w:space="0" w:color="auto"/>
              <w:right w:val="nil"/>
            </w:tcBorders>
          </w:tcPr>
          <w:p w:rsidR="00565FD5" w:rsidRPr="00BF3740" w:rsidRDefault="00565FD5" w:rsidP="00AB62A3">
            <w:pPr>
              <w:jc w:val="right"/>
              <w:rPr>
                <w:rFonts w:cs="Tahoma"/>
                <w:b/>
                <w:sz w:val="15"/>
                <w:szCs w:val="15"/>
              </w:rPr>
            </w:pPr>
            <w:r w:rsidRPr="00BF3740">
              <w:rPr>
                <w:rFonts w:cs="Tahoma"/>
                <w:b/>
                <w:sz w:val="15"/>
                <w:szCs w:val="15"/>
              </w:rPr>
              <w:t>2010</w:t>
            </w:r>
          </w:p>
        </w:tc>
        <w:tc>
          <w:tcPr>
            <w:tcW w:w="755" w:type="pct"/>
            <w:tcBorders>
              <w:top w:val="single" w:sz="4" w:space="0" w:color="auto"/>
              <w:left w:val="nil"/>
              <w:bottom w:val="single" w:sz="4" w:space="0" w:color="auto"/>
              <w:right w:val="nil"/>
            </w:tcBorders>
          </w:tcPr>
          <w:p w:rsidR="00565FD5" w:rsidRPr="00BF3740" w:rsidRDefault="00565FD5" w:rsidP="00AB62A3">
            <w:pPr>
              <w:jc w:val="right"/>
              <w:rPr>
                <w:rFonts w:cs="Tahoma"/>
                <w:b/>
                <w:sz w:val="15"/>
                <w:szCs w:val="15"/>
              </w:rPr>
            </w:pPr>
            <w:r w:rsidRPr="00BF3740">
              <w:rPr>
                <w:rFonts w:cs="Tahoma"/>
                <w:b/>
                <w:sz w:val="15"/>
                <w:szCs w:val="15"/>
              </w:rPr>
              <w:t>2011</w:t>
            </w:r>
          </w:p>
        </w:tc>
        <w:tc>
          <w:tcPr>
            <w:tcW w:w="755" w:type="pct"/>
            <w:tcBorders>
              <w:top w:val="single" w:sz="4" w:space="0" w:color="auto"/>
              <w:left w:val="nil"/>
              <w:bottom w:val="single" w:sz="4" w:space="0" w:color="auto"/>
              <w:right w:val="nil"/>
            </w:tcBorders>
          </w:tcPr>
          <w:p w:rsidR="00565FD5" w:rsidRPr="00BF3740" w:rsidRDefault="00565FD5" w:rsidP="00AB62A3">
            <w:pPr>
              <w:jc w:val="right"/>
              <w:rPr>
                <w:rFonts w:cs="Tahoma"/>
                <w:b/>
                <w:sz w:val="15"/>
                <w:szCs w:val="15"/>
              </w:rPr>
            </w:pPr>
            <w:r w:rsidRPr="00BF3740">
              <w:rPr>
                <w:rFonts w:cs="Tahoma"/>
                <w:b/>
                <w:sz w:val="15"/>
                <w:szCs w:val="15"/>
              </w:rPr>
              <w:t>2012(2)</w:t>
            </w:r>
          </w:p>
        </w:tc>
        <w:tc>
          <w:tcPr>
            <w:tcW w:w="641" w:type="pct"/>
            <w:tcBorders>
              <w:top w:val="single" w:sz="4" w:space="0" w:color="auto"/>
              <w:left w:val="nil"/>
              <w:bottom w:val="single" w:sz="4" w:space="0" w:color="auto"/>
              <w:right w:val="single" w:sz="4" w:space="0" w:color="auto"/>
            </w:tcBorders>
          </w:tcPr>
          <w:p w:rsidR="00565FD5" w:rsidRPr="00BF3740" w:rsidRDefault="00565FD5" w:rsidP="00AB62A3">
            <w:pPr>
              <w:jc w:val="right"/>
              <w:rPr>
                <w:rFonts w:cs="Tahoma"/>
                <w:b/>
                <w:sz w:val="15"/>
                <w:szCs w:val="15"/>
              </w:rPr>
            </w:pPr>
            <w:r w:rsidRPr="00BF3740">
              <w:rPr>
                <w:rFonts w:cs="Tahoma"/>
                <w:b/>
                <w:sz w:val="15"/>
                <w:szCs w:val="15"/>
              </w:rPr>
              <w:t>2013(3)</w:t>
            </w:r>
          </w:p>
        </w:tc>
      </w:tr>
      <w:tr w:rsidR="00565FD5" w:rsidRPr="00BF3740" w:rsidTr="00AB62A3">
        <w:trPr>
          <w:cantSplit/>
          <w:trHeight w:hRule="exact" w:val="255"/>
        </w:trPr>
        <w:tc>
          <w:tcPr>
            <w:tcW w:w="2096" w:type="pct"/>
            <w:tcBorders>
              <w:top w:val="single" w:sz="4" w:space="0" w:color="auto"/>
              <w:left w:val="single" w:sz="4" w:space="0" w:color="auto"/>
              <w:bottom w:val="single" w:sz="4" w:space="0" w:color="auto"/>
              <w:right w:val="nil"/>
            </w:tcBorders>
            <w:vAlign w:val="bottom"/>
          </w:tcPr>
          <w:p w:rsidR="00565FD5" w:rsidRPr="00BF3740" w:rsidRDefault="00565FD5" w:rsidP="00AB62A3">
            <w:pPr>
              <w:jc w:val="center"/>
              <w:rPr>
                <w:rFonts w:cs="Tahoma"/>
                <w:b/>
                <w:sz w:val="15"/>
                <w:szCs w:val="15"/>
              </w:rPr>
            </w:pPr>
          </w:p>
        </w:tc>
        <w:tc>
          <w:tcPr>
            <w:tcW w:w="2904" w:type="pct"/>
            <w:gridSpan w:val="4"/>
            <w:tcBorders>
              <w:top w:val="single" w:sz="4" w:space="0" w:color="auto"/>
              <w:left w:val="nil"/>
              <w:bottom w:val="single" w:sz="4" w:space="0" w:color="auto"/>
              <w:right w:val="single" w:sz="4" w:space="0" w:color="auto"/>
            </w:tcBorders>
            <w:vAlign w:val="bottom"/>
          </w:tcPr>
          <w:p w:rsidR="00565FD5" w:rsidRPr="00BF3740" w:rsidRDefault="00565FD5" w:rsidP="00AB62A3">
            <w:pPr>
              <w:jc w:val="center"/>
              <w:rPr>
                <w:rFonts w:cs="Tahoma"/>
                <w:b/>
                <w:sz w:val="15"/>
                <w:szCs w:val="15"/>
              </w:rPr>
            </w:pPr>
            <w:r w:rsidRPr="00BF3740">
              <w:rPr>
                <w:rFonts w:cs="Tahoma"/>
                <w:b/>
                <w:sz w:val="15"/>
                <w:szCs w:val="15"/>
              </w:rPr>
              <w:t>(Cari Fiyatlarla, Milyon TL)</w:t>
            </w:r>
          </w:p>
        </w:tc>
      </w:tr>
      <w:tr w:rsidR="00565FD5" w:rsidRPr="00BF3740" w:rsidTr="00AB62A3">
        <w:trPr>
          <w:cantSplit/>
          <w:trHeight w:hRule="exact" w:val="255"/>
        </w:trPr>
        <w:tc>
          <w:tcPr>
            <w:tcW w:w="2096" w:type="pct"/>
            <w:tcBorders>
              <w:top w:val="single" w:sz="4" w:space="0" w:color="auto"/>
              <w:left w:val="single" w:sz="4" w:space="0" w:color="auto"/>
              <w:bottom w:val="nil"/>
              <w:right w:val="nil"/>
            </w:tcBorders>
            <w:vAlign w:val="bottom"/>
          </w:tcPr>
          <w:p w:rsidR="00565FD5" w:rsidRPr="00BF3740" w:rsidRDefault="00565FD5" w:rsidP="00AB62A3">
            <w:pPr>
              <w:rPr>
                <w:rFonts w:cs="Tahoma"/>
                <w:b/>
                <w:bCs/>
                <w:sz w:val="15"/>
                <w:szCs w:val="15"/>
              </w:rPr>
            </w:pPr>
            <w:r w:rsidRPr="00BF3740">
              <w:rPr>
                <w:rFonts w:cs="Tahoma"/>
                <w:b/>
                <w:bCs/>
                <w:sz w:val="15"/>
                <w:szCs w:val="15"/>
              </w:rPr>
              <w:t>GELİRLER</w:t>
            </w:r>
          </w:p>
        </w:tc>
        <w:tc>
          <w:tcPr>
            <w:tcW w:w="753" w:type="pct"/>
            <w:tcBorders>
              <w:top w:val="single" w:sz="4" w:space="0" w:color="auto"/>
              <w:left w:val="nil"/>
              <w:bottom w:val="nil"/>
              <w:right w:val="nil"/>
            </w:tcBorders>
            <w:vAlign w:val="bottom"/>
          </w:tcPr>
          <w:p w:rsidR="00565FD5" w:rsidRPr="00BF3740" w:rsidRDefault="00565FD5" w:rsidP="00AB62A3">
            <w:pPr>
              <w:jc w:val="right"/>
              <w:rPr>
                <w:rFonts w:cs="Tahoma"/>
                <w:b/>
                <w:bCs/>
                <w:sz w:val="15"/>
                <w:szCs w:val="15"/>
              </w:rPr>
            </w:pPr>
            <w:r w:rsidRPr="00BF3740">
              <w:rPr>
                <w:rFonts w:cs="Tahoma"/>
                <w:b/>
                <w:bCs/>
                <w:sz w:val="15"/>
                <w:szCs w:val="15"/>
              </w:rPr>
              <w:t>38 183</w:t>
            </w:r>
          </w:p>
        </w:tc>
        <w:tc>
          <w:tcPr>
            <w:tcW w:w="755" w:type="pct"/>
            <w:tcBorders>
              <w:top w:val="single" w:sz="4" w:space="0" w:color="auto"/>
              <w:left w:val="nil"/>
              <w:bottom w:val="nil"/>
              <w:right w:val="nil"/>
            </w:tcBorders>
            <w:vAlign w:val="bottom"/>
          </w:tcPr>
          <w:p w:rsidR="00565FD5" w:rsidRPr="00BF3740" w:rsidRDefault="00565FD5" w:rsidP="00AB62A3">
            <w:pPr>
              <w:jc w:val="right"/>
              <w:rPr>
                <w:rFonts w:cs="Tahoma"/>
                <w:b/>
                <w:bCs/>
                <w:sz w:val="15"/>
                <w:szCs w:val="15"/>
              </w:rPr>
            </w:pPr>
            <w:r w:rsidRPr="00BF3740">
              <w:rPr>
                <w:rFonts w:cs="Tahoma"/>
                <w:b/>
                <w:bCs/>
                <w:sz w:val="15"/>
                <w:szCs w:val="15"/>
              </w:rPr>
              <w:t>46 558</w:t>
            </w:r>
          </w:p>
        </w:tc>
        <w:tc>
          <w:tcPr>
            <w:tcW w:w="755" w:type="pct"/>
            <w:tcBorders>
              <w:top w:val="single" w:sz="4" w:space="0" w:color="auto"/>
              <w:left w:val="nil"/>
              <w:bottom w:val="nil"/>
              <w:right w:val="nil"/>
            </w:tcBorders>
            <w:vAlign w:val="bottom"/>
          </w:tcPr>
          <w:p w:rsidR="00565FD5" w:rsidRPr="00BF3740" w:rsidRDefault="00565FD5" w:rsidP="00AB62A3">
            <w:pPr>
              <w:jc w:val="right"/>
              <w:rPr>
                <w:rFonts w:cs="Tahoma"/>
                <w:b/>
                <w:bCs/>
                <w:sz w:val="15"/>
                <w:szCs w:val="15"/>
              </w:rPr>
            </w:pPr>
            <w:r w:rsidRPr="00BF3740">
              <w:rPr>
                <w:rFonts w:cs="Tahoma"/>
                <w:b/>
                <w:bCs/>
                <w:sz w:val="15"/>
                <w:szCs w:val="15"/>
              </w:rPr>
              <w:t>52 480</w:t>
            </w:r>
          </w:p>
        </w:tc>
        <w:tc>
          <w:tcPr>
            <w:tcW w:w="641" w:type="pct"/>
            <w:tcBorders>
              <w:top w:val="single" w:sz="4" w:space="0" w:color="auto"/>
              <w:left w:val="nil"/>
              <w:bottom w:val="nil"/>
              <w:right w:val="single" w:sz="4" w:space="0" w:color="auto"/>
            </w:tcBorders>
            <w:vAlign w:val="bottom"/>
          </w:tcPr>
          <w:p w:rsidR="00565FD5" w:rsidRPr="00BF3740" w:rsidRDefault="00565FD5" w:rsidP="00AB62A3">
            <w:pPr>
              <w:jc w:val="right"/>
              <w:rPr>
                <w:rFonts w:cs="Tahoma"/>
                <w:b/>
                <w:bCs/>
                <w:sz w:val="15"/>
                <w:szCs w:val="15"/>
              </w:rPr>
            </w:pPr>
            <w:r w:rsidRPr="00BF3740">
              <w:rPr>
                <w:rFonts w:cs="Tahoma"/>
                <w:b/>
                <w:bCs/>
                <w:sz w:val="15"/>
                <w:szCs w:val="15"/>
              </w:rPr>
              <w:t>59 273</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t>1.Vergiler</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26 424</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31 365</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35 681</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41 226</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t>2.Vergi Dışı Norm. Gelir</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4 244</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6 044</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6 411</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6 930</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t>3.Faktör Gelirleri (Net)</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7 282</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8 911</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10 388</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11 117</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t>4.Sermaye Transferi (Net)</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234</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238</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0</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0</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b/>
                <w:bCs/>
                <w:sz w:val="15"/>
                <w:szCs w:val="15"/>
              </w:rPr>
            </w:pPr>
            <w:r w:rsidRPr="00BF3740">
              <w:rPr>
                <w:rFonts w:cs="Tahoma"/>
                <w:b/>
                <w:bCs/>
                <w:sz w:val="15"/>
                <w:szCs w:val="15"/>
              </w:rPr>
              <w:t>HARCAMALAR</w:t>
            </w:r>
          </w:p>
        </w:tc>
        <w:tc>
          <w:tcPr>
            <w:tcW w:w="753" w:type="pct"/>
            <w:vAlign w:val="bottom"/>
          </w:tcPr>
          <w:p w:rsidR="00565FD5" w:rsidRPr="00BF3740" w:rsidRDefault="00565FD5" w:rsidP="00AB62A3">
            <w:pPr>
              <w:jc w:val="right"/>
              <w:rPr>
                <w:rFonts w:cs="Tahoma"/>
                <w:b/>
                <w:bCs/>
                <w:sz w:val="15"/>
                <w:szCs w:val="15"/>
              </w:rPr>
            </w:pPr>
            <w:r w:rsidRPr="00BF3740">
              <w:rPr>
                <w:rFonts w:cs="Tahoma"/>
                <w:b/>
                <w:bCs/>
                <w:sz w:val="15"/>
                <w:szCs w:val="15"/>
              </w:rPr>
              <w:t>37 162</w:t>
            </w:r>
          </w:p>
        </w:tc>
        <w:tc>
          <w:tcPr>
            <w:tcW w:w="755" w:type="pct"/>
            <w:vAlign w:val="bottom"/>
          </w:tcPr>
          <w:p w:rsidR="00565FD5" w:rsidRPr="00BF3740" w:rsidRDefault="00565FD5" w:rsidP="00AB62A3">
            <w:pPr>
              <w:jc w:val="right"/>
              <w:rPr>
                <w:rFonts w:cs="Tahoma"/>
                <w:b/>
                <w:bCs/>
                <w:sz w:val="15"/>
                <w:szCs w:val="15"/>
              </w:rPr>
            </w:pPr>
            <w:r w:rsidRPr="00BF3740">
              <w:rPr>
                <w:rFonts w:cs="Tahoma"/>
                <w:b/>
                <w:bCs/>
                <w:sz w:val="15"/>
                <w:szCs w:val="15"/>
              </w:rPr>
              <w:t>44 033</w:t>
            </w:r>
          </w:p>
        </w:tc>
        <w:tc>
          <w:tcPr>
            <w:tcW w:w="755" w:type="pct"/>
            <w:vAlign w:val="bottom"/>
          </w:tcPr>
          <w:p w:rsidR="00565FD5" w:rsidRPr="00BF3740" w:rsidRDefault="00565FD5" w:rsidP="00AB62A3">
            <w:pPr>
              <w:jc w:val="right"/>
              <w:rPr>
                <w:rFonts w:cs="Tahoma"/>
                <w:b/>
                <w:bCs/>
                <w:sz w:val="15"/>
                <w:szCs w:val="15"/>
              </w:rPr>
            </w:pPr>
            <w:r w:rsidRPr="00BF3740">
              <w:rPr>
                <w:rFonts w:cs="Tahoma"/>
                <w:b/>
                <w:bCs/>
                <w:sz w:val="15"/>
                <w:szCs w:val="15"/>
              </w:rPr>
              <w:t>51 411</w:t>
            </w:r>
          </w:p>
        </w:tc>
        <w:tc>
          <w:tcPr>
            <w:tcW w:w="641" w:type="pct"/>
            <w:tcBorders>
              <w:right w:val="single" w:sz="4" w:space="0" w:color="auto"/>
            </w:tcBorders>
            <w:vAlign w:val="bottom"/>
          </w:tcPr>
          <w:p w:rsidR="00565FD5" w:rsidRPr="00BF3740" w:rsidRDefault="00565FD5" w:rsidP="00AB62A3">
            <w:pPr>
              <w:jc w:val="right"/>
              <w:rPr>
                <w:rFonts w:cs="Tahoma"/>
                <w:b/>
                <w:bCs/>
                <w:sz w:val="15"/>
                <w:szCs w:val="15"/>
              </w:rPr>
            </w:pPr>
            <w:r w:rsidRPr="00BF3740">
              <w:rPr>
                <w:rFonts w:cs="Tahoma"/>
                <w:b/>
                <w:bCs/>
                <w:sz w:val="15"/>
                <w:szCs w:val="15"/>
              </w:rPr>
              <w:t>60 504</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t>1.Cari Giderler</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23 900</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28 126</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32 455</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38 282</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t>2.Yatırım Harcamaları</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11 323</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12 978</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15 149</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18 208</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lastRenderedPageBreak/>
              <w:t xml:space="preserve">    a.Sabit Sermaye</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11 314</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12 976</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15 141</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18 205</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t xml:space="preserve">    b.Stok Değişimi</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9</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2</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8</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3</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t>3.Cari Transferler</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2 931</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3 048</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3 557</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3 931</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t>4.Kamulaştırma ve Sabit Değer Artışı</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-991</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-119</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-642</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-121</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t>5.Sermaye Transferi (Net)</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0</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0</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892</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203</w:t>
            </w:r>
          </w:p>
        </w:tc>
      </w:tr>
      <w:tr w:rsidR="00565FD5" w:rsidRPr="00BF3740" w:rsidTr="00AB62A3">
        <w:trPr>
          <w:cantSplit/>
          <w:trHeight w:hRule="exact" w:val="255"/>
        </w:trPr>
        <w:tc>
          <w:tcPr>
            <w:tcW w:w="2096" w:type="pct"/>
            <w:tcBorders>
              <w:top w:val="nil"/>
              <w:left w:val="single" w:sz="4" w:space="0" w:color="auto"/>
              <w:bottom w:val="single" w:sz="6" w:space="0" w:color="auto"/>
              <w:right w:val="nil"/>
            </w:tcBorders>
            <w:vAlign w:val="center"/>
          </w:tcPr>
          <w:p w:rsidR="00565FD5" w:rsidRPr="00BF3740" w:rsidRDefault="00565FD5" w:rsidP="00AB62A3">
            <w:pPr>
              <w:rPr>
                <w:rFonts w:cs="Tahoma"/>
                <w:b/>
                <w:sz w:val="15"/>
                <w:szCs w:val="15"/>
              </w:rPr>
            </w:pPr>
            <w:r w:rsidRPr="00BF3740">
              <w:rPr>
                <w:rFonts w:cs="Tahoma"/>
                <w:b/>
                <w:sz w:val="15"/>
                <w:szCs w:val="15"/>
              </w:rPr>
              <w:t>GELİR-GİDER FARKI</w:t>
            </w:r>
          </w:p>
        </w:tc>
        <w:tc>
          <w:tcPr>
            <w:tcW w:w="753" w:type="pct"/>
            <w:tcBorders>
              <w:top w:val="nil"/>
              <w:left w:val="nil"/>
              <w:bottom w:val="single" w:sz="6" w:space="0" w:color="auto"/>
              <w:right w:val="nil"/>
            </w:tcBorders>
            <w:vAlign w:val="bottom"/>
          </w:tcPr>
          <w:p w:rsidR="00565FD5" w:rsidRPr="00BF3740" w:rsidRDefault="00565FD5" w:rsidP="00AB62A3">
            <w:pPr>
              <w:jc w:val="right"/>
              <w:rPr>
                <w:rFonts w:cs="Tahoma"/>
                <w:b/>
                <w:bCs/>
                <w:sz w:val="15"/>
                <w:szCs w:val="15"/>
              </w:rPr>
            </w:pPr>
            <w:r w:rsidRPr="00BF3740">
              <w:rPr>
                <w:rFonts w:cs="Tahoma"/>
                <w:b/>
                <w:bCs/>
                <w:sz w:val="15"/>
                <w:szCs w:val="15"/>
              </w:rPr>
              <w:t>1 021</w:t>
            </w:r>
          </w:p>
        </w:tc>
        <w:tc>
          <w:tcPr>
            <w:tcW w:w="755" w:type="pct"/>
            <w:tcBorders>
              <w:top w:val="nil"/>
              <w:left w:val="nil"/>
              <w:bottom w:val="single" w:sz="6" w:space="0" w:color="auto"/>
              <w:right w:val="nil"/>
            </w:tcBorders>
            <w:vAlign w:val="bottom"/>
          </w:tcPr>
          <w:p w:rsidR="00565FD5" w:rsidRPr="00BF3740" w:rsidRDefault="00565FD5" w:rsidP="00AB62A3">
            <w:pPr>
              <w:jc w:val="right"/>
              <w:rPr>
                <w:rFonts w:cs="Tahoma"/>
                <w:b/>
                <w:bCs/>
                <w:sz w:val="15"/>
                <w:szCs w:val="15"/>
              </w:rPr>
            </w:pPr>
            <w:r w:rsidRPr="00BF3740">
              <w:rPr>
                <w:rFonts w:cs="Tahoma"/>
                <w:b/>
                <w:bCs/>
                <w:sz w:val="15"/>
                <w:szCs w:val="15"/>
              </w:rPr>
              <w:t>2 525</w:t>
            </w:r>
          </w:p>
        </w:tc>
        <w:tc>
          <w:tcPr>
            <w:tcW w:w="755" w:type="pct"/>
            <w:tcBorders>
              <w:top w:val="nil"/>
              <w:left w:val="nil"/>
              <w:bottom w:val="single" w:sz="6" w:space="0" w:color="auto"/>
              <w:right w:val="nil"/>
            </w:tcBorders>
            <w:vAlign w:val="bottom"/>
          </w:tcPr>
          <w:p w:rsidR="00565FD5" w:rsidRPr="00BF3740" w:rsidRDefault="00565FD5" w:rsidP="00AB62A3">
            <w:pPr>
              <w:jc w:val="right"/>
              <w:rPr>
                <w:rFonts w:cs="Tahoma"/>
                <w:b/>
                <w:bCs/>
                <w:sz w:val="15"/>
                <w:szCs w:val="15"/>
              </w:rPr>
            </w:pPr>
            <w:r w:rsidRPr="00BF3740">
              <w:rPr>
                <w:rFonts w:cs="Tahoma"/>
                <w:b/>
                <w:bCs/>
                <w:sz w:val="15"/>
                <w:szCs w:val="15"/>
              </w:rPr>
              <w:t>1 069</w:t>
            </w:r>
          </w:p>
        </w:tc>
        <w:tc>
          <w:tcPr>
            <w:tcW w:w="641" w:type="pct"/>
            <w:tcBorders>
              <w:top w:val="nil"/>
              <w:left w:val="nil"/>
              <w:bottom w:val="single" w:sz="4" w:space="0" w:color="auto"/>
              <w:right w:val="single" w:sz="4" w:space="0" w:color="auto"/>
            </w:tcBorders>
            <w:vAlign w:val="bottom"/>
          </w:tcPr>
          <w:p w:rsidR="00565FD5" w:rsidRPr="00BF3740" w:rsidRDefault="00565FD5" w:rsidP="00AB62A3">
            <w:pPr>
              <w:jc w:val="right"/>
              <w:rPr>
                <w:rFonts w:cs="Tahoma"/>
                <w:b/>
                <w:bCs/>
                <w:sz w:val="15"/>
                <w:szCs w:val="15"/>
              </w:rPr>
            </w:pPr>
            <w:r w:rsidRPr="00BF3740">
              <w:rPr>
                <w:rFonts w:cs="Tahoma"/>
                <w:b/>
                <w:bCs/>
                <w:sz w:val="15"/>
                <w:szCs w:val="15"/>
              </w:rPr>
              <w:t>-1 231</w:t>
            </w:r>
          </w:p>
        </w:tc>
      </w:tr>
      <w:tr w:rsidR="00565FD5" w:rsidRPr="00BF3740" w:rsidTr="00AB62A3">
        <w:trPr>
          <w:cantSplit/>
          <w:trHeight w:hRule="exact" w:val="255"/>
        </w:trPr>
        <w:tc>
          <w:tcPr>
            <w:tcW w:w="2096" w:type="pct"/>
            <w:tcBorders>
              <w:top w:val="single" w:sz="6" w:space="0" w:color="auto"/>
              <w:left w:val="single" w:sz="4" w:space="0" w:color="auto"/>
              <w:bottom w:val="single" w:sz="6" w:space="0" w:color="auto"/>
              <w:right w:val="nil"/>
            </w:tcBorders>
          </w:tcPr>
          <w:p w:rsidR="00565FD5" w:rsidRPr="00BF3740" w:rsidRDefault="00565FD5" w:rsidP="00AB62A3">
            <w:pPr>
              <w:rPr>
                <w:rFonts w:cs="Tahoma"/>
                <w:b/>
                <w:sz w:val="15"/>
                <w:szCs w:val="15"/>
              </w:rPr>
            </w:pPr>
          </w:p>
        </w:tc>
        <w:tc>
          <w:tcPr>
            <w:tcW w:w="2904" w:type="pct"/>
            <w:gridSpan w:val="4"/>
            <w:tcBorders>
              <w:top w:val="single" w:sz="4" w:space="0" w:color="auto"/>
              <w:left w:val="nil"/>
              <w:bottom w:val="single" w:sz="4" w:space="0" w:color="auto"/>
              <w:right w:val="single" w:sz="4" w:space="0" w:color="auto"/>
            </w:tcBorders>
            <w:vAlign w:val="bottom"/>
          </w:tcPr>
          <w:p w:rsidR="00565FD5" w:rsidRPr="00BF3740" w:rsidRDefault="00565FD5" w:rsidP="00AB62A3">
            <w:pPr>
              <w:jc w:val="center"/>
              <w:rPr>
                <w:rFonts w:cs="Tahoma"/>
                <w:b/>
                <w:sz w:val="15"/>
                <w:szCs w:val="15"/>
              </w:rPr>
            </w:pPr>
            <w:r w:rsidRPr="00BF3740">
              <w:rPr>
                <w:rFonts w:cs="Tahoma"/>
                <w:b/>
                <w:sz w:val="15"/>
                <w:szCs w:val="15"/>
              </w:rPr>
              <w:t>(GSYH’ya Oran, Yüzde)</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b/>
                <w:bCs/>
                <w:sz w:val="15"/>
                <w:szCs w:val="15"/>
              </w:rPr>
            </w:pPr>
            <w:r w:rsidRPr="00BF3740">
              <w:rPr>
                <w:rFonts w:cs="Tahoma"/>
                <w:b/>
                <w:bCs/>
                <w:sz w:val="15"/>
                <w:szCs w:val="15"/>
              </w:rPr>
              <w:t>GELİRLER</w:t>
            </w:r>
          </w:p>
        </w:tc>
        <w:tc>
          <w:tcPr>
            <w:tcW w:w="753" w:type="pct"/>
            <w:tcBorders>
              <w:top w:val="single" w:sz="4" w:space="0" w:color="auto"/>
              <w:left w:val="nil"/>
              <w:bottom w:val="nil"/>
              <w:right w:val="nil"/>
            </w:tcBorders>
            <w:vAlign w:val="bottom"/>
          </w:tcPr>
          <w:p w:rsidR="00565FD5" w:rsidRPr="00BF3740" w:rsidRDefault="00565FD5" w:rsidP="00AB62A3">
            <w:pPr>
              <w:jc w:val="right"/>
              <w:rPr>
                <w:rFonts w:cs="Tahoma"/>
                <w:b/>
                <w:bCs/>
                <w:sz w:val="15"/>
                <w:szCs w:val="15"/>
              </w:rPr>
            </w:pPr>
            <w:r w:rsidRPr="00BF3740">
              <w:rPr>
                <w:rFonts w:cs="Tahoma"/>
                <w:b/>
                <w:bCs/>
                <w:sz w:val="15"/>
                <w:szCs w:val="15"/>
              </w:rPr>
              <w:t>3,48</w:t>
            </w:r>
          </w:p>
        </w:tc>
        <w:tc>
          <w:tcPr>
            <w:tcW w:w="755" w:type="pct"/>
            <w:tcBorders>
              <w:top w:val="single" w:sz="4" w:space="0" w:color="auto"/>
              <w:left w:val="nil"/>
              <w:bottom w:val="nil"/>
              <w:right w:val="nil"/>
            </w:tcBorders>
            <w:vAlign w:val="bottom"/>
          </w:tcPr>
          <w:p w:rsidR="00565FD5" w:rsidRPr="00BF3740" w:rsidRDefault="00565FD5" w:rsidP="00AB62A3">
            <w:pPr>
              <w:jc w:val="right"/>
              <w:rPr>
                <w:rFonts w:cs="Tahoma"/>
                <w:b/>
                <w:bCs/>
                <w:sz w:val="15"/>
                <w:szCs w:val="15"/>
              </w:rPr>
            </w:pPr>
            <w:r w:rsidRPr="00BF3740">
              <w:rPr>
                <w:rFonts w:cs="Tahoma"/>
                <w:b/>
                <w:bCs/>
                <w:sz w:val="15"/>
                <w:szCs w:val="15"/>
              </w:rPr>
              <w:t>3,59</w:t>
            </w:r>
          </w:p>
        </w:tc>
        <w:tc>
          <w:tcPr>
            <w:tcW w:w="755" w:type="pct"/>
            <w:tcBorders>
              <w:top w:val="single" w:sz="4" w:space="0" w:color="auto"/>
              <w:left w:val="nil"/>
              <w:bottom w:val="nil"/>
              <w:right w:val="nil"/>
            </w:tcBorders>
            <w:vAlign w:val="bottom"/>
          </w:tcPr>
          <w:p w:rsidR="00565FD5" w:rsidRPr="00BF3740" w:rsidRDefault="00565FD5" w:rsidP="00AB62A3">
            <w:pPr>
              <w:jc w:val="right"/>
              <w:rPr>
                <w:rFonts w:cs="Tahoma"/>
                <w:b/>
                <w:bCs/>
                <w:sz w:val="15"/>
                <w:szCs w:val="15"/>
              </w:rPr>
            </w:pPr>
            <w:r w:rsidRPr="00BF3740">
              <w:rPr>
                <w:rFonts w:cs="Tahoma"/>
                <w:b/>
                <w:bCs/>
                <w:sz w:val="15"/>
                <w:szCs w:val="15"/>
              </w:rPr>
              <w:t>3,66</w:t>
            </w:r>
          </w:p>
        </w:tc>
        <w:tc>
          <w:tcPr>
            <w:tcW w:w="641" w:type="pct"/>
            <w:tcBorders>
              <w:top w:val="single" w:sz="4" w:space="0" w:color="auto"/>
              <w:left w:val="nil"/>
              <w:bottom w:val="nil"/>
              <w:right w:val="single" w:sz="4" w:space="0" w:color="auto"/>
            </w:tcBorders>
            <w:vAlign w:val="bottom"/>
          </w:tcPr>
          <w:p w:rsidR="00565FD5" w:rsidRPr="00BF3740" w:rsidRDefault="00565FD5" w:rsidP="00AB62A3">
            <w:pPr>
              <w:jc w:val="right"/>
              <w:rPr>
                <w:rFonts w:cs="Tahoma"/>
                <w:b/>
                <w:bCs/>
                <w:sz w:val="15"/>
                <w:szCs w:val="15"/>
              </w:rPr>
            </w:pPr>
            <w:r w:rsidRPr="00BF3740">
              <w:rPr>
                <w:rFonts w:cs="Tahoma"/>
                <w:b/>
                <w:bCs/>
                <w:sz w:val="15"/>
                <w:szCs w:val="15"/>
              </w:rPr>
              <w:t>3,77</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t>1.Vergiler</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2,40</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2,42</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2,49</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2,62</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t>2.Vergi Dışı Norm. Gelir</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0,39</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0,47</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0,45</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0,44</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t>3.Faktör Gelirleri (Net)</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0,66</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0,69</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0,72</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0,71</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t>4.Sermaye Transferi (Net)</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0,02</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0,02</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0,00</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0,00</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b/>
                <w:bCs/>
                <w:sz w:val="15"/>
                <w:szCs w:val="15"/>
              </w:rPr>
            </w:pPr>
            <w:r w:rsidRPr="00BF3740">
              <w:rPr>
                <w:rFonts w:cs="Tahoma"/>
                <w:b/>
                <w:bCs/>
                <w:sz w:val="15"/>
                <w:szCs w:val="15"/>
              </w:rPr>
              <w:t>HARCAMALAR</w:t>
            </w:r>
          </w:p>
        </w:tc>
        <w:tc>
          <w:tcPr>
            <w:tcW w:w="753" w:type="pct"/>
            <w:vAlign w:val="bottom"/>
          </w:tcPr>
          <w:p w:rsidR="00565FD5" w:rsidRPr="00BF3740" w:rsidRDefault="00565FD5" w:rsidP="00AB62A3">
            <w:pPr>
              <w:jc w:val="right"/>
              <w:rPr>
                <w:rFonts w:cs="Tahoma"/>
                <w:b/>
                <w:bCs/>
                <w:sz w:val="15"/>
                <w:szCs w:val="15"/>
              </w:rPr>
            </w:pPr>
            <w:r w:rsidRPr="00BF3740">
              <w:rPr>
                <w:rFonts w:cs="Tahoma"/>
                <w:b/>
                <w:bCs/>
                <w:sz w:val="15"/>
                <w:szCs w:val="15"/>
              </w:rPr>
              <w:t>3,38</w:t>
            </w:r>
          </w:p>
        </w:tc>
        <w:tc>
          <w:tcPr>
            <w:tcW w:w="755" w:type="pct"/>
            <w:vAlign w:val="bottom"/>
          </w:tcPr>
          <w:p w:rsidR="00565FD5" w:rsidRPr="00BF3740" w:rsidRDefault="00565FD5" w:rsidP="00AB62A3">
            <w:pPr>
              <w:jc w:val="right"/>
              <w:rPr>
                <w:rFonts w:cs="Tahoma"/>
                <w:b/>
                <w:bCs/>
                <w:sz w:val="15"/>
                <w:szCs w:val="15"/>
              </w:rPr>
            </w:pPr>
            <w:r w:rsidRPr="00BF3740">
              <w:rPr>
                <w:rFonts w:cs="Tahoma"/>
                <w:b/>
                <w:bCs/>
                <w:sz w:val="15"/>
                <w:szCs w:val="15"/>
              </w:rPr>
              <w:t>3,39</w:t>
            </w:r>
          </w:p>
        </w:tc>
        <w:tc>
          <w:tcPr>
            <w:tcW w:w="755" w:type="pct"/>
            <w:vAlign w:val="bottom"/>
          </w:tcPr>
          <w:p w:rsidR="00565FD5" w:rsidRPr="00BF3740" w:rsidRDefault="00565FD5" w:rsidP="00AB62A3">
            <w:pPr>
              <w:jc w:val="right"/>
              <w:rPr>
                <w:rFonts w:cs="Tahoma"/>
                <w:b/>
                <w:bCs/>
                <w:sz w:val="15"/>
                <w:szCs w:val="15"/>
              </w:rPr>
            </w:pPr>
            <w:r w:rsidRPr="00BF3740">
              <w:rPr>
                <w:rFonts w:cs="Tahoma"/>
                <w:b/>
                <w:bCs/>
                <w:sz w:val="15"/>
                <w:szCs w:val="15"/>
              </w:rPr>
              <w:t>3,58</w:t>
            </w:r>
          </w:p>
        </w:tc>
        <w:tc>
          <w:tcPr>
            <w:tcW w:w="641" w:type="pct"/>
            <w:tcBorders>
              <w:right w:val="single" w:sz="4" w:space="0" w:color="auto"/>
            </w:tcBorders>
            <w:vAlign w:val="bottom"/>
          </w:tcPr>
          <w:p w:rsidR="00565FD5" w:rsidRPr="00BF3740" w:rsidRDefault="00565FD5" w:rsidP="00AB62A3">
            <w:pPr>
              <w:jc w:val="right"/>
              <w:rPr>
                <w:rFonts w:cs="Tahoma"/>
                <w:b/>
                <w:bCs/>
                <w:sz w:val="15"/>
                <w:szCs w:val="15"/>
              </w:rPr>
            </w:pPr>
            <w:r w:rsidRPr="00BF3740">
              <w:rPr>
                <w:rFonts w:cs="Tahoma"/>
                <w:b/>
                <w:bCs/>
                <w:sz w:val="15"/>
                <w:szCs w:val="15"/>
              </w:rPr>
              <w:t>3,85</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t>1.Cari Giderler</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2,18</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2,17</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2,26</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2,44</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t>2.Yatırım Harcamaları</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1,03</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1,00</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1,06</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1,16</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t xml:space="preserve">    a.Sabit Sermaye</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1,03</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1,00</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1,06</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1,16</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t xml:space="preserve">    b.Stok Değişimi</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0,00</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0,00</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0,00</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0,00</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t>3.Cari Transferler</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0,27</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0,23</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0,25</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0,25</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t>4.Kamulaştırma ve Sabit Değer Artışı</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-0,09</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-0,01</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-0,04</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-0,01</w:t>
            </w:r>
          </w:p>
        </w:tc>
      </w:tr>
      <w:tr w:rsidR="00565FD5" w:rsidRPr="00BF3740" w:rsidTr="00AB62A3">
        <w:trPr>
          <w:cantSplit/>
          <w:trHeight w:hRule="exact" w:val="255"/>
        </w:trPr>
        <w:tc>
          <w:tcPr>
            <w:tcW w:w="2096" w:type="pct"/>
            <w:tcBorders>
              <w:top w:val="nil"/>
              <w:left w:val="single" w:sz="4" w:space="0" w:color="auto"/>
              <w:bottom w:val="nil"/>
              <w:right w:val="nil"/>
            </w:tcBorders>
            <w:vAlign w:val="bottom"/>
          </w:tcPr>
          <w:p w:rsidR="00565FD5" w:rsidRPr="00BF3740" w:rsidRDefault="00565FD5" w:rsidP="00AB62A3">
            <w:pPr>
              <w:rPr>
                <w:rFonts w:cs="Tahoma"/>
                <w:sz w:val="15"/>
                <w:szCs w:val="15"/>
              </w:rPr>
            </w:pPr>
            <w:r w:rsidRPr="00BF3740">
              <w:rPr>
                <w:rFonts w:cs="Tahoma"/>
                <w:sz w:val="15"/>
                <w:szCs w:val="15"/>
              </w:rPr>
              <w:t>5.Sermaye Transferi (Net)</w:t>
            </w:r>
          </w:p>
        </w:tc>
        <w:tc>
          <w:tcPr>
            <w:tcW w:w="753" w:type="pct"/>
            <w:vAlign w:val="bottom"/>
          </w:tcPr>
          <w:p w:rsidR="00565FD5" w:rsidRPr="00BF3740" w:rsidRDefault="00565FD5" w:rsidP="00AB62A3">
            <w:pPr>
              <w:jc w:val="right"/>
              <w:rPr>
                <w:rFonts w:cs="Tahoma"/>
                <w:sz w:val="15"/>
                <w:szCs w:val="15"/>
              </w:rPr>
            </w:pPr>
            <w:r w:rsidRPr="00BF3740">
              <w:rPr>
                <w:rFonts w:cs="Tahoma"/>
                <w:sz w:val="15"/>
                <w:szCs w:val="15"/>
              </w:rPr>
              <w:t>0,00</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0,00</w:t>
            </w:r>
          </w:p>
        </w:tc>
        <w:tc>
          <w:tcPr>
            <w:tcW w:w="755" w:type="pct"/>
            <w:vAlign w:val="bottom"/>
          </w:tcPr>
          <w:p w:rsidR="00565FD5" w:rsidRPr="00BF3740" w:rsidRDefault="00565FD5" w:rsidP="00AB62A3">
            <w:pPr>
              <w:jc w:val="right"/>
              <w:rPr>
                <w:rFonts w:cs="Tahoma"/>
                <w:sz w:val="15"/>
                <w:szCs w:val="15"/>
              </w:rPr>
            </w:pPr>
            <w:r w:rsidRPr="00BF3740">
              <w:rPr>
                <w:rFonts w:cs="Tahoma"/>
                <w:sz w:val="15"/>
                <w:szCs w:val="15"/>
              </w:rPr>
              <w:t>0,06</w:t>
            </w:r>
          </w:p>
        </w:tc>
        <w:tc>
          <w:tcPr>
            <w:tcW w:w="641" w:type="pct"/>
            <w:tcBorders>
              <w:right w:val="single" w:sz="4" w:space="0" w:color="auto"/>
            </w:tcBorders>
            <w:vAlign w:val="bottom"/>
          </w:tcPr>
          <w:p w:rsidR="00565FD5" w:rsidRPr="00BF3740" w:rsidRDefault="00565FD5" w:rsidP="00AB62A3">
            <w:pPr>
              <w:jc w:val="right"/>
              <w:rPr>
                <w:rFonts w:cs="Tahoma"/>
                <w:sz w:val="15"/>
                <w:szCs w:val="15"/>
              </w:rPr>
            </w:pPr>
            <w:r w:rsidRPr="00BF3740">
              <w:rPr>
                <w:rFonts w:cs="Tahoma"/>
                <w:sz w:val="15"/>
                <w:szCs w:val="15"/>
              </w:rPr>
              <w:t>0,01</w:t>
            </w:r>
          </w:p>
        </w:tc>
      </w:tr>
      <w:tr w:rsidR="00565FD5" w:rsidRPr="00BF3740" w:rsidTr="00AB62A3">
        <w:trPr>
          <w:cantSplit/>
          <w:trHeight w:hRule="exact" w:val="255"/>
        </w:trPr>
        <w:tc>
          <w:tcPr>
            <w:tcW w:w="2096" w:type="pct"/>
            <w:tcBorders>
              <w:top w:val="nil"/>
              <w:left w:val="single" w:sz="4" w:space="0" w:color="auto"/>
              <w:bottom w:val="single" w:sz="4" w:space="0" w:color="auto"/>
              <w:right w:val="nil"/>
            </w:tcBorders>
            <w:vAlign w:val="center"/>
          </w:tcPr>
          <w:p w:rsidR="00565FD5" w:rsidRPr="00BF3740" w:rsidRDefault="00565FD5" w:rsidP="00AB62A3">
            <w:pPr>
              <w:rPr>
                <w:rFonts w:cs="Tahoma"/>
                <w:b/>
                <w:sz w:val="15"/>
                <w:szCs w:val="15"/>
              </w:rPr>
            </w:pPr>
            <w:r w:rsidRPr="00BF3740">
              <w:rPr>
                <w:rFonts w:cs="Tahoma"/>
                <w:b/>
                <w:sz w:val="15"/>
                <w:szCs w:val="15"/>
              </w:rPr>
              <w:t>GELİR-GİDER FARKI</w:t>
            </w:r>
          </w:p>
        </w:tc>
        <w:tc>
          <w:tcPr>
            <w:tcW w:w="753" w:type="pct"/>
            <w:tcBorders>
              <w:top w:val="nil"/>
              <w:left w:val="nil"/>
              <w:bottom w:val="single" w:sz="4" w:space="0" w:color="auto"/>
              <w:right w:val="nil"/>
            </w:tcBorders>
            <w:vAlign w:val="bottom"/>
          </w:tcPr>
          <w:p w:rsidR="00565FD5" w:rsidRPr="00BF3740" w:rsidRDefault="00565FD5" w:rsidP="00AB62A3">
            <w:pPr>
              <w:jc w:val="right"/>
              <w:rPr>
                <w:rFonts w:cs="Tahoma"/>
                <w:b/>
                <w:bCs/>
                <w:sz w:val="15"/>
                <w:szCs w:val="15"/>
              </w:rPr>
            </w:pPr>
            <w:r w:rsidRPr="00BF3740">
              <w:rPr>
                <w:rFonts w:cs="Tahoma"/>
                <w:b/>
                <w:bCs/>
                <w:sz w:val="15"/>
                <w:szCs w:val="15"/>
              </w:rPr>
              <w:t>0,09</w:t>
            </w:r>
          </w:p>
        </w:tc>
        <w:tc>
          <w:tcPr>
            <w:tcW w:w="755" w:type="pct"/>
            <w:tcBorders>
              <w:top w:val="nil"/>
              <w:left w:val="nil"/>
              <w:bottom w:val="single" w:sz="4" w:space="0" w:color="auto"/>
              <w:right w:val="nil"/>
            </w:tcBorders>
            <w:vAlign w:val="bottom"/>
          </w:tcPr>
          <w:p w:rsidR="00565FD5" w:rsidRPr="00BF3740" w:rsidRDefault="00565FD5" w:rsidP="00AB62A3">
            <w:pPr>
              <w:jc w:val="right"/>
              <w:rPr>
                <w:rFonts w:cs="Tahoma"/>
                <w:b/>
                <w:bCs/>
                <w:sz w:val="15"/>
                <w:szCs w:val="15"/>
              </w:rPr>
            </w:pPr>
            <w:r w:rsidRPr="00BF3740">
              <w:rPr>
                <w:rFonts w:cs="Tahoma"/>
                <w:b/>
                <w:bCs/>
                <w:sz w:val="15"/>
                <w:szCs w:val="15"/>
              </w:rPr>
              <w:t>0,19</w:t>
            </w:r>
          </w:p>
        </w:tc>
        <w:tc>
          <w:tcPr>
            <w:tcW w:w="755" w:type="pct"/>
            <w:tcBorders>
              <w:top w:val="nil"/>
              <w:left w:val="nil"/>
              <w:bottom w:val="single" w:sz="4" w:space="0" w:color="auto"/>
              <w:right w:val="nil"/>
            </w:tcBorders>
            <w:vAlign w:val="bottom"/>
          </w:tcPr>
          <w:p w:rsidR="00565FD5" w:rsidRPr="00BF3740" w:rsidRDefault="00565FD5" w:rsidP="00AB62A3">
            <w:pPr>
              <w:jc w:val="right"/>
              <w:rPr>
                <w:rFonts w:cs="Tahoma"/>
                <w:b/>
                <w:bCs/>
                <w:sz w:val="15"/>
                <w:szCs w:val="15"/>
              </w:rPr>
            </w:pPr>
            <w:r w:rsidRPr="00BF3740">
              <w:rPr>
                <w:rFonts w:cs="Tahoma"/>
                <w:b/>
                <w:bCs/>
                <w:sz w:val="15"/>
                <w:szCs w:val="15"/>
              </w:rPr>
              <w:t>0,07</w:t>
            </w:r>
          </w:p>
        </w:tc>
        <w:tc>
          <w:tcPr>
            <w:tcW w:w="641" w:type="pct"/>
            <w:tcBorders>
              <w:top w:val="nil"/>
              <w:left w:val="nil"/>
              <w:bottom w:val="single" w:sz="4" w:space="0" w:color="auto"/>
              <w:right w:val="single" w:sz="4" w:space="0" w:color="auto"/>
            </w:tcBorders>
            <w:vAlign w:val="bottom"/>
          </w:tcPr>
          <w:p w:rsidR="00565FD5" w:rsidRPr="00BF3740" w:rsidRDefault="00565FD5" w:rsidP="00AB62A3">
            <w:pPr>
              <w:jc w:val="right"/>
              <w:rPr>
                <w:rFonts w:cs="Tahoma"/>
                <w:b/>
                <w:bCs/>
                <w:sz w:val="15"/>
                <w:szCs w:val="15"/>
              </w:rPr>
            </w:pPr>
            <w:r w:rsidRPr="00BF3740">
              <w:rPr>
                <w:rFonts w:cs="Tahoma"/>
                <w:b/>
                <w:bCs/>
                <w:sz w:val="15"/>
                <w:szCs w:val="15"/>
              </w:rPr>
              <w:t>-0,08</w:t>
            </w:r>
          </w:p>
        </w:tc>
      </w:tr>
    </w:tbl>
    <w:p w:rsidR="00565FD5" w:rsidRPr="00BF3740" w:rsidRDefault="00565FD5" w:rsidP="00565FD5">
      <w:pPr>
        <w:rPr>
          <w:rFonts w:cs="Tahoma"/>
          <w:sz w:val="14"/>
        </w:rPr>
      </w:pPr>
      <w:r w:rsidRPr="00BF3740">
        <w:rPr>
          <w:rFonts w:cs="Tahoma"/>
          <w:sz w:val="14"/>
        </w:rPr>
        <w:t>(1) İl özel idareleri, belediyeler, İller Bankası, belediyelerin oluşturduğu birlikler ve büyükşehir belediyelerine bağlı idareleri kapsamaktadır.</w:t>
      </w:r>
    </w:p>
    <w:p w:rsidR="00565FD5" w:rsidRPr="00BF3740" w:rsidRDefault="00565FD5" w:rsidP="00565FD5">
      <w:pPr>
        <w:rPr>
          <w:rFonts w:cs="Tahoma"/>
          <w:sz w:val="14"/>
        </w:rPr>
      </w:pPr>
      <w:r w:rsidRPr="00BF3740">
        <w:rPr>
          <w:rFonts w:cs="Tahoma"/>
          <w:sz w:val="14"/>
        </w:rPr>
        <w:t>(2) Gerçekleşme tahmini</w:t>
      </w:r>
    </w:p>
    <w:p w:rsidR="00565FD5" w:rsidRDefault="00565FD5" w:rsidP="00565FD5">
      <w:pPr>
        <w:spacing w:after="240"/>
        <w:rPr>
          <w:rFonts w:cs="Tahoma"/>
          <w:sz w:val="14"/>
        </w:rPr>
      </w:pPr>
      <w:r w:rsidRPr="00BF3740">
        <w:rPr>
          <w:rFonts w:cs="Tahoma"/>
          <w:sz w:val="14"/>
        </w:rPr>
        <w:t>(3) Program</w:t>
      </w:r>
    </w:p>
    <w:p w:rsidR="00565FD5" w:rsidRPr="007570EF" w:rsidRDefault="00565FD5" w:rsidP="00565FD5">
      <w:pPr>
        <w:pStyle w:val="Balk3"/>
      </w:pPr>
      <w:bookmarkStart w:id="1023" w:name="_Toc338494229"/>
      <w:bookmarkStart w:id="1024" w:name="_Toc338505545"/>
      <w:bookmarkStart w:id="1025" w:name="_Toc338523762"/>
      <w:bookmarkStart w:id="1026" w:name="_Toc338523993"/>
      <w:bookmarkStart w:id="1027" w:name="_Toc338526219"/>
      <w:bookmarkStart w:id="1028" w:name="_Toc338673662"/>
      <w:bookmarkStart w:id="1029" w:name="_Toc338711541"/>
      <w:bookmarkStart w:id="1030" w:name="_Toc244253642"/>
      <w:bookmarkStart w:id="1031" w:name="_Toc244254892"/>
      <w:bookmarkStart w:id="1032" w:name="_Toc244313628"/>
      <w:bookmarkStart w:id="1033" w:name="_Toc244315105"/>
      <w:bookmarkStart w:id="1034" w:name="_Toc244339568"/>
      <w:bookmarkStart w:id="1035" w:name="_Toc276076247"/>
      <w:bookmarkStart w:id="1036" w:name="_Toc307601954"/>
      <w:bookmarkStart w:id="1037" w:name="_Toc307670402"/>
      <w:bookmarkStart w:id="1038" w:name="_Toc307701628"/>
      <w:r w:rsidRPr="007570EF">
        <w:t>C. DÖNER SERMAYELİ İŞLETMELER</w:t>
      </w:r>
      <w:bookmarkEnd w:id="1023"/>
      <w:bookmarkEnd w:id="1024"/>
      <w:bookmarkEnd w:id="1025"/>
      <w:bookmarkEnd w:id="1026"/>
      <w:bookmarkEnd w:id="1027"/>
      <w:bookmarkEnd w:id="1028"/>
      <w:bookmarkEnd w:id="1029"/>
    </w:p>
    <w:p w:rsidR="00565FD5" w:rsidRPr="007570EF" w:rsidRDefault="00565FD5" w:rsidP="00565FD5">
      <w:pPr>
        <w:pStyle w:val="Balk4"/>
      </w:pPr>
      <w:bookmarkStart w:id="1039" w:name="_Toc338505546"/>
      <w:bookmarkStart w:id="1040" w:name="_Toc338523763"/>
      <w:bookmarkStart w:id="1041" w:name="_Toc338523994"/>
      <w:bookmarkStart w:id="1042" w:name="_Toc338526220"/>
      <w:bookmarkStart w:id="1043" w:name="_Toc338673663"/>
      <w:bookmarkStart w:id="1044" w:name="_Toc338711542"/>
      <w:r w:rsidRPr="007570EF">
        <w:t>1. Mevcut Durum</w:t>
      </w:r>
      <w:bookmarkEnd w:id="1039"/>
      <w:bookmarkEnd w:id="1040"/>
      <w:bookmarkEnd w:id="1041"/>
      <w:bookmarkEnd w:id="1042"/>
      <w:bookmarkEnd w:id="1043"/>
      <w:bookmarkEnd w:id="1044"/>
    </w:p>
    <w:p w:rsidR="00565FD5" w:rsidRPr="007570EF" w:rsidRDefault="00565FD5" w:rsidP="00565FD5">
      <w:pPr>
        <w:spacing w:before="120" w:after="120"/>
        <w:ind w:firstLine="425"/>
        <w:rPr>
          <w:szCs w:val="18"/>
        </w:rPr>
      </w:pPr>
      <w:r w:rsidRPr="007570EF">
        <w:rPr>
          <w:szCs w:val="18"/>
        </w:rPr>
        <w:t xml:space="preserve">Döner sermayeli işletmeler tanımı içinde yer alan kurumlar iki grupta toplanmaktadır. Birinci grupta, merkezi yönetim bütçesi kapsamındaki idarelere bağlı olarak faaliyet gösteren işletmeler yer almaktadır. İkinci grupta ise bu işletmelerin dışında kalan ve kendi özel bütçeleri olan Türkiye Radyo Televizyon Kurumu, Milli Piyango İdaresi ve Atatürk Orman Çiftliği Müdürlüğü bulunmaktadır. </w:t>
      </w:r>
    </w:p>
    <w:p w:rsidR="00565FD5" w:rsidRPr="008C65B7" w:rsidRDefault="00565FD5" w:rsidP="00565FD5">
      <w:pPr>
        <w:pStyle w:val="ResimYazs"/>
        <w:rPr>
          <w:rFonts w:cs="Tahoma"/>
        </w:rPr>
      </w:pPr>
      <w:bookmarkStart w:id="1045" w:name="_Toc338605989"/>
      <w:bookmarkStart w:id="1046" w:name="_Toc338711764"/>
      <w:r>
        <w:t xml:space="preserve">TABLO III: </w:t>
      </w:r>
      <w:fldSimple w:instr=" SEQ TABLO_III: \* ARABIC ">
        <w:r>
          <w:rPr>
            <w:noProof/>
          </w:rPr>
          <w:t>11</w:t>
        </w:r>
      </w:fldSimple>
      <w:r w:rsidRPr="008C65B7">
        <w:t>- Döner Sermayeli İşletmeler Finansman Dengesi</w:t>
      </w:r>
      <w:bookmarkEnd w:id="1045"/>
      <w:bookmarkEnd w:id="1046"/>
    </w:p>
    <w:tbl>
      <w:tblPr>
        <w:tblW w:w="4906" w:type="pct"/>
        <w:tblInd w:w="70" w:type="dxa"/>
        <w:tblCellMar>
          <w:left w:w="70" w:type="dxa"/>
          <w:right w:w="70" w:type="dxa"/>
        </w:tblCellMar>
        <w:tblLook w:val="00A0"/>
      </w:tblPr>
      <w:tblGrid>
        <w:gridCol w:w="3001"/>
        <w:gridCol w:w="1066"/>
        <w:gridCol w:w="1066"/>
        <w:gridCol w:w="1066"/>
        <w:gridCol w:w="948"/>
      </w:tblGrid>
      <w:tr w:rsidR="00565FD5" w:rsidRPr="007570EF" w:rsidTr="00AB62A3">
        <w:trPr>
          <w:trHeight w:val="227"/>
        </w:trPr>
        <w:tc>
          <w:tcPr>
            <w:tcW w:w="2099" w:type="pct"/>
            <w:tcBorders>
              <w:top w:val="single" w:sz="4" w:space="0" w:color="auto"/>
              <w:left w:val="single" w:sz="4" w:space="0" w:color="auto"/>
              <w:bottom w:val="nil"/>
              <w:right w:val="nil"/>
            </w:tcBorders>
            <w:shd w:val="clear" w:color="000000" w:fill="FFFFFF"/>
          </w:tcPr>
          <w:p w:rsidR="00565FD5" w:rsidRPr="007570EF" w:rsidRDefault="00565FD5" w:rsidP="00AB62A3">
            <w:r w:rsidRPr="007570EF">
              <w:t> </w:t>
            </w:r>
          </w:p>
        </w:tc>
        <w:tc>
          <w:tcPr>
            <w:tcW w:w="746" w:type="pct"/>
            <w:tcBorders>
              <w:top w:val="single" w:sz="4" w:space="0" w:color="auto"/>
              <w:left w:val="nil"/>
              <w:bottom w:val="single" w:sz="4" w:space="0" w:color="auto"/>
              <w:right w:val="nil"/>
            </w:tcBorders>
            <w:vAlign w:val="center"/>
          </w:tcPr>
          <w:p w:rsidR="00565FD5" w:rsidRPr="007570EF" w:rsidRDefault="00565FD5" w:rsidP="00AB62A3">
            <w:pPr>
              <w:jc w:val="right"/>
              <w:rPr>
                <w:rFonts w:cs="Tahoma"/>
                <w:b/>
                <w:bCs/>
                <w:sz w:val="16"/>
                <w:szCs w:val="16"/>
              </w:rPr>
            </w:pPr>
            <w:r w:rsidRPr="007570EF">
              <w:rPr>
                <w:rFonts w:cs="Tahoma"/>
                <w:b/>
                <w:bCs/>
                <w:sz w:val="16"/>
                <w:szCs w:val="16"/>
              </w:rPr>
              <w:t>2010</w:t>
            </w:r>
          </w:p>
        </w:tc>
        <w:tc>
          <w:tcPr>
            <w:tcW w:w="746" w:type="pct"/>
            <w:tcBorders>
              <w:top w:val="single" w:sz="4" w:space="0" w:color="auto"/>
              <w:left w:val="nil"/>
              <w:bottom w:val="single" w:sz="4" w:space="0" w:color="auto"/>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2011</w:t>
            </w:r>
          </w:p>
        </w:tc>
        <w:tc>
          <w:tcPr>
            <w:tcW w:w="746" w:type="pct"/>
            <w:tcBorders>
              <w:top w:val="single" w:sz="4" w:space="0" w:color="auto"/>
              <w:left w:val="nil"/>
              <w:bottom w:val="single" w:sz="4" w:space="0" w:color="auto"/>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2012(1)</w:t>
            </w:r>
          </w:p>
        </w:tc>
        <w:tc>
          <w:tcPr>
            <w:tcW w:w="663" w:type="pct"/>
            <w:tcBorders>
              <w:top w:val="single" w:sz="4" w:space="0" w:color="auto"/>
              <w:left w:val="nil"/>
              <w:bottom w:val="single" w:sz="4" w:space="0" w:color="auto"/>
              <w:right w:val="single" w:sz="4" w:space="0" w:color="auto"/>
            </w:tcBorders>
            <w:vAlign w:val="center"/>
          </w:tcPr>
          <w:p w:rsidR="00565FD5" w:rsidRPr="007570EF" w:rsidRDefault="00565FD5" w:rsidP="00AB62A3">
            <w:pPr>
              <w:rPr>
                <w:rFonts w:cs="Tahoma"/>
                <w:b/>
                <w:bCs/>
                <w:sz w:val="16"/>
                <w:szCs w:val="16"/>
              </w:rPr>
            </w:pPr>
            <w:r w:rsidRPr="007570EF">
              <w:rPr>
                <w:rFonts w:cs="Tahoma"/>
                <w:b/>
                <w:bCs/>
                <w:sz w:val="16"/>
                <w:szCs w:val="16"/>
              </w:rPr>
              <w:t xml:space="preserve">   2013(2)</w:t>
            </w:r>
          </w:p>
        </w:tc>
      </w:tr>
      <w:tr w:rsidR="00565FD5" w:rsidRPr="007570EF" w:rsidTr="00AB62A3">
        <w:trPr>
          <w:trHeight w:val="227"/>
        </w:trPr>
        <w:tc>
          <w:tcPr>
            <w:tcW w:w="2099" w:type="pct"/>
            <w:tcBorders>
              <w:top w:val="nil"/>
              <w:left w:val="single" w:sz="4" w:space="0" w:color="auto"/>
              <w:bottom w:val="single" w:sz="4" w:space="0" w:color="auto"/>
              <w:right w:val="nil"/>
            </w:tcBorders>
            <w:shd w:val="clear" w:color="000000" w:fill="FFFFFF"/>
            <w:vAlign w:val="bottom"/>
          </w:tcPr>
          <w:p w:rsidR="00565FD5" w:rsidRPr="007570EF" w:rsidRDefault="00565FD5" w:rsidP="00AB62A3">
            <w:pPr>
              <w:rPr>
                <w:b/>
                <w:bCs/>
              </w:rPr>
            </w:pPr>
            <w:r w:rsidRPr="007570EF">
              <w:rPr>
                <w:b/>
                <w:bCs/>
              </w:rPr>
              <w:lastRenderedPageBreak/>
              <w:t> </w:t>
            </w:r>
          </w:p>
        </w:tc>
        <w:tc>
          <w:tcPr>
            <w:tcW w:w="2901" w:type="pct"/>
            <w:gridSpan w:val="4"/>
            <w:tcBorders>
              <w:top w:val="single" w:sz="4" w:space="0" w:color="auto"/>
              <w:left w:val="nil"/>
              <w:bottom w:val="single" w:sz="4" w:space="0" w:color="auto"/>
              <w:right w:val="single" w:sz="4" w:space="0" w:color="auto"/>
            </w:tcBorders>
            <w:vAlign w:val="center"/>
          </w:tcPr>
          <w:p w:rsidR="00565FD5" w:rsidRPr="007570EF" w:rsidRDefault="00565FD5" w:rsidP="00AB62A3">
            <w:pPr>
              <w:jc w:val="center"/>
              <w:rPr>
                <w:rFonts w:cs="Tahoma"/>
                <w:b/>
                <w:bCs/>
                <w:sz w:val="16"/>
                <w:szCs w:val="16"/>
              </w:rPr>
            </w:pPr>
            <w:r w:rsidRPr="007570EF">
              <w:rPr>
                <w:rFonts w:cs="Tahoma"/>
                <w:b/>
                <w:bCs/>
                <w:sz w:val="16"/>
                <w:szCs w:val="16"/>
              </w:rPr>
              <w:t>(Cari Fiyatlarla, Milyon TL)</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b/>
                <w:bCs/>
                <w:sz w:val="16"/>
                <w:szCs w:val="16"/>
              </w:rPr>
            </w:pPr>
            <w:r w:rsidRPr="007570EF">
              <w:rPr>
                <w:rFonts w:cs="Tahoma"/>
                <w:b/>
                <w:bCs/>
                <w:sz w:val="16"/>
                <w:szCs w:val="16"/>
              </w:rPr>
              <w:t>A. Gelirler</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27 589</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31 695</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35 045</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39 128</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sz w:val="16"/>
                <w:szCs w:val="16"/>
              </w:rPr>
            </w:pPr>
            <w:r w:rsidRPr="007570EF">
              <w:rPr>
                <w:rFonts w:cs="Tahoma"/>
                <w:sz w:val="16"/>
                <w:szCs w:val="16"/>
              </w:rPr>
              <w:t>- İşletme Gelirleri</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26 998</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30 551</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34 686</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38 768</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sz w:val="16"/>
                <w:szCs w:val="16"/>
              </w:rPr>
            </w:pPr>
            <w:r w:rsidRPr="007570EF">
              <w:rPr>
                <w:rFonts w:cs="Tahoma"/>
                <w:sz w:val="16"/>
                <w:szCs w:val="16"/>
              </w:rPr>
              <w:t>- Kurum Bünyesinde Kalan Fonlar</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xml:space="preserve"> 382</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xml:space="preserve"> 528</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xml:space="preserve"> 359</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xml:space="preserve"> 359</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sz w:val="16"/>
                <w:szCs w:val="16"/>
              </w:rPr>
            </w:pPr>
            <w:r w:rsidRPr="007570EF">
              <w:rPr>
                <w:rFonts w:cs="Tahoma"/>
                <w:sz w:val="16"/>
                <w:szCs w:val="16"/>
              </w:rPr>
              <w:t>- Bütçe Transferleri</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xml:space="preserve"> 209</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xml:space="preserve"> 616</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xml:space="preserve"> 0</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xml:space="preserve"> 0</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b/>
                <w:bCs/>
                <w:sz w:val="16"/>
                <w:szCs w:val="16"/>
              </w:rPr>
            </w:pPr>
            <w:r w:rsidRPr="007570EF">
              <w:rPr>
                <w:rFonts w:cs="Tahoma"/>
                <w:b/>
                <w:bCs/>
                <w:sz w:val="16"/>
                <w:szCs w:val="16"/>
              </w:rPr>
              <w:t>B. Giderler</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26 165</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30 181</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34 686</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38 937</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sz w:val="16"/>
                <w:szCs w:val="16"/>
              </w:rPr>
            </w:pPr>
            <w:r w:rsidRPr="007570EF">
              <w:rPr>
                <w:rFonts w:cs="Tahoma"/>
                <w:sz w:val="16"/>
                <w:szCs w:val="16"/>
              </w:rPr>
              <w:t>- İşletme Giderleri</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25 416</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29 034</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33 447</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37 654</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sz w:val="16"/>
                <w:szCs w:val="16"/>
              </w:rPr>
            </w:pPr>
            <w:r w:rsidRPr="007570EF">
              <w:rPr>
                <w:rFonts w:cs="Tahoma"/>
                <w:sz w:val="16"/>
                <w:szCs w:val="16"/>
              </w:rPr>
              <w:t>- Yatırım Harcamaları</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xml:space="preserve"> 621</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xml:space="preserve"> 782</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1 374</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1 494</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sz w:val="16"/>
                <w:szCs w:val="16"/>
              </w:rPr>
            </w:pPr>
            <w:r w:rsidRPr="007570EF">
              <w:rPr>
                <w:rFonts w:cs="Tahoma"/>
                <w:sz w:val="16"/>
                <w:szCs w:val="16"/>
              </w:rPr>
              <w:t>- Stok Artışı</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- 175</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xml:space="preserve"> 185</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xml:space="preserve"> 168</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xml:space="preserve"> 167</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sz w:val="16"/>
                <w:szCs w:val="16"/>
              </w:rPr>
            </w:pPr>
            <w:r w:rsidRPr="007570EF">
              <w:rPr>
                <w:rFonts w:cs="Tahoma"/>
                <w:sz w:val="16"/>
                <w:szCs w:val="16"/>
              </w:rPr>
              <w:t>- Sabit Kıymet Artışı</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- 211</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- 319</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- 830</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- 950</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sz w:val="16"/>
                <w:szCs w:val="16"/>
              </w:rPr>
            </w:pPr>
            <w:r w:rsidRPr="007570EF">
              <w:rPr>
                <w:rFonts w:cs="Tahoma"/>
                <w:sz w:val="16"/>
                <w:szCs w:val="16"/>
              </w:rPr>
              <w:t>- Dolaysız Vergiler</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xml:space="preserve"> 36</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xml:space="preserve"> 59</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xml:space="preserve"> 88</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xml:space="preserve"> 97</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sz w:val="16"/>
                <w:szCs w:val="16"/>
              </w:rPr>
            </w:pPr>
            <w:r w:rsidRPr="007570EF">
              <w:rPr>
                <w:rFonts w:cs="Tahoma"/>
                <w:sz w:val="16"/>
                <w:szCs w:val="16"/>
              </w:rPr>
              <w:t>- Fonlara Transferler</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xml:space="preserve"> 478</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xml:space="preserve"> 441</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xml:space="preserve"> 440</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 xml:space="preserve"> 476</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b/>
                <w:bCs/>
                <w:sz w:val="16"/>
                <w:szCs w:val="16"/>
              </w:rPr>
            </w:pPr>
            <w:r w:rsidRPr="007570EF">
              <w:rPr>
                <w:rFonts w:cs="Tahoma"/>
                <w:b/>
                <w:bCs/>
                <w:sz w:val="16"/>
                <w:szCs w:val="16"/>
              </w:rPr>
              <w:t>C. Gelir-Gider Farkı</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1 425</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1 514</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 xml:space="preserve"> 359</w:t>
            </w:r>
          </w:p>
        </w:tc>
        <w:tc>
          <w:tcPr>
            <w:tcW w:w="663" w:type="pct"/>
            <w:tcBorders>
              <w:top w:val="nil"/>
              <w:left w:val="nil"/>
              <w:bottom w:val="single" w:sz="4" w:space="0" w:color="auto"/>
              <w:right w:val="single" w:sz="4" w:space="0" w:color="auto"/>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 xml:space="preserve"> 190</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b/>
                <w:bCs/>
                <w:sz w:val="16"/>
                <w:szCs w:val="16"/>
              </w:rPr>
            </w:pPr>
            <w:r w:rsidRPr="007570EF">
              <w:rPr>
                <w:rFonts w:cs="Tahoma"/>
                <w:b/>
                <w:bCs/>
                <w:sz w:val="16"/>
                <w:szCs w:val="16"/>
              </w:rPr>
              <w:t> </w:t>
            </w:r>
          </w:p>
        </w:tc>
        <w:tc>
          <w:tcPr>
            <w:tcW w:w="2901" w:type="pct"/>
            <w:gridSpan w:val="4"/>
            <w:tcBorders>
              <w:top w:val="single" w:sz="4" w:space="0" w:color="auto"/>
              <w:left w:val="nil"/>
              <w:bottom w:val="single" w:sz="4" w:space="0" w:color="auto"/>
              <w:right w:val="single" w:sz="4" w:space="0" w:color="auto"/>
            </w:tcBorders>
            <w:shd w:val="clear" w:color="000000" w:fill="FFFFFF"/>
            <w:vAlign w:val="center"/>
          </w:tcPr>
          <w:p w:rsidR="00565FD5" w:rsidRPr="007570EF" w:rsidRDefault="00565FD5" w:rsidP="00AB62A3">
            <w:pPr>
              <w:jc w:val="center"/>
              <w:rPr>
                <w:rFonts w:cs="Tahoma"/>
                <w:b/>
                <w:bCs/>
                <w:sz w:val="16"/>
                <w:szCs w:val="16"/>
              </w:rPr>
            </w:pPr>
            <w:r w:rsidRPr="007570EF">
              <w:rPr>
                <w:rFonts w:cs="Tahoma"/>
                <w:b/>
                <w:bCs/>
                <w:sz w:val="16"/>
                <w:szCs w:val="16"/>
              </w:rPr>
              <w:t>(GSYH'ya Oran, Yüzde)</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b/>
                <w:bCs/>
                <w:sz w:val="16"/>
                <w:szCs w:val="16"/>
              </w:rPr>
            </w:pPr>
            <w:r w:rsidRPr="007570EF">
              <w:rPr>
                <w:rFonts w:cs="Tahoma"/>
                <w:b/>
                <w:bCs/>
                <w:sz w:val="16"/>
                <w:szCs w:val="16"/>
              </w:rPr>
              <w:t>A. Gelirler</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2,51</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2,44</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2,44</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2,49</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sz w:val="16"/>
                <w:szCs w:val="16"/>
              </w:rPr>
            </w:pPr>
            <w:r w:rsidRPr="007570EF">
              <w:rPr>
                <w:rFonts w:cs="Tahoma"/>
                <w:sz w:val="16"/>
                <w:szCs w:val="16"/>
              </w:rPr>
              <w:t>- İşletme Gelirleri</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2,46</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2,35</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2,42</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2,47</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sz w:val="16"/>
                <w:szCs w:val="16"/>
              </w:rPr>
            </w:pPr>
            <w:r w:rsidRPr="007570EF">
              <w:rPr>
                <w:rFonts w:cs="Tahoma"/>
                <w:sz w:val="16"/>
                <w:szCs w:val="16"/>
              </w:rPr>
              <w:t>- Kurum Bünyesinde Kalan Fonlar</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0,03</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0,04</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0,03</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0,02</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sz w:val="16"/>
                <w:szCs w:val="16"/>
              </w:rPr>
            </w:pPr>
            <w:r w:rsidRPr="007570EF">
              <w:rPr>
                <w:rFonts w:cs="Tahoma"/>
                <w:sz w:val="16"/>
                <w:szCs w:val="16"/>
              </w:rPr>
              <w:t>- Bütçe Transferleri</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0,02</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0,05</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0,00</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0,00</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b/>
                <w:bCs/>
                <w:sz w:val="16"/>
                <w:szCs w:val="16"/>
              </w:rPr>
            </w:pPr>
            <w:r w:rsidRPr="007570EF">
              <w:rPr>
                <w:rFonts w:cs="Tahoma"/>
                <w:b/>
                <w:bCs/>
                <w:sz w:val="16"/>
                <w:szCs w:val="16"/>
              </w:rPr>
              <w:t>B. Giderler</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2,38</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2,33</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2,42</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2,48</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sz w:val="16"/>
                <w:szCs w:val="16"/>
              </w:rPr>
            </w:pPr>
            <w:r w:rsidRPr="007570EF">
              <w:rPr>
                <w:rFonts w:cs="Tahoma"/>
                <w:sz w:val="16"/>
                <w:szCs w:val="16"/>
              </w:rPr>
              <w:t>- İşletme Giderleri</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2,31</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2,24</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2,33</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2,40</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sz w:val="16"/>
                <w:szCs w:val="16"/>
              </w:rPr>
            </w:pPr>
            <w:r w:rsidRPr="007570EF">
              <w:rPr>
                <w:rFonts w:cs="Tahoma"/>
                <w:sz w:val="16"/>
                <w:szCs w:val="16"/>
              </w:rPr>
              <w:t>- Yatırım Harcamaları</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0,06</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0,06</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0,10</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0,10</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sz w:val="16"/>
                <w:szCs w:val="16"/>
              </w:rPr>
            </w:pPr>
            <w:r w:rsidRPr="007570EF">
              <w:rPr>
                <w:rFonts w:cs="Tahoma"/>
                <w:sz w:val="16"/>
                <w:szCs w:val="16"/>
              </w:rPr>
              <w:t>- Stok Artışı</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-0,02</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0,01</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0,01</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0,01</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sz w:val="16"/>
                <w:szCs w:val="16"/>
              </w:rPr>
            </w:pPr>
            <w:r w:rsidRPr="007570EF">
              <w:rPr>
                <w:rFonts w:cs="Tahoma"/>
                <w:sz w:val="16"/>
                <w:szCs w:val="16"/>
              </w:rPr>
              <w:t>- Sabit Kıymet Artışı</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-0,02</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-0,02</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-0,06</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-0,06</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sz w:val="16"/>
                <w:szCs w:val="16"/>
              </w:rPr>
            </w:pPr>
            <w:r w:rsidRPr="007570EF">
              <w:rPr>
                <w:rFonts w:cs="Tahoma"/>
                <w:sz w:val="16"/>
                <w:szCs w:val="16"/>
              </w:rPr>
              <w:t>- Dolaysız Vergiler</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0,00</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0,00</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0,01</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0,01</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sz w:val="16"/>
                <w:szCs w:val="16"/>
              </w:rPr>
            </w:pPr>
            <w:r w:rsidRPr="007570EF">
              <w:rPr>
                <w:rFonts w:cs="Tahoma"/>
                <w:sz w:val="16"/>
                <w:szCs w:val="16"/>
              </w:rPr>
              <w:t>- Fonlara Transferler</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0,04</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0,03</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0,03</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0,03</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b/>
                <w:bCs/>
                <w:sz w:val="16"/>
                <w:szCs w:val="16"/>
              </w:rPr>
            </w:pPr>
            <w:r w:rsidRPr="007570EF">
              <w:rPr>
                <w:rFonts w:cs="Tahoma"/>
                <w:b/>
                <w:bCs/>
                <w:sz w:val="16"/>
                <w:szCs w:val="16"/>
              </w:rPr>
              <w:lastRenderedPageBreak/>
              <w:t>C. Gelir-Gider Farkı</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0,13</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0,12</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0,03</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0,01</w:t>
            </w:r>
          </w:p>
        </w:tc>
      </w:tr>
      <w:tr w:rsidR="00565FD5" w:rsidRPr="007570EF" w:rsidTr="00AB62A3">
        <w:trPr>
          <w:trHeight w:val="227"/>
        </w:trPr>
        <w:tc>
          <w:tcPr>
            <w:tcW w:w="2099" w:type="pct"/>
            <w:tcBorders>
              <w:top w:val="nil"/>
              <w:left w:val="single" w:sz="4" w:space="0" w:color="auto"/>
              <w:bottom w:val="nil"/>
              <w:right w:val="nil"/>
            </w:tcBorders>
            <w:shd w:val="clear" w:color="000000" w:fill="FFFFFF"/>
            <w:vAlign w:val="center"/>
          </w:tcPr>
          <w:p w:rsidR="00565FD5" w:rsidRPr="007570EF" w:rsidRDefault="00565FD5" w:rsidP="00AB62A3">
            <w:pPr>
              <w:rPr>
                <w:rFonts w:cs="Tahoma"/>
                <w:b/>
                <w:bCs/>
                <w:sz w:val="16"/>
                <w:szCs w:val="16"/>
              </w:rPr>
            </w:pPr>
            <w:r w:rsidRPr="007570EF">
              <w:rPr>
                <w:rFonts w:cs="Tahoma"/>
                <w:b/>
                <w:bCs/>
                <w:sz w:val="16"/>
                <w:szCs w:val="16"/>
              </w:rPr>
              <w:t> </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 </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 </w:t>
            </w:r>
          </w:p>
        </w:tc>
        <w:tc>
          <w:tcPr>
            <w:tcW w:w="746" w:type="pct"/>
            <w:tcBorders>
              <w:top w:val="nil"/>
              <w:left w:val="nil"/>
              <w:bottom w:val="nil"/>
              <w:right w:val="nil"/>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 </w:t>
            </w:r>
          </w:p>
        </w:tc>
        <w:tc>
          <w:tcPr>
            <w:tcW w:w="663" w:type="pct"/>
            <w:tcBorders>
              <w:top w:val="nil"/>
              <w:left w:val="nil"/>
              <w:bottom w:val="nil"/>
              <w:right w:val="single" w:sz="4" w:space="0" w:color="auto"/>
            </w:tcBorders>
            <w:shd w:val="clear" w:color="000000" w:fill="FFFFFF"/>
            <w:vAlign w:val="center"/>
          </w:tcPr>
          <w:p w:rsidR="00565FD5" w:rsidRPr="007570EF" w:rsidRDefault="00565FD5" w:rsidP="00AB62A3">
            <w:pPr>
              <w:jc w:val="right"/>
              <w:rPr>
                <w:rFonts w:cs="Tahoma"/>
                <w:b/>
                <w:bCs/>
                <w:sz w:val="16"/>
                <w:szCs w:val="16"/>
              </w:rPr>
            </w:pPr>
            <w:r w:rsidRPr="007570EF">
              <w:rPr>
                <w:rFonts w:cs="Tahoma"/>
                <w:b/>
                <w:bCs/>
                <w:sz w:val="16"/>
                <w:szCs w:val="16"/>
              </w:rPr>
              <w:t> </w:t>
            </w:r>
          </w:p>
        </w:tc>
      </w:tr>
      <w:tr w:rsidR="00565FD5" w:rsidRPr="007570EF" w:rsidTr="00AB62A3">
        <w:trPr>
          <w:trHeight w:val="227"/>
        </w:trPr>
        <w:tc>
          <w:tcPr>
            <w:tcW w:w="2099" w:type="pct"/>
            <w:tcBorders>
              <w:top w:val="nil"/>
              <w:left w:val="single" w:sz="4" w:space="0" w:color="auto"/>
              <w:bottom w:val="single" w:sz="4" w:space="0" w:color="auto"/>
              <w:right w:val="nil"/>
            </w:tcBorders>
            <w:shd w:val="clear" w:color="000000" w:fill="FFFFFF"/>
            <w:vAlign w:val="center"/>
          </w:tcPr>
          <w:p w:rsidR="00565FD5" w:rsidRPr="007570EF" w:rsidRDefault="00565FD5" w:rsidP="00AB62A3">
            <w:pPr>
              <w:rPr>
                <w:rFonts w:cs="Tahoma"/>
                <w:b/>
                <w:bCs/>
                <w:sz w:val="16"/>
                <w:szCs w:val="16"/>
              </w:rPr>
            </w:pPr>
            <w:r w:rsidRPr="007570EF">
              <w:rPr>
                <w:rFonts w:cs="Tahoma"/>
                <w:b/>
                <w:bCs/>
                <w:sz w:val="16"/>
                <w:szCs w:val="16"/>
              </w:rPr>
              <w:t>Bilgi İçin</w:t>
            </w:r>
            <w:r w:rsidRPr="007570EF">
              <w:rPr>
                <w:rFonts w:cs="Tahoma"/>
                <w:sz w:val="16"/>
                <w:szCs w:val="16"/>
              </w:rPr>
              <w:t xml:space="preserve">: Dönem Karı/GSYH </w:t>
            </w:r>
            <w:r>
              <w:rPr>
                <w:rFonts w:cs="Tahoma"/>
                <w:sz w:val="16"/>
                <w:szCs w:val="16"/>
              </w:rPr>
              <w:t>(Yüzde)</w:t>
            </w:r>
          </w:p>
        </w:tc>
        <w:tc>
          <w:tcPr>
            <w:tcW w:w="746" w:type="pct"/>
            <w:tcBorders>
              <w:top w:val="nil"/>
              <w:left w:val="nil"/>
              <w:bottom w:val="single" w:sz="4" w:space="0" w:color="auto"/>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0,10</w:t>
            </w:r>
          </w:p>
        </w:tc>
        <w:tc>
          <w:tcPr>
            <w:tcW w:w="746" w:type="pct"/>
            <w:tcBorders>
              <w:top w:val="nil"/>
              <w:left w:val="nil"/>
              <w:bottom w:val="single" w:sz="4" w:space="0" w:color="auto"/>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0,08</w:t>
            </w:r>
          </w:p>
        </w:tc>
        <w:tc>
          <w:tcPr>
            <w:tcW w:w="746" w:type="pct"/>
            <w:tcBorders>
              <w:top w:val="nil"/>
              <w:left w:val="nil"/>
              <w:bottom w:val="single" w:sz="4" w:space="0" w:color="auto"/>
              <w:right w:val="nil"/>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0,05</w:t>
            </w:r>
          </w:p>
        </w:tc>
        <w:tc>
          <w:tcPr>
            <w:tcW w:w="663" w:type="pct"/>
            <w:tcBorders>
              <w:top w:val="nil"/>
              <w:left w:val="nil"/>
              <w:bottom w:val="single" w:sz="4" w:space="0" w:color="auto"/>
              <w:right w:val="single" w:sz="4" w:space="0" w:color="auto"/>
            </w:tcBorders>
            <w:shd w:val="clear" w:color="000000" w:fill="FFFFFF"/>
            <w:vAlign w:val="center"/>
          </w:tcPr>
          <w:p w:rsidR="00565FD5" w:rsidRPr="007570EF" w:rsidRDefault="00565FD5" w:rsidP="00AB62A3">
            <w:pPr>
              <w:jc w:val="right"/>
              <w:rPr>
                <w:rFonts w:cs="Tahoma"/>
                <w:sz w:val="16"/>
                <w:szCs w:val="16"/>
              </w:rPr>
            </w:pPr>
            <w:r w:rsidRPr="007570EF">
              <w:rPr>
                <w:rFonts w:cs="Tahoma"/>
                <w:sz w:val="16"/>
                <w:szCs w:val="16"/>
              </w:rPr>
              <w:t>0,04</w:t>
            </w:r>
          </w:p>
        </w:tc>
      </w:tr>
    </w:tbl>
    <w:p w:rsidR="00565FD5" w:rsidRPr="007570EF" w:rsidRDefault="00565FD5" w:rsidP="00565FD5">
      <w:pPr>
        <w:ind w:right="-85"/>
        <w:rPr>
          <w:rFonts w:cs="Tahoma"/>
          <w:sz w:val="14"/>
          <w:szCs w:val="14"/>
        </w:rPr>
      </w:pPr>
      <w:r w:rsidRPr="007570EF">
        <w:rPr>
          <w:rFonts w:cs="Tahoma"/>
          <w:sz w:val="14"/>
          <w:szCs w:val="14"/>
        </w:rPr>
        <w:t>Kaynak: Kalkınma Bakanlığı</w:t>
      </w:r>
    </w:p>
    <w:p w:rsidR="00565FD5" w:rsidRPr="007570EF" w:rsidRDefault="00565FD5" w:rsidP="00565FD5">
      <w:pPr>
        <w:ind w:right="-85"/>
        <w:rPr>
          <w:rFonts w:cs="Tahoma"/>
          <w:sz w:val="14"/>
          <w:szCs w:val="14"/>
        </w:rPr>
      </w:pPr>
      <w:r w:rsidRPr="007570EF">
        <w:rPr>
          <w:rFonts w:cs="Tahoma"/>
          <w:sz w:val="14"/>
          <w:szCs w:val="14"/>
        </w:rPr>
        <w:t>(1) Gerçekleşme tahmini</w:t>
      </w:r>
    </w:p>
    <w:p w:rsidR="00565FD5" w:rsidRPr="007570EF" w:rsidRDefault="00565FD5" w:rsidP="00565FD5">
      <w:pPr>
        <w:spacing w:after="240"/>
        <w:rPr>
          <w:rFonts w:cs="Tahoma"/>
          <w:sz w:val="14"/>
          <w:szCs w:val="14"/>
        </w:rPr>
      </w:pPr>
      <w:r w:rsidRPr="007570EF">
        <w:rPr>
          <w:rFonts w:cs="Tahoma"/>
          <w:sz w:val="14"/>
          <w:szCs w:val="14"/>
        </w:rPr>
        <w:t>(2) Program</w:t>
      </w:r>
    </w:p>
    <w:p w:rsidR="00565FD5" w:rsidRPr="007570EF" w:rsidRDefault="00565FD5" w:rsidP="00565FD5">
      <w:pPr>
        <w:spacing w:before="120" w:after="120"/>
        <w:ind w:firstLine="425"/>
        <w:rPr>
          <w:szCs w:val="18"/>
        </w:rPr>
      </w:pPr>
      <w:r>
        <w:rPr>
          <w:szCs w:val="18"/>
        </w:rPr>
        <w:t>01/08/</w:t>
      </w:r>
      <w:r w:rsidRPr="007570EF">
        <w:rPr>
          <w:szCs w:val="18"/>
        </w:rPr>
        <w:t xml:space="preserve">2010 tarihli </w:t>
      </w:r>
      <w:r>
        <w:rPr>
          <w:szCs w:val="18"/>
        </w:rPr>
        <w:t>Resmi Gazete'de</w:t>
      </w:r>
      <w:r w:rsidRPr="007570EF">
        <w:rPr>
          <w:szCs w:val="18"/>
        </w:rPr>
        <w:t xml:space="preserve"> yayımlanan 6009 sayılı Kanun hükümleri doğrultusunda, mali durumu zayıf olan devlete ait üniversitelerin tıp fakültelerine bağlı sağlık uygulama ve araştırma merkezi birimlerinden Kanunda öngörülen şartları yerine getirenlere 2010 ve 2011 yıllarında sırasıyla 209 milyon TL ve 168 milyon TL bütçe transferi yapılmıştır. 2012 yılında bu kapsamda herhangi bir transfer yapılmamış olup söz konusu birimlerin mali durumlarında istenilen ölçüde bir iyileşme sağlanamamıştır.</w:t>
      </w:r>
    </w:p>
    <w:p w:rsidR="00565FD5" w:rsidRPr="007570EF" w:rsidRDefault="00565FD5" w:rsidP="00565FD5">
      <w:pPr>
        <w:spacing w:before="120" w:after="120"/>
        <w:ind w:firstLine="425"/>
        <w:rPr>
          <w:szCs w:val="18"/>
        </w:rPr>
      </w:pPr>
      <w:r>
        <w:rPr>
          <w:szCs w:val="18"/>
        </w:rPr>
        <w:t>25/02/</w:t>
      </w:r>
      <w:r w:rsidRPr="007570EF">
        <w:rPr>
          <w:szCs w:val="18"/>
        </w:rPr>
        <w:t xml:space="preserve">2011 tarihli </w:t>
      </w:r>
      <w:r>
        <w:rPr>
          <w:szCs w:val="18"/>
        </w:rPr>
        <w:t>Resmi Gazete'de</w:t>
      </w:r>
      <w:r w:rsidRPr="007570EF">
        <w:rPr>
          <w:szCs w:val="18"/>
        </w:rPr>
        <w:t xml:space="preserve"> yayımlanan 6111 sayılı Kanun hükümleri uyarınca, devlete ait üniversitelerin tıp ve diş hekimliği fakültelerine bağlı sağlık uygulama ve araştırma merkezi döner sermaye işletmelerinden verilen hizmetler için öğretim elemanları adına ayrıca ücret talep edilememesi nedeniyle ilgili döner sermaye işletmelerinde ilk uygulama yılı olmasından kaynaklanacak nakit ihtiyacının karşılanması amacıyla söz konusu işletmelere 2011 yılında 448 milyon TL tutarında bütçe transferi yapılmıştır.</w:t>
      </w:r>
    </w:p>
    <w:p w:rsidR="00565FD5" w:rsidRPr="007570EF" w:rsidRDefault="00565FD5" w:rsidP="00565FD5">
      <w:pPr>
        <w:spacing w:before="120" w:after="120"/>
        <w:ind w:firstLine="425"/>
        <w:rPr>
          <w:szCs w:val="18"/>
        </w:rPr>
      </w:pPr>
      <w:r w:rsidRPr="007570EF">
        <w:rPr>
          <w:szCs w:val="18"/>
        </w:rPr>
        <w:t>GSYH’ya oran olarak, 2011 yılında yüzde 0,12 düzeyinde olan döner sermayeli işletmelerin gelir-gider farkının sağlık yatırım harcamalarındaki artışın da etkisiyle 2012 yılında yüzde 0,03 düzeyine gerilemesi beklenmektedir. Döner sermayeli işletmelerin dönem karı 2011 yılında GSYH’nın yüzde 0,08’i düzeyinde gerçekleşmiş olup bu oranın 2012 yılında yüzde 0,05 seviyesinde gerçekleşeceği tahmin edilmektedir.</w:t>
      </w:r>
    </w:p>
    <w:p w:rsidR="00565FD5" w:rsidRPr="007570EF" w:rsidRDefault="00565FD5" w:rsidP="00565FD5">
      <w:pPr>
        <w:pStyle w:val="Balk4"/>
      </w:pPr>
      <w:bookmarkStart w:id="1047" w:name="_Toc338505547"/>
      <w:bookmarkStart w:id="1048" w:name="_Toc338523764"/>
      <w:bookmarkStart w:id="1049" w:name="_Toc338523995"/>
      <w:bookmarkStart w:id="1050" w:name="_Toc338526221"/>
      <w:bookmarkStart w:id="1051" w:name="_Toc338673664"/>
      <w:bookmarkStart w:id="1052" w:name="_Toc338711543"/>
      <w:r w:rsidRPr="007570EF">
        <w:t>2. 2013 Yılı Hedefleri</w:t>
      </w:r>
      <w:bookmarkEnd w:id="1047"/>
      <w:bookmarkEnd w:id="1048"/>
      <w:bookmarkEnd w:id="1049"/>
      <w:bookmarkEnd w:id="1050"/>
      <w:bookmarkEnd w:id="1051"/>
      <w:bookmarkEnd w:id="1052"/>
    </w:p>
    <w:p w:rsidR="00565FD5" w:rsidRPr="007570EF" w:rsidRDefault="00565FD5" w:rsidP="00565FD5">
      <w:pPr>
        <w:spacing w:before="120" w:after="120"/>
        <w:ind w:firstLine="425"/>
        <w:rPr>
          <w:szCs w:val="18"/>
        </w:rPr>
      </w:pPr>
      <w:r w:rsidRPr="007570EF">
        <w:rPr>
          <w:szCs w:val="18"/>
        </w:rPr>
        <w:t>2013 yılında GSYH’ya oran olarak, döner sermayeli işletmelerin gelir–gider farkının yüzde 0,01; dönem karının ise yüzde 0,04 civarında gerçekleşmesi hedeflenmektedir.</w:t>
      </w:r>
    </w:p>
    <w:p w:rsidR="00565FD5" w:rsidRPr="007570EF" w:rsidRDefault="00565FD5" w:rsidP="00565FD5">
      <w:pPr>
        <w:pStyle w:val="Balk3"/>
      </w:pPr>
      <w:bookmarkStart w:id="1053" w:name="_Toc307601957"/>
      <w:bookmarkStart w:id="1054" w:name="_Toc307670405"/>
      <w:bookmarkStart w:id="1055" w:name="_Toc307701631"/>
      <w:bookmarkStart w:id="1056" w:name="_Toc338494230"/>
      <w:bookmarkStart w:id="1057" w:name="_Toc338505548"/>
      <w:bookmarkStart w:id="1058" w:name="_Toc338523765"/>
      <w:bookmarkStart w:id="1059" w:name="_Toc338523996"/>
      <w:bookmarkStart w:id="1060" w:name="_Toc338526222"/>
      <w:bookmarkStart w:id="1061" w:name="_Toc338673665"/>
      <w:bookmarkStart w:id="1062" w:name="_Toc338711544"/>
      <w:bookmarkStart w:id="1063" w:name="_Toc244253644"/>
      <w:bookmarkStart w:id="1064" w:name="_Toc244254894"/>
      <w:bookmarkStart w:id="1065" w:name="_Toc244313630"/>
      <w:bookmarkStart w:id="1066" w:name="_Toc244315107"/>
      <w:bookmarkStart w:id="1067" w:name="_Toc244339570"/>
      <w:bookmarkEnd w:id="1030"/>
      <w:bookmarkEnd w:id="1031"/>
      <w:bookmarkEnd w:id="1032"/>
      <w:bookmarkEnd w:id="1033"/>
      <w:bookmarkEnd w:id="1034"/>
      <w:bookmarkEnd w:id="1035"/>
      <w:bookmarkEnd w:id="1036"/>
      <w:bookmarkEnd w:id="1037"/>
      <w:bookmarkEnd w:id="1038"/>
      <w:r>
        <w:lastRenderedPageBreak/>
        <w:t>Ç</w:t>
      </w:r>
      <w:r w:rsidRPr="007570EF">
        <w:t>. SOSYAL GÜVENLİK KURULUŞLARI</w:t>
      </w:r>
      <w:bookmarkEnd w:id="1053"/>
      <w:bookmarkEnd w:id="1054"/>
      <w:bookmarkEnd w:id="1055"/>
      <w:bookmarkEnd w:id="1056"/>
      <w:bookmarkEnd w:id="1057"/>
      <w:bookmarkEnd w:id="1058"/>
      <w:bookmarkEnd w:id="1059"/>
      <w:bookmarkEnd w:id="1060"/>
      <w:bookmarkEnd w:id="1061"/>
      <w:bookmarkEnd w:id="1062"/>
    </w:p>
    <w:p w:rsidR="00565FD5" w:rsidRPr="007570EF" w:rsidRDefault="00565FD5" w:rsidP="00565FD5">
      <w:pPr>
        <w:pStyle w:val="Balk4"/>
      </w:pPr>
      <w:bookmarkStart w:id="1068" w:name="_Toc307601958"/>
      <w:bookmarkStart w:id="1069" w:name="_Toc307670406"/>
      <w:bookmarkStart w:id="1070" w:name="_Toc307701632"/>
      <w:bookmarkStart w:id="1071" w:name="_Toc338505549"/>
      <w:bookmarkStart w:id="1072" w:name="_Toc338523766"/>
      <w:bookmarkStart w:id="1073" w:name="_Toc338523997"/>
      <w:bookmarkStart w:id="1074" w:name="_Toc338526223"/>
      <w:bookmarkStart w:id="1075" w:name="_Toc338673666"/>
      <w:bookmarkStart w:id="1076" w:name="_Toc338711545"/>
      <w:r w:rsidRPr="007570EF">
        <w:t>1. Mevcut Durum</w:t>
      </w:r>
      <w:bookmarkEnd w:id="1068"/>
      <w:bookmarkEnd w:id="1069"/>
      <w:bookmarkEnd w:id="1070"/>
      <w:bookmarkEnd w:id="1071"/>
      <w:bookmarkEnd w:id="1072"/>
      <w:bookmarkEnd w:id="1073"/>
      <w:bookmarkEnd w:id="1074"/>
      <w:bookmarkEnd w:id="1075"/>
      <w:bookmarkEnd w:id="1076"/>
    </w:p>
    <w:p w:rsidR="00565FD5" w:rsidRPr="007570EF" w:rsidRDefault="00565FD5" w:rsidP="00565FD5">
      <w:pPr>
        <w:spacing w:before="120" w:after="120"/>
        <w:ind w:firstLine="425"/>
        <w:rPr>
          <w:szCs w:val="18"/>
        </w:rPr>
      </w:pPr>
      <w:r w:rsidRPr="007570EF">
        <w:rPr>
          <w:szCs w:val="18"/>
        </w:rPr>
        <w:t xml:space="preserve">Sosyal güvenlik kuruluşları kapsamında Sosyal Güvenlik Kurumu (SGK), Türkiye İş Kurumu (İŞKUR) ve İşsizlik Sigortası Fonu yer almaktadır. Sosyal güvenlik kuruluşları gelir-gider dengesine, İŞKUR’un sadece yatırımı dahil edilmekte olup İşsizlik Sigortası Fonu dengesi ayrı bir tabloda gösterilmektedir. </w:t>
      </w:r>
    </w:p>
    <w:p w:rsidR="00565FD5" w:rsidRPr="008C65B7" w:rsidRDefault="00565FD5" w:rsidP="00565FD5">
      <w:pPr>
        <w:pStyle w:val="ResimYazs"/>
      </w:pPr>
      <w:bookmarkStart w:id="1077" w:name="_Toc275874283"/>
      <w:bookmarkStart w:id="1078" w:name="_Toc276076464"/>
      <w:bookmarkStart w:id="1079" w:name="_Toc307601628"/>
      <w:bookmarkStart w:id="1080" w:name="_Toc307601645"/>
      <w:bookmarkStart w:id="1081" w:name="_Toc307657870"/>
      <w:bookmarkStart w:id="1082" w:name="_Toc307713549"/>
      <w:bookmarkStart w:id="1083" w:name="_Toc338605990"/>
      <w:bookmarkStart w:id="1084" w:name="_Toc338711765"/>
      <w:r>
        <w:t xml:space="preserve">TABLO III: </w:t>
      </w:r>
      <w:fldSimple w:instr=" SEQ TABLO_III: \* ARABIC ">
        <w:r>
          <w:rPr>
            <w:noProof/>
          </w:rPr>
          <w:t>12</w:t>
        </w:r>
      </w:fldSimple>
      <w:r w:rsidRPr="008C65B7">
        <w:t>- Sosyal Güvenlik Kuruluşları Gelir-Gider Dengesi</w:t>
      </w:r>
      <w:bookmarkEnd w:id="1077"/>
      <w:bookmarkEnd w:id="1078"/>
      <w:bookmarkEnd w:id="1079"/>
      <w:bookmarkEnd w:id="1080"/>
      <w:bookmarkEnd w:id="1081"/>
      <w:bookmarkEnd w:id="1082"/>
      <w:bookmarkEnd w:id="1083"/>
      <w:bookmarkEnd w:id="1084"/>
    </w:p>
    <w:tbl>
      <w:tblPr>
        <w:tblW w:w="7088"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A0"/>
      </w:tblPr>
      <w:tblGrid>
        <w:gridCol w:w="2836"/>
        <w:gridCol w:w="1079"/>
        <w:gridCol w:w="1055"/>
        <w:gridCol w:w="1055"/>
        <w:gridCol w:w="1063"/>
      </w:tblGrid>
      <w:tr w:rsidR="00565FD5" w:rsidRPr="007570EF" w:rsidTr="00AB62A3">
        <w:trPr>
          <w:trHeight w:val="292"/>
        </w:trPr>
        <w:tc>
          <w:tcPr>
            <w:tcW w:w="2001" w:type="pct"/>
            <w:tcBorders>
              <w:top w:val="single" w:sz="4" w:space="0" w:color="auto"/>
            </w:tcBorders>
            <w:shd w:val="clear" w:color="000000" w:fill="FFFFFF"/>
            <w:noWrap/>
            <w:vAlign w:val="center"/>
          </w:tcPr>
          <w:p w:rsidR="00565FD5" w:rsidRPr="007570EF" w:rsidRDefault="00565FD5" w:rsidP="00AB62A3">
            <w:pPr>
              <w:rPr>
                <w:rFonts w:cs="Tahoma"/>
                <w:sz w:val="16"/>
                <w:szCs w:val="16"/>
              </w:rPr>
            </w:pPr>
            <w:r w:rsidRPr="007570EF">
              <w:rPr>
                <w:rFonts w:cs="Tahoma"/>
                <w:sz w:val="16"/>
                <w:szCs w:val="16"/>
              </w:rPr>
              <w:t> </w:t>
            </w:r>
          </w:p>
        </w:tc>
        <w:tc>
          <w:tcPr>
            <w:tcW w:w="761" w:type="pct"/>
            <w:tcBorders>
              <w:top w:val="single" w:sz="4" w:space="0" w:color="auto"/>
              <w:bottom w:val="single" w:sz="4" w:space="0" w:color="auto"/>
            </w:tcBorders>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2010</w:t>
            </w:r>
          </w:p>
        </w:tc>
        <w:tc>
          <w:tcPr>
            <w:tcW w:w="744" w:type="pct"/>
            <w:tcBorders>
              <w:top w:val="single" w:sz="4" w:space="0" w:color="auto"/>
              <w:bottom w:val="single" w:sz="4" w:space="0" w:color="auto"/>
            </w:tcBorders>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2011</w:t>
            </w:r>
          </w:p>
        </w:tc>
        <w:tc>
          <w:tcPr>
            <w:tcW w:w="744" w:type="pct"/>
            <w:tcBorders>
              <w:top w:val="single" w:sz="4" w:space="0" w:color="auto"/>
              <w:bottom w:val="single" w:sz="4" w:space="0" w:color="auto"/>
            </w:tcBorders>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2012 (1)</w:t>
            </w:r>
          </w:p>
        </w:tc>
        <w:tc>
          <w:tcPr>
            <w:tcW w:w="751" w:type="pct"/>
            <w:tcBorders>
              <w:top w:val="single" w:sz="4" w:space="0" w:color="auto"/>
              <w:bottom w:val="single" w:sz="4" w:space="0" w:color="auto"/>
            </w:tcBorders>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2013 (2)</w:t>
            </w:r>
          </w:p>
        </w:tc>
      </w:tr>
      <w:tr w:rsidR="00565FD5" w:rsidRPr="007570EF" w:rsidTr="00AB62A3">
        <w:trPr>
          <w:trHeight w:val="292"/>
        </w:trPr>
        <w:tc>
          <w:tcPr>
            <w:tcW w:w="2001" w:type="pct"/>
            <w:tcBorders>
              <w:bottom w:val="single" w:sz="4" w:space="0" w:color="auto"/>
            </w:tcBorders>
            <w:shd w:val="clear" w:color="000000" w:fill="FFFFFF"/>
            <w:noWrap/>
            <w:vAlign w:val="center"/>
          </w:tcPr>
          <w:p w:rsidR="00565FD5" w:rsidRPr="007570EF" w:rsidRDefault="00565FD5" w:rsidP="00AB62A3">
            <w:pPr>
              <w:rPr>
                <w:rFonts w:cs="Tahoma"/>
                <w:b/>
                <w:bCs/>
                <w:sz w:val="16"/>
                <w:szCs w:val="16"/>
              </w:rPr>
            </w:pPr>
            <w:r w:rsidRPr="007570EF">
              <w:rPr>
                <w:rFonts w:cs="Tahoma"/>
                <w:b/>
                <w:bCs/>
                <w:sz w:val="16"/>
                <w:szCs w:val="16"/>
              </w:rPr>
              <w:t> </w:t>
            </w:r>
          </w:p>
        </w:tc>
        <w:tc>
          <w:tcPr>
            <w:tcW w:w="2999" w:type="pct"/>
            <w:gridSpan w:val="4"/>
            <w:tcBorders>
              <w:top w:val="single" w:sz="4" w:space="0" w:color="auto"/>
              <w:bottom w:val="single" w:sz="4" w:space="0" w:color="auto"/>
            </w:tcBorders>
            <w:vAlign w:val="center"/>
          </w:tcPr>
          <w:p w:rsidR="00565FD5" w:rsidRPr="007570EF" w:rsidRDefault="00565FD5" w:rsidP="00AB62A3">
            <w:pPr>
              <w:jc w:val="center"/>
              <w:rPr>
                <w:rFonts w:cs="Tahoma"/>
                <w:b/>
                <w:bCs/>
                <w:sz w:val="16"/>
                <w:szCs w:val="16"/>
              </w:rPr>
            </w:pPr>
            <w:r w:rsidRPr="007570EF">
              <w:rPr>
                <w:rFonts w:cs="Tahoma"/>
                <w:b/>
                <w:bCs/>
                <w:sz w:val="16"/>
                <w:szCs w:val="16"/>
              </w:rPr>
              <w:t>(Cari Fiyatlarla, Milyon TL)</w:t>
            </w:r>
          </w:p>
        </w:tc>
      </w:tr>
      <w:tr w:rsidR="00565FD5" w:rsidRPr="007570EF" w:rsidTr="00AB62A3">
        <w:trPr>
          <w:trHeight w:val="227"/>
        </w:trPr>
        <w:tc>
          <w:tcPr>
            <w:tcW w:w="2001" w:type="pct"/>
            <w:tcBorders>
              <w:top w:val="single" w:sz="4" w:space="0" w:color="auto"/>
            </w:tcBorders>
            <w:shd w:val="clear" w:color="000000" w:fill="FFFFFF"/>
            <w:noWrap/>
            <w:vAlign w:val="center"/>
          </w:tcPr>
          <w:p w:rsidR="00565FD5" w:rsidRPr="007570EF" w:rsidRDefault="00565FD5" w:rsidP="00AB62A3">
            <w:pPr>
              <w:rPr>
                <w:rFonts w:cs="Tahoma"/>
                <w:b/>
                <w:bCs/>
                <w:sz w:val="16"/>
                <w:szCs w:val="16"/>
              </w:rPr>
            </w:pPr>
            <w:r w:rsidRPr="007570EF">
              <w:rPr>
                <w:rFonts w:cs="Tahoma"/>
                <w:b/>
                <w:bCs/>
                <w:sz w:val="16"/>
                <w:szCs w:val="16"/>
              </w:rPr>
              <w:t>A. Gelirler</w:t>
            </w:r>
          </w:p>
        </w:tc>
        <w:tc>
          <w:tcPr>
            <w:tcW w:w="761" w:type="pct"/>
            <w:tcBorders>
              <w:top w:val="single" w:sz="4" w:space="0" w:color="auto"/>
            </w:tcBorders>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91 965</w:t>
            </w:r>
          </w:p>
        </w:tc>
        <w:tc>
          <w:tcPr>
            <w:tcW w:w="744" w:type="pct"/>
            <w:tcBorders>
              <w:top w:val="single" w:sz="4" w:space="0" w:color="auto"/>
            </w:tcBorders>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120 670</w:t>
            </w:r>
          </w:p>
        </w:tc>
        <w:tc>
          <w:tcPr>
            <w:tcW w:w="744" w:type="pct"/>
            <w:tcBorders>
              <w:top w:val="single" w:sz="4" w:space="0" w:color="auto"/>
            </w:tcBorders>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135 695</w:t>
            </w:r>
          </w:p>
        </w:tc>
        <w:tc>
          <w:tcPr>
            <w:tcW w:w="751" w:type="pct"/>
            <w:tcBorders>
              <w:top w:val="single" w:sz="4" w:space="0" w:color="auto"/>
            </w:tcBorders>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151 459</w:t>
            </w:r>
          </w:p>
        </w:tc>
      </w:tr>
      <w:tr w:rsidR="00565FD5" w:rsidRPr="007570EF" w:rsidTr="00AB62A3">
        <w:trPr>
          <w:trHeight w:val="227"/>
        </w:trPr>
        <w:tc>
          <w:tcPr>
            <w:tcW w:w="2001" w:type="pct"/>
            <w:shd w:val="clear" w:color="000000" w:fill="FFFFFF"/>
            <w:noWrap/>
            <w:vAlign w:val="center"/>
          </w:tcPr>
          <w:p w:rsidR="00565FD5" w:rsidRPr="007570EF" w:rsidRDefault="00565FD5" w:rsidP="00AB62A3">
            <w:pPr>
              <w:rPr>
                <w:rFonts w:cs="Tahoma"/>
                <w:sz w:val="16"/>
                <w:szCs w:val="16"/>
              </w:rPr>
            </w:pPr>
            <w:r w:rsidRPr="007570EF">
              <w:rPr>
                <w:rFonts w:cs="Tahoma"/>
                <w:sz w:val="16"/>
                <w:szCs w:val="16"/>
              </w:rPr>
              <w:t xml:space="preserve">- Prim Tahsilatları </w:t>
            </w:r>
          </w:p>
        </w:tc>
        <w:tc>
          <w:tcPr>
            <w:tcW w:w="761"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68 167</w:t>
            </w:r>
          </w:p>
        </w:tc>
        <w:tc>
          <w:tcPr>
            <w:tcW w:w="744"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90 901</w:t>
            </w:r>
          </w:p>
        </w:tc>
        <w:tc>
          <w:tcPr>
            <w:tcW w:w="744"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103 385</w:t>
            </w:r>
          </w:p>
        </w:tc>
        <w:tc>
          <w:tcPr>
            <w:tcW w:w="751"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116 656</w:t>
            </w:r>
          </w:p>
        </w:tc>
      </w:tr>
      <w:tr w:rsidR="00565FD5" w:rsidRPr="007570EF" w:rsidTr="00AB62A3">
        <w:trPr>
          <w:trHeight w:val="227"/>
        </w:trPr>
        <w:tc>
          <w:tcPr>
            <w:tcW w:w="2001" w:type="pct"/>
            <w:shd w:val="clear" w:color="000000" w:fill="FFFFFF"/>
            <w:noWrap/>
            <w:vAlign w:val="center"/>
          </w:tcPr>
          <w:p w:rsidR="00565FD5" w:rsidRPr="007570EF" w:rsidRDefault="00565FD5" w:rsidP="00AB62A3">
            <w:pPr>
              <w:rPr>
                <w:rFonts w:cs="Tahoma"/>
                <w:b/>
                <w:bCs/>
                <w:sz w:val="16"/>
                <w:szCs w:val="16"/>
              </w:rPr>
            </w:pPr>
            <w:r w:rsidRPr="007570EF">
              <w:rPr>
                <w:rFonts w:cs="Tahoma"/>
                <w:b/>
                <w:bCs/>
                <w:sz w:val="16"/>
                <w:szCs w:val="16"/>
              </w:rPr>
              <w:t>B. Giderler</w:t>
            </w:r>
          </w:p>
        </w:tc>
        <w:tc>
          <w:tcPr>
            <w:tcW w:w="761"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118 689</w:t>
            </w:r>
          </w:p>
        </w:tc>
        <w:tc>
          <w:tcPr>
            <w:tcW w:w="744"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136 905</w:t>
            </w:r>
          </w:p>
        </w:tc>
        <w:tc>
          <w:tcPr>
            <w:tcW w:w="744"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156 196</w:t>
            </w:r>
          </w:p>
        </w:tc>
        <w:tc>
          <w:tcPr>
            <w:tcW w:w="751"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176 349</w:t>
            </w:r>
          </w:p>
        </w:tc>
      </w:tr>
      <w:tr w:rsidR="00565FD5" w:rsidRPr="007570EF" w:rsidTr="00AB62A3">
        <w:trPr>
          <w:trHeight w:val="227"/>
        </w:trPr>
        <w:tc>
          <w:tcPr>
            <w:tcW w:w="2001" w:type="pct"/>
            <w:shd w:val="clear" w:color="000000" w:fill="FFFFFF"/>
            <w:noWrap/>
            <w:vAlign w:val="center"/>
          </w:tcPr>
          <w:p w:rsidR="00565FD5" w:rsidRPr="007570EF" w:rsidRDefault="00565FD5" w:rsidP="00AB62A3">
            <w:pPr>
              <w:rPr>
                <w:rFonts w:cs="Tahoma"/>
                <w:sz w:val="16"/>
                <w:szCs w:val="16"/>
              </w:rPr>
            </w:pPr>
            <w:r w:rsidRPr="007570EF">
              <w:rPr>
                <w:rFonts w:cs="Tahoma"/>
                <w:sz w:val="16"/>
                <w:szCs w:val="16"/>
              </w:rPr>
              <w:t>- Sigorta Ödemeleri</w:t>
            </w:r>
          </w:p>
        </w:tc>
        <w:tc>
          <w:tcPr>
            <w:tcW w:w="761"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79 646</w:t>
            </w:r>
          </w:p>
        </w:tc>
        <w:tc>
          <w:tcPr>
            <w:tcW w:w="744"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92 529</w:t>
            </w:r>
          </w:p>
        </w:tc>
        <w:tc>
          <w:tcPr>
            <w:tcW w:w="744"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106 576</w:t>
            </w:r>
          </w:p>
        </w:tc>
        <w:tc>
          <w:tcPr>
            <w:tcW w:w="751"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121 981</w:t>
            </w:r>
          </w:p>
        </w:tc>
      </w:tr>
      <w:tr w:rsidR="00565FD5" w:rsidRPr="007570EF" w:rsidTr="00AB62A3">
        <w:trPr>
          <w:trHeight w:val="227"/>
        </w:trPr>
        <w:tc>
          <w:tcPr>
            <w:tcW w:w="2001" w:type="pct"/>
            <w:shd w:val="clear" w:color="000000" w:fill="FFFFFF"/>
            <w:noWrap/>
            <w:vAlign w:val="center"/>
          </w:tcPr>
          <w:p w:rsidR="00565FD5" w:rsidRPr="007570EF" w:rsidRDefault="00565FD5" w:rsidP="00AB62A3">
            <w:pPr>
              <w:rPr>
                <w:rFonts w:cs="Tahoma"/>
                <w:sz w:val="16"/>
                <w:szCs w:val="16"/>
              </w:rPr>
            </w:pPr>
            <w:r w:rsidRPr="007570EF">
              <w:rPr>
                <w:rFonts w:cs="Tahoma"/>
                <w:sz w:val="16"/>
                <w:szCs w:val="16"/>
              </w:rPr>
              <w:t xml:space="preserve">- Sağlık Giderleri </w:t>
            </w:r>
          </w:p>
        </w:tc>
        <w:tc>
          <w:tcPr>
            <w:tcW w:w="761"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32 556</w:t>
            </w:r>
          </w:p>
        </w:tc>
        <w:tc>
          <w:tcPr>
            <w:tcW w:w="744"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36 542</w:t>
            </w:r>
          </w:p>
        </w:tc>
        <w:tc>
          <w:tcPr>
            <w:tcW w:w="744"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44 428</w:t>
            </w:r>
          </w:p>
        </w:tc>
        <w:tc>
          <w:tcPr>
            <w:tcW w:w="751"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48 622</w:t>
            </w:r>
          </w:p>
        </w:tc>
      </w:tr>
      <w:tr w:rsidR="00565FD5" w:rsidRPr="007570EF" w:rsidTr="00AB62A3">
        <w:trPr>
          <w:trHeight w:val="227"/>
        </w:trPr>
        <w:tc>
          <w:tcPr>
            <w:tcW w:w="2001" w:type="pct"/>
            <w:shd w:val="clear" w:color="000000" w:fill="FFFFFF"/>
            <w:noWrap/>
            <w:vAlign w:val="center"/>
          </w:tcPr>
          <w:p w:rsidR="00565FD5" w:rsidRPr="007570EF" w:rsidRDefault="00565FD5" w:rsidP="00AB62A3">
            <w:pPr>
              <w:rPr>
                <w:rFonts w:cs="Tahoma"/>
                <w:sz w:val="16"/>
                <w:szCs w:val="16"/>
              </w:rPr>
            </w:pPr>
            <w:r w:rsidRPr="007570EF">
              <w:rPr>
                <w:rFonts w:cs="Tahoma"/>
                <w:sz w:val="16"/>
                <w:szCs w:val="16"/>
              </w:rPr>
              <w:t>- Yatırım Harcamaları (3)</w:t>
            </w:r>
          </w:p>
        </w:tc>
        <w:tc>
          <w:tcPr>
            <w:tcW w:w="761"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76</w:t>
            </w:r>
          </w:p>
        </w:tc>
        <w:tc>
          <w:tcPr>
            <w:tcW w:w="744"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72</w:t>
            </w:r>
          </w:p>
        </w:tc>
        <w:tc>
          <w:tcPr>
            <w:tcW w:w="744"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120</w:t>
            </w:r>
          </w:p>
        </w:tc>
        <w:tc>
          <w:tcPr>
            <w:tcW w:w="751"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319</w:t>
            </w:r>
          </w:p>
        </w:tc>
      </w:tr>
      <w:tr w:rsidR="00565FD5" w:rsidRPr="007570EF" w:rsidTr="00AB62A3">
        <w:trPr>
          <w:trHeight w:val="227"/>
        </w:trPr>
        <w:tc>
          <w:tcPr>
            <w:tcW w:w="2001" w:type="pct"/>
            <w:shd w:val="clear" w:color="000000" w:fill="FFFFFF"/>
            <w:noWrap/>
            <w:vAlign w:val="center"/>
          </w:tcPr>
          <w:p w:rsidR="00565FD5" w:rsidRPr="007570EF" w:rsidRDefault="00565FD5" w:rsidP="00AB62A3">
            <w:pPr>
              <w:rPr>
                <w:rFonts w:cs="Tahoma"/>
                <w:b/>
                <w:bCs/>
                <w:sz w:val="16"/>
                <w:szCs w:val="16"/>
              </w:rPr>
            </w:pPr>
            <w:r w:rsidRPr="007570EF">
              <w:rPr>
                <w:rFonts w:cs="Tahoma"/>
                <w:b/>
                <w:bCs/>
                <w:sz w:val="16"/>
                <w:szCs w:val="16"/>
              </w:rPr>
              <w:t>C. Gelir-Gider Farkı</w:t>
            </w:r>
          </w:p>
        </w:tc>
        <w:tc>
          <w:tcPr>
            <w:tcW w:w="761"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-26 724</w:t>
            </w:r>
          </w:p>
        </w:tc>
        <w:tc>
          <w:tcPr>
            <w:tcW w:w="744"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-16 235</w:t>
            </w:r>
          </w:p>
        </w:tc>
        <w:tc>
          <w:tcPr>
            <w:tcW w:w="744"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-20 501</w:t>
            </w:r>
          </w:p>
        </w:tc>
        <w:tc>
          <w:tcPr>
            <w:tcW w:w="751"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-24 891</w:t>
            </w:r>
          </w:p>
        </w:tc>
      </w:tr>
      <w:tr w:rsidR="00565FD5" w:rsidRPr="007570EF" w:rsidTr="00AB62A3">
        <w:trPr>
          <w:trHeight w:val="227"/>
        </w:trPr>
        <w:tc>
          <w:tcPr>
            <w:tcW w:w="2001" w:type="pct"/>
            <w:shd w:val="clear" w:color="000000" w:fill="FFFFFF"/>
            <w:noWrap/>
            <w:vAlign w:val="center"/>
          </w:tcPr>
          <w:p w:rsidR="00565FD5" w:rsidRPr="007570EF" w:rsidRDefault="00565FD5" w:rsidP="00AB62A3">
            <w:pPr>
              <w:rPr>
                <w:rFonts w:cs="Tahoma"/>
                <w:b/>
                <w:bCs/>
                <w:sz w:val="16"/>
                <w:szCs w:val="16"/>
              </w:rPr>
            </w:pPr>
            <w:r w:rsidRPr="007570EF">
              <w:rPr>
                <w:rFonts w:cs="Tahoma"/>
                <w:b/>
                <w:bCs/>
                <w:sz w:val="16"/>
                <w:szCs w:val="16"/>
              </w:rPr>
              <w:t>D. Bütçe Transferleri</w:t>
            </w:r>
          </w:p>
        </w:tc>
        <w:tc>
          <w:tcPr>
            <w:tcW w:w="761"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27 069</w:t>
            </w:r>
          </w:p>
        </w:tc>
        <w:tc>
          <w:tcPr>
            <w:tcW w:w="744"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16 555</w:t>
            </w:r>
          </w:p>
        </w:tc>
        <w:tc>
          <w:tcPr>
            <w:tcW w:w="744"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20 501</w:t>
            </w:r>
          </w:p>
        </w:tc>
        <w:tc>
          <w:tcPr>
            <w:tcW w:w="751"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24 891</w:t>
            </w:r>
          </w:p>
        </w:tc>
      </w:tr>
      <w:tr w:rsidR="00565FD5" w:rsidRPr="007570EF" w:rsidTr="00AB62A3">
        <w:trPr>
          <w:trHeight w:val="227"/>
        </w:trPr>
        <w:tc>
          <w:tcPr>
            <w:tcW w:w="2001" w:type="pct"/>
            <w:shd w:val="clear" w:color="000000" w:fill="FFFFFF"/>
            <w:noWrap/>
            <w:vAlign w:val="center"/>
          </w:tcPr>
          <w:p w:rsidR="00565FD5" w:rsidRPr="007570EF" w:rsidRDefault="00565FD5" w:rsidP="00AB62A3">
            <w:pPr>
              <w:rPr>
                <w:rFonts w:cs="Tahoma"/>
                <w:sz w:val="16"/>
                <w:szCs w:val="16"/>
              </w:rPr>
            </w:pPr>
            <w:r w:rsidRPr="007570EF">
              <w:rPr>
                <w:rFonts w:cs="Tahoma"/>
                <w:sz w:val="16"/>
                <w:szCs w:val="16"/>
              </w:rPr>
              <w:t>- Bütçe Transferleri (4)</w:t>
            </w:r>
          </w:p>
        </w:tc>
        <w:tc>
          <w:tcPr>
            <w:tcW w:w="761"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55 039</w:t>
            </w:r>
          </w:p>
        </w:tc>
        <w:tc>
          <w:tcPr>
            <w:tcW w:w="744"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52 833</w:t>
            </w:r>
          </w:p>
        </w:tc>
        <w:tc>
          <w:tcPr>
            <w:tcW w:w="744"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62 906</w:t>
            </w:r>
          </w:p>
        </w:tc>
        <w:tc>
          <w:tcPr>
            <w:tcW w:w="751"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72 881</w:t>
            </w:r>
          </w:p>
        </w:tc>
      </w:tr>
      <w:tr w:rsidR="00565FD5" w:rsidRPr="007570EF" w:rsidTr="00AB62A3">
        <w:trPr>
          <w:trHeight w:val="227"/>
        </w:trPr>
        <w:tc>
          <w:tcPr>
            <w:tcW w:w="2001" w:type="pct"/>
            <w:shd w:val="clear" w:color="000000" w:fill="FFFFFF"/>
            <w:noWrap/>
            <w:vAlign w:val="center"/>
          </w:tcPr>
          <w:p w:rsidR="00565FD5" w:rsidRPr="007570EF" w:rsidRDefault="00565FD5" w:rsidP="00AB62A3">
            <w:pPr>
              <w:rPr>
                <w:rFonts w:cs="Tahoma"/>
                <w:b/>
                <w:bCs/>
                <w:sz w:val="16"/>
                <w:szCs w:val="16"/>
              </w:rPr>
            </w:pPr>
            <w:r w:rsidRPr="007570EF">
              <w:rPr>
                <w:rFonts w:cs="Tahoma"/>
                <w:b/>
                <w:bCs/>
                <w:sz w:val="16"/>
                <w:szCs w:val="16"/>
              </w:rPr>
              <w:t>E. Finansman Açığı</w:t>
            </w:r>
          </w:p>
        </w:tc>
        <w:tc>
          <w:tcPr>
            <w:tcW w:w="761" w:type="pct"/>
            <w:tcBorders>
              <w:bottom w:val="single" w:sz="4" w:space="0" w:color="auto"/>
            </w:tcBorders>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- 346</w:t>
            </w:r>
          </w:p>
        </w:tc>
        <w:tc>
          <w:tcPr>
            <w:tcW w:w="744" w:type="pct"/>
            <w:tcBorders>
              <w:bottom w:val="single" w:sz="4" w:space="0" w:color="auto"/>
            </w:tcBorders>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- 320</w:t>
            </w:r>
          </w:p>
        </w:tc>
        <w:tc>
          <w:tcPr>
            <w:tcW w:w="744" w:type="pct"/>
            <w:tcBorders>
              <w:bottom w:val="single" w:sz="4" w:space="0" w:color="auto"/>
            </w:tcBorders>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 xml:space="preserve"> 0</w:t>
            </w:r>
          </w:p>
        </w:tc>
        <w:tc>
          <w:tcPr>
            <w:tcW w:w="751" w:type="pct"/>
            <w:tcBorders>
              <w:bottom w:val="single" w:sz="4" w:space="0" w:color="auto"/>
            </w:tcBorders>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 xml:space="preserve"> 0</w:t>
            </w:r>
          </w:p>
        </w:tc>
      </w:tr>
      <w:tr w:rsidR="00565FD5" w:rsidRPr="007570EF" w:rsidTr="00AB62A3">
        <w:trPr>
          <w:trHeight w:val="227"/>
        </w:trPr>
        <w:tc>
          <w:tcPr>
            <w:tcW w:w="2001" w:type="pct"/>
            <w:shd w:val="clear" w:color="000000" w:fill="FFFFFF"/>
            <w:noWrap/>
            <w:vAlign w:val="center"/>
          </w:tcPr>
          <w:p w:rsidR="00565FD5" w:rsidRPr="007570EF" w:rsidRDefault="00565FD5" w:rsidP="00AB62A3">
            <w:pPr>
              <w:rPr>
                <w:rFonts w:cs="Tahoma"/>
                <w:b/>
                <w:bCs/>
                <w:sz w:val="16"/>
                <w:szCs w:val="16"/>
              </w:rPr>
            </w:pPr>
            <w:r w:rsidRPr="007570EF">
              <w:rPr>
                <w:rFonts w:cs="Tahoma"/>
                <w:b/>
                <w:bCs/>
                <w:sz w:val="16"/>
                <w:szCs w:val="16"/>
              </w:rPr>
              <w:t> </w:t>
            </w:r>
          </w:p>
        </w:tc>
        <w:tc>
          <w:tcPr>
            <w:tcW w:w="2999" w:type="pct"/>
            <w:gridSpan w:val="4"/>
            <w:tcBorders>
              <w:top w:val="single" w:sz="4" w:space="0" w:color="auto"/>
              <w:bottom w:val="single" w:sz="4" w:space="0" w:color="auto"/>
            </w:tcBorders>
            <w:vAlign w:val="center"/>
          </w:tcPr>
          <w:p w:rsidR="00565FD5" w:rsidRPr="007570EF" w:rsidRDefault="00565FD5" w:rsidP="00AB62A3">
            <w:pPr>
              <w:jc w:val="center"/>
              <w:rPr>
                <w:rFonts w:cs="Tahoma"/>
                <w:b/>
                <w:bCs/>
                <w:sz w:val="16"/>
                <w:szCs w:val="16"/>
              </w:rPr>
            </w:pPr>
            <w:r w:rsidRPr="007570EF">
              <w:rPr>
                <w:rFonts w:cs="Tahoma"/>
                <w:b/>
                <w:bCs/>
                <w:sz w:val="16"/>
                <w:szCs w:val="16"/>
              </w:rPr>
              <w:t>(GSYH'ya Oran, Yüzde)</w:t>
            </w:r>
          </w:p>
        </w:tc>
      </w:tr>
      <w:tr w:rsidR="00565FD5" w:rsidRPr="007570EF" w:rsidTr="00AB62A3">
        <w:trPr>
          <w:trHeight w:val="227"/>
        </w:trPr>
        <w:tc>
          <w:tcPr>
            <w:tcW w:w="2001" w:type="pct"/>
            <w:shd w:val="clear" w:color="000000" w:fill="FFFFFF"/>
            <w:noWrap/>
            <w:vAlign w:val="center"/>
          </w:tcPr>
          <w:p w:rsidR="00565FD5" w:rsidRPr="007570EF" w:rsidRDefault="00565FD5" w:rsidP="00AB62A3">
            <w:pPr>
              <w:rPr>
                <w:rFonts w:cs="Tahoma"/>
                <w:b/>
                <w:bCs/>
                <w:sz w:val="16"/>
                <w:szCs w:val="16"/>
              </w:rPr>
            </w:pPr>
            <w:r w:rsidRPr="007570EF">
              <w:rPr>
                <w:rFonts w:cs="Tahoma"/>
                <w:b/>
                <w:bCs/>
                <w:sz w:val="16"/>
                <w:szCs w:val="16"/>
              </w:rPr>
              <w:t>A. Gelirler</w:t>
            </w:r>
          </w:p>
        </w:tc>
        <w:tc>
          <w:tcPr>
            <w:tcW w:w="761" w:type="pct"/>
            <w:tcBorders>
              <w:top w:val="single" w:sz="4" w:space="0" w:color="auto"/>
            </w:tcBorders>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8,37</w:t>
            </w:r>
          </w:p>
        </w:tc>
        <w:tc>
          <w:tcPr>
            <w:tcW w:w="744" w:type="pct"/>
            <w:tcBorders>
              <w:top w:val="single" w:sz="4" w:space="0" w:color="auto"/>
            </w:tcBorders>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9,30</w:t>
            </w:r>
          </w:p>
        </w:tc>
        <w:tc>
          <w:tcPr>
            <w:tcW w:w="744" w:type="pct"/>
            <w:tcBorders>
              <w:top w:val="single" w:sz="4" w:space="0" w:color="auto"/>
            </w:tcBorders>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9,46</w:t>
            </w:r>
          </w:p>
        </w:tc>
        <w:tc>
          <w:tcPr>
            <w:tcW w:w="751" w:type="pct"/>
            <w:tcBorders>
              <w:top w:val="single" w:sz="4" w:space="0" w:color="auto"/>
            </w:tcBorders>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9,64</w:t>
            </w:r>
          </w:p>
        </w:tc>
      </w:tr>
      <w:tr w:rsidR="00565FD5" w:rsidRPr="007570EF" w:rsidTr="00AB62A3">
        <w:trPr>
          <w:trHeight w:val="227"/>
        </w:trPr>
        <w:tc>
          <w:tcPr>
            <w:tcW w:w="2001" w:type="pct"/>
            <w:shd w:val="clear" w:color="000000" w:fill="FFFFFF"/>
            <w:noWrap/>
            <w:vAlign w:val="center"/>
          </w:tcPr>
          <w:p w:rsidR="00565FD5" w:rsidRPr="007570EF" w:rsidRDefault="00565FD5" w:rsidP="00AB62A3">
            <w:pPr>
              <w:rPr>
                <w:rFonts w:cs="Tahoma"/>
                <w:sz w:val="16"/>
                <w:szCs w:val="16"/>
              </w:rPr>
            </w:pPr>
            <w:r w:rsidRPr="007570EF">
              <w:rPr>
                <w:rFonts w:cs="Tahoma"/>
                <w:sz w:val="16"/>
                <w:szCs w:val="16"/>
              </w:rPr>
              <w:t xml:space="preserve">- Prim Tahsilatları </w:t>
            </w:r>
          </w:p>
        </w:tc>
        <w:tc>
          <w:tcPr>
            <w:tcW w:w="761"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6,20</w:t>
            </w:r>
          </w:p>
        </w:tc>
        <w:tc>
          <w:tcPr>
            <w:tcW w:w="744"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7,00</w:t>
            </w:r>
          </w:p>
        </w:tc>
        <w:tc>
          <w:tcPr>
            <w:tcW w:w="744"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7,21</w:t>
            </w:r>
          </w:p>
        </w:tc>
        <w:tc>
          <w:tcPr>
            <w:tcW w:w="751"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7,42</w:t>
            </w:r>
          </w:p>
        </w:tc>
      </w:tr>
      <w:tr w:rsidR="00565FD5" w:rsidRPr="007570EF" w:rsidTr="00AB62A3">
        <w:trPr>
          <w:trHeight w:val="227"/>
        </w:trPr>
        <w:tc>
          <w:tcPr>
            <w:tcW w:w="2001" w:type="pct"/>
            <w:shd w:val="clear" w:color="000000" w:fill="FFFFFF"/>
            <w:noWrap/>
            <w:vAlign w:val="center"/>
          </w:tcPr>
          <w:p w:rsidR="00565FD5" w:rsidRPr="007570EF" w:rsidRDefault="00565FD5" w:rsidP="00AB62A3">
            <w:pPr>
              <w:rPr>
                <w:rFonts w:cs="Tahoma"/>
                <w:b/>
                <w:bCs/>
                <w:sz w:val="16"/>
                <w:szCs w:val="16"/>
              </w:rPr>
            </w:pPr>
            <w:r w:rsidRPr="007570EF">
              <w:rPr>
                <w:rFonts w:cs="Tahoma"/>
                <w:b/>
                <w:bCs/>
                <w:sz w:val="16"/>
                <w:szCs w:val="16"/>
              </w:rPr>
              <w:t>B. Giderler</w:t>
            </w:r>
          </w:p>
        </w:tc>
        <w:tc>
          <w:tcPr>
            <w:tcW w:w="761"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10,80</w:t>
            </w:r>
          </w:p>
        </w:tc>
        <w:tc>
          <w:tcPr>
            <w:tcW w:w="744"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10,55</w:t>
            </w:r>
          </w:p>
        </w:tc>
        <w:tc>
          <w:tcPr>
            <w:tcW w:w="744"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10,89</w:t>
            </w:r>
          </w:p>
        </w:tc>
        <w:tc>
          <w:tcPr>
            <w:tcW w:w="751"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11,22</w:t>
            </w:r>
          </w:p>
        </w:tc>
      </w:tr>
      <w:tr w:rsidR="00565FD5" w:rsidRPr="007570EF" w:rsidTr="00AB62A3">
        <w:trPr>
          <w:trHeight w:val="227"/>
        </w:trPr>
        <w:tc>
          <w:tcPr>
            <w:tcW w:w="2001" w:type="pct"/>
            <w:shd w:val="clear" w:color="000000" w:fill="FFFFFF"/>
            <w:noWrap/>
            <w:vAlign w:val="center"/>
          </w:tcPr>
          <w:p w:rsidR="00565FD5" w:rsidRPr="007570EF" w:rsidRDefault="00565FD5" w:rsidP="00AB62A3">
            <w:pPr>
              <w:rPr>
                <w:rFonts w:cs="Tahoma"/>
                <w:sz w:val="16"/>
                <w:szCs w:val="16"/>
              </w:rPr>
            </w:pPr>
            <w:r w:rsidRPr="007570EF">
              <w:rPr>
                <w:rFonts w:cs="Tahoma"/>
                <w:sz w:val="16"/>
                <w:szCs w:val="16"/>
              </w:rPr>
              <w:t>- Sigorta Ödemeleri</w:t>
            </w:r>
          </w:p>
        </w:tc>
        <w:tc>
          <w:tcPr>
            <w:tcW w:w="761"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7,25</w:t>
            </w:r>
          </w:p>
        </w:tc>
        <w:tc>
          <w:tcPr>
            <w:tcW w:w="744"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7,13</w:t>
            </w:r>
          </w:p>
        </w:tc>
        <w:tc>
          <w:tcPr>
            <w:tcW w:w="744"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7,43</w:t>
            </w:r>
          </w:p>
        </w:tc>
        <w:tc>
          <w:tcPr>
            <w:tcW w:w="751"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7,76</w:t>
            </w:r>
          </w:p>
        </w:tc>
      </w:tr>
      <w:tr w:rsidR="00565FD5" w:rsidRPr="007570EF" w:rsidTr="00AB62A3">
        <w:trPr>
          <w:trHeight w:val="227"/>
        </w:trPr>
        <w:tc>
          <w:tcPr>
            <w:tcW w:w="2001" w:type="pct"/>
            <w:shd w:val="clear" w:color="000000" w:fill="FFFFFF"/>
            <w:noWrap/>
            <w:vAlign w:val="center"/>
          </w:tcPr>
          <w:p w:rsidR="00565FD5" w:rsidRPr="007570EF" w:rsidRDefault="00565FD5" w:rsidP="00AB62A3">
            <w:pPr>
              <w:rPr>
                <w:rFonts w:cs="Tahoma"/>
                <w:sz w:val="16"/>
                <w:szCs w:val="16"/>
              </w:rPr>
            </w:pPr>
            <w:r w:rsidRPr="007570EF">
              <w:rPr>
                <w:rFonts w:cs="Tahoma"/>
                <w:sz w:val="16"/>
                <w:szCs w:val="16"/>
              </w:rPr>
              <w:t xml:space="preserve">- Sağlık Giderleri </w:t>
            </w:r>
          </w:p>
        </w:tc>
        <w:tc>
          <w:tcPr>
            <w:tcW w:w="761"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2,96</w:t>
            </w:r>
          </w:p>
        </w:tc>
        <w:tc>
          <w:tcPr>
            <w:tcW w:w="744"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2,82</w:t>
            </w:r>
          </w:p>
        </w:tc>
        <w:tc>
          <w:tcPr>
            <w:tcW w:w="744"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3,10</w:t>
            </w:r>
          </w:p>
        </w:tc>
        <w:tc>
          <w:tcPr>
            <w:tcW w:w="751"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3,09</w:t>
            </w:r>
          </w:p>
        </w:tc>
      </w:tr>
      <w:tr w:rsidR="00565FD5" w:rsidRPr="007570EF" w:rsidTr="00AB62A3">
        <w:trPr>
          <w:trHeight w:val="227"/>
        </w:trPr>
        <w:tc>
          <w:tcPr>
            <w:tcW w:w="2001" w:type="pct"/>
            <w:shd w:val="clear" w:color="000000" w:fill="FFFFFF"/>
            <w:noWrap/>
            <w:vAlign w:val="center"/>
          </w:tcPr>
          <w:p w:rsidR="00565FD5" w:rsidRPr="007570EF" w:rsidRDefault="00565FD5" w:rsidP="00AB62A3">
            <w:pPr>
              <w:rPr>
                <w:rFonts w:cs="Tahoma"/>
                <w:sz w:val="16"/>
                <w:szCs w:val="16"/>
              </w:rPr>
            </w:pPr>
            <w:r w:rsidRPr="007570EF">
              <w:rPr>
                <w:rFonts w:cs="Tahoma"/>
                <w:sz w:val="16"/>
                <w:szCs w:val="16"/>
              </w:rPr>
              <w:t>- Yatırım Harcamaları (3)</w:t>
            </w:r>
          </w:p>
        </w:tc>
        <w:tc>
          <w:tcPr>
            <w:tcW w:w="761"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0,01</w:t>
            </w:r>
          </w:p>
        </w:tc>
        <w:tc>
          <w:tcPr>
            <w:tcW w:w="744"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0,01</w:t>
            </w:r>
          </w:p>
        </w:tc>
        <w:tc>
          <w:tcPr>
            <w:tcW w:w="744"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0,01</w:t>
            </w:r>
          </w:p>
        </w:tc>
        <w:tc>
          <w:tcPr>
            <w:tcW w:w="751"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0,02</w:t>
            </w:r>
          </w:p>
        </w:tc>
      </w:tr>
      <w:tr w:rsidR="00565FD5" w:rsidRPr="007570EF" w:rsidTr="00AB62A3">
        <w:trPr>
          <w:trHeight w:val="227"/>
        </w:trPr>
        <w:tc>
          <w:tcPr>
            <w:tcW w:w="2001" w:type="pct"/>
            <w:shd w:val="clear" w:color="000000" w:fill="FFFFFF"/>
            <w:noWrap/>
            <w:vAlign w:val="center"/>
          </w:tcPr>
          <w:p w:rsidR="00565FD5" w:rsidRPr="007570EF" w:rsidRDefault="00565FD5" w:rsidP="00AB62A3">
            <w:pPr>
              <w:rPr>
                <w:rFonts w:cs="Tahoma"/>
                <w:b/>
                <w:bCs/>
                <w:sz w:val="16"/>
                <w:szCs w:val="16"/>
              </w:rPr>
            </w:pPr>
            <w:r w:rsidRPr="007570EF">
              <w:rPr>
                <w:rFonts w:cs="Tahoma"/>
                <w:b/>
                <w:bCs/>
                <w:sz w:val="16"/>
                <w:szCs w:val="16"/>
              </w:rPr>
              <w:lastRenderedPageBreak/>
              <w:t>C. Gelir-Gider Farkı</w:t>
            </w:r>
          </w:p>
        </w:tc>
        <w:tc>
          <w:tcPr>
            <w:tcW w:w="761"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-2,43</w:t>
            </w:r>
          </w:p>
        </w:tc>
        <w:tc>
          <w:tcPr>
            <w:tcW w:w="744"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-1,25</w:t>
            </w:r>
          </w:p>
        </w:tc>
        <w:tc>
          <w:tcPr>
            <w:tcW w:w="744"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-1,43</w:t>
            </w:r>
          </w:p>
        </w:tc>
        <w:tc>
          <w:tcPr>
            <w:tcW w:w="751"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-1,58</w:t>
            </w:r>
          </w:p>
        </w:tc>
      </w:tr>
      <w:tr w:rsidR="00565FD5" w:rsidRPr="007570EF" w:rsidTr="00AB62A3">
        <w:trPr>
          <w:trHeight w:val="227"/>
        </w:trPr>
        <w:tc>
          <w:tcPr>
            <w:tcW w:w="2001" w:type="pct"/>
            <w:shd w:val="clear" w:color="000000" w:fill="FFFFFF"/>
            <w:noWrap/>
            <w:vAlign w:val="center"/>
          </w:tcPr>
          <w:p w:rsidR="00565FD5" w:rsidRPr="007570EF" w:rsidRDefault="00565FD5" w:rsidP="00AB62A3">
            <w:pPr>
              <w:rPr>
                <w:rFonts w:cs="Tahoma"/>
                <w:b/>
                <w:bCs/>
                <w:sz w:val="16"/>
                <w:szCs w:val="16"/>
              </w:rPr>
            </w:pPr>
            <w:r w:rsidRPr="007570EF">
              <w:rPr>
                <w:rFonts w:cs="Tahoma"/>
                <w:b/>
                <w:bCs/>
                <w:sz w:val="16"/>
                <w:szCs w:val="16"/>
              </w:rPr>
              <w:t>D. Bütçe Transferleri</w:t>
            </w:r>
          </w:p>
        </w:tc>
        <w:tc>
          <w:tcPr>
            <w:tcW w:w="761"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2,46</w:t>
            </w:r>
          </w:p>
        </w:tc>
        <w:tc>
          <w:tcPr>
            <w:tcW w:w="744"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1,28</w:t>
            </w:r>
          </w:p>
        </w:tc>
        <w:tc>
          <w:tcPr>
            <w:tcW w:w="744"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1,43</w:t>
            </w:r>
          </w:p>
        </w:tc>
        <w:tc>
          <w:tcPr>
            <w:tcW w:w="751" w:type="pct"/>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1,58</w:t>
            </w:r>
          </w:p>
        </w:tc>
      </w:tr>
      <w:tr w:rsidR="00565FD5" w:rsidRPr="007570EF" w:rsidTr="00AB62A3">
        <w:trPr>
          <w:trHeight w:val="227"/>
        </w:trPr>
        <w:tc>
          <w:tcPr>
            <w:tcW w:w="2001" w:type="pct"/>
            <w:shd w:val="clear" w:color="000000" w:fill="FFFFFF"/>
            <w:noWrap/>
            <w:vAlign w:val="center"/>
          </w:tcPr>
          <w:p w:rsidR="00565FD5" w:rsidRPr="007570EF" w:rsidRDefault="00565FD5" w:rsidP="00AB62A3">
            <w:pPr>
              <w:rPr>
                <w:rFonts w:cs="Tahoma"/>
                <w:sz w:val="16"/>
                <w:szCs w:val="16"/>
              </w:rPr>
            </w:pPr>
            <w:r w:rsidRPr="007570EF">
              <w:rPr>
                <w:rFonts w:cs="Tahoma"/>
                <w:sz w:val="16"/>
                <w:szCs w:val="16"/>
              </w:rPr>
              <w:t>- Bütçe Transferleri (4)</w:t>
            </w:r>
          </w:p>
        </w:tc>
        <w:tc>
          <w:tcPr>
            <w:tcW w:w="761"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5,01</w:t>
            </w:r>
          </w:p>
        </w:tc>
        <w:tc>
          <w:tcPr>
            <w:tcW w:w="744"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4,07</w:t>
            </w:r>
          </w:p>
        </w:tc>
        <w:tc>
          <w:tcPr>
            <w:tcW w:w="744"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4,38</w:t>
            </w:r>
          </w:p>
        </w:tc>
        <w:tc>
          <w:tcPr>
            <w:tcW w:w="751" w:type="pct"/>
            <w:shd w:val="clear" w:color="000000" w:fill="FFFFFF"/>
            <w:noWrap/>
            <w:vAlign w:val="center"/>
          </w:tcPr>
          <w:p w:rsidR="00565FD5" w:rsidRPr="007570EF" w:rsidRDefault="00565FD5" w:rsidP="00AB62A3">
            <w:pPr>
              <w:jc w:val="right"/>
              <w:rPr>
                <w:rFonts w:cs="Tahoma"/>
                <w:sz w:val="16"/>
                <w:szCs w:val="16"/>
              </w:rPr>
            </w:pPr>
            <w:r w:rsidRPr="007570EF">
              <w:rPr>
                <w:rFonts w:cs="Tahoma"/>
                <w:sz w:val="16"/>
                <w:szCs w:val="16"/>
              </w:rPr>
              <w:t>4,64</w:t>
            </w:r>
          </w:p>
        </w:tc>
      </w:tr>
      <w:tr w:rsidR="00565FD5" w:rsidRPr="007570EF" w:rsidTr="00AB62A3">
        <w:trPr>
          <w:trHeight w:val="227"/>
        </w:trPr>
        <w:tc>
          <w:tcPr>
            <w:tcW w:w="2001" w:type="pct"/>
            <w:tcBorders>
              <w:bottom w:val="single" w:sz="4" w:space="0" w:color="auto"/>
            </w:tcBorders>
            <w:shd w:val="clear" w:color="000000" w:fill="FFFFFF"/>
            <w:noWrap/>
            <w:vAlign w:val="center"/>
          </w:tcPr>
          <w:p w:rsidR="00565FD5" w:rsidRPr="007570EF" w:rsidRDefault="00565FD5" w:rsidP="00AB62A3">
            <w:pPr>
              <w:rPr>
                <w:rFonts w:cs="Tahoma"/>
                <w:b/>
                <w:bCs/>
                <w:sz w:val="16"/>
                <w:szCs w:val="16"/>
              </w:rPr>
            </w:pPr>
            <w:r w:rsidRPr="007570EF">
              <w:rPr>
                <w:rFonts w:cs="Tahoma"/>
                <w:b/>
                <w:bCs/>
                <w:sz w:val="16"/>
                <w:szCs w:val="16"/>
              </w:rPr>
              <w:t>E. Finansman Açığı</w:t>
            </w:r>
          </w:p>
        </w:tc>
        <w:tc>
          <w:tcPr>
            <w:tcW w:w="761" w:type="pct"/>
            <w:tcBorders>
              <w:bottom w:val="single" w:sz="4" w:space="0" w:color="auto"/>
            </w:tcBorders>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-0,03</w:t>
            </w:r>
          </w:p>
        </w:tc>
        <w:tc>
          <w:tcPr>
            <w:tcW w:w="744" w:type="pct"/>
            <w:tcBorders>
              <w:bottom w:val="single" w:sz="4" w:space="0" w:color="auto"/>
            </w:tcBorders>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-0,02</w:t>
            </w:r>
          </w:p>
        </w:tc>
        <w:tc>
          <w:tcPr>
            <w:tcW w:w="744" w:type="pct"/>
            <w:tcBorders>
              <w:bottom w:val="single" w:sz="4" w:space="0" w:color="auto"/>
            </w:tcBorders>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0,00</w:t>
            </w:r>
          </w:p>
        </w:tc>
        <w:tc>
          <w:tcPr>
            <w:tcW w:w="751" w:type="pct"/>
            <w:tcBorders>
              <w:bottom w:val="single" w:sz="4" w:space="0" w:color="auto"/>
            </w:tcBorders>
            <w:shd w:val="clear" w:color="000000"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0,00</w:t>
            </w:r>
          </w:p>
        </w:tc>
      </w:tr>
    </w:tbl>
    <w:p w:rsidR="00565FD5" w:rsidRPr="007570EF" w:rsidRDefault="00565FD5" w:rsidP="00565FD5">
      <w:pPr>
        <w:ind w:right="-85"/>
        <w:rPr>
          <w:rFonts w:cs="Tahoma"/>
          <w:sz w:val="14"/>
          <w:szCs w:val="14"/>
        </w:rPr>
      </w:pPr>
      <w:r w:rsidRPr="007570EF">
        <w:rPr>
          <w:rFonts w:cs="Tahoma"/>
          <w:sz w:val="14"/>
          <w:szCs w:val="14"/>
        </w:rPr>
        <w:t>Kaynak: Kalkınma Bakanlığı</w:t>
      </w:r>
    </w:p>
    <w:p w:rsidR="00565FD5" w:rsidRPr="007570EF" w:rsidRDefault="00565FD5" w:rsidP="00EB1E69">
      <w:pPr>
        <w:numPr>
          <w:ilvl w:val="0"/>
          <w:numId w:val="7"/>
        </w:numPr>
        <w:spacing w:after="0" w:line="240" w:lineRule="auto"/>
        <w:ind w:left="284" w:right="-85" w:hanging="284"/>
        <w:jc w:val="both"/>
        <w:rPr>
          <w:rFonts w:cs="Tahoma"/>
          <w:sz w:val="14"/>
          <w:szCs w:val="14"/>
        </w:rPr>
      </w:pPr>
      <w:r w:rsidRPr="007570EF">
        <w:rPr>
          <w:rFonts w:cs="Tahoma"/>
          <w:sz w:val="14"/>
          <w:szCs w:val="14"/>
        </w:rPr>
        <w:t>Gerçekleşme tahmini</w:t>
      </w:r>
    </w:p>
    <w:p w:rsidR="00565FD5" w:rsidRPr="007570EF" w:rsidRDefault="00565FD5" w:rsidP="00EB1E69">
      <w:pPr>
        <w:numPr>
          <w:ilvl w:val="0"/>
          <w:numId w:val="7"/>
        </w:numPr>
        <w:spacing w:after="0" w:line="240" w:lineRule="auto"/>
        <w:ind w:left="284" w:right="-85" w:hanging="284"/>
        <w:jc w:val="both"/>
        <w:rPr>
          <w:rFonts w:cs="Tahoma"/>
          <w:sz w:val="14"/>
          <w:szCs w:val="14"/>
        </w:rPr>
      </w:pPr>
      <w:r w:rsidRPr="007570EF">
        <w:rPr>
          <w:rFonts w:cs="Tahoma"/>
          <w:sz w:val="14"/>
          <w:szCs w:val="14"/>
        </w:rPr>
        <w:t>Program</w:t>
      </w:r>
    </w:p>
    <w:p w:rsidR="00565FD5" w:rsidRPr="007570EF" w:rsidRDefault="00565FD5" w:rsidP="00EB1E69">
      <w:pPr>
        <w:numPr>
          <w:ilvl w:val="0"/>
          <w:numId w:val="7"/>
        </w:numPr>
        <w:spacing w:after="0" w:line="240" w:lineRule="auto"/>
        <w:ind w:left="284" w:right="-85" w:hanging="284"/>
        <w:jc w:val="both"/>
        <w:rPr>
          <w:rFonts w:cs="Tahoma"/>
          <w:sz w:val="14"/>
          <w:szCs w:val="14"/>
        </w:rPr>
      </w:pPr>
      <w:r w:rsidRPr="007570EF">
        <w:rPr>
          <w:rFonts w:cs="Tahoma"/>
          <w:sz w:val="14"/>
          <w:szCs w:val="14"/>
        </w:rPr>
        <w:t xml:space="preserve">İŞKUR’un sadece yatırım harcaması dahil olup gelir-gider farkının değişmemesi amacıyla toplam gelire yatırım bedeli kadar ekleme yapılmıştır. </w:t>
      </w:r>
    </w:p>
    <w:p w:rsidR="00565FD5" w:rsidRPr="007570EF" w:rsidRDefault="00565FD5" w:rsidP="00EB1E69">
      <w:pPr>
        <w:numPr>
          <w:ilvl w:val="0"/>
          <w:numId w:val="7"/>
        </w:numPr>
        <w:spacing w:after="240" w:line="240" w:lineRule="auto"/>
        <w:ind w:left="284" w:right="-85" w:hanging="284"/>
        <w:jc w:val="both"/>
        <w:rPr>
          <w:rFonts w:cs="Tahoma"/>
          <w:sz w:val="14"/>
          <w:szCs w:val="14"/>
        </w:rPr>
      </w:pPr>
      <w:r w:rsidRPr="007570EF">
        <w:rPr>
          <w:rFonts w:cs="Tahoma"/>
          <w:sz w:val="14"/>
          <w:szCs w:val="14"/>
        </w:rPr>
        <w:t xml:space="preserve">Faturalı ödemeler, ek karşılıklar, devlet katkısı, emeklilere yapılan ek ödeme, hizmet akdiyle çalışanlar için 5 puan prim teşviki ve özürlü primi teşvikinden kaynaklanan transferler ile 2011 yılından itibaren prim ödeme gücü olmayanların GSS primleri dahil edilmiştir. </w:t>
      </w:r>
    </w:p>
    <w:p w:rsidR="00565FD5" w:rsidRPr="007570EF" w:rsidRDefault="00565FD5" w:rsidP="00565FD5">
      <w:pPr>
        <w:spacing w:before="120" w:after="120"/>
        <w:ind w:firstLine="425"/>
        <w:rPr>
          <w:szCs w:val="18"/>
        </w:rPr>
      </w:pPr>
      <w:r w:rsidRPr="007570EF">
        <w:rPr>
          <w:szCs w:val="18"/>
        </w:rPr>
        <w:t>2012 yılında cari prim gelirlerinin artması ve faturalı ödemeler kalemi altında izlenen 2022 sayılı Kanun kapsamındaki ödemelerin Aile ve Sosyal Politikalar Bakanlığına devredilmesi SGK dengesini olumlu etkilemiştir. Buna karşın, prim yapılandırma gelirlerinin öngörülenin altında gerçekleşmesi, tedavi harcamalarının artması ve kapsam genişlemesi sonucu prim ödeme gücü olmayanların Genel Sağlık Sigortası (GSS) primleri için yapılan transferlerin artması nedeniyle SGK’ya yapılan bütçe transferlerinin GSYH içindeki oranı yükselmiştir. Bunun sonucunda, 2012 yılında sosyal güvenlik kuruluşlarına yönelik bütçe transferlerinin GSYH içindeki payının bir önceki yıla göre 0,3 puan artarak yüzde 4,4 seviyesine ulaşması beklenmektedir.</w:t>
      </w:r>
    </w:p>
    <w:p w:rsidR="00565FD5" w:rsidRPr="007570EF" w:rsidRDefault="00565FD5" w:rsidP="00565FD5">
      <w:pPr>
        <w:spacing w:before="120" w:after="120"/>
        <w:ind w:firstLine="425"/>
        <w:rPr>
          <w:szCs w:val="18"/>
        </w:rPr>
      </w:pPr>
      <w:r w:rsidRPr="007570EF">
        <w:rPr>
          <w:szCs w:val="18"/>
        </w:rPr>
        <w:t>2012 yılında bütçeden sosyal güvenlik kuruluşlarına faturalı ödemeler, ek karşılıklar, devlet katkısı, emeklilere yapılan ek ödeme, hizmet akdiyle çalışanlar için 5 puan prim teşviki ve özürlü primi teşvikinden kaynaklanan transferler ile prim ödeme gücü olmayanların GSS primleri dahil olmak üzere 62,9 milyar TL transfer yapılacağı tahmin edilmektedir.</w:t>
      </w:r>
    </w:p>
    <w:p w:rsidR="00565FD5" w:rsidRPr="007570EF" w:rsidRDefault="00565FD5" w:rsidP="00565FD5">
      <w:pPr>
        <w:spacing w:before="120" w:after="120"/>
        <w:ind w:firstLine="425"/>
        <w:rPr>
          <w:szCs w:val="18"/>
        </w:rPr>
      </w:pPr>
      <w:r w:rsidRPr="007570EF">
        <w:rPr>
          <w:szCs w:val="18"/>
        </w:rPr>
        <w:t>Devredilen SSK ve Devredilen Bağ-Kur emekli aylıkları, 2012 yılı Ocak ayında yüzde 6,79; Temmuz ayında ise yüzde 1,95 oranında artırılmıştır.</w:t>
      </w:r>
    </w:p>
    <w:p w:rsidR="00565FD5" w:rsidRPr="007570EF" w:rsidRDefault="00565FD5" w:rsidP="00565FD5">
      <w:pPr>
        <w:spacing w:before="120" w:after="120"/>
        <w:ind w:firstLine="425"/>
        <w:rPr>
          <w:szCs w:val="18"/>
        </w:rPr>
      </w:pPr>
      <w:r w:rsidRPr="007570EF">
        <w:rPr>
          <w:szCs w:val="18"/>
        </w:rPr>
        <w:t>Sosyal güvenlik prim gelirlerini etkileyen en temel parametrelerden biri olan asgari ücret, 1 Ocak-30 Haziran 2012 dönemi için yüzde 5,9 oranında artışla brüt 837 TL’den brüt 886,5 TL’ye, 1 Temmuz-31 Aralık 2012 dönemi için ise yüzde 6,1 oranında artışla brüt 940,5 TL’ye yükseltilmiştir.</w:t>
      </w:r>
    </w:p>
    <w:p w:rsidR="00565FD5" w:rsidRPr="007570EF" w:rsidRDefault="00565FD5" w:rsidP="00565FD5">
      <w:pPr>
        <w:spacing w:before="120" w:after="120"/>
        <w:ind w:firstLine="425"/>
        <w:rPr>
          <w:szCs w:val="18"/>
        </w:rPr>
      </w:pPr>
      <w:r>
        <w:rPr>
          <w:szCs w:val="18"/>
        </w:rPr>
        <w:lastRenderedPageBreak/>
        <w:t>25/02/</w:t>
      </w:r>
      <w:r w:rsidRPr="007570EF">
        <w:rPr>
          <w:szCs w:val="18"/>
        </w:rPr>
        <w:t xml:space="preserve">2011 tarihli </w:t>
      </w:r>
      <w:r>
        <w:rPr>
          <w:szCs w:val="18"/>
        </w:rPr>
        <w:t>Resmi Gazete'de</w:t>
      </w:r>
      <w:r w:rsidRPr="007570EF">
        <w:rPr>
          <w:szCs w:val="18"/>
        </w:rPr>
        <w:t xml:space="preserve"> yayımlanan 6111 sayılı Kanunla, 2010 yılı Kasım ayı ve önceki aylara ilişkin SGK prim alacaklarının yeniden yapılandırılması düzenlenmiştir. Yapılandırma kapsamında 2012 yılına ilişkin 2,9 milyar TL gelir elde edilmesi beklenmektedir.</w:t>
      </w:r>
    </w:p>
    <w:p w:rsidR="00565FD5" w:rsidRPr="007570EF" w:rsidRDefault="00565FD5" w:rsidP="00565FD5">
      <w:pPr>
        <w:spacing w:before="120" w:after="120"/>
        <w:ind w:firstLine="425"/>
        <w:rPr>
          <w:szCs w:val="18"/>
        </w:rPr>
      </w:pPr>
      <w:r>
        <w:rPr>
          <w:szCs w:val="18"/>
        </w:rPr>
        <w:t>08/03/</w:t>
      </w:r>
      <w:r w:rsidRPr="007570EF">
        <w:rPr>
          <w:szCs w:val="18"/>
        </w:rPr>
        <w:t xml:space="preserve">2012 tarihli </w:t>
      </w:r>
      <w:r>
        <w:rPr>
          <w:szCs w:val="18"/>
        </w:rPr>
        <w:t>Resmi Gazete'de</w:t>
      </w:r>
      <w:r w:rsidRPr="007570EF">
        <w:rPr>
          <w:szCs w:val="18"/>
        </w:rPr>
        <w:t xml:space="preserve"> yayımlanan 6283 sayılı Kanunla, farklı zamanlarda aynı hak kazanma koşulları karşılığında bağlanmış emekli aylıkları arasındaki bazı uyumsuzlukların giderilmesi amacıyla 5510 sayılı Sosyal Sigortalar ve Genel Sağlık Sigortası Kanununda değişiklik yapılarak 2000 yılından önce bağlanan SSK aylıklarının ve </w:t>
      </w:r>
      <w:r>
        <w:rPr>
          <w:szCs w:val="18"/>
        </w:rPr>
        <w:t>01/04/</w:t>
      </w:r>
      <w:r w:rsidRPr="007570EF">
        <w:rPr>
          <w:szCs w:val="18"/>
        </w:rPr>
        <w:t xml:space="preserve">2002 ila </w:t>
      </w:r>
      <w:r>
        <w:rPr>
          <w:szCs w:val="18"/>
        </w:rPr>
        <w:t>30/06/</w:t>
      </w:r>
      <w:r w:rsidRPr="007570EF">
        <w:rPr>
          <w:szCs w:val="18"/>
        </w:rPr>
        <w:t>2002 tarihleri arasında bağlanan Bağ-Kur aylıklarının yeniden hesaplanmasına ilişkin unsurlar düzenlenmiştir.</w:t>
      </w:r>
    </w:p>
    <w:p w:rsidR="00565FD5" w:rsidRPr="007570EF" w:rsidRDefault="00565FD5" w:rsidP="00565FD5">
      <w:pPr>
        <w:spacing w:before="120" w:after="120"/>
        <w:ind w:firstLine="425"/>
        <w:rPr>
          <w:szCs w:val="18"/>
        </w:rPr>
      </w:pPr>
      <w:r>
        <w:rPr>
          <w:szCs w:val="18"/>
        </w:rPr>
        <w:t>19/06/</w:t>
      </w:r>
      <w:r w:rsidRPr="007570EF">
        <w:rPr>
          <w:szCs w:val="18"/>
        </w:rPr>
        <w:t xml:space="preserve">2012 tarihli </w:t>
      </w:r>
      <w:r>
        <w:rPr>
          <w:szCs w:val="18"/>
        </w:rPr>
        <w:t>Resmi Gazete'de</w:t>
      </w:r>
      <w:r w:rsidRPr="007570EF">
        <w:rPr>
          <w:szCs w:val="18"/>
        </w:rPr>
        <w:t xml:space="preserve"> yayımlanan 2012/3305 sayılı Bakanlar Kurulu Kararıyla sosyal güvenlik sigorta primi işçi ve işveren paylarına ilişkin yeni teşvikleri de içeren yatırım teşvikleri getirilmiştir. Bu düzenlemeyle söz konusu yatırımlarda, yatırıma başlama tarihinden önceki son altı aylık dönemde ortalama işçi sayısına ilave olarak istihdam edilen kişilerin sigorta primi işveren hissesinin asgari ücrete tekabül eden kısmının kamu tarafından karşılanması kararlaştırılmıştır. Sigorta primi işveren hissesi desteğinin, belirli bir sabit yatırım tutarı oranını geçmemek kaydıyla, yatırımın ve yatırımın yapıldığı bölgenin niteliğine göre 18 aydan 10 yıla kadar değişen sürelerde uygulanması düzenlenmiştir. Ayrıca, söz konusu Kararla altıncı bölgede; büyük ölçekli yatırımlar, stratejik yatırımlar ve bölgesel teşvik uygulamaları kapsamında gerçekleştirilecek yatırımlarla sağlanan ilave istihdam için, işveren tarafından SGK’ya ödenmesi gereken sigorta primi işçi hissesinin asgari ücrete tekabül eden kısmının on yıl süreyle işveren adına kamu tarafından karşılanması kararlaştırılmıştır.</w:t>
      </w:r>
    </w:p>
    <w:p w:rsidR="00565FD5" w:rsidRPr="007570EF" w:rsidRDefault="00565FD5" w:rsidP="00565FD5">
      <w:pPr>
        <w:spacing w:before="120" w:after="120"/>
        <w:ind w:firstLine="425"/>
        <w:rPr>
          <w:szCs w:val="18"/>
        </w:rPr>
      </w:pPr>
      <w:r w:rsidRPr="007570EF">
        <w:rPr>
          <w:szCs w:val="18"/>
        </w:rPr>
        <w:t>Hizmet akdiyle çalışanlar için 5 puan prim teşviki kapsamında merkezi yönetim bütçesinden SGK’ya 2011 yılında 4,7 milyar TL transfer yapılmış olup 2012 yılında 5,6 milyar TL transfer yapılması beklenmektedir.</w:t>
      </w:r>
    </w:p>
    <w:p w:rsidR="00565FD5" w:rsidRPr="007570EF" w:rsidRDefault="00565FD5" w:rsidP="00565FD5">
      <w:pPr>
        <w:spacing w:before="120" w:after="120"/>
        <w:ind w:firstLine="425"/>
        <w:rPr>
          <w:szCs w:val="18"/>
        </w:rPr>
      </w:pPr>
      <w:r>
        <w:rPr>
          <w:szCs w:val="18"/>
        </w:rPr>
        <w:t>0</w:t>
      </w:r>
      <w:r w:rsidRPr="007570EF">
        <w:rPr>
          <w:szCs w:val="18"/>
        </w:rPr>
        <w:t>9</w:t>
      </w:r>
      <w:r>
        <w:rPr>
          <w:szCs w:val="18"/>
        </w:rPr>
        <w:t>/09/</w:t>
      </w:r>
      <w:r w:rsidRPr="007570EF">
        <w:rPr>
          <w:szCs w:val="18"/>
        </w:rPr>
        <w:t xml:space="preserve">2012 tarihli </w:t>
      </w:r>
      <w:r>
        <w:rPr>
          <w:szCs w:val="18"/>
        </w:rPr>
        <w:t>Resmi Gazete'de</w:t>
      </w:r>
      <w:r w:rsidRPr="007570EF">
        <w:rPr>
          <w:szCs w:val="18"/>
        </w:rPr>
        <w:t xml:space="preserve"> yayımlanan 2012/3616 sayılı Bakanlar Kurulu Kararıyla, SSK’ya ait olup Sağlık Bakanlığına devredilen sağlık birimlerinin bedelinin 2012 yılı içinde SGK’ya ödenmesi hükme bağlanmıştır.</w:t>
      </w:r>
    </w:p>
    <w:p w:rsidR="00565FD5" w:rsidRPr="007570EF" w:rsidRDefault="00565FD5" w:rsidP="00565FD5">
      <w:pPr>
        <w:spacing w:before="120" w:after="120"/>
        <w:ind w:firstLine="425"/>
        <w:rPr>
          <w:szCs w:val="18"/>
        </w:rPr>
      </w:pPr>
      <w:r w:rsidRPr="007570EF">
        <w:rPr>
          <w:szCs w:val="18"/>
        </w:rPr>
        <w:lastRenderedPageBreak/>
        <w:t xml:space="preserve">2011 yılında SGK ilaç ve tedavi harcamaları, sırasıyla 14,1 ve 21,8 milyar TL’ye ulaşmıştır. 2012 yılındaysa SGK ilaç ve tedavi harcamalarının sırasıyla 14,6 ve 29,2 milyar TL olarak gerçekleşmesi beklenmektedir. 2012 yılı sağlık harcamalarında yaşanan artışta, Yeşil Kart sahiplerinin sağlık harcamalarının SGK’ya devredilmesi ve tedavi harcamalarındaki yüksek artış etkili olmuştur. </w:t>
      </w:r>
    </w:p>
    <w:p w:rsidR="00565FD5" w:rsidRPr="007570EF" w:rsidRDefault="00565FD5" w:rsidP="00565FD5">
      <w:pPr>
        <w:spacing w:before="120" w:after="120"/>
        <w:ind w:firstLine="425"/>
        <w:rPr>
          <w:szCs w:val="18"/>
        </w:rPr>
      </w:pPr>
      <w:r w:rsidRPr="007570EF">
        <w:rPr>
          <w:szCs w:val="18"/>
        </w:rPr>
        <w:t>İlaç harcamalarını azaltmaya yönelik aşağıda ayrıntılarına yer verilen tedbirlerin etkisiyle 2012 yılı kamu ilaç harcamalarında ciddi tasarruf sağlanmıştır:</w:t>
      </w:r>
    </w:p>
    <w:p w:rsidR="00565FD5" w:rsidRPr="007570EF" w:rsidRDefault="00565FD5" w:rsidP="00565FD5">
      <w:pPr>
        <w:spacing w:before="120" w:after="120"/>
        <w:ind w:firstLine="425"/>
        <w:rPr>
          <w:szCs w:val="18"/>
        </w:rPr>
      </w:pPr>
      <w:r>
        <w:rPr>
          <w:szCs w:val="18"/>
        </w:rPr>
        <w:t>0</w:t>
      </w:r>
      <w:r w:rsidRPr="007570EF">
        <w:rPr>
          <w:szCs w:val="18"/>
        </w:rPr>
        <w:t>5</w:t>
      </w:r>
      <w:r>
        <w:rPr>
          <w:szCs w:val="18"/>
        </w:rPr>
        <w:t>/11/</w:t>
      </w:r>
      <w:r w:rsidRPr="007570EF">
        <w:rPr>
          <w:szCs w:val="18"/>
        </w:rPr>
        <w:t xml:space="preserve">2011 tarihli </w:t>
      </w:r>
      <w:r>
        <w:rPr>
          <w:szCs w:val="18"/>
        </w:rPr>
        <w:t>Resmi Gazete'de</w:t>
      </w:r>
      <w:r w:rsidRPr="007570EF">
        <w:rPr>
          <w:szCs w:val="18"/>
        </w:rPr>
        <w:t xml:space="preserve"> yayımlanan Sağlık Uygulama Tebliğinde Değişiklik Yapılmasına Dair Tebliğle, orijinal ilaçlara, jenerik ilaçlara ve depocuya satış fiyatı 6,79 TL’nin üzerinde olan 20 yıllık ilaçlara yüzde 7,5 ve yüzde 8,5 oranlarında ilave iskonto getirilmiştir. Aynı Tebliğle, daha önce yüzde 15 olan eşdeğer ilaç bandı yüzde 10’a düşürülmüştür.</w:t>
      </w:r>
    </w:p>
    <w:p w:rsidR="00565FD5" w:rsidRPr="007570EF" w:rsidRDefault="00565FD5" w:rsidP="00565FD5">
      <w:pPr>
        <w:spacing w:before="120" w:after="120"/>
        <w:ind w:firstLine="425"/>
        <w:rPr>
          <w:szCs w:val="18"/>
        </w:rPr>
      </w:pPr>
      <w:r w:rsidRPr="007570EF">
        <w:rPr>
          <w:szCs w:val="18"/>
        </w:rPr>
        <w:t>10</w:t>
      </w:r>
      <w:r>
        <w:rPr>
          <w:szCs w:val="18"/>
        </w:rPr>
        <w:t>/11/</w:t>
      </w:r>
      <w:r w:rsidRPr="007570EF">
        <w:rPr>
          <w:szCs w:val="18"/>
        </w:rPr>
        <w:t xml:space="preserve">2011 tarihli mükerrer </w:t>
      </w:r>
      <w:r>
        <w:rPr>
          <w:szCs w:val="18"/>
        </w:rPr>
        <w:t>Resmi Gazete'de</w:t>
      </w:r>
      <w:r w:rsidRPr="007570EF">
        <w:rPr>
          <w:szCs w:val="18"/>
        </w:rPr>
        <w:t xml:space="preserve"> yayımlanan 2011/2368 sayılı Bakanlar Kurulu Kararıyla, jeneriği olan orijinal ilaçlar ve jenerik ilaçlar için referans fiyat oranı yüzde 66’dan yüzde 60’a, depocuya satış fiyatı 6,79 TL’nin üzerinde olan 20 yıllık ilaçlar için referans fiyat oranı ise yüzde 100’den yüzde 80’e indirilmiştir.</w:t>
      </w:r>
    </w:p>
    <w:p w:rsidR="00565FD5" w:rsidRPr="007570EF" w:rsidRDefault="00565FD5" w:rsidP="00565FD5">
      <w:pPr>
        <w:spacing w:before="120" w:after="120"/>
        <w:ind w:firstLine="425"/>
        <w:rPr>
          <w:szCs w:val="18"/>
        </w:rPr>
      </w:pPr>
      <w:r w:rsidRPr="007570EF">
        <w:rPr>
          <w:szCs w:val="18"/>
        </w:rPr>
        <w:t>26</w:t>
      </w:r>
      <w:r>
        <w:rPr>
          <w:szCs w:val="18"/>
        </w:rPr>
        <w:t>/01/</w:t>
      </w:r>
      <w:r w:rsidRPr="007570EF">
        <w:rPr>
          <w:szCs w:val="18"/>
        </w:rPr>
        <w:t xml:space="preserve">2012 tarihli </w:t>
      </w:r>
      <w:r>
        <w:rPr>
          <w:szCs w:val="18"/>
        </w:rPr>
        <w:t>Resmi Gazete'de</w:t>
      </w:r>
      <w:r w:rsidRPr="007570EF">
        <w:rPr>
          <w:szCs w:val="18"/>
        </w:rPr>
        <w:t xml:space="preserve"> yayımlanan 6270 sayılı Kanunla, 3 TL olan reçete katılım payı uygulamasına aile hekimliğinde yazılan reçeteler de dahil edilmiş ve reçetede 3 kutuyu geçen her bir kutu için ilave 1 TL katılım payı alınması uygulaması getirilmiştir.</w:t>
      </w:r>
    </w:p>
    <w:p w:rsidR="00565FD5" w:rsidRPr="007570EF" w:rsidRDefault="00565FD5" w:rsidP="00565FD5">
      <w:pPr>
        <w:spacing w:before="120" w:after="120"/>
        <w:ind w:firstLine="425"/>
        <w:rPr>
          <w:szCs w:val="18"/>
        </w:rPr>
      </w:pPr>
      <w:r w:rsidRPr="007570EF">
        <w:rPr>
          <w:szCs w:val="18"/>
        </w:rPr>
        <w:t>28</w:t>
      </w:r>
      <w:r>
        <w:rPr>
          <w:szCs w:val="18"/>
        </w:rPr>
        <w:t>/12/</w:t>
      </w:r>
      <w:r w:rsidRPr="007570EF">
        <w:rPr>
          <w:szCs w:val="18"/>
        </w:rPr>
        <w:t xml:space="preserve">2011 tarihli </w:t>
      </w:r>
      <w:r>
        <w:rPr>
          <w:szCs w:val="18"/>
        </w:rPr>
        <w:t>Resmi Gazete'de</w:t>
      </w:r>
      <w:r w:rsidRPr="007570EF">
        <w:rPr>
          <w:szCs w:val="18"/>
        </w:rPr>
        <w:t xml:space="preserve"> yayımlanan Genel Sağlık Sigortası Kapsamında Gelir Tespiti, Tescil ve İzleme Sürecine İlişkin Usul ve Esaslar Hakkında Yönetmelikle prim ödeme gücü olmayanlar ile GSS kapsamında bulunmayan diğer kişilere yönelik gelir tespiti işlemlerinin Aile ve Sosyal Politikalar Bakanlığı tarafından, tescil işlemlerinin ise SGK tarafından yapılması hususu düzenlenmiştir. Bu kapsamda Yeşil Kart sahipleri de dahil olmak üzere gelir testi yapılan kişiler, </w:t>
      </w:r>
      <w:r>
        <w:rPr>
          <w:szCs w:val="18"/>
        </w:rPr>
        <w:t>0</w:t>
      </w:r>
      <w:r w:rsidRPr="007570EF">
        <w:rPr>
          <w:szCs w:val="18"/>
        </w:rPr>
        <w:t>1</w:t>
      </w:r>
      <w:r>
        <w:rPr>
          <w:szCs w:val="18"/>
        </w:rPr>
        <w:t>/01/</w:t>
      </w:r>
      <w:r w:rsidRPr="007570EF">
        <w:rPr>
          <w:szCs w:val="18"/>
        </w:rPr>
        <w:t>2012 tarihi itibarıyla GSS kapsamına alınmaya başlanmıştır.</w:t>
      </w:r>
    </w:p>
    <w:p w:rsidR="00565FD5" w:rsidRDefault="00565FD5" w:rsidP="00565FD5">
      <w:pPr>
        <w:spacing w:before="120" w:after="120"/>
        <w:ind w:firstLine="425"/>
        <w:rPr>
          <w:szCs w:val="18"/>
        </w:rPr>
      </w:pPr>
      <w:r w:rsidRPr="007570EF">
        <w:rPr>
          <w:szCs w:val="18"/>
        </w:rPr>
        <w:t>26</w:t>
      </w:r>
      <w:r>
        <w:rPr>
          <w:szCs w:val="18"/>
        </w:rPr>
        <w:t>/01/</w:t>
      </w:r>
      <w:r w:rsidRPr="007570EF">
        <w:rPr>
          <w:szCs w:val="18"/>
        </w:rPr>
        <w:t xml:space="preserve">2012 tarihli </w:t>
      </w:r>
      <w:r>
        <w:rPr>
          <w:szCs w:val="18"/>
        </w:rPr>
        <w:t>Resmi Gazete'de</w:t>
      </w:r>
      <w:r w:rsidRPr="007570EF">
        <w:rPr>
          <w:szCs w:val="18"/>
        </w:rPr>
        <w:t xml:space="preserve"> yayımlanan 6270 sayılı Kanunla ve 29</w:t>
      </w:r>
      <w:r>
        <w:rPr>
          <w:szCs w:val="18"/>
        </w:rPr>
        <w:t>/02/</w:t>
      </w:r>
      <w:r w:rsidRPr="007570EF">
        <w:rPr>
          <w:szCs w:val="18"/>
        </w:rPr>
        <w:t xml:space="preserve">2012 tarihli </w:t>
      </w:r>
      <w:r>
        <w:rPr>
          <w:szCs w:val="18"/>
        </w:rPr>
        <w:t>Resmi Gazete'de</w:t>
      </w:r>
      <w:r w:rsidRPr="007570EF">
        <w:rPr>
          <w:szCs w:val="18"/>
        </w:rPr>
        <w:t xml:space="preserve"> yayımlanan Sağlık Uygulama Tebliğinde Değişiklik Yapılmasına Dair Tebliğle, gelir tespiti yapılarak ödeme gücü olmadığı </w:t>
      </w:r>
      <w:r w:rsidRPr="007570EF">
        <w:rPr>
          <w:szCs w:val="18"/>
        </w:rPr>
        <w:lastRenderedPageBreak/>
        <w:t>belirlenen ve primi devlet tarafından karşılanan sigortalılar ile 2022 sayılı Kanun kapsamında aylık alanların da yer aldığı sigortalıların öncelikle Sağlık Bakanlığı hastanelerinden, istisnai haller ve sevk halinde ise üniversite hastaneleri ile özel hastanelerden yararlanması düzenlenmiştir.</w:t>
      </w:r>
    </w:p>
    <w:p w:rsidR="00565FD5" w:rsidRPr="007570EF" w:rsidRDefault="00565FD5" w:rsidP="00565FD5">
      <w:pPr>
        <w:spacing w:before="120" w:after="120"/>
        <w:ind w:firstLine="425"/>
        <w:rPr>
          <w:szCs w:val="18"/>
        </w:rPr>
      </w:pPr>
      <w:r w:rsidRPr="007570EF">
        <w:rPr>
          <w:szCs w:val="18"/>
        </w:rPr>
        <w:t xml:space="preserve">2012 yılında İşsizlik Sigortası Fonunun prim gelirlerinin GSYH’nın yüzde 0,32’si, faiz gelirlerinin GSYH’nın yüzde 0,38’i, Fona yapılan devlet katkısının ise GSYH’nın yüzde 0,11’i oranında gerçekleşmesi beklenmektedir. Bu çerçevede, toplam gelirlerin GSYH’ya oran olarak yüzde 0,82 seviyesinde gerçekleşeceği tahmin edilmektedir. </w:t>
      </w:r>
    </w:p>
    <w:p w:rsidR="00565FD5" w:rsidRPr="007570EF" w:rsidRDefault="00565FD5" w:rsidP="00565FD5">
      <w:pPr>
        <w:spacing w:before="120" w:after="120"/>
        <w:ind w:firstLine="425"/>
        <w:rPr>
          <w:szCs w:val="18"/>
        </w:rPr>
      </w:pPr>
      <w:r w:rsidRPr="007570EF">
        <w:rPr>
          <w:szCs w:val="18"/>
        </w:rPr>
        <w:t>Fonun 2012 yılı toplam giderlerinin 3,7 milyar TL’lik tutarla GSYH’nın yüzde 0,26’sına ulaşması beklenmektedir. 2012 yılının ilk dokuz ayında aylık ortalama 189 bin kişi işsizlik ödeneği almış olup 2012 yılı işsizlik ödeneği giderlerinin 970 milyon TL düzeyinde gerçekleşeceği tahmin edilmektedir. Ayrıca, aktif işgücü programları kapsamında 1 milyar TL harcama yapılması beklenmektedir.</w:t>
      </w:r>
    </w:p>
    <w:p w:rsidR="00565FD5" w:rsidRPr="00C3570A" w:rsidRDefault="00565FD5" w:rsidP="00565FD5">
      <w:pPr>
        <w:pStyle w:val="ResimYazs"/>
      </w:pPr>
      <w:bookmarkStart w:id="1085" w:name="_Toc275874284"/>
      <w:bookmarkStart w:id="1086" w:name="_Toc276076465"/>
      <w:bookmarkStart w:id="1087" w:name="_Toc307601629"/>
      <w:bookmarkStart w:id="1088" w:name="_Toc307601646"/>
      <w:bookmarkStart w:id="1089" w:name="_Toc307657871"/>
      <w:bookmarkStart w:id="1090" w:name="_Toc307713550"/>
      <w:bookmarkStart w:id="1091" w:name="_Toc338605991"/>
      <w:bookmarkStart w:id="1092" w:name="_Toc338711766"/>
      <w:r>
        <w:t xml:space="preserve">TABLO III: </w:t>
      </w:r>
      <w:fldSimple w:instr=" SEQ TABLO_III: \* ARABIC ">
        <w:r>
          <w:rPr>
            <w:noProof/>
          </w:rPr>
          <w:t>13</w:t>
        </w:r>
      </w:fldSimple>
      <w:r w:rsidRPr="00C3570A">
        <w:t>- İşsizlik Sigortası Fonu Gelir-Gider Dengesi</w:t>
      </w:r>
      <w:bookmarkEnd w:id="1085"/>
      <w:bookmarkEnd w:id="1086"/>
      <w:bookmarkEnd w:id="1087"/>
      <w:bookmarkEnd w:id="1088"/>
      <w:bookmarkEnd w:id="1089"/>
      <w:bookmarkEnd w:id="1090"/>
      <w:bookmarkEnd w:id="1091"/>
      <w:bookmarkEnd w:id="1092"/>
    </w:p>
    <w:tbl>
      <w:tblPr>
        <w:tblW w:w="4922" w:type="pct"/>
        <w:tblCellMar>
          <w:left w:w="57" w:type="dxa"/>
          <w:right w:w="57" w:type="dxa"/>
        </w:tblCellMar>
        <w:tblLook w:val="0000"/>
      </w:tblPr>
      <w:tblGrid>
        <w:gridCol w:w="1759"/>
        <w:gridCol w:w="695"/>
        <w:gridCol w:w="695"/>
        <w:gridCol w:w="694"/>
        <w:gridCol w:w="697"/>
        <w:gridCol w:w="213"/>
        <w:gridCol w:w="494"/>
        <w:gridCol w:w="527"/>
        <w:gridCol w:w="687"/>
        <w:gridCol w:w="684"/>
      </w:tblGrid>
      <w:tr w:rsidR="00565FD5" w:rsidRPr="007570EF" w:rsidTr="00AB62A3">
        <w:trPr>
          <w:trHeight w:val="227"/>
        </w:trPr>
        <w:tc>
          <w:tcPr>
            <w:tcW w:w="1230" w:type="pct"/>
            <w:tcBorders>
              <w:top w:val="single" w:sz="4" w:space="0" w:color="auto"/>
              <w:left w:val="single" w:sz="4" w:space="0" w:color="auto"/>
              <w:right w:val="nil"/>
            </w:tcBorders>
            <w:shd w:val="clear" w:color="auto" w:fill="FFFFFF"/>
            <w:noWrap/>
            <w:vAlign w:val="bottom"/>
          </w:tcPr>
          <w:p w:rsidR="00565FD5" w:rsidRPr="007570EF" w:rsidRDefault="00565FD5" w:rsidP="00AB62A3">
            <w:pPr>
              <w:rPr>
                <w:rFonts w:cs="Tahoma"/>
                <w:sz w:val="14"/>
                <w:szCs w:val="14"/>
              </w:rPr>
            </w:pPr>
            <w:r w:rsidRPr="007570EF">
              <w:rPr>
                <w:rFonts w:cs="Tahoma"/>
                <w:sz w:val="14"/>
                <w:szCs w:val="14"/>
              </w:rPr>
              <w:t> </w:t>
            </w:r>
          </w:p>
        </w:tc>
        <w:tc>
          <w:tcPr>
            <w:tcW w:w="1945" w:type="pct"/>
            <w:gridSpan w:val="4"/>
            <w:tcBorders>
              <w:top w:val="single" w:sz="4" w:space="0" w:color="auto"/>
              <w:left w:val="nil"/>
              <w:bottom w:val="single" w:sz="8" w:space="0" w:color="auto"/>
              <w:right w:val="nil"/>
            </w:tcBorders>
            <w:shd w:val="clear" w:color="auto" w:fill="FFFFFF"/>
            <w:vAlign w:val="bottom"/>
          </w:tcPr>
          <w:p w:rsidR="00565FD5" w:rsidRPr="007570EF" w:rsidRDefault="00565FD5" w:rsidP="00AB62A3">
            <w:pPr>
              <w:jc w:val="center"/>
              <w:rPr>
                <w:rFonts w:cs="Tahoma"/>
                <w:b/>
                <w:bCs/>
                <w:sz w:val="14"/>
                <w:szCs w:val="14"/>
              </w:rPr>
            </w:pPr>
            <w:r w:rsidRPr="007570EF">
              <w:rPr>
                <w:rFonts w:cs="Tahoma"/>
                <w:b/>
                <w:bCs/>
                <w:sz w:val="14"/>
                <w:szCs w:val="14"/>
              </w:rPr>
              <w:t>(Cari Fiyatlarla, Milyon TL)</w:t>
            </w:r>
          </w:p>
        </w:tc>
        <w:tc>
          <w:tcPr>
            <w:tcW w:w="149" w:type="pct"/>
            <w:tcBorders>
              <w:top w:val="single" w:sz="4" w:space="0" w:color="auto"/>
              <w:left w:val="nil"/>
              <w:right w:val="nil"/>
            </w:tcBorders>
            <w:shd w:val="clear" w:color="auto" w:fill="FFFFFF"/>
            <w:noWrap/>
            <w:vAlign w:val="bottom"/>
          </w:tcPr>
          <w:p w:rsidR="00565FD5" w:rsidRPr="007570EF" w:rsidRDefault="00565FD5" w:rsidP="00AB62A3">
            <w:pPr>
              <w:jc w:val="center"/>
              <w:rPr>
                <w:rFonts w:cs="Tahoma"/>
                <w:sz w:val="14"/>
                <w:szCs w:val="14"/>
              </w:rPr>
            </w:pPr>
            <w:r w:rsidRPr="007570EF">
              <w:rPr>
                <w:rFonts w:cs="Tahoma"/>
                <w:sz w:val="14"/>
                <w:szCs w:val="14"/>
              </w:rPr>
              <w:t> </w:t>
            </w:r>
          </w:p>
        </w:tc>
        <w:tc>
          <w:tcPr>
            <w:tcW w:w="1676" w:type="pct"/>
            <w:gridSpan w:val="4"/>
            <w:tcBorders>
              <w:top w:val="single" w:sz="4" w:space="0" w:color="auto"/>
              <w:left w:val="nil"/>
              <w:bottom w:val="single" w:sz="8" w:space="0" w:color="auto"/>
              <w:right w:val="single" w:sz="4" w:space="0" w:color="auto"/>
            </w:tcBorders>
            <w:shd w:val="clear" w:color="auto" w:fill="FFFFFF"/>
            <w:vAlign w:val="bottom"/>
          </w:tcPr>
          <w:p w:rsidR="00565FD5" w:rsidRPr="007570EF" w:rsidRDefault="00565FD5" w:rsidP="00AB62A3">
            <w:pPr>
              <w:jc w:val="center"/>
              <w:rPr>
                <w:rFonts w:cs="Tahoma"/>
                <w:b/>
                <w:bCs/>
                <w:sz w:val="14"/>
                <w:szCs w:val="14"/>
              </w:rPr>
            </w:pPr>
            <w:r w:rsidRPr="007570EF">
              <w:rPr>
                <w:rFonts w:cs="Tahoma"/>
                <w:b/>
                <w:bCs/>
                <w:sz w:val="14"/>
                <w:szCs w:val="14"/>
              </w:rPr>
              <w:t>(GSYH'ya Oran, Yüzde)</w:t>
            </w:r>
          </w:p>
        </w:tc>
      </w:tr>
      <w:tr w:rsidR="00565FD5" w:rsidRPr="007570EF" w:rsidTr="00AB62A3">
        <w:trPr>
          <w:trHeight w:val="227"/>
        </w:trPr>
        <w:tc>
          <w:tcPr>
            <w:tcW w:w="1230" w:type="pct"/>
            <w:tcBorders>
              <w:top w:val="nil"/>
              <w:left w:val="single" w:sz="4" w:space="0" w:color="auto"/>
              <w:bottom w:val="single" w:sz="4" w:space="0" w:color="auto"/>
              <w:right w:val="nil"/>
            </w:tcBorders>
            <w:shd w:val="clear" w:color="auto" w:fill="FFFFFF"/>
            <w:noWrap/>
            <w:vAlign w:val="bottom"/>
          </w:tcPr>
          <w:p w:rsidR="00565FD5" w:rsidRPr="007570EF" w:rsidRDefault="00565FD5" w:rsidP="00AB62A3">
            <w:pPr>
              <w:rPr>
                <w:rFonts w:cs="Tahoma"/>
                <w:sz w:val="14"/>
                <w:szCs w:val="14"/>
              </w:rPr>
            </w:pPr>
            <w:r w:rsidRPr="007570EF">
              <w:rPr>
                <w:rFonts w:cs="Tahoma"/>
                <w:sz w:val="14"/>
                <w:szCs w:val="14"/>
              </w:rPr>
              <w:t> </w:t>
            </w:r>
          </w:p>
        </w:tc>
        <w:tc>
          <w:tcPr>
            <w:tcW w:w="486" w:type="pct"/>
            <w:tcBorders>
              <w:top w:val="single" w:sz="8" w:space="0" w:color="auto"/>
              <w:left w:val="nil"/>
              <w:bottom w:val="single" w:sz="4" w:space="0" w:color="auto"/>
              <w:right w:val="nil"/>
            </w:tcBorders>
            <w:shd w:val="clear" w:color="auto" w:fill="FFFFFF"/>
            <w:noWrap/>
            <w:vAlign w:val="bottom"/>
          </w:tcPr>
          <w:p w:rsidR="00565FD5" w:rsidRPr="007570EF" w:rsidRDefault="00565FD5" w:rsidP="00AB62A3">
            <w:pPr>
              <w:jc w:val="right"/>
              <w:rPr>
                <w:rFonts w:cs="Tahoma"/>
                <w:b/>
                <w:bCs/>
                <w:sz w:val="14"/>
                <w:szCs w:val="14"/>
              </w:rPr>
            </w:pPr>
            <w:r w:rsidRPr="007570EF">
              <w:rPr>
                <w:rFonts w:cs="Tahoma"/>
                <w:b/>
                <w:bCs/>
                <w:sz w:val="14"/>
                <w:szCs w:val="14"/>
              </w:rPr>
              <w:t>2010</w:t>
            </w:r>
          </w:p>
        </w:tc>
        <w:tc>
          <w:tcPr>
            <w:tcW w:w="486" w:type="pct"/>
            <w:tcBorders>
              <w:top w:val="single" w:sz="8" w:space="0" w:color="auto"/>
              <w:left w:val="nil"/>
              <w:bottom w:val="single" w:sz="4" w:space="0" w:color="auto"/>
              <w:right w:val="nil"/>
            </w:tcBorders>
            <w:shd w:val="clear" w:color="auto" w:fill="FFFFFF"/>
            <w:noWrap/>
            <w:vAlign w:val="bottom"/>
          </w:tcPr>
          <w:p w:rsidR="00565FD5" w:rsidRPr="007570EF" w:rsidRDefault="00565FD5" w:rsidP="00AB62A3">
            <w:pPr>
              <w:jc w:val="right"/>
              <w:rPr>
                <w:rFonts w:cs="Tahoma"/>
                <w:b/>
                <w:bCs/>
                <w:sz w:val="14"/>
                <w:szCs w:val="14"/>
              </w:rPr>
            </w:pPr>
            <w:r w:rsidRPr="007570EF">
              <w:rPr>
                <w:rFonts w:cs="Tahoma"/>
                <w:b/>
                <w:bCs/>
                <w:sz w:val="14"/>
                <w:szCs w:val="14"/>
              </w:rPr>
              <w:t>2011</w:t>
            </w:r>
          </w:p>
        </w:tc>
        <w:tc>
          <w:tcPr>
            <w:tcW w:w="486" w:type="pct"/>
            <w:tcBorders>
              <w:top w:val="single" w:sz="8" w:space="0" w:color="auto"/>
              <w:left w:val="nil"/>
              <w:bottom w:val="single" w:sz="4" w:space="0" w:color="auto"/>
              <w:right w:val="nil"/>
            </w:tcBorders>
            <w:shd w:val="clear" w:color="auto" w:fill="FFFFFF"/>
            <w:noWrap/>
            <w:vAlign w:val="bottom"/>
          </w:tcPr>
          <w:p w:rsidR="00565FD5" w:rsidRPr="007570EF" w:rsidRDefault="00565FD5" w:rsidP="00AB62A3">
            <w:pPr>
              <w:jc w:val="right"/>
              <w:rPr>
                <w:rFonts w:cs="Tahoma"/>
                <w:b/>
                <w:bCs/>
                <w:sz w:val="14"/>
                <w:szCs w:val="14"/>
              </w:rPr>
            </w:pPr>
            <w:r w:rsidRPr="007570EF">
              <w:rPr>
                <w:rFonts w:cs="Tahoma"/>
                <w:b/>
                <w:bCs/>
                <w:sz w:val="14"/>
                <w:szCs w:val="14"/>
              </w:rPr>
              <w:t>2012(1)</w:t>
            </w:r>
          </w:p>
        </w:tc>
        <w:tc>
          <w:tcPr>
            <w:tcW w:w="488" w:type="pct"/>
            <w:tcBorders>
              <w:top w:val="single" w:sz="8" w:space="0" w:color="auto"/>
              <w:left w:val="nil"/>
              <w:bottom w:val="single" w:sz="4" w:space="0" w:color="auto"/>
              <w:right w:val="nil"/>
            </w:tcBorders>
            <w:shd w:val="clear" w:color="auto" w:fill="FFFFFF"/>
            <w:noWrap/>
            <w:vAlign w:val="bottom"/>
          </w:tcPr>
          <w:p w:rsidR="00565FD5" w:rsidRPr="007570EF" w:rsidRDefault="00565FD5" w:rsidP="00AB62A3">
            <w:pPr>
              <w:jc w:val="right"/>
              <w:rPr>
                <w:rFonts w:cs="Tahoma"/>
                <w:b/>
                <w:bCs/>
                <w:sz w:val="14"/>
                <w:szCs w:val="14"/>
              </w:rPr>
            </w:pPr>
            <w:r w:rsidRPr="007570EF">
              <w:rPr>
                <w:rFonts w:cs="Tahoma"/>
                <w:b/>
                <w:bCs/>
                <w:sz w:val="14"/>
                <w:szCs w:val="14"/>
              </w:rPr>
              <w:t>2013(2)</w:t>
            </w:r>
          </w:p>
        </w:tc>
        <w:tc>
          <w:tcPr>
            <w:tcW w:w="149" w:type="pct"/>
            <w:tcBorders>
              <w:left w:val="nil"/>
              <w:right w:val="nil"/>
            </w:tcBorders>
            <w:shd w:val="clear" w:color="auto" w:fill="FFFFFF"/>
            <w:noWrap/>
            <w:vAlign w:val="bottom"/>
          </w:tcPr>
          <w:p w:rsidR="00565FD5" w:rsidRPr="007570EF" w:rsidRDefault="00565FD5" w:rsidP="00AB62A3">
            <w:pPr>
              <w:ind w:right="57"/>
              <w:jc w:val="right"/>
              <w:rPr>
                <w:rFonts w:cs="Tahoma"/>
                <w:b/>
                <w:bCs/>
                <w:sz w:val="14"/>
                <w:szCs w:val="14"/>
              </w:rPr>
            </w:pPr>
            <w:r w:rsidRPr="007570EF">
              <w:rPr>
                <w:rFonts w:cs="Tahoma"/>
                <w:b/>
                <w:bCs/>
                <w:sz w:val="14"/>
                <w:szCs w:val="14"/>
              </w:rPr>
              <w:t> </w:t>
            </w:r>
          </w:p>
        </w:tc>
        <w:tc>
          <w:tcPr>
            <w:tcW w:w="346" w:type="pct"/>
            <w:tcBorders>
              <w:top w:val="single" w:sz="8" w:space="0" w:color="auto"/>
              <w:left w:val="nil"/>
              <w:bottom w:val="single" w:sz="4" w:space="0" w:color="auto"/>
              <w:right w:val="nil"/>
            </w:tcBorders>
            <w:shd w:val="clear" w:color="auto" w:fill="FFFFFF"/>
            <w:noWrap/>
            <w:vAlign w:val="bottom"/>
          </w:tcPr>
          <w:p w:rsidR="00565FD5" w:rsidRPr="007570EF" w:rsidRDefault="00565FD5" w:rsidP="00AB62A3">
            <w:pPr>
              <w:jc w:val="right"/>
              <w:rPr>
                <w:rFonts w:cs="Tahoma"/>
                <w:b/>
                <w:bCs/>
                <w:sz w:val="14"/>
                <w:szCs w:val="14"/>
              </w:rPr>
            </w:pPr>
            <w:r w:rsidRPr="007570EF">
              <w:rPr>
                <w:rFonts w:cs="Tahoma"/>
                <w:b/>
                <w:bCs/>
                <w:sz w:val="14"/>
                <w:szCs w:val="14"/>
              </w:rPr>
              <w:t>2010</w:t>
            </w:r>
          </w:p>
        </w:tc>
        <w:tc>
          <w:tcPr>
            <w:tcW w:w="369" w:type="pct"/>
            <w:tcBorders>
              <w:top w:val="single" w:sz="8" w:space="0" w:color="auto"/>
              <w:left w:val="nil"/>
              <w:bottom w:val="single" w:sz="4" w:space="0" w:color="auto"/>
              <w:right w:val="nil"/>
            </w:tcBorders>
            <w:shd w:val="clear" w:color="auto" w:fill="FFFFFF"/>
            <w:noWrap/>
            <w:vAlign w:val="bottom"/>
          </w:tcPr>
          <w:p w:rsidR="00565FD5" w:rsidRPr="007570EF" w:rsidRDefault="00565FD5" w:rsidP="00AB62A3">
            <w:pPr>
              <w:jc w:val="right"/>
              <w:rPr>
                <w:rFonts w:cs="Tahoma"/>
                <w:b/>
                <w:bCs/>
                <w:sz w:val="14"/>
                <w:szCs w:val="14"/>
              </w:rPr>
            </w:pPr>
            <w:r w:rsidRPr="007570EF">
              <w:rPr>
                <w:rFonts w:cs="Tahoma"/>
                <w:b/>
                <w:bCs/>
                <w:sz w:val="14"/>
                <w:szCs w:val="14"/>
              </w:rPr>
              <w:t>2011</w:t>
            </w:r>
          </w:p>
        </w:tc>
        <w:tc>
          <w:tcPr>
            <w:tcW w:w="481" w:type="pct"/>
            <w:tcBorders>
              <w:top w:val="single" w:sz="8" w:space="0" w:color="auto"/>
              <w:left w:val="nil"/>
              <w:bottom w:val="single" w:sz="4" w:space="0" w:color="auto"/>
              <w:right w:val="nil"/>
            </w:tcBorders>
            <w:shd w:val="clear" w:color="auto" w:fill="FFFFFF"/>
            <w:noWrap/>
            <w:vAlign w:val="bottom"/>
          </w:tcPr>
          <w:p w:rsidR="00565FD5" w:rsidRPr="007570EF" w:rsidRDefault="00565FD5" w:rsidP="00AB62A3">
            <w:pPr>
              <w:jc w:val="right"/>
              <w:rPr>
                <w:rFonts w:cs="Tahoma"/>
                <w:b/>
                <w:bCs/>
                <w:sz w:val="14"/>
                <w:szCs w:val="14"/>
              </w:rPr>
            </w:pPr>
            <w:r w:rsidRPr="007570EF">
              <w:rPr>
                <w:rFonts w:cs="Tahoma"/>
                <w:b/>
                <w:bCs/>
                <w:sz w:val="14"/>
                <w:szCs w:val="14"/>
              </w:rPr>
              <w:t>2012(1)</w:t>
            </w:r>
          </w:p>
        </w:tc>
        <w:tc>
          <w:tcPr>
            <w:tcW w:w="481" w:type="pct"/>
            <w:tcBorders>
              <w:top w:val="single" w:sz="8" w:space="0" w:color="auto"/>
              <w:left w:val="nil"/>
              <w:bottom w:val="single" w:sz="4" w:space="0" w:color="auto"/>
              <w:right w:val="single" w:sz="4" w:space="0" w:color="auto"/>
            </w:tcBorders>
            <w:shd w:val="clear" w:color="auto" w:fill="FFFFFF"/>
            <w:noWrap/>
            <w:vAlign w:val="bottom"/>
          </w:tcPr>
          <w:p w:rsidR="00565FD5" w:rsidRPr="007570EF" w:rsidRDefault="00565FD5" w:rsidP="00AB62A3">
            <w:pPr>
              <w:jc w:val="right"/>
              <w:rPr>
                <w:rFonts w:cs="Tahoma"/>
                <w:b/>
                <w:bCs/>
                <w:sz w:val="14"/>
                <w:szCs w:val="14"/>
              </w:rPr>
            </w:pPr>
            <w:r w:rsidRPr="007570EF">
              <w:rPr>
                <w:rFonts w:cs="Tahoma"/>
                <w:b/>
                <w:bCs/>
                <w:sz w:val="14"/>
                <w:szCs w:val="14"/>
              </w:rPr>
              <w:t>2013(2)</w:t>
            </w:r>
          </w:p>
        </w:tc>
      </w:tr>
      <w:tr w:rsidR="00565FD5" w:rsidRPr="007570EF" w:rsidTr="00AB62A3">
        <w:trPr>
          <w:trHeight w:val="227"/>
        </w:trPr>
        <w:tc>
          <w:tcPr>
            <w:tcW w:w="1230" w:type="pct"/>
            <w:tcBorders>
              <w:top w:val="single" w:sz="4" w:space="0" w:color="auto"/>
              <w:left w:val="single" w:sz="4" w:space="0" w:color="auto"/>
              <w:bottom w:val="nil"/>
              <w:right w:val="nil"/>
            </w:tcBorders>
            <w:shd w:val="clear" w:color="auto" w:fill="FFFFFF"/>
            <w:noWrap/>
            <w:vAlign w:val="center"/>
          </w:tcPr>
          <w:p w:rsidR="00565FD5" w:rsidRPr="007570EF" w:rsidRDefault="00565FD5" w:rsidP="00AB62A3">
            <w:pPr>
              <w:rPr>
                <w:rFonts w:cs="Tahoma"/>
                <w:b/>
                <w:bCs/>
                <w:sz w:val="14"/>
                <w:szCs w:val="14"/>
              </w:rPr>
            </w:pPr>
            <w:r w:rsidRPr="007570EF">
              <w:rPr>
                <w:rFonts w:cs="Tahoma"/>
                <w:b/>
                <w:bCs/>
                <w:sz w:val="14"/>
                <w:szCs w:val="14"/>
              </w:rPr>
              <w:t xml:space="preserve">A. Gelirler </w:t>
            </w:r>
          </w:p>
        </w:tc>
        <w:tc>
          <w:tcPr>
            <w:tcW w:w="486" w:type="pct"/>
            <w:tcBorders>
              <w:top w:val="single" w:sz="4" w:space="0" w:color="auto"/>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 xml:space="preserve"> 8 991</w:t>
            </w:r>
          </w:p>
        </w:tc>
        <w:tc>
          <w:tcPr>
            <w:tcW w:w="486" w:type="pct"/>
            <w:tcBorders>
              <w:top w:val="single" w:sz="4" w:space="0" w:color="auto"/>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 xml:space="preserve"> 10 185</w:t>
            </w:r>
          </w:p>
        </w:tc>
        <w:tc>
          <w:tcPr>
            <w:tcW w:w="486" w:type="pct"/>
            <w:tcBorders>
              <w:top w:val="single" w:sz="4" w:space="0" w:color="auto"/>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 xml:space="preserve"> 11 716</w:t>
            </w:r>
          </w:p>
        </w:tc>
        <w:tc>
          <w:tcPr>
            <w:tcW w:w="488" w:type="pct"/>
            <w:tcBorders>
              <w:top w:val="single" w:sz="4" w:space="0" w:color="auto"/>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 xml:space="preserve"> 12 999</w:t>
            </w:r>
          </w:p>
        </w:tc>
        <w:tc>
          <w:tcPr>
            <w:tcW w:w="149" w:type="pct"/>
            <w:tcBorders>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 </w:t>
            </w:r>
          </w:p>
        </w:tc>
        <w:tc>
          <w:tcPr>
            <w:tcW w:w="346" w:type="pct"/>
            <w:tcBorders>
              <w:top w:val="single" w:sz="4" w:space="0" w:color="auto"/>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0,82</w:t>
            </w:r>
          </w:p>
        </w:tc>
        <w:tc>
          <w:tcPr>
            <w:tcW w:w="369" w:type="pct"/>
            <w:tcBorders>
              <w:top w:val="single" w:sz="4" w:space="0" w:color="auto"/>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0,78</w:t>
            </w:r>
          </w:p>
        </w:tc>
        <w:tc>
          <w:tcPr>
            <w:tcW w:w="481" w:type="pct"/>
            <w:tcBorders>
              <w:top w:val="single" w:sz="4" w:space="0" w:color="auto"/>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0,82</w:t>
            </w:r>
          </w:p>
        </w:tc>
        <w:tc>
          <w:tcPr>
            <w:tcW w:w="481" w:type="pct"/>
            <w:tcBorders>
              <w:top w:val="single" w:sz="4" w:space="0" w:color="auto"/>
              <w:left w:val="nil"/>
              <w:bottom w:val="nil"/>
              <w:right w:val="single" w:sz="4" w:space="0" w:color="auto"/>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0,83</w:t>
            </w:r>
          </w:p>
        </w:tc>
      </w:tr>
      <w:tr w:rsidR="00565FD5" w:rsidRPr="007570EF" w:rsidTr="00AB62A3">
        <w:trPr>
          <w:trHeight w:val="227"/>
        </w:trPr>
        <w:tc>
          <w:tcPr>
            <w:tcW w:w="1230" w:type="pct"/>
            <w:tcBorders>
              <w:top w:val="nil"/>
              <w:left w:val="single" w:sz="4" w:space="0" w:color="auto"/>
              <w:bottom w:val="nil"/>
              <w:right w:val="nil"/>
            </w:tcBorders>
            <w:shd w:val="clear" w:color="auto" w:fill="FFFFFF"/>
            <w:noWrap/>
            <w:vAlign w:val="center"/>
          </w:tcPr>
          <w:p w:rsidR="00565FD5" w:rsidRPr="007570EF" w:rsidRDefault="00565FD5" w:rsidP="00AB62A3">
            <w:pPr>
              <w:rPr>
                <w:rFonts w:cs="Tahoma"/>
                <w:sz w:val="14"/>
                <w:szCs w:val="14"/>
              </w:rPr>
            </w:pPr>
            <w:r w:rsidRPr="007570EF">
              <w:rPr>
                <w:rFonts w:cs="Tahoma"/>
                <w:sz w:val="14"/>
                <w:szCs w:val="14"/>
              </w:rPr>
              <w:t>- Prim Gelirleri</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3 529</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3 821</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4 650</w:t>
            </w:r>
          </w:p>
        </w:tc>
        <w:tc>
          <w:tcPr>
            <w:tcW w:w="488"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5 400</w:t>
            </w:r>
          </w:p>
        </w:tc>
        <w:tc>
          <w:tcPr>
            <w:tcW w:w="149"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w:t>
            </w:r>
          </w:p>
        </w:tc>
        <w:tc>
          <w:tcPr>
            <w:tcW w:w="34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0,32</w:t>
            </w:r>
          </w:p>
        </w:tc>
        <w:tc>
          <w:tcPr>
            <w:tcW w:w="369"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0,29</w:t>
            </w:r>
          </w:p>
        </w:tc>
        <w:tc>
          <w:tcPr>
            <w:tcW w:w="481"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0,32</w:t>
            </w:r>
          </w:p>
        </w:tc>
        <w:tc>
          <w:tcPr>
            <w:tcW w:w="481" w:type="pct"/>
            <w:tcBorders>
              <w:top w:val="nil"/>
              <w:left w:val="nil"/>
              <w:bottom w:val="nil"/>
              <w:right w:val="single" w:sz="4" w:space="0" w:color="auto"/>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0,34</w:t>
            </w:r>
          </w:p>
        </w:tc>
      </w:tr>
      <w:tr w:rsidR="00565FD5" w:rsidRPr="007570EF" w:rsidTr="00AB62A3">
        <w:trPr>
          <w:trHeight w:val="227"/>
        </w:trPr>
        <w:tc>
          <w:tcPr>
            <w:tcW w:w="1230" w:type="pct"/>
            <w:tcBorders>
              <w:top w:val="nil"/>
              <w:left w:val="single" w:sz="4" w:space="0" w:color="auto"/>
              <w:bottom w:val="nil"/>
              <w:right w:val="nil"/>
            </w:tcBorders>
            <w:shd w:val="clear" w:color="auto" w:fill="FFFFFF"/>
            <w:noWrap/>
            <w:vAlign w:val="center"/>
          </w:tcPr>
          <w:p w:rsidR="00565FD5" w:rsidRPr="007570EF" w:rsidRDefault="00565FD5" w:rsidP="00AB62A3">
            <w:pPr>
              <w:rPr>
                <w:rFonts w:cs="Tahoma"/>
                <w:sz w:val="14"/>
                <w:szCs w:val="14"/>
              </w:rPr>
            </w:pPr>
            <w:r w:rsidRPr="007570EF">
              <w:rPr>
                <w:rFonts w:cs="Tahoma"/>
                <w:sz w:val="14"/>
                <w:szCs w:val="14"/>
              </w:rPr>
              <w:t>- Devlet Katkısı</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1 176</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1 431</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1 550</w:t>
            </w:r>
          </w:p>
        </w:tc>
        <w:tc>
          <w:tcPr>
            <w:tcW w:w="488"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1 800</w:t>
            </w:r>
          </w:p>
        </w:tc>
        <w:tc>
          <w:tcPr>
            <w:tcW w:w="149"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w:t>
            </w:r>
          </w:p>
        </w:tc>
        <w:tc>
          <w:tcPr>
            <w:tcW w:w="34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0,11</w:t>
            </w:r>
          </w:p>
        </w:tc>
        <w:tc>
          <w:tcPr>
            <w:tcW w:w="369"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0,11</w:t>
            </w:r>
          </w:p>
        </w:tc>
        <w:tc>
          <w:tcPr>
            <w:tcW w:w="481"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0,11</w:t>
            </w:r>
          </w:p>
        </w:tc>
        <w:tc>
          <w:tcPr>
            <w:tcW w:w="481" w:type="pct"/>
            <w:tcBorders>
              <w:top w:val="nil"/>
              <w:left w:val="nil"/>
              <w:bottom w:val="nil"/>
              <w:right w:val="single" w:sz="4" w:space="0" w:color="auto"/>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0,11</w:t>
            </w:r>
          </w:p>
        </w:tc>
      </w:tr>
      <w:tr w:rsidR="00565FD5" w:rsidRPr="007570EF" w:rsidTr="00AB62A3">
        <w:trPr>
          <w:trHeight w:val="227"/>
        </w:trPr>
        <w:tc>
          <w:tcPr>
            <w:tcW w:w="1230" w:type="pct"/>
            <w:tcBorders>
              <w:top w:val="nil"/>
              <w:left w:val="single" w:sz="4" w:space="0" w:color="auto"/>
              <w:bottom w:val="nil"/>
              <w:right w:val="nil"/>
            </w:tcBorders>
            <w:shd w:val="clear" w:color="auto" w:fill="FFFFFF"/>
            <w:noWrap/>
            <w:vAlign w:val="center"/>
          </w:tcPr>
          <w:p w:rsidR="00565FD5" w:rsidRPr="007570EF" w:rsidRDefault="00565FD5" w:rsidP="00AB62A3">
            <w:pPr>
              <w:rPr>
                <w:rFonts w:cs="Tahoma"/>
                <w:sz w:val="14"/>
                <w:szCs w:val="14"/>
              </w:rPr>
            </w:pPr>
            <w:r w:rsidRPr="007570EF">
              <w:rPr>
                <w:rFonts w:cs="Tahoma"/>
                <w:sz w:val="14"/>
                <w:szCs w:val="14"/>
              </w:rPr>
              <w:t>- Faiz Gelirleri</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4 128</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4 871</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5 421</w:t>
            </w:r>
          </w:p>
        </w:tc>
        <w:tc>
          <w:tcPr>
            <w:tcW w:w="488"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5 715</w:t>
            </w:r>
          </w:p>
        </w:tc>
        <w:tc>
          <w:tcPr>
            <w:tcW w:w="149"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w:t>
            </w:r>
          </w:p>
        </w:tc>
        <w:tc>
          <w:tcPr>
            <w:tcW w:w="34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0,38</w:t>
            </w:r>
          </w:p>
        </w:tc>
        <w:tc>
          <w:tcPr>
            <w:tcW w:w="369"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0,38</w:t>
            </w:r>
          </w:p>
        </w:tc>
        <w:tc>
          <w:tcPr>
            <w:tcW w:w="481"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0,38</w:t>
            </w:r>
          </w:p>
        </w:tc>
        <w:tc>
          <w:tcPr>
            <w:tcW w:w="481" w:type="pct"/>
            <w:tcBorders>
              <w:top w:val="nil"/>
              <w:left w:val="nil"/>
              <w:bottom w:val="nil"/>
              <w:right w:val="single" w:sz="4" w:space="0" w:color="auto"/>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0,36</w:t>
            </w:r>
          </w:p>
        </w:tc>
      </w:tr>
      <w:tr w:rsidR="00565FD5" w:rsidRPr="007570EF" w:rsidTr="00AB62A3">
        <w:trPr>
          <w:trHeight w:val="227"/>
        </w:trPr>
        <w:tc>
          <w:tcPr>
            <w:tcW w:w="1230" w:type="pct"/>
            <w:tcBorders>
              <w:top w:val="nil"/>
              <w:left w:val="single" w:sz="4" w:space="0" w:color="auto"/>
              <w:bottom w:val="nil"/>
              <w:right w:val="nil"/>
            </w:tcBorders>
            <w:shd w:val="clear" w:color="auto" w:fill="FFFFFF"/>
            <w:noWrap/>
            <w:vAlign w:val="center"/>
          </w:tcPr>
          <w:p w:rsidR="00565FD5" w:rsidRPr="007570EF" w:rsidRDefault="00565FD5" w:rsidP="00AB62A3">
            <w:pPr>
              <w:rPr>
                <w:rFonts w:cs="Tahoma"/>
                <w:sz w:val="14"/>
                <w:szCs w:val="14"/>
              </w:rPr>
            </w:pPr>
            <w:r w:rsidRPr="007570EF">
              <w:rPr>
                <w:rFonts w:cs="Tahoma"/>
                <w:sz w:val="14"/>
                <w:szCs w:val="14"/>
              </w:rPr>
              <w:t>- Diğer Gelirler</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157</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63</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94</w:t>
            </w:r>
          </w:p>
        </w:tc>
        <w:tc>
          <w:tcPr>
            <w:tcW w:w="488"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84</w:t>
            </w:r>
          </w:p>
        </w:tc>
        <w:tc>
          <w:tcPr>
            <w:tcW w:w="149"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p>
        </w:tc>
        <w:tc>
          <w:tcPr>
            <w:tcW w:w="34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0,01</w:t>
            </w:r>
          </w:p>
        </w:tc>
        <w:tc>
          <w:tcPr>
            <w:tcW w:w="369"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0,00</w:t>
            </w:r>
          </w:p>
        </w:tc>
        <w:tc>
          <w:tcPr>
            <w:tcW w:w="481"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0,01</w:t>
            </w:r>
          </w:p>
        </w:tc>
        <w:tc>
          <w:tcPr>
            <w:tcW w:w="481" w:type="pct"/>
            <w:tcBorders>
              <w:top w:val="nil"/>
              <w:left w:val="nil"/>
              <w:bottom w:val="nil"/>
              <w:right w:val="single" w:sz="4" w:space="0" w:color="auto"/>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0,01</w:t>
            </w:r>
          </w:p>
        </w:tc>
      </w:tr>
      <w:tr w:rsidR="00565FD5" w:rsidRPr="007570EF" w:rsidTr="00AB62A3">
        <w:trPr>
          <w:trHeight w:val="227"/>
        </w:trPr>
        <w:tc>
          <w:tcPr>
            <w:tcW w:w="1230" w:type="pct"/>
            <w:tcBorders>
              <w:top w:val="nil"/>
              <w:left w:val="single" w:sz="4" w:space="0" w:color="auto"/>
              <w:bottom w:val="nil"/>
              <w:right w:val="nil"/>
            </w:tcBorders>
            <w:shd w:val="clear" w:color="auto" w:fill="FFFFFF"/>
            <w:noWrap/>
            <w:vAlign w:val="center"/>
          </w:tcPr>
          <w:p w:rsidR="00565FD5" w:rsidRPr="007570EF" w:rsidRDefault="00565FD5" w:rsidP="00AB62A3">
            <w:pPr>
              <w:rPr>
                <w:rFonts w:cs="Tahoma"/>
                <w:b/>
                <w:bCs/>
                <w:sz w:val="14"/>
                <w:szCs w:val="14"/>
              </w:rPr>
            </w:pPr>
            <w:r w:rsidRPr="007570EF">
              <w:rPr>
                <w:rFonts w:cs="Tahoma"/>
                <w:b/>
                <w:bCs/>
                <w:sz w:val="14"/>
                <w:szCs w:val="14"/>
              </w:rPr>
              <w:t>B. Giderler</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 xml:space="preserve"> 5 147</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 xml:space="preserve"> 2 603</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 xml:space="preserve"> 3 735</w:t>
            </w:r>
          </w:p>
        </w:tc>
        <w:tc>
          <w:tcPr>
            <w:tcW w:w="488" w:type="pct"/>
            <w:tcBorders>
              <w:top w:val="nil"/>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 xml:space="preserve"> 2 696</w:t>
            </w:r>
          </w:p>
        </w:tc>
        <w:tc>
          <w:tcPr>
            <w:tcW w:w="149" w:type="pct"/>
            <w:tcBorders>
              <w:top w:val="nil"/>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 </w:t>
            </w:r>
          </w:p>
        </w:tc>
        <w:tc>
          <w:tcPr>
            <w:tcW w:w="346" w:type="pct"/>
            <w:tcBorders>
              <w:top w:val="nil"/>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0,47</w:t>
            </w:r>
          </w:p>
        </w:tc>
        <w:tc>
          <w:tcPr>
            <w:tcW w:w="369" w:type="pct"/>
            <w:tcBorders>
              <w:top w:val="nil"/>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0,20</w:t>
            </w:r>
          </w:p>
        </w:tc>
        <w:tc>
          <w:tcPr>
            <w:tcW w:w="481" w:type="pct"/>
            <w:tcBorders>
              <w:top w:val="nil"/>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0,26</w:t>
            </w:r>
          </w:p>
        </w:tc>
        <w:tc>
          <w:tcPr>
            <w:tcW w:w="481" w:type="pct"/>
            <w:tcBorders>
              <w:top w:val="nil"/>
              <w:left w:val="nil"/>
              <w:bottom w:val="nil"/>
              <w:right w:val="single" w:sz="4" w:space="0" w:color="auto"/>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0,17</w:t>
            </w:r>
          </w:p>
        </w:tc>
      </w:tr>
      <w:tr w:rsidR="00565FD5" w:rsidRPr="007570EF" w:rsidTr="00AB62A3">
        <w:trPr>
          <w:trHeight w:val="227"/>
        </w:trPr>
        <w:tc>
          <w:tcPr>
            <w:tcW w:w="1230" w:type="pct"/>
            <w:tcBorders>
              <w:top w:val="nil"/>
              <w:left w:val="single" w:sz="4" w:space="0" w:color="auto"/>
              <w:bottom w:val="nil"/>
              <w:right w:val="nil"/>
            </w:tcBorders>
            <w:shd w:val="clear" w:color="auto" w:fill="FFFFFF"/>
            <w:noWrap/>
            <w:vAlign w:val="center"/>
          </w:tcPr>
          <w:p w:rsidR="00565FD5" w:rsidRPr="007570EF" w:rsidRDefault="00565FD5" w:rsidP="00AB62A3">
            <w:pPr>
              <w:rPr>
                <w:rFonts w:cs="Tahoma"/>
                <w:sz w:val="14"/>
                <w:szCs w:val="14"/>
              </w:rPr>
            </w:pPr>
            <w:r w:rsidRPr="007570EF">
              <w:rPr>
                <w:rFonts w:cs="Tahoma"/>
                <w:sz w:val="14"/>
                <w:szCs w:val="14"/>
              </w:rPr>
              <w:t>- Sigorta Giderleri (3)</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875</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808</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978</w:t>
            </w:r>
          </w:p>
        </w:tc>
        <w:tc>
          <w:tcPr>
            <w:tcW w:w="488"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1 114</w:t>
            </w:r>
          </w:p>
        </w:tc>
        <w:tc>
          <w:tcPr>
            <w:tcW w:w="149"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w:t>
            </w:r>
          </w:p>
        </w:tc>
        <w:tc>
          <w:tcPr>
            <w:tcW w:w="34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0,08</w:t>
            </w:r>
          </w:p>
        </w:tc>
        <w:tc>
          <w:tcPr>
            <w:tcW w:w="369"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0,06</w:t>
            </w:r>
          </w:p>
        </w:tc>
        <w:tc>
          <w:tcPr>
            <w:tcW w:w="481"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0,07</w:t>
            </w:r>
          </w:p>
        </w:tc>
        <w:tc>
          <w:tcPr>
            <w:tcW w:w="481" w:type="pct"/>
            <w:tcBorders>
              <w:top w:val="nil"/>
              <w:left w:val="nil"/>
              <w:bottom w:val="nil"/>
              <w:right w:val="single" w:sz="4" w:space="0" w:color="auto"/>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0,07</w:t>
            </w:r>
          </w:p>
        </w:tc>
      </w:tr>
      <w:tr w:rsidR="00565FD5" w:rsidRPr="007570EF" w:rsidTr="00AB62A3">
        <w:trPr>
          <w:trHeight w:val="227"/>
        </w:trPr>
        <w:tc>
          <w:tcPr>
            <w:tcW w:w="1230" w:type="pct"/>
            <w:tcBorders>
              <w:top w:val="nil"/>
              <w:left w:val="single" w:sz="4" w:space="0" w:color="auto"/>
              <w:bottom w:val="nil"/>
              <w:right w:val="nil"/>
            </w:tcBorders>
            <w:shd w:val="clear" w:color="auto" w:fill="FFFFFF"/>
            <w:noWrap/>
            <w:vAlign w:val="center"/>
          </w:tcPr>
          <w:p w:rsidR="00565FD5" w:rsidRPr="007570EF" w:rsidRDefault="00565FD5" w:rsidP="00AB62A3">
            <w:pPr>
              <w:rPr>
                <w:rFonts w:cs="Tahoma"/>
                <w:sz w:val="14"/>
                <w:szCs w:val="14"/>
              </w:rPr>
            </w:pPr>
            <w:r w:rsidRPr="007570EF">
              <w:rPr>
                <w:rFonts w:cs="Tahoma"/>
                <w:sz w:val="14"/>
                <w:szCs w:val="14"/>
              </w:rPr>
              <w:t>- MYB'ye Transferler (4)</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3 664</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995</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1 356</w:t>
            </w:r>
          </w:p>
        </w:tc>
        <w:tc>
          <w:tcPr>
            <w:tcW w:w="488"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0</w:t>
            </w:r>
          </w:p>
        </w:tc>
        <w:tc>
          <w:tcPr>
            <w:tcW w:w="149"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w:t>
            </w:r>
          </w:p>
        </w:tc>
        <w:tc>
          <w:tcPr>
            <w:tcW w:w="34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0,33</w:t>
            </w:r>
          </w:p>
        </w:tc>
        <w:tc>
          <w:tcPr>
            <w:tcW w:w="369"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0,08</w:t>
            </w:r>
          </w:p>
        </w:tc>
        <w:tc>
          <w:tcPr>
            <w:tcW w:w="481"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0,09</w:t>
            </w:r>
          </w:p>
        </w:tc>
        <w:tc>
          <w:tcPr>
            <w:tcW w:w="481" w:type="pct"/>
            <w:tcBorders>
              <w:top w:val="nil"/>
              <w:left w:val="nil"/>
              <w:bottom w:val="nil"/>
              <w:right w:val="single" w:sz="4" w:space="0" w:color="auto"/>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0,00</w:t>
            </w:r>
          </w:p>
        </w:tc>
      </w:tr>
      <w:tr w:rsidR="00565FD5" w:rsidRPr="007570EF" w:rsidTr="00AB62A3">
        <w:trPr>
          <w:trHeight w:val="227"/>
        </w:trPr>
        <w:tc>
          <w:tcPr>
            <w:tcW w:w="1230" w:type="pct"/>
            <w:tcBorders>
              <w:top w:val="nil"/>
              <w:left w:val="single" w:sz="4" w:space="0" w:color="auto"/>
              <w:bottom w:val="nil"/>
              <w:right w:val="nil"/>
            </w:tcBorders>
            <w:shd w:val="clear" w:color="auto" w:fill="FFFFFF"/>
            <w:noWrap/>
            <w:vAlign w:val="center"/>
          </w:tcPr>
          <w:p w:rsidR="00565FD5" w:rsidRPr="007570EF" w:rsidRDefault="00565FD5" w:rsidP="00AB62A3">
            <w:pPr>
              <w:rPr>
                <w:rFonts w:cs="Tahoma"/>
                <w:sz w:val="14"/>
                <w:szCs w:val="14"/>
              </w:rPr>
            </w:pPr>
            <w:r w:rsidRPr="007570EF">
              <w:rPr>
                <w:rFonts w:cs="Tahoma"/>
                <w:sz w:val="14"/>
                <w:szCs w:val="14"/>
              </w:rPr>
              <w:t>- Diğer Giderler</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608</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800</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1 401</w:t>
            </w:r>
          </w:p>
        </w:tc>
        <w:tc>
          <w:tcPr>
            <w:tcW w:w="488"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xml:space="preserve"> 1 582</w:t>
            </w:r>
          </w:p>
        </w:tc>
        <w:tc>
          <w:tcPr>
            <w:tcW w:w="149"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 </w:t>
            </w:r>
          </w:p>
        </w:tc>
        <w:tc>
          <w:tcPr>
            <w:tcW w:w="346"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0,06</w:t>
            </w:r>
          </w:p>
        </w:tc>
        <w:tc>
          <w:tcPr>
            <w:tcW w:w="369"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0,06</w:t>
            </w:r>
          </w:p>
        </w:tc>
        <w:tc>
          <w:tcPr>
            <w:tcW w:w="481" w:type="pct"/>
            <w:tcBorders>
              <w:top w:val="nil"/>
              <w:left w:val="nil"/>
              <w:bottom w:val="nil"/>
              <w:right w:val="nil"/>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0,10</w:t>
            </w:r>
          </w:p>
        </w:tc>
        <w:tc>
          <w:tcPr>
            <w:tcW w:w="481" w:type="pct"/>
            <w:tcBorders>
              <w:top w:val="nil"/>
              <w:left w:val="nil"/>
              <w:bottom w:val="nil"/>
              <w:right w:val="single" w:sz="4" w:space="0" w:color="auto"/>
            </w:tcBorders>
            <w:shd w:val="clear" w:color="auto" w:fill="FFFFFF"/>
            <w:noWrap/>
            <w:vAlign w:val="center"/>
          </w:tcPr>
          <w:p w:rsidR="00565FD5" w:rsidRPr="007570EF" w:rsidRDefault="00565FD5" w:rsidP="00AB62A3">
            <w:pPr>
              <w:jc w:val="right"/>
              <w:rPr>
                <w:rFonts w:cs="Tahoma"/>
                <w:sz w:val="14"/>
                <w:szCs w:val="14"/>
              </w:rPr>
            </w:pPr>
            <w:r w:rsidRPr="007570EF">
              <w:rPr>
                <w:rFonts w:cs="Tahoma"/>
                <w:sz w:val="14"/>
                <w:szCs w:val="14"/>
              </w:rPr>
              <w:t>0,10</w:t>
            </w:r>
          </w:p>
        </w:tc>
      </w:tr>
      <w:tr w:rsidR="00565FD5" w:rsidRPr="007570EF" w:rsidTr="00AB62A3">
        <w:trPr>
          <w:trHeight w:val="227"/>
        </w:trPr>
        <w:tc>
          <w:tcPr>
            <w:tcW w:w="1230" w:type="pct"/>
            <w:tcBorders>
              <w:top w:val="nil"/>
              <w:left w:val="single" w:sz="4" w:space="0" w:color="auto"/>
              <w:bottom w:val="nil"/>
              <w:right w:val="nil"/>
            </w:tcBorders>
            <w:shd w:val="clear" w:color="auto" w:fill="FFFFFF"/>
            <w:noWrap/>
            <w:vAlign w:val="center"/>
          </w:tcPr>
          <w:p w:rsidR="00565FD5" w:rsidRPr="007570EF" w:rsidRDefault="00565FD5" w:rsidP="00AB62A3">
            <w:pPr>
              <w:rPr>
                <w:rFonts w:cs="Tahoma"/>
                <w:b/>
                <w:bCs/>
                <w:sz w:val="14"/>
                <w:szCs w:val="14"/>
              </w:rPr>
            </w:pPr>
            <w:r w:rsidRPr="007570EF">
              <w:rPr>
                <w:rFonts w:cs="Tahoma"/>
                <w:b/>
                <w:bCs/>
                <w:sz w:val="14"/>
                <w:szCs w:val="14"/>
              </w:rPr>
              <w:t>C. Gelir-Gider Farkı</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 xml:space="preserve"> 3 844</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 xml:space="preserve"> 7 582</w:t>
            </w:r>
          </w:p>
        </w:tc>
        <w:tc>
          <w:tcPr>
            <w:tcW w:w="486" w:type="pct"/>
            <w:tcBorders>
              <w:top w:val="nil"/>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 xml:space="preserve"> 7 980</w:t>
            </w:r>
          </w:p>
        </w:tc>
        <w:tc>
          <w:tcPr>
            <w:tcW w:w="488" w:type="pct"/>
            <w:tcBorders>
              <w:top w:val="nil"/>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 xml:space="preserve"> 10 303</w:t>
            </w:r>
          </w:p>
        </w:tc>
        <w:tc>
          <w:tcPr>
            <w:tcW w:w="149" w:type="pct"/>
            <w:tcBorders>
              <w:top w:val="nil"/>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 </w:t>
            </w:r>
          </w:p>
        </w:tc>
        <w:tc>
          <w:tcPr>
            <w:tcW w:w="346" w:type="pct"/>
            <w:tcBorders>
              <w:top w:val="nil"/>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0,35</w:t>
            </w:r>
          </w:p>
        </w:tc>
        <w:tc>
          <w:tcPr>
            <w:tcW w:w="369" w:type="pct"/>
            <w:tcBorders>
              <w:top w:val="nil"/>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0,58</w:t>
            </w:r>
          </w:p>
        </w:tc>
        <w:tc>
          <w:tcPr>
            <w:tcW w:w="481" w:type="pct"/>
            <w:tcBorders>
              <w:top w:val="nil"/>
              <w:left w:val="nil"/>
              <w:bottom w:val="nil"/>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0,56</w:t>
            </w:r>
          </w:p>
        </w:tc>
        <w:tc>
          <w:tcPr>
            <w:tcW w:w="481" w:type="pct"/>
            <w:tcBorders>
              <w:top w:val="nil"/>
              <w:left w:val="nil"/>
              <w:bottom w:val="nil"/>
              <w:right w:val="single" w:sz="4" w:space="0" w:color="auto"/>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0,66</w:t>
            </w:r>
          </w:p>
        </w:tc>
      </w:tr>
      <w:tr w:rsidR="00565FD5" w:rsidRPr="007570EF" w:rsidTr="00AB62A3">
        <w:trPr>
          <w:trHeight w:val="227"/>
        </w:trPr>
        <w:tc>
          <w:tcPr>
            <w:tcW w:w="1230" w:type="pct"/>
            <w:tcBorders>
              <w:top w:val="nil"/>
              <w:left w:val="single" w:sz="4" w:space="0" w:color="auto"/>
              <w:bottom w:val="single" w:sz="4" w:space="0" w:color="auto"/>
              <w:right w:val="nil"/>
            </w:tcBorders>
            <w:shd w:val="clear" w:color="auto" w:fill="FFFFFF"/>
            <w:noWrap/>
            <w:vAlign w:val="center"/>
          </w:tcPr>
          <w:p w:rsidR="00565FD5" w:rsidRPr="007570EF" w:rsidRDefault="00565FD5" w:rsidP="00AB62A3">
            <w:pPr>
              <w:rPr>
                <w:rFonts w:cs="Tahoma"/>
                <w:b/>
                <w:bCs/>
                <w:sz w:val="14"/>
                <w:szCs w:val="14"/>
              </w:rPr>
            </w:pPr>
            <w:r w:rsidRPr="007570EF">
              <w:rPr>
                <w:rFonts w:cs="Tahoma"/>
                <w:b/>
                <w:bCs/>
                <w:sz w:val="14"/>
                <w:szCs w:val="14"/>
              </w:rPr>
              <w:t>D. Toplam Fon Varlığı</w:t>
            </w:r>
          </w:p>
        </w:tc>
        <w:tc>
          <w:tcPr>
            <w:tcW w:w="486" w:type="pct"/>
            <w:tcBorders>
              <w:top w:val="nil"/>
              <w:left w:val="nil"/>
              <w:bottom w:val="single" w:sz="4" w:space="0" w:color="auto"/>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 xml:space="preserve"> 45 945</w:t>
            </w:r>
          </w:p>
        </w:tc>
        <w:tc>
          <w:tcPr>
            <w:tcW w:w="486" w:type="pct"/>
            <w:tcBorders>
              <w:top w:val="nil"/>
              <w:left w:val="nil"/>
              <w:bottom w:val="single" w:sz="4" w:space="0" w:color="auto"/>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 xml:space="preserve"> 53 527</w:t>
            </w:r>
          </w:p>
        </w:tc>
        <w:tc>
          <w:tcPr>
            <w:tcW w:w="486" w:type="pct"/>
            <w:tcBorders>
              <w:top w:val="nil"/>
              <w:left w:val="nil"/>
              <w:bottom w:val="single" w:sz="4" w:space="0" w:color="auto"/>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 xml:space="preserve"> 61 507</w:t>
            </w:r>
          </w:p>
        </w:tc>
        <w:tc>
          <w:tcPr>
            <w:tcW w:w="488" w:type="pct"/>
            <w:tcBorders>
              <w:top w:val="nil"/>
              <w:left w:val="nil"/>
              <w:bottom w:val="single" w:sz="4" w:space="0" w:color="auto"/>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 xml:space="preserve"> 71 810</w:t>
            </w:r>
          </w:p>
        </w:tc>
        <w:tc>
          <w:tcPr>
            <w:tcW w:w="149" w:type="pct"/>
            <w:tcBorders>
              <w:top w:val="nil"/>
              <w:left w:val="nil"/>
              <w:bottom w:val="single" w:sz="4" w:space="0" w:color="auto"/>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 </w:t>
            </w:r>
          </w:p>
        </w:tc>
        <w:tc>
          <w:tcPr>
            <w:tcW w:w="346" w:type="pct"/>
            <w:tcBorders>
              <w:top w:val="nil"/>
              <w:left w:val="nil"/>
              <w:bottom w:val="single" w:sz="4" w:space="0" w:color="auto"/>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4,18</w:t>
            </w:r>
          </w:p>
        </w:tc>
        <w:tc>
          <w:tcPr>
            <w:tcW w:w="369" w:type="pct"/>
            <w:tcBorders>
              <w:top w:val="nil"/>
              <w:left w:val="nil"/>
              <w:bottom w:val="single" w:sz="4" w:space="0" w:color="auto"/>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4,12</w:t>
            </w:r>
          </w:p>
        </w:tc>
        <w:tc>
          <w:tcPr>
            <w:tcW w:w="481" w:type="pct"/>
            <w:tcBorders>
              <w:top w:val="nil"/>
              <w:left w:val="nil"/>
              <w:bottom w:val="single" w:sz="4" w:space="0" w:color="auto"/>
              <w:right w:val="nil"/>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4,29</w:t>
            </w:r>
          </w:p>
        </w:tc>
        <w:tc>
          <w:tcPr>
            <w:tcW w:w="481" w:type="pct"/>
            <w:tcBorders>
              <w:top w:val="nil"/>
              <w:left w:val="nil"/>
              <w:bottom w:val="single" w:sz="4" w:space="0" w:color="auto"/>
              <w:right w:val="single" w:sz="4" w:space="0" w:color="auto"/>
            </w:tcBorders>
            <w:shd w:val="clear" w:color="auto" w:fill="FFFFFF"/>
            <w:noWrap/>
            <w:vAlign w:val="center"/>
          </w:tcPr>
          <w:p w:rsidR="00565FD5" w:rsidRPr="007570EF" w:rsidRDefault="00565FD5" w:rsidP="00AB62A3">
            <w:pPr>
              <w:jc w:val="right"/>
              <w:rPr>
                <w:rFonts w:cs="Tahoma"/>
                <w:b/>
                <w:bCs/>
                <w:sz w:val="14"/>
                <w:szCs w:val="14"/>
              </w:rPr>
            </w:pPr>
            <w:r w:rsidRPr="007570EF">
              <w:rPr>
                <w:rFonts w:cs="Tahoma"/>
                <w:b/>
                <w:bCs/>
                <w:sz w:val="14"/>
                <w:szCs w:val="14"/>
              </w:rPr>
              <w:t>4,57</w:t>
            </w:r>
          </w:p>
        </w:tc>
      </w:tr>
    </w:tbl>
    <w:p w:rsidR="00565FD5" w:rsidRPr="007570EF" w:rsidRDefault="00565FD5" w:rsidP="00565FD5">
      <w:pPr>
        <w:tabs>
          <w:tab w:val="left" w:pos="360"/>
        </w:tabs>
        <w:rPr>
          <w:rFonts w:cs="Tahoma"/>
          <w:sz w:val="14"/>
          <w:szCs w:val="14"/>
        </w:rPr>
      </w:pPr>
      <w:bookmarkStart w:id="1093" w:name="_Toc276059406"/>
      <w:r w:rsidRPr="007570EF">
        <w:rPr>
          <w:rFonts w:cs="Tahoma"/>
          <w:sz w:val="14"/>
          <w:szCs w:val="14"/>
        </w:rPr>
        <w:t>Kaynak: Kalkınma Bakanlığı</w:t>
      </w:r>
    </w:p>
    <w:p w:rsidR="00565FD5" w:rsidRPr="007570EF" w:rsidRDefault="00565FD5" w:rsidP="00EB1E69">
      <w:pPr>
        <w:numPr>
          <w:ilvl w:val="0"/>
          <w:numId w:val="10"/>
        </w:numPr>
        <w:spacing w:after="0" w:line="240" w:lineRule="auto"/>
        <w:ind w:right="-85"/>
        <w:jc w:val="both"/>
        <w:rPr>
          <w:rFonts w:cs="Tahoma"/>
          <w:sz w:val="14"/>
          <w:szCs w:val="14"/>
        </w:rPr>
      </w:pPr>
      <w:r w:rsidRPr="007570EF">
        <w:rPr>
          <w:rFonts w:cs="Tahoma"/>
          <w:sz w:val="14"/>
          <w:szCs w:val="14"/>
        </w:rPr>
        <w:t>Gerçekleşme tahmini</w:t>
      </w:r>
    </w:p>
    <w:p w:rsidR="00565FD5" w:rsidRPr="007570EF" w:rsidRDefault="00565FD5" w:rsidP="00EB1E69">
      <w:pPr>
        <w:numPr>
          <w:ilvl w:val="0"/>
          <w:numId w:val="10"/>
        </w:numPr>
        <w:spacing w:after="0" w:line="240" w:lineRule="auto"/>
        <w:ind w:left="284" w:right="-85" w:hanging="284"/>
        <w:jc w:val="both"/>
        <w:rPr>
          <w:rFonts w:cs="Tahoma"/>
          <w:sz w:val="14"/>
          <w:szCs w:val="14"/>
        </w:rPr>
      </w:pPr>
      <w:r w:rsidRPr="007570EF">
        <w:rPr>
          <w:rFonts w:cs="Tahoma"/>
          <w:sz w:val="14"/>
          <w:szCs w:val="14"/>
        </w:rPr>
        <w:t>Program</w:t>
      </w:r>
    </w:p>
    <w:p w:rsidR="00565FD5" w:rsidRPr="007570EF" w:rsidRDefault="00565FD5" w:rsidP="00EB1E69">
      <w:pPr>
        <w:numPr>
          <w:ilvl w:val="0"/>
          <w:numId w:val="10"/>
        </w:numPr>
        <w:spacing w:after="0" w:line="240" w:lineRule="auto"/>
        <w:ind w:left="284" w:right="-85" w:hanging="284"/>
        <w:jc w:val="both"/>
        <w:rPr>
          <w:rFonts w:cs="Tahoma"/>
          <w:sz w:val="14"/>
          <w:szCs w:val="14"/>
        </w:rPr>
      </w:pPr>
      <w:r w:rsidRPr="007570EF">
        <w:rPr>
          <w:rFonts w:cs="Tahoma"/>
          <w:sz w:val="14"/>
          <w:szCs w:val="14"/>
        </w:rPr>
        <w:lastRenderedPageBreak/>
        <w:t>İşsizlik ödeneği, kısa çalışma ödeneği ve ücret garanti fonu giderleri dahil edilmiştir.</w:t>
      </w:r>
    </w:p>
    <w:p w:rsidR="00565FD5" w:rsidRPr="007570EF" w:rsidRDefault="00565FD5" w:rsidP="00EB1E69">
      <w:pPr>
        <w:numPr>
          <w:ilvl w:val="0"/>
          <w:numId w:val="10"/>
        </w:numPr>
        <w:spacing w:after="240" w:line="240" w:lineRule="auto"/>
        <w:ind w:left="284" w:right="-85" w:hanging="284"/>
        <w:jc w:val="both"/>
        <w:rPr>
          <w:rFonts w:cs="Tahoma"/>
          <w:sz w:val="14"/>
          <w:szCs w:val="14"/>
        </w:rPr>
      </w:pPr>
      <w:r w:rsidRPr="007570EF">
        <w:rPr>
          <w:rFonts w:cs="Tahoma"/>
          <w:sz w:val="14"/>
          <w:szCs w:val="14"/>
        </w:rPr>
        <w:t>İşsizlik Sigortası Fonunun GAP kapsamındaki yatırımlar öncelikli olmak üzere ekonomik kalkınma ve sosyal gelişmeye yönelik altyapı yatırımlarının finansmanı için merkezi yönetim bütçesine yapılacak transfer rakamı bu kalemde gösterilmektedir.</w:t>
      </w:r>
    </w:p>
    <w:bookmarkEnd w:id="1063"/>
    <w:bookmarkEnd w:id="1064"/>
    <w:bookmarkEnd w:id="1065"/>
    <w:bookmarkEnd w:id="1066"/>
    <w:bookmarkEnd w:id="1067"/>
    <w:bookmarkEnd w:id="1093"/>
    <w:p w:rsidR="00565FD5" w:rsidRPr="007570EF" w:rsidRDefault="00565FD5" w:rsidP="00565FD5">
      <w:pPr>
        <w:spacing w:before="120" w:after="120"/>
        <w:ind w:firstLine="425"/>
        <w:rPr>
          <w:szCs w:val="18"/>
        </w:rPr>
      </w:pPr>
      <w:r w:rsidRPr="007570EF">
        <w:rPr>
          <w:szCs w:val="18"/>
        </w:rPr>
        <w:t>2009 ve 2010 yıllarında İşsizlik Sigortası Fonu faiz gelirlerinin dörtte üçü ekonomik kalkınma ve sosyal gelişmeye yönelik altyapı yatırımlarının finansmanında kullanılmak üzere merkezi yönetim bütçesine aktarılırken, 2011 ve 2012 yıllarında bu oran dörtte bir olarak uygulanmıştır. Buna göre, merkezi yönetim bütçesine 2011 yılında 1 milyar TL aktarılmış olup 2012 yılında 1,4 milyar TL aktarılması beklenmektedir.</w:t>
      </w:r>
    </w:p>
    <w:p w:rsidR="00565FD5" w:rsidRPr="007570EF" w:rsidRDefault="00565FD5" w:rsidP="00565FD5">
      <w:pPr>
        <w:spacing w:before="120" w:after="120"/>
        <w:ind w:firstLine="425"/>
        <w:rPr>
          <w:szCs w:val="18"/>
        </w:rPr>
      </w:pPr>
      <w:r w:rsidRPr="007570EF">
        <w:rPr>
          <w:szCs w:val="18"/>
        </w:rPr>
        <w:t>Bu gelişmeler neticesinde, 2012 yılında toplam Fon varlığının 61,5 milyar TL’lik tutarla GSYH’nın yüzde 4,29’una ulaşacağı tahmin edilmektedir.</w:t>
      </w:r>
    </w:p>
    <w:p w:rsidR="00565FD5" w:rsidRPr="007570EF" w:rsidRDefault="00565FD5" w:rsidP="00565FD5">
      <w:pPr>
        <w:pStyle w:val="Balk4"/>
      </w:pPr>
      <w:bookmarkStart w:id="1094" w:name="_Toc307601959"/>
      <w:bookmarkStart w:id="1095" w:name="_Toc307670407"/>
      <w:bookmarkStart w:id="1096" w:name="_Toc307701633"/>
      <w:bookmarkStart w:id="1097" w:name="_Toc338505550"/>
      <w:bookmarkStart w:id="1098" w:name="_Toc338523767"/>
      <w:bookmarkStart w:id="1099" w:name="_Toc338523998"/>
      <w:bookmarkStart w:id="1100" w:name="_Toc338526224"/>
      <w:bookmarkStart w:id="1101" w:name="_Toc338673667"/>
      <w:bookmarkStart w:id="1102" w:name="_Toc338711546"/>
      <w:r w:rsidRPr="007570EF">
        <w:t>2. 2013 Yılı Hedefleri</w:t>
      </w:r>
      <w:bookmarkEnd w:id="1094"/>
      <w:bookmarkEnd w:id="1095"/>
      <w:bookmarkEnd w:id="1096"/>
      <w:bookmarkEnd w:id="1097"/>
      <w:bookmarkEnd w:id="1098"/>
      <w:bookmarkEnd w:id="1099"/>
      <w:bookmarkEnd w:id="1100"/>
      <w:bookmarkEnd w:id="1101"/>
      <w:bookmarkEnd w:id="1102"/>
    </w:p>
    <w:p w:rsidR="00565FD5" w:rsidRPr="007570EF" w:rsidRDefault="00565FD5" w:rsidP="00565FD5">
      <w:pPr>
        <w:spacing w:before="120" w:after="120"/>
        <w:ind w:firstLine="425"/>
        <w:rPr>
          <w:szCs w:val="18"/>
        </w:rPr>
      </w:pPr>
      <w:r w:rsidRPr="007570EF">
        <w:rPr>
          <w:szCs w:val="18"/>
        </w:rPr>
        <w:t xml:space="preserve">Asgari ücretin 2013 yılı Ocak ve Temmuz aylarında yüzde 3 oranında,  Devredilen SSK ve Devredilen Bağ-Kur emekli aylıklarının ise önceki altı aylık enflasyon tahminine göre Ocak ve Temmuz aylarında sırasıyla yüzde 5,32 ve yüzde 2,34 oranında artırılması öngörülmüştür. </w:t>
      </w:r>
    </w:p>
    <w:p w:rsidR="00565FD5" w:rsidRPr="007570EF" w:rsidRDefault="00565FD5" w:rsidP="00565FD5">
      <w:pPr>
        <w:spacing w:before="120" w:after="120"/>
        <w:ind w:firstLine="425"/>
        <w:rPr>
          <w:szCs w:val="18"/>
        </w:rPr>
      </w:pPr>
      <w:r w:rsidRPr="007570EF">
        <w:rPr>
          <w:szCs w:val="18"/>
        </w:rPr>
        <w:t>2013 yılında, yapılandırma kapsamında 1,8 milyar TL gelir elde edilmesi beklenmektedir. Buna karşın, emekli aylıklarına ilişkin intibak düzenlemesinin 2,7 milyar TL tutarında ek yük getireceği öngörülmüştür.</w:t>
      </w:r>
    </w:p>
    <w:p w:rsidR="00565FD5" w:rsidRPr="007570EF" w:rsidRDefault="00565FD5" w:rsidP="00565FD5">
      <w:pPr>
        <w:spacing w:before="120" w:after="120"/>
        <w:ind w:firstLine="425"/>
        <w:rPr>
          <w:szCs w:val="18"/>
        </w:rPr>
      </w:pPr>
      <w:r w:rsidRPr="007570EF">
        <w:rPr>
          <w:szCs w:val="18"/>
        </w:rPr>
        <w:t>2013 yılında sosyal güvenlik kuruluşlarının toplam gelirlerinin 151,5 milyar TL, toplam giderlerinin 176,3 milyar TL ve gelir-gider açığının 24,9 milyar TL olması öngörülmüştür. GSYH’ya oran olarak, gelirlerin yüzde 9,64; giderlerin yüzde 11,22 ve açığın yüzde 1,58 olması hedeflenmiştir.</w:t>
      </w:r>
    </w:p>
    <w:p w:rsidR="00565FD5" w:rsidRPr="007570EF" w:rsidRDefault="00565FD5" w:rsidP="00565FD5">
      <w:pPr>
        <w:spacing w:before="120" w:after="120"/>
        <w:ind w:firstLine="425"/>
        <w:rPr>
          <w:szCs w:val="18"/>
        </w:rPr>
      </w:pPr>
      <w:r w:rsidRPr="007570EF">
        <w:rPr>
          <w:szCs w:val="18"/>
        </w:rPr>
        <w:t xml:space="preserve">2013 yılında SGK’ya faturalı ödemeler, ek karşılıklar, emeklilere yapılan ek ödeme, devlet katkısı, hizmet akdiyle çalışanlar için 5 puan prim teşviki ve özürlü primi teşvikinden kaynaklanan transferler ile prim ödeme gücü olmayanların GSS primi de dahil olmak üzere toplam 72,9 milyar TL tutarında ve GSYH’nın yüzde 4,64’ü oranında bütçe transferi yapılması öngörülmektedir. </w:t>
      </w:r>
    </w:p>
    <w:p w:rsidR="00565FD5" w:rsidRPr="007570EF" w:rsidRDefault="00565FD5" w:rsidP="00565FD5">
      <w:pPr>
        <w:spacing w:before="120" w:after="180"/>
        <w:ind w:firstLine="425"/>
        <w:rPr>
          <w:szCs w:val="18"/>
        </w:rPr>
      </w:pPr>
      <w:r w:rsidRPr="007570EF">
        <w:rPr>
          <w:szCs w:val="18"/>
        </w:rPr>
        <w:t xml:space="preserve">2013 yılında İşsizlik Sigortası Fonunun prim gelirinin GSYH’nın yüzde 0,34’ü, faiz gelirinin GSYH’nın yüzde 0,36’sı, Fona yapılan devlet katkısının ise GSYH’nın yüzde 0,11’i oranında gerçekleşmesi hedeflenmektedir. Merkezi yönetim bütçesine 2013 yılında transfer yapılması öngörülmemiş olup Fonun toplam </w:t>
      </w:r>
      <w:r w:rsidRPr="007570EF">
        <w:rPr>
          <w:szCs w:val="18"/>
        </w:rPr>
        <w:lastRenderedPageBreak/>
        <w:t>giderlerinin GSYH’nın yüzde 0,17’si oranında gerçekleşmesi beklenmektedir. Böylece, 2013 yılında toplam Fon varlığının 71,8 milyar TL ile GSYH’nın yüzde 4,57’sine ulaşması hedeflenmektedir.</w:t>
      </w:r>
    </w:p>
    <w:p w:rsidR="00565FD5" w:rsidRPr="007570EF" w:rsidRDefault="00565FD5" w:rsidP="00565FD5">
      <w:pPr>
        <w:pStyle w:val="Balk3"/>
      </w:pPr>
      <w:bookmarkStart w:id="1103" w:name="_Toc338494231"/>
      <w:bookmarkStart w:id="1104" w:name="_Toc338505551"/>
      <w:bookmarkStart w:id="1105" w:name="_Toc338523768"/>
      <w:bookmarkStart w:id="1106" w:name="_Toc338523999"/>
      <w:bookmarkStart w:id="1107" w:name="_Toc338526225"/>
      <w:bookmarkStart w:id="1108" w:name="_Toc338673668"/>
      <w:bookmarkStart w:id="1109" w:name="_Toc338711547"/>
      <w:r>
        <w:t>D</w:t>
      </w:r>
      <w:r w:rsidRPr="007570EF">
        <w:t>. FONLAR</w:t>
      </w:r>
      <w:bookmarkEnd w:id="1103"/>
      <w:bookmarkEnd w:id="1104"/>
      <w:bookmarkEnd w:id="1105"/>
      <w:bookmarkEnd w:id="1106"/>
      <w:bookmarkEnd w:id="1107"/>
      <w:bookmarkEnd w:id="1108"/>
      <w:bookmarkEnd w:id="1109"/>
    </w:p>
    <w:p w:rsidR="00565FD5" w:rsidRPr="007570EF" w:rsidRDefault="00565FD5" w:rsidP="00565FD5">
      <w:pPr>
        <w:pStyle w:val="Balk4"/>
      </w:pPr>
      <w:bookmarkStart w:id="1110" w:name="_Toc338505552"/>
      <w:bookmarkStart w:id="1111" w:name="_Toc338523769"/>
      <w:bookmarkStart w:id="1112" w:name="_Toc338524000"/>
      <w:bookmarkStart w:id="1113" w:name="_Toc338526226"/>
      <w:bookmarkStart w:id="1114" w:name="_Toc338673669"/>
      <w:bookmarkStart w:id="1115" w:name="_Toc338711548"/>
      <w:r w:rsidRPr="007570EF">
        <w:t>1. Mevcut Durum</w:t>
      </w:r>
      <w:bookmarkEnd w:id="1110"/>
      <w:bookmarkEnd w:id="1111"/>
      <w:bookmarkEnd w:id="1112"/>
      <w:bookmarkEnd w:id="1113"/>
      <w:bookmarkEnd w:id="1114"/>
      <w:bookmarkEnd w:id="1115"/>
    </w:p>
    <w:p w:rsidR="00565FD5" w:rsidRPr="007570EF" w:rsidRDefault="00565FD5" w:rsidP="00565FD5">
      <w:pPr>
        <w:spacing w:before="120" w:after="180"/>
        <w:ind w:firstLine="425"/>
        <w:rPr>
          <w:szCs w:val="18"/>
        </w:rPr>
      </w:pPr>
      <w:r w:rsidRPr="007570EF">
        <w:rPr>
          <w:szCs w:val="18"/>
        </w:rPr>
        <w:t>Fon dengesi kapsamı, bütçe içi Destekleme ve Fiyat İstikrar Fonu ile bütçe dışı Sosyal Yardımlaşma ve Dayanışmayı Teşvik Fonu, Savunma Sanayii Destekleme Fonu ve Özelleştirme Fonundan meydana gelmektedir.</w:t>
      </w:r>
    </w:p>
    <w:p w:rsidR="00565FD5" w:rsidRPr="007570EF" w:rsidRDefault="00565FD5" w:rsidP="00565FD5">
      <w:pPr>
        <w:pStyle w:val="ResimYazs"/>
        <w:rPr>
          <w:rFonts w:cs="Tahoma"/>
          <w:b w:val="0"/>
        </w:rPr>
      </w:pPr>
      <w:bookmarkStart w:id="1116" w:name="_Toc338605992"/>
      <w:bookmarkStart w:id="1117" w:name="_Toc338711767"/>
      <w:r>
        <w:t xml:space="preserve">TABLO III: </w:t>
      </w:r>
      <w:fldSimple w:instr=" SEQ TABLO_III: \* ARABIC ">
        <w:r>
          <w:rPr>
            <w:noProof/>
          </w:rPr>
          <w:t>14</w:t>
        </w:r>
      </w:fldSimple>
      <w:r w:rsidRPr="00C3570A">
        <w:rPr>
          <w:rFonts w:cs="Tahoma"/>
          <w:bCs/>
        </w:rPr>
        <w:t>- Fon Gelir ve Giderleri</w:t>
      </w:r>
      <w:r w:rsidRPr="007570EF">
        <w:rPr>
          <w:rFonts w:cs="Tahoma"/>
          <w:b w:val="0"/>
          <w:bCs/>
        </w:rPr>
        <w:t xml:space="preserve"> (1)</w:t>
      </w:r>
      <w:bookmarkEnd w:id="1116"/>
      <w:bookmarkEnd w:id="1117"/>
    </w:p>
    <w:tbl>
      <w:tblPr>
        <w:tblW w:w="4926" w:type="pct"/>
        <w:tblCellMar>
          <w:left w:w="0" w:type="dxa"/>
          <w:right w:w="57" w:type="dxa"/>
        </w:tblCellMar>
        <w:tblLook w:val="0000"/>
      </w:tblPr>
      <w:tblGrid>
        <w:gridCol w:w="3126"/>
        <w:gridCol w:w="145"/>
        <w:gridCol w:w="794"/>
        <w:gridCol w:w="931"/>
        <w:gridCol w:w="980"/>
        <w:gridCol w:w="980"/>
        <w:gridCol w:w="143"/>
      </w:tblGrid>
      <w:tr w:rsidR="00565FD5" w:rsidRPr="007570EF" w:rsidTr="00AB62A3">
        <w:trPr>
          <w:trHeight w:val="284"/>
        </w:trPr>
        <w:tc>
          <w:tcPr>
            <w:tcW w:w="2202" w:type="pct"/>
            <w:tcBorders>
              <w:top w:val="single" w:sz="4" w:space="0" w:color="auto"/>
              <w:left w:val="single" w:sz="4" w:space="0" w:color="auto"/>
              <w:right w:val="nil"/>
            </w:tcBorders>
            <w:shd w:val="clear" w:color="FFFFFF" w:fill="FFFFFF"/>
            <w:noWrap/>
            <w:vAlign w:val="center"/>
          </w:tcPr>
          <w:p w:rsidR="00565FD5" w:rsidRPr="007570EF" w:rsidRDefault="00565FD5" w:rsidP="00AB62A3">
            <w:pPr>
              <w:rPr>
                <w:rFonts w:cs="Tahoma"/>
                <w:b/>
                <w:bCs/>
                <w:sz w:val="13"/>
                <w:szCs w:val="13"/>
              </w:rPr>
            </w:pPr>
          </w:p>
        </w:tc>
        <w:tc>
          <w:tcPr>
            <w:tcW w:w="101" w:type="pct"/>
            <w:tcBorders>
              <w:top w:val="single" w:sz="4" w:space="0" w:color="auto"/>
              <w:left w:val="nil"/>
              <w:right w:val="nil"/>
            </w:tcBorders>
            <w:shd w:val="clear" w:color="FFFFFF" w:fill="FFFFFF"/>
            <w:noWrap/>
            <w:vAlign w:val="center"/>
          </w:tcPr>
          <w:p w:rsidR="00565FD5" w:rsidRPr="007570EF" w:rsidRDefault="00565FD5" w:rsidP="00AB62A3">
            <w:pPr>
              <w:rPr>
                <w:rFonts w:cs="Tahoma"/>
                <w:sz w:val="13"/>
                <w:szCs w:val="13"/>
              </w:rPr>
            </w:pPr>
          </w:p>
        </w:tc>
        <w:tc>
          <w:tcPr>
            <w:tcW w:w="2594" w:type="pct"/>
            <w:gridSpan w:val="4"/>
            <w:tcBorders>
              <w:top w:val="single" w:sz="4" w:space="0" w:color="auto"/>
              <w:left w:val="nil"/>
              <w:bottom w:val="single" w:sz="4" w:space="0" w:color="auto"/>
              <w:right w:val="nil"/>
            </w:tcBorders>
            <w:shd w:val="clear" w:color="FFFFFF" w:fill="FFFFFF"/>
            <w:vAlign w:val="center"/>
          </w:tcPr>
          <w:p w:rsidR="00565FD5" w:rsidRPr="007570EF" w:rsidRDefault="00565FD5" w:rsidP="00AB62A3">
            <w:pPr>
              <w:jc w:val="center"/>
              <w:rPr>
                <w:rFonts w:cs="Tahoma"/>
                <w:b/>
                <w:bCs/>
                <w:sz w:val="16"/>
                <w:szCs w:val="16"/>
              </w:rPr>
            </w:pPr>
            <w:r w:rsidRPr="007570EF">
              <w:rPr>
                <w:rFonts w:cs="Tahoma"/>
                <w:b/>
                <w:bCs/>
                <w:sz w:val="16"/>
                <w:szCs w:val="16"/>
              </w:rPr>
              <w:t>(Cari Fiyatlarla, Milyon TL)</w:t>
            </w:r>
          </w:p>
        </w:tc>
        <w:tc>
          <w:tcPr>
            <w:tcW w:w="101" w:type="pct"/>
            <w:tcBorders>
              <w:top w:val="single" w:sz="4" w:space="0" w:color="auto"/>
              <w:left w:val="nil"/>
              <w:right w:val="single" w:sz="4" w:space="0" w:color="auto"/>
            </w:tcBorders>
            <w:shd w:val="clear" w:color="FFFFFF" w:fill="FFFFFF"/>
            <w:noWrap/>
            <w:vAlign w:val="center"/>
          </w:tcPr>
          <w:p w:rsidR="00565FD5" w:rsidRPr="007570EF" w:rsidRDefault="00565FD5" w:rsidP="00AB62A3">
            <w:pPr>
              <w:jc w:val="center"/>
              <w:rPr>
                <w:rFonts w:cs="Tahoma"/>
                <w:b/>
                <w:bCs/>
                <w:sz w:val="13"/>
                <w:szCs w:val="13"/>
              </w:rPr>
            </w:pPr>
          </w:p>
        </w:tc>
      </w:tr>
      <w:tr w:rsidR="00565FD5" w:rsidRPr="007570EF" w:rsidTr="00AB62A3">
        <w:trPr>
          <w:trHeight w:val="284"/>
        </w:trPr>
        <w:tc>
          <w:tcPr>
            <w:tcW w:w="2202" w:type="pct"/>
            <w:tcBorders>
              <w:left w:val="single" w:sz="4" w:space="0" w:color="auto"/>
              <w:bottom w:val="single" w:sz="4" w:space="0" w:color="auto"/>
              <w:right w:val="nil"/>
            </w:tcBorders>
            <w:shd w:val="clear" w:color="FFFFFF" w:fill="FFFFFF"/>
            <w:noWrap/>
            <w:vAlign w:val="center"/>
          </w:tcPr>
          <w:p w:rsidR="00565FD5" w:rsidRPr="007570EF" w:rsidRDefault="00565FD5" w:rsidP="00AB62A3">
            <w:pPr>
              <w:rPr>
                <w:rFonts w:cs="Tahoma"/>
                <w:sz w:val="13"/>
                <w:szCs w:val="13"/>
              </w:rPr>
            </w:pPr>
          </w:p>
        </w:tc>
        <w:tc>
          <w:tcPr>
            <w:tcW w:w="101" w:type="pct"/>
            <w:tcBorders>
              <w:left w:val="nil"/>
              <w:bottom w:val="single" w:sz="4" w:space="0" w:color="auto"/>
              <w:right w:val="nil"/>
            </w:tcBorders>
            <w:shd w:val="clear" w:color="FFFFFF" w:fill="FFFFFF"/>
            <w:noWrap/>
            <w:vAlign w:val="center"/>
          </w:tcPr>
          <w:p w:rsidR="00565FD5" w:rsidRPr="007570EF" w:rsidRDefault="00565FD5" w:rsidP="00AB62A3">
            <w:pPr>
              <w:rPr>
                <w:rFonts w:cs="Tahoma"/>
                <w:sz w:val="13"/>
                <w:szCs w:val="13"/>
              </w:rPr>
            </w:pPr>
          </w:p>
        </w:tc>
        <w:tc>
          <w:tcPr>
            <w:tcW w:w="559" w:type="pct"/>
            <w:tcBorders>
              <w:top w:val="single" w:sz="4" w:space="0" w:color="auto"/>
              <w:left w:val="nil"/>
              <w:bottom w:val="single" w:sz="4" w:space="0" w:color="auto"/>
              <w:right w:val="nil"/>
            </w:tcBorders>
            <w:shd w:val="clear" w:color="FFFFFF"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 xml:space="preserve">   2010</w:t>
            </w:r>
          </w:p>
        </w:tc>
        <w:tc>
          <w:tcPr>
            <w:tcW w:w="656" w:type="pct"/>
            <w:tcBorders>
              <w:top w:val="single" w:sz="4" w:space="0" w:color="auto"/>
              <w:left w:val="nil"/>
              <w:bottom w:val="single" w:sz="4" w:space="0" w:color="auto"/>
              <w:right w:val="nil"/>
            </w:tcBorders>
            <w:shd w:val="clear" w:color="FFFFFF"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 xml:space="preserve">    2011</w:t>
            </w:r>
          </w:p>
        </w:tc>
        <w:tc>
          <w:tcPr>
            <w:tcW w:w="690" w:type="pct"/>
            <w:tcBorders>
              <w:top w:val="single" w:sz="4" w:space="0" w:color="auto"/>
              <w:left w:val="nil"/>
              <w:bottom w:val="single" w:sz="4" w:space="0" w:color="auto"/>
              <w:right w:val="nil"/>
            </w:tcBorders>
            <w:shd w:val="clear" w:color="FFFFFF"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 xml:space="preserve">  2012(2) </w:t>
            </w:r>
          </w:p>
        </w:tc>
        <w:tc>
          <w:tcPr>
            <w:tcW w:w="690" w:type="pct"/>
            <w:tcBorders>
              <w:top w:val="single" w:sz="4" w:space="0" w:color="auto"/>
              <w:left w:val="nil"/>
              <w:bottom w:val="single" w:sz="4" w:space="0" w:color="auto"/>
              <w:right w:val="nil"/>
            </w:tcBorders>
            <w:shd w:val="clear" w:color="FFFFFF"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 xml:space="preserve">  2013(3)</w:t>
            </w:r>
          </w:p>
        </w:tc>
        <w:tc>
          <w:tcPr>
            <w:tcW w:w="101" w:type="pct"/>
            <w:tcBorders>
              <w:left w:val="nil"/>
              <w:right w:val="single" w:sz="4" w:space="0" w:color="auto"/>
            </w:tcBorders>
            <w:shd w:val="clear" w:color="FFFFFF" w:fill="FFFFFF"/>
            <w:noWrap/>
            <w:vAlign w:val="center"/>
          </w:tcPr>
          <w:p w:rsidR="00565FD5" w:rsidRPr="007570EF" w:rsidRDefault="00565FD5" w:rsidP="00AB62A3">
            <w:pPr>
              <w:ind w:right="57"/>
              <w:jc w:val="right"/>
              <w:rPr>
                <w:rFonts w:cs="Tahoma"/>
                <w:b/>
                <w:bCs/>
                <w:sz w:val="13"/>
                <w:szCs w:val="13"/>
              </w:rPr>
            </w:pPr>
          </w:p>
        </w:tc>
      </w:tr>
      <w:tr w:rsidR="00565FD5" w:rsidRPr="007570EF" w:rsidTr="00AB62A3">
        <w:trPr>
          <w:trHeight w:val="284"/>
        </w:trPr>
        <w:tc>
          <w:tcPr>
            <w:tcW w:w="2304" w:type="pct"/>
            <w:gridSpan w:val="2"/>
            <w:tcBorders>
              <w:top w:val="single" w:sz="4" w:space="0" w:color="auto"/>
              <w:left w:val="single" w:sz="4" w:space="0" w:color="auto"/>
              <w:bottom w:val="nil"/>
              <w:right w:val="nil"/>
            </w:tcBorders>
            <w:shd w:val="clear" w:color="FFFFFF" w:fill="FFFFFF"/>
            <w:noWrap/>
            <w:vAlign w:val="center"/>
          </w:tcPr>
          <w:p w:rsidR="00565FD5" w:rsidRPr="007570EF" w:rsidRDefault="00565FD5" w:rsidP="00AB62A3">
            <w:pPr>
              <w:rPr>
                <w:rFonts w:cs="Tahoma"/>
                <w:b/>
                <w:bCs/>
                <w:sz w:val="16"/>
                <w:szCs w:val="16"/>
              </w:rPr>
            </w:pPr>
            <w:r w:rsidRPr="007570EF">
              <w:rPr>
                <w:rFonts w:cs="Tahoma"/>
                <w:b/>
                <w:bCs/>
                <w:sz w:val="16"/>
                <w:szCs w:val="16"/>
              </w:rPr>
              <w:t>A. Fon Gelirleri</w:t>
            </w:r>
          </w:p>
        </w:tc>
        <w:tc>
          <w:tcPr>
            <w:tcW w:w="559" w:type="pct"/>
            <w:tcBorders>
              <w:top w:val="single" w:sz="4" w:space="0" w:color="auto"/>
              <w:left w:val="nil"/>
              <w:bottom w:val="nil"/>
              <w:right w:val="nil"/>
            </w:tcBorders>
            <w:shd w:val="clear" w:color="FFFFFF"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 xml:space="preserve">   4 697</w:t>
            </w:r>
          </w:p>
        </w:tc>
        <w:tc>
          <w:tcPr>
            <w:tcW w:w="656" w:type="pct"/>
            <w:tcBorders>
              <w:top w:val="single" w:sz="4" w:space="0" w:color="auto"/>
              <w:left w:val="nil"/>
              <w:bottom w:val="nil"/>
              <w:right w:val="nil"/>
            </w:tcBorders>
            <w:shd w:val="clear" w:color="FFFFFF"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 xml:space="preserve">   5 763</w:t>
            </w:r>
          </w:p>
        </w:tc>
        <w:tc>
          <w:tcPr>
            <w:tcW w:w="690" w:type="pct"/>
            <w:tcBorders>
              <w:top w:val="single" w:sz="4" w:space="0" w:color="auto"/>
              <w:left w:val="nil"/>
              <w:bottom w:val="nil"/>
              <w:right w:val="nil"/>
            </w:tcBorders>
            <w:shd w:val="clear" w:color="FFFFFF"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6 493</w:t>
            </w:r>
          </w:p>
        </w:tc>
        <w:tc>
          <w:tcPr>
            <w:tcW w:w="690" w:type="pct"/>
            <w:tcBorders>
              <w:top w:val="single" w:sz="4" w:space="0" w:color="auto"/>
              <w:left w:val="nil"/>
              <w:bottom w:val="nil"/>
              <w:right w:val="nil"/>
            </w:tcBorders>
            <w:shd w:val="clear" w:color="FFFFFF"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6 853</w:t>
            </w:r>
          </w:p>
        </w:tc>
        <w:tc>
          <w:tcPr>
            <w:tcW w:w="101" w:type="pct"/>
            <w:tcBorders>
              <w:left w:val="nil"/>
              <w:bottom w:val="nil"/>
              <w:right w:val="single" w:sz="4" w:space="0" w:color="auto"/>
            </w:tcBorders>
            <w:shd w:val="clear" w:color="FFFFFF" w:fill="FFFFFF"/>
            <w:noWrap/>
            <w:vAlign w:val="center"/>
          </w:tcPr>
          <w:p w:rsidR="00565FD5" w:rsidRPr="007570EF" w:rsidRDefault="00565FD5" w:rsidP="00AB62A3">
            <w:pPr>
              <w:ind w:right="57"/>
              <w:jc w:val="right"/>
              <w:rPr>
                <w:rFonts w:cs="Tahoma"/>
                <w:sz w:val="13"/>
                <w:szCs w:val="13"/>
              </w:rPr>
            </w:pPr>
          </w:p>
        </w:tc>
      </w:tr>
      <w:tr w:rsidR="00565FD5" w:rsidRPr="007570EF" w:rsidTr="00AB62A3">
        <w:trPr>
          <w:trHeight w:val="284"/>
        </w:trPr>
        <w:tc>
          <w:tcPr>
            <w:tcW w:w="2304" w:type="pct"/>
            <w:gridSpan w:val="2"/>
            <w:tcBorders>
              <w:top w:val="nil"/>
              <w:left w:val="single" w:sz="4" w:space="0" w:color="auto"/>
              <w:bottom w:val="nil"/>
              <w:right w:val="nil"/>
            </w:tcBorders>
            <w:shd w:val="clear" w:color="FFFFFF" w:fill="FFFFFF"/>
            <w:noWrap/>
            <w:vAlign w:val="center"/>
          </w:tcPr>
          <w:p w:rsidR="00565FD5" w:rsidRPr="007570EF" w:rsidRDefault="00565FD5" w:rsidP="00AB62A3">
            <w:pPr>
              <w:rPr>
                <w:rFonts w:cs="Tahoma"/>
                <w:sz w:val="16"/>
                <w:szCs w:val="16"/>
              </w:rPr>
            </w:pPr>
            <w:r w:rsidRPr="007570EF">
              <w:rPr>
                <w:rFonts w:cs="Tahoma"/>
                <w:sz w:val="16"/>
                <w:szCs w:val="16"/>
              </w:rPr>
              <w:t xml:space="preserve">  - Vergi Gelirleri</w:t>
            </w:r>
          </w:p>
        </w:tc>
        <w:tc>
          <w:tcPr>
            <w:tcW w:w="559"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4 074</w:t>
            </w:r>
          </w:p>
        </w:tc>
        <w:tc>
          <w:tcPr>
            <w:tcW w:w="656"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5 018</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5 499</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5 930</w:t>
            </w:r>
          </w:p>
        </w:tc>
        <w:tc>
          <w:tcPr>
            <w:tcW w:w="101" w:type="pct"/>
            <w:tcBorders>
              <w:top w:val="nil"/>
              <w:left w:val="nil"/>
              <w:bottom w:val="nil"/>
              <w:right w:val="single" w:sz="4" w:space="0" w:color="auto"/>
            </w:tcBorders>
            <w:shd w:val="clear" w:color="FFFFFF" w:fill="FFFFFF"/>
            <w:noWrap/>
            <w:vAlign w:val="center"/>
          </w:tcPr>
          <w:p w:rsidR="00565FD5" w:rsidRPr="007570EF" w:rsidRDefault="00565FD5" w:rsidP="00AB62A3">
            <w:pPr>
              <w:ind w:right="57"/>
              <w:jc w:val="right"/>
              <w:rPr>
                <w:rFonts w:cs="Tahoma"/>
                <w:sz w:val="13"/>
                <w:szCs w:val="13"/>
              </w:rPr>
            </w:pPr>
          </w:p>
        </w:tc>
      </w:tr>
      <w:tr w:rsidR="00565FD5" w:rsidRPr="007570EF" w:rsidTr="00AB62A3">
        <w:trPr>
          <w:trHeight w:val="284"/>
        </w:trPr>
        <w:tc>
          <w:tcPr>
            <w:tcW w:w="2304" w:type="pct"/>
            <w:gridSpan w:val="2"/>
            <w:tcBorders>
              <w:top w:val="nil"/>
              <w:left w:val="single" w:sz="4" w:space="0" w:color="auto"/>
              <w:bottom w:val="nil"/>
              <w:right w:val="nil"/>
            </w:tcBorders>
            <w:shd w:val="clear" w:color="FFFFFF" w:fill="FFFFFF"/>
            <w:noWrap/>
            <w:vAlign w:val="center"/>
          </w:tcPr>
          <w:p w:rsidR="00565FD5" w:rsidRPr="007570EF" w:rsidRDefault="00565FD5" w:rsidP="00AB62A3">
            <w:pPr>
              <w:rPr>
                <w:rFonts w:cs="Tahoma"/>
                <w:sz w:val="16"/>
                <w:szCs w:val="16"/>
              </w:rPr>
            </w:pPr>
            <w:r w:rsidRPr="007570EF">
              <w:rPr>
                <w:rFonts w:cs="Tahoma"/>
                <w:sz w:val="16"/>
                <w:szCs w:val="16"/>
              </w:rPr>
              <w:t xml:space="preserve">  - Vergi Dışı Normal Gelirler</w:t>
            </w:r>
          </w:p>
        </w:tc>
        <w:tc>
          <w:tcPr>
            <w:tcW w:w="559"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334</w:t>
            </w:r>
          </w:p>
        </w:tc>
        <w:tc>
          <w:tcPr>
            <w:tcW w:w="656"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707</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928</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885</w:t>
            </w:r>
          </w:p>
        </w:tc>
        <w:tc>
          <w:tcPr>
            <w:tcW w:w="101" w:type="pct"/>
            <w:tcBorders>
              <w:top w:val="nil"/>
              <w:left w:val="nil"/>
              <w:bottom w:val="nil"/>
              <w:right w:val="single" w:sz="4" w:space="0" w:color="auto"/>
            </w:tcBorders>
            <w:shd w:val="clear" w:color="FFFFFF" w:fill="FFFFFF"/>
            <w:noWrap/>
            <w:vAlign w:val="center"/>
          </w:tcPr>
          <w:p w:rsidR="00565FD5" w:rsidRPr="007570EF" w:rsidRDefault="00565FD5" w:rsidP="00AB62A3">
            <w:pPr>
              <w:ind w:right="57"/>
              <w:jc w:val="right"/>
              <w:rPr>
                <w:rFonts w:cs="Tahoma"/>
                <w:sz w:val="13"/>
                <w:szCs w:val="13"/>
              </w:rPr>
            </w:pPr>
          </w:p>
        </w:tc>
      </w:tr>
      <w:tr w:rsidR="00565FD5" w:rsidRPr="007570EF" w:rsidTr="00AB62A3">
        <w:trPr>
          <w:trHeight w:val="284"/>
        </w:trPr>
        <w:tc>
          <w:tcPr>
            <w:tcW w:w="2304" w:type="pct"/>
            <w:gridSpan w:val="2"/>
            <w:tcBorders>
              <w:top w:val="nil"/>
              <w:left w:val="single" w:sz="4" w:space="0" w:color="auto"/>
              <w:bottom w:val="nil"/>
              <w:right w:val="nil"/>
            </w:tcBorders>
            <w:shd w:val="clear" w:color="FFFFFF" w:fill="FFFFFF"/>
            <w:noWrap/>
            <w:vAlign w:val="center"/>
          </w:tcPr>
          <w:p w:rsidR="00565FD5" w:rsidRPr="007570EF" w:rsidRDefault="00565FD5" w:rsidP="00AB62A3">
            <w:pPr>
              <w:rPr>
                <w:rFonts w:cs="Tahoma"/>
                <w:sz w:val="16"/>
                <w:szCs w:val="16"/>
              </w:rPr>
            </w:pPr>
            <w:r w:rsidRPr="007570EF">
              <w:rPr>
                <w:rFonts w:cs="Tahoma"/>
                <w:sz w:val="16"/>
                <w:szCs w:val="16"/>
              </w:rPr>
              <w:t xml:space="preserve">  - Faktör Gelirleri (Net)</w:t>
            </w:r>
          </w:p>
        </w:tc>
        <w:tc>
          <w:tcPr>
            <w:tcW w:w="559"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39</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65</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39</w:t>
            </w:r>
          </w:p>
        </w:tc>
        <w:tc>
          <w:tcPr>
            <w:tcW w:w="101" w:type="pct"/>
            <w:tcBorders>
              <w:top w:val="nil"/>
              <w:left w:val="nil"/>
              <w:bottom w:val="nil"/>
              <w:right w:val="single" w:sz="4" w:space="0" w:color="auto"/>
            </w:tcBorders>
            <w:shd w:val="clear" w:color="FFFFFF" w:fill="FFFFFF"/>
            <w:noWrap/>
            <w:vAlign w:val="center"/>
          </w:tcPr>
          <w:p w:rsidR="00565FD5" w:rsidRPr="007570EF" w:rsidRDefault="00565FD5" w:rsidP="00AB62A3">
            <w:pPr>
              <w:ind w:right="57"/>
              <w:jc w:val="right"/>
              <w:rPr>
                <w:rFonts w:cs="Tahoma"/>
                <w:sz w:val="13"/>
                <w:szCs w:val="13"/>
              </w:rPr>
            </w:pPr>
          </w:p>
        </w:tc>
      </w:tr>
      <w:tr w:rsidR="00565FD5" w:rsidRPr="007570EF" w:rsidTr="00AB62A3">
        <w:trPr>
          <w:trHeight w:val="284"/>
        </w:trPr>
        <w:tc>
          <w:tcPr>
            <w:tcW w:w="2304" w:type="pct"/>
            <w:gridSpan w:val="2"/>
            <w:tcBorders>
              <w:top w:val="nil"/>
              <w:left w:val="single" w:sz="4" w:space="0" w:color="auto"/>
              <w:bottom w:val="nil"/>
              <w:right w:val="nil"/>
            </w:tcBorders>
            <w:shd w:val="clear" w:color="FFFFFF" w:fill="FFFFFF"/>
            <w:noWrap/>
            <w:vAlign w:val="center"/>
          </w:tcPr>
          <w:p w:rsidR="00565FD5" w:rsidRPr="007570EF" w:rsidRDefault="00565FD5" w:rsidP="00AB62A3">
            <w:pPr>
              <w:rPr>
                <w:rFonts w:cs="Tahoma"/>
                <w:sz w:val="16"/>
                <w:szCs w:val="16"/>
              </w:rPr>
            </w:pPr>
            <w:r w:rsidRPr="007570EF">
              <w:rPr>
                <w:rFonts w:cs="Tahoma"/>
                <w:sz w:val="16"/>
                <w:szCs w:val="16"/>
              </w:rPr>
              <w:t xml:space="preserve">  - Cari Transferler (Net)</w:t>
            </w:r>
          </w:p>
        </w:tc>
        <w:tc>
          <w:tcPr>
            <w:tcW w:w="559"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565FD5" w:rsidRPr="007570EF" w:rsidRDefault="00565FD5" w:rsidP="00AB62A3">
            <w:pPr>
              <w:ind w:right="57"/>
              <w:jc w:val="right"/>
              <w:rPr>
                <w:rFonts w:cs="Tahoma"/>
                <w:sz w:val="13"/>
                <w:szCs w:val="13"/>
              </w:rPr>
            </w:pPr>
          </w:p>
        </w:tc>
      </w:tr>
      <w:tr w:rsidR="00565FD5" w:rsidRPr="007570EF" w:rsidTr="00AB62A3">
        <w:trPr>
          <w:trHeight w:val="284"/>
        </w:trPr>
        <w:tc>
          <w:tcPr>
            <w:tcW w:w="2304" w:type="pct"/>
            <w:gridSpan w:val="2"/>
            <w:tcBorders>
              <w:top w:val="nil"/>
              <w:left w:val="single" w:sz="4" w:space="0" w:color="auto"/>
              <w:bottom w:val="nil"/>
              <w:right w:val="nil"/>
            </w:tcBorders>
            <w:shd w:val="clear" w:color="FFFFFF" w:fill="FFFFFF"/>
            <w:noWrap/>
            <w:vAlign w:val="center"/>
          </w:tcPr>
          <w:p w:rsidR="00565FD5" w:rsidRPr="007570EF" w:rsidRDefault="00565FD5" w:rsidP="00AB62A3">
            <w:pPr>
              <w:rPr>
                <w:rFonts w:cs="Tahoma"/>
                <w:sz w:val="16"/>
                <w:szCs w:val="16"/>
              </w:rPr>
            </w:pPr>
            <w:r w:rsidRPr="007570EF">
              <w:rPr>
                <w:rFonts w:cs="Tahoma"/>
                <w:sz w:val="16"/>
                <w:szCs w:val="16"/>
              </w:rPr>
              <w:t xml:space="preserve">  - Sermaye Transferleri (Net)</w:t>
            </w:r>
          </w:p>
        </w:tc>
        <w:tc>
          <w:tcPr>
            <w:tcW w:w="559"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289</w:t>
            </w:r>
          </w:p>
        </w:tc>
        <w:tc>
          <w:tcPr>
            <w:tcW w:w="656"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565FD5" w:rsidRPr="007570EF" w:rsidRDefault="00565FD5" w:rsidP="00AB62A3">
            <w:pPr>
              <w:ind w:right="57"/>
              <w:jc w:val="right"/>
              <w:rPr>
                <w:rFonts w:cs="Tahoma"/>
                <w:sz w:val="13"/>
                <w:szCs w:val="13"/>
              </w:rPr>
            </w:pPr>
          </w:p>
        </w:tc>
      </w:tr>
      <w:tr w:rsidR="00565FD5" w:rsidRPr="007570EF" w:rsidTr="00AB62A3">
        <w:trPr>
          <w:trHeight w:val="284"/>
        </w:trPr>
        <w:tc>
          <w:tcPr>
            <w:tcW w:w="2304" w:type="pct"/>
            <w:gridSpan w:val="2"/>
            <w:tcBorders>
              <w:top w:val="nil"/>
              <w:left w:val="single" w:sz="4" w:space="0" w:color="auto"/>
              <w:bottom w:val="nil"/>
              <w:right w:val="nil"/>
            </w:tcBorders>
            <w:shd w:val="clear" w:color="FFFFFF" w:fill="FFFFFF"/>
            <w:noWrap/>
            <w:vAlign w:val="center"/>
          </w:tcPr>
          <w:p w:rsidR="00565FD5" w:rsidRPr="007570EF" w:rsidRDefault="00565FD5" w:rsidP="00AB62A3">
            <w:pPr>
              <w:rPr>
                <w:rFonts w:cs="Tahoma"/>
                <w:b/>
                <w:bCs/>
                <w:sz w:val="16"/>
                <w:szCs w:val="16"/>
              </w:rPr>
            </w:pPr>
            <w:r w:rsidRPr="007570EF">
              <w:rPr>
                <w:rFonts w:cs="Tahoma"/>
                <w:b/>
                <w:bCs/>
                <w:sz w:val="16"/>
                <w:szCs w:val="16"/>
              </w:rPr>
              <w:t>B. Fon Giderleri</w:t>
            </w:r>
          </w:p>
        </w:tc>
        <w:tc>
          <w:tcPr>
            <w:tcW w:w="559" w:type="pct"/>
            <w:tcBorders>
              <w:top w:val="nil"/>
              <w:left w:val="nil"/>
              <w:bottom w:val="nil"/>
              <w:right w:val="nil"/>
            </w:tcBorders>
            <w:shd w:val="clear" w:color="FFFFFF"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 xml:space="preserve">   4 241</w:t>
            </w:r>
          </w:p>
        </w:tc>
        <w:tc>
          <w:tcPr>
            <w:tcW w:w="656" w:type="pct"/>
            <w:tcBorders>
              <w:top w:val="nil"/>
              <w:left w:val="nil"/>
              <w:bottom w:val="nil"/>
              <w:right w:val="nil"/>
            </w:tcBorders>
            <w:shd w:val="clear" w:color="FFFFFF"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 xml:space="preserve">   4 522</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5 258</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5 843</w:t>
            </w:r>
          </w:p>
        </w:tc>
        <w:tc>
          <w:tcPr>
            <w:tcW w:w="101" w:type="pct"/>
            <w:tcBorders>
              <w:top w:val="nil"/>
              <w:left w:val="nil"/>
              <w:bottom w:val="nil"/>
              <w:right w:val="single" w:sz="4" w:space="0" w:color="auto"/>
            </w:tcBorders>
            <w:shd w:val="clear" w:color="FFFFFF" w:fill="FFFFFF"/>
            <w:noWrap/>
            <w:vAlign w:val="center"/>
          </w:tcPr>
          <w:p w:rsidR="00565FD5" w:rsidRPr="007570EF" w:rsidRDefault="00565FD5" w:rsidP="00AB62A3">
            <w:pPr>
              <w:ind w:right="57"/>
              <w:jc w:val="right"/>
              <w:rPr>
                <w:rFonts w:cs="Tahoma"/>
                <w:sz w:val="13"/>
                <w:szCs w:val="13"/>
              </w:rPr>
            </w:pPr>
          </w:p>
        </w:tc>
      </w:tr>
      <w:tr w:rsidR="00565FD5" w:rsidRPr="007570EF" w:rsidTr="00AB62A3">
        <w:trPr>
          <w:trHeight w:val="284"/>
        </w:trPr>
        <w:tc>
          <w:tcPr>
            <w:tcW w:w="2304" w:type="pct"/>
            <w:gridSpan w:val="2"/>
            <w:tcBorders>
              <w:top w:val="nil"/>
              <w:left w:val="single" w:sz="4" w:space="0" w:color="auto"/>
              <w:bottom w:val="nil"/>
              <w:right w:val="nil"/>
            </w:tcBorders>
            <w:shd w:val="clear" w:color="FFFFFF" w:fill="FFFFFF"/>
            <w:noWrap/>
            <w:vAlign w:val="center"/>
          </w:tcPr>
          <w:p w:rsidR="00565FD5" w:rsidRPr="007570EF" w:rsidRDefault="00565FD5" w:rsidP="00AB62A3">
            <w:pPr>
              <w:rPr>
                <w:rFonts w:cs="Tahoma"/>
                <w:sz w:val="16"/>
                <w:szCs w:val="16"/>
              </w:rPr>
            </w:pPr>
            <w:r w:rsidRPr="007570EF">
              <w:rPr>
                <w:rFonts w:cs="Tahoma"/>
                <w:sz w:val="16"/>
                <w:szCs w:val="16"/>
              </w:rPr>
              <w:t xml:space="preserve">  - Cari Giderler</w:t>
            </w:r>
          </w:p>
        </w:tc>
        <w:tc>
          <w:tcPr>
            <w:tcW w:w="559"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2 634</w:t>
            </w:r>
          </w:p>
        </w:tc>
        <w:tc>
          <w:tcPr>
            <w:tcW w:w="656"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2 087</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2 525</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2 764</w:t>
            </w:r>
          </w:p>
        </w:tc>
        <w:tc>
          <w:tcPr>
            <w:tcW w:w="101" w:type="pct"/>
            <w:tcBorders>
              <w:top w:val="nil"/>
              <w:left w:val="nil"/>
              <w:bottom w:val="nil"/>
              <w:right w:val="single" w:sz="4" w:space="0" w:color="auto"/>
            </w:tcBorders>
            <w:shd w:val="clear" w:color="FFFFFF" w:fill="FFFFFF"/>
            <w:noWrap/>
            <w:vAlign w:val="center"/>
          </w:tcPr>
          <w:p w:rsidR="00565FD5" w:rsidRPr="007570EF" w:rsidRDefault="00565FD5" w:rsidP="00AB62A3">
            <w:pPr>
              <w:ind w:right="57"/>
              <w:jc w:val="right"/>
              <w:rPr>
                <w:rFonts w:cs="Tahoma"/>
                <w:sz w:val="13"/>
                <w:szCs w:val="13"/>
              </w:rPr>
            </w:pPr>
          </w:p>
        </w:tc>
      </w:tr>
      <w:tr w:rsidR="00565FD5" w:rsidRPr="007570EF" w:rsidTr="00AB62A3">
        <w:trPr>
          <w:trHeight w:val="284"/>
        </w:trPr>
        <w:tc>
          <w:tcPr>
            <w:tcW w:w="2304" w:type="pct"/>
            <w:gridSpan w:val="2"/>
            <w:tcBorders>
              <w:top w:val="nil"/>
              <w:left w:val="single" w:sz="4" w:space="0" w:color="auto"/>
              <w:bottom w:val="nil"/>
              <w:right w:val="nil"/>
            </w:tcBorders>
            <w:shd w:val="clear" w:color="FFFFFF" w:fill="FFFFFF"/>
            <w:noWrap/>
            <w:vAlign w:val="center"/>
          </w:tcPr>
          <w:p w:rsidR="00565FD5" w:rsidRPr="007570EF" w:rsidRDefault="00565FD5" w:rsidP="00AB62A3">
            <w:pPr>
              <w:rPr>
                <w:rFonts w:cs="Tahoma"/>
                <w:sz w:val="16"/>
                <w:szCs w:val="16"/>
              </w:rPr>
            </w:pPr>
            <w:r w:rsidRPr="007570EF">
              <w:rPr>
                <w:rFonts w:cs="Tahoma"/>
                <w:sz w:val="16"/>
                <w:szCs w:val="16"/>
              </w:rPr>
              <w:t xml:space="preserve">  - Faktör Giderleri (Net)</w:t>
            </w:r>
          </w:p>
        </w:tc>
        <w:tc>
          <w:tcPr>
            <w:tcW w:w="559"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3</w:t>
            </w:r>
          </w:p>
        </w:tc>
        <w:tc>
          <w:tcPr>
            <w:tcW w:w="656"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565FD5" w:rsidRPr="007570EF" w:rsidRDefault="00565FD5" w:rsidP="00AB62A3">
            <w:pPr>
              <w:ind w:right="57"/>
              <w:jc w:val="right"/>
              <w:rPr>
                <w:rFonts w:cs="Tahoma"/>
                <w:sz w:val="13"/>
                <w:szCs w:val="13"/>
              </w:rPr>
            </w:pPr>
          </w:p>
        </w:tc>
      </w:tr>
      <w:tr w:rsidR="00565FD5" w:rsidRPr="007570EF" w:rsidTr="00AB62A3">
        <w:trPr>
          <w:trHeight w:val="284"/>
        </w:trPr>
        <w:tc>
          <w:tcPr>
            <w:tcW w:w="2304" w:type="pct"/>
            <w:gridSpan w:val="2"/>
            <w:tcBorders>
              <w:top w:val="nil"/>
              <w:left w:val="single" w:sz="4" w:space="0" w:color="auto"/>
              <w:bottom w:val="nil"/>
              <w:right w:val="nil"/>
            </w:tcBorders>
            <w:shd w:val="clear" w:color="FFFFFF" w:fill="FFFFFF"/>
            <w:noWrap/>
            <w:vAlign w:val="center"/>
          </w:tcPr>
          <w:p w:rsidR="00565FD5" w:rsidRPr="007570EF" w:rsidRDefault="00565FD5" w:rsidP="00AB62A3">
            <w:pPr>
              <w:rPr>
                <w:rFonts w:cs="Tahoma"/>
                <w:sz w:val="16"/>
                <w:szCs w:val="16"/>
              </w:rPr>
            </w:pPr>
            <w:r w:rsidRPr="007570EF">
              <w:rPr>
                <w:rFonts w:cs="Tahoma"/>
                <w:sz w:val="16"/>
                <w:szCs w:val="16"/>
              </w:rPr>
              <w:t xml:space="preserve">  - Sabit Sermaye Yatırımları</w:t>
            </w:r>
          </w:p>
        </w:tc>
        <w:tc>
          <w:tcPr>
            <w:tcW w:w="559"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0</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565FD5" w:rsidRPr="007570EF" w:rsidRDefault="00565FD5" w:rsidP="00AB62A3">
            <w:pPr>
              <w:ind w:right="57"/>
              <w:jc w:val="right"/>
              <w:rPr>
                <w:rFonts w:cs="Tahoma"/>
                <w:sz w:val="13"/>
                <w:szCs w:val="13"/>
              </w:rPr>
            </w:pPr>
          </w:p>
        </w:tc>
      </w:tr>
      <w:tr w:rsidR="00565FD5" w:rsidRPr="007570EF" w:rsidTr="00AB62A3">
        <w:trPr>
          <w:trHeight w:val="284"/>
        </w:trPr>
        <w:tc>
          <w:tcPr>
            <w:tcW w:w="2304" w:type="pct"/>
            <w:gridSpan w:val="2"/>
            <w:tcBorders>
              <w:top w:val="nil"/>
              <w:left w:val="single" w:sz="4" w:space="0" w:color="auto"/>
              <w:bottom w:val="nil"/>
              <w:right w:val="nil"/>
            </w:tcBorders>
            <w:shd w:val="clear" w:color="FFFFFF" w:fill="FFFFFF"/>
            <w:noWrap/>
            <w:vAlign w:val="center"/>
          </w:tcPr>
          <w:p w:rsidR="00565FD5" w:rsidRPr="007570EF" w:rsidRDefault="00565FD5" w:rsidP="00AB62A3">
            <w:pPr>
              <w:rPr>
                <w:rFonts w:cs="Tahoma"/>
                <w:sz w:val="16"/>
                <w:szCs w:val="16"/>
              </w:rPr>
            </w:pPr>
            <w:r w:rsidRPr="007570EF">
              <w:rPr>
                <w:rFonts w:cs="Tahoma"/>
                <w:sz w:val="16"/>
                <w:szCs w:val="16"/>
              </w:rPr>
              <w:t xml:space="preserve">  - Cari Transferler (Net)</w:t>
            </w:r>
          </w:p>
        </w:tc>
        <w:tc>
          <w:tcPr>
            <w:tcW w:w="559"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1 604</w:t>
            </w:r>
          </w:p>
        </w:tc>
        <w:tc>
          <w:tcPr>
            <w:tcW w:w="656"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1 842</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2 707</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3 034</w:t>
            </w:r>
          </w:p>
        </w:tc>
        <w:tc>
          <w:tcPr>
            <w:tcW w:w="101" w:type="pct"/>
            <w:tcBorders>
              <w:top w:val="nil"/>
              <w:left w:val="nil"/>
              <w:bottom w:val="nil"/>
              <w:right w:val="single" w:sz="4" w:space="0" w:color="auto"/>
            </w:tcBorders>
            <w:shd w:val="clear" w:color="FFFFFF" w:fill="FFFFFF"/>
            <w:noWrap/>
            <w:vAlign w:val="center"/>
          </w:tcPr>
          <w:p w:rsidR="00565FD5" w:rsidRPr="007570EF" w:rsidRDefault="00565FD5" w:rsidP="00AB62A3">
            <w:pPr>
              <w:ind w:right="57"/>
              <w:jc w:val="right"/>
              <w:rPr>
                <w:rFonts w:cs="Tahoma"/>
                <w:sz w:val="13"/>
                <w:szCs w:val="13"/>
              </w:rPr>
            </w:pPr>
          </w:p>
        </w:tc>
      </w:tr>
      <w:tr w:rsidR="00565FD5" w:rsidRPr="007570EF" w:rsidTr="00AB62A3">
        <w:trPr>
          <w:trHeight w:val="284"/>
        </w:trPr>
        <w:tc>
          <w:tcPr>
            <w:tcW w:w="2304" w:type="pct"/>
            <w:gridSpan w:val="2"/>
            <w:tcBorders>
              <w:top w:val="nil"/>
              <w:left w:val="single" w:sz="4" w:space="0" w:color="auto"/>
              <w:bottom w:val="nil"/>
              <w:right w:val="nil"/>
            </w:tcBorders>
            <w:shd w:val="clear" w:color="FFFFFF" w:fill="FFFFFF"/>
            <w:noWrap/>
            <w:vAlign w:val="center"/>
          </w:tcPr>
          <w:p w:rsidR="00565FD5" w:rsidRPr="007570EF" w:rsidRDefault="00565FD5" w:rsidP="00AB62A3">
            <w:pPr>
              <w:rPr>
                <w:rFonts w:cs="Tahoma"/>
                <w:sz w:val="16"/>
                <w:szCs w:val="16"/>
              </w:rPr>
            </w:pPr>
            <w:r w:rsidRPr="007570EF">
              <w:rPr>
                <w:rFonts w:cs="Tahoma"/>
                <w:sz w:val="16"/>
                <w:szCs w:val="16"/>
              </w:rPr>
              <w:t xml:space="preserve">  - Sermaye Transferleri (Net)</w:t>
            </w:r>
          </w:p>
        </w:tc>
        <w:tc>
          <w:tcPr>
            <w:tcW w:w="559"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0</w:t>
            </w:r>
          </w:p>
        </w:tc>
        <w:tc>
          <w:tcPr>
            <w:tcW w:w="656"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594</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26</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45</w:t>
            </w:r>
          </w:p>
        </w:tc>
        <w:tc>
          <w:tcPr>
            <w:tcW w:w="101" w:type="pct"/>
            <w:tcBorders>
              <w:top w:val="nil"/>
              <w:left w:val="nil"/>
              <w:bottom w:val="nil"/>
              <w:right w:val="single" w:sz="4" w:space="0" w:color="auto"/>
            </w:tcBorders>
            <w:shd w:val="clear" w:color="FFFFFF" w:fill="FFFFFF"/>
            <w:noWrap/>
            <w:vAlign w:val="center"/>
          </w:tcPr>
          <w:p w:rsidR="00565FD5" w:rsidRPr="007570EF" w:rsidRDefault="00565FD5" w:rsidP="00AB62A3">
            <w:pPr>
              <w:ind w:right="57"/>
              <w:jc w:val="right"/>
              <w:rPr>
                <w:rFonts w:cs="Tahoma"/>
                <w:sz w:val="13"/>
                <w:szCs w:val="13"/>
              </w:rPr>
            </w:pPr>
          </w:p>
        </w:tc>
      </w:tr>
      <w:tr w:rsidR="00565FD5" w:rsidRPr="007570EF" w:rsidTr="00AB62A3">
        <w:trPr>
          <w:trHeight w:val="284"/>
        </w:trPr>
        <w:tc>
          <w:tcPr>
            <w:tcW w:w="2304" w:type="pct"/>
            <w:gridSpan w:val="2"/>
            <w:tcBorders>
              <w:top w:val="nil"/>
              <w:left w:val="single" w:sz="4" w:space="0" w:color="auto"/>
              <w:bottom w:val="nil"/>
              <w:right w:val="nil"/>
            </w:tcBorders>
            <w:shd w:val="clear" w:color="FFFFFF" w:fill="FFFFFF"/>
            <w:noWrap/>
            <w:vAlign w:val="center"/>
          </w:tcPr>
          <w:p w:rsidR="00565FD5" w:rsidRPr="007570EF" w:rsidRDefault="00565FD5" w:rsidP="00AB62A3">
            <w:pPr>
              <w:rPr>
                <w:rFonts w:cs="Tahoma"/>
                <w:b/>
                <w:bCs/>
                <w:sz w:val="16"/>
                <w:szCs w:val="16"/>
              </w:rPr>
            </w:pPr>
            <w:r w:rsidRPr="007570EF">
              <w:rPr>
                <w:rFonts w:cs="Tahoma"/>
                <w:b/>
                <w:bCs/>
                <w:sz w:val="16"/>
                <w:szCs w:val="16"/>
              </w:rPr>
              <w:t>C. Gelir-Gider Farkı</w:t>
            </w:r>
          </w:p>
        </w:tc>
        <w:tc>
          <w:tcPr>
            <w:tcW w:w="559" w:type="pct"/>
            <w:tcBorders>
              <w:top w:val="nil"/>
              <w:left w:val="nil"/>
              <w:bottom w:val="nil"/>
              <w:right w:val="nil"/>
            </w:tcBorders>
            <w:shd w:val="clear" w:color="FFFFFF"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 xml:space="preserve"> 456</w:t>
            </w:r>
          </w:p>
        </w:tc>
        <w:tc>
          <w:tcPr>
            <w:tcW w:w="656" w:type="pct"/>
            <w:tcBorders>
              <w:top w:val="nil"/>
              <w:left w:val="nil"/>
              <w:bottom w:val="nil"/>
              <w:right w:val="nil"/>
            </w:tcBorders>
            <w:shd w:val="clear" w:color="FFFFFF"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1 241</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 xml:space="preserve"> 1 235</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 xml:space="preserve"> 1 010</w:t>
            </w:r>
          </w:p>
        </w:tc>
        <w:tc>
          <w:tcPr>
            <w:tcW w:w="101" w:type="pct"/>
            <w:tcBorders>
              <w:top w:val="nil"/>
              <w:left w:val="nil"/>
              <w:bottom w:val="nil"/>
              <w:right w:val="single" w:sz="4" w:space="0" w:color="auto"/>
            </w:tcBorders>
            <w:shd w:val="clear" w:color="FFFFFF" w:fill="FFFFFF"/>
            <w:noWrap/>
            <w:vAlign w:val="center"/>
          </w:tcPr>
          <w:p w:rsidR="00565FD5" w:rsidRPr="007570EF" w:rsidRDefault="00565FD5" w:rsidP="00AB62A3">
            <w:pPr>
              <w:ind w:right="57"/>
              <w:jc w:val="right"/>
              <w:rPr>
                <w:rFonts w:cs="Tahoma"/>
                <w:sz w:val="13"/>
                <w:szCs w:val="13"/>
              </w:rPr>
            </w:pPr>
          </w:p>
        </w:tc>
      </w:tr>
      <w:tr w:rsidR="00565FD5" w:rsidRPr="007570EF" w:rsidTr="00AB62A3">
        <w:trPr>
          <w:trHeight w:val="284"/>
        </w:trPr>
        <w:tc>
          <w:tcPr>
            <w:tcW w:w="2304" w:type="pct"/>
            <w:gridSpan w:val="2"/>
            <w:tcBorders>
              <w:top w:val="nil"/>
              <w:left w:val="single" w:sz="4" w:space="0" w:color="auto"/>
              <w:bottom w:val="nil"/>
              <w:right w:val="nil"/>
            </w:tcBorders>
            <w:shd w:val="clear" w:color="FFFFFF" w:fill="FFFFFF"/>
            <w:noWrap/>
            <w:vAlign w:val="center"/>
          </w:tcPr>
          <w:p w:rsidR="00565FD5" w:rsidRPr="007570EF" w:rsidRDefault="00565FD5" w:rsidP="00AB62A3">
            <w:pPr>
              <w:rPr>
                <w:rFonts w:cs="Tahoma"/>
                <w:b/>
                <w:bCs/>
                <w:sz w:val="16"/>
                <w:szCs w:val="16"/>
              </w:rPr>
            </w:pPr>
            <w:r w:rsidRPr="007570EF">
              <w:rPr>
                <w:rFonts w:cs="Tahoma"/>
                <w:b/>
                <w:bCs/>
                <w:sz w:val="16"/>
                <w:szCs w:val="16"/>
              </w:rPr>
              <w:t>D. Finansman</w:t>
            </w:r>
          </w:p>
        </w:tc>
        <w:tc>
          <w:tcPr>
            <w:tcW w:w="559" w:type="pct"/>
            <w:tcBorders>
              <w:top w:val="nil"/>
              <w:left w:val="nil"/>
              <w:bottom w:val="nil"/>
              <w:right w:val="nil"/>
            </w:tcBorders>
            <w:shd w:val="clear" w:color="FFFFFF"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 xml:space="preserve">   - 456</w:t>
            </w:r>
          </w:p>
        </w:tc>
        <w:tc>
          <w:tcPr>
            <w:tcW w:w="656" w:type="pct"/>
            <w:tcBorders>
              <w:top w:val="nil"/>
              <w:left w:val="nil"/>
              <w:bottom w:val="nil"/>
              <w:right w:val="nil"/>
            </w:tcBorders>
            <w:shd w:val="clear" w:color="FFFFFF"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 xml:space="preserve">   - 1 241</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- 1 235</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b/>
                <w:bCs/>
                <w:sz w:val="16"/>
                <w:szCs w:val="16"/>
              </w:rPr>
            </w:pPr>
            <w:r w:rsidRPr="007570EF">
              <w:rPr>
                <w:rFonts w:cs="Tahoma"/>
                <w:b/>
                <w:bCs/>
                <w:sz w:val="16"/>
                <w:szCs w:val="16"/>
              </w:rPr>
              <w:t>- 1 010</w:t>
            </w:r>
          </w:p>
        </w:tc>
        <w:tc>
          <w:tcPr>
            <w:tcW w:w="101" w:type="pct"/>
            <w:tcBorders>
              <w:top w:val="nil"/>
              <w:left w:val="nil"/>
              <w:bottom w:val="nil"/>
              <w:right w:val="single" w:sz="4" w:space="0" w:color="auto"/>
            </w:tcBorders>
            <w:shd w:val="clear" w:color="FFFFFF" w:fill="FFFFFF"/>
            <w:noWrap/>
            <w:vAlign w:val="center"/>
          </w:tcPr>
          <w:p w:rsidR="00565FD5" w:rsidRPr="007570EF" w:rsidRDefault="00565FD5" w:rsidP="00AB62A3">
            <w:pPr>
              <w:ind w:right="57"/>
              <w:jc w:val="right"/>
              <w:rPr>
                <w:rFonts w:cs="Tahoma"/>
                <w:sz w:val="13"/>
                <w:szCs w:val="13"/>
              </w:rPr>
            </w:pPr>
          </w:p>
        </w:tc>
      </w:tr>
      <w:tr w:rsidR="00565FD5" w:rsidRPr="007570EF" w:rsidTr="00AB62A3">
        <w:trPr>
          <w:trHeight w:val="284"/>
        </w:trPr>
        <w:tc>
          <w:tcPr>
            <w:tcW w:w="2304" w:type="pct"/>
            <w:gridSpan w:val="2"/>
            <w:tcBorders>
              <w:top w:val="nil"/>
              <w:left w:val="single" w:sz="4" w:space="0" w:color="auto"/>
              <w:bottom w:val="nil"/>
              <w:right w:val="nil"/>
            </w:tcBorders>
            <w:shd w:val="clear" w:color="FFFFFF" w:fill="FFFFFF"/>
            <w:noWrap/>
            <w:vAlign w:val="center"/>
          </w:tcPr>
          <w:p w:rsidR="00565FD5" w:rsidRPr="007570EF" w:rsidRDefault="00565FD5" w:rsidP="00AB62A3">
            <w:pPr>
              <w:rPr>
                <w:rFonts w:cs="Tahoma"/>
                <w:sz w:val="16"/>
                <w:szCs w:val="16"/>
              </w:rPr>
            </w:pPr>
            <w:r w:rsidRPr="007570EF">
              <w:rPr>
                <w:rFonts w:cs="Tahoma"/>
                <w:sz w:val="16"/>
                <w:szCs w:val="16"/>
              </w:rPr>
              <w:t xml:space="preserve">  - Dış Borç Kullanımı</w:t>
            </w:r>
          </w:p>
        </w:tc>
        <w:tc>
          <w:tcPr>
            <w:tcW w:w="559"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0</w:t>
            </w:r>
          </w:p>
        </w:tc>
        <w:tc>
          <w:tcPr>
            <w:tcW w:w="656"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0</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0</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0</w:t>
            </w:r>
          </w:p>
        </w:tc>
        <w:tc>
          <w:tcPr>
            <w:tcW w:w="101" w:type="pct"/>
            <w:tcBorders>
              <w:top w:val="nil"/>
              <w:left w:val="nil"/>
              <w:bottom w:val="nil"/>
              <w:right w:val="single" w:sz="4" w:space="0" w:color="auto"/>
            </w:tcBorders>
            <w:shd w:val="clear" w:color="FFFFFF" w:fill="FFFFFF"/>
            <w:noWrap/>
            <w:vAlign w:val="center"/>
          </w:tcPr>
          <w:p w:rsidR="00565FD5" w:rsidRPr="007570EF" w:rsidRDefault="00565FD5" w:rsidP="00AB62A3">
            <w:pPr>
              <w:ind w:right="57"/>
              <w:jc w:val="right"/>
              <w:rPr>
                <w:rFonts w:cs="Tahoma"/>
                <w:sz w:val="13"/>
                <w:szCs w:val="13"/>
              </w:rPr>
            </w:pPr>
          </w:p>
        </w:tc>
      </w:tr>
      <w:tr w:rsidR="00565FD5" w:rsidRPr="007570EF" w:rsidTr="00AB62A3">
        <w:trPr>
          <w:trHeight w:val="284"/>
        </w:trPr>
        <w:tc>
          <w:tcPr>
            <w:tcW w:w="2304" w:type="pct"/>
            <w:gridSpan w:val="2"/>
            <w:tcBorders>
              <w:top w:val="nil"/>
              <w:left w:val="single" w:sz="4" w:space="0" w:color="auto"/>
              <w:bottom w:val="nil"/>
              <w:right w:val="nil"/>
            </w:tcBorders>
            <w:shd w:val="clear" w:color="FFFFFF" w:fill="FFFFFF"/>
            <w:noWrap/>
            <w:vAlign w:val="center"/>
          </w:tcPr>
          <w:p w:rsidR="00565FD5" w:rsidRPr="007570EF" w:rsidRDefault="00565FD5" w:rsidP="00AB62A3">
            <w:pPr>
              <w:rPr>
                <w:rFonts w:cs="Tahoma"/>
                <w:sz w:val="16"/>
                <w:szCs w:val="16"/>
              </w:rPr>
            </w:pPr>
            <w:r w:rsidRPr="007570EF">
              <w:rPr>
                <w:rFonts w:cs="Tahoma"/>
                <w:sz w:val="16"/>
                <w:szCs w:val="16"/>
              </w:rPr>
              <w:lastRenderedPageBreak/>
              <w:t xml:space="preserve">  - Dış Borç Ödemesi</w:t>
            </w:r>
          </w:p>
        </w:tc>
        <w:tc>
          <w:tcPr>
            <w:tcW w:w="559"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-69</w:t>
            </w:r>
          </w:p>
        </w:tc>
        <w:tc>
          <w:tcPr>
            <w:tcW w:w="656"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-52</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-57</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-63</w:t>
            </w:r>
          </w:p>
        </w:tc>
        <w:tc>
          <w:tcPr>
            <w:tcW w:w="101" w:type="pct"/>
            <w:tcBorders>
              <w:top w:val="nil"/>
              <w:left w:val="nil"/>
              <w:bottom w:val="nil"/>
              <w:right w:val="single" w:sz="4" w:space="0" w:color="auto"/>
            </w:tcBorders>
            <w:shd w:val="clear" w:color="FFFFFF" w:fill="FFFFFF"/>
            <w:noWrap/>
            <w:vAlign w:val="center"/>
          </w:tcPr>
          <w:p w:rsidR="00565FD5" w:rsidRPr="007570EF" w:rsidRDefault="00565FD5" w:rsidP="00AB62A3">
            <w:pPr>
              <w:ind w:right="57"/>
              <w:jc w:val="right"/>
              <w:rPr>
                <w:rFonts w:cs="Tahoma"/>
                <w:sz w:val="13"/>
                <w:szCs w:val="13"/>
              </w:rPr>
            </w:pPr>
          </w:p>
        </w:tc>
      </w:tr>
      <w:tr w:rsidR="00565FD5" w:rsidRPr="007570EF" w:rsidTr="00AB62A3">
        <w:trPr>
          <w:trHeight w:val="284"/>
        </w:trPr>
        <w:tc>
          <w:tcPr>
            <w:tcW w:w="2304" w:type="pct"/>
            <w:gridSpan w:val="2"/>
            <w:tcBorders>
              <w:top w:val="nil"/>
              <w:left w:val="single" w:sz="4" w:space="0" w:color="auto"/>
              <w:bottom w:val="nil"/>
              <w:right w:val="nil"/>
            </w:tcBorders>
            <w:shd w:val="clear" w:color="FFFFFF" w:fill="FFFFFF"/>
            <w:noWrap/>
            <w:vAlign w:val="center"/>
          </w:tcPr>
          <w:p w:rsidR="00565FD5" w:rsidRPr="007570EF" w:rsidRDefault="00565FD5" w:rsidP="00AB62A3">
            <w:pPr>
              <w:rPr>
                <w:rFonts w:cs="Tahoma"/>
                <w:sz w:val="16"/>
                <w:szCs w:val="16"/>
              </w:rPr>
            </w:pPr>
            <w:r w:rsidRPr="007570EF">
              <w:rPr>
                <w:rFonts w:cs="Tahoma"/>
                <w:sz w:val="16"/>
                <w:szCs w:val="16"/>
              </w:rPr>
              <w:t xml:space="preserve">  - İç Borç - Alacak İlişkisi (Net)</w:t>
            </w:r>
          </w:p>
        </w:tc>
        <w:tc>
          <w:tcPr>
            <w:tcW w:w="559"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-77</w:t>
            </w:r>
          </w:p>
        </w:tc>
        <w:tc>
          <w:tcPr>
            <w:tcW w:w="656"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-256</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-27</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0</w:t>
            </w:r>
          </w:p>
        </w:tc>
        <w:tc>
          <w:tcPr>
            <w:tcW w:w="101" w:type="pct"/>
            <w:tcBorders>
              <w:top w:val="nil"/>
              <w:left w:val="nil"/>
              <w:bottom w:val="nil"/>
              <w:right w:val="single" w:sz="4" w:space="0" w:color="auto"/>
            </w:tcBorders>
            <w:shd w:val="clear" w:color="FFFFFF" w:fill="FFFFFF"/>
            <w:noWrap/>
            <w:vAlign w:val="center"/>
          </w:tcPr>
          <w:p w:rsidR="00565FD5" w:rsidRPr="007570EF" w:rsidRDefault="00565FD5" w:rsidP="00AB62A3">
            <w:pPr>
              <w:ind w:right="57"/>
              <w:jc w:val="right"/>
              <w:rPr>
                <w:rFonts w:cs="Tahoma"/>
                <w:sz w:val="13"/>
                <w:szCs w:val="13"/>
              </w:rPr>
            </w:pPr>
          </w:p>
        </w:tc>
      </w:tr>
      <w:tr w:rsidR="00565FD5" w:rsidRPr="007570EF" w:rsidTr="00AB62A3">
        <w:trPr>
          <w:trHeight w:val="284"/>
        </w:trPr>
        <w:tc>
          <w:tcPr>
            <w:tcW w:w="2304" w:type="pct"/>
            <w:gridSpan w:val="2"/>
            <w:tcBorders>
              <w:top w:val="nil"/>
              <w:left w:val="single" w:sz="4" w:space="0" w:color="auto"/>
              <w:bottom w:val="nil"/>
              <w:right w:val="nil"/>
            </w:tcBorders>
            <w:shd w:val="clear" w:color="FFFFFF" w:fill="FFFFFF"/>
            <w:noWrap/>
            <w:vAlign w:val="center"/>
          </w:tcPr>
          <w:p w:rsidR="00565FD5" w:rsidRPr="007570EF" w:rsidRDefault="00565FD5" w:rsidP="00AB62A3">
            <w:pPr>
              <w:rPr>
                <w:rFonts w:cs="Tahoma"/>
                <w:sz w:val="16"/>
                <w:szCs w:val="16"/>
              </w:rPr>
            </w:pPr>
            <w:r w:rsidRPr="007570EF">
              <w:rPr>
                <w:rFonts w:cs="Tahoma"/>
                <w:sz w:val="16"/>
                <w:szCs w:val="16"/>
              </w:rPr>
              <w:t xml:space="preserve">  - Kasa - Banka Değişimi</w:t>
            </w:r>
          </w:p>
        </w:tc>
        <w:tc>
          <w:tcPr>
            <w:tcW w:w="559"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-310</w:t>
            </w:r>
          </w:p>
        </w:tc>
        <w:tc>
          <w:tcPr>
            <w:tcW w:w="656"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-933</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-1 151</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-947</w:t>
            </w:r>
          </w:p>
        </w:tc>
        <w:tc>
          <w:tcPr>
            <w:tcW w:w="101" w:type="pct"/>
            <w:tcBorders>
              <w:top w:val="nil"/>
              <w:left w:val="nil"/>
              <w:bottom w:val="nil"/>
              <w:right w:val="single" w:sz="4" w:space="0" w:color="auto"/>
            </w:tcBorders>
            <w:shd w:val="clear" w:color="FFFFFF" w:fill="FFFFFF"/>
            <w:noWrap/>
            <w:vAlign w:val="center"/>
          </w:tcPr>
          <w:p w:rsidR="00565FD5" w:rsidRPr="007570EF" w:rsidRDefault="00565FD5" w:rsidP="00AB62A3">
            <w:pPr>
              <w:ind w:right="57"/>
              <w:jc w:val="right"/>
              <w:rPr>
                <w:rFonts w:cs="Tahoma"/>
                <w:sz w:val="13"/>
                <w:szCs w:val="13"/>
              </w:rPr>
            </w:pPr>
          </w:p>
        </w:tc>
      </w:tr>
      <w:tr w:rsidR="00565FD5" w:rsidRPr="007570EF" w:rsidTr="00AB62A3">
        <w:trPr>
          <w:trHeight w:val="284"/>
        </w:trPr>
        <w:tc>
          <w:tcPr>
            <w:tcW w:w="2202" w:type="pct"/>
            <w:tcBorders>
              <w:top w:val="nil"/>
              <w:left w:val="single" w:sz="4" w:space="0" w:color="auto"/>
              <w:bottom w:val="nil"/>
              <w:right w:val="nil"/>
            </w:tcBorders>
            <w:shd w:val="clear" w:color="FFFFFF" w:fill="FFFFFF"/>
            <w:noWrap/>
            <w:vAlign w:val="center"/>
          </w:tcPr>
          <w:p w:rsidR="00565FD5" w:rsidRPr="007570EF" w:rsidRDefault="00565FD5" w:rsidP="00AB62A3">
            <w:pPr>
              <w:rPr>
                <w:rFonts w:cs="Tahoma"/>
                <w:b/>
                <w:bCs/>
                <w:sz w:val="16"/>
                <w:szCs w:val="16"/>
              </w:rPr>
            </w:pPr>
            <w:r w:rsidRPr="007570EF">
              <w:rPr>
                <w:rFonts w:cs="Tahoma"/>
                <w:b/>
                <w:bCs/>
                <w:sz w:val="16"/>
                <w:szCs w:val="16"/>
              </w:rPr>
              <w:t>Bilgi İçin:</w:t>
            </w:r>
          </w:p>
        </w:tc>
        <w:tc>
          <w:tcPr>
            <w:tcW w:w="101"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w:t>
            </w:r>
          </w:p>
        </w:tc>
        <w:tc>
          <w:tcPr>
            <w:tcW w:w="559"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w:t>
            </w:r>
          </w:p>
        </w:tc>
        <w:tc>
          <w:tcPr>
            <w:tcW w:w="656"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w:t>
            </w:r>
          </w:p>
        </w:tc>
        <w:tc>
          <w:tcPr>
            <w:tcW w:w="690" w:type="pct"/>
            <w:tcBorders>
              <w:top w:val="nil"/>
              <w:left w:val="nil"/>
              <w:bottom w:val="nil"/>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w:t>
            </w:r>
          </w:p>
        </w:tc>
        <w:tc>
          <w:tcPr>
            <w:tcW w:w="690" w:type="pct"/>
            <w:tcBorders>
              <w:top w:val="nil"/>
              <w:left w:val="nil"/>
              <w:bottom w:val="nil"/>
              <w:right w:val="nil"/>
            </w:tcBorders>
            <w:shd w:val="clear" w:color="FFFFFF" w:fill="FFFFFF"/>
            <w:noWrap/>
            <w:vAlign w:val="center"/>
          </w:tcPr>
          <w:p w:rsidR="00565FD5" w:rsidRPr="007570EF" w:rsidRDefault="00565FD5" w:rsidP="00AB62A3">
            <w:pPr>
              <w:ind w:right="57"/>
              <w:jc w:val="right"/>
              <w:rPr>
                <w:rFonts w:cs="Tahoma"/>
                <w:sz w:val="16"/>
                <w:szCs w:val="16"/>
              </w:rPr>
            </w:pPr>
          </w:p>
        </w:tc>
        <w:tc>
          <w:tcPr>
            <w:tcW w:w="101" w:type="pct"/>
            <w:tcBorders>
              <w:top w:val="nil"/>
              <w:left w:val="nil"/>
              <w:bottom w:val="nil"/>
              <w:right w:val="single" w:sz="4" w:space="0" w:color="auto"/>
            </w:tcBorders>
            <w:shd w:val="clear" w:color="FFFFFF" w:fill="FFFFFF"/>
            <w:noWrap/>
            <w:vAlign w:val="center"/>
          </w:tcPr>
          <w:p w:rsidR="00565FD5" w:rsidRPr="007570EF" w:rsidRDefault="00565FD5" w:rsidP="00AB62A3">
            <w:pPr>
              <w:jc w:val="right"/>
              <w:rPr>
                <w:rFonts w:cs="Tahoma"/>
                <w:sz w:val="13"/>
                <w:szCs w:val="13"/>
              </w:rPr>
            </w:pPr>
            <w:r w:rsidRPr="007570EF">
              <w:rPr>
                <w:rFonts w:cs="Tahoma"/>
                <w:sz w:val="13"/>
                <w:szCs w:val="13"/>
              </w:rPr>
              <w:t> </w:t>
            </w:r>
          </w:p>
        </w:tc>
      </w:tr>
      <w:tr w:rsidR="00565FD5" w:rsidRPr="007570EF" w:rsidTr="00AB62A3">
        <w:trPr>
          <w:trHeight w:val="284"/>
        </w:trPr>
        <w:tc>
          <w:tcPr>
            <w:tcW w:w="2304" w:type="pct"/>
            <w:gridSpan w:val="2"/>
            <w:tcBorders>
              <w:top w:val="nil"/>
              <w:left w:val="single" w:sz="4" w:space="0" w:color="auto"/>
              <w:bottom w:val="single" w:sz="4" w:space="0" w:color="auto"/>
              <w:right w:val="nil"/>
            </w:tcBorders>
            <w:shd w:val="clear" w:color="FFFFFF" w:fill="FFFFFF"/>
            <w:noWrap/>
            <w:vAlign w:val="center"/>
          </w:tcPr>
          <w:p w:rsidR="00565FD5" w:rsidRPr="007570EF" w:rsidRDefault="00565FD5" w:rsidP="00AB62A3">
            <w:pPr>
              <w:tabs>
                <w:tab w:val="left" w:pos="303"/>
              </w:tabs>
              <w:rPr>
                <w:rFonts w:cs="Tahoma"/>
                <w:sz w:val="16"/>
                <w:szCs w:val="16"/>
              </w:rPr>
            </w:pPr>
            <w:r w:rsidRPr="007570EF">
              <w:rPr>
                <w:rFonts w:cs="Tahoma"/>
                <w:sz w:val="16"/>
                <w:szCs w:val="16"/>
              </w:rPr>
              <w:t xml:space="preserve">  - Özelleştirme Gelirleri</w:t>
            </w:r>
          </w:p>
        </w:tc>
        <w:tc>
          <w:tcPr>
            <w:tcW w:w="559" w:type="pct"/>
            <w:tcBorders>
              <w:top w:val="nil"/>
              <w:left w:val="nil"/>
              <w:bottom w:val="single" w:sz="4" w:space="0" w:color="auto"/>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3 470</w:t>
            </w:r>
          </w:p>
        </w:tc>
        <w:tc>
          <w:tcPr>
            <w:tcW w:w="656" w:type="pct"/>
            <w:tcBorders>
              <w:top w:val="nil"/>
              <w:left w:val="nil"/>
              <w:bottom w:val="single" w:sz="4" w:space="0" w:color="auto"/>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 xml:space="preserve">   2 808</w:t>
            </w:r>
          </w:p>
        </w:tc>
        <w:tc>
          <w:tcPr>
            <w:tcW w:w="690" w:type="pct"/>
            <w:tcBorders>
              <w:top w:val="nil"/>
              <w:left w:val="nil"/>
              <w:bottom w:val="single" w:sz="4" w:space="0" w:color="auto"/>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1 359</w:t>
            </w:r>
          </w:p>
        </w:tc>
        <w:tc>
          <w:tcPr>
            <w:tcW w:w="690" w:type="pct"/>
            <w:tcBorders>
              <w:top w:val="nil"/>
              <w:left w:val="nil"/>
              <w:bottom w:val="single" w:sz="4" w:space="0" w:color="auto"/>
              <w:right w:val="nil"/>
            </w:tcBorders>
            <w:shd w:val="clear" w:color="FFFFFF" w:fill="FFFFFF"/>
            <w:noWrap/>
            <w:vAlign w:val="center"/>
          </w:tcPr>
          <w:p w:rsidR="00565FD5" w:rsidRPr="007570EF" w:rsidRDefault="00565FD5" w:rsidP="00AB62A3">
            <w:pPr>
              <w:jc w:val="right"/>
              <w:rPr>
                <w:rFonts w:cs="Tahoma"/>
                <w:sz w:val="16"/>
                <w:szCs w:val="16"/>
              </w:rPr>
            </w:pPr>
            <w:r w:rsidRPr="007570EF">
              <w:rPr>
                <w:rFonts w:cs="Tahoma"/>
                <w:sz w:val="16"/>
                <w:szCs w:val="16"/>
              </w:rPr>
              <w:t>4 000</w:t>
            </w:r>
          </w:p>
        </w:tc>
        <w:tc>
          <w:tcPr>
            <w:tcW w:w="101" w:type="pct"/>
            <w:tcBorders>
              <w:top w:val="nil"/>
              <w:left w:val="nil"/>
              <w:bottom w:val="single" w:sz="4" w:space="0" w:color="auto"/>
              <w:right w:val="single" w:sz="4" w:space="0" w:color="auto"/>
            </w:tcBorders>
            <w:shd w:val="clear" w:color="FFFFFF" w:fill="FFFFFF"/>
            <w:noWrap/>
            <w:vAlign w:val="center"/>
          </w:tcPr>
          <w:p w:rsidR="00565FD5" w:rsidRPr="007570EF" w:rsidRDefault="00565FD5" w:rsidP="00AB62A3">
            <w:pPr>
              <w:ind w:right="57"/>
              <w:jc w:val="right"/>
              <w:rPr>
                <w:rFonts w:cs="Tahoma"/>
                <w:sz w:val="13"/>
                <w:szCs w:val="13"/>
              </w:rPr>
            </w:pPr>
          </w:p>
        </w:tc>
      </w:tr>
    </w:tbl>
    <w:p w:rsidR="00565FD5" w:rsidRPr="007570EF" w:rsidRDefault="00565FD5" w:rsidP="00565FD5">
      <w:pPr>
        <w:tabs>
          <w:tab w:val="left" w:pos="360"/>
        </w:tabs>
        <w:rPr>
          <w:rFonts w:cs="Tahoma"/>
          <w:sz w:val="14"/>
          <w:szCs w:val="14"/>
        </w:rPr>
      </w:pPr>
      <w:r w:rsidRPr="007570EF">
        <w:rPr>
          <w:rFonts w:cs="Tahoma"/>
          <w:sz w:val="14"/>
          <w:szCs w:val="14"/>
        </w:rPr>
        <w:t>Kaynak: Kalkınma Bakanlığı</w:t>
      </w:r>
    </w:p>
    <w:p w:rsidR="00565FD5" w:rsidRPr="007570EF" w:rsidRDefault="00565FD5" w:rsidP="00565FD5">
      <w:pPr>
        <w:tabs>
          <w:tab w:val="left" w:pos="360"/>
        </w:tabs>
        <w:rPr>
          <w:rFonts w:cs="Tahoma"/>
          <w:sz w:val="14"/>
          <w:szCs w:val="14"/>
        </w:rPr>
      </w:pPr>
      <w:r w:rsidRPr="007570EF">
        <w:rPr>
          <w:rFonts w:cs="Tahoma"/>
          <w:sz w:val="14"/>
          <w:szCs w:val="14"/>
        </w:rPr>
        <w:t>(1) İşsizlik Sigortası Fonu hariçtir.</w:t>
      </w:r>
    </w:p>
    <w:p w:rsidR="00565FD5" w:rsidRPr="007570EF" w:rsidRDefault="00565FD5" w:rsidP="00565FD5">
      <w:pPr>
        <w:tabs>
          <w:tab w:val="left" w:pos="360"/>
        </w:tabs>
        <w:rPr>
          <w:rFonts w:cs="Tahoma"/>
          <w:sz w:val="14"/>
          <w:szCs w:val="14"/>
        </w:rPr>
      </w:pPr>
      <w:r w:rsidRPr="007570EF">
        <w:rPr>
          <w:rFonts w:cs="Tahoma"/>
          <w:sz w:val="14"/>
          <w:szCs w:val="14"/>
        </w:rPr>
        <w:t>(2) Gerçekleşme tahmini</w:t>
      </w:r>
    </w:p>
    <w:p w:rsidR="00565FD5" w:rsidRDefault="00565FD5" w:rsidP="00565FD5">
      <w:pPr>
        <w:tabs>
          <w:tab w:val="left" w:pos="360"/>
        </w:tabs>
        <w:spacing w:after="240"/>
        <w:rPr>
          <w:rFonts w:cs="Tahoma"/>
          <w:sz w:val="14"/>
          <w:szCs w:val="14"/>
        </w:rPr>
      </w:pPr>
      <w:r w:rsidRPr="007570EF">
        <w:rPr>
          <w:rFonts w:cs="Tahoma"/>
          <w:sz w:val="14"/>
          <w:szCs w:val="14"/>
        </w:rPr>
        <w:t>(3) Program</w:t>
      </w:r>
    </w:p>
    <w:p w:rsidR="00565FD5" w:rsidRPr="007570EF" w:rsidRDefault="00565FD5" w:rsidP="00565FD5">
      <w:pPr>
        <w:spacing w:after="180"/>
        <w:ind w:firstLine="425"/>
        <w:rPr>
          <w:szCs w:val="18"/>
        </w:rPr>
      </w:pPr>
      <w:r w:rsidRPr="007570EF">
        <w:rPr>
          <w:szCs w:val="18"/>
        </w:rPr>
        <w:t>Fonların gelirlerinin 2012 yılında 6,5 milyar TL, giderlerinin ise 5,3 milyar TL olarak gerçekleşmesi beklenmektedir. Böylece, fon sistemi finansman fazlasının 1,2 milyar TL olması öngörülmektedir.</w:t>
      </w:r>
    </w:p>
    <w:p w:rsidR="00565FD5" w:rsidRPr="007570EF" w:rsidRDefault="00565FD5" w:rsidP="00565FD5">
      <w:pPr>
        <w:spacing w:after="180"/>
        <w:ind w:firstLine="425"/>
        <w:rPr>
          <w:szCs w:val="18"/>
        </w:rPr>
      </w:pPr>
      <w:r w:rsidRPr="007570EF">
        <w:rPr>
          <w:szCs w:val="18"/>
        </w:rPr>
        <w:t>2012 yılında özelleştirme uygulamaları sonucunda Özelleştirme Fonuna 1,4 milyar TL nakit girişi beklenmektedir.</w:t>
      </w:r>
    </w:p>
    <w:p w:rsidR="00565FD5" w:rsidRPr="007570EF" w:rsidRDefault="00565FD5" w:rsidP="00565FD5">
      <w:pPr>
        <w:pStyle w:val="Balk4"/>
      </w:pPr>
      <w:bookmarkStart w:id="1118" w:name="_Toc338505553"/>
      <w:bookmarkStart w:id="1119" w:name="_Toc338523770"/>
      <w:bookmarkStart w:id="1120" w:name="_Toc338524001"/>
      <w:bookmarkStart w:id="1121" w:name="_Toc338526227"/>
      <w:bookmarkStart w:id="1122" w:name="_Toc338673670"/>
      <w:bookmarkStart w:id="1123" w:name="_Toc338711549"/>
      <w:r w:rsidRPr="007570EF">
        <w:t>2. 2013 Yılı Hedefleri</w:t>
      </w:r>
      <w:bookmarkEnd w:id="1118"/>
      <w:bookmarkEnd w:id="1119"/>
      <w:bookmarkEnd w:id="1120"/>
      <w:bookmarkEnd w:id="1121"/>
      <w:bookmarkEnd w:id="1122"/>
      <w:bookmarkEnd w:id="1123"/>
    </w:p>
    <w:p w:rsidR="00565FD5" w:rsidRPr="007570EF" w:rsidRDefault="00565FD5" w:rsidP="00565FD5">
      <w:pPr>
        <w:spacing w:after="180"/>
        <w:ind w:firstLine="425"/>
        <w:rPr>
          <w:szCs w:val="18"/>
        </w:rPr>
      </w:pPr>
      <w:r w:rsidRPr="007570EF">
        <w:rPr>
          <w:szCs w:val="18"/>
        </w:rPr>
        <w:t>2013 yılında Özelleştirme Fonunun 4 milyar TL tutarında özelleştirme geliri elde etmesi beklenmektedir.</w:t>
      </w:r>
    </w:p>
    <w:p w:rsidR="00565FD5" w:rsidRPr="007570EF" w:rsidRDefault="00565FD5" w:rsidP="00565FD5">
      <w:pPr>
        <w:spacing w:after="180"/>
        <w:ind w:firstLine="425"/>
        <w:rPr>
          <w:szCs w:val="18"/>
        </w:rPr>
      </w:pPr>
      <w:r w:rsidRPr="007570EF">
        <w:rPr>
          <w:szCs w:val="18"/>
        </w:rPr>
        <w:t>2013 yılında fonların gelirlerinin 6,9 milyar TL, fon giderlerinin 5,8 milyar TL, böylece fon sistemi finansman fazlasının 1 milyar TL olması hedeflenmiştir.</w:t>
      </w:r>
    </w:p>
    <w:p w:rsidR="00565FD5" w:rsidRPr="00BF3740" w:rsidRDefault="00565FD5" w:rsidP="00565FD5">
      <w:pPr>
        <w:pStyle w:val="Balk2"/>
        <w:rPr>
          <w:lang w:eastAsia="tr-TR"/>
        </w:rPr>
      </w:pPr>
      <w:bookmarkStart w:id="1124" w:name="_Toc338494232"/>
      <w:bookmarkStart w:id="1125" w:name="_Toc338505554"/>
      <w:bookmarkStart w:id="1126" w:name="_Toc338523771"/>
      <w:bookmarkStart w:id="1127" w:name="_Toc338524002"/>
      <w:bookmarkStart w:id="1128" w:name="_Toc338526228"/>
      <w:bookmarkStart w:id="1129" w:name="_Toc338673671"/>
      <w:bookmarkStart w:id="1130" w:name="_Toc338711550"/>
      <w:r w:rsidRPr="00BF3740">
        <w:rPr>
          <w:lang w:eastAsia="tr-TR"/>
        </w:rPr>
        <w:t>II. KAMU İKTİSADİ TEŞEBBÜSLERİ</w:t>
      </w:r>
      <w:bookmarkEnd w:id="1124"/>
      <w:bookmarkEnd w:id="1125"/>
      <w:bookmarkEnd w:id="1126"/>
      <w:bookmarkEnd w:id="1127"/>
      <w:bookmarkEnd w:id="1128"/>
      <w:bookmarkEnd w:id="1129"/>
      <w:bookmarkEnd w:id="1130"/>
    </w:p>
    <w:p w:rsidR="00565FD5" w:rsidRPr="00BF3740" w:rsidRDefault="00565FD5" w:rsidP="00565FD5">
      <w:pPr>
        <w:pStyle w:val="Balk4"/>
      </w:pPr>
      <w:bookmarkStart w:id="1131" w:name="_Toc149968471"/>
      <w:bookmarkStart w:id="1132" w:name="_Toc213065639"/>
      <w:bookmarkStart w:id="1133" w:name="_Toc244253652"/>
      <w:bookmarkStart w:id="1134" w:name="_Toc244254902"/>
      <w:bookmarkStart w:id="1135" w:name="_Toc244313638"/>
      <w:bookmarkStart w:id="1136" w:name="_Toc244315115"/>
      <w:bookmarkStart w:id="1137" w:name="_Toc244339578"/>
      <w:bookmarkStart w:id="1138" w:name="_Toc276076257"/>
      <w:bookmarkStart w:id="1139" w:name="_Toc307601964"/>
      <w:bookmarkStart w:id="1140" w:name="_Toc307670412"/>
      <w:bookmarkStart w:id="1141" w:name="_Toc307701638"/>
      <w:bookmarkStart w:id="1142" w:name="_Toc338505555"/>
      <w:bookmarkStart w:id="1143" w:name="_Toc338523772"/>
      <w:bookmarkStart w:id="1144" w:name="_Toc338524003"/>
      <w:bookmarkStart w:id="1145" w:name="_Toc338526229"/>
      <w:bookmarkStart w:id="1146" w:name="_Toc338673672"/>
      <w:bookmarkStart w:id="1147" w:name="_Toc338711551"/>
      <w:r w:rsidRPr="00BF3740">
        <w:t>1. Mevcut Durum</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r w:rsidRPr="00BF3740">
        <w:t xml:space="preserve"> </w:t>
      </w:r>
    </w:p>
    <w:p w:rsidR="00565FD5" w:rsidRPr="00BF3740" w:rsidRDefault="00565FD5" w:rsidP="00565FD5">
      <w:pPr>
        <w:spacing w:after="180"/>
        <w:ind w:firstLine="425"/>
        <w:rPr>
          <w:szCs w:val="18"/>
        </w:rPr>
      </w:pPr>
      <w:r w:rsidRPr="00BF3740">
        <w:rPr>
          <w:szCs w:val="18"/>
        </w:rPr>
        <w:t xml:space="preserve">Özel sektör öncelikli ekonomi politikaları ve özelleştirmeler neticesinde KİT’lerin sayısı ve ekonomi içerisindeki payı günden güne azalmaktadır. Bunun bir göstergesi olarak KİT’lerin ürettiği katma değerin GSYH’ya oranının 2000 yılındaki yüzde 3,5 seviyesinden, 2012 yılında yüzde 1,1 seviyesine gerilemesi beklenmektedir. Buna paralel olarak 2000 yılı sonunda 435 bin olan KİT’lerde istihdam edilen personel sayısı 2012 yılında 171 bine düşmüştür. </w:t>
      </w:r>
    </w:p>
    <w:p w:rsidR="00565FD5" w:rsidRPr="00BF3740" w:rsidRDefault="00565FD5" w:rsidP="00565FD5">
      <w:pPr>
        <w:spacing w:after="180"/>
        <w:ind w:firstLine="425"/>
        <w:rPr>
          <w:szCs w:val="18"/>
        </w:rPr>
      </w:pPr>
      <w:r w:rsidRPr="00BF3740">
        <w:rPr>
          <w:szCs w:val="18"/>
        </w:rPr>
        <w:lastRenderedPageBreak/>
        <w:t>Özelleştirme kapsamında izlenen kuruluşlar dâhil 2011 yılında GSYH’nın yüzde 0,22’si oranında finansman fazlası oluşturan KİT’lerin, 2012 yılında yüzde 0,2</w:t>
      </w:r>
      <w:r>
        <w:rPr>
          <w:szCs w:val="18"/>
        </w:rPr>
        <w:t>5</w:t>
      </w:r>
      <w:r w:rsidRPr="00BF3740">
        <w:rPr>
          <w:szCs w:val="18"/>
        </w:rPr>
        <w:t xml:space="preserve"> finansman açığı vermesi programlanmasına rağmen, yıl içindeki gelişmelere bağlı olarak öngörülenden daha iyi bir performans sergilenmesi neticesinde yüzde 0,14 finansman açığı oluşturacağı tahmin edilmektedir. </w:t>
      </w:r>
    </w:p>
    <w:p w:rsidR="00565FD5" w:rsidRPr="00BF3740" w:rsidRDefault="00565FD5" w:rsidP="00565FD5">
      <w:pPr>
        <w:spacing w:after="180"/>
        <w:ind w:firstLine="425"/>
        <w:rPr>
          <w:szCs w:val="18"/>
        </w:rPr>
      </w:pPr>
      <w:r w:rsidRPr="00BF3740">
        <w:rPr>
          <w:szCs w:val="18"/>
        </w:rPr>
        <w:t>Özelleştirme kapsamında izlenen kuruluşlar dâhil KİT’lerin 2012 yılında 2 milyar TL dönem kârı ve 2,1 milyar TL faiz dışı açık oluşturması beklenmektedir. Söz konusu kuruluşlara nakit olarak 5,4 milyar TL sermaye transferi, 2,4 milyar TL görev zararı ödemesi yapılması ve bu kuruluşların yatırım harcamasının 8 milyar TL olması beklenmektedir.</w:t>
      </w:r>
    </w:p>
    <w:p w:rsidR="00565FD5" w:rsidRPr="00BF3740" w:rsidRDefault="00565FD5" w:rsidP="00565FD5">
      <w:pPr>
        <w:spacing w:after="180"/>
        <w:ind w:firstLine="425"/>
        <w:rPr>
          <w:szCs w:val="18"/>
        </w:rPr>
      </w:pPr>
      <w:r w:rsidRPr="00BF3740">
        <w:rPr>
          <w:szCs w:val="18"/>
        </w:rPr>
        <w:t>Stratejik yönetim anlayışını yerleştirmeye yönelik başlatılan faaliyetler kapsamında stratejik planları Kalkınma Bakanlığınca uygun bulunan KİT’ler, performans programlarını ve değerlendirme raporlarını oluşturmaktadır. Diğer taraftan Tarım İşletmeleri Genel Müdürlüğü (TİGEM), Türkiye Taşkömürü Kurumu (TTK), Türkiye Elektrik İletim A.Ş. (TEİAŞ) ve Türkiye Elektromekanik Sanayi A.Ş.’de ise yeniden yapılandırma çalışmaları sürdürülmektedir.</w:t>
      </w:r>
    </w:p>
    <w:p w:rsidR="00565FD5" w:rsidRPr="00BF3740" w:rsidRDefault="00565FD5" w:rsidP="00565FD5">
      <w:pPr>
        <w:spacing w:after="180"/>
        <w:ind w:firstLine="425"/>
        <w:rPr>
          <w:szCs w:val="18"/>
        </w:rPr>
      </w:pPr>
      <w:r w:rsidRPr="00BF3740">
        <w:rPr>
          <w:szCs w:val="18"/>
        </w:rPr>
        <w:t>2012 yılında dolar kurunun artması ve ham petrol fiyatlarının yüksek seviyelerde seyretmesi sebebiyle artan BOTAŞ’ın doğal gaz alım maliyeti, Türkiye Elektrik Ticaret ve Taahhüt A.Ş.’nin (TETAŞ) elektrik alım maliyetini ve Elektrik Üretim A.Ş.’nin (EÜAŞ) yakıt maliyetini de yükseltmiştir. Doğal gaz satış fiyatlarında Ekim ayında yapılan ayarlamaya rağmen; BOTAŞ’ın doğal gaz dağıtım şirketlerine yaptığı satışların ortalama fiyatı, ortalama doğal gaz alım fiyatının altındadır. BOTAŞ’ın önceki yıllarda al ya da öde taahhütleri kapsamında ödemesini yapıp kullanamadığı doğal gazın bir kısmı yıl içerisinde tüketilmiştir.</w:t>
      </w:r>
    </w:p>
    <w:p w:rsidR="00565FD5" w:rsidRPr="00BF3740" w:rsidRDefault="00565FD5" w:rsidP="00565FD5">
      <w:pPr>
        <w:spacing w:after="180"/>
        <w:ind w:firstLine="425"/>
        <w:rPr>
          <w:szCs w:val="18"/>
        </w:rPr>
      </w:pPr>
      <w:r w:rsidRPr="00BF3740">
        <w:rPr>
          <w:szCs w:val="18"/>
        </w:rPr>
        <w:t>EÜAŞ’ın bünyesinde faaliyet gösteren Seyitömer Termik Santralinin yakıt ihtiyacını karşılayan Türkiye Kömür İşletmeleri (TKİ) bünyesindeki Seyitömer Linyitleri İşletme Müdürlüğünün EÜAŞ’a bağlanması hususunda Yüksek Planlama Kurulu Kararı alınmıştır. Yapılan düzenlemeyle Seyitömer Termik Santralinin yakıt kaynağıyla birlikte özelleştirilmesi amaçlanmaktadır.</w:t>
      </w:r>
    </w:p>
    <w:p w:rsidR="00565FD5" w:rsidRPr="00BF3740" w:rsidRDefault="00565FD5" w:rsidP="00565FD5">
      <w:pPr>
        <w:spacing w:after="180"/>
        <w:ind w:firstLine="425"/>
        <w:rPr>
          <w:szCs w:val="18"/>
        </w:rPr>
      </w:pPr>
      <w:r w:rsidRPr="00BF3740">
        <w:rPr>
          <w:szCs w:val="18"/>
        </w:rPr>
        <w:lastRenderedPageBreak/>
        <w:t xml:space="preserve">Eti Maden, ihracı halinde ülke ekonomisine önemli tutarda katma değer sağlaması beklenen nadir toprak elementlerinin üretimi için girişimlere başlamıştır. </w:t>
      </w:r>
    </w:p>
    <w:p w:rsidR="00565FD5" w:rsidRPr="00BF3740" w:rsidRDefault="00565FD5" w:rsidP="00565FD5">
      <w:pPr>
        <w:spacing w:after="180"/>
        <w:ind w:firstLine="425"/>
        <w:rPr>
          <w:szCs w:val="18"/>
        </w:rPr>
      </w:pPr>
      <w:r w:rsidRPr="00BF3740">
        <w:rPr>
          <w:szCs w:val="18"/>
        </w:rPr>
        <w:t>İhtiyaç sahiplerine bedelsiz dağıtılmak üzere TKİ ve TTK tarafından 2012 yılında yaklaşık 2,3 milyon ton, 2013 yılında ise yaklaşık 2 milyon ton kömür temin edileceği tahmin edilmektedir.</w:t>
      </w:r>
    </w:p>
    <w:p w:rsidR="00565FD5" w:rsidRPr="00BF3740" w:rsidRDefault="00565FD5" w:rsidP="00565FD5">
      <w:pPr>
        <w:spacing w:after="180"/>
        <w:ind w:firstLine="425"/>
        <w:rPr>
          <w:szCs w:val="18"/>
        </w:rPr>
      </w:pPr>
      <w:r w:rsidRPr="00BF3740">
        <w:rPr>
          <w:szCs w:val="18"/>
        </w:rPr>
        <w:t>Türkiye Cumhuriyeti Devlet Demiryolları İşletmesinin (TCDD) yatırımlarının ve istihdam giderlerinin finansmanı, bütçeden kuruluşa yapılan sermaye transferleriyle karşılanmaktadır. Kuruluşun 2012 yılı toplam yatırım harcamasının, KİT’lerin toplam yatırım harcamalarının yüzde 41’ine karşılık gelmesi beklenmektedir. Kuruluşa 2011 yılında 3,4 milyar TL sermaye transferi yapılmış olup 2012 yılında 4,4 milyar TL sermaye transferi yapılması beklenmektedir.</w:t>
      </w:r>
    </w:p>
    <w:p w:rsidR="00565FD5" w:rsidRPr="00BF3740" w:rsidRDefault="00565FD5" w:rsidP="00565FD5">
      <w:pPr>
        <w:spacing w:after="180"/>
        <w:ind w:firstLine="425"/>
        <w:rPr>
          <w:szCs w:val="18"/>
        </w:rPr>
      </w:pPr>
      <w:r w:rsidRPr="00BF3740">
        <w:rPr>
          <w:szCs w:val="18"/>
        </w:rPr>
        <w:t xml:space="preserve">Önceki yıllarda sürekli zarar eden Makina ve Kimya Endüstrisi Kurumu (MKEK), son yıllarda yurtiçinin yanısıra yurt dışından da alınan siparişlerin artması sonucunda elde ettiği dönem kârlarıyla, Hazineye temettü öder hale gelmiştir.  </w:t>
      </w:r>
    </w:p>
    <w:p w:rsidR="00565FD5" w:rsidRPr="00BF3740" w:rsidRDefault="00565FD5" w:rsidP="00565FD5">
      <w:pPr>
        <w:spacing w:after="180"/>
        <w:ind w:firstLine="425"/>
        <w:rPr>
          <w:szCs w:val="18"/>
        </w:rPr>
      </w:pPr>
      <w:r w:rsidRPr="00BF3740">
        <w:rPr>
          <w:szCs w:val="18"/>
        </w:rPr>
        <w:t>Çay İşletmeleri Genel Müdürlüğünün (ÇAYKUR) piyasa şartlarından daha iyi alım fiyatı ve ödeme koşulları sağlaması neticesinde gerekenden daha fazla yaş çay alımı yapması, yüksek miktarda stokla çalışmasına neden olmaktadır. Yüksek stok ve personel maliyetlerinin karşılanabilmesi için ÇAYKUR’a yüksek tutarda sermaye transferi yapılmaya devam edilmektedir.</w:t>
      </w:r>
    </w:p>
    <w:p w:rsidR="00565FD5" w:rsidRPr="00BF3740" w:rsidRDefault="00565FD5" w:rsidP="00565FD5">
      <w:pPr>
        <w:spacing w:after="180"/>
        <w:ind w:firstLine="425"/>
        <w:rPr>
          <w:szCs w:val="18"/>
        </w:rPr>
      </w:pPr>
      <w:r w:rsidRPr="00BF3740">
        <w:rPr>
          <w:szCs w:val="18"/>
        </w:rPr>
        <w:t>Et ve Balık Kurumu Genel Müdürlüğü (EBK), isim hakkı kullanımı verdiği ve satılan ürünleri sağladığı mağazaların sayısını ülke genelinde 56’dan 75’e çıkararak pazar payını artırmıştır. Kuruluşun kombinaları ülke geneline yayılarak 2012 yılında sayısı 11’e çıkmıştır. Kuruluşun mevcut kombinalarında üretim şartlarını iyileştirmeye yönelik modernizasyon çalışmaları sürdürülmektedir. Geniş ürün yelpazesine sahip olan EBK’nın satış fiyatlarının satış maliyetinin altında kalması, kuruluşun uzun yıllardır zarar etmesine sebep olmaktadır. EBK’nın zayıf mali yapısını güçlendirebilmesi için satılan malların birim maliyetlerini düşürücü tedbirler alması gerekmektedir.</w:t>
      </w:r>
    </w:p>
    <w:p w:rsidR="00565FD5" w:rsidRPr="00BF3740" w:rsidRDefault="00565FD5" w:rsidP="00565FD5">
      <w:pPr>
        <w:spacing w:after="180"/>
        <w:ind w:firstLine="425"/>
        <w:rPr>
          <w:szCs w:val="18"/>
        </w:rPr>
      </w:pPr>
      <w:r w:rsidRPr="00BF3740">
        <w:rPr>
          <w:szCs w:val="18"/>
        </w:rPr>
        <w:lastRenderedPageBreak/>
        <w:t xml:space="preserve">Toprak Mahsulleri Ofisi (TMO), 2011 yılında başlattığı yüksek oranda protein içeren kaliteli buğdaya daha yüksek fiyat verilmesini öngören müdahele alımlarına 2012/2013 alım sezonunda da devam etmiştir. Bu kapsamda, yüzde 11,5-12 oranında protein içeren Anadolu kırmızı sert buğday fiyatı 665 TL/ton, makarnalık buğday fiyatı 705 TL/ton olarak açıklanmıştır. Buğday ve mısır alımlarında bu yıl ilk defa isteğe bağlı randevulu alım sistemi uygulanmış,  Eylül ayında başlayan çeltik alımlarında ise tam randevulu sisteme geçilmiştir. </w:t>
      </w:r>
    </w:p>
    <w:p w:rsidR="00565FD5" w:rsidRPr="00BF3740" w:rsidRDefault="00565FD5" w:rsidP="00565FD5">
      <w:pPr>
        <w:spacing w:after="240"/>
        <w:ind w:firstLine="425"/>
        <w:rPr>
          <w:szCs w:val="18"/>
        </w:rPr>
      </w:pPr>
      <w:r w:rsidRPr="00BF3740">
        <w:rPr>
          <w:szCs w:val="18"/>
        </w:rPr>
        <w:t>2011 yılında 1,4 milyar ABD doları olarak gerçekleşen satış/devir işlemi tamamlanan özelleştirme uygulamaları, 2012 yılı Eylül ayı sonu itibarıyla 493,7 milyon ABD doları olarak gerçekleşmiştir. 2012 yılında Acıpayam Selüloz Sanayii ve Ticaret A.Ş.’deki yüzde 76,8, PETKİM Petrokimya Holding A.Ş.’deki yüzde 10,3 ve Kayseri ve Civarı Elektrik T.A.Ş.’deki yüzde 20 oranlarındaki kamu hissesi ile diğer kuruluşlara ait çeşitli taşınmazlar özelleştirilmiştir.</w:t>
      </w:r>
    </w:p>
    <w:p w:rsidR="00565FD5" w:rsidRPr="00BF3740" w:rsidRDefault="00565FD5" w:rsidP="00565FD5">
      <w:pPr>
        <w:spacing w:after="240"/>
        <w:ind w:firstLine="425"/>
        <w:rPr>
          <w:szCs w:val="18"/>
        </w:rPr>
      </w:pPr>
      <w:r w:rsidRPr="00BF3740">
        <w:rPr>
          <w:szCs w:val="18"/>
        </w:rPr>
        <w:t>Türkiye Elektrik Dağıtım A.Ş.’ye ait elektrik dağıtım şirketlerinden 18 tanesinin özelleştirme ihalesi yapılmış olup bu şirketlerden 10 tanesinin özel sektöre devir işlemleri tamamlanmıştır. Vangölü ve Dicle Elektrik Dağıtım Anonim Şirketlerinin satış onayı alınmış olup satış sözleşmesi imzalanma aşamasındadır. Teklif sahiplerinin yükümlülüklerini yerine getirmemeleri nedeniyle İstanbul Anadolu Yakası ve Toroslar Elektrik Dağıtım Anonim Şirketlerinin özelleştirme ihaleleri iptal edilmiş olup tekrar ihaleye çıkılması için hazırlıklar yapılmaktadır. İhaleleri iptal edilen Gediz, Akdeniz ve Boğaziçi Elektrik Dağıtım Anonim Şirketlerinin yüzde 100 oranındaki hisselerinin blok satış yöntemiyle özelleştirilmesi amacıyla yeniden ihaleye çıkılmıştır. Aras Elektrik Dağıtım A.Ş.’nin özelleştirilmesi için yapılan ihale ise Danıştay tarafından iptal edilmiştir. Karara karşı Özelleştirme İdaresi Başkanlığı tarafından temyiz başvurusu yapılmış olup hukuki süreç devam etmektedir.</w:t>
      </w:r>
    </w:p>
    <w:p w:rsidR="00565FD5" w:rsidRPr="00BF3740" w:rsidRDefault="00565FD5" w:rsidP="00565FD5">
      <w:pPr>
        <w:spacing w:after="240"/>
        <w:ind w:firstLine="425"/>
        <w:rPr>
          <w:szCs w:val="18"/>
        </w:rPr>
      </w:pPr>
      <w:r w:rsidRPr="00BF3740">
        <w:rPr>
          <w:szCs w:val="18"/>
        </w:rPr>
        <w:t>EÜAŞ’a ait 4 grup akarsu santralinin işletme hakkı devri yöntemiyle satışı Özelleştirme Yüksek Kurulu (ÖYK) tarafından onaylanmış olup devir sözleşmelerinin imzalanmasına ilişkin çalışmalar sürdürülmektedir. 10 gruba ayrılan 17 akarsu santralinin ise işletme hakkı devri yöntemiyle özelleştirilmesi amacıyla ihale ilanları verilmiştir. Ayrıca, EÜAŞ’a ait Hamitabat Elektrik Üretim ve Ticaret A.Ş.’nin yüzde 100 oranındaki hissesinin blok satış yöntemiyle özelleştirilmesine ilişkin ihale ilanı yayımlanmıştır.</w:t>
      </w:r>
    </w:p>
    <w:p w:rsidR="00565FD5" w:rsidRPr="00BF3740" w:rsidRDefault="00565FD5" w:rsidP="00565FD5">
      <w:pPr>
        <w:spacing w:after="240"/>
        <w:ind w:firstLine="425"/>
        <w:rPr>
          <w:szCs w:val="18"/>
        </w:rPr>
      </w:pPr>
      <w:r w:rsidRPr="00BF3740">
        <w:rPr>
          <w:szCs w:val="18"/>
        </w:rPr>
        <w:lastRenderedPageBreak/>
        <w:t>Türkiye Şeker Fabrikaları A.Ş.’ye ait Portföy-B içerisinde yer alan Malatya, Erzincan, Elazığ ve Elbistan Şeker Fabrikaları ile Portföy-C içerisinde yer alan Kastamonu, Kırşehir, Turhal, Yozgat, Çorum ve Çarşamba Şeker Fabrikalarının özelleştirilmesiyle ilgili ihaleler 09/10/2012 tarihli ve 2012/151 sayılı ÖYK Kararıyla iptal edilmiştir.</w:t>
      </w:r>
    </w:p>
    <w:p w:rsidR="00565FD5" w:rsidRPr="00BF3740" w:rsidRDefault="00565FD5" w:rsidP="00565FD5">
      <w:pPr>
        <w:spacing w:after="240"/>
        <w:ind w:firstLine="425"/>
        <w:rPr>
          <w:szCs w:val="18"/>
        </w:rPr>
      </w:pPr>
      <w:r w:rsidRPr="00BF3740">
        <w:rPr>
          <w:szCs w:val="18"/>
        </w:rPr>
        <w:t xml:space="preserve">Kayseri Şeker Fabrikası A.Ş.’deki yüzde 9,9, Doğusan Boru Sanayii ve Ticaret A.Ş.’deki yüzde 56,1 ve Başkent Doğalgaz Dağıtım A.Ş.’deki yüzde 100 oranlarındaki kamu hissesinin özelleştirilmesi amacıyla ihale ilanı yayımlanmıştır. </w:t>
      </w:r>
    </w:p>
    <w:p w:rsidR="00565FD5" w:rsidRPr="00BF3740" w:rsidRDefault="00565FD5" w:rsidP="00565FD5">
      <w:pPr>
        <w:spacing w:after="240"/>
        <w:ind w:firstLine="425"/>
        <w:rPr>
          <w:szCs w:val="18"/>
        </w:rPr>
      </w:pPr>
      <w:r w:rsidRPr="00BF3740">
        <w:rPr>
          <w:szCs w:val="18"/>
        </w:rPr>
        <w:t xml:space="preserve">Karayolları Genel Müdürlüğünün sorumluluğunda olup yapım, bakım, onarım ve işletimini üstlendiği bazı otoyol ve köprülerin işletme haklarının verilmesi yöntemiyle özelleştirilmesi için çıkılan ihalede teklif verme süresi uzatılmıştır. </w:t>
      </w:r>
    </w:p>
    <w:p w:rsidR="00565FD5" w:rsidRDefault="00565FD5" w:rsidP="00565FD5">
      <w:pPr>
        <w:spacing w:before="120" w:after="120"/>
        <w:ind w:firstLine="425"/>
        <w:rPr>
          <w:szCs w:val="18"/>
        </w:rPr>
      </w:pPr>
      <w:r w:rsidRPr="00BF3740">
        <w:rPr>
          <w:szCs w:val="18"/>
        </w:rPr>
        <w:t xml:space="preserve">Daha önce özelleştirme ihalesi iptal edilen TCDD’ye ait İzmir Limanının kruvaziyer ve yük limanı olarak ayrı ayrı özelleştirilmesine karar verilmiştir. İzmir Kruvaziyer Limanının işletme hakkı devri yöntemiyle özelleştirilmesi amacıyla çıkılan ihale sadece bir teklif alınması nedeniyle iptal edilmiştir. </w:t>
      </w:r>
    </w:p>
    <w:p w:rsidR="00565FD5" w:rsidRDefault="00565FD5" w:rsidP="00565FD5">
      <w:pPr>
        <w:spacing w:before="120" w:after="120"/>
        <w:ind w:firstLine="425"/>
        <w:rPr>
          <w:szCs w:val="18"/>
        </w:rPr>
      </w:pPr>
    </w:p>
    <w:p w:rsidR="00565FD5" w:rsidRDefault="00565FD5" w:rsidP="00565FD5">
      <w:pPr>
        <w:spacing w:before="120" w:after="120"/>
        <w:ind w:firstLine="425"/>
        <w:rPr>
          <w:szCs w:val="18"/>
        </w:rPr>
      </w:pPr>
    </w:p>
    <w:p w:rsidR="00565FD5" w:rsidRDefault="00565FD5" w:rsidP="00565FD5">
      <w:pPr>
        <w:spacing w:before="120" w:after="120"/>
        <w:ind w:firstLine="425"/>
        <w:rPr>
          <w:szCs w:val="18"/>
        </w:rPr>
      </w:pPr>
    </w:p>
    <w:p w:rsidR="00565FD5" w:rsidRPr="00BF3740" w:rsidRDefault="00565FD5" w:rsidP="00565FD5">
      <w:pPr>
        <w:spacing w:before="120" w:after="120"/>
        <w:ind w:firstLine="425"/>
        <w:rPr>
          <w:szCs w:val="18"/>
        </w:rPr>
      </w:pPr>
    </w:p>
    <w:p w:rsidR="00565FD5" w:rsidRDefault="00565FD5" w:rsidP="00565FD5">
      <w:pPr>
        <w:pStyle w:val="ResimYazs"/>
        <w:rPr>
          <w:rFonts w:cs="Tahoma"/>
          <w:b w:val="0"/>
          <w:bCs/>
          <w:lang w:eastAsia="tr-TR"/>
        </w:rPr>
      </w:pPr>
      <w:bookmarkStart w:id="1148" w:name="_Toc338605993"/>
      <w:bookmarkStart w:id="1149" w:name="_Toc338711768"/>
      <w:r>
        <w:t xml:space="preserve">TABLO III: </w:t>
      </w:r>
      <w:fldSimple w:instr=" SEQ TABLO_III: \* ARABIC ">
        <w:r>
          <w:rPr>
            <w:noProof/>
          </w:rPr>
          <w:t>15</w:t>
        </w:r>
      </w:fldSimple>
      <w:r w:rsidRPr="001E09D1">
        <w:rPr>
          <w:rFonts w:cs="Tahoma"/>
          <w:bCs/>
          <w:lang w:eastAsia="tr-TR"/>
        </w:rPr>
        <w:t>- 233 Sayılı KHK'ya Tabi İşletmeci KİT Finansman Dengesi</w:t>
      </w:r>
      <w:bookmarkEnd w:id="1148"/>
      <w:bookmarkEnd w:id="1149"/>
      <w:r w:rsidRPr="001E09D1">
        <w:rPr>
          <w:rFonts w:cs="Tahoma"/>
          <w:bCs/>
          <w:lang w:eastAsia="tr-TR"/>
        </w:rPr>
        <w:tab/>
      </w:r>
    </w:p>
    <w:tbl>
      <w:tblPr>
        <w:tblW w:w="7290" w:type="dxa"/>
        <w:tblInd w:w="70" w:type="dxa"/>
        <w:tblCellMar>
          <w:left w:w="70" w:type="dxa"/>
          <w:right w:w="70" w:type="dxa"/>
        </w:tblCellMar>
        <w:tblLook w:val="00A0"/>
      </w:tblPr>
      <w:tblGrid>
        <w:gridCol w:w="3343"/>
        <w:gridCol w:w="1201"/>
        <w:gridCol w:w="1201"/>
        <w:gridCol w:w="1313"/>
        <w:gridCol w:w="232"/>
      </w:tblGrid>
      <w:tr w:rsidR="00565FD5" w:rsidRPr="00BF3740" w:rsidTr="00AB62A3">
        <w:trPr>
          <w:trHeight w:hRule="exact" w:val="198"/>
        </w:trPr>
        <w:tc>
          <w:tcPr>
            <w:tcW w:w="3240" w:type="dxa"/>
            <w:tcBorders>
              <w:top w:val="single" w:sz="4" w:space="0" w:color="auto"/>
              <w:left w:val="single" w:sz="4" w:space="0" w:color="auto"/>
              <w:bottom w:val="nil"/>
              <w:right w:val="nil"/>
            </w:tcBorders>
            <w:noWrap/>
            <w:vAlign w:val="center"/>
          </w:tcPr>
          <w:p w:rsidR="00565FD5" w:rsidRPr="00BF3740" w:rsidRDefault="00565FD5" w:rsidP="00AB62A3">
            <w:pPr>
              <w:rPr>
                <w:rFonts w:cs="Tahoma"/>
                <w:sz w:val="16"/>
                <w:szCs w:val="16"/>
                <w:lang w:eastAsia="tr-TR"/>
              </w:rPr>
            </w:pPr>
            <w:r w:rsidRPr="00BF3740">
              <w:rPr>
                <w:rFonts w:cs="Tahoma"/>
                <w:sz w:val="16"/>
                <w:szCs w:val="16"/>
                <w:lang w:eastAsia="tr-TR"/>
              </w:rPr>
              <w:t> </w:t>
            </w:r>
          </w:p>
        </w:tc>
        <w:tc>
          <w:tcPr>
            <w:tcW w:w="1164" w:type="dxa"/>
            <w:tcBorders>
              <w:top w:val="single" w:sz="4" w:space="0" w:color="auto"/>
              <w:left w:val="nil"/>
              <w:bottom w:val="nil"/>
              <w:right w:val="nil"/>
            </w:tcBorders>
            <w:noWrap/>
            <w:vAlign w:val="bottom"/>
          </w:tcPr>
          <w:p w:rsidR="00565FD5" w:rsidRPr="00BF3740" w:rsidRDefault="00565FD5" w:rsidP="00AB62A3">
            <w:pPr>
              <w:jc w:val="right"/>
              <w:rPr>
                <w:rFonts w:cs="Tahoma"/>
                <w:b/>
                <w:bCs/>
                <w:sz w:val="16"/>
                <w:szCs w:val="16"/>
                <w:lang w:eastAsia="tr-TR"/>
              </w:rPr>
            </w:pPr>
            <w:r w:rsidRPr="00BF3740">
              <w:rPr>
                <w:rFonts w:cs="Tahoma"/>
                <w:b/>
                <w:bCs/>
                <w:sz w:val="16"/>
                <w:szCs w:val="16"/>
                <w:lang w:eastAsia="tr-TR"/>
              </w:rPr>
              <w:t>2011</w:t>
            </w:r>
          </w:p>
        </w:tc>
        <w:tc>
          <w:tcPr>
            <w:tcW w:w="1164" w:type="dxa"/>
            <w:tcBorders>
              <w:top w:val="single" w:sz="4" w:space="0" w:color="auto"/>
              <w:left w:val="nil"/>
              <w:bottom w:val="nil"/>
              <w:right w:val="nil"/>
            </w:tcBorders>
            <w:noWrap/>
            <w:vAlign w:val="bottom"/>
          </w:tcPr>
          <w:p w:rsidR="00565FD5" w:rsidRPr="00BF3740" w:rsidRDefault="00565FD5" w:rsidP="00AB62A3">
            <w:pPr>
              <w:jc w:val="right"/>
              <w:rPr>
                <w:rFonts w:cs="Tahoma"/>
                <w:b/>
                <w:bCs/>
                <w:sz w:val="16"/>
                <w:szCs w:val="16"/>
                <w:lang w:eastAsia="tr-TR"/>
              </w:rPr>
            </w:pPr>
            <w:r w:rsidRPr="00BF3740">
              <w:rPr>
                <w:rFonts w:cs="Tahoma"/>
                <w:b/>
                <w:bCs/>
                <w:sz w:val="16"/>
                <w:szCs w:val="16"/>
                <w:lang w:eastAsia="tr-TR"/>
              </w:rPr>
              <w:t>2012(1)</w:t>
            </w:r>
          </w:p>
        </w:tc>
        <w:tc>
          <w:tcPr>
            <w:tcW w:w="1272" w:type="dxa"/>
            <w:tcBorders>
              <w:top w:val="single" w:sz="4" w:space="0" w:color="auto"/>
              <w:left w:val="nil"/>
              <w:bottom w:val="nil"/>
              <w:right w:val="nil"/>
            </w:tcBorders>
            <w:noWrap/>
            <w:vAlign w:val="bottom"/>
          </w:tcPr>
          <w:p w:rsidR="00565FD5" w:rsidRPr="00BF3740" w:rsidRDefault="00565FD5" w:rsidP="00AB62A3">
            <w:pPr>
              <w:jc w:val="right"/>
              <w:rPr>
                <w:rFonts w:cs="Tahoma"/>
                <w:b/>
                <w:bCs/>
                <w:sz w:val="16"/>
                <w:szCs w:val="16"/>
                <w:lang w:eastAsia="tr-TR"/>
              </w:rPr>
            </w:pPr>
            <w:r w:rsidRPr="00BF3740">
              <w:rPr>
                <w:rFonts w:cs="Tahoma"/>
                <w:b/>
                <w:bCs/>
                <w:sz w:val="16"/>
                <w:szCs w:val="16"/>
                <w:lang w:eastAsia="tr-TR"/>
              </w:rPr>
              <w:t>2013(2)</w:t>
            </w:r>
          </w:p>
        </w:tc>
        <w:tc>
          <w:tcPr>
            <w:tcW w:w="225" w:type="dxa"/>
            <w:tcBorders>
              <w:top w:val="single" w:sz="4" w:space="0" w:color="auto"/>
              <w:left w:val="nil"/>
              <w:bottom w:val="nil"/>
              <w:right w:val="single" w:sz="4" w:space="0" w:color="auto"/>
            </w:tcBorders>
            <w:noWrap/>
            <w:vAlign w:val="bottom"/>
          </w:tcPr>
          <w:p w:rsidR="00565FD5" w:rsidRPr="00BF3740" w:rsidRDefault="00565FD5" w:rsidP="00AB62A3">
            <w:pPr>
              <w:jc w:val="right"/>
              <w:rPr>
                <w:rFonts w:cs="Tahoma"/>
                <w:b/>
                <w:bCs/>
                <w:sz w:val="16"/>
                <w:szCs w:val="16"/>
                <w:lang w:eastAsia="tr-TR"/>
              </w:rPr>
            </w:pPr>
            <w:r w:rsidRPr="00BF3740">
              <w:rPr>
                <w:rFonts w:cs="Tahoma"/>
                <w:b/>
                <w:bCs/>
                <w:sz w:val="16"/>
                <w:szCs w:val="16"/>
                <w:lang w:eastAsia="tr-TR"/>
              </w:rPr>
              <w:t> </w:t>
            </w:r>
          </w:p>
        </w:tc>
      </w:tr>
      <w:tr w:rsidR="00565FD5" w:rsidRPr="00BF3740" w:rsidTr="00AB62A3">
        <w:trPr>
          <w:trHeight w:hRule="exact" w:val="198"/>
        </w:trPr>
        <w:tc>
          <w:tcPr>
            <w:tcW w:w="3240" w:type="dxa"/>
            <w:tcBorders>
              <w:top w:val="nil"/>
              <w:left w:val="single" w:sz="4" w:space="0" w:color="auto"/>
              <w:bottom w:val="single" w:sz="4" w:space="0" w:color="auto"/>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c>
          <w:tcPr>
            <w:tcW w:w="1164" w:type="dxa"/>
            <w:tcBorders>
              <w:top w:val="nil"/>
              <w:left w:val="nil"/>
              <w:bottom w:val="single" w:sz="4" w:space="0" w:color="auto"/>
              <w:right w:val="nil"/>
            </w:tcBorders>
            <w:noWrap/>
            <w:vAlign w:val="bottom"/>
          </w:tcPr>
          <w:p w:rsidR="00565FD5" w:rsidRPr="00BF3740" w:rsidRDefault="00565FD5" w:rsidP="00AB62A3">
            <w:pPr>
              <w:rPr>
                <w:rFonts w:cs="Tahoma"/>
                <w:b/>
                <w:bCs/>
                <w:sz w:val="16"/>
                <w:szCs w:val="16"/>
                <w:lang w:eastAsia="tr-TR"/>
              </w:rPr>
            </w:pPr>
            <w:r w:rsidRPr="00BF3740">
              <w:rPr>
                <w:rFonts w:cs="Tahoma"/>
                <w:b/>
                <w:bCs/>
                <w:sz w:val="16"/>
                <w:szCs w:val="16"/>
                <w:lang w:eastAsia="tr-TR"/>
              </w:rPr>
              <w:t> </w:t>
            </w:r>
          </w:p>
        </w:tc>
        <w:tc>
          <w:tcPr>
            <w:tcW w:w="2436" w:type="dxa"/>
            <w:gridSpan w:val="2"/>
            <w:tcBorders>
              <w:top w:val="nil"/>
              <w:left w:val="nil"/>
              <w:bottom w:val="single" w:sz="4" w:space="0" w:color="auto"/>
              <w:right w:val="nil"/>
            </w:tcBorders>
            <w:noWrap/>
            <w:vAlign w:val="center"/>
          </w:tcPr>
          <w:p w:rsidR="00565FD5" w:rsidRPr="00BF3740" w:rsidRDefault="00565FD5" w:rsidP="00AB62A3">
            <w:pPr>
              <w:rPr>
                <w:rFonts w:cs="Tahoma"/>
                <w:b/>
                <w:bCs/>
                <w:sz w:val="16"/>
                <w:szCs w:val="16"/>
                <w:lang w:eastAsia="tr-TR"/>
              </w:rPr>
            </w:pPr>
            <w:r w:rsidRPr="00BF3740">
              <w:rPr>
                <w:rFonts w:cs="Tahoma"/>
                <w:b/>
                <w:bCs/>
                <w:sz w:val="16"/>
                <w:szCs w:val="16"/>
                <w:lang w:eastAsia="tr-TR"/>
              </w:rPr>
              <w:t>(Cari Fiyatlarla, Milyon TL)</w:t>
            </w:r>
          </w:p>
        </w:tc>
        <w:tc>
          <w:tcPr>
            <w:tcW w:w="225" w:type="dxa"/>
            <w:tcBorders>
              <w:top w:val="nil"/>
              <w:left w:val="nil"/>
              <w:bottom w:val="single" w:sz="4" w:space="0" w:color="auto"/>
              <w:right w:val="single" w:sz="4" w:space="0" w:color="auto"/>
            </w:tcBorders>
            <w:noWrap/>
            <w:vAlign w:val="bottom"/>
          </w:tcPr>
          <w:p w:rsidR="00565FD5" w:rsidRPr="00BF3740" w:rsidRDefault="00565FD5" w:rsidP="00AB62A3">
            <w:pPr>
              <w:jc w:val="right"/>
              <w:rPr>
                <w:rFonts w:cs="Tahoma"/>
                <w:b/>
                <w:bCs/>
                <w:sz w:val="16"/>
                <w:szCs w:val="16"/>
                <w:lang w:eastAsia="tr-TR"/>
              </w:rPr>
            </w:pPr>
            <w:r w:rsidRPr="00BF3740">
              <w:rPr>
                <w:rFonts w:cs="Tahoma"/>
                <w:b/>
                <w:bCs/>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b/>
                <w:bCs/>
                <w:sz w:val="16"/>
                <w:szCs w:val="16"/>
                <w:lang w:eastAsia="tr-TR"/>
              </w:rPr>
            </w:pPr>
            <w:r w:rsidRPr="00BF3740">
              <w:rPr>
                <w:rFonts w:cs="Tahoma"/>
                <w:b/>
                <w:bCs/>
                <w:sz w:val="16"/>
                <w:szCs w:val="16"/>
                <w:lang w:eastAsia="tr-TR"/>
              </w:rPr>
              <w:t>A. GELİRLER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96 713</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109 226</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114 346</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 İşletme Gelirleri</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85 151</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97 937</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101 870</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1. Mal ve Hizmet Satış Hasılatı</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77 218</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91 070</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97 856</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2. Diğer Gelirler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7 933</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6 867</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4 013</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II. Kurum Bünyesinde Kalan Fonlar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4 737</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3 536</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4 420</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1. Amortismanlar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3 326</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3 370</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4 161</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2. Karşılıklar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1 411</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xml:space="preserve"> 166</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xml:space="preserve"> 260</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III. Bütçe ve Fonlar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6 825</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7 752</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8 056</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IV. Diğer Gelirler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xml:space="preserve"> 0</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xml:space="preserve"> 0</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xml:space="preserve"> 0</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b/>
                <w:bCs/>
                <w:sz w:val="16"/>
                <w:szCs w:val="16"/>
                <w:lang w:eastAsia="tr-TR"/>
              </w:rPr>
            </w:pPr>
            <w:r w:rsidRPr="00BF3740">
              <w:rPr>
                <w:rFonts w:cs="Tahoma"/>
                <w:b/>
                <w:bCs/>
                <w:sz w:val="16"/>
                <w:szCs w:val="16"/>
                <w:lang w:eastAsia="tr-TR"/>
              </w:rPr>
              <w:t>B. GİDERLER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94 544</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110 116</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112 791</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 İşletme Giderleri</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83 755</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97 034</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98 350</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1. Mal ve Hizmet Satış Maliyeti</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71 902</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85 779</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90 110</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lastRenderedPageBreak/>
              <w:t>2. Diğer Giderler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11 853</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11 256</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8 239</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II. Yatırım Harcamaları</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5 791</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7 260</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9 997</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III. Stok Artışı</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1 180</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1 565</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xml:space="preserve"> 643</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IV. Sabit Kıymet Artışı</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xml:space="preserve"> 923</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1 372</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xml:space="preserve"> 533</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V. Dolaysız Vergiler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1 463</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1 323</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1 462</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VI. Temettü Ödemeleri</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1 402</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1 548</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1 780</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VII. Diğer Giderler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xml:space="preserve"> 31</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xml:space="preserve"> 13</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xml:space="preserve"> 27</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b/>
                <w:bCs/>
                <w:sz w:val="16"/>
                <w:szCs w:val="16"/>
                <w:lang w:eastAsia="tr-TR"/>
              </w:rPr>
            </w:pPr>
            <w:r w:rsidRPr="00BF3740">
              <w:rPr>
                <w:rFonts w:cs="Tahoma"/>
                <w:b/>
                <w:bCs/>
                <w:sz w:val="16"/>
                <w:szCs w:val="16"/>
                <w:lang w:eastAsia="tr-TR"/>
              </w:rPr>
              <w:t>C. GELİR-GİDER FARKI</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2 169</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- 890</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1 554</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b/>
                <w:bCs/>
                <w:sz w:val="16"/>
                <w:szCs w:val="16"/>
                <w:lang w:eastAsia="tr-TR"/>
              </w:rPr>
            </w:pPr>
            <w:r w:rsidRPr="00BF3740">
              <w:rPr>
                <w:rFonts w:cs="Tahoma"/>
                <w:b/>
                <w:bCs/>
                <w:sz w:val="16"/>
                <w:szCs w:val="16"/>
                <w:lang w:eastAsia="tr-TR"/>
              </w:rPr>
              <w:t>D. FİNANSMAN</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-2 169</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xml:space="preserve"> 890</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-1 554</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 Kasa Banka Değişimi</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xml:space="preserve"> 570</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- 426</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-1 467</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II. İç Borçlanma (Net)</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- 155</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xml:space="preserve"> 930</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-2 053</w:t>
            </w:r>
          </w:p>
        </w:tc>
        <w:tc>
          <w:tcPr>
            <w:tcW w:w="225" w:type="dxa"/>
            <w:tcBorders>
              <w:top w:val="nil"/>
              <w:left w:val="nil"/>
              <w:bottom w:val="nil"/>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single" w:sz="4" w:space="0" w:color="auto"/>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III. Dış Borçlanma (Net)</w:t>
            </w:r>
          </w:p>
        </w:tc>
        <w:tc>
          <w:tcPr>
            <w:tcW w:w="1164" w:type="dxa"/>
            <w:tcBorders>
              <w:top w:val="nil"/>
              <w:left w:val="nil"/>
              <w:bottom w:val="single" w:sz="4" w:space="0" w:color="auto"/>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-2 584</w:t>
            </w:r>
          </w:p>
        </w:tc>
        <w:tc>
          <w:tcPr>
            <w:tcW w:w="1164" w:type="dxa"/>
            <w:tcBorders>
              <w:top w:val="nil"/>
              <w:left w:val="nil"/>
              <w:bottom w:val="single" w:sz="4" w:space="0" w:color="auto"/>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xml:space="preserve"> 386</w:t>
            </w:r>
          </w:p>
        </w:tc>
        <w:tc>
          <w:tcPr>
            <w:tcW w:w="1272" w:type="dxa"/>
            <w:tcBorders>
              <w:top w:val="nil"/>
              <w:left w:val="nil"/>
              <w:bottom w:val="single" w:sz="4" w:space="0" w:color="auto"/>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1 966</w:t>
            </w:r>
          </w:p>
        </w:tc>
        <w:tc>
          <w:tcPr>
            <w:tcW w:w="225" w:type="dxa"/>
            <w:tcBorders>
              <w:top w:val="nil"/>
              <w:left w:val="nil"/>
              <w:bottom w:val="single" w:sz="4" w:space="0" w:color="auto"/>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single" w:sz="4" w:space="0" w:color="auto"/>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c>
          <w:tcPr>
            <w:tcW w:w="3600" w:type="dxa"/>
            <w:gridSpan w:val="3"/>
            <w:tcBorders>
              <w:top w:val="nil"/>
              <w:left w:val="nil"/>
              <w:bottom w:val="single" w:sz="4" w:space="0" w:color="auto"/>
              <w:right w:val="nil"/>
            </w:tcBorders>
            <w:noWrap/>
            <w:vAlign w:val="center"/>
          </w:tcPr>
          <w:p w:rsidR="00565FD5" w:rsidRPr="00BF3740" w:rsidRDefault="00565FD5" w:rsidP="00AB62A3">
            <w:pPr>
              <w:jc w:val="center"/>
              <w:rPr>
                <w:rFonts w:cs="Tahoma"/>
                <w:sz w:val="16"/>
                <w:szCs w:val="16"/>
                <w:lang w:eastAsia="tr-TR"/>
              </w:rPr>
            </w:pPr>
            <w:r w:rsidRPr="00BF3740">
              <w:rPr>
                <w:rFonts w:cs="Tahoma"/>
                <w:b/>
                <w:bCs/>
                <w:sz w:val="16"/>
                <w:szCs w:val="16"/>
                <w:lang w:eastAsia="tr-TR"/>
              </w:rPr>
              <w:t xml:space="preserve">           (GSYH'ya Oran, Yüzde)</w:t>
            </w:r>
          </w:p>
        </w:tc>
        <w:tc>
          <w:tcPr>
            <w:tcW w:w="225" w:type="dxa"/>
            <w:tcBorders>
              <w:top w:val="nil"/>
              <w:left w:val="nil"/>
              <w:bottom w:val="single" w:sz="4" w:space="0" w:color="auto"/>
              <w:right w:val="single" w:sz="4" w:space="0" w:color="auto"/>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b/>
                <w:bCs/>
                <w:sz w:val="16"/>
                <w:szCs w:val="16"/>
                <w:lang w:eastAsia="tr-TR"/>
              </w:rPr>
            </w:pPr>
            <w:r w:rsidRPr="00BF3740">
              <w:rPr>
                <w:rFonts w:cs="Tahoma"/>
                <w:b/>
                <w:bCs/>
                <w:sz w:val="16"/>
                <w:szCs w:val="16"/>
                <w:lang w:eastAsia="tr-TR"/>
              </w:rPr>
              <w:t>A. GELİRLER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7,45</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7,61</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7,28</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 İşletme Gelirleri</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6,56</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6,83</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6,48</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1. Mal ve Hizmet Satış Hasılatı</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5,95</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6,35</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6,23</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2. Diğer Gelirler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0,61</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0,48</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0,26</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II. Kurum Bünyesinde Kalan Fonlar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0,36</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0,25</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0,28</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1. Amortismanlar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0,26</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0,23</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0,26</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2. Karşılıklar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0,11</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0,01</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0,02</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III. Bütçe ve Fonlar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0,53</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0,54</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0,51</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IV. Diğer Gelirler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0,00</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0,00</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0,00</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b/>
                <w:bCs/>
                <w:sz w:val="16"/>
                <w:szCs w:val="16"/>
                <w:lang w:eastAsia="tr-TR"/>
              </w:rPr>
            </w:pPr>
            <w:r w:rsidRPr="00BF3740">
              <w:rPr>
                <w:rFonts w:cs="Tahoma"/>
                <w:b/>
                <w:bCs/>
                <w:sz w:val="16"/>
                <w:szCs w:val="16"/>
                <w:lang w:eastAsia="tr-TR"/>
              </w:rPr>
              <w:t>B. GİDERLER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7,28</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7,68</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7,18</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 İşletme Giderleri</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6,45</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6,76</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6,26</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1. Mal ve Hizmet Satış Maliyeti</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5,54</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5,98</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5,74</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2. Diğer Giderler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0,91</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0,78</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0,52</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II. Yatırım Harcamaları</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0,45</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0,51</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0,64</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III. Stok Artışı</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0,09</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0,11</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0,04</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IV. Sabit Kıymet Artışı</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0,07</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0,10</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0,03</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V. Dolaysız Vergiler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0,11</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0,09</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0,09</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VI. Temettü Ödemeleri</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0,11</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0,11</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0,11</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VII. Diğer Giderler</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0,00</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0,00</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0,00</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b/>
                <w:bCs/>
                <w:sz w:val="16"/>
                <w:szCs w:val="16"/>
                <w:lang w:eastAsia="tr-TR"/>
              </w:rPr>
            </w:pPr>
            <w:r w:rsidRPr="00BF3740">
              <w:rPr>
                <w:rFonts w:cs="Tahoma"/>
                <w:b/>
                <w:bCs/>
                <w:sz w:val="16"/>
                <w:szCs w:val="16"/>
                <w:lang w:eastAsia="tr-TR"/>
              </w:rPr>
              <w:t>C. GELİR-GİDER FARKI</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0,17</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-0,06</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0,10</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b/>
                <w:bCs/>
                <w:sz w:val="16"/>
                <w:szCs w:val="16"/>
                <w:lang w:eastAsia="tr-TR"/>
              </w:rPr>
            </w:pPr>
            <w:r w:rsidRPr="00BF3740">
              <w:rPr>
                <w:rFonts w:cs="Tahoma"/>
                <w:b/>
                <w:bCs/>
                <w:sz w:val="16"/>
                <w:szCs w:val="16"/>
                <w:lang w:eastAsia="tr-TR"/>
              </w:rPr>
              <w:t>D. FİNANSMAN</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-0,17</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0,06</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-0,10</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 Kasa Banka Değişimi</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0,04</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-0,03</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-0,09</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nil"/>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II. İç Borçlanma (Net)</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-0,01</w:t>
            </w:r>
          </w:p>
        </w:tc>
        <w:tc>
          <w:tcPr>
            <w:tcW w:w="1164"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0,06</w:t>
            </w:r>
          </w:p>
        </w:tc>
        <w:tc>
          <w:tcPr>
            <w:tcW w:w="1272" w:type="dxa"/>
            <w:tcBorders>
              <w:top w:val="nil"/>
              <w:left w:val="nil"/>
              <w:bottom w:val="nil"/>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-0,13</w:t>
            </w:r>
          </w:p>
        </w:tc>
        <w:tc>
          <w:tcPr>
            <w:tcW w:w="225" w:type="dxa"/>
            <w:tcBorders>
              <w:top w:val="nil"/>
              <w:left w:val="nil"/>
              <w:bottom w:val="nil"/>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r w:rsidR="00565FD5" w:rsidRPr="00BF3740" w:rsidTr="00AB62A3">
        <w:trPr>
          <w:trHeight w:hRule="exact" w:val="198"/>
        </w:trPr>
        <w:tc>
          <w:tcPr>
            <w:tcW w:w="3240" w:type="dxa"/>
            <w:tcBorders>
              <w:top w:val="nil"/>
              <w:left w:val="single" w:sz="4" w:space="0" w:color="auto"/>
              <w:bottom w:val="single" w:sz="4" w:space="0" w:color="auto"/>
              <w:right w:val="nil"/>
            </w:tcBorders>
            <w:noWrap/>
            <w:vAlign w:val="bottom"/>
          </w:tcPr>
          <w:p w:rsidR="00565FD5" w:rsidRPr="00BF3740" w:rsidRDefault="00565FD5" w:rsidP="00AB62A3">
            <w:pPr>
              <w:rPr>
                <w:rFonts w:cs="Tahoma"/>
                <w:sz w:val="16"/>
                <w:szCs w:val="16"/>
                <w:lang w:eastAsia="tr-TR"/>
              </w:rPr>
            </w:pPr>
            <w:r w:rsidRPr="00BF3740">
              <w:rPr>
                <w:rFonts w:cs="Tahoma"/>
                <w:sz w:val="16"/>
                <w:szCs w:val="16"/>
                <w:lang w:eastAsia="tr-TR"/>
              </w:rPr>
              <w:t>III. Dış Borçlanma (Net)</w:t>
            </w:r>
          </w:p>
        </w:tc>
        <w:tc>
          <w:tcPr>
            <w:tcW w:w="1164" w:type="dxa"/>
            <w:tcBorders>
              <w:top w:val="nil"/>
              <w:left w:val="nil"/>
              <w:bottom w:val="single" w:sz="4" w:space="0" w:color="auto"/>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-0,20</w:t>
            </w:r>
          </w:p>
        </w:tc>
        <w:tc>
          <w:tcPr>
            <w:tcW w:w="1164" w:type="dxa"/>
            <w:tcBorders>
              <w:top w:val="nil"/>
              <w:left w:val="nil"/>
              <w:bottom w:val="single" w:sz="4" w:space="0" w:color="auto"/>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0,03</w:t>
            </w:r>
          </w:p>
        </w:tc>
        <w:tc>
          <w:tcPr>
            <w:tcW w:w="1272" w:type="dxa"/>
            <w:tcBorders>
              <w:top w:val="nil"/>
              <w:left w:val="nil"/>
              <w:bottom w:val="single" w:sz="4" w:space="0" w:color="auto"/>
              <w:right w:val="nil"/>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0,13</w:t>
            </w:r>
          </w:p>
        </w:tc>
        <w:tc>
          <w:tcPr>
            <w:tcW w:w="225" w:type="dxa"/>
            <w:tcBorders>
              <w:top w:val="nil"/>
              <w:left w:val="nil"/>
              <w:bottom w:val="single" w:sz="4" w:space="0" w:color="auto"/>
              <w:right w:val="single" w:sz="4" w:space="0" w:color="auto"/>
            </w:tcBorders>
            <w:noWrap/>
            <w:vAlign w:val="bottom"/>
          </w:tcPr>
          <w:p w:rsidR="00565FD5" w:rsidRPr="00BF3740" w:rsidRDefault="00565FD5" w:rsidP="00AB62A3">
            <w:pPr>
              <w:jc w:val="right"/>
              <w:rPr>
                <w:rFonts w:cs="Tahoma"/>
                <w:sz w:val="16"/>
                <w:szCs w:val="16"/>
                <w:lang w:eastAsia="tr-TR"/>
              </w:rPr>
            </w:pPr>
            <w:r w:rsidRPr="00BF3740">
              <w:rPr>
                <w:rFonts w:cs="Tahoma"/>
                <w:sz w:val="16"/>
                <w:szCs w:val="16"/>
                <w:lang w:eastAsia="tr-TR"/>
              </w:rPr>
              <w:t> </w:t>
            </w:r>
          </w:p>
        </w:tc>
      </w:tr>
    </w:tbl>
    <w:p w:rsidR="00565FD5" w:rsidRPr="00BF3740" w:rsidRDefault="00565FD5" w:rsidP="00565FD5">
      <w:pPr>
        <w:tabs>
          <w:tab w:val="left" w:pos="3535"/>
          <w:tab w:val="left" w:pos="4699"/>
          <w:tab w:val="left" w:pos="5863"/>
          <w:tab w:val="left" w:pos="7135"/>
        </w:tabs>
        <w:ind w:left="70"/>
        <w:rPr>
          <w:rFonts w:cs="Tahoma"/>
          <w:sz w:val="16"/>
          <w:szCs w:val="16"/>
          <w:lang w:eastAsia="tr-TR"/>
        </w:rPr>
      </w:pPr>
      <w:r w:rsidRPr="00BF3740">
        <w:rPr>
          <w:rFonts w:cs="Tahoma"/>
          <w:sz w:val="14"/>
          <w:szCs w:val="14"/>
          <w:lang w:eastAsia="tr-TR"/>
        </w:rPr>
        <w:t>Kaynak: Kalkınma Bakanlığı</w:t>
      </w:r>
      <w:r w:rsidRPr="00BF3740">
        <w:rPr>
          <w:rFonts w:cs="Tahoma"/>
          <w:sz w:val="14"/>
          <w:szCs w:val="14"/>
          <w:lang w:eastAsia="tr-TR"/>
        </w:rPr>
        <w:tab/>
      </w:r>
      <w:r w:rsidRPr="00BF3740">
        <w:rPr>
          <w:rFonts w:cs="Tahoma"/>
          <w:sz w:val="16"/>
          <w:szCs w:val="16"/>
          <w:lang w:eastAsia="tr-TR"/>
        </w:rPr>
        <w:tab/>
      </w:r>
      <w:r w:rsidRPr="00BF3740">
        <w:rPr>
          <w:rFonts w:cs="Tahoma"/>
          <w:sz w:val="16"/>
          <w:szCs w:val="16"/>
          <w:lang w:eastAsia="tr-TR"/>
        </w:rPr>
        <w:tab/>
      </w:r>
      <w:r w:rsidRPr="00BF3740">
        <w:rPr>
          <w:rFonts w:cs="Tahoma"/>
          <w:sz w:val="16"/>
          <w:szCs w:val="16"/>
          <w:lang w:eastAsia="tr-TR"/>
        </w:rPr>
        <w:tab/>
      </w:r>
    </w:p>
    <w:p w:rsidR="00565FD5" w:rsidRPr="00BF3740" w:rsidRDefault="00565FD5" w:rsidP="00565FD5">
      <w:pPr>
        <w:tabs>
          <w:tab w:val="left" w:pos="3535"/>
          <w:tab w:val="left" w:pos="4699"/>
          <w:tab w:val="left" w:pos="5863"/>
          <w:tab w:val="left" w:pos="7135"/>
        </w:tabs>
        <w:ind w:left="70"/>
        <w:rPr>
          <w:rFonts w:cs="Tahoma"/>
          <w:sz w:val="16"/>
          <w:szCs w:val="16"/>
          <w:lang w:eastAsia="tr-TR"/>
        </w:rPr>
      </w:pPr>
      <w:r w:rsidRPr="00BF3740">
        <w:rPr>
          <w:rFonts w:cs="Tahoma"/>
          <w:sz w:val="14"/>
          <w:szCs w:val="14"/>
          <w:lang w:eastAsia="tr-TR"/>
        </w:rPr>
        <w:t>(1) Gerçekleşme tahmini</w:t>
      </w:r>
      <w:r w:rsidRPr="00BF3740">
        <w:rPr>
          <w:rFonts w:cs="Tahoma"/>
          <w:sz w:val="14"/>
          <w:szCs w:val="14"/>
          <w:lang w:eastAsia="tr-TR"/>
        </w:rPr>
        <w:tab/>
      </w:r>
      <w:r w:rsidRPr="00BF3740">
        <w:rPr>
          <w:rFonts w:cs="Tahoma"/>
          <w:sz w:val="16"/>
          <w:szCs w:val="16"/>
          <w:lang w:eastAsia="tr-TR"/>
        </w:rPr>
        <w:tab/>
      </w:r>
      <w:r w:rsidRPr="00BF3740">
        <w:rPr>
          <w:rFonts w:cs="Tahoma"/>
          <w:sz w:val="16"/>
          <w:szCs w:val="16"/>
          <w:lang w:eastAsia="tr-TR"/>
        </w:rPr>
        <w:tab/>
      </w:r>
      <w:r w:rsidRPr="00BF3740">
        <w:rPr>
          <w:rFonts w:cs="Tahoma"/>
          <w:sz w:val="16"/>
          <w:szCs w:val="16"/>
          <w:lang w:eastAsia="tr-TR"/>
        </w:rPr>
        <w:tab/>
      </w:r>
    </w:p>
    <w:p w:rsidR="00565FD5" w:rsidRPr="00BF3740" w:rsidRDefault="00565FD5" w:rsidP="00565FD5">
      <w:pPr>
        <w:tabs>
          <w:tab w:val="left" w:pos="3535"/>
          <w:tab w:val="left" w:pos="4699"/>
          <w:tab w:val="left" w:pos="5863"/>
          <w:tab w:val="left" w:pos="7135"/>
        </w:tabs>
        <w:ind w:left="70"/>
        <w:rPr>
          <w:rFonts w:cs="Tahoma"/>
          <w:sz w:val="16"/>
          <w:szCs w:val="16"/>
          <w:lang w:eastAsia="tr-TR"/>
        </w:rPr>
      </w:pPr>
      <w:r w:rsidRPr="00BF3740">
        <w:rPr>
          <w:rFonts w:cs="Tahoma"/>
          <w:sz w:val="14"/>
          <w:szCs w:val="14"/>
          <w:lang w:eastAsia="tr-TR"/>
        </w:rPr>
        <w:t>(2) Program</w:t>
      </w:r>
      <w:r w:rsidRPr="00BF3740">
        <w:rPr>
          <w:rFonts w:cs="Tahoma"/>
          <w:sz w:val="14"/>
          <w:szCs w:val="14"/>
          <w:lang w:eastAsia="tr-TR"/>
        </w:rPr>
        <w:tab/>
      </w:r>
      <w:r w:rsidRPr="00BF3740">
        <w:rPr>
          <w:rFonts w:cs="Tahoma"/>
          <w:sz w:val="16"/>
          <w:szCs w:val="16"/>
          <w:lang w:eastAsia="tr-TR"/>
        </w:rPr>
        <w:tab/>
      </w:r>
      <w:r w:rsidRPr="00BF3740">
        <w:rPr>
          <w:rFonts w:cs="Tahoma"/>
          <w:sz w:val="16"/>
          <w:szCs w:val="16"/>
          <w:lang w:eastAsia="tr-TR"/>
        </w:rPr>
        <w:tab/>
      </w:r>
      <w:r w:rsidRPr="00BF3740">
        <w:rPr>
          <w:rFonts w:cs="Tahoma"/>
          <w:sz w:val="16"/>
          <w:szCs w:val="16"/>
          <w:lang w:eastAsia="tr-TR"/>
        </w:rPr>
        <w:tab/>
      </w:r>
    </w:p>
    <w:p w:rsidR="00565FD5" w:rsidRPr="00306C5A" w:rsidRDefault="00565FD5" w:rsidP="00565FD5">
      <w:pPr>
        <w:pStyle w:val="ResimYazs"/>
        <w:rPr>
          <w:rFonts w:cs="Tahoma"/>
          <w:szCs w:val="16"/>
          <w:lang w:eastAsia="tr-TR"/>
        </w:rPr>
      </w:pPr>
      <w:bookmarkStart w:id="1150" w:name="_Toc338605994"/>
      <w:bookmarkStart w:id="1151" w:name="_Toc338711769"/>
      <w:r>
        <w:t xml:space="preserve">TABLO III: </w:t>
      </w:r>
      <w:fldSimple w:instr=" SEQ TABLO_III: \* ARABIC ">
        <w:r>
          <w:rPr>
            <w:noProof/>
          </w:rPr>
          <w:t>16</w:t>
        </w:r>
      </w:fldSimple>
      <w:r w:rsidRPr="00306C5A">
        <w:t>-</w:t>
      </w:r>
      <w:r w:rsidRPr="00306C5A">
        <w:rPr>
          <w:rFonts w:cs="Tahoma"/>
          <w:bCs/>
          <w:lang w:eastAsia="tr-TR"/>
        </w:rPr>
        <w:t xml:space="preserve"> Özelleştirme Kapsamındaki KİT Finansman Dengesi</w:t>
      </w:r>
      <w:bookmarkEnd w:id="1150"/>
      <w:bookmarkEnd w:id="1151"/>
      <w:r w:rsidRPr="00306C5A">
        <w:rPr>
          <w:rFonts w:cs="Tahoma"/>
          <w:bCs/>
          <w:lang w:eastAsia="tr-TR"/>
        </w:rPr>
        <w:tab/>
      </w:r>
      <w:r w:rsidRPr="00306C5A">
        <w:rPr>
          <w:rFonts w:cs="Tahoma"/>
          <w:szCs w:val="16"/>
          <w:lang w:eastAsia="tr-TR"/>
        </w:rPr>
        <w:t> </w:t>
      </w:r>
    </w:p>
    <w:tbl>
      <w:tblPr>
        <w:tblW w:w="7144" w:type="dxa"/>
        <w:jc w:val="center"/>
        <w:tblCellMar>
          <w:left w:w="70" w:type="dxa"/>
          <w:right w:w="70" w:type="dxa"/>
        </w:tblCellMar>
        <w:tblLook w:val="00A0"/>
      </w:tblPr>
      <w:tblGrid>
        <w:gridCol w:w="3276"/>
        <w:gridCol w:w="1177"/>
        <w:gridCol w:w="1177"/>
        <w:gridCol w:w="1286"/>
        <w:gridCol w:w="228"/>
      </w:tblGrid>
      <w:tr w:rsidR="00565FD5" w:rsidRPr="00306C5A" w:rsidTr="00AB62A3">
        <w:trPr>
          <w:trHeight w:hRule="exact" w:val="198"/>
          <w:jc w:val="center"/>
        </w:trPr>
        <w:tc>
          <w:tcPr>
            <w:tcW w:w="3240" w:type="dxa"/>
            <w:tcBorders>
              <w:top w:val="single" w:sz="4" w:space="0" w:color="auto"/>
              <w:left w:val="single" w:sz="4" w:space="0" w:color="auto"/>
              <w:bottom w:val="nil"/>
              <w:right w:val="nil"/>
            </w:tcBorders>
            <w:noWrap/>
            <w:vAlign w:val="center"/>
          </w:tcPr>
          <w:p w:rsidR="00565FD5" w:rsidRPr="00306C5A" w:rsidRDefault="00565FD5" w:rsidP="00AB62A3">
            <w:pPr>
              <w:rPr>
                <w:rFonts w:cs="Tahoma"/>
                <w:sz w:val="15"/>
                <w:szCs w:val="15"/>
                <w:lang w:eastAsia="tr-TR"/>
              </w:rPr>
            </w:pPr>
            <w:r w:rsidRPr="00306C5A">
              <w:rPr>
                <w:rFonts w:cs="Tahoma"/>
                <w:sz w:val="15"/>
                <w:szCs w:val="15"/>
                <w:lang w:eastAsia="tr-TR"/>
              </w:rPr>
              <w:t> </w:t>
            </w:r>
          </w:p>
        </w:tc>
        <w:tc>
          <w:tcPr>
            <w:tcW w:w="1164" w:type="dxa"/>
            <w:tcBorders>
              <w:top w:val="single" w:sz="4" w:space="0" w:color="auto"/>
              <w:left w:val="nil"/>
              <w:bottom w:val="nil"/>
              <w:right w:val="nil"/>
            </w:tcBorders>
            <w:noWrap/>
            <w:vAlign w:val="bottom"/>
          </w:tcPr>
          <w:p w:rsidR="00565FD5" w:rsidRPr="00306C5A" w:rsidRDefault="00565FD5" w:rsidP="00AB62A3">
            <w:pPr>
              <w:jc w:val="right"/>
              <w:rPr>
                <w:rFonts w:cs="Tahoma"/>
                <w:b/>
                <w:bCs/>
                <w:sz w:val="15"/>
                <w:szCs w:val="15"/>
                <w:lang w:eastAsia="tr-TR"/>
              </w:rPr>
            </w:pPr>
            <w:r w:rsidRPr="00306C5A">
              <w:rPr>
                <w:rFonts w:cs="Tahoma"/>
                <w:b/>
                <w:bCs/>
                <w:sz w:val="15"/>
                <w:szCs w:val="15"/>
                <w:lang w:eastAsia="tr-TR"/>
              </w:rPr>
              <w:t>2011</w:t>
            </w:r>
          </w:p>
        </w:tc>
        <w:tc>
          <w:tcPr>
            <w:tcW w:w="1164" w:type="dxa"/>
            <w:tcBorders>
              <w:top w:val="single" w:sz="4" w:space="0" w:color="auto"/>
              <w:left w:val="nil"/>
              <w:bottom w:val="nil"/>
              <w:right w:val="nil"/>
            </w:tcBorders>
            <w:noWrap/>
            <w:vAlign w:val="bottom"/>
          </w:tcPr>
          <w:p w:rsidR="00565FD5" w:rsidRPr="00306C5A" w:rsidRDefault="00565FD5" w:rsidP="00AB62A3">
            <w:pPr>
              <w:jc w:val="right"/>
              <w:rPr>
                <w:rFonts w:cs="Tahoma"/>
                <w:b/>
                <w:bCs/>
                <w:sz w:val="15"/>
                <w:szCs w:val="15"/>
                <w:lang w:eastAsia="tr-TR"/>
              </w:rPr>
            </w:pPr>
            <w:r w:rsidRPr="00306C5A">
              <w:rPr>
                <w:rFonts w:cs="Tahoma"/>
                <w:b/>
                <w:bCs/>
                <w:sz w:val="15"/>
                <w:szCs w:val="15"/>
                <w:lang w:eastAsia="tr-TR"/>
              </w:rPr>
              <w:t>2012(1)</w:t>
            </w:r>
          </w:p>
        </w:tc>
        <w:tc>
          <w:tcPr>
            <w:tcW w:w="1272" w:type="dxa"/>
            <w:tcBorders>
              <w:top w:val="single" w:sz="4" w:space="0" w:color="auto"/>
              <w:left w:val="nil"/>
              <w:bottom w:val="nil"/>
              <w:right w:val="nil"/>
            </w:tcBorders>
            <w:noWrap/>
            <w:vAlign w:val="bottom"/>
          </w:tcPr>
          <w:p w:rsidR="00565FD5" w:rsidRPr="00306C5A" w:rsidRDefault="00565FD5" w:rsidP="00AB62A3">
            <w:pPr>
              <w:jc w:val="right"/>
              <w:rPr>
                <w:rFonts w:cs="Tahoma"/>
                <w:b/>
                <w:bCs/>
                <w:sz w:val="15"/>
                <w:szCs w:val="15"/>
                <w:lang w:eastAsia="tr-TR"/>
              </w:rPr>
            </w:pPr>
            <w:r w:rsidRPr="00306C5A">
              <w:rPr>
                <w:rFonts w:cs="Tahoma"/>
                <w:b/>
                <w:bCs/>
                <w:sz w:val="15"/>
                <w:szCs w:val="15"/>
                <w:lang w:eastAsia="tr-TR"/>
              </w:rPr>
              <w:t>2013(2)</w:t>
            </w:r>
          </w:p>
        </w:tc>
        <w:tc>
          <w:tcPr>
            <w:tcW w:w="225" w:type="dxa"/>
            <w:tcBorders>
              <w:top w:val="single" w:sz="4" w:space="0" w:color="auto"/>
              <w:left w:val="nil"/>
              <w:bottom w:val="nil"/>
              <w:right w:val="single" w:sz="4" w:space="0" w:color="auto"/>
            </w:tcBorders>
            <w:noWrap/>
            <w:vAlign w:val="bottom"/>
          </w:tcPr>
          <w:p w:rsidR="00565FD5" w:rsidRPr="00306C5A" w:rsidRDefault="00565FD5" w:rsidP="00AB62A3">
            <w:pPr>
              <w:jc w:val="right"/>
              <w:rPr>
                <w:rFonts w:cs="Tahoma"/>
                <w:b/>
                <w:bCs/>
                <w:sz w:val="15"/>
                <w:szCs w:val="15"/>
                <w:lang w:eastAsia="tr-TR"/>
              </w:rPr>
            </w:pPr>
            <w:r w:rsidRPr="00306C5A">
              <w:rPr>
                <w:rFonts w:cs="Tahoma"/>
                <w:b/>
                <w:bCs/>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single" w:sz="4" w:space="0" w:color="auto"/>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c>
          <w:tcPr>
            <w:tcW w:w="1164" w:type="dxa"/>
            <w:tcBorders>
              <w:top w:val="nil"/>
              <w:left w:val="nil"/>
              <w:bottom w:val="single" w:sz="4" w:space="0" w:color="auto"/>
              <w:right w:val="nil"/>
            </w:tcBorders>
            <w:noWrap/>
            <w:vAlign w:val="bottom"/>
          </w:tcPr>
          <w:p w:rsidR="00565FD5" w:rsidRPr="00306C5A" w:rsidRDefault="00565FD5" w:rsidP="00AB62A3">
            <w:pPr>
              <w:rPr>
                <w:rFonts w:cs="Tahoma"/>
                <w:b/>
                <w:bCs/>
                <w:sz w:val="15"/>
                <w:szCs w:val="15"/>
                <w:lang w:eastAsia="tr-TR"/>
              </w:rPr>
            </w:pPr>
            <w:r w:rsidRPr="00306C5A">
              <w:rPr>
                <w:rFonts w:cs="Tahoma"/>
                <w:b/>
                <w:bCs/>
                <w:sz w:val="15"/>
                <w:szCs w:val="15"/>
                <w:lang w:eastAsia="tr-TR"/>
              </w:rPr>
              <w:t> </w:t>
            </w:r>
          </w:p>
        </w:tc>
        <w:tc>
          <w:tcPr>
            <w:tcW w:w="2436" w:type="dxa"/>
            <w:gridSpan w:val="2"/>
            <w:tcBorders>
              <w:top w:val="nil"/>
              <w:left w:val="nil"/>
              <w:bottom w:val="single" w:sz="4" w:space="0" w:color="auto"/>
              <w:right w:val="nil"/>
            </w:tcBorders>
            <w:noWrap/>
            <w:vAlign w:val="center"/>
          </w:tcPr>
          <w:p w:rsidR="00565FD5" w:rsidRPr="00306C5A" w:rsidRDefault="00565FD5" w:rsidP="00AB62A3">
            <w:pPr>
              <w:rPr>
                <w:rFonts w:cs="Tahoma"/>
                <w:b/>
                <w:bCs/>
                <w:sz w:val="15"/>
                <w:szCs w:val="15"/>
                <w:lang w:eastAsia="tr-TR"/>
              </w:rPr>
            </w:pPr>
            <w:r w:rsidRPr="00306C5A">
              <w:rPr>
                <w:rFonts w:cs="Tahoma"/>
                <w:b/>
                <w:bCs/>
                <w:sz w:val="15"/>
                <w:szCs w:val="15"/>
                <w:lang w:eastAsia="tr-TR"/>
              </w:rPr>
              <w:t>(Cari Fiyatlarla, Milyon TL)</w:t>
            </w:r>
          </w:p>
        </w:tc>
        <w:tc>
          <w:tcPr>
            <w:tcW w:w="225" w:type="dxa"/>
            <w:tcBorders>
              <w:top w:val="nil"/>
              <w:left w:val="nil"/>
              <w:bottom w:val="single" w:sz="4" w:space="0" w:color="auto"/>
              <w:right w:val="single" w:sz="4" w:space="0" w:color="auto"/>
            </w:tcBorders>
            <w:noWrap/>
            <w:vAlign w:val="bottom"/>
          </w:tcPr>
          <w:p w:rsidR="00565FD5" w:rsidRPr="00306C5A" w:rsidRDefault="00565FD5" w:rsidP="00AB62A3">
            <w:pPr>
              <w:jc w:val="right"/>
              <w:rPr>
                <w:rFonts w:cs="Tahoma"/>
                <w:b/>
                <w:bCs/>
                <w:sz w:val="15"/>
                <w:szCs w:val="15"/>
                <w:lang w:eastAsia="tr-TR"/>
              </w:rPr>
            </w:pPr>
            <w:r w:rsidRPr="00306C5A">
              <w:rPr>
                <w:rFonts w:cs="Tahoma"/>
                <w:b/>
                <w:bCs/>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b/>
                <w:bCs/>
                <w:sz w:val="15"/>
                <w:szCs w:val="15"/>
                <w:lang w:eastAsia="tr-TR"/>
              </w:rPr>
            </w:pPr>
            <w:r w:rsidRPr="00306C5A">
              <w:rPr>
                <w:rFonts w:cs="Tahoma"/>
                <w:b/>
                <w:bCs/>
                <w:sz w:val="15"/>
                <w:szCs w:val="15"/>
                <w:lang w:eastAsia="tr-TR"/>
              </w:rPr>
              <w:t>A. GELİRLER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31 646</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23 695</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25 611</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I. İşletme Gelirleri</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29 773</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22 819</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24 674</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1. Mal ve Hizmet Satış Hasılatı</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18 078</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19 581</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21 268</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2. Diğer Gelirler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11 695</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3 238</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3 406</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II. Kurum Bünyesinde Kalan Fonlar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767</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827</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866</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1. Amortismanlar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496</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504</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528</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2. Karşılıklar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271</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323</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338</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III. Bütçe ve Fonlar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1 106</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49</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70</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lastRenderedPageBreak/>
              <w:t>IV. Diğer Gelirler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0</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0</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0</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b/>
                <w:bCs/>
                <w:sz w:val="15"/>
                <w:szCs w:val="15"/>
                <w:lang w:eastAsia="tr-TR"/>
              </w:rPr>
            </w:pPr>
            <w:r w:rsidRPr="00306C5A">
              <w:rPr>
                <w:rFonts w:cs="Tahoma"/>
                <w:b/>
                <w:bCs/>
                <w:sz w:val="15"/>
                <w:szCs w:val="15"/>
                <w:lang w:eastAsia="tr-TR"/>
              </w:rPr>
              <w:t>B. GİDERLER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31 004</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24 807</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26 935</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I. İşletme Giderleri</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30 488</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24 230</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26 310</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1. Mal ve Hizmet Satış Maliyeti</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16 690</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19 087</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20 889</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2. Diğer Giderler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13 797</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5 143</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5 422</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II. Yatırım Harcamaları</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531</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756</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790</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III. Stok Artışı</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127</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24</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61</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IV. Sabit Kıymet Artışı</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- 220</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- 238</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- 237</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V. Dolaysız Vergiler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78</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36</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10</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VI. Temettü Ödemeleri</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0</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0</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0</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VII. Diğer Giderler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0</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0</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0</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b/>
                <w:bCs/>
                <w:sz w:val="15"/>
                <w:szCs w:val="15"/>
                <w:lang w:eastAsia="tr-TR"/>
              </w:rPr>
            </w:pPr>
            <w:r w:rsidRPr="00306C5A">
              <w:rPr>
                <w:rFonts w:cs="Tahoma"/>
                <w:b/>
                <w:bCs/>
                <w:sz w:val="15"/>
                <w:szCs w:val="15"/>
                <w:lang w:eastAsia="tr-TR"/>
              </w:rPr>
              <w:t>C. GELİR-GİDER FARKI</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641</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-1 112</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-1 324</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b/>
                <w:bCs/>
                <w:sz w:val="15"/>
                <w:szCs w:val="15"/>
                <w:lang w:eastAsia="tr-TR"/>
              </w:rPr>
            </w:pPr>
            <w:r w:rsidRPr="00306C5A">
              <w:rPr>
                <w:rFonts w:cs="Tahoma"/>
                <w:b/>
                <w:bCs/>
                <w:sz w:val="15"/>
                <w:szCs w:val="15"/>
                <w:lang w:eastAsia="tr-TR"/>
              </w:rPr>
              <w:t>D. FİNANSMAN</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- 641</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1 112</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1 324</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I. Kasa Banka Değişimi</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- 71</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8</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- 24</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II. İç Borçlanma (Net)</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- 729</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998</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1 280</w:t>
            </w:r>
          </w:p>
        </w:tc>
        <w:tc>
          <w:tcPr>
            <w:tcW w:w="225" w:type="dxa"/>
            <w:tcBorders>
              <w:top w:val="nil"/>
              <w:left w:val="nil"/>
              <w:bottom w:val="nil"/>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single" w:sz="4" w:space="0" w:color="auto"/>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III. Dış Borçlanma (Net)</w:t>
            </w:r>
          </w:p>
        </w:tc>
        <w:tc>
          <w:tcPr>
            <w:tcW w:w="1164" w:type="dxa"/>
            <w:tcBorders>
              <w:top w:val="nil"/>
              <w:left w:val="nil"/>
              <w:bottom w:val="single" w:sz="4" w:space="0" w:color="auto"/>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159</w:t>
            </w:r>
          </w:p>
        </w:tc>
        <w:tc>
          <w:tcPr>
            <w:tcW w:w="1164" w:type="dxa"/>
            <w:tcBorders>
              <w:top w:val="nil"/>
              <w:left w:val="nil"/>
              <w:bottom w:val="single" w:sz="4" w:space="0" w:color="auto"/>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106</w:t>
            </w:r>
          </w:p>
        </w:tc>
        <w:tc>
          <w:tcPr>
            <w:tcW w:w="1272" w:type="dxa"/>
            <w:tcBorders>
              <w:top w:val="nil"/>
              <w:left w:val="nil"/>
              <w:bottom w:val="single" w:sz="4" w:space="0" w:color="auto"/>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xml:space="preserve"> 68</w:t>
            </w:r>
          </w:p>
        </w:tc>
        <w:tc>
          <w:tcPr>
            <w:tcW w:w="225" w:type="dxa"/>
            <w:tcBorders>
              <w:top w:val="nil"/>
              <w:left w:val="nil"/>
              <w:bottom w:val="single" w:sz="4" w:space="0" w:color="auto"/>
              <w:right w:val="single" w:sz="4" w:space="0" w:color="auto"/>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single" w:sz="4" w:space="0" w:color="auto"/>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 </w:t>
            </w:r>
          </w:p>
        </w:tc>
        <w:tc>
          <w:tcPr>
            <w:tcW w:w="3600" w:type="dxa"/>
            <w:gridSpan w:val="3"/>
            <w:tcBorders>
              <w:top w:val="nil"/>
              <w:left w:val="nil"/>
              <w:bottom w:val="single" w:sz="4" w:space="0" w:color="auto"/>
              <w:right w:val="nil"/>
            </w:tcBorders>
            <w:noWrap/>
            <w:vAlign w:val="center"/>
          </w:tcPr>
          <w:p w:rsidR="00565FD5" w:rsidRPr="00306C5A" w:rsidRDefault="00565FD5" w:rsidP="00AB62A3">
            <w:pPr>
              <w:jc w:val="center"/>
              <w:rPr>
                <w:rFonts w:cs="Tahoma"/>
                <w:sz w:val="15"/>
                <w:szCs w:val="15"/>
                <w:lang w:eastAsia="tr-TR"/>
              </w:rPr>
            </w:pPr>
            <w:r w:rsidRPr="00306C5A">
              <w:rPr>
                <w:rFonts w:cs="Tahoma"/>
                <w:b/>
                <w:bCs/>
                <w:sz w:val="15"/>
                <w:szCs w:val="15"/>
                <w:lang w:eastAsia="tr-TR"/>
              </w:rPr>
              <w:t xml:space="preserve">           (GSYH'ya Oran, Yüzde)</w:t>
            </w:r>
          </w:p>
        </w:tc>
        <w:tc>
          <w:tcPr>
            <w:tcW w:w="225" w:type="dxa"/>
            <w:tcBorders>
              <w:top w:val="nil"/>
              <w:left w:val="nil"/>
              <w:bottom w:val="single" w:sz="4" w:space="0" w:color="auto"/>
              <w:right w:val="single" w:sz="4" w:space="0" w:color="auto"/>
            </w:tcBorders>
            <w:noWrap/>
          </w:tcPr>
          <w:p w:rsidR="00565FD5" w:rsidRPr="00306C5A" w:rsidRDefault="00565FD5" w:rsidP="00AB62A3">
            <w:pPr>
              <w:rPr>
                <w:rFonts w:cs="Tahoma"/>
                <w:sz w:val="15"/>
                <w:szCs w:val="15"/>
                <w:lang w:eastAsia="tr-TR"/>
              </w:rPr>
            </w:pP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b/>
                <w:bCs/>
                <w:sz w:val="15"/>
                <w:szCs w:val="15"/>
                <w:lang w:eastAsia="tr-TR"/>
              </w:rPr>
            </w:pPr>
            <w:r w:rsidRPr="00306C5A">
              <w:rPr>
                <w:rFonts w:cs="Tahoma"/>
                <w:b/>
                <w:bCs/>
                <w:sz w:val="15"/>
                <w:szCs w:val="15"/>
                <w:lang w:eastAsia="tr-TR"/>
              </w:rPr>
              <w:t>A. GELİRLER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2,44</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1,65</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1,63</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I. İşletme Gelirleri</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2,29</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1,59</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1,57</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1. Mal ve Hizmet Satış Hasılatı</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1,39</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1,36</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1,35</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2. Diğer Gelirler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0,90</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0,23</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0,22</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II. Kurum Bünyesinde Kalan Fonlar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0,06</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0,06</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0,06</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1. Amortismanlar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0,04</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0,04</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0,03</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2. Karşılıklar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0,02</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0,02</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0,02</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III. Bütçe ve Fonlar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0,09</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0,00</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0,00</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IV. Diğer Gelirler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0,00</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0,00</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0,00</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b/>
                <w:bCs/>
                <w:sz w:val="15"/>
                <w:szCs w:val="15"/>
                <w:lang w:eastAsia="tr-TR"/>
              </w:rPr>
            </w:pPr>
            <w:r w:rsidRPr="00306C5A">
              <w:rPr>
                <w:rFonts w:cs="Tahoma"/>
                <w:b/>
                <w:bCs/>
                <w:sz w:val="15"/>
                <w:szCs w:val="15"/>
                <w:lang w:eastAsia="tr-TR"/>
              </w:rPr>
              <w:t>B. GİDERLER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2,39</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1,73</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1,71</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I. İşletme Giderleri</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2,35</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1,69</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1,67</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1. Mal ve Hizmet Satış Maliyeti</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1,29</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1,33</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1,33</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2. Diğer Giderler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1,06</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0,36</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0,35</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II. Yatırım Harcamaları</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0,04</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0,05</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0,05</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III. Stok Artışı</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0,01</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0,00</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0,00</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IV. Sabit Kıymet Artışı</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-0,02</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-0,02</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-0,02</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V. Dolaysız Vergiler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0,01</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0,00</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0,00</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VI. Temettü Ödemeleri</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0,00</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0,00</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0,00</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VII. Diğer Giderler</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0,00</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0,00</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0,00</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b/>
                <w:bCs/>
                <w:sz w:val="15"/>
                <w:szCs w:val="15"/>
                <w:lang w:eastAsia="tr-TR"/>
              </w:rPr>
            </w:pPr>
            <w:r w:rsidRPr="00306C5A">
              <w:rPr>
                <w:rFonts w:cs="Tahoma"/>
                <w:b/>
                <w:bCs/>
                <w:sz w:val="15"/>
                <w:szCs w:val="15"/>
                <w:lang w:eastAsia="tr-TR"/>
              </w:rPr>
              <w:t>C. GELİR-GİDER FARKI</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0,05</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-0,08</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-0,08</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b/>
                <w:bCs/>
                <w:sz w:val="15"/>
                <w:szCs w:val="15"/>
                <w:lang w:eastAsia="tr-TR"/>
              </w:rPr>
            </w:pPr>
            <w:r w:rsidRPr="00306C5A">
              <w:rPr>
                <w:rFonts w:cs="Tahoma"/>
                <w:b/>
                <w:bCs/>
                <w:sz w:val="15"/>
                <w:szCs w:val="15"/>
                <w:lang w:eastAsia="tr-TR"/>
              </w:rPr>
              <w:t>D. FİNANSMAN</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-0,05</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0,08</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0,08</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I. Kasa Banka Değişimi</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-0,01</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0,00</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0,00</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nil"/>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II. İç Borçlanma (Net)</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-0,06</w:t>
            </w:r>
          </w:p>
        </w:tc>
        <w:tc>
          <w:tcPr>
            <w:tcW w:w="1164"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0,07</w:t>
            </w:r>
          </w:p>
        </w:tc>
        <w:tc>
          <w:tcPr>
            <w:tcW w:w="1272" w:type="dxa"/>
            <w:tcBorders>
              <w:top w:val="nil"/>
              <w:left w:val="nil"/>
              <w:bottom w:val="nil"/>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0,08</w:t>
            </w:r>
          </w:p>
        </w:tc>
        <w:tc>
          <w:tcPr>
            <w:tcW w:w="225" w:type="dxa"/>
            <w:tcBorders>
              <w:top w:val="nil"/>
              <w:left w:val="nil"/>
              <w:bottom w:val="nil"/>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r w:rsidR="00565FD5" w:rsidRPr="00306C5A" w:rsidTr="00AB62A3">
        <w:trPr>
          <w:trHeight w:hRule="exact" w:val="198"/>
          <w:jc w:val="center"/>
        </w:trPr>
        <w:tc>
          <w:tcPr>
            <w:tcW w:w="3240" w:type="dxa"/>
            <w:tcBorders>
              <w:top w:val="nil"/>
              <w:left w:val="single" w:sz="4" w:space="0" w:color="auto"/>
              <w:bottom w:val="single" w:sz="4" w:space="0" w:color="auto"/>
              <w:right w:val="nil"/>
            </w:tcBorders>
            <w:noWrap/>
            <w:vAlign w:val="bottom"/>
          </w:tcPr>
          <w:p w:rsidR="00565FD5" w:rsidRPr="00306C5A" w:rsidRDefault="00565FD5" w:rsidP="00AB62A3">
            <w:pPr>
              <w:rPr>
                <w:rFonts w:cs="Tahoma"/>
                <w:sz w:val="15"/>
                <w:szCs w:val="15"/>
                <w:lang w:eastAsia="tr-TR"/>
              </w:rPr>
            </w:pPr>
            <w:r w:rsidRPr="00306C5A">
              <w:rPr>
                <w:rFonts w:cs="Tahoma"/>
                <w:sz w:val="15"/>
                <w:szCs w:val="15"/>
                <w:lang w:eastAsia="tr-TR"/>
              </w:rPr>
              <w:t>III. Dış Borçlanma (Net)</w:t>
            </w:r>
          </w:p>
        </w:tc>
        <w:tc>
          <w:tcPr>
            <w:tcW w:w="1164" w:type="dxa"/>
            <w:tcBorders>
              <w:top w:val="nil"/>
              <w:left w:val="nil"/>
              <w:bottom w:val="single" w:sz="4" w:space="0" w:color="auto"/>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0,01</w:t>
            </w:r>
          </w:p>
        </w:tc>
        <w:tc>
          <w:tcPr>
            <w:tcW w:w="1164" w:type="dxa"/>
            <w:tcBorders>
              <w:top w:val="nil"/>
              <w:left w:val="nil"/>
              <w:bottom w:val="single" w:sz="4" w:space="0" w:color="auto"/>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0,01</w:t>
            </w:r>
          </w:p>
        </w:tc>
        <w:tc>
          <w:tcPr>
            <w:tcW w:w="1272" w:type="dxa"/>
            <w:tcBorders>
              <w:top w:val="nil"/>
              <w:left w:val="nil"/>
              <w:bottom w:val="single" w:sz="4" w:space="0" w:color="auto"/>
              <w:right w:val="nil"/>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0,00</w:t>
            </w:r>
          </w:p>
        </w:tc>
        <w:tc>
          <w:tcPr>
            <w:tcW w:w="225" w:type="dxa"/>
            <w:tcBorders>
              <w:top w:val="nil"/>
              <w:left w:val="nil"/>
              <w:bottom w:val="single" w:sz="4" w:space="0" w:color="auto"/>
              <w:right w:val="single" w:sz="4" w:space="0" w:color="auto"/>
            </w:tcBorders>
            <w:noWrap/>
            <w:vAlign w:val="bottom"/>
          </w:tcPr>
          <w:p w:rsidR="00565FD5" w:rsidRPr="00306C5A" w:rsidRDefault="00565FD5" w:rsidP="00AB62A3">
            <w:pPr>
              <w:jc w:val="right"/>
              <w:rPr>
                <w:rFonts w:cs="Tahoma"/>
                <w:sz w:val="15"/>
                <w:szCs w:val="15"/>
                <w:lang w:eastAsia="tr-TR"/>
              </w:rPr>
            </w:pPr>
            <w:r w:rsidRPr="00306C5A">
              <w:rPr>
                <w:rFonts w:cs="Tahoma"/>
                <w:sz w:val="15"/>
                <w:szCs w:val="15"/>
                <w:lang w:eastAsia="tr-TR"/>
              </w:rPr>
              <w:t> </w:t>
            </w:r>
          </w:p>
        </w:tc>
      </w:tr>
    </w:tbl>
    <w:p w:rsidR="00565FD5" w:rsidRPr="00BF3740" w:rsidRDefault="00565FD5" w:rsidP="00565FD5">
      <w:pPr>
        <w:tabs>
          <w:tab w:val="left" w:pos="3535"/>
          <w:tab w:val="left" w:pos="4699"/>
          <w:tab w:val="left" w:pos="5863"/>
          <w:tab w:val="left" w:pos="7135"/>
        </w:tabs>
        <w:ind w:left="70"/>
        <w:rPr>
          <w:rFonts w:cs="Tahoma"/>
          <w:sz w:val="16"/>
          <w:szCs w:val="16"/>
          <w:lang w:eastAsia="tr-TR"/>
        </w:rPr>
      </w:pPr>
      <w:r w:rsidRPr="00BF3740">
        <w:rPr>
          <w:rFonts w:cs="Tahoma"/>
          <w:sz w:val="14"/>
          <w:szCs w:val="14"/>
          <w:lang w:eastAsia="tr-TR"/>
        </w:rPr>
        <w:t>Kaynak: Kalkınma Bakanlığı</w:t>
      </w:r>
    </w:p>
    <w:p w:rsidR="00565FD5" w:rsidRPr="00306C5A" w:rsidRDefault="00565FD5" w:rsidP="00565FD5">
      <w:pPr>
        <w:tabs>
          <w:tab w:val="left" w:pos="3535"/>
          <w:tab w:val="left" w:pos="4699"/>
          <w:tab w:val="left" w:pos="5863"/>
          <w:tab w:val="left" w:pos="7135"/>
        </w:tabs>
        <w:ind w:left="70"/>
        <w:rPr>
          <w:rFonts w:cs="Tahoma"/>
          <w:sz w:val="14"/>
          <w:szCs w:val="14"/>
          <w:lang w:eastAsia="tr-TR"/>
        </w:rPr>
      </w:pPr>
      <w:r w:rsidRPr="00BF3740">
        <w:rPr>
          <w:rFonts w:cs="Tahoma"/>
          <w:sz w:val="14"/>
          <w:szCs w:val="14"/>
          <w:lang w:eastAsia="tr-TR"/>
        </w:rPr>
        <w:t>(1) Gerçekleşme tahmini</w:t>
      </w:r>
    </w:p>
    <w:p w:rsidR="00565FD5" w:rsidRDefault="00565FD5" w:rsidP="00565FD5">
      <w:pPr>
        <w:tabs>
          <w:tab w:val="left" w:pos="3535"/>
          <w:tab w:val="left" w:pos="4699"/>
          <w:tab w:val="left" w:pos="5863"/>
          <w:tab w:val="left" w:pos="7135"/>
        </w:tabs>
        <w:ind w:left="70"/>
        <w:rPr>
          <w:rFonts w:cs="Tahoma"/>
          <w:sz w:val="14"/>
          <w:szCs w:val="14"/>
          <w:lang w:eastAsia="tr-TR"/>
        </w:rPr>
      </w:pPr>
      <w:r w:rsidRPr="00BF3740">
        <w:rPr>
          <w:rFonts w:cs="Tahoma"/>
          <w:sz w:val="14"/>
          <w:szCs w:val="14"/>
          <w:lang w:eastAsia="tr-TR"/>
        </w:rPr>
        <w:t>(2) Program</w:t>
      </w:r>
    </w:p>
    <w:p w:rsidR="00565FD5" w:rsidRPr="00306C5A" w:rsidRDefault="00565FD5" w:rsidP="00565FD5">
      <w:pPr>
        <w:tabs>
          <w:tab w:val="left" w:pos="3535"/>
          <w:tab w:val="left" w:pos="4699"/>
          <w:tab w:val="left" w:pos="5863"/>
          <w:tab w:val="left" w:pos="7135"/>
        </w:tabs>
        <w:ind w:left="70"/>
        <w:rPr>
          <w:rFonts w:cs="Tahoma"/>
          <w:sz w:val="14"/>
          <w:szCs w:val="14"/>
          <w:lang w:eastAsia="tr-TR"/>
        </w:rPr>
        <w:sectPr w:rsidR="00565FD5" w:rsidRPr="00306C5A" w:rsidSect="00DC543D">
          <w:pgSz w:w="11906" w:h="16838"/>
          <w:pgMar w:top="2948" w:right="2381" w:bottom="2948" w:left="2381" w:header="2268" w:footer="2268" w:gutter="0"/>
          <w:cols w:space="708"/>
          <w:docGrid w:linePitch="360"/>
        </w:sectPr>
      </w:pPr>
    </w:p>
    <w:p w:rsidR="00565FD5" w:rsidRDefault="00565FD5" w:rsidP="00565FD5">
      <w:pPr>
        <w:tabs>
          <w:tab w:val="left" w:pos="3535"/>
          <w:tab w:val="left" w:pos="4699"/>
          <w:tab w:val="left" w:pos="5863"/>
          <w:tab w:val="left" w:pos="7135"/>
        </w:tabs>
        <w:ind w:left="70"/>
        <w:rPr>
          <w:rFonts w:cs="Tahoma"/>
          <w:sz w:val="14"/>
          <w:szCs w:val="14"/>
          <w:lang w:eastAsia="tr-TR"/>
        </w:rPr>
      </w:pPr>
    </w:p>
    <w:p w:rsidR="00565FD5" w:rsidRPr="00306C5A" w:rsidRDefault="00565FD5" w:rsidP="00565FD5">
      <w:pPr>
        <w:tabs>
          <w:tab w:val="left" w:pos="3535"/>
          <w:tab w:val="left" w:pos="4699"/>
          <w:tab w:val="left" w:pos="5863"/>
          <w:tab w:val="left" w:pos="7135"/>
        </w:tabs>
        <w:ind w:left="70"/>
        <w:rPr>
          <w:rFonts w:cs="Tahoma"/>
          <w:sz w:val="14"/>
          <w:szCs w:val="14"/>
          <w:lang w:eastAsia="tr-TR"/>
        </w:rPr>
      </w:pPr>
    </w:p>
    <w:p w:rsidR="00565FD5" w:rsidRPr="00306C5A" w:rsidRDefault="00565FD5" w:rsidP="00565FD5">
      <w:pPr>
        <w:pStyle w:val="ResimYazs"/>
        <w:rPr>
          <w:rFonts w:cs="Tahoma"/>
          <w:lang w:eastAsia="tr-TR"/>
        </w:rPr>
      </w:pPr>
      <w:bookmarkStart w:id="1152" w:name="_Toc338605995"/>
      <w:bookmarkStart w:id="1153" w:name="_Toc338711770"/>
      <w:r>
        <w:t xml:space="preserve">TABLO III: </w:t>
      </w:r>
      <w:fldSimple w:instr=" SEQ TABLO_III: \* ARABIC ">
        <w:r>
          <w:rPr>
            <w:noProof/>
          </w:rPr>
          <w:t>17</w:t>
        </w:r>
      </w:fldSimple>
      <w:r w:rsidRPr="00306C5A">
        <w:rPr>
          <w:rFonts w:cs="Tahoma"/>
          <w:bCs/>
          <w:lang w:eastAsia="tr-TR"/>
        </w:rPr>
        <w:t>- KİT'ler Hakkında Özet Bilgiler</w:t>
      </w:r>
      <w:bookmarkEnd w:id="1152"/>
      <w:bookmarkEnd w:id="1153"/>
    </w:p>
    <w:tbl>
      <w:tblPr>
        <w:tblW w:w="4933" w:type="pct"/>
        <w:tblInd w:w="70" w:type="dxa"/>
        <w:tblLayout w:type="fixed"/>
        <w:tblCellMar>
          <w:left w:w="70" w:type="dxa"/>
          <w:right w:w="70" w:type="dxa"/>
        </w:tblCellMar>
        <w:tblLook w:val="00A0"/>
      </w:tblPr>
      <w:tblGrid>
        <w:gridCol w:w="3627"/>
        <w:gridCol w:w="1106"/>
        <w:gridCol w:w="1221"/>
        <w:gridCol w:w="1134"/>
        <w:gridCol w:w="281"/>
        <w:gridCol w:w="1135"/>
        <w:gridCol w:w="1135"/>
        <w:gridCol w:w="1135"/>
        <w:gridCol w:w="160"/>
      </w:tblGrid>
      <w:tr w:rsidR="00565FD5" w:rsidRPr="00211563" w:rsidTr="00AB62A3">
        <w:trPr>
          <w:trHeight w:hRule="exact" w:val="445"/>
        </w:trPr>
        <w:tc>
          <w:tcPr>
            <w:tcW w:w="1659" w:type="pct"/>
            <w:tcBorders>
              <w:top w:val="single" w:sz="4" w:space="0" w:color="auto"/>
              <w:left w:val="single" w:sz="4" w:space="0" w:color="auto"/>
              <w:bottom w:val="nil"/>
              <w:right w:val="nil"/>
            </w:tcBorders>
            <w:noWrap/>
            <w:vAlign w:val="bottom"/>
          </w:tcPr>
          <w:p w:rsidR="00565FD5" w:rsidRPr="00211563" w:rsidRDefault="00565FD5" w:rsidP="00AB62A3">
            <w:pPr>
              <w:rPr>
                <w:rFonts w:cs="Tahoma"/>
                <w:sz w:val="15"/>
                <w:szCs w:val="15"/>
                <w:lang w:eastAsia="tr-TR"/>
              </w:rPr>
            </w:pPr>
          </w:p>
        </w:tc>
        <w:tc>
          <w:tcPr>
            <w:tcW w:w="1583" w:type="pct"/>
            <w:gridSpan w:val="3"/>
            <w:tcBorders>
              <w:top w:val="single" w:sz="4" w:space="0" w:color="auto"/>
              <w:left w:val="nil"/>
              <w:bottom w:val="single" w:sz="4" w:space="0" w:color="auto"/>
              <w:right w:val="nil"/>
            </w:tcBorders>
            <w:noWrap/>
            <w:vAlign w:val="bottom"/>
          </w:tcPr>
          <w:p w:rsidR="00565FD5" w:rsidRDefault="00565FD5" w:rsidP="00AB62A3">
            <w:pPr>
              <w:jc w:val="center"/>
              <w:rPr>
                <w:rFonts w:cs="Tahoma"/>
                <w:b/>
                <w:bCs/>
                <w:sz w:val="15"/>
                <w:szCs w:val="15"/>
                <w:lang w:eastAsia="tr-TR"/>
              </w:rPr>
            </w:pPr>
            <w:r w:rsidRPr="00211563">
              <w:rPr>
                <w:rFonts w:cs="Tahoma"/>
                <w:b/>
                <w:bCs/>
                <w:sz w:val="15"/>
                <w:szCs w:val="15"/>
                <w:lang w:eastAsia="tr-TR"/>
              </w:rPr>
              <w:t xml:space="preserve">Özelleştirme Kapsamındaki </w:t>
            </w:r>
          </w:p>
          <w:p w:rsidR="00565FD5" w:rsidRPr="00211563" w:rsidRDefault="00565FD5" w:rsidP="00AB62A3">
            <w:pPr>
              <w:jc w:val="center"/>
              <w:rPr>
                <w:rFonts w:cs="Tahoma"/>
                <w:b/>
                <w:bCs/>
                <w:sz w:val="15"/>
                <w:szCs w:val="15"/>
                <w:lang w:eastAsia="tr-TR"/>
              </w:rPr>
            </w:pPr>
            <w:r w:rsidRPr="00211563">
              <w:rPr>
                <w:rFonts w:cs="Tahoma"/>
                <w:b/>
                <w:bCs/>
                <w:sz w:val="15"/>
                <w:szCs w:val="15"/>
                <w:lang w:eastAsia="tr-TR"/>
              </w:rPr>
              <w:t>Kuruluşlar Hariç Toplam</w:t>
            </w:r>
          </w:p>
        </w:tc>
        <w:tc>
          <w:tcPr>
            <w:tcW w:w="129" w:type="pct"/>
            <w:tcBorders>
              <w:top w:val="single" w:sz="4" w:space="0" w:color="auto"/>
              <w:left w:val="nil"/>
              <w:bottom w:val="nil"/>
              <w:right w:val="nil"/>
            </w:tcBorders>
            <w:noWrap/>
            <w:vAlign w:val="bottom"/>
          </w:tcPr>
          <w:p w:rsidR="00565FD5" w:rsidRPr="00211563" w:rsidRDefault="00565FD5" w:rsidP="00AB62A3">
            <w:pPr>
              <w:rPr>
                <w:rFonts w:cs="Tahoma"/>
                <w:sz w:val="15"/>
                <w:szCs w:val="15"/>
                <w:lang w:eastAsia="tr-TR"/>
              </w:rPr>
            </w:pPr>
          </w:p>
        </w:tc>
        <w:tc>
          <w:tcPr>
            <w:tcW w:w="1556" w:type="pct"/>
            <w:gridSpan w:val="3"/>
            <w:tcBorders>
              <w:top w:val="single" w:sz="4" w:space="0" w:color="auto"/>
              <w:left w:val="nil"/>
              <w:bottom w:val="single" w:sz="4" w:space="0" w:color="auto"/>
              <w:right w:val="nil"/>
            </w:tcBorders>
            <w:noWrap/>
            <w:vAlign w:val="bottom"/>
          </w:tcPr>
          <w:p w:rsidR="00565FD5" w:rsidRPr="00211563" w:rsidRDefault="00565FD5" w:rsidP="00AB62A3">
            <w:pPr>
              <w:jc w:val="center"/>
              <w:rPr>
                <w:rFonts w:cs="Tahoma"/>
                <w:b/>
                <w:bCs/>
                <w:sz w:val="15"/>
                <w:szCs w:val="15"/>
                <w:lang w:eastAsia="tr-TR"/>
              </w:rPr>
            </w:pPr>
            <w:r w:rsidRPr="00211563">
              <w:rPr>
                <w:rFonts w:cs="Tahoma"/>
                <w:b/>
                <w:bCs/>
                <w:sz w:val="15"/>
                <w:szCs w:val="15"/>
                <w:lang w:eastAsia="tr-TR"/>
              </w:rPr>
              <w:t xml:space="preserve">Özelleştirme Kapsamındaki </w:t>
            </w:r>
          </w:p>
          <w:p w:rsidR="00565FD5" w:rsidRPr="00211563" w:rsidRDefault="00565FD5" w:rsidP="00AB62A3">
            <w:pPr>
              <w:jc w:val="center"/>
              <w:rPr>
                <w:rFonts w:cs="Tahoma"/>
                <w:b/>
                <w:bCs/>
                <w:sz w:val="15"/>
                <w:szCs w:val="15"/>
                <w:lang w:eastAsia="tr-TR"/>
              </w:rPr>
            </w:pPr>
            <w:r w:rsidRPr="00211563">
              <w:rPr>
                <w:rFonts w:cs="Tahoma"/>
                <w:b/>
                <w:bCs/>
                <w:sz w:val="15"/>
                <w:szCs w:val="15"/>
                <w:lang w:eastAsia="tr-TR"/>
              </w:rPr>
              <w:t>Kuruluşlar Dâhil Toplam</w:t>
            </w:r>
          </w:p>
        </w:tc>
        <w:tc>
          <w:tcPr>
            <w:tcW w:w="73" w:type="pct"/>
            <w:tcBorders>
              <w:top w:val="single" w:sz="4" w:space="0" w:color="auto"/>
              <w:left w:val="nil"/>
              <w:bottom w:val="nil"/>
              <w:right w:val="single" w:sz="4" w:space="0" w:color="auto"/>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center"/>
          </w:tcPr>
          <w:p w:rsidR="00565FD5" w:rsidRPr="00211563" w:rsidRDefault="00565FD5" w:rsidP="00AB62A3">
            <w:pPr>
              <w:rPr>
                <w:rFonts w:cs="Tahoma"/>
                <w:b/>
                <w:bCs/>
                <w:sz w:val="15"/>
                <w:szCs w:val="15"/>
                <w:lang w:eastAsia="tr-TR"/>
              </w:rPr>
            </w:pPr>
          </w:p>
        </w:tc>
        <w:tc>
          <w:tcPr>
            <w:tcW w:w="506" w:type="pct"/>
            <w:tcBorders>
              <w:top w:val="nil"/>
              <w:left w:val="nil"/>
              <w:bottom w:val="single" w:sz="4" w:space="0" w:color="auto"/>
              <w:right w:val="nil"/>
            </w:tcBorders>
            <w:noWrap/>
            <w:vAlign w:val="bottom"/>
          </w:tcPr>
          <w:p w:rsidR="00565FD5" w:rsidRPr="00211563" w:rsidRDefault="00565FD5" w:rsidP="00AB62A3">
            <w:pPr>
              <w:jc w:val="right"/>
              <w:rPr>
                <w:rFonts w:cs="Tahoma"/>
                <w:b/>
                <w:bCs/>
                <w:sz w:val="15"/>
                <w:szCs w:val="15"/>
                <w:lang w:eastAsia="tr-TR"/>
              </w:rPr>
            </w:pPr>
            <w:r w:rsidRPr="00211563">
              <w:rPr>
                <w:rFonts w:cs="Tahoma"/>
                <w:b/>
                <w:bCs/>
                <w:sz w:val="15"/>
                <w:szCs w:val="15"/>
                <w:lang w:eastAsia="tr-TR"/>
              </w:rPr>
              <w:t>2011</w:t>
            </w:r>
          </w:p>
        </w:tc>
        <w:tc>
          <w:tcPr>
            <w:tcW w:w="559" w:type="pct"/>
            <w:tcBorders>
              <w:top w:val="nil"/>
              <w:left w:val="nil"/>
              <w:bottom w:val="single" w:sz="4" w:space="0" w:color="auto"/>
              <w:right w:val="nil"/>
            </w:tcBorders>
            <w:shd w:val="clear" w:color="000000" w:fill="FFFFFF"/>
            <w:noWrap/>
            <w:vAlign w:val="bottom"/>
          </w:tcPr>
          <w:p w:rsidR="00565FD5" w:rsidRPr="00211563" w:rsidRDefault="00565FD5" w:rsidP="00AB62A3">
            <w:pPr>
              <w:jc w:val="right"/>
              <w:rPr>
                <w:rFonts w:cs="Tahoma"/>
                <w:b/>
                <w:bCs/>
                <w:sz w:val="15"/>
                <w:szCs w:val="15"/>
                <w:lang w:eastAsia="tr-TR"/>
              </w:rPr>
            </w:pPr>
            <w:r w:rsidRPr="00211563">
              <w:rPr>
                <w:rFonts w:cs="Tahoma"/>
                <w:b/>
                <w:bCs/>
                <w:sz w:val="15"/>
                <w:szCs w:val="15"/>
                <w:lang w:eastAsia="tr-TR"/>
              </w:rPr>
              <w:t>2012(1)</w:t>
            </w:r>
          </w:p>
        </w:tc>
        <w:tc>
          <w:tcPr>
            <w:tcW w:w="519" w:type="pct"/>
            <w:tcBorders>
              <w:top w:val="nil"/>
              <w:left w:val="nil"/>
              <w:bottom w:val="single" w:sz="4" w:space="0" w:color="auto"/>
              <w:right w:val="nil"/>
            </w:tcBorders>
            <w:noWrap/>
            <w:vAlign w:val="bottom"/>
          </w:tcPr>
          <w:p w:rsidR="00565FD5" w:rsidRPr="00211563" w:rsidRDefault="00565FD5" w:rsidP="00AB62A3">
            <w:pPr>
              <w:jc w:val="right"/>
              <w:rPr>
                <w:rFonts w:cs="Tahoma"/>
                <w:b/>
                <w:bCs/>
                <w:sz w:val="15"/>
                <w:szCs w:val="15"/>
                <w:lang w:eastAsia="tr-TR"/>
              </w:rPr>
            </w:pPr>
            <w:r w:rsidRPr="00211563">
              <w:rPr>
                <w:rFonts w:cs="Tahoma"/>
                <w:b/>
                <w:bCs/>
                <w:sz w:val="15"/>
                <w:szCs w:val="15"/>
                <w:lang w:eastAsia="tr-TR"/>
              </w:rPr>
              <w:t>2013(2)</w:t>
            </w:r>
          </w:p>
        </w:tc>
        <w:tc>
          <w:tcPr>
            <w:tcW w:w="129" w:type="pct"/>
            <w:tcBorders>
              <w:top w:val="nil"/>
              <w:left w:val="nil"/>
              <w:bottom w:val="nil"/>
              <w:right w:val="nil"/>
            </w:tcBorders>
            <w:noWrap/>
            <w:vAlign w:val="center"/>
          </w:tcPr>
          <w:p w:rsidR="00565FD5" w:rsidRPr="00211563" w:rsidRDefault="00565FD5" w:rsidP="00AB62A3">
            <w:pPr>
              <w:jc w:val="right"/>
              <w:rPr>
                <w:rFonts w:cs="Tahoma"/>
                <w:b/>
                <w:bCs/>
                <w:sz w:val="15"/>
                <w:szCs w:val="15"/>
                <w:lang w:eastAsia="tr-TR"/>
              </w:rPr>
            </w:pPr>
          </w:p>
        </w:tc>
        <w:tc>
          <w:tcPr>
            <w:tcW w:w="519" w:type="pct"/>
            <w:tcBorders>
              <w:top w:val="nil"/>
              <w:left w:val="nil"/>
              <w:bottom w:val="single" w:sz="4" w:space="0" w:color="auto"/>
              <w:right w:val="nil"/>
            </w:tcBorders>
            <w:noWrap/>
            <w:vAlign w:val="bottom"/>
          </w:tcPr>
          <w:p w:rsidR="00565FD5" w:rsidRPr="00211563" w:rsidRDefault="00565FD5" w:rsidP="00AB62A3">
            <w:pPr>
              <w:jc w:val="right"/>
              <w:rPr>
                <w:rFonts w:cs="Tahoma"/>
                <w:b/>
                <w:bCs/>
                <w:sz w:val="15"/>
                <w:szCs w:val="15"/>
                <w:lang w:eastAsia="tr-TR"/>
              </w:rPr>
            </w:pPr>
            <w:r w:rsidRPr="00211563">
              <w:rPr>
                <w:rFonts w:cs="Tahoma"/>
                <w:b/>
                <w:bCs/>
                <w:sz w:val="15"/>
                <w:szCs w:val="15"/>
                <w:lang w:eastAsia="tr-TR"/>
              </w:rPr>
              <w:t>2011</w:t>
            </w:r>
          </w:p>
        </w:tc>
        <w:tc>
          <w:tcPr>
            <w:tcW w:w="519" w:type="pct"/>
            <w:tcBorders>
              <w:top w:val="nil"/>
              <w:left w:val="nil"/>
              <w:bottom w:val="single" w:sz="4" w:space="0" w:color="auto"/>
              <w:right w:val="nil"/>
            </w:tcBorders>
            <w:shd w:val="clear" w:color="000000" w:fill="FFFFFF"/>
            <w:noWrap/>
            <w:vAlign w:val="bottom"/>
          </w:tcPr>
          <w:p w:rsidR="00565FD5" w:rsidRPr="00211563" w:rsidRDefault="00565FD5" w:rsidP="00AB62A3">
            <w:pPr>
              <w:jc w:val="right"/>
              <w:rPr>
                <w:rFonts w:cs="Tahoma"/>
                <w:b/>
                <w:bCs/>
                <w:sz w:val="15"/>
                <w:szCs w:val="15"/>
                <w:lang w:eastAsia="tr-TR"/>
              </w:rPr>
            </w:pPr>
            <w:r w:rsidRPr="00211563">
              <w:rPr>
                <w:rFonts w:cs="Tahoma"/>
                <w:b/>
                <w:bCs/>
                <w:sz w:val="15"/>
                <w:szCs w:val="15"/>
                <w:lang w:eastAsia="tr-TR"/>
              </w:rPr>
              <w:t>2012(1)</w:t>
            </w:r>
          </w:p>
        </w:tc>
        <w:tc>
          <w:tcPr>
            <w:tcW w:w="519" w:type="pct"/>
            <w:tcBorders>
              <w:top w:val="nil"/>
              <w:left w:val="nil"/>
              <w:bottom w:val="single" w:sz="4" w:space="0" w:color="auto"/>
              <w:right w:val="nil"/>
            </w:tcBorders>
            <w:noWrap/>
            <w:vAlign w:val="bottom"/>
          </w:tcPr>
          <w:p w:rsidR="00565FD5" w:rsidRPr="00211563" w:rsidRDefault="00565FD5" w:rsidP="00AB62A3">
            <w:pPr>
              <w:jc w:val="right"/>
              <w:rPr>
                <w:rFonts w:cs="Tahoma"/>
                <w:b/>
                <w:bCs/>
                <w:sz w:val="15"/>
                <w:szCs w:val="15"/>
                <w:lang w:eastAsia="tr-TR"/>
              </w:rPr>
            </w:pPr>
            <w:r w:rsidRPr="00211563">
              <w:rPr>
                <w:rFonts w:cs="Tahoma"/>
                <w:b/>
                <w:bCs/>
                <w:sz w:val="15"/>
                <w:szCs w:val="15"/>
                <w:lang w:eastAsia="tr-TR"/>
              </w:rPr>
              <w:t>2013(2)</w:t>
            </w:r>
          </w:p>
        </w:tc>
        <w:tc>
          <w:tcPr>
            <w:tcW w:w="73" w:type="pct"/>
            <w:tcBorders>
              <w:top w:val="nil"/>
              <w:left w:val="nil"/>
              <w:bottom w:val="nil"/>
              <w:right w:val="single" w:sz="4" w:space="0" w:color="auto"/>
            </w:tcBorders>
            <w:noWrap/>
            <w:vAlign w:val="center"/>
          </w:tcPr>
          <w:p w:rsidR="00565FD5" w:rsidRPr="00211563" w:rsidRDefault="00565FD5" w:rsidP="00AB62A3">
            <w:pPr>
              <w:rPr>
                <w:rFonts w:cs="Tahoma"/>
                <w:b/>
                <w:bCs/>
                <w:sz w:val="15"/>
                <w:szCs w:val="15"/>
                <w:lang w:eastAsia="tr-TR"/>
              </w:rPr>
            </w:pPr>
            <w:r w:rsidRPr="00211563">
              <w:rPr>
                <w:rFonts w:cs="Tahoma"/>
                <w:b/>
                <w:bCs/>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Toplam Personel Sayısı</w:t>
            </w:r>
          </w:p>
        </w:tc>
        <w:tc>
          <w:tcPr>
            <w:tcW w:w="506"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147 038</w:t>
            </w:r>
          </w:p>
        </w:tc>
        <w:tc>
          <w:tcPr>
            <w:tcW w:w="55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146 033</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143 061</w:t>
            </w:r>
          </w:p>
        </w:tc>
        <w:tc>
          <w:tcPr>
            <w:tcW w:w="12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173 945</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170 977</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167 464</w:t>
            </w:r>
          </w:p>
        </w:tc>
        <w:tc>
          <w:tcPr>
            <w:tcW w:w="73" w:type="pct"/>
            <w:tcBorders>
              <w:top w:val="nil"/>
              <w:left w:val="nil"/>
              <w:bottom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xml:space="preserve">  - Memur ve Sözleşmeli Personel</w:t>
            </w:r>
          </w:p>
        </w:tc>
        <w:tc>
          <w:tcPr>
            <w:tcW w:w="506"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75 616</w:t>
            </w:r>
          </w:p>
        </w:tc>
        <w:tc>
          <w:tcPr>
            <w:tcW w:w="55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76 217</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75 161</w:t>
            </w:r>
          </w:p>
        </w:tc>
        <w:tc>
          <w:tcPr>
            <w:tcW w:w="12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82 103</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82 478</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81 257</w:t>
            </w:r>
          </w:p>
        </w:tc>
        <w:tc>
          <w:tcPr>
            <w:tcW w:w="73" w:type="pct"/>
            <w:tcBorders>
              <w:top w:val="nil"/>
              <w:left w:val="nil"/>
              <w:bottom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xml:space="preserve">  - İşçi</w:t>
            </w:r>
          </w:p>
        </w:tc>
        <w:tc>
          <w:tcPr>
            <w:tcW w:w="506"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71 422</w:t>
            </w:r>
          </w:p>
        </w:tc>
        <w:tc>
          <w:tcPr>
            <w:tcW w:w="55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69 816</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67 900</w:t>
            </w:r>
          </w:p>
        </w:tc>
        <w:tc>
          <w:tcPr>
            <w:tcW w:w="12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91 842</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88 499</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86 207</w:t>
            </w:r>
          </w:p>
        </w:tc>
        <w:tc>
          <w:tcPr>
            <w:tcW w:w="73" w:type="pct"/>
            <w:tcBorders>
              <w:top w:val="nil"/>
              <w:left w:val="nil"/>
              <w:bottom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Toplam Personel Harcamaları (3)</w:t>
            </w:r>
          </w:p>
        </w:tc>
        <w:tc>
          <w:tcPr>
            <w:tcW w:w="506"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7 058</w:t>
            </w:r>
          </w:p>
        </w:tc>
        <w:tc>
          <w:tcPr>
            <w:tcW w:w="55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7 677</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8 112</w:t>
            </w:r>
          </w:p>
        </w:tc>
        <w:tc>
          <w:tcPr>
            <w:tcW w:w="12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8 541</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9 171</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9 689</w:t>
            </w:r>
          </w:p>
        </w:tc>
        <w:tc>
          <w:tcPr>
            <w:tcW w:w="73" w:type="pct"/>
            <w:tcBorders>
              <w:top w:val="nil"/>
              <w:left w:val="nil"/>
              <w:bottom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xml:space="preserve">  - Memur ve Sözleşmeli Personel</w:t>
            </w:r>
          </w:p>
        </w:tc>
        <w:tc>
          <w:tcPr>
            <w:tcW w:w="506"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3 065</w:t>
            </w:r>
          </w:p>
        </w:tc>
        <w:tc>
          <w:tcPr>
            <w:tcW w:w="55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3 511</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3 732</w:t>
            </w:r>
          </w:p>
        </w:tc>
        <w:tc>
          <w:tcPr>
            <w:tcW w:w="12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3 350</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3 828</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4 064</w:t>
            </w:r>
          </w:p>
        </w:tc>
        <w:tc>
          <w:tcPr>
            <w:tcW w:w="73" w:type="pct"/>
            <w:tcBorders>
              <w:top w:val="nil"/>
              <w:left w:val="nil"/>
              <w:bottom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xml:space="preserve">  - İşçi</w:t>
            </w:r>
          </w:p>
        </w:tc>
        <w:tc>
          <w:tcPr>
            <w:tcW w:w="506"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3 993</w:t>
            </w:r>
          </w:p>
        </w:tc>
        <w:tc>
          <w:tcPr>
            <w:tcW w:w="55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4 166</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4 380</w:t>
            </w:r>
          </w:p>
        </w:tc>
        <w:tc>
          <w:tcPr>
            <w:tcW w:w="12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5 191</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5 343</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5 625</w:t>
            </w:r>
          </w:p>
        </w:tc>
        <w:tc>
          <w:tcPr>
            <w:tcW w:w="73" w:type="pct"/>
            <w:tcBorders>
              <w:top w:val="nil"/>
              <w:left w:val="nil"/>
              <w:bottom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Mal ve Hizmet Satış Hasılatı (3)</w:t>
            </w:r>
          </w:p>
        </w:tc>
        <w:tc>
          <w:tcPr>
            <w:tcW w:w="506"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77 218</w:t>
            </w:r>
          </w:p>
        </w:tc>
        <w:tc>
          <w:tcPr>
            <w:tcW w:w="55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91 070</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97 856</w:t>
            </w:r>
          </w:p>
        </w:tc>
        <w:tc>
          <w:tcPr>
            <w:tcW w:w="12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95 295</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110 651</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119 124</w:t>
            </w:r>
          </w:p>
        </w:tc>
        <w:tc>
          <w:tcPr>
            <w:tcW w:w="73" w:type="pct"/>
            <w:tcBorders>
              <w:top w:val="nil"/>
              <w:left w:val="nil"/>
              <w:bottom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Görev Zararı Tahakkukları (3)</w:t>
            </w:r>
          </w:p>
        </w:tc>
        <w:tc>
          <w:tcPr>
            <w:tcW w:w="506"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1 963</w:t>
            </w:r>
          </w:p>
        </w:tc>
        <w:tc>
          <w:tcPr>
            <w:tcW w:w="55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2 557</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3 127</w:t>
            </w:r>
          </w:p>
        </w:tc>
        <w:tc>
          <w:tcPr>
            <w:tcW w:w="12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1 963</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2 557</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3 127</w:t>
            </w:r>
          </w:p>
        </w:tc>
        <w:tc>
          <w:tcPr>
            <w:tcW w:w="73" w:type="pct"/>
            <w:tcBorders>
              <w:top w:val="nil"/>
              <w:left w:val="nil"/>
              <w:bottom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İşletme Faaliyet Kâr – Zararı (3)</w:t>
            </w:r>
          </w:p>
        </w:tc>
        <w:tc>
          <w:tcPr>
            <w:tcW w:w="506"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2 747</w:t>
            </w:r>
          </w:p>
        </w:tc>
        <w:tc>
          <w:tcPr>
            <w:tcW w:w="55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3 232</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6 124</w:t>
            </w:r>
          </w:p>
        </w:tc>
        <w:tc>
          <w:tcPr>
            <w:tcW w:w="12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2 076</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1 517</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4 175</w:t>
            </w:r>
          </w:p>
        </w:tc>
        <w:tc>
          <w:tcPr>
            <w:tcW w:w="73" w:type="pct"/>
            <w:tcBorders>
              <w:top w:val="nil"/>
              <w:left w:val="nil"/>
              <w:bottom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Faiz Ödemeleri (3)</w:t>
            </w:r>
          </w:p>
        </w:tc>
        <w:tc>
          <w:tcPr>
            <w:tcW w:w="506"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 xml:space="preserve"> 543</w:t>
            </w:r>
          </w:p>
        </w:tc>
        <w:tc>
          <w:tcPr>
            <w:tcW w:w="55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 xml:space="preserve"> 318</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 xml:space="preserve"> 341</w:t>
            </w:r>
          </w:p>
        </w:tc>
        <w:tc>
          <w:tcPr>
            <w:tcW w:w="12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 xml:space="preserve"> 640</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 xml:space="preserve"> 422</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 xml:space="preserve"> 463</w:t>
            </w:r>
          </w:p>
        </w:tc>
        <w:tc>
          <w:tcPr>
            <w:tcW w:w="73" w:type="pct"/>
            <w:tcBorders>
              <w:top w:val="nil"/>
              <w:left w:val="nil"/>
              <w:bottom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Dönem Kâr – Zararı (3)</w:t>
            </w:r>
          </w:p>
        </w:tc>
        <w:tc>
          <w:tcPr>
            <w:tcW w:w="506"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3 359</w:t>
            </w:r>
          </w:p>
        </w:tc>
        <w:tc>
          <w:tcPr>
            <w:tcW w:w="55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3 460</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6 648</w:t>
            </w:r>
          </w:p>
        </w:tc>
        <w:tc>
          <w:tcPr>
            <w:tcW w:w="12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2 644</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2 050</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5 012</w:t>
            </w:r>
          </w:p>
        </w:tc>
        <w:tc>
          <w:tcPr>
            <w:tcW w:w="73" w:type="pct"/>
            <w:tcBorders>
              <w:top w:val="nil"/>
              <w:left w:val="nil"/>
              <w:bottom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Faktör Gelirleri (3)</w:t>
            </w:r>
          </w:p>
        </w:tc>
        <w:tc>
          <w:tcPr>
            <w:tcW w:w="506"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6 134</w:t>
            </w:r>
          </w:p>
        </w:tc>
        <w:tc>
          <w:tcPr>
            <w:tcW w:w="55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4 439</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7 940</w:t>
            </w:r>
          </w:p>
        </w:tc>
        <w:tc>
          <w:tcPr>
            <w:tcW w:w="12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6 186</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3 856</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7 171</w:t>
            </w:r>
          </w:p>
        </w:tc>
        <w:tc>
          <w:tcPr>
            <w:tcW w:w="73" w:type="pct"/>
            <w:tcBorders>
              <w:top w:val="nil"/>
              <w:left w:val="nil"/>
              <w:bottom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Temettü Ödemeleri (3)</w:t>
            </w:r>
          </w:p>
        </w:tc>
        <w:tc>
          <w:tcPr>
            <w:tcW w:w="506"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1 402</w:t>
            </w:r>
          </w:p>
        </w:tc>
        <w:tc>
          <w:tcPr>
            <w:tcW w:w="55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1 548</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1 780</w:t>
            </w:r>
          </w:p>
        </w:tc>
        <w:tc>
          <w:tcPr>
            <w:tcW w:w="12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1 402</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1 548</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1 780</w:t>
            </w:r>
          </w:p>
        </w:tc>
        <w:tc>
          <w:tcPr>
            <w:tcW w:w="73" w:type="pct"/>
            <w:tcBorders>
              <w:top w:val="nil"/>
              <w:left w:val="nil"/>
              <w:bottom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Sabit Sermaye Yatırımları (3)</w:t>
            </w:r>
          </w:p>
        </w:tc>
        <w:tc>
          <w:tcPr>
            <w:tcW w:w="506"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5 791</w:t>
            </w:r>
          </w:p>
        </w:tc>
        <w:tc>
          <w:tcPr>
            <w:tcW w:w="55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7 260</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9 997</w:t>
            </w:r>
          </w:p>
        </w:tc>
        <w:tc>
          <w:tcPr>
            <w:tcW w:w="12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6 322</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8 016</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10 787</w:t>
            </w:r>
          </w:p>
        </w:tc>
        <w:tc>
          <w:tcPr>
            <w:tcW w:w="73" w:type="pct"/>
            <w:tcBorders>
              <w:top w:val="nil"/>
              <w:left w:val="nil"/>
              <w:bottom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Bütçe ve Fon Transferleri (3)</w:t>
            </w:r>
          </w:p>
        </w:tc>
        <w:tc>
          <w:tcPr>
            <w:tcW w:w="506"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6 825</w:t>
            </w:r>
          </w:p>
        </w:tc>
        <w:tc>
          <w:tcPr>
            <w:tcW w:w="55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7 752</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8 056</w:t>
            </w:r>
          </w:p>
        </w:tc>
        <w:tc>
          <w:tcPr>
            <w:tcW w:w="12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7 931</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7 801</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8 126</w:t>
            </w:r>
          </w:p>
        </w:tc>
        <w:tc>
          <w:tcPr>
            <w:tcW w:w="73" w:type="pct"/>
            <w:tcBorders>
              <w:top w:val="nil"/>
              <w:left w:val="nil"/>
              <w:bottom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Borçlanma Gereği* (3)</w:t>
            </w:r>
          </w:p>
        </w:tc>
        <w:tc>
          <w:tcPr>
            <w:tcW w:w="506"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-2 169</w:t>
            </w:r>
          </w:p>
        </w:tc>
        <w:tc>
          <w:tcPr>
            <w:tcW w:w="55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 xml:space="preserve"> 890</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-1 554</w:t>
            </w:r>
          </w:p>
        </w:tc>
        <w:tc>
          <w:tcPr>
            <w:tcW w:w="12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-2 810</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2 002</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- 231</w:t>
            </w:r>
          </w:p>
        </w:tc>
        <w:tc>
          <w:tcPr>
            <w:tcW w:w="73" w:type="pct"/>
            <w:tcBorders>
              <w:top w:val="nil"/>
              <w:left w:val="nil"/>
              <w:bottom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Borçlanma Gereği* (3) (4)</w:t>
            </w:r>
          </w:p>
        </w:tc>
        <w:tc>
          <w:tcPr>
            <w:tcW w:w="506"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4 655</w:t>
            </w:r>
          </w:p>
        </w:tc>
        <w:tc>
          <w:tcPr>
            <w:tcW w:w="55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8 642</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6 501</w:t>
            </w:r>
          </w:p>
        </w:tc>
        <w:tc>
          <w:tcPr>
            <w:tcW w:w="12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5 121</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9 803</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7 895</w:t>
            </w:r>
          </w:p>
        </w:tc>
        <w:tc>
          <w:tcPr>
            <w:tcW w:w="73" w:type="pct"/>
            <w:tcBorders>
              <w:top w:val="nil"/>
              <w:left w:val="nil"/>
              <w:bottom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Borçlanma Gereği* (3) (5)</w:t>
            </w:r>
          </w:p>
        </w:tc>
        <w:tc>
          <w:tcPr>
            <w:tcW w:w="506"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-2 256</w:t>
            </w:r>
          </w:p>
        </w:tc>
        <w:tc>
          <w:tcPr>
            <w:tcW w:w="55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1 069</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-1 424</w:t>
            </w:r>
          </w:p>
        </w:tc>
        <w:tc>
          <w:tcPr>
            <w:tcW w:w="12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-2 957</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2 132</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- 180</w:t>
            </w:r>
          </w:p>
        </w:tc>
        <w:tc>
          <w:tcPr>
            <w:tcW w:w="73" w:type="pct"/>
            <w:tcBorders>
              <w:top w:val="nil"/>
              <w:left w:val="nil"/>
              <w:bottom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Borçlanma Gereği*/GSYH (Yüzde)</w:t>
            </w:r>
          </w:p>
        </w:tc>
        <w:tc>
          <w:tcPr>
            <w:tcW w:w="506"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-0,17</w:t>
            </w:r>
          </w:p>
        </w:tc>
        <w:tc>
          <w:tcPr>
            <w:tcW w:w="55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0,06</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-0,10</w:t>
            </w:r>
          </w:p>
        </w:tc>
        <w:tc>
          <w:tcPr>
            <w:tcW w:w="12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-0,22</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0,14</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-0,01</w:t>
            </w:r>
          </w:p>
        </w:tc>
        <w:tc>
          <w:tcPr>
            <w:tcW w:w="73" w:type="pct"/>
            <w:tcBorders>
              <w:top w:val="nil"/>
              <w:left w:val="nil"/>
              <w:bottom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Borçlanma Gereği* (4)/GSYH (Yüzde)</w:t>
            </w:r>
          </w:p>
        </w:tc>
        <w:tc>
          <w:tcPr>
            <w:tcW w:w="506"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0,36</w:t>
            </w:r>
          </w:p>
        </w:tc>
        <w:tc>
          <w:tcPr>
            <w:tcW w:w="55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0,60</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0,41</w:t>
            </w:r>
          </w:p>
        </w:tc>
        <w:tc>
          <w:tcPr>
            <w:tcW w:w="12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w:t>
            </w:r>
            <w:r>
              <w:rPr>
                <w:rFonts w:cs="Tahoma"/>
                <w:sz w:val="15"/>
                <w:szCs w:val="15"/>
                <w:lang w:eastAsia="tr-TR"/>
              </w:rPr>
              <w:t>39</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0,68</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0,50</w:t>
            </w:r>
          </w:p>
        </w:tc>
        <w:tc>
          <w:tcPr>
            <w:tcW w:w="73" w:type="pct"/>
            <w:tcBorders>
              <w:top w:val="nil"/>
              <w:left w:val="nil"/>
              <w:bottom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bottom w:val="nil"/>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Borçlanma Gereği* (5)/GSYH (Yüzde)</w:t>
            </w:r>
          </w:p>
        </w:tc>
        <w:tc>
          <w:tcPr>
            <w:tcW w:w="506"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-0,17</w:t>
            </w:r>
          </w:p>
        </w:tc>
        <w:tc>
          <w:tcPr>
            <w:tcW w:w="55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0,07</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-0,09</w:t>
            </w:r>
          </w:p>
        </w:tc>
        <w:tc>
          <w:tcPr>
            <w:tcW w:w="12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-0,23</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0,15</w:t>
            </w:r>
          </w:p>
        </w:tc>
        <w:tc>
          <w:tcPr>
            <w:tcW w:w="519" w:type="pct"/>
            <w:tcBorders>
              <w:top w:val="nil"/>
              <w:left w:val="nil"/>
              <w:bottom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-0,01</w:t>
            </w:r>
          </w:p>
        </w:tc>
        <w:tc>
          <w:tcPr>
            <w:tcW w:w="73" w:type="pct"/>
            <w:tcBorders>
              <w:top w:val="nil"/>
              <w:left w:val="nil"/>
              <w:bottom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93"/>
        </w:trPr>
        <w:tc>
          <w:tcPr>
            <w:tcW w:w="1659" w:type="pct"/>
            <w:tcBorders>
              <w:top w:val="nil"/>
              <w:left w:val="single" w:sz="4" w:space="0" w:color="auto"/>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Personel Harcamaları/Hasılat (Yüzde)</w:t>
            </w:r>
          </w:p>
        </w:tc>
        <w:tc>
          <w:tcPr>
            <w:tcW w:w="506" w:type="pct"/>
            <w:tcBorders>
              <w:top w:val="nil"/>
              <w:left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9,14</w:t>
            </w:r>
          </w:p>
        </w:tc>
        <w:tc>
          <w:tcPr>
            <w:tcW w:w="559" w:type="pct"/>
            <w:tcBorders>
              <w:top w:val="nil"/>
              <w:left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8,43</w:t>
            </w:r>
          </w:p>
        </w:tc>
        <w:tc>
          <w:tcPr>
            <w:tcW w:w="519" w:type="pct"/>
            <w:tcBorders>
              <w:top w:val="nil"/>
              <w:left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8,29</w:t>
            </w:r>
          </w:p>
        </w:tc>
        <w:tc>
          <w:tcPr>
            <w:tcW w:w="129" w:type="pct"/>
            <w:tcBorders>
              <w:top w:val="nil"/>
              <w:left w:val="nil"/>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8,96</w:t>
            </w:r>
          </w:p>
        </w:tc>
        <w:tc>
          <w:tcPr>
            <w:tcW w:w="519" w:type="pct"/>
            <w:tcBorders>
              <w:top w:val="nil"/>
              <w:left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8,29</w:t>
            </w:r>
          </w:p>
        </w:tc>
        <w:tc>
          <w:tcPr>
            <w:tcW w:w="519" w:type="pct"/>
            <w:tcBorders>
              <w:top w:val="nil"/>
              <w:left w:val="nil"/>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8,13</w:t>
            </w:r>
          </w:p>
        </w:tc>
        <w:tc>
          <w:tcPr>
            <w:tcW w:w="73" w:type="pct"/>
            <w:tcBorders>
              <w:top w:val="nil"/>
              <w:left w:val="nil"/>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r w:rsidR="00565FD5" w:rsidRPr="00211563" w:rsidTr="00AB62A3">
        <w:trPr>
          <w:trHeight w:hRule="exact" w:val="173"/>
        </w:trPr>
        <w:tc>
          <w:tcPr>
            <w:tcW w:w="1659" w:type="pct"/>
            <w:tcBorders>
              <w:top w:val="nil"/>
              <w:left w:val="single" w:sz="4" w:space="0" w:color="auto"/>
              <w:bottom w:val="single" w:sz="4" w:space="0" w:color="auto"/>
              <w:right w:val="nil"/>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Faiz Ödemeleri/Hasılat (Yüzde)</w:t>
            </w:r>
          </w:p>
        </w:tc>
        <w:tc>
          <w:tcPr>
            <w:tcW w:w="506" w:type="pct"/>
            <w:tcBorders>
              <w:top w:val="nil"/>
              <w:left w:val="nil"/>
              <w:bottom w:val="single" w:sz="4" w:space="0" w:color="auto"/>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0,70</w:t>
            </w:r>
          </w:p>
        </w:tc>
        <w:tc>
          <w:tcPr>
            <w:tcW w:w="559" w:type="pct"/>
            <w:tcBorders>
              <w:top w:val="nil"/>
              <w:left w:val="nil"/>
              <w:bottom w:val="single" w:sz="4" w:space="0" w:color="auto"/>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0,35</w:t>
            </w:r>
          </w:p>
        </w:tc>
        <w:tc>
          <w:tcPr>
            <w:tcW w:w="519" w:type="pct"/>
            <w:tcBorders>
              <w:top w:val="nil"/>
              <w:left w:val="nil"/>
              <w:bottom w:val="single" w:sz="4" w:space="0" w:color="auto"/>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0,35</w:t>
            </w:r>
          </w:p>
        </w:tc>
        <w:tc>
          <w:tcPr>
            <w:tcW w:w="129" w:type="pct"/>
            <w:tcBorders>
              <w:top w:val="nil"/>
              <w:left w:val="nil"/>
              <w:bottom w:val="single" w:sz="4" w:space="0" w:color="auto"/>
              <w:right w:val="nil"/>
            </w:tcBorders>
            <w:noWrap/>
            <w:vAlign w:val="bottom"/>
          </w:tcPr>
          <w:p w:rsidR="00565FD5" w:rsidRPr="00211563" w:rsidRDefault="00565FD5" w:rsidP="00AB62A3">
            <w:pPr>
              <w:jc w:val="right"/>
              <w:rPr>
                <w:rFonts w:cs="Tahoma"/>
                <w:sz w:val="15"/>
                <w:szCs w:val="15"/>
                <w:lang w:eastAsia="tr-TR"/>
              </w:rPr>
            </w:pPr>
          </w:p>
        </w:tc>
        <w:tc>
          <w:tcPr>
            <w:tcW w:w="519" w:type="pct"/>
            <w:tcBorders>
              <w:top w:val="nil"/>
              <w:left w:val="nil"/>
              <w:bottom w:val="single" w:sz="4" w:space="0" w:color="auto"/>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0,67</w:t>
            </w:r>
          </w:p>
        </w:tc>
        <w:tc>
          <w:tcPr>
            <w:tcW w:w="519" w:type="pct"/>
            <w:tcBorders>
              <w:top w:val="nil"/>
              <w:left w:val="nil"/>
              <w:bottom w:val="single" w:sz="4" w:space="0" w:color="auto"/>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0,38</w:t>
            </w:r>
          </w:p>
        </w:tc>
        <w:tc>
          <w:tcPr>
            <w:tcW w:w="519" w:type="pct"/>
            <w:tcBorders>
              <w:top w:val="nil"/>
              <w:left w:val="nil"/>
              <w:bottom w:val="single" w:sz="4" w:space="0" w:color="auto"/>
              <w:right w:val="nil"/>
            </w:tcBorders>
            <w:noWrap/>
            <w:vAlign w:val="bottom"/>
          </w:tcPr>
          <w:p w:rsidR="00565FD5" w:rsidRPr="00211563" w:rsidRDefault="00565FD5" w:rsidP="00AB62A3">
            <w:pPr>
              <w:jc w:val="right"/>
              <w:rPr>
                <w:rFonts w:cs="Tahoma"/>
                <w:sz w:val="15"/>
                <w:szCs w:val="15"/>
                <w:lang w:eastAsia="tr-TR"/>
              </w:rPr>
            </w:pPr>
            <w:r w:rsidRPr="00211563">
              <w:rPr>
                <w:rFonts w:cs="Tahoma"/>
                <w:sz w:val="15"/>
                <w:szCs w:val="15"/>
                <w:lang w:eastAsia="tr-TR"/>
              </w:rPr>
              <w:t>0,39</w:t>
            </w:r>
          </w:p>
        </w:tc>
        <w:tc>
          <w:tcPr>
            <w:tcW w:w="73" w:type="pct"/>
            <w:tcBorders>
              <w:top w:val="nil"/>
              <w:left w:val="nil"/>
              <w:bottom w:val="single" w:sz="4" w:space="0" w:color="auto"/>
              <w:right w:val="single" w:sz="4" w:space="0" w:color="auto"/>
            </w:tcBorders>
            <w:noWrap/>
            <w:vAlign w:val="bottom"/>
          </w:tcPr>
          <w:p w:rsidR="00565FD5" w:rsidRPr="00211563" w:rsidRDefault="00565FD5" w:rsidP="00AB62A3">
            <w:pPr>
              <w:rPr>
                <w:rFonts w:cs="Tahoma"/>
                <w:sz w:val="15"/>
                <w:szCs w:val="15"/>
                <w:lang w:eastAsia="tr-TR"/>
              </w:rPr>
            </w:pPr>
            <w:r w:rsidRPr="00211563">
              <w:rPr>
                <w:rFonts w:cs="Tahoma"/>
                <w:sz w:val="15"/>
                <w:szCs w:val="15"/>
                <w:lang w:eastAsia="tr-TR"/>
              </w:rPr>
              <w:t> </w:t>
            </w:r>
          </w:p>
        </w:tc>
      </w:tr>
    </w:tbl>
    <w:p w:rsidR="00565FD5" w:rsidRPr="00BF3740" w:rsidRDefault="00565FD5" w:rsidP="00565FD5">
      <w:pPr>
        <w:tabs>
          <w:tab w:val="left" w:pos="5828"/>
          <w:tab w:val="left" w:pos="6958"/>
          <w:tab w:val="left" w:pos="7312"/>
          <w:tab w:val="left" w:pos="8442"/>
          <w:tab w:val="left" w:pos="9572"/>
          <w:tab w:val="left" w:pos="10702"/>
          <w:tab w:val="left" w:pos="10912"/>
        </w:tabs>
        <w:rPr>
          <w:rFonts w:cs="Tahoma"/>
          <w:sz w:val="14"/>
          <w:szCs w:val="14"/>
          <w:lang w:eastAsia="tr-TR"/>
        </w:rPr>
      </w:pPr>
      <w:r w:rsidRPr="00BF3740">
        <w:rPr>
          <w:rFonts w:cs="Tahoma"/>
          <w:sz w:val="14"/>
        </w:rPr>
        <w:t>Kaynak: Kalkınma Bakanlığı</w:t>
      </w:r>
    </w:p>
    <w:p w:rsidR="00565FD5" w:rsidRPr="00BF3740" w:rsidRDefault="00565FD5" w:rsidP="00565FD5">
      <w:pPr>
        <w:tabs>
          <w:tab w:val="left" w:pos="5828"/>
          <w:tab w:val="left" w:pos="6958"/>
          <w:tab w:val="left" w:pos="7312"/>
          <w:tab w:val="left" w:pos="8442"/>
          <w:tab w:val="left" w:pos="9572"/>
          <w:tab w:val="left" w:pos="10702"/>
          <w:tab w:val="left" w:pos="10912"/>
        </w:tabs>
        <w:rPr>
          <w:rFonts w:cs="Tahoma"/>
          <w:sz w:val="14"/>
          <w:szCs w:val="14"/>
          <w:lang w:eastAsia="tr-TR"/>
        </w:rPr>
      </w:pPr>
      <w:r w:rsidRPr="00BF3740">
        <w:rPr>
          <w:rFonts w:cs="Tahoma"/>
          <w:sz w:val="14"/>
        </w:rPr>
        <w:t>(*) Eksi işareti finansman fazlasını göstermektedir.</w:t>
      </w:r>
    </w:p>
    <w:p w:rsidR="00565FD5" w:rsidRPr="00BF3740" w:rsidRDefault="00565FD5" w:rsidP="00565FD5">
      <w:pPr>
        <w:tabs>
          <w:tab w:val="left" w:pos="4698"/>
          <w:tab w:val="left" w:pos="5828"/>
          <w:tab w:val="left" w:pos="6958"/>
          <w:tab w:val="left" w:pos="7312"/>
          <w:tab w:val="left" w:pos="8442"/>
          <w:tab w:val="left" w:pos="9572"/>
          <w:tab w:val="left" w:pos="10702"/>
          <w:tab w:val="left" w:pos="10912"/>
        </w:tabs>
        <w:rPr>
          <w:rFonts w:cs="Tahoma"/>
          <w:sz w:val="14"/>
          <w:szCs w:val="14"/>
          <w:lang w:eastAsia="tr-TR"/>
        </w:rPr>
      </w:pPr>
      <w:r w:rsidRPr="00BF3740">
        <w:rPr>
          <w:rFonts w:cs="Tahoma"/>
          <w:sz w:val="14"/>
        </w:rPr>
        <w:t>(1) Gerçekleşme tahmini</w:t>
      </w:r>
    </w:p>
    <w:p w:rsidR="00565FD5" w:rsidRPr="00BF3740" w:rsidRDefault="00565FD5" w:rsidP="00565FD5">
      <w:pPr>
        <w:tabs>
          <w:tab w:val="left" w:pos="5828"/>
          <w:tab w:val="left" w:pos="6958"/>
          <w:tab w:val="left" w:pos="7312"/>
          <w:tab w:val="left" w:pos="8442"/>
          <w:tab w:val="left" w:pos="9572"/>
          <w:tab w:val="left" w:pos="10702"/>
          <w:tab w:val="left" w:pos="10912"/>
        </w:tabs>
        <w:rPr>
          <w:rFonts w:cs="Tahoma"/>
          <w:sz w:val="14"/>
          <w:szCs w:val="14"/>
          <w:lang w:eastAsia="tr-TR"/>
        </w:rPr>
      </w:pPr>
      <w:r w:rsidRPr="00BF3740">
        <w:rPr>
          <w:rFonts w:cs="Tahoma"/>
          <w:sz w:val="14"/>
        </w:rPr>
        <w:lastRenderedPageBreak/>
        <w:t>(2) Program</w:t>
      </w:r>
      <w:r w:rsidRPr="00BF3740">
        <w:rPr>
          <w:rFonts w:cs="Tahoma"/>
          <w:sz w:val="14"/>
          <w:szCs w:val="14"/>
          <w:lang w:eastAsia="tr-TR"/>
        </w:rPr>
        <w:tab/>
      </w:r>
    </w:p>
    <w:p w:rsidR="00565FD5" w:rsidRPr="00BF3740" w:rsidRDefault="00565FD5" w:rsidP="00565FD5">
      <w:pPr>
        <w:tabs>
          <w:tab w:val="left" w:pos="5828"/>
          <w:tab w:val="left" w:pos="6958"/>
          <w:tab w:val="left" w:pos="7312"/>
          <w:tab w:val="left" w:pos="8442"/>
          <w:tab w:val="left" w:pos="9572"/>
          <w:tab w:val="left" w:pos="10702"/>
          <w:tab w:val="left" w:pos="10912"/>
        </w:tabs>
        <w:rPr>
          <w:rFonts w:cs="Tahoma"/>
          <w:sz w:val="14"/>
          <w:szCs w:val="14"/>
          <w:lang w:eastAsia="tr-TR"/>
        </w:rPr>
      </w:pPr>
      <w:r w:rsidRPr="00BF3740">
        <w:rPr>
          <w:rFonts w:cs="Tahoma"/>
          <w:sz w:val="14"/>
        </w:rPr>
        <w:t>(3) Cari fiyatlarla, Milyon TL</w:t>
      </w:r>
      <w:r w:rsidRPr="00BF3740">
        <w:rPr>
          <w:rFonts w:cs="Tahoma"/>
          <w:sz w:val="14"/>
          <w:szCs w:val="14"/>
          <w:lang w:eastAsia="tr-TR"/>
        </w:rPr>
        <w:tab/>
      </w:r>
      <w:r w:rsidRPr="00BF3740">
        <w:rPr>
          <w:rFonts w:cs="Tahoma"/>
          <w:sz w:val="14"/>
          <w:szCs w:val="14"/>
          <w:lang w:eastAsia="tr-TR"/>
        </w:rPr>
        <w:tab/>
      </w:r>
      <w:r w:rsidRPr="00BF3740">
        <w:rPr>
          <w:rFonts w:cs="Tahoma"/>
          <w:sz w:val="14"/>
          <w:szCs w:val="14"/>
          <w:lang w:eastAsia="tr-TR"/>
        </w:rPr>
        <w:tab/>
      </w:r>
    </w:p>
    <w:p w:rsidR="00565FD5" w:rsidRPr="00BF3740" w:rsidRDefault="00565FD5" w:rsidP="00565FD5">
      <w:pPr>
        <w:tabs>
          <w:tab w:val="left" w:pos="5828"/>
          <w:tab w:val="left" w:pos="6958"/>
          <w:tab w:val="left" w:pos="7312"/>
          <w:tab w:val="left" w:pos="8442"/>
          <w:tab w:val="left" w:pos="9572"/>
          <w:tab w:val="left" w:pos="10702"/>
          <w:tab w:val="left" w:pos="10912"/>
        </w:tabs>
        <w:rPr>
          <w:rFonts w:cs="Tahoma"/>
          <w:sz w:val="14"/>
          <w:szCs w:val="14"/>
          <w:lang w:eastAsia="tr-TR"/>
        </w:rPr>
      </w:pPr>
      <w:r w:rsidRPr="00BF3740">
        <w:rPr>
          <w:rFonts w:cs="Tahoma"/>
          <w:sz w:val="14"/>
        </w:rPr>
        <w:t>(4) Bütçe ve Özelleştirme Fonu transferleri hariçtir.</w:t>
      </w:r>
    </w:p>
    <w:p w:rsidR="00565FD5" w:rsidRDefault="00565FD5" w:rsidP="00565FD5">
      <w:pPr>
        <w:rPr>
          <w:rFonts w:cs="Tahoma"/>
          <w:sz w:val="14"/>
        </w:rPr>
      </w:pPr>
      <w:r w:rsidRPr="00BF3740">
        <w:rPr>
          <w:rFonts w:cs="Tahoma"/>
          <w:sz w:val="14"/>
        </w:rPr>
        <w:t>(5) Faiz gelir ve gideri hariçtir.</w:t>
      </w:r>
    </w:p>
    <w:p w:rsidR="00565FD5" w:rsidRPr="00BF3740" w:rsidRDefault="00565FD5" w:rsidP="00565FD5">
      <w:pPr>
        <w:rPr>
          <w:rFonts w:cs="Tahoma"/>
          <w:szCs w:val="18"/>
          <w:lang w:eastAsia="tr-TR"/>
        </w:rPr>
        <w:sectPr w:rsidR="00565FD5" w:rsidRPr="00BF3740" w:rsidSect="00B50093">
          <w:pgSz w:w="16838" w:h="11906" w:orient="landscape"/>
          <w:pgMar w:top="2381" w:right="2948" w:bottom="2381" w:left="2948" w:header="709" w:footer="709" w:gutter="0"/>
          <w:cols w:space="708"/>
          <w:docGrid w:linePitch="360"/>
        </w:sectPr>
      </w:pPr>
    </w:p>
    <w:p w:rsidR="00565FD5" w:rsidRPr="00211563" w:rsidRDefault="00565FD5" w:rsidP="00565FD5">
      <w:pPr>
        <w:pStyle w:val="Balk4"/>
      </w:pPr>
      <w:bookmarkStart w:id="1154" w:name="_Toc338523773"/>
      <w:bookmarkStart w:id="1155" w:name="_Toc338524004"/>
      <w:bookmarkStart w:id="1156" w:name="_Toc338526230"/>
      <w:bookmarkStart w:id="1157" w:name="_Toc338673673"/>
      <w:bookmarkStart w:id="1158" w:name="_Toc338711552"/>
      <w:r w:rsidRPr="00211563">
        <w:lastRenderedPageBreak/>
        <w:t>2. 2013 Yılı Hedefleri</w:t>
      </w:r>
      <w:bookmarkEnd w:id="1154"/>
      <w:bookmarkEnd w:id="1155"/>
      <w:bookmarkEnd w:id="1156"/>
      <w:bookmarkEnd w:id="1157"/>
      <w:bookmarkEnd w:id="1158"/>
    </w:p>
    <w:p w:rsidR="00565FD5" w:rsidRPr="00211563" w:rsidRDefault="00565FD5" w:rsidP="00565FD5">
      <w:pPr>
        <w:spacing w:after="180"/>
        <w:ind w:firstLine="425"/>
        <w:rPr>
          <w:szCs w:val="18"/>
        </w:rPr>
      </w:pPr>
      <w:r w:rsidRPr="00211563">
        <w:rPr>
          <w:szCs w:val="18"/>
        </w:rPr>
        <w:t>2013 yılında özelleştirme kapsamında izlenen kuruluşlar dâhil KİT sisteminin finansman fazlasının GSYH’ya oranı yüzde 0,01 olarak programlanmıştır. Bu hedefe ulaşılabilmesi; Genel Yatırım ve Finansman Programında öngörülen fiyat politikalarının gerçekleştirilmesi, tarım KİT’lerinde alım miktar ve fiyatlarının öngörülenin üstünde stok artışına yol açmayacak şekilde tespit edilmesi, yatırım harcamalarının belirlenen seviyede kalması ve bütçeden yapılacak transferlerin gerçekleştirilmesiyle mümkün olabilecektir.</w:t>
      </w:r>
    </w:p>
    <w:p w:rsidR="00565FD5" w:rsidRPr="00211563" w:rsidRDefault="00565FD5" w:rsidP="00565FD5">
      <w:pPr>
        <w:spacing w:after="180"/>
        <w:ind w:firstLine="425"/>
        <w:rPr>
          <w:szCs w:val="18"/>
        </w:rPr>
      </w:pPr>
      <w:r w:rsidRPr="00211563">
        <w:rPr>
          <w:szCs w:val="18"/>
        </w:rPr>
        <w:t>2013 yılında Boğaziçi, Gediz, Trakya, İstanbul Anadolu Yakası, Toroslar, Akdeniz, Aras, Vangölü ve Dicle Elektrik Dağıtım Anonim Şirketleri ile Başkent Doğalgaz Dağıtım A.Ş.’nin özelleştirme işlemlerinin tamamlanması ve EÜAŞ’a ait üretim santrallerinden bir kısmının özelleştirme çalışmalarına başlanması öngörülmektedir.</w:t>
      </w:r>
    </w:p>
    <w:p w:rsidR="00565FD5" w:rsidRPr="00211563" w:rsidRDefault="00565FD5" w:rsidP="00565FD5">
      <w:pPr>
        <w:spacing w:after="180"/>
        <w:ind w:firstLine="425"/>
        <w:rPr>
          <w:szCs w:val="18"/>
        </w:rPr>
      </w:pPr>
      <w:r w:rsidRPr="00211563">
        <w:rPr>
          <w:szCs w:val="18"/>
        </w:rPr>
        <w:t>2013 yılında tarım KİT’leri tarafından 2.750 bin ton buğday, 9 milyon ton şeker pancarı ve 620 bin ton yaş çay yaprağı alınması programlanmıştır.</w:t>
      </w:r>
    </w:p>
    <w:p w:rsidR="00565FD5" w:rsidRPr="00727047" w:rsidRDefault="00565FD5" w:rsidP="00565FD5">
      <w:pPr>
        <w:pStyle w:val="Balk1"/>
        <w:jc w:val="center"/>
      </w:pPr>
      <w:bookmarkStart w:id="1159" w:name="_Toc307601966"/>
      <w:bookmarkStart w:id="1160" w:name="_Toc307670414"/>
      <w:bookmarkStart w:id="1161" w:name="_Toc307701640"/>
      <w:bookmarkStart w:id="1162" w:name="_Toc338494233"/>
      <w:bookmarkStart w:id="1163" w:name="_Toc338494378"/>
      <w:bookmarkStart w:id="1164" w:name="_Toc338505556"/>
      <w:bookmarkStart w:id="1165" w:name="_Toc338505741"/>
      <w:bookmarkStart w:id="1166" w:name="_Toc338505780"/>
      <w:bookmarkStart w:id="1167" w:name="_Toc338523774"/>
      <w:bookmarkStart w:id="1168" w:name="_Toc338524005"/>
      <w:bookmarkStart w:id="1169" w:name="_Toc338526231"/>
      <w:bookmarkStart w:id="1170" w:name="_Toc338673674"/>
      <w:bookmarkStart w:id="1171" w:name="_Toc338711553"/>
      <w:r w:rsidRPr="00727047">
        <w:t>DÖRDÜNCÜ BÖLÜM</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p>
    <w:p w:rsidR="00565FD5" w:rsidRPr="00727047" w:rsidRDefault="00565FD5" w:rsidP="00565FD5">
      <w:pPr>
        <w:pStyle w:val="Balk1"/>
        <w:jc w:val="center"/>
      </w:pPr>
      <w:bookmarkStart w:id="1172" w:name="_Toc276076260"/>
      <w:bookmarkStart w:id="1173" w:name="_Toc244339581"/>
      <w:bookmarkStart w:id="1174" w:name="_Toc244315118"/>
      <w:bookmarkStart w:id="1175" w:name="_Toc244313641"/>
      <w:bookmarkStart w:id="1176" w:name="_Toc244254905"/>
      <w:bookmarkStart w:id="1177" w:name="_Toc244253654"/>
      <w:bookmarkStart w:id="1178" w:name="_Toc307601967"/>
      <w:bookmarkStart w:id="1179" w:name="_Toc307670415"/>
      <w:bookmarkStart w:id="1180" w:name="_Toc307701641"/>
      <w:bookmarkStart w:id="1181" w:name="_Toc338494234"/>
      <w:bookmarkStart w:id="1182" w:name="_Toc338494379"/>
      <w:bookmarkStart w:id="1183" w:name="_Toc338505557"/>
      <w:bookmarkStart w:id="1184" w:name="_Toc338505742"/>
      <w:bookmarkStart w:id="1185" w:name="_Toc338505781"/>
      <w:bookmarkStart w:id="1186" w:name="_Toc338523775"/>
      <w:bookmarkStart w:id="1187" w:name="_Toc338524006"/>
      <w:bookmarkStart w:id="1188" w:name="_Toc338526232"/>
      <w:bookmarkStart w:id="1189" w:name="_Toc338673675"/>
      <w:bookmarkStart w:id="1190" w:name="_Toc338711554"/>
      <w:r w:rsidRPr="00727047">
        <w:t>GELİŞME EKSENLERİ</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p>
    <w:p w:rsidR="00565FD5" w:rsidRDefault="00565FD5" w:rsidP="00565FD5">
      <w:pPr>
        <w:pStyle w:val="Balk2"/>
      </w:pPr>
      <w:bookmarkStart w:id="1191" w:name="_Toc276076261"/>
      <w:bookmarkStart w:id="1192" w:name="_Toc244339582"/>
      <w:bookmarkStart w:id="1193" w:name="_Toc244315119"/>
      <w:bookmarkStart w:id="1194" w:name="_Toc244313642"/>
      <w:bookmarkStart w:id="1195" w:name="_Toc244254906"/>
      <w:bookmarkStart w:id="1196" w:name="_Toc244253655"/>
      <w:bookmarkStart w:id="1197" w:name="_Toc213065643"/>
      <w:bookmarkStart w:id="1198" w:name="_Toc307601968"/>
      <w:bookmarkStart w:id="1199" w:name="_Toc307670416"/>
      <w:bookmarkStart w:id="1200" w:name="_Toc307701642"/>
      <w:bookmarkStart w:id="1201" w:name="_Toc338523776"/>
      <w:bookmarkStart w:id="1202" w:name="_Toc338524007"/>
      <w:bookmarkStart w:id="1203" w:name="_Toc338526233"/>
      <w:bookmarkStart w:id="1204" w:name="_Toc338673676"/>
      <w:bookmarkStart w:id="1205" w:name="_Toc338711555"/>
      <w:r w:rsidRPr="009F27D0">
        <w:t>I. REKABET GÜCÜNÜN ARTIRILMASI</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rsidR="00565FD5" w:rsidRPr="00376AAD" w:rsidRDefault="00565FD5" w:rsidP="00565FD5">
      <w:pPr>
        <w:spacing w:after="180"/>
        <w:ind w:firstLine="425"/>
        <w:rPr>
          <w:szCs w:val="18"/>
        </w:rPr>
      </w:pPr>
      <w:r w:rsidRPr="00376AAD">
        <w:rPr>
          <w:szCs w:val="18"/>
        </w:rPr>
        <w:t>Küreselleşme ve hızlı teknolojik gelişme sürecinde uluslararası piyasalarda uzmanlaşma ve teknoloji geliştirme yetkinliği rekabet gücünün önemli unsurları olmuştur. Rekabet avantajı unsurlarının hızla değiştiği bu süreçte, bilgi ve iletişim teknolojileri iş yapma biçimlerinde köklü değişiklikler meydana getirmiştir. Ekonomik gelişmede bilgi yoğun ve yüksek katma değerli mal ve hizmet üretimi ön plana çıkmış, özellikle işgücünün eğitim seviyesi ve gerekli yeteneklere sahip olması önem kazanmıştır.</w:t>
      </w:r>
    </w:p>
    <w:p w:rsidR="00565FD5" w:rsidRPr="00727047" w:rsidRDefault="00565FD5" w:rsidP="00565FD5">
      <w:pPr>
        <w:pStyle w:val="ResimYazs"/>
        <w:tabs>
          <w:tab w:val="clear" w:pos="1170"/>
          <w:tab w:val="left" w:pos="1134"/>
        </w:tabs>
        <w:ind w:left="1134" w:hanging="1134"/>
      </w:pPr>
      <w:bookmarkStart w:id="1206" w:name="_Toc276076471"/>
      <w:bookmarkStart w:id="1207" w:name="_Toc275873929"/>
      <w:bookmarkStart w:id="1208" w:name="_Toc307601654"/>
      <w:bookmarkStart w:id="1209" w:name="_Toc307657877"/>
      <w:bookmarkStart w:id="1210" w:name="_Toc307702133"/>
      <w:bookmarkStart w:id="1211" w:name="_Toc338605996"/>
      <w:bookmarkStart w:id="1212" w:name="_Toc338711771"/>
      <w:r>
        <w:t xml:space="preserve">TABLO IV: </w:t>
      </w:r>
      <w:fldSimple w:instr=" SEQ TABLO_IV: \* ARABIC ">
        <w:r>
          <w:rPr>
            <w:noProof/>
          </w:rPr>
          <w:t>1</w:t>
        </w:r>
      </w:fldSimple>
      <w:r w:rsidRPr="00727047">
        <w:t>- Türkiye’nin Rekabet Gücü (Küresel Rekabet Endeksi ve Alt Bileşenleri İtibarıyla Ükeler Arası Sıralamadaki Yeri)</w:t>
      </w:r>
      <w:bookmarkEnd w:id="1206"/>
      <w:bookmarkEnd w:id="1207"/>
      <w:bookmarkEnd w:id="1208"/>
      <w:bookmarkEnd w:id="1209"/>
      <w:bookmarkEnd w:id="1210"/>
      <w:bookmarkEnd w:id="1211"/>
      <w:bookmarkEnd w:id="1212"/>
    </w:p>
    <w:tbl>
      <w:tblPr>
        <w:tblW w:w="71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24"/>
        <w:gridCol w:w="733"/>
        <w:gridCol w:w="734"/>
        <w:gridCol w:w="734"/>
        <w:gridCol w:w="732"/>
        <w:gridCol w:w="734"/>
        <w:gridCol w:w="734"/>
      </w:tblGrid>
      <w:tr w:rsidR="00565FD5" w:rsidRPr="00D75202" w:rsidTr="00AB62A3">
        <w:trPr>
          <w:trHeight w:val="284"/>
        </w:trPr>
        <w:tc>
          <w:tcPr>
            <w:tcW w:w="1911" w:type="pct"/>
            <w:tcBorders>
              <w:right w:val="nil"/>
            </w:tcBorders>
            <w:vAlign w:val="center"/>
          </w:tcPr>
          <w:p w:rsidR="00565FD5" w:rsidRPr="00D75202" w:rsidRDefault="00565FD5" w:rsidP="00AB62A3">
            <w:pPr>
              <w:tabs>
                <w:tab w:val="num" w:pos="360"/>
              </w:tabs>
              <w:jc w:val="right"/>
              <w:rPr>
                <w:rFonts w:cs="Tahoma"/>
                <w:b/>
                <w:sz w:val="16"/>
                <w:szCs w:val="16"/>
              </w:rPr>
            </w:pPr>
          </w:p>
        </w:tc>
        <w:tc>
          <w:tcPr>
            <w:tcW w:w="514" w:type="pct"/>
            <w:tcBorders>
              <w:left w:val="nil"/>
              <w:right w:val="nil"/>
            </w:tcBorders>
            <w:vAlign w:val="center"/>
          </w:tcPr>
          <w:p w:rsidR="00565FD5" w:rsidRPr="00D75202" w:rsidRDefault="00565FD5" w:rsidP="00AB62A3">
            <w:pPr>
              <w:tabs>
                <w:tab w:val="num" w:pos="360"/>
              </w:tabs>
              <w:jc w:val="right"/>
              <w:rPr>
                <w:rFonts w:cs="Tahoma"/>
                <w:b/>
                <w:sz w:val="16"/>
                <w:szCs w:val="16"/>
              </w:rPr>
            </w:pPr>
            <w:r w:rsidRPr="00D75202">
              <w:rPr>
                <w:rFonts w:cs="Tahoma"/>
                <w:b/>
                <w:sz w:val="16"/>
                <w:szCs w:val="16"/>
              </w:rPr>
              <w:t>2007</w:t>
            </w:r>
          </w:p>
        </w:tc>
        <w:tc>
          <w:tcPr>
            <w:tcW w:w="515" w:type="pct"/>
            <w:tcBorders>
              <w:left w:val="nil"/>
              <w:right w:val="nil"/>
            </w:tcBorders>
            <w:vAlign w:val="center"/>
          </w:tcPr>
          <w:p w:rsidR="00565FD5" w:rsidRPr="00D75202" w:rsidRDefault="00565FD5" w:rsidP="00AB62A3">
            <w:pPr>
              <w:tabs>
                <w:tab w:val="num" w:pos="360"/>
              </w:tabs>
              <w:jc w:val="right"/>
              <w:rPr>
                <w:rFonts w:cs="Tahoma"/>
                <w:b/>
                <w:sz w:val="16"/>
                <w:szCs w:val="16"/>
              </w:rPr>
            </w:pPr>
            <w:r w:rsidRPr="00D75202">
              <w:rPr>
                <w:rFonts w:cs="Tahoma"/>
                <w:b/>
                <w:sz w:val="16"/>
                <w:szCs w:val="16"/>
              </w:rPr>
              <w:t>2008</w:t>
            </w:r>
          </w:p>
        </w:tc>
        <w:tc>
          <w:tcPr>
            <w:tcW w:w="515" w:type="pct"/>
            <w:tcBorders>
              <w:left w:val="nil"/>
              <w:right w:val="nil"/>
            </w:tcBorders>
            <w:vAlign w:val="center"/>
          </w:tcPr>
          <w:p w:rsidR="00565FD5" w:rsidRPr="00D75202" w:rsidRDefault="00565FD5" w:rsidP="00AB62A3">
            <w:pPr>
              <w:tabs>
                <w:tab w:val="num" w:pos="360"/>
              </w:tabs>
              <w:jc w:val="right"/>
              <w:rPr>
                <w:rFonts w:cs="Tahoma"/>
                <w:b/>
                <w:sz w:val="16"/>
                <w:szCs w:val="16"/>
              </w:rPr>
            </w:pPr>
            <w:r w:rsidRPr="00D75202">
              <w:rPr>
                <w:rFonts w:cs="Tahoma"/>
                <w:b/>
                <w:sz w:val="16"/>
                <w:szCs w:val="16"/>
              </w:rPr>
              <w:t>2009</w:t>
            </w:r>
          </w:p>
        </w:tc>
        <w:tc>
          <w:tcPr>
            <w:tcW w:w="514" w:type="pct"/>
            <w:tcBorders>
              <w:left w:val="nil"/>
              <w:right w:val="nil"/>
            </w:tcBorders>
            <w:vAlign w:val="center"/>
          </w:tcPr>
          <w:p w:rsidR="00565FD5" w:rsidRPr="00D75202" w:rsidRDefault="00565FD5" w:rsidP="00AB62A3">
            <w:pPr>
              <w:tabs>
                <w:tab w:val="num" w:pos="360"/>
              </w:tabs>
              <w:jc w:val="right"/>
              <w:rPr>
                <w:rFonts w:cs="Tahoma"/>
                <w:b/>
                <w:sz w:val="16"/>
                <w:szCs w:val="16"/>
              </w:rPr>
            </w:pPr>
            <w:r w:rsidRPr="00D75202">
              <w:rPr>
                <w:rFonts w:cs="Tahoma"/>
                <w:b/>
                <w:sz w:val="16"/>
                <w:szCs w:val="16"/>
              </w:rPr>
              <w:t>2010</w:t>
            </w:r>
          </w:p>
        </w:tc>
        <w:tc>
          <w:tcPr>
            <w:tcW w:w="515" w:type="pct"/>
            <w:tcBorders>
              <w:left w:val="nil"/>
              <w:right w:val="nil"/>
            </w:tcBorders>
            <w:vAlign w:val="center"/>
          </w:tcPr>
          <w:p w:rsidR="00565FD5" w:rsidRPr="00D75202" w:rsidRDefault="00565FD5" w:rsidP="00AB62A3">
            <w:pPr>
              <w:tabs>
                <w:tab w:val="num" w:pos="360"/>
              </w:tabs>
              <w:jc w:val="right"/>
              <w:rPr>
                <w:rFonts w:cs="Tahoma"/>
                <w:b/>
                <w:sz w:val="16"/>
                <w:szCs w:val="16"/>
              </w:rPr>
            </w:pPr>
            <w:r w:rsidRPr="00D75202">
              <w:rPr>
                <w:rFonts w:cs="Tahoma"/>
                <w:b/>
                <w:sz w:val="16"/>
                <w:szCs w:val="16"/>
              </w:rPr>
              <w:t>2011</w:t>
            </w:r>
          </w:p>
        </w:tc>
        <w:tc>
          <w:tcPr>
            <w:tcW w:w="515" w:type="pct"/>
            <w:tcBorders>
              <w:left w:val="nil"/>
            </w:tcBorders>
            <w:vAlign w:val="center"/>
          </w:tcPr>
          <w:p w:rsidR="00565FD5" w:rsidRPr="00D75202" w:rsidRDefault="00565FD5" w:rsidP="00AB62A3">
            <w:pPr>
              <w:tabs>
                <w:tab w:val="num" w:pos="360"/>
              </w:tabs>
              <w:jc w:val="right"/>
              <w:rPr>
                <w:rFonts w:cs="Tahoma"/>
                <w:b/>
                <w:sz w:val="16"/>
                <w:szCs w:val="16"/>
              </w:rPr>
            </w:pPr>
            <w:r w:rsidRPr="00D75202">
              <w:rPr>
                <w:rFonts w:cs="Tahoma"/>
                <w:b/>
                <w:sz w:val="16"/>
                <w:szCs w:val="16"/>
              </w:rPr>
              <w:t>2012</w:t>
            </w:r>
          </w:p>
        </w:tc>
      </w:tr>
      <w:tr w:rsidR="00565FD5" w:rsidRPr="00D75202" w:rsidTr="00AB62A3">
        <w:trPr>
          <w:trHeight w:val="198"/>
        </w:trPr>
        <w:tc>
          <w:tcPr>
            <w:tcW w:w="1911" w:type="pct"/>
            <w:tcBorders>
              <w:bottom w:val="nil"/>
              <w:right w:val="nil"/>
            </w:tcBorders>
          </w:tcPr>
          <w:p w:rsidR="00565FD5" w:rsidRPr="00D75202" w:rsidRDefault="00565FD5" w:rsidP="00AB62A3">
            <w:pPr>
              <w:tabs>
                <w:tab w:val="num" w:pos="360"/>
              </w:tabs>
              <w:rPr>
                <w:rFonts w:cs="Tahoma"/>
                <w:b/>
                <w:sz w:val="16"/>
                <w:szCs w:val="16"/>
              </w:rPr>
            </w:pPr>
            <w:r w:rsidRPr="00D75202">
              <w:rPr>
                <w:rFonts w:cs="Tahoma"/>
                <w:b/>
                <w:sz w:val="16"/>
                <w:szCs w:val="16"/>
              </w:rPr>
              <w:t>Kapsanan Ülke Sayısı</w:t>
            </w:r>
          </w:p>
        </w:tc>
        <w:tc>
          <w:tcPr>
            <w:tcW w:w="514" w:type="pct"/>
            <w:tcBorders>
              <w:left w:val="nil"/>
              <w:bottom w:val="nil"/>
              <w:right w:val="nil"/>
            </w:tcBorders>
            <w:vAlign w:val="center"/>
          </w:tcPr>
          <w:p w:rsidR="00565FD5" w:rsidRPr="00D75202" w:rsidRDefault="00565FD5" w:rsidP="00AB62A3">
            <w:pPr>
              <w:jc w:val="right"/>
              <w:rPr>
                <w:rFonts w:cs="Tahoma"/>
                <w:b/>
                <w:sz w:val="16"/>
                <w:szCs w:val="16"/>
              </w:rPr>
            </w:pPr>
            <w:r w:rsidRPr="00D75202">
              <w:rPr>
                <w:rFonts w:cs="Tahoma"/>
                <w:b/>
                <w:sz w:val="16"/>
                <w:szCs w:val="16"/>
              </w:rPr>
              <w:t>131</w:t>
            </w:r>
          </w:p>
        </w:tc>
        <w:tc>
          <w:tcPr>
            <w:tcW w:w="515" w:type="pct"/>
            <w:tcBorders>
              <w:left w:val="nil"/>
              <w:bottom w:val="nil"/>
              <w:right w:val="nil"/>
            </w:tcBorders>
            <w:vAlign w:val="center"/>
          </w:tcPr>
          <w:p w:rsidR="00565FD5" w:rsidRPr="00D75202" w:rsidRDefault="00565FD5" w:rsidP="00AB62A3">
            <w:pPr>
              <w:jc w:val="right"/>
              <w:rPr>
                <w:rFonts w:cs="Tahoma"/>
                <w:b/>
                <w:sz w:val="16"/>
                <w:szCs w:val="16"/>
              </w:rPr>
            </w:pPr>
            <w:r w:rsidRPr="00D75202">
              <w:rPr>
                <w:rFonts w:cs="Tahoma"/>
                <w:b/>
                <w:sz w:val="16"/>
                <w:szCs w:val="16"/>
              </w:rPr>
              <w:t>134</w:t>
            </w:r>
          </w:p>
        </w:tc>
        <w:tc>
          <w:tcPr>
            <w:tcW w:w="515" w:type="pct"/>
            <w:tcBorders>
              <w:left w:val="nil"/>
              <w:bottom w:val="nil"/>
              <w:right w:val="nil"/>
            </w:tcBorders>
            <w:vAlign w:val="center"/>
          </w:tcPr>
          <w:p w:rsidR="00565FD5" w:rsidRPr="00D75202" w:rsidRDefault="00565FD5" w:rsidP="00AB62A3">
            <w:pPr>
              <w:jc w:val="right"/>
              <w:rPr>
                <w:rFonts w:cs="Tahoma"/>
                <w:b/>
                <w:sz w:val="16"/>
                <w:szCs w:val="16"/>
              </w:rPr>
            </w:pPr>
            <w:r w:rsidRPr="00D75202">
              <w:rPr>
                <w:rFonts w:cs="Tahoma"/>
                <w:b/>
                <w:sz w:val="16"/>
                <w:szCs w:val="16"/>
              </w:rPr>
              <w:t>133</w:t>
            </w:r>
          </w:p>
        </w:tc>
        <w:tc>
          <w:tcPr>
            <w:tcW w:w="514" w:type="pct"/>
            <w:tcBorders>
              <w:left w:val="nil"/>
              <w:bottom w:val="nil"/>
              <w:right w:val="nil"/>
            </w:tcBorders>
            <w:vAlign w:val="center"/>
          </w:tcPr>
          <w:p w:rsidR="00565FD5" w:rsidRPr="00D75202" w:rsidRDefault="00565FD5" w:rsidP="00AB62A3">
            <w:pPr>
              <w:jc w:val="right"/>
              <w:rPr>
                <w:rFonts w:cs="Tahoma"/>
                <w:b/>
                <w:sz w:val="16"/>
                <w:szCs w:val="16"/>
              </w:rPr>
            </w:pPr>
            <w:r w:rsidRPr="00D75202">
              <w:rPr>
                <w:rFonts w:cs="Tahoma"/>
                <w:b/>
                <w:sz w:val="16"/>
                <w:szCs w:val="16"/>
              </w:rPr>
              <w:t>139</w:t>
            </w:r>
          </w:p>
        </w:tc>
        <w:tc>
          <w:tcPr>
            <w:tcW w:w="515" w:type="pct"/>
            <w:tcBorders>
              <w:left w:val="nil"/>
              <w:bottom w:val="nil"/>
              <w:right w:val="nil"/>
            </w:tcBorders>
            <w:vAlign w:val="center"/>
          </w:tcPr>
          <w:p w:rsidR="00565FD5" w:rsidRPr="00D75202" w:rsidRDefault="00565FD5" w:rsidP="00AB62A3">
            <w:pPr>
              <w:jc w:val="right"/>
              <w:rPr>
                <w:rFonts w:cs="Tahoma"/>
                <w:b/>
                <w:sz w:val="16"/>
                <w:szCs w:val="16"/>
              </w:rPr>
            </w:pPr>
            <w:r w:rsidRPr="00D75202">
              <w:rPr>
                <w:rFonts w:cs="Tahoma"/>
                <w:b/>
                <w:sz w:val="16"/>
                <w:szCs w:val="16"/>
              </w:rPr>
              <w:t>142</w:t>
            </w:r>
          </w:p>
        </w:tc>
        <w:tc>
          <w:tcPr>
            <w:tcW w:w="515" w:type="pct"/>
            <w:tcBorders>
              <w:left w:val="nil"/>
              <w:bottom w:val="nil"/>
            </w:tcBorders>
            <w:vAlign w:val="center"/>
          </w:tcPr>
          <w:p w:rsidR="00565FD5" w:rsidRPr="00D75202" w:rsidRDefault="00565FD5" w:rsidP="00AB62A3">
            <w:pPr>
              <w:jc w:val="right"/>
              <w:rPr>
                <w:rFonts w:cs="Tahoma"/>
                <w:b/>
                <w:bCs/>
                <w:sz w:val="16"/>
                <w:szCs w:val="16"/>
              </w:rPr>
            </w:pPr>
            <w:r w:rsidRPr="00D75202">
              <w:rPr>
                <w:rFonts w:cs="Tahoma"/>
                <w:b/>
                <w:bCs/>
                <w:sz w:val="16"/>
                <w:szCs w:val="16"/>
              </w:rPr>
              <w:t>144</w:t>
            </w:r>
          </w:p>
        </w:tc>
      </w:tr>
      <w:tr w:rsidR="00565FD5" w:rsidRPr="00D75202" w:rsidTr="00AB62A3">
        <w:trPr>
          <w:trHeight w:val="198"/>
        </w:trPr>
        <w:tc>
          <w:tcPr>
            <w:tcW w:w="1911" w:type="pct"/>
            <w:tcBorders>
              <w:top w:val="nil"/>
              <w:bottom w:val="nil"/>
              <w:right w:val="nil"/>
            </w:tcBorders>
          </w:tcPr>
          <w:p w:rsidR="00565FD5" w:rsidRPr="00D75202" w:rsidRDefault="00565FD5" w:rsidP="00AB62A3">
            <w:pPr>
              <w:tabs>
                <w:tab w:val="num" w:pos="360"/>
              </w:tabs>
              <w:rPr>
                <w:rFonts w:cs="Tahoma"/>
                <w:b/>
                <w:sz w:val="16"/>
                <w:szCs w:val="16"/>
              </w:rPr>
            </w:pPr>
            <w:r w:rsidRPr="00D75202">
              <w:rPr>
                <w:rFonts w:cs="Tahoma"/>
                <w:b/>
                <w:sz w:val="16"/>
                <w:szCs w:val="16"/>
              </w:rPr>
              <w:t>Küresel Rekabet Endeksi</w:t>
            </w:r>
          </w:p>
        </w:tc>
        <w:tc>
          <w:tcPr>
            <w:tcW w:w="514" w:type="pct"/>
            <w:tcBorders>
              <w:top w:val="nil"/>
              <w:left w:val="nil"/>
              <w:bottom w:val="nil"/>
              <w:right w:val="nil"/>
            </w:tcBorders>
            <w:vAlign w:val="center"/>
          </w:tcPr>
          <w:p w:rsidR="00565FD5" w:rsidRPr="00D75202" w:rsidRDefault="00565FD5" w:rsidP="00AB62A3">
            <w:pPr>
              <w:jc w:val="right"/>
              <w:rPr>
                <w:rFonts w:cs="Tahoma"/>
                <w:b/>
                <w:sz w:val="16"/>
                <w:szCs w:val="16"/>
              </w:rPr>
            </w:pPr>
            <w:r w:rsidRPr="00D75202">
              <w:rPr>
                <w:rFonts w:cs="Tahoma"/>
                <w:b/>
                <w:sz w:val="16"/>
                <w:szCs w:val="16"/>
              </w:rPr>
              <w:t>53.</w:t>
            </w:r>
          </w:p>
        </w:tc>
        <w:tc>
          <w:tcPr>
            <w:tcW w:w="515" w:type="pct"/>
            <w:tcBorders>
              <w:top w:val="nil"/>
              <w:left w:val="nil"/>
              <w:bottom w:val="nil"/>
              <w:right w:val="nil"/>
            </w:tcBorders>
            <w:vAlign w:val="center"/>
          </w:tcPr>
          <w:p w:rsidR="00565FD5" w:rsidRPr="00D75202" w:rsidRDefault="00565FD5" w:rsidP="00AB62A3">
            <w:pPr>
              <w:jc w:val="right"/>
              <w:rPr>
                <w:rFonts w:cs="Tahoma"/>
                <w:b/>
                <w:sz w:val="16"/>
                <w:szCs w:val="16"/>
              </w:rPr>
            </w:pPr>
            <w:r w:rsidRPr="00D75202">
              <w:rPr>
                <w:rFonts w:cs="Tahoma"/>
                <w:b/>
                <w:sz w:val="16"/>
                <w:szCs w:val="16"/>
              </w:rPr>
              <w:t>63.</w:t>
            </w:r>
          </w:p>
        </w:tc>
        <w:tc>
          <w:tcPr>
            <w:tcW w:w="515" w:type="pct"/>
            <w:tcBorders>
              <w:top w:val="nil"/>
              <w:left w:val="nil"/>
              <w:bottom w:val="nil"/>
              <w:right w:val="nil"/>
            </w:tcBorders>
            <w:vAlign w:val="center"/>
          </w:tcPr>
          <w:p w:rsidR="00565FD5" w:rsidRPr="00D75202" w:rsidRDefault="00565FD5" w:rsidP="00AB62A3">
            <w:pPr>
              <w:jc w:val="right"/>
              <w:rPr>
                <w:rFonts w:cs="Tahoma"/>
                <w:b/>
                <w:sz w:val="16"/>
                <w:szCs w:val="16"/>
              </w:rPr>
            </w:pPr>
            <w:r w:rsidRPr="00D75202">
              <w:rPr>
                <w:rFonts w:cs="Tahoma"/>
                <w:b/>
                <w:sz w:val="16"/>
                <w:szCs w:val="16"/>
              </w:rPr>
              <w:t>61.</w:t>
            </w:r>
          </w:p>
        </w:tc>
        <w:tc>
          <w:tcPr>
            <w:tcW w:w="514" w:type="pct"/>
            <w:tcBorders>
              <w:top w:val="nil"/>
              <w:left w:val="nil"/>
              <w:bottom w:val="nil"/>
              <w:right w:val="nil"/>
            </w:tcBorders>
            <w:vAlign w:val="center"/>
          </w:tcPr>
          <w:p w:rsidR="00565FD5" w:rsidRPr="00D75202" w:rsidRDefault="00565FD5" w:rsidP="00AB62A3">
            <w:pPr>
              <w:jc w:val="right"/>
              <w:rPr>
                <w:rFonts w:cs="Tahoma"/>
                <w:b/>
                <w:sz w:val="16"/>
                <w:szCs w:val="16"/>
              </w:rPr>
            </w:pPr>
            <w:r w:rsidRPr="00D75202">
              <w:rPr>
                <w:rFonts w:cs="Tahoma"/>
                <w:b/>
                <w:sz w:val="16"/>
                <w:szCs w:val="16"/>
              </w:rPr>
              <w:t>61.</w:t>
            </w:r>
          </w:p>
        </w:tc>
        <w:tc>
          <w:tcPr>
            <w:tcW w:w="515" w:type="pct"/>
            <w:tcBorders>
              <w:top w:val="nil"/>
              <w:left w:val="nil"/>
              <w:bottom w:val="nil"/>
              <w:right w:val="nil"/>
            </w:tcBorders>
            <w:vAlign w:val="center"/>
          </w:tcPr>
          <w:p w:rsidR="00565FD5" w:rsidRPr="00D75202" w:rsidRDefault="00565FD5" w:rsidP="00AB62A3">
            <w:pPr>
              <w:jc w:val="right"/>
              <w:rPr>
                <w:rFonts w:cs="Tahoma"/>
                <w:b/>
                <w:sz w:val="16"/>
                <w:szCs w:val="16"/>
              </w:rPr>
            </w:pPr>
            <w:r w:rsidRPr="00D75202">
              <w:rPr>
                <w:rFonts w:cs="Tahoma"/>
                <w:b/>
                <w:sz w:val="16"/>
                <w:szCs w:val="16"/>
              </w:rPr>
              <w:t>59.</w:t>
            </w:r>
          </w:p>
        </w:tc>
        <w:tc>
          <w:tcPr>
            <w:tcW w:w="515" w:type="pct"/>
            <w:tcBorders>
              <w:top w:val="nil"/>
              <w:left w:val="nil"/>
              <w:bottom w:val="nil"/>
            </w:tcBorders>
            <w:vAlign w:val="center"/>
          </w:tcPr>
          <w:p w:rsidR="00565FD5" w:rsidRPr="00D75202" w:rsidRDefault="00565FD5" w:rsidP="00AB62A3">
            <w:pPr>
              <w:jc w:val="right"/>
              <w:rPr>
                <w:rFonts w:cs="Tahoma"/>
                <w:b/>
                <w:bCs/>
                <w:sz w:val="16"/>
                <w:szCs w:val="16"/>
              </w:rPr>
            </w:pPr>
            <w:r w:rsidRPr="00D75202">
              <w:rPr>
                <w:rFonts w:cs="Tahoma"/>
                <w:b/>
                <w:bCs/>
                <w:sz w:val="16"/>
                <w:szCs w:val="16"/>
              </w:rPr>
              <w:t>43.</w:t>
            </w:r>
          </w:p>
        </w:tc>
      </w:tr>
      <w:tr w:rsidR="00565FD5" w:rsidRPr="00D75202" w:rsidTr="00AB62A3">
        <w:trPr>
          <w:trHeight w:val="198"/>
        </w:trPr>
        <w:tc>
          <w:tcPr>
            <w:tcW w:w="1911" w:type="pct"/>
            <w:tcBorders>
              <w:top w:val="nil"/>
              <w:bottom w:val="nil"/>
              <w:right w:val="nil"/>
            </w:tcBorders>
          </w:tcPr>
          <w:p w:rsidR="00565FD5" w:rsidRPr="00D75202" w:rsidRDefault="00565FD5" w:rsidP="00AB62A3">
            <w:pPr>
              <w:tabs>
                <w:tab w:val="num" w:pos="318"/>
              </w:tabs>
              <w:rPr>
                <w:rFonts w:cs="Tahoma"/>
                <w:sz w:val="16"/>
                <w:szCs w:val="16"/>
              </w:rPr>
            </w:pPr>
            <w:r w:rsidRPr="00D75202">
              <w:rPr>
                <w:rFonts w:cs="Tahoma"/>
                <w:b/>
                <w:sz w:val="16"/>
                <w:szCs w:val="16"/>
              </w:rPr>
              <w:lastRenderedPageBreak/>
              <w:t>Temel Gerekler</w:t>
            </w:r>
          </w:p>
        </w:tc>
        <w:tc>
          <w:tcPr>
            <w:tcW w:w="514" w:type="pct"/>
            <w:tcBorders>
              <w:top w:val="nil"/>
              <w:left w:val="nil"/>
              <w:bottom w:val="nil"/>
              <w:right w:val="nil"/>
            </w:tcBorders>
            <w:vAlign w:val="center"/>
          </w:tcPr>
          <w:p w:rsidR="00565FD5" w:rsidRPr="00D75202" w:rsidRDefault="00565FD5" w:rsidP="00AB62A3">
            <w:pPr>
              <w:jc w:val="right"/>
              <w:rPr>
                <w:rFonts w:cs="Tahoma"/>
                <w:b/>
                <w:sz w:val="16"/>
                <w:szCs w:val="16"/>
              </w:rPr>
            </w:pPr>
            <w:r w:rsidRPr="00D75202">
              <w:rPr>
                <w:rFonts w:cs="Tahoma"/>
                <w:b/>
                <w:sz w:val="16"/>
                <w:szCs w:val="16"/>
              </w:rPr>
              <w:t>63.</w:t>
            </w:r>
          </w:p>
        </w:tc>
        <w:tc>
          <w:tcPr>
            <w:tcW w:w="515" w:type="pct"/>
            <w:tcBorders>
              <w:top w:val="nil"/>
              <w:left w:val="nil"/>
              <w:bottom w:val="nil"/>
              <w:right w:val="nil"/>
            </w:tcBorders>
            <w:vAlign w:val="center"/>
          </w:tcPr>
          <w:p w:rsidR="00565FD5" w:rsidRPr="00D75202" w:rsidRDefault="00565FD5" w:rsidP="00AB62A3">
            <w:pPr>
              <w:ind w:hanging="6"/>
              <w:jc w:val="right"/>
              <w:rPr>
                <w:rFonts w:cs="Tahoma"/>
                <w:b/>
                <w:sz w:val="16"/>
                <w:szCs w:val="16"/>
              </w:rPr>
            </w:pPr>
            <w:r w:rsidRPr="00D75202">
              <w:rPr>
                <w:rFonts w:cs="Tahoma"/>
                <w:b/>
                <w:sz w:val="16"/>
                <w:szCs w:val="16"/>
              </w:rPr>
              <w:t>72.</w:t>
            </w:r>
          </w:p>
        </w:tc>
        <w:tc>
          <w:tcPr>
            <w:tcW w:w="515" w:type="pct"/>
            <w:tcBorders>
              <w:top w:val="nil"/>
              <w:left w:val="nil"/>
              <w:bottom w:val="nil"/>
              <w:right w:val="nil"/>
            </w:tcBorders>
            <w:vAlign w:val="center"/>
          </w:tcPr>
          <w:p w:rsidR="00565FD5" w:rsidRPr="00D75202" w:rsidRDefault="00565FD5" w:rsidP="00AB62A3">
            <w:pPr>
              <w:ind w:hanging="6"/>
              <w:jc w:val="right"/>
              <w:rPr>
                <w:rFonts w:cs="Tahoma"/>
                <w:b/>
                <w:sz w:val="16"/>
                <w:szCs w:val="16"/>
              </w:rPr>
            </w:pPr>
            <w:r w:rsidRPr="00D75202">
              <w:rPr>
                <w:rFonts w:cs="Tahoma"/>
                <w:b/>
                <w:sz w:val="16"/>
                <w:szCs w:val="16"/>
              </w:rPr>
              <w:t>69.</w:t>
            </w:r>
          </w:p>
        </w:tc>
        <w:tc>
          <w:tcPr>
            <w:tcW w:w="514" w:type="pct"/>
            <w:tcBorders>
              <w:top w:val="nil"/>
              <w:left w:val="nil"/>
              <w:bottom w:val="nil"/>
              <w:right w:val="nil"/>
            </w:tcBorders>
            <w:vAlign w:val="center"/>
          </w:tcPr>
          <w:p w:rsidR="00565FD5" w:rsidRPr="00D75202" w:rsidRDefault="00565FD5" w:rsidP="00AB62A3">
            <w:pPr>
              <w:ind w:hanging="6"/>
              <w:jc w:val="right"/>
              <w:rPr>
                <w:rFonts w:cs="Tahoma"/>
                <w:b/>
                <w:sz w:val="16"/>
                <w:szCs w:val="16"/>
              </w:rPr>
            </w:pPr>
            <w:r w:rsidRPr="00D75202">
              <w:rPr>
                <w:rFonts w:cs="Tahoma"/>
                <w:b/>
                <w:sz w:val="16"/>
                <w:szCs w:val="16"/>
              </w:rPr>
              <w:t>68.</w:t>
            </w:r>
          </w:p>
        </w:tc>
        <w:tc>
          <w:tcPr>
            <w:tcW w:w="515" w:type="pct"/>
            <w:tcBorders>
              <w:top w:val="nil"/>
              <w:left w:val="nil"/>
              <w:bottom w:val="nil"/>
              <w:right w:val="nil"/>
            </w:tcBorders>
            <w:vAlign w:val="center"/>
          </w:tcPr>
          <w:p w:rsidR="00565FD5" w:rsidRPr="00D75202" w:rsidRDefault="00565FD5" w:rsidP="00AB62A3">
            <w:pPr>
              <w:ind w:hanging="6"/>
              <w:jc w:val="right"/>
              <w:rPr>
                <w:rFonts w:cs="Tahoma"/>
                <w:b/>
                <w:sz w:val="16"/>
                <w:szCs w:val="16"/>
              </w:rPr>
            </w:pPr>
            <w:r w:rsidRPr="00D75202">
              <w:rPr>
                <w:rFonts w:cs="Tahoma"/>
                <w:b/>
                <w:sz w:val="16"/>
                <w:szCs w:val="16"/>
              </w:rPr>
              <w:t>64.</w:t>
            </w:r>
          </w:p>
        </w:tc>
        <w:tc>
          <w:tcPr>
            <w:tcW w:w="515" w:type="pct"/>
            <w:tcBorders>
              <w:top w:val="nil"/>
              <w:left w:val="nil"/>
              <w:bottom w:val="nil"/>
            </w:tcBorders>
            <w:vAlign w:val="center"/>
          </w:tcPr>
          <w:p w:rsidR="00565FD5" w:rsidRPr="00D75202" w:rsidRDefault="00565FD5" w:rsidP="00AB62A3">
            <w:pPr>
              <w:jc w:val="right"/>
              <w:rPr>
                <w:rFonts w:cs="Tahoma"/>
                <w:b/>
                <w:bCs/>
                <w:sz w:val="16"/>
                <w:szCs w:val="16"/>
              </w:rPr>
            </w:pPr>
            <w:r w:rsidRPr="00D75202">
              <w:rPr>
                <w:rFonts w:cs="Tahoma"/>
                <w:b/>
                <w:bCs/>
                <w:sz w:val="16"/>
                <w:szCs w:val="16"/>
              </w:rPr>
              <w:t>57.</w:t>
            </w:r>
          </w:p>
        </w:tc>
      </w:tr>
      <w:tr w:rsidR="00565FD5" w:rsidRPr="00D75202" w:rsidTr="00AB62A3">
        <w:trPr>
          <w:trHeight w:val="198"/>
        </w:trPr>
        <w:tc>
          <w:tcPr>
            <w:tcW w:w="1911" w:type="pct"/>
            <w:tcBorders>
              <w:top w:val="nil"/>
              <w:bottom w:val="nil"/>
              <w:right w:val="nil"/>
            </w:tcBorders>
          </w:tcPr>
          <w:p w:rsidR="00565FD5" w:rsidRPr="00D75202" w:rsidRDefault="00565FD5" w:rsidP="00AB62A3">
            <w:pPr>
              <w:tabs>
                <w:tab w:val="num" w:pos="360"/>
              </w:tabs>
              <w:rPr>
                <w:rFonts w:cs="Tahoma"/>
                <w:sz w:val="16"/>
                <w:szCs w:val="16"/>
              </w:rPr>
            </w:pPr>
            <w:r w:rsidRPr="00D75202">
              <w:rPr>
                <w:rFonts w:cs="Tahoma"/>
                <w:sz w:val="16"/>
                <w:szCs w:val="16"/>
              </w:rPr>
              <w:t>Kurumlar</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55.</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80.</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96.</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88.</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80.</w:t>
            </w:r>
          </w:p>
        </w:tc>
        <w:tc>
          <w:tcPr>
            <w:tcW w:w="515" w:type="pct"/>
            <w:tcBorders>
              <w:top w:val="nil"/>
              <w:left w:val="nil"/>
              <w:bottom w:val="nil"/>
            </w:tcBorders>
          </w:tcPr>
          <w:p w:rsidR="00565FD5" w:rsidRPr="00D75202" w:rsidRDefault="00565FD5" w:rsidP="00AB62A3">
            <w:pPr>
              <w:tabs>
                <w:tab w:val="num" w:pos="360"/>
              </w:tabs>
              <w:jc w:val="right"/>
              <w:rPr>
                <w:rFonts w:cs="Tahoma"/>
                <w:sz w:val="16"/>
                <w:szCs w:val="16"/>
              </w:rPr>
            </w:pPr>
            <w:r w:rsidRPr="00D75202">
              <w:rPr>
                <w:rFonts w:cs="Tahoma"/>
                <w:sz w:val="16"/>
                <w:szCs w:val="16"/>
              </w:rPr>
              <w:t>64.</w:t>
            </w:r>
          </w:p>
        </w:tc>
      </w:tr>
      <w:tr w:rsidR="00565FD5" w:rsidRPr="00D75202" w:rsidTr="00AB62A3">
        <w:trPr>
          <w:trHeight w:val="198"/>
        </w:trPr>
        <w:tc>
          <w:tcPr>
            <w:tcW w:w="1911" w:type="pct"/>
            <w:tcBorders>
              <w:top w:val="nil"/>
              <w:bottom w:val="nil"/>
              <w:right w:val="nil"/>
            </w:tcBorders>
          </w:tcPr>
          <w:p w:rsidR="00565FD5" w:rsidRPr="00D75202" w:rsidRDefault="00565FD5" w:rsidP="00AB62A3">
            <w:pPr>
              <w:tabs>
                <w:tab w:val="num" w:pos="360"/>
              </w:tabs>
              <w:rPr>
                <w:rFonts w:cs="Tahoma"/>
                <w:sz w:val="16"/>
                <w:szCs w:val="16"/>
              </w:rPr>
            </w:pPr>
            <w:r w:rsidRPr="00D75202">
              <w:rPr>
                <w:rFonts w:cs="Tahoma"/>
                <w:sz w:val="16"/>
                <w:szCs w:val="16"/>
              </w:rPr>
              <w:t>Altyapı</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59.</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66.</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62.</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56.</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51.</w:t>
            </w:r>
          </w:p>
        </w:tc>
        <w:tc>
          <w:tcPr>
            <w:tcW w:w="515" w:type="pct"/>
            <w:tcBorders>
              <w:top w:val="nil"/>
              <w:left w:val="nil"/>
              <w:bottom w:val="nil"/>
            </w:tcBorders>
          </w:tcPr>
          <w:p w:rsidR="00565FD5" w:rsidRPr="00D75202" w:rsidRDefault="00565FD5" w:rsidP="00AB62A3">
            <w:pPr>
              <w:tabs>
                <w:tab w:val="num" w:pos="360"/>
              </w:tabs>
              <w:jc w:val="right"/>
              <w:rPr>
                <w:rFonts w:cs="Tahoma"/>
                <w:sz w:val="16"/>
                <w:szCs w:val="16"/>
              </w:rPr>
            </w:pPr>
            <w:r w:rsidRPr="00D75202">
              <w:rPr>
                <w:rFonts w:cs="Tahoma"/>
                <w:sz w:val="16"/>
                <w:szCs w:val="16"/>
              </w:rPr>
              <w:t>51.</w:t>
            </w:r>
          </w:p>
        </w:tc>
      </w:tr>
      <w:tr w:rsidR="00565FD5" w:rsidRPr="00D75202" w:rsidTr="00AB62A3">
        <w:trPr>
          <w:trHeight w:val="198"/>
        </w:trPr>
        <w:tc>
          <w:tcPr>
            <w:tcW w:w="1911" w:type="pct"/>
            <w:tcBorders>
              <w:top w:val="nil"/>
              <w:bottom w:val="nil"/>
              <w:right w:val="nil"/>
            </w:tcBorders>
          </w:tcPr>
          <w:p w:rsidR="00565FD5" w:rsidRPr="00D75202" w:rsidRDefault="00565FD5" w:rsidP="00AB62A3">
            <w:pPr>
              <w:tabs>
                <w:tab w:val="num" w:pos="360"/>
              </w:tabs>
              <w:rPr>
                <w:rFonts w:cs="Tahoma"/>
                <w:sz w:val="16"/>
                <w:szCs w:val="16"/>
              </w:rPr>
            </w:pPr>
            <w:r w:rsidRPr="00D75202">
              <w:rPr>
                <w:rFonts w:cs="Tahoma"/>
                <w:sz w:val="16"/>
                <w:szCs w:val="16"/>
              </w:rPr>
              <w:t>Makroekonomik İstikrar</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83.</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79.</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64.</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83.</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69.</w:t>
            </w:r>
          </w:p>
        </w:tc>
        <w:tc>
          <w:tcPr>
            <w:tcW w:w="515" w:type="pct"/>
            <w:tcBorders>
              <w:top w:val="nil"/>
              <w:left w:val="nil"/>
              <w:bottom w:val="nil"/>
            </w:tcBorders>
          </w:tcPr>
          <w:p w:rsidR="00565FD5" w:rsidRPr="00D75202" w:rsidRDefault="00565FD5" w:rsidP="00AB62A3">
            <w:pPr>
              <w:tabs>
                <w:tab w:val="num" w:pos="360"/>
              </w:tabs>
              <w:jc w:val="right"/>
              <w:rPr>
                <w:rFonts w:cs="Tahoma"/>
                <w:sz w:val="16"/>
                <w:szCs w:val="16"/>
              </w:rPr>
            </w:pPr>
            <w:r w:rsidRPr="00D75202">
              <w:rPr>
                <w:rFonts w:cs="Tahoma"/>
                <w:sz w:val="16"/>
                <w:szCs w:val="16"/>
              </w:rPr>
              <w:t>55.</w:t>
            </w:r>
          </w:p>
        </w:tc>
      </w:tr>
      <w:tr w:rsidR="00565FD5" w:rsidRPr="00D75202" w:rsidTr="00AB62A3">
        <w:trPr>
          <w:trHeight w:val="198"/>
        </w:trPr>
        <w:tc>
          <w:tcPr>
            <w:tcW w:w="1911" w:type="pct"/>
            <w:tcBorders>
              <w:top w:val="nil"/>
              <w:bottom w:val="nil"/>
              <w:right w:val="nil"/>
            </w:tcBorders>
          </w:tcPr>
          <w:p w:rsidR="00565FD5" w:rsidRPr="00D75202" w:rsidRDefault="00565FD5" w:rsidP="00AB62A3">
            <w:pPr>
              <w:tabs>
                <w:tab w:val="num" w:pos="360"/>
              </w:tabs>
              <w:rPr>
                <w:rFonts w:cs="Tahoma"/>
                <w:sz w:val="16"/>
                <w:szCs w:val="16"/>
              </w:rPr>
            </w:pPr>
            <w:r w:rsidRPr="00D75202">
              <w:rPr>
                <w:rFonts w:cs="Tahoma"/>
                <w:sz w:val="16"/>
                <w:szCs w:val="16"/>
              </w:rPr>
              <w:t>Sağlık ve Temel Eğitim</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77.</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78.</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74.</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72.</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75.</w:t>
            </w:r>
          </w:p>
        </w:tc>
        <w:tc>
          <w:tcPr>
            <w:tcW w:w="515" w:type="pct"/>
            <w:tcBorders>
              <w:top w:val="nil"/>
              <w:left w:val="nil"/>
              <w:bottom w:val="nil"/>
            </w:tcBorders>
          </w:tcPr>
          <w:p w:rsidR="00565FD5" w:rsidRPr="00D75202" w:rsidRDefault="00565FD5" w:rsidP="00AB62A3">
            <w:pPr>
              <w:tabs>
                <w:tab w:val="num" w:pos="360"/>
              </w:tabs>
              <w:jc w:val="right"/>
              <w:rPr>
                <w:rFonts w:cs="Tahoma"/>
                <w:sz w:val="16"/>
                <w:szCs w:val="16"/>
              </w:rPr>
            </w:pPr>
            <w:r w:rsidRPr="00D75202">
              <w:rPr>
                <w:rFonts w:cs="Tahoma"/>
                <w:sz w:val="16"/>
                <w:szCs w:val="16"/>
              </w:rPr>
              <w:t>63.</w:t>
            </w:r>
          </w:p>
        </w:tc>
      </w:tr>
      <w:tr w:rsidR="00565FD5" w:rsidRPr="00D75202" w:rsidTr="00AB62A3">
        <w:trPr>
          <w:trHeight w:val="198"/>
        </w:trPr>
        <w:tc>
          <w:tcPr>
            <w:tcW w:w="1911" w:type="pct"/>
            <w:tcBorders>
              <w:top w:val="nil"/>
              <w:bottom w:val="nil"/>
              <w:right w:val="nil"/>
            </w:tcBorders>
          </w:tcPr>
          <w:p w:rsidR="00565FD5" w:rsidRPr="00D75202" w:rsidRDefault="00565FD5" w:rsidP="00AB62A3">
            <w:pPr>
              <w:tabs>
                <w:tab w:val="num" w:pos="360"/>
              </w:tabs>
              <w:rPr>
                <w:rFonts w:cs="Tahoma"/>
                <w:sz w:val="16"/>
                <w:szCs w:val="16"/>
              </w:rPr>
            </w:pPr>
            <w:r w:rsidRPr="00D75202">
              <w:rPr>
                <w:rFonts w:cs="Tahoma"/>
                <w:b/>
                <w:sz w:val="16"/>
                <w:szCs w:val="16"/>
              </w:rPr>
              <w:t>Etkinlik Geliştiriciler</w:t>
            </w:r>
          </w:p>
        </w:tc>
        <w:tc>
          <w:tcPr>
            <w:tcW w:w="514" w:type="pct"/>
            <w:tcBorders>
              <w:top w:val="nil"/>
              <w:left w:val="nil"/>
              <w:bottom w:val="nil"/>
              <w:right w:val="nil"/>
            </w:tcBorders>
            <w:vAlign w:val="center"/>
          </w:tcPr>
          <w:p w:rsidR="00565FD5" w:rsidRPr="00D75202" w:rsidRDefault="00565FD5" w:rsidP="00AB62A3">
            <w:pPr>
              <w:jc w:val="right"/>
              <w:rPr>
                <w:rFonts w:cs="Tahoma"/>
                <w:b/>
                <w:sz w:val="16"/>
                <w:szCs w:val="16"/>
              </w:rPr>
            </w:pPr>
            <w:r w:rsidRPr="00D75202">
              <w:rPr>
                <w:rFonts w:cs="Tahoma"/>
                <w:b/>
                <w:sz w:val="16"/>
                <w:szCs w:val="16"/>
              </w:rPr>
              <w:t>51.</w:t>
            </w:r>
          </w:p>
        </w:tc>
        <w:tc>
          <w:tcPr>
            <w:tcW w:w="515" w:type="pct"/>
            <w:tcBorders>
              <w:top w:val="nil"/>
              <w:left w:val="nil"/>
              <w:bottom w:val="nil"/>
              <w:right w:val="nil"/>
            </w:tcBorders>
            <w:vAlign w:val="center"/>
          </w:tcPr>
          <w:p w:rsidR="00565FD5" w:rsidRPr="00D75202" w:rsidRDefault="00565FD5" w:rsidP="00AB62A3">
            <w:pPr>
              <w:jc w:val="right"/>
              <w:rPr>
                <w:rFonts w:cs="Tahoma"/>
                <w:b/>
                <w:sz w:val="16"/>
                <w:szCs w:val="16"/>
              </w:rPr>
            </w:pPr>
            <w:r w:rsidRPr="00D75202">
              <w:rPr>
                <w:rFonts w:cs="Tahoma"/>
                <w:b/>
                <w:sz w:val="16"/>
                <w:szCs w:val="16"/>
              </w:rPr>
              <w:t>59.</w:t>
            </w:r>
          </w:p>
        </w:tc>
        <w:tc>
          <w:tcPr>
            <w:tcW w:w="515" w:type="pct"/>
            <w:tcBorders>
              <w:top w:val="nil"/>
              <w:left w:val="nil"/>
              <w:bottom w:val="nil"/>
              <w:right w:val="nil"/>
            </w:tcBorders>
            <w:vAlign w:val="center"/>
          </w:tcPr>
          <w:p w:rsidR="00565FD5" w:rsidRPr="00D75202" w:rsidRDefault="00565FD5" w:rsidP="00AB62A3">
            <w:pPr>
              <w:jc w:val="right"/>
              <w:rPr>
                <w:rFonts w:cs="Tahoma"/>
                <w:b/>
                <w:sz w:val="16"/>
                <w:szCs w:val="16"/>
              </w:rPr>
            </w:pPr>
            <w:r w:rsidRPr="00D75202">
              <w:rPr>
                <w:rFonts w:cs="Tahoma"/>
                <w:b/>
                <w:sz w:val="16"/>
                <w:szCs w:val="16"/>
              </w:rPr>
              <w:t>54.</w:t>
            </w:r>
          </w:p>
        </w:tc>
        <w:tc>
          <w:tcPr>
            <w:tcW w:w="514" w:type="pct"/>
            <w:tcBorders>
              <w:top w:val="nil"/>
              <w:left w:val="nil"/>
              <w:bottom w:val="nil"/>
              <w:right w:val="nil"/>
            </w:tcBorders>
            <w:vAlign w:val="center"/>
          </w:tcPr>
          <w:p w:rsidR="00565FD5" w:rsidRPr="00D75202" w:rsidRDefault="00565FD5" w:rsidP="00AB62A3">
            <w:pPr>
              <w:jc w:val="right"/>
              <w:rPr>
                <w:rFonts w:cs="Tahoma"/>
                <w:b/>
                <w:sz w:val="16"/>
                <w:szCs w:val="16"/>
              </w:rPr>
            </w:pPr>
            <w:r w:rsidRPr="00D75202">
              <w:rPr>
                <w:rFonts w:cs="Tahoma"/>
                <w:b/>
                <w:sz w:val="16"/>
                <w:szCs w:val="16"/>
              </w:rPr>
              <w:t>55.</w:t>
            </w:r>
          </w:p>
        </w:tc>
        <w:tc>
          <w:tcPr>
            <w:tcW w:w="515" w:type="pct"/>
            <w:tcBorders>
              <w:top w:val="nil"/>
              <w:left w:val="nil"/>
              <w:bottom w:val="nil"/>
              <w:right w:val="nil"/>
            </w:tcBorders>
            <w:vAlign w:val="center"/>
          </w:tcPr>
          <w:p w:rsidR="00565FD5" w:rsidRPr="00D75202" w:rsidRDefault="00565FD5" w:rsidP="00AB62A3">
            <w:pPr>
              <w:jc w:val="right"/>
              <w:rPr>
                <w:rFonts w:cs="Tahoma"/>
                <w:b/>
                <w:sz w:val="16"/>
                <w:szCs w:val="16"/>
              </w:rPr>
            </w:pPr>
            <w:r w:rsidRPr="00D75202">
              <w:rPr>
                <w:rFonts w:cs="Tahoma"/>
                <w:b/>
                <w:sz w:val="16"/>
                <w:szCs w:val="16"/>
              </w:rPr>
              <w:t>52.</w:t>
            </w:r>
          </w:p>
        </w:tc>
        <w:tc>
          <w:tcPr>
            <w:tcW w:w="515" w:type="pct"/>
            <w:tcBorders>
              <w:top w:val="nil"/>
              <w:left w:val="nil"/>
              <w:bottom w:val="nil"/>
            </w:tcBorders>
            <w:vAlign w:val="center"/>
          </w:tcPr>
          <w:p w:rsidR="00565FD5" w:rsidRPr="00D75202" w:rsidRDefault="00565FD5" w:rsidP="00AB62A3">
            <w:pPr>
              <w:jc w:val="right"/>
              <w:rPr>
                <w:rFonts w:cs="Tahoma"/>
                <w:b/>
                <w:bCs/>
                <w:sz w:val="16"/>
                <w:szCs w:val="16"/>
              </w:rPr>
            </w:pPr>
            <w:r w:rsidRPr="00D75202">
              <w:rPr>
                <w:rFonts w:cs="Tahoma"/>
                <w:b/>
                <w:bCs/>
                <w:sz w:val="16"/>
                <w:szCs w:val="16"/>
              </w:rPr>
              <w:t>42.</w:t>
            </w:r>
          </w:p>
        </w:tc>
      </w:tr>
      <w:tr w:rsidR="00565FD5" w:rsidRPr="00D75202" w:rsidTr="00AB62A3">
        <w:trPr>
          <w:trHeight w:val="198"/>
        </w:trPr>
        <w:tc>
          <w:tcPr>
            <w:tcW w:w="1911" w:type="pct"/>
            <w:tcBorders>
              <w:top w:val="nil"/>
              <w:bottom w:val="nil"/>
              <w:right w:val="nil"/>
            </w:tcBorders>
          </w:tcPr>
          <w:p w:rsidR="00565FD5" w:rsidRPr="00D75202" w:rsidRDefault="00565FD5" w:rsidP="00AB62A3">
            <w:pPr>
              <w:tabs>
                <w:tab w:val="num" w:pos="360"/>
              </w:tabs>
              <w:rPr>
                <w:rFonts w:cs="Tahoma"/>
                <w:sz w:val="16"/>
                <w:szCs w:val="16"/>
              </w:rPr>
            </w:pPr>
            <w:r w:rsidRPr="00D75202">
              <w:rPr>
                <w:rFonts w:cs="Tahoma"/>
                <w:sz w:val="16"/>
                <w:szCs w:val="16"/>
              </w:rPr>
              <w:t>Yüksek Öğretim ve Mesleki Eğitim</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60.</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72.</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73.</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71.</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74.</w:t>
            </w:r>
          </w:p>
        </w:tc>
        <w:tc>
          <w:tcPr>
            <w:tcW w:w="515" w:type="pct"/>
            <w:tcBorders>
              <w:top w:val="nil"/>
              <w:left w:val="nil"/>
              <w:bottom w:val="nil"/>
            </w:tcBorders>
          </w:tcPr>
          <w:p w:rsidR="00565FD5" w:rsidRPr="00D75202" w:rsidRDefault="00565FD5" w:rsidP="00AB62A3">
            <w:pPr>
              <w:tabs>
                <w:tab w:val="num" w:pos="360"/>
              </w:tabs>
              <w:jc w:val="right"/>
              <w:rPr>
                <w:rFonts w:cs="Tahoma"/>
                <w:sz w:val="16"/>
                <w:szCs w:val="16"/>
              </w:rPr>
            </w:pPr>
            <w:r w:rsidRPr="00D75202">
              <w:rPr>
                <w:rFonts w:cs="Tahoma"/>
                <w:sz w:val="16"/>
                <w:szCs w:val="16"/>
              </w:rPr>
              <w:t>74.</w:t>
            </w:r>
          </w:p>
        </w:tc>
      </w:tr>
      <w:tr w:rsidR="00565FD5" w:rsidRPr="00D75202" w:rsidTr="00AB62A3">
        <w:trPr>
          <w:trHeight w:val="198"/>
        </w:trPr>
        <w:tc>
          <w:tcPr>
            <w:tcW w:w="1911" w:type="pct"/>
            <w:tcBorders>
              <w:top w:val="nil"/>
              <w:bottom w:val="nil"/>
              <w:right w:val="nil"/>
            </w:tcBorders>
          </w:tcPr>
          <w:p w:rsidR="00565FD5" w:rsidRPr="00D75202" w:rsidRDefault="00565FD5" w:rsidP="00AB62A3">
            <w:pPr>
              <w:tabs>
                <w:tab w:val="num" w:pos="360"/>
              </w:tabs>
              <w:rPr>
                <w:rFonts w:cs="Tahoma"/>
                <w:sz w:val="16"/>
                <w:szCs w:val="16"/>
              </w:rPr>
            </w:pPr>
            <w:r w:rsidRPr="00D75202">
              <w:rPr>
                <w:rFonts w:cs="Tahoma"/>
                <w:sz w:val="16"/>
                <w:szCs w:val="16"/>
              </w:rPr>
              <w:t>Mal Piyasaları Etkinliği</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43.</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55.</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56.</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59.</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47.</w:t>
            </w:r>
          </w:p>
        </w:tc>
        <w:tc>
          <w:tcPr>
            <w:tcW w:w="515" w:type="pct"/>
            <w:tcBorders>
              <w:top w:val="nil"/>
              <w:left w:val="nil"/>
              <w:bottom w:val="nil"/>
            </w:tcBorders>
          </w:tcPr>
          <w:p w:rsidR="00565FD5" w:rsidRPr="00D75202" w:rsidRDefault="00565FD5" w:rsidP="00AB62A3">
            <w:pPr>
              <w:tabs>
                <w:tab w:val="num" w:pos="360"/>
              </w:tabs>
              <w:jc w:val="right"/>
              <w:rPr>
                <w:rFonts w:cs="Tahoma"/>
                <w:sz w:val="16"/>
                <w:szCs w:val="16"/>
              </w:rPr>
            </w:pPr>
            <w:r w:rsidRPr="00D75202">
              <w:rPr>
                <w:rFonts w:cs="Tahoma"/>
                <w:sz w:val="16"/>
                <w:szCs w:val="16"/>
              </w:rPr>
              <w:t>38.</w:t>
            </w:r>
          </w:p>
        </w:tc>
      </w:tr>
      <w:tr w:rsidR="00565FD5" w:rsidRPr="00D75202" w:rsidTr="00AB62A3">
        <w:trPr>
          <w:trHeight w:val="198"/>
        </w:trPr>
        <w:tc>
          <w:tcPr>
            <w:tcW w:w="1911" w:type="pct"/>
            <w:tcBorders>
              <w:top w:val="nil"/>
              <w:bottom w:val="nil"/>
              <w:right w:val="nil"/>
            </w:tcBorders>
          </w:tcPr>
          <w:p w:rsidR="00565FD5" w:rsidRPr="00D75202" w:rsidRDefault="00565FD5" w:rsidP="00AB62A3">
            <w:pPr>
              <w:tabs>
                <w:tab w:val="num" w:pos="360"/>
              </w:tabs>
              <w:rPr>
                <w:rFonts w:cs="Tahoma"/>
                <w:sz w:val="16"/>
                <w:szCs w:val="16"/>
              </w:rPr>
            </w:pPr>
            <w:r w:rsidRPr="00D75202">
              <w:rPr>
                <w:rFonts w:cs="Tahoma"/>
                <w:sz w:val="16"/>
                <w:szCs w:val="16"/>
              </w:rPr>
              <w:t>İşgücü Piyasası Etkinliği</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126.</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125.</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120.</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127.</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133.</w:t>
            </w:r>
          </w:p>
        </w:tc>
        <w:tc>
          <w:tcPr>
            <w:tcW w:w="515" w:type="pct"/>
            <w:tcBorders>
              <w:top w:val="nil"/>
              <w:left w:val="nil"/>
              <w:bottom w:val="nil"/>
            </w:tcBorders>
          </w:tcPr>
          <w:p w:rsidR="00565FD5" w:rsidRPr="00D75202" w:rsidRDefault="00565FD5" w:rsidP="00AB62A3">
            <w:pPr>
              <w:tabs>
                <w:tab w:val="num" w:pos="360"/>
              </w:tabs>
              <w:jc w:val="right"/>
              <w:rPr>
                <w:rFonts w:cs="Tahoma"/>
                <w:sz w:val="16"/>
                <w:szCs w:val="16"/>
              </w:rPr>
            </w:pPr>
            <w:r w:rsidRPr="00D75202">
              <w:rPr>
                <w:rFonts w:cs="Tahoma"/>
                <w:sz w:val="16"/>
                <w:szCs w:val="16"/>
              </w:rPr>
              <w:t>124.</w:t>
            </w:r>
          </w:p>
        </w:tc>
      </w:tr>
      <w:tr w:rsidR="00565FD5" w:rsidRPr="00D75202" w:rsidTr="00AB62A3">
        <w:trPr>
          <w:trHeight w:val="198"/>
        </w:trPr>
        <w:tc>
          <w:tcPr>
            <w:tcW w:w="1911" w:type="pct"/>
            <w:tcBorders>
              <w:top w:val="nil"/>
              <w:bottom w:val="nil"/>
              <w:right w:val="nil"/>
            </w:tcBorders>
          </w:tcPr>
          <w:p w:rsidR="00565FD5" w:rsidRPr="00D75202" w:rsidRDefault="00565FD5" w:rsidP="00AB62A3">
            <w:pPr>
              <w:tabs>
                <w:tab w:val="num" w:pos="360"/>
              </w:tabs>
              <w:rPr>
                <w:rFonts w:cs="Tahoma"/>
                <w:sz w:val="16"/>
                <w:szCs w:val="16"/>
              </w:rPr>
            </w:pPr>
            <w:r w:rsidRPr="00D75202">
              <w:rPr>
                <w:rFonts w:cs="Tahoma"/>
                <w:sz w:val="16"/>
                <w:szCs w:val="16"/>
              </w:rPr>
              <w:t>Mali Piyasaların Gelişmişliği</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61.</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76.</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80.</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61.</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55.</w:t>
            </w:r>
          </w:p>
        </w:tc>
        <w:tc>
          <w:tcPr>
            <w:tcW w:w="515" w:type="pct"/>
            <w:tcBorders>
              <w:top w:val="nil"/>
              <w:left w:val="nil"/>
              <w:bottom w:val="nil"/>
            </w:tcBorders>
          </w:tcPr>
          <w:p w:rsidR="00565FD5" w:rsidRPr="00D75202" w:rsidRDefault="00565FD5" w:rsidP="00AB62A3">
            <w:pPr>
              <w:tabs>
                <w:tab w:val="num" w:pos="360"/>
              </w:tabs>
              <w:jc w:val="right"/>
              <w:rPr>
                <w:rFonts w:cs="Tahoma"/>
                <w:sz w:val="16"/>
                <w:szCs w:val="16"/>
              </w:rPr>
            </w:pPr>
            <w:r w:rsidRPr="00D75202">
              <w:rPr>
                <w:rFonts w:cs="Tahoma"/>
                <w:sz w:val="16"/>
                <w:szCs w:val="16"/>
              </w:rPr>
              <w:t>44.</w:t>
            </w:r>
          </w:p>
        </w:tc>
      </w:tr>
      <w:tr w:rsidR="00565FD5" w:rsidRPr="00D75202" w:rsidTr="00AB62A3">
        <w:trPr>
          <w:trHeight w:val="198"/>
        </w:trPr>
        <w:tc>
          <w:tcPr>
            <w:tcW w:w="1911" w:type="pct"/>
            <w:tcBorders>
              <w:top w:val="nil"/>
              <w:bottom w:val="nil"/>
              <w:right w:val="nil"/>
            </w:tcBorders>
          </w:tcPr>
          <w:p w:rsidR="00565FD5" w:rsidRPr="00D75202" w:rsidRDefault="00565FD5" w:rsidP="00AB62A3">
            <w:pPr>
              <w:tabs>
                <w:tab w:val="num" w:pos="360"/>
              </w:tabs>
              <w:rPr>
                <w:rFonts w:cs="Tahoma"/>
                <w:sz w:val="16"/>
                <w:szCs w:val="16"/>
              </w:rPr>
            </w:pPr>
            <w:r w:rsidRPr="00D75202">
              <w:rPr>
                <w:rFonts w:cs="Tahoma"/>
                <w:sz w:val="16"/>
                <w:szCs w:val="16"/>
              </w:rPr>
              <w:t>Teknolojiye Hazırlık Durumu</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53.</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58.</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54.</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56.</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55.</w:t>
            </w:r>
          </w:p>
        </w:tc>
        <w:tc>
          <w:tcPr>
            <w:tcW w:w="515" w:type="pct"/>
            <w:tcBorders>
              <w:top w:val="nil"/>
              <w:left w:val="nil"/>
              <w:bottom w:val="nil"/>
            </w:tcBorders>
          </w:tcPr>
          <w:p w:rsidR="00565FD5" w:rsidRPr="00D75202" w:rsidRDefault="00565FD5" w:rsidP="00AB62A3">
            <w:pPr>
              <w:tabs>
                <w:tab w:val="num" w:pos="360"/>
              </w:tabs>
              <w:jc w:val="right"/>
              <w:rPr>
                <w:rFonts w:cs="Tahoma"/>
                <w:sz w:val="16"/>
                <w:szCs w:val="16"/>
              </w:rPr>
            </w:pPr>
            <w:r w:rsidRPr="00D75202">
              <w:rPr>
                <w:rFonts w:cs="Tahoma"/>
                <w:sz w:val="16"/>
                <w:szCs w:val="16"/>
              </w:rPr>
              <w:t>53.</w:t>
            </w:r>
          </w:p>
        </w:tc>
      </w:tr>
      <w:tr w:rsidR="00565FD5" w:rsidRPr="00D75202" w:rsidTr="00AB62A3">
        <w:trPr>
          <w:trHeight w:val="198"/>
        </w:trPr>
        <w:tc>
          <w:tcPr>
            <w:tcW w:w="1911" w:type="pct"/>
            <w:tcBorders>
              <w:top w:val="nil"/>
              <w:bottom w:val="nil"/>
              <w:right w:val="nil"/>
            </w:tcBorders>
          </w:tcPr>
          <w:p w:rsidR="00565FD5" w:rsidRPr="00D75202" w:rsidRDefault="00565FD5" w:rsidP="00AB62A3">
            <w:pPr>
              <w:tabs>
                <w:tab w:val="num" w:pos="360"/>
              </w:tabs>
              <w:rPr>
                <w:rFonts w:cs="Tahoma"/>
                <w:sz w:val="16"/>
                <w:szCs w:val="16"/>
              </w:rPr>
            </w:pPr>
            <w:r w:rsidRPr="00D75202">
              <w:rPr>
                <w:rFonts w:cs="Tahoma"/>
                <w:sz w:val="16"/>
                <w:szCs w:val="16"/>
              </w:rPr>
              <w:t>Piyasa Büyüklüğü</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18.</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15.</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15.</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16.</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17.</w:t>
            </w:r>
          </w:p>
        </w:tc>
        <w:tc>
          <w:tcPr>
            <w:tcW w:w="515" w:type="pct"/>
            <w:tcBorders>
              <w:top w:val="nil"/>
              <w:left w:val="nil"/>
              <w:bottom w:val="nil"/>
            </w:tcBorders>
          </w:tcPr>
          <w:p w:rsidR="00565FD5" w:rsidRPr="00D75202" w:rsidRDefault="00565FD5" w:rsidP="00AB62A3">
            <w:pPr>
              <w:tabs>
                <w:tab w:val="num" w:pos="360"/>
              </w:tabs>
              <w:jc w:val="right"/>
              <w:rPr>
                <w:rFonts w:cs="Tahoma"/>
                <w:sz w:val="16"/>
                <w:szCs w:val="16"/>
              </w:rPr>
            </w:pPr>
            <w:r w:rsidRPr="00D75202">
              <w:rPr>
                <w:rFonts w:cs="Tahoma"/>
                <w:sz w:val="16"/>
                <w:szCs w:val="16"/>
              </w:rPr>
              <w:t>15.</w:t>
            </w:r>
          </w:p>
        </w:tc>
      </w:tr>
      <w:tr w:rsidR="00565FD5" w:rsidRPr="00D75202" w:rsidTr="00AB62A3">
        <w:trPr>
          <w:trHeight w:val="198"/>
        </w:trPr>
        <w:tc>
          <w:tcPr>
            <w:tcW w:w="1911" w:type="pct"/>
            <w:tcBorders>
              <w:top w:val="nil"/>
              <w:bottom w:val="nil"/>
              <w:right w:val="nil"/>
            </w:tcBorders>
          </w:tcPr>
          <w:p w:rsidR="00565FD5" w:rsidRPr="00D75202" w:rsidRDefault="00565FD5" w:rsidP="00AB62A3">
            <w:pPr>
              <w:tabs>
                <w:tab w:val="num" w:pos="360"/>
              </w:tabs>
              <w:rPr>
                <w:rFonts w:cs="Tahoma"/>
                <w:sz w:val="16"/>
                <w:szCs w:val="16"/>
              </w:rPr>
            </w:pPr>
            <w:r w:rsidRPr="00D75202">
              <w:rPr>
                <w:rFonts w:cs="Tahoma"/>
                <w:b/>
                <w:sz w:val="16"/>
                <w:szCs w:val="16"/>
              </w:rPr>
              <w:t>Yenilik ve Gelişkinlik Etkenleri</w:t>
            </w:r>
          </w:p>
        </w:tc>
        <w:tc>
          <w:tcPr>
            <w:tcW w:w="514" w:type="pct"/>
            <w:tcBorders>
              <w:top w:val="nil"/>
              <w:left w:val="nil"/>
              <w:bottom w:val="nil"/>
              <w:right w:val="nil"/>
            </w:tcBorders>
            <w:vAlign w:val="center"/>
          </w:tcPr>
          <w:p w:rsidR="00565FD5" w:rsidRPr="00D75202" w:rsidRDefault="00565FD5" w:rsidP="00AB62A3">
            <w:pPr>
              <w:jc w:val="right"/>
              <w:rPr>
                <w:rFonts w:cs="Tahoma"/>
                <w:b/>
                <w:sz w:val="16"/>
                <w:szCs w:val="16"/>
              </w:rPr>
            </w:pPr>
            <w:r w:rsidRPr="00D75202">
              <w:rPr>
                <w:rFonts w:cs="Tahoma"/>
                <w:b/>
                <w:sz w:val="16"/>
                <w:szCs w:val="16"/>
              </w:rPr>
              <w:t>48.</w:t>
            </w:r>
          </w:p>
        </w:tc>
        <w:tc>
          <w:tcPr>
            <w:tcW w:w="515" w:type="pct"/>
            <w:tcBorders>
              <w:top w:val="nil"/>
              <w:left w:val="nil"/>
              <w:bottom w:val="nil"/>
              <w:right w:val="nil"/>
            </w:tcBorders>
            <w:vAlign w:val="center"/>
          </w:tcPr>
          <w:p w:rsidR="00565FD5" w:rsidRPr="00D75202" w:rsidRDefault="00565FD5" w:rsidP="00AB62A3">
            <w:pPr>
              <w:jc w:val="right"/>
              <w:rPr>
                <w:rFonts w:cs="Tahoma"/>
                <w:b/>
                <w:sz w:val="16"/>
                <w:szCs w:val="16"/>
              </w:rPr>
            </w:pPr>
            <w:r w:rsidRPr="00D75202">
              <w:rPr>
                <w:rFonts w:cs="Tahoma"/>
                <w:b/>
                <w:sz w:val="16"/>
                <w:szCs w:val="16"/>
              </w:rPr>
              <w:t>63.</w:t>
            </w:r>
          </w:p>
        </w:tc>
        <w:tc>
          <w:tcPr>
            <w:tcW w:w="515" w:type="pct"/>
            <w:tcBorders>
              <w:top w:val="nil"/>
              <w:left w:val="nil"/>
              <w:bottom w:val="nil"/>
              <w:right w:val="nil"/>
            </w:tcBorders>
            <w:vAlign w:val="center"/>
          </w:tcPr>
          <w:p w:rsidR="00565FD5" w:rsidRPr="00D75202" w:rsidRDefault="00565FD5" w:rsidP="00AB62A3">
            <w:pPr>
              <w:jc w:val="right"/>
              <w:rPr>
                <w:rFonts w:cs="Tahoma"/>
                <w:b/>
                <w:sz w:val="16"/>
                <w:szCs w:val="16"/>
              </w:rPr>
            </w:pPr>
            <w:r w:rsidRPr="00D75202">
              <w:rPr>
                <w:rFonts w:cs="Tahoma"/>
                <w:b/>
                <w:sz w:val="16"/>
                <w:szCs w:val="16"/>
              </w:rPr>
              <w:t>58.</w:t>
            </w:r>
          </w:p>
        </w:tc>
        <w:tc>
          <w:tcPr>
            <w:tcW w:w="514" w:type="pct"/>
            <w:tcBorders>
              <w:top w:val="nil"/>
              <w:left w:val="nil"/>
              <w:bottom w:val="nil"/>
              <w:right w:val="nil"/>
            </w:tcBorders>
            <w:vAlign w:val="center"/>
          </w:tcPr>
          <w:p w:rsidR="00565FD5" w:rsidRPr="00D75202" w:rsidRDefault="00565FD5" w:rsidP="00AB62A3">
            <w:pPr>
              <w:jc w:val="right"/>
              <w:rPr>
                <w:rFonts w:cs="Tahoma"/>
                <w:b/>
                <w:sz w:val="16"/>
                <w:szCs w:val="16"/>
              </w:rPr>
            </w:pPr>
            <w:r w:rsidRPr="00D75202">
              <w:rPr>
                <w:rFonts w:cs="Tahoma"/>
                <w:b/>
                <w:sz w:val="16"/>
                <w:szCs w:val="16"/>
              </w:rPr>
              <w:t>57.</w:t>
            </w:r>
          </w:p>
        </w:tc>
        <w:tc>
          <w:tcPr>
            <w:tcW w:w="515" w:type="pct"/>
            <w:tcBorders>
              <w:top w:val="nil"/>
              <w:left w:val="nil"/>
              <w:bottom w:val="nil"/>
              <w:right w:val="nil"/>
            </w:tcBorders>
            <w:vAlign w:val="center"/>
          </w:tcPr>
          <w:p w:rsidR="00565FD5" w:rsidRPr="00D75202" w:rsidRDefault="00565FD5" w:rsidP="00AB62A3">
            <w:pPr>
              <w:jc w:val="right"/>
              <w:rPr>
                <w:rFonts w:cs="Tahoma"/>
                <w:b/>
                <w:sz w:val="16"/>
                <w:szCs w:val="16"/>
              </w:rPr>
            </w:pPr>
            <w:r w:rsidRPr="00D75202">
              <w:rPr>
                <w:rFonts w:cs="Tahoma"/>
                <w:b/>
                <w:sz w:val="16"/>
                <w:szCs w:val="16"/>
              </w:rPr>
              <w:t>58.</w:t>
            </w:r>
          </w:p>
        </w:tc>
        <w:tc>
          <w:tcPr>
            <w:tcW w:w="515" w:type="pct"/>
            <w:tcBorders>
              <w:top w:val="nil"/>
              <w:left w:val="nil"/>
              <w:bottom w:val="nil"/>
            </w:tcBorders>
            <w:vAlign w:val="center"/>
          </w:tcPr>
          <w:p w:rsidR="00565FD5" w:rsidRPr="00D75202" w:rsidRDefault="00565FD5" w:rsidP="00AB62A3">
            <w:pPr>
              <w:jc w:val="right"/>
              <w:rPr>
                <w:rFonts w:cs="Tahoma"/>
                <w:b/>
                <w:bCs/>
                <w:sz w:val="16"/>
                <w:szCs w:val="16"/>
              </w:rPr>
            </w:pPr>
            <w:r w:rsidRPr="00D75202">
              <w:rPr>
                <w:rFonts w:cs="Tahoma"/>
                <w:b/>
                <w:bCs/>
                <w:sz w:val="16"/>
                <w:szCs w:val="16"/>
              </w:rPr>
              <w:t>50.</w:t>
            </w:r>
          </w:p>
        </w:tc>
      </w:tr>
      <w:tr w:rsidR="00565FD5" w:rsidRPr="00D75202" w:rsidTr="00AB62A3">
        <w:trPr>
          <w:trHeight w:val="198"/>
        </w:trPr>
        <w:tc>
          <w:tcPr>
            <w:tcW w:w="1911" w:type="pct"/>
            <w:tcBorders>
              <w:top w:val="nil"/>
              <w:bottom w:val="nil"/>
              <w:right w:val="nil"/>
            </w:tcBorders>
          </w:tcPr>
          <w:p w:rsidR="00565FD5" w:rsidRPr="00D75202" w:rsidRDefault="00565FD5" w:rsidP="00AB62A3">
            <w:pPr>
              <w:tabs>
                <w:tab w:val="num" w:pos="360"/>
              </w:tabs>
              <w:rPr>
                <w:rFonts w:cs="Tahoma"/>
                <w:sz w:val="16"/>
                <w:szCs w:val="16"/>
              </w:rPr>
            </w:pPr>
            <w:r w:rsidRPr="00D75202">
              <w:rPr>
                <w:rFonts w:cs="Tahoma"/>
                <w:sz w:val="16"/>
                <w:szCs w:val="16"/>
              </w:rPr>
              <w:t>İş Gelişkinliği</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41.</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60.</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52.</w:t>
            </w:r>
          </w:p>
        </w:tc>
        <w:tc>
          <w:tcPr>
            <w:tcW w:w="514"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52.</w:t>
            </w:r>
          </w:p>
        </w:tc>
        <w:tc>
          <w:tcPr>
            <w:tcW w:w="515" w:type="pct"/>
            <w:tcBorders>
              <w:top w:val="nil"/>
              <w:left w:val="nil"/>
              <w:bottom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58.</w:t>
            </w:r>
          </w:p>
        </w:tc>
        <w:tc>
          <w:tcPr>
            <w:tcW w:w="515" w:type="pct"/>
            <w:tcBorders>
              <w:top w:val="nil"/>
              <w:left w:val="nil"/>
              <w:bottom w:val="nil"/>
            </w:tcBorders>
          </w:tcPr>
          <w:p w:rsidR="00565FD5" w:rsidRPr="00D75202" w:rsidRDefault="00565FD5" w:rsidP="00AB62A3">
            <w:pPr>
              <w:tabs>
                <w:tab w:val="num" w:pos="360"/>
              </w:tabs>
              <w:jc w:val="right"/>
              <w:rPr>
                <w:rFonts w:cs="Tahoma"/>
                <w:sz w:val="16"/>
                <w:szCs w:val="16"/>
              </w:rPr>
            </w:pPr>
            <w:r w:rsidRPr="00D75202">
              <w:rPr>
                <w:rFonts w:cs="Tahoma"/>
                <w:sz w:val="16"/>
                <w:szCs w:val="16"/>
              </w:rPr>
              <w:t>47.</w:t>
            </w:r>
          </w:p>
        </w:tc>
      </w:tr>
      <w:tr w:rsidR="00565FD5" w:rsidRPr="00D75202" w:rsidTr="00AB62A3">
        <w:trPr>
          <w:trHeight w:val="198"/>
        </w:trPr>
        <w:tc>
          <w:tcPr>
            <w:tcW w:w="1911" w:type="pct"/>
            <w:tcBorders>
              <w:top w:val="nil"/>
              <w:right w:val="nil"/>
            </w:tcBorders>
          </w:tcPr>
          <w:p w:rsidR="00565FD5" w:rsidRPr="00D75202" w:rsidRDefault="00565FD5" w:rsidP="00AB62A3">
            <w:pPr>
              <w:tabs>
                <w:tab w:val="num" w:pos="360"/>
              </w:tabs>
              <w:rPr>
                <w:rFonts w:cs="Tahoma"/>
                <w:sz w:val="16"/>
                <w:szCs w:val="16"/>
              </w:rPr>
            </w:pPr>
            <w:r w:rsidRPr="00D75202">
              <w:rPr>
                <w:rFonts w:cs="Tahoma"/>
                <w:sz w:val="16"/>
                <w:szCs w:val="16"/>
              </w:rPr>
              <w:t xml:space="preserve">Yenilik </w:t>
            </w:r>
          </w:p>
        </w:tc>
        <w:tc>
          <w:tcPr>
            <w:tcW w:w="514" w:type="pct"/>
            <w:tcBorders>
              <w:top w:val="nil"/>
              <w:left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53.</w:t>
            </w:r>
          </w:p>
        </w:tc>
        <w:tc>
          <w:tcPr>
            <w:tcW w:w="515" w:type="pct"/>
            <w:tcBorders>
              <w:top w:val="nil"/>
              <w:left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66.</w:t>
            </w:r>
          </w:p>
        </w:tc>
        <w:tc>
          <w:tcPr>
            <w:tcW w:w="515" w:type="pct"/>
            <w:tcBorders>
              <w:top w:val="nil"/>
              <w:left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69.</w:t>
            </w:r>
          </w:p>
        </w:tc>
        <w:tc>
          <w:tcPr>
            <w:tcW w:w="514" w:type="pct"/>
            <w:tcBorders>
              <w:top w:val="nil"/>
              <w:left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67.</w:t>
            </w:r>
          </w:p>
        </w:tc>
        <w:tc>
          <w:tcPr>
            <w:tcW w:w="515" w:type="pct"/>
            <w:tcBorders>
              <w:top w:val="nil"/>
              <w:left w:val="nil"/>
              <w:right w:val="nil"/>
            </w:tcBorders>
            <w:vAlign w:val="center"/>
          </w:tcPr>
          <w:p w:rsidR="00565FD5" w:rsidRPr="00D75202" w:rsidRDefault="00565FD5" w:rsidP="00AB62A3">
            <w:pPr>
              <w:tabs>
                <w:tab w:val="num" w:pos="360"/>
              </w:tabs>
              <w:jc w:val="right"/>
              <w:rPr>
                <w:rFonts w:cs="Tahoma"/>
                <w:sz w:val="16"/>
                <w:szCs w:val="16"/>
              </w:rPr>
            </w:pPr>
            <w:r w:rsidRPr="00D75202">
              <w:rPr>
                <w:rFonts w:cs="Tahoma"/>
                <w:sz w:val="16"/>
                <w:szCs w:val="16"/>
              </w:rPr>
              <w:t>69.</w:t>
            </w:r>
          </w:p>
        </w:tc>
        <w:tc>
          <w:tcPr>
            <w:tcW w:w="515" w:type="pct"/>
            <w:tcBorders>
              <w:top w:val="nil"/>
              <w:left w:val="nil"/>
            </w:tcBorders>
          </w:tcPr>
          <w:p w:rsidR="00565FD5" w:rsidRPr="00D75202" w:rsidRDefault="00565FD5" w:rsidP="00AB62A3">
            <w:pPr>
              <w:tabs>
                <w:tab w:val="num" w:pos="360"/>
              </w:tabs>
              <w:jc w:val="right"/>
              <w:rPr>
                <w:rFonts w:cs="Tahoma"/>
                <w:sz w:val="16"/>
                <w:szCs w:val="16"/>
              </w:rPr>
            </w:pPr>
            <w:r w:rsidRPr="00D75202">
              <w:rPr>
                <w:rFonts w:cs="Tahoma"/>
                <w:sz w:val="16"/>
                <w:szCs w:val="16"/>
              </w:rPr>
              <w:t>55.</w:t>
            </w:r>
          </w:p>
        </w:tc>
      </w:tr>
    </w:tbl>
    <w:p w:rsidR="00565FD5" w:rsidRPr="00D75202" w:rsidRDefault="00565FD5" w:rsidP="00565FD5">
      <w:pPr>
        <w:tabs>
          <w:tab w:val="num" w:pos="360"/>
        </w:tabs>
        <w:spacing w:before="40" w:after="240"/>
        <w:rPr>
          <w:rFonts w:cs="Tahoma"/>
          <w:sz w:val="14"/>
          <w:szCs w:val="14"/>
        </w:rPr>
      </w:pPr>
      <w:r w:rsidRPr="00D75202">
        <w:rPr>
          <w:rFonts w:cs="Tahoma"/>
          <w:sz w:val="14"/>
          <w:szCs w:val="14"/>
        </w:rPr>
        <w:t>Kaynak: Dünya Ekonomik Forumunun Küresel Rekabet Gücü Raporları</w:t>
      </w:r>
    </w:p>
    <w:p w:rsidR="00565FD5" w:rsidRPr="00DF15F1" w:rsidRDefault="00565FD5" w:rsidP="00565FD5">
      <w:pPr>
        <w:spacing w:after="180"/>
        <w:ind w:firstLine="425"/>
        <w:rPr>
          <w:szCs w:val="18"/>
        </w:rPr>
      </w:pPr>
      <w:r>
        <w:rPr>
          <w:szCs w:val="18"/>
        </w:rPr>
        <w:t xml:space="preserve">Türkiye, </w:t>
      </w:r>
      <w:r w:rsidRPr="00DF15F1">
        <w:rPr>
          <w:szCs w:val="18"/>
        </w:rPr>
        <w:t xml:space="preserve">Dünya Ekonomik Forumunun küresel rekabet gücü endeksine göre yapılan sıralamada </w:t>
      </w:r>
      <w:r>
        <w:rPr>
          <w:szCs w:val="18"/>
        </w:rPr>
        <w:t xml:space="preserve">2011 yılında 142 ülke arasında 59. sırada iken, </w:t>
      </w:r>
      <w:r w:rsidRPr="00DF15F1">
        <w:rPr>
          <w:szCs w:val="18"/>
        </w:rPr>
        <w:t xml:space="preserve">2012 yılında </w:t>
      </w:r>
      <w:r>
        <w:rPr>
          <w:szCs w:val="18"/>
        </w:rPr>
        <w:t xml:space="preserve">önemli bir ilerleme kaydederek </w:t>
      </w:r>
      <w:r w:rsidRPr="00DF15F1">
        <w:rPr>
          <w:szCs w:val="18"/>
        </w:rPr>
        <w:t>144 ülke arasında 43</w:t>
      </w:r>
      <w:r>
        <w:rPr>
          <w:szCs w:val="18"/>
        </w:rPr>
        <w:t>. sıray</w:t>
      </w:r>
      <w:r w:rsidRPr="00DF15F1">
        <w:rPr>
          <w:szCs w:val="18"/>
        </w:rPr>
        <w:t xml:space="preserve">a </w:t>
      </w:r>
      <w:r>
        <w:rPr>
          <w:szCs w:val="18"/>
        </w:rPr>
        <w:t>yükselmiştir</w:t>
      </w:r>
      <w:r w:rsidRPr="00DF15F1">
        <w:rPr>
          <w:szCs w:val="18"/>
        </w:rPr>
        <w:t xml:space="preserve">. </w:t>
      </w:r>
    </w:p>
    <w:p w:rsidR="00565FD5" w:rsidRDefault="00565FD5" w:rsidP="00565FD5">
      <w:pPr>
        <w:spacing w:after="180"/>
        <w:ind w:firstLine="425"/>
        <w:rPr>
          <w:szCs w:val="18"/>
        </w:rPr>
      </w:pPr>
      <w:r w:rsidRPr="00CA7A16">
        <w:rPr>
          <w:szCs w:val="18"/>
        </w:rPr>
        <w:t xml:space="preserve">Söz konusu çalışmaya göre Türkiye, Temel Gerekler, Etkinlik Geliştiriciler ve Yenilik ve Gelişkinlik Etkenleri ana bileşenlerinin hepsinde </w:t>
      </w:r>
      <w:r>
        <w:rPr>
          <w:szCs w:val="18"/>
        </w:rPr>
        <w:t>gelişme</w:t>
      </w:r>
      <w:r w:rsidRPr="00CA7A16">
        <w:rPr>
          <w:szCs w:val="18"/>
        </w:rPr>
        <w:t xml:space="preserve"> kaydetmiş ve böylece verimlilik kaynaklıdan yenilikçilik kaynaklı gelişmişlik düzeyine geçiş aşamasın</w:t>
      </w:r>
      <w:r>
        <w:rPr>
          <w:szCs w:val="18"/>
        </w:rPr>
        <w:t>d</w:t>
      </w:r>
      <w:r w:rsidRPr="00CA7A16">
        <w:rPr>
          <w:szCs w:val="18"/>
        </w:rPr>
        <w:t>a</w:t>
      </w:r>
      <w:r>
        <w:rPr>
          <w:szCs w:val="18"/>
        </w:rPr>
        <w:t xml:space="preserve">ki ülkeler grubuna </w:t>
      </w:r>
      <w:r w:rsidRPr="00CA7A16">
        <w:rPr>
          <w:szCs w:val="18"/>
        </w:rPr>
        <w:t>ilerlemiştir.</w:t>
      </w:r>
    </w:p>
    <w:p w:rsidR="00565FD5" w:rsidRPr="00D75202" w:rsidRDefault="00565FD5" w:rsidP="00565FD5">
      <w:pPr>
        <w:ind w:firstLine="425"/>
        <w:rPr>
          <w:szCs w:val="18"/>
        </w:rPr>
      </w:pPr>
      <w:r w:rsidRPr="00D75202">
        <w:rPr>
          <w:szCs w:val="18"/>
        </w:rPr>
        <w:t xml:space="preserve">Kamu mali yönetim reformunun gerçekleştirilmesi ve bağımsız para politikası uygulamasıyla kronik enflasyon döneminin geride bırakılması sonucunda makroekonomik istikrarın sağlanmasında son yıllarda önemli mesafe alınmıştır. Ayrıca, AB’ye üyelik sürecinde gerçekleştirilen reformlar, üreticiler ve yatırımcılar için istikrar ve güven ortamının sağlanmasına katkıda bulunmuştur. </w:t>
      </w:r>
      <w:r w:rsidRPr="00D75202">
        <w:rPr>
          <w:szCs w:val="18"/>
        </w:rPr>
        <w:lastRenderedPageBreak/>
        <w:t>Küresel rekabet endeksinin makroekonomik istikrar alt bileşeninde Türkiye, 2010 yılında 139 ülke arasında 83. sırada iken, 2011 yılında bu bileşende 142 ülke arasında 69. sıraya, 2012 yılında ise 144 ülke arasında 55. sıraya yükselmiştir. 2012 yılında Türkiye, piyasa büyüklüğünün yanı sıra, mal piyasalarının etkinliği ve mali piyasaların gelişmişliği alt bileşenlerinde diğerlerine göre ön sıralarda yer almaktadır. Bu gelişmeye rağmen limanlar ve elektrik arzına ilişkin altyapı kalitesinin artırılması, daha iyi temel eğitim ve sağlık hizmetleri vasıtası ile insan kaynaklarının geliştirilmesi, işgücü piyasasındaki verimsizliklerin çözümlenmesi ve kamu kurumlarının şeffaflık ve etkinliğinin artırılması gibi bazı temel sorunlara eğilinmesi gereği önemini korumaktadır.</w:t>
      </w:r>
    </w:p>
    <w:p w:rsidR="00565FD5" w:rsidRPr="00D75202" w:rsidRDefault="00565FD5" w:rsidP="00565FD5">
      <w:pPr>
        <w:ind w:firstLine="425"/>
        <w:rPr>
          <w:szCs w:val="18"/>
        </w:rPr>
      </w:pPr>
      <w:r w:rsidRPr="00D75202">
        <w:rPr>
          <w:szCs w:val="18"/>
        </w:rPr>
        <w:t>İşletmelerin yüksek teknolojik kabiliyete ve nitelikli işgücüne sahip, değişen şartlara uyum sağlayabilen, ulusal ve uluslararası piyasalarda rekabet gücü olan bir yapıya kavuşturulması amaçlanmaktadır. Bu çerçevede; makroekonomik istikrarda, iş ortamının kalitesinde, finansmana erişimde, enerji ve ulaştırma altyapısında, çevrenin korunması ve kentsel altyapıda, Ar-Ge ve yenilikçiliğin geliştirilmesinde, bilgi ve iletişim teknolojilerinin yaygınlaştırılmasında, kayıtdışılığın azaltılmasında, tarımsal yapının etkinleştirilmesinde ve sanayi ve hizmetlerde yüksek katma değerli üretim yapısına geçilmesinde iyileşme sağlanması gerekmektedir.</w:t>
      </w:r>
    </w:p>
    <w:p w:rsidR="00565FD5" w:rsidRPr="00727047" w:rsidRDefault="00565FD5" w:rsidP="00565FD5">
      <w:pPr>
        <w:pStyle w:val="Balk3"/>
      </w:pPr>
      <w:bookmarkStart w:id="1213" w:name="_Toc307601969"/>
      <w:bookmarkStart w:id="1214" w:name="_Toc307670417"/>
      <w:bookmarkStart w:id="1215" w:name="_Toc307701643"/>
      <w:bookmarkStart w:id="1216" w:name="_Toc338494235"/>
      <w:bookmarkStart w:id="1217" w:name="_Toc338494380"/>
      <w:bookmarkStart w:id="1218" w:name="_Toc338505558"/>
      <w:bookmarkStart w:id="1219" w:name="_Toc338505743"/>
      <w:bookmarkStart w:id="1220" w:name="_Toc338505782"/>
      <w:bookmarkStart w:id="1221" w:name="_Toc338523777"/>
      <w:bookmarkStart w:id="1222" w:name="_Toc338524008"/>
      <w:bookmarkStart w:id="1223" w:name="_Toc338526234"/>
      <w:bookmarkStart w:id="1224" w:name="_Toc338673677"/>
      <w:bookmarkStart w:id="1225" w:name="_Toc338711556"/>
      <w:r w:rsidRPr="00727047">
        <w:t>A. MAKROEKONOMİK İSTİKRARIN KALICI HALE GETİRİLMESİ</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rsidR="00565FD5" w:rsidRPr="001131FC" w:rsidRDefault="00565FD5" w:rsidP="00565FD5">
      <w:pPr>
        <w:pStyle w:val="Balk4"/>
      </w:pPr>
      <w:bookmarkStart w:id="1226" w:name="_Toc276076263"/>
      <w:bookmarkStart w:id="1227" w:name="_Toc244339584"/>
      <w:bookmarkStart w:id="1228" w:name="_Toc244315121"/>
      <w:bookmarkStart w:id="1229" w:name="_Toc244313644"/>
      <w:bookmarkStart w:id="1230" w:name="_Toc244254908"/>
      <w:bookmarkStart w:id="1231" w:name="_Toc244253657"/>
      <w:bookmarkStart w:id="1232" w:name="_Toc338505559"/>
      <w:bookmarkStart w:id="1233" w:name="_Toc338523778"/>
      <w:bookmarkStart w:id="1234" w:name="_Toc338524009"/>
      <w:bookmarkStart w:id="1235" w:name="_Toc338526235"/>
      <w:bookmarkStart w:id="1236" w:name="_Toc338673678"/>
      <w:bookmarkStart w:id="1237" w:name="_Toc338711557"/>
      <w:r w:rsidRPr="001131FC">
        <w:t>1. Mevcut Durum</w:t>
      </w:r>
      <w:bookmarkEnd w:id="1226"/>
      <w:bookmarkEnd w:id="1227"/>
      <w:bookmarkEnd w:id="1228"/>
      <w:bookmarkEnd w:id="1229"/>
      <w:bookmarkEnd w:id="1230"/>
      <w:bookmarkEnd w:id="1231"/>
      <w:bookmarkEnd w:id="1232"/>
      <w:bookmarkEnd w:id="1233"/>
      <w:bookmarkEnd w:id="1234"/>
      <w:bookmarkEnd w:id="1235"/>
      <w:bookmarkEnd w:id="1236"/>
      <w:bookmarkEnd w:id="1237"/>
    </w:p>
    <w:p w:rsidR="00565FD5" w:rsidRPr="00727047" w:rsidRDefault="00565FD5" w:rsidP="00565FD5">
      <w:pPr>
        <w:ind w:firstLine="425"/>
        <w:rPr>
          <w:szCs w:val="18"/>
        </w:rPr>
      </w:pPr>
      <w:r w:rsidRPr="00727047">
        <w:rPr>
          <w:szCs w:val="18"/>
        </w:rPr>
        <w:t xml:space="preserve">Küresel krizin dünya ekonomisi üzerindeki olumsuz etkileri alınan önlemlere rağmen devam etmekte olup dünya ticareti ve büyüme tahminleri aşağı yönlü revize edilmiştir. Bu gelişmede, özellikle Avro Bölgesinde yaşanan ekonomik ve siyasi sorunların ticaret ve güven kanallarıyla diğer bölgelere yayılması temel etkenlerden biri olmuştur. </w:t>
      </w:r>
    </w:p>
    <w:p w:rsidR="00565FD5" w:rsidRPr="00727047" w:rsidRDefault="00565FD5" w:rsidP="00565FD5">
      <w:pPr>
        <w:ind w:firstLine="425"/>
        <w:rPr>
          <w:szCs w:val="18"/>
        </w:rPr>
      </w:pPr>
      <w:r w:rsidRPr="00727047">
        <w:rPr>
          <w:szCs w:val="18"/>
        </w:rPr>
        <w:t xml:space="preserve">Dünya ekonomisi, 2009 yılında yaşanan daralma sonrasında 2010 yılında toparlanma sürecine girmiş ve yüzde 5,1 oranında büyümüştür. Ancak 2011 yılında bu canlanma süreci sürdürülemeyerek yüzde 3,8 oranında dünya büyümesi kaydedilmiştir. Avro Bölgesinde yaşanan mali çalkantılar ve bunun bankacılık kesimine olan yansımaları ile ekonomi politikasına yönelik karar alma </w:t>
      </w:r>
      <w:r w:rsidRPr="00727047">
        <w:rPr>
          <w:szCs w:val="18"/>
        </w:rPr>
        <w:lastRenderedPageBreak/>
        <w:t>süreçlerinde yaşanan belirsizlikler gelişmiş ülkelerde büyüme performansının beklenenden daha düşük seyretmesine neden olmuştur. Bu durum gelişmekte olan ve yükselen ekonomilerin büyümelerine de olumsuz yönde yansımaktadır. Yükselen piyasa ekonomileri, yavaşlayan büyüme performansının yanı sıra kırılgan sermaye akımları, durağan dış talep ve enflasyon riskiyle karşı karşıyadırlar. Bunun yanı sıra enerji, emtia ve gıda fiyatlarında yaşanan dalgalı seyrin yarattığı belirsizlik ortamı küresel büyümeyi olumsuz yönde etkilemektedir.</w:t>
      </w:r>
    </w:p>
    <w:p w:rsidR="00565FD5" w:rsidRPr="00727047" w:rsidRDefault="00565FD5" w:rsidP="00565FD5">
      <w:pPr>
        <w:ind w:firstLine="425"/>
        <w:rPr>
          <w:szCs w:val="18"/>
        </w:rPr>
      </w:pPr>
      <w:r w:rsidRPr="00727047">
        <w:rPr>
          <w:szCs w:val="18"/>
        </w:rPr>
        <w:t>Türkiye ekonomisinde 2010 yılında yaşanan güçlü büyüme süreci 2011 yılında da devam etmiştir. Büyümenin en önemli kaynağını oluşturan özel kesimin talebindeki canlılık ithalat talebini artırmış ve bunun sonucunda cari işlemler açığı hızlı bir biçimde artarak GSYH’ya oranla yüzde 10’a yükselmiştir. Cari açıktaki hızlı yükselmeye karşı alınan önlemlerle birlikte 2011 yılının son çeyreğinden itibaren iç talebin tedrici olarak gerilemeye başlamıştır. Bu çeyrekten itibaren net mal ve hizmet ihracatının GSYH büyümesine pozitif katkı vermeye başlamasıyla yeniden dengeleme sürecine girilmiştir.</w:t>
      </w:r>
    </w:p>
    <w:p w:rsidR="00565FD5" w:rsidRPr="00727047" w:rsidRDefault="00565FD5" w:rsidP="00565FD5">
      <w:pPr>
        <w:ind w:firstLine="425"/>
        <w:rPr>
          <w:szCs w:val="18"/>
        </w:rPr>
      </w:pPr>
      <w:r w:rsidRPr="00727047">
        <w:rPr>
          <w:szCs w:val="18"/>
        </w:rPr>
        <w:t>2012 yılının ilk yarısında da iç talepteki gerileme sürmüş, Türkiye’nin en önemli ihracat pazarı olan AB ülkelerindeki sorunlara karşın ülke çeşitlendirmesi sayesinde net mal ve hizmet ihracatındaki artış eğilimi korunmuştur. Dolayısıyla bu dönemde büyüme oranı ve cari işlemler açığı tedrici olarak azalmıştır. Küresel risk iştahındaki düzelme ve iktisadi faaliyetteki yavaşlamaya bağlı olarak iyileşen enflasyon görünümü sonrasında Merkez Bankası Temmuz ayından itibaren fonlama maliyetini düşürerek para politikasındaki sıkılaştırmanın düzeyini azaltmaya başlamıştır.</w:t>
      </w:r>
    </w:p>
    <w:p w:rsidR="00565FD5" w:rsidRPr="00727047" w:rsidRDefault="00565FD5" w:rsidP="00565FD5">
      <w:pPr>
        <w:ind w:firstLine="425"/>
        <w:rPr>
          <w:szCs w:val="18"/>
        </w:rPr>
      </w:pPr>
      <w:bookmarkStart w:id="1238" w:name="_Toc244253658"/>
      <w:bookmarkStart w:id="1239" w:name="_Toc244254909"/>
      <w:bookmarkStart w:id="1240" w:name="_Toc244313645"/>
      <w:bookmarkStart w:id="1241" w:name="_Toc244315122"/>
      <w:bookmarkStart w:id="1242" w:name="_Toc244339585"/>
      <w:bookmarkStart w:id="1243" w:name="_Toc276076264"/>
      <w:bookmarkStart w:id="1244" w:name="_Toc307601971"/>
      <w:bookmarkStart w:id="1245" w:name="_Toc307670419"/>
      <w:bookmarkStart w:id="1246" w:name="_Toc307701645"/>
      <w:r w:rsidRPr="00727047">
        <w:rPr>
          <w:szCs w:val="18"/>
        </w:rPr>
        <w:t>2012 yılı Temmuz dönemi itibarıyla işsizlik oranı yüzde 8,4’e gerilemiştir. İşsizlik oranındaki azalma eğiliminin korunması için istihdam piyasasında esnekliği artıracak ve işgücü piyasasının nitelikli işgücü talebini karşılamaya yönelik düzenlemelerin yapılması önem arz etmektedir.</w:t>
      </w:r>
    </w:p>
    <w:p w:rsidR="00565FD5" w:rsidRPr="00727047" w:rsidRDefault="00565FD5" w:rsidP="00565FD5">
      <w:pPr>
        <w:ind w:firstLine="425"/>
        <w:rPr>
          <w:szCs w:val="18"/>
        </w:rPr>
      </w:pPr>
      <w:r w:rsidRPr="00727047">
        <w:rPr>
          <w:szCs w:val="18"/>
        </w:rPr>
        <w:t xml:space="preserve">2012 yılında genel devlet gelirlerinin GSYH’ya oranının sosyal güvenlik prim gelirlerindeki artışa paralel olarak bir önceki yılın yüzde 0,6 puan üzerinde, yüzde 37 olarak gerçekleşmesi öngörülmektedir. Faiz giderlerinin 2011 yılı seviyesine yakın gerçekleşmesi, faiz dışı harcamaların ise özellikle cari giderler </w:t>
      </w:r>
      <w:r w:rsidRPr="00727047">
        <w:rPr>
          <w:szCs w:val="18"/>
        </w:rPr>
        <w:lastRenderedPageBreak/>
        <w:t>ve transferlerdeki artış nedeniyle bir önceki yıla göre yüzde 1,7 puan artması beklenmektedir. Böylece, GSYH’ya oranla yüzde 0,8 olarak hedeflenen genel devlet açığının, 2012 yılı sonunda, yüzde 1,6 olarak gerçekleşeceği tahmin edilmektedir. Ayrıca, GSYH’ya oran olarak, yüzde 1,1 olması programlanan kamu kesimi borçlanma gereğinin yüzde 1,7 olması öngörülmektedir. Öte yandan, faiz giderleri ve özelleştirme gelirleri hariç kamu kesimi fazlasının ise programlanan seviye olan yüzde 1,7’de kalması beklenmektedir. Bu gelişmelere paralel olarak 2011 yılında yüzde 39,2 olarak gerçekleşen AB tanımlı genel devlet borç stokunun GSYH’ya oranının 2012 yılında yüzde 36,5 düzeyinde olması beklenmektedir.</w:t>
      </w:r>
    </w:p>
    <w:p w:rsidR="00565FD5" w:rsidRPr="00727047" w:rsidRDefault="00565FD5" w:rsidP="00565FD5">
      <w:pPr>
        <w:ind w:firstLine="425"/>
        <w:rPr>
          <w:szCs w:val="18"/>
        </w:rPr>
      </w:pPr>
      <w:r w:rsidRPr="00727047">
        <w:rPr>
          <w:szCs w:val="18"/>
        </w:rPr>
        <w:t xml:space="preserve">Para politikası uygulamaları fiyat istikrarının sağlanması ve finansal istikrarın güçlendirilmesi amaçları doğrultusunda gerçekleştirilmektedir. 2011 yılında enflasyon hedefin belirgin şekilde üzerinde gerçekleşmiştir. Merkez Bankası bu durumun beklentiler üzerindeki olumsuz etkisini sınırlandırmak için para politikasında sıkılaştırmaya gitmiştir. Para politikası duruşunda gerçekleştirilen bu sıkılaştırmanın etkisiyle 2012 yılında TÜFE yıllık artış hızının 2011 yılına göre gerilemesi beklenmektedir. Bunun yanı sıra döviz kurundaki oynaklığı sınırlandırmaya, kredi artış hızının sürdürebilir seviyelerde tutmaya ve rezervleri güçlendirmeye yönelik uygulamalar devam ettirilmiştir. </w:t>
      </w:r>
    </w:p>
    <w:p w:rsidR="00565FD5" w:rsidRPr="00727047" w:rsidRDefault="00565FD5" w:rsidP="00565FD5">
      <w:pPr>
        <w:ind w:firstLine="425"/>
        <w:rPr>
          <w:szCs w:val="18"/>
        </w:rPr>
      </w:pPr>
      <w:r w:rsidRPr="00727047">
        <w:rPr>
          <w:szCs w:val="18"/>
        </w:rPr>
        <w:t>Merkez Bankası önümüzdeki dönemde de küresel ekonomideki sorunlar nedeniyle para politikasındaki esnekliğin korunması gerektiğini belirtmiştir. Para politikasındaki esneklik sayesinde ekonomideki gelişmelere paralel olarak gerekli politika tepkilerinin hızlı ve etkin bir şekilde verileceği belirtilmiştir.</w:t>
      </w:r>
    </w:p>
    <w:p w:rsidR="00565FD5" w:rsidRPr="001131FC" w:rsidRDefault="00565FD5" w:rsidP="00565FD5">
      <w:pPr>
        <w:pStyle w:val="Balk4"/>
      </w:pPr>
      <w:bookmarkStart w:id="1247" w:name="_Toc338505560"/>
      <w:bookmarkStart w:id="1248" w:name="_Toc338523779"/>
      <w:bookmarkStart w:id="1249" w:name="_Toc338524010"/>
      <w:bookmarkStart w:id="1250" w:name="_Toc338526236"/>
      <w:bookmarkStart w:id="1251" w:name="_Toc338673679"/>
      <w:bookmarkStart w:id="1252" w:name="_Toc338711558"/>
      <w:r w:rsidRPr="001131FC">
        <w:t>2. Temel Amaç ve Hedefler</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p>
    <w:p w:rsidR="00565FD5" w:rsidRDefault="00565FD5" w:rsidP="00565FD5">
      <w:pPr>
        <w:spacing w:after="180"/>
        <w:ind w:firstLine="425"/>
        <w:rPr>
          <w:rFonts w:cs="Tahoma"/>
        </w:rPr>
      </w:pPr>
      <w:r w:rsidRPr="001131FC">
        <w:rPr>
          <w:rFonts w:cs="Tahoma"/>
        </w:rPr>
        <w:t>Programda yer alan hedefler, özel kesim sabit sermaye yatırımları kaynaklı bir büyüme sürecinde cari açığı daha da aşağı çeken ve bu süreçte tüketimde sınırlı artışı öngören politikalar çerçevesinde belirlenmiştir. Makroekonomik istikrarın kalıcı hale getirilmesinde, piyasalarda güven ve istikrar ortamının devam etmesi, enflasyonun hedeflenen patikaya uygun seyretmesi, kamu mali dengelerinin iyileşerek sürdürülmesi, işgücüne katılım oranı artarken işsizliğin düşürülmesi, dış pazar çeşitlemesini artırmak suretiyle cari açığın aşağı çekilmesi önem arz etmektedir. Program bu amaçlarla, kısa vadeli tedbirlerle orta vadeli yapısal reformları kapsamaktadır.</w:t>
      </w:r>
    </w:p>
    <w:p w:rsidR="00565FD5" w:rsidRPr="00292F26" w:rsidRDefault="00565FD5" w:rsidP="00565FD5">
      <w:pPr>
        <w:pStyle w:val="Balk4"/>
      </w:pPr>
      <w:bookmarkStart w:id="1253" w:name="_Toc338505561"/>
      <w:bookmarkStart w:id="1254" w:name="_Toc338523780"/>
      <w:bookmarkStart w:id="1255" w:name="_Toc338524011"/>
      <w:bookmarkStart w:id="1256" w:name="_Toc338526237"/>
      <w:bookmarkStart w:id="1257" w:name="_Toc338673680"/>
      <w:bookmarkStart w:id="1258" w:name="_Toc338711559"/>
      <w:r w:rsidRPr="00292F26">
        <w:lastRenderedPageBreak/>
        <w:t>3. Politika Öncelikleri ve Tedbirler</w:t>
      </w:r>
      <w:bookmarkEnd w:id="1253"/>
      <w:bookmarkEnd w:id="1254"/>
      <w:bookmarkEnd w:id="1255"/>
      <w:bookmarkEnd w:id="1256"/>
      <w:bookmarkEnd w:id="1257"/>
      <w:bookmarkEnd w:id="1258"/>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50"/>
        <w:gridCol w:w="1963"/>
        <w:gridCol w:w="753"/>
        <w:gridCol w:w="2278"/>
      </w:tblGrid>
      <w:tr w:rsidR="00565FD5" w:rsidRPr="00292F26" w:rsidTr="00AB62A3">
        <w:trPr>
          <w:jc w:val="center"/>
        </w:trPr>
        <w:tc>
          <w:tcPr>
            <w:tcW w:w="1505" w:type="pct"/>
            <w:vAlign w:val="bottom"/>
          </w:tcPr>
          <w:p w:rsidR="00565FD5" w:rsidRPr="00292F26" w:rsidRDefault="00565FD5" w:rsidP="00AB62A3">
            <w:pPr>
              <w:rPr>
                <w:rFonts w:cs="Tahoma"/>
                <w:b/>
                <w:sz w:val="16"/>
                <w:szCs w:val="16"/>
              </w:rPr>
            </w:pPr>
            <w:r w:rsidRPr="00292F26">
              <w:rPr>
                <w:rFonts w:cs="Tahoma"/>
                <w:b/>
                <w:sz w:val="16"/>
                <w:szCs w:val="16"/>
              </w:rPr>
              <w:t>Öncelik / Tedbir</w:t>
            </w:r>
          </w:p>
        </w:tc>
        <w:tc>
          <w:tcPr>
            <w:tcW w:w="1374" w:type="pct"/>
            <w:vAlign w:val="bottom"/>
          </w:tcPr>
          <w:p w:rsidR="00565FD5" w:rsidRPr="00292F26" w:rsidRDefault="00565FD5" w:rsidP="00AB62A3">
            <w:pPr>
              <w:rPr>
                <w:rFonts w:cs="Tahoma"/>
                <w:b/>
                <w:sz w:val="16"/>
                <w:szCs w:val="16"/>
              </w:rPr>
            </w:pPr>
            <w:r w:rsidRPr="00292F26">
              <w:rPr>
                <w:rFonts w:cs="Tahoma"/>
                <w:b/>
                <w:sz w:val="16"/>
                <w:szCs w:val="16"/>
              </w:rPr>
              <w:t>Sorumlu / İşbirliği Yapılacak Kuruluşlar</w:t>
            </w:r>
          </w:p>
        </w:tc>
        <w:tc>
          <w:tcPr>
            <w:tcW w:w="527" w:type="pct"/>
            <w:vAlign w:val="bottom"/>
          </w:tcPr>
          <w:p w:rsidR="00565FD5" w:rsidRPr="00292F26" w:rsidRDefault="00565FD5" w:rsidP="00AB62A3">
            <w:pPr>
              <w:rPr>
                <w:rFonts w:cs="Tahoma"/>
                <w:b/>
                <w:sz w:val="16"/>
                <w:szCs w:val="16"/>
              </w:rPr>
            </w:pPr>
            <w:r w:rsidRPr="00292F26">
              <w:rPr>
                <w:rFonts w:cs="Tahoma"/>
                <w:b/>
                <w:sz w:val="16"/>
                <w:szCs w:val="16"/>
              </w:rPr>
              <w:t>Süre</w:t>
            </w:r>
          </w:p>
        </w:tc>
        <w:tc>
          <w:tcPr>
            <w:tcW w:w="1594" w:type="pct"/>
            <w:vAlign w:val="bottom"/>
          </w:tcPr>
          <w:p w:rsidR="00565FD5" w:rsidRPr="00292F26" w:rsidRDefault="00565FD5" w:rsidP="00AB62A3">
            <w:pPr>
              <w:rPr>
                <w:rFonts w:cs="Tahoma"/>
                <w:b/>
                <w:sz w:val="16"/>
                <w:szCs w:val="16"/>
              </w:rPr>
            </w:pPr>
            <w:r w:rsidRPr="00292F26">
              <w:rPr>
                <w:rFonts w:cs="Tahoma"/>
                <w:b/>
                <w:sz w:val="16"/>
                <w:szCs w:val="16"/>
              </w:rPr>
              <w:t>Yapılacak İşlem ve Açıklama</w:t>
            </w:r>
          </w:p>
        </w:tc>
      </w:tr>
      <w:tr w:rsidR="00565FD5" w:rsidRPr="00292F26" w:rsidTr="00AB62A3">
        <w:trPr>
          <w:jc w:val="center"/>
        </w:trPr>
        <w:tc>
          <w:tcPr>
            <w:tcW w:w="5000" w:type="pct"/>
            <w:gridSpan w:val="4"/>
          </w:tcPr>
          <w:p w:rsidR="00565FD5" w:rsidRPr="00292F26" w:rsidRDefault="00565FD5" w:rsidP="00EB1E69">
            <w:pPr>
              <w:numPr>
                <w:ilvl w:val="0"/>
                <w:numId w:val="15"/>
              </w:numPr>
              <w:tabs>
                <w:tab w:val="left" w:pos="425"/>
              </w:tabs>
              <w:spacing w:after="0" w:line="240" w:lineRule="auto"/>
              <w:jc w:val="both"/>
              <w:rPr>
                <w:rFonts w:cs="Tahoma"/>
                <w:b/>
                <w:bCs/>
                <w:sz w:val="16"/>
                <w:szCs w:val="16"/>
              </w:rPr>
            </w:pPr>
            <w:r w:rsidRPr="00292F26">
              <w:rPr>
                <w:rFonts w:cs="Tahoma"/>
                <w:b/>
                <w:sz w:val="16"/>
                <w:szCs w:val="16"/>
              </w:rPr>
              <w:t>Kamu kaynaklarının etkin ve verimli kullanılmasına yönelik tedbirler alınacaktır.</w:t>
            </w:r>
          </w:p>
        </w:tc>
      </w:tr>
      <w:tr w:rsidR="00565FD5" w:rsidRPr="00292F26" w:rsidTr="00AB62A3">
        <w:trPr>
          <w:jc w:val="center"/>
        </w:trPr>
        <w:tc>
          <w:tcPr>
            <w:tcW w:w="1505" w:type="pct"/>
          </w:tcPr>
          <w:p w:rsidR="00565FD5" w:rsidRPr="00292F26" w:rsidRDefault="00565FD5" w:rsidP="00EB1E69">
            <w:pPr>
              <w:numPr>
                <w:ilvl w:val="0"/>
                <w:numId w:val="14"/>
              </w:numPr>
              <w:tabs>
                <w:tab w:val="left" w:pos="425"/>
              </w:tabs>
              <w:spacing w:before="40" w:after="40" w:line="240" w:lineRule="auto"/>
              <w:ind w:left="0"/>
              <w:rPr>
                <w:rFonts w:cs="Tahoma"/>
                <w:sz w:val="16"/>
                <w:szCs w:val="16"/>
              </w:rPr>
            </w:pPr>
            <w:r w:rsidRPr="00292F26">
              <w:rPr>
                <w:rFonts w:cs="Tahoma"/>
                <w:sz w:val="16"/>
                <w:szCs w:val="16"/>
              </w:rPr>
              <w:t xml:space="preserve"> Harcama programlarında verimlilik artışı sağlamak amacıyla çalışma yapılacaktır.</w:t>
            </w:r>
          </w:p>
        </w:tc>
        <w:tc>
          <w:tcPr>
            <w:tcW w:w="1374" w:type="pct"/>
          </w:tcPr>
          <w:p w:rsidR="00565FD5" w:rsidRPr="00292F26" w:rsidRDefault="00565FD5" w:rsidP="00AB62A3">
            <w:pPr>
              <w:spacing w:before="40" w:after="40"/>
              <w:rPr>
                <w:rFonts w:cs="Tahoma"/>
                <w:sz w:val="16"/>
                <w:szCs w:val="16"/>
              </w:rPr>
            </w:pPr>
            <w:r w:rsidRPr="00292F26">
              <w:rPr>
                <w:rFonts w:cs="Tahoma"/>
                <w:sz w:val="16"/>
                <w:szCs w:val="16"/>
              </w:rPr>
              <w:t>Maliye Bakanlığı (S), Kalkınma Bakanlığı, Hazine Müsteşarlığı</w:t>
            </w:r>
          </w:p>
        </w:tc>
        <w:tc>
          <w:tcPr>
            <w:tcW w:w="527" w:type="pct"/>
          </w:tcPr>
          <w:p w:rsidR="00565FD5" w:rsidRPr="00292F26" w:rsidRDefault="00565FD5" w:rsidP="00AB62A3">
            <w:pPr>
              <w:spacing w:before="40" w:after="40"/>
              <w:rPr>
                <w:rFonts w:cs="Tahoma"/>
                <w:sz w:val="16"/>
                <w:szCs w:val="16"/>
              </w:rPr>
            </w:pPr>
            <w:r w:rsidRPr="00292F26">
              <w:rPr>
                <w:rFonts w:cs="Tahoma"/>
                <w:sz w:val="16"/>
                <w:szCs w:val="16"/>
              </w:rPr>
              <w:t>Eylül Sonu</w:t>
            </w:r>
          </w:p>
        </w:tc>
        <w:tc>
          <w:tcPr>
            <w:tcW w:w="1594" w:type="pct"/>
          </w:tcPr>
          <w:p w:rsidR="00565FD5" w:rsidRPr="00292F26" w:rsidRDefault="00565FD5" w:rsidP="00AB62A3">
            <w:pPr>
              <w:spacing w:before="40" w:after="40"/>
              <w:rPr>
                <w:rFonts w:cs="Tahoma"/>
                <w:sz w:val="16"/>
                <w:szCs w:val="16"/>
              </w:rPr>
            </w:pPr>
            <w:r w:rsidRPr="00292F26">
              <w:rPr>
                <w:rFonts w:cs="Tahoma"/>
                <w:sz w:val="16"/>
                <w:szCs w:val="16"/>
              </w:rPr>
              <w:t xml:space="preserve">Yıl içerisinde ilgili kuruluşların da işbirliğiyle yapılacak düzenli değerlendirme toplantılarıyla harcama programları yeniden ele alınacaktır. </w:t>
            </w:r>
          </w:p>
        </w:tc>
      </w:tr>
      <w:tr w:rsidR="00565FD5" w:rsidRPr="00292F26" w:rsidTr="00AB62A3">
        <w:trPr>
          <w:jc w:val="center"/>
        </w:trPr>
        <w:tc>
          <w:tcPr>
            <w:tcW w:w="1505" w:type="pct"/>
          </w:tcPr>
          <w:p w:rsidR="00565FD5" w:rsidRPr="008B2175" w:rsidRDefault="00565FD5" w:rsidP="00EB1E69">
            <w:pPr>
              <w:numPr>
                <w:ilvl w:val="0"/>
                <w:numId w:val="14"/>
              </w:numPr>
              <w:tabs>
                <w:tab w:val="left" w:pos="425"/>
              </w:tabs>
              <w:spacing w:before="40" w:after="40" w:line="240" w:lineRule="auto"/>
              <w:ind w:left="0"/>
              <w:rPr>
                <w:rFonts w:cs="Tahoma"/>
                <w:sz w:val="16"/>
                <w:szCs w:val="16"/>
              </w:rPr>
            </w:pPr>
            <w:r w:rsidRPr="008B2175">
              <w:rPr>
                <w:rFonts w:cs="Tahoma"/>
                <w:sz w:val="16"/>
                <w:szCs w:val="16"/>
              </w:rPr>
              <w:t xml:space="preserve"> Tarım sektörüne yönelik yapılan transferler; mali boyutu ve üretimde etkinliği, verimliliği ve kaliteyi artırma amacı dikkate alınarak gözden geçirilecektir.</w:t>
            </w:r>
          </w:p>
        </w:tc>
        <w:tc>
          <w:tcPr>
            <w:tcW w:w="1374" w:type="pct"/>
          </w:tcPr>
          <w:p w:rsidR="00565FD5" w:rsidRPr="008B2175" w:rsidRDefault="00565FD5" w:rsidP="00AB62A3">
            <w:pPr>
              <w:spacing w:before="40" w:after="40"/>
              <w:rPr>
                <w:rFonts w:cs="Tahoma"/>
                <w:sz w:val="16"/>
                <w:szCs w:val="16"/>
              </w:rPr>
            </w:pPr>
            <w:r w:rsidRPr="008B2175">
              <w:rPr>
                <w:rFonts w:cs="Tahoma"/>
                <w:sz w:val="16"/>
                <w:szCs w:val="16"/>
              </w:rPr>
              <w:t>Gıda Tarım ve Hayvancılık Bakanlığı (S), Bilim Sanayi ve Teknoloji Bakanlığı, Gümrük ve Ticaret Bakanlığı, Ekonomi Bakanlığı, Kalkınma Bakanlığı, Maliye Bakanlığı, Orman ve Su İşleri Bakanlığı,  Hazine Müsteşarlığı</w:t>
            </w:r>
          </w:p>
        </w:tc>
        <w:tc>
          <w:tcPr>
            <w:tcW w:w="527" w:type="pct"/>
          </w:tcPr>
          <w:p w:rsidR="00565FD5" w:rsidRPr="008B2175" w:rsidRDefault="00565FD5" w:rsidP="00AB62A3">
            <w:pPr>
              <w:spacing w:before="40" w:after="40"/>
              <w:rPr>
                <w:rFonts w:cs="Tahoma"/>
                <w:sz w:val="16"/>
                <w:szCs w:val="16"/>
              </w:rPr>
            </w:pPr>
            <w:r w:rsidRPr="008B2175">
              <w:rPr>
                <w:rFonts w:cs="Tahoma"/>
                <w:sz w:val="16"/>
                <w:szCs w:val="16"/>
              </w:rPr>
              <w:t>Aralık Sonu</w:t>
            </w:r>
          </w:p>
        </w:tc>
        <w:tc>
          <w:tcPr>
            <w:tcW w:w="1594" w:type="pct"/>
          </w:tcPr>
          <w:p w:rsidR="00565FD5" w:rsidRPr="008B2175" w:rsidRDefault="00565FD5" w:rsidP="00AB62A3">
            <w:pPr>
              <w:spacing w:before="40" w:after="40"/>
              <w:rPr>
                <w:rFonts w:cs="Tahoma"/>
                <w:sz w:val="16"/>
                <w:szCs w:val="16"/>
              </w:rPr>
            </w:pPr>
            <w:r w:rsidRPr="008B2175">
              <w:rPr>
                <w:rFonts w:cs="Tahoma"/>
                <w:sz w:val="16"/>
                <w:szCs w:val="16"/>
              </w:rPr>
              <w:t>Tarım sektörüne yapılan transferlerde kullanılan kamu kaynağı ile elde edilen çıktıyı birlikte değerlendirmek ve söz konusu transferlerin etkinliğini artırmak üzere çalışma yapılacak, farklı destek programları arasında tamamlayıcılık sağlanmasına yönelik çalışmalara devam edilecektir.</w:t>
            </w:r>
          </w:p>
        </w:tc>
      </w:tr>
      <w:tr w:rsidR="00565FD5" w:rsidRPr="00292F26" w:rsidTr="00AB62A3">
        <w:trPr>
          <w:jc w:val="center"/>
        </w:trPr>
        <w:tc>
          <w:tcPr>
            <w:tcW w:w="1505" w:type="pct"/>
          </w:tcPr>
          <w:p w:rsidR="00565FD5" w:rsidRPr="00292F26" w:rsidRDefault="00565FD5" w:rsidP="00EB1E69">
            <w:pPr>
              <w:numPr>
                <w:ilvl w:val="0"/>
                <w:numId w:val="14"/>
              </w:numPr>
              <w:tabs>
                <w:tab w:val="left" w:pos="425"/>
              </w:tabs>
              <w:spacing w:before="40" w:after="40" w:line="240" w:lineRule="auto"/>
              <w:ind w:left="0"/>
              <w:rPr>
                <w:rFonts w:cs="Tahoma"/>
                <w:sz w:val="16"/>
                <w:szCs w:val="16"/>
              </w:rPr>
            </w:pPr>
            <w:r w:rsidRPr="00292F26">
              <w:rPr>
                <w:rFonts w:cs="Tahoma"/>
                <w:sz w:val="16"/>
                <w:szCs w:val="16"/>
              </w:rPr>
              <w:t xml:space="preserve"> Kamuda taşıt tedariki ve kullanımı ile harcırah sisteminin yeniden düzenlenmesine ilişkin çalışmalar yapılacaktır.</w:t>
            </w:r>
          </w:p>
        </w:tc>
        <w:tc>
          <w:tcPr>
            <w:tcW w:w="1374" w:type="pct"/>
          </w:tcPr>
          <w:p w:rsidR="00565FD5" w:rsidRPr="00292F26" w:rsidRDefault="00565FD5" w:rsidP="00AB62A3">
            <w:pPr>
              <w:spacing w:before="40" w:after="40"/>
              <w:rPr>
                <w:rFonts w:cs="Tahoma"/>
                <w:sz w:val="16"/>
                <w:szCs w:val="16"/>
              </w:rPr>
            </w:pPr>
            <w:r w:rsidRPr="00292F26">
              <w:rPr>
                <w:rFonts w:cs="Tahoma"/>
                <w:sz w:val="16"/>
                <w:szCs w:val="16"/>
              </w:rPr>
              <w:t xml:space="preserve">Maliye Bakanlığı (S), İlgili Kamu Kurum ve Kuruluşları  </w:t>
            </w:r>
          </w:p>
        </w:tc>
        <w:tc>
          <w:tcPr>
            <w:tcW w:w="527" w:type="pct"/>
          </w:tcPr>
          <w:p w:rsidR="00565FD5" w:rsidRPr="00292F26" w:rsidRDefault="00565FD5" w:rsidP="00AB62A3">
            <w:pPr>
              <w:spacing w:before="40" w:after="40"/>
              <w:rPr>
                <w:rFonts w:cs="Tahoma"/>
                <w:sz w:val="16"/>
                <w:szCs w:val="16"/>
              </w:rPr>
            </w:pPr>
            <w:r w:rsidRPr="00292F26">
              <w:rPr>
                <w:rFonts w:cs="Tahoma"/>
                <w:sz w:val="16"/>
                <w:szCs w:val="16"/>
              </w:rPr>
              <w:t>Haziran Sonu</w:t>
            </w:r>
          </w:p>
        </w:tc>
        <w:tc>
          <w:tcPr>
            <w:tcW w:w="1594" w:type="pct"/>
          </w:tcPr>
          <w:p w:rsidR="00565FD5" w:rsidRPr="00292F26" w:rsidRDefault="00565FD5" w:rsidP="00AB62A3">
            <w:pPr>
              <w:spacing w:before="40" w:after="40"/>
              <w:rPr>
                <w:rFonts w:cs="Tahoma"/>
                <w:sz w:val="16"/>
                <w:szCs w:val="16"/>
              </w:rPr>
            </w:pPr>
            <w:r w:rsidRPr="00292F26">
              <w:rPr>
                <w:rFonts w:cs="Tahoma"/>
                <w:sz w:val="16"/>
                <w:szCs w:val="16"/>
              </w:rPr>
              <w:t>Taşıt Kanunu ve Harcırah Kanununun günün şartlarına uygun olarak yenilenmesi çalışmaları tamamlanacaktır.</w:t>
            </w:r>
          </w:p>
        </w:tc>
      </w:tr>
      <w:tr w:rsidR="00565FD5" w:rsidRPr="00292F26" w:rsidTr="00AB62A3">
        <w:trPr>
          <w:jc w:val="center"/>
        </w:trPr>
        <w:tc>
          <w:tcPr>
            <w:tcW w:w="1505" w:type="pct"/>
          </w:tcPr>
          <w:p w:rsidR="00565FD5" w:rsidRPr="00292F26" w:rsidRDefault="00565FD5" w:rsidP="00EB1E69">
            <w:pPr>
              <w:numPr>
                <w:ilvl w:val="0"/>
                <w:numId w:val="14"/>
              </w:numPr>
              <w:tabs>
                <w:tab w:val="left" w:pos="425"/>
              </w:tabs>
              <w:spacing w:before="40" w:after="40" w:line="240" w:lineRule="auto"/>
              <w:ind w:left="0"/>
              <w:rPr>
                <w:rFonts w:cs="Tahoma"/>
                <w:sz w:val="16"/>
                <w:szCs w:val="16"/>
              </w:rPr>
            </w:pPr>
            <w:r w:rsidRPr="00292F26">
              <w:rPr>
                <w:rFonts w:cs="Tahoma"/>
                <w:sz w:val="16"/>
                <w:szCs w:val="16"/>
              </w:rPr>
              <w:t xml:space="preserve"> Merkezi yönetim kapsamındaki kamu idarelerinin taşınır kayıt ve işlemleri tek bir sistem üzerinden yapılacaktır. </w:t>
            </w:r>
          </w:p>
        </w:tc>
        <w:tc>
          <w:tcPr>
            <w:tcW w:w="1374" w:type="pct"/>
          </w:tcPr>
          <w:p w:rsidR="00565FD5" w:rsidRPr="00292F26" w:rsidRDefault="00565FD5" w:rsidP="00AB62A3">
            <w:pPr>
              <w:spacing w:before="40" w:after="40"/>
              <w:rPr>
                <w:rFonts w:cs="Tahoma"/>
                <w:sz w:val="16"/>
                <w:szCs w:val="16"/>
              </w:rPr>
            </w:pPr>
            <w:r w:rsidRPr="00292F26">
              <w:rPr>
                <w:rFonts w:cs="Tahoma"/>
                <w:sz w:val="16"/>
                <w:szCs w:val="16"/>
              </w:rPr>
              <w:t>Maliye Bakanlığı (S), İlgili Kamu Kurum ve Kuruluşları</w:t>
            </w:r>
          </w:p>
        </w:tc>
        <w:tc>
          <w:tcPr>
            <w:tcW w:w="527" w:type="pct"/>
          </w:tcPr>
          <w:p w:rsidR="00565FD5" w:rsidRPr="00292F26" w:rsidRDefault="00565FD5" w:rsidP="00AB62A3">
            <w:pPr>
              <w:spacing w:before="40" w:after="40"/>
              <w:rPr>
                <w:rFonts w:cs="Tahoma"/>
                <w:sz w:val="16"/>
                <w:szCs w:val="16"/>
              </w:rPr>
            </w:pPr>
            <w:r w:rsidRPr="00292F26">
              <w:rPr>
                <w:rFonts w:cs="Tahoma"/>
                <w:sz w:val="16"/>
                <w:szCs w:val="16"/>
              </w:rPr>
              <w:t>Aralık Sonu</w:t>
            </w:r>
          </w:p>
        </w:tc>
        <w:tc>
          <w:tcPr>
            <w:tcW w:w="1594" w:type="pct"/>
          </w:tcPr>
          <w:p w:rsidR="00565FD5" w:rsidRPr="00292F26" w:rsidRDefault="00565FD5" w:rsidP="00AB62A3">
            <w:pPr>
              <w:spacing w:before="40" w:after="40"/>
              <w:rPr>
                <w:rFonts w:cs="Tahoma"/>
                <w:sz w:val="16"/>
                <w:szCs w:val="16"/>
              </w:rPr>
            </w:pPr>
            <w:r w:rsidRPr="00292F26">
              <w:rPr>
                <w:rFonts w:cs="Tahoma"/>
                <w:sz w:val="16"/>
                <w:szCs w:val="16"/>
              </w:rPr>
              <w:t>İlgili kurumların sisteme dâhil edilebilmesi için eğitimler düzenlenecek ve sistemin iyileştirilmesi için gerekli çalışmalar yürütülecektir.</w:t>
            </w:r>
          </w:p>
        </w:tc>
      </w:tr>
      <w:tr w:rsidR="00565FD5" w:rsidRPr="00292F26" w:rsidTr="00AB62A3">
        <w:trPr>
          <w:jc w:val="center"/>
        </w:trPr>
        <w:tc>
          <w:tcPr>
            <w:tcW w:w="1505" w:type="pct"/>
          </w:tcPr>
          <w:p w:rsidR="00565FD5" w:rsidRPr="00292F26" w:rsidRDefault="00565FD5" w:rsidP="00EB1E69">
            <w:pPr>
              <w:numPr>
                <w:ilvl w:val="0"/>
                <w:numId w:val="14"/>
              </w:numPr>
              <w:tabs>
                <w:tab w:val="left" w:pos="425"/>
              </w:tabs>
              <w:spacing w:before="40" w:after="40" w:line="240" w:lineRule="auto"/>
              <w:ind w:left="0"/>
              <w:rPr>
                <w:rFonts w:cs="Tahoma"/>
                <w:sz w:val="16"/>
                <w:szCs w:val="16"/>
              </w:rPr>
            </w:pPr>
            <w:r w:rsidRPr="00292F26">
              <w:rPr>
                <w:rFonts w:cs="Tahoma"/>
                <w:sz w:val="16"/>
                <w:szCs w:val="16"/>
              </w:rPr>
              <w:t>Cadde ve sokak aydınlatmaları konusunda mevcut sistemin etkinleştirilmesini teminen gerekli düzenlemeler yapılacaktır.</w:t>
            </w:r>
          </w:p>
        </w:tc>
        <w:tc>
          <w:tcPr>
            <w:tcW w:w="1374" w:type="pct"/>
          </w:tcPr>
          <w:p w:rsidR="00565FD5" w:rsidRPr="00292F26" w:rsidRDefault="00565FD5" w:rsidP="00AB62A3">
            <w:pPr>
              <w:spacing w:before="40" w:after="40"/>
              <w:rPr>
                <w:rFonts w:cs="Tahoma"/>
                <w:sz w:val="16"/>
                <w:szCs w:val="16"/>
              </w:rPr>
            </w:pPr>
            <w:r w:rsidRPr="00292F26">
              <w:rPr>
                <w:rFonts w:cs="Tahoma"/>
                <w:sz w:val="16"/>
                <w:szCs w:val="16"/>
              </w:rPr>
              <w:t>Enerji ve Tabii Kaynaklar Bakanlığı (S), Hazine Müsteşarlığı, Enerji Piyasası Düzenleme Kurumu, İçişleri Bakanlığı, Özelleştirme İdaresi Başkanlığı</w:t>
            </w:r>
          </w:p>
        </w:tc>
        <w:tc>
          <w:tcPr>
            <w:tcW w:w="527" w:type="pct"/>
          </w:tcPr>
          <w:p w:rsidR="00565FD5" w:rsidRPr="00292F26" w:rsidRDefault="00565FD5" w:rsidP="00AB62A3">
            <w:pPr>
              <w:spacing w:before="40" w:after="40"/>
              <w:rPr>
                <w:rFonts w:cs="Tahoma"/>
                <w:sz w:val="16"/>
                <w:szCs w:val="16"/>
              </w:rPr>
            </w:pPr>
            <w:r w:rsidRPr="00292F26">
              <w:rPr>
                <w:rFonts w:cs="Tahoma"/>
                <w:sz w:val="16"/>
                <w:szCs w:val="16"/>
              </w:rPr>
              <w:t>Aralık Sonu</w:t>
            </w:r>
          </w:p>
        </w:tc>
        <w:tc>
          <w:tcPr>
            <w:tcW w:w="1594" w:type="pct"/>
          </w:tcPr>
          <w:p w:rsidR="00565FD5" w:rsidRPr="00292F26" w:rsidRDefault="00565FD5" w:rsidP="00AB62A3">
            <w:pPr>
              <w:spacing w:before="40" w:after="40"/>
              <w:rPr>
                <w:rFonts w:cs="Tahoma"/>
                <w:sz w:val="16"/>
                <w:szCs w:val="16"/>
              </w:rPr>
            </w:pPr>
            <w:r w:rsidRPr="00292F26">
              <w:rPr>
                <w:rFonts w:cs="Tahoma"/>
                <w:sz w:val="16"/>
                <w:szCs w:val="16"/>
              </w:rPr>
              <w:t>Cadde ve sokak aydınlatma bedellerinin ilgili kurumlar tarafından ödenmesi ve denetimlerin koordineli ve etkin bir şekilde yapılabilmesini sağlamaya yönelik çalışmalar yapılacaktır.</w:t>
            </w:r>
          </w:p>
        </w:tc>
      </w:tr>
      <w:tr w:rsidR="00565FD5" w:rsidRPr="00292F26" w:rsidTr="00AB62A3">
        <w:trPr>
          <w:jc w:val="center"/>
        </w:trPr>
        <w:tc>
          <w:tcPr>
            <w:tcW w:w="1505" w:type="pct"/>
          </w:tcPr>
          <w:p w:rsidR="00565FD5" w:rsidRPr="00292F26" w:rsidRDefault="00565FD5" w:rsidP="00EB1E69">
            <w:pPr>
              <w:numPr>
                <w:ilvl w:val="0"/>
                <w:numId w:val="14"/>
              </w:numPr>
              <w:tabs>
                <w:tab w:val="left" w:pos="425"/>
              </w:tabs>
              <w:spacing w:after="0" w:line="240" w:lineRule="auto"/>
              <w:ind w:left="0"/>
              <w:rPr>
                <w:rFonts w:cs="Tahoma"/>
                <w:sz w:val="16"/>
                <w:szCs w:val="16"/>
              </w:rPr>
            </w:pPr>
            <w:r w:rsidRPr="00292F26">
              <w:rPr>
                <w:rFonts w:cs="Tahoma"/>
                <w:sz w:val="16"/>
                <w:szCs w:val="16"/>
              </w:rPr>
              <w:t xml:space="preserve">Hazine taşınmazlarının ekonomiye kazandırılması sağlanacaktır. </w:t>
            </w:r>
          </w:p>
        </w:tc>
        <w:tc>
          <w:tcPr>
            <w:tcW w:w="1374" w:type="pct"/>
          </w:tcPr>
          <w:p w:rsidR="00565FD5" w:rsidRPr="00292F26" w:rsidRDefault="00565FD5" w:rsidP="00AB62A3">
            <w:pPr>
              <w:rPr>
                <w:rFonts w:cs="Tahoma"/>
                <w:sz w:val="16"/>
                <w:szCs w:val="16"/>
              </w:rPr>
            </w:pPr>
            <w:r w:rsidRPr="00292F26">
              <w:rPr>
                <w:rFonts w:cs="Tahoma"/>
                <w:sz w:val="16"/>
                <w:szCs w:val="16"/>
              </w:rPr>
              <w:t xml:space="preserve">Maliye Bakanlığı (S), İlgili Kamu Kurum ve Kuruluşları  </w:t>
            </w:r>
          </w:p>
        </w:tc>
        <w:tc>
          <w:tcPr>
            <w:tcW w:w="527" w:type="pct"/>
          </w:tcPr>
          <w:p w:rsidR="00565FD5" w:rsidRPr="00292F26" w:rsidRDefault="00565FD5" w:rsidP="00AB62A3">
            <w:pPr>
              <w:rPr>
                <w:rFonts w:cs="Tahoma"/>
                <w:sz w:val="16"/>
                <w:szCs w:val="16"/>
              </w:rPr>
            </w:pPr>
            <w:r w:rsidRPr="00292F26">
              <w:rPr>
                <w:rFonts w:cs="Tahoma"/>
                <w:sz w:val="16"/>
                <w:szCs w:val="16"/>
              </w:rPr>
              <w:t>Aralık Sonu</w:t>
            </w:r>
          </w:p>
        </w:tc>
        <w:tc>
          <w:tcPr>
            <w:tcW w:w="1594" w:type="pct"/>
          </w:tcPr>
          <w:p w:rsidR="00565FD5" w:rsidRPr="00292F26" w:rsidRDefault="00565FD5" w:rsidP="00AB62A3">
            <w:pPr>
              <w:rPr>
                <w:rFonts w:cs="Tahoma"/>
                <w:sz w:val="16"/>
                <w:szCs w:val="16"/>
              </w:rPr>
            </w:pPr>
            <w:r w:rsidRPr="00292F26">
              <w:rPr>
                <w:rFonts w:cs="Tahoma"/>
                <w:sz w:val="16"/>
                <w:szCs w:val="16"/>
              </w:rPr>
              <w:t xml:space="preserve">Genel ve Özel Bütçeli İdareler, Düzenleyici ve Denetleyici Kurumlar, Sosyal Güvenlik Kurumları ve Mahalli İdarelere tahsisli olup, tahsis amacında kullanılmayan atıl taşınmazların belirlenmesi ve bu taşınmazların diğer yöntemlerle ekonomiye </w:t>
            </w:r>
            <w:r w:rsidRPr="00292F26">
              <w:rPr>
                <w:rFonts w:cs="Tahoma"/>
                <w:sz w:val="16"/>
                <w:szCs w:val="16"/>
              </w:rPr>
              <w:lastRenderedPageBreak/>
              <w:t xml:space="preserve">kazandırılmasına ilişkin çalışmalara devam edilecektir. </w:t>
            </w:r>
          </w:p>
        </w:tc>
      </w:tr>
      <w:tr w:rsidR="00565FD5" w:rsidRPr="00292F26" w:rsidTr="00AB62A3">
        <w:trPr>
          <w:jc w:val="center"/>
        </w:trPr>
        <w:tc>
          <w:tcPr>
            <w:tcW w:w="1505" w:type="pct"/>
          </w:tcPr>
          <w:p w:rsidR="00565FD5" w:rsidRPr="00292F26" w:rsidRDefault="00565FD5" w:rsidP="00EB1E69">
            <w:pPr>
              <w:numPr>
                <w:ilvl w:val="0"/>
                <w:numId w:val="14"/>
              </w:numPr>
              <w:tabs>
                <w:tab w:val="left" w:pos="425"/>
              </w:tabs>
              <w:spacing w:after="0" w:line="240" w:lineRule="auto"/>
              <w:ind w:left="34"/>
              <w:rPr>
                <w:rFonts w:cs="Tahoma"/>
                <w:sz w:val="16"/>
                <w:szCs w:val="16"/>
              </w:rPr>
            </w:pPr>
            <w:r w:rsidRPr="00292F26">
              <w:rPr>
                <w:rFonts w:cs="Tahoma"/>
                <w:sz w:val="16"/>
                <w:szCs w:val="16"/>
              </w:rPr>
              <w:lastRenderedPageBreak/>
              <w:t xml:space="preserve"> Hazine taşınmazlarıyla ilgili işlemler Milli Emlak Otomasyon Projesi (MEOP) kapsamında güncellenecek ve geliştirilecektir.</w:t>
            </w:r>
          </w:p>
        </w:tc>
        <w:tc>
          <w:tcPr>
            <w:tcW w:w="1374" w:type="pct"/>
          </w:tcPr>
          <w:p w:rsidR="00565FD5" w:rsidRPr="00292F26" w:rsidRDefault="00565FD5" w:rsidP="00AB62A3">
            <w:pPr>
              <w:rPr>
                <w:rFonts w:cs="Tahoma"/>
                <w:sz w:val="16"/>
                <w:szCs w:val="16"/>
              </w:rPr>
            </w:pPr>
            <w:r w:rsidRPr="00292F26">
              <w:rPr>
                <w:rFonts w:cs="Tahoma"/>
                <w:sz w:val="16"/>
                <w:szCs w:val="16"/>
              </w:rPr>
              <w:t xml:space="preserve">Maliye Bakanlığı (S), İlgili Kamu Kurum ve Kuruluşları  </w:t>
            </w:r>
          </w:p>
        </w:tc>
        <w:tc>
          <w:tcPr>
            <w:tcW w:w="527" w:type="pct"/>
          </w:tcPr>
          <w:p w:rsidR="00565FD5" w:rsidRPr="00292F26" w:rsidRDefault="00565FD5" w:rsidP="00AB62A3">
            <w:pPr>
              <w:rPr>
                <w:rFonts w:cs="Tahoma"/>
                <w:sz w:val="16"/>
                <w:szCs w:val="16"/>
              </w:rPr>
            </w:pPr>
            <w:r w:rsidRPr="00292F26">
              <w:rPr>
                <w:rFonts w:cs="Tahoma"/>
                <w:sz w:val="16"/>
                <w:szCs w:val="16"/>
              </w:rPr>
              <w:t>Aralık Sonu</w:t>
            </w:r>
          </w:p>
        </w:tc>
        <w:tc>
          <w:tcPr>
            <w:tcW w:w="1594" w:type="pct"/>
          </w:tcPr>
          <w:p w:rsidR="00565FD5" w:rsidRPr="00292F26" w:rsidRDefault="00565FD5" w:rsidP="00AB62A3">
            <w:pPr>
              <w:rPr>
                <w:rFonts w:cs="Tahoma"/>
                <w:sz w:val="16"/>
                <w:szCs w:val="16"/>
              </w:rPr>
            </w:pPr>
            <w:r w:rsidRPr="00292F26">
              <w:rPr>
                <w:rFonts w:cs="Tahoma"/>
                <w:sz w:val="16"/>
                <w:szCs w:val="16"/>
              </w:rPr>
              <w:t>MEOP II ve Coğrafi Bilgi Sistemi (CBS) üzerinden bütünleşik olarak diğer kurum ve kuruluşlara bilgi sağlanacaktır. MEOP II WEB Tabanlı yeni uygulamalar tamamlanmış olup geçiş süreci başlatılmıştır. 2012 yılı sonuna kadar sistem tamamlanacaktır. CBS’nin temel harita katmanlarının oluşturulmasına devam edilecek olup, ortofoto arşivi büyütülecek ve geliştirilen ara yüzler en kısa sürede hizmete alınacaktır. Tapu ve Kadastro Genel Müdürlüğü ile tam entegrasyon gerçekleştirilecektir.</w:t>
            </w:r>
          </w:p>
        </w:tc>
      </w:tr>
      <w:tr w:rsidR="00565FD5" w:rsidRPr="00292F26" w:rsidTr="00AB62A3">
        <w:trPr>
          <w:jc w:val="center"/>
        </w:trPr>
        <w:tc>
          <w:tcPr>
            <w:tcW w:w="1505" w:type="pct"/>
          </w:tcPr>
          <w:p w:rsidR="00565FD5" w:rsidRPr="00292F26" w:rsidRDefault="00565FD5" w:rsidP="00EB1E69">
            <w:pPr>
              <w:numPr>
                <w:ilvl w:val="0"/>
                <w:numId w:val="14"/>
              </w:numPr>
              <w:tabs>
                <w:tab w:val="left" w:pos="425"/>
              </w:tabs>
              <w:spacing w:after="0" w:line="240" w:lineRule="auto"/>
              <w:ind w:left="34"/>
              <w:rPr>
                <w:rFonts w:cs="Tahoma"/>
                <w:sz w:val="16"/>
                <w:szCs w:val="16"/>
              </w:rPr>
            </w:pPr>
            <w:r w:rsidRPr="00292F26">
              <w:rPr>
                <w:rFonts w:cs="Tahoma"/>
                <w:sz w:val="16"/>
                <w:szCs w:val="16"/>
              </w:rPr>
              <w:t xml:space="preserve"> Hazine taşınmazlarının yönetiminde etkinliği artırmaya yönelik mevzuat düzenlemesi yapılacaktır.</w:t>
            </w:r>
          </w:p>
        </w:tc>
        <w:tc>
          <w:tcPr>
            <w:tcW w:w="1374" w:type="pct"/>
          </w:tcPr>
          <w:p w:rsidR="00565FD5" w:rsidRPr="00292F26" w:rsidRDefault="00565FD5" w:rsidP="00AB62A3">
            <w:pPr>
              <w:rPr>
                <w:rFonts w:cs="Tahoma"/>
                <w:sz w:val="16"/>
                <w:szCs w:val="16"/>
              </w:rPr>
            </w:pPr>
            <w:r w:rsidRPr="00292F26">
              <w:rPr>
                <w:rFonts w:cs="Tahoma"/>
                <w:sz w:val="16"/>
                <w:szCs w:val="16"/>
              </w:rPr>
              <w:t xml:space="preserve">Maliye Bakanlığı (S), İlgili Kamu Kurum ve Kuruluşları  </w:t>
            </w:r>
          </w:p>
        </w:tc>
        <w:tc>
          <w:tcPr>
            <w:tcW w:w="527" w:type="pct"/>
          </w:tcPr>
          <w:p w:rsidR="00565FD5" w:rsidRPr="00292F26" w:rsidRDefault="00565FD5" w:rsidP="00AB62A3">
            <w:pPr>
              <w:rPr>
                <w:rFonts w:cs="Tahoma"/>
                <w:sz w:val="16"/>
                <w:szCs w:val="16"/>
              </w:rPr>
            </w:pPr>
            <w:r w:rsidRPr="00292F26">
              <w:rPr>
                <w:rFonts w:cs="Tahoma"/>
                <w:sz w:val="16"/>
                <w:szCs w:val="16"/>
              </w:rPr>
              <w:t>Aralık Sonu</w:t>
            </w:r>
          </w:p>
        </w:tc>
        <w:tc>
          <w:tcPr>
            <w:tcW w:w="1594" w:type="pct"/>
          </w:tcPr>
          <w:p w:rsidR="00565FD5" w:rsidRPr="00292F26" w:rsidRDefault="00565FD5" w:rsidP="00AB62A3">
            <w:pPr>
              <w:rPr>
                <w:rFonts w:cs="Tahoma"/>
                <w:sz w:val="16"/>
                <w:szCs w:val="16"/>
              </w:rPr>
            </w:pPr>
            <w:r w:rsidRPr="00292F26">
              <w:rPr>
                <w:rFonts w:cs="Tahoma"/>
                <w:sz w:val="16"/>
                <w:szCs w:val="16"/>
              </w:rPr>
              <w:t xml:space="preserve">Hazine taşınmazlarının kiralanması sürecinin basitleştirilmesi ve Borçlar Kanunu hükümlerine paralel biçimde düzenlenmesine ilişkin çalışmalar yürütülecektir. </w:t>
            </w:r>
          </w:p>
        </w:tc>
      </w:tr>
      <w:tr w:rsidR="00565FD5" w:rsidRPr="00292F26" w:rsidTr="00AB62A3">
        <w:trPr>
          <w:jc w:val="center"/>
        </w:trPr>
        <w:tc>
          <w:tcPr>
            <w:tcW w:w="1505" w:type="pct"/>
          </w:tcPr>
          <w:p w:rsidR="00565FD5" w:rsidRPr="00292F26" w:rsidRDefault="00565FD5" w:rsidP="00EB1E69">
            <w:pPr>
              <w:numPr>
                <w:ilvl w:val="0"/>
                <w:numId w:val="14"/>
              </w:numPr>
              <w:tabs>
                <w:tab w:val="left" w:pos="425"/>
              </w:tabs>
              <w:spacing w:after="0" w:line="240" w:lineRule="auto"/>
              <w:ind w:left="34"/>
              <w:rPr>
                <w:rFonts w:cs="Tahoma"/>
                <w:sz w:val="16"/>
                <w:szCs w:val="16"/>
              </w:rPr>
            </w:pPr>
            <w:r w:rsidRPr="00292F26">
              <w:rPr>
                <w:rFonts w:cs="Tahoma"/>
                <w:sz w:val="16"/>
                <w:szCs w:val="16"/>
              </w:rPr>
              <w:t xml:space="preserve"> Kamu ihale sisteminin etkinliğinin artırılması yönünde düzenlemeler yapılacaktır.</w:t>
            </w:r>
          </w:p>
        </w:tc>
        <w:tc>
          <w:tcPr>
            <w:tcW w:w="1374" w:type="pct"/>
          </w:tcPr>
          <w:p w:rsidR="00565FD5" w:rsidRPr="00292F26" w:rsidRDefault="00565FD5" w:rsidP="00AB62A3">
            <w:pPr>
              <w:rPr>
                <w:rFonts w:cs="Tahoma"/>
                <w:sz w:val="16"/>
                <w:szCs w:val="16"/>
              </w:rPr>
            </w:pPr>
            <w:r w:rsidRPr="00292F26">
              <w:rPr>
                <w:rFonts w:cs="Tahoma"/>
                <w:sz w:val="16"/>
                <w:szCs w:val="16"/>
              </w:rPr>
              <w:t xml:space="preserve">Maliye Bakanlığı (S), İlgili Kamu Kurum ve Kuruluşları  </w:t>
            </w:r>
          </w:p>
        </w:tc>
        <w:tc>
          <w:tcPr>
            <w:tcW w:w="527" w:type="pct"/>
          </w:tcPr>
          <w:p w:rsidR="00565FD5" w:rsidRPr="00292F26" w:rsidRDefault="00565FD5" w:rsidP="00AB62A3">
            <w:pPr>
              <w:rPr>
                <w:rFonts w:cs="Tahoma"/>
                <w:sz w:val="16"/>
                <w:szCs w:val="16"/>
              </w:rPr>
            </w:pPr>
            <w:r w:rsidRPr="00292F26">
              <w:rPr>
                <w:rFonts w:cs="Tahoma"/>
                <w:sz w:val="16"/>
                <w:szCs w:val="16"/>
              </w:rPr>
              <w:t>Haziran Sonu</w:t>
            </w:r>
          </w:p>
        </w:tc>
        <w:tc>
          <w:tcPr>
            <w:tcW w:w="1594" w:type="pct"/>
          </w:tcPr>
          <w:p w:rsidR="00565FD5" w:rsidRPr="00292F26" w:rsidRDefault="00565FD5" w:rsidP="00AB62A3">
            <w:pPr>
              <w:rPr>
                <w:rFonts w:cs="Tahoma"/>
                <w:sz w:val="16"/>
                <w:szCs w:val="16"/>
              </w:rPr>
            </w:pPr>
            <w:r w:rsidRPr="00292F26">
              <w:rPr>
                <w:rFonts w:cs="Tahoma"/>
                <w:sz w:val="16"/>
                <w:szCs w:val="16"/>
              </w:rPr>
              <w:t>4734 ve 4735 sayılı Kanunlarda değişiklik yapılacaktır.</w:t>
            </w:r>
          </w:p>
        </w:tc>
      </w:tr>
      <w:tr w:rsidR="00565FD5" w:rsidRPr="00292F26" w:rsidTr="00AB62A3">
        <w:trPr>
          <w:jc w:val="center"/>
        </w:trPr>
        <w:tc>
          <w:tcPr>
            <w:tcW w:w="5000" w:type="pct"/>
            <w:gridSpan w:val="4"/>
          </w:tcPr>
          <w:p w:rsidR="00565FD5" w:rsidRPr="00292F26" w:rsidRDefault="00565FD5" w:rsidP="00EB1E69">
            <w:pPr>
              <w:numPr>
                <w:ilvl w:val="0"/>
                <w:numId w:val="15"/>
              </w:numPr>
              <w:tabs>
                <w:tab w:val="left" w:pos="425"/>
              </w:tabs>
              <w:spacing w:after="0" w:line="240" w:lineRule="auto"/>
              <w:jc w:val="both"/>
              <w:rPr>
                <w:rFonts w:cs="Tahoma"/>
                <w:b/>
                <w:bCs/>
                <w:sz w:val="16"/>
                <w:szCs w:val="16"/>
              </w:rPr>
            </w:pPr>
            <w:r w:rsidRPr="00292F26">
              <w:rPr>
                <w:rFonts w:cs="Tahoma"/>
                <w:b/>
                <w:sz w:val="16"/>
                <w:szCs w:val="16"/>
              </w:rPr>
              <w:t>Basit, öngörülebilir, adil ve geniş tabanlı bir vergi sisteminin oluşturulması çalışmaları sürdürülecektir.</w:t>
            </w:r>
          </w:p>
        </w:tc>
      </w:tr>
      <w:tr w:rsidR="00565FD5" w:rsidRPr="00292F26" w:rsidTr="00AB62A3">
        <w:trPr>
          <w:jc w:val="center"/>
        </w:trPr>
        <w:tc>
          <w:tcPr>
            <w:tcW w:w="1505" w:type="pct"/>
          </w:tcPr>
          <w:p w:rsidR="00565FD5" w:rsidRPr="00292F26" w:rsidRDefault="00565FD5" w:rsidP="00EB1E69">
            <w:pPr>
              <w:numPr>
                <w:ilvl w:val="0"/>
                <w:numId w:val="14"/>
              </w:numPr>
              <w:tabs>
                <w:tab w:val="left" w:pos="425"/>
              </w:tabs>
              <w:spacing w:after="40" w:line="240" w:lineRule="auto"/>
              <w:ind w:left="34"/>
              <w:rPr>
                <w:rFonts w:cs="Tahoma"/>
                <w:sz w:val="16"/>
                <w:szCs w:val="16"/>
              </w:rPr>
            </w:pPr>
            <w:r w:rsidRPr="00292F26">
              <w:rPr>
                <w:rFonts w:cs="Tahoma"/>
                <w:sz w:val="16"/>
                <w:szCs w:val="16"/>
              </w:rPr>
              <w:t xml:space="preserve"> Gelir vergisi sistemi yeniden düzenlenecektir.</w:t>
            </w:r>
          </w:p>
        </w:tc>
        <w:tc>
          <w:tcPr>
            <w:tcW w:w="1374" w:type="pct"/>
          </w:tcPr>
          <w:p w:rsidR="00565FD5" w:rsidRPr="00292F26" w:rsidRDefault="00565FD5" w:rsidP="00AB62A3">
            <w:pPr>
              <w:spacing w:after="40"/>
              <w:rPr>
                <w:rFonts w:cs="Tahoma"/>
                <w:sz w:val="16"/>
                <w:szCs w:val="16"/>
              </w:rPr>
            </w:pPr>
            <w:r w:rsidRPr="00292F26">
              <w:rPr>
                <w:rFonts w:cs="Tahoma"/>
                <w:sz w:val="16"/>
                <w:szCs w:val="16"/>
              </w:rPr>
              <w:t xml:space="preserve">Maliye Bakanlığı (S), Kalkınma Bakanlığı, Hazine Müsteşarlığı, Gelir </w:t>
            </w:r>
            <w:r>
              <w:rPr>
                <w:rFonts w:cs="Tahoma"/>
                <w:sz w:val="16"/>
                <w:szCs w:val="16"/>
              </w:rPr>
              <w:t>İ</w:t>
            </w:r>
            <w:r w:rsidRPr="00292F26">
              <w:rPr>
                <w:rFonts w:cs="Tahoma"/>
                <w:sz w:val="16"/>
                <w:szCs w:val="16"/>
              </w:rPr>
              <w:t xml:space="preserve">daresi Başkanlığı, Vergi Konseyi,  İlgili Kamu Kurum ve Kuruluşları, Meslek Odaları </w:t>
            </w:r>
          </w:p>
        </w:tc>
        <w:tc>
          <w:tcPr>
            <w:tcW w:w="527" w:type="pct"/>
          </w:tcPr>
          <w:p w:rsidR="00565FD5" w:rsidRPr="00292F26" w:rsidRDefault="00565FD5" w:rsidP="00AB62A3">
            <w:pPr>
              <w:spacing w:after="40"/>
              <w:rPr>
                <w:rFonts w:cs="Tahoma"/>
                <w:sz w:val="16"/>
                <w:szCs w:val="16"/>
              </w:rPr>
            </w:pPr>
            <w:r w:rsidRPr="00292F26">
              <w:rPr>
                <w:rFonts w:cs="Tahoma"/>
                <w:sz w:val="16"/>
                <w:szCs w:val="16"/>
              </w:rPr>
              <w:t>Aralık Sonu</w:t>
            </w:r>
          </w:p>
        </w:tc>
        <w:tc>
          <w:tcPr>
            <w:tcW w:w="1594" w:type="pct"/>
          </w:tcPr>
          <w:p w:rsidR="00565FD5" w:rsidRPr="00292F26" w:rsidRDefault="00565FD5" w:rsidP="00AB62A3">
            <w:pPr>
              <w:spacing w:after="40"/>
              <w:rPr>
                <w:rFonts w:cs="Tahoma"/>
                <w:sz w:val="16"/>
                <w:szCs w:val="16"/>
              </w:rPr>
            </w:pPr>
            <w:r w:rsidRPr="00292F26">
              <w:rPr>
                <w:rFonts w:cs="Tahoma"/>
                <w:sz w:val="16"/>
                <w:szCs w:val="16"/>
              </w:rPr>
              <w:t>Etkili ve verimli bir vergi sisteminin oluşturulmasına yönelik çalışmalar kapsamında, serbest piyasa ekonomisiyle uyumlu, yatırımları ve istihdamı destekleyen ve vergiye uyumu artırarak kayıt dışılığı azaltan, yeni Gelir Vergisi Kanunu hazırlanması için mevzuatta yapılması öngörülen değişiklikler tamamlanacak, yeni Gelir Vergisi Kanunu hazırlanacaktır.</w:t>
            </w:r>
          </w:p>
        </w:tc>
      </w:tr>
      <w:tr w:rsidR="00565FD5" w:rsidRPr="00292F26" w:rsidTr="00AB62A3">
        <w:trPr>
          <w:jc w:val="center"/>
        </w:trPr>
        <w:tc>
          <w:tcPr>
            <w:tcW w:w="1505" w:type="pct"/>
          </w:tcPr>
          <w:p w:rsidR="00565FD5" w:rsidRPr="00292F26" w:rsidRDefault="00565FD5" w:rsidP="00EB1E69">
            <w:pPr>
              <w:numPr>
                <w:ilvl w:val="0"/>
                <w:numId w:val="14"/>
              </w:numPr>
              <w:tabs>
                <w:tab w:val="left" w:pos="425"/>
              </w:tabs>
              <w:spacing w:after="40" w:line="240" w:lineRule="auto"/>
              <w:ind w:left="34"/>
              <w:rPr>
                <w:rFonts w:cs="Tahoma"/>
                <w:sz w:val="16"/>
                <w:szCs w:val="16"/>
              </w:rPr>
            </w:pPr>
            <w:r w:rsidRPr="00292F26">
              <w:rPr>
                <w:rFonts w:cs="Tahoma"/>
                <w:sz w:val="16"/>
                <w:szCs w:val="16"/>
              </w:rPr>
              <w:lastRenderedPageBreak/>
              <w:t xml:space="preserve"> Vergi Usul Kanunu yeniden düzenlenecektir.</w:t>
            </w:r>
          </w:p>
        </w:tc>
        <w:tc>
          <w:tcPr>
            <w:tcW w:w="1374" w:type="pct"/>
          </w:tcPr>
          <w:p w:rsidR="00565FD5" w:rsidRPr="00292F26" w:rsidRDefault="00565FD5" w:rsidP="00AB62A3">
            <w:pPr>
              <w:spacing w:after="40"/>
              <w:rPr>
                <w:rFonts w:cs="Tahoma"/>
                <w:sz w:val="16"/>
                <w:szCs w:val="16"/>
              </w:rPr>
            </w:pPr>
            <w:r w:rsidRPr="00292F26">
              <w:rPr>
                <w:rFonts w:cs="Tahoma"/>
                <w:sz w:val="16"/>
                <w:szCs w:val="16"/>
              </w:rPr>
              <w:t>Maliye Bakanlığı (S),  Gelir İdaresi Başkanlığı, Vergi Konseyi, Meslek Odaları, İlgili Kamu Kurum ve Kuruluşları</w:t>
            </w:r>
          </w:p>
        </w:tc>
        <w:tc>
          <w:tcPr>
            <w:tcW w:w="527" w:type="pct"/>
          </w:tcPr>
          <w:p w:rsidR="00565FD5" w:rsidRPr="00292F26" w:rsidRDefault="00565FD5" w:rsidP="00AB62A3">
            <w:pPr>
              <w:spacing w:after="40"/>
              <w:rPr>
                <w:rFonts w:cs="Tahoma"/>
                <w:sz w:val="16"/>
                <w:szCs w:val="16"/>
              </w:rPr>
            </w:pPr>
            <w:r w:rsidRPr="00292F26">
              <w:rPr>
                <w:rFonts w:cs="Tahoma"/>
                <w:sz w:val="16"/>
                <w:szCs w:val="16"/>
              </w:rPr>
              <w:t>Aralık Sonu</w:t>
            </w:r>
          </w:p>
        </w:tc>
        <w:tc>
          <w:tcPr>
            <w:tcW w:w="1594" w:type="pct"/>
          </w:tcPr>
          <w:p w:rsidR="00565FD5" w:rsidRPr="00292F26" w:rsidRDefault="00565FD5" w:rsidP="00AB62A3">
            <w:pPr>
              <w:spacing w:after="40"/>
              <w:rPr>
                <w:rFonts w:cs="Tahoma"/>
                <w:sz w:val="16"/>
                <w:szCs w:val="16"/>
              </w:rPr>
            </w:pPr>
            <w:r w:rsidRPr="00292F26">
              <w:rPr>
                <w:rFonts w:cs="Tahoma"/>
                <w:sz w:val="16"/>
                <w:szCs w:val="16"/>
              </w:rPr>
              <w:t>Vergi cezalarının caydırıcılığının artırılması başta olmak üzere, mükellef hakları, uyuşmazlıkların çözümü ve değerleme hükümlerinin modern vergi sistemiyle uyumlu hale getirilmesi için mevzuatta yapılması öngörülen değişiklikler gözden geçirilerek tamamlanacaktır.</w:t>
            </w:r>
          </w:p>
        </w:tc>
      </w:tr>
      <w:tr w:rsidR="00565FD5" w:rsidRPr="00292F26" w:rsidTr="00AB62A3">
        <w:trPr>
          <w:jc w:val="center"/>
        </w:trPr>
        <w:tc>
          <w:tcPr>
            <w:tcW w:w="1505" w:type="pct"/>
          </w:tcPr>
          <w:p w:rsidR="00565FD5" w:rsidRPr="00292F26" w:rsidRDefault="00565FD5" w:rsidP="00EB1E69">
            <w:pPr>
              <w:numPr>
                <w:ilvl w:val="0"/>
                <w:numId w:val="14"/>
              </w:numPr>
              <w:tabs>
                <w:tab w:val="left" w:pos="425"/>
              </w:tabs>
              <w:spacing w:before="40" w:after="40" w:line="240" w:lineRule="auto"/>
              <w:ind w:left="34"/>
              <w:rPr>
                <w:rFonts w:cs="Tahoma"/>
                <w:sz w:val="16"/>
                <w:szCs w:val="16"/>
              </w:rPr>
            </w:pPr>
            <w:r w:rsidRPr="00292F26">
              <w:rPr>
                <w:rFonts w:cs="Tahoma"/>
                <w:sz w:val="16"/>
                <w:szCs w:val="16"/>
              </w:rPr>
              <w:t xml:space="preserve"> Sektörler itibarıyla mükelleflerin vergiye gönüllü uyumu artırılacaktır. </w:t>
            </w:r>
          </w:p>
        </w:tc>
        <w:tc>
          <w:tcPr>
            <w:tcW w:w="1374" w:type="pct"/>
          </w:tcPr>
          <w:p w:rsidR="00565FD5" w:rsidRPr="00292F26" w:rsidRDefault="00565FD5" w:rsidP="00AB62A3">
            <w:pPr>
              <w:spacing w:before="40" w:after="40"/>
              <w:rPr>
                <w:rFonts w:cs="Tahoma"/>
                <w:sz w:val="16"/>
                <w:szCs w:val="16"/>
              </w:rPr>
            </w:pPr>
            <w:r w:rsidRPr="00292F26">
              <w:rPr>
                <w:rFonts w:cs="Tahoma"/>
                <w:sz w:val="16"/>
                <w:szCs w:val="16"/>
              </w:rPr>
              <w:t>Gelir İdaresi Başkanlığı (S), Sosyal Güvenlik Kurumu, Bankalar, İlgili Kamu Kurum ve Kuruluşları</w:t>
            </w:r>
          </w:p>
        </w:tc>
        <w:tc>
          <w:tcPr>
            <w:tcW w:w="527" w:type="pct"/>
          </w:tcPr>
          <w:p w:rsidR="00565FD5" w:rsidRPr="00292F26" w:rsidRDefault="00565FD5" w:rsidP="00AB62A3">
            <w:pPr>
              <w:spacing w:before="40" w:after="40"/>
              <w:rPr>
                <w:rFonts w:cs="Tahoma"/>
                <w:sz w:val="16"/>
                <w:szCs w:val="16"/>
              </w:rPr>
            </w:pPr>
            <w:r w:rsidRPr="00292F26">
              <w:rPr>
                <w:rFonts w:cs="Tahoma"/>
                <w:sz w:val="16"/>
                <w:szCs w:val="16"/>
              </w:rPr>
              <w:t>Ocak Sonu</w:t>
            </w:r>
          </w:p>
        </w:tc>
        <w:tc>
          <w:tcPr>
            <w:tcW w:w="1594" w:type="pct"/>
          </w:tcPr>
          <w:p w:rsidR="00565FD5" w:rsidRPr="00292F26" w:rsidRDefault="00565FD5" w:rsidP="00AB62A3">
            <w:pPr>
              <w:spacing w:before="40" w:after="40"/>
              <w:rPr>
                <w:rFonts w:cs="Tahoma"/>
                <w:sz w:val="16"/>
                <w:szCs w:val="16"/>
              </w:rPr>
            </w:pPr>
            <w:r w:rsidRPr="00292F26">
              <w:rPr>
                <w:rFonts w:cs="Tahoma"/>
                <w:sz w:val="16"/>
                <w:szCs w:val="16"/>
              </w:rPr>
              <w:t>Mükelleflerin çalışılan yıla ait uyumsuzlukları tespit edilecek, 81 ile ait sektör raporları hazırlanacaktır.</w:t>
            </w:r>
          </w:p>
        </w:tc>
      </w:tr>
      <w:tr w:rsidR="00565FD5" w:rsidRPr="00292F26" w:rsidTr="00AB62A3">
        <w:trPr>
          <w:jc w:val="center"/>
        </w:trPr>
        <w:tc>
          <w:tcPr>
            <w:tcW w:w="1505" w:type="pct"/>
          </w:tcPr>
          <w:p w:rsidR="00565FD5" w:rsidRPr="00292F26" w:rsidRDefault="00565FD5" w:rsidP="00EB1E69">
            <w:pPr>
              <w:numPr>
                <w:ilvl w:val="0"/>
                <w:numId w:val="14"/>
              </w:numPr>
              <w:tabs>
                <w:tab w:val="left" w:pos="425"/>
              </w:tabs>
              <w:spacing w:before="40" w:after="40" w:line="240" w:lineRule="auto"/>
              <w:ind w:left="34"/>
              <w:rPr>
                <w:rFonts w:cs="Tahoma"/>
                <w:sz w:val="16"/>
                <w:szCs w:val="16"/>
              </w:rPr>
            </w:pPr>
            <w:r w:rsidRPr="00292F26">
              <w:rPr>
                <w:rFonts w:cs="Tahoma"/>
                <w:sz w:val="16"/>
                <w:szCs w:val="16"/>
              </w:rPr>
              <w:t xml:space="preserve"> Önceden hazırlanmış kira beyanname sistemi geliştirilecektir.</w:t>
            </w:r>
          </w:p>
        </w:tc>
        <w:tc>
          <w:tcPr>
            <w:tcW w:w="1374" w:type="pct"/>
          </w:tcPr>
          <w:p w:rsidR="00565FD5" w:rsidRPr="00292F26" w:rsidRDefault="00565FD5" w:rsidP="00AB62A3">
            <w:pPr>
              <w:spacing w:before="40" w:after="40"/>
              <w:rPr>
                <w:rFonts w:cs="Tahoma"/>
                <w:sz w:val="16"/>
                <w:szCs w:val="16"/>
              </w:rPr>
            </w:pPr>
            <w:r w:rsidRPr="00292F26">
              <w:rPr>
                <w:rFonts w:cs="Tahoma"/>
                <w:sz w:val="16"/>
                <w:szCs w:val="16"/>
              </w:rPr>
              <w:t>Gelir İdaresi Başkanlığı (S), Tapu ve Kadastro Genel Müdürlüğü, Bankalar, Belediyeler, Nüfus ve</w:t>
            </w:r>
            <w:r>
              <w:rPr>
                <w:rFonts w:cs="Tahoma"/>
                <w:sz w:val="16"/>
                <w:szCs w:val="16"/>
              </w:rPr>
              <w:t xml:space="preserve"> </w:t>
            </w:r>
            <w:r w:rsidRPr="00292F26">
              <w:rPr>
                <w:rFonts w:cs="Tahoma"/>
                <w:sz w:val="16"/>
                <w:szCs w:val="16"/>
              </w:rPr>
              <w:t>Vatandaşlık İşleri Genel Müdürlüğü</w:t>
            </w:r>
          </w:p>
        </w:tc>
        <w:tc>
          <w:tcPr>
            <w:tcW w:w="527" w:type="pct"/>
          </w:tcPr>
          <w:p w:rsidR="00565FD5" w:rsidRPr="00292F26" w:rsidRDefault="00565FD5" w:rsidP="00AB62A3">
            <w:pPr>
              <w:spacing w:before="40" w:after="40"/>
              <w:rPr>
                <w:rFonts w:cs="Tahoma"/>
                <w:sz w:val="16"/>
                <w:szCs w:val="16"/>
              </w:rPr>
            </w:pPr>
            <w:r w:rsidRPr="00292F26">
              <w:rPr>
                <w:rFonts w:cs="Tahoma"/>
                <w:sz w:val="16"/>
                <w:szCs w:val="16"/>
              </w:rPr>
              <w:t>Mart Sonu</w:t>
            </w:r>
          </w:p>
        </w:tc>
        <w:tc>
          <w:tcPr>
            <w:tcW w:w="1594" w:type="pct"/>
          </w:tcPr>
          <w:p w:rsidR="00565FD5" w:rsidRPr="00292F26" w:rsidRDefault="00565FD5" w:rsidP="00AB62A3">
            <w:pPr>
              <w:spacing w:before="40" w:after="40"/>
              <w:rPr>
                <w:rFonts w:cs="Tahoma"/>
                <w:sz w:val="16"/>
                <w:szCs w:val="16"/>
              </w:rPr>
            </w:pPr>
            <w:r w:rsidRPr="00292F26">
              <w:rPr>
                <w:rFonts w:cs="Tahoma"/>
                <w:sz w:val="16"/>
                <w:szCs w:val="16"/>
              </w:rPr>
              <w:t>Hedeflenen beyanname sayısına ulaşabilmek için Gelir İdaresi</w:t>
            </w:r>
            <w:r>
              <w:rPr>
                <w:rFonts w:cs="Tahoma"/>
                <w:sz w:val="16"/>
                <w:szCs w:val="16"/>
              </w:rPr>
              <w:t xml:space="preserve"> Başkanlığındaki</w:t>
            </w:r>
            <w:r w:rsidRPr="00292F26">
              <w:rPr>
                <w:rFonts w:cs="Tahoma"/>
                <w:sz w:val="16"/>
                <w:szCs w:val="16"/>
              </w:rPr>
              <w:t xml:space="preserve"> bilgiler ve üçüncü taraf bilgilerinin eşleştirilmesiyle gayrimenkul sermaye iradı elde eden kişilerin tespit edilerek sistem aracılığıyla beyannamelerinin alınması sağlanacaktır.</w:t>
            </w:r>
          </w:p>
        </w:tc>
      </w:tr>
      <w:tr w:rsidR="00565FD5" w:rsidRPr="00292F26" w:rsidTr="00AB62A3">
        <w:trPr>
          <w:jc w:val="center"/>
        </w:trPr>
        <w:tc>
          <w:tcPr>
            <w:tcW w:w="1505" w:type="pct"/>
          </w:tcPr>
          <w:p w:rsidR="00565FD5" w:rsidRPr="00292F26" w:rsidRDefault="00565FD5" w:rsidP="00EB1E69">
            <w:pPr>
              <w:numPr>
                <w:ilvl w:val="0"/>
                <w:numId w:val="14"/>
              </w:numPr>
              <w:tabs>
                <w:tab w:val="left" w:pos="425"/>
              </w:tabs>
              <w:spacing w:before="40" w:after="40" w:line="240" w:lineRule="auto"/>
              <w:ind w:left="34"/>
              <w:rPr>
                <w:rFonts w:cs="Tahoma"/>
                <w:sz w:val="16"/>
                <w:szCs w:val="16"/>
              </w:rPr>
            </w:pPr>
            <w:r w:rsidRPr="00292F26">
              <w:rPr>
                <w:rFonts w:cs="Tahoma"/>
                <w:sz w:val="16"/>
                <w:szCs w:val="16"/>
              </w:rPr>
              <w:t xml:space="preserve"> Vergi ve diğer mali yükümlülüklerin tahsilâtında etkinlik sağlanacaktır. </w:t>
            </w:r>
          </w:p>
        </w:tc>
        <w:tc>
          <w:tcPr>
            <w:tcW w:w="1374" w:type="pct"/>
          </w:tcPr>
          <w:p w:rsidR="00565FD5" w:rsidRPr="00292F26" w:rsidRDefault="00565FD5" w:rsidP="00AB62A3">
            <w:pPr>
              <w:spacing w:before="40" w:after="40"/>
              <w:rPr>
                <w:rFonts w:cs="Tahoma"/>
                <w:sz w:val="16"/>
                <w:szCs w:val="16"/>
              </w:rPr>
            </w:pPr>
            <w:r w:rsidRPr="00292F26">
              <w:rPr>
                <w:rFonts w:cs="Tahoma"/>
                <w:sz w:val="16"/>
                <w:szCs w:val="16"/>
              </w:rPr>
              <w:t>Gelir İdaresi Başkanlığı (S), Tapu ve Kadastro Genel Müdürlüğü, Ulaştırma, Denizcilik ve Haberleşme Bakanlığı</w:t>
            </w:r>
          </w:p>
        </w:tc>
        <w:tc>
          <w:tcPr>
            <w:tcW w:w="527" w:type="pct"/>
          </w:tcPr>
          <w:p w:rsidR="00565FD5" w:rsidRPr="00292F26" w:rsidRDefault="00565FD5" w:rsidP="00AB62A3">
            <w:pPr>
              <w:spacing w:before="40" w:after="40"/>
              <w:rPr>
                <w:rFonts w:cs="Tahoma"/>
                <w:sz w:val="16"/>
                <w:szCs w:val="16"/>
              </w:rPr>
            </w:pPr>
            <w:r w:rsidRPr="00292F26">
              <w:rPr>
                <w:rFonts w:cs="Tahoma"/>
                <w:sz w:val="16"/>
                <w:szCs w:val="16"/>
              </w:rPr>
              <w:t>Aralık Sonu</w:t>
            </w:r>
          </w:p>
        </w:tc>
        <w:tc>
          <w:tcPr>
            <w:tcW w:w="1594" w:type="pct"/>
          </w:tcPr>
          <w:p w:rsidR="00565FD5" w:rsidRPr="00292F26" w:rsidRDefault="00565FD5" w:rsidP="00AB62A3">
            <w:pPr>
              <w:spacing w:before="40" w:after="40"/>
              <w:rPr>
                <w:rFonts w:cs="Tahoma"/>
                <w:sz w:val="16"/>
                <w:szCs w:val="16"/>
              </w:rPr>
            </w:pPr>
            <w:r w:rsidRPr="00292F26">
              <w:rPr>
                <w:rFonts w:cs="Tahoma"/>
                <w:sz w:val="16"/>
                <w:szCs w:val="16"/>
              </w:rPr>
              <w:t>Tapu sicillerine TAKBİS üzerinden elektronik ortamda erişilebilmesi, sivil hava araçlarına, liman başkanlıkları ile belediye başkanlıklarının gemi sicil ve kütüklerine bağlı gemilere ait bilgilere elektronik ortamda ulaşılabilmesi ve tüm bu mallara haciz uygulanabilmesine yönelik proje çalışmaları yapılacaktır.</w:t>
            </w:r>
          </w:p>
        </w:tc>
      </w:tr>
      <w:tr w:rsidR="00565FD5" w:rsidRPr="00292F26" w:rsidTr="00AB62A3">
        <w:trPr>
          <w:jc w:val="center"/>
        </w:trPr>
        <w:tc>
          <w:tcPr>
            <w:tcW w:w="5000" w:type="pct"/>
            <w:gridSpan w:val="4"/>
          </w:tcPr>
          <w:p w:rsidR="00565FD5" w:rsidRPr="00292F26" w:rsidRDefault="00565FD5" w:rsidP="00EB1E69">
            <w:pPr>
              <w:numPr>
                <w:ilvl w:val="0"/>
                <w:numId w:val="15"/>
              </w:numPr>
              <w:tabs>
                <w:tab w:val="left" w:pos="425"/>
              </w:tabs>
              <w:spacing w:after="40" w:line="240" w:lineRule="auto"/>
              <w:jc w:val="both"/>
              <w:rPr>
                <w:rFonts w:cs="Tahoma"/>
                <w:b/>
                <w:bCs/>
                <w:sz w:val="16"/>
                <w:szCs w:val="16"/>
              </w:rPr>
            </w:pPr>
            <w:r w:rsidRPr="00292F26">
              <w:rPr>
                <w:rFonts w:cs="Tahoma"/>
                <w:b/>
                <w:sz w:val="16"/>
                <w:szCs w:val="16"/>
              </w:rPr>
              <w:t>Kamu idarelerinde mali yönetim, iç kontrol ve iç denetim faaliyetlerinin etkin bir şekilde uygulanmasına yönelik tedbirler alınacaktır.</w:t>
            </w:r>
          </w:p>
        </w:tc>
      </w:tr>
      <w:tr w:rsidR="00565FD5" w:rsidRPr="00292F26" w:rsidTr="00AB62A3">
        <w:trPr>
          <w:jc w:val="center"/>
        </w:trPr>
        <w:tc>
          <w:tcPr>
            <w:tcW w:w="1505" w:type="pct"/>
          </w:tcPr>
          <w:p w:rsidR="00565FD5" w:rsidRPr="00292F26" w:rsidRDefault="00565FD5" w:rsidP="00EB1E69">
            <w:pPr>
              <w:numPr>
                <w:ilvl w:val="0"/>
                <w:numId w:val="14"/>
              </w:numPr>
              <w:tabs>
                <w:tab w:val="left" w:pos="425"/>
              </w:tabs>
              <w:spacing w:after="40" w:line="240" w:lineRule="auto"/>
              <w:ind w:left="34"/>
              <w:rPr>
                <w:rFonts w:cs="Tahoma"/>
                <w:sz w:val="16"/>
                <w:szCs w:val="16"/>
              </w:rPr>
            </w:pPr>
            <w:r w:rsidRPr="00292F26">
              <w:rPr>
                <w:rFonts w:cs="Tahoma"/>
                <w:sz w:val="16"/>
                <w:szCs w:val="16"/>
              </w:rPr>
              <w:t xml:space="preserve"> Mali yönetim ve kontrol sisteminin uygulama etkinliğinin ve idari kapasitesinin artırılmasına yönelik mevzuat değişiklikleri yapılacaktır.</w:t>
            </w:r>
          </w:p>
        </w:tc>
        <w:tc>
          <w:tcPr>
            <w:tcW w:w="1374" w:type="pct"/>
          </w:tcPr>
          <w:p w:rsidR="00565FD5" w:rsidRPr="00292F26" w:rsidRDefault="00565FD5" w:rsidP="00AB62A3">
            <w:pPr>
              <w:spacing w:after="40"/>
              <w:rPr>
                <w:rFonts w:cs="Tahoma"/>
                <w:sz w:val="16"/>
                <w:szCs w:val="16"/>
              </w:rPr>
            </w:pPr>
            <w:r w:rsidRPr="00292F26">
              <w:rPr>
                <w:rFonts w:cs="Tahoma"/>
                <w:sz w:val="16"/>
                <w:szCs w:val="16"/>
              </w:rPr>
              <w:t xml:space="preserve">Maliye Bakanlığı (S), İlgili Kamu Kurum ve Kuruluşları, Sivil Toplum Kuruluşları   </w:t>
            </w:r>
          </w:p>
        </w:tc>
        <w:tc>
          <w:tcPr>
            <w:tcW w:w="527" w:type="pct"/>
          </w:tcPr>
          <w:p w:rsidR="00565FD5" w:rsidRPr="00292F26" w:rsidRDefault="00565FD5" w:rsidP="00AB62A3">
            <w:pPr>
              <w:spacing w:after="40"/>
              <w:rPr>
                <w:rFonts w:cs="Tahoma"/>
                <w:sz w:val="16"/>
                <w:szCs w:val="16"/>
              </w:rPr>
            </w:pPr>
            <w:r w:rsidRPr="00292F26">
              <w:rPr>
                <w:rFonts w:cs="Tahoma"/>
                <w:sz w:val="16"/>
                <w:szCs w:val="16"/>
              </w:rPr>
              <w:t>Aralık Sonu</w:t>
            </w:r>
          </w:p>
        </w:tc>
        <w:tc>
          <w:tcPr>
            <w:tcW w:w="1594" w:type="pct"/>
          </w:tcPr>
          <w:p w:rsidR="00565FD5" w:rsidRPr="00292F26" w:rsidRDefault="00565FD5" w:rsidP="00AB62A3">
            <w:pPr>
              <w:spacing w:after="40"/>
              <w:rPr>
                <w:rFonts w:cs="Tahoma"/>
                <w:sz w:val="16"/>
                <w:szCs w:val="16"/>
              </w:rPr>
            </w:pPr>
            <w:r w:rsidRPr="00292F26">
              <w:rPr>
                <w:rFonts w:cs="Tahoma"/>
                <w:sz w:val="16"/>
                <w:szCs w:val="16"/>
              </w:rPr>
              <w:t>Mali yönetim ve kontrol sisteminin uygulama etkinliğinin ve idari kapasitesinin artırılması amacıyla 5018 sayılı Kanunda değişiklik öngören Kanun Tasarısı çalışmaları tamamlanacaktır.</w:t>
            </w:r>
          </w:p>
        </w:tc>
      </w:tr>
      <w:tr w:rsidR="00565FD5" w:rsidRPr="00292F26" w:rsidTr="00AB62A3">
        <w:trPr>
          <w:jc w:val="center"/>
        </w:trPr>
        <w:tc>
          <w:tcPr>
            <w:tcW w:w="1505" w:type="pct"/>
          </w:tcPr>
          <w:p w:rsidR="00565FD5" w:rsidRPr="00292F26" w:rsidRDefault="00565FD5" w:rsidP="00EB1E69">
            <w:pPr>
              <w:numPr>
                <w:ilvl w:val="0"/>
                <w:numId w:val="14"/>
              </w:numPr>
              <w:tabs>
                <w:tab w:val="left" w:pos="425"/>
              </w:tabs>
              <w:spacing w:after="40" w:line="240" w:lineRule="auto"/>
              <w:ind w:left="34"/>
              <w:rPr>
                <w:rFonts w:cs="Tahoma"/>
                <w:sz w:val="16"/>
                <w:szCs w:val="16"/>
              </w:rPr>
            </w:pPr>
            <w:r w:rsidRPr="00292F26">
              <w:rPr>
                <w:rFonts w:cs="Tahoma"/>
                <w:sz w:val="16"/>
                <w:szCs w:val="16"/>
              </w:rPr>
              <w:t xml:space="preserve"> İç denetim alanında merkezi uyumlaştırma birimi </w:t>
            </w:r>
            <w:r w:rsidRPr="00292F26">
              <w:rPr>
                <w:rFonts w:cs="Tahoma"/>
                <w:sz w:val="16"/>
                <w:szCs w:val="16"/>
              </w:rPr>
              <w:lastRenderedPageBreak/>
              <w:t>kurulacaktır.</w:t>
            </w:r>
          </w:p>
        </w:tc>
        <w:tc>
          <w:tcPr>
            <w:tcW w:w="1374" w:type="pct"/>
          </w:tcPr>
          <w:p w:rsidR="00565FD5" w:rsidRPr="00292F26" w:rsidRDefault="00565FD5" w:rsidP="00AB62A3">
            <w:pPr>
              <w:spacing w:after="40"/>
              <w:rPr>
                <w:rFonts w:cs="Tahoma"/>
                <w:sz w:val="16"/>
                <w:szCs w:val="16"/>
              </w:rPr>
            </w:pPr>
            <w:r w:rsidRPr="00292F26">
              <w:rPr>
                <w:rFonts w:cs="Tahoma"/>
                <w:sz w:val="16"/>
                <w:szCs w:val="16"/>
              </w:rPr>
              <w:lastRenderedPageBreak/>
              <w:t xml:space="preserve">Maliye Bakanlığı (S), Başbakanlık, İçişleri </w:t>
            </w:r>
            <w:r w:rsidRPr="00292F26">
              <w:rPr>
                <w:rFonts w:cs="Tahoma"/>
                <w:sz w:val="16"/>
                <w:szCs w:val="16"/>
              </w:rPr>
              <w:lastRenderedPageBreak/>
              <w:t>Bakanlığı, Kalkınma Bakanlığı, Hazine Müsteşarlığı, İç Denetim Koordinasyon Kurulu</w:t>
            </w:r>
          </w:p>
        </w:tc>
        <w:tc>
          <w:tcPr>
            <w:tcW w:w="527" w:type="pct"/>
          </w:tcPr>
          <w:p w:rsidR="00565FD5" w:rsidRPr="00292F26" w:rsidRDefault="00565FD5" w:rsidP="00AB62A3">
            <w:pPr>
              <w:rPr>
                <w:rFonts w:cs="Tahoma"/>
                <w:sz w:val="16"/>
                <w:szCs w:val="16"/>
              </w:rPr>
            </w:pPr>
            <w:r w:rsidRPr="00292F26">
              <w:rPr>
                <w:rFonts w:cs="Tahoma"/>
                <w:sz w:val="16"/>
                <w:szCs w:val="16"/>
              </w:rPr>
              <w:lastRenderedPageBreak/>
              <w:t>Aralık Sonu</w:t>
            </w:r>
          </w:p>
        </w:tc>
        <w:tc>
          <w:tcPr>
            <w:tcW w:w="1594" w:type="pct"/>
          </w:tcPr>
          <w:p w:rsidR="00565FD5" w:rsidRPr="00292F26" w:rsidRDefault="00565FD5" w:rsidP="00AB62A3">
            <w:pPr>
              <w:spacing w:after="40"/>
              <w:rPr>
                <w:rFonts w:cs="Tahoma"/>
                <w:sz w:val="16"/>
                <w:szCs w:val="16"/>
              </w:rPr>
            </w:pPr>
            <w:r w:rsidRPr="00292F26">
              <w:rPr>
                <w:rFonts w:cs="Tahoma"/>
                <w:sz w:val="16"/>
                <w:szCs w:val="16"/>
              </w:rPr>
              <w:t xml:space="preserve">Maliye Bakanlığına bağlı İç Denetim Koordinasyon Kurulu, </w:t>
            </w:r>
            <w:r w:rsidRPr="00292F26">
              <w:rPr>
                <w:rFonts w:cs="Tahoma"/>
                <w:sz w:val="16"/>
                <w:szCs w:val="16"/>
              </w:rPr>
              <w:lastRenderedPageBreak/>
              <w:t>kamu iç denetim sistemini geliştirmek ve koordine etmek üzere, İç Denetim Merkezi Uyumlaştırma Birimi işlevini 5018 sayılı Kanunda belirtildiği gibi, bağımsız ve tarafsız bir organ olarak yerine getirecek şekilde yeniden yapılandırılacaktır.</w:t>
            </w:r>
          </w:p>
        </w:tc>
      </w:tr>
      <w:tr w:rsidR="00565FD5" w:rsidRPr="00292F26" w:rsidTr="00AB62A3">
        <w:trPr>
          <w:jc w:val="center"/>
        </w:trPr>
        <w:tc>
          <w:tcPr>
            <w:tcW w:w="5000" w:type="pct"/>
            <w:gridSpan w:val="4"/>
            <w:vAlign w:val="center"/>
          </w:tcPr>
          <w:p w:rsidR="00565FD5" w:rsidRPr="00292F26" w:rsidRDefault="00565FD5" w:rsidP="00EB1E69">
            <w:pPr>
              <w:numPr>
                <w:ilvl w:val="0"/>
                <w:numId w:val="15"/>
              </w:numPr>
              <w:tabs>
                <w:tab w:val="left" w:pos="425"/>
              </w:tabs>
              <w:spacing w:after="40" w:line="240" w:lineRule="auto"/>
              <w:jc w:val="both"/>
              <w:rPr>
                <w:rFonts w:cs="Tahoma"/>
                <w:b/>
                <w:sz w:val="16"/>
                <w:szCs w:val="16"/>
              </w:rPr>
            </w:pPr>
            <w:r w:rsidRPr="00292F26">
              <w:rPr>
                <w:rFonts w:cs="Tahoma"/>
                <w:b/>
                <w:sz w:val="16"/>
                <w:szCs w:val="16"/>
              </w:rPr>
              <w:lastRenderedPageBreak/>
              <w:t>6085 sayılı Sayıştay Kanunu çerçevesinde etkin ve yaygın bir dış denetimin sağlanması için Sayıştayın uygulama altyapısı güçlendirilecektir.</w:t>
            </w:r>
          </w:p>
        </w:tc>
      </w:tr>
      <w:tr w:rsidR="00565FD5" w:rsidRPr="00292F26" w:rsidTr="00AB62A3">
        <w:trPr>
          <w:jc w:val="center"/>
        </w:trPr>
        <w:tc>
          <w:tcPr>
            <w:tcW w:w="1505" w:type="pct"/>
          </w:tcPr>
          <w:p w:rsidR="00565FD5" w:rsidRPr="00292F26" w:rsidRDefault="00565FD5" w:rsidP="00EB1E69">
            <w:pPr>
              <w:numPr>
                <w:ilvl w:val="0"/>
                <w:numId w:val="14"/>
              </w:numPr>
              <w:tabs>
                <w:tab w:val="left" w:pos="425"/>
              </w:tabs>
              <w:spacing w:after="40" w:line="240" w:lineRule="auto"/>
              <w:ind w:left="34"/>
              <w:rPr>
                <w:rFonts w:cs="Tahoma"/>
                <w:sz w:val="16"/>
                <w:szCs w:val="16"/>
              </w:rPr>
            </w:pPr>
            <w:r w:rsidRPr="00292F26">
              <w:rPr>
                <w:rFonts w:cs="Tahoma"/>
                <w:sz w:val="16"/>
                <w:szCs w:val="16"/>
              </w:rPr>
              <w:t xml:space="preserve"> 6085 sayılı Sayıştay Kanunu çerçevesinde etkin ve yaygın bir dış denetimin sağlanması için gerekli düzenlemeler yapılacaktır.</w:t>
            </w:r>
          </w:p>
        </w:tc>
        <w:tc>
          <w:tcPr>
            <w:tcW w:w="1374" w:type="pct"/>
          </w:tcPr>
          <w:p w:rsidR="00565FD5" w:rsidRPr="00292F26" w:rsidRDefault="00565FD5" w:rsidP="00AB62A3">
            <w:pPr>
              <w:spacing w:after="40"/>
              <w:rPr>
                <w:rFonts w:cs="Tahoma"/>
                <w:sz w:val="16"/>
                <w:szCs w:val="16"/>
              </w:rPr>
            </w:pPr>
            <w:r w:rsidRPr="00292F26">
              <w:rPr>
                <w:rFonts w:cs="Tahoma"/>
                <w:sz w:val="16"/>
                <w:szCs w:val="16"/>
              </w:rPr>
              <w:t>Sayıştay Başkanlığı (S)</w:t>
            </w:r>
          </w:p>
        </w:tc>
        <w:tc>
          <w:tcPr>
            <w:tcW w:w="527" w:type="pct"/>
          </w:tcPr>
          <w:p w:rsidR="00565FD5" w:rsidRPr="00292F26" w:rsidRDefault="00565FD5" w:rsidP="00AB62A3">
            <w:pPr>
              <w:spacing w:after="40"/>
              <w:rPr>
                <w:rFonts w:cs="Tahoma"/>
                <w:sz w:val="16"/>
                <w:szCs w:val="16"/>
              </w:rPr>
            </w:pPr>
            <w:r w:rsidRPr="00292F26">
              <w:rPr>
                <w:rFonts w:cs="Tahoma"/>
                <w:sz w:val="16"/>
                <w:szCs w:val="16"/>
              </w:rPr>
              <w:t>Aralık Sonu</w:t>
            </w:r>
          </w:p>
        </w:tc>
        <w:tc>
          <w:tcPr>
            <w:tcW w:w="1594" w:type="pct"/>
          </w:tcPr>
          <w:p w:rsidR="00565FD5" w:rsidRPr="00292F26" w:rsidRDefault="00565FD5" w:rsidP="00AB62A3">
            <w:pPr>
              <w:spacing w:after="40"/>
              <w:rPr>
                <w:rFonts w:cs="Tahoma"/>
                <w:sz w:val="16"/>
                <w:szCs w:val="16"/>
              </w:rPr>
            </w:pPr>
            <w:r w:rsidRPr="00292F26">
              <w:rPr>
                <w:rFonts w:cs="Tahoma"/>
                <w:sz w:val="16"/>
                <w:szCs w:val="16"/>
              </w:rPr>
              <w:t>6085 sayılı Sayıştay Kanunu çerçevesinde, Sayıştayın AB uygulamaları ve uluslararası denetim standartları ile uyumlu bir denetim yapması için gerekli ikincil düzenlemeler tamamlanacak ve yeni dış denetim anlayışına yönelik uygulamalar başlatılacaktır.</w:t>
            </w:r>
          </w:p>
        </w:tc>
      </w:tr>
      <w:tr w:rsidR="00565FD5" w:rsidRPr="00292F26" w:rsidTr="00AB62A3">
        <w:trPr>
          <w:jc w:val="center"/>
        </w:trPr>
        <w:tc>
          <w:tcPr>
            <w:tcW w:w="5000" w:type="pct"/>
            <w:gridSpan w:val="4"/>
          </w:tcPr>
          <w:p w:rsidR="00565FD5" w:rsidRPr="00292F26" w:rsidRDefault="00565FD5" w:rsidP="00EB1E69">
            <w:pPr>
              <w:numPr>
                <w:ilvl w:val="0"/>
                <w:numId w:val="15"/>
              </w:numPr>
              <w:tabs>
                <w:tab w:val="left" w:pos="425"/>
              </w:tabs>
              <w:spacing w:after="40" w:line="240" w:lineRule="auto"/>
              <w:jc w:val="both"/>
              <w:rPr>
                <w:rFonts w:cs="Tahoma"/>
                <w:b/>
                <w:bCs/>
                <w:sz w:val="16"/>
                <w:szCs w:val="16"/>
              </w:rPr>
            </w:pPr>
            <w:r w:rsidRPr="00292F26">
              <w:rPr>
                <w:rFonts w:cs="Tahoma"/>
                <w:b/>
                <w:sz w:val="16"/>
                <w:szCs w:val="16"/>
              </w:rPr>
              <w:t>Dış denetimin, iç kontrol ve iç denetim sisteminin yapısının ve iş süreçlerinin iyileştirilmesine daha fazla katkı vermesi sağlanacaktır.</w:t>
            </w:r>
          </w:p>
        </w:tc>
      </w:tr>
      <w:tr w:rsidR="00565FD5" w:rsidRPr="00292F26" w:rsidTr="00AB62A3">
        <w:trPr>
          <w:jc w:val="center"/>
        </w:trPr>
        <w:tc>
          <w:tcPr>
            <w:tcW w:w="1505" w:type="pct"/>
          </w:tcPr>
          <w:p w:rsidR="00565FD5" w:rsidRPr="00292F26" w:rsidRDefault="00565FD5" w:rsidP="00EB1E69">
            <w:pPr>
              <w:numPr>
                <w:ilvl w:val="0"/>
                <w:numId w:val="14"/>
              </w:numPr>
              <w:tabs>
                <w:tab w:val="left" w:pos="425"/>
              </w:tabs>
              <w:spacing w:before="40" w:after="40" w:line="240" w:lineRule="auto"/>
              <w:ind w:left="34"/>
              <w:rPr>
                <w:rFonts w:cs="Tahoma"/>
                <w:sz w:val="16"/>
                <w:szCs w:val="16"/>
              </w:rPr>
            </w:pPr>
            <w:r w:rsidRPr="00292F26">
              <w:rPr>
                <w:rFonts w:cs="Tahoma"/>
                <w:sz w:val="16"/>
                <w:szCs w:val="16"/>
              </w:rPr>
              <w:t xml:space="preserve"> Kamu kesiminde iç kontrol sistemleri ve iç denetimin sağlıklı bir şekilde işlemesi yönünde Sayıştay tarafından gerekli çalışmalar yürütülecektir.</w:t>
            </w:r>
          </w:p>
        </w:tc>
        <w:tc>
          <w:tcPr>
            <w:tcW w:w="1374" w:type="pct"/>
          </w:tcPr>
          <w:p w:rsidR="00565FD5" w:rsidRPr="00292F26" w:rsidRDefault="00565FD5" w:rsidP="00AB62A3">
            <w:pPr>
              <w:spacing w:before="40" w:after="40"/>
              <w:rPr>
                <w:rFonts w:cs="Tahoma"/>
                <w:sz w:val="16"/>
                <w:szCs w:val="16"/>
              </w:rPr>
            </w:pPr>
            <w:r w:rsidRPr="00292F26">
              <w:rPr>
                <w:rFonts w:cs="Tahoma"/>
                <w:sz w:val="16"/>
                <w:szCs w:val="16"/>
              </w:rPr>
              <w:t>Sayıştay Başkanlığı (S)</w:t>
            </w:r>
          </w:p>
        </w:tc>
        <w:tc>
          <w:tcPr>
            <w:tcW w:w="527" w:type="pct"/>
          </w:tcPr>
          <w:p w:rsidR="00565FD5" w:rsidRPr="00292F26" w:rsidRDefault="00565FD5" w:rsidP="00AB62A3">
            <w:pPr>
              <w:spacing w:before="40" w:after="40"/>
              <w:rPr>
                <w:rFonts w:cs="Tahoma"/>
                <w:sz w:val="16"/>
                <w:szCs w:val="16"/>
              </w:rPr>
            </w:pPr>
            <w:r w:rsidRPr="00292F26">
              <w:rPr>
                <w:rFonts w:cs="Tahoma"/>
                <w:sz w:val="16"/>
                <w:szCs w:val="16"/>
              </w:rPr>
              <w:t>Aralık Sonu</w:t>
            </w:r>
          </w:p>
        </w:tc>
        <w:tc>
          <w:tcPr>
            <w:tcW w:w="1594" w:type="pct"/>
          </w:tcPr>
          <w:p w:rsidR="00565FD5" w:rsidRPr="00292F26" w:rsidRDefault="00565FD5" w:rsidP="00AB62A3">
            <w:pPr>
              <w:spacing w:before="40" w:after="40"/>
              <w:rPr>
                <w:rFonts w:cs="Tahoma"/>
                <w:sz w:val="16"/>
                <w:szCs w:val="16"/>
              </w:rPr>
            </w:pPr>
            <w:r w:rsidRPr="00292F26">
              <w:rPr>
                <w:rFonts w:cs="Tahoma"/>
                <w:sz w:val="16"/>
                <w:szCs w:val="16"/>
              </w:rPr>
              <w:t>Sayıştayın denetim faaliyetlerinden beklenen verimin sağlanabilmesi için tüm kamuda iç kontrol sistemlerinin uluslararası standartlarda kurulmuş ve iç denetimin de işlerlik kazanmış olması gerekmektedir. Bu çerçevede kamu kesiminde iç kontrol sistemleri ve iç denetimin sağlıklı bir şekilde işlemesi yönünde Sayıştay tarafından gerekli çalışmalar yürütülecektir.</w:t>
            </w:r>
          </w:p>
        </w:tc>
      </w:tr>
      <w:tr w:rsidR="00565FD5" w:rsidRPr="00292F26" w:rsidTr="00AB62A3">
        <w:trPr>
          <w:jc w:val="center"/>
        </w:trPr>
        <w:tc>
          <w:tcPr>
            <w:tcW w:w="5000" w:type="pct"/>
            <w:gridSpan w:val="4"/>
          </w:tcPr>
          <w:p w:rsidR="00565FD5" w:rsidRDefault="00565FD5" w:rsidP="00EB1E69">
            <w:pPr>
              <w:numPr>
                <w:ilvl w:val="0"/>
                <w:numId w:val="15"/>
              </w:numPr>
              <w:tabs>
                <w:tab w:val="left" w:pos="425"/>
              </w:tabs>
              <w:spacing w:before="40" w:after="40" w:line="240" w:lineRule="auto"/>
              <w:jc w:val="both"/>
            </w:pPr>
            <w:r w:rsidRPr="00292F26">
              <w:rPr>
                <w:rFonts w:cs="Tahoma"/>
                <w:b/>
                <w:sz w:val="16"/>
                <w:szCs w:val="16"/>
              </w:rPr>
              <w:t>KİT’lerde hesap verebilirlik, kârlılık, verimlilik, karar alma süreçlerinde esneklik ve stratejik yönetim anlayışı esas alınacaktır.</w:t>
            </w:r>
            <w:r w:rsidRPr="001168D2">
              <w:rPr>
                <w:rFonts w:cs="Tahoma"/>
                <w:b/>
                <w:bCs/>
                <w:szCs w:val="18"/>
              </w:rPr>
              <w:t xml:space="preserve"> </w:t>
            </w:r>
          </w:p>
        </w:tc>
      </w:tr>
      <w:tr w:rsidR="00565FD5" w:rsidRPr="00292F26" w:rsidTr="00AB62A3">
        <w:trPr>
          <w:jc w:val="center"/>
        </w:trPr>
        <w:tc>
          <w:tcPr>
            <w:tcW w:w="1505" w:type="pct"/>
          </w:tcPr>
          <w:p w:rsidR="00565FD5" w:rsidRPr="00292F26" w:rsidRDefault="00565FD5" w:rsidP="00EB1E69">
            <w:pPr>
              <w:numPr>
                <w:ilvl w:val="0"/>
                <w:numId w:val="14"/>
              </w:numPr>
              <w:tabs>
                <w:tab w:val="left" w:pos="425"/>
              </w:tabs>
              <w:spacing w:before="40" w:after="40" w:line="240" w:lineRule="auto"/>
              <w:ind w:left="34"/>
              <w:rPr>
                <w:rFonts w:cs="Tahoma"/>
                <w:sz w:val="16"/>
                <w:szCs w:val="16"/>
              </w:rPr>
            </w:pPr>
            <w:r w:rsidRPr="00292F26">
              <w:rPr>
                <w:rFonts w:cs="Tahoma"/>
                <w:sz w:val="16"/>
                <w:szCs w:val="16"/>
              </w:rPr>
              <w:t xml:space="preserve"> Elektrik alım satımına ilişkin gün öncesi piyasası ve orta vadede oluşacak vadeli işlemler piyasası işleticisinin ayrı bir tüzel kişilik olarak yapılandırılmasına ilişkin hazırlıklar tamamlanacaktır.</w:t>
            </w:r>
          </w:p>
        </w:tc>
        <w:tc>
          <w:tcPr>
            <w:tcW w:w="1374" w:type="pct"/>
          </w:tcPr>
          <w:p w:rsidR="00565FD5" w:rsidRPr="00292F26" w:rsidRDefault="00565FD5" w:rsidP="00AB62A3">
            <w:pPr>
              <w:autoSpaceDE w:val="0"/>
              <w:autoSpaceDN w:val="0"/>
              <w:adjustRightInd w:val="0"/>
              <w:spacing w:before="40" w:after="40"/>
              <w:rPr>
                <w:rFonts w:cs="Tahoma"/>
                <w:sz w:val="16"/>
                <w:szCs w:val="16"/>
              </w:rPr>
            </w:pPr>
            <w:r w:rsidRPr="00292F26">
              <w:rPr>
                <w:rFonts w:cs="Tahoma"/>
                <w:sz w:val="16"/>
                <w:szCs w:val="16"/>
              </w:rPr>
              <w:t>Enerji ve Tabii Kaynaklar Bakanlığı (S), Kalkınma Bakanlığı, Hazine Müsteşarlığı, EPDK, SPK, TEİAŞ, İMKB</w:t>
            </w:r>
          </w:p>
        </w:tc>
        <w:tc>
          <w:tcPr>
            <w:tcW w:w="527" w:type="pct"/>
          </w:tcPr>
          <w:p w:rsidR="00565FD5" w:rsidRPr="00292F26" w:rsidRDefault="00565FD5" w:rsidP="00AB62A3">
            <w:pPr>
              <w:autoSpaceDE w:val="0"/>
              <w:autoSpaceDN w:val="0"/>
              <w:adjustRightInd w:val="0"/>
              <w:spacing w:before="40" w:after="40"/>
              <w:rPr>
                <w:rFonts w:cs="Tahoma"/>
                <w:sz w:val="16"/>
                <w:szCs w:val="16"/>
              </w:rPr>
            </w:pPr>
            <w:r w:rsidRPr="00292F26">
              <w:rPr>
                <w:rFonts w:cs="Tahoma"/>
                <w:sz w:val="16"/>
                <w:szCs w:val="16"/>
              </w:rPr>
              <w:t>Aralık Sonu</w:t>
            </w:r>
          </w:p>
        </w:tc>
        <w:tc>
          <w:tcPr>
            <w:tcW w:w="1594" w:type="pct"/>
          </w:tcPr>
          <w:p w:rsidR="00565FD5" w:rsidRPr="00292F26" w:rsidRDefault="00565FD5" w:rsidP="00AB62A3">
            <w:pPr>
              <w:autoSpaceDE w:val="0"/>
              <w:autoSpaceDN w:val="0"/>
              <w:adjustRightInd w:val="0"/>
              <w:spacing w:before="40" w:after="40"/>
              <w:rPr>
                <w:rFonts w:cs="Tahoma"/>
                <w:sz w:val="16"/>
                <w:szCs w:val="16"/>
              </w:rPr>
            </w:pPr>
            <w:r w:rsidRPr="00292F26">
              <w:rPr>
                <w:rFonts w:cs="Tahoma"/>
                <w:sz w:val="16"/>
                <w:szCs w:val="16"/>
              </w:rPr>
              <w:t>Halen TEİAŞ tarafından yürütülen mali uzlaştırma işlemlerinin ve oluşturulacak gün öncesi piyasası ve orta vadede oluşacak vadeli işlemler piyasalarının işletilmesinin, “Piyasa İşleticisi” tarafından sürdürülmesi için gerekli çalışmalar yapılacaktır.</w:t>
            </w:r>
          </w:p>
        </w:tc>
      </w:tr>
    </w:tbl>
    <w:p w:rsidR="00565FD5" w:rsidRDefault="00565FD5" w:rsidP="00565FD5">
      <w:pPr>
        <w:ind w:firstLine="425"/>
        <w:rPr>
          <w:rFonts w:cs="Tahoma"/>
        </w:rPr>
      </w:pPr>
    </w:p>
    <w:p w:rsidR="00565FD5" w:rsidRPr="00C91E15" w:rsidRDefault="00565FD5" w:rsidP="00565FD5">
      <w:pPr>
        <w:pStyle w:val="Balk3"/>
      </w:pPr>
      <w:bookmarkStart w:id="1259" w:name="_Toc338494236"/>
      <w:bookmarkStart w:id="1260" w:name="_Toc338505562"/>
      <w:bookmarkStart w:id="1261" w:name="_Toc338523781"/>
      <w:bookmarkStart w:id="1262" w:name="_Toc338524012"/>
      <w:bookmarkStart w:id="1263" w:name="_Toc338526238"/>
      <w:bookmarkStart w:id="1264" w:name="_Toc338673681"/>
      <w:bookmarkStart w:id="1265" w:name="_Toc338711560"/>
      <w:r w:rsidRPr="00C91E15">
        <w:t>B. İŞ ORTAMININ İYİLEŞTİRİLMESİ</w:t>
      </w:r>
      <w:bookmarkEnd w:id="1259"/>
      <w:bookmarkEnd w:id="1260"/>
      <w:bookmarkEnd w:id="1261"/>
      <w:bookmarkEnd w:id="1262"/>
      <w:bookmarkEnd w:id="1263"/>
      <w:bookmarkEnd w:id="1264"/>
      <w:bookmarkEnd w:id="1265"/>
    </w:p>
    <w:p w:rsidR="00565FD5" w:rsidRPr="00C91E15" w:rsidRDefault="00565FD5" w:rsidP="00565FD5">
      <w:pPr>
        <w:pStyle w:val="Balk4"/>
        <w:rPr>
          <w:lang w:eastAsia="tr-TR"/>
        </w:rPr>
      </w:pPr>
      <w:bookmarkStart w:id="1266" w:name="_Toc276076267"/>
      <w:bookmarkStart w:id="1267" w:name="_Toc244339588"/>
      <w:bookmarkStart w:id="1268" w:name="_Toc244315125"/>
      <w:bookmarkStart w:id="1269" w:name="_Toc244313648"/>
      <w:bookmarkStart w:id="1270" w:name="_Toc244254912"/>
      <w:bookmarkStart w:id="1271" w:name="_Toc244253661"/>
      <w:bookmarkStart w:id="1272" w:name="_Toc149968477"/>
      <w:bookmarkStart w:id="1273" w:name="_Toc307601973"/>
      <w:bookmarkStart w:id="1274" w:name="_Toc307670422"/>
      <w:bookmarkStart w:id="1275" w:name="_Toc307701648"/>
      <w:bookmarkStart w:id="1276" w:name="_Toc338523782"/>
      <w:bookmarkStart w:id="1277" w:name="_Toc338524013"/>
      <w:bookmarkStart w:id="1278" w:name="_Toc338526239"/>
      <w:bookmarkStart w:id="1279" w:name="_Toc338673682"/>
      <w:bookmarkStart w:id="1280" w:name="_Toc338711561"/>
      <w:r w:rsidRPr="00C91E15">
        <w:t>1. Mevcut Durum</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rsidR="00565FD5" w:rsidRPr="00704A40" w:rsidRDefault="00565FD5" w:rsidP="00565FD5">
      <w:pPr>
        <w:pStyle w:val="BodyText2"/>
        <w:rPr>
          <w:rFonts w:cs="Tahoma"/>
          <w:lang w:eastAsia="tr-TR"/>
        </w:rPr>
      </w:pPr>
      <w:r w:rsidRPr="00704A40">
        <w:rPr>
          <w:rFonts w:cs="Tahoma"/>
          <w:lang w:eastAsia="tr-TR"/>
        </w:rPr>
        <w:t>Türkiye’de son dönemde, başta makroekonomik istikrarın sağlanması olmak üzere, gerçekleştirilen çeşitli düzenlemelerle iş ortamının iyileştirilmesinde önemli mesafe alınmış ve yatırımlarda artış kaydedilmiştir.</w:t>
      </w:r>
    </w:p>
    <w:p w:rsidR="00565FD5" w:rsidRPr="00F41E50" w:rsidRDefault="00565FD5" w:rsidP="00565FD5">
      <w:pPr>
        <w:pStyle w:val="BodyText2"/>
        <w:rPr>
          <w:rFonts w:cs="Tahoma"/>
          <w:lang w:eastAsia="tr-TR"/>
        </w:rPr>
      </w:pPr>
      <w:r w:rsidRPr="00704A40">
        <w:rPr>
          <w:rFonts w:cs="Tahoma"/>
          <w:lang w:eastAsia="tr-TR"/>
        </w:rPr>
        <w:t>Yatırım Ortamının İyileştirilmesi Koordinasyon Kurulu</w:t>
      </w:r>
      <w:r>
        <w:rPr>
          <w:rFonts w:cs="Tahoma"/>
          <w:lang w:eastAsia="tr-TR"/>
        </w:rPr>
        <w:t>nun</w:t>
      </w:r>
      <w:r w:rsidRPr="00704A40">
        <w:rPr>
          <w:rFonts w:cs="Tahoma"/>
          <w:lang w:eastAsia="tr-TR"/>
        </w:rPr>
        <w:t xml:space="preserve"> (YOİKK) </w:t>
      </w:r>
      <w:r>
        <w:rPr>
          <w:rFonts w:cs="Tahoma"/>
          <w:lang w:eastAsia="tr-TR"/>
        </w:rPr>
        <w:t xml:space="preserve">etkinliğinin arttırılması amacıyla 2011 yılında özel sektör ve kamu kurumlarının katılımı ile çalışmalar yürütülmüştür. Çalışmalar sonucunda </w:t>
      </w:r>
      <w:r w:rsidRPr="00ED53A6">
        <w:rPr>
          <w:rFonts w:cs="Tahoma"/>
          <w:lang w:eastAsia="tr-TR"/>
        </w:rPr>
        <w:t>16</w:t>
      </w:r>
      <w:r>
        <w:rPr>
          <w:rFonts w:cs="Tahoma"/>
          <w:lang w:eastAsia="tr-TR"/>
        </w:rPr>
        <w:t>/01/</w:t>
      </w:r>
      <w:r w:rsidRPr="00ED53A6">
        <w:rPr>
          <w:rFonts w:cs="Tahoma"/>
          <w:lang w:eastAsia="tr-TR"/>
        </w:rPr>
        <w:t>2012 tarih</w:t>
      </w:r>
      <w:r>
        <w:rPr>
          <w:rFonts w:cs="Tahoma"/>
          <w:lang w:eastAsia="tr-TR"/>
        </w:rPr>
        <w:t>li</w:t>
      </w:r>
      <w:r w:rsidRPr="00ED53A6">
        <w:rPr>
          <w:rFonts w:cs="Tahoma"/>
          <w:lang w:eastAsia="tr-TR"/>
        </w:rPr>
        <w:t xml:space="preserve"> ve 2012/2 sayılı Ba</w:t>
      </w:r>
      <w:r>
        <w:rPr>
          <w:rFonts w:cs="Tahoma"/>
          <w:lang w:eastAsia="tr-TR"/>
        </w:rPr>
        <w:t>kanlar Kurulu Prensip Kararıyla</w:t>
      </w:r>
      <w:r w:rsidRPr="00ED53A6">
        <w:rPr>
          <w:rFonts w:cs="Tahoma"/>
          <w:lang w:eastAsia="tr-TR"/>
        </w:rPr>
        <w:t xml:space="preserve"> YOİKK’in yapısı, çalışma usul ve esasları yenilenmiştir. Gerçekleştirilen düzenlemeler sonrası YOİKK kapsamında çalışmalarını yürütmekte olan Teknik Komitelerin eylem planları </w:t>
      </w:r>
      <w:r>
        <w:rPr>
          <w:rFonts w:cs="Tahoma"/>
          <w:lang w:eastAsia="tr-TR"/>
        </w:rPr>
        <w:t>kamu ve özel sektör işbirliğiyle</w:t>
      </w:r>
      <w:r w:rsidRPr="00704A40">
        <w:rPr>
          <w:rFonts w:cs="Tahoma"/>
          <w:lang w:eastAsia="tr-TR"/>
        </w:rPr>
        <w:t>le</w:t>
      </w:r>
      <w:r w:rsidRPr="00ED53A6">
        <w:rPr>
          <w:rFonts w:cs="Tahoma"/>
          <w:lang w:eastAsia="tr-TR"/>
        </w:rPr>
        <w:t xml:space="preserve"> ele alınmış ve </w:t>
      </w:r>
      <w:r>
        <w:rPr>
          <w:rFonts w:cs="Tahoma"/>
          <w:lang w:eastAsia="tr-TR"/>
        </w:rPr>
        <w:t>02/08/</w:t>
      </w:r>
      <w:r w:rsidRPr="00ED53A6">
        <w:rPr>
          <w:rFonts w:cs="Tahoma"/>
          <w:lang w:eastAsia="tr-TR"/>
        </w:rPr>
        <w:t>2012 tarihinde</w:t>
      </w:r>
      <w:r w:rsidRPr="00704A40">
        <w:rPr>
          <w:rFonts w:cs="Tahoma"/>
          <w:lang w:eastAsia="tr-TR"/>
        </w:rPr>
        <w:t xml:space="preserve"> gerçekleştirilen </w:t>
      </w:r>
      <w:r>
        <w:rPr>
          <w:rFonts w:cs="Tahoma"/>
          <w:lang w:eastAsia="tr-TR"/>
        </w:rPr>
        <w:t xml:space="preserve">18. YOİKK toplantısı sonrası kesinleştirilerek </w:t>
      </w:r>
      <w:r w:rsidRPr="00704A40">
        <w:rPr>
          <w:rFonts w:cs="Tahoma"/>
          <w:lang w:eastAsia="tr-TR"/>
        </w:rPr>
        <w:t>kamuoyuna açıkla</w:t>
      </w:r>
      <w:r>
        <w:rPr>
          <w:rFonts w:cs="Tahoma"/>
          <w:lang w:eastAsia="tr-TR"/>
        </w:rPr>
        <w:t>n</w:t>
      </w:r>
      <w:r w:rsidRPr="00704A40">
        <w:rPr>
          <w:rFonts w:cs="Tahoma"/>
          <w:lang w:eastAsia="tr-TR"/>
        </w:rPr>
        <w:t>mış</w:t>
      </w:r>
      <w:r>
        <w:rPr>
          <w:rFonts w:cs="Tahoma"/>
          <w:lang w:eastAsia="tr-TR"/>
        </w:rPr>
        <w:t>t</w:t>
      </w:r>
      <w:r w:rsidRPr="00704A40">
        <w:rPr>
          <w:rFonts w:cs="Tahoma"/>
          <w:lang w:eastAsia="tr-TR"/>
        </w:rPr>
        <w:t xml:space="preserve">ır. </w:t>
      </w:r>
    </w:p>
    <w:p w:rsidR="00565FD5" w:rsidRPr="00206DFD" w:rsidRDefault="00565FD5" w:rsidP="00565FD5">
      <w:pPr>
        <w:pStyle w:val="NormalWeb"/>
        <w:spacing w:before="0" w:beforeAutospacing="0" w:after="120" w:afterAutospacing="0"/>
        <w:ind w:firstLine="425"/>
        <w:jc w:val="both"/>
        <w:rPr>
          <w:rFonts w:ascii="Tahoma" w:hAnsi="Tahoma" w:cs="Tahoma"/>
          <w:sz w:val="18"/>
          <w:szCs w:val="18"/>
        </w:rPr>
      </w:pPr>
      <w:r w:rsidRPr="00F41E50">
        <w:rPr>
          <w:rFonts w:ascii="Tahoma" w:hAnsi="Tahoma" w:cs="Tahoma"/>
          <w:sz w:val="18"/>
          <w:szCs w:val="18"/>
        </w:rPr>
        <w:t xml:space="preserve">YOİKK’in </w:t>
      </w:r>
      <w:r w:rsidRPr="00206DFD">
        <w:rPr>
          <w:rFonts w:ascii="Tahoma" w:hAnsi="Tahoma" w:cs="Tahoma"/>
          <w:sz w:val="18"/>
          <w:szCs w:val="18"/>
        </w:rPr>
        <w:t>yeniden yapılandırılması çalışmaları çerçevesinde 12 olan Tekni</w:t>
      </w:r>
      <w:r>
        <w:rPr>
          <w:rFonts w:ascii="Tahoma" w:hAnsi="Tahoma" w:cs="Tahoma"/>
          <w:sz w:val="18"/>
          <w:szCs w:val="18"/>
        </w:rPr>
        <w:t>k Komite sayısı 10'a indirilmiş,</w:t>
      </w:r>
      <w:r w:rsidRPr="00206DFD">
        <w:rPr>
          <w:rFonts w:ascii="Tahoma" w:hAnsi="Tahoma" w:cs="Tahoma"/>
          <w:sz w:val="18"/>
          <w:szCs w:val="18"/>
        </w:rPr>
        <w:t xml:space="preserve"> Teknik Komite </w:t>
      </w:r>
      <w:r>
        <w:rPr>
          <w:rFonts w:ascii="Tahoma" w:hAnsi="Tahoma" w:cs="Tahoma"/>
          <w:sz w:val="18"/>
          <w:szCs w:val="18"/>
        </w:rPr>
        <w:t xml:space="preserve">görev tanımları güncellenmiş, </w:t>
      </w:r>
      <w:r w:rsidRPr="00206DFD">
        <w:rPr>
          <w:rFonts w:ascii="Tahoma" w:hAnsi="Tahoma" w:cs="Tahoma"/>
          <w:sz w:val="18"/>
          <w:szCs w:val="18"/>
        </w:rPr>
        <w:t>Yönlendirme Komitesine Adalet, Çevre ve Şehircilik, Gümrük ve Ticaret Bakanlıkları ile Türkiye Yatırım Destek ve Tanıtım Ajansı ve TÜBİTAK temsilcileri dahil edilmiştir. Ayrıca, tamamlanan eylemlerin etkinliğinin değerlendirilmesi amacıyla ölçme ve değerlendirme çalışma grupları oluşturulması uygulamasına başlanmıştır.</w:t>
      </w:r>
    </w:p>
    <w:p w:rsidR="00565FD5" w:rsidRDefault="00565FD5" w:rsidP="00565FD5">
      <w:pPr>
        <w:pStyle w:val="BodyText2"/>
        <w:rPr>
          <w:rFonts w:cs="Tahoma"/>
          <w:lang w:eastAsia="tr-TR"/>
        </w:rPr>
      </w:pPr>
      <w:r w:rsidRPr="00206DFD">
        <w:rPr>
          <w:rFonts w:cs="Tahoma"/>
          <w:lang w:eastAsia="tr-TR"/>
        </w:rPr>
        <w:t>İş ortamının iyileştirilmesi ile ilgili</w:t>
      </w:r>
      <w:r>
        <w:rPr>
          <w:rFonts w:cs="Tahoma"/>
          <w:lang w:eastAsia="tr-TR"/>
        </w:rPr>
        <w:t xml:space="preserve"> 2011 ve 2012 yıllarında önemli düzenlemeler yapılmıştır. 2011 yılında yasalaşan yeni Türk Ticaret Kanununda</w:t>
      </w:r>
      <w:r w:rsidRPr="00ED53A6">
        <w:rPr>
          <w:rFonts w:cs="Tahoma"/>
          <w:lang w:eastAsia="tr-TR"/>
        </w:rPr>
        <w:t xml:space="preserve"> şirketlerin</w:t>
      </w:r>
      <w:r w:rsidRPr="00A654F2">
        <w:rPr>
          <w:rFonts w:cs="Tahoma"/>
          <w:lang w:eastAsia="tr-TR"/>
        </w:rPr>
        <w:t xml:space="preserve"> yapıları ile ilgili önemli düzenlemeler</w:t>
      </w:r>
      <w:r>
        <w:rPr>
          <w:rFonts w:cs="Tahoma"/>
          <w:lang w:eastAsia="tr-TR"/>
        </w:rPr>
        <w:t xml:space="preserve"> </w:t>
      </w:r>
      <w:r w:rsidRPr="00A654F2">
        <w:rPr>
          <w:rFonts w:cs="Tahoma"/>
          <w:lang w:eastAsia="tr-TR"/>
        </w:rPr>
        <w:t>yer al</w:t>
      </w:r>
      <w:r>
        <w:rPr>
          <w:rFonts w:cs="Tahoma"/>
          <w:lang w:eastAsia="tr-TR"/>
        </w:rPr>
        <w:t>makta, ş</w:t>
      </w:r>
      <w:r w:rsidRPr="00A654F2">
        <w:rPr>
          <w:rFonts w:cs="Tahoma"/>
          <w:lang w:eastAsia="tr-TR"/>
        </w:rPr>
        <w:t>irketlerin i</w:t>
      </w:r>
      <w:r>
        <w:rPr>
          <w:rFonts w:cs="Tahoma"/>
          <w:lang w:eastAsia="tr-TR"/>
        </w:rPr>
        <w:t>ş</w:t>
      </w:r>
      <w:r w:rsidRPr="00A654F2">
        <w:rPr>
          <w:rFonts w:cs="Tahoma"/>
          <w:lang w:eastAsia="tr-TR"/>
        </w:rPr>
        <w:t>leyi</w:t>
      </w:r>
      <w:r>
        <w:rPr>
          <w:rFonts w:cs="Tahoma"/>
          <w:lang w:eastAsia="tr-TR"/>
        </w:rPr>
        <w:t>ş</w:t>
      </w:r>
      <w:r w:rsidRPr="00A654F2">
        <w:rPr>
          <w:rFonts w:cs="Tahoma"/>
          <w:lang w:eastAsia="tr-TR"/>
        </w:rPr>
        <w:t>inde elektronik ortaml</w:t>
      </w:r>
      <w:r>
        <w:rPr>
          <w:rFonts w:cs="Tahoma"/>
          <w:lang w:eastAsia="tr-TR"/>
        </w:rPr>
        <w:t xml:space="preserve">arın kullanılmasına imkân sağlanmaktadır. Yine 2011 yılında kabul edilen yeni Borçlar Kanunu ise </w:t>
      </w:r>
      <w:r w:rsidRPr="00A654F2">
        <w:rPr>
          <w:rFonts w:cs="Tahoma"/>
          <w:lang w:eastAsia="tr-TR"/>
        </w:rPr>
        <w:t>özel borç</w:t>
      </w:r>
      <w:r>
        <w:rPr>
          <w:rFonts w:cs="Tahoma"/>
          <w:lang w:eastAsia="tr-TR"/>
        </w:rPr>
        <w:t>-</w:t>
      </w:r>
      <w:r w:rsidRPr="00A654F2">
        <w:rPr>
          <w:rFonts w:cs="Tahoma"/>
          <w:lang w:eastAsia="tr-TR"/>
        </w:rPr>
        <w:t>alacak ili</w:t>
      </w:r>
      <w:r>
        <w:rPr>
          <w:rFonts w:cs="Tahoma"/>
          <w:lang w:eastAsia="tr-TR"/>
        </w:rPr>
        <w:t>ş</w:t>
      </w:r>
      <w:r w:rsidRPr="00A654F2">
        <w:rPr>
          <w:rFonts w:cs="Tahoma"/>
          <w:lang w:eastAsia="tr-TR"/>
        </w:rPr>
        <w:t>kilerine modern bir hukuki çerçeve</w:t>
      </w:r>
      <w:r>
        <w:rPr>
          <w:rFonts w:cs="Tahoma"/>
          <w:lang w:eastAsia="tr-TR"/>
        </w:rPr>
        <w:t xml:space="preserve"> </w:t>
      </w:r>
      <w:r w:rsidRPr="00A654F2">
        <w:rPr>
          <w:rFonts w:cs="Tahoma"/>
          <w:lang w:eastAsia="tr-TR"/>
        </w:rPr>
        <w:t>kazandır</w:t>
      </w:r>
      <w:r>
        <w:rPr>
          <w:rFonts w:cs="Tahoma"/>
          <w:lang w:eastAsia="tr-TR"/>
        </w:rPr>
        <w:t xml:space="preserve">mıştır. </w:t>
      </w:r>
    </w:p>
    <w:p w:rsidR="00565FD5" w:rsidRPr="00A11B30" w:rsidRDefault="00565FD5" w:rsidP="00565FD5">
      <w:pPr>
        <w:pStyle w:val="BodyText2"/>
        <w:spacing w:after="200"/>
        <w:rPr>
          <w:rFonts w:cs="Tahoma"/>
          <w:lang w:eastAsia="tr-TR"/>
        </w:rPr>
      </w:pPr>
      <w:r w:rsidRPr="00A11B30">
        <w:rPr>
          <w:rFonts w:cs="Tahoma"/>
          <w:lang w:eastAsia="tr-TR"/>
        </w:rPr>
        <w:t>Dış Ticarette Risk Esaslı Kontrol Sistemi (TAREKS) bünyesindeki pilot uygulamalarda ihracat ve ithalat denetimleri için kâğıt ortamında aranan Kontrol Belgesi ya da Uygunluk Belgesi uygulaması kaldırılmış, yerine e-Belge</w:t>
      </w:r>
      <w:r>
        <w:rPr>
          <w:rFonts w:cs="Tahoma"/>
          <w:lang w:eastAsia="tr-TR"/>
        </w:rPr>
        <w:t>ler oluşturulmasına başlanmıştır.</w:t>
      </w:r>
      <w:r w:rsidRPr="00A11B30">
        <w:rPr>
          <w:rFonts w:cs="Tahoma"/>
          <w:lang w:eastAsia="tr-TR"/>
        </w:rPr>
        <w:t xml:space="preserve"> Siste</w:t>
      </w:r>
      <w:r>
        <w:rPr>
          <w:rFonts w:cs="Tahoma"/>
          <w:lang w:eastAsia="tr-TR"/>
        </w:rPr>
        <w:t>m</w:t>
      </w:r>
      <w:r w:rsidRPr="00A11B30">
        <w:rPr>
          <w:rFonts w:cs="Tahoma"/>
          <w:lang w:eastAsia="tr-TR"/>
        </w:rPr>
        <w:t>le e-imza uygulamasına geçilmesi sonrasında daha önce her denetim başvurusunda aranan imza sirküleri, vekâletname ve ticaret sicili gazetesi gibi belgeler ve firmalara ait bazı bilgiler bir defaya mahsus olarak talep edilmeye başlanmıştır. Ayrıca, kâğıtsız işlem ve beyannameye eklenecek belgelerin azaltılmasına</w:t>
      </w:r>
      <w:r>
        <w:rPr>
          <w:rFonts w:cs="Tahoma"/>
          <w:lang w:eastAsia="tr-TR"/>
        </w:rPr>
        <w:t xml:space="preserve"> yönelik yönetmelik değişikliği 0</w:t>
      </w:r>
      <w:r w:rsidRPr="00A11B30">
        <w:rPr>
          <w:rFonts w:cs="Tahoma"/>
          <w:lang w:eastAsia="tr-TR"/>
        </w:rPr>
        <w:t>1</w:t>
      </w:r>
      <w:r>
        <w:rPr>
          <w:rFonts w:cs="Tahoma"/>
          <w:lang w:eastAsia="tr-TR"/>
        </w:rPr>
        <w:t>/01/</w:t>
      </w:r>
      <w:r w:rsidRPr="00A11B30">
        <w:rPr>
          <w:rFonts w:cs="Tahoma"/>
          <w:lang w:eastAsia="tr-TR"/>
        </w:rPr>
        <w:t>2012'de yürürlüğe girmiştir.</w:t>
      </w:r>
    </w:p>
    <w:p w:rsidR="00565FD5" w:rsidRPr="00000403" w:rsidRDefault="00565FD5" w:rsidP="00565FD5">
      <w:pPr>
        <w:pStyle w:val="BodyText2"/>
        <w:spacing w:after="200"/>
        <w:rPr>
          <w:rFonts w:cs="Tahoma"/>
          <w:lang w:eastAsia="tr-TR"/>
        </w:rPr>
      </w:pPr>
      <w:r w:rsidRPr="00000403">
        <w:rPr>
          <w:rFonts w:cs="Tahoma"/>
          <w:lang w:eastAsia="tr-TR"/>
        </w:rPr>
        <w:t>661 sayılı Avrupa Birliği Bakanlığının Teşkil</w:t>
      </w:r>
      <w:r>
        <w:rPr>
          <w:rFonts w:cs="Tahoma"/>
          <w:lang w:eastAsia="tr-TR"/>
        </w:rPr>
        <w:t>at ve Görevleri Hakkında KHK’yla</w:t>
      </w:r>
      <w:r w:rsidRPr="00000403">
        <w:rPr>
          <w:rFonts w:cs="Tahoma"/>
          <w:lang w:eastAsia="tr-TR"/>
        </w:rPr>
        <w:t xml:space="preserve"> Bazı KHK'larda Değişiklik Yapılmasına Dair KHK'nın 99. maddesi uyarınca devlet desteklerinin bildirimi, izlenmesi ve denetlenmesine ilişkin yönet</w:t>
      </w:r>
      <w:r>
        <w:rPr>
          <w:rFonts w:cs="Tahoma"/>
          <w:lang w:eastAsia="tr-TR"/>
        </w:rPr>
        <w:t>meliklerin yürürlüğe konulması</w:t>
      </w:r>
      <w:r w:rsidRPr="00000403">
        <w:rPr>
          <w:rFonts w:cs="Tahoma"/>
          <w:lang w:eastAsia="tr-TR"/>
        </w:rPr>
        <w:t xml:space="preserve"> </w:t>
      </w:r>
      <w:r>
        <w:rPr>
          <w:rFonts w:cs="Tahoma"/>
          <w:lang w:eastAsia="tr-TR"/>
        </w:rPr>
        <w:t>için</w:t>
      </w:r>
      <w:r w:rsidRPr="00000403">
        <w:rPr>
          <w:rFonts w:cs="Tahoma"/>
          <w:lang w:eastAsia="tr-TR"/>
        </w:rPr>
        <w:t xml:space="preserve"> nihai tarih 30</w:t>
      </w:r>
      <w:r>
        <w:rPr>
          <w:rFonts w:cs="Tahoma"/>
          <w:lang w:eastAsia="tr-TR"/>
        </w:rPr>
        <w:t>/0</w:t>
      </w:r>
      <w:r w:rsidRPr="00000403">
        <w:rPr>
          <w:rFonts w:cs="Tahoma"/>
          <w:lang w:eastAsia="tr-TR"/>
        </w:rPr>
        <w:t>6</w:t>
      </w:r>
      <w:r>
        <w:rPr>
          <w:rFonts w:cs="Tahoma"/>
          <w:lang w:eastAsia="tr-TR"/>
        </w:rPr>
        <w:t>/</w:t>
      </w:r>
      <w:r w:rsidRPr="00000403">
        <w:rPr>
          <w:rFonts w:cs="Tahoma"/>
          <w:lang w:eastAsia="tr-TR"/>
        </w:rPr>
        <w:t xml:space="preserve">2013’e kadar uzatılmıştır. </w:t>
      </w:r>
    </w:p>
    <w:p w:rsidR="00565FD5" w:rsidRPr="00000403" w:rsidRDefault="00565FD5" w:rsidP="00565FD5">
      <w:pPr>
        <w:pStyle w:val="BodyText2"/>
        <w:spacing w:after="200"/>
        <w:rPr>
          <w:rFonts w:cs="Tahoma"/>
          <w:lang w:eastAsia="tr-TR"/>
        </w:rPr>
      </w:pPr>
      <w:r w:rsidRPr="00000403">
        <w:rPr>
          <w:rFonts w:cs="Tahoma"/>
          <w:lang w:eastAsia="tr-TR"/>
        </w:rPr>
        <w:t>Yeni yatırım teşvik sistemine ilişkin 2012/3305 sayılı Yatırımlarda Devlet Yardımları Hakkında Karar 19</w:t>
      </w:r>
      <w:r>
        <w:rPr>
          <w:rFonts w:cs="Tahoma"/>
          <w:lang w:eastAsia="tr-TR"/>
        </w:rPr>
        <w:t>/06/</w:t>
      </w:r>
      <w:r w:rsidRPr="00000403">
        <w:rPr>
          <w:rFonts w:cs="Tahoma"/>
          <w:lang w:eastAsia="tr-TR"/>
        </w:rPr>
        <w:t>2012 tarih</w:t>
      </w:r>
      <w:r>
        <w:rPr>
          <w:rFonts w:cs="Tahoma"/>
          <w:lang w:eastAsia="tr-TR"/>
        </w:rPr>
        <w:t>li</w:t>
      </w:r>
      <w:r w:rsidRPr="00000403">
        <w:rPr>
          <w:rFonts w:cs="Tahoma"/>
          <w:lang w:eastAsia="tr-TR"/>
        </w:rPr>
        <w:t xml:space="preserve"> Resmi Gazete’de yayımlanarak</w:t>
      </w:r>
      <w:r>
        <w:rPr>
          <w:rFonts w:cs="Tahoma"/>
          <w:lang w:eastAsia="tr-TR"/>
        </w:rPr>
        <w:t xml:space="preserve"> yürürlüğe girmiştir. </w:t>
      </w:r>
      <w:r w:rsidRPr="00000403">
        <w:rPr>
          <w:rFonts w:cs="Tahoma"/>
          <w:lang w:eastAsia="tr-TR"/>
        </w:rPr>
        <w:t xml:space="preserve">Yeni yatırım teşvik sisteminde gelişmişlik seviyesine göre bölge grubu sayısı 4’ten 6’ya çıkarılmış, bölgeler il bazında oluşturulmuştur. Bölgesel teşvik sistemi, genel teşvik sistemi ve büyük ölçekli yatırımların teşviki alanlarına ek olarak, ithalat bağımlılığı yüksek ara </w:t>
      </w:r>
      <w:r w:rsidRPr="00000403">
        <w:rPr>
          <w:rFonts w:cs="Tahoma"/>
          <w:lang w:eastAsia="tr-TR"/>
        </w:rPr>
        <w:lastRenderedPageBreak/>
        <w:t>malları ve ürünlerin yerli üretiminin desteklenmesi amacıyla stratejik yatırımların teşvikine yönelik yeni bir uygulama</w:t>
      </w:r>
      <w:r>
        <w:rPr>
          <w:rFonts w:cs="Tahoma"/>
          <w:lang w:eastAsia="tr-TR"/>
        </w:rPr>
        <w:t>yı</w:t>
      </w:r>
      <w:r w:rsidRPr="00000403">
        <w:rPr>
          <w:rFonts w:cs="Tahoma"/>
          <w:lang w:eastAsia="tr-TR"/>
        </w:rPr>
        <w:t xml:space="preserve"> sisteme ekle</w:t>
      </w:r>
      <w:r>
        <w:rPr>
          <w:rFonts w:cs="Tahoma"/>
          <w:lang w:eastAsia="tr-TR"/>
        </w:rPr>
        <w:t>n</w:t>
      </w:r>
      <w:r w:rsidRPr="00000403">
        <w:rPr>
          <w:rFonts w:cs="Tahoma"/>
          <w:lang w:eastAsia="tr-TR"/>
        </w:rPr>
        <w:t>miştir. Destek unsurlarında ise</w:t>
      </w:r>
      <w:r>
        <w:rPr>
          <w:rFonts w:cs="Tahoma"/>
          <w:lang w:eastAsia="tr-TR"/>
        </w:rPr>
        <w:t>,</w:t>
      </w:r>
      <w:r w:rsidRPr="00000403">
        <w:rPr>
          <w:rFonts w:cs="Tahoma"/>
          <w:lang w:eastAsia="tr-TR"/>
        </w:rPr>
        <w:t xml:space="preserve"> 6. Bölge</w:t>
      </w:r>
      <w:r>
        <w:rPr>
          <w:rFonts w:cs="Tahoma"/>
          <w:lang w:eastAsia="tr-TR"/>
        </w:rPr>
        <w:t>’</w:t>
      </w:r>
      <w:r w:rsidRPr="00000403">
        <w:rPr>
          <w:rFonts w:cs="Tahoma"/>
          <w:lang w:eastAsia="tr-TR"/>
        </w:rPr>
        <w:t xml:space="preserve">de uygulanmak üzere Sigorta Primi İşçi Payı desteği ve çalışanlar için Gelir Vergisi stopajı desteği ile stratejik yatırımlarda bina </w:t>
      </w:r>
      <w:r>
        <w:rPr>
          <w:rFonts w:cs="Tahoma"/>
          <w:lang w:eastAsia="tr-TR"/>
        </w:rPr>
        <w:t xml:space="preserve">ve </w:t>
      </w:r>
      <w:r w:rsidRPr="00000403">
        <w:rPr>
          <w:rFonts w:cs="Tahoma"/>
          <w:lang w:eastAsia="tr-TR"/>
        </w:rPr>
        <w:t xml:space="preserve">inşaat harcamaları için KDV </w:t>
      </w:r>
      <w:r>
        <w:rPr>
          <w:rFonts w:cs="Tahoma"/>
          <w:lang w:eastAsia="tr-TR"/>
        </w:rPr>
        <w:t>i</w:t>
      </w:r>
      <w:r w:rsidRPr="00000403">
        <w:rPr>
          <w:rFonts w:cs="Tahoma"/>
          <w:lang w:eastAsia="tr-TR"/>
        </w:rPr>
        <w:t>adesi desteği sisteme ilave edilmiştir. Mevcut destek unsu</w:t>
      </w:r>
      <w:r>
        <w:rPr>
          <w:rFonts w:cs="Tahoma"/>
          <w:lang w:eastAsia="tr-TR"/>
        </w:rPr>
        <w:t>r</w:t>
      </w:r>
      <w:r w:rsidRPr="00000403">
        <w:rPr>
          <w:rFonts w:cs="Tahoma"/>
          <w:lang w:eastAsia="tr-TR"/>
        </w:rPr>
        <w:t xml:space="preserve">larından KDV </w:t>
      </w:r>
      <w:r>
        <w:rPr>
          <w:rFonts w:cs="Tahoma"/>
          <w:lang w:eastAsia="tr-TR"/>
        </w:rPr>
        <w:t>i</w:t>
      </w:r>
      <w:r w:rsidRPr="00000403">
        <w:rPr>
          <w:rFonts w:cs="Tahoma"/>
          <w:lang w:eastAsia="tr-TR"/>
        </w:rPr>
        <w:t xml:space="preserve">stisnası, Gümrük Vergisi </w:t>
      </w:r>
      <w:r>
        <w:rPr>
          <w:rFonts w:cs="Tahoma"/>
          <w:lang w:eastAsia="tr-TR"/>
        </w:rPr>
        <w:t>m</w:t>
      </w:r>
      <w:r w:rsidRPr="00000403">
        <w:rPr>
          <w:rFonts w:cs="Tahoma"/>
          <w:lang w:eastAsia="tr-TR"/>
        </w:rPr>
        <w:t xml:space="preserve">uafiyeti ve </w:t>
      </w:r>
      <w:r>
        <w:rPr>
          <w:rFonts w:cs="Tahoma"/>
          <w:lang w:eastAsia="tr-TR"/>
        </w:rPr>
        <w:t>y</w:t>
      </w:r>
      <w:r w:rsidRPr="00000403">
        <w:rPr>
          <w:rFonts w:cs="Tahoma"/>
          <w:lang w:eastAsia="tr-TR"/>
        </w:rPr>
        <w:t xml:space="preserve">atırım </w:t>
      </w:r>
      <w:r>
        <w:rPr>
          <w:rFonts w:cs="Tahoma"/>
          <w:lang w:eastAsia="tr-TR"/>
        </w:rPr>
        <w:t>y</w:t>
      </w:r>
      <w:r w:rsidRPr="00000403">
        <w:rPr>
          <w:rFonts w:cs="Tahoma"/>
          <w:lang w:eastAsia="tr-TR"/>
        </w:rPr>
        <w:t xml:space="preserve">eri </w:t>
      </w:r>
      <w:r>
        <w:rPr>
          <w:rFonts w:cs="Tahoma"/>
          <w:lang w:eastAsia="tr-TR"/>
        </w:rPr>
        <w:t>t</w:t>
      </w:r>
      <w:r w:rsidRPr="00000403">
        <w:rPr>
          <w:rFonts w:cs="Tahoma"/>
          <w:lang w:eastAsia="tr-TR"/>
        </w:rPr>
        <w:t xml:space="preserve">ahsisi uygulaması aynı şekilde devam ederken </w:t>
      </w:r>
      <w:r>
        <w:rPr>
          <w:rFonts w:cs="Tahoma"/>
          <w:lang w:eastAsia="tr-TR"/>
        </w:rPr>
        <w:t>v</w:t>
      </w:r>
      <w:r w:rsidRPr="00000403">
        <w:rPr>
          <w:rFonts w:cs="Tahoma"/>
          <w:lang w:eastAsia="tr-TR"/>
        </w:rPr>
        <w:t xml:space="preserve">ergi </w:t>
      </w:r>
      <w:r>
        <w:rPr>
          <w:rFonts w:cs="Tahoma"/>
          <w:lang w:eastAsia="tr-TR"/>
        </w:rPr>
        <w:t>i</w:t>
      </w:r>
      <w:r w:rsidRPr="00000403">
        <w:rPr>
          <w:rFonts w:cs="Tahoma"/>
          <w:lang w:eastAsia="tr-TR"/>
        </w:rPr>
        <w:t xml:space="preserve">ndirimi, Sigorta Primi </w:t>
      </w:r>
      <w:r>
        <w:rPr>
          <w:rFonts w:cs="Tahoma"/>
          <w:lang w:eastAsia="tr-TR"/>
        </w:rPr>
        <w:t>i</w:t>
      </w:r>
      <w:r w:rsidRPr="00000403">
        <w:rPr>
          <w:rFonts w:cs="Tahoma"/>
          <w:lang w:eastAsia="tr-TR"/>
        </w:rPr>
        <w:t xml:space="preserve">şveren </w:t>
      </w:r>
      <w:r>
        <w:rPr>
          <w:rFonts w:cs="Tahoma"/>
          <w:lang w:eastAsia="tr-TR"/>
        </w:rPr>
        <w:t>h</w:t>
      </w:r>
      <w:r w:rsidRPr="00000403">
        <w:rPr>
          <w:rFonts w:cs="Tahoma"/>
          <w:lang w:eastAsia="tr-TR"/>
        </w:rPr>
        <w:t xml:space="preserve">issesi </w:t>
      </w:r>
      <w:r>
        <w:rPr>
          <w:rFonts w:cs="Tahoma"/>
          <w:lang w:eastAsia="tr-TR"/>
        </w:rPr>
        <w:t>d</w:t>
      </w:r>
      <w:r w:rsidRPr="00000403">
        <w:rPr>
          <w:rFonts w:cs="Tahoma"/>
          <w:lang w:eastAsia="tr-TR"/>
        </w:rPr>
        <w:t xml:space="preserve">esteği, </w:t>
      </w:r>
      <w:r>
        <w:rPr>
          <w:rFonts w:cs="Tahoma"/>
          <w:lang w:eastAsia="tr-TR"/>
        </w:rPr>
        <w:t>f</w:t>
      </w:r>
      <w:r w:rsidRPr="00000403">
        <w:rPr>
          <w:rFonts w:cs="Tahoma"/>
          <w:lang w:eastAsia="tr-TR"/>
        </w:rPr>
        <w:t xml:space="preserve">aiz </w:t>
      </w:r>
      <w:r>
        <w:rPr>
          <w:rFonts w:cs="Tahoma"/>
          <w:lang w:eastAsia="tr-TR"/>
        </w:rPr>
        <w:t>d</w:t>
      </w:r>
      <w:r w:rsidRPr="00000403">
        <w:rPr>
          <w:rFonts w:cs="Tahoma"/>
          <w:lang w:eastAsia="tr-TR"/>
        </w:rPr>
        <w:t>esteği ise çeşitli değişiklikler yapılarak uygulanmaya devam edilmektedir</w:t>
      </w:r>
      <w:r>
        <w:rPr>
          <w:rFonts w:cs="Tahoma"/>
          <w:lang w:eastAsia="tr-TR"/>
        </w:rPr>
        <w:t>.</w:t>
      </w:r>
      <w:r w:rsidRPr="00602844">
        <w:rPr>
          <w:rFonts w:cs="Tahoma"/>
          <w:lang w:eastAsia="tr-TR"/>
        </w:rPr>
        <w:t xml:space="preserve"> </w:t>
      </w:r>
      <w:r>
        <w:rPr>
          <w:rFonts w:cs="Tahoma"/>
          <w:lang w:eastAsia="tr-TR"/>
        </w:rPr>
        <w:t>Kararda 01/0</w:t>
      </w:r>
      <w:r w:rsidRPr="00000403">
        <w:rPr>
          <w:rFonts w:cs="Tahoma"/>
          <w:lang w:eastAsia="tr-TR"/>
        </w:rPr>
        <w:t>1</w:t>
      </w:r>
      <w:r>
        <w:rPr>
          <w:rFonts w:cs="Tahoma"/>
          <w:lang w:eastAsia="tr-TR"/>
        </w:rPr>
        <w:t>/</w:t>
      </w:r>
      <w:r w:rsidRPr="00000403">
        <w:rPr>
          <w:rFonts w:cs="Tahoma"/>
          <w:lang w:eastAsia="tr-TR"/>
        </w:rPr>
        <w:t xml:space="preserve">2012 tarihinden </w:t>
      </w:r>
      <w:r>
        <w:rPr>
          <w:rFonts w:cs="Tahoma"/>
          <w:lang w:eastAsia="tr-TR"/>
        </w:rPr>
        <w:t xml:space="preserve">sonra </w:t>
      </w:r>
      <w:r w:rsidRPr="00000403">
        <w:rPr>
          <w:rFonts w:cs="Tahoma"/>
          <w:lang w:eastAsia="tr-TR"/>
        </w:rPr>
        <w:t>yapılan müracaatlara istinaden düzenlenen teşvik belgelerinin, talep edilmesi halinde Kararın lehte olan hükümlerinden yararlan</w:t>
      </w:r>
      <w:r>
        <w:rPr>
          <w:rFonts w:cs="Tahoma"/>
          <w:lang w:eastAsia="tr-TR"/>
        </w:rPr>
        <w:t>dırıl</w:t>
      </w:r>
      <w:r w:rsidRPr="00000403">
        <w:rPr>
          <w:rFonts w:cs="Tahoma"/>
          <w:lang w:eastAsia="tr-TR"/>
        </w:rPr>
        <w:t xml:space="preserve">abilmesine imkân sağlanmıştır. </w:t>
      </w:r>
    </w:p>
    <w:p w:rsidR="00565FD5" w:rsidRPr="00000403" w:rsidRDefault="00565FD5" w:rsidP="00565FD5">
      <w:pPr>
        <w:pStyle w:val="BodyText2"/>
        <w:spacing w:after="200"/>
        <w:rPr>
          <w:rFonts w:cs="Tahoma"/>
          <w:lang w:eastAsia="tr-TR"/>
        </w:rPr>
      </w:pPr>
      <w:r w:rsidRPr="00000403">
        <w:rPr>
          <w:rFonts w:cs="Tahoma"/>
          <w:lang w:eastAsia="tr-TR"/>
        </w:rPr>
        <w:t>İhracatta devlet yardımları kapsamında, Döviz Kazandırıcı Hizmet Ticaretinin Desteklenmesi Hakkında Tebliğ yayımlanmış, Teknik Müşavirlik Şirketlerine Sağlanacak Devlet Yardımları Tebliği ise yenilenmiştir.</w:t>
      </w:r>
    </w:p>
    <w:p w:rsidR="00565FD5" w:rsidRPr="00717782" w:rsidRDefault="00565FD5" w:rsidP="00565FD5">
      <w:pPr>
        <w:pStyle w:val="BodyText2"/>
        <w:spacing w:after="200"/>
        <w:rPr>
          <w:rFonts w:cs="Tahoma"/>
          <w:lang w:eastAsia="tr-TR"/>
        </w:rPr>
      </w:pPr>
      <w:r w:rsidRPr="00717782">
        <w:rPr>
          <w:rFonts w:cs="Tahoma"/>
          <w:lang w:eastAsia="tr-TR"/>
        </w:rPr>
        <w:t>İş ortamına ilişkin düzenlemelerin ve bunların uygulamalarının ölçülmesi ve ülkeler arası karşılaştırmaların yapılması amacıyla yıllık olarak hazırlanan Dünya Bankası’nın Doing Business 2012 Raporunda Türkiye, iş yapma kolaylığı baz alınarak yapılan genel sıralamada, revize edilmiş verilere göre, 183 ülke arasında 2010 yılında bulunduğu 73. sıradan 2011 yılında 71. sıraya yükselmiştir.</w:t>
      </w:r>
    </w:p>
    <w:p w:rsidR="00565FD5" w:rsidRDefault="00565FD5" w:rsidP="00565FD5">
      <w:pPr>
        <w:pStyle w:val="BodyText2"/>
        <w:spacing w:after="200"/>
        <w:rPr>
          <w:rFonts w:cs="Tahoma"/>
          <w:lang w:eastAsia="tr-TR"/>
        </w:rPr>
      </w:pPr>
      <w:r w:rsidRPr="00717782">
        <w:rPr>
          <w:rFonts w:cs="Tahoma"/>
          <w:lang w:eastAsia="tr-TR"/>
        </w:rPr>
        <w:t>Ülkemizde yatırıma başlanmasından işletmeye geçiş dönemine kadar, ilgili kuruluşlar tarafından verilen izin, onay ve lisans işlemlerinde yeterince açık olunmaması, mükerrerlik ve bürokrasinin fazlalığı gibi sorunlar çeşitli düzenlemelere rağmen devam etmektedir.</w:t>
      </w:r>
    </w:p>
    <w:p w:rsidR="00565FD5" w:rsidRDefault="00565FD5" w:rsidP="00565FD5">
      <w:pPr>
        <w:spacing w:after="160"/>
        <w:ind w:firstLine="425"/>
      </w:pPr>
      <w:r>
        <w:t>İşletmelerin rekabet gücünün ve yenilik geliştirme kapasitesinin artırılmasına etki eden bir diğer alan ise fikrî haklar sistemidir. Ülkemizde 2012 yılı Ocak-Eylül döneminde  başvurusu yapılan toplam patent sayısı bir önceki yılın aynı dönemine göre, yüzde 10,5  artış ile 8.083’e, faydalı model sayısı yüzde 14,1 artış ile 2.864’e, marka sayısı yüzde 4 artış ile 80.171’e, tasarım sayısı ise yüzde 8,8 artış ile 29.419’a ulaşmıştır. Bu başvurular içerisinde yerli başvuruların oranı markalarda yüzde 89,6’ya, tasarımlarda yüzde 97,1’e, faydalı modellerde yüzde 98,6’ya ve patentlerde yüzde 38,4’e ulaşmıştır.</w:t>
      </w:r>
    </w:p>
    <w:p w:rsidR="00565FD5" w:rsidRPr="00FD491E" w:rsidRDefault="00565FD5" w:rsidP="00565FD5">
      <w:pPr>
        <w:pStyle w:val="ResimYazs"/>
      </w:pPr>
      <w:bookmarkStart w:id="1281" w:name="_Toc149922196"/>
      <w:bookmarkStart w:id="1282" w:name="_Toc244255247"/>
      <w:bookmarkStart w:id="1283" w:name="_Toc275873930"/>
      <w:bookmarkStart w:id="1284" w:name="_Toc276076472"/>
      <w:bookmarkStart w:id="1285" w:name="_Toc338605997"/>
      <w:bookmarkStart w:id="1286" w:name="_Toc338711772"/>
      <w:r>
        <w:t xml:space="preserve">TABLO IV: </w:t>
      </w:r>
      <w:fldSimple w:instr=" SEQ TABLO_IV: \* ARABIC ">
        <w:r>
          <w:rPr>
            <w:noProof/>
          </w:rPr>
          <w:t>2</w:t>
        </w:r>
      </w:fldSimple>
      <w:r w:rsidRPr="00ED53A6">
        <w:t>- İş Ortamına İlişkin Seçilmiş Göstergeler</w:t>
      </w:r>
      <w:bookmarkEnd w:id="1281"/>
      <w:bookmarkEnd w:id="1282"/>
      <w:bookmarkEnd w:id="1283"/>
      <w:bookmarkEnd w:id="1284"/>
      <w:bookmarkEnd w:id="1285"/>
      <w:bookmarkEnd w:id="1286"/>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624"/>
        <w:gridCol w:w="832"/>
        <w:gridCol w:w="557"/>
        <w:gridCol w:w="557"/>
        <w:gridCol w:w="557"/>
        <w:gridCol w:w="557"/>
        <w:gridCol w:w="557"/>
        <w:gridCol w:w="557"/>
        <w:gridCol w:w="833"/>
        <w:gridCol w:w="557"/>
        <w:gridCol w:w="956"/>
      </w:tblGrid>
      <w:tr w:rsidR="00565FD5" w:rsidRPr="00FD491E" w:rsidTr="00AB62A3">
        <w:trPr>
          <w:cantSplit/>
          <w:trHeight w:val="318"/>
          <w:jc w:val="center"/>
        </w:trPr>
        <w:tc>
          <w:tcPr>
            <w:tcW w:w="624" w:type="dxa"/>
            <w:vMerge w:val="restart"/>
            <w:vAlign w:val="center"/>
          </w:tcPr>
          <w:p w:rsidR="00565FD5" w:rsidRPr="00FD491E" w:rsidRDefault="00565FD5" w:rsidP="00AB62A3">
            <w:pPr>
              <w:rPr>
                <w:rFonts w:cs="Tahoma"/>
                <w:b/>
                <w:bCs/>
                <w:color w:val="000000"/>
                <w:sz w:val="14"/>
                <w:szCs w:val="14"/>
                <w:lang w:eastAsia="tr-TR"/>
              </w:rPr>
            </w:pPr>
            <w:r w:rsidRPr="00FD491E">
              <w:rPr>
                <w:rFonts w:cs="Tahoma"/>
                <w:b/>
                <w:bCs/>
                <w:color w:val="000000"/>
                <w:sz w:val="14"/>
                <w:szCs w:val="14"/>
                <w:lang w:eastAsia="tr-TR"/>
              </w:rPr>
              <w:t>Yıllar</w:t>
            </w:r>
          </w:p>
        </w:tc>
        <w:tc>
          <w:tcPr>
            <w:tcW w:w="832" w:type="dxa"/>
            <w:vMerge w:val="restart"/>
            <w:vAlign w:val="center"/>
          </w:tcPr>
          <w:p w:rsidR="00565FD5" w:rsidRPr="00FD491E" w:rsidRDefault="00565FD5" w:rsidP="00AB62A3">
            <w:pPr>
              <w:rPr>
                <w:rFonts w:cs="Tahoma"/>
                <w:b/>
                <w:bCs/>
                <w:color w:val="000000"/>
                <w:sz w:val="14"/>
                <w:szCs w:val="14"/>
                <w:lang w:eastAsia="tr-TR"/>
              </w:rPr>
            </w:pPr>
            <w:r w:rsidRPr="00FD491E">
              <w:rPr>
                <w:rFonts w:cs="Tahoma"/>
                <w:b/>
                <w:bCs/>
                <w:color w:val="000000"/>
                <w:sz w:val="14"/>
                <w:szCs w:val="14"/>
                <w:lang w:eastAsia="tr-TR"/>
              </w:rPr>
              <w:t>Ülke</w:t>
            </w:r>
          </w:p>
        </w:tc>
        <w:tc>
          <w:tcPr>
            <w:tcW w:w="1114" w:type="dxa"/>
            <w:gridSpan w:val="2"/>
            <w:vAlign w:val="center"/>
          </w:tcPr>
          <w:p w:rsidR="00565FD5" w:rsidRPr="00FD491E" w:rsidRDefault="00565FD5" w:rsidP="00AB62A3">
            <w:pPr>
              <w:jc w:val="center"/>
              <w:rPr>
                <w:rFonts w:cs="Tahoma"/>
                <w:b/>
                <w:bCs/>
                <w:color w:val="000000"/>
                <w:sz w:val="14"/>
                <w:szCs w:val="14"/>
                <w:lang w:eastAsia="tr-TR"/>
              </w:rPr>
            </w:pPr>
            <w:r w:rsidRPr="00FD491E">
              <w:rPr>
                <w:rFonts w:cs="Tahoma"/>
                <w:b/>
                <w:bCs/>
                <w:color w:val="000000"/>
                <w:sz w:val="14"/>
                <w:szCs w:val="14"/>
                <w:lang w:eastAsia="tr-TR"/>
              </w:rPr>
              <w:t>İşe Başlama</w:t>
            </w:r>
          </w:p>
        </w:tc>
        <w:tc>
          <w:tcPr>
            <w:tcW w:w="1114" w:type="dxa"/>
            <w:gridSpan w:val="2"/>
            <w:vAlign w:val="center"/>
          </w:tcPr>
          <w:p w:rsidR="00565FD5" w:rsidRPr="00FD491E" w:rsidRDefault="00565FD5" w:rsidP="00AB62A3">
            <w:pPr>
              <w:jc w:val="center"/>
              <w:rPr>
                <w:rFonts w:cs="Tahoma"/>
                <w:b/>
                <w:bCs/>
                <w:color w:val="000000"/>
                <w:sz w:val="14"/>
                <w:szCs w:val="14"/>
                <w:lang w:eastAsia="tr-TR"/>
              </w:rPr>
            </w:pPr>
            <w:r w:rsidRPr="00FD491E">
              <w:rPr>
                <w:rFonts w:cs="Tahoma"/>
                <w:b/>
                <w:bCs/>
                <w:color w:val="000000"/>
                <w:sz w:val="14"/>
                <w:szCs w:val="14"/>
                <w:lang w:eastAsia="tr-TR"/>
              </w:rPr>
              <w:t>Mülkiyete Alma</w:t>
            </w:r>
          </w:p>
        </w:tc>
        <w:tc>
          <w:tcPr>
            <w:tcW w:w="1114" w:type="dxa"/>
            <w:gridSpan w:val="2"/>
            <w:vAlign w:val="center"/>
          </w:tcPr>
          <w:p w:rsidR="00565FD5" w:rsidRPr="00FD491E" w:rsidRDefault="00565FD5" w:rsidP="00AB62A3">
            <w:pPr>
              <w:jc w:val="center"/>
              <w:rPr>
                <w:rFonts w:cs="Tahoma"/>
                <w:b/>
                <w:bCs/>
                <w:color w:val="000000"/>
                <w:sz w:val="14"/>
                <w:szCs w:val="14"/>
                <w:lang w:eastAsia="tr-TR"/>
              </w:rPr>
            </w:pPr>
            <w:r w:rsidRPr="00FD491E">
              <w:rPr>
                <w:rFonts w:cs="Tahoma"/>
                <w:b/>
                <w:bCs/>
                <w:color w:val="000000"/>
                <w:sz w:val="14"/>
                <w:szCs w:val="14"/>
                <w:lang w:eastAsia="tr-TR"/>
              </w:rPr>
              <w:t>Sözleşmeyi Yürütme</w:t>
            </w:r>
          </w:p>
        </w:tc>
        <w:tc>
          <w:tcPr>
            <w:tcW w:w="833" w:type="dxa"/>
            <w:vAlign w:val="center"/>
          </w:tcPr>
          <w:p w:rsidR="00565FD5" w:rsidRPr="00FD491E" w:rsidRDefault="00565FD5" w:rsidP="00AB62A3">
            <w:pPr>
              <w:jc w:val="center"/>
              <w:rPr>
                <w:rFonts w:cs="Tahoma"/>
                <w:b/>
                <w:bCs/>
                <w:color w:val="000000"/>
                <w:sz w:val="14"/>
                <w:szCs w:val="14"/>
                <w:lang w:eastAsia="tr-TR"/>
              </w:rPr>
            </w:pPr>
            <w:r w:rsidRPr="00FD491E">
              <w:rPr>
                <w:rFonts w:cs="Tahoma"/>
                <w:b/>
                <w:bCs/>
                <w:color w:val="000000"/>
                <w:sz w:val="14"/>
                <w:szCs w:val="14"/>
                <w:lang w:eastAsia="tr-TR"/>
              </w:rPr>
              <w:t>İş Kapatma</w:t>
            </w:r>
          </w:p>
        </w:tc>
        <w:tc>
          <w:tcPr>
            <w:tcW w:w="1513" w:type="dxa"/>
            <w:gridSpan w:val="2"/>
            <w:noWrap/>
            <w:vAlign w:val="center"/>
          </w:tcPr>
          <w:p w:rsidR="00565FD5" w:rsidRPr="00FD491E" w:rsidRDefault="00565FD5" w:rsidP="00AB62A3">
            <w:pPr>
              <w:jc w:val="center"/>
              <w:rPr>
                <w:rFonts w:cs="Tahoma"/>
                <w:b/>
                <w:bCs/>
                <w:color w:val="000000"/>
                <w:sz w:val="14"/>
                <w:szCs w:val="14"/>
                <w:lang w:eastAsia="tr-TR"/>
              </w:rPr>
            </w:pPr>
            <w:r w:rsidRPr="00FD491E">
              <w:rPr>
                <w:rFonts w:cs="Tahoma"/>
                <w:b/>
                <w:bCs/>
                <w:color w:val="000000"/>
                <w:sz w:val="14"/>
                <w:szCs w:val="14"/>
                <w:lang w:eastAsia="tr-TR"/>
              </w:rPr>
              <w:t>Vergi Ödemeleri</w:t>
            </w:r>
          </w:p>
        </w:tc>
      </w:tr>
      <w:tr w:rsidR="00565FD5" w:rsidRPr="00FD491E" w:rsidTr="00AB62A3">
        <w:trPr>
          <w:trHeight w:val="830"/>
          <w:jc w:val="center"/>
        </w:trPr>
        <w:tc>
          <w:tcPr>
            <w:tcW w:w="624" w:type="dxa"/>
            <w:vMerge/>
            <w:vAlign w:val="center"/>
          </w:tcPr>
          <w:p w:rsidR="00565FD5" w:rsidRPr="00FD491E" w:rsidRDefault="00565FD5" w:rsidP="00AB62A3">
            <w:pPr>
              <w:rPr>
                <w:rFonts w:cs="Tahoma"/>
                <w:b/>
                <w:bCs/>
                <w:color w:val="000000"/>
                <w:sz w:val="14"/>
                <w:szCs w:val="14"/>
                <w:lang w:eastAsia="tr-TR"/>
              </w:rPr>
            </w:pPr>
          </w:p>
        </w:tc>
        <w:tc>
          <w:tcPr>
            <w:tcW w:w="832" w:type="dxa"/>
            <w:vMerge/>
            <w:vAlign w:val="center"/>
          </w:tcPr>
          <w:p w:rsidR="00565FD5" w:rsidRPr="00FD491E" w:rsidRDefault="00565FD5" w:rsidP="00AB62A3">
            <w:pPr>
              <w:rPr>
                <w:rFonts w:cs="Tahoma"/>
                <w:b/>
                <w:bCs/>
                <w:color w:val="000000"/>
                <w:sz w:val="14"/>
                <w:szCs w:val="14"/>
                <w:lang w:eastAsia="tr-TR"/>
              </w:rPr>
            </w:pPr>
          </w:p>
        </w:tc>
        <w:tc>
          <w:tcPr>
            <w:tcW w:w="557" w:type="dxa"/>
            <w:vAlign w:val="center"/>
          </w:tcPr>
          <w:p w:rsidR="00565FD5" w:rsidRPr="00FD491E" w:rsidRDefault="00565FD5" w:rsidP="00AB62A3">
            <w:pPr>
              <w:jc w:val="center"/>
              <w:rPr>
                <w:rFonts w:cs="Tahoma"/>
                <w:b/>
                <w:bCs/>
                <w:color w:val="000000"/>
                <w:sz w:val="14"/>
                <w:szCs w:val="14"/>
                <w:lang w:eastAsia="tr-TR"/>
              </w:rPr>
            </w:pPr>
            <w:r w:rsidRPr="00FD491E">
              <w:rPr>
                <w:rFonts w:cs="Tahoma"/>
                <w:b/>
                <w:bCs/>
                <w:color w:val="000000"/>
                <w:sz w:val="14"/>
                <w:szCs w:val="14"/>
                <w:lang w:eastAsia="tr-TR"/>
              </w:rPr>
              <w:t>İşlem Sayısı</w:t>
            </w:r>
          </w:p>
        </w:tc>
        <w:tc>
          <w:tcPr>
            <w:tcW w:w="557" w:type="dxa"/>
            <w:vAlign w:val="center"/>
          </w:tcPr>
          <w:p w:rsidR="00565FD5" w:rsidRPr="00FD491E" w:rsidRDefault="00565FD5" w:rsidP="00AB62A3">
            <w:pPr>
              <w:jc w:val="center"/>
              <w:rPr>
                <w:rFonts w:cs="Tahoma"/>
                <w:b/>
                <w:bCs/>
                <w:color w:val="000000"/>
                <w:sz w:val="14"/>
                <w:szCs w:val="14"/>
                <w:lang w:eastAsia="tr-TR"/>
              </w:rPr>
            </w:pPr>
            <w:r w:rsidRPr="00FD491E">
              <w:rPr>
                <w:rFonts w:cs="Tahoma"/>
                <w:b/>
                <w:bCs/>
                <w:color w:val="000000"/>
                <w:sz w:val="14"/>
                <w:szCs w:val="14"/>
                <w:lang w:eastAsia="tr-TR"/>
              </w:rPr>
              <w:t>Süre (Gün)</w:t>
            </w:r>
          </w:p>
        </w:tc>
        <w:tc>
          <w:tcPr>
            <w:tcW w:w="557" w:type="dxa"/>
            <w:vAlign w:val="center"/>
          </w:tcPr>
          <w:p w:rsidR="00565FD5" w:rsidRPr="00FD491E" w:rsidRDefault="00565FD5" w:rsidP="00AB62A3">
            <w:pPr>
              <w:jc w:val="center"/>
              <w:rPr>
                <w:rFonts w:cs="Tahoma"/>
                <w:b/>
                <w:bCs/>
                <w:color w:val="000000"/>
                <w:sz w:val="14"/>
                <w:szCs w:val="14"/>
                <w:lang w:eastAsia="tr-TR"/>
              </w:rPr>
            </w:pPr>
            <w:r w:rsidRPr="00FD491E">
              <w:rPr>
                <w:rFonts w:cs="Tahoma"/>
                <w:b/>
                <w:bCs/>
                <w:color w:val="000000"/>
                <w:sz w:val="14"/>
                <w:szCs w:val="14"/>
                <w:lang w:eastAsia="tr-TR"/>
              </w:rPr>
              <w:t>İşlem Sayısı</w:t>
            </w:r>
          </w:p>
        </w:tc>
        <w:tc>
          <w:tcPr>
            <w:tcW w:w="557" w:type="dxa"/>
            <w:vAlign w:val="center"/>
          </w:tcPr>
          <w:p w:rsidR="00565FD5" w:rsidRPr="00FD491E" w:rsidRDefault="00565FD5" w:rsidP="00AB62A3">
            <w:pPr>
              <w:jc w:val="center"/>
              <w:rPr>
                <w:rFonts w:cs="Tahoma"/>
                <w:b/>
                <w:bCs/>
                <w:color w:val="000000"/>
                <w:sz w:val="14"/>
                <w:szCs w:val="14"/>
                <w:lang w:eastAsia="tr-TR"/>
              </w:rPr>
            </w:pPr>
            <w:r w:rsidRPr="00FD491E">
              <w:rPr>
                <w:rFonts w:cs="Tahoma"/>
                <w:b/>
                <w:bCs/>
                <w:color w:val="000000"/>
                <w:sz w:val="14"/>
                <w:szCs w:val="14"/>
                <w:lang w:eastAsia="tr-TR"/>
              </w:rPr>
              <w:t>Süre (Gün)</w:t>
            </w:r>
          </w:p>
        </w:tc>
        <w:tc>
          <w:tcPr>
            <w:tcW w:w="557" w:type="dxa"/>
            <w:vAlign w:val="center"/>
          </w:tcPr>
          <w:p w:rsidR="00565FD5" w:rsidRPr="00FD491E" w:rsidRDefault="00565FD5" w:rsidP="00AB62A3">
            <w:pPr>
              <w:jc w:val="center"/>
              <w:rPr>
                <w:rFonts w:cs="Tahoma"/>
                <w:b/>
                <w:bCs/>
                <w:color w:val="000000"/>
                <w:sz w:val="14"/>
                <w:szCs w:val="14"/>
                <w:lang w:eastAsia="tr-TR"/>
              </w:rPr>
            </w:pPr>
            <w:r w:rsidRPr="00FD491E">
              <w:rPr>
                <w:rFonts w:cs="Tahoma"/>
                <w:b/>
                <w:bCs/>
                <w:color w:val="000000"/>
                <w:sz w:val="14"/>
                <w:szCs w:val="14"/>
                <w:lang w:eastAsia="tr-TR"/>
              </w:rPr>
              <w:t>İşlem Sayısı</w:t>
            </w:r>
          </w:p>
        </w:tc>
        <w:tc>
          <w:tcPr>
            <w:tcW w:w="557" w:type="dxa"/>
            <w:vAlign w:val="center"/>
          </w:tcPr>
          <w:p w:rsidR="00565FD5" w:rsidRPr="00FD491E" w:rsidRDefault="00565FD5" w:rsidP="00AB62A3">
            <w:pPr>
              <w:jc w:val="center"/>
              <w:rPr>
                <w:rFonts w:cs="Tahoma"/>
                <w:b/>
                <w:bCs/>
                <w:color w:val="000000"/>
                <w:sz w:val="14"/>
                <w:szCs w:val="14"/>
                <w:lang w:eastAsia="tr-TR"/>
              </w:rPr>
            </w:pPr>
            <w:r w:rsidRPr="00FD491E">
              <w:rPr>
                <w:rFonts w:cs="Tahoma"/>
                <w:b/>
                <w:bCs/>
                <w:color w:val="000000"/>
                <w:sz w:val="14"/>
                <w:szCs w:val="14"/>
                <w:lang w:eastAsia="tr-TR"/>
              </w:rPr>
              <w:t>Süre (Gün)</w:t>
            </w:r>
          </w:p>
        </w:tc>
        <w:tc>
          <w:tcPr>
            <w:tcW w:w="833" w:type="dxa"/>
            <w:vAlign w:val="center"/>
          </w:tcPr>
          <w:p w:rsidR="00565FD5" w:rsidRPr="00FD491E" w:rsidRDefault="00565FD5" w:rsidP="00AB62A3">
            <w:pPr>
              <w:jc w:val="center"/>
              <w:rPr>
                <w:rFonts w:cs="Tahoma"/>
                <w:b/>
                <w:bCs/>
                <w:color w:val="000000"/>
                <w:sz w:val="14"/>
                <w:szCs w:val="14"/>
                <w:lang w:eastAsia="tr-TR"/>
              </w:rPr>
            </w:pPr>
            <w:r w:rsidRPr="00FD491E">
              <w:rPr>
                <w:rFonts w:cs="Tahoma"/>
                <w:b/>
                <w:bCs/>
                <w:color w:val="000000"/>
                <w:sz w:val="14"/>
                <w:szCs w:val="14"/>
                <w:lang w:eastAsia="tr-TR"/>
              </w:rPr>
              <w:t>Süre</w:t>
            </w:r>
          </w:p>
          <w:p w:rsidR="00565FD5" w:rsidRPr="00FD491E" w:rsidRDefault="00565FD5" w:rsidP="00AB62A3">
            <w:pPr>
              <w:jc w:val="center"/>
              <w:rPr>
                <w:rFonts w:cs="Tahoma"/>
                <w:b/>
                <w:bCs/>
                <w:color w:val="000000"/>
                <w:sz w:val="14"/>
                <w:szCs w:val="14"/>
                <w:lang w:eastAsia="tr-TR"/>
              </w:rPr>
            </w:pPr>
            <w:r w:rsidRPr="00FD491E">
              <w:rPr>
                <w:rFonts w:cs="Tahoma"/>
                <w:b/>
                <w:bCs/>
                <w:color w:val="000000"/>
                <w:sz w:val="14"/>
                <w:szCs w:val="14"/>
                <w:lang w:eastAsia="tr-TR"/>
              </w:rPr>
              <w:t>(Yıl)</w:t>
            </w:r>
          </w:p>
        </w:tc>
        <w:tc>
          <w:tcPr>
            <w:tcW w:w="557" w:type="dxa"/>
            <w:noWrap/>
            <w:vAlign w:val="center"/>
          </w:tcPr>
          <w:p w:rsidR="00565FD5" w:rsidRPr="00FD491E" w:rsidRDefault="00565FD5" w:rsidP="00AB62A3">
            <w:pPr>
              <w:jc w:val="center"/>
              <w:rPr>
                <w:rFonts w:cs="Tahoma"/>
                <w:b/>
                <w:bCs/>
                <w:color w:val="000000"/>
                <w:sz w:val="14"/>
                <w:szCs w:val="14"/>
                <w:lang w:eastAsia="tr-TR"/>
              </w:rPr>
            </w:pPr>
            <w:r w:rsidRPr="00FD491E">
              <w:rPr>
                <w:rFonts w:cs="Tahoma"/>
                <w:b/>
                <w:bCs/>
                <w:color w:val="000000"/>
                <w:sz w:val="14"/>
                <w:szCs w:val="14"/>
                <w:lang w:eastAsia="tr-TR"/>
              </w:rPr>
              <w:t>Adet</w:t>
            </w:r>
          </w:p>
        </w:tc>
        <w:tc>
          <w:tcPr>
            <w:tcW w:w="956" w:type="dxa"/>
            <w:noWrap/>
            <w:vAlign w:val="center"/>
          </w:tcPr>
          <w:p w:rsidR="00565FD5" w:rsidRPr="00FD491E" w:rsidRDefault="00565FD5" w:rsidP="00AB62A3">
            <w:pPr>
              <w:jc w:val="center"/>
              <w:rPr>
                <w:rFonts w:cs="Tahoma"/>
                <w:b/>
                <w:bCs/>
                <w:color w:val="000000"/>
                <w:sz w:val="14"/>
                <w:szCs w:val="14"/>
                <w:lang w:eastAsia="tr-TR"/>
              </w:rPr>
            </w:pPr>
            <w:r w:rsidRPr="00FD491E">
              <w:rPr>
                <w:rFonts w:cs="Tahoma"/>
                <w:b/>
                <w:bCs/>
                <w:color w:val="000000"/>
                <w:sz w:val="14"/>
                <w:szCs w:val="14"/>
                <w:lang w:eastAsia="tr-TR"/>
              </w:rPr>
              <w:t>Brüt Kâra</w:t>
            </w:r>
          </w:p>
          <w:p w:rsidR="00565FD5" w:rsidRPr="00FD491E" w:rsidRDefault="00565FD5" w:rsidP="00AB62A3">
            <w:pPr>
              <w:jc w:val="center"/>
              <w:rPr>
                <w:rFonts w:cs="Tahoma"/>
                <w:b/>
                <w:bCs/>
                <w:color w:val="000000"/>
                <w:sz w:val="14"/>
                <w:szCs w:val="14"/>
                <w:lang w:eastAsia="tr-TR"/>
              </w:rPr>
            </w:pPr>
            <w:r w:rsidRPr="00FD491E">
              <w:rPr>
                <w:rFonts w:cs="Tahoma"/>
                <w:b/>
                <w:bCs/>
                <w:color w:val="000000"/>
                <w:sz w:val="14"/>
                <w:szCs w:val="14"/>
                <w:lang w:eastAsia="tr-TR"/>
              </w:rPr>
              <w:t>Oranı</w:t>
            </w:r>
          </w:p>
          <w:p w:rsidR="00565FD5" w:rsidRPr="00FD491E" w:rsidRDefault="00565FD5" w:rsidP="00AB62A3">
            <w:pPr>
              <w:jc w:val="center"/>
              <w:rPr>
                <w:rFonts w:cs="Tahoma"/>
                <w:b/>
                <w:bCs/>
                <w:color w:val="000000"/>
                <w:sz w:val="14"/>
                <w:szCs w:val="14"/>
                <w:lang w:eastAsia="tr-TR"/>
              </w:rPr>
            </w:pPr>
            <w:r w:rsidRPr="00FD491E">
              <w:rPr>
                <w:rFonts w:cs="Tahoma"/>
                <w:b/>
                <w:bCs/>
                <w:color w:val="000000"/>
                <w:sz w:val="14"/>
                <w:szCs w:val="14"/>
                <w:lang w:eastAsia="tr-TR"/>
              </w:rPr>
              <w:t>(</w:t>
            </w:r>
            <w:r>
              <w:rPr>
                <w:rFonts w:cs="Tahoma"/>
                <w:b/>
                <w:bCs/>
                <w:color w:val="000000"/>
                <w:sz w:val="14"/>
                <w:szCs w:val="14"/>
                <w:lang w:eastAsia="tr-TR"/>
              </w:rPr>
              <w:t>Yüzde)</w:t>
            </w:r>
          </w:p>
        </w:tc>
      </w:tr>
      <w:tr w:rsidR="00565FD5" w:rsidRPr="00FD491E" w:rsidTr="00AB62A3">
        <w:trPr>
          <w:trHeight w:val="397"/>
          <w:jc w:val="center"/>
        </w:trPr>
        <w:tc>
          <w:tcPr>
            <w:tcW w:w="624" w:type="dxa"/>
            <w:vMerge w:val="restart"/>
            <w:textDirection w:val="btLr"/>
            <w:vAlign w:val="center"/>
          </w:tcPr>
          <w:p w:rsidR="00565FD5" w:rsidRPr="00FD491E" w:rsidRDefault="00565FD5" w:rsidP="00AB62A3">
            <w:pPr>
              <w:jc w:val="center"/>
              <w:rPr>
                <w:rFonts w:cs="Tahoma"/>
                <w:b/>
                <w:bCs/>
                <w:color w:val="000000"/>
                <w:sz w:val="14"/>
                <w:szCs w:val="14"/>
                <w:lang w:eastAsia="tr-TR"/>
              </w:rPr>
            </w:pPr>
            <w:r w:rsidRPr="00FD491E">
              <w:rPr>
                <w:rFonts w:cs="Tahoma"/>
                <w:b/>
                <w:bCs/>
                <w:color w:val="000000"/>
                <w:sz w:val="14"/>
                <w:szCs w:val="14"/>
                <w:lang w:eastAsia="tr-TR"/>
              </w:rPr>
              <w:t>2010</w:t>
            </w:r>
          </w:p>
        </w:tc>
        <w:tc>
          <w:tcPr>
            <w:tcW w:w="832" w:type="dxa"/>
            <w:vAlign w:val="center"/>
          </w:tcPr>
          <w:p w:rsidR="00565FD5" w:rsidRPr="00FD491E" w:rsidRDefault="00565FD5" w:rsidP="00AB62A3">
            <w:pPr>
              <w:rPr>
                <w:rFonts w:cs="Tahoma"/>
                <w:color w:val="000000"/>
                <w:sz w:val="14"/>
                <w:szCs w:val="14"/>
                <w:lang w:eastAsia="tr-TR"/>
              </w:rPr>
            </w:pPr>
            <w:r w:rsidRPr="00FD491E">
              <w:rPr>
                <w:rFonts w:cs="Tahoma"/>
                <w:color w:val="000000"/>
                <w:sz w:val="14"/>
                <w:szCs w:val="14"/>
                <w:lang w:eastAsia="tr-TR"/>
              </w:rPr>
              <w:t>Türkiye</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6</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6</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6</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6</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35</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420</w:t>
            </w:r>
          </w:p>
        </w:tc>
        <w:tc>
          <w:tcPr>
            <w:tcW w:w="833"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3,3</w:t>
            </w:r>
          </w:p>
        </w:tc>
        <w:tc>
          <w:tcPr>
            <w:tcW w:w="557" w:type="dxa"/>
            <w:noWrap/>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15</w:t>
            </w:r>
          </w:p>
        </w:tc>
        <w:tc>
          <w:tcPr>
            <w:tcW w:w="956" w:type="dxa"/>
            <w:noWrap/>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44,5</w:t>
            </w:r>
          </w:p>
        </w:tc>
      </w:tr>
      <w:tr w:rsidR="00565FD5" w:rsidRPr="00FD491E" w:rsidTr="00AB62A3">
        <w:trPr>
          <w:trHeight w:val="397"/>
          <w:jc w:val="center"/>
        </w:trPr>
        <w:tc>
          <w:tcPr>
            <w:tcW w:w="624" w:type="dxa"/>
            <w:vMerge/>
            <w:vAlign w:val="center"/>
          </w:tcPr>
          <w:p w:rsidR="00565FD5" w:rsidRPr="00FD491E" w:rsidRDefault="00565FD5" w:rsidP="00AB62A3">
            <w:pPr>
              <w:rPr>
                <w:rFonts w:cs="Tahoma"/>
                <w:b/>
                <w:bCs/>
                <w:color w:val="000000"/>
                <w:sz w:val="14"/>
                <w:szCs w:val="14"/>
                <w:lang w:eastAsia="tr-TR"/>
              </w:rPr>
            </w:pPr>
          </w:p>
        </w:tc>
        <w:tc>
          <w:tcPr>
            <w:tcW w:w="832" w:type="dxa"/>
            <w:vAlign w:val="center"/>
          </w:tcPr>
          <w:p w:rsidR="00565FD5" w:rsidRPr="00FD491E" w:rsidRDefault="00565FD5" w:rsidP="00AB62A3">
            <w:pPr>
              <w:rPr>
                <w:rFonts w:cs="Tahoma"/>
                <w:color w:val="000000"/>
                <w:sz w:val="14"/>
                <w:szCs w:val="14"/>
                <w:lang w:eastAsia="tr-TR"/>
              </w:rPr>
            </w:pPr>
            <w:r w:rsidRPr="00FD491E">
              <w:rPr>
                <w:rFonts w:cs="Tahoma"/>
                <w:color w:val="000000"/>
                <w:sz w:val="14"/>
                <w:szCs w:val="14"/>
                <w:lang w:eastAsia="tr-TR"/>
              </w:rPr>
              <w:t xml:space="preserve">OECD </w:t>
            </w:r>
            <w:r w:rsidRPr="00FD491E">
              <w:rPr>
                <w:rFonts w:cs="Tahoma"/>
                <w:color w:val="000000"/>
                <w:sz w:val="14"/>
                <w:szCs w:val="14"/>
                <w:lang w:eastAsia="tr-TR"/>
              </w:rPr>
              <w:lastRenderedPageBreak/>
              <w:t>Ortalaması</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lastRenderedPageBreak/>
              <w:t>5,6</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13,8</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4,8</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32,7</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31,2</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517,5</w:t>
            </w:r>
          </w:p>
        </w:tc>
        <w:tc>
          <w:tcPr>
            <w:tcW w:w="833"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1,7</w:t>
            </w:r>
          </w:p>
        </w:tc>
        <w:tc>
          <w:tcPr>
            <w:tcW w:w="557" w:type="dxa"/>
            <w:noWrap/>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14,2</w:t>
            </w:r>
          </w:p>
        </w:tc>
        <w:tc>
          <w:tcPr>
            <w:tcW w:w="956" w:type="dxa"/>
            <w:noWrap/>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43</w:t>
            </w:r>
          </w:p>
        </w:tc>
      </w:tr>
      <w:tr w:rsidR="00565FD5" w:rsidRPr="00FD491E" w:rsidTr="00AB62A3">
        <w:trPr>
          <w:trHeight w:val="397"/>
          <w:jc w:val="center"/>
        </w:trPr>
        <w:tc>
          <w:tcPr>
            <w:tcW w:w="624" w:type="dxa"/>
            <w:vMerge w:val="restart"/>
            <w:textDirection w:val="btLr"/>
            <w:vAlign w:val="center"/>
          </w:tcPr>
          <w:p w:rsidR="00565FD5" w:rsidRPr="00FD491E" w:rsidRDefault="00565FD5" w:rsidP="00AB62A3">
            <w:pPr>
              <w:jc w:val="center"/>
              <w:rPr>
                <w:rFonts w:cs="Tahoma"/>
                <w:b/>
                <w:bCs/>
                <w:color w:val="000000"/>
                <w:sz w:val="14"/>
                <w:szCs w:val="14"/>
                <w:lang w:eastAsia="tr-TR"/>
              </w:rPr>
            </w:pPr>
            <w:r w:rsidRPr="00FD491E">
              <w:rPr>
                <w:rFonts w:cs="Tahoma"/>
                <w:b/>
                <w:bCs/>
                <w:color w:val="000000"/>
                <w:sz w:val="14"/>
                <w:szCs w:val="14"/>
                <w:lang w:eastAsia="tr-TR"/>
              </w:rPr>
              <w:lastRenderedPageBreak/>
              <w:t>2011</w:t>
            </w:r>
          </w:p>
        </w:tc>
        <w:tc>
          <w:tcPr>
            <w:tcW w:w="832" w:type="dxa"/>
            <w:vAlign w:val="center"/>
          </w:tcPr>
          <w:p w:rsidR="00565FD5" w:rsidRPr="00FD491E" w:rsidRDefault="00565FD5" w:rsidP="00AB62A3">
            <w:pPr>
              <w:rPr>
                <w:rFonts w:cs="Tahoma"/>
                <w:color w:val="000000"/>
                <w:sz w:val="14"/>
                <w:szCs w:val="14"/>
                <w:lang w:eastAsia="tr-TR"/>
              </w:rPr>
            </w:pPr>
            <w:r w:rsidRPr="00FD491E">
              <w:rPr>
                <w:rFonts w:cs="Tahoma"/>
                <w:color w:val="000000"/>
                <w:sz w:val="14"/>
                <w:szCs w:val="14"/>
                <w:lang w:eastAsia="tr-TR"/>
              </w:rPr>
              <w:t>Türkiye</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6</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6</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6</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6</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36</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420</w:t>
            </w:r>
          </w:p>
        </w:tc>
        <w:tc>
          <w:tcPr>
            <w:tcW w:w="833"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3,3</w:t>
            </w:r>
          </w:p>
        </w:tc>
        <w:tc>
          <w:tcPr>
            <w:tcW w:w="557" w:type="dxa"/>
            <w:noWrap/>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15</w:t>
            </w:r>
          </w:p>
        </w:tc>
        <w:tc>
          <w:tcPr>
            <w:tcW w:w="956" w:type="dxa"/>
            <w:noWrap/>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44,1</w:t>
            </w:r>
          </w:p>
        </w:tc>
      </w:tr>
      <w:tr w:rsidR="00565FD5" w:rsidRPr="00FD491E" w:rsidTr="00AB62A3">
        <w:trPr>
          <w:trHeight w:val="397"/>
          <w:jc w:val="center"/>
        </w:trPr>
        <w:tc>
          <w:tcPr>
            <w:tcW w:w="624" w:type="dxa"/>
            <w:vMerge/>
            <w:vAlign w:val="center"/>
          </w:tcPr>
          <w:p w:rsidR="00565FD5" w:rsidRPr="00FD491E" w:rsidRDefault="00565FD5" w:rsidP="00AB62A3">
            <w:pPr>
              <w:rPr>
                <w:rFonts w:cs="Tahoma"/>
                <w:b/>
                <w:bCs/>
                <w:color w:val="000000"/>
                <w:sz w:val="14"/>
                <w:szCs w:val="14"/>
                <w:lang w:eastAsia="tr-TR"/>
              </w:rPr>
            </w:pPr>
          </w:p>
        </w:tc>
        <w:tc>
          <w:tcPr>
            <w:tcW w:w="832" w:type="dxa"/>
            <w:vAlign w:val="center"/>
          </w:tcPr>
          <w:p w:rsidR="00565FD5" w:rsidRPr="00FD491E" w:rsidRDefault="00565FD5" w:rsidP="00AB62A3">
            <w:pPr>
              <w:rPr>
                <w:rFonts w:cs="Tahoma"/>
                <w:color w:val="000000"/>
                <w:sz w:val="14"/>
                <w:szCs w:val="14"/>
                <w:lang w:eastAsia="tr-TR"/>
              </w:rPr>
            </w:pPr>
            <w:r w:rsidRPr="00FD491E">
              <w:rPr>
                <w:rFonts w:cs="Tahoma"/>
                <w:color w:val="000000"/>
                <w:sz w:val="14"/>
                <w:szCs w:val="14"/>
                <w:lang w:eastAsia="tr-TR"/>
              </w:rPr>
              <w:t>OECD Ortalaması</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5</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13</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5</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31</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31</w:t>
            </w:r>
          </w:p>
        </w:tc>
        <w:tc>
          <w:tcPr>
            <w:tcW w:w="557"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518</w:t>
            </w:r>
          </w:p>
        </w:tc>
        <w:tc>
          <w:tcPr>
            <w:tcW w:w="833" w:type="dxa"/>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1,7</w:t>
            </w:r>
          </w:p>
        </w:tc>
        <w:tc>
          <w:tcPr>
            <w:tcW w:w="557" w:type="dxa"/>
            <w:noWrap/>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13</w:t>
            </w:r>
          </w:p>
        </w:tc>
        <w:tc>
          <w:tcPr>
            <w:tcW w:w="956" w:type="dxa"/>
            <w:noWrap/>
            <w:vAlign w:val="center"/>
          </w:tcPr>
          <w:p w:rsidR="00565FD5" w:rsidRPr="00FD491E" w:rsidRDefault="00565FD5" w:rsidP="00AB62A3">
            <w:pPr>
              <w:jc w:val="right"/>
              <w:rPr>
                <w:rFonts w:cs="Tahoma"/>
                <w:color w:val="000000"/>
                <w:sz w:val="14"/>
                <w:szCs w:val="14"/>
                <w:lang w:eastAsia="tr-TR"/>
              </w:rPr>
            </w:pPr>
            <w:r w:rsidRPr="00FD491E">
              <w:rPr>
                <w:rFonts w:cs="Tahoma"/>
                <w:color w:val="000000"/>
                <w:sz w:val="14"/>
                <w:szCs w:val="14"/>
                <w:lang w:eastAsia="tr-TR"/>
              </w:rPr>
              <w:t>42,7</w:t>
            </w:r>
          </w:p>
        </w:tc>
      </w:tr>
    </w:tbl>
    <w:p w:rsidR="00565FD5" w:rsidRPr="00ED53A6" w:rsidRDefault="00565FD5" w:rsidP="00565FD5">
      <w:pPr>
        <w:pStyle w:val="GvdeMetni"/>
        <w:spacing w:before="40" w:after="240"/>
        <w:rPr>
          <w:rFonts w:cs="Tahoma"/>
          <w:sz w:val="14"/>
          <w:szCs w:val="14"/>
        </w:rPr>
      </w:pPr>
      <w:r w:rsidRPr="00ED53A6">
        <w:rPr>
          <w:rFonts w:cs="Tahoma"/>
          <w:sz w:val="14"/>
          <w:szCs w:val="14"/>
        </w:rPr>
        <w:t>Kaynak: Dünya Bankası</w:t>
      </w:r>
    </w:p>
    <w:p w:rsidR="00565FD5" w:rsidRDefault="00565FD5" w:rsidP="00565FD5">
      <w:pPr>
        <w:spacing w:after="240"/>
        <w:ind w:firstLine="425"/>
        <w:rPr>
          <w:rFonts w:cs="Tahoma"/>
          <w:szCs w:val="18"/>
        </w:rPr>
      </w:pPr>
      <w:r w:rsidRPr="00206DFD">
        <w:rPr>
          <w:rFonts w:cs="Tahoma"/>
          <w:szCs w:val="18"/>
        </w:rPr>
        <w:t>2008/</w:t>
      </w:r>
      <w:r>
        <w:rPr>
          <w:rFonts w:cs="Tahoma"/>
          <w:szCs w:val="18"/>
        </w:rPr>
        <w:t>7 sayılı Başbakanlık Genelgesiy</w:t>
      </w:r>
      <w:r w:rsidRPr="00206DFD">
        <w:rPr>
          <w:rFonts w:cs="Tahoma"/>
          <w:szCs w:val="18"/>
        </w:rPr>
        <w:t>le kurulan Fikrî ve Sınaî Mülkiyet Hakları Koordinasyon Kurulu kapsamında ulusal fikrî ve sınaî mülkiyet hakları strateji belgesi oluşturma çalışmalarına devam edilmektedir.</w:t>
      </w:r>
    </w:p>
    <w:p w:rsidR="00565FD5" w:rsidRPr="00AB3944" w:rsidRDefault="00565FD5" w:rsidP="00565FD5">
      <w:pPr>
        <w:pStyle w:val="ResimYazs"/>
        <w:rPr>
          <w:rFonts w:cs="Tahoma"/>
        </w:rPr>
      </w:pPr>
      <w:bookmarkStart w:id="1287" w:name="_Toc338605998"/>
      <w:bookmarkStart w:id="1288" w:name="_Toc338711773"/>
      <w:r>
        <w:t xml:space="preserve">TABLO IV: </w:t>
      </w:r>
      <w:fldSimple w:instr=" SEQ TABLO_IV: \* ARABIC ">
        <w:r>
          <w:rPr>
            <w:noProof/>
          </w:rPr>
          <w:t>3</w:t>
        </w:r>
      </w:fldSimple>
      <w:r w:rsidRPr="00AB3944">
        <w:rPr>
          <w:rFonts w:cs="Tahoma"/>
          <w:bCs/>
          <w:szCs w:val="16"/>
        </w:rPr>
        <w:t>- KOSGEB Destek Programları</w:t>
      </w:r>
      <w:bookmarkEnd w:id="1287"/>
      <w:bookmarkEnd w:id="1288"/>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2680"/>
        <w:gridCol w:w="992"/>
        <w:gridCol w:w="1276"/>
        <w:gridCol w:w="994"/>
        <w:gridCol w:w="1183"/>
      </w:tblGrid>
      <w:tr w:rsidR="00565FD5" w:rsidRPr="00C91E15" w:rsidTr="00AB62A3">
        <w:trPr>
          <w:trHeight w:val="270"/>
        </w:trPr>
        <w:tc>
          <w:tcPr>
            <w:tcW w:w="2680" w:type="dxa"/>
            <w:vMerge w:val="restart"/>
            <w:tcMar>
              <w:top w:w="0" w:type="dxa"/>
              <w:left w:w="70" w:type="dxa"/>
              <w:bottom w:w="0" w:type="dxa"/>
              <w:right w:w="70" w:type="dxa"/>
            </w:tcMar>
            <w:vAlign w:val="bottom"/>
          </w:tcPr>
          <w:p w:rsidR="00565FD5" w:rsidRPr="00C91E15" w:rsidRDefault="00565FD5" w:rsidP="00AB62A3">
            <w:pPr>
              <w:rPr>
                <w:rFonts w:cs="Tahoma"/>
                <w:b/>
                <w:bCs/>
                <w:sz w:val="16"/>
                <w:szCs w:val="16"/>
              </w:rPr>
            </w:pPr>
            <w:r w:rsidRPr="00C91E15">
              <w:rPr>
                <w:rFonts w:cs="Tahoma"/>
                <w:b/>
                <w:bCs/>
                <w:sz w:val="16"/>
                <w:szCs w:val="16"/>
              </w:rPr>
              <w:t>DESTEK PROGRAMLARI</w:t>
            </w:r>
          </w:p>
        </w:tc>
        <w:tc>
          <w:tcPr>
            <w:tcW w:w="2268" w:type="dxa"/>
            <w:gridSpan w:val="2"/>
            <w:tcMar>
              <w:top w:w="0" w:type="dxa"/>
              <w:left w:w="70" w:type="dxa"/>
              <w:bottom w:w="0" w:type="dxa"/>
              <w:right w:w="70" w:type="dxa"/>
            </w:tcMar>
            <w:vAlign w:val="bottom"/>
          </w:tcPr>
          <w:p w:rsidR="00565FD5" w:rsidRPr="00C91E15" w:rsidRDefault="00565FD5" w:rsidP="00AB62A3">
            <w:pPr>
              <w:jc w:val="center"/>
              <w:rPr>
                <w:rFonts w:cs="Tahoma"/>
                <w:b/>
                <w:bCs/>
                <w:sz w:val="16"/>
                <w:szCs w:val="16"/>
              </w:rPr>
            </w:pPr>
            <w:r w:rsidRPr="00C91E15">
              <w:rPr>
                <w:rFonts w:cs="Tahoma"/>
                <w:b/>
                <w:bCs/>
                <w:sz w:val="16"/>
                <w:szCs w:val="16"/>
              </w:rPr>
              <w:t>2011</w:t>
            </w:r>
          </w:p>
        </w:tc>
        <w:tc>
          <w:tcPr>
            <w:tcW w:w="2177" w:type="dxa"/>
            <w:gridSpan w:val="2"/>
            <w:tcMar>
              <w:top w:w="0" w:type="dxa"/>
              <w:left w:w="70" w:type="dxa"/>
              <w:bottom w:w="0" w:type="dxa"/>
              <w:right w:w="70" w:type="dxa"/>
            </w:tcMar>
            <w:vAlign w:val="bottom"/>
          </w:tcPr>
          <w:p w:rsidR="00565FD5" w:rsidRPr="00C91E15" w:rsidRDefault="00565FD5" w:rsidP="00AB62A3">
            <w:pPr>
              <w:jc w:val="center"/>
              <w:rPr>
                <w:rFonts w:cs="Tahoma"/>
                <w:b/>
                <w:bCs/>
                <w:sz w:val="16"/>
                <w:szCs w:val="16"/>
              </w:rPr>
            </w:pPr>
            <w:r w:rsidRPr="00C91E15">
              <w:rPr>
                <w:rFonts w:cs="Tahoma"/>
                <w:b/>
                <w:bCs/>
                <w:sz w:val="16"/>
                <w:szCs w:val="16"/>
              </w:rPr>
              <w:t>2012 (1)</w:t>
            </w:r>
          </w:p>
        </w:tc>
      </w:tr>
      <w:tr w:rsidR="00565FD5" w:rsidRPr="00C91E15" w:rsidTr="00AB62A3">
        <w:trPr>
          <w:trHeight w:val="525"/>
        </w:trPr>
        <w:tc>
          <w:tcPr>
            <w:tcW w:w="2680" w:type="dxa"/>
            <w:vMerge/>
            <w:vAlign w:val="center"/>
          </w:tcPr>
          <w:p w:rsidR="00565FD5" w:rsidRPr="00C91E15" w:rsidRDefault="00565FD5" w:rsidP="00AB62A3">
            <w:pPr>
              <w:rPr>
                <w:rFonts w:cs="Tahoma"/>
                <w:b/>
                <w:bCs/>
                <w:sz w:val="16"/>
                <w:szCs w:val="16"/>
              </w:rPr>
            </w:pPr>
          </w:p>
        </w:tc>
        <w:tc>
          <w:tcPr>
            <w:tcW w:w="992" w:type="dxa"/>
            <w:tcMar>
              <w:top w:w="0" w:type="dxa"/>
              <w:left w:w="70" w:type="dxa"/>
              <w:bottom w:w="0" w:type="dxa"/>
              <w:right w:w="70" w:type="dxa"/>
            </w:tcMar>
            <w:vAlign w:val="bottom"/>
          </w:tcPr>
          <w:p w:rsidR="00565FD5" w:rsidRPr="00C91E15" w:rsidRDefault="00565FD5" w:rsidP="00AB62A3">
            <w:pPr>
              <w:jc w:val="center"/>
              <w:rPr>
                <w:rFonts w:cs="Tahoma"/>
                <w:b/>
                <w:bCs/>
                <w:sz w:val="16"/>
                <w:szCs w:val="16"/>
              </w:rPr>
            </w:pPr>
            <w:r w:rsidRPr="00C91E15">
              <w:rPr>
                <w:rFonts w:cs="Tahoma"/>
                <w:b/>
                <w:bCs/>
                <w:sz w:val="16"/>
                <w:szCs w:val="16"/>
              </w:rPr>
              <w:t>İşletme Sayısı</w:t>
            </w:r>
          </w:p>
        </w:tc>
        <w:tc>
          <w:tcPr>
            <w:tcW w:w="1276" w:type="dxa"/>
            <w:tcMar>
              <w:top w:w="0" w:type="dxa"/>
              <w:left w:w="70" w:type="dxa"/>
              <w:bottom w:w="0" w:type="dxa"/>
              <w:right w:w="70" w:type="dxa"/>
            </w:tcMar>
            <w:vAlign w:val="bottom"/>
          </w:tcPr>
          <w:p w:rsidR="00565FD5" w:rsidRPr="00C91E15" w:rsidRDefault="00565FD5" w:rsidP="00AB62A3">
            <w:pPr>
              <w:jc w:val="center"/>
              <w:rPr>
                <w:rFonts w:cs="Tahoma"/>
                <w:b/>
                <w:bCs/>
                <w:sz w:val="16"/>
                <w:szCs w:val="16"/>
              </w:rPr>
            </w:pPr>
            <w:r w:rsidRPr="00C91E15">
              <w:rPr>
                <w:rFonts w:cs="Tahoma"/>
                <w:b/>
                <w:bCs/>
                <w:sz w:val="16"/>
                <w:szCs w:val="16"/>
              </w:rPr>
              <w:t>Destek Miktarı (TL)</w:t>
            </w:r>
          </w:p>
        </w:tc>
        <w:tc>
          <w:tcPr>
            <w:tcW w:w="994" w:type="dxa"/>
            <w:tcMar>
              <w:top w:w="0" w:type="dxa"/>
              <w:left w:w="70" w:type="dxa"/>
              <w:bottom w:w="0" w:type="dxa"/>
              <w:right w:w="70" w:type="dxa"/>
            </w:tcMar>
            <w:vAlign w:val="bottom"/>
          </w:tcPr>
          <w:p w:rsidR="00565FD5" w:rsidRPr="00C91E15" w:rsidRDefault="00565FD5" w:rsidP="00AB62A3">
            <w:pPr>
              <w:jc w:val="center"/>
              <w:rPr>
                <w:rFonts w:cs="Tahoma"/>
                <w:b/>
                <w:bCs/>
                <w:sz w:val="16"/>
                <w:szCs w:val="16"/>
              </w:rPr>
            </w:pPr>
            <w:r w:rsidRPr="00C91E15">
              <w:rPr>
                <w:rFonts w:cs="Tahoma"/>
                <w:b/>
                <w:bCs/>
                <w:sz w:val="16"/>
                <w:szCs w:val="16"/>
              </w:rPr>
              <w:t>İşletme Sayısı</w:t>
            </w:r>
          </w:p>
        </w:tc>
        <w:tc>
          <w:tcPr>
            <w:tcW w:w="1183" w:type="dxa"/>
            <w:tcMar>
              <w:top w:w="0" w:type="dxa"/>
              <w:left w:w="70" w:type="dxa"/>
              <w:bottom w:w="0" w:type="dxa"/>
              <w:right w:w="70" w:type="dxa"/>
            </w:tcMar>
            <w:vAlign w:val="bottom"/>
          </w:tcPr>
          <w:p w:rsidR="00565FD5" w:rsidRPr="00C91E15" w:rsidRDefault="00565FD5" w:rsidP="00AB62A3">
            <w:pPr>
              <w:jc w:val="center"/>
              <w:rPr>
                <w:rFonts w:cs="Tahoma"/>
                <w:b/>
                <w:bCs/>
                <w:sz w:val="16"/>
                <w:szCs w:val="16"/>
              </w:rPr>
            </w:pPr>
            <w:r w:rsidRPr="00C91E15">
              <w:rPr>
                <w:rFonts w:cs="Tahoma"/>
                <w:b/>
                <w:bCs/>
                <w:sz w:val="16"/>
                <w:szCs w:val="16"/>
              </w:rPr>
              <w:t>Destek Miktarı (TL)</w:t>
            </w:r>
          </w:p>
        </w:tc>
      </w:tr>
      <w:tr w:rsidR="00565FD5" w:rsidRPr="00C91E15" w:rsidTr="00AB62A3">
        <w:trPr>
          <w:trHeight w:val="340"/>
        </w:trPr>
        <w:tc>
          <w:tcPr>
            <w:tcW w:w="2680" w:type="dxa"/>
            <w:tcMar>
              <w:top w:w="0" w:type="dxa"/>
              <w:left w:w="70" w:type="dxa"/>
              <w:bottom w:w="0" w:type="dxa"/>
              <w:right w:w="70" w:type="dxa"/>
            </w:tcMar>
            <w:vAlign w:val="center"/>
          </w:tcPr>
          <w:p w:rsidR="00565FD5" w:rsidRPr="00C91E15" w:rsidRDefault="00565FD5" w:rsidP="00AB62A3">
            <w:pPr>
              <w:rPr>
                <w:rFonts w:cs="Tahoma"/>
                <w:sz w:val="16"/>
                <w:szCs w:val="16"/>
              </w:rPr>
            </w:pPr>
            <w:r w:rsidRPr="00C91E15">
              <w:rPr>
                <w:rFonts w:cs="Tahoma"/>
                <w:sz w:val="16"/>
                <w:szCs w:val="16"/>
              </w:rPr>
              <w:t>KOBİ Proje Destek Programı</w:t>
            </w:r>
          </w:p>
        </w:tc>
        <w:tc>
          <w:tcPr>
            <w:tcW w:w="992"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630</w:t>
            </w:r>
          </w:p>
        </w:tc>
        <w:tc>
          <w:tcPr>
            <w:tcW w:w="1276"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20 540 659</w:t>
            </w:r>
          </w:p>
        </w:tc>
        <w:tc>
          <w:tcPr>
            <w:tcW w:w="994"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1 149</w:t>
            </w:r>
          </w:p>
        </w:tc>
        <w:tc>
          <w:tcPr>
            <w:tcW w:w="1183"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29 938 893</w:t>
            </w:r>
          </w:p>
        </w:tc>
      </w:tr>
      <w:tr w:rsidR="00565FD5" w:rsidRPr="00C91E15" w:rsidTr="00AB62A3">
        <w:trPr>
          <w:trHeight w:val="340"/>
        </w:trPr>
        <w:tc>
          <w:tcPr>
            <w:tcW w:w="2680" w:type="dxa"/>
            <w:tcMar>
              <w:top w:w="0" w:type="dxa"/>
              <w:left w:w="70" w:type="dxa"/>
              <w:bottom w:w="0" w:type="dxa"/>
              <w:right w:w="70" w:type="dxa"/>
            </w:tcMar>
            <w:vAlign w:val="center"/>
          </w:tcPr>
          <w:p w:rsidR="00565FD5" w:rsidRPr="00C91E15" w:rsidRDefault="00565FD5" w:rsidP="00AB62A3">
            <w:pPr>
              <w:rPr>
                <w:rFonts w:cs="Tahoma"/>
                <w:sz w:val="16"/>
                <w:szCs w:val="16"/>
              </w:rPr>
            </w:pPr>
            <w:r w:rsidRPr="00C91E15">
              <w:rPr>
                <w:rFonts w:cs="Tahoma"/>
                <w:sz w:val="16"/>
                <w:szCs w:val="16"/>
              </w:rPr>
              <w:t>Ar-Ge, İnovasyon ve Endüstriyel Uygulama Destek Programı</w:t>
            </w:r>
          </w:p>
        </w:tc>
        <w:tc>
          <w:tcPr>
            <w:tcW w:w="992"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830</w:t>
            </w:r>
          </w:p>
        </w:tc>
        <w:tc>
          <w:tcPr>
            <w:tcW w:w="1276"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43 294 757</w:t>
            </w:r>
          </w:p>
        </w:tc>
        <w:tc>
          <w:tcPr>
            <w:tcW w:w="994"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905</w:t>
            </w:r>
          </w:p>
        </w:tc>
        <w:tc>
          <w:tcPr>
            <w:tcW w:w="1183"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36 120 393</w:t>
            </w:r>
          </w:p>
        </w:tc>
      </w:tr>
      <w:tr w:rsidR="00565FD5" w:rsidRPr="00C91E15" w:rsidTr="00AB62A3">
        <w:trPr>
          <w:trHeight w:val="340"/>
        </w:trPr>
        <w:tc>
          <w:tcPr>
            <w:tcW w:w="2680" w:type="dxa"/>
            <w:tcMar>
              <w:top w:w="0" w:type="dxa"/>
              <w:left w:w="70" w:type="dxa"/>
              <w:bottom w:w="0" w:type="dxa"/>
              <w:right w:w="70" w:type="dxa"/>
            </w:tcMar>
            <w:vAlign w:val="center"/>
          </w:tcPr>
          <w:p w:rsidR="00565FD5" w:rsidRPr="00C91E15" w:rsidRDefault="00565FD5" w:rsidP="00AB62A3">
            <w:pPr>
              <w:rPr>
                <w:rFonts w:cs="Tahoma"/>
                <w:sz w:val="16"/>
                <w:szCs w:val="16"/>
              </w:rPr>
            </w:pPr>
            <w:r w:rsidRPr="00C91E15">
              <w:rPr>
                <w:rFonts w:cs="Tahoma"/>
                <w:sz w:val="16"/>
                <w:szCs w:val="16"/>
              </w:rPr>
              <w:t>İşbirliği-Güçbirliği Destek Programı</w:t>
            </w:r>
          </w:p>
        </w:tc>
        <w:tc>
          <w:tcPr>
            <w:tcW w:w="992"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46</w:t>
            </w:r>
          </w:p>
        </w:tc>
        <w:tc>
          <w:tcPr>
            <w:tcW w:w="1276"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12 451 150</w:t>
            </w:r>
          </w:p>
        </w:tc>
        <w:tc>
          <w:tcPr>
            <w:tcW w:w="994"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57</w:t>
            </w:r>
          </w:p>
        </w:tc>
        <w:tc>
          <w:tcPr>
            <w:tcW w:w="1183"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14 299 954</w:t>
            </w:r>
          </w:p>
        </w:tc>
      </w:tr>
      <w:tr w:rsidR="00565FD5" w:rsidRPr="00C91E15" w:rsidTr="00AB62A3">
        <w:trPr>
          <w:trHeight w:val="340"/>
        </w:trPr>
        <w:tc>
          <w:tcPr>
            <w:tcW w:w="2680" w:type="dxa"/>
            <w:tcMar>
              <w:top w:w="0" w:type="dxa"/>
              <w:left w:w="70" w:type="dxa"/>
              <w:bottom w:w="0" w:type="dxa"/>
              <w:right w:w="70" w:type="dxa"/>
            </w:tcMar>
            <w:vAlign w:val="center"/>
          </w:tcPr>
          <w:p w:rsidR="00565FD5" w:rsidRPr="00C91E15" w:rsidRDefault="00565FD5" w:rsidP="00AB62A3">
            <w:pPr>
              <w:rPr>
                <w:rFonts w:cs="Tahoma"/>
                <w:sz w:val="16"/>
                <w:szCs w:val="16"/>
              </w:rPr>
            </w:pPr>
            <w:r w:rsidRPr="00C91E15">
              <w:rPr>
                <w:rFonts w:cs="Tahoma"/>
                <w:sz w:val="16"/>
                <w:szCs w:val="16"/>
              </w:rPr>
              <w:t>Tematik Proje Destek Programı</w:t>
            </w:r>
          </w:p>
        </w:tc>
        <w:tc>
          <w:tcPr>
            <w:tcW w:w="992"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8 (2)</w:t>
            </w:r>
          </w:p>
        </w:tc>
        <w:tc>
          <w:tcPr>
            <w:tcW w:w="1276"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197 611</w:t>
            </w:r>
          </w:p>
        </w:tc>
        <w:tc>
          <w:tcPr>
            <w:tcW w:w="994"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13 (2)</w:t>
            </w:r>
          </w:p>
        </w:tc>
        <w:tc>
          <w:tcPr>
            <w:tcW w:w="1183"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161 971</w:t>
            </w:r>
          </w:p>
        </w:tc>
      </w:tr>
      <w:tr w:rsidR="00565FD5" w:rsidRPr="00C91E15" w:rsidTr="00AB62A3">
        <w:trPr>
          <w:trHeight w:val="340"/>
        </w:trPr>
        <w:tc>
          <w:tcPr>
            <w:tcW w:w="2680" w:type="dxa"/>
            <w:tcMar>
              <w:top w:w="0" w:type="dxa"/>
              <w:left w:w="70" w:type="dxa"/>
              <w:bottom w:w="0" w:type="dxa"/>
              <w:right w:w="70" w:type="dxa"/>
            </w:tcMar>
            <w:vAlign w:val="center"/>
          </w:tcPr>
          <w:p w:rsidR="00565FD5" w:rsidRPr="00C91E15" w:rsidRDefault="00565FD5" w:rsidP="00AB62A3">
            <w:pPr>
              <w:rPr>
                <w:rFonts w:cs="Tahoma"/>
                <w:sz w:val="16"/>
                <w:szCs w:val="16"/>
              </w:rPr>
            </w:pPr>
            <w:r w:rsidRPr="00C91E15">
              <w:rPr>
                <w:rFonts w:cs="Tahoma"/>
                <w:sz w:val="16"/>
                <w:szCs w:val="16"/>
              </w:rPr>
              <w:t>Girişimcilik Destek Programı</w:t>
            </w:r>
          </w:p>
        </w:tc>
        <w:tc>
          <w:tcPr>
            <w:tcW w:w="992"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2 416</w:t>
            </w:r>
          </w:p>
        </w:tc>
        <w:tc>
          <w:tcPr>
            <w:tcW w:w="1276"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26 252 955</w:t>
            </w:r>
          </w:p>
        </w:tc>
        <w:tc>
          <w:tcPr>
            <w:tcW w:w="994"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3 624</w:t>
            </w:r>
          </w:p>
        </w:tc>
        <w:tc>
          <w:tcPr>
            <w:tcW w:w="1183"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32 679 490</w:t>
            </w:r>
          </w:p>
        </w:tc>
      </w:tr>
      <w:tr w:rsidR="00565FD5" w:rsidRPr="00C91E15" w:rsidTr="00AB62A3">
        <w:trPr>
          <w:trHeight w:val="340"/>
        </w:trPr>
        <w:tc>
          <w:tcPr>
            <w:tcW w:w="2680" w:type="dxa"/>
            <w:tcMar>
              <w:top w:w="0" w:type="dxa"/>
              <w:left w:w="70" w:type="dxa"/>
              <w:bottom w:w="0" w:type="dxa"/>
              <w:right w:w="70" w:type="dxa"/>
            </w:tcMar>
            <w:vAlign w:val="center"/>
          </w:tcPr>
          <w:p w:rsidR="00565FD5" w:rsidRPr="00C91E15" w:rsidRDefault="00565FD5" w:rsidP="00AB62A3">
            <w:pPr>
              <w:rPr>
                <w:rFonts w:cs="Tahoma"/>
                <w:sz w:val="16"/>
                <w:szCs w:val="16"/>
              </w:rPr>
            </w:pPr>
            <w:r w:rsidRPr="00C91E15">
              <w:rPr>
                <w:rFonts w:cs="Tahoma"/>
                <w:sz w:val="16"/>
                <w:szCs w:val="16"/>
              </w:rPr>
              <w:t>Genel Destek Programı</w:t>
            </w:r>
          </w:p>
        </w:tc>
        <w:tc>
          <w:tcPr>
            <w:tcW w:w="992"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15 387</w:t>
            </w:r>
          </w:p>
        </w:tc>
        <w:tc>
          <w:tcPr>
            <w:tcW w:w="1276"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67 538 532</w:t>
            </w:r>
          </w:p>
        </w:tc>
        <w:tc>
          <w:tcPr>
            <w:tcW w:w="994"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12 604</w:t>
            </w:r>
          </w:p>
        </w:tc>
        <w:tc>
          <w:tcPr>
            <w:tcW w:w="1183"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50 302 267</w:t>
            </w:r>
          </w:p>
        </w:tc>
      </w:tr>
      <w:tr w:rsidR="00565FD5" w:rsidRPr="00C91E15" w:rsidTr="00AB62A3">
        <w:trPr>
          <w:trHeight w:val="340"/>
        </w:trPr>
        <w:tc>
          <w:tcPr>
            <w:tcW w:w="2680" w:type="dxa"/>
            <w:tcMar>
              <w:top w:w="0" w:type="dxa"/>
              <w:left w:w="70" w:type="dxa"/>
              <w:bottom w:w="0" w:type="dxa"/>
              <w:right w:w="70" w:type="dxa"/>
            </w:tcMar>
            <w:vAlign w:val="center"/>
          </w:tcPr>
          <w:p w:rsidR="00565FD5" w:rsidRPr="00C91E15" w:rsidRDefault="00565FD5" w:rsidP="00AB62A3">
            <w:pPr>
              <w:rPr>
                <w:rFonts w:cs="Tahoma"/>
                <w:sz w:val="16"/>
                <w:szCs w:val="16"/>
              </w:rPr>
            </w:pPr>
            <w:r w:rsidRPr="00C91E15">
              <w:rPr>
                <w:rFonts w:cs="Tahoma"/>
                <w:sz w:val="16"/>
                <w:szCs w:val="16"/>
              </w:rPr>
              <w:t>Gelişen İşletmeler Piyasası KOBİ Destek Programı</w:t>
            </w:r>
          </w:p>
        </w:tc>
        <w:tc>
          <w:tcPr>
            <w:tcW w:w="992"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0</w:t>
            </w:r>
          </w:p>
        </w:tc>
        <w:tc>
          <w:tcPr>
            <w:tcW w:w="1276"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0</w:t>
            </w:r>
          </w:p>
        </w:tc>
        <w:tc>
          <w:tcPr>
            <w:tcW w:w="994"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1</w:t>
            </w:r>
          </w:p>
        </w:tc>
        <w:tc>
          <w:tcPr>
            <w:tcW w:w="1183" w:type="dxa"/>
            <w:tcMar>
              <w:top w:w="0" w:type="dxa"/>
              <w:left w:w="70" w:type="dxa"/>
              <w:bottom w:w="0" w:type="dxa"/>
              <w:right w:w="70" w:type="dxa"/>
            </w:tcMar>
            <w:vAlign w:val="center"/>
          </w:tcPr>
          <w:p w:rsidR="00565FD5" w:rsidRPr="00C91E15" w:rsidRDefault="00565FD5" w:rsidP="00AB62A3">
            <w:pPr>
              <w:jc w:val="right"/>
              <w:rPr>
                <w:rFonts w:cs="Tahoma"/>
                <w:sz w:val="16"/>
                <w:szCs w:val="16"/>
              </w:rPr>
            </w:pPr>
            <w:r w:rsidRPr="00C91E15">
              <w:rPr>
                <w:rFonts w:cs="Tahoma"/>
                <w:sz w:val="16"/>
                <w:szCs w:val="16"/>
              </w:rPr>
              <w:t>33 000</w:t>
            </w:r>
          </w:p>
        </w:tc>
      </w:tr>
      <w:tr w:rsidR="00565FD5" w:rsidRPr="00C91E15" w:rsidTr="00AB62A3">
        <w:trPr>
          <w:trHeight w:val="340"/>
        </w:trPr>
        <w:tc>
          <w:tcPr>
            <w:tcW w:w="2680" w:type="dxa"/>
            <w:tcMar>
              <w:top w:w="0" w:type="dxa"/>
              <w:left w:w="70" w:type="dxa"/>
              <w:bottom w:w="0" w:type="dxa"/>
              <w:right w:w="70" w:type="dxa"/>
            </w:tcMar>
            <w:vAlign w:val="center"/>
          </w:tcPr>
          <w:p w:rsidR="00565FD5" w:rsidRPr="00C91E15" w:rsidRDefault="00565FD5" w:rsidP="00AB62A3">
            <w:pPr>
              <w:rPr>
                <w:rFonts w:cs="Tahoma"/>
                <w:b/>
                <w:sz w:val="16"/>
                <w:szCs w:val="16"/>
              </w:rPr>
            </w:pPr>
            <w:r w:rsidRPr="00C91E15">
              <w:rPr>
                <w:rFonts w:cs="Tahoma"/>
                <w:b/>
                <w:sz w:val="16"/>
                <w:szCs w:val="16"/>
              </w:rPr>
              <w:t>Toplam</w:t>
            </w:r>
          </w:p>
        </w:tc>
        <w:tc>
          <w:tcPr>
            <w:tcW w:w="992" w:type="dxa"/>
            <w:tcMar>
              <w:top w:w="0" w:type="dxa"/>
              <w:left w:w="70" w:type="dxa"/>
              <w:bottom w:w="0" w:type="dxa"/>
              <w:right w:w="70" w:type="dxa"/>
            </w:tcMar>
            <w:vAlign w:val="center"/>
          </w:tcPr>
          <w:p w:rsidR="00565FD5" w:rsidRPr="00C91E15" w:rsidRDefault="00565FD5" w:rsidP="00AB62A3">
            <w:pPr>
              <w:jc w:val="right"/>
              <w:rPr>
                <w:rFonts w:cs="Tahoma"/>
                <w:b/>
                <w:sz w:val="16"/>
                <w:szCs w:val="16"/>
              </w:rPr>
            </w:pPr>
            <w:r w:rsidRPr="00C91E15">
              <w:rPr>
                <w:rFonts w:cs="Tahoma"/>
                <w:b/>
                <w:sz w:val="16"/>
                <w:szCs w:val="16"/>
              </w:rPr>
              <w:t>19 317</w:t>
            </w:r>
          </w:p>
        </w:tc>
        <w:tc>
          <w:tcPr>
            <w:tcW w:w="1276" w:type="dxa"/>
            <w:tcMar>
              <w:top w:w="0" w:type="dxa"/>
              <w:left w:w="70" w:type="dxa"/>
              <w:bottom w:w="0" w:type="dxa"/>
              <w:right w:w="70" w:type="dxa"/>
            </w:tcMar>
            <w:vAlign w:val="center"/>
          </w:tcPr>
          <w:p w:rsidR="00565FD5" w:rsidRPr="00C91E15" w:rsidRDefault="00565FD5" w:rsidP="00AB62A3">
            <w:pPr>
              <w:jc w:val="right"/>
              <w:rPr>
                <w:rFonts w:cs="Tahoma"/>
                <w:b/>
                <w:sz w:val="16"/>
                <w:szCs w:val="16"/>
              </w:rPr>
            </w:pPr>
            <w:r w:rsidRPr="00C91E15">
              <w:rPr>
                <w:rFonts w:cs="Tahoma"/>
                <w:b/>
                <w:sz w:val="16"/>
                <w:szCs w:val="16"/>
              </w:rPr>
              <w:t>170 275 664</w:t>
            </w:r>
          </w:p>
        </w:tc>
        <w:tc>
          <w:tcPr>
            <w:tcW w:w="994" w:type="dxa"/>
            <w:tcMar>
              <w:top w:w="0" w:type="dxa"/>
              <w:left w:w="70" w:type="dxa"/>
              <w:bottom w:w="0" w:type="dxa"/>
              <w:right w:w="70" w:type="dxa"/>
            </w:tcMar>
            <w:vAlign w:val="center"/>
          </w:tcPr>
          <w:p w:rsidR="00565FD5" w:rsidRPr="00C91E15" w:rsidRDefault="00565FD5" w:rsidP="00AB62A3">
            <w:pPr>
              <w:jc w:val="right"/>
              <w:rPr>
                <w:rFonts w:cs="Tahoma"/>
                <w:b/>
                <w:sz w:val="16"/>
                <w:szCs w:val="16"/>
              </w:rPr>
            </w:pPr>
            <w:r w:rsidRPr="00C91E15">
              <w:rPr>
                <w:rFonts w:cs="Tahoma"/>
                <w:b/>
                <w:sz w:val="16"/>
                <w:szCs w:val="16"/>
              </w:rPr>
              <w:t>18 353</w:t>
            </w:r>
          </w:p>
        </w:tc>
        <w:tc>
          <w:tcPr>
            <w:tcW w:w="1183" w:type="dxa"/>
            <w:tcMar>
              <w:top w:w="0" w:type="dxa"/>
              <w:left w:w="70" w:type="dxa"/>
              <w:bottom w:w="0" w:type="dxa"/>
              <w:right w:w="70" w:type="dxa"/>
            </w:tcMar>
            <w:vAlign w:val="center"/>
          </w:tcPr>
          <w:p w:rsidR="00565FD5" w:rsidRPr="00C91E15" w:rsidRDefault="00565FD5" w:rsidP="00AB62A3">
            <w:pPr>
              <w:jc w:val="right"/>
              <w:rPr>
                <w:rFonts w:cs="Tahoma"/>
                <w:b/>
                <w:sz w:val="16"/>
                <w:szCs w:val="16"/>
              </w:rPr>
            </w:pPr>
            <w:r w:rsidRPr="00C91E15">
              <w:rPr>
                <w:rFonts w:cs="Tahoma"/>
                <w:b/>
                <w:sz w:val="16"/>
                <w:szCs w:val="16"/>
              </w:rPr>
              <w:t>163 535 968</w:t>
            </w:r>
          </w:p>
        </w:tc>
      </w:tr>
    </w:tbl>
    <w:p w:rsidR="00565FD5" w:rsidRPr="00B914EF" w:rsidRDefault="00565FD5" w:rsidP="00565FD5">
      <w:pPr>
        <w:rPr>
          <w:rFonts w:cs="Tahoma"/>
          <w:sz w:val="14"/>
          <w:szCs w:val="14"/>
        </w:rPr>
      </w:pPr>
      <w:r w:rsidRPr="00B914EF">
        <w:rPr>
          <w:rFonts w:cs="Tahoma"/>
          <w:sz w:val="14"/>
          <w:szCs w:val="14"/>
        </w:rPr>
        <w:t>Kaynak: KOSGEB, 2012</w:t>
      </w:r>
    </w:p>
    <w:p w:rsidR="00565FD5" w:rsidRPr="00B914EF" w:rsidRDefault="00565FD5" w:rsidP="00565FD5">
      <w:pPr>
        <w:rPr>
          <w:rFonts w:cs="Tahoma"/>
          <w:sz w:val="14"/>
          <w:szCs w:val="14"/>
        </w:rPr>
      </w:pPr>
      <w:r w:rsidRPr="00B914EF">
        <w:rPr>
          <w:rFonts w:cs="Tahoma"/>
          <w:sz w:val="14"/>
          <w:szCs w:val="14"/>
        </w:rPr>
        <w:t>(1) Eylül ayı itibarıyla gerçekleşen rakamlardır.</w:t>
      </w:r>
    </w:p>
    <w:p w:rsidR="00565FD5" w:rsidRPr="00B914EF" w:rsidRDefault="00565FD5" w:rsidP="00565FD5">
      <w:pPr>
        <w:spacing w:after="240"/>
        <w:rPr>
          <w:rFonts w:cs="Tahoma"/>
          <w:sz w:val="14"/>
          <w:szCs w:val="14"/>
        </w:rPr>
      </w:pPr>
      <w:r w:rsidRPr="00B914EF">
        <w:rPr>
          <w:rFonts w:cs="Tahoma"/>
          <w:sz w:val="14"/>
          <w:szCs w:val="14"/>
        </w:rPr>
        <w:t>(2) Destek alan meslek kuruluşu sayısını ifade etmektedir.</w:t>
      </w:r>
    </w:p>
    <w:p w:rsidR="00565FD5" w:rsidRPr="00C91E15" w:rsidRDefault="00565FD5" w:rsidP="00565FD5">
      <w:pPr>
        <w:spacing w:after="120"/>
        <w:ind w:firstLine="425"/>
        <w:rPr>
          <w:rFonts w:cs="Tahoma"/>
        </w:rPr>
      </w:pPr>
      <w:r w:rsidRPr="00C91E15">
        <w:rPr>
          <w:rFonts w:cs="Tahoma"/>
        </w:rPr>
        <w:t>Girişimciliğin geliştirilmesine yönelik çalışmaları bir çatı altında toplayarak stratejiler oluşturulmasını ve uygulamaya geçirilmesini sağlamak amacıyla Bilim Sanayi ve Teknoloji Bakanının başkanlığında 32 kamu ve sivil toplum kuruluşunun katılımıyla Girişimcilik Konseyi kurulmuştur.</w:t>
      </w:r>
    </w:p>
    <w:p w:rsidR="00565FD5" w:rsidRPr="00C91E15" w:rsidRDefault="00565FD5" w:rsidP="00565FD5">
      <w:pPr>
        <w:spacing w:after="120"/>
        <w:ind w:firstLine="425"/>
        <w:rPr>
          <w:rFonts w:cs="Tahoma"/>
          <w:szCs w:val="18"/>
        </w:rPr>
      </w:pPr>
      <w:r w:rsidRPr="00C91E15">
        <w:rPr>
          <w:rFonts w:cs="Tahoma"/>
          <w:szCs w:val="18"/>
        </w:rPr>
        <w:lastRenderedPageBreak/>
        <w:t>2010 yılında KOSGEB tarafından başlatılan yeni destek programları kapsamında 2011 yılında 19.317 işletmeye 170 milyon TL tutarında destek verilirken, 2012 yılı Ocak-Eylül dönemi itibarıyla 18.353 işletmeye 163 milyon TL tutarında destek verilmiştir.</w:t>
      </w:r>
    </w:p>
    <w:p w:rsidR="00565FD5" w:rsidRPr="00B914EF" w:rsidRDefault="00565FD5" w:rsidP="00565FD5">
      <w:pPr>
        <w:pStyle w:val="ResimYazs"/>
        <w:rPr>
          <w:rFonts w:cs="Tahoma"/>
        </w:rPr>
      </w:pPr>
      <w:bookmarkStart w:id="1289" w:name="_Toc276076474"/>
      <w:bookmarkStart w:id="1290" w:name="_Toc275873932"/>
      <w:bookmarkStart w:id="1291" w:name="_Toc244255249"/>
      <w:bookmarkStart w:id="1292" w:name="_Toc307601656"/>
      <w:bookmarkStart w:id="1293" w:name="_Toc307657879"/>
      <w:bookmarkStart w:id="1294" w:name="_Toc307702135"/>
      <w:bookmarkStart w:id="1295" w:name="_Toc338605999"/>
      <w:bookmarkStart w:id="1296" w:name="_Toc338711774"/>
      <w:r>
        <w:t xml:space="preserve">TABLO IV: </w:t>
      </w:r>
      <w:fldSimple w:instr=" SEQ TABLO_IV: \* ARABIC ">
        <w:r>
          <w:rPr>
            <w:noProof/>
          </w:rPr>
          <w:t>4</w:t>
        </w:r>
      </w:fldSimple>
      <w:r w:rsidRPr="00B914EF">
        <w:rPr>
          <w:rFonts w:cs="Tahoma"/>
        </w:rPr>
        <w:t>- KOSGEB Kredi Desteği</w:t>
      </w:r>
      <w:bookmarkEnd w:id="1289"/>
      <w:bookmarkEnd w:id="1290"/>
      <w:bookmarkEnd w:id="1291"/>
      <w:bookmarkEnd w:id="1292"/>
      <w:bookmarkEnd w:id="1293"/>
      <w:bookmarkEnd w:id="1294"/>
      <w:bookmarkEnd w:id="1295"/>
      <w:bookmarkEnd w:id="1296"/>
    </w:p>
    <w:tbl>
      <w:tblPr>
        <w:tblW w:w="7144" w:type="dxa"/>
        <w:jc w:val="center"/>
        <w:tblBorders>
          <w:top w:val="single" w:sz="4" w:space="0" w:color="auto"/>
          <w:bottom w:val="single" w:sz="4" w:space="0" w:color="auto"/>
        </w:tblBorders>
        <w:tblLook w:val="00A0"/>
      </w:tblPr>
      <w:tblGrid>
        <w:gridCol w:w="1448"/>
        <w:gridCol w:w="1596"/>
        <w:gridCol w:w="2093"/>
        <w:gridCol w:w="2007"/>
      </w:tblGrid>
      <w:tr w:rsidR="00565FD5" w:rsidRPr="00B914EF" w:rsidTr="00AB62A3">
        <w:trPr>
          <w:cantSplit/>
          <w:trHeight w:val="735"/>
          <w:jc w:val="center"/>
        </w:trPr>
        <w:tc>
          <w:tcPr>
            <w:tcW w:w="1013" w:type="pct"/>
            <w:tcBorders>
              <w:top w:val="single" w:sz="4" w:space="0" w:color="auto"/>
              <w:left w:val="single" w:sz="4" w:space="0" w:color="auto"/>
              <w:bottom w:val="single" w:sz="4" w:space="0" w:color="auto"/>
              <w:right w:val="nil"/>
            </w:tcBorders>
            <w:vAlign w:val="center"/>
          </w:tcPr>
          <w:p w:rsidR="00565FD5" w:rsidRPr="00B914EF" w:rsidRDefault="00565FD5" w:rsidP="00AB62A3">
            <w:pPr>
              <w:jc w:val="center"/>
              <w:rPr>
                <w:rFonts w:cs="Tahoma"/>
                <w:b/>
                <w:sz w:val="16"/>
                <w:szCs w:val="16"/>
              </w:rPr>
            </w:pPr>
            <w:r w:rsidRPr="00B914EF">
              <w:rPr>
                <w:rFonts w:cs="Tahoma"/>
                <w:b/>
                <w:sz w:val="16"/>
                <w:szCs w:val="16"/>
              </w:rPr>
              <w:t>Yılı</w:t>
            </w:r>
          </w:p>
        </w:tc>
        <w:tc>
          <w:tcPr>
            <w:tcW w:w="1117" w:type="pct"/>
            <w:tcBorders>
              <w:top w:val="single" w:sz="4" w:space="0" w:color="auto"/>
              <w:left w:val="nil"/>
              <w:bottom w:val="single" w:sz="4" w:space="0" w:color="auto"/>
              <w:right w:val="nil"/>
            </w:tcBorders>
            <w:vAlign w:val="center"/>
          </w:tcPr>
          <w:p w:rsidR="00565FD5" w:rsidRPr="00B914EF" w:rsidRDefault="00565FD5" w:rsidP="00AB62A3">
            <w:pPr>
              <w:tabs>
                <w:tab w:val="left" w:pos="287"/>
              </w:tabs>
              <w:ind w:left="287"/>
              <w:jc w:val="center"/>
              <w:rPr>
                <w:rFonts w:cs="Tahoma"/>
                <w:b/>
                <w:sz w:val="16"/>
                <w:szCs w:val="16"/>
              </w:rPr>
            </w:pPr>
            <w:r w:rsidRPr="00B914EF">
              <w:rPr>
                <w:rFonts w:cs="Tahoma"/>
                <w:b/>
                <w:sz w:val="16"/>
                <w:szCs w:val="16"/>
              </w:rPr>
              <w:t xml:space="preserve">Kredi </w:t>
            </w:r>
          </w:p>
          <w:p w:rsidR="00565FD5" w:rsidRPr="00B914EF" w:rsidRDefault="00565FD5" w:rsidP="00AB62A3">
            <w:pPr>
              <w:tabs>
                <w:tab w:val="left" w:pos="287"/>
              </w:tabs>
              <w:ind w:left="287"/>
              <w:jc w:val="center"/>
              <w:rPr>
                <w:rFonts w:cs="Tahoma"/>
                <w:b/>
                <w:sz w:val="16"/>
                <w:szCs w:val="16"/>
              </w:rPr>
            </w:pPr>
            <w:r w:rsidRPr="00B914EF">
              <w:rPr>
                <w:rFonts w:cs="Tahoma"/>
                <w:b/>
                <w:sz w:val="16"/>
                <w:szCs w:val="16"/>
              </w:rPr>
              <w:t>Sayısı</w:t>
            </w:r>
          </w:p>
        </w:tc>
        <w:tc>
          <w:tcPr>
            <w:tcW w:w="1465" w:type="pct"/>
            <w:tcBorders>
              <w:top w:val="single" w:sz="4" w:space="0" w:color="auto"/>
              <w:left w:val="nil"/>
              <w:bottom w:val="single" w:sz="4" w:space="0" w:color="auto"/>
              <w:right w:val="nil"/>
            </w:tcBorders>
            <w:vAlign w:val="center"/>
          </w:tcPr>
          <w:p w:rsidR="00565FD5" w:rsidRPr="00B914EF" w:rsidRDefault="00565FD5" w:rsidP="00AB62A3">
            <w:pPr>
              <w:jc w:val="center"/>
              <w:rPr>
                <w:rFonts w:cs="Tahoma"/>
                <w:b/>
                <w:sz w:val="16"/>
                <w:szCs w:val="16"/>
              </w:rPr>
            </w:pPr>
            <w:r w:rsidRPr="00B914EF">
              <w:rPr>
                <w:rFonts w:cs="Tahoma"/>
                <w:b/>
                <w:sz w:val="16"/>
                <w:szCs w:val="16"/>
              </w:rPr>
              <w:t xml:space="preserve">Kullandırılan </w:t>
            </w:r>
          </w:p>
          <w:p w:rsidR="00565FD5" w:rsidRPr="00B914EF" w:rsidRDefault="00565FD5" w:rsidP="00AB62A3">
            <w:pPr>
              <w:jc w:val="center"/>
              <w:rPr>
                <w:rFonts w:cs="Tahoma"/>
                <w:b/>
                <w:sz w:val="16"/>
                <w:szCs w:val="16"/>
              </w:rPr>
            </w:pPr>
            <w:r w:rsidRPr="00B914EF">
              <w:rPr>
                <w:rFonts w:cs="Tahoma"/>
                <w:b/>
                <w:sz w:val="16"/>
                <w:szCs w:val="16"/>
              </w:rPr>
              <w:t xml:space="preserve">Kredi Miktarı </w:t>
            </w:r>
          </w:p>
          <w:p w:rsidR="00565FD5" w:rsidRPr="00B914EF" w:rsidRDefault="00565FD5" w:rsidP="00AB62A3">
            <w:pPr>
              <w:jc w:val="center"/>
              <w:rPr>
                <w:rFonts w:cs="Tahoma"/>
                <w:b/>
                <w:sz w:val="16"/>
                <w:szCs w:val="16"/>
              </w:rPr>
            </w:pPr>
            <w:r w:rsidRPr="00B914EF">
              <w:rPr>
                <w:rFonts w:cs="Tahoma"/>
                <w:b/>
                <w:sz w:val="16"/>
                <w:szCs w:val="16"/>
              </w:rPr>
              <w:t>(Milyon TL)</w:t>
            </w:r>
          </w:p>
        </w:tc>
        <w:tc>
          <w:tcPr>
            <w:tcW w:w="1405" w:type="pct"/>
            <w:tcBorders>
              <w:top w:val="single" w:sz="4" w:space="0" w:color="auto"/>
              <w:left w:val="nil"/>
              <w:bottom w:val="single" w:sz="4" w:space="0" w:color="auto"/>
              <w:right w:val="single" w:sz="4" w:space="0" w:color="auto"/>
            </w:tcBorders>
            <w:vAlign w:val="center"/>
          </w:tcPr>
          <w:p w:rsidR="00565FD5" w:rsidRPr="00B914EF" w:rsidRDefault="00565FD5" w:rsidP="00AB62A3">
            <w:pPr>
              <w:ind w:firstLine="425"/>
              <w:jc w:val="center"/>
              <w:rPr>
                <w:rFonts w:cs="Tahoma"/>
                <w:b/>
                <w:sz w:val="16"/>
                <w:szCs w:val="16"/>
              </w:rPr>
            </w:pPr>
            <w:r w:rsidRPr="00B914EF">
              <w:rPr>
                <w:rFonts w:cs="Tahoma"/>
                <w:b/>
                <w:sz w:val="16"/>
                <w:szCs w:val="16"/>
              </w:rPr>
              <w:t xml:space="preserve">Kredi Faiz </w:t>
            </w:r>
          </w:p>
          <w:p w:rsidR="00565FD5" w:rsidRPr="00B914EF" w:rsidRDefault="00565FD5" w:rsidP="00AB62A3">
            <w:pPr>
              <w:ind w:firstLine="425"/>
              <w:jc w:val="center"/>
              <w:rPr>
                <w:rFonts w:cs="Tahoma"/>
                <w:b/>
                <w:sz w:val="16"/>
                <w:szCs w:val="16"/>
              </w:rPr>
            </w:pPr>
            <w:r w:rsidRPr="00B914EF">
              <w:rPr>
                <w:rFonts w:cs="Tahoma"/>
                <w:b/>
                <w:sz w:val="16"/>
                <w:szCs w:val="16"/>
              </w:rPr>
              <w:t xml:space="preserve">Desteği </w:t>
            </w:r>
          </w:p>
          <w:p w:rsidR="00565FD5" w:rsidRPr="00B914EF" w:rsidRDefault="00565FD5" w:rsidP="00AB62A3">
            <w:pPr>
              <w:ind w:firstLine="425"/>
              <w:jc w:val="center"/>
              <w:rPr>
                <w:rFonts w:cs="Tahoma"/>
                <w:b/>
                <w:sz w:val="16"/>
                <w:szCs w:val="16"/>
              </w:rPr>
            </w:pPr>
            <w:r w:rsidRPr="00B914EF">
              <w:rPr>
                <w:rFonts w:cs="Tahoma"/>
                <w:b/>
                <w:sz w:val="16"/>
                <w:szCs w:val="16"/>
              </w:rPr>
              <w:t>(Milyon TL)</w:t>
            </w:r>
          </w:p>
        </w:tc>
      </w:tr>
      <w:tr w:rsidR="00565FD5" w:rsidRPr="00B914EF" w:rsidTr="00AB62A3">
        <w:trPr>
          <w:cantSplit/>
          <w:trHeight w:val="284"/>
          <w:jc w:val="center"/>
        </w:trPr>
        <w:tc>
          <w:tcPr>
            <w:tcW w:w="1013" w:type="pct"/>
            <w:tcBorders>
              <w:top w:val="nil"/>
              <w:left w:val="single" w:sz="4" w:space="0" w:color="auto"/>
              <w:bottom w:val="nil"/>
              <w:right w:val="nil"/>
            </w:tcBorders>
            <w:vAlign w:val="center"/>
          </w:tcPr>
          <w:p w:rsidR="00565FD5" w:rsidRPr="00B914EF" w:rsidRDefault="00565FD5" w:rsidP="00AB62A3">
            <w:pPr>
              <w:ind w:firstLine="425"/>
              <w:rPr>
                <w:rFonts w:cs="Tahoma"/>
                <w:sz w:val="16"/>
                <w:szCs w:val="16"/>
              </w:rPr>
            </w:pPr>
            <w:r w:rsidRPr="00B914EF">
              <w:rPr>
                <w:rFonts w:cs="Tahoma"/>
                <w:sz w:val="16"/>
                <w:szCs w:val="16"/>
              </w:rPr>
              <w:t>2007</w:t>
            </w:r>
          </w:p>
        </w:tc>
        <w:tc>
          <w:tcPr>
            <w:tcW w:w="1117" w:type="pct"/>
            <w:tcBorders>
              <w:top w:val="nil"/>
              <w:left w:val="nil"/>
              <w:bottom w:val="nil"/>
              <w:right w:val="nil"/>
            </w:tcBorders>
            <w:vAlign w:val="center"/>
          </w:tcPr>
          <w:p w:rsidR="00565FD5" w:rsidRPr="00B914EF" w:rsidRDefault="00565FD5" w:rsidP="00AB62A3">
            <w:pPr>
              <w:ind w:right="101" w:firstLine="425"/>
              <w:jc w:val="right"/>
              <w:rPr>
                <w:rFonts w:cs="Tahoma"/>
                <w:sz w:val="16"/>
                <w:szCs w:val="16"/>
              </w:rPr>
            </w:pPr>
            <w:r w:rsidRPr="00B914EF">
              <w:rPr>
                <w:rFonts w:cs="Tahoma"/>
                <w:sz w:val="16"/>
                <w:szCs w:val="16"/>
              </w:rPr>
              <w:t>33 949</w:t>
            </w:r>
          </w:p>
        </w:tc>
        <w:tc>
          <w:tcPr>
            <w:tcW w:w="1465" w:type="pct"/>
            <w:tcBorders>
              <w:top w:val="nil"/>
              <w:left w:val="nil"/>
              <w:bottom w:val="nil"/>
              <w:right w:val="nil"/>
            </w:tcBorders>
            <w:vAlign w:val="center"/>
          </w:tcPr>
          <w:p w:rsidR="00565FD5" w:rsidRPr="00B914EF" w:rsidRDefault="00565FD5" w:rsidP="00AB62A3">
            <w:pPr>
              <w:ind w:right="493" w:firstLine="425"/>
              <w:jc w:val="right"/>
              <w:rPr>
                <w:rFonts w:cs="Tahoma"/>
                <w:sz w:val="16"/>
                <w:szCs w:val="16"/>
              </w:rPr>
            </w:pPr>
            <w:r w:rsidRPr="00B914EF">
              <w:rPr>
                <w:rFonts w:cs="Tahoma"/>
                <w:sz w:val="16"/>
                <w:szCs w:val="16"/>
              </w:rPr>
              <w:t>1 363</w:t>
            </w:r>
          </w:p>
        </w:tc>
        <w:tc>
          <w:tcPr>
            <w:tcW w:w="1405" w:type="pct"/>
            <w:tcBorders>
              <w:top w:val="nil"/>
              <w:left w:val="nil"/>
              <w:bottom w:val="nil"/>
              <w:right w:val="single" w:sz="4" w:space="0" w:color="auto"/>
            </w:tcBorders>
            <w:vAlign w:val="center"/>
          </w:tcPr>
          <w:p w:rsidR="00565FD5" w:rsidRPr="00B914EF" w:rsidRDefault="00565FD5" w:rsidP="00AB62A3">
            <w:pPr>
              <w:ind w:right="373" w:firstLine="425"/>
              <w:jc w:val="right"/>
              <w:rPr>
                <w:rFonts w:cs="Tahoma"/>
                <w:sz w:val="16"/>
                <w:szCs w:val="16"/>
              </w:rPr>
            </w:pPr>
            <w:r w:rsidRPr="00B914EF">
              <w:rPr>
                <w:rFonts w:cs="Tahoma"/>
                <w:sz w:val="16"/>
                <w:szCs w:val="16"/>
              </w:rPr>
              <w:t>164</w:t>
            </w:r>
          </w:p>
        </w:tc>
      </w:tr>
      <w:tr w:rsidR="00565FD5" w:rsidRPr="00B914EF" w:rsidTr="00AB62A3">
        <w:trPr>
          <w:cantSplit/>
          <w:trHeight w:val="284"/>
          <w:jc w:val="center"/>
        </w:trPr>
        <w:tc>
          <w:tcPr>
            <w:tcW w:w="1013" w:type="pct"/>
            <w:tcBorders>
              <w:top w:val="nil"/>
              <w:left w:val="single" w:sz="4" w:space="0" w:color="auto"/>
              <w:bottom w:val="nil"/>
              <w:right w:val="nil"/>
            </w:tcBorders>
            <w:vAlign w:val="center"/>
          </w:tcPr>
          <w:p w:rsidR="00565FD5" w:rsidRPr="00B914EF" w:rsidRDefault="00565FD5" w:rsidP="00AB62A3">
            <w:pPr>
              <w:ind w:firstLine="425"/>
              <w:rPr>
                <w:rFonts w:cs="Tahoma"/>
                <w:sz w:val="16"/>
                <w:szCs w:val="16"/>
              </w:rPr>
            </w:pPr>
            <w:r w:rsidRPr="00B914EF">
              <w:rPr>
                <w:rFonts w:cs="Tahoma"/>
                <w:sz w:val="16"/>
                <w:szCs w:val="16"/>
              </w:rPr>
              <w:t>2008</w:t>
            </w:r>
          </w:p>
        </w:tc>
        <w:tc>
          <w:tcPr>
            <w:tcW w:w="1117" w:type="pct"/>
            <w:tcBorders>
              <w:top w:val="nil"/>
              <w:left w:val="nil"/>
              <w:bottom w:val="nil"/>
              <w:right w:val="nil"/>
            </w:tcBorders>
            <w:vAlign w:val="center"/>
          </w:tcPr>
          <w:p w:rsidR="00565FD5" w:rsidRPr="00B914EF" w:rsidRDefault="00565FD5" w:rsidP="00AB62A3">
            <w:pPr>
              <w:ind w:right="101" w:firstLine="425"/>
              <w:jc w:val="right"/>
              <w:rPr>
                <w:rFonts w:cs="Tahoma"/>
                <w:sz w:val="16"/>
                <w:szCs w:val="16"/>
              </w:rPr>
            </w:pPr>
            <w:r w:rsidRPr="00B914EF">
              <w:rPr>
                <w:rFonts w:cs="Tahoma"/>
                <w:sz w:val="16"/>
                <w:szCs w:val="16"/>
              </w:rPr>
              <w:t>20 972</w:t>
            </w:r>
          </w:p>
        </w:tc>
        <w:tc>
          <w:tcPr>
            <w:tcW w:w="1465" w:type="pct"/>
            <w:tcBorders>
              <w:top w:val="nil"/>
              <w:left w:val="nil"/>
              <w:bottom w:val="nil"/>
              <w:right w:val="nil"/>
            </w:tcBorders>
            <w:vAlign w:val="center"/>
          </w:tcPr>
          <w:p w:rsidR="00565FD5" w:rsidRPr="00B914EF" w:rsidRDefault="00565FD5" w:rsidP="00AB62A3">
            <w:pPr>
              <w:ind w:right="493" w:firstLine="425"/>
              <w:jc w:val="right"/>
              <w:rPr>
                <w:rFonts w:cs="Tahoma"/>
                <w:sz w:val="16"/>
                <w:szCs w:val="16"/>
              </w:rPr>
            </w:pPr>
            <w:r w:rsidRPr="00B914EF">
              <w:rPr>
                <w:rFonts w:cs="Tahoma"/>
                <w:sz w:val="16"/>
                <w:szCs w:val="16"/>
              </w:rPr>
              <w:t>1 413</w:t>
            </w:r>
          </w:p>
        </w:tc>
        <w:tc>
          <w:tcPr>
            <w:tcW w:w="1405" w:type="pct"/>
            <w:tcBorders>
              <w:top w:val="nil"/>
              <w:left w:val="nil"/>
              <w:bottom w:val="nil"/>
              <w:right w:val="single" w:sz="4" w:space="0" w:color="auto"/>
            </w:tcBorders>
            <w:vAlign w:val="center"/>
          </w:tcPr>
          <w:p w:rsidR="00565FD5" w:rsidRPr="00B914EF" w:rsidRDefault="00565FD5" w:rsidP="00AB62A3">
            <w:pPr>
              <w:ind w:right="373" w:firstLine="425"/>
              <w:jc w:val="right"/>
              <w:rPr>
                <w:rFonts w:cs="Tahoma"/>
                <w:sz w:val="16"/>
                <w:szCs w:val="16"/>
              </w:rPr>
            </w:pPr>
            <w:r w:rsidRPr="00B914EF">
              <w:rPr>
                <w:rFonts w:cs="Tahoma"/>
                <w:sz w:val="16"/>
                <w:szCs w:val="16"/>
              </w:rPr>
              <w:t>162</w:t>
            </w:r>
          </w:p>
        </w:tc>
      </w:tr>
      <w:tr w:rsidR="00565FD5" w:rsidRPr="00B914EF" w:rsidTr="00AB62A3">
        <w:trPr>
          <w:cantSplit/>
          <w:trHeight w:val="284"/>
          <w:jc w:val="center"/>
        </w:trPr>
        <w:tc>
          <w:tcPr>
            <w:tcW w:w="1013" w:type="pct"/>
            <w:tcBorders>
              <w:top w:val="nil"/>
              <w:left w:val="single" w:sz="4" w:space="0" w:color="auto"/>
              <w:bottom w:val="nil"/>
              <w:right w:val="nil"/>
            </w:tcBorders>
            <w:vAlign w:val="center"/>
          </w:tcPr>
          <w:p w:rsidR="00565FD5" w:rsidRPr="00B914EF" w:rsidRDefault="00565FD5" w:rsidP="00AB62A3">
            <w:pPr>
              <w:ind w:firstLine="425"/>
              <w:rPr>
                <w:rFonts w:cs="Tahoma"/>
                <w:sz w:val="16"/>
                <w:szCs w:val="16"/>
              </w:rPr>
            </w:pPr>
            <w:r w:rsidRPr="00B914EF">
              <w:rPr>
                <w:rFonts w:cs="Tahoma"/>
                <w:sz w:val="16"/>
                <w:szCs w:val="16"/>
              </w:rPr>
              <w:t>2009</w:t>
            </w:r>
          </w:p>
        </w:tc>
        <w:tc>
          <w:tcPr>
            <w:tcW w:w="1117" w:type="pct"/>
            <w:tcBorders>
              <w:top w:val="nil"/>
              <w:left w:val="nil"/>
              <w:bottom w:val="nil"/>
              <w:right w:val="nil"/>
            </w:tcBorders>
            <w:vAlign w:val="center"/>
          </w:tcPr>
          <w:p w:rsidR="00565FD5" w:rsidRPr="00B914EF" w:rsidRDefault="00565FD5" w:rsidP="00AB62A3">
            <w:pPr>
              <w:ind w:right="101" w:firstLine="425"/>
              <w:jc w:val="right"/>
              <w:rPr>
                <w:rFonts w:cs="Tahoma"/>
                <w:sz w:val="16"/>
                <w:szCs w:val="16"/>
              </w:rPr>
            </w:pPr>
            <w:r w:rsidRPr="00B914EF">
              <w:rPr>
                <w:rFonts w:cs="Tahoma"/>
                <w:sz w:val="16"/>
                <w:szCs w:val="16"/>
              </w:rPr>
              <w:t>60 831</w:t>
            </w:r>
          </w:p>
        </w:tc>
        <w:tc>
          <w:tcPr>
            <w:tcW w:w="1465" w:type="pct"/>
            <w:tcBorders>
              <w:top w:val="nil"/>
              <w:left w:val="nil"/>
              <w:bottom w:val="nil"/>
              <w:right w:val="nil"/>
            </w:tcBorders>
            <w:vAlign w:val="center"/>
          </w:tcPr>
          <w:p w:rsidR="00565FD5" w:rsidRPr="00B914EF" w:rsidRDefault="00565FD5" w:rsidP="00AB62A3">
            <w:pPr>
              <w:ind w:right="493" w:firstLine="425"/>
              <w:jc w:val="right"/>
              <w:rPr>
                <w:rFonts w:cs="Tahoma"/>
                <w:sz w:val="16"/>
                <w:szCs w:val="16"/>
              </w:rPr>
            </w:pPr>
            <w:r w:rsidRPr="00B914EF">
              <w:rPr>
                <w:rFonts w:cs="Tahoma"/>
                <w:sz w:val="16"/>
                <w:szCs w:val="16"/>
              </w:rPr>
              <w:t>2 594</w:t>
            </w:r>
          </w:p>
        </w:tc>
        <w:tc>
          <w:tcPr>
            <w:tcW w:w="1405" w:type="pct"/>
            <w:tcBorders>
              <w:top w:val="nil"/>
              <w:left w:val="nil"/>
              <w:bottom w:val="nil"/>
              <w:right w:val="single" w:sz="4" w:space="0" w:color="auto"/>
            </w:tcBorders>
            <w:vAlign w:val="center"/>
          </w:tcPr>
          <w:p w:rsidR="00565FD5" w:rsidRPr="00B914EF" w:rsidRDefault="00565FD5" w:rsidP="00AB62A3">
            <w:pPr>
              <w:ind w:right="373" w:firstLine="425"/>
              <w:jc w:val="right"/>
              <w:rPr>
                <w:rFonts w:cs="Tahoma"/>
                <w:sz w:val="16"/>
                <w:szCs w:val="16"/>
              </w:rPr>
            </w:pPr>
            <w:r w:rsidRPr="00B914EF">
              <w:rPr>
                <w:rFonts w:cs="Tahoma"/>
                <w:sz w:val="16"/>
                <w:szCs w:val="16"/>
              </w:rPr>
              <w:t>142</w:t>
            </w:r>
          </w:p>
        </w:tc>
      </w:tr>
      <w:tr w:rsidR="00565FD5" w:rsidRPr="00B914EF" w:rsidTr="00AB62A3">
        <w:trPr>
          <w:cantSplit/>
          <w:trHeight w:val="284"/>
          <w:jc w:val="center"/>
        </w:trPr>
        <w:tc>
          <w:tcPr>
            <w:tcW w:w="1013" w:type="pct"/>
            <w:tcBorders>
              <w:top w:val="nil"/>
              <w:left w:val="single" w:sz="4" w:space="0" w:color="auto"/>
              <w:bottom w:val="nil"/>
              <w:right w:val="nil"/>
            </w:tcBorders>
            <w:vAlign w:val="center"/>
          </w:tcPr>
          <w:p w:rsidR="00565FD5" w:rsidRPr="00B914EF" w:rsidRDefault="00565FD5" w:rsidP="00AB62A3">
            <w:pPr>
              <w:ind w:firstLine="425"/>
              <w:rPr>
                <w:rFonts w:cs="Tahoma"/>
                <w:sz w:val="16"/>
                <w:szCs w:val="16"/>
              </w:rPr>
            </w:pPr>
            <w:r w:rsidRPr="00B914EF">
              <w:rPr>
                <w:rFonts w:cs="Tahoma"/>
                <w:sz w:val="16"/>
                <w:szCs w:val="16"/>
              </w:rPr>
              <w:t>2010</w:t>
            </w:r>
          </w:p>
        </w:tc>
        <w:tc>
          <w:tcPr>
            <w:tcW w:w="1117" w:type="pct"/>
            <w:tcBorders>
              <w:top w:val="nil"/>
              <w:left w:val="nil"/>
              <w:bottom w:val="nil"/>
              <w:right w:val="nil"/>
            </w:tcBorders>
            <w:vAlign w:val="center"/>
          </w:tcPr>
          <w:p w:rsidR="00565FD5" w:rsidRPr="00B914EF" w:rsidRDefault="00565FD5" w:rsidP="00AB62A3">
            <w:pPr>
              <w:ind w:right="101" w:firstLine="425"/>
              <w:jc w:val="right"/>
              <w:rPr>
                <w:rFonts w:cs="Tahoma"/>
                <w:sz w:val="16"/>
                <w:szCs w:val="16"/>
              </w:rPr>
            </w:pPr>
            <w:r w:rsidRPr="00B914EF">
              <w:rPr>
                <w:rFonts w:cs="Tahoma"/>
                <w:sz w:val="16"/>
                <w:szCs w:val="16"/>
              </w:rPr>
              <w:t>43 310</w:t>
            </w:r>
          </w:p>
        </w:tc>
        <w:tc>
          <w:tcPr>
            <w:tcW w:w="1465" w:type="pct"/>
            <w:tcBorders>
              <w:top w:val="nil"/>
              <w:left w:val="nil"/>
              <w:bottom w:val="nil"/>
              <w:right w:val="nil"/>
            </w:tcBorders>
            <w:vAlign w:val="center"/>
          </w:tcPr>
          <w:p w:rsidR="00565FD5" w:rsidRPr="00B914EF" w:rsidRDefault="00565FD5" w:rsidP="00AB62A3">
            <w:pPr>
              <w:ind w:right="493" w:firstLine="425"/>
              <w:jc w:val="right"/>
              <w:rPr>
                <w:rFonts w:cs="Tahoma"/>
                <w:sz w:val="16"/>
                <w:szCs w:val="16"/>
              </w:rPr>
            </w:pPr>
            <w:r w:rsidRPr="00B914EF">
              <w:rPr>
                <w:rFonts w:cs="Tahoma"/>
                <w:sz w:val="16"/>
                <w:szCs w:val="16"/>
              </w:rPr>
              <w:t>1 912</w:t>
            </w:r>
          </w:p>
        </w:tc>
        <w:tc>
          <w:tcPr>
            <w:tcW w:w="1405" w:type="pct"/>
            <w:tcBorders>
              <w:top w:val="nil"/>
              <w:left w:val="nil"/>
              <w:bottom w:val="nil"/>
              <w:right w:val="single" w:sz="4" w:space="0" w:color="auto"/>
            </w:tcBorders>
            <w:vAlign w:val="center"/>
          </w:tcPr>
          <w:p w:rsidR="00565FD5" w:rsidRPr="00B914EF" w:rsidRDefault="00565FD5" w:rsidP="00AB62A3">
            <w:pPr>
              <w:ind w:right="373" w:firstLine="425"/>
              <w:jc w:val="right"/>
              <w:rPr>
                <w:rFonts w:cs="Tahoma"/>
                <w:sz w:val="16"/>
                <w:szCs w:val="16"/>
              </w:rPr>
            </w:pPr>
            <w:r w:rsidRPr="00B914EF">
              <w:rPr>
                <w:rFonts w:cs="Tahoma"/>
                <w:sz w:val="16"/>
                <w:szCs w:val="16"/>
              </w:rPr>
              <w:t>147</w:t>
            </w:r>
          </w:p>
        </w:tc>
      </w:tr>
      <w:tr w:rsidR="00565FD5" w:rsidRPr="00B914EF" w:rsidTr="00AB62A3">
        <w:trPr>
          <w:cantSplit/>
          <w:trHeight w:val="284"/>
          <w:jc w:val="center"/>
        </w:trPr>
        <w:tc>
          <w:tcPr>
            <w:tcW w:w="1013" w:type="pct"/>
            <w:tcBorders>
              <w:top w:val="nil"/>
              <w:left w:val="single" w:sz="4" w:space="0" w:color="auto"/>
              <w:bottom w:val="nil"/>
              <w:right w:val="nil"/>
            </w:tcBorders>
            <w:vAlign w:val="center"/>
          </w:tcPr>
          <w:p w:rsidR="00565FD5" w:rsidRPr="00B914EF" w:rsidRDefault="00565FD5" w:rsidP="00AB62A3">
            <w:pPr>
              <w:ind w:firstLine="425"/>
              <w:rPr>
                <w:rFonts w:cs="Tahoma"/>
                <w:sz w:val="16"/>
                <w:szCs w:val="16"/>
              </w:rPr>
            </w:pPr>
            <w:r w:rsidRPr="00B914EF">
              <w:rPr>
                <w:rFonts w:cs="Tahoma"/>
                <w:sz w:val="16"/>
                <w:szCs w:val="16"/>
              </w:rPr>
              <w:t>2011</w:t>
            </w:r>
          </w:p>
        </w:tc>
        <w:tc>
          <w:tcPr>
            <w:tcW w:w="1117" w:type="pct"/>
            <w:tcBorders>
              <w:top w:val="nil"/>
              <w:left w:val="nil"/>
              <w:bottom w:val="nil"/>
              <w:right w:val="nil"/>
            </w:tcBorders>
            <w:vAlign w:val="center"/>
          </w:tcPr>
          <w:p w:rsidR="00565FD5" w:rsidRPr="00B914EF" w:rsidRDefault="00565FD5" w:rsidP="00AB62A3">
            <w:pPr>
              <w:ind w:right="101" w:firstLine="425"/>
              <w:jc w:val="right"/>
              <w:rPr>
                <w:rFonts w:cs="Tahoma"/>
                <w:sz w:val="16"/>
                <w:szCs w:val="16"/>
              </w:rPr>
            </w:pPr>
            <w:r w:rsidRPr="00B914EF">
              <w:rPr>
                <w:rFonts w:cs="Tahoma"/>
                <w:sz w:val="16"/>
                <w:szCs w:val="16"/>
              </w:rPr>
              <w:t>48 218</w:t>
            </w:r>
          </w:p>
        </w:tc>
        <w:tc>
          <w:tcPr>
            <w:tcW w:w="1465" w:type="pct"/>
            <w:tcBorders>
              <w:top w:val="nil"/>
              <w:left w:val="nil"/>
              <w:bottom w:val="nil"/>
              <w:right w:val="nil"/>
            </w:tcBorders>
            <w:vAlign w:val="center"/>
          </w:tcPr>
          <w:p w:rsidR="00565FD5" w:rsidRPr="00B914EF" w:rsidRDefault="00565FD5" w:rsidP="00AB62A3">
            <w:pPr>
              <w:ind w:right="493" w:firstLine="425"/>
              <w:jc w:val="right"/>
              <w:rPr>
                <w:rFonts w:cs="Tahoma"/>
                <w:sz w:val="16"/>
                <w:szCs w:val="16"/>
              </w:rPr>
            </w:pPr>
            <w:r w:rsidRPr="00B914EF">
              <w:rPr>
                <w:rFonts w:cs="Tahoma"/>
                <w:sz w:val="16"/>
                <w:szCs w:val="16"/>
              </w:rPr>
              <w:t>2 600</w:t>
            </w:r>
          </w:p>
        </w:tc>
        <w:tc>
          <w:tcPr>
            <w:tcW w:w="1405" w:type="pct"/>
            <w:tcBorders>
              <w:top w:val="nil"/>
              <w:left w:val="nil"/>
              <w:bottom w:val="nil"/>
              <w:right w:val="single" w:sz="4" w:space="0" w:color="auto"/>
            </w:tcBorders>
            <w:vAlign w:val="center"/>
          </w:tcPr>
          <w:p w:rsidR="00565FD5" w:rsidRPr="00B914EF" w:rsidRDefault="00565FD5" w:rsidP="00AB62A3">
            <w:pPr>
              <w:ind w:right="373" w:firstLine="425"/>
              <w:jc w:val="right"/>
              <w:rPr>
                <w:rFonts w:cs="Tahoma"/>
                <w:sz w:val="16"/>
                <w:szCs w:val="16"/>
              </w:rPr>
            </w:pPr>
            <w:r w:rsidRPr="00B914EF">
              <w:rPr>
                <w:rFonts w:cs="Tahoma"/>
                <w:sz w:val="16"/>
                <w:szCs w:val="16"/>
              </w:rPr>
              <w:t>170</w:t>
            </w:r>
          </w:p>
        </w:tc>
      </w:tr>
      <w:tr w:rsidR="00565FD5" w:rsidRPr="00B914EF" w:rsidTr="00AB62A3">
        <w:trPr>
          <w:cantSplit/>
          <w:trHeight w:val="284"/>
          <w:jc w:val="center"/>
        </w:trPr>
        <w:tc>
          <w:tcPr>
            <w:tcW w:w="1013" w:type="pct"/>
            <w:tcBorders>
              <w:top w:val="nil"/>
              <w:left w:val="single" w:sz="4" w:space="0" w:color="auto"/>
              <w:bottom w:val="single" w:sz="4" w:space="0" w:color="auto"/>
              <w:right w:val="nil"/>
            </w:tcBorders>
            <w:vAlign w:val="center"/>
          </w:tcPr>
          <w:p w:rsidR="00565FD5" w:rsidRPr="00B914EF" w:rsidRDefault="00565FD5" w:rsidP="00AB62A3">
            <w:pPr>
              <w:ind w:firstLine="425"/>
              <w:rPr>
                <w:rFonts w:cs="Tahoma"/>
                <w:sz w:val="16"/>
                <w:szCs w:val="16"/>
              </w:rPr>
            </w:pPr>
            <w:r w:rsidRPr="00B914EF">
              <w:rPr>
                <w:rFonts w:cs="Tahoma"/>
                <w:sz w:val="16"/>
                <w:szCs w:val="16"/>
              </w:rPr>
              <w:t>2012 (1)</w:t>
            </w:r>
          </w:p>
        </w:tc>
        <w:tc>
          <w:tcPr>
            <w:tcW w:w="1117" w:type="pct"/>
            <w:tcBorders>
              <w:top w:val="nil"/>
              <w:left w:val="nil"/>
              <w:bottom w:val="single" w:sz="4" w:space="0" w:color="auto"/>
              <w:right w:val="nil"/>
            </w:tcBorders>
            <w:vAlign w:val="center"/>
          </w:tcPr>
          <w:p w:rsidR="00565FD5" w:rsidRPr="00B914EF" w:rsidRDefault="00565FD5" w:rsidP="00AB62A3">
            <w:pPr>
              <w:ind w:right="101" w:firstLine="425"/>
              <w:jc w:val="right"/>
              <w:rPr>
                <w:rFonts w:cs="Tahoma"/>
                <w:sz w:val="16"/>
                <w:szCs w:val="16"/>
              </w:rPr>
            </w:pPr>
            <w:r w:rsidRPr="00B914EF">
              <w:rPr>
                <w:rFonts w:cs="Tahoma"/>
                <w:sz w:val="16"/>
                <w:szCs w:val="16"/>
              </w:rPr>
              <w:t>5 725</w:t>
            </w:r>
          </w:p>
        </w:tc>
        <w:tc>
          <w:tcPr>
            <w:tcW w:w="1465" w:type="pct"/>
            <w:tcBorders>
              <w:top w:val="nil"/>
              <w:left w:val="nil"/>
              <w:bottom w:val="single" w:sz="4" w:space="0" w:color="auto"/>
              <w:right w:val="nil"/>
            </w:tcBorders>
            <w:vAlign w:val="center"/>
          </w:tcPr>
          <w:p w:rsidR="00565FD5" w:rsidRPr="00B914EF" w:rsidRDefault="00565FD5" w:rsidP="00AB62A3">
            <w:pPr>
              <w:ind w:right="493" w:firstLine="425"/>
              <w:jc w:val="right"/>
              <w:rPr>
                <w:rFonts w:cs="Tahoma"/>
                <w:sz w:val="16"/>
                <w:szCs w:val="16"/>
              </w:rPr>
            </w:pPr>
            <w:r w:rsidRPr="00B914EF">
              <w:rPr>
                <w:rFonts w:cs="Tahoma"/>
                <w:sz w:val="16"/>
                <w:szCs w:val="16"/>
              </w:rPr>
              <w:t>361</w:t>
            </w:r>
          </w:p>
        </w:tc>
        <w:tc>
          <w:tcPr>
            <w:tcW w:w="1405" w:type="pct"/>
            <w:tcBorders>
              <w:top w:val="nil"/>
              <w:left w:val="nil"/>
              <w:bottom w:val="single" w:sz="4" w:space="0" w:color="auto"/>
              <w:right w:val="single" w:sz="4" w:space="0" w:color="auto"/>
            </w:tcBorders>
            <w:vAlign w:val="center"/>
          </w:tcPr>
          <w:p w:rsidR="00565FD5" w:rsidRPr="00B914EF" w:rsidRDefault="00565FD5" w:rsidP="00AB62A3">
            <w:pPr>
              <w:ind w:right="373" w:firstLine="425"/>
              <w:jc w:val="right"/>
              <w:rPr>
                <w:rFonts w:cs="Tahoma"/>
                <w:sz w:val="16"/>
                <w:szCs w:val="16"/>
              </w:rPr>
            </w:pPr>
            <w:r w:rsidRPr="00B914EF">
              <w:rPr>
                <w:rFonts w:cs="Tahoma"/>
                <w:sz w:val="16"/>
                <w:szCs w:val="16"/>
              </w:rPr>
              <w:t>80</w:t>
            </w:r>
          </w:p>
        </w:tc>
      </w:tr>
    </w:tbl>
    <w:p w:rsidR="00565FD5" w:rsidRPr="00B914EF" w:rsidRDefault="00565FD5" w:rsidP="00565FD5">
      <w:pPr>
        <w:rPr>
          <w:rFonts w:cs="Tahoma"/>
          <w:sz w:val="14"/>
          <w:szCs w:val="14"/>
        </w:rPr>
      </w:pPr>
      <w:r w:rsidRPr="00B914EF">
        <w:rPr>
          <w:rFonts w:cs="Tahoma"/>
          <w:sz w:val="14"/>
          <w:szCs w:val="14"/>
        </w:rPr>
        <w:t xml:space="preserve">Kaynak: KOSGEB, 2012   </w:t>
      </w:r>
    </w:p>
    <w:p w:rsidR="00565FD5" w:rsidRPr="00B914EF" w:rsidRDefault="00565FD5" w:rsidP="00565FD5">
      <w:pPr>
        <w:spacing w:after="240"/>
        <w:rPr>
          <w:rFonts w:cs="Tahoma"/>
          <w:sz w:val="14"/>
          <w:szCs w:val="14"/>
        </w:rPr>
      </w:pPr>
      <w:r w:rsidRPr="00B914EF">
        <w:rPr>
          <w:rFonts w:cs="Tahoma"/>
          <w:sz w:val="14"/>
          <w:szCs w:val="14"/>
        </w:rPr>
        <w:t>(1) 2012 yılı Eylül ayı sonu itibarıyla</w:t>
      </w:r>
    </w:p>
    <w:p w:rsidR="00565FD5" w:rsidRPr="00C91E15" w:rsidRDefault="00565FD5" w:rsidP="00565FD5">
      <w:pPr>
        <w:spacing w:after="120"/>
        <w:ind w:firstLine="425"/>
        <w:rPr>
          <w:rFonts w:cs="Tahoma"/>
          <w:szCs w:val="18"/>
        </w:rPr>
      </w:pPr>
      <w:r w:rsidRPr="00C91E15">
        <w:rPr>
          <w:rFonts w:cs="Tahoma"/>
          <w:szCs w:val="18"/>
        </w:rPr>
        <w:t xml:space="preserve">KOSGEB’in yeni destek programlarının etkin bir şekilde uygulanmasıyla önümüzdeki dönemde kredi faiz desteklerini azaltması ve buna paralel olarak destek programlarına ayrılan kaynakları artırması beklenmektedir. Bu kapsamda KOBİ’lerin kredilere erişimlerinin artırılması amacıyla 2011 yılında yaklaşık 48 bin KOBİ’nin bankalardan kullandığı 2,6 milyar TL’lik kredinin 170 milyon TL’lik faizi KOSGEB tarafından karşılanmıştır. </w:t>
      </w:r>
    </w:p>
    <w:p w:rsidR="00565FD5" w:rsidRPr="00C91E15" w:rsidRDefault="00565FD5" w:rsidP="00565FD5">
      <w:pPr>
        <w:spacing w:after="120"/>
        <w:ind w:firstLine="425"/>
        <w:rPr>
          <w:rFonts w:cs="Tahoma"/>
          <w:szCs w:val="18"/>
        </w:rPr>
      </w:pPr>
      <w:r w:rsidRPr="00C91E15">
        <w:rPr>
          <w:rFonts w:cs="Tahoma"/>
          <w:szCs w:val="18"/>
        </w:rPr>
        <w:t xml:space="preserve">Halk Bankası tarafından esnaf ve sanatkârlar ile KOBİ’lere kullandırılan krediler 2007 yılında 9,89 milyar TL seviyesinden 2012 yılı Haziran ayına kadar geçen süre içerisinde yüzde 118 oranında artış göstererek yaklaşık 21,6 milyar TL’ye yükselmiştir. Aynı dönemde bankacılık sektörü toplam KOBİ kredileri yüzde 126 artarak 76,8 milyar TL’den 173,4 milyar TL’ye ulaşmıştır. </w:t>
      </w:r>
    </w:p>
    <w:p w:rsidR="00565FD5" w:rsidRPr="004F4817" w:rsidRDefault="00565FD5" w:rsidP="00565FD5">
      <w:pPr>
        <w:pStyle w:val="ResimYazs"/>
        <w:rPr>
          <w:rFonts w:cs="Tahoma"/>
        </w:rPr>
      </w:pPr>
      <w:bookmarkStart w:id="1297" w:name="_Toc276076475"/>
      <w:bookmarkStart w:id="1298" w:name="_Toc275873933"/>
      <w:bookmarkStart w:id="1299" w:name="_Toc244255250"/>
      <w:bookmarkStart w:id="1300" w:name="_Toc307601657"/>
      <w:bookmarkStart w:id="1301" w:name="_Toc307657880"/>
      <w:bookmarkStart w:id="1302" w:name="_Toc307702136"/>
      <w:bookmarkStart w:id="1303" w:name="_Toc338606000"/>
      <w:bookmarkStart w:id="1304" w:name="_Toc338711775"/>
      <w:r>
        <w:t xml:space="preserve">TABLO IV: </w:t>
      </w:r>
      <w:fldSimple w:instr=" SEQ TABLO_IV: \* ARABIC ">
        <w:r>
          <w:rPr>
            <w:noProof/>
          </w:rPr>
          <w:t>5</w:t>
        </w:r>
      </w:fldSimple>
      <w:r w:rsidRPr="004F4817">
        <w:t>-</w:t>
      </w:r>
      <w:r w:rsidRPr="004F4817">
        <w:rPr>
          <w:rFonts w:cs="Tahoma"/>
        </w:rPr>
        <w:t xml:space="preserve"> Halk Bankası KOBİ Kredileri</w:t>
      </w:r>
      <w:bookmarkEnd w:id="1297"/>
      <w:bookmarkEnd w:id="1298"/>
      <w:bookmarkEnd w:id="1299"/>
      <w:bookmarkEnd w:id="1300"/>
      <w:bookmarkEnd w:id="1301"/>
      <w:bookmarkEnd w:id="1302"/>
      <w:bookmarkEnd w:id="1303"/>
      <w:bookmarkEnd w:id="1304"/>
    </w:p>
    <w:tbl>
      <w:tblPr>
        <w:tblW w:w="0" w:type="auto"/>
        <w:tblBorders>
          <w:top w:val="single" w:sz="4" w:space="0" w:color="auto"/>
          <w:bottom w:val="single" w:sz="4" w:space="0" w:color="auto"/>
        </w:tblBorders>
        <w:tblLayout w:type="fixed"/>
        <w:tblCellMar>
          <w:left w:w="0" w:type="dxa"/>
          <w:right w:w="0" w:type="dxa"/>
        </w:tblCellMar>
        <w:tblLook w:val="00A0"/>
      </w:tblPr>
      <w:tblGrid>
        <w:gridCol w:w="1888"/>
        <w:gridCol w:w="806"/>
        <w:gridCol w:w="850"/>
        <w:gridCol w:w="851"/>
        <w:gridCol w:w="992"/>
        <w:gridCol w:w="851"/>
        <w:gridCol w:w="938"/>
        <w:gridCol w:w="54"/>
      </w:tblGrid>
      <w:tr w:rsidR="00565FD5" w:rsidRPr="004F4817" w:rsidTr="00AB62A3">
        <w:trPr>
          <w:gridAfter w:val="1"/>
          <w:wAfter w:w="54" w:type="dxa"/>
          <w:trHeight w:val="284"/>
        </w:trPr>
        <w:tc>
          <w:tcPr>
            <w:tcW w:w="7176" w:type="dxa"/>
            <w:gridSpan w:val="7"/>
            <w:tcBorders>
              <w:top w:val="nil"/>
              <w:left w:val="nil"/>
              <w:bottom w:val="single" w:sz="4" w:space="0" w:color="auto"/>
              <w:right w:val="nil"/>
            </w:tcBorders>
            <w:noWrap/>
            <w:vAlign w:val="center"/>
          </w:tcPr>
          <w:p w:rsidR="00565FD5" w:rsidRPr="004F4817" w:rsidRDefault="00565FD5" w:rsidP="00AB62A3">
            <w:pPr>
              <w:ind w:firstLine="425"/>
              <w:jc w:val="right"/>
              <w:rPr>
                <w:rFonts w:cs="Tahoma"/>
                <w:sz w:val="16"/>
                <w:szCs w:val="16"/>
              </w:rPr>
            </w:pPr>
            <w:r w:rsidRPr="004F4817">
              <w:rPr>
                <w:rFonts w:cs="Tahoma"/>
                <w:sz w:val="16"/>
                <w:szCs w:val="16"/>
              </w:rPr>
              <w:t>(Cari Fiyatlarla, Milyon TL)</w:t>
            </w:r>
          </w:p>
        </w:tc>
      </w:tr>
      <w:tr w:rsidR="00565FD5" w:rsidRPr="004F4817" w:rsidTr="00AB62A3">
        <w:trPr>
          <w:trHeight w:val="227"/>
        </w:trPr>
        <w:tc>
          <w:tcPr>
            <w:tcW w:w="1888" w:type="dxa"/>
            <w:tcBorders>
              <w:top w:val="single" w:sz="4" w:space="0" w:color="auto"/>
              <w:left w:val="single" w:sz="4" w:space="0" w:color="auto"/>
              <w:bottom w:val="single" w:sz="4" w:space="0" w:color="auto"/>
              <w:right w:val="single" w:sz="4" w:space="0" w:color="auto"/>
            </w:tcBorders>
            <w:noWrap/>
            <w:vAlign w:val="center"/>
          </w:tcPr>
          <w:p w:rsidR="00565FD5" w:rsidRPr="004F4817" w:rsidRDefault="00565FD5" w:rsidP="00AB62A3">
            <w:pPr>
              <w:ind w:firstLine="425"/>
              <w:rPr>
                <w:rFonts w:cs="Tahoma"/>
                <w:sz w:val="16"/>
                <w:szCs w:val="16"/>
              </w:rPr>
            </w:pPr>
          </w:p>
        </w:tc>
        <w:tc>
          <w:tcPr>
            <w:tcW w:w="806" w:type="dxa"/>
            <w:tcBorders>
              <w:top w:val="single" w:sz="4" w:space="0" w:color="auto"/>
              <w:left w:val="single" w:sz="4" w:space="0" w:color="auto"/>
              <w:bottom w:val="single" w:sz="4" w:space="0" w:color="auto"/>
              <w:right w:val="nil"/>
            </w:tcBorders>
            <w:noWrap/>
            <w:vAlign w:val="center"/>
          </w:tcPr>
          <w:p w:rsidR="00565FD5" w:rsidRPr="004F4817" w:rsidRDefault="00565FD5" w:rsidP="00AB62A3">
            <w:pPr>
              <w:jc w:val="right"/>
              <w:rPr>
                <w:rFonts w:cs="Tahoma"/>
                <w:b/>
                <w:sz w:val="16"/>
                <w:szCs w:val="16"/>
              </w:rPr>
            </w:pPr>
            <w:r w:rsidRPr="004F4817">
              <w:rPr>
                <w:rFonts w:cs="Tahoma"/>
                <w:b/>
                <w:sz w:val="16"/>
                <w:szCs w:val="16"/>
              </w:rPr>
              <w:t>2007</w:t>
            </w:r>
          </w:p>
        </w:tc>
        <w:tc>
          <w:tcPr>
            <w:tcW w:w="850" w:type="dxa"/>
            <w:tcBorders>
              <w:top w:val="single" w:sz="4" w:space="0" w:color="auto"/>
              <w:left w:val="nil"/>
              <w:bottom w:val="single" w:sz="4" w:space="0" w:color="auto"/>
              <w:right w:val="nil"/>
            </w:tcBorders>
            <w:noWrap/>
            <w:vAlign w:val="center"/>
          </w:tcPr>
          <w:p w:rsidR="00565FD5" w:rsidRPr="004F4817" w:rsidRDefault="00565FD5" w:rsidP="00AB62A3">
            <w:pPr>
              <w:jc w:val="right"/>
              <w:rPr>
                <w:rFonts w:cs="Tahoma"/>
                <w:b/>
                <w:sz w:val="16"/>
                <w:szCs w:val="16"/>
              </w:rPr>
            </w:pPr>
            <w:r w:rsidRPr="004F4817">
              <w:rPr>
                <w:rFonts w:cs="Tahoma"/>
                <w:b/>
                <w:sz w:val="16"/>
                <w:szCs w:val="16"/>
              </w:rPr>
              <w:t>2008</w:t>
            </w:r>
          </w:p>
        </w:tc>
        <w:tc>
          <w:tcPr>
            <w:tcW w:w="851" w:type="dxa"/>
            <w:tcBorders>
              <w:top w:val="single" w:sz="4" w:space="0" w:color="auto"/>
              <w:left w:val="nil"/>
              <w:bottom w:val="single" w:sz="4" w:space="0" w:color="auto"/>
              <w:right w:val="nil"/>
            </w:tcBorders>
            <w:noWrap/>
            <w:vAlign w:val="center"/>
          </w:tcPr>
          <w:p w:rsidR="00565FD5" w:rsidRPr="004F4817" w:rsidRDefault="00565FD5" w:rsidP="00AB62A3">
            <w:pPr>
              <w:jc w:val="right"/>
              <w:rPr>
                <w:rFonts w:cs="Tahoma"/>
                <w:b/>
                <w:sz w:val="16"/>
                <w:szCs w:val="16"/>
              </w:rPr>
            </w:pPr>
            <w:r w:rsidRPr="004F4817">
              <w:rPr>
                <w:rFonts w:cs="Tahoma"/>
                <w:b/>
                <w:sz w:val="16"/>
                <w:szCs w:val="16"/>
              </w:rPr>
              <w:t>2009</w:t>
            </w:r>
          </w:p>
        </w:tc>
        <w:tc>
          <w:tcPr>
            <w:tcW w:w="992" w:type="dxa"/>
            <w:tcBorders>
              <w:top w:val="single" w:sz="4" w:space="0" w:color="auto"/>
              <w:left w:val="nil"/>
              <w:bottom w:val="single" w:sz="4" w:space="0" w:color="auto"/>
              <w:right w:val="nil"/>
            </w:tcBorders>
            <w:vAlign w:val="center"/>
          </w:tcPr>
          <w:p w:rsidR="00565FD5" w:rsidRPr="004F4817" w:rsidRDefault="00565FD5" w:rsidP="00AB62A3">
            <w:pPr>
              <w:jc w:val="right"/>
              <w:rPr>
                <w:rFonts w:cs="Tahoma"/>
                <w:b/>
                <w:sz w:val="16"/>
                <w:szCs w:val="16"/>
              </w:rPr>
            </w:pPr>
            <w:r w:rsidRPr="004F4817">
              <w:rPr>
                <w:rFonts w:cs="Tahoma"/>
                <w:b/>
                <w:sz w:val="16"/>
                <w:szCs w:val="16"/>
              </w:rPr>
              <w:t>2010</w:t>
            </w:r>
          </w:p>
        </w:tc>
        <w:tc>
          <w:tcPr>
            <w:tcW w:w="851" w:type="dxa"/>
            <w:tcBorders>
              <w:top w:val="single" w:sz="4" w:space="0" w:color="auto"/>
              <w:left w:val="nil"/>
              <w:bottom w:val="single" w:sz="4" w:space="0" w:color="auto"/>
              <w:right w:val="nil"/>
            </w:tcBorders>
            <w:vAlign w:val="center"/>
          </w:tcPr>
          <w:p w:rsidR="00565FD5" w:rsidRPr="004F4817" w:rsidRDefault="00565FD5" w:rsidP="00AB62A3">
            <w:pPr>
              <w:jc w:val="right"/>
              <w:rPr>
                <w:rFonts w:cs="Tahoma"/>
                <w:b/>
                <w:sz w:val="16"/>
                <w:szCs w:val="16"/>
              </w:rPr>
            </w:pPr>
            <w:r w:rsidRPr="004F4817">
              <w:rPr>
                <w:rFonts w:cs="Tahoma"/>
                <w:b/>
                <w:sz w:val="16"/>
                <w:szCs w:val="16"/>
              </w:rPr>
              <w:t>2011</w:t>
            </w:r>
          </w:p>
        </w:tc>
        <w:tc>
          <w:tcPr>
            <w:tcW w:w="992" w:type="dxa"/>
            <w:gridSpan w:val="2"/>
            <w:tcBorders>
              <w:top w:val="single" w:sz="4" w:space="0" w:color="auto"/>
              <w:left w:val="nil"/>
              <w:bottom w:val="single" w:sz="4" w:space="0" w:color="auto"/>
              <w:right w:val="single" w:sz="4" w:space="0" w:color="auto"/>
            </w:tcBorders>
            <w:vAlign w:val="center"/>
          </w:tcPr>
          <w:p w:rsidR="00565FD5" w:rsidRPr="004F4817" w:rsidRDefault="00565FD5" w:rsidP="00AB62A3">
            <w:pPr>
              <w:jc w:val="right"/>
              <w:rPr>
                <w:rFonts w:cs="Tahoma"/>
                <w:b/>
                <w:sz w:val="16"/>
                <w:szCs w:val="16"/>
              </w:rPr>
            </w:pPr>
            <w:r w:rsidRPr="004F4817">
              <w:rPr>
                <w:rFonts w:cs="Tahoma"/>
                <w:b/>
                <w:sz w:val="16"/>
                <w:szCs w:val="16"/>
              </w:rPr>
              <w:t>2012 (1)</w:t>
            </w:r>
          </w:p>
        </w:tc>
      </w:tr>
      <w:tr w:rsidR="00565FD5" w:rsidRPr="004F4817" w:rsidTr="00AB62A3">
        <w:trPr>
          <w:trHeight w:val="227"/>
        </w:trPr>
        <w:tc>
          <w:tcPr>
            <w:tcW w:w="1888" w:type="dxa"/>
            <w:tcBorders>
              <w:top w:val="single" w:sz="4" w:space="0" w:color="auto"/>
              <w:left w:val="single" w:sz="4" w:space="0" w:color="auto"/>
              <w:bottom w:val="nil"/>
              <w:right w:val="single" w:sz="4" w:space="0" w:color="auto"/>
            </w:tcBorders>
            <w:noWrap/>
            <w:vAlign w:val="center"/>
          </w:tcPr>
          <w:p w:rsidR="00565FD5" w:rsidRPr="004F4817" w:rsidRDefault="00565FD5" w:rsidP="00AB62A3">
            <w:pPr>
              <w:ind w:firstLine="425"/>
              <w:rPr>
                <w:rFonts w:cs="Tahoma"/>
                <w:sz w:val="16"/>
                <w:szCs w:val="16"/>
              </w:rPr>
            </w:pPr>
            <w:r w:rsidRPr="004F4817">
              <w:rPr>
                <w:rFonts w:cs="Tahoma"/>
                <w:sz w:val="16"/>
                <w:szCs w:val="16"/>
              </w:rPr>
              <w:t>Ticari Krediler</w:t>
            </w:r>
          </w:p>
        </w:tc>
        <w:tc>
          <w:tcPr>
            <w:tcW w:w="806" w:type="dxa"/>
            <w:tcBorders>
              <w:top w:val="single" w:sz="4" w:space="0" w:color="auto"/>
              <w:left w:val="single" w:sz="4" w:space="0" w:color="auto"/>
              <w:bottom w:val="nil"/>
              <w:right w:val="nil"/>
            </w:tcBorders>
            <w:noWrap/>
            <w:vAlign w:val="center"/>
          </w:tcPr>
          <w:p w:rsidR="00565FD5" w:rsidRPr="004F4817" w:rsidRDefault="00565FD5" w:rsidP="00AB62A3">
            <w:pPr>
              <w:jc w:val="right"/>
              <w:rPr>
                <w:rFonts w:cs="Tahoma"/>
                <w:sz w:val="16"/>
                <w:szCs w:val="16"/>
              </w:rPr>
            </w:pPr>
            <w:r w:rsidRPr="004F4817">
              <w:rPr>
                <w:rFonts w:cs="Tahoma"/>
                <w:sz w:val="16"/>
                <w:szCs w:val="16"/>
              </w:rPr>
              <w:t>2 137</w:t>
            </w:r>
          </w:p>
        </w:tc>
        <w:tc>
          <w:tcPr>
            <w:tcW w:w="850" w:type="dxa"/>
            <w:tcBorders>
              <w:top w:val="single" w:sz="4" w:space="0" w:color="auto"/>
              <w:left w:val="nil"/>
              <w:bottom w:val="nil"/>
              <w:right w:val="nil"/>
            </w:tcBorders>
            <w:noWrap/>
            <w:vAlign w:val="center"/>
          </w:tcPr>
          <w:p w:rsidR="00565FD5" w:rsidRPr="004F4817" w:rsidRDefault="00565FD5" w:rsidP="00AB62A3">
            <w:pPr>
              <w:jc w:val="right"/>
              <w:rPr>
                <w:rFonts w:cs="Tahoma"/>
                <w:sz w:val="16"/>
                <w:szCs w:val="16"/>
              </w:rPr>
            </w:pPr>
            <w:r w:rsidRPr="004F4817">
              <w:rPr>
                <w:rFonts w:cs="Tahoma"/>
                <w:sz w:val="16"/>
                <w:szCs w:val="16"/>
              </w:rPr>
              <w:t>1 184</w:t>
            </w:r>
          </w:p>
        </w:tc>
        <w:tc>
          <w:tcPr>
            <w:tcW w:w="851" w:type="dxa"/>
            <w:tcBorders>
              <w:top w:val="single" w:sz="4" w:space="0" w:color="auto"/>
              <w:left w:val="nil"/>
              <w:bottom w:val="nil"/>
              <w:right w:val="nil"/>
            </w:tcBorders>
            <w:noWrap/>
            <w:vAlign w:val="center"/>
          </w:tcPr>
          <w:p w:rsidR="00565FD5" w:rsidRPr="004F4817" w:rsidRDefault="00565FD5" w:rsidP="00AB62A3">
            <w:pPr>
              <w:jc w:val="right"/>
              <w:rPr>
                <w:rFonts w:cs="Tahoma"/>
                <w:sz w:val="16"/>
                <w:szCs w:val="16"/>
              </w:rPr>
            </w:pPr>
            <w:r w:rsidRPr="004F4817">
              <w:rPr>
                <w:rFonts w:cs="Tahoma"/>
                <w:sz w:val="16"/>
                <w:szCs w:val="16"/>
              </w:rPr>
              <w:t>3 633</w:t>
            </w:r>
          </w:p>
        </w:tc>
        <w:tc>
          <w:tcPr>
            <w:tcW w:w="992" w:type="dxa"/>
            <w:tcBorders>
              <w:top w:val="single" w:sz="4" w:space="0" w:color="auto"/>
              <w:left w:val="nil"/>
              <w:bottom w:val="nil"/>
              <w:right w:val="nil"/>
            </w:tcBorders>
            <w:vAlign w:val="center"/>
          </w:tcPr>
          <w:p w:rsidR="00565FD5" w:rsidRPr="004F4817" w:rsidRDefault="00565FD5" w:rsidP="00AB62A3">
            <w:pPr>
              <w:jc w:val="right"/>
              <w:rPr>
                <w:rFonts w:cs="Tahoma"/>
                <w:sz w:val="16"/>
                <w:szCs w:val="16"/>
              </w:rPr>
            </w:pPr>
            <w:r w:rsidRPr="004F4817">
              <w:rPr>
                <w:rFonts w:cs="Tahoma"/>
                <w:sz w:val="16"/>
                <w:szCs w:val="16"/>
              </w:rPr>
              <w:t>3 226</w:t>
            </w:r>
          </w:p>
        </w:tc>
        <w:tc>
          <w:tcPr>
            <w:tcW w:w="851" w:type="dxa"/>
            <w:tcBorders>
              <w:top w:val="single" w:sz="4" w:space="0" w:color="auto"/>
              <w:left w:val="nil"/>
              <w:bottom w:val="nil"/>
              <w:right w:val="nil"/>
            </w:tcBorders>
            <w:vAlign w:val="center"/>
          </w:tcPr>
          <w:p w:rsidR="00565FD5" w:rsidRPr="004F4817" w:rsidRDefault="00565FD5" w:rsidP="00AB62A3">
            <w:pPr>
              <w:jc w:val="right"/>
              <w:rPr>
                <w:rFonts w:cs="Tahoma"/>
                <w:sz w:val="16"/>
                <w:szCs w:val="16"/>
              </w:rPr>
            </w:pPr>
            <w:r w:rsidRPr="004F4817">
              <w:rPr>
                <w:rFonts w:cs="Tahoma"/>
                <w:sz w:val="16"/>
                <w:szCs w:val="16"/>
              </w:rPr>
              <w:t>4 177</w:t>
            </w:r>
          </w:p>
        </w:tc>
        <w:tc>
          <w:tcPr>
            <w:tcW w:w="992" w:type="dxa"/>
            <w:gridSpan w:val="2"/>
            <w:tcBorders>
              <w:top w:val="single" w:sz="4" w:space="0" w:color="auto"/>
              <w:left w:val="nil"/>
              <w:bottom w:val="nil"/>
              <w:right w:val="single" w:sz="4" w:space="0" w:color="auto"/>
            </w:tcBorders>
            <w:vAlign w:val="center"/>
          </w:tcPr>
          <w:p w:rsidR="00565FD5" w:rsidRPr="004F4817" w:rsidRDefault="00565FD5" w:rsidP="00AB62A3">
            <w:pPr>
              <w:ind w:right="142" w:hanging="1"/>
              <w:jc w:val="right"/>
              <w:rPr>
                <w:rFonts w:cs="Tahoma"/>
                <w:sz w:val="16"/>
                <w:szCs w:val="16"/>
              </w:rPr>
            </w:pPr>
            <w:r w:rsidRPr="004F4817">
              <w:rPr>
                <w:rFonts w:cs="Tahoma"/>
                <w:sz w:val="16"/>
                <w:szCs w:val="16"/>
              </w:rPr>
              <w:t>4 553</w:t>
            </w:r>
          </w:p>
        </w:tc>
      </w:tr>
      <w:tr w:rsidR="00565FD5" w:rsidRPr="004F4817" w:rsidTr="00AB62A3">
        <w:trPr>
          <w:trHeight w:val="227"/>
        </w:trPr>
        <w:tc>
          <w:tcPr>
            <w:tcW w:w="1888" w:type="dxa"/>
            <w:tcBorders>
              <w:top w:val="nil"/>
              <w:left w:val="single" w:sz="4" w:space="0" w:color="auto"/>
              <w:bottom w:val="nil"/>
              <w:right w:val="single" w:sz="4" w:space="0" w:color="auto"/>
            </w:tcBorders>
            <w:noWrap/>
            <w:vAlign w:val="center"/>
          </w:tcPr>
          <w:p w:rsidR="00565FD5" w:rsidRPr="004F4817" w:rsidRDefault="00565FD5" w:rsidP="00AB62A3">
            <w:pPr>
              <w:ind w:firstLine="425"/>
              <w:rPr>
                <w:rFonts w:cs="Tahoma"/>
                <w:sz w:val="16"/>
                <w:szCs w:val="16"/>
              </w:rPr>
            </w:pPr>
            <w:r w:rsidRPr="004F4817">
              <w:rPr>
                <w:rFonts w:cs="Tahoma"/>
                <w:sz w:val="16"/>
                <w:szCs w:val="16"/>
              </w:rPr>
              <w:t>Girişimci Kredileri</w:t>
            </w:r>
          </w:p>
        </w:tc>
        <w:tc>
          <w:tcPr>
            <w:tcW w:w="806" w:type="dxa"/>
            <w:tcBorders>
              <w:top w:val="nil"/>
              <w:left w:val="single" w:sz="4" w:space="0" w:color="auto"/>
              <w:bottom w:val="nil"/>
              <w:right w:val="nil"/>
            </w:tcBorders>
            <w:noWrap/>
            <w:vAlign w:val="center"/>
          </w:tcPr>
          <w:p w:rsidR="00565FD5" w:rsidRPr="004F4817" w:rsidRDefault="00565FD5" w:rsidP="00AB62A3">
            <w:pPr>
              <w:jc w:val="right"/>
              <w:rPr>
                <w:rFonts w:cs="Tahoma"/>
                <w:sz w:val="16"/>
                <w:szCs w:val="16"/>
              </w:rPr>
            </w:pPr>
            <w:r w:rsidRPr="004F4817">
              <w:rPr>
                <w:rFonts w:cs="Tahoma"/>
                <w:sz w:val="16"/>
                <w:szCs w:val="16"/>
              </w:rPr>
              <w:t>1 376</w:t>
            </w:r>
          </w:p>
        </w:tc>
        <w:tc>
          <w:tcPr>
            <w:tcW w:w="850" w:type="dxa"/>
            <w:tcBorders>
              <w:top w:val="nil"/>
              <w:left w:val="nil"/>
              <w:bottom w:val="nil"/>
              <w:right w:val="nil"/>
            </w:tcBorders>
            <w:noWrap/>
            <w:vAlign w:val="center"/>
          </w:tcPr>
          <w:p w:rsidR="00565FD5" w:rsidRPr="004F4817" w:rsidRDefault="00565FD5" w:rsidP="00AB62A3">
            <w:pPr>
              <w:jc w:val="right"/>
              <w:rPr>
                <w:rFonts w:cs="Tahoma"/>
                <w:sz w:val="16"/>
                <w:szCs w:val="16"/>
              </w:rPr>
            </w:pPr>
            <w:r w:rsidRPr="004F4817">
              <w:rPr>
                <w:rFonts w:cs="Tahoma"/>
                <w:sz w:val="16"/>
                <w:szCs w:val="16"/>
              </w:rPr>
              <w:t>6 479</w:t>
            </w:r>
          </w:p>
        </w:tc>
        <w:tc>
          <w:tcPr>
            <w:tcW w:w="851" w:type="dxa"/>
            <w:tcBorders>
              <w:top w:val="nil"/>
              <w:left w:val="nil"/>
              <w:bottom w:val="nil"/>
              <w:right w:val="nil"/>
            </w:tcBorders>
            <w:noWrap/>
            <w:vAlign w:val="center"/>
          </w:tcPr>
          <w:p w:rsidR="00565FD5" w:rsidRPr="004F4817" w:rsidRDefault="00565FD5" w:rsidP="00AB62A3">
            <w:pPr>
              <w:jc w:val="right"/>
              <w:rPr>
                <w:rFonts w:cs="Tahoma"/>
                <w:sz w:val="16"/>
                <w:szCs w:val="16"/>
              </w:rPr>
            </w:pPr>
            <w:r w:rsidRPr="004F4817">
              <w:rPr>
                <w:rFonts w:cs="Tahoma"/>
                <w:sz w:val="16"/>
                <w:szCs w:val="16"/>
              </w:rPr>
              <w:t>3 290</w:t>
            </w:r>
          </w:p>
        </w:tc>
        <w:tc>
          <w:tcPr>
            <w:tcW w:w="992" w:type="dxa"/>
            <w:tcBorders>
              <w:top w:val="nil"/>
              <w:left w:val="nil"/>
              <w:bottom w:val="nil"/>
              <w:right w:val="nil"/>
            </w:tcBorders>
            <w:vAlign w:val="center"/>
          </w:tcPr>
          <w:p w:rsidR="00565FD5" w:rsidRPr="004F4817" w:rsidRDefault="00565FD5" w:rsidP="00AB62A3">
            <w:pPr>
              <w:jc w:val="right"/>
              <w:rPr>
                <w:rFonts w:cs="Tahoma"/>
                <w:sz w:val="16"/>
                <w:szCs w:val="16"/>
              </w:rPr>
            </w:pPr>
            <w:r w:rsidRPr="004F4817">
              <w:rPr>
                <w:rFonts w:cs="Tahoma"/>
                <w:sz w:val="16"/>
                <w:szCs w:val="16"/>
              </w:rPr>
              <w:t>2 611</w:t>
            </w:r>
          </w:p>
        </w:tc>
        <w:tc>
          <w:tcPr>
            <w:tcW w:w="851" w:type="dxa"/>
            <w:tcBorders>
              <w:top w:val="nil"/>
              <w:left w:val="nil"/>
              <w:bottom w:val="nil"/>
              <w:right w:val="nil"/>
            </w:tcBorders>
            <w:vAlign w:val="center"/>
          </w:tcPr>
          <w:p w:rsidR="00565FD5" w:rsidRPr="004F4817" w:rsidRDefault="00565FD5" w:rsidP="00AB62A3">
            <w:pPr>
              <w:jc w:val="right"/>
              <w:rPr>
                <w:rFonts w:cs="Tahoma"/>
                <w:sz w:val="16"/>
                <w:szCs w:val="16"/>
              </w:rPr>
            </w:pPr>
            <w:r w:rsidRPr="004F4817">
              <w:rPr>
                <w:rFonts w:cs="Tahoma"/>
                <w:sz w:val="16"/>
                <w:szCs w:val="16"/>
              </w:rPr>
              <w:t>2 964</w:t>
            </w:r>
          </w:p>
        </w:tc>
        <w:tc>
          <w:tcPr>
            <w:tcW w:w="992" w:type="dxa"/>
            <w:gridSpan w:val="2"/>
            <w:tcBorders>
              <w:top w:val="nil"/>
              <w:left w:val="nil"/>
              <w:bottom w:val="nil"/>
              <w:right w:val="single" w:sz="4" w:space="0" w:color="auto"/>
            </w:tcBorders>
            <w:vAlign w:val="center"/>
          </w:tcPr>
          <w:p w:rsidR="00565FD5" w:rsidRPr="004F4817" w:rsidRDefault="00565FD5" w:rsidP="00AB62A3">
            <w:pPr>
              <w:ind w:right="142" w:hanging="1"/>
              <w:jc w:val="right"/>
              <w:rPr>
                <w:rFonts w:cs="Tahoma"/>
                <w:sz w:val="16"/>
                <w:szCs w:val="16"/>
              </w:rPr>
            </w:pPr>
            <w:r w:rsidRPr="004F4817">
              <w:rPr>
                <w:rFonts w:cs="Tahoma"/>
                <w:sz w:val="16"/>
                <w:szCs w:val="16"/>
              </w:rPr>
              <w:t>2 890</w:t>
            </w:r>
          </w:p>
        </w:tc>
      </w:tr>
      <w:tr w:rsidR="00565FD5" w:rsidRPr="004F4817" w:rsidTr="00AB62A3">
        <w:trPr>
          <w:trHeight w:val="227"/>
        </w:trPr>
        <w:tc>
          <w:tcPr>
            <w:tcW w:w="1888" w:type="dxa"/>
            <w:tcBorders>
              <w:top w:val="nil"/>
              <w:left w:val="single" w:sz="4" w:space="0" w:color="auto"/>
              <w:bottom w:val="nil"/>
              <w:right w:val="single" w:sz="4" w:space="0" w:color="auto"/>
            </w:tcBorders>
            <w:noWrap/>
            <w:vAlign w:val="center"/>
          </w:tcPr>
          <w:p w:rsidR="00565FD5" w:rsidRPr="004F4817" w:rsidRDefault="00565FD5" w:rsidP="00AB62A3">
            <w:pPr>
              <w:ind w:firstLine="425"/>
              <w:rPr>
                <w:rFonts w:cs="Tahoma"/>
                <w:sz w:val="16"/>
                <w:szCs w:val="16"/>
              </w:rPr>
            </w:pPr>
            <w:r w:rsidRPr="004F4817">
              <w:rPr>
                <w:rFonts w:cs="Tahoma"/>
                <w:sz w:val="16"/>
                <w:szCs w:val="16"/>
              </w:rPr>
              <w:t>Esnaf Kredisi</w:t>
            </w:r>
          </w:p>
        </w:tc>
        <w:tc>
          <w:tcPr>
            <w:tcW w:w="806" w:type="dxa"/>
            <w:tcBorders>
              <w:top w:val="nil"/>
              <w:left w:val="single" w:sz="4" w:space="0" w:color="auto"/>
              <w:bottom w:val="nil"/>
              <w:right w:val="nil"/>
            </w:tcBorders>
            <w:noWrap/>
            <w:vAlign w:val="center"/>
          </w:tcPr>
          <w:p w:rsidR="00565FD5" w:rsidRPr="004F4817" w:rsidRDefault="00565FD5" w:rsidP="00AB62A3">
            <w:pPr>
              <w:jc w:val="right"/>
              <w:rPr>
                <w:rFonts w:cs="Tahoma"/>
                <w:sz w:val="16"/>
                <w:szCs w:val="16"/>
              </w:rPr>
            </w:pPr>
            <w:r w:rsidRPr="004F4817">
              <w:rPr>
                <w:rFonts w:cs="Tahoma"/>
                <w:sz w:val="16"/>
                <w:szCs w:val="16"/>
              </w:rPr>
              <w:t>6 377</w:t>
            </w:r>
          </w:p>
        </w:tc>
        <w:tc>
          <w:tcPr>
            <w:tcW w:w="850" w:type="dxa"/>
            <w:tcBorders>
              <w:top w:val="nil"/>
              <w:left w:val="nil"/>
              <w:bottom w:val="nil"/>
              <w:right w:val="nil"/>
            </w:tcBorders>
            <w:noWrap/>
            <w:vAlign w:val="center"/>
          </w:tcPr>
          <w:p w:rsidR="00565FD5" w:rsidRPr="004F4817" w:rsidRDefault="00565FD5" w:rsidP="00AB62A3">
            <w:pPr>
              <w:jc w:val="right"/>
              <w:rPr>
                <w:rFonts w:cs="Tahoma"/>
                <w:sz w:val="16"/>
                <w:szCs w:val="16"/>
              </w:rPr>
            </w:pPr>
            <w:r w:rsidRPr="004F4817">
              <w:rPr>
                <w:rFonts w:cs="Tahoma"/>
                <w:sz w:val="16"/>
                <w:szCs w:val="16"/>
              </w:rPr>
              <w:t>2 781</w:t>
            </w:r>
          </w:p>
        </w:tc>
        <w:tc>
          <w:tcPr>
            <w:tcW w:w="851" w:type="dxa"/>
            <w:tcBorders>
              <w:top w:val="nil"/>
              <w:left w:val="nil"/>
              <w:bottom w:val="nil"/>
              <w:right w:val="nil"/>
            </w:tcBorders>
            <w:noWrap/>
            <w:vAlign w:val="center"/>
          </w:tcPr>
          <w:p w:rsidR="00565FD5" w:rsidRPr="004F4817" w:rsidRDefault="00565FD5" w:rsidP="00AB62A3">
            <w:pPr>
              <w:jc w:val="right"/>
              <w:rPr>
                <w:rFonts w:cs="Tahoma"/>
                <w:sz w:val="16"/>
                <w:szCs w:val="16"/>
              </w:rPr>
            </w:pPr>
            <w:r w:rsidRPr="004F4817">
              <w:rPr>
                <w:rFonts w:cs="Tahoma"/>
                <w:sz w:val="16"/>
                <w:szCs w:val="16"/>
              </w:rPr>
              <w:t>5 355</w:t>
            </w:r>
          </w:p>
        </w:tc>
        <w:tc>
          <w:tcPr>
            <w:tcW w:w="992" w:type="dxa"/>
            <w:tcBorders>
              <w:top w:val="nil"/>
              <w:left w:val="nil"/>
              <w:bottom w:val="nil"/>
              <w:right w:val="nil"/>
            </w:tcBorders>
            <w:vAlign w:val="center"/>
          </w:tcPr>
          <w:p w:rsidR="00565FD5" w:rsidRPr="004F4817" w:rsidRDefault="00565FD5" w:rsidP="00AB62A3">
            <w:pPr>
              <w:jc w:val="right"/>
              <w:rPr>
                <w:rFonts w:cs="Tahoma"/>
                <w:sz w:val="16"/>
                <w:szCs w:val="16"/>
              </w:rPr>
            </w:pPr>
            <w:r w:rsidRPr="004F4817">
              <w:rPr>
                <w:rFonts w:cs="Tahoma"/>
                <w:sz w:val="16"/>
                <w:szCs w:val="16"/>
              </w:rPr>
              <w:t>9 772</w:t>
            </w:r>
          </w:p>
        </w:tc>
        <w:tc>
          <w:tcPr>
            <w:tcW w:w="851" w:type="dxa"/>
            <w:tcBorders>
              <w:top w:val="nil"/>
              <w:left w:val="nil"/>
              <w:bottom w:val="nil"/>
              <w:right w:val="nil"/>
            </w:tcBorders>
            <w:vAlign w:val="center"/>
          </w:tcPr>
          <w:p w:rsidR="00565FD5" w:rsidRPr="004F4817" w:rsidRDefault="00565FD5" w:rsidP="00AB62A3">
            <w:pPr>
              <w:jc w:val="right"/>
              <w:rPr>
                <w:rFonts w:cs="Tahoma"/>
                <w:sz w:val="16"/>
                <w:szCs w:val="16"/>
              </w:rPr>
            </w:pPr>
            <w:r w:rsidRPr="004F4817">
              <w:rPr>
                <w:rFonts w:cs="Tahoma"/>
                <w:sz w:val="16"/>
                <w:szCs w:val="16"/>
              </w:rPr>
              <w:t>12 870</w:t>
            </w:r>
          </w:p>
        </w:tc>
        <w:tc>
          <w:tcPr>
            <w:tcW w:w="992" w:type="dxa"/>
            <w:gridSpan w:val="2"/>
            <w:tcBorders>
              <w:top w:val="nil"/>
              <w:left w:val="nil"/>
              <w:bottom w:val="nil"/>
              <w:right w:val="single" w:sz="4" w:space="0" w:color="auto"/>
            </w:tcBorders>
            <w:vAlign w:val="center"/>
          </w:tcPr>
          <w:p w:rsidR="00565FD5" w:rsidRPr="004F4817" w:rsidRDefault="00565FD5" w:rsidP="00AB62A3">
            <w:pPr>
              <w:ind w:right="142"/>
              <w:jc w:val="right"/>
              <w:rPr>
                <w:rFonts w:cs="Tahoma"/>
                <w:sz w:val="16"/>
                <w:szCs w:val="16"/>
              </w:rPr>
            </w:pPr>
            <w:r w:rsidRPr="004F4817">
              <w:rPr>
                <w:rFonts w:cs="Tahoma"/>
                <w:sz w:val="16"/>
                <w:szCs w:val="16"/>
              </w:rPr>
              <w:t>14 190</w:t>
            </w:r>
          </w:p>
        </w:tc>
      </w:tr>
      <w:tr w:rsidR="00565FD5" w:rsidRPr="004F4817" w:rsidTr="00AB62A3">
        <w:trPr>
          <w:trHeight w:val="227"/>
        </w:trPr>
        <w:tc>
          <w:tcPr>
            <w:tcW w:w="1888" w:type="dxa"/>
            <w:tcBorders>
              <w:top w:val="nil"/>
              <w:left w:val="single" w:sz="4" w:space="0" w:color="auto"/>
              <w:bottom w:val="single" w:sz="4" w:space="0" w:color="auto"/>
              <w:right w:val="single" w:sz="4" w:space="0" w:color="auto"/>
            </w:tcBorders>
            <w:noWrap/>
            <w:vAlign w:val="center"/>
          </w:tcPr>
          <w:p w:rsidR="00565FD5" w:rsidRPr="004F4817" w:rsidRDefault="00565FD5" w:rsidP="00AB62A3">
            <w:pPr>
              <w:ind w:firstLine="425"/>
              <w:rPr>
                <w:rFonts w:cs="Tahoma"/>
                <w:sz w:val="16"/>
                <w:szCs w:val="16"/>
              </w:rPr>
            </w:pPr>
            <w:r w:rsidRPr="004F4817">
              <w:rPr>
                <w:rFonts w:cs="Tahoma"/>
                <w:sz w:val="16"/>
                <w:szCs w:val="16"/>
              </w:rPr>
              <w:t>Toplam</w:t>
            </w:r>
          </w:p>
        </w:tc>
        <w:tc>
          <w:tcPr>
            <w:tcW w:w="806" w:type="dxa"/>
            <w:tcBorders>
              <w:top w:val="nil"/>
              <w:left w:val="single" w:sz="4" w:space="0" w:color="auto"/>
              <w:bottom w:val="single" w:sz="4" w:space="0" w:color="auto"/>
              <w:right w:val="nil"/>
            </w:tcBorders>
            <w:noWrap/>
            <w:vAlign w:val="center"/>
          </w:tcPr>
          <w:p w:rsidR="00565FD5" w:rsidRPr="004F4817" w:rsidRDefault="00565FD5" w:rsidP="00AB62A3">
            <w:pPr>
              <w:jc w:val="right"/>
              <w:rPr>
                <w:rFonts w:cs="Tahoma"/>
                <w:sz w:val="16"/>
                <w:szCs w:val="16"/>
              </w:rPr>
            </w:pPr>
            <w:r w:rsidRPr="004F4817">
              <w:rPr>
                <w:rFonts w:cs="Tahoma"/>
                <w:sz w:val="16"/>
                <w:szCs w:val="16"/>
              </w:rPr>
              <w:t>9 890</w:t>
            </w:r>
          </w:p>
        </w:tc>
        <w:tc>
          <w:tcPr>
            <w:tcW w:w="850" w:type="dxa"/>
            <w:tcBorders>
              <w:top w:val="nil"/>
              <w:left w:val="nil"/>
              <w:bottom w:val="single" w:sz="4" w:space="0" w:color="auto"/>
              <w:right w:val="nil"/>
            </w:tcBorders>
            <w:noWrap/>
            <w:vAlign w:val="center"/>
          </w:tcPr>
          <w:p w:rsidR="00565FD5" w:rsidRPr="004F4817" w:rsidRDefault="00565FD5" w:rsidP="00AB62A3">
            <w:pPr>
              <w:jc w:val="right"/>
              <w:rPr>
                <w:rFonts w:cs="Tahoma"/>
                <w:sz w:val="16"/>
                <w:szCs w:val="16"/>
              </w:rPr>
            </w:pPr>
            <w:r w:rsidRPr="004F4817">
              <w:rPr>
                <w:rFonts w:cs="Tahoma"/>
                <w:sz w:val="16"/>
                <w:szCs w:val="16"/>
              </w:rPr>
              <w:t>10 444</w:t>
            </w:r>
          </w:p>
        </w:tc>
        <w:tc>
          <w:tcPr>
            <w:tcW w:w="851" w:type="dxa"/>
            <w:tcBorders>
              <w:top w:val="nil"/>
              <w:left w:val="nil"/>
              <w:bottom w:val="single" w:sz="4" w:space="0" w:color="auto"/>
              <w:right w:val="nil"/>
            </w:tcBorders>
            <w:noWrap/>
            <w:vAlign w:val="center"/>
          </w:tcPr>
          <w:p w:rsidR="00565FD5" w:rsidRPr="004F4817" w:rsidRDefault="00565FD5" w:rsidP="00AB62A3">
            <w:pPr>
              <w:jc w:val="right"/>
              <w:rPr>
                <w:rFonts w:cs="Tahoma"/>
                <w:sz w:val="16"/>
                <w:szCs w:val="16"/>
              </w:rPr>
            </w:pPr>
            <w:r w:rsidRPr="004F4817">
              <w:rPr>
                <w:rFonts w:cs="Tahoma"/>
                <w:sz w:val="16"/>
                <w:szCs w:val="16"/>
              </w:rPr>
              <w:t>12 278</w:t>
            </w:r>
          </w:p>
        </w:tc>
        <w:tc>
          <w:tcPr>
            <w:tcW w:w="992" w:type="dxa"/>
            <w:tcBorders>
              <w:top w:val="nil"/>
              <w:left w:val="nil"/>
              <w:bottom w:val="single" w:sz="4" w:space="0" w:color="auto"/>
              <w:right w:val="nil"/>
            </w:tcBorders>
            <w:vAlign w:val="center"/>
          </w:tcPr>
          <w:p w:rsidR="00565FD5" w:rsidRPr="004F4817" w:rsidRDefault="00565FD5" w:rsidP="00AB62A3">
            <w:pPr>
              <w:jc w:val="right"/>
              <w:rPr>
                <w:rFonts w:cs="Tahoma"/>
                <w:sz w:val="16"/>
                <w:szCs w:val="16"/>
              </w:rPr>
            </w:pPr>
            <w:r w:rsidRPr="004F4817">
              <w:rPr>
                <w:rFonts w:cs="Tahoma"/>
                <w:sz w:val="16"/>
                <w:szCs w:val="16"/>
              </w:rPr>
              <w:t>15 609</w:t>
            </w:r>
          </w:p>
        </w:tc>
        <w:tc>
          <w:tcPr>
            <w:tcW w:w="851" w:type="dxa"/>
            <w:tcBorders>
              <w:top w:val="nil"/>
              <w:left w:val="nil"/>
              <w:bottom w:val="single" w:sz="4" w:space="0" w:color="auto"/>
              <w:right w:val="nil"/>
            </w:tcBorders>
            <w:vAlign w:val="center"/>
          </w:tcPr>
          <w:p w:rsidR="00565FD5" w:rsidRPr="004F4817" w:rsidRDefault="00565FD5" w:rsidP="00AB62A3">
            <w:pPr>
              <w:jc w:val="right"/>
              <w:rPr>
                <w:rFonts w:cs="Tahoma"/>
                <w:sz w:val="16"/>
                <w:szCs w:val="16"/>
              </w:rPr>
            </w:pPr>
            <w:r w:rsidRPr="004F4817">
              <w:rPr>
                <w:rFonts w:cs="Tahoma"/>
                <w:sz w:val="16"/>
                <w:szCs w:val="16"/>
              </w:rPr>
              <w:t>20 011</w:t>
            </w:r>
          </w:p>
        </w:tc>
        <w:tc>
          <w:tcPr>
            <w:tcW w:w="992" w:type="dxa"/>
            <w:gridSpan w:val="2"/>
            <w:tcBorders>
              <w:top w:val="nil"/>
              <w:left w:val="nil"/>
              <w:bottom w:val="single" w:sz="4" w:space="0" w:color="auto"/>
              <w:right w:val="single" w:sz="4" w:space="0" w:color="auto"/>
            </w:tcBorders>
            <w:vAlign w:val="center"/>
          </w:tcPr>
          <w:p w:rsidR="00565FD5" w:rsidRPr="004F4817" w:rsidRDefault="00565FD5" w:rsidP="00AB62A3">
            <w:pPr>
              <w:ind w:right="142"/>
              <w:jc w:val="right"/>
              <w:rPr>
                <w:rFonts w:cs="Tahoma"/>
                <w:sz w:val="16"/>
                <w:szCs w:val="16"/>
              </w:rPr>
            </w:pPr>
            <w:r w:rsidRPr="004F4817">
              <w:rPr>
                <w:rFonts w:cs="Tahoma"/>
                <w:sz w:val="16"/>
                <w:szCs w:val="16"/>
              </w:rPr>
              <w:t>21 633</w:t>
            </w:r>
          </w:p>
        </w:tc>
      </w:tr>
    </w:tbl>
    <w:p w:rsidR="00565FD5" w:rsidRPr="004F4817" w:rsidRDefault="00565FD5" w:rsidP="00565FD5">
      <w:pPr>
        <w:rPr>
          <w:rFonts w:cs="Tahoma"/>
          <w:sz w:val="14"/>
          <w:szCs w:val="14"/>
        </w:rPr>
      </w:pPr>
      <w:r w:rsidRPr="004F4817">
        <w:rPr>
          <w:rFonts w:cs="Tahoma"/>
          <w:sz w:val="14"/>
          <w:szCs w:val="14"/>
        </w:rPr>
        <w:t>Kaynak: Halkbank, 2012</w:t>
      </w:r>
    </w:p>
    <w:p w:rsidR="00565FD5" w:rsidRPr="004F4817" w:rsidRDefault="00565FD5" w:rsidP="00565FD5">
      <w:pPr>
        <w:spacing w:after="240"/>
        <w:rPr>
          <w:rFonts w:cs="Tahoma"/>
          <w:sz w:val="14"/>
          <w:szCs w:val="14"/>
        </w:rPr>
      </w:pPr>
      <w:r w:rsidRPr="004F4817">
        <w:rPr>
          <w:rFonts w:cs="Tahoma"/>
          <w:sz w:val="14"/>
          <w:szCs w:val="14"/>
        </w:rPr>
        <w:t xml:space="preserve">(1) 2012 yılı Haziran ayı itibarıyla </w:t>
      </w:r>
    </w:p>
    <w:p w:rsidR="00565FD5" w:rsidRPr="00C91E15" w:rsidRDefault="00565FD5" w:rsidP="00565FD5">
      <w:pPr>
        <w:spacing w:after="120"/>
        <w:ind w:firstLine="425"/>
        <w:rPr>
          <w:rFonts w:cs="Tahoma"/>
          <w:szCs w:val="18"/>
        </w:rPr>
      </w:pPr>
      <w:r w:rsidRPr="00C91E15">
        <w:rPr>
          <w:rFonts w:cs="Tahoma"/>
          <w:szCs w:val="18"/>
        </w:rPr>
        <w:t xml:space="preserve">KOBİ’lerin teminat sorununun çözümü amacıyla kurulmuş olan Kredi Garanti Fonu (KGF) A.Ş.’nin ortaklık yapısına 2009 yılı Ekim ayında 19 banka katılmış ve toplam sermayesi 60 milyon TL’den 240 milyon TL’ye yükseltilmiştir. Yeni yapılanmada TOBB, KOSGEB ve bankaların tamamı yüzde 33’er, diğer ortaklar ise yüzde 1 paya sahip olmuşlardır. Kuruluşun şube sayısı 2012 yılı Haziran ayı itibarıyla 26’ya, anlaşmalı banka ve finans kuruluşu sayısı ise ortak bankalarla birlikte 40’a ulaşmıştır. 15/07/2009 tarihli ve 2009/15197 sayılı Bakanlar Kurulu Kararıyla Hazine Müsteşarlığının kredi garanti kurumlarına 1 milyar TL’ye kadar destek sağlayabilmesine ilişkin yapılan düzenleme çerçevesinde 2010 yılı başı itibarıyla KGF tarafından Hazine destekli kefalet işlemlerine başlanmıştır. 2012 yılı Haziran ayı sonu itibarıyla toplam 637 milyon TL tutarında 3.422 kefalet verilmiştir. Toplam tutarın 381 milyon TL’lik kısmına karşılık gelen 2.518 kefalet Hazine desteklidir. </w:t>
      </w:r>
    </w:p>
    <w:p w:rsidR="00565FD5" w:rsidRPr="004F4817" w:rsidRDefault="00565FD5" w:rsidP="00565FD5">
      <w:pPr>
        <w:pStyle w:val="ResimYazs"/>
        <w:rPr>
          <w:rFonts w:cs="Tahoma"/>
        </w:rPr>
      </w:pPr>
      <w:bookmarkStart w:id="1305" w:name="_Toc244255251"/>
      <w:bookmarkStart w:id="1306" w:name="_Toc276076476"/>
      <w:bookmarkStart w:id="1307" w:name="_Toc275873934"/>
      <w:bookmarkStart w:id="1308" w:name="_Toc307601658"/>
      <w:bookmarkStart w:id="1309" w:name="_Toc307657881"/>
      <w:bookmarkStart w:id="1310" w:name="_Toc307702137"/>
      <w:bookmarkStart w:id="1311" w:name="_Toc338606001"/>
      <w:bookmarkStart w:id="1312" w:name="_Toc338711776"/>
      <w:r>
        <w:t xml:space="preserve">TABLO IV: </w:t>
      </w:r>
      <w:fldSimple w:instr=" SEQ TABLO_IV: \* ARABIC ">
        <w:r>
          <w:rPr>
            <w:noProof/>
          </w:rPr>
          <w:t>6</w:t>
        </w:r>
      </w:fldSimple>
      <w:r w:rsidRPr="004F4817">
        <w:rPr>
          <w:rFonts w:cs="Tahoma"/>
        </w:rPr>
        <w:t xml:space="preserve">- </w:t>
      </w:r>
      <w:bookmarkEnd w:id="1305"/>
      <w:r w:rsidRPr="004F4817">
        <w:rPr>
          <w:rFonts w:cs="Tahoma"/>
        </w:rPr>
        <w:t>KGF A.Ş. Tarafından Verilen Kefalet ve Yaratılan Kredi Hacmi</w:t>
      </w:r>
      <w:bookmarkEnd w:id="1306"/>
      <w:bookmarkEnd w:id="1307"/>
      <w:bookmarkEnd w:id="1308"/>
      <w:bookmarkEnd w:id="1309"/>
      <w:bookmarkEnd w:id="1310"/>
      <w:bookmarkEnd w:id="1311"/>
      <w:bookmarkEnd w:id="1312"/>
    </w:p>
    <w:p w:rsidR="00565FD5" w:rsidRPr="004F4817" w:rsidRDefault="00565FD5" w:rsidP="00565FD5">
      <w:pPr>
        <w:ind w:firstLine="425"/>
        <w:jc w:val="right"/>
        <w:rPr>
          <w:rFonts w:cs="Tahoma"/>
          <w:sz w:val="14"/>
          <w:szCs w:val="14"/>
        </w:rPr>
      </w:pPr>
      <w:r w:rsidRPr="004F4817">
        <w:rPr>
          <w:rFonts w:cs="Tahoma"/>
          <w:sz w:val="14"/>
          <w:szCs w:val="14"/>
        </w:rPr>
        <w:t>(Milyon TL)</w:t>
      </w:r>
    </w:p>
    <w:tbl>
      <w:tblPr>
        <w:tblW w:w="7144" w:type="dxa"/>
        <w:jc w:val="center"/>
        <w:tblInd w:w="5" w:type="dxa"/>
        <w:tblBorders>
          <w:top w:val="single" w:sz="4" w:space="0" w:color="auto"/>
          <w:left w:val="single" w:sz="4" w:space="0" w:color="auto"/>
          <w:bottom w:val="single" w:sz="4" w:space="0" w:color="auto"/>
          <w:right w:val="single" w:sz="4" w:space="0" w:color="auto"/>
        </w:tblBorders>
        <w:tblCellMar>
          <w:left w:w="0" w:type="dxa"/>
          <w:right w:w="0" w:type="dxa"/>
        </w:tblCellMar>
        <w:tblLook w:val="00A0"/>
      </w:tblPr>
      <w:tblGrid>
        <w:gridCol w:w="1192"/>
        <w:gridCol w:w="1823"/>
        <w:gridCol w:w="1963"/>
        <w:gridCol w:w="2166"/>
      </w:tblGrid>
      <w:tr w:rsidR="00565FD5" w:rsidRPr="00C91E15" w:rsidTr="00AB62A3">
        <w:trPr>
          <w:trHeight w:val="237"/>
          <w:jc w:val="center"/>
        </w:trPr>
        <w:tc>
          <w:tcPr>
            <w:tcW w:w="834" w:type="pct"/>
            <w:tcBorders>
              <w:top w:val="single" w:sz="4" w:space="0" w:color="auto"/>
              <w:bottom w:val="single" w:sz="4" w:space="0" w:color="auto"/>
              <w:right w:val="nil"/>
            </w:tcBorders>
            <w:vAlign w:val="center"/>
          </w:tcPr>
          <w:p w:rsidR="00565FD5" w:rsidRPr="00C91E15" w:rsidRDefault="00565FD5" w:rsidP="00AB62A3">
            <w:pPr>
              <w:ind w:firstLine="425"/>
              <w:rPr>
                <w:rFonts w:cs="Tahoma"/>
                <w:b/>
                <w:sz w:val="16"/>
                <w:szCs w:val="16"/>
              </w:rPr>
            </w:pPr>
            <w:r w:rsidRPr="00C91E15">
              <w:rPr>
                <w:rFonts w:cs="Tahoma"/>
                <w:b/>
                <w:sz w:val="16"/>
                <w:szCs w:val="16"/>
              </w:rPr>
              <w:t>Yıllar</w:t>
            </w:r>
          </w:p>
        </w:tc>
        <w:tc>
          <w:tcPr>
            <w:tcW w:w="1276" w:type="pct"/>
            <w:tcBorders>
              <w:top w:val="single" w:sz="4" w:space="0" w:color="auto"/>
              <w:left w:val="nil"/>
              <w:bottom w:val="single" w:sz="4" w:space="0" w:color="auto"/>
              <w:right w:val="nil"/>
            </w:tcBorders>
            <w:vAlign w:val="center"/>
          </w:tcPr>
          <w:p w:rsidR="00565FD5" w:rsidRPr="00C91E15" w:rsidRDefault="00565FD5" w:rsidP="00AB62A3">
            <w:pPr>
              <w:ind w:firstLine="425"/>
              <w:jc w:val="right"/>
              <w:rPr>
                <w:rFonts w:cs="Tahoma"/>
                <w:b/>
                <w:sz w:val="16"/>
                <w:szCs w:val="16"/>
              </w:rPr>
            </w:pPr>
            <w:r w:rsidRPr="00C91E15">
              <w:rPr>
                <w:rFonts w:cs="Tahoma"/>
                <w:b/>
                <w:sz w:val="16"/>
                <w:szCs w:val="16"/>
              </w:rPr>
              <w:t>Kefalet Sayısı</w:t>
            </w:r>
          </w:p>
        </w:tc>
        <w:tc>
          <w:tcPr>
            <w:tcW w:w="1374" w:type="pct"/>
            <w:tcBorders>
              <w:top w:val="single" w:sz="4" w:space="0" w:color="auto"/>
              <w:left w:val="nil"/>
              <w:bottom w:val="single" w:sz="4" w:space="0" w:color="auto"/>
              <w:right w:val="nil"/>
            </w:tcBorders>
            <w:vAlign w:val="center"/>
          </w:tcPr>
          <w:p w:rsidR="00565FD5" w:rsidRPr="00C91E15" w:rsidRDefault="00565FD5" w:rsidP="00AB62A3">
            <w:pPr>
              <w:ind w:firstLine="425"/>
              <w:jc w:val="right"/>
              <w:rPr>
                <w:rFonts w:cs="Tahoma"/>
                <w:b/>
                <w:sz w:val="16"/>
                <w:szCs w:val="16"/>
              </w:rPr>
            </w:pPr>
            <w:r w:rsidRPr="00C91E15">
              <w:rPr>
                <w:rFonts w:cs="Tahoma"/>
                <w:b/>
                <w:sz w:val="16"/>
                <w:szCs w:val="16"/>
              </w:rPr>
              <w:t>Kefalet Tutarı</w:t>
            </w:r>
          </w:p>
        </w:tc>
        <w:tc>
          <w:tcPr>
            <w:tcW w:w="1517" w:type="pct"/>
            <w:tcBorders>
              <w:top w:val="single" w:sz="4" w:space="0" w:color="auto"/>
              <w:left w:val="nil"/>
              <w:bottom w:val="single" w:sz="4" w:space="0" w:color="auto"/>
            </w:tcBorders>
            <w:vAlign w:val="center"/>
          </w:tcPr>
          <w:p w:rsidR="00565FD5" w:rsidRPr="00C91E15" w:rsidRDefault="00565FD5" w:rsidP="00AB62A3">
            <w:pPr>
              <w:ind w:right="170" w:firstLine="425"/>
              <w:jc w:val="right"/>
              <w:rPr>
                <w:rFonts w:cs="Tahoma"/>
                <w:b/>
                <w:sz w:val="16"/>
                <w:szCs w:val="16"/>
              </w:rPr>
            </w:pPr>
            <w:r w:rsidRPr="00C91E15">
              <w:rPr>
                <w:rFonts w:cs="Tahoma"/>
                <w:b/>
                <w:sz w:val="16"/>
                <w:szCs w:val="16"/>
              </w:rPr>
              <w:t>Yaratılan Kredi Hacmi</w:t>
            </w:r>
          </w:p>
        </w:tc>
      </w:tr>
      <w:tr w:rsidR="00565FD5" w:rsidRPr="00C91E15" w:rsidTr="00AB62A3">
        <w:trPr>
          <w:trHeight w:val="227"/>
          <w:jc w:val="center"/>
        </w:trPr>
        <w:tc>
          <w:tcPr>
            <w:tcW w:w="834" w:type="pct"/>
            <w:tcBorders>
              <w:top w:val="nil"/>
              <w:bottom w:val="nil"/>
              <w:right w:val="nil"/>
            </w:tcBorders>
            <w:vAlign w:val="center"/>
          </w:tcPr>
          <w:p w:rsidR="00565FD5" w:rsidRPr="00C91E15" w:rsidRDefault="00565FD5" w:rsidP="00AB62A3">
            <w:pPr>
              <w:ind w:firstLine="425"/>
              <w:rPr>
                <w:rFonts w:cs="Tahoma"/>
                <w:sz w:val="16"/>
                <w:szCs w:val="16"/>
              </w:rPr>
            </w:pPr>
            <w:r w:rsidRPr="00C91E15">
              <w:rPr>
                <w:rFonts w:cs="Tahoma"/>
                <w:sz w:val="16"/>
                <w:szCs w:val="16"/>
              </w:rPr>
              <w:t>2006</w:t>
            </w:r>
          </w:p>
        </w:tc>
        <w:tc>
          <w:tcPr>
            <w:tcW w:w="1276" w:type="pct"/>
            <w:tcBorders>
              <w:top w:val="nil"/>
              <w:left w:val="nil"/>
              <w:bottom w:val="nil"/>
              <w:right w:val="nil"/>
            </w:tcBorders>
            <w:vAlign w:val="center"/>
          </w:tcPr>
          <w:p w:rsidR="00565FD5" w:rsidRPr="00C91E15" w:rsidRDefault="00565FD5" w:rsidP="00AB62A3">
            <w:pPr>
              <w:ind w:firstLine="425"/>
              <w:jc w:val="right"/>
              <w:rPr>
                <w:rFonts w:cs="Tahoma"/>
                <w:sz w:val="16"/>
                <w:szCs w:val="16"/>
              </w:rPr>
            </w:pPr>
            <w:r w:rsidRPr="00C91E15">
              <w:rPr>
                <w:rFonts w:cs="Tahoma"/>
                <w:sz w:val="16"/>
                <w:szCs w:val="16"/>
              </w:rPr>
              <w:t>317</w:t>
            </w:r>
          </w:p>
        </w:tc>
        <w:tc>
          <w:tcPr>
            <w:tcW w:w="1374" w:type="pct"/>
            <w:tcBorders>
              <w:top w:val="nil"/>
              <w:left w:val="nil"/>
              <w:bottom w:val="nil"/>
              <w:right w:val="nil"/>
            </w:tcBorders>
            <w:vAlign w:val="center"/>
          </w:tcPr>
          <w:p w:rsidR="00565FD5" w:rsidRPr="00C91E15" w:rsidRDefault="00565FD5" w:rsidP="00AB62A3">
            <w:pPr>
              <w:ind w:right="158" w:firstLine="425"/>
              <w:jc w:val="right"/>
              <w:rPr>
                <w:rFonts w:cs="Tahoma"/>
                <w:sz w:val="16"/>
                <w:szCs w:val="16"/>
              </w:rPr>
            </w:pPr>
            <w:r w:rsidRPr="00C91E15">
              <w:rPr>
                <w:rFonts w:cs="Tahoma"/>
                <w:sz w:val="16"/>
                <w:szCs w:val="16"/>
              </w:rPr>
              <w:t>46,9</w:t>
            </w:r>
          </w:p>
        </w:tc>
        <w:tc>
          <w:tcPr>
            <w:tcW w:w="1517" w:type="pct"/>
            <w:tcBorders>
              <w:top w:val="nil"/>
              <w:left w:val="nil"/>
              <w:bottom w:val="nil"/>
            </w:tcBorders>
            <w:vAlign w:val="center"/>
          </w:tcPr>
          <w:p w:rsidR="00565FD5" w:rsidRPr="00C91E15" w:rsidRDefault="00565FD5" w:rsidP="00AB62A3">
            <w:pPr>
              <w:ind w:right="170" w:firstLine="425"/>
              <w:jc w:val="right"/>
              <w:rPr>
                <w:rFonts w:cs="Tahoma"/>
                <w:sz w:val="16"/>
                <w:szCs w:val="16"/>
              </w:rPr>
            </w:pPr>
            <w:r w:rsidRPr="00C91E15">
              <w:rPr>
                <w:rFonts w:cs="Tahoma"/>
                <w:sz w:val="16"/>
                <w:szCs w:val="16"/>
              </w:rPr>
              <w:t>74,9</w:t>
            </w:r>
          </w:p>
        </w:tc>
      </w:tr>
      <w:tr w:rsidR="00565FD5" w:rsidRPr="00C91E15" w:rsidTr="00AB62A3">
        <w:trPr>
          <w:trHeight w:val="227"/>
          <w:jc w:val="center"/>
        </w:trPr>
        <w:tc>
          <w:tcPr>
            <w:tcW w:w="834" w:type="pct"/>
            <w:tcBorders>
              <w:top w:val="nil"/>
              <w:bottom w:val="nil"/>
              <w:right w:val="nil"/>
            </w:tcBorders>
            <w:vAlign w:val="center"/>
          </w:tcPr>
          <w:p w:rsidR="00565FD5" w:rsidRPr="00C91E15" w:rsidRDefault="00565FD5" w:rsidP="00AB62A3">
            <w:pPr>
              <w:ind w:firstLine="425"/>
              <w:rPr>
                <w:rFonts w:cs="Tahoma"/>
                <w:sz w:val="16"/>
                <w:szCs w:val="16"/>
              </w:rPr>
            </w:pPr>
            <w:r w:rsidRPr="00C91E15">
              <w:rPr>
                <w:rFonts w:cs="Tahoma"/>
                <w:sz w:val="16"/>
                <w:szCs w:val="16"/>
              </w:rPr>
              <w:t>2007</w:t>
            </w:r>
          </w:p>
        </w:tc>
        <w:tc>
          <w:tcPr>
            <w:tcW w:w="1276" w:type="pct"/>
            <w:tcBorders>
              <w:top w:val="nil"/>
              <w:left w:val="nil"/>
              <w:bottom w:val="nil"/>
              <w:right w:val="nil"/>
            </w:tcBorders>
            <w:vAlign w:val="center"/>
          </w:tcPr>
          <w:p w:rsidR="00565FD5" w:rsidRPr="00C91E15" w:rsidRDefault="00565FD5" w:rsidP="00AB62A3">
            <w:pPr>
              <w:ind w:firstLine="425"/>
              <w:jc w:val="right"/>
              <w:rPr>
                <w:rFonts w:cs="Tahoma"/>
                <w:sz w:val="16"/>
                <w:szCs w:val="16"/>
              </w:rPr>
            </w:pPr>
            <w:r w:rsidRPr="00C91E15">
              <w:rPr>
                <w:rFonts w:cs="Tahoma"/>
                <w:sz w:val="16"/>
                <w:szCs w:val="16"/>
              </w:rPr>
              <w:t>305</w:t>
            </w:r>
          </w:p>
        </w:tc>
        <w:tc>
          <w:tcPr>
            <w:tcW w:w="1374" w:type="pct"/>
            <w:tcBorders>
              <w:top w:val="nil"/>
              <w:left w:val="nil"/>
              <w:bottom w:val="nil"/>
              <w:right w:val="nil"/>
            </w:tcBorders>
            <w:vAlign w:val="center"/>
          </w:tcPr>
          <w:p w:rsidR="00565FD5" w:rsidRPr="00C91E15" w:rsidRDefault="00565FD5" w:rsidP="00AB62A3">
            <w:pPr>
              <w:ind w:right="158" w:firstLine="425"/>
              <w:jc w:val="right"/>
              <w:rPr>
                <w:rFonts w:cs="Tahoma"/>
                <w:sz w:val="16"/>
                <w:szCs w:val="16"/>
              </w:rPr>
            </w:pPr>
            <w:r w:rsidRPr="00C91E15">
              <w:rPr>
                <w:rFonts w:cs="Tahoma"/>
                <w:sz w:val="16"/>
                <w:szCs w:val="16"/>
              </w:rPr>
              <w:t>53,0</w:t>
            </w:r>
          </w:p>
        </w:tc>
        <w:tc>
          <w:tcPr>
            <w:tcW w:w="1517" w:type="pct"/>
            <w:tcBorders>
              <w:top w:val="nil"/>
              <w:left w:val="nil"/>
              <w:bottom w:val="nil"/>
            </w:tcBorders>
            <w:vAlign w:val="center"/>
          </w:tcPr>
          <w:p w:rsidR="00565FD5" w:rsidRPr="00C91E15" w:rsidRDefault="00565FD5" w:rsidP="00AB62A3">
            <w:pPr>
              <w:ind w:right="170" w:firstLine="425"/>
              <w:jc w:val="right"/>
              <w:rPr>
                <w:rFonts w:cs="Tahoma"/>
                <w:sz w:val="16"/>
                <w:szCs w:val="16"/>
              </w:rPr>
            </w:pPr>
            <w:r w:rsidRPr="00C91E15">
              <w:rPr>
                <w:rFonts w:cs="Tahoma"/>
                <w:sz w:val="16"/>
                <w:szCs w:val="16"/>
              </w:rPr>
              <w:t>75,4</w:t>
            </w:r>
          </w:p>
        </w:tc>
      </w:tr>
      <w:tr w:rsidR="00565FD5" w:rsidRPr="00C91E15" w:rsidTr="00AB62A3">
        <w:trPr>
          <w:trHeight w:val="227"/>
          <w:jc w:val="center"/>
        </w:trPr>
        <w:tc>
          <w:tcPr>
            <w:tcW w:w="834" w:type="pct"/>
            <w:tcBorders>
              <w:top w:val="nil"/>
              <w:bottom w:val="nil"/>
              <w:right w:val="nil"/>
            </w:tcBorders>
            <w:vAlign w:val="center"/>
          </w:tcPr>
          <w:p w:rsidR="00565FD5" w:rsidRPr="00C91E15" w:rsidRDefault="00565FD5" w:rsidP="00AB62A3">
            <w:pPr>
              <w:ind w:firstLine="425"/>
              <w:rPr>
                <w:rFonts w:cs="Tahoma"/>
                <w:sz w:val="16"/>
                <w:szCs w:val="16"/>
              </w:rPr>
            </w:pPr>
            <w:r w:rsidRPr="00C91E15">
              <w:rPr>
                <w:rFonts w:cs="Tahoma"/>
                <w:sz w:val="16"/>
                <w:szCs w:val="16"/>
              </w:rPr>
              <w:t>2008</w:t>
            </w:r>
          </w:p>
        </w:tc>
        <w:tc>
          <w:tcPr>
            <w:tcW w:w="1276" w:type="pct"/>
            <w:tcBorders>
              <w:top w:val="nil"/>
              <w:left w:val="nil"/>
              <w:bottom w:val="nil"/>
              <w:right w:val="nil"/>
            </w:tcBorders>
            <w:vAlign w:val="center"/>
          </w:tcPr>
          <w:p w:rsidR="00565FD5" w:rsidRPr="00C91E15" w:rsidRDefault="00565FD5" w:rsidP="00AB62A3">
            <w:pPr>
              <w:ind w:firstLine="425"/>
              <w:jc w:val="right"/>
              <w:rPr>
                <w:rFonts w:cs="Tahoma"/>
                <w:sz w:val="16"/>
                <w:szCs w:val="16"/>
              </w:rPr>
            </w:pPr>
            <w:r w:rsidRPr="00C91E15">
              <w:rPr>
                <w:rFonts w:cs="Tahoma"/>
                <w:sz w:val="16"/>
                <w:szCs w:val="16"/>
              </w:rPr>
              <w:t>1 138</w:t>
            </w:r>
          </w:p>
        </w:tc>
        <w:tc>
          <w:tcPr>
            <w:tcW w:w="1374" w:type="pct"/>
            <w:tcBorders>
              <w:top w:val="nil"/>
              <w:left w:val="nil"/>
              <w:bottom w:val="nil"/>
              <w:right w:val="nil"/>
            </w:tcBorders>
            <w:vAlign w:val="center"/>
          </w:tcPr>
          <w:p w:rsidR="00565FD5" w:rsidRPr="00C91E15" w:rsidRDefault="00565FD5" w:rsidP="00AB62A3">
            <w:pPr>
              <w:ind w:right="158" w:firstLine="425"/>
              <w:jc w:val="right"/>
              <w:rPr>
                <w:rFonts w:cs="Tahoma"/>
                <w:sz w:val="16"/>
                <w:szCs w:val="16"/>
              </w:rPr>
            </w:pPr>
            <w:r w:rsidRPr="00C91E15">
              <w:rPr>
                <w:rFonts w:cs="Tahoma"/>
                <w:sz w:val="16"/>
                <w:szCs w:val="16"/>
              </w:rPr>
              <w:t>284,6</w:t>
            </w:r>
          </w:p>
        </w:tc>
        <w:tc>
          <w:tcPr>
            <w:tcW w:w="1517" w:type="pct"/>
            <w:tcBorders>
              <w:top w:val="nil"/>
              <w:left w:val="nil"/>
              <w:bottom w:val="nil"/>
            </w:tcBorders>
            <w:vAlign w:val="center"/>
          </w:tcPr>
          <w:p w:rsidR="00565FD5" w:rsidRPr="00C91E15" w:rsidRDefault="00565FD5" w:rsidP="00AB62A3">
            <w:pPr>
              <w:ind w:right="170" w:firstLine="425"/>
              <w:jc w:val="right"/>
              <w:rPr>
                <w:rFonts w:cs="Tahoma"/>
                <w:sz w:val="16"/>
                <w:szCs w:val="16"/>
              </w:rPr>
            </w:pPr>
            <w:r w:rsidRPr="00C91E15">
              <w:rPr>
                <w:rFonts w:cs="Tahoma"/>
                <w:sz w:val="16"/>
                <w:szCs w:val="16"/>
              </w:rPr>
              <w:t>402,6</w:t>
            </w:r>
          </w:p>
        </w:tc>
      </w:tr>
      <w:tr w:rsidR="00565FD5" w:rsidRPr="00C91E15" w:rsidTr="00AB62A3">
        <w:trPr>
          <w:trHeight w:val="227"/>
          <w:jc w:val="center"/>
        </w:trPr>
        <w:tc>
          <w:tcPr>
            <w:tcW w:w="834" w:type="pct"/>
            <w:tcBorders>
              <w:top w:val="nil"/>
              <w:bottom w:val="nil"/>
              <w:right w:val="nil"/>
            </w:tcBorders>
            <w:vAlign w:val="center"/>
          </w:tcPr>
          <w:p w:rsidR="00565FD5" w:rsidRPr="00C91E15" w:rsidRDefault="00565FD5" w:rsidP="00AB62A3">
            <w:pPr>
              <w:ind w:firstLine="425"/>
              <w:rPr>
                <w:rFonts w:cs="Tahoma"/>
                <w:sz w:val="16"/>
                <w:szCs w:val="16"/>
              </w:rPr>
            </w:pPr>
            <w:r w:rsidRPr="00C91E15">
              <w:rPr>
                <w:rFonts w:cs="Tahoma"/>
                <w:sz w:val="16"/>
                <w:szCs w:val="16"/>
              </w:rPr>
              <w:t>2009</w:t>
            </w:r>
          </w:p>
        </w:tc>
        <w:tc>
          <w:tcPr>
            <w:tcW w:w="1276" w:type="pct"/>
            <w:tcBorders>
              <w:top w:val="nil"/>
              <w:left w:val="nil"/>
              <w:bottom w:val="nil"/>
              <w:right w:val="nil"/>
            </w:tcBorders>
            <w:vAlign w:val="center"/>
          </w:tcPr>
          <w:p w:rsidR="00565FD5" w:rsidRPr="00C91E15" w:rsidRDefault="00565FD5" w:rsidP="00AB62A3">
            <w:pPr>
              <w:ind w:firstLine="425"/>
              <w:jc w:val="right"/>
              <w:rPr>
                <w:rFonts w:cs="Tahoma"/>
                <w:sz w:val="16"/>
                <w:szCs w:val="16"/>
              </w:rPr>
            </w:pPr>
            <w:r w:rsidRPr="00C91E15">
              <w:rPr>
                <w:rFonts w:cs="Tahoma"/>
                <w:sz w:val="16"/>
                <w:szCs w:val="16"/>
              </w:rPr>
              <w:t>2 605</w:t>
            </w:r>
          </w:p>
        </w:tc>
        <w:tc>
          <w:tcPr>
            <w:tcW w:w="1374" w:type="pct"/>
            <w:tcBorders>
              <w:top w:val="nil"/>
              <w:left w:val="nil"/>
              <w:bottom w:val="nil"/>
              <w:right w:val="nil"/>
            </w:tcBorders>
            <w:vAlign w:val="center"/>
          </w:tcPr>
          <w:p w:rsidR="00565FD5" w:rsidRPr="00C91E15" w:rsidRDefault="00565FD5" w:rsidP="00AB62A3">
            <w:pPr>
              <w:ind w:right="158" w:firstLine="425"/>
              <w:jc w:val="right"/>
              <w:rPr>
                <w:rFonts w:cs="Tahoma"/>
                <w:sz w:val="16"/>
                <w:szCs w:val="16"/>
              </w:rPr>
            </w:pPr>
            <w:r w:rsidRPr="00C91E15">
              <w:rPr>
                <w:rFonts w:cs="Tahoma"/>
                <w:sz w:val="16"/>
                <w:szCs w:val="16"/>
              </w:rPr>
              <w:t>565,4</w:t>
            </w:r>
          </w:p>
        </w:tc>
        <w:tc>
          <w:tcPr>
            <w:tcW w:w="1517" w:type="pct"/>
            <w:tcBorders>
              <w:top w:val="nil"/>
              <w:left w:val="nil"/>
              <w:bottom w:val="nil"/>
            </w:tcBorders>
            <w:vAlign w:val="center"/>
          </w:tcPr>
          <w:p w:rsidR="00565FD5" w:rsidRPr="00C91E15" w:rsidRDefault="00565FD5" w:rsidP="00AB62A3">
            <w:pPr>
              <w:ind w:right="170" w:firstLine="425"/>
              <w:jc w:val="right"/>
              <w:rPr>
                <w:rFonts w:cs="Tahoma"/>
                <w:sz w:val="16"/>
                <w:szCs w:val="16"/>
              </w:rPr>
            </w:pPr>
            <w:r w:rsidRPr="00C91E15">
              <w:rPr>
                <w:rFonts w:cs="Tahoma"/>
                <w:sz w:val="16"/>
                <w:szCs w:val="16"/>
              </w:rPr>
              <w:t>790,6</w:t>
            </w:r>
          </w:p>
        </w:tc>
      </w:tr>
      <w:tr w:rsidR="00565FD5" w:rsidRPr="00C91E15" w:rsidTr="00AB62A3">
        <w:trPr>
          <w:trHeight w:val="227"/>
          <w:jc w:val="center"/>
        </w:trPr>
        <w:tc>
          <w:tcPr>
            <w:tcW w:w="834" w:type="pct"/>
            <w:tcBorders>
              <w:top w:val="nil"/>
              <w:bottom w:val="nil"/>
              <w:right w:val="nil"/>
            </w:tcBorders>
            <w:vAlign w:val="center"/>
          </w:tcPr>
          <w:p w:rsidR="00565FD5" w:rsidRPr="00C91E15" w:rsidRDefault="00565FD5" w:rsidP="00AB62A3">
            <w:pPr>
              <w:ind w:firstLine="425"/>
              <w:rPr>
                <w:rFonts w:cs="Tahoma"/>
                <w:sz w:val="16"/>
                <w:szCs w:val="16"/>
              </w:rPr>
            </w:pPr>
            <w:r w:rsidRPr="00C91E15">
              <w:rPr>
                <w:rFonts w:cs="Tahoma"/>
                <w:sz w:val="16"/>
                <w:szCs w:val="16"/>
              </w:rPr>
              <w:t>2010</w:t>
            </w:r>
          </w:p>
        </w:tc>
        <w:tc>
          <w:tcPr>
            <w:tcW w:w="1276" w:type="pct"/>
            <w:tcBorders>
              <w:top w:val="nil"/>
              <w:left w:val="nil"/>
              <w:bottom w:val="nil"/>
              <w:right w:val="nil"/>
            </w:tcBorders>
            <w:vAlign w:val="center"/>
          </w:tcPr>
          <w:p w:rsidR="00565FD5" w:rsidRPr="00C91E15" w:rsidRDefault="00565FD5" w:rsidP="00AB62A3">
            <w:pPr>
              <w:ind w:firstLine="425"/>
              <w:jc w:val="right"/>
              <w:rPr>
                <w:rFonts w:cs="Tahoma"/>
                <w:sz w:val="16"/>
                <w:szCs w:val="16"/>
              </w:rPr>
            </w:pPr>
            <w:r w:rsidRPr="00C91E15">
              <w:rPr>
                <w:rFonts w:cs="Tahoma"/>
                <w:sz w:val="16"/>
                <w:szCs w:val="16"/>
              </w:rPr>
              <w:t>3 090</w:t>
            </w:r>
          </w:p>
        </w:tc>
        <w:tc>
          <w:tcPr>
            <w:tcW w:w="1374" w:type="pct"/>
            <w:tcBorders>
              <w:top w:val="nil"/>
              <w:left w:val="nil"/>
              <w:bottom w:val="nil"/>
              <w:right w:val="nil"/>
            </w:tcBorders>
            <w:vAlign w:val="center"/>
          </w:tcPr>
          <w:p w:rsidR="00565FD5" w:rsidRPr="00C91E15" w:rsidRDefault="00565FD5" w:rsidP="00AB62A3">
            <w:pPr>
              <w:ind w:right="158" w:firstLine="425"/>
              <w:jc w:val="right"/>
              <w:rPr>
                <w:rFonts w:cs="Tahoma"/>
                <w:sz w:val="16"/>
                <w:szCs w:val="16"/>
              </w:rPr>
            </w:pPr>
            <w:r w:rsidRPr="00C91E15">
              <w:rPr>
                <w:rFonts w:cs="Tahoma"/>
                <w:sz w:val="16"/>
                <w:szCs w:val="16"/>
              </w:rPr>
              <w:t>938,9</w:t>
            </w:r>
          </w:p>
        </w:tc>
        <w:tc>
          <w:tcPr>
            <w:tcW w:w="1517" w:type="pct"/>
            <w:tcBorders>
              <w:top w:val="nil"/>
              <w:left w:val="nil"/>
              <w:bottom w:val="nil"/>
            </w:tcBorders>
            <w:vAlign w:val="center"/>
          </w:tcPr>
          <w:p w:rsidR="00565FD5" w:rsidRPr="00C91E15" w:rsidRDefault="00565FD5" w:rsidP="00AB62A3">
            <w:pPr>
              <w:ind w:right="170" w:firstLine="425"/>
              <w:jc w:val="right"/>
              <w:rPr>
                <w:rFonts w:cs="Tahoma"/>
                <w:sz w:val="16"/>
                <w:szCs w:val="16"/>
              </w:rPr>
            </w:pPr>
            <w:r w:rsidRPr="00C91E15">
              <w:rPr>
                <w:rFonts w:cs="Tahoma"/>
                <w:sz w:val="16"/>
                <w:szCs w:val="16"/>
              </w:rPr>
              <w:t>1 302,4</w:t>
            </w:r>
          </w:p>
        </w:tc>
      </w:tr>
      <w:tr w:rsidR="00565FD5" w:rsidRPr="00C91E15" w:rsidTr="00AB62A3">
        <w:trPr>
          <w:trHeight w:val="227"/>
          <w:jc w:val="center"/>
        </w:trPr>
        <w:tc>
          <w:tcPr>
            <w:tcW w:w="834" w:type="pct"/>
            <w:tcBorders>
              <w:top w:val="nil"/>
              <w:bottom w:val="nil"/>
              <w:right w:val="nil"/>
            </w:tcBorders>
            <w:vAlign w:val="center"/>
          </w:tcPr>
          <w:p w:rsidR="00565FD5" w:rsidRPr="00C91E15" w:rsidRDefault="00565FD5" w:rsidP="00AB62A3">
            <w:pPr>
              <w:ind w:firstLine="425"/>
              <w:rPr>
                <w:rFonts w:cs="Tahoma"/>
                <w:sz w:val="16"/>
                <w:szCs w:val="16"/>
              </w:rPr>
            </w:pPr>
            <w:r w:rsidRPr="00C91E15">
              <w:rPr>
                <w:rFonts w:cs="Tahoma"/>
                <w:sz w:val="16"/>
                <w:szCs w:val="16"/>
              </w:rPr>
              <w:t>2011</w:t>
            </w:r>
          </w:p>
        </w:tc>
        <w:tc>
          <w:tcPr>
            <w:tcW w:w="1276" w:type="pct"/>
            <w:tcBorders>
              <w:top w:val="nil"/>
              <w:left w:val="nil"/>
              <w:bottom w:val="nil"/>
              <w:right w:val="nil"/>
            </w:tcBorders>
            <w:vAlign w:val="center"/>
          </w:tcPr>
          <w:p w:rsidR="00565FD5" w:rsidRPr="00C91E15" w:rsidRDefault="00565FD5" w:rsidP="00AB62A3">
            <w:pPr>
              <w:ind w:firstLine="425"/>
              <w:jc w:val="right"/>
              <w:rPr>
                <w:rFonts w:cs="Tahoma"/>
                <w:sz w:val="16"/>
                <w:szCs w:val="16"/>
              </w:rPr>
            </w:pPr>
            <w:r w:rsidRPr="00C91E15">
              <w:rPr>
                <w:rFonts w:cs="Tahoma"/>
                <w:sz w:val="16"/>
                <w:szCs w:val="16"/>
              </w:rPr>
              <w:t>3 207</w:t>
            </w:r>
          </w:p>
        </w:tc>
        <w:tc>
          <w:tcPr>
            <w:tcW w:w="1374" w:type="pct"/>
            <w:tcBorders>
              <w:top w:val="nil"/>
              <w:left w:val="nil"/>
              <w:bottom w:val="nil"/>
              <w:right w:val="nil"/>
            </w:tcBorders>
            <w:vAlign w:val="center"/>
          </w:tcPr>
          <w:p w:rsidR="00565FD5" w:rsidRPr="00C91E15" w:rsidRDefault="00565FD5" w:rsidP="00AB62A3">
            <w:pPr>
              <w:ind w:right="158" w:firstLine="425"/>
              <w:jc w:val="right"/>
              <w:rPr>
                <w:rFonts w:cs="Tahoma"/>
                <w:sz w:val="16"/>
                <w:szCs w:val="16"/>
              </w:rPr>
            </w:pPr>
            <w:r w:rsidRPr="00C91E15">
              <w:rPr>
                <w:rFonts w:cs="Tahoma"/>
                <w:sz w:val="16"/>
                <w:szCs w:val="16"/>
              </w:rPr>
              <w:t>1 123,7</w:t>
            </w:r>
          </w:p>
        </w:tc>
        <w:tc>
          <w:tcPr>
            <w:tcW w:w="1517" w:type="pct"/>
            <w:tcBorders>
              <w:top w:val="nil"/>
              <w:left w:val="nil"/>
              <w:bottom w:val="nil"/>
            </w:tcBorders>
            <w:vAlign w:val="center"/>
          </w:tcPr>
          <w:p w:rsidR="00565FD5" w:rsidRPr="00C91E15" w:rsidRDefault="00565FD5" w:rsidP="00AB62A3">
            <w:pPr>
              <w:ind w:right="170" w:firstLine="425"/>
              <w:jc w:val="right"/>
              <w:rPr>
                <w:rFonts w:cs="Tahoma"/>
                <w:sz w:val="16"/>
                <w:szCs w:val="16"/>
              </w:rPr>
            </w:pPr>
            <w:r w:rsidRPr="00C91E15">
              <w:rPr>
                <w:rFonts w:cs="Tahoma"/>
                <w:sz w:val="16"/>
                <w:szCs w:val="16"/>
              </w:rPr>
              <w:t>1 622,2</w:t>
            </w:r>
          </w:p>
        </w:tc>
      </w:tr>
      <w:tr w:rsidR="00565FD5" w:rsidRPr="00C91E15" w:rsidTr="00AB62A3">
        <w:trPr>
          <w:trHeight w:val="227"/>
          <w:jc w:val="center"/>
        </w:trPr>
        <w:tc>
          <w:tcPr>
            <w:tcW w:w="834" w:type="pct"/>
            <w:tcBorders>
              <w:top w:val="nil"/>
              <w:bottom w:val="single" w:sz="4" w:space="0" w:color="auto"/>
              <w:right w:val="nil"/>
            </w:tcBorders>
            <w:vAlign w:val="center"/>
          </w:tcPr>
          <w:p w:rsidR="00565FD5" w:rsidRPr="00C91E15" w:rsidRDefault="00565FD5" w:rsidP="00AB62A3">
            <w:pPr>
              <w:ind w:firstLine="425"/>
              <w:rPr>
                <w:rFonts w:cs="Tahoma"/>
                <w:sz w:val="16"/>
                <w:szCs w:val="16"/>
              </w:rPr>
            </w:pPr>
            <w:r w:rsidRPr="00C91E15">
              <w:rPr>
                <w:rFonts w:cs="Tahoma"/>
                <w:sz w:val="16"/>
                <w:szCs w:val="16"/>
              </w:rPr>
              <w:lastRenderedPageBreak/>
              <w:t>2012(1)</w:t>
            </w:r>
          </w:p>
        </w:tc>
        <w:tc>
          <w:tcPr>
            <w:tcW w:w="1276" w:type="pct"/>
            <w:tcBorders>
              <w:top w:val="nil"/>
              <w:left w:val="nil"/>
              <w:bottom w:val="single" w:sz="4" w:space="0" w:color="auto"/>
              <w:right w:val="nil"/>
            </w:tcBorders>
            <w:vAlign w:val="center"/>
          </w:tcPr>
          <w:p w:rsidR="00565FD5" w:rsidRPr="00C91E15" w:rsidRDefault="00565FD5" w:rsidP="00AB62A3">
            <w:pPr>
              <w:ind w:firstLine="425"/>
              <w:jc w:val="right"/>
              <w:rPr>
                <w:rFonts w:cs="Tahoma"/>
                <w:sz w:val="16"/>
                <w:szCs w:val="16"/>
              </w:rPr>
            </w:pPr>
            <w:r w:rsidRPr="00C91E15">
              <w:rPr>
                <w:rFonts w:cs="Tahoma"/>
                <w:sz w:val="16"/>
                <w:szCs w:val="16"/>
              </w:rPr>
              <w:t>3 422</w:t>
            </w:r>
          </w:p>
        </w:tc>
        <w:tc>
          <w:tcPr>
            <w:tcW w:w="1374" w:type="pct"/>
            <w:tcBorders>
              <w:top w:val="nil"/>
              <w:left w:val="nil"/>
              <w:bottom w:val="single" w:sz="4" w:space="0" w:color="auto"/>
              <w:right w:val="nil"/>
            </w:tcBorders>
            <w:vAlign w:val="center"/>
          </w:tcPr>
          <w:p w:rsidR="00565FD5" w:rsidRPr="00C91E15" w:rsidRDefault="00565FD5" w:rsidP="00AB62A3">
            <w:pPr>
              <w:ind w:right="158" w:firstLine="425"/>
              <w:jc w:val="right"/>
              <w:rPr>
                <w:rFonts w:cs="Tahoma"/>
                <w:sz w:val="16"/>
                <w:szCs w:val="16"/>
              </w:rPr>
            </w:pPr>
            <w:r w:rsidRPr="00C91E15">
              <w:rPr>
                <w:rFonts w:cs="Tahoma"/>
                <w:sz w:val="16"/>
                <w:szCs w:val="16"/>
              </w:rPr>
              <w:t>637,4</w:t>
            </w:r>
          </w:p>
        </w:tc>
        <w:tc>
          <w:tcPr>
            <w:tcW w:w="1517" w:type="pct"/>
            <w:tcBorders>
              <w:top w:val="nil"/>
              <w:left w:val="nil"/>
              <w:bottom w:val="single" w:sz="4" w:space="0" w:color="auto"/>
            </w:tcBorders>
            <w:vAlign w:val="center"/>
          </w:tcPr>
          <w:p w:rsidR="00565FD5" w:rsidRPr="00C91E15" w:rsidRDefault="00565FD5" w:rsidP="00AB62A3">
            <w:pPr>
              <w:ind w:right="170" w:firstLine="425"/>
              <w:jc w:val="right"/>
              <w:rPr>
                <w:rFonts w:cs="Tahoma"/>
                <w:sz w:val="16"/>
                <w:szCs w:val="16"/>
              </w:rPr>
            </w:pPr>
            <w:r w:rsidRPr="00C91E15">
              <w:rPr>
                <w:rFonts w:cs="Tahoma"/>
                <w:sz w:val="16"/>
                <w:szCs w:val="16"/>
              </w:rPr>
              <w:t>880,5</w:t>
            </w:r>
          </w:p>
        </w:tc>
      </w:tr>
    </w:tbl>
    <w:p w:rsidR="00565FD5" w:rsidRPr="004F4817" w:rsidRDefault="00565FD5" w:rsidP="00565FD5">
      <w:pPr>
        <w:rPr>
          <w:rFonts w:cs="Tahoma"/>
          <w:sz w:val="14"/>
          <w:szCs w:val="14"/>
        </w:rPr>
      </w:pPr>
      <w:r w:rsidRPr="004F4817">
        <w:rPr>
          <w:rFonts w:cs="Tahoma"/>
          <w:sz w:val="14"/>
          <w:szCs w:val="14"/>
        </w:rPr>
        <w:t xml:space="preserve">Kaynak: KGF A.Ş. </w:t>
      </w:r>
    </w:p>
    <w:p w:rsidR="00565FD5" w:rsidRPr="004F4817" w:rsidRDefault="00565FD5" w:rsidP="00565FD5">
      <w:pPr>
        <w:spacing w:after="240"/>
        <w:rPr>
          <w:rFonts w:cs="Tahoma"/>
          <w:sz w:val="14"/>
          <w:szCs w:val="14"/>
        </w:rPr>
      </w:pPr>
      <w:r w:rsidRPr="004F4817">
        <w:rPr>
          <w:rFonts w:cs="Tahoma"/>
          <w:sz w:val="14"/>
          <w:szCs w:val="14"/>
        </w:rPr>
        <w:t>(1) 2012 yılı Haziran ayı itibarıyla</w:t>
      </w:r>
    </w:p>
    <w:p w:rsidR="00565FD5" w:rsidRPr="00C91E15" w:rsidRDefault="00565FD5" w:rsidP="00565FD5">
      <w:pPr>
        <w:spacing w:after="180"/>
        <w:ind w:firstLine="425"/>
        <w:rPr>
          <w:rFonts w:cs="Tahoma"/>
          <w:szCs w:val="18"/>
        </w:rPr>
      </w:pPr>
      <w:r w:rsidRPr="00C91E15" w:rsidDel="00C55CBA">
        <w:rPr>
          <w:rFonts w:cs="Tahoma"/>
          <w:szCs w:val="18"/>
        </w:rPr>
        <w:t xml:space="preserve">İşletmelerin </w:t>
      </w:r>
      <w:r w:rsidRPr="00C91E15">
        <w:rPr>
          <w:rFonts w:cs="Tahoma"/>
          <w:szCs w:val="18"/>
        </w:rPr>
        <w:t xml:space="preserve">rekabet gücünün artırılmasında başarılı bir yöntem olan kümelenme yaklaşımı son yıllarda oldukça yaygınlaşmıştır. Bu kapsamda Ekonomi Bakanlığı, Bilim, Sanayi ve Teknoloji Bakanlığı, KOSGEB ve Kalkınma Ajansları tarafından çeşitli proje ve destek programları yürütülmektedir. Bilim, Sanayi ve Teknoloji Bakanlığı mevzuatında kümelenmeye ilişkin gerekli değişiklikler yapılarak Kümelenme Destek Programı hazırlanmıştır. </w:t>
      </w:r>
    </w:p>
    <w:p w:rsidR="00565FD5" w:rsidRPr="004F4817" w:rsidRDefault="00565FD5" w:rsidP="00565FD5">
      <w:pPr>
        <w:pStyle w:val="ResimYazs"/>
        <w:rPr>
          <w:rFonts w:cs="Tahoma"/>
        </w:rPr>
      </w:pPr>
      <w:bookmarkStart w:id="1313" w:name="_Toc276076477"/>
      <w:bookmarkStart w:id="1314" w:name="_Toc275873935"/>
      <w:bookmarkStart w:id="1315" w:name="_Toc244255252"/>
      <w:bookmarkStart w:id="1316" w:name="_Toc307601659"/>
      <w:bookmarkStart w:id="1317" w:name="_Toc307657882"/>
      <w:bookmarkStart w:id="1318" w:name="_Toc307702138"/>
      <w:bookmarkStart w:id="1319" w:name="_Toc338606002"/>
      <w:bookmarkStart w:id="1320" w:name="_Toc338711777"/>
      <w:r>
        <w:t xml:space="preserve">TABLO IV: </w:t>
      </w:r>
      <w:fldSimple w:instr=" SEQ TABLO_IV: \* ARABIC ">
        <w:r>
          <w:rPr>
            <w:noProof/>
          </w:rPr>
          <w:t>7</w:t>
        </w:r>
      </w:fldSimple>
      <w:r w:rsidRPr="004F4817">
        <w:rPr>
          <w:rFonts w:cs="Tahoma"/>
        </w:rPr>
        <w:t>- Yıllar İtibarıyla Faaliyete Geçen ve Faaliyeti Sona Eren Esnaf ve Sanatkâr Sayısı</w:t>
      </w:r>
      <w:bookmarkEnd w:id="1313"/>
      <w:bookmarkEnd w:id="1314"/>
      <w:bookmarkEnd w:id="1315"/>
      <w:bookmarkEnd w:id="1316"/>
      <w:bookmarkEnd w:id="1317"/>
      <w:bookmarkEnd w:id="1318"/>
      <w:bookmarkEnd w:id="1319"/>
      <w:bookmarkEnd w:id="1320"/>
    </w:p>
    <w:tbl>
      <w:tblPr>
        <w:tblW w:w="7144" w:type="dxa"/>
        <w:tblInd w:w="70" w:type="dxa"/>
        <w:tblBorders>
          <w:top w:val="single" w:sz="4" w:space="0" w:color="auto"/>
          <w:bottom w:val="single" w:sz="4" w:space="0" w:color="auto"/>
        </w:tblBorders>
        <w:tblCellMar>
          <w:left w:w="70" w:type="dxa"/>
          <w:right w:w="70" w:type="dxa"/>
        </w:tblCellMar>
        <w:tblLook w:val="00A0"/>
      </w:tblPr>
      <w:tblGrid>
        <w:gridCol w:w="1286"/>
        <w:gridCol w:w="2789"/>
        <w:gridCol w:w="3069"/>
      </w:tblGrid>
      <w:tr w:rsidR="00565FD5" w:rsidRPr="004F4817" w:rsidTr="00AB62A3">
        <w:trPr>
          <w:trHeight w:val="20"/>
        </w:trPr>
        <w:tc>
          <w:tcPr>
            <w:tcW w:w="900" w:type="pct"/>
            <w:tcBorders>
              <w:top w:val="single" w:sz="4" w:space="0" w:color="auto"/>
              <w:left w:val="single" w:sz="4" w:space="0" w:color="auto"/>
              <w:bottom w:val="single" w:sz="4" w:space="0" w:color="auto"/>
              <w:right w:val="nil"/>
            </w:tcBorders>
            <w:vAlign w:val="center"/>
          </w:tcPr>
          <w:p w:rsidR="00565FD5" w:rsidRPr="004F4817" w:rsidRDefault="00565FD5" w:rsidP="00AB62A3">
            <w:pPr>
              <w:ind w:firstLine="425"/>
              <w:rPr>
                <w:rFonts w:cs="Tahoma"/>
                <w:b/>
                <w:sz w:val="16"/>
                <w:szCs w:val="16"/>
              </w:rPr>
            </w:pPr>
            <w:r w:rsidRPr="004F4817">
              <w:rPr>
                <w:rFonts w:cs="Tahoma"/>
                <w:b/>
                <w:sz w:val="16"/>
                <w:szCs w:val="16"/>
              </w:rPr>
              <w:t>Yıllar</w:t>
            </w:r>
          </w:p>
        </w:tc>
        <w:tc>
          <w:tcPr>
            <w:tcW w:w="1952" w:type="pct"/>
            <w:tcBorders>
              <w:top w:val="single" w:sz="4" w:space="0" w:color="auto"/>
              <w:left w:val="nil"/>
              <w:bottom w:val="single" w:sz="4" w:space="0" w:color="auto"/>
              <w:right w:val="nil"/>
            </w:tcBorders>
            <w:vAlign w:val="center"/>
          </w:tcPr>
          <w:p w:rsidR="00565FD5" w:rsidRPr="004F4817" w:rsidRDefault="00565FD5" w:rsidP="00AB62A3">
            <w:pPr>
              <w:ind w:firstLine="425"/>
              <w:jc w:val="right"/>
              <w:rPr>
                <w:rFonts w:cs="Tahoma"/>
                <w:b/>
                <w:sz w:val="16"/>
                <w:szCs w:val="16"/>
              </w:rPr>
            </w:pPr>
            <w:r w:rsidRPr="004F4817">
              <w:rPr>
                <w:rFonts w:cs="Tahoma"/>
                <w:b/>
                <w:sz w:val="16"/>
                <w:szCs w:val="16"/>
              </w:rPr>
              <w:t xml:space="preserve">Faaliyete Geçen Esnaf </w:t>
            </w:r>
          </w:p>
          <w:p w:rsidR="00565FD5" w:rsidRPr="004F4817" w:rsidRDefault="00565FD5" w:rsidP="00AB62A3">
            <w:pPr>
              <w:ind w:firstLine="425"/>
              <w:jc w:val="right"/>
              <w:rPr>
                <w:rFonts w:cs="Tahoma"/>
                <w:b/>
                <w:sz w:val="16"/>
                <w:szCs w:val="16"/>
              </w:rPr>
            </w:pPr>
            <w:r w:rsidRPr="004F4817">
              <w:rPr>
                <w:rFonts w:cs="Tahoma"/>
                <w:b/>
                <w:sz w:val="16"/>
                <w:szCs w:val="16"/>
              </w:rPr>
              <w:t>ve Sanatkâr Sayısı</w:t>
            </w:r>
          </w:p>
        </w:tc>
        <w:tc>
          <w:tcPr>
            <w:tcW w:w="2148" w:type="pct"/>
            <w:tcBorders>
              <w:top w:val="single" w:sz="4" w:space="0" w:color="auto"/>
              <w:left w:val="nil"/>
              <w:bottom w:val="single" w:sz="4" w:space="0" w:color="auto"/>
              <w:right w:val="single" w:sz="4" w:space="0" w:color="auto"/>
            </w:tcBorders>
            <w:vAlign w:val="center"/>
          </w:tcPr>
          <w:p w:rsidR="00565FD5" w:rsidRPr="004F4817" w:rsidRDefault="00565FD5" w:rsidP="00AB62A3">
            <w:pPr>
              <w:ind w:firstLine="425"/>
              <w:jc w:val="right"/>
              <w:rPr>
                <w:rFonts w:cs="Tahoma"/>
                <w:b/>
                <w:sz w:val="16"/>
                <w:szCs w:val="16"/>
              </w:rPr>
            </w:pPr>
            <w:r w:rsidRPr="004F4817">
              <w:rPr>
                <w:rFonts w:cs="Tahoma"/>
                <w:b/>
                <w:sz w:val="16"/>
                <w:szCs w:val="16"/>
              </w:rPr>
              <w:t xml:space="preserve">Faaliyeti Sona Eren Esnaf </w:t>
            </w:r>
          </w:p>
          <w:p w:rsidR="00565FD5" w:rsidRPr="004F4817" w:rsidRDefault="00565FD5" w:rsidP="00AB62A3">
            <w:pPr>
              <w:ind w:firstLine="425"/>
              <w:jc w:val="right"/>
              <w:rPr>
                <w:rFonts w:cs="Tahoma"/>
                <w:b/>
                <w:sz w:val="16"/>
                <w:szCs w:val="16"/>
              </w:rPr>
            </w:pPr>
            <w:r w:rsidRPr="004F4817">
              <w:rPr>
                <w:rFonts w:cs="Tahoma"/>
                <w:b/>
                <w:sz w:val="16"/>
                <w:szCs w:val="16"/>
              </w:rPr>
              <w:t>ve Sanatkâr Sayısı</w:t>
            </w:r>
          </w:p>
        </w:tc>
      </w:tr>
      <w:tr w:rsidR="00565FD5" w:rsidRPr="004F4817" w:rsidTr="00AB62A3">
        <w:trPr>
          <w:trHeight w:val="227"/>
        </w:trPr>
        <w:tc>
          <w:tcPr>
            <w:tcW w:w="900" w:type="pct"/>
            <w:tcBorders>
              <w:top w:val="single" w:sz="4" w:space="0" w:color="auto"/>
              <w:left w:val="single" w:sz="4" w:space="0" w:color="auto"/>
              <w:bottom w:val="nil"/>
              <w:right w:val="nil"/>
            </w:tcBorders>
            <w:noWrap/>
            <w:vAlign w:val="center"/>
          </w:tcPr>
          <w:p w:rsidR="00565FD5" w:rsidRPr="004F4817" w:rsidRDefault="00565FD5" w:rsidP="00AB62A3">
            <w:pPr>
              <w:ind w:firstLine="425"/>
              <w:rPr>
                <w:rFonts w:cs="Tahoma"/>
                <w:sz w:val="16"/>
                <w:szCs w:val="16"/>
              </w:rPr>
            </w:pPr>
            <w:r w:rsidRPr="004F4817">
              <w:rPr>
                <w:rFonts w:cs="Tahoma"/>
                <w:sz w:val="16"/>
                <w:szCs w:val="16"/>
              </w:rPr>
              <w:t>2006</w:t>
            </w:r>
          </w:p>
        </w:tc>
        <w:tc>
          <w:tcPr>
            <w:tcW w:w="1952" w:type="pct"/>
            <w:tcBorders>
              <w:top w:val="single" w:sz="4" w:space="0" w:color="auto"/>
              <w:left w:val="nil"/>
              <w:bottom w:val="nil"/>
              <w:right w:val="nil"/>
            </w:tcBorders>
            <w:noWrap/>
            <w:vAlign w:val="center"/>
          </w:tcPr>
          <w:p w:rsidR="00565FD5" w:rsidRPr="004F4817" w:rsidRDefault="00565FD5" w:rsidP="00AB62A3">
            <w:pPr>
              <w:ind w:firstLine="425"/>
              <w:jc w:val="center"/>
              <w:rPr>
                <w:rFonts w:cs="Tahoma"/>
                <w:b/>
                <w:bCs/>
                <w:noProof/>
                <w:sz w:val="16"/>
                <w:szCs w:val="16"/>
                <w:lang w:val="en-US"/>
              </w:rPr>
            </w:pPr>
            <w:r w:rsidRPr="004F4817">
              <w:rPr>
                <w:rFonts w:cs="Tahoma"/>
                <w:sz w:val="16"/>
                <w:szCs w:val="16"/>
              </w:rPr>
              <w:t>249 265</w:t>
            </w:r>
          </w:p>
        </w:tc>
        <w:tc>
          <w:tcPr>
            <w:tcW w:w="2148" w:type="pct"/>
            <w:tcBorders>
              <w:top w:val="single" w:sz="4" w:space="0" w:color="auto"/>
              <w:left w:val="nil"/>
              <w:bottom w:val="nil"/>
              <w:right w:val="single" w:sz="4" w:space="0" w:color="auto"/>
            </w:tcBorders>
            <w:noWrap/>
            <w:vAlign w:val="center"/>
          </w:tcPr>
          <w:p w:rsidR="00565FD5" w:rsidRPr="004F4817" w:rsidRDefault="00565FD5" w:rsidP="00AB62A3">
            <w:pPr>
              <w:ind w:firstLine="425"/>
              <w:jc w:val="center"/>
              <w:rPr>
                <w:rFonts w:cs="Tahoma"/>
                <w:b/>
                <w:bCs/>
                <w:noProof/>
                <w:sz w:val="16"/>
                <w:szCs w:val="16"/>
                <w:lang w:val="en-US"/>
              </w:rPr>
            </w:pPr>
            <w:r w:rsidRPr="004F4817">
              <w:rPr>
                <w:rFonts w:cs="Tahoma"/>
                <w:sz w:val="16"/>
                <w:szCs w:val="16"/>
              </w:rPr>
              <w:t>105 817</w:t>
            </w:r>
          </w:p>
        </w:tc>
      </w:tr>
      <w:tr w:rsidR="00565FD5" w:rsidRPr="004F4817" w:rsidTr="00AB62A3">
        <w:trPr>
          <w:trHeight w:val="227"/>
        </w:trPr>
        <w:tc>
          <w:tcPr>
            <w:tcW w:w="900" w:type="pct"/>
            <w:tcBorders>
              <w:top w:val="nil"/>
              <w:left w:val="single" w:sz="4" w:space="0" w:color="auto"/>
              <w:bottom w:val="nil"/>
              <w:right w:val="nil"/>
            </w:tcBorders>
            <w:noWrap/>
            <w:vAlign w:val="center"/>
          </w:tcPr>
          <w:p w:rsidR="00565FD5" w:rsidRPr="004F4817" w:rsidRDefault="00565FD5" w:rsidP="00AB62A3">
            <w:pPr>
              <w:ind w:firstLine="425"/>
              <w:rPr>
                <w:rFonts w:cs="Tahoma"/>
                <w:sz w:val="16"/>
                <w:szCs w:val="16"/>
              </w:rPr>
            </w:pPr>
            <w:r w:rsidRPr="004F4817">
              <w:rPr>
                <w:rFonts w:cs="Tahoma"/>
                <w:sz w:val="16"/>
                <w:szCs w:val="16"/>
              </w:rPr>
              <w:t>2007</w:t>
            </w:r>
          </w:p>
        </w:tc>
        <w:tc>
          <w:tcPr>
            <w:tcW w:w="1952" w:type="pct"/>
            <w:tcBorders>
              <w:top w:val="nil"/>
              <w:left w:val="nil"/>
              <w:bottom w:val="nil"/>
              <w:right w:val="nil"/>
            </w:tcBorders>
            <w:noWrap/>
            <w:vAlign w:val="center"/>
          </w:tcPr>
          <w:p w:rsidR="00565FD5" w:rsidRPr="004F4817" w:rsidRDefault="00565FD5" w:rsidP="00AB62A3">
            <w:pPr>
              <w:ind w:firstLine="425"/>
              <w:jc w:val="center"/>
              <w:rPr>
                <w:rFonts w:cs="Tahoma"/>
                <w:b/>
                <w:bCs/>
                <w:noProof/>
                <w:sz w:val="16"/>
                <w:szCs w:val="16"/>
                <w:lang w:val="en-US"/>
              </w:rPr>
            </w:pPr>
            <w:r w:rsidRPr="004F4817">
              <w:rPr>
                <w:rFonts w:cs="Tahoma"/>
                <w:sz w:val="16"/>
                <w:szCs w:val="16"/>
              </w:rPr>
              <w:t>170 754</w:t>
            </w:r>
          </w:p>
        </w:tc>
        <w:tc>
          <w:tcPr>
            <w:tcW w:w="2148" w:type="pct"/>
            <w:tcBorders>
              <w:top w:val="nil"/>
              <w:left w:val="nil"/>
              <w:bottom w:val="nil"/>
              <w:right w:val="single" w:sz="4" w:space="0" w:color="auto"/>
            </w:tcBorders>
            <w:noWrap/>
            <w:vAlign w:val="center"/>
          </w:tcPr>
          <w:p w:rsidR="00565FD5" w:rsidRPr="004F4817" w:rsidRDefault="00565FD5" w:rsidP="00AB62A3">
            <w:pPr>
              <w:ind w:firstLine="425"/>
              <w:jc w:val="center"/>
              <w:rPr>
                <w:rFonts w:cs="Tahoma"/>
                <w:b/>
                <w:bCs/>
                <w:noProof/>
                <w:sz w:val="16"/>
                <w:szCs w:val="16"/>
                <w:lang w:val="en-US"/>
              </w:rPr>
            </w:pPr>
            <w:r w:rsidRPr="004F4817">
              <w:rPr>
                <w:rFonts w:cs="Tahoma"/>
                <w:sz w:val="16"/>
                <w:szCs w:val="16"/>
              </w:rPr>
              <w:t>130 356</w:t>
            </w:r>
          </w:p>
        </w:tc>
      </w:tr>
      <w:tr w:rsidR="00565FD5" w:rsidRPr="004F4817" w:rsidTr="00AB62A3">
        <w:trPr>
          <w:trHeight w:val="227"/>
        </w:trPr>
        <w:tc>
          <w:tcPr>
            <w:tcW w:w="900" w:type="pct"/>
            <w:tcBorders>
              <w:top w:val="nil"/>
              <w:left w:val="single" w:sz="4" w:space="0" w:color="auto"/>
              <w:bottom w:val="nil"/>
              <w:right w:val="nil"/>
            </w:tcBorders>
            <w:noWrap/>
            <w:vAlign w:val="center"/>
          </w:tcPr>
          <w:p w:rsidR="00565FD5" w:rsidRPr="004F4817" w:rsidRDefault="00565FD5" w:rsidP="00AB62A3">
            <w:pPr>
              <w:ind w:firstLine="425"/>
              <w:rPr>
                <w:rFonts w:cs="Tahoma"/>
                <w:sz w:val="16"/>
                <w:szCs w:val="16"/>
              </w:rPr>
            </w:pPr>
            <w:r w:rsidRPr="004F4817">
              <w:rPr>
                <w:rFonts w:cs="Tahoma"/>
                <w:sz w:val="16"/>
                <w:szCs w:val="16"/>
              </w:rPr>
              <w:t>2008</w:t>
            </w:r>
          </w:p>
        </w:tc>
        <w:tc>
          <w:tcPr>
            <w:tcW w:w="1952" w:type="pct"/>
            <w:tcBorders>
              <w:top w:val="nil"/>
              <w:left w:val="nil"/>
              <w:bottom w:val="nil"/>
              <w:right w:val="nil"/>
            </w:tcBorders>
            <w:noWrap/>
            <w:vAlign w:val="center"/>
          </w:tcPr>
          <w:p w:rsidR="00565FD5" w:rsidRPr="004F4817" w:rsidRDefault="00565FD5" w:rsidP="00AB62A3">
            <w:pPr>
              <w:ind w:firstLine="425"/>
              <w:jc w:val="center"/>
              <w:rPr>
                <w:rFonts w:cs="Tahoma"/>
                <w:b/>
                <w:bCs/>
                <w:noProof/>
                <w:sz w:val="16"/>
                <w:szCs w:val="16"/>
                <w:lang w:val="en-US"/>
              </w:rPr>
            </w:pPr>
            <w:r w:rsidRPr="004F4817">
              <w:rPr>
                <w:rFonts w:cs="Tahoma"/>
                <w:sz w:val="16"/>
                <w:szCs w:val="16"/>
              </w:rPr>
              <w:t>167 778</w:t>
            </w:r>
          </w:p>
        </w:tc>
        <w:tc>
          <w:tcPr>
            <w:tcW w:w="2148" w:type="pct"/>
            <w:tcBorders>
              <w:top w:val="nil"/>
              <w:left w:val="nil"/>
              <w:bottom w:val="nil"/>
              <w:right w:val="single" w:sz="4" w:space="0" w:color="auto"/>
            </w:tcBorders>
            <w:noWrap/>
            <w:vAlign w:val="center"/>
          </w:tcPr>
          <w:p w:rsidR="00565FD5" w:rsidRPr="004F4817" w:rsidRDefault="00565FD5" w:rsidP="00AB62A3">
            <w:pPr>
              <w:ind w:firstLine="425"/>
              <w:jc w:val="center"/>
              <w:rPr>
                <w:rFonts w:cs="Tahoma"/>
                <w:b/>
                <w:bCs/>
                <w:noProof/>
                <w:sz w:val="16"/>
                <w:szCs w:val="16"/>
                <w:lang w:val="en-US"/>
              </w:rPr>
            </w:pPr>
            <w:r w:rsidRPr="004F4817">
              <w:rPr>
                <w:rFonts w:cs="Tahoma"/>
                <w:sz w:val="16"/>
                <w:szCs w:val="16"/>
              </w:rPr>
              <w:t>129 004</w:t>
            </w:r>
          </w:p>
        </w:tc>
      </w:tr>
      <w:tr w:rsidR="00565FD5" w:rsidRPr="004F4817" w:rsidTr="00AB62A3">
        <w:trPr>
          <w:trHeight w:val="227"/>
        </w:trPr>
        <w:tc>
          <w:tcPr>
            <w:tcW w:w="900" w:type="pct"/>
            <w:tcBorders>
              <w:top w:val="nil"/>
              <w:left w:val="single" w:sz="4" w:space="0" w:color="auto"/>
              <w:bottom w:val="nil"/>
              <w:right w:val="nil"/>
            </w:tcBorders>
            <w:noWrap/>
            <w:vAlign w:val="center"/>
          </w:tcPr>
          <w:p w:rsidR="00565FD5" w:rsidRPr="004F4817" w:rsidRDefault="00565FD5" w:rsidP="00AB62A3">
            <w:pPr>
              <w:ind w:firstLine="425"/>
              <w:rPr>
                <w:rFonts w:cs="Tahoma"/>
                <w:sz w:val="16"/>
                <w:szCs w:val="16"/>
              </w:rPr>
            </w:pPr>
            <w:r w:rsidRPr="004F4817">
              <w:rPr>
                <w:rFonts w:cs="Tahoma"/>
                <w:sz w:val="16"/>
                <w:szCs w:val="16"/>
              </w:rPr>
              <w:t>2009</w:t>
            </w:r>
          </w:p>
        </w:tc>
        <w:tc>
          <w:tcPr>
            <w:tcW w:w="1952" w:type="pct"/>
            <w:tcBorders>
              <w:top w:val="nil"/>
              <w:left w:val="nil"/>
              <w:bottom w:val="nil"/>
              <w:right w:val="nil"/>
            </w:tcBorders>
            <w:noWrap/>
            <w:vAlign w:val="center"/>
          </w:tcPr>
          <w:p w:rsidR="00565FD5" w:rsidRPr="004F4817" w:rsidRDefault="00565FD5" w:rsidP="00AB62A3">
            <w:pPr>
              <w:ind w:firstLine="425"/>
              <w:jc w:val="center"/>
              <w:rPr>
                <w:rFonts w:cs="Tahoma"/>
                <w:b/>
                <w:bCs/>
                <w:noProof/>
                <w:sz w:val="16"/>
                <w:szCs w:val="16"/>
                <w:lang w:val="en-US"/>
              </w:rPr>
            </w:pPr>
            <w:r w:rsidRPr="004F4817">
              <w:rPr>
                <w:rFonts w:cs="Tahoma"/>
                <w:sz w:val="16"/>
                <w:szCs w:val="16"/>
              </w:rPr>
              <w:t>162 783</w:t>
            </w:r>
          </w:p>
        </w:tc>
        <w:tc>
          <w:tcPr>
            <w:tcW w:w="2148" w:type="pct"/>
            <w:tcBorders>
              <w:top w:val="nil"/>
              <w:left w:val="nil"/>
              <w:bottom w:val="nil"/>
              <w:right w:val="single" w:sz="4" w:space="0" w:color="auto"/>
            </w:tcBorders>
            <w:noWrap/>
            <w:vAlign w:val="center"/>
          </w:tcPr>
          <w:p w:rsidR="00565FD5" w:rsidRPr="004F4817" w:rsidRDefault="00565FD5" w:rsidP="00AB62A3">
            <w:pPr>
              <w:ind w:firstLine="425"/>
              <w:jc w:val="center"/>
              <w:rPr>
                <w:rFonts w:cs="Tahoma"/>
                <w:b/>
                <w:bCs/>
                <w:noProof/>
                <w:sz w:val="16"/>
                <w:szCs w:val="16"/>
                <w:lang w:val="en-US"/>
              </w:rPr>
            </w:pPr>
            <w:r w:rsidRPr="004F4817">
              <w:rPr>
                <w:rFonts w:cs="Tahoma"/>
                <w:sz w:val="16"/>
                <w:szCs w:val="16"/>
              </w:rPr>
              <w:t>101 178</w:t>
            </w:r>
          </w:p>
        </w:tc>
      </w:tr>
      <w:tr w:rsidR="00565FD5" w:rsidRPr="004F4817" w:rsidTr="00AB62A3">
        <w:trPr>
          <w:trHeight w:val="227"/>
        </w:trPr>
        <w:tc>
          <w:tcPr>
            <w:tcW w:w="900" w:type="pct"/>
            <w:tcBorders>
              <w:top w:val="nil"/>
              <w:left w:val="single" w:sz="4" w:space="0" w:color="auto"/>
              <w:bottom w:val="nil"/>
              <w:right w:val="nil"/>
            </w:tcBorders>
            <w:noWrap/>
            <w:vAlign w:val="center"/>
          </w:tcPr>
          <w:p w:rsidR="00565FD5" w:rsidRPr="004F4817" w:rsidRDefault="00565FD5" w:rsidP="00AB62A3">
            <w:pPr>
              <w:ind w:firstLine="425"/>
              <w:rPr>
                <w:rFonts w:cs="Tahoma"/>
                <w:sz w:val="16"/>
                <w:szCs w:val="16"/>
              </w:rPr>
            </w:pPr>
            <w:r w:rsidRPr="004F4817">
              <w:rPr>
                <w:rFonts w:cs="Tahoma"/>
                <w:sz w:val="16"/>
                <w:szCs w:val="16"/>
              </w:rPr>
              <w:t>2010</w:t>
            </w:r>
          </w:p>
        </w:tc>
        <w:tc>
          <w:tcPr>
            <w:tcW w:w="1952" w:type="pct"/>
            <w:tcBorders>
              <w:top w:val="nil"/>
              <w:left w:val="nil"/>
              <w:bottom w:val="nil"/>
              <w:right w:val="nil"/>
            </w:tcBorders>
            <w:noWrap/>
            <w:vAlign w:val="center"/>
          </w:tcPr>
          <w:p w:rsidR="00565FD5" w:rsidRPr="004F4817" w:rsidRDefault="00565FD5" w:rsidP="00AB62A3">
            <w:pPr>
              <w:ind w:firstLine="425"/>
              <w:jc w:val="center"/>
              <w:rPr>
                <w:rFonts w:cs="Tahoma"/>
                <w:b/>
                <w:bCs/>
                <w:noProof/>
                <w:sz w:val="16"/>
                <w:szCs w:val="16"/>
                <w:lang w:val="en-US"/>
              </w:rPr>
            </w:pPr>
            <w:r w:rsidRPr="004F4817">
              <w:rPr>
                <w:rFonts w:cs="Tahoma"/>
                <w:sz w:val="16"/>
                <w:szCs w:val="16"/>
              </w:rPr>
              <w:t>176 978</w:t>
            </w:r>
          </w:p>
        </w:tc>
        <w:tc>
          <w:tcPr>
            <w:tcW w:w="2148" w:type="pct"/>
            <w:tcBorders>
              <w:top w:val="nil"/>
              <w:left w:val="nil"/>
              <w:bottom w:val="nil"/>
              <w:right w:val="single" w:sz="4" w:space="0" w:color="auto"/>
            </w:tcBorders>
            <w:noWrap/>
            <w:vAlign w:val="center"/>
          </w:tcPr>
          <w:p w:rsidR="00565FD5" w:rsidRPr="004F4817" w:rsidRDefault="00565FD5" w:rsidP="00AB62A3">
            <w:pPr>
              <w:ind w:firstLine="425"/>
              <w:jc w:val="center"/>
              <w:rPr>
                <w:rFonts w:cs="Tahoma"/>
                <w:b/>
                <w:bCs/>
                <w:noProof/>
                <w:sz w:val="16"/>
                <w:szCs w:val="16"/>
                <w:lang w:val="en-US"/>
              </w:rPr>
            </w:pPr>
            <w:r w:rsidRPr="004F4817">
              <w:rPr>
                <w:rFonts w:cs="Tahoma"/>
                <w:sz w:val="16"/>
                <w:szCs w:val="16"/>
              </w:rPr>
              <w:t>103 256</w:t>
            </w:r>
          </w:p>
        </w:tc>
      </w:tr>
      <w:tr w:rsidR="00565FD5" w:rsidRPr="004F4817" w:rsidTr="00AB62A3">
        <w:trPr>
          <w:trHeight w:val="227"/>
        </w:trPr>
        <w:tc>
          <w:tcPr>
            <w:tcW w:w="900" w:type="pct"/>
            <w:tcBorders>
              <w:top w:val="nil"/>
              <w:left w:val="single" w:sz="4" w:space="0" w:color="auto"/>
              <w:bottom w:val="nil"/>
              <w:right w:val="nil"/>
            </w:tcBorders>
            <w:noWrap/>
            <w:vAlign w:val="center"/>
          </w:tcPr>
          <w:p w:rsidR="00565FD5" w:rsidRPr="004F4817" w:rsidRDefault="00565FD5" w:rsidP="00AB62A3">
            <w:pPr>
              <w:ind w:firstLine="425"/>
              <w:rPr>
                <w:rFonts w:cs="Tahoma"/>
                <w:sz w:val="16"/>
                <w:szCs w:val="16"/>
              </w:rPr>
            </w:pPr>
            <w:r w:rsidRPr="004F4817">
              <w:rPr>
                <w:rFonts w:cs="Tahoma"/>
                <w:sz w:val="16"/>
                <w:szCs w:val="16"/>
              </w:rPr>
              <w:t>2011</w:t>
            </w:r>
          </w:p>
        </w:tc>
        <w:tc>
          <w:tcPr>
            <w:tcW w:w="1952" w:type="pct"/>
            <w:tcBorders>
              <w:top w:val="nil"/>
              <w:left w:val="nil"/>
              <w:bottom w:val="nil"/>
              <w:right w:val="nil"/>
            </w:tcBorders>
            <w:noWrap/>
            <w:vAlign w:val="center"/>
          </w:tcPr>
          <w:p w:rsidR="00565FD5" w:rsidRPr="004F4817" w:rsidRDefault="00565FD5" w:rsidP="00AB62A3">
            <w:pPr>
              <w:ind w:firstLine="425"/>
              <w:jc w:val="center"/>
              <w:rPr>
                <w:rFonts w:cs="Tahoma"/>
                <w:b/>
                <w:bCs/>
                <w:noProof/>
                <w:sz w:val="16"/>
                <w:szCs w:val="16"/>
                <w:lang w:val="en-US"/>
              </w:rPr>
            </w:pPr>
            <w:r w:rsidRPr="004F4817">
              <w:rPr>
                <w:rFonts w:cs="Tahoma"/>
                <w:sz w:val="16"/>
                <w:szCs w:val="16"/>
              </w:rPr>
              <w:t>189 427</w:t>
            </w:r>
          </w:p>
        </w:tc>
        <w:tc>
          <w:tcPr>
            <w:tcW w:w="2148" w:type="pct"/>
            <w:tcBorders>
              <w:top w:val="nil"/>
              <w:left w:val="nil"/>
              <w:bottom w:val="nil"/>
              <w:right w:val="single" w:sz="4" w:space="0" w:color="auto"/>
            </w:tcBorders>
            <w:noWrap/>
            <w:vAlign w:val="center"/>
          </w:tcPr>
          <w:p w:rsidR="00565FD5" w:rsidRPr="004F4817" w:rsidRDefault="00565FD5" w:rsidP="00AB62A3">
            <w:pPr>
              <w:ind w:firstLine="425"/>
              <w:jc w:val="center"/>
              <w:rPr>
                <w:rFonts w:cs="Tahoma"/>
                <w:b/>
                <w:bCs/>
                <w:noProof/>
                <w:sz w:val="16"/>
                <w:szCs w:val="16"/>
                <w:lang w:val="en-US"/>
              </w:rPr>
            </w:pPr>
            <w:r w:rsidRPr="004F4817">
              <w:rPr>
                <w:rFonts w:cs="Tahoma"/>
                <w:sz w:val="16"/>
                <w:szCs w:val="16"/>
              </w:rPr>
              <w:t>142 843</w:t>
            </w:r>
          </w:p>
        </w:tc>
      </w:tr>
      <w:tr w:rsidR="00565FD5" w:rsidRPr="004F4817" w:rsidTr="00AB62A3">
        <w:trPr>
          <w:trHeight w:val="227"/>
        </w:trPr>
        <w:tc>
          <w:tcPr>
            <w:tcW w:w="900" w:type="pct"/>
            <w:tcBorders>
              <w:top w:val="nil"/>
              <w:left w:val="single" w:sz="4" w:space="0" w:color="auto"/>
              <w:bottom w:val="single" w:sz="4" w:space="0" w:color="auto"/>
              <w:right w:val="nil"/>
            </w:tcBorders>
            <w:noWrap/>
            <w:vAlign w:val="center"/>
          </w:tcPr>
          <w:p w:rsidR="00565FD5" w:rsidRPr="004F4817" w:rsidRDefault="00565FD5" w:rsidP="00AB62A3">
            <w:pPr>
              <w:ind w:firstLine="425"/>
              <w:rPr>
                <w:rFonts w:cs="Tahoma"/>
                <w:sz w:val="16"/>
                <w:szCs w:val="16"/>
              </w:rPr>
            </w:pPr>
            <w:r w:rsidRPr="004F4817">
              <w:rPr>
                <w:rFonts w:cs="Tahoma"/>
                <w:sz w:val="16"/>
                <w:szCs w:val="16"/>
              </w:rPr>
              <w:t>2012 (1)</w:t>
            </w:r>
          </w:p>
        </w:tc>
        <w:tc>
          <w:tcPr>
            <w:tcW w:w="1952" w:type="pct"/>
            <w:tcBorders>
              <w:top w:val="nil"/>
              <w:left w:val="nil"/>
              <w:bottom w:val="single" w:sz="4" w:space="0" w:color="auto"/>
              <w:right w:val="nil"/>
            </w:tcBorders>
            <w:noWrap/>
            <w:vAlign w:val="center"/>
          </w:tcPr>
          <w:p w:rsidR="00565FD5" w:rsidRPr="004F4817" w:rsidRDefault="00565FD5" w:rsidP="00AB62A3">
            <w:pPr>
              <w:ind w:firstLine="425"/>
              <w:jc w:val="center"/>
              <w:rPr>
                <w:rFonts w:cs="Tahoma"/>
                <w:b/>
                <w:bCs/>
                <w:noProof/>
                <w:sz w:val="16"/>
                <w:szCs w:val="16"/>
                <w:lang w:val="en-US"/>
              </w:rPr>
            </w:pPr>
            <w:r w:rsidRPr="004F4817">
              <w:rPr>
                <w:rFonts w:cs="Tahoma"/>
                <w:sz w:val="16"/>
                <w:szCs w:val="16"/>
              </w:rPr>
              <w:t>132 797</w:t>
            </w:r>
          </w:p>
        </w:tc>
        <w:tc>
          <w:tcPr>
            <w:tcW w:w="2148" w:type="pct"/>
            <w:tcBorders>
              <w:top w:val="nil"/>
              <w:left w:val="nil"/>
              <w:bottom w:val="single" w:sz="4" w:space="0" w:color="auto"/>
              <w:right w:val="single" w:sz="4" w:space="0" w:color="auto"/>
            </w:tcBorders>
            <w:noWrap/>
            <w:vAlign w:val="center"/>
          </w:tcPr>
          <w:p w:rsidR="00565FD5" w:rsidRPr="004F4817" w:rsidRDefault="00565FD5" w:rsidP="00AB62A3">
            <w:pPr>
              <w:ind w:firstLine="425"/>
              <w:jc w:val="center"/>
              <w:rPr>
                <w:rFonts w:cs="Tahoma"/>
                <w:sz w:val="16"/>
                <w:szCs w:val="16"/>
              </w:rPr>
            </w:pPr>
            <w:r w:rsidRPr="004F4817">
              <w:rPr>
                <w:rFonts w:cs="Tahoma"/>
                <w:sz w:val="16"/>
                <w:szCs w:val="16"/>
              </w:rPr>
              <w:t>68 477</w:t>
            </w:r>
          </w:p>
        </w:tc>
      </w:tr>
    </w:tbl>
    <w:p w:rsidR="00565FD5" w:rsidRPr="004F4817" w:rsidRDefault="00565FD5" w:rsidP="00565FD5">
      <w:pPr>
        <w:rPr>
          <w:rFonts w:cs="Tahoma"/>
          <w:sz w:val="14"/>
          <w:szCs w:val="14"/>
        </w:rPr>
      </w:pPr>
      <w:r w:rsidRPr="004F4817">
        <w:rPr>
          <w:rFonts w:cs="Tahoma"/>
          <w:sz w:val="14"/>
          <w:szCs w:val="14"/>
        </w:rPr>
        <w:t>Kaynak: Gümrük ve Ticaret Bakanlığı, 2012</w:t>
      </w:r>
    </w:p>
    <w:p w:rsidR="00565FD5" w:rsidRDefault="00565FD5" w:rsidP="00565FD5">
      <w:pPr>
        <w:spacing w:after="240"/>
        <w:rPr>
          <w:rFonts w:cs="Tahoma"/>
          <w:sz w:val="14"/>
          <w:szCs w:val="14"/>
        </w:rPr>
      </w:pPr>
      <w:r w:rsidRPr="004F4817">
        <w:rPr>
          <w:rFonts w:cs="Tahoma"/>
          <w:sz w:val="14"/>
          <w:szCs w:val="14"/>
        </w:rPr>
        <w:t>(1) 2012 yılı Eylül ayı itibarıyla</w:t>
      </w:r>
    </w:p>
    <w:p w:rsidR="00565FD5" w:rsidRPr="00C91E15" w:rsidRDefault="00565FD5" w:rsidP="00565FD5">
      <w:pPr>
        <w:spacing w:after="140"/>
        <w:ind w:firstLine="425"/>
        <w:rPr>
          <w:rFonts w:cs="Tahoma"/>
          <w:szCs w:val="18"/>
        </w:rPr>
      </w:pPr>
      <w:r w:rsidRPr="00C91E15">
        <w:rPr>
          <w:rFonts w:cs="Tahoma"/>
          <w:szCs w:val="18"/>
        </w:rPr>
        <w:t xml:space="preserve">KOBİ Stratejisi ve Eylem Planı, 2011-2013 dönemini kapsayacak şekilde yeniden hazırlanmış ve yürürlüğe konulmuştur. Plan, sanayi sektörünün yanı sıra, istihdam ve katma değer oluşturma potansiyeli artan hizmet sektörlerindeki KOBİ’lerin de ihtiyaçları dikkate alınarak hazırlanmış olup strateji ve eylemlerin uygulanmasına devam edilmektedir.   </w:t>
      </w:r>
    </w:p>
    <w:p w:rsidR="00565FD5" w:rsidRDefault="00565FD5" w:rsidP="00565FD5">
      <w:pPr>
        <w:spacing w:after="140"/>
        <w:ind w:firstLine="425"/>
        <w:rPr>
          <w:rFonts w:cs="Tahoma"/>
          <w:szCs w:val="18"/>
        </w:rPr>
      </w:pPr>
      <w:r w:rsidRPr="00C91E15">
        <w:rPr>
          <w:rFonts w:cs="Tahoma"/>
          <w:szCs w:val="18"/>
        </w:rPr>
        <w:t xml:space="preserve">2012 yılı Eylül sonu itibarıyla ülkemizde 1.988.966 esnaf ve sanatkâr bulunmaktadır. Toplam işletme sayısı ve istihdam içinde önemli paya sahip olan </w:t>
      </w:r>
      <w:r w:rsidRPr="00C91E15">
        <w:rPr>
          <w:rFonts w:cs="Tahoma"/>
          <w:szCs w:val="18"/>
        </w:rPr>
        <w:lastRenderedPageBreak/>
        <w:t xml:space="preserve">esnaf ve sanatkârlar, ölçek ve sermaye yapılarının küçük olması, verimlilik, kalite ve teknoloji seviyelerinin düşüklüğü gibi nedenlerden dolayı iş ortamındaki değişikliklerden daha fazla etkilenmektedir. </w:t>
      </w:r>
    </w:p>
    <w:p w:rsidR="00565FD5" w:rsidRPr="00C91E15" w:rsidRDefault="00565FD5" w:rsidP="00565FD5">
      <w:pPr>
        <w:spacing w:after="160"/>
        <w:ind w:firstLine="425"/>
        <w:rPr>
          <w:rFonts w:cs="Tahoma"/>
        </w:rPr>
      </w:pPr>
      <w:r w:rsidRPr="00C91E15">
        <w:rPr>
          <w:rFonts w:cs="Tahoma"/>
        </w:rPr>
        <w:t xml:space="preserve">Türkiye’de 28 ayrı türde yaklaşık 85.000 kooperatif 8 milyon ortağa hizmet </w:t>
      </w:r>
      <w:r w:rsidRPr="00C91E15">
        <w:rPr>
          <w:rFonts w:cs="Tahoma"/>
          <w:szCs w:val="18"/>
        </w:rPr>
        <w:t>sunmaktadır. Kooperatifçiliğin ideal yönde geliştirilmesi hedefi doğrultusunda katılımcı bir anlayışla hazırlanan Türkiye Kooperatifçilik Stratejisi ve Eylem Planı (2012-2016) Yüksek Planlama Kurulunca kabul edilerek yürürlüğe girmiştir.</w:t>
      </w:r>
      <w:r w:rsidRPr="00C91E15">
        <w:rPr>
          <w:rFonts w:cs="Tahoma"/>
        </w:rPr>
        <w:t xml:space="preserve"> </w:t>
      </w:r>
    </w:p>
    <w:p w:rsidR="00565FD5" w:rsidRPr="00C91E15" w:rsidRDefault="00565FD5" w:rsidP="00565FD5">
      <w:pPr>
        <w:pStyle w:val="Balk4"/>
      </w:pPr>
      <w:bookmarkStart w:id="1321" w:name="_Toc276076268"/>
      <w:bookmarkStart w:id="1322" w:name="_Toc244339589"/>
      <w:bookmarkStart w:id="1323" w:name="_Toc244315126"/>
      <w:bookmarkStart w:id="1324" w:name="_Toc244313649"/>
      <w:bookmarkStart w:id="1325" w:name="_Toc244254913"/>
      <w:bookmarkStart w:id="1326" w:name="_Toc244253662"/>
      <w:bookmarkStart w:id="1327" w:name="_Toc149968478"/>
      <w:bookmarkStart w:id="1328" w:name="_Toc307601974"/>
      <w:bookmarkStart w:id="1329" w:name="_Toc307670423"/>
      <w:bookmarkStart w:id="1330" w:name="_Toc307701649"/>
      <w:bookmarkStart w:id="1331" w:name="_Toc338523783"/>
      <w:bookmarkStart w:id="1332" w:name="_Toc338524014"/>
      <w:bookmarkStart w:id="1333" w:name="_Toc338526240"/>
      <w:bookmarkStart w:id="1334" w:name="_Toc338673683"/>
      <w:bookmarkStart w:id="1335" w:name="_Toc338711562"/>
      <w:r w:rsidRPr="00C91E15">
        <w:t>2. Temel Amaç ve Hedefler</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rsidR="00565FD5" w:rsidRPr="00F7062B" w:rsidRDefault="00565FD5" w:rsidP="00565FD5">
      <w:pPr>
        <w:pStyle w:val="BodyText2"/>
        <w:spacing w:after="160"/>
        <w:rPr>
          <w:rFonts w:cs="Tahoma"/>
        </w:rPr>
      </w:pPr>
      <w:r w:rsidRPr="00F7062B">
        <w:rPr>
          <w:rFonts w:cs="Tahoma"/>
        </w:rPr>
        <w:t>İş ortamının rekabetçi bir yapıya kavuşturularak iyileştirilmesi temel amaçtır. Bu doğrultuda, girişim gücü yüksek, verimlilik bilinci olan, modern teknolojiyi içselleştirmiş ve tam olarak faydalanabilen, finansal piyasalara kolay erişen bir işletme yapısına ve altyapı ihtiyaçlarının karşılandığı, girdi maliyetlerinin düşürüldüğü, devlet yardımlarının etkin olduğu, bürokrasinin azaltıldığı, kurumsallaşmanın yaygınlaştığı, fikri hakların korunduğu, işletmelerin adil koşullarda rekabet ettiği bir iş ortamı yapısına ulaşılması hedeflenmektedir.</w:t>
      </w:r>
    </w:p>
    <w:p w:rsidR="00565FD5" w:rsidRPr="00C91E15" w:rsidRDefault="00565FD5" w:rsidP="00565FD5">
      <w:pPr>
        <w:spacing w:after="160"/>
        <w:ind w:firstLine="425"/>
        <w:rPr>
          <w:rFonts w:cs="Tahoma"/>
          <w:szCs w:val="18"/>
        </w:rPr>
      </w:pPr>
      <w:r w:rsidRPr="00C91E15">
        <w:rPr>
          <w:rFonts w:cs="Tahoma"/>
          <w:szCs w:val="18"/>
        </w:rPr>
        <w:t xml:space="preserve">KOBİ’lerin, yeni girişimcilerin, esnaf ve sanatkârların rekabet gücünün artırılması amacıyla etkin hizmet ve destekler sağlanacak, küme yapılanmalarına yönelik destek programı başlatılacaktır. Bu kapsamda sağlanan destekler büyümeyi ve yeni yatırımı teşvik eden bir yapıya kavuşturulacaktır. </w:t>
      </w:r>
    </w:p>
    <w:p w:rsidR="00565FD5" w:rsidRDefault="00565FD5" w:rsidP="00565FD5">
      <w:pPr>
        <w:spacing w:after="240"/>
        <w:ind w:firstLine="425"/>
        <w:rPr>
          <w:rFonts w:cs="Tahoma"/>
          <w:szCs w:val="18"/>
        </w:rPr>
      </w:pPr>
      <w:r w:rsidRPr="00C91E15">
        <w:rPr>
          <w:rFonts w:cs="Tahoma"/>
          <w:szCs w:val="18"/>
        </w:rPr>
        <w:t xml:space="preserve">Kooperatifçiliğin geliştirilmesi amacıyla bu kesime yönelik etkin strateji ve destekler geliştirilecektir. </w:t>
      </w:r>
    </w:p>
    <w:p w:rsidR="00565FD5" w:rsidRPr="00C91E15" w:rsidRDefault="00565FD5" w:rsidP="00565FD5">
      <w:pPr>
        <w:pStyle w:val="Balk4"/>
      </w:pPr>
      <w:bookmarkStart w:id="1336" w:name="_Toc307601975"/>
      <w:bookmarkStart w:id="1337" w:name="_Toc307670424"/>
      <w:bookmarkStart w:id="1338" w:name="_Toc307701650"/>
      <w:bookmarkStart w:id="1339" w:name="_Toc338523784"/>
      <w:bookmarkStart w:id="1340" w:name="_Toc338524015"/>
      <w:bookmarkStart w:id="1341" w:name="_Toc338526241"/>
      <w:bookmarkStart w:id="1342" w:name="_Toc338673684"/>
      <w:bookmarkStart w:id="1343" w:name="_Toc338711563"/>
      <w:r w:rsidRPr="00C91E15">
        <w:t>3. Politika Öncelikleri ve Tedbirler</w:t>
      </w:r>
      <w:bookmarkEnd w:id="1336"/>
      <w:bookmarkEnd w:id="1337"/>
      <w:bookmarkEnd w:id="1338"/>
      <w:bookmarkEnd w:id="1339"/>
      <w:bookmarkEnd w:id="1340"/>
      <w:bookmarkEnd w:id="1341"/>
      <w:bookmarkEnd w:id="1342"/>
      <w:bookmarkEnd w:id="1343"/>
    </w:p>
    <w:tbl>
      <w:tblPr>
        <w:tblW w:w="7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26"/>
        <w:gridCol w:w="1987"/>
        <w:gridCol w:w="886"/>
        <w:gridCol w:w="9"/>
        <w:gridCol w:w="10"/>
        <w:gridCol w:w="2226"/>
      </w:tblGrid>
      <w:tr w:rsidR="00565FD5" w:rsidRPr="00C91E15" w:rsidTr="00AB62A3">
        <w:trPr>
          <w:trHeight w:val="505"/>
          <w:jc w:val="center"/>
        </w:trPr>
        <w:tc>
          <w:tcPr>
            <w:tcW w:w="1418" w:type="pct"/>
            <w:vAlign w:val="bottom"/>
          </w:tcPr>
          <w:p w:rsidR="00565FD5" w:rsidRPr="00C91E15" w:rsidRDefault="00565FD5" w:rsidP="00AB62A3">
            <w:pPr>
              <w:autoSpaceDE w:val="0"/>
              <w:autoSpaceDN w:val="0"/>
              <w:adjustRightInd w:val="0"/>
              <w:rPr>
                <w:rFonts w:cs="Tahoma"/>
                <w:b/>
                <w:bCs/>
                <w:sz w:val="16"/>
                <w:szCs w:val="16"/>
              </w:rPr>
            </w:pPr>
            <w:r w:rsidRPr="00C91E15">
              <w:rPr>
                <w:rFonts w:cs="Tahoma"/>
                <w:b/>
                <w:bCs/>
                <w:sz w:val="16"/>
                <w:szCs w:val="16"/>
              </w:rPr>
              <w:t>Öncelik / Tedbir</w:t>
            </w:r>
          </w:p>
        </w:tc>
        <w:tc>
          <w:tcPr>
            <w:tcW w:w="1391" w:type="pct"/>
            <w:vAlign w:val="bottom"/>
          </w:tcPr>
          <w:p w:rsidR="00565FD5" w:rsidRPr="00C91E15" w:rsidRDefault="00565FD5" w:rsidP="00AB62A3">
            <w:pPr>
              <w:autoSpaceDE w:val="0"/>
              <w:autoSpaceDN w:val="0"/>
              <w:adjustRightInd w:val="0"/>
              <w:rPr>
                <w:rFonts w:cs="Tahoma"/>
                <w:b/>
                <w:bCs/>
                <w:sz w:val="16"/>
                <w:szCs w:val="16"/>
              </w:rPr>
            </w:pPr>
            <w:r w:rsidRPr="00C91E15">
              <w:rPr>
                <w:rFonts w:cs="Tahoma"/>
                <w:b/>
                <w:bCs/>
                <w:sz w:val="16"/>
                <w:szCs w:val="16"/>
              </w:rPr>
              <w:t>Sorumlu / İşbirliği Yapılacak Kuruluşlar</w:t>
            </w:r>
          </w:p>
        </w:tc>
        <w:tc>
          <w:tcPr>
            <w:tcW w:w="620" w:type="pct"/>
            <w:vAlign w:val="bottom"/>
          </w:tcPr>
          <w:p w:rsidR="00565FD5" w:rsidRPr="00C91E15" w:rsidRDefault="00565FD5" w:rsidP="00AB62A3">
            <w:pPr>
              <w:autoSpaceDE w:val="0"/>
              <w:autoSpaceDN w:val="0"/>
              <w:adjustRightInd w:val="0"/>
              <w:rPr>
                <w:rFonts w:cs="Tahoma"/>
                <w:b/>
                <w:bCs/>
                <w:sz w:val="16"/>
                <w:szCs w:val="16"/>
              </w:rPr>
            </w:pPr>
            <w:r w:rsidRPr="00C91E15">
              <w:rPr>
                <w:rFonts w:cs="Tahoma"/>
                <w:b/>
                <w:bCs/>
                <w:sz w:val="16"/>
                <w:szCs w:val="16"/>
              </w:rPr>
              <w:t xml:space="preserve">Süre </w:t>
            </w:r>
          </w:p>
        </w:tc>
        <w:tc>
          <w:tcPr>
            <w:tcW w:w="1571" w:type="pct"/>
            <w:gridSpan w:val="3"/>
            <w:vAlign w:val="bottom"/>
          </w:tcPr>
          <w:p w:rsidR="00565FD5" w:rsidRPr="00C91E15" w:rsidRDefault="00565FD5" w:rsidP="00AB62A3">
            <w:pPr>
              <w:autoSpaceDE w:val="0"/>
              <w:autoSpaceDN w:val="0"/>
              <w:adjustRightInd w:val="0"/>
              <w:rPr>
                <w:rFonts w:cs="Tahoma"/>
                <w:b/>
                <w:bCs/>
                <w:sz w:val="16"/>
                <w:szCs w:val="16"/>
              </w:rPr>
            </w:pPr>
            <w:r w:rsidRPr="00C91E15">
              <w:rPr>
                <w:rFonts w:cs="Tahoma"/>
                <w:b/>
                <w:bCs/>
                <w:sz w:val="16"/>
                <w:szCs w:val="16"/>
              </w:rPr>
              <w:t>Yapılacak İşlem ve Açıklama</w:t>
            </w:r>
          </w:p>
        </w:tc>
      </w:tr>
      <w:tr w:rsidR="00565FD5" w:rsidRPr="00C91E15" w:rsidTr="00AB62A3">
        <w:trPr>
          <w:trHeight w:val="505"/>
          <w:jc w:val="center"/>
        </w:trPr>
        <w:tc>
          <w:tcPr>
            <w:tcW w:w="5000" w:type="pct"/>
            <w:gridSpan w:val="6"/>
            <w:vAlign w:val="center"/>
          </w:tcPr>
          <w:p w:rsidR="00565FD5" w:rsidRPr="00C91E15" w:rsidRDefault="00565FD5" w:rsidP="00EB1E69">
            <w:pPr>
              <w:numPr>
                <w:ilvl w:val="0"/>
                <w:numId w:val="15"/>
              </w:numPr>
              <w:autoSpaceDE w:val="0"/>
              <w:autoSpaceDN w:val="0"/>
              <w:adjustRightInd w:val="0"/>
              <w:spacing w:after="0" w:line="240" w:lineRule="auto"/>
              <w:jc w:val="both"/>
              <w:rPr>
                <w:rFonts w:cs="Tahoma"/>
                <w:b/>
                <w:bCs/>
                <w:sz w:val="16"/>
                <w:szCs w:val="16"/>
              </w:rPr>
            </w:pPr>
            <w:r w:rsidRPr="00C91E15">
              <w:rPr>
                <w:rFonts w:cs="Tahoma"/>
                <w:b/>
                <w:sz w:val="16"/>
                <w:szCs w:val="16"/>
                <w:lang w:eastAsia="tr-TR"/>
              </w:rPr>
              <w:t xml:space="preserve"> </w:t>
            </w:r>
            <w:r w:rsidRPr="00FD491E">
              <w:rPr>
                <w:rFonts w:cs="Tahoma"/>
                <w:b/>
                <w:sz w:val="16"/>
                <w:szCs w:val="16"/>
                <w:lang w:eastAsia="tr-TR"/>
              </w:rPr>
              <w:t>Bürokrasinin azaltılması, işlemlerin hızlandırılması ve işlem maliyetlerinin düşürülmesi konusundaki çalışmalar sürdürülecektir.</w:t>
            </w:r>
          </w:p>
        </w:tc>
      </w:tr>
      <w:tr w:rsidR="00565FD5" w:rsidRPr="00C91E15" w:rsidTr="00AB62A3">
        <w:trPr>
          <w:trHeight w:val="505"/>
          <w:jc w:val="center"/>
        </w:trPr>
        <w:tc>
          <w:tcPr>
            <w:tcW w:w="1418" w:type="pct"/>
          </w:tcPr>
          <w:p w:rsidR="00565FD5" w:rsidRPr="00AA4CF9" w:rsidRDefault="00565FD5" w:rsidP="00EB1E69">
            <w:pPr>
              <w:numPr>
                <w:ilvl w:val="0"/>
                <w:numId w:val="14"/>
              </w:numPr>
              <w:autoSpaceDE w:val="0"/>
              <w:autoSpaceDN w:val="0"/>
              <w:adjustRightInd w:val="0"/>
              <w:spacing w:after="0" w:line="240" w:lineRule="auto"/>
              <w:rPr>
                <w:rFonts w:cs="Tahoma"/>
                <w:sz w:val="16"/>
                <w:szCs w:val="16"/>
                <w:lang w:eastAsia="tr-TR"/>
              </w:rPr>
            </w:pPr>
            <w:r w:rsidRPr="00AA4CF9">
              <w:rPr>
                <w:rFonts w:cs="Tahoma"/>
                <w:sz w:val="16"/>
                <w:szCs w:val="16"/>
                <w:lang w:eastAsia="tr-TR"/>
              </w:rPr>
              <w:t xml:space="preserve"> YOİKK çalışmaları kapsamında teknik komitelerce hazırlanan eylem planlarındaki  eylemlerin ilgili kurumlar tarafından zamanında sonuçlandırılması  takip edilecektir.</w:t>
            </w:r>
          </w:p>
        </w:tc>
        <w:tc>
          <w:tcPr>
            <w:tcW w:w="1391" w:type="pct"/>
          </w:tcPr>
          <w:p w:rsidR="00565FD5" w:rsidRPr="00AA4CF9" w:rsidRDefault="00565FD5" w:rsidP="00AB62A3">
            <w:pPr>
              <w:autoSpaceDE w:val="0"/>
              <w:autoSpaceDN w:val="0"/>
              <w:adjustRightInd w:val="0"/>
              <w:rPr>
                <w:rFonts w:cs="Tahoma"/>
                <w:sz w:val="16"/>
                <w:szCs w:val="16"/>
                <w:lang w:eastAsia="tr-TR"/>
              </w:rPr>
            </w:pPr>
            <w:r w:rsidRPr="00AA4CF9">
              <w:rPr>
                <w:rFonts w:cs="Tahoma"/>
                <w:sz w:val="16"/>
                <w:szCs w:val="16"/>
                <w:lang w:eastAsia="tr-TR"/>
              </w:rPr>
              <w:t>Ekonomi Bakanlığı (S),</w:t>
            </w:r>
            <w:r>
              <w:rPr>
                <w:rFonts w:cs="Tahoma"/>
                <w:sz w:val="16"/>
                <w:szCs w:val="16"/>
                <w:lang w:eastAsia="tr-TR"/>
              </w:rPr>
              <w:t xml:space="preserve"> </w:t>
            </w:r>
            <w:r w:rsidRPr="00AA4CF9">
              <w:rPr>
                <w:rFonts w:cs="Tahoma"/>
                <w:sz w:val="16"/>
                <w:szCs w:val="16"/>
                <w:lang w:eastAsia="tr-TR"/>
              </w:rPr>
              <w:t>İlgili Kamu Kurum ve Kuruluşları, STK’lar</w:t>
            </w:r>
          </w:p>
        </w:tc>
        <w:tc>
          <w:tcPr>
            <w:tcW w:w="633" w:type="pct"/>
            <w:gridSpan w:val="3"/>
          </w:tcPr>
          <w:p w:rsidR="00565FD5" w:rsidRPr="00AA4CF9" w:rsidRDefault="00565FD5" w:rsidP="00AB62A3">
            <w:pPr>
              <w:autoSpaceDE w:val="0"/>
              <w:autoSpaceDN w:val="0"/>
              <w:adjustRightInd w:val="0"/>
              <w:rPr>
                <w:rFonts w:cs="Tahoma"/>
                <w:sz w:val="16"/>
                <w:szCs w:val="16"/>
                <w:lang w:eastAsia="tr-TR"/>
              </w:rPr>
            </w:pPr>
            <w:r w:rsidRPr="00AA4CF9">
              <w:rPr>
                <w:rFonts w:cs="Tahoma"/>
                <w:sz w:val="16"/>
                <w:szCs w:val="16"/>
                <w:lang w:eastAsia="tr-TR"/>
              </w:rPr>
              <w:t>Aralık Sonu</w:t>
            </w:r>
          </w:p>
        </w:tc>
        <w:tc>
          <w:tcPr>
            <w:tcW w:w="1558" w:type="pct"/>
          </w:tcPr>
          <w:p w:rsidR="00565FD5" w:rsidRPr="00AA4CF9" w:rsidRDefault="00565FD5" w:rsidP="00AB62A3">
            <w:pPr>
              <w:autoSpaceDE w:val="0"/>
              <w:autoSpaceDN w:val="0"/>
              <w:adjustRightInd w:val="0"/>
              <w:rPr>
                <w:rFonts w:cs="Tahoma"/>
                <w:sz w:val="16"/>
                <w:szCs w:val="16"/>
                <w:lang w:eastAsia="tr-TR"/>
              </w:rPr>
            </w:pPr>
            <w:r w:rsidRPr="00AA4CF9">
              <w:rPr>
                <w:rFonts w:cs="Tahoma"/>
                <w:sz w:val="16"/>
                <w:szCs w:val="16"/>
                <w:lang w:eastAsia="tr-TR"/>
              </w:rPr>
              <w:t>Yatırım ortamının iyileştirilmesi reform programı çalışmaları kapsamında kurulan YOİKK bünyesindeki teknik komitelerin eylem planlarında yer alan konular, ilgili kurumlar tarafından öngörülen takvim doğrultusunda sonuçlandırılacaktır.</w:t>
            </w:r>
          </w:p>
        </w:tc>
      </w:tr>
      <w:tr w:rsidR="00565FD5" w:rsidRPr="00C91E15" w:rsidTr="00AB62A3">
        <w:trPr>
          <w:trHeight w:val="505"/>
          <w:jc w:val="center"/>
        </w:trPr>
        <w:tc>
          <w:tcPr>
            <w:tcW w:w="1418" w:type="pct"/>
          </w:tcPr>
          <w:p w:rsidR="00565FD5" w:rsidRPr="00292F26" w:rsidRDefault="00565FD5" w:rsidP="00EB1E69">
            <w:pPr>
              <w:numPr>
                <w:ilvl w:val="0"/>
                <w:numId w:val="14"/>
              </w:numPr>
              <w:tabs>
                <w:tab w:val="left" w:pos="425"/>
              </w:tabs>
              <w:spacing w:before="40" w:after="40" w:line="240" w:lineRule="auto"/>
              <w:ind w:left="34"/>
              <w:rPr>
                <w:rFonts w:cs="Tahoma"/>
                <w:sz w:val="16"/>
                <w:szCs w:val="16"/>
              </w:rPr>
            </w:pPr>
            <w:r w:rsidRPr="00292F26">
              <w:rPr>
                <w:rFonts w:cs="Tahoma"/>
                <w:sz w:val="16"/>
                <w:szCs w:val="16"/>
              </w:rPr>
              <w:lastRenderedPageBreak/>
              <w:t xml:space="preserve"> Yatırım ortamıyla ilgili işlem maliyetleri azaltılacaktır.</w:t>
            </w:r>
          </w:p>
        </w:tc>
        <w:tc>
          <w:tcPr>
            <w:tcW w:w="1391" w:type="pct"/>
          </w:tcPr>
          <w:p w:rsidR="00565FD5" w:rsidRPr="00292F26" w:rsidRDefault="00565FD5" w:rsidP="00AB62A3">
            <w:pPr>
              <w:spacing w:before="40" w:after="40"/>
              <w:rPr>
                <w:rFonts w:cs="Tahoma"/>
                <w:sz w:val="16"/>
                <w:szCs w:val="16"/>
              </w:rPr>
            </w:pPr>
            <w:r w:rsidRPr="00292F26">
              <w:rPr>
                <w:rFonts w:cs="Tahoma"/>
                <w:sz w:val="16"/>
                <w:szCs w:val="16"/>
              </w:rPr>
              <w:t>Maliye Bakanlığı (S), Gümrük ve Ticaret Bakanlığı, TOBB, TİM, TÜSİAD, YASED, İlgili Kurum ve Kuruluşlar</w:t>
            </w:r>
          </w:p>
        </w:tc>
        <w:tc>
          <w:tcPr>
            <w:tcW w:w="633" w:type="pct"/>
            <w:gridSpan w:val="3"/>
          </w:tcPr>
          <w:p w:rsidR="00565FD5" w:rsidRPr="00292F26" w:rsidRDefault="00565FD5" w:rsidP="00AB62A3">
            <w:pPr>
              <w:spacing w:before="40" w:after="40"/>
              <w:rPr>
                <w:rFonts w:cs="Tahoma"/>
                <w:sz w:val="16"/>
                <w:szCs w:val="16"/>
              </w:rPr>
            </w:pPr>
            <w:r w:rsidRPr="00292F26">
              <w:rPr>
                <w:rFonts w:cs="Tahoma"/>
                <w:sz w:val="16"/>
                <w:szCs w:val="16"/>
              </w:rPr>
              <w:t>Haziran Sonu</w:t>
            </w:r>
          </w:p>
        </w:tc>
        <w:tc>
          <w:tcPr>
            <w:tcW w:w="1558" w:type="pct"/>
          </w:tcPr>
          <w:p w:rsidR="00565FD5" w:rsidRPr="00292F26" w:rsidRDefault="00565FD5" w:rsidP="00AB62A3">
            <w:pPr>
              <w:spacing w:before="40" w:after="40"/>
              <w:rPr>
                <w:rFonts w:cs="Tahoma"/>
                <w:sz w:val="16"/>
                <w:szCs w:val="16"/>
              </w:rPr>
            </w:pPr>
            <w:r w:rsidRPr="00292F26">
              <w:rPr>
                <w:rFonts w:cs="Tahoma"/>
                <w:sz w:val="16"/>
                <w:szCs w:val="16"/>
              </w:rPr>
              <w:t>Damga vergisi ve harç uygulamaları gözden geçirilecektir.</w:t>
            </w:r>
          </w:p>
        </w:tc>
      </w:tr>
      <w:tr w:rsidR="00565FD5" w:rsidRPr="00C91E15" w:rsidTr="00AB62A3">
        <w:trPr>
          <w:trHeight w:val="20"/>
          <w:jc w:val="center"/>
        </w:trPr>
        <w:tc>
          <w:tcPr>
            <w:tcW w:w="5000" w:type="pct"/>
            <w:gridSpan w:val="6"/>
          </w:tcPr>
          <w:p w:rsidR="00565FD5" w:rsidRPr="00C91E15" w:rsidRDefault="00565FD5" w:rsidP="00EB1E69">
            <w:pPr>
              <w:numPr>
                <w:ilvl w:val="0"/>
                <w:numId w:val="15"/>
              </w:numPr>
              <w:tabs>
                <w:tab w:val="left" w:pos="708"/>
              </w:tabs>
              <w:spacing w:after="0" w:line="240" w:lineRule="auto"/>
              <w:jc w:val="both"/>
              <w:rPr>
                <w:rFonts w:cs="Tahoma"/>
                <w:b/>
                <w:bCs/>
                <w:sz w:val="16"/>
                <w:szCs w:val="16"/>
              </w:rPr>
            </w:pPr>
            <w:r w:rsidRPr="00C91E15">
              <w:rPr>
                <w:rFonts w:cs="Tahoma"/>
                <w:b/>
                <w:sz w:val="16"/>
                <w:szCs w:val="16"/>
                <w:lang w:eastAsia="tr-TR"/>
              </w:rPr>
              <w:t>Yatırımların ve ihracatın artırılmasına, KOBİ’lerin, yeni girişimcilerin, esnaf ve sanatkârların rekabet güçlerinin yükseltilmesine ve kooperatiflerin geliştirilmesine yönelik destek mekanizmaları çeşitlendirilecek ve mevcut desteklerin etkinliği artırılacaktır.</w:t>
            </w:r>
          </w:p>
        </w:tc>
      </w:tr>
      <w:tr w:rsidR="00565FD5" w:rsidRPr="00C91E15" w:rsidTr="00AB62A3">
        <w:trPr>
          <w:trHeight w:val="1087"/>
          <w:jc w:val="center"/>
        </w:trPr>
        <w:tc>
          <w:tcPr>
            <w:tcW w:w="1418" w:type="pct"/>
          </w:tcPr>
          <w:p w:rsidR="00565FD5" w:rsidRPr="00C91E15" w:rsidRDefault="00565FD5" w:rsidP="00EB1E69">
            <w:pPr>
              <w:numPr>
                <w:ilvl w:val="0"/>
                <w:numId w:val="14"/>
              </w:numPr>
              <w:autoSpaceDE w:val="0"/>
              <w:autoSpaceDN w:val="0"/>
              <w:adjustRightInd w:val="0"/>
              <w:spacing w:after="0" w:line="240" w:lineRule="auto"/>
              <w:rPr>
                <w:rFonts w:cs="Tahoma"/>
                <w:sz w:val="16"/>
                <w:szCs w:val="16"/>
                <w:lang w:eastAsia="tr-TR"/>
              </w:rPr>
            </w:pPr>
            <w:r w:rsidRPr="00C91E15">
              <w:rPr>
                <w:rFonts w:cs="Tahoma"/>
                <w:sz w:val="16"/>
                <w:szCs w:val="16"/>
                <w:lang w:eastAsia="tr-TR"/>
              </w:rPr>
              <w:t>Kooperatifçilik Destek Programı ve İzleme Değerlendirme Sistemi uygulamaya konulacaktır.</w:t>
            </w:r>
          </w:p>
        </w:tc>
        <w:tc>
          <w:tcPr>
            <w:tcW w:w="1391" w:type="pct"/>
          </w:tcPr>
          <w:p w:rsidR="00565FD5" w:rsidRPr="00C91E15" w:rsidRDefault="00565FD5" w:rsidP="00AB62A3">
            <w:pPr>
              <w:autoSpaceDE w:val="0"/>
              <w:autoSpaceDN w:val="0"/>
              <w:adjustRightInd w:val="0"/>
              <w:rPr>
                <w:rFonts w:cs="Tahoma"/>
                <w:sz w:val="16"/>
                <w:szCs w:val="16"/>
                <w:lang w:eastAsia="tr-TR"/>
              </w:rPr>
            </w:pPr>
            <w:r w:rsidRPr="00C91E15">
              <w:rPr>
                <w:rFonts w:cs="Tahoma"/>
                <w:sz w:val="16"/>
                <w:szCs w:val="16"/>
                <w:lang w:eastAsia="tr-TR"/>
              </w:rPr>
              <w:t>Gümrük ve Ticaret Bakanlığı (S), Gıda, Tarım ve Hayvancılık Bakanlığı, Çevre ve Şehircilik Bakanlığı</w:t>
            </w:r>
          </w:p>
        </w:tc>
        <w:tc>
          <w:tcPr>
            <w:tcW w:w="633" w:type="pct"/>
            <w:gridSpan w:val="3"/>
          </w:tcPr>
          <w:p w:rsidR="00565FD5" w:rsidRPr="00C91E15" w:rsidRDefault="00565FD5" w:rsidP="00AB62A3">
            <w:pPr>
              <w:autoSpaceDE w:val="0"/>
              <w:autoSpaceDN w:val="0"/>
              <w:adjustRightInd w:val="0"/>
              <w:rPr>
                <w:rFonts w:cs="Tahoma"/>
                <w:sz w:val="16"/>
                <w:szCs w:val="16"/>
                <w:lang w:eastAsia="tr-TR"/>
              </w:rPr>
            </w:pPr>
            <w:r w:rsidRPr="00C91E15">
              <w:rPr>
                <w:rFonts w:cs="Tahoma"/>
                <w:sz w:val="16"/>
                <w:szCs w:val="16"/>
                <w:lang w:eastAsia="tr-TR"/>
              </w:rPr>
              <w:t>Aralık Sonu</w:t>
            </w:r>
          </w:p>
        </w:tc>
        <w:tc>
          <w:tcPr>
            <w:tcW w:w="1558" w:type="pct"/>
          </w:tcPr>
          <w:p w:rsidR="00565FD5" w:rsidRPr="00C91E15" w:rsidRDefault="00565FD5" w:rsidP="00AB62A3">
            <w:pPr>
              <w:autoSpaceDE w:val="0"/>
              <w:autoSpaceDN w:val="0"/>
              <w:adjustRightInd w:val="0"/>
              <w:rPr>
                <w:rFonts w:cs="Tahoma"/>
                <w:sz w:val="16"/>
                <w:szCs w:val="16"/>
                <w:lang w:eastAsia="tr-TR"/>
              </w:rPr>
            </w:pPr>
            <w:r w:rsidRPr="00C91E15">
              <w:rPr>
                <w:rFonts w:cs="Tahoma"/>
                <w:sz w:val="16"/>
                <w:szCs w:val="16"/>
                <w:lang w:eastAsia="tr-TR"/>
              </w:rPr>
              <w:t>Kooperatifçiliğin geliştirilmesi</w:t>
            </w:r>
            <w:r>
              <w:rPr>
                <w:rFonts w:cs="Tahoma"/>
                <w:sz w:val="16"/>
                <w:szCs w:val="16"/>
                <w:lang w:eastAsia="tr-TR"/>
              </w:rPr>
              <w:t>ne</w:t>
            </w:r>
            <w:r w:rsidRPr="00C91E15">
              <w:rPr>
                <w:rFonts w:cs="Tahoma"/>
                <w:sz w:val="16"/>
                <w:szCs w:val="16"/>
                <w:lang w:eastAsia="tr-TR"/>
              </w:rPr>
              <w:t xml:space="preserve"> ve yeni kooperatiflerin etkin bir şekilde kurulması</w:t>
            </w:r>
            <w:r>
              <w:rPr>
                <w:rFonts w:cs="Tahoma"/>
                <w:sz w:val="16"/>
                <w:szCs w:val="16"/>
                <w:lang w:eastAsia="tr-TR"/>
              </w:rPr>
              <w:t>na</w:t>
            </w:r>
            <w:r w:rsidRPr="00C91E15">
              <w:rPr>
                <w:rFonts w:cs="Tahoma"/>
                <w:sz w:val="16"/>
                <w:szCs w:val="16"/>
                <w:lang w:eastAsia="tr-TR"/>
              </w:rPr>
              <w:t xml:space="preserve"> </w:t>
            </w:r>
            <w:r>
              <w:rPr>
                <w:rFonts w:cs="Tahoma"/>
                <w:sz w:val="16"/>
                <w:szCs w:val="16"/>
                <w:lang w:eastAsia="tr-TR"/>
              </w:rPr>
              <w:t>yönelik çalışmalar yapılacaktır.</w:t>
            </w:r>
          </w:p>
        </w:tc>
      </w:tr>
      <w:tr w:rsidR="00565FD5" w:rsidRPr="00C91E15" w:rsidTr="00AB62A3">
        <w:trPr>
          <w:trHeight w:val="20"/>
          <w:jc w:val="center"/>
        </w:trPr>
        <w:tc>
          <w:tcPr>
            <w:tcW w:w="1418" w:type="pct"/>
          </w:tcPr>
          <w:p w:rsidR="00565FD5" w:rsidRPr="00C91E15" w:rsidRDefault="00565FD5" w:rsidP="00EB1E69">
            <w:pPr>
              <w:numPr>
                <w:ilvl w:val="0"/>
                <w:numId w:val="14"/>
              </w:numPr>
              <w:autoSpaceDE w:val="0"/>
              <w:autoSpaceDN w:val="0"/>
              <w:adjustRightInd w:val="0"/>
              <w:spacing w:after="0" w:line="240" w:lineRule="auto"/>
              <w:rPr>
                <w:rFonts w:cs="Tahoma"/>
                <w:sz w:val="16"/>
                <w:szCs w:val="16"/>
                <w:lang w:eastAsia="tr-TR"/>
              </w:rPr>
            </w:pPr>
            <w:r w:rsidRPr="00C91E15">
              <w:rPr>
                <w:rFonts w:cs="Tahoma"/>
                <w:sz w:val="16"/>
                <w:szCs w:val="16"/>
                <w:lang w:eastAsia="tr-TR"/>
              </w:rPr>
              <w:t>Esnaf ve sanatkârlara yönelik bir destekleme programı hazırlanacaktır.</w:t>
            </w:r>
          </w:p>
        </w:tc>
        <w:tc>
          <w:tcPr>
            <w:tcW w:w="1391" w:type="pct"/>
          </w:tcPr>
          <w:p w:rsidR="00565FD5" w:rsidRPr="00C91E15" w:rsidRDefault="00565FD5" w:rsidP="00AB62A3">
            <w:pPr>
              <w:autoSpaceDE w:val="0"/>
              <w:autoSpaceDN w:val="0"/>
              <w:adjustRightInd w:val="0"/>
              <w:rPr>
                <w:rFonts w:cs="Tahoma"/>
                <w:sz w:val="16"/>
                <w:szCs w:val="16"/>
                <w:lang w:eastAsia="tr-TR"/>
              </w:rPr>
            </w:pPr>
            <w:r w:rsidRPr="00C91E15">
              <w:rPr>
                <w:rFonts w:cs="Tahoma"/>
                <w:sz w:val="16"/>
                <w:szCs w:val="16"/>
                <w:lang w:eastAsia="tr-TR"/>
              </w:rPr>
              <w:t>Gümrük ve Ticaret Bakanlığı (S), Kalkınma Bakanlığı, KOSGEB, Kalkınma Ajansları</w:t>
            </w:r>
          </w:p>
        </w:tc>
        <w:tc>
          <w:tcPr>
            <w:tcW w:w="633" w:type="pct"/>
            <w:gridSpan w:val="3"/>
          </w:tcPr>
          <w:p w:rsidR="00565FD5" w:rsidRPr="00C91E15" w:rsidRDefault="00565FD5" w:rsidP="00AB62A3">
            <w:pPr>
              <w:autoSpaceDE w:val="0"/>
              <w:autoSpaceDN w:val="0"/>
              <w:adjustRightInd w:val="0"/>
              <w:rPr>
                <w:rFonts w:cs="Tahoma"/>
                <w:sz w:val="16"/>
                <w:szCs w:val="16"/>
                <w:lang w:eastAsia="tr-TR"/>
              </w:rPr>
            </w:pPr>
            <w:r w:rsidRPr="00C91E15">
              <w:rPr>
                <w:rFonts w:cs="Tahoma"/>
                <w:sz w:val="16"/>
                <w:szCs w:val="16"/>
                <w:lang w:eastAsia="tr-TR"/>
              </w:rPr>
              <w:t>Aralık Sonu</w:t>
            </w:r>
          </w:p>
        </w:tc>
        <w:tc>
          <w:tcPr>
            <w:tcW w:w="1558" w:type="pct"/>
          </w:tcPr>
          <w:p w:rsidR="00565FD5" w:rsidRPr="00C91E15" w:rsidRDefault="00565FD5" w:rsidP="00AB62A3">
            <w:pPr>
              <w:autoSpaceDE w:val="0"/>
              <w:autoSpaceDN w:val="0"/>
              <w:adjustRightInd w:val="0"/>
              <w:rPr>
                <w:rFonts w:cs="Tahoma"/>
                <w:sz w:val="16"/>
                <w:szCs w:val="16"/>
                <w:lang w:eastAsia="tr-TR"/>
              </w:rPr>
            </w:pPr>
            <w:r w:rsidRPr="00C91E15">
              <w:rPr>
                <w:rFonts w:cs="Tahoma"/>
                <w:sz w:val="16"/>
                <w:szCs w:val="16"/>
                <w:lang w:eastAsia="tr-TR"/>
              </w:rPr>
              <w:t>Esnaf ve sanatkârların kamu tarafından etkin bir şekilde desteklenmesi amacıyla ihtiyaç analizleri yapılacak ve bu kesime yönelik eğitim, danışmanlık, makine ve teçhizat gibi unsurları içeren bir destek modeli oluşturulacaktır.</w:t>
            </w:r>
          </w:p>
        </w:tc>
      </w:tr>
      <w:tr w:rsidR="00565FD5" w:rsidRPr="00C91E15" w:rsidTr="00AB62A3">
        <w:trPr>
          <w:trHeight w:val="20"/>
          <w:jc w:val="center"/>
        </w:trPr>
        <w:tc>
          <w:tcPr>
            <w:tcW w:w="5000" w:type="pct"/>
            <w:gridSpan w:val="6"/>
          </w:tcPr>
          <w:p w:rsidR="00565FD5" w:rsidRPr="00C91E15" w:rsidRDefault="00565FD5" w:rsidP="00EB1E69">
            <w:pPr>
              <w:numPr>
                <w:ilvl w:val="0"/>
                <w:numId w:val="15"/>
              </w:numPr>
              <w:tabs>
                <w:tab w:val="left" w:pos="708"/>
              </w:tabs>
              <w:spacing w:after="0" w:line="240" w:lineRule="auto"/>
              <w:jc w:val="both"/>
              <w:rPr>
                <w:rFonts w:cs="Tahoma"/>
                <w:b/>
                <w:sz w:val="16"/>
                <w:szCs w:val="16"/>
                <w:lang w:eastAsia="tr-TR"/>
              </w:rPr>
            </w:pPr>
            <w:r w:rsidRPr="00C91E15">
              <w:rPr>
                <w:rFonts w:cs="Tahoma"/>
                <w:b/>
                <w:color w:val="000000"/>
                <w:sz w:val="16"/>
                <w:szCs w:val="16"/>
              </w:rPr>
              <w:t>Başta mevcut rekabet gücü yüksek olanlar olmak üzere; yenilik kapasitesini, verimliliği, ihracatı artıran ve girişimciliği geliştiren kümelenme oluşumları desteklenecektir</w:t>
            </w:r>
            <w:r w:rsidRPr="00C91E15">
              <w:rPr>
                <w:rFonts w:cs="Tahoma"/>
                <w:color w:val="000000"/>
                <w:sz w:val="16"/>
                <w:szCs w:val="16"/>
              </w:rPr>
              <w:t xml:space="preserve">. </w:t>
            </w:r>
          </w:p>
        </w:tc>
      </w:tr>
      <w:tr w:rsidR="00565FD5" w:rsidRPr="00C91E15" w:rsidTr="00AB62A3">
        <w:trPr>
          <w:trHeight w:val="20"/>
          <w:jc w:val="center"/>
        </w:trPr>
        <w:tc>
          <w:tcPr>
            <w:tcW w:w="1418" w:type="pct"/>
          </w:tcPr>
          <w:p w:rsidR="00565FD5" w:rsidRPr="00C91E15" w:rsidRDefault="00565FD5" w:rsidP="00EB1E69">
            <w:pPr>
              <w:numPr>
                <w:ilvl w:val="0"/>
                <w:numId w:val="14"/>
              </w:numPr>
              <w:autoSpaceDE w:val="0"/>
              <w:autoSpaceDN w:val="0"/>
              <w:adjustRightInd w:val="0"/>
              <w:spacing w:before="60" w:after="60" w:line="240" w:lineRule="auto"/>
              <w:rPr>
                <w:rFonts w:cs="Tahoma"/>
                <w:sz w:val="16"/>
                <w:szCs w:val="16"/>
                <w:lang w:eastAsia="tr-TR"/>
              </w:rPr>
            </w:pPr>
            <w:r w:rsidRPr="00C91E15">
              <w:rPr>
                <w:rFonts w:cs="Tahoma"/>
                <w:sz w:val="16"/>
                <w:szCs w:val="16"/>
                <w:lang w:eastAsia="tr-TR"/>
              </w:rPr>
              <w:t xml:space="preserve">Rekabetçilik ve yenilik alanlarında ulusal küme destek programı başlatılacaktır. </w:t>
            </w:r>
          </w:p>
        </w:tc>
        <w:tc>
          <w:tcPr>
            <w:tcW w:w="1391" w:type="pct"/>
          </w:tcPr>
          <w:p w:rsidR="00565FD5" w:rsidRPr="00C91E15" w:rsidRDefault="00565FD5" w:rsidP="00AB62A3">
            <w:pPr>
              <w:autoSpaceDE w:val="0"/>
              <w:autoSpaceDN w:val="0"/>
              <w:adjustRightInd w:val="0"/>
              <w:spacing w:before="60" w:after="60"/>
              <w:rPr>
                <w:rFonts w:cs="Tahoma"/>
                <w:sz w:val="16"/>
                <w:szCs w:val="16"/>
                <w:lang w:eastAsia="tr-TR"/>
              </w:rPr>
            </w:pPr>
            <w:r w:rsidRPr="00C91E15">
              <w:rPr>
                <w:rFonts w:cs="Tahoma"/>
                <w:sz w:val="16"/>
                <w:szCs w:val="16"/>
                <w:lang w:eastAsia="tr-TR"/>
              </w:rPr>
              <w:t>Bilim, Sanayi ve Teknoloji Bakanlığı (S), Kalkınma Bakanlığı, Ekonomi Bakanlığı, KOSGEB, TOBB</w:t>
            </w:r>
          </w:p>
        </w:tc>
        <w:tc>
          <w:tcPr>
            <w:tcW w:w="633" w:type="pct"/>
            <w:gridSpan w:val="3"/>
          </w:tcPr>
          <w:p w:rsidR="00565FD5" w:rsidRPr="00C91E15" w:rsidRDefault="00565FD5" w:rsidP="00AB62A3">
            <w:pPr>
              <w:autoSpaceDE w:val="0"/>
              <w:autoSpaceDN w:val="0"/>
              <w:adjustRightInd w:val="0"/>
              <w:spacing w:before="60" w:after="60"/>
              <w:rPr>
                <w:rFonts w:cs="Tahoma"/>
                <w:sz w:val="16"/>
                <w:szCs w:val="16"/>
                <w:lang w:eastAsia="tr-TR"/>
              </w:rPr>
            </w:pPr>
            <w:r w:rsidRPr="00C91E15">
              <w:rPr>
                <w:rFonts w:cs="Tahoma"/>
                <w:sz w:val="16"/>
                <w:szCs w:val="16"/>
                <w:lang w:eastAsia="tr-TR"/>
              </w:rPr>
              <w:t>Aralık Sonu</w:t>
            </w:r>
          </w:p>
        </w:tc>
        <w:tc>
          <w:tcPr>
            <w:tcW w:w="1558" w:type="pct"/>
          </w:tcPr>
          <w:p w:rsidR="00565FD5" w:rsidRPr="00C91E15" w:rsidRDefault="00565FD5" w:rsidP="00AB62A3">
            <w:pPr>
              <w:autoSpaceDE w:val="0"/>
              <w:autoSpaceDN w:val="0"/>
              <w:adjustRightInd w:val="0"/>
              <w:spacing w:before="60" w:after="60"/>
              <w:rPr>
                <w:rFonts w:cs="Tahoma"/>
                <w:sz w:val="16"/>
                <w:szCs w:val="16"/>
                <w:lang w:eastAsia="tr-TR"/>
              </w:rPr>
            </w:pPr>
            <w:r w:rsidRPr="00C91E15">
              <w:rPr>
                <w:rFonts w:cs="Tahoma"/>
                <w:sz w:val="16"/>
                <w:szCs w:val="16"/>
                <w:lang w:eastAsia="tr-TR"/>
              </w:rPr>
              <w:t>Hazırlıkları tamamlanan küme destek programı uygulamaya konulacaktır. Bu kapsamda; kümelere yönelik yönetişim, yenilik ve teknoloji geliştirme, üniversite-sanayi işbirliği, verimlilik ve sosyal sermaye alanlarındaki projelere eş finansman sağlanacaktır.</w:t>
            </w:r>
          </w:p>
        </w:tc>
      </w:tr>
      <w:tr w:rsidR="00565FD5" w:rsidRPr="00C91E15" w:rsidTr="00AB62A3">
        <w:trPr>
          <w:trHeight w:val="20"/>
          <w:jc w:val="center"/>
        </w:trPr>
        <w:tc>
          <w:tcPr>
            <w:tcW w:w="1418" w:type="pct"/>
          </w:tcPr>
          <w:p w:rsidR="00565FD5" w:rsidRPr="00292F26" w:rsidRDefault="00565FD5" w:rsidP="00EB1E69">
            <w:pPr>
              <w:numPr>
                <w:ilvl w:val="0"/>
                <w:numId w:val="14"/>
              </w:numPr>
              <w:tabs>
                <w:tab w:val="left" w:pos="425"/>
              </w:tabs>
              <w:spacing w:before="40" w:after="40" w:line="240" w:lineRule="auto"/>
              <w:ind w:left="34"/>
              <w:rPr>
                <w:rFonts w:cs="Tahoma"/>
                <w:sz w:val="16"/>
                <w:szCs w:val="16"/>
              </w:rPr>
            </w:pPr>
            <w:r w:rsidRPr="00292F26">
              <w:rPr>
                <w:rFonts w:cs="Tahoma"/>
                <w:sz w:val="16"/>
                <w:szCs w:val="16"/>
              </w:rPr>
              <w:t xml:space="preserve"> KOBİ birleşmelerine ilişkin vergi teşvikinin yeniden ve süreli olarak hayata geçirilmesi sağlanacaktır.</w:t>
            </w:r>
          </w:p>
        </w:tc>
        <w:tc>
          <w:tcPr>
            <w:tcW w:w="1391" w:type="pct"/>
          </w:tcPr>
          <w:p w:rsidR="00565FD5" w:rsidRPr="00292F26" w:rsidRDefault="00565FD5" w:rsidP="00AB62A3">
            <w:pPr>
              <w:spacing w:before="40" w:after="40"/>
              <w:rPr>
                <w:rFonts w:cs="Tahoma"/>
                <w:sz w:val="16"/>
                <w:szCs w:val="16"/>
              </w:rPr>
            </w:pPr>
            <w:r w:rsidRPr="00292F26">
              <w:rPr>
                <w:rFonts w:cs="Tahoma"/>
                <w:sz w:val="16"/>
                <w:szCs w:val="16"/>
              </w:rPr>
              <w:t>Maliye Bakanlığı (S), KOSGEB, TOBB, TİM. TÜSİAD, YASED ve İlgili Kurum ve Kuruluşlar</w:t>
            </w:r>
          </w:p>
        </w:tc>
        <w:tc>
          <w:tcPr>
            <w:tcW w:w="633" w:type="pct"/>
            <w:gridSpan w:val="3"/>
          </w:tcPr>
          <w:p w:rsidR="00565FD5" w:rsidRPr="00292F26" w:rsidRDefault="00565FD5" w:rsidP="00AB62A3">
            <w:pPr>
              <w:spacing w:before="40" w:after="40"/>
              <w:rPr>
                <w:rFonts w:cs="Tahoma"/>
                <w:sz w:val="16"/>
                <w:szCs w:val="16"/>
              </w:rPr>
            </w:pPr>
            <w:r w:rsidRPr="00292F26">
              <w:rPr>
                <w:rFonts w:cs="Tahoma"/>
                <w:sz w:val="16"/>
                <w:szCs w:val="16"/>
              </w:rPr>
              <w:t>Haziran Sonu</w:t>
            </w:r>
          </w:p>
        </w:tc>
        <w:tc>
          <w:tcPr>
            <w:tcW w:w="1558" w:type="pct"/>
          </w:tcPr>
          <w:p w:rsidR="00565FD5" w:rsidRPr="00292F26" w:rsidRDefault="00565FD5" w:rsidP="00AB62A3">
            <w:pPr>
              <w:spacing w:before="40" w:after="40"/>
              <w:rPr>
                <w:rFonts w:cs="Tahoma"/>
                <w:sz w:val="16"/>
                <w:szCs w:val="16"/>
              </w:rPr>
            </w:pPr>
            <w:r w:rsidRPr="00292F26">
              <w:rPr>
                <w:rFonts w:cs="Tahoma"/>
                <w:sz w:val="16"/>
                <w:szCs w:val="16"/>
              </w:rPr>
              <w:t>Kümelenmenin gerçekleştirilmesi ve işletmelerin optimal işletme büyüklüğüne ulaştırılması amacıyla işletme sabit kıymetlerinin güncel değerleriyle vergisiz olarak birleştirilmeleri sağlanacaktır.</w:t>
            </w:r>
          </w:p>
        </w:tc>
      </w:tr>
      <w:tr w:rsidR="00565FD5" w:rsidRPr="00C91E15" w:rsidTr="00AB62A3">
        <w:trPr>
          <w:trHeight w:val="20"/>
          <w:jc w:val="center"/>
        </w:trPr>
        <w:tc>
          <w:tcPr>
            <w:tcW w:w="5000" w:type="pct"/>
            <w:gridSpan w:val="6"/>
          </w:tcPr>
          <w:p w:rsidR="00565FD5" w:rsidRPr="00C91E15" w:rsidRDefault="00565FD5" w:rsidP="00EB1E69">
            <w:pPr>
              <w:numPr>
                <w:ilvl w:val="0"/>
                <w:numId w:val="15"/>
              </w:numPr>
              <w:autoSpaceDE w:val="0"/>
              <w:autoSpaceDN w:val="0"/>
              <w:adjustRightInd w:val="0"/>
              <w:spacing w:before="60" w:after="60" w:line="240" w:lineRule="auto"/>
              <w:jc w:val="both"/>
              <w:rPr>
                <w:rFonts w:cs="Tahoma"/>
                <w:b/>
                <w:bCs/>
                <w:sz w:val="16"/>
                <w:szCs w:val="16"/>
              </w:rPr>
            </w:pPr>
            <w:r w:rsidRPr="00C91E15">
              <w:rPr>
                <w:rFonts w:cs="Tahoma"/>
                <w:b/>
                <w:sz w:val="16"/>
                <w:szCs w:val="16"/>
                <w:lang w:eastAsia="tr-TR"/>
              </w:rPr>
              <w:t xml:space="preserve">KOBİ’lerin finansmana erişimlerinin artırılması amacıyla; destekler etkinleştirilecek, finansal araçlar çeşitlendirilecek ve KOBİ’lerin muhasebe ve </w:t>
            </w:r>
            <w:r w:rsidRPr="00C91E15">
              <w:rPr>
                <w:rFonts w:cs="Tahoma"/>
                <w:b/>
                <w:sz w:val="16"/>
                <w:szCs w:val="16"/>
              </w:rPr>
              <w:t>finansal raporlama standartlarına uyum sağlamaları temin edilecektir.</w:t>
            </w:r>
          </w:p>
        </w:tc>
      </w:tr>
      <w:tr w:rsidR="00565FD5" w:rsidRPr="00C91E15" w:rsidTr="00AB62A3">
        <w:trPr>
          <w:trHeight w:val="20"/>
          <w:jc w:val="center"/>
        </w:trPr>
        <w:tc>
          <w:tcPr>
            <w:tcW w:w="1418" w:type="pct"/>
          </w:tcPr>
          <w:p w:rsidR="00565FD5" w:rsidRPr="00C91E15" w:rsidRDefault="00565FD5" w:rsidP="00EB1E69">
            <w:pPr>
              <w:numPr>
                <w:ilvl w:val="0"/>
                <w:numId w:val="14"/>
              </w:numPr>
              <w:autoSpaceDE w:val="0"/>
              <w:autoSpaceDN w:val="0"/>
              <w:adjustRightInd w:val="0"/>
              <w:spacing w:before="60" w:after="60" w:line="240" w:lineRule="auto"/>
              <w:rPr>
                <w:rFonts w:cs="Tahoma"/>
                <w:sz w:val="16"/>
                <w:szCs w:val="16"/>
                <w:lang w:eastAsia="tr-TR"/>
              </w:rPr>
            </w:pPr>
            <w:r w:rsidRPr="00C91E15">
              <w:rPr>
                <w:rFonts w:cs="Tahoma"/>
                <w:sz w:val="16"/>
                <w:szCs w:val="16"/>
                <w:lang w:eastAsia="tr-TR"/>
              </w:rPr>
              <w:t xml:space="preserve">KGF A.Ş.’nin </w:t>
            </w:r>
            <w:r w:rsidRPr="00C91E15">
              <w:rPr>
                <w:rFonts w:cs="Tahoma"/>
                <w:sz w:val="16"/>
                <w:szCs w:val="16"/>
                <w:lang w:eastAsia="tr-TR"/>
              </w:rPr>
              <w:lastRenderedPageBreak/>
              <w:t>geliştirilmesi ve uygulamanın yaygınlaştırılması sağlanacaktır.</w:t>
            </w:r>
          </w:p>
        </w:tc>
        <w:tc>
          <w:tcPr>
            <w:tcW w:w="1391" w:type="pct"/>
          </w:tcPr>
          <w:p w:rsidR="00565FD5" w:rsidRPr="00C91E15" w:rsidRDefault="00565FD5" w:rsidP="00AB62A3">
            <w:pPr>
              <w:autoSpaceDE w:val="0"/>
              <w:autoSpaceDN w:val="0"/>
              <w:adjustRightInd w:val="0"/>
              <w:spacing w:before="60" w:after="60"/>
              <w:rPr>
                <w:rFonts w:cs="Tahoma"/>
                <w:sz w:val="16"/>
                <w:szCs w:val="16"/>
                <w:lang w:eastAsia="tr-TR"/>
              </w:rPr>
            </w:pPr>
            <w:r w:rsidRPr="00C91E15">
              <w:rPr>
                <w:rFonts w:cs="Tahoma"/>
                <w:sz w:val="16"/>
                <w:szCs w:val="16"/>
                <w:lang w:eastAsia="tr-TR"/>
              </w:rPr>
              <w:lastRenderedPageBreak/>
              <w:t xml:space="preserve">KOSGEB (S), TOBB, Bilim, </w:t>
            </w:r>
            <w:r w:rsidRPr="00C91E15">
              <w:rPr>
                <w:rFonts w:cs="Tahoma"/>
                <w:sz w:val="16"/>
                <w:szCs w:val="16"/>
                <w:lang w:eastAsia="tr-TR"/>
              </w:rPr>
              <w:lastRenderedPageBreak/>
              <w:t>Sanayi ve Teknoloji Bakanlığı, Kalkınma Bakanlığı, Hazine Müsteşarlığı</w:t>
            </w:r>
          </w:p>
        </w:tc>
        <w:tc>
          <w:tcPr>
            <w:tcW w:w="633" w:type="pct"/>
            <w:gridSpan w:val="3"/>
          </w:tcPr>
          <w:p w:rsidR="00565FD5" w:rsidRPr="00C91E15" w:rsidRDefault="00565FD5" w:rsidP="00AB62A3">
            <w:pPr>
              <w:autoSpaceDE w:val="0"/>
              <w:autoSpaceDN w:val="0"/>
              <w:adjustRightInd w:val="0"/>
              <w:spacing w:before="60" w:after="60"/>
              <w:rPr>
                <w:rFonts w:cs="Tahoma"/>
                <w:sz w:val="16"/>
                <w:szCs w:val="16"/>
                <w:lang w:eastAsia="tr-TR"/>
              </w:rPr>
            </w:pPr>
            <w:r w:rsidRPr="00C91E15">
              <w:rPr>
                <w:rFonts w:cs="Tahoma"/>
                <w:sz w:val="16"/>
                <w:szCs w:val="16"/>
                <w:lang w:eastAsia="tr-TR"/>
              </w:rPr>
              <w:lastRenderedPageBreak/>
              <w:t xml:space="preserve">Aralık </w:t>
            </w:r>
            <w:r w:rsidRPr="00C91E15">
              <w:rPr>
                <w:rFonts w:cs="Tahoma"/>
                <w:sz w:val="16"/>
                <w:szCs w:val="16"/>
                <w:lang w:eastAsia="tr-TR"/>
              </w:rPr>
              <w:lastRenderedPageBreak/>
              <w:t>Sonu</w:t>
            </w:r>
          </w:p>
        </w:tc>
        <w:tc>
          <w:tcPr>
            <w:tcW w:w="1558" w:type="pct"/>
          </w:tcPr>
          <w:p w:rsidR="00565FD5" w:rsidRPr="00C91E15" w:rsidRDefault="00565FD5" w:rsidP="00AB62A3">
            <w:pPr>
              <w:autoSpaceDE w:val="0"/>
              <w:autoSpaceDN w:val="0"/>
              <w:adjustRightInd w:val="0"/>
              <w:spacing w:before="60" w:after="60"/>
              <w:rPr>
                <w:rFonts w:cs="Tahoma"/>
                <w:sz w:val="16"/>
                <w:szCs w:val="16"/>
                <w:lang w:eastAsia="tr-TR"/>
              </w:rPr>
            </w:pPr>
            <w:r w:rsidRPr="00C91E15">
              <w:rPr>
                <w:rFonts w:cs="Tahoma"/>
                <w:sz w:val="16"/>
                <w:szCs w:val="16"/>
                <w:lang w:eastAsia="tr-TR"/>
              </w:rPr>
              <w:lastRenderedPageBreak/>
              <w:t xml:space="preserve">KGF A.Ş.’nin iş süreçlerinin, </w:t>
            </w:r>
            <w:r w:rsidRPr="00C91E15">
              <w:rPr>
                <w:rFonts w:cs="Tahoma"/>
                <w:sz w:val="16"/>
                <w:szCs w:val="16"/>
                <w:lang w:eastAsia="tr-TR"/>
              </w:rPr>
              <w:lastRenderedPageBreak/>
              <w:t xml:space="preserve">kurumsal yapısının ve destek performansının iyileştirilmesine yönelik çalışmalar yürütülecektir. </w:t>
            </w:r>
          </w:p>
        </w:tc>
      </w:tr>
      <w:tr w:rsidR="00565FD5" w:rsidRPr="009E5A8E" w:rsidTr="00AB62A3">
        <w:trPr>
          <w:trHeight w:val="20"/>
          <w:jc w:val="center"/>
        </w:trPr>
        <w:tc>
          <w:tcPr>
            <w:tcW w:w="5000" w:type="pct"/>
            <w:gridSpan w:val="6"/>
          </w:tcPr>
          <w:p w:rsidR="00565FD5" w:rsidRPr="00206DFD" w:rsidRDefault="00565FD5" w:rsidP="00EB1E69">
            <w:pPr>
              <w:numPr>
                <w:ilvl w:val="0"/>
                <w:numId w:val="15"/>
              </w:numPr>
              <w:tabs>
                <w:tab w:val="left" w:pos="425"/>
              </w:tabs>
              <w:spacing w:before="60" w:after="60" w:line="240" w:lineRule="auto"/>
              <w:jc w:val="both"/>
              <w:rPr>
                <w:rFonts w:cs="Tahoma"/>
                <w:b/>
                <w:sz w:val="16"/>
                <w:szCs w:val="16"/>
                <w:lang w:eastAsia="tr-TR"/>
              </w:rPr>
            </w:pPr>
            <w:r w:rsidRPr="00206DFD">
              <w:rPr>
                <w:rFonts w:cs="Tahoma"/>
                <w:b/>
                <w:sz w:val="16"/>
                <w:szCs w:val="16"/>
                <w:lang w:eastAsia="tr-TR"/>
              </w:rPr>
              <w:lastRenderedPageBreak/>
              <w:t>Gümrük altyapısının geliştirilmesi ve işlemlerin kolaylaştırılması çalışmalarına devam edilecektir.</w:t>
            </w:r>
          </w:p>
        </w:tc>
      </w:tr>
      <w:tr w:rsidR="00565FD5" w:rsidRPr="009E5A8E" w:rsidTr="00AB62A3">
        <w:trPr>
          <w:trHeight w:val="20"/>
          <w:jc w:val="center"/>
        </w:trPr>
        <w:tc>
          <w:tcPr>
            <w:tcW w:w="1418" w:type="pct"/>
          </w:tcPr>
          <w:p w:rsidR="00565FD5" w:rsidRPr="0080051C" w:rsidRDefault="00565FD5" w:rsidP="00EB1E69">
            <w:pPr>
              <w:numPr>
                <w:ilvl w:val="0"/>
                <w:numId w:val="14"/>
              </w:numPr>
              <w:tabs>
                <w:tab w:val="left" w:pos="425"/>
              </w:tabs>
              <w:autoSpaceDE w:val="0"/>
              <w:autoSpaceDN w:val="0"/>
              <w:adjustRightInd w:val="0"/>
              <w:spacing w:before="60" w:after="60" w:line="240" w:lineRule="auto"/>
              <w:rPr>
                <w:rFonts w:cs="Tahoma"/>
                <w:sz w:val="16"/>
                <w:szCs w:val="16"/>
                <w:lang w:eastAsia="tr-TR"/>
              </w:rPr>
            </w:pPr>
            <w:r w:rsidRPr="0080051C">
              <w:rPr>
                <w:rFonts w:cs="Tahoma"/>
                <w:sz w:val="16"/>
                <w:szCs w:val="16"/>
                <w:lang w:eastAsia="tr-TR"/>
              </w:rPr>
              <w:t>Gümrük iş ve işlemleri basitleştirilecek ve kolaylaştırılacaktır.</w:t>
            </w:r>
          </w:p>
        </w:tc>
        <w:tc>
          <w:tcPr>
            <w:tcW w:w="1391" w:type="pct"/>
          </w:tcPr>
          <w:p w:rsidR="00565FD5" w:rsidRPr="009E5A8E" w:rsidRDefault="00565FD5" w:rsidP="00AB62A3">
            <w:pPr>
              <w:autoSpaceDE w:val="0"/>
              <w:autoSpaceDN w:val="0"/>
              <w:adjustRightInd w:val="0"/>
              <w:spacing w:before="60" w:after="60"/>
              <w:rPr>
                <w:rFonts w:cs="Tahoma"/>
                <w:sz w:val="16"/>
                <w:szCs w:val="16"/>
                <w:lang w:eastAsia="tr-TR"/>
              </w:rPr>
            </w:pPr>
            <w:r w:rsidRPr="0080051C">
              <w:rPr>
                <w:rFonts w:cs="Tahoma"/>
                <w:sz w:val="16"/>
                <w:szCs w:val="16"/>
                <w:lang w:eastAsia="tr-TR"/>
              </w:rPr>
              <w:t>Gümrük ve Ticaret Bakanlığı (S), İlgili kamu kurum ve kuruluşları ve Meslek Odaları</w:t>
            </w:r>
          </w:p>
        </w:tc>
        <w:tc>
          <w:tcPr>
            <w:tcW w:w="626" w:type="pct"/>
            <w:gridSpan w:val="2"/>
          </w:tcPr>
          <w:p w:rsidR="00565FD5" w:rsidRPr="009E5A8E" w:rsidRDefault="00565FD5" w:rsidP="00AB62A3">
            <w:pPr>
              <w:autoSpaceDE w:val="0"/>
              <w:autoSpaceDN w:val="0"/>
              <w:adjustRightInd w:val="0"/>
              <w:spacing w:before="60" w:after="60"/>
              <w:rPr>
                <w:rFonts w:cs="Tahoma"/>
                <w:sz w:val="16"/>
                <w:szCs w:val="16"/>
                <w:lang w:eastAsia="tr-TR"/>
              </w:rPr>
            </w:pPr>
            <w:r w:rsidRPr="00206DFD">
              <w:rPr>
                <w:rFonts w:cs="Tahoma"/>
                <w:sz w:val="16"/>
                <w:szCs w:val="16"/>
                <w:lang w:eastAsia="tr-TR"/>
              </w:rPr>
              <w:t>Aralık Sonu</w:t>
            </w:r>
          </w:p>
        </w:tc>
        <w:tc>
          <w:tcPr>
            <w:tcW w:w="1565" w:type="pct"/>
            <w:gridSpan w:val="2"/>
          </w:tcPr>
          <w:p w:rsidR="00565FD5" w:rsidRPr="009E5A8E" w:rsidRDefault="00565FD5" w:rsidP="00AB62A3">
            <w:pPr>
              <w:autoSpaceDE w:val="0"/>
              <w:autoSpaceDN w:val="0"/>
              <w:adjustRightInd w:val="0"/>
              <w:spacing w:before="60" w:after="60"/>
              <w:rPr>
                <w:rFonts w:cs="Tahoma"/>
                <w:sz w:val="16"/>
                <w:szCs w:val="16"/>
                <w:lang w:eastAsia="tr-TR"/>
              </w:rPr>
            </w:pPr>
            <w:r w:rsidRPr="0080051C">
              <w:rPr>
                <w:rFonts w:cs="Tahoma"/>
                <w:sz w:val="16"/>
                <w:szCs w:val="16"/>
                <w:lang w:eastAsia="tr-TR"/>
              </w:rPr>
              <w:t>Gümrük iş ve işlemlerinin</w:t>
            </w:r>
            <w:r>
              <w:rPr>
                <w:rFonts w:cs="Tahoma"/>
                <w:sz w:val="16"/>
                <w:szCs w:val="16"/>
                <w:lang w:eastAsia="tr-TR"/>
              </w:rPr>
              <w:t xml:space="preserve"> </w:t>
            </w:r>
            <w:r w:rsidRPr="0080051C">
              <w:rPr>
                <w:rFonts w:cs="Tahoma"/>
                <w:sz w:val="16"/>
                <w:szCs w:val="16"/>
                <w:lang w:eastAsia="tr-TR"/>
              </w:rPr>
              <w:t>basitleştirilmesi ve</w:t>
            </w:r>
            <w:r>
              <w:rPr>
                <w:rFonts w:cs="Tahoma"/>
                <w:sz w:val="16"/>
                <w:szCs w:val="16"/>
                <w:lang w:eastAsia="tr-TR"/>
              </w:rPr>
              <w:t xml:space="preserve"> </w:t>
            </w:r>
            <w:r w:rsidRPr="0080051C">
              <w:rPr>
                <w:rFonts w:cs="Tahoma"/>
                <w:sz w:val="16"/>
                <w:szCs w:val="16"/>
                <w:lang w:eastAsia="tr-TR"/>
              </w:rPr>
              <w:t>kolaylaştırılması ile işlemlerin</w:t>
            </w:r>
            <w:r>
              <w:rPr>
                <w:rFonts w:cs="Tahoma"/>
                <w:sz w:val="16"/>
                <w:szCs w:val="16"/>
                <w:lang w:eastAsia="tr-TR"/>
              </w:rPr>
              <w:t xml:space="preserve"> </w:t>
            </w:r>
            <w:r w:rsidRPr="0080051C">
              <w:rPr>
                <w:rFonts w:cs="Tahoma"/>
                <w:sz w:val="16"/>
                <w:szCs w:val="16"/>
                <w:lang w:eastAsia="tr-TR"/>
              </w:rPr>
              <w:t>hızlandırılması ve</w:t>
            </w:r>
            <w:r>
              <w:rPr>
                <w:rFonts w:cs="Tahoma"/>
                <w:sz w:val="16"/>
                <w:szCs w:val="16"/>
                <w:lang w:eastAsia="tr-TR"/>
              </w:rPr>
              <w:t xml:space="preserve"> </w:t>
            </w:r>
            <w:r w:rsidRPr="0080051C">
              <w:rPr>
                <w:rFonts w:cs="Tahoma"/>
                <w:sz w:val="16"/>
                <w:szCs w:val="16"/>
                <w:lang w:eastAsia="tr-TR"/>
              </w:rPr>
              <w:t>maliyetlerin düşürülmesi</w:t>
            </w:r>
            <w:r>
              <w:rPr>
                <w:rFonts w:cs="Tahoma"/>
                <w:sz w:val="16"/>
                <w:szCs w:val="16"/>
                <w:lang w:eastAsia="tr-TR"/>
              </w:rPr>
              <w:t xml:space="preserve"> </w:t>
            </w:r>
            <w:r w:rsidRPr="0080051C">
              <w:rPr>
                <w:rFonts w:cs="Tahoma"/>
                <w:sz w:val="16"/>
                <w:szCs w:val="16"/>
                <w:lang w:eastAsia="tr-TR"/>
              </w:rPr>
              <w:t>amacıyla yetkilendirilmiş</w:t>
            </w:r>
            <w:r>
              <w:rPr>
                <w:rFonts w:cs="Tahoma"/>
                <w:sz w:val="16"/>
                <w:szCs w:val="16"/>
                <w:lang w:eastAsia="tr-TR"/>
              </w:rPr>
              <w:t xml:space="preserve"> </w:t>
            </w:r>
            <w:r w:rsidRPr="0080051C">
              <w:rPr>
                <w:rFonts w:cs="Tahoma"/>
                <w:sz w:val="16"/>
                <w:szCs w:val="16"/>
                <w:lang w:eastAsia="tr-TR"/>
              </w:rPr>
              <w:t>yükümlü statüsü hayata</w:t>
            </w:r>
            <w:r>
              <w:rPr>
                <w:rFonts w:cs="Tahoma"/>
                <w:sz w:val="16"/>
                <w:szCs w:val="16"/>
                <w:lang w:eastAsia="tr-TR"/>
              </w:rPr>
              <w:t xml:space="preserve"> </w:t>
            </w:r>
            <w:r w:rsidRPr="0080051C">
              <w:rPr>
                <w:rFonts w:cs="Tahoma"/>
                <w:sz w:val="16"/>
                <w:szCs w:val="16"/>
                <w:lang w:eastAsia="tr-TR"/>
              </w:rPr>
              <w:t>geçirilecek ve ihracat</w:t>
            </w:r>
            <w:r>
              <w:rPr>
                <w:rFonts w:cs="Tahoma"/>
                <w:sz w:val="16"/>
                <w:szCs w:val="16"/>
                <w:lang w:eastAsia="tr-TR"/>
              </w:rPr>
              <w:t xml:space="preserve"> </w:t>
            </w:r>
            <w:r w:rsidRPr="0080051C">
              <w:rPr>
                <w:rFonts w:cs="Tahoma"/>
                <w:sz w:val="16"/>
                <w:szCs w:val="16"/>
                <w:lang w:eastAsia="tr-TR"/>
              </w:rPr>
              <w:t>sürecinde, eşyanın gümrük</w:t>
            </w:r>
            <w:r>
              <w:rPr>
                <w:rFonts w:cs="Tahoma"/>
                <w:sz w:val="16"/>
                <w:szCs w:val="16"/>
                <w:lang w:eastAsia="tr-TR"/>
              </w:rPr>
              <w:t xml:space="preserve"> </w:t>
            </w:r>
            <w:r w:rsidRPr="0080051C">
              <w:rPr>
                <w:rFonts w:cs="Tahoma"/>
                <w:sz w:val="16"/>
                <w:szCs w:val="16"/>
                <w:lang w:eastAsia="tr-TR"/>
              </w:rPr>
              <w:t>idaresine getirilmeden</w:t>
            </w:r>
            <w:r>
              <w:rPr>
                <w:rFonts w:cs="Tahoma"/>
                <w:sz w:val="16"/>
                <w:szCs w:val="16"/>
                <w:lang w:eastAsia="tr-TR"/>
              </w:rPr>
              <w:t xml:space="preserve"> </w:t>
            </w:r>
            <w:r w:rsidRPr="0080051C">
              <w:rPr>
                <w:rFonts w:cs="Tahoma"/>
                <w:sz w:val="16"/>
                <w:szCs w:val="16"/>
                <w:lang w:eastAsia="tr-TR"/>
              </w:rPr>
              <w:t>firmanın ya da taşıyıcının</w:t>
            </w:r>
            <w:r>
              <w:rPr>
                <w:rFonts w:cs="Tahoma"/>
                <w:sz w:val="16"/>
                <w:szCs w:val="16"/>
                <w:lang w:eastAsia="tr-TR"/>
              </w:rPr>
              <w:t xml:space="preserve"> </w:t>
            </w:r>
            <w:r w:rsidRPr="0080051C">
              <w:rPr>
                <w:rFonts w:cs="Tahoma"/>
                <w:sz w:val="16"/>
                <w:szCs w:val="16"/>
                <w:lang w:eastAsia="tr-TR"/>
              </w:rPr>
              <w:t>tesislerinden sevk edilmesine</w:t>
            </w:r>
            <w:r>
              <w:rPr>
                <w:rFonts w:cs="Tahoma"/>
                <w:sz w:val="16"/>
                <w:szCs w:val="16"/>
                <w:lang w:eastAsia="tr-TR"/>
              </w:rPr>
              <w:t xml:space="preserve"> </w:t>
            </w:r>
            <w:r w:rsidRPr="0080051C">
              <w:rPr>
                <w:rFonts w:cs="Tahoma"/>
                <w:sz w:val="16"/>
                <w:szCs w:val="16"/>
                <w:lang w:eastAsia="tr-TR"/>
              </w:rPr>
              <w:t>yönelik uygulama</w:t>
            </w:r>
            <w:r>
              <w:rPr>
                <w:rFonts w:cs="Tahoma"/>
                <w:sz w:val="16"/>
                <w:szCs w:val="16"/>
                <w:lang w:eastAsia="tr-TR"/>
              </w:rPr>
              <w:t xml:space="preserve"> </w:t>
            </w:r>
            <w:r w:rsidRPr="0080051C">
              <w:rPr>
                <w:rFonts w:cs="Tahoma"/>
                <w:sz w:val="16"/>
                <w:szCs w:val="16"/>
                <w:lang w:eastAsia="tr-TR"/>
              </w:rPr>
              <w:t>başlatılacaktır. İthalat</w:t>
            </w:r>
            <w:r>
              <w:rPr>
                <w:rFonts w:cs="Tahoma"/>
                <w:sz w:val="16"/>
                <w:szCs w:val="16"/>
                <w:lang w:eastAsia="tr-TR"/>
              </w:rPr>
              <w:t xml:space="preserve"> </w:t>
            </w:r>
            <w:r w:rsidRPr="0080051C">
              <w:rPr>
                <w:rFonts w:cs="Tahoma"/>
                <w:sz w:val="16"/>
                <w:szCs w:val="16"/>
                <w:lang w:eastAsia="tr-TR"/>
              </w:rPr>
              <w:t>sürecinde ise, firma ya da</w:t>
            </w:r>
            <w:r>
              <w:rPr>
                <w:rFonts w:cs="Tahoma"/>
                <w:sz w:val="16"/>
                <w:szCs w:val="16"/>
                <w:lang w:eastAsia="tr-TR"/>
              </w:rPr>
              <w:t xml:space="preserve"> </w:t>
            </w:r>
            <w:r w:rsidRPr="0080051C">
              <w:rPr>
                <w:rFonts w:cs="Tahoma"/>
                <w:sz w:val="16"/>
                <w:szCs w:val="16"/>
                <w:lang w:eastAsia="tr-TR"/>
              </w:rPr>
              <w:t>taşıyıcı eşyayı doğrudan</w:t>
            </w:r>
            <w:r>
              <w:rPr>
                <w:rFonts w:cs="Tahoma"/>
                <w:sz w:val="16"/>
                <w:szCs w:val="16"/>
                <w:lang w:eastAsia="tr-TR"/>
              </w:rPr>
              <w:t xml:space="preserve"> </w:t>
            </w:r>
            <w:r w:rsidRPr="0080051C">
              <w:rPr>
                <w:rFonts w:cs="Tahoma"/>
                <w:sz w:val="16"/>
                <w:szCs w:val="16"/>
                <w:lang w:eastAsia="tr-TR"/>
              </w:rPr>
              <w:t>kendi tesislerine götürüp,</w:t>
            </w:r>
            <w:r>
              <w:rPr>
                <w:rFonts w:cs="Tahoma"/>
                <w:sz w:val="16"/>
                <w:szCs w:val="16"/>
                <w:lang w:eastAsia="tr-TR"/>
              </w:rPr>
              <w:t xml:space="preserve"> </w:t>
            </w:r>
            <w:r w:rsidRPr="0080051C">
              <w:rPr>
                <w:rFonts w:cs="Tahoma"/>
                <w:sz w:val="16"/>
                <w:szCs w:val="16"/>
                <w:lang w:eastAsia="tr-TR"/>
              </w:rPr>
              <w:t>gümrükleme işlemini kendi</w:t>
            </w:r>
            <w:r>
              <w:rPr>
                <w:rFonts w:cs="Tahoma"/>
                <w:sz w:val="16"/>
                <w:szCs w:val="16"/>
                <w:lang w:eastAsia="tr-TR"/>
              </w:rPr>
              <w:t xml:space="preserve"> </w:t>
            </w:r>
            <w:r w:rsidRPr="0080051C">
              <w:rPr>
                <w:rFonts w:cs="Tahoma"/>
                <w:sz w:val="16"/>
                <w:szCs w:val="16"/>
                <w:lang w:eastAsia="tr-TR"/>
              </w:rPr>
              <w:t>tesislerinden yapacaktır.</w:t>
            </w:r>
          </w:p>
        </w:tc>
      </w:tr>
      <w:tr w:rsidR="00565FD5" w:rsidRPr="009E5A8E" w:rsidTr="00AB62A3">
        <w:trPr>
          <w:trHeight w:val="20"/>
          <w:jc w:val="center"/>
        </w:trPr>
        <w:tc>
          <w:tcPr>
            <w:tcW w:w="1418" w:type="pct"/>
          </w:tcPr>
          <w:p w:rsidR="00565FD5" w:rsidRPr="0080051C" w:rsidRDefault="00565FD5" w:rsidP="00EB1E69">
            <w:pPr>
              <w:numPr>
                <w:ilvl w:val="0"/>
                <w:numId w:val="14"/>
              </w:numPr>
              <w:tabs>
                <w:tab w:val="left" w:pos="425"/>
              </w:tabs>
              <w:autoSpaceDE w:val="0"/>
              <w:autoSpaceDN w:val="0"/>
              <w:adjustRightInd w:val="0"/>
              <w:spacing w:before="60" w:after="60" w:line="240" w:lineRule="auto"/>
              <w:rPr>
                <w:rFonts w:cs="Tahoma"/>
                <w:sz w:val="16"/>
                <w:szCs w:val="16"/>
                <w:lang w:eastAsia="tr-TR"/>
              </w:rPr>
            </w:pPr>
            <w:r w:rsidRPr="0080051C">
              <w:rPr>
                <w:rFonts w:cs="Tahoma"/>
                <w:sz w:val="16"/>
                <w:szCs w:val="16"/>
                <w:lang w:eastAsia="tr-TR"/>
              </w:rPr>
              <w:t>Komşu ülkelerle başlatılan ortak sınır kapısı çalışmalarının Gürcistan, İran</w:t>
            </w:r>
            <w:r>
              <w:rPr>
                <w:rFonts w:cs="Tahoma"/>
                <w:sz w:val="16"/>
                <w:szCs w:val="16"/>
                <w:lang w:eastAsia="tr-TR"/>
              </w:rPr>
              <w:t xml:space="preserve"> ve </w:t>
            </w:r>
            <w:r w:rsidRPr="00BD22F8">
              <w:rPr>
                <w:rFonts w:cs="Tahoma"/>
                <w:sz w:val="16"/>
                <w:szCs w:val="16"/>
                <w:lang w:eastAsia="tr-TR"/>
              </w:rPr>
              <w:t>Azerbaycan</w:t>
            </w:r>
            <w:r>
              <w:rPr>
                <w:rFonts w:cs="Tahoma"/>
                <w:sz w:val="16"/>
                <w:szCs w:val="16"/>
                <w:lang w:eastAsia="tr-TR"/>
              </w:rPr>
              <w:t xml:space="preserve"> </w:t>
            </w:r>
            <w:r w:rsidRPr="00BD22F8">
              <w:rPr>
                <w:rFonts w:cs="Tahoma"/>
                <w:sz w:val="16"/>
                <w:szCs w:val="16"/>
                <w:lang w:eastAsia="tr-TR"/>
              </w:rPr>
              <w:t xml:space="preserve">(Nahçivan) </w:t>
            </w:r>
            <w:r>
              <w:rPr>
                <w:rFonts w:cs="Tahoma"/>
                <w:sz w:val="16"/>
                <w:szCs w:val="16"/>
                <w:lang w:eastAsia="tr-TR"/>
              </w:rPr>
              <w:t>ile</w:t>
            </w:r>
            <w:r w:rsidRPr="0080051C">
              <w:rPr>
                <w:rFonts w:cs="Tahoma"/>
                <w:sz w:val="16"/>
                <w:szCs w:val="16"/>
                <w:lang w:eastAsia="tr-TR"/>
              </w:rPr>
              <w:t xml:space="preserve"> gerçekleştirilmesi hedeflenmektedir.</w:t>
            </w:r>
          </w:p>
        </w:tc>
        <w:tc>
          <w:tcPr>
            <w:tcW w:w="1391" w:type="pct"/>
          </w:tcPr>
          <w:p w:rsidR="00565FD5" w:rsidRPr="0080051C" w:rsidRDefault="00565FD5" w:rsidP="00AB62A3">
            <w:pPr>
              <w:autoSpaceDE w:val="0"/>
              <w:autoSpaceDN w:val="0"/>
              <w:adjustRightInd w:val="0"/>
              <w:spacing w:before="60" w:after="60"/>
              <w:rPr>
                <w:rFonts w:cs="Tahoma"/>
                <w:sz w:val="16"/>
                <w:szCs w:val="16"/>
                <w:lang w:eastAsia="tr-TR"/>
              </w:rPr>
            </w:pPr>
            <w:r w:rsidRPr="0080051C">
              <w:rPr>
                <w:rFonts w:cs="Tahoma"/>
                <w:sz w:val="16"/>
                <w:szCs w:val="16"/>
                <w:lang w:eastAsia="tr-TR"/>
              </w:rPr>
              <w:t>Gümrük ve Ticaret Bakanlığı (S), Dışişleri Bakanlığı, İçişleri Bakanlığı, Ulaştırma</w:t>
            </w:r>
            <w:r>
              <w:rPr>
                <w:rFonts w:cs="Tahoma"/>
                <w:sz w:val="16"/>
                <w:szCs w:val="16"/>
                <w:lang w:eastAsia="tr-TR"/>
              </w:rPr>
              <w:t>, Denizcilik ve Haberleşme</w:t>
            </w:r>
            <w:r w:rsidRPr="0080051C">
              <w:rPr>
                <w:rFonts w:cs="Tahoma"/>
                <w:sz w:val="16"/>
                <w:szCs w:val="16"/>
                <w:lang w:eastAsia="tr-TR"/>
              </w:rPr>
              <w:t xml:space="preserve"> Bakanlığı,</w:t>
            </w:r>
            <w:r>
              <w:rPr>
                <w:rFonts w:cs="Tahoma"/>
                <w:sz w:val="16"/>
                <w:szCs w:val="16"/>
                <w:lang w:eastAsia="tr-TR"/>
              </w:rPr>
              <w:t xml:space="preserve"> </w:t>
            </w:r>
            <w:r w:rsidRPr="0080051C">
              <w:rPr>
                <w:rFonts w:cs="Tahoma"/>
                <w:sz w:val="16"/>
                <w:szCs w:val="16"/>
                <w:lang w:eastAsia="tr-TR"/>
              </w:rPr>
              <w:t>, Ekonomi</w:t>
            </w:r>
            <w:r>
              <w:rPr>
                <w:rFonts w:cs="Tahoma"/>
                <w:sz w:val="16"/>
                <w:szCs w:val="16"/>
                <w:lang w:eastAsia="tr-TR"/>
              </w:rPr>
              <w:t xml:space="preserve"> </w:t>
            </w:r>
            <w:r w:rsidRPr="0080051C">
              <w:rPr>
                <w:rFonts w:cs="Tahoma"/>
                <w:sz w:val="16"/>
                <w:szCs w:val="16"/>
                <w:lang w:eastAsia="tr-TR"/>
              </w:rPr>
              <w:t>Bakanlığı, Kalkınma Bakanlığı</w:t>
            </w:r>
            <w:r>
              <w:rPr>
                <w:rFonts w:cs="Tahoma"/>
                <w:sz w:val="16"/>
                <w:szCs w:val="16"/>
                <w:lang w:eastAsia="tr-TR"/>
              </w:rPr>
              <w:t>,</w:t>
            </w:r>
            <w:r w:rsidRPr="0080051C">
              <w:rPr>
                <w:rFonts w:cs="Tahoma"/>
                <w:sz w:val="16"/>
                <w:szCs w:val="16"/>
                <w:lang w:eastAsia="tr-TR"/>
              </w:rPr>
              <w:t xml:space="preserve"> TOBB, TİM</w:t>
            </w:r>
          </w:p>
        </w:tc>
        <w:tc>
          <w:tcPr>
            <w:tcW w:w="626" w:type="pct"/>
            <w:gridSpan w:val="2"/>
          </w:tcPr>
          <w:p w:rsidR="00565FD5" w:rsidRPr="009E5A8E" w:rsidRDefault="00565FD5" w:rsidP="00AB62A3">
            <w:pPr>
              <w:autoSpaceDE w:val="0"/>
              <w:autoSpaceDN w:val="0"/>
              <w:adjustRightInd w:val="0"/>
              <w:spacing w:before="60" w:after="60"/>
              <w:rPr>
                <w:rFonts w:cs="Tahoma"/>
                <w:sz w:val="16"/>
                <w:szCs w:val="16"/>
                <w:lang w:eastAsia="tr-TR"/>
              </w:rPr>
            </w:pPr>
            <w:r w:rsidRPr="00206DFD">
              <w:rPr>
                <w:rFonts w:cs="Tahoma"/>
                <w:sz w:val="16"/>
                <w:szCs w:val="16"/>
                <w:lang w:eastAsia="tr-TR"/>
              </w:rPr>
              <w:t>Aralık Sonu</w:t>
            </w:r>
          </w:p>
        </w:tc>
        <w:tc>
          <w:tcPr>
            <w:tcW w:w="1565" w:type="pct"/>
            <w:gridSpan w:val="2"/>
          </w:tcPr>
          <w:p w:rsidR="00565FD5" w:rsidRPr="0080051C" w:rsidRDefault="00565FD5" w:rsidP="00AB62A3">
            <w:pPr>
              <w:autoSpaceDE w:val="0"/>
              <w:autoSpaceDN w:val="0"/>
              <w:adjustRightInd w:val="0"/>
              <w:spacing w:before="60" w:after="60"/>
              <w:rPr>
                <w:rFonts w:cs="Tahoma"/>
                <w:sz w:val="16"/>
                <w:szCs w:val="16"/>
                <w:lang w:eastAsia="tr-TR"/>
              </w:rPr>
            </w:pPr>
            <w:r>
              <w:rPr>
                <w:rFonts w:cs="Tahoma"/>
                <w:sz w:val="16"/>
                <w:szCs w:val="16"/>
                <w:lang w:eastAsia="tr-TR"/>
              </w:rPr>
              <w:t>Gürcistan, İran</w:t>
            </w:r>
            <w:r w:rsidRPr="0080051C">
              <w:rPr>
                <w:rFonts w:cs="Tahoma"/>
                <w:sz w:val="16"/>
                <w:szCs w:val="16"/>
                <w:lang w:eastAsia="tr-TR"/>
              </w:rPr>
              <w:t xml:space="preserve"> ve</w:t>
            </w:r>
            <w:r>
              <w:rPr>
                <w:rFonts w:cs="Tahoma"/>
                <w:sz w:val="16"/>
                <w:szCs w:val="16"/>
                <w:lang w:eastAsia="tr-TR"/>
              </w:rPr>
              <w:t xml:space="preserve"> Nahçi</w:t>
            </w:r>
            <w:r w:rsidRPr="0080051C">
              <w:rPr>
                <w:rFonts w:cs="Tahoma"/>
                <w:sz w:val="16"/>
                <w:szCs w:val="16"/>
                <w:lang w:eastAsia="tr-TR"/>
              </w:rPr>
              <w:t>van ile ortak</w:t>
            </w:r>
            <w:r>
              <w:rPr>
                <w:rFonts w:cs="Tahoma"/>
                <w:sz w:val="16"/>
                <w:szCs w:val="16"/>
                <w:lang w:eastAsia="tr-TR"/>
              </w:rPr>
              <w:t xml:space="preserve"> </w:t>
            </w:r>
            <w:r w:rsidRPr="0080051C">
              <w:rPr>
                <w:rFonts w:cs="Tahoma"/>
                <w:sz w:val="16"/>
                <w:szCs w:val="16"/>
                <w:lang w:eastAsia="tr-TR"/>
              </w:rPr>
              <w:t>kapı oluşturulması ve gümrük işlemlerinde</w:t>
            </w:r>
            <w:r>
              <w:rPr>
                <w:rFonts w:cs="Tahoma"/>
                <w:sz w:val="16"/>
                <w:szCs w:val="16"/>
                <w:lang w:eastAsia="tr-TR"/>
              </w:rPr>
              <w:t xml:space="preserve"> </w:t>
            </w:r>
            <w:r w:rsidRPr="0080051C">
              <w:rPr>
                <w:rFonts w:cs="Tahoma"/>
                <w:sz w:val="16"/>
                <w:szCs w:val="16"/>
                <w:lang w:eastAsia="tr-TR"/>
              </w:rPr>
              <w:t>basitleştirme, uyumlulaştırma, dublikasyonun</w:t>
            </w:r>
            <w:r>
              <w:rPr>
                <w:rFonts w:cs="Tahoma"/>
                <w:sz w:val="16"/>
                <w:szCs w:val="16"/>
                <w:lang w:eastAsia="tr-TR"/>
              </w:rPr>
              <w:t xml:space="preserve"> </w:t>
            </w:r>
            <w:r w:rsidRPr="0080051C">
              <w:rPr>
                <w:rFonts w:cs="Tahoma"/>
                <w:sz w:val="16"/>
                <w:szCs w:val="16"/>
                <w:lang w:eastAsia="tr-TR"/>
              </w:rPr>
              <w:t>önlenmesi, bekleme maliyetlerinde azalış</w:t>
            </w:r>
            <w:r>
              <w:rPr>
                <w:rFonts w:cs="Tahoma"/>
                <w:sz w:val="16"/>
                <w:szCs w:val="16"/>
                <w:lang w:eastAsia="tr-TR"/>
              </w:rPr>
              <w:t xml:space="preserve"> </w:t>
            </w:r>
            <w:r w:rsidRPr="0080051C">
              <w:rPr>
                <w:rFonts w:cs="Tahoma"/>
                <w:sz w:val="16"/>
                <w:szCs w:val="16"/>
                <w:lang w:eastAsia="tr-TR"/>
              </w:rPr>
              <w:t>öngörülmektedir.</w:t>
            </w:r>
          </w:p>
        </w:tc>
      </w:tr>
      <w:tr w:rsidR="00565FD5" w:rsidRPr="009E5A8E" w:rsidTr="00AB62A3">
        <w:trPr>
          <w:trHeight w:val="20"/>
          <w:jc w:val="center"/>
        </w:trPr>
        <w:tc>
          <w:tcPr>
            <w:tcW w:w="1418" w:type="pct"/>
          </w:tcPr>
          <w:p w:rsidR="00565FD5" w:rsidRPr="0080051C" w:rsidRDefault="00565FD5" w:rsidP="00EB1E69">
            <w:pPr>
              <w:numPr>
                <w:ilvl w:val="0"/>
                <w:numId w:val="14"/>
              </w:numPr>
              <w:tabs>
                <w:tab w:val="left" w:pos="425"/>
              </w:tabs>
              <w:autoSpaceDE w:val="0"/>
              <w:autoSpaceDN w:val="0"/>
              <w:adjustRightInd w:val="0"/>
              <w:spacing w:before="40" w:after="40" w:line="240" w:lineRule="auto"/>
              <w:rPr>
                <w:rFonts w:cs="Tahoma"/>
                <w:sz w:val="16"/>
                <w:szCs w:val="16"/>
                <w:lang w:eastAsia="tr-TR"/>
              </w:rPr>
            </w:pPr>
            <w:r w:rsidRPr="0080051C">
              <w:rPr>
                <w:rFonts w:cs="Tahoma"/>
                <w:sz w:val="16"/>
                <w:szCs w:val="16"/>
                <w:lang w:eastAsia="tr-TR"/>
              </w:rPr>
              <w:t>Rusya Federasyonu ile Basitleştirilmiş Gümrük Hattı (BGH)</w:t>
            </w:r>
            <w:r>
              <w:rPr>
                <w:rFonts w:cs="Tahoma"/>
                <w:sz w:val="16"/>
                <w:szCs w:val="16"/>
                <w:lang w:eastAsia="tr-TR"/>
              </w:rPr>
              <w:t xml:space="preserve"> Uygulaması y</w:t>
            </w:r>
            <w:r w:rsidRPr="0080051C">
              <w:rPr>
                <w:rFonts w:cs="Tahoma"/>
                <w:sz w:val="16"/>
                <w:szCs w:val="16"/>
                <w:lang w:eastAsia="tr-TR"/>
              </w:rPr>
              <w:t>aygınlaştırıl</w:t>
            </w:r>
            <w:r>
              <w:rPr>
                <w:rFonts w:cs="Tahoma"/>
                <w:sz w:val="16"/>
                <w:szCs w:val="16"/>
                <w:lang w:eastAsia="tr-TR"/>
              </w:rPr>
              <w:t>acaktır.</w:t>
            </w:r>
          </w:p>
        </w:tc>
        <w:tc>
          <w:tcPr>
            <w:tcW w:w="1391" w:type="pct"/>
          </w:tcPr>
          <w:p w:rsidR="00565FD5" w:rsidRPr="0080051C" w:rsidRDefault="00565FD5" w:rsidP="00AB62A3">
            <w:pPr>
              <w:autoSpaceDE w:val="0"/>
              <w:autoSpaceDN w:val="0"/>
              <w:adjustRightInd w:val="0"/>
              <w:spacing w:before="40" w:after="40"/>
              <w:rPr>
                <w:rFonts w:cs="Tahoma"/>
                <w:sz w:val="16"/>
                <w:szCs w:val="16"/>
                <w:lang w:eastAsia="tr-TR"/>
              </w:rPr>
            </w:pPr>
            <w:r w:rsidRPr="0080051C">
              <w:rPr>
                <w:rFonts w:cs="Tahoma"/>
                <w:sz w:val="16"/>
                <w:szCs w:val="16"/>
                <w:lang w:eastAsia="tr-TR"/>
              </w:rPr>
              <w:t>Gümrük ve Ticaret Bakanlığı (S), Dışişleri Bakanlığı, Ekonomi Bakanlığı, Maliye Bakanlığı, Türkiye</w:t>
            </w:r>
            <w:r>
              <w:rPr>
                <w:rFonts w:cs="Tahoma"/>
                <w:sz w:val="16"/>
                <w:szCs w:val="16"/>
                <w:lang w:eastAsia="tr-TR"/>
              </w:rPr>
              <w:t xml:space="preserve"> </w:t>
            </w:r>
            <w:r w:rsidRPr="0080051C">
              <w:rPr>
                <w:rFonts w:cs="Tahoma"/>
                <w:sz w:val="16"/>
                <w:szCs w:val="16"/>
                <w:lang w:eastAsia="tr-TR"/>
              </w:rPr>
              <w:t>İhracatçılar Meclisi, TOBB, UIMD.</w:t>
            </w:r>
          </w:p>
        </w:tc>
        <w:tc>
          <w:tcPr>
            <w:tcW w:w="626" w:type="pct"/>
            <w:gridSpan w:val="2"/>
          </w:tcPr>
          <w:p w:rsidR="00565FD5" w:rsidRPr="009E5A8E" w:rsidRDefault="00565FD5" w:rsidP="00AB62A3">
            <w:pPr>
              <w:autoSpaceDE w:val="0"/>
              <w:autoSpaceDN w:val="0"/>
              <w:adjustRightInd w:val="0"/>
              <w:spacing w:before="40" w:after="40"/>
              <w:rPr>
                <w:rFonts w:cs="Tahoma"/>
                <w:sz w:val="16"/>
                <w:szCs w:val="16"/>
                <w:lang w:eastAsia="tr-TR"/>
              </w:rPr>
            </w:pPr>
            <w:r w:rsidRPr="00206DFD">
              <w:rPr>
                <w:rFonts w:cs="Tahoma"/>
                <w:sz w:val="16"/>
                <w:szCs w:val="16"/>
                <w:lang w:eastAsia="tr-TR"/>
              </w:rPr>
              <w:t>Aralık Sonu</w:t>
            </w:r>
          </w:p>
        </w:tc>
        <w:tc>
          <w:tcPr>
            <w:tcW w:w="1565" w:type="pct"/>
            <w:gridSpan w:val="2"/>
          </w:tcPr>
          <w:p w:rsidR="00565FD5" w:rsidRPr="0080051C" w:rsidRDefault="00565FD5" w:rsidP="00AB62A3">
            <w:pPr>
              <w:autoSpaceDE w:val="0"/>
              <w:autoSpaceDN w:val="0"/>
              <w:adjustRightInd w:val="0"/>
              <w:spacing w:before="40" w:after="40"/>
              <w:rPr>
                <w:rFonts w:cs="Tahoma"/>
                <w:sz w:val="16"/>
                <w:szCs w:val="16"/>
                <w:lang w:eastAsia="tr-TR"/>
              </w:rPr>
            </w:pPr>
            <w:r w:rsidRPr="0080051C">
              <w:rPr>
                <w:rFonts w:cs="Tahoma"/>
                <w:sz w:val="16"/>
                <w:szCs w:val="16"/>
                <w:lang w:eastAsia="tr-TR"/>
              </w:rPr>
              <w:t>Türkiye ile Rusya arasında oluşturulan, iki</w:t>
            </w:r>
            <w:r>
              <w:rPr>
                <w:rFonts w:cs="Tahoma"/>
                <w:sz w:val="16"/>
                <w:szCs w:val="16"/>
                <w:lang w:eastAsia="tr-TR"/>
              </w:rPr>
              <w:t xml:space="preserve"> </w:t>
            </w:r>
            <w:r w:rsidRPr="0080051C">
              <w:rPr>
                <w:rFonts w:cs="Tahoma"/>
                <w:sz w:val="16"/>
                <w:szCs w:val="16"/>
                <w:lang w:eastAsia="tr-TR"/>
              </w:rPr>
              <w:t>ülke arasındaki ticarette sevk edilen</w:t>
            </w:r>
            <w:r>
              <w:rPr>
                <w:rFonts w:cs="Tahoma"/>
                <w:sz w:val="16"/>
                <w:szCs w:val="16"/>
                <w:lang w:eastAsia="tr-TR"/>
              </w:rPr>
              <w:t xml:space="preserve"> </w:t>
            </w:r>
            <w:r w:rsidRPr="0080051C">
              <w:rPr>
                <w:rFonts w:cs="Tahoma"/>
                <w:sz w:val="16"/>
                <w:szCs w:val="16"/>
                <w:lang w:eastAsia="tr-TR"/>
              </w:rPr>
              <w:t>mallara ilişkin bilgilerin iki ülkenin gümrük</w:t>
            </w:r>
            <w:r>
              <w:rPr>
                <w:rFonts w:cs="Tahoma"/>
                <w:sz w:val="16"/>
                <w:szCs w:val="16"/>
                <w:lang w:eastAsia="tr-TR"/>
              </w:rPr>
              <w:t xml:space="preserve"> </w:t>
            </w:r>
            <w:r w:rsidRPr="0080051C">
              <w:rPr>
                <w:rFonts w:cs="Tahoma"/>
                <w:sz w:val="16"/>
                <w:szCs w:val="16"/>
                <w:lang w:eastAsia="tr-TR"/>
              </w:rPr>
              <w:t>idareleri arasında elektronik yolla önceden</w:t>
            </w:r>
            <w:r>
              <w:rPr>
                <w:rFonts w:cs="Tahoma"/>
                <w:sz w:val="16"/>
                <w:szCs w:val="16"/>
                <w:lang w:eastAsia="tr-TR"/>
              </w:rPr>
              <w:t xml:space="preserve"> </w:t>
            </w:r>
            <w:r w:rsidRPr="0080051C">
              <w:rPr>
                <w:rFonts w:cs="Tahoma"/>
                <w:sz w:val="16"/>
                <w:szCs w:val="16"/>
                <w:lang w:eastAsia="tr-TR"/>
              </w:rPr>
              <w:t>değişimi ile iki ülke arasında ticaretin</w:t>
            </w:r>
            <w:r>
              <w:rPr>
                <w:rFonts w:cs="Tahoma"/>
                <w:sz w:val="16"/>
                <w:szCs w:val="16"/>
                <w:lang w:eastAsia="tr-TR"/>
              </w:rPr>
              <w:t xml:space="preserve"> </w:t>
            </w:r>
            <w:r w:rsidRPr="0080051C">
              <w:rPr>
                <w:rFonts w:cs="Tahoma"/>
                <w:sz w:val="16"/>
                <w:szCs w:val="16"/>
                <w:lang w:eastAsia="tr-TR"/>
              </w:rPr>
              <w:t>kolaylaştırılması hedeflenmektedir.</w:t>
            </w:r>
          </w:p>
        </w:tc>
      </w:tr>
      <w:tr w:rsidR="00565FD5" w:rsidRPr="009E5A8E" w:rsidTr="00AB62A3">
        <w:trPr>
          <w:trHeight w:val="20"/>
          <w:jc w:val="center"/>
        </w:trPr>
        <w:tc>
          <w:tcPr>
            <w:tcW w:w="1418" w:type="pct"/>
          </w:tcPr>
          <w:p w:rsidR="00565FD5" w:rsidRPr="0080051C" w:rsidRDefault="00565FD5" w:rsidP="00EB1E69">
            <w:pPr>
              <w:numPr>
                <w:ilvl w:val="0"/>
                <w:numId w:val="14"/>
              </w:numPr>
              <w:tabs>
                <w:tab w:val="left" w:pos="425"/>
              </w:tabs>
              <w:autoSpaceDE w:val="0"/>
              <w:autoSpaceDN w:val="0"/>
              <w:adjustRightInd w:val="0"/>
              <w:spacing w:before="40" w:after="40" w:line="240" w:lineRule="auto"/>
              <w:rPr>
                <w:rFonts w:cs="Tahoma"/>
                <w:sz w:val="16"/>
                <w:szCs w:val="16"/>
                <w:lang w:eastAsia="tr-TR"/>
              </w:rPr>
            </w:pPr>
            <w:r w:rsidRPr="0080051C">
              <w:rPr>
                <w:rFonts w:cs="Tahoma"/>
                <w:sz w:val="16"/>
                <w:szCs w:val="16"/>
                <w:lang w:eastAsia="tr-TR"/>
              </w:rPr>
              <w:t>İpek Yolu ülkeleri Gümrük İdareleri arasında İşbirliği Anlaşması</w:t>
            </w:r>
            <w:r>
              <w:rPr>
                <w:rFonts w:cs="Tahoma"/>
                <w:sz w:val="16"/>
                <w:szCs w:val="16"/>
                <w:lang w:eastAsia="tr-TR"/>
              </w:rPr>
              <w:t xml:space="preserve"> </w:t>
            </w:r>
            <w:r w:rsidRPr="0080051C">
              <w:rPr>
                <w:rFonts w:cs="Tahoma"/>
                <w:sz w:val="16"/>
                <w:szCs w:val="16"/>
                <w:lang w:eastAsia="tr-TR"/>
              </w:rPr>
              <w:t xml:space="preserve">çerçevesinde tarihi İpek Yolu rotasındaki ülkelerle </w:t>
            </w:r>
            <w:r w:rsidRPr="0080051C">
              <w:rPr>
                <w:rFonts w:cs="Tahoma"/>
                <w:sz w:val="16"/>
                <w:szCs w:val="16"/>
                <w:lang w:eastAsia="tr-TR"/>
              </w:rPr>
              <w:lastRenderedPageBreak/>
              <w:t>yasal ticaret</w:t>
            </w:r>
            <w:r>
              <w:rPr>
                <w:rFonts w:cs="Tahoma"/>
                <w:sz w:val="16"/>
                <w:szCs w:val="16"/>
                <w:lang w:eastAsia="tr-TR"/>
              </w:rPr>
              <w:t xml:space="preserve"> </w:t>
            </w:r>
            <w:r w:rsidRPr="0080051C">
              <w:rPr>
                <w:rFonts w:cs="Tahoma"/>
                <w:sz w:val="16"/>
                <w:szCs w:val="16"/>
                <w:lang w:eastAsia="tr-TR"/>
              </w:rPr>
              <w:t>kolaylaştırılacaktır.</w:t>
            </w:r>
          </w:p>
        </w:tc>
        <w:tc>
          <w:tcPr>
            <w:tcW w:w="1391" w:type="pct"/>
          </w:tcPr>
          <w:p w:rsidR="00565FD5" w:rsidRPr="0080051C" w:rsidRDefault="00565FD5" w:rsidP="00AB62A3">
            <w:pPr>
              <w:autoSpaceDE w:val="0"/>
              <w:autoSpaceDN w:val="0"/>
              <w:adjustRightInd w:val="0"/>
              <w:spacing w:before="40" w:after="40"/>
              <w:rPr>
                <w:rFonts w:cs="Tahoma"/>
                <w:sz w:val="16"/>
                <w:szCs w:val="16"/>
                <w:lang w:eastAsia="tr-TR"/>
              </w:rPr>
            </w:pPr>
            <w:r w:rsidRPr="0080051C">
              <w:rPr>
                <w:rFonts w:cs="Tahoma"/>
                <w:sz w:val="16"/>
                <w:szCs w:val="16"/>
                <w:lang w:eastAsia="tr-TR"/>
              </w:rPr>
              <w:lastRenderedPageBreak/>
              <w:t>Gümrük ve Ticaret Bakanlığı (S), Başbakanlık, Dışişleri Bakanlığı, Kalkınma</w:t>
            </w:r>
            <w:r>
              <w:rPr>
                <w:rFonts w:cs="Tahoma"/>
                <w:sz w:val="16"/>
                <w:szCs w:val="16"/>
                <w:lang w:eastAsia="tr-TR"/>
              </w:rPr>
              <w:t xml:space="preserve"> </w:t>
            </w:r>
            <w:r w:rsidRPr="0080051C">
              <w:rPr>
                <w:rFonts w:cs="Tahoma"/>
                <w:sz w:val="16"/>
                <w:szCs w:val="16"/>
                <w:lang w:eastAsia="tr-TR"/>
              </w:rPr>
              <w:t xml:space="preserve">Bakanlığı, Ekonomi Bakanlığı, </w:t>
            </w:r>
            <w:r w:rsidRPr="0080051C">
              <w:rPr>
                <w:rFonts w:cs="Tahoma"/>
                <w:sz w:val="16"/>
                <w:szCs w:val="16"/>
                <w:lang w:eastAsia="tr-TR"/>
              </w:rPr>
              <w:lastRenderedPageBreak/>
              <w:t>Ulaştırma</w:t>
            </w:r>
            <w:r>
              <w:rPr>
                <w:rFonts w:cs="Tahoma"/>
                <w:sz w:val="16"/>
                <w:szCs w:val="16"/>
                <w:lang w:eastAsia="tr-TR"/>
              </w:rPr>
              <w:t>, Denizcilik ve Haberleşme</w:t>
            </w:r>
            <w:r w:rsidRPr="0080051C">
              <w:rPr>
                <w:rFonts w:cs="Tahoma"/>
                <w:sz w:val="16"/>
                <w:szCs w:val="16"/>
                <w:lang w:eastAsia="tr-TR"/>
              </w:rPr>
              <w:t xml:space="preserve"> Bakanlığı, TİKA, TOBB, TİM, UND</w:t>
            </w:r>
          </w:p>
        </w:tc>
        <w:tc>
          <w:tcPr>
            <w:tcW w:w="626" w:type="pct"/>
            <w:gridSpan w:val="2"/>
          </w:tcPr>
          <w:p w:rsidR="00565FD5" w:rsidRPr="009E5A8E" w:rsidRDefault="00565FD5" w:rsidP="00AB62A3">
            <w:pPr>
              <w:autoSpaceDE w:val="0"/>
              <w:autoSpaceDN w:val="0"/>
              <w:adjustRightInd w:val="0"/>
              <w:spacing w:before="40" w:after="40"/>
              <w:rPr>
                <w:rFonts w:cs="Tahoma"/>
                <w:sz w:val="16"/>
                <w:szCs w:val="16"/>
                <w:lang w:eastAsia="tr-TR"/>
              </w:rPr>
            </w:pPr>
            <w:r w:rsidRPr="00206DFD">
              <w:rPr>
                <w:rFonts w:cs="Tahoma"/>
                <w:sz w:val="16"/>
                <w:szCs w:val="16"/>
                <w:lang w:eastAsia="tr-TR"/>
              </w:rPr>
              <w:lastRenderedPageBreak/>
              <w:t>Aralık Sonu</w:t>
            </w:r>
          </w:p>
        </w:tc>
        <w:tc>
          <w:tcPr>
            <w:tcW w:w="1565" w:type="pct"/>
            <w:gridSpan w:val="2"/>
          </w:tcPr>
          <w:p w:rsidR="00565FD5" w:rsidRPr="0080051C" w:rsidRDefault="00565FD5" w:rsidP="00AB62A3">
            <w:pPr>
              <w:autoSpaceDE w:val="0"/>
              <w:autoSpaceDN w:val="0"/>
              <w:adjustRightInd w:val="0"/>
              <w:spacing w:before="40" w:after="40"/>
              <w:rPr>
                <w:rFonts w:cs="Tahoma"/>
                <w:sz w:val="16"/>
                <w:szCs w:val="16"/>
                <w:lang w:eastAsia="tr-TR"/>
              </w:rPr>
            </w:pPr>
            <w:r w:rsidRPr="0080051C">
              <w:rPr>
                <w:rFonts w:cs="Tahoma"/>
                <w:sz w:val="16"/>
                <w:szCs w:val="16"/>
                <w:lang w:eastAsia="tr-TR"/>
              </w:rPr>
              <w:t>Projenin Ocak 2013'te başlatılması</w:t>
            </w:r>
            <w:r>
              <w:rPr>
                <w:rFonts w:cs="Tahoma"/>
                <w:sz w:val="16"/>
                <w:szCs w:val="16"/>
                <w:lang w:eastAsia="tr-TR"/>
              </w:rPr>
              <w:t xml:space="preserve"> </w:t>
            </w:r>
            <w:r w:rsidRPr="0080051C">
              <w:rPr>
                <w:rFonts w:cs="Tahoma"/>
                <w:sz w:val="16"/>
                <w:szCs w:val="16"/>
                <w:lang w:eastAsia="tr-TR"/>
              </w:rPr>
              <w:t>planlanan 1. Aşaması kapsamında,</w:t>
            </w:r>
            <w:r>
              <w:rPr>
                <w:rFonts w:cs="Tahoma"/>
                <w:sz w:val="16"/>
                <w:szCs w:val="16"/>
                <w:lang w:eastAsia="tr-TR"/>
              </w:rPr>
              <w:t xml:space="preserve"> </w:t>
            </w:r>
            <w:r w:rsidRPr="0080051C">
              <w:rPr>
                <w:rFonts w:cs="Tahoma"/>
                <w:sz w:val="16"/>
                <w:szCs w:val="16"/>
                <w:lang w:eastAsia="tr-TR"/>
              </w:rPr>
              <w:t>Türkiye, Gürcistan ve Azerbaycan</w:t>
            </w:r>
            <w:r>
              <w:rPr>
                <w:rFonts w:cs="Tahoma"/>
                <w:sz w:val="16"/>
                <w:szCs w:val="16"/>
                <w:lang w:eastAsia="tr-TR"/>
              </w:rPr>
              <w:t xml:space="preserve"> </w:t>
            </w:r>
            <w:r w:rsidRPr="0080051C">
              <w:rPr>
                <w:rFonts w:cs="Tahoma"/>
                <w:sz w:val="16"/>
                <w:szCs w:val="16"/>
                <w:lang w:eastAsia="tr-TR"/>
              </w:rPr>
              <w:t xml:space="preserve">sınırlarında gümrük </w:t>
            </w:r>
            <w:r w:rsidRPr="0080051C">
              <w:rPr>
                <w:rFonts w:cs="Tahoma"/>
                <w:sz w:val="16"/>
                <w:szCs w:val="16"/>
                <w:lang w:eastAsia="tr-TR"/>
              </w:rPr>
              <w:lastRenderedPageBreak/>
              <w:t>işlemlerinin</w:t>
            </w:r>
            <w:r>
              <w:rPr>
                <w:rFonts w:cs="Tahoma"/>
                <w:sz w:val="16"/>
                <w:szCs w:val="16"/>
                <w:lang w:eastAsia="tr-TR"/>
              </w:rPr>
              <w:t xml:space="preserve"> </w:t>
            </w:r>
            <w:r w:rsidRPr="0080051C">
              <w:rPr>
                <w:rFonts w:cs="Tahoma"/>
                <w:sz w:val="16"/>
                <w:szCs w:val="16"/>
                <w:lang w:eastAsia="tr-TR"/>
              </w:rPr>
              <w:t>basitleştirilmesi, harmonizasyonu,</w:t>
            </w:r>
            <w:r>
              <w:rPr>
                <w:rFonts w:cs="Tahoma"/>
                <w:sz w:val="16"/>
                <w:szCs w:val="16"/>
                <w:lang w:eastAsia="tr-TR"/>
              </w:rPr>
              <w:t xml:space="preserve"> </w:t>
            </w:r>
            <w:r w:rsidRPr="0080051C">
              <w:rPr>
                <w:rFonts w:cs="Tahoma"/>
                <w:sz w:val="16"/>
                <w:szCs w:val="16"/>
                <w:lang w:eastAsia="tr-TR"/>
              </w:rPr>
              <w:t>hızlandırılması, fiziki alt yapının</w:t>
            </w:r>
            <w:r>
              <w:rPr>
                <w:rFonts w:cs="Tahoma"/>
                <w:sz w:val="16"/>
                <w:szCs w:val="16"/>
                <w:lang w:eastAsia="tr-TR"/>
              </w:rPr>
              <w:t xml:space="preserve"> </w:t>
            </w:r>
            <w:r w:rsidRPr="0080051C">
              <w:rPr>
                <w:rFonts w:cs="Tahoma"/>
                <w:sz w:val="16"/>
                <w:szCs w:val="16"/>
                <w:lang w:eastAsia="tr-TR"/>
              </w:rPr>
              <w:t>iyileştirilmesi, bilgi değişimi ve</w:t>
            </w:r>
            <w:r>
              <w:rPr>
                <w:rFonts w:cs="Tahoma"/>
                <w:sz w:val="16"/>
                <w:szCs w:val="16"/>
                <w:lang w:eastAsia="tr-TR"/>
              </w:rPr>
              <w:t xml:space="preserve"> </w:t>
            </w:r>
            <w:r w:rsidRPr="0080051C">
              <w:rPr>
                <w:rFonts w:cs="Tahoma"/>
                <w:sz w:val="16"/>
                <w:szCs w:val="16"/>
                <w:lang w:eastAsia="tr-TR"/>
              </w:rPr>
              <w:t>işbirliğinin geliştirilmesi</w:t>
            </w:r>
            <w:r>
              <w:rPr>
                <w:rFonts w:cs="Tahoma"/>
                <w:sz w:val="16"/>
                <w:szCs w:val="16"/>
                <w:lang w:eastAsia="tr-TR"/>
              </w:rPr>
              <w:t xml:space="preserve"> </w:t>
            </w:r>
            <w:r w:rsidRPr="0080051C">
              <w:rPr>
                <w:rFonts w:cs="Tahoma"/>
                <w:sz w:val="16"/>
                <w:szCs w:val="16"/>
                <w:lang w:eastAsia="tr-TR"/>
              </w:rPr>
              <w:t>sağlanacaktır. 2008 yılında</w:t>
            </w:r>
            <w:r>
              <w:rPr>
                <w:rFonts w:cs="Tahoma"/>
                <w:sz w:val="16"/>
                <w:szCs w:val="16"/>
                <w:lang w:eastAsia="tr-TR"/>
              </w:rPr>
              <w:t xml:space="preserve"> </w:t>
            </w:r>
            <w:r w:rsidRPr="0080051C">
              <w:rPr>
                <w:rFonts w:cs="Tahoma"/>
                <w:sz w:val="16"/>
                <w:szCs w:val="16"/>
                <w:lang w:eastAsia="tr-TR"/>
              </w:rPr>
              <w:t>ülkemizce başlatılan İpek Yolu</w:t>
            </w:r>
            <w:r>
              <w:rPr>
                <w:rFonts w:cs="Tahoma"/>
                <w:sz w:val="16"/>
                <w:szCs w:val="16"/>
                <w:lang w:eastAsia="tr-TR"/>
              </w:rPr>
              <w:t xml:space="preserve"> </w:t>
            </w:r>
            <w:r w:rsidRPr="0080051C">
              <w:rPr>
                <w:rFonts w:cs="Tahoma"/>
                <w:sz w:val="16"/>
                <w:szCs w:val="16"/>
                <w:lang w:eastAsia="tr-TR"/>
              </w:rPr>
              <w:t>ülkeleri Gümrük İdareleri arasında</w:t>
            </w:r>
            <w:r>
              <w:rPr>
                <w:rFonts w:cs="Tahoma"/>
                <w:sz w:val="16"/>
                <w:szCs w:val="16"/>
                <w:lang w:eastAsia="tr-TR"/>
              </w:rPr>
              <w:t xml:space="preserve"> </w:t>
            </w:r>
            <w:r w:rsidRPr="0080051C">
              <w:rPr>
                <w:rFonts w:cs="Tahoma"/>
                <w:sz w:val="16"/>
                <w:szCs w:val="16"/>
                <w:lang w:eastAsia="tr-TR"/>
              </w:rPr>
              <w:t>ticaretin kolaylaştırılması</w:t>
            </w:r>
            <w:r>
              <w:rPr>
                <w:rFonts w:cs="Tahoma"/>
                <w:sz w:val="16"/>
                <w:szCs w:val="16"/>
                <w:lang w:eastAsia="tr-TR"/>
              </w:rPr>
              <w:t xml:space="preserve"> </w:t>
            </w:r>
            <w:r w:rsidRPr="0080051C">
              <w:rPr>
                <w:rFonts w:cs="Tahoma"/>
                <w:sz w:val="16"/>
                <w:szCs w:val="16"/>
                <w:lang w:eastAsia="tr-TR"/>
              </w:rPr>
              <w:t>çalışmalarının sürdürülmesi ve</w:t>
            </w:r>
            <w:r>
              <w:rPr>
                <w:rFonts w:cs="Tahoma"/>
                <w:sz w:val="16"/>
                <w:szCs w:val="16"/>
                <w:lang w:eastAsia="tr-TR"/>
              </w:rPr>
              <w:t xml:space="preserve"> </w:t>
            </w:r>
            <w:r w:rsidRPr="0080051C">
              <w:rPr>
                <w:rFonts w:cs="Tahoma"/>
                <w:sz w:val="16"/>
                <w:szCs w:val="16"/>
                <w:lang w:eastAsia="tr-TR"/>
              </w:rPr>
              <w:t>somutlaştırılması için geliştirilen</w:t>
            </w:r>
            <w:r>
              <w:rPr>
                <w:rFonts w:cs="Tahoma"/>
                <w:sz w:val="16"/>
                <w:szCs w:val="16"/>
                <w:lang w:eastAsia="tr-TR"/>
              </w:rPr>
              <w:t xml:space="preserve"> </w:t>
            </w:r>
            <w:r w:rsidRPr="0080051C">
              <w:rPr>
                <w:rFonts w:cs="Tahoma"/>
                <w:sz w:val="16"/>
                <w:szCs w:val="16"/>
                <w:lang w:eastAsia="tr-TR"/>
              </w:rPr>
              <w:t>Kervansaray Projesi hayata</w:t>
            </w:r>
            <w:r>
              <w:rPr>
                <w:rFonts w:cs="Tahoma"/>
                <w:sz w:val="16"/>
                <w:szCs w:val="16"/>
                <w:lang w:eastAsia="tr-TR"/>
              </w:rPr>
              <w:t xml:space="preserve"> </w:t>
            </w:r>
            <w:r w:rsidRPr="0080051C">
              <w:rPr>
                <w:rFonts w:cs="Tahoma"/>
                <w:sz w:val="16"/>
                <w:szCs w:val="16"/>
                <w:lang w:eastAsia="tr-TR"/>
              </w:rPr>
              <w:t>geçirilecek ve oluşturulan çalışma</w:t>
            </w:r>
            <w:r>
              <w:rPr>
                <w:rFonts w:cs="Tahoma"/>
                <w:sz w:val="16"/>
                <w:szCs w:val="16"/>
                <w:lang w:eastAsia="tr-TR"/>
              </w:rPr>
              <w:t xml:space="preserve"> </w:t>
            </w:r>
            <w:r w:rsidRPr="0080051C">
              <w:rPr>
                <w:rFonts w:cs="Tahoma"/>
                <w:sz w:val="16"/>
                <w:szCs w:val="16"/>
                <w:lang w:eastAsia="tr-TR"/>
              </w:rPr>
              <w:t>grubu marifetiyle</w:t>
            </w:r>
            <w:r>
              <w:rPr>
                <w:rFonts w:cs="Tahoma"/>
                <w:sz w:val="16"/>
                <w:szCs w:val="16"/>
                <w:lang w:eastAsia="tr-TR"/>
              </w:rPr>
              <w:t xml:space="preserve"> </w:t>
            </w:r>
            <w:r w:rsidRPr="0080051C">
              <w:rPr>
                <w:rFonts w:cs="Tahoma"/>
                <w:sz w:val="16"/>
                <w:szCs w:val="16"/>
                <w:lang w:eastAsia="tr-TR"/>
              </w:rPr>
              <w:t>yapılan analizler</w:t>
            </w:r>
            <w:r>
              <w:rPr>
                <w:rFonts w:cs="Tahoma"/>
                <w:sz w:val="16"/>
                <w:szCs w:val="16"/>
                <w:lang w:eastAsia="tr-TR"/>
              </w:rPr>
              <w:t xml:space="preserve"> </w:t>
            </w:r>
            <w:r w:rsidRPr="0080051C">
              <w:rPr>
                <w:rFonts w:cs="Tahoma"/>
                <w:sz w:val="16"/>
                <w:szCs w:val="16"/>
                <w:lang w:eastAsia="tr-TR"/>
              </w:rPr>
              <w:t>sonucu uluslararası hukuki metinler</w:t>
            </w:r>
            <w:r>
              <w:rPr>
                <w:rFonts w:cs="Tahoma"/>
                <w:sz w:val="16"/>
                <w:szCs w:val="16"/>
                <w:lang w:eastAsia="tr-TR"/>
              </w:rPr>
              <w:t xml:space="preserve"> </w:t>
            </w:r>
            <w:r w:rsidRPr="0080051C">
              <w:rPr>
                <w:rFonts w:cs="Tahoma"/>
                <w:sz w:val="16"/>
                <w:szCs w:val="16"/>
                <w:lang w:eastAsia="tr-TR"/>
              </w:rPr>
              <w:t>hazırlanacak ve pilot uygulama için</w:t>
            </w:r>
            <w:r>
              <w:rPr>
                <w:rFonts w:cs="Tahoma"/>
                <w:sz w:val="16"/>
                <w:szCs w:val="16"/>
                <w:lang w:eastAsia="tr-TR"/>
              </w:rPr>
              <w:t xml:space="preserve"> </w:t>
            </w:r>
            <w:r w:rsidRPr="0080051C">
              <w:rPr>
                <w:rFonts w:cs="Tahoma"/>
                <w:sz w:val="16"/>
                <w:szCs w:val="16"/>
                <w:lang w:eastAsia="tr-TR"/>
              </w:rPr>
              <w:t>belirlenen alanlarda faaliyete</w:t>
            </w:r>
            <w:r>
              <w:rPr>
                <w:rFonts w:cs="Tahoma"/>
                <w:sz w:val="16"/>
                <w:szCs w:val="16"/>
                <w:lang w:eastAsia="tr-TR"/>
              </w:rPr>
              <w:t xml:space="preserve"> </w:t>
            </w:r>
            <w:r w:rsidRPr="0080051C">
              <w:rPr>
                <w:rFonts w:cs="Tahoma"/>
                <w:sz w:val="16"/>
                <w:szCs w:val="16"/>
                <w:lang w:eastAsia="tr-TR"/>
              </w:rPr>
              <w:t>geçilecektir.</w:t>
            </w:r>
          </w:p>
        </w:tc>
      </w:tr>
      <w:tr w:rsidR="00565FD5" w:rsidRPr="00295E5D" w:rsidTr="00AB62A3">
        <w:trPr>
          <w:trHeight w:val="20"/>
          <w:jc w:val="center"/>
        </w:trPr>
        <w:tc>
          <w:tcPr>
            <w:tcW w:w="5000" w:type="pct"/>
            <w:gridSpan w:val="6"/>
          </w:tcPr>
          <w:p w:rsidR="00565FD5" w:rsidRPr="00295E5D" w:rsidRDefault="00565FD5" w:rsidP="00EB1E69">
            <w:pPr>
              <w:numPr>
                <w:ilvl w:val="0"/>
                <w:numId w:val="15"/>
              </w:numPr>
              <w:tabs>
                <w:tab w:val="left" w:pos="425"/>
              </w:tabs>
              <w:autoSpaceDE w:val="0"/>
              <w:autoSpaceDN w:val="0"/>
              <w:adjustRightInd w:val="0"/>
              <w:spacing w:before="40" w:after="40" w:line="240" w:lineRule="auto"/>
              <w:jc w:val="both"/>
              <w:rPr>
                <w:b/>
              </w:rPr>
            </w:pPr>
            <w:r w:rsidRPr="00206DFD">
              <w:rPr>
                <w:rFonts w:cs="Tahoma"/>
                <w:b/>
                <w:sz w:val="16"/>
                <w:szCs w:val="16"/>
                <w:lang w:eastAsia="tr-TR"/>
              </w:rPr>
              <w:lastRenderedPageBreak/>
              <w:t>Fikri mülkiyet sisteminin etkinliğini sağlamak üzere; kısa, orta ve uzun vadeli stratejiler belirlenecek, kurumsal kapasite, hukuki altyapı ve kurumlar arası işbirliği güçlendirilecek, toplum düzeyinde yaygın ve yerleşik fikri haklar kültürü oluşması yönünde çalışmalar sürdürülecektir.</w:t>
            </w:r>
          </w:p>
        </w:tc>
      </w:tr>
      <w:tr w:rsidR="00565FD5" w:rsidRPr="00295E5D" w:rsidTr="00AB62A3">
        <w:trPr>
          <w:trHeight w:val="20"/>
          <w:jc w:val="center"/>
        </w:trPr>
        <w:tc>
          <w:tcPr>
            <w:tcW w:w="1418" w:type="pct"/>
          </w:tcPr>
          <w:p w:rsidR="00565FD5" w:rsidRPr="00206DFD" w:rsidRDefault="00565FD5" w:rsidP="00EB1E69">
            <w:pPr>
              <w:numPr>
                <w:ilvl w:val="0"/>
                <w:numId w:val="14"/>
              </w:numPr>
              <w:tabs>
                <w:tab w:val="left" w:pos="425"/>
              </w:tabs>
              <w:autoSpaceDE w:val="0"/>
              <w:autoSpaceDN w:val="0"/>
              <w:adjustRightInd w:val="0"/>
              <w:spacing w:before="60" w:after="60" w:line="240" w:lineRule="auto"/>
              <w:rPr>
                <w:rFonts w:cs="Tahoma"/>
                <w:sz w:val="16"/>
                <w:szCs w:val="16"/>
                <w:lang w:eastAsia="tr-TR"/>
              </w:rPr>
            </w:pPr>
            <w:r w:rsidRPr="00206DFD">
              <w:rPr>
                <w:rFonts w:cs="Tahoma"/>
                <w:sz w:val="16"/>
                <w:szCs w:val="16"/>
                <w:lang w:eastAsia="tr-TR"/>
              </w:rPr>
              <w:t>Sınai mülkiyet haklarıyla ilgili mevzuatta değişiklik öngören yasal düzenlemeler tamamlanacaktır.</w:t>
            </w:r>
          </w:p>
        </w:tc>
        <w:tc>
          <w:tcPr>
            <w:tcW w:w="1391" w:type="pct"/>
          </w:tcPr>
          <w:p w:rsidR="00565FD5" w:rsidRPr="00206DFD" w:rsidRDefault="00565FD5" w:rsidP="00AB62A3">
            <w:pPr>
              <w:autoSpaceDE w:val="0"/>
              <w:autoSpaceDN w:val="0"/>
              <w:adjustRightInd w:val="0"/>
              <w:spacing w:before="60" w:after="60"/>
              <w:rPr>
                <w:rFonts w:cs="Tahoma"/>
                <w:sz w:val="16"/>
                <w:szCs w:val="16"/>
                <w:lang w:eastAsia="tr-TR"/>
              </w:rPr>
            </w:pPr>
            <w:r w:rsidRPr="00206DFD">
              <w:rPr>
                <w:rFonts w:cs="Tahoma"/>
                <w:sz w:val="16"/>
                <w:szCs w:val="16"/>
                <w:lang w:eastAsia="tr-TR"/>
              </w:rPr>
              <w:t>Türk Patent Enstitüsü (S), Bilim, Sanayi ve Teknoloji Bakanlığı, Adalet Bakanlığı</w:t>
            </w:r>
          </w:p>
        </w:tc>
        <w:tc>
          <w:tcPr>
            <w:tcW w:w="626" w:type="pct"/>
            <w:gridSpan w:val="2"/>
          </w:tcPr>
          <w:p w:rsidR="00565FD5" w:rsidRPr="00206DFD" w:rsidRDefault="00565FD5" w:rsidP="00AB62A3">
            <w:pPr>
              <w:autoSpaceDE w:val="0"/>
              <w:autoSpaceDN w:val="0"/>
              <w:adjustRightInd w:val="0"/>
              <w:spacing w:before="60" w:after="60"/>
              <w:rPr>
                <w:rFonts w:cs="Tahoma"/>
                <w:sz w:val="16"/>
                <w:szCs w:val="16"/>
                <w:lang w:eastAsia="tr-TR"/>
              </w:rPr>
            </w:pPr>
            <w:r w:rsidRPr="00206DFD">
              <w:rPr>
                <w:rFonts w:cs="Tahoma"/>
                <w:sz w:val="16"/>
                <w:szCs w:val="16"/>
                <w:lang w:eastAsia="tr-TR"/>
              </w:rPr>
              <w:t>Aralık Sonu</w:t>
            </w:r>
          </w:p>
        </w:tc>
        <w:tc>
          <w:tcPr>
            <w:tcW w:w="1565" w:type="pct"/>
            <w:gridSpan w:val="2"/>
          </w:tcPr>
          <w:p w:rsidR="00565FD5" w:rsidRPr="00206DFD" w:rsidRDefault="00565FD5" w:rsidP="00AB62A3">
            <w:pPr>
              <w:autoSpaceDE w:val="0"/>
              <w:autoSpaceDN w:val="0"/>
              <w:adjustRightInd w:val="0"/>
              <w:spacing w:before="60" w:after="60"/>
              <w:rPr>
                <w:rFonts w:cs="Tahoma"/>
                <w:sz w:val="16"/>
                <w:szCs w:val="16"/>
                <w:lang w:eastAsia="tr-TR"/>
              </w:rPr>
            </w:pPr>
            <w:r w:rsidRPr="00206DFD">
              <w:rPr>
                <w:rFonts w:cs="Tahoma"/>
                <w:sz w:val="16"/>
                <w:szCs w:val="16"/>
                <w:lang w:eastAsia="tr-TR"/>
              </w:rPr>
              <w:t xml:space="preserve">Sınai mülkiyet mevzuatının, uluslararası gelişmelere, AB mevzuatına uyuma ve iç uygulamalarda ortaya çıkan sorunların giderilmesine yönelik olarak güncellenmesini ve değiştirilmesini amaçlayan kanun tasarısı TBMM’ye sevk edilecektir. </w:t>
            </w:r>
          </w:p>
        </w:tc>
      </w:tr>
      <w:tr w:rsidR="00565FD5" w:rsidRPr="00295E5D" w:rsidTr="00AB62A3">
        <w:trPr>
          <w:trHeight w:val="20"/>
          <w:jc w:val="center"/>
        </w:trPr>
        <w:tc>
          <w:tcPr>
            <w:tcW w:w="1418" w:type="pct"/>
          </w:tcPr>
          <w:p w:rsidR="00565FD5" w:rsidRPr="00292F26" w:rsidRDefault="00565FD5" w:rsidP="00EB1E69">
            <w:pPr>
              <w:numPr>
                <w:ilvl w:val="0"/>
                <w:numId w:val="14"/>
              </w:numPr>
              <w:tabs>
                <w:tab w:val="left" w:pos="425"/>
              </w:tabs>
              <w:spacing w:before="80" w:after="60" w:line="240" w:lineRule="auto"/>
              <w:ind w:left="34"/>
              <w:rPr>
                <w:rFonts w:cs="Tahoma"/>
                <w:sz w:val="16"/>
                <w:szCs w:val="16"/>
              </w:rPr>
            </w:pPr>
            <w:r w:rsidRPr="00292F26">
              <w:rPr>
                <w:rFonts w:cs="Tahoma"/>
                <w:sz w:val="16"/>
                <w:szCs w:val="16"/>
              </w:rPr>
              <w:t xml:space="preserve"> Sınai mülkiyet haklarının ticarileştirilmesine yönelik teşvik</w:t>
            </w:r>
            <w:r>
              <w:rPr>
                <w:rFonts w:cs="Tahoma"/>
                <w:sz w:val="16"/>
                <w:szCs w:val="16"/>
              </w:rPr>
              <w:t xml:space="preserve"> </w:t>
            </w:r>
            <w:r w:rsidRPr="00292F26">
              <w:rPr>
                <w:rFonts w:cs="Tahoma"/>
                <w:sz w:val="16"/>
                <w:szCs w:val="16"/>
              </w:rPr>
              <w:t>imkanları artırılacaktır.</w:t>
            </w:r>
          </w:p>
        </w:tc>
        <w:tc>
          <w:tcPr>
            <w:tcW w:w="1391" w:type="pct"/>
          </w:tcPr>
          <w:p w:rsidR="00565FD5" w:rsidRPr="00292F26" w:rsidRDefault="00565FD5" w:rsidP="00AB62A3">
            <w:pPr>
              <w:spacing w:before="80" w:after="60"/>
              <w:rPr>
                <w:rFonts w:cs="Tahoma"/>
                <w:sz w:val="16"/>
                <w:szCs w:val="16"/>
              </w:rPr>
            </w:pPr>
            <w:r w:rsidRPr="00292F26">
              <w:rPr>
                <w:rFonts w:cs="Tahoma"/>
                <w:sz w:val="16"/>
                <w:szCs w:val="16"/>
              </w:rPr>
              <w:t>Maliye Bakanlığı (S), Ekonomi Bakanlığı, Kalkınma Bakanlığı,</w:t>
            </w:r>
            <w:r w:rsidRPr="00292F26">
              <w:rPr>
                <w:rFonts w:cs="Tahoma"/>
                <w:sz w:val="16"/>
                <w:szCs w:val="16"/>
              </w:rPr>
              <w:br/>
              <w:t>TPE, TOBB, TİM, TÜSİAD, YASED,</w:t>
            </w:r>
            <w:r w:rsidRPr="00292F26">
              <w:rPr>
                <w:rFonts w:cs="Tahoma"/>
                <w:sz w:val="16"/>
                <w:szCs w:val="16"/>
              </w:rPr>
              <w:br/>
              <w:t>İlgili Kurum ve Kuruluşlar</w:t>
            </w:r>
          </w:p>
        </w:tc>
        <w:tc>
          <w:tcPr>
            <w:tcW w:w="626" w:type="pct"/>
            <w:gridSpan w:val="2"/>
          </w:tcPr>
          <w:p w:rsidR="00565FD5" w:rsidRPr="00292F26" w:rsidRDefault="00565FD5" w:rsidP="00AB62A3">
            <w:pPr>
              <w:spacing w:before="80" w:after="60"/>
              <w:rPr>
                <w:rFonts w:cs="Tahoma"/>
                <w:sz w:val="16"/>
                <w:szCs w:val="16"/>
              </w:rPr>
            </w:pPr>
            <w:r w:rsidRPr="00292F26">
              <w:rPr>
                <w:rFonts w:cs="Tahoma"/>
                <w:sz w:val="16"/>
                <w:szCs w:val="16"/>
              </w:rPr>
              <w:t>Haziran Sonu</w:t>
            </w:r>
          </w:p>
        </w:tc>
        <w:tc>
          <w:tcPr>
            <w:tcW w:w="1565" w:type="pct"/>
            <w:gridSpan w:val="2"/>
          </w:tcPr>
          <w:p w:rsidR="00565FD5" w:rsidRPr="00292F26" w:rsidRDefault="00565FD5" w:rsidP="00AB62A3">
            <w:pPr>
              <w:spacing w:before="80" w:after="60"/>
              <w:rPr>
                <w:rFonts w:cs="Tahoma"/>
                <w:sz w:val="16"/>
                <w:szCs w:val="16"/>
              </w:rPr>
            </w:pPr>
            <w:r w:rsidRPr="00292F26">
              <w:rPr>
                <w:rFonts w:cs="Tahoma"/>
                <w:sz w:val="16"/>
                <w:szCs w:val="16"/>
              </w:rPr>
              <w:t>Türkiye'nin uluslararası rekabet gücünün artırılması amacıyla sınai mülkiyet haklarının ticarileştirilmesine yönelik teşvik tedbirlerine ilişkin mevzuat değişikliği önerileri hazırlanacaktır.</w:t>
            </w:r>
          </w:p>
        </w:tc>
      </w:tr>
      <w:tr w:rsidR="00565FD5" w:rsidRPr="00295E5D" w:rsidTr="00AB62A3">
        <w:trPr>
          <w:trHeight w:val="20"/>
          <w:jc w:val="center"/>
        </w:trPr>
        <w:tc>
          <w:tcPr>
            <w:tcW w:w="1418" w:type="pct"/>
          </w:tcPr>
          <w:p w:rsidR="00565FD5" w:rsidRPr="00206DFD" w:rsidRDefault="00565FD5" w:rsidP="00EB1E69">
            <w:pPr>
              <w:numPr>
                <w:ilvl w:val="0"/>
                <w:numId w:val="14"/>
              </w:numPr>
              <w:tabs>
                <w:tab w:val="left" w:pos="425"/>
              </w:tabs>
              <w:autoSpaceDE w:val="0"/>
              <w:autoSpaceDN w:val="0"/>
              <w:adjustRightInd w:val="0"/>
              <w:spacing w:before="40" w:after="40" w:line="240" w:lineRule="auto"/>
              <w:rPr>
                <w:rFonts w:cs="Tahoma"/>
                <w:sz w:val="16"/>
                <w:szCs w:val="16"/>
                <w:lang w:eastAsia="tr-TR"/>
              </w:rPr>
            </w:pPr>
            <w:r w:rsidRPr="00206DFD">
              <w:rPr>
                <w:rFonts w:cs="Tahoma"/>
                <w:sz w:val="16"/>
                <w:szCs w:val="16"/>
                <w:lang w:eastAsia="tr-TR"/>
              </w:rPr>
              <w:t>5000 sayılı Türk Patent Enstitüsü Kuruluş ve Görevleri Hakkında Kanunda değişiklik yapılmasına ilişkin çalışmalar tamamlanacaktır.</w:t>
            </w:r>
          </w:p>
        </w:tc>
        <w:tc>
          <w:tcPr>
            <w:tcW w:w="1391" w:type="pct"/>
          </w:tcPr>
          <w:p w:rsidR="00565FD5" w:rsidRPr="00206DFD" w:rsidRDefault="00565FD5" w:rsidP="00AB62A3">
            <w:pPr>
              <w:autoSpaceDE w:val="0"/>
              <w:autoSpaceDN w:val="0"/>
              <w:adjustRightInd w:val="0"/>
              <w:spacing w:before="40" w:after="40"/>
              <w:rPr>
                <w:rFonts w:cs="Tahoma"/>
                <w:sz w:val="16"/>
                <w:szCs w:val="16"/>
                <w:lang w:eastAsia="tr-TR"/>
              </w:rPr>
            </w:pPr>
            <w:r w:rsidRPr="00206DFD">
              <w:rPr>
                <w:rFonts w:cs="Tahoma"/>
                <w:sz w:val="16"/>
                <w:szCs w:val="16"/>
                <w:lang w:eastAsia="tr-TR"/>
              </w:rPr>
              <w:t>Türk Patent Enstitüsü (S), Bilim, Sanayi ve Teknoloji Bakanlığı</w:t>
            </w:r>
          </w:p>
        </w:tc>
        <w:tc>
          <w:tcPr>
            <w:tcW w:w="626" w:type="pct"/>
            <w:gridSpan w:val="2"/>
          </w:tcPr>
          <w:p w:rsidR="00565FD5" w:rsidRPr="00206DFD" w:rsidRDefault="00565FD5" w:rsidP="00AB62A3">
            <w:pPr>
              <w:autoSpaceDE w:val="0"/>
              <w:autoSpaceDN w:val="0"/>
              <w:adjustRightInd w:val="0"/>
              <w:spacing w:before="40" w:after="40"/>
              <w:rPr>
                <w:rFonts w:cs="Tahoma"/>
                <w:sz w:val="16"/>
                <w:szCs w:val="16"/>
                <w:lang w:eastAsia="tr-TR"/>
              </w:rPr>
            </w:pPr>
            <w:r w:rsidRPr="00206DFD">
              <w:rPr>
                <w:rFonts w:cs="Tahoma"/>
                <w:sz w:val="16"/>
                <w:szCs w:val="16"/>
                <w:lang w:eastAsia="tr-TR"/>
              </w:rPr>
              <w:t>Aralık Sonu</w:t>
            </w:r>
          </w:p>
        </w:tc>
        <w:tc>
          <w:tcPr>
            <w:tcW w:w="1565" w:type="pct"/>
            <w:gridSpan w:val="2"/>
          </w:tcPr>
          <w:p w:rsidR="00565FD5" w:rsidRPr="00206DFD" w:rsidRDefault="00565FD5" w:rsidP="00AB62A3">
            <w:pPr>
              <w:autoSpaceDE w:val="0"/>
              <w:autoSpaceDN w:val="0"/>
              <w:adjustRightInd w:val="0"/>
              <w:spacing w:before="40" w:after="40"/>
              <w:rPr>
                <w:rFonts w:cs="Tahoma"/>
                <w:sz w:val="16"/>
                <w:szCs w:val="16"/>
                <w:lang w:eastAsia="tr-TR"/>
              </w:rPr>
            </w:pPr>
            <w:r w:rsidRPr="00206DFD">
              <w:rPr>
                <w:rFonts w:cs="Tahoma"/>
                <w:sz w:val="16"/>
                <w:szCs w:val="16"/>
                <w:lang w:eastAsia="tr-TR"/>
              </w:rPr>
              <w:t xml:space="preserve">Enstitünün daha etkin ve verimli bir yapıya kavuşturulması ve kurumsal kapasitesinin güçlendirilmesi amacıyla hazırlanan kanun tasarısı TBMM'ye sevk edilecektir.  </w:t>
            </w:r>
          </w:p>
        </w:tc>
      </w:tr>
      <w:tr w:rsidR="00565FD5" w:rsidRPr="00295E5D" w:rsidTr="00AB62A3">
        <w:trPr>
          <w:trHeight w:val="20"/>
          <w:jc w:val="center"/>
        </w:trPr>
        <w:tc>
          <w:tcPr>
            <w:tcW w:w="1418" w:type="pct"/>
          </w:tcPr>
          <w:p w:rsidR="00565FD5" w:rsidRPr="00206DFD" w:rsidRDefault="00565FD5" w:rsidP="00EB1E69">
            <w:pPr>
              <w:numPr>
                <w:ilvl w:val="0"/>
                <w:numId w:val="14"/>
              </w:numPr>
              <w:tabs>
                <w:tab w:val="left" w:pos="425"/>
              </w:tabs>
              <w:autoSpaceDE w:val="0"/>
              <w:autoSpaceDN w:val="0"/>
              <w:adjustRightInd w:val="0"/>
              <w:spacing w:before="40" w:after="40" w:line="240" w:lineRule="auto"/>
              <w:rPr>
                <w:rFonts w:cs="Tahoma"/>
                <w:sz w:val="16"/>
                <w:szCs w:val="16"/>
                <w:lang w:eastAsia="tr-TR"/>
              </w:rPr>
            </w:pPr>
            <w:r w:rsidRPr="00206DFD">
              <w:rPr>
                <w:rFonts w:cs="Tahoma"/>
                <w:sz w:val="16"/>
                <w:szCs w:val="16"/>
                <w:lang w:eastAsia="tr-TR"/>
              </w:rPr>
              <w:lastRenderedPageBreak/>
              <w:t xml:space="preserve">Patent Değerlendirme Ajansının kurulmasına ilişkin kanun tasarısı taslağı hazırlanacaktır.  </w:t>
            </w:r>
          </w:p>
        </w:tc>
        <w:tc>
          <w:tcPr>
            <w:tcW w:w="1391" w:type="pct"/>
          </w:tcPr>
          <w:p w:rsidR="00565FD5" w:rsidRPr="00206DFD" w:rsidRDefault="00565FD5" w:rsidP="00AB62A3">
            <w:pPr>
              <w:autoSpaceDE w:val="0"/>
              <w:autoSpaceDN w:val="0"/>
              <w:adjustRightInd w:val="0"/>
              <w:spacing w:before="40" w:after="40"/>
              <w:rPr>
                <w:rFonts w:cs="Tahoma"/>
                <w:sz w:val="16"/>
                <w:szCs w:val="16"/>
                <w:lang w:eastAsia="tr-TR"/>
              </w:rPr>
            </w:pPr>
            <w:r w:rsidRPr="00206DFD">
              <w:rPr>
                <w:rFonts w:cs="Tahoma"/>
                <w:sz w:val="16"/>
                <w:szCs w:val="16"/>
                <w:lang w:eastAsia="tr-TR"/>
              </w:rPr>
              <w:t>Türk Patent Enstitüsü (S), Bilim, Sanayi ve Teknoloji Bakanlığı</w:t>
            </w:r>
          </w:p>
        </w:tc>
        <w:tc>
          <w:tcPr>
            <w:tcW w:w="626" w:type="pct"/>
            <w:gridSpan w:val="2"/>
          </w:tcPr>
          <w:p w:rsidR="00565FD5" w:rsidRPr="00206DFD" w:rsidRDefault="00565FD5" w:rsidP="00AB62A3">
            <w:pPr>
              <w:autoSpaceDE w:val="0"/>
              <w:autoSpaceDN w:val="0"/>
              <w:adjustRightInd w:val="0"/>
              <w:spacing w:before="40" w:after="40"/>
              <w:rPr>
                <w:rFonts w:cs="Tahoma"/>
                <w:sz w:val="16"/>
                <w:szCs w:val="16"/>
                <w:lang w:eastAsia="tr-TR"/>
              </w:rPr>
            </w:pPr>
            <w:r w:rsidRPr="00206DFD">
              <w:rPr>
                <w:rFonts w:cs="Tahoma"/>
                <w:sz w:val="16"/>
                <w:szCs w:val="16"/>
                <w:lang w:eastAsia="tr-TR"/>
              </w:rPr>
              <w:t>Aralık Sonu</w:t>
            </w:r>
          </w:p>
        </w:tc>
        <w:tc>
          <w:tcPr>
            <w:tcW w:w="1565" w:type="pct"/>
            <w:gridSpan w:val="2"/>
          </w:tcPr>
          <w:p w:rsidR="00565FD5" w:rsidRPr="00206DFD" w:rsidRDefault="00565FD5" w:rsidP="00AB62A3">
            <w:pPr>
              <w:autoSpaceDE w:val="0"/>
              <w:autoSpaceDN w:val="0"/>
              <w:adjustRightInd w:val="0"/>
              <w:spacing w:before="40" w:after="40"/>
              <w:rPr>
                <w:rFonts w:cs="Tahoma"/>
                <w:sz w:val="16"/>
                <w:szCs w:val="16"/>
                <w:lang w:eastAsia="tr-TR"/>
              </w:rPr>
            </w:pPr>
            <w:r w:rsidRPr="00206DFD">
              <w:rPr>
                <w:rFonts w:cs="Tahoma"/>
                <w:sz w:val="16"/>
                <w:szCs w:val="16"/>
                <w:lang w:eastAsia="tr-TR"/>
              </w:rPr>
              <w:t xml:space="preserve">Patentin ekonomik değerinin tespitinde yardımcı olmak, sanayi kesimi ile buluş sahibini bir araya getirmek, yenilikçilik sürecinde destek sunmak gibi işlevleri üstlenecek olan Patent Değerlendirme Ajansının kurulmasına ilişkin kanun tasarısı TBMM'ye sevk edilecektir. </w:t>
            </w:r>
          </w:p>
        </w:tc>
      </w:tr>
      <w:tr w:rsidR="00565FD5" w:rsidRPr="00295E5D" w:rsidTr="00AB62A3">
        <w:trPr>
          <w:trHeight w:val="20"/>
          <w:jc w:val="center"/>
        </w:trPr>
        <w:tc>
          <w:tcPr>
            <w:tcW w:w="1418" w:type="pct"/>
          </w:tcPr>
          <w:p w:rsidR="00565FD5" w:rsidRPr="00206DFD" w:rsidRDefault="00565FD5" w:rsidP="00EB1E69">
            <w:pPr>
              <w:numPr>
                <w:ilvl w:val="0"/>
                <w:numId w:val="14"/>
              </w:numPr>
              <w:tabs>
                <w:tab w:val="left" w:pos="425"/>
              </w:tabs>
              <w:autoSpaceDE w:val="0"/>
              <w:autoSpaceDN w:val="0"/>
              <w:adjustRightInd w:val="0"/>
              <w:spacing w:before="40" w:after="40" w:line="240" w:lineRule="auto"/>
              <w:rPr>
                <w:rFonts w:cs="Tahoma"/>
                <w:sz w:val="16"/>
                <w:szCs w:val="16"/>
                <w:lang w:eastAsia="tr-TR"/>
              </w:rPr>
            </w:pPr>
            <w:r w:rsidRPr="00206DFD">
              <w:rPr>
                <w:rFonts w:cs="Tahoma"/>
                <w:sz w:val="16"/>
                <w:szCs w:val="16"/>
                <w:lang w:eastAsia="tr-TR"/>
              </w:rPr>
              <w:t xml:space="preserve">Ulusal Fikri ve Sınai Mülkiyet Hakları Strateji Belgesi hazırlanacaktır. </w:t>
            </w:r>
          </w:p>
        </w:tc>
        <w:tc>
          <w:tcPr>
            <w:tcW w:w="1391" w:type="pct"/>
          </w:tcPr>
          <w:p w:rsidR="00565FD5" w:rsidRPr="00206DFD" w:rsidRDefault="00565FD5" w:rsidP="00AB62A3">
            <w:pPr>
              <w:autoSpaceDE w:val="0"/>
              <w:autoSpaceDN w:val="0"/>
              <w:adjustRightInd w:val="0"/>
              <w:spacing w:before="40" w:after="40"/>
              <w:rPr>
                <w:rFonts w:cs="Tahoma"/>
                <w:sz w:val="16"/>
                <w:szCs w:val="16"/>
                <w:lang w:eastAsia="tr-TR"/>
              </w:rPr>
            </w:pPr>
            <w:r w:rsidRPr="00206DFD">
              <w:rPr>
                <w:rFonts w:cs="Tahoma"/>
                <w:sz w:val="16"/>
                <w:szCs w:val="16"/>
                <w:lang w:eastAsia="tr-TR"/>
              </w:rPr>
              <w:t>Türk Patent Enstitüsü (S), ilgili kurum ve kuruluşlar</w:t>
            </w:r>
          </w:p>
        </w:tc>
        <w:tc>
          <w:tcPr>
            <w:tcW w:w="626" w:type="pct"/>
            <w:gridSpan w:val="2"/>
          </w:tcPr>
          <w:p w:rsidR="00565FD5" w:rsidRPr="00206DFD" w:rsidRDefault="00565FD5" w:rsidP="00AB62A3">
            <w:pPr>
              <w:autoSpaceDE w:val="0"/>
              <w:autoSpaceDN w:val="0"/>
              <w:adjustRightInd w:val="0"/>
              <w:spacing w:before="40" w:after="40"/>
              <w:rPr>
                <w:rFonts w:cs="Tahoma"/>
                <w:sz w:val="16"/>
                <w:szCs w:val="16"/>
                <w:lang w:eastAsia="tr-TR"/>
              </w:rPr>
            </w:pPr>
            <w:r w:rsidRPr="00206DFD">
              <w:rPr>
                <w:rFonts w:cs="Tahoma"/>
                <w:sz w:val="16"/>
                <w:szCs w:val="16"/>
                <w:lang w:eastAsia="tr-TR"/>
              </w:rPr>
              <w:t>Aralık Sonu</w:t>
            </w:r>
          </w:p>
        </w:tc>
        <w:tc>
          <w:tcPr>
            <w:tcW w:w="1565" w:type="pct"/>
            <w:gridSpan w:val="2"/>
          </w:tcPr>
          <w:p w:rsidR="00565FD5" w:rsidRPr="00206DFD" w:rsidRDefault="00565FD5" w:rsidP="00AB62A3">
            <w:pPr>
              <w:autoSpaceDE w:val="0"/>
              <w:autoSpaceDN w:val="0"/>
              <w:adjustRightInd w:val="0"/>
              <w:spacing w:before="40" w:after="40"/>
              <w:rPr>
                <w:rFonts w:cs="Tahoma"/>
                <w:sz w:val="16"/>
                <w:szCs w:val="16"/>
                <w:lang w:eastAsia="tr-TR"/>
              </w:rPr>
            </w:pPr>
            <w:r w:rsidRPr="00206DFD">
              <w:rPr>
                <w:rFonts w:cs="Tahoma"/>
                <w:sz w:val="16"/>
                <w:szCs w:val="16"/>
                <w:lang w:eastAsia="tr-TR"/>
              </w:rPr>
              <w:t xml:space="preserve">Fikri ve Sınai Mülkiyet Hakları Koordinasyon Kurulu’nun inisiyatifiyle başlatılan strateji hazırlık çalışmaları tamamlanacaktır.  </w:t>
            </w:r>
          </w:p>
        </w:tc>
      </w:tr>
      <w:tr w:rsidR="00565FD5" w:rsidRPr="00295E5D" w:rsidTr="00AB62A3">
        <w:trPr>
          <w:trHeight w:val="20"/>
          <w:jc w:val="center"/>
        </w:trPr>
        <w:tc>
          <w:tcPr>
            <w:tcW w:w="1418" w:type="pct"/>
          </w:tcPr>
          <w:p w:rsidR="00565FD5" w:rsidRPr="00206DFD" w:rsidRDefault="00565FD5" w:rsidP="00EB1E69">
            <w:pPr>
              <w:numPr>
                <w:ilvl w:val="0"/>
                <w:numId w:val="14"/>
              </w:numPr>
              <w:tabs>
                <w:tab w:val="left" w:pos="425"/>
              </w:tabs>
              <w:autoSpaceDE w:val="0"/>
              <w:autoSpaceDN w:val="0"/>
              <w:adjustRightInd w:val="0"/>
              <w:spacing w:before="40" w:after="40" w:line="240" w:lineRule="auto"/>
              <w:rPr>
                <w:rFonts w:cs="Tahoma"/>
                <w:sz w:val="16"/>
                <w:szCs w:val="16"/>
                <w:lang w:eastAsia="tr-TR"/>
              </w:rPr>
            </w:pPr>
            <w:r w:rsidRPr="00206DFD">
              <w:rPr>
                <w:rFonts w:cs="Tahoma"/>
                <w:sz w:val="16"/>
                <w:szCs w:val="16"/>
                <w:lang w:eastAsia="tr-TR"/>
              </w:rPr>
              <w:t xml:space="preserve">5846 sayılı Fikir ve Sanat Eserleri Kanununda değişiklik </w:t>
            </w:r>
            <w:r>
              <w:rPr>
                <w:rFonts w:cs="Tahoma"/>
                <w:sz w:val="16"/>
                <w:szCs w:val="16"/>
                <w:lang w:eastAsia="tr-TR"/>
              </w:rPr>
              <w:t>hazırlığı tamamlanacaktır.</w:t>
            </w:r>
          </w:p>
        </w:tc>
        <w:tc>
          <w:tcPr>
            <w:tcW w:w="1391" w:type="pct"/>
          </w:tcPr>
          <w:p w:rsidR="00565FD5" w:rsidRPr="00206DFD" w:rsidRDefault="00565FD5" w:rsidP="00AB62A3">
            <w:pPr>
              <w:autoSpaceDE w:val="0"/>
              <w:autoSpaceDN w:val="0"/>
              <w:adjustRightInd w:val="0"/>
              <w:spacing w:before="40" w:after="40"/>
              <w:rPr>
                <w:rFonts w:cs="Tahoma"/>
                <w:sz w:val="16"/>
                <w:szCs w:val="16"/>
                <w:lang w:eastAsia="tr-TR"/>
              </w:rPr>
            </w:pPr>
            <w:r w:rsidRPr="00206DFD">
              <w:rPr>
                <w:rFonts w:cs="Tahoma"/>
                <w:sz w:val="16"/>
                <w:szCs w:val="16"/>
                <w:lang w:eastAsia="tr-TR"/>
              </w:rPr>
              <w:t>Kültür ve Turizm Bakanlığı (S), Adalet Bakanlığı</w:t>
            </w:r>
          </w:p>
        </w:tc>
        <w:tc>
          <w:tcPr>
            <w:tcW w:w="626" w:type="pct"/>
            <w:gridSpan w:val="2"/>
          </w:tcPr>
          <w:p w:rsidR="00565FD5" w:rsidRPr="00206DFD" w:rsidRDefault="00565FD5" w:rsidP="00AB62A3">
            <w:pPr>
              <w:autoSpaceDE w:val="0"/>
              <w:autoSpaceDN w:val="0"/>
              <w:adjustRightInd w:val="0"/>
              <w:spacing w:before="40" w:after="40"/>
              <w:rPr>
                <w:rFonts w:cs="Tahoma"/>
                <w:sz w:val="16"/>
                <w:szCs w:val="16"/>
                <w:lang w:eastAsia="tr-TR"/>
              </w:rPr>
            </w:pPr>
            <w:r w:rsidRPr="00206DFD">
              <w:rPr>
                <w:rFonts w:cs="Tahoma"/>
                <w:sz w:val="16"/>
                <w:szCs w:val="16"/>
                <w:lang w:eastAsia="tr-TR"/>
              </w:rPr>
              <w:t>Aralık Sonu</w:t>
            </w:r>
          </w:p>
        </w:tc>
        <w:tc>
          <w:tcPr>
            <w:tcW w:w="1565" w:type="pct"/>
            <w:gridSpan w:val="2"/>
          </w:tcPr>
          <w:p w:rsidR="00565FD5" w:rsidRPr="00206DFD" w:rsidRDefault="00565FD5" w:rsidP="00AB62A3">
            <w:pPr>
              <w:autoSpaceDE w:val="0"/>
              <w:autoSpaceDN w:val="0"/>
              <w:adjustRightInd w:val="0"/>
              <w:spacing w:before="40" w:after="40"/>
              <w:rPr>
                <w:rFonts w:cs="Tahoma"/>
                <w:sz w:val="16"/>
                <w:szCs w:val="16"/>
                <w:lang w:eastAsia="tr-TR"/>
              </w:rPr>
            </w:pPr>
            <w:r w:rsidRPr="00206DFD">
              <w:rPr>
                <w:rFonts w:cs="Tahoma"/>
                <w:sz w:val="16"/>
                <w:szCs w:val="16"/>
                <w:lang w:eastAsia="tr-TR"/>
              </w:rPr>
              <w:t xml:space="preserve">5846 sayılı Kanunun; AB müktesebatıyla uyumlu olmayan maddeleri ile uygulamada sorun yaratan maddelerinin değiştirilmesine yönelik kanun tasarısı TBMM'ye sevk edilecektir.  </w:t>
            </w:r>
          </w:p>
        </w:tc>
      </w:tr>
    </w:tbl>
    <w:p w:rsidR="00565FD5" w:rsidRDefault="00565FD5" w:rsidP="00565FD5"/>
    <w:p w:rsidR="00565FD5" w:rsidRDefault="00565FD5" w:rsidP="00565FD5">
      <w:pPr>
        <w:pStyle w:val="Balk3"/>
      </w:pPr>
      <w:bookmarkStart w:id="1344" w:name="_Toc307601976"/>
      <w:bookmarkStart w:id="1345" w:name="_Toc307670425"/>
      <w:bookmarkStart w:id="1346" w:name="_Toc307701651"/>
      <w:bookmarkStart w:id="1347" w:name="_Toc338494237"/>
      <w:bookmarkStart w:id="1348" w:name="_Toc338494381"/>
      <w:bookmarkStart w:id="1349" w:name="_Toc338505563"/>
      <w:bookmarkStart w:id="1350" w:name="_Toc338505744"/>
      <w:bookmarkStart w:id="1351" w:name="_Toc338505783"/>
      <w:bookmarkStart w:id="1352" w:name="_Toc338523785"/>
      <w:bookmarkStart w:id="1353" w:name="_Toc338524016"/>
      <w:bookmarkStart w:id="1354" w:name="_Toc338526242"/>
      <w:bookmarkStart w:id="1355" w:name="_Toc338673685"/>
      <w:bookmarkStart w:id="1356" w:name="_Toc338711564"/>
      <w:r w:rsidRPr="00376AAD">
        <w:t>C. EKONOMİDE KAYITDIŞILIĞIN AZALTILMASI</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rsidR="00565FD5" w:rsidRPr="00981B4F" w:rsidRDefault="00565FD5" w:rsidP="00565FD5">
      <w:pPr>
        <w:pStyle w:val="Balk4"/>
      </w:pPr>
      <w:bookmarkStart w:id="1357" w:name="_Toc244253665"/>
      <w:bookmarkStart w:id="1358" w:name="_Toc244254916"/>
      <w:bookmarkStart w:id="1359" w:name="_Toc244313652"/>
      <w:bookmarkStart w:id="1360" w:name="_Toc244315129"/>
      <w:bookmarkStart w:id="1361" w:name="_Toc244339592"/>
      <w:bookmarkStart w:id="1362" w:name="_Toc276076271"/>
      <w:bookmarkStart w:id="1363" w:name="_Toc307601977"/>
      <w:bookmarkStart w:id="1364" w:name="_Toc307670426"/>
      <w:bookmarkStart w:id="1365" w:name="_Toc307701652"/>
      <w:bookmarkStart w:id="1366" w:name="_Toc338505564"/>
      <w:bookmarkStart w:id="1367" w:name="_Toc338523786"/>
      <w:bookmarkStart w:id="1368" w:name="_Toc338524017"/>
      <w:bookmarkStart w:id="1369" w:name="_Toc338526243"/>
      <w:bookmarkStart w:id="1370" w:name="_Toc338673686"/>
      <w:bookmarkStart w:id="1371" w:name="_Toc338711565"/>
      <w:r w:rsidRPr="00981B4F">
        <w:t>1. Mevcut Durum</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p>
    <w:p w:rsidR="00565FD5" w:rsidRPr="00981B4F" w:rsidRDefault="00565FD5" w:rsidP="00565FD5">
      <w:pPr>
        <w:spacing w:after="180"/>
        <w:ind w:firstLine="426"/>
        <w:rPr>
          <w:rFonts w:cs="Tahoma"/>
          <w:szCs w:val="18"/>
        </w:rPr>
      </w:pPr>
      <w:r w:rsidRPr="00981B4F">
        <w:rPr>
          <w:rFonts w:cs="Tahoma"/>
          <w:szCs w:val="18"/>
        </w:rPr>
        <w:t>Ülkemizde ekonomik hayatın önemli bir yapısal sorunu olan kayıtdışılığı ortaya çıkaran etmenler arasında, yaşanan makroekonomik istikrarsızlıklar, geçmişteki yüksek enflasyonist ortam, yüksek vergi ve prim oranları ile diğer idari-mali-yasal yükler gibi ekonomik sebeplerin yanı sıra yolsuzluk, çarpık kentleşme, işletmelerin çok büyük bölümünün küçük ölçekli olması, işsizliğin yüksek olması, kamu harcamalarında israf olduğu yönünde toplumda genel bir algının mevcudiyeti, bürokratik formalitelerin fazlalığı, nakit kullanımının yüksekliği, denetim sisteminin yeterince etkin olmaması, kurumlar arası koordinasyon eksikliği, sıkça çıkarılan afların gerek toplumdaki adalet duygusunu gerek kamuya karşı yükümlülüklerini zamanında yerine getirme duyarlılığını aşındırması ve kayıtdışılıkla mücadelede toplumsal ve siyasi iradenin oluşmaması gibi sosyal ve yapısal faktörler yer almaktadır.</w:t>
      </w:r>
    </w:p>
    <w:p w:rsidR="00565FD5" w:rsidRPr="00981B4F" w:rsidRDefault="00565FD5" w:rsidP="00565FD5">
      <w:pPr>
        <w:spacing w:after="140"/>
        <w:ind w:firstLine="425"/>
        <w:rPr>
          <w:szCs w:val="18"/>
        </w:rPr>
      </w:pPr>
      <w:r w:rsidRPr="00981B4F">
        <w:rPr>
          <w:szCs w:val="18"/>
        </w:rPr>
        <w:lastRenderedPageBreak/>
        <w:t>Kayıtdışı faaliyetlerdeki artış, bireyler ve işletmeler arasında haksız rekabetin doğmasına, gelir dağılımının bozulmasına, kayıtlı çalışan mükelleflerin vergiye gönüllü uyumunun ve toplumdaki vergi bilincinin azalmasına yol açmaktadır. Bu durumun yaygınlaşması, kayıtdışılık sorununun toplum nezdinde normalleşmesine, meşruiyet algısının güçlenmesine ve böylece toplumsal değerlerin zedelenmesine neden olmaktadır.</w:t>
      </w:r>
    </w:p>
    <w:p w:rsidR="00565FD5" w:rsidRPr="00981B4F" w:rsidRDefault="00565FD5" w:rsidP="00565FD5">
      <w:pPr>
        <w:spacing w:after="140"/>
        <w:ind w:firstLine="425"/>
        <w:rPr>
          <w:szCs w:val="18"/>
        </w:rPr>
      </w:pPr>
      <w:r w:rsidRPr="00981B4F">
        <w:rPr>
          <w:szCs w:val="18"/>
        </w:rPr>
        <w:t xml:space="preserve">Kayıtdışı ekonomiye yönelik çalışmalar, ülkemizde kayıtdışı ekonominin boyutunun gelişmiş ekonomilere kıyasla oldukça yüksek olduğunu ortaya koymaktadır. Buna bağlı olarak, artan kamu finansman ihtiyacının vergi oranlarının yükseltilmesi yoluyla karşılanması, vergiye karşı direnci daha da artırmakta, kayıtdışılığı bir kısır döngü haline getirmektedir. </w:t>
      </w:r>
    </w:p>
    <w:p w:rsidR="00565FD5" w:rsidRPr="00981B4F" w:rsidRDefault="00565FD5" w:rsidP="00565FD5">
      <w:pPr>
        <w:spacing w:after="140"/>
        <w:ind w:firstLine="425"/>
        <w:rPr>
          <w:szCs w:val="18"/>
        </w:rPr>
      </w:pPr>
      <w:r w:rsidRPr="00981B4F">
        <w:rPr>
          <w:szCs w:val="18"/>
        </w:rPr>
        <w:t>Ayrıca, kayıtdışı ekonomi, ilk aşamada kayıtdışı çalışan işletmelere rekabet avantajı sağlıyor gibi algılansa da, bu tür şirketlerin kurumsallaşmasını ve ölçek ekonomisinin getirilerinden yararlanmalarını engellemekte, vergilendirilemeyen kayıtdışı ekonomik faaliyetler nedeniyle girdiler üzerinde artan vergi yükü, uluslararası alanda rekabet edebilirlik açısından dezavantaj oluşturmaktadır.</w:t>
      </w:r>
    </w:p>
    <w:p w:rsidR="00565FD5" w:rsidRPr="00981B4F" w:rsidRDefault="00565FD5" w:rsidP="00565FD5">
      <w:pPr>
        <w:spacing w:after="140"/>
        <w:ind w:firstLine="425"/>
        <w:rPr>
          <w:szCs w:val="18"/>
        </w:rPr>
      </w:pPr>
      <w:r w:rsidRPr="00981B4F">
        <w:rPr>
          <w:szCs w:val="18"/>
        </w:rPr>
        <w:t>Son yıllarda, ülkemizde, yatırım ortamının iyileştirilmesi kapsamında bürokrasinin azaltılmasına, enflasyon muhasebesi uygulamasına, gümrük, sosyal güvenlik ve vergi işlemlerinde büyük ölçüde otomasyona geçilmesine, kaçakçılıkla mücadeleye, fikri mülkiyet haklarının korunmasına ve az gelişmiş yörelerde istihdamın artırılmasının teşvikine yönelik düzenlemeler yapılmıştır. Özellikle, kayıtlı çalışan mükelleflerin vergiye gönüllü uyumunun artırılması amacıyla; gelir vergisi alanında, son on yılda kademeli olarak, tarife dilimi sayısı yediden dörde, en üst tarife diliminde yüzde 55 olan vergi oranı ise yüzde 35 seviyesine indirilmiş, ücretlilerde, vergi iadesi olarak bilinen uygulama kaldırılarak asgari geçim indirimi uygulanmaya başlanmıştır. Kurumlar vergisi oranı da aynı dönemde yüzde 30-33 seviyesinden yüzde 20’ye indirilmiştir. Katma değer vergisi oranlarında da, eğitim, sağlık, tekstil ve turizm başta olmak üzere birçok sektörde son yıllarda önemli indirimler yapılmıştır. Ayrıca, hem istihdamı artırmak hem de kayıtlı istihdamı teşvik etmek amacıyla 5 puan prim indirimi, genç ve kadın istihdamının teşviki, özürlü istihdamının teşviki gibi düzenlemeler hayata geçirilmiştir. Yapılan bu düzenlemeler, kayıtdışılığı besleyen unsurlarla mücadeleye yönelik altyapının oluşturulması bakımından önem arz etmektedir.</w:t>
      </w:r>
    </w:p>
    <w:p w:rsidR="00565FD5" w:rsidRPr="00981B4F" w:rsidRDefault="00565FD5" w:rsidP="00565FD5">
      <w:pPr>
        <w:spacing w:after="140"/>
        <w:ind w:firstLine="425"/>
        <w:rPr>
          <w:szCs w:val="18"/>
        </w:rPr>
      </w:pPr>
      <w:r w:rsidRPr="00981B4F">
        <w:rPr>
          <w:szCs w:val="18"/>
        </w:rPr>
        <w:lastRenderedPageBreak/>
        <w:t>19</w:t>
      </w:r>
      <w:r>
        <w:rPr>
          <w:szCs w:val="18"/>
        </w:rPr>
        <w:t>/06/</w:t>
      </w:r>
      <w:r w:rsidRPr="00981B4F">
        <w:rPr>
          <w:szCs w:val="18"/>
        </w:rPr>
        <w:t xml:space="preserve">2012 tarihli </w:t>
      </w:r>
      <w:r>
        <w:rPr>
          <w:szCs w:val="18"/>
        </w:rPr>
        <w:t>Resmi Gazete'de</w:t>
      </w:r>
      <w:r w:rsidRPr="00981B4F">
        <w:rPr>
          <w:szCs w:val="18"/>
        </w:rPr>
        <w:t xml:space="preserve"> yayımlanan 2012/3305 sayılı Bakanlar Kurulu Kararıyla açıklanan yeni yatırım teşvik unsurlarının yerel yatırımları ve istihdamı artırmanın yanı sıra kayıtdışı ekonomi ve kayıtdışı istihdamın azaltılmasına katkı sağlaması beklenmektedir.</w:t>
      </w:r>
    </w:p>
    <w:p w:rsidR="00565FD5" w:rsidRPr="00981B4F" w:rsidRDefault="00565FD5" w:rsidP="00565FD5">
      <w:pPr>
        <w:spacing w:after="140"/>
        <w:ind w:firstLine="425"/>
        <w:rPr>
          <w:szCs w:val="18"/>
        </w:rPr>
      </w:pPr>
      <w:r w:rsidRPr="00981B4F">
        <w:rPr>
          <w:szCs w:val="18"/>
        </w:rPr>
        <w:t>İlki 2008-2010 yıllarını kapsayan Kayıtdışı Ekonomiyle Mücadele Stratejisi Eylem Planı, 2011-2013 yıllarını kapsayacak şekilde yenilenerek 21</w:t>
      </w:r>
      <w:r>
        <w:rPr>
          <w:szCs w:val="18"/>
        </w:rPr>
        <w:t>/12/</w:t>
      </w:r>
      <w:r w:rsidRPr="00981B4F">
        <w:rPr>
          <w:szCs w:val="18"/>
        </w:rPr>
        <w:t xml:space="preserve">2011 tarihli </w:t>
      </w:r>
      <w:r>
        <w:rPr>
          <w:szCs w:val="18"/>
        </w:rPr>
        <w:t>Resmi Gazete'de</w:t>
      </w:r>
      <w:r w:rsidRPr="00981B4F">
        <w:rPr>
          <w:szCs w:val="18"/>
        </w:rPr>
        <w:t xml:space="preserve"> yayımlanan 2011/21 sayılı Başbakanlık Genelgesiyle yürürlüğe girmiştir.</w:t>
      </w:r>
    </w:p>
    <w:p w:rsidR="00565FD5" w:rsidRPr="00981B4F" w:rsidRDefault="00565FD5" w:rsidP="00565FD5">
      <w:pPr>
        <w:spacing w:after="140"/>
        <w:ind w:firstLine="425"/>
        <w:rPr>
          <w:szCs w:val="18"/>
        </w:rPr>
      </w:pPr>
      <w:r w:rsidRPr="00981B4F">
        <w:rPr>
          <w:szCs w:val="18"/>
        </w:rPr>
        <w:t>2010 yılı hesap dönemi üzerinden bilanço esasına tabi tüm gelir ve kurumlar vergisi mükelleflerinin risk puanları belirlenmiş olup işgücü planlamasına göre belirlenen mükelleflerin incelemeye sevk edilmesi süreci devam etmektedir. Transfer fiyatlandırmasında, Merkezi Risk Analizi Modeliyle eşgüdümlü çalışacak yeni bir model geliştirilmektedir.</w:t>
      </w:r>
    </w:p>
    <w:p w:rsidR="00565FD5" w:rsidRPr="00981B4F" w:rsidRDefault="00565FD5" w:rsidP="00565FD5">
      <w:pPr>
        <w:spacing w:after="120"/>
        <w:ind w:firstLine="425"/>
        <w:rPr>
          <w:szCs w:val="18"/>
        </w:rPr>
      </w:pPr>
      <w:r w:rsidRPr="00981B4F">
        <w:rPr>
          <w:szCs w:val="18"/>
        </w:rPr>
        <w:t>Vergilendirmede mükellef hizmetlerinin etkinleştirilmesi kapsamında 2012 yılının ilk 7 ayında toplam 13 çeşit beyanname, bildirim ve form gözden geçirilmiş, 3.072 mükellef elektronik fatura uygulamasından yararlanmıştır.</w:t>
      </w:r>
    </w:p>
    <w:p w:rsidR="00565FD5" w:rsidRPr="00981B4F" w:rsidRDefault="00565FD5" w:rsidP="00565FD5">
      <w:pPr>
        <w:spacing w:after="120"/>
        <w:ind w:firstLine="425"/>
        <w:rPr>
          <w:szCs w:val="18"/>
        </w:rPr>
      </w:pPr>
      <w:bookmarkStart w:id="1372" w:name="_Toc307601978"/>
      <w:bookmarkStart w:id="1373" w:name="_Toc307670427"/>
      <w:bookmarkStart w:id="1374" w:name="_Toc307701653"/>
      <w:r w:rsidRPr="00981B4F">
        <w:rPr>
          <w:szCs w:val="18"/>
        </w:rPr>
        <w:t>Kayıtdışı istihdamın önlenmesi kapsamında vergi dairelerince düzenlenen yoklama fişlerindeki çalışan ve işveren bilgilerinin araştırılması, Alo 170 Kayıtdışı İstihdam ve Sosyal Güvenlik Bilgi Hattı aracılığıyla elde edilen bilgilerin ve ihbarların değerlendirilmesi, 1774 sayılı Kimlik Bildirme Kanununa istinaden çıkarılan yönetmelik eki formlardaki çalışan ve işveren bilgilerinin kontrol edilmesi, işyerlerinin sosyal güvenlik kontrol memurlarınca denetlenmesi, Sağlık İl Müdürlüklerince düzenlenen portör muayene listelerindeki çalışan ve işveren bilgilerinin araştırılması, diğer kamu kurumlarından ve internet sağlayıcılar ile GSM şirketlerinden alınan mesleki bilgi kayıtlarının değerlendirilmesi uygulamalarına devam edilmektedir. Bu kapsamda 2011 yılında 177 bin çalışan, 14 bin emekli ve 23 bin işyerinin, 2012 yılının ilk yedi ayında ise 98 bin çalışan, 9 bin emekli ve 9 bin işyerinin tescilsiz olarak faaliyette bulunduğu tespit edilmiştir.</w:t>
      </w:r>
    </w:p>
    <w:p w:rsidR="00565FD5" w:rsidRPr="00981B4F" w:rsidRDefault="00565FD5" w:rsidP="00565FD5">
      <w:pPr>
        <w:pStyle w:val="Balk4"/>
      </w:pPr>
      <w:bookmarkStart w:id="1375" w:name="_Toc338505565"/>
      <w:bookmarkStart w:id="1376" w:name="_Toc338523787"/>
      <w:bookmarkStart w:id="1377" w:name="_Toc338524018"/>
      <w:bookmarkStart w:id="1378" w:name="_Toc338526244"/>
      <w:bookmarkStart w:id="1379" w:name="_Toc338673687"/>
      <w:bookmarkStart w:id="1380" w:name="_Toc338711566"/>
      <w:r w:rsidRPr="00981B4F">
        <w:t>2. Temel Amaç ve Hedefler</w:t>
      </w:r>
      <w:bookmarkEnd w:id="1372"/>
      <w:bookmarkEnd w:id="1373"/>
      <w:bookmarkEnd w:id="1374"/>
      <w:bookmarkEnd w:id="1375"/>
      <w:bookmarkEnd w:id="1376"/>
      <w:bookmarkEnd w:id="1377"/>
      <w:bookmarkEnd w:id="1378"/>
      <w:bookmarkEnd w:id="1379"/>
      <w:bookmarkEnd w:id="1380"/>
    </w:p>
    <w:p w:rsidR="00565FD5" w:rsidRPr="00981B4F" w:rsidRDefault="00565FD5" w:rsidP="00565FD5">
      <w:pPr>
        <w:spacing w:after="180"/>
        <w:ind w:firstLine="425"/>
        <w:rPr>
          <w:szCs w:val="18"/>
        </w:rPr>
      </w:pPr>
      <w:r w:rsidRPr="00981B4F">
        <w:rPr>
          <w:szCs w:val="18"/>
        </w:rPr>
        <w:t>Ekonominin rekabet gücünün artırılmasının yanı sıra kamu finansman kaynaklarının sağlıklı bir yapıya kavuşturulması, kayıtlı ekonomiye geçiş süreciyle ulaşılmak istenen temel amaçlardır.</w:t>
      </w:r>
    </w:p>
    <w:p w:rsidR="00565FD5" w:rsidRPr="00981B4F" w:rsidRDefault="00565FD5" w:rsidP="00565FD5">
      <w:pPr>
        <w:spacing w:after="180"/>
        <w:ind w:firstLine="425"/>
        <w:rPr>
          <w:szCs w:val="18"/>
        </w:rPr>
      </w:pPr>
      <w:r w:rsidRPr="00981B4F">
        <w:rPr>
          <w:szCs w:val="18"/>
        </w:rPr>
        <w:lastRenderedPageBreak/>
        <w:t>2011-2013 yıllarını kapsayacak şekilde güncellenen Kayıtdışı Ekonomiyle Mücadele Stratejisi Eylem Planı kararlılıkla uygulanmaya devam edilecektir.</w:t>
      </w:r>
    </w:p>
    <w:p w:rsidR="00565FD5" w:rsidRPr="00981B4F" w:rsidRDefault="00565FD5" w:rsidP="00565FD5">
      <w:pPr>
        <w:pStyle w:val="Balk4"/>
      </w:pPr>
      <w:bookmarkStart w:id="1381" w:name="_Toc149968483"/>
      <w:bookmarkStart w:id="1382" w:name="_Toc150099172"/>
      <w:bookmarkStart w:id="1383" w:name="_Toc244253667"/>
      <w:bookmarkStart w:id="1384" w:name="_Toc244254918"/>
      <w:bookmarkStart w:id="1385" w:name="_Toc244313654"/>
      <w:bookmarkStart w:id="1386" w:name="_Toc244315131"/>
      <w:bookmarkStart w:id="1387" w:name="_Toc244339594"/>
      <w:bookmarkStart w:id="1388" w:name="_Toc276076273"/>
      <w:bookmarkStart w:id="1389" w:name="_Toc307601979"/>
      <w:bookmarkStart w:id="1390" w:name="_Toc307670428"/>
      <w:bookmarkStart w:id="1391" w:name="_Toc307701654"/>
      <w:bookmarkStart w:id="1392" w:name="_Toc338505566"/>
      <w:bookmarkStart w:id="1393" w:name="_Toc338523788"/>
      <w:bookmarkStart w:id="1394" w:name="_Toc338524019"/>
      <w:bookmarkStart w:id="1395" w:name="_Toc338526245"/>
      <w:bookmarkStart w:id="1396" w:name="_Toc338673688"/>
      <w:bookmarkStart w:id="1397" w:name="_Toc338711567"/>
      <w:r w:rsidRPr="00981B4F">
        <w:t>3. Politika Öncelikleri ve Tedbirler</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tbl>
      <w:tblPr>
        <w:tblW w:w="4904" w:type="pct"/>
        <w:jc w:val="center"/>
        <w:tblCellMar>
          <w:left w:w="70" w:type="dxa"/>
          <w:right w:w="70" w:type="dxa"/>
        </w:tblCellMar>
        <w:tblLook w:val="00A0"/>
      </w:tblPr>
      <w:tblGrid>
        <w:gridCol w:w="2050"/>
        <w:gridCol w:w="1872"/>
        <w:gridCol w:w="661"/>
        <w:gridCol w:w="2561"/>
      </w:tblGrid>
      <w:tr w:rsidR="00565FD5" w:rsidRPr="00981B4F" w:rsidTr="00AB62A3">
        <w:trPr>
          <w:trHeight w:val="20"/>
          <w:jc w:val="center"/>
        </w:trPr>
        <w:tc>
          <w:tcPr>
            <w:tcW w:w="1335" w:type="pct"/>
            <w:tcBorders>
              <w:top w:val="single" w:sz="8" w:space="0" w:color="auto"/>
              <w:left w:val="single" w:sz="8" w:space="0" w:color="auto"/>
              <w:bottom w:val="single" w:sz="4" w:space="0" w:color="auto"/>
              <w:right w:val="single" w:sz="4" w:space="0" w:color="auto"/>
            </w:tcBorders>
            <w:vAlign w:val="bottom"/>
          </w:tcPr>
          <w:p w:rsidR="00565FD5" w:rsidRPr="00981B4F" w:rsidRDefault="00565FD5" w:rsidP="00AB62A3">
            <w:pPr>
              <w:spacing w:before="120" w:after="120"/>
              <w:rPr>
                <w:rFonts w:cs="Tahoma"/>
                <w:b/>
                <w:sz w:val="16"/>
                <w:szCs w:val="16"/>
              </w:rPr>
            </w:pPr>
            <w:r w:rsidRPr="00981B4F">
              <w:rPr>
                <w:rFonts w:cs="Tahoma"/>
                <w:b/>
                <w:sz w:val="16"/>
                <w:szCs w:val="16"/>
              </w:rPr>
              <w:t>Öncelik / Tedbir</w:t>
            </w:r>
          </w:p>
        </w:tc>
        <w:tc>
          <w:tcPr>
            <w:tcW w:w="1344" w:type="pct"/>
            <w:tcBorders>
              <w:top w:val="single" w:sz="8" w:space="0" w:color="auto"/>
              <w:left w:val="nil"/>
              <w:bottom w:val="single" w:sz="4" w:space="0" w:color="auto"/>
              <w:right w:val="single" w:sz="4" w:space="0" w:color="auto"/>
            </w:tcBorders>
            <w:vAlign w:val="bottom"/>
          </w:tcPr>
          <w:p w:rsidR="00565FD5" w:rsidRPr="00981B4F" w:rsidRDefault="00565FD5" w:rsidP="00AB62A3">
            <w:pPr>
              <w:spacing w:before="120" w:after="120"/>
              <w:rPr>
                <w:rFonts w:cs="Tahoma"/>
                <w:b/>
                <w:sz w:val="16"/>
                <w:szCs w:val="16"/>
              </w:rPr>
            </w:pPr>
            <w:r w:rsidRPr="00981B4F">
              <w:rPr>
                <w:rFonts w:cs="Tahoma"/>
                <w:b/>
                <w:sz w:val="16"/>
                <w:szCs w:val="16"/>
              </w:rPr>
              <w:t>Sorumlu / İşbirliği Yapılacak Kuruluşlar</w:t>
            </w:r>
          </w:p>
        </w:tc>
        <w:tc>
          <w:tcPr>
            <w:tcW w:w="496" w:type="pct"/>
            <w:tcBorders>
              <w:top w:val="single" w:sz="8" w:space="0" w:color="auto"/>
              <w:left w:val="nil"/>
              <w:bottom w:val="single" w:sz="4" w:space="0" w:color="auto"/>
              <w:right w:val="single" w:sz="4" w:space="0" w:color="auto"/>
            </w:tcBorders>
            <w:vAlign w:val="bottom"/>
          </w:tcPr>
          <w:p w:rsidR="00565FD5" w:rsidRPr="00981B4F" w:rsidRDefault="00565FD5" w:rsidP="00AB62A3">
            <w:pPr>
              <w:spacing w:before="120" w:after="120"/>
              <w:rPr>
                <w:rFonts w:cs="Tahoma"/>
                <w:b/>
                <w:sz w:val="16"/>
                <w:szCs w:val="16"/>
              </w:rPr>
            </w:pPr>
            <w:r w:rsidRPr="00981B4F">
              <w:rPr>
                <w:rFonts w:cs="Tahoma"/>
                <w:b/>
                <w:sz w:val="16"/>
                <w:szCs w:val="16"/>
              </w:rPr>
              <w:t>Süre</w:t>
            </w:r>
          </w:p>
        </w:tc>
        <w:tc>
          <w:tcPr>
            <w:tcW w:w="1825" w:type="pct"/>
            <w:tcBorders>
              <w:top w:val="single" w:sz="8" w:space="0" w:color="auto"/>
              <w:left w:val="nil"/>
              <w:bottom w:val="single" w:sz="4" w:space="0" w:color="auto"/>
              <w:right w:val="single" w:sz="8" w:space="0" w:color="auto"/>
            </w:tcBorders>
            <w:vAlign w:val="bottom"/>
          </w:tcPr>
          <w:p w:rsidR="00565FD5" w:rsidRPr="00981B4F" w:rsidRDefault="00565FD5" w:rsidP="00AB62A3">
            <w:pPr>
              <w:spacing w:before="120" w:after="120"/>
              <w:rPr>
                <w:rFonts w:cs="Tahoma"/>
                <w:b/>
                <w:sz w:val="16"/>
                <w:szCs w:val="16"/>
              </w:rPr>
            </w:pPr>
            <w:r w:rsidRPr="00981B4F">
              <w:rPr>
                <w:rFonts w:cs="Tahoma"/>
                <w:b/>
                <w:sz w:val="16"/>
                <w:szCs w:val="16"/>
              </w:rPr>
              <w:t>Yapılacak İşlem ve Açıklama</w:t>
            </w:r>
          </w:p>
        </w:tc>
      </w:tr>
      <w:tr w:rsidR="00565FD5" w:rsidRPr="00981B4F" w:rsidTr="00AB62A3">
        <w:trPr>
          <w:trHeight w:val="20"/>
          <w:jc w:val="center"/>
        </w:trPr>
        <w:tc>
          <w:tcPr>
            <w:tcW w:w="5000" w:type="pct"/>
            <w:gridSpan w:val="4"/>
            <w:tcBorders>
              <w:top w:val="single" w:sz="4" w:space="0" w:color="auto"/>
              <w:left w:val="single" w:sz="8" w:space="0" w:color="auto"/>
              <w:bottom w:val="single" w:sz="4" w:space="0" w:color="auto"/>
              <w:right w:val="single" w:sz="8" w:space="0" w:color="000000"/>
            </w:tcBorders>
            <w:vAlign w:val="center"/>
          </w:tcPr>
          <w:p w:rsidR="00565FD5" w:rsidRPr="00981B4F" w:rsidRDefault="00565FD5" w:rsidP="00EB1E69">
            <w:pPr>
              <w:numPr>
                <w:ilvl w:val="0"/>
                <w:numId w:val="15"/>
              </w:numPr>
              <w:tabs>
                <w:tab w:val="left" w:pos="425"/>
              </w:tabs>
              <w:spacing w:before="40" w:after="40" w:line="240" w:lineRule="auto"/>
              <w:jc w:val="both"/>
              <w:rPr>
                <w:rFonts w:cs="Tahoma"/>
                <w:b/>
                <w:bCs/>
                <w:color w:val="000000"/>
                <w:sz w:val="16"/>
                <w:szCs w:val="16"/>
              </w:rPr>
            </w:pPr>
            <w:r w:rsidRPr="00981B4F">
              <w:rPr>
                <w:rFonts w:cs="Tahoma"/>
                <w:b/>
                <w:sz w:val="16"/>
                <w:szCs w:val="16"/>
              </w:rPr>
              <w:t>Hazırlanan Eylem Planı çerçevesinde kayıtdışılıkla etkin bir şekilde mücadele edilecektir.</w:t>
            </w:r>
            <w:r w:rsidRPr="00981B4F">
              <w:rPr>
                <w:rFonts w:cs="Tahoma"/>
                <w:b/>
                <w:bCs/>
                <w:color w:val="000000"/>
                <w:sz w:val="16"/>
                <w:szCs w:val="16"/>
              </w:rPr>
              <w:t xml:space="preserve"> </w:t>
            </w:r>
          </w:p>
        </w:tc>
      </w:tr>
      <w:tr w:rsidR="00565FD5" w:rsidRPr="00981B4F" w:rsidTr="00AB62A3">
        <w:trPr>
          <w:trHeight w:val="20"/>
          <w:jc w:val="center"/>
        </w:trPr>
        <w:tc>
          <w:tcPr>
            <w:tcW w:w="1335" w:type="pct"/>
            <w:tcBorders>
              <w:top w:val="nil"/>
              <w:left w:val="single" w:sz="8" w:space="0" w:color="auto"/>
              <w:bottom w:val="single" w:sz="4" w:space="0" w:color="auto"/>
              <w:right w:val="single" w:sz="4" w:space="0" w:color="auto"/>
            </w:tcBorders>
          </w:tcPr>
          <w:p w:rsidR="00565FD5" w:rsidRPr="00981B4F" w:rsidRDefault="00565FD5" w:rsidP="00EB1E69">
            <w:pPr>
              <w:numPr>
                <w:ilvl w:val="0"/>
                <w:numId w:val="14"/>
              </w:numPr>
              <w:tabs>
                <w:tab w:val="left" w:pos="425"/>
              </w:tabs>
              <w:spacing w:before="120" w:after="120" w:line="240" w:lineRule="auto"/>
              <w:rPr>
                <w:rFonts w:cs="Tahoma"/>
                <w:sz w:val="16"/>
                <w:szCs w:val="16"/>
              </w:rPr>
            </w:pPr>
            <w:r w:rsidRPr="00981B4F">
              <w:rPr>
                <w:rFonts w:cs="Tahoma"/>
                <w:sz w:val="16"/>
                <w:szCs w:val="16"/>
              </w:rPr>
              <w:t>2011-2013 yıllarını kapsayan Kayıtdışı Ekonomiyle Mücadele Stratejisi Eylem Planı uygulanacaktır.</w:t>
            </w:r>
          </w:p>
        </w:tc>
        <w:tc>
          <w:tcPr>
            <w:tcW w:w="1344" w:type="pct"/>
            <w:tcBorders>
              <w:top w:val="nil"/>
              <w:left w:val="nil"/>
              <w:bottom w:val="single" w:sz="4" w:space="0" w:color="auto"/>
              <w:right w:val="single" w:sz="4" w:space="0" w:color="auto"/>
            </w:tcBorders>
          </w:tcPr>
          <w:p w:rsidR="00565FD5" w:rsidRPr="00981B4F" w:rsidRDefault="00565FD5" w:rsidP="00AB62A3">
            <w:pPr>
              <w:spacing w:before="120" w:after="120"/>
              <w:rPr>
                <w:rFonts w:cs="Tahoma"/>
                <w:sz w:val="16"/>
                <w:szCs w:val="16"/>
              </w:rPr>
            </w:pPr>
            <w:r w:rsidRPr="00981B4F">
              <w:rPr>
                <w:rFonts w:cs="Tahoma"/>
                <w:sz w:val="16"/>
                <w:szCs w:val="16"/>
              </w:rPr>
              <w:t>Gelir İdaresi Başkanlığı (S);  Bilim, Sanayi ve Teknoloji Bakanlığı, Çevre ve Şehircilik Bakanlığı, Enerji ve Tabii Kaynaklar Bakanlığı, Gümrük ve Ticaret Bakanlığı, Maliye Bakanlığı, Sağlık Bakanlığı, BDDK, EPDK, SPK, S</w:t>
            </w:r>
            <w:r>
              <w:rPr>
                <w:rFonts w:cs="Tahoma"/>
                <w:sz w:val="16"/>
                <w:szCs w:val="16"/>
              </w:rPr>
              <w:t xml:space="preserve">osyal </w:t>
            </w:r>
            <w:r w:rsidRPr="00981B4F">
              <w:rPr>
                <w:rFonts w:cs="Tahoma"/>
                <w:sz w:val="16"/>
                <w:szCs w:val="16"/>
              </w:rPr>
              <w:t>G</w:t>
            </w:r>
            <w:r>
              <w:rPr>
                <w:rFonts w:cs="Tahoma"/>
                <w:sz w:val="16"/>
                <w:szCs w:val="16"/>
              </w:rPr>
              <w:t xml:space="preserve">üvenlik </w:t>
            </w:r>
            <w:r w:rsidRPr="00981B4F">
              <w:rPr>
                <w:rFonts w:cs="Tahoma"/>
                <w:sz w:val="16"/>
                <w:szCs w:val="16"/>
              </w:rPr>
              <w:t>K</w:t>
            </w:r>
            <w:r>
              <w:rPr>
                <w:rFonts w:cs="Tahoma"/>
                <w:sz w:val="16"/>
                <w:szCs w:val="16"/>
              </w:rPr>
              <w:t>urumu</w:t>
            </w:r>
            <w:r w:rsidRPr="00981B4F">
              <w:rPr>
                <w:rFonts w:cs="Tahoma"/>
                <w:sz w:val="16"/>
                <w:szCs w:val="16"/>
              </w:rPr>
              <w:t>, Şeker Kurumu, Türkiye Noterler Birliği</w:t>
            </w:r>
          </w:p>
        </w:tc>
        <w:tc>
          <w:tcPr>
            <w:tcW w:w="496" w:type="pct"/>
            <w:tcBorders>
              <w:top w:val="nil"/>
              <w:left w:val="nil"/>
              <w:bottom w:val="single" w:sz="4" w:space="0" w:color="auto"/>
              <w:right w:val="single" w:sz="4" w:space="0" w:color="auto"/>
            </w:tcBorders>
          </w:tcPr>
          <w:p w:rsidR="00565FD5" w:rsidRPr="00981B4F" w:rsidRDefault="00565FD5" w:rsidP="00AB62A3">
            <w:pPr>
              <w:spacing w:before="120" w:after="120"/>
              <w:rPr>
                <w:rFonts w:cs="Tahoma"/>
                <w:sz w:val="16"/>
                <w:szCs w:val="16"/>
              </w:rPr>
            </w:pPr>
            <w:r w:rsidRPr="00981B4F">
              <w:rPr>
                <w:rFonts w:cs="Tahoma"/>
                <w:sz w:val="16"/>
                <w:szCs w:val="16"/>
              </w:rPr>
              <w:t>Aralık Sonu</w:t>
            </w:r>
          </w:p>
        </w:tc>
        <w:tc>
          <w:tcPr>
            <w:tcW w:w="1825" w:type="pct"/>
            <w:tcBorders>
              <w:top w:val="nil"/>
              <w:left w:val="nil"/>
              <w:bottom w:val="single" w:sz="4" w:space="0" w:color="auto"/>
              <w:right w:val="single" w:sz="8" w:space="0" w:color="auto"/>
            </w:tcBorders>
          </w:tcPr>
          <w:p w:rsidR="00565FD5" w:rsidRPr="00981B4F" w:rsidRDefault="00565FD5" w:rsidP="00AB62A3">
            <w:pPr>
              <w:spacing w:before="120" w:after="120"/>
              <w:rPr>
                <w:rFonts w:cs="Tahoma"/>
                <w:sz w:val="16"/>
                <w:szCs w:val="16"/>
              </w:rPr>
            </w:pPr>
            <w:r w:rsidRPr="00981B4F">
              <w:rPr>
                <w:rFonts w:cs="Tahoma"/>
                <w:sz w:val="16"/>
                <w:szCs w:val="16"/>
              </w:rPr>
              <w:t>2011-2013 yıllarını kapsayan Eylem Planı kararlılıkla uygulanacak, üçer aylık dönemler itibarıyla değerlendirme raporları hazırlanacaktır. Eylem Planına ilişkin gerçekleşmeler izleme ve değerlendirme kurullarında dönemler halinde ele alınacaktır.</w:t>
            </w:r>
          </w:p>
        </w:tc>
      </w:tr>
      <w:tr w:rsidR="00565FD5" w:rsidRPr="00981B4F" w:rsidTr="00AB62A3">
        <w:trPr>
          <w:trHeight w:val="20"/>
          <w:jc w:val="center"/>
        </w:trPr>
        <w:tc>
          <w:tcPr>
            <w:tcW w:w="5000" w:type="pct"/>
            <w:gridSpan w:val="4"/>
            <w:tcBorders>
              <w:top w:val="single" w:sz="4" w:space="0" w:color="auto"/>
              <w:left w:val="single" w:sz="8" w:space="0" w:color="auto"/>
              <w:bottom w:val="single" w:sz="4" w:space="0" w:color="auto"/>
              <w:right w:val="single" w:sz="8" w:space="0" w:color="000000"/>
            </w:tcBorders>
            <w:vAlign w:val="center"/>
          </w:tcPr>
          <w:p w:rsidR="00565FD5" w:rsidRPr="00981B4F" w:rsidRDefault="00565FD5" w:rsidP="00EB1E69">
            <w:pPr>
              <w:numPr>
                <w:ilvl w:val="0"/>
                <w:numId w:val="15"/>
              </w:numPr>
              <w:tabs>
                <w:tab w:val="left" w:pos="425"/>
              </w:tabs>
              <w:spacing w:before="40" w:after="40" w:line="240" w:lineRule="auto"/>
              <w:jc w:val="both"/>
              <w:rPr>
                <w:rFonts w:cs="Tahoma"/>
                <w:b/>
                <w:bCs/>
                <w:color w:val="000000"/>
                <w:sz w:val="16"/>
                <w:szCs w:val="16"/>
              </w:rPr>
            </w:pPr>
            <w:r w:rsidRPr="00981B4F">
              <w:rPr>
                <w:rFonts w:cs="Tahoma"/>
                <w:b/>
                <w:sz w:val="16"/>
                <w:szCs w:val="16"/>
              </w:rPr>
              <w:t>Kayıtdışı ekonomiyle mücadelenin denetim boyutunu güçlendirmeye ve etkinleştirmeye yönelik uygulamalar hayata geçirilecek ve gerekli yasal düzenlemeler yapılacaktır.</w:t>
            </w:r>
          </w:p>
        </w:tc>
      </w:tr>
      <w:tr w:rsidR="00565FD5" w:rsidRPr="00981B4F" w:rsidTr="00AB62A3">
        <w:trPr>
          <w:trHeight w:val="20"/>
          <w:jc w:val="center"/>
        </w:trPr>
        <w:tc>
          <w:tcPr>
            <w:tcW w:w="1335" w:type="pct"/>
            <w:tcBorders>
              <w:top w:val="single" w:sz="4" w:space="0" w:color="auto"/>
              <w:left w:val="single" w:sz="8" w:space="0" w:color="auto"/>
              <w:bottom w:val="single" w:sz="4" w:space="0" w:color="auto"/>
              <w:right w:val="single" w:sz="4" w:space="0" w:color="auto"/>
            </w:tcBorders>
          </w:tcPr>
          <w:p w:rsidR="00565FD5" w:rsidRPr="00981B4F" w:rsidRDefault="00565FD5" w:rsidP="00EB1E69">
            <w:pPr>
              <w:numPr>
                <w:ilvl w:val="0"/>
                <w:numId w:val="14"/>
              </w:numPr>
              <w:tabs>
                <w:tab w:val="left" w:pos="425"/>
              </w:tabs>
              <w:spacing w:before="120" w:after="120" w:line="240" w:lineRule="auto"/>
              <w:rPr>
                <w:rFonts w:cs="Tahoma"/>
                <w:sz w:val="16"/>
                <w:szCs w:val="16"/>
              </w:rPr>
            </w:pPr>
            <w:r w:rsidRPr="00981B4F">
              <w:rPr>
                <w:rFonts w:cs="Tahoma"/>
                <w:sz w:val="16"/>
                <w:szCs w:val="16"/>
              </w:rPr>
              <w:t xml:space="preserve">Vergilendirmede mükellef hizmetleri etkinleştirilecektir. </w:t>
            </w:r>
          </w:p>
        </w:tc>
        <w:tc>
          <w:tcPr>
            <w:tcW w:w="1344" w:type="pct"/>
            <w:tcBorders>
              <w:top w:val="single" w:sz="4" w:space="0" w:color="auto"/>
              <w:left w:val="nil"/>
              <w:bottom w:val="single" w:sz="4" w:space="0" w:color="auto"/>
              <w:right w:val="single" w:sz="4" w:space="0" w:color="auto"/>
            </w:tcBorders>
          </w:tcPr>
          <w:p w:rsidR="00565FD5" w:rsidRPr="00981B4F" w:rsidRDefault="00565FD5" w:rsidP="00AB62A3">
            <w:pPr>
              <w:spacing w:before="120" w:after="120"/>
              <w:rPr>
                <w:rFonts w:cs="Tahoma"/>
                <w:sz w:val="16"/>
                <w:szCs w:val="16"/>
              </w:rPr>
            </w:pPr>
            <w:r w:rsidRPr="00981B4F">
              <w:rPr>
                <w:rFonts w:cs="Tahoma"/>
                <w:sz w:val="16"/>
                <w:szCs w:val="16"/>
              </w:rPr>
              <w:t>Gelir İdaresi Başkanlığı (S); Gümrük ve Ticaret Bakanlığı</w:t>
            </w:r>
          </w:p>
        </w:tc>
        <w:tc>
          <w:tcPr>
            <w:tcW w:w="496" w:type="pct"/>
            <w:tcBorders>
              <w:top w:val="single" w:sz="4" w:space="0" w:color="auto"/>
              <w:left w:val="nil"/>
              <w:bottom w:val="single" w:sz="4" w:space="0" w:color="auto"/>
              <w:right w:val="single" w:sz="4" w:space="0" w:color="auto"/>
            </w:tcBorders>
          </w:tcPr>
          <w:p w:rsidR="00565FD5" w:rsidRPr="00981B4F" w:rsidRDefault="00565FD5" w:rsidP="00AB62A3">
            <w:pPr>
              <w:spacing w:before="120" w:after="120"/>
              <w:rPr>
                <w:rFonts w:cs="Tahoma"/>
                <w:sz w:val="16"/>
                <w:szCs w:val="16"/>
              </w:rPr>
            </w:pPr>
            <w:r w:rsidRPr="00981B4F">
              <w:rPr>
                <w:rFonts w:cs="Tahoma"/>
                <w:sz w:val="16"/>
                <w:szCs w:val="16"/>
              </w:rPr>
              <w:t>Aralık Sonu</w:t>
            </w:r>
          </w:p>
        </w:tc>
        <w:tc>
          <w:tcPr>
            <w:tcW w:w="1825" w:type="pct"/>
            <w:tcBorders>
              <w:top w:val="single" w:sz="4" w:space="0" w:color="auto"/>
              <w:left w:val="nil"/>
              <w:bottom w:val="single" w:sz="4" w:space="0" w:color="auto"/>
              <w:right w:val="single" w:sz="8" w:space="0" w:color="auto"/>
            </w:tcBorders>
          </w:tcPr>
          <w:p w:rsidR="00565FD5" w:rsidRPr="00981B4F" w:rsidRDefault="00565FD5" w:rsidP="00AB62A3">
            <w:pPr>
              <w:spacing w:before="120" w:after="120"/>
              <w:rPr>
                <w:rFonts w:cs="Tahoma"/>
                <w:sz w:val="16"/>
                <w:szCs w:val="16"/>
              </w:rPr>
            </w:pPr>
            <w:r w:rsidRPr="00981B4F">
              <w:rPr>
                <w:rFonts w:cs="Tahoma"/>
                <w:sz w:val="16"/>
                <w:szCs w:val="16"/>
              </w:rPr>
              <w:t xml:space="preserve">Mükelleflerin vergisel işlemlerde kullandığı beyanname, bildirim ve formların gözden geçirilmesine devam edilecektir. Yürürlüğe giren elektronik fatura uygulamasının kullanımı genişletilecek ve bankacılık ödeme sistemleri ile entegrasyonu sağlanacaktır. Fatura ve diğer belgelerin elektronik ortamda arşivlenmesine imkan tanıyacak teknik ve hukuki altyapı oluşturulacaktır. Standartları, hukuki ve teknik altyapısı oluşturulan e-defter uygulaması yaygınlaştırılacaktır. Taksonomi genişletme çalışmaları sürdürülecektir. Ulaştırma sektöründe e-Bilet uygulaması yaygınlaştırılacak, havayolu taşımacılığı ve etkinlik biletlerine yönelik E-Bilet Projesi kapsamında teknik ve hukuki altyapı </w:t>
            </w:r>
            <w:r w:rsidRPr="00981B4F">
              <w:rPr>
                <w:rFonts w:cs="Tahoma"/>
                <w:sz w:val="16"/>
                <w:szCs w:val="16"/>
              </w:rPr>
              <w:lastRenderedPageBreak/>
              <w:t>oluşturulacaktır.</w:t>
            </w:r>
          </w:p>
        </w:tc>
      </w:tr>
      <w:tr w:rsidR="00565FD5" w:rsidRPr="00981B4F" w:rsidTr="00AB62A3">
        <w:trPr>
          <w:trHeight w:val="20"/>
          <w:jc w:val="center"/>
        </w:trPr>
        <w:tc>
          <w:tcPr>
            <w:tcW w:w="1335" w:type="pct"/>
            <w:tcBorders>
              <w:top w:val="nil"/>
              <w:left w:val="single" w:sz="8" w:space="0" w:color="auto"/>
              <w:bottom w:val="single" w:sz="4" w:space="0" w:color="auto"/>
              <w:right w:val="single" w:sz="4" w:space="0" w:color="auto"/>
            </w:tcBorders>
          </w:tcPr>
          <w:p w:rsidR="00565FD5" w:rsidRPr="00981B4F" w:rsidRDefault="00565FD5" w:rsidP="00EB1E69">
            <w:pPr>
              <w:numPr>
                <w:ilvl w:val="0"/>
                <w:numId w:val="14"/>
              </w:numPr>
              <w:tabs>
                <w:tab w:val="left" w:pos="425"/>
              </w:tabs>
              <w:spacing w:before="120" w:after="120" w:line="240" w:lineRule="auto"/>
              <w:rPr>
                <w:rFonts w:cs="Tahoma"/>
                <w:sz w:val="16"/>
                <w:szCs w:val="16"/>
              </w:rPr>
            </w:pPr>
            <w:r w:rsidRPr="00981B4F">
              <w:rPr>
                <w:rFonts w:cs="Tahoma"/>
                <w:sz w:val="16"/>
                <w:szCs w:val="16"/>
              </w:rPr>
              <w:lastRenderedPageBreak/>
              <w:t xml:space="preserve">Kaçak işçi çalıştıran işletmelerin kamu ihalelerinden belli bir süreyle men edilmesine yönelik düzenleme yapılacaktır. </w:t>
            </w:r>
          </w:p>
        </w:tc>
        <w:tc>
          <w:tcPr>
            <w:tcW w:w="1344" w:type="pct"/>
            <w:tcBorders>
              <w:top w:val="nil"/>
              <w:left w:val="nil"/>
              <w:bottom w:val="single" w:sz="4" w:space="0" w:color="auto"/>
              <w:right w:val="single" w:sz="4" w:space="0" w:color="auto"/>
            </w:tcBorders>
          </w:tcPr>
          <w:p w:rsidR="00565FD5" w:rsidRPr="00981B4F" w:rsidRDefault="00565FD5" w:rsidP="00AB62A3">
            <w:pPr>
              <w:spacing w:before="120" w:after="120"/>
              <w:rPr>
                <w:rFonts w:cs="Tahoma"/>
                <w:sz w:val="16"/>
                <w:szCs w:val="16"/>
              </w:rPr>
            </w:pPr>
            <w:r w:rsidRPr="00981B4F">
              <w:rPr>
                <w:rFonts w:cs="Tahoma"/>
                <w:sz w:val="16"/>
                <w:szCs w:val="16"/>
              </w:rPr>
              <w:t>Çalışma ve Sosyal Güvenlik Bakanlığı (S); Maliye Bakanlığı, Sosyal Güvenlik Kurumu, Kamu İhale Kurumu</w:t>
            </w:r>
          </w:p>
        </w:tc>
        <w:tc>
          <w:tcPr>
            <w:tcW w:w="496" w:type="pct"/>
            <w:tcBorders>
              <w:top w:val="nil"/>
              <w:left w:val="nil"/>
              <w:bottom w:val="single" w:sz="4" w:space="0" w:color="auto"/>
              <w:right w:val="single" w:sz="4" w:space="0" w:color="auto"/>
            </w:tcBorders>
          </w:tcPr>
          <w:p w:rsidR="00565FD5" w:rsidRPr="00981B4F" w:rsidRDefault="00565FD5" w:rsidP="00AB62A3">
            <w:pPr>
              <w:spacing w:before="120" w:after="120"/>
              <w:rPr>
                <w:rFonts w:cs="Tahoma"/>
                <w:sz w:val="16"/>
                <w:szCs w:val="16"/>
              </w:rPr>
            </w:pPr>
            <w:r w:rsidRPr="00981B4F">
              <w:rPr>
                <w:rFonts w:cs="Tahoma"/>
                <w:sz w:val="16"/>
                <w:szCs w:val="16"/>
              </w:rPr>
              <w:t>Aralık Sonu</w:t>
            </w:r>
          </w:p>
        </w:tc>
        <w:tc>
          <w:tcPr>
            <w:tcW w:w="1825" w:type="pct"/>
            <w:tcBorders>
              <w:top w:val="nil"/>
              <w:left w:val="nil"/>
              <w:bottom w:val="single" w:sz="4" w:space="0" w:color="auto"/>
              <w:right w:val="single" w:sz="8" w:space="0" w:color="auto"/>
            </w:tcBorders>
          </w:tcPr>
          <w:p w:rsidR="00565FD5" w:rsidRPr="00981B4F" w:rsidRDefault="00565FD5" w:rsidP="00AB62A3">
            <w:pPr>
              <w:spacing w:before="120" w:after="120"/>
              <w:rPr>
                <w:rFonts w:cs="Tahoma"/>
                <w:sz w:val="16"/>
                <w:szCs w:val="16"/>
              </w:rPr>
            </w:pPr>
            <w:r w:rsidRPr="00981B4F">
              <w:rPr>
                <w:rFonts w:cs="Tahoma"/>
                <w:sz w:val="16"/>
                <w:szCs w:val="16"/>
              </w:rPr>
              <w:t>Kamu İhale Kanununda kayıtdışı istihdamla mücadele amacıyla; kayıtdışı işçi çalıştırdığı saptanan işverenin, tüzel kişi olması halinde tüzel kişiliğin ve ortaklarının kamu ihalelerine belirli bir süre giremeyeceklerine dair değişiklik yapılacaktır.</w:t>
            </w:r>
          </w:p>
        </w:tc>
      </w:tr>
      <w:tr w:rsidR="00565FD5" w:rsidRPr="00981B4F" w:rsidTr="00AB62A3">
        <w:trPr>
          <w:trHeight w:val="20"/>
          <w:jc w:val="center"/>
        </w:trPr>
        <w:tc>
          <w:tcPr>
            <w:tcW w:w="5000" w:type="pct"/>
            <w:gridSpan w:val="4"/>
            <w:tcBorders>
              <w:top w:val="single" w:sz="4" w:space="0" w:color="auto"/>
              <w:left w:val="single" w:sz="8" w:space="0" w:color="auto"/>
              <w:bottom w:val="single" w:sz="4" w:space="0" w:color="auto"/>
              <w:right w:val="single" w:sz="8" w:space="0" w:color="000000"/>
            </w:tcBorders>
            <w:vAlign w:val="center"/>
          </w:tcPr>
          <w:p w:rsidR="00565FD5" w:rsidRPr="00981B4F" w:rsidRDefault="00565FD5" w:rsidP="00EB1E69">
            <w:pPr>
              <w:numPr>
                <w:ilvl w:val="0"/>
                <w:numId w:val="15"/>
              </w:numPr>
              <w:tabs>
                <w:tab w:val="left" w:pos="425"/>
              </w:tabs>
              <w:spacing w:before="120" w:after="120" w:line="240" w:lineRule="auto"/>
              <w:rPr>
                <w:rFonts w:cs="Tahoma"/>
                <w:b/>
                <w:bCs/>
                <w:color w:val="000000"/>
                <w:sz w:val="16"/>
                <w:szCs w:val="16"/>
              </w:rPr>
            </w:pPr>
            <w:r w:rsidRPr="00981B4F">
              <w:rPr>
                <w:rFonts w:cs="Tahoma"/>
                <w:b/>
                <w:sz w:val="16"/>
                <w:szCs w:val="16"/>
              </w:rPr>
              <w:t>Kaçakçılıkla etkili bir şekilde mücadele edilecektir.</w:t>
            </w:r>
          </w:p>
        </w:tc>
      </w:tr>
      <w:tr w:rsidR="00565FD5" w:rsidRPr="00981B4F" w:rsidTr="00AB62A3">
        <w:trPr>
          <w:trHeight w:val="20"/>
          <w:jc w:val="center"/>
        </w:trPr>
        <w:tc>
          <w:tcPr>
            <w:tcW w:w="1335" w:type="pct"/>
            <w:tcBorders>
              <w:top w:val="nil"/>
              <w:left w:val="single" w:sz="8" w:space="0" w:color="auto"/>
              <w:bottom w:val="single" w:sz="8" w:space="0" w:color="auto"/>
              <w:right w:val="single" w:sz="4" w:space="0" w:color="auto"/>
            </w:tcBorders>
          </w:tcPr>
          <w:p w:rsidR="00565FD5" w:rsidRPr="00981B4F" w:rsidRDefault="00565FD5" w:rsidP="00EB1E69">
            <w:pPr>
              <w:numPr>
                <w:ilvl w:val="0"/>
                <w:numId w:val="14"/>
              </w:numPr>
              <w:tabs>
                <w:tab w:val="left" w:pos="425"/>
              </w:tabs>
              <w:spacing w:before="120" w:after="120" w:line="240" w:lineRule="auto"/>
              <w:rPr>
                <w:rFonts w:cs="Tahoma"/>
                <w:sz w:val="16"/>
                <w:szCs w:val="16"/>
              </w:rPr>
            </w:pPr>
            <w:r w:rsidRPr="00981B4F">
              <w:rPr>
                <w:rFonts w:cs="Tahoma"/>
                <w:sz w:val="16"/>
                <w:szCs w:val="16"/>
              </w:rPr>
              <w:t>Akaryakıt başta olmak üzere; canlı hayvan, et, çay, şeker ve şeker mamülleri ve e-ticaret yoluyla yapılan kaçakçılıkla mücadelenin etkili bir şekilde sürdürülmesi amacıyla Eylem Planları hazırlanarak yürürlüğe konulacaktır.</w:t>
            </w:r>
          </w:p>
        </w:tc>
        <w:tc>
          <w:tcPr>
            <w:tcW w:w="1344" w:type="pct"/>
            <w:tcBorders>
              <w:top w:val="nil"/>
              <w:left w:val="nil"/>
              <w:bottom w:val="single" w:sz="8" w:space="0" w:color="auto"/>
              <w:right w:val="single" w:sz="4" w:space="0" w:color="auto"/>
            </w:tcBorders>
          </w:tcPr>
          <w:p w:rsidR="00565FD5" w:rsidRPr="00981B4F" w:rsidRDefault="00565FD5" w:rsidP="00AB62A3">
            <w:pPr>
              <w:spacing w:before="120" w:after="120"/>
              <w:rPr>
                <w:rFonts w:cs="Tahoma"/>
                <w:sz w:val="16"/>
                <w:szCs w:val="16"/>
              </w:rPr>
            </w:pPr>
            <w:r w:rsidRPr="00981B4F">
              <w:rPr>
                <w:rFonts w:cs="Tahoma"/>
                <w:sz w:val="16"/>
                <w:szCs w:val="16"/>
              </w:rPr>
              <w:t>Gümrük ve Ticaret Bakanlığı (S); Gelir İdaresi Başkanlığı, Adalet Bakanlığı, Ekonomi Bakanlığı, Kalkınma Bakanlığı,  İçişleri Bakanlığı, Dışişleri Bakanlığı, Maliye Bakanlığı, Ulaştırma</w:t>
            </w:r>
            <w:r>
              <w:rPr>
                <w:rFonts w:cs="Tahoma"/>
                <w:sz w:val="16"/>
                <w:szCs w:val="16"/>
              </w:rPr>
              <w:t>, Denizcilik ve Haberleşme</w:t>
            </w:r>
            <w:r w:rsidRPr="00981B4F">
              <w:rPr>
                <w:rFonts w:cs="Tahoma"/>
                <w:sz w:val="16"/>
                <w:szCs w:val="16"/>
              </w:rPr>
              <w:t xml:space="preserve"> Bakanlığı, Gıda Tarım ve Hayvancılık Bakanlığı, EPDK ve Şeker Kurumu ile Diğer İlgili Kuruluşlar</w:t>
            </w:r>
          </w:p>
        </w:tc>
        <w:tc>
          <w:tcPr>
            <w:tcW w:w="496" w:type="pct"/>
            <w:tcBorders>
              <w:top w:val="nil"/>
              <w:left w:val="nil"/>
              <w:bottom w:val="single" w:sz="8" w:space="0" w:color="auto"/>
              <w:right w:val="single" w:sz="4" w:space="0" w:color="auto"/>
            </w:tcBorders>
          </w:tcPr>
          <w:p w:rsidR="00565FD5" w:rsidRPr="00981B4F" w:rsidRDefault="00565FD5" w:rsidP="00AB62A3">
            <w:pPr>
              <w:spacing w:before="120" w:after="120"/>
              <w:rPr>
                <w:rFonts w:cs="Tahoma"/>
                <w:sz w:val="16"/>
                <w:szCs w:val="16"/>
              </w:rPr>
            </w:pPr>
            <w:r w:rsidRPr="00981B4F">
              <w:rPr>
                <w:rFonts w:cs="Tahoma"/>
                <w:sz w:val="16"/>
                <w:szCs w:val="16"/>
              </w:rPr>
              <w:t>Aralık Sonu</w:t>
            </w:r>
          </w:p>
        </w:tc>
        <w:tc>
          <w:tcPr>
            <w:tcW w:w="1825" w:type="pct"/>
            <w:tcBorders>
              <w:top w:val="nil"/>
              <w:left w:val="nil"/>
              <w:bottom w:val="single" w:sz="8" w:space="0" w:color="auto"/>
              <w:right w:val="single" w:sz="8" w:space="0" w:color="auto"/>
            </w:tcBorders>
          </w:tcPr>
          <w:p w:rsidR="00565FD5" w:rsidRPr="00981B4F" w:rsidRDefault="00565FD5" w:rsidP="00AB62A3">
            <w:pPr>
              <w:spacing w:before="120" w:after="120"/>
              <w:rPr>
                <w:rFonts w:cs="Tahoma"/>
                <w:sz w:val="16"/>
                <w:szCs w:val="16"/>
              </w:rPr>
            </w:pPr>
            <w:r w:rsidRPr="00981B4F">
              <w:rPr>
                <w:rFonts w:cs="Tahoma"/>
                <w:sz w:val="16"/>
                <w:szCs w:val="16"/>
              </w:rPr>
              <w:t>Kaçakçılığın yüksek boyutta olduğu tespit edilen söz konusu alanlarda kapsamlı Eylem Planları hazırlanarak yürürlüğe konulacaktır. Bu doğrultuda, kaçakçılıkla mücadelede araç ve yöntemler geliştirilecek, kurumlar arası işbirliği güçlendirilecektir.</w:t>
            </w:r>
          </w:p>
        </w:tc>
      </w:tr>
    </w:tbl>
    <w:p w:rsidR="00565FD5" w:rsidRDefault="00565FD5" w:rsidP="00565FD5"/>
    <w:p w:rsidR="00565FD5" w:rsidRPr="00E97012" w:rsidRDefault="00565FD5" w:rsidP="00565FD5">
      <w:pPr>
        <w:pStyle w:val="Balk3"/>
      </w:pPr>
      <w:bookmarkStart w:id="1398" w:name="_Toc338494238"/>
      <w:bookmarkStart w:id="1399" w:name="_Toc338494382"/>
      <w:bookmarkStart w:id="1400" w:name="_Toc338505567"/>
      <w:bookmarkStart w:id="1401" w:name="_Toc338505745"/>
      <w:bookmarkStart w:id="1402" w:name="_Toc338505784"/>
      <w:bookmarkStart w:id="1403" w:name="_Toc338523789"/>
      <w:bookmarkStart w:id="1404" w:name="_Toc338524020"/>
      <w:bookmarkStart w:id="1405" w:name="_Toc338526246"/>
      <w:bookmarkStart w:id="1406" w:name="_Toc338673689"/>
      <w:bookmarkStart w:id="1407" w:name="_Toc338711568"/>
      <w:r>
        <w:t>Ç</w:t>
      </w:r>
      <w:r w:rsidRPr="00E97012">
        <w:t>. FİNANSAL SİSTEMİN GELİŞTİRİLMESİ</w:t>
      </w:r>
      <w:bookmarkEnd w:id="1398"/>
      <w:bookmarkEnd w:id="1399"/>
      <w:bookmarkEnd w:id="1400"/>
      <w:bookmarkEnd w:id="1401"/>
      <w:bookmarkEnd w:id="1402"/>
      <w:bookmarkEnd w:id="1403"/>
      <w:bookmarkEnd w:id="1404"/>
      <w:bookmarkEnd w:id="1405"/>
      <w:bookmarkEnd w:id="1406"/>
      <w:bookmarkEnd w:id="1407"/>
    </w:p>
    <w:p w:rsidR="00565FD5" w:rsidRPr="009D028C" w:rsidRDefault="00565FD5" w:rsidP="00565FD5">
      <w:pPr>
        <w:pStyle w:val="Balk4"/>
      </w:pPr>
      <w:bookmarkStart w:id="1408" w:name="_Toc118519966"/>
      <w:bookmarkStart w:id="1409" w:name="_Toc118521960"/>
      <w:bookmarkStart w:id="1410" w:name="_Toc118522340"/>
      <w:bookmarkStart w:id="1411" w:name="_Toc118526733"/>
      <w:bookmarkStart w:id="1412" w:name="_Toc118526948"/>
      <w:bookmarkStart w:id="1413" w:name="_Toc118555846"/>
      <w:bookmarkStart w:id="1414" w:name="_Toc118560449"/>
      <w:bookmarkStart w:id="1415" w:name="_Toc118567088"/>
      <w:bookmarkStart w:id="1416" w:name="_Toc118567193"/>
      <w:bookmarkStart w:id="1417" w:name="_Toc118568071"/>
      <w:bookmarkStart w:id="1418" w:name="_Toc149968485"/>
      <w:bookmarkStart w:id="1419" w:name="_Toc150099174"/>
      <w:bookmarkStart w:id="1420" w:name="_Toc181192650"/>
      <w:bookmarkStart w:id="1421" w:name="_Toc181284938"/>
      <w:bookmarkStart w:id="1422" w:name="_Toc181286017"/>
      <w:bookmarkStart w:id="1423" w:name="_Toc213065657"/>
      <w:bookmarkStart w:id="1424" w:name="_Toc244253669"/>
      <w:bookmarkStart w:id="1425" w:name="_Toc244254920"/>
      <w:bookmarkStart w:id="1426" w:name="_Toc244313656"/>
      <w:bookmarkStart w:id="1427" w:name="_Toc244315133"/>
      <w:bookmarkStart w:id="1428" w:name="_Toc244339596"/>
      <w:bookmarkStart w:id="1429" w:name="_Toc276076275"/>
      <w:bookmarkStart w:id="1430" w:name="_Toc307601981"/>
      <w:bookmarkStart w:id="1431" w:name="_Toc307670430"/>
      <w:bookmarkStart w:id="1432" w:name="_Toc307701656"/>
      <w:bookmarkStart w:id="1433" w:name="_Toc338523790"/>
      <w:bookmarkStart w:id="1434" w:name="_Toc338524021"/>
      <w:bookmarkStart w:id="1435" w:name="_Toc338526247"/>
      <w:bookmarkStart w:id="1436" w:name="_Toc338673690"/>
      <w:bookmarkStart w:id="1437" w:name="_Toc338711569"/>
      <w:r w:rsidRPr="009D028C">
        <w:t>1. Mevcut Durum</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rsidR="00565FD5" w:rsidRDefault="00565FD5" w:rsidP="00565FD5">
      <w:pPr>
        <w:spacing w:after="180"/>
        <w:ind w:firstLine="425"/>
        <w:rPr>
          <w:lang w:val="en-US"/>
        </w:rPr>
      </w:pPr>
      <w:bookmarkStart w:id="1438" w:name="_Toc149975937"/>
      <w:bookmarkStart w:id="1439" w:name="_Toc150099390"/>
      <w:bookmarkStart w:id="1440" w:name="_Toc181274146"/>
      <w:bookmarkStart w:id="1441" w:name="_Toc181286425"/>
      <w:bookmarkStart w:id="1442" w:name="_Toc212712779"/>
      <w:bookmarkStart w:id="1443" w:name="_Toc213071687"/>
      <w:bookmarkStart w:id="1444" w:name="_Toc244255253"/>
      <w:r w:rsidRPr="00D50652">
        <w:rPr>
          <w:rFonts w:cs="Tahoma"/>
          <w:szCs w:val="18"/>
          <w:lang w:bidi="ar-BH"/>
        </w:rPr>
        <w:t>2011 yılı sonu itibarıyla finans sektörünün toplam aktif büyüklüğü, bir önceki yıla göre TL bazında yüzde 19,1 oranında artarak 1,4 trilyon TL; ABD doları bazında yüzde 3,5 azalarak 712 milyar ABD doları seviyesinde gerçekleşmiştir. 2009 yılında yüzde 100,5 olan finans sektörünün aktif büyüklüğünün GSYH’ya oranı, 2010 yılında yüzde 103,8’e ve 2011 yılında yüzde 104,6’ya yükselmiştir. Söz konusu dönemde, bankacılık sektörünün finans sektörü içindeki payı 1,4 puan artarak yüzde 89,7’ye ulaşmıştır. Buna karşın, yatırım ortaklıklarının payı 0,6 puan, yatırım fonlarının payı 0,7 puan düşmüştür.</w:t>
      </w:r>
      <w:bookmarkEnd w:id="1438"/>
      <w:bookmarkEnd w:id="1439"/>
      <w:bookmarkEnd w:id="1440"/>
      <w:bookmarkEnd w:id="1441"/>
      <w:bookmarkEnd w:id="1442"/>
      <w:bookmarkEnd w:id="1443"/>
      <w:bookmarkEnd w:id="1444"/>
    </w:p>
    <w:p w:rsidR="00565FD5" w:rsidRDefault="00565FD5" w:rsidP="00565FD5">
      <w:pPr>
        <w:rPr>
          <w:lang w:val="en-US"/>
        </w:rPr>
        <w:sectPr w:rsidR="00565FD5" w:rsidSect="00B50093">
          <w:headerReference w:type="even" r:id="rId25"/>
          <w:footerReference w:type="even" r:id="rId26"/>
          <w:footerReference w:type="default" r:id="rId27"/>
          <w:pgSz w:w="11906" w:h="16838" w:code="9"/>
          <w:pgMar w:top="2948" w:right="2381" w:bottom="2948" w:left="2381" w:header="2268" w:footer="2268" w:gutter="0"/>
          <w:cols w:space="708"/>
          <w:docGrid w:linePitch="360"/>
        </w:sectPr>
      </w:pPr>
    </w:p>
    <w:p w:rsidR="00565FD5" w:rsidRPr="005C3B90" w:rsidRDefault="00565FD5" w:rsidP="00565FD5">
      <w:pPr>
        <w:spacing w:after="180"/>
        <w:ind w:firstLine="425"/>
        <w:rPr>
          <w:rFonts w:cs="Tahoma"/>
          <w:szCs w:val="18"/>
          <w:lang w:bidi="ar-BH"/>
        </w:rPr>
      </w:pPr>
      <w:bookmarkStart w:id="1445" w:name="_Toc275873936"/>
      <w:bookmarkStart w:id="1446" w:name="_Toc276076478"/>
      <w:bookmarkStart w:id="1447" w:name="_Toc307601660"/>
      <w:bookmarkStart w:id="1448" w:name="_Toc307657883"/>
      <w:bookmarkStart w:id="1449" w:name="_Toc307713575"/>
    </w:p>
    <w:p w:rsidR="00565FD5" w:rsidRPr="009D028C" w:rsidRDefault="00565FD5" w:rsidP="00565FD5">
      <w:pPr>
        <w:pStyle w:val="ResimYazs"/>
        <w:rPr>
          <w:rFonts w:cs="Tahoma"/>
          <w:szCs w:val="16"/>
        </w:rPr>
      </w:pPr>
      <w:bookmarkStart w:id="1450" w:name="_Toc338606003"/>
      <w:bookmarkStart w:id="1451" w:name="_Toc338711778"/>
      <w:r>
        <w:t xml:space="preserve">TABLO IV: </w:t>
      </w:r>
      <w:fldSimple w:instr=" SEQ TABLO_IV: \* ARABIC ">
        <w:r>
          <w:rPr>
            <w:noProof/>
          </w:rPr>
          <w:t>8</w:t>
        </w:r>
      </w:fldSimple>
      <w:r w:rsidRPr="009D028C">
        <w:rPr>
          <w:rFonts w:cs="Tahoma"/>
          <w:szCs w:val="16"/>
        </w:rPr>
        <w:t>- Finansal Sektör Kuruluşlarına Dair Bazı Göstergeler</w:t>
      </w:r>
      <w:bookmarkEnd w:id="1445"/>
      <w:bookmarkEnd w:id="1446"/>
      <w:bookmarkEnd w:id="1447"/>
      <w:bookmarkEnd w:id="1448"/>
      <w:bookmarkEnd w:id="1449"/>
      <w:bookmarkEnd w:id="1450"/>
      <w:bookmarkEnd w:id="1451"/>
    </w:p>
    <w:tbl>
      <w:tblPr>
        <w:tblW w:w="10779" w:type="dxa"/>
        <w:tblBorders>
          <w:top w:val="single" w:sz="4" w:space="0" w:color="auto"/>
          <w:left w:val="single" w:sz="4" w:space="0" w:color="auto"/>
          <w:bottom w:val="single" w:sz="4" w:space="0" w:color="auto"/>
          <w:right w:val="single" w:sz="4" w:space="0" w:color="auto"/>
        </w:tblBorders>
        <w:tblLayout w:type="fixed"/>
        <w:tblCellMar>
          <w:left w:w="0" w:type="dxa"/>
          <w:right w:w="57" w:type="dxa"/>
        </w:tblCellMar>
        <w:tblLook w:val="0000"/>
      </w:tblPr>
      <w:tblGrid>
        <w:gridCol w:w="1964"/>
        <w:gridCol w:w="633"/>
        <w:gridCol w:w="626"/>
        <w:gridCol w:w="751"/>
        <w:gridCol w:w="567"/>
        <w:gridCol w:w="709"/>
        <w:gridCol w:w="708"/>
        <w:gridCol w:w="853"/>
        <w:gridCol w:w="709"/>
        <w:gridCol w:w="851"/>
        <w:gridCol w:w="708"/>
        <w:gridCol w:w="567"/>
        <w:gridCol w:w="567"/>
        <w:gridCol w:w="566"/>
      </w:tblGrid>
      <w:tr w:rsidR="00565FD5" w:rsidRPr="00C77C02" w:rsidTr="00AB62A3">
        <w:trPr>
          <w:trHeight w:hRule="exact" w:val="354"/>
        </w:trPr>
        <w:tc>
          <w:tcPr>
            <w:tcW w:w="1966" w:type="dxa"/>
            <w:tcBorders>
              <w:top w:val="single" w:sz="4" w:space="0" w:color="auto"/>
              <w:bottom w:val="nil"/>
              <w:right w:val="nil"/>
            </w:tcBorders>
            <w:noWrap/>
            <w:tcMar>
              <w:top w:w="13" w:type="dxa"/>
              <w:left w:w="13" w:type="dxa"/>
              <w:bottom w:w="0" w:type="dxa"/>
              <w:right w:w="13" w:type="dxa"/>
            </w:tcMar>
            <w:vAlign w:val="center"/>
          </w:tcPr>
          <w:p w:rsidR="00565FD5" w:rsidRPr="00C77C02" w:rsidRDefault="00565FD5" w:rsidP="00AB62A3">
            <w:pPr>
              <w:tabs>
                <w:tab w:val="left" w:pos="388"/>
              </w:tabs>
              <w:ind w:left="57" w:right="57"/>
              <w:jc w:val="center"/>
              <w:rPr>
                <w:rFonts w:eastAsia="Arial Unicode MS" w:cs="Tahoma"/>
                <w:b/>
                <w:bCs/>
                <w:sz w:val="14"/>
                <w:szCs w:val="14"/>
              </w:rPr>
            </w:pPr>
          </w:p>
        </w:tc>
        <w:tc>
          <w:tcPr>
            <w:tcW w:w="2013" w:type="dxa"/>
            <w:gridSpan w:val="3"/>
            <w:tcBorders>
              <w:top w:val="single" w:sz="4" w:space="0" w:color="auto"/>
              <w:left w:val="nil"/>
              <w:bottom w:val="single" w:sz="4" w:space="0" w:color="auto"/>
              <w:right w:val="nil"/>
            </w:tcBorders>
          </w:tcPr>
          <w:p w:rsidR="00565FD5" w:rsidRDefault="00565FD5" w:rsidP="00AB62A3">
            <w:pPr>
              <w:ind w:left="57" w:right="57"/>
              <w:jc w:val="center"/>
              <w:rPr>
                <w:rFonts w:cs="Tahoma"/>
                <w:b/>
                <w:bCs/>
                <w:sz w:val="14"/>
                <w:szCs w:val="14"/>
              </w:rPr>
            </w:pPr>
            <w:r w:rsidRPr="00C77C02">
              <w:rPr>
                <w:rFonts w:cs="Tahoma"/>
                <w:b/>
                <w:bCs/>
                <w:sz w:val="14"/>
                <w:szCs w:val="14"/>
              </w:rPr>
              <w:t xml:space="preserve">Aktif Büyüklük </w:t>
            </w:r>
          </w:p>
          <w:p w:rsidR="00565FD5" w:rsidRPr="00C77C02" w:rsidRDefault="00565FD5" w:rsidP="00AB62A3">
            <w:pPr>
              <w:ind w:left="57" w:right="57"/>
              <w:jc w:val="center"/>
              <w:rPr>
                <w:rFonts w:cs="Tahoma"/>
                <w:b/>
                <w:bCs/>
                <w:sz w:val="14"/>
                <w:szCs w:val="14"/>
              </w:rPr>
            </w:pPr>
            <w:r w:rsidRPr="00C77C02">
              <w:rPr>
                <w:rFonts w:cs="Tahoma"/>
                <w:b/>
                <w:bCs/>
                <w:sz w:val="14"/>
                <w:szCs w:val="14"/>
              </w:rPr>
              <w:t>(Milyar TL)</w:t>
            </w:r>
          </w:p>
        </w:tc>
        <w:tc>
          <w:tcPr>
            <w:tcW w:w="1985" w:type="dxa"/>
            <w:gridSpan w:val="3"/>
            <w:tcBorders>
              <w:top w:val="single" w:sz="4" w:space="0" w:color="auto"/>
              <w:left w:val="nil"/>
              <w:bottom w:val="single" w:sz="4" w:space="0" w:color="auto"/>
              <w:right w:val="nil"/>
            </w:tcBorders>
          </w:tcPr>
          <w:p w:rsidR="00565FD5" w:rsidRDefault="00565FD5" w:rsidP="00AB62A3">
            <w:pPr>
              <w:ind w:left="57" w:right="57"/>
              <w:jc w:val="center"/>
              <w:rPr>
                <w:rFonts w:cs="Tahoma"/>
                <w:b/>
                <w:bCs/>
                <w:sz w:val="14"/>
                <w:szCs w:val="14"/>
              </w:rPr>
            </w:pPr>
            <w:r w:rsidRPr="00C77C02">
              <w:rPr>
                <w:rFonts w:cs="Tahoma"/>
                <w:b/>
                <w:bCs/>
                <w:sz w:val="14"/>
                <w:szCs w:val="14"/>
              </w:rPr>
              <w:t xml:space="preserve">Aktif Büyüklük </w:t>
            </w:r>
          </w:p>
          <w:p w:rsidR="00565FD5" w:rsidRPr="00C77C02" w:rsidRDefault="00565FD5" w:rsidP="00AB62A3">
            <w:pPr>
              <w:ind w:left="57" w:right="57"/>
              <w:jc w:val="center"/>
              <w:rPr>
                <w:rFonts w:cs="Tahoma"/>
                <w:b/>
                <w:bCs/>
                <w:sz w:val="14"/>
                <w:szCs w:val="14"/>
              </w:rPr>
            </w:pPr>
            <w:r w:rsidRPr="00C77C02">
              <w:rPr>
                <w:rFonts w:cs="Tahoma"/>
                <w:b/>
                <w:bCs/>
                <w:sz w:val="14"/>
                <w:szCs w:val="14"/>
              </w:rPr>
              <w:t xml:space="preserve">(Milyar </w:t>
            </w:r>
            <w:r>
              <w:rPr>
                <w:rFonts w:cs="Tahoma"/>
                <w:b/>
                <w:bCs/>
                <w:sz w:val="14"/>
                <w:szCs w:val="14"/>
              </w:rPr>
              <w:t>ABD Doları</w:t>
            </w:r>
            <w:r w:rsidRPr="00C77C02">
              <w:rPr>
                <w:rFonts w:cs="Tahoma"/>
                <w:b/>
                <w:bCs/>
                <w:sz w:val="14"/>
                <w:szCs w:val="14"/>
              </w:rPr>
              <w:t>)</w:t>
            </w:r>
          </w:p>
        </w:tc>
        <w:tc>
          <w:tcPr>
            <w:tcW w:w="1562" w:type="dxa"/>
            <w:gridSpan w:val="2"/>
            <w:tcBorders>
              <w:top w:val="single" w:sz="4" w:space="0" w:color="auto"/>
              <w:left w:val="nil"/>
              <w:bottom w:val="single" w:sz="4" w:space="0" w:color="auto"/>
              <w:right w:val="nil"/>
            </w:tcBorders>
          </w:tcPr>
          <w:p w:rsidR="00565FD5" w:rsidRDefault="00565FD5" w:rsidP="00AB62A3">
            <w:pPr>
              <w:ind w:left="57" w:right="57"/>
              <w:jc w:val="center"/>
              <w:rPr>
                <w:rFonts w:cs="Tahoma"/>
                <w:b/>
                <w:bCs/>
                <w:sz w:val="14"/>
                <w:szCs w:val="14"/>
              </w:rPr>
            </w:pPr>
            <w:r w:rsidRPr="00C77C02">
              <w:rPr>
                <w:rFonts w:cs="Tahoma"/>
                <w:b/>
                <w:bCs/>
                <w:sz w:val="14"/>
                <w:szCs w:val="14"/>
              </w:rPr>
              <w:t xml:space="preserve">Sektör Payı </w:t>
            </w:r>
          </w:p>
          <w:p w:rsidR="00565FD5" w:rsidRPr="00C77C02" w:rsidRDefault="00565FD5" w:rsidP="00AB62A3">
            <w:pPr>
              <w:ind w:left="57" w:right="57"/>
              <w:jc w:val="center"/>
              <w:rPr>
                <w:rFonts w:cs="Tahoma"/>
                <w:b/>
                <w:bCs/>
                <w:sz w:val="14"/>
                <w:szCs w:val="14"/>
              </w:rPr>
            </w:pPr>
            <w:r w:rsidRPr="00C77C02">
              <w:rPr>
                <w:rFonts w:cs="Tahoma"/>
                <w:b/>
                <w:bCs/>
                <w:sz w:val="14"/>
                <w:szCs w:val="14"/>
              </w:rPr>
              <w:t>(</w:t>
            </w:r>
            <w:r>
              <w:rPr>
                <w:rFonts w:cs="Tahoma"/>
                <w:b/>
                <w:bCs/>
                <w:sz w:val="14"/>
                <w:szCs w:val="14"/>
              </w:rPr>
              <w:t>Yüzde</w:t>
            </w:r>
            <w:r w:rsidRPr="00C77C02">
              <w:rPr>
                <w:rFonts w:cs="Tahoma"/>
                <w:b/>
                <w:bCs/>
                <w:sz w:val="14"/>
                <w:szCs w:val="14"/>
              </w:rPr>
              <w:t>)</w:t>
            </w:r>
            <w:r w:rsidRPr="003F4EDC">
              <w:rPr>
                <w:rFonts w:cs="Tahoma"/>
                <w:b/>
                <w:bCs/>
                <w:sz w:val="14"/>
                <w:szCs w:val="14"/>
                <w:vertAlign w:val="superscript"/>
              </w:rPr>
              <w:t>(1)</w:t>
            </w:r>
          </w:p>
        </w:tc>
        <w:tc>
          <w:tcPr>
            <w:tcW w:w="1559" w:type="dxa"/>
            <w:gridSpan w:val="2"/>
            <w:tcBorders>
              <w:top w:val="single" w:sz="4" w:space="0" w:color="auto"/>
              <w:left w:val="nil"/>
              <w:bottom w:val="single" w:sz="4" w:space="0" w:color="auto"/>
              <w:right w:val="nil"/>
            </w:tcBorders>
          </w:tcPr>
          <w:p w:rsidR="00565FD5" w:rsidRDefault="00565FD5" w:rsidP="00AB62A3">
            <w:pPr>
              <w:jc w:val="center"/>
              <w:rPr>
                <w:rFonts w:cs="Tahoma"/>
                <w:b/>
                <w:bCs/>
                <w:sz w:val="14"/>
                <w:szCs w:val="14"/>
              </w:rPr>
            </w:pPr>
            <w:r w:rsidRPr="00C77C02">
              <w:rPr>
                <w:rFonts w:cs="Tahoma"/>
                <w:b/>
                <w:bCs/>
                <w:sz w:val="14"/>
                <w:szCs w:val="14"/>
              </w:rPr>
              <w:t xml:space="preserve">GSYH ‘ya Oran </w:t>
            </w:r>
          </w:p>
          <w:p w:rsidR="00565FD5" w:rsidRPr="00C77C02" w:rsidRDefault="00565FD5" w:rsidP="00AB62A3">
            <w:pPr>
              <w:jc w:val="center"/>
              <w:rPr>
                <w:rFonts w:cs="Tahoma"/>
                <w:b/>
                <w:bCs/>
                <w:sz w:val="14"/>
                <w:szCs w:val="14"/>
              </w:rPr>
            </w:pPr>
            <w:r w:rsidRPr="00C77C02">
              <w:rPr>
                <w:rFonts w:cs="Tahoma"/>
                <w:b/>
                <w:bCs/>
                <w:sz w:val="14"/>
                <w:szCs w:val="14"/>
              </w:rPr>
              <w:t>(</w:t>
            </w:r>
            <w:r>
              <w:rPr>
                <w:rFonts w:cs="Tahoma"/>
                <w:b/>
                <w:bCs/>
                <w:sz w:val="14"/>
                <w:szCs w:val="14"/>
              </w:rPr>
              <w:t>Yüzde</w:t>
            </w:r>
            <w:r w:rsidRPr="00C77C02">
              <w:rPr>
                <w:rFonts w:cs="Tahoma"/>
                <w:b/>
                <w:bCs/>
                <w:sz w:val="14"/>
                <w:szCs w:val="14"/>
              </w:rPr>
              <w:t>)</w:t>
            </w:r>
            <w:r w:rsidRPr="003F4EDC">
              <w:rPr>
                <w:rFonts w:cs="Tahoma"/>
                <w:b/>
                <w:bCs/>
                <w:sz w:val="14"/>
                <w:szCs w:val="14"/>
                <w:vertAlign w:val="superscript"/>
              </w:rPr>
              <w:t>(</w:t>
            </w:r>
            <w:r>
              <w:rPr>
                <w:rFonts w:cs="Tahoma"/>
                <w:b/>
                <w:bCs/>
                <w:sz w:val="14"/>
                <w:szCs w:val="14"/>
                <w:vertAlign w:val="superscript"/>
              </w:rPr>
              <w:t>1</w:t>
            </w:r>
            <w:r w:rsidRPr="003F4EDC">
              <w:rPr>
                <w:rFonts w:cs="Tahoma"/>
                <w:b/>
                <w:bCs/>
                <w:sz w:val="14"/>
                <w:szCs w:val="14"/>
                <w:vertAlign w:val="superscript"/>
              </w:rPr>
              <w:t>)</w:t>
            </w:r>
          </w:p>
        </w:tc>
        <w:tc>
          <w:tcPr>
            <w:tcW w:w="1700" w:type="dxa"/>
            <w:gridSpan w:val="3"/>
            <w:tcBorders>
              <w:top w:val="single" w:sz="4" w:space="0" w:color="auto"/>
              <w:left w:val="nil"/>
              <w:bottom w:val="single" w:sz="4" w:space="0" w:color="auto"/>
            </w:tcBorders>
          </w:tcPr>
          <w:p w:rsidR="00565FD5" w:rsidRPr="00C77C02" w:rsidRDefault="00565FD5" w:rsidP="00AB62A3">
            <w:pPr>
              <w:ind w:left="57" w:right="57"/>
              <w:jc w:val="center"/>
              <w:rPr>
                <w:rFonts w:cs="Tahoma"/>
                <w:b/>
                <w:bCs/>
                <w:sz w:val="14"/>
                <w:szCs w:val="14"/>
              </w:rPr>
            </w:pPr>
            <w:r w:rsidRPr="00C77C02">
              <w:rPr>
                <w:rFonts w:cs="Tahoma"/>
                <w:b/>
                <w:bCs/>
                <w:sz w:val="14"/>
                <w:szCs w:val="14"/>
              </w:rPr>
              <w:t>Kuruluş Sayısı</w:t>
            </w:r>
          </w:p>
        </w:tc>
      </w:tr>
      <w:tr w:rsidR="00565FD5" w:rsidRPr="00C77C02" w:rsidTr="00AB62A3">
        <w:trPr>
          <w:trHeight w:hRule="exact" w:val="198"/>
        </w:trPr>
        <w:tc>
          <w:tcPr>
            <w:tcW w:w="1966" w:type="dxa"/>
            <w:tcBorders>
              <w:top w:val="nil"/>
              <w:bottom w:val="single" w:sz="4" w:space="0" w:color="auto"/>
              <w:right w:val="nil"/>
            </w:tcBorders>
            <w:noWrap/>
            <w:tcMar>
              <w:top w:w="13" w:type="dxa"/>
              <w:left w:w="13" w:type="dxa"/>
              <w:bottom w:w="0" w:type="dxa"/>
              <w:right w:w="13" w:type="dxa"/>
            </w:tcMar>
          </w:tcPr>
          <w:p w:rsidR="00565FD5" w:rsidRPr="00C77C02" w:rsidRDefault="00565FD5" w:rsidP="00AB62A3">
            <w:pPr>
              <w:tabs>
                <w:tab w:val="left" w:pos="388"/>
              </w:tabs>
              <w:ind w:left="57" w:right="57"/>
              <w:jc w:val="center"/>
              <w:rPr>
                <w:rFonts w:eastAsia="Arial Unicode MS" w:cs="Tahoma"/>
                <w:b/>
                <w:bCs/>
                <w:sz w:val="14"/>
                <w:szCs w:val="14"/>
              </w:rPr>
            </w:pPr>
          </w:p>
        </w:tc>
        <w:tc>
          <w:tcPr>
            <w:tcW w:w="634" w:type="dxa"/>
            <w:tcBorders>
              <w:top w:val="single" w:sz="4" w:space="0" w:color="auto"/>
              <w:left w:val="nil"/>
              <w:bottom w:val="single" w:sz="4" w:space="0" w:color="auto"/>
              <w:right w:val="nil"/>
            </w:tcBorders>
          </w:tcPr>
          <w:p w:rsidR="00565FD5" w:rsidRPr="00C77C02" w:rsidRDefault="00565FD5" w:rsidP="00AB62A3">
            <w:pPr>
              <w:tabs>
                <w:tab w:val="left" w:pos="388"/>
              </w:tabs>
              <w:jc w:val="right"/>
              <w:rPr>
                <w:rFonts w:cs="Tahoma"/>
                <w:b/>
                <w:bCs/>
                <w:sz w:val="14"/>
                <w:szCs w:val="14"/>
              </w:rPr>
            </w:pPr>
            <w:r w:rsidRPr="00C77C02">
              <w:rPr>
                <w:rFonts w:cs="Tahoma"/>
                <w:b/>
                <w:bCs/>
                <w:sz w:val="14"/>
                <w:szCs w:val="14"/>
              </w:rPr>
              <w:t xml:space="preserve">  2010</w:t>
            </w:r>
          </w:p>
        </w:tc>
        <w:tc>
          <w:tcPr>
            <w:tcW w:w="627" w:type="dxa"/>
            <w:tcBorders>
              <w:top w:val="single" w:sz="4" w:space="0" w:color="auto"/>
              <w:left w:val="nil"/>
              <w:bottom w:val="single" w:sz="4" w:space="0" w:color="auto"/>
              <w:right w:val="nil"/>
            </w:tcBorders>
            <w:noWrap/>
            <w:tcMar>
              <w:top w:w="13" w:type="dxa"/>
              <w:left w:w="13" w:type="dxa"/>
              <w:bottom w:w="0" w:type="dxa"/>
              <w:right w:w="13" w:type="dxa"/>
            </w:tcMar>
          </w:tcPr>
          <w:p w:rsidR="00565FD5" w:rsidRPr="00C77C02" w:rsidRDefault="00565FD5" w:rsidP="00AB62A3">
            <w:pPr>
              <w:tabs>
                <w:tab w:val="left" w:pos="388"/>
              </w:tabs>
              <w:jc w:val="right"/>
              <w:rPr>
                <w:rFonts w:eastAsia="Arial Unicode MS" w:cs="Tahoma"/>
                <w:b/>
                <w:bCs/>
                <w:sz w:val="14"/>
                <w:szCs w:val="14"/>
              </w:rPr>
            </w:pPr>
            <w:r w:rsidRPr="00C77C02">
              <w:rPr>
                <w:rFonts w:eastAsia="Arial Unicode MS" w:cs="Tahoma"/>
                <w:b/>
                <w:bCs/>
                <w:sz w:val="14"/>
                <w:szCs w:val="14"/>
              </w:rPr>
              <w:t>2011</w:t>
            </w:r>
          </w:p>
        </w:tc>
        <w:tc>
          <w:tcPr>
            <w:tcW w:w="752" w:type="dxa"/>
            <w:tcBorders>
              <w:top w:val="single" w:sz="4" w:space="0" w:color="auto"/>
              <w:left w:val="nil"/>
              <w:bottom w:val="single" w:sz="4" w:space="0" w:color="auto"/>
              <w:right w:val="nil"/>
            </w:tcBorders>
          </w:tcPr>
          <w:p w:rsidR="00565FD5" w:rsidRPr="00C77C02" w:rsidRDefault="00565FD5" w:rsidP="00AB62A3">
            <w:pPr>
              <w:jc w:val="right"/>
              <w:rPr>
                <w:rFonts w:cs="Tahoma"/>
                <w:b/>
                <w:bCs/>
                <w:sz w:val="14"/>
                <w:szCs w:val="14"/>
              </w:rPr>
            </w:pPr>
            <w:r w:rsidRPr="00C77C02">
              <w:rPr>
                <w:rFonts w:cs="Tahoma"/>
                <w:b/>
                <w:bCs/>
                <w:sz w:val="14"/>
                <w:szCs w:val="14"/>
              </w:rPr>
              <w:t>2012</w:t>
            </w:r>
            <w:r w:rsidRPr="00C77C02">
              <w:rPr>
                <w:rFonts w:cs="Tahoma"/>
                <w:b/>
                <w:bCs/>
                <w:sz w:val="14"/>
                <w:szCs w:val="14"/>
                <w:vertAlign w:val="superscript"/>
              </w:rPr>
              <w:t>(</w:t>
            </w:r>
            <w:r>
              <w:rPr>
                <w:rFonts w:cs="Tahoma"/>
                <w:b/>
                <w:bCs/>
                <w:sz w:val="14"/>
                <w:szCs w:val="14"/>
                <w:vertAlign w:val="superscript"/>
              </w:rPr>
              <w:t>2</w:t>
            </w:r>
            <w:r w:rsidRPr="00C77C02">
              <w:rPr>
                <w:rFonts w:cs="Tahoma"/>
                <w:b/>
                <w:bCs/>
                <w:sz w:val="14"/>
                <w:szCs w:val="14"/>
                <w:vertAlign w:val="superscript"/>
              </w:rPr>
              <w:t>)</w:t>
            </w:r>
          </w:p>
        </w:tc>
        <w:tc>
          <w:tcPr>
            <w:tcW w:w="568" w:type="dxa"/>
            <w:tcBorders>
              <w:top w:val="single" w:sz="4" w:space="0" w:color="auto"/>
              <w:left w:val="nil"/>
              <w:bottom w:val="single" w:sz="4" w:space="0" w:color="auto"/>
              <w:right w:val="nil"/>
            </w:tcBorders>
          </w:tcPr>
          <w:p w:rsidR="00565FD5" w:rsidRPr="00C77C02" w:rsidRDefault="00565FD5" w:rsidP="00AB62A3">
            <w:pPr>
              <w:jc w:val="right"/>
              <w:rPr>
                <w:rFonts w:cs="Tahoma"/>
                <w:b/>
                <w:bCs/>
                <w:sz w:val="14"/>
                <w:szCs w:val="14"/>
              </w:rPr>
            </w:pPr>
            <w:r w:rsidRPr="00C77C02">
              <w:rPr>
                <w:rFonts w:cs="Tahoma"/>
                <w:b/>
                <w:bCs/>
                <w:sz w:val="14"/>
                <w:szCs w:val="14"/>
              </w:rPr>
              <w:t>2010</w:t>
            </w:r>
          </w:p>
        </w:tc>
        <w:tc>
          <w:tcPr>
            <w:tcW w:w="709" w:type="dxa"/>
            <w:tcBorders>
              <w:top w:val="single" w:sz="4" w:space="0" w:color="auto"/>
              <w:left w:val="nil"/>
              <w:bottom w:val="single" w:sz="4" w:space="0" w:color="auto"/>
              <w:right w:val="nil"/>
            </w:tcBorders>
            <w:noWrap/>
            <w:tcMar>
              <w:top w:w="13" w:type="dxa"/>
              <w:left w:w="13" w:type="dxa"/>
              <w:bottom w:w="0" w:type="dxa"/>
              <w:right w:w="13" w:type="dxa"/>
            </w:tcMar>
          </w:tcPr>
          <w:p w:rsidR="00565FD5" w:rsidRPr="00C77C02" w:rsidRDefault="00565FD5" w:rsidP="00AB62A3">
            <w:pPr>
              <w:jc w:val="right"/>
              <w:rPr>
                <w:rFonts w:eastAsia="Arial Unicode MS" w:cs="Tahoma"/>
                <w:b/>
                <w:bCs/>
                <w:sz w:val="14"/>
                <w:szCs w:val="14"/>
              </w:rPr>
            </w:pPr>
            <w:r w:rsidRPr="00C77C02">
              <w:rPr>
                <w:rFonts w:eastAsia="Arial Unicode MS" w:cs="Tahoma"/>
                <w:b/>
                <w:bCs/>
                <w:sz w:val="14"/>
                <w:szCs w:val="14"/>
              </w:rPr>
              <w:t>2011</w:t>
            </w:r>
          </w:p>
        </w:tc>
        <w:tc>
          <w:tcPr>
            <w:tcW w:w="708" w:type="dxa"/>
            <w:tcBorders>
              <w:top w:val="single" w:sz="4" w:space="0" w:color="auto"/>
              <w:left w:val="nil"/>
              <w:bottom w:val="single" w:sz="4" w:space="0" w:color="auto"/>
              <w:right w:val="nil"/>
            </w:tcBorders>
          </w:tcPr>
          <w:p w:rsidR="00565FD5" w:rsidRPr="00C77C02" w:rsidRDefault="00565FD5" w:rsidP="00AB62A3">
            <w:pPr>
              <w:jc w:val="right"/>
              <w:rPr>
                <w:rFonts w:cs="Tahoma"/>
                <w:b/>
                <w:bCs/>
                <w:sz w:val="14"/>
                <w:szCs w:val="14"/>
                <w:vertAlign w:val="superscript"/>
              </w:rPr>
            </w:pPr>
            <w:r w:rsidRPr="00C77C02">
              <w:rPr>
                <w:rFonts w:cs="Tahoma"/>
                <w:b/>
                <w:bCs/>
                <w:sz w:val="14"/>
                <w:szCs w:val="14"/>
              </w:rPr>
              <w:t>2012</w:t>
            </w:r>
            <w:r w:rsidRPr="00C77C02">
              <w:rPr>
                <w:rFonts w:cs="Tahoma"/>
                <w:b/>
                <w:bCs/>
                <w:sz w:val="14"/>
                <w:szCs w:val="14"/>
                <w:vertAlign w:val="superscript"/>
              </w:rPr>
              <w:t>(</w:t>
            </w:r>
            <w:r>
              <w:rPr>
                <w:rFonts w:cs="Tahoma"/>
                <w:b/>
                <w:bCs/>
                <w:sz w:val="14"/>
                <w:szCs w:val="14"/>
                <w:vertAlign w:val="superscript"/>
              </w:rPr>
              <w:t>2</w:t>
            </w:r>
            <w:r w:rsidRPr="00C77C02">
              <w:rPr>
                <w:rFonts w:cs="Tahoma"/>
                <w:b/>
                <w:bCs/>
                <w:sz w:val="14"/>
                <w:szCs w:val="14"/>
                <w:vertAlign w:val="superscript"/>
              </w:rPr>
              <w:t>)</w:t>
            </w:r>
          </w:p>
        </w:tc>
        <w:tc>
          <w:tcPr>
            <w:tcW w:w="853" w:type="dxa"/>
            <w:tcBorders>
              <w:top w:val="single" w:sz="4" w:space="0" w:color="auto"/>
              <w:left w:val="nil"/>
              <w:bottom w:val="single" w:sz="4" w:space="0" w:color="auto"/>
              <w:right w:val="nil"/>
            </w:tcBorders>
          </w:tcPr>
          <w:p w:rsidR="00565FD5" w:rsidRPr="00C77C02" w:rsidRDefault="00565FD5" w:rsidP="00AB62A3">
            <w:pPr>
              <w:jc w:val="right"/>
              <w:rPr>
                <w:rFonts w:cs="Tahoma"/>
                <w:b/>
                <w:bCs/>
                <w:sz w:val="14"/>
                <w:szCs w:val="14"/>
              </w:rPr>
            </w:pPr>
            <w:r w:rsidRPr="00C77C02">
              <w:rPr>
                <w:rFonts w:cs="Tahoma"/>
                <w:b/>
                <w:bCs/>
                <w:sz w:val="14"/>
                <w:szCs w:val="14"/>
              </w:rPr>
              <w:t>2010</w:t>
            </w:r>
          </w:p>
        </w:tc>
        <w:tc>
          <w:tcPr>
            <w:tcW w:w="709" w:type="dxa"/>
            <w:tcBorders>
              <w:top w:val="single" w:sz="4" w:space="0" w:color="auto"/>
              <w:left w:val="nil"/>
              <w:bottom w:val="single" w:sz="4" w:space="0" w:color="auto"/>
              <w:right w:val="nil"/>
            </w:tcBorders>
            <w:noWrap/>
            <w:tcMar>
              <w:top w:w="13" w:type="dxa"/>
              <w:left w:w="13" w:type="dxa"/>
              <w:bottom w:w="0" w:type="dxa"/>
              <w:right w:w="13" w:type="dxa"/>
            </w:tcMar>
          </w:tcPr>
          <w:p w:rsidR="00565FD5" w:rsidRPr="00C77C02" w:rsidRDefault="00565FD5" w:rsidP="00AB62A3">
            <w:pPr>
              <w:jc w:val="right"/>
              <w:rPr>
                <w:rFonts w:eastAsia="Arial Unicode MS" w:cs="Tahoma"/>
                <w:b/>
                <w:bCs/>
                <w:sz w:val="14"/>
                <w:szCs w:val="14"/>
              </w:rPr>
            </w:pPr>
            <w:r w:rsidRPr="00C77C02">
              <w:rPr>
                <w:rFonts w:eastAsia="Arial Unicode MS" w:cs="Tahoma"/>
                <w:b/>
                <w:bCs/>
                <w:sz w:val="14"/>
                <w:szCs w:val="14"/>
              </w:rPr>
              <w:t>2011</w:t>
            </w:r>
          </w:p>
        </w:tc>
        <w:tc>
          <w:tcPr>
            <w:tcW w:w="851" w:type="dxa"/>
            <w:tcBorders>
              <w:top w:val="single" w:sz="4" w:space="0" w:color="auto"/>
              <w:left w:val="nil"/>
              <w:bottom w:val="single" w:sz="4" w:space="0" w:color="auto"/>
              <w:right w:val="nil"/>
            </w:tcBorders>
          </w:tcPr>
          <w:p w:rsidR="00565FD5" w:rsidRPr="00C77C02" w:rsidRDefault="00565FD5" w:rsidP="00AB62A3">
            <w:pPr>
              <w:jc w:val="right"/>
              <w:rPr>
                <w:rFonts w:cs="Tahoma"/>
                <w:b/>
                <w:bCs/>
                <w:sz w:val="14"/>
                <w:szCs w:val="14"/>
              </w:rPr>
            </w:pPr>
            <w:r w:rsidRPr="00C77C02">
              <w:rPr>
                <w:rFonts w:cs="Tahoma"/>
                <w:b/>
                <w:bCs/>
                <w:sz w:val="14"/>
                <w:szCs w:val="14"/>
              </w:rPr>
              <w:t>2010</w:t>
            </w:r>
          </w:p>
        </w:tc>
        <w:tc>
          <w:tcPr>
            <w:tcW w:w="708" w:type="dxa"/>
            <w:tcBorders>
              <w:top w:val="single" w:sz="4" w:space="0" w:color="auto"/>
              <w:left w:val="nil"/>
              <w:bottom w:val="single" w:sz="4" w:space="0" w:color="auto"/>
              <w:right w:val="nil"/>
            </w:tcBorders>
            <w:noWrap/>
            <w:tcMar>
              <w:top w:w="13" w:type="dxa"/>
              <w:left w:w="13" w:type="dxa"/>
              <w:bottom w:w="0" w:type="dxa"/>
              <w:right w:w="13" w:type="dxa"/>
            </w:tcMar>
          </w:tcPr>
          <w:p w:rsidR="00565FD5" w:rsidRPr="00C77C02" w:rsidRDefault="00565FD5" w:rsidP="00AB62A3">
            <w:pPr>
              <w:jc w:val="right"/>
              <w:rPr>
                <w:rFonts w:eastAsia="Arial Unicode MS" w:cs="Tahoma"/>
                <w:b/>
                <w:bCs/>
                <w:sz w:val="14"/>
                <w:szCs w:val="14"/>
              </w:rPr>
            </w:pPr>
            <w:r w:rsidRPr="00C77C02">
              <w:rPr>
                <w:rFonts w:eastAsia="Arial Unicode MS" w:cs="Tahoma"/>
                <w:b/>
                <w:bCs/>
                <w:sz w:val="14"/>
                <w:szCs w:val="14"/>
              </w:rPr>
              <w:t>2011</w:t>
            </w:r>
          </w:p>
        </w:tc>
        <w:tc>
          <w:tcPr>
            <w:tcW w:w="567" w:type="dxa"/>
            <w:tcBorders>
              <w:top w:val="single" w:sz="4" w:space="0" w:color="auto"/>
              <w:left w:val="nil"/>
              <w:bottom w:val="single" w:sz="4" w:space="0" w:color="auto"/>
              <w:right w:val="nil"/>
            </w:tcBorders>
          </w:tcPr>
          <w:p w:rsidR="00565FD5" w:rsidRPr="00C77C02" w:rsidRDefault="00565FD5" w:rsidP="00AB62A3">
            <w:pPr>
              <w:jc w:val="right"/>
              <w:rPr>
                <w:rFonts w:eastAsia="Arial Unicode MS" w:cs="Tahoma"/>
                <w:b/>
                <w:bCs/>
                <w:sz w:val="14"/>
                <w:szCs w:val="14"/>
              </w:rPr>
            </w:pPr>
            <w:r w:rsidRPr="00C77C02">
              <w:rPr>
                <w:rFonts w:eastAsia="Arial Unicode MS" w:cs="Tahoma"/>
                <w:b/>
                <w:bCs/>
                <w:sz w:val="14"/>
                <w:szCs w:val="14"/>
              </w:rPr>
              <w:t>2010</w:t>
            </w:r>
          </w:p>
        </w:tc>
        <w:tc>
          <w:tcPr>
            <w:tcW w:w="567" w:type="dxa"/>
            <w:tcBorders>
              <w:top w:val="single" w:sz="4" w:space="0" w:color="auto"/>
              <w:left w:val="nil"/>
              <w:bottom w:val="single" w:sz="4" w:space="0" w:color="auto"/>
              <w:right w:val="nil"/>
            </w:tcBorders>
            <w:noWrap/>
            <w:tcMar>
              <w:top w:w="13" w:type="dxa"/>
              <w:left w:w="13" w:type="dxa"/>
              <w:bottom w:w="0" w:type="dxa"/>
              <w:right w:w="13" w:type="dxa"/>
            </w:tcMar>
          </w:tcPr>
          <w:p w:rsidR="00565FD5" w:rsidRPr="00C77C02" w:rsidRDefault="00565FD5" w:rsidP="00AB62A3">
            <w:pPr>
              <w:jc w:val="right"/>
              <w:rPr>
                <w:rFonts w:eastAsia="Arial Unicode MS" w:cs="Tahoma"/>
                <w:b/>
                <w:bCs/>
                <w:sz w:val="14"/>
                <w:szCs w:val="14"/>
              </w:rPr>
            </w:pPr>
            <w:r w:rsidRPr="00C77C02">
              <w:rPr>
                <w:rFonts w:eastAsia="Arial Unicode MS" w:cs="Tahoma"/>
                <w:b/>
                <w:bCs/>
                <w:sz w:val="14"/>
                <w:szCs w:val="14"/>
              </w:rPr>
              <w:t>2011</w:t>
            </w:r>
          </w:p>
        </w:tc>
        <w:tc>
          <w:tcPr>
            <w:tcW w:w="566" w:type="dxa"/>
            <w:tcBorders>
              <w:top w:val="single" w:sz="4" w:space="0" w:color="auto"/>
              <w:left w:val="nil"/>
              <w:bottom w:val="single" w:sz="4" w:space="0" w:color="auto"/>
            </w:tcBorders>
          </w:tcPr>
          <w:p w:rsidR="00565FD5" w:rsidRPr="00C77C02" w:rsidRDefault="00565FD5" w:rsidP="00AB62A3">
            <w:pPr>
              <w:jc w:val="right"/>
              <w:rPr>
                <w:rFonts w:cs="Tahoma"/>
                <w:b/>
                <w:bCs/>
                <w:sz w:val="14"/>
                <w:szCs w:val="14"/>
              </w:rPr>
            </w:pPr>
            <w:r w:rsidRPr="00C77C02">
              <w:rPr>
                <w:rFonts w:cs="Tahoma"/>
                <w:b/>
                <w:bCs/>
                <w:sz w:val="14"/>
                <w:szCs w:val="14"/>
              </w:rPr>
              <w:t>2012</w:t>
            </w:r>
            <w:r w:rsidRPr="00C77C02">
              <w:rPr>
                <w:rFonts w:cs="Tahoma"/>
                <w:b/>
                <w:bCs/>
                <w:sz w:val="14"/>
                <w:szCs w:val="14"/>
                <w:vertAlign w:val="superscript"/>
              </w:rPr>
              <w:t>(</w:t>
            </w:r>
            <w:r>
              <w:rPr>
                <w:rFonts w:cs="Tahoma"/>
                <w:b/>
                <w:bCs/>
                <w:sz w:val="14"/>
                <w:szCs w:val="14"/>
                <w:vertAlign w:val="superscript"/>
              </w:rPr>
              <w:t>2</w:t>
            </w:r>
            <w:r w:rsidRPr="00C77C02">
              <w:rPr>
                <w:rFonts w:cs="Tahoma"/>
                <w:b/>
                <w:bCs/>
                <w:sz w:val="14"/>
                <w:szCs w:val="14"/>
                <w:vertAlign w:val="superscript"/>
              </w:rPr>
              <w:t>)</w:t>
            </w:r>
          </w:p>
        </w:tc>
      </w:tr>
      <w:tr w:rsidR="00565FD5" w:rsidRPr="00E97012" w:rsidTr="00AB62A3">
        <w:trPr>
          <w:trHeight w:hRule="exact" w:val="198"/>
        </w:trPr>
        <w:tc>
          <w:tcPr>
            <w:tcW w:w="1966" w:type="dxa"/>
            <w:tcBorders>
              <w:top w:val="single" w:sz="4" w:space="0" w:color="auto"/>
              <w:right w:val="nil"/>
            </w:tcBorders>
            <w:noWrap/>
            <w:tcMar>
              <w:top w:w="13" w:type="dxa"/>
              <w:left w:w="13" w:type="dxa"/>
              <w:bottom w:w="0" w:type="dxa"/>
              <w:right w:w="13" w:type="dxa"/>
            </w:tcMar>
            <w:vAlign w:val="bottom"/>
          </w:tcPr>
          <w:p w:rsidR="00565FD5" w:rsidRPr="00C77C02" w:rsidRDefault="00565FD5" w:rsidP="00AB62A3">
            <w:pPr>
              <w:rPr>
                <w:rFonts w:cs="Tahoma"/>
                <w:b/>
                <w:bCs/>
                <w:sz w:val="14"/>
                <w:szCs w:val="14"/>
              </w:rPr>
            </w:pPr>
            <w:r w:rsidRPr="00C77C02">
              <w:rPr>
                <w:rFonts w:cs="Tahoma"/>
                <w:b/>
                <w:bCs/>
                <w:sz w:val="14"/>
                <w:szCs w:val="14"/>
              </w:rPr>
              <w:t>Bankalar</w:t>
            </w:r>
          </w:p>
        </w:tc>
        <w:tc>
          <w:tcPr>
            <w:tcW w:w="634" w:type="dxa"/>
            <w:tcBorders>
              <w:top w:val="single" w:sz="4" w:space="0" w:color="auto"/>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1 006,7</w:t>
            </w:r>
          </w:p>
        </w:tc>
        <w:tc>
          <w:tcPr>
            <w:tcW w:w="627" w:type="dxa"/>
            <w:tcBorders>
              <w:top w:val="single" w:sz="4" w:space="0" w:color="auto"/>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1 217,7</w:t>
            </w:r>
          </w:p>
        </w:tc>
        <w:tc>
          <w:tcPr>
            <w:tcW w:w="752" w:type="dxa"/>
            <w:tcBorders>
              <w:top w:val="single" w:sz="4" w:space="0" w:color="auto"/>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1 273,7</w:t>
            </w:r>
          </w:p>
        </w:tc>
        <w:tc>
          <w:tcPr>
            <w:tcW w:w="568" w:type="dxa"/>
            <w:tcBorders>
              <w:top w:val="single" w:sz="4" w:space="0" w:color="auto"/>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651,1</w:t>
            </w:r>
          </w:p>
        </w:tc>
        <w:tc>
          <w:tcPr>
            <w:tcW w:w="709" w:type="dxa"/>
            <w:tcBorders>
              <w:top w:val="single" w:sz="4" w:space="0" w:color="auto"/>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638,7</w:t>
            </w:r>
          </w:p>
        </w:tc>
        <w:tc>
          <w:tcPr>
            <w:tcW w:w="708" w:type="dxa"/>
            <w:tcBorders>
              <w:top w:val="single" w:sz="4" w:space="0" w:color="auto"/>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701,7</w:t>
            </w:r>
          </w:p>
        </w:tc>
        <w:tc>
          <w:tcPr>
            <w:tcW w:w="853" w:type="dxa"/>
            <w:tcBorders>
              <w:top w:val="single" w:sz="4" w:space="0" w:color="auto"/>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88,3</w:t>
            </w:r>
          </w:p>
        </w:tc>
        <w:tc>
          <w:tcPr>
            <w:tcW w:w="709" w:type="dxa"/>
            <w:tcBorders>
              <w:top w:val="single" w:sz="4" w:space="0" w:color="auto"/>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89,7</w:t>
            </w:r>
          </w:p>
        </w:tc>
        <w:tc>
          <w:tcPr>
            <w:tcW w:w="851" w:type="dxa"/>
            <w:tcBorders>
              <w:top w:val="single" w:sz="4" w:space="0" w:color="auto"/>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91,6</w:t>
            </w:r>
          </w:p>
        </w:tc>
        <w:tc>
          <w:tcPr>
            <w:tcW w:w="708" w:type="dxa"/>
            <w:tcBorders>
              <w:top w:val="single" w:sz="4" w:space="0" w:color="auto"/>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93,8</w:t>
            </w:r>
          </w:p>
        </w:tc>
        <w:tc>
          <w:tcPr>
            <w:tcW w:w="567" w:type="dxa"/>
            <w:tcBorders>
              <w:top w:val="single" w:sz="4" w:space="0" w:color="auto"/>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49</w:t>
            </w:r>
          </w:p>
        </w:tc>
        <w:tc>
          <w:tcPr>
            <w:tcW w:w="567" w:type="dxa"/>
            <w:tcBorders>
              <w:top w:val="single" w:sz="4" w:space="0" w:color="auto"/>
              <w:left w:val="nil"/>
              <w:right w:val="nil"/>
            </w:tcBorders>
            <w:noWrap/>
            <w:tcMar>
              <w:top w:w="13" w:type="dxa"/>
              <w:left w:w="13" w:type="dxa"/>
              <w:bottom w:w="0" w:type="dxa"/>
              <w:right w:w="85"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48</w:t>
            </w:r>
          </w:p>
        </w:tc>
        <w:tc>
          <w:tcPr>
            <w:tcW w:w="566" w:type="dxa"/>
            <w:tcBorders>
              <w:top w:val="single" w:sz="4" w:space="0" w:color="auto"/>
              <w:left w:val="nil"/>
            </w:tcBorders>
            <w:vAlign w:val="bottom"/>
          </w:tcPr>
          <w:p w:rsidR="00565FD5" w:rsidRPr="00E97012" w:rsidRDefault="00565FD5" w:rsidP="00AB62A3">
            <w:pPr>
              <w:jc w:val="right"/>
              <w:rPr>
                <w:rFonts w:cs="Tahoma"/>
                <w:b/>
                <w:bCs/>
                <w:sz w:val="14"/>
                <w:szCs w:val="14"/>
              </w:rPr>
            </w:pPr>
            <w:r w:rsidRPr="00C77C02">
              <w:rPr>
                <w:rFonts w:cs="Tahoma"/>
                <w:b/>
                <w:bCs/>
                <w:sz w:val="14"/>
                <w:szCs w:val="14"/>
              </w:rPr>
              <w:t>48</w:t>
            </w:r>
          </w:p>
        </w:tc>
      </w:tr>
      <w:tr w:rsidR="00565FD5" w:rsidRPr="00E97012" w:rsidTr="00AB62A3">
        <w:trPr>
          <w:trHeight w:hRule="exact" w:val="198"/>
        </w:trPr>
        <w:tc>
          <w:tcPr>
            <w:tcW w:w="1966" w:type="dxa"/>
            <w:tcBorders>
              <w:right w:val="nil"/>
            </w:tcBorders>
            <w:noWrap/>
            <w:tcMar>
              <w:top w:w="13" w:type="dxa"/>
              <w:left w:w="13" w:type="dxa"/>
              <w:bottom w:w="0" w:type="dxa"/>
              <w:right w:w="13" w:type="dxa"/>
            </w:tcMar>
            <w:vAlign w:val="bottom"/>
          </w:tcPr>
          <w:p w:rsidR="00565FD5" w:rsidRPr="00C77C02" w:rsidRDefault="00565FD5" w:rsidP="00AB62A3">
            <w:pPr>
              <w:rPr>
                <w:rFonts w:cs="Tahoma"/>
                <w:sz w:val="14"/>
                <w:szCs w:val="14"/>
              </w:rPr>
            </w:pPr>
            <w:r w:rsidRPr="00C77C02">
              <w:rPr>
                <w:rFonts w:cs="Tahoma"/>
                <w:sz w:val="14"/>
                <w:szCs w:val="14"/>
              </w:rPr>
              <w:t xml:space="preserve">  Mevduat Bankaları</w:t>
            </w:r>
          </w:p>
        </w:tc>
        <w:tc>
          <w:tcPr>
            <w:tcW w:w="634"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932,4</w:t>
            </w:r>
          </w:p>
        </w:tc>
        <w:tc>
          <w:tcPr>
            <w:tcW w:w="627"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1 119,9</w:t>
            </w:r>
          </w:p>
        </w:tc>
        <w:tc>
          <w:tcPr>
            <w:tcW w:w="752"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1 162,5</w:t>
            </w:r>
          </w:p>
        </w:tc>
        <w:tc>
          <w:tcPr>
            <w:tcW w:w="568"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603,1</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587,4</w:t>
            </w:r>
          </w:p>
        </w:tc>
        <w:tc>
          <w:tcPr>
            <w:tcW w:w="708"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640,4</w:t>
            </w:r>
          </w:p>
        </w:tc>
        <w:tc>
          <w:tcPr>
            <w:tcW w:w="853"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81,8</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82,5</w:t>
            </w:r>
          </w:p>
        </w:tc>
        <w:tc>
          <w:tcPr>
            <w:tcW w:w="851"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84,9</w:t>
            </w:r>
          </w:p>
        </w:tc>
        <w:tc>
          <w:tcPr>
            <w:tcW w:w="708"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86,3</w:t>
            </w:r>
          </w:p>
        </w:tc>
        <w:tc>
          <w:tcPr>
            <w:tcW w:w="567"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32</w:t>
            </w:r>
          </w:p>
        </w:tc>
        <w:tc>
          <w:tcPr>
            <w:tcW w:w="567" w:type="dxa"/>
            <w:tcBorders>
              <w:left w:val="nil"/>
              <w:right w:val="nil"/>
            </w:tcBorders>
            <w:noWrap/>
            <w:tcMar>
              <w:top w:w="13" w:type="dxa"/>
              <w:left w:w="13" w:type="dxa"/>
              <w:bottom w:w="0" w:type="dxa"/>
              <w:right w:w="85" w:type="dxa"/>
            </w:tcMar>
            <w:vAlign w:val="bottom"/>
          </w:tcPr>
          <w:p w:rsidR="00565FD5" w:rsidRPr="00C77C02" w:rsidRDefault="00565FD5" w:rsidP="00AB62A3">
            <w:pPr>
              <w:jc w:val="right"/>
              <w:rPr>
                <w:rFonts w:cs="Tahoma"/>
                <w:sz w:val="14"/>
                <w:szCs w:val="14"/>
              </w:rPr>
            </w:pPr>
            <w:r w:rsidRPr="00C77C02">
              <w:rPr>
                <w:rFonts w:cs="Tahoma"/>
                <w:sz w:val="14"/>
                <w:szCs w:val="14"/>
              </w:rPr>
              <w:t>31</w:t>
            </w:r>
          </w:p>
        </w:tc>
        <w:tc>
          <w:tcPr>
            <w:tcW w:w="566" w:type="dxa"/>
            <w:tcBorders>
              <w:left w:val="nil"/>
            </w:tcBorders>
            <w:vAlign w:val="bottom"/>
          </w:tcPr>
          <w:p w:rsidR="00565FD5" w:rsidRPr="00E97012" w:rsidRDefault="00565FD5" w:rsidP="00AB62A3">
            <w:pPr>
              <w:jc w:val="right"/>
              <w:rPr>
                <w:rFonts w:cs="Tahoma"/>
                <w:sz w:val="14"/>
                <w:szCs w:val="14"/>
              </w:rPr>
            </w:pPr>
            <w:r w:rsidRPr="00C77C02">
              <w:rPr>
                <w:rFonts w:cs="Tahoma"/>
                <w:sz w:val="14"/>
                <w:szCs w:val="14"/>
              </w:rPr>
              <w:t>31</w:t>
            </w:r>
          </w:p>
        </w:tc>
      </w:tr>
      <w:tr w:rsidR="00565FD5" w:rsidRPr="00C77C02" w:rsidTr="00AB62A3">
        <w:trPr>
          <w:trHeight w:hRule="exact" w:val="198"/>
        </w:trPr>
        <w:tc>
          <w:tcPr>
            <w:tcW w:w="1966" w:type="dxa"/>
            <w:tcBorders>
              <w:right w:val="nil"/>
            </w:tcBorders>
            <w:noWrap/>
            <w:tcMar>
              <w:top w:w="13" w:type="dxa"/>
              <w:left w:w="13" w:type="dxa"/>
              <w:bottom w:w="0" w:type="dxa"/>
              <w:right w:w="13" w:type="dxa"/>
            </w:tcMar>
            <w:vAlign w:val="bottom"/>
          </w:tcPr>
          <w:p w:rsidR="00565FD5" w:rsidRPr="00C77C02" w:rsidRDefault="00565FD5" w:rsidP="00AB62A3">
            <w:pPr>
              <w:rPr>
                <w:rFonts w:cs="Tahoma"/>
                <w:sz w:val="14"/>
                <w:szCs w:val="14"/>
              </w:rPr>
            </w:pPr>
            <w:r w:rsidRPr="00C77C02">
              <w:rPr>
                <w:rFonts w:cs="Tahoma"/>
                <w:sz w:val="14"/>
                <w:szCs w:val="14"/>
              </w:rPr>
              <w:t xml:space="preserve">  Kalkınma ve Yatırım Bankaları</w:t>
            </w:r>
          </w:p>
        </w:tc>
        <w:tc>
          <w:tcPr>
            <w:tcW w:w="634"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31,0</w:t>
            </w:r>
          </w:p>
        </w:tc>
        <w:tc>
          <w:tcPr>
            <w:tcW w:w="627"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41,6</w:t>
            </w:r>
          </w:p>
        </w:tc>
        <w:tc>
          <w:tcPr>
            <w:tcW w:w="752"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61,0</w:t>
            </w:r>
          </w:p>
        </w:tc>
        <w:tc>
          <w:tcPr>
            <w:tcW w:w="568"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20,0</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21,8</w:t>
            </w:r>
          </w:p>
        </w:tc>
        <w:tc>
          <w:tcPr>
            <w:tcW w:w="708"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33,6</w:t>
            </w:r>
          </w:p>
        </w:tc>
        <w:tc>
          <w:tcPr>
            <w:tcW w:w="853"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2,7</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3,1</w:t>
            </w:r>
          </w:p>
        </w:tc>
        <w:tc>
          <w:tcPr>
            <w:tcW w:w="851"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2,8</w:t>
            </w:r>
          </w:p>
        </w:tc>
        <w:tc>
          <w:tcPr>
            <w:tcW w:w="708"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3,2</w:t>
            </w:r>
          </w:p>
        </w:tc>
        <w:tc>
          <w:tcPr>
            <w:tcW w:w="567"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13</w:t>
            </w:r>
          </w:p>
        </w:tc>
        <w:tc>
          <w:tcPr>
            <w:tcW w:w="567" w:type="dxa"/>
            <w:tcBorders>
              <w:left w:val="nil"/>
              <w:right w:val="nil"/>
            </w:tcBorders>
            <w:noWrap/>
            <w:tcMar>
              <w:top w:w="13" w:type="dxa"/>
              <w:left w:w="13" w:type="dxa"/>
              <w:bottom w:w="0" w:type="dxa"/>
              <w:right w:w="85" w:type="dxa"/>
            </w:tcMar>
            <w:vAlign w:val="bottom"/>
          </w:tcPr>
          <w:p w:rsidR="00565FD5" w:rsidRPr="00C77C02" w:rsidRDefault="00565FD5" w:rsidP="00AB62A3">
            <w:pPr>
              <w:jc w:val="right"/>
              <w:rPr>
                <w:rFonts w:cs="Tahoma"/>
                <w:sz w:val="14"/>
                <w:szCs w:val="14"/>
              </w:rPr>
            </w:pPr>
            <w:r w:rsidRPr="00C77C02">
              <w:rPr>
                <w:rFonts w:cs="Tahoma"/>
                <w:sz w:val="14"/>
                <w:szCs w:val="14"/>
              </w:rPr>
              <w:t>13</w:t>
            </w:r>
          </w:p>
        </w:tc>
        <w:tc>
          <w:tcPr>
            <w:tcW w:w="566" w:type="dxa"/>
            <w:tcBorders>
              <w:left w:val="nil"/>
            </w:tcBorders>
            <w:vAlign w:val="bottom"/>
          </w:tcPr>
          <w:p w:rsidR="00565FD5" w:rsidRPr="00E97012" w:rsidRDefault="00565FD5" w:rsidP="00AB62A3">
            <w:pPr>
              <w:jc w:val="right"/>
              <w:rPr>
                <w:rFonts w:cs="Tahoma"/>
                <w:sz w:val="14"/>
                <w:szCs w:val="14"/>
              </w:rPr>
            </w:pPr>
            <w:r w:rsidRPr="00C77C02">
              <w:rPr>
                <w:rFonts w:cs="Tahoma"/>
                <w:sz w:val="14"/>
                <w:szCs w:val="14"/>
              </w:rPr>
              <w:t>13</w:t>
            </w:r>
          </w:p>
        </w:tc>
      </w:tr>
      <w:tr w:rsidR="00565FD5" w:rsidRPr="00C77C02" w:rsidTr="00AB62A3">
        <w:trPr>
          <w:trHeight w:hRule="exact" w:val="198"/>
        </w:trPr>
        <w:tc>
          <w:tcPr>
            <w:tcW w:w="1966" w:type="dxa"/>
            <w:tcBorders>
              <w:right w:val="nil"/>
            </w:tcBorders>
            <w:noWrap/>
            <w:tcMar>
              <w:top w:w="13" w:type="dxa"/>
              <w:left w:w="13" w:type="dxa"/>
              <w:bottom w:w="0" w:type="dxa"/>
              <w:right w:w="13" w:type="dxa"/>
            </w:tcMar>
            <w:vAlign w:val="bottom"/>
          </w:tcPr>
          <w:p w:rsidR="00565FD5" w:rsidRPr="00C77C02" w:rsidRDefault="00565FD5" w:rsidP="00AB62A3">
            <w:pPr>
              <w:rPr>
                <w:rFonts w:cs="Tahoma"/>
                <w:sz w:val="14"/>
                <w:szCs w:val="14"/>
              </w:rPr>
            </w:pPr>
            <w:r w:rsidRPr="00C77C02">
              <w:rPr>
                <w:rFonts w:cs="Tahoma"/>
                <w:sz w:val="14"/>
                <w:szCs w:val="14"/>
              </w:rPr>
              <w:t xml:space="preserve">  Katılım Bankaları</w:t>
            </w:r>
          </w:p>
        </w:tc>
        <w:tc>
          <w:tcPr>
            <w:tcW w:w="634"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43,3</w:t>
            </w:r>
          </w:p>
        </w:tc>
        <w:tc>
          <w:tcPr>
            <w:tcW w:w="627"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56,1</w:t>
            </w:r>
          </w:p>
        </w:tc>
        <w:tc>
          <w:tcPr>
            <w:tcW w:w="752"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50,2</w:t>
            </w:r>
          </w:p>
        </w:tc>
        <w:tc>
          <w:tcPr>
            <w:tcW w:w="568"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28,0</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29,5</w:t>
            </w:r>
          </w:p>
        </w:tc>
        <w:tc>
          <w:tcPr>
            <w:tcW w:w="708"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27,6</w:t>
            </w:r>
          </w:p>
        </w:tc>
        <w:tc>
          <w:tcPr>
            <w:tcW w:w="853"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3,8</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4,1</w:t>
            </w:r>
          </w:p>
        </w:tc>
        <w:tc>
          <w:tcPr>
            <w:tcW w:w="851"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3,9</w:t>
            </w:r>
          </w:p>
        </w:tc>
        <w:tc>
          <w:tcPr>
            <w:tcW w:w="708"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4,3</w:t>
            </w:r>
          </w:p>
        </w:tc>
        <w:tc>
          <w:tcPr>
            <w:tcW w:w="567"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4</w:t>
            </w:r>
          </w:p>
        </w:tc>
        <w:tc>
          <w:tcPr>
            <w:tcW w:w="567" w:type="dxa"/>
            <w:tcBorders>
              <w:left w:val="nil"/>
              <w:right w:val="nil"/>
            </w:tcBorders>
            <w:noWrap/>
            <w:tcMar>
              <w:top w:w="13" w:type="dxa"/>
              <w:left w:w="13" w:type="dxa"/>
              <w:bottom w:w="0" w:type="dxa"/>
              <w:right w:w="85" w:type="dxa"/>
            </w:tcMar>
            <w:vAlign w:val="bottom"/>
          </w:tcPr>
          <w:p w:rsidR="00565FD5" w:rsidRPr="00C77C02" w:rsidRDefault="00565FD5" w:rsidP="00AB62A3">
            <w:pPr>
              <w:jc w:val="right"/>
              <w:rPr>
                <w:rFonts w:cs="Tahoma"/>
                <w:sz w:val="14"/>
                <w:szCs w:val="14"/>
              </w:rPr>
            </w:pPr>
            <w:r w:rsidRPr="00C77C02">
              <w:rPr>
                <w:rFonts w:cs="Tahoma"/>
                <w:sz w:val="14"/>
                <w:szCs w:val="14"/>
              </w:rPr>
              <w:t>4</w:t>
            </w:r>
          </w:p>
        </w:tc>
        <w:tc>
          <w:tcPr>
            <w:tcW w:w="566" w:type="dxa"/>
            <w:tcBorders>
              <w:left w:val="nil"/>
            </w:tcBorders>
            <w:vAlign w:val="bottom"/>
          </w:tcPr>
          <w:p w:rsidR="00565FD5" w:rsidRPr="00C77C02" w:rsidRDefault="00565FD5" w:rsidP="00AB62A3">
            <w:pPr>
              <w:jc w:val="right"/>
              <w:rPr>
                <w:rFonts w:cs="Tahoma"/>
                <w:sz w:val="14"/>
                <w:szCs w:val="14"/>
              </w:rPr>
            </w:pPr>
            <w:r w:rsidRPr="00C77C02">
              <w:rPr>
                <w:rFonts w:cs="Tahoma"/>
                <w:sz w:val="14"/>
                <w:szCs w:val="14"/>
              </w:rPr>
              <w:t>4</w:t>
            </w:r>
          </w:p>
        </w:tc>
      </w:tr>
      <w:tr w:rsidR="00565FD5" w:rsidRPr="00C77C02" w:rsidTr="00AB62A3">
        <w:trPr>
          <w:trHeight w:hRule="exact" w:val="198"/>
        </w:trPr>
        <w:tc>
          <w:tcPr>
            <w:tcW w:w="1966" w:type="dxa"/>
            <w:tcBorders>
              <w:right w:val="nil"/>
            </w:tcBorders>
            <w:noWrap/>
            <w:tcMar>
              <w:top w:w="13" w:type="dxa"/>
              <w:left w:w="13" w:type="dxa"/>
              <w:bottom w:w="0" w:type="dxa"/>
              <w:right w:w="13" w:type="dxa"/>
            </w:tcMar>
            <w:vAlign w:val="bottom"/>
          </w:tcPr>
          <w:p w:rsidR="00565FD5" w:rsidRPr="00C77C02" w:rsidRDefault="00565FD5" w:rsidP="00AB62A3">
            <w:pPr>
              <w:rPr>
                <w:rFonts w:cs="Tahoma"/>
                <w:b/>
                <w:bCs/>
                <w:sz w:val="14"/>
                <w:szCs w:val="14"/>
              </w:rPr>
            </w:pPr>
            <w:r w:rsidRPr="00C77C02">
              <w:rPr>
                <w:rFonts w:cs="Tahoma"/>
                <w:b/>
                <w:bCs/>
                <w:sz w:val="14"/>
                <w:szCs w:val="14"/>
              </w:rPr>
              <w:t>Sigorta ve Emeklilik</w:t>
            </w:r>
          </w:p>
        </w:tc>
        <w:tc>
          <w:tcPr>
            <w:tcW w:w="634"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36,8</w:t>
            </w:r>
          </w:p>
        </w:tc>
        <w:tc>
          <w:tcPr>
            <w:tcW w:w="627" w:type="dxa"/>
            <w:tcBorders>
              <w:left w:val="nil"/>
              <w:right w:val="nil"/>
            </w:tcBorders>
            <w:noWrap/>
            <w:tcMar>
              <w:top w:w="13" w:type="dxa"/>
              <w:left w:w="13" w:type="dxa"/>
              <w:bottom w:w="0" w:type="dxa"/>
              <w:right w:w="13" w:type="dxa"/>
            </w:tcMar>
            <w:vAlign w:val="center"/>
          </w:tcPr>
          <w:p w:rsidR="00565FD5" w:rsidRPr="00C77C02" w:rsidRDefault="00565FD5" w:rsidP="00AB62A3">
            <w:pPr>
              <w:jc w:val="right"/>
              <w:rPr>
                <w:rFonts w:cs="Tahoma"/>
                <w:b/>
                <w:bCs/>
                <w:sz w:val="14"/>
                <w:szCs w:val="14"/>
              </w:rPr>
            </w:pPr>
            <w:r w:rsidRPr="00C77C02">
              <w:rPr>
                <w:rFonts w:cs="Tahoma"/>
                <w:b/>
                <w:bCs/>
                <w:sz w:val="14"/>
                <w:szCs w:val="14"/>
              </w:rPr>
              <w:t>42,5</w:t>
            </w:r>
          </w:p>
        </w:tc>
        <w:tc>
          <w:tcPr>
            <w:tcW w:w="752" w:type="dxa"/>
            <w:tcBorders>
              <w:left w:val="nil"/>
              <w:right w:val="nil"/>
            </w:tcBorders>
            <w:vAlign w:val="bottom"/>
          </w:tcPr>
          <w:p w:rsidR="00565FD5" w:rsidRPr="00C77C02" w:rsidRDefault="00565FD5" w:rsidP="00AB62A3">
            <w:pPr>
              <w:jc w:val="right"/>
              <w:rPr>
                <w:rFonts w:cs="Tahoma"/>
                <w:b/>
                <w:bCs/>
                <w:sz w:val="14"/>
                <w:szCs w:val="14"/>
              </w:rPr>
            </w:pPr>
            <w:r>
              <w:rPr>
                <w:rFonts w:cs="Tahoma"/>
                <w:b/>
                <w:bCs/>
                <w:sz w:val="14"/>
                <w:szCs w:val="14"/>
              </w:rPr>
              <w:t>47,3</w:t>
            </w:r>
          </w:p>
        </w:tc>
        <w:tc>
          <w:tcPr>
            <w:tcW w:w="568"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23,8</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22,3</w:t>
            </w:r>
          </w:p>
        </w:tc>
        <w:tc>
          <w:tcPr>
            <w:tcW w:w="708" w:type="dxa"/>
            <w:tcBorders>
              <w:left w:val="nil"/>
              <w:right w:val="nil"/>
            </w:tcBorders>
            <w:vAlign w:val="bottom"/>
          </w:tcPr>
          <w:p w:rsidR="00565FD5" w:rsidRPr="00C77C02" w:rsidRDefault="00565FD5" w:rsidP="00AB62A3">
            <w:pPr>
              <w:jc w:val="right"/>
              <w:rPr>
                <w:rFonts w:cs="Tahoma"/>
                <w:b/>
                <w:bCs/>
                <w:sz w:val="14"/>
                <w:szCs w:val="14"/>
              </w:rPr>
            </w:pPr>
            <w:r>
              <w:rPr>
                <w:rFonts w:cs="Tahoma"/>
                <w:b/>
                <w:bCs/>
                <w:sz w:val="14"/>
                <w:szCs w:val="14"/>
              </w:rPr>
              <w:t>26,1</w:t>
            </w:r>
          </w:p>
        </w:tc>
        <w:tc>
          <w:tcPr>
            <w:tcW w:w="853"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3,2</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3,1</w:t>
            </w:r>
          </w:p>
        </w:tc>
        <w:tc>
          <w:tcPr>
            <w:tcW w:w="851"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3,3</w:t>
            </w:r>
          </w:p>
        </w:tc>
        <w:tc>
          <w:tcPr>
            <w:tcW w:w="708"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3,3</w:t>
            </w:r>
          </w:p>
        </w:tc>
        <w:tc>
          <w:tcPr>
            <w:tcW w:w="567"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63</w:t>
            </w:r>
          </w:p>
        </w:tc>
        <w:tc>
          <w:tcPr>
            <w:tcW w:w="567" w:type="dxa"/>
            <w:tcBorders>
              <w:left w:val="nil"/>
              <w:right w:val="nil"/>
            </w:tcBorders>
            <w:noWrap/>
            <w:tcMar>
              <w:top w:w="13" w:type="dxa"/>
              <w:left w:w="13" w:type="dxa"/>
              <w:bottom w:w="0" w:type="dxa"/>
              <w:right w:w="85" w:type="dxa"/>
            </w:tcMar>
            <w:vAlign w:val="center"/>
          </w:tcPr>
          <w:p w:rsidR="00565FD5" w:rsidRPr="00C77C02" w:rsidRDefault="00565FD5" w:rsidP="00AB62A3">
            <w:pPr>
              <w:jc w:val="right"/>
              <w:rPr>
                <w:rFonts w:cs="Tahoma"/>
                <w:b/>
                <w:bCs/>
                <w:sz w:val="14"/>
                <w:szCs w:val="14"/>
              </w:rPr>
            </w:pPr>
            <w:r w:rsidRPr="00C77C02">
              <w:rPr>
                <w:rFonts w:cs="Tahoma"/>
                <w:b/>
                <w:bCs/>
                <w:sz w:val="14"/>
                <w:szCs w:val="14"/>
              </w:rPr>
              <w:t>66</w:t>
            </w:r>
          </w:p>
        </w:tc>
        <w:tc>
          <w:tcPr>
            <w:tcW w:w="566" w:type="dxa"/>
            <w:tcBorders>
              <w:lef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w:t>
            </w:r>
          </w:p>
        </w:tc>
      </w:tr>
      <w:tr w:rsidR="00565FD5" w:rsidRPr="00C77C02" w:rsidTr="00AB62A3">
        <w:trPr>
          <w:trHeight w:hRule="exact" w:val="198"/>
        </w:trPr>
        <w:tc>
          <w:tcPr>
            <w:tcW w:w="1966" w:type="dxa"/>
            <w:tcBorders>
              <w:right w:val="nil"/>
            </w:tcBorders>
            <w:noWrap/>
            <w:tcMar>
              <w:top w:w="13" w:type="dxa"/>
              <w:left w:w="13" w:type="dxa"/>
              <w:bottom w:w="0" w:type="dxa"/>
              <w:right w:w="13" w:type="dxa"/>
            </w:tcMar>
            <w:vAlign w:val="bottom"/>
          </w:tcPr>
          <w:p w:rsidR="00565FD5" w:rsidRPr="00C77C02" w:rsidRDefault="00565FD5" w:rsidP="00AB62A3">
            <w:pPr>
              <w:rPr>
                <w:rFonts w:cs="Tahoma"/>
                <w:sz w:val="14"/>
                <w:szCs w:val="14"/>
              </w:rPr>
            </w:pPr>
            <w:r w:rsidRPr="00C77C02">
              <w:rPr>
                <w:rFonts w:cs="Tahoma"/>
                <w:sz w:val="14"/>
                <w:szCs w:val="14"/>
              </w:rPr>
              <w:t xml:space="preserve">  Hayat Dışı</w:t>
            </w:r>
          </w:p>
        </w:tc>
        <w:tc>
          <w:tcPr>
            <w:tcW w:w="634"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14,3</w:t>
            </w:r>
          </w:p>
        </w:tc>
        <w:tc>
          <w:tcPr>
            <w:tcW w:w="627" w:type="dxa"/>
            <w:tcBorders>
              <w:left w:val="nil"/>
              <w:right w:val="nil"/>
            </w:tcBorders>
            <w:noWrap/>
            <w:tcMar>
              <w:top w:w="13" w:type="dxa"/>
              <w:left w:w="13" w:type="dxa"/>
              <w:bottom w:w="0" w:type="dxa"/>
              <w:right w:w="13" w:type="dxa"/>
            </w:tcMar>
            <w:vAlign w:val="center"/>
          </w:tcPr>
          <w:p w:rsidR="00565FD5" w:rsidRPr="00C77C02" w:rsidRDefault="00565FD5" w:rsidP="00AB62A3">
            <w:pPr>
              <w:jc w:val="right"/>
              <w:rPr>
                <w:rFonts w:cs="Tahoma"/>
                <w:sz w:val="14"/>
                <w:szCs w:val="14"/>
              </w:rPr>
            </w:pPr>
            <w:r w:rsidRPr="00C77C02">
              <w:rPr>
                <w:rFonts w:cs="Tahoma"/>
                <w:sz w:val="14"/>
                <w:szCs w:val="14"/>
              </w:rPr>
              <w:t>16,3</w:t>
            </w:r>
          </w:p>
        </w:tc>
        <w:tc>
          <w:tcPr>
            <w:tcW w:w="752" w:type="dxa"/>
            <w:tcBorders>
              <w:left w:val="nil"/>
              <w:right w:val="nil"/>
            </w:tcBorders>
            <w:vAlign w:val="bottom"/>
          </w:tcPr>
          <w:p w:rsidR="00565FD5" w:rsidRPr="003F4EDC" w:rsidRDefault="00565FD5" w:rsidP="00AB62A3">
            <w:pPr>
              <w:jc w:val="right"/>
              <w:rPr>
                <w:rFonts w:cs="Tahoma"/>
                <w:bCs/>
                <w:sz w:val="14"/>
                <w:szCs w:val="14"/>
              </w:rPr>
            </w:pPr>
            <w:r w:rsidRPr="003F4EDC">
              <w:rPr>
                <w:rFonts w:cs="Tahoma"/>
                <w:bCs/>
                <w:sz w:val="14"/>
                <w:szCs w:val="14"/>
              </w:rPr>
              <w:t>17,6</w:t>
            </w:r>
          </w:p>
        </w:tc>
        <w:tc>
          <w:tcPr>
            <w:tcW w:w="568"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9,3</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8,5</w:t>
            </w:r>
          </w:p>
        </w:tc>
        <w:tc>
          <w:tcPr>
            <w:tcW w:w="708" w:type="dxa"/>
            <w:tcBorders>
              <w:left w:val="nil"/>
              <w:right w:val="nil"/>
            </w:tcBorders>
            <w:vAlign w:val="bottom"/>
          </w:tcPr>
          <w:p w:rsidR="00565FD5" w:rsidRPr="003F4EDC" w:rsidRDefault="00565FD5" w:rsidP="00AB62A3">
            <w:pPr>
              <w:jc w:val="right"/>
              <w:rPr>
                <w:rFonts w:cs="Tahoma"/>
                <w:bCs/>
                <w:sz w:val="14"/>
                <w:szCs w:val="14"/>
              </w:rPr>
            </w:pPr>
            <w:r w:rsidRPr="003F4EDC">
              <w:rPr>
                <w:rFonts w:cs="Tahoma"/>
                <w:bCs/>
                <w:sz w:val="14"/>
                <w:szCs w:val="14"/>
              </w:rPr>
              <w:t>9,7</w:t>
            </w:r>
          </w:p>
        </w:tc>
        <w:tc>
          <w:tcPr>
            <w:tcW w:w="853"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1,3</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1,2</w:t>
            </w:r>
          </w:p>
        </w:tc>
        <w:tc>
          <w:tcPr>
            <w:tcW w:w="851"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1,3</w:t>
            </w:r>
          </w:p>
        </w:tc>
        <w:tc>
          <w:tcPr>
            <w:tcW w:w="708"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1,3</w:t>
            </w:r>
          </w:p>
        </w:tc>
        <w:tc>
          <w:tcPr>
            <w:tcW w:w="567"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38</w:t>
            </w:r>
          </w:p>
        </w:tc>
        <w:tc>
          <w:tcPr>
            <w:tcW w:w="567" w:type="dxa"/>
            <w:tcBorders>
              <w:left w:val="nil"/>
              <w:right w:val="nil"/>
            </w:tcBorders>
            <w:noWrap/>
            <w:tcMar>
              <w:top w:w="13" w:type="dxa"/>
              <w:left w:w="13" w:type="dxa"/>
              <w:bottom w:w="0" w:type="dxa"/>
              <w:right w:w="85" w:type="dxa"/>
            </w:tcMar>
            <w:vAlign w:val="center"/>
          </w:tcPr>
          <w:p w:rsidR="00565FD5" w:rsidRPr="00C77C02" w:rsidRDefault="00565FD5" w:rsidP="00AB62A3">
            <w:pPr>
              <w:jc w:val="right"/>
              <w:rPr>
                <w:rFonts w:cs="Tahoma"/>
                <w:sz w:val="14"/>
                <w:szCs w:val="14"/>
              </w:rPr>
            </w:pPr>
            <w:r w:rsidRPr="00C77C02">
              <w:rPr>
                <w:rFonts w:cs="Tahoma"/>
                <w:sz w:val="14"/>
                <w:szCs w:val="14"/>
              </w:rPr>
              <w:t>39</w:t>
            </w:r>
          </w:p>
        </w:tc>
        <w:tc>
          <w:tcPr>
            <w:tcW w:w="566" w:type="dxa"/>
            <w:tcBorders>
              <w:lef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w:t>
            </w:r>
          </w:p>
        </w:tc>
      </w:tr>
      <w:tr w:rsidR="00565FD5" w:rsidRPr="00C77C02" w:rsidTr="00AB62A3">
        <w:trPr>
          <w:trHeight w:hRule="exact" w:val="198"/>
        </w:trPr>
        <w:tc>
          <w:tcPr>
            <w:tcW w:w="1966" w:type="dxa"/>
            <w:tcBorders>
              <w:right w:val="nil"/>
            </w:tcBorders>
            <w:noWrap/>
            <w:tcMar>
              <w:top w:w="13" w:type="dxa"/>
              <w:left w:w="13" w:type="dxa"/>
              <w:bottom w:w="0" w:type="dxa"/>
              <w:right w:w="13" w:type="dxa"/>
            </w:tcMar>
            <w:vAlign w:val="bottom"/>
          </w:tcPr>
          <w:p w:rsidR="00565FD5" w:rsidRPr="00C77C02" w:rsidRDefault="00565FD5" w:rsidP="00AB62A3">
            <w:pPr>
              <w:rPr>
                <w:rFonts w:cs="Tahoma"/>
                <w:sz w:val="14"/>
                <w:szCs w:val="14"/>
              </w:rPr>
            </w:pPr>
            <w:r w:rsidRPr="00C77C02">
              <w:rPr>
                <w:rFonts w:cs="Tahoma"/>
                <w:sz w:val="14"/>
                <w:szCs w:val="14"/>
              </w:rPr>
              <w:t xml:space="preserve">  Hayat-Bireysel Emeklilik </w:t>
            </w:r>
          </w:p>
        </w:tc>
        <w:tc>
          <w:tcPr>
            <w:tcW w:w="634"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20,8</w:t>
            </w:r>
          </w:p>
        </w:tc>
        <w:tc>
          <w:tcPr>
            <w:tcW w:w="627" w:type="dxa"/>
            <w:tcBorders>
              <w:left w:val="nil"/>
              <w:right w:val="nil"/>
            </w:tcBorders>
            <w:noWrap/>
            <w:tcMar>
              <w:top w:w="13" w:type="dxa"/>
              <w:left w:w="13" w:type="dxa"/>
              <w:bottom w:w="0" w:type="dxa"/>
              <w:right w:w="13" w:type="dxa"/>
            </w:tcMar>
            <w:vAlign w:val="center"/>
          </w:tcPr>
          <w:p w:rsidR="00565FD5" w:rsidRPr="00C77C02" w:rsidRDefault="00565FD5" w:rsidP="00AB62A3">
            <w:pPr>
              <w:jc w:val="right"/>
              <w:rPr>
                <w:rFonts w:cs="Tahoma"/>
                <w:sz w:val="14"/>
                <w:szCs w:val="14"/>
              </w:rPr>
            </w:pPr>
            <w:r w:rsidRPr="00C77C02">
              <w:rPr>
                <w:rFonts w:cs="Tahoma"/>
                <w:sz w:val="14"/>
                <w:szCs w:val="14"/>
              </w:rPr>
              <w:t>24,6</w:t>
            </w:r>
          </w:p>
        </w:tc>
        <w:tc>
          <w:tcPr>
            <w:tcW w:w="752" w:type="dxa"/>
            <w:tcBorders>
              <w:left w:val="nil"/>
              <w:right w:val="nil"/>
            </w:tcBorders>
            <w:vAlign w:val="bottom"/>
          </w:tcPr>
          <w:p w:rsidR="00565FD5" w:rsidRPr="003F4EDC" w:rsidRDefault="00565FD5" w:rsidP="00AB62A3">
            <w:pPr>
              <w:jc w:val="right"/>
              <w:rPr>
                <w:rFonts w:cs="Tahoma"/>
                <w:bCs/>
                <w:sz w:val="14"/>
                <w:szCs w:val="14"/>
              </w:rPr>
            </w:pPr>
            <w:r w:rsidRPr="003F4EDC">
              <w:rPr>
                <w:rFonts w:cs="Tahoma"/>
                <w:bCs/>
                <w:sz w:val="14"/>
                <w:szCs w:val="14"/>
              </w:rPr>
              <w:t>28,0</w:t>
            </w:r>
          </w:p>
        </w:tc>
        <w:tc>
          <w:tcPr>
            <w:tcW w:w="568"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13,5</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12,9</w:t>
            </w:r>
          </w:p>
        </w:tc>
        <w:tc>
          <w:tcPr>
            <w:tcW w:w="708" w:type="dxa"/>
            <w:tcBorders>
              <w:left w:val="nil"/>
              <w:right w:val="nil"/>
            </w:tcBorders>
            <w:vAlign w:val="bottom"/>
          </w:tcPr>
          <w:p w:rsidR="00565FD5" w:rsidRPr="003F4EDC" w:rsidRDefault="00565FD5" w:rsidP="00AB62A3">
            <w:pPr>
              <w:jc w:val="right"/>
              <w:rPr>
                <w:rFonts w:cs="Tahoma"/>
                <w:bCs/>
                <w:sz w:val="14"/>
                <w:szCs w:val="14"/>
              </w:rPr>
            </w:pPr>
            <w:r w:rsidRPr="003F4EDC">
              <w:rPr>
                <w:rFonts w:cs="Tahoma"/>
                <w:bCs/>
                <w:sz w:val="14"/>
                <w:szCs w:val="14"/>
              </w:rPr>
              <w:t>15,4</w:t>
            </w:r>
          </w:p>
        </w:tc>
        <w:tc>
          <w:tcPr>
            <w:tcW w:w="853"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1,8</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1,8</w:t>
            </w:r>
          </w:p>
        </w:tc>
        <w:tc>
          <w:tcPr>
            <w:tcW w:w="851"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1,9</w:t>
            </w:r>
          </w:p>
        </w:tc>
        <w:tc>
          <w:tcPr>
            <w:tcW w:w="708"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1,9</w:t>
            </w:r>
          </w:p>
        </w:tc>
        <w:tc>
          <w:tcPr>
            <w:tcW w:w="567"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24</w:t>
            </w:r>
          </w:p>
        </w:tc>
        <w:tc>
          <w:tcPr>
            <w:tcW w:w="567" w:type="dxa"/>
            <w:tcBorders>
              <w:left w:val="nil"/>
              <w:right w:val="nil"/>
            </w:tcBorders>
            <w:noWrap/>
            <w:tcMar>
              <w:top w:w="13" w:type="dxa"/>
              <w:left w:w="13" w:type="dxa"/>
              <w:bottom w:w="0" w:type="dxa"/>
              <w:right w:w="85" w:type="dxa"/>
            </w:tcMar>
            <w:vAlign w:val="center"/>
          </w:tcPr>
          <w:p w:rsidR="00565FD5" w:rsidRPr="00C77C02" w:rsidRDefault="00565FD5" w:rsidP="00AB62A3">
            <w:pPr>
              <w:jc w:val="right"/>
              <w:rPr>
                <w:rFonts w:cs="Tahoma"/>
                <w:sz w:val="14"/>
                <w:szCs w:val="14"/>
              </w:rPr>
            </w:pPr>
            <w:r w:rsidRPr="00C77C02">
              <w:rPr>
                <w:rFonts w:cs="Tahoma"/>
                <w:sz w:val="14"/>
                <w:szCs w:val="14"/>
              </w:rPr>
              <w:t>25</w:t>
            </w:r>
          </w:p>
        </w:tc>
        <w:tc>
          <w:tcPr>
            <w:tcW w:w="566" w:type="dxa"/>
            <w:tcBorders>
              <w:lef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w:t>
            </w:r>
          </w:p>
        </w:tc>
      </w:tr>
      <w:tr w:rsidR="00565FD5" w:rsidRPr="00C77C02" w:rsidTr="00AB62A3">
        <w:trPr>
          <w:trHeight w:hRule="exact" w:val="198"/>
        </w:trPr>
        <w:tc>
          <w:tcPr>
            <w:tcW w:w="1966" w:type="dxa"/>
            <w:tcBorders>
              <w:right w:val="nil"/>
            </w:tcBorders>
            <w:noWrap/>
            <w:tcMar>
              <w:top w:w="13" w:type="dxa"/>
              <w:left w:w="13" w:type="dxa"/>
              <w:bottom w:w="0" w:type="dxa"/>
              <w:right w:w="13" w:type="dxa"/>
            </w:tcMar>
            <w:vAlign w:val="bottom"/>
          </w:tcPr>
          <w:p w:rsidR="00565FD5" w:rsidRPr="00C77C02" w:rsidRDefault="00565FD5" w:rsidP="00AB62A3">
            <w:pPr>
              <w:rPr>
                <w:rFonts w:cs="Tahoma"/>
                <w:sz w:val="14"/>
                <w:szCs w:val="14"/>
              </w:rPr>
            </w:pPr>
            <w:r w:rsidRPr="00C77C02">
              <w:rPr>
                <w:rFonts w:cs="Tahoma"/>
                <w:sz w:val="14"/>
                <w:szCs w:val="14"/>
              </w:rPr>
              <w:t xml:space="preserve">  Reasürans </w:t>
            </w:r>
          </w:p>
        </w:tc>
        <w:tc>
          <w:tcPr>
            <w:tcW w:w="634"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1,6</w:t>
            </w:r>
          </w:p>
        </w:tc>
        <w:tc>
          <w:tcPr>
            <w:tcW w:w="627" w:type="dxa"/>
            <w:tcBorders>
              <w:left w:val="nil"/>
              <w:right w:val="nil"/>
            </w:tcBorders>
            <w:noWrap/>
            <w:tcMar>
              <w:top w:w="13" w:type="dxa"/>
              <w:left w:w="13" w:type="dxa"/>
              <w:bottom w:w="0" w:type="dxa"/>
              <w:right w:w="13" w:type="dxa"/>
            </w:tcMar>
            <w:vAlign w:val="center"/>
          </w:tcPr>
          <w:p w:rsidR="00565FD5" w:rsidRPr="00C77C02" w:rsidRDefault="00565FD5" w:rsidP="00AB62A3">
            <w:pPr>
              <w:jc w:val="right"/>
              <w:rPr>
                <w:rFonts w:cs="Tahoma"/>
                <w:sz w:val="14"/>
                <w:szCs w:val="14"/>
              </w:rPr>
            </w:pPr>
            <w:r w:rsidRPr="00C77C02">
              <w:rPr>
                <w:rFonts w:cs="Tahoma"/>
                <w:sz w:val="14"/>
                <w:szCs w:val="14"/>
              </w:rPr>
              <w:t>1,6</w:t>
            </w:r>
          </w:p>
        </w:tc>
        <w:tc>
          <w:tcPr>
            <w:tcW w:w="752" w:type="dxa"/>
            <w:tcBorders>
              <w:left w:val="nil"/>
              <w:right w:val="nil"/>
            </w:tcBorders>
            <w:vAlign w:val="bottom"/>
          </w:tcPr>
          <w:p w:rsidR="00565FD5" w:rsidRPr="003F4EDC" w:rsidRDefault="00565FD5" w:rsidP="00AB62A3">
            <w:pPr>
              <w:jc w:val="right"/>
              <w:rPr>
                <w:rFonts w:cs="Tahoma"/>
                <w:bCs/>
                <w:sz w:val="14"/>
                <w:szCs w:val="14"/>
              </w:rPr>
            </w:pPr>
            <w:r w:rsidRPr="003F4EDC">
              <w:rPr>
                <w:rFonts w:cs="Tahoma"/>
                <w:bCs/>
                <w:sz w:val="14"/>
                <w:szCs w:val="14"/>
              </w:rPr>
              <w:t>1,7</w:t>
            </w:r>
          </w:p>
        </w:tc>
        <w:tc>
          <w:tcPr>
            <w:tcW w:w="568"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1,0</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0,8</w:t>
            </w:r>
          </w:p>
        </w:tc>
        <w:tc>
          <w:tcPr>
            <w:tcW w:w="708" w:type="dxa"/>
            <w:tcBorders>
              <w:left w:val="nil"/>
              <w:right w:val="nil"/>
            </w:tcBorders>
            <w:vAlign w:val="bottom"/>
          </w:tcPr>
          <w:p w:rsidR="00565FD5" w:rsidRPr="003F4EDC" w:rsidRDefault="00565FD5" w:rsidP="00AB62A3">
            <w:pPr>
              <w:jc w:val="right"/>
              <w:rPr>
                <w:rFonts w:cs="Tahoma"/>
                <w:bCs/>
                <w:sz w:val="14"/>
                <w:szCs w:val="14"/>
              </w:rPr>
            </w:pPr>
            <w:r w:rsidRPr="003F4EDC">
              <w:rPr>
                <w:rFonts w:cs="Tahoma"/>
                <w:bCs/>
                <w:sz w:val="14"/>
                <w:szCs w:val="14"/>
              </w:rPr>
              <w:t>0,9</w:t>
            </w:r>
          </w:p>
        </w:tc>
        <w:tc>
          <w:tcPr>
            <w:tcW w:w="853"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0,1</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0,1</w:t>
            </w:r>
          </w:p>
        </w:tc>
        <w:tc>
          <w:tcPr>
            <w:tcW w:w="851"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0,1</w:t>
            </w:r>
          </w:p>
        </w:tc>
        <w:tc>
          <w:tcPr>
            <w:tcW w:w="708"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0,1</w:t>
            </w:r>
          </w:p>
        </w:tc>
        <w:tc>
          <w:tcPr>
            <w:tcW w:w="567"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1</w:t>
            </w:r>
          </w:p>
        </w:tc>
        <w:tc>
          <w:tcPr>
            <w:tcW w:w="567" w:type="dxa"/>
            <w:tcBorders>
              <w:left w:val="nil"/>
              <w:right w:val="nil"/>
            </w:tcBorders>
            <w:noWrap/>
            <w:tcMar>
              <w:top w:w="13" w:type="dxa"/>
              <w:left w:w="13" w:type="dxa"/>
              <w:bottom w:w="0" w:type="dxa"/>
              <w:right w:w="85" w:type="dxa"/>
            </w:tcMar>
            <w:vAlign w:val="center"/>
          </w:tcPr>
          <w:p w:rsidR="00565FD5" w:rsidRPr="00C77C02" w:rsidRDefault="00565FD5" w:rsidP="00AB62A3">
            <w:pPr>
              <w:jc w:val="right"/>
              <w:rPr>
                <w:rFonts w:cs="Tahoma"/>
                <w:sz w:val="14"/>
                <w:szCs w:val="14"/>
              </w:rPr>
            </w:pPr>
            <w:r w:rsidRPr="00C77C02">
              <w:rPr>
                <w:rFonts w:cs="Tahoma"/>
                <w:sz w:val="14"/>
                <w:szCs w:val="14"/>
              </w:rPr>
              <w:t>2</w:t>
            </w:r>
          </w:p>
        </w:tc>
        <w:tc>
          <w:tcPr>
            <w:tcW w:w="566" w:type="dxa"/>
            <w:tcBorders>
              <w:lef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w:t>
            </w:r>
          </w:p>
        </w:tc>
      </w:tr>
      <w:tr w:rsidR="00565FD5" w:rsidRPr="00C77C02" w:rsidTr="00AB62A3">
        <w:trPr>
          <w:trHeight w:hRule="exact" w:val="340"/>
        </w:trPr>
        <w:tc>
          <w:tcPr>
            <w:tcW w:w="1966" w:type="dxa"/>
            <w:tcBorders>
              <w:right w:val="nil"/>
            </w:tcBorders>
            <w:noWrap/>
            <w:tcMar>
              <w:top w:w="13" w:type="dxa"/>
              <w:left w:w="13" w:type="dxa"/>
              <w:bottom w:w="0" w:type="dxa"/>
              <w:right w:w="13" w:type="dxa"/>
            </w:tcMar>
            <w:vAlign w:val="bottom"/>
          </w:tcPr>
          <w:p w:rsidR="00565FD5" w:rsidRPr="00C77C02" w:rsidRDefault="00565FD5" w:rsidP="00AB62A3">
            <w:pPr>
              <w:rPr>
                <w:rFonts w:cs="Tahoma"/>
                <w:b/>
                <w:bCs/>
                <w:sz w:val="14"/>
                <w:szCs w:val="14"/>
              </w:rPr>
            </w:pPr>
            <w:r w:rsidRPr="00C77C02">
              <w:rPr>
                <w:rFonts w:cs="Tahoma"/>
                <w:b/>
                <w:bCs/>
                <w:sz w:val="14"/>
                <w:szCs w:val="14"/>
              </w:rPr>
              <w:t>Finansal Kiralama Şirketleri</w:t>
            </w:r>
          </w:p>
        </w:tc>
        <w:tc>
          <w:tcPr>
            <w:tcW w:w="634"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15,8</w:t>
            </w:r>
          </w:p>
        </w:tc>
        <w:tc>
          <w:tcPr>
            <w:tcW w:w="627"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18,6</w:t>
            </w:r>
          </w:p>
        </w:tc>
        <w:tc>
          <w:tcPr>
            <w:tcW w:w="752"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19,3</w:t>
            </w:r>
          </w:p>
        </w:tc>
        <w:tc>
          <w:tcPr>
            <w:tcW w:w="568"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10,2</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9,8</w:t>
            </w:r>
          </w:p>
        </w:tc>
        <w:tc>
          <w:tcPr>
            <w:tcW w:w="708"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10,6</w:t>
            </w:r>
          </w:p>
        </w:tc>
        <w:tc>
          <w:tcPr>
            <w:tcW w:w="853"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1,4</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1,4</w:t>
            </w:r>
          </w:p>
        </w:tc>
        <w:tc>
          <w:tcPr>
            <w:tcW w:w="851"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1,4</w:t>
            </w:r>
          </w:p>
        </w:tc>
        <w:tc>
          <w:tcPr>
            <w:tcW w:w="708"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1,4</w:t>
            </w:r>
          </w:p>
        </w:tc>
        <w:tc>
          <w:tcPr>
            <w:tcW w:w="567"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35</w:t>
            </w:r>
          </w:p>
        </w:tc>
        <w:tc>
          <w:tcPr>
            <w:tcW w:w="567" w:type="dxa"/>
            <w:tcBorders>
              <w:left w:val="nil"/>
              <w:right w:val="nil"/>
            </w:tcBorders>
            <w:noWrap/>
            <w:tcMar>
              <w:top w:w="13" w:type="dxa"/>
              <w:left w:w="13" w:type="dxa"/>
              <w:bottom w:w="0" w:type="dxa"/>
              <w:right w:w="85" w:type="dxa"/>
            </w:tcMar>
            <w:vAlign w:val="bottom"/>
          </w:tcPr>
          <w:p w:rsidR="00565FD5" w:rsidRPr="00C77C02" w:rsidRDefault="00565FD5" w:rsidP="00AB62A3">
            <w:pPr>
              <w:jc w:val="right"/>
              <w:rPr>
                <w:rFonts w:cs="Tahoma"/>
                <w:b/>
                <w:bCs/>
                <w:color w:val="000000"/>
                <w:sz w:val="14"/>
                <w:szCs w:val="14"/>
              </w:rPr>
            </w:pPr>
            <w:r w:rsidRPr="00C77C02">
              <w:rPr>
                <w:rFonts w:cs="Tahoma"/>
                <w:b/>
                <w:bCs/>
                <w:color w:val="000000"/>
                <w:sz w:val="14"/>
                <w:szCs w:val="14"/>
              </w:rPr>
              <w:t>33</w:t>
            </w:r>
          </w:p>
        </w:tc>
        <w:tc>
          <w:tcPr>
            <w:tcW w:w="566" w:type="dxa"/>
            <w:tcBorders>
              <w:left w:val="nil"/>
            </w:tcBorders>
            <w:vAlign w:val="bottom"/>
          </w:tcPr>
          <w:p w:rsidR="00565FD5" w:rsidRPr="00C77C02" w:rsidRDefault="00565FD5" w:rsidP="00AB62A3">
            <w:pPr>
              <w:jc w:val="right"/>
              <w:rPr>
                <w:rFonts w:cs="Tahoma"/>
                <w:b/>
                <w:bCs/>
                <w:color w:val="000000"/>
                <w:sz w:val="14"/>
                <w:szCs w:val="14"/>
              </w:rPr>
            </w:pPr>
            <w:r w:rsidRPr="00C77C02">
              <w:rPr>
                <w:rFonts w:cs="Tahoma"/>
                <w:b/>
                <w:bCs/>
                <w:color w:val="000000"/>
                <w:sz w:val="14"/>
                <w:szCs w:val="14"/>
              </w:rPr>
              <w:t>31</w:t>
            </w:r>
          </w:p>
        </w:tc>
      </w:tr>
      <w:tr w:rsidR="00565FD5" w:rsidRPr="00C77C02" w:rsidTr="00AB62A3">
        <w:trPr>
          <w:trHeight w:hRule="exact" w:val="198"/>
        </w:trPr>
        <w:tc>
          <w:tcPr>
            <w:tcW w:w="1966" w:type="dxa"/>
            <w:tcBorders>
              <w:right w:val="nil"/>
            </w:tcBorders>
            <w:noWrap/>
            <w:tcMar>
              <w:top w:w="13" w:type="dxa"/>
              <w:left w:w="13" w:type="dxa"/>
              <w:bottom w:w="0" w:type="dxa"/>
              <w:right w:w="13" w:type="dxa"/>
            </w:tcMar>
            <w:vAlign w:val="bottom"/>
          </w:tcPr>
          <w:p w:rsidR="00565FD5" w:rsidRPr="00C77C02" w:rsidRDefault="00565FD5" w:rsidP="00AB62A3">
            <w:pPr>
              <w:rPr>
                <w:rFonts w:cs="Tahoma"/>
                <w:b/>
                <w:bCs/>
                <w:sz w:val="14"/>
                <w:szCs w:val="14"/>
              </w:rPr>
            </w:pPr>
            <w:r w:rsidRPr="00C77C02">
              <w:rPr>
                <w:rFonts w:cs="Tahoma"/>
                <w:b/>
                <w:bCs/>
                <w:sz w:val="14"/>
                <w:szCs w:val="14"/>
              </w:rPr>
              <w:t>Faktoring Şirketleri</w:t>
            </w:r>
          </w:p>
        </w:tc>
        <w:tc>
          <w:tcPr>
            <w:tcW w:w="634"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14,5</w:t>
            </w:r>
          </w:p>
        </w:tc>
        <w:tc>
          <w:tcPr>
            <w:tcW w:w="627"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15,6</w:t>
            </w:r>
          </w:p>
        </w:tc>
        <w:tc>
          <w:tcPr>
            <w:tcW w:w="752"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16,8</w:t>
            </w:r>
          </w:p>
        </w:tc>
        <w:tc>
          <w:tcPr>
            <w:tcW w:w="568"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9,4</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8,2</w:t>
            </w:r>
          </w:p>
        </w:tc>
        <w:tc>
          <w:tcPr>
            <w:tcW w:w="708"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9,3</w:t>
            </w:r>
          </w:p>
        </w:tc>
        <w:tc>
          <w:tcPr>
            <w:tcW w:w="853"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1,3</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1,2</w:t>
            </w:r>
          </w:p>
        </w:tc>
        <w:tc>
          <w:tcPr>
            <w:tcW w:w="851"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1,3</w:t>
            </w:r>
          </w:p>
        </w:tc>
        <w:tc>
          <w:tcPr>
            <w:tcW w:w="708"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1,2</w:t>
            </w:r>
          </w:p>
        </w:tc>
        <w:tc>
          <w:tcPr>
            <w:tcW w:w="567"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76</w:t>
            </w:r>
          </w:p>
        </w:tc>
        <w:tc>
          <w:tcPr>
            <w:tcW w:w="567" w:type="dxa"/>
            <w:tcBorders>
              <w:left w:val="nil"/>
              <w:right w:val="nil"/>
            </w:tcBorders>
            <w:noWrap/>
            <w:tcMar>
              <w:top w:w="13" w:type="dxa"/>
              <w:left w:w="13" w:type="dxa"/>
              <w:bottom w:w="0" w:type="dxa"/>
              <w:right w:w="85" w:type="dxa"/>
            </w:tcMar>
            <w:vAlign w:val="bottom"/>
          </w:tcPr>
          <w:p w:rsidR="00565FD5" w:rsidRPr="00C77C02" w:rsidRDefault="00565FD5" w:rsidP="00AB62A3">
            <w:pPr>
              <w:jc w:val="right"/>
              <w:rPr>
                <w:rFonts w:cs="Tahoma"/>
                <w:b/>
                <w:bCs/>
                <w:color w:val="000000"/>
                <w:sz w:val="14"/>
                <w:szCs w:val="14"/>
              </w:rPr>
            </w:pPr>
            <w:r w:rsidRPr="00C77C02">
              <w:rPr>
                <w:rFonts w:cs="Tahoma"/>
                <w:b/>
                <w:bCs/>
                <w:color w:val="000000"/>
                <w:sz w:val="14"/>
                <w:szCs w:val="14"/>
              </w:rPr>
              <w:t>74</w:t>
            </w:r>
          </w:p>
        </w:tc>
        <w:tc>
          <w:tcPr>
            <w:tcW w:w="566" w:type="dxa"/>
            <w:tcBorders>
              <w:left w:val="nil"/>
            </w:tcBorders>
            <w:vAlign w:val="bottom"/>
          </w:tcPr>
          <w:p w:rsidR="00565FD5" w:rsidRPr="00C77C02" w:rsidRDefault="00565FD5" w:rsidP="00AB62A3">
            <w:pPr>
              <w:jc w:val="right"/>
              <w:rPr>
                <w:rFonts w:cs="Tahoma"/>
                <w:b/>
                <w:bCs/>
                <w:color w:val="000000"/>
                <w:sz w:val="14"/>
                <w:szCs w:val="14"/>
              </w:rPr>
            </w:pPr>
            <w:r w:rsidRPr="00C77C02">
              <w:rPr>
                <w:rFonts w:cs="Tahoma"/>
                <w:b/>
                <w:bCs/>
                <w:color w:val="000000"/>
                <w:sz w:val="14"/>
                <w:szCs w:val="14"/>
              </w:rPr>
              <w:t>75</w:t>
            </w:r>
          </w:p>
        </w:tc>
      </w:tr>
      <w:tr w:rsidR="00565FD5" w:rsidRPr="00C77C02" w:rsidTr="00AB62A3">
        <w:trPr>
          <w:trHeight w:hRule="exact" w:val="340"/>
        </w:trPr>
        <w:tc>
          <w:tcPr>
            <w:tcW w:w="1966" w:type="dxa"/>
            <w:tcBorders>
              <w:right w:val="nil"/>
            </w:tcBorders>
            <w:noWrap/>
            <w:tcMar>
              <w:top w:w="13" w:type="dxa"/>
              <w:left w:w="13" w:type="dxa"/>
              <w:bottom w:w="0" w:type="dxa"/>
              <w:right w:w="13" w:type="dxa"/>
            </w:tcMar>
            <w:vAlign w:val="bottom"/>
          </w:tcPr>
          <w:p w:rsidR="00565FD5" w:rsidRPr="00C77C02" w:rsidRDefault="00565FD5" w:rsidP="00AB62A3">
            <w:pPr>
              <w:rPr>
                <w:rFonts w:cs="Tahoma"/>
                <w:b/>
                <w:bCs/>
                <w:sz w:val="14"/>
                <w:szCs w:val="14"/>
              </w:rPr>
            </w:pPr>
            <w:r w:rsidRPr="00C77C02">
              <w:rPr>
                <w:rFonts w:cs="Tahoma"/>
                <w:b/>
                <w:bCs/>
                <w:sz w:val="14"/>
                <w:szCs w:val="14"/>
              </w:rPr>
              <w:t>Tüketici Finansman Şirketleri</w:t>
            </w:r>
          </w:p>
        </w:tc>
        <w:tc>
          <w:tcPr>
            <w:tcW w:w="634"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6,0</w:t>
            </w:r>
          </w:p>
        </w:tc>
        <w:tc>
          <w:tcPr>
            <w:tcW w:w="627"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8,9</w:t>
            </w:r>
          </w:p>
        </w:tc>
        <w:tc>
          <w:tcPr>
            <w:tcW w:w="752"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10,0</w:t>
            </w:r>
          </w:p>
        </w:tc>
        <w:tc>
          <w:tcPr>
            <w:tcW w:w="568"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3,9</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4,7</w:t>
            </w:r>
          </w:p>
        </w:tc>
        <w:tc>
          <w:tcPr>
            <w:tcW w:w="708"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5,5</w:t>
            </w:r>
          </w:p>
        </w:tc>
        <w:tc>
          <w:tcPr>
            <w:tcW w:w="853"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0,5</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0,7</w:t>
            </w:r>
          </w:p>
        </w:tc>
        <w:tc>
          <w:tcPr>
            <w:tcW w:w="851"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0,6</w:t>
            </w:r>
          </w:p>
        </w:tc>
        <w:tc>
          <w:tcPr>
            <w:tcW w:w="708"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0,7</w:t>
            </w:r>
          </w:p>
        </w:tc>
        <w:tc>
          <w:tcPr>
            <w:tcW w:w="567"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11</w:t>
            </w:r>
          </w:p>
        </w:tc>
        <w:tc>
          <w:tcPr>
            <w:tcW w:w="567" w:type="dxa"/>
            <w:tcBorders>
              <w:left w:val="nil"/>
              <w:right w:val="nil"/>
            </w:tcBorders>
            <w:noWrap/>
            <w:tcMar>
              <w:top w:w="13" w:type="dxa"/>
              <w:left w:w="13" w:type="dxa"/>
              <w:bottom w:w="0" w:type="dxa"/>
              <w:right w:w="85" w:type="dxa"/>
            </w:tcMar>
            <w:vAlign w:val="bottom"/>
          </w:tcPr>
          <w:p w:rsidR="00565FD5" w:rsidRPr="00C77C02" w:rsidRDefault="00565FD5" w:rsidP="00AB62A3">
            <w:pPr>
              <w:jc w:val="right"/>
              <w:rPr>
                <w:rFonts w:cs="Tahoma"/>
                <w:b/>
                <w:bCs/>
                <w:color w:val="000000"/>
                <w:sz w:val="14"/>
                <w:szCs w:val="14"/>
              </w:rPr>
            </w:pPr>
            <w:r w:rsidRPr="00C77C02">
              <w:rPr>
                <w:rFonts w:cs="Tahoma"/>
                <w:b/>
                <w:bCs/>
                <w:color w:val="000000"/>
                <w:sz w:val="14"/>
                <w:szCs w:val="14"/>
              </w:rPr>
              <w:t>11</w:t>
            </w:r>
          </w:p>
        </w:tc>
        <w:tc>
          <w:tcPr>
            <w:tcW w:w="566" w:type="dxa"/>
            <w:tcBorders>
              <w:left w:val="nil"/>
            </w:tcBorders>
            <w:vAlign w:val="bottom"/>
          </w:tcPr>
          <w:p w:rsidR="00565FD5" w:rsidRPr="00C77C02" w:rsidRDefault="00565FD5" w:rsidP="00AB62A3">
            <w:pPr>
              <w:jc w:val="right"/>
              <w:rPr>
                <w:rFonts w:cs="Tahoma"/>
                <w:b/>
                <w:bCs/>
                <w:color w:val="000000"/>
                <w:sz w:val="14"/>
                <w:szCs w:val="14"/>
              </w:rPr>
            </w:pPr>
            <w:r w:rsidRPr="00C77C02">
              <w:rPr>
                <w:rFonts w:cs="Tahoma"/>
                <w:b/>
                <w:bCs/>
                <w:color w:val="000000"/>
                <w:sz w:val="14"/>
                <w:szCs w:val="14"/>
              </w:rPr>
              <w:t>13</w:t>
            </w:r>
          </w:p>
        </w:tc>
      </w:tr>
      <w:tr w:rsidR="00565FD5" w:rsidRPr="00C77C02" w:rsidTr="00AB62A3">
        <w:trPr>
          <w:trHeight w:hRule="exact" w:val="198"/>
        </w:trPr>
        <w:tc>
          <w:tcPr>
            <w:tcW w:w="1966" w:type="dxa"/>
            <w:tcBorders>
              <w:right w:val="nil"/>
            </w:tcBorders>
            <w:noWrap/>
            <w:tcMar>
              <w:top w:w="13" w:type="dxa"/>
              <w:left w:w="13" w:type="dxa"/>
              <w:bottom w:w="0" w:type="dxa"/>
              <w:right w:w="13" w:type="dxa"/>
            </w:tcMar>
            <w:vAlign w:val="bottom"/>
          </w:tcPr>
          <w:p w:rsidR="00565FD5" w:rsidRPr="00C77C02" w:rsidRDefault="00565FD5" w:rsidP="00AB62A3">
            <w:pPr>
              <w:rPr>
                <w:rFonts w:cs="Tahoma"/>
                <w:b/>
                <w:bCs/>
                <w:sz w:val="14"/>
                <w:szCs w:val="14"/>
              </w:rPr>
            </w:pPr>
            <w:r w:rsidRPr="00C77C02">
              <w:rPr>
                <w:rFonts w:cs="Tahoma"/>
                <w:b/>
                <w:bCs/>
                <w:sz w:val="14"/>
                <w:szCs w:val="14"/>
              </w:rPr>
              <w:t>Varlık Yönetim Şirketleri</w:t>
            </w:r>
          </w:p>
        </w:tc>
        <w:tc>
          <w:tcPr>
            <w:tcW w:w="634"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0,7</w:t>
            </w:r>
          </w:p>
        </w:tc>
        <w:tc>
          <w:tcPr>
            <w:tcW w:w="627"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0,9</w:t>
            </w:r>
          </w:p>
        </w:tc>
        <w:tc>
          <w:tcPr>
            <w:tcW w:w="752"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1,0</w:t>
            </w:r>
          </w:p>
        </w:tc>
        <w:tc>
          <w:tcPr>
            <w:tcW w:w="568"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0,4</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0,5</w:t>
            </w:r>
          </w:p>
        </w:tc>
        <w:tc>
          <w:tcPr>
            <w:tcW w:w="708"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0,5</w:t>
            </w:r>
          </w:p>
        </w:tc>
        <w:tc>
          <w:tcPr>
            <w:tcW w:w="853"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0,1</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0,1</w:t>
            </w:r>
          </w:p>
        </w:tc>
        <w:tc>
          <w:tcPr>
            <w:tcW w:w="851"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0,1</w:t>
            </w:r>
          </w:p>
        </w:tc>
        <w:tc>
          <w:tcPr>
            <w:tcW w:w="708"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0,1</w:t>
            </w:r>
          </w:p>
        </w:tc>
        <w:tc>
          <w:tcPr>
            <w:tcW w:w="567"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6</w:t>
            </w:r>
          </w:p>
        </w:tc>
        <w:tc>
          <w:tcPr>
            <w:tcW w:w="567" w:type="dxa"/>
            <w:tcBorders>
              <w:left w:val="nil"/>
              <w:right w:val="nil"/>
            </w:tcBorders>
            <w:noWrap/>
            <w:tcMar>
              <w:top w:w="13" w:type="dxa"/>
              <w:left w:w="13" w:type="dxa"/>
              <w:bottom w:w="0" w:type="dxa"/>
              <w:right w:w="85"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8</w:t>
            </w:r>
          </w:p>
        </w:tc>
        <w:tc>
          <w:tcPr>
            <w:tcW w:w="566" w:type="dxa"/>
            <w:tcBorders>
              <w:lef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8</w:t>
            </w:r>
          </w:p>
        </w:tc>
      </w:tr>
      <w:tr w:rsidR="00565FD5" w:rsidRPr="00C77C02" w:rsidTr="00AB62A3">
        <w:trPr>
          <w:trHeight w:hRule="exact" w:val="198"/>
        </w:trPr>
        <w:tc>
          <w:tcPr>
            <w:tcW w:w="1966" w:type="dxa"/>
            <w:tcBorders>
              <w:right w:val="nil"/>
            </w:tcBorders>
            <w:noWrap/>
            <w:tcMar>
              <w:top w:w="13" w:type="dxa"/>
              <w:left w:w="13" w:type="dxa"/>
              <w:bottom w:w="0" w:type="dxa"/>
              <w:right w:w="13" w:type="dxa"/>
            </w:tcMar>
            <w:vAlign w:val="bottom"/>
          </w:tcPr>
          <w:p w:rsidR="00565FD5" w:rsidRPr="00C77C02" w:rsidRDefault="00565FD5" w:rsidP="00AB62A3">
            <w:pPr>
              <w:rPr>
                <w:rFonts w:cs="Tahoma"/>
                <w:b/>
                <w:bCs/>
                <w:sz w:val="14"/>
                <w:szCs w:val="14"/>
              </w:rPr>
            </w:pPr>
            <w:r w:rsidRPr="00C77C02">
              <w:rPr>
                <w:rFonts w:cs="Tahoma"/>
                <w:b/>
                <w:bCs/>
                <w:sz w:val="14"/>
                <w:szCs w:val="14"/>
              </w:rPr>
              <w:t xml:space="preserve">Yetkili Müesseseler </w:t>
            </w:r>
          </w:p>
        </w:tc>
        <w:tc>
          <w:tcPr>
            <w:tcW w:w="634"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0,6</w:t>
            </w:r>
          </w:p>
        </w:tc>
        <w:tc>
          <w:tcPr>
            <w:tcW w:w="627"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0,9</w:t>
            </w:r>
          </w:p>
        </w:tc>
        <w:tc>
          <w:tcPr>
            <w:tcW w:w="752"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w:t>
            </w:r>
          </w:p>
        </w:tc>
        <w:tc>
          <w:tcPr>
            <w:tcW w:w="568"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0,4</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0,5</w:t>
            </w:r>
          </w:p>
        </w:tc>
        <w:tc>
          <w:tcPr>
            <w:tcW w:w="708"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w:t>
            </w:r>
          </w:p>
        </w:tc>
        <w:tc>
          <w:tcPr>
            <w:tcW w:w="853"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0,1</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0,1</w:t>
            </w:r>
          </w:p>
        </w:tc>
        <w:tc>
          <w:tcPr>
            <w:tcW w:w="851"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0,1</w:t>
            </w:r>
          </w:p>
        </w:tc>
        <w:tc>
          <w:tcPr>
            <w:tcW w:w="708"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0,1</w:t>
            </w:r>
          </w:p>
        </w:tc>
        <w:tc>
          <w:tcPr>
            <w:tcW w:w="567"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755</w:t>
            </w:r>
          </w:p>
        </w:tc>
        <w:tc>
          <w:tcPr>
            <w:tcW w:w="567" w:type="dxa"/>
            <w:tcBorders>
              <w:left w:val="nil"/>
              <w:right w:val="nil"/>
            </w:tcBorders>
            <w:noWrap/>
            <w:tcMar>
              <w:top w:w="13" w:type="dxa"/>
              <w:left w:w="13" w:type="dxa"/>
              <w:bottom w:w="0" w:type="dxa"/>
              <w:right w:w="85"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749</w:t>
            </w:r>
          </w:p>
        </w:tc>
        <w:tc>
          <w:tcPr>
            <w:tcW w:w="566" w:type="dxa"/>
            <w:tcBorders>
              <w:lef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w:t>
            </w:r>
          </w:p>
        </w:tc>
      </w:tr>
      <w:tr w:rsidR="00565FD5" w:rsidRPr="00C77C02" w:rsidTr="00AB62A3">
        <w:trPr>
          <w:trHeight w:hRule="exact" w:val="198"/>
        </w:trPr>
        <w:tc>
          <w:tcPr>
            <w:tcW w:w="1966" w:type="dxa"/>
            <w:tcBorders>
              <w:right w:val="nil"/>
            </w:tcBorders>
            <w:noWrap/>
            <w:tcMar>
              <w:top w:w="13" w:type="dxa"/>
              <w:left w:w="13" w:type="dxa"/>
              <w:bottom w:w="0" w:type="dxa"/>
              <w:right w:w="13" w:type="dxa"/>
            </w:tcMar>
            <w:vAlign w:val="bottom"/>
          </w:tcPr>
          <w:p w:rsidR="00565FD5" w:rsidRPr="00C77C02" w:rsidRDefault="00565FD5" w:rsidP="00AB62A3">
            <w:pPr>
              <w:rPr>
                <w:rFonts w:cs="Tahoma"/>
                <w:b/>
                <w:bCs/>
                <w:sz w:val="14"/>
                <w:szCs w:val="14"/>
              </w:rPr>
            </w:pPr>
            <w:r w:rsidRPr="00C77C02">
              <w:rPr>
                <w:rFonts w:cs="Tahoma"/>
                <w:b/>
                <w:bCs/>
                <w:sz w:val="14"/>
                <w:szCs w:val="14"/>
              </w:rPr>
              <w:t>İkrazatçılık</w:t>
            </w:r>
            <w:r w:rsidRPr="00C77C02">
              <w:rPr>
                <w:rFonts w:cs="Tahoma"/>
                <w:b/>
                <w:bCs/>
                <w:sz w:val="14"/>
                <w:szCs w:val="14"/>
                <w:vertAlign w:val="superscript"/>
              </w:rPr>
              <w:t>(</w:t>
            </w:r>
            <w:r>
              <w:rPr>
                <w:rFonts w:cs="Tahoma"/>
                <w:b/>
                <w:bCs/>
                <w:sz w:val="14"/>
                <w:szCs w:val="14"/>
                <w:vertAlign w:val="superscript"/>
              </w:rPr>
              <w:t>3</w:t>
            </w:r>
            <w:r w:rsidRPr="00C77C02">
              <w:rPr>
                <w:rFonts w:cs="Tahoma"/>
                <w:b/>
                <w:bCs/>
                <w:sz w:val="14"/>
                <w:szCs w:val="14"/>
                <w:vertAlign w:val="superscript"/>
              </w:rPr>
              <w:t>)</w:t>
            </w:r>
          </w:p>
        </w:tc>
        <w:tc>
          <w:tcPr>
            <w:tcW w:w="634"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0,4</w:t>
            </w:r>
          </w:p>
        </w:tc>
        <w:tc>
          <w:tcPr>
            <w:tcW w:w="627"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6"/>
              </w:rPr>
            </w:pPr>
            <w:r w:rsidRPr="00C77C02">
              <w:rPr>
                <w:rFonts w:cs="Tahoma"/>
                <w:b/>
                <w:bCs/>
                <w:sz w:val="14"/>
                <w:szCs w:val="16"/>
              </w:rPr>
              <w:t>0,4</w:t>
            </w:r>
          </w:p>
        </w:tc>
        <w:tc>
          <w:tcPr>
            <w:tcW w:w="752"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w:t>
            </w:r>
          </w:p>
        </w:tc>
        <w:tc>
          <w:tcPr>
            <w:tcW w:w="568"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0,2</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0,2</w:t>
            </w:r>
          </w:p>
        </w:tc>
        <w:tc>
          <w:tcPr>
            <w:tcW w:w="708"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w:t>
            </w:r>
          </w:p>
        </w:tc>
        <w:tc>
          <w:tcPr>
            <w:tcW w:w="853"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0,0</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0,0</w:t>
            </w:r>
          </w:p>
        </w:tc>
        <w:tc>
          <w:tcPr>
            <w:tcW w:w="851"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0,0</w:t>
            </w:r>
          </w:p>
        </w:tc>
        <w:tc>
          <w:tcPr>
            <w:tcW w:w="708"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0,0</w:t>
            </w:r>
          </w:p>
        </w:tc>
        <w:tc>
          <w:tcPr>
            <w:tcW w:w="567"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25</w:t>
            </w:r>
          </w:p>
        </w:tc>
        <w:tc>
          <w:tcPr>
            <w:tcW w:w="567" w:type="dxa"/>
            <w:tcBorders>
              <w:left w:val="nil"/>
              <w:right w:val="nil"/>
            </w:tcBorders>
            <w:noWrap/>
            <w:tcMar>
              <w:top w:w="13" w:type="dxa"/>
              <w:left w:w="13" w:type="dxa"/>
              <w:bottom w:w="0" w:type="dxa"/>
              <w:right w:w="85"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28</w:t>
            </w:r>
          </w:p>
        </w:tc>
        <w:tc>
          <w:tcPr>
            <w:tcW w:w="566" w:type="dxa"/>
            <w:tcBorders>
              <w:lef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w:t>
            </w:r>
          </w:p>
        </w:tc>
      </w:tr>
      <w:tr w:rsidR="00565FD5" w:rsidRPr="00C77C02" w:rsidTr="00AB62A3">
        <w:trPr>
          <w:trHeight w:hRule="exact" w:val="198"/>
        </w:trPr>
        <w:tc>
          <w:tcPr>
            <w:tcW w:w="1966" w:type="dxa"/>
            <w:tcBorders>
              <w:right w:val="nil"/>
            </w:tcBorders>
            <w:noWrap/>
            <w:tcMar>
              <w:top w:w="13" w:type="dxa"/>
              <w:left w:w="13" w:type="dxa"/>
              <w:bottom w:w="0" w:type="dxa"/>
              <w:right w:w="13" w:type="dxa"/>
            </w:tcMar>
            <w:vAlign w:val="bottom"/>
          </w:tcPr>
          <w:p w:rsidR="00565FD5" w:rsidRPr="00C77C02" w:rsidRDefault="00565FD5" w:rsidP="00AB62A3">
            <w:pPr>
              <w:rPr>
                <w:rFonts w:cs="Tahoma"/>
                <w:b/>
                <w:bCs/>
                <w:sz w:val="14"/>
                <w:szCs w:val="14"/>
              </w:rPr>
            </w:pPr>
            <w:r w:rsidRPr="00C77C02">
              <w:rPr>
                <w:rFonts w:cs="Tahoma"/>
                <w:b/>
                <w:bCs/>
                <w:sz w:val="14"/>
                <w:szCs w:val="14"/>
              </w:rPr>
              <w:t>Aracı Kurumlar</w:t>
            </w:r>
          </w:p>
        </w:tc>
        <w:tc>
          <w:tcPr>
            <w:tcW w:w="634"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7,5</w:t>
            </w:r>
          </w:p>
        </w:tc>
        <w:tc>
          <w:tcPr>
            <w:tcW w:w="627"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6"/>
              </w:rPr>
            </w:pPr>
            <w:r w:rsidRPr="00C77C02">
              <w:rPr>
                <w:rFonts w:cs="Tahoma"/>
                <w:b/>
                <w:bCs/>
                <w:sz w:val="14"/>
                <w:szCs w:val="16"/>
              </w:rPr>
              <w:t>8,0</w:t>
            </w:r>
          </w:p>
        </w:tc>
        <w:tc>
          <w:tcPr>
            <w:tcW w:w="752"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9,3</w:t>
            </w:r>
          </w:p>
        </w:tc>
        <w:tc>
          <w:tcPr>
            <w:tcW w:w="568"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4,8</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4,2</w:t>
            </w:r>
          </w:p>
        </w:tc>
        <w:tc>
          <w:tcPr>
            <w:tcW w:w="708"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5,1</w:t>
            </w:r>
          </w:p>
        </w:tc>
        <w:tc>
          <w:tcPr>
            <w:tcW w:w="853"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0,7</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0,6</w:t>
            </w:r>
          </w:p>
        </w:tc>
        <w:tc>
          <w:tcPr>
            <w:tcW w:w="851"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0,7</w:t>
            </w:r>
          </w:p>
        </w:tc>
        <w:tc>
          <w:tcPr>
            <w:tcW w:w="708"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0,6</w:t>
            </w:r>
          </w:p>
        </w:tc>
        <w:tc>
          <w:tcPr>
            <w:tcW w:w="567"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103</w:t>
            </w:r>
          </w:p>
        </w:tc>
        <w:tc>
          <w:tcPr>
            <w:tcW w:w="567" w:type="dxa"/>
            <w:tcBorders>
              <w:left w:val="nil"/>
              <w:right w:val="nil"/>
            </w:tcBorders>
            <w:noWrap/>
            <w:tcMar>
              <w:top w:w="13" w:type="dxa"/>
              <w:left w:w="13" w:type="dxa"/>
              <w:bottom w:w="0" w:type="dxa"/>
              <w:right w:w="85"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100</w:t>
            </w:r>
          </w:p>
        </w:tc>
        <w:tc>
          <w:tcPr>
            <w:tcW w:w="566" w:type="dxa"/>
            <w:tcBorders>
              <w:lef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101</w:t>
            </w:r>
          </w:p>
        </w:tc>
      </w:tr>
      <w:tr w:rsidR="00565FD5" w:rsidRPr="00C77C02" w:rsidTr="00AB62A3">
        <w:trPr>
          <w:trHeight w:hRule="exact" w:val="198"/>
        </w:trPr>
        <w:tc>
          <w:tcPr>
            <w:tcW w:w="1966" w:type="dxa"/>
            <w:tcBorders>
              <w:right w:val="nil"/>
            </w:tcBorders>
            <w:noWrap/>
            <w:tcMar>
              <w:top w:w="13" w:type="dxa"/>
              <w:left w:w="13" w:type="dxa"/>
              <w:bottom w:w="0" w:type="dxa"/>
              <w:right w:w="13" w:type="dxa"/>
            </w:tcMar>
            <w:vAlign w:val="bottom"/>
          </w:tcPr>
          <w:p w:rsidR="00565FD5" w:rsidRPr="00C77C02" w:rsidRDefault="00565FD5" w:rsidP="00AB62A3">
            <w:pPr>
              <w:rPr>
                <w:rFonts w:cs="Tahoma"/>
                <w:b/>
                <w:bCs/>
                <w:sz w:val="14"/>
                <w:szCs w:val="14"/>
              </w:rPr>
            </w:pPr>
            <w:r w:rsidRPr="00C77C02">
              <w:rPr>
                <w:rFonts w:cs="Tahoma"/>
                <w:b/>
                <w:bCs/>
                <w:sz w:val="14"/>
                <w:szCs w:val="14"/>
              </w:rPr>
              <w:t>Yatırım Ortaklıkları</w:t>
            </w:r>
            <w:r w:rsidRPr="00C77C02">
              <w:rPr>
                <w:rFonts w:cs="Tahoma"/>
                <w:b/>
                <w:bCs/>
                <w:sz w:val="14"/>
                <w:szCs w:val="14"/>
                <w:vertAlign w:val="superscript"/>
              </w:rPr>
              <w:t>(</w:t>
            </w:r>
            <w:r>
              <w:rPr>
                <w:rFonts w:cs="Tahoma"/>
                <w:b/>
                <w:bCs/>
                <w:sz w:val="14"/>
                <w:szCs w:val="14"/>
                <w:vertAlign w:val="superscript"/>
              </w:rPr>
              <w:t>4</w:t>
            </w:r>
            <w:r w:rsidRPr="00C77C02">
              <w:rPr>
                <w:rFonts w:cs="Tahoma"/>
                <w:b/>
                <w:bCs/>
                <w:sz w:val="14"/>
                <w:szCs w:val="14"/>
                <w:vertAlign w:val="superscript"/>
              </w:rPr>
              <w:t>)</w:t>
            </w:r>
          </w:p>
        </w:tc>
        <w:tc>
          <w:tcPr>
            <w:tcW w:w="634"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18,2</w:t>
            </w:r>
          </w:p>
        </w:tc>
        <w:tc>
          <w:tcPr>
            <w:tcW w:w="627"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6"/>
              </w:rPr>
            </w:pPr>
            <w:r w:rsidRPr="00C77C02">
              <w:rPr>
                <w:rFonts w:cs="Tahoma"/>
                <w:b/>
                <w:bCs/>
                <w:sz w:val="14"/>
                <w:szCs w:val="16"/>
              </w:rPr>
              <w:t>14,1</w:t>
            </w:r>
          </w:p>
        </w:tc>
        <w:tc>
          <w:tcPr>
            <w:tcW w:w="752"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w:t>
            </w:r>
          </w:p>
        </w:tc>
        <w:tc>
          <w:tcPr>
            <w:tcW w:w="568"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11,8</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7,4</w:t>
            </w:r>
          </w:p>
        </w:tc>
        <w:tc>
          <w:tcPr>
            <w:tcW w:w="708"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w:t>
            </w:r>
          </w:p>
        </w:tc>
        <w:tc>
          <w:tcPr>
            <w:tcW w:w="853"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1,6</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1,0</w:t>
            </w:r>
          </w:p>
        </w:tc>
        <w:tc>
          <w:tcPr>
            <w:tcW w:w="851"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1,7</w:t>
            </w:r>
          </w:p>
        </w:tc>
        <w:tc>
          <w:tcPr>
            <w:tcW w:w="708"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1,1</w:t>
            </w:r>
          </w:p>
        </w:tc>
        <w:tc>
          <w:tcPr>
            <w:tcW w:w="567"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54</w:t>
            </w:r>
          </w:p>
        </w:tc>
        <w:tc>
          <w:tcPr>
            <w:tcW w:w="567" w:type="dxa"/>
            <w:tcBorders>
              <w:left w:val="nil"/>
              <w:right w:val="nil"/>
            </w:tcBorders>
            <w:noWrap/>
            <w:tcMar>
              <w:top w:w="13" w:type="dxa"/>
              <w:left w:w="13" w:type="dxa"/>
              <w:bottom w:w="0" w:type="dxa"/>
              <w:right w:w="85"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53</w:t>
            </w:r>
          </w:p>
        </w:tc>
        <w:tc>
          <w:tcPr>
            <w:tcW w:w="566" w:type="dxa"/>
            <w:tcBorders>
              <w:lef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w:t>
            </w:r>
          </w:p>
        </w:tc>
      </w:tr>
      <w:tr w:rsidR="00565FD5" w:rsidRPr="00C77C02" w:rsidTr="00AB62A3">
        <w:trPr>
          <w:trHeight w:hRule="exact" w:val="340"/>
        </w:trPr>
        <w:tc>
          <w:tcPr>
            <w:tcW w:w="1966" w:type="dxa"/>
            <w:tcBorders>
              <w:right w:val="nil"/>
            </w:tcBorders>
            <w:noWrap/>
            <w:tcMar>
              <w:top w:w="13" w:type="dxa"/>
              <w:left w:w="13" w:type="dxa"/>
              <w:bottom w:w="0" w:type="dxa"/>
              <w:right w:w="13" w:type="dxa"/>
            </w:tcMar>
            <w:vAlign w:val="bottom"/>
          </w:tcPr>
          <w:p w:rsidR="00565FD5" w:rsidRPr="00C77C02" w:rsidRDefault="00565FD5" w:rsidP="00AB62A3">
            <w:pPr>
              <w:rPr>
                <w:rFonts w:cs="Tahoma"/>
                <w:sz w:val="14"/>
                <w:szCs w:val="14"/>
              </w:rPr>
            </w:pPr>
            <w:r w:rsidRPr="00C77C02">
              <w:rPr>
                <w:rFonts w:cs="Tahoma"/>
                <w:sz w:val="14"/>
                <w:szCs w:val="14"/>
              </w:rPr>
              <w:t xml:space="preserve">  Gayrimenkul Yatırım</w:t>
            </w:r>
            <w:r w:rsidRPr="00C77C02">
              <w:rPr>
                <w:rFonts w:cs="Tahoma"/>
                <w:sz w:val="14"/>
                <w:szCs w:val="14"/>
                <w:vertAlign w:val="superscript"/>
              </w:rPr>
              <w:t>(</w:t>
            </w:r>
            <w:r>
              <w:rPr>
                <w:rFonts w:cs="Tahoma"/>
                <w:sz w:val="14"/>
                <w:szCs w:val="14"/>
                <w:vertAlign w:val="superscript"/>
              </w:rPr>
              <w:t>4</w:t>
            </w:r>
            <w:r w:rsidRPr="00C77C02">
              <w:rPr>
                <w:rFonts w:cs="Tahoma"/>
                <w:sz w:val="14"/>
                <w:szCs w:val="14"/>
                <w:vertAlign w:val="superscript"/>
              </w:rPr>
              <w:t>)</w:t>
            </w:r>
            <w:r w:rsidRPr="00C77C02">
              <w:rPr>
                <w:rFonts w:cs="Tahoma"/>
                <w:sz w:val="14"/>
                <w:szCs w:val="14"/>
              </w:rPr>
              <w:t xml:space="preserve"> Ortaklıkları</w:t>
            </w:r>
            <w:r w:rsidRPr="00C77C02">
              <w:rPr>
                <w:rFonts w:cs="Tahoma"/>
                <w:sz w:val="14"/>
                <w:szCs w:val="14"/>
                <w:vertAlign w:val="superscript"/>
              </w:rPr>
              <w:t>(3)</w:t>
            </w:r>
          </w:p>
        </w:tc>
        <w:tc>
          <w:tcPr>
            <w:tcW w:w="634"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17,2</w:t>
            </w:r>
          </w:p>
        </w:tc>
        <w:tc>
          <w:tcPr>
            <w:tcW w:w="627"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6"/>
              </w:rPr>
            </w:pPr>
            <w:r w:rsidRPr="00C77C02">
              <w:rPr>
                <w:rFonts w:cs="Tahoma"/>
                <w:sz w:val="14"/>
                <w:szCs w:val="16"/>
              </w:rPr>
              <w:t>12,7</w:t>
            </w:r>
          </w:p>
        </w:tc>
        <w:tc>
          <w:tcPr>
            <w:tcW w:w="752"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w:t>
            </w:r>
          </w:p>
        </w:tc>
        <w:tc>
          <w:tcPr>
            <w:tcW w:w="568"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11,2</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6,7</w:t>
            </w:r>
          </w:p>
        </w:tc>
        <w:tc>
          <w:tcPr>
            <w:tcW w:w="708"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w:t>
            </w:r>
          </w:p>
        </w:tc>
        <w:tc>
          <w:tcPr>
            <w:tcW w:w="853"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1,5</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0,9</w:t>
            </w:r>
          </w:p>
        </w:tc>
        <w:tc>
          <w:tcPr>
            <w:tcW w:w="851"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1,6</w:t>
            </w:r>
          </w:p>
        </w:tc>
        <w:tc>
          <w:tcPr>
            <w:tcW w:w="708"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1,0</w:t>
            </w:r>
          </w:p>
        </w:tc>
        <w:tc>
          <w:tcPr>
            <w:tcW w:w="567"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21</w:t>
            </w:r>
          </w:p>
        </w:tc>
        <w:tc>
          <w:tcPr>
            <w:tcW w:w="567" w:type="dxa"/>
            <w:tcBorders>
              <w:left w:val="nil"/>
              <w:right w:val="nil"/>
            </w:tcBorders>
            <w:noWrap/>
            <w:tcMar>
              <w:top w:w="13" w:type="dxa"/>
              <w:left w:w="13" w:type="dxa"/>
              <w:bottom w:w="0" w:type="dxa"/>
              <w:right w:w="85" w:type="dxa"/>
            </w:tcMar>
            <w:vAlign w:val="bottom"/>
          </w:tcPr>
          <w:p w:rsidR="00565FD5" w:rsidRPr="00C77C02" w:rsidRDefault="00565FD5" w:rsidP="00AB62A3">
            <w:pPr>
              <w:jc w:val="right"/>
              <w:rPr>
                <w:rFonts w:cs="Tahoma"/>
                <w:sz w:val="14"/>
                <w:szCs w:val="14"/>
              </w:rPr>
            </w:pPr>
            <w:r w:rsidRPr="00C77C02">
              <w:rPr>
                <w:rFonts w:cs="Tahoma"/>
                <w:sz w:val="14"/>
                <w:szCs w:val="14"/>
              </w:rPr>
              <w:t>23</w:t>
            </w:r>
          </w:p>
        </w:tc>
        <w:tc>
          <w:tcPr>
            <w:tcW w:w="566" w:type="dxa"/>
            <w:tcBorders>
              <w:left w:val="nil"/>
            </w:tcBorders>
            <w:vAlign w:val="bottom"/>
          </w:tcPr>
          <w:p w:rsidR="00565FD5" w:rsidRPr="00C77C02" w:rsidRDefault="00565FD5" w:rsidP="00AB62A3">
            <w:pPr>
              <w:jc w:val="right"/>
              <w:rPr>
                <w:rFonts w:cs="Tahoma"/>
                <w:sz w:val="14"/>
                <w:szCs w:val="14"/>
              </w:rPr>
            </w:pPr>
            <w:r w:rsidRPr="00C77C02">
              <w:rPr>
                <w:rFonts w:cs="Tahoma"/>
                <w:sz w:val="14"/>
                <w:szCs w:val="14"/>
              </w:rPr>
              <w:t>-</w:t>
            </w:r>
          </w:p>
        </w:tc>
      </w:tr>
      <w:tr w:rsidR="00565FD5" w:rsidRPr="00C77C02" w:rsidTr="00AB62A3">
        <w:trPr>
          <w:trHeight w:hRule="exact" w:val="198"/>
        </w:trPr>
        <w:tc>
          <w:tcPr>
            <w:tcW w:w="1966" w:type="dxa"/>
            <w:tcBorders>
              <w:right w:val="nil"/>
            </w:tcBorders>
            <w:noWrap/>
            <w:tcMar>
              <w:top w:w="13" w:type="dxa"/>
              <w:left w:w="13" w:type="dxa"/>
              <w:bottom w:w="0" w:type="dxa"/>
              <w:right w:w="13" w:type="dxa"/>
            </w:tcMar>
            <w:vAlign w:val="bottom"/>
          </w:tcPr>
          <w:p w:rsidR="00565FD5" w:rsidRPr="00C77C02" w:rsidRDefault="00565FD5" w:rsidP="00AB62A3">
            <w:pPr>
              <w:rPr>
                <w:rFonts w:cs="Tahoma"/>
                <w:b/>
                <w:bCs/>
                <w:sz w:val="14"/>
                <w:szCs w:val="14"/>
              </w:rPr>
            </w:pPr>
            <w:r w:rsidRPr="00C77C02">
              <w:rPr>
                <w:rFonts w:cs="Tahoma"/>
                <w:b/>
                <w:bCs/>
                <w:sz w:val="14"/>
                <w:szCs w:val="14"/>
              </w:rPr>
              <w:t>Yatırım Fonları</w:t>
            </w:r>
          </w:p>
        </w:tc>
        <w:tc>
          <w:tcPr>
            <w:tcW w:w="634"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33,2</w:t>
            </w:r>
          </w:p>
        </w:tc>
        <w:tc>
          <w:tcPr>
            <w:tcW w:w="627"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6"/>
              </w:rPr>
            </w:pPr>
            <w:r w:rsidRPr="00C77C02">
              <w:rPr>
                <w:rFonts w:cs="Tahoma"/>
                <w:b/>
                <w:bCs/>
                <w:sz w:val="14"/>
                <w:szCs w:val="16"/>
              </w:rPr>
              <w:t>30,2</w:t>
            </w:r>
          </w:p>
        </w:tc>
        <w:tc>
          <w:tcPr>
            <w:tcW w:w="752"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w:t>
            </w:r>
          </w:p>
        </w:tc>
        <w:tc>
          <w:tcPr>
            <w:tcW w:w="568"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21,5</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15,9</w:t>
            </w:r>
          </w:p>
        </w:tc>
        <w:tc>
          <w:tcPr>
            <w:tcW w:w="708"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w:t>
            </w:r>
          </w:p>
        </w:tc>
        <w:tc>
          <w:tcPr>
            <w:tcW w:w="853"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2,9</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2,2</w:t>
            </w:r>
          </w:p>
        </w:tc>
        <w:tc>
          <w:tcPr>
            <w:tcW w:w="851"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3,0</w:t>
            </w:r>
          </w:p>
        </w:tc>
        <w:tc>
          <w:tcPr>
            <w:tcW w:w="708"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2,3</w:t>
            </w:r>
          </w:p>
        </w:tc>
        <w:tc>
          <w:tcPr>
            <w:tcW w:w="567" w:type="dxa"/>
            <w:tcBorders>
              <w:left w:val="nil"/>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486</w:t>
            </w:r>
          </w:p>
        </w:tc>
        <w:tc>
          <w:tcPr>
            <w:tcW w:w="567" w:type="dxa"/>
            <w:tcBorders>
              <w:left w:val="nil"/>
              <w:right w:val="nil"/>
            </w:tcBorders>
            <w:noWrap/>
            <w:tcMar>
              <w:top w:w="13" w:type="dxa"/>
              <w:left w:w="13" w:type="dxa"/>
              <w:bottom w:w="0" w:type="dxa"/>
              <w:right w:w="85" w:type="dxa"/>
            </w:tcMar>
            <w:vAlign w:val="bottom"/>
          </w:tcPr>
          <w:p w:rsidR="00565FD5" w:rsidRPr="00C77C02" w:rsidRDefault="00565FD5" w:rsidP="00AB62A3">
            <w:pPr>
              <w:jc w:val="right"/>
              <w:rPr>
                <w:rFonts w:cs="Tahoma"/>
                <w:b/>
                <w:bCs/>
                <w:color w:val="000000"/>
                <w:sz w:val="14"/>
                <w:szCs w:val="14"/>
              </w:rPr>
            </w:pPr>
            <w:r w:rsidRPr="00C77C02">
              <w:rPr>
                <w:rFonts w:cs="Tahoma"/>
                <w:b/>
                <w:bCs/>
                <w:color w:val="000000"/>
                <w:sz w:val="14"/>
                <w:szCs w:val="14"/>
              </w:rPr>
              <w:t>595</w:t>
            </w:r>
          </w:p>
        </w:tc>
        <w:tc>
          <w:tcPr>
            <w:tcW w:w="566" w:type="dxa"/>
            <w:tcBorders>
              <w:lef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w:t>
            </w:r>
          </w:p>
        </w:tc>
      </w:tr>
      <w:tr w:rsidR="00565FD5" w:rsidRPr="00C77C02" w:rsidTr="00AB62A3">
        <w:trPr>
          <w:trHeight w:hRule="exact" w:val="198"/>
        </w:trPr>
        <w:tc>
          <w:tcPr>
            <w:tcW w:w="1966" w:type="dxa"/>
            <w:tcBorders>
              <w:right w:val="nil"/>
            </w:tcBorders>
            <w:noWrap/>
            <w:tcMar>
              <w:top w:w="13" w:type="dxa"/>
              <w:left w:w="13" w:type="dxa"/>
              <w:bottom w:w="0" w:type="dxa"/>
              <w:right w:w="13" w:type="dxa"/>
            </w:tcMar>
            <w:vAlign w:val="bottom"/>
          </w:tcPr>
          <w:p w:rsidR="00565FD5" w:rsidRPr="00C77C02" w:rsidRDefault="00565FD5" w:rsidP="00AB62A3">
            <w:pPr>
              <w:rPr>
                <w:rFonts w:cs="Tahoma"/>
                <w:sz w:val="14"/>
                <w:szCs w:val="14"/>
              </w:rPr>
            </w:pPr>
            <w:r w:rsidRPr="00C77C02">
              <w:rPr>
                <w:rFonts w:cs="Tahoma"/>
                <w:sz w:val="14"/>
                <w:szCs w:val="14"/>
              </w:rPr>
              <w:t xml:space="preserve">  A tipi</w:t>
            </w:r>
          </w:p>
        </w:tc>
        <w:tc>
          <w:tcPr>
            <w:tcW w:w="634"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1,5</w:t>
            </w:r>
          </w:p>
        </w:tc>
        <w:tc>
          <w:tcPr>
            <w:tcW w:w="627"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6"/>
              </w:rPr>
            </w:pPr>
            <w:r w:rsidRPr="00C77C02">
              <w:rPr>
                <w:rFonts w:cs="Tahoma"/>
                <w:sz w:val="14"/>
                <w:szCs w:val="16"/>
              </w:rPr>
              <w:t>1,5</w:t>
            </w:r>
          </w:p>
        </w:tc>
        <w:tc>
          <w:tcPr>
            <w:tcW w:w="752"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w:t>
            </w:r>
          </w:p>
        </w:tc>
        <w:tc>
          <w:tcPr>
            <w:tcW w:w="568"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1,0</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0,8</w:t>
            </w:r>
          </w:p>
        </w:tc>
        <w:tc>
          <w:tcPr>
            <w:tcW w:w="708"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w:t>
            </w:r>
          </w:p>
        </w:tc>
        <w:tc>
          <w:tcPr>
            <w:tcW w:w="853"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0,1</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0,1</w:t>
            </w:r>
          </w:p>
        </w:tc>
        <w:tc>
          <w:tcPr>
            <w:tcW w:w="851"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0,1</w:t>
            </w:r>
          </w:p>
        </w:tc>
        <w:tc>
          <w:tcPr>
            <w:tcW w:w="708"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0,1</w:t>
            </w:r>
          </w:p>
        </w:tc>
        <w:tc>
          <w:tcPr>
            <w:tcW w:w="567"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132</w:t>
            </w:r>
          </w:p>
        </w:tc>
        <w:tc>
          <w:tcPr>
            <w:tcW w:w="567" w:type="dxa"/>
            <w:tcBorders>
              <w:left w:val="nil"/>
              <w:right w:val="nil"/>
            </w:tcBorders>
            <w:noWrap/>
            <w:tcMar>
              <w:top w:w="13" w:type="dxa"/>
              <w:left w:w="13" w:type="dxa"/>
              <w:bottom w:w="0" w:type="dxa"/>
              <w:right w:w="85" w:type="dxa"/>
            </w:tcMar>
            <w:vAlign w:val="bottom"/>
          </w:tcPr>
          <w:p w:rsidR="00565FD5" w:rsidRPr="00C77C02" w:rsidRDefault="00565FD5" w:rsidP="00AB62A3">
            <w:pPr>
              <w:jc w:val="right"/>
              <w:rPr>
                <w:rFonts w:cs="Tahoma"/>
                <w:color w:val="000000"/>
                <w:sz w:val="14"/>
                <w:szCs w:val="14"/>
              </w:rPr>
            </w:pPr>
            <w:r w:rsidRPr="00C77C02">
              <w:rPr>
                <w:rFonts w:cs="Tahoma"/>
                <w:color w:val="000000"/>
                <w:sz w:val="14"/>
                <w:szCs w:val="14"/>
              </w:rPr>
              <w:t>138</w:t>
            </w:r>
          </w:p>
        </w:tc>
        <w:tc>
          <w:tcPr>
            <w:tcW w:w="566" w:type="dxa"/>
            <w:tcBorders>
              <w:left w:val="nil"/>
            </w:tcBorders>
            <w:vAlign w:val="bottom"/>
          </w:tcPr>
          <w:p w:rsidR="00565FD5" w:rsidRPr="00C77C02" w:rsidRDefault="00565FD5" w:rsidP="00AB62A3">
            <w:pPr>
              <w:jc w:val="right"/>
              <w:rPr>
                <w:rFonts w:cs="Tahoma"/>
                <w:sz w:val="14"/>
                <w:szCs w:val="14"/>
              </w:rPr>
            </w:pPr>
            <w:r w:rsidRPr="00C77C02">
              <w:rPr>
                <w:rFonts w:cs="Tahoma"/>
                <w:sz w:val="14"/>
                <w:szCs w:val="14"/>
              </w:rPr>
              <w:t>-</w:t>
            </w:r>
          </w:p>
        </w:tc>
      </w:tr>
      <w:tr w:rsidR="00565FD5" w:rsidRPr="00C77C02" w:rsidTr="00AB62A3">
        <w:trPr>
          <w:trHeight w:hRule="exact" w:val="198"/>
        </w:trPr>
        <w:tc>
          <w:tcPr>
            <w:tcW w:w="1966" w:type="dxa"/>
            <w:tcBorders>
              <w:right w:val="nil"/>
            </w:tcBorders>
            <w:noWrap/>
            <w:tcMar>
              <w:top w:w="13" w:type="dxa"/>
              <w:left w:w="13" w:type="dxa"/>
              <w:bottom w:w="0" w:type="dxa"/>
              <w:right w:w="13" w:type="dxa"/>
            </w:tcMar>
            <w:vAlign w:val="bottom"/>
          </w:tcPr>
          <w:p w:rsidR="00565FD5" w:rsidRPr="00C77C02" w:rsidRDefault="00565FD5" w:rsidP="00AB62A3">
            <w:pPr>
              <w:rPr>
                <w:rFonts w:cs="Tahoma"/>
                <w:sz w:val="14"/>
                <w:szCs w:val="14"/>
              </w:rPr>
            </w:pPr>
            <w:r w:rsidRPr="00C77C02">
              <w:rPr>
                <w:rFonts w:cs="Tahoma"/>
                <w:sz w:val="14"/>
                <w:szCs w:val="14"/>
              </w:rPr>
              <w:t xml:space="preserve">  B tipi</w:t>
            </w:r>
          </w:p>
        </w:tc>
        <w:tc>
          <w:tcPr>
            <w:tcW w:w="634"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31,7</w:t>
            </w:r>
          </w:p>
        </w:tc>
        <w:tc>
          <w:tcPr>
            <w:tcW w:w="627"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6"/>
              </w:rPr>
            </w:pPr>
            <w:r w:rsidRPr="00C77C02">
              <w:rPr>
                <w:rFonts w:cs="Tahoma"/>
                <w:sz w:val="14"/>
                <w:szCs w:val="16"/>
              </w:rPr>
              <w:t>28,7</w:t>
            </w:r>
          </w:p>
        </w:tc>
        <w:tc>
          <w:tcPr>
            <w:tcW w:w="752"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w:t>
            </w:r>
          </w:p>
        </w:tc>
        <w:tc>
          <w:tcPr>
            <w:tcW w:w="568"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20,5</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15,1</w:t>
            </w:r>
          </w:p>
        </w:tc>
        <w:tc>
          <w:tcPr>
            <w:tcW w:w="708"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w:t>
            </w:r>
          </w:p>
        </w:tc>
        <w:tc>
          <w:tcPr>
            <w:tcW w:w="853"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2,8</w:t>
            </w:r>
          </w:p>
        </w:tc>
        <w:tc>
          <w:tcPr>
            <w:tcW w:w="709"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2,1</w:t>
            </w:r>
          </w:p>
        </w:tc>
        <w:tc>
          <w:tcPr>
            <w:tcW w:w="851"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2,9</w:t>
            </w:r>
          </w:p>
        </w:tc>
        <w:tc>
          <w:tcPr>
            <w:tcW w:w="708" w:type="dxa"/>
            <w:tcBorders>
              <w:left w:val="nil"/>
              <w:right w:val="nil"/>
            </w:tcBorders>
            <w:noWrap/>
            <w:tcMar>
              <w:top w:w="13" w:type="dxa"/>
              <w:left w:w="13" w:type="dxa"/>
              <w:bottom w:w="0" w:type="dxa"/>
              <w:right w:w="13" w:type="dxa"/>
            </w:tcMar>
            <w:vAlign w:val="bottom"/>
          </w:tcPr>
          <w:p w:rsidR="00565FD5" w:rsidRPr="00C77C02" w:rsidRDefault="00565FD5" w:rsidP="00AB62A3">
            <w:pPr>
              <w:jc w:val="right"/>
              <w:rPr>
                <w:rFonts w:cs="Tahoma"/>
                <w:sz w:val="14"/>
                <w:szCs w:val="14"/>
              </w:rPr>
            </w:pPr>
            <w:r w:rsidRPr="00C77C02">
              <w:rPr>
                <w:rFonts w:cs="Tahoma"/>
                <w:sz w:val="14"/>
                <w:szCs w:val="14"/>
              </w:rPr>
              <w:t>2,2</w:t>
            </w:r>
          </w:p>
        </w:tc>
        <w:tc>
          <w:tcPr>
            <w:tcW w:w="567" w:type="dxa"/>
            <w:tcBorders>
              <w:left w:val="nil"/>
              <w:right w:val="nil"/>
            </w:tcBorders>
            <w:vAlign w:val="bottom"/>
          </w:tcPr>
          <w:p w:rsidR="00565FD5" w:rsidRPr="00C77C02" w:rsidRDefault="00565FD5" w:rsidP="00AB62A3">
            <w:pPr>
              <w:jc w:val="right"/>
              <w:rPr>
                <w:rFonts w:cs="Tahoma"/>
                <w:sz w:val="14"/>
                <w:szCs w:val="14"/>
              </w:rPr>
            </w:pPr>
            <w:r w:rsidRPr="00C77C02">
              <w:rPr>
                <w:rFonts w:cs="Tahoma"/>
                <w:sz w:val="14"/>
                <w:szCs w:val="14"/>
              </w:rPr>
              <w:t>354</w:t>
            </w:r>
          </w:p>
        </w:tc>
        <w:tc>
          <w:tcPr>
            <w:tcW w:w="567" w:type="dxa"/>
            <w:tcBorders>
              <w:left w:val="nil"/>
              <w:right w:val="nil"/>
            </w:tcBorders>
            <w:noWrap/>
            <w:tcMar>
              <w:top w:w="13" w:type="dxa"/>
              <w:left w:w="13" w:type="dxa"/>
              <w:bottom w:w="0" w:type="dxa"/>
              <w:right w:w="85" w:type="dxa"/>
            </w:tcMar>
            <w:vAlign w:val="bottom"/>
          </w:tcPr>
          <w:p w:rsidR="00565FD5" w:rsidRPr="00C77C02" w:rsidRDefault="00565FD5" w:rsidP="00AB62A3">
            <w:pPr>
              <w:jc w:val="right"/>
              <w:rPr>
                <w:rFonts w:cs="Tahoma"/>
                <w:color w:val="000000"/>
                <w:sz w:val="14"/>
                <w:szCs w:val="14"/>
              </w:rPr>
            </w:pPr>
            <w:r w:rsidRPr="00C77C02">
              <w:rPr>
                <w:rFonts w:cs="Tahoma"/>
                <w:color w:val="000000"/>
                <w:sz w:val="14"/>
                <w:szCs w:val="14"/>
              </w:rPr>
              <w:t>457</w:t>
            </w:r>
          </w:p>
        </w:tc>
        <w:tc>
          <w:tcPr>
            <w:tcW w:w="566" w:type="dxa"/>
            <w:tcBorders>
              <w:left w:val="nil"/>
            </w:tcBorders>
            <w:vAlign w:val="bottom"/>
          </w:tcPr>
          <w:p w:rsidR="00565FD5" w:rsidRPr="00C77C02" w:rsidRDefault="00565FD5" w:rsidP="00AB62A3">
            <w:pPr>
              <w:jc w:val="right"/>
              <w:rPr>
                <w:rFonts w:cs="Tahoma"/>
                <w:sz w:val="14"/>
                <w:szCs w:val="14"/>
              </w:rPr>
            </w:pPr>
            <w:r w:rsidRPr="00C77C02">
              <w:rPr>
                <w:rFonts w:cs="Tahoma"/>
                <w:sz w:val="14"/>
                <w:szCs w:val="14"/>
              </w:rPr>
              <w:t>-</w:t>
            </w:r>
          </w:p>
        </w:tc>
      </w:tr>
      <w:tr w:rsidR="00565FD5" w:rsidRPr="00C77C02" w:rsidTr="00AB62A3">
        <w:trPr>
          <w:trHeight w:hRule="exact" w:val="198"/>
        </w:trPr>
        <w:tc>
          <w:tcPr>
            <w:tcW w:w="1966" w:type="dxa"/>
            <w:tcBorders>
              <w:bottom w:val="single" w:sz="4" w:space="0" w:color="auto"/>
              <w:right w:val="nil"/>
            </w:tcBorders>
            <w:noWrap/>
            <w:tcMar>
              <w:top w:w="13" w:type="dxa"/>
              <w:left w:w="13" w:type="dxa"/>
              <w:bottom w:w="0" w:type="dxa"/>
              <w:right w:w="13" w:type="dxa"/>
            </w:tcMar>
            <w:vAlign w:val="bottom"/>
          </w:tcPr>
          <w:p w:rsidR="00565FD5" w:rsidRPr="00C77C02" w:rsidRDefault="00565FD5" w:rsidP="00AB62A3">
            <w:pPr>
              <w:rPr>
                <w:rFonts w:cs="Tahoma"/>
                <w:b/>
                <w:bCs/>
                <w:sz w:val="14"/>
                <w:szCs w:val="14"/>
              </w:rPr>
            </w:pPr>
            <w:r w:rsidRPr="00C77C02">
              <w:rPr>
                <w:rFonts w:cs="Tahoma"/>
                <w:b/>
                <w:bCs/>
                <w:sz w:val="14"/>
                <w:szCs w:val="14"/>
              </w:rPr>
              <w:t xml:space="preserve">Toplam </w:t>
            </w:r>
          </w:p>
        </w:tc>
        <w:tc>
          <w:tcPr>
            <w:tcW w:w="634" w:type="dxa"/>
            <w:tcBorders>
              <w:left w:val="nil"/>
              <w:bottom w:val="single" w:sz="4" w:space="0" w:color="auto"/>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1 140,3</w:t>
            </w:r>
          </w:p>
        </w:tc>
        <w:tc>
          <w:tcPr>
            <w:tcW w:w="627" w:type="dxa"/>
            <w:tcBorders>
              <w:left w:val="nil"/>
              <w:bottom w:val="single" w:sz="4" w:space="0" w:color="auto"/>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6"/>
              </w:rPr>
            </w:pPr>
            <w:r w:rsidRPr="00C77C02">
              <w:rPr>
                <w:rFonts w:cs="Tahoma"/>
                <w:b/>
                <w:bCs/>
                <w:sz w:val="14"/>
                <w:szCs w:val="16"/>
              </w:rPr>
              <w:t>1 357,7</w:t>
            </w:r>
          </w:p>
        </w:tc>
        <w:tc>
          <w:tcPr>
            <w:tcW w:w="752" w:type="dxa"/>
            <w:tcBorders>
              <w:left w:val="nil"/>
              <w:bottom w:val="single" w:sz="4" w:space="0" w:color="auto"/>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 xml:space="preserve">1 </w:t>
            </w:r>
            <w:r>
              <w:rPr>
                <w:rFonts w:cs="Tahoma"/>
                <w:b/>
                <w:bCs/>
                <w:sz w:val="14"/>
                <w:szCs w:val="14"/>
              </w:rPr>
              <w:t>377,5</w:t>
            </w:r>
          </w:p>
        </w:tc>
        <w:tc>
          <w:tcPr>
            <w:tcW w:w="568" w:type="dxa"/>
            <w:tcBorders>
              <w:left w:val="nil"/>
              <w:bottom w:val="single" w:sz="4" w:space="0" w:color="auto"/>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737,2</w:t>
            </w:r>
          </w:p>
        </w:tc>
        <w:tc>
          <w:tcPr>
            <w:tcW w:w="709" w:type="dxa"/>
            <w:tcBorders>
              <w:left w:val="nil"/>
              <w:bottom w:val="single" w:sz="4" w:space="0" w:color="auto"/>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711,7</w:t>
            </w:r>
          </w:p>
        </w:tc>
        <w:tc>
          <w:tcPr>
            <w:tcW w:w="708" w:type="dxa"/>
            <w:tcBorders>
              <w:left w:val="nil"/>
              <w:bottom w:val="single" w:sz="4" w:space="0" w:color="auto"/>
              <w:right w:val="nil"/>
            </w:tcBorders>
            <w:vAlign w:val="bottom"/>
          </w:tcPr>
          <w:p w:rsidR="00565FD5" w:rsidRPr="00C77C02" w:rsidRDefault="00565FD5" w:rsidP="00AB62A3">
            <w:pPr>
              <w:jc w:val="right"/>
              <w:rPr>
                <w:rFonts w:cs="Tahoma"/>
                <w:b/>
                <w:bCs/>
                <w:sz w:val="14"/>
                <w:szCs w:val="14"/>
              </w:rPr>
            </w:pPr>
            <w:r>
              <w:rPr>
                <w:rFonts w:cs="Tahoma"/>
                <w:b/>
                <w:bCs/>
                <w:sz w:val="14"/>
                <w:szCs w:val="14"/>
              </w:rPr>
              <w:t>758</w:t>
            </w:r>
            <w:r w:rsidRPr="00C77C02">
              <w:rPr>
                <w:rFonts w:cs="Tahoma"/>
                <w:b/>
                <w:bCs/>
                <w:sz w:val="14"/>
                <w:szCs w:val="14"/>
              </w:rPr>
              <w:t>,8</w:t>
            </w:r>
          </w:p>
        </w:tc>
        <w:tc>
          <w:tcPr>
            <w:tcW w:w="853" w:type="dxa"/>
            <w:tcBorders>
              <w:left w:val="nil"/>
              <w:bottom w:val="single" w:sz="4" w:space="0" w:color="auto"/>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100,0</w:t>
            </w:r>
          </w:p>
        </w:tc>
        <w:tc>
          <w:tcPr>
            <w:tcW w:w="709" w:type="dxa"/>
            <w:tcBorders>
              <w:left w:val="nil"/>
              <w:bottom w:val="single" w:sz="4" w:space="0" w:color="auto"/>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100,0</w:t>
            </w:r>
          </w:p>
        </w:tc>
        <w:tc>
          <w:tcPr>
            <w:tcW w:w="851" w:type="dxa"/>
            <w:tcBorders>
              <w:left w:val="nil"/>
              <w:bottom w:val="single" w:sz="4" w:space="0" w:color="auto"/>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103,8</w:t>
            </w:r>
          </w:p>
        </w:tc>
        <w:tc>
          <w:tcPr>
            <w:tcW w:w="708" w:type="dxa"/>
            <w:tcBorders>
              <w:left w:val="nil"/>
              <w:bottom w:val="single" w:sz="4" w:space="0" w:color="auto"/>
              <w:right w:val="nil"/>
            </w:tcBorders>
            <w:noWrap/>
            <w:tcMar>
              <w:top w:w="13" w:type="dxa"/>
              <w:left w:w="13" w:type="dxa"/>
              <w:bottom w:w="0" w:type="dxa"/>
              <w:right w:w="13" w:type="dxa"/>
            </w:tcMar>
            <w:vAlign w:val="bottom"/>
          </w:tcPr>
          <w:p w:rsidR="00565FD5" w:rsidRPr="00C77C02" w:rsidRDefault="00565FD5" w:rsidP="00AB62A3">
            <w:pPr>
              <w:jc w:val="right"/>
              <w:rPr>
                <w:rFonts w:cs="Tahoma"/>
                <w:b/>
                <w:bCs/>
                <w:sz w:val="14"/>
                <w:szCs w:val="14"/>
              </w:rPr>
            </w:pPr>
            <w:r w:rsidRPr="00C77C02">
              <w:rPr>
                <w:rFonts w:cs="Tahoma"/>
                <w:b/>
                <w:bCs/>
                <w:sz w:val="14"/>
                <w:szCs w:val="14"/>
              </w:rPr>
              <w:t>104,6</w:t>
            </w:r>
          </w:p>
        </w:tc>
        <w:tc>
          <w:tcPr>
            <w:tcW w:w="567" w:type="dxa"/>
            <w:tcBorders>
              <w:left w:val="nil"/>
              <w:bottom w:val="single" w:sz="4" w:space="0" w:color="auto"/>
              <w:right w:val="nil"/>
            </w:tcBorders>
            <w:vAlign w:val="bottom"/>
          </w:tcPr>
          <w:p w:rsidR="00565FD5" w:rsidRPr="00C77C02" w:rsidRDefault="00565FD5" w:rsidP="00AB62A3">
            <w:pPr>
              <w:jc w:val="right"/>
              <w:rPr>
                <w:rFonts w:cs="Tahoma"/>
                <w:b/>
                <w:bCs/>
                <w:sz w:val="14"/>
                <w:szCs w:val="14"/>
              </w:rPr>
            </w:pPr>
            <w:r w:rsidRPr="00C77C02">
              <w:rPr>
                <w:rFonts w:cs="Tahoma"/>
                <w:b/>
                <w:bCs/>
                <w:sz w:val="14"/>
                <w:szCs w:val="14"/>
              </w:rPr>
              <w:t>883</w:t>
            </w:r>
            <w:r w:rsidRPr="00C77C02">
              <w:rPr>
                <w:rFonts w:cs="Tahoma"/>
                <w:b/>
                <w:bCs/>
                <w:sz w:val="14"/>
                <w:szCs w:val="14"/>
                <w:vertAlign w:val="superscript"/>
              </w:rPr>
              <w:t>(</w:t>
            </w:r>
            <w:r>
              <w:rPr>
                <w:rFonts w:cs="Tahoma"/>
                <w:b/>
                <w:bCs/>
                <w:sz w:val="14"/>
                <w:szCs w:val="14"/>
                <w:vertAlign w:val="superscript"/>
              </w:rPr>
              <w:t>5</w:t>
            </w:r>
            <w:r w:rsidRPr="00C77C02">
              <w:rPr>
                <w:rFonts w:cs="Tahoma"/>
                <w:b/>
                <w:bCs/>
                <w:sz w:val="14"/>
                <w:szCs w:val="14"/>
                <w:vertAlign w:val="superscript"/>
              </w:rPr>
              <w:t>)</w:t>
            </w:r>
          </w:p>
        </w:tc>
        <w:tc>
          <w:tcPr>
            <w:tcW w:w="567" w:type="dxa"/>
            <w:tcBorders>
              <w:left w:val="nil"/>
              <w:bottom w:val="single" w:sz="4" w:space="0" w:color="auto"/>
              <w:right w:val="nil"/>
            </w:tcBorders>
            <w:noWrap/>
            <w:tcMar>
              <w:top w:w="13" w:type="dxa"/>
              <w:left w:w="13" w:type="dxa"/>
              <w:bottom w:w="0" w:type="dxa"/>
              <w:right w:w="85" w:type="dxa"/>
            </w:tcMar>
            <w:vAlign w:val="bottom"/>
          </w:tcPr>
          <w:p w:rsidR="00565FD5" w:rsidRPr="00C77C02" w:rsidRDefault="00565FD5" w:rsidP="00AB62A3">
            <w:pPr>
              <w:jc w:val="right"/>
              <w:rPr>
                <w:rFonts w:cs="Tahoma"/>
                <w:b/>
                <w:bCs/>
                <w:color w:val="000000"/>
                <w:sz w:val="14"/>
                <w:szCs w:val="14"/>
              </w:rPr>
            </w:pPr>
            <w:r w:rsidRPr="00C77C02">
              <w:rPr>
                <w:rFonts w:cs="Tahoma"/>
                <w:b/>
                <w:bCs/>
                <w:color w:val="000000"/>
                <w:sz w:val="14"/>
                <w:szCs w:val="14"/>
              </w:rPr>
              <w:t>988</w:t>
            </w:r>
            <w:r w:rsidRPr="00C77C02">
              <w:rPr>
                <w:rFonts w:cs="Tahoma"/>
                <w:b/>
                <w:bCs/>
                <w:sz w:val="14"/>
                <w:szCs w:val="14"/>
                <w:vertAlign w:val="superscript"/>
              </w:rPr>
              <w:t>(</w:t>
            </w:r>
            <w:r>
              <w:rPr>
                <w:rFonts w:cs="Tahoma"/>
                <w:b/>
                <w:bCs/>
                <w:sz w:val="14"/>
                <w:szCs w:val="14"/>
                <w:vertAlign w:val="superscript"/>
              </w:rPr>
              <w:t>5</w:t>
            </w:r>
            <w:r w:rsidRPr="00C77C02">
              <w:rPr>
                <w:rFonts w:cs="Tahoma"/>
                <w:b/>
                <w:bCs/>
                <w:sz w:val="14"/>
                <w:szCs w:val="14"/>
                <w:vertAlign w:val="superscript"/>
              </w:rPr>
              <w:t>)</w:t>
            </w:r>
          </w:p>
        </w:tc>
        <w:tc>
          <w:tcPr>
            <w:tcW w:w="566" w:type="dxa"/>
            <w:tcBorders>
              <w:left w:val="nil"/>
              <w:bottom w:val="single" w:sz="4" w:space="0" w:color="auto"/>
            </w:tcBorders>
            <w:vAlign w:val="bottom"/>
          </w:tcPr>
          <w:p w:rsidR="00565FD5" w:rsidRPr="00C77C02" w:rsidRDefault="00565FD5" w:rsidP="00AB62A3">
            <w:pPr>
              <w:jc w:val="right"/>
              <w:rPr>
                <w:rFonts w:cs="Tahoma"/>
                <w:b/>
                <w:bCs/>
                <w:color w:val="000000"/>
                <w:sz w:val="14"/>
                <w:szCs w:val="14"/>
              </w:rPr>
            </w:pPr>
            <w:r w:rsidRPr="00C77C02">
              <w:rPr>
                <w:rFonts w:cs="Tahoma"/>
                <w:b/>
                <w:bCs/>
                <w:color w:val="000000"/>
                <w:sz w:val="14"/>
                <w:szCs w:val="14"/>
              </w:rPr>
              <w:t>-</w:t>
            </w:r>
          </w:p>
        </w:tc>
      </w:tr>
    </w:tbl>
    <w:p w:rsidR="00565FD5" w:rsidRPr="00D50652" w:rsidRDefault="00565FD5" w:rsidP="00565FD5">
      <w:pPr>
        <w:spacing w:before="40"/>
        <w:rPr>
          <w:rFonts w:cs="Tahoma"/>
          <w:sz w:val="14"/>
          <w:szCs w:val="14"/>
        </w:rPr>
      </w:pPr>
      <w:r w:rsidRPr="00D50652">
        <w:rPr>
          <w:rFonts w:cs="Tahoma"/>
          <w:sz w:val="14"/>
          <w:szCs w:val="14"/>
        </w:rPr>
        <w:t>Kaynak: BDDK, SPK, Hazine Müsteşarlığı, TSPAKB, Emeklilik Gözetim Merkezi</w:t>
      </w:r>
    </w:p>
    <w:p w:rsidR="00565FD5" w:rsidRDefault="00565FD5" w:rsidP="00565FD5">
      <w:pPr>
        <w:rPr>
          <w:rFonts w:cs="Tahoma"/>
          <w:sz w:val="14"/>
          <w:szCs w:val="14"/>
        </w:rPr>
      </w:pPr>
      <w:r w:rsidRPr="00D50652">
        <w:rPr>
          <w:rFonts w:cs="Tahoma"/>
          <w:sz w:val="14"/>
          <w:szCs w:val="14"/>
        </w:rPr>
        <w:t xml:space="preserve">(1) </w:t>
      </w:r>
      <w:r>
        <w:rPr>
          <w:rFonts w:cs="Tahoma"/>
          <w:sz w:val="14"/>
          <w:szCs w:val="14"/>
        </w:rPr>
        <w:t>Bazı sektörlerin 2012 yılı Haziran ayı resmi verisi bulunmadığından söz konusu döneme ait sektör payı ve GSYH’ya oranı verilmemiştir.</w:t>
      </w:r>
    </w:p>
    <w:p w:rsidR="00565FD5" w:rsidRPr="00D50652" w:rsidRDefault="00565FD5" w:rsidP="00565FD5">
      <w:pPr>
        <w:rPr>
          <w:rFonts w:cs="Tahoma"/>
          <w:sz w:val="14"/>
          <w:szCs w:val="14"/>
        </w:rPr>
      </w:pPr>
      <w:r>
        <w:rPr>
          <w:rFonts w:cs="Tahoma"/>
          <w:sz w:val="14"/>
          <w:szCs w:val="14"/>
        </w:rPr>
        <w:t xml:space="preserve">(2) </w:t>
      </w:r>
      <w:r w:rsidRPr="00D50652">
        <w:rPr>
          <w:rFonts w:cs="Tahoma"/>
          <w:sz w:val="14"/>
          <w:szCs w:val="14"/>
        </w:rPr>
        <w:t xml:space="preserve">2012 yılı verileri Haziran ayı itibarıyladır. </w:t>
      </w:r>
    </w:p>
    <w:p w:rsidR="00565FD5" w:rsidRPr="00D50652" w:rsidRDefault="00565FD5" w:rsidP="00565FD5">
      <w:pPr>
        <w:rPr>
          <w:rFonts w:cs="Tahoma"/>
          <w:sz w:val="14"/>
          <w:szCs w:val="14"/>
        </w:rPr>
      </w:pPr>
      <w:r w:rsidRPr="00D50652">
        <w:rPr>
          <w:rFonts w:cs="Tahoma"/>
          <w:sz w:val="14"/>
          <w:szCs w:val="14"/>
        </w:rPr>
        <w:lastRenderedPageBreak/>
        <w:t>(</w:t>
      </w:r>
      <w:r>
        <w:rPr>
          <w:rFonts w:cs="Tahoma"/>
          <w:sz w:val="14"/>
          <w:szCs w:val="14"/>
        </w:rPr>
        <w:t>3</w:t>
      </w:r>
      <w:r w:rsidRPr="00D50652">
        <w:rPr>
          <w:rFonts w:cs="Tahoma"/>
          <w:sz w:val="14"/>
          <w:szCs w:val="14"/>
        </w:rPr>
        <w:t>) 2010 yılı toplam işlem hacmi verisi kullanılmıştır.</w:t>
      </w:r>
    </w:p>
    <w:p w:rsidR="00565FD5" w:rsidRPr="00D50652" w:rsidRDefault="00565FD5" w:rsidP="00565FD5">
      <w:pPr>
        <w:rPr>
          <w:rFonts w:cs="Tahoma"/>
          <w:sz w:val="14"/>
          <w:szCs w:val="14"/>
        </w:rPr>
      </w:pPr>
      <w:r w:rsidRPr="00D50652">
        <w:rPr>
          <w:rFonts w:cs="Tahoma"/>
          <w:sz w:val="14"/>
          <w:szCs w:val="14"/>
        </w:rPr>
        <w:t>(</w:t>
      </w:r>
      <w:r>
        <w:rPr>
          <w:rFonts w:cs="Tahoma"/>
          <w:sz w:val="14"/>
          <w:szCs w:val="14"/>
        </w:rPr>
        <w:t>4</w:t>
      </w:r>
      <w:r w:rsidRPr="00D50652">
        <w:rPr>
          <w:rFonts w:cs="Tahoma"/>
          <w:sz w:val="14"/>
          <w:szCs w:val="14"/>
        </w:rPr>
        <w:t>) 2011 yılı Eylül ayı itibarıyladır.</w:t>
      </w:r>
    </w:p>
    <w:p w:rsidR="00565FD5" w:rsidRPr="00D50652" w:rsidRDefault="00565FD5" w:rsidP="00565FD5">
      <w:pPr>
        <w:spacing w:after="240"/>
        <w:rPr>
          <w:rFonts w:cs="Tahoma"/>
          <w:sz w:val="14"/>
          <w:szCs w:val="14"/>
        </w:rPr>
      </w:pPr>
      <w:r w:rsidRPr="00D50652">
        <w:rPr>
          <w:rFonts w:cs="Tahoma"/>
          <w:sz w:val="14"/>
          <w:szCs w:val="14"/>
        </w:rPr>
        <w:t>(</w:t>
      </w:r>
      <w:r>
        <w:rPr>
          <w:rFonts w:cs="Tahoma"/>
          <w:sz w:val="14"/>
          <w:szCs w:val="14"/>
        </w:rPr>
        <w:t>5</w:t>
      </w:r>
      <w:r w:rsidRPr="00D50652">
        <w:rPr>
          <w:rFonts w:cs="Tahoma"/>
          <w:sz w:val="14"/>
          <w:szCs w:val="14"/>
        </w:rPr>
        <w:t>) Yetkili müessese ve ikrazatçılar hariç kuruluş sayısı verilmektedir.</w:t>
      </w:r>
    </w:p>
    <w:p w:rsidR="00565FD5" w:rsidRPr="00D50652" w:rsidRDefault="00565FD5" w:rsidP="00565FD5">
      <w:pPr>
        <w:pStyle w:val="BodyText2"/>
        <w:rPr>
          <w:b/>
        </w:rPr>
        <w:sectPr w:rsidR="00565FD5" w:rsidRPr="00D50652" w:rsidSect="00B50093">
          <w:footerReference w:type="default" r:id="rId28"/>
          <w:pgSz w:w="16838" w:h="11906" w:orient="landscape"/>
          <w:pgMar w:top="2381" w:right="2948" w:bottom="2381" w:left="2948" w:header="1985" w:footer="1985" w:gutter="0"/>
          <w:cols w:space="708"/>
          <w:docGrid w:linePitch="245"/>
        </w:sectPr>
      </w:pPr>
    </w:p>
    <w:p w:rsidR="00565FD5" w:rsidRPr="00D50652" w:rsidRDefault="00565FD5" w:rsidP="00565FD5">
      <w:pPr>
        <w:pStyle w:val="BodyText2"/>
        <w:rPr>
          <w:b/>
        </w:rPr>
      </w:pPr>
      <w:r w:rsidRPr="00D50652">
        <w:rPr>
          <w:b/>
        </w:rPr>
        <w:lastRenderedPageBreak/>
        <w:t>Bankacılık</w:t>
      </w:r>
    </w:p>
    <w:p w:rsidR="00565FD5" w:rsidRPr="00D50652" w:rsidRDefault="00565FD5" w:rsidP="00565FD5">
      <w:pPr>
        <w:spacing w:after="180"/>
        <w:ind w:firstLine="425"/>
        <w:rPr>
          <w:rFonts w:cs="Tahoma"/>
          <w:szCs w:val="18"/>
          <w:lang w:bidi="ar-BH"/>
        </w:rPr>
      </w:pPr>
      <w:bookmarkStart w:id="1452" w:name="_Toc307601661"/>
      <w:bookmarkStart w:id="1453" w:name="_Toc307657884"/>
      <w:bookmarkStart w:id="1454" w:name="_Toc307713576"/>
      <w:bookmarkStart w:id="1455" w:name="_Toc212712780"/>
      <w:bookmarkStart w:id="1456" w:name="_Toc213071688"/>
      <w:bookmarkStart w:id="1457" w:name="_Toc244255254"/>
      <w:bookmarkStart w:id="1458" w:name="_Toc275873937"/>
      <w:bookmarkStart w:id="1459" w:name="_Toc276076479"/>
      <w:r w:rsidRPr="00D50652">
        <w:rPr>
          <w:rFonts w:cs="Tahoma"/>
          <w:szCs w:val="18"/>
          <w:lang w:bidi="ar-BH"/>
        </w:rPr>
        <w:t xml:space="preserve">Türk bankacılık sektörü 2012 yılında büyümesini sürdürmekte ve sektörün sağlamlık göstergeleri istikrarlı gidişatı teyit etmektedir. 2012 yılı Haziran ayı itibarıyla faaliyet gösteren 48 adet bankanın 31’i mevduat bankası, 13’ü kalkınma ve yatırım bankası ve 4’ü katılım bankasıdır. </w:t>
      </w:r>
    </w:p>
    <w:p w:rsidR="00565FD5" w:rsidRPr="00D50652" w:rsidRDefault="00565FD5" w:rsidP="00565FD5">
      <w:pPr>
        <w:spacing w:after="180"/>
        <w:ind w:firstLine="425"/>
        <w:rPr>
          <w:rFonts w:cs="Tahoma"/>
          <w:szCs w:val="18"/>
          <w:lang w:bidi="ar-BH"/>
        </w:rPr>
      </w:pPr>
      <w:r w:rsidRPr="00D50652">
        <w:rPr>
          <w:rFonts w:cs="Tahoma"/>
          <w:szCs w:val="18"/>
          <w:lang w:bidi="ar-BH"/>
        </w:rPr>
        <w:t>2012 yılı Haziran ayı itibarıyla Türk bankacılık sektörünün aktif büyüklüğü geçen yılın aynı dönemine göre TL bazında yüzde 11,1 oranında artarak 1,3 trilyon TL; ABD doları bazında ise yüzde 0,3 oranında düşerek 709 milyar ABD doları olarak gerçekleşmiştir. Sektör aktif büyüklüğünün GSYH’y</w:t>
      </w:r>
      <w:r>
        <w:rPr>
          <w:rFonts w:cs="Tahoma"/>
          <w:szCs w:val="18"/>
          <w:lang w:bidi="ar-BH"/>
        </w:rPr>
        <w:t>a</w:t>
      </w:r>
      <w:r w:rsidRPr="00D50652">
        <w:rPr>
          <w:rFonts w:cs="Tahoma"/>
          <w:szCs w:val="18"/>
          <w:lang w:bidi="ar-BH"/>
        </w:rPr>
        <w:t xml:space="preserve"> oranı da söz konusu dönemde 2,6 puan azalarak yüzde 93’e gerilemiştir. </w:t>
      </w:r>
    </w:p>
    <w:p w:rsidR="00565FD5" w:rsidRPr="00D50652" w:rsidRDefault="00565FD5" w:rsidP="00565FD5">
      <w:pPr>
        <w:pStyle w:val="ResimYazs"/>
        <w:rPr>
          <w:b w:val="0"/>
        </w:rPr>
      </w:pPr>
      <w:bookmarkStart w:id="1460" w:name="_Toc338606004"/>
      <w:bookmarkStart w:id="1461" w:name="_Toc338711779"/>
      <w:r>
        <w:t xml:space="preserve">TABLO IV: </w:t>
      </w:r>
      <w:fldSimple w:instr=" SEQ TABLO_IV: \* ARABIC ">
        <w:r>
          <w:rPr>
            <w:noProof/>
          </w:rPr>
          <w:t>9</w:t>
        </w:r>
      </w:fldSimple>
      <w:r w:rsidRPr="00D50652">
        <w:t xml:space="preserve">- Bankacılık Sektörü Temel Göstergeleri </w:t>
      </w:r>
      <w:r w:rsidRPr="004C29A2">
        <w:rPr>
          <w:b w:val="0"/>
        </w:rPr>
        <w:t>(1)</w:t>
      </w:r>
      <w:bookmarkEnd w:id="1452"/>
      <w:bookmarkEnd w:id="1453"/>
      <w:bookmarkEnd w:id="1454"/>
      <w:bookmarkEnd w:id="1460"/>
      <w:bookmarkEnd w:id="1461"/>
    </w:p>
    <w:tbl>
      <w:tblPr>
        <w:tblW w:w="48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02"/>
        <w:gridCol w:w="717"/>
        <w:gridCol w:w="851"/>
        <w:gridCol w:w="709"/>
        <w:gridCol w:w="709"/>
      </w:tblGrid>
      <w:tr w:rsidR="00565FD5" w:rsidRPr="00D50652" w:rsidTr="00AB62A3">
        <w:trPr>
          <w:trHeight w:val="198"/>
        </w:trPr>
        <w:tc>
          <w:tcPr>
            <w:tcW w:w="4102" w:type="dxa"/>
            <w:tcBorders>
              <w:bottom w:val="nil"/>
              <w:right w:val="nil"/>
            </w:tcBorders>
            <w:vAlign w:val="center"/>
          </w:tcPr>
          <w:p w:rsidR="00565FD5" w:rsidRPr="00D50652" w:rsidRDefault="00565FD5" w:rsidP="00AB62A3">
            <w:pPr>
              <w:rPr>
                <w:rFonts w:cs="Tahoma"/>
                <w:b/>
                <w:bCs/>
                <w:sz w:val="14"/>
                <w:szCs w:val="14"/>
              </w:rPr>
            </w:pPr>
          </w:p>
        </w:tc>
        <w:tc>
          <w:tcPr>
            <w:tcW w:w="1568" w:type="dxa"/>
            <w:gridSpan w:val="2"/>
            <w:tcBorders>
              <w:left w:val="nil"/>
              <w:bottom w:val="nil"/>
              <w:right w:val="nil"/>
            </w:tcBorders>
            <w:vAlign w:val="center"/>
          </w:tcPr>
          <w:p w:rsidR="00565FD5" w:rsidRPr="00D50652" w:rsidRDefault="00565FD5" w:rsidP="00AB62A3">
            <w:pPr>
              <w:jc w:val="right"/>
              <w:rPr>
                <w:rFonts w:cs="Tahoma"/>
                <w:b/>
                <w:bCs/>
                <w:sz w:val="14"/>
                <w:szCs w:val="14"/>
              </w:rPr>
            </w:pPr>
          </w:p>
        </w:tc>
        <w:tc>
          <w:tcPr>
            <w:tcW w:w="1418" w:type="dxa"/>
            <w:gridSpan w:val="2"/>
            <w:tcBorders>
              <w:left w:val="nil"/>
            </w:tcBorders>
            <w:vAlign w:val="center"/>
          </w:tcPr>
          <w:p w:rsidR="00565FD5" w:rsidRPr="00D50652" w:rsidRDefault="00565FD5" w:rsidP="00AB62A3">
            <w:pPr>
              <w:jc w:val="center"/>
              <w:rPr>
                <w:rFonts w:cs="Tahoma"/>
                <w:b/>
                <w:sz w:val="14"/>
                <w:szCs w:val="14"/>
              </w:rPr>
            </w:pPr>
            <w:r w:rsidRPr="00D50652">
              <w:rPr>
                <w:rFonts w:cs="Tahoma"/>
                <w:b/>
                <w:sz w:val="14"/>
                <w:szCs w:val="14"/>
              </w:rPr>
              <w:t>Haziran</w:t>
            </w:r>
          </w:p>
        </w:tc>
      </w:tr>
      <w:tr w:rsidR="00565FD5" w:rsidRPr="00D50652" w:rsidTr="00AB62A3">
        <w:trPr>
          <w:trHeight w:val="198"/>
        </w:trPr>
        <w:tc>
          <w:tcPr>
            <w:tcW w:w="4102" w:type="dxa"/>
            <w:tcBorders>
              <w:top w:val="nil"/>
              <w:right w:val="nil"/>
            </w:tcBorders>
            <w:vAlign w:val="center"/>
          </w:tcPr>
          <w:p w:rsidR="00565FD5" w:rsidRPr="00D50652" w:rsidRDefault="00565FD5" w:rsidP="00AB62A3">
            <w:pPr>
              <w:rPr>
                <w:rFonts w:cs="Tahoma"/>
                <w:b/>
                <w:bCs/>
                <w:sz w:val="14"/>
                <w:szCs w:val="14"/>
              </w:rPr>
            </w:pPr>
          </w:p>
        </w:tc>
        <w:tc>
          <w:tcPr>
            <w:tcW w:w="717" w:type="dxa"/>
            <w:tcBorders>
              <w:top w:val="nil"/>
              <w:left w:val="nil"/>
              <w:right w:val="nil"/>
            </w:tcBorders>
            <w:vAlign w:val="center"/>
          </w:tcPr>
          <w:p w:rsidR="00565FD5" w:rsidRPr="00D50652" w:rsidRDefault="00565FD5" w:rsidP="00AB62A3">
            <w:pPr>
              <w:jc w:val="right"/>
              <w:rPr>
                <w:rFonts w:cs="Tahoma"/>
                <w:b/>
                <w:bCs/>
                <w:sz w:val="14"/>
                <w:szCs w:val="14"/>
              </w:rPr>
            </w:pPr>
            <w:r w:rsidRPr="00D50652">
              <w:rPr>
                <w:rFonts w:cs="Tahoma"/>
                <w:b/>
                <w:bCs/>
                <w:sz w:val="14"/>
                <w:szCs w:val="14"/>
              </w:rPr>
              <w:t>2010</w:t>
            </w:r>
          </w:p>
        </w:tc>
        <w:tc>
          <w:tcPr>
            <w:tcW w:w="851" w:type="dxa"/>
            <w:tcBorders>
              <w:top w:val="nil"/>
              <w:left w:val="nil"/>
              <w:right w:val="nil"/>
            </w:tcBorders>
            <w:vAlign w:val="center"/>
          </w:tcPr>
          <w:p w:rsidR="00565FD5" w:rsidRPr="00D50652" w:rsidRDefault="00565FD5" w:rsidP="00AB62A3">
            <w:pPr>
              <w:jc w:val="right"/>
              <w:rPr>
                <w:rFonts w:cs="Tahoma"/>
                <w:b/>
                <w:bCs/>
                <w:sz w:val="14"/>
                <w:szCs w:val="14"/>
              </w:rPr>
            </w:pPr>
            <w:r w:rsidRPr="00D50652">
              <w:rPr>
                <w:rFonts w:cs="Tahoma"/>
                <w:b/>
                <w:bCs/>
                <w:sz w:val="14"/>
                <w:szCs w:val="14"/>
              </w:rPr>
              <w:t>2011</w:t>
            </w:r>
          </w:p>
        </w:tc>
        <w:tc>
          <w:tcPr>
            <w:tcW w:w="709" w:type="dxa"/>
            <w:tcBorders>
              <w:left w:val="nil"/>
              <w:right w:val="nil"/>
            </w:tcBorders>
            <w:vAlign w:val="center"/>
          </w:tcPr>
          <w:p w:rsidR="00565FD5" w:rsidRPr="00D50652" w:rsidRDefault="00565FD5" w:rsidP="00AB62A3">
            <w:pPr>
              <w:jc w:val="right"/>
              <w:rPr>
                <w:rFonts w:cs="Tahoma"/>
                <w:b/>
                <w:bCs/>
                <w:sz w:val="14"/>
                <w:szCs w:val="14"/>
              </w:rPr>
            </w:pPr>
            <w:r w:rsidRPr="00D50652">
              <w:rPr>
                <w:rFonts w:cs="Tahoma"/>
                <w:b/>
                <w:bCs/>
                <w:sz w:val="14"/>
                <w:szCs w:val="14"/>
              </w:rPr>
              <w:t>2011</w:t>
            </w:r>
          </w:p>
        </w:tc>
        <w:tc>
          <w:tcPr>
            <w:tcW w:w="709" w:type="dxa"/>
            <w:tcBorders>
              <w:left w:val="nil"/>
            </w:tcBorders>
            <w:vAlign w:val="center"/>
          </w:tcPr>
          <w:p w:rsidR="00565FD5" w:rsidRPr="00D50652" w:rsidRDefault="00565FD5" w:rsidP="00AB62A3">
            <w:pPr>
              <w:jc w:val="right"/>
              <w:rPr>
                <w:rFonts w:cs="Tahoma"/>
                <w:b/>
                <w:sz w:val="14"/>
                <w:szCs w:val="14"/>
              </w:rPr>
            </w:pPr>
            <w:r w:rsidRPr="00D50652">
              <w:rPr>
                <w:rFonts w:cs="Tahoma"/>
                <w:b/>
                <w:sz w:val="14"/>
                <w:szCs w:val="14"/>
              </w:rPr>
              <w:t>2012</w:t>
            </w:r>
          </w:p>
        </w:tc>
      </w:tr>
      <w:tr w:rsidR="00565FD5" w:rsidRPr="00D50652" w:rsidTr="00AB62A3">
        <w:trPr>
          <w:trHeight w:val="198"/>
        </w:trPr>
        <w:tc>
          <w:tcPr>
            <w:tcW w:w="4102" w:type="dxa"/>
            <w:tcBorders>
              <w:bottom w:val="nil"/>
              <w:right w:val="nil"/>
            </w:tcBorders>
            <w:vAlign w:val="center"/>
          </w:tcPr>
          <w:p w:rsidR="00565FD5" w:rsidRPr="00D50652" w:rsidRDefault="00565FD5" w:rsidP="00AB62A3">
            <w:pPr>
              <w:rPr>
                <w:rFonts w:cs="Tahoma"/>
                <w:b/>
                <w:bCs/>
                <w:sz w:val="14"/>
                <w:szCs w:val="14"/>
              </w:rPr>
            </w:pPr>
            <w:r w:rsidRPr="00D50652">
              <w:rPr>
                <w:rFonts w:cs="Tahoma"/>
                <w:b/>
                <w:sz w:val="14"/>
                <w:szCs w:val="14"/>
              </w:rPr>
              <w:t>Temel Büyüklükler</w:t>
            </w:r>
          </w:p>
        </w:tc>
        <w:tc>
          <w:tcPr>
            <w:tcW w:w="717" w:type="dxa"/>
            <w:tcBorders>
              <w:left w:val="nil"/>
              <w:bottom w:val="nil"/>
              <w:right w:val="nil"/>
            </w:tcBorders>
            <w:vAlign w:val="center"/>
          </w:tcPr>
          <w:p w:rsidR="00565FD5" w:rsidRPr="00D50652" w:rsidRDefault="00565FD5" w:rsidP="00AB62A3">
            <w:pPr>
              <w:jc w:val="right"/>
              <w:rPr>
                <w:rFonts w:cs="Tahoma"/>
                <w:b/>
                <w:bCs/>
                <w:sz w:val="14"/>
                <w:szCs w:val="14"/>
              </w:rPr>
            </w:pPr>
          </w:p>
        </w:tc>
        <w:tc>
          <w:tcPr>
            <w:tcW w:w="851" w:type="dxa"/>
            <w:tcBorders>
              <w:left w:val="nil"/>
              <w:bottom w:val="nil"/>
              <w:right w:val="nil"/>
            </w:tcBorders>
            <w:vAlign w:val="center"/>
          </w:tcPr>
          <w:p w:rsidR="00565FD5" w:rsidRPr="00D50652" w:rsidRDefault="00565FD5" w:rsidP="00AB62A3">
            <w:pPr>
              <w:jc w:val="right"/>
              <w:rPr>
                <w:rFonts w:cs="Tahoma"/>
                <w:b/>
                <w:bCs/>
                <w:sz w:val="14"/>
                <w:szCs w:val="14"/>
              </w:rPr>
            </w:pPr>
          </w:p>
        </w:tc>
        <w:tc>
          <w:tcPr>
            <w:tcW w:w="709" w:type="dxa"/>
            <w:tcBorders>
              <w:left w:val="nil"/>
              <w:bottom w:val="nil"/>
              <w:right w:val="nil"/>
            </w:tcBorders>
            <w:vAlign w:val="center"/>
          </w:tcPr>
          <w:p w:rsidR="00565FD5" w:rsidRPr="00D50652" w:rsidRDefault="00565FD5" w:rsidP="00AB62A3">
            <w:pPr>
              <w:jc w:val="right"/>
              <w:rPr>
                <w:rFonts w:cs="Tahoma"/>
                <w:b/>
                <w:bCs/>
                <w:sz w:val="14"/>
                <w:szCs w:val="14"/>
              </w:rPr>
            </w:pPr>
          </w:p>
        </w:tc>
        <w:tc>
          <w:tcPr>
            <w:tcW w:w="709" w:type="dxa"/>
            <w:tcBorders>
              <w:left w:val="nil"/>
              <w:bottom w:val="nil"/>
            </w:tcBorders>
            <w:vAlign w:val="center"/>
          </w:tcPr>
          <w:p w:rsidR="00565FD5" w:rsidRPr="00D50652" w:rsidRDefault="00565FD5" w:rsidP="00AB62A3">
            <w:pPr>
              <w:jc w:val="right"/>
              <w:rPr>
                <w:rFonts w:cs="Tahoma"/>
                <w:b/>
                <w:bCs/>
                <w:sz w:val="14"/>
                <w:szCs w:val="14"/>
              </w:rPr>
            </w:pPr>
          </w:p>
        </w:tc>
      </w:tr>
      <w:tr w:rsidR="00565FD5" w:rsidRPr="00D50652" w:rsidTr="00AB62A3">
        <w:trPr>
          <w:trHeight w:val="198"/>
        </w:trPr>
        <w:tc>
          <w:tcPr>
            <w:tcW w:w="4102" w:type="dxa"/>
            <w:tcBorders>
              <w:top w:val="nil"/>
              <w:bottom w:val="nil"/>
              <w:right w:val="nil"/>
            </w:tcBorders>
            <w:vAlign w:val="center"/>
          </w:tcPr>
          <w:p w:rsidR="00565FD5" w:rsidRPr="00D50652" w:rsidRDefault="00565FD5" w:rsidP="00AB62A3">
            <w:pPr>
              <w:rPr>
                <w:rFonts w:cs="Tahoma"/>
                <w:sz w:val="14"/>
                <w:szCs w:val="14"/>
              </w:rPr>
            </w:pPr>
            <w:r w:rsidRPr="00D50652">
              <w:rPr>
                <w:rFonts w:cs="Tahoma"/>
                <w:sz w:val="14"/>
                <w:szCs w:val="14"/>
              </w:rPr>
              <w:t>Aktif Büyüklüğü (Milyar TL)</w:t>
            </w:r>
          </w:p>
        </w:tc>
        <w:tc>
          <w:tcPr>
            <w:tcW w:w="717"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1 007</w:t>
            </w:r>
          </w:p>
        </w:tc>
        <w:tc>
          <w:tcPr>
            <w:tcW w:w="851"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1 218</w:t>
            </w:r>
          </w:p>
        </w:tc>
        <w:tc>
          <w:tcPr>
            <w:tcW w:w="709"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1 146</w:t>
            </w:r>
          </w:p>
        </w:tc>
        <w:tc>
          <w:tcPr>
            <w:tcW w:w="709" w:type="dxa"/>
            <w:tcBorders>
              <w:top w:val="nil"/>
              <w:left w:val="nil"/>
              <w:bottom w:val="nil"/>
            </w:tcBorders>
            <w:vAlign w:val="center"/>
          </w:tcPr>
          <w:p w:rsidR="00565FD5" w:rsidRPr="00D50652" w:rsidRDefault="00565FD5" w:rsidP="00AB62A3">
            <w:pPr>
              <w:jc w:val="right"/>
              <w:rPr>
                <w:rFonts w:cs="Tahoma"/>
                <w:sz w:val="14"/>
                <w:szCs w:val="14"/>
              </w:rPr>
            </w:pPr>
            <w:r w:rsidRPr="00D50652">
              <w:rPr>
                <w:rFonts w:cs="Tahoma"/>
                <w:sz w:val="14"/>
                <w:szCs w:val="14"/>
              </w:rPr>
              <w:t>1 274</w:t>
            </w:r>
          </w:p>
        </w:tc>
      </w:tr>
      <w:tr w:rsidR="00565FD5" w:rsidRPr="00D50652" w:rsidTr="00AB62A3">
        <w:trPr>
          <w:trHeight w:val="198"/>
        </w:trPr>
        <w:tc>
          <w:tcPr>
            <w:tcW w:w="4102" w:type="dxa"/>
            <w:tcBorders>
              <w:top w:val="nil"/>
              <w:bottom w:val="nil"/>
              <w:right w:val="nil"/>
            </w:tcBorders>
            <w:vAlign w:val="center"/>
          </w:tcPr>
          <w:p w:rsidR="00565FD5" w:rsidRPr="00D50652" w:rsidRDefault="00565FD5" w:rsidP="00AB62A3">
            <w:pPr>
              <w:rPr>
                <w:rFonts w:cs="Tahoma"/>
                <w:sz w:val="14"/>
                <w:szCs w:val="14"/>
              </w:rPr>
            </w:pPr>
            <w:r w:rsidRPr="00D50652">
              <w:rPr>
                <w:rFonts w:cs="Tahoma"/>
                <w:sz w:val="14"/>
                <w:szCs w:val="14"/>
              </w:rPr>
              <w:t>Krediler (Milyar TL)</w:t>
            </w:r>
          </w:p>
        </w:tc>
        <w:tc>
          <w:tcPr>
            <w:tcW w:w="717"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526</w:t>
            </w:r>
          </w:p>
        </w:tc>
        <w:tc>
          <w:tcPr>
            <w:tcW w:w="851"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683</w:t>
            </w:r>
          </w:p>
        </w:tc>
        <w:tc>
          <w:tcPr>
            <w:tcW w:w="709"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620</w:t>
            </w:r>
          </w:p>
        </w:tc>
        <w:tc>
          <w:tcPr>
            <w:tcW w:w="709" w:type="dxa"/>
            <w:tcBorders>
              <w:top w:val="nil"/>
              <w:left w:val="nil"/>
              <w:bottom w:val="nil"/>
            </w:tcBorders>
            <w:vAlign w:val="center"/>
          </w:tcPr>
          <w:p w:rsidR="00565FD5" w:rsidRPr="00D50652" w:rsidRDefault="00565FD5" w:rsidP="00AB62A3">
            <w:pPr>
              <w:jc w:val="right"/>
              <w:rPr>
                <w:rFonts w:cs="Tahoma"/>
                <w:sz w:val="14"/>
                <w:szCs w:val="14"/>
              </w:rPr>
            </w:pPr>
            <w:r w:rsidRPr="00D50652">
              <w:rPr>
                <w:rFonts w:cs="Tahoma"/>
                <w:sz w:val="14"/>
                <w:szCs w:val="14"/>
              </w:rPr>
              <w:t>737</w:t>
            </w:r>
          </w:p>
        </w:tc>
      </w:tr>
      <w:tr w:rsidR="00565FD5" w:rsidRPr="00D50652" w:rsidTr="00AB62A3">
        <w:trPr>
          <w:trHeight w:val="198"/>
        </w:trPr>
        <w:tc>
          <w:tcPr>
            <w:tcW w:w="4102" w:type="dxa"/>
            <w:tcBorders>
              <w:top w:val="nil"/>
              <w:bottom w:val="nil"/>
              <w:right w:val="nil"/>
            </w:tcBorders>
            <w:vAlign w:val="center"/>
          </w:tcPr>
          <w:p w:rsidR="00565FD5" w:rsidRPr="00D50652" w:rsidRDefault="00565FD5" w:rsidP="00AB62A3">
            <w:pPr>
              <w:rPr>
                <w:rFonts w:cs="Tahoma"/>
                <w:sz w:val="14"/>
                <w:szCs w:val="14"/>
              </w:rPr>
            </w:pPr>
            <w:r w:rsidRPr="00D50652">
              <w:rPr>
                <w:rFonts w:cs="Tahoma"/>
                <w:sz w:val="14"/>
                <w:szCs w:val="14"/>
              </w:rPr>
              <w:t>Mevduat (Milyar TL)</w:t>
            </w:r>
          </w:p>
        </w:tc>
        <w:tc>
          <w:tcPr>
            <w:tcW w:w="717"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617</w:t>
            </w:r>
          </w:p>
        </w:tc>
        <w:tc>
          <w:tcPr>
            <w:tcW w:w="851"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696</w:t>
            </w:r>
          </w:p>
        </w:tc>
        <w:tc>
          <w:tcPr>
            <w:tcW w:w="709"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659</w:t>
            </w:r>
          </w:p>
        </w:tc>
        <w:tc>
          <w:tcPr>
            <w:tcW w:w="709" w:type="dxa"/>
            <w:tcBorders>
              <w:top w:val="nil"/>
              <w:left w:val="nil"/>
              <w:bottom w:val="nil"/>
            </w:tcBorders>
            <w:vAlign w:val="center"/>
          </w:tcPr>
          <w:p w:rsidR="00565FD5" w:rsidRPr="00D50652" w:rsidRDefault="00565FD5" w:rsidP="00AB62A3">
            <w:pPr>
              <w:jc w:val="right"/>
              <w:rPr>
                <w:rFonts w:cs="Tahoma"/>
                <w:sz w:val="14"/>
                <w:szCs w:val="14"/>
              </w:rPr>
            </w:pPr>
            <w:r w:rsidRPr="00D50652">
              <w:rPr>
                <w:rFonts w:cs="Tahoma"/>
                <w:sz w:val="14"/>
                <w:szCs w:val="14"/>
              </w:rPr>
              <w:t>719</w:t>
            </w:r>
          </w:p>
        </w:tc>
      </w:tr>
      <w:tr w:rsidR="00565FD5" w:rsidRPr="00D50652" w:rsidTr="00AB62A3">
        <w:trPr>
          <w:trHeight w:val="198"/>
        </w:trPr>
        <w:tc>
          <w:tcPr>
            <w:tcW w:w="4102" w:type="dxa"/>
            <w:tcBorders>
              <w:top w:val="nil"/>
              <w:bottom w:val="nil"/>
              <w:right w:val="nil"/>
            </w:tcBorders>
            <w:vAlign w:val="center"/>
          </w:tcPr>
          <w:p w:rsidR="00565FD5" w:rsidRPr="00D50652" w:rsidRDefault="00565FD5" w:rsidP="00AB62A3">
            <w:pPr>
              <w:rPr>
                <w:rFonts w:cs="Tahoma"/>
                <w:sz w:val="14"/>
                <w:szCs w:val="14"/>
              </w:rPr>
            </w:pPr>
            <w:r w:rsidRPr="00D50652">
              <w:rPr>
                <w:rFonts w:cs="Tahoma"/>
                <w:sz w:val="14"/>
                <w:szCs w:val="14"/>
              </w:rPr>
              <w:t xml:space="preserve">Banka Sayısı </w:t>
            </w:r>
          </w:p>
        </w:tc>
        <w:tc>
          <w:tcPr>
            <w:tcW w:w="717"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49</w:t>
            </w:r>
          </w:p>
        </w:tc>
        <w:tc>
          <w:tcPr>
            <w:tcW w:w="851"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48</w:t>
            </w:r>
          </w:p>
        </w:tc>
        <w:tc>
          <w:tcPr>
            <w:tcW w:w="709"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48</w:t>
            </w:r>
          </w:p>
        </w:tc>
        <w:tc>
          <w:tcPr>
            <w:tcW w:w="709" w:type="dxa"/>
            <w:tcBorders>
              <w:top w:val="nil"/>
              <w:left w:val="nil"/>
              <w:bottom w:val="nil"/>
            </w:tcBorders>
            <w:vAlign w:val="center"/>
          </w:tcPr>
          <w:p w:rsidR="00565FD5" w:rsidRPr="00D50652" w:rsidRDefault="00565FD5" w:rsidP="00AB62A3">
            <w:pPr>
              <w:jc w:val="right"/>
              <w:rPr>
                <w:rFonts w:cs="Tahoma"/>
                <w:sz w:val="14"/>
                <w:szCs w:val="14"/>
              </w:rPr>
            </w:pPr>
            <w:r w:rsidRPr="00D50652">
              <w:rPr>
                <w:rFonts w:cs="Tahoma"/>
                <w:sz w:val="14"/>
                <w:szCs w:val="14"/>
              </w:rPr>
              <w:t>48</w:t>
            </w:r>
          </w:p>
        </w:tc>
      </w:tr>
      <w:tr w:rsidR="00565FD5" w:rsidRPr="00D50652" w:rsidTr="00AB62A3">
        <w:trPr>
          <w:trHeight w:val="198"/>
        </w:trPr>
        <w:tc>
          <w:tcPr>
            <w:tcW w:w="4102" w:type="dxa"/>
            <w:tcBorders>
              <w:top w:val="nil"/>
              <w:bottom w:val="nil"/>
              <w:right w:val="nil"/>
            </w:tcBorders>
            <w:vAlign w:val="center"/>
          </w:tcPr>
          <w:p w:rsidR="00565FD5" w:rsidRPr="00D50652" w:rsidRDefault="00565FD5" w:rsidP="00AB62A3">
            <w:pPr>
              <w:rPr>
                <w:rFonts w:cs="Tahoma"/>
                <w:sz w:val="14"/>
                <w:szCs w:val="14"/>
              </w:rPr>
            </w:pPr>
            <w:r w:rsidRPr="00D50652">
              <w:rPr>
                <w:rFonts w:cs="Tahoma"/>
                <w:sz w:val="14"/>
                <w:szCs w:val="14"/>
              </w:rPr>
              <w:t xml:space="preserve">Şube Sayısı </w:t>
            </w:r>
          </w:p>
        </w:tc>
        <w:tc>
          <w:tcPr>
            <w:tcW w:w="717"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10 066</w:t>
            </w:r>
          </w:p>
        </w:tc>
        <w:tc>
          <w:tcPr>
            <w:tcW w:w="851"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10 517</w:t>
            </w:r>
          </w:p>
        </w:tc>
        <w:tc>
          <w:tcPr>
            <w:tcW w:w="709"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10 351</w:t>
            </w:r>
          </w:p>
        </w:tc>
        <w:tc>
          <w:tcPr>
            <w:tcW w:w="709" w:type="dxa"/>
            <w:tcBorders>
              <w:top w:val="nil"/>
              <w:left w:val="nil"/>
              <w:bottom w:val="nil"/>
            </w:tcBorders>
            <w:vAlign w:val="center"/>
          </w:tcPr>
          <w:p w:rsidR="00565FD5" w:rsidRPr="00D50652" w:rsidRDefault="00565FD5" w:rsidP="00AB62A3">
            <w:pPr>
              <w:jc w:val="right"/>
              <w:rPr>
                <w:rFonts w:cs="Tahoma"/>
                <w:sz w:val="14"/>
                <w:szCs w:val="14"/>
              </w:rPr>
            </w:pPr>
            <w:r w:rsidRPr="00D50652">
              <w:rPr>
                <w:rFonts w:cs="Tahoma"/>
                <w:sz w:val="14"/>
                <w:szCs w:val="14"/>
              </w:rPr>
              <w:t>10 708</w:t>
            </w:r>
          </w:p>
        </w:tc>
      </w:tr>
      <w:tr w:rsidR="00565FD5" w:rsidRPr="00D50652" w:rsidTr="00AB62A3">
        <w:trPr>
          <w:trHeight w:val="198"/>
        </w:trPr>
        <w:tc>
          <w:tcPr>
            <w:tcW w:w="4102" w:type="dxa"/>
            <w:tcBorders>
              <w:top w:val="nil"/>
              <w:bottom w:val="nil"/>
              <w:right w:val="nil"/>
            </w:tcBorders>
            <w:vAlign w:val="center"/>
          </w:tcPr>
          <w:p w:rsidR="00565FD5" w:rsidRPr="00D50652" w:rsidRDefault="00565FD5" w:rsidP="00AB62A3">
            <w:pPr>
              <w:rPr>
                <w:rFonts w:cs="Tahoma"/>
                <w:sz w:val="14"/>
                <w:szCs w:val="14"/>
              </w:rPr>
            </w:pPr>
            <w:r w:rsidRPr="00D50652">
              <w:rPr>
                <w:rFonts w:cs="Tahoma"/>
                <w:sz w:val="14"/>
                <w:szCs w:val="14"/>
              </w:rPr>
              <w:t>Personel Sayısı (Bin kişi)</w:t>
            </w:r>
          </w:p>
        </w:tc>
        <w:tc>
          <w:tcPr>
            <w:tcW w:w="717"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191</w:t>
            </w:r>
          </w:p>
        </w:tc>
        <w:tc>
          <w:tcPr>
            <w:tcW w:w="851"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195</w:t>
            </w:r>
          </w:p>
        </w:tc>
        <w:tc>
          <w:tcPr>
            <w:tcW w:w="709"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195</w:t>
            </w:r>
          </w:p>
        </w:tc>
        <w:tc>
          <w:tcPr>
            <w:tcW w:w="709" w:type="dxa"/>
            <w:tcBorders>
              <w:top w:val="nil"/>
              <w:left w:val="nil"/>
              <w:bottom w:val="nil"/>
            </w:tcBorders>
            <w:vAlign w:val="center"/>
          </w:tcPr>
          <w:p w:rsidR="00565FD5" w:rsidRPr="00D50652" w:rsidRDefault="00565FD5" w:rsidP="00AB62A3">
            <w:pPr>
              <w:jc w:val="right"/>
              <w:rPr>
                <w:rFonts w:cs="Tahoma"/>
                <w:sz w:val="14"/>
                <w:szCs w:val="14"/>
              </w:rPr>
            </w:pPr>
            <w:r w:rsidRPr="00D50652">
              <w:rPr>
                <w:rFonts w:cs="Tahoma"/>
                <w:sz w:val="14"/>
                <w:szCs w:val="14"/>
              </w:rPr>
              <w:t>198</w:t>
            </w:r>
          </w:p>
        </w:tc>
      </w:tr>
      <w:tr w:rsidR="00565FD5" w:rsidRPr="00D50652" w:rsidTr="00AB62A3">
        <w:trPr>
          <w:trHeight w:val="198"/>
        </w:trPr>
        <w:tc>
          <w:tcPr>
            <w:tcW w:w="4102" w:type="dxa"/>
            <w:tcBorders>
              <w:top w:val="nil"/>
              <w:bottom w:val="nil"/>
              <w:right w:val="nil"/>
            </w:tcBorders>
            <w:vAlign w:val="center"/>
          </w:tcPr>
          <w:p w:rsidR="00565FD5" w:rsidRPr="00D50652" w:rsidRDefault="00565FD5" w:rsidP="00AB62A3">
            <w:pPr>
              <w:rPr>
                <w:rFonts w:cs="Tahoma"/>
                <w:b/>
                <w:sz w:val="14"/>
                <w:szCs w:val="14"/>
              </w:rPr>
            </w:pPr>
            <w:r w:rsidRPr="00D50652">
              <w:rPr>
                <w:rFonts w:cs="Tahoma"/>
                <w:b/>
                <w:sz w:val="14"/>
                <w:szCs w:val="14"/>
              </w:rPr>
              <w:t>Performans</w:t>
            </w:r>
          </w:p>
        </w:tc>
        <w:tc>
          <w:tcPr>
            <w:tcW w:w="717" w:type="dxa"/>
            <w:tcBorders>
              <w:top w:val="nil"/>
              <w:left w:val="nil"/>
              <w:bottom w:val="nil"/>
              <w:right w:val="nil"/>
            </w:tcBorders>
            <w:vAlign w:val="center"/>
          </w:tcPr>
          <w:p w:rsidR="00565FD5" w:rsidRPr="00D50652" w:rsidRDefault="00565FD5" w:rsidP="00AB62A3">
            <w:pPr>
              <w:jc w:val="right"/>
              <w:rPr>
                <w:rFonts w:cs="Tahoma"/>
                <w:sz w:val="14"/>
                <w:szCs w:val="14"/>
              </w:rPr>
            </w:pPr>
          </w:p>
        </w:tc>
        <w:tc>
          <w:tcPr>
            <w:tcW w:w="851" w:type="dxa"/>
            <w:tcBorders>
              <w:top w:val="nil"/>
              <w:left w:val="nil"/>
              <w:bottom w:val="nil"/>
              <w:right w:val="nil"/>
            </w:tcBorders>
            <w:vAlign w:val="center"/>
          </w:tcPr>
          <w:p w:rsidR="00565FD5" w:rsidRPr="00D50652" w:rsidRDefault="00565FD5" w:rsidP="00AB62A3">
            <w:pPr>
              <w:jc w:val="right"/>
              <w:rPr>
                <w:rFonts w:cs="Tahoma"/>
                <w:sz w:val="14"/>
                <w:szCs w:val="14"/>
              </w:rPr>
            </w:pPr>
          </w:p>
        </w:tc>
        <w:tc>
          <w:tcPr>
            <w:tcW w:w="709" w:type="dxa"/>
            <w:tcBorders>
              <w:top w:val="nil"/>
              <w:left w:val="nil"/>
              <w:bottom w:val="nil"/>
              <w:right w:val="nil"/>
            </w:tcBorders>
            <w:vAlign w:val="center"/>
          </w:tcPr>
          <w:p w:rsidR="00565FD5" w:rsidRPr="00D50652" w:rsidRDefault="00565FD5" w:rsidP="00AB62A3">
            <w:pPr>
              <w:jc w:val="right"/>
              <w:rPr>
                <w:rFonts w:cs="Tahoma"/>
                <w:sz w:val="14"/>
                <w:szCs w:val="14"/>
              </w:rPr>
            </w:pPr>
          </w:p>
        </w:tc>
        <w:tc>
          <w:tcPr>
            <w:tcW w:w="709" w:type="dxa"/>
            <w:tcBorders>
              <w:top w:val="nil"/>
              <w:left w:val="nil"/>
              <w:bottom w:val="nil"/>
            </w:tcBorders>
            <w:vAlign w:val="center"/>
          </w:tcPr>
          <w:p w:rsidR="00565FD5" w:rsidRPr="00D50652" w:rsidRDefault="00565FD5" w:rsidP="00AB62A3">
            <w:pPr>
              <w:jc w:val="right"/>
              <w:rPr>
                <w:rFonts w:cs="Tahoma"/>
                <w:sz w:val="14"/>
                <w:szCs w:val="14"/>
              </w:rPr>
            </w:pPr>
          </w:p>
        </w:tc>
      </w:tr>
      <w:tr w:rsidR="00565FD5" w:rsidRPr="00D50652" w:rsidTr="00AB62A3">
        <w:trPr>
          <w:trHeight w:val="198"/>
        </w:trPr>
        <w:tc>
          <w:tcPr>
            <w:tcW w:w="4102" w:type="dxa"/>
            <w:tcBorders>
              <w:top w:val="nil"/>
              <w:bottom w:val="nil"/>
              <w:right w:val="nil"/>
            </w:tcBorders>
            <w:vAlign w:val="center"/>
          </w:tcPr>
          <w:p w:rsidR="00565FD5" w:rsidRPr="00D50652" w:rsidRDefault="00565FD5" w:rsidP="00AB62A3">
            <w:pPr>
              <w:rPr>
                <w:rFonts w:cs="Tahoma"/>
                <w:sz w:val="14"/>
                <w:szCs w:val="14"/>
              </w:rPr>
            </w:pPr>
            <w:r w:rsidRPr="00D50652">
              <w:rPr>
                <w:rFonts w:cs="Tahoma"/>
                <w:sz w:val="14"/>
                <w:szCs w:val="14"/>
              </w:rPr>
              <w:t>Net Dönem Kârı (Milyon TL)</w:t>
            </w:r>
          </w:p>
        </w:tc>
        <w:tc>
          <w:tcPr>
            <w:tcW w:w="717"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22 116</w:t>
            </w:r>
          </w:p>
        </w:tc>
        <w:tc>
          <w:tcPr>
            <w:tcW w:w="851"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19 844</w:t>
            </w:r>
          </w:p>
        </w:tc>
        <w:tc>
          <w:tcPr>
            <w:tcW w:w="709"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10 371</w:t>
            </w:r>
          </w:p>
        </w:tc>
        <w:tc>
          <w:tcPr>
            <w:tcW w:w="709" w:type="dxa"/>
            <w:tcBorders>
              <w:top w:val="nil"/>
              <w:left w:val="nil"/>
              <w:bottom w:val="nil"/>
            </w:tcBorders>
            <w:vAlign w:val="center"/>
          </w:tcPr>
          <w:p w:rsidR="00565FD5" w:rsidRPr="00D50652" w:rsidRDefault="00565FD5" w:rsidP="00AB62A3">
            <w:pPr>
              <w:jc w:val="right"/>
              <w:rPr>
                <w:rFonts w:cs="Tahoma"/>
                <w:sz w:val="14"/>
                <w:szCs w:val="14"/>
              </w:rPr>
            </w:pPr>
            <w:r w:rsidRPr="00D50652">
              <w:rPr>
                <w:rFonts w:cs="Tahoma"/>
                <w:sz w:val="14"/>
                <w:szCs w:val="14"/>
              </w:rPr>
              <w:t>11 574</w:t>
            </w:r>
          </w:p>
        </w:tc>
      </w:tr>
      <w:tr w:rsidR="00565FD5" w:rsidRPr="00D50652" w:rsidTr="00AB62A3">
        <w:trPr>
          <w:trHeight w:val="198"/>
        </w:trPr>
        <w:tc>
          <w:tcPr>
            <w:tcW w:w="4102" w:type="dxa"/>
            <w:tcBorders>
              <w:top w:val="nil"/>
              <w:bottom w:val="nil"/>
              <w:right w:val="nil"/>
            </w:tcBorders>
            <w:vAlign w:val="center"/>
          </w:tcPr>
          <w:p w:rsidR="00565FD5" w:rsidRPr="00D50652" w:rsidRDefault="00565FD5" w:rsidP="00AB62A3">
            <w:pPr>
              <w:rPr>
                <w:rFonts w:cs="Tahoma"/>
                <w:sz w:val="14"/>
                <w:szCs w:val="14"/>
              </w:rPr>
            </w:pPr>
            <w:r w:rsidRPr="00D50652">
              <w:rPr>
                <w:rFonts w:cs="Tahoma"/>
                <w:sz w:val="14"/>
                <w:szCs w:val="14"/>
              </w:rPr>
              <w:t>Vergi Öncesi Aktif Kârlılığı (Yüzde)</w:t>
            </w:r>
          </w:p>
        </w:tc>
        <w:tc>
          <w:tcPr>
            <w:tcW w:w="717"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3,0</w:t>
            </w:r>
          </w:p>
        </w:tc>
        <w:tc>
          <w:tcPr>
            <w:tcW w:w="851"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2,2</w:t>
            </w:r>
          </w:p>
        </w:tc>
        <w:tc>
          <w:tcPr>
            <w:tcW w:w="709"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1,2</w:t>
            </w:r>
          </w:p>
        </w:tc>
        <w:tc>
          <w:tcPr>
            <w:tcW w:w="709" w:type="dxa"/>
            <w:tcBorders>
              <w:top w:val="nil"/>
              <w:left w:val="nil"/>
              <w:bottom w:val="nil"/>
            </w:tcBorders>
            <w:vAlign w:val="center"/>
          </w:tcPr>
          <w:p w:rsidR="00565FD5" w:rsidRPr="00D50652" w:rsidRDefault="00565FD5" w:rsidP="00AB62A3">
            <w:pPr>
              <w:jc w:val="right"/>
              <w:rPr>
                <w:rFonts w:cs="Tahoma"/>
                <w:sz w:val="14"/>
                <w:szCs w:val="14"/>
              </w:rPr>
            </w:pPr>
            <w:r w:rsidRPr="00D50652">
              <w:rPr>
                <w:rFonts w:cs="Tahoma"/>
                <w:sz w:val="14"/>
                <w:szCs w:val="14"/>
              </w:rPr>
              <w:t>1,2</w:t>
            </w:r>
          </w:p>
        </w:tc>
      </w:tr>
      <w:tr w:rsidR="00565FD5" w:rsidRPr="00D50652" w:rsidTr="00AB62A3">
        <w:trPr>
          <w:trHeight w:val="198"/>
        </w:trPr>
        <w:tc>
          <w:tcPr>
            <w:tcW w:w="4102" w:type="dxa"/>
            <w:tcBorders>
              <w:top w:val="nil"/>
              <w:bottom w:val="nil"/>
              <w:right w:val="nil"/>
            </w:tcBorders>
            <w:vAlign w:val="center"/>
          </w:tcPr>
          <w:p w:rsidR="00565FD5" w:rsidRPr="00D50652" w:rsidRDefault="00565FD5" w:rsidP="00AB62A3">
            <w:pPr>
              <w:rPr>
                <w:rFonts w:cs="Tahoma"/>
                <w:sz w:val="14"/>
                <w:szCs w:val="14"/>
              </w:rPr>
            </w:pPr>
            <w:r w:rsidRPr="00D50652">
              <w:rPr>
                <w:rFonts w:cs="Tahoma"/>
                <w:sz w:val="14"/>
                <w:szCs w:val="14"/>
              </w:rPr>
              <w:t>Vergi Sonrası Özkaynak Kârlılığı (Yüzde)</w:t>
            </w:r>
          </w:p>
        </w:tc>
        <w:tc>
          <w:tcPr>
            <w:tcW w:w="717"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20,1</w:t>
            </w:r>
          </w:p>
        </w:tc>
        <w:tc>
          <w:tcPr>
            <w:tcW w:w="851"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15,5</w:t>
            </w:r>
          </w:p>
        </w:tc>
        <w:tc>
          <w:tcPr>
            <w:tcW w:w="709"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8,0</w:t>
            </w:r>
          </w:p>
        </w:tc>
        <w:tc>
          <w:tcPr>
            <w:tcW w:w="709" w:type="dxa"/>
            <w:tcBorders>
              <w:top w:val="nil"/>
              <w:left w:val="nil"/>
              <w:bottom w:val="nil"/>
            </w:tcBorders>
            <w:vAlign w:val="center"/>
          </w:tcPr>
          <w:p w:rsidR="00565FD5" w:rsidRPr="00D50652" w:rsidRDefault="00565FD5" w:rsidP="00AB62A3">
            <w:pPr>
              <w:jc w:val="right"/>
              <w:rPr>
                <w:rFonts w:cs="Tahoma"/>
                <w:sz w:val="14"/>
                <w:szCs w:val="14"/>
              </w:rPr>
            </w:pPr>
            <w:r w:rsidRPr="00D50652">
              <w:rPr>
                <w:rFonts w:cs="Tahoma"/>
                <w:sz w:val="14"/>
                <w:szCs w:val="14"/>
              </w:rPr>
              <w:t>7,9</w:t>
            </w:r>
          </w:p>
        </w:tc>
      </w:tr>
      <w:tr w:rsidR="00565FD5" w:rsidRPr="00D50652" w:rsidTr="00AB62A3">
        <w:trPr>
          <w:trHeight w:val="198"/>
        </w:trPr>
        <w:tc>
          <w:tcPr>
            <w:tcW w:w="4102" w:type="dxa"/>
            <w:tcBorders>
              <w:top w:val="nil"/>
              <w:bottom w:val="nil"/>
              <w:right w:val="nil"/>
            </w:tcBorders>
            <w:vAlign w:val="center"/>
          </w:tcPr>
          <w:p w:rsidR="00565FD5" w:rsidRPr="00D50652" w:rsidRDefault="00565FD5" w:rsidP="00AB62A3">
            <w:pPr>
              <w:rPr>
                <w:rFonts w:cs="Tahoma"/>
                <w:sz w:val="14"/>
                <w:szCs w:val="14"/>
              </w:rPr>
            </w:pPr>
            <w:r w:rsidRPr="00D50652">
              <w:rPr>
                <w:rFonts w:cs="Tahoma"/>
                <w:sz w:val="14"/>
                <w:szCs w:val="14"/>
              </w:rPr>
              <w:t>Kredi / Mevduat (Yüzde)</w:t>
            </w:r>
          </w:p>
        </w:tc>
        <w:tc>
          <w:tcPr>
            <w:tcW w:w="717"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85,2</w:t>
            </w:r>
          </w:p>
        </w:tc>
        <w:tc>
          <w:tcPr>
            <w:tcW w:w="851"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98,2</w:t>
            </w:r>
          </w:p>
        </w:tc>
        <w:tc>
          <w:tcPr>
            <w:tcW w:w="709"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94,1</w:t>
            </w:r>
          </w:p>
        </w:tc>
        <w:tc>
          <w:tcPr>
            <w:tcW w:w="709" w:type="dxa"/>
            <w:tcBorders>
              <w:top w:val="nil"/>
              <w:left w:val="nil"/>
              <w:bottom w:val="nil"/>
            </w:tcBorders>
            <w:vAlign w:val="center"/>
          </w:tcPr>
          <w:p w:rsidR="00565FD5" w:rsidRPr="00D50652" w:rsidRDefault="00565FD5" w:rsidP="00AB62A3">
            <w:pPr>
              <w:jc w:val="right"/>
              <w:rPr>
                <w:rFonts w:cs="Tahoma"/>
                <w:sz w:val="14"/>
                <w:szCs w:val="14"/>
              </w:rPr>
            </w:pPr>
            <w:r w:rsidRPr="00D50652">
              <w:rPr>
                <w:rFonts w:cs="Tahoma"/>
                <w:sz w:val="14"/>
                <w:szCs w:val="14"/>
              </w:rPr>
              <w:t>102,6</w:t>
            </w:r>
          </w:p>
        </w:tc>
      </w:tr>
      <w:tr w:rsidR="00565FD5" w:rsidRPr="00D50652" w:rsidTr="00AB62A3">
        <w:trPr>
          <w:trHeight w:val="198"/>
        </w:trPr>
        <w:tc>
          <w:tcPr>
            <w:tcW w:w="4102" w:type="dxa"/>
            <w:tcBorders>
              <w:top w:val="nil"/>
              <w:bottom w:val="nil"/>
              <w:right w:val="nil"/>
            </w:tcBorders>
            <w:vAlign w:val="center"/>
          </w:tcPr>
          <w:p w:rsidR="00565FD5" w:rsidRPr="00D50652" w:rsidRDefault="00565FD5" w:rsidP="00AB62A3">
            <w:pPr>
              <w:rPr>
                <w:rFonts w:cs="Tahoma"/>
                <w:sz w:val="14"/>
                <w:szCs w:val="14"/>
              </w:rPr>
            </w:pPr>
            <w:r w:rsidRPr="00D50652">
              <w:rPr>
                <w:rFonts w:cs="Tahoma"/>
                <w:sz w:val="14"/>
                <w:szCs w:val="14"/>
              </w:rPr>
              <w:t>Kredi / Toplam Aktifler (Yüzde)</w:t>
            </w:r>
          </w:p>
        </w:tc>
        <w:tc>
          <w:tcPr>
            <w:tcW w:w="717"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52,2</w:t>
            </w:r>
          </w:p>
        </w:tc>
        <w:tc>
          <w:tcPr>
            <w:tcW w:w="851"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56,1</w:t>
            </w:r>
          </w:p>
        </w:tc>
        <w:tc>
          <w:tcPr>
            <w:tcW w:w="709"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54,1</w:t>
            </w:r>
          </w:p>
        </w:tc>
        <w:tc>
          <w:tcPr>
            <w:tcW w:w="709" w:type="dxa"/>
            <w:tcBorders>
              <w:top w:val="nil"/>
              <w:left w:val="nil"/>
              <w:bottom w:val="nil"/>
            </w:tcBorders>
            <w:vAlign w:val="center"/>
          </w:tcPr>
          <w:p w:rsidR="00565FD5" w:rsidRPr="00D50652" w:rsidRDefault="00565FD5" w:rsidP="00AB62A3">
            <w:pPr>
              <w:jc w:val="right"/>
              <w:rPr>
                <w:rFonts w:cs="Tahoma"/>
                <w:sz w:val="14"/>
                <w:szCs w:val="14"/>
              </w:rPr>
            </w:pPr>
            <w:r w:rsidRPr="00D50652">
              <w:rPr>
                <w:rFonts w:cs="Tahoma"/>
                <w:sz w:val="14"/>
                <w:szCs w:val="14"/>
              </w:rPr>
              <w:t>57,9</w:t>
            </w:r>
          </w:p>
        </w:tc>
      </w:tr>
      <w:tr w:rsidR="00565FD5" w:rsidRPr="00D50652" w:rsidTr="00AB62A3">
        <w:trPr>
          <w:trHeight w:val="198"/>
        </w:trPr>
        <w:tc>
          <w:tcPr>
            <w:tcW w:w="4102" w:type="dxa"/>
            <w:tcBorders>
              <w:top w:val="nil"/>
              <w:bottom w:val="nil"/>
              <w:right w:val="nil"/>
            </w:tcBorders>
            <w:vAlign w:val="center"/>
          </w:tcPr>
          <w:p w:rsidR="00565FD5" w:rsidRPr="00D50652" w:rsidRDefault="00565FD5" w:rsidP="00AB62A3">
            <w:pPr>
              <w:rPr>
                <w:rFonts w:cs="Tahoma"/>
                <w:b/>
                <w:sz w:val="14"/>
                <w:szCs w:val="14"/>
              </w:rPr>
            </w:pPr>
            <w:r w:rsidRPr="00D50652">
              <w:rPr>
                <w:rFonts w:cs="Tahoma"/>
                <w:b/>
                <w:sz w:val="14"/>
                <w:szCs w:val="14"/>
              </w:rPr>
              <w:t>Riskler</w:t>
            </w:r>
          </w:p>
        </w:tc>
        <w:tc>
          <w:tcPr>
            <w:tcW w:w="717" w:type="dxa"/>
            <w:tcBorders>
              <w:top w:val="nil"/>
              <w:left w:val="nil"/>
              <w:bottom w:val="nil"/>
              <w:right w:val="nil"/>
            </w:tcBorders>
            <w:vAlign w:val="center"/>
          </w:tcPr>
          <w:p w:rsidR="00565FD5" w:rsidRPr="00D50652" w:rsidRDefault="00565FD5" w:rsidP="00AB62A3">
            <w:pPr>
              <w:jc w:val="right"/>
              <w:rPr>
                <w:rFonts w:cs="Tahoma"/>
                <w:sz w:val="14"/>
                <w:szCs w:val="14"/>
              </w:rPr>
            </w:pPr>
          </w:p>
        </w:tc>
        <w:tc>
          <w:tcPr>
            <w:tcW w:w="851" w:type="dxa"/>
            <w:tcBorders>
              <w:top w:val="nil"/>
              <w:left w:val="nil"/>
              <w:bottom w:val="nil"/>
              <w:right w:val="nil"/>
            </w:tcBorders>
            <w:vAlign w:val="center"/>
          </w:tcPr>
          <w:p w:rsidR="00565FD5" w:rsidRPr="00D50652" w:rsidRDefault="00565FD5" w:rsidP="00AB62A3">
            <w:pPr>
              <w:jc w:val="right"/>
              <w:rPr>
                <w:rFonts w:cs="Tahoma"/>
                <w:sz w:val="14"/>
                <w:szCs w:val="14"/>
              </w:rPr>
            </w:pPr>
          </w:p>
        </w:tc>
        <w:tc>
          <w:tcPr>
            <w:tcW w:w="709" w:type="dxa"/>
            <w:tcBorders>
              <w:top w:val="nil"/>
              <w:left w:val="nil"/>
              <w:bottom w:val="nil"/>
              <w:right w:val="nil"/>
            </w:tcBorders>
            <w:vAlign w:val="center"/>
          </w:tcPr>
          <w:p w:rsidR="00565FD5" w:rsidRPr="00D50652" w:rsidRDefault="00565FD5" w:rsidP="00AB62A3">
            <w:pPr>
              <w:jc w:val="right"/>
              <w:rPr>
                <w:rFonts w:cs="Tahoma"/>
                <w:sz w:val="14"/>
                <w:szCs w:val="14"/>
              </w:rPr>
            </w:pPr>
          </w:p>
        </w:tc>
        <w:tc>
          <w:tcPr>
            <w:tcW w:w="709" w:type="dxa"/>
            <w:tcBorders>
              <w:top w:val="nil"/>
              <w:left w:val="nil"/>
              <w:bottom w:val="nil"/>
            </w:tcBorders>
            <w:vAlign w:val="center"/>
          </w:tcPr>
          <w:p w:rsidR="00565FD5" w:rsidRPr="00D50652" w:rsidRDefault="00565FD5" w:rsidP="00AB62A3">
            <w:pPr>
              <w:jc w:val="right"/>
              <w:rPr>
                <w:rFonts w:cs="Tahoma"/>
                <w:sz w:val="14"/>
                <w:szCs w:val="14"/>
              </w:rPr>
            </w:pPr>
          </w:p>
        </w:tc>
      </w:tr>
      <w:tr w:rsidR="00565FD5" w:rsidRPr="00D50652" w:rsidTr="00AB62A3">
        <w:trPr>
          <w:trHeight w:val="198"/>
        </w:trPr>
        <w:tc>
          <w:tcPr>
            <w:tcW w:w="4102" w:type="dxa"/>
            <w:tcBorders>
              <w:top w:val="nil"/>
              <w:bottom w:val="nil"/>
              <w:right w:val="nil"/>
            </w:tcBorders>
            <w:vAlign w:val="center"/>
          </w:tcPr>
          <w:p w:rsidR="00565FD5" w:rsidRPr="00D50652" w:rsidRDefault="00565FD5" w:rsidP="00AB62A3">
            <w:pPr>
              <w:rPr>
                <w:rFonts w:cs="Tahoma"/>
                <w:sz w:val="14"/>
                <w:szCs w:val="14"/>
              </w:rPr>
            </w:pPr>
            <w:r w:rsidRPr="00D50652">
              <w:rPr>
                <w:rFonts w:cs="Tahoma"/>
                <w:sz w:val="14"/>
                <w:szCs w:val="14"/>
              </w:rPr>
              <w:t>Sermaye Yeterliliği Oranı (Yüzde)</w:t>
            </w:r>
          </w:p>
        </w:tc>
        <w:tc>
          <w:tcPr>
            <w:tcW w:w="717"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19,0</w:t>
            </w:r>
          </w:p>
        </w:tc>
        <w:tc>
          <w:tcPr>
            <w:tcW w:w="851"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16,6</w:t>
            </w:r>
          </w:p>
        </w:tc>
        <w:tc>
          <w:tcPr>
            <w:tcW w:w="709"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17,1</w:t>
            </w:r>
          </w:p>
        </w:tc>
        <w:tc>
          <w:tcPr>
            <w:tcW w:w="709" w:type="dxa"/>
            <w:tcBorders>
              <w:top w:val="nil"/>
              <w:left w:val="nil"/>
              <w:bottom w:val="nil"/>
            </w:tcBorders>
            <w:vAlign w:val="center"/>
          </w:tcPr>
          <w:p w:rsidR="00565FD5" w:rsidRPr="00D50652" w:rsidRDefault="00565FD5" w:rsidP="00AB62A3">
            <w:pPr>
              <w:jc w:val="right"/>
              <w:rPr>
                <w:rFonts w:cs="Tahoma"/>
                <w:sz w:val="14"/>
                <w:szCs w:val="14"/>
              </w:rPr>
            </w:pPr>
            <w:r w:rsidRPr="00D50652">
              <w:rPr>
                <w:rFonts w:cs="Tahoma"/>
                <w:sz w:val="14"/>
                <w:szCs w:val="14"/>
              </w:rPr>
              <w:t>16,5</w:t>
            </w:r>
          </w:p>
        </w:tc>
      </w:tr>
      <w:tr w:rsidR="00565FD5" w:rsidRPr="00D50652" w:rsidTr="00AB62A3">
        <w:trPr>
          <w:trHeight w:val="198"/>
        </w:trPr>
        <w:tc>
          <w:tcPr>
            <w:tcW w:w="4102" w:type="dxa"/>
            <w:tcBorders>
              <w:top w:val="nil"/>
              <w:bottom w:val="nil"/>
              <w:right w:val="nil"/>
            </w:tcBorders>
            <w:vAlign w:val="center"/>
          </w:tcPr>
          <w:p w:rsidR="00565FD5" w:rsidRPr="00D50652" w:rsidRDefault="00565FD5" w:rsidP="00AB62A3">
            <w:pPr>
              <w:rPr>
                <w:rFonts w:cs="Tahoma"/>
                <w:sz w:val="14"/>
                <w:szCs w:val="14"/>
              </w:rPr>
            </w:pPr>
            <w:r w:rsidRPr="00D50652">
              <w:rPr>
                <w:rFonts w:cs="Tahoma"/>
                <w:sz w:val="14"/>
                <w:szCs w:val="14"/>
              </w:rPr>
              <w:lastRenderedPageBreak/>
              <w:t>Bilanço İçi Yabancı Para Pozisyonu (Milyon TL)</w:t>
            </w:r>
          </w:p>
        </w:tc>
        <w:tc>
          <w:tcPr>
            <w:tcW w:w="717"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-21 452</w:t>
            </w:r>
          </w:p>
        </w:tc>
        <w:tc>
          <w:tcPr>
            <w:tcW w:w="851"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-33 495</w:t>
            </w:r>
          </w:p>
        </w:tc>
        <w:tc>
          <w:tcPr>
            <w:tcW w:w="709"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-27 388</w:t>
            </w:r>
          </w:p>
        </w:tc>
        <w:tc>
          <w:tcPr>
            <w:tcW w:w="709" w:type="dxa"/>
            <w:tcBorders>
              <w:top w:val="nil"/>
              <w:left w:val="nil"/>
              <w:bottom w:val="nil"/>
            </w:tcBorders>
            <w:vAlign w:val="center"/>
          </w:tcPr>
          <w:p w:rsidR="00565FD5" w:rsidRPr="00D50652" w:rsidRDefault="00565FD5" w:rsidP="00AB62A3">
            <w:pPr>
              <w:jc w:val="right"/>
              <w:rPr>
                <w:rFonts w:cs="Tahoma"/>
                <w:sz w:val="14"/>
                <w:szCs w:val="14"/>
              </w:rPr>
            </w:pPr>
            <w:r w:rsidRPr="00D50652">
              <w:rPr>
                <w:rFonts w:cs="Tahoma"/>
                <w:sz w:val="14"/>
                <w:szCs w:val="14"/>
              </w:rPr>
              <w:t>-55 301</w:t>
            </w:r>
          </w:p>
        </w:tc>
      </w:tr>
      <w:tr w:rsidR="00565FD5" w:rsidRPr="00D50652" w:rsidTr="00AB62A3">
        <w:trPr>
          <w:trHeight w:val="198"/>
        </w:trPr>
        <w:tc>
          <w:tcPr>
            <w:tcW w:w="4102" w:type="dxa"/>
            <w:tcBorders>
              <w:top w:val="nil"/>
              <w:bottom w:val="nil"/>
              <w:right w:val="nil"/>
            </w:tcBorders>
            <w:vAlign w:val="center"/>
          </w:tcPr>
          <w:p w:rsidR="00565FD5" w:rsidRPr="00D50652" w:rsidRDefault="00565FD5" w:rsidP="00AB62A3">
            <w:pPr>
              <w:rPr>
                <w:rFonts w:cs="Tahoma"/>
                <w:sz w:val="14"/>
                <w:szCs w:val="14"/>
              </w:rPr>
            </w:pPr>
            <w:r w:rsidRPr="00D50652">
              <w:rPr>
                <w:rFonts w:cs="Tahoma"/>
                <w:sz w:val="14"/>
                <w:szCs w:val="14"/>
              </w:rPr>
              <w:t>Yabancı Para Net Genel Pozisyonu (Milyon TL)</w:t>
            </w:r>
          </w:p>
        </w:tc>
        <w:tc>
          <w:tcPr>
            <w:tcW w:w="717"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 xml:space="preserve">      81</w:t>
            </w:r>
          </w:p>
        </w:tc>
        <w:tc>
          <w:tcPr>
            <w:tcW w:w="851"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603</w:t>
            </w:r>
          </w:p>
        </w:tc>
        <w:tc>
          <w:tcPr>
            <w:tcW w:w="709" w:type="dxa"/>
            <w:tcBorders>
              <w:top w:val="nil"/>
              <w:left w:val="nil"/>
              <w:bottom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1 834</w:t>
            </w:r>
          </w:p>
        </w:tc>
        <w:tc>
          <w:tcPr>
            <w:tcW w:w="709" w:type="dxa"/>
            <w:tcBorders>
              <w:top w:val="nil"/>
              <w:left w:val="nil"/>
              <w:bottom w:val="nil"/>
            </w:tcBorders>
            <w:vAlign w:val="center"/>
          </w:tcPr>
          <w:p w:rsidR="00565FD5" w:rsidRPr="00D50652" w:rsidRDefault="00565FD5" w:rsidP="00AB62A3">
            <w:pPr>
              <w:jc w:val="right"/>
              <w:rPr>
                <w:rFonts w:cs="Tahoma"/>
                <w:sz w:val="14"/>
                <w:szCs w:val="14"/>
              </w:rPr>
            </w:pPr>
            <w:r w:rsidRPr="00D50652">
              <w:rPr>
                <w:rFonts w:cs="Tahoma"/>
                <w:sz w:val="14"/>
                <w:szCs w:val="14"/>
              </w:rPr>
              <w:t>224</w:t>
            </w:r>
          </w:p>
        </w:tc>
      </w:tr>
      <w:tr w:rsidR="00565FD5" w:rsidRPr="00D50652" w:rsidTr="00AB62A3">
        <w:trPr>
          <w:trHeight w:val="198"/>
        </w:trPr>
        <w:tc>
          <w:tcPr>
            <w:tcW w:w="4102" w:type="dxa"/>
            <w:tcBorders>
              <w:top w:val="nil"/>
              <w:bottom w:val="nil"/>
              <w:right w:val="nil"/>
            </w:tcBorders>
            <w:vAlign w:val="center"/>
          </w:tcPr>
          <w:p w:rsidR="00565FD5" w:rsidRPr="00D50652" w:rsidRDefault="00565FD5" w:rsidP="00AB62A3">
            <w:pPr>
              <w:rPr>
                <w:rFonts w:cs="Tahoma"/>
                <w:sz w:val="14"/>
                <w:szCs w:val="14"/>
              </w:rPr>
            </w:pPr>
            <w:r w:rsidRPr="00D50652">
              <w:rPr>
                <w:rFonts w:cs="Tahoma"/>
                <w:sz w:val="14"/>
                <w:szCs w:val="14"/>
              </w:rPr>
              <w:t>Tahsili Gecikmiş Alacaklar (TGA) (Brüt) / Brüt Krediler (Yüzde)</w:t>
            </w:r>
          </w:p>
        </w:tc>
        <w:tc>
          <w:tcPr>
            <w:tcW w:w="717" w:type="dxa"/>
            <w:tcBorders>
              <w:top w:val="nil"/>
              <w:left w:val="nil"/>
              <w:bottom w:val="nil"/>
              <w:right w:val="nil"/>
            </w:tcBorders>
            <w:vAlign w:val="center"/>
          </w:tcPr>
          <w:p w:rsidR="00565FD5" w:rsidRPr="00D50652" w:rsidRDefault="00565FD5" w:rsidP="00AB62A3">
            <w:pPr>
              <w:tabs>
                <w:tab w:val="center" w:pos="423"/>
                <w:tab w:val="right" w:pos="846"/>
              </w:tabs>
              <w:jc w:val="right"/>
              <w:rPr>
                <w:rFonts w:cs="Tahoma"/>
                <w:sz w:val="14"/>
                <w:szCs w:val="14"/>
              </w:rPr>
            </w:pPr>
            <w:r w:rsidRPr="00D50652">
              <w:rPr>
                <w:rFonts w:cs="Tahoma"/>
                <w:sz w:val="14"/>
                <w:szCs w:val="14"/>
              </w:rPr>
              <w:t xml:space="preserve">      3,7</w:t>
            </w:r>
          </w:p>
        </w:tc>
        <w:tc>
          <w:tcPr>
            <w:tcW w:w="851" w:type="dxa"/>
            <w:tcBorders>
              <w:top w:val="nil"/>
              <w:left w:val="nil"/>
              <w:bottom w:val="nil"/>
              <w:right w:val="nil"/>
            </w:tcBorders>
            <w:vAlign w:val="center"/>
          </w:tcPr>
          <w:p w:rsidR="00565FD5" w:rsidRPr="00D50652" w:rsidRDefault="00565FD5" w:rsidP="00AB62A3">
            <w:pPr>
              <w:tabs>
                <w:tab w:val="center" w:pos="423"/>
                <w:tab w:val="right" w:pos="846"/>
              </w:tabs>
              <w:jc w:val="right"/>
              <w:rPr>
                <w:rFonts w:cs="Tahoma"/>
                <w:sz w:val="14"/>
                <w:szCs w:val="14"/>
              </w:rPr>
            </w:pPr>
            <w:r w:rsidRPr="00D50652">
              <w:rPr>
                <w:rFonts w:cs="Tahoma"/>
                <w:sz w:val="14"/>
                <w:szCs w:val="14"/>
              </w:rPr>
              <w:t>2,7</w:t>
            </w:r>
          </w:p>
        </w:tc>
        <w:tc>
          <w:tcPr>
            <w:tcW w:w="709" w:type="dxa"/>
            <w:tcBorders>
              <w:top w:val="nil"/>
              <w:left w:val="nil"/>
              <w:bottom w:val="nil"/>
              <w:right w:val="nil"/>
            </w:tcBorders>
            <w:vAlign w:val="center"/>
          </w:tcPr>
          <w:p w:rsidR="00565FD5" w:rsidRPr="00D50652" w:rsidRDefault="00565FD5" w:rsidP="00AB62A3">
            <w:pPr>
              <w:tabs>
                <w:tab w:val="center" w:pos="423"/>
                <w:tab w:val="right" w:pos="846"/>
              </w:tabs>
              <w:jc w:val="right"/>
              <w:rPr>
                <w:rFonts w:cs="Tahoma"/>
                <w:sz w:val="14"/>
                <w:szCs w:val="14"/>
              </w:rPr>
            </w:pPr>
            <w:r w:rsidRPr="00D50652">
              <w:rPr>
                <w:rFonts w:cs="Tahoma"/>
                <w:sz w:val="14"/>
                <w:szCs w:val="14"/>
              </w:rPr>
              <w:t>2,9</w:t>
            </w:r>
          </w:p>
        </w:tc>
        <w:tc>
          <w:tcPr>
            <w:tcW w:w="709" w:type="dxa"/>
            <w:tcBorders>
              <w:top w:val="nil"/>
              <w:left w:val="nil"/>
              <w:bottom w:val="nil"/>
            </w:tcBorders>
            <w:vAlign w:val="center"/>
          </w:tcPr>
          <w:p w:rsidR="00565FD5" w:rsidRPr="00D50652" w:rsidRDefault="00565FD5" w:rsidP="00AB62A3">
            <w:pPr>
              <w:jc w:val="right"/>
              <w:rPr>
                <w:rFonts w:cs="Tahoma"/>
                <w:sz w:val="14"/>
                <w:szCs w:val="14"/>
              </w:rPr>
            </w:pPr>
            <w:r w:rsidRPr="00D50652">
              <w:rPr>
                <w:rFonts w:cs="Tahoma"/>
                <w:sz w:val="14"/>
                <w:szCs w:val="14"/>
              </w:rPr>
              <w:t>2,7</w:t>
            </w:r>
          </w:p>
        </w:tc>
      </w:tr>
      <w:tr w:rsidR="00565FD5" w:rsidRPr="00D50652" w:rsidTr="00AB62A3">
        <w:trPr>
          <w:trHeight w:val="198"/>
        </w:trPr>
        <w:tc>
          <w:tcPr>
            <w:tcW w:w="4102" w:type="dxa"/>
            <w:tcBorders>
              <w:top w:val="nil"/>
              <w:bottom w:val="nil"/>
              <w:right w:val="nil"/>
            </w:tcBorders>
            <w:vAlign w:val="center"/>
          </w:tcPr>
          <w:p w:rsidR="00565FD5" w:rsidRPr="00D50652" w:rsidRDefault="00565FD5" w:rsidP="00AB62A3">
            <w:pPr>
              <w:rPr>
                <w:rFonts w:cs="Tahoma"/>
                <w:sz w:val="14"/>
                <w:szCs w:val="14"/>
              </w:rPr>
            </w:pPr>
            <w:r w:rsidRPr="00D50652">
              <w:rPr>
                <w:rFonts w:cs="Tahoma"/>
                <w:sz w:val="14"/>
                <w:szCs w:val="14"/>
              </w:rPr>
              <w:t>TGA (Net) / Krediler (Yüzde)</w:t>
            </w:r>
          </w:p>
        </w:tc>
        <w:tc>
          <w:tcPr>
            <w:tcW w:w="717" w:type="dxa"/>
            <w:tcBorders>
              <w:top w:val="nil"/>
              <w:left w:val="nil"/>
              <w:bottom w:val="nil"/>
              <w:right w:val="nil"/>
            </w:tcBorders>
            <w:vAlign w:val="center"/>
          </w:tcPr>
          <w:p w:rsidR="00565FD5" w:rsidRPr="00D50652" w:rsidRDefault="00565FD5" w:rsidP="00AB62A3">
            <w:pPr>
              <w:tabs>
                <w:tab w:val="center" w:pos="423"/>
                <w:tab w:val="right" w:pos="846"/>
              </w:tabs>
              <w:jc w:val="right"/>
              <w:rPr>
                <w:rFonts w:cs="Tahoma"/>
                <w:sz w:val="14"/>
                <w:szCs w:val="14"/>
              </w:rPr>
            </w:pPr>
            <w:r w:rsidRPr="00D50652">
              <w:rPr>
                <w:rFonts w:cs="Tahoma"/>
                <w:sz w:val="14"/>
                <w:szCs w:val="14"/>
              </w:rPr>
              <w:t xml:space="preserve">      0,6</w:t>
            </w:r>
          </w:p>
        </w:tc>
        <w:tc>
          <w:tcPr>
            <w:tcW w:w="851" w:type="dxa"/>
            <w:tcBorders>
              <w:top w:val="nil"/>
              <w:left w:val="nil"/>
              <w:bottom w:val="nil"/>
              <w:right w:val="nil"/>
            </w:tcBorders>
            <w:vAlign w:val="center"/>
          </w:tcPr>
          <w:p w:rsidR="00565FD5" w:rsidRPr="00D50652" w:rsidRDefault="00565FD5" w:rsidP="00AB62A3">
            <w:pPr>
              <w:tabs>
                <w:tab w:val="center" w:pos="423"/>
                <w:tab w:val="right" w:pos="846"/>
              </w:tabs>
              <w:jc w:val="right"/>
              <w:rPr>
                <w:rFonts w:cs="Tahoma"/>
                <w:sz w:val="14"/>
                <w:szCs w:val="14"/>
              </w:rPr>
            </w:pPr>
            <w:r w:rsidRPr="00D50652">
              <w:rPr>
                <w:rFonts w:cs="Tahoma"/>
                <w:sz w:val="14"/>
                <w:szCs w:val="14"/>
              </w:rPr>
              <w:t>0,6</w:t>
            </w:r>
          </w:p>
        </w:tc>
        <w:tc>
          <w:tcPr>
            <w:tcW w:w="709" w:type="dxa"/>
            <w:tcBorders>
              <w:top w:val="nil"/>
              <w:left w:val="nil"/>
              <w:bottom w:val="nil"/>
              <w:right w:val="nil"/>
            </w:tcBorders>
            <w:vAlign w:val="center"/>
          </w:tcPr>
          <w:p w:rsidR="00565FD5" w:rsidRPr="00D50652" w:rsidRDefault="00565FD5" w:rsidP="00AB62A3">
            <w:pPr>
              <w:tabs>
                <w:tab w:val="center" w:pos="423"/>
                <w:tab w:val="right" w:pos="846"/>
              </w:tabs>
              <w:jc w:val="right"/>
              <w:rPr>
                <w:rFonts w:cs="Tahoma"/>
                <w:sz w:val="14"/>
                <w:szCs w:val="14"/>
              </w:rPr>
            </w:pPr>
            <w:r w:rsidRPr="00D50652">
              <w:rPr>
                <w:rFonts w:cs="Tahoma"/>
                <w:sz w:val="14"/>
                <w:szCs w:val="14"/>
              </w:rPr>
              <w:t>0,5</w:t>
            </w:r>
          </w:p>
        </w:tc>
        <w:tc>
          <w:tcPr>
            <w:tcW w:w="709" w:type="dxa"/>
            <w:tcBorders>
              <w:top w:val="nil"/>
              <w:left w:val="nil"/>
              <w:bottom w:val="nil"/>
            </w:tcBorders>
            <w:vAlign w:val="center"/>
          </w:tcPr>
          <w:p w:rsidR="00565FD5" w:rsidRPr="00D50652" w:rsidRDefault="00565FD5" w:rsidP="00AB62A3">
            <w:pPr>
              <w:jc w:val="right"/>
              <w:rPr>
                <w:rFonts w:cs="Tahoma"/>
                <w:sz w:val="14"/>
                <w:szCs w:val="14"/>
              </w:rPr>
            </w:pPr>
            <w:r w:rsidRPr="00D50652">
              <w:rPr>
                <w:rFonts w:cs="Tahoma"/>
                <w:sz w:val="14"/>
                <w:szCs w:val="14"/>
              </w:rPr>
              <w:t>0,6</w:t>
            </w:r>
          </w:p>
        </w:tc>
      </w:tr>
      <w:tr w:rsidR="00565FD5" w:rsidRPr="00D50652" w:rsidTr="00AB62A3">
        <w:trPr>
          <w:trHeight w:val="198"/>
        </w:trPr>
        <w:tc>
          <w:tcPr>
            <w:tcW w:w="4102" w:type="dxa"/>
            <w:tcBorders>
              <w:top w:val="nil"/>
              <w:right w:val="nil"/>
            </w:tcBorders>
            <w:vAlign w:val="center"/>
          </w:tcPr>
          <w:p w:rsidR="00565FD5" w:rsidRPr="00D50652" w:rsidRDefault="00565FD5" w:rsidP="00AB62A3">
            <w:pPr>
              <w:rPr>
                <w:rFonts w:cs="Tahoma"/>
                <w:sz w:val="14"/>
                <w:szCs w:val="14"/>
              </w:rPr>
            </w:pPr>
            <w:r w:rsidRPr="00D50652">
              <w:rPr>
                <w:rFonts w:cs="Tahoma"/>
                <w:sz w:val="14"/>
                <w:szCs w:val="14"/>
              </w:rPr>
              <w:t xml:space="preserve">Menkul Değerler Cüzdanı / Aktifler (Yüzde) </w:t>
            </w:r>
          </w:p>
        </w:tc>
        <w:tc>
          <w:tcPr>
            <w:tcW w:w="717" w:type="dxa"/>
            <w:tcBorders>
              <w:top w:val="nil"/>
              <w:left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28,6</w:t>
            </w:r>
          </w:p>
        </w:tc>
        <w:tc>
          <w:tcPr>
            <w:tcW w:w="851" w:type="dxa"/>
            <w:tcBorders>
              <w:top w:val="nil"/>
              <w:left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23,4</w:t>
            </w:r>
          </w:p>
        </w:tc>
        <w:tc>
          <w:tcPr>
            <w:tcW w:w="709" w:type="dxa"/>
            <w:tcBorders>
              <w:top w:val="nil"/>
              <w:left w:val="nil"/>
              <w:right w:val="nil"/>
            </w:tcBorders>
            <w:vAlign w:val="center"/>
          </w:tcPr>
          <w:p w:rsidR="00565FD5" w:rsidRPr="00D50652" w:rsidRDefault="00565FD5" w:rsidP="00AB62A3">
            <w:pPr>
              <w:jc w:val="right"/>
              <w:rPr>
                <w:rFonts w:cs="Tahoma"/>
                <w:sz w:val="14"/>
                <w:szCs w:val="14"/>
              </w:rPr>
            </w:pPr>
            <w:r w:rsidRPr="00D50652">
              <w:rPr>
                <w:rFonts w:cs="Tahoma"/>
                <w:sz w:val="14"/>
                <w:szCs w:val="14"/>
              </w:rPr>
              <w:t>24,4</w:t>
            </w:r>
          </w:p>
        </w:tc>
        <w:tc>
          <w:tcPr>
            <w:tcW w:w="709" w:type="dxa"/>
            <w:tcBorders>
              <w:top w:val="nil"/>
              <w:left w:val="nil"/>
            </w:tcBorders>
            <w:vAlign w:val="center"/>
          </w:tcPr>
          <w:p w:rsidR="00565FD5" w:rsidRPr="00D50652" w:rsidRDefault="00565FD5" w:rsidP="00AB62A3">
            <w:pPr>
              <w:jc w:val="right"/>
              <w:rPr>
                <w:rFonts w:cs="Tahoma"/>
                <w:sz w:val="14"/>
                <w:szCs w:val="14"/>
              </w:rPr>
            </w:pPr>
            <w:r w:rsidRPr="00D50652">
              <w:rPr>
                <w:rFonts w:cs="Tahoma"/>
                <w:sz w:val="14"/>
                <w:szCs w:val="14"/>
              </w:rPr>
              <w:t>22,3</w:t>
            </w:r>
          </w:p>
        </w:tc>
      </w:tr>
    </w:tbl>
    <w:p w:rsidR="00565FD5" w:rsidRPr="00D50652" w:rsidRDefault="00565FD5" w:rsidP="00565FD5">
      <w:pPr>
        <w:spacing w:before="40"/>
        <w:rPr>
          <w:rFonts w:cs="Tahoma"/>
          <w:sz w:val="14"/>
          <w:szCs w:val="14"/>
        </w:rPr>
      </w:pPr>
      <w:r w:rsidRPr="00D50652">
        <w:rPr>
          <w:rFonts w:cs="Tahoma"/>
          <w:sz w:val="14"/>
          <w:szCs w:val="14"/>
        </w:rPr>
        <w:t>Kaynak: BDDK</w:t>
      </w:r>
    </w:p>
    <w:p w:rsidR="00565FD5" w:rsidRPr="00D50652" w:rsidRDefault="00565FD5" w:rsidP="00565FD5">
      <w:pPr>
        <w:spacing w:before="40" w:after="240"/>
        <w:rPr>
          <w:rFonts w:cs="Tahoma"/>
          <w:sz w:val="14"/>
          <w:szCs w:val="14"/>
        </w:rPr>
      </w:pPr>
      <w:r w:rsidRPr="00D50652">
        <w:rPr>
          <w:rFonts w:cs="Tahoma"/>
          <w:sz w:val="14"/>
          <w:szCs w:val="14"/>
          <w:lang w:eastAsia="ko-KR"/>
        </w:rPr>
        <w:t>(1) Katılım bankalarını da içeren bankacılık sektörü verileri kullanılmış olup mevduat kalemine katılım bankaları nezdindeki özel cari hesaplar ve katılım hesapları da dâhildir.</w:t>
      </w:r>
    </w:p>
    <w:bookmarkEnd w:id="1455"/>
    <w:bookmarkEnd w:id="1456"/>
    <w:bookmarkEnd w:id="1457"/>
    <w:bookmarkEnd w:id="1458"/>
    <w:bookmarkEnd w:id="1459"/>
    <w:p w:rsidR="00565FD5" w:rsidRPr="00D50652" w:rsidRDefault="00565FD5" w:rsidP="00565FD5">
      <w:pPr>
        <w:spacing w:after="180"/>
        <w:ind w:firstLine="425"/>
        <w:rPr>
          <w:rFonts w:cs="Tahoma"/>
          <w:szCs w:val="18"/>
          <w:lang w:bidi="ar-BH"/>
        </w:rPr>
      </w:pPr>
      <w:r w:rsidRPr="00D50652">
        <w:rPr>
          <w:rFonts w:cs="Tahoma"/>
          <w:szCs w:val="18"/>
          <w:lang w:bidi="ar-BH"/>
        </w:rPr>
        <w:t xml:space="preserve">2012 yılı Haziran ayı itibarıyla sektördeki bankaların aktif payları, sermaye sahipliği ve fonksiyonları itibarıyla belirgin bir değişiklik göstermemiştir. Sektörün toplam aktifleri içerisinde kamu bankalarının payı yüzde 30,3, yerli özel sermayeli bankaların payı yüzde 53,4 ve yabancı sermayeli bankaların payı yüzde 16,3 olarak gerçekleşirken; mevduat bankalarının payı yüzde 91,3, katılım bankalarının payı yüzde 4,8, kalkınma ve yatırım bankalarının payı yüzde 3,9 olmuştur. </w:t>
      </w:r>
    </w:p>
    <w:p w:rsidR="00565FD5" w:rsidRPr="00D50652" w:rsidRDefault="00565FD5" w:rsidP="00565FD5">
      <w:pPr>
        <w:spacing w:after="180"/>
        <w:ind w:firstLine="425"/>
        <w:rPr>
          <w:rFonts w:cs="Tahoma"/>
          <w:szCs w:val="18"/>
          <w:lang w:bidi="ar-BH"/>
        </w:rPr>
      </w:pPr>
      <w:r w:rsidRPr="00D50652">
        <w:rPr>
          <w:rFonts w:cs="Tahoma"/>
          <w:szCs w:val="18"/>
          <w:lang w:bidi="ar-BH"/>
        </w:rPr>
        <w:t xml:space="preserve">Bankacılık sektörü kredilerinde önceki iki yılda görülen canlanmanın, 2012 yılında da ılımlı olmakla birlikte devam ettiği görülmektedir. Bu çerçevede, sektördeki kredi hacmi 2011 Haziran – 2012 Haziran döneminde yüzde 18,8 oranında artışla 737,2 milyar TL’ye yükselmiştir. 2012 yılı Haziran ayı itibarıyla bankacılık sektörü toplam kredileri içinde yabancı para cinsinden kredilerin payı yüzde 26,8 seviyesindedir. </w:t>
      </w:r>
    </w:p>
    <w:p w:rsidR="00565FD5" w:rsidRPr="00D50652" w:rsidRDefault="00565FD5" w:rsidP="00565FD5">
      <w:pPr>
        <w:spacing w:after="180"/>
        <w:ind w:firstLine="425"/>
        <w:rPr>
          <w:rFonts w:cs="Tahoma"/>
          <w:szCs w:val="18"/>
          <w:lang w:bidi="ar-BH"/>
        </w:rPr>
      </w:pPr>
      <w:r w:rsidRPr="00D50652">
        <w:rPr>
          <w:rFonts w:cs="Tahoma"/>
          <w:szCs w:val="18"/>
          <w:lang w:bidi="ar-BH"/>
        </w:rPr>
        <w:t>2012 yılı Haziran ayı itibarıyla ağırlıklı olarak kamu borçlanma senetlerinden oluşan menkul kıymetler portföyünün toplam aktifler içindeki payı kamu bankalarında yüzde 30, özel bankalarda yüzde 22,3 ve yabancı sermayeli bankalarda ise yüzde 12,5 seviyesinde gerçekleşmiştir.</w:t>
      </w:r>
    </w:p>
    <w:p w:rsidR="00565FD5" w:rsidRPr="00D50652" w:rsidRDefault="00565FD5" w:rsidP="00565FD5">
      <w:pPr>
        <w:spacing w:after="180"/>
        <w:ind w:firstLine="425"/>
        <w:rPr>
          <w:rFonts w:cs="Tahoma"/>
          <w:szCs w:val="18"/>
          <w:lang w:bidi="ar-BH"/>
        </w:rPr>
      </w:pPr>
      <w:r w:rsidRPr="00D50652">
        <w:rPr>
          <w:rFonts w:cs="Tahoma"/>
          <w:szCs w:val="18"/>
          <w:lang w:bidi="ar-BH"/>
        </w:rPr>
        <w:t xml:space="preserve">Bankacılık sektörünün pasif yapısına bakıldığında; bankaların en önemli fon kaynağı durumundaki toplam mevduatın pasifler içerisindeki payının, 2012 yılı Haziran ayı itibarıyla bir önceki yılın aynı dönemine göre yüzde 57,5’ten yüzde 56,4’e gerilediği görülmektedir. Söz konusu dönemde yabancı para cinsinden mevduatın toplam mevduat içindeki oranı, TL’nin değer kaybının da etkisiyle, 4,7 puan artışla yüzde 34,8’e çıkmıştır. </w:t>
      </w:r>
    </w:p>
    <w:p w:rsidR="00565FD5" w:rsidRPr="00D50652" w:rsidRDefault="00565FD5" w:rsidP="00565FD5">
      <w:pPr>
        <w:spacing w:after="180"/>
        <w:ind w:firstLine="425"/>
        <w:rPr>
          <w:rFonts w:cs="Tahoma"/>
          <w:szCs w:val="18"/>
          <w:lang w:bidi="ar-BH"/>
        </w:rPr>
      </w:pPr>
      <w:r w:rsidRPr="00D50652">
        <w:rPr>
          <w:rFonts w:cs="Tahoma"/>
          <w:szCs w:val="18"/>
          <w:lang w:bidi="ar-BH"/>
        </w:rPr>
        <w:lastRenderedPageBreak/>
        <w:t xml:space="preserve">Türkiye’de faaliyet gösteren bankaların yurt dışından sağladıkları sendikasyon ve seküritizasyon kredileri 2011 yılı Haziran ayına göre ABD doları bazında yüzde 12,5 oranında azalarak 26,7 milyar ABD dolarından 2012 yılı Haziran ayı itibarıyla 23,3 milyar ABD dolarına inmiştir. Bu azalışa paralel olarak, söz konusu kredilerin bilanço içerisindeki payı, 2011 Haziran – 2012 Haziran döneminde yüzde 6,3’ten yüzde 3,3’e düşmüştür. </w:t>
      </w:r>
    </w:p>
    <w:p w:rsidR="00565FD5" w:rsidRPr="00D50652" w:rsidRDefault="00565FD5" w:rsidP="00565FD5">
      <w:pPr>
        <w:spacing w:after="180"/>
        <w:ind w:firstLine="425"/>
        <w:rPr>
          <w:rFonts w:cs="Tahoma"/>
          <w:szCs w:val="18"/>
          <w:lang w:bidi="ar-BH"/>
        </w:rPr>
      </w:pPr>
      <w:r w:rsidRPr="00D50652">
        <w:rPr>
          <w:rFonts w:cs="Tahoma"/>
          <w:szCs w:val="18"/>
          <w:lang w:bidi="ar-BH"/>
        </w:rPr>
        <w:t>Basel 2 kurallarına göre yüzde 8, BDDK uygulamasına göre yüzde 12 olarak belirlenen sermaye yeterlilik oranları, 2012 yılı Haziran ayı itibarıyla kamu bankalarında yüzde 19,2, özel bankalarda yüzde 15,3 ve yabancı sermayeli bankalarda yüzde 16,3 iken fonksiyonel gruplar itibarıyla mevduat bankalarında yüzde 15,5, kalkınma ve yatırım bankalarında yüzde 47,3 ve katılım bankalarında yüzde 13,7 olarak gerçekleşmiştir. Sermaye yeterlilik oranlarında son iki yılda görülen ılımlı düşüş, bankacılık sektöründeki büyüme iştahıyla birlikte risk ağırlıklı varlıklardaki artışın özkaynaklardaki artıştan daha fazla olmasıyla açıklanmaktadır. Ayrıca, BDDK tarafından sektörün kâr dağıtımının sınırlandırılması ve kârların bünyede bırakılmasının teşvik edilmesi yönünde sürdürülen uygulama sayesinde bankaların bilançolarında önemli bir tutarda yedek akçe oluşumu sağlanmış ve dolayısıyla sektörün güçlü özkaynak yapısı korunmuştur. Öte yandan, BDDK, 1 Temmuz 2012 tarihinde yürürlüğe giren Basel 2 uygulamalarının, sermaye yeterlilik oranlarını Basel 2 öncesi hesaplamalara göre 1,3 puan aşağı çekeceğini öngörmektedir.</w:t>
      </w:r>
    </w:p>
    <w:p w:rsidR="00565FD5" w:rsidRPr="00D50652" w:rsidRDefault="00565FD5" w:rsidP="00565FD5">
      <w:pPr>
        <w:spacing w:after="180"/>
        <w:ind w:firstLine="425"/>
        <w:rPr>
          <w:rFonts w:cs="Tahoma"/>
          <w:szCs w:val="18"/>
          <w:lang w:bidi="ar-BH"/>
        </w:rPr>
      </w:pPr>
      <w:r w:rsidRPr="00D50652">
        <w:rPr>
          <w:rFonts w:cs="Tahoma"/>
          <w:szCs w:val="18"/>
          <w:lang w:bidi="ar-BH"/>
        </w:rPr>
        <w:t xml:space="preserve">Menkul kıymet ihracının bankacılık sektörünün pasifinin vadesinin uzamasına katkı sağlayacağı değerlendirilerek BDDK’nın 30.09.2010 tarihli kararıyla bankaların tahvil ve bono ihraçlarına izin verilmiştir. Bu izin sonrasında, ihraç edilen menkul kıymetlerin, alternatif bir fon kaynağı olarak pasif içerisindeki payının arttığı gözlenmiştir. 2009 yılında 53 milyon TL olarak gerçekleşen bankaların menkul kıymet ihracı stoku 2010 yılında 3,1 milyar TL’ye, 2011 yılında 18,4 milyar TL’ye ve 2012 yılı Haziran ayı itibarıyla 29,5 milyar TL’ye ulaşmıştır. Böylece, toplam pasifler içerisinde ihraç edilen menkul kıymetlerin payı 2009 yılı sonunda binde 1 olarak yer alırken, 2012 yılı Haziran ayı itibarıyla yüzde 2,3’e yükselmiştir. </w:t>
      </w:r>
    </w:p>
    <w:p w:rsidR="00565FD5" w:rsidRPr="00D50652" w:rsidRDefault="00565FD5" w:rsidP="00565FD5">
      <w:pPr>
        <w:spacing w:after="180"/>
        <w:ind w:firstLine="425"/>
        <w:rPr>
          <w:rFonts w:cs="Tahoma"/>
          <w:szCs w:val="18"/>
          <w:lang w:bidi="ar-BH"/>
        </w:rPr>
      </w:pPr>
      <w:r w:rsidRPr="00D50652">
        <w:rPr>
          <w:rFonts w:cs="Tahoma"/>
          <w:szCs w:val="18"/>
          <w:lang w:bidi="ar-BH"/>
        </w:rPr>
        <w:t xml:space="preserve">29 Mayıs 2008 tarihinde yayımlanan Türk Parası Kıymetini Koruma Hakkında 32 Sayılı Karara İlişkin Tebliğle bankaların kıymetli maden depo hesabı </w:t>
      </w:r>
      <w:r w:rsidRPr="00D50652">
        <w:rPr>
          <w:rFonts w:cs="Tahoma"/>
          <w:szCs w:val="18"/>
          <w:lang w:bidi="ar-BH"/>
        </w:rPr>
        <w:lastRenderedPageBreak/>
        <w:t xml:space="preserve">açabilmesine izin verilmiştir. Ayrıca, Merkez Bankası piyasada likiditenin artırılmasına yönelik olarak 2011 yılı Ekim ayından itibaren zorunlu karşılıkların altın olarak da tutulabileceğine karar vermiştir. Bu iki karar neticesinde, bankalarda 2010 yılında başlayan altın mevduatı hızla artış göstermiş ve altının ekonomiye kazandırılması sağlanmıştır. Buna göre, 2010 yılından itibaren bankaların pasiflerinde yer almaya başlayan kıymetli maden depo hesapları 2010 yılında 2,4 milyar TL, 2011 yılında 14,3 milyar TL, 2012 yılı Haziran ayı itibarıyla da 16,5 milyar TL olarak gerçekleşmiştir. </w:t>
      </w:r>
    </w:p>
    <w:p w:rsidR="00565FD5" w:rsidRPr="00D50652" w:rsidRDefault="00565FD5" w:rsidP="00565FD5">
      <w:pPr>
        <w:spacing w:after="180"/>
        <w:ind w:firstLine="425"/>
        <w:rPr>
          <w:rFonts w:cs="Tahoma"/>
          <w:szCs w:val="18"/>
          <w:lang w:bidi="ar-BH"/>
        </w:rPr>
      </w:pPr>
      <w:r w:rsidRPr="00D50652">
        <w:rPr>
          <w:rFonts w:cs="Tahoma"/>
          <w:szCs w:val="18"/>
          <w:lang w:bidi="ar-BH"/>
        </w:rPr>
        <w:t xml:space="preserve">2011 Haziran – 2012 Haziran döneminde finansal istikrarı destekleyici olarak bireysel krediler için ayrılacak genel karşılık oranlarında, bilanço içi ve bilanço dışı pozisyonlardan kaynaklanan faiz oranı riskinin standart şok yöntemiyle ölçülmesine ve değerlendirilmesine ilişkin usul ve esaslarda ve likidite yeterlilik rasyosunda menkul değerlerin dikkate alınma oranlarında düzenlemeler yapılmıştır. Ayrıca, Basel 2 kurallarına uyum amacıyla ilgili AB müktesebatıyla da uyumlu düzenlemeler 1 Temmuz 2012 tarihinde yürürlüğe girmiştir. </w:t>
      </w:r>
    </w:p>
    <w:p w:rsidR="00565FD5" w:rsidRPr="00D50652" w:rsidRDefault="00565FD5" w:rsidP="00565FD5">
      <w:pPr>
        <w:pStyle w:val="BodyText2"/>
        <w:rPr>
          <w:b/>
        </w:rPr>
      </w:pPr>
      <w:r w:rsidRPr="00D50652">
        <w:rPr>
          <w:b/>
        </w:rPr>
        <w:t>Sermaye Piyasası</w:t>
      </w:r>
    </w:p>
    <w:p w:rsidR="00565FD5" w:rsidRPr="00D50652" w:rsidRDefault="00565FD5" w:rsidP="00565FD5">
      <w:pPr>
        <w:spacing w:after="140"/>
        <w:ind w:firstLine="425"/>
        <w:rPr>
          <w:rFonts w:cs="Tahoma"/>
          <w:szCs w:val="18"/>
          <w:lang w:bidi="ar-BH"/>
        </w:rPr>
      </w:pPr>
      <w:r w:rsidRPr="00D50652">
        <w:rPr>
          <w:rFonts w:cs="Tahoma"/>
          <w:szCs w:val="18"/>
          <w:lang w:bidi="ar-BH"/>
        </w:rPr>
        <w:t xml:space="preserve">2012 yılı Haziran ayı itibarıyla, 2011 yılı sonuna göre İstanbul Menkul Kıymetler Borsasında (İMKB) işlem gören şirket sayısı 12 adet artarak 380’e yükselmiştir. Aynı dönemde, sermaye piyasalarının gelişmişlik göstergesi olarak kullanılan piyasa kapitalizasyonunun GSYH’ya oranı </w:t>
      </w:r>
      <w:r w:rsidRPr="00D50652">
        <w:rPr>
          <w:rFonts w:cs="Tahoma"/>
          <w:color w:val="000000"/>
          <w:szCs w:val="18"/>
          <w:lang w:bidi="ar-BH"/>
        </w:rPr>
        <w:t xml:space="preserve">4,4 puan artarak yüzde 33,7 </w:t>
      </w:r>
      <w:r w:rsidRPr="00D50652">
        <w:rPr>
          <w:rFonts w:cs="Tahoma"/>
          <w:szCs w:val="18"/>
          <w:lang w:bidi="ar-BH"/>
        </w:rPr>
        <w:t>seviyesinde gerçekleşmiştir. İMKB’de işlem gören şirketlerin halka açık hisselerinin toplam piyasa değeri, 2011 yılı sonunda 140 milyar TL seviyesine kadar gerilemiş ve 2012 yılı Haziran ayı itibarıyla 168,8 milyar TL’ye yükselmiştir. Bu dönemde, İMKB şirketlerinin halka açık hisselerindeki yabancı payı, piyasa değeri bazında yüzde 62,5 seviyesinde gerçekleşmiştir.</w:t>
      </w:r>
    </w:p>
    <w:p w:rsidR="00565FD5" w:rsidRPr="00D50652" w:rsidRDefault="00565FD5" w:rsidP="00565FD5">
      <w:pPr>
        <w:pStyle w:val="ResimYazs"/>
      </w:pPr>
      <w:bookmarkStart w:id="1462" w:name="_Toc149975940"/>
      <w:bookmarkStart w:id="1463" w:name="_Toc150099393"/>
      <w:bookmarkStart w:id="1464" w:name="_Toc212712782"/>
      <w:bookmarkStart w:id="1465" w:name="_Toc213071690"/>
      <w:bookmarkStart w:id="1466" w:name="_Toc244255255"/>
      <w:bookmarkStart w:id="1467" w:name="_Toc275873938"/>
      <w:bookmarkStart w:id="1468" w:name="_Toc276076480"/>
      <w:bookmarkStart w:id="1469" w:name="_Toc307601662"/>
      <w:bookmarkStart w:id="1470" w:name="_Toc307657885"/>
      <w:bookmarkStart w:id="1471" w:name="_Toc307713577"/>
      <w:bookmarkStart w:id="1472" w:name="_Toc338606005"/>
      <w:bookmarkStart w:id="1473" w:name="_Toc338711780"/>
      <w:r>
        <w:t xml:space="preserve">TABLO IV: </w:t>
      </w:r>
      <w:fldSimple w:instr=" SEQ TABLO_IV: \* ARABIC ">
        <w:r>
          <w:rPr>
            <w:noProof/>
          </w:rPr>
          <w:t>10</w:t>
        </w:r>
      </w:fldSimple>
      <w:r w:rsidRPr="00D50652">
        <w:t>- Sermaye Piyasalarına İlişkin Göstergeler</w:t>
      </w:r>
      <w:bookmarkEnd w:id="1462"/>
      <w:bookmarkEnd w:id="1463"/>
      <w:bookmarkEnd w:id="1464"/>
      <w:bookmarkEnd w:id="1465"/>
      <w:bookmarkEnd w:id="1466"/>
      <w:bookmarkEnd w:id="1467"/>
      <w:bookmarkEnd w:id="1468"/>
      <w:bookmarkEnd w:id="1469"/>
      <w:bookmarkEnd w:id="1470"/>
      <w:bookmarkEnd w:id="1471"/>
      <w:bookmarkEnd w:id="1472"/>
      <w:bookmarkEnd w:id="1473"/>
    </w:p>
    <w:tbl>
      <w:tblPr>
        <w:tblW w:w="4863" w:type="pct"/>
        <w:tblInd w:w="108" w:type="dxa"/>
        <w:tblLook w:val="0000"/>
      </w:tblPr>
      <w:tblGrid>
        <w:gridCol w:w="3363"/>
        <w:gridCol w:w="963"/>
        <w:gridCol w:w="985"/>
        <w:gridCol w:w="928"/>
        <w:gridCol w:w="919"/>
      </w:tblGrid>
      <w:tr w:rsidR="00565FD5" w:rsidRPr="00D50652" w:rsidTr="00AB62A3">
        <w:trPr>
          <w:trHeight w:val="170"/>
        </w:trPr>
        <w:tc>
          <w:tcPr>
            <w:tcW w:w="2349" w:type="pct"/>
            <w:tcBorders>
              <w:top w:val="single" w:sz="4" w:space="0" w:color="auto"/>
              <w:left w:val="single" w:sz="4" w:space="0" w:color="auto"/>
              <w:bottom w:val="single" w:sz="4" w:space="0" w:color="auto"/>
              <w:right w:val="nil"/>
            </w:tcBorders>
            <w:noWrap/>
            <w:tcMar>
              <w:top w:w="15" w:type="dxa"/>
              <w:left w:w="108" w:type="dxa"/>
              <w:bottom w:w="0" w:type="dxa"/>
              <w:right w:w="108" w:type="dxa"/>
            </w:tcMar>
            <w:vAlign w:val="bottom"/>
          </w:tcPr>
          <w:p w:rsidR="00565FD5" w:rsidRPr="00D50652" w:rsidRDefault="00565FD5" w:rsidP="00AB62A3">
            <w:pPr>
              <w:rPr>
                <w:rFonts w:cs="Tahoma"/>
                <w:b/>
                <w:bCs/>
                <w:sz w:val="15"/>
                <w:szCs w:val="15"/>
              </w:rPr>
            </w:pPr>
            <w:r w:rsidRPr="00D50652">
              <w:rPr>
                <w:rFonts w:cs="Tahoma"/>
                <w:b/>
                <w:bCs/>
                <w:sz w:val="15"/>
                <w:szCs w:val="15"/>
              </w:rPr>
              <w:t> </w:t>
            </w:r>
          </w:p>
        </w:tc>
        <w:tc>
          <w:tcPr>
            <w:tcW w:w="673"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565FD5" w:rsidRPr="00D50652" w:rsidRDefault="00565FD5" w:rsidP="00AB62A3">
            <w:pPr>
              <w:jc w:val="right"/>
              <w:rPr>
                <w:rFonts w:cs="Tahoma"/>
                <w:b/>
                <w:bCs/>
                <w:sz w:val="15"/>
                <w:szCs w:val="15"/>
              </w:rPr>
            </w:pPr>
            <w:r w:rsidRPr="00D50652">
              <w:rPr>
                <w:rFonts w:cs="Tahoma"/>
                <w:b/>
                <w:bCs/>
                <w:sz w:val="15"/>
                <w:szCs w:val="15"/>
              </w:rPr>
              <w:t>2009</w:t>
            </w:r>
          </w:p>
        </w:tc>
        <w:tc>
          <w:tcPr>
            <w:tcW w:w="688"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565FD5" w:rsidRPr="00D50652" w:rsidRDefault="00565FD5" w:rsidP="00AB62A3">
            <w:pPr>
              <w:jc w:val="right"/>
              <w:rPr>
                <w:rFonts w:cs="Tahoma"/>
                <w:b/>
                <w:bCs/>
                <w:sz w:val="15"/>
                <w:szCs w:val="15"/>
              </w:rPr>
            </w:pPr>
            <w:r w:rsidRPr="00D50652">
              <w:rPr>
                <w:rFonts w:cs="Tahoma"/>
                <w:b/>
                <w:bCs/>
                <w:sz w:val="15"/>
                <w:szCs w:val="15"/>
              </w:rPr>
              <w:t>2010</w:t>
            </w:r>
          </w:p>
        </w:tc>
        <w:tc>
          <w:tcPr>
            <w:tcW w:w="648"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565FD5" w:rsidRPr="00D50652" w:rsidRDefault="00565FD5" w:rsidP="00AB62A3">
            <w:pPr>
              <w:jc w:val="right"/>
              <w:rPr>
                <w:rFonts w:cs="Tahoma"/>
                <w:b/>
                <w:bCs/>
                <w:sz w:val="15"/>
                <w:szCs w:val="15"/>
              </w:rPr>
            </w:pPr>
            <w:r w:rsidRPr="00D50652">
              <w:rPr>
                <w:rFonts w:cs="Tahoma"/>
                <w:b/>
                <w:bCs/>
                <w:sz w:val="15"/>
                <w:szCs w:val="15"/>
              </w:rPr>
              <w:t>2011</w:t>
            </w:r>
          </w:p>
        </w:tc>
        <w:tc>
          <w:tcPr>
            <w:tcW w:w="642" w:type="pct"/>
            <w:tcBorders>
              <w:top w:val="single" w:sz="4" w:space="0" w:color="auto"/>
              <w:left w:val="nil"/>
              <w:bottom w:val="single" w:sz="4" w:space="0" w:color="auto"/>
              <w:right w:val="single" w:sz="4" w:space="0" w:color="auto"/>
            </w:tcBorders>
            <w:noWrap/>
            <w:tcMar>
              <w:top w:w="15" w:type="dxa"/>
              <w:left w:w="108" w:type="dxa"/>
              <w:bottom w:w="0" w:type="dxa"/>
              <w:right w:w="108" w:type="dxa"/>
            </w:tcMar>
            <w:vAlign w:val="bottom"/>
          </w:tcPr>
          <w:p w:rsidR="00565FD5" w:rsidRPr="00D50652" w:rsidRDefault="00565FD5" w:rsidP="00AB62A3">
            <w:pPr>
              <w:jc w:val="right"/>
              <w:rPr>
                <w:rFonts w:cs="Tahoma"/>
                <w:b/>
                <w:bCs/>
                <w:sz w:val="15"/>
                <w:szCs w:val="15"/>
              </w:rPr>
            </w:pPr>
            <w:r w:rsidRPr="00D50652">
              <w:rPr>
                <w:rFonts w:cs="Tahoma"/>
                <w:b/>
                <w:bCs/>
                <w:sz w:val="15"/>
                <w:szCs w:val="15"/>
              </w:rPr>
              <w:t>2012</w:t>
            </w:r>
          </w:p>
          <w:p w:rsidR="00565FD5" w:rsidRPr="00D50652" w:rsidRDefault="00565FD5" w:rsidP="00AB62A3">
            <w:pPr>
              <w:jc w:val="right"/>
              <w:rPr>
                <w:rFonts w:cs="Tahoma"/>
                <w:b/>
                <w:bCs/>
                <w:sz w:val="15"/>
                <w:szCs w:val="15"/>
              </w:rPr>
            </w:pPr>
            <w:r w:rsidRPr="00D50652">
              <w:rPr>
                <w:rFonts w:cs="Tahoma"/>
                <w:b/>
                <w:bCs/>
                <w:sz w:val="15"/>
                <w:szCs w:val="15"/>
              </w:rPr>
              <w:t>Haziran</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bCs/>
                <w:sz w:val="15"/>
                <w:szCs w:val="15"/>
              </w:rPr>
            </w:pPr>
            <w:r w:rsidRPr="00D50652">
              <w:rPr>
                <w:rFonts w:cs="Tahoma"/>
                <w:bCs/>
                <w:sz w:val="15"/>
                <w:szCs w:val="15"/>
              </w:rPr>
              <w:t>Kurul Kaydındaki Şirketler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548</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566</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586</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596</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bCs/>
                <w:sz w:val="15"/>
                <w:szCs w:val="15"/>
              </w:rPr>
            </w:pPr>
            <w:r w:rsidRPr="00D50652">
              <w:rPr>
                <w:rFonts w:cs="Tahoma"/>
                <w:bCs/>
                <w:sz w:val="15"/>
                <w:szCs w:val="15"/>
              </w:rPr>
              <w:t xml:space="preserve">    İMKB Şirketleri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322</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344</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368</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380</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sz w:val="15"/>
                <w:szCs w:val="15"/>
              </w:rPr>
            </w:pPr>
            <w:r w:rsidRPr="00D50652">
              <w:rPr>
                <w:rFonts w:cs="Tahoma"/>
                <w:sz w:val="15"/>
                <w:szCs w:val="15"/>
              </w:rPr>
              <w:lastRenderedPageBreak/>
              <w:t xml:space="preserve">    Borsa Dışı Kurul Kaydındaki Şirketler</w:t>
            </w:r>
            <w:r w:rsidRPr="00D50652">
              <w:rPr>
                <w:rFonts w:cs="Tahoma"/>
                <w:bCs/>
                <w:sz w:val="15"/>
                <w:szCs w:val="15"/>
              </w:rPr>
              <w:t xml:space="preserve">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226</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222</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218</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216</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bCs/>
                <w:sz w:val="15"/>
                <w:szCs w:val="15"/>
              </w:rPr>
            </w:pPr>
            <w:r w:rsidRPr="00D50652">
              <w:rPr>
                <w:rFonts w:cs="Tahoma"/>
                <w:bCs/>
                <w:sz w:val="15"/>
                <w:szCs w:val="15"/>
              </w:rPr>
              <w:t>Piyasa Değeri (Halka Açık Kısım, Milyon TL)</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124 320</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165 727</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139 970</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168 843</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sz w:val="15"/>
                <w:szCs w:val="15"/>
              </w:rPr>
            </w:pPr>
            <w:r w:rsidRPr="00D50652">
              <w:rPr>
                <w:rFonts w:cs="Tahoma"/>
                <w:sz w:val="15"/>
                <w:szCs w:val="15"/>
              </w:rPr>
              <w:t xml:space="preserve">    Yabancı Payı (Halka Açık Kısım, Yüzde)</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67,29</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66,18</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62,08</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62,50</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bCs/>
                <w:sz w:val="15"/>
                <w:szCs w:val="15"/>
              </w:rPr>
            </w:pPr>
            <w:r w:rsidRPr="00D50652">
              <w:rPr>
                <w:rFonts w:cs="Tahoma"/>
                <w:bCs/>
                <w:sz w:val="15"/>
                <w:szCs w:val="15"/>
              </w:rPr>
              <w:t>Piyasa Kapitalizasyonu (Milyon TL)</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350 761</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472 553</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381 152</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461 739</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sz w:val="15"/>
                <w:szCs w:val="15"/>
              </w:rPr>
            </w:pPr>
            <w:r w:rsidRPr="00D50652">
              <w:rPr>
                <w:rFonts w:cs="Tahoma"/>
                <w:sz w:val="15"/>
                <w:szCs w:val="15"/>
              </w:rPr>
              <w:t xml:space="preserve">    Piyasa Kapitalizasyonu/GSYH (Yüzde) </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36,82</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42,81</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29,36</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33,72</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bCs/>
                <w:sz w:val="15"/>
                <w:szCs w:val="15"/>
              </w:rPr>
            </w:pPr>
            <w:r w:rsidRPr="00D50652">
              <w:rPr>
                <w:rFonts w:cs="Tahoma"/>
                <w:bCs/>
                <w:sz w:val="15"/>
                <w:szCs w:val="15"/>
              </w:rPr>
              <w:t>Aracı Kuruluşlar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144</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144</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140</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142</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sz w:val="15"/>
                <w:szCs w:val="15"/>
              </w:rPr>
            </w:pPr>
            <w:r w:rsidRPr="00D50652">
              <w:rPr>
                <w:rFonts w:cs="Tahoma"/>
                <w:sz w:val="15"/>
                <w:szCs w:val="15"/>
              </w:rPr>
              <w:t xml:space="preserve">    Aracı Kurumlar</w:t>
            </w:r>
            <w:r w:rsidRPr="00D50652">
              <w:rPr>
                <w:rFonts w:cs="Tahoma"/>
                <w:bCs/>
                <w:sz w:val="15"/>
                <w:szCs w:val="15"/>
              </w:rPr>
              <w:t xml:space="preserve">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103</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103</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100</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101</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sz w:val="15"/>
                <w:szCs w:val="15"/>
              </w:rPr>
            </w:pPr>
            <w:r w:rsidRPr="00D50652">
              <w:rPr>
                <w:rFonts w:cs="Tahoma"/>
                <w:sz w:val="15"/>
                <w:szCs w:val="15"/>
              </w:rPr>
              <w:t xml:space="preserve">    Bankalar</w:t>
            </w:r>
            <w:r w:rsidRPr="00D50652">
              <w:rPr>
                <w:rFonts w:cs="Tahoma"/>
                <w:bCs/>
                <w:sz w:val="15"/>
                <w:szCs w:val="15"/>
              </w:rPr>
              <w:t xml:space="preserve">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41</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41</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40</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41</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sz w:val="15"/>
                <w:szCs w:val="15"/>
              </w:rPr>
            </w:pPr>
            <w:r w:rsidRPr="00D50652">
              <w:rPr>
                <w:rFonts w:cs="Tahoma"/>
                <w:sz w:val="15"/>
                <w:szCs w:val="15"/>
              </w:rPr>
              <w:t>Menkul Kıymet Yatırım Fonları</w:t>
            </w:r>
            <w:r w:rsidRPr="00D50652">
              <w:rPr>
                <w:rFonts w:cs="Tahoma"/>
                <w:bCs/>
                <w:sz w:val="15"/>
                <w:szCs w:val="15"/>
              </w:rPr>
              <w:t xml:space="preserve">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316</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486</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color w:val="000000"/>
                <w:sz w:val="15"/>
                <w:szCs w:val="15"/>
              </w:rPr>
            </w:pPr>
            <w:r w:rsidRPr="00D50652">
              <w:rPr>
                <w:rFonts w:cs="Tahoma"/>
                <w:color w:val="000000"/>
                <w:sz w:val="15"/>
                <w:szCs w:val="15"/>
              </w:rPr>
              <w:t>595</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sz w:val="15"/>
                <w:szCs w:val="15"/>
              </w:rPr>
            </w:pPr>
            <w:r w:rsidRPr="00D50652">
              <w:rPr>
                <w:rFonts w:cs="Tahoma"/>
                <w:sz w:val="15"/>
                <w:szCs w:val="15"/>
              </w:rPr>
              <w:t xml:space="preserve">    Net Aktif Değer (Milyon TL)</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29 608</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33 220</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30 219</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bCs/>
                <w:sz w:val="15"/>
                <w:szCs w:val="15"/>
              </w:rPr>
            </w:pPr>
            <w:r w:rsidRPr="00D50652">
              <w:rPr>
                <w:rFonts w:cs="Tahoma"/>
                <w:bCs/>
                <w:sz w:val="15"/>
                <w:szCs w:val="15"/>
              </w:rPr>
              <w:t>Bireysel Emeklilik Fonları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130</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140</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165</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176</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tabs>
                <w:tab w:val="left" w:pos="34"/>
              </w:tabs>
              <w:rPr>
                <w:rFonts w:cs="Tahoma"/>
                <w:sz w:val="15"/>
                <w:szCs w:val="15"/>
              </w:rPr>
            </w:pPr>
            <w:r w:rsidRPr="00D50652">
              <w:rPr>
                <w:rFonts w:cs="Tahoma"/>
                <w:sz w:val="15"/>
                <w:szCs w:val="15"/>
              </w:rPr>
              <w:t xml:space="preserve">    Net Aktif Değer</w:t>
            </w:r>
            <w:r w:rsidRPr="00D50652">
              <w:rPr>
                <w:rFonts w:cs="Tahoma"/>
                <w:bCs/>
                <w:sz w:val="15"/>
                <w:szCs w:val="15"/>
              </w:rPr>
              <w:t xml:space="preserve"> (Milyon TL)</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9 097</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12 012</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14 330</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17 215</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bCs/>
                <w:sz w:val="15"/>
                <w:szCs w:val="15"/>
              </w:rPr>
            </w:pPr>
            <w:r w:rsidRPr="00D50652">
              <w:rPr>
                <w:rFonts w:cs="Tahoma"/>
                <w:bCs/>
                <w:sz w:val="15"/>
                <w:szCs w:val="15"/>
              </w:rPr>
              <w:t>Yabancı Yatırım Fonları (</w:t>
            </w:r>
            <w:r w:rsidRPr="00D50652">
              <w:rPr>
                <w:rFonts w:cs="Tahoma"/>
                <w:sz w:val="15"/>
                <w:szCs w:val="15"/>
              </w:rPr>
              <w:t>Adet</w:t>
            </w:r>
            <w:r w:rsidRPr="00D50652">
              <w:rPr>
                <w:rFonts w:cs="Tahoma"/>
                <w:bCs/>
                <w:sz w:val="15"/>
                <w:szCs w:val="15"/>
              </w:rPr>
              <w:t xml:space="preserve">) </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77</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69</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55</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49</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tabs>
                <w:tab w:val="left" w:pos="176"/>
              </w:tabs>
              <w:rPr>
                <w:rFonts w:cs="Tahoma"/>
                <w:sz w:val="15"/>
                <w:szCs w:val="15"/>
              </w:rPr>
            </w:pPr>
            <w:r w:rsidRPr="00D50652">
              <w:rPr>
                <w:rFonts w:cs="Tahoma"/>
                <w:bCs/>
                <w:sz w:val="15"/>
                <w:szCs w:val="15"/>
              </w:rPr>
              <w:t xml:space="preserve">    </w:t>
            </w:r>
            <w:r w:rsidRPr="00D50652">
              <w:rPr>
                <w:rFonts w:cs="Tahoma"/>
                <w:sz w:val="15"/>
                <w:szCs w:val="15"/>
              </w:rPr>
              <w:t>Net Aktif Değer</w:t>
            </w:r>
            <w:r w:rsidRPr="00D50652">
              <w:rPr>
                <w:rFonts w:cs="Tahoma"/>
                <w:bCs/>
                <w:sz w:val="15"/>
                <w:szCs w:val="15"/>
              </w:rPr>
              <w:t xml:space="preserve"> (Milyon TL) </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58</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55</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53</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53</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bCs/>
                <w:sz w:val="15"/>
                <w:szCs w:val="15"/>
              </w:rPr>
            </w:pPr>
            <w:r w:rsidRPr="00D50652">
              <w:rPr>
                <w:rFonts w:cs="Tahoma"/>
                <w:bCs/>
                <w:sz w:val="15"/>
                <w:szCs w:val="15"/>
              </w:rPr>
              <w:t>Menkul Kıymet Yatırım Ortaklıkları (</w:t>
            </w:r>
            <w:r w:rsidRPr="00D50652">
              <w:rPr>
                <w:rFonts w:cs="Tahoma"/>
                <w:sz w:val="15"/>
                <w:szCs w:val="15"/>
              </w:rPr>
              <w:t>Adet</w:t>
            </w:r>
            <w:r w:rsidRPr="00D50652">
              <w:rPr>
                <w:rFonts w:cs="Tahoma"/>
                <w:bCs/>
                <w:sz w:val="15"/>
                <w:szCs w:val="15"/>
              </w:rPr>
              <w:t>) (1)</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33</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31</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26</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26</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sz w:val="15"/>
                <w:szCs w:val="15"/>
              </w:rPr>
            </w:pPr>
            <w:r w:rsidRPr="00D50652">
              <w:rPr>
                <w:rFonts w:cs="Tahoma"/>
                <w:sz w:val="15"/>
                <w:szCs w:val="15"/>
              </w:rPr>
              <w:t xml:space="preserve">    Net Aktif Değer</w:t>
            </w:r>
            <w:r w:rsidRPr="00D50652">
              <w:rPr>
                <w:rFonts w:cs="Tahoma"/>
                <w:bCs/>
                <w:sz w:val="15"/>
                <w:szCs w:val="15"/>
              </w:rPr>
              <w:t xml:space="preserve"> (Milyon TL) (1)</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712</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750</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689</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713</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bCs/>
                <w:sz w:val="15"/>
                <w:szCs w:val="15"/>
              </w:rPr>
            </w:pPr>
            <w:r w:rsidRPr="00D50652">
              <w:rPr>
                <w:rFonts w:cs="Tahoma"/>
                <w:bCs/>
                <w:sz w:val="15"/>
                <w:szCs w:val="15"/>
              </w:rPr>
              <w:t>Gayrimenkul Yatırım Ortaklıkları (</w:t>
            </w:r>
            <w:r w:rsidRPr="00D50652">
              <w:rPr>
                <w:rFonts w:cs="Tahoma"/>
                <w:sz w:val="15"/>
                <w:szCs w:val="15"/>
              </w:rPr>
              <w:t>Adet</w:t>
            </w:r>
            <w:r w:rsidRPr="00D50652">
              <w:rPr>
                <w:rFonts w:cs="Tahoma"/>
                <w:bCs/>
                <w:sz w:val="15"/>
                <w:szCs w:val="15"/>
              </w:rPr>
              <w:t>) (2)</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14</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21</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23</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sz w:val="15"/>
                <w:szCs w:val="15"/>
              </w:rPr>
            </w:pPr>
            <w:r w:rsidRPr="00D50652">
              <w:rPr>
                <w:rFonts w:cs="Tahoma"/>
                <w:sz w:val="15"/>
                <w:szCs w:val="15"/>
              </w:rPr>
              <w:t xml:space="preserve">    Net Aktif Değer</w:t>
            </w:r>
            <w:r w:rsidRPr="00D50652">
              <w:rPr>
                <w:rFonts w:cs="Tahoma"/>
                <w:bCs/>
                <w:sz w:val="15"/>
                <w:szCs w:val="15"/>
              </w:rPr>
              <w:t xml:space="preserve"> (Milyon TL) (2)</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4 740</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17 246</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12 717</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bCs/>
                <w:sz w:val="15"/>
                <w:szCs w:val="15"/>
              </w:rPr>
            </w:pPr>
            <w:r w:rsidRPr="00D50652">
              <w:rPr>
                <w:rFonts w:cs="Tahoma"/>
                <w:bCs/>
                <w:sz w:val="15"/>
                <w:szCs w:val="15"/>
              </w:rPr>
              <w:t>Girişim Sermayesi Yatırım Ortaklıkları (</w:t>
            </w:r>
            <w:r w:rsidRPr="00D50652">
              <w:rPr>
                <w:rFonts w:cs="Tahoma"/>
                <w:sz w:val="15"/>
                <w:szCs w:val="15"/>
              </w:rPr>
              <w:t>Adet</w:t>
            </w:r>
            <w:r w:rsidRPr="00D50652">
              <w:rPr>
                <w:rFonts w:cs="Tahoma"/>
                <w:bCs/>
                <w:sz w:val="15"/>
                <w:szCs w:val="15"/>
              </w:rPr>
              <w:t>) (2)</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2</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2</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4</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sz w:val="15"/>
                <w:szCs w:val="15"/>
              </w:rPr>
            </w:pPr>
            <w:r w:rsidRPr="00D50652">
              <w:rPr>
                <w:rFonts w:cs="Tahoma"/>
                <w:sz w:val="15"/>
                <w:szCs w:val="15"/>
              </w:rPr>
              <w:t xml:space="preserve">    Net Aktif Değer</w:t>
            </w:r>
            <w:r w:rsidRPr="00D50652">
              <w:rPr>
                <w:rFonts w:cs="Tahoma"/>
                <w:bCs/>
                <w:sz w:val="15"/>
                <w:szCs w:val="15"/>
              </w:rPr>
              <w:t xml:space="preserve"> (Milyon TL) (2)</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153</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187</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653</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bCs/>
                <w:sz w:val="15"/>
                <w:szCs w:val="15"/>
              </w:rPr>
            </w:pPr>
            <w:r w:rsidRPr="00D50652">
              <w:rPr>
                <w:rFonts w:cs="Tahoma"/>
                <w:bCs/>
                <w:sz w:val="15"/>
                <w:szCs w:val="15"/>
              </w:rPr>
              <w:t>Portföy Yönetim Şirketleri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23</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28</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31</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33</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sz w:val="15"/>
                <w:szCs w:val="15"/>
              </w:rPr>
            </w:pPr>
            <w:r w:rsidRPr="00D50652">
              <w:rPr>
                <w:rFonts w:cs="Tahoma"/>
                <w:sz w:val="15"/>
                <w:szCs w:val="15"/>
              </w:rPr>
              <w:t xml:space="preserve">    Net Aktif Değer</w:t>
            </w:r>
            <w:r w:rsidRPr="00D50652">
              <w:rPr>
                <w:rFonts w:cs="Tahoma"/>
                <w:bCs/>
                <w:sz w:val="15"/>
                <w:szCs w:val="15"/>
              </w:rPr>
              <w:t xml:space="preserve"> (Milyon TL)</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39 952</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46 889</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47 851</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50 545</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bCs/>
                <w:sz w:val="15"/>
                <w:szCs w:val="15"/>
              </w:rPr>
            </w:pPr>
            <w:r w:rsidRPr="00D50652">
              <w:rPr>
                <w:rFonts w:cs="Tahoma"/>
                <w:bCs/>
                <w:sz w:val="15"/>
                <w:szCs w:val="15"/>
              </w:rPr>
              <w:t>Bağımsız Denetim Şirketleri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95</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92</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92</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92</w:t>
            </w:r>
          </w:p>
        </w:tc>
      </w:tr>
      <w:tr w:rsidR="00565FD5" w:rsidRPr="00D50652" w:rsidTr="00AB62A3">
        <w:trPr>
          <w:trHeight w:val="198"/>
        </w:trPr>
        <w:tc>
          <w:tcPr>
            <w:tcW w:w="2349" w:type="pct"/>
            <w:tcBorders>
              <w:top w:val="nil"/>
              <w:left w:val="single" w:sz="4" w:space="0" w:color="auto"/>
              <w:bottom w:val="nil"/>
              <w:right w:val="nil"/>
            </w:tcBorders>
            <w:noWrap/>
            <w:tcMar>
              <w:top w:w="15" w:type="dxa"/>
              <w:left w:w="108" w:type="dxa"/>
              <w:bottom w:w="0" w:type="dxa"/>
              <w:right w:w="108" w:type="dxa"/>
            </w:tcMar>
            <w:vAlign w:val="center"/>
          </w:tcPr>
          <w:p w:rsidR="00565FD5" w:rsidRPr="00D50652" w:rsidRDefault="00565FD5" w:rsidP="00AB62A3">
            <w:pPr>
              <w:rPr>
                <w:rFonts w:cs="Tahoma"/>
                <w:bCs/>
                <w:sz w:val="15"/>
                <w:szCs w:val="15"/>
              </w:rPr>
            </w:pPr>
            <w:r w:rsidRPr="00D50652">
              <w:rPr>
                <w:rFonts w:cs="Tahoma"/>
                <w:bCs/>
                <w:sz w:val="15"/>
                <w:szCs w:val="15"/>
              </w:rPr>
              <w:t>Gayrimenkul Değerleme Şirketleri (</w:t>
            </w:r>
            <w:r w:rsidRPr="00D50652">
              <w:rPr>
                <w:rFonts w:cs="Tahoma"/>
                <w:sz w:val="15"/>
                <w:szCs w:val="15"/>
              </w:rPr>
              <w:t>Adet</w:t>
            </w:r>
            <w:r w:rsidRPr="00D50652">
              <w:rPr>
                <w:rFonts w:cs="Tahoma"/>
                <w:bCs/>
                <w:sz w:val="15"/>
                <w:szCs w:val="15"/>
              </w:rPr>
              <w:t>)</w:t>
            </w:r>
          </w:p>
        </w:tc>
        <w:tc>
          <w:tcPr>
            <w:tcW w:w="673"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63</w:t>
            </w:r>
          </w:p>
        </w:tc>
        <w:tc>
          <w:tcPr>
            <w:tcW w:w="68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82</w:t>
            </w:r>
          </w:p>
        </w:tc>
        <w:tc>
          <w:tcPr>
            <w:tcW w:w="648" w:type="pct"/>
            <w:tcBorders>
              <w:top w:val="nil"/>
              <w:left w:val="nil"/>
              <w:bottom w:val="nil"/>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113</w:t>
            </w:r>
          </w:p>
        </w:tc>
        <w:tc>
          <w:tcPr>
            <w:tcW w:w="642" w:type="pct"/>
            <w:tcBorders>
              <w:top w:val="nil"/>
              <w:left w:val="nil"/>
              <w:bottom w:val="nil"/>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122</w:t>
            </w:r>
          </w:p>
        </w:tc>
      </w:tr>
      <w:tr w:rsidR="00565FD5" w:rsidRPr="00D50652" w:rsidTr="00AB62A3">
        <w:trPr>
          <w:trHeight w:val="198"/>
        </w:trPr>
        <w:tc>
          <w:tcPr>
            <w:tcW w:w="2349" w:type="pct"/>
            <w:tcBorders>
              <w:top w:val="nil"/>
              <w:left w:val="single" w:sz="4" w:space="0" w:color="auto"/>
              <w:bottom w:val="single" w:sz="4" w:space="0" w:color="auto"/>
              <w:right w:val="nil"/>
            </w:tcBorders>
            <w:noWrap/>
            <w:tcMar>
              <w:top w:w="15" w:type="dxa"/>
              <w:left w:w="108" w:type="dxa"/>
              <w:bottom w:w="0" w:type="dxa"/>
              <w:right w:w="108" w:type="dxa"/>
            </w:tcMar>
            <w:vAlign w:val="center"/>
          </w:tcPr>
          <w:p w:rsidR="00565FD5" w:rsidRPr="00D50652" w:rsidRDefault="00565FD5" w:rsidP="00AB62A3">
            <w:pPr>
              <w:rPr>
                <w:rFonts w:cs="Tahoma"/>
                <w:bCs/>
                <w:sz w:val="15"/>
                <w:szCs w:val="15"/>
              </w:rPr>
            </w:pPr>
            <w:r w:rsidRPr="00D50652">
              <w:rPr>
                <w:rFonts w:cs="Tahoma"/>
                <w:bCs/>
                <w:sz w:val="15"/>
                <w:szCs w:val="15"/>
              </w:rPr>
              <w:t>Derecelendirme Kuruluşları (</w:t>
            </w:r>
            <w:r w:rsidRPr="00D50652">
              <w:rPr>
                <w:rFonts w:cs="Tahoma"/>
                <w:sz w:val="15"/>
                <w:szCs w:val="15"/>
              </w:rPr>
              <w:t>Adet</w:t>
            </w:r>
            <w:r w:rsidRPr="00D50652">
              <w:rPr>
                <w:rFonts w:cs="Tahoma"/>
                <w:bCs/>
                <w:sz w:val="15"/>
                <w:szCs w:val="15"/>
              </w:rPr>
              <w:t>)</w:t>
            </w:r>
          </w:p>
        </w:tc>
        <w:tc>
          <w:tcPr>
            <w:tcW w:w="673" w:type="pct"/>
            <w:tcBorders>
              <w:top w:val="nil"/>
              <w:left w:val="nil"/>
              <w:bottom w:val="single" w:sz="4" w:space="0" w:color="auto"/>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9</w:t>
            </w:r>
          </w:p>
        </w:tc>
        <w:tc>
          <w:tcPr>
            <w:tcW w:w="688" w:type="pct"/>
            <w:tcBorders>
              <w:top w:val="nil"/>
              <w:left w:val="nil"/>
              <w:bottom w:val="single" w:sz="4" w:space="0" w:color="auto"/>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9</w:t>
            </w:r>
          </w:p>
        </w:tc>
        <w:tc>
          <w:tcPr>
            <w:tcW w:w="648" w:type="pct"/>
            <w:tcBorders>
              <w:top w:val="nil"/>
              <w:left w:val="nil"/>
              <w:bottom w:val="single" w:sz="4" w:space="0" w:color="auto"/>
              <w:right w:val="nil"/>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9</w:t>
            </w:r>
          </w:p>
        </w:tc>
        <w:tc>
          <w:tcPr>
            <w:tcW w:w="642" w:type="pct"/>
            <w:tcBorders>
              <w:top w:val="nil"/>
              <w:left w:val="nil"/>
              <w:bottom w:val="single" w:sz="4" w:space="0" w:color="auto"/>
              <w:right w:val="single" w:sz="4" w:space="0" w:color="auto"/>
            </w:tcBorders>
            <w:noWrap/>
            <w:tcMar>
              <w:top w:w="15" w:type="dxa"/>
              <w:left w:w="108" w:type="dxa"/>
              <w:bottom w:w="0" w:type="dxa"/>
              <w:right w:w="108" w:type="dxa"/>
            </w:tcMar>
            <w:vAlign w:val="center"/>
          </w:tcPr>
          <w:p w:rsidR="00565FD5" w:rsidRPr="00D50652" w:rsidRDefault="00565FD5" w:rsidP="00AB62A3">
            <w:pPr>
              <w:jc w:val="right"/>
              <w:rPr>
                <w:rFonts w:cs="Tahoma"/>
                <w:sz w:val="15"/>
                <w:szCs w:val="15"/>
              </w:rPr>
            </w:pPr>
            <w:r w:rsidRPr="00D50652">
              <w:rPr>
                <w:rFonts w:cs="Tahoma"/>
                <w:sz w:val="15"/>
                <w:szCs w:val="15"/>
              </w:rPr>
              <w:t>10</w:t>
            </w:r>
          </w:p>
        </w:tc>
      </w:tr>
    </w:tbl>
    <w:p w:rsidR="00565FD5" w:rsidRPr="00D50652" w:rsidRDefault="00565FD5" w:rsidP="00565FD5">
      <w:pPr>
        <w:rPr>
          <w:rFonts w:cs="Tahoma"/>
          <w:sz w:val="14"/>
          <w:szCs w:val="14"/>
        </w:rPr>
      </w:pPr>
      <w:r w:rsidRPr="00D50652">
        <w:rPr>
          <w:rFonts w:cs="Tahoma"/>
          <w:sz w:val="14"/>
          <w:szCs w:val="14"/>
        </w:rPr>
        <w:t xml:space="preserve">Kaynak: SPK, Merkezi Kayıt Kuruluşu, TÜİK, İMKB, Emeklilik Gözetim Merkezi </w:t>
      </w:r>
    </w:p>
    <w:p w:rsidR="00565FD5" w:rsidRPr="00D50652" w:rsidRDefault="00565FD5" w:rsidP="00565FD5">
      <w:pPr>
        <w:rPr>
          <w:rFonts w:cs="Tahoma"/>
          <w:sz w:val="14"/>
          <w:szCs w:val="14"/>
        </w:rPr>
      </w:pPr>
      <w:r w:rsidRPr="00D50652">
        <w:rPr>
          <w:rFonts w:cs="Tahoma"/>
          <w:sz w:val="14"/>
          <w:szCs w:val="14"/>
        </w:rPr>
        <w:lastRenderedPageBreak/>
        <w:t>(1) 2012 yılı verileri, Nisan ayı itibarıyladır.</w:t>
      </w:r>
    </w:p>
    <w:p w:rsidR="00565FD5" w:rsidRPr="00D50652" w:rsidRDefault="00565FD5" w:rsidP="00565FD5">
      <w:pPr>
        <w:spacing w:after="240"/>
        <w:rPr>
          <w:rFonts w:cs="Tahoma"/>
          <w:sz w:val="14"/>
          <w:szCs w:val="14"/>
        </w:rPr>
      </w:pPr>
      <w:r w:rsidRPr="00D50652">
        <w:rPr>
          <w:rFonts w:cs="Tahoma"/>
          <w:sz w:val="14"/>
          <w:szCs w:val="14"/>
        </w:rPr>
        <w:t>(2) 2011 yılı verileri, Eylül ayı itibarıyladır.</w:t>
      </w:r>
    </w:p>
    <w:p w:rsidR="00565FD5" w:rsidRPr="00D50652" w:rsidRDefault="00565FD5" w:rsidP="00565FD5">
      <w:pPr>
        <w:spacing w:after="140"/>
        <w:ind w:firstLine="425"/>
        <w:rPr>
          <w:rFonts w:cs="Tahoma"/>
          <w:szCs w:val="18"/>
          <w:lang w:bidi="ar-BH"/>
        </w:rPr>
      </w:pPr>
      <w:r w:rsidRPr="00D50652">
        <w:rPr>
          <w:rFonts w:cs="Tahoma"/>
          <w:szCs w:val="18"/>
          <w:lang w:bidi="ar-BH"/>
        </w:rPr>
        <w:t>Fon maliyeti ve fon arzının zamanlamasıyla ilgili getirilen esneklikler neticesinde menkul kıymet yatırım fonu sayısında 2010 yılında görülen önemli artışlar 2011 yılında da devam etmiştir.  Nitekim 2009 yılı sonunda 316 olan menkul kıymet yatırım fonu sayısı 2010 yılı sonunda 486 ve 2011 yılı sonunda 595 seviyesine çıkmıştır. Öte yandan, 2011 yılı sonunda bir önceki yılsonuna göre menkul kıymet yatırım fonları net aktif değeri 3 milyar TL azalarak 30,2 milyar TL seviyesinde gerçekleşmiştir.</w:t>
      </w:r>
    </w:p>
    <w:p w:rsidR="00565FD5" w:rsidRPr="00D50652" w:rsidRDefault="00565FD5" w:rsidP="00565FD5">
      <w:pPr>
        <w:spacing w:after="140"/>
        <w:ind w:firstLine="425"/>
        <w:rPr>
          <w:rFonts w:cs="Tahoma"/>
          <w:szCs w:val="18"/>
          <w:lang w:bidi="ar-BH"/>
        </w:rPr>
      </w:pPr>
      <w:r w:rsidRPr="00D50652">
        <w:rPr>
          <w:rFonts w:cs="Tahoma"/>
          <w:szCs w:val="18"/>
          <w:lang w:bidi="ar-BH"/>
        </w:rPr>
        <w:t>Bireysel emeklilik fon sayısında önceki iki yılda görülen artış eğilimi sürmüş ve 2012 yılı Haziran ayı itibarıyla bir önceki yılsonuna göre fon sayısı 11 adet artarak 176’ya yükselmiştir. Bireysel emeklilik fonlarının büyüklüğü, 2012 yılı Haziran ayı sonunda 17,2 milyar TL seviyesinde gerçekleşmiştir.</w:t>
      </w:r>
    </w:p>
    <w:p w:rsidR="00565FD5" w:rsidRPr="00D50652" w:rsidRDefault="00565FD5" w:rsidP="00565FD5">
      <w:pPr>
        <w:spacing w:after="140"/>
        <w:ind w:firstLine="425"/>
        <w:rPr>
          <w:rFonts w:cs="Tahoma"/>
          <w:szCs w:val="18"/>
          <w:lang w:bidi="ar-BH"/>
        </w:rPr>
      </w:pPr>
      <w:r w:rsidRPr="00D50652">
        <w:rPr>
          <w:rFonts w:cs="Tahoma"/>
          <w:szCs w:val="18"/>
          <w:lang w:bidi="ar-BH"/>
        </w:rPr>
        <w:t xml:space="preserve">Sermaye piyasasında faaliyet gösteren diğer kurumlara bakıldığında, 2010 yılı sonunda 82 olan gayrimenkul değerleme şirketlerinin sayısı 2011 yılı sonunda 113’e, 2012 yılı Haziran ayı itibarıyla da 122’ye ulaşmıştır.  </w:t>
      </w:r>
    </w:p>
    <w:p w:rsidR="00565FD5" w:rsidRPr="00D50652" w:rsidRDefault="00565FD5" w:rsidP="00565FD5">
      <w:pPr>
        <w:spacing w:after="140"/>
        <w:ind w:firstLine="425"/>
        <w:rPr>
          <w:rFonts w:cs="Tahoma"/>
          <w:szCs w:val="18"/>
          <w:lang w:bidi="ar-BH"/>
        </w:rPr>
      </w:pPr>
      <w:r w:rsidRPr="00D50652">
        <w:rPr>
          <w:rFonts w:cs="Tahoma"/>
          <w:szCs w:val="18"/>
          <w:lang w:bidi="ar-BH"/>
        </w:rPr>
        <w:t>Bankalarca ihraç edilen menkul kıymetler, mevduata göre düşük vergi avantajı ve kamu borçlanma senetlerine kıyasla daha iyi getiri sağlamaları nedeniyle bireysel ve kurumsal yatırımcılar için alternatif bir yatırım aracı haline gelmiştir. 2010 yılından bu yana bankaların menkul kıymet ihracına izin verilmesiyle 2009 yılı sonunda 516 milyon TL olan hisse senedi hariç özel sektör menkul kıymet stoku, 2010 yılında 2,9 milyar TL’ye, 2011 yılında 14,6 milyar TL’ye, 2012 yılı Haziran ayı itibarıyla da 25,8 milyar TL’ye ulaşmıştır. Böylece, ağırlıklı olarak hisse senedinden oluşan özel sektör menkul kıymetlerinde özellikle 2009 yılından bu yana tahvil, finansman bonosu, varlığa dayalı menkul kıymet, banka bonosu ve varantların da yer almasıyla ürün çeşitliliği artmıştır.</w:t>
      </w:r>
    </w:p>
    <w:p w:rsidR="00565FD5" w:rsidRPr="00D50652" w:rsidRDefault="00565FD5" w:rsidP="00565FD5">
      <w:pPr>
        <w:pStyle w:val="ResimYazs"/>
      </w:pPr>
      <w:bookmarkStart w:id="1474" w:name="_Toc118525324"/>
      <w:bookmarkStart w:id="1475" w:name="_Toc118555976"/>
      <w:bookmarkStart w:id="1476" w:name="_Toc118568300"/>
      <w:bookmarkStart w:id="1477" w:name="_Toc149975941"/>
      <w:bookmarkStart w:id="1478" w:name="_Toc150099394"/>
      <w:bookmarkStart w:id="1479" w:name="_Toc212712783"/>
      <w:bookmarkStart w:id="1480" w:name="_Toc213071691"/>
      <w:bookmarkStart w:id="1481" w:name="_Toc244255256"/>
      <w:bookmarkStart w:id="1482" w:name="_Toc275873939"/>
      <w:bookmarkStart w:id="1483" w:name="_Toc276076481"/>
      <w:bookmarkStart w:id="1484" w:name="_Toc307601663"/>
      <w:bookmarkStart w:id="1485" w:name="_Toc307657886"/>
      <w:bookmarkStart w:id="1486" w:name="_Toc307713578"/>
      <w:bookmarkStart w:id="1487" w:name="_Toc338606006"/>
      <w:bookmarkStart w:id="1488" w:name="_Toc338711781"/>
      <w:r>
        <w:t xml:space="preserve">TABLO IV: </w:t>
      </w:r>
      <w:fldSimple w:instr=" SEQ TABLO_IV: \* ARABIC ">
        <w:r>
          <w:rPr>
            <w:noProof/>
          </w:rPr>
          <w:t>11</w:t>
        </w:r>
      </w:fldSimple>
      <w:r w:rsidRPr="00D50652">
        <w:t>- Sermaye Piyasası Hacmi</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rsidR="00565FD5" w:rsidRPr="00D50652" w:rsidRDefault="00565FD5" w:rsidP="00565FD5">
      <w:pPr>
        <w:jc w:val="right"/>
        <w:rPr>
          <w:rFonts w:cs="Tahoma"/>
          <w:sz w:val="16"/>
          <w:szCs w:val="16"/>
        </w:rPr>
      </w:pPr>
      <w:r w:rsidRPr="00D50652">
        <w:rPr>
          <w:rFonts w:cs="Tahoma"/>
          <w:sz w:val="16"/>
          <w:szCs w:val="16"/>
        </w:rPr>
        <w:t>(Milyon TL)</w:t>
      </w:r>
    </w:p>
    <w:tbl>
      <w:tblPr>
        <w:tblW w:w="7144" w:type="dxa"/>
        <w:jc w:val="center"/>
        <w:tblCellMar>
          <w:left w:w="0" w:type="dxa"/>
          <w:right w:w="0" w:type="dxa"/>
        </w:tblCellMar>
        <w:tblLook w:val="0000"/>
      </w:tblPr>
      <w:tblGrid>
        <w:gridCol w:w="282"/>
        <w:gridCol w:w="3088"/>
        <w:gridCol w:w="976"/>
        <w:gridCol w:w="904"/>
        <w:gridCol w:w="900"/>
        <w:gridCol w:w="994"/>
      </w:tblGrid>
      <w:tr w:rsidR="00565FD5" w:rsidRPr="00D50652" w:rsidTr="00AB62A3">
        <w:trPr>
          <w:trHeight w:val="20"/>
          <w:jc w:val="center"/>
        </w:trPr>
        <w:tc>
          <w:tcPr>
            <w:tcW w:w="197" w:type="pct"/>
            <w:vMerge w:val="restart"/>
            <w:tcBorders>
              <w:top w:val="single" w:sz="4" w:space="0" w:color="auto"/>
              <w:left w:val="single" w:sz="4" w:space="0" w:color="auto"/>
              <w:right w:val="nil"/>
            </w:tcBorders>
            <w:vAlign w:val="center"/>
          </w:tcPr>
          <w:p w:rsidR="00565FD5" w:rsidRPr="00D50652" w:rsidRDefault="00565FD5" w:rsidP="00AB62A3">
            <w:pPr>
              <w:rPr>
                <w:rFonts w:cs="Tahoma"/>
                <w:b/>
                <w:bCs/>
                <w:sz w:val="15"/>
                <w:szCs w:val="15"/>
              </w:rPr>
            </w:pPr>
          </w:p>
        </w:tc>
        <w:tc>
          <w:tcPr>
            <w:tcW w:w="2161" w:type="pct"/>
            <w:vMerge w:val="restart"/>
            <w:tcBorders>
              <w:top w:val="single" w:sz="4" w:space="0" w:color="auto"/>
              <w:left w:val="nil"/>
              <w:right w:val="nil"/>
            </w:tcBorders>
          </w:tcPr>
          <w:p w:rsidR="00565FD5" w:rsidRPr="00D50652" w:rsidRDefault="00565FD5" w:rsidP="00AB62A3">
            <w:pPr>
              <w:rPr>
                <w:rFonts w:cs="Tahoma"/>
                <w:b/>
                <w:bCs/>
                <w:sz w:val="15"/>
                <w:szCs w:val="15"/>
              </w:rPr>
            </w:pPr>
          </w:p>
        </w:tc>
        <w:tc>
          <w:tcPr>
            <w:tcW w:w="683" w:type="pct"/>
            <w:vMerge w:val="restart"/>
            <w:tcBorders>
              <w:top w:val="single" w:sz="4" w:space="0" w:color="auto"/>
              <w:left w:val="nil"/>
              <w:right w:val="nil"/>
            </w:tcBorders>
            <w:vAlign w:val="bottom"/>
          </w:tcPr>
          <w:p w:rsidR="00565FD5" w:rsidRPr="00D50652" w:rsidRDefault="00565FD5" w:rsidP="00AB62A3">
            <w:pPr>
              <w:jc w:val="right"/>
              <w:rPr>
                <w:rFonts w:cs="Tahoma"/>
                <w:b/>
                <w:bCs/>
                <w:sz w:val="15"/>
                <w:szCs w:val="15"/>
              </w:rPr>
            </w:pPr>
            <w:r w:rsidRPr="00D50652">
              <w:rPr>
                <w:rFonts w:cs="Tahoma"/>
                <w:b/>
                <w:bCs/>
                <w:sz w:val="15"/>
                <w:szCs w:val="15"/>
              </w:rPr>
              <w:t>2010</w:t>
            </w:r>
          </w:p>
        </w:tc>
        <w:tc>
          <w:tcPr>
            <w:tcW w:w="633" w:type="pct"/>
            <w:vMerge w:val="restart"/>
            <w:tcBorders>
              <w:top w:val="single" w:sz="4" w:space="0" w:color="auto"/>
              <w:left w:val="nil"/>
              <w:right w:val="nil"/>
            </w:tcBorders>
            <w:tcMar>
              <w:top w:w="0" w:type="dxa"/>
              <w:left w:w="15" w:type="dxa"/>
              <w:bottom w:w="0" w:type="dxa"/>
              <w:right w:w="15" w:type="dxa"/>
            </w:tcMar>
            <w:vAlign w:val="bottom"/>
          </w:tcPr>
          <w:p w:rsidR="00565FD5" w:rsidRPr="00D50652" w:rsidRDefault="00565FD5" w:rsidP="00AB62A3">
            <w:pPr>
              <w:jc w:val="right"/>
              <w:rPr>
                <w:rFonts w:cs="Tahoma"/>
                <w:b/>
                <w:bCs/>
                <w:sz w:val="15"/>
                <w:szCs w:val="15"/>
              </w:rPr>
            </w:pPr>
            <w:r w:rsidRPr="00D50652">
              <w:rPr>
                <w:rFonts w:cs="Tahoma"/>
                <w:b/>
                <w:bCs/>
                <w:sz w:val="15"/>
                <w:szCs w:val="15"/>
              </w:rPr>
              <w:t>2011</w:t>
            </w:r>
          </w:p>
        </w:tc>
        <w:tc>
          <w:tcPr>
            <w:tcW w:w="1326"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65FD5" w:rsidRPr="00D50652" w:rsidRDefault="00565FD5" w:rsidP="00AB62A3">
            <w:pPr>
              <w:jc w:val="center"/>
              <w:rPr>
                <w:rFonts w:cs="Tahoma"/>
                <w:b/>
                <w:bCs/>
                <w:sz w:val="15"/>
                <w:szCs w:val="15"/>
              </w:rPr>
            </w:pPr>
            <w:r w:rsidRPr="00D50652">
              <w:rPr>
                <w:rFonts w:cs="Tahoma"/>
                <w:b/>
                <w:bCs/>
                <w:sz w:val="15"/>
                <w:szCs w:val="15"/>
              </w:rPr>
              <w:t>Ağustos</w:t>
            </w:r>
          </w:p>
        </w:tc>
      </w:tr>
      <w:tr w:rsidR="00565FD5" w:rsidRPr="00D50652" w:rsidTr="00AB62A3">
        <w:trPr>
          <w:trHeight w:val="20"/>
          <w:jc w:val="center"/>
        </w:trPr>
        <w:tc>
          <w:tcPr>
            <w:tcW w:w="197" w:type="pct"/>
            <w:vMerge/>
            <w:tcBorders>
              <w:left w:val="single" w:sz="4" w:space="0" w:color="auto"/>
              <w:bottom w:val="single" w:sz="4" w:space="0" w:color="auto"/>
              <w:right w:val="nil"/>
            </w:tcBorders>
            <w:vAlign w:val="center"/>
          </w:tcPr>
          <w:p w:rsidR="00565FD5" w:rsidRPr="00D50652" w:rsidRDefault="00565FD5" w:rsidP="00AB62A3">
            <w:pPr>
              <w:rPr>
                <w:rFonts w:cs="Tahoma"/>
                <w:b/>
                <w:bCs/>
                <w:sz w:val="15"/>
                <w:szCs w:val="15"/>
              </w:rPr>
            </w:pPr>
          </w:p>
        </w:tc>
        <w:tc>
          <w:tcPr>
            <w:tcW w:w="2161" w:type="pct"/>
            <w:vMerge/>
            <w:tcBorders>
              <w:left w:val="nil"/>
              <w:bottom w:val="single" w:sz="4" w:space="0" w:color="auto"/>
              <w:right w:val="nil"/>
            </w:tcBorders>
          </w:tcPr>
          <w:p w:rsidR="00565FD5" w:rsidRPr="00D50652" w:rsidRDefault="00565FD5" w:rsidP="00AB62A3">
            <w:pPr>
              <w:rPr>
                <w:rFonts w:cs="Tahoma"/>
                <w:b/>
                <w:bCs/>
                <w:sz w:val="15"/>
                <w:szCs w:val="15"/>
              </w:rPr>
            </w:pPr>
          </w:p>
        </w:tc>
        <w:tc>
          <w:tcPr>
            <w:tcW w:w="683" w:type="pct"/>
            <w:vMerge/>
            <w:tcBorders>
              <w:left w:val="nil"/>
              <w:bottom w:val="single" w:sz="4" w:space="0" w:color="auto"/>
              <w:right w:val="nil"/>
            </w:tcBorders>
            <w:vAlign w:val="center"/>
          </w:tcPr>
          <w:p w:rsidR="00565FD5" w:rsidRPr="00D50652" w:rsidRDefault="00565FD5" w:rsidP="00AB62A3">
            <w:pPr>
              <w:jc w:val="center"/>
              <w:rPr>
                <w:rFonts w:cs="Tahoma"/>
                <w:b/>
                <w:bCs/>
                <w:sz w:val="15"/>
                <w:szCs w:val="15"/>
              </w:rPr>
            </w:pPr>
          </w:p>
        </w:tc>
        <w:tc>
          <w:tcPr>
            <w:tcW w:w="633" w:type="pct"/>
            <w:vMerge/>
            <w:tcBorders>
              <w:left w:val="nil"/>
              <w:bottom w:val="single" w:sz="4" w:space="0" w:color="auto"/>
              <w:right w:val="nil"/>
            </w:tcBorders>
            <w:tcMar>
              <w:top w:w="0" w:type="dxa"/>
              <w:left w:w="15" w:type="dxa"/>
              <w:bottom w:w="0" w:type="dxa"/>
              <w:right w:w="15" w:type="dxa"/>
            </w:tcMar>
            <w:vAlign w:val="center"/>
          </w:tcPr>
          <w:p w:rsidR="00565FD5" w:rsidRPr="00D50652" w:rsidRDefault="00565FD5" w:rsidP="00AB62A3">
            <w:pPr>
              <w:jc w:val="center"/>
              <w:rPr>
                <w:rFonts w:cs="Tahoma"/>
                <w:b/>
                <w:bCs/>
                <w:sz w:val="15"/>
                <w:szCs w:val="15"/>
              </w:rPr>
            </w:pPr>
          </w:p>
        </w:tc>
        <w:tc>
          <w:tcPr>
            <w:tcW w:w="630" w:type="pct"/>
            <w:tcBorders>
              <w:top w:val="single" w:sz="4" w:space="0" w:color="auto"/>
              <w:left w:val="nil"/>
              <w:bottom w:val="single" w:sz="4" w:space="0" w:color="auto"/>
              <w:right w:val="nil"/>
            </w:tcBorders>
            <w:tcMar>
              <w:top w:w="15" w:type="dxa"/>
              <w:left w:w="15" w:type="dxa"/>
              <w:bottom w:w="0" w:type="dxa"/>
              <w:right w:w="15" w:type="dxa"/>
            </w:tcMar>
            <w:vAlign w:val="center"/>
          </w:tcPr>
          <w:p w:rsidR="00565FD5" w:rsidRPr="00D50652" w:rsidRDefault="00565FD5" w:rsidP="00AB62A3">
            <w:pPr>
              <w:jc w:val="right"/>
              <w:rPr>
                <w:rFonts w:cs="Tahoma"/>
                <w:b/>
                <w:bCs/>
                <w:sz w:val="15"/>
                <w:szCs w:val="15"/>
              </w:rPr>
            </w:pPr>
            <w:r w:rsidRPr="00D50652">
              <w:rPr>
                <w:rFonts w:cs="Tahoma"/>
                <w:b/>
                <w:bCs/>
                <w:sz w:val="15"/>
                <w:szCs w:val="15"/>
              </w:rPr>
              <w:t>2011</w:t>
            </w:r>
          </w:p>
        </w:tc>
        <w:tc>
          <w:tcPr>
            <w:tcW w:w="696" w:type="pct"/>
            <w:tcBorders>
              <w:top w:val="single" w:sz="4" w:space="0" w:color="auto"/>
              <w:left w:val="nil"/>
              <w:bottom w:val="single" w:sz="4" w:space="0" w:color="auto"/>
              <w:right w:val="single" w:sz="4" w:space="0" w:color="auto"/>
            </w:tcBorders>
            <w:tcMar>
              <w:top w:w="0" w:type="dxa"/>
              <w:left w:w="15" w:type="dxa"/>
              <w:bottom w:w="0" w:type="dxa"/>
              <w:right w:w="57" w:type="dxa"/>
            </w:tcMar>
            <w:vAlign w:val="center"/>
          </w:tcPr>
          <w:p w:rsidR="00565FD5" w:rsidRPr="00D50652" w:rsidRDefault="00565FD5" w:rsidP="00AB62A3">
            <w:pPr>
              <w:jc w:val="right"/>
              <w:rPr>
                <w:rFonts w:cs="Tahoma"/>
                <w:b/>
                <w:bCs/>
                <w:sz w:val="15"/>
                <w:szCs w:val="15"/>
              </w:rPr>
            </w:pPr>
            <w:r w:rsidRPr="00D50652">
              <w:rPr>
                <w:rFonts w:cs="Tahoma"/>
                <w:b/>
                <w:bCs/>
                <w:sz w:val="15"/>
                <w:szCs w:val="15"/>
              </w:rPr>
              <w:t>2012</w:t>
            </w:r>
          </w:p>
        </w:tc>
      </w:tr>
      <w:tr w:rsidR="00565FD5" w:rsidRPr="00D50652" w:rsidTr="00AB62A3">
        <w:trPr>
          <w:trHeight w:val="227"/>
          <w:jc w:val="center"/>
        </w:trPr>
        <w:tc>
          <w:tcPr>
            <w:tcW w:w="2358" w:type="pct"/>
            <w:gridSpan w:val="2"/>
            <w:tcBorders>
              <w:top w:val="nil"/>
              <w:left w:val="single" w:sz="4" w:space="0" w:color="auto"/>
              <w:bottom w:val="nil"/>
              <w:right w:val="nil"/>
            </w:tcBorders>
            <w:vAlign w:val="bottom"/>
          </w:tcPr>
          <w:p w:rsidR="00565FD5" w:rsidRPr="00D50652" w:rsidRDefault="00565FD5" w:rsidP="00AB62A3">
            <w:pPr>
              <w:ind w:left="25"/>
              <w:rPr>
                <w:rFonts w:cs="Tahoma"/>
                <w:sz w:val="15"/>
                <w:szCs w:val="15"/>
              </w:rPr>
            </w:pPr>
            <w:r w:rsidRPr="00D50652">
              <w:rPr>
                <w:rFonts w:cs="Tahoma"/>
                <w:b/>
                <w:bCs/>
                <w:sz w:val="15"/>
                <w:szCs w:val="15"/>
              </w:rPr>
              <w:t xml:space="preserve">   Borçlanma Araçları Piyasası</w:t>
            </w:r>
          </w:p>
        </w:tc>
        <w:tc>
          <w:tcPr>
            <w:tcW w:w="683" w:type="pct"/>
            <w:tcBorders>
              <w:top w:val="nil"/>
              <w:left w:val="nil"/>
              <w:bottom w:val="nil"/>
              <w:right w:val="nil"/>
            </w:tcBorders>
            <w:tcMar>
              <w:bottom w:w="0" w:type="dxa"/>
            </w:tcMar>
            <w:vAlign w:val="bottom"/>
          </w:tcPr>
          <w:p w:rsidR="00565FD5" w:rsidRPr="00D50652" w:rsidRDefault="00565FD5" w:rsidP="00AB62A3">
            <w:pPr>
              <w:jc w:val="right"/>
              <w:rPr>
                <w:rFonts w:cs="Tahoma"/>
                <w:sz w:val="15"/>
                <w:szCs w:val="15"/>
              </w:rPr>
            </w:pPr>
          </w:p>
        </w:tc>
        <w:tc>
          <w:tcPr>
            <w:tcW w:w="63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p>
        </w:tc>
        <w:tc>
          <w:tcPr>
            <w:tcW w:w="630" w:type="pct"/>
            <w:tcBorders>
              <w:top w:val="nil"/>
              <w:left w:val="nil"/>
              <w:bottom w:val="nil"/>
              <w:right w:val="nil"/>
            </w:tcBorders>
            <w:tcMar>
              <w:top w:w="15" w:type="dxa"/>
              <w:left w:w="15" w:type="dxa"/>
              <w:bottom w:w="0" w:type="dxa"/>
              <w:right w:w="15" w:type="dxa"/>
            </w:tcMar>
            <w:vAlign w:val="bottom"/>
          </w:tcPr>
          <w:p w:rsidR="00565FD5" w:rsidRPr="00D50652" w:rsidRDefault="00565FD5" w:rsidP="00AB62A3">
            <w:pPr>
              <w:jc w:val="right"/>
              <w:rPr>
                <w:rFonts w:cs="Tahoma"/>
                <w:sz w:val="15"/>
                <w:szCs w:val="15"/>
              </w:rPr>
            </w:pPr>
          </w:p>
        </w:tc>
        <w:tc>
          <w:tcPr>
            <w:tcW w:w="696" w:type="pct"/>
            <w:tcBorders>
              <w:top w:val="nil"/>
              <w:left w:val="nil"/>
              <w:bottom w:val="nil"/>
              <w:right w:val="single" w:sz="4" w:space="0" w:color="auto"/>
            </w:tcBorders>
            <w:tcMar>
              <w:top w:w="15" w:type="dxa"/>
              <w:left w:w="15" w:type="dxa"/>
              <w:bottom w:w="0" w:type="dxa"/>
              <w:right w:w="57" w:type="dxa"/>
            </w:tcMar>
            <w:vAlign w:val="bottom"/>
          </w:tcPr>
          <w:p w:rsidR="00565FD5" w:rsidRPr="00D50652" w:rsidRDefault="00565FD5" w:rsidP="00AB62A3">
            <w:pPr>
              <w:jc w:val="right"/>
              <w:rPr>
                <w:rFonts w:cs="Tahoma"/>
                <w:sz w:val="15"/>
                <w:szCs w:val="15"/>
              </w:rPr>
            </w:pPr>
          </w:p>
        </w:tc>
      </w:tr>
      <w:tr w:rsidR="00565FD5" w:rsidRPr="00D50652" w:rsidTr="00AB62A3">
        <w:trPr>
          <w:trHeight w:val="227"/>
          <w:jc w:val="center"/>
        </w:trPr>
        <w:tc>
          <w:tcPr>
            <w:tcW w:w="197" w:type="pct"/>
            <w:tcBorders>
              <w:top w:val="nil"/>
              <w:left w:val="single" w:sz="4" w:space="0" w:color="auto"/>
              <w:bottom w:val="nil"/>
              <w:right w:val="nil"/>
            </w:tcBorders>
            <w:vAlign w:val="bottom"/>
          </w:tcPr>
          <w:p w:rsidR="00565FD5" w:rsidRPr="00D50652" w:rsidRDefault="00565FD5" w:rsidP="00AB62A3">
            <w:pPr>
              <w:ind w:left="167"/>
              <w:rPr>
                <w:rFonts w:cs="Tahoma"/>
                <w:b/>
                <w:bCs/>
                <w:sz w:val="15"/>
                <w:szCs w:val="15"/>
              </w:rPr>
            </w:pPr>
          </w:p>
        </w:tc>
        <w:tc>
          <w:tcPr>
            <w:tcW w:w="2161" w:type="pct"/>
            <w:tcBorders>
              <w:top w:val="nil"/>
              <w:left w:val="nil"/>
              <w:bottom w:val="nil"/>
              <w:right w:val="nil"/>
            </w:tcBorders>
            <w:vAlign w:val="bottom"/>
          </w:tcPr>
          <w:p w:rsidR="00565FD5" w:rsidRPr="00D50652" w:rsidRDefault="00565FD5" w:rsidP="00AB62A3">
            <w:pPr>
              <w:ind w:left="25"/>
              <w:rPr>
                <w:rFonts w:cs="Tahoma"/>
                <w:b/>
                <w:bCs/>
                <w:sz w:val="15"/>
                <w:szCs w:val="15"/>
              </w:rPr>
            </w:pPr>
            <w:r w:rsidRPr="00D50652">
              <w:rPr>
                <w:rFonts w:cs="Tahoma"/>
                <w:sz w:val="15"/>
                <w:szCs w:val="15"/>
              </w:rPr>
              <w:t>Kesin Alım-Satım Pazarı İşlem Hacmi</w:t>
            </w:r>
          </w:p>
        </w:tc>
        <w:tc>
          <w:tcPr>
            <w:tcW w:w="683" w:type="pct"/>
            <w:tcBorders>
              <w:top w:val="nil"/>
              <w:left w:val="nil"/>
              <w:bottom w:val="nil"/>
              <w:right w:val="nil"/>
            </w:tcBorders>
            <w:tcMar>
              <w:bottom w:w="0" w:type="dxa"/>
            </w:tcMar>
            <w:vAlign w:val="bottom"/>
          </w:tcPr>
          <w:p w:rsidR="00565FD5" w:rsidRPr="00D50652" w:rsidRDefault="00565FD5" w:rsidP="00AB62A3">
            <w:pPr>
              <w:jc w:val="right"/>
              <w:rPr>
                <w:rFonts w:cs="Tahoma"/>
                <w:sz w:val="15"/>
                <w:szCs w:val="15"/>
              </w:rPr>
            </w:pPr>
            <w:r w:rsidRPr="00D50652">
              <w:rPr>
                <w:rFonts w:cs="Tahoma"/>
                <w:sz w:val="15"/>
                <w:szCs w:val="15"/>
              </w:rPr>
              <w:t>445 837</w:t>
            </w:r>
          </w:p>
        </w:tc>
        <w:tc>
          <w:tcPr>
            <w:tcW w:w="63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r w:rsidRPr="00D50652">
              <w:rPr>
                <w:rFonts w:cs="Tahoma"/>
                <w:sz w:val="15"/>
                <w:szCs w:val="15"/>
              </w:rPr>
              <w:t>474 766</w:t>
            </w:r>
          </w:p>
        </w:tc>
        <w:tc>
          <w:tcPr>
            <w:tcW w:w="630" w:type="pct"/>
            <w:tcBorders>
              <w:top w:val="nil"/>
              <w:left w:val="nil"/>
              <w:bottom w:val="nil"/>
              <w:right w:val="nil"/>
            </w:tcBorders>
            <w:tcMar>
              <w:top w:w="15" w:type="dxa"/>
              <w:left w:w="15" w:type="dxa"/>
              <w:bottom w:w="0" w:type="dxa"/>
              <w:right w:w="15" w:type="dxa"/>
            </w:tcMar>
            <w:vAlign w:val="bottom"/>
          </w:tcPr>
          <w:p w:rsidR="00565FD5" w:rsidRPr="00D50652" w:rsidRDefault="00565FD5" w:rsidP="00AB62A3">
            <w:pPr>
              <w:jc w:val="right"/>
              <w:rPr>
                <w:rFonts w:cs="Tahoma"/>
                <w:sz w:val="15"/>
                <w:szCs w:val="15"/>
              </w:rPr>
            </w:pPr>
            <w:r w:rsidRPr="00D50652">
              <w:rPr>
                <w:rFonts w:cs="Tahoma"/>
                <w:sz w:val="15"/>
                <w:szCs w:val="15"/>
              </w:rPr>
              <w:t>360 024</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565FD5" w:rsidRPr="00D50652" w:rsidRDefault="00565FD5" w:rsidP="00AB62A3">
            <w:pPr>
              <w:jc w:val="right"/>
              <w:rPr>
                <w:rFonts w:cs="Tahoma"/>
                <w:sz w:val="15"/>
                <w:szCs w:val="15"/>
              </w:rPr>
            </w:pPr>
            <w:r w:rsidRPr="00D50652">
              <w:rPr>
                <w:rFonts w:cs="Tahoma"/>
                <w:sz w:val="15"/>
                <w:szCs w:val="15"/>
              </w:rPr>
              <w:t>231 768</w:t>
            </w:r>
          </w:p>
        </w:tc>
      </w:tr>
      <w:tr w:rsidR="00565FD5" w:rsidRPr="00D50652" w:rsidTr="00AB62A3">
        <w:trPr>
          <w:trHeight w:val="227"/>
          <w:jc w:val="center"/>
        </w:trPr>
        <w:tc>
          <w:tcPr>
            <w:tcW w:w="197" w:type="pct"/>
            <w:tcBorders>
              <w:top w:val="nil"/>
              <w:left w:val="single" w:sz="4" w:space="0" w:color="auto"/>
              <w:bottom w:val="nil"/>
              <w:right w:val="nil"/>
            </w:tcBorders>
            <w:vAlign w:val="bottom"/>
          </w:tcPr>
          <w:p w:rsidR="00565FD5" w:rsidRPr="00D50652" w:rsidRDefault="00565FD5" w:rsidP="00AB62A3">
            <w:pPr>
              <w:ind w:left="167"/>
              <w:rPr>
                <w:rFonts w:cs="Tahoma"/>
                <w:b/>
                <w:bCs/>
                <w:sz w:val="15"/>
                <w:szCs w:val="15"/>
              </w:rPr>
            </w:pPr>
          </w:p>
        </w:tc>
        <w:tc>
          <w:tcPr>
            <w:tcW w:w="2161" w:type="pct"/>
            <w:tcBorders>
              <w:top w:val="nil"/>
              <w:left w:val="nil"/>
              <w:bottom w:val="nil"/>
              <w:right w:val="nil"/>
            </w:tcBorders>
            <w:vAlign w:val="bottom"/>
          </w:tcPr>
          <w:p w:rsidR="00565FD5" w:rsidRPr="00D50652" w:rsidRDefault="00565FD5" w:rsidP="00AB62A3">
            <w:pPr>
              <w:ind w:left="25"/>
              <w:rPr>
                <w:rFonts w:cs="Tahoma"/>
                <w:sz w:val="15"/>
                <w:szCs w:val="15"/>
              </w:rPr>
            </w:pPr>
            <w:r w:rsidRPr="00D50652">
              <w:rPr>
                <w:rFonts w:cs="Tahoma"/>
                <w:sz w:val="15"/>
                <w:szCs w:val="15"/>
              </w:rPr>
              <w:t>Repo-Ters Repo Pazarı İşlem Hacmi</w:t>
            </w:r>
          </w:p>
        </w:tc>
        <w:tc>
          <w:tcPr>
            <w:tcW w:w="683" w:type="pct"/>
            <w:tcBorders>
              <w:top w:val="nil"/>
              <w:left w:val="nil"/>
              <w:bottom w:val="nil"/>
              <w:right w:val="nil"/>
            </w:tcBorders>
            <w:tcMar>
              <w:bottom w:w="0" w:type="dxa"/>
            </w:tcMar>
            <w:vAlign w:val="bottom"/>
          </w:tcPr>
          <w:p w:rsidR="00565FD5" w:rsidRPr="00D50652" w:rsidRDefault="00565FD5" w:rsidP="00AB62A3">
            <w:pPr>
              <w:jc w:val="right"/>
              <w:rPr>
                <w:rFonts w:cs="Tahoma"/>
                <w:sz w:val="15"/>
                <w:szCs w:val="15"/>
              </w:rPr>
            </w:pPr>
            <w:r w:rsidRPr="00D50652">
              <w:rPr>
                <w:rFonts w:cs="Tahoma"/>
                <w:sz w:val="15"/>
                <w:szCs w:val="15"/>
              </w:rPr>
              <w:t>3 012 293</w:t>
            </w:r>
          </w:p>
        </w:tc>
        <w:tc>
          <w:tcPr>
            <w:tcW w:w="63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r w:rsidRPr="00D50652">
              <w:rPr>
                <w:rFonts w:cs="Tahoma"/>
                <w:sz w:val="15"/>
                <w:szCs w:val="15"/>
              </w:rPr>
              <w:t>2 902 584</w:t>
            </w:r>
          </w:p>
        </w:tc>
        <w:tc>
          <w:tcPr>
            <w:tcW w:w="630" w:type="pct"/>
            <w:tcBorders>
              <w:top w:val="nil"/>
              <w:left w:val="nil"/>
              <w:bottom w:val="nil"/>
              <w:right w:val="nil"/>
            </w:tcBorders>
            <w:tcMar>
              <w:top w:w="15" w:type="dxa"/>
              <w:left w:w="15" w:type="dxa"/>
              <w:bottom w:w="0" w:type="dxa"/>
              <w:right w:w="15" w:type="dxa"/>
            </w:tcMar>
            <w:vAlign w:val="bottom"/>
          </w:tcPr>
          <w:p w:rsidR="00565FD5" w:rsidRPr="00D50652" w:rsidRDefault="00565FD5" w:rsidP="00AB62A3">
            <w:pPr>
              <w:jc w:val="right"/>
              <w:rPr>
                <w:rFonts w:cs="Tahoma"/>
                <w:sz w:val="15"/>
                <w:szCs w:val="15"/>
              </w:rPr>
            </w:pPr>
            <w:r w:rsidRPr="00D50652">
              <w:rPr>
                <w:rFonts w:cs="Tahoma"/>
                <w:sz w:val="15"/>
                <w:szCs w:val="15"/>
              </w:rPr>
              <w:t>1 884 792</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565FD5" w:rsidRPr="00D50652" w:rsidRDefault="00565FD5" w:rsidP="00AB62A3">
            <w:pPr>
              <w:jc w:val="right"/>
              <w:rPr>
                <w:rFonts w:cs="Tahoma"/>
                <w:sz w:val="15"/>
                <w:szCs w:val="15"/>
              </w:rPr>
            </w:pPr>
            <w:r w:rsidRPr="00D50652">
              <w:rPr>
                <w:rFonts w:cs="Tahoma"/>
                <w:sz w:val="15"/>
                <w:szCs w:val="15"/>
              </w:rPr>
              <w:t>2 542 947</w:t>
            </w:r>
          </w:p>
        </w:tc>
      </w:tr>
      <w:tr w:rsidR="00565FD5" w:rsidRPr="00D50652" w:rsidTr="00AB62A3">
        <w:trPr>
          <w:trHeight w:val="227"/>
          <w:jc w:val="center"/>
        </w:trPr>
        <w:tc>
          <w:tcPr>
            <w:tcW w:w="2358" w:type="pct"/>
            <w:gridSpan w:val="2"/>
            <w:tcBorders>
              <w:top w:val="nil"/>
              <w:left w:val="single" w:sz="4" w:space="0" w:color="auto"/>
              <w:bottom w:val="nil"/>
              <w:right w:val="nil"/>
            </w:tcBorders>
            <w:tcMar>
              <w:top w:w="15" w:type="dxa"/>
              <w:left w:w="108" w:type="dxa"/>
              <w:bottom w:w="0" w:type="dxa"/>
              <w:right w:w="108" w:type="dxa"/>
            </w:tcMar>
            <w:vAlign w:val="bottom"/>
          </w:tcPr>
          <w:p w:rsidR="00565FD5" w:rsidRPr="00D50652" w:rsidRDefault="00565FD5" w:rsidP="00AB62A3">
            <w:pPr>
              <w:rPr>
                <w:rFonts w:cs="Tahoma"/>
                <w:b/>
                <w:bCs/>
                <w:sz w:val="15"/>
                <w:szCs w:val="15"/>
              </w:rPr>
            </w:pPr>
            <w:r w:rsidRPr="00D50652">
              <w:rPr>
                <w:rFonts w:cs="Tahoma"/>
                <w:b/>
                <w:bCs/>
                <w:sz w:val="15"/>
                <w:szCs w:val="15"/>
              </w:rPr>
              <w:t xml:space="preserve"> Pay Piyasası</w:t>
            </w:r>
          </w:p>
        </w:tc>
        <w:tc>
          <w:tcPr>
            <w:tcW w:w="68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p>
        </w:tc>
        <w:tc>
          <w:tcPr>
            <w:tcW w:w="63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p>
        </w:tc>
        <w:tc>
          <w:tcPr>
            <w:tcW w:w="630"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p>
        </w:tc>
        <w:tc>
          <w:tcPr>
            <w:tcW w:w="696" w:type="pct"/>
            <w:tcBorders>
              <w:top w:val="nil"/>
              <w:left w:val="nil"/>
              <w:bottom w:val="nil"/>
              <w:right w:val="single" w:sz="4" w:space="0" w:color="auto"/>
            </w:tcBorders>
            <w:tcMar>
              <w:top w:w="15" w:type="dxa"/>
              <w:left w:w="108" w:type="dxa"/>
              <w:bottom w:w="0" w:type="dxa"/>
              <w:right w:w="57" w:type="dxa"/>
            </w:tcMar>
            <w:vAlign w:val="bottom"/>
          </w:tcPr>
          <w:p w:rsidR="00565FD5" w:rsidRPr="00D50652" w:rsidRDefault="00565FD5" w:rsidP="00AB62A3">
            <w:pPr>
              <w:jc w:val="right"/>
              <w:rPr>
                <w:rFonts w:cs="Tahoma"/>
                <w:sz w:val="15"/>
                <w:szCs w:val="15"/>
              </w:rPr>
            </w:pPr>
          </w:p>
        </w:tc>
      </w:tr>
      <w:tr w:rsidR="00565FD5" w:rsidRPr="00D50652" w:rsidTr="00AB62A3">
        <w:trPr>
          <w:trHeight w:val="227"/>
          <w:jc w:val="center"/>
        </w:trPr>
        <w:tc>
          <w:tcPr>
            <w:tcW w:w="197" w:type="pct"/>
            <w:tcBorders>
              <w:top w:val="nil"/>
              <w:left w:val="single" w:sz="4" w:space="0" w:color="auto"/>
              <w:bottom w:val="nil"/>
              <w:right w:val="nil"/>
            </w:tcBorders>
            <w:vAlign w:val="bottom"/>
          </w:tcPr>
          <w:p w:rsidR="00565FD5" w:rsidRPr="00D50652" w:rsidRDefault="00565FD5" w:rsidP="00AB62A3">
            <w:pPr>
              <w:ind w:left="167"/>
              <w:rPr>
                <w:rFonts w:cs="Tahoma"/>
                <w:b/>
                <w:bCs/>
                <w:sz w:val="15"/>
                <w:szCs w:val="15"/>
              </w:rPr>
            </w:pPr>
          </w:p>
        </w:tc>
        <w:tc>
          <w:tcPr>
            <w:tcW w:w="2161" w:type="pct"/>
            <w:tcBorders>
              <w:top w:val="nil"/>
              <w:left w:val="nil"/>
              <w:bottom w:val="nil"/>
              <w:right w:val="nil"/>
            </w:tcBorders>
            <w:vAlign w:val="bottom"/>
          </w:tcPr>
          <w:p w:rsidR="00565FD5" w:rsidRPr="00D50652" w:rsidRDefault="00565FD5" w:rsidP="00AB62A3">
            <w:pPr>
              <w:ind w:left="25"/>
              <w:rPr>
                <w:rFonts w:cs="Tahoma"/>
                <w:sz w:val="15"/>
                <w:szCs w:val="15"/>
              </w:rPr>
            </w:pPr>
            <w:r w:rsidRPr="00D50652">
              <w:rPr>
                <w:rFonts w:cs="Tahoma"/>
                <w:sz w:val="15"/>
                <w:szCs w:val="15"/>
              </w:rPr>
              <w:t>İşlem Hacmi</w:t>
            </w:r>
          </w:p>
        </w:tc>
        <w:tc>
          <w:tcPr>
            <w:tcW w:w="683" w:type="pct"/>
            <w:tcBorders>
              <w:top w:val="nil"/>
              <w:left w:val="nil"/>
              <w:bottom w:val="nil"/>
              <w:right w:val="nil"/>
            </w:tcBorders>
            <w:tcMar>
              <w:bottom w:w="0" w:type="dxa"/>
            </w:tcMar>
            <w:vAlign w:val="bottom"/>
          </w:tcPr>
          <w:p w:rsidR="00565FD5" w:rsidRPr="00D50652" w:rsidRDefault="00565FD5" w:rsidP="00AB62A3">
            <w:pPr>
              <w:jc w:val="right"/>
              <w:rPr>
                <w:rFonts w:cs="Tahoma"/>
                <w:sz w:val="15"/>
                <w:szCs w:val="15"/>
              </w:rPr>
            </w:pPr>
            <w:r w:rsidRPr="00D50652">
              <w:rPr>
                <w:rFonts w:cs="Tahoma"/>
                <w:sz w:val="15"/>
                <w:szCs w:val="15"/>
              </w:rPr>
              <w:t>635 664</w:t>
            </w:r>
          </w:p>
        </w:tc>
        <w:tc>
          <w:tcPr>
            <w:tcW w:w="63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r w:rsidRPr="00D50652">
              <w:rPr>
                <w:rFonts w:cs="Tahoma"/>
                <w:sz w:val="15"/>
                <w:szCs w:val="15"/>
              </w:rPr>
              <w:t>695 338</w:t>
            </w:r>
          </w:p>
        </w:tc>
        <w:tc>
          <w:tcPr>
            <w:tcW w:w="630" w:type="pct"/>
            <w:tcBorders>
              <w:top w:val="nil"/>
              <w:left w:val="nil"/>
              <w:bottom w:val="nil"/>
              <w:right w:val="nil"/>
            </w:tcBorders>
            <w:tcMar>
              <w:top w:w="15" w:type="dxa"/>
              <w:left w:w="15" w:type="dxa"/>
              <w:bottom w:w="0" w:type="dxa"/>
              <w:right w:w="15" w:type="dxa"/>
            </w:tcMar>
            <w:vAlign w:val="bottom"/>
          </w:tcPr>
          <w:p w:rsidR="00565FD5" w:rsidRPr="00D50652" w:rsidRDefault="00565FD5" w:rsidP="00AB62A3">
            <w:pPr>
              <w:jc w:val="right"/>
              <w:rPr>
                <w:rFonts w:cs="Tahoma"/>
                <w:sz w:val="15"/>
                <w:szCs w:val="15"/>
              </w:rPr>
            </w:pPr>
            <w:r w:rsidRPr="00D50652">
              <w:rPr>
                <w:rFonts w:cs="Tahoma"/>
                <w:sz w:val="15"/>
                <w:szCs w:val="15"/>
              </w:rPr>
              <w:t>512 495</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565FD5" w:rsidRPr="00D50652" w:rsidRDefault="00565FD5" w:rsidP="00AB62A3">
            <w:pPr>
              <w:jc w:val="right"/>
              <w:rPr>
                <w:rFonts w:cs="Tahoma"/>
                <w:sz w:val="15"/>
                <w:szCs w:val="15"/>
              </w:rPr>
            </w:pPr>
            <w:r w:rsidRPr="00D50652">
              <w:rPr>
                <w:rFonts w:cs="Tahoma"/>
                <w:sz w:val="15"/>
                <w:szCs w:val="15"/>
              </w:rPr>
              <w:t>401 989</w:t>
            </w:r>
          </w:p>
        </w:tc>
      </w:tr>
      <w:tr w:rsidR="00565FD5" w:rsidRPr="00D50652" w:rsidTr="00AB62A3">
        <w:trPr>
          <w:trHeight w:val="227"/>
          <w:jc w:val="center"/>
        </w:trPr>
        <w:tc>
          <w:tcPr>
            <w:tcW w:w="197" w:type="pct"/>
            <w:tcBorders>
              <w:top w:val="nil"/>
              <w:left w:val="single" w:sz="4" w:space="0" w:color="auto"/>
              <w:bottom w:val="nil"/>
              <w:right w:val="nil"/>
            </w:tcBorders>
            <w:vAlign w:val="bottom"/>
          </w:tcPr>
          <w:p w:rsidR="00565FD5" w:rsidRPr="00D50652" w:rsidRDefault="00565FD5" w:rsidP="00AB62A3">
            <w:pPr>
              <w:ind w:left="167"/>
              <w:rPr>
                <w:rFonts w:cs="Tahoma"/>
                <w:b/>
                <w:bCs/>
                <w:sz w:val="15"/>
                <w:szCs w:val="15"/>
              </w:rPr>
            </w:pPr>
          </w:p>
        </w:tc>
        <w:tc>
          <w:tcPr>
            <w:tcW w:w="2161" w:type="pct"/>
            <w:tcBorders>
              <w:top w:val="nil"/>
              <w:left w:val="nil"/>
              <w:bottom w:val="nil"/>
              <w:right w:val="nil"/>
            </w:tcBorders>
            <w:vAlign w:val="bottom"/>
          </w:tcPr>
          <w:p w:rsidR="00565FD5" w:rsidRPr="00D50652" w:rsidRDefault="00565FD5" w:rsidP="00AB62A3">
            <w:pPr>
              <w:ind w:left="25"/>
              <w:rPr>
                <w:rFonts w:cs="Tahoma"/>
                <w:sz w:val="15"/>
                <w:szCs w:val="15"/>
              </w:rPr>
            </w:pPr>
            <w:r w:rsidRPr="00D50652">
              <w:rPr>
                <w:rFonts w:cs="Tahoma"/>
                <w:sz w:val="15"/>
                <w:szCs w:val="15"/>
              </w:rPr>
              <w:t>Birincil Halka Arz Hasılat Toplamı</w:t>
            </w:r>
          </w:p>
        </w:tc>
        <w:tc>
          <w:tcPr>
            <w:tcW w:w="683" w:type="pct"/>
            <w:tcBorders>
              <w:top w:val="nil"/>
              <w:left w:val="nil"/>
              <w:bottom w:val="nil"/>
              <w:right w:val="nil"/>
            </w:tcBorders>
            <w:tcMar>
              <w:bottom w:w="0" w:type="dxa"/>
            </w:tcMar>
            <w:vAlign w:val="bottom"/>
          </w:tcPr>
          <w:p w:rsidR="00565FD5" w:rsidRPr="00D50652" w:rsidRDefault="00565FD5" w:rsidP="00AB62A3">
            <w:pPr>
              <w:jc w:val="right"/>
              <w:rPr>
                <w:rFonts w:cs="Tahoma"/>
                <w:sz w:val="15"/>
                <w:szCs w:val="15"/>
              </w:rPr>
            </w:pPr>
            <w:r w:rsidRPr="00D50652">
              <w:rPr>
                <w:rFonts w:cs="Tahoma"/>
                <w:sz w:val="15"/>
                <w:szCs w:val="15"/>
              </w:rPr>
              <w:t>3 110</w:t>
            </w:r>
          </w:p>
        </w:tc>
        <w:tc>
          <w:tcPr>
            <w:tcW w:w="63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r w:rsidRPr="00D50652">
              <w:rPr>
                <w:rFonts w:cs="Tahoma"/>
                <w:sz w:val="15"/>
                <w:szCs w:val="15"/>
              </w:rPr>
              <w:t>1 329</w:t>
            </w:r>
          </w:p>
        </w:tc>
        <w:tc>
          <w:tcPr>
            <w:tcW w:w="630" w:type="pct"/>
            <w:tcBorders>
              <w:top w:val="nil"/>
              <w:left w:val="nil"/>
              <w:bottom w:val="nil"/>
              <w:right w:val="nil"/>
            </w:tcBorders>
            <w:tcMar>
              <w:top w:w="15" w:type="dxa"/>
              <w:left w:w="15" w:type="dxa"/>
              <w:bottom w:w="0" w:type="dxa"/>
              <w:right w:w="15" w:type="dxa"/>
            </w:tcMar>
            <w:vAlign w:val="bottom"/>
          </w:tcPr>
          <w:p w:rsidR="00565FD5" w:rsidRPr="00D50652" w:rsidRDefault="00565FD5" w:rsidP="00AB62A3">
            <w:pPr>
              <w:jc w:val="right"/>
              <w:rPr>
                <w:rFonts w:cs="Tahoma"/>
                <w:sz w:val="15"/>
                <w:szCs w:val="15"/>
              </w:rPr>
            </w:pPr>
            <w:r w:rsidRPr="00D50652">
              <w:rPr>
                <w:rFonts w:cs="Tahoma"/>
                <w:sz w:val="15"/>
                <w:szCs w:val="15"/>
              </w:rPr>
              <w:t>1 230</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565FD5" w:rsidRPr="00D50652" w:rsidRDefault="00565FD5" w:rsidP="00AB62A3">
            <w:pPr>
              <w:jc w:val="right"/>
              <w:rPr>
                <w:rFonts w:cs="Tahoma"/>
                <w:sz w:val="15"/>
                <w:szCs w:val="15"/>
              </w:rPr>
            </w:pPr>
            <w:r w:rsidRPr="00D50652">
              <w:rPr>
                <w:rFonts w:cs="Tahoma"/>
                <w:sz w:val="15"/>
                <w:szCs w:val="15"/>
              </w:rPr>
              <w:t>478</w:t>
            </w:r>
          </w:p>
        </w:tc>
      </w:tr>
      <w:tr w:rsidR="00565FD5" w:rsidRPr="00D50652" w:rsidTr="00AB62A3">
        <w:trPr>
          <w:trHeight w:val="227"/>
          <w:jc w:val="center"/>
        </w:trPr>
        <w:tc>
          <w:tcPr>
            <w:tcW w:w="2358" w:type="pct"/>
            <w:gridSpan w:val="2"/>
            <w:tcBorders>
              <w:top w:val="nil"/>
              <w:left w:val="single" w:sz="4" w:space="0" w:color="auto"/>
              <w:bottom w:val="nil"/>
              <w:right w:val="nil"/>
            </w:tcBorders>
            <w:tcMar>
              <w:top w:w="15" w:type="dxa"/>
              <w:left w:w="108" w:type="dxa"/>
              <w:bottom w:w="0" w:type="dxa"/>
              <w:right w:w="108" w:type="dxa"/>
            </w:tcMar>
            <w:vAlign w:val="bottom"/>
          </w:tcPr>
          <w:p w:rsidR="00565FD5" w:rsidRPr="00D50652" w:rsidRDefault="00565FD5" w:rsidP="00AB62A3">
            <w:pPr>
              <w:ind w:left="25"/>
              <w:rPr>
                <w:rFonts w:cs="Tahoma"/>
                <w:b/>
                <w:bCs/>
                <w:sz w:val="15"/>
                <w:szCs w:val="15"/>
              </w:rPr>
            </w:pPr>
            <w:r w:rsidRPr="00D50652">
              <w:rPr>
                <w:rFonts w:cs="Tahoma"/>
                <w:b/>
                <w:bCs/>
                <w:sz w:val="15"/>
                <w:szCs w:val="15"/>
              </w:rPr>
              <w:t>Takasbank Borsa Para Piyasası</w:t>
            </w:r>
          </w:p>
        </w:tc>
        <w:tc>
          <w:tcPr>
            <w:tcW w:w="68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p>
        </w:tc>
        <w:tc>
          <w:tcPr>
            <w:tcW w:w="63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p>
        </w:tc>
        <w:tc>
          <w:tcPr>
            <w:tcW w:w="630"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p>
        </w:tc>
        <w:tc>
          <w:tcPr>
            <w:tcW w:w="696" w:type="pct"/>
            <w:tcBorders>
              <w:top w:val="nil"/>
              <w:left w:val="nil"/>
              <w:bottom w:val="nil"/>
              <w:right w:val="single" w:sz="4" w:space="0" w:color="auto"/>
            </w:tcBorders>
            <w:tcMar>
              <w:top w:w="15" w:type="dxa"/>
              <w:left w:w="108" w:type="dxa"/>
              <w:bottom w:w="0" w:type="dxa"/>
              <w:right w:w="57" w:type="dxa"/>
            </w:tcMar>
            <w:vAlign w:val="bottom"/>
          </w:tcPr>
          <w:p w:rsidR="00565FD5" w:rsidRPr="00D50652" w:rsidRDefault="00565FD5" w:rsidP="00AB62A3">
            <w:pPr>
              <w:jc w:val="right"/>
              <w:rPr>
                <w:rFonts w:cs="Tahoma"/>
                <w:sz w:val="15"/>
                <w:szCs w:val="15"/>
              </w:rPr>
            </w:pPr>
          </w:p>
        </w:tc>
      </w:tr>
      <w:tr w:rsidR="00565FD5" w:rsidRPr="00D50652" w:rsidTr="00AB62A3">
        <w:trPr>
          <w:trHeight w:val="227"/>
          <w:jc w:val="center"/>
        </w:trPr>
        <w:tc>
          <w:tcPr>
            <w:tcW w:w="197" w:type="pct"/>
            <w:tcBorders>
              <w:top w:val="nil"/>
              <w:left w:val="single" w:sz="4" w:space="0" w:color="auto"/>
              <w:bottom w:val="nil"/>
              <w:right w:val="nil"/>
            </w:tcBorders>
            <w:vAlign w:val="bottom"/>
          </w:tcPr>
          <w:p w:rsidR="00565FD5" w:rsidRPr="00D50652" w:rsidRDefault="00565FD5" w:rsidP="00AB62A3">
            <w:pPr>
              <w:ind w:left="167"/>
              <w:jc w:val="center"/>
              <w:rPr>
                <w:rFonts w:cs="Tahoma"/>
                <w:b/>
                <w:bCs/>
                <w:sz w:val="15"/>
                <w:szCs w:val="15"/>
              </w:rPr>
            </w:pPr>
          </w:p>
        </w:tc>
        <w:tc>
          <w:tcPr>
            <w:tcW w:w="2161" w:type="pct"/>
            <w:tcBorders>
              <w:top w:val="nil"/>
              <w:left w:val="nil"/>
              <w:bottom w:val="nil"/>
              <w:right w:val="nil"/>
            </w:tcBorders>
            <w:vAlign w:val="bottom"/>
          </w:tcPr>
          <w:p w:rsidR="00565FD5" w:rsidRPr="00D50652" w:rsidRDefault="00565FD5" w:rsidP="00AB62A3">
            <w:pPr>
              <w:ind w:left="25"/>
              <w:rPr>
                <w:rFonts w:cs="Tahoma"/>
                <w:sz w:val="15"/>
                <w:szCs w:val="15"/>
              </w:rPr>
            </w:pPr>
            <w:r w:rsidRPr="00D50652">
              <w:rPr>
                <w:rFonts w:cs="Tahoma"/>
                <w:sz w:val="15"/>
                <w:szCs w:val="15"/>
              </w:rPr>
              <w:t>İşlem Hacmi</w:t>
            </w:r>
          </w:p>
        </w:tc>
        <w:tc>
          <w:tcPr>
            <w:tcW w:w="683" w:type="pct"/>
            <w:tcBorders>
              <w:top w:val="nil"/>
              <w:left w:val="nil"/>
              <w:bottom w:val="nil"/>
              <w:right w:val="nil"/>
            </w:tcBorders>
            <w:tcMar>
              <w:bottom w:w="0" w:type="dxa"/>
            </w:tcMar>
            <w:vAlign w:val="bottom"/>
          </w:tcPr>
          <w:p w:rsidR="00565FD5" w:rsidRPr="00D50652" w:rsidRDefault="00565FD5" w:rsidP="00AB62A3">
            <w:pPr>
              <w:jc w:val="right"/>
              <w:rPr>
                <w:rFonts w:cs="Tahoma"/>
                <w:sz w:val="15"/>
                <w:szCs w:val="15"/>
              </w:rPr>
            </w:pPr>
            <w:r w:rsidRPr="00D50652">
              <w:rPr>
                <w:rFonts w:cs="Tahoma"/>
                <w:sz w:val="15"/>
                <w:szCs w:val="15"/>
              </w:rPr>
              <w:t>48 272</w:t>
            </w:r>
          </w:p>
        </w:tc>
        <w:tc>
          <w:tcPr>
            <w:tcW w:w="63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r w:rsidRPr="00D50652">
              <w:rPr>
                <w:rFonts w:cs="Tahoma"/>
                <w:sz w:val="15"/>
                <w:szCs w:val="15"/>
              </w:rPr>
              <w:t>96 996</w:t>
            </w:r>
          </w:p>
        </w:tc>
        <w:tc>
          <w:tcPr>
            <w:tcW w:w="630" w:type="pct"/>
            <w:tcBorders>
              <w:top w:val="nil"/>
              <w:left w:val="nil"/>
              <w:bottom w:val="nil"/>
              <w:right w:val="nil"/>
            </w:tcBorders>
            <w:tcMar>
              <w:top w:w="15" w:type="dxa"/>
              <w:left w:w="15" w:type="dxa"/>
              <w:bottom w:w="0" w:type="dxa"/>
              <w:right w:w="15" w:type="dxa"/>
            </w:tcMar>
            <w:vAlign w:val="bottom"/>
          </w:tcPr>
          <w:p w:rsidR="00565FD5" w:rsidRPr="00D50652" w:rsidRDefault="00565FD5" w:rsidP="00AB62A3">
            <w:pPr>
              <w:jc w:val="right"/>
              <w:rPr>
                <w:rFonts w:cs="Tahoma"/>
                <w:sz w:val="15"/>
                <w:szCs w:val="15"/>
              </w:rPr>
            </w:pPr>
            <w:r w:rsidRPr="00D50652">
              <w:rPr>
                <w:rFonts w:cs="Tahoma"/>
                <w:sz w:val="15"/>
                <w:szCs w:val="15"/>
              </w:rPr>
              <w:t>56 695</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565FD5" w:rsidRPr="00D50652" w:rsidRDefault="00565FD5" w:rsidP="00AB62A3">
            <w:pPr>
              <w:jc w:val="right"/>
              <w:rPr>
                <w:rFonts w:cs="Tahoma"/>
                <w:sz w:val="15"/>
                <w:szCs w:val="15"/>
              </w:rPr>
            </w:pPr>
            <w:r w:rsidRPr="00D50652">
              <w:rPr>
                <w:rFonts w:cs="Tahoma"/>
                <w:sz w:val="15"/>
                <w:szCs w:val="15"/>
              </w:rPr>
              <w:t>112 605</w:t>
            </w:r>
          </w:p>
        </w:tc>
      </w:tr>
      <w:tr w:rsidR="00565FD5" w:rsidRPr="00D50652" w:rsidTr="00AB62A3">
        <w:trPr>
          <w:trHeight w:val="227"/>
          <w:jc w:val="center"/>
        </w:trPr>
        <w:tc>
          <w:tcPr>
            <w:tcW w:w="2358" w:type="pct"/>
            <w:gridSpan w:val="2"/>
            <w:tcBorders>
              <w:top w:val="nil"/>
              <w:left w:val="single" w:sz="4" w:space="0" w:color="auto"/>
              <w:bottom w:val="nil"/>
              <w:right w:val="nil"/>
            </w:tcBorders>
            <w:tcMar>
              <w:top w:w="15" w:type="dxa"/>
              <w:left w:w="108" w:type="dxa"/>
              <w:bottom w:w="0" w:type="dxa"/>
              <w:right w:w="108" w:type="dxa"/>
            </w:tcMar>
            <w:vAlign w:val="bottom"/>
          </w:tcPr>
          <w:p w:rsidR="00565FD5" w:rsidRPr="00D50652" w:rsidRDefault="00565FD5" w:rsidP="00AB62A3">
            <w:pPr>
              <w:ind w:left="25"/>
              <w:rPr>
                <w:rFonts w:cs="Tahoma"/>
                <w:b/>
                <w:bCs/>
                <w:sz w:val="15"/>
                <w:szCs w:val="15"/>
              </w:rPr>
            </w:pPr>
            <w:r w:rsidRPr="00D50652">
              <w:rPr>
                <w:rFonts w:cs="Tahoma"/>
                <w:b/>
                <w:bCs/>
                <w:sz w:val="15"/>
                <w:szCs w:val="15"/>
              </w:rPr>
              <w:t>Ödünç Pay Senedi Piyasası</w:t>
            </w:r>
          </w:p>
        </w:tc>
        <w:tc>
          <w:tcPr>
            <w:tcW w:w="68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p>
        </w:tc>
        <w:tc>
          <w:tcPr>
            <w:tcW w:w="63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p>
        </w:tc>
        <w:tc>
          <w:tcPr>
            <w:tcW w:w="630"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p>
        </w:tc>
        <w:tc>
          <w:tcPr>
            <w:tcW w:w="696" w:type="pct"/>
            <w:tcBorders>
              <w:top w:val="nil"/>
              <w:left w:val="nil"/>
              <w:bottom w:val="nil"/>
              <w:right w:val="single" w:sz="4" w:space="0" w:color="auto"/>
            </w:tcBorders>
            <w:tcMar>
              <w:top w:w="15" w:type="dxa"/>
              <w:left w:w="108" w:type="dxa"/>
              <w:bottom w:w="0" w:type="dxa"/>
              <w:right w:w="57" w:type="dxa"/>
            </w:tcMar>
            <w:vAlign w:val="bottom"/>
          </w:tcPr>
          <w:p w:rsidR="00565FD5" w:rsidRPr="00D50652" w:rsidRDefault="00565FD5" w:rsidP="00AB62A3">
            <w:pPr>
              <w:jc w:val="right"/>
              <w:rPr>
                <w:rFonts w:cs="Tahoma"/>
                <w:sz w:val="15"/>
                <w:szCs w:val="15"/>
              </w:rPr>
            </w:pPr>
          </w:p>
        </w:tc>
      </w:tr>
      <w:tr w:rsidR="00565FD5" w:rsidRPr="00D50652" w:rsidTr="00AB62A3">
        <w:trPr>
          <w:trHeight w:val="227"/>
          <w:jc w:val="center"/>
        </w:trPr>
        <w:tc>
          <w:tcPr>
            <w:tcW w:w="197" w:type="pct"/>
            <w:tcBorders>
              <w:top w:val="nil"/>
              <w:left w:val="single" w:sz="4" w:space="0" w:color="auto"/>
              <w:bottom w:val="nil"/>
              <w:right w:val="nil"/>
            </w:tcBorders>
            <w:vAlign w:val="bottom"/>
          </w:tcPr>
          <w:p w:rsidR="00565FD5" w:rsidRPr="00D50652" w:rsidRDefault="00565FD5" w:rsidP="00AB62A3">
            <w:pPr>
              <w:ind w:left="167"/>
              <w:rPr>
                <w:rFonts w:cs="Tahoma"/>
                <w:b/>
                <w:bCs/>
                <w:sz w:val="15"/>
                <w:szCs w:val="15"/>
              </w:rPr>
            </w:pPr>
          </w:p>
        </w:tc>
        <w:tc>
          <w:tcPr>
            <w:tcW w:w="2161" w:type="pct"/>
            <w:tcBorders>
              <w:top w:val="nil"/>
              <w:left w:val="nil"/>
              <w:bottom w:val="nil"/>
              <w:right w:val="nil"/>
            </w:tcBorders>
            <w:vAlign w:val="bottom"/>
          </w:tcPr>
          <w:p w:rsidR="00565FD5" w:rsidRPr="00D50652" w:rsidRDefault="00565FD5" w:rsidP="00AB62A3">
            <w:pPr>
              <w:ind w:left="25"/>
              <w:rPr>
                <w:rFonts w:cs="Tahoma"/>
                <w:sz w:val="15"/>
                <w:szCs w:val="15"/>
              </w:rPr>
            </w:pPr>
            <w:r w:rsidRPr="00D50652">
              <w:rPr>
                <w:rFonts w:cs="Tahoma"/>
                <w:sz w:val="15"/>
                <w:szCs w:val="15"/>
              </w:rPr>
              <w:t>İşlem Hacmi</w:t>
            </w:r>
          </w:p>
        </w:tc>
        <w:tc>
          <w:tcPr>
            <w:tcW w:w="683" w:type="pct"/>
            <w:tcBorders>
              <w:top w:val="nil"/>
              <w:left w:val="nil"/>
              <w:bottom w:val="nil"/>
              <w:right w:val="nil"/>
            </w:tcBorders>
            <w:tcMar>
              <w:bottom w:w="0" w:type="dxa"/>
            </w:tcMar>
            <w:vAlign w:val="bottom"/>
          </w:tcPr>
          <w:p w:rsidR="00565FD5" w:rsidRPr="00D50652" w:rsidRDefault="00565FD5" w:rsidP="00AB62A3">
            <w:pPr>
              <w:jc w:val="right"/>
              <w:rPr>
                <w:rFonts w:cs="Tahoma"/>
                <w:sz w:val="15"/>
                <w:szCs w:val="15"/>
              </w:rPr>
            </w:pPr>
            <w:r w:rsidRPr="00D50652">
              <w:rPr>
                <w:rFonts w:cs="Tahoma"/>
                <w:sz w:val="15"/>
                <w:szCs w:val="15"/>
              </w:rPr>
              <w:t>2 927</w:t>
            </w:r>
          </w:p>
        </w:tc>
        <w:tc>
          <w:tcPr>
            <w:tcW w:w="63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r w:rsidRPr="00D50652">
              <w:rPr>
                <w:rFonts w:cs="Tahoma"/>
                <w:sz w:val="15"/>
                <w:szCs w:val="15"/>
              </w:rPr>
              <w:t>2 692</w:t>
            </w:r>
          </w:p>
        </w:tc>
        <w:tc>
          <w:tcPr>
            <w:tcW w:w="630" w:type="pct"/>
            <w:tcBorders>
              <w:top w:val="nil"/>
              <w:left w:val="nil"/>
              <w:bottom w:val="nil"/>
              <w:right w:val="nil"/>
            </w:tcBorders>
            <w:tcMar>
              <w:top w:w="15" w:type="dxa"/>
              <w:left w:w="15" w:type="dxa"/>
              <w:bottom w:w="0" w:type="dxa"/>
              <w:right w:w="15" w:type="dxa"/>
            </w:tcMar>
            <w:vAlign w:val="bottom"/>
          </w:tcPr>
          <w:p w:rsidR="00565FD5" w:rsidRPr="00D50652" w:rsidRDefault="00565FD5" w:rsidP="00AB62A3">
            <w:pPr>
              <w:jc w:val="right"/>
              <w:rPr>
                <w:rFonts w:cs="Tahoma"/>
                <w:sz w:val="15"/>
                <w:szCs w:val="15"/>
              </w:rPr>
            </w:pPr>
            <w:r w:rsidRPr="00D50652">
              <w:rPr>
                <w:rFonts w:cs="Tahoma"/>
                <w:sz w:val="15"/>
                <w:szCs w:val="15"/>
              </w:rPr>
              <w:t>2 103</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565FD5" w:rsidRPr="00D50652" w:rsidRDefault="00565FD5" w:rsidP="00AB62A3">
            <w:pPr>
              <w:jc w:val="right"/>
              <w:rPr>
                <w:rFonts w:cs="Tahoma"/>
                <w:sz w:val="15"/>
                <w:szCs w:val="15"/>
              </w:rPr>
            </w:pPr>
            <w:r w:rsidRPr="00D50652">
              <w:rPr>
                <w:rFonts w:cs="Tahoma"/>
                <w:sz w:val="15"/>
                <w:szCs w:val="15"/>
              </w:rPr>
              <w:t>1 790</w:t>
            </w:r>
          </w:p>
        </w:tc>
      </w:tr>
      <w:tr w:rsidR="00565FD5" w:rsidRPr="00D50652" w:rsidTr="00AB62A3">
        <w:trPr>
          <w:trHeight w:val="227"/>
          <w:jc w:val="center"/>
        </w:trPr>
        <w:tc>
          <w:tcPr>
            <w:tcW w:w="2358" w:type="pct"/>
            <w:gridSpan w:val="2"/>
            <w:tcBorders>
              <w:top w:val="nil"/>
              <w:left w:val="single" w:sz="4" w:space="0" w:color="auto"/>
              <w:bottom w:val="nil"/>
              <w:right w:val="nil"/>
            </w:tcBorders>
            <w:tcMar>
              <w:top w:w="15" w:type="dxa"/>
              <w:left w:w="108" w:type="dxa"/>
              <w:bottom w:w="0" w:type="dxa"/>
              <w:right w:w="108" w:type="dxa"/>
            </w:tcMar>
            <w:vAlign w:val="bottom"/>
          </w:tcPr>
          <w:p w:rsidR="00565FD5" w:rsidRPr="00D50652" w:rsidRDefault="00565FD5" w:rsidP="00AB62A3">
            <w:pPr>
              <w:ind w:left="25"/>
              <w:rPr>
                <w:rFonts w:cs="Tahoma"/>
                <w:b/>
                <w:bCs/>
                <w:sz w:val="15"/>
                <w:szCs w:val="15"/>
              </w:rPr>
            </w:pPr>
            <w:r w:rsidRPr="00D50652">
              <w:rPr>
                <w:rFonts w:cs="Tahoma"/>
                <w:b/>
                <w:bCs/>
                <w:sz w:val="15"/>
                <w:szCs w:val="15"/>
              </w:rPr>
              <w:t>İstanbul Altın Borsası Altın Piyasası</w:t>
            </w:r>
          </w:p>
        </w:tc>
        <w:tc>
          <w:tcPr>
            <w:tcW w:w="68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p>
        </w:tc>
        <w:tc>
          <w:tcPr>
            <w:tcW w:w="63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p>
        </w:tc>
        <w:tc>
          <w:tcPr>
            <w:tcW w:w="630"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p>
        </w:tc>
        <w:tc>
          <w:tcPr>
            <w:tcW w:w="696" w:type="pct"/>
            <w:tcBorders>
              <w:top w:val="nil"/>
              <w:left w:val="nil"/>
              <w:bottom w:val="nil"/>
              <w:right w:val="single" w:sz="4" w:space="0" w:color="auto"/>
            </w:tcBorders>
            <w:tcMar>
              <w:top w:w="15" w:type="dxa"/>
              <w:left w:w="108" w:type="dxa"/>
              <w:bottom w:w="0" w:type="dxa"/>
              <w:right w:w="57" w:type="dxa"/>
            </w:tcMar>
            <w:vAlign w:val="bottom"/>
          </w:tcPr>
          <w:p w:rsidR="00565FD5" w:rsidRPr="00D50652" w:rsidRDefault="00565FD5" w:rsidP="00AB62A3">
            <w:pPr>
              <w:jc w:val="right"/>
              <w:rPr>
                <w:rFonts w:cs="Tahoma"/>
                <w:sz w:val="15"/>
                <w:szCs w:val="15"/>
              </w:rPr>
            </w:pPr>
          </w:p>
        </w:tc>
      </w:tr>
      <w:tr w:rsidR="00565FD5" w:rsidRPr="00D50652" w:rsidTr="00AB62A3">
        <w:trPr>
          <w:trHeight w:val="227"/>
          <w:jc w:val="center"/>
        </w:trPr>
        <w:tc>
          <w:tcPr>
            <w:tcW w:w="197" w:type="pct"/>
            <w:tcBorders>
              <w:top w:val="nil"/>
              <w:left w:val="single" w:sz="4" w:space="0" w:color="auto"/>
              <w:bottom w:val="nil"/>
              <w:right w:val="nil"/>
            </w:tcBorders>
            <w:vAlign w:val="bottom"/>
          </w:tcPr>
          <w:p w:rsidR="00565FD5" w:rsidRPr="00D50652" w:rsidRDefault="00565FD5" w:rsidP="00AB62A3">
            <w:pPr>
              <w:ind w:left="167"/>
              <w:rPr>
                <w:rFonts w:cs="Tahoma"/>
                <w:b/>
                <w:bCs/>
                <w:sz w:val="15"/>
                <w:szCs w:val="15"/>
              </w:rPr>
            </w:pPr>
          </w:p>
        </w:tc>
        <w:tc>
          <w:tcPr>
            <w:tcW w:w="2161" w:type="pct"/>
            <w:tcBorders>
              <w:top w:val="nil"/>
              <w:left w:val="nil"/>
              <w:bottom w:val="nil"/>
              <w:right w:val="nil"/>
            </w:tcBorders>
            <w:vAlign w:val="bottom"/>
          </w:tcPr>
          <w:p w:rsidR="00565FD5" w:rsidRPr="00D50652" w:rsidRDefault="00565FD5" w:rsidP="00AB62A3">
            <w:pPr>
              <w:ind w:left="25"/>
              <w:rPr>
                <w:rFonts w:cs="Tahoma"/>
                <w:sz w:val="15"/>
                <w:szCs w:val="15"/>
              </w:rPr>
            </w:pPr>
            <w:r w:rsidRPr="00D50652">
              <w:rPr>
                <w:rFonts w:cs="Tahoma"/>
                <w:sz w:val="15"/>
                <w:szCs w:val="15"/>
              </w:rPr>
              <w:t>TL İşlem Hacmi</w:t>
            </w:r>
          </w:p>
        </w:tc>
        <w:tc>
          <w:tcPr>
            <w:tcW w:w="683" w:type="pct"/>
            <w:tcBorders>
              <w:top w:val="nil"/>
              <w:left w:val="nil"/>
              <w:bottom w:val="nil"/>
              <w:right w:val="nil"/>
            </w:tcBorders>
            <w:tcMar>
              <w:bottom w:w="0" w:type="dxa"/>
            </w:tcMar>
            <w:vAlign w:val="bottom"/>
          </w:tcPr>
          <w:p w:rsidR="00565FD5" w:rsidRPr="00D50652" w:rsidRDefault="00565FD5" w:rsidP="00AB62A3">
            <w:pPr>
              <w:jc w:val="right"/>
              <w:rPr>
                <w:rFonts w:cs="Tahoma"/>
                <w:sz w:val="15"/>
                <w:szCs w:val="15"/>
              </w:rPr>
            </w:pPr>
            <w:r w:rsidRPr="00D50652">
              <w:rPr>
                <w:rFonts w:cs="Tahoma"/>
                <w:sz w:val="15"/>
                <w:szCs w:val="15"/>
              </w:rPr>
              <w:t>251</w:t>
            </w:r>
          </w:p>
        </w:tc>
        <w:tc>
          <w:tcPr>
            <w:tcW w:w="63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r w:rsidRPr="00D50652">
              <w:rPr>
                <w:rFonts w:cs="Tahoma"/>
                <w:sz w:val="15"/>
                <w:szCs w:val="15"/>
              </w:rPr>
              <w:t>2 528</w:t>
            </w:r>
          </w:p>
        </w:tc>
        <w:tc>
          <w:tcPr>
            <w:tcW w:w="630" w:type="pct"/>
            <w:tcBorders>
              <w:top w:val="nil"/>
              <w:left w:val="nil"/>
              <w:bottom w:val="nil"/>
              <w:right w:val="nil"/>
            </w:tcBorders>
            <w:tcMar>
              <w:top w:w="15" w:type="dxa"/>
              <w:left w:w="15" w:type="dxa"/>
              <w:bottom w:w="0" w:type="dxa"/>
              <w:right w:w="15" w:type="dxa"/>
            </w:tcMar>
            <w:vAlign w:val="bottom"/>
          </w:tcPr>
          <w:p w:rsidR="00565FD5" w:rsidRPr="00D50652" w:rsidRDefault="00565FD5" w:rsidP="00AB62A3">
            <w:pPr>
              <w:jc w:val="right"/>
              <w:rPr>
                <w:rFonts w:cs="Tahoma"/>
                <w:sz w:val="15"/>
                <w:szCs w:val="15"/>
              </w:rPr>
            </w:pPr>
            <w:r w:rsidRPr="00D50652">
              <w:rPr>
                <w:rFonts w:cs="Tahoma"/>
                <w:sz w:val="15"/>
                <w:szCs w:val="15"/>
              </w:rPr>
              <w:t>1 110</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565FD5" w:rsidRPr="00D50652" w:rsidRDefault="00565FD5" w:rsidP="00AB62A3">
            <w:pPr>
              <w:jc w:val="right"/>
              <w:rPr>
                <w:rFonts w:cs="Tahoma"/>
                <w:sz w:val="15"/>
                <w:szCs w:val="15"/>
              </w:rPr>
            </w:pPr>
            <w:r w:rsidRPr="00D50652">
              <w:rPr>
                <w:rFonts w:cs="Tahoma"/>
                <w:sz w:val="15"/>
                <w:szCs w:val="15"/>
              </w:rPr>
              <w:t>1 074</w:t>
            </w:r>
          </w:p>
        </w:tc>
      </w:tr>
      <w:tr w:rsidR="00565FD5" w:rsidRPr="00D50652" w:rsidTr="00AB62A3">
        <w:trPr>
          <w:trHeight w:val="227"/>
          <w:jc w:val="center"/>
        </w:trPr>
        <w:tc>
          <w:tcPr>
            <w:tcW w:w="197" w:type="pct"/>
            <w:tcBorders>
              <w:top w:val="nil"/>
              <w:left w:val="single" w:sz="4" w:space="0" w:color="auto"/>
              <w:bottom w:val="nil"/>
              <w:right w:val="nil"/>
            </w:tcBorders>
            <w:vAlign w:val="bottom"/>
          </w:tcPr>
          <w:p w:rsidR="00565FD5" w:rsidRPr="00D50652" w:rsidRDefault="00565FD5" w:rsidP="00AB62A3">
            <w:pPr>
              <w:ind w:left="167"/>
              <w:rPr>
                <w:rFonts w:cs="Tahoma"/>
                <w:b/>
                <w:bCs/>
                <w:sz w:val="15"/>
                <w:szCs w:val="15"/>
              </w:rPr>
            </w:pPr>
          </w:p>
        </w:tc>
        <w:tc>
          <w:tcPr>
            <w:tcW w:w="2161" w:type="pct"/>
            <w:tcBorders>
              <w:top w:val="nil"/>
              <w:left w:val="nil"/>
              <w:bottom w:val="nil"/>
              <w:right w:val="nil"/>
            </w:tcBorders>
            <w:vAlign w:val="bottom"/>
          </w:tcPr>
          <w:p w:rsidR="00565FD5" w:rsidRPr="00D50652" w:rsidRDefault="00565FD5" w:rsidP="00AB62A3">
            <w:pPr>
              <w:ind w:left="25"/>
              <w:rPr>
                <w:rFonts w:cs="Tahoma"/>
                <w:sz w:val="15"/>
                <w:szCs w:val="15"/>
              </w:rPr>
            </w:pPr>
            <w:r w:rsidRPr="00D50652">
              <w:rPr>
                <w:rFonts w:cs="Tahoma"/>
                <w:sz w:val="15"/>
                <w:szCs w:val="15"/>
              </w:rPr>
              <w:t>Dolar İşlem Hacmi (Milyon ABD Doları)</w:t>
            </w:r>
          </w:p>
        </w:tc>
        <w:tc>
          <w:tcPr>
            <w:tcW w:w="683" w:type="pct"/>
            <w:tcBorders>
              <w:top w:val="nil"/>
              <w:left w:val="nil"/>
              <w:bottom w:val="nil"/>
              <w:right w:val="nil"/>
            </w:tcBorders>
            <w:tcMar>
              <w:bottom w:w="0" w:type="dxa"/>
            </w:tcMar>
            <w:vAlign w:val="bottom"/>
          </w:tcPr>
          <w:p w:rsidR="00565FD5" w:rsidRPr="00D50652" w:rsidRDefault="00565FD5" w:rsidP="00AB62A3">
            <w:pPr>
              <w:jc w:val="right"/>
              <w:rPr>
                <w:rFonts w:cs="Tahoma"/>
                <w:sz w:val="15"/>
                <w:szCs w:val="15"/>
              </w:rPr>
            </w:pPr>
            <w:r w:rsidRPr="00D50652">
              <w:rPr>
                <w:rFonts w:cs="Tahoma"/>
                <w:sz w:val="15"/>
                <w:szCs w:val="15"/>
              </w:rPr>
              <w:t>4 357</w:t>
            </w:r>
          </w:p>
        </w:tc>
        <w:tc>
          <w:tcPr>
            <w:tcW w:w="63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r w:rsidRPr="00D50652">
              <w:rPr>
                <w:rFonts w:cs="Tahoma"/>
                <w:sz w:val="15"/>
                <w:szCs w:val="15"/>
              </w:rPr>
              <w:t>10 429</w:t>
            </w:r>
          </w:p>
        </w:tc>
        <w:tc>
          <w:tcPr>
            <w:tcW w:w="630" w:type="pct"/>
            <w:tcBorders>
              <w:top w:val="nil"/>
              <w:left w:val="nil"/>
              <w:bottom w:val="nil"/>
              <w:right w:val="nil"/>
            </w:tcBorders>
            <w:tcMar>
              <w:top w:w="15" w:type="dxa"/>
              <w:left w:w="15" w:type="dxa"/>
              <w:bottom w:w="0" w:type="dxa"/>
              <w:right w:w="15" w:type="dxa"/>
            </w:tcMar>
            <w:vAlign w:val="bottom"/>
          </w:tcPr>
          <w:p w:rsidR="00565FD5" w:rsidRPr="00D50652" w:rsidRDefault="00565FD5" w:rsidP="00AB62A3">
            <w:pPr>
              <w:jc w:val="right"/>
              <w:rPr>
                <w:rFonts w:cs="Tahoma"/>
                <w:sz w:val="15"/>
                <w:szCs w:val="15"/>
              </w:rPr>
            </w:pPr>
            <w:r w:rsidRPr="00D50652">
              <w:rPr>
                <w:rFonts w:cs="Tahoma"/>
                <w:sz w:val="15"/>
                <w:szCs w:val="15"/>
              </w:rPr>
              <w:t>5 933</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565FD5" w:rsidRPr="00D50652" w:rsidRDefault="00565FD5" w:rsidP="00AB62A3">
            <w:pPr>
              <w:jc w:val="right"/>
              <w:rPr>
                <w:rFonts w:cs="Tahoma"/>
                <w:sz w:val="15"/>
                <w:szCs w:val="15"/>
              </w:rPr>
            </w:pPr>
            <w:r w:rsidRPr="00D50652">
              <w:rPr>
                <w:rFonts w:cs="Tahoma"/>
                <w:sz w:val="15"/>
                <w:szCs w:val="15"/>
              </w:rPr>
              <w:t>11 395</w:t>
            </w:r>
          </w:p>
        </w:tc>
      </w:tr>
      <w:tr w:rsidR="00565FD5" w:rsidRPr="00D50652" w:rsidTr="00AB62A3">
        <w:trPr>
          <w:trHeight w:val="227"/>
          <w:jc w:val="center"/>
        </w:trPr>
        <w:tc>
          <w:tcPr>
            <w:tcW w:w="197" w:type="pct"/>
            <w:tcBorders>
              <w:top w:val="nil"/>
              <w:left w:val="single" w:sz="4" w:space="0" w:color="auto"/>
              <w:bottom w:val="nil"/>
              <w:right w:val="nil"/>
            </w:tcBorders>
            <w:vAlign w:val="bottom"/>
          </w:tcPr>
          <w:p w:rsidR="00565FD5" w:rsidRPr="00D50652" w:rsidRDefault="00565FD5" w:rsidP="00AB62A3">
            <w:pPr>
              <w:ind w:left="167"/>
              <w:rPr>
                <w:rFonts w:cs="Tahoma"/>
                <w:b/>
                <w:bCs/>
                <w:sz w:val="15"/>
                <w:szCs w:val="15"/>
              </w:rPr>
            </w:pPr>
          </w:p>
        </w:tc>
        <w:tc>
          <w:tcPr>
            <w:tcW w:w="2161" w:type="pct"/>
            <w:tcBorders>
              <w:top w:val="nil"/>
              <w:left w:val="nil"/>
              <w:bottom w:val="nil"/>
              <w:right w:val="nil"/>
            </w:tcBorders>
            <w:vAlign w:val="bottom"/>
          </w:tcPr>
          <w:p w:rsidR="00565FD5" w:rsidRPr="00D50652" w:rsidRDefault="00565FD5" w:rsidP="00AB62A3">
            <w:pPr>
              <w:ind w:left="25"/>
              <w:rPr>
                <w:rFonts w:cs="Tahoma"/>
                <w:sz w:val="15"/>
                <w:szCs w:val="15"/>
              </w:rPr>
            </w:pPr>
            <w:r w:rsidRPr="00D50652">
              <w:rPr>
                <w:rFonts w:cs="Tahoma"/>
                <w:sz w:val="15"/>
                <w:szCs w:val="15"/>
              </w:rPr>
              <w:t>TL ve Dolar İşlem Hacmi (Ton)</w:t>
            </w:r>
          </w:p>
        </w:tc>
        <w:tc>
          <w:tcPr>
            <w:tcW w:w="683" w:type="pct"/>
            <w:tcBorders>
              <w:top w:val="nil"/>
              <w:left w:val="nil"/>
              <w:bottom w:val="nil"/>
              <w:right w:val="nil"/>
            </w:tcBorders>
            <w:tcMar>
              <w:bottom w:w="0" w:type="dxa"/>
            </w:tcMar>
            <w:vAlign w:val="bottom"/>
          </w:tcPr>
          <w:p w:rsidR="00565FD5" w:rsidRPr="00D50652" w:rsidRDefault="00565FD5" w:rsidP="00AB62A3">
            <w:pPr>
              <w:jc w:val="right"/>
              <w:rPr>
                <w:rFonts w:cs="Tahoma"/>
                <w:sz w:val="15"/>
                <w:szCs w:val="15"/>
              </w:rPr>
            </w:pPr>
            <w:r w:rsidRPr="00D50652">
              <w:rPr>
                <w:rFonts w:cs="Tahoma"/>
                <w:sz w:val="15"/>
                <w:szCs w:val="15"/>
              </w:rPr>
              <w:t>114</w:t>
            </w:r>
          </w:p>
        </w:tc>
        <w:tc>
          <w:tcPr>
            <w:tcW w:w="63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r w:rsidRPr="00D50652">
              <w:rPr>
                <w:rFonts w:cs="Tahoma"/>
                <w:sz w:val="15"/>
                <w:szCs w:val="15"/>
              </w:rPr>
              <w:t>227</w:t>
            </w:r>
          </w:p>
        </w:tc>
        <w:tc>
          <w:tcPr>
            <w:tcW w:w="630" w:type="pct"/>
            <w:tcBorders>
              <w:top w:val="nil"/>
              <w:left w:val="nil"/>
              <w:bottom w:val="nil"/>
              <w:right w:val="nil"/>
            </w:tcBorders>
            <w:tcMar>
              <w:top w:w="15" w:type="dxa"/>
              <w:left w:w="15" w:type="dxa"/>
              <w:bottom w:w="0" w:type="dxa"/>
              <w:right w:w="15" w:type="dxa"/>
            </w:tcMar>
            <w:vAlign w:val="bottom"/>
          </w:tcPr>
          <w:p w:rsidR="00565FD5" w:rsidRPr="00D50652" w:rsidRDefault="00565FD5" w:rsidP="00AB62A3">
            <w:pPr>
              <w:jc w:val="right"/>
              <w:rPr>
                <w:rFonts w:cs="Tahoma"/>
                <w:sz w:val="15"/>
                <w:szCs w:val="15"/>
              </w:rPr>
            </w:pPr>
            <w:r w:rsidRPr="00D50652">
              <w:rPr>
                <w:rFonts w:cs="Tahoma"/>
                <w:sz w:val="15"/>
                <w:szCs w:val="15"/>
              </w:rPr>
              <w:t>130</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565FD5" w:rsidRPr="00D50652" w:rsidRDefault="00565FD5" w:rsidP="00AB62A3">
            <w:pPr>
              <w:jc w:val="right"/>
              <w:rPr>
                <w:rFonts w:cs="Tahoma"/>
                <w:sz w:val="15"/>
                <w:szCs w:val="15"/>
              </w:rPr>
            </w:pPr>
            <w:r w:rsidRPr="00D50652">
              <w:rPr>
                <w:rFonts w:cs="Tahoma"/>
                <w:sz w:val="15"/>
                <w:szCs w:val="15"/>
              </w:rPr>
              <w:t>230</w:t>
            </w:r>
          </w:p>
        </w:tc>
      </w:tr>
      <w:tr w:rsidR="00565FD5" w:rsidRPr="00D50652" w:rsidTr="00AB62A3">
        <w:trPr>
          <w:trHeight w:val="227"/>
          <w:jc w:val="center"/>
        </w:trPr>
        <w:tc>
          <w:tcPr>
            <w:tcW w:w="2358" w:type="pct"/>
            <w:gridSpan w:val="2"/>
            <w:tcBorders>
              <w:top w:val="nil"/>
              <w:left w:val="single" w:sz="4" w:space="0" w:color="auto"/>
              <w:bottom w:val="nil"/>
              <w:right w:val="nil"/>
            </w:tcBorders>
            <w:tcMar>
              <w:top w:w="15" w:type="dxa"/>
              <w:left w:w="108" w:type="dxa"/>
              <w:bottom w:w="0" w:type="dxa"/>
              <w:right w:w="108" w:type="dxa"/>
            </w:tcMar>
            <w:vAlign w:val="bottom"/>
          </w:tcPr>
          <w:p w:rsidR="00565FD5" w:rsidRPr="00D50652" w:rsidRDefault="00565FD5" w:rsidP="00AB62A3">
            <w:pPr>
              <w:ind w:left="25"/>
              <w:rPr>
                <w:rFonts w:cs="Tahoma"/>
                <w:b/>
                <w:bCs/>
                <w:sz w:val="15"/>
                <w:szCs w:val="15"/>
              </w:rPr>
            </w:pPr>
            <w:r w:rsidRPr="00D50652">
              <w:rPr>
                <w:rFonts w:cs="Tahoma"/>
                <w:b/>
                <w:bCs/>
                <w:sz w:val="15"/>
                <w:szCs w:val="15"/>
              </w:rPr>
              <w:t>Vadeli İşlem ve Opsiyon Borsası</w:t>
            </w:r>
          </w:p>
        </w:tc>
        <w:tc>
          <w:tcPr>
            <w:tcW w:w="68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p>
        </w:tc>
        <w:tc>
          <w:tcPr>
            <w:tcW w:w="63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p>
        </w:tc>
        <w:tc>
          <w:tcPr>
            <w:tcW w:w="630"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p>
        </w:tc>
        <w:tc>
          <w:tcPr>
            <w:tcW w:w="696" w:type="pct"/>
            <w:tcBorders>
              <w:top w:val="nil"/>
              <w:left w:val="nil"/>
              <w:bottom w:val="nil"/>
              <w:right w:val="single" w:sz="4" w:space="0" w:color="auto"/>
            </w:tcBorders>
            <w:tcMar>
              <w:top w:w="15" w:type="dxa"/>
              <w:left w:w="108" w:type="dxa"/>
              <w:bottom w:w="0" w:type="dxa"/>
              <w:right w:w="57" w:type="dxa"/>
            </w:tcMar>
            <w:vAlign w:val="bottom"/>
          </w:tcPr>
          <w:p w:rsidR="00565FD5" w:rsidRPr="00D50652" w:rsidRDefault="00565FD5" w:rsidP="00AB62A3">
            <w:pPr>
              <w:jc w:val="right"/>
              <w:rPr>
                <w:rFonts w:cs="Tahoma"/>
                <w:sz w:val="15"/>
                <w:szCs w:val="15"/>
              </w:rPr>
            </w:pPr>
          </w:p>
        </w:tc>
      </w:tr>
      <w:tr w:rsidR="00565FD5" w:rsidRPr="00D50652" w:rsidTr="00AB62A3">
        <w:trPr>
          <w:trHeight w:val="227"/>
          <w:jc w:val="center"/>
        </w:trPr>
        <w:tc>
          <w:tcPr>
            <w:tcW w:w="197" w:type="pct"/>
            <w:tcBorders>
              <w:top w:val="nil"/>
              <w:left w:val="single" w:sz="4" w:space="0" w:color="auto"/>
              <w:bottom w:val="nil"/>
              <w:right w:val="nil"/>
            </w:tcBorders>
            <w:vAlign w:val="bottom"/>
          </w:tcPr>
          <w:p w:rsidR="00565FD5" w:rsidRPr="00D50652" w:rsidRDefault="00565FD5" w:rsidP="00AB62A3">
            <w:pPr>
              <w:ind w:left="167"/>
              <w:rPr>
                <w:rFonts w:cs="Tahoma"/>
                <w:b/>
                <w:bCs/>
                <w:sz w:val="15"/>
                <w:szCs w:val="15"/>
              </w:rPr>
            </w:pPr>
          </w:p>
        </w:tc>
        <w:tc>
          <w:tcPr>
            <w:tcW w:w="2161" w:type="pct"/>
            <w:tcBorders>
              <w:top w:val="nil"/>
              <w:left w:val="nil"/>
              <w:bottom w:val="nil"/>
              <w:right w:val="nil"/>
            </w:tcBorders>
            <w:vAlign w:val="bottom"/>
          </w:tcPr>
          <w:p w:rsidR="00565FD5" w:rsidRPr="00D50652" w:rsidRDefault="00565FD5" w:rsidP="00AB62A3">
            <w:pPr>
              <w:ind w:left="25"/>
              <w:rPr>
                <w:rFonts w:cs="Tahoma"/>
                <w:sz w:val="15"/>
                <w:szCs w:val="15"/>
              </w:rPr>
            </w:pPr>
            <w:r w:rsidRPr="00D50652">
              <w:rPr>
                <w:rFonts w:cs="Tahoma"/>
                <w:sz w:val="15"/>
                <w:szCs w:val="15"/>
              </w:rPr>
              <w:t>İşlem Hacmi</w:t>
            </w:r>
          </w:p>
        </w:tc>
        <w:tc>
          <w:tcPr>
            <w:tcW w:w="683" w:type="pct"/>
            <w:tcBorders>
              <w:top w:val="nil"/>
              <w:left w:val="nil"/>
              <w:bottom w:val="nil"/>
              <w:right w:val="nil"/>
            </w:tcBorders>
            <w:tcMar>
              <w:bottom w:w="0" w:type="dxa"/>
            </w:tcMar>
            <w:vAlign w:val="bottom"/>
          </w:tcPr>
          <w:p w:rsidR="00565FD5" w:rsidRPr="00D50652" w:rsidRDefault="00565FD5" w:rsidP="00AB62A3">
            <w:pPr>
              <w:jc w:val="right"/>
              <w:rPr>
                <w:rFonts w:cs="Tahoma"/>
                <w:sz w:val="15"/>
                <w:szCs w:val="15"/>
              </w:rPr>
            </w:pPr>
            <w:r w:rsidRPr="00D50652">
              <w:rPr>
                <w:rFonts w:cs="Tahoma"/>
                <w:sz w:val="15"/>
                <w:szCs w:val="15"/>
              </w:rPr>
              <w:t>431 682</w:t>
            </w:r>
          </w:p>
        </w:tc>
        <w:tc>
          <w:tcPr>
            <w:tcW w:w="63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r w:rsidRPr="00D50652">
              <w:rPr>
                <w:rFonts w:cs="Tahoma"/>
                <w:sz w:val="15"/>
                <w:szCs w:val="15"/>
              </w:rPr>
              <w:t>439 799</w:t>
            </w:r>
          </w:p>
        </w:tc>
        <w:tc>
          <w:tcPr>
            <w:tcW w:w="630" w:type="pct"/>
            <w:tcBorders>
              <w:top w:val="nil"/>
              <w:left w:val="nil"/>
              <w:bottom w:val="nil"/>
              <w:right w:val="nil"/>
            </w:tcBorders>
            <w:tcMar>
              <w:top w:w="15" w:type="dxa"/>
              <w:left w:w="15" w:type="dxa"/>
              <w:bottom w:w="0" w:type="dxa"/>
              <w:right w:w="15" w:type="dxa"/>
            </w:tcMar>
            <w:vAlign w:val="bottom"/>
          </w:tcPr>
          <w:p w:rsidR="00565FD5" w:rsidRPr="00D50652" w:rsidRDefault="00565FD5" w:rsidP="00AB62A3">
            <w:pPr>
              <w:jc w:val="right"/>
              <w:rPr>
                <w:rFonts w:cs="Tahoma"/>
                <w:sz w:val="15"/>
                <w:szCs w:val="15"/>
              </w:rPr>
            </w:pPr>
            <w:r w:rsidRPr="00D50652">
              <w:rPr>
                <w:rFonts w:cs="Tahoma"/>
                <w:sz w:val="15"/>
                <w:szCs w:val="15"/>
              </w:rPr>
              <w:t>298 696</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565FD5" w:rsidRPr="00D50652" w:rsidRDefault="00565FD5" w:rsidP="00AB62A3">
            <w:pPr>
              <w:jc w:val="right"/>
              <w:rPr>
                <w:rFonts w:cs="Tahoma"/>
                <w:sz w:val="15"/>
                <w:szCs w:val="15"/>
              </w:rPr>
            </w:pPr>
            <w:r w:rsidRPr="00D50652">
              <w:rPr>
                <w:rFonts w:cs="Tahoma"/>
                <w:sz w:val="15"/>
                <w:szCs w:val="15"/>
              </w:rPr>
              <w:t>268 267</w:t>
            </w:r>
          </w:p>
        </w:tc>
      </w:tr>
      <w:tr w:rsidR="00565FD5" w:rsidRPr="00D50652" w:rsidTr="00AB62A3">
        <w:trPr>
          <w:trHeight w:val="227"/>
          <w:jc w:val="center"/>
        </w:trPr>
        <w:tc>
          <w:tcPr>
            <w:tcW w:w="197" w:type="pct"/>
            <w:tcBorders>
              <w:top w:val="nil"/>
              <w:left w:val="single" w:sz="4" w:space="0" w:color="auto"/>
              <w:bottom w:val="nil"/>
              <w:right w:val="nil"/>
            </w:tcBorders>
            <w:vAlign w:val="bottom"/>
          </w:tcPr>
          <w:p w:rsidR="00565FD5" w:rsidRPr="00D50652" w:rsidRDefault="00565FD5" w:rsidP="00AB62A3">
            <w:pPr>
              <w:ind w:left="167"/>
              <w:rPr>
                <w:rFonts w:cs="Tahoma"/>
                <w:b/>
                <w:bCs/>
                <w:sz w:val="15"/>
                <w:szCs w:val="15"/>
              </w:rPr>
            </w:pPr>
          </w:p>
        </w:tc>
        <w:tc>
          <w:tcPr>
            <w:tcW w:w="2161" w:type="pct"/>
            <w:tcBorders>
              <w:top w:val="nil"/>
              <w:left w:val="nil"/>
              <w:bottom w:val="nil"/>
              <w:right w:val="nil"/>
            </w:tcBorders>
            <w:vAlign w:val="bottom"/>
          </w:tcPr>
          <w:p w:rsidR="00565FD5" w:rsidRPr="00D50652" w:rsidRDefault="00565FD5" w:rsidP="00AB62A3">
            <w:pPr>
              <w:ind w:left="25"/>
              <w:rPr>
                <w:rFonts w:cs="Tahoma"/>
                <w:sz w:val="15"/>
                <w:szCs w:val="15"/>
              </w:rPr>
            </w:pPr>
            <w:r w:rsidRPr="00D50652">
              <w:rPr>
                <w:rFonts w:cs="Tahoma"/>
                <w:sz w:val="15"/>
                <w:szCs w:val="15"/>
              </w:rPr>
              <w:t>İşlem Hacmi (Bin Adet)</w:t>
            </w:r>
          </w:p>
        </w:tc>
        <w:tc>
          <w:tcPr>
            <w:tcW w:w="683" w:type="pct"/>
            <w:tcBorders>
              <w:top w:val="nil"/>
              <w:left w:val="nil"/>
              <w:bottom w:val="nil"/>
              <w:right w:val="nil"/>
            </w:tcBorders>
            <w:tcMar>
              <w:bottom w:w="0" w:type="dxa"/>
            </w:tcMar>
            <w:vAlign w:val="bottom"/>
          </w:tcPr>
          <w:p w:rsidR="00565FD5" w:rsidRPr="00D50652" w:rsidRDefault="00565FD5" w:rsidP="00AB62A3">
            <w:pPr>
              <w:jc w:val="right"/>
              <w:rPr>
                <w:rFonts w:cs="Tahoma"/>
                <w:sz w:val="15"/>
                <w:szCs w:val="15"/>
              </w:rPr>
            </w:pPr>
            <w:r w:rsidRPr="00D50652">
              <w:rPr>
                <w:rFonts w:cs="Tahoma"/>
                <w:sz w:val="15"/>
                <w:szCs w:val="15"/>
              </w:rPr>
              <w:t>63 952</w:t>
            </w:r>
          </w:p>
        </w:tc>
        <w:tc>
          <w:tcPr>
            <w:tcW w:w="633" w:type="pct"/>
            <w:tcBorders>
              <w:top w:val="nil"/>
              <w:left w:val="nil"/>
              <w:bottom w:val="nil"/>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r w:rsidRPr="00D50652">
              <w:rPr>
                <w:rFonts w:cs="Tahoma"/>
                <w:sz w:val="15"/>
                <w:szCs w:val="15"/>
              </w:rPr>
              <w:t>74 288</w:t>
            </w:r>
          </w:p>
        </w:tc>
        <w:tc>
          <w:tcPr>
            <w:tcW w:w="630" w:type="pct"/>
            <w:tcBorders>
              <w:top w:val="nil"/>
              <w:left w:val="nil"/>
              <w:bottom w:val="nil"/>
              <w:right w:val="nil"/>
            </w:tcBorders>
            <w:tcMar>
              <w:top w:w="15" w:type="dxa"/>
              <w:left w:w="15" w:type="dxa"/>
              <w:bottom w:w="0" w:type="dxa"/>
              <w:right w:w="15" w:type="dxa"/>
            </w:tcMar>
            <w:vAlign w:val="bottom"/>
          </w:tcPr>
          <w:p w:rsidR="00565FD5" w:rsidRPr="00D50652" w:rsidRDefault="00565FD5" w:rsidP="00AB62A3">
            <w:pPr>
              <w:jc w:val="right"/>
              <w:rPr>
                <w:rFonts w:cs="Tahoma"/>
                <w:sz w:val="15"/>
                <w:szCs w:val="15"/>
              </w:rPr>
            </w:pPr>
            <w:r w:rsidRPr="00D50652">
              <w:rPr>
                <w:rFonts w:cs="Tahoma"/>
                <w:sz w:val="15"/>
                <w:szCs w:val="15"/>
              </w:rPr>
              <w:t>47 386</w:t>
            </w:r>
          </w:p>
        </w:tc>
        <w:tc>
          <w:tcPr>
            <w:tcW w:w="696" w:type="pct"/>
            <w:tcBorders>
              <w:top w:val="nil"/>
              <w:left w:val="nil"/>
              <w:bottom w:val="nil"/>
              <w:right w:val="single" w:sz="4" w:space="0" w:color="auto"/>
            </w:tcBorders>
            <w:tcMar>
              <w:top w:w="15" w:type="dxa"/>
              <w:left w:w="15" w:type="dxa"/>
              <w:bottom w:w="0" w:type="dxa"/>
              <w:right w:w="57" w:type="dxa"/>
            </w:tcMar>
            <w:vAlign w:val="bottom"/>
          </w:tcPr>
          <w:p w:rsidR="00565FD5" w:rsidRPr="00D50652" w:rsidRDefault="00565FD5" w:rsidP="00AB62A3">
            <w:pPr>
              <w:jc w:val="right"/>
              <w:rPr>
                <w:rFonts w:cs="Tahoma"/>
                <w:sz w:val="15"/>
                <w:szCs w:val="15"/>
              </w:rPr>
            </w:pPr>
            <w:r w:rsidRPr="00D50652">
              <w:rPr>
                <w:rFonts w:cs="Tahoma"/>
                <w:sz w:val="15"/>
                <w:szCs w:val="15"/>
              </w:rPr>
              <w:t>44 760</w:t>
            </w:r>
          </w:p>
        </w:tc>
      </w:tr>
      <w:tr w:rsidR="00565FD5" w:rsidRPr="00D50652" w:rsidTr="00AB62A3">
        <w:trPr>
          <w:trHeight w:val="227"/>
          <w:jc w:val="center"/>
        </w:trPr>
        <w:tc>
          <w:tcPr>
            <w:tcW w:w="197" w:type="pct"/>
            <w:tcBorders>
              <w:top w:val="nil"/>
              <w:left w:val="single" w:sz="4" w:space="0" w:color="auto"/>
              <w:bottom w:val="single" w:sz="4" w:space="0" w:color="auto"/>
              <w:right w:val="nil"/>
            </w:tcBorders>
            <w:vAlign w:val="bottom"/>
          </w:tcPr>
          <w:p w:rsidR="00565FD5" w:rsidRPr="00D50652" w:rsidRDefault="00565FD5" w:rsidP="00AB62A3">
            <w:pPr>
              <w:ind w:left="167"/>
              <w:rPr>
                <w:rFonts w:cs="Tahoma"/>
                <w:b/>
                <w:bCs/>
                <w:sz w:val="15"/>
                <w:szCs w:val="15"/>
              </w:rPr>
            </w:pPr>
          </w:p>
        </w:tc>
        <w:tc>
          <w:tcPr>
            <w:tcW w:w="2161" w:type="pct"/>
            <w:tcBorders>
              <w:top w:val="nil"/>
              <w:left w:val="nil"/>
              <w:bottom w:val="single" w:sz="4" w:space="0" w:color="auto"/>
              <w:right w:val="nil"/>
            </w:tcBorders>
            <w:vAlign w:val="bottom"/>
          </w:tcPr>
          <w:p w:rsidR="00565FD5" w:rsidRPr="00D50652" w:rsidRDefault="00565FD5" w:rsidP="00AB62A3">
            <w:pPr>
              <w:ind w:left="25"/>
              <w:rPr>
                <w:rFonts w:cs="Tahoma"/>
                <w:sz w:val="15"/>
                <w:szCs w:val="15"/>
              </w:rPr>
            </w:pPr>
            <w:r w:rsidRPr="00D50652">
              <w:rPr>
                <w:rFonts w:cs="Tahoma"/>
                <w:sz w:val="15"/>
                <w:szCs w:val="15"/>
              </w:rPr>
              <w:t>Dönem Sonu Açık Pozisyon (Adet)</w:t>
            </w:r>
          </w:p>
        </w:tc>
        <w:tc>
          <w:tcPr>
            <w:tcW w:w="683" w:type="pct"/>
            <w:tcBorders>
              <w:top w:val="nil"/>
              <w:left w:val="nil"/>
              <w:bottom w:val="single" w:sz="4" w:space="0" w:color="auto"/>
              <w:right w:val="nil"/>
            </w:tcBorders>
            <w:tcMar>
              <w:bottom w:w="0" w:type="dxa"/>
            </w:tcMar>
            <w:vAlign w:val="bottom"/>
          </w:tcPr>
          <w:p w:rsidR="00565FD5" w:rsidRPr="00D50652" w:rsidRDefault="00565FD5" w:rsidP="00AB62A3">
            <w:pPr>
              <w:jc w:val="right"/>
              <w:rPr>
                <w:rFonts w:cs="Tahoma"/>
                <w:sz w:val="15"/>
                <w:szCs w:val="15"/>
              </w:rPr>
            </w:pPr>
            <w:r w:rsidRPr="00D50652">
              <w:rPr>
                <w:rFonts w:cs="Tahoma"/>
                <w:sz w:val="15"/>
                <w:szCs w:val="15"/>
              </w:rPr>
              <w:t>181 738</w:t>
            </w:r>
          </w:p>
        </w:tc>
        <w:tc>
          <w:tcPr>
            <w:tcW w:w="633" w:type="pct"/>
            <w:tcBorders>
              <w:top w:val="nil"/>
              <w:left w:val="nil"/>
              <w:bottom w:val="single" w:sz="4" w:space="0" w:color="auto"/>
              <w:right w:val="nil"/>
            </w:tcBorders>
            <w:tcMar>
              <w:top w:w="15" w:type="dxa"/>
              <w:left w:w="108" w:type="dxa"/>
              <w:bottom w:w="0" w:type="dxa"/>
              <w:right w:w="108" w:type="dxa"/>
            </w:tcMar>
            <w:vAlign w:val="bottom"/>
          </w:tcPr>
          <w:p w:rsidR="00565FD5" w:rsidRPr="00D50652" w:rsidRDefault="00565FD5" w:rsidP="00AB62A3">
            <w:pPr>
              <w:jc w:val="right"/>
              <w:rPr>
                <w:rFonts w:cs="Tahoma"/>
                <w:sz w:val="15"/>
                <w:szCs w:val="15"/>
              </w:rPr>
            </w:pPr>
            <w:r w:rsidRPr="00D50652">
              <w:rPr>
                <w:rFonts w:cs="Tahoma"/>
                <w:sz w:val="15"/>
                <w:szCs w:val="15"/>
              </w:rPr>
              <w:t>266 101</w:t>
            </w:r>
          </w:p>
        </w:tc>
        <w:tc>
          <w:tcPr>
            <w:tcW w:w="630" w:type="pct"/>
            <w:tcBorders>
              <w:top w:val="nil"/>
              <w:left w:val="nil"/>
              <w:bottom w:val="single" w:sz="4" w:space="0" w:color="auto"/>
              <w:right w:val="nil"/>
            </w:tcBorders>
            <w:tcMar>
              <w:top w:w="15" w:type="dxa"/>
              <w:left w:w="15" w:type="dxa"/>
              <w:bottom w:w="0" w:type="dxa"/>
              <w:right w:w="15" w:type="dxa"/>
            </w:tcMar>
            <w:vAlign w:val="bottom"/>
          </w:tcPr>
          <w:p w:rsidR="00565FD5" w:rsidRPr="00D50652" w:rsidRDefault="00565FD5" w:rsidP="00AB62A3">
            <w:pPr>
              <w:jc w:val="right"/>
              <w:rPr>
                <w:rFonts w:cs="Tahoma"/>
                <w:sz w:val="15"/>
                <w:szCs w:val="15"/>
              </w:rPr>
            </w:pPr>
            <w:r w:rsidRPr="00D50652">
              <w:rPr>
                <w:rFonts w:cs="Tahoma"/>
                <w:sz w:val="15"/>
                <w:szCs w:val="15"/>
              </w:rPr>
              <w:t>304 979</w:t>
            </w:r>
          </w:p>
        </w:tc>
        <w:tc>
          <w:tcPr>
            <w:tcW w:w="696" w:type="pct"/>
            <w:tcBorders>
              <w:top w:val="nil"/>
              <w:left w:val="nil"/>
              <w:bottom w:val="single" w:sz="4" w:space="0" w:color="auto"/>
              <w:right w:val="single" w:sz="4" w:space="0" w:color="auto"/>
            </w:tcBorders>
            <w:tcMar>
              <w:top w:w="15" w:type="dxa"/>
              <w:left w:w="15" w:type="dxa"/>
              <w:bottom w:w="0" w:type="dxa"/>
              <w:right w:w="57" w:type="dxa"/>
            </w:tcMar>
            <w:vAlign w:val="bottom"/>
          </w:tcPr>
          <w:p w:rsidR="00565FD5" w:rsidRPr="00D50652" w:rsidRDefault="00565FD5" w:rsidP="00AB62A3">
            <w:pPr>
              <w:jc w:val="right"/>
              <w:rPr>
                <w:rFonts w:cs="Tahoma"/>
                <w:sz w:val="15"/>
                <w:szCs w:val="15"/>
              </w:rPr>
            </w:pPr>
            <w:r w:rsidRPr="00D50652">
              <w:rPr>
                <w:rFonts w:cs="Tahoma"/>
                <w:sz w:val="15"/>
                <w:szCs w:val="15"/>
              </w:rPr>
              <w:t>265 674</w:t>
            </w:r>
          </w:p>
        </w:tc>
      </w:tr>
    </w:tbl>
    <w:p w:rsidR="00565FD5" w:rsidRPr="00D50652" w:rsidRDefault="00565FD5" w:rsidP="00565FD5">
      <w:pPr>
        <w:spacing w:after="240"/>
        <w:rPr>
          <w:rFonts w:cs="Tahoma"/>
          <w:sz w:val="14"/>
          <w:szCs w:val="14"/>
        </w:rPr>
      </w:pPr>
      <w:r w:rsidRPr="00D50652">
        <w:rPr>
          <w:rFonts w:cs="Tahoma"/>
          <w:sz w:val="14"/>
          <w:szCs w:val="14"/>
        </w:rPr>
        <w:t>Kaynak: İMKB, İstanbul Altın Borsası, VOB, Takasbank</w:t>
      </w:r>
    </w:p>
    <w:p w:rsidR="00565FD5" w:rsidRPr="00D50652" w:rsidRDefault="00565FD5" w:rsidP="00565FD5">
      <w:pPr>
        <w:pStyle w:val="BodyText2"/>
        <w:rPr>
          <w:lang w:bidi="ar-BH"/>
        </w:rPr>
      </w:pPr>
      <w:r w:rsidRPr="00D50652">
        <w:rPr>
          <w:lang w:bidi="ar-BH"/>
        </w:rPr>
        <w:t xml:space="preserve">2012 yılının ilk sekiz ayında 2011 yılının aynı dönemine göre, ağırlıklı olarak Devlet İç Borçlanma Senetlerinin işlem gördüğü ikincil piyasalardan, Borçlanma Araçları Piyasası Kesin Alım-Satım Pazarı işlem hacmi yüzde 35,6 oranında azalırken, Repo-Ters Repo Pazarı işlem hacmi yüzde 34,9 oranında artmış ve sırasıyla 232 milyar TL ve 2,5 trilyon TL olarak gerçekleşmiştir. Söz konusu dönemde pay piyasası işlem hacmi yüzde 21,6 oranında azalarak 402 milyar TL’ye gerilemiştir. </w:t>
      </w:r>
    </w:p>
    <w:p w:rsidR="00565FD5" w:rsidRPr="00D50652" w:rsidRDefault="00565FD5" w:rsidP="00565FD5">
      <w:pPr>
        <w:spacing w:after="180"/>
        <w:ind w:firstLine="425"/>
        <w:rPr>
          <w:rFonts w:cs="Tahoma"/>
          <w:szCs w:val="18"/>
          <w:lang w:bidi="ar-BH"/>
        </w:rPr>
      </w:pPr>
      <w:r w:rsidRPr="00D50652">
        <w:rPr>
          <w:rFonts w:cs="Tahoma"/>
          <w:szCs w:val="18"/>
          <w:lang w:bidi="ar-BH"/>
        </w:rPr>
        <w:t>Sermaye piyasasının derinliğini artıran birincil halka arzlardaki gelişmelere bakıldığında, 2012 yılının ilk sekiz ayında 478 milyon TL tutarında arz gerçekleştiği görülmektedir.</w:t>
      </w:r>
    </w:p>
    <w:p w:rsidR="00565FD5" w:rsidRPr="00D50652" w:rsidRDefault="00565FD5" w:rsidP="00565FD5">
      <w:pPr>
        <w:spacing w:after="180"/>
        <w:ind w:firstLine="425"/>
        <w:rPr>
          <w:rFonts w:cs="Tahoma"/>
          <w:szCs w:val="18"/>
        </w:rPr>
      </w:pPr>
      <w:r w:rsidRPr="00D50652">
        <w:rPr>
          <w:rFonts w:cs="Tahoma"/>
          <w:szCs w:val="18"/>
        </w:rPr>
        <w:t xml:space="preserve">İstanbul Altın Borsası altın piyasasında TL işlem hacminde önemli bir değişiklik görülmezken dolar işlem hacmi 2012 yılı Ağustos ayı itibarıyla bir </w:t>
      </w:r>
      <w:r w:rsidRPr="00D50652">
        <w:rPr>
          <w:rFonts w:cs="Tahoma"/>
          <w:szCs w:val="18"/>
        </w:rPr>
        <w:lastRenderedPageBreak/>
        <w:t>önceki yılın aynı dönemine göre yüzde 92 oranında artışla 11,4 milyar ABD dolarına yükselmiştir. Bu artışla birlikte 2011 yılının ilk sekiz ayında altın işlem hacmi 130 ton seviyesinden 2012 yılının aynı döneminde 230 ton seviyesine yükselmiştir.</w:t>
      </w:r>
    </w:p>
    <w:p w:rsidR="00565FD5" w:rsidRPr="00D50652" w:rsidRDefault="00565FD5" w:rsidP="00565FD5">
      <w:pPr>
        <w:spacing w:after="180"/>
        <w:ind w:firstLine="425"/>
        <w:rPr>
          <w:rFonts w:cs="Tahoma"/>
          <w:szCs w:val="18"/>
        </w:rPr>
      </w:pPr>
      <w:r w:rsidRPr="00D50652">
        <w:rPr>
          <w:rFonts w:cs="Tahoma"/>
          <w:szCs w:val="18"/>
        </w:rPr>
        <w:t xml:space="preserve">Vadeli İşlem ve Opsiyon Borsası işlem hacmi 2012 yılının ilk sekiz ayında 2011 yılının aynı dönemine göre yüzde 10,2 oranında azalarak 268,3 milyar TL düzeyinde gerçekleşmiştir. </w:t>
      </w:r>
    </w:p>
    <w:p w:rsidR="00565FD5" w:rsidRPr="00D50652" w:rsidRDefault="00565FD5" w:rsidP="00565FD5">
      <w:pPr>
        <w:spacing w:after="180"/>
        <w:ind w:firstLine="425"/>
        <w:rPr>
          <w:b/>
          <w:szCs w:val="18"/>
        </w:rPr>
      </w:pPr>
      <w:r w:rsidRPr="00D50652">
        <w:rPr>
          <w:b/>
          <w:szCs w:val="18"/>
        </w:rPr>
        <w:t>Sigortacılık ve Bireysel Emeklilik</w:t>
      </w:r>
    </w:p>
    <w:p w:rsidR="00565FD5" w:rsidRPr="00D50652" w:rsidRDefault="00565FD5" w:rsidP="00565FD5">
      <w:pPr>
        <w:spacing w:after="180"/>
        <w:ind w:firstLine="425"/>
        <w:rPr>
          <w:rFonts w:cs="Tahoma"/>
          <w:szCs w:val="18"/>
        </w:rPr>
      </w:pPr>
      <w:r w:rsidRPr="00D50652">
        <w:rPr>
          <w:rFonts w:cs="Tahoma"/>
          <w:szCs w:val="18"/>
        </w:rPr>
        <w:t>2011 yılı sonu itibarıyla Türkiye’de sigortacılık ve bireysel emeklilik sektörlerinde toplam 59 şirket aktif olarak faaliyet göstermektedir. Aktif olan şirketlerden 35’i hayat dışı, 8’i hayat, 15’i hayat ve emeklilik ve 1’i de reasürans alanında faaliyet göstermektedir. Bunlara ek olarak sektörde, ruhsat sahibi olmakla birlikte faaliyette bulunmayan veya faaliyeti kamu otoritesi tarafından durdurulmuş 4 hayat dışı, 2 hayat sigorta ve 1 reasürans şirketi bulunmaktadır.</w:t>
      </w:r>
    </w:p>
    <w:p w:rsidR="00565FD5" w:rsidRDefault="00565FD5" w:rsidP="00565FD5">
      <w:pPr>
        <w:spacing w:after="180"/>
        <w:ind w:firstLine="425"/>
        <w:rPr>
          <w:rFonts w:cs="Tahoma"/>
          <w:szCs w:val="18"/>
        </w:rPr>
      </w:pPr>
      <w:r w:rsidRPr="00D50652">
        <w:rPr>
          <w:rFonts w:cs="Tahoma"/>
          <w:szCs w:val="18"/>
        </w:rPr>
        <w:t>Ekonomide kaydedilen yüksek büyüme oranına paralel olarak, 2011 yılı sigortacılık ve bireysel emeklilik sektörleri açısından yüksek reel büyümenin yaşandığı bir yıl olmuştur. Sigortacılık sektöründe 2011 yılında, direkt prim üretimi bir önceki yıla göre nominal olarak yüzde 21,5 oranında artarak 16,8 milyar TL seviyesine ulaşmıştır. 2010 yılında kaydedilen yüzde 7,3 oranındaki artışın ardından, reel bazda direkt prim üretimi, 2011 yılında yüzde 11,8 oranında artmıştır.</w:t>
      </w:r>
    </w:p>
    <w:p w:rsidR="00565FD5" w:rsidRPr="00D50652" w:rsidRDefault="00565FD5" w:rsidP="00565FD5">
      <w:pPr>
        <w:spacing w:after="180"/>
        <w:ind w:firstLine="425"/>
        <w:rPr>
          <w:rFonts w:cs="Tahoma"/>
          <w:szCs w:val="18"/>
        </w:rPr>
      </w:pPr>
      <w:r w:rsidRPr="00D50652">
        <w:rPr>
          <w:rFonts w:cs="Tahoma"/>
          <w:szCs w:val="18"/>
        </w:rPr>
        <w:t>Sigorta şirketleri tarafından sigortalılara verilen teminat tutarı, 2010 yılında gerçekleşen 30,7 trilyon TL seviyesinden yüzde 27,7 oranındaki artışla 2011 yılında 39,2 trilyon TL’ye ulaşmıştır. Böylece, sigortalılara verilen teminat tutarı 2011 yılında GSYH’nın 30,2 katına ulaşmıştır.</w:t>
      </w:r>
    </w:p>
    <w:p w:rsidR="00565FD5" w:rsidRPr="00D50652" w:rsidRDefault="00565FD5" w:rsidP="00565FD5">
      <w:pPr>
        <w:spacing w:after="180"/>
        <w:ind w:firstLine="425"/>
        <w:rPr>
          <w:rFonts w:cs="Tahoma"/>
          <w:szCs w:val="18"/>
        </w:rPr>
      </w:pPr>
      <w:r w:rsidRPr="00D50652">
        <w:rPr>
          <w:rFonts w:cs="Tahoma"/>
          <w:szCs w:val="18"/>
        </w:rPr>
        <w:t>Sigortacılık sektörünün gelişme potansiyelinin yüksek olması nedeniyle sektöre yabancı sermayenin ilgisi devam etmektedir. 2011 yılı sonu itibarıyla, sektörde yer alan şirketlerin 37 adedinde yabancı ortakların payı yüzde 50’nin üzerindedir. 2010 yılı sonuna göre, sektörde toplam ödenmiş sermaye içinde yabancı sermayenin payı yaklaşık yüzde 59 düzeyinde gerçekleşirken söz konusu oran 2011 yılı sonu itibarıyla yüzde 67,2’ye ulaşmıştır.</w:t>
      </w:r>
    </w:p>
    <w:p w:rsidR="00565FD5" w:rsidRPr="00D50652" w:rsidRDefault="00565FD5" w:rsidP="00565FD5">
      <w:pPr>
        <w:spacing w:after="180"/>
        <w:ind w:firstLine="425"/>
        <w:rPr>
          <w:rFonts w:cs="Tahoma"/>
          <w:szCs w:val="18"/>
        </w:rPr>
      </w:pPr>
    </w:p>
    <w:p w:rsidR="00565FD5" w:rsidRPr="005C3B90" w:rsidRDefault="00565FD5" w:rsidP="00565FD5">
      <w:pPr>
        <w:pStyle w:val="ResimYazs"/>
        <w:rPr>
          <w:lang w:bidi="ar-BH"/>
        </w:rPr>
      </w:pPr>
      <w:bookmarkStart w:id="1489" w:name="_Toc244255257"/>
      <w:bookmarkStart w:id="1490" w:name="_Toc275873940"/>
      <w:bookmarkStart w:id="1491" w:name="_Toc276076482"/>
      <w:bookmarkStart w:id="1492" w:name="_Toc307601664"/>
      <w:bookmarkStart w:id="1493" w:name="_Toc307657887"/>
      <w:bookmarkStart w:id="1494" w:name="_Toc307713579"/>
      <w:bookmarkStart w:id="1495" w:name="_Toc338606007"/>
      <w:bookmarkStart w:id="1496" w:name="_Toc338711782"/>
      <w:r>
        <w:t xml:space="preserve">TABLO IV: </w:t>
      </w:r>
      <w:fldSimple w:instr=" SEQ TABLO_IV: \* ARABIC ">
        <w:r>
          <w:rPr>
            <w:noProof/>
          </w:rPr>
          <w:t>12</w:t>
        </w:r>
      </w:fldSimple>
      <w:r>
        <w:t>-</w:t>
      </w:r>
      <w:r w:rsidRPr="005C3B90">
        <w:rPr>
          <w:lang w:bidi="ar-BH"/>
        </w:rPr>
        <w:t xml:space="preserve"> Sigortacılık Sektörüne Ait Bazı Büyüklükler</w:t>
      </w:r>
      <w:bookmarkEnd w:id="1489"/>
      <w:bookmarkEnd w:id="1490"/>
      <w:bookmarkEnd w:id="1491"/>
      <w:bookmarkEnd w:id="1492"/>
      <w:bookmarkEnd w:id="1493"/>
      <w:bookmarkEnd w:id="1494"/>
      <w:bookmarkEnd w:id="1495"/>
      <w:bookmarkEnd w:id="1496"/>
      <w:r w:rsidRPr="005C3B90">
        <w:rPr>
          <w:lang w:bidi="ar-BH"/>
        </w:rPr>
        <w:t xml:space="preserve"> </w:t>
      </w:r>
    </w:p>
    <w:tbl>
      <w:tblPr>
        <w:tblW w:w="4997" w:type="pct"/>
        <w:tblInd w:w="5" w:type="dxa"/>
        <w:tblCellMar>
          <w:left w:w="0" w:type="dxa"/>
          <w:right w:w="0" w:type="dxa"/>
        </w:tblCellMar>
        <w:tblLook w:val="0000"/>
      </w:tblPr>
      <w:tblGrid>
        <w:gridCol w:w="2874"/>
        <w:gridCol w:w="1224"/>
        <w:gridCol w:w="918"/>
        <w:gridCol w:w="1067"/>
        <w:gridCol w:w="1067"/>
      </w:tblGrid>
      <w:tr w:rsidR="00565FD5" w:rsidRPr="00443EFC" w:rsidTr="00AB62A3">
        <w:trPr>
          <w:trHeight w:val="198"/>
        </w:trPr>
        <w:tc>
          <w:tcPr>
            <w:tcW w:w="2043" w:type="pct"/>
            <w:tcBorders>
              <w:top w:val="single" w:sz="4" w:space="0" w:color="auto"/>
              <w:left w:val="single" w:sz="4" w:space="0" w:color="auto"/>
              <w:bottom w:val="single" w:sz="4" w:space="0" w:color="auto"/>
            </w:tcBorders>
            <w:vAlign w:val="center"/>
          </w:tcPr>
          <w:p w:rsidR="00565FD5" w:rsidRPr="00443EFC" w:rsidRDefault="00565FD5" w:rsidP="00AB62A3">
            <w:pPr>
              <w:ind w:left="57" w:right="57"/>
              <w:rPr>
                <w:rFonts w:cs="Tahoma"/>
                <w:sz w:val="15"/>
                <w:szCs w:val="15"/>
              </w:rPr>
            </w:pPr>
          </w:p>
        </w:tc>
        <w:tc>
          <w:tcPr>
            <w:tcW w:w="726" w:type="pct"/>
            <w:tcBorders>
              <w:top w:val="single" w:sz="4" w:space="0" w:color="auto"/>
              <w:bottom w:val="single" w:sz="4" w:space="0" w:color="auto"/>
            </w:tcBorders>
            <w:vAlign w:val="center"/>
          </w:tcPr>
          <w:p w:rsidR="00565FD5" w:rsidRPr="00443EFC" w:rsidRDefault="00565FD5" w:rsidP="00AB62A3">
            <w:pPr>
              <w:ind w:left="57" w:right="57"/>
              <w:jc w:val="right"/>
              <w:rPr>
                <w:rFonts w:eastAsia="Arial Unicode MS" w:cs="Tahoma"/>
                <w:b/>
                <w:bCs/>
                <w:sz w:val="15"/>
                <w:szCs w:val="15"/>
              </w:rPr>
            </w:pPr>
            <w:r w:rsidRPr="00443EFC">
              <w:rPr>
                <w:rFonts w:eastAsia="Arial Unicode MS" w:cs="Tahoma"/>
                <w:b/>
                <w:bCs/>
                <w:sz w:val="15"/>
                <w:szCs w:val="15"/>
              </w:rPr>
              <w:t>2009</w:t>
            </w:r>
          </w:p>
        </w:tc>
        <w:tc>
          <w:tcPr>
            <w:tcW w:w="674" w:type="pct"/>
            <w:tcBorders>
              <w:top w:val="single" w:sz="4" w:space="0" w:color="auto"/>
              <w:bottom w:val="single" w:sz="4" w:space="0" w:color="auto"/>
            </w:tcBorders>
            <w:vAlign w:val="center"/>
          </w:tcPr>
          <w:p w:rsidR="00565FD5" w:rsidRPr="00443EFC" w:rsidRDefault="00565FD5" w:rsidP="00AB62A3">
            <w:pPr>
              <w:ind w:left="57" w:right="57"/>
              <w:jc w:val="right"/>
              <w:rPr>
                <w:rFonts w:eastAsia="Arial Unicode MS" w:cs="Tahoma"/>
                <w:b/>
                <w:bCs/>
                <w:sz w:val="15"/>
                <w:szCs w:val="15"/>
              </w:rPr>
            </w:pPr>
            <w:r w:rsidRPr="00443EFC">
              <w:rPr>
                <w:rFonts w:eastAsia="Arial Unicode MS" w:cs="Tahoma"/>
                <w:b/>
                <w:bCs/>
                <w:sz w:val="15"/>
                <w:szCs w:val="15"/>
              </w:rPr>
              <w:t>2010</w:t>
            </w:r>
          </w:p>
        </w:tc>
        <w:tc>
          <w:tcPr>
            <w:tcW w:w="778" w:type="pct"/>
            <w:tcBorders>
              <w:top w:val="single" w:sz="4" w:space="0" w:color="auto"/>
              <w:bottom w:val="single" w:sz="4" w:space="0" w:color="auto"/>
            </w:tcBorders>
            <w:vAlign w:val="center"/>
          </w:tcPr>
          <w:p w:rsidR="00565FD5" w:rsidRPr="00443EFC" w:rsidRDefault="00565FD5" w:rsidP="00AB62A3">
            <w:pPr>
              <w:ind w:left="57" w:right="57"/>
              <w:jc w:val="right"/>
              <w:rPr>
                <w:rFonts w:eastAsia="Arial Unicode MS" w:cs="Tahoma"/>
                <w:b/>
                <w:bCs/>
                <w:sz w:val="15"/>
                <w:szCs w:val="15"/>
              </w:rPr>
            </w:pPr>
            <w:r w:rsidRPr="00443EFC">
              <w:rPr>
                <w:rFonts w:eastAsia="Arial Unicode MS" w:cs="Tahoma"/>
                <w:b/>
                <w:bCs/>
                <w:sz w:val="15"/>
                <w:szCs w:val="15"/>
              </w:rPr>
              <w:t>2011</w:t>
            </w:r>
          </w:p>
        </w:tc>
        <w:tc>
          <w:tcPr>
            <w:tcW w:w="778" w:type="pct"/>
            <w:tcBorders>
              <w:top w:val="single" w:sz="4" w:space="0" w:color="auto"/>
              <w:left w:val="nil"/>
              <w:bottom w:val="single" w:sz="4" w:space="0" w:color="auto"/>
              <w:right w:val="single" w:sz="4" w:space="0" w:color="auto"/>
            </w:tcBorders>
            <w:vAlign w:val="center"/>
          </w:tcPr>
          <w:p w:rsidR="00565FD5" w:rsidRPr="00443EFC" w:rsidRDefault="00565FD5" w:rsidP="00AB62A3">
            <w:pPr>
              <w:ind w:left="57" w:right="57"/>
              <w:jc w:val="right"/>
              <w:rPr>
                <w:rFonts w:eastAsia="Arial Unicode MS" w:cs="Tahoma"/>
                <w:b/>
                <w:bCs/>
                <w:sz w:val="15"/>
                <w:szCs w:val="15"/>
              </w:rPr>
            </w:pPr>
            <w:r w:rsidRPr="00443EFC">
              <w:rPr>
                <w:rFonts w:eastAsia="Arial Unicode MS" w:cs="Tahoma"/>
                <w:b/>
                <w:bCs/>
                <w:sz w:val="15"/>
                <w:szCs w:val="15"/>
              </w:rPr>
              <w:t>2012 (1)</w:t>
            </w:r>
          </w:p>
        </w:tc>
      </w:tr>
      <w:tr w:rsidR="00565FD5" w:rsidRPr="00443EFC" w:rsidTr="00AB62A3">
        <w:trPr>
          <w:trHeight w:val="198"/>
        </w:trPr>
        <w:tc>
          <w:tcPr>
            <w:tcW w:w="2043" w:type="pct"/>
            <w:tcBorders>
              <w:top w:val="single" w:sz="4" w:space="0" w:color="auto"/>
              <w:left w:val="single" w:sz="4" w:space="0" w:color="auto"/>
            </w:tcBorders>
          </w:tcPr>
          <w:p w:rsidR="00565FD5" w:rsidRPr="00443EFC" w:rsidRDefault="00565FD5" w:rsidP="00AB62A3">
            <w:pPr>
              <w:ind w:left="57" w:right="57"/>
              <w:rPr>
                <w:rFonts w:eastAsia="Arial Unicode MS" w:cs="Tahoma"/>
                <w:b/>
                <w:bCs/>
                <w:sz w:val="15"/>
                <w:szCs w:val="15"/>
              </w:rPr>
            </w:pPr>
            <w:r w:rsidRPr="00443EFC">
              <w:rPr>
                <w:rFonts w:eastAsia="Arial Unicode MS" w:cs="Tahoma"/>
                <w:b/>
                <w:bCs/>
                <w:sz w:val="15"/>
                <w:szCs w:val="15"/>
              </w:rPr>
              <w:t>Aktif Toplamı (Milyon TL)</w:t>
            </w:r>
          </w:p>
        </w:tc>
        <w:tc>
          <w:tcPr>
            <w:tcW w:w="726" w:type="pct"/>
            <w:tcBorders>
              <w:top w:val="single" w:sz="4" w:space="0" w:color="auto"/>
            </w:tcBorders>
            <w:vAlign w:val="center"/>
          </w:tcPr>
          <w:p w:rsidR="00565FD5" w:rsidRPr="00443EFC" w:rsidRDefault="00565FD5" w:rsidP="00AB62A3">
            <w:pPr>
              <w:tabs>
                <w:tab w:val="left" w:pos="-48"/>
              </w:tabs>
              <w:ind w:left="57" w:right="57"/>
              <w:jc w:val="right"/>
              <w:rPr>
                <w:rFonts w:cs="Tahoma"/>
                <w:b/>
                <w:bCs/>
                <w:sz w:val="15"/>
                <w:szCs w:val="15"/>
                <w:lang w:eastAsia="tr-TR"/>
              </w:rPr>
            </w:pPr>
            <w:r w:rsidRPr="00443EFC">
              <w:rPr>
                <w:rFonts w:cs="Tahoma"/>
                <w:b/>
                <w:bCs/>
                <w:sz w:val="15"/>
                <w:szCs w:val="15"/>
                <w:lang w:eastAsia="tr-TR"/>
              </w:rPr>
              <w:t>33 392</w:t>
            </w:r>
          </w:p>
        </w:tc>
        <w:tc>
          <w:tcPr>
            <w:tcW w:w="674" w:type="pct"/>
            <w:tcBorders>
              <w:top w:val="single" w:sz="4" w:space="0" w:color="auto"/>
            </w:tcBorders>
          </w:tcPr>
          <w:p w:rsidR="00565FD5" w:rsidRPr="00443EFC" w:rsidRDefault="00565FD5" w:rsidP="00AB62A3">
            <w:pPr>
              <w:tabs>
                <w:tab w:val="left" w:pos="-48"/>
              </w:tabs>
              <w:ind w:left="57" w:right="57"/>
              <w:jc w:val="right"/>
              <w:rPr>
                <w:rFonts w:cs="Tahoma"/>
                <w:b/>
                <w:bCs/>
                <w:sz w:val="15"/>
                <w:szCs w:val="15"/>
                <w:lang w:eastAsia="tr-TR"/>
              </w:rPr>
            </w:pPr>
            <w:r w:rsidRPr="00443EFC">
              <w:rPr>
                <w:rFonts w:cs="Tahoma"/>
                <w:b/>
                <w:bCs/>
                <w:sz w:val="15"/>
                <w:szCs w:val="15"/>
                <w:lang w:eastAsia="tr-TR"/>
              </w:rPr>
              <w:t>36 786</w:t>
            </w:r>
          </w:p>
        </w:tc>
        <w:tc>
          <w:tcPr>
            <w:tcW w:w="778" w:type="pct"/>
            <w:tcBorders>
              <w:top w:val="single" w:sz="4" w:space="0" w:color="auto"/>
            </w:tcBorders>
          </w:tcPr>
          <w:p w:rsidR="00565FD5" w:rsidRPr="00443EFC" w:rsidRDefault="00565FD5" w:rsidP="00AB62A3">
            <w:pPr>
              <w:tabs>
                <w:tab w:val="left" w:pos="-48"/>
              </w:tabs>
              <w:ind w:left="57" w:right="57"/>
              <w:jc w:val="right"/>
              <w:rPr>
                <w:rFonts w:cs="Tahoma"/>
                <w:b/>
                <w:bCs/>
                <w:sz w:val="15"/>
                <w:szCs w:val="15"/>
                <w:lang w:eastAsia="tr-TR"/>
              </w:rPr>
            </w:pPr>
            <w:r w:rsidRPr="00443EFC">
              <w:rPr>
                <w:rFonts w:cs="Tahoma"/>
                <w:b/>
                <w:bCs/>
                <w:sz w:val="15"/>
                <w:szCs w:val="15"/>
                <w:lang w:eastAsia="tr-TR"/>
              </w:rPr>
              <w:t>42 474</w:t>
            </w:r>
          </w:p>
        </w:tc>
        <w:tc>
          <w:tcPr>
            <w:tcW w:w="778" w:type="pct"/>
            <w:tcBorders>
              <w:top w:val="single" w:sz="4" w:space="0" w:color="auto"/>
              <w:left w:val="nil"/>
              <w:right w:val="single" w:sz="4" w:space="0" w:color="auto"/>
            </w:tcBorders>
          </w:tcPr>
          <w:p w:rsidR="00565FD5" w:rsidRPr="00443EFC" w:rsidRDefault="00565FD5" w:rsidP="00AB62A3">
            <w:pPr>
              <w:tabs>
                <w:tab w:val="left" w:pos="-48"/>
              </w:tabs>
              <w:ind w:left="57" w:right="57"/>
              <w:jc w:val="right"/>
              <w:rPr>
                <w:rFonts w:cs="Tahoma"/>
                <w:b/>
                <w:bCs/>
                <w:sz w:val="15"/>
                <w:szCs w:val="15"/>
                <w:lang w:eastAsia="tr-TR"/>
              </w:rPr>
            </w:pPr>
            <w:r w:rsidRPr="00443EFC">
              <w:rPr>
                <w:rFonts w:cs="Tahoma"/>
                <w:b/>
                <w:bCs/>
                <w:sz w:val="15"/>
                <w:szCs w:val="15"/>
                <w:lang w:eastAsia="tr-TR"/>
              </w:rPr>
              <w:t>47 312</w:t>
            </w:r>
          </w:p>
        </w:tc>
      </w:tr>
      <w:tr w:rsidR="00565FD5" w:rsidRPr="00443EFC" w:rsidTr="00AB62A3">
        <w:trPr>
          <w:trHeight w:val="198"/>
        </w:trPr>
        <w:tc>
          <w:tcPr>
            <w:tcW w:w="2043" w:type="pct"/>
            <w:tcBorders>
              <w:left w:val="single" w:sz="4" w:space="0" w:color="auto"/>
            </w:tcBorders>
            <w:vAlign w:val="center"/>
          </w:tcPr>
          <w:p w:rsidR="00565FD5" w:rsidRPr="00443EFC" w:rsidRDefault="00565FD5" w:rsidP="00AB62A3">
            <w:pPr>
              <w:tabs>
                <w:tab w:val="left" w:pos="0"/>
              </w:tabs>
              <w:ind w:left="57" w:right="57" w:firstLine="108"/>
              <w:rPr>
                <w:rFonts w:cs="Tahoma"/>
                <w:sz w:val="15"/>
                <w:szCs w:val="15"/>
                <w:lang w:eastAsia="tr-TR"/>
              </w:rPr>
            </w:pPr>
            <w:r w:rsidRPr="00443EFC">
              <w:rPr>
                <w:rFonts w:cs="Tahoma"/>
                <w:sz w:val="15"/>
                <w:szCs w:val="15"/>
                <w:lang w:eastAsia="tr-TR"/>
              </w:rPr>
              <w:t>Hayat Dışı Şirketler</w:t>
            </w:r>
          </w:p>
        </w:tc>
        <w:tc>
          <w:tcPr>
            <w:tcW w:w="726" w:type="pct"/>
            <w:vAlign w:val="center"/>
          </w:tcPr>
          <w:p w:rsidR="00565FD5" w:rsidRPr="00443EFC" w:rsidRDefault="00565FD5" w:rsidP="00AB62A3">
            <w:pPr>
              <w:tabs>
                <w:tab w:val="left" w:pos="-48"/>
              </w:tabs>
              <w:ind w:left="57" w:right="57"/>
              <w:jc w:val="right"/>
              <w:rPr>
                <w:rFonts w:cs="Tahoma"/>
                <w:sz w:val="15"/>
                <w:szCs w:val="15"/>
                <w:lang w:eastAsia="tr-TR"/>
              </w:rPr>
            </w:pPr>
            <w:r w:rsidRPr="00443EFC">
              <w:rPr>
                <w:rFonts w:cs="Tahoma"/>
                <w:sz w:val="15"/>
                <w:szCs w:val="15"/>
                <w:lang w:eastAsia="tr-TR"/>
              </w:rPr>
              <w:t>14 954</w:t>
            </w:r>
          </w:p>
        </w:tc>
        <w:tc>
          <w:tcPr>
            <w:tcW w:w="674" w:type="pct"/>
          </w:tcPr>
          <w:p w:rsidR="00565FD5" w:rsidRPr="00443EFC" w:rsidRDefault="00565FD5" w:rsidP="00AB62A3">
            <w:pPr>
              <w:tabs>
                <w:tab w:val="left" w:pos="-48"/>
              </w:tabs>
              <w:ind w:left="57" w:right="57"/>
              <w:jc w:val="right"/>
              <w:rPr>
                <w:rFonts w:cs="Tahoma"/>
                <w:sz w:val="15"/>
                <w:szCs w:val="15"/>
                <w:lang w:eastAsia="tr-TR"/>
              </w:rPr>
            </w:pPr>
            <w:r w:rsidRPr="00443EFC">
              <w:rPr>
                <w:rFonts w:cs="Tahoma"/>
                <w:sz w:val="15"/>
                <w:szCs w:val="15"/>
                <w:lang w:eastAsia="tr-TR"/>
              </w:rPr>
              <w:t>14 321</w:t>
            </w:r>
          </w:p>
        </w:tc>
        <w:tc>
          <w:tcPr>
            <w:tcW w:w="778" w:type="pct"/>
          </w:tcPr>
          <w:p w:rsidR="00565FD5" w:rsidRPr="00443EFC" w:rsidRDefault="00565FD5" w:rsidP="00AB62A3">
            <w:pPr>
              <w:tabs>
                <w:tab w:val="left" w:pos="-48"/>
              </w:tabs>
              <w:ind w:left="57" w:right="57"/>
              <w:jc w:val="right"/>
              <w:rPr>
                <w:rFonts w:cs="Tahoma"/>
                <w:sz w:val="15"/>
                <w:szCs w:val="15"/>
                <w:lang w:eastAsia="tr-TR"/>
              </w:rPr>
            </w:pPr>
            <w:r w:rsidRPr="00443EFC">
              <w:rPr>
                <w:rFonts w:cs="Tahoma"/>
                <w:sz w:val="15"/>
                <w:szCs w:val="15"/>
                <w:lang w:eastAsia="tr-TR"/>
              </w:rPr>
              <w:t>16 298</w:t>
            </w: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17 599</w:t>
            </w:r>
          </w:p>
        </w:tc>
      </w:tr>
      <w:tr w:rsidR="00565FD5" w:rsidRPr="00443EFC" w:rsidTr="00AB62A3">
        <w:trPr>
          <w:trHeight w:val="198"/>
        </w:trPr>
        <w:tc>
          <w:tcPr>
            <w:tcW w:w="2043" w:type="pct"/>
            <w:tcBorders>
              <w:left w:val="single" w:sz="4" w:space="0" w:color="auto"/>
            </w:tcBorders>
            <w:vAlign w:val="center"/>
          </w:tcPr>
          <w:p w:rsidR="00565FD5" w:rsidRPr="00443EFC" w:rsidRDefault="00565FD5" w:rsidP="00AB62A3">
            <w:pPr>
              <w:tabs>
                <w:tab w:val="left" w:pos="0"/>
              </w:tabs>
              <w:ind w:left="57" w:right="57" w:firstLine="108"/>
              <w:rPr>
                <w:rFonts w:cs="Tahoma"/>
                <w:sz w:val="15"/>
                <w:szCs w:val="15"/>
                <w:lang w:eastAsia="tr-TR"/>
              </w:rPr>
            </w:pPr>
            <w:r w:rsidRPr="00443EFC">
              <w:rPr>
                <w:rFonts w:cs="Tahoma"/>
                <w:sz w:val="15"/>
                <w:szCs w:val="15"/>
                <w:lang w:eastAsia="tr-TR"/>
              </w:rPr>
              <w:t>Hayat/Emeklilik</w:t>
            </w:r>
          </w:p>
        </w:tc>
        <w:tc>
          <w:tcPr>
            <w:tcW w:w="726" w:type="pct"/>
            <w:vAlign w:val="center"/>
          </w:tcPr>
          <w:p w:rsidR="00565FD5" w:rsidRPr="00443EFC" w:rsidRDefault="00565FD5" w:rsidP="00AB62A3">
            <w:pPr>
              <w:tabs>
                <w:tab w:val="left" w:pos="-48"/>
              </w:tabs>
              <w:ind w:left="57" w:right="57"/>
              <w:jc w:val="right"/>
              <w:rPr>
                <w:rFonts w:cs="Tahoma"/>
                <w:sz w:val="15"/>
                <w:szCs w:val="15"/>
                <w:lang w:eastAsia="tr-TR"/>
              </w:rPr>
            </w:pPr>
            <w:r w:rsidRPr="00443EFC">
              <w:rPr>
                <w:rFonts w:cs="Tahoma"/>
                <w:sz w:val="15"/>
                <w:szCs w:val="15"/>
                <w:lang w:eastAsia="tr-TR"/>
              </w:rPr>
              <w:t>16 866</w:t>
            </w:r>
          </w:p>
        </w:tc>
        <w:tc>
          <w:tcPr>
            <w:tcW w:w="674" w:type="pct"/>
          </w:tcPr>
          <w:p w:rsidR="00565FD5" w:rsidRPr="00443EFC" w:rsidRDefault="00565FD5" w:rsidP="00AB62A3">
            <w:pPr>
              <w:tabs>
                <w:tab w:val="left" w:pos="-48"/>
              </w:tabs>
              <w:ind w:left="57" w:right="57"/>
              <w:jc w:val="right"/>
              <w:rPr>
                <w:rFonts w:cs="Tahoma"/>
                <w:sz w:val="15"/>
                <w:szCs w:val="15"/>
                <w:lang w:eastAsia="tr-TR"/>
              </w:rPr>
            </w:pPr>
            <w:r w:rsidRPr="00443EFC">
              <w:rPr>
                <w:rFonts w:cs="Tahoma"/>
                <w:sz w:val="15"/>
                <w:szCs w:val="15"/>
                <w:lang w:eastAsia="tr-TR"/>
              </w:rPr>
              <w:t>20 844</w:t>
            </w:r>
          </w:p>
        </w:tc>
        <w:tc>
          <w:tcPr>
            <w:tcW w:w="778" w:type="pct"/>
          </w:tcPr>
          <w:p w:rsidR="00565FD5" w:rsidRPr="00443EFC" w:rsidRDefault="00565FD5" w:rsidP="00AB62A3">
            <w:pPr>
              <w:tabs>
                <w:tab w:val="left" w:pos="-48"/>
              </w:tabs>
              <w:ind w:left="57" w:right="57"/>
              <w:jc w:val="right"/>
              <w:rPr>
                <w:rFonts w:cs="Tahoma"/>
                <w:sz w:val="15"/>
                <w:szCs w:val="15"/>
                <w:lang w:eastAsia="tr-TR"/>
              </w:rPr>
            </w:pPr>
            <w:r w:rsidRPr="00443EFC">
              <w:rPr>
                <w:rFonts w:cs="Tahoma"/>
                <w:sz w:val="15"/>
                <w:szCs w:val="15"/>
                <w:lang w:eastAsia="tr-TR"/>
              </w:rPr>
              <w:t>24 581</w:t>
            </w: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28 011</w:t>
            </w:r>
          </w:p>
        </w:tc>
      </w:tr>
      <w:tr w:rsidR="00565FD5" w:rsidRPr="00443EFC" w:rsidTr="00AB62A3">
        <w:trPr>
          <w:trHeight w:val="198"/>
        </w:trPr>
        <w:tc>
          <w:tcPr>
            <w:tcW w:w="2043" w:type="pct"/>
            <w:tcBorders>
              <w:left w:val="single" w:sz="4" w:space="0" w:color="auto"/>
            </w:tcBorders>
            <w:vAlign w:val="center"/>
          </w:tcPr>
          <w:p w:rsidR="00565FD5" w:rsidRPr="00443EFC" w:rsidRDefault="00565FD5" w:rsidP="00AB62A3">
            <w:pPr>
              <w:tabs>
                <w:tab w:val="left" w:pos="0"/>
              </w:tabs>
              <w:ind w:left="57" w:right="57" w:firstLine="108"/>
              <w:rPr>
                <w:rFonts w:cs="Tahoma"/>
                <w:sz w:val="15"/>
                <w:szCs w:val="15"/>
                <w:lang w:eastAsia="tr-TR"/>
              </w:rPr>
            </w:pPr>
            <w:r w:rsidRPr="00443EFC">
              <w:rPr>
                <w:rFonts w:cs="Tahoma"/>
                <w:sz w:val="15"/>
                <w:szCs w:val="15"/>
                <w:lang w:eastAsia="tr-TR"/>
              </w:rPr>
              <w:t>Reasürans Şirketleri</w:t>
            </w:r>
          </w:p>
        </w:tc>
        <w:tc>
          <w:tcPr>
            <w:tcW w:w="726" w:type="pct"/>
            <w:vAlign w:val="center"/>
          </w:tcPr>
          <w:p w:rsidR="00565FD5" w:rsidRPr="00443EFC" w:rsidRDefault="00565FD5" w:rsidP="00AB62A3">
            <w:pPr>
              <w:tabs>
                <w:tab w:val="left" w:pos="-48"/>
              </w:tabs>
              <w:ind w:left="57" w:right="57"/>
              <w:jc w:val="right"/>
              <w:rPr>
                <w:rFonts w:cs="Tahoma"/>
                <w:sz w:val="15"/>
                <w:szCs w:val="15"/>
                <w:lang w:eastAsia="tr-TR"/>
              </w:rPr>
            </w:pPr>
            <w:r w:rsidRPr="00443EFC">
              <w:rPr>
                <w:rFonts w:cs="Tahoma"/>
                <w:sz w:val="15"/>
                <w:szCs w:val="15"/>
                <w:lang w:eastAsia="tr-TR"/>
              </w:rPr>
              <w:t>1 573</w:t>
            </w:r>
          </w:p>
        </w:tc>
        <w:tc>
          <w:tcPr>
            <w:tcW w:w="674" w:type="pct"/>
          </w:tcPr>
          <w:p w:rsidR="00565FD5" w:rsidRPr="00443EFC" w:rsidRDefault="00565FD5" w:rsidP="00AB62A3">
            <w:pPr>
              <w:tabs>
                <w:tab w:val="left" w:pos="-48"/>
              </w:tabs>
              <w:ind w:left="57" w:right="57"/>
              <w:jc w:val="right"/>
              <w:rPr>
                <w:rFonts w:cs="Tahoma"/>
                <w:sz w:val="15"/>
                <w:szCs w:val="15"/>
                <w:lang w:eastAsia="tr-TR"/>
              </w:rPr>
            </w:pPr>
            <w:r w:rsidRPr="00443EFC">
              <w:rPr>
                <w:rFonts w:cs="Tahoma"/>
                <w:sz w:val="15"/>
                <w:szCs w:val="15"/>
                <w:lang w:eastAsia="tr-TR"/>
              </w:rPr>
              <w:t>1 621</w:t>
            </w:r>
          </w:p>
        </w:tc>
        <w:tc>
          <w:tcPr>
            <w:tcW w:w="778" w:type="pct"/>
          </w:tcPr>
          <w:p w:rsidR="00565FD5" w:rsidRPr="00443EFC" w:rsidRDefault="00565FD5" w:rsidP="00AB62A3">
            <w:pPr>
              <w:tabs>
                <w:tab w:val="left" w:pos="-48"/>
              </w:tabs>
              <w:ind w:left="57" w:right="57"/>
              <w:jc w:val="right"/>
              <w:rPr>
                <w:rFonts w:cs="Tahoma"/>
                <w:sz w:val="15"/>
                <w:szCs w:val="15"/>
                <w:lang w:eastAsia="tr-TR"/>
              </w:rPr>
            </w:pPr>
            <w:r w:rsidRPr="00443EFC">
              <w:rPr>
                <w:rFonts w:cs="Tahoma"/>
                <w:sz w:val="15"/>
                <w:szCs w:val="15"/>
                <w:lang w:eastAsia="tr-TR"/>
              </w:rPr>
              <w:t>1 595</w:t>
            </w: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1 702</w:t>
            </w:r>
          </w:p>
        </w:tc>
      </w:tr>
      <w:tr w:rsidR="00565FD5" w:rsidRPr="00443EFC" w:rsidTr="00AB62A3">
        <w:trPr>
          <w:trHeight w:val="198"/>
        </w:trPr>
        <w:tc>
          <w:tcPr>
            <w:tcW w:w="2043" w:type="pct"/>
            <w:tcBorders>
              <w:left w:val="single" w:sz="4" w:space="0" w:color="auto"/>
            </w:tcBorders>
          </w:tcPr>
          <w:p w:rsidR="00565FD5" w:rsidRPr="00443EFC" w:rsidRDefault="00565FD5" w:rsidP="00AB62A3">
            <w:pPr>
              <w:ind w:left="57" w:right="57"/>
              <w:rPr>
                <w:rFonts w:eastAsia="Arial Unicode MS" w:cs="Tahoma"/>
                <w:b/>
                <w:bCs/>
                <w:sz w:val="15"/>
                <w:szCs w:val="15"/>
              </w:rPr>
            </w:pPr>
            <w:r w:rsidRPr="00443EFC">
              <w:rPr>
                <w:rFonts w:eastAsia="Arial Unicode MS" w:cs="Tahoma"/>
                <w:b/>
                <w:sz w:val="15"/>
                <w:szCs w:val="15"/>
              </w:rPr>
              <w:t>Sermayede Yabancı Payı (Yüzde)</w:t>
            </w:r>
          </w:p>
        </w:tc>
        <w:tc>
          <w:tcPr>
            <w:tcW w:w="726" w:type="pct"/>
          </w:tcPr>
          <w:p w:rsidR="00565FD5" w:rsidRPr="00443EFC" w:rsidRDefault="00565FD5" w:rsidP="00AB62A3">
            <w:pPr>
              <w:ind w:left="57" w:right="57"/>
              <w:jc w:val="right"/>
              <w:rPr>
                <w:rFonts w:eastAsia="Arial Unicode MS" w:cs="Tahoma"/>
                <w:b/>
                <w:bCs/>
                <w:sz w:val="15"/>
                <w:szCs w:val="15"/>
              </w:rPr>
            </w:pPr>
            <w:r w:rsidRPr="00443EFC">
              <w:rPr>
                <w:rFonts w:eastAsia="Arial Unicode MS" w:cs="Tahoma"/>
                <w:b/>
                <w:bCs/>
                <w:sz w:val="15"/>
                <w:szCs w:val="15"/>
              </w:rPr>
              <w:t>55,0</w:t>
            </w:r>
          </w:p>
        </w:tc>
        <w:tc>
          <w:tcPr>
            <w:tcW w:w="674" w:type="pct"/>
          </w:tcPr>
          <w:p w:rsidR="00565FD5" w:rsidRPr="00443EFC" w:rsidRDefault="00565FD5" w:rsidP="00AB62A3">
            <w:pPr>
              <w:ind w:left="57" w:right="57"/>
              <w:jc w:val="right"/>
              <w:rPr>
                <w:rFonts w:eastAsia="Arial Unicode MS" w:cs="Tahoma"/>
                <w:b/>
                <w:bCs/>
                <w:sz w:val="15"/>
                <w:szCs w:val="15"/>
              </w:rPr>
            </w:pPr>
            <w:r w:rsidRPr="00443EFC">
              <w:rPr>
                <w:rFonts w:eastAsia="Arial Unicode MS" w:cs="Tahoma"/>
                <w:b/>
                <w:bCs/>
                <w:sz w:val="15"/>
                <w:szCs w:val="15"/>
              </w:rPr>
              <w:t>58,8</w:t>
            </w:r>
          </w:p>
        </w:tc>
        <w:tc>
          <w:tcPr>
            <w:tcW w:w="778" w:type="pct"/>
          </w:tcPr>
          <w:p w:rsidR="00565FD5" w:rsidRPr="00443EFC" w:rsidRDefault="00565FD5" w:rsidP="00AB62A3">
            <w:pPr>
              <w:ind w:left="57" w:right="57"/>
              <w:jc w:val="right"/>
              <w:rPr>
                <w:rFonts w:eastAsia="Arial Unicode MS" w:cs="Tahoma"/>
                <w:b/>
                <w:bCs/>
                <w:sz w:val="15"/>
                <w:szCs w:val="15"/>
              </w:rPr>
            </w:pPr>
            <w:r w:rsidRPr="00443EFC">
              <w:rPr>
                <w:rFonts w:eastAsia="Arial Unicode MS" w:cs="Tahoma"/>
                <w:b/>
                <w:bCs/>
                <w:sz w:val="15"/>
                <w:szCs w:val="15"/>
              </w:rPr>
              <w:t>67,2</w:t>
            </w: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
                <w:bCs/>
                <w:sz w:val="15"/>
                <w:szCs w:val="15"/>
                <w:lang w:eastAsia="tr-TR"/>
              </w:rPr>
            </w:pPr>
            <w:r w:rsidRPr="00443EFC">
              <w:rPr>
                <w:rFonts w:cs="Tahoma"/>
                <w:b/>
                <w:bCs/>
                <w:sz w:val="15"/>
                <w:szCs w:val="15"/>
                <w:lang w:eastAsia="tr-TR"/>
              </w:rPr>
              <w:t>66,1</w:t>
            </w:r>
          </w:p>
        </w:tc>
      </w:tr>
      <w:tr w:rsidR="00565FD5" w:rsidRPr="00443EFC" w:rsidTr="00AB62A3">
        <w:trPr>
          <w:trHeight w:val="198"/>
        </w:trPr>
        <w:tc>
          <w:tcPr>
            <w:tcW w:w="2043" w:type="pct"/>
            <w:tcBorders>
              <w:left w:val="single" w:sz="4" w:space="0" w:color="auto"/>
            </w:tcBorders>
          </w:tcPr>
          <w:p w:rsidR="00565FD5" w:rsidRPr="00443EFC" w:rsidRDefault="00565FD5" w:rsidP="00AB62A3">
            <w:pPr>
              <w:ind w:left="57" w:right="57"/>
              <w:rPr>
                <w:rFonts w:eastAsia="Arial Unicode MS" w:cs="Tahoma"/>
                <w:sz w:val="15"/>
                <w:szCs w:val="15"/>
              </w:rPr>
            </w:pPr>
            <w:r w:rsidRPr="00443EFC">
              <w:rPr>
                <w:rFonts w:eastAsia="Arial Unicode MS" w:cs="Tahoma"/>
                <w:sz w:val="15"/>
                <w:szCs w:val="15"/>
              </w:rPr>
              <w:t xml:space="preserve">  Hayat Dışı Şirketler</w:t>
            </w:r>
          </w:p>
        </w:tc>
        <w:tc>
          <w:tcPr>
            <w:tcW w:w="726"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55,0</w:t>
            </w:r>
          </w:p>
        </w:tc>
        <w:tc>
          <w:tcPr>
            <w:tcW w:w="674"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58,2</w:t>
            </w:r>
          </w:p>
        </w:tc>
        <w:tc>
          <w:tcPr>
            <w:tcW w:w="778"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64,5</w:t>
            </w: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63,4</w:t>
            </w:r>
          </w:p>
        </w:tc>
      </w:tr>
      <w:tr w:rsidR="00565FD5" w:rsidRPr="00443EFC" w:rsidTr="00AB62A3">
        <w:trPr>
          <w:trHeight w:val="198"/>
        </w:trPr>
        <w:tc>
          <w:tcPr>
            <w:tcW w:w="2043" w:type="pct"/>
            <w:tcBorders>
              <w:left w:val="single" w:sz="4" w:space="0" w:color="auto"/>
            </w:tcBorders>
          </w:tcPr>
          <w:p w:rsidR="00565FD5" w:rsidRPr="00443EFC" w:rsidRDefault="00565FD5" w:rsidP="00AB62A3">
            <w:pPr>
              <w:ind w:left="57" w:right="57"/>
              <w:rPr>
                <w:rFonts w:eastAsia="Arial Unicode MS" w:cs="Tahoma"/>
                <w:sz w:val="15"/>
                <w:szCs w:val="15"/>
              </w:rPr>
            </w:pPr>
            <w:r w:rsidRPr="00443EFC">
              <w:rPr>
                <w:rFonts w:eastAsia="Arial Unicode MS" w:cs="Tahoma"/>
                <w:sz w:val="15"/>
                <w:szCs w:val="15"/>
              </w:rPr>
              <w:t xml:space="preserve">  Hayat/Emeklilik Şirketleri</w:t>
            </w:r>
          </w:p>
        </w:tc>
        <w:tc>
          <w:tcPr>
            <w:tcW w:w="726"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54,8</w:t>
            </w:r>
          </w:p>
        </w:tc>
        <w:tc>
          <w:tcPr>
            <w:tcW w:w="674"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60,7</w:t>
            </w:r>
          </w:p>
        </w:tc>
        <w:tc>
          <w:tcPr>
            <w:tcW w:w="778"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72,9</w:t>
            </w: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72,1</w:t>
            </w:r>
          </w:p>
        </w:tc>
      </w:tr>
      <w:tr w:rsidR="00565FD5" w:rsidRPr="00443EFC" w:rsidTr="00AB62A3">
        <w:trPr>
          <w:trHeight w:val="198"/>
        </w:trPr>
        <w:tc>
          <w:tcPr>
            <w:tcW w:w="2043" w:type="pct"/>
            <w:tcBorders>
              <w:left w:val="single" w:sz="4" w:space="0" w:color="auto"/>
            </w:tcBorders>
          </w:tcPr>
          <w:p w:rsidR="00565FD5" w:rsidRPr="00443EFC" w:rsidRDefault="00565FD5" w:rsidP="00AB62A3">
            <w:pPr>
              <w:ind w:left="57" w:right="57"/>
              <w:rPr>
                <w:rFonts w:eastAsia="Arial Unicode MS" w:cs="Tahoma"/>
                <w:b/>
                <w:sz w:val="15"/>
                <w:szCs w:val="15"/>
              </w:rPr>
            </w:pPr>
            <w:r w:rsidRPr="00443EFC">
              <w:rPr>
                <w:rFonts w:eastAsia="Arial Unicode MS" w:cs="Tahoma"/>
                <w:b/>
                <w:sz w:val="15"/>
                <w:szCs w:val="15"/>
              </w:rPr>
              <w:t>Direkt Prim Üretimi (Milyon TL)</w:t>
            </w:r>
          </w:p>
        </w:tc>
        <w:tc>
          <w:tcPr>
            <w:tcW w:w="726" w:type="pct"/>
          </w:tcPr>
          <w:p w:rsidR="00565FD5" w:rsidRPr="00443EFC" w:rsidRDefault="00565FD5" w:rsidP="00AB62A3">
            <w:pPr>
              <w:ind w:left="57" w:right="57"/>
              <w:jc w:val="right"/>
              <w:rPr>
                <w:rFonts w:eastAsia="Arial Unicode MS" w:cs="Tahoma"/>
                <w:b/>
                <w:sz w:val="15"/>
                <w:szCs w:val="15"/>
              </w:rPr>
            </w:pPr>
            <w:r w:rsidRPr="00443EFC">
              <w:rPr>
                <w:rFonts w:eastAsia="Arial Unicode MS" w:cs="Tahoma"/>
                <w:b/>
                <w:sz w:val="15"/>
                <w:szCs w:val="15"/>
              </w:rPr>
              <w:t>12 193</w:t>
            </w:r>
          </w:p>
        </w:tc>
        <w:tc>
          <w:tcPr>
            <w:tcW w:w="674" w:type="pct"/>
          </w:tcPr>
          <w:p w:rsidR="00565FD5" w:rsidRPr="00443EFC" w:rsidRDefault="00565FD5" w:rsidP="00AB62A3">
            <w:pPr>
              <w:ind w:left="57" w:right="57"/>
              <w:jc w:val="right"/>
              <w:rPr>
                <w:rFonts w:eastAsia="Arial Unicode MS" w:cs="Tahoma"/>
                <w:b/>
                <w:sz w:val="15"/>
                <w:szCs w:val="15"/>
              </w:rPr>
            </w:pPr>
            <w:r w:rsidRPr="00443EFC">
              <w:rPr>
                <w:rFonts w:eastAsia="Arial Unicode MS" w:cs="Tahoma"/>
                <w:b/>
                <w:sz w:val="15"/>
                <w:szCs w:val="15"/>
              </w:rPr>
              <w:t>13 822</w:t>
            </w:r>
          </w:p>
        </w:tc>
        <w:tc>
          <w:tcPr>
            <w:tcW w:w="778" w:type="pct"/>
          </w:tcPr>
          <w:p w:rsidR="00565FD5" w:rsidRPr="00443EFC" w:rsidRDefault="00565FD5" w:rsidP="00AB62A3">
            <w:pPr>
              <w:ind w:left="57" w:right="57"/>
              <w:jc w:val="right"/>
              <w:rPr>
                <w:rFonts w:eastAsia="Arial Unicode MS" w:cs="Tahoma"/>
                <w:b/>
                <w:sz w:val="15"/>
                <w:szCs w:val="15"/>
              </w:rPr>
            </w:pPr>
            <w:r w:rsidRPr="00443EFC">
              <w:rPr>
                <w:rFonts w:eastAsia="Arial Unicode MS" w:cs="Tahoma"/>
                <w:b/>
                <w:sz w:val="15"/>
                <w:szCs w:val="15"/>
              </w:rPr>
              <w:t>16 791</w:t>
            </w: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
                <w:bCs/>
                <w:sz w:val="15"/>
                <w:szCs w:val="15"/>
                <w:lang w:eastAsia="tr-TR"/>
              </w:rPr>
            </w:pPr>
            <w:r w:rsidRPr="00443EFC">
              <w:rPr>
                <w:rFonts w:cs="Tahoma"/>
                <w:b/>
                <w:bCs/>
                <w:sz w:val="15"/>
                <w:szCs w:val="15"/>
                <w:lang w:eastAsia="tr-TR"/>
              </w:rPr>
              <w:t>10 055</w:t>
            </w:r>
          </w:p>
        </w:tc>
      </w:tr>
      <w:tr w:rsidR="00565FD5" w:rsidRPr="00443EFC" w:rsidTr="00AB62A3">
        <w:trPr>
          <w:trHeight w:val="198"/>
        </w:trPr>
        <w:tc>
          <w:tcPr>
            <w:tcW w:w="2043" w:type="pct"/>
            <w:tcBorders>
              <w:left w:val="single" w:sz="4" w:space="0" w:color="auto"/>
            </w:tcBorders>
            <w:vAlign w:val="center"/>
          </w:tcPr>
          <w:p w:rsidR="00565FD5" w:rsidRPr="00443EFC" w:rsidRDefault="00565FD5" w:rsidP="00AB62A3">
            <w:pPr>
              <w:tabs>
                <w:tab w:val="left" w:pos="0"/>
              </w:tabs>
              <w:ind w:left="57" w:right="57" w:firstLine="108"/>
              <w:rPr>
                <w:rFonts w:cs="Tahoma"/>
                <w:sz w:val="15"/>
                <w:szCs w:val="15"/>
                <w:lang w:eastAsia="tr-TR"/>
              </w:rPr>
            </w:pPr>
            <w:r w:rsidRPr="00443EFC">
              <w:rPr>
                <w:rFonts w:cs="Tahoma"/>
                <w:sz w:val="15"/>
                <w:szCs w:val="15"/>
                <w:lang w:eastAsia="tr-TR"/>
              </w:rPr>
              <w:t>Hayat Dışı Şirketler</w:t>
            </w:r>
          </w:p>
        </w:tc>
        <w:tc>
          <w:tcPr>
            <w:tcW w:w="726"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10 371</w:t>
            </w:r>
          </w:p>
        </w:tc>
        <w:tc>
          <w:tcPr>
            <w:tcW w:w="674"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11 673</w:t>
            </w:r>
          </w:p>
        </w:tc>
        <w:tc>
          <w:tcPr>
            <w:tcW w:w="778"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14 154</w:t>
            </w: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8 359</w:t>
            </w:r>
          </w:p>
        </w:tc>
      </w:tr>
      <w:tr w:rsidR="00565FD5" w:rsidRPr="00443EFC" w:rsidTr="00AB62A3">
        <w:trPr>
          <w:trHeight w:val="198"/>
        </w:trPr>
        <w:tc>
          <w:tcPr>
            <w:tcW w:w="2043" w:type="pct"/>
            <w:tcBorders>
              <w:left w:val="single" w:sz="4" w:space="0" w:color="auto"/>
            </w:tcBorders>
            <w:vAlign w:val="center"/>
          </w:tcPr>
          <w:p w:rsidR="00565FD5" w:rsidRPr="00443EFC" w:rsidRDefault="00565FD5" w:rsidP="00AB62A3">
            <w:pPr>
              <w:tabs>
                <w:tab w:val="left" w:pos="0"/>
              </w:tabs>
              <w:ind w:left="57" w:right="57" w:firstLine="108"/>
              <w:rPr>
                <w:rFonts w:cs="Tahoma"/>
                <w:sz w:val="15"/>
                <w:szCs w:val="15"/>
                <w:lang w:eastAsia="tr-TR"/>
              </w:rPr>
            </w:pPr>
            <w:r w:rsidRPr="00443EFC">
              <w:rPr>
                <w:rFonts w:cs="Tahoma"/>
                <w:sz w:val="15"/>
                <w:szCs w:val="15"/>
                <w:lang w:eastAsia="tr-TR"/>
              </w:rPr>
              <w:t>Hayat/Emeklilik</w:t>
            </w:r>
          </w:p>
        </w:tc>
        <w:tc>
          <w:tcPr>
            <w:tcW w:w="726"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1 822</w:t>
            </w:r>
          </w:p>
        </w:tc>
        <w:tc>
          <w:tcPr>
            <w:tcW w:w="674"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2 148</w:t>
            </w:r>
          </w:p>
        </w:tc>
        <w:tc>
          <w:tcPr>
            <w:tcW w:w="778"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2 637</w:t>
            </w: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1 696</w:t>
            </w:r>
          </w:p>
        </w:tc>
      </w:tr>
      <w:tr w:rsidR="00565FD5" w:rsidRPr="00443EFC" w:rsidTr="00AB62A3">
        <w:trPr>
          <w:trHeight w:val="198"/>
        </w:trPr>
        <w:tc>
          <w:tcPr>
            <w:tcW w:w="2043" w:type="pct"/>
            <w:tcBorders>
              <w:left w:val="single" w:sz="4" w:space="0" w:color="auto"/>
            </w:tcBorders>
          </w:tcPr>
          <w:p w:rsidR="00565FD5" w:rsidRPr="00443EFC" w:rsidRDefault="00565FD5" w:rsidP="00AB62A3">
            <w:pPr>
              <w:ind w:left="57" w:right="57"/>
              <w:rPr>
                <w:rFonts w:eastAsia="Arial Unicode MS" w:cs="Tahoma"/>
                <w:b/>
                <w:bCs/>
                <w:sz w:val="15"/>
                <w:szCs w:val="15"/>
              </w:rPr>
            </w:pPr>
            <w:r w:rsidRPr="00443EFC">
              <w:rPr>
                <w:rFonts w:eastAsia="Arial Unicode MS" w:cs="Tahoma"/>
                <w:b/>
                <w:bCs/>
                <w:sz w:val="15"/>
                <w:szCs w:val="15"/>
              </w:rPr>
              <w:t>Performans (Milyon TL)</w:t>
            </w:r>
          </w:p>
        </w:tc>
        <w:tc>
          <w:tcPr>
            <w:tcW w:w="726" w:type="pct"/>
          </w:tcPr>
          <w:p w:rsidR="00565FD5" w:rsidRPr="00443EFC" w:rsidRDefault="00565FD5" w:rsidP="00AB62A3">
            <w:pPr>
              <w:tabs>
                <w:tab w:val="left" w:pos="1110"/>
              </w:tabs>
              <w:ind w:left="57" w:right="57"/>
              <w:rPr>
                <w:rFonts w:eastAsia="Arial Unicode MS" w:cs="Tahoma"/>
                <w:sz w:val="15"/>
                <w:szCs w:val="15"/>
              </w:rPr>
            </w:pPr>
            <w:r w:rsidRPr="00443EFC">
              <w:rPr>
                <w:rFonts w:eastAsia="Arial Unicode MS" w:cs="Tahoma"/>
                <w:sz w:val="15"/>
                <w:szCs w:val="15"/>
              </w:rPr>
              <w:tab/>
            </w:r>
            <w:r w:rsidRPr="00443EFC">
              <w:rPr>
                <w:rFonts w:eastAsia="Arial Unicode MS" w:cs="Tahoma"/>
                <w:sz w:val="15"/>
                <w:szCs w:val="15"/>
              </w:rPr>
              <w:tab/>
            </w:r>
          </w:p>
        </w:tc>
        <w:tc>
          <w:tcPr>
            <w:tcW w:w="674" w:type="pct"/>
          </w:tcPr>
          <w:p w:rsidR="00565FD5" w:rsidRPr="00443EFC" w:rsidRDefault="00565FD5" w:rsidP="00AB62A3">
            <w:pPr>
              <w:ind w:left="57" w:right="57"/>
              <w:jc w:val="right"/>
              <w:rPr>
                <w:rFonts w:eastAsia="Arial Unicode MS" w:cs="Tahoma"/>
                <w:sz w:val="15"/>
                <w:szCs w:val="15"/>
              </w:rPr>
            </w:pPr>
          </w:p>
        </w:tc>
        <w:tc>
          <w:tcPr>
            <w:tcW w:w="778" w:type="pct"/>
          </w:tcPr>
          <w:p w:rsidR="00565FD5" w:rsidRPr="00443EFC" w:rsidRDefault="00565FD5" w:rsidP="00AB62A3">
            <w:pPr>
              <w:ind w:left="57" w:right="57"/>
              <w:jc w:val="right"/>
              <w:rPr>
                <w:rFonts w:eastAsia="Arial Unicode MS" w:cs="Tahoma"/>
                <w:sz w:val="15"/>
                <w:szCs w:val="15"/>
              </w:rPr>
            </w:pP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 </w:t>
            </w:r>
          </w:p>
        </w:tc>
      </w:tr>
      <w:tr w:rsidR="00565FD5" w:rsidRPr="00443EFC" w:rsidTr="00AB62A3">
        <w:trPr>
          <w:trHeight w:val="198"/>
        </w:trPr>
        <w:tc>
          <w:tcPr>
            <w:tcW w:w="2043" w:type="pct"/>
            <w:tcBorders>
              <w:left w:val="single" w:sz="4" w:space="0" w:color="auto"/>
            </w:tcBorders>
          </w:tcPr>
          <w:p w:rsidR="00565FD5" w:rsidRPr="00443EFC" w:rsidRDefault="00565FD5" w:rsidP="00AB62A3">
            <w:pPr>
              <w:ind w:left="57" w:right="57"/>
              <w:rPr>
                <w:rFonts w:eastAsia="Arial Unicode MS" w:cs="Tahoma"/>
                <w:sz w:val="15"/>
                <w:szCs w:val="15"/>
              </w:rPr>
            </w:pPr>
            <w:r w:rsidRPr="00443EFC">
              <w:rPr>
                <w:rFonts w:eastAsia="Arial Unicode MS" w:cs="Tahoma"/>
                <w:sz w:val="15"/>
                <w:szCs w:val="15"/>
              </w:rPr>
              <w:t xml:space="preserve">  Net Dönem Kârı</w:t>
            </w:r>
          </w:p>
        </w:tc>
        <w:tc>
          <w:tcPr>
            <w:tcW w:w="726"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543</w:t>
            </w:r>
          </w:p>
        </w:tc>
        <w:tc>
          <w:tcPr>
            <w:tcW w:w="674"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179</w:t>
            </w:r>
          </w:p>
        </w:tc>
        <w:tc>
          <w:tcPr>
            <w:tcW w:w="778"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184</w:t>
            </w: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170</w:t>
            </w:r>
          </w:p>
        </w:tc>
      </w:tr>
      <w:tr w:rsidR="00565FD5" w:rsidRPr="00443EFC" w:rsidTr="00AB62A3">
        <w:trPr>
          <w:trHeight w:val="198"/>
        </w:trPr>
        <w:tc>
          <w:tcPr>
            <w:tcW w:w="2043" w:type="pct"/>
            <w:tcBorders>
              <w:left w:val="single" w:sz="4" w:space="0" w:color="auto"/>
            </w:tcBorders>
          </w:tcPr>
          <w:p w:rsidR="00565FD5" w:rsidRPr="00443EFC" w:rsidRDefault="00565FD5" w:rsidP="00AB62A3">
            <w:pPr>
              <w:ind w:left="57" w:right="57"/>
              <w:rPr>
                <w:rFonts w:eastAsia="Arial Unicode MS" w:cs="Tahoma"/>
                <w:sz w:val="15"/>
                <w:szCs w:val="15"/>
              </w:rPr>
            </w:pPr>
            <w:r w:rsidRPr="00443EFC">
              <w:rPr>
                <w:rFonts w:eastAsia="Arial Unicode MS" w:cs="Tahoma"/>
                <w:sz w:val="15"/>
                <w:szCs w:val="15"/>
              </w:rPr>
              <w:t xml:space="preserve">    Hayat Dışı Şirketler</w:t>
            </w:r>
          </w:p>
        </w:tc>
        <w:tc>
          <w:tcPr>
            <w:tcW w:w="726"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181</w:t>
            </w:r>
          </w:p>
        </w:tc>
        <w:tc>
          <w:tcPr>
            <w:tcW w:w="674"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-186</w:t>
            </w:r>
          </w:p>
        </w:tc>
        <w:tc>
          <w:tcPr>
            <w:tcW w:w="778"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-16</w:t>
            </w: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-129</w:t>
            </w:r>
          </w:p>
        </w:tc>
      </w:tr>
      <w:tr w:rsidR="00565FD5" w:rsidRPr="00443EFC" w:rsidTr="00AB62A3">
        <w:trPr>
          <w:trHeight w:val="198"/>
        </w:trPr>
        <w:tc>
          <w:tcPr>
            <w:tcW w:w="2043" w:type="pct"/>
            <w:tcBorders>
              <w:left w:val="single" w:sz="4" w:space="0" w:color="auto"/>
            </w:tcBorders>
          </w:tcPr>
          <w:p w:rsidR="00565FD5" w:rsidRPr="00443EFC" w:rsidRDefault="00565FD5" w:rsidP="00AB62A3">
            <w:pPr>
              <w:ind w:left="57" w:right="57"/>
              <w:rPr>
                <w:rFonts w:eastAsia="Arial Unicode MS" w:cs="Tahoma"/>
                <w:sz w:val="15"/>
                <w:szCs w:val="15"/>
              </w:rPr>
            </w:pPr>
            <w:r w:rsidRPr="00443EFC">
              <w:rPr>
                <w:rFonts w:eastAsia="Arial Unicode MS" w:cs="Tahoma"/>
                <w:sz w:val="15"/>
                <w:szCs w:val="15"/>
              </w:rPr>
              <w:t xml:space="preserve">    Hayat/Emeklilik Şirketleri</w:t>
            </w:r>
          </w:p>
        </w:tc>
        <w:tc>
          <w:tcPr>
            <w:tcW w:w="726"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273</w:t>
            </w:r>
          </w:p>
        </w:tc>
        <w:tc>
          <w:tcPr>
            <w:tcW w:w="674"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301</w:t>
            </w:r>
          </w:p>
        </w:tc>
        <w:tc>
          <w:tcPr>
            <w:tcW w:w="778"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345</w:t>
            </w: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221</w:t>
            </w:r>
          </w:p>
        </w:tc>
      </w:tr>
      <w:tr w:rsidR="00565FD5" w:rsidRPr="00443EFC" w:rsidTr="00AB62A3">
        <w:trPr>
          <w:trHeight w:val="198"/>
        </w:trPr>
        <w:tc>
          <w:tcPr>
            <w:tcW w:w="2043" w:type="pct"/>
            <w:tcBorders>
              <w:left w:val="single" w:sz="4" w:space="0" w:color="auto"/>
            </w:tcBorders>
          </w:tcPr>
          <w:p w:rsidR="00565FD5" w:rsidRPr="00443EFC" w:rsidRDefault="00565FD5" w:rsidP="00AB62A3">
            <w:pPr>
              <w:ind w:left="57" w:right="57"/>
              <w:rPr>
                <w:rFonts w:eastAsia="Arial Unicode MS" w:cs="Tahoma"/>
                <w:sz w:val="15"/>
                <w:szCs w:val="15"/>
              </w:rPr>
            </w:pPr>
            <w:r w:rsidRPr="00443EFC">
              <w:rPr>
                <w:rFonts w:eastAsia="Arial Unicode MS" w:cs="Tahoma"/>
                <w:sz w:val="15"/>
                <w:szCs w:val="15"/>
              </w:rPr>
              <w:t xml:space="preserve">    Reasürans Şirketleri</w:t>
            </w:r>
          </w:p>
        </w:tc>
        <w:tc>
          <w:tcPr>
            <w:tcW w:w="726"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89</w:t>
            </w:r>
          </w:p>
        </w:tc>
        <w:tc>
          <w:tcPr>
            <w:tcW w:w="674"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64</w:t>
            </w:r>
          </w:p>
        </w:tc>
        <w:tc>
          <w:tcPr>
            <w:tcW w:w="778"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-145</w:t>
            </w: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77</w:t>
            </w:r>
          </w:p>
        </w:tc>
      </w:tr>
      <w:tr w:rsidR="00565FD5" w:rsidRPr="00443EFC" w:rsidTr="00AB62A3">
        <w:trPr>
          <w:trHeight w:val="198"/>
        </w:trPr>
        <w:tc>
          <w:tcPr>
            <w:tcW w:w="2043" w:type="pct"/>
            <w:tcBorders>
              <w:left w:val="single" w:sz="4" w:space="0" w:color="auto"/>
            </w:tcBorders>
          </w:tcPr>
          <w:p w:rsidR="00565FD5" w:rsidRPr="00443EFC" w:rsidRDefault="00565FD5" w:rsidP="00AB62A3">
            <w:pPr>
              <w:ind w:left="57" w:right="57"/>
              <w:rPr>
                <w:rFonts w:eastAsia="Arial Unicode MS" w:cs="Tahoma"/>
                <w:sz w:val="15"/>
                <w:szCs w:val="15"/>
              </w:rPr>
            </w:pPr>
            <w:r w:rsidRPr="00443EFC">
              <w:rPr>
                <w:rFonts w:eastAsia="Arial Unicode MS" w:cs="Tahoma"/>
                <w:sz w:val="15"/>
                <w:szCs w:val="15"/>
              </w:rPr>
              <w:t xml:space="preserve">  Net Kâr/Toplam Aktif (Yüzde)</w:t>
            </w:r>
          </w:p>
        </w:tc>
        <w:tc>
          <w:tcPr>
            <w:tcW w:w="726"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1,6</w:t>
            </w:r>
          </w:p>
        </w:tc>
        <w:tc>
          <w:tcPr>
            <w:tcW w:w="674"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0,5</w:t>
            </w:r>
          </w:p>
        </w:tc>
        <w:tc>
          <w:tcPr>
            <w:tcW w:w="778"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0,4</w:t>
            </w: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0,4</w:t>
            </w:r>
          </w:p>
        </w:tc>
      </w:tr>
      <w:tr w:rsidR="00565FD5" w:rsidRPr="00443EFC" w:rsidTr="00AB62A3">
        <w:trPr>
          <w:trHeight w:val="198"/>
        </w:trPr>
        <w:tc>
          <w:tcPr>
            <w:tcW w:w="2043" w:type="pct"/>
            <w:tcBorders>
              <w:left w:val="single" w:sz="4" w:space="0" w:color="auto"/>
            </w:tcBorders>
          </w:tcPr>
          <w:p w:rsidR="00565FD5" w:rsidRPr="00443EFC" w:rsidRDefault="00565FD5" w:rsidP="00AB62A3">
            <w:pPr>
              <w:ind w:left="57" w:right="57"/>
              <w:rPr>
                <w:rFonts w:eastAsia="Arial Unicode MS" w:cs="Tahoma"/>
                <w:sz w:val="15"/>
                <w:szCs w:val="15"/>
              </w:rPr>
            </w:pPr>
            <w:r w:rsidRPr="00443EFC">
              <w:rPr>
                <w:rFonts w:eastAsia="Arial Unicode MS" w:cs="Tahoma"/>
                <w:sz w:val="15"/>
                <w:szCs w:val="15"/>
              </w:rPr>
              <w:t xml:space="preserve">  Net Kâr/Öz Sermaye (Yüzde)</w:t>
            </w:r>
          </w:p>
        </w:tc>
        <w:tc>
          <w:tcPr>
            <w:tcW w:w="726"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5,6</w:t>
            </w:r>
          </w:p>
        </w:tc>
        <w:tc>
          <w:tcPr>
            <w:tcW w:w="674"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2,2</w:t>
            </w:r>
          </w:p>
        </w:tc>
        <w:tc>
          <w:tcPr>
            <w:tcW w:w="778"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2,1</w:t>
            </w: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1,9</w:t>
            </w:r>
          </w:p>
        </w:tc>
      </w:tr>
      <w:tr w:rsidR="00565FD5" w:rsidRPr="00443EFC" w:rsidTr="00AB62A3">
        <w:trPr>
          <w:trHeight w:val="198"/>
        </w:trPr>
        <w:tc>
          <w:tcPr>
            <w:tcW w:w="2043" w:type="pct"/>
            <w:tcBorders>
              <w:left w:val="single" w:sz="4" w:space="0" w:color="auto"/>
            </w:tcBorders>
          </w:tcPr>
          <w:p w:rsidR="00565FD5" w:rsidRPr="00443EFC" w:rsidRDefault="00565FD5" w:rsidP="00AB62A3">
            <w:pPr>
              <w:ind w:left="57" w:right="57"/>
              <w:rPr>
                <w:rFonts w:eastAsia="Arial Unicode MS" w:cs="Tahoma"/>
                <w:b/>
                <w:bCs/>
                <w:sz w:val="15"/>
                <w:szCs w:val="15"/>
              </w:rPr>
            </w:pPr>
            <w:r w:rsidRPr="00443EFC">
              <w:rPr>
                <w:rFonts w:eastAsia="Arial Unicode MS" w:cs="Tahoma"/>
                <w:b/>
                <w:bCs/>
                <w:sz w:val="15"/>
                <w:szCs w:val="15"/>
              </w:rPr>
              <w:t>Teknik Göstergeler (Yüzde)</w:t>
            </w:r>
          </w:p>
        </w:tc>
        <w:tc>
          <w:tcPr>
            <w:tcW w:w="726" w:type="pct"/>
          </w:tcPr>
          <w:p w:rsidR="00565FD5" w:rsidRPr="00443EFC" w:rsidRDefault="00565FD5" w:rsidP="00AB62A3">
            <w:pPr>
              <w:ind w:left="57" w:right="57"/>
              <w:jc w:val="right"/>
              <w:rPr>
                <w:rFonts w:eastAsia="Arial Unicode MS" w:cs="Tahoma"/>
                <w:b/>
                <w:bCs/>
                <w:sz w:val="15"/>
                <w:szCs w:val="15"/>
              </w:rPr>
            </w:pPr>
          </w:p>
        </w:tc>
        <w:tc>
          <w:tcPr>
            <w:tcW w:w="674" w:type="pct"/>
          </w:tcPr>
          <w:p w:rsidR="00565FD5" w:rsidRPr="00443EFC" w:rsidRDefault="00565FD5" w:rsidP="00AB62A3">
            <w:pPr>
              <w:ind w:left="57" w:right="57"/>
              <w:jc w:val="right"/>
              <w:rPr>
                <w:rFonts w:eastAsia="Arial Unicode MS" w:cs="Tahoma"/>
                <w:b/>
                <w:bCs/>
                <w:sz w:val="15"/>
                <w:szCs w:val="15"/>
              </w:rPr>
            </w:pPr>
          </w:p>
        </w:tc>
        <w:tc>
          <w:tcPr>
            <w:tcW w:w="778" w:type="pct"/>
          </w:tcPr>
          <w:p w:rsidR="00565FD5" w:rsidRPr="00443EFC" w:rsidRDefault="00565FD5" w:rsidP="00AB62A3">
            <w:pPr>
              <w:ind w:left="57" w:right="57"/>
              <w:jc w:val="right"/>
              <w:rPr>
                <w:rFonts w:eastAsia="Arial Unicode MS" w:cs="Tahoma"/>
                <w:b/>
                <w:bCs/>
                <w:sz w:val="15"/>
                <w:szCs w:val="15"/>
              </w:rPr>
            </w:pP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 </w:t>
            </w:r>
          </w:p>
        </w:tc>
      </w:tr>
      <w:tr w:rsidR="00565FD5" w:rsidRPr="00443EFC" w:rsidTr="00AB62A3">
        <w:trPr>
          <w:trHeight w:val="198"/>
        </w:trPr>
        <w:tc>
          <w:tcPr>
            <w:tcW w:w="2043" w:type="pct"/>
            <w:tcBorders>
              <w:left w:val="single" w:sz="4" w:space="0" w:color="auto"/>
            </w:tcBorders>
          </w:tcPr>
          <w:p w:rsidR="00565FD5" w:rsidRPr="00443EFC" w:rsidRDefault="00565FD5" w:rsidP="00AB62A3">
            <w:pPr>
              <w:ind w:left="57" w:right="57"/>
              <w:rPr>
                <w:rFonts w:eastAsia="Arial Unicode MS" w:cs="Tahoma"/>
                <w:sz w:val="15"/>
                <w:szCs w:val="15"/>
              </w:rPr>
            </w:pPr>
            <w:r w:rsidRPr="00443EFC">
              <w:rPr>
                <w:rFonts w:eastAsia="Arial Unicode MS" w:cs="Tahoma"/>
                <w:sz w:val="15"/>
                <w:szCs w:val="15"/>
              </w:rPr>
              <w:t xml:space="preserve">  Konservasyon Oranı (2) </w:t>
            </w:r>
          </w:p>
        </w:tc>
        <w:tc>
          <w:tcPr>
            <w:tcW w:w="726" w:type="pct"/>
          </w:tcPr>
          <w:p w:rsidR="00565FD5" w:rsidRPr="00443EFC" w:rsidRDefault="00565FD5" w:rsidP="00AB62A3">
            <w:pPr>
              <w:ind w:left="57" w:right="57"/>
              <w:jc w:val="right"/>
              <w:rPr>
                <w:rFonts w:eastAsia="Arial Unicode MS" w:cs="Tahoma"/>
                <w:sz w:val="15"/>
                <w:szCs w:val="15"/>
              </w:rPr>
            </w:pPr>
          </w:p>
        </w:tc>
        <w:tc>
          <w:tcPr>
            <w:tcW w:w="674" w:type="pct"/>
          </w:tcPr>
          <w:p w:rsidR="00565FD5" w:rsidRPr="00443EFC" w:rsidRDefault="00565FD5" w:rsidP="00AB62A3">
            <w:pPr>
              <w:ind w:left="57" w:right="57"/>
              <w:jc w:val="right"/>
              <w:rPr>
                <w:rFonts w:eastAsia="Arial Unicode MS" w:cs="Tahoma"/>
                <w:sz w:val="15"/>
                <w:szCs w:val="15"/>
              </w:rPr>
            </w:pPr>
          </w:p>
        </w:tc>
        <w:tc>
          <w:tcPr>
            <w:tcW w:w="778" w:type="pct"/>
          </w:tcPr>
          <w:p w:rsidR="00565FD5" w:rsidRPr="00443EFC" w:rsidRDefault="00565FD5" w:rsidP="00AB62A3">
            <w:pPr>
              <w:ind w:left="57" w:right="57"/>
              <w:jc w:val="right"/>
              <w:rPr>
                <w:rFonts w:eastAsia="Arial Unicode MS" w:cs="Tahoma"/>
                <w:sz w:val="15"/>
                <w:szCs w:val="15"/>
              </w:rPr>
            </w:pP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 </w:t>
            </w:r>
          </w:p>
        </w:tc>
      </w:tr>
      <w:tr w:rsidR="00565FD5" w:rsidRPr="00443EFC" w:rsidTr="00AB62A3">
        <w:trPr>
          <w:trHeight w:val="198"/>
        </w:trPr>
        <w:tc>
          <w:tcPr>
            <w:tcW w:w="2043" w:type="pct"/>
            <w:tcBorders>
              <w:left w:val="single" w:sz="4" w:space="0" w:color="auto"/>
            </w:tcBorders>
          </w:tcPr>
          <w:p w:rsidR="00565FD5" w:rsidRPr="00443EFC" w:rsidRDefault="00565FD5" w:rsidP="00AB62A3">
            <w:pPr>
              <w:ind w:left="57" w:right="57"/>
              <w:rPr>
                <w:rFonts w:eastAsia="Arial Unicode MS" w:cs="Tahoma"/>
                <w:sz w:val="15"/>
                <w:szCs w:val="15"/>
              </w:rPr>
            </w:pPr>
            <w:r w:rsidRPr="00443EFC">
              <w:rPr>
                <w:rFonts w:eastAsia="Arial Unicode MS" w:cs="Tahoma"/>
                <w:sz w:val="15"/>
                <w:szCs w:val="15"/>
              </w:rPr>
              <w:t xml:space="preserve">    Hayat Dışı Şirketler</w:t>
            </w:r>
          </w:p>
        </w:tc>
        <w:tc>
          <w:tcPr>
            <w:tcW w:w="726"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75,5</w:t>
            </w:r>
          </w:p>
        </w:tc>
        <w:tc>
          <w:tcPr>
            <w:tcW w:w="674"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79,9</w:t>
            </w:r>
          </w:p>
        </w:tc>
        <w:tc>
          <w:tcPr>
            <w:tcW w:w="778"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80,1</w:t>
            </w: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71,9</w:t>
            </w:r>
          </w:p>
        </w:tc>
      </w:tr>
      <w:tr w:rsidR="00565FD5" w:rsidRPr="00443EFC" w:rsidTr="00AB62A3">
        <w:trPr>
          <w:trHeight w:val="198"/>
        </w:trPr>
        <w:tc>
          <w:tcPr>
            <w:tcW w:w="2043" w:type="pct"/>
            <w:tcBorders>
              <w:left w:val="single" w:sz="4" w:space="0" w:color="auto"/>
            </w:tcBorders>
          </w:tcPr>
          <w:p w:rsidR="00565FD5" w:rsidRPr="00443EFC" w:rsidRDefault="00565FD5" w:rsidP="00AB62A3">
            <w:pPr>
              <w:ind w:left="57" w:right="57"/>
              <w:rPr>
                <w:rFonts w:eastAsia="Arial Unicode MS" w:cs="Tahoma"/>
                <w:sz w:val="15"/>
                <w:szCs w:val="15"/>
              </w:rPr>
            </w:pPr>
            <w:r w:rsidRPr="00443EFC">
              <w:rPr>
                <w:rFonts w:eastAsia="Arial Unicode MS" w:cs="Tahoma"/>
                <w:sz w:val="15"/>
                <w:szCs w:val="15"/>
              </w:rPr>
              <w:t xml:space="preserve">    Hayat/Emeklilik Şirketleri</w:t>
            </w:r>
          </w:p>
        </w:tc>
        <w:tc>
          <w:tcPr>
            <w:tcW w:w="726"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89,4</w:t>
            </w:r>
          </w:p>
        </w:tc>
        <w:tc>
          <w:tcPr>
            <w:tcW w:w="674"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73,3</w:t>
            </w:r>
          </w:p>
        </w:tc>
        <w:tc>
          <w:tcPr>
            <w:tcW w:w="778"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73,6</w:t>
            </w: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95,4</w:t>
            </w:r>
          </w:p>
        </w:tc>
      </w:tr>
      <w:tr w:rsidR="00565FD5" w:rsidRPr="00443EFC" w:rsidTr="00AB62A3">
        <w:trPr>
          <w:trHeight w:val="198"/>
        </w:trPr>
        <w:tc>
          <w:tcPr>
            <w:tcW w:w="2043" w:type="pct"/>
            <w:tcBorders>
              <w:left w:val="single" w:sz="4" w:space="0" w:color="auto"/>
            </w:tcBorders>
          </w:tcPr>
          <w:p w:rsidR="00565FD5" w:rsidRPr="00443EFC" w:rsidRDefault="00565FD5" w:rsidP="00AB62A3">
            <w:pPr>
              <w:ind w:left="57" w:right="57"/>
              <w:rPr>
                <w:rFonts w:eastAsia="Arial Unicode MS" w:cs="Tahoma"/>
                <w:sz w:val="15"/>
                <w:szCs w:val="15"/>
              </w:rPr>
            </w:pPr>
            <w:r w:rsidRPr="00443EFC">
              <w:rPr>
                <w:rFonts w:eastAsia="Arial Unicode MS" w:cs="Tahoma"/>
                <w:sz w:val="15"/>
                <w:szCs w:val="15"/>
              </w:rPr>
              <w:t xml:space="preserve">  Teknik Karlılık</w:t>
            </w:r>
          </w:p>
        </w:tc>
        <w:tc>
          <w:tcPr>
            <w:tcW w:w="726" w:type="pct"/>
          </w:tcPr>
          <w:p w:rsidR="00565FD5" w:rsidRPr="00443EFC" w:rsidRDefault="00565FD5" w:rsidP="00AB62A3">
            <w:pPr>
              <w:ind w:left="57" w:right="57"/>
              <w:jc w:val="right"/>
              <w:rPr>
                <w:rFonts w:eastAsia="Arial Unicode MS" w:cs="Tahoma"/>
                <w:sz w:val="15"/>
                <w:szCs w:val="15"/>
              </w:rPr>
            </w:pPr>
          </w:p>
        </w:tc>
        <w:tc>
          <w:tcPr>
            <w:tcW w:w="674" w:type="pct"/>
          </w:tcPr>
          <w:p w:rsidR="00565FD5" w:rsidRPr="00443EFC" w:rsidRDefault="00565FD5" w:rsidP="00AB62A3">
            <w:pPr>
              <w:ind w:left="57" w:right="57"/>
              <w:jc w:val="right"/>
              <w:rPr>
                <w:rFonts w:eastAsia="Arial Unicode MS" w:cs="Tahoma"/>
                <w:sz w:val="15"/>
                <w:szCs w:val="15"/>
              </w:rPr>
            </w:pPr>
          </w:p>
        </w:tc>
        <w:tc>
          <w:tcPr>
            <w:tcW w:w="778" w:type="pct"/>
          </w:tcPr>
          <w:p w:rsidR="00565FD5" w:rsidRPr="00443EFC" w:rsidRDefault="00565FD5" w:rsidP="00AB62A3">
            <w:pPr>
              <w:ind w:left="57" w:right="57"/>
              <w:jc w:val="right"/>
              <w:rPr>
                <w:rFonts w:eastAsia="Arial Unicode MS" w:cs="Tahoma"/>
                <w:sz w:val="15"/>
                <w:szCs w:val="15"/>
              </w:rPr>
            </w:pP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 </w:t>
            </w:r>
          </w:p>
        </w:tc>
      </w:tr>
      <w:tr w:rsidR="00565FD5" w:rsidRPr="00443EFC" w:rsidTr="00AB62A3">
        <w:trPr>
          <w:trHeight w:val="198"/>
        </w:trPr>
        <w:tc>
          <w:tcPr>
            <w:tcW w:w="2043" w:type="pct"/>
            <w:tcBorders>
              <w:left w:val="single" w:sz="4" w:space="0" w:color="auto"/>
            </w:tcBorders>
          </w:tcPr>
          <w:p w:rsidR="00565FD5" w:rsidRPr="00443EFC" w:rsidRDefault="00565FD5" w:rsidP="00AB62A3">
            <w:pPr>
              <w:ind w:left="57" w:right="57"/>
              <w:rPr>
                <w:rFonts w:eastAsia="Arial Unicode MS" w:cs="Tahoma"/>
                <w:sz w:val="15"/>
                <w:szCs w:val="15"/>
              </w:rPr>
            </w:pPr>
            <w:r w:rsidRPr="00443EFC">
              <w:rPr>
                <w:rFonts w:eastAsia="Arial Unicode MS" w:cs="Tahoma"/>
                <w:sz w:val="15"/>
                <w:szCs w:val="15"/>
              </w:rPr>
              <w:t xml:space="preserve">    Hayat Dışı Şirketler</w:t>
            </w:r>
          </w:p>
        </w:tc>
        <w:tc>
          <w:tcPr>
            <w:tcW w:w="726"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1,2</w:t>
            </w:r>
          </w:p>
        </w:tc>
        <w:tc>
          <w:tcPr>
            <w:tcW w:w="674"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0,0</w:t>
            </w:r>
          </w:p>
        </w:tc>
        <w:tc>
          <w:tcPr>
            <w:tcW w:w="778"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0,4</w:t>
            </w: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-0,8</w:t>
            </w:r>
          </w:p>
        </w:tc>
      </w:tr>
      <w:tr w:rsidR="00565FD5" w:rsidRPr="00443EFC" w:rsidTr="00AB62A3">
        <w:trPr>
          <w:trHeight w:val="198"/>
        </w:trPr>
        <w:tc>
          <w:tcPr>
            <w:tcW w:w="2043" w:type="pct"/>
            <w:tcBorders>
              <w:left w:val="single" w:sz="4" w:space="0" w:color="auto"/>
            </w:tcBorders>
          </w:tcPr>
          <w:p w:rsidR="00565FD5" w:rsidRPr="00443EFC" w:rsidRDefault="00565FD5" w:rsidP="00AB62A3">
            <w:pPr>
              <w:ind w:left="57" w:right="57"/>
              <w:rPr>
                <w:rFonts w:eastAsia="Arial Unicode MS" w:cs="Tahoma"/>
                <w:sz w:val="15"/>
                <w:szCs w:val="15"/>
              </w:rPr>
            </w:pPr>
            <w:r w:rsidRPr="00443EFC">
              <w:rPr>
                <w:rFonts w:eastAsia="Arial Unicode MS" w:cs="Tahoma"/>
                <w:sz w:val="15"/>
                <w:szCs w:val="15"/>
              </w:rPr>
              <w:lastRenderedPageBreak/>
              <w:t xml:space="preserve">    Hayat/Emeklilik Şirketleri</w:t>
            </w:r>
          </w:p>
        </w:tc>
        <w:tc>
          <w:tcPr>
            <w:tcW w:w="726"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3,9</w:t>
            </w:r>
          </w:p>
        </w:tc>
        <w:tc>
          <w:tcPr>
            <w:tcW w:w="674"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5,3</w:t>
            </w:r>
          </w:p>
        </w:tc>
        <w:tc>
          <w:tcPr>
            <w:tcW w:w="778"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6,3</w:t>
            </w: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7,5</w:t>
            </w:r>
          </w:p>
        </w:tc>
      </w:tr>
      <w:tr w:rsidR="00565FD5" w:rsidRPr="00443EFC" w:rsidTr="00AB62A3">
        <w:trPr>
          <w:trHeight w:val="198"/>
        </w:trPr>
        <w:tc>
          <w:tcPr>
            <w:tcW w:w="2043" w:type="pct"/>
            <w:tcBorders>
              <w:left w:val="single" w:sz="4" w:space="0" w:color="auto"/>
            </w:tcBorders>
          </w:tcPr>
          <w:p w:rsidR="00565FD5" w:rsidRPr="00443EFC" w:rsidRDefault="00565FD5" w:rsidP="00AB62A3">
            <w:pPr>
              <w:ind w:left="57" w:right="57"/>
              <w:rPr>
                <w:rFonts w:eastAsia="Arial Unicode MS" w:cs="Tahoma"/>
                <w:sz w:val="15"/>
                <w:szCs w:val="15"/>
              </w:rPr>
            </w:pPr>
            <w:r w:rsidRPr="00443EFC">
              <w:rPr>
                <w:rFonts w:eastAsia="Arial Unicode MS" w:cs="Tahoma"/>
                <w:sz w:val="15"/>
                <w:szCs w:val="15"/>
              </w:rPr>
              <w:t xml:space="preserve">  Direkt Prim Artış Hızı</w:t>
            </w:r>
          </w:p>
        </w:tc>
        <w:tc>
          <w:tcPr>
            <w:tcW w:w="726" w:type="pct"/>
          </w:tcPr>
          <w:p w:rsidR="00565FD5" w:rsidRPr="00443EFC" w:rsidRDefault="00565FD5" w:rsidP="00AB62A3">
            <w:pPr>
              <w:ind w:left="57" w:right="57"/>
              <w:jc w:val="right"/>
              <w:rPr>
                <w:rFonts w:eastAsia="Arial Unicode MS" w:cs="Tahoma"/>
                <w:sz w:val="15"/>
                <w:szCs w:val="15"/>
              </w:rPr>
            </w:pPr>
          </w:p>
        </w:tc>
        <w:tc>
          <w:tcPr>
            <w:tcW w:w="674" w:type="pct"/>
          </w:tcPr>
          <w:p w:rsidR="00565FD5" w:rsidRPr="00443EFC" w:rsidRDefault="00565FD5" w:rsidP="00AB62A3">
            <w:pPr>
              <w:ind w:left="57" w:right="57"/>
              <w:jc w:val="right"/>
              <w:rPr>
                <w:rFonts w:eastAsia="Arial Unicode MS" w:cs="Tahoma"/>
                <w:sz w:val="15"/>
                <w:szCs w:val="15"/>
              </w:rPr>
            </w:pPr>
          </w:p>
        </w:tc>
        <w:tc>
          <w:tcPr>
            <w:tcW w:w="778" w:type="pct"/>
          </w:tcPr>
          <w:p w:rsidR="00565FD5" w:rsidRPr="00443EFC" w:rsidRDefault="00565FD5" w:rsidP="00AB62A3">
            <w:pPr>
              <w:ind w:left="57" w:right="57"/>
              <w:jc w:val="right"/>
              <w:rPr>
                <w:rFonts w:eastAsia="Arial Unicode MS" w:cs="Tahoma"/>
                <w:sz w:val="15"/>
                <w:szCs w:val="15"/>
              </w:rPr>
            </w:pP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 </w:t>
            </w:r>
          </w:p>
        </w:tc>
      </w:tr>
      <w:tr w:rsidR="00565FD5" w:rsidRPr="00443EFC" w:rsidTr="00AB62A3">
        <w:trPr>
          <w:trHeight w:val="198"/>
        </w:trPr>
        <w:tc>
          <w:tcPr>
            <w:tcW w:w="2043" w:type="pct"/>
            <w:tcBorders>
              <w:left w:val="single" w:sz="4" w:space="0" w:color="auto"/>
            </w:tcBorders>
          </w:tcPr>
          <w:p w:rsidR="00565FD5" w:rsidRPr="00443EFC" w:rsidRDefault="00565FD5" w:rsidP="00AB62A3">
            <w:pPr>
              <w:ind w:left="57" w:right="57"/>
              <w:rPr>
                <w:rFonts w:eastAsia="Arial Unicode MS" w:cs="Tahoma"/>
                <w:sz w:val="15"/>
                <w:szCs w:val="15"/>
              </w:rPr>
            </w:pPr>
            <w:r w:rsidRPr="00443EFC">
              <w:rPr>
                <w:rFonts w:eastAsia="Arial Unicode MS" w:cs="Tahoma"/>
                <w:sz w:val="15"/>
                <w:szCs w:val="15"/>
              </w:rPr>
              <w:t xml:space="preserve">    Hayat Dışı Şirketler</w:t>
            </w:r>
          </w:p>
        </w:tc>
        <w:tc>
          <w:tcPr>
            <w:tcW w:w="726"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3,8</w:t>
            </w:r>
          </w:p>
        </w:tc>
        <w:tc>
          <w:tcPr>
            <w:tcW w:w="674"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12,6</w:t>
            </w:r>
          </w:p>
        </w:tc>
        <w:tc>
          <w:tcPr>
            <w:tcW w:w="778" w:type="pct"/>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21,3</w:t>
            </w:r>
          </w:p>
        </w:tc>
        <w:tc>
          <w:tcPr>
            <w:tcW w:w="778" w:type="pct"/>
            <w:tcBorders>
              <w:left w:val="nil"/>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17,1</w:t>
            </w:r>
          </w:p>
        </w:tc>
      </w:tr>
      <w:tr w:rsidR="00565FD5" w:rsidRPr="00443EFC" w:rsidTr="00AB62A3">
        <w:trPr>
          <w:trHeight w:val="198"/>
        </w:trPr>
        <w:tc>
          <w:tcPr>
            <w:tcW w:w="2043" w:type="pct"/>
            <w:tcBorders>
              <w:left w:val="single" w:sz="4" w:space="0" w:color="auto"/>
              <w:bottom w:val="single" w:sz="4" w:space="0" w:color="auto"/>
            </w:tcBorders>
          </w:tcPr>
          <w:p w:rsidR="00565FD5" w:rsidRPr="00443EFC" w:rsidRDefault="00565FD5" w:rsidP="00AB62A3">
            <w:pPr>
              <w:ind w:left="57" w:right="57"/>
              <w:rPr>
                <w:rFonts w:eastAsia="Arial Unicode MS" w:cs="Tahoma"/>
                <w:sz w:val="15"/>
                <w:szCs w:val="15"/>
              </w:rPr>
            </w:pPr>
            <w:r w:rsidRPr="00443EFC">
              <w:rPr>
                <w:rFonts w:eastAsia="Arial Unicode MS" w:cs="Tahoma"/>
                <w:sz w:val="15"/>
                <w:szCs w:val="15"/>
              </w:rPr>
              <w:t xml:space="preserve">    Hayat/Emeklilik Şirketleri</w:t>
            </w:r>
          </w:p>
        </w:tc>
        <w:tc>
          <w:tcPr>
            <w:tcW w:w="726" w:type="pct"/>
            <w:tcBorders>
              <w:bottom w:val="single" w:sz="4" w:space="0" w:color="auto"/>
            </w:tcBorders>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16,5</w:t>
            </w:r>
          </w:p>
        </w:tc>
        <w:tc>
          <w:tcPr>
            <w:tcW w:w="674" w:type="pct"/>
            <w:tcBorders>
              <w:bottom w:val="single" w:sz="4" w:space="0" w:color="auto"/>
            </w:tcBorders>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17,9</w:t>
            </w:r>
          </w:p>
        </w:tc>
        <w:tc>
          <w:tcPr>
            <w:tcW w:w="778" w:type="pct"/>
            <w:tcBorders>
              <w:bottom w:val="single" w:sz="4" w:space="0" w:color="auto"/>
            </w:tcBorders>
          </w:tcPr>
          <w:p w:rsidR="00565FD5" w:rsidRPr="00443EFC" w:rsidRDefault="00565FD5" w:rsidP="00AB62A3">
            <w:pPr>
              <w:ind w:left="57" w:right="57"/>
              <w:jc w:val="right"/>
              <w:rPr>
                <w:rFonts w:eastAsia="Arial Unicode MS" w:cs="Tahoma"/>
                <w:sz w:val="15"/>
                <w:szCs w:val="15"/>
              </w:rPr>
            </w:pPr>
            <w:r w:rsidRPr="00443EFC">
              <w:rPr>
                <w:rFonts w:eastAsia="Arial Unicode MS" w:cs="Tahoma"/>
                <w:sz w:val="15"/>
                <w:szCs w:val="15"/>
              </w:rPr>
              <w:t>22,7</w:t>
            </w:r>
          </w:p>
        </w:tc>
        <w:tc>
          <w:tcPr>
            <w:tcW w:w="778" w:type="pct"/>
            <w:tcBorders>
              <w:left w:val="nil"/>
              <w:bottom w:val="single" w:sz="4" w:space="0" w:color="auto"/>
              <w:right w:val="single" w:sz="4" w:space="0" w:color="auto"/>
            </w:tcBorders>
          </w:tcPr>
          <w:p w:rsidR="00565FD5" w:rsidRPr="00443EFC" w:rsidRDefault="00565FD5" w:rsidP="00AB62A3">
            <w:pPr>
              <w:tabs>
                <w:tab w:val="left" w:pos="-48"/>
              </w:tabs>
              <w:ind w:left="57" w:right="57"/>
              <w:jc w:val="right"/>
              <w:rPr>
                <w:rFonts w:cs="Tahoma"/>
                <w:bCs/>
                <w:sz w:val="15"/>
                <w:szCs w:val="15"/>
                <w:lang w:eastAsia="tr-TR"/>
              </w:rPr>
            </w:pPr>
            <w:r w:rsidRPr="00443EFC">
              <w:rPr>
                <w:rFonts w:cs="Tahoma"/>
                <w:bCs/>
                <w:sz w:val="15"/>
                <w:szCs w:val="15"/>
                <w:lang w:eastAsia="tr-TR"/>
              </w:rPr>
              <w:t>-7,7</w:t>
            </w:r>
          </w:p>
        </w:tc>
      </w:tr>
    </w:tbl>
    <w:p w:rsidR="00565FD5" w:rsidRPr="00D50652" w:rsidRDefault="00565FD5" w:rsidP="00565FD5">
      <w:pPr>
        <w:spacing w:before="20"/>
        <w:rPr>
          <w:rFonts w:cs="Tahoma"/>
          <w:sz w:val="14"/>
          <w:szCs w:val="24"/>
        </w:rPr>
      </w:pPr>
      <w:r w:rsidRPr="00D50652">
        <w:rPr>
          <w:rFonts w:cs="Tahoma"/>
          <w:sz w:val="14"/>
          <w:szCs w:val="24"/>
        </w:rPr>
        <w:t xml:space="preserve">Kaynak: Hazine Müsteşarlığı </w:t>
      </w:r>
    </w:p>
    <w:p w:rsidR="00565FD5" w:rsidRPr="00D50652" w:rsidRDefault="00565FD5" w:rsidP="00565FD5">
      <w:pPr>
        <w:pStyle w:val="ListeParagraf"/>
        <w:spacing w:after="240"/>
        <w:ind w:left="0"/>
        <w:rPr>
          <w:rFonts w:cs="Tahoma"/>
          <w:sz w:val="14"/>
          <w:szCs w:val="14"/>
        </w:rPr>
      </w:pPr>
      <w:r>
        <w:rPr>
          <w:rFonts w:cs="Tahoma"/>
          <w:sz w:val="14"/>
          <w:szCs w:val="14"/>
        </w:rPr>
        <w:t xml:space="preserve">(1) </w:t>
      </w:r>
      <w:r w:rsidRPr="00D50652">
        <w:rPr>
          <w:rFonts w:cs="Tahoma"/>
          <w:sz w:val="14"/>
          <w:szCs w:val="14"/>
        </w:rPr>
        <w:t>Haziran ayı itibarıyladır.</w:t>
      </w:r>
    </w:p>
    <w:p w:rsidR="00565FD5" w:rsidRPr="00D50652" w:rsidRDefault="00565FD5" w:rsidP="00565FD5">
      <w:pPr>
        <w:pStyle w:val="ListeParagraf"/>
        <w:spacing w:after="240"/>
        <w:ind w:left="0"/>
        <w:rPr>
          <w:rFonts w:cs="Tahoma"/>
          <w:sz w:val="14"/>
          <w:szCs w:val="14"/>
        </w:rPr>
      </w:pPr>
      <w:r>
        <w:rPr>
          <w:rFonts w:cs="Tahoma"/>
          <w:sz w:val="14"/>
          <w:szCs w:val="14"/>
        </w:rPr>
        <w:t xml:space="preserve">(2) </w:t>
      </w:r>
      <w:r w:rsidRPr="00D50652">
        <w:rPr>
          <w:rFonts w:cs="Tahoma"/>
          <w:sz w:val="14"/>
          <w:szCs w:val="14"/>
        </w:rPr>
        <w:t>Bölüşmeli Treteler esas alınarak hesaplanmıştır.</w:t>
      </w:r>
    </w:p>
    <w:p w:rsidR="00565FD5" w:rsidRPr="00D50652" w:rsidRDefault="00565FD5" w:rsidP="00565FD5">
      <w:pPr>
        <w:spacing w:after="180"/>
        <w:ind w:firstLine="425"/>
        <w:rPr>
          <w:rFonts w:cs="Tahoma"/>
          <w:szCs w:val="18"/>
        </w:rPr>
      </w:pPr>
      <w:r w:rsidRPr="00D50652">
        <w:rPr>
          <w:rFonts w:cs="Tahoma"/>
          <w:szCs w:val="18"/>
        </w:rPr>
        <w:t>Sigortacılık sektörünün 2011 yılında net dönem kârı, reasürans şirketlerinin 145 milyon TL ve hayat dışı sigorta şirketlerindeki 16 milyon TL tutarındaki zararın etkisiyle, yalnızca 184 milyon TL olarak gerçekleşmiştir. Böylece, sektörün net dönem kârının toplam aktiflere oranında görülen azalma eğilimi 2011 yılında da devam etmiş ve söz konusu oran yüzde 0,4’e gerilemiştir.</w:t>
      </w:r>
    </w:p>
    <w:p w:rsidR="00565FD5" w:rsidRPr="00443EFC" w:rsidRDefault="00565FD5" w:rsidP="00565FD5">
      <w:pPr>
        <w:pStyle w:val="ResimYazs"/>
      </w:pPr>
      <w:bookmarkStart w:id="1497" w:name="_Toc244255258"/>
      <w:bookmarkStart w:id="1498" w:name="_Toc275873941"/>
      <w:bookmarkStart w:id="1499" w:name="_Toc276076483"/>
      <w:bookmarkStart w:id="1500" w:name="_Toc307601665"/>
      <w:bookmarkStart w:id="1501" w:name="_Toc307657888"/>
      <w:bookmarkStart w:id="1502" w:name="_Toc307713580"/>
      <w:bookmarkStart w:id="1503" w:name="_Toc338606008"/>
      <w:bookmarkStart w:id="1504" w:name="_Toc338711783"/>
      <w:r>
        <w:t xml:space="preserve">TABLO IV: </w:t>
      </w:r>
      <w:fldSimple w:instr=" SEQ TABLO_IV: \* ARABIC ">
        <w:r>
          <w:rPr>
            <w:noProof/>
          </w:rPr>
          <w:t>13</w:t>
        </w:r>
      </w:fldSimple>
      <w:r w:rsidRPr="00443EFC">
        <w:t xml:space="preserve">- </w:t>
      </w:r>
      <w:bookmarkEnd w:id="1497"/>
      <w:bookmarkEnd w:id="1498"/>
      <w:bookmarkEnd w:id="1499"/>
      <w:bookmarkEnd w:id="1500"/>
      <w:bookmarkEnd w:id="1501"/>
      <w:bookmarkEnd w:id="1502"/>
      <w:r w:rsidRPr="00443EFC">
        <w:t>Bireysel Emeklilik Sistemi Göstergeleri</w:t>
      </w:r>
      <w:bookmarkEnd w:id="1503"/>
      <w:bookmarkEnd w:id="1504"/>
    </w:p>
    <w:tbl>
      <w:tblPr>
        <w:tblW w:w="7144"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5"/>
        <w:gridCol w:w="1046"/>
        <w:gridCol w:w="747"/>
        <w:gridCol w:w="747"/>
        <w:gridCol w:w="868"/>
        <w:gridCol w:w="897"/>
        <w:gridCol w:w="855"/>
        <w:gridCol w:w="789"/>
      </w:tblGrid>
      <w:tr w:rsidR="00565FD5" w:rsidRPr="00443EFC" w:rsidTr="00AB62A3">
        <w:trPr>
          <w:trHeight w:hRule="exact" w:val="430"/>
          <w:jc w:val="center"/>
        </w:trPr>
        <w:tc>
          <w:tcPr>
            <w:tcW w:w="1182" w:type="dxa"/>
            <w:tcBorders>
              <w:bottom w:val="nil"/>
              <w:right w:val="nil"/>
            </w:tcBorders>
            <w:tcMar>
              <w:left w:w="0" w:type="dxa"/>
              <w:right w:w="0" w:type="dxa"/>
            </w:tcMar>
            <w:vAlign w:val="center"/>
          </w:tcPr>
          <w:p w:rsidR="00565FD5" w:rsidRPr="00B5107F" w:rsidRDefault="00565FD5" w:rsidP="00AB62A3">
            <w:pPr>
              <w:jc w:val="center"/>
              <w:rPr>
                <w:rFonts w:cs="Tahoma"/>
                <w:b/>
                <w:color w:val="000000"/>
                <w:sz w:val="15"/>
                <w:szCs w:val="15"/>
                <w:lang w:eastAsia="tr-TR"/>
              </w:rPr>
            </w:pPr>
          </w:p>
        </w:tc>
        <w:tc>
          <w:tcPr>
            <w:tcW w:w="1774" w:type="dxa"/>
            <w:gridSpan w:val="2"/>
            <w:tcBorders>
              <w:left w:val="nil"/>
              <w:right w:val="nil"/>
            </w:tcBorders>
            <w:tcMar>
              <w:left w:w="0" w:type="dxa"/>
              <w:right w:w="0" w:type="dxa"/>
            </w:tcMar>
            <w:vAlign w:val="center"/>
          </w:tcPr>
          <w:p w:rsidR="00565FD5" w:rsidRPr="00B5107F" w:rsidRDefault="00565FD5" w:rsidP="00AB62A3">
            <w:pPr>
              <w:jc w:val="center"/>
              <w:rPr>
                <w:rFonts w:cs="Tahoma"/>
                <w:b/>
                <w:color w:val="000000"/>
                <w:sz w:val="15"/>
                <w:szCs w:val="15"/>
                <w:lang w:eastAsia="tr-TR"/>
              </w:rPr>
            </w:pPr>
            <w:r w:rsidRPr="00B5107F">
              <w:rPr>
                <w:rFonts w:cs="Tahoma"/>
                <w:b/>
                <w:color w:val="000000"/>
                <w:sz w:val="15"/>
                <w:szCs w:val="15"/>
                <w:lang w:eastAsia="tr-TR"/>
              </w:rPr>
              <w:t>Katılımcı Sayısı</w:t>
            </w:r>
          </w:p>
        </w:tc>
        <w:tc>
          <w:tcPr>
            <w:tcW w:w="1598" w:type="dxa"/>
            <w:gridSpan w:val="2"/>
            <w:tcBorders>
              <w:left w:val="nil"/>
              <w:right w:val="nil"/>
            </w:tcBorders>
            <w:tcMar>
              <w:left w:w="0" w:type="dxa"/>
              <w:right w:w="0" w:type="dxa"/>
            </w:tcMar>
            <w:vAlign w:val="center"/>
          </w:tcPr>
          <w:p w:rsidR="00565FD5" w:rsidRPr="00B5107F" w:rsidRDefault="00565FD5" w:rsidP="00AB62A3">
            <w:pPr>
              <w:jc w:val="center"/>
              <w:rPr>
                <w:rFonts w:cs="Tahoma"/>
                <w:b/>
                <w:color w:val="000000"/>
                <w:sz w:val="15"/>
                <w:szCs w:val="15"/>
                <w:lang w:eastAsia="tr-TR"/>
              </w:rPr>
            </w:pPr>
            <w:r w:rsidRPr="00B5107F">
              <w:rPr>
                <w:rFonts w:cs="Tahoma"/>
                <w:b/>
                <w:color w:val="000000"/>
                <w:sz w:val="15"/>
                <w:szCs w:val="15"/>
                <w:lang w:eastAsia="tr-TR"/>
              </w:rPr>
              <w:t>Katılımcıların</w:t>
            </w:r>
          </w:p>
          <w:p w:rsidR="00565FD5" w:rsidRPr="00B5107F" w:rsidRDefault="00565FD5" w:rsidP="00AB62A3">
            <w:pPr>
              <w:jc w:val="center"/>
              <w:rPr>
                <w:rFonts w:cs="Tahoma"/>
                <w:b/>
                <w:color w:val="000000"/>
                <w:sz w:val="15"/>
                <w:szCs w:val="15"/>
                <w:lang w:eastAsia="tr-TR"/>
              </w:rPr>
            </w:pPr>
            <w:r w:rsidRPr="00B5107F">
              <w:rPr>
                <w:rFonts w:cs="Tahoma"/>
                <w:b/>
                <w:color w:val="000000"/>
                <w:sz w:val="15"/>
                <w:szCs w:val="15"/>
                <w:lang w:eastAsia="tr-TR"/>
              </w:rPr>
              <w:t>Fon Tutarı</w:t>
            </w:r>
          </w:p>
        </w:tc>
        <w:tc>
          <w:tcPr>
            <w:tcW w:w="1733" w:type="dxa"/>
            <w:gridSpan w:val="2"/>
            <w:tcBorders>
              <w:left w:val="nil"/>
              <w:right w:val="nil"/>
            </w:tcBorders>
            <w:tcMar>
              <w:left w:w="0" w:type="dxa"/>
              <w:right w:w="0" w:type="dxa"/>
            </w:tcMar>
            <w:vAlign w:val="center"/>
          </w:tcPr>
          <w:p w:rsidR="00565FD5" w:rsidRPr="00B5107F" w:rsidRDefault="00565FD5" w:rsidP="00AB62A3">
            <w:pPr>
              <w:jc w:val="center"/>
              <w:rPr>
                <w:rFonts w:cs="Tahoma"/>
                <w:b/>
                <w:color w:val="000000"/>
                <w:sz w:val="15"/>
                <w:szCs w:val="15"/>
                <w:lang w:eastAsia="tr-TR"/>
              </w:rPr>
            </w:pPr>
            <w:r w:rsidRPr="00B5107F">
              <w:rPr>
                <w:rFonts w:cs="Tahoma"/>
                <w:b/>
                <w:color w:val="000000"/>
                <w:sz w:val="15"/>
                <w:szCs w:val="15"/>
                <w:lang w:eastAsia="tr-TR"/>
              </w:rPr>
              <w:t>Yatırıma</w:t>
            </w:r>
          </w:p>
          <w:p w:rsidR="00565FD5" w:rsidRPr="00B5107F" w:rsidRDefault="00565FD5" w:rsidP="00AB62A3">
            <w:pPr>
              <w:jc w:val="center"/>
              <w:rPr>
                <w:rFonts w:cs="Tahoma"/>
                <w:b/>
                <w:color w:val="000000"/>
                <w:sz w:val="15"/>
                <w:szCs w:val="15"/>
                <w:lang w:eastAsia="tr-TR"/>
              </w:rPr>
            </w:pPr>
            <w:r w:rsidRPr="00B5107F">
              <w:rPr>
                <w:rFonts w:cs="Tahoma"/>
                <w:b/>
                <w:color w:val="000000"/>
                <w:sz w:val="15"/>
                <w:szCs w:val="15"/>
                <w:lang w:eastAsia="tr-TR"/>
              </w:rPr>
              <w:t>Yönlenen Tutar</w:t>
            </w:r>
          </w:p>
        </w:tc>
        <w:tc>
          <w:tcPr>
            <w:tcW w:w="781" w:type="dxa"/>
            <w:tcBorders>
              <w:left w:val="nil"/>
            </w:tcBorders>
            <w:tcMar>
              <w:left w:w="0" w:type="dxa"/>
              <w:right w:w="0" w:type="dxa"/>
            </w:tcMar>
            <w:vAlign w:val="center"/>
          </w:tcPr>
          <w:p w:rsidR="00565FD5" w:rsidRPr="00B5107F" w:rsidRDefault="00565FD5" w:rsidP="00AB62A3">
            <w:pPr>
              <w:jc w:val="center"/>
              <w:rPr>
                <w:rFonts w:cs="Tahoma"/>
                <w:b/>
                <w:color w:val="000000"/>
                <w:sz w:val="15"/>
                <w:szCs w:val="15"/>
                <w:lang w:eastAsia="tr-TR"/>
              </w:rPr>
            </w:pPr>
            <w:r w:rsidRPr="00B5107F">
              <w:rPr>
                <w:rFonts w:cs="Tahoma"/>
                <w:b/>
                <w:color w:val="000000"/>
                <w:sz w:val="15"/>
                <w:szCs w:val="15"/>
                <w:lang w:eastAsia="tr-TR"/>
              </w:rPr>
              <w:t>Emekli Sayısı</w:t>
            </w:r>
          </w:p>
        </w:tc>
      </w:tr>
      <w:tr w:rsidR="00565FD5" w:rsidRPr="00443EFC" w:rsidTr="00AB62A3">
        <w:trPr>
          <w:trHeight w:hRule="exact" w:val="492"/>
          <w:jc w:val="center"/>
        </w:trPr>
        <w:tc>
          <w:tcPr>
            <w:tcW w:w="1182" w:type="dxa"/>
            <w:tcBorders>
              <w:top w:val="nil"/>
              <w:right w:val="nil"/>
            </w:tcBorders>
            <w:vAlign w:val="center"/>
          </w:tcPr>
          <w:p w:rsidR="00565FD5" w:rsidRPr="00B5107F" w:rsidRDefault="00565FD5" w:rsidP="00AB62A3">
            <w:pPr>
              <w:jc w:val="center"/>
              <w:rPr>
                <w:rFonts w:cs="Tahoma"/>
                <w:color w:val="000000"/>
                <w:sz w:val="15"/>
                <w:szCs w:val="15"/>
                <w:lang w:eastAsia="tr-TR"/>
              </w:rPr>
            </w:pPr>
          </w:p>
        </w:tc>
        <w:tc>
          <w:tcPr>
            <w:tcW w:w="1035" w:type="dxa"/>
            <w:tcBorders>
              <w:left w:val="nil"/>
              <w:right w:val="nil"/>
            </w:tcBorders>
            <w:vAlign w:val="center"/>
          </w:tcPr>
          <w:p w:rsidR="00565FD5" w:rsidRPr="00B5107F" w:rsidRDefault="00565FD5" w:rsidP="00AB62A3">
            <w:pPr>
              <w:jc w:val="center"/>
              <w:rPr>
                <w:rFonts w:cs="Tahoma"/>
                <w:color w:val="000000"/>
                <w:sz w:val="15"/>
                <w:szCs w:val="15"/>
                <w:lang w:eastAsia="tr-TR"/>
              </w:rPr>
            </w:pPr>
            <w:r w:rsidRPr="00B5107F">
              <w:rPr>
                <w:rFonts w:cs="Tahoma"/>
                <w:color w:val="000000"/>
                <w:sz w:val="15"/>
                <w:szCs w:val="15"/>
                <w:lang w:eastAsia="tr-TR"/>
              </w:rPr>
              <w:t>Kişi</w:t>
            </w:r>
          </w:p>
        </w:tc>
        <w:tc>
          <w:tcPr>
            <w:tcW w:w="739" w:type="dxa"/>
            <w:tcBorders>
              <w:left w:val="nil"/>
              <w:right w:val="nil"/>
            </w:tcBorders>
            <w:tcMar>
              <w:left w:w="0" w:type="dxa"/>
              <w:right w:w="0" w:type="dxa"/>
            </w:tcMar>
            <w:vAlign w:val="center"/>
          </w:tcPr>
          <w:p w:rsidR="00565FD5" w:rsidRPr="00B5107F" w:rsidRDefault="00565FD5" w:rsidP="00AB62A3">
            <w:pPr>
              <w:jc w:val="center"/>
              <w:rPr>
                <w:rFonts w:cs="Tahoma"/>
                <w:color w:val="000000"/>
                <w:sz w:val="15"/>
                <w:szCs w:val="15"/>
                <w:lang w:eastAsia="tr-TR"/>
              </w:rPr>
            </w:pPr>
            <w:r w:rsidRPr="00B5107F">
              <w:rPr>
                <w:rFonts w:cs="Tahoma"/>
                <w:color w:val="000000"/>
                <w:sz w:val="15"/>
                <w:szCs w:val="15"/>
                <w:lang w:eastAsia="tr-TR"/>
              </w:rPr>
              <w:t>Yıllık Artış (Yüzde)</w:t>
            </w:r>
          </w:p>
        </w:tc>
        <w:tc>
          <w:tcPr>
            <w:tcW w:w="739" w:type="dxa"/>
            <w:tcBorders>
              <w:left w:val="nil"/>
              <w:right w:val="nil"/>
            </w:tcBorders>
            <w:vAlign w:val="center"/>
          </w:tcPr>
          <w:p w:rsidR="00565FD5" w:rsidRPr="00B5107F" w:rsidRDefault="00565FD5" w:rsidP="00AB62A3">
            <w:pPr>
              <w:jc w:val="center"/>
              <w:rPr>
                <w:rFonts w:cs="Tahoma"/>
                <w:color w:val="000000"/>
                <w:sz w:val="15"/>
                <w:szCs w:val="15"/>
                <w:lang w:eastAsia="tr-TR"/>
              </w:rPr>
            </w:pPr>
            <w:r w:rsidRPr="00B5107F">
              <w:rPr>
                <w:rFonts w:cs="Tahoma"/>
                <w:color w:val="000000"/>
                <w:sz w:val="15"/>
                <w:szCs w:val="15"/>
                <w:lang w:eastAsia="tr-TR"/>
              </w:rPr>
              <w:t>Milyon TL</w:t>
            </w:r>
          </w:p>
        </w:tc>
        <w:tc>
          <w:tcPr>
            <w:tcW w:w="859" w:type="dxa"/>
            <w:tcBorders>
              <w:left w:val="nil"/>
              <w:right w:val="nil"/>
            </w:tcBorders>
            <w:tcMar>
              <w:left w:w="0" w:type="dxa"/>
              <w:right w:w="0" w:type="dxa"/>
            </w:tcMar>
            <w:vAlign w:val="center"/>
          </w:tcPr>
          <w:p w:rsidR="00565FD5" w:rsidRPr="00B5107F" w:rsidRDefault="00565FD5" w:rsidP="00AB62A3">
            <w:pPr>
              <w:jc w:val="center"/>
              <w:rPr>
                <w:rFonts w:cs="Tahoma"/>
                <w:color w:val="000000"/>
                <w:sz w:val="15"/>
                <w:szCs w:val="15"/>
                <w:lang w:eastAsia="tr-TR"/>
              </w:rPr>
            </w:pPr>
            <w:r w:rsidRPr="00B5107F">
              <w:rPr>
                <w:rFonts w:cs="Tahoma"/>
                <w:color w:val="000000"/>
                <w:sz w:val="15"/>
                <w:szCs w:val="15"/>
                <w:lang w:eastAsia="tr-TR"/>
              </w:rPr>
              <w:t>Yıllık Artış (Yüzde)</w:t>
            </w:r>
          </w:p>
        </w:tc>
        <w:tc>
          <w:tcPr>
            <w:tcW w:w="887" w:type="dxa"/>
            <w:tcBorders>
              <w:left w:val="nil"/>
              <w:right w:val="nil"/>
            </w:tcBorders>
            <w:vAlign w:val="center"/>
          </w:tcPr>
          <w:p w:rsidR="00565FD5" w:rsidRPr="00B5107F" w:rsidRDefault="00565FD5" w:rsidP="00AB62A3">
            <w:pPr>
              <w:jc w:val="center"/>
              <w:rPr>
                <w:rFonts w:cs="Tahoma"/>
                <w:color w:val="000000"/>
                <w:sz w:val="15"/>
                <w:szCs w:val="15"/>
                <w:lang w:eastAsia="tr-TR"/>
              </w:rPr>
            </w:pPr>
            <w:r w:rsidRPr="00B5107F">
              <w:rPr>
                <w:rFonts w:cs="Tahoma"/>
                <w:color w:val="000000"/>
                <w:sz w:val="15"/>
                <w:szCs w:val="15"/>
                <w:lang w:eastAsia="tr-TR"/>
              </w:rPr>
              <w:t>Milyon</w:t>
            </w:r>
          </w:p>
          <w:p w:rsidR="00565FD5" w:rsidRPr="00B5107F" w:rsidRDefault="00565FD5" w:rsidP="00AB62A3">
            <w:pPr>
              <w:jc w:val="center"/>
              <w:rPr>
                <w:rFonts w:cs="Tahoma"/>
                <w:color w:val="000000"/>
                <w:sz w:val="15"/>
                <w:szCs w:val="15"/>
                <w:lang w:eastAsia="tr-TR"/>
              </w:rPr>
            </w:pPr>
            <w:r w:rsidRPr="00B5107F">
              <w:rPr>
                <w:rFonts w:cs="Tahoma"/>
                <w:color w:val="000000"/>
                <w:sz w:val="15"/>
                <w:szCs w:val="15"/>
                <w:lang w:eastAsia="tr-TR"/>
              </w:rPr>
              <w:t>TL</w:t>
            </w:r>
          </w:p>
        </w:tc>
        <w:tc>
          <w:tcPr>
            <w:tcW w:w="846" w:type="dxa"/>
            <w:tcBorders>
              <w:left w:val="nil"/>
              <w:right w:val="nil"/>
            </w:tcBorders>
            <w:tcMar>
              <w:left w:w="0" w:type="dxa"/>
              <w:right w:w="0" w:type="dxa"/>
            </w:tcMar>
            <w:vAlign w:val="center"/>
          </w:tcPr>
          <w:p w:rsidR="00565FD5" w:rsidRPr="00B5107F" w:rsidRDefault="00565FD5" w:rsidP="00AB62A3">
            <w:pPr>
              <w:jc w:val="center"/>
              <w:rPr>
                <w:rFonts w:cs="Tahoma"/>
                <w:color w:val="000000"/>
                <w:sz w:val="15"/>
                <w:szCs w:val="15"/>
                <w:lang w:eastAsia="tr-TR"/>
              </w:rPr>
            </w:pPr>
            <w:r w:rsidRPr="00B5107F">
              <w:rPr>
                <w:rFonts w:cs="Tahoma"/>
                <w:color w:val="000000"/>
                <w:sz w:val="15"/>
                <w:szCs w:val="15"/>
                <w:lang w:eastAsia="tr-TR"/>
              </w:rPr>
              <w:t>Yıllık Artış (Yüzde)</w:t>
            </w:r>
          </w:p>
        </w:tc>
        <w:tc>
          <w:tcPr>
            <w:tcW w:w="781" w:type="dxa"/>
            <w:tcBorders>
              <w:left w:val="nil"/>
            </w:tcBorders>
            <w:vAlign w:val="center"/>
          </w:tcPr>
          <w:p w:rsidR="00565FD5" w:rsidRPr="00B5107F" w:rsidRDefault="00565FD5" w:rsidP="00AB62A3">
            <w:pPr>
              <w:jc w:val="center"/>
              <w:rPr>
                <w:rFonts w:cs="Tahoma"/>
                <w:color w:val="000000"/>
                <w:sz w:val="15"/>
                <w:szCs w:val="15"/>
                <w:lang w:eastAsia="tr-TR"/>
              </w:rPr>
            </w:pPr>
            <w:r w:rsidRPr="00B5107F">
              <w:rPr>
                <w:rFonts w:cs="Tahoma"/>
                <w:color w:val="000000"/>
                <w:sz w:val="15"/>
                <w:szCs w:val="15"/>
                <w:lang w:eastAsia="tr-TR"/>
              </w:rPr>
              <w:t>Kişi</w:t>
            </w:r>
          </w:p>
        </w:tc>
      </w:tr>
      <w:tr w:rsidR="00565FD5" w:rsidRPr="00443EFC" w:rsidTr="00AB62A3">
        <w:trPr>
          <w:trHeight w:val="53"/>
          <w:jc w:val="center"/>
        </w:trPr>
        <w:tc>
          <w:tcPr>
            <w:tcW w:w="1182" w:type="dxa"/>
            <w:tcBorders>
              <w:bottom w:val="nil"/>
              <w:right w:val="nil"/>
            </w:tcBorders>
            <w:vAlign w:val="bottom"/>
          </w:tcPr>
          <w:p w:rsidR="00565FD5" w:rsidRPr="00B5107F" w:rsidRDefault="00565FD5" w:rsidP="00AB62A3">
            <w:pPr>
              <w:tabs>
                <w:tab w:val="left" w:pos="0"/>
              </w:tabs>
              <w:rPr>
                <w:rFonts w:cs="Tahoma"/>
                <w:b/>
                <w:bCs/>
                <w:sz w:val="15"/>
                <w:szCs w:val="15"/>
                <w:lang w:eastAsia="tr-TR"/>
              </w:rPr>
            </w:pPr>
            <w:r w:rsidRPr="00B5107F">
              <w:rPr>
                <w:rFonts w:cs="Tahoma"/>
                <w:b/>
                <w:bCs/>
                <w:sz w:val="15"/>
                <w:szCs w:val="15"/>
                <w:lang w:eastAsia="tr-TR"/>
              </w:rPr>
              <w:t>2006</w:t>
            </w:r>
          </w:p>
        </w:tc>
        <w:tc>
          <w:tcPr>
            <w:tcW w:w="1035" w:type="dxa"/>
            <w:tcBorders>
              <w:left w:val="nil"/>
              <w:bottom w:val="nil"/>
              <w:right w:val="nil"/>
            </w:tcBorders>
            <w:vAlign w:val="bottom"/>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1 073 650</w:t>
            </w:r>
          </w:p>
        </w:tc>
        <w:tc>
          <w:tcPr>
            <w:tcW w:w="739" w:type="dxa"/>
            <w:tcBorders>
              <w:left w:val="nil"/>
              <w:bottom w:val="nil"/>
              <w:right w:val="nil"/>
            </w:tcBorders>
            <w:vAlign w:val="bottom"/>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w:t>
            </w:r>
          </w:p>
        </w:tc>
        <w:tc>
          <w:tcPr>
            <w:tcW w:w="739" w:type="dxa"/>
            <w:tcBorders>
              <w:left w:val="nil"/>
              <w:bottom w:val="nil"/>
              <w:right w:val="nil"/>
            </w:tcBorders>
            <w:vAlign w:val="bottom"/>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2 815</w:t>
            </w:r>
          </w:p>
        </w:tc>
        <w:tc>
          <w:tcPr>
            <w:tcW w:w="859" w:type="dxa"/>
            <w:tcBorders>
              <w:left w:val="nil"/>
              <w:bottom w:val="nil"/>
              <w:right w:val="nil"/>
            </w:tcBorders>
            <w:vAlign w:val="bottom"/>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w:t>
            </w:r>
          </w:p>
        </w:tc>
        <w:tc>
          <w:tcPr>
            <w:tcW w:w="887" w:type="dxa"/>
            <w:tcBorders>
              <w:left w:val="nil"/>
              <w:bottom w:val="nil"/>
              <w:right w:val="nil"/>
            </w:tcBorders>
            <w:vAlign w:val="bottom"/>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2 512</w:t>
            </w:r>
          </w:p>
        </w:tc>
        <w:tc>
          <w:tcPr>
            <w:tcW w:w="846" w:type="dxa"/>
            <w:tcBorders>
              <w:left w:val="nil"/>
              <w:bottom w:val="nil"/>
              <w:right w:val="nil"/>
            </w:tcBorders>
            <w:vAlign w:val="bottom"/>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w:t>
            </w:r>
          </w:p>
        </w:tc>
        <w:tc>
          <w:tcPr>
            <w:tcW w:w="781" w:type="dxa"/>
            <w:tcBorders>
              <w:left w:val="nil"/>
              <w:bottom w:val="nil"/>
            </w:tcBorders>
            <w:vAlign w:val="bottom"/>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w:t>
            </w:r>
          </w:p>
        </w:tc>
      </w:tr>
      <w:tr w:rsidR="00565FD5" w:rsidRPr="00443EFC" w:rsidTr="00AB62A3">
        <w:trPr>
          <w:trHeight w:val="183"/>
          <w:jc w:val="center"/>
        </w:trPr>
        <w:tc>
          <w:tcPr>
            <w:tcW w:w="1182" w:type="dxa"/>
            <w:tcBorders>
              <w:top w:val="nil"/>
              <w:bottom w:val="nil"/>
              <w:right w:val="nil"/>
            </w:tcBorders>
            <w:vAlign w:val="bottom"/>
          </w:tcPr>
          <w:p w:rsidR="00565FD5" w:rsidRPr="00B5107F" w:rsidRDefault="00565FD5" w:rsidP="00AB62A3">
            <w:pPr>
              <w:tabs>
                <w:tab w:val="left" w:pos="0"/>
              </w:tabs>
              <w:rPr>
                <w:rFonts w:cs="Tahoma"/>
                <w:b/>
                <w:bCs/>
                <w:sz w:val="15"/>
                <w:szCs w:val="15"/>
                <w:lang w:eastAsia="tr-TR"/>
              </w:rPr>
            </w:pPr>
            <w:r w:rsidRPr="00B5107F">
              <w:rPr>
                <w:rFonts w:cs="Tahoma"/>
                <w:b/>
                <w:bCs/>
                <w:sz w:val="15"/>
                <w:szCs w:val="15"/>
                <w:lang w:eastAsia="tr-TR"/>
              </w:rPr>
              <w:t>2007</w:t>
            </w:r>
          </w:p>
        </w:tc>
        <w:tc>
          <w:tcPr>
            <w:tcW w:w="1035" w:type="dxa"/>
            <w:tcBorders>
              <w:top w:val="nil"/>
              <w:left w:val="nil"/>
              <w:bottom w:val="nil"/>
              <w:right w:val="nil"/>
            </w:tcBorders>
            <w:vAlign w:val="bottom"/>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1 457 704</w:t>
            </w:r>
          </w:p>
        </w:tc>
        <w:tc>
          <w:tcPr>
            <w:tcW w:w="739" w:type="dxa"/>
            <w:tcBorders>
              <w:top w:val="nil"/>
              <w:left w:val="nil"/>
              <w:bottom w:val="nil"/>
              <w:right w:val="nil"/>
            </w:tcBorders>
            <w:vAlign w:val="bottom"/>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35,8</w:t>
            </w:r>
          </w:p>
        </w:tc>
        <w:tc>
          <w:tcPr>
            <w:tcW w:w="739" w:type="dxa"/>
            <w:tcBorders>
              <w:top w:val="nil"/>
              <w:left w:val="nil"/>
              <w:bottom w:val="nil"/>
              <w:right w:val="nil"/>
            </w:tcBorders>
            <w:vAlign w:val="bottom"/>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4 566</w:t>
            </w:r>
          </w:p>
        </w:tc>
        <w:tc>
          <w:tcPr>
            <w:tcW w:w="859" w:type="dxa"/>
            <w:tcBorders>
              <w:top w:val="nil"/>
              <w:left w:val="nil"/>
              <w:bottom w:val="nil"/>
              <w:right w:val="nil"/>
            </w:tcBorders>
            <w:vAlign w:val="bottom"/>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62,2</w:t>
            </w:r>
          </w:p>
        </w:tc>
        <w:tc>
          <w:tcPr>
            <w:tcW w:w="887" w:type="dxa"/>
            <w:tcBorders>
              <w:top w:val="nil"/>
              <w:left w:val="nil"/>
              <w:bottom w:val="nil"/>
              <w:right w:val="nil"/>
            </w:tcBorders>
            <w:vAlign w:val="bottom"/>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3 787</w:t>
            </w:r>
          </w:p>
        </w:tc>
        <w:tc>
          <w:tcPr>
            <w:tcW w:w="846" w:type="dxa"/>
            <w:tcBorders>
              <w:top w:val="nil"/>
              <w:left w:val="nil"/>
              <w:bottom w:val="nil"/>
              <w:right w:val="nil"/>
            </w:tcBorders>
            <w:vAlign w:val="bottom"/>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50,7</w:t>
            </w:r>
          </w:p>
        </w:tc>
        <w:tc>
          <w:tcPr>
            <w:tcW w:w="781" w:type="dxa"/>
            <w:tcBorders>
              <w:top w:val="nil"/>
              <w:left w:val="nil"/>
              <w:bottom w:val="nil"/>
            </w:tcBorders>
            <w:vAlign w:val="bottom"/>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w:t>
            </w:r>
          </w:p>
        </w:tc>
      </w:tr>
      <w:tr w:rsidR="00565FD5" w:rsidRPr="00443EFC" w:rsidTr="00AB62A3">
        <w:trPr>
          <w:trHeight w:val="183"/>
          <w:jc w:val="center"/>
        </w:trPr>
        <w:tc>
          <w:tcPr>
            <w:tcW w:w="1182" w:type="dxa"/>
            <w:tcBorders>
              <w:top w:val="nil"/>
              <w:bottom w:val="nil"/>
              <w:right w:val="nil"/>
            </w:tcBorders>
            <w:vAlign w:val="bottom"/>
          </w:tcPr>
          <w:p w:rsidR="00565FD5" w:rsidRPr="00B5107F" w:rsidRDefault="00565FD5" w:rsidP="00AB62A3">
            <w:pPr>
              <w:tabs>
                <w:tab w:val="left" w:pos="0"/>
              </w:tabs>
              <w:rPr>
                <w:rFonts w:cs="Tahoma"/>
                <w:b/>
                <w:bCs/>
                <w:sz w:val="15"/>
                <w:szCs w:val="15"/>
                <w:lang w:eastAsia="tr-TR"/>
              </w:rPr>
            </w:pPr>
            <w:r w:rsidRPr="00B5107F">
              <w:rPr>
                <w:rFonts w:cs="Tahoma"/>
                <w:b/>
                <w:bCs/>
                <w:sz w:val="15"/>
                <w:szCs w:val="15"/>
                <w:lang w:eastAsia="tr-TR"/>
              </w:rPr>
              <w:t>2008</w:t>
            </w:r>
          </w:p>
        </w:tc>
        <w:tc>
          <w:tcPr>
            <w:tcW w:w="1035" w:type="dxa"/>
            <w:tcBorders>
              <w:top w:val="nil"/>
              <w:left w:val="nil"/>
              <w:bottom w:val="nil"/>
              <w:right w:val="nil"/>
            </w:tcBorders>
            <w:vAlign w:val="bottom"/>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1 745 354</w:t>
            </w:r>
          </w:p>
        </w:tc>
        <w:tc>
          <w:tcPr>
            <w:tcW w:w="739" w:type="dxa"/>
            <w:tcBorders>
              <w:top w:val="nil"/>
              <w:left w:val="nil"/>
              <w:bottom w:val="nil"/>
              <w:right w:val="nil"/>
            </w:tcBorders>
            <w:vAlign w:val="bottom"/>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19,7</w:t>
            </w:r>
          </w:p>
        </w:tc>
        <w:tc>
          <w:tcPr>
            <w:tcW w:w="739" w:type="dxa"/>
            <w:tcBorders>
              <w:top w:val="nil"/>
              <w:left w:val="nil"/>
              <w:bottom w:val="nil"/>
              <w:right w:val="nil"/>
            </w:tcBorders>
            <w:vAlign w:val="bottom"/>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6 373</w:t>
            </w:r>
          </w:p>
        </w:tc>
        <w:tc>
          <w:tcPr>
            <w:tcW w:w="859" w:type="dxa"/>
            <w:tcBorders>
              <w:top w:val="nil"/>
              <w:left w:val="nil"/>
              <w:bottom w:val="nil"/>
              <w:right w:val="nil"/>
            </w:tcBorders>
            <w:vAlign w:val="bottom"/>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39,6</w:t>
            </w:r>
          </w:p>
        </w:tc>
        <w:tc>
          <w:tcPr>
            <w:tcW w:w="887" w:type="dxa"/>
            <w:tcBorders>
              <w:top w:val="nil"/>
              <w:left w:val="nil"/>
              <w:bottom w:val="nil"/>
              <w:right w:val="nil"/>
            </w:tcBorders>
            <w:vAlign w:val="bottom"/>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5 284</w:t>
            </w:r>
          </w:p>
        </w:tc>
        <w:tc>
          <w:tcPr>
            <w:tcW w:w="846" w:type="dxa"/>
            <w:tcBorders>
              <w:top w:val="nil"/>
              <w:left w:val="nil"/>
              <w:bottom w:val="nil"/>
              <w:right w:val="nil"/>
            </w:tcBorders>
            <w:vAlign w:val="bottom"/>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39,6</w:t>
            </w:r>
          </w:p>
        </w:tc>
        <w:tc>
          <w:tcPr>
            <w:tcW w:w="781" w:type="dxa"/>
            <w:tcBorders>
              <w:top w:val="nil"/>
              <w:left w:val="nil"/>
              <w:bottom w:val="nil"/>
            </w:tcBorders>
            <w:vAlign w:val="bottom"/>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w:t>
            </w:r>
          </w:p>
        </w:tc>
      </w:tr>
      <w:tr w:rsidR="00565FD5" w:rsidRPr="00443EFC" w:rsidTr="00AB62A3">
        <w:trPr>
          <w:trHeight w:val="103"/>
          <w:jc w:val="center"/>
        </w:trPr>
        <w:tc>
          <w:tcPr>
            <w:tcW w:w="1182" w:type="dxa"/>
            <w:tcBorders>
              <w:top w:val="nil"/>
              <w:bottom w:val="nil"/>
              <w:right w:val="nil"/>
            </w:tcBorders>
          </w:tcPr>
          <w:p w:rsidR="00565FD5" w:rsidRPr="00B5107F" w:rsidRDefault="00565FD5" w:rsidP="00AB62A3">
            <w:pPr>
              <w:tabs>
                <w:tab w:val="left" w:pos="0"/>
              </w:tabs>
              <w:rPr>
                <w:rFonts w:cs="Tahoma"/>
                <w:b/>
                <w:bCs/>
                <w:sz w:val="15"/>
                <w:szCs w:val="15"/>
                <w:lang w:eastAsia="tr-TR"/>
              </w:rPr>
            </w:pPr>
            <w:r w:rsidRPr="00B5107F">
              <w:rPr>
                <w:rFonts w:cs="Tahoma"/>
                <w:b/>
                <w:bCs/>
                <w:sz w:val="15"/>
                <w:szCs w:val="15"/>
                <w:lang w:eastAsia="tr-TR"/>
              </w:rPr>
              <w:t>2009</w:t>
            </w:r>
          </w:p>
        </w:tc>
        <w:tc>
          <w:tcPr>
            <w:tcW w:w="1035" w:type="dxa"/>
            <w:tcBorders>
              <w:top w:val="nil"/>
              <w:left w:val="nil"/>
              <w:bottom w:val="nil"/>
              <w:right w:val="nil"/>
            </w:tcBorders>
          </w:tcPr>
          <w:p w:rsidR="00565FD5" w:rsidRPr="00B5107F" w:rsidRDefault="00565FD5" w:rsidP="00AB62A3">
            <w:pPr>
              <w:ind w:left="-108" w:firstLine="108"/>
              <w:jc w:val="right"/>
              <w:rPr>
                <w:rFonts w:cs="Tahoma"/>
                <w:bCs/>
                <w:color w:val="000000"/>
                <w:sz w:val="15"/>
                <w:szCs w:val="15"/>
                <w:lang w:eastAsia="tr-TR"/>
              </w:rPr>
            </w:pPr>
            <w:r w:rsidRPr="00B5107F">
              <w:rPr>
                <w:rFonts w:cs="Tahoma"/>
                <w:bCs/>
                <w:color w:val="000000"/>
                <w:sz w:val="15"/>
                <w:szCs w:val="15"/>
                <w:lang w:eastAsia="tr-TR"/>
              </w:rPr>
              <w:t>1 987 940</w:t>
            </w:r>
          </w:p>
        </w:tc>
        <w:tc>
          <w:tcPr>
            <w:tcW w:w="739" w:type="dxa"/>
            <w:tcBorders>
              <w:top w:val="nil"/>
              <w:left w:val="nil"/>
              <w:bottom w:val="nil"/>
              <w:right w:val="nil"/>
            </w:tcBorders>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13,9</w:t>
            </w:r>
          </w:p>
        </w:tc>
        <w:tc>
          <w:tcPr>
            <w:tcW w:w="739" w:type="dxa"/>
            <w:tcBorders>
              <w:top w:val="nil"/>
              <w:left w:val="nil"/>
              <w:bottom w:val="nil"/>
              <w:right w:val="nil"/>
            </w:tcBorders>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9 097</w:t>
            </w:r>
          </w:p>
        </w:tc>
        <w:tc>
          <w:tcPr>
            <w:tcW w:w="859" w:type="dxa"/>
            <w:tcBorders>
              <w:top w:val="nil"/>
              <w:left w:val="nil"/>
              <w:bottom w:val="nil"/>
              <w:right w:val="nil"/>
            </w:tcBorders>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42,8</w:t>
            </w:r>
          </w:p>
        </w:tc>
        <w:tc>
          <w:tcPr>
            <w:tcW w:w="887" w:type="dxa"/>
            <w:tcBorders>
              <w:top w:val="nil"/>
              <w:left w:val="nil"/>
              <w:bottom w:val="nil"/>
              <w:right w:val="nil"/>
            </w:tcBorders>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6 870</w:t>
            </w:r>
          </w:p>
        </w:tc>
        <w:tc>
          <w:tcPr>
            <w:tcW w:w="846" w:type="dxa"/>
            <w:tcBorders>
              <w:top w:val="nil"/>
              <w:left w:val="nil"/>
              <w:bottom w:val="nil"/>
              <w:right w:val="nil"/>
            </w:tcBorders>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30,0</w:t>
            </w:r>
          </w:p>
        </w:tc>
        <w:tc>
          <w:tcPr>
            <w:tcW w:w="781" w:type="dxa"/>
            <w:tcBorders>
              <w:top w:val="nil"/>
              <w:left w:val="nil"/>
              <w:bottom w:val="nil"/>
            </w:tcBorders>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1 898</w:t>
            </w:r>
          </w:p>
        </w:tc>
      </w:tr>
      <w:tr w:rsidR="00565FD5" w:rsidRPr="00443EFC" w:rsidTr="00AB62A3">
        <w:trPr>
          <w:trHeight w:val="63"/>
          <w:jc w:val="center"/>
        </w:trPr>
        <w:tc>
          <w:tcPr>
            <w:tcW w:w="1182" w:type="dxa"/>
            <w:tcBorders>
              <w:top w:val="nil"/>
              <w:bottom w:val="nil"/>
              <w:right w:val="nil"/>
            </w:tcBorders>
          </w:tcPr>
          <w:p w:rsidR="00565FD5" w:rsidRPr="00B5107F" w:rsidRDefault="00565FD5" w:rsidP="00AB62A3">
            <w:pPr>
              <w:tabs>
                <w:tab w:val="left" w:pos="0"/>
              </w:tabs>
              <w:rPr>
                <w:rFonts w:cs="Tahoma"/>
                <w:b/>
                <w:bCs/>
                <w:sz w:val="15"/>
                <w:szCs w:val="15"/>
                <w:lang w:eastAsia="tr-TR"/>
              </w:rPr>
            </w:pPr>
            <w:r w:rsidRPr="00B5107F">
              <w:rPr>
                <w:rFonts w:cs="Tahoma"/>
                <w:b/>
                <w:bCs/>
                <w:sz w:val="15"/>
                <w:szCs w:val="15"/>
                <w:lang w:eastAsia="tr-TR"/>
              </w:rPr>
              <w:t>2010</w:t>
            </w:r>
          </w:p>
        </w:tc>
        <w:tc>
          <w:tcPr>
            <w:tcW w:w="1035" w:type="dxa"/>
            <w:tcBorders>
              <w:top w:val="nil"/>
              <w:left w:val="nil"/>
              <w:bottom w:val="nil"/>
              <w:right w:val="nil"/>
            </w:tcBorders>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2 281 478</w:t>
            </w:r>
          </w:p>
        </w:tc>
        <w:tc>
          <w:tcPr>
            <w:tcW w:w="739" w:type="dxa"/>
            <w:tcBorders>
              <w:top w:val="nil"/>
              <w:left w:val="nil"/>
              <w:bottom w:val="nil"/>
              <w:right w:val="nil"/>
            </w:tcBorders>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14,8</w:t>
            </w:r>
          </w:p>
        </w:tc>
        <w:tc>
          <w:tcPr>
            <w:tcW w:w="739" w:type="dxa"/>
            <w:tcBorders>
              <w:top w:val="nil"/>
              <w:left w:val="nil"/>
              <w:bottom w:val="nil"/>
              <w:right w:val="nil"/>
            </w:tcBorders>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12 012</w:t>
            </w:r>
          </w:p>
        </w:tc>
        <w:tc>
          <w:tcPr>
            <w:tcW w:w="859" w:type="dxa"/>
            <w:tcBorders>
              <w:top w:val="nil"/>
              <w:left w:val="nil"/>
              <w:bottom w:val="nil"/>
              <w:right w:val="nil"/>
            </w:tcBorders>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32,0</w:t>
            </w:r>
          </w:p>
        </w:tc>
        <w:tc>
          <w:tcPr>
            <w:tcW w:w="887" w:type="dxa"/>
            <w:tcBorders>
              <w:top w:val="nil"/>
              <w:left w:val="nil"/>
              <w:bottom w:val="nil"/>
              <w:right w:val="nil"/>
            </w:tcBorders>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9 221</w:t>
            </w:r>
          </w:p>
        </w:tc>
        <w:tc>
          <w:tcPr>
            <w:tcW w:w="846" w:type="dxa"/>
            <w:tcBorders>
              <w:top w:val="nil"/>
              <w:left w:val="nil"/>
              <w:bottom w:val="nil"/>
              <w:right w:val="nil"/>
            </w:tcBorders>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34,2</w:t>
            </w:r>
          </w:p>
        </w:tc>
        <w:tc>
          <w:tcPr>
            <w:tcW w:w="781" w:type="dxa"/>
            <w:tcBorders>
              <w:top w:val="nil"/>
              <w:left w:val="nil"/>
              <w:bottom w:val="nil"/>
            </w:tcBorders>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2 848</w:t>
            </w:r>
          </w:p>
        </w:tc>
      </w:tr>
      <w:tr w:rsidR="00565FD5" w:rsidRPr="00443EFC" w:rsidTr="00AB62A3">
        <w:trPr>
          <w:trHeight w:val="140"/>
          <w:jc w:val="center"/>
        </w:trPr>
        <w:tc>
          <w:tcPr>
            <w:tcW w:w="1182" w:type="dxa"/>
            <w:tcBorders>
              <w:top w:val="nil"/>
              <w:bottom w:val="nil"/>
              <w:right w:val="nil"/>
            </w:tcBorders>
          </w:tcPr>
          <w:p w:rsidR="00565FD5" w:rsidRPr="00B5107F" w:rsidRDefault="00565FD5" w:rsidP="00AB62A3">
            <w:pPr>
              <w:tabs>
                <w:tab w:val="left" w:pos="0"/>
              </w:tabs>
              <w:rPr>
                <w:rFonts w:cs="Tahoma"/>
                <w:b/>
                <w:bCs/>
                <w:sz w:val="15"/>
                <w:szCs w:val="15"/>
                <w:lang w:eastAsia="tr-TR"/>
              </w:rPr>
            </w:pPr>
            <w:r w:rsidRPr="00B5107F">
              <w:rPr>
                <w:rFonts w:cs="Tahoma"/>
                <w:b/>
                <w:bCs/>
                <w:sz w:val="15"/>
                <w:szCs w:val="15"/>
                <w:lang w:eastAsia="tr-TR"/>
              </w:rPr>
              <w:t>2011</w:t>
            </w:r>
          </w:p>
        </w:tc>
        <w:tc>
          <w:tcPr>
            <w:tcW w:w="1035" w:type="dxa"/>
            <w:tcBorders>
              <w:top w:val="nil"/>
              <w:left w:val="nil"/>
              <w:bottom w:val="nil"/>
              <w:right w:val="nil"/>
            </w:tcBorders>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2 641 843</w:t>
            </w:r>
          </w:p>
        </w:tc>
        <w:tc>
          <w:tcPr>
            <w:tcW w:w="739" w:type="dxa"/>
            <w:tcBorders>
              <w:top w:val="nil"/>
              <w:left w:val="nil"/>
              <w:bottom w:val="nil"/>
              <w:right w:val="nil"/>
            </w:tcBorders>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15,8</w:t>
            </w:r>
          </w:p>
        </w:tc>
        <w:tc>
          <w:tcPr>
            <w:tcW w:w="739" w:type="dxa"/>
            <w:tcBorders>
              <w:top w:val="nil"/>
              <w:left w:val="nil"/>
              <w:bottom w:val="nil"/>
              <w:right w:val="nil"/>
            </w:tcBorders>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14 330</w:t>
            </w:r>
          </w:p>
        </w:tc>
        <w:tc>
          <w:tcPr>
            <w:tcW w:w="859" w:type="dxa"/>
            <w:tcBorders>
              <w:top w:val="nil"/>
              <w:left w:val="nil"/>
              <w:bottom w:val="nil"/>
              <w:right w:val="nil"/>
            </w:tcBorders>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19,3</w:t>
            </w:r>
          </w:p>
        </w:tc>
        <w:tc>
          <w:tcPr>
            <w:tcW w:w="887" w:type="dxa"/>
            <w:tcBorders>
              <w:top w:val="nil"/>
              <w:left w:val="nil"/>
              <w:bottom w:val="nil"/>
              <w:right w:val="nil"/>
            </w:tcBorders>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12 029</w:t>
            </w:r>
          </w:p>
        </w:tc>
        <w:tc>
          <w:tcPr>
            <w:tcW w:w="846" w:type="dxa"/>
            <w:tcBorders>
              <w:top w:val="nil"/>
              <w:left w:val="nil"/>
              <w:bottom w:val="nil"/>
              <w:right w:val="nil"/>
            </w:tcBorders>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30,4</w:t>
            </w:r>
          </w:p>
        </w:tc>
        <w:tc>
          <w:tcPr>
            <w:tcW w:w="781" w:type="dxa"/>
            <w:tcBorders>
              <w:top w:val="nil"/>
              <w:left w:val="nil"/>
              <w:bottom w:val="nil"/>
            </w:tcBorders>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3 838</w:t>
            </w:r>
          </w:p>
        </w:tc>
      </w:tr>
      <w:tr w:rsidR="00565FD5" w:rsidRPr="00443EFC" w:rsidTr="00AB62A3">
        <w:trPr>
          <w:trHeight w:val="68"/>
          <w:jc w:val="center"/>
        </w:trPr>
        <w:tc>
          <w:tcPr>
            <w:tcW w:w="1182" w:type="dxa"/>
            <w:tcBorders>
              <w:top w:val="nil"/>
              <w:bottom w:val="nil"/>
              <w:right w:val="nil"/>
            </w:tcBorders>
          </w:tcPr>
          <w:p w:rsidR="00565FD5" w:rsidRPr="00B5107F" w:rsidRDefault="00565FD5" w:rsidP="00AB62A3">
            <w:pPr>
              <w:tabs>
                <w:tab w:val="left" w:pos="0"/>
              </w:tabs>
              <w:rPr>
                <w:rFonts w:cs="Tahoma"/>
                <w:b/>
                <w:bCs/>
                <w:sz w:val="15"/>
                <w:szCs w:val="15"/>
                <w:lang w:eastAsia="tr-TR"/>
              </w:rPr>
            </w:pPr>
            <w:r w:rsidRPr="00B5107F">
              <w:rPr>
                <w:rFonts w:cs="Tahoma"/>
                <w:b/>
                <w:bCs/>
                <w:sz w:val="15"/>
                <w:szCs w:val="15"/>
                <w:lang w:eastAsia="tr-TR"/>
              </w:rPr>
              <w:t xml:space="preserve">2011 (1) </w:t>
            </w:r>
          </w:p>
        </w:tc>
        <w:tc>
          <w:tcPr>
            <w:tcW w:w="1035" w:type="dxa"/>
            <w:tcBorders>
              <w:top w:val="nil"/>
              <w:left w:val="nil"/>
              <w:bottom w:val="nil"/>
              <w:right w:val="nil"/>
            </w:tcBorders>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2 493 779</w:t>
            </w:r>
          </w:p>
        </w:tc>
        <w:tc>
          <w:tcPr>
            <w:tcW w:w="739" w:type="dxa"/>
            <w:tcBorders>
              <w:top w:val="nil"/>
              <w:left w:val="nil"/>
              <w:bottom w:val="nil"/>
              <w:right w:val="nil"/>
            </w:tcBorders>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15,9</w:t>
            </w:r>
          </w:p>
        </w:tc>
        <w:tc>
          <w:tcPr>
            <w:tcW w:w="739" w:type="dxa"/>
            <w:tcBorders>
              <w:top w:val="nil"/>
              <w:left w:val="nil"/>
              <w:bottom w:val="nil"/>
              <w:right w:val="nil"/>
            </w:tcBorders>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13 378</w:t>
            </w:r>
          </w:p>
        </w:tc>
        <w:tc>
          <w:tcPr>
            <w:tcW w:w="859" w:type="dxa"/>
            <w:tcBorders>
              <w:top w:val="nil"/>
              <w:left w:val="nil"/>
              <w:bottom w:val="nil"/>
              <w:right w:val="nil"/>
            </w:tcBorders>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29,3</w:t>
            </w:r>
          </w:p>
        </w:tc>
        <w:tc>
          <w:tcPr>
            <w:tcW w:w="887" w:type="dxa"/>
            <w:tcBorders>
              <w:top w:val="nil"/>
              <w:left w:val="nil"/>
              <w:bottom w:val="nil"/>
              <w:right w:val="nil"/>
            </w:tcBorders>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10 645</w:t>
            </w:r>
          </w:p>
        </w:tc>
        <w:tc>
          <w:tcPr>
            <w:tcW w:w="846" w:type="dxa"/>
            <w:tcBorders>
              <w:top w:val="nil"/>
              <w:left w:val="nil"/>
              <w:bottom w:val="nil"/>
              <w:right w:val="nil"/>
            </w:tcBorders>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33,0</w:t>
            </w:r>
          </w:p>
        </w:tc>
        <w:tc>
          <w:tcPr>
            <w:tcW w:w="781" w:type="dxa"/>
            <w:tcBorders>
              <w:top w:val="nil"/>
              <w:left w:val="nil"/>
              <w:bottom w:val="nil"/>
            </w:tcBorders>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3 375</w:t>
            </w:r>
          </w:p>
        </w:tc>
      </w:tr>
      <w:tr w:rsidR="00565FD5" w:rsidRPr="00443EFC" w:rsidTr="00AB62A3">
        <w:trPr>
          <w:trHeight w:val="63"/>
          <w:jc w:val="center"/>
        </w:trPr>
        <w:tc>
          <w:tcPr>
            <w:tcW w:w="1182" w:type="dxa"/>
            <w:tcBorders>
              <w:top w:val="nil"/>
              <w:right w:val="nil"/>
            </w:tcBorders>
          </w:tcPr>
          <w:p w:rsidR="00565FD5" w:rsidRPr="00B5107F" w:rsidRDefault="00565FD5" w:rsidP="00AB62A3">
            <w:pPr>
              <w:tabs>
                <w:tab w:val="left" w:pos="0"/>
              </w:tabs>
              <w:rPr>
                <w:rFonts w:cs="Tahoma"/>
                <w:b/>
                <w:bCs/>
                <w:sz w:val="15"/>
                <w:szCs w:val="15"/>
                <w:lang w:eastAsia="tr-TR"/>
              </w:rPr>
            </w:pPr>
            <w:r w:rsidRPr="00B5107F">
              <w:rPr>
                <w:rFonts w:cs="Tahoma"/>
                <w:b/>
                <w:bCs/>
                <w:sz w:val="15"/>
                <w:szCs w:val="15"/>
                <w:lang w:eastAsia="tr-TR"/>
              </w:rPr>
              <w:t>2012 (1)</w:t>
            </w:r>
          </w:p>
        </w:tc>
        <w:tc>
          <w:tcPr>
            <w:tcW w:w="1035" w:type="dxa"/>
            <w:tcBorders>
              <w:top w:val="nil"/>
              <w:left w:val="nil"/>
              <w:right w:val="nil"/>
            </w:tcBorders>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2 844 479</w:t>
            </w:r>
          </w:p>
        </w:tc>
        <w:tc>
          <w:tcPr>
            <w:tcW w:w="739" w:type="dxa"/>
            <w:tcBorders>
              <w:top w:val="nil"/>
              <w:left w:val="nil"/>
              <w:right w:val="nil"/>
            </w:tcBorders>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14,1</w:t>
            </w:r>
          </w:p>
        </w:tc>
        <w:tc>
          <w:tcPr>
            <w:tcW w:w="739" w:type="dxa"/>
            <w:tcBorders>
              <w:top w:val="nil"/>
              <w:left w:val="nil"/>
              <w:right w:val="nil"/>
            </w:tcBorders>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17 215</w:t>
            </w:r>
          </w:p>
        </w:tc>
        <w:tc>
          <w:tcPr>
            <w:tcW w:w="859" w:type="dxa"/>
            <w:tcBorders>
              <w:top w:val="nil"/>
              <w:left w:val="nil"/>
              <w:right w:val="nil"/>
            </w:tcBorders>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28,7</w:t>
            </w:r>
          </w:p>
        </w:tc>
        <w:tc>
          <w:tcPr>
            <w:tcW w:w="887" w:type="dxa"/>
            <w:tcBorders>
              <w:top w:val="nil"/>
              <w:left w:val="nil"/>
              <w:right w:val="nil"/>
            </w:tcBorders>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13 857</w:t>
            </w:r>
          </w:p>
        </w:tc>
        <w:tc>
          <w:tcPr>
            <w:tcW w:w="846" w:type="dxa"/>
            <w:tcBorders>
              <w:top w:val="nil"/>
              <w:left w:val="nil"/>
              <w:right w:val="nil"/>
            </w:tcBorders>
          </w:tcPr>
          <w:p w:rsidR="00565FD5" w:rsidRPr="00B5107F" w:rsidRDefault="00565FD5" w:rsidP="00AB62A3">
            <w:pPr>
              <w:jc w:val="right"/>
              <w:rPr>
                <w:rFonts w:cs="Tahoma"/>
                <w:color w:val="000000"/>
                <w:sz w:val="15"/>
                <w:szCs w:val="15"/>
                <w:lang w:eastAsia="tr-TR"/>
              </w:rPr>
            </w:pPr>
            <w:r w:rsidRPr="00B5107F">
              <w:rPr>
                <w:rFonts w:cs="Tahoma"/>
                <w:color w:val="000000"/>
                <w:sz w:val="15"/>
                <w:szCs w:val="15"/>
                <w:lang w:eastAsia="tr-TR"/>
              </w:rPr>
              <w:t>30,2</w:t>
            </w:r>
          </w:p>
        </w:tc>
        <w:tc>
          <w:tcPr>
            <w:tcW w:w="781" w:type="dxa"/>
            <w:tcBorders>
              <w:top w:val="nil"/>
              <w:left w:val="nil"/>
            </w:tcBorders>
          </w:tcPr>
          <w:p w:rsidR="00565FD5" w:rsidRPr="00B5107F" w:rsidRDefault="00565FD5" w:rsidP="00AB62A3">
            <w:pPr>
              <w:jc w:val="right"/>
              <w:rPr>
                <w:rFonts w:cs="Tahoma"/>
                <w:bCs/>
                <w:color w:val="000000"/>
                <w:sz w:val="15"/>
                <w:szCs w:val="15"/>
                <w:lang w:eastAsia="tr-TR"/>
              </w:rPr>
            </w:pPr>
            <w:r w:rsidRPr="00B5107F">
              <w:rPr>
                <w:rFonts w:cs="Tahoma"/>
                <w:bCs/>
                <w:color w:val="000000"/>
                <w:sz w:val="15"/>
                <w:szCs w:val="15"/>
                <w:lang w:eastAsia="tr-TR"/>
              </w:rPr>
              <w:t>4 855</w:t>
            </w:r>
          </w:p>
        </w:tc>
      </w:tr>
    </w:tbl>
    <w:p w:rsidR="00565FD5" w:rsidRPr="00D50652" w:rsidRDefault="00565FD5" w:rsidP="00565FD5">
      <w:pPr>
        <w:rPr>
          <w:rFonts w:cs="Tahoma"/>
          <w:sz w:val="14"/>
          <w:szCs w:val="14"/>
        </w:rPr>
      </w:pPr>
      <w:r w:rsidRPr="00D50652">
        <w:rPr>
          <w:rFonts w:cs="Tahoma"/>
          <w:sz w:val="14"/>
          <w:szCs w:val="14"/>
        </w:rPr>
        <w:t>Kaynak: Emeklilik Gözetim Merkezi</w:t>
      </w:r>
    </w:p>
    <w:p w:rsidR="00565FD5" w:rsidRPr="00D50652" w:rsidRDefault="00565FD5" w:rsidP="00565FD5">
      <w:pPr>
        <w:spacing w:after="240"/>
        <w:rPr>
          <w:rFonts w:cs="Tahoma"/>
          <w:sz w:val="14"/>
          <w:szCs w:val="14"/>
        </w:rPr>
      </w:pPr>
      <w:r w:rsidRPr="00D50652">
        <w:rPr>
          <w:rFonts w:cs="Tahoma"/>
          <w:sz w:val="14"/>
          <w:szCs w:val="14"/>
        </w:rPr>
        <w:t>(1) Haziran ayı itibarıyladır.</w:t>
      </w:r>
    </w:p>
    <w:p w:rsidR="00565FD5" w:rsidRPr="00D50652" w:rsidRDefault="00565FD5" w:rsidP="00565FD5">
      <w:pPr>
        <w:spacing w:after="120"/>
        <w:ind w:firstLine="425"/>
        <w:rPr>
          <w:rFonts w:cs="Tahoma"/>
          <w:szCs w:val="18"/>
        </w:rPr>
      </w:pPr>
      <w:r w:rsidRPr="00D50652">
        <w:rPr>
          <w:rFonts w:cs="Tahoma"/>
          <w:szCs w:val="18"/>
        </w:rPr>
        <w:t xml:space="preserve">Bireysel emeklilik sistemi (BES) istikrarlı büyümesini sürdürerek toplam fon büyüklüğü 2011 yılında bir önceki yıla göre yüzde 19,3 artışla 14,3 milyar TL’ye, katılımcı sayısı ise yüzde 15,8 artışla 2 milyon 642 bin kişiye ulaşmıştır. </w:t>
      </w:r>
    </w:p>
    <w:p w:rsidR="00565FD5" w:rsidRPr="00D50652" w:rsidRDefault="00565FD5" w:rsidP="00565FD5">
      <w:pPr>
        <w:spacing w:after="120"/>
        <w:ind w:firstLine="425"/>
        <w:rPr>
          <w:rFonts w:cs="Tahoma"/>
          <w:szCs w:val="18"/>
        </w:rPr>
      </w:pPr>
      <w:r w:rsidRPr="00D50652">
        <w:rPr>
          <w:rFonts w:cs="Tahoma"/>
          <w:szCs w:val="18"/>
        </w:rPr>
        <w:lastRenderedPageBreak/>
        <w:t>Doğal Afet Sigortaları Kurumunun (DASK) açıkladığı verilere göre, zorunlu deprem sigortası, 2011 yılı sonu itibarıyla toplam 1</w:t>
      </w:r>
      <w:r>
        <w:rPr>
          <w:rFonts w:cs="Tahoma"/>
          <w:szCs w:val="18"/>
        </w:rPr>
        <w:t>6</w:t>
      </w:r>
      <w:r w:rsidRPr="00D50652">
        <w:rPr>
          <w:rFonts w:cs="Tahoma"/>
          <w:szCs w:val="18"/>
        </w:rPr>
        <w:t xml:space="preserve">,4 milyon konutun ancak yüzde 22,8’ine uygulanmış bulunmaktadır. Birinci derece deprem bölgesi olan Marmara Bölgesinde sigortalılık oranı yüzde 29,5 olarak gerçekleşmiştir. Kuruluşundan itibaren DASK, toplam 346 depremde 47,4 milyon TL civarında hasar ödemesi yapmıştır. Bu tutarın yarısından fazlası başta Van depremi olmak üzere 2011 yılında meydana gelen depremlere verilmiştir. </w:t>
      </w:r>
    </w:p>
    <w:p w:rsidR="00565FD5" w:rsidRPr="00D50652" w:rsidRDefault="00565FD5" w:rsidP="00565FD5">
      <w:pPr>
        <w:spacing w:after="120"/>
        <w:ind w:firstLine="425"/>
        <w:rPr>
          <w:rFonts w:cs="Tahoma"/>
          <w:szCs w:val="18"/>
        </w:rPr>
      </w:pPr>
      <w:r w:rsidRPr="00D50652">
        <w:rPr>
          <w:rFonts w:cs="Tahoma"/>
          <w:szCs w:val="18"/>
        </w:rPr>
        <w:t xml:space="preserve">Tarım Sigortaları Havuz İşletmesi (TARSİM) tarafından işlemleri yürütülen tarım sigortasında 2010 yılında 366.410 adet poliçeyle 185 milyon TL prim üretilirken 2011 yılında poliçe ve prim üretimlerinde çok yüksek oranlı artış kaydedilerek, 587.716 poliçeyle 441 milyon TL prim üretilmiştir. </w:t>
      </w:r>
    </w:p>
    <w:p w:rsidR="00565FD5" w:rsidRPr="00D50652" w:rsidRDefault="00565FD5" w:rsidP="00565FD5">
      <w:pPr>
        <w:spacing w:after="120"/>
        <w:ind w:firstLine="425"/>
        <w:rPr>
          <w:rFonts w:cs="Tahoma"/>
          <w:szCs w:val="18"/>
        </w:rPr>
      </w:pPr>
      <w:r w:rsidRPr="00D50652">
        <w:rPr>
          <w:rFonts w:cs="Tahoma"/>
          <w:szCs w:val="18"/>
        </w:rPr>
        <w:t xml:space="preserve">Bireysel emeklilik sistemini yaygınlaştırmak ve istikrarlı bir büyüme yapısı için gerekli olan </w:t>
      </w:r>
      <w:r>
        <w:rPr>
          <w:rFonts w:cs="Tahoma"/>
          <w:szCs w:val="18"/>
        </w:rPr>
        <w:t>yurtiçi</w:t>
      </w:r>
      <w:r w:rsidRPr="00D50652">
        <w:rPr>
          <w:rFonts w:cs="Tahoma"/>
          <w:szCs w:val="18"/>
        </w:rPr>
        <w:t xml:space="preserve"> tasarrufları artırmak amacıyla 29 Haziran 2012 tarihinde Resmi Gazete’de yayımlanan 6327 sayılı Kanunla Bireysel Emeklilik Sisteminde değişiklikler yapılmıştır. Buna göre doğrudan devlet katkısının sisteme dâhil edilmesiyle katılımcı sayısının artırılması amaçlanmıştır. Eski sistemde katılımcıların yüzde 30-35’i vergi matrahı indiriminden yararlanabilirken (genellikle ücretli çalışanlar), yeni sistemle birlikte devlet katkısından katılımcıların tamamı faydalanabilecektir. Bu düzenlemeyle sistemden ayrılacak katılımcılar için stopaj kesintisi sadece getiri üzerinden yapılacaktır.</w:t>
      </w:r>
    </w:p>
    <w:p w:rsidR="00565FD5" w:rsidRPr="00D50652" w:rsidRDefault="00565FD5" w:rsidP="00565FD5">
      <w:pPr>
        <w:spacing w:after="120"/>
        <w:ind w:firstLine="425"/>
        <w:rPr>
          <w:rFonts w:cs="Tahoma"/>
          <w:b/>
          <w:szCs w:val="18"/>
          <w:lang w:eastAsia="ko-KR"/>
        </w:rPr>
      </w:pPr>
      <w:r w:rsidRPr="00D50652">
        <w:rPr>
          <w:rFonts w:cs="Tahoma"/>
          <w:b/>
          <w:szCs w:val="18"/>
          <w:lang w:eastAsia="ko-KR"/>
        </w:rPr>
        <w:t>BDDK Gözetimindeki Banka Dışı Finansal Kuruluşlar</w:t>
      </w:r>
    </w:p>
    <w:p w:rsidR="00565FD5" w:rsidRPr="00D50652" w:rsidRDefault="00565FD5" w:rsidP="00565FD5">
      <w:pPr>
        <w:spacing w:after="120"/>
        <w:ind w:firstLine="425"/>
        <w:rPr>
          <w:rFonts w:ascii="Times New Roman" w:hAnsi="Times New Roman"/>
          <w:sz w:val="24"/>
          <w:szCs w:val="24"/>
          <w:lang w:eastAsia="tr-TR"/>
        </w:rPr>
      </w:pPr>
      <w:r w:rsidRPr="00D50652">
        <w:rPr>
          <w:rFonts w:cs="Tahoma"/>
          <w:szCs w:val="18"/>
        </w:rPr>
        <w:t xml:space="preserve">2012 yılı Haziran ayı itibarıyla bir önceki yılın aynı dönemine göre finansal kiralama şirketlerinin sayısı 2 adet azalırken faktoring şirketlerinin sayısı 1; tüketici finansman şirketlerinin sayısı 2 adet artmıştır. </w:t>
      </w:r>
    </w:p>
    <w:p w:rsidR="00565FD5" w:rsidRPr="00D50652" w:rsidRDefault="00565FD5" w:rsidP="00565FD5">
      <w:pPr>
        <w:pStyle w:val="ResimYazs"/>
      </w:pPr>
      <w:bookmarkStart w:id="1505" w:name="_Toc307601666"/>
      <w:bookmarkStart w:id="1506" w:name="_Toc307657889"/>
      <w:bookmarkStart w:id="1507" w:name="_Toc307713581"/>
      <w:bookmarkStart w:id="1508" w:name="_Toc338606009"/>
      <w:bookmarkStart w:id="1509" w:name="_Toc338711784"/>
      <w:r>
        <w:t xml:space="preserve">TABLO IV: </w:t>
      </w:r>
      <w:fldSimple w:instr=" SEQ TABLO_IV: \* ARABIC ">
        <w:r>
          <w:rPr>
            <w:noProof/>
          </w:rPr>
          <w:t>14</w:t>
        </w:r>
      </w:fldSimple>
      <w:r w:rsidRPr="00D50652">
        <w:t>- BDDK Gözetimindeki Banka Dışı Finansal Kuruluşların Temel Göstergeleri</w:t>
      </w:r>
      <w:bookmarkEnd w:id="1505"/>
      <w:bookmarkEnd w:id="1506"/>
      <w:bookmarkEnd w:id="1507"/>
      <w:bookmarkEnd w:id="1508"/>
      <w:bookmarkEnd w:id="1509"/>
    </w:p>
    <w:tbl>
      <w:tblPr>
        <w:tblW w:w="7112" w:type="dxa"/>
        <w:tblInd w:w="55" w:type="dxa"/>
        <w:tblBorders>
          <w:top w:val="single" w:sz="6" w:space="0" w:color="auto"/>
          <w:left w:val="single" w:sz="6" w:space="0" w:color="auto"/>
          <w:bottom w:val="single" w:sz="6" w:space="0" w:color="auto"/>
          <w:right w:val="single" w:sz="6" w:space="0" w:color="auto"/>
        </w:tblBorders>
        <w:tblCellMar>
          <w:left w:w="70" w:type="dxa"/>
          <w:right w:w="70" w:type="dxa"/>
        </w:tblCellMar>
        <w:tblLook w:val="00A0"/>
      </w:tblPr>
      <w:tblGrid>
        <w:gridCol w:w="3096"/>
        <w:gridCol w:w="1004"/>
        <w:gridCol w:w="1004"/>
        <w:gridCol w:w="1004"/>
        <w:gridCol w:w="1004"/>
      </w:tblGrid>
      <w:tr w:rsidR="00565FD5" w:rsidRPr="00443EFC" w:rsidTr="00AB62A3">
        <w:trPr>
          <w:trHeight w:hRule="exact" w:val="113"/>
        </w:trPr>
        <w:tc>
          <w:tcPr>
            <w:tcW w:w="3096" w:type="dxa"/>
            <w:vMerge w:val="restart"/>
            <w:tcBorders>
              <w:top w:val="single" w:sz="6" w:space="0" w:color="auto"/>
            </w:tcBorders>
            <w:vAlign w:val="center"/>
          </w:tcPr>
          <w:p w:rsidR="00565FD5" w:rsidRPr="00443EFC" w:rsidRDefault="00565FD5" w:rsidP="00AB62A3">
            <w:pPr>
              <w:rPr>
                <w:rFonts w:cs="Tahoma"/>
                <w:color w:val="000000"/>
                <w:sz w:val="15"/>
                <w:szCs w:val="15"/>
                <w:lang w:eastAsia="tr-TR"/>
              </w:rPr>
            </w:pPr>
            <w:r w:rsidRPr="00443EFC">
              <w:rPr>
                <w:rFonts w:cs="Tahoma"/>
                <w:color w:val="000000"/>
                <w:sz w:val="15"/>
                <w:szCs w:val="15"/>
                <w:lang w:eastAsia="ko-KR"/>
              </w:rPr>
              <w:t> </w:t>
            </w:r>
          </w:p>
        </w:tc>
        <w:tc>
          <w:tcPr>
            <w:tcW w:w="1004" w:type="dxa"/>
            <w:vMerge w:val="restart"/>
            <w:tcBorders>
              <w:top w:val="single" w:sz="6" w:space="0" w:color="auto"/>
            </w:tcBorders>
            <w:vAlign w:val="center"/>
          </w:tcPr>
          <w:p w:rsidR="00565FD5" w:rsidRPr="00443EFC" w:rsidRDefault="00565FD5" w:rsidP="00AB62A3">
            <w:pPr>
              <w:jc w:val="right"/>
              <w:rPr>
                <w:rFonts w:cs="Tahoma"/>
                <w:b/>
                <w:bCs/>
                <w:color w:val="000000"/>
                <w:sz w:val="15"/>
                <w:szCs w:val="15"/>
                <w:lang w:eastAsia="tr-TR"/>
              </w:rPr>
            </w:pPr>
            <w:r w:rsidRPr="00443EFC">
              <w:rPr>
                <w:rFonts w:cs="Tahoma"/>
                <w:b/>
                <w:bCs/>
                <w:color w:val="000000"/>
                <w:sz w:val="15"/>
                <w:szCs w:val="15"/>
                <w:lang w:eastAsia="tr-TR"/>
              </w:rPr>
              <w:t> </w:t>
            </w:r>
          </w:p>
        </w:tc>
        <w:tc>
          <w:tcPr>
            <w:tcW w:w="1004" w:type="dxa"/>
            <w:vMerge w:val="restart"/>
            <w:tcBorders>
              <w:top w:val="single" w:sz="6" w:space="0" w:color="auto"/>
            </w:tcBorders>
            <w:vAlign w:val="center"/>
          </w:tcPr>
          <w:p w:rsidR="00565FD5" w:rsidRPr="00443EFC" w:rsidRDefault="00565FD5" w:rsidP="00AB62A3">
            <w:pPr>
              <w:jc w:val="right"/>
              <w:rPr>
                <w:rFonts w:cs="Tahoma"/>
                <w:b/>
                <w:bCs/>
                <w:color w:val="000000"/>
                <w:sz w:val="15"/>
                <w:szCs w:val="15"/>
                <w:lang w:eastAsia="tr-TR"/>
              </w:rPr>
            </w:pPr>
            <w:r w:rsidRPr="00443EFC">
              <w:rPr>
                <w:rFonts w:cs="Tahoma"/>
                <w:b/>
                <w:bCs/>
                <w:color w:val="000000"/>
                <w:sz w:val="15"/>
                <w:szCs w:val="15"/>
                <w:lang w:eastAsia="tr-TR"/>
              </w:rPr>
              <w:t> </w:t>
            </w:r>
          </w:p>
        </w:tc>
        <w:tc>
          <w:tcPr>
            <w:tcW w:w="2008" w:type="dxa"/>
            <w:gridSpan w:val="2"/>
            <w:vMerge w:val="restart"/>
            <w:tcBorders>
              <w:top w:val="single" w:sz="6" w:space="0" w:color="auto"/>
            </w:tcBorders>
            <w:vAlign w:val="center"/>
          </w:tcPr>
          <w:p w:rsidR="00565FD5" w:rsidRPr="00443EFC" w:rsidRDefault="00565FD5" w:rsidP="00AB62A3">
            <w:pPr>
              <w:jc w:val="center"/>
              <w:rPr>
                <w:rFonts w:cs="Tahoma"/>
                <w:b/>
                <w:bCs/>
                <w:color w:val="000000"/>
                <w:sz w:val="15"/>
                <w:szCs w:val="15"/>
                <w:lang w:eastAsia="tr-TR"/>
              </w:rPr>
            </w:pPr>
            <w:r w:rsidRPr="00443EFC">
              <w:rPr>
                <w:rFonts w:cs="Tahoma"/>
                <w:b/>
                <w:bCs/>
                <w:color w:val="000000"/>
                <w:sz w:val="15"/>
                <w:szCs w:val="15"/>
                <w:lang w:eastAsia="tr-TR"/>
              </w:rPr>
              <w:t>Haziran</w:t>
            </w:r>
          </w:p>
        </w:tc>
      </w:tr>
      <w:tr w:rsidR="00565FD5" w:rsidRPr="00443EFC" w:rsidTr="00AB62A3">
        <w:trPr>
          <w:trHeight w:val="411"/>
        </w:trPr>
        <w:tc>
          <w:tcPr>
            <w:tcW w:w="3096" w:type="dxa"/>
            <w:vMerge/>
            <w:tcBorders>
              <w:bottom w:val="nil"/>
            </w:tcBorders>
            <w:vAlign w:val="center"/>
          </w:tcPr>
          <w:p w:rsidR="00565FD5" w:rsidRPr="00443EFC" w:rsidRDefault="00565FD5" w:rsidP="00AB62A3">
            <w:pPr>
              <w:rPr>
                <w:rFonts w:cs="Tahoma"/>
                <w:color w:val="000000"/>
                <w:sz w:val="15"/>
                <w:szCs w:val="15"/>
                <w:lang w:eastAsia="tr-TR"/>
              </w:rPr>
            </w:pPr>
          </w:p>
        </w:tc>
        <w:tc>
          <w:tcPr>
            <w:tcW w:w="1004" w:type="dxa"/>
            <w:vMerge/>
            <w:tcBorders>
              <w:bottom w:val="nil"/>
            </w:tcBorders>
            <w:vAlign w:val="center"/>
          </w:tcPr>
          <w:p w:rsidR="00565FD5" w:rsidRPr="00443EFC" w:rsidRDefault="00565FD5" w:rsidP="00AB62A3">
            <w:pPr>
              <w:rPr>
                <w:rFonts w:cs="Tahoma"/>
                <w:b/>
                <w:bCs/>
                <w:color w:val="000000"/>
                <w:sz w:val="15"/>
                <w:szCs w:val="15"/>
                <w:lang w:eastAsia="tr-TR"/>
              </w:rPr>
            </w:pPr>
          </w:p>
        </w:tc>
        <w:tc>
          <w:tcPr>
            <w:tcW w:w="1004" w:type="dxa"/>
            <w:vMerge/>
            <w:tcBorders>
              <w:bottom w:val="nil"/>
            </w:tcBorders>
            <w:vAlign w:val="center"/>
          </w:tcPr>
          <w:p w:rsidR="00565FD5" w:rsidRPr="00443EFC" w:rsidRDefault="00565FD5" w:rsidP="00AB62A3">
            <w:pPr>
              <w:rPr>
                <w:rFonts w:cs="Tahoma"/>
                <w:b/>
                <w:bCs/>
                <w:color w:val="000000"/>
                <w:sz w:val="15"/>
                <w:szCs w:val="15"/>
                <w:lang w:eastAsia="tr-TR"/>
              </w:rPr>
            </w:pPr>
          </w:p>
        </w:tc>
        <w:tc>
          <w:tcPr>
            <w:tcW w:w="2008" w:type="dxa"/>
            <w:gridSpan w:val="2"/>
            <w:vMerge/>
            <w:tcBorders>
              <w:bottom w:val="single" w:sz="6" w:space="0" w:color="auto"/>
            </w:tcBorders>
            <w:vAlign w:val="center"/>
          </w:tcPr>
          <w:p w:rsidR="00565FD5" w:rsidRPr="00443EFC" w:rsidRDefault="00565FD5" w:rsidP="00AB62A3">
            <w:pPr>
              <w:rPr>
                <w:rFonts w:cs="Tahoma"/>
                <w:b/>
                <w:bCs/>
                <w:color w:val="000000"/>
                <w:sz w:val="15"/>
                <w:szCs w:val="15"/>
                <w:lang w:eastAsia="tr-TR"/>
              </w:rPr>
            </w:pPr>
          </w:p>
        </w:tc>
      </w:tr>
      <w:tr w:rsidR="00565FD5" w:rsidRPr="00443EFC" w:rsidTr="00AB62A3">
        <w:trPr>
          <w:trHeight w:val="20"/>
        </w:trPr>
        <w:tc>
          <w:tcPr>
            <w:tcW w:w="3096" w:type="dxa"/>
            <w:tcBorders>
              <w:top w:val="nil"/>
              <w:bottom w:val="single" w:sz="6" w:space="0" w:color="auto"/>
            </w:tcBorders>
            <w:vAlign w:val="center"/>
          </w:tcPr>
          <w:p w:rsidR="00565FD5" w:rsidRPr="00443EFC" w:rsidRDefault="00565FD5" w:rsidP="00AB62A3">
            <w:pPr>
              <w:rPr>
                <w:rFonts w:cs="Tahoma"/>
                <w:color w:val="000000"/>
                <w:sz w:val="15"/>
                <w:szCs w:val="15"/>
                <w:lang w:eastAsia="tr-TR"/>
              </w:rPr>
            </w:pPr>
            <w:r w:rsidRPr="00443EFC">
              <w:rPr>
                <w:rFonts w:cs="Tahoma"/>
                <w:color w:val="000000"/>
                <w:sz w:val="15"/>
                <w:szCs w:val="15"/>
                <w:lang w:eastAsia="ko-KR"/>
              </w:rPr>
              <w:t> </w:t>
            </w:r>
          </w:p>
        </w:tc>
        <w:tc>
          <w:tcPr>
            <w:tcW w:w="1004" w:type="dxa"/>
            <w:tcBorders>
              <w:top w:val="nil"/>
              <w:bottom w:val="single" w:sz="6" w:space="0" w:color="auto"/>
            </w:tcBorders>
            <w:vAlign w:val="center"/>
          </w:tcPr>
          <w:p w:rsidR="00565FD5" w:rsidRPr="00443EFC" w:rsidRDefault="00565FD5" w:rsidP="00AB62A3">
            <w:pPr>
              <w:jc w:val="right"/>
              <w:rPr>
                <w:rFonts w:cs="Tahoma"/>
                <w:b/>
                <w:bCs/>
                <w:color w:val="000000"/>
                <w:sz w:val="15"/>
                <w:szCs w:val="15"/>
                <w:lang w:eastAsia="tr-TR"/>
              </w:rPr>
            </w:pPr>
            <w:r w:rsidRPr="00443EFC">
              <w:rPr>
                <w:rFonts w:cs="Tahoma"/>
                <w:b/>
                <w:bCs/>
                <w:color w:val="000000"/>
                <w:sz w:val="15"/>
                <w:szCs w:val="15"/>
                <w:lang w:eastAsia="tr-TR"/>
              </w:rPr>
              <w:t>2010</w:t>
            </w:r>
          </w:p>
        </w:tc>
        <w:tc>
          <w:tcPr>
            <w:tcW w:w="1004" w:type="dxa"/>
            <w:tcBorders>
              <w:top w:val="nil"/>
              <w:bottom w:val="single" w:sz="6" w:space="0" w:color="auto"/>
            </w:tcBorders>
            <w:vAlign w:val="center"/>
          </w:tcPr>
          <w:p w:rsidR="00565FD5" w:rsidRPr="00443EFC" w:rsidRDefault="00565FD5" w:rsidP="00AB62A3">
            <w:pPr>
              <w:jc w:val="right"/>
              <w:rPr>
                <w:rFonts w:cs="Tahoma"/>
                <w:b/>
                <w:bCs/>
                <w:color w:val="000000"/>
                <w:sz w:val="15"/>
                <w:szCs w:val="15"/>
                <w:lang w:eastAsia="tr-TR"/>
              </w:rPr>
            </w:pPr>
            <w:r w:rsidRPr="00443EFC">
              <w:rPr>
                <w:rFonts w:cs="Tahoma"/>
                <w:b/>
                <w:bCs/>
                <w:color w:val="000000"/>
                <w:sz w:val="15"/>
                <w:szCs w:val="15"/>
                <w:lang w:eastAsia="tr-TR"/>
              </w:rPr>
              <w:t>2011</w:t>
            </w:r>
          </w:p>
        </w:tc>
        <w:tc>
          <w:tcPr>
            <w:tcW w:w="1004" w:type="dxa"/>
            <w:tcBorders>
              <w:top w:val="single" w:sz="6" w:space="0" w:color="auto"/>
              <w:bottom w:val="single" w:sz="6" w:space="0" w:color="auto"/>
            </w:tcBorders>
            <w:vAlign w:val="center"/>
          </w:tcPr>
          <w:p w:rsidR="00565FD5" w:rsidRPr="00443EFC" w:rsidRDefault="00565FD5" w:rsidP="00AB62A3">
            <w:pPr>
              <w:jc w:val="right"/>
              <w:rPr>
                <w:rFonts w:cs="Tahoma"/>
                <w:b/>
                <w:bCs/>
                <w:color w:val="000000"/>
                <w:sz w:val="15"/>
                <w:szCs w:val="15"/>
                <w:lang w:eastAsia="tr-TR"/>
              </w:rPr>
            </w:pPr>
            <w:r w:rsidRPr="00443EFC">
              <w:rPr>
                <w:rFonts w:cs="Tahoma"/>
                <w:b/>
                <w:bCs/>
                <w:color w:val="000000"/>
                <w:sz w:val="15"/>
                <w:szCs w:val="15"/>
                <w:lang w:eastAsia="tr-TR"/>
              </w:rPr>
              <w:t>2011</w:t>
            </w:r>
          </w:p>
        </w:tc>
        <w:tc>
          <w:tcPr>
            <w:tcW w:w="1004" w:type="dxa"/>
            <w:tcBorders>
              <w:top w:val="single" w:sz="6" w:space="0" w:color="auto"/>
              <w:bottom w:val="single" w:sz="6" w:space="0" w:color="auto"/>
            </w:tcBorders>
            <w:vAlign w:val="center"/>
          </w:tcPr>
          <w:p w:rsidR="00565FD5" w:rsidRPr="00443EFC" w:rsidRDefault="00565FD5" w:rsidP="00AB62A3">
            <w:pPr>
              <w:jc w:val="right"/>
              <w:rPr>
                <w:rFonts w:cs="Tahoma"/>
                <w:b/>
                <w:bCs/>
                <w:color w:val="000000"/>
                <w:sz w:val="15"/>
                <w:szCs w:val="15"/>
                <w:lang w:eastAsia="tr-TR"/>
              </w:rPr>
            </w:pPr>
            <w:r w:rsidRPr="00443EFC">
              <w:rPr>
                <w:rFonts w:cs="Tahoma"/>
                <w:b/>
                <w:bCs/>
                <w:color w:val="000000"/>
                <w:sz w:val="15"/>
                <w:szCs w:val="15"/>
                <w:lang w:eastAsia="tr-TR"/>
              </w:rPr>
              <w:t>2012</w:t>
            </w:r>
          </w:p>
        </w:tc>
      </w:tr>
      <w:tr w:rsidR="00565FD5" w:rsidRPr="00443EFC" w:rsidTr="00AB62A3">
        <w:trPr>
          <w:trHeight w:val="20"/>
        </w:trPr>
        <w:tc>
          <w:tcPr>
            <w:tcW w:w="3096" w:type="dxa"/>
            <w:tcBorders>
              <w:top w:val="single" w:sz="6" w:space="0" w:color="auto"/>
            </w:tcBorders>
            <w:vAlign w:val="center"/>
          </w:tcPr>
          <w:p w:rsidR="00565FD5" w:rsidRPr="00443EFC" w:rsidRDefault="00565FD5" w:rsidP="00AB62A3">
            <w:pPr>
              <w:rPr>
                <w:rFonts w:cs="Tahoma"/>
                <w:b/>
                <w:bCs/>
                <w:color w:val="000000"/>
                <w:sz w:val="15"/>
                <w:szCs w:val="15"/>
                <w:lang w:eastAsia="tr-TR"/>
              </w:rPr>
            </w:pPr>
            <w:r w:rsidRPr="00443EFC">
              <w:rPr>
                <w:rFonts w:cs="Tahoma"/>
                <w:b/>
                <w:bCs/>
                <w:color w:val="000000"/>
                <w:sz w:val="15"/>
                <w:szCs w:val="15"/>
                <w:lang w:eastAsia="ko-KR"/>
              </w:rPr>
              <w:t>Finansal Kiralama Şirketleri</w:t>
            </w:r>
          </w:p>
        </w:tc>
        <w:tc>
          <w:tcPr>
            <w:tcW w:w="1004" w:type="dxa"/>
            <w:tcBorders>
              <w:top w:val="single" w:sz="6" w:space="0" w:color="auto"/>
            </w:tcBorders>
            <w:vAlign w:val="center"/>
          </w:tcPr>
          <w:p w:rsidR="00565FD5" w:rsidRPr="00443EFC" w:rsidRDefault="00565FD5" w:rsidP="00AB62A3">
            <w:pPr>
              <w:jc w:val="center"/>
              <w:rPr>
                <w:rFonts w:cs="Tahoma"/>
                <w:color w:val="000000"/>
                <w:sz w:val="15"/>
                <w:szCs w:val="15"/>
                <w:lang w:eastAsia="tr-TR"/>
              </w:rPr>
            </w:pPr>
          </w:p>
        </w:tc>
        <w:tc>
          <w:tcPr>
            <w:tcW w:w="1004" w:type="dxa"/>
            <w:tcBorders>
              <w:top w:val="single" w:sz="6" w:space="0" w:color="auto"/>
            </w:tcBorders>
            <w:vAlign w:val="center"/>
          </w:tcPr>
          <w:p w:rsidR="00565FD5" w:rsidRPr="00443EFC" w:rsidRDefault="00565FD5" w:rsidP="00AB62A3">
            <w:pPr>
              <w:jc w:val="center"/>
              <w:rPr>
                <w:rFonts w:cs="Tahoma"/>
                <w:color w:val="000000"/>
                <w:sz w:val="15"/>
                <w:szCs w:val="15"/>
                <w:lang w:eastAsia="tr-TR"/>
              </w:rPr>
            </w:pPr>
          </w:p>
        </w:tc>
        <w:tc>
          <w:tcPr>
            <w:tcW w:w="1004" w:type="dxa"/>
            <w:tcBorders>
              <w:top w:val="single" w:sz="6" w:space="0" w:color="auto"/>
            </w:tcBorders>
            <w:vAlign w:val="center"/>
          </w:tcPr>
          <w:p w:rsidR="00565FD5" w:rsidRPr="00443EFC" w:rsidRDefault="00565FD5" w:rsidP="00AB62A3">
            <w:pPr>
              <w:jc w:val="center"/>
              <w:rPr>
                <w:rFonts w:cs="Tahoma"/>
                <w:color w:val="000000"/>
                <w:sz w:val="15"/>
                <w:szCs w:val="15"/>
                <w:lang w:eastAsia="tr-TR"/>
              </w:rPr>
            </w:pPr>
          </w:p>
        </w:tc>
        <w:tc>
          <w:tcPr>
            <w:tcW w:w="1004" w:type="dxa"/>
            <w:tcBorders>
              <w:top w:val="single" w:sz="6" w:space="0" w:color="auto"/>
            </w:tcBorders>
            <w:vAlign w:val="center"/>
          </w:tcPr>
          <w:p w:rsidR="00565FD5" w:rsidRPr="00443EFC" w:rsidRDefault="00565FD5" w:rsidP="00AB62A3">
            <w:pPr>
              <w:jc w:val="center"/>
              <w:rPr>
                <w:rFonts w:cs="Tahoma"/>
                <w:color w:val="000000"/>
                <w:sz w:val="15"/>
                <w:szCs w:val="15"/>
                <w:lang w:eastAsia="tr-TR"/>
              </w:rPr>
            </w:pPr>
            <w:r w:rsidRPr="00443EFC">
              <w:rPr>
                <w:rFonts w:cs="Tahoma"/>
                <w:color w:val="000000"/>
                <w:sz w:val="15"/>
                <w:szCs w:val="15"/>
                <w:lang w:eastAsia="ko-KR"/>
              </w:rPr>
              <w:t> </w:t>
            </w:r>
          </w:p>
        </w:tc>
      </w:tr>
      <w:tr w:rsidR="00565FD5" w:rsidRPr="00443EFC" w:rsidTr="00AB62A3">
        <w:trPr>
          <w:trHeight w:val="20"/>
        </w:trPr>
        <w:tc>
          <w:tcPr>
            <w:tcW w:w="3096" w:type="dxa"/>
            <w:vAlign w:val="center"/>
          </w:tcPr>
          <w:p w:rsidR="00565FD5" w:rsidRPr="00443EFC" w:rsidRDefault="00565FD5" w:rsidP="00AB62A3">
            <w:pPr>
              <w:rPr>
                <w:rFonts w:cs="Tahoma"/>
                <w:color w:val="000000"/>
                <w:sz w:val="15"/>
                <w:szCs w:val="15"/>
                <w:lang w:eastAsia="tr-TR"/>
              </w:rPr>
            </w:pPr>
            <w:r w:rsidRPr="00443EFC">
              <w:rPr>
                <w:rFonts w:cs="Tahoma"/>
                <w:color w:val="000000"/>
                <w:sz w:val="15"/>
                <w:szCs w:val="15"/>
                <w:lang w:eastAsia="ko-KR"/>
              </w:rPr>
              <w:t xml:space="preserve">   Şirket Sayısı </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35</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31</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ko-KR"/>
              </w:rPr>
              <w:t>33</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31</w:t>
            </w:r>
          </w:p>
        </w:tc>
      </w:tr>
      <w:tr w:rsidR="00565FD5" w:rsidRPr="00443EFC" w:rsidTr="00AB62A3">
        <w:trPr>
          <w:trHeight w:val="20"/>
        </w:trPr>
        <w:tc>
          <w:tcPr>
            <w:tcW w:w="3096" w:type="dxa"/>
            <w:vAlign w:val="center"/>
          </w:tcPr>
          <w:p w:rsidR="00565FD5" w:rsidRPr="00443EFC" w:rsidRDefault="00565FD5" w:rsidP="00AB62A3">
            <w:pPr>
              <w:rPr>
                <w:rFonts w:cs="Tahoma"/>
                <w:color w:val="000000"/>
                <w:sz w:val="15"/>
                <w:szCs w:val="15"/>
                <w:lang w:eastAsia="tr-TR"/>
              </w:rPr>
            </w:pPr>
            <w:r w:rsidRPr="00443EFC">
              <w:rPr>
                <w:rFonts w:cs="Tahoma"/>
                <w:color w:val="000000"/>
                <w:sz w:val="15"/>
                <w:szCs w:val="15"/>
                <w:lang w:eastAsia="ko-KR"/>
              </w:rPr>
              <w:t xml:space="preserve">   Şube Sayısı </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16</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17</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ko-KR"/>
              </w:rPr>
              <w:t>17</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18</w:t>
            </w:r>
          </w:p>
        </w:tc>
      </w:tr>
      <w:tr w:rsidR="00565FD5" w:rsidRPr="00443EFC" w:rsidTr="00AB62A3">
        <w:trPr>
          <w:trHeight w:val="20"/>
        </w:trPr>
        <w:tc>
          <w:tcPr>
            <w:tcW w:w="3096" w:type="dxa"/>
            <w:vAlign w:val="center"/>
          </w:tcPr>
          <w:p w:rsidR="00565FD5" w:rsidRPr="00443EFC" w:rsidRDefault="00565FD5" w:rsidP="00AB62A3">
            <w:pPr>
              <w:rPr>
                <w:rFonts w:cs="Tahoma"/>
                <w:color w:val="000000"/>
                <w:sz w:val="15"/>
                <w:szCs w:val="15"/>
                <w:lang w:eastAsia="tr-TR"/>
              </w:rPr>
            </w:pPr>
            <w:r w:rsidRPr="00443EFC">
              <w:rPr>
                <w:rFonts w:cs="Tahoma"/>
                <w:color w:val="000000"/>
                <w:sz w:val="15"/>
                <w:szCs w:val="15"/>
                <w:lang w:eastAsia="ko-KR"/>
              </w:rPr>
              <w:t xml:space="preserve">   Personel Sayısı (Kişi)</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1 286</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1 217</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ko-KR"/>
              </w:rPr>
              <w:t>1 281</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1 251</w:t>
            </w:r>
          </w:p>
        </w:tc>
      </w:tr>
      <w:tr w:rsidR="00565FD5" w:rsidRPr="00443EFC" w:rsidTr="00AB62A3">
        <w:trPr>
          <w:trHeight w:val="20"/>
        </w:trPr>
        <w:tc>
          <w:tcPr>
            <w:tcW w:w="3096" w:type="dxa"/>
            <w:vAlign w:val="center"/>
          </w:tcPr>
          <w:p w:rsidR="00565FD5" w:rsidRPr="00443EFC" w:rsidRDefault="00565FD5" w:rsidP="00AB62A3">
            <w:pPr>
              <w:rPr>
                <w:rFonts w:cs="Tahoma"/>
                <w:color w:val="000000"/>
                <w:sz w:val="15"/>
                <w:szCs w:val="15"/>
                <w:lang w:eastAsia="tr-TR"/>
              </w:rPr>
            </w:pPr>
            <w:r w:rsidRPr="00443EFC">
              <w:rPr>
                <w:rFonts w:cs="Tahoma"/>
                <w:color w:val="000000"/>
                <w:sz w:val="15"/>
                <w:szCs w:val="15"/>
                <w:lang w:eastAsia="ko-KR"/>
              </w:rPr>
              <w:lastRenderedPageBreak/>
              <w:t xml:space="preserve">   Aktif Büyüklüğü (Milyon TL)</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15 749</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18 604</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ko-KR"/>
              </w:rPr>
              <w:t>17 056</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19 286</w:t>
            </w:r>
          </w:p>
        </w:tc>
      </w:tr>
      <w:tr w:rsidR="00565FD5" w:rsidRPr="00443EFC" w:rsidTr="00AB62A3">
        <w:trPr>
          <w:trHeight w:val="20"/>
        </w:trPr>
        <w:tc>
          <w:tcPr>
            <w:tcW w:w="3096" w:type="dxa"/>
            <w:vAlign w:val="center"/>
          </w:tcPr>
          <w:p w:rsidR="00565FD5" w:rsidRPr="00443EFC" w:rsidRDefault="00565FD5" w:rsidP="00AB62A3">
            <w:pPr>
              <w:rPr>
                <w:rFonts w:cs="Tahoma"/>
                <w:color w:val="000000"/>
                <w:sz w:val="15"/>
                <w:szCs w:val="15"/>
                <w:lang w:eastAsia="tr-TR"/>
              </w:rPr>
            </w:pPr>
            <w:r w:rsidRPr="00443EFC">
              <w:rPr>
                <w:rFonts w:cs="Tahoma"/>
                <w:color w:val="000000"/>
                <w:sz w:val="15"/>
                <w:szCs w:val="15"/>
                <w:lang w:eastAsia="ko-KR"/>
              </w:rPr>
              <w:t xml:space="preserve">   Net Dönem Kârı (Milyon TL)</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466</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510</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ko-KR"/>
              </w:rPr>
              <w:t>300</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231</w:t>
            </w:r>
          </w:p>
        </w:tc>
      </w:tr>
      <w:tr w:rsidR="00565FD5" w:rsidRPr="00443EFC" w:rsidTr="00AB62A3">
        <w:trPr>
          <w:trHeight w:val="20"/>
        </w:trPr>
        <w:tc>
          <w:tcPr>
            <w:tcW w:w="3096" w:type="dxa"/>
            <w:vAlign w:val="center"/>
          </w:tcPr>
          <w:p w:rsidR="00565FD5" w:rsidRPr="00443EFC" w:rsidRDefault="00565FD5" w:rsidP="00AB62A3">
            <w:pPr>
              <w:rPr>
                <w:rFonts w:cs="Tahoma"/>
                <w:b/>
                <w:bCs/>
                <w:color w:val="000000"/>
                <w:sz w:val="15"/>
                <w:szCs w:val="15"/>
                <w:lang w:eastAsia="tr-TR"/>
              </w:rPr>
            </w:pPr>
            <w:r w:rsidRPr="00443EFC">
              <w:rPr>
                <w:rFonts w:cs="Tahoma"/>
                <w:b/>
                <w:bCs/>
                <w:color w:val="000000"/>
                <w:sz w:val="15"/>
                <w:szCs w:val="15"/>
                <w:lang w:eastAsia="ko-KR"/>
              </w:rPr>
              <w:t>Faktoring Şirketleri</w:t>
            </w:r>
          </w:p>
        </w:tc>
        <w:tc>
          <w:tcPr>
            <w:tcW w:w="1004" w:type="dxa"/>
            <w:vAlign w:val="center"/>
          </w:tcPr>
          <w:p w:rsidR="00565FD5" w:rsidRPr="00443EFC" w:rsidRDefault="00565FD5" w:rsidP="00AB62A3">
            <w:pPr>
              <w:jc w:val="right"/>
              <w:rPr>
                <w:rFonts w:cs="Tahoma"/>
                <w:color w:val="000000"/>
                <w:sz w:val="15"/>
                <w:szCs w:val="15"/>
                <w:lang w:eastAsia="tr-TR"/>
              </w:rPr>
            </w:pPr>
          </w:p>
        </w:tc>
        <w:tc>
          <w:tcPr>
            <w:tcW w:w="1004" w:type="dxa"/>
            <w:vAlign w:val="center"/>
          </w:tcPr>
          <w:p w:rsidR="00565FD5" w:rsidRPr="00443EFC" w:rsidRDefault="00565FD5" w:rsidP="00AB62A3">
            <w:pPr>
              <w:jc w:val="right"/>
              <w:rPr>
                <w:rFonts w:cs="Tahoma"/>
                <w:color w:val="000000"/>
                <w:sz w:val="15"/>
                <w:szCs w:val="15"/>
                <w:lang w:eastAsia="tr-TR"/>
              </w:rPr>
            </w:pP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ko-KR"/>
              </w:rPr>
              <w:t> </w:t>
            </w:r>
          </w:p>
        </w:tc>
        <w:tc>
          <w:tcPr>
            <w:tcW w:w="1004" w:type="dxa"/>
            <w:vAlign w:val="center"/>
          </w:tcPr>
          <w:p w:rsidR="00565FD5" w:rsidRPr="00443EFC" w:rsidRDefault="00565FD5" w:rsidP="00AB62A3">
            <w:pPr>
              <w:jc w:val="right"/>
              <w:rPr>
                <w:rFonts w:cs="Tahoma"/>
                <w:color w:val="000000"/>
                <w:sz w:val="15"/>
                <w:szCs w:val="15"/>
                <w:lang w:eastAsia="tr-TR"/>
              </w:rPr>
            </w:pPr>
          </w:p>
        </w:tc>
      </w:tr>
      <w:tr w:rsidR="00565FD5" w:rsidRPr="00443EFC" w:rsidTr="00AB62A3">
        <w:trPr>
          <w:trHeight w:val="20"/>
        </w:trPr>
        <w:tc>
          <w:tcPr>
            <w:tcW w:w="3096" w:type="dxa"/>
            <w:vAlign w:val="center"/>
          </w:tcPr>
          <w:p w:rsidR="00565FD5" w:rsidRPr="00443EFC" w:rsidRDefault="00565FD5" w:rsidP="00AB62A3">
            <w:pPr>
              <w:rPr>
                <w:rFonts w:cs="Tahoma"/>
                <w:color w:val="000000"/>
                <w:sz w:val="15"/>
                <w:szCs w:val="15"/>
                <w:lang w:eastAsia="tr-TR"/>
              </w:rPr>
            </w:pPr>
            <w:r w:rsidRPr="00443EFC">
              <w:rPr>
                <w:rFonts w:cs="Tahoma"/>
                <w:color w:val="000000"/>
                <w:sz w:val="15"/>
                <w:szCs w:val="15"/>
                <w:lang w:eastAsia="ko-KR"/>
              </w:rPr>
              <w:t xml:space="preserve">   Şirket Sayısı </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76</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75</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ko-KR"/>
              </w:rPr>
              <w:t>74</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75</w:t>
            </w:r>
          </w:p>
        </w:tc>
      </w:tr>
      <w:tr w:rsidR="00565FD5" w:rsidRPr="00443EFC" w:rsidTr="00AB62A3">
        <w:trPr>
          <w:trHeight w:val="20"/>
        </w:trPr>
        <w:tc>
          <w:tcPr>
            <w:tcW w:w="3096" w:type="dxa"/>
            <w:vAlign w:val="center"/>
          </w:tcPr>
          <w:p w:rsidR="00565FD5" w:rsidRPr="00443EFC" w:rsidRDefault="00565FD5" w:rsidP="00AB62A3">
            <w:pPr>
              <w:rPr>
                <w:rFonts w:cs="Tahoma"/>
                <w:color w:val="000000"/>
                <w:sz w:val="15"/>
                <w:szCs w:val="15"/>
                <w:lang w:eastAsia="tr-TR"/>
              </w:rPr>
            </w:pPr>
            <w:r w:rsidRPr="00443EFC">
              <w:rPr>
                <w:rFonts w:cs="Tahoma"/>
                <w:color w:val="000000"/>
                <w:sz w:val="15"/>
                <w:szCs w:val="15"/>
                <w:lang w:eastAsia="ko-KR"/>
              </w:rPr>
              <w:t xml:space="preserve">   Şube Sayısı </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28</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25</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ko-KR"/>
              </w:rPr>
              <w:t>33</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32</w:t>
            </w:r>
          </w:p>
        </w:tc>
      </w:tr>
      <w:tr w:rsidR="00565FD5" w:rsidRPr="00443EFC" w:rsidTr="00AB62A3">
        <w:trPr>
          <w:trHeight w:val="20"/>
        </w:trPr>
        <w:tc>
          <w:tcPr>
            <w:tcW w:w="3096" w:type="dxa"/>
            <w:vAlign w:val="center"/>
          </w:tcPr>
          <w:p w:rsidR="00565FD5" w:rsidRPr="00443EFC" w:rsidRDefault="00565FD5" w:rsidP="00AB62A3">
            <w:pPr>
              <w:rPr>
                <w:rFonts w:cs="Tahoma"/>
                <w:color w:val="000000"/>
                <w:sz w:val="15"/>
                <w:szCs w:val="15"/>
                <w:lang w:eastAsia="tr-TR"/>
              </w:rPr>
            </w:pPr>
            <w:r w:rsidRPr="00443EFC">
              <w:rPr>
                <w:rFonts w:cs="Tahoma"/>
                <w:color w:val="000000"/>
                <w:sz w:val="15"/>
                <w:szCs w:val="15"/>
                <w:lang w:eastAsia="ko-KR"/>
              </w:rPr>
              <w:t xml:space="preserve">   Personel Sayısı (Kişi)</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3 557</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3 819</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ko-KR"/>
              </w:rPr>
              <w:t>3 763</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3 987</w:t>
            </w:r>
          </w:p>
        </w:tc>
      </w:tr>
      <w:tr w:rsidR="00565FD5" w:rsidRPr="00443EFC" w:rsidTr="00AB62A3">
        <w:trPr>
          <w:trHeight w:val="20"/>
        </w:trPr>
        <w:tc>
          <w:tcPr>
            <w:tcW w:w="3096" w:type="dxa"/>
            <w:vAlign w:val="center"/>
          </w:tcPr>
          <w:p w:rsidR="00565FD5" w:rsidRPr="00443EFC" w:rsidRDefault="00565FD5" w:rsidP="00AB62A3">
            <w:pPr>
              <w:rPr>
                <w:rFonts w:cs="Tahoma"/>
                <w:color w:val="000000"/>
                <w:sz w:val="15"/>
                <w:szCs w:val="15"/>
                <w:lang w:eastAsia="tr-TR"/>
              </w:rPr>
            </w:pPr>
            <w:r w:rsidRPr="00443EFC">
              <w:rPr>
                <w:rFonts w:cs="Tahoma"/>
                <w:color w:val="000000"/>
                <w:sz w:val="15"/>
                <w:szCs w:val="15"/>
                <w:lang w:eastAsia="ko-KR"/>
              </w:rPr>
              <w:t xml:space="preserve">   Aktif Büyüklük (Milyon TL)</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14 463</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15 622</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ko-KR"/>
              </w:rPr>
              <w:t>15 136</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16 827</w:t>
            </w:r>
          </w:p>
        </w:tc>
      </w:tr>
      <w:tr w:rsidR="00565FD5" w:rsidRPr="00443EFC" w:rsidTr="00AB62A3">
        <w:trPr>
          <w:trHeight w:val="20"/>
        </w:trPr>
        <w:tc>
          <w:tcPr>
            <w:tcW w:w="3096" w:type="dxa"/>
            <w:vAlign w:val="center"/>
          </w:tcPr>
          <w:p w:rsidR="00565FD5" w:rsidRPr="00443EFC" w:rsidRDefault="00565FD5" w:rsidP="00AB62A3">
            <w:pPr>
              <w:rPr>
                <w:rFonts w:cs="Tahoma"/>
                <w:color w:val="000000"/>
                <w:sz w:val="15"/>
                <w:szCs w:val="15"/>
                <w:lang w:eastAsia="tr-TR"/>
              </w:rPr>
            </w:pPr>
            <w:r w:rsidRPr="00443EFC">
              <w:rPr>
                <w:rFonts w:cs="Tahoma"/>
                <w:color w:val="000000"/>
                <w:sz w:val="15"/>
                <w:szCs w:val="15"/>
                <w:lang w:eastAsia="ko-KR"/>
              </w:rPr>
              <w:t xml:space="preserve">   Net Dönem Kârı (Milyon TL)</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412</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493</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ko-KR"/>
              </w:rPr>
              <w:t>224</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318</w:t>
            </w:r>
          </w:p>
        </w:tc>
      </w:tr>
      <w:tr w:rsidR="00565FD5" w:rsidRPr="00443EFC" w:rsidTr="00AB62A3">
        <w:trPr>
          <w:trHeight w:val="20"/>
        </w:trPr>
        <w:tc>
          <w:tcPr>
            <w:tcW w:w="3096" w:type="dxa"/>
            <w:vAlign w:val="center"/>
          </w:tcPr>
          <w:p w:rsidR="00565FD5" w:rsidRPr="00443EFC" w:rsidRDefault="00565FD5" w:rsidP="00AB62A3">
            <w:pPr>
              <w:rPr>
                <w:rFonts w:cs="Tahoma"/>
                <w:b/>
                <w:bCs/>
                <w:color w:val="000000"/>
                <w:sz w:val="15"/>
                <w:szCs w:val="15"/>
                <w:lang w:eastAsia="tr-TR"/>
              </w:rPr>
            </w:pPr>
            <w:r w:rsidRPr="00443EFC">
              <w:rPr>
                <w:rFonts w:cs="Tahoma"/>
                <w:b/>
                <w:bCs/>
                <w:color w:val="000000"/>
                <w:sz w:val="15"/>
                <w:szCs w:val="15"/>
                <w:lang w:eastAsia="ko-KR"/>
              </w:rPr>
              <w:t>Tüketici Finansman Şirketleri</w:t>
            </w:r>
          </w:p>
        </w:tc>
        <w:tc>
          <w:tcPr>
            <w:tcW w:w="1004" w:type="dxa"/>
            <w:vAlign w:val="center"/>
          </w:tcPr>
          <w:p w:rsidR="00565FD5" w:rsidRPr="00443EFC" w:rsidRDefault="00565FD5" w:rsidP="00AB62A3">
            <w:pPr>
              <w:jc w:val="right"/>
              <w:rPr>
                <w:rFonts w:cs="Tahoma"/>
                <w:color w:val="000000"/>
                <w:sz w:val="15"/>
                <w:szCs w:val="15"/>
                <w:lang w:eastAsia="tr-TR"/>
              </w:rPr>
            </w:pPr>
          </w:p>
        </w:tc>
        <w:tc>
          <w:tcPr>
            <w:tcW w:w="1004" w:type="dxa"/>
            <w:vAlign w:val="center"/>
          </w:tcPr>
          <w:p w:rsidR="00565FD5" w:rsidRPr="00443EFC" w:rsidRDefault="00565FD5" w:rsidP="00AB62A3">
            <w:pPr>
              <w:jc w:val="right"/>
              <w:rPr>
                <w:rFonts w:cs="Tahoma"/>
                <w:color w:val="000000"/>
                <w:sz w:val="15"/>
                <w:szCs w:val="15"/>
                <w:lang w:eastAsia="tr-TR"/>
              </w:rPr>
            </w:pP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ko-KR"/>
              </w:rPr>
              <w:t> </w:t>
            </w:r>
          </w:p>
        </w:tc>
        <w:tc>
          <w:tcPr>
            <w:tcW w:w="1004" w:type="dxa"/>
            <w:vAlign w:val="center"/>
          </w:tcPr>
          <w:p w:rsidR="00565FD5" w:rsidRPr="00443EFC" w:rsidRDefault="00565FD5" w:rsidP="00AB62A3">
            <w:pPr>
              <w:jc w:val="right"/>
              <w:rPr>
                <w:rFonts w:cs="Tahoma"/>
                <w:color w:val="000000"/>
                <w:sz w:val="15"/>
                <w:szCs w:val="15"/>
                <w:lang w:eastAsia="tr-TR"/>
              </w:rPr>
            </w:pPr>
          </w:p>
        </w:tc>
      </w:tr>
      <w:tr w:rsidR="00565FD5" w:rsidRPr="00443EFC" w:rsidTr="00AB62A3">
        <w:trPr>
          <w:trHeight w:val="20"/>
        </w:trPr>
        <w:tc>
          <w:tcPr>
            <w:tcW w:w="3096" w:type="dxa"/>
            <w:vAlign w:val="center"/>
          </w:tcPr>
          <w:p w:rsidR="00565FD5" w:rsidRPr="00443EFC" w:rsidRDefault="00565FD5" w:rsidP="00AB62A3">
            <w:pPr>
              <w:rPr>
                <w:rFonts w:cs="Tahoma"/>
                <w:color w:val="000000"/>
                <w:sz w:val="15"/>
                <w:szCs w:val="15"/>
                <w:lang w:eastAsia="tr-TR"/>
              </w:rPr>
            </w:pPr>
            <w:r w:rsidRPr="00443EFC">
              <w:rPr>
                <w:rFonts w:cs="Tahoma"/>
                <w:color w:val="000000"/>
                <w:sz w:val="15"/>
                <w:szCs w:val="15"/>
                <w:lang w:eastAsia="ko-KR"/>
              </w:rPr>
              <w:t xml:space="preserve">   Şirket Sayısı </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11</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12</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ko-KR"/>
              </w:rPr>
              <w:t>11</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13</w:t>
            </w:r>
          </w:p>
        </w:tc>
      </w:tr>
      <w:tr w:rsidR="00565FD5" w:rsidRPr="00443EFC" w:rsidTr="00AB62A3">
        <w:trPr>
          <w:trHeight w:val="20"/>
        </w:trPr>
        <w:tc>
          <w:tcPr>
            <w:tcW w:w="3096" w:type="dxa"/>
            <w:vAlign w:val="center"/>
          </w:tcPr>
          <w:p w:rsidR="00565FD5" w:rsidRPr="00443EFC" w:rsidRDefault="00565FD5" w:rsidP="00AB62A3">
            <w:pPr>
              <w:rPr>
                <w:rFonts w:cs="Tahoma"/>
                <w:color w:val="000000"/>
                <w:sz w:val="15"/>
                <w:szCs w:val="15"/>
                <w:lang w:eastAsia="tr-TR"/>
              </w:rPr>
            </w:pPr>
            <w:r w:rsidRPr="00443EFC">
              <w:rPr>
                <w:rFonts w:cs="Tahoma"/>
                <w:color w:val="000000"/>
                <w:sz w:val="15"/>
                <w:szCs w:val="15"/>
                <w:lang w:eastAsia="ko-KR"/>
              </w:rPr>
              <w:t xml:space="preserve">   Şube Sayısı </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1</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3</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ko-KR"/>
              </w:rPr>
              <w:t>2</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3</w:t>
            </w:r>
          </w:p>
        </w:tc>
      </w:tr>
      <w:tr w:rsidR="00565FD5" w:rsidRPr="00443EFC" w:rsidTr="00AB62A3">
        <w:trPr>
          <w:trHeight w:val="20"/>
        </w:trPr>
        <w:tc>
          <w:tcPr>
            <w:tcW w:w="3096" w:type="dxa"/>
            <w:vAlign w:val="center"/>
          </w:tcPr>
          <w:p w:rsidR="00565FD5" w:rsidRPr="00443EFC" w:rsidRDefault="00565FD5" w:rsidP="00AB62A3">
            <w:pPr>
              <w:rPr>
                <w:rFonts w:cs="Tahoma"/>
                <w:color w:val="000000"/>
                <w:sz w:val="15"/>
                <w:szCs w:val="15"/>
                <w:lang w:eastAsia="tr-TR"/>
              </w:rPr>
            </w:pPr>
            <w:r w:rsidRPr="00443EFC">
              <w:rPr>
                <w:rFonts w:cs="Tahoma"/>
                <w:color w:val="000000"/>
                <w:sz w:val="15"/>
                <w:szCs w:val="15"/>
                <w:lang w:eastAsia="ko-KR"/>
              </w:rPr>
              <w:t xml:space="preserve">   Personel Sayısı (Kişi)</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562</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595</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ko-KR"/>
              </w:rPr>
              <w:t>561</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640</w:t>
            </w:r>
          </w:p>
        </w:tc>
      </w:tr>
      <w:tr w:rsidR="00565FD5" w:rsidRPr="00443EFC" w:rsidTr="00AB62A3">
        <w:trPr>
          <w:trHeight w:val="20"/>
        </w:trPr>
        <w:tc>
          <w:tcPr>
            <w:tcW w:w="3096" w:type="dxa"/>
            <w:vAlign w:val="center"/>
          </w:tcPr>
          <w:p w:rsidR="00565FD5" w:rsidRPr="00443EFC" w:rsidRDefault="00565FD5" w:rsidP="00AB62A3">
            <w:pPr>
              <w:rPr>
                <w:rFonts w:cs="Tahoma"/>
                <w:color w:val="000000"/>
                <w:sz w:val="15"/>
                <w:szCs w:val="15"/>
                <w:lang w:eastAsia="tr-TR"/>
              </w:rPr>
            </w:pPr>
            <w:r w:rsidRPr="00443EFC">
              <w:rPr>
                <w:rFonts w:cs="Tahoma"/>
                <w:color w:val="000000"/>
                <w:sz w:val="15"/>
                <w:szCs w:val="15"/>
                <w:lang w:eastAsia="ko-KR"/>
              </w:rPr>
              <w:t xml:space="preserve">   Aktif Büyüklüğü (Milyon TL)</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6 011</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8 869</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ko-KR"/>
              </w:rPr>
              <w:t>7 231</w:t>
            </w:r>
          </w:p>
        </w:tc>
        <w:tc>
          <w:tcPr>
            <w:tcW w:w="1004" w:type="dxa"/>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10 039</w:t>
            </w:r>
          </w:p>
        </w:tc>
      </w:tr>
      <w:tr w:rsidR="00565FD5" w:rsidRPr="00443EFC" w:rsidTr="00AB62A3">
        <w:trPr>
          <w:trHeight w:val="20"/>
        </w:trPr>
        <w:tc>
          <w:tcPr>
            <w:tcW w:w="3096" w:type="dxa"/>
            <w:tcBorders>
              <w:bottom w:val="single" w:sz="6" w:space="0" w:color="auto"/>
            </w:tcBorders>
            <w:vAlign w:val="center"/>
          </w:tcPr>
          <w:p w:rsidR="00565FD5" w:rsidRPr="00443EFC" w:rsidRDefault="00565FD5" w:rsidP="00AB62A3">
            <w:pPr>
              <w:rPr>
                <w:rFonts w:cs="Tahoma"/>
                <w:color w:val="000000"/>
                <w:sz w:val="15"/>
                <w:szCs w:val="15"/>
                <w:lang w:eastAsia="tr-TR"/>
              </w:rPr>
            </w:pPr>
            <w:r w:rsidRPr="00443EFC">
              <w:rPr>
                <w:rFonts w:cs="Tahoma"/>
                <w:color w:val="000000"/>
                <w:sz w:val="15"/>
                <w:szCs w:val="15"/>
                <w:lang w:eastAsia="ko-KR"/>
              </w:rPr>
              <w:t xml:space="preserve">   Net Dönem Kârı (Milyon TL)</w:t>
            </w:r>
          </w:p>
        </w:tc>
        <w:tc>
          <w:tcPr>
            <w:tcW w:w="1004" w:type="dxa"/>
            <w:tcBorders>
              <w:bottom w:val="single" w:sz="6" w:space="0" w:color="auto"/>
            </w:tcBorders>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ko-KR"/>
              </w:rPr>
              <w:t> 53</w:t>
            </w:r>
          </w:p>
        </w:tc>
        <w:tc>
          <w:tcPr>
            <w:tcW w:w="1004" w:type="dxa"/>
            <w:tcBorders>
              <w:bottom w:val="single" w:sz="6" w:space="0" w:color="auto"/>
            </w:tcBorders>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105</w:t>
            </w:r>
          </w:p>
        </w:tc>
        <w:tc>
          <w:tcPr>
            <w:tcW w:w="1004" w:type="dxa"/>
            <w:tcBorders>
              <w:bottom w:val="single" w:sz="6" w:space="0" w:color="auto"/>
            </w:tcBorders>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ko-KR"/>
              </w:rPr>
              <w:t>54</w:t>
            </w:r>
          </w:p>
        </w:tc>
        <w:tc>
          <w:tcPr>
            <w:tcW w:w="1004" w:type="dxa"/>
            <w:tcBorders>
              <w:bottom w:val="single" w:sz="6" w:space="0" w:color="auto"/>
            </w:tcBorders>
            <w:vAlign w:val="center"/>
          </w:tcPr>
          <w:p w:rsidR="00565FD5" w:rsidRPr="00443EFC" w:rsidRDefault="00565FD5" w:rsidP="00AB62A3">
            <w:pPr>
              <w:jc w:val="right"/>
              <w:rPr>
                <w:rFonts w:cs="Tahoma"/>
                <w:color w:val="000000"/>
                <w:sz w:val="15"/>
                <w:szCs w:val="15"/>
                <w:lang w:eastAsia="tr-TR"/>
              </w:rPr>
            </w:pPr>
            <w:r w:rsidRPr="00443EFC">
              <w:rPr>
                <w:rFonts w:cs="Tahoma"/>
                <w:color w:val="000000"/>
                <w:sz w:val="15"/>
                <w:szCs w:val="15"/>
                <w:lang w:eastAsia="tr-TR"/>
              </w:rPr>
              <w:t>76</w:t>
            </w:r>
          </w:p>
        </w:tc>
      </w:tr>
    </w:tbl>
    <w:p w:rsidR="00565FD5" w:rsidRPr="00D50652" w:rsidRDefault="00565FD5" w:rsidP="00565FD5">
      <w:pPr>
        <w:spacing w:after="240"/>
        <w:rPr>
          <w:rFonts w:cs="Tahoma"/>
          <w:sz w:val="14"/>
          <w:szCs w:val="14"/>
        </w:rPr>
      </w:pPr>
      <w:r w:rsidRPr="00D50652">
        <w:rPr>
          <w:rFonts w:cs="Tahoma"/>
          <w:sz w:val="14"/>
          <w:szCs w:val="14"/>
        </w:rPr>
        <w:t>Kaynak: BDDK</w:t>
      </w:r>
    </w:p>
    <w:p w:rsidR="00565FD5" w:rsidRPr="00D50652" w:rsidRDefault="00565FD5" w:rsidP="00565FD5">
      <w:pPr>
        <w:spacing w:after="140"/>
        <w:ind w:firstLine="425"/>
        <w:rPr>
          <w:rFonts w:cs="Tahoma"/>
          <w:szCs w:val="18"/>
        </w:rPr>
      </w:pPr>
      <w:r w:rsidRPr="00D50652">
        <w:rPr>
          <w:rFonts w:cs="Tahoma"/>
          <w:szCs w:val="18"/>
        </w:rPr>
        <w:t>Finansal kiralama, faktoring ve tüketici finansman şirketlerinin aktif büyüklüğü 2012 yılı Haziran ayı itibarıyla bir önceki yılın aynı dönemine göre sırasıyla yüzde 13,1, yüzde 11,3 ve yüzde 38,8 oranında artmış ve 19,3 milyar TL, 16,8 milyar TL ve 10 milyar TL seviyesinde gerçekleşmiştir. Söz konusu dönemde, net dönem kârı, finansal kiralama şirketlerinde yüzde 23 oranında azalırken; faktoring şirketlerinde yüzde 42 ve tüketici finansman şirketlerinde yüzde 40,7 oranında artış göstermiştir.</w:t>
      </w:r>
    </w:p>
    <w:p w:rsidR="00565FD5" w:rsidRPr="009D028C" w:rsidRDefault="00565FD5" w:rsidP="00565FD5">
      <w:pPr>
        <w:pStyle w:val="Balk4"/>
      </w:pPr>
      <w:bookmarkStart w:id="1510" w:name="_Toc307601982"/>
      <w:bookmarkStart w:id="1511" w:name="_Toc307670431"/>
      <w:bookmarkStart w:id="1512" w:name="_Toc307701657"/>
      <w:bookmarkStart w:id="1513" w:name="_Toc338523791"/>
      <w:bookmarkStart w:id="1514" w:name="_Toc338524022"/>
      <w:bookmarkStart w:id="1515" w:name="_Toc338526248"/>
      <w:bookmarkStart w:id="1516" w:name="_Toc338673691"/>
      <w:bookmarkStart w:id="1517" w:name="_Toc338711570"/>
      <w:r w:rsidRPr="009D028C">
        <w:t>2. Temel Amaç ve Hedefler</w:t>
      </w:r>
      <w:bookmarkEnd w:id="1510"/>
      <w:bookmarkEnd w:id="1511"/>
      <w:bookmarkEnd w:id="1512"/>
      <w:bookmarkEnd w:id="1513"/>
      <w:bookmarkEnd w:id="1514"/>
      <w:bookmarkEnd w:id="1515"/>
      <w:bookmarkEnd w:id="1516"/>
      <w:bookmarkEnd w:id="1517"/>
    </w:p>
    <w:p w:rsidR="00565FD5" w:rsidRPr="009D028C" w:rsidRDefault="00565FD5" w:rsidP="00565FD5">
      <w:pPr>
        <w:spacing w:after="140"/>
        <w:ind w:firstLine="425"/>
        <w:rPr>
          <w:rFonts w:cs="Tahoma"/>
          <w:szCs w:val="18"/>
        </w:rPr>
      </w:pPr>
      <w:bookmarkStart w:id="1518" w:name="_Toc307601983"/>
      <w:bookmarkStart w:id="1519" w:name="_Toc307670432"/>
      <w:bookmarkStart w:id="1520" w:name="_Toc307701658"/>
      <w:r w:rsidRPr="00D50652">
        <w:rPr>
          <w:rFonts w:cs="Tahoma"/>
          <w:szCs w:val="18"/>
        </w:rPr>
        <w:t>Yeni piyasa ve ürünlere açık, uluslararası standartlarda düzenleme ve denetimi yapılan, uluslararası alanda rekabet edebilen kaynakları yatırıma yönlendirecek araç çeşitliliğine ve mali derinliğe sahip bir finansal sistem amaçlanmaktadır.</w:t>
      </w:r>
    </w:p>
    <w:p w:rsidR="00565FD5" w:rsidRPr="009D028C" w:rsidRDefault="00565FD5" w:rsidP="00565FD5">
      <w:pPr>
        <w:spacing w:after="140"/>
        <w:ind w:firstLine="425"/>
        <w:rPr>
          <w:rFonts w:cs="Tahoma"/>
          <w:szCs w:val="18"/>
        </w:rPr>
      </w:pPr>
      <w:r w:rsidRPr="00D50652">
        <w:rPr>
          <w:rFonts w:cs="Tahoma"/>
          <w:szCs w:val="18"/>
        </w:rPr>
        <w:t xml:space="preserve">Finansal piyasalarda güven ve istikrarın artırılması amacıyla; finansal piyasalar daha etkin izlenecek, finans sektöründe düzenleyici yapının kapsamı </w:t>
      </w:r>
      <w:r w:rsidRPr="00D50652">
        <w:rPr>
          <w:rFonts w:cs="Tahoma"/>
          <w:szCs w:val="18"/>
        </w:rPr>
        <w:lastRenderedPageBreak/>
        <w:t>ve etkinliği artırılacak, finansal istikrarın sürdürülmesi ve yurt dışı ilgili mercilerle işbirliğinin artırılması sağlanacaktır.</w:t>
      </w:r>
    </w:p>
    <w:p w:rsidR="00565FD5" w:rsidRPr="009D028C" w:rsidRDefault="00565FD5" w:rsidP="00565FD5">
      <w:pPr>
        <w:spacing w:after="140"/>
        <w:ind w:firstLine="425"/>
        <w:rPr>
          <w:rFonts w:cs="Tahoma"/>
          <w:szCs w:val="18"/>
        </w:rPr>
      </w:pPr>
      <w:r w:rsidRPr="00D50652">
        <w:rPr>
          <w:rFonts w:cs="Tahoma"/>
          <w:szCs w:val="18"/>
        </w:rPr>
        <w:t>İstanbul’u uluslararası bir finans merkezi haline getirme amacı doğrultusunda çalışmalar sürdürülecektir.</w:t>
      </w:r>
    </w:p>
    <w:p w:rsidR="00565FD5" w:rsidRPr="009D028C" w:rsidRDefault="00565FD5" w:rsidP="00565FD5">
      <w:pPr>
        <w:pStyle w:val="Balk4"/>
      </w:pPr>
      <w:bookmarkStart w:id="1521" w:name="_Toc338523792"/>
      <w:bookmarkStart w:id="1522" w:name="_Toc338524023"/>
      <w:bookmarkStart w:id="1523" w:name="_Toc338526249"/>
      <w:bookmarkStart w:id="1524" w:name="_Toc338673692"/>
      <w:bookmarkStart w:id="1525" w:name="_Toc338711571"/>
      <w:r w:rsidRPr="009D028C">
        <w:t>3. Politika Öncelikleri ve Tedbirler</w:t>
      </w:r>
      <w:bookmarkEnd w:id="1518"/>
      <w:bookmarkEnd w:id="1519"/>
      <w:bookmarkEnd w:id="1520"/>
      <w:bookmarkEnd w:id="1521"/>
      <w:bookmarkEnd w:id="1522"/>
      <w:bookmarkEnd w:id="1523"/>
      <w:bookmarkEnd w:id="1524"/>
      <w:bookmarkEnd w:id="1525"/>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36"/>
        <w:gridCol w:w="1883"/>
        <w:gridCol w:w="843"/>
        <w:gridCol w:w="2382"/>
      </w:tblGrid>
      <w:tr w:rsidR="00565FD5" w:rsidRPr="00D50652" w:rsidTr="00AB62A3">
        <w:trPr>
          <w:trHeight w:val="440"/>
          <w:jc w:val="center"/>
        </w:trPr>
        <w:tc>
          <w:tcPr>
            <w:tcW w:w="2021" w:type="dxa"/>
            <w:vAlign w:val="bottom"/>
          </w:tcPr>
          <w:p w:rsidR="00565FD5" w:rsidRPr="00D50652" w:rsidRDefault="00565FD5" w:rsidP="00AB62A3">
            <w:pPr>
              <w:rPr>
                <w:rFonts w:cs="Tahoma"/>
                <w:b/>
                <w:sz w:val="16"/>
                <w:szCs w:val="16"/>
                <w:lang w:eastAsia="tr-TR"/>
              </w:rPr>
            </w:pPr>
            <w:r w:rsidRPr="00D50652">
              <w:rPr>
                <w:rFonts w:cs="Tahoma"/>
                <w:b/>
                <w:sz w:val="16"/>
                <w:szCs w:val="16"/>
                <w:lang w:eastAsia="tr-TR"/>
              </w:rPr>
              <w:t>Öncelik / Tedbir</w:t>
            </w:r>
          </w:p>
        </w:tc>
        <w:tc>
          <w:tcPr>
            <w:tcW w:w="1868" w:type="dxa"/>
            <w:vAlign w:val="bottom"/>
          </w:tcPr>
          <w:p w:rsidR="00565FD5" w:rsidRPr="00D50652" w:rsidRDefault="00565FD5" w:rsidP="00AB62A3">
            <w:pPr>
              <w:rPr>
                <w:rFonts w:cs="Tahoma"/>
                <w:b/>
                <w:sz w:val="16"/>
                <w:szCs w:val="16"/>
                <w:lang w:eastAsia="tr-TR"/>
              </w:rPr>
            </w:pPr>
            <w:r w:rsidRPr="00D50652">
              <w:rPr>
                <w:rFonts w:cs="Tahoma"/>
                <w:b/>
                <w:sz w:val="16"/>
                <w:szCs w:val="16"/>
                <w:lang w:eastAsia="tr-TR"/>
              </w:rPr>
              <w:t>Sorumlu / İşbirliği Yapılacak Kuruluşlar</w:t>
            </w:r>
          </w:p>
        </w:tc>
        <w:tc>
          <w:tcPr>
            <w:tcW w:w="836" w:type="dxa"/>
            <w:vAlign w:val="bottom"/>
          </w:tcPr>
          <w:p w:rsidR="00565FD5" w:rsidRPr="00D50652" w:rsidRDefault="00565FD5" w:rsidP="00AB62A3">
            <w:pPr>
              <w:rPr>
                <w:rFonts w:cs="Tahoma"/>
                <w:b/>
                <w:sz w:val="16"/>
                <w:szCs w:val="16"/>
                <w:lang w:eastAsia="tr-TR"/>
              </w:rPr>
            </w:pPr>
            <w:r w:rsidRPr="00D50652">
              <w:rPr>
                <w:rFonts w:cs="Tahoma"/>
                <w:b/>
                <w:sz w:val="16"/>
                <w:szCs w:val="16"/>
                <w:lang w:eastAsia="tr-TR"/>
              </w:rPr>
              <w:t xml:space="preserve">Süre </w:t>
            </w:r>
          </w:p>
        </w:tc>
        <w:tc>
          <w:tcPr>
            <w:tcW w:w="2363" w:type="dxa"/>
            <w:vAlign w:val="bottom"/>
          </w:tcPr>
          <w:p w:rsidR="00565FD5" w:rsidRPr="00D50652" w:rsidRDefault="00565FD5" w:rsidP="00AB62A3">
            <w:pPr>
              <w:rPr>
                <w:rFonts w:cs="Tahoma"/>
                <w:b/>
                <w:sz w:val="16"/>
                <w:szCs w:val="16"/>
                <w:lang w:eastAsia="tr-TR"/>
              </w:rPr>
            </w:pPr>
            <w:r w:rsidRPr="00D50652">
              <w:rPr>
                <w:rFonts w:cs="Tahoma"/>
                <w:b/>
                <w:sz w:val="16"/>
                <w:szCs w:val="16"/>
                <w:lang w:eastAsia="tr-TR"/>
              </w:rPr>
              <w:t>Yapılacak İşlem ve Açıklama</w:t>
            </w:r>
          </w:p>
        </w:tc>
      </w:tr>
      <w:tr w:rsidR="00565FD5" w:rsidRPr="00D50652" w:rsidTr="00AB62A3">
        <w:trPr>
          <w:jc w:val="center"/>
        </w:trPr>
        <w:tc>
          <w:tcPr>
            <w:tcW w:w="7088" w:type="dxa"/>
            <w:gridSpan w:val="4"/>
          </w:tcPr>
          <w:p w:rsidR="00565FD5" w:rsidRPr="00D50652" w:rsidRDefault="00565FD5" w:rsidP="00EB1E69">
            <w:pPr>
              <w:numPr>
                <w:ilvl w:val="0"/>
                <w:numId w:val="15"/>
              </w:numPr>
              <w:tabs>
                <w:tab w:val="left" w:pos="425"/>
              </w:tabs>
              <w:spacing w:after="0" w:line="240" w:lineRule="auto"/>
              <w:jc w:val="both"/>
              <w:rPr>
                <w:rFonts w:cs="Tahoma"/>
                <w:b/>
                <w:bCs/>
                <w:sz w:val="16"/>
                <w:szCs w:val="16"/>
                <w:lang w:eastAsia="tr-TR"/>
              </w:rPr>
            </w:pPr>
            <w:r w:rsidRPr="00D50652">
              <w:rPr>
                <w:rFonts w:cs="Tahoma"/>
                <w:b/>
                <w:sz w:val="16"/>
                <w:szCs w:val="16"/>
                <w:lang w:eastAsia="tr-TR"/>
              </w:rPr>
              <w:t>Yurtiçi tasarrufların artırılmasında finansal piyasa ve araçlar etkin olarak kullanılacaktır.</w:t>
            </w:r>
            <w:r w:rsidRPr="00D50652">
              <w:rPr>
                <w:rFonts w:cs="Tahoma"/>
                <w:b/>
                <w:bCs/>
                <w:sz w:val="16"/>
                <w:szCs w:val="16"/>
                <w:lang w:eastAsia="tr-TR"/>
              </w:rPr>
              <w:t xml:space="preserve"> </w:t>
            </w:r>
          </w:p>
        </w:tc>
      </w:tr>
      <w:tr w:rsidR="00565FD5" w:rsidRPr="00D50652" w:rsidTr="00AB62A3">
        <w:trPr>
          <w:jc w:val="center"/>
        </w:trPr>
        <w:tc>
          <w:tcPr>
            <w:tcW w:w="2021" w:type="dxa"/>
          </w:tcPr>
          <w:p w:rsidR="00565FD5" w:rsidRPr="00D50652" w:rsidRDefault="00565FD5" w:rsidP="00EB1E69">
            <w:pPr>
              <w:numPr>
                <w:ilvl w:val="0"/>
                <w:numId w:val="14"/>
              </w:numPr>
              <w:tabs>
                <w:tab w:val="left" w:pos="425"/>
              </w:tabs>
              <w:spacing w:after="0" w:line="240" w:lineRule="auto"/>
              <w:rPr>
                <w:rFonts w:cs="Tahoma"/>
                <w:sz w:val="16"/>
                <w:szCs w:val="16"/>
                <w:lang w:eastAsia="tr-TR"/>
              </w:rPr>
            </w:pPr>
            <w:r w:rsidRPr="00D50652">
              <w:rPr>
                <w:rFonts w:cs="Tahoma"/>
                <w:sz w:val="16"/>
                <w:szCs w:val="16"/>
                <w:lang w:eastAsia="tr-TR"/>
              </w:rPr>
              <w:t>Sigorta bilinci geliştirilecek; tanıtım faaliyetleri artırılacaktır.</w:t>
            </w:r>
          </w:p>
          <w:p w:rsidR="00565FD5" w:rsidRPr="00D50652" w:rsidRDefault="00565FD5" w:rsidP="00AB62A3">
            <w:pPr>
              <w:rPr>
                <w:rFonts w:cs="Tahoma"/>
                <w:sz w:val="16"/>
                <w:szCs w:val="16"/>
                <w:lang w:eastAsia="tr-TR"/>
              </w:rPr>
            </w:pPr>
          </w:p>
        </w:tc>
        <w:tc>
          <w:tcPr>
            <w:tcW w:w="1868" w:type="dxa"/>
          </w:tcPr>
          <w:p w:rsidR="00565FD5" w:rsidRPr="00D50652" w:rsidRDefault="00565FD5" w:rsidP="00AB62A3">
            <w:pPr>
              <w:rPr>
                <w:rFonts w:cs="Tahoma"/>
                <w:sz w:val="16"/>
                <w:szCs w:val="16"/>
                <w:lang w:eastAsia="tr-TR"/>
              </w:rPr>
            </w:pPr>
            <w:r w:rsidRPr="00D50652">
              <w:rPr>
                <w:rFonts w:cs="Tahoma"/>
                <w:sz w:val="16"/>
                <w:szCs w:val="16"/>
                <w:lang w:eastAsia="tr-TR"/>
              </w:rPr>
              <w:t>Hazine Müsteşarlığı (S); Türkiye Sigorta Reasürans ve Emeklilik Şirketleri Birliği (TSREŞB),</w:t>
            </w:r>
          </w:p>
          <w:p w:rsidR="00565FD5" w:rsidRPr="00D50652" w:rsidRDefault="00565FD5" w:rsidP="00AB62A3">
            <w:pPr>
              <w:rPr>
                <w:rFonts w:cs="Tahoma"/>
                <w:sz w:val="16"/>
                <w:szCs w:val="16"/>
                <w:lang w:eastAsia="tr-TR"/>
              </w:rPr>
            </w:pPr>
            <w:r w:rsidRPr="00D50652">
              <w:rPr>
                <w:rFonts w:cs="Tahoma"/>
                <w:sz w:val="16"/>
                <w:szCs w:val="16"/>
                <w:lang w:eastAsia="tr-TR"/>
              </w:rPr>
              <w:t>Milli Eğitim Bakanlığı, Sigortacılık Eğitim Merkezi (SEGEM) ve İlgili Kamu Kurum ve Kuruluşları ile meslek örgütleri</w:t>
            </w:r>
          </w:p>
          <w:p w:rsidR="00565FD5" w:rsidRPr="00D50652" w:rsidRDefault="00565FD5" w:rsidP="00AB62A3">
            <w:pPr>
              <w:rPr>
                <w:rFonts w:cs="Tahoma"/>
                <w:sz w:val="16"/>
                <w:szCs w:val="16"/>
                <w:lang w:eastAsia="tr-TR"/>
              </w:rPr>
            </w:pPr>
          </w:p>
        </w:tc>
        <w:tc>
          <w:tcPr>
            <w:tcW w:w="836" w:type="dxa"/>
          </w:tcPr>
          <w:p w:rsidR="00565FD5" w:rsidRPr="00D50652" w:rsidRDefault="00565FD5" w:rsidP="00AB62A3">
            <w:pPr>
              <w:rPr>
                <w:rFonts w:cs="Tahoma"/>
                <w:sz w:val="16"/>
                <w:szCs w:val="16"/>
                <w:lang w:eastAsia="tr-TR"/>
              </w:rPr>
            </w:pPr>
            <w:r w:rsidRPr="00D50652">
              <w:rPr>
                <w:rFonts w:cs="Tahoma"/>
                <w:sz w:val="16"/>
                <w:szCs w:val="16"/>
                <w:lang w:eastAsia="tr-TR"/>
              </w:rPr>
              <w:t>Aralık Sonu</w:t>
            </w:r>
          </w:p>
          <w:p w:rsidR="00565FD5" w:rsidRPr="00D50652" w:rsidRDefault="00565FD5" w:rsidP="00AB62A3">
            <w:pPr>
              <w:rPr>
                <w:rFonts w:cs="Tahoma"/>
                <w:sz w:val="16"/>
                <w:szCs w:val="16"/>
                <w:lang w:eastAsia="tr-TR"/>
              </w:rPr>
            </w:pPr>
          </w:p>
        </w:tc>
        <w:tc>
          <w:tcPr>
            <w:tcW w:w="2363" w:type="dxa"/>
          </w:tcPr>
          <w:p w:rsidR="00565FD5" w:rsidRPr="00D50652" w:rsidRDefault="00565FD5" w:rsidP="00AB62A3">
            <w:pPr>
              <w:rPr>
                <w:rFonts w:cs="Tahoma"/>
                <w:sz w:val="16"/>
                <w:szCs w:val="16"/>
                <w:lang w:eastAsia="tr-TR"/>
              </w:rPr>
            </w:pPr>
            <w:r w:rsidRPr="00D50652">
              <w:rPr>
                <w:rFonts w:cs="Tahoma"/>
                <w:sz w:val="16"/>
                <w:szCs w:val="16"/>
                <w:lang w:eastAsia="tr-TR"/>
              </w:rPr>
              <w:t>Üniversitelere ve okullara yönelik kısa süreli bilinçlendirme programları düzenlenecek; ilköğretimde Hayat Bilgisi dersi içerisinde işlenecek sigorta konusunun içeriği belirlenerek Milli Eğitim Bakanlığı’na iletilecek; sanayicilere, ticaret erbabına ve esnafa yönelik bilinçlendirme programları düzenlenecektir.</w:t>
            </w:r>
          </w:p>
        </w:tc>
      </w:tr>
      <w:tr w:rsidR="00565FD5" w:rsidRPr="00D50652" w:rsidTr="00AB62A3">
        <w:trPr>
          <w:jc w:val="center"/>
        </w:trPr>
        <w:tc>
          <w:tcPr>
            <w:tcW w:w="7088" w:type="dxa"/>
            <w:gridSpan w:val="4"/>
          </w:tcPr>
          <w:p w:rsidR="00565FD5" w:rsidRPr="00D50652" w:rsidRDefault="00565FD5" w:rsidP="00EB1E69">
            <w:pPr>
              <w:numPr>
                <w:ilvl w:val="0"/>
                <w:numId w:val="15"/>
              </w:numPr>
              <w:tabs>
                <w:tab w:val="left" w:pos="425"/>
              </w:tabs>
              <w:spacing w:after="0" w:line="240" w:lineRule="auto"/>
              <w:jc w:val="both"/>
              <w:rPr>
                <w:rFonts w:cs="Tahoma"/>
                <w:b/>
                <w:bCs/>
                <w:color w:val="000000"/>
                <w:sz w:val="16"/>
                <w:szCs w:val="16"/>
                <w:lang w:eastAsia="tr-TR"/>
              </w:rPr>
            </w:pPr>
            <w:r w:rsidRPr="00D50652">
              <w:rPr>
                <w:rFonts w:cs="Tahoma"/>
                <w:b/>
                <w:sz w:val="16"/>
                <w:szCs w:val="16"/>
                <w:lang w:eastAsia="tr-TR"/>
              </w:rPr>
              <w:t>Yeni piyasa ve ürünler geliştirilecek, mali sistemin kurumsal ve fonksiyonel bazda derinleşmesi sağlanacaktır.</w:t>
            </w:r>
          </w:p>
        </w:tc>
      </w:tr>
      <w:tr w:rsidR="00565FD5" w:rsidRPr="00D50652" w:rsidTr="00AB62A3">
        <w:trPr>
          <w:trHeight w:val="1591"/>
          <w:jc w:val="center"/>
        </w:trPr>
        <w:tc>
          <w:tcPr>
            <w:tcW w:w="2021" w:type="dxa"/>
          </w:tcPr>
          <w:p w:rsidR="00565FD5" w:rsidRPr="00D50652" w:rsidRDefault="00565FD5" w:rsidP="00EB1E69">
            <w:pPr>
              <w:numPr>
                <w:ilvl w:val="0"/>
                <w:numId w:val="14"/>
              </w:numPr>
              <w:tabs>
                <w:tab w:val="left" w:pos="425"/>
              </w:tabs>
              <w:spacing w:after="0" w:line="240" w:lineRule="auto"/>
              <w:rPr>
                <w:rFonts w:ascii="Times New Roman" w:hAnsi="Times New Roman"/>
                <w:iCs/>
                <w:color w:val="000000"/>
                <w:sz w:val="24"/>
                <w:szCs w:val="24"/>
              </w:rPr>
            </w:pPr>
            <w:r w:rsidRPr="00D50652">
              <w:rPr>
                <w:rFonts w:cs="Tahoma"/>
                <w:iCs/>
                <w:color w:val="000000"/>
                <w:sz w:val="16"/>
                <w:szCs w:val="16"/>
              </w:rPr>
              <w:t>Sermaye piyasasının şeffaf, istikrarlı ve rekabetçi yapısını güçlendirecek düzenlemeler yapılacaktır.</w:t>
            </w:r>
          </w:p>
          <w:p w:rsidR="00565FD5" w:rsidRPr="00D50652" w:rsidRDefault="00565FD5" w:rsidP="00AB62A3">
            <w:pPr>
              <w:rPr>
                <w:rFonts w:cs="Tahoma"/>
                <w:sz w:val="16"/>
                <w:szCs w:val="16"/>
                <w:lang w:eastAsia="tr-TR"/>
              </w:rPr>
            </w:pPr>
          </w:p>
        </w:tc>
        <w:tc>
          <w:tcPr>
            <w:tcW w:w="1868" w:type="dxa"/>
          </w:tcPr>
          <w:p w:rsidR="00565FD5" w:rsidRPr="00D50652" w:rsidRDefault="00565FD5" w:rsidP="00AB62A3">
            <w:pPr>
              <w:rPr>
                <w:rFonts w:cs="Tahoma"/>
                <w:sz w:val="16"/>
                <w:szCs w:val="16"/>
                <w:lang w:eastAsia="tr-TR"/>
              </w:rPr>
            </w:pPr>
            <w:r w:rsidRPr="00D50652">
              <w:rPr>
                <w:rFonts w:cs="Tahoma"/>
                <w:sz w:val="16"/>
                <w:szCs w:val="16"/>
                <w:lang w:eastAsia="tr-TR"/>
              </w:rPr>
              <w:t>SPK (S); İMKB, İAB, VOB, Takasbank, MKK, TSPAKB, İlgili Kamu Kurum ve Kuruluşları</w:t>
            </w:r>
          </w:p>
          <w:p w:rsidR="00565FD5" w:rsidRPr="00D50652" w:rsidRDefault="00565FD5" w:rsidP="00AB62A3">
            <w:pPr>
              <w:rPr>
                <w:rFonts w:cs="Tahoma"/>
                <w:sz w:val="16"/>
                <w:szCs w:val="16"/>
                <w:lang w:eastAsia="tr-TR"/>
              </w:rPr>
            </w:pPr>
          </w:p>
        </w:tc>
        <w:tc>
          <w:tcPr>
            <w:tcW w:w="836" w:type="dxa"/>
          </w:tcPr>
          <w:p w:rsidR="00565FD5" w:rsidRPr="00D50652" w:rsidRDefault="00565FD5" w:rsidP="00AB62A3">
            <w:pPr>
              <w:rPr>
                <w:rFonts w:cs="Tahoma"/>
                <w:sz w:val="16"/>
                <w:szCs w:val="16"/>
                <w:lang w:eastAsia="tr-TR"/>
              </w:rPr>
            </w:pPr>
            <w:r w:rsidRPr="00D50652">
              <w:rPr>
                <w:rFonts w:cs="Tahoma"/>
                <w:sz w:val="16"/>
                <w:szCs w:val="16"/>
                <w:lang w:eastAsia="tr-TR"/>
              </w:rPr>
              <w:t>Aralık Sonu</w:t>
            </w:r>
          </w:p>
          <w:p w:rsidR="00565FD5" w:rsidRPr="00D50652" w:rsidRDefault="00565FD5" w:rsidP="00AB62A3">
            <w:pPr>
              <w:rPr>
                <w:rFonts w:cs="Tahoma"/>
                <w:sz w:val="16"/>
                <w:szCs w:val="16"/>
                <w:lang w:eastAsia="tr-TR"/>
              </w:rPr>
            </w:pPr>
          </w:p>
        </w:tc>
        <w:tc>
          <w:tcPr>
            <w:tcW w:w="2363" w:type="dxa"/>
          </w:tcPr>
          <w:p w:rsidR="00565FD5" w:rsidRPr="00D50652" w:rsidRDefault="00565FD5" w:rsidP="00AB62A3">
            <w:pPr>
              <w:rPr>
                <w:rFonts w:cs="Tahoma"/>
                <w:sz w:val="16"/>
                <w:szCs w:val="16"/>
                <w:lang w:eastAsia="tr-TR"/>
              </w:rPr>
            </w:pPr>
            <w:r w:rsidRPr="00D50652">
              <w:rPr>
                <w:rFonts w:cs="Tahoma"/>
                <w:sz w:val="16"/>
                <w:szCs w:val="16"/>
                <w:lang w:eastAsia="tr-TR"/>
              </w:rPr>
              <w:t>TBMM İhtisas Komisyonlarında bulunan Sermaye Piyasası Kanunu Tasarısının yasalaşmasını müteakiben Kanuna ilişkin alt düzenlemeler ve mevcut ikincil düzenlemelerde gerekli değişiklikler yapılacaktır.</w:t>
            </w:r>
          </w:p>
        </w:tc>
      </w:tr>
      <w:tr w:rsidR="00565FD5" w:rsidRPr="00D50652" w:rsidTr="00AB62A3">
        <w:trPr>
          <w:jc w:val="center"/>
        </w:trPr>
        <w:tc>
          <w:tcPr>
            <w:tcW w:w="7088" w:type="dxa"/>
            <w:gridSpan w:val="4"/>
          </w:tcPr>
          <w:p w:rsidR="00565FD5" w:rsidRPr="00D50652" w:rsidRDefault="00565FD5" w:rsidP="00EB1E69">
            <w:pPr>
              <w:numPr>
                <w:ilvl w:val="0"/>
                <w:numId w:val="15"/>
              </w:numPr>
              <w:tabs>
                <w:tab w:val="left" w:pos="425"/>
              </w:tabs>
              <w:spacing w:after="0" w:line="240" w:lineRule="auto"/>
              <w:rPr>
                <w:rFonts w:cs="Tahoma"/>
                <w:b/>
                <w:bCs/>
                <w:color w:val="000000"/>
                <w:sz w:val="16"/>
                <w:szCs w:val="16"/>
                <w:lang w:eastAsia="tr-TR"/>
              </w:rPr>
            </w:pPr>
            <w:r w:rsidRPr="00D50652">
              <w:rPr>
                <w:rFonts w:cs="Tahoma"/>
                <w:b/>
                <w:sz w:val="16"/>
                <w:szCs w:val="16"/>
                <w:lang w:eastAsia="tr-TR"/>
              </w:rPr>
              <w:t>Finansal piyasalarda güven ve istikrarı güçlendirmeye yönelik çalışmalar hızlandırılacaktır.</w:t>
            </w:r>
          </w:p>
        </w:tc>
      </w:tr>
      <w:tr w:rsidR="00565FD5" w:rsidRPr="00D50652" w:rsidTr="00AB62A3">
        <w:trPr>
          <w:jc w:val="center"/>
        </w:trPr>
        <w:tc>
          <w:tcPr>
            <w:tcW w:w="2021" w:type="dxa"/>
          </w:tcPr>
          <w:p w:rsidR="00565FD5" w:rsidRPr="00D50652" w:rsidRDefault="00565FD5" w:rsidP="00EB1E69">
            <w:pPr>
              <w:numPr>
                <w:ilvl w:val="0"/>
                <w:numId w:val="14"/>
              </w:numPr>
              <w:tabs>
                <w:tab w:val="left" w:pos="425"/>
              </w:tabs>
              <w:spacing w:after="0" w:line="240" w:lineRule="auto"/>
              <w:rPr>
                <w:rFonts w:cs="Tahoma"/>
                <w:sz w:val="16"/>
                <w:szCs w:val="16"/>
                <w:lang w:eastAsia="tr-TR"/>
              </w:rPr>
            </w:pPr>
            <w:r w:rsidRPr="00D50652">
              <w:rPr>
                <w:rFonts w:cs="Tahoma"/>
                <w:sz w:val="16"/>
                <w:szCs w:val="16"/>
                <w:lang w:eastAsia="tr-TR"/>
              </w:rPr>
              <w:t xml:space="preserve">Finansal tüketicilerin korunmasına yönelik düzenleyici yapı zenginleştirilecektir. </w:t>
            </w:r>
          </w:p>
          <w:p w:rsidR="00565FD5" w:rsidRPr="00D50652" w:rsidRDefault="00565FD5" w:rsidP="00AB62A3">
            <w:pPr>
              <w:rPr>
                <w:rFonts w:cs="Tahoma"/>
                <w:sz w:val="16"/>
                <w:szCs w:val="16"/>
                <w:lang w:eastAsia="tr-TR"/>
              </w:rPr>
            </w:pPr>
          </w:p>
        </w:tc>
        <w:tc>
          <w:tcPr>
            <w:tcW w:w="1868" w:type="dxa"/>
          </w:tcPr>
          <w:p w:rsidR="00565FD5" w:rsidRPr="00D50652" w:rsidRDefault="00565FD5" w:rsidP="00AB62A3">
            <w:pPr>
              <w:rPr>
                <w:rFonts w:cs="Tahoma"/>
                <w:sz w:val="16"/>
                <w:szCs w:val="16"/>
                <w:lang w:eastAsia="tr-TR"/>
              </w:rPr>
            </w:pPr>
            <w:r w:rsidRPr="00D50652">
              <w:rPr>
                <w:rFonts w:cs="Tahoma"/>
                <w:sz w:val="16"/>
                <w:szCs w:val="16"/>
                <w:lang w:eastAsia="tr-TR"/>
              </w:rPr>
              <w:t>BDDK (S); Gümrük ve Ticaret Bakanlığı, Hazine Müsteşarlığı, SPK, TCMB, TMSF, İlgili Kuruluş ve Meslek Birlikleri</w:t>
            </w:r>
          </w:p>
          <w:p w:rsidR="00565FD5" w:rsidRPr="00D50652" w:rsidRDefault="00565FD5" w:rsidP="00AB62A3">
            <w:pPr>
              <w:rPr>
                <w:rFonts w:cs="Tahoma"/>
                <w:sz w:val="16"/>
                <w:szCs w:val="16"/>
                <w:lang w:eastAsia="tr-TR"/>
              </w:rPr>
            </w:pPr>
          </w:p>
        </w:tc>
        <w:tc>
          <w:tcPr>
            <w:tcW w:w="836" w:type="dxa"/>
          </w:tcPr>
          <w:p w:rsidR="00565FD5" w:rsidRPr="00D50652" w:rsidRDefault="00565FD5" w:rsidP="00AB62A3">
            <w:pPr>
              <w:rPr>
                <w:rFonts w:cs="Tahoma"/>
                <w:sz w:val="16"/>
                <w:szCs w:val="16"/>
                <w:lang w:eastAsia="tr-TR"/>
              </w:rPr>
            </w:pPr>
            <w:r w:rsidRPr="00D50652">
              <w:rPr>
                <w:rFonts w:cs="Tahoma"/>
                <w:sz w:val="16"/>
                <w:szCs w:val="16"/>
                <w:lang w:eastAsia="tr-TR"/>
              </w:rPr>
              <w:t>Aralık Sonu</w:t>
            </w:r>
          </w:p>
          <w:p w:rsidR="00565FD5" w:rsidRPr="00D50652" w:rsidRDefault="00565FD5" w:rsidP="00AB62A3">
            <w:pPr>
              <w:rPr>
                <w:rFonts w:cs="Tahoma"/>
                <w:sz w:val="16"/>
                <w:szCs w:val="16"/>
                <w:lang w:eastAsia="tr-TR"/>
              </w:rPr>
            </w:pPr>
          </w:p>
        </w:tc>
        <w:tc>
          <w:tcPr>
            <w:tcW w:w="2363" w:type="dxa"/>
          </w:tcPr>
          <w:p w:rsidR="00565FD5" w:rsidRPr="00D50652" w:rsidRDefault="00565FD5" w:rsidP="00AB62A3">
            <w:pPr>
              <w:rPr>
                <w:rFonts w:cs="Tahoma"/>
                <w:sz w:val="16"/>
                <w:szCs w:val="16"/>
                <w:lang w:eastAsia="tr-TR"/>
              </w:rPr>
            </w:pPr>
            <w:r w:rsidRPr="00D50652">
              <w:rPr>
                <w:rFonts w:cs="Tahoma"/>
                <w:sz w:val="16"/>
                <w:szCs w:val="16"/>
                <w:lang w:eastAsia="tr-TR"/>
              </w:rPr>
              <w:t xml:space="preserve">Finansal tüketicilerin bilinçlendirilmesi programlarına ağırlık verilecek, tüketicilerin finansal hizmetlerden adil bir şekilde yararlanması ve eşit muamele görmesi gözetilecek, müşteri bilgilerinin korunmasında duyarlılık artırılacak, ihbar ve şikâyetlerin çözümlenme süreci iyileştirilecektir. </w:t>
            </w:r>
          </w:p>
        </w:tc>
      </w:tr>
      <w:tr w:rsidR="00565FD5" w:rsidRPr="00D50652" w:rsidTr="00AB62A3">
        <w:trPr>
          <w:jc w:val="center"/>
        </w:trPr>
        <w:tc>
          <w:tcPr>
            <w:tcW w:w="2021" w:type="dxa"/>
          </w:tcPr>
          <w:p w:rsidR="00565FD5" w:rsidRPr="00D50652" w:rsidRDefault="00565FD5" w:rsidP="00EB1E69">
            <w:pPr>
              <w:numPr>
                <w:ilvl w:val="0"/>
                <w:numId w:val="14"/>
              </w:numPr>
              <w:tabs>
                <w:tab w:val="left" w:pos="425"/>
              </w:tabs>
              <w:spacing w:after="0" w:line="240" w:lineRule="auto"/>
              <w:rPr>
                <w:rFonts w:cs="Tahoma"/>
                <w:sz w:val="16"/>
                <w:szCs w:val="16"/>
                <w:lang w:eastAsia="tr-TR"/>
              </w:rPr>
            </w:pPr>
            <w:r w:rsidRPr="00D50652">
              <w:rPr>
                <w:rFonts w:cs="Tahoma"/>
                <w:sz w:val="16"/>
                <w:szCs w:val="16"/>
                <w:lang w:eastAsia="tr-TR"/>
              </w:rPr>
              <w:lastRenderedPageBreak/>
              <w:t>Finansal okuryazarlığa ilişkin ulusal bir strateji belgesi oluşturulacaktır.</w:t>
            </w:r>
          </w:p>
        </w:tc>
        <w:tc>
          <w:tcPr>
            <w:tcW w:w="1868" w:type="dxa"/>
          </w:tcPr>
          <w:p w:rsidR="00565FD5" w:rsidRPr="00D50652" w:rsidRDefault="00565FD5" w:rsidP="00AB62A3">
            <w:pPr>
              <w:rPr>
                <w:rFonts w:cs="Tahoma"/>
                <w:sz w:val="16"/>
                <w:szCs w:val="16"/>
                <w:lang w:eastAsia="tr-TR"/>
              </w:rPr>
            </w:pPr>
            <w:r w:rsidRPr="00D50652">
              <w:rPr>
                <w:rFonts w:cs="Tahoma"/>
                <w:sz w:val="16"/>
                <w:szCs w:val="16"/>
                <w:lang w:eastAsia="tr-TR"/>
              </w:rPr>
              <w:t>SPK (S); Hazine Müsteşarlığı, BDDK, Merkez Bankası, TMSF, İlgili Kamu Kurum ve Kuruluşları</w:t>
            </w:r>
          </w:p>
        </w:tc>
        <w:tc>
          <w:tcPr>
            <w:tcW w:w="836" w:type="dxa"/>
          </w:tcPr>
          <w:p w:rsidR="00565FD5" w:rsidRPr="00D50652" w:rsidRDefault="00565FD5" w:rsidP="00AB62A3">
            <w:pPr>
              <w:rPr>
                <w:rFonts w:cs="Tahoma"/>
                <w:sz w:val="16"/>
                <w:szCs w:val="16"/>
                <w:lang w:eastAsia="tr-TR"/>
              </w:rPr>
            </w:pPr>
            <w:r w:rsidRPr="00D50652">
              <w:rPr>
                <w:rFonts w:cs="Tahoma"/>
                <w:sz w:val="16"/>
                <w:szCs w:val="16"/>
                <w:lang w:eastAsia="tr-TR"/>
              </w:rPr>
              <w:t>Aralık Sonu</w:t>
            </w:r>
          </w:p>
          <w:p w:rsidR="00565FD5" w:rsidRPr="00D50652" w:rsidRDefault="00565FD5" w:rsidP="00AB62A3">
            <w:pPr>
              <w:rPr>
                <w:rFonts w:cs="Tahoma"/>
                <w:sz w:val="16"/>
                <w:szCs w:val="16"/>
                <w:lang w:eastAsia="tr-TR"/>
              </w:rPr>
            </w:pPr>
          </w:p>
        </w:tc>
        <w:tc>
          <w:tcPr>
            <w:tcW w:w="2363" w:type="dxa"/>
          </w:tcPr>
          <w:p w:rsidR="00565FD5" w:rsidRPr="00D50652" w:rsidRDefault="00565FD5" w:rsidP="00AB62A3">
            <w:pPr>
              <w:rPr>
                <w:rFonts w:cs="Tahoma"/>
                <w:sz w:val="16"/>
                <w:szCs w:val="16"/>
                <w:lang w:eastAsia="tr-TR"/>
              </w:rPr>
            </w:pPr>
            <w:r w:rsidRPr="00D50652">
              <w:rPr>
                <w:rFonts w:cs="Tahoma"/>
                <w:sz w:val="16"/>
                <w:szCs w:val="16"/>
                <w:lang w:eastAsia="tr-TR"/>
              </w:rPr>
              <w:t xml:space="preserve">Finansal İstikrar Komitesi çalışmaları çerçevesinde hazırlanan taslak strateji belgesi nihai hale getirilerek yayımlanacaktır. </w:t>
            </w:r>
          </w:p>
        </w:tc>
      </w:tr>
      <w:tr w:rsidR="00565FD5" w:rsidRPr="00D50652" w:rsidTr="00AB62A3">
        <w:trPr>
          <w:jc w:val="center"/>
        </w:trPr>
        <w:tc>
          <w:tcPr>
            <w:tcW w:w="7088" w:type="dxa"/>
            <w:gridSpan w:val="4"/>
          </w:tcPr>
          <w:p w:rsidR="00565FD5" w:rsidRPr="00D50652" w:rsidRDefault="00565FD5" w:rsidP="00EB1E69">
            <w:pPr>
              <w:numPr>
                <w:ilvl w:val="0"/>
                <w:numId w:val="15"/>
              </w:numPr>
              <w:tabs>
                <w:tab w:val="left" w:pos="425"/>
              </w:tabs>
              <w:spacing w:after="0" w:line="240" w:lineRule="auto"/>
              <w:jc w:val="both"/>
              <w:rPr>
                <w:rFonts w:cs="Tahoma"/>
                <w:b/>
                <w:bCs/>
                <w:color w:val="000000"/>
                <w:sz w:val="16"/>
                <w:szCs w:val="16"/>
                <w:lang w:eastAsia="tr-TR"/>
              </w:rPr>
            </w:pPr>
            <w:r w:rsidRPr="00D50652">
              <w:rPr>
                <w:rFonts w:cs="Tahoma"/>
                <w:b/>
                <w:sz w:val="16"/>
                <w:szCs w:val="16"/>
                <w:lang w:eastAsia="tr-TR"/>
              </w:rPr>
              <w:t>İstanbul Uluslararası Finans Merkezi Stratejisi ve Eylem Planı yenilenecektir.</w:t>
            </w:r>
          </w:p>
        </w:tc>
      </w:tr>
      <w:tr w:rsidR="00565FD5" w:rsidRPr="00314DAD" w:rsidTr="00AB62A3">
        <w:trPr>
          <w:trHeight w:val="1235"/>
          <w:jc w:val="center"/>
        </w:trPr>
        <w:tc>
          <w:tcPr>
            <w:tcW w:w="2021" w:type="dxa"/>
          </w:tcPr>
          <w:p w:rsidR="00565FD5" w:rsidRPr="00BA11DF" w:rsidRDefault="00565FD5" w:rsidP="00EB1E69">
            <w:pPr>
              <w:numPr>
                <w:ilvl w:val="0"/>
                <w:numId w:val="14"/>
              </w:numPr>
              <w:tabs>
                <w:tab w:val="left" w:pos="425"/>
              </w:tabs>
              <w:spacing w:after="0" w:line="240" w:lineRule="auto"/>
              <w:rPr>
                <w:rFonts w:cs="Tahoma"/>
                <w:sz w:val="16"/>
                <w:szCs w:val="16"/>
                <w:lang w:eastAsia="tr-TR"/>
              </w:rPr>
            </w:pPr>
            <w:r w:rsidRPr="00BA11DF">
              <w:rPr>
                <w:rFonts w:cs="Tahoma"/>
                <w:sz w:val="16"/>
                <w:szCs w:val="16"/>
                <w:lang w:eastAsia="tr-TR"/>
              </w:rPr>
              <w:t>İstanbul Uluslararası Finans Merkezi (İFM) Stratejisi ve Eylem Planı ihtiyaçlar doğrultusunda yenilenecektir.</w:t>
            </w:r>
          </w:p>
        </w:tc>
        <w:tc>
          <w:tcPr>
            <w:tcW w:w="1868" w:type="dxa"/>
          </w:tcPr>
          <w:p w:rsidR="00565FD5" w:rsidRPr="00BA11DF" w:rsidRDefault="00565FD5" w:rsidP="00AB62A3">
            <w:pPr>
              <w:rPr>
                <w:rFonts w:cs="Tahoma"/>
                <w:sz w:val="16"/>
                <w:szCs w:val="16"/>
                <w:lang w:eastAsia="tr-TR"/>
              </w:rPr>
            </w:pPr>
            <w:r w:rsidRPr="00BA11DF">
              <w:rPr>
                <w:rFonts w:cs="Tahoma"/>
                <w:sz w:val="16"/>
                <w:szCs w:val="16"/>
                <w:lang w:eastAsia="tr-TR"/>
              </w:rPr>
              <w:t>Kalkınma Bakanlığı (S); İlgili Kamu Kurum ve Kuruluşları, İlgili Birlikler, Sektör Kuruluşları, STK’lar</w:t>
            </w:r>
          </w:p>
          <w:p w:rsidR="00565FD5" w:rsidRPr="00BA11DF" w:rsidRDefault="00565FD5" w:rsidP="00AB62A3">
            <w:pPr>
              <w:rPr>
                <w:rFonts w:cs="Tahoma"/>
                <w:sz w:val="16"/>
                <w:szCs w:val="16"/>
                <w:lang w:eastAsia="tr-TR"/>
              </w:rPr>
            </w:pPr>
          </w:p>
        </w:tc>
        <w:tc>
          <w:tcPr>
            <w:tcW w:w="836" w:type="dxa"/>
          </w:tcPr>
          <w:p w:rsidR="00565FD5" w:rsidRPr="00BA11DF" w:rsidRDefault="00565FD5" w:rsidP="00AB62A3">
            <w:pPr>
              <w:rPr>
                <w:rFonts w:cs="Tahoma"/>
                <w:sz w:val="16"/>
                <w:szCs w:val="16"/>
                <w:lang w:eastAsia="tr-TR"/>
              </w:rPr>
            </w:pPr>
            <w:r w:rsidRPr="00BA11DF">
              <w:rPr>
                <w:rFonts w:cs="Tahoma"/>
                <w:sz w:val="16"/>
                <w:szCs w:val="16"/>
                <w:lang w:eastAsia="tr-TR"/>
              </w:rPr>
              <w:t>Aralık Sonu</w:t>
            </w:r>
          </w:p>
          <w:p w:rsidR="00565FD5" w:rsidRPr="00BA11DF" w:rsidRDefault="00565FD5" w:rsidP="00AB62A3">
            <w:pPr>
              <w:rPr>
                <w:rFonts w:cs="Tahoma"/>
                <w:sz w:val="16"/>
                <w:szCs w:val="16"/>
                <w:lang w:eastAsia="tr-TR"/>
              </w:rPr>
            </w:pPr>
          </w:p>
        </w:tc>
        <w:tc>
          <w:tcPr>
            <w:tcW w:w="2363" w:type="dxa"/>
          </w:tcPr>
          <w:p w:rsidR="00565FD5" w:rsidRPr="008D48BF" w:rsidRDefault="00565FD5" w:rsidP="00AB62A3">
            <w:pPr>
              <w:rPr>
                <w:rFonts w:cs="Tahoma"/>
                <w:sz w:val="16"/>
                <w:szCs w:val="16"/>
                <w:lang w:eastAsia="tr-TR"/>
              </w:rPr>
            </w:pPr>
            <w:r w:rsidRPr="00BA11DF">
              <w:rPr>
                <w:rFonts w:cs="Tahoma"/>
                <w:sz w:val="16"/>
                <w:szCs w:val="16"/>
                <w:lang w:eastAsia="tr-TR"/>
              </w:rPr>
              <w:t>Yeni Strateji ve Eylem Planına ilişkin çalışmaların koordinasyonu yürütülecek ve yeni taslağın oluşturulması katılımcı bir anlayışla sağlanacaktır.</w:t>
            </w:r>
          </w:p>
        </w:tc>
      </w:tr>
    </w:tbl>
    <w:p w:rsidR="00565FD5" w:rsidRDefault="00565FD5" w:rsidP="00565FD5">
      <w:pPr>
        <w:rPr>
          <w:b/>
        </w:rPr>
      </w:pPr>
    </w:p>
    <w:p w:rsidR="00565FD5" w:rsidRPr="00C91E15" w:rsidRDefault="00565FD5" w:rsidP="00565FD5">
      <w:pPr>
        <w:pStyle w:val="Balk3"/>
      </w:pPr>
      <w:bookmarkStart w:id="1526" w:name="_Toc338523793"/>
      <w:bookmarkStart w:id="1527" w:name="_Toc338524024"/>
      <w:bookmarkStart w:id="1528" w:name="_Toc338526250"/>
      <w:bookmarkStart w:id="1529" w:name="_Toc338673693"/>
      <w:bookmarkStart w:id="1530" w:name="_Toc338711572"/>
      <w:bookmarkStart w:id="1531" w:name="_Toc244253679"/>
      <w:bookmarkStart w:id="1532" w:name="_Toc244254930"/>
      <w:bookmarkStart w:id="1533" w:name="_Toc244313665"/>
      <w:bookmarkStart w:id="1534" w:name="_Toc244315141"/>
      <w:bookmarkStart w:id="1535" w:name="_Toc244339604"/>
      <w:bookmarkStart w:id="1536" w:name="_Toc276076283"/>
      <w:r>
        <w:t xml:space="preserve">D. </w:t>
      </w:r>
      <w:r w:rsidRPr="00C91E15">
        <w:t>ENERJİ VE ULAŞTIRMA ALTYAPISININ GELİŞTİRİLMESİ</w:t>
      </w:r>
      <w:bookmarkEnd w:id="1526"/>
      <w:bookmarkEnd w:id="1527"/>
      <w:bookmarkEnd w:id="1528"/>
      <w:bookmarkEnd w:id="1529"/>
      <w:bookmarkEnd w:id="1530"/>
    </w:p>
    <w:p w:rsidR="00565FD5" w:rsidRPr="00C91E15" w:rsidRDefault="00565FD5" w:rsidP="00565FD5">
      <w:pPr>
        <w:pStyle w:val="Balk4"/>
      </w:pPr>
      <w:bookmarkStart w:id="1537" w:name="_Toc244339600"/>
      <w:bookmarkStart w:id="1538" w:name="_Toc244661411"/>
      <w:bookmarkStart w:id="1539" w:name="_Toc338505568"/>
      <w:bookmarkStart w:id="1540" w:name="_Toc338523794"/>
      <w:bookmarkStart w:id="1541" w:name="_Toc338524025"/>
      <w:bookmarkStart w:id="1542" w:name="_Toc338526251"/>
      <w:bookmarkStart w:id="1543" w:name="_Toc338673694"/>
      <w:bookmarkStart w:id="1544" w:name="_Toc338711573"/>
      <w:r w:rsidRPr="00C91E15">
        <w:t>ENERJİ</w:t>
      </w:r>
      <w:bookmarkEnd w:id="1537"/>
      <w:bookmarkEnd w:id="1538"/>
      <w:bookmarkEnd w:id="1539"/>
      <w:bookmarkEnd w:id="1540"/>
      <w:bookmarkEnd w:id="1541"/>
      <w:bookmarkEnd w:id="1542"/>
      <w:bookmarkEnd w:id="1543"/>
      <w:bookmarkEnd w:id="1544"/>
    </w:p>
    <w:p w:rsidR="00565FD5" w:rsidRPr="00C91E15" w:rsidRDefault="00565FD5" w:rsidP="00565FD5">
      <w:pPr>
        <w:pStyle w:val="Balk4"/>
      </w:pPr>
      <w:bookmarkStart w:id="1545" w:name="_Toc338505569"/>
      <w:bookmarkStart w:id="1546" w:name="_Toc338523795"/>
      <w:bookmarkStart w:id="1547" w:name="_Toc338524026"/>
      <w:bookmarkStart w:id="1548" w:name="_Toc338526252"/>
      <w:bookmarkStart w:id="1549" w:name="_Toc338673695"/>
      <w:bookmarkStart w:id="1550" w:name="_Toc338711574"/>
      <w:bookmarkStart w:id="1551" w:name="_Toc244339601"/>
      <w:bookmarkStart w:id="1552" w:name="_Toc244661412"/>
      <w:r w:rsidRPr="00C91E15">
        <w:t>1. Mevcut Durum</w:t>
      </w:r>
      <w:bookmarkEnd w:id="1545"/>
      <w:bookmarkEnd w:id="1546"/>
      <w:bookmarkEnd w:id="1547"/>
      <w:bookmarkEnd w:id="1548"/>
      <w:bookmarkEnd w:id="1549"/>
      <w:bookmarkEnd w:id="1550"/>
    </w:p>
    <w:p w:rsidR="00565FD5" w:rsidRPr="00C91E15" w:rsidRDefault="00565FD5" w:rsidP="00565FD5">
      <w:pPr>
        <w:spacing w:after="120"/>
        <w:ind w:firstLine="425"/>
        <w:rPr>
          <w:rFonts w:cs="Tahoma"/>
          <w:szCs w:val="18"/>
        </w:rPr>
      </w:pPr>
      <w:r w:rsidRPr="00C91E15">
        <w:rPr>
          <w:rFonts w:cs="Tahoma"/>
          <w:szCs w:val="18"/>
        </w:rPr>
        <w:t>Son yirmi yıldır, büyüyen ekonomisine paralel biçimde Türkiye’nin enerji talebi hızla artmaktadır. Türkiye’nin yıllık enerji talep artışı 1990’dan günümüze yüzde 4,6 olarak gerçekleşmiştir. Bu yüksek talep artışının güvenli biçimde karşılanabilmesi, Türkiye’nin enerji politikasının en önemli konularından birisidir. En çok petrol ithal eden 20 ülkeden biri olan Türkiye, doğal gaz ithalatında ise ilk 10 ülke arasında yer almaktadır.</w:t>
      </w:r>
    </w:p>
    <w:p w:rsidR="00565FD5" w:rsidRPr="00C91E15" w:rsidRDefault="00565FD5" w:rsidP="00565FD5">
      <w:pPr>
        <w:spacing w:after="120"/>
        <w:ind w:firstLine="425"/>
        <w:rPr>
          <w:rFonts w:cs="Tahoma"/>
          <w:szCs w:val="18"/>
        </w:rPr>
      </w:pPr>
      <w:r w:rsidRPr="00C91E15">
        <w:rPr>
          <w:rFonts w:cs="Tahoma"/>
          <w:szCs w:val="18"/>
        </w:rPr>
        <w:t xml:space="preserve">Fosil yakıtlar bakımından linyit hariç zengin rezervlere sahip olmayan Türkiye’de, 2008 yılından bu tarafa birincil enerji tüketiminde en büyük pay doğal gaz kaynağına aittir. Birincil enerji tüketimi içinde 1995 yılında yüzde 9,9, 2000 yılında yüzde 17,1, 2005 yılında yüzde 27,3 paya sahip olan doğal gaz, hem miktar hem de toplam içindeki pay açısından sürekli bir artış göstermektedir. Nitekim 2010 yılı birincil enerji tüketiminde doğal gazın payı yüzde 31,9’a yükselmiştir. </w:t>
      </w:r>
    </w:p>
    <w:p w:rsidR="00565FD5" w:rsidRPr="00C91E15" w:rsidRDefault="00565FD5" w:rsidP="00565FD5">
      <w:pPr>
        <w:spacing w:after="120"/>
        <w:ind w:firstLine="425"/>
        <w:rPr>
          <w:rFonts w:cs="Tahoma"/>
          <w:szCs w:val="18"/>
        </w:rPr>
      </w:pPr>
      <w:r w:rsidRPr="00C91E15">
        <w:rPr>
          <w:rFonts w:cs="Tahoma"/>
          <w:szCs w:val="18"/>
        </w:rPr>
        <w:t xml:space="preserve">2010 yılında 37,5 milyar metreküp olan Türkiye doğal gaz tüketimi 2011 yılında yaklaşık yüzde 18 artarak 44,1 milyar metreküpe ulaşmıştır. 2011 yılında tüketilen doğal gazın yüzde 48’i elektrik üretiminde, yüzde 26’sı sanayide kullanılmış ve kalan yüzde 26’sı da ısınma amaçlı (konut, ticarethane, resmi daire, tarım-ormancılık, hayvancılık ve benzeri diğer sektörler) olarak </w:t>
      </w:r>
      <w:r w:rsidRPr="00C91E15">
        <w:rPr>
          <w:rFonts w:cs="Tahoma"/>
          <w:szCs w:val="18"/>
        </w:rPr>
        <w:lastRenderedPageBreak/>
        <w:t xml:space="preserve">değerlendirilmiştir. 2012 yılında doğal gaz kullanımındaki artışın sürdüğü gözlenmekte olup yıl sonunda doğal gaz tüketiminin yaklaşık 46,5 milyar metreküp olacağı tahmin edilmektedir.  </w:t>
      </w:r>
    </w:p>
    <w:p w:rsidR="00565FD5" w:rsidRPr="00C91E15" w:rsidRDefault="00565FD5" w:rsidP="00565FD5">
      <w:pPr>
        <w:spacing w:after="120"/>
        <w:ind w:firstLine="425"/>
        <w:rPr>
          <w:rFonts w:cs="Tahoma"/>
          <w:szCs w:val="18"/>
        </w:rPr>
      </w:pPr>
      <w:r w:rsidRPr="00C91E15">
        <w:rPr>
          <w:rFonts w:cs="Tahoma"/>
          <w:szCs w:val="18"/>
        </w:rPr>
        <w:t>Elektrik üretiminde de doğal gazın önemli bir ağırlığa sahip olduğu görülmektedir. 2005-2010 döneminde doğal gazın elektrik üretimindeki payı yüzde 45 ile yüzde 50 arasında seyretmiş, 2011 yılında ise bu oran yüzde 45 olarak gerçekleşmiştir.</w:t>
      </w:r>
    </w:p>
    <w:p w:rsidR="00565FD5" w:rsidRPr="00C91E15" w:rsidRDefault="00565FD5" w:rsidP="00565FD5">
      <w:pPr>
        <w:spacing w:after="120"/>
        <w:ind w:firstLine="425"/>
        <w:rPr>
          <w:rFonts w:cs="Tahoma"/>
          <w:szCs w:val="18"/>
        </w:rPr>
      </w:pPr>
      <w:r w:rsidRPr="00C91E15">
        <w:rPr>
          <w:rFonts w:cs="Tahoma"/>
          <w:szCs w:val="18"/>
        </w:rPr>
        <w:t>Doğal gazda yaklaşık yüzde 98 oranında dışa bağımlı olunması, önemli bir arz güvenliği riski oluşturmaktadır. Ülkede tüketilen petrolün de büyük ölçüde ithalatla karşılanıyor olması, Türkiye’nin birincil enerji kaynakları açısından dışa bağımlılığını artırmaktadır. Arz güvenliği sorununun aşılması için öncelikle petrol ve doğal gaz aramalarına devam edilmesi, eşzamanlı olarak mevcut yerli kaynakların daha fazla değerlendirilmesi gerekmektedir. Diğer yandan, hem ithal enerji kaynaklarının hem de ithalatın yapıldığı ülkelerin çeşitlendirilmesi arz güvenliğinin bir başka önemli boyutudur.</w:t>
      </w:r>
    </w:p>
    <w:p w:rsidR="00565FD5" w:rsidRPr="00C91E15" w:rsidRDefault="00565FD5" w:rsidP="00565FD5">
      <w:pPr>
        <w:spacing w:after="120"/>
        <w:ind w:firstLine="425"/>
        <w:rPr>
          <w:rFonts w:cs="Tahoma"/>
          <w:szCs w:val="18"/>
        </w:rPr>
      </w:pPr>
      <w:r w:rsidRPr="00C91E15">
        <w:rPr>
          <w:rFonts w:cs="Tahoma"/>
          <w:szCs w:val="18"/>
        </w:rPr>
        <w:t xml:space="preserve">Doğal gazda tedarik kaynağı ülkelerin çeşitlendirilmesi hedefi çerçevesinde, Trans Anadolu Doğal Gaz Boru Hattı Projesine (TANAP) yönelik hükümetler arası anlaşma 26/06/2012 tarihinde Türkiye ile Azerbaycan arasında imzalanmıştır. Aynı tarihte, Türkiye Cumhuriyeti Hükümeti ile Trans Anadolu Doğal Gaz Boru Hattı Şirketi arasında ev sahibi ülke anlaşması, BOTAŞ ile SOCAR arasında TANAP’a ilişkin mutabakat zaptı imzalanmıştır. Azerbaycan’ın Şah Deniz II sahasından üretilecek doğalgazı Avrupa’ya ulaştıracak olan bu proje kapsamında ilk etapta 16 milyar metreküp gazın hattan taşınacağı öngörülmektedir. 16 milyar metreküplük gazın 6 milyar metreküplük kısmının Türkiye’ye satılması, 10 milyar metreküplük kısmının ise Bulgaristan ve/veya Yunanistan sınırından Avrupa’ya iletilmesi planlanmaktadır. </w:t>
      </w:r>
    </w:p>
    <w:p w:rsidR="00565FD5" w:rsidRPr="00C91E15" w:rsidRDefault="00565FD5" w:rsidP="00565FD5">
      <w:pPr>
        <w:spacing w:after="120"/>
        <w:ind w:firstLine="425"/>
        <w:rPr>
          <w:rFonts w:cs="Tahoma"/>
          <w:szCs w:val="18"/>
        </w:rPr>
      </w:pPr>
      <w:r w:rsidRPr="00C91E15">
        <w:rPr>
          <w:rFonts w:cs="Tahoma"/>
          <w:szCs w:val="18"/>
        </w:rPr>
        <w:t xml:space="preserve">Doğal gaz iletim altyapısının temel tüketim alanlarını kapsayacak düzeyde genişletilmesi ve doğal gaz kullanımının özellikle konut sektöründe giderek yaygınlaşması bu kaynak açısından arz güvenliği konusunu çok daha önemli hale getirmiştir. Hem arz güvenliği endişeleri hem de mevsimsel talep dalgalanmaları depolama kapasitesinin artırılmasını zorunlu kılmış olup bu yöndeki çalışmalar 2012 yılında da sürdürülmüştür. Bu kapsamda mevcut Kuzey Marmara ve Değirmenköy sahalarındaki depolama tesislerinin kapasite artırma projeleri ile Tuz Gölü Doğal Gaz Yeraltı Depolama Projesine devam edilmiştir. Diğer yandan, </w:t>
      </w:r>
      <w:r w:rsidRPr="00C91E15">
        <w:rPr>
          <w:rFonts w:cs="Tahoma"/>
          <w:szCs w:val="18"/>
        </w:rPr>
        <w:lastRenderedPageBreak/>
        <w:t xml:space="preserve">Kuzey Marmara sahasındaki depolama tesislerinin BOTAŞ dışındaki doğal gaz ithalat ve/veya toptan satış lisansına sahip olan firmalara kullandırılması için hazırlanan TPAO Silivri Yer Altı Doğal Gaz Depolama Tesisi Temel Kullanım Usul ve Esasları, 06/04/2012 tarihli ve 28256 sayılı Resmî Gazete'de yayımlanmış ve BOTAŞ haricindeki diğer tarafların gazı 01/06/2012 tarihinden itibaren depolanmaya başlanmıştır. </w:t>
      </w:r>
    </w:p>
    <w:p w:rsidR="00565FD5" w:rsidRPr="00C91E15" w:rsidRDefault="00565FD5" w:rsidP="00565FD5">
      <w:pPr>
        <w:spacing w:after="120"/>
        <w:ind w:firstLine="425"/>
        <w:rPr>
          <w:rFonts w:cs="Tahoma"/>
          <w:szCs w:val="18"/>
        </w:rPr>
      </w:pPr>
      <w:r w:rsidRPr="00C91E15">
        <w:rPr>
          <w:rFonts w:cs="Tahoma"/>
          <w:szCs w:val="18"/>
        </w:rPr>
        <w:t xml:space="preserve">Elektrik üretiminde yerli ve yenilenebilir kaynakların payını artırmak ve doğal gazın payını azaltmak, arz güvenliğinin temini açısından önemli görülmektedir. Nitekim 18/05/2009 tarihli ve 2009/11 sayılı YPK Kararı olarak yayımlanan Elektrik Enerjisi Piyasası ve Arz Güvenliği Stratejisi Belgesinde, elektrik üretiminde son yıllarda yüzde 50’lere yaklaşan doğal gazın payının yüzde 30’un altına düşürülmesi hedeflenmiştir. Bu kapsamda, yerli linyitlerin elektrik üretiminde daha fazla değerlendirilmesi ve yenilenebilir enerji kaynaklarının harekete geçirilmesi için çeşitli düzenlemeler yapılmıştır. </w:t>
      </w:r>
    </w:p>
    <w:p w:rsidR="00565FD5" w:rsidRPr="00C91E15" w:rsidRDefault="00565FD5" w:rsidP="00565FD5">
      <w:pPr>
        <w:spacing w:after="120"/>
        <w:ind w:firstLine="425"/>
        <w:rPr>
          <w:rFonts w:cs="Tahoma"/>
          <w:szCs w:val="18"/>
        </w:rPr>
      </w:pPr>
      <w:r w:rsidRPr="00C91E15">
        <w:rPr>
          <w:rFonts w:cs="Tahoma"/>
          <w:szCs w:val="18"/>
        </w:rPr>
        <w:t>2012 yılında elektrik santralleri toplam kurulu gücünün bir önceki yıla oranla yüzde 6,8 oranında artarak 56.528 MW'a ulaşacağı tahmin edilmektedir. Bu artışta en önemli payın hidroelektrik santrallerinden (HES) geleceği öngörülmektedir. 2012 yılı içinde devreye alınacak yeni HES’lerin kurulu gücünün 2.325 MW, yeni doğal gaz santrallerinin kurulu gücünün 694 MW, yeni rüzgâr santrallerinin kurulu gücünün ise 436 MW olması beklenmektedir.</w:t>
      </w:r>
    </w:p>
    <w:p w:rsidR="00565FD5" w:rsidRPr="00C91E15" w:rsidRDefault="00565FD5" w:rsidP="00565FD5">
      <w:pPr>
        <w:spacing w:after="120"/>
        <w:ind w:firstLine="425"/>
        <w:rPr>
          <w:rFonts w:cs="Tahoma"/>
          <w:szCs w:val="18"/>
        </w:rPr>
      </w:pPr>
      <w:r w:rsidRPr="00C91E15">
        <w:rPr>
          <w:rFonts w:cs="Tahoma"/>
          <w:szCs w:val="18"/>
        </w:rPr>
        <w:t>Elektrik üretimindeki kaynak payları önemli ölçüde aynı kalmıştır. 2011 yılında yüzde 45 olan doğal gaz yakıtlı santrallerin üretim payı</w:t>
      </w:r>
      <w:r>
        <w:rPr>
          <w:rFonts w:cs="Tahoma"/>
          <w:szCs w:val="18"/>
        </w:rPr>
        <w:t>nın</w:t>
      </w:r>
      <w:r w:rsidRPr="00C91E15">
        <w:rPr>
          <w:rFonts w:cs="Tahoma"/>
          <w:szCs w:val="18"/>
        </w:rPr>
        <w:t xml:space="preserve"> 2012 yılında yaklaşık aynı mertebede seyredece</w:t>
      </w:r>
      <w:r>
        <w:rPr>
          <w:rFonts w:cs="Tahoma"/>
          <w:szCs w:val="18"/>
        </w:rPr>
        <w:t>ği öngörülmektedir.</w:t>
      </w:r>
      <w:r w:rsidRPr="00C91E15">
        <w:rPr>
          <w:rFonts w:cs="Tahoma"/>
          <w:szCs w:val="18"/>
        </w:rPr>
        <w:t xml:space="preserve"> Diğer yandan, Türkiye’nin yenilenebilir enerji kaynaklarından (hidrolik, rüzgâr, jeotermal, biyogaz ve atık) sağladığı elektriğin hem miktar hem de pay olarak artacağı tahmin edilmektedir. 2011 yılında 58,1 milyar kWh olan yenilenebilir kaynaklı elektrik üretiminin 2012 yılında 67,8 milyar kWh’e yükselmesi beklenmektedir. 2011 yılında toplam elektrik üretimi içinde </w:t>
      </w:r>
      <w:r>
        <w:rPr>
          <w:rFonts w:cs="Tahoma"/>
          <w:szCs w:val="18"/>
        </w:rPr>
        <w:t xml:space="preserve">yüzde </w:t>
      </w:r>
      <w:r w:rsidRPr="00C91E15">
        <w:rPr>
          <w:rFonts w:cs="Tahoma"/>
          <w:szCs w:val="18"/>
        </w:rPr>
        <w:t xml:space="preserve">25,2 olan yenilebilir enerji payının 2012 yılında yüzde 27,7’ye </w:t>
      </w:r>
      <w:r>
        <w:rPr>
          <w:rFonts w:cs="Tahoma"/>
          <w:szCs w:val="18"/>
        </w:rPr>
        <w:t xml:space="preserve">yükseleceği </w:t>
      </w:r>
      <w:r w:rsidRPr="00C91E15">
        <w:rPr>
          <w:rFonts w:cs="Tahoma"/>
          <w:szCs w:val="18"/>
        </w:rPr>
        <w:t>tahmin edilmektedir.</w:t>
      </w:r>
    </w:p>
    <w:p w:rsidR="00565FD5" w:rsidRPr="00C91E15" w:rsidRDefault="00565FD5" w:rsidP="00565FD5">
      <w:pPr>
        <w:spacing w:after="120"/>
        <w:ind w:firstLine="425"/>
        <w:rPr>
          <w:rFonts w:cs="Tahoma"/>
          <w:szCs w:val="18"/>
        </w:rPr>
      </w:pPr>
      <w:r w:rsidRPr="00C91E15">
        <w:rPr>
          <w:rFonts w:cs="Tahoma"/>
          <w:szCs w:val="18"/>
        </w:rPr>
        <w:t>Elektrik tüketiminin 2012 yılında bir önceki yıla oranla yüzde 7 artış göstereceği ve 246,5 milyar kWh olarak gerçekleşeceği tahmin edilmektedir. 2011 yılında 3.114 kWh olan kişi başı elektrik tüketiminin, 2012 yılında 3.292 kWh’e yükselmesi beklenmektedir.</w:t>
      </w:r>
    </w:p>
    <w:p w:rsidR="00565FD5" w:rsidRPr="00C91E15" w:rsidRDefault="00565FD5" w:rsidP="00565FD5">
      <w:pPr>
        <w:spacing w:after="120"/>
        <w:ind w:firstLine="425"/>
        <w:rPr>
          <w:rFonts w:cs="Tahoma"/>
          <w:szCs w:val="18"/>
        </w:rPr>
      </w:pPr>
      <w:r w:rsidRPr="00C91E15">
        <w:rPr>
          <w:rFonts w:cs="Tahoma"/>
          <w:szCs w:val="18"/>
        </w:rPr>
        <w:lastRenderedPageBreak/>
        <w:t xml:space="preserve">TKİ Genel Müdürlüğü uhdesinde bulunan linyit sahalarındaki üretimin artırılması ve bu alanda özel sektörün de yatırım yapması, yerli bir kaynak olan linyitlerimizin değerlendirilmesi açısından önem taşımaktadır. Termik santrallerin ve piyasanın kömür talebinin zamanında karşılanabilmesi, gelecek yıllarda darboğaz yaşanmaması ve yer altı-yer üstü üretim dengesinin sağlanabilmesi için yeni üretim sahalarının geliştirilmesi gerekli görülmekte olup bu amaçla çeşitli bölgelerde proje çalışmaları sürdürülmektedir. Son dönemde termik santral kurma şartıyla bazı kömür sahalarının ihaleleri yapılmıştır. Bu çerçevede, </w:t>
      </w:r>
      <w:r w:rsidRPr="00C91E15">
        <w:rPr>
          <w:szCs w:val="18"/>
        </w:rPr>
        <w:t>600 MW gücünde santral kurmaya uygun Adana-Tufanbeyli’deki saha ile 450 MW gücünde santral kurmaya müsait Soma’daki sahaya ilişkin ihaleler 2012 yılı içerisinde tamamlanmıştır. 270 MW gücünde santral kurulabilecek Bursa-Keles’teki saha için ihale süreci devam etmektedir.</w:t>
      </w:r>
    </w:p>
    <w:p w:rsidR="00565FD5" w:rsidRPr="00C91E15" w:rsidRDefault="00565FD5" w:rsidP="00565FD5">
      <w:pPr>
        <w:spacing w:after="120"/>
        <w:ind w:firstLine="425"/>
        <w:rPr>
          <w:rFonts w:cs="Tahoma"/>
          <w:szCs w:val="18"/>
        </w:rPr>
      </w:pPr>
      <w:r w:rsidRPr="00C91E15">
        <w:rPr>
          <w:szCs w:val="18"/>
        </w:rPr>
        <w:t xml:space="preserve">Çok büyük bir linyit rezervinin bulunduğu </w:t>
      </w:r>
      <w:r w:rsidRPr="00C91E15">
        <w:rPr>
          <w:rFonts w:cs="Tahoma"/>
          <w:szCs w:val="18"/>
        </w:rPr>
        <w:t>Afşin-Elbistan havzasının değerlendirilebilmesi için de çalışmalar sürmektedir. Afşin-Elbistan havzasındaki mevcut termik santrallerin rehabilitasyonu ve modernizasyonu ile C, D ve E sektörlerine yeni termik santral kurulması alanında işbirliğine yönelik bir Mutabakat Zaptı 06/02/2012 tarihinde EÜAŞ ile Güney Kore şirketleri arasında imzalanmıştır.</w:t>
      </w:r>
    </w:p>
    <w:p w:rsidR="00565FD5" w:rsidRPr="00C91E15" w:rsidRDefault="00565FD5" w:rsidP="00565FD5">
      <w:pPr>
        <w:spacing w:after="120"/>
        <w:ind w:firstLine="425"/>
        <w:rPr>
          <w:rFonts w:cs="Tahoma"/>
          <w:szCs w:val="18"/>
        </w:rPr>
      </w:pPr>
      <w:r w:rsidRPr="00C91E15">
        <w:rPr>
          <w:rFonts w:cs="Tahoma"/>
          <w:szCs w:val="18"/>
        </w:rPr>
        <w:t xml:space="preserve">Arz güvenliği sorununu hafifletmek üzere, Türkiye’de yenilenebilir enerji kaynaklarının geliştirilmesine yönelik çalışmalar da sürdürülmektedir. 08/01/2011 tarihli ve 6094 sayılı Yenilenebilir Enerji Kaynaklarının Elektrik Enerjisi Üretimi Amaçlı Kullanımına İlişkin Kanunda Değişiklik Yapılmasına Dair Kanunla yenilenebilir enerji için yeni teşvikler getirilmiştir. Bu düzenlemelerin bir sonucu olarak, yenilenebilir kaynakların elektrik üretimi amaçlı değerlendirilmesi artarak sürmektedir. 2012 yılının ilk 8 ayında rüzgâr kurulu gücü yaklaşık yüzde 20 artmış ve 360 MW’lık yeni kapasite sisteme dahil edilmiştir. </w:t>
      </w:r>
    </w:p>
    <w:p w:rsidR="00565FD5" w:rsidRPr="00C91E15" w:rsidRDefault="00565FD5" w:rsidP="00565FD5">
      <w:pPr>
        <w:spacing w:after="120"/>
        <w:ind w:firstLine="425"/>
        <w:rPr>
          <w:rFonts w:cs="Tahoma"/>
          <w:szCs w:val="18"/>
        </w:rPr>
      </w:pPr>
      <w:r w:rsidRPr="00C91E15">
        <w:rPr>
          <w:rFonts w:cs="Tahoma"/>
          <w:szCs w:val="18"/>
        </w:rPr>
        <w:t xml:space="preserve">Hidroelektrik santrallerin kurulu gücündeki artış ise, aynı dönemde 1.250 MW olarak gerçekleşmiştir. Bu artışın devam edeceği öngörülmektedir. Gerek daha önce DSİ tarafından geliştirilen projelerin özel sektöre açılması, gerekse özel sektörün bizzat kendisinin proje geliştirmesinin önündeki engellerin kaldırılması, hidroelektrik yatırımlarının artışındaki temel sebep olarak değerlendirilmektedir. Keza yenilenebilir enerjiye sağlanan teşvikler ile </w:t>
      </w:r>
      <w:r w:rsidRPr="00C91E15">
        <w:rPr>
          <w:rFonts w:cs="Tahoma"/>
          <w:szCs w:val="18"/>
        </w:rPr>
        <w:lastRenderedPageBreak/>
        <w:t>uluslararası kredi kuruluşlarının sağladığı finansman imkânları da hidroelektrik yatırımlarının hızlanmasında rol oynamaktadır.</w:t>
      </w:r>
    </w:p>
    <w:p w:rsidR="00565FD5" w:rsidRPr="00C91E15" w:rsidRDefault="00565FD5" w:rsidP="00565FD5">
      <w:pPr>
        <w:spacing w:after="120"/>
        <w:ind w:firstLine="425"/>
        <w:rPr>
          <w:rFonts w:cs="Tahoma"/>
          <w:szCs w:val="18"/>
        </w:rPr>
      </w:pPr>
      <w:r w:rsidRPr="00C91E15">
        <w:rPr>
          <w:rFonts w:cs="Tahoma"/>
          <w:szCs w:val="18"/>
        </w:rPr>
        <w:t>Türkiye’de su, rüzgâr, jeotermal ve biyokütle kaynaklarını kullanarak elektrik üretimi yapan santraller bulunmakla birlikte, henüz güneş enerjisinden elektrik üretimine başlanmamıştır. Yukarıda sözü edilen 6094 sayılı Kanunda, 31/12/2013 tarihine kadar iletim sistemine bağlanacak güneş enerjisine dayalı üretim tesislerinin toplam kurulu gücünün 600 MW’tan fazla olamayacağı hükme bağlanmış, 2014’ten sonra sisteme bağlanabilecek miktarı belirleme yetkisi ise Bakanlar Kuruluna bırakılmıştır.</w:t>
      </w:r>
    </w:p>
    <w:p w:rsidR="00565FD5" w:rsidRPr="00C91E15" w:rsidRDefault="00565FD5" w:rsidP="00565FD5">
      <w:pPr>
        <w:spacing w:after="120"/>
        <w:ind w:firstLine="425"/>
        <w:rPr>
          <w:rFonts w:cs="Tahoma"/>
          <w:szCs w:val="18"/>
        </w:rPr>
      </w:pPr>
      <w:r w:rsidRPr="00C91E15">
        <w:rPr>
          <w:rFonts w:cs="Tahoma"/>
          <w:szCs w:val="18"/>
        </w:rPr>
        <w:t xml:space="preserve">Güneş enerjisinden elektrik üretmeye yönelik hukukî ve teknik düzenlemeler açısından 2012 yılında önemli ilerlemeler kaydedilmiştir. Bu kapsamda </w:t>
      </w:r>
      <w:r w:rsidRPr="00C91E15">
        <w:rPr>
          <w:szCs w:val="18"/>
        </w:rPr>
        <w:t xml:space="preserve">Rüzgâr ve Güneş Enerjisine Dayalı Lisans Başvurularına İlişkin Ölçüm Standardı Tebliği yayımlanmıştır. Bu tebliğle santral yapımı için lisans başvurusunda bulunacak girişimcilere ölçüm zorunluluğu getirilmiştir. Güneş enerjisi piyasasının sağlıklı ve öngörülebilir şekilde gelişimi açısından önem arz eden bu düzenlemeyle güneş enerjisi santral yatırımı yapmak isteyen girişimcilerin yol haritası belli olmuştur. Ayrıca, </w:t>
      </w:r>
      <w:r w:rsidRPr="00C91E15">
        <w:rPr>
          <w:rFonts w:cs="Tahoma"/>
          <w:szCs w:val="18"/>
        </w:rPr>
        <w:t xml:space="preserve">19/06/2011 tarihli ve 27969 sayılı Resmî Gazete’de yayımlanan Güneş Enerjisine Dayalı Elektrik Üretim Tesisleri Hakkında Yönetmeliğin öngördüğü gerekleri yerine getirmek üzere Güneş Enerjisi İzleme ve Kontrol Sisteminin kurulmasına yönelik çalışmalar yürütülmüştür. Bu alandaki bir diğer önemli gelişme, Güneş Enerjisine Dayalı Üretim Tesisi Kurmak Üzere Yapılan Lisans Başvurularına İlişkin Yarışma Yönetmeliğinin 29/05/2012 tarihli ve 28307 sayılı Resmî Gazete’de yayımlanmasıdır. </w:t>
      </w:r>
    </w:p>
    <w:p w:rsidR="00565FD5" w:rsidRPr="00C91E15" w:rsidRDefault="00565FD5" w:rsidP="00565FD5">
      <w:pPr>
        <w:spacing w:after="120"/>
        <w:ind w:firstLine="425"/>
        <w:rPr>
          <w:rFonts w:cs="Tahoma"/>
          <w:szCs w:val="18"/>
        </w:rPr>
      </w:pPr>
      <w:r w:rsidRPr="00C91E15">
        <w:rPr>
          <w:rFonts w:cs="Tahoma"/>
          <w:szCs w:val="18"/>
        </w:rPr>
        <w:t xml:space="preserve">Elektrik Enerjisi Piyasası ve Arz Güvenliği Stratejisi Belgesinde, nükleer enerjinin 2020 yılına kadar elektrik üretimi içindeki payının yüzde 5 oranına ulaşması öngörülmüştür. Bu hedefe ulaşmak ve nükleer enerjinin elektrik üretimi amaçlı kullanımına imkân sağlamak üzere 2012 yılında çalışmalara devam edilmiştir. Mersin-Akkuyu’da yapılması planlanan 4.800 MW gücündeki nükleer güç santralinin (NGS) 1 ve 2’nci üniteleri için TEİAŞ </w:t>
      </w:r>
      <w:r w:rsidRPr="00C91E15">
        <w:rPr>
          <w:szCs w:val="18"/>
        </w:rPr>
        <w:t>tarafından şebeke bağlantı görüşleri oluşturulmuştur</w:t>
      </w:r>
      <w:r w:rsidRPr="00C91E15">
        <w:rPr>
          <w:rFonts w:cs="Tahoma"/>
          <w:szCs w:val="18"/>
        </w:rPr>
        <w:t>. Diğer yandan, Akkuyu (NGS) projesinin Çevresel Etki Değerlendirmesi (ÇED) raporu için başvuru yapılmış olup süreç devam etmektedir.</w:t>
      </w:r>
    </w:p>
    <w:p w:rsidR="00565FD5" w:rsidRPr="00C91E15" w:rsidRDefault="00565FD5" w:rsidP="00565FD5">
      <w:pPr>
        <w:spacing w:after="120"/>
        <w:rPr>
          <w:rFonts w:cs="Tahoma"/>
          <w:szCs w:val="18"/>
        </w:rPr>
      </w:pPr>
      <w:r w:rsidRPr="00C91E15">
        <w:rPr>
          <w:rFonts w:cs="Tahoma"/>
          <w:szCs w:val="18"/>
        </w:rPr>
        <w:lastRenderedPageBreak/>
        <w:tab/>
        <w:t>Mersin-Akkuyu’dan sonra ikinci NGS’nin Sinop’ta kurulması planlanmaktadır. Sinop’ta NGS kurulması öngörülen sahaya ilişkin çalışmaların EÜAŞ tarafından yürütülmesi kararlaştırılmış olup bu amaçla Nükleer Saha Etüdleri Projesi başlatılmıştır. Diğer taraftan, Enerji ve Tabii Kaynaklar Bakanlığı, Sinop’ta NGS kurulması için işbirliği yapılması muhtemel ülke ve yabancı firmalarla görüş alışverişinde bulunmaya devam etmektedir.</w:t>
      </w:r>
    </w:p>
    <w:p w:rsidR="00565FD5" w:rsidRPr="00C91E15" w:rsidRDefault="00565FD5" w:rsidP="00565FD5">
      <w:pPr>
        <w:spacing w:after="120"/>
        <w:ind w:firstLine="425"/>
        <w:rPr>
          <w:rFonts w:cs="Tahoma"/>
          <w:szCs w:val="18"/>
        </w:rPr>
      </w:pPr>
      <w:r w:rsidRPr="00C91E15">
        <w:rPr>
          <w:rFonts w:cs="Tahoma"/>
          <w:szCs w:val="18"/>
        </w:rPr>
        <w:t xml:space="preserve">Enerji verimliliği, arz güvenliğini sağlamadaki önemli hususlardan biridir. Enerji üretiminden iletimine, dağıtımından kullanımına kadar olan bütün süreçlerde verimliliğin artırılması, israfın önlenmesi ve enerji yoğunluğunun hem sektörel hem de makro düzeyde azaltılması Türkiye enerji sektörünün en önemli gündem maddeleri arasındadır. Enerji ve Tabii Kaynaklar Bakanlığı Yenilenebilir Enerji Genel Müdürlüğü tarafından yapılan çeşitli çalışmalara göre, sanayi ve ulaştırma sektörleri ile binalarda yapılacak verimlilik uygulamalarıyla hem genel enerji hem de elektrik tüketimlerinin yüzde 20-25 oranında düşürülmesi mümkün görülmektedir. </w:t>
      </w:r>
    </w:p>
    <w:p w:rsidR="00565FD5" w:rsidRPr="00C91E15" w:rsidRDefault="00565FD5" w:rsidP="00565FD5">
      <w:pPr>
        <w:spacing w:after="120"/>
        <w:ind w:firstLine="425"/>
        <w:rPr>
          <w:rFonts w:cs="Tahoma"/>
          <w:szCs w:val="18"/>
        </w:rPr>
      </w:pPr>
      <w:r w:rsidRPr="00C91E15">
        <w:rPr>
          <w:rFonts w:cs="Tahoma"/>
          <w:szCs w:val="18"/>
        </w:rPr>
        <w:t xml:space="preserve">2012-2023 Enerji Verimliliği Strateji Belgesi 25/02/2012 tarihli ve 28215 sayılı Resmî Gazete’de yayımlanarak yürürlüğe girmiştir. Enerji verimliliği alanında kamu, özel ve sivil toplum kuruluşları arasındaki işbirliklerini artırmayı amaçlayan Strateji Belgesi, bütün taraflar için bir yol haritası niteliğindedir. </w:t>
      </w:r>
    </w:p>
    <w:p w:rsidR="00565FD5" w:rsidRPr="00C91E15" w:rsidRDefault="00565FD5" w:rsidP="00565FD5">
      <w:pPr>
        <w:spacing w:after="120"/>
        <w:ind w:firstLine="425"/>
        <w:rPr>
          <w:rFonts w:cs="Tahoma"/>
          <w:szCs w:val="18"/>
        </w:rPr>
      </w:pPr>
      <w:r w:rsidRPr="00C91E15">
        <w:rPr>
          <w:rFonts w:cs="Tahoma"/>
          <w:szCs w:val="18"/>
        </w:rPr>
        <w:t xml:space="preserve">25/10/2008 tarihli ve 27035 sayılı Resmî Gazete’de yayımlanarak yürürlüğe giren Enerji Kaynaklarının ve Enerjinin Kullanımında Verimliliğin Artırılmasına Dair Yönetmelikle sanayide yapılacak enerji verimliliği çalışmalarını desteklemek üzere Verimlilik Artırıcı Proje (VAP) ve gönüllü anlaşma modelleri yürürlüğe konulmuştur. VAP kapsamında, sanayi tesislerinin enerji verimliliğine yönelik yatırımları desteklenmektedir. Gönüllü anlaşma desteklerinde ise, 3 yıl içerisinde enerji yoğunluğunu ortalama en az yüzde 10 oranında azaltmayı taahhüt ederek gönüllü anlaşma yapan ve taahhüdünü yerine getiren şirketlere, anlaşmanın yapıldığı yıla ait enerji giderinin yüzde 20’si tutarında ödeme yapılmaktadır. 2012 itibarıyla, VAP kapsamında desteklenmesi kararlaştırılan 32 projeden 25’i tamamlanmıştır. Diğer yandan, gönüllü anlaşma yapılan 22 işletmede yıllık enerji tasarrufu 44.500 ton petrol eşdeğeri (TEP), yıllık parasal tasarruf 32 milyon TL ve ödenmesi öngörülen toplam destek miktarı 2,2 milyon TL'dir. </w:t>
      </w:r>
    </w:p>
    <w:p w:rsidR="00565FD5" w:rsidRPr="00C91E15" w:rsidRDefault="00565FD5" w:rsidP="00565FD5">
      <w:pPr>
        <w:spacing w:after="120"/>
        <w:rPr>
          <w:rFonts w:cs="Tahoma"/>
          <w:szCs w:val="18"/>
        </w:rPr>
      </w:pPr>
      <w:r w:rsidRPr="00C91E15">
        <w:rPr>
          <w:rFonts w:cs="Tahoma"/>
          <w:szCs w:val="18"/>
        </w:rPr>
        <w:lastRenderedPageBreak/>
        <w:tab/>
        <w:t>02/06/2011 tarihinden itibaren Bulgaristan, Yunanistan ve Türkiye arasında, Avrupa Birliği kuralları ve Avrupa İletim Sistemi İşletmecileri Birliği (ENTSO-E) uygulamaları doğrultusunda elektrik alışverişi için sınırlı miktarda kapasite tahsisine izin verilmiştir. Bu izinle birlikte Avrupa’dan Türkiye yönüne ve Türkiye’den Avrupa yönüne belli bir kapasitede elektrik enerjisi ticareti mümkün hale gelmiştir. Deneme senkron</w:t>
      </w:r>
      <w:r>
        <w:rPr>
          <w:rFonts w:cs="Tahoma"/>
          <w:szCs w:val="18"/>
        </w:rPr>
        <w:t>-</w:t>
      </w:r>
      <w:r w:rsidRPr="00C91E15">
        <w:rPr>
          <w:rFonts w:cs="Tahoma"/>
          <w:szCs w:val="18"/>
        </w:rPr>
        <w:t xml:space="preserve">paralel işletme sürecinin </w:t>
      </w:r>
      <w:r>
        <w:rPr>
          <w:rFonts w:cs="Tahoma"/>
          <w:szCs w:val="18"/>
        </w:rPr>
        <w:t xml:space="preserve">bu </w:t>
      </w:r>
      <w:r w:rsidRPr="00C91E15">
        <w:rPr>
          <w:rFonts w:cs="Tahoma"/>
          <w:szCs w:val="18"/>
        </w:rPr>
        <w:t>üçüncü ve son fazı</w:t>
      </w:r>
      <w:r>
        <w:rPr>
          <w:rFonts w:cs="Tahoma"/>
          <w:szCs w:val="18"/>
        </w:rPr>
        <w:t>nın</w:t>
      </w:r>
      <w:r w:rsidRPr="00C91E15">
        <w:rPr>
          <w:rFonts w:cs="Tahoma"/>
          <w:szCs w:val="18"/>
        </w:rPr>
        <w:t xml:space="preserve"> 2013 yılında tamamlanması kararlaştırılmıştır.</w:t>
      </w:r>
    </w:p>
    <w:p w:rsidR="00565FD5" w:rsidRPr="00C91E15" w:rsidRDefault="00565FD5" w:rsidP="00565FD5">
      <w:pPr>
        <w:spacing w:after="120"/>
        <w:rPr>
          <w:rFonts w:cs="Tahoma"/>
          <w:szCs w:val="18"/>
        </w:rPr>
      </w:pPr>
      <w:r w:rsidRPr="00C91E15">
        <w:rPr>
          <w:bCs/>
          <w:caps/>
        </w:rPr>
        <w:tab/>
      </w:r>
      <w:r w:rsidRPr="00C91E15">
        <w:rPr>
          <w:rFonts w:cs="Tahoma"/>
          <w:szCs w:val="18"/>
        </w:rPr>
        <w:t>Türkiye elektrik sisteminin ENTSO-E sistemine entegrasyonuyla birlikte Batı komşularımız dışındaki ülkelerle senkron-paralel çalışma</w:t>
      </w:r>
      <w:r>
        <w:rPr>
          <w:rFonts w:cs="Tahoma"/>
          <w:szCs w:val="18"/>
        </w:rPr>
        <w:t>sı</w:t>
      </w:r>
      <w:r w:rsidRPr="00C91E15">
        <w:rPr>
          <w:rFonts w:cs="Tahoma"/>
          <w:szCs w:val="18"/>
        </w:rPr>
        <w:t xml:space="preserve"> ancak bu ülkelerin de belirli standartları ve işlemleri yerine getirmesi ve ENTSO-E’nin onayı çerçevesinde mümkün olacaktır. Halen İran, Irak, Suriye, Gürcistan ve Azerbaycan (Nahçıvan) gibi komşularımızda senkron-paralel çalışma şartları mevcut olmayıp bu ülkelerle ünite yönlendirme ya da izole bölge besleme yöntemleriyle elektrik ticareti yapılmaktadır. Söz konusu ülkelerle Türkiye arasındaki elektrik ticareti kapasitesinin büyütülmesi için çeşitli yatırımlara devam edilmektedir. </w:t>
      </w:r>
    </w:p>
    <w:p w:rsidR="00565FD5" w:rsidRPr="00C91E15" w:rsidRDefault="00565FD5" w:rsidP="00565FD5">
      <w:pPr>
        <w:spacing w:after="160"/>
        <w:rPr>
          <w:rFonts w:cs="Tahoma"/>
        </w:rPr>
      </w:pPr>
      <w:r w:rsidRPr="00C91E15">
        <w:rPr>
          <w:rFonts w:cs="Tahoma"/>
        </w:rPr>
        <w:tab/>
        <w:t xml:space="preserve">Türkiye’nin enerji sektöründe elektrik üretim ve dağıtım varlıklarının özelleştirilmesi çalışmaları devam etmektedir. Ancak 2012 yılında elektrik üretim ve dağıtım tesislerinin özelleştirilmesinde önemli bir ilerleme kaydedilememiştir. </w:t>
      </w:r>
    </w:p>
    <w:p w:rsidR="00565FD5" w:rsidRPr="0003655D" w:rsidRDefault="00565FD5" w:rsidP="00565FD5">
      <w:pPr>
        <w:pStyle w:val="ResimYazs"/>
        <w:rPr>
          <w:rFonts w:cs="Tahoma"/>
          <w:szCs w:val="16"/>
        </w:rPr>
      </w:pPr>
      <w:bookmarkStart w:id="1553" w:name="_Toc338606010"/>
      <w:bookmarkStart w:id="1554" w:name="_Toc338711785"/>
      <w:r>
        <w:t xml:space="preserve">TABLO IV: </w:t>
      </w:r>
      <w:fldSimple w:instr=" SEQ TABLO_IV: \* ARABIC ">
        <w:r>
          <w:rPr>
            <w:noProof/>
          </w:rPr>
          <w:t>15</w:t>
        </w:r>
      </w:fldSimple>
      <w:r w:rsidRPr="0003655D">
        <w:t>-</w:t>
      </w:r>
      <w:r w:rsidRPr="0003655D">
        <w:rPr>
          <w:rFonts w:cs="Tahoma"/>
          <w:szCs w:val="16"/>
        </w:rPr>
        <w:t xml:space="preserve"> Elektrik Enerjisinde Yakıt Cinslerine Göre Kurulu Güç, Üretim Kapasitesi ve Üretim Değerleri</w:t>
      </w:r>
      <w:bookmarkEnd w:id="1553"/>
      <w:bookmarkEnd w:id="1554"/>
    </w:p>
    <w:tbl>
      <w:tblPr>
        <w:tblW w:w="4952" w:type="pct"/>
        <w:tblInd w:w="70" w:type="dxa"/>
        <w:tblCellMar>
          <w:left w:w="70" w:type="dxa"/>
          <w:right w:w="70" w:type="dxa"/>
        </w:tblCellMar>
        <w:tblLook w:val="00A0"/>
      </w:tblPr>
      <w:tblGrid>
        <w:gridCol w:w="1175"/>
        <w:gridCol w:w="598"/>
        <w:gridCol w:w="780"/>
        <w:gridCol w:w="634"/>
        <w:gridCol w:w="600"/>
        <w:gridCol w:w="781"/>
        <w:gridCol w:w="633"/>
        <w:gridCol w:w="599"/>
        <w:gridCol w:w="781"/>
        <w:gridCol w:w="633"/>
      </w:tblGrid>
      <w:tr w:rsidR="00565FD5" w:rsidRPr="00C91E15" w:rsidTr="00AB62A3">
        <w:tc>
          <w:tcPr>
            <w:tcW w:w="814" w:type="pct"/>
            <w:tcBorders>
              <w:top w:val="single" w:sz="4" w:space="0" w:color="auto"/>
              <w:left w:val="single" w:sz="4" w:space="0" w:color="auto"/>
              <w:bottom w:val="nil"/>
              <w:right w:val="single" w:sz="4" w:space="0" w:color="auto"/>
            </w:tcBorders>
            <w:noWrap/>
          </w:tcPr>
          <w:p w:rsidR="00565FD5" w:rsidRPr="00C91E15" w:rsidRDefault="00565FD5" w:rsidP="00AB62A3">
            <w:pPr>
              <w:spacing w:after="60"/>
              <w:jc w:val="center"/>
              <w:rPr>
                <w:rFonts w:cs="Tahoma"/>
                <w:sz w:val="12"/>
                <w:szCs w:val="12"/>
                <w:lang w:eastAsia="tr-TR"/>
              </w:rPr>
            </w:pPr>
          </w:p>
        </w:tc>
        <w:tc>
          <w:tcPr>
            <w:tcW w:w="414" w:type="pct"/>
            <w:tcBorders>
              <w:top w:val="single" w:sz="8" w:space="0" w:color="auto"/>
              <w:left w:val="single" w:sz="4" w:space="0" w:color="auto"/>
              <w:bottom w:val="nil"/>
              <w:right w:val="nil"/>
            </w:tcBorders>
            <w:noWrap/>
          </w:tcPr>
          <w:p w:rsidR="00565FD5" w:rsidRPr="00C91E15" w:rsidRDefault="00565FD5" w:rsidP="00AB62A3">
            <w:pPr>
              <w:spacing w:after="60"/>
              <w:jc w:val="center"/>
              <w:rPr>
                <w:rFonts w:cs="Tahoma"/>
                <w:sz w:val="12"/>
                <w:szCs w:val="12"/>
                <w:lang w:eastAsia="tr-TR"/>
              </w:rPr>
            </w:pPr>
          </w:p>
        </w:tc>
        <w:tc>
          <w:tcPr>
            <w:tcW w:w="540" w:type="pct"/>
            <w:tcBorders>
              <w:top w:val="single" w:sz="8" w:space="0" w:color="auto"/>
              <w:left w:val="nil"/>
              <w:bottom w:val="nil"/>
              <w:right w:val="nil"/>
            </w:tcBorders>
            <w:noWrap/>
          </w:tcPr>
          <w:p w:rsidR="00565FD5" w:rsidRPr="00C91E15" w:rsidRDefault="00565FD5" w:rsidP="00AB62A3">
            <w:pPr>
              <w:spacing w:after="60"/>
              <w:jc w:val="center"/>
              <w:rPr>
                <w:rFonts w:cs="Tahoma"/>
                <w:b/>
                <w:bCs/>
                <w:sz w:val="12"/>
                <w:szCs w:val="12"/>
                <w:lang w:eastAsia="tr-TR"/>
              </w:rPr>
            </w:pPr>
            <w:r w:rsidRPr="00C91E15">
              <w:rPr>
                <w:rFonts w:cs="Tahoma"/>
                <w:b/>
                <w:bCs/>
                <w:sz w:val="12"/>
                <w:szCs w:val="12"/>
                <w:lang w:eastAsia="tr-TR"/>
              </w:rPr>
              <w:t>2011</w:t>
            </w:r>
          </w:p>
        </w:tc>
        <w:tc>
          <w:tcPr>
            <w:tcW w:w="439" w:type="pct"/>
            <w:tcBorders>
              <w:top w:val="single" w:sz="8" w:space="0" w:color="auto"/>
              <w:left w:val="nil"/>
              <w:bottom w:val="nil"/>
              <w:right w:val="single" w:sz="8" w:space="0" w:color="auto"/>
            </w:tcBorders>
            <w:noWrap/>
          </w:tcPr>
          <w:p w:rsidR="00565FD5" w:rsidRPr="00C91E15" w:rsidRDefault="00565FD5" w:rsidP="00AB62A3">
            <w:pPr>
              <w:spacing w:after="60"/>
              <w:jc w:val="center"/>
              <w:rPr>
                <w:rFonts w:cs="Tahoma"/>
                <w:sz w:val="12"/>
                <w:szCs w:val="12"/>
                <w:lang w:eastAsia="tr-TR"/>
              </w:rPr>
            </w:pPr>
          </w:p>
        </w:tc>
        <w:tc>
          <w:tcPr>
            <w:tcW w:w="415" w:type="pct"/>
            <w:tcBorders>
              <w:top w:val="single" w:sz="8" w:space="0" w:color="auto"/>
              <w:left w:val="nil"/>
              <w:bottom w:val="single" w:sz="8" w:space="0" w:color="auto"/>
              <w:right w:val="nil"/>
            </w:tcBorders>
            <w:noWrap/>
          </w:tcPr>
          <w:p w:rsidR="00565FD5" w:rsidRPr="00C91E15" w:rsidRDefault="00565FD5" w:rsidP="00AB62A3">
            <w:pPr>
              <w:spacing w:after="60"/>
              <w:jc w:val="center"/>
              <w:rPr>
                <w:rFonts w:cs="Tahoma"/>
                <w:sz w:val="12"/>
                <w:szCs w:val="12"/>
                <w:lang w:eastAsia="tr-TR"/>
              </w:rPr>
            </w:pPr>
          </w:p>
        </w:tc>
        <w:tc>
          <w:tcPr>
            <w:tcW w:w="541" w:type="pct"/>
            <w:tcBorders>
              <w:top w:val="single" w:sz="8" w:space="0" w:color="auto"/>
              <w:left w:val="nil"/>
              <w:bottom w:val="single" w:sz="8" w:space="0" w:color="auto"/>
              <w:right w:val="nil"/>
            </w:tcBorders>
            <w:noWrap/>
          </w:tcPr>
          <w:p w:rsidR="00565FD5" w:rsidRPr="00C91E15" w:rsidRDefault="00565FD5" w:rsidP="00AB62A3">
            <w:pPr>
              <w:spacing w:after="60"/>
              <w:jc w:val="center"/>
              <w:rPr>
                <w:rFonts w:cs="Tahoma"/>
                <w:b/>
                <w:bCs/>
                <w:sz w:val="12"/>
                <w:szCs w:val="12"/>
                <w:lang w:eastAsia="tr-TR"/>
              </w:rPr>
            </w:pPr>
            <w:r w:rsidRPr="00C91E15">
              <w:rPr>
                <w:rFonts w:cs="Tahoma"/>
                <w:b/>
                <w:bCs/>
                <w:sz w:val="12"/>
                <w:szCs w:val="12"/>
                <w:lang w:eastAsia="tr-TR"/>
              </w:rPr>
              <w:t>2012 (1)</w:t>
            </w:r>
          </w:p>
        </w:tc>
        <w:tc>
          <w:tcPr>
            <w:tcW w:w="439" w:type="pct"/>
            <w:tcBorders>
              <w:top w:val="single" w:sz="8" w:space="0" w:color="auto"/>
              <w:left w:val="nil"/>
              <w:bottom w:val="single" w:sz="8" w:space="0" w:color="auto"/>
              <w:right w:val="single" w:sz="8" w:space="0" w:color="auto"/>
            </w:tcBorders>
            <w:noWrap/>
          </w:tcPr>
          <w:p w:rsidR="00565FD5" w:rsidRPr="00C91E15" w:rsidRDefault="00565FD5" w:rsidP="00AB62A3">
            <w:pPr>
              <w:spacing w:after="60"/>
              <w:jc w:val="center"/>
              <w:rPr>
                <w:rFonts w:cs="Tahoma"/>
                <w:sz w:val="12"/>
                <w:szCs w:val="12"/>
                <w:lang w:eastAsia="tr-TR"/>
              </w:rPr>
            </w:pPr>
          </w:p>
        </w:tc>
        <w:tc>
          <w:tcPr>
            <w:tcW w:w="415" w:type="pct"/>
            <w:tcBorders>
              <w:top w:val="single" w:sz="8" w:space="0" w:color="auto"/>
              <w:left w:val="nil"/>
              <w:bottom w:val="single" w:sz="8" w:space="0" w:color="auto"/>
              <w:right w:val="nil"/>
            </w:tcBorders>
            <w:noWrap/>
          </w:tcPr>
          <w:p w:rsidR="00565FD5" w:rsidRPr="00C91E15" w:rsidRDefault="00565FD5" w:rsidP="00AB62A3">
            <w:pPr>
              <w:spacing w:after="60"/>
              <w:jc w:val="center"/>
              <w:rPr>
                <w:rFonts w:cs="Tahoma"/>
                <w:sz w:val="12"/>
                <w:szCs w:val="12"/>
                <w:lang w:eastAsia="tr-TR"/>
              </w:rPr>
            </w:pPr>
          </w:p>
        </w:tc>
        <w:tc>
          <w:tcPr>
            <w:tcW w:w="541" w:type="pct"/>
            <w:tcBorders>
              <w:top w:val="single" w:sz="8" w:space="0" w:color="auto"/>
              <w:left w:val="nil"/>
              <w:bottom w:val="single" w:sz="8" w:space="0" w:color="auto"/>
              <w:right w:val="nil"/>
            </w:tcBorders>
            <w:noWrap/>
          </w:tcPr>
          <w:p w:rsidR="00565FD5" w:rsidRPr="00C91E15" w:rsidRDefault="00565FD5" w:rsidP="00AB62A3">
            <w:pPr>
              <w:spacing w:after="60"/>
              <w:jc w:val="center"/>
              <w:rPr>
                <w:rFonts w:cs="Tahoma"/>
                <w:b/>
                <w:bCs/>
                <w:sz w:val="12"/>
                <w:szCs w:val="12"/>
                <w:lang w:eastAsia="tr-TR"/>
              </w:rPr>
            </w:pPr>
            <w:r w:rsidRPr="00C91E15">
              <w:rPr>
                <w:rFonts w:cs="Tahoma"/>
                <w:b/>
                <w:bCs/>
                <w:sz w:val="12"/>
                <w:szCs w:val="12"/>
                <w:lang w:eastAsia="tr-TR"/>
              </w:rPr>
              <w:t>2013 (2)</w:t>
            </w:r>
          </w:p>
        </w:tc>
        <w:tc>
          <w:tcPr>
            <w:tcW w:w="439" w:type="pct"/>
            <w:tcBorders>
              <w:top w:val="single" w:sz="8" w:space="0" w:color="auto"/>
              <w:left w:val="nil"/>
              <w:bottom w:val="single" w:sz="8" w:space="0" w:color="auto"/>
              <w:right w:val="single" w:sz="8" w:space="0" w:color="auto"/>
            </w:tcBorders>
            <w:noWrap/>
          </w:tcPr>
          <w:p w:rsidR="00565FD5" w:rsidRPr="00C91E15" w:rsidRDefault="00565FD5" w:rsidP="00AB62A3">
            <w:pPr>
              <w:spacing w:after="60"/>
              <w:jc w:val="center"/>
              <w:rPr>
                <w:rFonts w:cs="Tahoma"/>
                <w:sz w:val="12"/>
                <w:szCs w:val="12"/>
                <w:lang w:eastAsia="tr-TR"/>
              </w:rPr>
            </w:pPr>
          </w:p>
        </w:tc>
      </w:tr>
      <w:tr w:rsidR="00565FD5" w:rsidRPr="00C91E15" w:rsidTr="00AB62A3">
        <w:trPr>
          <w:trHeight w:val="329"/>
        </w:trPr>
        <w:tc>
          <w:tcPr>
            <w:tcW w:w="814" w:type="pct"/>
            <w:tcBorders>
              <w:top w:val="nil"/>
              <w:left w:val="single" w:sz="4" w:space="0" w:color="auto"/>
              <w:bottom w:val="single" w:sz="4" w:space="0" w:color="auto"/>
              <w:right w:val="single" w:sz="4" w:space="0" w:color="auto"/>
            </w:tcBorders>
            <w:noWrap/>
            <w:vAlign w:val="bottom"/>
          </w:tcPr>
          <w:p w:rsidR="00565FD5" w:rsidRPr="00C91E15" w:rsidRDefault="00565FD5" w:rsidP="00AB62A3">
            <w:pPr>
              <w:spacing w:after="60"/>
              <w:rPr>
                <w:rFonts w:cs="Tahoma"/>
                <w:sz w:val="12"/>
                <w:szCs w:val="12"/>
                <w:lang w:eastAsia="tr-TR"/>
              </w:rPr>
            </w:pPr>
            <w:r w:rsidRPr="00C91E15">
              <w:rPr>
                <w:rFonts w:cs="Tahoma"/>
                <w:b/>
                <w:bCs/>
                <w:sz w:val="12"/>
                <w:szCs w:val="12"/>
                <w:lang w:eastAsia="tr-TR"/>
              </w:rPr>
              <w:t>Yakıt Cinsleri</w:t>
            </w:r>
          </w:p>
        </w:tc>
        <w:tc>
          <w:tcPr>
            <w:tcW w:w="414" w:type="pct"/>
            <w:tcBorders>
              <w:top w:val="single" w:sz="8" w:space="0" w:color="auto"/>
              <w:left w:val="single" w:sz="4" w:space="0" w:color="auto"/>
              <w:right w:val="nil"/>
            </w:tcBorders>
            <w:noWrap/>
          </w:tcPr>
          <w:p w:rsidR="00565FD5" w:rsidRPr="00C91E15" w:rsidRDefault="00565FD5" w:rsidP="00AB62A3">
            <w:pPr>
              <w:jc w:val="center"/>
              <w:rPr>
                <w:rFonts w:cs="Tahoma"/>
                <w:b/>
                <w:bCs/>
                <w:sz w:val="12"/>
                <w:szCs w:val="12"/>
                <w:lang w:eastAsia="tr-TR"/>
              </w:rPr>
            </w:pPr>
            <w:r w:rsidRPr="00C91E15">
              <w:rPr>
                <w:rFonts w:cs="Tahoma"/>
                <w:b/>
                <w:bCs/>
                <w:sz w:val="12"/>
                <w:szCs w:val="12"/>
                <w:lang w:eastAsia="tr-TR"/>
              </w:rPr>
              <w:t>Kurulu</w:t>
            </w:r>
          </w:p>
          <w:p w:rsidR="00565FD5" w:rsidRPr="00C91E15" w:rsidRDefault="00565FD5" w:rsidP="00AB62A3">
            <w:pPr>
              <w:jc w:val="center"/>
              <w:rPr>
                <w:rFonts w:cs="Tahoma"/>
                <w:b/>
                <w:bCs/>
                <w:sz w:val="12"/>
                <w:szCs w:val="12"/>
                <w:lang w:eastAsia="tr-TR"/>
              </w:rPr>
            </w:pPr>
            <w:r w:rsidRPr="00C91E15">
              <w:rPr>
                <w:rFonts w:cs="Tahoma"/>
                <w:b/>
                <w:bCs/>
                <w:sz w:val="12"/>
                <w:szCs w:val="12"/>
                <w:lang w:eastAsia="tr-TR"/>
              </w:rPr>
              <w:t>Güç</w:t>
            </w:r>
          </w:p>
        </w:tc>
        <w:tc>
          <w:tcPr>
            <w:tcW w:w="540" w:type="pct"/>
            <w:tcBorders>
              <w:top w:val="single" w:sz="8" w:space="0" w:color="auto"/>
              <w:left w:val="nil"/>
              <w:right w:val="nil"/>
            </w:tcBorders>
            <w:noWrap/>
          </w:tcPr>
          <w:p w:rsidR="00565FD5" w:rsidRPr="00C91E15" w:rsidRDefault="00565FD5" w:rsidP="00AB62A3">
            <w:pPr>
              <w:jc w:val="center"/>
              <w:rPr>
                <w:rFonts w:cs="Tahoma"/>
                <w:b/>
                <w:bCs/>
                <w:sz w:val="12"/>
                <w:szCs w:val="12"/>
                <w:lang w:eastAsia="tr-TR"/>
              </w:rPr>
            </w:pPr>
            <w:r w:rsidRPr="00C91E15">
              <w:rPr>
                <w:rFonts w:cs="Tahoma"/>
                <w:b/>
                <w:bCs/>
                <w:sz w:val="12"/>
                <w:szCs w:val="12"/>
                <w:lang w:eastAsia="tr-TR"/>
              </w:rPr>
              <w:t>Ortalama</w:t>
            </w:r>
          </w:p>
          <w:p w:rsidR="00565FD5" w:rsidRPr="00C91E15" w:rsidRDefault="00565FD5" w:rsidP="00AB62A3">
            <w:pPr>
              <w:jc w:val="center"/>
              <w:rPr>
                <w:rFonts w:cs="Tahoma"/>
                <w:b/>
                <w:bCs/>
                <w:sz w:val="12"/>
                <w:szCs w:val="12"/>
                <w:lang w:eastAsia="tr-TR"/>
              </w:rPr>
            </w:pPr>
            <w:r w:rsidRPr="00C91E15">
              <w:rPr>
                <w:rFonts w:cs="Tahoma"/>
                <w:b/>
                <w:bCs/>
                <w:sz w:val="12"/>
                <w:szCs w:val="12"/>
                <w:lang w:eastAsia="tr-TR"/>
              </w:rPr>
              <w:t>Üretim</w:t>
            </w:r>
          </w:p>
        </w:tc>
        <w:tc>
          <w:tcPr>
            <w:tcW w:w="439" w:type="pct"/>
            <w:tcBorders>
              <w:top w:val="single" w:sz="8" w:space="0" w:color="auto"/>
              <w:left w:val="nil"/>
              <w:right w:val="single" w:sz="8" w:space="0" w:color="auto"/>
            </w:tcBorders>
            <w:noWrap/>
          </w:tcPr>
          <w:p w:rsidR="00565FD5" w:rsidRPr="00C91E15" w:rsidRDefault="00565FD5" w:rsidP="00AB62A3">
            <w:pPr>
              <w:jc w:val="center"/>
              <w:rPr>
                <w:rFonts w:cs="Tahoma"/>
                <w:b/>
                <w:bCs/>
                <w:sz w:val="12"/>
                <w:szCs w:val="12"/>
                <w:lang w:eastAsia="tr-TR"/>
              </w:rPr>
            </w:pPr>
            <w:r w:rsidRPr="00C91E15">
              <w:rPr>
                <w:rFonts w:cs="Tahoma"/>
                <w:b/>
                <w:bCs/>
                <w:sz w:val="12"/>
                <w:szCs w:val="12"/>
                <w:lang w:eastAsia="tr-TR"/>
              </w:rPr>
              <w:t>Fiili</w:t>
            </w:r>
          </w:p>
          <w:p w:rsidR="00565FD5" w:rsidRPr="00C91E15" w:rsidRDefault="00565FD5" w:rsidP="00AB62A3">
            <w:pPr>
              <w:jc w:val="center"/>
              <w:rPr>
                <w:rFonts w:cs="Tahoma"/>
                <w:b/>
                <w:bCs/>
                <w:sz w:val="12"/>
                <w:szCs w:val="12"/>
                <w:lang w:eastAsia="tr-TR"/>
              </w:rPr>
            </w:pPr>
            <w:r w:rsidRPr="00C91E15">
              <w:rPr>
                <w:rFonts w:cs="Tahoma"/>
                <w:b/>
                <w:bCs/>
                <w:sz w:val="12"/>
                <w:szCs w:val="12"/>
                <w:lang w:eastAsia="tr-TR"/>
              </w:rPr>
              <w:t>Üretim</w:t>
            </w:r>
          </w:p>
        </w:tc>
        <w:tc>
          <w:tcPr>
            <w:tcW w:w="415" w:type="pct"/>
            <w:tcBorders>
              <w:top w:val="single" w:sz="8" w:space="0" w:color="auto"/>
              <w:left w:val="nil"/>
              <w:bottom w:val="single" w:sz="4" w:space="0" w:color="auto"/>
              <w:right w:val="nil"/>
            </w:tcBorders>
            <w:noWrap/>
          </w:tcPr>
          <w:p w:rsidR="00565FD5" w:rsidRPr="00C91E15" w:rsidRDefault="00565FD5" w:rsidP="00AB62A3">
            <w:pPr>
              <w:jc w:val="center"/>
              <w:rPr>
                <w:rFonts w:cs="Tahoma"/>
                <w:b/>
                <w:bCs/>
                <w:sz w:val="12"/>
                <w:szCs w:val="12"/>
                <w:lang w:eastAsia="tr-TR"/>
              </w:rPr>
            </w:pPr>
            <w:r w:rsidRPr="00C91E15">
              <w:rPr>
                <w:rFonts w:cs="Tahoma"/>
                <w:b/>
                <w:bCs/>
                <w:sz w:val="12"/>
                <w:szCs w:val="12"/>
                <w:lang w:eastAsia="tr-TR"/>
              </w:rPr>
              <w:t>Kurulu</w:t>
            </w:r>
          </w:p>
          <w:p w:rsidR="00565FD5" w:rsidRPr="00C91E15" w:rsidRDefault="00565FD5" w:rsidP="00AB62A3">
            <w:pPr>
              <w:jc w:val="center"/>
              <w:rPr>
                <w:rFonts w:cs="Tahoma"/>
                <w:b/>
                <w:bCs/>
                <w:sz w:val="12"/>
                <w:szCs w:val="12"/>
                <w:lang w:eastAsia="tr-TR"/>
              </w:rPr>
            </w:pPr>
            <w:r w:rsidRPr="00C91E15">
              <w:rPr>
                <w:rFonts w:cs="Tahoma"/>
                <w:b/>
                <w:bCs/>
                <w:sz w:val="12"/>
                <w:szCs w:val="12"/>
                <w:lang w:eastAsia="tr-TR"/>
              </w:rPr>
              <w:t>Güç</w:t>
            </w:r>
          </w:p>
        </w:tc>
        <w:tc>
          <w:tcPr>
            <w:tcW w:w="541" w:type="pct"/>
            <w:tcBorders>
              <w:top w:val="single" w:sz="8" w:space="0" w:color="auto"/>
              <w:left w:val="nil"/>
              <w:bottom w:val="single" w:sz="4" w:space="0" w:color="auto"/>
              <w:right w:val="nil"/>
            </w:tcBorders>
            <w:noWrap/>
          </w:tcPr>
          <w:p w:rsidR="00565FD5" w:rsidRPr="00C91E15" w:rsidRDefault="00565FD5" w:rsidP="00AB62A3">
            <w:pPr>
              <w:jc w:val="center"/>
              <w:rPr>
                <w:rFonts w:cs="Tahoma"/>
                <w:b/>
                <w:bCs/>
                <w:sz w:val="12"/>
                <w:szCs w:val="12"/>
                <w:lang w:eastAsia="tr-TR"/>
              </w:rPr>
            </w:pPr>
            <w:r w:rsidRPr="00C91E15">
              <w:rPr>
                <w:rFonts w:cs="Tahoma"/>
                <w:b/>
                <w:bCs/>
                <w:sz w:val="12"/>
                <w:szCs w:val="12"/>
                <w:lang w:eastAsia="tr-TR"/>
              </w:rPr>
              <w:t>Ortalama</w:t>
            </w:r>
          </w:p>
          <w:p w:rsidR="00565FD5" w:rsidRPr="00C91E15" w:rsidRDefault="00565FD5" w:rsidP="00AB62A3">
            <w:pPr>
              <w:jc w:val="center"/>
              <w:rPr>
                <w:rFonts w:cs="Tahoma"/>
                <w:b/>
                <w:bCs/>
                <w:sz w:val="12"/>
                <w:szCs w:val="12"/>
                <w:lang w:eastAsia="tr-TR"/>
              </w:rPr>
            </w:pPr>
            <w:r w:rsidRPr="00C91E15">
              <w:rPr>
                <w:rFonts w:cs="Tahoma"/>
                <w:b/>
                <w:bCs/>
                <w:sz w:val="12"/>
                <w:szCs w:val="12"/>
                <w:lang w:eastAsia="tr-TR"/>
              </w:rPr>
              <w:t>Üretim</w:t>
            </w:r>
          </w:p>
        </w:tc>
        <w:tc>
          <w:tcPr>
            <w:tcW w:w="439" w:type="pct"/>
            <w:tcBorders>
              <w:top w:val="single" w:sz="8" w:space="0" w:color="auto"/>
              <w:left w:val="nil"/>
              <w:bottom w:val="single" w:sz="4" w:space="0" w:color="auto"/>
              <w:right w:val="single" w:sz="8" w:space="0" w:color="auto"/>
            </w:tcBorders>
            <w:noWrap/>
          </w:tcPr>
          <w:p w:rsidR="00565FD5" w:rsidRPr="00C91E15" w:rsidRDefault="00565FD5" w:rsidP="00AB62A3">
            <w:pPr>
              <w:jc w:val="center"/>
              <w:rPr>
                <w:rFonts w:cs="Tahoma"/>
                <w:b/>
                <w:bCs/>
                <w:sz w:val="12"/>
                <w:szCs w:val="12"/>
                <w:lang w:eastAsia="tr-TR"/>
              </w:rPr>
            </w:pPr>
            <w:r w:rsidRPr="00C91E15">
              <w:rPr>
                <w:rFonts w:cs="Tahoma"/>
                <w:b/>
                <w:bCs/>
                <w:sz w:val="12"/>
                <w:szCs w:val="12"/>
                <w:lang w:eastAsia="tr-TR"/>
              </w:rPr>
              <w:t>Fiili</w:t>
            </w:r>
          </w:p>
          <w:p w:rsidR="00565FD5" w:rsidRPr="00C91E15" w:rsidRDefault="00565FD5" w:rsidP="00AB62A3">
            <w:pPr>
              <w:jc w:val="center"/>
              <w:rPr>
                <w:rFonts w:cs="Tahoma"/>
                <w:b/>
                <w:bCs/>
                <w:sz w:val="12"/>
                <w:szCs w:val="12"/>
                <w:lang w:eastAsia="tr-TR"/>
              </w:rPr>
            </w:pPr>
            <w:r w:rsidRPr="00C91E15">
              <w:rPr>
                <w:rFonts w:cs="Tahoma"/>
                <w:b/>
                <w:bCs/>
                <w:sz w:val="12"/>
                <w:szCs w:val="12"/>
                <w:lang w:eastAsia="tr-TR"/>
              </w:rPr>
              <w:t>Üretim</w:t>
            </w:r>
          </w:p>
        </w:tc>
        <w:tc>
          <w:tcPr>
            <w:tcW w:w="415" w:type="pct"/>
            <w:tcBorders>
              <w:top w:val="single" w:sz="8" w:space="0" w:color="auto"/>
              <w:left w:val="nil"/>
              <w:bottom w:val="single" w:sz="4" w:space="0" w:color="auto"/>
              <w:right w:val="nil"/>
            </w:tcBorders>
            <w:noWrap/>
          </w:tcPr>
          <w:p w:rsidR="00565FD5" w:rsidRPr="00C91E15" w:rsidRDefault="00565FD5" w:rsidP="00AB62A3">
            <w:pPr>
              <w:jc w:val="center"/>
              <w:rPr>
                <w:rFonts w:cs="Tahoma"/>
                <w:b/>
                <w:bCs/>
                <w:sz w:val="12"/>
                <w:szCs w:val="12"/>
                <w:lang w:eastAsia="tr-TR"/>
              </w:rPr>
            </w:pPr>
            <w:r w:rsidRPr="00C91E15">
              <w:rPr>
                <w:rFonts w:cs="Tahoma"/>
                <w:b/>
                <w:bCs/>
                <w:sz w:val="12"/>
                <w:szCs w:val="12"/>
                <w:lang w:eastAsia="tr-TR"/>
              </w:rPr>
              <w:t>Kurulu</w:t>
            </w:r>
          </w:p>
          <w:p w:rsidR="00565FD5" w:rsidRPr="00C91E15" w:rsidRDefault="00565FD5" w:rsidP="00AB62A3">
            <w:pPr>
              <w:jc w:val="center"/>
              <w:rPr>
                <w:rFonts w:cs="Tahoma"/>
                <w:b/>
                <w:bCs/>
                <w:sz w:val="12"/>
                <w:szCs w:val="12"/>
                <w:lang w:eastAsia="tr-TR"/>
              </w:rPr>
            </w:pPr>
            <w:r w:rsidRPr="00C91E15">
              <w:rPr>
                <w:rFonts w:cs="Tahoma"/>
                <w:b/>
                <w:bCs/>
                <w:sz w:val="12"/>
                <w:szCs w:val="12"/>
                <w:lang w:eastAsia="tr-TR"/>
              </w:rPr>
              <w:t>Güç</w:t>
            </w:r>
          </w:p>
        </w:tc>
        <w:tc>
          <w:tcPr>
            <w:tcW w:w="541" w:type="pct"/>
            <w:tcBorders>
              <w:top w:val="single" w:sz="8" w:space="0" w:color="auto"/>
              <w:left w:val="nil"/>
              <w:bottom w:val="single" w:sz="4" w:space="0" w:color="auto"/>
              <w:right w:val="nil"/>
            </w:tcBorders>
            <w:noWrap/>
          </w:tcPr>
          <w:p w:rsidR="00565FD5" w:rsidRPr="00C91E15" w:rsidRDefault="00565FD5" w:rsidP="00AB62A3">
            <w:pPr>
              <w:jc w:val="center"/>
              <w:rPr>
                <w:rFonts w:cs="Tahoma"/>
                <w:b/>
                <w:bCs/>
                <w:sz w:val="12"/>
                <w:szCs w:val="12"/>
                <w:lang w:eastAsia="tr-TR"/>
              </w:rPr>
            </w:pPr>
            <w:r w:rsidRPr="00C91E15">
              <w:rPr>
                <w:rFonts w:cs="Tahoma"/>
                <w:b/>
                <w:bCs/>
                <w:sz w:val="12"/>
                <w:szCs w:val="12"/>
                <w:lang w:eastAsia="tr-TR"/>
              </w:rPr>
              <w:t>Ortalama</w:t>
            </w:r>
          </w:p>
          <w:p w:rsidR="00565FD5" w:rsidRPr="00C91E15" w:rsidRDefault="00565FD5" w:rsidP="00AB62A3">
            <w:pPr>
              <w:jc w:val="center"/>
              <w:rPr>
                <w:rFonts w:cs="Tahoma"/>
                <w:b/>
                <w:bCs/>
                <w:sz w:val="12"/>
                <w:szCs w:val="12"/>
                <w:lang w:eastAsia="tr-TR"/>
              </w:rPr>
            </w:pPr>
            <w:r w:rsidRPr="00C91E15">
              <w:rPr>
                <w:rFonts w:cs="Tahoma"/>
                <w:b/>
                <w:bCs/>
                <w:sz w:val="12"/>
                <w:szCs w:val="12"/>
                <w:lang w:eastAsia="tr-TR"/>
              </w:rPr>
              <w:t>Üretim</w:t>
            </w:r>
          </w:p>
        </w:tc>
        <w:tc>
          <w:tcPr>
            <w:tcW w:w="439" w:type="pct"/>
            <w:tcBorders>
              <w:top w:val="single" w:sz="8" w:space="0" w:color="auto"/>
              <w:left w:val="nil"/>
              <w:bottom w:val="single" w:sz="4" w:space="0" w:color="auto"/>
              <w:right w:val="single" w:sz="8" w:space="0" w:color="auto"/>
            </w:tcBorders>
            <w:noWrap/>
          </w:tcPr>
          <w:p w:rsidR="00565FD5" w:rsidRPr="00C91E15" w:rsidRDefault="00565FD5" w:rsidP="00AB62A3">
            <w:pPr>
              <w:jc w:val="center"/>
              <w:rPr>
                <w:rFonts w:cs="Tahoma"/>
                <w:b/>
                <w:bCs/>
                <w:sz w:val="12"/>
                <w:szCs w:val="12"/>
                <w:lang w:eastAsia="tr-TR"/>
              </w:rPr>
            </w:pPr>
            <w:r w:rsidRPr="00C91E15">
              <w:rPr>
                <w:rFonts w:cs="Tahoma"/>
                <w:b/>
                <w:bCs/>
                <w:sz w:val="12"/>
                <w:szCs w:val="12"/>
                <w:lang w:eastAsia="tr-TR"/>
              </w:rPr>
              <w:t>Fiili</w:t>
            </w:r>
          </w:p>
          <w:p w:rsidR="00565FD5" w:rsidRPr="00C91E15" w:rsidRDefault="00565FD5" w:rsidP="00AB62A3">
            <w:pPr>
              <w:jc w:val="center"/>
              <w:rPr>
                <w:rFonts w:cs="Tahoma"/>
                <w:b/>
                <w:bCs/>
                <w:sz w:val="12"/>
                <w:szCs w:val="12"/>
                <w:lang w:eastAsia="tr-TR"/>
              </w:rPr>
            </w:pPr>
            <w:r w:rsidRPr="00C91E15">
              <w:rPr>
                <w:rFonts w:cs="Tahoma"/>
                <w:b/>
                <w:bCs/>
                <w:sz w:val="12"/>
                <w:szCs w:val="12"/>
                <w:lang w:eastAsia="tr-TR"/>
              </w:rPr>
              <w:t>Üretim</w:t>
            </w:r>
          </w:p>
        </w:tc>
      </w:tr>
      <w:tr w:rsidR="00565FD5" w:rsidRPr="00C91E15" w:rsidTr="00AB62A3">
        <w:tc>
          <w:tcPr>
            <w:tcW w:w="814" w:type="pct"/>
            <w:tcBorders>
              <w:top w:val="single" w:sz="4" w:space="0" w:color="auto"/>
              <w:left w:val="single" w:sz="4" w:space="0" w:color="auto"/>
              <w:bottom w:val="nil"/>
              <w:right w:val="single" w:sz="4" w:space="0" w:color="auto"/>
            </w:tcBorders>
            <w:noWrap/>
            <w:vAlign w:val="center"/>
          </w:tcPr>
          <w:p w:rsidR="00565FD5" w:rsidRPr="00C91E15" w:rsidRDefault="00565FD5" w:rsidP="00AB62A3">
            <w:pPr>
              <w:rPr>
                <w:rFonts w:cs="Tahoma"/>
                <w:sz w:val="12"/>
                <w:szCs w:val="12"/>
                <w:lang w:eastAsia="tr-TR"/>
              </w:rPr>
            </w:pPr>
            <w:r w:rsidRPr="00C91E15">
              <w:rPr>
                <w:rFonts w:cs="Tahoma"/>
                <w:sz w:val="12"/>
                <w:szCs w:val="12"/>
                <w:lang w:eastAsia="tr-TR"/>
              </w:rPr>
              <w:t>Taşkömürü</w:t>
            </w:r>
          </w:p>
        </w:tc>
        <w:tc>
          <w:tcPr>
            <w:tcW w:w="414" w:type="pct"/>
            <w:tcBorders>
              <w:top w:val="single" w:sz="4" w:space="0" w:color="auto"/>
              <w:left w:val="single" w:sz="4" w:space="0" w:color="auto"/>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4 351</w:t>
            </w:r>
          </w:p>
        </w:tc>
        <w:tc>
          <w:tcPr>
            <w:tcW w:w="540" w:type="pct"/>
            <w:tcBorders>
              <w:top w:val="single" w:sz="4" w:space="0" w:color="auto"/>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34 808</w:t>
            </w:r>
          </w:p>
        </w:tc>
        <w:tc>
          <w:tcPr>
            <w:tcW w:w="439" w:type="pct"/>
            <w:tcBorders>
              <w:top w:val="single" w:sz="4" w:space="0" w:color="auto"/>
              <w:left w:val="nil"/>
              <w:bottom w:val="nil"/>
              <w:right w:val="single" w:sz="4"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27 348</w:t>
            </w:r>
          </w:p>
        </w:tc>
        <w:tc>
          <w:tcPr>
            <w:tcW w:w="415" w:type="pct"/>
            <w:tcBorders>
              <w:top w:val="single" w:sz="4" w:space="0" w:color="auto"/>
              <w:left w:val="single" w:sz="4" w:space="0" w:color="auto"/>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4 382</w:t>
            </w:r>
          </w:p>
        </w:tc>
        <w:tc>
          <w:tcPr>
            <w:tcW w:w="541" w:type="pct"/>
            <w:tcBorders>
              <w:top w:val="single" w:sz="4" w:space="0" w:color="auto"/>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35 059</w:t>
            </w:r>
          </w:p>
        </w:tc>
        <w:tc>
          <w:tcPr>
            <w:tcW w:w="439" w:type="pct"/>
            <w:tcBorders>
              <w:top w:val="single" w:sz="4" w:space="0" w:color="auto"/>
              <w:left w:val="nil"/>
              <w:bottom w:val="nil"/>
              <w:right w:val="single" w:sz="8"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29 000</w:t>
            </w:r>
          </w:p>
        </w:tc>
        <w:tc>
          <w:tcPr>
            <w:tcW w:w="415" w:type="pct"/>
            <w:tcBorders>
              <w:top w:val="single" w:sz="4" w:space="0" w:color="auto"/>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4 571</w:t>
            </w:r>
          </w:p>
        </w:tc>
        <w:tc>
          <w:tcPr>
            <w:tcW w:w="541" w:type="pct"/>
            <w:tcBorders>
              <w:top w:val="single" w:sz="4" w:space="0" w:color="auto"/>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36 568</w:t>
            </w:r>
          </w:p>
        </w:tc>
        <w:tc>
          <w:tcPr>
            <w:tcW w:w="439" w:type="pct"/>
            <w:tcBorders>
              <w:top w:val="single" w:sz="4" w:space="0" w:color="auto"/>
              <w:left w:val="nil"/>
              <w:bottom w:val="nil"/>
              <w:right w:val="single" w:sz="8"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31 500</w:t>
            </w:r>
          </w:p>
        </w:tc>
      </w:tr>
      <w:tr w:rsidR="00565FD5" w:rsidRPr="00C91E15" w:rsidTr="00AB62A3">
        <w:tc>
          <w:tcPr>
            <w:tcW w:w="814" w:type="pct"/>
            <w:tcBorders>
              <w:top w:val="nil"/>
              <w:left w:val="single" w:sz="4" w:space="0" w:color="auto"/>
              <w:bottom w:val="nil"/>
              <w:right w:val="single" w:sz="4" w:space="0" w:color="auto"/>
            </w:tcBorders>
            <w:noWrap/>
            <w:vAlign w:val="center"/>
          </w:tcPr>
          <w:p w:rsidR="00565FD5" w:rsidRPr="00C91E15" w:rsidRDefault="00565FD5" w:rsidP="00AB62A3">
            <w:pPr>
              <w:rPr>
                <w:rFonts w:cs="Tahoma"/>
                <w:sz w:val="12"/>
                <w:szCs w:val="12"/>
                <w:lang w:eastAsia="tr-TR"/>
              </w:rPr>
            </w:pPr>
            <w:r w:rsidRPr="00C91E15">
              <w:rPr>
                <w:rFonts w:cs="Tahoma"/>
                <w:sz w:val="12"/>
                <w:szCs w:val="12"/>
                <w:lang w:eastAsia="tr-TR"/>
              </w:rPr>
              <w:t>Linyit</w:t>
            </w:r>
          </w:p>
        </w:tc>
        <w:tc>
          <w:tcPr>
            <w:tcW w:w="414" w:type="pct"/>
            <w:tcBorders>
              <w:top w:val="nil"/>
              <w:left w:val="single" w:sz="4" w:space="0" w:color="auto"/>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8 140</w:t>
            </w:r>
          </w:p>
        </w:tc>
        <w:tc>
          <w:tcPr>
            <w:tcW w:w="540"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48 838</w:t>
            </w:r>
          </w:p>
        </w:tc>
        <w:tc>
          <w:tcPr>
            <w:tcW w:w="439" w:type="pct"/>
            <w:tcBorders>
              <w:top w:val="nil"/>
              <w:left w:val="nil"/>
              <w:bottom w:val="nil"/>
              <w:right w:val="single" w:sz="4"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38 870</w:t>
            </w:r>
          </w:p>
        </w:tc>
        <w:tc>
          <w:tcPr>
            <w:tcW w:w="415" w:type="pct"/>
            <w:tcBorders>
              <w:top w:val="nil"/>
              <w:left w:val="single" w:sz="4" w:space="0" w:color="auto"/>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8 138</w:t>
            </w:r>
          </w:p>
        </w:tc>
        <w:tc>
          <w:tcPr>
            <w:tcW w:w="541"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48 829</w:t>
            </w:r>
          </w:p>
        </w:tc>
        <w:tc>
          <w:tcPr>
            <w:tcW w:w="439" w:type="pct"/>
            <w:tcBorders>
              <w:top w:val="nil"/>
              <w:left w:val="nil"/>
              <w:bottom w:val="nil"/>
              <w:right w:val="single" w:sz="8"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35 000</w:t>
            </w:r>
          </w:p>
        </w:tc>
        <w:tc>
          <w:tcPr>
            <w:tcW w:w="415"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8 319</w:t>
            </w:r>
          </w:p>
        </w:tc>
        <w:tc>
          <w:tcPr>
            <w:tcW w:w="541"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49 914</w:t>
            </w:r>
          </w:p>
        </w:tc>
        <w:tc>
          <w:tcPr>
            <w:tcW w:w="439" w:type="pct"/>
            <w:tcBorders>
              <w:top w:val="nil"/>
              <w:left w:val="nil"/>
              <w:bottom w:val="nil"/>
              <w:right w:val="single" w:sz="8"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37 500</w:t>
            </w:r>
          </w:p>
        </w:tc>
      </w:tr>
      <w:tr w:rsidR="00565FD5" w:rsidRPr="00C91E15" w:rsidTr="00AB62A3">
        <w:tc>
          <w:tcPr>
            <w:tcW w:w="814" w:type="pct"/>
            <w:tcBorders>
              <w:top w:val="nil"/>
              <w:left w:val="single" w:sz="4" w:space="0" w:color="auto"/>
              <w:bottom w:val="nil"/>
              <w:right w:val="single" w:sz="4" w:space="0" w:color="auto"/>
            </w:tcBorders>
            <w:noWrap/>
            <w:vAlign w:val="center"/>
          </w:tcPr>
          <w:p w:rsidR="00565FD5" w:rsidRPr="00C91E15" w:rsidRDefault="00565FD5" w:rsidP="00AB62A3">
            <w:pPr>
              <w:rPr>
                <w:rFonts w:cs="Tahoma"/>
                <w:sz w:val="12"/>
                <w:szCs w:val="12"/>
                <w:lang w:eastAsia="tr-TR"/>
              </w:rPr>
            </w:pPr>
            <w:r w:rsidRPr="00C91E15">
              <w:rPr>
                <w:rFonts w:cs="Tahoma"/>
                <w:sz w:val="12"/>
                <w:szCs w:val="12"/>
                <w:lang w:eastAsia="tr-TR"/>
              </w:rPr>
              <w:t>Fuel-Oil</w:t>
            </w:r>
          </w:p>
        </w:tc>
        <w:tc>
          <w:tcPr>
            <w:tcW w:w="414" w:type="pct"/>
            <w:tcBorders>
              <w:top w:val="nil"/>
              <w:left w:val="single" w:sz="4" w:space="0" w:color="auto"/>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1 196</w:t>
            </w:r>
          </w:p>
        </w:tc>
        <w:tc>
          <w:tcPr>
            <w:tcW w:w="540"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7 176</w:t>
            </w:r>
          </w:p>
        </w:tc>
        <w:tc>
          <w:tcPr>
            <w:tcW w:w="439" w:type="pct"/>
            <w:tcBorders>
              <w:top w:val="nil"/>
              <w:left w:val="nil"/>
              <w:bottom w:val="nil"/>
              <w:right w:val="single" w:sz="4"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900</w:t>
            </w:r>
          </w:p>
        </w:tc>
        <w:tc>
          <w:tcPr>
            <w:tcW w:w="415" w:type="pct"/>
            <w:tcBorders>
              <w:top w:val="nil"/>
              <w:left w:val="single" w:sz="4" w:space="0" w:color="auto"/>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1 196</w:t>
            </w:r>
          </w:p>
        </w:tc>
        <w:tc>
          <w:tcPr>
            <w:tcW w:w="541"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7 177</w:t>
            </w:r>
          </w:p>
        </w:tc>
        <w:tc>
          <w:tcPr>
            <w:tcW w:w="439" w:type="pct"/>
            <w:tcBorders>
              <w:top w:val="nil"/>
              <w:left w:val="nil"/>
              <w:bottom w:val="nil"/>
              <w:right w:val="single" w:sz="8"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2 500</w:t>
            </w:r>
          </w:p>
        </w:tc>
        <w:tc>
          <w:tcPr>
            <w:tcW w:w="415"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1 196</w:t>
            </w:r>
          </w:p>
        </w:tc>
        <w:tc>
          <w:tcPr>
            <w:tcW w:w="541"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7 177</w:t>
            </w:r>
          </w:p>
        </w:tc>
        <w:tc>
          <w:tcPr>
            <w:tcW w:w="439" w:type="pct"/>
            <w:tcBorders>
              <w:top w:val="nil"/>
              <w:left w:val="nil"/>
              <w:bottom w:val="nil"/>
              <w:right w:val="single" w:sz="8"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2 000</w:t>
            </w:r>
          </w:p>
        </w:tc>
      </w:tr>
      <w:tr w:rsidR="00565FD5" w:rsidRPr="00C91E15" w:rsidTr="00AB62A3">
        <w:tc>
          <w:tcPr>
            <w:tcW w:w="814" w:type="pct"/>
            <w:tcBorders>
              <w:top w:val="nil"/>
              <w:left w:val="single" w:sz="4" w:space="0" w:color="auto"/>
              <w:bottom w:val="nil"/>
              <w:right w:val="single" w:sz="4" w:space="0" w:color="auto"/>
            </w:tcBorders>
            <w:noWrap/>
            <w:vAlign w:val="center"/>
          </w:tcPr>
          <w:p w:rsidR="00565FD5" w:rsidRPr="00C91E15" w:rsidRDefault="00565FD5" w:rsidP="00AB62A3">
            <w:pPr>
              <w:rPr>
                <w:rFonts w:cs="Tahoma"/>
                <w:sz w:val="12"/>
                <w:szCs w:val="12"/>
                <w:lang w:eastAsia="tr-TR"/>
              </w:rPr>
            </w:pPr>
            <w:r w:rsidRPr="00C91E15">
              <w:rPr>
                <w:rFonts w:cs="Tahoma"/>
                <w:sz w:val="12"/>
                <w:szCs w:val="12"/>
                <w:lang w:eastAsia="tr-TR"/>
              </w:rPr>
              <w:t>Motorin,LPG,Nafta</w:t>
            </w:r>
          </w:p>
        </w:tc>
        <w:tc>
          <w:tcPr>
            <w:tcW w:w="414" w:type="pct"/>
            <w:tcBorders>
              <w:top w:val="nil"/>
              <w:left w:val="single" w:sz="4" w:space="0" w:color="auto"/>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31</w:t>
            </w:r>
          </w:p>
        </w:tc>
        <w:tc>
          <w:tcPr>
            <w:tcW w:w="540"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220</w:t>
            </w:r>
          </w:p>
        </w:tc>
        <w:tc>
          <w:tcPr>
            <w:tcW w:w="439" w:type="pct"/>
            <w:tcBorders>
              <w:top w:val="nil"/>
              <w:left w:val="nil"/>
              <w:bottom w:val="nil"/>
              <w:right w:val="single" w:sz="4"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3</w:t>
            </w:r>
          </w:p>
        </w:tc>
        <w:tc>
          <w:tcPr>
            <w:tcW w:w="415" w:type="pct"/>
            <w:tcBorders>
              <w:top w:val="nil"/>
              <w:left w:val="single" w:sz="4" w:space="0" w:color="auto"/>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31</w:t>
            </w:r>
          </w:p>
        </w:tc>
        <w:tc>
          <w:tcPr>
            <w:tcW w:w="541"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222</w:t>
            </w:r>
          </w:p>
        </w:tc>
        <w:tc>
          <w:tcPr>
            <w:tcW w:w="439" w:type="pct"/>
            <w:tcBorders>
              <w:top w:val="nil"/>
              <w:left w:val="nil"/>
              <w:bottom w:val="nil"/>
              <w:right w:val="single" w:sz="8"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1 200</w:t>
            </w:r>
          </w:p>
        </w:tc>
        <w:tc>
          <w:tcPr>
            <w:tcW w:w="415"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51</w:t>
            </w:r>
          </w:p>
        </w:tc>
        <w:tc>
          <w:tcPr>
            <w:tcW w:w="541"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364</w:t>
            </w:r>
          </w:p>
        </w:tc>
        <w:tc>
          <w:tcPr>
            <w:tcW w:w="439" w:type="pct"/>
            <w:tcBorders>
              <w:top w:val="nil"/>
              <w:left w:val="nil"/>
              <w:bottom w:val="nil"/>
              <w:right w:val="single" w:sz="8"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800</w:t>
            </w:r>
          </w:p>
        </w:tc>
      </w:tr>
      <w:tr w:rsidR="00565FD5" w:rsidRPr="00C91E15" w:rsidTr="00AB62A3">
        <w:tc>
          <w:tcPr>
            <w:tcW w:w="814" w:type="pct"/>
            <w:tcBorders>
              <w:top w:val="nil"/>
              <w:left w:val="single" w:sz="4" w:space="0" w:color="auto"/>
              <w:bottom w:val="nil"/>
              <w:right w:val="single" w:sz="4" w:space="0" w:color="auto"/>
            </w:tcBorders>
            <w:noWrap/>
            <w:vAlign w:val="center"/>
          </w:tcPr>
          <w:p w:rsidR="00565FD5" w:rsidRPr="00C91E15" w:rsidRDefault="00565FD5" w:rsidP="00AB62A3">
            <w:pPr>
              <w:rPr>
                <w:rFonts w:cs="Tahoma"/>
                <w:sz w:val="12"/>
                <w:szCs w:val="12"/>
                <w:lang w:eastAsia="tr-TR"/>
              </w:rPr>
            </w:pPr>
            <w:r w:rsidRPr="00C91E15">
              <w:rPr>
                <w:rFonts w:cs="Tahoma"/>
                <w:sz w:val="12"/>
                <w:szCs w:val="12"/>
                <w:lang w:eastAsia="tr-TR"/>
              </w:rPr>
              <w:t>Doğal Gaz</w:t>
            </w:r>
          </w:p>
        </w:tc>
        <w:tc>
          <w:tcPr>
            <w:tcW w:w="414" w:type="pct"/>
            <w:tcBorders>
              <w:top w:val="nil"/>
              <w:left w:val="single" w:sz="4" w:space="0" w:color="auto"/>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16 005</w:t>
            </w:r>
          </w:p>
        </w:tc>
        <w:tc>
          <w:tcPr>
            <w:tcW w:w="540"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120 038</w:t>
            </w:r>
          </w:p>
        </w:tc>
        <w:tc>
          <w:tcPr>
            <w:tcW w:w="439" w:type="pct"/>
            <w:tcBorders>
              <w:top w:val="nil"/>
              <w:left w:val="nil"/>
              <w:bottom w:val="nil"/>
              <w:right w:val="single" w:sz="4"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104 048</w:t>
            </w:r>
          </w:p>
        </w:tc>
        <w:tc>
          <w:tcPr>
            <w:tcW w:w="415" w:type="pct"/>
            <w:tcBorders>
              <w:top w:val="nil"/>
              <w:left w:val="single" w:sz="4" w:space="0" w:color="auto"/>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16 699</w:t>
            </w:r>
          </w:p>
        </w:tc>
        <w:tc>
          <w:tcPr>
            <w:tcW w:w="541"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125 242</w:t>
            </w:r>
          </w:p>
        </w:tc>
        <w:tc>
          <w:tcPr>
            <w:tcW w:w="439" w:type="pct"/>
            <w:tcBorders>
              <w:top w:val="nil"/>
              <w:left w:val="nil"/>
              <w:bottom w:val="nil"/>
              <w:right w:val="single" w:sz="8"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109 500</w:t>
            </w:r>
          </w:p>
        </w:tc>
        <w:tc>
          <w:tcPr>
            <w:tcW w:w="415"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16 996</w:t>
            </w:r>
          </w:p>
        </w:tc>
        <w:tc>
          <w:tcPr>
            <w:tcW w:w="541"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127 470</w:t>
            </w:r>
          </w:p>
        </w:tc>
        <w:tc>
          <w:tcPr>
            <w:tcW w:w="439" w:type="pct"/>
            <w:tcBorders>
              <w:top w:val="nil"/>
              <w:left w:val="nil"/>
              <w:bottom w:val="nil"/>
              <w:right w:val="single" w:sz="8"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115 000</w:t>
            </w:r>
          </w:p>
        </w:tc>
      </w:tr>
      <w:tr w:rsidR="00565FD5" w:rsidRPr="00C91E15" w:rsidTr="00AB62A3">
        <w:tc>
          <w:tcPr>
            <w:tcW w:w="814" w:type="pct"/>
            <w:tcBorders>
              <w:top w:val="nil"/>
              <w:left w:val="single" w:sz="4" w:space="0" w:color="auto"/>
              <w:bottom w:val="nil"/>
              <w:right w:val="single" w:sz="4" w:space="0" w:color="auto"/>
            </w:tcBorders>
            <w:noWrap/>
            <w:vAlign w:val="center"/>
          </w:tcPr>
          <w:p w:rsidR="00565FD5" w:rsidRPr="00C91E15" w:rsidRDefault="00565FD5" w:rsidP="00AB62A3">
            <w:pPr>
              <w:rPr>
                <w:rFonts w:cs="Tahoma"/>
                <w:sz w:val="12"/>
                <w:szCs w:val="12"/>
                <w:lang w:eastAsia="tr-TR"/>
              </w:rPr>
            </w:pPr>
            <w:r w:rsidRPr="00C91E15">
              <w:rPr>
                <w:rFonts w:cs="Tahoma"/>
                <w:sz w:val="12"/>
                <w:szCs w:val="12"/>
                <w:lang w:eastAsia="tr-TR"/>
              </w:rPr>
              <w:t>Çok yakıtlı (3)</w:t>
            </w:r>
          </w:p>
        </w:tc>
        <w:tc>
          <w:tcPr>
            <w:tcW w:w="414" w:type="pct"/>
            <w:tcBorders>
              <w:top w:val="nil"/>
              <w:left w:val="single" w:sz="4" w:space="0" w:color="auto"/>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4 093</w:t>
            </w:r>
          </w:p>
        </w:tc>
        <w:tc>
          <w:tcPr>
            <w:tcW w:w="540"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28 651</w:t>
            </w:r>
          </w:p>
        </w:tc>
        <w:tc>
          <w:tcPr>
            <w:tcW w:w="439" w:type="pct"/>
            <w:tcBorders>
              <w:top w:val="nil"/>
              <w:left w:val="nil"/>
              <w:bottom w:val="nil"/>
              <w:right w:val="single" w:sz="4" w:space="0" w:color="auto"/>
            </w:tcBorders>
            <w:noWrap/>
            <w:vAlign w:val="center"/>
          </w:tcPr>
          <w:p w:rsidR="00565FD5" w:rsidRPr="00C91E15" w:rsidRDefault="00565FD5" w:rsidP="00AB62A3">
            <w:pPr>
              <w:jc w:val="right"/>
              <w:rPr>
                <w:rFonts w:cs="Tahoma"/>
                <w:sz w:val="12"/>
                <w:szCs w:val="12"/>
                <w:lang w:eastAsia="tr-TR"/>
              </w:rPr>
            </w:pPr>
          </w:p>
        </w:tc>
        <w:tc>
          <w:tcPr>
            <w:tcW w:w="415" w:type="pct"/>
            <w:tcBorders>
              <w:top w:val="nil"/>
              <w:left w:val="single" w:sz="4" w:space="0" w:color="auto"/>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4 210</w:t>
            </w:r>
          </w:p>
        </w:tc>
        <w:tc>
          <w:tcPr>
            <w:tcW w:w="541"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29 468</w:t>
            </w:r>
          </w:p>
        </w:tc>
        <w:tc>
          <w:tcPr>
            <w:tcW w:w="439" w:type="pct"/>
            <w:tcBorders>
              <w:top w:val="nil"/>
              <w:left w:val="nil"/>
              <w:bottom w:val="nil"/>
              <w:right w:val="single" w:sz="8" w:space="0" w:color="auto"/>
            </w:tcBorders>
            <w:noWrap/>
            <w:vAlign w:val="center"/>
          </w:tcPr>
          <w:p w:rsidR="00565FD5" w:rsidRPr="00C91E15" w:rsidRDefault="00565FD5" w:rsidP="00AB62A3">
            <w:pPr>
              <w:jc w:val="right"/>
              <w:rPr>
                <w:rFonts w:cs="Tahoma"/>
                <w:sz w:val="12"/>
                <w:szCs w:val="12"/>
                <w:lang w:eastAsia="tr-TR"/>
              </w:rPr>
            </w:pPr>
          </w:p>
        </w:tc>
        <w:tc>
          <w:tcPr>
            <w:tcW w:w="415"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4 210</w:t>
            </w:r>
          </w:p>
        </w:tc>
        <w:tc>
          <w:tcPr>
            <w:tcW w:w="541"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29 468</w:t>
            </w:r>
          </w:p>
        </w:tc>
        <w:tc>
          <w:tcPr>
            <w:tcW w:w="439" w:type="pct"/>
            <w:tcBorders>
              <w:top w:val="nil"/>
              <w:left w:val="nil"/>
              <w:bottom w:val="nil"/>
              <w:right w:val="single" w:sz="8" w:space="0" w:color="auto"/>
            </w:tcBorders>
            <w:noWrap/>
            <w:vAlign w:val="center"/>
          </w:tcPr>
          <w:p w:rsidR="00565FD5" w:rsidRPr="00C91E15" w:rsidRDefault="00565FD5" w:rsidP="00AB62A3">
            <w:pPr>
              <w:jc w:val="right"/>
              <w:rPr>
                <w:rFonts w:cs="Tahoma"/>
                <w:sz w:val="12"/>
                <w:szCs w:val="12"/>
                <w:lang w:eastAsia="tr-TR"/>
              </w:rPr>
            </w:pPr>
          </w:p>
        </w:tc>
      </w:tr>
      <w:tr w:rsidR="00565FD5" w:rsidRPr="00C91E15" w:rsidTr="00AB62A3">
        <w:tc>
          <w:tcPr>
            <w:tcW w:w="814" w:type="pct"/>
            <w:tcBorders>
              <w:top w:val="nil"/>
              <w:left w:val="single" w:sz="4" w:space="0" w:color="auto"/>
              <w:bottom w:val="single" w:sz="8" w:space="0" w:color="auto"/>
              <w:right w:val="single" w:sz="4" w:space="0" w:color="auto"/>
            </w:tcBorders>
            <w:noWrap/>
            <w:vAlign w:val="center"/>
          </w:tcPr>
          <w:p w:rsidR="00565FD5" w:rsidRPr="00C91E15" w:rsidRDefault="00565FD5" w:rsidP="00AB62A3">
            <w:pPr>
              <w:rPr>
                <w:rFonts w:cs="Tahoma"/>
                <w:sz w:val="12"/>
                <w:szCs w:val="12"/>
                <w:lang w:eastAsia="tr-TR"/>
              </w:rPr>
            </w:pPr>
            <w:r w:rsidRPr="00C91E15">
              <w:rPr>
                <w:rFonts w:cs="Tahoma"/>
                <w:sz w:val="12"/>
                <w:szCs w:val="12"/>
                <w:lang w:eastAsia="tr-TR"/>
              </w:rPr>
              <w:t>Biyogaz-atık</w:t>
            </w:r>
          </w:p>
        </w:tc>
        <w:tc>
          <w:tcPr>
            <w:tcW w:w="414" w:type="pct"/>
            <w:tcBorders>
              <w:top w:val="nil"/>
              <w:left w:val="single" w:sz="4" w:space="0" w:color="auto"/>
              <w:bottom w:val="single" w:sz="8" w:space="0" w:color="auto"/>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115</w:t>
            </w:r>
          </w:p>
        </w:tc>
        <w:tc>
          <w:tcPr>
            <w:tcW w:w="540" w:type="pct"/>
            <w:tcBorders>
              <w:top w:val="nil"/>
              <w:left w:val="nil"/>
              <w:bottom w:val="single" w:sz="8" w:space="0" w:color="auto"/>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575</w:t>
            </w:r>
          </w:p>
        </w:tc>
        <w:tc>
          <w:tcPr>
            <w:tcW w:w="439" w:type="pct"/>
            <w:tcBorders>
              <w:top w:val="nil"/>
              <w:left w:val="nil"/>
              <w:bottom w:val="single" w:sz="8" w:space="0" w:color="auto"/>
              <w:right w:val="single" w:sz="4"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469</w:t>
            </w:r>
          </w:p>
        </w:tc>
        <w:tc>
          <w:tcPr>
            <w:tcW w:w="415" w:type="pct"/>
            <w:tcBorders>
              <w:top w:val="nil"/>
              <w:left w:val="single" w:sz="4" w:space="0" w:color="auto"/>
              <w:bottom w:val="single" w:sz="8" w:space="0" w:color="auto"/>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136</w:t>
            </w:r>
          </w:p>
        </w:tc>
        <w:tc>
          <w:tcPr>
            <w:tcW w:w="541" w:type="pct"/>
            <w:tcBorders>
              <w:top w:val="nil"/>
              <w:left w:val="nil"/>
              <w:bottom w:val="single" w:sz="8" w:space="0" w:color="auto"/>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678</w:t>
            </w:r>
          </w:p>
        </w:tc>
        <w:tc>
          <w:tcPr>
            <w:tcW w:w="439" w:type="pct"/>
            <w:tcBorders>
              <w:top w:val="nil"/>
              <w:left w:val="nil"/>
              <w:bottom w:val="single" w:sz="8" w:space="0" w:color="auto"/>
              <w:right w:val="single" w:sz="8"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500</w:t>
            </w:r>
          </w:p>
        </w:tc>
        <w:tc>
          <w:tcPr>
            <w:tcW w:w="415" w:type="pct"/>
            <w:tcBorders>
              <w:top w:val="nil"/>
              <w:left w:val="nil"/>
              <w:bottom w:val="single" w:sz="8" w:space="0" w:color="auto"/>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175</w:t>
            </w:r>
          </w:p>
        </w:tc>
        <w:tc>
          <w:tcPr>
            <w:tcW w:w="541" w:type="pct"/>
            <w:tcBorders>
              <w:top w:val="nil"/>
              <w:left w:val="nil"/>
              <w:bottom w:val="single" w:sz="8" w:space="0" w:color="auto"/>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875</w:t>
            </w:r>
          </w:p>
        </w:tc>
        <w:tc>
          <w:tcPr>
            <w:tcW w:w="439" w:type="pct"/>
            <w:tcBorders>
              <w:top w:val="nil"/>
              <w:left w:val="nil"/>
              <w:bottom w:val="single" w:sz="8" w:space="0" w:color="auto"/>
              <w:right w:val="single" w:sz="8"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700</w:t>
            </w:r>
          </w:p>
        </w:tc>
      </w:tr>
      <w:tr w:rsidR="00565FD5" w:rsidRPr="00C91E15" w:rsidTr="00AB62A3">
        <w:tc>
          <w:tcPr>
            <w:tcW w:w="814" w:type="pct"/>
            <w:tcBorders>
              <w:top w:val="nil"/>
              <w:left w:val="single" w:sz="4" w:space="0" w:color="auto"/>
              <w:bottom w:val="nil"/>
              <w:right w:val="single" w:sz="4" w:space="0" w:color="auto"/>
            </w:tcBorders>
            <w:noWrap/>
            <w:vAlign w:val="center"/>
          </w:tcPr>
          <w:p w:rsidR="00565FD5" w:rsidRPr="00C91E15" w:rsidRDefault="00565FD5" w:rsidP="00AB62A3">
            <w:pPr>
              <w:rPr>
                <w:rFonts w:cs="Tahoma"/>
                <w:sz w:val="12"/>
                <w:szCs w:val="12"/>
                <w:lang w:eastAsia="tr-TR"/>
              </w:rPr>
            </w:pPr>
            <w:r w:rsidRPr="00C91E15">
              <w:rPr>
                <w:rFonts w:cs="Tahoma"/>
                <w:sz w:val="12"/>
                <w:szCs w:val="12"/>
                <w:lang w:eastAsia="tr-TR"/>
              </w:rPr>
              <w:lastRenderedPageBreak/>
              <w:t>Termik</w:t>
            </w:r>
          </w:p>
        </w:tc>
        <w:tc>
          <w:tcPr>
            <w:tcW w:w="414" w:type="pct"/>
            <w:tcBorders>
              <w:top w:val="nil"/>
              <w:left w:val="single" w:sz="4" w:space="0" w:color="auto"/>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33 931</w:t>
            </w:r>
          </w:p>
        </w:tc>
        <w:tc>
          <w:tcPr>
            <w:tcW w:w="540"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240 306</w:t>
            </w:r>
          </w:p>
        </w:tc>
        <w:tc>
          <w:tcPr>
            <w:tcW w:w="439" w:type="pct"/>
            <w:tcBorders>
              <w:top w:val="nil"/>
              <w:left w:val="nil"/>
              <w:bottom w:val="nil"/>
              <w:right w:val="single" w:sz="4"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171</w:t>
            </w:r>
            <w:r>
              <w:rPr>
                <w:rFonts w:cs="Tahoma"/>
                <w:sz w:val="12"/>
                <w:szCs w:val="12"/>
                <w:lang w:eastAsia="tr-TR"/>
              </w:rPr>
              <w:t xml:space="preserve"> </w:t>
            </w:r>
            <w:r w:rsidRPr="00C91E15">
              <w:rPr>
                <w:rFonts w:cs="Tahoma"/>
                <w:sz w:val="12"/>
                <w:szCs w:val="12"/>
                <w:lang w:eastAsia="tr-TR"/>
              </w:rPr>
              <w:t>638</w:t>
            </w:r>
          </w:p>
        </w:tc>
        <w:tc>
          <w:tcPr>
            <w:tcW w:w="415" w:type="pct"/>
            <w:tcBorders>
              <w:top w:val="nil"/>
              <w:left w:val="single" w:sz="4" w:space="0" w:color="auto"/>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34 792</w:t>
            </w:r>
          </w:p>
        </w:tc>
        <w:tc>
          <w:tcPr>
            <w:tcW w:w="541"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246 674</w:t>
            </w:r>
          </w:p>
        </w:tc>
        <w:tc>
          <w:tcPr>
            <w:tcW w:w="439" w:type="pct"/>
            <w:tcBorders>
              <w:top w:val="nil"/>
              <w:left w:val="nil"/>
              <w:bottom w:val="nil"/>
              <w:right w:val="single" w:sz="8"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177 700</w:t>
            </w:r>
          </w:p>
        </w:tc>
        <w:tc>
          <w:tcPr>
            <w:tcW w:w="415"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35 518</w:t>
            </w:r>
          </w:p>
        </w:tc>
        <w:tc>
          <w:tcPr>
            <w:tcW w:w="541"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251 835</w:t>
            </w:r>
          </w:p>
        </w:tc>
        <w:tc>
          <w:tcPr>
            <w:tcW w:w="439" w:type="pct"/>
            <w:tcBorders>
              <w:top w:val="nil"/>
              <w:left w:val="nil"/>
              <w:bottom w:val="nil"/>
              <w:right w:val="single" w:sz="8"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187 500</w:t>
            </w:r>
          </w:p>
        </w:tc>
      </w:tr>
      <w:tr w:rsidR="00565FD5" w:rsidRPr="00C91E15" w:rsidTr="00AB62A3">
        <w:tc>
          <w:tcPr>
            <w:tcW w:w="814" w:type="pct"/>
            <w:tcBorders>
              <w:top w:val="nil"/>
              <w:left w:val="single" w:sz="4" w:space="0" w:color="auto"/>
              <w:bottom w:val="nil"/>
              <w:right w:val="single" w:sz="4" w:space="0" w:color="auto"/>
            </w:tcBorders>
            <w:noWrap/>
            <w:vAlign w:val="center"/>
          </w:tcPr>
          <w:p w:rsidR="00565FD5" w:rsidRPr="00C91E15" w:rsidRDefault="00565FD5" w:rsidP="00AB62A3">
            <w:pPr>
              <w:rPr>
                <w:rFonts w:cs="Tahoma"/>
                <w:sz w:val="12"/>
                <w:szCs w:val="12"/>
                <w:lang w:eastAsia="tr-TR"/>
              </w:rPr>
            </w:pPr>
            <w:r w:rsidRPr="00C91E15">
              <w:rPr>
                <w:rFonts w:cs="Tahoma"/>
                <w:sz w:val="12"/>
                <w:szCs w:val="12"/>
                <w:lang w:eastAsia="tr-TR"/>
              </w:rPr>
              <w:t>Hidrolik</w:t>
            </w:r>
          </w:p>
        </w:tc>
        <w:tc>
          <w:tcPr>
            <w:tcW w:w="414" w:type="pct"/>
            <w:tcBorders>
              <w:top w:val="nil"/>
              <w:left w:val="single" w:sz="4" w:space="0" w:color="auto"/>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17 137</w:t>
            </w:r>
          </w:p>
        </w:tc>
        <w:tc>
          <w:tcPr>
            <w:tcW w:w="540"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58 951</w:t>
            </w:r>
          </w:p>
        </w:tc>
        <w:tc>
          <w:tcPr>
            <w:tcW w:w="439" w:type="pct"/>
            <w:tcBorders>
              <w:top w:val="nil"/>
              <w:left w:val="nil"/>
              <w:bottom w:val="nil"/>
              <w:right w:val="single" w:sz="4"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52</w:t>
            </w:r>
            <w:r>
              <w:rPr>
                <w:rFonts w:cs="Tahoma"/>
                <w:sz w:val="12"/>
                <w:szCs w:val="12"/>
                <w:lang w:eastAsia="tr-TR"/>
              </w:rPr>
              <w:t xml:space="preserve"> </w:t>
            </w:r>
            <w:r w:rsidRPr="00C91E15">
              <w:rPr>
                <w:rFonts w:cs="Tahoma"/>
                <w:sz w:val="12"/>
                <w:szCs w:val="12"/>
                <w:lang w:eastAsia="tr-TR"/>
              </w:rPr>
              <w:t>339</w:t>
            </w:r>
          </w:p>
        </w:tc>
        <w:tc>
          <w:tcPr>
            <w:tcW w:w="415" w:type="pct"/>
            <w:tcBorders>
              <w:top w:val="nil"/>
              <w:left w:val="single" w:sz="4" w:space="0" w:color="auto"/>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19 462</w:t>
            </w:r>
          </w:p>
        </w:tc>
        <w:tc>
          <w:tcPr>
            <w:tcW w:w="541"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66 949</w:t>
            </w:r>
          </w:p>
        </w:tc>
        <w:tc>
          <w:tcPr>
            <w:tcW w:w="439" w:type="pct"/>
            <w:tcBorders>
              <w:top w:val="nil"/>
              <w:left w:val="nil"/>
              <w:bottom w:val="nil"/>
              <w:right w:val="single" w:sz="8"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61 000</w:t>
            </w:r>
          </w:p>
        </w:tc>
        <w:tc>
          <w:tcPr>
            <w:tcW w:w="415"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21 461</w:t>
            </w:r>
          </w:p>
        </w:tc>
        <w:tc>
          <w:tcPr>
            <w:tcW w:w="541"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73 826</w:t>
            </w:r>
          </w:p>
        </w:tc>
        <w:tc>
          <w:tcPr>
            <w:tcW w:w="439" w:type="pct"/>
            <w:tcBorders>
              <w:top w:val="nil"/>
              <w:left w:val="nil"/>
              <w:bottom w:val="nil"/>
              <w:right w:val="single" w:sz="8"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67 000</w:t>
            </w:r>
          </w:p>
        </w:tc>
      </w:tr>
      <w:tr w:rsidR="00565FD5" w:rsidRPr="00C91E15" w:rsidTr="00AB62A3">
        <w:tc>
          <w:tcPr>
            <w:tcW w:w="814" w:type="pct"/>
            <w:tcBorders>
              <w:top w:val="nil"/>
              <w:left w:val="single" w:sz="4" w:space="0" w:color="auto"/>
              <w:bottom w:val="nil"/>
              <w:right w:val="single" w:sz="4" w:space="0" w:color="auto"/>
            </w:tcBorders>
            <w:noWrap/>
            <w:vAlign w:val="center"/>
          </w:tcPr>
          <w:p w:rsidR="00565FD5" w:rsidRPr="00C91E15" w:rsidRDefault="00565FD5" w:rsidP="00AB62A3">
            <w:pPr>
              <w:rPr>
                <w:rFonts w:cs="Tahoma"/>
                <w:sz w:val="12"/>
                <w:szCs w:val="12"/>
                <w:lang w:eastAsia="tr-TR"/>
              </w:rPr>
            </w:pPr>
            <w:r w:rsidRPr="00C91E15">
              <w:rPr>
                <w:rFonts w:cs="Tahoma"/>
                <w:sz w:val="12"/>
                <w:szCs w:val="12"/>
                <w:lang w:eastAsia="tr-TR"/>
              </w:rPr>
              <w:t>Jeotermal</w:t>
            </w:r>
          </w:p>
        </w:tc>
        <w:tc>
          <w:tcPr>
            <w:tcW w:w="414" w:type="pct"/>
            <w:tcBorders>
              <w:top w:val="nil"/>
              <w:left w:val="single" w:sz="4" w:space="0" w:color="auto"/>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114</w:t>
            </w:r>
          </w:p>
        </w:tc>
        <w:tc>
          <w:tcPr>
            <w:tcW w:w="540"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821</w:t>
            </w:r>
          </w:p>
        </w:tc>
        <w:tc>
          <w:tcPr>
            <w:tcW w:w="439" w:type="pct"/>
            <w:tcBorders>
              <w:top w:val="nil"/>
              <w:left w:val="nil"/>
              <w:bottom w:val="nil"/>
              <w:right w:val="single" w:sz="4"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694</w:t>
            </w:r>
          </w:p>
        </w:tc>
        <w:tc>
          <w:tcPr>
            <w:tcW w:w="415" w:type="pct"/>
            <w:tcBorders>
              <w:top w:val="nil"/>
              <w:left w:val="single" w:sz="4" w:space="0" w:color="auto"/>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109</w:t>
            </w:r>
          </w:p>
        </w:tc>
        <w:tc>
          <w:tcPr>
            <w:tcW w:w="541"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782</w:t>
            </w:r>
          </w:p>
        </w:tc>
        <w:tc>
          <w:tcPr>
            <w:tcW w:w="439" w:type="pct"/>
            <w:tcBorders>
              <w:top w:val="nil"/>
              <w:left w:val="nil"/>
              <w:bottom w:val="nil"/>
              <w:right w:val="single" w:sz="8"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600</w:t>
            </w:r>
          </w:p>
        </w:tc>
        <w:tc>
          <w:tcPr>
            <w:tcW w:w="415"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148</w:t>
            </w:r>
          </w:p>
        </w:tc>
        <w:tc>
          <w:tcPr>
            <w:tcW w:w="541"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1 066</w:t>
            </w:r>
          </w:p>
        </w:tc>
        <w:tc>
          <w:tcPr>
            <w:tcW w:w="439" w:type="pct"/>
            <w:tcBorders>
              <w:top w:val="nil"/>
              <w:left w:val="nil"/>
              <w:bottom w:val="nil"/>
              <w:right w:val="single" w:sz="8"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1 000</w:t>
            </w:r>
          </w:p>
        </w:tc>
      </w:tr>
      <w:tr w:rsidR="00565FD5" w:rsidRPr="00C91E15" w:rsidTr="00AB62A3">
        <w:tc>
          <w:tcPr>
            <w:tcW w:w="814" w:type="pct"/>
            <w:tcBorders>
              <w:top w:val="nil"/>
              <w:left w:val="single" w:sz="4" w:space="0" w:color="auto"/>
              <w:bottom w:val="nil"/>
              <w:right w:val="single" w:sz="4" w:space="0" w:color="auto"/>
            </w:tcBorders>
            <w:noWrap/>
            <w:vAlign w:val="center"/>
          </w:tcPr>
          <w:p w:rsidR="00565FD5" w:rsidRPr="00C91E15" w:rsidRDefault="00565FD5" w:rsidP="00AB62A3">
            <w:pPr>
              <w:rPr>
                <w:rFonts w:cs="Tahoma"/>
                <w:sz w:val="12"/>
                <w:szCs w:val="12"/>
                <w:lang w:eastAsia="tr-TR"/>
              </w:rPr>
            </w:pPr>
            <w:r w:rsidRPr="00C91E15">
              <w:rPr>
                <w:rFonts w:cs="Tahoma"/>
                <w:sz w:val="12"/>
                <w:szCs w:val="12"/>
                <w:lang w:eastAsia="tr-TR"/>
              </w:rPr>
              <w:t>Rüzgâr</w:t>
            </w:r>
          </w:p>
        </w:tc>
        <w:tc>
          <w:tcPr>
            <w:tcW w:w="414" w:type="pct"/>
            <w:tcBorders>
              <w:top w:val="nil"/>
              <w:left w:val="single" w:sz="4" w:space="0" w:color="auto"/>
              <w:bottom w:val="single" w:sz="4" w:space="0" w:color="auto"/>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1 729</w:t>
            </w:r>
          </w:p>
        </w:tc>
        <w:tc>
          <w:tcPr>
            <w:tcW w:w="540" w:type="pct"/>
            <w:tcBorders>
              <w:top w:val="nil"/>
              <w:left w:val="nil"/>
              <w:bottom w:val="single" w:sz="4" w:space="0" w:color="auto"/>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5 879</w:t>
            </w:r>
          </w:p>
        </w:tc>
        <w:tc>
          <w:tcPr>
            <w:tcW w:w="439" w:type="pct"/>
            <w:tcBorders>
              <w:top w:val="nil"/>
              <w:left w:val="nil"/>
              <w:bottom w:val="single" w:sz="4" w:space="0" w:color="auto"/>
              <w:right w:val="single" w:sz="4"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4</w:t>
            </w:r>
            <w:r>
              <w:rPr>
                <w:rFonts w:cs="Tahoma"/>
                <w:sz w:val="12"/>
                <w:szCs w:val="12"/>
                <w:lang w:eastAsia="tr-TR"/>
              </w:rPr>
              <w:t xml:space="preserve"> </w:t>
            </w:r>
            <w:r w:rsidRPr="00C91E15">
              <w:rPr>
                <w:rFonts w:cs="Tahoma"/>
                <w:sz w:val="12"/>
                <w:szCs w:val="12"/>
                <w:lang w:eastAsia="tr-TR"/>
              </w:rPr>
              <w:t>724</w:t>
            </w:r>
          </w:p>
        </w:tc>
        <w:tc>
          <w:tcPr>
            <w:tcW w:w="415" w:type="pct"/>
            <w:tcBorders>
              <w:top w:val="nil"/>
              <w:left w:val="single" w:sz="4" w:space="0" w:color="auto"/>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2 165</w:t>
            </w:r>
          </w:p>
        </w:tc>
        <w:tc>
          <w:tcPr>
            <w:tcW w:w="541"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7 361</w:t>
            </w:r>
          </w:p>
        </w:tc>
        <w:tc>
          <w:tcPr>
            <w:tcW w:w="439" w:type="pct"/>
            <w:tcBorders>
              <w:top w:val="nil"/>
              <w:left w:val="nil"/>
              <w:bottom w:val="nil"/>
              <w:right w:val="single" w:sz="8"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5 700</w:t>
            </w:r>
          </w:p>
        </w:tc>
        <w:tc>
          <w:tcPr>
            <w:tcW w:w="415" w:type="pct"/>
            <w:tcBorders>
              <w:top w:val="nil"/>
              <w:left w:val="nil"/>
              <w:bottom w:val="nil"/>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2 262</w:t>
            </w:r>
          </w:p>
        </w:tc>
        <w:tc>
          <w:tcPr>
            <w:tcW w:w="541" w:type="pct"/>
            <w:tcBorders>
              <w:top w:val="nil"/>
              <w:left w:val="nil"/>
              <w:bottom w:val="single" w:sz="8" w:space="0" w:color="auto"/>
              <w:right w:val="nil"/>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7 691</w:t>
            </w:r>
          </w:p>
        </w:tc>
        <w:tc>
          <w:tcPr>
            <w:tcW w:w="439" w:type="pct"/>
            <w:tcBorders>
              <w:top w:val="nil"/>
              <w:left w:val="nil"/>
              <w:bottom w:val="nil"/>
              <w:right w:val="single" w:sz="8" w:space="0" w:color="auto"/>
            </w:tcBorders>
            <w:noWrap/>
            <w:vAlign w:val="center"/>
          </w:tcPr>
          <w:p w:rsidR="00565FD5" w:rsidRPr="00C91E15" w:rsidRDefault="00565FD5" w:rsidP="00AB62A3">
            <w:pPr>
              <w:jc w:val="right"/>
              <w:rPr>
                <w:rFonts w:cs="Tahoma"/>
                <w:sz w:val="12"/>
                <w:szCs w:val="12"/>
                <w:lang w:eastAsia="tr-TR"/>
              </w:rPr>
            </w:pPr>
            <w:r w:rsidRPr="00C91E15">
              <w:rPr>
                <w:rFonts w:cs="Tahoma"/>
                <w:sz w:val="12"/>
                <w:szCs w:val="12"/>
                <w:lang w:eastAsia="tr-TR"/>
              </w:rPr>
              <w:t>6 000</w:t>
            </w:r>
          </w:p>
        </w:tc>
      </w:tr>
      <w:tr w:rsidR="00565FD5" w:rsidRPr="00C91E15" w:rsidTr="00AB62A3">
        <w:tc>
          <w:tcPr>
            <w:tcW w:w="814" w:type="pct"/>
            <w:tcBorders>
              <w:top w:val="single" w:sz="8" w:space="0" w:color="auto"/>
              <w:left w:val="single" w:sz="4" w:space="0" w:color="auto"/>
              <w:bottom w:val="single" w:sz="4" w:space="0" w:color="auto"/>
              <w:right w:val="single" w:sz="4" w:space="0" w:color="auto"/>
            </w:tcBorders>
            <w:noWrap/>
            <w:vAlign w:val="center"/>
          </w:tcPr>
          <w:p w:rsidR="00565FD5" w:rsidRPr="00C91E15" w:rsidRDefault="00565FD5" w:rsidP="00AB62A3">
            <w:pPr>
              <w:rPr>
                <w:rFonts w:cs="Tahoma"/>
                <w:b/>
                <w:bCs/>
                <w:sz w:val="12"/>
                <w:szCs w:val="12"/>
                <w:lang w:eastAsia="tr-TR"/>
              </w:rPr>
            </w:pPr>
            <w:r w:rsidRPr="00C91E15">
              <w:rPr>
                <w:rFonts w:cs="Tahoma"/>
                <w:b/>
                <w:bCs/>
                <w:sz w:val="12"/>
                <w:szCs w:val="12"/>
                <w:lang w:eastAsia="tr-TR"/>
              </w:rPr>
              <w:t>TOPLAM</w:t>
            </w:r>
          </w:p>
        </w:tc>
        <w:tc>
          <w:tcPr>
            <w:tcW w:w="414" w:type="pct"/>
            <w:tcBorders>
              <w:top w:val="single" w:sz="4" w:space="0" w:color="auto"/>
              <w:left w:val="single" w:sz="4" w:space="0" w:color="auto"/>
              <w:bottom w:val="single" w:sz="8" w:space="0" w:color="auto"/>
              <w:right w:val="nil"/>
            </w:tcBorders>
            <w:noWrap/>
            <w:vAlign w:val="center"/>
          </w:tcPr>
          <w:p w:rsidR="00565FD5" w:rsidRPr="00C91E15" w:rsidRDefault="00565FD5" w:rsidP="00AB62A3">
            <w:pPr>
              <w:jc w:val="right"/>
              <w:rPr>
                <w:rFonts w:cs="Tahoma"/>
                <w:b/>
                <w:bCs/>
                <w:sz w:val="12"/>
                <w:szCs w:val="12"/>
                <w:lang w:eastAsia="tr-TR"/>
              </w:rPr>
            </w:pPr>
            <w:r w:rsidRPr="00C91E15">
              <w:rPr>
                <w:rFonts w:cs="Tahoma"/>
                <w:b/>
                <w:bCs/>
                <w:sz w:val="12"/>
                <w:szCs w:val="12"/>
                <w:lang w:eastAsia="tr-TR"/>
              </w:rPr>
              <w:t>52 911</w:t>
            </w:r>
          </w:p>
        </w:tc>
        <w:tc>
          <w:tcPr>
            <w:tcW w:w="540" w:type="pct"/>
            <w:tcBorders>
              <w:top w:val="single" w:sz="4" w:space="0" w:color="auto"/>
              <w:left w:val="nil"/>
              <w:bottom w:val="single" w:sz="8" w:space="0" w:color="auto"/>
              <w:right w:val="nil"/>
            </w:tcBorders>
            <w:noWrap/>
            <w:vAlign w:val="center"/>
          </w:tcPr>
          <w:p w:rsidR="00565FD5" w:rsidRPr="00C91E15" w:rsidRDefault="00565FD5" w:rsidP="00AB62A3">
            <w:pPr>
              <w:jc w:val="right"/>
              <w:rPr>
                <w:rFonts w:cs="Tahoma"/>
                <w:b/>
                <w:bCs/>
                <w:sz w:val="12"/>
                <w:szCs w:val="12"/>
                <w:lang w:eastAsia="tr-TR"/>
              </w:rPr>
            </w:pPr>
            <w:r w:rsidRPr="00C91E15">
              <w:rPr>
                <w:rFonts w:cs="Tahoma"/>
                <w:b/>
                <w:bCs/>
                <w:sz w:val="12"/>
                <w:szCs w:val="12"/>
                <w:lang w:eastAsia="tr-TR"/>
              </w:rPr>
              <w:t>305 956</w:t>
            </w:r>
          </w:p>
        </w:tc>
        <w:tc>
          <w:tcPr>
            <w:tcW w:w="439" w:type="pct"/>
            <w:tcBorders>
              <w:top w:val="single" w:sz="4" w:space="0" w:color="auto"/>
              <w:left w:val="nil"/>
              <w:bottom w:val="single" w:sz="8" w:space="0" w:color="auto"/>
              <w:right w:val="single" w:sz="8" w:space="0" w:color="auto"/>
            </w:tcBorders>
            <w:noWrap/>
            <w:vAlign w:val="center"/>
          </w:tcPr>
          <w:p w:rsidR="00565FD5" w:rsidRPr="00C91E15" w:rsidRDefault="00565FD5" w:rsidP="00AB62A3">
            <w:pPr>
              <w:jc w:val="right"/>
              <w:rPr>
                <w:rFonts w:cs="Tahoma"/>
                <w:b/>
                <w:bCs/>
                <w:sz w:val="12"/>
                <w:szCs w:val="12"/>
                <w:lang w:eastAsia="tr-TR"/>
              </w:rPr>
            </w:pPr>
            <w:r w:rsidRPr="00C91E15">
              <w:rPr>
                <w:rFonts w:cs="Tahoma"/>
                <w:b/>
                <w:bCs/>
                <w:sz w:val="12"/>
                <w:szCs w:val="12"/>
                <w:lang w:eastAsia="tr-TR"/>
              </w:rPr>
              <w:t>229 395</w:t>
            </w:r>
          </w:p>
        </w:tc>
        <w:tc>
          <w:tcPr>
            <w:tcW w:w="415" w:type="pct"/>
            <w:tcBorders>
              <w:top w:val="single" w:sz="8" w:space="0" w:color="auto"/>
              <w:left w:val="nil"/>
              <w:bottom w:val="single" w:sz="8" w:space="0" w:color="auto"/>
              <w:right w:val="nil"/>
            </w:tcBorders>
            <w:noWrap/>
            <w:vAlign w:val="center"/>
          </w:tcPr>
          <w:p w:rsidR="00565FD5" w:rsidRPr="00C91E15" w:rsidRDefault="00565FD5" w:rsidP="00AB62A3">
            <w:pPr>
              <w:jc w:val="right"/>
              <w:rPr>
                <w:rFonts w:cs="Tahoma"/>
                <w:b/>
                <w:bCs/>
                <w:sz w:val="12"/>
                <w:szCs w:val="12"/>
                <w:lang w:eastAsia="tr-TR"/>
              </w:rPr>
            </w:pPr>
            <w:r w:rsidRPr="00C91E15">
              <w:rPr>
                <w:rFonts w:cs="Tahoma"/>
                <w:b/>
                <w:bCs/>
                <w:sz w:val="12"/>
                <w:szCs w:val="12"/>
                <w:lang w:eastAsia="tr-TR"/>
              </w:rPr>
              <w:t>56 528</w:t>
            </w:r>
          </w:p>
        </w:tc>
        <w:tc>
          <w:tcPr>
            <w:tcW w:w="541" w:type="pct"/>
            <w:tcBorders>
              <w:top w:val="single" w:sz="8" w:space="0" w:color="auto"/>
              <w:left w:val="nil"/>
              <w:bottom w:val="single" w:sz="8" w:space="0" w:color="auto"/>
              <w:right w:val="nil"/>
            </w:tcBorders>
            <w:noWrap/>
            <w:vAlign w:val="center"/>
          </w:tcPr>
          <w:p w:rsidR="00565FD5" w:rsidRPr="00C91E15" w:rsidRDefault="00565FD5" w:rsidP="00AB62A3">
            <w:pPr>
              <w:jc w:val="right"/>
              <w:rPr>
                <w:rFonts w:cs="Tahoma"/>
                <w:b/>
                <w:bCs/>
                <w:sz w:val="12"/>
                <w:szCs w:val="12"/>
                <w:lang w:eastAsia="tr-TR"/>
              </w:rPr>
            </w:pPr>
            <w:r w:rsidRPr="00C91E15">
              <w:rPr>
                <w:rFonts w:cs="Tahoma"/>
                <w:b/>
                <w:bCs/>
                <w:sz w:val="12"/>
                <w:szCs w:val="12"/>
                <w:lang w:eastAsia="tr-TR"/>
              </w:rPr>
              <w:t>321 766</w:t>
            </w:r>
          </w:p>
        </w:tc>
        <w:tc>
          <w:tcPr>
            <w:tcW w:w="439" w:type="pct"/>
            <w:tcBorders>
              <w:top w:val="single" w:sz="8" w:space="0" w:color="auto"/>
              <w:left w:val="nil"/>
              <w:bottom w:val="single" w:sz="8" w:space="0" w:color="auto"/>
              <w:right w:val="single" w:sz="8" w:space="0" w:color="auto"/>
            </w:tcBorders>
            <w:noWrap/>
            <w:vAlign w:val="center"/>
          </w:tcPr>
          <w:p w:rsidR="00565FD5" w:rsidRPr="00C91E15" w:rsidRDefault="00565FD5" w:rsidP="00AB62A3">
            <w:pPr>
              <w:jc w:val="right"/>
              <w:rPr>
                <w:rFonts w:cs="Tahoma"/>
                <w:b/>
                <w:bCs/>
                <w:sz w:val="12"/>
                <w:szCs w:val="12"/>
                <w:lang w:eastAsia="tr-TR"/>
              </w:rPr>
            </w:pPr>
            <w:r w:rsidRPr="00C91E15">
              <w:rPr>
                <w:rFonts w:cs="Tahoma"/>
                <w:b/>
                <w:bCs/>
                <w:sz w:val="12"/>
                <w:szCs w:val="12"/>
                <w:lang w:eastAsia="tr-TR"/>
              </w:rPr>
              <w:t>245 000</w:t>
            </w:r>
          </w:p>
        </w:tc>
        <w:tc>
          <w:tcPr>
            <w:tcW w:w="415" w:type="pct"/>
            <w:tcBorders>
              <w:top w:val="single" w:sz="8" w:space="0" w:color="auto"/>
              <w:left w:val="nil"/>
              <w:bottom w:val="single" w:sz="8" w:space="0" w:color="auto"/>
              <w:right w:val="nil"/>
            </w:tcBorders>
            <w:noWrap/>
            <w:vAlign w:val="center"/>
          </w:tcPr>
          <w:p w:rsidR="00565FD5" w:rsidRPr="00C91E15" w:rsidRDefault="00565FD5" w:rsidP="00AB62A3">
            <w:pPr>
              <w:jc w:val="right"/>
              <w:rPr>
                <w:rFonts w:cs="Tahoma"/>
                <w:b/>
                <w:bCs/>
                <w:sz w:val="12"/>
                <w:szCs w:val="12"/>
                <w:lang w:eastAsia="tr-TR"/>
              </w:rPr>
            </w:pPr>
            <w:r w:rsidRPr="00C91E15">
              <w:rPr>
                <w:rFonts w:cs="Tahoma"/>
                <w:b/>
                <w:bCs/>
                <w:sz w:val="12"/>
                <w:szCs w:val="12"/>
                <w:lang w:eastAsia="tr-TR"/>
              </w:rPr>
              <w:t>59 389</w:t>
            </w:r>
          </w:p>
        </w:tc>
        <w:tc>
          <w:tcPr>
            <w:tcW w:w="541" w:type="pct"/>
            <w:tcBorders>
              <w:top w:val="nil"/>
              <w:left w:val="nil"/>
              <w:bottom w:val="single" w:sz="8" w:space="0" w:color="auto"/>
              <w:right w:val="nil"/>
            </w:tcBorders>
            <w:noWrap/>
            <w:vAlign w:val="center"/>
          </w:tcPr>
          <w:p w:rsidR="00565FD5" w:rsidRPr="00C91E15" w:rsidRDefault="00565FD5" w:rsidP="00AB62A3">
            <w:pPr>
              <w:jc w:val="right"/>
              <w:rPr>
                <w:rFonts w:cs="Tahoma"/>
                <w:b/>
                <w:bCs/>
                <w:sz w:val="12"/>
                <w:szCs w:val="12"/>
                <w:lang w:eastAsia="tr-TR"/>
              </w:rPr>
            </w:pPr>
            <w:r w:rsidRPr="00C91E15">
              <w:rPr>
                <w:rFonts w:cs="Tahoma"/>
                <w:b/>
                <w:bCs/>
                <w:sz w:val="12"/>
                <w:szCs w:val="12"/>
                <w:lang w:eastAsia="tr-TR"/>
              </w:rPr>
              <w:t>334 417</w:t>
            </w:r>
          </w:p>
        </w:tc>
        <w:tc>
          <w:tcPr>
            <w:tcW w:w="439" w:type="pct"/>
            <w:tcBorders>
              <w:top w:val="single" w:sz="8" w:space="0" w:color="auto"/>
              <w:left w:val="nil"/>
              <w:bottom w:val="single" w:sz="8" w:space="0" w:color="auto"/>
              <w:right w:val="single" w:sz="8" w:space="0" w:color="auto"/>
            </w:tcBorders>
            <w:noWrap/>
            <w:vAlign w:val="center"/>
          </w:tcPr>
          <w:p w:rsidR="00565FD5" w:rsidRPr="00C91E15" w:rsidRDefault="00565FD5" w:rsidP="00AB62A3">
            <w:pPr>
              <w:jc w:val="right"/>
              <w:rPr>
                <w:rFonts w:cs="Tahoma"/>
                <w:b/>
                <w:bCs/>
                <w:sz w:val="12"/>
                <w:szCs w:val="12"/>
                <w:lang w:eastAsia="tr-TR"/>
              </w:rPr>
            </w:pPr>
            <w:r w:rsidRPr="00C91E15">
              <w:rPr>
                <w:rFonts w:cs="Tahoma"/>
                <w:b/>
                <w:bCs/>
                <w:sz w:val="12"/>
                <w:szCs w:val="12"/>
                <w:lang w:eastAsia="tr-TR"/>
              </w:rPr>
              <w:t>261 500</w:t>
            </w:r>
          </w:p>
        </w:tc>
      </w:tr>
    </w:tbl>
    <w:p w:rsidR="00565FD5" w:rsidRPr="00CE0087" w:rsidRDefault="00565FD5" w:rsidP="00565FD5">
      <w:pPr>
        <w:spacing w:after="240"/>
        <w:rPr>
          <w:rFonts w:cs="Tahoma"/>
          <w:color w:val="000000"/>
          <w:sz w:val="12"/>
          <w:szCs w:val="12"/>
          <w:lang w:eastAsia="tr-TR"/>
        </w:rPr>
      </w:pPr>
      <w:r w:rsidRPr="00CE0087">
        <w:rPr>
          <w:rFonts w:cs="Tahoma"/>
          <w:color w:val="000000"/>
          <w:sz w:val="12"/>
          <w:szCs w:val="12"/>
          <w:lang w:eastAsia="tr-TR"/>
        </w:rPr>
        <w:t>(1) Gerçekleşme tahmini</w:t>
      </w:r>
      <w:r>
        <w:rPr>
          <w:rFonts w:cs="Tahoma"/>
          <w:color w:val="000000"/>
          <w:sz w:val="12"/>
          <w:szCs w:val="12"/>
          <w:lang w:eastAsia="tr-TR"/>
        </w:rPr>
        <w:t xml:space="preserve">, </w:t>
      </w:r>
      <w:r w:rsidRPr="00CE0087">
        <w:rPr>
          <w:rFonts w:cs="Tahoma"/>
          <w:color w:val="000000"/>
          <w:sz w:val="12"/>
          <w:szCs w:val="12"/>
          <w:lang w:eastAsia="tr-TR"/>
        </w:rPr>
        <w:t xml:space="preserve">(2) </w:t>
      </w:r>
      <w:r>
        <w:rPr>
          <w:rFonts w:cs="Tahoma"/>
          <w:color w:val="000000"/>
          <w:sz w:val="12"/>
          <w:szCs w:val="12"/>
          <w:lang w:eastAsia="tr-TR"/>
        </w:rPr>
        <w:t xml:space="preserve">Program, </w:t>
      </w:r>
      <w:r w:rsidRPr="00CE0087">
        <w:rPr>
          <w:rFonts w:cs="Tahoma"/>
          <w:color w:val="000000"/>
          <w:sz w:val="12"/>
          <w:szCs w:val="12"/>
          <w:lang w:eastAsia="tr-TR"/>
        </w:rPr>
        <w:t>(3) Fiili üretim yakıt oranlarına göre dağıtılmıştır.</w:t>
      </w:r>
    </w:p>
    <w:p w:rsidR="00565FD5" w:rsidRPr="0003655D" w:rsidRDefault="00565FD5" w:rsidP="00565FD5">
      <w:pPr>
        <w:pStyle w:val="ResimYazs"/>
        <w:rPr>
          <w:rFonts w:cs="Tahoma"/>
          <w:bCs/>
          <w:color w:val="000000"/>
          <w:lang w:eastAsia="tr-TR"/>
        </w:rPr>
      </w:pPr>
      <w:bookmarkStart w:id="1555" w:name="_Toc338606011"/>
      <w:bookmarkStart w:id="1556" w:name="_Toc338711786"/>
      <w:r>
        <w:t xml:space="preserve">TABLO IV: </w:t>
      </w:r>
      <w:fldSimple w:instr=" SEQ TABLO_IV: \* ARABIC ">
        <w:r>
          <w:rPr>
            <w:noProof/>
          </w:rPr>
          <w:t>16</w:t>
        </w:r>
      </w:fldSimple>
      <w:r w:rsidRPr="0003655D">
        <w:rPr>
          <w:rFonts w:cs="Tahoma"/>
          <w:bCs/>
          <w:color w:val="000000"/>
          <w:lang w:eastAsia="tr-TR"/>
        </w:rPr>
        <w:t>- Elektrik Üretim ve Tüketiminde Gelişmeler</w:t>
      </w:r>
      <w:bookmarkEnd w:id="1555"/>
      <w:bookmarkEnd w:id="1556"/>
    </w:p>
    <w:tbl>
      <w:tblPr>
        <w:tblW w:w="7144" w:type="dxa"/>
        <w:jc w:val="center"/>
        <w:tblCellMar>
          <w:left w:w="70" w:type="dxa"/>
          <w:right w:w="70" w:type="dxa"/>
        </w:tblCellMar>
        <w:tblLook w:val="00A0"/>
      </w:tblPr>
      <w:tblGrid>
        <w:gridCol w:w="1288"/>
        <w:gridCol w:w="183"/>
        <w:gridCol w:w="530"/>
        <w:gridCol w:w="762"/>
        <w:gridCol w:w="762"/>
        <w:gridCol w:w="762"/>
        <w:gridCol w:w="764"/>
        <w:gridCol w:w="1047"/>
        <w:gridCol w:w="1046"/>
      </w:tblGrid>
      <w:tr w:rsidR="00565FD5" w:rsidRPr="0003655D" w:rsidTr="00AB62A3">
        <w:trPr>
          <w:trHeight w:hRule="exact" w:val="170"/>
          <w:jc w:val="center"/>
        </w:trPr>
        <w:tc>
          <w:tcPr>
            <w:tcW w:w="902" w:type="pct"/>
            <w:tcBorders>
              <w:top w:val="single" w:sz="8" w:space="0" w:color="auto"/>
              <w:left w:val="single" w:sz="8" w:space="0" w:color="auto"/>
              <w:bottom w:val="single" w:sz="8" w:space="0" w:color="auto"/>
              <w:right w:val="nil"/>
            </w:tcBorders>
            <w:noWrap/>
            <w:vAlign w:val="center"/>
          </w:tcPr>
          <w:p w:rsidR="00565FD5" w:rsidRPr="0003655D" w:rsidRDefault="00565FD5" w:rsidP="00AB62A3">
            <w:pPr>
              <w:rPr>
                <w:rFonts w:cs="Tahoma"/>
                <w:color w:val="000000"/>
                <w:sz w:val="12"/>
                <w:szCs w:val="12"/>
                <w:lang w:eastAsia="tr-TR"/>
              </w:rPr>
            </w:pPr>
            <w:r w:rsidRPr="0003655D">
              <w:rPr>
                <w:rFonts w:cs="Tahoma"/>
                <w:color w:val="000000"/>
                <w:sz w:val="12"/>
                <w:szCs w:val="12"/>
                <w:lang w:eastAsia="tr-TR"/>
              </w:rPr>
              <w:t> </w:t>
            </w:r>
          </w:p>
        </w:tc>
        <w:tc>
          <w:tcPr>
            <w:tcW w:w="128" w:type="pct"/>
            <w:tcBorders>
              <w:top w:val="single" w:sz="8" w:space="0" w:color="auto"/>
              <w:left w:val="nil"/>
              <w:bottom w:val="single" w:sz="8" w:space="0" w:color="auto"/>
              <w:right w:val="nil"/>
            </w:tcBorders>
            <w:noWrap/>
            <w:vAlign w:val="center"/>
          </w:tcPr>
          <w:p w:rsidR="00565FD5" w:rsidRPr="0003655D" w:rsidRDefault="00565FD5" w:rsidP="00AB62A3">
            <w:pPr>
              <w:rPr>
                <w:rFonts w:cs="Tahoma"/>
                <w:color w:val="000000"/>
                <w:sz w:val="12"/>
                <w:szCs w:val="12"/>
                <w:lang w:eastAsia="tr-TR"/>
              </w:rPr>
            </w:pPr>
            <w:r w:rsidRPr="0003655D">
              <w:rPr>
                <w:rFonts w:cs="Tahoma"/>
                <w:color w:val="000000"/>
                <w:sz w:val="12"/>
                <w:szCs w:val="12"/>
                <w:lang w:eastAsia="tr-TR"/>
              </w:rPr>
              <w:t> </w:t>
            </w:r>
          </w:p>
        </w:tc>
        <w:tc>
          <w:tcPr>
            <w:tcW w:w="371" w:type="pct"/>
            <w:tcBorders>
              <w:top w:val="single" w:sz="8" w:space="0" w:color="auto"/>
              <w:left w:val="nil"/>
              <w:bottom w:val="single" w:sz="8" w:space="0" w:color="auto"/>
              <w:right w:val="nil"/>
            </w:tcBorders>
            <w:noWrap/>
            <w:vAlign w:val="center"/>
          </w:tcPr>
          <w:p w:rsidR="00565FD5" w:rsidRPr="0003655D" w:rsidRDefault="00565FD5" w:rsidP="00AB62A3">
            <w:pPr>
              <w:jc w:val="center"/>
              <w:rPr>
                <w:rFonts w:cs="Tahoma"/>
                <w:b/>
                <w:bCs/>
                <w:color w:val="000000"/>
                <w:sz w:val="12"/>
                <w:szCs w:val="12"/>
                <w:lang w:eastAsia="tr-TR"/>
              </w:rPr>
            </w:pPr>
            <w:r w:rsidRPr="0003655D">
              <w:rPr>
                <w:rFonts w:cs="Tahoma"/>
                <w:b/>
                <w:bCs/>
                <w:color w:val="000000"/>
                <w:sz w:val="12"/>
                <w:szCs w:val="12"/>
                <w:lang w:eastAsia="tr-TR"/>
              </w:rPr>
              <w:t> </w:t>
            </w:r>
          </w:p>
        </w:tc>
        <w:tc>
          <w:tcPr>
            <w:tcW w:w="533" w:type="pct"/>
            <w:tcBorders>
              <w:top w:val="single" w:sz="8" w:space="0" w:color="auto"/>
              <w:left w:val="nil"/>
              <w:bottom w:val="single" w:sz="8" w:space="0" w:color="auto"/>
              <w:right w:val="nil"/>
            </w:tcBorders>
            <w:noWrap/>
            <w:vAlign w:val="center"/>
          </w:tcPr>
          <w:p w:rsidR="00565FD5" w:rsidRPr="0003655D" w:rsidRDefault="00565FD5" w:rsidP="00AB62A3">
            <w:pPr>
              <w:jc w:val="right"/>
              <w:rPr>
                <w:rFonts w:cs="Tahoma"/>
                <w:b/>
                <w:bCs/>
                <w:color w:val="000000"/>
                <w:sz w:val="12"/>
                <w:szCs w:val="12"/>
                <w:lang w:eastAsia="tr-TR"/>
              </w:rPr>
            </w:pPr>
            <w:r w:rsidRPr="0003655D">
              <w:rPr>
                <w:rFonts w:cs="Tahoma"/>
                <w:b/>
                <w:bCs/>
                <w:color w:val="000000"/>
                <w:sz w:val="12"/>
                <w:szCs w:val="12"/>
                <w:lang w:eastAsia="tr-TR"/>
              </w:rPr>
              <w:t>2000</w:t>
            </w:r>
          </w:p>
        </w:tc>
        <w:tc>
          <w:tcPr>
            <w:tcW w:w="533" w:type="pct"/>
            <w:tcBorders>
              <w:top w:val="single" w:sz="8" w:space="0" w:color="auto"/>
              <w:left w:val="nil"/>
              <w:bottom w:val="single" w:sz="8" w:space="0" w:color="auto"/>
              <w:right w:val="nil"/>
            </w:tcBorders>
            <w:noWrap/>
            <w:vAlign w:val="center"/>
          </w:tcPr>
          <w:p w:rsidR="00565FD5" w:rsidRPr="0003655D" w:rsidRDefault="00565FD5" w:rsidP="00AB62A3">
            <w:pPr>
              <w:jc w:val="right"/>
              <w:rPr>
                <w:rFonts w:cs="Tahoma"/>
                <w:b/>
                <w:bCs/>
                <w:color w:val="000000"/>
                <w:sz w:val="12"/>
                <w:szCs w:val="12"/>
                <w:lang w:eastAsia="tr-TR"/>
              </w:rPr>
            </w:pPr>
            <w:r w:rsidRPr="0003655D">
              <w:rPr>
                <w:rFonts w:cs="Tahoma"/>
                <w:b/>
                <w:bCs/>
                <w:color w:val="000000"/>
                <w:sz w:val="12"/>
                <w:szCs w:val="12"/>
                <w:lang w:eastAsia="tr-TR"/>
              </w:rPr>
              <w:t>2005</w:t>
            </w:r>
          </w:p>
        </w:tc>
        <w:tc>
          <w:tcPr>
            <w:tcW w:w="533" w:type="pct"/>
            <w:tcBorders>
              <w:top w:val="single" w:sz="8" w:space="0" w:color="auto"/>
              <w:left w:val="nil"/>
              <w:bottom w:val="single" w:sz="8" w:space="0" w:color="auto"/>
              <w:right w:val="nil"/>
            </w:tcBorders>
            <w:noWrap/>
            <w:vAlign w:val="center"/>
          </w:tcPr>
          <w:p w:rsidR="00565FD5" w:rsidRPr="0003655D" w:rsidRDefault="00565FD5" w:rsidP="00AB62A3">
            <w:pPr>
              <w:jc w:val="right"/>
              <w:rPr>
                <w:rFonts w:cs="Tahoma"/>
                <w:b/>
                <w:bCs/>
                <w:color w:val="000000"/>
                <w:sz w:val="12"/>
                <w:szCs w:val="12"/>
                <w:lang w:eastAsia="tr-TR"/>
              </w:rPr>
            </w:pPr>
            <w:r w:rsidRPr="0003655D">
              <w:rPr>
                <w:rFonts w:cs="Tahoma"/>
                <w:b/>
                <w:bCs/>
                <w:color w:val="000000"/>
                <w:sz w:val="12"/>
                <w:szCs w:val="12"/>
                <w:lang w:eastAsia="tr-TR"/>
              </w:rPr>
              <w:t>2010</w:t>
            </w:r>
          </w:p>
        </w:tc>
        <w:tc>
          <w:tcPr>
            <w:tcW w:w="535" w:type="pct"/>
            <w:tcBorders>
              <w:top w:val="single" w:sz="8" w:space="0" w:color="auto"/>
              <w:left w:val="nil"/>
              <w:bottom w:val="single" w:sz="8" w:space="0" w:color="auto"/>
              <w:right w:val="nil"/>
            </w:tcBorders>
            <w:noWrap/>
            <w:vAlign w:val="center"/>
          </w:tcPr>
          <w:p w:rsidR="00565FD5" w:rsidRPr="0003655D" w:rsidRDefault="00565FD5" w:rsidP="00AB62A3">
            <w:pPr>
              <w:jc w:val="right"/>
              <w:rPr>
                <w:rFonts w:cs="Tahoma"/>
                <w:b/>
                <w:bCs/>
                <w:color w:val="000000"/>
                <w:sz w:val="12"/>
                <w:szCs w:val="12"/>
                <w:lang w:eastAsia="tr-TR"/>
              </w:rPr>
            </w:pPr>
            <w:r w:rsidRPr="0003655D">
              <w:rPr>
                <w:rFonts w:cs="Tahoma"/>
                <w:b/>
                <w:bCs/>
                <w:color w:val="000000"/>
                <w:sz w:val="12"/>
                <w:szCs w:val="12"/>
                <w:lang w:eastAsia="tr-TR"/>
              </w:rPr>
              <w:t>2011</w:t>
            </w:r>
          </w:p>
        </w:tc>
        <w:tc>
          <w:tcPr>
            <w:tcW w:w="733" w:type="pct"/>
            <w:tcBorders>
              <w:top w:val="single" w:sz="8" w:space="0" w:color="auto"/>
              <w:left w:val="nil"/>
              <w:bottom w:val="single" w:sz="8" w:space="0" w:color="auto"/>
              <w:right w:val="nil"/>
            </w:tcBorders>
            <w:noWrap/>
            <w:vAlign w:val="center"/>
          </w:tcPr>
          <w:p w:rsidR="00565FD5" w:rsidRPr="0003655D" w:rsidRDefault="00565FD5" w:rsidP="00AB62A3">
            <w:pPr>
              <w:jc w:val="right"/>
              <w:rPr>
                <w:rFonts w:cs="Tahoma"/>
                <w:b/>
                <w:bCs/>
                <w:color w:val="000000"/>
                <w:sz w:val="12"/>
                <w:szCs w:val="12"/>
                <w:lang w:eastAsia="tr-TR"/>
              </w:rPr>
            </w:pPr>
            <w:r w:rsidRPr="0003655D">
              <w:rPr>
                <w:rFonts w:cs="Tahoma"/>
                <w:b/>
                <w:bCs/>
                <w:color w:val="000000"/>
                <w:sz w:val="12"/>
                <w:szCs w:val="12"/>
                <w:lang w:eastAsia="tr-TR"/>
              </w:rPr>
              <w:t>2012 (1)</w:t>
            </w:r>
          </w:p>
        </w:tc>
        <w:tc>
          <w:tcPr>
            <w:tcW w:w="732" w:type="pct"/>
            <w:tcBorders>
              <w:top w:val="single" w:sz="8" w:space="0" w:color="auto"/>
              <w:left w:val="nil"/>
              <w:bottom w:val="single" w:sz="8" w:space="0" w:color="auto"/>
              <w:right w:val="single" w:sz="8" w:space="0" w:color="auto"/>
            </w:tcBorders>
            <w:noWrap/>
            <w:vAlign w:val="center"/>
          </w:tcPr>
          <w:p w:rsidR="00565FD5" w:rsidRPr="0003655D" w:rsidRDefault="00565FD5" w:rsidP="00AB62A3">
            <w:pPr>
              <w:jc w:val="right"/>
              <w:rPr>
                <w:rFonts w:cs="Tahoma"/>
                <w:b/>
                <w:bCs/>
                <w:color w:val="000000"/>
                <w:sz w:val="12"/>
                <w:szCs w:val="12"/>
                <w:lang w:eastAsia="tr-TR"/>
              </w:rPr>
            </w:pPr>
            <w:r w:rsidRPr="0003655D">
              <w:rPr>
                <w:rFonts w:cs="Tahoma"/>
                <w:b/>
                <w:bCs/>
                <w:color w:val="000000"/>
                <w:sz w:val="12"/>
                <w:szCs w:val="12"/>
                <w:lang w:eastAsia="tr-TR"/>
              </w:rPr>
              <w:t>2013 (2)</w:t>
            </w:r>
          </w:p>
        </w:tc>
      </w:tr>
      <w:tr w:rsidR="00565FD5" w:rsidRPr="0003655D" w:rsidTr="00AB62A3">
        <w:trPr>
          <w:trHeight w:hRule="exact" w:val="170"/>
          <w:jc w:val="center"/>
        </w:trPr>
        <w:tc>
          <w:tcPr>
            <w:tcW w:w="1030" w:type="pct"/>
            <w:gridSpan w:val="2"/>
            <w:tcBorders>
              <w:top w:val="nil"/>
              <w:left w:val="single" w:sz="8" w:space="0" w:color="auto"/>
              <w:bottom w:val="nil"/>
              <w:right w:val="nil"/>
            </w:tcBorders>
            <w:noWrap/>
            <w:vAlign w:val="center"/>
          </w:tcPr>
          <w:p w:rsidR="00565FD5" w:rsidRPr="0003655D" w:rsidRDefault="00565FD5" w:rsidP="00AB62A3">
            <w:pPr>
              <w:rPr>
                <w:rFonts w:cs="Tahoma"/>
                <w:color w:val="000000"/>
                <w:sz w:val="12"/>
                <w:szCs w:val="12"/>
                <w:lang w:eastAsia="tr-TR"/>
              </w:rPr>
            </w:pPr>
            <w:r w:rsidRPr="0003655D">
              <w:rPr>
                <w:rFonts w:cs="Tahoma"/>
                <w:color w:val="000000"/>
                <w:sz w:val="12"/>
                <w:szCs w:val="12"/>
                <w:lang w:eastAsia="tr-TR"/>
              </w:rPr>
              <w:t>ELEKTRİK ENERJİSİ</w:t>
            </w:r>
          </w:p>
        </w:tc>
        <w:tc>
          <w:tcPr>
            <w:tcW w:w="371" w:type="pct"/>
            <w:tcBorders>
              <w:top w:val="nil"/>
              <w:left w:val="nil"/>
              <w:bottom w:val="nil"/>
              <w:right w:val="nil"/>
            </w:tcBorders>
            <w:noWrap/>
            <w:vAlign w:val="center"/>
          </w:tcPr>
          <w:p w:rsidR="00565FD5" w:rsidRPr="0003655D" w:rsidRDefault="00565FD5" w:rsidP="00AB62A3">
            <w:pPr>
              <w:jc w:val="center"/>
              <w:rPr>
                <w:rFonts w:cs="Tahoma"/>
                <w:color w:val="000000"/>
                <w:sz w:val="12"/>
                <w:szCs w:val="12"/>
                <w:lang w:eastAsia="tr-TR"/>
              </w:rPr>
            </w:pPr>
          </w:p>
        </w:tc>
        <w:tc>
          <w:tcPr>
            <w:tcW w:w="533" w:type="pct"/>
            <w:tcBorders>
              <w:top w:val="nil"/>
              <w:left w:val="nil"/>
              <w:bottom w:val="nil"/>
              <w:right w:val="nil"/>
            </w:tcBorders>
            <w:noWrap/>
            <w:vAlign w:val="center"/>
          </w:tcPr>
          <w:p w:rsidR="00565FD5" w:rsidRPr="0003655D" w:rsidRDefault="00565FD5" w:rsidP="00AB62A3">
            <w:pPr>
              <w:rPr>
                <w:rFonts w:cs="Tahoma"/>
                <w:color w:val="000000"/>
                <w:sz w:val="12"/>
                <w:szCs w:val="12"/>
                <w:lang w:eastAsia="tr-TR"/>
              </w:rPr>
            </w:pPr>
          </w:p>
        </w:tc>
        <w:tc>
          <w:tcPr>
            <w:tcW w:w="533" w:type="pct"/>
            <w:tcBorders>
              <w:top w:val="nil"/>
              <w:left w:val="nil"/>
              <w:bottom w:val="nil"/>
              <w:right w:val="nil"/>
            </w:tcBorders>
            <w:noWrap/>
            <w:vAlign w:val="center"/>
          </w:tcPr>
          <w:p w:rsidR="00565FD5" w:rsidRPr="0003655D" w:rsidRDefault="00565FD5" w:rsidP="00AB62A3">
            <w:pPr>
              <w:rPr>
                <w:rFonts w:cs="Tahoma"/>
                <w:color w:val="000000"/>
                <w:sz w:val="12"/>
                <w:szCs w:val="12"/>
                <w:lang w:eastAsia="tr-TR"/>
              </w:rPr>
            </w:pPr>
          </w:p>
        </w:tc>
        <w:tc>
          <w:tcPr>
            <w:tcW w:w="533" w:type="pct"/>
            <w:tcBorders>
              <w:top w:val="nil"/>
              <w:left w:val="nil"/>
              <w:bottom w:val="nil"/>
              <w:right w:val="nil"/>
            </w:tcBorders>
            <w:noWrap/>
            <w:vAlign w:val="center"/>
          </w:tcPr>
          <w:p w:rsidR="00565FD5" w:rsidRPr="0003655D" w:rsidRDefault="00565FD5" w:rsidP="00AB62A3">
            <w:pPr>
              <w:rPr>
                <w:rFonts w:cs="Tahoma"/>
                <w:color w:val="000000"/>
                <w:sz w:val="12"/>
                <w:szCs w:val="12"/>
                <w:lang w:eastAsia="tr-TR"/>
              </w:rPr>
            </w:pPr>
          </w:p>
        </w:tc>
        <w:tc>
          <w:tcPr>
            <w:tcW w:w="535" w:type="pct"/>
            <w:tcBorders>
              <w:top w:val="nil"/>
              <w:left w:val="nil"/>
              <w:bottom w:val="nil"/>
              <w:right w:val="nil"/>
            </w:tcBorders>
            <w:noWrap/>
            <w:vAlign w:val="center"/>
          </w:tcPr>
          <w:p w:rsidR="00565FD5" w:rsidRPr="0003655D" w:rsidRDefault="00565FD5" w:rsidP="00AB62A3">
            <w:pPr>
              <w:rPr>
                <w:rFonts w:cs="Tahoma"/>
                <w:color w:val="000000"/>
                <w:sz w:val="12"/>
                <w:szCs w:val="12"/>
                <w:lang w:eastAsia="tr-TR"/>
              </w:rPr>
            </w:pPr>
          </w:p>
        </w:tc>
        <w:tc>
          <w:tcPr>
            <w:tcW w:w="733" w:type="pct"/>
            <w:tcBorders>
              <w:top w:val="nil"/>
              <w:left w:val="nil"/>
              <w:bottom w:val="nil"/>
              <w:right w:val="nil"/>
            </w:tcBorders>
            <w:noWrap/>
            <w:vAlign w:val="center"/>
          </w:tcPr>
          <w:p w:rsidR="00565FD5" w:rsidRPr="0003655D" w:rsidRDefault="00565FD5" w:rsidP="00AB62A3">
            <w:pPr>
              <w:rPr>
                <w:rFonts w:cs="Tahoma"/>
                <w:color w:val="000000"/>
                <w:sz w:val="12"/>
                <w:szCs w:val="12"/>
                <w:lang w:eastAsia="tr-TR"/>
              </w:rPr>
            </w:pPr>
          </w:p>
        </w:tc>
        <w:tc>
          <w:tcPr>
            <w:tcW w:w="732" w:type="pct"/>
            <w:tcBorders>
              <w:top w:val="nil"/>
              <w:left w:val="nil"/>
              <w:bottom w:val="nil"/>
              <w:right w:val="single" w:sz="8" w:space="0" w:color="auto"/>
            </w:tcBorders>
            <w:noWrap/>
            <w:vAlign w:val="center"/>
          </w:tcPr>
          <w:p w:rsidR="00565FD5" w:rsidRPr="0003655D" w:rsidRDefault="00565FD5" w:rsidP="00AB62A3">
            <w:pPr>
              <w:rPr>
                <w:rFonts w:cs="Tahoma"/>
                <w:color w:val="000000"/>
                <w:sz w:val="12"/>
                <w:szCs w:val="12"/>
                <w:lang w:eastAsia="tr-TR"/>
              </w:rPr>
            </w:pPr>
            <w:r w:rsidRPr="0003655D">
              <w:rPr>
                <w:rFonts w:cs="Tahoma"/>
                <w:color w:val="000000"/>
                <w:sz w:val="12"/>
                <w:szCs w:val="12"/>
                <w:lang w:eastAsia="tr-TR"/>
              </w:rPr>
              <w:t> </w:t>
            </w:r>
          </w:p>
        </w:tc>
      </w:tr>
      <w:tr w:rsidR="00565FD5" w:rsidRPr="0003655D" w:rsidTr="00AB62A3">
        <w:trPr>
          <w:trHeight w:hRule="exact" w:val="170"/>
          <w:jc w:val="center"/>
        </w:trPr>
        <w:tc>
          <w:tcPr>
            <w:tcW w:w="1030" w:type="pct"/>
            <w:gridSpan w:val="2"/>
            <w:tcBorders>
              <w:top w:val="nil"/>
              <w:left w:val="single" w:sz="8" w:space="0" w:color="auto"/>
              <w:bottom w:val="nil"/>
              <w:right w:val="nil"/>
            </w:tcBorders>
            <w:noWrap/>
            <w:vAlign w:val="center"/>
          </w:tcPr>
          <w:p w:rsidR="00565FD5" w:rsidRPr="0003655D" w:rsidRDefault="00565FD5" w:rsidP="00AB62A3">
            <w:pPr>
              <w:rPr>
                <w:rFonts w:cs="Tahoma"/>
                <w:color w:val="000000"/>
                <w:sz w:val="12"/>
                <w:szCs w:val="12"/>
                <w:lang w:eastAsia="tr-TR"/>
              </w:rPr>
            </w:pPr>
            <w:r w:rsidRPr="0003655D">
              <w:rPr>
                <w:rFonts w:cs="Tahoma"/>
                <w:color w:val="000000"/>
                <w:sz w:val="12"/>
                <w:szCs w:val="12"/>
                <w:lang w:eastAsia="tr-TR"/>
              </w:rPr>
              <w:t xml:space="preserve">   KURULU GÜÇ</w:t>
            </w:r>
          </w:p>
        </w:tc>
        <w:tc>
          <w:tcPr>
            <w:tcW w:w="371" w:type="pct"/>
            <w:tcBorders>
              <w:top w:val="nil"/>
              <w:left w:val="nil"/>
              <w:bottom w:val="nil"/>
              <w:right w:val="nil"/>
            </w:tcBorders>
            <w:noWrap/>
            <w:vAlign w:val="center"/>
          </w:tcPr>
          <w:p w:rsidR="00565FD5" w:rsidRPr="0003655D" w:rsidRDefault="00565FD5" w:rsidP="00AB62A3">
            <w:pPr>
              <w:jc w:val="center"/>
              <w:rPr>
                <w:rFonts w:cs="Tahoma"/>
                <w:color w:val="000000"/>
                <w:sz w:val="12"/>
                <w:szCs w:val="12"/>
                <w:lang w:eastAsia="tr-TR"/>
              </w:rPr>
            </w:pPr>
            <w:r w:rsidRPr="0003655D">
              <w:rPr>
                <w:rFonts w:cs="Tahoma"/>
                <w:color w:val="000000"/>
                <w:sz w:val="12"/>
                <w:szCs w:val="12"/>
                <w:lang w:eastAsia="tr-TR"/>
              </w:rPr>
              <w:t>MW</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27 264</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38 843</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49 524</w:t>
            </w:r>
          </w:p>
        </w:tc>
        <w:tc>
          <w:tcPr>
            <w:tcW w:w="535"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52 911</w:t>
            </w:r>
          </w:p>
        </w:tc>
        <w:tc>
          <w:tcPr>
            <w:tcW w:w="7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56 528</w:t>
            </w:r>
          </w:p>
        </w:tc>
        <w:tc>
          <w:tcPr>
            <w:tcW w:w="732" w:type="pct"/>
            <w:tcBorders>
              <w:top w:val="nil"/>
              <w:left w:val="nil"/>
              <w:bottom w:val="nil"/>
              <w:right w:val="single" w:sz="8" w:space="0" w:color="auto"/>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59 389</w:t>
            </w:r>
          </w:p>
        </w:tc>
      </w:tr>
      <w:tr w:rsidR="00565FD5" w:rsidRPr="0003655D" w:rsidTr="00AB62A3">
        <w:trPr>
          <w:trHeight w:hRule="exact" w:val="170"/>
          <w:jc w:val="center"/>
        </w:trPr>
        <w:tc>
          <w:tcPr>
            <w:tcW w:w="1030" w:type="pct"/>
            <w:gridSpan w:val="2"/>
            <w:tcBorders>
              <w:top w:val="nil"/>
              <w:left w:val="single" w:sz="8" w:space="0" w:color="auto"/>
              <w:bottom w:val="nil"/>
              <w:right w:val="nil"/>
            </w:tcBorders>
            <w:noWrap/>
            <w:vAlign w:val="center"/>
          </w:tcPr>
          <w:p w:rsidR="00565FD5" w:rsidRPr="0003655D" w:rsidRDefault="00565FD5" w:rsidP="00AB62A3">
            <w:pPr>
              <w:rPr>
                <w:rFonts w:cs="Tahoma"/>
                <w:color w:val="000000"/>
                <w:sz w:val="12"/>
                <w:szCs w:val="12"/>
                <w:lang w:eastAsia="tr-TR"/>
              </w:rPr>
            </w:pPr>
            <w:r w:rsidRPr="0003655D">
              <w:rPr>
                <w:rFonts w:cs="Tahoma"/>
                <w:color w:val="000000"/>
                <w:sz w:val="12"/>
                <w:szCs w:val="12"/>
                <w:lang w:eastAsia="tr-TR"/>
              </w:rPr>
              <w:t xml:space="preserve">      Termik (3)</w:t>
            </w:r>
          </w:p>
        </w:tc>
        <w:tc>
          <w:tcPr>
            <w:tcW w:w="371" w:type="pct"/>
            <w:tcBorders>
              <w:top w:val="nil"/>
              <w:left w:val="nil"/>
              <w:bottom w:val="nil"/>
              <w:right w:val="nil"/>
            </w:tcBorders>
            <w:noWrap/>
            <w:vAlign w:val="center"/>
          </w:tcPr>
          <w:p w:rsidR="00565FD5" w:rsidRPr="0003655D" w:rsidRDefault="00565FD5" w:rsidP="00AB62A3">
            <w:pPr>
              <w:jc w:val="center"/>
              <w:rPr>
                <w:rFonts w:cs="Tahoma"/>
                <w:color w:val="000000"/>
                <w:sz w:val="12"/>
                <w:szCs w:val="12"/>
                <w:lang w:eastAsia="tr-TR"/>
              </w:rPr>
            </w:pPr>
            <w:r w:rsidRPr="0003655D">
              <w:rPr>
                <w:rFonts w:cs="Tahoma"/>
                <w:color w:val="000000"/>
                <w:sz w:val="12"/>
                <w:szCs w:val="12"/>
                <w:lang w:eastAsia="tr-TR"/>
              </w:rPr>
              <w:t>MW</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16 070</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25 917</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32 373</w:t>
            </w:r>
          </w:p>
        </w:tc>
        <w:tc>
          <w:tcPr>
            <w:tcW w:w="535"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34 045</w:t>
            </w:r>
          </w:p>
        </w:tc>
        <w:tc>
          <w:tcPr>
            <w:tcW w:w="7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34 901</w:t>
            </w:r>
          </w:p>
        </w:tc>
        <w:tc>
          <w:tcPr>
            <w:tcW w:w="732" w:type="pct"/>
            <w:tcBorders>
              <w:top w:val="nil"/>
              <w:left w:val="nil"/>
              <w:bottom w:val="nil"/>
              <w:right w:val="single" w:sz="8" w:space="0" w:color="auto"/>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35 666</w:t>
            </w:r>
          </w:p>
        </w:tc>
      </w:tr>
      <w:tr w:rsidR="00565FD5" w:rsidRPr="0003655D" w:rsidTr="00AB62A3">
        <w:trPr>
          <w:trHeight w:hRule="exact" w:val="170"/>
          <w:jc w:val="center"/>
        </w:trPr>
        <w:tc>
          <w:tcPr>
            <w:tcW w:w="1030" w:type="pct"/>
            <w:gridSpan w:val="2"/>
            <w:tcBorders>
              <w:top w:val="nil"/>
              <w:left w:val="single" w:sz="8" w:space="0" w:color="auto"/>
              <w:bottom w:val="nil"/>
              <w:right w:val="nil"/>
            </w:tcBorders>
            <w:noWrap/>
            <w:vAlign w:val="center"/>
          </w:tcPr>
          <w:p w:rsidR="00565FD5" w:rsidRPr="0003655D" w:rsidRDefault="00565FD5" w:rsidP="00AB62A3">
            <w:pPr>
              <w:rPr>
                <w:rFonts w:cs="Tahoma"/>
                <w:color w:val="000000"/>
                <w:sz w:val="12"/>
                <w:szCs w:val="12"/>
                <w:lang w:eastAsia="tr-TR"/>
              </w:rPr>
            </w:pPr>
            <w:r w:rsidRPr="0003655D">
              <w:rPr>
                <w:rFonts w:cs="Tahoma"/>
                <w:color w:val="000000"/>
                <w:sz w:val="12"/>
                <w:szCs w:val="12"/>
                <w:lang w:eastAsia="tr-TR"/>
              </w:rPr>
              <w:t xml:space="preserve">      Hidrolik (4)</w:t>
            </w:r>
          </w:p>
        </w:tc>
        <w:tc>
          <w:tcPr>
            <w:tcW w:w="371" w:type="pct"/>
            <w:tcBorders>
              <w:top w:val="nil"/>
              <w:left w:val="nil"/>
              <w:bottom w:val="nil"/>
              <w:right w:val="nil"/>
            </w:tcBorders>
            <w:noWrap/>
            <w:vAlign w:val="center"/>
          </w:tcPr>
          <w:p w:rsidR="00565FD5" w:rsidRPr="0003655D" w:rsidRDefault="00565FD5" w:rsidP="00AB62A3">
            <w:pPr>
              <w:jc w:val="center"/>
              <w:rPr>
                <w:rFonts w:cs="Tahoma"/>
                <w:color w:val="000000"/>
                <w:sz w:val="12"/>
                <w:szCs w:val="12"/>
                <w:lang w:eastAsia="tr-TR"/>
              </w:rPr>
            </w:pPr>
            <w:r w:rsidRPr="0003655D">
              <w:rPr>
                <w:rFonts w:cs="Tahoma"/>
                <w:color w:val="000000"/>
                <w:sz w:val="12"/>
                <w:szCs w:val="12"/>
                <w:lang w:eastAsia="tr-TR"/>
              </w:rPr>
              <w:t>MW</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11 194</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12 926</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17 151</w:t>
            </w:r>
          </w:p>
        </w:tc>
        <w:tc>
          <w:tcPr>
            <w:tcW w:w="535"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18 866</w:t>
            </w:r>
          </w:p>
        </w:tc>
        <w:tc>
          <w:tcPr>
            <w:tcW w:w="7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21 627</w:t>
            </w:r>
          </w:p>
        </w:tc>
        <w:tc>
          <w:tcPr>
            <w:tcW w:w="732" w:type="pct"/>
            <w:tcBorders>
              <w:top w:val="nil"/>
              <w:left w:val="nil"/>
              <w:bottom w:val="nil"/>
              <w:right w:val="single" w:sz="8" w:space="0" w:color="auto"/>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23 723</w:t>
            </w:r>
          </w:p>
        </w:tc>
      </w:tr>
      <w:tr w:rsidR="00565FD5" w:rsidRPr="0003655D" w:rsidTr="00AB62A3">
        <w:trPr>
          <w:trHeight w:hRule="exact" w:val="170"/>
          <w:jc w:val="center"/>
        </w:trPr>
        <w:tc>
          <w:tcPr>
            <w:tcW w:w="902" w:type="pct"/>
            <w:tcBorders>
              <w:top w:val="nil"/>
              <w:left w:val="single" w:sz="8" w:space="0" w:color="auto"/>
              <w:bottom w:val="nil"/>
              <w:right w:val="nil"/>
            </w:tcBorders>
            <w:noWrap/>
            <w:vAlign w:val="center"/>
          </w:tcPr>
          <w:p w:rsidR="00565FD5" w:rsidRPr="0003655D" w:rsidRDefault="00565FD5" w:rsidP="00AB62A3">
            <w:pPr>
              <w:rPr>
                <w:rFonts w:cs="Tahoma"/>
                <w:color w:val="000000"/>
                <w:sz w:val="12"/>
                <w:szCs w:val="12"/>
                <w:lang w:eastAsia="tr-TR"/>
              </w:rPr>
            </w:pPr>
            <w:r w:rsidRPr="0003655D">
              <w:rPr>
                <w:rFonts w:cs="Tahoma"/>
                <w:color w:val="000000"/>
                <w:sz w:val="12"/>
                <w:szCs w:val="12"/>
                <w:lang w:eastAsia="tr-TR"/>
              </w:rPr>
              <w:t> </w:t>
            </w:r>
          </w:p>
        </w:tc>
        <w:tc>
          <w:tcPr>
            <w:tcW w:w="128" w:type="pct"/>
            <w:tcBorders>
              <w:top w:val="nil"/>
              <w:left w:val="nil"/>
              <w:bottom w:val="nil"/>
              <w:right w:val="nil"/>
            </w:tcBorders>
            <w:noWrap/>
            <w:vAlign w:val="center"/>
          </w:tcPr>
          <w:p w:rsidR="00565FD5" w:rsidRPr="0003655D" w:rsidRDefault="00565FD5" w:rsidP="00AB62A3">
            <w:pPr>
              <w:rPr>
                <w:rFonts w:cs="Tahoma"/>
                <w:color w:val="000000"/>
                <w:sz w:val="12"/>
                <w:szCs w:val="12"/>
                <w:lang w:eastAsia="tr-TR"/>
              </w:rPr>
            </w:pPr>
          </w:p>
        </w:tc>
        <w:tc>
          <w:tcPr>
            <w:tcW w:w="371" w:type="pct"/>
            <w:tcBorders>
              <w:top w:val="nil"/>
              <w:left w:val="nil"/>
              <w:bottom w:val="nil"/>
              <w:right w:val="nil"/>
            </w:tcBorders>
            <w:noWrap/>
            <w:vAlign w:val="center"/>
          </w:tcPr>
          <w:p w:rsidR="00565FD5" w:rsidRPr="0003655D" w:rsidRDefault="00565FD5" w:rsidP="00AB62A3">
            <w:pPr>
              <w:jc w:val="center"/>
              <w:rPr>
                <w:rFonts w:cs="Tahoma"/>
                <w:color w:val="000000"/>
                <w:sz w:val="12"/>
                <w:szCs w:val="12"/>
                <w:lang w:eastAsia="tr-TR"/>
              </w:rPr>
            </w:pP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p>
        </w:tc>
        <w:tc>
          <w:tcPr>
            <w:tcW w:w="535"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p>
        </w:tc>
        <w:tc>
          <w:tcPr>
            <w:tcW w:w="7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p>
        </w:tc>
        <w:tc>
          <w:tcPr>
            <w:tcW w:w="732" w:type="pct"/>
            <w:tcBorders>
              <w:top w:val="nil"/>
              <w:left w:val="nil"/>
              <w:bottom w:val="nil"/>
              <w:right w:val="single" w:sz="8" w:space="0" w:color="auto"/>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 </w:t>
            </w:r>
          </w:p>
        </w:tc>
      </w:tr>
      <w:tr w:rsidR="00565FD5" w:rsidRPr="0003655D" w:rsidTr="00AB62A3">
        <w:trPr>
          <w:trHeight w:hRule="exact" w:val="170"/>
          <w:jc w:val="center"/>
        </w:trPr>
        <w:tc>
          <w:tcPr>
            <w:tcW w:w="902" w:type="pct"/>
            <w:tcBorders>
              <w:top w:val="nil"/>
              <w:left w:val="single" w:sz="8" w:space="0" w:color="auto"/>
              <w:bottom w:val="nil"/>
              <w:right w:val="nil"/>
            </w:tcBorders>
            <w:noWrap/>
            <w:vAlign w:val="center"/>
          </w:tcPr>
          <w:p w:rsidR="00565FD5" w:rsidRPr="0003655D" w:rsidRDefault="00565FD5" w:rsidP="00AB62A3">
            <w:pPr>
              <w:rPr>
                <w:rFonts w:cs="Tahoma"/>
                <w:color w:val="000000"/>
                <w:sz w:val="12"/>
                <w:szCs w:val="12"/>
                <w:lang w:eastAsia="tr-TR"/>
              </w:rPr>
            </w:pPr>
            <w:r w:rsidRPr="0003655D">
              <w:rPr>
                <w:rFonts w:cs="Tahoma"/>
                <w:color w:val="000000"/>
                <w:sz w:val="12"/>
                <w:szCs w:val="12"/>
                <w:lang w:eastAsia="tr-TR"/>
              </w:rPr>
              <w:t xml:space="preserve">   ÜRETİM</w:t>
            </w:r>
          </w:p>
        </w:tc>
        <w:tc>
          <w:tcPr>
            <w:tcW w:w="128" w:type="pct"/>
            <w:tcBorders>
              <w:top w:val="nil"/>
              <w:left w:val="nil"/>
              <w:bottom w:val="nil"/>
              <w:right w:val="nil"/>
            </w:tcBorders>
            <w:noWrap/>
            <w:vAlign w:val="center"/>
          </w:tcPr>
          <w:p w:rsidR="00565FD5" w:rsidRPr="0003655D" w:rsidRDefault="00565FD5" w:rsidP="00AB62A3">
            <w:pPr>
              <w:rPr>
                <w:rFonts w:cs="Tahoma"/>
                <w:color w:val="000000"/>
                <w:sz w:val="12"/>
                <w:szCs w:val="12"/>
                <w:lang w:eastAsia="tr-TR"/>
              </w:rPr>
            </w:pPr>
          </w:p>
        </w:tc>
        <w:tc>
          <w:tcPr>
            <w:tcW w:w="371" w:type="pct"/>
            <w:tcBorders>
              <w:top w:val="nil"/>
              <w:left w:val="nil"/>
              <w:bottom w:val="nil"/>
              <w:right w:val="nil"/>
            </w:tcBorders>
            <w:noWrap/>
            <w:vAlign w:val="center"/>
          </w:tcPr>
          <w:p w:rsidR="00565FD5" w:rsidRPr="0003655D" w:rsidRDefault="00565FD5" w:rsidP="00AB62A3">
            <w:pPr>
              <w:jc w:val="center"/>
              <w:rPr>
                <w:rFonts w:cs="Tahoma"/>
                <w:color w:val="000000"/>
                <w:sz w:val="12"/>
                <w:szCs w:val="12"/>
                <w:lang w:eastAsia="tr-TR"/>
              </w:rPr>
            </w:pPr>
            <w:r w:rsidRPr="0003655D">
              <w:rPr>
                <w:rFonts w:cs="Tahoma"/>
                <w:color w:val="000000"/>
                <w:sz w:val="12"/>
                <w:szCs w:val="12"/>
                <w:lang w:eastAsia="tr-TR"/>
              </w:rPr>
              <w:t>GWh</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124 922</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161 956</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211 208</w:t>
            </w:r>
          </w:p>
        </w:tc>
        <w:tc>
          <w:tcPr>
            <w:tcW w:w="535"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229 395</w:t>
            </w:r>
          </w:p>
        </w:tc>
        <w:tc>
          <w:tcPr>
            <w:tcW w:w="7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245 000</w:t>
            </w:r>
          </w:p>
        </w:tc>
        <w:tc>
          <w:tcPr>
            <w:tcW w:w="732" w:type="pct"/>
            <w:tcBorders>
              <w:top w:val="nil"/>
              <w:left w:val="nil"/>
              <w:bottom w:val="nil"/>
              <w:right w:val="single" w:sz="8" w:space="0" w:color="auto"/>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261 500</w:t>
            </w:r>
          </w:p>
        </w:tc>
      </w:tr>
      <w:tr w:rsidR="00565FD5" w:rsidRPr="0003655D" w:rsidTr="00AB62A3">
        <w:trPr>
          <w:trHeight w:hRule="exact" w:val="170"/>
          <w:jc w:val="center"/>
        </w:trPr>
        <w:tc>
          <w:tcPr>
            <w:tcW w:w="1030" w:type="pct"/>
            <w:gridSpan w:val="2"/>
            <w:tcBorders>
              <w:top w:val="nil"/>
              <w:left w:val="single" w:sz="8" w:space="0" w:color="auto"/>
              <w:bottom w:val="nil"/>
              <w:right w:val="nil"/>
            </w:tcBorders>
            <w:noWrap/>
            <w:vAlign w:val="center"/>
          </w:tcPr>
          <w:p w:rsidR="00565FD5" w:rsidRPr="0003655D" w:rsidRDefault="00565FD5" w:rsidP="00AB62A3">
            <w:pPr>
              <w:rPr>
                <w:rFonts w:cs="Tahoma"/>
                <w:color w:val="000000"/>
                <w:sz w:val="12"/>
                <w:szCs w:val="12"/>
                <w:lang w:eastAsia="tr-TR"/>
              </w:rPr>
            </w:pPr>
            <w:r w:rsidRPr="0003655D">
              <w:rPr>
                <w:rFonts w:cs="Tahoma"/>
                <w:color w:val="000000"/>
                <w:sz w:val="12"/>
                <w:szCs w:val="12"/>
                <w:lang w:eastAsia="tr-TR"/>
              </w:rPr>
              <w:t xml:space="preserve">      Termik (3)</w:t>
            </w:r>
          </w:p>
        </w:tc>
        <w:tc>
          <w:tcPr>
            <w:tcW w:w="371" w:type="pct"/>
            <w:tcBorders>
              <w:top w:val="nil"/>
              <w:left w:val="nil"/>
              <w:bottom w:val="nil"/>
              <w:right w:val="nil"/>
            </w:tcBorders>
            <w:noWrap/>
            <w:vAlign w:val="center"/>
          </w:tcPr>
          <w:p w:rsidR="00565FD5" w:rsidRPr="0003655D" w:rsidRDefault="00565FD5" w:rsidP="00AB62A3">
            <w:pPr>
              <w:jc w:val="center"/>
              <w:rPr>
                <w:rFonts w:cs="Tahoma"/>
                <w:color w:val="000000"/>
                <w:sz w:val="12"/>
                <w:szCs w:val="12"/>
                <w:lang w:eastAsia="tr-TR"/>
              </w:rPr>
            </w:pPr>
            <w:r w:rsidRPr="0003655D">
              <w:rPr>
                <w:rFonts w:cs="Tahoma"/>
                <w:color w:val="000000"/>
                <w:sz w:val="12"/>
                <w:szCs w:val="12"/>
                <w:lang w:eastAsia="tr-TR"/>
              </w:rPr>
              <w:t>GWh</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94 010</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122 336</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156 496</w:t>
            </w:r>
          </w:p>
        </w:tc>
        <w:tc>
          <w:tcPr>
            <w:tcW w:w="535"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172 332</w:t>
            </w:r>
          </w:p>
        </w:tc>
        <w:tc>
          <w:tcPr>
            <w:tcW w:w="7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178 300</w:t>
            </w:r>
          </w:p>
        </w:tc>
        <w:tc>
          <w:tcPr>
            <w:tcW w:w="732" w:type="pct"/>
            <w:tcBorders>
              <w:top w:val="nil"/>
              <w:left w:val="nil"/>
              <w:bottom w:val="nil"/>
              <w:right w:val="single" w:sz="8" w:space="0" w:color="auto"/>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188 500</w:t>
            </w:r>
          </w:p>
        </w:tc>
      </w:tr>
      <w:tr w:rsidR="00565FD5" w:rsidRPr="0003655D" w:rsidTr="00AB62A3">
        <w:trPr>
          <w:trHeight w:hRule="exact" w:val="170"/>
          <w:jc w:val="center"/>
        </w:trPr>
        <w:tc>
          <w:tcPr>
            <w:tcW w:w="1030" w:type="pct"/>
            <w:gridSpan w:val="2"/>
            <w:tcBorders>
              <w:top w:val="nil"/>
              <w:left w:val="single" w:sz="8" w:space="0" w:color="auto"/>
              <w:bottom w:val="nil"/>
              <w:right w:val="nil"/>
            </w:tcBorders>
            <w:noWrap/>
            <w:vAlign w:val="center"/>
          </w:tcPr>
          <w:p w:rsidR="00565FD5" w:rsidRPr="0003655D" w:rsidRDefault="00565FD5" w:rsidP="00AB62A3">
            <w:pPr>
              <w:rPr>
                <w:rFonts w:cs="Tahoma"/>
                <w:color w:val="000000"/>
                <w:sz w:val="12"/>
                <w:szCs w:val="12"/>
                <w:lang w:eastAsia="tr-TR"/>
              </w:rPr>
            </w:pPr>
            <w:r w:rsidRPr="0003655D">
              <w:rPr>
                <w:rFonts w:cs="Tahoma"/>
                <w:color w:val="000000"/>
                <w:sz w:val="12"/>
                <w:szCs w:val="12"/>
                <w:lang w:eastAsia="tr-TR"/>
              </w:rPr>
              <w:t xml:space="preserve">      Hidrolik (4)</w:t>
            </w:r>
          </w:p>
        </w:tc>
        <w:tc>
          <w:tcPr>
            <w:tcW w:w="371" w:type="pct"/>
            <w:tcBorders>
              <w:top w:val="nil"/>
              <w:left w:val="nil"/>
              <w:bottom w:val="nil"/>
              <w:right w:val="nil"/>
            </w:tcBorders>
            <w:noWrap/>
            <w:vAlign w:val="center"/>
          </w:tcPr>
          <w:p w:rsidR="00565FD5" w:rsidRPr="0003655D" w:rsidRDefault="00565FD5" w:rsidP="00AB62A3">
            <w:pPr>
              <w:jc w:val="center"/>
              <w:rPr>
                <w:rFonts w:cs="Tahoma"/>
                <w:color w:val="000000"/>
                <w:sz w:val="12"/>
                <w:szCs w:val="12"/>
                <w:lang w:eastAsia="tr-TR"/>
              </w:rPr>
            </w:pPr>
            <w:r w:rsidRPr="0003655D">
              <w:rPr>
                <w:rFonts w:cs="Tahoma"/>
                <w:color w:val="000000"/>
                <w:sz w:val="12"/>
                <w:szCs w:val="12"/>
                <w:lang w:eastAsia="tr-TR"/>
              </w:rPr>
              <w:t>GWh</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30 912</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39 620</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54 712</w:t>
            </w:r>
          </w:p>
        </w:tc>
        <w:tc>
          <w:tcPr>
            <w:tcW w:w="535"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57 063</w:t>
            </w:r>
          </w:p>
        </w:tc>
        <w:tc>
          <w:tcPr>
            <w:tcW w:w="7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66 700</w:t>
            </w:r>
          </w:p>
        </w:tc>
        <w:tc>
          <w:tcPr>
            <w:tcW w:w="732" w:type="pct"/>
            <w:tcBorders>
              <w:top w:val="nil"/>
              <w:left w:val="nil"/>
              <w:bottom w:val="nil"/>
              <w:right w:val="single" w:sz="8" w:space="0" w:color="auto"/>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73 000</w:t>
            </w:r>
          </w:p>
        </w:tc>
      </w:tr>
      <w:tr w:rsidR="00565FD5" w:rsidRPr="0003655D" w:rsidTr="00AB62A3">
        <w:trPr>
          <w:trHeight w:hRule="exact" w:val="57"/>
          <w:jc w:val="center"/>
        </w:trPr>
        <w:tc>
          <w:tcPr>
            <w:tcW w:w="902" w:type="pct"/>
            <w:tcBorders>
              <w:top w:val="nil"/>
              <w:left w:val="single" w:sz="8" w:space="0" w:color="auto"/>
              <w:bottom w:val="nil"/>
              <w:right w:val="nil"/>
            </w:tcBorders>
            <w:noWrap/>
            <w:vAlign w:val="center"/>
          </w:tcPr>
          <w:p w:rsidR="00565FD5" w:rsidRPr="0003655D" w:rsidRDefault="00565FD5" w:rsidP="00AB62A3">
            <w:pPr>
              <w:rPr>
                <w:rFonts w:cs="Tahoma"/>
                <w:color w:val="000000"/>
                <w:sz w:val="12"/>
                <w:szCs w:val="12"/>
                <w:lang w:eastAsia="tr-TR"/>
              </w:rPr>
            </w:pPr>
            <w:r w:rsidRPr="0003655D">
              <w:rPr>
                <w:rFonts w:cs="Tahoma"/>
                <w:color w:val="000000"/>
                <w:sz w:val="12"/>
                <w:szCs w:val="12"/>
                <w:lang w:eastAsia="tr-TR"/>
              </w:rPr>
              <w:t> </w:t>
            </w:r>
          </w:p>
        </w:tc>
        <w:tc>
          <w:tcPr>
            <w:tcW w:w="128" w:type="pct"/>
            <w:tcBorders>
              <w:top w:val="nil"/>
              <w:left w:val="nil"/>
              <w:bottom w:val="nil"/>
              <w:right w:val="nil"/>
            </w:tcBorders>
            <w:noWrap/>
            <w:vAlign w:val="center"/>
          </w:tcPr>
          <w:p w:rsidR="00565FD5" w:rsidRPr="0003655D" w:rsidRDefault="00565FD5" w:rsidP="00AB62A3">
            <w:pPr>
              <w:rPr>
                <w:rFonts w:cs="Tahoma"/>
                <w:color w:val="000000"/>
                <w:sz w:val="12"/>
                <w:szCs w:val="12"/>
                <w:lang w:eastAsia="tr-TR"/>
              </w:rPr>
            </w:pPr>
          </w:p>
        </w:tc>
        <w:tc>
          <w:tcPr>
            <w:tcW w:w="371" w:type="pct"/>
            <w:tcBorders>
              <w:top w:val="nil"/>
              <w:left w:val="nil"/>
              <w:bottom w:val="nil"/>
              <w:right w:val="nil"/>
            </w:tcBorders>
            <w:noWrap/>
            <w:vAlign w:val="center"/>
          </w:tcPr>
          <w:p w:rsidR="00565FD5" w:rsidRPr="0003655D" w:rsidRDefault="00565FD5" w:rsidP="00AB62A3">
            <w:pPr>
              <w:jc w:val="center"/>
              <w:rPr>
                <w:rFonts w:cs="Tahoma"/>
                <w:color w:val="000000"/>
                <w:sz w:val="12"/>
                <w:szCs w:val="12"/>
                <w:lang w:eastAsia="tr-TR"/>
              </w:rPr>
            </w:pP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p>
        </w:tc>
        <w:tc>
          <w:tcPr>
            <w:tcW w:w="535"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p>
        </w:tc>
        <w:tc>
          <w:tcPr>
            <w:tcW w:w="7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p>
        </w:tc>
        <w:tc>
          <w:tcPr>
            <w:tcW w:w="732" w:type="pct"/>
            <w:tcBorders>
              <w:top w:val="nil"/>
              <w:left w:val="nil"/>
              <w:bottom w:val="nil"/>
              <w:right w:val="single" w:sz="8" w:space="0" w:color="auto"/>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 </w:t>
            </w:r>
          </w:p>
        </w:tc>
      </w:tr>
      <w:tr w:rsidR="00565FD5" w:rsidRPr="0003655D" w:rsidTr="00AB62A3">
        <w:trPr>
          <w:trHeight w:hRule="exact" w:val="170"/>
          <w:jc w:val="center"/>
        </w:trPr>
        <w:tc>
          <w:tcPr>
            <w:tcW w:w="902" w:type="pct"/>
            <w:tcBorders>
              <w:top w:val="nil"/>
              <w:left w:val="single" w:sz="8" w:space="0" w:color="auto"/>
              <w:bottom w:val="nil"/>
              <w:right w:val="nil"/>
            </w:tcBorders>
            <w:noWrap/>
            <w:vAlign w:val="center"/>
          </w:tcPr>
          <w:p w:rsidR="00565FD5" w:rsidRPr="0003655D" w:rsidRDefault="00565FD5" w:rsidP="00AB62A3">
            <w:pPr>
              <w:rPr>
                <w:rFonts w:cs="Tahoma"/>
                <w:color w:val="000000"/>
                <w:sz w:val="12"/>
                <w:szCs w:val="12"/>
                <w:lang w:eastAsia="tr-TR"/>
              </w:rPr>
            </w:pPr>
            <w:r w:rsidRPr="0003655D">
              <w:rPr>
                <w:rFonts w:cs="Tahoma"/>
                <w:color w:val="000000"/>
                <w:sz w:val="12"/>
                <w:szCs w:val="12"/>
                <w:lang w:eastAsia="tr-TR"/>
              </w:rPr>
              <w:t xml:space="preserve">   İTHALAT</w:t>
            </w:r>
          </w:p>
        </w:tc>
        <w:tc>
          <w:tcPr>
            <w:tcW w:w="128" w:type="pct"/>
            <w:tcBorders>
              <w:top w:val="nil"/>
              <w:left w:val="nil"/>
              <w:bottom w:val="nil"/>
              <w:right w:val="nil"/>
            </w:tcBorders>
            <w:noWrap/>
            <w:vAlign w:val="center"/>
          </w:tcPr>
          <w:p w:rsidR="00565FD5" w:rsidRPr="0003655D" w:rsidRDefault="00565FD5" w:rsidP="00AB62A3">
            <w:pPr>
              <w:rPr>
                <w:rFonts w:cs="Tahoma"/>
                <w:color w:val="000000"/>
                <w:sz w:val="12"/>
                <w:szCs w:val="12"/>
                <w:lang w:eastAsia="tr-TR"/>
              </w:rPr>
            </w:pPr>
          </w:p>
        </w:tc>
        <w:tc>
          <w:tcPr>
            <w:tcW w:w="371" w:type="pct"/>
            <w:tcBorders>
              <w:top w:val="nil"/>
              <w:left w:val="nil"/>
              <w:bottom w:val="nil"/>
              <w:right w:val="nil"/>
            </w:tcBorders>
            <w:noWrap/>
            <w:vAlign w:val="center"/>
          </w:tcPr>
          <w:p w:rsidR="00565FD5" w:rsidRPr="0003655D" w:rsidRDefault="00565FD5" w:rsidP="00AB62A3">
            <w:pPr>
              <w:jc w:val="center"/>
              <w:rPr>
                <w:rFonts w:cs="Tahoma"/>
                <w:color w:val="000000"/>
                <w:sz w:val="12"/>
                <w:szCs w:val="12"/>
                <w:lang w:eastAsia="tr-TR"/>
              </w:rPr>
            </w:pPr>
            <w:r w:rsidRPr="0003655D">
              <w:rPr>
                <w:rFonts w:cs="Tahoma"/>
                <w:color w:val="000000"/>
                <w:sz w:val="12"/>
                <w:szCs w:val="12"/>
                <w:lang w:eastAsia="tr-TR"/>
              </w:rPr>
              <w:t>GWh</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3 786</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636</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1 144</w:t>
            </w:r>
          </w:p>
        </w:tc>
        <w:tc>
          <w:tcPr>
            <w:tcW w:w="535"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4 556</w:t>
            </w:r>
          </w:p>
        </w:tc>
        <w:tc>
          <w:tcPr>
            <w:tcW w:w="7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4 400</w:t>
            </w:r>
          </w:p>
        </w:tc>
        <w:tc>
          <w:tcPr>
            <w:tcW w:w="732" w:type="pct"/>
            <w:tcBorders>
              <w:top w:val="nil"/>
              <w:left w:val="nil"/>
              <w:bottom w:val="nil"/>
              <w:right w:val="single" w:sz="8" w:space="0" w:color="auto"/>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4 700</w:t>
            </w:r>
          </w:p>
        </w:tc>
      </w:tr>
      <w:tr w:rsidR="00565FD5" w:rsidRPr="0003655D" w:rsidTr="00AB62A3">
        <w:trPr>
          <w:trHeight w:hRule="exact" w:val="170"/>
          <w:jc w:val="center"/>
        </w:trPr>
        <w:tc>
          <w:tcPr>
            <w:tcW w:w="902" w:type="pct"/>
            <w:tcBorders>
              <w:top w:val="nil"/>
              <w:left w:val="single" w:sz="8" w:space="0" w:color="auto"/>
              <w:bottom w:val="nil"/>
              <w:right w:val="nil"/>
            </w:tcBorders>
            <w:noWrap/>
            <w:vAlign w:val="center"/>
          </w:tcPr>
          <w:p w:rsidR="00565FD5" w:rsidRPr="0003655D" w:rsidRDefault="00565FD5" w:rsidP="00AB62A3">
            <w:pPr>
              <w:rPr>
                <w:rFonts w:cs="Tahoma"/>
                <w:color w:val="000000"/>
                <w:sz w:val="12"/>
                <w:szCs w:val="12"/>
                <w:lang w:eastAsia="tr-TR"/>
              </w:rPr>
            </w:pPr>
            <w:r w:rsidRPr="0003655D">
              <w:rPr>
                <w:rFonts w:cs="Tahoma"/>
                <w:color w:val="000000"/>
                <w:sz w:val="12"/>
                <w:szCs w:val="12"/>
                <w:lang w:eastAsia="tr-TR"/>
              </w:rPr>
              <w:t xml:space="preserve">   İHRACAT</w:t>
            </w:r>
          </w:p>
        </w:tc>
        <w:tc>
          <w:tcPr>
            <w:tcW w:w="128" w:type="pct"/>
            <w:tcBorders>
              <w:top w:val="nil"/>
              <w:left w:val="nil"/>
              <w:bottom w:val="nil"/>
              <w:right w:val="nil"/>
            </w:tcBorders>
            <w:noWrap/>
            <w:vAlign w:val="center"/>
          </w:tcPr>
          <w:p w:rsidR="00565FD5" w:rsidRPr="0003655D" w:rsidRDefault="00565FD5" w:rsidP="00AB62A3">
            <w:pPr>
              <w:rPr>
                <w:rFonts w:cs="Tahoma"/>
                <w:color w:val="000000"/>
                <w:sz w:val="12"/>
                <w:szCs w:val="12"/>
                <w:lang w:eastAsia="tr-TR"/>
              </w:rPr>
            </w:pPr>
          </w:p>
        </w:tc>
        <w:tc>
          <w:tcPr>
            <w:tcW w:w="371" w:type="pct"/>
            <w:tcBorders>
              <w:top w:val="nil"/>
              <w:left w:val="nil"/>
              <w:bottom w:val="nil"/>
              <w:right w:val="nil"/>
            </w:tcBorders>
            <w:noWrap/>
            <w:vAlign w:val="center"/>
          </w:tcPr>
          <w:p w:rsidR="00565FD5" w:rsidRPr="0003655D" w:rsidRDefault="00565FD5" w:rsidP="00AB62A3">
            <w:pPr>
              <w:jc w:val="center"/>
              <w:rPr>
                <w:rFonts w:cs="Tahoma"/>
                <w:color w:val="000000"/>
                <w:sz w:val="12"/>
                <w:szCs w:val="12"/>
                <w:lang w:eastAsia="tr-TR"/>
              </w:rPr>
            </w:pPr>
            <w:r w:rsidRPr="0003655D">
              <w:rPr>
                <w:rFonts w:cs="Tahoma"/>
                <w:color w:val="000000"/>
                <w:sz w:val="12"/>
                <w:szCs w:val="12"/>
                <w:lang w:eastAsia="tr-TR"/>
              </w:rPr>
              <w:t>GWh</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413</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1 798</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1 918</w:t>
            </w:r>
          </w:p>
        </w:tc>
        <w:tc>
          <w:tcPr>
            <w:tcW w:w="535"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3 645</w:t>
            </w:r>
          </w:p>
        </w:tc>
        <w:tc>
          <w:tcPr>
            <w:tcW w:w="7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2 900</w:t>
            </w:r>
          </w:p>
        </w:tc>
        <w:tc>
          <w:tcPr>
            <w:tcW w:w="732" w:type="pct"/>
            <w:tcBorders>
              <w:top w:val="nil"/>
              <w:left w:val="nil"/>
              <w:bottom w:val="nil"/>
              <w:right w:val="single" w:sz="8" w:space="0" w:color="auto"/>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3 200</w:t>
            </w:r>
          </w:p>
        </w:tc>
      </w:tr>
      <w:tr w:rsidR="00565FD5" w:rsidRPr="0003655D" w:rsidTr="00AB62A3">
        <w:trPr>
          <w:trHeight w:hRule="exact" w:val="57"/>
          <w:jc w:val="center"/>
        </w:trPr>
        <w:tc>
          <w:tcPr>
            <w:tcW w:w="902" w:type="pct"/>
            <w:tcBorders>
              <w:top w:val="nil"/>
              <w:left w:val="single" w:sz="8" w:space="0" w:color="auto"/>
              <w:bottom w:val="nil"/>
              <w:right w:val="nil"/>
            </w:tcBorders>
            <w:noWrap/>
            <w:vAlign w:val="center"/>
          </w:tcPr>
          <w:p w:rsidR="00565FD5" w:rsidRPr="0003655D" w:rsidRDefault="00565FD5" w:rsidP="00AB62A3">
            <w:pPr>
              <w:rPr>
                <w:rFonts w:cs="Tahoma"/>
                <w:color w:val="000000"/>
                <w:sz w:val="12"/>
                <w:szCs w:val="12"/>
                <w:lang w:eastAsia="tr-TR"/>
              </w:rPr>
            </w:pPr>
            <w:r w:rsidRPr="0003655D">
              <w:rPr>
                <w:rFonts w:cs="Tahoma"/>
                <w:color w:val="000000"/>
                <w:sz w:val="12"/>
                <w:szCs w:val="12"/>
                <w:lang w:eastAsia="tr-TR"/>
              </w:rPr>
              <w:t> </w:t>
            </w:r>
          </w:p>
        </w:tc>
        <w:tc>
          <w:tcPr>
            <w:tcW w:w="128" w:type="pct"/>
            <w:tcBorders>
              <w:top w:val="nil"/>
              <w:left w:val="nil"/>
              <w:bottom w:val="nil"/>
              <w:right w:val="nil"/>
            </w:tcBorders>
            <w:noWrap/>
            <w:vAlign w:val="center"/>
          </w:tcPr>
          <w:p w:rsidR="00565FD5" w:rsidRPr="0003655D" w:rsidRDefault="00565FD5" w:rsidP="00AB62A3">
            <w:pPr>
              <w:rPr>
                <w:rFonts w:cs="Tahoma"/>
                <w:color w:val="000000"/>
                <w:sz w:val="12"/>
                <w:szCs w:val="12"/>
                <w:lang w:eastAsia="tr-TR"/>
              </w:rPr>
            </w:pPr>
          </w:p>
        </w:tc>
        <w:tc>
          <w:tcPr>
            <w:tcW w:w="371" w:type="pct"/>
            <w:tcBorders>
              <w:top w:val="nil"/>
              <w:left w:val="nil"/>
              <w:bottom w:val="nil"/>
              <w:right w:val="nil"/>
            </w:tcBorders>
            <w:noWrap/>
            <w:vAlign w:val="center"/>
          </w:tcPr>
          <w:p w:rsidR="00565FD5" w:rsidRPr="0003655D" w:rsidRDefault="00565FD5" w:rsidP="00AB62A3">
            <w:pPr>
              <w:jc w:val="center"/>
              <w:rPr>
                <w:rFonts w:cs="Tahoma"/>
                <w:color w:val="000000"/>
                <w:sz w:val="12"/>
                <w:szCs w:val="12"/>
                <w:lang w:eastAsia="tr-TR"/>
              </w:rPr>
            </w:pP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p>
        </w:tc>
        <w:tc>
          <w:tcPr>
            <w:tcW w:w="535"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p>
        </w:tc>
        <w:tc>
          <w:tcPr>
            <w:tcW w:w="7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p>
        </w:tc>
        <w:tc>
          <w:tcPr>
            <w:tcW w:w="732" w:type="pct"/>
            <w:tcBorders>
              <w:top w:val="nil"/>
              <w:left w:val="nil"/>
              <w:bottom w:val="nil"/>
              <w:right w:val="single" w:sz="8" w:space="0" w:color="auto"/>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 </w:t>
            </w:r>
          </w:p>
        </w:tc>
      </w:tr>
      <w:tr w:rsidR="00565FD5" w:rsidRPr="0003655D" w:rsidTr="00AB62A3">
        <w:trPr>
          <w:trHeight w:hRule="exact" w:val="170"/>
          <w:jc w:val="center"/>
        </w:trPr>
        <w:tc>
          <w:tcPr>
            <w:tcW w:w="902" w:type="pct"/>
            <w:tcBorders>
              <w:top w:val="nil"/>
              <w:left w:val="single" w:sz="8" w:space="0" w:color="auto"/>
              <w:bottom w:val="nil"/>
              <w:right w:val="nil"/>
            </w:tcBorders>
            <w:noWrap/>
            <w:vAlign w:val="center"/>
          </w:tcPr>
          <w:p w:rsidR="00565FD5" w:rsidRPr="0003655D" w:rsidRDefault="00565FD5" w:rsidP="00AB62A3">
            <w:pPr>
              <w:rPr>
                <w:rFonts w:cs="Tahoma"/>
                <w:color w:val="000000"/>
                <w:sz w:val="12"/>
                <w:szCs w:val="12"/>
                <w:lang w:eastAsia="tr-TR"/>
              </w:rPr>
            </w:pPr>
            <w:r w:rsidRPr="0003655D">
              <w:rPr>
                <w:rFonts w:cs="Tahoma"/>
                <w:color w:val="000000"/>
                <w:sz w:val="12"/>
                <w:szCs w:val="12"/>
                <w:lang w:eastAsia="tr-TR"/>
              </w:rPr>
              <w:t xml:space="preserve">   TÜKETİM</w:t>
            </w:r>
          </w:p>
        </w:tc>
        <w:tc>
          <w:tcPr>
            <w:tcW w:w="128" w:type="pct"/>
            <w:tcBorders>
              <w:top w:val="nil"/>
              <w:left w:val="nil"/>
              <w:bottom w:val="nil"/>
              <w:right w:val="nil"/>
            </w:tcBorders>
            <w:noWrap/>
            <w:vAlign w:val="center"/>
          </w:tcPr>
          <w:p w:rsidR="00565FD5" w:rsidRPr="0003655D" w:rsidRDefault="00565FD5" w:rsidP="00AB62A3">
            <w:pPr>
              <w:rPr>
                <w:rFonts w:cs="Tahoma"/>
                <w:color w:val="000000"/>
                <w:sz w:val="12"/>
                <w:szCs w:val="12"/>
                <w:lang w:eastAsia="tr-TR"/>
              </w:rPr>
            </w:pPr>
          </w:p>
        </w:tc>
        <w:tc>
          <w:tcPr>
            <w:tcW w:w="371" w:type="pct"/>
            <w:tcBorders>
              <w:top w:val="nil"/>
              <w:left w:val="nil"/>
              <w:bottom w:val="nil"/>
              <w:right w:val="nil"/>
            </w:tcBorders>
            <w:noWrap/>
            <w:vAlign w:val="center"/>
          </w:tcPr>
          <w:p w:rsidR="00565FD5" w:rsidRPr="0003655D" w:rsidRDefault="00565FD5" w:rsidP="00AB62A3">
            <w:pPr>
              <w:jc w:val="center"/>
              <w:rPr>
                <w:rFonts w:cs="Tahoma"/>
                <w:color w:val="000000"/>
                <w:sz w:val="12"/>
                <w:szCs w:val="12"/>
                <w:lang w:eastAsia="tr-TR"/>
              </w:rPr>
            </w:pPr>
            <w:r w:rsidRPr="0003655D">
              <w:rPr>
                <w:rFonts w:cs="Tahoma"/>
                <w:color w:val="000000"/>
                <w:sz w:val="12"/>
                <w:szCs w:val="12"/>
                <w:lang w:eastAsia="tr-TR"/>
              </w:rPr>
              <w:t>GWh</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128 295</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160 794</w:t>
            </w:r>
          </w:p>
        </w:tc>
        <w:tc>
          <w:tcPr>
            <w:tcW w:w="5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210 434</w:t>
            </w:r>
          </w:p>
        </w:tc>
        <w:tc>
          <w:tcPr>
            <w:tcW w:w="535"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230 306</w:t>
            </w:r>
          </w:p>
        </w:tc>
        <w:tc>
          <w:tcPr>
            <w:tcW w:w="733" w:type="pct"/>
            <w:tcBorders>
              <w:top w:val="nil"/>
              <w:left w:val="nil"/>
              <w:bottom w:val="nil"/>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246 500</w:t>
            </w:r>
          </w:p>
        </w:tc>
        <w:tc>
          <w:tcPr>
            <w:tcW w:w="732" w:type="pct"/>
            <w:tcBorders>
              <w:top w:val="nil"/>
              <w:left w:val="nil"/>
              <w:bottom w:val="nil"/>
              <w:right w:val="single" w:sz="8" w:space="0" w:color="auto"/>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263 000</w:t>
            </w:r>
          </w:p>
        </w:tc>
      </w:tr>
      <w:tr w:rsidR="00565FD5" w:rsidRPr="0003655D" w:rsidTr="00AB62A3">
        <w:trPr>
          <w:trHeight w:hRule="exact" w:val="170"/>
          <w:jc w:val="center"/>
        </w:trPr>
        <w:tc>
          <w:tcPr>
            <w:tcW w:w="1030" w:type="pct"/>
            <w:gridSpan w:val="2"/>
            <w:tcBorders>
              <w:top w:val="nil"/>
              <w:left w:val="single" w:sz="8" w:space="0" w:color="auto"/>
              <w:bottom w:val="single" w:sz="8" w:space="0" w:color="auto"/>
              <w:right w:val="nil"/>
            </w:tcBorders>
            <w:noWrap/>
            <w:vAlign w:val="center"/>
          </w:tcPr>
          <w:p w:rsidR="00565FD5" w:rsidRPr="0003655D" w:rsidRDefault="00565FD5" w:rsidP="00AB62A3">
            <w:pPr>
              <w:rPr>
                <w:rFonts w:cs="Tahoma"/>
                <w:color w:val="000000"/>
                <w:sz w:val="12"/>
                <w:szCs w:val="12"/>
                <w:lang w:eastAsia="tr-TR"/>
              </w:rPr>
            </w:pPr>
            <w:r w:rsidRPr="0003655D">
              <w:rPr>
                <w:rFonts w:cs="Tahoma"/>
                <w:color w:val="000000"/>
                <w:sz w:val="12"/>
                <w:szCs w:val="12"/>
                <w:lang w:eastAsia="tr-TR"/>
              </w:rPr>
              <w:t xml:space="preserve">   Kişi Başına Tüketim</w:t>
            </w:r>
          </w:p>
        </w:tc>
        <w:tc>
          <w:tcPr>
            <w:tcW w:w="371" w:type="pct"/>
            <w:tcBorders>
              <w:top w:val="nil"/>
              <w:left w:val="nil"/>
              <w:bottom w:val="single" w:sz="8" w:space="0" w:color="auto"/>
              <w:right w:val="nil"/>
            </w:tcBorders>
            <w:noWrap/>
            <w:vAlign w:val="center"/>
          </w:tcPr>
          <w:p w:rsidR="00565FD5" w:rsidRPr="0003655D" w:rsidRDefault="00565FD5" w:rsidP="00AB62A3">
            <w:pPr>
              <w:jc w:val="center"/>
              <w:rPr>
                <w:rFonts w:cs="Tahoma"/>
                <w:color w:val="000000"/>
                <w:sz w:val="12"/>
                <w:szCs w:val="12"/>
                <w:lang w:eastAsia="tr-TR"/>
              </w:rPr>
            </w:pPr>
            <w:r w:rsidRPr="0003655D">
              <w:rPr>
                <w:rFonts w:cs="Tahoma"/>
                <w:color w:val="000000"/>
                <w:sz w:val="12"/>
                <w:szCs w:val="12"/>
                <w:lang w:eastAsia="tr-TR"/>
              </w:rPr>
              <w:t>kWh</w:t>
            </w:r>
          </w:p>
        </w:tc>
        <w:tc>
          <w:tcPr>
            <w:tcW w:w="533" w:type="pct"/>
            <w:tcBorders>
              <w:top w:val="nil"/>
              <w:left w:val="nil"/>
              <w:bottom w:val="single" w:sz="8" w:space="0" w:color="auto"/>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1 997</w:t>
            </w:r>
          </w:p>
        </w:tc>
        <w:tc>
          <w:tcPr>
            <w:tcW w:w="533" w:type="pct"/>
            <w:tcBorders>
              <w:top w:val="nil"/>
              <w:left w:val="nil"/>
              <w:bottom w:val="single" w:sz="8" w:space="0" w:color="auto"/>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2 345</w:t>
            </w:r>
          </w:p>
        </w:tc>
        <w:tc>
          <w:tcPr>
            <w:tcW w:w="533" w:type="pct"/>
            <w:tcBorders>
              <w:top w:val="nil"/>
              <w:left w:val="nil"/>
              <w:bottom w:val="single" w:sz="8" w:space="0" w:color="auto"/>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2 883</w:t>
            </w:r>
          </w:p>
        </w:tc>
        <w:tc>
          <w:tcPr>
            <w:tcW w:w="535" w:type="pct"/>
            <w:tcBorders>
              <w:top w:val="nil"/>
              <w:left w:val="nil"/>
              <w:bottom w:val="single" w:sz="8" w:space="0" w:color="auto"/>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3 114</w:t>
            </w:r>
          </w:p>
        </w:tc>
        <w:tc>
          <w:tcPr>
            <w:tcW w:w="733" w:type="pct"/>
            <w:tcBorders>
              <w:top w:val="nil"/>
              <w:left w:val="nil"/>
              <w:bottom w:val="single" w:sz="8" w:space="0" w:color="auto"/>
              <w:right w:val="nil"/>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3 292</w:t>
            </w:r>
          </w:p>
        </w:tc>
        <w:tc>
          <w:tcPr>
            <w:tcW w:w="732" w:type="pct"/>
            <w:tcBorders>
              <w:top w:val="nil"/>
              <w:left w:val="nil"/>
              <w:bottom w:val="single" w:sz="8" w:space="0" w:color="auto"/>
              <w:right w:val="single" w:sz="8" w:space="0" w:color="auto"/>
            </w:tcBorders>
            <w:noWrap/>
            <w:vAlign w:val="center"/>
          </w:tcPr>
          <w:p w:rsidR="00565FD5" w:rsidRPr="0003655D" w:rsidRDefault="00565FD5" w:rsidP="00AB62A3">
            <w:pPr>
              <w:jc w:val="right"/>
              <w:rPr>
                <w:rFonts w:cs="Tahoma"/>
                <w:color w:val="000000"/>
                <w:sz w:val="12"/>
                <w:szCs w:val="12"/>
                <w:lang w:eastAsia="tr-TR"/>
              </w:rPr>
            </w:pPr>
            <w:r w:rsidRPr="0003655D">
              <w:rPr>
                <w:rFonts w:cs="Tahoma"/>
                <w:color w:val="000000"/>
                <w:sz w:val="12"/>
                <w:szCs w:val="12"/>
                <w:lang w:eastAsia="tr-TR"/>
              </w:rPr>
              <w:t>3 469</w:t>
            </w:r>
          </w:p>
        </w:tc>
      </w:tr>
    </w:tbl>
    <w:p w:rsidR="00565FD5" w:rsidRPr="00CE0087" w:rsidRDefault="00565FD5" w:rsidP="00565FD5">
      <w:pPr>
        <w:rPr>
          <w:rFonts w:cs="Tahoma"/>
          <w:color w:val="000000"/>
          <w:sz w:val="12"/>
          <w:szCs w:val="12"/>
          <w:lang w:eastAsia="tr-TR"/>
        </w:rPr>
      </w:pPr>
      <w:r w:rsidRPr="00CE0087">
        <w:rPr>
          <w:rFonts w:cs="Tahoma"/>
          <w:color w:val="000000"/>
          <w:sz w:val="12"/>
          <w:szCs w:val="12"/>
          <w:lang w:eastAsia="tr-TR"/>
        </w:rPr>
        <w:t>(1) Gerçekleşme tahmini</w:t>
      </w:r>
    </w:p>
    <w:p w:rsidR="00565FD5" w:rsidRPr="00CE0087" w:rsidRDefault="00565FD5" w:rsidP="00565FD5">
      <w:pPr>
        <w:rPr>
          <w:rFonts w:cs="Tahoma"/>
          <w:color w:val="000000"/>
          <w:sz w:val="12"/>
          <w:szCs w:val="12"/>
          <w:lang w:eastAsia="tr-TR"/>
        </w:rPr>
      </w:pPr>
      <w:r w:rsidRPr="00CE0087">
        <w:rPr>
          <w:rFonts w:cs="Tahoma"/>
          <w:color w:val="000000"/>
          <w:sz w:val="12"/>
          <w:szCs w:val="12"/>
          <w:lang w:eastAsia="tr-TR"/>
        </w:rPr>
        <w:t xml:space="preserve">(2) </w:t>
      </w:r>
      <w:r>
        <w:rPr>
          <w:rFonts w:cs="Tahoma"/>
          <w:color w:val="000000"/>
          <w:sz w:val="12"/>
          <w:szCs w:val="12"/>
          <w:lang w:eastAsia="tr-TR"/>
        </w:rPr>
        <w:t>Program</w:t>
      </w:r>
    </w:p>
    <w:p w:rsidR="00565FD5" w:rsidRPr="00CE0087" w:rsidRDefault="00565FD5" w:rsidP="00565FD5">
      <w:pPr>
        <w:rPr>
          <w:rFonts w:cs="Tahoma"/>
          <w:color w:val="000000"/>
          <w:sz w:val="12"/>
          <w:szCs w:val="12"/>
          <w:lang w:eastAsia="tr-TR"/>
        </w:rPr>
      </w:pPr>
      <w:r w:rsidRPr="00CE0087">
        <w:rPr>
          <w:rFonts w:cs="Tahoma"/>
          <w:color w:val="000000"/>
          <w:sz w:val="12"/>
          <w:szCs w:val="12"/>
          <w:lang w:eastAsia="tr-TR"/>
        </w:rPr>
        <w:t xml:space="preserve">(3) Jeotermal dahil </w:t>
      </w:r>
    </w:p>
    <w:p w:rsidR="00565FD5" w:rsidRPr="00CE0087" w:rsidRDefault="00565FD5" w:rsidP="00565FD5">
      <w:pPr>
        <w:rPr>
          <w:rFonts w:cs="Tahoma"/>
          <w:color w:val="000000"/>
          <w:sz w:val="12"/>
          <w:szCs w:val="12"/>
          <w:lang w:eastAsia="tr-TR"/>
        </w:rPr>
      </w:pPr>
      <w:r w:rsidRPr="00CE0087">
        <w:rPr>
          <w:rFonts w:cs="Tahoma"/>
          <w:color w:val="000000"/>
          <w:sz w:val="12"/>
          <w:szCs w:val="12"/>
          <w:lang w:eastAsia="tr-TR"/>
        </w:rPr>
        <w:t>(4) Rüzgâr dahil</w:t>
      </w:r>
    </w:p>
    <w:p w:rsidR="00565FD5" w:rsidRPr="00CE0087" w:rsidRDefault="00565FD5" w:rsidP="00565FD5">
      <w:pPr>
        <w:tabs>
          <w:tab w:val="left" w:pos="3629"/>
          <w:tab w:val="left" w:pos="4398"/>
          <w:tab w:val="left" w:pos="5170"/>
          <w:tab w:val="left" w:pos="6228"/>
        </w:tabs>
        <w:spacing w:after="240"/>
        <w:rPr>
          <w:rFonts w:cs="Tahoma"/>
          <w:sz w:val="12"/>
          <w:szCs w:val="12"/>
          <w:lang w:eastAsia="tr-TR"/>
        </w:rPr>
      </w:pPr>
      <w:r w:rsidRPr="00CE0087">
        <w:rPr>
          <w:rFonts w:cs="Tahoma"/>
          <w:color w:val="000000"/>
          <w:sz w:val="12"/>
          <w:szCs w:val="12"/>
          <w:lang w:eastAsia="tr-TR"/>
        </w:rPr>
        <w:t>MW: Milyon watt; GWh: Milyon kilowatt-saat</w:t>
      </w:r>
    </w:p>
    <w:p w:rsidR="00565FD5" w:rsidRPr="00CE0087" w:rsidRDefault="00565FD5" w:rsidP="00565FD5">
      <w:pPr>
        <w:spacing w:after="240"/>
        <w:rPr>
          <w:rFonts w:cs="Tahoma"/>
          <w:color w:val="000000"/>
          <w:sz w:val="12"/>
          <w:szCs w:val="12"/>
          <w:lang w:eastAsia="tr-TR"/>
        </w:rPr>
        <w:sectPr w:rsidR="00565FD5" w:rsidRPr="00CE0087" w:rsidSect="0003655D">
          <w:pgSz w:w="11906" w:h="16838" w:code="9"/>
          <w:pgMar w:top="2948" w:right="2381" w:bottom="2948" w:left="2381" w:header="2268" w:footer="2268" w:gutter="0"/>
          <w:cols w:space="708"/>
          <w:docGrid w:linePitch="360"/>
        </w:sectPr>
      </w:pPr>
    </w:p>
    <w:p w:rsidR="00565FD5" w:rsidRPr="00877103" w:rsidRDefault="00565FD5" w:rsidP="00565FD5">
      <w:pPr>
        <w:rPr>
          <w:rFonts w:cs="Tahoma"/>
          <w:color w:val="000000"/>
          <w:sz w:val="14"/>
          <w:szCs w:val="14"/>
          <w:lang w:eastAsia="tr-TR"/>
        </w:rPr>
      </w:pPr>
    </w:p>
    <w:p w:rsidR="00565FD5" w:rsidRPr="00250B7F" w:rsidRDefault="00565FD5" w:rsidP="00565FD5">
      <w:pPr>
        <w:pStyle w:val="ResimYazs"/>
        <w:rPr>
          <w:rFonts w:cs="Tahoma"/>
          <w:color w:val="000000"/>
          <w:lang w:eastAsia="tr-TR"/>
        </w:rPr>
      </w:pPr>
      <w:bookmarkStart w:id="1557" w:name="_Toc338606012"/>
      <w:bookmarkStart w:id="1558" w:name="_Toc338711787"/>
      <w:r>
        <w:t xml:space="preserve">TABLO IV: </w:t>
      </w:r>
      <w:fldSimple w:instr=" SEQ TABLO_IV: \* ARABIC ">
        <w:r>
          <w:rPr>
            <w:noProof/>
          </w:rPr>
          <w:t>17</w:t>
        </w:r>
      </w:fldSimple>
      <w:r w:rsidRPr="00250B7F">
        <w:rPr>
          <w:rFonts w:cs="Tahoma"/>
          <w:bCs/>
          <w:color w:val="000000"/>
          <w:lang w:eastAsia="tr-TR"/>
        </w:rPr>
        <w:t>- Elektrik Enerjisi Üretiminin Enerji Kaynaklarına Göre Dağılımı</w:t>
      </w:r>
      <w:bookmarkEnd w:id="1557"/>
      <w:bookmarkEnd w:id="1558"/>
    </w:p>
    <w:tbl>
      <w:tblPr>
        <w:tblW w:w="5000" w:type="pct"/>
        <w:tblCellMar>
          <w:left w:w="70" w:type="dxa"/>
          <w:right w:w="70" w:type="dxa"/>
        </w:tblCellMar>
        <w:tblLook w:val="00A0"/>
      </w:tblPr>
      <w:tblGrid>
        <w:gridCol w:w="919"/>
        <w:gridCol w:w="708"/>
        <w:gridCol w:w="436"/>
        <w:gridCol w:w="660"/>
        <w:gridCol w:w="439"/>
        <w:gridCol w:w="692"/>
        <w:gridCol w:w="341"/>
        <w:gridCol w:w="774"/>
        <w:gridCol w:w="437"/>
        <w:gridCol w:w="667"/>
        <w:gridCol w:w="406"/>
        <w:gridCol w:w="774"/>
        <w:gridCol w:w="437"/>
        <w:gridCol w:w="660"/>
        <w:gridCol w:w="437"/>
        <w:gridCol w:w="692"/>
        <w:gridCol w:w="423"/>
        <w:gridCol w:w="692"/>
        <w:gridCol w:w="488"/>
      </w:tblGrid>
      <w:tr w:rsidR="00565FD5" w:rsidRPr="00C91E15" w:rsidTr="00AB62A3">
        <w:trPr>
          <w:trHeight w:val="210"/>
        </w:trPr>
        <w:tc>
          <w:tcPr>
            <w:tcW w:w="415" w:type="pct"/>
            <w:tcBorders>
              <w:top w:val="single" w:sz="8" w:space="0" w:color="auto"/>
              <w:left w:val="single" w:sz="8" w:space="0" w:color="auto"/>
              <w:bottom w:val="nil"/>
              <w:right w:val="nil"/>
            </w:tcBorders>
            <w:noWrap/>
            <w:vAlign w:val="bottom"/>
          </w:tcPr>
          <w:p w:rsidR="00565FD5" w:rsidRPr="00C91E15" w:rsidRDefault="00565FD5" w:rsidP="00AB62A3">
            <w:pPr>
              <w:rPr>
                <w:rFonts w:cs="Tahoma"/>
                <w:color w:val="000000"/>
                <w:sz w:val="14"/>
                <w:szCs w:val="14"/>
                <w:lang w:eastAsia="tr-TR"/>
              </w:rPr>
            </w:pPr>
          </w:p>
        </w:tc>
        <w:tc>
          <w:tcPr>
            <w:tcW w:w="320" w:type="pct"/>
            <w:tcBorders>
              <w:top w:val="single" w:sz="8" w:space="0" w:color="auto"/>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 </w:t>
            </w:r>
          </w:p>
        </w:tc>
        <w:tc>
          <w:tcPr>
            <w:tcW w:w="197" w:type="pct"/>
            <w:tcBorders>
              <w:top w:val="single" w:sz="8" w:space="0" w:color="auto"/>
              <w:left w:val="nil"/>
              <w:bottom w:val="nil"/>
              <w:right w:val="nil"/>
            </w:tcBorders>
            <w:noWrap/>
            <w:vAlign w:val="bottom"/>
          </w:tcPr>
          <w:p w:rsidR="00565FD5" w:rsidRPr="00C91E15" w:rsidRDefault="00565FD5" w:rsidP="00AB62A3">
            <w:pPr>
              <w:rPr>
                <w:rFonts w:cs="Tahoma"/>
                <w:color w:val="000000"/>
                <w:sz w:val="14"/>
                <w:szCs w:val="14"/>
                <w:lang w:eastAsia="tr-TR"/>
              </w:rPr>
            </w:pPr>
            <w:r w:rsidRPr="00C91E15">
              <w:rPr>
                <w:rFonts w:cs="Tahoma"/>
                <w:color w:val="000000"/>
                <w:sz w:val="14"/>
                <w:szCs w:val="14"/>
                <w:lang w:eastAsia="tr-TR"/>
              </w:rPr>
              <w:t> </w:t>
            </w:r>
          </w:p>
        </w:tc>
        <w:tc>
          <w:tcPr>
            <w:tcW w:w="298" w:type="pct"/>
            <w:tcBorders>
              <w:top w:val="single" w:sz="8" w:space="0" w:color="auto"/>
              <w:left w:val="nil"/>
              <w:bottom w:val="nil"/>
              <w:right w:val="nil"/>
            </w:tcBorders>
            <w:noWrap/>
            <w:vAlign w:val="bottom"/>
          </w:tcPr>
          <w:p w:rsidR="00565FD5" w:rsidRPr="00C91E15" w:rsidRDefault="00565FD5" w:rsidP="00AB62A3">
            <w:pPr>
              <w:rPr>
                <w:rFonts w:cs="Tahoma"/>
                <w:color w:val="000000"/>
                <w:sz w:val="14"/>
                <w:szCs w:val="14"/>
                <w:lang w:eastAsia="tr-TR"/>
              </w:rPr>
            </w:pPr>
            <w:r w:rsidRPr="00C91E15">
              <w:rPr>
                <w:rFonts w:cs="Tahoma"/>
                <w:color w:val="000000"/>
                <w:sz w:val="14"/>
                <w:szCs w:val="14"/>
                <w:lang w:eastAsia="tr-TR"/>
              </w:rPr>
              <w:t> </w:t>
            </w:r>
          </w:p>
        </w:tc>
        <w:tc>
          <w:tcPr>
            <w:tcW w:w="198" w:type="pct"/>
            <w:tcBorders>
              <w:top w:val="single" w:sz="8" w:space="0" w:color="auto"/>
              <w:left w:val="nil"/>
              <w:bottom w:val="nil"/>
              <w:right w:val="nil"/>
            </w:tcBorders>
            <w:noWrap/>
            <w:vAlign w:val="bottom"/>
          </w:tcPr>
          <w:p w:rsidR="00565FD5" w:rsidRPr="00C91E15" w:rsidRDefault="00565FD5" w:rsidP="00AB62A3">
            <w:pPr>
              <w:rPr>
                <w:rFonts w:cs="Tahoma"/>
                <w:color w:val="000000"/>
                <w:sz w:val="14"/>
                <w:szCs w:val="14"/>
                <w:lang w:eastAsia="tr-TR"/>
              </w:rPr>
            </w:pPr>
            <w:r w:rsidRPr="00C91E15">
              <w:rPr>
                <w:rFonts w:cs="Tahoma"/>
                <w:color w:val="000000"/>
                <w:sz w:val="14"/>
                <w:szCs w:val="14"/>
                <w:lang w:eastAsia="tr-TR"/>
              </w:rPr>
              <w:t> </w:t>
            </w:r>
          </w:p>
        </w:tc>
        <w:tc>
          <w:tcPr>
            <w:tcW w:w="312" w:type="pct"/>
            <w:tcBorders>
              <w:top w:val="single" w:sz="8" w:space="0" w:color="auto"/>
              <w:left w:val="nil"/>
              <w:bottom w:val="nil"/>
              <w:right w:val="nil"/>
            </w:tcBorders>
            <w:noWrap/>
            <w:vAlign w:val="bottom"/>
          </w:tcPr>
          <w:p w:rsidR="00565FD5" w:rsidRPr="00C91E15" w:rsidRDefault="00565FD5" w:rsidP="00AB62A3">
            <w:pPr>
              <w:rPr>
                <w:rFonts w:cs="Tahoma"/>
                <w:color w:val="000000"/>
                <w:sz w:val="14"/>
                <w:szCs w:val="14"/>
                <w:lang w:eastAsia="tr-TR"/>
              </w:rPr>
            </w:pPr>
            <w:r w:rsidRPr="00C91E15">
              <w:rPr>
                <w:rFonts w:cs="Tahoma"/>
                <w:color w:val="000000"/>
                <w:sz w:val="14"/>
                <w:szCs w:val="14"/>
                <w:lang w:eastAsia="tr-TR"/>
              </w:rPr>
              <w:t> </w:t>
            </w:r>
          </w:p>
        </w:tc>
        <w:tc>
          <w:tcPr>
            <w:tcW w:w="153" w:type="pct"/>
            <w:tcBorders>
              <w:top w:val="single" w:sz="8" w:space="0" w:color="auto"/>
              <w:left w:val="nil"/>
              <w:bottom w:val="nil"/>
              <w:right w:val="nil"/>
            </w:tcBorders>
            <w:noWrap/>
            <w:vAlign w:val="bottom"/>
          </w:tcPr>
          <w:p w:rsidR="00565FD5" w:rsidRPr="00C91E15" w:rsidRDefault="00565FD5" w:rsidP="00AB62A3">
            <w:pPr>
              <w:rPr>
                <w:rFonts w:cs="Tahoma"/>
                <w:color w:val="000000"/>
                <w:sz w:val="14"/>
                <w:szCs w:val="14"/>
                <w:lang w:eastAsia="tr-TR"/>
              </w:rPr>
            </w:pPr>
            <w:r w:rsidRPr="00C91E15">
              <w:rPr>
                <w:rFonts w:cs="Tahoma"/>
                <w:color w:val="000000"/>
                <w:sz w:val="14"/>
                <w:szCs w:val="14"/>
                <w:lang w:eastAsia="tr-TR"/>
              </w:rPr>
              <w:t> </w:t>
            </w:r>
          </w:p>
        </w:tc>
        <w:tc>
          <w:tcPr>
            <w:tcW w:w="546" w:type="pct"/>
            <w:gridSpan w:val="2"/>
            <w:tcBorders>
              <w:top w:val="single" w:sz="8" w:space="0" w:color="auto"/>
              <w:left w:val="nil"/>
              <w:bottom w:val="nil"/>
              <w:right w:val="nil"/>
            </w:tcBorders>
            <w:noWrap/>
            <w:vAlign w:val="bottom"/>
          </w:tcPr>
          <w:p w:rsidR="00565FD5" w:rsidRPr="00C91E15" w:rsidRDefault="00565FD5" w:rsidP="00AB62A3">
            <w:pPr>
              <w:jc w:val="center"/>
              <w:rPr>
                <w:rFonts w:cs="Tahoma"/>
                <w:b/>
                <w:bCs/>
                <w:sz w:val="14"/>
                <w:szCs w:val="14"/>
                <w:lang w:eastAsia="tr-TR"/>
              </w:rPr>
            </w:pPr>
            <w:r w:rsidRPr="00C91E15">
              <w:rPr>
                <w:rFonts w:cs="Tahoma"/>
                <w:b/>
                <w:bCs/>
                <w:sz w:val="14"/>
                <w:szCs w:val="14"/>
                <w:lang w:eastAsia="tr-TR"/>
              </w:rPr>
              <w:t> </w:t>
            </w:r>
          </w:p>
        </w:tc>
        <w:tc>
          <w:tcPr>
            <w:tcW w:w="484" w:type="pct"/>
            <w:gridSpan w:val="2"/>
            <w:tcBorders>
              <w:top w:val="single" w:sz="8" w:space="0" w:color="auto"/>
              <w:left w:val="nil"/>
              <w:bottom w:val="nil"/>
              <w:right w:val="nil"/>
            </w:tcBorders>
            <w:noWrap/>
            <w:vAlign w:val="bottom"/>
          </w:tcPr>
          <w:p w:rsidR="00565FD5" w:rsidRPr="00C91E15" w:rsidRDefault="00565FD5" w:rsidP="00AB62A3">
            <w:pPr>
              <w:jc w:val="center"/>
              <w:rPr>
                <w:rFonts w:cs="Tahoma"/>
                <w:b/>
                <w:bCs/>
                <w:color w:val="000000"/>
                <w:sz w:val="14"/>
                <w:szCs w:val="14"/>
                <w:lang w:eastAsia="tr-TR"/>
              </w:rPr>
            </w:pPr>
            <w:r w:rsidRPr="00C91E15">
              <w:rPr>
                <w:rFonts w:cs="Tahoma"/>
                <w:b/>
                <w:bCs/>
                <w:color w:val="000000"/>
                <w:sz w:val="14"/>
                <w:szCs w:val="14"/>
                <w:lang w:eastAsia="tr-TR"/>
              </w:rPr>
              <w:t xml:space="preserve">     Biyogaz-atık</w:t>
            </w:r>
          </w:p>
        </w:tc>
        <w:tc>
          <w:tcPr>
            <w:tcW w:w="349" w:type="pct"/>
            <w:tcBorders>
              <w:top w:val="single" w:sz="8" w:space="0" w:color="auto"/>
              <w:left w:val="nil"/>
              <w:bottom w:val="nil"/>
              <w:right w:val="nil"/>
            </w:tcBorders>
            <w:noWrap/>
            <w:vAlign w:val="bottom"/>
          </w:tcPr>
          <w:p w:rsidR="00565FD5" w:rsidRPr="00C91E15" w:rsidRDefault="00565FD5" w:rsidP="00AB62A3">
            <w:pPr>
              <w:rPr>
                <w:rFonts w:cs="Tahoma"/>
                <w:color w:val="000000"/>
                <w:sz w:val="14"/>
                <w:szCs w:val="14"/>
                <w:lang w:eastAsia="tr-TR"/>
              </w:rPr>
            </w:pPr>
            <w:r w:rsidRPr="00C91E15">
              <w:rPr>
                <w:rFonts w:cs="Tahoma"/>
                <w:color w:val="000000"/>
                <w:sz w:val="14"/>
                <w:szCs w:val="14"/>
                <w:lang w:eastAsia="tr-TR"/>
              </w:rPr>
              <w:t> </w:t>
            </w:r>
          </w:p>
        </w:tc>
        <w:tc>
          <w:tcPr>
            <w:tcW w:w="197" w:type="pct"/>
            <w:tcBorders>
              <w:top w:val="single" w:sz="8" w:space="0" w:color="auto"/>
              <w:left w:val="nil"/>
              <w:bottom w:val="nil"/>
              <w:right w:val="nil"/>
            </w:tcBorders>
            <w:noWrap/>
            <w:vAlign w:val="bottom"/>
          </w:tcPr>
          <w:p w:rsidR="00565FD5" w:rsidRPr="00C91E15" w:rsidRDefault="00565FD5" w:rsidP="00AB62A3">
            <w:pPr>
              <w:rPr>
                <w:rFonts w:cs="Tahoma"/>
                <w:color w:val="000000"/>
                <w:sz w:val="14"/>
                <w:szCs w:val="14"/>
                <w:lang w:eastAsia="tr-TR"/>
              </w:rPr>
            </w:pPr>
            <w:r w:rsidRPr="00C91E15">
              <w:rPr>
                <w:rFonts w:cs="Tahoma"/>
                <w:color w:val="000000"/>
                <w:sz w:val="14"/>
                <w:szCs w:val="14"/>
                <w:lang w:eastAsia="tr-TR"/>
              </w:rPr>
              <w:t> </w:t>
            </w:r>
          </w:p>
        </w:tc>
        <w:tc>
          <w:tcPr>
            <w:tcW w:w="298" w:type="pct"/>
            <w:tcBorders>
              <w:top w:val="single" w:sz="8" w:space="0" w:color="auto"/>
              <w:left w:val="nil"/>
              <w:bottom w:val="nil"/>
              <w:right w:val="nil"/>
            </w:tcBorders>
            <w:noWrap/>
            <w:vAlign w:val="bottom"/>
          </w:tcPr>
          <w:p w:rsidR="00565FD5" w:rsidRPr="00C91E15" w:rsidRDefault="00565FD5" w:rsidP="00AB62A3">
            <w:pPr>
              <w:rPr>
                <w:rFonts w:cs="Tahoma"/>
                <w:color w:val="000000"/>
                <w:sz w:val="14"/>
                <w:szCs w:val="14"/>
                <w:lang w:eastAsia="tr-TR"/>
              </w:rPr>
            </w:pPr>
            <w:r w:rsidRPr="00C91E15">
              <w:rPr>
                <w:rFonts w:cs="Tahoma"/>
                <w:color w:val="000000"/>
                <w:sz w:val="14"/>
                <w:szCs w:val="14"/>
                <w:lang w:eastAsia="tr-TR"/>
              </w:rPr>
              <w:t> </w:t>
            </w:r>
          </w:p>
        </w:tc>
        <w:tc>
          <w:tcPr>
            <w:tcW w:w="197" w:type="pct"/>
            <w:tcBorders>
              <w:top w:val="single" w:sz="8" w:space="0" w:color="auto"/>
              <w:left w:val="nil"/>
              <w:bottom w:val="nil"/>
              <w:right w:val="nil"/>
            </w:tcBorders>
            <w:noWrap/>
            <w:vAlign w:val="bottom"/>
          </w:tcPr>
          <w:p w:rsidR="00565FD5" w:rsidRPr="00C91E15" w:rsidRDefault="00565FD5" w:rsidP="00AB62A3">
            <w:pPr>
              <w:rPr>
                <w:rFonts w:cs="Tahoma"/>
                <w:color w:val="000000"/>
                <w:sz w:val="14"/>
                <w:szCs w:val="14"/>
                <w:lang w:eastAsia="tr-TR"/>
              </w:rPr>
            </w:pPr>
            <w:r w:rsidRPr="00C91E15">
              <w:rPr>
                <w:rFonts w:cs="Tahoma"/>
                <w:color w:val="000000"/>
                <w:sz w:val="14"/>
                <w:szCs w:val="14"/>
                <w:lang w:eastAsia="tr-TR"/>
              </w:rPr>
              <w:t> </w:t>
            </w:r>
          </w:p>
        </w:tc>
        <w:tc>
          <w:tcPr>
            <w:tcW w:w="503" w:type="pct"/>
            <w:gridSpan w:val="2"/>
            <w:tcBorders>
              <w:top w:val="single" w:sz="8" w:space="0" w:color="auto"/>
              <w:left w:val="nil"/>
              <w:bottom w:val="nil"/>
              <w:right w:val="nil"/>
            </w:tcBorders>
            <w:noWrap/>
            <w:vAlign w:val="bottom"/>
          </w:tcPr>
          <w:p w:rsidR="00565FD5" w:rsidRPr="00C91E15" w:rsidRDefault="00565FD5" w:rsidP="00AB62A3">
            <w:pPr>
              <w:jc w:val="center"/>
              <w:rPr>
                <w:rFonts w:cs="Tahoma"/>
                <w:b/>
                <w:bCs/>
                <w:color w:val="000000"/>
                <w:sz w:val="14"/>
                <w:szCs w:val="14"/>
                <w:lang w:eastAsia="tr-TR"/>
              </w:rPr>
            </w:pPr>
            <w:r w:rsidRPr="00C91E15">
              <w:rPr>
                <w:rFonts w:cs="Tahoma"/>
                <w:b/>
                <w:bCs/>
                <w:color w:val="000000"/>
                <w:sz w:val="14"/>
                <w:szCs w:val="14"/>
                <w:lang w:eastAsia="tr-TR"/>
              </w:rPr>
              <w:t xml:space="preserve">       Jeotermal</w:t>
            </w:r>
          </w:p>
        </w:tc>
        <w:tc>
          <w:tcPr>
            <w:tcW w:w="312" w:type="pct"/>
            <w:tcBorders>
              <w:top w:val="single" w:sz="8" w:space="0" w:color="auto"/>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 </w:t>
            </w:r>
          </w:p>
        </w:tc>
        <w:tc>
          <w:tcPr>
            <w:tcW w:w="221" w:type="pct"/>
            <w:tcBorders>
              <w:top w:val="single" w:sz="8" w:space="0" w:color="auto"/>
              <w:left w:val="nil"/>
              <w:bottom w:val="nil"/>
              <w:right w:val="single" w:sz="8" w:space="0" w:color="auto"/>
            </w:tcBorders>
            <w:noWrap/>
            <w:vAlign w:val="bottom"/>
          </w:tcPr>
          <w:p w:rsidR="00565FD5" w:rsidRPr="00C91E15" w:rsidRDefault="00565FD5" w:rsidP="00AB62A3">
            <w:pPr>
              <w:rPr>
                <w:rFonts w:cs="Tahoma"/>
                <w:color w:val="000000"/>
                <w:sz w:val="14"/>
                <w:szCs w:val="14"/>
                <w:lang w:eastAsia="tr-TR"/>
              </w:rPr>
            </w:pPr>
            <w:r w:rsidRPr="00C91E15">
              <w:rPr>
                <w:rFonts w:cs="Tahoma"/>
                <w:color w:val="000000"/>
                <w:sz w:val="14"/>
                <w:szCs w:val="14"/>
                <w:lang w:eastAsia="tr-TR"/>
              </w:rPr>
              <w:t> </w:t>
            </w:r>
          </w:p>
        </w:tc>
      </w:tr>
      <w:tr w:rsidR="00565FD5" w:rsidRPr="00C91E15" w:rsidTr="00AB62A3">
        <w:trPr>
          <w:trHeight w:val="225"/>
        </w:trPr>
        <w:tc>
          <w:tcPr>
            <w:tcW w:w="415" w:type="pct"/>
            <w:tcBorders>
              <w:top w:val="nil"/>
              <w:left w:val="single" w:sz="8" w:space="0" w:color="auto"/>
              <w:bottom w:val="nil"/>
              <w:right w:val="nil"/>
            </w:tcBorders>
            <w:noWrap/>
            <w:vAlign w:val="bottom"/>
          </w:tcPr>
          <w:p w:rsidR="00565FD5" w:rsidRPr="00C91E15" w:rsidRDefault="00565FD5" w:rsidP="00AB62A3">
            <w:pPr>
              <w:rPr>
                <w:rFonts w:cs="Tahoma"/>
                <w:color w:val="000000"/>
                <w:sz w:val="14"/>
                <w:szCs w:val="14"/>
                <w:lang w:eastAsia="tr-TR"/>
              </w:rPr>
            </w:pPr>
          </w:p>
        </w:tc>
        <w:tc>
          <w:tcPr>
            <w:tcW w:w="516" w:type="pct"/>
            <w:gridSpan w:val="2"/>
            <w:tcBorders>
              <w:top w:val="nil"/>
              <w:left w:val="nil"/>
              <w:bottom w:val="single" w:sz="8" w:space="0" w:color="auto"/>
              <w:right w:val="nil"/>
            </w:tcBorders>
            <w:noWrap/>
            <w:vAlign w:val="bottom"/>
          </w:tcPr>
          <w:p w:rsidR="00565FD5" w:rsidRPr="00C91E15" w:rsidRDefault="00565FD5" w:rsidP="00AB62A3">
            <w:pPr>
              <w:jc w:val="center"/>
              <w:rPr>
                <w:rFonts w:cs="Tahoma"/>
                <w:b/>
                <w:bCs/>
                <w:color w:val="000000"/>
                <w:sz w:val="14"/>
                <w:szCs w:val="14"/>
                <w:lang w:eastAsia="tr-TR"/>
              </w:rPr>
            </w:pPr>
            <w:r w:rsidRPr="00C91E15">
              <w:rPr>
                <w:rFonts w:cs="Tahoma"/>
                <w:b/>
                <w:bCs/>
                <w:color w:val="000000"/>
                <w:sz w:val="14"/>
                <w:szCs w:val="14"/>
                <w:lang w:eastAsia="tr-TR"/>
              </w:rPr>
              <w:t xml:space="preserve">      Taşkömürü</w:t>
            </w:r>
          </w:p>
        </w:tc>
        <w:tc>
          <w:tcPr>
            <w:tcW w:w="496" w:type="pct"/>
            <w:gridSpan w:val="2"/>
            <w:tcBorders>
              <w:top w:val="nil"/>
              <w:left w:val="nil"/>
              <w:bottom w:val="single" w:sz="8" w:space="0" w:color="auto"/>
              <w:right w:val="nil"/>
            </w:tcBorders>
            <w:noWrap/>
            <w:vAlign w:val="bottom"/>
          </w:tcPr>
          <w:p w:rsidR="00565FD5" w:rsidRPr="00C91E15" w:rsidRDefault="00565FD5" w:rsidP="00AB62A3">
            <w:pPr>
              <w:jc w:val="center"/>
              <w:rPr>
                <w:rFonts w:cs="Tahoma"/>
                <w:b/>
                <w:bCs/>
                <w:color w:val="000000"/>
                <w:sz w:val="14"/>
                <w:szCs w:val="14"/>
                <w:lang w:eastAsia="tr-TR"/>
              </w:rPr>
            </w:pPr>
            <w:r w:rsidRPr="00C91E15">
              <w:rPr>
                <w:rFonts w:cs="Tahoma"/>
                <w:b/>
                <w:bCs/>
                <w:color w:val="000000"/>
                <w:sz w:val="14"/>
                <w:szCs w:val="14"/>
                <w:lang w:eastAsia="tr-TR"/>
              </w:rPr>
              <w:t xml:space="preserve">        Linyit</w:t>
            </w:r>
          </w:p>
        </w:tc>
        <w:tc>
          <w:tcPr>
            <w:tcW w:w="466" w:type="pct"/>
            <w:gridSpan w:val="2"/>
            <w:tcBorders>
              <w:top w:val="nil"/>
              <w:left w:val="nil"/>
              <w:bottom w:val="single" w:sz="8" w:space="0" w:color="auto"/>
              <w:right w:val="nil"/>
            </w:tcBorders>
            <w:noWrap/>
            <w:vAlign w:val="bottom"/>
          </w:tcPr>
          <w:p w:rsidR="00565FD5" w:rsidRPr="00C91E15" w:rsidRDefault="00565FD5" w:rsidP="00AB62A3">
            <w:pPr>
              <w:jc w:val="center"/>
              <w:rPr>
                <w:rFonts w:cs="Tahoma"/>
                <w:b/>
                <w:bCs/>
                <w:color w:val="000000"/>
                <w:sz w:val="14"/>
                <w:szCs w:val="14"/>
                <w:lang w:eastAsia="tr-TR"/>
              </w:rPr>
            </w:pPr>
            <w:r w:rsidRPr="00C91E15">
              <w:rPr>
                <w:rFonts w:cs="Tahoma"/>
                <w:b/>
                <w:bCs/>
                <w:color w:val="000000"/>
                <w:sz w:val="14"/>
                <w:szCs w:val="14"/>
                <w:lang w:eastAsia="tr-TR"/>
              </w:rPr>
              <w:t xml:space="preserve">         Akaryakıt</w:t>
            </w:r>
          </w:p>
        </w:tc>
        <w:tc>
          <w:tcPr>
            <w:tcW w:w="546" w:type="pct"/>
            <w:gridSpan w:val="2"/>
            <w:tcBorders>
              <w:top w:val="nil"/>
              <w:left w:val="nil"/>
              <w:bottom w:val="single" w:sz="8" w:space="0" w:color="auto"/>
              <w:right w:val="nil"/>
            </w:tcBorders>
            <w:noWrap/>
            <w:vAlign w:val="bottom"/>
          </w:tcPr>
          <w:p w:rsidR="00565FD5" w:rsidRPr="00C91E15" w:rsidRDefault="00565FD5" w:rsidP="00AB62A3">
            <w:pPr>
              <w:jc w:val="center"/>
              <w:rPr>
                <w:rFonts w:cs="Tahoma"/>
                <w:b/>
                <w:bCs/>
                <w:color w:val="000000"/>
                <w:sz w:val="14"/>
                <w:szCs w:val="14"/>
                <w:lang w:eastAsia="tr-TR"/>
              </w:rPr>
            </w:pPr>
            <w:r w:rsidRPr="00C91E15">
              <w:rPr>
                <w:rFonts w:cs="Tahoma"/>
                <w:b/>
                <w:bCs/>
                <w:color w:val="000000"/>
                <w:sz w:val="14"/>
                <w:szCs w:val="14"/>
                <w:lang w:eastAsia="tr-TR"/>
              </w:rPr>
              <w:t xml:space="preserve">      Doğalgaz</w:t>
            </w:r>
          </w:p>
        </w:tc>
        <w:tc>
          <w:tcPr>
            <w:tcW w:w="484" w:type="pct"/>
            <w:gridSpan w:val="2"/>
            <w:tcBorders>
              <w:top w:val="nil"/>
              <w:left w:val="nil"/>
              <w:bottom w:val="single" w:sz="8" w:space="0" w:color="auto"/>
              <w:right w:val="nil"/>
            </w:tcBorders>
            <w:noWrap/>
            <w:vAlign w:val="bottom"/>
          </w:tcPr>
          <w:p w:rsidR="00565FD5" w:rsidRPr="00C91E15" w:rsidRDefault="00565FD5" w:rsidP="00AB62A3">
            <w:pPr>
              <w:jc w:val="center"/>
              <w:rPr>
                <w:rFonts w:cs="Tahoma"/>
                <w:b/>
                <w:bCs/>
                <w:color w:val="000000"/>
                <w:sz w:val="14"/>
                <w:szCs w:val="14"/>
                <w:lang w:eastAsia="tr-TR"/>
              </w:rPr>
            </w:pPr>
            <w:r w:rsidRPr="00C91E15">
              <w:rPr>
                <w:rFonts w:cs="Tahoma"/>
                <w:b/>
                <w:bCs/>
                <w:color w:val="000000"/>
                <w:sz w:val="14"/>
                <w:szCs w:val="14"/>
                <w:lang w:eastAsia="tr-TR"/>
              </w:rPr>
              <w:t xml:space="preserve">    ve diğer</w:t>
            </w:r>
          </w:p>
        </w:tc>
        <w:tc>
          <w:tcPr>
            <w:tcW w:w="546" w:type="pct"/>
            <w:gridSpan w:val="2"/>
            <w:tcBorders>
              <w:top w:val="nil"/>
              <w:left w:val="nil"/>
              <w:bottom w:val="single" w:sz="8" w:space="0" w:color="auto"/>
              <w:right w:val="nil"/>
            </w:tcBorders>
            <w:noWrap/>
            <w:vAlign w:val="bottom"/>
          </w:tcPr>
          <w:p w:rsidR="00565FD5" w:rsidRPr="00C91E15" w:rsidRDefault="00565FD5" w:rsidP="00AB62A3">
            <w:pPr>
              <w:jc w:val="center"/>
              <w:rPr>
                <w:rFonts w:cs="Tahoma"/>
                <w:b/>
                <w:bCs/>
                <w:color w:val="000000"/>
                <w:sz w:val="14"/>
                <w:szCs w:val="14"/>
                <w:lang w:eastAsia="tr-TR"/>
              </w:rPr>
            </w:pPr>
            <w:r w:rsidRPr="00C91E15">
              <w:rPr>
                <w:rFonts w:cs="Tahoma"/>
                <w:b/>
                <w:bCs/>
                <w:color w:val="000000"/>
                <w:sz w:val="14"/>
                <w:szCs w:val="14"/>
                <w:lang w:eastAsia="tr-TR"/>
              </w:rPr>
              <w:t xml:space="preserve">     TERMİK</w:t>
            </w:r>
          </w:p>
        </w:tc>
        <w:tc>
          <w:tcPr>
            <w:tcW w:w="495" w:type="pct"/>
            <w:gridSpan w:val="2"/>
            <w:tcBorders>
              <w:top w:val="nil"/>
              <w:left w:val="nil"/>
              <w:bottom w:val="single" w:sz="8" w:space="0" w:color="auto"/>
              <w:right w:val="nil"/>
            </w:tcBorders>
            <w:noWrap/>
            <w:vAlign w:val="bottom"/>
          </w:tcPr>
          <w:p w:rsidR="00565FD5" w:rsidRPr="00C91E15" w:rsidRDefault="00565FD5" w:rsidP="00AB62A3">
            <w:pPr>
              <w:jc w:val="center"/>
              <w:rPr>
                <w:rFonts w:cs="Tahoma"/>
                <w:b/>
                <w:bCs/>
                <w:color w:val="000000"/>
                <w:sz w:val="14"/>
                <w:szCs w:val="14"/>
                <w:lang w:eastAsia="tr-TR"/>
              </w:rPr>
            </w:pPr>
            <w:r w:rsidRPr="00C91E15">
              <w:rPr>
                <w:rFonts w:cs="Tahoma"/>
                <w:b/>
                <w:bCs/>
                <w:color w:val="000000"/>
                <w:sz w:val="14"/>
                <w:szCs w:val="14"/>
                <w:lang w:eastAsia="tr-TR"/>
              </w:rPr>
              <w:t xml:space="preserve">     HİDROLİK</w:t>
            </w:r>
          </w:p>
        </w:tc>
        <w:tc>
          <w:tcPr>
            <w:tcW w:w="503" w:type="pct"/>
            <w:gridSpan w:val="2"/>
            <w:tcBorders>
              <w:top w:val="nil"/>
              <w:left w:val="nil"/>
              <w:bottom w:val="single" w:sz="8" w:space="0" w:color="auto"/>
              <w:right w:val="nil"/>
            </w:tcBorders>
            <w:noWrap/>
            <w:vAlign w:val="bottom"/>
          </w:tcPr>
          <w:p w:rsidR="00565FD5" w:rsidRPr="00C91E15" w:rsidRDefault="00565FD5" w:rsidP="00AB62A3">
            <w:pPr>
              <w:jc w:val="center"/>
              <w:rPr>
                <w:rFonts w:cs="Tahoma"/>
                <w:b/>
                <w:bCs/>
                <w:color w:val="000000"/>
                <w:sz w:val="14"/>
                <w:szCs w:val="14"/>
                <w:lang w:eastAsia="tr-TR"/>
              </w:rPr>
            </w:pPr>
            <w:r w:rsidRPr="00C91E15">
              <w:rPr>
                <w:rFonts w:cs="Tahoma"/>
                <w:b/>
                <w:bCs/>
                <w:color w:val="000000"/>
                <w:sz w:val="14"/>
                <w:szCs w:val="14"/>
                <w:lang w:eastAsia="tr-TR"/>
              </w:rPr>
              <w:t xml:space="preserve">       + Rüzgâr</w:t>
            </w:r>
          </w:p>
        </w:tc>
        <w:tc>
          <w:tcPr>
            <w:tcW w:w="533" w:type="pct"/>
            <w:gridSpan w:val="2"/>
            <w:tcBorders>
              <w:top w:val="nil"/>
              <w:left w:val="nil"/>
              <w:bottom w:val="single" w:sz="8" w:space="0" w:color="auto"/>
              <w:right w:val="single" w:sz="8" w:space="0" w:color="000000"/>
            </w:tcBorders>
            <w:noWrap/>
            <w:vAlign w:val="bottom"/>
          </w:tcPr>
          <w:p w:rsidR="00565FD5" w:rsidRPr="00C91E15" w:rsidRDefault="00565FD5" w:rsidP="00AB62A3">
            <w:pPr>
              <w:jc w:val="center"/>
              <w:rPr>
                <w:rFonts w:cs="Tahoma"/>
                <w:b/>
                <w:bCs/>
                <w:color w:val="000000"/>
                <w:sz w:val="14"/>
                <w:szCs w:val="14"/>
                <w:lang w:eastAsia="tr-TR"/>
              </w:rPr>
            </w:pPr>
            <w:r w:rsidRPr="00C91E15">
              <w:rPr>
                <w:rFonts w:cs="Tahoma"/>
                <w:b/>
                <w:bCs/>
                <w:color w:val="000000"/>
                <w:sz w:val="14"/>
                <w:szCs w:val="14"/>
                <w:lang w:eastAsia="tr-TR"/>
              </w:rPr>
              <w:t xml:space="preserve">    TOPLAM</w:t>
            </w:r>
          </w:p>
        </w:tc>
      </w:tr>
      <w:tr w:rsidR="00565FD5" w:rsidRPr="00C91E15" w:rsidTr="00AB62A3">
        <w:trPr>
          <w:trHeight w:val="225"/>
        </w:trPr>
        <w:tc>
          <w:tcPr>
            <w:tcW w:w="415" w:type="pct"/>
            <w:tcBorders>
              <w:top w:val="nil"/>
              <w:left w:val="single" w:sz="8" w:space="0" w:color="auto"/>
              <w:bottom w:val="single" w:sz="8" w:space="0" w:color="auto"/>
              <w:right w:val="nil"/>
            </w:tcBorders>
            <w:noWrap/>
            <w:vAlign w:val="bottom"/>
          </w:tcPr>
          <w:p w:rsidR="00565FD5" w:rsidRPr="00C91E15" w:rsidRDefault="00565FD5" w:rsidP="00AB62A3">
            <w:pPr>
              <w:jc w:val="right"/>
              <w:rPr>
                <w:rFonts w:cs="Tahoma"/>
                <w:sz w:val="14"/>
                <w:szCs w:val="14"/>
                <w:lang w:eastAsia="tr-TR"/>
              </w:rPr>
            </w:pPr>
            <w:r w:rsidRPr="00C91E15">
              <w:rPr>
                <w:rFonts w:cs="Tahoma"/>
                <w:sz w:val="14"/>
                <w:szCs w:val="14"/>
                <w:lang w:eastAsia="tr-TR"/>
              </w:rPr>
              <w:t> </w:t>
            </w:r>
          </w:p>
        </w:tc>
        <w:tc>
          <w:tcPr>
            <w:tcW w:w="320" w:type="pct"/>
            <w:tcBorders>
              <w:top w:val="nil"/>
              <w:left w:val="nil"/>
              <w:bottom w:val="single" w:sz="8" w:space="0" w:color="auto"/>
              <w:right w:val="nil"/>
            </w:tcBorders>
            <w:noWrap/>
            <w:vAlign w:val="bottom"/>
          </w:tcPr>
          <w:p w:rsidR="00565FD5" w:rsidRPr="00C91E15" w:rsidRDefault="00565FD5" w:rsidP="00AB62A3">
            <w:pPr>
              <w:jc w:val="right"/>
              <w:rPr>
                <w:rFonts w:cs="Tahoma"/>
                <w:b/>
                <w:bCs/>
                <w:color w:val="000000"/>
                <w:sz w:val="14"/>
                <w:szCs w:val="14"/>
                <w:lang w:eastAsia="tr-TR"/>
              </w:rPr>
            </w:pPr>
            <w:r w:rsidRPr="00C91E15">
              <w:rPr>
                <w:rFonts w:cs="Tahoma"/>
                <w:b/>
                <w:bCs/>
                <w:color w:val="000000"/>
                <w:sz w:val="14"/>
                <w:szCs w:val="14"/>
                <w:lang w:eastAsia="tr-TR"/>
              </w:rPr>
              <w:t>GWh</w:t>
            </w:r>
          </w:p>
        </w:tc>
        <w:tc>
          <w:tcPr>
            <w:tcW w:w="197" w:type="pct"/>
            <w:tcBorders>
              <w:top w:val="nil"/>
              <w:left w:val="nil"/>
              <w:bottom w:val="single" w:sz="8" w:space="0" w:color="auto"/>
              <w:right w:val="nil"/>
            </w:tcBorders>
            <w:noWrap/>
            <w:vAlign w:val="bottom"/>
          </w:tcPr>
          <w:p w:rsidR="00565FD5" w:rsidRPr="00C91E15" w:rsidRDefault="00565FD5" w:rsidP="00AB62A3">
            <w:pPr>
              <w:jc w:val="right"/>
              <w:rPr>
                <w:rFonts w:cs="Tahoma"/>
                <w:b/>
                <w:bCs/>
                <w:color w:val="000000"/>
                <w:sz w:val="14"/>
                <w:szCs w:val="14"/>
                <w:lang w:eastAsia="tr-TR"/>
              </w:rPr>
            </w:pPr>
            <w:r w:rsidRPr="00C91E15">
              <w:rPr>
                <w:rFonts w:cs="Tahoma"/>
                <w:b/>
                <w:bCs/>
                <w:color w:val="000000"/>
                <w:sz w:val="14"/>
                <w:szCs w:val="14"/>
                <w:lang w:eastAsia="tr-TR"/>
              </w:rPr>
              <w:t>%</w:t>
            </w:r>
          </w:p>
        </w:tc>
        <w:tc>
          <w:tcPr>
            <w:tcW w:w="298" w:type="pct"/>
            <w:tcBorders>
              <w:top w:val="nil"/>
              <w:left w:val="nil"/>
              <w:bottom w:val="single" w:sz="8" w:space="0" w:color="auto"/>
              <w:right w:val="nil"/>
            </w:tcBorders>
            <w:noWrap/>
            <w:vAlign w:val="bottom"/>
          </w:tcPr>
          <w:p w:rsidR="00565FD5" w:rsidRPr="00C91E15" w:rsidRDefault="00565FD5" w:rsidP="00AB62A3">
            <w:pPr>
              <w:jc w:val="right"/>
              <w:rPr>
                <w:rFonts w:cs="Tahoma"/>
                <w:b/>
                <w:bCs/>
                <w:color w:val="000000"/>
                <w:sz w:val="14"/>
                <w:szCs w:val="14"/>
                <w:lang w:eastAsia="tr-TR"/>
              </w:rPr>
            </w:pPr>
            <w:r w:rsidRPr="00C91E15">
              <w:rPr>
                <w:rFonts w:cs="Tahoma"/>
                <w:b/>
                <w:bCs/>
                <w:color w:val="000000"/>
                <w:sz w:val="14"/>
                <w:szCs w:val="14"/>
                <w:lang w:eastAsia="tr-TR"/>
              </w:rPr>
              <w:t>GWh</w:t>
            </w:r>
          </w:p>
        </w:tc>
        <w:tc>
          <w:tcPr>
            <w:tcW w:w="198" w:type="pct"/>
            <w:tcBorders>
              <w:top w:val="nil"/>
              <w:left w:val="nil"/>
              <w:bottom w:val="single" w:sz="8" w:space="0" w:color="auto"/>
              <w:right w:val="nil"/>
            </w:tcBorders>
            <w:noWrap/>
            <w:vAlign w:val="bottom"/>
          </w:tcPr>
          <w:p w:rsidR="00565FD5" w:rsidRPr="00C91E15" w:rsidRDefault="00565FD5" w:rsidP="00AB62A3">
            <w:pPr>
              <w:jc w:val="right"/>
              <w:rPr>
                <w:rFonts w:cs="Tahoma"/>
                <w:b/>
                <w:bCs/>
                <w:color w:val="000000"/>
                <w:sz w:val="14"/>
                <w:szCs w:val="14"/>
                <w:lang w:eastAsia="tr-TR"/>
              </w:rPr>
            </w:pPr>
            <w:r w:rsidRPr="00C91E15">
              <w:rPr>
                <w:rFonts w:cs="Tahoma"/>
                <w:b/>
                <w:bCs/>
                <w:color w:val="000000"/>
                <w:sz w:val="14"/>
                <w:szCs w:val="14"/>
                <w:lang w:eastAsia="tr-TR"/>
              </w:rPr>
              <w:t>%</w:t>
            </w:r>
          </w:p>
        </w:tc>
        <w:tc>
          <w:tcPr>
            <w:tcW w:w="312" w:type="pct"/>
            <w:tcBorders>
              <w:top w:val="nil"/>
              <w:left w:val="nil"/>
              <w:bottom w:val="single" w:sz="8" w:space="0" w:color="auto"/>
              <w:right w:val="nil"/>
            </w:tcBorders>
            <w:noWrap/>
            <w:vAlign w:val="bottom"/>
          </w:tcPr>
          <w:p w:rsidR="00565FD5" w:rsidRPr="00C91E15" w:rsidRDefault="00565FD5" w:rsidP="00AB62A3">
            <w:pPr>
              <w:jc w:val="right"/>
              <w:rPr>
                <w:rFonts w:cs="Tahoma"/>
                <w:b/>
                <w:bCs/>
                <w:color w:val="000000"/>
                <w:sz w:val="14"/>
                <w:szCs w:val="14"/>
                <w:lang w:eastAsia="tr-TR"/>
              </w:rPr>
            </w:pPr>
            <w:r w:rsidRPr="00C91E15">
              <w:rPr>
                <w:rFonts w:cs="Tahoma"/>
                <w:b/>
                <w:bCs/>
                <w:color w:val="000000"/>
                <w:sz w:val="14"/>
                <w:szCs w:val="14"/>
                <w:lang w:eastAsia="tr-TR"/>
              </w:rPr>
              <w:t>GWh</w:t>
            </w:r>
          </w:p>
        </w:tc>
        <w:tc>
          <w:tcPr>
            <w:tcW w:w="153" w:type="pct"/>
            <w:tcBorders>
              <w:top w:val="nil"/>
              <w:left w:val="nil"/>
              <w:bottom w:val="single" w:sz="8" w:space="0" w:color="auto"/>
              <w:right w:val="nil"/>
            </w:tcBorders>
            <w:noWrap/>
            <w:vAlign w:val="bottom"/>
          </w:tcPr>
          <w:p w:rsidR="00565FD5" w:rsidRPr="00C91E15" w:rsidRDefault="00565FD5" w:rsidP="00AB62A3">
            <w:pPr>
              <w:jc w:val="right"/>
              <w:rPr>
                <w:rFonts w:cs="Tahoma"/>
                <w:b/>
                <w:bCs/>
                <w:color w:val="000000"/>
                <w:sz w:val="14"/>
                <w:szCs w:val="14"/>
                <w:lang w:eastAsia="tr-TR"/>
              </w:rPr>
            </w:pPr>
            <w:r w:rsidRPr="00C91E15">
              <w:rPr>
                <w:rFonts w:cs="Tahoma"/>
                <w:b/>
                <w:bCs/>
                <w:color w:val="000000"/>
                <w:sz w:val="14"/>
                <w:szCs w:val="14"/>
                <w:lang w:eastAsia="tr-TR"/>
              </w:rPr>
              <w:t>%</w:t>
            </w:r>
          </w:p>
        </w:tc>
        <w:tc>
          <w:tcPr>
            <w:tcW w:w="349" w:type="pct"/>
            <w:tcBorders>
              <w:top w:val="nil"/>
              <w:left w:val="nil"/>
              <w:bottom w:val="single" w:sz="8" w:space="0" w:color="auto"/>
              <w:right w:val="nil"/>
            </w:tcBorders>
            <w:noWrap/>
            <w:vAlign w:val="bottom"/>
          </w:tcPr>
          <w:p w:rsidR="00565FD5" w:rsidRPr="00C91E15" w:rsidRDefault="00565FD5" w:rsidP="00AB62A3">
            <w:pPr>
              <w:jc w:val="right"/>
              <w:rPr>
                <w:rFonts w:cs="Tahoma"/>
                <w:b/>
                <w:bCs/>
                <w:color w:val="000000"/>
                <w:sz w:val="14"/>
                <w:szCs w:val="14"/>
                <w:lang w:eastAsia="tr-TR"/>
              </w:rPr>
            </w:pPr>
            <w:r w:rsidRPr="00C91E15">
              <w:rPr>
                <w:rFonts w:cs="Tahoma"/>
                <w:b/>
                <w:bCs/>
                <w:color w:val="000000"/>
                <w:sz w:val="14"/>
                <w:szCs w:val="14"/>
                <w:lang w:eastAsia="tr-TR"/>
              </w:rPr>
              <w:t>GWh</w:t>
            </w:r>
          </w:p>
        </w:tc>
        <w:tc>
          <w:tcPr>
            <w:tcW w:w="197" w:type="pct"/>
            <w:tcBorders>
              <w:top w:val="nil"/>
              <w:left w:val="nil"/>
              <w:bottom w:val="single" w:sz="8" w:space="0" w:color="auto"/>
              <w:right w:val="nil"/>
            </w:tcBorders>
            <w:noWrap/>
            <w:vAlign w:val="bottom"/>
          </w:tcPr>
          <w:p w:rsidR="00565FD5" w:rsidRPr="00C91E15" w:rsidRDefault="00565FD5" w:rsidP="00AB62A3">
            <w:pPr>
              <w:jc w:val="right"/>
              <w:rPr>
                <w:rFonts w:cs="Tahoma"/>
                <w:b/>
                <w:bCs/>
                <w:color w:val="000000"/>
                <w:sz w:val="14"/>
                <w:szCs w:val="14"/>
                <w:lang w:eastAsia="tr-TR"/>
              </w:rPr>
            </w:pPr>
            <w:r w:rsidRPr="00C91E15">
              <w:rPr>
                <w:rFonts w:cs="Tahoma"/>
                <w:b/>
                <w:bCs/>
                <w:color w:val="000000"/>
                <w:sz w:val="14"/>
                <w:szCs w:val="14"/>
                <w:lang w:eastAsia="tr-TR"/>
              </w:rPr>
              <w:t>%</w:t>
            </w:r>
          </w:p>
        </w:tc>
        <w:tc>
          <w:tcPr>
            <w:tcW w:w="301" w:type="pct"/>
            <w:tcBorders>
              <w:top w:val="nil"/>
              <w:left w:val="nil"/>
              <w:bottom w:val="single" w:sz="8" w:space="0" w:color="auto"/>
              <w:right w:val="nil"/>
            </w:tcBorders>
            <w:noWrap/>
            <w:vAlign w:val="bottom"/>
          </w:tcPr>
          <w:p w:rsidR="00565FD5" w:rsidRPr="00C91E15" w:rsidRDefault="00565FD5" w:rsidP="00AB62A3">
            <w:pPr>
              <w:jc w:val="right"/>
              <w:rPr>
                <w:rFonts w:cs="Tahoma"/>
                <w:b/>
                <w:bCs/>
                <w:color w:val="000000"/>
                <w:sz w:val="14"/>
                <w:szCs w:val="14"/>
                <w:lang w:eastAsia="tr-TR"/>
              </w:rPr>
            </w:pPr>
            <w:r w:rsidRPr="00C91E15">
              <w:rPr>
                <w:rFonts w:cs="Tahoma"/>
                <w:b/>
                <w:bCs/>
                <w:color w:val="000000"/>
                <w:sz w:val="14"/>
                <w:szCs w:val="14"/>
                <w:lang w:eastAsia="tr-TR"/>
              </w:rPr>
              <w:t>GWh</w:t>
            </w:r>
          </w:p>
        </w:tc>
        <w:tc>
          <w:tcPr>
            <w:tcW w:w="183" w:type="pct"/>
            <w:tcBorders>
              <w:top w:val="nil"/>
              <w:left w:val="nil"/>
              <w:bottom w:val="single" w:sz="8" w:space="0" w:color="auto"/>
              <w:right w:val="nil"/>
            </w:tcBorders>
            <w:noWrap/>
            <w:vAlign w:val="bottom"/>
          </w:tcPr>
          <w:p w:rsidR="00565FD5" w:rsidRPr="00C91E15" w:rsidRDefault="00565FD5" w:rsidP="00AB62A3">
            <w:pPr>
              <w:jc w:val="right"/>
              <w:rPr>
                <w:rFonts w:cs="Tahoma"/>
                <w:b/>
                <w:bCs/>
                <w:color w:val="000000"/>
                <w:sz w:val="14"/>
                <w:szCs w:val="14"/>
                <w:lang w:eastAsia="tr-TR"/>
              </w:rPr>
            </w:pPr>
            <w:r w:rsidRPr="00C91E15">
              <w:rPr>
                <w:rFonts w:cs="Tahoma"/>
                <w:b/>
                <w:bCs/>
                <w:color w:val="000000"/>
                <w:sz w:val="14"/>
                <w:szCs w:val="14"/>
                <w:lang w:eastAsia="tr-TR"/>
              </w:rPr>
              <w:t>%</w:t>
            </w:r>
          </w:p>
        </w:tc>
        <w:tc>
          <w:tcPr>
            <w:tcW w:w="349" w:type="pct"/>
            <w:tcBorders>
              <w:top w:val="nil"/>
              <w:left w:val="nil"/>
              <w:bottom w:val="single" w:sz="8" w:space="0" w:color="auto"/>
              <w:right w:val="nil"/>
            </w:tcBorders>
            <w:noWrap/>
            <w:vAlign w:val="bottom"/>
          </w:tcPr>
          <w:p w:rsidR="00565FD5" w:rsidRPr="00C91E15" w:rsidRDefault="00565FD5" w:rsidP="00AB62A3">
            <w:pPr>
              <w:jc w:val="right"/>
              <w:rPr>
                <w:rFonts w:cs="Tahoma"/>
                <w:b/>
                <w:bCs/>
                <w:color w:val="000000"/>
                <w:sz w:val="14"/>
                <w:szCs w:val="14"/>
                <w:lang w:eastAsia="tr-TR"/>
              </w:rPr>
            </w:pPr>
            <w:r w:rsidRPr="00C91E15">
              <w:rPr>
                <w:rFonts w:cs="Tahoma"/>
                <w:b/>
                <w:bCs/>
                <w:color w:val="000000"/>
                <w:sz w:val="14"/>
                <w:szCs w:val="14"/>
                <w:lang w:eastAsia="tr-TR"/>
              </w:rPr>
              <w:t>GWh</w:t>
            </w:r>
          </w:p>
        </w:tc>
        <w:tc>
          <w:tcPr>
            <w:tcW w:w="197" w:type="pct"/>
            <w:tcBorders>
              <w:top w:val="nil"/>
              <w:left w:val="nil"/>
              <w:bottom w:val="single" w:sz="8" w:space="0" w:color="auto"/>
              <w:right w:val="nil"/>
            </w:tcBorders>
            <w:noWrap/>
            <w:vAlign w:val="bottom"/>
          </w:tcPr>
          <w:p w:rsidR="00565FD5" w:rsidRPr="00C91E15" w:rsidRDefault="00565FD5" w:rsidP="00AB62A3">
            <w:pPr>
              <w:jc w:val="right"/>
              <w:rPr>
                <w:rFonts w:cs="Tahoma"/>
                <w:b/>
                <w:bCs/>
                <w:color w:val="000000"/>
                <w:sz w:val="14"/>
                <w:szCs w:val="14"/>
                <w:lang w:eastAsia="tr-TR"/>
              </w:rPr>
            </w:pPr>
            <w:r w:rsidRPr="00C91E15">
              <w:rPr>
                <w:rFonts w:cs="Tahoma"/>
                <w:b/>
                <w:bCs/>
                <w:color w:val="000000"/>
                <w:sz w:val="14"/>
                <w:szCs w:val="14"/>
                <w:lang w:eastAsia="tr-TR"/>
              </w:rPr>
              <w:t>%</w:t>
            </w:r>
          </w:p>
        </w:tc>
        <w:tc>
          <w:tcPr>
            <w:tcW w:w="298" w:type="pct"/>
            <w:tcBorders>
              <w:top w:val="nil"/>
              <w:left w:val="nil"/>
              <w:bottom w:val="single" w:sz="8" w:space="0" w:color="auto"/>
              <w:right w:val="nil"/>
            </w:tcBorders>
            <w:noWrap/>
            <w:vAlign w:val="bottom"/>
          </w:tcPr>
          <w:p w:rsidR="00565FD5" w:rsidRPr="00C91E15" w:rsidRDefault="00565FD5" w:rsidP="00AB62A3">
            <w:pPr>
              <w:jc w:val="right"/>
              <w:rPr>
                <w:rFonts w:cs="Tahoma"/>
                <w:b/>
                <w:bCs/>
                <w:color w:val="000000"/>
                <w:sz w:val="14"/>
                <w:szCs w:val="14"/>
                <w:lang w:eastAsia="tr-TR"/>
              </w:rPr>
            </w:pPr>
            <w:r w:rsidRPr="00C91E15">
              <w:rPr>
                <w:rFonts w:cs="Tahoma"/>
                <w:b/>
                <w:bCs/>
                <w:color w:val="000000"/>
                <w:sz w:val="14"/>
                <w:szCs w:val="14"/>
                <w:lang w:eastAsia="tr-TR"/>
              </w:rPr>
              <w:t>GWh</w:t>
            </w:r>
          </w:p>
        </w:tc>
        <w:tc>
          <w:tcPr>
            <w:tcW w:w="197" w:type="pct"/>
            <w:tcBorders>
              <w:top w:val="nil"/>
              <w:left w:val="nil"/>
              <w:bottom w:val="single" w:sz="8" w:space="0" w:color="auto"/>
              <w:right w:val="nil"/>
            </w:tcBorders>
            <w:noWrap/>
            <w:vAlign w:val="bottom"/>
          </w:tcPr>
          <w:p w:rsidR="00565FD5" w:rsidRPr="00C91E15" w:rsidRDefault="00565FD5" w:rsidP="00AB62A3">
            <w:pPr>
              <w:jc w:val="right"/>
              <w:rPr>
                <w:rFonts w:cs="Tahoma"/>
                <w:b/>
                <w:bCs/>
                <w:color w:val="000000"/>
                <w:sz w:val="14"/>
                <w:szCs w:val="14"/>
                <w:lang w:eastAsia="tr-TR"/>
              </w:rPr>
            </w:pPr>
            <w:r w:rsidRPr="00C91E15">
              <w:rPr>
                <w:rFonts w:cs="Tahoma"/>
                <w:b/>
                <w:bCs/>
                <w:color w:val="000000"/>
                <w:sz w:val="14"/>
                <w:szCs w:val="14"/>
                <w:lang w:eastAsia="tr-TR"/>
              </w:rPr>
              <w:t>%</w:t>
            </w:r>
          </w:p>
        </w:tc>
        <w:tc>
          <w:tcPr>
            <w:tcW w:w="312" w:type="pct"/>
            <w:tcBorders>
              <w:top w:val="nil"/>
              <w:left w:val="nil"/>
              <w:bottom w:val="single" w:sz="8" w:space="0" w:color="auto"/>
              <w:right w:val="nil"/>
            </w:tcBorders>
            <w:noWrap/>
            <w:vAlign w:val="bottom"/>
          </w:tcPr>
          <w:p w:rsidR="00565FD5" w:rsidRPr="00C91E15" w:rsidRDefault="00565FD5" w:rsidP="00AB62A3">
            <w:pPr>
              <w:jc w:val="right"/>
              <w:rPr>
                <w:rFonts w:cs="Tahoma"/>
                <w:b/>
                <w:bCs/>
                <w:color w:val="000000"/>
                <w:sz w:val="14"/>
                <w:szCs w:val="14"/>
                <w:lang w:eastAsia="tr-TR"/>
              </w:rPr>
            </w:pPr>
            <w:r w:rsidRPr="00C91E15">
              <w:rPr>
                <w:rFonts w:cs="Tahoma"/>
                <w:b/>
                <w:bCs/>
                <w:color w:val="000000"/>
                <w:sz w:val="14"/>
                <w:szCs w:val="14"/>
                <w:lang w:eastAsia="tr-TR"/>
              </w:rPr>
              <w:t>GWh</w:t>
            </w:r>
          </w:p>
        </w:tc>
        <w:tc>
          <w:tcPr>
            <w:tcW w:w="190" w:type="pct"/>
            <w:tcBorders>
              <w:top w:val="nil"/>
              <w:left w:val="nil"/>
              <w:bottom w:val="single" w:sz="8" w:space="0" w:color="auto"/>
              <w:right w:val="nil"/>
            </w:tcBorders>
            <w:noWrap/>
            <w:vAlign w:val="bottom"/>
          </w:tcPr>
          <w:p w:rsidR="00565FD5" w:rsidRPr="00C91E15" w:rsidRDefault="00565FD5" w:rsidP="00AB62A3">
            <w:pPr>
              <w:jc w:val="right"/>
              <w:rPr>
                <w:rFonts w:cs="Tahoma"/>
                <w:b/>
                <w:bCs/>
                <w:color w:val="000000"/>
                <w:sz w:val="14"/>
                <w:szCs w:val="14"/>
                <w:lang w:eastAsia="tr-TR"/>
              </w:rPr>
            </w:pPr>
            <w:r w:rsidRPr="00C91E15">
              <w:rPr>
                <w:rFonts w:cs="Tahoma"/>
                <w:b/>
                <w:bCs/>
                <w:color w:val="000000"/>
                <w:sz w:val="14"/>
                <w:szCs w:val="14"/>
                <w:lang w:eastAsia="tr-TR"/>
              </w:rPr>
              <w:t>%</w:t>
            </w:r>
          </w:p>
        </w:tc>
        <w:tc>
          <w:tcPr>
            <w:tcW w:w="312" w:type="pct"/>
            <w:tcBorders>
              <w:top w:val="nil"/>
              <w:left w:val="nil"/>
              <w:bottom w:val="single" w:sz="8" w:space="0" w:color="auto"/>
              <w:right w:val="nil"/>
            </w:tcBorders>
            <w:noWrap/>
            <w:vAlign w:val="bottom"/>
          </w:tcPr>
          <w:p w:rsidR="00565FD5" w:rsidRPr="00C91E15" w:rsidRDefault="00565FD5" w:rsidP="00AB62A3">
            <w:pPr>
              <w:jc w:val="right"/>
              <w:rPr>
                <w:rFonts w:cs="Tahoma"/>
                <w:b/>
                <w:bCs/>
                <w:color w:val="000000"/>
                <w:sz w:val="14"/>
                <w:szCs w:val="14"/>
                <w:lang w:eastAsia="tr-TR"/>
              </w:rPr>
            </w:pPr>
            <w:r w:rsidRPr="00C91E15">
              <w:rPr>
                <w:rFonts w:cs="Tahoma"/>
                <w:b/>
                <w:bCs/>
                <w:color w:val="000000"/>
                <w:sz w:val="14"/>
                <w:szCs w:val="14"/>
                <w:lang w:eastAsia="tr-TR"/>
              </w:rPr>
              <w:t>GWh</w:t>
            </w:r>
          </w:p>
        </w:tc>
        <w:tc>
          <w:tcPr>
            <w:tcW w:w="221" w:type="pct"/>
            <w:tcBorders>
              <w:top w:val="nil"/>
              <w:left w:val="nil"/>
              <w:bottom w:val="single" w:sz="8" w:space="0" w:color="auto"/>
              <w:right w:val="single" w:sz="8" w:space="0" w:color="auto"/>
            </w:tcBorders>
            <w:noWrap/>
            <w:vAlign w:val="bottom"/>
          </w:tcPr>
          <w:p w:rsidR="00565FD5" w:rsidRPr="00C91E15" w:rsidRDefault="00565FD5" w:rsidP="00AB62A3">
            <w:pPr>
              <w:jc w:val="right"/>
              <w:rPr>
                <w:rFonts w:cs="Tahoma"/>
                <w:b/>
                <w:bCs/>
                <w:color w:val="000000"/>
                <w:sz w:val="14"/>
                <w:szCs w:val="14"/>
                <w:lang w:eastAsia="tr-TR"/>
              </w:rPr>
            </w:pPr>
            <w:r w:rsidRPr="00C91E15">
              <w:rPr>
                <w:rFonts w:cs="Tahoma"/>
                <w:b/>
                <w:bCs/>
                <w:color w:val="000000"/>
                <w:sz w:val="14"/>
                <w:szCs w:val="14"/>
                <w:lang w:eastAsia="tr-TR"/>
              </w:rPr>
              <w:t>%</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1990</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621</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1,1</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19 560</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34,0</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3 942</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6,9</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10 192</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17,7</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34 315</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59,6</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23 148</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40,2</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80</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57 543</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1991</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999</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1,7</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20 563</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34,1</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3 293</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5,5</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12 589</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20,9</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38</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37 482</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62,2</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22 683</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37,7</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81</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60 246</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1992</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1 815</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2,7</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22 756</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33,8</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5 273</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7,8</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10 814</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16,1</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47</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40 705</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60,4</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26 568</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39,5</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69</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67 342</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1993</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1 796</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2,4</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21 964</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29,8</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5 175</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7,0</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10 788</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14,6</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56</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39 779</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53,9</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33 951</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46,0</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78</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73 808</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1994</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1 978</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2,5</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26 257</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33,5</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5 549</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7,1</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13 822</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17,6</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51</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47 657</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60,8</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30 586</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39,1</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79</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78 322</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1995</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2 232</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2,6</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25 815</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29,9</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5 772</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6,7</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16 579</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19,2</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222</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0,3</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50 620</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58,7</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35 541</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41,2</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86</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86 247</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1996</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2 574</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2,7</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27 840</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29,3</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6 540</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6,9</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17 174</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18,1</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175</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0,2</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54 303</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57,2</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40 475</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42,7</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84</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94 862</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1997</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3 272</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3,2</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30 587</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29,6</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7 157</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6,9</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22 086</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21,4</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294</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0,3</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63 397</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61,4</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39 816</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38,5</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83</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103 296</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1998</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2 981</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2,7</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32 707</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29,5</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7 923</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7,1</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24 837</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22,4</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255</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0,2</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68 703</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61,9</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42 229</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38,0</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90</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0,1</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111 022</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1999</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3 123</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2,7</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33 908</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29,1</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8 080</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6,9</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36 345</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31,2</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205</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0,2</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81 661</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70,1</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34 677</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29,8</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102</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0,1</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116 440</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2000</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3 819</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3,1</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34 367</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27,5</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9 311</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7,5</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46 217</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37,0</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220</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0,2</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93 934</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75,2</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30 879</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24,7</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109</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0,1</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124 922</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lastRenderedPageBreak/>
              <w:t>2001</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4 046</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3,3</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34 372</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28,0</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10 366</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8,4</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49 549</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40,4</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230</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0,2</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98 563</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80,3</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24 010</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19,6</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152</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0,1</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122 725</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2002</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4 093</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3,2</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28 056</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21,7</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10 744</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8,3</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52 496</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40,6</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174</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95 563</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73,9</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33 684</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26,0</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153</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0,1</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129 400</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2003</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8 663</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6,2</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23 590</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16,8</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9 196</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6,5</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63 536</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45,2</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116</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105 101</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74,8</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35 329</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25,1</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150</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0,1</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140 580</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2004</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11 998</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8,0</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22 449</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14,9</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7 670</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5,1</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62 242</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41,3</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104</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104 463</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69,3</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46 084</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30,6</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151</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0,1</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150 698</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2005</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13 246</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8,2</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29 946</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18,5</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5 483</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3,4</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73 445</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45,3</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122</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122 242</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75,5</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39 561</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24,4</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153</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0,1</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161 956</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2006</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14 217</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8,1</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32 433</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18,4</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4 340</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2,5</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80 691</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45,8</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154</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131 835</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74,8</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44 244</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25,1</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221</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0,1</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176 300</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2007</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15 136</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7,9</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38 294</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20,0</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6 537</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3,4</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95 025</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49,6</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214</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155 206</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81,0</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35 851</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18,7</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511</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0,3</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191 568</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2008</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15 858</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8,0</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41 858</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21,1</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7 519</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3,8</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98 685</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49,7</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220</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0,1</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164 139</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82,7</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33 270</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16,8</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1 009</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0,5</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198 418</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2009</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16 148</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8,3</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39 537</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20,3</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4 804</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2,5</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96 095</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49,3</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340</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0,2</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156 924</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80,6</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35 958</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18,5</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1 931</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194 813</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2010</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19 104</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9,0</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35 942</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17,0</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2 180</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98 144</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46,5</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458</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0,2</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155 828</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73,8</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51 796</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24,5</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3 584</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1,7</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211 208</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2011</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27 348</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11,9</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38 870</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16,9</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903</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0,4</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104 048</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45,4</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469</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0,2</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171 638</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74,8</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52 339</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22,8</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5 418</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2,4</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229 395</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10"/>
        </w:trPr>
        <w:tc>
          <w:tcPr>
            <w:tcW w:w="415" w:type="pct"/>
            <w:tcBorders>
              <w:top w:val="nil"/>
              <w:left w:val="single" w:sz="8" w:space="0" w:color="auto"/>
              <w:bottom w:val="nil"/>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2012 (1)</w:t>
            </w:r>
          </w:p>
        </w:tc>
        <w:tc>
          <w:tcPr>
            <w:tcW w:w="32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29 000</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11,8</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35 000</w:t>
            </w:r>
          </w:p>
        </w:tc>
        <w:tc>
          <w:tcPr>
            <w:tcW w:w="1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14,3</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3 700</w:t>
            </w:r>
          </w:p>
        </w:tc>
        <w:tc>
          <w:tcPr>
            <w:tcW w:w="15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1,5</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109 500</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44,7</w:t>
            </w:r>
          </w:p>
        </w:tc>
        <w:tc>
          <w:tcPr>
            <w:tcW w:w="301"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500</w:t>
            </w:r>
          </w:p>
        </w:tc>
        <w:tc>
          <w:tcPr>
            <w:tcW w:w="183"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0,2</w:t>
            </w:r>
          </w:p>
        </w:tc>
        <w:tc>
          <w:tcPr>
            <w:tcW w:w="349"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177 700</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72,5</w:t>
            </w:r>
          </w:p>
        </w:tc>
        <w:tc>
          <w:tcPr>
            <w:tcW w:w="298"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61 000</w:t>
            </w:r>
          </w:p>
        </w:tc>
        <w:tc>
          <w:tcPr>
            <w:tcW w:w="197"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24,9</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6 300</w:t>
            </w:r>
          </w:p>
        </w:tc>
        <w:tc>
          <w:tcPr>
            <w:tcW w:w="190"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2,6</w:t>
            </w:r>
          </w:p>
        </w:tc>
        <w:tc>
          <w:tcPr>
            <w:tcW w:w="312" w:type="pct"/>
            <w:tcBorders>
              <w:top w:val="nil"/>
              <w:left w:val="nil"/>
              <w:bottom w:val="nil"/>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245 000</w:t>
            </w:r>
          </w:p>
        </w:tc>
        <w:tc>
          <w:tcPr>
            <w:tcW w:w="221" w:type="pct"/>
            <w:tcBorders>
              <w:top w:val="nil"/>
              <w:left w:val="nil"/>
              <w:bottom w:val="nil"/>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r w:rsidR="00565FD5" w:rsidRPr="00C91E15" w:rsidTr="00AB62A3">
        <w:trPr>
          <w:trHeight w:val="225"/>
        </w:trPr>
        <w:tc>
          <w:tcPr>
            <w:tcW w:w="415" w:type="pct"/>
            <w:tcBorders>
              <w:top w:val="nil"/>
              <w:left w:val="single" w:sz="8" w:space="0" w:color="auto"/>
              <w:bottom w:val="single" w:sz="8" w:space="0" w:color="auto"/>
              <w:right w:val="nil"/>
            </w:tcBorders>
            <w:noWrap/>
            <w:vAlign w:val="bottom"/>
          </w:tcPr>
          <w:p w:rsidR="00565FD5" w:rsidRPr="00C91E15" w:rsidRDefault="00565FD5" w:rsidP="00AB62A3">
            <w:pPr>
              <w:jc w:val="center"/>
              <w:rPr>
                <w:rFonts w:cs="Tahoma"/>
                <w:color w:val="000000"/>
                <w:sz w:val="14"/>
                <w:szCs w:val="14"/>
                <w:lang w:eastAsia="tr-TR"/>
              </w:rPr>
            </w:pPr>
            <w:r w:rsidRPr="00C91E15">
              <w:rPr>
                <w:rFonts w:cs="Tahoma"/>
                <w:color w:val="000000"/>
                <w:sz w:val="14"/>
                <w:szCs w:val="14"/>
                <w:lang w:eastAsia="tr-TR"/>
              </w:rPr>
              <w:t>2013 (2)</w:t>
            </w:r>
          </w:p>
        </w:tc>
        <w:tc>
          <w:tcPr>
            <w:tcW w:w="320" w:type="pct"/>
            <w:tcBorders>
              <w:top w:val="nil"/>
              <w:left w:val="nil"/>
              <w:bottom w:val="single" w:sz="8" w:space="0" w:color="auto"/>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31 500</w:t>
            </w:r>
          </w:p>
        </w:tc>
        <w:tc>
          <w:tcPr>
            <w:tcW w:w="197" w:type="pct"/>
            <w:tcBorders>
              <w:top w:val="nil"/>
              <w:left w:val="nil"/>
              <w:bottom w:val="single" w:sz="8" w:space="0" w:color="auto"/>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12,0</w:t>
            </w:r>
          </w:p>
        </w:tc>
        <w:tc>
          <w:tcPr>
            <w:tcW w:w="298" w:type="pct"/>
            <w:tcBorders>
              <w:top w:val="nil"/>
              <w:left w:val="nil"/>
              <w:bottom w:val="single" w:sz="8" w:space="0" w:color="auto"/>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37 500</w:t>
            </w:r>
          </w:p>
        </w:tc>
        <w:tc>
          <w:tcPr>
            <w:tcW w:w="198" w:type="pct"/>
            <w:tcBorders>
              <w:top w:val="nil"/>
              <w:left w:val="nil"/>
              <w:bottom w:val="single" w:sz="8" w:space="0" w:color="auto"/>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14,3</w:t>
            </w:r>
          </w:p>
        </w:tc>
        <w:tc>
          <w:tcPr>
            <w:tcW w:w="312" w:type="pct"/>
            <w:tcBorders>
              <w:top w:val="nil"/>
              <w:left w:val="nil"/>
              <w:bottom w:val="single" w:sz="8" w:space="0" w:color="auto"/>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2 800</w:t>
            </w:r>
          </w:p>
        </w:tc>
        <w:tc>
          <w:tcPr>
            <w:tcW w:w="153" w:type="pct"/>
            <w:tcBorders>
              <w:top w:val="nil"/>
              <w:left w:val="nil"/>
              <w:bottom w:val="single" w:sz="8" w:space="0" w:color="auto"/>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1,1</w:t>
            </w:r>
          </w:p>
        </w:tc>
        <w:tc>
          <w:tcPr>
            <w:tcW w:w="349" w:type="pct"/>
            <w:tcBorders>
              <w:top w:val="nil"/>
              <w:left w:val="nil"/>
              <w:bottom w:val="single" w:sz="8" w:space="0" w:color="auto"/>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115 000</w:t>
            </w:r>
          </w:p>
        </w:tc>
        <w:tc>
          <w:tcPr>
            <w:tcW w:w="197" w:type="pct"/>
            <w:tcBorders>
              <w:top w:val="nil"/>
              <w:left w:val="nil"/>
              <w:bottom w:val="single" w:sz="8" w:space="0" w:color="auto"/>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44,0</w:t>
            </w:r>
          </w:p>
        </w:tc>
        <w:tc>
          <w:tcPr>
            <w:tcW w:w="301" w:type="pct"/>
            <w:tcBorders>
              <w:top w:val="nil"/>
              <w:left w:val="nil"/>
              <w:bottom w:val="single" w:sz="8" w:space="0" w:color="auto"/>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700</w:t>
            </w:r>
          </w:p>
        </w:tc>
        <w:tc>
          <w:tcPr>
            <w:tcW w:w="183" w:type="pct"/>
            <w:tcBorders>
              <w:top w:val="nil"/>
              <w:left w:val="nil"/>
              <w:bottom w:val="single" w:sz="8" w:space="0" w:color="auto"/>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0,3</w:t>
            </w:r>
          </w:p>
        </w:tc>
        <w:tc>
          <w:tcPr>
            <w:tcW w:w="349" w:type="pct"/>
            <w:tcBorders>
              <w:top w:val="nil"/>
              <w:left w:val="nil"/>
              <w:bottom w:val="single" w:sz="8" w:space="0" w:color="auto"/>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187 500</w:t>
            </w:r>
          </w:p>
        </w:tc>
        <w:tc>
          <w:tcPr>
            <w:tcW w:w="197" w:type="pct"/>
            <w:tcBorders>
              <w:top w:val="nil"/>
              <w:left w:val="nil"/>
              <w:bottom w:val="single" w:sz="8" w:space="0" w:color="auto"/>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71,7</w:t>
            </w:r>
          </w:p>
        </w:tc>
        <w:tc>
          <w:tcPr>
            <w:tcW w:w="298" w:type="pct"/>
            <w:tcBorders>
              <w:top w:val="nil"/>
              <w:left w:val="nil"/>
              <w:bottom w:val="single" w:sz="8" w:space="0" w:color="auto"/>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67 000</w:t>
            </w:r>
          </w:p>
        </w:tc>
        <w:tc>
          <w:tcPr>
            <w:tcW w:w="197" w:type="pct"/>
            <w:tcBorders>
              <w:top w:val="nil"/>
              <w:left w:val="nil"/>
              <w:bottom w:val="single" w:sz="8" w:space="0" w:color="auto"/>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25,6</w:t>
            </w:r>
          </w:p>
        </w:tc>
        <w:tc>
          <w:tcPr>
            <w:tcW w:w="312" w:type="pct"/>
            <w:tcBorders>
              <w:top w:val="nil"/>
              <w:left w:val="nil"/>
              <w:bottom w:val="single" w:sz="8" w:space="0" w:color="auto"/>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7 000</w:t>
            </w:r>
          </w:p>
        </w:tc>
        <w:tc>
          <w:tcPr>
            <w:tcW w:w="190" w:type="pct"/>
            <w:tcBorders>
              <w:top w:val="nil"/>
              <w:left w:val="nil"/>
              <w:bottom w:val="single" w:sz="8" w:space="0" w:color="auto"/>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2,7</w:t>
            </w:r>
          </w:p>
        </w:tc>
        <w:tc>
          <w:tcPr>
            <w:tcW w:w="312" w:type="pct"/>
            <w:tcBorders>
              <w:top w:val="nil"/>
              <w:left w:val="nil"/>
              <w:bottom w:val="single" w:sz="8" w:space="0" w:color="auto"/>
              <w:right w:val="nil"/>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261 500</w:t>
            </w:r>
          </w:p>
        </w:tc>
        <w:tc>
          <w:tcPr>
            <w:tcW w:w="221" w:type="pct"/>
            <w:tcBorders>
              <w:top w:val="nil"/>
              <w:left w:val="nil"/>
              <w:bottom w:val="single" w:sz="8" w:space="0" w:color="auto"/>
              <w:right w:val="single" w:sz="8" w:space="0" w:color="auto"/>
            </w:tcBorders>
            <w:noWrap/>
            <w:vAlign w:val="bottom"/>
          </w:tcPr>
          <w:p w:rsidR="00565FD5" w:rsidRPr="00C91E15" w:rsidRDefault="00565FD5" w:rsidP="00AB62A3">
            <w:pPr>
              <w:jc w:val="right"/>
              <w:rPr>
                <w:rFonts w:cs="Tahoma"/>
                <w:color w:val="000000"/>
                <w:sz w:val="14"/>
                <w:szCs w:val="14"/>
                <w:lang w:eastAsia="tr-TR"/>
              </w:rPr>
            </w:pPr>
            <w:r w:rsidRPr="00C91E15">
              <w:rPr>
                <w:rFonts w:cs="Tahoma"/>
                <w:color w:val="000000"/>
                <w:sz w:val="14"/>
                <w:szCs w:val="14"/>
                <w:lang w:eastAsia="tr-TR"/>
              </w:rPr>
              <w:t>100,0</w:t>
            </w:r>
          </w:p>
        </w:tc>
      </w:tr>
    </w:tbl>
    <w:p w:rsidR="00565FD5" w:rsidRPr="00C91E15" w:rsidRDefault="00565FD5" w:rsidP="00565FD5">
      <w:pPr>
        <w:rPr>
          <w:rFonts w:cs="Tahoma"/>
          <w:color w:val="000000"/>
          <w:sz w:val="14"/>
          <w:szCs w:val="14"/>
          <w:lang w:eastAsia="tr-TR"/>
        </w:rPr>
      </w:pPr>
      <w:r w:rsidRPr="00C91E15">
        <w:rPr>
          <w:rFonts w:cs="Tahoma"/>
          <w:color w:val="000000"/>
          <w:sz w:val="14"/>
          <w:szCs w:val="14"/>
          <w:lang w:eastAsia="tr-TR"/>
        </w:rPr>
        <w:t>(1) Gerçekleşme tahmini</w:t>
      </w:r>
    </w:p>
    <w:p w:rsidR="00565FD5" w:rsidRPr="00C91E15" w:rsidRDefault="00565FD5" w:rsidP="00565FD5">
      <w:pPr>
        <w:rPr>
          <w:rFonts w:cs="Tahoma"/>
          <w:color w:val="000000"/>
          <w:sz w:val="14"/>
          <w:szCs w:val="14"/>
          <w:lang w:eastAsia="tr-TR"/>
        </w:rPr>
      </w:pPr>
      <w:r w:rsidRPr="00C91E15">
        <w:rPr>
          <w:rFonts w:cs="Tahoma"/>
          <w:color w:val="000000"/>
          <w:sz w:val="14"/>
          <w:szCs w:val="14"/>
          <w:lang w:eastAsia="tr-TR"/>
        </w:rPr>
        <w:t xml:space="preserve">(2) </w:t>
      </w:r>
      <w:r>
        <w:rPr>
          <w:rFonts w:cs="Tahoma"/>
          <w:color w:val="000000"/>
          <w:sz w:val="14"/>
          <w:szCs w:val="14"/>
          <w:lang w:eastAsia="tr-TR"/>
        </w:rPr>
        <w:t>Program</w:t>
      </w:r>
    </w:p>
    <w:p w:rsidR="00565FD5" w:rsidRPr="00C91E15" w:rsidRDefault="00565FD5" w:rsidP="00565FD5">
      <w:pPr>
        <w:rPr>
          <w:rFonts w:cs="Tahoma"/>
          <w:color w:val="000000"/>
          <w:sz w:val="14"/>
          <w:szCs w:val="14"/>
          <w:lang w:eastAsia="tr-TR"/>
        </w:rPr>
      </w:pPr>
    </w:p>
    <w:p w:rsidR="00565FD5" w:rsidRPr="00C91E15" w:rsidRDefault="00565FD5" w:rsidP="00565FD5">
      <w:pPr>
        <w:rPr>
          <w:rFonts w:cs="Tahoma"/>
          <w:color w:val="000000"/>
          <w:sz w:val="14"/>
          <w:szCs w:val="14"/>
          <w:lang w:eastAsia="tr-TR"/>
        </w:rPr>
        <w:sectPr w:rsidR="00565FD5" w:rsidRPr="00C91E15" w:rsidSect="00250B7F">
          <w:pgSz w:w="16838" w:h="11906" w:orient="landscape" w:code="9"/>
          <w:pgMar w:top="2381" w:right="2948" w:bottom="2381" w:left="2948" w:header="2268" w:footer="2268" w:gutter="0"/>
          <w:cols w:space="708"/>
          <w:docGrid w:linePitch="360"/>
        </w:sectPr>
      </w:pPr>
    </w:p>
    <w:p w:rsidR="00565FD5" w:rsidRPr="00C91E15" w:rsidRDefault="00565FD5" w:rsidP="00565FD5">
      <w:pPr>
        <w:pStyle w:val="Balk4"/>
      </w:pPr>
      <w:bookmarkStart w:id="1559" w:name="_Toc244339602"/>
      <w:bookmarkStart w:id="1560" w:name="_Toc244661413"/>
      <w:bookmarkStart w:id="1561" w:name="_Toc338523796"/>
      <w:bookmarkStart w:id="1562" w:name="_Toc338524027"/>
      <w:bookmarkStart w:id="1563" w:name="_Toc338526253"/>
      <w:bookmarkStart w:id="1564" w:name="_Toc338673696"/>
      <w:bookmarkStart w:id="1565" w:name="_Toc338711575"/>
      <w:bookmarkEnd w:id="1551"/>
      <w:bookmarkEnd w:id="1552"/>
      <w:r w:rsidRPr="00C91E15">
        <w:lastRenderedPageBreak/>
        <w:t>2. Temel Amaç ve Hedefler</w:t>
      </w:r>
      <w:bookmarkEnd w:id="1559"/>
      <w:bookmarkEnd w:id="1560"/>
      <w:bookmarkEnd w:id="1561"/>
      <w:bookmarkEnd w:id="1562"/>
      <w:bookmarkEnd w:id="1563"/>
      <w:bookmarkEnd w:id="1564"/>
      <w:bookmarkEnd w:id="1565"/>
    </w:p>
    <w:p w:rsidR="00565FD5" w:rsidRPr="00C91E15" w:rsidRDefault="00565FD5" w:rsidP="00565FD5">
      <w:pPr>
        <w:spacing w:after="140"/>
        <w:ind w:firstLine="425"/>
        <w:rPr>
          <w:rFonts w:cs="Tahoma"/>
          <w:szCs w:val="18"/>
        </w:rPr>
      </w:pPr>
      <w:r w:rsidRPr="00C91E15">
        <w:rPr>
          <w:rFonts w:cs="Tahoma"/>
          <w:szCs w:val="18"/>
        </w:rPr>
        <w:t>Enerji politikasının temel amacı; iktisadi kalkınmanın ve sosyal gelişmenin ihtiyaç duyduğu enerjinin rekabetçi bir serbest piyasa ortamında sürekli, kaliteli, güvenli, çevreye duyarlı ve mümkün olan en düşük maliyetle teminidir.</w:t>
      </w:r>
    </w:p>
    <w:p w:rsidR="00565FD5" w:rsidRPr="00C91E15" w:rsidRDefault="00565FD5" w:rsidP="00565FD5">
      <w:pPr>
        <w:spacing w:after="140"/>
        <w:ind w:firstLine="425"/>
        <w:rPr>
          <w:rFonts w:cs="Tahoma"/>
          <w:szCs w:val="18"/>
        </w:rPr>
      </w:pPr>
      <w:r w:rsidRPr="00C91E15">
        <w:rPr>
          <w:rFonts w:cs="Tahoma"/>
          <w:szCs w:val="18"/>
        </w:rPr>
        <w:t xml:space="preserve">2012 yılında nükleer enerji alanında hukuki ve kurumsal altyapının güçlendirilmesine devam edilecektir. Elektrik arz kaynaklarının sağlıklı bir şekilde çeşitlendirilmesine katkı sunacak olan nükleer santral yapım çalışmaları sürdürülecektir. </w:t>
      </w:r>
    </w:p>
    <w:p w:rsidR="00565FD5" w:rsidRPr="00C91E15" w:rsidRDefault="00565FD5" w:rsidP="00565FD5">
      <w:pPr>
        <w:spacing w:after="140"/>
        <w:ind w:firstLine="425"/>
        <w:rPr>
          <w:rFonts w:cs="Tahoma"/>
          <w:szCs w:val="18"/>
        </w:rPr>
      </w:pPr>
      <w:r w:rsidRPr="00C91E15">
        <w:rPr>
          <w:rFonts w:cs="Tahoma"/>
          <w:szCs w:val="18"/>
        </w:rPr>
        <w:t>Enerji arz güvenliğinin sağlanması ve sürdürülmesi için yerli ve yenilenebilir enerji kaynaklarının geliştirilmesine önem verilecektir. Bu kapsamda, yerli kömür kaynaklarımızın değerlendirilmesi ve yenilenebilir enerji kaynaklarının enerji üretiminde daha fazla pay sahibi olması için yürütülen çalışmalara devam edilecektir. Enerji üretim, iletim ve tüketiminde verimliliğinin artırılması, talep tarafı yönetiminin gerçekleştirilmesi ve 5627 sayılı Enerji Verimliliği Kanununun öngördüğü mekanizmaların etkin bir şekilde uygulanması öncelikli bir hedef olarak benimsenecektir.</w:t>
      </w:r>
    </w:p>
    <w:p w:rsidR="00565FD5" w:rsidRPr="00C91E15" w:rsidRDefault="00565FD5" w:rsidP="00565FD5">
      <w:pPr>
        <w:spacing w:after="140"/>
        <w:ind w:firstLine="425"/>
        <w:rPr>
          <w:rFonts w:cs="Tahoma"/>
          <w:szCs w:val="18"/>
        </w:rPr>
      </w:pPr>
      <w:r w:rsidRPr="00C91E15">
        <w:rPr>
          <w:rFonts w:cs="Tahoma"/>
          <w:szCs w:val="18"/>
        </w:rPr>
        <w:t xml:space="preserve">Toplam enerji arzında önemli bir yer tutan doğal gazın arz güvenliğinin ulusal düzeyde artırılması sağlanacak, mevsimsel talep dalgalanmalarına karşı tedbirler alınacaktır. Kuzey Marmara ve Değirmenköy sahalarındaki tesislerin kapasite artırımı çalışmalarına ve Tuz Gölü Doğal Gaz Yeraltı Depolama Tesisi projesinin yapımına devam edilecektir. </w:t>
      </w:r>
    </w:p>
    <w:p w:rsidR="00565FD5" w:rsidRPr="00C91E15" w:rsidRDefault="00565FD5" w:rsidP="00565FD5">
      <w:pPr>
        <w:spacing w:after="140"/>
        <w:ind w:firstLine="425"/>
        <w:rPr>
          <w:rFonts w:cs="Tahoma"/>
          <w:szCs w:val="18"/>
        </w:rPr>
      </w:pPr>
      <w:r w:rsidRPr="00C91E15">
        <w:rPr>
          <w:rFonts w:cs="Tahoma"/>
          <w:szCs w:val="18"/>
        </w:rPr>
        <w:t>Talep yönetimine yönelik tedbirlerle elektrik talep artışının sınırlanması, arz tarafı tedbirleriyle mevcut elektrik arz imkânının verimli kullanılması ve genişletilmesi hedeflenmektedir. Orta ve uzun dönemli arz güvenliği için, inşa halinde olan ve lisans almış santral projelerinin öngörülen tarihlerde devreye alınması büyük önem arz etmektedir. Bu kapsamda, lisans alarak elektrik üretim tesisi yapmayı taahhüt etmiş girişimcilerin projelerini hayata geçirebilmeleri için gerekli tedbirlerin alınmasına devam edilecektir. Enerji yatırımlarının insan sağlığına ve ekolojik dengeye zarar vermeyecek bir anlayışla gerçekleştirilmesi için azami özen gösterilecektir.</w:t>
      </w:r>
    </w:p>
    <w:p w:rsidR="00565FD5" w:rsidRPr="00C91E15" w:rsidRDefault="00565FD5" w:rsidP="00565FD5">
      <w:pPr>
        <w:spacing w:after="140"/>
        <w:ind w:firstLine="425"/>
        <w:rPr>
          <w:rFonts w:cs="Tahoma"/>
          <w:szCs w:val="18"/>
        </w:rPr>
      </w:pPr>
      <w:r w:rsidRPr="00C91E15">
        <w:rPr>
          <w:rFonts w:cs="Tahoma"/>
          <w:szCs w:val="18"/>
        </w:rPr>
        <w:t xml:space="preserve">Elektrik, doğal gaz ve petrol sektörlerinde, rekabetçi serbest piyasaların oluşturulması ve geliştirilmesi çalışmalarına devam edilecektir. Serbest piyasa faaliyetlerinde, fiyat rekabetleri vasıtasıyla tüketicilerin olumlu yönde </w:t>
      </w:r>
      <w:r w:rsidRPr="00C91E15">
        <w:rPr>
          <w:rFonts w:cs="Tahoma"/>
          <w:szCs w:val="18"/>
        </w:rPr>
        <w:lastRenderedPageBreak/>
        <w:t>etkilenmesi, tekelleşme eğilimlerinin engellenmesi, dikey ve yatay bütünleşme girişimlerinin önüne geçilmesi ve yatırımların istikrarlı bir şekilde sürdürülmesi amaçlanacaktır.</w:t>
      </w:r>
    </w:p>
    <w:p w:rsidR="00565FD5" w:rsidRPr="00C91E15" w:rsidRDefault="00565FD5" w:rsidP="00565FD5">
      <w:pPr>
        <w:spacing w:after="140"/>
        <w:ind w:firstLine="425"/>
        <w:rPr>
          <w:rFonts w:cs="Tahoma"/>
          <w:szCs w:val="18"/>
        </w:rPr>
      </w:pPr>
      <w:r w:rsidRPr="00C91E15">
        <w:rPr>
          <w:rFonts w:cs="Tahoma"/>
          <w:szCs w:val="18"/>
        </w:rPr>
        <w:t>Küresel düzeyde enerji güvenliğine ilişkin kaygıların sürdüğü ve enerji güvenliği konusunun uluslararası gündemin ilk sıralarına yükseldiği günümüzde, Türkiye’nin güvenli bir transit güzergâhı ve terminal ülke olma politikası güçlendirilecektir.</w:t>
      </w:r>
    </w:p>
    <w:p w:rsidR="00565FD5" w:rsidRPr="00C91E15" w:rsidRDefault="00565FD5" w:rsidP="00565FD5">
      <w:pPr>
        <w:spacing w:after="140"/>
        <w:ind w:firstLine="425"/>
        <w:rPr>
          <w:rFonts w:cs="Tahoma"/>
          <w:szCs w:val="18"/>
        </w:rPr>
      </w:pPr>
      <w:r w:rsidRPr="00C91E15">
        <w:rPr>
          <w:rFonts w:cs="Tahoma"/>
          <w:szCs w:val="18"/>
        </w:rPr>
        <w:t xml:space="preserve">2013 yılında Türkiye toplam elektrik tüketiminin 263 milyar kWh </w:t>
      </w:r>
      <w:r>
        <w:rPr>
          <w:rFonts w:cs="Tahoma"/>
          <w:szCs w:val="18"/>
        </w:rPr>
        <w:t xml:space="preserve">olması </w:t>
      </w:r>
      <w:r w:rsidRPr="00C91E15">
        <w:rPr>
          <w:rFonts w:cs="Tahoma"/>
          <w:szCs w:val="18"/>
        </w:rPr>
        <w:t>ve kişi başı elektrik tüketiminin 3.469 kWh’e yükselmesi beklenmektedir.</w:t>
      </w:r>
    </w:p>
    <w:p w:rsidR="00565FD5" w:rsidRPr="00C91E15" w:rsidRDefault="00565FD5" w:rsidP="00565FD5">
      <w:pPr>
        <w:spacing w:after="140"/>
        <w:ind w:firstLine="425"/>
        <w:rPr>
          <w:rFonts w:cs="Tahoma"/>
          <w:szCs w:val="18"/>
        </w:rPr>
      </w:pPr>
      <w:r w:rsidRPr="00C91E15">
        <w:rPr>
          <w:rFonts w:cs="Tahoma"/>
          <w:szCs w:val="18"/>
        </w:rPr>
        <w:t>2013 yılında elektrik santralleri toplam kurulu gücünün yaklaşık yüzde 5 büyüyerek 59.389 MW’a çıkacağı tahmin edilmektedir.</w:t>
      </w:r>
    </w:p>
    <w:p w:rsidR="00565FD5" w:rsidRPr="00C91E15" w:rsidRDefault="00565FD5" w:rsidP="00565FD5">
      <w:pPr>
        <w:spacing w:after="140"/>
        <w:ind w:firstLine="425"/>
        <w:rPr>
          <w:rFonts w:cs="Tahoma"/>
          <w:szCs w:val="18"/>
        </w:rPr>
      </w:pPr>
      <w:r w:rsidRPr="00C91E15">
        <w:rPr>
          <w:rFonts w:cs="Tahoma"/>
          <w:szCs w:val="18"/>
        </w:rPr>
        <w:t>Doğal gaz yakıtlı santrallerin toplam elektrik üretimindeki payının yüzde 45 seviyesinde kalması beklenmektedir.</w:t>
      </w:r>
    </w:p>
    <w:p w:rsidR="00565FD5" w:rsidRPr="00C91E15" w:rsidRDefault="00565FD5" w:rsidP="00565FD5">
      <w:pPr>
        <w:spacing w:after="180"/>
        <w:ind w:firstLine="425"/>
        <w:rPr>
          <w:rFonts w:cs="Tahoma"/>
          <w:szCs w:val="18"/>
        </w:rPr>
      </w:pPr>
      <w:r w:rsidRPr="00C91E15">
        <w:rPr>
          <w:rFonts w:cs="Tahoma"/>
          <w:szCs w:val="18"/>
        </w:rPr>
        <w:t>Yenilenebilir kaynaklı elektrik üretiminin 2013 yılında 74,7 milyar kWh’e çıkacağı ve toplam elektrik üretimi içindeki payının yüzde 28,6’ya yükseleceği tahmin edilmektedir.</w:t>
      </w:r>
    </w:p>
    <w:p w:rsidR="00565FD5" w:rsidRPr="00C91E15" w:rsidRDefault="00565FD5" w:rsidP="00565FD5">
      <w:pPr>
        <w:pStyle w:val="Balk4"/>
      </w:pPr>
      <w:bookmarkStart w:id="1566" w:name="_Toc244339603"/>
      <w:bookmarkStart w:id="1567" w:name="_Toc244661414"/>
      <w:bookmarkStart w:id="1568" w:name="_Toc338505570"/>
      <w:bookmarkStart w:id="1569" w:name="_Toc338523797"/>
      <w:bookmarkStart w:id="1570" w:name="_Toc338524028"/>
      <w:bookmarkStart w:id="1571" w:name="_Toc338526254"/>
      <w:bookmarkStart w:id="1572" w:name="_Toc338673697"/>
      <w:bookmarkStart w:id="1573" w:name="_Toc338711576"/>
      <w:r w:rsidRPr="00C91E15">
        <w:t>3. Politika Öncelikleri ve Tedbirler</w:t>
      </w:r>
      <w:bookmarkEnd w:id="1566"/>
      <w:bookmarkEnd w:id="1567"/>
      <w:bookmarkEnd w:id="1568"/>
      <w:bookmarkEnd w:id="1569"/>
      <w:bookmarkEnd w:id="1570"/>
      <w:bookmarkEnd w:id="1571"/>
      <w:bookmarkEnd w:id="1572"/>
      <w:bookmarkEnd w:id="1573"/>
      <w:r w:rsidRPr="00C91E15">
        <w:t xml:space="preserve"> </w:t>
      </w:r>
    </w:p>
    <w:tbl>
      <w:tblPr>
        <w:tblW w:w="7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8"/>
        <w:gridCol w:w="1902"/>
        <w:gridCol w:w="619"/>
        <w:gridCol w:w="2756"/>
      </w:tblGrid>
      <w:tr w:rsidR="00565FD5" w:rsidRPr="00C91E15" w:rsidTr="00AB62A3">
        <w:trPr>
          <w:trHeight w:val="437"/>
          <w:jc w:val="center"/>
        </w:trPr>
        <w:tc>
          <w:tcPr>
            <w:tcW w:w="1167" w:type="pct"/>
            <w:vAlign w:val="bottom"/>
          </w:tcPr>
          <w:p w:rsidR="00565FD5" w:rsidRPr="00C91E15" w:rsidRDefault="00565FD5" w:rsidP="00AB62A3">
            <w:pPr>
              <w:rPr>
                <w:rFonts w:cs="Tahoma"/>
                <w:b/>
                <w:bCs/>
                <w:sz w:val="16"/>
                <w:szCs w:val="16"/>
              </w:rPr>
            </w:pPr>
            <w:r w:rsidRPr="00C91E15">
              <w:rPr>
                <w:rFonts w:cs="Tahoma"/>
                <w:b/>
                <w:bCs/>
                <w:sz w:val="16"/>
                <w:szCs w:val="16"/>
              </w:rPr>
              <w:t>Öncelik / Tedbir</w:t>
            </w:r>
          </w:p>
        </w:tc>
        <w:tc>
          <w:tcPr>
            <w:tcW w:w="1378" w:type="pct"/>
            <w:vAlign w:val="bottom"/>
          </w:tcPr>
          <w:p w:rsidR="00565FD5" w:rsidRPr="00C91E15" w:rsidRDefault="00565FD5" w:rsidP="00AB62A3">
            <w:pPr>
              <w:rPr>
                <w:rFonts w:cs="Tahoma"/>
                <w:b/>
                <w:bCs/>
                <w:sz w:val="16"/>
                <w:szCs w:val="16"/>
              </w:rPr>
            </w:pPr>
            <w:r w:rsidRPr="00C91E15">
              <w:rPr>
                <w:rFonts w:cs="Tahoma"/>
                <w:b/>
                <w:bCs/>
                <w:sz w:val="16"/>
                <w:szCs w:val="16"/>
              </w:rPr>
              <w:t>Sorumlu / İşbirliği</w:t>
            </w:r>
          </w:p>
          <w:p w:rsidR="00565FD5" w:rsidRPr="00C91E15" w:rsidRDefault="00565FD5" w:rsidP="00AB62A3">
            <w:pPr>
              <w:rPr>
                <w:rFonts w:cs="Tahoma"/>
                <w:b/>
                <w:bCs/>
                <w:sz w:val="16"/>
                <w:szCs w:val="16"/>
              </w:rPr>
            </w:pPr>
            <w:r w:rsidRPr="00C91E15">
              <w:rPr>
                <w:rFonts w:cs="Tahoma"/>
                <w:b/>
                <w:bCs/>
                <w:sz w:val="16"/>
                <w:szCs w:val="16"/>
              </w:rPr>
              <w:t>Yapılacak Kuruluşlar</w:t>
            </w:r>
          </w:p>
        </w:tc>
        <w:tc>
          <w:tcPr>
            <w:tcW w:w="478" w:type="pct"/>
            <w:vAlign w:val="bottom"/>
          </w:tcPr>
          <w:p w:rsidR="00565FD5" w:rsidRPr="00C91E15" w:rsidRDefault="00565FD5" w:rsidP="00AB62A3">
            <w:pPr>
              <w:rPr>
                <w:rFonts w:cs="Tahoma"/>
                <w:b/>
                <w:bCs/>
                <w:sz w:val="16"/>
                <w:szCs w:val="16"/>
              </w:rPr>
            </w:pPr>
            <w:r w:rsidRPr="00C91E15">
              <w:rPr>
                <w:rFonts w:cs="Tahoma"/>
                <w:b/>
                <w:bCs/>
                <w:sz w:val="16"/>
                <w:szCs w:val="16"/>
              </w:rPr>
              <w:t>Süre</w:t>
            </w:r>
          </w:p>
        </w:tc>
        <w:tc>
          <w:tcPr>
            <w:tcW w:w="1978" w:type="pct"/>
            <w:vAlign w:val="bottom"/>
          </w:tcPr>
          <w:p w:rsidR="00565FD5" w:rsidRPr="00C91E15" w:rsidRDefault="00565FD5" w:rsidP="00AB62A3">
            <w:pPr>
              <w:rPr>
                <w:rFonts w:cs="Tahoma"/>
                <w:b/>
                <w:bCs/>
                <w:sz w:val="16"/>
                <w:szCs w:val="16"/>
              </w:rPr>
            </w:pPr>
            <w:r w:rsidRPr="00C91E15">
              <w:rPr>
                <w:rFonts w:cs="Tahoma"/>
                <w:b/>
                <w:bCs/>
                <w:sz w:val="16"/>
                <w:szCs w:val="16"/>
              </w:rPr>
              <w:t>Yapılacak İşlem ve Açıklama</w:t>
            </w:r>
          </w:p>
        </w:tc>
      </w:tr>
      <w:tr w:rsidR="00565FD5" w:rsidRPr="00C91E15" w:rsidTr="00AB62A3">
        <w:trPr>
          <w:trHeight w:val="437"/>
          <w:jc w:val="center"/>
        </w:trPr>
        <w:tc>
          <w:tcPr>
            <w:tcW w:w="5000" w:type="pct"/>
            <w:gridSpan w:val="4"/>
          </w:tcPr>
          <w:p w:rsidR="00565FD5" w:rsidRPr="00C91E15" w:rsidRDefault="00565FD5" w:rsidP="00EB1E69">
            <w:pPr>
              <w:numPr>
                <w:ilvl w:val="0"/>
                <w:numId w:val="15"/>
              </w:numPr>
              <w:tabs>
                <w:tab w:val="left" w:pos="425"/>
              </w:tabs>
              <w:spacing w:after="0" w:line="240" w:lineRule="auto"/>
              <w:jc w:val="both"/>
              <w:rPr>
                <w:rFonts w:cs="Tahoma"/>
                <w:b/>
                <w:bCs/>
                <w:sz w:val="16"/>
                <w:szCs w:val="16"/>
              </w:rPr>
            </w:pPr>
            <w:r w:rsidRPr="00C91E15">
              <w:rPr>
                <w:rFonts w:cs="Tahoma"/>
                <w:b/>
                <w:bCs/>
                <w:sz w:val="16"/>
                <w:szCs w:val="16"/>
              </w:rPr>
              <w:t xml:space="preserve">Enerji arz güvenliğinin artırılması için izleme ve değerlendirme yapılacak, yerli ve yenilenebilir kaynaklardan daha çok yararlanılması sağlanacaktır. </w:t>
            </w:r>
          </w:p>
        </w:tc>
      </w:tr>
      <w:tr w:rsidR="00565FD5" w:rsidRPr="00C91E15" w:rsidTr="00AB62A3">
        <w:trPr>
          <w:jc w:val="center"/>
        </w:trPr>
        <w:tc>
          <w:tcPr>
            <w:tcW w:w="1167" w:type="pct"/>
          </w:tcPr>
          <w:p w:rsidR="00565FD5" w:rsidRPr="00D75202" w:rsidRDefault="00565FD5" w:rsidP="00EB1E69">
            <w:pPr>
              <w:numPr>
                <w:ilvl w:val="0"/>
                <w:numId w:val="14"/>
              </w:numPr>
              <w:tabs>
                <w:tab w:val="left" w:pos="425"/>
              </w:tabs>
              <w:spacing w:after="0" w:line="240" w:lineRule="auto"/>
              <w:rPr>
                <w:rFonts w:cs="Tahoma"/>
                <w:sz w:val="16"/>
                <w:szCs w:val="16"/>
              </w:rPr>
            </w:pPr>
            <w:r w:rsidRPr="00D75202">
              <w:rPr>
                <w:rFonts w:cs="Tahoma"/>
                <w:sz w:val="16"/>
                <w:szCs w:val="16"/>
              </w:rPr>
              <w:t>Elektrik arz güvenliği izlenecek ve gerekli önlemler alınacaktır.</w:t>
            </w:r>
          </w:p>
        </w:tc>
        <w:tc>
          <w:tcPr>
            <w:tcW w:w="1378" w:type="pct"/>
          </w:tcPr>
          <w:p w:rsidR="00565FD5" w:rsidRPr="00D75202" w:rsidRDefault="00565FD5" w:rsidP="00AB62A3">
            <w:pPr>
              <w:rPr>
                <w:rFonts w:cs="Tahoma"/>
                <w:sz w:val="16"/>
                <w:szCs w:val="16"/>
              </w:rPr>
            </w:pPr>
            <w:r w:rsidRPr="00D75202">
              <w:rPr>
                <w:rFonts w:cs="Tahoma"/>
                <w:sz w:val="16"/>
                <w:szCs w:val="16"/>
              </w:rPr>
              <w:t xml:space="preserve">Enerji ve Tabii Kaynaklar Bakanlığı (S), Kalkınma Bakanlığı, Hazine Müsteşarlığı, EPDK, </w:t>
            </w:r>
          </w:p>
          <w:p w:rsidR="00565FD5" w:rsidRPr="00D75202" w:rsidRDefault="00565FD5" w:rsidP="00AB62A3">
            <w:pPr>
              <w:rPr>
                <w:rFonts w:cs="Tahoma"/>
                <w:sz w:val="16"/>
                <w:szCs w:val="16"/>
              </w:rPr>
            </w:pPr>
            <w:r w:rsidRPr="00D75202">
              <w:rPr>
                <w:rFonts w:cs="Tahoma"/>
                <w:sz w:val="16"/>
                <w:szCs w:val="16"/>
              </w:rPr>
              <w:t>İlgili Kuruluşlar</w:t>
            </w:r>
          </w:p>
        </w:tc>
        <w:tc>
          <w:tcPr>
            <w:tcW w:w="478" w:type="pct"/>
          </w:tcPr>
          <w:p w:rsidR="00565FD5" w:rsidRPr="00D75202" w:rsidRDefault="00565FD5" w:rsidP="00AB62A3">
            <w:pPr>
              <w:rPr>
                <w:rFonts w:cs="Tahoma"/>
                <w:sz w:val="16"/>
                <w:szCs w:val="16"/>
              </w:rPr>
            </w:pPr>
            <w:r w:rsidRPr="00D75202">
              <w:rPr>
                <w:rFonts w:cs="Tahoma"/>
                <w:sz w:val="16"/>
                <w:szCs w:val="16"/>
              </w:rPr>
              <w:t>Aralık Sonu</w:t>
            </w:r>
          </w:p>
        </w:tc>
        <w:tc>
          <w:tcPr>
            <w:tcW w:w="1978" w:type="pct"/>
          </w:tcPr>
          <w:p w:rsidR="00565FD5" w:rsidRPr="00D75202" w:rsidRDefault="00565FD5" w:rsidP="00AB62A3">
            <w:pPr>
              <w:rPr>
                <w:rFonts w:cs="Tahoma"/>
                <w:sz w:val="16"/>
                <w:szCs w:val="16"/>
              </w:rPr>
            </w:pPr>
            <w:r w:rsidRPr="00D75202">
              <w:rPr>
                <w:rFonts w:cs="Tahoma"/>
                <w:sz w:val="16"/>
                <w:szCs w:val="16"/>
              </w:rPr>
              <w:t xml:space="preserve">Lisansların yatırıma dönüşmesi ve yatırımların öngörülen tarihlerde devreye girmesi için gerekli tedbirler alınacaktır. Kamu santrallerindeki rehabilitasyon ve verimlilik artırma yatırımlarına devam edilecektir. 5784 sayılı Kanun çerçevesinde elektrik arz güvenliği periyodik olarak değerlendirilecektir. Piyasanın arz güvenliğini sağlamada yetersiz kaldığı durumlarda arz güvenliğinin temini amacıyla kapasite mekanizması oluşturulacaktır. </w:t>
            </w:r>
          </w:p>
        </w:tc>
      </w:tr>
      <w:tr w:rsidR="00565FD5" w:rsidRPr="00C91E15" w:rsidTr="00AB62A3">
        <w:trPr>
          <w:jc w:val="center"/>
        </w:trPr>
        <w:tc>
          <w:tcPr>
            <w:tcW w:w="1167" w:type="pct"/>
          </w:tcPr>
          <w:p w:rsidR="00565FD5" w:rsidRPr="00C91E15" w:rsidRDefault="00565FD5" w:rsidP="00EB1E69">
            <w:pPr>
              <w:numPr>
                <w:ilvl w:val="0"/>
                <w:numId w:val="14"/>
              </w:numPr>
              <w:autoSpaceDE w:val="0"/>
              <w:autoSpaceDN w:val="0"/>
              <w:adjustRightInd w:val="0"/>
              <w:spacing w:after="0" w:line="240" w:lineRule="auto"/>
              <w:rPr>
                <w:rFonts w:cs="Tahoma"/>
                <w:sz w:val="16"/>
                <w:szCs w:val="16"/>
              </w:rPr>
            </w:pPr>
            <w:r w:rsidRPr="00C91E15">
              <w:rPr>
                <w:rFonts w:cs="Tahoma"/>
                <w:sz w:val="16"/>
                <w:szCs w:val="16"/>
              </w:rPr>
              <w:t xml:space="preserve">Yenilenebilir </w:t>
            </w:r>
            <w:r w:rsidRPr="00C91E15">
              <w:rPr>
                <w:rFonts w:cs="Tahoma"/>
                <w:sz w:val="16"/>
                <w:szCs w:val="16"/>
              </w:rPr>
              <w:lastRenderedPageBreak/>
              <w:t>enerji kaynak potansiyelini belirleme, uygulamalarını geliştirme ve yaygınlaştıma çalışmaları sürdürülecektir.</w:t>
            </w:r>
          </w:p>
        </w:tc>
        <w:tc>
          <w:tcPr>
            <w:tcW w:w="1378" w:type="pct"/>
          </w:tcPr>
          <w:p w:rsidR="00565FD5" w:rsidRPr="00C91E15" w:rsidRDefault="00565FD5" w:rsidP="00AB62A3">
            <w:pPr>
              <w:rPr>
                <w:rFonts w:cs="Tahoma"/>
                <w:sz w:val="16"/>
                <w:szCs w:val="16"/>
              </w:rPr>
            </w:pPr>
            <w:r w:rsidRPr="00C91E15">
              <w:rPr>
                <w:rFonts w:cs="Tahoma"/>
                <w:sz w:val="16"/>
                <w:szCs w:val="16"/>
              </w:rPr>
              <w:lastRenderedPageBreak/>
              <w:t xml:space="preserve">Enerji ve Tabii Kaynaklar </w:t>
            </w:r>
            <w:r w:rsidRPr="00C91E15">
              <w:rPr>
                <w:rFonts w:cs="Tahoma"/>
                <w:sz w:val="16"/>
                <w:szCs w:val="16"/>
              </w:rPr>
              <w:lastRenderedPageBreak/>
              <w:t>Bakanlığı (S), TEİAŞ, TEDAŞ, EÜAŞ, MTA, DSİ, DMİ, TÜBİTAK-UZAY, TKGM, Üniversiteler</w:t>
            </w:r>
          </w:p>
        </w:tc>
        <w:tc>
          <w:tcPr>
            <w:tcW w:w="478" w:type="pct"/>
          </w:tcPr>
          <w:p w:rsidR="00565FD5" w:rsidRPr="00C91E15" w:rsidRDefault="00565FD5" w:rsidP="00AB62A3">
            <w:pPr>
              <w:rPr>
                <w:rFonts w:cs="Tahoma"/>
                <w:sz w:val="16"/>
                <w:szCs w:val="16"/>
              </w:rPr>
            </w:pPr>
            <w:r w:rsidRPr="00C91E15">
              <w:rPr>
                <w:rFonts w:cs="Tahoma"/>
                <w:sz w:val="16"/>
                <w:szCs w:val="16"/>
              </w:rPr>
              <w:lastRenderedPageBreak/>
              <w:t xml:space="preserve">Aralık </w:t>
            </w:r>
            <w:r w:rsidRPr="00C91E15">
              <w:rPr>
                <w:rFonts w:cs="Tahoma"/>
                <w:sz w:val="16"/>
                <w:szCs w:val="16"/>
              </w:rPr>
              <w:lastRenderedPageBreak/>
              <w:t>Sonu</w:t>
            </w:r>
          </w:p>
        </w:tc>
        <w:tc>
          <w:tcPr>
            <w:tcW w:w="1978" w:type="pct"/>
          </w:tcPr>
          <w:p w:rsidR="00565FD5" w:rsidRPr="00C91E15" w:rsidRDefault="00565FD5" w:rsidP="00AB62A3">
            <w:pPr>
              <w:rPr>
                <w:rFonts w:cs="Tahoma"/>
                <w:sz w:val="16"/>
                <w:szCs w:val="16"/>
              </w:rPr>
            </w:pPr>
            <w:r w:rsidRPr="00C91E15">
              <w:rPr>
                <w:rFonts w:cs="Tahoma"/>
                <w:sz w:val="16"/>
                <w:szCs w:val="16"/>
              </w:rPr>
              <w:lastRenderedPageBreak/>
              <w:t xml:space="preserve">Tepe enerji talebinin karşılanmasına </w:t>
            </w:r>
            <w:r w:rsidRPr="00C91E15">
              <w:rPr>
                <w:rFonts w:cs="Tahoma"/>
                <w:sz w:val="16"/>
                <w:szCs w:val="16"/>
              </w:rPr>
              <w:lastRenderedPageBreak/>
              <w:t>yönelik pompaj depolamalı HES projesinin fizibilite çalışmaları kapsamında jeolojik ve jeoteknik araştırmalar tamamlanacak, hibrid enerji tesisinin (Pompaj Destekli</w:t>
            </w:r>
          </w:p>
          <w:p w:rsidR="00565FD5" w:rsidRPr="00C91E15" w:rsidRDefault="00565FD5" w:rsidP="00AB62A3">
            <w:pPr>
              <w:rPr>
                <w:rFonts w:cs="Tahoma"/>
                <w:sz w:val="16"/>
                <w:szCs w:val="16"/>
              </w:rPr>
            </w:pPr>
            <w:r w:rsidRPr="00C91E15">
              <w:rPr>
                <w:rFonts w:cs="Tahoma"/>
                <w:sz w:val="16"/>
                <w:szCs w:val="16"/>
              </w:rPr>
              <w:t>RES) inşasında ve işletiminde kurum ve kuruluşlar arasındaki görev dağılımı detaylandırılarak proje için</w:t>
            </w:r>
            <w:r>
              <w:rPr>
                <w:rFonts w:cs="Tahoma"/>
                <w:sz w:val="16"/>
                <w:szCs w:val="16"/>
              </w:rPr>
              <w:t xml:space="preserve"> </w:t>
            </w:r>
            <w:r w:rsidRPr="00C91E15">
              <w:rPr>
                <w:rFonts w:cs="Tahoma"/>
                <w:sz w:val="16"/>
                <w:szCs w:val="16"/>
              </w:rPr>
              <w:t>gerekli izin, lisans, kamulaştırma ve koordinasyon işleri yapılacaktır.</w:t>
            </w:r>
            <w:r>
              <w:rPr>
                <w:rFonts w:cs="Tahoma"/>
                <w:sz w:val="16"/>
                <w:szCs w:val="16"/>
              </w:rPr>
              <w:t xml:space="preserve"> </w:t>
            </w:r>
            <w:r w:rsidRPr="00C91E15">
              <w:rPr>
                <w:rFonts w:cs="Tahoma"/>
                <w:sz w:val="16"/>
                <w:szCs w:val="16"/>
              </w:rPr>
              <w:t>Rüzgar enerjisine dayalı olarak yapılan ve teknik değerlendirme sonuç raporları EPDK</w:t>
            </w:r>
            <w:r>
              <w:rPr>
                <w:rFonts w:cs="Tahoma"/>
                <w:sz w:val="16"/>
                <w:szCs w:val="16"/>
              </w:rPr>
              <w:t>’</w:t>
            </w:r>
            <w:r w:rsidRPr="00C91E15">
              <w:rPr>
                <w:rFonts w:cs="Tahoma"/>
                <w:sz w:val="16"/>
                <w:szCs w:val="16"/>
              </w:rPr>
              <w:t xml:space="preserve">ya gönderilen RES lisans başvurularının olası </w:t>
            </w:r>
            <w:r>
              <w:rPr>
                <w:rFonts w:cs="Tahoma"/>
                <w:sz w:val="16"/>
                <w:szCs w:val="16"/>
              </w:rPr>
              <w:t>revizyonları</w:t>
            </w:r>
            <w:r w:rsidRPr="00C91E15">
              <w:rPr>
                <w:rFonts w:cs="Tahoma"/>
                <w:sz w:val="16"/>
                <w:szCs w:val="16"/>
              </w:rPr>
              <w:t>, proje kontrolleri ve inşaat dönemi denetimleri yapılacaktır. TÜBİTAK-UZAY işbirliğiyle yürütülmekte olan Rüzgâr Gücü İzleme ve Tahmin Merkezi (RİTM) projesi kapsamında tahmin yazılımları tamamlanarak, sisteme bağlanan işletmedeki rüzgâr santrallerinin üretim tahminlerinin yapılmasına başlanacaktır.</w:t>
            </w:r>
          </w:p>
        </w:tc>
      </w:tr>
      <w:tr w:rsidR="00565FD5" w:rsidRPr="00C91E15" w:rsidTr="00AB62A3">
        <w:trPr>
          <w:trHeight w:val="606"/>
          <w:jc w:val="center"/>
        </w:trPr>
        <w:tc>
          <w:tcPr>
            <w:tcW w:w="1167" w:type="pct"/>
          </w:tcPr>
          <w:p w:rsidR="00565FD5" w:rsidRPr="00C91E15" w:rsidRDefault="00565FD5" w:rsidP="00EB1E69">
            <w:pPr>
              <w:numPr>
                <w:ilvl w:val="0"/>
                <w:numId w:val="14"/>
              </w:numPr>
              <w:tabs>
                <w:tab w:val="left" w:pos="425"/>
              </w:tabs>
              <w:spacing w:after="0" w:line="240" w:lineRule="auto"/>
              <w:rPr>
                <w:rFonts w:cs="Tahoma"/>
                <w:sz w:val="16"/>
                <w:szCs w:val="16"/>
              </w:rPr>
            </w:pPr>
            <w:r w:rsidRPr="00C91E15">
              <w:rPr>
                <w:rFonts w:cs="Tahoma"/>
                <w:sz w:val="16"/>
                <w:szCs w:val="16"/>
              </w:rPr>
              <w:lastRenderedPageBreak/>
              <w:t>İklim değişikliğiyle mücadele hedefleri dikkate alınarak yerli kömür kaynaklarımızın değerlendirilmesi için yöntemler belirlenecek ve gerekirse mevzuat geliştirilecektir.</w:t>
            </w:r>
          </w:p>
        </w:tc>
        <w:tc>
          <w:tcPr>
            <w:tcW w:w="1378" w:type="pct"/>
          </w:tcPr>
          <w:p w:rsidR="00565FD5" w:rsidRPr="00C91E15" w:rsidRDefault="00565FD5" w:rsidP="00AB62A3">
            <w:pPr>
              <w:rPr>
                <w:rFonts w:cs="Tahoma"/>
                <w:sz w:val="16"/>
                <w:szCs w:val="16"/>
              </w:rPr>
            </w:pPr>
            <w:r w:rsidRPr="00C91E15">
              <w:rPr>
                <w:rFonts w:cs="Tahoma"/>
                <w:sz w:val="16"/>
                <w:szCs w:val="16"/>
              </w:rPr>
              <w:t>Enerji ve Tabii Kaynaklar Bakanlığı (S), TKİ, EÜAŞ, MTA, İlgili Kuruluşlar</w:t>
            </w:r>
          </w:p>
        </w:tc>
        <w:tc>
          <w:tcPr>
            <w:tcW w:w="478" w:type="pct"/>
          </w:tcPr>
          <w:p w:rsidR="00565FD5" w:rsidRPr="00C91E15" w:rsidRDefault="00565FD5" w:rsidP="00AB62A3">
            <w:pPr>
              <w:rPr>
                <w:rFonts w:cs="Tahoma"/>
                <w:sz w:val="16"/>
                <w:szCs w:val="16"/>
              </w:rPr>
            </w:pPr>
            <w:r w:rsidRPr="00C91E15">
              <w:rPr>
                <w:rFonts w:cs="Tahoma"/>
                <w:sz w:val="16"/>
                <w:szCs w:val="16"/>
              </w:rPr>
              <w:t>Aralık Sonu</w:t>
            </w:r>
          </w:p>
        </w:tc>
        <w:tc>
          <w:tcPr>
            <w:tcW w:w="1978" w:type="pct"/>
          </w:tcPr>
          <w:p w:rsidR="00565FD5" w:rsidRPr="00C91E15" w:rsidRDefault="00565FD5" w:rsidP="00AB62A3">
            <w:pPr>
              <w:rPr>
                <w:rFonts w:cs="Tahoma"/>
                <w:sz w:val="16"/>
                <w:szCs w:val="16"/>
              </w:rPr>
            </w:pPr>
            <w:r w:rsidRPr="00C91E15">
              <w:rPr>
                <w:rFonts w:cs="Tahoma"/>
                <w:sz w:val="16"/>
                <w:szCs w:val="16"/>
                <w:lang w:eastAsia="tr-TR"/>
              </w:rPr>
              <w:t>Bilinen linyit ve taşkömürü kaynaklarının tamamının 2023 yılına kadar elektrik üretiminde kullanılması</w:t>
            </w:r>
            <w:r w:rsidRPr="00C91E15">
              <w:rPr>
                <w:rFonts w:cs="Tahoma"/>
                <w:color w:val="3333FF"/>
                <w:sz w:val="16"/>
                <w:szCs w:val="16"/>
                <w:lang w:eastAsia="tr-TR"/>
              </w:rPr>
              <w:t xml:space="preserve"> </w:t>
            </w:r>
            <w:r w:rsidRPr="00C91E15">
              <w:rPr>
                <w:rFonts w:cs="Tahoma"/>
                <w:sz w:val="16"/>
                <w:szCs w:val="16"/>
                <w:lang w:eastAsia="tr-TR"/>
              </w:rPr>
              <w:t xml:space="preserve"> amacıyla, uygun yerli linyit ve taşkömürü sahalarının, emisyonları kabul edilebilir sınırlar içinde tutabilen santral projeleriyle değerlendirilmesi uygulamasına devam edilecektir.</w:t>
            </w:r>
          </w:p>
        </w:tc>
      </w:tr>
      <w:tr w:rsidR="00565FD5" w:rsidRPr="00C91E15" w:rsidTr="00AB62A3">
        <w:trPr>
          <w:trHeight w:val="452"/>
          <w:jc w:val="center"/>
        </w:trPr>
        <w:tc>
          <w:tcPr>
            <w:tcW w:w="5000" w:type="pct"/>
            <w:gridSpan w:val="4"/>
          </w:tcPr>
          <w:p w:rsidR="00565FD5" w:rsidRPr="00C91E15" w:rsidRDefault="00565FD5" w:rsidP="00EB1E69">
            <w:pPr>
              <w:numPr>
                <w:ilvl w:val="0"/>
                <w:numId w:val="15"/>
              </w:numPr>
              <w:tabs>
                <w:tab w:val="left" w:pos="425"/>
              </w:tabs>
              <w:spacing w:after="0" w:line="240" w:lineRule="auto"/>
              <w:jc w:val="both"/>
              <w:rPr>
                <w:rFonts w:cs="Tahoma"/>
                <w:b/>
                <w:bCs/>
                <w:sz w:val="16"/>
                <w:szCs w:val="16"/>
              </w:rPr>
            </w:pPr>
            <w:r w:rsidRPr="00C91E15">
              <w:rPr>
                <w:rFonts w:cs="Tahoma"/>
                <w:b/>
                <w:bCs/>
                <w:sz w:val="16"/>
                <w:szCs w:val="16"/>
              </w:rPr>
              <w:t xml:space="preserve">Doğal gazın elektrik üretimi haricinde kullanımı rekabete dayalı olarak yaygınlaştırılacak, mevsimsel talep değişimleri de dikkate alınarak ulusal düzeyde doğal gaz ve petrol arz güvenliği sağlanacaktır. </w:t>
            </w:r>
          </w:p>
        </w:tc>
      </w:tr>
      <w:tr w:rsidR="00565FD5" w:rsidRPr="00C91E15" w:rsidTr="00AB62A3">
        <w:trPr>
          <w:trHeight w:val="271"/>
          <w:jc w:val="center"/>
        </w:trPr>
        <w:tc>
          <w:tcPr>
            <w:tcW w:w="1167" w:type="pct"/>
          </w:tcPr>
          <w:p w:rsidR="00565FD5" w:rsidRPr="00877103" w:rsidRDefault="00565FD5" w:rsidP="00EB1E69">
            <w:pPr>
              <w:numPr>
                <w:ilvl w:val="0"/>
                <w:numId w:val="14"/>
              </w:numPr>
              <w:tabs>
                <w:tab w:val="left" w:pos="425"/>
              </w:tabs>
              <w:spacing w:after="0" w:line="240" w:lineRule="auto"/>
              <w:rPr>
                <w:rFonts w:cs="Tahoma"/>
                <w:sz w:val="16"/>
                <w:szCs w:val="16"/>
              </w:rPr>
            </w:pPr>
            <w:r w:rsidRPr="00877103">
              <w:rPr>
                <w:rFonts w:cs="Tahoma"/>
                <w:sz w:val="16"/>
                <w:szCs w:val="16"/>
              </w:rPr>
              <w:t>Doğal Gaz Piyasası Kanununda Değişiklik Yapılmasına İlişkin Kanun Tasarısı taslağı hazırlanacaktır.</w:t>
            </w:r>
          </w:p>
        </w:tc>
        <w:tc>
          <w:tcPr>
            <w:tcW w:w="1378" w:type="pct"/>
          </w:tcPr>
          <w:p w:rsidR="00565FD5" w:rsidRPr="00C91E15" w:rsidRDefault="00565FD5" w:rsidP="00AB62A3">
            <w:pPr>
              <w:rPr>
                <w:rFonts w:cs="Tahoma"/>
                <w:sz w:val="16"/>
                <w:szCs w:val="16"/>
              </w:rPr>
            </w:pPr>
            <w:r w:rsidRPr="00C91E15">
              <w:rPr>
                <w:rFonts w:cs="Tahoma"/>
                <w:sz w:val="16"/>
                <w:szCs w:val="16"/>
              </w:rPr>
              <w:t>Enerji ve Tabii Kaynaklar Bakanlığı (S), Kalkınma Bakanlığı, Hazine Müsteşarlığı, EPDK, BOTAŞ</w:t>
            </w:r>
          </w:p>
          <w:p w:rsidR="00565FD5" w:rsidRPr="00C91E15" w:rsidRDefault="00565FD5" w:rsidP="00AB62A3">
            <w:pPr>
              <w:rPr>
                <w:rFonts w:cs="Tahoma"/>
                <w:sz w:val="16"/>
                <w:szCs w:val="16"/>
              </w:rPr>
            </w:pPr>
          </w:p>
        </w:tc>
        <w:tc>
          <w:tcPr>
            <w:tcW w:w="478" w:type="pct"/>
          </w:tcPr>
          <w:p w:rsidR="00565FD5" w:rsidRPr="00C91E15" w:rsidRDefault="00565FD5" w:rsidP="00AB62A3">
            <w:pPr>
              <w:rPr>
                <w:rFonts w:cs="Tahoma"/>
                <w:sz w:val="16"/>
                <w:szCs w:val="16"/>
              </w:rPr>
            </w:pPr>
            <w:r w:rsidRPr="00C91E15">
              <w:rPr>
                <w:rFonts w:cs="Tahoma"/>
                <w:sz w:val="16"/>
                <w:szCs w:val="16"/>
              </w:rPr>
              <w:t>Aralık Sonu</w:t>
            </w:r>
          </w:p>
        </w:tc>
        <w:tc>
          <w:tcPr>
            <w:tcW w:w="1978" w:type="pct"/>
          </w:tcPr>
          <w:p w:rsidR="00565FD5" w:rsidRPr="00C91E15" w:rsidRDefault="00565FD5" w:rsidP="00AB62A3">
            <w:pPr>
              <w:rPr>
                <w:rFonts w:cs="Tahoma"/>
                <w:sz w:val="16"/>
                <w:szCs w:val="16"/>
              </w:rPr>
            </w:pPr>
            <w:r w:rsidRPr="00C91E15">
              <w:rPr>
                <w:rFonts w:cs="Tahoma"/>
                <w:sz w:val="16"/>
                <w:szCs w:val="16"/>
              </w:rPr>
              <w:t>Özel sektör ithalatına ve piyasanın serbestleşmesine yönelik hususların düzenlenmesi ve olağanüstü durumlarda veya kriz durumlarında doğal gaz sektöründe alınması gereken önlemlerin belirlenmesi amacıyla 4646 sayılı Kanun revize edilecektir.</w:t>
            </w:r>
          </w:p>
        </w:tc>
      </w:tr>
      <w:tr w:rsidR="00565FD5" w:rsidRPr="00C91E15" w:rsidTr="00AB62A3">
        <w:trPr>
          <w:trHeight w:val="986"/>
          <w:jc w:val="center"/>
        </w:trPr>
        <w:tc>
          <w:tcPr>
            <w:tcW w:w="1167" w:type="pct"/>
          </w:tcPr>
          <w:p w:rsidR="00565FD5" w:rsidRPr="00C91E15" w:rsidRDefault="00565FD5" w:rsidP="00EB1E69">
            <w:pPr>
              <w:numPr>
                <w:ilvl w:val="0"/>
                <w:numId w:val="14"/>
              </w:numPr>
              <w:tabs>
                <w:tab w:val="left" w:pos="425"/>
              </w:tabs>
              <w:spacing w:after="0" w:line="240" w:lineRule="auto"/>
              <w:rPr>
                <w:rFonts w:cs="Tahoma"/>
                <w:b/>
                <w:sz w:val="16"/>
                <w:szCs w:val="16"/>
              </w:rPr>
            </w:pPr>
            <w:r w:rsidRPr="00C91E15">
              <w:rPr>
                <w:rFonts w:cs="Tahoma"/>
                <w:sz w:val="16"/>
                <w:szCs w:val="16"/>
              </w:rPr>
              <w:lastRenderedPageBreak/>
              <w:t>LNG ve</w:t>
            </w:r>
            <w:r w:rsidRPr="00C91E15">
              <w:rPr>
                <w:rFonts w:cs="Tahoma"/>
                <w:b/>
                <w:sz w:val="16"/>
                <w:szCs w:val="16"/>
              </w:rPr>
              <w:t xml:space="preserve"> </w:t>
            </w:r>
            <w:r w:rsidRPr="00C91E15">
              <w:rPr>
                <w:rFonts w:cs="Tahoma"/>
                <w:sz w:val="16"/>
                <w:szCs w:val="16"/>
              </w:rPr>
              <w:t>spot LNG ithalatına ilişkin mevzuat çalışmaları yapılacaktır.</w:t>
            </w:r>
          </w:p>
        </w:tc>
        <w:tc>
          <w:tcPr>
            <w:tcW w:w="1378" w:type="pct"/>
          </w:tcPr>
          <w:p w:rsidR="00565FD5" w:rsidRPr="00C91E15" w:rsidRDefault="00565FD5" w:rsidP="00AB62A3">
            <w:pPr>
              <w:rPr>
                <w:rFonts w:cs="Tahoma"/>
                <w:sz w:val="16"/>
                <w:szCs w:val="16"/>
              </w:rPr>
            </w:pPr>
            <w:r w:rsidRPr="00C91E15">
              <w:rPr>
                <w:rFonts w:cs="Tahoma"/>
                <w:sz w:val="16"/>
                <w:szCs w:val="16"/>
              </w:rPr>
              <w:t>BOTAŞ (S), Enerji ve Tabii Kaynaklar Bakanlığı, Kalkınma Bakanlığı, Hazine Müsteşarlığı, EPDK</w:t>
            </w:r>
          </w:p>
        </w:tc>
        <w:tc>
          <w:tcPr>
            <w:tcW w:w="478" w:type="pct"/>
          </w:tcPr>
          <w:p w:rsidR="00565FD5" w:rsidRPr="00C91E15" w:rsidRDefault="00565FD5" w:rsidP="00AB62A3">
            <w:pPr>
              <w:rPr>
                <w:rFonts w:cs="Tahoma"/>
                <w:sz w:val="16"/>
                <w:szCs w:val="16"/>
              </w:rPr>
            </w:pPr>
            <w:r w:rsidRPr="00C91E15">
              <w:rPr>
                <w:rFonts w:cs="Tahoma"/>
                <w:sz w:val="16"/>
                <w:szCs w:val="16"/>
              </w:rPr>
              <w:t>Aralık Sonu</w:t>
            </w:r>
          </w:p>
        </w:tc>
        <w:tc>
          <w:tcPr>
            <w:tcW w:w="1978" w:type="pct"/>
          </w:tcPr>
          <w:p w:rsidR="00565FD5" w:rsidRPr="00C91E15" w:rsidRDefault="00565FD5" w:rsidP="00AB62A3">
            <w:pPr>
              <w:rPr>
                <w:rFonts w:cs="Tahoma"/>
                <w:sz w:val="16"/>
                <w:szCs w:val="16"/>
              </w:rPr>
            </w:pPr>
            <w:r w:rsidRPr="00C91E15">
              <w:rPr>
                <w:rFonts w:cs="Tahoma"/>
                <w:sz w:val="16"/>
                <w:szCs w:val="16"/>
              </w:rPr>
              <w:t>Doğal gazda mevsimsel talep dalgalanmalarından kaynaklanan arz açıklarının karşılanması ve uzun vadeli doğal gaz ithalatı anlaşması yapan firmaların yükümlülüklerini yerine getirebilmeleri amacıyla sadece uzun vadeli ithalat anlaşması yapan firmalara spot LNG ithalatı izni verilmesine imkân tanıyan mevzuat çalışmaları yapılacaktır.</w:t>
            </w:r>
          </w:p>
        </w:tc>
      </w:tr>
      <w:tr w:rsidR="00565FD5" w:rsidRPr="00C91E15" w:rsidTr="00AB62A3">
        <w:trPr>
          <w:trHeight w:val="986"/>
          <w:jc w:val="center"/>
        </w:trPr>
        <w:tc>
          <w:tcPr>
            <w:tcW w:w="1167" w:type="pct"/>
          </w:tcPr>
          <w:p w:rsidR="00565FD5" w:rsidRPr="00C91E15" w:rsidRDefault="00565FD5" w:rsidP="00EB1E69">
            <w:pPr>
              <w:numPr>
                <w:ilvl w:val="0"/>
                <w:numId w:val="14"/>
              </w:numPr>
              <w:tabs>
                <w:tab w:val="left" w:pos="425"/>
              </w:tabs>
              <w:spacing w:after="0" w:line="240" w:lineRule="auto"/>
              <w:ind w:left="26"/>
              <w:rPr>
                <w:rFonts w:cs="Tahoma"/>
                <w:b/>
                <w:sz w:val="16"/>
                <w:szCs w:val="16"/>
              </w:rPr>
            </w:pPr>
            <w:r w:rsidRPr="00C91E15">
              <w:rPr>
                <w:rFonts w:cs="Tahoma"/>
                <w:sz w:val="16"/>
                <w:szCs w:val="16"/>
              </w:rPr>
              <w:t>Doğal gaz depolama faaliyetleri ile LNG tesislerinin geri üretim kapasitelerinin artırılmasına yönelik çalışmalar sürdürülecektir.</w:t>
            </w:r>
          </w:p>
        </w:tc>
        <w:tc>
          <w:tcPr>
            <w:tcW w:w="1378" w:type="pct"/>
          </w:tcPr>
          <w:p w:rsidR="00565FD5" w:rsidRPr="00C91E15" w:rsidRDefault="00565FD5" w:rsidP="00AB62A3">
            <w:pPr>
              <w:rPr>
                <w:rFonts w:cs="Tahoma"/>
                <w:sz w:val="16"/>
                <w:szCs w:val="16"/>
              </w:rPr>
            </w:pPr>
            <w:r w:rsidRPr="00C91E15">
              <w:rPr>
                <w:rFonts w:cs="Tahoma"/>
                <w:sz w:val="16"/>
                <w:szCs w:val="16"/>
              </w:rPr>
              <w:t>Enerji ve Tabii Kaynaklar Bakanlığı (S), Kalkınma Bakanlığı, EPDK, BOTAŞ</w:t>
            </w:r>
          </w:p>
        </w:tc>
        <w:tc>
          <w:tcPr>
            <w:tcW w:w="478" w:type="pct"/>
          </w:tcPr>
          <w:p w:rsidR="00565FD5" w:rsidRPr="00C91E15" w:rsidRDefault="00565FD5" w:rsidP="00AB62A3">
            <w:pPr>
              <w:rPr>
                <w:rFonts w:cs="Tahoma"/>
                <w:sz w:val="16"/>
                <w:szCs w:val="16"/>
              </w:rPr>
            </w:pPr>
            <w:r w:rsidRPr="00C91E15">
              <w:rPr>
                <w:rFonts w:cs="Tahoma"/>
                <w:sz w:val="16"/>
                <w:szCs w:val="16"/>
              </w:rPr>
              <w:t>Aralık Sonu</w:t>
            </w:r>
          </w:p>
        </w:tc>
        <w:tc>
          <w:tcPr>
            <w:tcW w:w="1978" w:type="pct"/>
          </w:tcPr>
          <w:p w:rsidR="00565FD5" w:rsidRPr="00C91E15" w:rsidRDefault="00565FD5" w:rsidP="00AB62A3">
            <w:pPr>
              <w:rPr>
                <w:rFonts w:cs="Tahoma"/>
                <w:sz w:val="16"/>
                <w:szCs w:val="16"/>
              </w:rPr>
            </w:pPr>
            <w:r w:rsidRPr="00C91E15">
              <w:rPr>
                <w:rFonts w:cs="Tahoma"/>
                <w:sz w:val="16"/>
                <w:szCs w:val="16"/>
              </w:rPr>
              <w:t>Değirmenköy Tevsi ve Çevre Doğal Gaz Sahaları Depolama Projesi ve Kuzey Marmara Depolama Tevsi</w:t>
            </w:r>
          </w:p>
          <w:p w:rsidR="00565FD5" w:rsidRPr="00C91E15" w:rsidRDefault="00565FD5" w:rsidP="00AB62A3">
            <w:pPr>
              <w:rPr>
                <w:rFonts w:cs="Tahoma"/>
                <w:sz w:val="16"/>
                <w:szCs w:val="16"/>
              </w:rPr>
            </w:pPr>
            <w:r w:rsidRPr="00C91E15">
              <w:rPr>
                <w:rFonts w:cs="Tahoma"/>
                <w:sz w:val="16"/>
                <w:szCs w:val="16"/>
              </w:rPr>
              <w:t>Projesi kapsamında faaliyetlere devam edilecektir. Öncelikle mevcut doğalgaz depolama tesislerinin (Kuzey Marmara ve Değirmenköy-Çevre sahaları) gaz çekim kapasiteleri artırılacaktır. Tuz Gölü Doğalgaz Depolama Tesisi Projesi ivedilikle gerçekleştirilecektir.</w:t>
            </w:r>
          </w:p>
        </w:tc>
      </w:tr>
      <w:tr w:rsidR="00565FD5" w:rsidRPr="00C91E15" w:rsidTr="00AB62A3">
        <w:trPr>
          <w:trHeight w:val="1241"/>
          <w:jc w:val="center"/>
        </w:trPr>
        <w:tc>
          <w:tcPr>
            <w:tcW w:w="1167" w:type="pct"/>
          </w:tcPr>
          <w:p w:rsidR="00565FD5" w:rsidRPr="00C91E15" w:rsidRDefault="00565FD5" w:rsidP="00EB1E69">
            <w:pPr>
              <w:numPr>
                <w:ilvl w:val="0"/>
                <w:numId w:val="14"/>
              </w:numPr>
              <w:autoSpaceDE w:val="0"/>
              <w:autoSpaceDN w:val="0"/>
              <w:adjustRightInd w:val="0"/>
              <w:spacing w:after="0" w:line="240" w:lineRule="auto"/>
              <w:ind w:left="26"/>
              <w:rPr>
                <w:rFonts w:cs="Tahoma"/>
                <w:sz w:val="16"/>
                <w:szCs w:val="16"/>
              </w:rPr>
            </w:pPr>
            <w:r w:rsidRPr="00C91E15">
              <w:rPr>
                <w:rFonts w:cs="Tahoma"/>
                <w:sz w:val="16"/>
                <w:szCs w:val="16"/>
              </w:rPr>
              <w:t>Ulusal petrol stok yükümlülüklerine ilişkin düzenlemeler</w:t>
            </w:r>
          </w:p>
          <w:p w:rsidR="00565FD5" w:rsidRPr="00C91E15" w:rsidRDefault="00565FD5" w:rsidP="00AB62A3">
            <w:pPr>
              <w:ind w:left="26"/>
              <w:rPr>
                <w:rFonts w:cs="Tahoma"/>
                <w:b/>
                <w:sz w:val="16"/>
                <w:szCs w:val="16"/>
              </w:rPr>
            </w:pPr>
            <w:r w:rsidRPr="00C91E15">
              <w:rPr>
                <w:rFonts w:cs="Tahoma"/>
                <w:sz w:val="16"/>
                <w:szCs w:val="16"/>
              </w:rPr>
              <w:t>yapılacaktır.</w:t>
            </w:r>
          </w:p>
        </w:tc>
        <w:tc>
          <w:tcPr>
            <w:tcW w:w="1378" w:type="pct"/>
          </w:tcPr>
          <w:p w:rsidR="00565FD5" w:rsidRPr="00C91E15" w:rsidRDefault="00565FD5" w:rsidP="00AB62A3">
            <w:pPr>
              <w:rPr>
                <w:rFonts w:cs="Tahoma"/>
                <w:sz w:val="16"/>
                <w:szCs w:val="16"/>
              </w:rPr>
            </w:pPr>
            <w:r w:rsidRPr="00C91E15">
              <w:rPr>
                <w:rFonts w:cs="Tahoma"/>
                <w:sz w:val="16"/>
                <w:szCs w:val="16"/>
              </w:rPr>
              <w:t xml:space="preserve">Enerji ve Tabii Kaynaklar Bakanlığı (S), Maliye Bakanlığı, Kalkınma Bakanlığı, Hazine Müsteşarlığı, EPDK, BOTAŞ, PİGM </w:t>
            </w:r>
          </w:p>
        </w:tc>
        <w:tc>
          <w:tcPr>
            <w:tcW w:w="478" w:type="pct"/>
          </w:tcPr>
          <w:p w:rsidR="00565FD5" w:rsidRPr="00C91E15" w:rsidRDefault="00565FD5" w:rsidP="00AB62A3">
            <w:pPr>
              <w:rPr>
                <w:rFonts w:cs="Tahoma"/>
                <w:sz w:val="16"/>
                <w:szCs w:val="16"/>
              </w:rPr>
            </w:pPr>
            <w:r w:rsidRPr="00C91E15">
              <w:rPr>
                <w:rFonts w:cs="Tahoma"/>
                <w:sz w:val="16"/>
                <w:szCs w:val="16"/>
              </w:rPr>
              <w:t>Aralık Sonu</w:t>
            </w:r>
          </w:p>
        </w:tc>
        <w:tc>
          <w:tcPr>
            <w:tcW w:w="1978" w:type="pct"/>
          </w:tcPr>
          <w:p w:rsidR="00565FD5" w:rsidRPr="00C91E15" w:rsidRDefault="00565FD5" w:rsidP="00AB62A3">
            <w:pPr>
              <w:autoSpaceDE w:val="0"/>
              <w:autoSpaceDN w:val="0"/>
              <w:adjustRightInd w:val="0"/>
              <w:rPr>
                <w:rFonts w:cs="Tahoma"/>
                <w:sz w:val="16"/>
                <w:szCs w:val="16"/>
              </w:rPr>
            </w:pPr>
            <w:r w:rsidRPr="00C91E15">
              <w:rPr>
                <w:rFonts w:cs="Tahoma"/>
                <w:sz w:val="16"/>
                <w:szCs w:val="16"/>
              </w:rPr>
              <w:t>Petrol piyasasında sürekliliğin sağlanması çerçevesinde; kriz durumlarında veya olağanüstü durumlarda risklerin önlenmesi, uluslararası anlaşmalar gereği ulusal petrol stoku tutulması ve bu stokun etkin şekilde yönetilmesi için Tamamlayıcı Petrol Stoku Kanun Tasarısı çalışmaları tamamlanacaktır. Kanunun uygulanmasına yönelik</w:t>
            </w:r>
            <w:r>
              <w:rPr>
                <w:rFonts w:cs="Tahoma"/>
                <w:sz w:val="16"/>
                <w:szCs w:val="16"/>
              </w:rPr>
              <w:t xml:space="preserve"> </w:t>
            </w:r>
            <w:r w:rsidRPr="00C91E15">
              <w:rPr>
                <w:rFonts w:cs="Tahoma"/>
                <w:sz w:val="16"/>
                <w:szCs w:val="16"/>
              </w:rPr>
              <w:t>yönetmelikler çıkarılacaktır.</w:t>
            </w:r>
          </w:p>
        </w:tc>
      </w:tr>
      <w:tr w:rsidR="00565FD5" w:rsidRPr="00C91E15" w:rsidTr="00AB62A3">
        <w:trPr>
          <w:trHeight w:val="452"/>
          <w:jc w:val="center"/>
        </w:trPr>
        <w:tc>
          <w:tcPr>
            <w:tcW w:w="5000" w:type="pct"/>
            <w:gridSpan w:val="4"/>
          </w:tcPr>
          <w:p w:rsidR="00565FD5" w:rsidRPr="00C91E15" w:rsidRDefault="00565FD5" w:rsidP="00EB1E69">
            <w:pPr>
              <w:numPr>
                <w:ilvl w:val="0"/>
                <w:numId w:val="15"/>
              </w:numPr>
              <w:tabs>
                <w:tab w:val="left" w:pos="425"/>
              </w:tabs>
              <w:spacing w:after="0" w:line="240" w:lineRule="auto"/>
              <w:jc w:val="both"/>
              <w:rPr>
                <w:rFonts w:cs="Tahoma"/>
                <w:b/>
                <w:bCs/>
                <w:sz w:val="16"/>
                <w:szCs w:val="16"/>
              </w:rPr>
            </w:pPr>
            <w:r w:rsidRPr="00C91E15">
              <w:rPr>
                <w:rFonts w:cs="Tahoma"/>
                <w:b/>
                <w:bCs/>
                <w:sz w:val="16"/>
                <w:szCs w:val="16"/>
              </w:rPr>
              <w:t>Enerji verimliliğini artırmaya yönelik faaliyetlere hız verilecek ve bu kapsamda gerekli düzenlemeler yapılacaktır.</w:t>
            </w:r>
          </w:p>
        </w:tc>
      </w:tr>
      <w:tr w:rsidR="00565FD5" w:rsidRPr="00C91E15" w:rsidTr="00AB62A3">
        <w:trPr>
          <w:trHeight w:val="986"/>
          <w:jc w:val="center"/>
        </w:trPr>
        <w:tc>
          <w:tcPr>
            <w:tcW w:w="1167" w:type="pct"/>
          </w:tcPr>
          <w:p w:rsidR="00565FD5" w:rsidRPr="00C91E15" w:rsidRDefault="00565FD5" w:rsidP="00EB1E69">
            <w:pPr>
              <w:numPr>
                <w:ilvl w:val="0"/>
                <w:numId w:val="14"/>
              </w:numPr>
              <w:tabs>
                <w:tab w:val="left" w:pos="425"/>
              </w:tabs>
              <w:spacing w:after="0" w:line="240" w:lineRule="auto"/>
              <w:rPr>
                <w:rFonts w:cs="Tahoma"/>
                <w:sz w:val="16"/>
                <w:szCs w:val="16"/>
              </w:rPr>
            </w:pPr>
            <w:r w:rsidRPr="00C91E15">
              <w:rPr>
                <w:rFonts w:cs="Tahoma"/>
                <w:sz w:val="16"/>
                <w:szCs w:val="16"/>
              </w:rPr>
              <w:t>Enerji verimliliğine ilişkin ikincil mevzuat çalışmaları tamamlanarak enerji verimliliğini ve tasarrufunu artırmaya yönelik etkili mekanizmalar oluşturulacaktır.</w:t>
            </w:r>
          </w:p>
        </w:tc>
        <w:tc>
          <w:tcPr>
            <w:tcW w:w="1378" w:type="pct"/>
          </w:tcPr>
          <w:p w:rsidR="00565FD5" w:rsidRPr="00C91E15" w:rsidRDefault="00565FD5" w:rsidP="00AB62A3">
            <w:pPr>
              <w:rPr>
                <w:rFonts w:cs="Tahoma"/>
                <w:sz w:val="16"/>
                <w:szCs w:val="16"/>
              </w:rPr>
            </w:pPr>
            <w:r w:rsidRPr="00C91E15">
              <w:rPr>
                <w:rFonts w:cs="Tahoma"/>
                <w:sz w:val="16"/>
                <w:szCs w:val="16"/>
              </w:rPr>
              <w:t>Enerji ve Tabii Kaynaklar Bakanlığı (S), Maliye Bakanlığı, Çevre ve Şehircilik Bakanlığı,</w:t>
            </w:r>
          </w:p>
          <w:p w:rsidR="00565FD5" w:rsidRPr="00C91E15" w:rsidRDefault="00565FD5" w:rsidP="00AB62A3">
            <w:pPr>
              <w:rPr>
                <w:rFonts w:cs="Tahoma"/>
                <w:sz w:val="16"/>
                <w:szCs w:val="16"/>
              </w:rPr>
            </w:pPr>
            <w:r w:rsidRPr="00C91E15">
              <w:rPr>
                <w:rFonts w:cs="Tahoma"/>
                <w:sz w:val="16"/>
                <w:szCs w:val="16"/>
              </w:rPr>
              <w:t>Üniversiteler, Meslek Odaları, Enerji Verimliliği Danışmanlık Şirketleri</w:t>
            </w:r>
          </w:p>
          <w:p w:rsidR="00565FD5" w:rsidRPr="00C91E15" w:rsidRDefault="00565FD5" w:rsidP="00AB62A3">
            <w:pPr>
              <w:rPr>
                <w:rFonts w:cs="Tahoma"/>
                <w:sz w:val="16"/>
                <w:szCs w:val="16"/>
              </w:rPr>
            </w:pPr>
          </w:p>
        </w:tc>
        <w:tc>
          <w:tcPr>
            <w:tcW w:w="478" w:type="pct"/>
          </w:tcPr>
          <w:p w:rsidR="00565FD5" w:rsidRPr="00C91E15" w:rsidRDefault="00565FD5" w:rsidP="00AB62A3">
            <w:pPr>
              <w:rPr>
                <w:rFonts w:cs="Tahoma"/>
                <w:sz w:val="16"/>
                <w:szCs w:val="16"/>
              </w:rPr>
            </w:pPr>
            <w:r w:rsidRPr="00C91E15">
              <w:rPr>
                <w:rFonts w:cs="Tahoma"/>
                <w:sz w:val="16"/>
                <w:szCs w:val="16"/>
              </w:rPr>
              <w:t>Aralık Sonu</w:t>
            </w:r>
          </w:p>
        </w:tc>
        <w:tc>
          <w:tcPr>
            <w:tcW w:w="1978" w:type="pct"/>
          </w:tcPr>
          <w:p w:rsidR="00565FD5" w:rsidRPr="00C91E15" w:rsidRDefault="00565FD5" w:rsidP="00AB62A3">
            <w:pPr>
              <w:rPr>
                <w:rFonts w:cs="Tahoma"/>
                <w:sz w:val="16"/>
                <w:szCs w:val="16"/>
              </w:rPr>
            </w:pPr>
            <w:r w:rsidRPr="00C91E15">
              <w:rPr>
                <w:rFonts w:cs="Tahoma"/>
                <w:sz w:val="16"/>
                <w:szCs w:val="16"/>
              </w:rPr>
              <w:t xml:space="preserve">Enerji Kaynaklarının ve Enerjinin Kullanımında Verimliliğin Artırılmasına Dair Yönetmelik, verimlilik artırıcı proje destekleri yükseltilecek şekilde tadil edilecektir. </w:t>
            </w:r>
          </w:p>
          <w:p w:rsidR="00565FD5" w:rsidRPr="00C91E15" w:rsidRDefault="00565FD5" w:rsidP="00AB62A3">
            <w:pPr>
              <w:rPr>
                <w:rFonts w:cs="Tahoma"/>
                <w:sz w:val="16"/>
                <w:szCs w:val="16"/>
              </w:rPr>
            </w:pPr>
            <w:r w:rsidRPr="00C91E15">
              <w:rPr>
                <w:rFonts w:cs="Tahoma"/>
                <w:sz w:val="16"/>
                <w:szCs w:val="16"/>
              </w:rPr>
              <w:t xml:space="preserve">Enerji Verimliliği Kanunu kapsamında başlatılan enerji verimliliği uygulama projelerinin desteklenmesine ve endüstriyel işletmelerle enerji yoğunluğunu azaltmak üzere gönüllü </w:t>
            </w:r>
            <w:r w:rsidRPr="00C91E15">
              <w:rPr>
                <w:rFonts w:cs="Tahoma"/>
                <w:sz w:val="16"/>
                <w:szCs w:val="16"/>
              </w:rPr>
              <w:lastRenderedPageBreak/>
              <w:t>anlaşmalar yapılmasına devam edilecektir.</w:t>
            </w:r>
          </w:p>
          <w:p w:rsidR="00565FD5" w:rsidRPr="00C91E15" w:rsidRDefault="00565FD5" w:rsidP="00AB62A3">
            <w:pPr>
              <w:rPr>
                <w:rFonts w:cs="Tahoma"/>
                <w:sz w:val="16"/>
                <w:szCs w:val="16"/>
              </w:rPr>
            </w:pPr>
            <w:r w:rsidRPr="00C91E15">
              <w:rPr>
                <w:rFonts w:cs="Tahoma"/>
                <w:sz w:val="16"/>
                <w:szCs w:val="16"/>
              </w:rPr>
              <w:t xml:space="preserve">Sanayide enerji verimliliğini tespit etmeye yönelik etüt ve veritabanı oluşturma çalışmaları yürütülecektir. </w:t>
            </w:r>
          </w:p>
          <w:p w:rsidR="00565FD5" w:rsidRPr="00C91E15" w:rsidRDefault="00565FD5" w:rsidP="00AB62A3">
            <w:pPr>
              <w:autoSpaceDE w:val="0"/>
              <w:autoSpaceDN w:val="0"/>
              <w:adjustRightInd w:val="0"/>
              <w:rPr>
                <w:rFonts w:cs="Tahoma"/>
                <w:sz w:val="16"/>
                <w:szCs w:val="16"/>
              </w:rPr>
            </w:pPr>
            <w:r w:rsidRPr="00C91E15">
              <w:rPr>
                <w:rFonts w:cs="Tahoma"/>
                <w:sz w:val="16"/>
                <w:szCs w:val="16"/>
              </w:rPr>
              <w:t>Endüstriyel işletmelerde ve binalarda görevlendirilmesi gereken enerji yöneticilerinin sertifikalandırılmasına yönelik çalışmalara devam edilecektir.</w:t>
            </w:r>
          </w:p>
        </w:tc>
      </w:tr>
      <w:tr w:rsidR="00565FD5" w:rsidRPr="00C91E15" w:rsidTr="00AB62A3">
        <w:trPr>
          <w:trHeight w:val="986"/>
          <w:jc w:val="center"/>
        </w:trPr>
        <w:tc>
          <w:tcPr>
            <w:tcW w:w="1167" w:type="pct"/>
          </w:tcPr>
          <w:p w:rsidR="00565FD5" w:rsidRPr="00C91E15" w:rsidRDefault="00565FD5" w:rsidP="00EB1E69">
            <w:pPr>
              <w:numPr>
                <w:ilvl w:val="0"/>
                <w:numId w:val="14"/>
              </w:numPr>
              <w:tabs>
                <w:tab w:val="left" w:pos="425"/>
              </w:tabs>
              <w:spacing w:after="0" w:line="240" w:lineRule="auto"/>
              <w:rPr>
                <w:rFonts w:cs="Tahoma"/>
                <w:sz w:val="16"/>
                <w:szCs w:val="16"/>
              </w:rPr>
            </w:pPr>
            <w:r>
              <w:rPr>
                <w:rFonts w:cs="Tahoma"/>
                <w:sz w:val="16"/>
                <w:szCs w:val="16"/>
              </w:rPr>
              <w:lastRenderedPageBreak/>
              <w:t>Binaların enerji kimlik belgesi alması ve enerji verimli hale gelmesi sağlanacaktır.</w:t>
            </w:r>
          </w:p>
        </w:tc>
        <w:tc>
          <w:tcPr>
            <w:tcW w:w="1378" w:type="pct"/>
          </w:tcPr>
          <w:p w:rsidR="00565FD5" w:rsidRDefault="00565FD5" w:rsidP="00AB62A3">
            <w:pPr>
              <w:rPr>
                <w:rFonts w:cs="Tahoma"/>
                <w:sz w:val="16"/>
                <w:szCs w:val="16"/>
              </w:rPr>
            </w:pPr>
            <w:r>
              <w:rPr>
                <w:rFonts w:cs="Tahoma"/>
                <w:sz w:val="16"/>
                <w:szCs w:val="16"/>
              </w:rPr>
              <w:t xml:space="preserve">Çevre ve Şehircilik Bakanlığı (S), </w:t>
            </w:r>
            <w:r w:rsidRPr="00C91E15">
              <w:rPr>
                <w:rFonts w:cs="Tahoma"/>
                <w:sz w:val="16"/>
                <w:szCs w:val="16"/>
              </w:rPr>
              <w:t>Enerji ve Tabii Kaynaklar Bakanlığı</w:t>
            </w:r>
            <w:r>
              <w:rPr>
                <w:rFonts w:cs="Tahoma"/>
                <w:sz w:val="16"/>
                <w:szCs w:val="16"/>
              </w:rPr>
              <w:t>, Belediyeler Birliği, Üniversiteler,</w:t>
            </w:r>
          </w:p>
          <w:p w:rsidR="00565FD5" w:rsidRDefault="00565FD5" w:rsidP="00AB62A3">
            <w:pPr>
              <w:rPr>
                <w:rFonts w:cs="Tahoma"/>
                <w:sz w:val="16"/>
                <w:szCs w:val="16"/>
              </w:rPr>
            </w:pPr>
            <w:r>
              <w:rPr>
                <w:rFonts w:cs="Tahoma"/>
                <w:sz w:val="16"/>
                <w:szCs w:val="16"/>
              </w:rPr>
              <w:t>Meslek Odaları,</w:t>
            </w:r>
          </w:p>
          <w:p w:rsidR="00565FD5" w:rsidRPr="00C91E15" w:rsidRDefault="00565FD5" w:rsidP="00AB62A3">
            <w:pPr>
              <w:rPr>
                <w:rFonts w:cs="Tahoma"/>
                <w:sz w:val="16"/>
                <w:szCs w:val="16"/>
              </w:rPr>
            </w:pPr>
            <w:r>
              <w:rPr>
                <w:rFonts w:cs="Tahoma"/>
                <w:sz w:val="16"/>
                <w:szCs w:val="16"/>
              </w:rPr>
              <w:t>Enerji Verimliliği Danışmanlık Şirketleri, Yetkilendirilmiş Ölçüm Şirketleri</w:t>
            </w:r>
          </w:p>
        </w:tc>
        <w:tc>
          <w:tcPr>
            <w:tcW w:w="478" w:type="pct"/>
          </w:tcPr>
          <w:p w:rsidR="00565FD5" w:rsidRPr="00C91E15" w:rsidRDefault="00565FD5" w:rsidP="00AB62A3">
            <w:pPr>
              <w:rPr>
                <w:rFonts w:cs="Tahoma"/>
                <w:sz w:val="16"/>
                <w:szCs w:val="16"/>
              </w:rPr>
            </w:pPr>
            <w:r>
              <w:rPr>
                <w:rFonts w:cs="Tahoma"/>
                <w:sz w:val="16"/>
                <w:szCs w:val="16"/>
              </w:rPr>
              <w:t>Aralık Sonu</w:t>
            </w:r>
          </w:p>
        </w:tc>
        <w:tc>
          <w:tcPr>
            <w:tcW w:w="1978" w:type="pct"/>
          </w:tcPr>
          <w:p w:rsidR="00565FD5" w:rsidRDefault="00565FD5" w:rsidP="00AB62A3">
            <w:pPr>
              <w:rPr>
                <w:rFonts w:cs="Tahoma"/>
                <w:sz w:val="16"/>
                <w:szCs w:val="16"/>
              </w:rPr>
            </w:pPr>
            <w:r>
              <w:rPr>
                <w:rFonts w:cs="Tahoma"/>
                <w:sz w:val="16"/>
                <w:szCs w:val="16"/>
              </w:rPr>
              <w:t>2013 yılı sonuna kadar binaların yüzde 6’sının enerji kimlik belgesi sahibi olması sağlanacaktır.</w:t>
            </w:r>
          </w:p>
          <w:p w:rsidR="00565FD5" w:rsidRPr="00C91E15" w:rsidRDefault="00565FD5" w:rsidP="00AB62A3">
            <w:pPr>
              <w:rPr>
                <w:rFonts w:cs="Tahoma"/>
                <w:sz w:val="16"/>
                <w:szCs w:val="16"/>
              </w:rPr>
            </w:pPr>
            <w:r>
              <w:rPr>
                <w:rFonts w:cs="Tahoma"/>
                <w:sz w:val="16"/>
                <w:szCs w:val="16"/>
              </w:rPr>
              <w:t>2013 yılı sonuna kadar yetki belgesi sahibi firma sayısı 25’e çıkarılacaktır.</w:t>
            </w:r>
          </w:p>
        </w:tc>
      </w:tr>
      <w:tr w:rsidR="00565FD5" w:rsidRPr="00C91E15" w:rsidTr="00AB62A3">
        <w:trPr>
          <w:jc w:val="center"/>
        </w:trPr>
        <w:tc>
          <w:tcPr>
            <w:tcW w:w="5000" w:type="pct"/>
            <w:gridSpan w:val="4"/>
          </w:tcPr>
          <w:p w:rsidR="00565FD5" w:rsidRPr="00C91E15" w:rsidRDefault="00565FD5" w:rsidP="00EB1E69">
            <w:pPr>
              <w:numPr>
                <w:ilvl w:val="0"/>
                <w:numId w:val="15"/>
              </w:numPr>
              <w:tabs>
                <w:tab w:val="left" w:pos="425"/>
              </w:tabs>
              <w:spacing w:after="0" w:line="240" w:lineRule="auto"/>
              <w:rPr>
                <w:rFonts w:cs="Tahoma"/>
                <w:sz w:val="16"/>
                <w:szCs w:val="16"/>
              </w:rPr>
            </w:pPr>
            <w:r w:rsidRPr="00C91E15">
              <w:rPr>
                <w:rFonts w:cs="Tahoma"/>
                <w:b/>
                <w:bCs/>
                <w:sz w:val="16"/>
                <w:szCs w:val="16"/>
              </w:rPr>
              <w:t>Türkiye’de nükleer güç santralleri kurulabilmesi için gerekli çalışmalar yapılacaktır.</w:t>
            </w:r>
          </w:p>
        </w:tc>
      </w:tr>
      <w:tr w:rsidR="00565FD5" w:rsidRPr="00C91E15" w:rsidTr="00AB62A3">
        <w:trPr>
          <w:trHeight w:val="1737"/>
          <w:jc w:val="center"/>
        </w:trPr>
        <w:tc>
          <w:tcPr>
            <w:tcW w:w="1167" w:type="pct"/>
          </w:tcPr>
          <w:p w:rsidR="00565FD5" w:rsidRPr="00C91E15" w:rsidRDefault="00565FD5" w:rsidP="00EB1E69">
            <w:pPr>
              <w:numPr>
                <w:ilvl w:val="0"/>
                <w:numId w:val="14"/>
              </w:numPr>
              <w:tabs>
                <w:tab w:val="left" w:pos="425"/>
              </w:tabs>
              <w:spacing w:after="0" w:line="240" w:lineRule="auto"/>
              <w:ind w:left="26"/>
              <w:rPr>
                <w:rFonts w:cs="Tahoma"/>
                <w:sz w:val="16"/>
                <w:szCs w:val="16"/>
              </w:rPr>
            </w:pPr>
            <w:r w:rsidRPr="00C91E15">
              <w:rPr>
                <w:rFonts w:cs="Tahoma"/>
                <w:sz w:val="16"/>
                <w:szCs w:val="16"/>
              </w:rPr>
              <w:t>Nükleer faaliyetlerin düzenlenmesi ve denetlenmesine yönelik yasal altyapı oluşturulacak ve gerekli kurumsal yapılanma tamamlanacaktır.</w:t>
            </w:r>
          </w:p>
        </w:tc>
        <w:tc>
          <w:tcPr>
            <w:tcW w:w="1378" w:type="pct"/>
          </w:tcPr>
          <w:p w:rsidR="00565FD5" w:rsidRPr="00C91E15" w:rsidRDefault="00565FD5" w:rsidP="00AB62A3">
            <w:pPr>
              <w:rPr>
                <w:rFonts w:cs="Tahoma"/>
                <w:sz w:val="16"/>
                <w:szCs w:val="16"/>
              </w:rPr>
            </w:pPr>
            <w:r w:rsidRPr="00C91E15">
              <w:rPr>
                <w:rFonts w:cs="Tahoma"/>
                <w:sz w:val="16"/>
                <w:szCs w:val="16"/>
              </w:rPr>
              <w:t>Enerji ve Tabii Kaynaklar Bakanlığı (S), TAEK</w:t>
            </w:r>
          </w:p>
        </w:tc>
        <w:tc>
          <w:tcPr>
            <w:tcW w:w="478" w:type="pct"/>
          </w:tcPr>
          <w:p w:rsidR="00565FD5" w:rsidRPr="00C91E15" w:rsidRDefault="00565FD5" w:rsidP="00AB62A3">
            <w:pPr>
              <w:rPr>
                <w:rFonts w:cs="Tahoma"/>
                <w:sz w:val="16"/>
                <w:szCs w:val="16"/>
              </w:rPr>
            </w:pPr>
            <w:r w:rsidRPr="00C91E15">
              <w:rPr>
                <w:rFonts w:cs="Tahoma"/>
                <w:sz w:val="16"/>
                <w:szCs w:val="16"/>
              </w:rPr>
              <w:t>Aralık Sonu</w:t>
            </w:r>
          </w:p>
        </w:tc>
        <w:tc>
          <w:tcPr>
            <w:tcW w:w="1978" w:type="pct"/>
          </w:tcPr>
          <w:p w:rsidR="00565FD5" w:rsidRPr="00C91E15" w:rsidRDefault="00565FD5" w:rsidP="00AB62A3">
            <w:pPr>
              <w:rPr>
                <w:rFonts w:cs="Tahoma"/>
                <w:sz w:val="16"/>
                <w:szCs w:val="16"/>
              </w:rPr>
            </w:pPr>
            <w:r w:rsidRPr="00C91E15">
              <w:rPr>
                <w:rFonts w:cs="Tahoma"/>
                <w:sz w:val="16"/>
                <w:szCs w:val="16"/>
              </w:rPr>
              <w:t>Nükleer faaliyetlerin düzenlenmesi ve denetlenmesi işlemlerinin bağımsız bir kurum tarafından yürütülmesini ve TAEK görev ve yetkilerinin yeniden düzenlenmesini amaçlayan kanun tasarısı taslağı Başbakanlığa sevk edilecektir.</w:t>
            </w:r>
          </w:p>
        </w:tc>
      </w:tr>
      <w:tr w:rsidR="00565FD5" w:rsidRPr="00C91E15" w:rsidTr="00AB62A3">
        <w:trPr>
          <w:jc w:val="center"/>
        </w:trPr>
        <w:tc>
          <w:tcPr>
            <w:tcW w:w="1167" w:type="pct"/>
          </w:tcPr>
          <w:p w:rsidR="00565FD5" w:rsidRPr="00C91E15" w:rsidRDefault="00565FD5" w:rsidP="00EB1E69">
            <w:pPr>
              <w:numPr>
                <w:ilvl w:val="0"/>
                <w:numId w:val="14"/>
              </w:numPr>
              <w:autoSpaceDE w:val="0"/>
              <w:autoSpaceDN w:val="0"/>
              <w:adjustRightInd w:val="0"/>
              <w:spacing w:after="0" w:line="240" w:lineRule="auto"/>
              <w:ind w:left="26"/>
              <w:rPr>
                <w:rFonts w:cs="Tahoma"/>
                <w:sz w:val="16"/>
                <w:szCs w:val="16"/>
              </w:rPr>
            </w:pPr>
            <w:r w:rsidRPr="00C91E15">
              <w:rPr>
                <w:rFonts w:cs="Tahoma"/>
                <w:sz w:val="16"/>
                <w:szCs w:val="16"/>
              </w:rPr>
              <w:t>2014</w:t>
            </w:r>
            <w:r w:rsidRPr="00C91E15">
              <w:rPr>
                <w:rFonts w:cs="Tahoma"/>
                <w:b/>
                <w:bCs/>
                <w:sz w:val="19"/>
                <w:szCs w:val="19"/>
              </w:rPr>
              <w:t xml:space="preserve"> </w:t>
            </w:r>
            <w:r w:rsidRPr="00C91E15">
              <w:rPr>
                <w:rFonts w:cs="Tahoma"/>
                <w:sz w:val="16"/>
                <w:szCs w:val="16"/>
              </w:rPr>
              <w:t>yılına kadar nükleer santral inşasına başlanabilmesi</w:t>
            </w:r>
          </w:p>
          <w:p w:rsidR="00565FD5" w:rsidRPr="00C91E15" w:rsidRDefault="00565FD5" w:rsidP="00AB62A3">
            <w:pPr>
              <w:autoSpaceDE w:val="0"/>
              <w:autoSpaceDN w:val="0"/>
              <w:adjustRightInd w:val="0"/>
              <w:ind w:left="26"/>
              <w:rPr>
                <w:rFonts w:cs="Tahoma"/>
                <w:sz w:val="16"/>
                <w:szCs w:val="16"/>
              </w:rPr>
            </w:pPr>
            <w:r w:rsidRPr="00C91E15">
              <w:rPr>
                <w:rFonts w:cs="Tahoma"/>
                <w:sz w:val="16"/>
                <w:szCs w:val="16"/>
              </w:rPr>
              <w:t>için, üretim lisansı ve ÇED başvuru süreçlerinin takibiyle gerekli mevzuat düzenlemelerinin yapılması ve müzakerelerin</w:t>
            </w:r>
          </w:p>
          <w:p w:rsidR="00565FD5" w:rsidRPr="00C91E15" w:rsidRDefault="00565FD5" w:rsidP="00AB62A3">
            <w:pPr>
              <w:ind w:left="26"/>
              <w:rPr>
                <w:rFonts w:cs="Tahoma"/>
                <w:b/>
                <w:sz w:val="16"/>
                <w:szCs w:val="16"/>
              </w:rPr>
            </w:pPr>
            <w:r w:rsidRPr="00C91E15">
              <w:rPr>
                <w:rFonts w:cs="Tahoma"/>
                <w:sz w:val="16"/>
                <w:szCs w:val="16"/>
              </w:rPr>
              <w:t xml:space="preserve">sonuçlandırılması sağlanacaktır. </w:t>
            </w:r>
          </w:p>
        </w:tc>
        <w:tc>
          <w:tcPr>
            <w:tcW w:w="1378" w:type="pct"/>
          </w:tcPr>
          <w:p w:rsidR="00565FD5" w:rsidRPr="00C91E15" w:rsidRDefault="00565FD5" w:rsidP="00AB62A3">
            <w:pPr>
              <w:rPr>
                <w:rFonts w:cs="Tahoma"/>
                <w:sz w:val="16"/>
                <w:szCs w:val="16"/>
              </w:rPr>
            </w:pPr>
            <w:r w:rsidRPr="00C91E15">
              <w:rPr>
                <w:rFonts w:cs="Tahoma"/>
                <w:sz w:val="16"/>
                <w:szCs w:val="16"/>
              </w:rPr>
              <w:t>Enerji ve Tabii Kaynaklar Bakanlığı (S), Dışişleri Bakanlığı, Çevre ve Şehircilik Bakanlığı, EPDK, TAEK, TEİAŞ, TETAŞ</w:t>
            </w:r>
            <w:r w:rsidRPr="00C91E15">
              <w:rPr>
                <w:rFonts w:cs="Tahoma"/>
                <w:sz w:val="19"/>
                <w:szCs w:val="19"/>
              </w:rPr>
              <w:t xml:space="preserve"> </w:t>
            </w:r>
          </w:p>
          <w:p w:rsidR="00565FD5" w:rsidRPr="00C91E15" w:rsidRDefault="00565FD5" w:rsidP="00AB62A3">
            <w:pPr>
              <w:rPr>
                <w:rFonts w:cs="Tahoma"/>
                <w:sz w:val="16"/>
                <w:szCs w:val="16"/>
              </w:rPr>
            </w:pPr>
          </w:p>
        </w:tc>
        <w:tc>
          <w:tcPr>
            <w:tcW w:w="478" w:type="pct"/>
          </w:tcPr>
          <w:p w:rsidR="00565FD5" w:rsidRPr="00C91E15" w:rsidRDefault="00565FD5" w:rsidP="00AB62A3">
            <w:pPr>
              <w:rPr>
                <w:rFonts w:cs="Tahoma"/>
                <w:sz w:val="16"/>
                <w:szCs w:val="16"/>
              </w:rPr>
            </w:pPr>
            <w:r w:rsidRPr="00C91E15">
              <w:rPr>
                <w:rFonts w:cs="Tahoma"/>
                <w:sz w:val="16"/>
                <w:szCs w:val="16"/>
              </w:rPr>
              <w:t>Aralık Sonu</w:t>
            </w:r>
          </w:p>
        </w:tc>
        <w:tc>
          <w:tcPr>
            <w:tcW w:w="1978" w:type="pct"/>
          </w:tcPr>
          <w:p w:rsidR="00565FD5" w:rsidRPr="00C91E15" w:rsidRDefault="00565FD5" w:rsidP="00AB62A3">
            <w:pPr>
              <w:tabs>
                <w:tab w:val="center" w:pos="4153"/>
                <w:tab w:val="right" w:pos="8306"/>
              </w:tabs>
              <w:rPr>
                <w:rFonts w:cs="Tahoma"/>
                <w:sz w:val="16"/>
                <w:szCs w:val="16"/>
              </w:rPr>
            </w:pPr>
            <w:r w:rsidRPr="00C91E15">
              <w:rPr>
                <w:rFonts w:cs="Tahoma"/>
                <w:sz w:val="16"/>
                <w:szCs w:val="16"/>
              </w:rPr>
              <w:t xml:space="preserve">Akkuyu Nükleer Güç Santrali (NGS) için ilgili kurumlara yapılacak başvurularda ve işlemlerin sonuçlandırılmasında, sürecin sağlıklı işlemesi amacıyla koordinasyon sağlanacaktır. Akkuyu sahasında bir NGS kurulması için işbirliği yapılacak kurum ve kuruluşlarla görüş alışverişinde bulunularak, gerekli mevzuat düzenlemelerinin yapılması sağlanacaktır. Sinop NGS ile ilgili müzakerelerin hedeflenen sürede ve sağlıklı bir şekilde sonuçlandırılması için gerekli koordinasyon </w:t>
            </w:r>
            <w:r w:rsidRPr="00C91E15">
              <w:rPr>
                <w:rFonts w:cs="Tahoma"/>
                <w:sz w:val="16"/>
                <w:szCs w:val="16"/>
              </w:rPr>
              <w:lastRenderedPageBreak/>
              <w:t>sağlanacaktır.</w:t>
            </w:r>
          </w:p>
        </w:tc>
      </w:tr>
      <w:tr w:rsidR="00565FD5" w:rsidRPr="00C91E15" w:rsidTr="00AB62A3">
        <w:trPr>
          <w:jc w:val="center"/>
        </w:trPr>
        <w:tc>
          <w:tcPr>
            <w:tcW w:w="5000" w:type="pct"/>
            <w:gridSpan w:val="4"/>
          </w:tcPr>
          <w:p w:rsidR="00565FD5" w:rsidRPr="00C91E15" w:rsidRDefault="00565FD5" w:rsidP="00EB1E69">
            <w:pPr>
              <w:numPr>
                <w:ilvl w:val="0"/>
                <w:numId w:val="15"/>
              </w:numPr>
              <w:tabs>
                <w:tab w:val="left" w:pos="425"/>
              </w:tabs>
              <w:spacing w:after="0" w:line="240" w:lineRule="auto"/>
              <w:jc w:val="both"/>
              <w:rPr>
                <w:rFonts w:cs="Tahoma"/>
                <w:b/>
                <w:bCs/>
                <w:sz w:val="16"/>
                <w:szCs w:val="16"/>
              </w:rPr>
            </w:pPr>
            <w:r w:rsidRPr="00C91E15">
              <w:rPr>
                <w:rFonts w:cs="Tahoma"/>
                <w:b/>
                <w:bCs/>
                <w:sz w:val="16"/>
                <w:szCs w:val="16"/>
              </w:rPr>
              <w:lastRenderedPageBreak/>
              <w:t>Kamu elektrik üretim ve dağıtım tesislerinin rekabetçi bir piyasa oluşturulması hedefine hizmet edecek şekilde özelleştirilmeleri sağlanacaktır.</w:t>
            </w:r>
          </w:p>
        </w:tc>
      </w:tr>
      <w:tr w:rsidR="00565FD5" w:rsidRPr="00C91E15" w:rsidTr="00AB62A3">
        <w:trPr>
          <w:jc w:val="center"/>
        </w:trPr>
        <w:tc>
          <w:tcPr>
            <w:tcW w:w="1167" w:type="pct"/>
          </w:tcPr>
          <w:p w:rsidR="00565FD5" w:rsidRPr="00D75202" w:rsidRDefault="00565FD5" w:rsidP="00EB1E69">
            <w:pPr>
              <w:numPr>
                <w:ilvl w:val="0"/>
                <w:numId w:val="14"/>
              </w:numPr>
              <w:tabs>
                <w:tab w:val="left" w:pos="425"/>
              </w:tabs>
              <w:spacing w:after="0" w:line="240" w:lineRule="auto"/>
              <w:rPr>
                <w:rFonts w:cs="Tahoma"/>
                <w:b/>
                <w:sz w:val="16"/>
                <w:szCs w:val="16"/>
              </w:rPr>
            </w:pPr>
            <w:r w:rsidRPr="00D75202">
              <w:rPr>
                <w:rFonts w:cs="Tahoma"/>
                <w:sz w:val="16"/>
                <w:szCs w:val="16"/>
              </w:rPr>
              <w:t>Elektrik üretim ve dağıtımında özelleştirme çalışmalarına devam edilecektir.</w:t>
            </w:r>
          </w:p>
        </w:tc>
        <w:tc>
          <w:tcPr>
            <w:tcW w:w="1378" w:type="pct"/>
          </w:tcPr>
          <w:p w:rsidR="00565FD5" w:rsidRPr="00D75202" w:rsidRDefault="00565FD5" w:rsidP="00AB62A3">
            <w:pPr>
              <w:rPr>
                <w:rFonts w:cs="Tahoma"/>
                <w:sz w:val="16"/>
                <w:szCs w:val="16"/>
              </w:rPr>
            </w:pPr>
            <w:r w:rsidRPr="00D75202">
              <w:rPr>
                <w:rFonts w:cs="Tahoma"/>
                <w:sz w:val="16"/>
                <w:szCs w:val="16"/>
              </w:rPr>
              <w:t xml:space="preserve">Özelleştirme İdaresi Başkanlığı (S), Enerji ve Tabii Kaynaklar Bakanlığı, EPDK, Rekabet Kurumu, EÜAŞ, TEDAŞ </w:t>
            </w:r>
          </w:p>
        </w:tc>
        <w:tc>
          <w:tcPr>
            <w:tcW w:w="478" w:type="pct"/>
          </w:tcPr>
          <w:p w:rsidR="00565FD5" w:rsidRPr="00D75202" w:rsidRDefault="00565FD5" w:rsidP="00AB62A3">
            <w:pPr>
              <w:rPr>
                <w:rFonts w:cs="Tahoma"/>
                <w:sz w:val="16"/>
                <w:szCs w:val="16"/>
              </w:rPr>
            </w:pPr>
            <w:r w:rsidRPr="00D75202">
              <w:rPr>
                <w:rFonts w:cs="Tahoma"/>
                <w:sz w:val="16"/>
                <w:szCs w:val="16"/>
              </w:rPr>
              <w:t>Aralık Sonu</w:t>
            </w:r>
          </w:p>
        </w:tc>
        <w:tc>
          <w:tcPr>
            <w:tcW w:w="1978" w:type="pct"/>
          </w:tcPr>
          <w:p w:rsidR="00565FD5" w:rsidRPr="00D75202" w:rsidRDefault="00565FD5" w:rsidP="00AB62A3">
            <w:pPr>
              <w:rPr>
                <w:rFonts w:cs="Tahoma"/>
                <w:sz w:val="16"/>
                <w:szCs w:val="16"/>
              </w:rPr>
            </w:pPr>
            <w:r w:rsidRPr="00D75202">
              <w:rPr>
                <w:rFonts w:cs="Tahoma"/>
                <w:sz w:val="16"/>
                <w:szCs w:val="16"/>
              </w:rPr>
              <w:t>2010 yılında başlatılan elektrik üretim varlıklarının özelleştirme çalışmaları sürdürülecektir. Özelleştirilecek üretim tesislerinin belirlenmesinde, portföyler halinde gruplandırılmasında ve özelleştirme yöntemlerinin tespit edilmesinde piyasada hakim güç oluşturulmaması ve rekabetin sağlanması temel ölçüt olarak alınacaktır. Elektrik dağıtım şirketlerinin özelleştirme çalışmaları sürdürülecektir.</w:t>
            </w:r>
          </w:p>
        </w:tc>
      </w:tr>
    </w:tbl>
    <w:p w:rsidR="00565FD5" w:rsidRPr="00C91E15" w:rsidRDefault="00565FD5" w:rsidP="00565FD5">
      <w:pPr>
        <w:rPr>
          <w:rFonts w:cs="Tahoma"/>
        </w:rPr>
      </w:pPr>
    </w:p>
    <w:p w:rsidR="00565FD5" w:rsidRPr="00256F5A" w:rsidRDefault="00565FD5" w:rsidP="00565FD5">
      <w:pPr>
        <w:pStyle w:val="Balk4"/>
      </w:pPr>
      <w:bookmarkStart w:id="1574" w:name="_Toc307601989"/>
      <w:bookmarkStart w:id="1575" w:name="_Toc307670438"/>
      <w:bookmarkStart w:id="1576" w:name="_Toc307701664"/>
      <w:bookmarkStart w:id="1577" w:name="_Toc338505571"/>
      <w:bookmarkStart w:id="1578" w:name="_Toc338523798"/>
      <w:bookmarkStart w:id="1579" w:name="_Toc338524029"/>
      <w:bookmarkStart w:id="1580" w:name="_Toc338526255"/>
      <w:bookmarkStart w:id="1581" w:name="_Toc338673698"/>
      <w:bookmarkStart w:id="1582" w:name="_Toc338711577"/>
      <w:bookmarkStart w:id="1583" w:name="_Toc181286018"/>
      <w:bookmarkStart w:id="1584" w:name="_Toc181284939"/>
      <w:bookmarkStart w:id="1585" w:name="_Toc181192651"/>
      <w:bookmarkStart w:id="1586" w:name="_Toc244253656"/>
      <w:bookmarkStart w:id="1587" w:name="_Toc244254907"/>
      <w:bookmarkStart w:id="1588" w:name="_Toc244313643"/>
      <w:bookmarkStart w:id="1589" w:name="_Toc244315120"/>
      <w:bookmarkStart w:id="1590" w:name="_Toc244339583"/>
      <w:bookmarkStart w:id="1591" w:name="_Toc276076262"/>
      <w:bookmarkEnd w:id="1531"/>
      <w:bookmarkEnd w:id="1532"/>
      <w:bookmarkEnd w:id="1533"/>
      <w:bookmarkEnd w:id="1534"/>
      <w:bookmarkEnd w:id="1535"/>
      <w:bookmarkEnd w:id="1536"/>
      <w:r w:rsidRPr="00256F5A">
        <w:t>ULAŞTIRMA</w:t>
      </w:r>
      <w:bookmarkEnd w:id="1574"/>
      <w:bookmarkEnd w:id="1575"/>
      <w:bookmarkEnd w:id="1576"/>
      <w:bookmarkEnd w:id="1577"/>
      <w:bookmarkEnd w:id="1578"/>
      <w:bookmarkEnd w:id="1579"/>
      <w:bookmarkEnd w:id="1580"/>
      <w:bookmarkEnd w:id="1581"/>
      <w:bookmarkEnd w:id="1582"/>
    </w:p>
    <w:p w:rsidR="00565FD5" w:rsidRPr="00256F5A" w:rsidRDefault="00565FD5" w:rsidP="00565FD5">
      <w:pPr>
        <w:pStyle w:val="Balk4"/>
      </w:pPr>
      <w:bookmarkStart w:id="1592" w:name="_Toc276076284"/>
      <w:bookmarkStart w:id="1593" w:name="_Toc244339605"/>
      <w:bookmarkStart w:id="1594" w:name="_Toc244315142"/>
      <w:bookmarkStart w:id="1595" w:name="_Toc244313666"/>
      <w:bookmarkStart w:id="1596" w:name="_Toc244254931"/>
      <w:bookmarkStart w:id="1597" w:name="_Toc244253680"/>
      <w:bookmarkStart w:id="1598" w:name="_Toc307601990"/>
      <w:bookmarkStart w:id="1599" w:name="_Toc307670439"/>
      <w:bookmarkStart w:id="1600" w:name="_Toc307701665"/>
      <w:bookmarkStart w:id="1601" w:name="_Toc338505572"/>
      <w:bookmarkStart w:id="1602" w:name="_Toc338523799"/>
      <w:bookmarkStart w:id="1603" w:name="_Toc338524030"/>
      <w:bookmarkStart w:id="1604" w:name="_Toc338526256"/>
      <w:bookmarkStart w:id="1605" w:name="_Toc338673699"/>
      <w:bookmarkStart w:id="1606" w:name="_Toc338711578"/>
      <w:r w:rsidRPr="00256F5A">
        <w:t>1. Mevcut Durum</w:t>
      </w:r>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rsidR="00565FD5" w:rsidRPr="00256F5A" w:rsidRDefault="00565FD5" w:rsidP="00565FD5">
      <w:pPr>
        <w:spacing w:after="80"/>
        <w:ind w:firstLine="425"/>
        <w:rPr>
          <w:rFonts w:cs="Tahoma"/>
          <w:szCs w:val="18"/>
        </w:rPr>
      </w:pPr>
      <w:r w:rsidRPr="00256F5A">
        <w:rPr>
          <w:rFonts w:cs="Tahoma"/>
          <w:szCs w:val="18"/>
        </w:rPr>
        <w:t xml:space="preserve">Demiryolu ve denizyolu fiziki altyapısının artan ulaşım talebine uygun olarak zamanında gerçekleştirilememesi ve kapıdan kapıya taşımacılık için en uygun ulaştırma türünün karayolu taşımacılığı olması, yük ve yolcu taşımalarının ağırlıklı olarak karayolu ağına yüklenmesine yol açmıştır. Bu durum, fiziki standartlar ve ağ yoğunluğu açısından yetersiz olan karayolu altyapısının, yasal sınırı aşan yüklemeler ve bakım-onarım hizmetleri için zamanında yeterli kaynak ayrılamaması gibi nedenlerle daha da yıpranmasına ve verimsiz bir ulaşım sisteminin oluşmasına neden olmaktadır. </w:t>
      </w:r>
    </w:p>
    <w:p w:rsidR="00565FD5" w:rsidRPr="00256F5A" w:rsidRDefault="00565FD5" w:rsidP="00565FD5">
      <w:pPr>
        <w:spacing w:after="80"/>
        <w:ind w:firstLine="425"/>
        <w:rPr>
          <w:rFonts w:cs="Tahoma"/>
          <w:szCs w:val="18"/>
        </w:rPr>
      </w:pPr>
      <w:r w:rsidRPr="00256F5A">
        <w:rPr>
          <w:rFonts w:cs="Tahoma"/>
          <w:szCs w:val="18"/>
        </w:rPr>
        <w:t xml:space="preserve">Artan ulaşım talebi, uzun dönemli planlamalar yapılsa dahi, kısıtlı kaynakların kısa vadeli kaygılarla karayolu iyileştirme ve yapımına tahsis edilmesine sebep olmaktadır. Standartı düşük ve ağırlıklı tek hat olan altyapı üzerinde işletmecilik yapılan demiryollarının rekabet edebilirliği demiryolu ağının ve taşımacılığının özel sektöre açılmasını öngören kanun taslağının yasalaşma sürecinin tamamlanamaması nedeniyle düşük kalmaktadır. Denizyollarında büyük liman altyapılarının inşasını özendirecek finansman modelleri etkin bir şekilde hayata geçirilememiştir.  Sonuç olarak, kısıtlı kaynaklar, karayolu ağırlıklı yapı ve sürekli artan talep kendi kendini besleyen olumsuz bir yapı yaratmıştır. </w:t>
      </w:r>
    </w:p>
    <w:p w:rsidR="00565FD5" w:rsidRDefault="00565FD5" w:rsidP="00565FD5">
      <w:pPr>
        <w:spacing w:after="80"/>
        <w:ind w:firstLine="425"/>
        <w:rPr>
          <w:rFonts w:cs="Tahoma"/>
          <w:szCs w:val="18"/>
        </w:rPr>
      </w:pPr>
      <w:r w:rsidRPr="00256F5A">
        <w:rPr>
          <w:rFonts w:cs="Tahoma"/>
          <w:szCs w:val="18"/>
        </w:rPr>
        <w:lastRenderedPageBreak/>
        <w:t xml:space="preserve">AB Katılım Müzakerelerinde Trans-Avrupa Ağları (TEN) Faslında teknik kapanış kriteri karşılandığı halde politik kriter nedeniyle halen geçici kapanış gerçekleştirilememiştir. </w:t>
      </w:r>
      <w:bookmarkStart w:id="1607" w:name="_Toc276076490"/>
      <w:bookmarkStart w:id="1608" w:name="_Toc275873948"/>
      <w:bookmarkStart w:id="1609" w:name="_Toc244255265"/>
      <w:bookmarkStart w:id="1610" w:name="_Toc307601670"/>
      <w:bookmarkStart w:id="1611" w:name="_Toc307657893"/>
      <w:bookmarkStart w:id="1612" w:name="_Toc307702149"/>
      <w:r w:rsidRPr="00256F5A">
        <w:rPr>
          <w:rFonts w:cs="Tahoma"/>
          <w:szCs w:val="18"/>
        </w:rPr>
        <w:t>Diğer taraftan, Ulaştırma Operasyonel Programı için öngörülen hibe kaynakları ve Türkiye’nin sağladığı eş finansmanla Ankara-İstanbul Hızlı Tren Projesi Köseköy-Gebze kesiminin ve Irmak-Karabük-Zonguldak Sinyalizasyon, Telekom Tesisi Yapımı ve Altyapı İyileştirmesi projesinin yapım çalışmaları devam etmektedir.</w:t>
      </w:r>
    </w:p>
    <w:p w:rsidR="00565FD5" w:rsidRPr="00256F5A" w:rsidRDefault="00565FD5" w:rsidP="00565FD5">
      <w:pPr>
        <w:spacing w:after="80"/>
        <w:ind w:firstLine="425"/>
        <w:rPr>
          <w:rFonts w:cs="Tahoma"/>
          <w:szCs w:val="18"/>
        </w:rPr>
      </w:pPr>
      <w:r w:rsidRPr="00256F5A">
        <w:rPr>
          <w:rFonts w:cs="Tahoma"/>
          <w:szCs w:val="18"/>
        </w:rPr>
        <w:t>Hızlı ve plansız kentleşme, kentlerde yaşanan yüksek nüfus artış hızı ve motorlu taşıt sahipliğindeki yükseliş; Türkiye’de kent içi ulaşımda yaşanan fazla yakıt tüketimi, çevre kirliliği, kazalar ve trafik sıkışıklığı sorunlarının artarak devam etmesine sebep olmaktadır. Kent içi ulaşımda bütün belediyeler için bağlayıcı olacak ulusal standart ve kriterlerin belirlenememiş olması, yüksek maliyetli raylı sistemlerin yapımı konusunda önceliklendirme yapılmasını güçleştirmektedir.</w:t>
      </w:r>
    </w:p>
    <w:p w:rsidR="00565FD5" w:rsidRPr="00256F5A" w:rsidRDefault="00565FD5" w:rsidP="00565FD5">
      <w:pPr>
        <w:spacing w:after="80"/>
        <w:ind w:firstLine="425"/>
        <w:rPr>
          <w:rFonts w:cs="Tahoma"/>
          <w:szCs w:val="18"/>
        </w:rPr>
      </w:pPr>
      <w:r w:rsidRPr="00256F5A">
        <w:rPr>
          <w:rFonts w:cs="Tahoma"/>
          <w:szCs w:val="18"/>
        </w:rPr>
        <w:t>2011 yılı verilerine göre, Türkiye’de şehirlerarası yolcu taşımalarının yüzde 95,1’i, yük taşımalarının ise yüzde 88,5’i karayoluyla gerçekleştirilmektedir. Bu oran AB-27’de 2010 yılı için yolcu taşımalarında yüzde 83,2, yük taşımalarında ise yüzde 47,3 düzeyindedir.</w:t>
      </w:r>
      <w:r w:rsidRPr="00256F5A">
        <w:rPr>
          <w:rFonts w:cs="Tahoma"/>
          <w:szCs w:val="18"/>
          <w:vertAlign w:val="superscript"/>
        </w:rPr>
        <w:footnoteReference w:id="7"/>
      </w:r>
    </w:p>
    <w:p w:rsidR="00565FD5" w:rsidRPr="00250B7F" w:rsidRDefault="00565FD5" w:rsidP="00565FD5">
      <w:pPr>
        <w:pStyle w:val="ResimYazs"/>
        <w:rPr>
          <w:rFonts w:eastAsia="Arial Unicode MS" w:cs="Tahoma"/>
          <w:szCs w:val="16"/>
        </w:rPr>
      </w:pPr>
      <w:bookmarkStart w:id="1613" w:name="_Toc338606013"/>
      <w:bookmarkStart w:id="1614" w:name="_Toc338711788"/>
      <w:r>
        <w:t xml:space="preserve">TABLO IV: </w:t>
      </w:r>
      <w:fldSimple w:instr=" SEQ TABLO_IV: \* ARABIC ">
        <w:r>
          <w:rPr>
            <w:noProof/>
          </w:rPr>
          <w:t>18</w:t>
        </w:r>
      </w:fldSimple>
      <w:r w:rsidRPr="00250B7F">
        <w:rPr>
          <w:rFonts w:eastAsia="Arial Unicode MS" w:cs="Tahoma"/>
          <w:szCs w:val="16"/>
        </w:rPr>
        <w:t>- Ulaştırma Alt Sektörlerindeki Gelişmeler</w:t>
      </w:r>
      <w:bookmarkEnd w:id="1607"/>
      <w:bookmarkEnd w:id="1608"/>
      <w:bookmarkEnd w:id="1609"/>
      <w:bookmarkEnd w:id="1610"/>
      <w:bookmarkEnd w:id="1611"/>
      <w:bookmarkEnd w:id="1612"/>
      <w:bookmarkEnd w:id="1613"/>
      <w:bookmarkEnd w:id="1614"/>
    </w:p>
    <w:p w:rsidR="00565FD5" w:rsidRPr="00256F5A" w:rsidRDefault="00565FD5" w:rsidP="00565FD5">
      <w:pPr>
        <w:rPr>
          <w:sz w:val="14"/>
          <w:szCs w:val="14"/>
        </w:rPr>
      </w:pPr>
    </w:p>
    <w:tbl>
      <w:tblPr>
        <w:tblW w:w="4853" w:type="pct"/>
        <w:tblInd w:w="113" w:type="dxa"/>
        <w:tblBorders>
          <w:top w:val="single" w:sz="4" w:space="0" w:color="auto"/>
          <w:bottom w:val="single" w:sz="4" w:space="0" w:color="auto"/>
        </w:tblBorders>
        <w:tblLook w:val="00A0"/>
      </w:tblPr>
      <w:tblGrid>
        <w:gridCol w:w="1789"/>
        <w:gridCol w:w="1160"/>
        <w:gridCol w:w="811"/>
        <w:gridCol w:w="804"/>
        <w:gridCol w:w="806"/>
        <w:gridCol w:w="971"/>
        <w:gridCol w:w="801"/>
      </w:tblGrid>
      <w:tr w:rsidR="00565FD5" w:rsidRPr="00256F5A" w:rsidTr="00AB62A3">
        <w:tc>
          <w:tcPr>
            <w:tcW w:w="1252" w:type="pct"/>
            <w:tcBorders>
              <w:top w:val="single" w:sz="4" w:space="0" w:color="auto"/>
              <w:left w:val="single" w:sz="4" w:space="0" w:color="auto"/>
              <w:bottom w:val="single" w:sz="4" w:space="0" w:color="auto"/>
              <w:right w:val="none" w:sz="0" w:space="0" w:color="000000"/>
            </w:tcBorders>
            <w:vAlign w:val="center"/>
          </w:tcPr>
          <w:p w:rsidR="00565FD5" w:rsidRPr="00256F5A" w:rsidRDefault="00565FD5" w:rsidP="00AB62A3">
            <w:pPr>
              <w:rPr>
                <w:rFonts w:cs="Tahoma"/>
                <w:b/>
                <w:bCs/>
                <w:sz w:val="12"/>
                <w:szCs w:val="12"/>
              </w:rPr>
            </w:pPr>
          </w:p>
        </w:tc>
        <w:tc>
          <w:tcPr>
            <w:tcW w:w="812" w:type="pct"/>
            <w:tcBorders>
              <w:top w:val="single" w:sz="4" w:space="0" w:color="auto"/>
              <w:left w:val="none" w:sz="0" w:space="0" w:color="000000"/>
              <w:bottom w:val="single" w:sz="4" w:space="0" w:color="auto"/>
              <w:right w:val="none" w:sz="0" w:space="0" w:color="000000"/>
            </w:tcBorders>
            <w:vAlign w:val="center"/>
          </w:tcPr>
          <w:p w:rsidR="00565FD5" w:rsidRPr="00256F5A" w:rsidRDefault="00565FD5" w:rsidP="00AB62A3">
            <w:pPr>
              <w:rPr>
                <w:rFonts w:cs="Tahoma"/>
                <w:b/>
                <w:bCs/>
                <w:sz w:val="12"/>
                <w:szCs w:val="12"/>
              </w:rPr>
            </w:pPr>
            <w:r w:rsidRPr="00256F5A">
              <w:rPr>
                <w:rFonts w:cs="Tahoma"/>
                <w:b/>
                <w:bCs/>
                <w:sz w:val="12"/>
                <w:szCs w:val="12"/>
              </w:rPr>
              <w:t>Birim</w:t>
            </w:r>
          </w:p>
        </w:tc>
        <w:tc>
          <w:tcPr>
            <w:tcW w:w="568" w:type="pct"/>
            <w:tcBorders>
              <w:top w:val="single" w:sz="4" w:space="0" w:color="auto"/>
              <w:left w:val="none" w:sz="0" w:space="0" w:color="000000"/>
              <w:bottom w:val="single" w:sz="4" w:space="0" w:color="auto"/>
              <w:right w:val="none" w:sz="0" w:space="0" w:color="000000"/>
            </w:tcBorders>
            <w:vAlign w:val="center"/>
          </w:tcPr>
          <w:p w:rsidR="00565FD5" w:rsidRPr="00256F5A" w:rsidRDefault="00565FD5" w:rsidP="00AB62A3">
            <w:pPr>
              <w:jc w:val="center"/>
              <w:rPr>
                <w:rFonts w:cs="Tahoma"/>
                <w:b/>
                <w:bCs/>
                <w:sz w:val="12"/>
                <w:szCs w:val="12"/>
              </w:rPr>
            </w:pPr>
            <w:r w:rsidRPr="00256F5A">
              <w:rPr>
                <w:rFonts w:cs="Tahoma"/>
                <w:b/>
                <w:bCs/>
                <w:sz w:val="12"/>
                <w:szCs w:val="12"/>
              </w:rPr>
              <w:t xml:space="preserve">2010 </w:t>
            </w:r>
          </w:p>
          <w:p w:rsidR="00565FD5" w:rsidRPr="00256F5A" w:rsidRDefault="00565FD5" w:rsidP="00AB62A3">
            <w:pPr>
              <w:jc w:val="center"/>
              <w:rPr>
                <w:rFonts w:cs="Tahoma"/>
                <w:b/>
                <w:bCs/>
                <w:sz w:val="12"/>
                <w:szCs w:val="12"/>
              </w:rPr>
            </w:pPr>
            <w:r w:rsidRPr="00256F5A">
              <w:rPr>
                <w:rFonts w:cs="Tahoma"/>
                <w:b/>
                <w:bCs/>
                <w:sz w:val="12"/>
                <w:szCs w:val="12"/>
              </w:rPr>
              <w:t xml:space="preserve"> (a)</w:t>
            </w:r>
          </w:p>
        </w:tc>
        <w:tc>
          <w:tcPr>
            <w:tcW w:w="563" w:type="pct"/>
            <w:tcBorders>
              <w:top w:val="single" w:sz="4" w:space="0" w:color="auto"/>
              <w:left w:val="none" w:sz="0" w:space="0" w:color="000000"/>
              <w:bottom w:val="single" w:sz="4" w:space="0" w:color="auto"/>
              <w:right w:val="none" w:sz="0" w:space="0" w:color="000000"/>
            </w:tcBorders>
          </w:tcPr>
          <w:p w:rsidR="00565FD5" w:rsidRPr="00256F5A" w:rsidRDefault="00565FD5" w:rsidP="00AB62A3">
            <w:pPr>
              <w:jc w:val="center"/>
              <w:rPr>
                <w:rFonts w:cs="Tahoma"/>
                <w:b/>
                <w:bCs/>
                <w:sz w:val="12"/>
                <w:szCs w:val="12"/>
              </w:rPr>
            </w:pPr>
            <w:r w:rsidRPr="00256F5A">
              <w:rPr>
                <w:rFonts w:cs="Tahoma"/>
                <w:b/>
                <w:bCs/>
                <w:sz w:val="12"/>
                <w:szCs w:val="12"/>
              </w:rPr>
              <w:t>2011</w:t>
            </w:r>
          </w:p>
          <w:p w:rsidR="00565FD5" w:rsidRPr="00256F5A" w:rsidRDefault="00565FD5" w:rsidP="00AB62A3">
            <w:pPr>
              <w:jc w:val="center"/>
              <w:rPr>
                <w:rFonts w:cs="Tahoma"/>
                <w:b/>
                <w:bCs/>
                <w:sz w:val="12"/>
                <w:szCs w:val="12"/>
              </w:rPr>
            </w:pPr>
            <w:r w:rsidRPr="00256F5A">
              <w:rPr>
                <w:rFonts w:cs="Tahoma"/>
                <w:b/>
                <w:bCs/>
                <w:sz w:val="12"/>
                <w:szCs w:val="12"/>
              </w:rPr>
              <w:t>(b)</w:t>
            </w:r>
          </w:p>
        </w:tc>
        <w:tc>
          <w:tcPr>
            <w:tcW w:w="564" w:type="pct"/>
            <w:tcBorders>
              <w:top w:val="single" w:sz="4" w:space="0" w:color="auto"/>
              <w:left w:val="none" w:sz="0" w:space="0" w:color="000000"/>
              <w:bottom w:val="single" w:sz="4" w:space="0" w:color="auto"/>
              <w:right w:val="none" w:sz="0" w:space="0" w:color="000000"/>
            </w:tcBorders>
          </w:tcPr>
          <w:p w:rsidR="00565FD5" w:rsidRPr="00256F5A" w:rsidRDefault="00565FD5" w:rsidP="00AB62A3">
            <w:pPr>
              <w:jc w:val="center"/>
              <w:rPr>
                <w:rFonts w:cs="Tahoma"/>
                <w:b/>
                <w:bCs/>
                <w:sz w:val="12"/>
                <w:szCs w:val="12"/>
              </w:rPr>
            </w:pPr>
            <w:r w:rsidRPr="00256F5A">
              <w:rPr>
                <w:rFonts w:cs="Tahoma"/>
                <w:b/>
                <w:bCs/>
                <w:sz w:val="12"/>
                <w:szCs w:val="12"/>
              </w:rPr>
              <w:t>2012(7)</w:t>
            </w:r>
          </w:p>
          <w:p w:rsidR="00565FD5" w:rsidRPr="00256F5A" w:rsidRDefault="00565FD5" w:rsidP="00AB62A3">
            <w:pPr>
              <w:jc w:val="center"/>
              <w:rPr>
                <w:rFonts w:cs="Tahoma"/>
                <w:b/>
                <w:bCs/>
                <w:sz w:val="12"/>
                <w:szCs w:val="12"/>
              </w:rPr>
            </w:pPr>
            <w:r w:rsidRPr="00256F5A">
              <w:rPr>
                <w:rFonts w:cs="Tahoma"/>
                <w:b/>
                <w:bCs/>
                <w:sz w:val="12"/>
                <w:szCs w:val="12"/>
              </w:rPr>
              <w:t>(c)</w:t>
            </w:r>
          </w:p>
        </w:tc>
        <w:tc>
          <w:tcPr>
            <w:tcW w:w="680" w:type="pct"/>
            <w:tcBorders>
              <w:top w:val="single" w:sz="4" w:space="0" w:color="auto"/>
              <w:left w:val="none" w:sz="0" w:space="0" w:color="000000"/>
              <w:bottom w:val="single" w:sz="4" w:space="0" w:color="auto"/>
              <w:right w:val="none" w:sz="0" w:space="0" w:color="000000"/>
            </w:tcBorders>
            <w:vAlign w:val="center"/>
          </w:tcPr>
          <w:p w:rsidR="00565FD5" w:rsidRPr="00256F5A" w:rsidRDefault="00565FD5" w:rsidP="00AB62A3">
            <w:pPr>
              <w:jc w:val="right"/>
              <w:rPr>
                <w:rFonts w:cs="Tahoma"/>
                <w:b/>
                <w:bCs/>
                <w:sz w:val="12"/>
                <w:szCs w:val="12"/>
              </w:rPr>
            </w:pPr>
            <w:r w:rsidRPr="00256F5A">
              <w:rPr>
                <w:rFonts w:cs="Tahoma"/>
                <w:b/>
                <w:bCs/>
                <w:sz w:val="12"/>
                <w:szCs w:val="12"/>
              </w:rPr>
              <w:t>2011</w:t>
            </w:r>
          </w:p>
          <w:p w:rsidR="00565FD5" w:rsidRPr="00256F5A" w:rsidRDefault="00565FD5" w:rsidP="00AB62A3">
            <w:pPr>
              <w:jc w:val="right"/>
              <w:rPr>
                <w:rFonts w:cs="Tahoma"/>
                <w:b/>
                <w:bCs/>
                <w:sz w:val="12"/>
                <w:szCs w:val="12"/>
              </w:rPr>
            </w:pPr>
            <w:r w:rsidRPr="00256F5A">
              <w:rPr>
                <w:rFonts w:cs="Tahoma"/>
                <w:b/>
                <w:bCs/>
                <w:sz w:val="12"/>
                <w:szCs w:val="12"/>
              </w:rPr>
              <w:t>(b/a)</w:t>
            </w:r>
          </w:p>
        </w:tc>
        <w:tc>
          <w:tcPr>
            <w:tcW w:w="561" w:type="pct"/>
            <w:tcBorders>
              <w:top w:val="single" w:sz="4" w:space="0" w:color="auto"/>
              <w:left w:val="none" w:sz="0" w:space="0" w:color="000000"/>
              <w:bottom w:val="single" w:sz="4" w:space="0" w:color="auto"/>
              <w:right w:val="single" w:sz="4" w:space="0" w:color="auto"/>
            </w:tcBorders>
            <w:vAlign w:val="center"/>
          </w:tcPr>
          <w:p w:rsidR="00565FD5" w:rsidRPr="00256F5A" w:rsidRDefault="00565FD5" w:rsidP="00AB62A3">
            <w:pPr>
              <w:jc w:val="right"/>
              <w:rPr>
                <w:rFonts w:cs="Tahoma"/>
                <w:b/>
                <w:bCs/>
                <w:sz w:val="12"/>
                <w:szCs w:val="12"/>
              </w:rPr>
            </w:pPr>
            <w:r w:rsidRPr="00256F5A">
              <w:rPr>
                <w:rFonts w:cs="Tahoma"/>
                <w:b/>
                <w:bCs/>
                <w:sz w:val="12"/>
                <w:szCs w:val="12"/>
              </w:rPr>
              <w:t>2012</w:t>
            </w:r>
          </w:p>
          <w:p w:rsidR="00565FD5" w:rsidRPr="00256F5A" w:rsidRDefault="00565FD5" w:rsidP="00AB62A3">
            <w:pPr>
              <w:jc w:val="right"/>
              <w:rPr>
                <w:rFonts w:cs="Tahoma"/>
                <w:b/>
                <w:bCs/>
                <w:sz w:val="12"/>
                <w:szCs w:val="12"/>
              </w:rPr>
            </w:pPr>
            <w:r w:rsidRPr="00256F5A">
              <w:rPr>
                <w:rFonts w:cs="Tahoma"/>
                <w:b/>
                <w:bCs/>
                <w:sz w:val="12"/>
                <w:szCs w:val="12"/>
              </w:rPr>
              <w:t>(c/b)</w:t>
            </w:r>
          </w:p>
        </w:tc>
      </w:tr>
      <w:tr w:rsidR="00565FD5" w:rsidRPr="00256F5A" w:rsidTr="00AB62A3">
        <w:trPr>
          <w:trHeight w:val="170"/>
        </w:trPr>
        <w:tc>
          <w:tcPr>
            <w:tcW w:w="1252" w:type="pct"/>
            <w:tcBorders>
              <w:top w:val="single" w:sz="4" w:space="0" w:color="auto"/>
              <w:left w:val="single" w:sz="4" w:space="0" w:color="auto"/>
              <w:bottom w:val="nil"/>
              <w:right w:val="nil"/>
            </w:tcBorders>
          </w:tcPr>
          <w:p w:rsidR="00565FD5" w:rsidRPr="00256F5A" w:rsidRDefault="00565FD5" w:rsidP="00AB62A3">
            <w:pPr>
              <w:rPr>
                <w:rFonts w:cs="Tahoma"/>
                <w:b/>
                <w:bCs/>
                <w:sz w:val="12"/>
                <w:szCs w:val="12"/>
              </w:rPr>
            </w:pPr>
          </w:p>
        </w:tc>
        <w:tc>
          <w:tcPr>
            <w:tcW w:w="812" w:type="pct"/>
            <w:tcBorders>
              <w:top w:val="single" w:sz="4" w:space="0" w:color="auto"/>
              <w:left w:val="nil"/>
              <w:bottom w:val="nil"/>
              <w:right w:val="nil"/>
            </w:tcBorders>
          </w:tcPr>
          <w:p w:rsidR="00565FD5" w:rsidRPr="00256F5A" w:rsidRDefault="00565FD5" w:rsidP="00AB62A3">
            <w:pPr>
              <w:rPr>
                <w:rFonts w:cs="Tahoma"/>
                <w:sz w:val="12"/>
                <w:szCs w:val="12"/>
              </w:rPr>
            </w:pPr>
          </w:p>
        </w:tc>
        <w:tc>
          <w:tcPr>
            <w:tcW w:w="568" w:type="pct"/>
            <w:tcBorders>
              <w:top w:val="single" w:sz="4" w:space="0" w:color="auto"/>
              <w:left w:val="nil"/>
              <w:bottom w:val="nil"/>
              <w:right w:val="nil"/>
            </w:tcBorders>
          </w:tcPr>
          <w:p w:rsidR="00565FD5" w:rsidRPr="00256F5A" w:rsidRDefault="00565FD5" w:rsidP="00AB62A3">
            <w:pPr>
              <w:jc w:val="center"/>
              <w:rPr>
                <w:rFonts w:cs="Tahoma"/>
                <w:sz w:val="12"/>
                <w:szCs w:val="12"/>
              </w:rPr>
            </w:pPr>
          </w:p>
        </w:tc>
        <w:tc>
          <w:tcPr>
            <w:tcW w:w="563" w:type="pct"/>
            <w:tcBorders>
              <w:top w:val="single" w:sz="4" w:space="0" w:color="auto"/>
              <w:left w:val="nil"/>
              <w:bottom w:val="nil"/>
              <w:right w:val="nil"/>
            </w:tcBorders>
          </w:tcPr>
          <w:p w:rsidR="00565FD5" w:rsidRPr="00256F5A" w:rsidRDefault="00565FD5" w:rsidP="00AB62A3">
            <w:pPr>
              <w:jc w:val="center"/>
              <w:rPr>
                <w:rFonts w:cs="Tahoma"/>
                <w:sz w:val="12"/>
                <w:szCs w:val="12"/>
              </w:rPr>
            </w:pPr>
          </w:p>
        </w:tc>
        <w:tc>
          <w:tcPr>
            <w:tcW w:w="564" w:type="pct"/>
            <w:tcBorders>
              <w:top w:val="single" w:sz="4" w:space="0" w:color="auto"/>
              <w:left w:val="nil"/>
              <w:bottom w:val="nil"/>
              <w:right w:val="nil"/>
            </w:tcBorders>
          </w:tcPr>
          <w:p w:rsidR="00565FD5" w:rsidRPr="00256F5A" w:rsidRDefault="00565FD5" w:rsidP="00AB62A3">
            <w:pPr>
              <w:jc w:val="right"/>
              <w:rPr>
                <w:rFonts w:cs="Tahoma"/>
                <w:sz w:val="12"/>
                <w:szCs w:val="12"/>
              </w:rPr>
            </w:pPr>
          </w:p>
        </w:tc>
        <w:tc>
          <w:tcPr>
            <w:tcW w:w="1240" w:type="pct"/>
            <w:gridSpan w:val="2"/>
            <w:tcBorders>
              <w:top w:val="single" w:sz="4" w:space="0" w:color="auto"/>
              <w:left w:val="nil"/>
              <w:bottom w:val="single" w:sz="4" w:space="0" w:color="auto"/>
              <w:right w:val="single" w:sz="4" w:space="0" w:color="auto"/>
            </w:tcBorders>
          </w:tcPr>
          <w:p w:rsidR="00565FD5" w:rsidRPr="00256F5A" w:rsidRDefault="00565FD5" w:rsidP="00AB62A3">
            <w:pPr>
              <w:jc w:val="center"/>
              <w:rPr>
                <w:rFonts w:cs="Tahoma"/>
                <w:b/>
                <w:bCs/>
                <w:sz w:val="12"/>
                <w:szCs w:val="12"/>
              </w:rPr>
            </w:pPr>
            <w:r w:rsidRPr="00256F5A">
              <w:rPr>
                <w:rFonts w:cs="Tahoma"/>
                <w:sz w:val="14"/>
                <w:szCs w:val="14"/>
              </w:rPr>
              <w:t>Yıllık Artış (Yüzde)</w:t>
            </w:r>
          </w:p>
        </w:tc>
      </w:tr>
      <w:tr w:rsidR="00565FD5" w:rsidRPr="00256F5A" w:rsidTr="00AB62A3">
        <w:trPr>
          <w:trHeight w:val="170"/>
        </w:trPr>
        <w:tc>
          <w:tcPr>
            <w:tcW w:w="1252" w:type="pct"/>
            <w:tcBorders>
              <w:top w:val="nil"/>
              <w:left w:val="single" w:sz="4" w:space="0" w:color="auto"/>
              <w:bottom w:val="none" w:sz="0" w:space="0" w:color="000000"/>
              <w:right w:val="none" w:sz="0" w:space="0" w:color="000000"/>
            </w:tcBorders>
          </w:tcPr>
          <w:p w:rsidR="00565FD5" w:rsidRPr="00256F5A" w:rsidRDefault="00565FD5" w:rsidP="00AB62A3">
            <w:pPr>
              <w:rPr>
                <w:rFonts w:cs="Tahoma"/>
                <w:b/>
                <w:bCs/>
                <w:sz w:val="12"/>
                <w:szCs w:val="12"/>
              </w:rPr>
            </w:pPr>
            <w:r w:rsidRPr="00256F5A">
              <w:rPr>
                <w:rFonts w:cs="Tahoma"/>
                <w:b/>
                <w:bCs/>
                <w:sz w:val="12"/>
                <w:szCs w:val="12"/>
              </w:rPr>
              <w:t>DEMİRYOLU ULAŞIMI</w:t>
            </w:r>
          </w:p>
        </w:tc>
        <w:tc>
          <w:tcPr>
            <w:tcW w:w="812" w:type="pct"/>
            <w:tcBorders>
              <w:top w:val="nil"/>
              <w:left w:val="none" w:sz="0" w:space="0" w:color="000000"/>
              <w:bottom w:val="none" w:sz="0" w:space="0" w:color="000000"/>
              <w:right w:val="none" w:sz="0" w:space="0" w:color="000000"/>
            </w:tcBorders>
          </w:tcPr>
          <w:p w:rsidR="00565FD5" w:rsidRPr="00256F5A" w:rsidRDefault="00565FD5" w:rsidP="00AB62A3">
            <w:pPr>
              <w:rPr>
                <w:rFonts w:cs="Tahoma"/>
                <w:sz w:val="12"/>
                <w:szCs w:val="12"/>
              </w:rPr>
            </w:pPr>
          </w:p>
        </w:tc>
        <w:tc>
          <w:tcPr>
            <w:tcW w:w="568" w:type="pct"/>
            <w:tcBorders>
              <w:top w:val="nil"/>
              <w:left w:val="none" w:sz="0" w:space="0" w:color="000000"/>
              <w:bottom w:val="none" w:sz="0" w:space="0" w:color="000000"/>
              <w:right w:val="none" w:sz="0" w:space="0" w:color="000000"/>
            </w:tcBorders>
          </w:tcPr>
          <w:p w:rsidR="00565FD5" w:rsidRPr="00256F5A" w:rsidRDefault="00565FD5" w:rsidP="00AB62A3">
            <w:pPr>
              <w:jc w:val="center"/>
              <w:rPr>
                <w:rFonts w:cs="Tahoma"/>
                <w:sz w:val="12"/>
                <w:szCs w:val="12"/>
              </w:rPr>
            </w:pPr>
          </w:p>
        </w:tc>
        <w:tc>
          <w:tcPr>
            <w:tcW w:w="563" w:type="pct"/>
            <w:tcBorders>
              <w:top w:val="nil"/>
              <w:left w:val="none" w:sz="0" w:space="0" w:color="000000"/>
              <w:bottom w:val="none" w:sz="0" w:space="0" w:color="000000"/>
              <w:right w:val="none" w:sz="0" w:space="0" w:color="000000"/>
            </w:tcBorders>
          </w:tcPr>
          <w:p w:rsidR="00565FD5" w:rsidRPr="00256F5A" w:rsidRDefault="00565FD5" w:rsidP="00AB62A3">
            <w:pPr>
              <w:jc w:val="center"/>
              <w:rPr>
                <w:rFonts w:cs="Tahoma"/>
                <w:sz w:val="12"/>
                <w:szCs w:val="12"/>
              </w:rPr>
            </w:pPr>
          </w:p>
        </w:tc>
        <w:tc>
          <w:tcPr>
            <w:tcW w:w="564" w:type="pct"/>
            <w:tcBorders>
              <w:top w:val="nil"/>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p>
        </w:tc>
        <w:tc>
          <w:tcPr>
            <w:tcW w:w="680" w:type="pct"/>
            <w:tcBorders>
              <w:top w:val="single" w:sz="4" w:space="0" w:color="auto"/>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p>
        </w:tc>
        <w:tc>
          <w:tcPr>
            <w:tcW w:w="561" w:type="pct"/>
            <w:tcBorders>
              <w:top w:val="single" w:sz="4" w:space="0" w:color="auto"/>
              <w:left w:val="none" w:sz="0" w:space="0" w:color="000000"/>
              <w:bottom w:val="none" w:sz="0" w:space="0" w:color="000000"/>
              <w:right w:val="single" w:sz="4" w:space="0" w:color="auto"/>
            </w:tcBorders>
          </w:tcPr>
          <w:p w:rsidR="00565FD5" w:rsidRPr="00256F5A" w:rsidRDefault="00565FD5" w:rsidP="00AB62A3">
            <w:pPr>
              <w:jc w:val="right"/>
              <w:rPr>
                <w:rFonts w:cs="Tahoma"/>
                <w:b/>
                <w:bCs/>
                <w:sz w:val="12"/>
                <w:szCs w:val="12"/>
              </w:rPr>
            </w:pPr>
          </w:p>
        </w:tc>
      </w:tr>
      <w:tr w:rsidR="00565FD5" w:rsidRPr="00256F5A" w:rsidTr="00AB62A3">
        <w:trPr>
          <w:trHeight w:val="170"/>
        </w:trPr>
        <w:tc>
          <w:tcPr>
            <w:tcW w:w="1252" w:type="pct"/>
            <w:tcBorders>
              <w:top w:val="none" w:sz="0" w:space="0" w:color="000000"/>
              <w:left w:val="single" w:sz="4" w:space="0" w:color="auto"/>
              <w:bottom w:val="none" w:sz="0" w:space="0" w:color="000000"/>
              <w:right w:val="none" w:sz="0" w:space="0" w:color="000000"/>
            </w:tcBorders>
          </w:tcPr>
          <w:p w:rsidR="00565FD5" w:rsidRPr="00256F5A" w:rsidRDefault="00565FD5" w:rsidP="00AB62A3">
            <w:pPr>
              <w:rPr>
                <w:rFonts w:cs="Tahoma"/>
                <w:sz w:val="12"/>
                <w:szCs w:val="12"/>
              </w:rPr>
            </w:pPr>
            <w:r w:rsidRPr="00256F5A">
              <w:rPr>
                <w:rFonts w:cs="Tahoma"/>
                <w:sz w:val="12"/>
                <w:szCs w:val="12"/>
              </w:rPr>
              <w:t>Yolcu Taşıma (</w:t>
            </w:r>
            <w:r>
              <w:rPr>
                <w:rFonts w:cs="Tahoma"/>
                <w:sz w:val="12"/>
                <w:szCs w:val="12"/>
              </w:rPr>
              <w:t>Yurtiçi</w:t>
            </w:r>
            <w:r w:rsidRPr="00256F5A">
              <w:rPr>
                <w:rFonts w:cs="Tahoma"/>
                <w:sz w:val="12"/>
                <w:szCs w:val="12"/>
              </w:rPr>
              <w:t>)</w:t>
            </w:r>
          </w:p>
        </w:tc>
        <w:tc>
          <w:tcPr>
            <w:tcW w:w="812"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rPr>
                <w:rFonts w:cs="Tahoma"/>
                <w:sz w:val="12"/>
                <w:szCs w:val="12"/>
              </w:rPr>
            </w:pPr>
            <w:r w:rsidRPr="00256F5A">
              <w:rPr>
                <w:rFonts w:cs="Tahoma"/>
                <w:sz w:val="12"/>
                <w:szCs w:val="12"/>
              </w:rPr>
              <w:t>Milyon-Yolcu-Km</w:t>
            </w:r>
          </w:p>
        </w:tc>
        <w:tc>
          <w:tcPr>
            <w:tcW w:w="568"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3 493</w:t>
            </w:r>
          </w:p>
        </w:tc>
        <w:tc>
          <w:tcPr>
            <w:tcW w:w="563"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3 922</w:t>
            </w:r>
          </w:p>
        </w:tc>
        <w:tc>
          <w:tcPr>
            <w:tcW w:w="564"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4 600</w:t>
            </w:r>
          </w:p>
        </w:tc>
        <w:tc>
          <w:tcPr>
            <w:tcW w:w="680"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12,</w:t>
            </w:r>
            <w:r>
              <w:rPr>
                <w:rFonts w:cs="Tahoma"/>
                <w:sz w:val="12"/>
                <w:szCs w:val="12"/>
              </w:rPr>
              <w:t>3</w:t>
            </w:r>
          </w:p>
        </w:tc>
        <w:tc>
          <w:tcPr>
            <w:tcW w:w="561" w:type="pct"/>
            <w:tcBorders>
              <w:top w:val="none" w:sz="0" w:space="0" w:color="000000"/>
              <w:left w:val="none" w:sz="0" w:space="0" w:color="000000"/>
              <w:bottom w:val="none" w:sz="0" w:space="0" w:color="000000"/>
              <w:right w:val="single" w:sz="4" w:space="0" w:color="auto"/>
            </w:tcBorders>
          </w:tcPr>
          <w:p w:rsidR="00565FD5" w:rsidRPr="00256F5A" w:rsidRDefault="00565FD5" w:rsidP="00AB62A3">
            <w:pPr>
              <w:jc w:val="right"/>
              <w:rPr>
                <w:rFonts w:cs="Tahoma"/>
                <w:sz w:val="12"/>
                <w:szCs w:val="12"/>
              </w:rPr>
            </w:pPr>
            <w:r w:rsidRPr="00256F5A">
              <w:rPr>
                <w:rFonts w:cs="Tahoma"/>
                <w:sz w:val="12"/>
                <w:szCs w:val="12"/>
              </w:rPr>
              <w:t>17,</w:t>
            </w:r>
            <w:r>
              <w:rPr>
                <w:rFonts w:cs="Tahoma"/>
                <w:sz w:val="12"/>
                <w:szCs w:val="12"/>
              </w:rPr>
              <w:t>3</w:t>
            </w:r>
          </w:p>
        </w:tc>
      </w:tr>
      <w:tr w:rsidR="00565FD5" w:rsidRPr="00256F5A" w:rsidTr="00AB62A3">
        <w:trPr>
          <w:trHeight w:val="170"/>
        </w:trPr>
        <w:tc>
          <w:tcPr>
            <w:tcW w:w="1252" w:type="pct"/>
            <w:tcBorders>
              <w:top w:val="none" w:sz="0" w:space="0" w:color="000000"/>
              <w:left w:val="single" w:sz="4" w:space="0" w:color="auto"/>
              <w:bottom w:val="none" w:sz="0" w:space="0" w:color="000000"/>
              <w:right w:val="none" w:sz="0" w:space="0" w:color="000000"/>
            </w:tcBorders>
          </w:tcPr>
          <w:p w:rsidR="00565FD5" w:rsidRPr="00256F5A" w:rsidRDefault="00565FD5" w:rsidP="00AB62A3">
            <w:pPr>
              <w:rPr>
                <w:rFonts w:cs="Tahoma"/>
                <w:sz w:val="12"/>
                <w:szCs w:val="12"/>
              </w:rPr>
            </w:pPr>
            <w:r w:rsidRPr="00256F5A">
              <w:rPr>
                <w:rFonts w:cs="Tahoma"/>
                <w:sz w:val="12"/>
                <w:szCs w:val="12"/>
              </w:rPr>
              <w:t>Yük Taşıma (</w:t>
            </w:r>
            <w:r>
              <w:rPr>
                <w:rFonts w:cs="Tahoma"/>
                <w:sz w:val="12"/>
                <w:szCs w:val="12"/>
              </w:rPr>
              <w:t>Yurtiçi</w:t>
            </w:r>
            <w:r w:rsidRPr="00256F5A">
              <w:rPr>
                <w:rFonts w:cs="Tahoma"/>
                <w:sz w:val="12"/>
                <w:szCs w:val="12"/>
              </w:rPr>
              <w:t>)</w:t>
            </w:r>
          </w:p>
        </w:tc>
        <w:tc>
          <w:tcPr>
            <w:tcW w:w="812"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rPr>
                <w:rFonts w:cs="Tahoma"/>
                <w:sz w:val="12"/>
                <w:szCs w:val="12"/>
              </w:rPr>
            </w:pPr>
            <w:r w:rsidRPr="00256F5A">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 xml:space="preserve">10 282 </w:t>
            </w:r>
          </w:p>
        </w:tc>
        <w:tc>
          <w:tcPr>
            <w:tcW w:w="563"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10 311</w:t>
            </w:r>
          </w:p>
        </w:tc>
        <w:tc>
          <w:tcPr>
            <w:tcW w:w="564"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10 900</w:t>
            </w:r>
          </w:p>
        </w:tc>
        <w:tc>
          <w:tcPr>
            <w:tcW w:w="680"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0,3</w:t>
            </w:r>
          </w:p>
        </w:tc>
        <w:tc>
          <w:tcPr>
            <w:tcW w:w="561" w:type="pct"/>
            <w:tcBorders>
              <w:top w:val="none" w:sz="0" w:space="0" w:color="000000"/>
              <w:left w:val="none" w:sz="0" w:space="0" w:color="000000"/>
              <w:bottom w:val="none" w:sz="0" w:space="0" w:color="000000"/>
              <w:right w:val="single" w:sz="4" w:space="0" w:color="auto"/>
            </w:tcBorders>
          </w:tcPr>
          <w:p w:rsidR="00565FD5" w:rsidRPr="00256F5A" w:rsidRDefault="00565FD5" w:rsidP="00AB62A3">
            <w:pPr>
              <w:jc w:val="right"/>
              <w:rPr>
                <w:rFonts w:cs="Tahoma"/>
                <w:sz w:val="12"/>
                <w:szCs w:val="12"/>
              </w:rPr>
            </w:pPr>
            <w:r w:rsidRPr="00256F5A">
              <w:rPr>
                <w:rFonts w:cs="Tahoma"/>
                <w:sz w:val="12"/>
                <w:szCs w:val="12"/>
              </w:rPr>
              <w:t>5,7</w:t>
            </w:r>
          </w:p>
        </w:tc>
      </w:tr>
      <w:tr w:rsidR="00565FD5" w:rsidRPr="00256F5A" w:rsidTr="00AB62A3">
        <w:trPr>
          <w:trHeight w:val="170"/>
        </w:trPr>
        <w:tc>
          <w:tcPr>
            <w:tcW w:w="1252" w:type="pct"/>
            <w:tcBorders>
              <w:top w:val="none" w:sz="0" w:space="0" w:color="000000"/>
              <w:left w:val="single" w:sz="4" w:space="0" w:color="auto"/>
              <w:bottom w:val="none" w:sz="0" w:space="0" w:color="000000"/>
              <w:right w:val="none" w:sz="0" w:space="0" w:color="000000"/>
            </w:tcBorders>
          </w:tcPr>
          <w:p w:rsidR="00565FD5" w:rsidRPr="00256F5A" w:rsidRDefault="00565FD5" w:rsidP="00AB62A3">
            <w:pPr>
              <w:rPr>
                <w:rFonts w:cs="Tahoma"/>
                <w:sz w:val="12"/>
                <w:szCs w:val="12"/>
              </w:rPr>
            </w:pPr>
            <w:r w:rsidRPr="00256F5A">
              <w:rPr>
                <w:rFonts w:cs="Tahoma"/>
                <w:sz w:val="12"/>
                <w:szCs w:val="12"/>
              </w:rPr>
              <w:t>Yük Taşıma (Yurt dışı)</w:t>
            </w:r>
          </w:p>
        </w:tc>
        <w:tc>
          <w:tcPr>
            <w:tcW w:w="812"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rPr>
                <w:rFonts w:cs="Tahoma"/>
                <w:sz w:val="12"/>
                <w:szCs w:val="12"/>
              </w:rPr>
            </w:pPr>
            <w:r w:rsidRPr="00256F5A">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 xml:space="preserve">1 018 </w:t>
            </w:r>
          </w:p>
        </w:tc>
        <w:tc>
          <w:tcPr>
            <w:tcW w:w="563"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992</w:t>
            </w:r>
          </w:p>
        </w:tc>
        <w:tc>
          <w:tcPr>
            <w:tcW w:w="564"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780</w:t>
            </w:r>
          </w:p>
        </w:tc>
        <w:tc>
          <w:tcPr>
            <w:tcW w:w="680"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-2,6</w:t>
            </w:r>
          </w:p>
        </w:tc>
        <w:tc>
          <w:tcPr>
            <w:tcW w:w="561" w:type="pct"/>
            <w:tcBorders>
              <w:top w:val="none" w:sz="0" w:space="0" w:color="000000"/>
              <w:left w:val="none" w:sz="0" w:space="0" w:color="000000"/>
              <w:bottom w:val="none" w:sz="0" w:space="0" w:color="000000"/>
              <w:right w:val="single" w:sz="4" w:space="0" w:color="auto"/>
            </w:tcBorders>
          </w:tcPr>
          <w:p w:rsidR="00565FD5" w:rsidRPr="00256F5A" w:rsidRDefault="00565FD5" w:rsidP="00AB62A3">
            <w:pPr>
              <w:jc w:val="right"/>
              <w:rPr>
                <w:rFonts w:cs="Tahoma"/>
                <w:sz w:val="12"/>
                <w:szCs w:val="12"/>
              </w:rPr>
            </w:pPr>
            <w:r w:rsidRPr="00256F5A">
              <w:rPr>
                <w:rFonts w:cs="Tahoma"/>
                <w:sz w:val="12"/>
                <w:szCs w:val="12"/>
              </w:rPr>
              <w:t>-21</w:t>
            </w:r>
            <w:r>
              <w:rPr>
                <w:rFonts w:cs="Tahoma"/>
                <w:sz w:val="12"/>
                <w:szCs w:val="12"/>
              </w:rPr>
              <w:t>,4</w:t>
            </w:r>
          </w:p>
        </w:tc>
      </w:tr>
      <w:tr w:rsidR="00565FD5" w:rsidRPr="00256F5A" w:rsidTr="00AB62A3">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565FD5" w:rsidRPr="00256F5A" w:rsidRDefault="00565FD5" w:rsidP="00AB62A3">
            <w:pPr>
              <w:rPr>
                <w:rFonts w:cs="Tahoma"/>
                <w:sz w:val="12"/>
                <w:szCs w:val="12"/>
                <w:vertAlign w:val="superscript"/>
              </w:rPr>
            </w:pPr>
            <w:r w:rsidRPr="00256F5A">
              <w:rPr>
                <w:rFonts w:cs="Tahoma"/>
                <w:b/>
                <w:bCs/>
                <w:sz w:val="12"/>
                <w:szCs w:val="12"/>
              </w:rPr>
              <w:t>DENİZYOLU ULAŞIMI</w:t>
            </w:r>
          </w:p>
        </w:tc>
        <w:tc>
          <w:tcPr>
            <w:tcW w:w="812"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rPr>
                <w:rFonts w:cs="Tahoma"/>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cs="Tahoma"/>
                <w:b/>
                <w:bCs/>
                <w:sz w:val="12"/>
                <w:szCs w:val="12"/>
              </w:rPr>
            </w:pPr>
          </w:p>
        </w:tc>
        <w:tc>
          <w:tcPr>
            <w:tcW w:w="563"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cs="Tahoma"/>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565FD5" w:rsidRPr="00256F5A" w:rsidRDefault="00565FD5" w:rsidP="00AB62A3">
            <w:pPr>
              <w:jc w:val="right"/>
              <w:rPr>
                <w:rFonts w:cs="Tahoma"/>
                <w:b/>
                <w:bCs/>
                <w:sz w:val="12"/>
                <w:szCs w:val="12"/>
              </w:rPr>
            </w:pPr>
          </w:p>
        </w:tc>
      </w:tr>
      <w:tr w:rsidR="00565FD5" w:rsidRPr="00256F5A" w:rsidTr="00AB62A3">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565FD5" w:rsidRPr="00256F5A" w:rsidRDefault="00565FD5" w:rsidP="00AB62A3">
            <w:pPr>
              <w:rPr>
                <w:rFonts w:cs="Tahoma"/>
                <w:b/>
                <w:bCs/>
                <w:sz w:val="12"/>
                <w:szCs w:val="12"/>
              </w:rPr>
            </w:pPr>
            <w:r w:rsidRPr="00256F5A">
              <w:rPr>
                <w:rFonts w:cs="Tahoma"/>
                <w:sz w:val="12"/>
                <w:szCs w:val="12"/>
              </w:rPr>
              <w:t>Yük taşıma (Yurtiçi)(1)</w:t>
            </w:r>
          </w:p>
        </w:tc>
        <w:tc>
          <w:tcPr>
            <w:tcW w:w="812"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rPr>
                <w:rFonts w:cs="Tahoma"/>
                <w:b/>
                <w:bCs/>
                <w:sz w:val="12"/>
                <w:szCs w:val="12"/>
              </w:rPr>
            </w:pPr>
            <w:r w:rsidRPr="00256F5A">
              <w:rPr>
                <w:rFonts w:cs="Tahoma"/>
                <w:sz w:val="12"/>
                <w:szCs w:val="12"/>
              </w:rPr>
              <w:t>Milyon -Ton-Km</w:t>
            </w:r>
          </w:p>
        </w:tc>
        <w:tc>
          <w:tcPr>
            <w:tcW w:w="568"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widowControl w:val="0"/>
              <w:autoSpaceDE w:val="0"/>
              <w:autoSpaceDN w:val="0"/>
              <w:adjustRightInd w:val="0"/>
              <w:jc w:val="right"/>
              <w:rPr>
                <w:rFonts w:cs="Tahoma"/>
                <w:sz w:val="12"/>
                <w:szCs w:val="12"/>
              </w:rPr>
            </w:pPr>
            <w:r w:rsidRPr="00256F5A">
              <w:rPr>
                <w:rFonts w:cs="Tahoma"/>
                <w:sz w:val="12"/>
                <w:szCs w:val="12"/>
              </w:rPr>
              <w:t>12 583</w:t>
            </w:r>
          </w:p>
        </w:tc>
        <w:tc>
          <w:tcPr>
            <w:tcW w:w="563"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widowControl w:val="0"/>
              <w:autoSpaceDE w:val="0"/>
              <w:autoSpaceDN w:val="0"/>
              <w:adjustRightInd w:val="0"/>
              <w:jc w:val="right"/>
              <w:rPr>
                <w:rFonts w:cs="Tahoma"/>
                <w:sz w:val="12"/>
                <w:szCs w:val="12"/>
              </w:rPr>
            </w:pPr>
            <w:r w:rsidRPr="00256F5A">
              <w:rPr>
                <w:rFonts w:cs="Tahoma"/>
                <w:sz w:val="12"/>
                <w:szCs w:val="12"/>
              </w:rPr>
              <w:t xml:space="preserve"> 15 978</w:t>
            </w:r>
          </w:p>
        </w:tc>
        <w:tc>
          <w:tcPr>
            <w:tcW w:w="564"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widowControl w:val="0"/>
              <w:autoSpaceDE w:val="0"/>
              <w:autoSpaceDN w:val="0"/>
              <w:adjustRightInd w:val="0"/>
              <w:jc w:val="right"/>
              <w:rPr>
                <w:rFonts w:cs="Tahoma"/>
                <w:sz w:val="12"/>
                <w:szCs w:val="12"/>
              </w:rPr>
            </w:pPr>
            <w:r w:rsidRPr="00256F5A">
              <w:rPr>
                <w:rFonts w:cs="Tahoma"/>
                <w:sz w:val="12"/>
                <w:szCs w:val="12"/>
              </w:rPr>
              <w:t>18 055</w:t>
            </w:r>
          </w:p>
        </w:tc>
        <w:tc>
          <w:tcPr>
            <w:tcW w:w="680"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widowControl w:val="0"/>
              <w:autoSpaceDE w:val="0"/>
              <w:autoSpaceDN w:val="0"/>
              <w:adjustRightInd w:val="0"/>
              <w:jc w:val="right"/>
              <w:rPr>
                <w:rFonts w:cs="Tahoma"/>
                <w:sz w:val="12"/>
                <w:szCs w:val="12"/>
              </w:rPr>
            </w:pPr>
            <w:r w:rsidRPr="00256F5A">
              <w:rPr>
                <w:rFonts w:cs="Tahoma"/>
                <w:sz w:val="12"/>
                <w:szCs w:val="12"/>
              </w:rPr>
              <w:t>27</w:t>
            </w:r>
          </w:p>
        </w:tc>
        <w:tc>
          <w:tcPr>
            <w:tcW w:w="561" w:type="pct"/>
            <w:tcBorders>
              <w:top w:val="none" w:sz="0" w:space="0" w:color="000000"/>
              <w:left w:val="none" w:sz="0" w:space="0" w:color="000000"/>
              <w:bottom w:val="none" w:sz="0" w:space="0" w:color="000000"/>
              <w:right w:val="single" w:sz="4" w:space="0" w:color="auto"/>
            </w:tcBorders>
            <w:vAlign w:val="center"/>
          </w:tcPr>
          <w:p w:rsidR="00565FD5" w:rsidRPr="00256F5A" w:rsidRDefault="00565FD5" w:rsidP="00AB62A3">
            <w:pPr>
              <w:widowControl w:val="0"/>
              <w:autoSpaceDE w:val="0"/>
              <w:autoSpaceDN w:val="0"/>
              <w:adjustRightInd w:val="0"/>
              <w:jc w:val="right"/>
              <w:rPr>
                <w:rFonts w:cs="Tahoma"/>
                <w:sz w:val="12"/>
                <w:szCs w:val="12"/>
              </w:rPr>
            </w:pPr>
            <w:r w:rsidRPr="00256F5A">
              <w:rPr>
                <w:rFonts w:cs="Tahoma"/>
                <w:sz w:val="12"/>
                <w:szCs w:val="12"/>
              </w:rPr>
              <w:t>13</w:t>
            </w:r>
          </w:p>
        </w:tc>
      </w:tr>
      <w:tr w:rsidR="00565FD5" w:rsidRPr="00256F5A" w:rsidTr="00AB62A3">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565FD5" w:rsidRPr="00256F5A" w:rsidRDefault="00565FD5" w:rsidP="00AB62A3">
            <w:pPr>
              <w:rPr>
                <w:rFonts w:cs="Tahoma"/>
                <w:sz w:val="12"/>
                <w:szCs w:val="12"/>
                <w:vertAlign w:val="superscript"/>
              </w:rPr>
            </w:pPr>
            <w:r w:rsidRPr="00256F5A">
              <w:rPr>
                <w:rFonts w:cs="Tahoma"/>
                <w:sz w:val="12"/>
                <w:szCs w:val="12"/>
              </w:rPr>
              <w:t>Yük taşıma (Yurtdışı)(2)</w:t>
            </w:r>
          </w:p>
        </w:tc>
        <w:tc>
          <w:tcPr>
            <w:tcW w:w="812"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rPr>
                <w:rFonts w:cs="Tahoma"/>
                <w:b/>
                <w:bCs/>
                <w:sz w:val="12"/>
                <w:szCs w:val="12"/>
              </w:rPr>
            </w:pPr>
            <w:r w:rsidRPr="00256F5A">
              <w:rPr>
                <w:rFonts w:cs="Tahoma"/>
                <w:sz w:val="12"/>
                <w:szCs w:val="12"/>
              </w:rPr>
              <w:t>Milyon -Ton-Km</w:t>
            </w:r>
          </w:p>
        </w:tc>
        <w:tc>
          <w:tcPr>
            <w:tcW w:w="568"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widowControl w:val="0"/>
              <w:autoSpaceDE w:val="0"/>
              <w:autoSpaceDN w:val="0"/>
              <w:adjustRightInd w:val="0"/>
              <w:jc w:val="right"/>
              <w:rPr>
                <w:rFonts w:cs="Tahoma"/>
                <w:sz w:val="12"/>
                <w:szCs w:val="12"/>
              </w:rPr>
            </w:pPr>
            <w:r w:rsidRPr="00256F5A">
              <w:rPr>
                <w:rFonts w:cs="Tahoma"/>
                <w:sz w:val="12"/>
                <w:szCs w:val="12"/>
              </w:rPr>
              <w:t>936 200</w:t>
            </w:r>
          </w:p>
        </w:tc>
        <w:tc>
          <w:tcPr>
            <w:tcW w:w="563"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widowControl w:val="0"/>
              <w:autoSpaceDE w:val="0"/>
              <w:autoSpaceDN w:val="0"/>
              <w:adjustRightInd w:val="0"/>
              <w:jc w:val="right"/>
              <w:rPr>
                <w:rFonts w:cs="Tahoma"/>
                <w:sz w:val="12"/>
                <w:szCs w:val="12"/>
              </w:rPr>
            </w:pPr>
            <w:r w:rsidRPr="00256F5A">
              <w:rPr>
                <w:rFonts w:cs="Tahoma"/>
                <w:sz w:val="12"/>
                <w:szCs w:val="12"/>
              </w:rPr>
              <w:t xml:space="preserve"> 977 400</w:t>
            </w:r>
          </w:p>
        </w:tc>
        <w:tc>
          <w:tcPr>
            <w:tcW w:w="564"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widowControl w:val="0"/>
              <w:autoSpaceDE w:val="0"/>
              <w:autoSpaceDN w:val="0"/>
              <w:adjustRightInd w:val="0"/>
              <w:jc w:val="right"/>
              <w:rPr>
                <w:rFonts w:cs="Tahoma"/>
                <w:sz w:val="12"/>
                <w:szCs w:val="12"/>
              </w:rPr>
            </w:pPr>
            <w:r w:rsidRPr="00256F5A">
              <w:rPr>
                <w:rFonts w:cs="Tahoma"/>
                <w:sz w:val="12"/>
                <w:szCs w:val="12"/>
              </w:rPr>
              <w:t>1 065 000</w:t>
            </w:r>
          </w:p>
        </w:tc>
        <w:tc>
          <w:tcPr>
            <w:tcW w:w="680"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widowControl w:val="0"/>
              <w:autoSpaceDE w:val="0"/>
              <w:autoSpaceDN w:val="0"/>
              <w:adjustRightInd w:val="0"/>
              <w:jc w:val="right"/>
              <w:rPr>
                <w:rFonts w:cs="Tahoma"/>
                <w:sz w:val="12"/>
                <w:szCs w:val="12"/>
              </w:rPr>
            </w:pPr>
            <w:r w:rsidRPr="00256F5A">
              <w:rPr>
                <w:rFonts w:cs="Tahoma"/>
                <w:sz w:val="12"/>
                <w:szCs w:val="12"/>
              </w:rPr>
              <w:t>4,4</w:t>
            </w:r>
          </w:p>
        </w:tc>
        <w:tc>
          <w:tcPr>
            <w:tcW w:w="561" w:type="pct"/>
            <w:tcBorders>
              <w:top w:val="none" w:sz="0" w:space="0" w:color="000000"/>
              <w:left w:val="none" w:sz="0" w:space="0" w:color="000000"/>
              <w:bottom w:val="none" w:sz="0" w:space="0" w:color="000000"/>
              <w:right w:val="single" w:sz="4" w:space="0" w:color="auto"/>
            </w:tcBorders>
            <w:vAlign w:val="center"/>
          </w:tcPr>
          <w:p w:rsidR="00565FD5" w:rsidRPr="00256F5A" w:rsidRDefault="00565FD5" w:rsidP="00AB62A3">
            <w:pPr>
              <w:widowControl w:val="0"/>
              <w:autoSpaceDE w:val="0"/>
              <w:autoSpaceDN w:val="0"/>
              <w:adjustRightInd w:val="0"/>
              <w:jc w:val="right"/>
              <w:rPr>
                <w:rFonts w:cs="Tahoma"/>
                <w:sz w:val="12"/>
                <w:szCs w:val="12"/>
              </w:rPr>
            </w:pPr>
            <w:r w:rsidRPr="00256F5A">
              <w:rPr>
                <w:rFonts w:cs="Tahoma"/>
                <w:sz w:val="12"/>
                <w:szCs w:val="12"/>
              </w:rPr>
              <w:t>9,0</w:t>
            </w:r>
          </w:p>
        </w:tc>
      </w:tr>
      <w:tr w:rsidR="00565FD5" w:rsidRPr="00256F5A" w:rsidTr="00AB62A3">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565FD5" w:rsidRPr="00256F5A" w:rsidRDefault="00565FD5" w:rsidP="00AB62A3">
            <w:pPr>
              <w:rPr>
                <w:rFonts w:cs="Tahoma"/>
                <w:sz w:val="12"/>
                <w:szCs w:val="12"/>
              </w:rPr>
            </w:pPr>
            <w:r w:rsidRPr="00256F5A">
              <w:rPr>
                <w:rFonts w:cs="Tahoma"/>
                <w:sz w:val="12"/>
                <w:szCs w:val="12"/>
              </w:rPr>
              <w:lastRenderedPageBreak/>
              <w:t>Türk Deniz Tic. Filosu Tonajı</w:t>
            </w:r>
          </w:p>
          <w:p w:rsidR="00565FD5" w:rsidRPr="00256F5A" w:rsidRDefault="00565FD5" w:rsidP="00AB62A3">
            <w:pPr>
              <w:rPr>
                <w:rFonts w:cs="Tahoma"/>
                <w:sz w:val="12"/>
                <w:szCs w:val="12"/>
              </w:rPr>
            </w:pPr>
            <w:r w:rsidRPr="00256F5A">
              <w:rPr>
                <w:rFonts w:cs="Tahoma"/>
                <w:sz w:val="12"/>
                <w:szCs w:val="12"/>
              </w:rPr>
              <w:t>(300 Grt ve Üstü)</w:t>
            </w:r>
          </w:p>
        </w:tc>
        <w:tc>
          <w:tcPr>
            <w:tcW w:w="812"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rPr>
                <w:rFonts w:cs="Tahoma"/>
                <w:b/>
                <w:bCs/>
                <w:sz w:val="12"/>
                <w:szCs w:val="12"/>
              </w:rPr>
            </w:pPr>
            <w:r w:rsidRPr="00256F5A">
              <w:rPr>
                <w:rFonts w:cs="Tahoma"/>
                <w:sz w:val="12"/>
                <w:szCs w:val="12"/>
              </w:rPr>
              <w:t>Bin DWT</w:t>
            </w:r>
          </w:p>
        </w:tc>
        <w:tc>
          <w:tcPr>
            <w:tcW w:w="568"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widowControl w:val="0"/>
              <w:autoSpaceDE w:val="0"/>
              <w:autoSpaceDN w:val="0"/>
              <w:adjustRightInd w:val="0"/>
              <w:jc w:val="right"/>
              <w:rPr>
                <w:rFonts w:cs="Tahoma"/>
                <w:sz w:val="12"/>
                <w:szCs w:val="12"/>
              </w:rPr>
            </w:pPr>
            <w:r w:rsidRPr="00256F5A">
              <w:rPr>
                <w:rFonts w:cs="Tahoma"/>
                <w:sz w:val="12"/>
                <w:szCs w:val="12"/>
              </w:rPr>
              <w:t>8 730</w:t>
            </w:r>
          </w:p>
        </w:tc>
        <w:tc>
          <w:tcPr>
            <w:tcW w:w="563"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widowControl w:val="0"/>
              <w:autoSpaceDE w:val="0"/>
              <w:autoSpaceDN w:val="0"/>
              <w:adjustRightInd w:val="0"/>
              <w:jc w:val="right"/>
              <w:rPr>
                <w:rFonts w:cs="Tahoma"/>
                <w:sz w:val="12"/>
                <w:szCs w:val="12"/>
              </w:rPr>
            </w:pPr>
            <w:r w:rsidRPr="00256F5A">
              <w:rPr>
                <w:rFonts w:cs="Tahoma"/>
                <w:sz w:val="12"/>
                <w:szCs w:val="12"/>
              </w:rPr>
              <w:t>9 710</w:t>
            </w:r>
          </w:p>
        </w:tc>
        <w:tc>
          <w:tcPr>
            <w:tcW w:w="564"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widowControl w:val="0"/>
              <w:autoSpaceDE w:val="0"/>
              <w:autoSpaceDN w:val="0"/>
              <w:adjustRightInd w:val="0"/>
              <w:jc w:val="right"/>
              <w:rPr>
                <w:rFonts w:cs="Tahoma"/>
                <w:sz w:val="12"/>
                <w:szCs w:val="12"/>
              </w:rPr>
            </w:pPr>
            <w:r w:rsidRPr="00256F5A">
              <w:rPr>
                <w:rFonts w:cs="Tahoma"/>
                <w:sz w:val="12"/>
                <w:szCs w:val="12"/>
              </w:rPr>
              <w:t>10 200</w:t>
            </w:r>
          </w:p>
        </w:tc>
        <w:tc>
          <w:tcPr>
            <w:tcW w:w="680"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widowControl w:val="0"/>
              <w:autoSpaceDE w:val="0"/>
              <w:autoSpaceDN w:val="0"/>
              <w:adjustRightInd w:val="0"/>
              <w:jc w:val="right"/>
              <w:rPr>
                <w:rFonts w:cs="Tahoma"/>
                <w:sz w:val="12"/>
                <w:szCs w:val="12"/>
              </w:rPr>
            </w:pPr>
            <w:r w:rsidRPr="00256F5A">
              <w:rPr>
                <w:rFonts w:cs="Tahoma"/>
                <w:sz w:val="12"/>
                <w:szCs w:val="12"/>
              </w:rPr>
              <w:t>11,2</w:t>
            </w:r>
          </w:p>
        </w:tc>
        <w:tc>
          <w:tcPr>
            <w:tcW w:w="561" w:type="pct"/>
            <w:tcBorders>
              <w:top w:val="none" w:sz="0" w:space="0" w:color="000000"/>
              <w:left w:val="none" w:sz="0" w:space="0" w:color="000000"/>
              <w:bottom w:val="none" w:sz="0" w:space="0" w:color="000000"/>
              <w:right w:val="single" w:sz="4" w:space="0" w:color="auto"/>
            </w:tcBorders>
            <w:vAlign w:val="center"/>
          </w:tcPr>
          <w:p w:rsidR="00565FD5" w:rsidRPr="00256F5A" w:rsidRDefault="00565FD5" w:rsidP="00AB62A3">
            <w:pPr>
              <w:widowControl w:val="0"/>
              <w:autoSpaceDE w:val="0"/>
              <w:autoSpaceDN w:val="0"/>
              <w:adjustRightInd w:val="0"/>
              <w:jc w:val="right"/>
              <w:rPr>
                <w:rFonts w:cs="Tahoma"/>
                <w:sz w:val="12"/>
                <w:szCs w:val="12"/>
              </w:rPr>
            </w:pPr>
            <w:r w:rsidRPr="00256F5A">
              <w:rPr>
                <w:rFonts w:cs="Tahoma"/>
                <w:sz w:val="12"/>
                <w:szCs w:val="12"/>
              </w:rPr>
              <w:t>5,0</w:t>
            </w:r>
          </w:p>
        </w:tc>
      </w:tr>
      <w:tr w:rsidR="00565FD5" w:rsidRPr="00256F5A" w:rsidTr="00AB62A3">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565FD5" w:rsidRPr="00256F5A" w:rsidRDefault="00565FD5" w:rsidP="00AB62A3">
            <w:pPr>
              <w:rPr>
                <w:rFonts w:cs="Tahoma"/>
                <w:sz w:val="12"/>
                <w:szCs w:val="12"/>
                <w:vertAlign w:val="superscript"/>
              </w:rPr>
            </w:pPr>
            <w:r w:rsidRPr="00256F5A">
              <w:rPr>
                <w:rFonts w:cs="Tahoma"/>
                <w:b/>
                <w:bCs/>
                <w:sz w:val="12"/>
                <w:szCs w:val="12"/>
              </w:rPr>
              <w:t>HAVAYOLU ULAŞIMI</w:t>
            </w:r>
          </w:p>
        </w:tc>
        <w:tc>
          <w:tcPr>
            <w:tcW w:w="812"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rPr>
                <w:rFonts w:cs="Tahoma"/>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cs="Tahoma"/>
                <w:b/>
                <w:bCs/>
                <w:sz w:val="12"/>
                <w:szCs w:val="12"/>
              </w:rPr>
            </w:pPr>
          </w:p>
        </w:tc>
        <w:tc>
          <w:tcPr>
            <w:tcW w:w="563"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cs="Tahoma"/>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565FD5" w:rsidRPr="00256F5A" w:rsidRDefault="00565FD5" w:rsidP="00AB62A3">
            <w:pPr>
              <w:jc w:val="right"/>
              <w:rPr>
                <w:rFonts w:cs="Tahoma"/>
                <w:b/>
                <w:bCs/>
                <w:sz w:val="12"/>
                <w:szCs w:val="12"/>
              </w:rPr>
            </w:pPr>
          </w:p>
        </w:tc>
      </w:tr>
      <w:tr w:rsidR="00565FD5" w:rsidRPr="00256F5A" w:rsidTr="00AB62A3">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565FD5" w:rsidRPr="00256F5A" w:rsidRDefault="00565FD5" w:rsidP="00AB62A3">
            <w:pPr>
              <w:rPr>
                <w:rFonts w:cs="Tahoma"/>
                <w:sz w:val="12"/>
                <w:szCs w:val="12"/>
              </w:rPr>
            </w:pPr>
            <w:r w:rsidRPr="00256F5A">
              <w:rPr>
                <w:rFonts w:cs="Tahoma"/>
                <w:sz w:val="12"/>
                <w:szCs w:val="12"/>
              </w:rPr>
              <w:t>Yolcu Taşıma (</w:t>
            </w:r>
            <w:r>
              <w:rPr>
                <w:rFonts w:cs="Tahoma"/>
                <w:sz w:val="12"/>
                <w:szCs w:val="12"/>
              </w:rPr>
              <w:t>Yurtiçi</w:t>
            </w:r>
            <w:r w:rsidRPr="00256F5A">
              <w:rPr>
                <w:rFonts w:cs="Tahoma"/>
                <w:sz w:val="12"/>
                <w:szCs w:val="12"/>
              </w:rPr>
              <w:t>)(3)</w:t>
            </w:r>
          </w:p>
        </w:tc>
        <w:tc>
          <w:tcPr>
            <w:tcW w:w="812"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rPr>
                <w:rFonts w:cs="Tahoma"/>
                <w:sz w:val="12"/>
                <w:szCs w:val="12"/>
              </w:rPr>
            </w:pPr>
            <w:r w:rsidRPr="00256F5A">
              <w:rPr>
                <w:rFonts w:cs="Tahoma"/>
                <w:sz w:val="12"/>
                <w:szCs w:val="12"/>
              </w:rPr>
              <w:t>Milyon-Yolcu-Km</w:t>
            </w:r>
          </w:p>
        </w:tc>
        <w:tc>
          <w:tcPr>
            <w:tcW w:w="568"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8 007</w:t>
            </w:r>
          </w:p>
        </w:tc>
        <w:tc>
          <w:tcPr>
            <w:tcW w:w="563"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8 584</w:t>
            </w:r>
          </w:p>
        </w:tc>
        <w:tc>
          <w:tcPr>
            <w:tcW w:w="564"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9 440</w:t>
            </w:r>
          </w:p>
        </w:tc>
        <w:tc>
          <w:tcPr>
            <w:tcW w:w="680"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7,2</w:t>
            </w:r>
          </w:p>
        </w:tc>
        <w:tc>
          <w:tcPr>
            <w:tcW w:w="561" w:type="pct"/>
            <w:tcBorders>
              <w:top w:val="none" w:sz="0" w:space="0" w:color="000000"/>
              <w:left w:val="none" w:sz="0" w:space="0" w:color="000000"/>
              <w:bottom w:val="none" w:sz="0" w:space="0" w:color="000000"/>
              <w:right w:val="single" w:sz="4" w:space="0" w:color="auto"/>
            </w:tcBorders>
          </w:tcPr>
          <w:p w:rsidR="00565FD5" w:rsidRPr="00256F5A" w:rsidRDefault="00565FD5" w:rsidP="00AB62A3">
            <w:pPr>
              <w:jc w:val="right"/>
              <w:rPr>
                <w:rFonts w:cs="Tahoma"/>
                <w:sz w:val="12"/>
                <w:szCs w:val="12"/>
              </w:rPr>
            </w:pPr>
            <w:r w:rsidRPr="00256F5A">
              <w:rPr>
                <w:rFonts w:cs="Tahoma"/>
                <w:sz w:val="12"/>
                <w:szCs w:val="12"/>
              </w:rPr>
              <w:t>9,98</w:t>
            </w:r>
          </w:p>
        </w:tc>
      </w:tr>
      <w:tr w:rsidR="00565FD5" w:rsidRPr="00256F5A" w:rsidTr="00AB62A3">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565FD5" w:rsidRPr="00256F5A" w:rsidRDefault="00565FD5" w:rsidP="00AB62A3">
            <w:pPr>
              <w:rPr>
                <w:rFonts w:cs="Tahoma"/>
                <w:sz w:val="12"/>
                <w:szCs w:val="12"/>
              </w:rPr>
            </w:pPr>
            <w:r w:rsidRPr="00256F5A">
              <w:rPr>
                <w:rFonts w:cs="Tahoma"/>
                <w:sz w:val="12"/>
                <w:szCs w:val="12"/>
              </w:rPr>
              <w:t>Yolcu Taşıma (Yurt dışı)(3)</w:t>
            </w:r>
          </w:p>
        </w:tc>
        <w:tc>
          <w:tcPr>
            <w:tcW w:w="812"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rPr>
                <w:rFonts w:cs="Tahoma"/>
                <w:sz w:val="12"/>
                <w:szCs w:val="12"/>
              </w:rPr>
            </w:pPr>
            <w:r w:rsidRPr="00256F5A">
              <w:rPr>
                <w:rFonts w:cs="Tahoma"/>
                <w:sz w:val="12"/>
                <w:szCs w:val="12"/>
              </w:rPr>
              <w:t>Milyon-Yolcu-Km</w:t>
            </w:r>
          </w:p>
        </w:tc>
        <w:tc>
          <w:tcPr>
            <w:tcW w:w="568"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39 943</w:t>
            </w:r>
          </w:p>
        </w:tc>
        <w:tc>
          <w:tcPr>
            <w:tcW w:w="563"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50 349</w:t>
            </w:r>
          </w:p>
        </w:tc>
        <w:tc>
          <w:tcPr>
            <w:tcW w:w="564"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55 373</w:t>
            </w:r>
          </w:p>
        </w:tc>
        <w:tc>
          <w:tcPr>
            <w:tcW w:w="680"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 xml:space="preserve">19,9  </w:t>
            </w:r>
          </w:p>
        </w:tc>
        <w:tc>
          <w:tcPr>
            <w:tcW w:w="561" w:type="pct"/>
            <w:tcBorders>
              <w:top w:val="none" w:sz="0" w:space="0" w:color="000000"/>
              <w:left w:val="none" w:sz="0" w:space="0" w:color="000000"/>
              <w:bottom w:val="none" w:sz="0" w:space="0" w:color="000000"/>
              <w:right w:val="single" w:sz="4" w:space="0" w:color="auto"/>
            </w:tcBorders>
          </w:tcPr>
          <w:p w:rsidR="00565FD5" w:rsidRPr="00256F5A" w:rsidRDefault="00565FD5" w:rsidP="00AB62A3">
            <w:pPr>
              <w:jc w:val="right"/>
              <w:rPr>
                <w:rFonts w:cs="Tahoma"/>
                <w:sz w:val="12"/>
                <w:szCs w:val="12"/>
              </w:rPr>
            </w:pPr>
            <w:r w:rsidRPr="00256F5A">
              <w:rPr>
                <w:rFonts w:cs="Tahoma"/>
                <w:sz w:val="12"/>
                <w:szCs w:val="12"/>
              </w:rPr>
              <w:t>9,98</w:t>
            </w:r>
          </w:p>
        </w:tc>
      </w:tr>
      <w:tr w:rsidR="00565FD5" w:rsidRPr="00256F5A" w:rsidTr="00AB62A3">
        <w:trPr>
          <w:trHeight w:val="170"/>
        </w:trPr>
        <w:tc>
          <w:tcPr>
            <w:tcW w:w="1252" w:type="pct"/>
            <w:tcBorders>
              <w:top w:val="none" w:sz="0" w:space="0" w:color="000000"/>
              <w:left w:val="single" w:sz="4" w:space="0" w:color="auto"/>
              <w:bottom w:val="none" w:sz="0" w:space="0" w:color="000000"/>
              <w:right w:val="none" w:sz="0" w:space="0" w:color="000000"/>
            </w:tcBorders>
          </w:tcPr>
          <w:p w:rsidR="00565FD5" w:rsidRPr="00256F5A" w:rsidRDefault="00565FD5" w:rsidP="00AB62A3">
            <w:pPr>
              <w:rPr>
                <w:rFonts w:cs="Tahoma"/>
                <w:b/>
                <w:bCs/>
                <w:sz w:val="12"/>
                <w:szCs w:val="12"/>
              </w:rPr>
            </w:pPr>
            <w:r w:rsidRPr="00256F5A">
              <w:rPr>
                <w:rFonts w:cs="Tahoma"/>
                <w:b/>
                <w:bCs/>
                <w:sz w:val="12"/>
                <w:szCs w:val="12"/>
              </w:rPr>
              <w:t>KARAYOLU ULAŞIMI</w:t>
            </w:r>
          </w:p>
        </w:tc>
        <w:tc>
          <w:tcPr>
            <w:tcW w:w="812"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ind w:left="-72"/>
              <w:rPr>
                <w:rFonts w:cs="Tahoma"/>
                <w:b/>
                <w:bCs/>
                <w:sz w:val="12"/>
                <w:szCs w:val="12"/>
              </w:rPr>
            </w:pPr>
          </w:p>
        </w:tc>
        <w:tc>
          <w:tcPr>
            <w:tcW w:w="568"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b/>
                <w:bCs/>
                <w:sz w:val="12"/>
                <w:szCs w:val="12"/>
              </w:rPr>
            </w:pPr>
          </w:p>
        </w:tc>
        <w:tc>
          <w:tcPr>
            <w:tcW w:w="563"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b/>
                <w:bCs/>
                <w:sz w:val="12"/>
                <w:szCs w:val="12"/>
              </w:rPr>
            </w:pPr>
          </w:p>
        </w:tc>
        <w:tc>
          <w:tcPr>
            <w:tcW w:w="680"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b/>
                <w:bCs/>
                <w:sz w:val="12"/>
                <w:szCs w:val="12"/>
              </w:rPr>
            </w:pPr>
          </w:p>
        </w:tc>
        <w:tc>
          <w:tcPr>
            <w:tcW w:w="561" w:type="pct"/>
            <w:tcBorders>
              <w:top w:val="none" w:sz="0" w:space="0" w:color="000000"/>
              <w:left w:val="none" w:sz="0" w:space="0" w:color="000000"/>
              <w:bottom w:val="none" w:sz="0" w:space="0" w:color="000000"/>
              <w:right w:val="single" w:sz="4" w:space="0" w:color="auto"/>
            </w:tcBorders>
          </w:tcPr>
          <w:p w:rsidR="00565FD5" w:rsidRPr="00256F5A" w:rsidRDefault="00565FD5" w:rsidP="00AB62A3">
            <w:pPr>
              <w:jc w:val="right"/>
              <w:rPr>
                <w:rFonts w:cs="Tahoma"/>
                <w:b/>
                <w:bCs/>
                <w:sz w:val="12"/>
                <w:szCs w:val="12"/>
              </w:rPr>
            </w:pPr>
          </w:p>
        </w:tc>
      </w:tr>
      <w:tr w:rsidR="00565FD5" w:rsidRPr="00256F5A" w:rsidTr="00AB62A3">
        <w:trPr>
          <w:trHeight w:val="170"/>
        </w:trPr>
        <w:tc>
          <w:tcPr>
            <w:tcW w:w="1252" w:type="pct"/>
            <w:tcBorders>
              <w:top w:val="none" w:sz="0" w:space="0" w:color="000000"/>
              <w:left w:val="single" w:sz="4" w:space="0" w:color="auto"/>
              <w:bottom w:val="none" w:sz="0" w:space="0" w:color="000000"/>
              <w:right w:val="none" w:sz="0" w:space="0" w:color="000000"/>
            </w:tcBorders>
          </w:tcPr>
          <w:p w:rsidR="00565FD5" w:rsidRPr="00256F5A" w:rsidRDefault="00565FD5" w:rsidP="00AB62A3">
            <w:pPr>
              <w:rPr>
                <w:rFonts w:cs="Tahoma"/>
                <w:bCs/>
                <w:sz w:val="12"/>
                <w:szCs w:val="12"/>
              </w:rPr>
            </w:pPr>
            <w:r w:rsidRPr="00256F5A">
              <w:rPr>
                <w:rFonts w:cs="Tahoma"/>
                <w:bCs/>
                <w:sz w:val="12"/>
                <w:szCs w:val="12"/>
              </w:rPr>
              <w:t>Yolcu Taşıma (</w:t>
            </w:r>
            <w:r>
              <w:rPr>
                <w:rFonts w:cs="Tahoma"/>
                <w:bCs/>
                <w:sz w:val="12"/>
                <w:szCs w:val="12"/>
              </w:rPr>
              <w:t>Yurtiçi</w:t>
            </w:r>
            <w:r w:rsidRPr="00256F5A">
              <w:rPr>
                <w:rFonts w:cs="Tahoma"/>
                <w:bCs/>
                <w:sz w:val="12"/>
                <w:szCs w:val="12"/>
              </w:rPr>
              <w:t>)</w:t>
            </w:r>
            <w:r w:rsidRPr="00256F5A">
              <w:rPr>
                <w:rFonts w:cs="Tahoma"/>
                <w:sz w:val="12"/>
                <w:szCs w:val="12"/>
                <w:vertAlign w:val="superscript"/>
              </w:rPr>
              <w:t xml:space="preserve"> </w:t>
            </w:r>
            <w:r w:rsidRPr="00256F5A">
              <w:rPr>
                <w:rFonts w:cs="Tahoma"/>
                <w:sz w:val="12"/>
                <w:szCs w:val="12"/>
              </w:rPr>
              <w:t>(4)</w:t>
            </w:r>
          </w:p>
        </w:tc>
        <w:tc>
          <w:tcPr>
            <w:tcW w:w="812"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ind w:left="-72"/>
              <w:rPr>
                <w:rFonts w:cs="Tahoma"/>
                <w:bCs/>
                <w:sz w:val="12"/>
                <w:szCs w:val="12"/>
              </w:rPr>
            </w:pPr>
            <w:r w:rsidRPr="00256F5A">
              <w:rPr>
                <w:rFonts w:cs="Tahoma"/>
                <w:bCs/>
                <w:sz w:val="12"/>
                <w:szCs w:val="12"/>
              </w:rPr>
              <w:t xml:space="preserve">  Milyon-Yolcu-Km</w:t>
            </w:r>
          </w:p>
        </w:tc>
        <w:tc>
          <w:tcPr>
            <w:tcW w:w="568"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bCs/>
                <w:sz w:val="12"/>
                <w:szCs w:val="12"/>
              </w:rPr>
            </w:pPr>
            <w:r w:rsidRPr="00256F5A">
              <w:rPr>
                <w:rFonts w:cs="Tahoma"/>
                <w:bCs/>
                <w:sz w:val="12"/>
                <w:szCs w:val="12"/>
              </w:rPr>
              <w:t>226 913</w:t>
            </w:r>
          </w:p>
        </w:tc>
        <w:tc>
          <w:tcPr>
            <w:tcW w:w="563"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bCs/>
                <w:sz w:val="12"/>
                <w:szCs w:val="12"/>
              </w:rPr>
            </w:pPr>
            <w:r w:rsidRPr="00256F5A">
              <w:rPr>
                <w:rFonts w:cs="Tahoma"/>
                <w:bCs/>
                <w:sz w:val="12"/>
                <w:szCs w:val="12"/>
              </w:rPr>
              <w:t>242 265</w:t>
            </w:r>
          </w:p>
        </w:tc>
        <w:tc>
          <w:tcPr>
            <w:tcW w:w="564"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bCs/>
                <w:sz w:val="12"/>
                <w:szCs w:val="12"/>
              </w:rPr>
            </w:pPr>
            <w:r w:rsidRPr="00256F5A">
              <w:rPr>
                <w:rFonts w:cs="Tahoma"/>
                <w:bCs/>
                <w:sz w:val="12"/>
                <w:szCs w:val="12"/>
              </w:rPr>
              <w:t>255 590</w:t>
            </w:r>
          </w:p>
        </w:tc>
        <w:tc>
          <w:tcPr>
            <w:tcW w:w="680"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bCs/>
                <w:sz w:val="12"/>
                <w:szCs w:val="12"/>
              </w:rPr>
            </w:pPr>
            <w:r w:rsidRPr="00256F5A">
              <w:rPr>
                <w:rFonts w:cs="Tahoma"/>
                <w:bCs/>
                <w:sz w:val="12"/>
                <w:szCs w:val="12"/>
              </w:rPr>
              <w:t>6,8</w:t>
            </w:r>
          </w:p>
        </w:tc>
        <w:tc>
          <w:tcPr>
            <w:tcW w:w="561" w:type="pct"/>
            <w:tcBorders>
              <w:top w:val="none" w:sz="0" w:space="0" w:color="000000"/>
              <w:left w:val="none" w:sz="0" w:space="0" w:color="000000"/>
              <w:bottom w:val="none" w:sz="0" w:space="0" w:color="000000"/>
              <w:right w:val="single" w:sz="4" w:space="0" w:color="auto"/>
            </w:tcBorders>
          </w:tcPr>
          <w:p w:rsidR="00565FD5" w:rsidRPr="00256F5A" w:rsidRDefault="00565FD5" w:rsidP="00AB62A3">
            <w:pPr>
              <w:jc w:val="right"/>
              <w:rPr>
                <w:rFonts w:cs="Tahoma"/>
                <w:bCs/>
                <w:sz w:val="12"/>
                <w:szCs w:val="12"/>
              </w:rPr>
            </w:pPr>
            <w:r w:rsidRPr="00256F5A">
              <w:rPr>
                <w:rFonts w:cs="Tahoma"/>
                <w:bCs/>
                <w:sz w:val="12"/>
                <w:szCs w:val="12"/>
              </w:rPr>
              <w:t>5,5</w:t>
            </w:r>
          </w:p>
        </w:tc>
      </w:tr>
      <w:tr w:rsidR="00565FD5" w:rsidRPr="00256F5A" w:rsidTr="00AB62A3">
        <w:trPr>
          <w:trHeight w:val="170"/>
        </w:trPr>
        <w:tc>
          <w:tcPr>
            <w:tcW w:w="1252" w:type="pct"/>
            <w:tcBorders>
              <w:top w:val="none" w:sz="0" w:space="0" w:color="000000"/>
              <w:left w:val="single" w:sz="4" w:space="0" w:color="auto"/>
              <w:bottom w:val="none" w:sz="0" w:space="0" w:color="000000"/>
              <w:right w:val="none" w:sz="0" w:space="0" w:color="000000"/>
            </w:tcBorders>
          </w:tcPr>
          <w:p w:rsidR="00565FD5" w:rsidRPr="00256F5A" w:rsidRDefault="00565FD5" w:rsidP="00AB62A3">
            <w:pPr>
              <w:rPr>
                <w:rFonts w:cs="Tahoma"/>
                <w:bCs/>
                <w:sz w:val="12"/>
                <w:szCs w:val="12"/>
              </w:rPr>
            </w:pPr>
            <w:r w:rsidRPr="00256F5A">
              <w:rPr>
                <w:rFonts w:cs="Tahoma"/>
                <w:bCs/>
                <w:sz w:val="12"/>
                <w:szCs w:val="12"/>
              </w:rPr>
              <w:t>Yük Taşıma (</w:t>
            </w:r>
            <w:r>
              <w:rPr>
                <w:rFonts w:cs="Tahoma"/>
                <w:bCs/>
                <w:sz w:val="12"/>
                <w:szCs w:val="12"/>
              </w:rPr>
              <w:t>Yurtiçi</w:t>
            </w:r>
            <w:r w:rsidRPr="00256F5A">
              <w:rPr>
                <w:rFonts w:cs="Tahoma"/>
                <w:bCs/>
                <w:sz w:val="12"/>
                <w:szCs w:val="12"/>
              </w:rPr>
              <w:t>)</w:t>
            </w:r>
            <w:r w:rsidRPr="00256F5A">
              <w:rPr>
                <w:rFonts w:cs="Tahoma"/>
                <w:sz w:val="12"/>
                <w:szCs w:val="12"/>
                <w:vertAlign w:val="superscript"/>
              </w:rPr>
              <w:t xml:space="preserve"> </w:t>
            </w:r>
            <w:r w:rsidRPr="00256F5A">
              <w:rPr>
                <w:rFonts w:cs="Tahoma"/>
                <w:sz w:val="12"/>
                <w:szCs w:val="12"/>
              </w:rPr>
              <w:t>(4)</w:t>
            </w:r>
          </w:p>
        </w:tc>
        <w:tc>
          <w:tcPr>
            <w:tcW w:w="812"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ind w:left="-72"/>
              <w:rPr>
                <w:rFonts w:cs="Tahoma"/>
                <w:bCs/>
                <w:sz w:val="12"/>
                <w:szCs w:val="12"/>
              </w:rPr>
            </w:pPr>
            <w:r w:rsidRPr="00256F5A">
              <w:rPr>
                <w:rFonts w:cs="Tahoma"/>
                <w:bCs/>
                <w:sz w:val="12"/>
                <w:szCs w:val="12"/>
              </w:rPr>
              <w:t xml:space="preserve">  Milyon-Ton-Km</w:t>
            </w:r>
          </w:p>
        </w:tc>
        <w:tc>
          <w:tcPr>
            <w:tcW w:w="568"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bCs/>
                <w:sz w:val="12"/>
                <w:szCs w:val="12"/>
              </w:rPr>
            </w:pPr>
            <w:r w:rsidRPr="00256F5A">
              <w:rPr>
                <w:rFonts w:cs="Tahoma"/>
                <w:bCs/>
                <w:sz w:val="12"/>
                <w:szCs w:val="12"/>
              </w:rPr>
              <w:t>190 365</w:t>
            </w:r>
          </w:p>
        </w:tc>
        <w:tc>
          <w:tcPr>
            <w:tcW w:w="563"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bCs/>
                <w:sz w:val="12"/>
                <w:szCs w:val="12"/>
              </w:rPr>
            </w:pPr>
            <w:r w:rsidRPr="00256F5A">
              <w:rPr>
                <w:rFonts w:cs="Tahoma"/>
                <w:bCs/>
                <w:sz w:val="12"/>
                <w:szCs w:val="12"/>
              </w:rPr>
              <w:t>203 072</w:t>
            </w:r>
          </w:p>
        </w:tc>
        <w:tc>
          <w:tcPr>
            <w:tcW w:w="564"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bCs/>
                <w:sz w:val="12"/>
                <w:szCs w:val="12"/>
              </w:rPr>
            </w:pPr>
            <w:r w:rsidRPr="00256F5A">
              <w:rPr>
                <w:rFonts w:cs="Tahoma"/>
                <w:bCs/>
                <w:sz w:val="12"/>
                <w:szCs w:val="12"/>
              </w:rPr>
              <w:t>215 256</w:t>
            </w:r>
          </w:p>
        </w:tc>
        <w:tc>
          <w:tcPr>
            <w:tcW w:w="680"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bCs/>
                <w:sz w:val="12"/>
                <w:szCs w:val="12"/>
              </w:rPr>
            </w:pPr>
            <w:r w:rsidRPr="00256F5A">
              <w:rPr>
                <w:rFonts w:cs="Tahoma"/>
                <w:bCs/>
                <w:sz w:val="12"/>
                <w:szCs w:val="12"/>
              </w:rPr>
              <w:t>6,7</w:t>
            </w:r>
          </w:p>
        </w:tc>
        <w:tc>
          <w:tcPr>
            <w:tcW w:w="561" w:type="pct"/>
            <w:tcBorders>
              <w:top w:val="none" w:sz="0" w:space="0" w:color="000000"/>
              <w:left w:val="none" w:sz="0" w:space="0" w:color="000000"/>
              <w:bottom w:val="none" w:sz="0" w:space="0" w:color="000000"/>
              <w:right w:val="single" w:sz="4" w:space="0" w:color="auto"/>
            </w:tcBorders>
          </w:tcPr>
          <w:p w:rsidR="00565FD5" w:rsidRPr="00256F5A" w:rsidRDefault="00565FD5" w:rsidP="00AB62A3">
            <w:pPr>
              <w:jc w:val="right"/>
              <w:rPr>
                <w:rFonts w:cs="Tahoma"/>
                <w:bCs/>
                <w:sz w:val="12"/>
                <w:szCs w:val="12"/>
              </w:rPr>
            </w:pPr>
            <w:r w:rsidRPr="00256F5A">
              <w:rPr>
                <w:rFonts w:cs="Tahoma"/>
                <w:bCs/>
                <w:sz w:val="12"/>
                <w:szCs w:val="12"/>
              </w:rPr>
              <w:t>6,0</w:t>
            </w:r>
          </w:p>
        </w:tc>
      </w:tr>
      <w:tr w:rsidR="00565FD5" w:rsidRPr="00256F5A" w:rsidTr="00AB62A3">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565FD5" w:rsidRPr="00256F5A" w:rsidRDefault="00565FD5" w:rsidP="00AB62A3">
            <w:pPr>
              <w:rPr>
                <w:rFonts w:cs="Tahoma"/>
                <w:b/>
                <w:bCs/>
                <w:sz w:val="12"/>
                <w:szCs w:val="12"/>
              </w:rPr>
            </w:pPr>
            <w:r w:rsidRPr="00256F5A">
              <w:rPr>
                <w:rFonts w:cs="Tahoma"/>
                <w:b/>
                <w:bCs/>
                <w:sz w:val="12"/>
                <w:szCs w:val="12"/>
              </w:rPr>
              <w:t>BORU HATTI ULAŞIMI</w:t>
            </w:r>
          </w:p>
        </w:tc>
        <w:tc>
          <w:tcPr>
            <w:tcW w:w="812"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rPr>
                <w:rFonts w:cs="Tahoma"/>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cs="Tahoma"/>
                <w:sz w:val="12"/>
                <w:szCs w:val="12"/>
              </w:rPr>
            </w:pPr>
          </w:p>
        </w:tc>
        <w:tc>
          <w:tcPr>
            <w:tcW w:w="563"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b/>
                <w:bCs/>
                <w:sz w:val="12"/>
                <w:szCs w:val="12"/>
              </w:rPr>
            </w:pPr>
          </w:p>
        </w:tc>
        <w:tc>
          <w:tcPr>
            <w:tcW w:w="564"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cs="Tahoma"/>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565FD5" w:rsidRPr="00256F5A" w:rsidRDefault="00565FD5" w:rsidP="00AB62A3">
            <w:pPr>
              <w:jc w:val="right"/>
              <w:rPr>
                <w:rFonts w:cs="Tahoma"/>
                <w:b/>
                <w:bCs/>
                <w:sz w:val="12"/>
                <w:szCs w:val="12"/>
              </w:rPr>
            </w:pPr>
          </w:p>
        </w:tc>
      </w:tr>
      <w:tr w:rsidR="00565FD5" w:rsidRPr="00256F5A" w:rsidTr="00AB62A3">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565FD5" w:rsidRPr="00256F5A" w:rsidRDefault="00565FD5" w:rsidP="00AB62A3">
            <w:pPr>
              <w:rPr>
                <w:rFonts w:cs="Tahoma"/>
                <w:sz w:val="12"/>
                <w:szCs w:val="12"/>
                <w:vertAlign w:val="superscript"/>
              </w:rPr>
            </w:pPr>
            <w:r w:rsidRPr="00256F5A">
              <w:rPr>
                <w:rFonts w:cs="Tahoma"/>
                <w:sz w:val="12"/>
                <w:szCs w:val="12"/>
              </w:rPr>
              <w:t>Yük taşıma (</w:t>
            </w:r>
            <w:r>
              <w:rPr>
                <w:rFonts w:cs="Tahoma"/>
                <w:sz w:val="12"/>
                <w:szCs w:val="12"/>
              </w:rPr>
              <w:t>Yurtiçi</w:t>
            </w:r>
            <w:r w:rsidRPr="00256F5A">
              <w:rPr>
                <w:rFonts w:cs="Tahoma"/>
                <w:sz w:val="12"/>
                <w:szCs w:val="12"/>
              </w:rPr>
              <w:t>) (5)</w:t>
            </w:r>
          </w:p>
        </w:tc>
        <w:tc>
          <w:tcPr>
            <w:tcW w:w="812"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rPr>
                <w:rFonts w:cs="Tahoma"/>
                <w:sz w:val="12"/>
                <w:szCs w:val="12"/>
              </w:rPr>
            </w:pPr>
            <w:r w:rsidRPr="00256F5A">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cs="Tahoma"/>
                <w:sz w:val="12"/>
                <w:szCs w:val="12"/>
              </w:rPr>
            </w:pPr>
            <w:r w:rsidRPr="00256F5A">
              <w:rPr>
                <w:rFonts w:cs="Tahoma"/>
                <w:sz w:val="12"/>
                <w:szCs w:val="12"/>
              </w:rPr>
              <w:t>2 743</w:t>
            </w:r>
          </w:p>
        </w:tc>
        <w:tc>
          <w:tcPr>
            <w:tcW w:w="563"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2 520</w:t>
            </w:r>
          </w:p>
        </w:tc>
        <w:tc>
          <w:tcPr>
            <w:tcW w:w="564"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1 766</w:t>
            </w:r>
          </w:p>
        </w:tc>
        <w:tc>
          <w:tcPr>
            <w:tcW w:w="680"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cs="Tahoma"/>
                <w:sz w:val="12"/>
                <w:szCs w:val="12"/>
              </w:rPr>
            </w:pPr>
            <w:r w:rsidRPr="00256F5A">
              <w:rPr>
                <w:rFonts w:cs="Tahoma"/>
                <w:sz w:val="12"/>
                <w:szCs w:val="12"/>
              </w:rPr>
              <w:t>-8,1</w:t>
            </w:r>
          </w:p>
        </w:tc>
        <w:tc>
          <w:tcPr>
            <w:tcW w:w="561" w:type="pct"/>
            <w:tcBorders>
              <w:top w:val="none" w:sz="0" w:space="0" w:color="000000"/>
              <w:left w:val="none" w:sz="0" w:space="0" w:color="000000"/>
              <w:bottom w:val="none" w:sz="0" w:space="0" w:color="000000"/>
              <w:right w:val="single" w:sz="4" w:space="0" w:color="auto"/>
            </w:tcBorders>
            <w:vAlign w:val="center"/>
          </w:tcPr>
          <w:p w:rsidR="00565FD5" w:rsidRPr="00256F5A" w:rsidRDefault="00565FD5" w:rsidP="00AB62A3">
            <w:pPr>
              <w:jc w:val="right"/>
              <w:rPr>
                <w:rFonts w:cs="Tahoma"/>
                <w:sz w:val="12"/>
                <w:szCs w:val="12"/>
              </w:rPr>
            </w:pPr>
            <w:r w:rsidRPr="00256F5A">
              <w:rPr>
                <w:rFonts w:cs="Tahoma"/>
                <w:sz w:val="12"/>
                <w:szCs w:val="12"/>
              </w:rPr>
              <w:t>-29,9</w:t>
            </w:r>
          </w:p>
        </w:tc>
      </w:tr>
      <w:tr w:rsidR="00565FD5" w:rsidRPr="00256F5A" w:rsidTr="00AB62A3">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565FD5" w:rsidRPr="00256F5A" w:rsidRDefault="00565FD5" w:rsidP="00AB62A3">
            <w:pPr>
              <w:rPr>
                <w:rFonts w:cs="Tahoma"/>
                <w:sz w:val="12"/>
                <w:szCs w:val="12"/>
                <w:vertAlign w:val="superscript"/>
              </w:rPr>
            </w:pPr>
            <w:r w:rsidRPr="00256F5A">
              <w:rPr>
                <w:rFonts w:cs="Tahoma"/>
                <w:sz w:val="12"/>
                <w:szCs w:val="12"/>
              </w:rPr>
              <w:t>Yük Taşıma (Transit) (5)</w:t>
            </w:r>
          </w:p>
        </w:tc>
        <w:tc>
          <w:tcPr>
            <w:tcW w:w="812"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rPr>
                <w:rFonts w:cs="Tahoma"/>
                <w:sz w:val="12"/>
                <w:szCs w:val="12"/>
              </w:rPr>
            </w:pPr>
            <w:r w:rsidRPr="00256F5A">
              <w:rPr>
                <w:rFonts w:cs="Tahoma"/>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cs="Tahoma"/>
                <w:sz w:val="12"/>
                <w:szCs w:val="12"/>
              </w:rPr>
            </w:pPr>
            <w:r w:rsidRPr="00256F5A">
              <w:rPr>
                <w:rFonts w:cs="Tahoma"/>
                <w:sz w:val="12"/>
                <w:szCs w:val="12"/>
              </w:rPr>
              <w:t>56 038</w:t>
            </w:r>
          </w:p>
        </w:tc>
        <w:tc>
          <w:tcPr>
            <w:tcW w:w="563"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54 242</w:t>
            </w:r>
          </w:p>
        </w:tc>
        <w:tc>
          <w:tcPr>
            <w:tcW w:w="564" w:type="pct"/>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57 028</w:t>
            </w:r>
          </w:p>
        </w:tc>
        <w:tc>
          <w:tcPr>
            <w:tcW w:w="680"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cs="Tahoma"/>
                <w:sz w:val="12"/>
                <w:szCs w:val="12"/>
              </w:rPr>
            </w:pPr>
            <w:r w:rsidRPr="00256F5A">
              <w:rPr>
                <w:rFonts w:cs="Tahoma"/>
                <w:sz w:val="12"/>
                <w:szCs w:val="12"/>
              </w:rPr>
              <w:t>-3,2</w:t>
            </w:r>
          </w:p>
        </w:tc>
        <w:tc>
          <w:tcPr>
            <w:tcW w:w="561" w:type="pct"/>
            <w:tcBorders>
              <w:top w:val="none" w:sz="0" w:space="0" w:color="000000"/>
              <w:left w:val="none" w:sz="0" w:space="0" w:color="000000"/>
              <w:bottom w:val="none" w:sz="0" w:space="0" w:color="000000"/>
              <w:right w:val="single" w:sz="4" w:space="0" w:color="auto"/>
            </w:tcBorders>
            <w:vAlign w:val="center"/>
          </w:tcPr>
          <w:p w:rsidR="00565FD5" w:rsidRPr="00256F5A" w:rsidRDefault="00565FD5" w:rsidP="00AB62A3">
            <w:pPr>
              <w:jc w:val="right"/>
              <w:rPr>
                <w:rFonts w:cs="Tahoma"/>
                <w:sz w:val="12"/>
                <w:szCs w:val="12"/>
              </w:rPr>
            </w:pPr>
            <w:r w:rsidRPr="00256F5A">
              <w:rPr>
                <w:rFonts w:cs="Tahoma"/>
                <w:sz w:val="12"/>
                <w:szCs w:val="12"/>
              </w:rPr>
              <w:t>5,1</w:t>
            </w:r>
          </w:p>
        </w:tc>
      </w:tr>
      <w:tr w:rsidR="00565FD5" w:rsidRPr="00256F5A" w:rsidTr="00AB62A3">
        <w:trPr>
          <w:trHeight w:val="170"/>
        </w:trPr>
        <w:tc>
          <w:tcPr>
            <w:tcW w:w="1252" w:type="pct"/>
            <w:tcBorders>
              <w:top w:val="none" w:sz="0" w:space="0" w:color="000000"/>
              <w:left w:val="single" w:sz="4" w:space="0" w:color="auto"/>
              <w:bottom w:val="single" w:sz="4" w:space="0" w:color="auto"/>
              <w:right w:val="none" w:sz="0" w:space="0" w:color="000000"/>
            </w:tcBorders>
            <w:vAlign w:val="center"/>
          </w:tcPr>
          <w:p w:rsidR="00565FD5" w:rsidRPr="00256F5A" w:rsidRDefault="00565FD5" w:rsidP="00AB62A3">
            <w:pPr>
              <w:rPr>
                <w:rFonts w:cs="Tahoma"/>
                <w:b/>
                <w:bCs/>
                <w:sz w:val="12"/>
                <w:szCs w:val="12"/>
              </w:rPr>
            </w:pPr>
            <w:r w:rsidRPr="00256F5A">
              <w:rPr>
                <w:rFonts w:cs="Tahoma"/>
                <w:sz w:val="12"/>
                <w:szCs w:val="12"/>
              </w:rPr>
              <w:t>Doğal Gaz (6)</w:t>
            </w:r>
          </w:p>
        </w:tc>
        <w:tc>
          <w:tcPr>
            <w:tcW w:w="812" w:type="pct"/>
            <w:tcBorders>
              <w:top w:val="none" w:sz="0" w:space="0" w:color="000000"/>
              <w:left w:val="none" w:sz="0" w:space="0" w:color="000000"/>
              <w:bottom w:val="single" w:sz="4" w:space="0" w:color="auto"/>
              <w:right w:val="none" w:sz="0" w:space="0" w:color="000000"/>
            </w:tcBorders>
            <w:vAlign w:val="center"/>
          </w:tcPr>
          <w:p w:rsidR="00565FD5" w:rsidRPr="00256F5A" w:rsidRDefault="00565FD5" w:rsidP="00AB62A3">
            <w:pPr>
              <w:rPr>
                <w:rFonts w:cs="Tahoma"/>
                <w:b/>
                <w:bCs/>
                <w:sz w:val="12"/>
                <w:szCs w:val="12"/>
              </w:rPr>
            </w:pPr>
            <w:r w:rsidRPr="00256F5A">
              <w:rPr>
                <w:rFonts w:cs="Tahoma"/>
                <w:sz w:val="12"/>
                <w:szCs w:val="12"/>
              </w:rPr>
              <w:t>Milyon-Sm</w:t>
            </w:r>
            <w:r w:rsidRPr="00256F5A">
              <w:rPr>
                <w:rFonts w:cs="Tahoma"/>
                <w:sz w:val="12"/>
                <w:szCs w:val="12"/>
                <w:vertAlign w:val="superscript"/>
              </w:rPr>
              <w:t>3</w:t>
            </w:r>
          </w:p>
        </w:tc>
        <w:tc>
          <w:tcPr>
            <w:tcW w:w="568" w:type="pct"/>
            <w:tcBorders>
              <w:top w:val="none" w:sz="0" w:space="0" w:color="000000"/>
              <w:left w:val="none" w:sz="0" w:space="0" w:color="000000"/>
              <w:bottom w:val="single" w:sz="4" w:space="0" w:color="auto"/>
              <w:right w:val="none" w:sz="0" w:space="0" w:color="000000"/>
            </w:tcBorders>
            <w:vAlign w:val="center"/>
          </w:tcPr>
          <w:p w:rsidR="00565FD5" w:rsidRPr="00256F5A" w:rsidRDefault="00565FD5" w:rsidP="00AB62A3">
            <w:pPr>
              <w:jc w:val="right"/>
              <w:rPr>
                <w:rFonts w:cs="Tahoma"/>
                <w:b/>
                <w:bCs/>
                <w:sz w:val="12"/>
                <w:szCs w:val="12"/>
              </w:rPr>
            </w:pPr>
            <w:r w:rsidRPr="00256F5A">
              <w:rPr>
                <w:rFonts w:cs="Tahoma"/>
                <w:sz w:val="12"/>
                <w:szCs w:val="12"/>
              </w:rPr>
              <w:t>35 856</w:t>
            </w:r>
          </w:p>
        </w:tc>
        <w:tc>
          <w:tcPr>
            <w:tcW w:w="563" w:type="pct"/>
            <w:tcBorders>
              <w:top w:val="none" w:sz="0" w:space="0" w:color="000000"/>
              <w:left w:val="none" w:sz="0" w:space="0" w:color="000000"/>
              <w:bottom w:val="single" w:sz="4" w:space="0" w:color="auto"/>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38 037</w:t>
            </w:r>
          </w:p>
        </w:tc>
        <w:tc>
          <w:tcPr>
            <w:tcW w:w="564" w:type="pct"/>
            <w:tcBorders>
              <w:top w:val="none" w:sz="0" w:space="0" w:color="000000"/>
              <w:left w:val="none" w:sz="0" w:space="0" w:color="000000"/>
              <w:bottom w:val="single" w:sz="4" w:space="0" w:color="auto"/>
              <w:right w:val="none" w:sz="0" w:space="0" w:color="000000"/>
            </w:tcBorders>
          </w:tcPr>
          <w:p w:rsidR="00565FD5" w:rsidRPr="00256F5A" w:rsidRDefault="00565FD5" w:rsidP="00AB62A3">
            <w:pPr>
              <w:jc w:val="right"/>
              <w:rPr>
                <w:rFonts w:cs="Tahoma"/>
                <w:sz w:val="12"/>
                <w:szCs w:val="12"/>
              </w:rPr>
            </w:pPr>
            <w:r w:rsidRPr="00256F5A">
              <w:rPr>
                <w:rFonts w:cs="Tahoma"/>
                <w:sz w:val="12"/>
                <w:szCs w:val="12"/>
              </w:rPr>
              <w:t>41 213</w:t>
            </w:r>
          </w:p>
        </w:tc>
        <w:tc>
          <w:tcPr>
            <w:tcW w:w="680" w:type="pct"/>
            <w:tcBorders>
              <w:top w:val="none" w:sz="0" w:space="0" w:color="000000"/>
              <w:left w:val="none" w:sz="0" w:space="0" w:color="000000"/>
              <w:bottom w:val="single" w:sz="4" w:space="0" w:color="auto"/>
              <w:right w:val="none" w:sz="0" w:space="0" w:color="000000"/>
            </w:tcBorders>
            <w:vAlign w:val="center"/>
          </w:tcPr>
          <w:p w:rsidR="00565FD5" w:rsidRPr="00256F5A" w:rsidRDefault="00565FD5" w:rsidP="00AB62A3">
            <w:pPr>
              <w:jc w:val="right"/>
              <w:rPr>
                <w:rFonts w:cs="Tahoma"/>
                <w:sz w:val="12"/>
                <w:szCs w:val="12"/>
              </w:rPr>
            </w:pPr>
            <w:r w:rsidRPr="00256F5A">
              <w:rPr>
                <w:rFonts w:cs="Tahoma"/>
                <w:sz w:val="12"/>
                <w:szCs w:val="12"/>
              </w:rPr>
              <w:t>6,1</w:t>
            </w:r>
          </w:p>
        </w:tc>
        <w:tc>
          <w:tcPr>
            <w:tcW w:w="561" w:type="pct"/>
            <w:tcBorders>
              <w:top w:val="none" w:sz="0" w:space="0" w:color="000000"/>
              <w:left w:val="none" w:sz="0" w:space="0" w:color="000000"/>
              <w:bottom w:val="single" w:sz="4" w:space="0" w:color="auto"/>
              <w:right w:val="single" w:sz="4" w:space="0" w:color="auto"/>
            </w:tcBorders>
            <w:vAlign w:val="center"/>
          </w:tcPr>
          <w:p w:rsidR="00565FD5" w:rsidRPr="00256F5A" w:rsidRDefault="00565FD5" w:rsidP="00AB62A3">
            <w:pPr>
              <w:jc w:val="right"/>
              <w:rPr>
                <w:rFonts w:cs="Tahoma"/>
                <w:sz w:val="12"/>
                <w:szCs w:val="12"/>
              </w:rPr>
            </w:pPr>
            <w:r w:rsidRPr="00256F5A">
              <w:rPr>
                <w:rFonts w:cs="Tahoma"/>
                <w:sz w:val="12"/>
                <w:szCs w:val="12"/>
              </w:rPr>
              <w:t>8,3</w:t>
            </w:r>
          </w:p>
        </w:tc>
      </w:tr>
    </w:tbl>
    <w:p w:rsidR="00565FD5" w:rsidRPr="00256F5A" w:rsidRDefault="00565FD5" w:rsidP="00565FD5">
      <w:pPr>
        <w:rPr>
          <w:rFonts w:eastAsia="Batang"/>
          <w:sz w:val="12"/>
          <w:szCs w:val="12"/>
          <w:vertAlign w:val="superscript"/>
          <w:lang w:eastAsia="ko-KR"/>
        </w:rPr>
      </w:pPr>
      <w:r w:rsidRPr="00256F5A">
        <w:rPr>
          <w:rFonts w:cs="Tahoma"/>
          <w:sz w:val="12"/>
          <w:szCs w:val="12"/>
        </w:rPr>
        <w:t>(1)</w:t>
      </w:r>
      <w:r w:rsidRPr="00256F5A">
        <w:rPr>
          <w:rFonts w:eastAsia="Batang"/>
          <w:sz w:val="14"/>
          <w:szCs w:val="14"/>
          <w:vertAlign w:val="superscript"/>
          <w:lang w:eastAsia="ko-KR"/>
        </w:rPr>
        <w:t xml:space="preserve"> </w:t>
      </w:r>
      <w:r w:rsidRPr="00256F5A">
        <w:rPr>
          <w:rFonts w:eastAsia="Batang"/>
          <w:sz w:val="12"/>
          <w:szCs w:val="12"/>
          <w:lang w:eastAsia="ko-KR"/>
        </w:rPr>
        <w:t xml:space="preserve">Ulaştırma, Denizcilik ve Haberleşme Bakanlığı tarafından hesaplanan taşıma miktarlarıdır. </w:t>
      </w:r>
    </w:p>
    <w:p w:rsidR="00565FD5" w:rsidRPr="00256F5A" w:rsidRDefault="00565FD5" w:rsidP="00565FD5">
      <w:pPr>
        <w:rPr>
          <w:rFonts w:eastAsia="Batang"/>
          <w:sz w:val="12"/>
          <w:szCs w:val="12"/>
          <w:vertAlign w:val="superscript"/>
          <w:lang w:eastAsia="ko-KR"/>
        </w:rPr>
      </w:pPr>
      <w:r w:rsidRPr="00256F5A">
        <w:rPr>
          <w:rFonts w:cs="Tahoma"/>
          <w:sz w:val="12"/>
          <w:szCs w:val="12"/>
        </w:rPr>
        <w:t>(2)</w:t>
      </w:r>
      <w:r w:rsidRPr="00256F5A">
        <w:rPr>
          <w:rFonts w:eastAsia="Batang"/>
          <w:sz w:val="12"/>
          <w:szCs w:val="12"/>
          <w:vertAlign w:val="superscript"/>
          <w:lang w:eastAsia="ko-KR"/>
        </w:rPr>
        <w:t xml:space="preserve"> </w:t>
      </w:r>
      <w:r w:rsidRPr="00256F5A">
        <w:rPr>
          <w:rFonts w:eastAsia="Batang"/>
          <w:sz w:val="12"/>
          <w:szCs w:val="12"/>
          <w:lang w:eastAsia="ko-KR"/>
        </w:rPr>
        <w:t>Denizyoluyla yapılan taşımaların tümünü kapsayan hesaplanmış tahmini taşıma</w:t>
      </w:r>
      <w:r w:rsidRPr="00256F5A">
        <w:rPr>
          <w:rFonts w:eastAsia="Batang"/>
          <w:sz w:val="12"/>
          <w:szCs w:val="12"/>
          <w:vertAlign w:val="superscript"/>
          <w:lang w:eastAsia="ko-KR"/>
        </w:rPr>
        <w:t xml:space="preserve"> </w:t>
      </w:r>
      <w:r w:rsidRPr="00256F5A">
        <w:rPr>
          <w:rFonts w:eastAsia="Batang"/>
          <w:sz w:val="12"/>
          <w:szCs w:val="12"/>
          <w:lang w:eastAsia="ko-KR"/>
        </w:rPr>
        <w:t>miktarlarıdır.</w:t>
      </w:r>
      <w:r w:rsidRPr="00256F5A">
        <w:rPr>
          <w:rFonts w:eastAsia="Batang"/>
          <w:sz w:val="12"/>
          <w:szCs w:val="12"/>
          <w:vertAlign w:val="superscript"/>
          <w:lang w:eastAsia="ko-KR"/>
        </w:rPr>
        <w:t xml:space="preserve"> </w:t>
      </w:r>
    </w:p>
    <w:p w:rsidR="00565FD5" w:rsidRPr="00256F5A" w:rsidRDefault="00565FD5" w:rsidP="00565FD5">
      <w:pPr>
        <w:rPr>
          <w:rFonts w:eastAsia="Batang"/>
          <w:sz w:val="12"/>
          <w:szCs w:val="12"/>
          <w:lang w:eastAsia="ko-KR"/>
        </w:rPr>
      </w:pPr>
      <w:r w:rsidRPr="00256F5A">
        <w:rPr>
          <w:rFonts w:cs="Tahoma"/>
          <w:sz w:val="12"/>
          <w:szCs w:val="12"/>
        </w:rPr>
        <w:t>(3)</w:t>
      </w:r>
      <w:r w:rsidRPr="00256F5A">
        <w:rPr>
          <w:rFonts w:eastAsia="Batang"/>
          <w:sz w:val="12"/>
          <w:szCs w:val="12"/>
          <w:lang w:eastAsia="ko-KR"/>
        </w:rPr>
        <w:t xml:space="preserve"> Yalnız THY </w:t>
      </w:r>
      <w:r w:rsidRPr="00256F5A">
        <w:rPr>
          <w:rFonts w:cs="Tahoma"/>
          <w:sz w:val="12"/>
          <w:szCs w:val="12"/>
        </w:rPr>
        <w:t>tarafından</w:t>
      </w:r>
      <w:r w:rsidRPr="00256F5A">
        <w:rPr>
          <w:rFonts w:eastAsia="Batang"/>
          <w:sz w:val="12"/>
          <w:szCs w:val="12"/>
          <w:lang w:eastAsia="ko-KR"/>
        </w:rPr>
        <w:t xml:space="preserve"> yapılan taşımalardır.</w:t>
      </w:r>
    </w:p>
    <w:p w:rsidR="00565FD5" w:rsidRPr="00256F5A" w:rsidRDefault="00565FD5" w:rsidP="00565FD5">
      <w:pPr>
        <w:rPr>
          <w:rFonts w:eastAsia="Batang"/>
          <w:sz w:val="12"/>
          <w:szCs w:val="12"/>
          <w:lang w:eastAsia="ko-KR"/>
        </w:rPr>
      </w:pPr>
      <w:r w:rsidRPr="00256F5A">
        <w:rPr>
          <w:rFonts w:cs="Tahoma"/>
          <w:sz w:val="12"/>
          <w:szCs w:val="12"/>
        </w:rPr>
        <w:t>(4)</w:t>
      </w:r>
      <w:r w:rsidRPr="00256F5A">
        <w:rPr>
          <w:rFonts w:eastAsia="Batang"/>
          <w:sz w:val="12"/>
          <w:szCs w:val="12"/>
          <w:lang w:eastAsia="ko-KR"/>
        </w:rPr>
        <w:t xml:space="preserve"> KGM’nin sorumluluğu altındaki yol ağında yapılan taşımalardır.</w:t>
      </w:r>
    </w:p>
    <w:p w:rsidR="00565FD5" w:rsidRPr="00256F5A" w:rsidRDefault="00565FD5" w:rsidP="00565FD5">
      <w:pPr>
        <w:rPr>
          <w:rFonts w:eastAsia="Batang"/>
          <w:sz w:val="12"/>
          <w:szCs w:val="12"/>
          <w:lang w:eastAsia="ko-KR"/>
        </w:rPr>
      </w:pPr>
      <w:r w:rsidRPr="00256F5A">
        <w:rPr>
          <w:rFonts w:cs="Tahoma"/>
          <w:sz w:val="12"/>
          <w:szCs w:val="12"/>
        </w:rPr>
        <w:t>(5)</w:t>
      </w:r>
      <w:r w:rsidRPr="00256F5A">
        <w:rPr>
          <w:rFonts w:eastAsia="Batang"/>
          <w:sz w:val="12"/>
          <w:szCs w:val="12"/>
          <w:lang w:eastAsia="ko-KR"/>
        </w:rPr>
        <w:t xml:space="preserve"> Yalnız ham petrol taşımalarıdır.</w:t>
      </w:r>
    </w:p>
    <w:p w:rsidR="00565FD5" w:rsidRPr="00256F5A" w:rsidRDefault="00565FD5" w:rsidP="00565FD5">
      <w:pPr>
        <w:rPr>
          <w:rFonts w:eastAsia="Batang"/>
          <w:sz w:val="12"/>
          <w:szCs w:val="12"/>
          <w:lang w:eastAsia="ko-KR"/>
        </w:rPr>
      </w:pPr>
      <w:r w:rsidRPr="00256F5A">
        <w:rPr>
          <w:rFonts w:cs="Tahoma"/>
          <w:sz w:val="12"/>
          <w:szCs w:val="12"/>
        </w:rPr>
        <w:t>(6)</w:t>
      </w:r>
      <w:r w:rsidRPr="00256F5A">
        <w:rPr>
          <w:rFonts w:eastAsia="Batang"/>
          <w:sz w:val="12"/>
          <w:szCs w:val="12"/>
          <w:lang w:eastAsia="ko-KR"/>
        </w:rPr>
        <w:t xml:space="preserve"> Rusya Federasyonu, Nijerya, Cezayir, Azerbaycan ve İran’dan ithalatı yapılan ve spot piyasadan temin edilen toplam doğal gaz taşımalarıdır.</w:t>
      </w:r>
    </w:p>
    <w:p w:rsidR="00565FD5" w:rsidRPr="00256F5A" w:rsidRDefault="00565FD5" w:rsidP="00565FD5">
      <w:pPr>
        <w:spacing w:after="240"/>
        <w:rPr>
          <w:rFonts w:eastAsia="Batang"/>
          <w:sz w:val="12"/>
          <w:szCs w:val="12"/>
          <w:lang w:eastAsia="ko-KR"/>
        </w:rPr>
      </w:pPr>
      <w:r w:rsidRPr="00256F5A">
        <w:rPr>
          <w:rFonts w:cs="Tahoma"/>
          <w:sz w:val="12"/>
          <w:szCs w:val="12"/>
        </w:rPr>
        <w:t>(7)</w:t>
      </w:r>
      <w:r w:rsidRPr="00256F5A">
        <w:rPr>
          <w:rFonts w:eastAsia="Batang"/>
          <w:sz w:val="12"/>
          <w:szCs w:val="12"/>
          <w:lang w:eastAsia="ko-KR"/>
        </w:rPr>
        <w:t xml:space="preserve"> Gerçekleşme tahminidir.</w:t>
      </w:r>
    </w:p>
    <w:p w:rsidR="00565FD5" w:rsidRPr="00256F5A" w:rsidRDefault="00565FD5" w:rsidP="00565FD5">
      <w:pPr>
        <w:spacing w:after="180"/>
        <w:ind w:firstLine="425"/>
      </w:pPr>
      <w:r w:rsidRPr="00256F5A">
        <w:t>Eurostat tarafından 2010 yılı için derlenen verilere göre, AB-27’de karasal ulaşımda (karayolu ve demiryolu), yolcu taşımacılığının yaklaşık yüzde 93’ü, yük taşımacılığının ise yaklaşık yüzde 82’si karayoluyla gerçekleştirilmektedir. Türkiye’de karasal yolcu taşımacılığının yaklaşık yüzde 98 oranında karayolu ulaşımıyla sağlanıyor olması, AB-27’de görülen karayolu yoğunluklu yolcu taşımacılığı değerleriyle paralellik arz etmektedir. Ancak, yük taşımalarındaki karayolu payı AB-27 ortalamasına oranla oldukça yüksektir. Bu durum, karayolu yük taşımacılığına olan göreceli yüksek talebin diğer ulaştırma türlerine kaydırılarak daha dengeli bir ulaştırma sistemi sağlanması gerekliliğine işaret etmektedir.</w:t>
      </w:r>
    </w:p>
    <w:p w:rsidR="00565FD5" w:rsidRPr="00250B7F" w:rsidRDefault="00565FD5" w:rsidP="00565FD5">
      <w:pPr>
        <w:pStyle w:val="ResimYazs"/>
        <w:rPr>
          <w:rFonts w:eastAsia="Arial Unicode MS" w:cs="Tahoma"/>
          <w:szCs w:val="16"/>
        </w:rPr>
      </w:pPr>
      <w:bookmarkStart w:id="1615" w:name="_Toc244255266"/>
      <w:bookmarkStart w:id="1616" w:name="_Toc275873949"/>
      <w:bookmarkStart w:id="1617" w:name="_Toc276076491"/>
      <w:bookmarkStart w:id="1618" w:name="_Toc307601671"/>
      <w:bookmarkStart w:id="1619" w:name="_Toc307657894"/>
      <w:bookmarkStart w:id="1620" w:name="_Toc307702150"/>
      <w:bookmarkStart w:id="1621" w:name="_Toc338606014"/>
      <w:bookmarkStart w:id="1622" w:name="_Toc338711789"/>
      <w:r>
        <w:lastRenderedPageBreak/>
        <w:t xml:space="preserve">TABLO IV: </w:t>
      </w:r>
      <w:fldSimple w:instr=" SEQ TABLO_IV: \* ARABIC ">
        <w:r>
          <w:rPr>
            <w:noProof/>
          </w:rPr>
          <w:t>19</w:t>
        </w:r>
      </w:fldSimple>
      <w:r w:rsidRPr="00250B7F">
        <w:rPr>
          <w:rFonts w:eastAsia="Arial Unicode MS" w:cs="Tahoma"/>
          <w:szCs w:val="16"/>
        </w:rPr>
        <w:t>- Ülkelere Göre Ulaştırma Alt Sektörlerinin Karşılaştırılması</w:t>
      </w:r>
      <w:bookmarkEnd w:id="1615"/>
      <w:bookmarkEnd w:id="1616"/>
      <w:bookmarkEnd w:id="1617"/>
      <w:bookmarkEnd w:id="1618"/>
      <w:bookmarkEnd w:id="1619"/>
      <w:bookmarkEnd w:id="1620"/>
      <w:bookmarkEnd w:id="1621"/>
      <w:bookmarkEnd w:id="1622"/>
    </w:p>
    <w:tbl>
      <w:tblPr>
        <w:tblW w:w="7088" w:type="dxa"/>
        <w:tblInd w:w="108" w:type="dxa"/>
        <w:tblBorders>
          <w:top w:val="single" w:sz="4" w:space="0" w:color="auto"/>
          <w:bottom w:val="single" w:sz="4" w:space="0" w:color="auto"/>
        </w:tblBorders>
        <w:tblLook w:val="00A0"/>
      </w:tblPr>
      <w:tblGrid>
        <w:gridCol w:w="1946"/>
        <w:gridCol w:w="1860"/>
        <w:gridCol w:w="1671"/>
        <w:gridCol w:w="1611"/>
      </w:tblGrid>
      <w:tr w:rsidR="00565FD5" w:rsidRPr="00256F5A" w:rsidTr="00AB62A3">
        <w:tc>
          <w:tcPr>
            <w:tcW w:w="1946" w:type="dxa"/>
            <w:tcBorders>
              <w:top w:val="single" w:sz="4" w:space="0" w:color="auto"/>
              <w:left w:val="single" w:sz="4" w:space="0" w:color="auto"/>
              <w:bottom w:val="single" w:sz="4" w:space="0" w:color="auto"/>
              <w:right w:val="none" w:sz="0" w:space="0" w:color="000000"/>
            </w:tcBorders>
            <w:vAlign w:val="center"/>
          </w:tcPr>
          <w:p w:rsidR="00565FD5" w:rsidRPr="00256F5A" w:rsidRDefault="00565FD5" w:rsidP="00AB62A3">
            <w:pPr>
              <w:rPr>
                <w:rFonts w:eastAsia="Arial Unicode MS"/>
                <w:b/>
                <w:sz w:val="16"/>
                <w:szCs w:val="16"/>
              </w:rPr>
            </w:pPr>
            <w:r w:rsidRPr="00256F5A">
              <w:rPr>
                <w:rFonts w:eastAsia="Arial Unicode MS"/>
                <w:b/>
                <w:sz w:val="16"/>
                <w:szCs w:val="16"/>
              </w:rPr>
              <w:t>Ülkeler</w:t>
            </w:r>
          </w:p>
        </w:tc>
        <w:tc>
          <w:tcPr>
            <w:tcW w:w="1860" w:type="dxa"/>
            <w:tcBorders>
              <w:top w:val="single" w:sz="4" w:space="0" w:color="auto"/>
              <w:left w:val="none" w:sz="0" w:space="0" w:color="000000"/>
              <w:bottom w:val="single" w:sz="4" w:space="0" w:color="auto"/>
              <w:right w:val="none" w:sz="0" w:space="0" w:color="000000"/>
            </w:tcBorders>
            <w:vAlign w:val="center"/>
          </w:tcPr>
          <w:p w:rsidR="00565FD5" w:rsidRPr="00256F5A" w:rsidRDefault="00565FD5" w:rsidP="00AB62A3">
            <w:pPr>
              <w:jc w:val="center"/>
              <w:rPr>
                <w:rFonts w:eastAsia="Arial Unicode MS"/>
                <w:b/>
                <w:sz w:val="16"/>
                <w:szCs w:val="16"/>
              </w:rPr>
            </w:pPr>
            <w:r w:rsidRPr="00256F5A">
              <w:rPr>
                <w:rFonts w:eastAsia="Arial Unicode MS"/>
                <w:b/>
                <w:sz w:val="16"/>
                <w:szCs w:val="16"/>
              </w:rPr>
              <w:t>Karayolu</w:t>
            </w:r>
          </w:p>
          <w:p w:rsidR="00565FD5" w:rsidRPr="00256F5A" w:rsidRDefault="00565FD5" w:rsidP="00AB62A3">
            <w:pPr>
              <w:jc w:val="center"/>
              <w:rPr>
                <w:rFonts w:eastAsia="Arial Unicode MS"/>
                <w:b/>
                <w:sz w:val="16"/>
                <w:szCs w:val="16"/>
              </w:rPr>
            </w:pPr>
            <w:r w:rsidRPr="00256F5A">
              <w:rPr>
                <w:rFonts w:eastAsia="Arial Unicode MS"/>
                <w:b/>
                <w:sz w:val="16"/>
                <w:szCs w:val="16"/>
              </w:rPr>
              <w:t>Yoğunluğu</w:t>
            </w:r>
          </w:p>
          <w:p w:rsidR="00565FD5" w:rsidRPr="00256F5A" w:rsidRDefault="00565FD5" w:rsidP="00AB62A3">
            <w:pPr>
              <w:jc w:val="center"/>
              <w:rPr>
                <w:rFonts w:eastAsia="Arial Unicode MS"/>
                <w:b/>
                <w:sz w:val="16"/>
                <w:szCs w:val="16"/>
              </w:rPr>
            </w:pPr>
            <w:r w:rsidRPr="00256F5A">
              <w:rPr>
                <w:rFonts w:eastAsia="Arial Unicode MS"/>
                <w:b/>
                <w:sz w:val="16"/>
                <w:szCs w:val="16"/>
              </w:rPr>
              <w:t>km/1.000 km</w:t>
            </w:r>
            <w:r w:rsidRPr="00256F5A">
              <w:rPr>
                <w:rFonts w:eastAsia="Arial Unicode MS"/>
                <w:b/>
                <w:sz w:val="16"/>
                <w:szCs w:val="16"/>
                <w:vertAlign w:val="superscript"/>
              </w:rPr>
              <w:t>2</w:t>
            </w:r>
          </w:p>
          <w:p w:rsidR="00565FD5" w:rsidRPr="00256F5A" w:rsidRDefault="00565FD5" w:rsidP="00AB62A3">
            <w:pPr>
              <w:jc w:val="center"/>
              <w:rPr>
                <w:rFonts w:eastAsia="Arial Unicode MS"/>
                <w:b/>
                <w:sz w:val="16"/>
                <w:szCs w:val="16"/>
              </w:rPr>
            </w:pPr>
            <w:r w:rsidRPr="00256F5A">
              <w:rPr>
                <w:rFonts w:eastAsia="Arial Unicode MS"/>
                <w:b/>
                <w:sz w:val="16"/>
                <w:szCs w:val="16"/>
              </w:rPr>
              <w:t>(2009)(1)</w:t>
            </w:r>
          </w:p>
        </w:tc>
        <w:tc>
          <w:tcPr>
            <w:tcW w:w="1671" w:type="dxa"/>
            <w:tcBorders>
              <w:top w:val="single" w:sz="4" w:space="0" w:color="auto"/>
              <w:left w:val="none" w:sz="0" w:space="0" w:color="000000"/>
              <w:bottom w:val="single" w:sz="4" w:space="0" w:color="auto"/>
              <w:right w:val="none" w:sz="0" w:space="0" w:color="000000"/>
            </w:tcBorders>
            <w:vAlign w:val="center"/>
          </w:tcPr>
          <w:p w:rsidR="00565FD5" w:rsidRPr="00256F5A" w:rsidRDefault="00565FD5" w:rsidP="00AB62A3">
            <w:pPr>
              <w:jc w:val="center"/>
              <w:rPr>
                <w:rFonts w:eastAsia="Arial Unicode MS"/>
                <w:b/>
                <w:sz w:val="16"/>
                <w:szCs w:val="16"/>
              </w:rPr>
            </w:pPr>
            <w:r w:rsidRPr="00256F5A">
              <w:rPr>
                <w:rFonts w:eastAsia="Arial Unicode MS"/>
                <w:b/>
                <w:sz w:val="16"/>
                <w:szCs w:val="16"/>
              </w:rPr>
              <w:t>Otoyol</w:t>
            </w:r>
          </w:p>
          <w:p w:rsidR="00565FD5" w:rsidRPr="00256F5A" w:rsidRDefault="00565FD5" w:rsidP="00AB62A3">
            <w:pPr>
              <w:jc w:val="center"/>
              <w:rPr>
                <w:rFonts w:eastAsia="Arial Unicode MS"/>
                <w:b/>
                <w:sz w:val="16"/>
                <w:szCs w:val="16"/>
              </w:rPr>
            </w:pPr>
            <w:r w:rsidRPr="00256F5A">
              <w:rPr>
                <w:rFonts w:eastAsia="Arial Unicode MS"/>
                <w:b/>
                <w:sz w:val="16"/>
                <w:szCs w:val="16"/>
              </w:rPr>
              <w:t>Yoğunluğu</w:t>
            </w:r>
          </w:p>
          <w:p w:rsidR="00565FD5" w:rsidRPr="00256F5A" w:rsidRDefault="00565FD5" w:rsidP="00AB62A3">
            <w:pPr>
              <w:jc w:val="center"/>
              <w:rPr>
                <w:rFonts w:eastAsia="Arial Unicode MS"/>
                <w:b/>
                <w:sz w:val="16"/>
                <w:szCs w:val="16"/>
              </w:rPr>
            </w:pPr>
            <w:r w:rsidRPr="00256F5A">
              <w:rPr>
                <w:rFonts w:eastAsia="Arial Unicode MS"/>
                <w:b/>
                <w:sz w:val="16"/>
                <w:szCs w:val="16"/>
              </w:rPr>
              <w:t>km/1.000 km</w:t>
            </w:r>
            <w:r w:rsidRPr="00256F5A">
              <w:rPr>
                <w:rFonts w:eastAsia="Arial Unicode MS"/>
                <w:b/>
                <w:sz w:val="16"/>
                <w:szCs w:val="16"/>
                <w:vertAlign w:val="superscript"/>
              </w:rPr>
              <w:t>2</w:t>
            </w:r>
          </w:p>
          <w:p w:rsidR="00565FD5" w:rsidRPr="00256F5A" w:rsidRDefault="00565FD5" w:rsidP="00AB62A3">
            <w:pPr>
              <w:jc w:val="center"/>
              <w:rPr>
                <w:rFonts w:eastAsia="Arial Unicode MS"/>
                <w:b/>
                <w:sz w:val="16"/>
                <w:szCs w:val="16"/>
              </w:rPr>
            </w:pPr>
            <w:r w:rsidRPr="00256F5A">
              <w:rPr>
                <w:rFonts w:eastAsia="Arial Unicode MS"/>
                <w:b/>
                <w:sz w:val="16"/>
                <w:szCs w:val="16"/>
              </w:rPr>
              <w:t>(2009)</w:t>
            </w:r>
          </w:p>
        </w:tc>
        <w:tc>
          <w:tcPr>
            <w:tcW w:w="1611" w:type="dxa"/>
            <w:tcBorders>
              <w:top w:val="single" w:sz="4" w:space="0" w:color="auto"/>
              <w:left w:val="none" w:sz="0" w:space="0" w:color="000000"/>
              <w:bottom w:val="single" w:sz="4" w:space="0" w:color="auto"/>
              <w:right w:val="single" w:sz="4" w:space="0" w:color="auto"/>
            </w:tcBorders>
            <w:vAlign w:val="center"/>
          </w:tcPr>
          <w:p w:rsidR="00565FD5" w:rsidRPr="00256F5A" w:rsidRDefault="00565FD5" w:rsidP="00AB62A3">
            <w:pPr>
              <w:jc w:val="center"/>
              <w:rPr>
                <w:rFonts w:eastAsia="Arial Unicode MS"/>
                <w:b/>
                <w:sz w:val="16"/>
                <w:szCs w:val="16"/>
              </w:rPr>
            </w:pPr>
            <w:r w:rsidRPr="00256F5A">
              <w:rPr>
                <w:rFonts w:eastAsia="Arial Unicode MS"/>
                <w:b/>
                <w:sz w:val="16"/>
                <w:szCs w:val="16"/>
              </w:rPr>
              <w:t>Demiryolu</w:t>
            </w:r>
          </w:p>
          <w:p w:rsidR="00565FD5" w:rsidRPr="00256F5A" w:rsidRDefault="00565FD5" w:rsidP="00AB62A3">
            <w:pPr>
              <w:jc w:val="center"/>
              <w:rPr>
                <w:rFonts w:eastAsia="Arial Unicode MS"/>
                <w:b/>
                <w:sz w:val="16"/>
                <w:szCs w:val="16"/>
              </w:rPr>
            </w:pPr>
            <w:r w:rsidRPr="00256F5A">
              <w:rPr>
                <w:rFonts w:eastAsia="Arial Unicode MS"/>
                <w:b/>
                <w:sz w:val="16"/>
                <w:szCs w:val="16"/>
              </w:rPr>
              <w:t>Yoğunluğu</w:t>
            </w:r>
          </w:p>
          <w:p w:rsidR="00565FD5" w:rsidRPr="00256F5A" w:rsidRDefault="00565FD5" w:rsidP="00AB62A3">
            <w:pPr>
              <w:jc w:val="center"/>
              <w:rPr>
                <w:rFonts w:eastAsia="Arial Unicode MS"/>
                <w:b/>
                <w:sz w:val="16"/>
                <w:szCs w:val="16"/>
              </w:rPr>
            </w:pPr>
            <w:r w:rsidRPr="00256F5A">
              <w:rPr>
                <w:rFonts w:eastAsia="Arial Unicode MS"/>
                <w:b/>
                <w:sz w:val="16"/>
                <w:szCs w:val="16"/>
              </w:rPr>
              <w:t>km/1.000 km</w:t>
            </w:r>
            <w:r w:rsidRPr="00256F5A">
              <w:rPr>
                <w:rFonts w:eastAsia="Arial Unicode MS"/>
                <w:b/>
                <w:sz w:val="16"/>
                <w:szCs w:val="16"/>
                <w:vertAlign w:val="superscript"/>
              </w:rPr>
              <w:t>2</w:t>
            </w:r>
          </w:p>
          <w:p w:rsidR="00565FD5" w:rsidRPr="00256F5A" w:rsidRDefault="00565FD5" w:rsidP="00AB62A3">
            <w:pPr>
              <w:jc w:val="center"/>
              <w:rPr>
                <w:rFonts w:eastAsia="Arial Unicode MS"/>
                <w:b/>
                <w:sz w:val="16"/>
                <w:szCs w:val="16"/>
              </w:rPr>
            </w:pPr>
            <w:r w:rsidRPr="00256F5A">
              <w:rPr>
                <w:rFonts w:eastAsia="Arial Unicode MS"/>
                <w:b/>
                <w:sz w:val="16"/>
                <w:szCs w:val="16"/>
              </w:rPr>
              <w:t>(2010)</w:t>
            </w:r>
          </w:p>
        </w:tc>
      </w:tr>
      <w:tr w:rsidR="00565FD5" w:rsidRPr="00256F5A" w:rsidTr="00AB62A3">
        <w:trPr>
          <w:trHeight w:val="227"/>
        </w:trPr>
        <w:tc>
          <w:tcPr>
            <w:tcW w:w="1946" w:type="dxa"/>
            <w:tcBorders>
              <w:top w:val="single" w:sz="4" w:space="0" w:color="auto"/>
              <w:left w:val="single" w:sz="4" w:space="0" w:color="auto"/>
              <w:bottom w:val="none" w:sz="0" w:space="0" w:color="000000"/>
              <w:right w:val="none" w:sz="0" w:space="0" w:color="000000"/>
            </w:tcBorders>
          </w:tcPr>
          <w:p w:rsidR="00565FD5" w:rsidRPr="00256F5A" w:rsidRDefault="00565FD5" w:rsidP="00AB62A3">
            <w:pPr>
              <w:rPr>
                <w:rFonts w:eastAsia="Arial Unicode MS"/>
                <w:sz w:val="16"/>
                <w:szCs w:val="16"/>
              </w:rPr>
            </w:pPr>
            <w:r w:rsidRPr="00256F5A">
              <w:rPr>
                <w:rFonts w:eastAsia="Arial Unicode MS"/>
                <w:sz w:val="16"/>
                <w:szCs w:val="16"/>
              </w:rPr>
              <w:t>Çek Cumhuriyeti</w:t>
            </w:r>
          </w:p>
        </w:tc>
        <w:tc>
          <w:tcPr>
            <w:tcW w:w="1860" w:type="dxa"/>
            <w:tcBorders>
              <w:top w:val="single" w:sz="4" w:space="0" w:color="auto"/>
              <w:left w:val="none" w:sz="0" w:space="0" w:color="000000"/>
              <w:bottom w:val="none" w:sz="0" w:space="0" w:color="000000"/>
              <w:right w:val="none" w:sz="0" w:space="0" w:color="000000"/>
            </w:tcBorders>
          </w:tcPr>
          <w:p w:rsidR="00565FD5" w:rsidRPr="00256F5A" w:rsidRDefault="00565FD5" w:rsidP="00AB62A3">
            <w:pPr>
              <w:jc w:val="center"/>
              <w:rPr>
                <w:rFonts w:eastAsia="Arial Unicode MS"/>
                <w:sz w:val="16"/>
                <w:szCs w:val="16"/>
              </w:rPr>
            </w:pPr>
            <w:r w:rsidRPr="00256F5A">
              <w:rPr>
                <w:rFonts w:eastAsia="Arial Unicode MS"/>
                <w:sz w:val="16"/>
                <w:szCs w:val="16"/>
              </w:rPr>
              <w:t>706</w:t>
            </w:r>
          </w:p>
        </w:tc>
        <w:tc>
          <w:tcPr>
            <w:tcW w:w="1671" w:type="dxa"/>
            <w:tcBorders>
              <w:top w:val="single" w:sz="4" w:space="0" w:color="auto"/>
              <w:left w:val="none" w:sz="0" w:space="0" w:color="000000"/>
              <w:bottom w:val="none" w:sz="0" w:space="0" w:color="000000"/>
              <w:right w:val="none" w:sz="0" w:space="0" w:color="000000"/>
            </w:tcBorders>
          </w:tcPr>
          <w:p w:rsidR="00565FD5" w:rsidRPr="00256F5A" w:rsidRDefault="00565FD5" w:rsidP="00AB62A3">
            <w:pPr>
              <w:jc w:val="center"/>
              <w:rPr>
                <w:rFonts w:eastAsia="Arial Unicode MS"/>
                <w:sz w:val="16"/>
                <w:szCs w:val="16"/>
              </w:rPr>
            </w:pPr>
            <w:r w:rsidRPr="00256F5A">
              <w:rPr>
                <w:rFonts w:eastAsia="Arial Unicode MS"/>
                <w:sz w:val="16"/>
                <w:szCs w:val="16"/>
              </w:rPr>
              <w:t>9</w:t>
            </w:r>
          </w:p>
        </w:tc>
        <w:tc>
          <w:tcPr>
            <w:tcW w:w="1611" w:type="dxa"/>
            <w:tcBorders>
              <w:top w:val="single" w:sz="4" w:space="0" w:color="auto"/>
              <w:left w:val="none" w:sz="0" w:space="0" w:color="000000"/>
              <w:bottom w:val="none" w:sz="0" w:space="0" w:color="000000"/>
              <w:right w:val="single" w:sz="4" w:space="0" w:color="auto"/>
            </w:tcBorders>
          </w:tcPr>
          <w:p w:rsidR="00565FD5" w:rsidRPr="00256F5A" w:rsidRDefault="00565FD5" w:rsidP="00AB62A3">
            <w:pPr>
              <w:jc w:val="center"/>
              <w:rPr>
                <w:rFonts w:eastAsia="Arial Unicode MS"/>
                <w:sz w:val="16"/>
                <w:szCs w:val="16"/>
              </w:rPr>
            </w:pPr>
            <w:r w:rsidRPr="00256F5A">
              <w:rPr>
                <w:rFonts w:eastAsia="Arial Unicode MS"/>
                <w:sz w:val="16"/>
                <w:szCs w:val="16"/>
              </w:rPr>
              <w:t>120</w:t>
            </w:r>
          </w:p>
        </w:tc>
      </w:tr>
      <w:tr w:rsidR="00565FD5" w:rsidRPr="00256F5A" w:rsidTr="00AB62A3">
        <w:trPr>
          <w:trHeight w:val="227"/>
        </w:trPr>
        <w:tc>
          <w:tcPr>
            <w:tcW w:w="1946" w:type="dxa"/>
            <w:tcBorders>
              <w:top w:val="none" w:sz="0" w:space="0" w:color="000000"/>
              <w:left w:val="single" w:sz="4" w:space="0" w:color="auto"/>
              <w:bottom w:val="none" w:sz="0" w:space="0" w:color="000000"/>
              <w:right w:val="none" w:sz="0" w:space="0" w:color="000000"/>
            </w:tcBorders>
          </w:tcPr>
          <w:p w:rsidR="00565FD5" w:rsidRPr="00256F5A" w:rsidRDefault="00565FD5" w:rsidP="00AB62A3">
            <w:pPr>
              <w:rPr>
                <w:rFonts w:eastAsia="Arial Unicode MS"/>
                <w:sz w:val="16"/>
                <w:szCs w:val="16"/>
              </w:rPr>
            </w:pPr>
            <w:r w:rsidRPr="00256F5A">
              <w:rPr>
                <w:rFonts w:eastAsia="Arial Unicode MS"/>
                <w:sz w:val="16"/>
                <w:szCs w:val="16"/>
              </w:rPr>
              <w:t>Fransa</w:t>
            </w:r>
          </w:p>
        </w:tc>
        <w:tc>
          <w:tcPr>
            <w:tcW w:w="1860" w:type="dxa"/>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center"/>
              <w:rPr>
                <w:rFonts w:eastAsia="Arial Unicode MS"/>
                <w:sz w:val="16"/>
                <w:szCs w:val="16"/>
              </w:rPr>
            </w:pPr>
            <w:r w:rsidRPr="00256F5A">
              <w:rPr>
                <w:rFonts w:eastAsia="Arial Unicode MS"/>
                <w:sz w:val="16"/>
                <w:szCs w:val="16"/>
              </w:rPr>
              <w:t>733</w:t>
            </w:r>
          </w:p>
        </w:tc>
        <w:tc>
          <w:tcPr>
            <w:tcW w:w="1671" w:type="dxa"/>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center"/>
              <w:rPr>
                <w:rFonts w:eastAsia="Arial Unicode MS"/>
                <w:sz w:val="16"/>
                <w:szCs w:val="16"/>
              </w:rPr>
            </w:pPr>
            <w:r w:rsidRPr="00256F5A">
              <w:rPr>
                <w:rFonts w:eastAsia="Arial Unicode MS"/>
                <w:sz w:val="16"/>
                <w:szCs w:val="16"/>
              </w:rPr>
              <w:t>21</w:t>
            </w:r>
          </w:p>
        </w:tc>
        <w:tc>
          <w:tcPr>
            <w:tcW w:w="1611" w:type="dxa"/>
            <w:tcBorders>
              <w:top w:val="none" w:sz="0" w:space="0" w:color="000000"/>
              <w:left w:val="none" w:sz="0" w:space="0" w:color="000000"/>
              <w:bottom w:val="none" w:sz="0" w:space="0" w:color="000000"/>
              <w:right w:val="single" w:sz="4" w:space="0" w:color="auto"/>
            </w:tcBorders>
          </w:tcPr>
          <w:p w:rsidR="00565FD5" w:rsidRPr="00256F5A" w:rsidRDefault="00565FD5" w:rsidP="00AB62A3">
            <w:pPr>
              <w:jc w:val="center"/>
              <w:rPr>
                <w:rFonts w:eastAsia="Arial Unicode MS"/>
                <w:sz w:val="16"/>
                <w:szCs w:val="16"/>
              </w:rPr>
            </w:pPr>
            <w:r w:rsidRPr="00256F5A">
              <w:rPr>
                <w:rFonts w:eastAsia="Arial Unicode MS"/>
                <w:sz w:val="16"/>
                <w:szCs w:val="16"/>
              </w:rPr>
              <w:t>54</w:t>
            </w:r>
          </w:p>
        </w:tc>
      </w:tr>
      <w:tr w:rsidR="00565FD5" w:rsidRPr="00256F5A" w:rsidTr="00AB62A3">
        <w:trPr>
          <w:trHeight w:val="227"/>
        </w:trPr>
        <w:tc>
          <w:tcPr>
            <w:tcW w:w="1946" w:type="dxa"/>
            <w:tcBorders>
              <w:top w:val="none" w:sz="0" w:space="0" w:color="000000"/>
              <w:left w:val="single" w:sz="4" w:space="0" w:color="auto"/>
              <w:bottom w:val="none" w:sz="0" w:space="0" w:color="000000"/>
              <w:right w:val="none" w:sz="0" w:space="0" w:color="000000"/>
            </w:tcBorders>
          </w:tcPr>
          <w:p w:rsidR="00565FD5" w:rsidRPr="00256F5A" w:rsidRDefault="00565FD5" w:rsidP="00AB62A3">
            <w:pPr>
              <w:rPr>
                <w:rFonts w:eastAsia="Arial Unicode MS"/>
                <w:sz w:val="16"/>
                <w:szCs w:val="16"/>
              </w:rPr>
            </w:pPr>
            <w:r w:rsidRPr="00256F5A">
              <w:rPr>
                <w:rFonts w:eastAsia="Arial Unicode MS"/>
                <w:sz w:val="16"/>
                <w:szCs w:val="16"/>
              </w:rPr>
              <w:t>Almanya</w:t>
            </w:r>
          </w:p>
        </w:tc>
        <w:tc>
          <w:tcPr>
            <w:tcW w:w="1860" w:type="dxa"/>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center"/>
              <w:rPr>
                <w:rFonts w:eastAsia="Arial Unicode MS"/>
                <w:sz w:val="16"/>
                <w:szCs w:val="16"/>
              </w:rPr>
            </w:pPr>
            <w:r w:rsidRPr="00256F5A">
              <w:rPr>
                <w:rFonts w:eastAsia="Arial Unicode MS"/>
                <w:sz w:val="16"/>
                <w:szCs w:val="16"/>
              </w:rPr>
              <w:t>647</w:t>
            </w:r>
          </w:p>
        </w:tc>
        <w:tc>
          <w:tcPr>
            <w:tcW w:w="1671" w:type="dxa"/>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center"/>
              <w:rPr>
                <w:rFonts w:eastAsia="Arial Unicode MS"/>
                <w:sz w:val="16"/>
                <w:szCs w:val="16"/>
              </w:rPr>
            </w:pPr>
            <w:r w:rsidRPr="00256F5A">
              <w:rPr>
                <w:rFonts w:eastAsia="Arial Unicode MS"/>
                <w:sz w:val="16"/>
                <w:szCs w:val="16"/>
              </w:rPr>
              <w:t>36</w:t>
            </w:r>
          </w:p>
        </w:tc>
        <w:tc>
          <w:tcPr>
            <w:tcW w:w="1611" w:type="dxa"/>
            <w:tcBorders>
              <w:top w:val="none" w:sz="0" w:space="0" w:color="000000"/>
              <w:left w:val="none" w:sz="0" w:space="0" w:color="000000"/>
              <w:bottom w:val="none" w:sz="0" w:space="0" w:color="000000"/>
              <w:right w:val="single" w:sz="4" w:space="0" w:color="auto"/>
            </w:tcBorders>
          </w:tcPr>
          <w:p w:rsidR="00565FD5" w:rsidRPr="00256F5A" w:rsidRDefault="00565FD5" w:rsidP="00AB62A3">
            <w:pPr>
              <w:jc w:val="center"/>
              <w:rPr>
                <w:rFonts w:eastAsia="Arial Unicode MS"/>
                <w:sz w:val="16"/>
                <w:szCs w:val="16"/>
              </w:rPr>
            </w:pPr>
            <w:r w:rsidRPr="00256F5A">
              <w:rPr>
                <w:rFonts w:eastAsia="Arial Unicode MS"/>
                <w:sz w:val="16"/>
                <w:szCs w:val="16"/>
              </w:rPr>
              <w:t>94</w:t>
            </w:r>
          </w:p>
        </w:tc>
      </w:tr>
      <w:tr w:rsidR="00565FD5" w:rsidRPr="00256F5A" w:rsidTr="00AB62A3">
        <w:trPr>
          <w:trHeight w:val="227"/>
        </w:trPr>
        <w:tc>
          <w:tcPr>
            <w:tcW w:w="1946" w:type="dxa"/>
            <w:tcBorders>
              <w:top w:val="none" w:sz="0" w:space="0" w:color="000000"/>
              <w:left w:val="single" w:sz="4" w:space="0" w:color="auto"/>
              <w:bottom w:val="none" w:sz="0" w:space="0" w:color="000000"/>
              <w:right w:val="none" w:sz="0" w:space="0" w:color="000000"/>
            </w:tcBorders>
          </w:tcPr>
          <w:p w:rsidR="00565FD5" w:rsidRPr="00256F5A" w:rsidRDefault="00565FD5" w:rsidP="00AB62A3">
            <w:pPr>
              <w:rPr>
                <w:rFonts w:eastAsia="Arial Unicode MS"/>
                <w:sz w:val="16"/>
                <w:szCs w:val="16"/>
              </w:rPr>
            </w:pPr>
            <w:r w:rsidRPr="00256F5A">
              <w:rPr>
                <w:rFonts w:eastAsia="Arial Unicode MS"/>
                <w:sz w:val="16"/>
                <w:szCs w:val="16"/>
              </w:rPr>
              <w:t>Belçika</w:t>
            </w:r>
          </w:p>
        </w:tc>
        <w:tc>
          <w:tcPr>
            <w:tcW w:w="1860" w:type="dxa"/>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center"/>
              <w:rPr>
                <w:rFonts w:eastAsia="Arial Unicode MS"/>
                <w:sz w:val="16"/>
                <w:szCs w:val="16"/>
              </w:rPr>
            </w:pPr>
            <w:r w:rsidRPr="00256F5A">
              <w:rPr>
                <w:rFonts w:eastAsia="Arial Unicode MS"/>
                <w:sz w:val="16"/>
                <w:szCs w:val="16"/>
              </w:rPr>
              <w:t>520</w:t>
            </w:r>
          </w:p>
        </w:tc>
        <w:tc>
          <w:tcPr>
            <w:tcW w:w="1671" w:type="dxa"/>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center"/>
              <w:rPr>
                <w:rFonts w:eastAsia="Arial Unicode MS"/>
                <w:sz w:val="16"/>
                <w:szCs w:val="16"/>
              </w:rPr>
            </w:pPr>
            <w:r w:rsidRPr="00256F5A">
              <w:rPr>
                <w:rFonts w:eastAsia="Arial Unicode MS"/>
                <w:sz w:val="16"/>
                <w:szCs w:val="16"/>
              </w:rPr>
              <w:t>58</w:t>
            </w:r>
          </w:p>
        </w:tc>
        <w:tc>
          <w:tcPr>
            <w:tcW w:w="1611" w:type="dxa"/>
            <w:tcBorders>
              <w:top w:val="none" w:sz="0" w:space="0" w:color="000000"/>
              <w:left w:val="none" w:sz="0" w:space="0" w:color="000000"/>
              <w:bottom w:val="none" w:sz="0" w:space="0" w:color="000000"/>
              <w:right w:val="single" w:sz="4" w:space="0" w:color="auto"/>
            </w:tcBorders>
          </w:tcPr>
          <w:p w:rsidR="00565FD5" w:rsidRPr="00256F5A" w:rsidRDefault="00565FD5" w:rsidP="00AB62A3">
            <w:pPr>
              <w:jc w:val="center"/>
              <w:rPr>
                <w:rFonts w:eastAsia="Arial Unicode MS"/>
                <w:sz w:val="16"/>
                <w:szCs w:val="16"/>
              </w:rPr>
            </w:pPr>
            <w:r w:rsidRPr="00256F5A">
              <w:rPr>
                <w:rFonts w:eastAsia="Arial Unicode MS"/>
                <w:sz w:val="16"/>
                <w:szCs w:val="16"/>
              </w:rPr>
              <w:t>117</w:t>
            </w:r>
          </w:p>
        </w:tc>
      </w:tr>
      <w:tr w:rsidR="00565FD5" w:rsidRPr="00256F5A" w:rsidTr="00AB62A3">
        <w:trPr>
          <w:trHeight w:val="227"/>
        </w:trPr>
        <w:tc>
          <w:tcPr>
            <w:tcW w:w="1946" w:type="dxa"/>
            <w:tcBorders>
              <w:top w:val="none" w:sz="0" w:space="0" w:color="000000"/>
              <w:left w:val="single" w:sz="4" w:space="0" w:color="auto"/>
              <w:bottom w:val="none" w:sz="0" w:space="0" w:color="000000"/>
              <w:right w:val="none" w:sz="0" w:space="0" w:color="000000"/>
            </w:tcBorders>
          </w:tcPr>
          <w:p w:rsidR="00565FD5" w:rsidRPr="00256F5A" w:rsidRDefault="00565FD5" w:rsidP="00AB62A3">
            <w:pPr>
              <w:rPr>
                <w:rFonts w:eastAsia="Arial Unicode MS"/>
                <w:sz w:val="16"/>
                <w:szCs w:val="16"/>
              </w:rPr>
            </w:pPr>
            <w:r w:rsidRPr="00256F5A">
              <w:rPr>
                <w:rFonts w:eastAsia="Arial Unicode MS"/>
                <w:sz w:val="16"/>
                <w:szCs w:val="16"/>
              </w:rPr>
              <w:t>Avusturya</w:t>
            </w:r>
          </w:p>
        </w:tc>
        <w:tc>
          <w:tcPr>
            <w:tcW w:w="1860" w:type="dxa"/>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center"/>
              <w:rPr>
                <w:rFonts w:eastAsia="Arial Unicode MS"/>
                <w:sz w:val="16"/>
                <w:szCs w:val="16"/>
              </w:rPr>
            </w:pPr>
            <w:r w:rsidRPr="00256F5A">
              <w:rPr>
                <w:rFonts w:eastAsia="Arial Unicode MS"/>
                <w:sz w:val="16"/>
                <w:szCs w:val="16"/>
              </w:rPr>
              <w:t>421</w:t>
            </w:r>
          </w:p>
        </w:tc>
        <w:tc>
          <w:tcPr>
            <w:tcW w:w="1671" w:type="dxa"/>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center"/>
              <w:rPr>
                <w:rFonts w:eastAsia="Arial Unicode MS"/>
                <w:sz w:val="16"/>
                <w:szCs w:val="16"/>
              </w:rPr>
            </w:pPr>
            <w:r w:rsidRPr="00256F5A">
              <w:rPr>
                <w:rFonts w:eastAsia="Arial Unicode MS"/>
                <w:sz w:val="16"/>
                <w:szCs w:val="16"/>
              </w:rPr>
              <w:t>20</w:t>
            </w:r>
          </w:p>
        </w:tc>
        <w:tc>
          <w:tcPr>
            <w:tcW w:w="1611" w:type="dxa"/>
            <w:tcBorders>
              <w:top w:val="none" w:sz="0" w:space="0" w:color="000000"/>
              <w:left w:val="none" w:sz="0" w:space="0" w:color="000000"/>
              <w:bottom w:val="none" w:sz="0" w:space="0" w:color="000000"/>
              <w:right w:val="single" w:sz="4" w:space="0" w:color="auto"/>
            </w:tcBorders>
          </w:tcPr>
          <w:p w:rsidR="00565FD5" w:rsidRPr="00256F5A" w:rsidRDefault="00565FD5" w:rsidP="00AB62A3">
            <w:pPr>
              <w:jc w:val="center"/>
              <w:rPr>
                <w:rFonts w:eastAsia="Arial Unicode MS"/>
                <w:sz w:val="16"/>
                <w:szCs w:val="16"/>
              </w:rPr>
            </w:pPr>
            <w:r w:rsidRPr="00256F5A">
              <w:rPr>
                <w:rFonts w:eastAsia="Arial Unicode MS"/>
                <w:sz w:val="16"/>
                <w:szCs w:val="16"/>
              </w:rPr>
              <w:t>60</w:t>
            </w:r>
          </w:p>
        </w:tc>
      </w:tr>
      <w:tr w:rsidR="00565FD5" w:rsidRPr="00256F5A" w:rsidTr="00AB62A3">
        <w:trPr>
          <w:trHeight w:val="227"/>
        </w:trPr>
        <w:tc>
          <w:tcPr>
            <w:tcW w:w="1946" w:type="dxa"/>
            <w:tcBorders>
              <w:top w:val="none" w:sz="0" w:space="0" w:color="000000"/>
              <w:left w:val="single" w:sz="4" w:space="0" w:color="auto"/>
              <w:bottom w:val="none" w:sz="0" w:space="0" w:color="000000"/>
              <w:right w:val="none" w:sz="0" w:space="0" w:color="000000"/>
            </w:tcBorders>
          </w:tcPr>
          <w:p w:rsidR="00565FD5" w:rsidRPr="00256F5A" w:rsidRDefault="00565FD5" w:rsidP="00AB62A3">
            <w:pPr>
              <w:rPr>
                <w:rFonts w:eastAsia="Arial Unicode MS"/>
                <w:sz w:val="16"/>
                <w:szCs w:val="16"/>
              </w:rPr>
            </w:pPr>
            <w:r w:rsidRPr="00256F5A">
              <w:rPr>
                <w:rFonts w:eastAsia="Arial Unicode MS"/>
                <w:sz w:val="16"/>
                <w:szCs w:val="16"/>
              </w:rPr>
              <w:t>AB-27</w:t>
            </w:r>
          </w:p>
        </w:tc>
        <w:tc>
          <w:tcPr>
            <w:tcW w:w="1860" w:type="dxa"/>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center"/>
              <w:rPr>
                <w:rFonts w:eastAsia="Arial Unicode MS"/>
                <w:sz w:val="16"/>
                <w:szCs w:val="16"/>
              </w:rPr>
            </w:pPr>
            <w:r w:rsidRPr="00256F5A">
              <w:rPr>
                <w:rFonts w:eastAsia="Arial Unicode MS"/>
                <w:sz w:val="16"/>
                <w:szCs w:val="16"/>
              </w:rPr>
              <w:t>416</w:t>
            </w:r>
          </w:p>
        </w:tc>
        <w:tc>
          <w:tcPr>
            <w:tcW w:w="1671" w:type="dxa"/>
            <w:tcBorders>
              <w:top w:val="none" w:sz="0" w:space="0" w:color="000000"/>
              <w:left w:val="none" w:sz="0" w:space="0" w:color="000000"/>
              <w:bottom w:val="none" w:sz="0" w:space="0" w:color="000000"/>
              <w:right w:val="none" w:sz="0" w:space="0" w:color="000000"/>
            </w:tcBorders>
          </w:tcPr>
          <w:p w:rsidR="00565FD5" w:rsidRPr="00256F5A" w:rsidRDefault="00565FD5" w:rsidP="00AB62A3">
            <w:pPr>
              <w:jc w:val="center"/>
              <w:rPr>
                <w:rFonts w:eastAsia="Arial Unicode MS"/>
                <w:sz w:val="16"/>
                <w:szCs w:val="16"/>
              </w:rPr>
            </w:pPr>
            <w:r w:rsidRPr="00256F5A">
              <w:rPr>
                <w:rFonts w:eastAsia="Arial Unicode MS"/>
                <w:sz w:val="16"/>
                <w:szCs w:val="16"/>
              </w:rPr>
              <w:t>16</w:t>
            </w:r>
          </w:p>
        </w:tc>
        <w:tc>
          <w:tcPr>
            <w:tcW w:w="1611" w:type="dxa"/>
            <w:tcBorders>
              <w:top w:val="none" w:sz="0" w:space="0" w:color="000000"/>
              <w:left w:val="none" w:sz="0" w:space="0" w:color="000000"/>
              <w:bottom w:val="none" w:sz="0" w:space="0" w:color="000000"/>
              <w:right w:val="single" w:sz="4" w:space="0" w:color="auto"/>
            </w:tcBorders>
          </w:tcPr>
          <w:p w:rsidR="00565FD5" w:rsidRPr="00256F5A" w:rsidRDefault="00565FD5" w:rsidP="00AB62A3">
            <w:pPr>
              <w:jc w:val="center"/>
              <w:rPr>
                <w:rFonts w:eastAsia="Arial Unicode MS"/>
                <w:sz w:val="16"/>
                <w:szCs w:val="16"/>
              </w:rPr>
            </w:pPr>
            <w:r w:rsidRPr="00256F5A">
              <w:rPr>
                <w:rFonts w:eastAsia="Arial Unicode MS"/>
                <w:sz w:val="16"/>
                <w:szCs w:val="16"/>
              </w:rPr>
              <w:t>49</w:t>
            </w:r>
          </w:p>
        </w:tc>
      </w:tr>
      <w:tr w:rsidR="00565FD5" w:rsidRPr="00256F5A" w:rsidTr="00AB62A3">
        <w:trPr>
          <w:trHeight w:val="227"/>
        </w:trPr>
        <w:tc>
          <w:tcPr>
            <w:tcW w:w="1946" w:type="dxa"/>
            <w:tcBorders>
              <w:top w:val="none" w:sz="0" w:space="0" w:color="000000"/>
              <w:left w:val="single" w:sz="4" w:space="0" w:color="auto"/>
              <w:bottom w:val="single" w:sz="4" w:space="0" w:color="auto"/>
              <w:right w:val="none" w:sz="0" w:space="0" w:color="000000"/>
            </w:tcBorders>
          </w:tcPr>
          <w:p w:rsidR="00565FD5" w:rsidRPr="00256F5A" w:rsidRDefault="00565FD5" w:rsidP="00AB62A3">
            <w:pPr>
              <w:rPr>
                <w:rFonts w:eastAsia="Arial Unicode MS"/>
                <w:sz w:val="16"/>
                <w:szCs w:val="16"/>
              </w:rPr>
            </w:pPr>
            <w:r w:rsidRPr="00256F5A">
              <w:rPr>
                <w:rFonts w:eastAsia="Arial Unicode MS"/>
                <w:sz w:val="16"/>
                <w:szCs w:val="16"/>
              </w:rPr>
              <w:t xml:space="preserve">Türkiye </w:t>
            </w:r>
          </w:p>
        </w:tc>
        <w:tc>
          <w:tcPr>
            <w:tcW w:w="1860" w:type="dxa"/>
            <w:tcBorders>
              <w:top w:val="none" w:sz="0" w:space="0" w:color="000000"/>
              <w:left w:val="none" w:sz="0" w:space="0" w:color="000000"/>
              <w:bottom w:val="single" w:sz="4" w:space="0" w:color="auto"/>
              <w:right w:val="none" w:sz="0" w:space="0" w:color="000000"/>
            </w:tcBorders>
          </w:tcPr>
          <w:p w:rsidR="00565FD5" w:rsidRPr="00256F5A" w:rsidRDefault="00565FD5" w:rsidP="00AB62A3">
            <w:pPr>
              <w:jc w:val="center"/>
              <w:rPr>
                <w:rFonts w:eastAsia="Arial Unicode MS"/>
                <w:sz w:val="16"/>
                <w:szCs w:val="16"/>
                <w:vertAlign w:val="superscript"/>
              </w:rPr>
            </w:pPr>
            <w:r w:rsidRPr="00256F5A">
              <w:rPr>
                <w:rFonts w:eastAsia="Arial Unicode MS"/>
                <w:sz w:val="16"/>
                <w:szCs w:val="16"/>
              </w:rPr>
              <w:t>83(2)</w:t>
            </w:r>
          </w:p>
        </w:tc>
        <w:tc>
          <w:tcPr>
            <w:tcW w:w="1671" w:type="dxa"/>
            <w:tcBorders>
              <w:top w:val="none" w:sz="0" w:space="0" w:color="000000"/>
              <w:left w:val="none" w:sz="0" w:space="0" w:color="000000"/>
              <w:bottom w:val="single" w:sz="4" w:space="0" w:color="auto"/>
              <w:right w:val="none" w:sz="0" w:space="0" w:color="000000"/>
            </w:tcBorders>
          </w:tcPr>
          <w:p w:rsidR="00565FD5" w:rsidRPr="00256F5A" w:rsidRDefault="00565FD5" w:rsidP="00AB62A3">
            <w:pPr>
              <w:jc w:val="center"/>
              <w:rPr>
                <w:rFonts w:eastAsia="Arial Unicode MS"/>
                <w:sz w:val="16"/>
                <w:szCs w:val="16"/>
              </w:rPr>
            </w:pPr>
            <w:r w:rsidRPr="00256F5A">
              <w:rPr>
                <w:rFonts w:eastAsia="Arial Unicode MS"/>
                <w:sz w:val="16"/>
                <w:szCs w:val="16"/>
              </w:rPr>
              <w:t>3</w:t>
            </w:r>
          </w:p>
        </w:tc>
        <w:tc>
          <w:tcPr>
            <w:tcW w:w="1611" w:type="dxa"/>
            <w:tcBorders>
              <w:top w:val="none" w:sz="0" w:space="0" w:color="000000"/>
              <w:left w:val="none" w:sz="0" w:space="0" w:color="000000"/>
              <w:bottom w:val="single" w:sz="4" w:space="0" w:color="auto"/>
              <w:right w:val="single" w:sz="4" w:space="0" w:color="auto"/>
            </w:tcBorders>
          </w:tcPr>
          <w:p w:rsidR="00565FD5" w:rsidRPr="00256F5A" w:rsidRDefault="00565FD5" w:rsidP="00AB62A3">
            <w:pPr>
              <w:jc w:val="center"/>
              <w:rPr>
                <w:rFonts w:eastAsia="Arial Unicode MS"/>
                <w:sz w:val="16"/>
                <w:szCs w:val="16"/>
              </w:rPr>
            </w:pPr>
            <w:r w:rsidRPr="00256F5A">
              <w:rPr>
                <w:rFonts w:eastAsia="Arial Unicode MS"/>
                <w:sz w:val="16"/>
                <w:szCs w:val="16"/>
              </w:rPr>
              <w:t>12</w:t>
            </w:r>
          </w:p>
        </w:tc>
      </w:tr>
    </w:tbl>
    <w:p w:rsidR="00565FD5" w:rsidRPr="00256F5A" w:rsidRDefault="00565FD5" w:rsidP="00565FD5">
      <w:pPr>
        <w:spacing w:before="40"/>
        <w:rPr>
          <w:rFonts w:cs="Tahoma"/>
          <w:sz w:val="14"/>
          <w:szCs w:val="14"/>
        </w:rPr>
      </w:pPr>
      <w:r w:rsidRPr="00256F5A">
        <w:rPr>
          <w:rFonts w:cs="Tahoma"/>
          <w:sz w:val="14"/>
          <w:szCs w:val="14"/>
        </w:rPr>
        <w:t xml:space="preserve">Kaynak: AB Enerji-Ulaştırma İstatistikleri, Karayolları Genel Müdürlüğü </w:t>
      </w:r>
    </w:p>
    <w:p w:rsidR="00565FD5" w:rsidRPr="00256F5A" w:rsidRDefault="00565FD5" w:rsidP="00565FD5">
      <w:pPr>
        <w:tabs>
          <w:tab w:val="left" w:pos="270"/>
        </w:tabs>
        <w:ind w:left="272" w:hanging="272"/>
        <w:rPr>
          <w:rFonts w:cs="Tahoma"/>
          <w:sz w:val="14"/>
          <w:szCs w:val="14"/>
        </w:rPr>
      </w:pPr>
      <w:r w:rsidRPr="00256F5A">
        <w:rPr>
          <w:rFonts w:cs="Tahoma"/>
          <w:sz w:val="14"/>
          <w:szCs w:val="14"/>
        </w:rPr>
        <w:t xml:space="preserve">(1) Ülkeler arası tanım farklılıklarının verilerdeki yıllık değişimlere etkisi olmaktadır. </w:t>
      </w:r>
    </w:p>
    <w:p w:rsidR="00565FD5" w:rsidRPr="00256F5A" w:rsidRDefault="00565FD5" w:rsidP="00565FD5">
      <w:pPr>
        <w:tabs>
          <w:tab w:val="left" w:pos="270"/>
        </w:tabs>
        <w:spacing w:after="240"/>
        <w:ind w:left="272" w:hanging="272"/>
        <w:rPr>
          <w:rFonts w:cs="Tahoma"/>
          <w:szCs w:val="18"/>
        </w:rPr>
      </w:pPr>
      <w:r>
        <w:rPr>
          <w:rFonts w:cs="Tahoma"/>
          <w:sz w:val="14"/>
          <w:szCs w:val="14"/>
        </w:rPr>
        <w:t>(2) 2012 yılı sonu tahmini değeridir</w:t>
      </w:r>
      <w:r w:rsidRPr="00256F5A">
        <w:rPr>
          <w:rFonts w:cs="Tahoma"/>
          <w:sz w:val="14"/>
          <w:szCs w:val="14"/>
        </w:rPr>
        <w:t>. Yalnızca otoyollar, devlet ve il yolları dikkate alınmıştır.</w:t>
      </w:r>
    </w:p>
    <w:p w:rsidR="00565FD5" w:rsidRPr="00256F5A" w:rsidRDefault="00565FD5" w:rsidP="00565FD5">
      <w:pPr>
        <w:spacing w:after="180"/>
        <w:ind w:firstLine="425"/>
        <w:rPr>
          <w:rFonts w:cs="Tahoma"/>
          <w:szCs w:val="18"/>
        </w:rPr>
      </w:pPr>
      <w:r w:rsidRPr="00256F5A">
        <w:rPr>
          <w:rFonts w:cs="Tahoma"/>
          <w:szCs w:val="18"/>
        </w:rPr>
        <w:t xml:space="preserve">Mevcut ulaştırma altyapı yoğunluğu incelendiğinde, Türkiye’nin AB-27 ortalamasının oldukça altında karayolu, otoyol ve demiryolu ağına sahip olduğu gözlenmektedir. 2009 yılı itibarıyla AB-27’de 1.000 kilometrekareye düşen ortalama karayolu uzunluğu 416 km, otoyol uzunluğu 16 km iken, ülkemizde sırasıyla 83 km ve 3 km’dir. Asfalt kaplamalı köy yolları değerlendirmeye alınsa dahi, ülkemizin karayolu yoğunluğunun AB-27 ortalamasının yaklaşık yarısı düzeyinde kaldığı görülmektedir. </w:t>
      </w:r>
    </w:p>
    <w:p w:rsidR="00565FD5" w:rsidRPr="00256F5A" w:rsidRDefault="00565FD5" w:rsidP="00565FD5">
      <w:pPr>
        <w:spacing w:after="180"/>
        <w:ind w:firstLine="425"/>
        <w:rPr>
          <w:b/>
          <w:szCs w:val="18"/>
        </w:rPr>
      </w:pPr>
      <w:r w:rsidRPr="00256F5A">
        <w:rPr>
          <w:b/>
          <w:szCs w:val="18"/>
        </w:rPr>
        <w:t>Karayolu</w:t>
      </w:r>
    </w:p>
    <w:p w:rsidR="00565FD5" w:rsidRPr="00256F5A" w:rsidRDefault="00565FD5" w:rsidP="00565FD5">
      <w:pPr>
        <w:spacing w:after="180"/>
        <w:ind w:firstLine="425"/>
        <w:rPr>
          <w:rFonts w:cs="Tahoma"/>
          <w:szCs w:val="18"/>
        </w:rPr>
      </w:pPr>
      <w:r w:rsidRPr="00256F5A">
        <w:rPr>
          <w:rFonts w:cs="Tahoma"/>
          <w:szCs w:val="18"/>
        </w:rPr>
        <w:t xml:space="preserve">Ülkemizde özellikle yük taşımacılığının yüzde 88,5 düzeyinde karayoluyla gerçekleştiriliyor olması, karayollarındaki ağır taşıt trafiğini yükseltmekte ve bu durum trafik güvenliğini olumsuz yönde etkilemektedir. </w:t>
      </w:r>
    </w:p>
    <w:p w:rsidR="00565FD5" w:rsidRPr="00256F5A" w:rsidRDefault="00565FD5" w:rsidP="00565FD5">
      <w:pPr>
        <w:spacing w:after="180"/>
        <w:ind w:firstLine="425"/>
        <w:rPr>
          <w:rFonts w:cs="Tahoma"/>
          <w:szCs w:val="18"/>
        </w:rPr>
      </w:pPr>
      <w:r w:rsidRPr="00256F5A">
        <w:rPr>
          <w:rFonts w:cs="Tahoma"/>
          <w:szCs w:val="18"/>
        </w:rPr>
        <w:t xml:space="preserve">2012 yılı başı itibarıyla köy yolları hariç toplam 63.118 km uzunluğundaki devlet ve il yolları ağının 3.415 km’si stabilize, toprak ve geçit vermez yol </w:t>
      </w:r>
      <w:r w:rsidRPr="00256F5A">
        <w:rPr>
          <w:rFonts w:cs="Tahoma"/>
          <w:szCs w:val="18"/>
        </w:rPr>
        <w:lastRenderedPageBreak/>
        <w:t>niteliğindedir. 2011 yılı başında 2.225 km olan otoyol uzunluğu 2012 yılı başında 2.236 km’ye ulaşmıştır. Karayollarında ağır taşıt trafiğine uygun bitümlü sıcak karışım (BSK) kaplamalı devlet ve il yolu uzunluğu ise 11.535 km’dir.</w:t>
      </w:r>
    </w:p>
    <w:p w:rsidR="00565FD5" w:rsidRPr="00250B7F" w:rsidRDefault="00565FD5" w:rsidP="00565FD5">
      <w:pPr>
        <w:pStyle w:val="ResimYazs"/>
        <w:ind w:left="3540" w:hanging="3540"/>
        <w:rPr>
          <w:rFonts w:eastAsia="Arial Unicode MS" w:cs="Tahoma"/>
          <w:szCs w:val="16"/>
        </w:rPr>
      </w:pPr>
      <w:bookmarkStart w:id="1623" w:name="_Toc338606015"/>
      <w:bookmarkStart w:id="1624" w:name="_Toc338711790"/>
      <w:r>
        <w:t xml:space="preserve">TABLO IV: </w:t>
      </w:r>
      <w:fldSimple w:instr=" SEQ TABLO_IV: \* ARABIC ">
        <w:r>
          <w:rPr>
            <w:noProof/>
          </w:rPr>
          <w:t>20</w:t>
        </w:r>
      </w:fldSimple>
      <w:r w:rsidRPr="00250B7F">
        <w:rPr>
          <w:szCs w:val="16"/>
        </w:rPr>
        <w:t xml:space="preserve">- </w:t>
      </w:r>
      <w:r w:rsidRPr="00250B7F">
        <w:rPr>
          <w:rFonts w:cs="Tahoma"/>
          <w:szCs w:val="16"/>
        </w:rPr>
        <w:t>2012 Yılı Başı İtibarıyla</w:t>
      </w:r>
      <w:r w:rsidRPr="00250B7F" w:rsidDel="00E54C4E">
        <w:rPr>
          <w:szCs w:val="16"/>
        </w:rPr>
        <w:t xml:space="preserve"> </w:t>
      </w:r>
      <w:r w:rsidRPr="00250B7F">
        <w:rPr>
          <w:rFonts w:eastAsia="Arial Unicode MS" w:cs="Tahoma"/>
          <w:szCs w:val="16"/>
        </w:rPr>
        <w:t>Karayolu Ağının Durumu</w:t>
      </w:r>
      <w:bookmarkEnd w:id="1623"/>
      <w:bookmarkEnd w:id="1624"/>
      <w:r w:rsidRPr="00250B7F">
        <w:rPr>
          <w:rFonts w:eastAsia="Arial Unicode MS" w:cs="Tahoma"/>
          <w:szCs w:val="16"/>
        </w:rPr>
        <w:t xml:space="preserve"> </w:t>
      </w:r>
    </w:p>
    <w:tbl>
      <w:tblPr>
        <w:tblW w:w="5000" w:type="pct"/>
        <w:tblBorders>
          <w:top w:val="single" w:sz="2" w:space="0" w:color="auto"/>
          <w:left w:val="single" w:sz="2" w:space="0" w:color="auto"/>
          <w:bottom w:val="single" w:sz="2" w:space="0" w:color="auto"/>
          <w:right w:val="single" w:sz="2" w:space="0" w:color="auto"/>
        </w:tblBorders>
        <w:tblCellMar>
          <w:left w:w="0" w:type="dxa"/>
          <w:right w:w="0" w:type="dxa"/>
        </w:tblCellMar>
        <w:tblLook w:val="00A0"/>
      </w:tblPr>
      <w:tblGrid>
        <w:gridCol w:w="1434"/>
        <w:gridCol w:w="791"/>
        <w:gridCol w:w="827"/>
        <w:gridCol w:w="791"/>
        <w:gridCol w:w="846"/>
        <w:gridCol w:w="791"/>
        <w:gridCol w:w="791"/>
        <w:gridCol w:w="871"/>
      </w:tblGrid>
      <w:tr w:rsidR="00565FD5" w:rsidRPr="00256F5A" w:rsidTr="00AB62A3">
        <w:trPr>
          <w:trHeight w:val="20"/>
        </w:trPr>
        <w:tc>
          <w:tcPr>
            <w:tcW w:w="1003" w:type="pct"/>
            <w:tcBorders>
              <w:top w:val="nil"/>
              <w:left w:val="nil"/>
              <w:bottom w:val="single" w:sz="4" w:space="0" w:color="auto"/>
              <w:right w:val="nil"/>
            </w:tcBorders>
            <w:vAlign w:val="center"/>
          </w:tcPr>
          <w:p w:rsidR="00565FD5" w:rsidRPr="00256F5A" w:rsidRDefault="00565FD5" w:rsidP="00AB62A3">
            <w:pPr>
              <w:rPr>
                <w:rFonts w:cs="Tahoma"/>
                <w:b/>
                <w:bCs/>
                <w:sz w:val="16"/>
                <w:szCs w:val="16"/>
              </w:rPr>
            </w:pPr>
          </w:p>
        </w:tc>
        <w:tc>
          <w:tcPr>
            <w:tcW w:w="554" w:type="pct"/>
            <w:tcBorders>
              <w:top w:val="nil"/>
              <w:left w:val="nil"/>
              <w:bottom w:val="single" w:sz="4" w:space="0" w:color="auto"/>
              <w:right w:val="nil"/>
            </w:tcBorders>
            <w:vAlign w:val="center"/>
          </w:tcPr>
          <w:p w:rsidR="00565FD5" w:rsidRPr="00256F5A" w:rsidRDefault="00565FD5" w:rsidP="00AB62A3">
            <w:pPr>
              <w:jc w:val="center"/>
              <w:rPr>
                <w:rFonts w:cs="Tahoma"/>
                <w:b/>
                <w:bCs/>
                <w:sz w:val="16"/>
                <w:szCs w:val="16"/>
              </w:rPr>
            </w:pPr>
          </w:p>
        </w:tc>
        <w:tc>
          <w:tcPr>
            <w:tcW w:w="579" w:type="pct"/>
            <w:tcBorders>
              <w:top w:val="nil"/>
              <w:left w:val="nil"/>
              <w:bottom w:val="single" w:sz="4" w:space="0" w:color="auto"/>
              <w:right w:val="nil"/>
            </w:tcBorders>
            <w:vAlign w:val="center"/>
          </w:tcPr>
          <w:p w:rsidR="00565FD5" w:rsidRPr="00256F5A" w:rsidRDefault="00565FD5" w:rsidP="00AB62A3">
            <w:pPr>
              <w:jc w:val="center"/>
              <w:rPr>
                <w:rFonts w:cs="Tahoma"/>
                <w:b/>
                <w:bCs/>
                <w:sz w:val="16"/>
                <w:szCs w:val="16"/>
              </w:rPr>
            </w:pPr>
          </w:p>
        </w:tc>
        <w:tc>
          <w:tcPr>
            <w:tcW w:w="554" w:type="pct"/>
            <w:tcBorders>
              <w:top w:val="nil"/>
              <w:left w:val="nil"/>
              <w:bottom w:val="single" w:sz="4" w:space="0" w:color="auto"/>
              <w:right w:val="nil"/>
            </w:tcBorders>
            <w:vAlign w:val="center"/>
          </w:tcPr>
          <w:p w:rsidR="00565FD5" w:rsidRPr="00256F5A" w:rsidRDefault="00565FD5" w:rsidP="00AB62A3">
            <w:pPr>
              <w:jc w:val="center"/>
              <w:rPr>
                <w:rFonts w:cs="Tahoma"/>
                <w:b/>
                <w:bCs/>
                <w:sz w:val="16"/>
                <w:szCs w:val="16"/>
              </w:rPr>
            </w:pPr>
          </w:p>
        </w:tc>
        <w:tc>
          <w:tcPr>
            <w:tcW w:w="592" w:type="pct"/>
            <w:tcBorders>
              <w:top w:val="nil"/>
              <w:left w:val="nil"/>
              <w:bottom w:val="single" w:sz="4" w:space="0" w:color="auto"/>
              <w:right w:val="nil"/>
            </w:tcBorders>
            <w:vAlign w:val="center"/>
          </w:tcPr>
          <w:p w:rsidR="00565FD5" w:rsidRPr="00256F5A" w:rsidRDefault="00565FD5" w:rsidP="00AB62A3">
            <w:pPr>
              <w:jc w:val="center"/>
              <w:rPr>
                <w:rFonts w:cs="Tahoma"/>
                <w:b/>
                <w:bCs/>
                <w:sz w:val="16"/>
                <w:szCs w:val="16"/>
              </w:rPr>
            </w:pPr>
          </w:p>
        </w:tc>
        <w:tc>
          <w:tcPr>
            <w:tcW w:w="554" w:type="pct"/>
            <w:tcBorders>
              <w:top w:val="nil"/>
              <w:left w:val="nil"/>
              <w:bottom w:val="single" w:sz="4" w:space="0" w:color="auto"/>
              <w:right w:val="nil"/>
            </w:tcBorders>
            <w:vAlign w:val="center"/>
          </w:tcPr>
          <w:p w:rsidR="00565FD5" w:rsidRPr="00256F5A" w:rsidRDefault="00565FD5" w:rsidP="00AB62A3">
            <w:pPr>
              <w:jc w:val="center"/>
              <w:rPr>
                <w:rFonts w:cs="Tahoma"/>
                <w:b/>
                <w:bCs/>
                <w:sz w:val="16"/>
                <w:szCs w:val="16"/>
              </w:rPr>
            </w:pPr>
          </w:p>
        </w:tc>
        <w:tc>
          <w:tcPr>
            <w:tcW w:w="554" w:type="pct"/>
            <w:tcBorders>
              <w:top w:val="nil"/>
              <w:left w:val="nil"/>
              <w:bottom w:val="single" w:sz="4" w:space="0" w:color="auto"/>
              <w:right w:val="nil"/>
            </w:tcBorders>
            <w:vAlign w:val="center"/>
          </w:tcPr>
          <w:p w:rsidR="00565FD5" w:rsidRPr="00256F5A" w:rsidRDefault="00565FD5" w:rsidP="00AB62A3">
            <w:pPr>
              <w:jc w:val="center"/>
              <w:rPr>
                <w:rFonts w:cs="Tahoma"/>
                <w:b/>
                <w:bCs/>
                <w:sz w:val="16"/>
                <w:szCs w:val="16"/>
              </w:rPr>
            </w:pPr>
          </w:p>
        </w:tc>
        <w:tc>
          <w:tcPr>
            <w:tcW w:w="610" w:type="pct"/>
            <w:tcBorders>
              <w:top w:val="nil"/>
              <w:left w:val="nil"/>
              <w:bottom w:val="single" w:sz="4" w:space="0" w:color="auto"/>
              <w:right w:val="nil"/>
            </w:tcBorders>
            <w:vAlign w:val="center"/>
          </w:tcPr>
          <w:p w:rsidR="00565FD5" w:rsidRPr="00256F5A" w:rsidRDefault="00565FD5" w:rsidP="00AB62A3">
            <w:pPr>
              <w:jc w:val="center"/>
              <w:rPr>
                <w:rFonts w:cs="Tahoma"/>
                <w:bCs/>
                <w:sz w:val="16"/>
                <w:szCs w:val="16"/>
              </w:rPr>
            </w:pPr>
            <w:r w:rsidRPr="00256F5A">
              <w:rPr>
                <w:rFonts w:cs="Tahoma"/>
                <w:bCs/>
                <w:sz w:val="16"/>
                <w:szCs w:val="16"/>
              </w:rPr>
              <w:t xml:space="preserve">      (Km)</w:t>
            </w:r>
          </w:p>
        </w:tc>
      </w:tr>
      <w:tr w:rsidR="00565FD5" w:rsidRPr="00256F5A" w:rsidTr="00AB62A3">
        <w:trPr>
          <w:trHeight w:val="20"/>
        </w:trPr>
        <w:tc>
          <w:tcPr>
            <w:tcW w:w="1003" w:type="pct"/>
            <w:tcBorders>
              <w:top w:val="single" w:sz="4" w:space="0" w:color="auto"/>
              <w:left w:val="single" w:sz="4" w:space="0" w:color="auto"/>
              <w:bottom w:val="single" w:sz="4" w:space="0" w:color="auto"/>
              <w:right w:val="none" w:sz="0" w:space="0" w:color="000000"/>
            </w:tcBorders>
            <w:vAlign w:val="center"/>
          </w:tcPr>
          <w:p w:rsidR="00565FD5" w:rsidRPr="00256F5A" w:rsidRDefault="00565FD5" w:rsidP="00AB62A3">
            <w:pPr>
              <w:rPr>
                <w:rFonts w:eastAsia="Arial Unicode MS" w:cs="Tahoma"/>
                <w:b/>
                <w:bCs/>
                <w:sz w:val="16"/>
                <w:szCs w:val="16"/>
              </w:rPr>
            </w:pPr>
            <w:r w:rsidRPr="00256F5A">
              <w:rPr>
                <w:rFonts w:cs="Tahoma"/>
                <w:b/>
                <w:bCs/>
                <w:sz w:val="16"/>
                <w:szCs w:val="16"/>
              </w:rPr>
              <w:t xml:space="preserve">  Yol Sınıfı </w:t>
            </w:r>
          </w:p>
        </w:tc>
        <w:tc>
          <w:tcPr>
            <w:tcW w:w="554" w:type="pct"/>
            <w:tcBorders>
              <w:top w:val="single" w:sz="4" w:space="0" w:color="auto"/>
              <w:left w:val="none" w:sz="0" w:space="0" w:color="000000"/>
              <w:bottom w:val="single" w:sz="4" w:space="0" w:color="auto"/>
              <w:right w:val="none" w:sz="0" w:space="0" w:color="000000"/>
            </w:tcBorders>
            <w:vAlign w:val="center"/>
          </w:tcPr>
          <w:p w:rsidR="00565FD5" w:rsidRPr="00256F5A" w:rsidRDefault="00565FD5" w:rsidP="00AB62A3">
            <w:pPr>
              <w:jc w:val="right"/>
              <w:rPr>
                <w:rFonts w:eastAsia="Arial Unicode MS" w:cs="Tahoma"/>
                <w:b/>
                <w:bCs/>
                <w:sz w:val="16"/>
                <w:szCs w:val="16"/>
              </w:rPr>
            </w:pPr>
            <w:r w:rsidRPr="00256F5A">
              <w:rPr>
                <w:rFonts w:cs="Tahoma"/>
                <w:b/>
                <w:bCs/>
                <w:sz w:val="16"/>
                <w:szCs w:val="16"/>
              </w:rPr>
              <w:t>BSK</w:t>
            </w:r>
          </w:p>
        </w:tc>
        <w:tc>
          <w:tcPr>
            <w:tcW w:w="579" w:type="pct"/>
            <w:tcBorders>
              <w:top w:val="single" w:sz="4" w:space="0" w:color="auto"/>
              <w:left w:val="none" w:sz="0" w:space="0" w:color="000000"/>
              <w:bottom w:val="single" w:sz="4" w:space="0" w:color="auto"/>
              <w:right w:val="none" w:sz="0" w:space="0" w:color="000000"/>
            </w:tcBorders>
            <w:vAlign w:val="center"/>
          </w:tcPr>
          <w:p w:rsidR="00565FD5" w:rsidRPr="00256F5A" w:rsidRDefault="00565FD5" w:rsidP="00AB62A3">
            <w:pPr>
              <w:jc w:val="right"/>
              <w:rPr>
                <w:rFonts w:eastAsia="Arial Unicode MS" w:cs="Tahoma"/>
                <w:b/>
                <w:bCs/>
                <w:sz w:val="16"/>
                <w:szCs w:val="16"/>
              </w:rPr>
            </w:pPr>
            <w:r w:rsidRPr="00256F5A">
              <w:rPr>
                <w:rFonts w:cs="Tahoma"/>
                <w:b/>
                <w:bCs/>
                <w:sz w:val="16"/>
                <w:szCs w:val="16"/>
              </w:rPr>
              <w:t>Sathi Kaplama</w:t>
            </w:r>
          </w:p>
        </w:tc>
        <w:tc>
          <w:tcPr>
            <w:tcW w:w="554" w:type="pct"/>
            <w:tcBorders>
              <w:top w:val="single" w:sz="4" w:space="0" w:color="auto"/>
              <w:left w:val="none" w:sz="0" w:space="0" w:color="000000"/>
              <w:bottom w:val="single" w:sz="4" w:space="0" w:color="auto"/>
              <w:right w:val="none" w:sz="0" w:space="0" w:color="000000"/>
            </w:tcBorders>
            <w:vAlign w:val="center"/>
          </w:tcPr>
          <w:p w:rsidR="00565FD5" w:rsidRPr="00256F5A" w:rsidRDefault="00565FD5" w:rsidP="00AB62A3">
            <w:pPr>
              <w:jc w:val="right"/>
              <w:rPr>
                <w:rFonts w:eastAsia="Arial Unicode MS" w:cs="Tahoma"/>
                <w:b/>
                <w:bCs/>
                <w:sz w:val="16"/>
                <w:szCs w:val="16"/>
              </w:rPr>
            </w:pPr>
            <w:r w:rsidRPr="00256F5A">
              <w:rPr>
                <w:rFonts w:cs="Tahoma"/>
                <w:b/>
                <w:bCs/>
                <w:sz w:val="16"/>
                <w:szCs w:val="16"/>
              </w:rPr>
              <w:t>Parke</w:t>
            </w:r>
          </w:p>
        </w:tc>
        <w:tc>
          <w:tcPr>
            <w:tcW w:w="592" w:type="pct"/>
            <w:tcBorders>
              <w:top w:val="single" w:sz="4" w:space="0" w:color="auto"/>
              <w:left w:val="none" w:sz="0" w:space="0" w:color="000000"/>
              <w:bottom w:val="single" w:sz="4" w:space="0" w:color="auto"/>
              <w:right w:val="none" w:sz="0" w:space="0" w:color="000000"/>
            </w:tcBorders>
            <w:vAlign w:val="center"/>
          </w:tcPr>
          <w:p w:rsidR="00565FD5" w:rsidRPr="00256F5A" w:rsidRDefault="00565FD5" w:rsidP="00AB62A3">
            <w:pPr>
              <w:jc w:val="right"/>
              <w:rPr>
                <w:rFonts w:eastAsia="Arial Unicode MS" w:cs="Tahoma"/>
                <w:b/>
                <w:bCs/>
                <w:sz w:val="16"/>
                <w:szCs w:val="16"/>
              </w:rPr>
            </w:pPr>
            <w:r w:rsidRPr="00256F5A">
              <w:rPr>
                <w:rFonts w:cs="Tahoma"/>
                <w:b/>
                <w:bCs/>
                <w:sz w:val="16"/>
                <w:szCs w:val="16"/>
              </w:rPr>
              <w:t>Stabilize</w:t>
            </w:r>
          </w:p>
        </w:tc>
        <w:tc>
          <w:tcPr>
            <w:tcW w:w="554" w:type="pct"/>
            <w:tcBorders>
              <w:top w:val="single" w:sz="4" w:space="0" w:color="auto"/>
              <w:left w:val="none" w:sz="0" w:space="0" w:color="000000"/>
              <w:bottom w:val="single" w:sz="4" w:space="0" w:color="auto"/>
              <w:right w:val="none" w:sz="0" w:space="0" w:color="000000"/>
            </w:tcBorders>
            <w:vAlign w:val="center"/>
          </w:tcPr>
          <w:p w:rsidR="00565FD5" w:rsidRPr="00256F5A" w:rsidRDefault="00565FD5" w:rsidP="00AB62A3">
            <w:pPr>
              <w:jc w:val="right"/>
              <w:rPr>
                <w:rFonts w:eastAsia="Arial Unicode MS" w:cs="Tahoma"/>
                <w:b/>
                <w:bCs/>
                <w:sz w:val="16"/>
                <w:szCs w:val="16"/>
              </w:rPr>
            </w:pPr>
            <w:r w:rsidRPr="00256F5A">
              <w:rPr>
                <w:rFonts w:cs="Tahoma"/>
                <w:b/>
                <w:bCs/>
                <w:sz w:val="16"/>
                <w:szCs w:val="16"/>
              </w:rPr>
              <w:t>Toprak</w:t>
            </w:r>
          </w:p>
        </w:tc>
        <w:tc>
          <w:tcPr>
            <w:tcW w:w="554" w:type="pct"/>
            <w:tcBorders>
              <w:top w:val="single" w:sz="4" w:space="0" w:color="auto"/>
              <w:left w:val="none" w:sz="0" w:space="0" w:color="000000"/>
              <w:bottom w:val="single" w:sz="4" w:space="0" w:color="auto"/>
              <w:right w:val="none" w:sz="0" w:space="0" w:color="000000"/>
            </w:tcBorders>
            <w:vAlign w:val="center"/>
          </w:tcPr>
          <w:p w:rsidR="00565FD5" w:rsidRPr="00256F5A" w:rsidRDefault="00565FD5" w:rsidP="00AB62A3">
            <w:pPr>
              <w:jc w:val="right"/>
              <w:rPr>
                <w:rFonts w:eastAsia="Arial Unicode MS" w:cs="Tahoma"/>
                <w:b/>
                <w:bCs/>
                <w:sz w:val="16"/>
                <w:szCs w:val="16"/>
              </w:rPr>
            </w:pPr>
            <w:r w:rsidRPr="00256F5A">
              <w:rPr>
                <w:rFonts w:cs="Tahoma"/>
                <w:b/>
                <w:bCs/>
                <w:sz w:val="16"/>
                <w:szCs w:val="16"/>
              </w:rPr>
              <w:t>Geçit Vermez</w:t>
            </w:r>
          </w:p>
        </w:tc>
        <w:tc>
          <w:tcPr>
            <w:tcW w:w="610" w:type="pct"/>
            <w:tcBorders>
              <w:top w:val="single" w:sz="4" w:space="0" w:color="auto"/>
              <w:left w:val="none" w:sz="0" w:space="0" w:color="000000"/>
              <w:bottom w:val="single" w:sz="4" w:space="0" w:color="auto"/>
              <w:right w:val="single" w:sz="4" w:space="0" w:color="auto"/>
            </w:tcBorders>
            <w:vAlign w:val="center"/>
          </w:tcPr>
          <w:p w:rsidR="00565FD5" w:rsidRPr="00256F5A" w:rsidRDefault="00565FD5" w:rsidP="00AB62A3">
            <w:pPr>
              <w:ind w:left="113" w:right="113"/>
              <w:jc w:val="right"/>
              <w:rPr>
                <w:rFonts w:eastAsia="Arial Unicode MS" w:cs="Tahoma"/>
                <w:b/>
                <w:bCs/>
                <w:sz w:val="16"/>
                <w:szCs w:val="16"/>
              </w:rPr>
            </w:pPr>
            <w:r w:rsidRPr="00256F5A">
              <w:rPr>
                <w:rFonts w:cs="Tahoma"/>
                <w:b/>
                <w:bCs/>
                <w:sz w:val="16"/>
                <w:szCs w:val="16"/>
              </w:rPr>
              <w:t>Toplam</w:t>
            </w:r>
          </w:p>
        </w:tc>
      </w:tr>
      <w:tr w:rsidR="00565FD5" w:rsidRPr="00256F5A" w:rsidTr="00AB62A3">
        <w:trPr>
          <w:trHeight w:val="227"/>
        </w:trPr>
        <w:tc>
          <w:tcPr>
            <w:tcW w:w="1003" w:type="pct"/>
            <w:tcBorders>
              <w:top w:val="single" w:sz="4" w:space="0" w:color="auto"/>
              <w:bottom w:val="none" w:sz="0" w:space="0" w:color="000000"/>
              <w:right w:val="none" w:sz="0" w:space="0" w:color="000000"/>
            </w:tcBorders>
            <w:vAlign w:val="center"/>
          </w:tcPr>
          <w:p w:rsidR="00565FD5" w:rsidRPr="00256F5A" w:rsidRDefault="00565FD5" w:rsidP="00AB62A3">
            <w:pPr>
              <w:ind w:firstLine="95"/>
              <w:rPr>
                <w:rFonts w:eastAsia="Arial Unicode MS" w:cs="Tahoma"/>
                <w:bCs/>
                <w:sz w:val="16"/>
                <w:szCs w:val="16"/>
              </w:rPr>
            </w:pPr>
            <w:r w:rsidRPr="00256F5A">
              <w:rPr>
                <w:rFonts w:cs="Tahoma"/>
                <w:bCs/>
                <w:sz w:val="16"/>
                <w:szCs w:val="16"/>
              </w:rPr>
              <w:t>Otoyollar</w:t>
            </w:r>
          </w:p>
        </w:tc>
        <w:tc>
          <w:tcPr>
            <w:tcW w:w="554" w:type="pct"/>
            <w:tcBorders>
              <w:top w:val="single" w:sz="4" w:space="0" w:color="auto"/>
              <w:left w:val="none" w:sz="0" w:space="0" w:color="000000"/>
              <w:bottom w:val="none" w:sz="0" w:space="0" w:color="000000"/>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cs="Tahoma"/>
                <w:sz w:val="16"/>
                <w:szCs w:val="16"/>
              </w:rPr>
              <w:t>2 236</w:t>
            </w:r>
          </w:p>
        </w:tc>
        <w:tc>
          <w:tcPr>
            <w:tcW w:w="579" w:type="pct"/>
            <w:tcBorders>
              <w:top w:val="single" w:sz="4" w:space="0" w:color="auto"/>
              <w:left w:val="none" w:sz="0" w:space="0" w:color="000000"/>
              <w:bottom w:val="none" w:sz="0" w:space="0" w:color="000000"/>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cs="Tahoma"/>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cs="Tahoma"/>
                <w:sz w:val="16"/>
                <w:szCs w:val="16"/>
              </w:rPr>
              <w:t>-</w:t>
            </w:r>
          </w:p>
        </w:tc>
        <w:tc>
          <w:tcPr>
            <w:tcW w:w="592" w:type="pct"/>
            <w:tcBorders>
              <w:top w:val="single" w:sz="4" w:space="0" w:color="auto"/>
              <w:left w:val="none" w:sz="0" w:space="0" w:color="000000"/>
              <w:bottom w:val="none" w:sz="0" w:space="0" w:color="000000"/>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cs="Tahoma"/>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cs="Tahoma"/>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cs="Tahoma"/>
                <w:sz w:val="16"/>
                <w:szCs w:val="16"/>
              </w:rPr>
              <w:t>-</w:t>
            </w:r>
          </w:p>
        </w:tc>
        <w:tc>
          <w:tcPr>
            <w:tcW w:w="610" w:type="pct"/>
            <w:tcBorders>
              <w:top w:val="single" w:sz="4" w:space="0" w:color="auto"/>
              <w:left w:val="none" w:sz="0" w:space="0" w:color="000000"/>
              <w:bottom w:val="none" w:sz="0" w:space="0" w:color="000000"/>
            </w:tcBorders>
            <w:vAlign w:val="center"/>
          </w:tcPr>
          <w:p w:rsidR="00565FD5" w:rsidRPr="00256F5A" w:rsidRDefault="00565FD5" w:rsidP="00AB62A3">
            <w:pPr>
              <w:ind w:left="113" w:right="113"/>
              <w:jc w:val="right"/>
              <w:rPr>
                <w:rFonts w:eastAsia="Arial Unicode MS" w:cs="Tahoma"/>
                <w:sz w:val="16"/>
                <w:szCs w:val="16"/>
              </w:rPr>
            </w:pPr>
            <w:r w:rsidRPr="00256F5A">
              <w:rPr>
                <w:rFonts w:cs="Tahoma"/>
                <w:sz w:val="16"/>
                <w:szCs w:val="16"/>
              </w:rPr>
              <w:t>2 236</w:t>
            </w:r>
          </w:p>
        </w:tc>
      </w:tr>
      <w:tr w:rsidR="00565FD5" w:rsidRPr="00256F5A" w:rsidTr="00AB62A3">
        <w:trPr>
          <w:trHeight w:val="227"/>
        </w:trPr>
        <w:tc>
          <w:tcPr>
            <w:tcW w:w="1003" w:type="pct"/>
            <w:tcBorders>
              <w:top w:val="none" w:sz="0" w:space="0" w:color="000000"/>
              <w:bottom w:val="none" w:sz="0" w:space="0" w:color="000000"/>
              <w:right w:val="none" w:sz="0" w:space="0" w:color="000000"/>
            </w:tcBorders>
            <w:vAlign w:val="center"/>
          </w:tcPr>
          <w:p w:rsidR="00565FD5" w:rsidRPr="00256F5A" w:rsidRDefault="00565FD5" w:rsidP="00AB62A3">
            <w:pPr>
              <w:ind w:firstLine="95"/>
              <w:rPr>
                <w:rFonts w:eastAsia="Arial Unicode MS" w:cs="Tahoma"/>
                <w:bCs/>
                <w:sz w:val="16"/>
                <w:szCs w:val="16"/>
              </w:rPr>
            </w:pPr>
            <w:r w:rsidRPr="00256F5A">
              <w:rPr>
                <w:rFonts w:cs="Tahoma"/>
                <w:bCs/>
                <w:sz w:val="16"/>
                <w:szCs w:val="16"/>
              </w:rPr>
              <w:t xml:space="preserve">Devlet Yolları </w:t>
            </w:r>
          </w:p>
        </w:tc>
        <w:tc>
          <w:tcPr>
            <w:tcW w:w="554"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cs="Tahoma"/>
                <w:sz w:val="16"/>
                <w:szCs w:val="16"/>
              </w:rPr>
              <w:t>9 859</w:t>
            </w:r>
          </w:p>
        </w:tc>
        <w:tc>
          <w:tcPr>
            <w:tcW w:w="579"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cs="Tahoma"/>
                <w:sz w:val="16"/>
                <w:szCs w:val="16"/>
              </w:rPr>
              <w:t>21 047</w:t>
            </w:r>
          </w:p>
        </w:tc>
        <w:tc>
          <w:tcPr>
            <w:tcW w:w="554"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eastAsia="Arial Unicode MS" w:cs="Tahoma"/>
                <w:sz w:val="16"/>
                <w:szCs w:val="16"/>
              </w:rPr>
              <w:t>74</w:t>
            </w:r>
          </w:p>
        </w:tc>
        <w:tc>
          <w:tcPr>
            <w:tcW w:w="592"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cs="Tahoma"/>
                <w:sz w:val="16"/>
                <w:szCs w:val="16"/>
              </w:rPr>
              <w:t>114</w:t>
            </w:r>
          </w:p>
        </w:tc>
        <w:tc>
          <w:tcPr>
            <w:tcW w:w="554"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eastAsia="Arial Unicode MS" w:cs="Tahoma"/>
                <w:sz w:val="16"/>
                <w:szCs w:val="16"/>
              </w:rPr>
              <w:t>29</w:t>
            </w:r>
          </w:p>
        </w:tc>
        <w:tc>
          <w:tcPr>
            <w:tcW w:w="554"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cs="Tahoma"/>
                <w:sz w:val="16"/>
                <w:szCs w:val="16"/>
              </w:rPr>
              <w:t>293</w:t>
            </w:r>
          </w:p>
        </w:tc>
        <w:tc>
          <w:tcPr>
            <w:tcW w:w="610" w:type="pct"/>
            <w:tcBorders>
              <w:top w:val="none" w:sz="0" w:space="0" w:color="000000"/>
              <w:left w:val="none" w:sz="0" w:space="0" w:color="000000"/>
              <w:bottom w:val="none" w:sz="0" w:space="0" w:color="000000"/>
            </w:tcBorders>
            <w:vAlign w:val="center"/>
          </w:tcPr>
          <w:p w:rsidR="00565FD5" w:rsidRPr="00256F5A" w:rsidRDefault="00565FD5" w:rsidP="00AB62A3">
            <w:pPr>
              <w:ind w:left="113" w:right="113"/>
              <w:jc w:val="right"/>
              <w:rPr>
                <w:rFonts w:eastAsia="Arial Unicode MS" w:cs="Tahoma"/>
                <w:sz w:val="16"/>
                <w:szCs w:val="16"/>
              </w:rPr>
            </w:pPr>
            <w:r w:rsidRPr="00256F5A">
              <w:rPr>
                <w:rFonts w:cs="Tahoma"/>
                <w:sz w:val="16"/>
                <w:szCs w:val="16"/>
              </w:rPr>
              <w:t>31 416</w:t>
            </w:r>
          </w:p>
        </w:tc>
      </w:tr>
      <w:tr w:rsidR="00565FD5" w:rsidRPr="00256F5A" w:rsidTr="00AB62A3">
        <w:trPr>
          <w:trHeight w:val="227"/>
        </w:trPr>
        <w:tc>
          <w:tcPr>
            <w:tcW w:w="1003" w:type="pct"/>
            <w:tcBorders>
              <w:top w:val="none" w:sz="0" w:space="0" w:color="000000"/>
              <w:bottom w:val="none" w:sz="0" w:space="0" w:color="000000"/>
              <w:right w:val="none" w:sz="0" w:space="0" w:color="000000"/>
            </w:tcBorders>
            <w:vAlign w:val="center"/>
          </w:tcPr>
          <w:p w:rsidR="00565FD5" w:rsidRPr="00256F5A" w:rsidRDefault="00565FD5" w:rsidP="00AB62A3">
            <w:pPr>
              <w:ind w:firstLine="95"/>
              <w:rPr>
                <w:rFonts w:eastAsia="Arial Unicode MS" w:cs="Tahoma"/>
                <w:bCs/>
                <w:sz w:val="16"/>
                <w:szCs w:val="16"/>
              </w:rPr>
            </w:pPr>
            <w:r w:rsidRPr="00256F5A">
              <w:rPr>
                <w:rFonts w:cs="Tahoma"/>
                <w:bCs/>
                <w:sz w:val="16"/>
                <w:szCs w:val="16"/>
              </w:rPr>
              <w:t>İl Yolları</w:t>
            </w:r>
          </w:p>
        </w:tc>
        <w:tc>
          <w:tcPr>
            <w:tcW w:w="554"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cs="Tahoma"/>
                <w:sz w:val="16"/>
                <w:szCs w:val="16"/>
              </w:rPr>
              <w:t>1 676</w:t>
            </w:r>
          </w:p>
        </w:tc>
        <w:tc>
          <w:tcPr>
            <w:tcW w:w="579"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cs="Tahoma"/>
                <w:sz w:val="16"/>
                <w:szCs w:val="16"/>
              </w:rPr>
              <w:t>26 912</w:t>
            </w:r>
          </w:p>
        </w:tc>
        <w:tc>
          <w:tcPr>
            <w:tcW w:w="554"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cs="Tahoma"/>
                <w:sz w:val="16"/>
                <w:szCs w:val="16"/>
              </w:rPr>
              <w:t>135</w:t>
            </w:r>
          </w:p>
        </w:tc>
        <w:tc>
          <w:tcPr>
            <w:tcW w:w="592"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cs="Tahoma"/>
                <w:sz w:val="16"/>
                <w:szCs w:val="16"/>
              </w:rPr>
              <w:t>974</w:t>
            </w:r>
          </w:p>
        </w:tc>
        <w:tc>
          <w:tcPr>
            <w:tcW w:w="554"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eastAsia="Arial Unicode MS" w:cs="Tahoma"/>
                <w:sz w:val="16"/>
                <w:szCs w:val="16"/>
              </w:rPr>
              <w:t>677</w:t>
            </w:r>
          </w:p>
        </w:tc>
        <w:tc>
          <w:tcPr>
            <w:tcW w:w="554" w:type="pct"/>
            <w:tcBorders>
              <w:top w:val="none" w:sz="0" w:space="0" w:color="000000"/>
              <w:left w:val="none" w:sz="0" w:space="0" w:color="000000"/>
              <w:bottom w:val="none" w:sz="0" w:space="0" w:color="000000"/>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cs="Tahoma"/>
                <w:sz w:val="16"/>
                <w:szCs w:val="16"/>
              </w:rPr>
              <w:t>1 328</w:t>
            </w:r>
          </w:p>
        </w:tc>
        <w:tc>
          <w:tcPr>
            <w:tcW w:w="610" w:type="pct"/>
            <w:tcBorders>
              <w:top w:val="none" w:sz="0" w:space="0" w:color="000000"/>
              <w:left w:val="none" w:sz="0" w:space="0" w:color="000000"/>
              <w:bottom w:val="none" w:sz="0" w:space="0" w:color="000000"/>
            </w:tcBorders>
            <w:vAlign w:val="center"/>
          </w:tcPr>
          <w:p w:rsidR="00565FD5" w:rsidRPr="00256F5A" w:rsidRDefault="00565FD5" w:rsidP="00AB62A3">
            <w:pPr>
              <w:ind w:left="113" w:right="113"/>
              <w:jc w:val="right"/>
              <w:rPr>
                <w:rFonts w:eastAsia="Arial Unicode MS" w:cs="Tahoma"/>
                <w:sz w:val="16"/>
                <w:szCs w:val="16"/>
              </w:rPr>
            </w:pPr>
            <w:r w:rsidRPr="00256F5A">
              <w:rPr>
                <w:rFonts w:cs="Tahoma"/>
                <w:sz w:val="16"/>
                <w:szCs w:val="16"/>
              </w:rPr>
              <w:t>31 702</w:t>
            </w:r>
          </w:p>
        </w:tc>
      </w:tr>
      <w:tr w:rsidR="00565FD5" w:rsidRPr="00256F5A" w:rsidTr="00AB62A3">
        <w:trPr>
          <w:trHeight w:val="227"/>
        </w:trPr>
        <w:tc>
          <w:tcPr>
            <w:tcW w:w="1003" w:type="pct"/>
            <w:tcBorders>
              <w:top w:val="none" w:sz="0" w:space="0" w:color="000000"/>
              <w:bottom w:val="single" w:sz="2" w:space="0" w:color="auto"/>
              <w:right w:val="none" w:sz="0" w:space="0" w:color="000000"/>
            </w:tcBorders>
            <w:vAlign w:val="center"/>
          </w:tcPr>
          <w:p w:rsidR="00565FD5" w:rsidRPr="00256F5A" w:rsidRDefault="00565FD5" w:rsidP="00AB62A3">
            <w:pPr>
              <w:ind w:firstLine="95"/>
              <w:rPr>
                <w:rFonts w:eastAsia="Arial Unicode MS" w:cs="Tahoma"/>
                <w:bCs/>
                <w:sz w:val="16"/>
                <w:szCs w:val="16"/>
              </w:rPr>
            </w:pPr>
            <w:r w:rsidRPr="00256F5A">
              <w:rPr>
                <w:rFonts w:cs="Tahoma"/>
                <w:bCs/>
                <w:sz w:val="16"/>
                <w:szCs w:val="16"/>
              </w:rPr>
              <w:t xml:space="preserve">Toplam </w:t>
            </w:r>
          </w:p>
        </w:tc>
        <w:tc>
          <w:tcPr>
            <w:tcW w:w="554" w:type="pct"/>
            <w:tcBorders>
              <w:top w:val="none" w:sz="0" w:space="0" w:color="000000"/>
              <w:left w:val="none" w:sz="0" w:space="0" w:color="000000"/>
              <w:bottom w:val="single" w:sz="2" w:space="0" w:color="auto"/>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cs="Tahoma"/>
                <w:sz w:val="16"/>
                <w:szCs w:val="16"/>
              </w:rPr>
              <w:t>13 771</w:t>
            </w:r>
          </w:p>
        </w:tc>
        <w:tc>
          <w:tcPr>
            <w:tcW w:w="579" w:type="pct"/>
            <w:tcBorders>
              <w:top w:val="none" w:sz="0" w:space="0" w:color="000000"/>
              <w:left w:val="none" w:sz="0" w:space="0" w:color="000000"/>
              <w:bottom w:val="single" w:sz="2" w:space="0" w:color="auto"/>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cs="Tahoma"/>
                <w:sz w:val="16"/>
                <w:szCs w:val="16"/>
              </w:rPr>
              <w:t>47 959</w:t>
            </w:r>
          </w:p>
        </w:tc>
        <w:tc>
          <w:tcPr>
            <w:tcW w:w="554" w:type="pct"/>
            <w:tcBorders>
              <w:top w:val="none" w:sz="0" w:space="0" w:color="000000"/>
              <w:left w:val="none" w:sz="0" w:space="0" w:color="000000"/>
              <w:bottom w:val="single" w:sz="2" w:space="0" w:color="auto"/>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cs="Tahoma"/>
                <w:sz w:val="16"/>
                <w:szCs w:val="16"/>
              </w:rPr>
              <w:t>209</w:t>
            </w:r>
          </w:p>
        </w:tc>
        <w:tc>
          <w:tcPr>
            <w:tcW w:w="592" w:type="pct"/>
            <w:tcBorders>
              <w:top w:val="none" w:sz="0" w:space="0" w:color="000000"/>
              <w:left w:val="none" w:sz="0" w:space="0" w:color="000000"/>
              <w:bottom w:val="single" w:sz="2" w:space="0" w:color="auto"/>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cs="Tahoma"/>
                <w:sz w:val="16"/>
                <w:szCs w:val="16"/>
              </w:rPr>
              <w:t>1 088</w:t>
            </w:r>
          </w:p>
        </w:tc>
        <w:tc>
          <w:tcPr>
            <w:tcW w:w="554" w:type="pct"/>
            <w:tcBorders>
              <w:top w:val="none" w:sz="0" w:space="0" w:color="000000"/>
              <w:left w:val="none" w:sz="0" w:space="0" w:color="000000"/>
              <w:bottom w:val="single" w:sz="2" w:space="0" w:color="auto"/>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eastAsia="Arial Unicode MS" w:cs="Tahoma"/>
                <w:sz w:val="16"/>
                <w:szCs w:val="16"/>
              </w:rPr>
              <w:t>706</w:t>
            </w:r>
          </w:p>
        </w:tc>
        <w:tc>
          <w:tcPr>
            <w:tcW w:w="554" w:type="pct"/>
            <w:tcBorders>
              <w:top w:val="none" w:sz="0" w:space="0" w:color="000000"/>
              <w:left w:val="none" w:sz="0" w:space="0" w:color="000000"/>
              <w:bottom w:val="single" w:sz="2" w:space="0" w:color="auto"/>
              <w:right w:val="none" w:sz="0" w:space="0" w:color="000000"/>
            </w:tcBorders>
            <w:vAlign w:val="center"/>
          </w:tcPr>
          <w:p w:rsidR="00565FD5" w:rsidRPr="00256F5A" w:rsidRDefault="00565FD5" w:rsidP="00AB62A3">
            <w:pPr>
              <w:jc w:val="right"/>
              <w:rPr>
                <w:rFonts w:eastAsia="Arial Unicode MS" w:cs="Tahoma"/>
                <w:sz w:val="16"/>
                <w:szCs w:val="16"/>
              </w:rPr>
            </w:pPr>
            <w:r w:rsidRPr="00256F5A">
              <w:rPr>
                <w:rFonts w:cs="Tahoma"/>
                <w:sz w:val="16"/>
                <w:szCs w:val="16"/>
              </w:rPr>
              <w:t>1 621</w:t>
            </w:r>
          </w:p>
        </w:tc>
        <w:tc>
          <w:tcPr>
            <w:tcW w:w="610" w:type="pct"/>
            <w:tcBorders>
              <w:top w:val="none" w:sz="0" w:space="0" w:color="000000"/>
              <w:left w:val="none" w:sz="0" w:space="0" w:color="000000"/>
              <w:bottom w:val="single" w:sz="2" w:space="0" w:color="auto"/>
            </w:tcBorders>
            <w:vAlign w:val="center"/>
          </w:tcPr>
          <w:p w:rsidR="00565FD5" w:rsidRPr="00256F5A" w:rsidRDefault="00565FD5" w:rsidP="00AB62A3">
            <w:pPr>
              <w:ind w:left="113" w:right="113"/>
              <w:jc w:val="right"/>
              <w:rPr>
                <w:rFonts w:eastAsia="Arial Unicode MS" w:cs="Tahoma"/>
                <w:sz w:val="16"/>
                <w:szCs w:val="16"/>
              </w:rPr>
            </w:pPr>
            <w:r w:rsidRPr="00256F5A">
              <w:rPr>
                <w:rFonts w:cs="Tahoma"/>
                <w:sz w:val="16"/>
                <w:szCs w:val="16"/>
              </w:rPr>
              <w:t>65 354</w:t>
            </w:r>
          </w:p>
        </w:tc>
      </w:tr>
    </w:tbl>
    <w:p w:rsidR="00565FD5" w:rsidRPr="00256F5A" w:rsidRDefault="00565FD5" w:rsidP="00565FD5">
      <w:pPr>
        <w:spacing w:after="240"/>
        <w:rPr>
          <w:rFonts w:cs="Tahoma"/>
          <w:sz w:val="14"/>
          <w:szCs w:val="14"/>
        </w:rPr>
      </w:pPr>
      <w:r w:rsidRPr="00256F5A">
        <w:rPr>
          <w:rFonts w:cs="Tahoma"/>
          <w:sz w:val="14"/>
          <w:szCs w:val="14"/>
        </w:rPr>
        <w:t>Kaynak: Karayolları Genel Müdürlüğü</w:t>
      </w:r>
    </w:p>
    <w:p w:rsidR="00565FD5" w:rsidRDefault="00565FD5" w:rsidP="00565FD5">
      <w:pPr>
        <w:spacing w:after="160"/>
        <w:ind w:firstLine="425"/>
        <w:rPr>
          <w:rFonts w:cs="Tahoma"/>
          <w:szCs w:val="18"/>
        </w:rPr>
      </w:pPr>
      <w:r w:rsidRPr="00256F5A">
        <w:rPr>
          <w:rFonts w:cs="Tahoma"/>
          <w:szCs w:val="18"/>
        </w:rPr>
        <w:t xml:space="preserve">Bölünmüş yol yapım programı kapsamında 2012 yılı Eylül ayı itibarıyla 488 km bölünmüş yol tamamlanmış ve otoyollar dahil çok şeritli karayolu ağı 21.715 km’ye ulaşmıştır. Aynı dönemde yaklaşık 636 km de BSK kaplama yapımı tamamlanmıştır. </w:t>
      </w:r>
    </w:p>
    <w:p w:rsidR="00565FD5" w:rsidRPr="00256F5A" w:rsidRDefault="00565FD5" w:rsidP="00565FD5">
      <w:pPr>
        <w:spacing w:after="180"/>
        <w:ind w:firstLine="425"/>
        <w:rPr>
          <w:rFonts w:cs="Tahoma"/>
          <w:szCs w:val="18"/>
        </w:rPr>
      </w:pPr>
      <w:r>
        <w:rPr>
          <w:rFonts w:cs="Tahoma"/>
          <w:szCs w:val="18"/>
        </w:rPr>
        <w:t>Otomobil</w:t>
      </w:r>
      <w:r w:rsidRPr="00256F5A">
        <w:rPr>
          <w:rFonts w:cs="Tahoma"/>
          <w:szCs w:val="18"/>
        </w:rPr>
        <w:t xml:space="preserve"> sahiplik oranlarına bakıldığında 2010 yılı verilerine göre, 1.000 kişiye düşen araç sayısı AB-27’de 477, ABD’de 763, Japonya’da 542, Rusya’da 228 ve Çin’de 30’dur. Türkiye</w:t>
      </w:r>
      <w:r>
        <w:rPr>
          <w:rFonts w:cs="Tahoma"/>
          <w:szCs w:val="18"/>
        </w:rPr>
        <w:t>’de ise bu sayının 2010 yılında 102, 2011 yılı sonunda 109</w:t>
      </w:r>
      <w:r w:rsidRPr="00256F5A">
        <w:rPr>
          <w:rFonts w:cs="Tahoma"/>
          <w:szCs w:val="18"/>
        </w:rPr>
        <w:t xml:space="preserve"> olduğu görülmektedir.</w:t>
      </w:r>
    </w:p>
    <w:p w:rsidR="00565FD5" w:rsidRPr="00256F5A" w:rsidRDefault="00565FD5" w:rsidP="00565FD5">
      <w:pPr>
        <w:spacing w:after="180"/>
        <w:ind w:firstLine="425"/>
        <w:rPr>
          <w:rFonts w:cs="Tahoma"/>
          <w:szCs w:val="18"/>
        </w:rPr>
      </w:pPr>
      <w:r w:rsidRPr="00256F5A">
        <w:rPr>
          <w:rFonts w:cs="Tahoma"/>
          <w:szCs w:val="18"/>
        </w:rPr>
        <w:t xml:space="preserve">Gelişmiş ülkelerde araç sahiplik oranı yüksek olmasına rağmen </w:t>
      </w:r>
      <w:r>
        <w:rPr>
          <w:rFonts w:cs="Tahoma"/>
          <w:szCs w:val="18"/>
        </w:rPr>
        <w:t xml:space="preserve">karayollarında </w:t>
      </w:r>
      <w:r w:rsidRPr="00256F5A">
        <w:rPr>
          <w:rFonts w:cs="Tahoma"/>
          <w:szCs w:val="18"/>
        </w:rPr>
        <w:t xml:space="preserve">ölümcül kaza oranı gelişmekte olan ülkelere oranla oldukça düşüktür. Trafik güvenliği açısından 2010 yılı verilerine göre her bir milyon kişide trafik kazası sonucu ölüm sayısı AB-27’de 62, ABD’de 106, Japonya’da 38, Rusya’da 186, Çin’de 52 iken Türkiye’de ise 60’tır. AB ülkelerinde ölüm sayısı 2009-2010 yılları arasında yüzde 11,4 oranında azalmıştır. Türkiye’de 2010-2011 yılları arasında toplam kaza sayısı yüzde 11 oranında artmış, ölüm sayısı yüzde 5,2 oranında azalırken yaralı sayısı ise yüzde 12,6 oranında artmıştır.  </w:t>
      </w:r>
    </w:p>
    <w:p w:rsidR="00565FD5" w:rsidRPr="00256F5A" w:rsidRDefault="00565FD5" w:rsidP="00565FD5">
      <w:pPr>
        <w:spacing w:after="160"/>
        <w:ind w:firstLine="425"/>
      </w:pPr>
      <w:r w:rsidRPr="00256F5A">
        <w:t xml:space="preserve">Karayolu trafiğinde güvenliğin sağlanması konusunda, BM tarafından kabul edilen Küresel Karayolu Güvenliği İlke Kararları çerçevesinde dünya genelinde </w:t>
      </w:r>
      <w:r w:rsidRPr="00256F5A">
        <w:lastRenderedPageBreak/>
        <w:t xml:space="preserve">10 yıllık süreçte (2010-2020) trafik kazalarından kaynaklanan ölümlerin yüzde 50 oranında azaltılması hedefi ulusal hedef olarak kabul edilmiş ve bu doğrultuda Karayolu Trafik Güvenliği </w:t>
      </w:r>
      <w:r w:rsidRPr="00256F5A">
        <w:rPr>
          <w:rFonts w:cs="Tahoma"/>
          <w:szCs w:val="18"/>
        </w:rPr>
        <w:t>Stratejisi</w:t>
      </w:r>
      <w:r w:rsidRPr="00256F5A">
        <w:t xml:space="preserve"> ve Eylem Planı 2012/16 sayılı Başbakanlık Genelgesi olarak yayımlanmıştır.</w:t>
      </w:r>
    </w:p>
    <w:p w:rsidR="00565FD5" w:rsidRPr="00256F5A" w:rsidRDefault="00565FD5" w:rsidP="00565FD5">
      <w:pPr>
        <w:ind w:firstLine="425"/>
        <w:rPr>
          <w:rFonts w:cs="Tahoma"/>
          <w:szCs w:val="18"/>
        </w:rPr>
      </w:pPr>
      <w:r w:rsidRPr="00256F5A">
        <w:rPr>
          <w:rFonts w:cs="Tahoma"/>
          <w:szCs w:val="18"/>
        </w:rPr>
        <w:t>Sürücü belgelerinin AB sürücü belgeleriyle uyumlaştırılması, belirli araçlara hız sınırlayıcı teknik cihaz takılması, sürücülerin çalışma ve dinlenme sürelerinin düzenlenmesi, trafik kazalarına ilişkin AB standartlarıyla uyumlu veri tabanı oluşturulması ve ülkemizde sürücülere verilen eğitimlerle AB üyesi ülkelerdeki sürücü eğitimi arasında denkliğin sağlanması amacıyla gerekli yasal düzenleme çalışmalarına devam edilmektedir.</w:t>
      </w:r>
    </w:p>
    <w:p w:rsidR="00565FD5" w:rsidRPr="00256F5A" w:rsidRDefault="00565FD5" w:rsidP="00565FD5">
      <w:pPr>
        <w:ind w:firstLine="425"/>
        <w:rPr>
          <w:b/>
          <w:szCs w:val="18"/>
        </w:rPr>
      </w:pPr>
      <w:r w:rsidRPr="00256F5A">
        <w:rPr>
          <w:b/>
          <w:szCs w:val="18"/>
        </w:rPr>
        <w:t>Demiryolu</w:t>
      </w:r>
    </w:p>
    <w:p w:rsidR="00565FD5" w:rsidRPr="00256F5A" w:rsidRDefault="00565FD5" w:rsidP="00565FD5">
      <w:pPr>
        <w:ind w:firstLine="425"/>
        <w:rPr>
          <w:rFonts w:cs="Tahoma"/>
          <w:szCs w:val="18"/>
        </w:rPr>
      </w:pPr>
      <w:r w:rsidRPr="00256F5A">
        <w:rPr>
          <w:rFonts w:cs="Tahoma"/>
          <w:szCs w:val="18"/>
        </w:rPr>
        <w:t xml:space="preserve">Türkiye’deki mevcut demiryolu ağı 2011 yılı itibarıyla 888 km’si hızlı tren hattı, 8.770 km’si konvansiyonel ana hat, 2.342 km’si tali hat ve istasyon yolları olmak üzere toplam 12.000 km’dir. Toplam ağın yüzde 33’ü sinyalli ve yüzde 26’sı elektriklidir. Türkiye’de hem demiryolu yoğunluğu hem mevcut demiryolları üzerindeki trafik yoğunluğu yetersizdir. Ayrıca, Türkiye’de yüzde 26 olan elektrikli hat oranı, yüzde 52,3 olan AB-27 ortalamasının oldukça altındadır. </w:t>
      </w:r>
    </w:p>
    <w:p w:rsidR="00565FD5" w:rsidRPr="00256F5A" w:rsidRDefault="00565FD5" w:rsidP="00565FD5">
      <w:pPr>
        <w:ind w:firstLine="425"/>
        <w:rPr>
          <w:rFonts w:cs="Tahoma"/>
          <w:szCs w:val="18"/>
        </w:rPr>
      </w:pPr>
      <w:r w:rsidRPr="00256F5A">
        <w:rPr>
          <w:rFonts w:cs="Tahoma"/>
          <w:szCs w:val="18"/>
        </w:rPr>
        <w:t>Ankara-Konya Hızlı Tren hattının 23/08/2011 tarihinde işletmeye açılması ve Ankara-Eskişehir Hızlı Tren hattındaki yolcu taşımalarında devam eden artışlarla birlikte, toplam yolcu taşımac</w:t>
      </w:r>
      <w:r>
        <w:rPr>
          <w:rFonts w:cs="Tahoma"/>
          <w:szCs w:val="18"/>
        </w:rPr>
        <w:t>ılığında 2011 sonunda yüzde 12,3</w:t>
      </w:r>
      <w:r w:rsidRPr="00256F5A">
        <w:rPr>
          <w:rFonts w:cs="Tahoma"/>
          <w:szCs w:val="18"/>
        </w:rPr>
        <w:t xml:space="preserve"> artış sağlanmıştır. Köseköy-Gebze hızlı tren inşaatı nedeniyle demiryolu hattının kapatılması ve demiryolu şebekesinin belli noktalarında yapılan bakım-onarım çalışmaları nedeniyle 2011 yılında bir önceki yıla göre yük taşımalarında önemli bir gelişme olmamış ve ton-km bazında taşımalar geçen seneyle aynı seviyelerde kalmıştır. Yük taşımacılığına olumlu yönde etki edecek yeni demiryolu yatırımları yapılmaktadır. Demiryolu taşımacılığından lojistik taşımacılığa geçiş kapsamında TCDD tarafından 18 lojistik merkez kurulması çalışmalarına devam edilmektedir. Bu lojistik merkezlerden Samsun (Gelemen), İstanbul (Halkalı) ve Uşak lojistik merkezi işletmeye açılmış; Denizli (Kaklık), İzmit (Köseköy), Eskişehir (Hasanbey) ve Kayseri (Boğazköprü) lojistik merkezlerin 1. etap inşaat çalışmaları tamamlanmıştır. Önemli demiryolu güzergâhlarında kapasite artışı sağlayacak elektrifikasyon ve sinyalizasyon </w:t>
      </w:r>
      <w:r w:rsidRPr="00256F5A">
        <w:rPr>
          <w:rFonts w:cs="Tahoma"/>
          <w:szCs w:val="18"/>
        </w:rPr>
        <w:lastRenderedPageBreak/>
        <w:t xml:space="preserve">projeleri ile ikinci hat yapımı projelerine TCDD’nin Yatırım Programında yer verilmiştir. </w:t>
      </w:r>
    </w:p>
    <w:p w:rsidR="00565FD5" w:rsidRPr="00256F5A" w:rsidRDefault="00565FD5" w:rsidP="00565FD5">
      <w:pPr>
        <w:ind w:firstLine="425"/>
        <w:rPr>
          <w:rFonts w:cs="Tahoma"/>
          <w:szCs w:val="18"/>
        </w:rPr>
      </w:pPr>
      <w:r w:rsidRPr="00256F5A">
        <w:rPr>
          <w:rFonts w:cs="Tahoma"/>
          <w:szCs w:val="18"/>
        </w:rPr>
        <w:t>Ankara merkez olmak üzere hızlı tren çekirdek ağının oluşturulması kapsamında; Ankara-İstanbul Hızlı Tren Projesi İnönü-Köseköy ve Köseköy-Gebze kesimlerinin alt ve üstyapısının, Ankara-Sivas Hızlı Tren Projesi Yerköy-Sivas kesiminin ve Ankara-Afyonkarahisar-İzmir Hızlı Tren Projesinin Ankara-Afyonkarahisar kesiminin altyapısının inşaat çalışmaları devam etmektedir. Bursa ilinin hızlı tren ve konvansiyonel demiryolu ağına bağlantısını içeren Bursa-Yenişehir kesiminde ise yer teslimi yapılarak inşaat işine başlanmıştır.</w:t>
      </w:r>
    </w:p>
    <w:p w:rsidR="00565FD5" w:rsidRPr="00256F5A" w:rsidRDefault="00565FD5" w:rsidP="00565FD5">
      <w:pPr>
        <w:ind w:firstLine="425"/>
        <w:rPr>
          <w:rFonts w:cs="Tahoma"/>
          <w:szCs w:val="18"/>
        </w:rPr>
      </w:pPr>
      <w:r w:rsidRPr="00256F5A">
        <w:rPr>
          <w:rFonts w:cs="Tahoma"/>
          <w:szCs w:val="18"/>
        </w:rPr>
        <w:t xml:space="preserve">Gebze-Haydarpaşa, Sirkeci-Halkalı Banliyö Hattının İyileştirilmesi ve Demiryolu Boğaz Tüp Geçişi İnşaatı (Marmaray) Projesinde mühendislik ve müşavirlik hizmetleri </w:t>
      </w:r>
      <w:r>
        <w:rPr>
          <w:rFonts w:cs="Tahoma"/>
          <w:szCs w:val="18"/>
        </w:rPr>
        <w:t xml:space="preserve">ile </w:t>
      </w:r>
      <w:r w:rsidRPr="00256F5A">
        <w:rPr>
          <w:rFonts w:cs="Tahoma"/>
          <w:szCs w:val="18"/>
        </w:rPr>
        <w:t xml:space="preserve">inşaat çalışmaları sürmekte olup bu projede kullanılacak 440 metro aracının temini planlanan şekilde devam etmektedir. </w:t>
      </w:r>
    </w:p>
    <w:p w:rsidR="00565FD5" w:rsidRPr="00256F5A" w:rsidRDefault="00565FD5" w:rsidP="00565FD5">
      <w:pPr>
        <w:ind w:firstLine="425"/>
        <w:rPr>
          <w:rFonts w:cs="Tahoma"/>
          <w:szCs w:val="18"/>
        </w:rPr>
      </w:pPr>
      <w:r w:rsidRPr="00256F5A">
        <w:rPr>
          <w:rFonts w:cs="Tahoma"/>
          <w:szCs w:val="18"/>
        </w:rPr>
        <w:t xml:space="preserve">Türkiye-Gürcistan-Azerbaycan arasında doğrudan demiryolu bağlantısını sağlayacak olan Kars-Tiflis-Bakü demiryolu projesindeki revizyonlar nedeniyle altyapı inşaatındaki gerçekleşme oranı yaklaşık yüzde 40 seviyesinde kalmıştır. </w:t>
      </w:r>
    </w:p>
    <w:p w:rsidR="00565FD5" w:rsidRDefault="00565FD5" w:rsidP="00565FD5">
      <w:pPr>
        <w:autoSpaceDE w:val="0"/>
        <w:autoSpaceDN w:val="0"/>
        <w:adjustRightInd w:val="0"/>
        <w:spacing w:after="160"/>
        <w:ind w:firstLine="425"/>
        <w:rPr>
          <w:rFonts w:cs="Tahoma"/>
          <w:szCs w:val="18"/>
          <w:lang w:eastAsia="tr-TR"/>
        </w:rPr>
      </w:pPr>
      <w:r w:rsidRPr="00256F5A">
        <w:rPr>
          <w:rFonts w:cs="Tahoma"/>
          <w:szCs w:val="18"/>
          <w:lang w:eastAsia="tr-TR"/>
        </w:rPr>
        <w:t>GAP Eylem Planı kapsamında toplam 580 km güney demiryolu hattının tamamı yenilenmiştir.</w:t>
      </w:r>
    </w:p>
    <w:p w:rsidR="00565FD5" w:rsidRPr="00256F5A" w:rsidRDefault="00565FD5" w:rsidP="00565FD5">
      <w:pPr>
        <w:autoSpaceDE w:val="0"/>
        <w:autoSpaceDN w:val="0"/>
        <w:adjustRightInd w:val="0"/>
        <w:spacing w:after="160"/>
        <w:ind w:firstLine="425"/>
        <w:rPr>
          <w:rFonts w:cs="Tahoma"/>
          <w:szCs w:val="18"/>
          <w:lang w:eastAsia="tr-TR"/>
        </w:rPr>
      </w:pPr>
    </w:p>
    <w:p w:rsidR="00565FD5" w:rsidRPr="00256F5A" w:rsidRDefault="00565FD5" w:rsidP="00565FD5">
      <w:pPr>
        <w:spacing w:after="120"/>
        <w:ind w:firstLine="426"/>
        <w:rPr>
          <w:b/>
        </w:rPr>
      </w:pPr>
      <w:r w:rsidRPr="00256F5A">
        <w:rPr>
          <w:b/>
        </w:rPr>
        <w:t>Denizyolu</w:t>
      </w:r>
    </w:p>
    <w:p w:rsidR="00565FD5" w:rsidRPr="00256F5A" w:rsidRDefault="00565FD5" w:rsidP="00565FD5">
      <w:pPr>
        <w:spacing w:after="180"/>
        <w:ind w:firstLine="425"/>
        <w:rPr>
          <w:szCs w:val="18"/>
        </w:rPr>
      </w:pPr>
      <w:r w:rsidRPr="00256F5A">
        <w:rPr>
          <w:szCs w:val="18"/>
        </w:rPr>
        <w:t>Türkiye’de 2011 yılı sonu itibarıyla 6,5 milyon TEU (Twenty Feet Equivalent Unit) konteyner ve 293 milyon ton konteyner harici yük elleçlenmiştir. Küresel krizlere rağmen, 2001-2011 döneminde konteyner artışı yıllık ortalama yüzde 16 olarak gerçekleşmiştir. Bu rakam dünyadaki yüzde 9’luk artış hızının çok üstündedir. Konteyner elleçlemesinin 2012 yılı itibarıyla ise 7,2 milyon TEU olarak gerçekleşmesi beklenmektedir. Büyük ölçekli liman yatırımlarının zamanında gerçekleştirilememesi, artan ticaret talebinin de baskısıyla iskele ve küçük ölçekli liman yapılmasına yol açmaktadır. Küçük ölçekli limanlara yönelinmesi ise, yük trafiğinin dağılmasına ve liman başına elleçleme miktarının AB’nin Akdeniz’deki limanlarıyla karşılaştırıldığında düşük seviyede kalmasına neden olmaktadır.</w:t>
      </w:r>
    </w:p>
    <w:p w:rsidR="00565FD5" w:rsidRPr="00250B7F" w:rsidRDefault="00565FD5" w:rsidP="00565FD5">
      <w:pPr>
        <w:pStyle w:val="ResimYazs"/>
        <w:ind w:left="2124" w:hanging="2124"/>
        <w:rPr>
          <w:rFonts w:eastAsia="Arial Unicode MS" w:cs="Tahoma"/>
          <w:szCs w:val="16"/>
        </w:rPr>
      </w:pPr>
      <w:bookmarkStart w:id="1625" w:name="_Toc338606016"/>
      <w:bookmarkStart w:id="1626" w:name="_Toc338711791"/>
      <w:r>
        <w:lastRenderedPageBreak/>
        <w:t xml:space="preserve">TABLO IV: </w:t>
      </w:r>
      <w:fldSimple w:instr=" SEQ TABLO_IV: \* ARABIC ">
        <w:r>
          <w:rPr>
            <w:noProof/>
          </w:rPr>
          <w:t>21</w:t>
        </w:r>
      </w:fldSimple>
      <w:r w:rsidRPr="00250B7F">
        <w:t>-</w:t>
      </w:r>
      <w:r w:rsidRPr="00250B7F">
        <w:rPr>
          <w:rFonts w:eastAsia="Arial Unicode MS" w:cs="Tahoma"/>
          <w:szCs w:val="16"/>
        </w:rPr>
        <w:t xml:space="preserve"> Akdeniz Limanlarındaki Konteyner Trafiği (2010)</w:t>
      </w:r>
      <w:bookmarkEnd w:id="1625"/>
      <w:bookmarkEnd w:id="1626"/>
    </w:p>
    <w:tbl>
      <w:tblPr>
        <w:tblW w:w="3601" w:type="pct"/>
        <w:tblInd w:w="108" w:type="dxa"/>
        <w:tblBorders>
          <w:top w:val="single" w:sz="4" w:space="0" w:color="auto"/>
          <w:left w:val="single" w:sz="4" w:space="0" w:color="auto"/>
          <w:bottom w:val="single" w:sz="4" w:space="0" w:color="auto"/>
          <w:right w:val="single" w:sz="4" w:space="0" w:color="auto"/>
        </w:tblBorders>
        <w:tblLook w:val="00A0"/>
      </w:tblPr>
      <w:tblGrid>
        <w:gridCol w:w="3260"/>
        <w:gridCol w:w="2039"/>
      </w:tblGrid>
      <w:tr w:rsidR="00565FD5" w:rsidRPr="00256F5A" w:rsidTr="00AB62A3">
        <w:trPr>
          <w:trHeight w:val="198"/>
        </w:trPr>
        <w:tc>
          <w:tcPr>
            <w:tcW w:w="3076" w:type="pct"/>
            <w:tcBorders>
              <w:top w:val="single" w:sz="4" w:space="0" w:color="auto"/>
              <w:bottom w:val="single" w:sz="4" w:space="0" w:color="auto"/>
              <w:right w:val="nil"/>
            </w:tcBorders>
            <w:vAlign w:val="bottom"/>
          </w:tcPr>
          <w:p w:rsidR="00565FD5" w:rsidRPr="00256F5A" w:rsidRDefault="00565FD5" w:rsidP="00AB62A3">
            <w:pPr>
              <w:ind w:firstLine="72"/>
              <w:rPr>
                <w:rFonts w:cs="Tahoma"/>
                <w:b/>
                <w:bCs/>
                <w:sz w:val="16"/>
                <w:szCs w:val="16"/>
              </w:rPr>
            </w:pPr>
            <w:r w:rsidRPr="00256F5A">
              <w:rPr>
                <w:rFonts w:cs="Tahoma"/>
                <w:b/>
                <w:bCs/>
                <w:sz w:val="16"/>
                <w:szCs w:val="16"/>
              </w:rPr>
              <w:t>Limanlar</w:t>
            </w:r>
          </w:p>
        </w:tc>
        <w:tc>
          <w:tcPr>
            <w:tcW w:w="1924" w:type="pct"/>
            <w:tcBorders>
              <w:top w:val="single" w:sz="4" w:space="0" w:color="auto"/>
              <w:left w:val="nil"/>
              <w:bottom w:val="single" w:sz="4" w:space="0" w:color="auto"/>
            </w:tcBorders>
            <w:vAlign w:val="bottom"/>
          </w:tcPr>
          <w:p w:rsidR="00565FD5" w:rsidRDefault="00565FD5" w:rsidP="00AB62A3">
            <w:pPr>
              <w:ind w:left="-454" w:firstLine="454"/>
              <w:jc w:val="center"/>
              <w:rPr>
                <w:rFonts w:cs="Tahoma"/>
                <w:b/>
                <w:bCs/>
                <w:sz w:val="16"/>
                <w:szCs w:val="16"/>
              </w:rPr>
            </w:pPr>
            <w:r w:rsidRPr="00256F5A">
              <w:rPr>
                <w:rFonts w:cs="Tahoma"/>
                <w:b/>
                <w:bCs/>
                <w:sz w:val="16"/>
                <w:szCs w:val="16"/>
              </w:rPr>
              <w:t xml:space="preserve">Konteyner </w:t>
            </w:r>
          </w:p>
          <w:p w:rsidR="00565FD5" w:rsidRPr="00256F5A" w:rsidRDefault="00565FD5" w:rsidP="00AB62A3">
            <w:pPr>
              <w:ind w:left="-454" w:firstLine="454"/>
              <w:jc w:val="center"/>
              <w:rPr>
                <w:rFonts w:cs="Tahoma"/>
                <w:b/>
                <w:bCs/>
                <w:sz w:val="16"/>
                <w:szCs w:val="16"/>
              </w:rPr>
            </w:pPr>
            <w:r w:rsidRPr="00256F5A">
              <w:rPr>
                <w:rFonts w:cs="Tahoma"/>
                <w:b/>
                <w:bCs/>
                <w:sz w:val="16"/>
                <w:szCs w:val="16"/>
              </w:rPr>
              <w:t>(Bin  TEU)</w:t>
            </w:r>
          </w:p>
        </w:tc>
      </w:tr>
      <w:tr w:rsidR="00565FD5" w:rsidRPr="00256F5A" w:rsidTr="00AB62A3">
        <w:trPr>
          <w:trHeight w:val="255"/>
        </w:trPr>
        <w:tc>
          <w:tcPr>
            <w:tcW w:w="3076" w:type="pct"/>
            <w:tcBorders>
              <w:top w:val="single" w:sz="4" w:space="0" w:color="auto"/>
              <w:bottom w:val="nil"/>
              <w:right w:val="nil"/>
            </w:tcBorders>
            <w:vAlign w:val="center"/>
          </w:tcPr>
          <w:p w:rsidR="00565FD5" w:rsidRPr="00256F5A" w:rsidRDefault="00565FD5" w:rsidP="00AB62A3">
            <w:pPr>
              <w:ind w:firstLine="72"/>
              <w:rPr>
                <w:rFonts w:cs="Tahoma"/>
                <w:sz w:val="16"/>
                <w:szCs w:val="16"/>
              </w:rPr>
            </w:pPr>
            <w:r w:rsidRPr="00256F5A">
              <w:rPr>
                <w:rFonts w:cs="Tahoma"/>
                <w:sz w:val="16"/>
                <w:szCs w:val="16"/>
              </w:rPr>
              <w:t>Valensiya-İspanya</w:t>
            </w:r>
          </w:p>
        </w:tc>
        <w:tc>
          <w:tcPr>
            <w:tcW w:w="1924" w:type="pct"/>
            <w:tcBorders>
              <w:top w:val="single" w:sz="4" w:space="0" w:color="auto"/>
              <w:left w:val="nil"/>
              <w:bottom w:val="nil"/>
            </w:tcBorders>
            <w:vAlign w:val="center"/>
          </w:tcPr>
          <w:p w:rsidR="00565FD5" w:rsidRPr="00256F5A" w:rsidRDefault="00565FD5" w:rsidP="00AB62A3">
            <w:pPr>
              <w:ind w:left="-454" w:right="655" w:firstLine="454"/>
              <w:jc w:val="right"/>
              <w:rPr>
                <w:rFonts w:cs="Tahoma"/>
                <w:sz w:val="16"/>
                <w:szCs w:val="16"/>
              </w:rPr>
            </w:pPr>
            <w:r w:rsidRPr="00256F5A">
              <w:rPr>
                <w:rFonts w:cs="Tahoma"/>
                <w:sz w:val="16"/>
                <w:szCs w:val="16"/>
              </w:rPr>
              <w:t>4 211</w:t>
            </w:r>
          </w:p>
        </w:tc>
      </w:tr>
      <w:tr w:rsidR="00565FD5" w:rsidRPr="00256F5A" w:rsidTr="00AB62A3">
        <w:trPr>
          <w:trHeight w:val="255"/>
        </w:trPr>
        <w:tc>
          <w:tcPr>
            <w:tcW w:w="3076" w:type="pct"/>
            <w:tcBorders>
              <w:top w:val="nil"/>
              <w:bottom w:val="nil"/>
              <w:right w:val="nil"/>
            </w:tcBorders>
            <w:vAlign w:val="center"/>
          </w:tcPr>
          <w:p w:rsidR="00565FD5" w:rsidRPr="00256F5A" w:rsidRDefault="00565FD5" w:rsidP="00AB62A3">
            <w:pPr>
              <w:ind w:firstLine="72"/>
              <w:rPr>
                <w:rFonts w:cs="Tahoma"/>
                <w:sz w:val="16"/>
                <w:szCs w:val="16"/>
              </w:rPr>
            </w:pPr>
            <w:r w:rsidRPr="00256F5A">
              <w:rPr>
                <w:rFonts w:cs="Tahoma"/>
                <w:sz w:val="16"/>
                <w:szCs w:val="16"/>
              </w:rPr>
              <w:t>Gioia Tauro-İtalya</w:t>
            </w:r>
          </w:p>
        </w:tc>
        <w:tc>
          <w:tcPr>
            <w:tcW w:w="1924" w:type="pct"/>
            <w:tcBorders>
              <w:top w:val="nil"/>
              <w:left w:val="nil"/>
              <w:bottom w:val="nil"/>
            </w:tcBorders>
            <w:vAlign w:val="center"/>
          </w:tcPr>
          <w:p w:rsidR="00565FD5" w:rsidRPr="00256F5A" w:rsidRDefault="00565FD5" w:rsidP="00AB62A3">
            <w:pPr>
              <w:ind w:left="-454" w:right="655" w:firstLine="454"/>
              <w:jc w:val="right"/>
              <w:rPr>
                <w:rFonts w:cs="Tahoma"/>
                <w:sz w:val="16"/>
                <w:szCs w:val="16"/>
              </w:rPr>
            </w:pPr>
            <w:r w:rsidRPr="00256F5A">
              <w:rPr>
                <w:rFonts w:cs="Tahoma"/>
                <w:sz w:val="16"/>
                <w:szCs w:val="16"/>
              </w:rPr>
              <w:t>3 897</w:t>
            </w:r>
          </w:p>
        </w:tc>
      </w:tr>
      <w:tr w:rsidR="00565FD5" w:rsidRPr="00256F5A" w:rsidTr="00AB62A3">
        <w:trPr>
          <w:trHeight w:val="255"/>
        </w:trPr>
        <w:tc>
          <w:tcPr>
            <w:tcW w:w="3076" w:type="pct"/>
            <w:tcBorders>
              <w:top w:val="nil"/>
              <w:bottom w:val="nil"/>
              <w:right w:val="nil"/>
            </w:tcBorders>
            <w:vAlign w:val="center"/>
          </w:tcPr>
          <w:p w:rsidR="00565FD5" w:rsidRPr="00256F5A" w:rsidRDefault="00565FD5" w:rsidP="00AB62A3">
            <w:pPr>
              <w:ind w:firstLine="72"/>
              <w:rPr>
                <w:rFonts w:cs="Tahoma"/>
                <w:sz w:val="16"/>
                <w:szCs w:val="16"/>
              </w:rPr>
            </w:pPr>
            <w:r w:rsidRPr="00256F5A">
              <w:rPr>
                <w:rFonts w:cs="Tahoma"/>
                <w:sz w:val="16"/>
                <w:szCs w:val="16"/>
              </w:rPr>
              <w:t>Algeciras-İspanya</w:t>
            </w:r>
          </w:p>
        </w:tc>
        <w:tc>
          <w:tcPr>
            <w:tcW w:w="1924" w:type="pct"/>
            <w:tcBorders>
              <w:top w:val="nil"/>
              <w:left w:val="nil"/>
              <w:bottom w:val="nil"/>
            </w:tcBorders>
            <w:vAlign w:val="center"/>
          </w:tcPr>
          <w:p w:rsidR="00565FD5" w:rsidRPr="00256F5A" w:rsidRDefault="00565FD5" w:rsidP="00AB62A3">
            <w:pPr>
              <w:ind w:left="-454" w:right="655" w:firstLine="454"/>
              <w:jc w:val="right"/>
              <w:rPr>
                <w:rFonts w:cs="Tahoma"/>
                <w:sz w:val="16"/>
                <w:szCs w:val="16"/>
              </w:rPr>
            </w:pPr>
            <w:r w:rsidRPr="00256F5A">
              <w:rPr>
                <w:rFonts w:cs="Tahoma"/>
                <w:sz w:val="16"/>
                <w:szCs w:val="16"/>
              </w:rPr>
              <w:t>2 777</w:t>
            </w:r>
          </w:p>
        </w:tc>
      </w:tr>
      <w:tr w:rsidR="00565FD5" w:rsidRPr="00256F5A" w:rsidTr="00AB62A3">
        <w:trPr>
          <w:trHeight w:val="255"/>
        </w:trPr>
        <w:tc>
          <w:tcPr>
            <w:tcW w:w="3076" w:type="pct"/>
            <w:tcBorders>
              <w:top w:val="nil"/>
              <w:bottom w:val="nil"/>
              <w:right w:val="nil"/>
            </w:tcBorders>
            <w:vAlign w:val="center"/>
          </w:tcPr>
          <w:p w:rsidR="00565FD5" w:rsidRPr="00256F5A" w:rsidRDefault="00565FD5" w:rsidP="00AB62A3">
            <w:pPr>
              <w:ind w:firstLine="72"/>
              <w:rPr>
                <w:rFonts w:cs="Tahoma"/>
                <w:sz w:val="16"/>
                <w:szCs w:val="16"/>
              </w:rPr>
            </w:pPr>
            <w:r w:rsidRPr="00256F5A">
              <w:rPr>
                <w:rFonts w:cs="Tahoma"/>
                <w:sz w:val="16"/>
                <w:szCs w:val="16"/>
              </w:rPr>
              <w:t>Ambarlı</w:t>
            </w:r>
          </w:p>
        </w:tc>
        <w:tc>
          <w:tcPr>
            <w:tcW w:w="1924" w:type="pct"/>
            <w:tcBorders>
              <w:top w:val="nil"/>
              <w:left w:val="nil"/>
              <w:bottom w:val="nil"/>
            </w:tcBorders>
            <w:vAlign w:val="center"/>
          </w:tcPr>
          <w:p w:rsidR="00565FD5" w:rsidRPr="00256F5A" w:rsidRDefault="00565FD5" w:rsidP="00AB62A3">
            <w:pPr>
              <w:ind w:left="-454" w:right="655" w:firstLine="454"/>
              <w:jc w:val="right"/>
              <w:rPr>
                <w:rFonts w:cs="Tahoma"/>
                <w:sz w:val="16"/>
                <w:szCs w:val="16"/>
              </w:rPr>
            </w:pPr>
            <w:r w:rsidRPr="00256F5A">
              <w:rPr>
                <w:rFonts w:cs="Tahoma"/>
                <w:sz w:val="16"/>
                <w:szCs w:val="16"/>
              </w:rPr>
              <w:t>2 464</w:t>
            </w:r>
          </w:p>
        </w:tc>
      </w:tr>
      <w:tr w:rsidR="00565FD5" w:rsidRPr="00256F5A" w:rsidTr="00AB62A3">
        <w:trPr>
          <w:trHeight w:val="255"/>
        </w:trPr>
        <w:tc>
          <w:tcPr>
            <w:tcW w:w="3076" w:type="pct"/>
            <w:tcBorders>
              <w:top w:val="nil"/>
              <w:bottom w:val="nil"/>
              <w:right w:val="nil"/>
            </w:tcBorders>
            <w:vAlign w:val="center"/>
          </w:tcPr>
          <w:p w:rsidR="00565FD5" w:rsidRPr="00256F5A" w:rsidRDefault="00565FD5" w:rsidP="00AB62A3">
            <w:pPr>
              <w:ind w:firstLine="72"/>
              <w:rPr>
                <w:rFonts w:cs="Tahoma"/>
                <w:sz w:val="16"/>
                <w:szCs w:val="16"/>
              </w:rPr>
            </w:pPr>
            <w:r w:rsidRPr="00256F5A">
              <w:rPr>
                <w:rFonts w:cs="Tahoma"/>
                <w:sz w:val="16"/>
                <w:szCs w:val="16"/>
              </w:rPr>
              <w:t>Le Havre-Fransa</w:t>
            </w:r>
          </w:p>
        </w:tc>
        <w:tc>
          <w:tcPr>
            <w:tcW w:w="1924" w:type="pct"/>
            <w:tcBorders>
              <w:top w:val="nil"/>
              <w:left w:val="nil"/>
              <w:bottom w:val="nil"/>
            </w:tcBorders>
            <w:vAlign w:val="center"/>
          </w:tcPr>
          <w:p w:rsidR="00565FD5" w:rsidRPr="00256F5A" w:rsidRDefault="00565FD5" w:rsidP="00AB62A3">
            <w:pPr>
              <w:ind w:left="-454" w:right="655" w:firstLine="454"/>
              <w:jc w:val="right"/>
              <w:rPr>
                <w:rFonts w:cs="Tahoma"/>
                <w:sz w:val="16"/>
                <w:szCs w:val="16"/>
              </w:rPr>
            </w:pPr>
            <w:r w:rsidRPr="00256F5A">
              <w:rPr>
                <w:rFonts w:cs="Tahoma"/>
                <w:sz w:val="16"/>
                <w:szCs w:val="16"/>
              </w:rPr>
              <w:t>2 369</w:t>
            </w:r>
          </w:p>
        </w:tc>
      </w:tr>
      <w:tr w:rsidR="00565FD5" w:rsidRPr="00256F5A" w:rsidTr="00AB62A3">
        <w:trPr>
          <w:trHeight w:val="255"/>
        </w:trPr>
        <w:tc>
          <w:tcPr>
            <w:tcW w:w="3076" w:type="pct"/>
            <w:tcBorders>
              <w:top w:val="nil"/>
              <w:bottom w:val="nil"/>
              <w:right w:val="nil"/>
            </w:tcBorders>
            <w:vAlign w:val="center"/>
          </w:tcPr>
          <w:p w:rsidR="00565FD5" w:rsidRPr="00256F5A" w:rsidRDefault="00565FD5" w:rsidP="00AB62A3">
            <w:pPr>
              <w:ind w:firstLine="72"/>
              <w:rPr>
                <w:rFonts w:cs="Tahoma"/>
                <w:sz w:val="16"/>
                <w:szCs w:val="16"/>
              </w:rPr>
            </w:pPr>
            <w:r w:rsidRPr="00256F5A">
              <w:rPr>
                <w:rFonts w:cs="Tahoma"/>
                <w:sz w:val="16"/>
                <w:szCs w:val="16"/>
              </w:rPr>
              <w:t>Barselona-İspanya</w:t>
            </w:r>
          </w:p>
        </w:tc>
        <w:tc>
          <w:tcPr>
            <w:tcW w:w="1924" w:type="pct"/>
            <w:tcBorders>
              <w:top w:val="nil"/>
              <w:left w:val="nil"/>
              <w:bottom w:val="nil"/>
            </w:tcBorders>
            <w:vAlign w:val="center"/>
          </w:tcPr>
          <w:p w:rsidR="00565FD5" w:rsidRPr="00256F5A" w:rsidRDefault="00565FD5" w:rsidP="00AB62A3">
            <w:pPr>
              <w:ind w:left="-454" w:right="655" w:firstLine="454"/>
              <w:jc w:val="right"/>
              <w:rPr>
                <w:rFonts w:cs="Tahoma"/>
                <w:sz w:val="16"/>
                <w:szCs w:val="16"/>
              </w:rPr>
            </w:pPr>
            <w:r w:rsidRPr="00256F5A">
              <w:rPr>
                <w:rFonts w:cs="Tahoma"/>
                <w:sz w:val="16"/>
                <w:szCs w:val="16"/>
              </w:rPr>
              <w:t>1 928</w:t>
            </w:r>
          </w:p>
        </w:tc>
      </w:tr>
      <w:tr w:rsidR="00565FD5" w:rsidRPr="00256F5A" w:rsidTr="00AB62A3">
        <w:trPr>
          <w:trHeight w:val="255"/>
        </w:trPr>
        <w:tc>
          <w:tcPr>
            <w:tcW w:w="3076" w:type="pct"/>
            <w:tcBorders>
              <w:top w:val="nil"/>
              <w:bottom w:val="nil"/>
              <w:right w:val="nil"/>
            </w:tcBorders>
            <w:vAlign w:val="center"/>
          </w:tcPr>
          <w:p w:rsidR="00565FD5" w:rsidRPr="00256F5A" w:rsidRDefault="00565FD5" w:rsidP="00AB62A3">
            <w:pPr>
              <w:ind w:firstLine="72"/>
              <w:rPr>
                <w:rFonts w:cs="Tahoma"/>
                <w:sz w:val="16"/>
                <w:szCs w:val="16"/>
              </w:rPr>
            </w:pPr>
            <w:r w:rsidRPr="00256F5A">
              <w:rPr>
                <w:rFonts w:cs="Tahoma"/>
                <w:sz w:val="16"/>
                <w:szCs w:val="16"/>
              </w:rPr>
              <w:t>La Spezia-İtalya</w:t>
            </w:r>
          </w:p>
        </w:tc>
        <w:tc>
          <w:tcPr>
            <w:tcW w:w="1924" w:type="pct"/>
            <w:tcBorders>
              <w:top w:val="nil"/>
              <w:left w:val="nil"/>
              <w:bottom w:val="nil"/>
            </w:tcBorders>
            <w:vAlign w:val="center"/>
          </w:tcPr>
          <w:p w:rsidR="00565FD5" w:rsidRPr="00256F5A" w:rsidRDefault="00565FD5" w:rsidP="00AB62A3">
            <w:pPr>
              <w:ind w:left="-454" w:right="655" w:firstLine="454"/>
              <w:jc w:val="right"/>
              <w:rPr>
                <w:rFonts w:cs="Tahoma"/>
                <w:sz w:val="16"/>
                <w:szCs w:val="16"/>
              </w:rPr>
            </w:pPr>
            <w:r w:rsidRPr="00256F5A">
              <w:rPr>
                <w:rFonts w:cs="Tahoma"/>
                <w:sz w:val="16"/>
                <w:szCs w:val="16"/>
              </w:rPr>
              <w:t>1 181</w:t>
            </w:r>
          </w:p>
        </w:tc>
      </w:tr>
      <w:tr w:rsidR="00565FD5" w:rsidRPr="00256F5A" w:rsidTr="00AB62A3">
        <w:trPr>
          <w:trHeight w:val="255"/>
        </w:trPr>
        <w:tc>
          <w:tcPr>
            <w:tcW w:w="3076" w:type="pct"/>
            <w:tcBorders>
              <w:top w:val="nil"/>
              <w:bottom w:val="nil"/>
              <w:right w:val="nil"/>
            </w:tcBorders>
            <w:vAlign w:val="center"/>
          </w:tcPr>
          <w:p w:rsidR="00565FD5" w:rsidRPr="00256F5A" w:rsidRDefault="00565FD5" w:rsidP="00AB62A3">
            <w:pPr>
              <w:ind w:firstLine="72"/>
              <w:rPr>
                <w:rFonts w:cs="Tahoma"/>
                <w:sz w:val="16"/>
                <w:szCs w:val="16"/>
              </w:rPr>
            </w:pPr>
            <w:r w:rsidRPr="00256F5A">
              <w:rPr>
                <w:rFonts w:cs="Tahoma"/>
                <w:sz w:val="16"/>
                <w:szCs w:val="16"/>
              </w:rPr>
              <w:t>Marsilya-Fransa</w:t>
            </w:r>
          </w:p>
        </w:tc>
        <w:tc>
          <w:tcPr>
            <w:tcW w:w="1924" w:type="pct"/>
            <w:tcBorders>
              <w:top w:val="nil"/>
              <w:left w:val="nil"/>
              <w:bottom w:val="nil"/>
            </w:tcBorders>
            <w:vAlign w:val="center"/>
          </w:tcPr>
          <w:p w:rsidR="00565FD5" w:rsidRPr="00256F5A" w:rsidRDefault="00565FD5" w:rsidP="00AB62A3">
            <w:pPr>
              <w:ind w:left="-454" w:right="655" w:firstLine="454"/>
              <w:jc w:val="right"/>
              <w:rPr>
                <w:rFonts w:cs="Tahoma"/>
                <w:sz w:val="16"/>
                <w:szCs w:val="16"/>
              </w:rPr>
            </w:pPr>
            <w:r w:rsidRPr="00256F5A">
              <w:rPr>
                <w:rFonts w:cs="Tahoma"/>
                <w:sz w:val="16"/>
                <w:szCs w:val="16"/>
              </w:rPr>
              <w:t>1 031</w:t>
            </w:r>
          </w:p>
        </w:tc>
      </w:tr>
      <w:tr w:rsidR="00565FD5" w:rsidRPr="00256F5A" w:rsidTr="00AB62A3">
        <w:trPr>
          <w:trHeight w:val="255"/>
        </w:trPr>
        <w:tc>
          <w:tcPr>
            <w:tcW w:w="3076" w:type="pct"/>
            <w:tcBorders>
              <w:top w:val="nil"/>
              <w:bottom w:val="nil"/>
              <w:right w:val="nil"/>
            </w:tcBorders>
            <w:vAlign w:val="center"/>
          </w:tcPr>
          <w:p w:rsidR="00565FD5" w:rsidRPr="00256F5A" w:rsidRDefault="00565FD5" w:rsidP="00AB62A3">
            <w:pPr>
              <w:ind w:firstLine="72"/>
              <w:rPr>
                <w:rFonts w:cs="Tahoma"/>
                <w:sz w:val="16"/>
                <w:szCs w:val="16"/>
              </w:rPr>
            </w:pPr>
            <w:r w:rsidRPr="00256F5A">
              <w:rPr>
                <w:rFonts w:cs="Tahoma"/>
                <w:sz w:val="16"/>
                <w:szCs w:val="16"/>
              </w:rPr>
              <w:t>Cenova-İtalya</w:t>
            </w:r>
          </w:p>
        </w:tc>
        <w:tc>
          <w:tcPr>
            <w:tcW w:w="1924" w:type="pct"/>
            <w:tcBorders>
              <w:top w:val="nil"/>
              <w:left w:val="nil"/>
              <w:bottom w:val="nil"/>
            </w:tcBorders>
            <w:vAlign w:val="center"/>
          </w:tcPr>
          <w:p w:rsidR="00565FD5" w:rsidRPr="00256F5A" w:rsidRDefault="00565FD5" w:rsidP="00AB62A3">
            <w:pPr>
              <w:ind w:left="-454" w:right="655" w:firstLine="454"/>
              <w:jc w:val="right"/>
              <w:rPr>
                <w:rFonts w:cs="Tahoma"/>
                <w:sz w:val="16"/>
                <w:szCs w:val="16"/>
              </w:rPr>
            </w:pPr>
            <w:r w:rsidRPr="00256F5A">
              <w:rPr>
                <w:rFonts w:cs="Tahoma"/>
                <w:sz w:val="16"/>
                <w:szCs w:val="16"/>
              </w:rPr>
              <w:t xml:space="preserve"> 1 020</w:t>
            </w:r>
          </w:p>
        </w:tc>
      </w:tr>
      <w:tr w:rsidR="00565FD5" w:rsidRPr="00256F5A" w:rsidTr="00AB62A3">
        <w:trPr>
          <w:trHeight w:val="255"/>
        </w:trPr>
        <w:tc>
          <w:tcPr>
            <w:tcW w:w="3076" w:type="pct"/>
            <w:tcBorders>
              <w:top w:val="nil"/>
              <w:bottom w:val="nil"/>
              <w:right w:val="nil"/>
            </w:tcBorders>
            <w:vAlign w:val="center"/>
          </w:tcPr>
          <w:p w:rsidR="00565FD5" w:rsidRPr="00256F5A" w:rsidRDefault="00565FD5" w:rsidP="00AB62A3">
            <w:pPr>
              <w:ind w:firstLine="72"/>
              <w:rPr>
                <w:rFonts w:cs="Tahoma"/>
                <w:sz w:val="16"/>
                <w:szCs w:val="16"/>
              </w:rPr>
            </w:pPr>
            <w:r w:rsidRPr="00256F5A">
              <w:rPr>
                <w:rFonts w:cs="Tahoma"/>
                <w:sz w:val="16"/>
                <w:szCs w:val="16"/>
              </w:rPr>
              <w:t>Mersin</w:t>
            </w:r>
          </w:p>
        </w:tc>
        <w:tc>
          <w:tcPr>
            <w:tcW w:w="1924" w:type="pct"/>
            <w:tcBorders>
              <w:top w:val="nil"/>
              <w:left w:val="nil"/>
              <w:bottom w:val="nil"/>
            </w:tcBorders>
            <w:vAlign w:val="center"/>
          </w:tcPr>
          <w:p w:rsidR="00565FD5" w:rsidRPr="00256F5A" w:rsidRDefault="00565FD5" w:rsidP="00AB62A3">
            <w:pPr>
              <w:ind w:left="-454" w:right="655" w:firstLine="454"/>
              <w:jc w:val="right"/>
              <w:rPr>
                <w:rFonts w:cs="Tahoma"/>
                <w:sz w:val="16"/>
                <w:szCs w:val="16"/>
              </w:rPr>
            </w:pPr>
            <w:r w:rsidRPr="00256F5A">
              <w:rPr>
                <w:rFonts w:cs="Tahoma"/>
                <w:sz w:val="16"/>
                <w:szCs w:val="16"/>
              </w:rPr>
              <w:t xml:space="preserve">1 015 </w:t>
            </w:r>
          </w:p>
        </w:tc>
      </w:tr>
      <w:tr w:rsidR="00565FD5" w:rsidRPr="00256F5A" w:rsidTr="00AB62A3">
        <w:trPr>
          <w:trHeight w:val="255"/>
        </w:trPr>
        <w:tc>
          <w:tcPr>
            <w:tcW w:w="3076" w:type="pct"/>
            <w:tcBorders>
              <w:top w:val="nil"/>
              <w:bottom w:val="nil"/>
              <w:right w:val="nil"/>
            </w:tcBorders>
            <w:vAlign w:val="center"/>
          </w:tcPr>
          <w:p w:rsidR="00565FD5" w:rsidRPr="00256F5A" w:rsidRDefault="00565FD5" w:rsidP="00AB62A3">
            <w:pPr>
              <w:ind w:firstLine="72"/>
              <w:rPr>
                <w:rFonts w:cs="Tahoma"/>
                <w:sz w:val="16"/>
                <w:szCs w:val="16"/>
              </w:rPr>
            </w:pPr>
            <w:r w:rsidRPr="00256F5A">
              <w:rPr>
                <w:rFonts w:cs="Tahoma"/>
                <w:sz w:val="16"/>
                <w:szCs w:val="16"/>
              </w:rPr>
              <w:t>Pire-Yunanistan</w:t>
            </w:r>
          </w:p>
        </w:tc>
        <w:tc>
          <w:tcPr>
            <w:tcW w:w="1924" w:type="pct"/>
            <w:tcBorders>
              <w:top w:val="nil"/>
              <w:left w:val="nil"/>
              <w:bottom w:val="nil"/>
            </w:tcBorders>
            <w:vAlign w:val="center"/>
          </w:tcPr>
          <w:p w:rsidR="00565FD5" w:rsidRPr="00256F5A" w:rsidRDefault="00565FD5" w:rsidP="00AB62A3">
            <w:pPr>
              <w:ind w:left="-454" w:right="655" w:firstLine="454"/>
              <w:jc w:val="right"/>
              <w:rPr>
                <w:rFonts w:cs="Tahoma"/>
                <w:sz w:val="16"/>
                <w:szCs w:val="16"/>
              </w:rPr>
            </w:pPr>
            <w:r w:rsidRPr="00256F5A">
              <w:rPr>
                <w:rFonts w:cs="Tahoma"/>
                <w:sz w:val="16"/>
                <w:szCs w:val="16"/>
              </w:rPr>
              <w:t>850</w:t>
            </w:r>
          </w:p>
        </w:tc>
      </w:tr>
      <w:tr w:rsidR="00565FD5" w:rsidRPr="00256F5A" w:rsidTr="00AB62A3">
        <w:trPr>
          <w:trHeight w:val="255"/>
        </w:trPr>
        <w:tc>
          <w:tcPr>
            <w:tcW w:w="3076" w:type="pct"/>
            <w:tcBorders>
              <w:top w:val="nil"/>
              <w:bottom w:val="nil"/>
              <w:right w:val="nil"/>
            </w:tcBorders>
            <w:vAlign w:val="center"/>
          </w:tcPr>
          <w:p w:rsidR="00565FD5" w:rsidRPr="00256F5A" w:rsidRDefault="00565FD5" w:rsidP="00AB62A3">
            <w:pPr>
              <w:ind w:firstLine="72"/>
              <w:rPr>
                <w:rFonts w:cs="Tahoma"/>
                <w:sz w:val="16"/>
                <w:szCs w:val="16"/>
              </w:rPr>
            </w:pPr>
            <w:r w:rsidRPr="00256F5A">
              <w:rPr>
                <w:rFonts w:cs="Tahoma"/>
                <w:sz w:val="16"/>
                <w:szCs w:val="16"/>
              </w:rPr>
              <w:t>İzmir</w:t>
            </w:r>
          </w:p>
        </w:tc>
        <w:tc>
          <w:tcPr>
            <w:tcW w:w="1924" w:type="pct"/>
            <w:tcBorders>
              <w:top w:val="nil"/>
              <w:left w:val="nil"/>
              <w:bottom w:val="nil"/>
            </w:tcBorders>
            <w:vAlign w:val="center"/>
          </w:tcPr>
          <w:p w:rsidR="00565FD5" w:rsidRPr="00256F5A" w:rsidRDefault="00565FD5" w:rsidP="00AB62A3">
            <w:pPr>
              <w:ind w:left="-454" w:right="655" w:firstLine="454"/>
              <w:jc w:val="right"/>
              <w:rPr>
                <w:rFonts w:cs="Tahoma"/>
                <w:sz w:val="16"/>
                <w:szCs w:val="16"/>
              </w:rPr>
            </w:pPr>
            <w:r w:rsidRPr="00256F5A">
              <w:rPr>
                <w:rFonts w:cs="Tahoma"/>
                <w:sz w:val="16"/>
                <w:szCs w:val="16"/>
              </w:rPr>
              <w:t xml:space="preserve">716 </w:t>
            </w:r>
          </w:p>
        </w:tc>
      </w:tr>
      <w:tr w:rsidR="00565FD5" w:rsidRPr="00256F5A" w:rsidTr="00AB62A3">
        <w:trPr>
          <w:trHeight w:val="255"/>
        </w:trPr>
        <w:tc>
          <w:tcPr>
            <w:tcW w:w="3076" w:type="pct"/>
            <w:tcBorders>
              <w:top w:val="nil"/>
              <w:bottom w:val="single" w:sz="4" w:space="0" w:color="auto"/>
              <w:right w:val="nil"/>
            </w:tcBorders>
            <w:vAlign w:val="center"/>
          </w:tcPr>
          <w:p w:rsidR="00565FD5" w:rsidRPr="00256F5A" w:rsidRDefault="00565FD5" w:rsidP="00AB62A3">
            <w:pPr>
              <w:ind w:firstLine="72"/>
              <w:rPr>
                <w:rFonts w:cs="Tahoma"/>
                <w:sz w:val="16"/>
                <w:szCs w:val="16"/>
              </w:rPr>
            </w:pPr>
            <w:r w:rsidRPr="00256F5A">
              <w:rPr>
                <w:rFonts w:cs="Tahoma"/>
                <w:sz w:val="16"/>
                <w:szCs w:val="16"/>
              </w:rPr>
              <w:t>Haydarpaşa</w:t>
            </w:r>
          </w:p>
        </w:tc>
        <w:tc>
          <w:tcPr>
            <w:tcW w:w="1924" w:type="pct"/>
            <w:tcBorders>
              <w:top w:val="nil"/>
              <w:left w:val="nil"/>
              <w:bottom w:val="single" w:sz="4" w:space="0" w:color="auto"/>
            </w:tcBorders>
            <w:vAlign w:val="center"/>
          </w:tcPr>
          <w:p w:rsidR="00565FD5" w:rsidRPr="00256F5A" w:rsidRDefault="00565FD5" w:rsidP="00AB62A3">
            <w:pPr>
              <w:ind w:left="-454" w:right="655" w:firstLine="454"/>
              <w:jc w:val="right"/>
              <w:rPr>
                <w:rFonts w:cs="Tahoma"/>
                <w:sz w:val="16"/>
                <w:szCs w:val="16"/>
              </w:rPr>
            </w:pPr>
            <w:r w:rsidRPr="00256F5A">
              <w:rPr>
                <w:rFonts w:cs="Tahoma"/>
                <w:sz w:val="16"/>
                <w:szCs w:val="16"/>
              </w:rPr>
              <w:t>205</w:t>
            </w:r>
          </w:p>
        </w:tc>
      </w:tr>
    </w:tbl>
    <w:p w:rsidR="00565FD5" w:rsidRPr="00256F5A" w:rsidRDefault="00565FD5" w:rsidP="00565FD5">
      <w:pPr>
        <w:rPr>
          <w:rFonts w:cs="Tahoma"/>
          <w:sz w:val="14"/>
          <w:szCs w:val="14"/>
        </w:rPr>
      </w:pPr>
      <w:r w:rsidRPr="00256F5A">
        <w:rPr>
          <w:rFonts w:cs="Tahoma"/>
          <w:sz w:val="14"/>
          <w:szCs w:val="14"/>
        </w:rPr>
        <w:t xml:space="preserve">Kaynak: AB Enerji-Ulaştırma İstatistikleri, </w:t>
      </w:r>
    </w:p>
    <w:p w:rsidR="00565FD5" w:rsidRPr="00256F5A" w:rsidRDefault="00565FD5" w:rsidP="00565FD5">
      <w:pPr>
        <w:spacing w:after="240"/>
        <w:rPr>
          <w:rFonts w:cs="Tahoma"/>
          <w:sz w:val="14"/>
          <w:szCs w:val="14"/>
        </w:rPr>
      </w:pPr>
      <w:r w:rsidRPr="00256F5A">
        <w:rPr>
          <w:rFonts w:cs="Tahoma"/>
          <w:sz w:val="14"/>
          <w:szCs w:val="14"/>
        </w:rPr>
        <w:t xml:space="preserve">UDH Bakanlığı Deniz Ticareti İstatistikleri-2012 ve TCDD İstatistikleri </w:t>
      </w:r>
    </w:p>
    <w:p w:rsidR="00565FD5" w:rsidRDefault="00565FD5" w:rsidP="00565FD5">
      <w:pPr>
        <w:spacing w:after="160"/>
        <w:ind w:firstLine="425"/>
        <w:rPr>
          <w:szCs w:val="18"/>
        </w:rPr>
      </w:pPr>
      <w:r>
        <w:rPr>
          <w:szCs w:val="18"/>
        </w:rPr>
        <w:t>Artan ticaretin kesintisiz ve etkin bir şekilde akışını sağlayacak ve Türkiye’nin transit ülke konumuna gelmesini kolaylaştıracak büyük ölçekli ana limanların oluşturulmasına yönelik Kıyı Yapıları Master Planı ile Filyos ve Mersin Konteyner Limanlarına ilişkin teknik dokümanlar tamamlanmıştır.</w:t>
      </w:r>
    </w:p>
    <w:p w:rsidR="00565FD5" w:rsidRPr="00256F5A" w:rsidRDefault="00565FD5" w:rsidP="00565FD5">
      <w:pPr>
        <w:spacing w:after="160"/>
        <w:ind w:firstLine="425"/>
        <w:rPr>
          <w:szCs w:val="18"/>
        </w:rPr>
      </w:pPr>
      <w:r w:rsidRPr="00256F5A">
        <w:rPr>
          <w:szCs w:val="18"/>
        </w:rPr>
        <w:t xml:space="preserve">Çandarlı Limanının kamu kaynaklarıyla gerçekleştirilen mendirek inşaatı işine 2012 yılında devam edilmiştir. İzmir Alsancak Limanının geliştirilmesi ve yaklaşım kanalının taranmasına dair teknik çalışmalar yürütülmüştür. Türkiye kıyılarında deniz ve çevre emniyetini sağlamak amacıyla önemli körfezlerde Gemi Trafik Hizmetleri Projesi ve Acil Müdahale Merkezleri Projesi devam </w:t>
      </w:r>
      <w:r w:rsidRPr="00256F5A">
        <w:rPr>
          <w:szCs w:val="18"/>
        </w:rPr>
        <w:lastRenderedPageBreak/>
        <w:t xml:space="preserve">etmektedir. Yangın müdahalesi amacıyla 4 adet Fi-Fi 1 Klasında Römorkör temin edilmiştir. </w:t>
      </w:r>
    </w:p>
    <w:p w:rsidR="00565FD5" w:rsidRPr="00867EA0" w:rsidRDefault="00565FD5" w:rsidP="00565FD5">
      <w:pPr>
        <w:spacing w:after="120"/>
        <w:ind w:firstLine="426"/>
        <w:rPr>
          <w:b/>
        </w:rPr>
      </w:pPr>
      <w:r w:rsidRPr="00867EA0">
        <w:rPr>
          <w:b/>
        </w:rPr>
        <w:t>Havayolu</w:t>
      </w:r>
    </w:p>
    <w:p w:rsidR="00565FD5" w:rsidRPr="00256F5A" w:rsidRDefault="00565FD5" w:rsidP="00565FD5">
      <w:r w:rsidRPr="00256F5A">
        <w:tab/>
        <w:t xml:space="preserve">Iğdır ve Kocaeli Cengiz Topel Havalimanlarının işletmeye açılmasıyla Devlet Hava Meydanları İşletmesi Genel Müdürlüğü (DHMİ) tarafından işletilen havalimanı sayısı 44’e ulaşmıştır. Bunun dışında Anadolu Üniversitesi tarafından işletilen Eskişehir Anadolu Havalimanı, Türk Hava Yolları A.O. tarafından işletilen Aydın Çıldır Havalimanı ve özel şirket tarafından işletilen İstanbul Sabiha Gökçen, Zonguldak Çaycuma ve Antalya Gazipaşa Havalimanlarıyla sivil trafiğe açık meydan sayısı 49’dur. </w:t>
      </w:r>
    </w:p>
    <w:p w:rsidR="00565FD5" w:rsidRPr="00256F5A" w:rsidRDefault="00565FD5" w:rsidP="00565FD5"/>
    <w:p w:rsidR="00565FD5" w:rsidRPr="00256F5A" w:rsidRDefault="00565FD5" w:rsidP="00565FD5">
      <w:r w:rsidRPr="00256F5A">
        <w:tab/>
        <w:t xml:space="preserve">DHMİ bünyesindeki hava meydanlarından Atatürk, Esenboğa ve Antalya Havalimanlarında iç ve dış hat terminalleri, Adnan Menderes ve Dalaman Havalimanlarında ise dış hat terminalleri özel sektör tarafından işletilmektedir. Yine özel sektör tarafından işletilmekte olan Sabiha Gökçen Havalimanı da ilave edildiğinde, Kamu Özel İşbirliği modeliyle işletilen meydanların toplam yolcu trafiği içindeki payı 2011 yılı sonunda iç hatlarda yüzde 68,4 dış hatlarda ise yüzde 97,4 düzeyine erişmiştir. </w:t>
      </w:r>
    </w:p>
    <w:p w:rsidR="00565FD5" w:rsidRPr="00256F5A" w:rsidRDefault="00565FD5" w:rsidP="00565FD5">
      <w:pPr>
        <w:spacing w:before="120" w:after="120"/>
        <w:ind w:firstLine="425"/>
        <w:rPr>
          <w:szCs w:val="18"/>
        </w:rPr>
      </w:pPr>
      <w:r w:rsidRPr="00256F5A">
        <w:rPr>
          <w:szCs w:val="18"/>
        </w:rPr>
        <w:t>2011 yılında havalimanı ve hava meydanlarında gerçekleşen yolcu trafiği, bir önceki yıla göre dış hatlarda yüzde 13,7 oranında artarak 59,4 milyon, iç hatlarda yüzde 15,2 oranında artarak 58,3 milyon ve toplamda ise yüzde 14,4 oranında artarak 117,6 milyon yolcu olarak gerçekleşmiştir. 2012 yılında toplam trafiğin yaklaşık 130 milyon yolcu olarak gerçekleşmesi beklenmektedir.</w:t>
      </w:r>
    </w:p>
    <w:p w:rsidR="00565FD5" w:rsidRPr="00250B7F" w:rsidRDefault="00565FD5" w:rsidP="00565FD5">
      <w:pPr>
        <w:spacing w:before="120" w:after="120"/>
        <w:ind w:firstLine="425"/>
        <w:rPr>
          <w:szCs w:val="18"/>
        </w:rPr>
      </w:pPr>
      <w:r w:rsidRPr="00250B7F">
        <w:rPr>
          <w:szCs w:val="18"/>
        </w:rPr>
        <w:t xml:space="preserve">Ülkemiz hava meydanlarındaki yolcu trafiğinin yaklaşık yüzde 89,4’ü Atatürk, Antalya, Esenboğa, Adnan Menderes, Dalaman, Bodrum/Milas, Adana, Trabzon ve Sabiha Gökçen havalimanlarında gerçekleşmektedir. Bu meydanların kapasitelerinin artırılmasına yönelik yatırımlar ile hizmet standartlarının yükseltilmesi ve hava trafik yönetimiyle ilgili projeler sektör açısından önceliğini korumaktadır. </w:t>
      </w:r>
    </w:p>
    <w:p w:rsidR="00565FD5" w:rsidRPr="00250B7F" w:rsidRDefault="00565FD5" w:rsidP="00565FD5">
      <w:pPr>
        <w:spacing w:before="120" w:after="120"/>
        <w:ind w:firstLine="425"/>
        <w:rPr>
          <w:szCs w:val="18"/>
        </w:rPr>
      </w:pPr>
      <w:r w:rsidRPr="00250B7F">
        <w:rPr>
          <w:szCs w:val="18"/>
        </w:rPr>
        <w:lastRenderedPageBreak/>
        <w:t>YİD modeliyle ihale edilen Zafer Havaalanı ile kamu kaynaklarıyla yürütülen Ordu-Giresun, Şırnak, Hakkâri-Yüksekova ve Bingöl Havaalanlarının inşaat çalışmaları devam etmektedir.</w:t>
      </w:r>
    </w:p>
    <w:p w:rsidR="00565FD5" w:rsidRPr="00256F5A" w:rsidRDefault="00565FD5" w:rsidP="00565FD5">
      <w:pPr>
        <w:spacing w:after="180"/>
        <w:ind w:firstLine="425"/>
        <w:rPr>
          <w:b/>
          <w:szCs w:val="18"/>
        </w:rPr>
      </w:pPr>
      <w:r w:rsidRPr="00256F5A">
        <w:rPr>
          <w:b/>
          <w:szCs w:val="18"/>
        </w:rPr>
        <w:t>Kent İçi Ulaşım</w:t>
      </w:r>
    </w:p>
    <w:p w:rsidR="00565FD5" w:rsidRPr="00256F5A" w:rsidRDefault="00565FD5" w:rsidP="00565FD5">
      <w:pPr>
        <w:spacing w:after="240"/>
        <w:ind w:firstLine="425"/>
        <w:rPr>
          <w:szCs w:val="18"/>
        </w:rPr>
      </w:pPr>
      <w:bookmarkStart w:id="1627" w:name="_Toc276076285"/>
      <w:bookmarkStart w:id="1628" w:name="_Toc244339606"/>
      <w:bookmarkStart w:id="1629" w:name="_Toc244315143"/>
      <w:bookmarkStart w:id="1630" w:name="_Toc244313667"/>
      <w:bookmarkStart w:id="1631" w:name="_Toc244254932"/>
      <w:bookmarkStart w:id="1632" w:name="_Toc244253682"/>
      <w:bookmarkStart w:id="1633" w:name="_Toc307601991"/>
      <w:bookmarkStart w:id="1634" w:name="_Toc307670440"/>
      <w:bookmarkStart w:id="1635" w:name="_Toc307701666"/>
      <w:r w:rsidRPr="00256F5A">
        <w:rPr>
          <w:szCs w:val="18"/>
        </w:rPr>
        <w:t xml:space="preserve">Türkiye’de 2012 yılı Ekim ayı itibarıyla 11 şehirde (İstanbul, Ankara, İzmir, Adana, Bursa, Eskişehir, Kayseri, Samsun, Antalya, Konya ve Gaziantep) raylı toplu taşıma sistemi (metro, hafif raylı sistem, tramvay) işletilmektedir. Proje büyüklükleri bazında İstanbul Büyükşehir Belediyesince yürütülen raylı sistem projeleri önem arz etmektedir. </w:t>
      </w:r>
    </w:p>
    <w:p w:rsidR="00565FD5" w:rsidRPr="00256F5A" w:rsidRDefault="00565FD5" w:rsidP="00565FD5">
      <w:pPr>
        <w:spacing w:after="240"/>
        <w:ind w:firstLine="425"/>
        <w:rPr>
          <w:szCs w:val="18"/>
        </w:rPr>
      </w:pPr>
      <w:r w:rsidRPr="00256F5A">
        <w:rPr>
          <w:szCs w:val="18"/>
        </w:rPr>
        <w:t xml:space="preserve">Günümüzde işletilmekte olan raylı sistem projeleri gerek yabancı gerekse yerli finansman kaynakları kullanılarak ilgili Belediyelerce tamamlanmıştır. Ancak başta Ankara olmak üzere bazı şehirlerimizde raylı sistem projelerinin yapımında çeşitli sebeplerden dolayı gecikmeler meydana gelmiştir. Bu gecikmelerin engellenmesi ve yarım kalan projelerin tamamlanabilmesi amacıyla raylı sistem projelerinin Ulaştırma Denizcilik ve Haberleşme Bakanlığınca genel bütçe kaynaklarından yaptırılması imkânı getirilmiştir. </w:t>
      </w:r>
    </w:p>
    <w:p w:rsidR="00565FD5" w:rsidRDefault="00565FD5" w:rsidP="00565FD5">
      <w:pPr>
        <w:spacing w:after="240"/>
        <w:ind w:firstLine="425"/>
        <w:rPr>
          <w:szCs w:val="18"/>
        </w:rPr>
      </w:pPr>
      <w:r w:rsidRPr="00256F5A">
        <w:rPr>
          <w:szCs w:val="18"/>
        </w:rPr>
        <w:t>Söz konusu düzenlemeye dayanılarak alınan Bakanlar Kurulu Kararlarıyla da Ulaştırma</w:t>
      </w:r>
      <w:r>
        <w:rPr>
          <w:szCs w:val="18"/>
        </w:rPr>
        <w:t>,</w:t>
      </w:r>
      <w:r w:rsidRPr="00256F5A">
        <w:rPr>
          <w:szCs w:val="18"/>
        </w:rPr>
        <w:t xml:space="preserve"> Denizcilik ve Haberleşme Bakanlığına Ankara ve İstanbul Büyükşehir Belediyelerinin yürütmekte olduğu bazı metro projelerini devralma yetkisi verilmiştir. Bu çerçevede Ankara metro projeleri Ulaştırma Bakanlığının Yatırım Programına dahil edilmiş olup yapım süreci devam etmektedir. Kızılay-Çayyolu ve Batıkent-Sincan metro projelerinin 2013 yılında, Tandoğan-Keçiören metro projesinin ise 2014 yılında tamamlanması beklenmektedir. Ayrıca İstanbul metro projelerinin Ulaştırma Bakanlığına devriyle ilgili işlemler devam etmektedir. </w:t>
      </w:r>
    </w:p>
    <w:p w:rsidR="00565FD5" w:rsidRPr="00256F5A" w:rsidRDefault="00565FD5" w:rsidP="00565FD5">
      <w:pPr>
        <w:spacing w:after="240"/>
        <w:ind w:firstLine="425"/>
        <w:rPr>
          <w:color w:val="FF0000"/>
          <w:szCs w:val="18"/>
          <w:u w:val="single"/>
        </w:rPr>
      </w:pPr>
    </w:p>
    <w:p w:rsidR="00565FD5" w:rsidRPr="00256F5A" w:rsidRDefault="00565FD5" w:rsidP="00565FD5">
      <w:pPr>
        <w:pStyle w:val="Balk4"/>
      </w:pPr>
      <w:bookmarkStart w:id="1636" w:name="_Toc338505573"/>
      <w:bookmarkStart w:id="1637" w:name="_Toc338523800"/>
      <w:bookmarkStart w:id="1638" w:name="_Toc338524031"/>
      <w:bookmarkStart w:id="1639" w:name="_Toc338526257"/>
      <w:bookmarkStart w:id="1640" w:name="_Toc338673700"/>
      <w:bookmarkStart w:id="1641" w:name="_Toc338711579"/>
      <w:r w:rsidRPr="00256F5A">
        <w:t>2. Temel Amaç ve Hedefler</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r w:rsidRPr="00256F5A">
        <w:t xml:space="preserve"> </w:t>
      </w:r>
    </w:p>
    <w:p w:rsidR="00565FD5" w:rsidRPr="00256F5A" w:rsidRDefault="00565FD5" w:rsidP="00565FD5">
      <w:pPr>
        <w:spacing w:before="120" w:after="120"/>
        <w:ind w:firstLine="425"/>
        <w:rPr>
          <w:rFonts w:cs="Tahoma"/>
          <w:szCs w:val="18"/>
        </w:rPr>
      </w:pPr>
      <w:r w:rsidRPr="00256F5A">
        <w:rPr>
          <w:rFonts w:cs="Tahoma"/>
          <w:szCs w:val="18"/>
        </w:rPr>
        <w:t xml:space="preserve">Ulaştırma sektöründeki temel amaç, ülke ekonomisinin ve sosyal hayatın gereksinimlerine uygun, taşıma türleri arasında dengenin sağlandığı, çağdaş teknoloji ve uluslararası kurallarla uyumlu, çevreye duyarlı, ekonomik ve güvenli taşımacılığın yapıldığı bir ulaştırma altyapısının zamanında oluşturulmasıdır. </w:t>
      </w:r>
      <w:r w:rsidRPr="00256F5A">
        <w:rPr>
          <w:rFonts w:cs="Tahoma"/>
          <w:szCs w:val="18"/>
        </w:rPr>
        <w:lastRenderedPageBreak/>
        <w:t>Ulaştırma alt sektörlerinin birbirlerini tamamlayıcı nitelikte çalışması ve kombine taşımacılığın yaygınlaştırılması esastır.</w:t>
      </w:r>
    </w:p>
    <w:p w:rsidR="00565FD5" w:rsidRPr="00256F5A" w:rsidRDefault="00565FD5" w:rsidP="00565FD5">
      <w:pPr>
        <w:spacing w:before="120" w:after="120"/>
        <w:ind w:firstLine="425"/>
        <w:rPr>
          <w:rFonts w:cs="Tahoma"/>
          <w:szCs w:val="18"/>
        </w:rPr>
      </w:pPr>
      <w:r w:rsidRPr="00256F5A">
        <w:rPr>
          <w:rFonts w:cs="Tahoma"/>
          <w:szCs w:val="18"/>
        </w:rPr>
        <w:t xml:space="preserve">Karayolu sektöründe temel hedef, bölünmüş yol yapım çalışmalarına öncelikle yoğun taşıt trafiğine sahip ana güzergâhlarda devam edilmesi; ağır taşıt trafiği yüksek güzergâhların BSK kaplamalı hale getirilmesi; trafik güvenliği altyapısı ve denetim hizmetlerinin iyileştirilmesi ve kara noktaların giderilmesi suretiyle yüksek kalite standartlarında hizmet veren, güvenli ve diğer taşıma türleriyle uyumlu bir karayolu ağının oluşturulmasıdır. Bu kapsamda 2013 yılında toplam 1.075 km bölünmüş yol, 1.148 km tek platformlu yol, 4.344 km BSK </w:t>
      </w:r>
      <w:r>
        <w:rPr>
          <w:rFonts w:cs="Tahoma"/>
          <w:szCs w:val="18"/>
        </w:rPr>
        <w:t>yapılması öngörülmektedir</w:t>
      </w:r>
      <w:r w:rsidRPr="00256F5A">
        <w:rPr>
          <w:rFonts w:cs="Tahoma"/>
          <w:szCs w:val="18"/>
        </w:rPr>
        <w:t>.</w:t>
      </w:r>
    </w:p>
    <w:p w:rsidR="00565FD5" w:rsidRPr="00256F5A" w:rsidRDefault="00565FD5" w:rsidP="00565FD5">
      <w:pPr>
        <w:spacing w:before="120" w:after="120"/>
        <w:ind w:firstLine="425"/>
        <w:rPr>
          <w:rFonts w:cs="Tahoma"/>
          <w:szCs w:val="18"/>
        </w:rPr>
      </w:pPr>
      <w:r w:rsidRPr="00256F5A">
        <w:rPr>
          <w:rFonts w:cs="Tahoma"/>
          <w:szCs w:val="18"/>
        </w:rPr>
        <w:t xml:space="preserve">Otoyollarda mevcut altyapının korunmasına önem ve öncelik verilecek, akıllı ulaşım sistemleri kapsamında otomatik geçiş sistemleri yaygınlaştırılacak, sürücü bilgilendirme ve trafik yönetim sistemleri tesis edilecektir. </w:t>
      </w:r>
    </w:p>
    <w:p w:rsidR="00565FD5" w:rsidRPr="00256F5A" w:rsidRDefault="00565FD5" w:rsidP="00565FD5">
      <w:pPr>
        <w:spacing w:before="120" w:after="120"/>
        <w:ind w:firstLine="425"/>
        <w:rPr>
          <w:rFonts w:cs="Tahoma"/>
          <w:szCs w:val="18"/>
        </w:rPr>
      </w:pPr>
      <w:r w:rsidRPr="00256F5A">
        <w:rPr>
          <w:rFonts w:cs="Tahoma"/>
          <w:szCs w:val="18"/>
        </w:rPr>
        <w:t xml:space="preserve">Karayollarında meydana gelen trafik kaza sayısı ile trafik kazalarından kaynaklanan ölüm ve yaralanmaların sayısının azaltılması amacıyla Emniyet Genel Müdürlüğünün koordinatörlüğünde, ilgili kurum ve kuruluşlarla işbirliği içerisinde hazırlanan Karayolu Trafik Güvenliği Stratejisi ve Eylem Planı etkin bir şekilde hayata </w:t>
      </w:r>
      <w:r>
        <w:rPr>
          <w:rFonts w:cs="Tahoma"/>
          <w:szCs w:val="18"/>
        </w:rPr>
        <w:t>geçirilecektir.</w:t>
      </w:r>
    </w:p>
    <w:p w:rsidR="00565FD5" w:rsidRPr="00256F5A" w:rsidRDefault="00565FD5" w:rsidP="00565FD5">
      <w:pPr>
        <w:spacing w:before="120" w:after="120"/>
        <w:ind w:firstLine="425"/>
        <w:rPr>
          <w:rFonts w:cs="Tahoma"/>
          <w:szCs w:val="18"/>
        </w:rPr>
      </w:pPr>
      <w:r w:rsidRPr="00256F5A">
        <w:rPr>
          <w:rFonts w:cs="Tahoma"/>
          <w:szCs w:val="18"/>
        </w:rPr>
        <w:t>Yük taşımalarının demiryolu ağırlıklı yapılması ulaştırma sektöründe stratejik bir amaçtır. Bu doğrultuda demiryolunda özel sektör tren işletmeciliği geliştirilecektir. Yük taşımacılığı özel sektörün işletmecilik avantajlarından yararlanmak üzere serbestleştirilecek ve TCDD yeniden yapılandırılarak kamu üzerindeki mali yükü sürdürülebilir bir seviyeye getirilecektir. Özel sektörle ortaklıklara gidilerek başta sanayi bölgelerine olmak üzere demiryolu bağlantı hatları yapılacak ve araç yatırımları özel sektöre bırakılacaktır.</w:t>
      </w:r>
    </w:p>
    <w:p w:rsidR="00565FD5" w:rsidRPr="00256F5A" w:rsidRDefault="00565FD5" w:rsidP="00565FD5">
      <w:pPr>
        <w:spacing w:before="120" w:after="120"/>
        <w:ind w:firstLine="425"/>
        <w:rPr>
          <w:rFonts w:cs="Tahoma"/>
          <w:szCs w:val="18"/>
        </w:rPr>
      </w:pPr>
      <w:r w:rsidRPr="00256F5A">
        <w:rPr>
          <w:rFonts w:cs="Tahoma"/>
          <w:szCs w:val="18"/>
        </w:rPr>
        <w:t xml:space="preserve">Artan trafiğe çözüm üretecek büyük limanların oluşturulması amacı çerçevesinde 2013 yılında, Çandarlı Limanının mendirek inşaatı tamamlanacak, birinci aşamasına ait diğer altyapı ve üstyapı işlerinin YİD modeliyle ihalesi gerçekleştirilecektir. Türk limanlarının AB deniz otoyolları ana aksları ve uluslararası taşımacılık koridorları üzerinde yer alması yönündeki çalışmalara devam edilecektir. Bu kapsamda, Mersin Konteyner ve Filyos Limanlarının yapımı ile İzmir-Alsancak Limanının geliştirilmesi önemli projelerdir. Deniz emniyeti kapsamında yürütülen projelerin tamamlanmasına öncelik verilecektir. </w:t>
      </w:r>
    </w:p>
    <w:p w:rsidR="00565FD5" w:rsidRDefault="00565FD5" w:rsidP="00565FD5">
      <w:pPr>
        <w:spacing w:before="120" w:after="120"/>
        <w:ind w:firstLine="425"/>
      </w:pPr>
      <w:r w:rsidRPr="00256F5A">
        <w:rPr>
          <w:rFonts w:cs="Tahoma"/>
          <w:szCs w:val="18"/>
        </w:rPr>
        <w:lastRenderedPageBreak/>
        <w:t>2013 yılında havalimanı ve havaalanlarındaki toplam trafiğin 143 milyon yolc</w:t>
      </w:r>
      <w:r w:rsidRPr="00256F5A">
        <w:t xml:space="preserve">uya yükselmesi beklenmektedir. Sektörde, sistem planlaması anlayışıyla, ülkemizdeki havaalanları altyapısının mevcut durum analizinin yapılmasının ardından değerlendirme ve önceliklendirme yapılabilmesine imkân verecek ve bunun sonucunda orta ve uzun vadeli yatırımları yönlendirecek Hava Ulaşımı Genel Etüdü çalışması başlatılacaktır. </w:t>
      </w:r>
      <w:r>
        <w:t xml:space="preserve">İstanbul 3. Havalimanının yapım çalışmalarına başlanacaktır. </w:t>
      </w:r>
    </w:p>
    <w:p w:rsidR="00565FD5" w:rsidRPr="00256F5A" w:rsidRDefault="00565FD5" w:rsidP="00565FD5">
      <w:pPr>
        <w:spacing w:before="120" w:after="120"/>
        <w:ind w:firstLine="425"/>
      </w:pPr>
      <w:r w:rsidRPr="00256F5A">
        <w:rPr>
          <w:rFonts w:cs="Tahoma"/>
          <w:szCs w:val="18"/>
        </w:rPr>
        <w:t xml:space="preserve">Kentlerimizde en yaygın ve temel toplu taşım türü olan otobüs sistemlerinin geliştirilmesine öncelik verilecek, raylı sistem yatırımları </w:t>
      </w:r>
      <w:r>
        <w:rPr>
          <w:rFonts w:cs="Tahoma"/>
          <w:szCs w:val="18"/>
        </w:rPr>
        <w:t>doruk</w:t>
      </w:r>
      <w:r w:rsidRPr="00256F5A">
        <w:rPr>
          <w:rFonts w:cs="Tahoma"/>
          <w:szCs w:val="18"/>
        </w:rPr>
        <w:t xml:space="preserve"> saatte, tek yönde 15.000 yolcu/saat üzerinde yolculuk talebine sahip koridorlarda gerçekleştirilecektir. Raylı sistem projelerinin yatırım programına alınması aşamasında projelerin ekonomik ve mali yapılabilirliğinin yanı sıra, teklif veren belediyenin mali yapısı da göz önünde bulundurulacaktır. Projelerin finansmanında özkaynak kullanımı esas olacak, dış finansman kaynakları sadece yüksek teknoloji uygulamalarını içeren işlerin yapımında kullanılacaktır. Kent içi raylı sistem projelerinde yerli sanayiden azami ölçüde faydalanılacaktır. Uluslararası rekabet gücünün artırılabilmesi amacıyla, projelerin planlama sürecinden başlayarak finansmanının sağlanmasına kadar bütün aşamalarda, belediyeler yerel sanayi ile işbirliğine yönlendirilecektir. Hazine garantili dış krediyle gerçekleştirilecek raylı sistem projelerinde toplam maliyetin asgari yüzde 25’i belediye özkaynaklarından karşılanacaktır.</w:t>
      </w:r>
    </w:p>
    <w:p w:rsidR="00565FD5" w:rsidRPr="00256F5A" w:rsidRDefault="00565FD5" w:rsidP="00565FD5">
      <w:pPr>
        <w:spacing w:before="120" w:after="120"/>
        <w:ind w:firstLine="425"/>
      </w:pPr>
      <w:r w:rsidRPr="00256F5A">
        <w:t>Kent içi ulaşımda gerek yerel</w:t>
      </w:r>
      <w:r w:rsidRPr="00256F5A">
        <w:rPr>
          <w:rFonts w:cs="Tahoma"/>
          <w:szCs w:val="18"/>
        </w:rPr>
        <w:t xml:space="preserve"> düzeyde gerekse merkezi idare düzeyinde, proje seçimi ve finansmanı ile yapım ve işletme aşamalarında uygulanacak ulusal standartların oluşturulması çalışmalarına öncelik verilecektir. </w:t>
      </w:r>
    </w:p>
    <w:p w:rsidR="00565FD5" w:rsidRPr="00256F5A" w:rsidRDefault="00565FD5" w:rsidP="00565FD5">
      <w:pPr>
        <w:spacing w:before="120" w:after="120"/>
        <w:ind w:firstLine="425"/>
        <w:rPr>
          <w:rFonts w:cs="Tahoma"/>
          <w:szCs w:val="18"/>
        </w:rPr>
      </w:pPr>
      <w:r w:rsidRPr="00256F5A">
        <w:t>2013 yılında Ulaştırma, Denizcilik ve Haberleşme</w:t>
      </w:r>
      <w:r w:rsidRPr="00256F5A">
        <w:rPr>
          <w:rFonts w:cs="Tahoma"/>
          <w:szCs w:val="18"/>
        </w:rPr>
        <w:t xml:space="preserve"> Bakanlığı tarafından devralınan Ankara metrolarında yapım çalışmalarına devam edilecektir. İstanbul metrolarında da protokol imzalanması ve ihale aşamalarının ardından yapım çalışmalarının başlatılması beklenmektedir.  </w:t>
      </w:r>
    </w:p>
    <w:p w:rsidR="00565FD5" w:rsidRPr="00256F5A" w:rsidRDefault="00565FD5" w:rsidP="00565FD5">
      <w:pPr>
        <w:pStyle w:val="Balk4"/>
      </w:pPr>
      <w:bookmarkStart w:id="1642" w:name="_Toc307601992"/>
      <w:bookmarkStart w:id="1643" w:name="_Toc307670441"/>
      <w:bookmarkStart w:id="1644" w:name="_Toc307701667"/>
      <w:bookmarkStart w:id="1645" w:name="_Toc338505574"/>
      <w:bookmarkStart w:id="1646" w:name="_Toc338523801"/>
      <w:bookmarkStart w:id="1647" w:name="_Toc338524032"/>
      <w:bookmarkStart w:id="1648" w:name="_Toc338526258"/>
      <w:bookmarkStart w:id="1649" w:name="_Toc338673701"/>
      <w:bookmarkStart w:id="1650" w:name="_Toc338711580"/>
      <w:r w:rsidRPr="00256F5A">
        <w:t>3. Politika Öncelikleri ve Tedbirler</w:t>
      </w:r>
      <w:bookmarkEnd w:id="1642"/>
      <w:bookmarkEnd w:id="1643"/>
      <w:bookmarkEnd w:id="1644"/>
      <w:bookmarkEnd w:id="1645"/>
      <w:bookmarkEnd w:id="1646"/>
      <w:bookmarkEnd w:id="1647"/>
      <w:bookmarkEnd w:id="1648"/>
      <w:bookmarkEnd w:id="1649"/>
      <w:bookmarkEnd w:id="1650"/>
    </w:p>
    <w:tbl>
      <w:tblPr>
        <w:tblW w:w="7144"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2320"/>
        <w:gridCol w:w="1679"/>
        <w:gridCol w:w="682"/>
        <w:gridCol w:w="2463"/>
      </w:tblGrid>
      <w:tr w:rsidR="00565FD5" w:rsidRPr="00256F5A" w:rsidTr="00AB62A3">
        <w:trPr>
          <w:trHeight w:val="20"/>
          <w:jc w:val="center"/>
        </w:trPr>
        <w:tc>
          <w:tcPr>
            <w:tcW w:w="1624" w:type="pct"/>
            <w:vAlign w:val="bottom"/>
          </w:tcPr>
          <w:p w:rsidR="00565FD5" w:rsidRPr="00256F5A" w:rsidRDefault="00565FD5" w:rsidP="00AB62A3">
            <w:pPr>
              <w:spacing w:before="40" w:after="40"/>
              <w:ind w:left="57"/>
              <w:rPr>
                <w:rFonts w:cs="Tahoma"/>
                <w:b/>
                <w:bCs/>
                <w:sz w:val="16"/>
                <w:szCs w:val="16"/>
                <w:lang w:eastAsia="tr-TR"/>
              </w:rPr>
            </w:pPr>
            <w:r w:rsidRPr="00256F5A">
              <w:rPr>
                <w:rFonts w:cs="Tahoma"/>
                <w:b/>
                <w:bCs/>
                <w:sz w:val="16"/>
                <w:szCs w:val="16"/>
                <w:lang w:eastAsia="tr-TR"/>
              </w:rPr>
              <w:t>Öncelik/Tedbir</w:t>
            </w:r>
          </w:p>
        </w:tc>
        <w:tc>
          <w:tcPr>
            <w:tcW w:w="1175" w:type="pct"/>
            <w:vAlign w:val="bottom"/>
          </w:tcPr>
          <w:p w:rsidR="00565FD5" w:rsidRPr="00256F5A" w:rsidRDefault="00565FD5" w:rsidP="00AB62A3">
            <w:pPr>
              <w:spacing w:before="40" w:after="40"/>
              <w:ind w:left="57"/>
              <w:rPr>
                <w:rFonts w:cs="Tahoma"/>
                <w:b/>
                <w:bCs/>
                <w:sz w:val="16"/>
                <w:szCs w:val="16"/>
                <w:lang w:eastAsia="tr-TR"/>
              </w:rPr>
            </w:pPr>
            <w:r w:rsidRPr="00256F5A">
              <w:rPr>
                <w:rFonts w:cs="Tahoma"/>
                <w:b/>
                <w:bCs/>
                <w:sz w:val="16"/>
                <w:szCs w:val="16"/>
                <w:lang w:eastAsia="tr-TR"/>
              </w:rPr>
              <w:t>Sorumlu / İşbirliği Yapılacak Kuruluşlar</w:t>
            </w:r>
          </w:p>
        </w:tc>
        <w:tc>
          <w:tcPr>
            <w:tcW w:w="477" w:type="pct"/>
            <w:vAlign w:val="bottom"/>
          </w:tcPr>
          <w:p w:rsidR="00565FD5" w:rsidRPr="00256F5A" w:rsidRDefault="00565FD5" w:rsidP="00AB62A3">
            <w:pPr>
              <w:spacing w:before="40" w:after="40"/>
              <w:ind w:left="57"/>
              <w:rPr>
                <w:rFonts w:cs="Tahoma"/>
                <w:b/>
                <w:bCs/>
                <w:sz w:val="16"/>
                <w:szCs w:val="16"/>
                <w:lang w:eastAsia="tr-TR"/>
              </w:rPr>
            </w:pPr>
            <w:r w:rsidRPr="00256F5A">
              <w:rPr>
                <w:rFonts w:cs="Tahoma"/>
                <w:b/>
                <w:bCs/>
                <w:sz w:val="16"/>
                <w:szCs w:val="16"/>
                <w:lang w:eastAsia="tr-TR"/>
              </w:rPr>
              <w:t>Süre</w:t>
            </w:r>
          </w:p>
        </w:tc>
        <w:tc>
          <w:tcPr>
            <w:tcW w:w="1724" w:type="pct"/>
            <w:vAlign w:val="bottom"/>
          </w:tcPr>
          <w:p w:rsidR="00565FD5" w:rsidRPr="00256F5A" w:rsidRDefault="00565FD5" w:rsidP="00AB62A3">
            <w:pPr>
              <w:spacing w:before="40" w:after="40"/>
              <w:ind w:left="57"/>
              <w:rPr>
                <w:rFonts w:cs="Tahoma"/>
                <w:b/>
                <w:bCs/>
                <w:sz w:val="16"/>
                <w:szCs w:val="16"/>
                <w:lang w:eastAsia="tr-TR"/>
              </w:rPr>
            </w:pPr>
            <w:r w:rsidRPr="00256F5A">
              <w:rPr>
                <w:rFonts w:cs="Tahoma"/>
                <w:b/>
                <w:bCs/>
                <w:sz w:val="16"/>
                <w:szCs w:val="16"/>
                <w:lang w:eastAsia="tr-TR"/>
              </w:rPr>
              <w:t>Yapılacak İşlem ve Açıklama</w:t>
            </w:r>
          </w:p>
        </w:tc>
      </w:tr>
      <w:tr w:rsidR="00565FD5" w:rsidRPr="00256F5A" w:rsidTr="00AB62A3">
        <w:trPr>
          <w:trHeight w:val="20"/>
          <w:jc w:val="center"/>
        </w:trPr>
        <w:tc>
          <w:tcPr>
            <w:tcW w:w="5000" w:type="pct"/>
            <w:gridSpan w:val="4"/>
          </w:tcPr>
          <w:p w:rsidR="00565FD5" w:rsidRPr="00256F5A" w:rsidRDefault="00565FD5" w:rsidP="00EB1E69">
            <w:pPr>
              <w:numPr>
                <w:ilvl w:val="0"/>
                <w:numId w:val="15"/>
              </w:numPr>
              <w:spacing w:before="40" w:after="40" w:line="240" w:lineRule="auto"/>
              <w:rPr>
                <w:rFonts w:cs="Tahoma"/>
                <w:b/>
                <w:bCs/>
                <w:sz w:val="16"/>
                <w:szCs w:val="16"/>
                <w:lang w:eastAsia="tr-TR"/>
              </w:rPr>
            </w:pPr>
            <w:r w:rsidRPr="00256F5A">
              <w:rPr>
                <w:rFonts w:cs="Tahoma"/>
                <w:b/>
                <w:bCs/>
                <w:sz w:val="16"/>
                <w:szCs w:val="16"/>
                <w:lang w:eastAsia="tr-TR"/>
              </w:rPr>
              <w:t xml:space="preserve">Ulaştırmanın tüm türlerinde trafik güvenliği ve emniyeti artırılacaktır. </w:t>
            </w:r>
          </w:p>
        </w:tc>
      </w:tr>
      <w:tr w:rsidR="00565FD5" w:rsidRPr="00256F5A" w:rsidTr="00AB62A3">
        <w:trPr>
          <w:trHeight w:val="20"/>
          <w:jc w:val="center"/>
        </w:trPr>
        <w:tc>
          <w:tcPr>
            <w:tcW w:w="1624" w:type="pct"/>
          </w:tcPr>
          <w:p w:rsidR="00565FD5" w:rsidRPr="00256F5A" w:rsidRDefault="00565FD5" w:rsidP="00EB1E69">
            <w:pPr>
              <w:numPr>
                <w:ilvl w:val="0"/>
                <w:numId w:val="14"/>
              </w:numPr>
              <w:spacing w:before="40" w:after="40" w:line="240" w:lineRule="auto"/>
              <w:rPr>
                <w:rFonts w:cs="Tahoma"/>
                <w:sz w:val="16"/>
                <w:szCs w:val="16"/>
                <w:lang w:eastAsia="tr-TR"/>
              </w:rPr>
            </w:pPr>
            <w:r w:rsidRPr="00256F5A">
              <w:rPr>
                <w:rFonts w:cs="Tahoma"/>
                <w:sz w:val="16"/>
                <w:szCs w:val="16"/>
                <w:lang w:eastAsia="tr-TR"/>
              </w:rPr>
              <w:t xml:space="preserve">Karayolu altyapısındaki kara noktalar </w:t>
            </w:r>
            <w:r w:rsidRPr="00256F5A">
              <w:rPr>
                <w:rFonts w:cs="Tahoma"/>
                <w:sz w:val="16"/>
                <w:szCs w:val="16"/>
                <w:lang w:eastAsia="tr-TR"/>
              </w:rPr>
              <w:lastRenderedPageBreak/>
              <w:t>iyileştirilecektir.</w:t>
            </w:r>
          </w:p>
        </w:tc>
        <w:tc>
          <w:tcPr>
            <w:tcW w:w="1175" w:type="pct"/>
          </w:tcPr>
          <w:p w:rsidR="00565FD5" w:rsidRPr="00256F5A" w:rsidRDefault="00565FD5" w:rsidP="00AB62A3">
            <w:pPr>
              <w:spacing w:before="40" w:after="40"/>
              <w:ind w:left="57"/>
              <w:rPr>
                <w:rFonts w:cs="Tahoma"/>
                <w:sz w:val="16"/>
                <w:szCs w:val="16"/>
                <w:lang w:eastAsia="tr-TR"/>
              </w:rPr>
            </w:pPr>
            <w:r w:rsidRPr="00256F5A">
              <w:rPr>
                <w:rFonts w:cs="Tahoma"/>
                <w:sz w:val="16"/>
                <w:szCs w:val="16"/>
                <w:lang w:eastAsia="tr-TR"/>
              </w:rPr>
              <w:lastRenderedPageBreak/>
              <w:t xml:space="preserve">Karayolları Genel Müdürlüğü (S), Emniyet </w:t>
            </w:r>
            <w:r w:rsidRPr="00256F5A">
              <w:rPr>
                <w:rFonts w:cs="Tahoma"/>
                <w:sz w:val="16"/>
                <w:szCs w:val="16"/>
                <w:lang w:eastAsia="tr-TR"/>
              </w:rPr>
              <w:lastRenderedPageBreak/>
              <w:t xml:space="preserve">Genel Müdürlüğü, TCDD </w:t>
            </w:r>
          </w:p>
        </w:tc>
        <w:tc>
          <w:tcPr>
            <w:tcW w:w="477" w:type="pct"/>
          </w:tcPr>
          <w:p w:rsidR="00565FD5" w:rsidRPr="00256F5A" w:rsidRDefault="00565FD5" w:rsidP="00AB62A3">
            <w:pPr>
              <w:spacing w:before="40" w:after="40"/>
              <w:ind w:left="57"/>
              <w:rPr>
                <w:rFonts w:cs="Tahoma"/>
                <w:sz w:val="16"/>
                <w:szCs w:val="16"/>
                <w:lang w:eastAsia="tr-TR"/>
              </w:rPr>
            </w:pPr>
            <w:r w:rsidRPr="00256F5A">
              <w:rPr>
                <w:rFonts w:eastAsia="Arial Unicode MS" w:cs="Tahoma"/>
                <w:sz w:val="16"/>
                <w:szCs w:val="16"/>
                <w:lang w:eastAsia="tr-TR"/>
              </w:rPr>
              <w:lastRenderedPageBreak/>
              <w:t>Aralık Sonu</w:t>
            </w:r>
          </w:p>
        </w:tc>
        <w:tc>
          <w:tcPr>
            <w:tcW w:w="1724" w:type="pct"/>
          </w:tcPr>
          <w:p w:rsidR="00565FD5" w:rsidRPr="00256F5A" w:rsidRDefault="00565FD5" w:rsidP="00AB62A3">
            <w:pPr>
              <w:spacing w:before="40" w:after="40"/>
              <w:ind w:left="57"/>
              <w:rPr>
                <w:rFonts w:cs="Tahoma"/>
                <w:sz w:val="16"/>
                <w:szCs w:val="16"/>
              </w:rPr>
            </w:pPr>
            <w:r w:rsidRPr="00256F5A">
              <w:rPr>
                <w:rFonts w:cs="Tahoma"/>
                <w:sz w:val="16"/>
                <w:szCs w:val="16"/>
              </w:rPr>
              <w:t xml:space="preserve">2013 yılında trafik güvenliği çalışmaları kapsamında 130 adet </w:t>
            </w:r>
            <w:r w:rsidRPr="00256F5A">
              <w:rPr>
                <w:rFonts w:cs="Tahoma"/>
                <w:sz w:val="16"/>
                <w:szCs w:val="16"/>
              </w:rPr>
              <w:lastRenderedPageBreak/>
              <w:t>kaza kara noktası ile 120 adet sinyalize kavşağın iyileştirilmesi hedeflenmektedir.</w:t>
            </w:r>
          </w:p>
        </w:tc>
      </w:tr>
      <w:tr w:rsidR="00565FD5" w:rsidRPr="00256F5A" w:rsidTr="00AB62A3">
        <w:trPr>
          <w:trHeight w:val="20"/>
          <w:jc w:val="center"/>
        </w:trPr>
        <w:tc>
          <w:tcPr>
            <w:tcW w:w="1624" w:type="pct"/>
          </w:tcPr>
          <w:p w:rsidR="00565FD5" w:rsidRPr="00256F5A" w:rsidRDefault="00565FD5" w:rsidP="00EB1E69">
            <w:pPr>
              <w:numPr>
                <w:ilvl w:val="0"/>
                <w:numId w:val="14"/>
              </w:numPr>
              <w:tabs>
                <w:tab w:val="left" w:pos="425"/>
              </w:tabs>
              <w:spacing w:before="40" w:after="40" w:line="240" w:lineRule="auto"/>
              <w:rPr>
                <w:rFonts w:cs="Tahoma"/>
                <w:sz w:val="16"/>
                <w:szCs w:val="16"/>
              </w:rPr>
            </w:pPr>
            <w:r w:rsidRPr="00256F5A">
              <w:rPr>
                <w:rFonts w:cs="Tahoma"/>
                <w:sz w:val="16"/>
                <w:szCs w:val="16"/>
              </w:rPr>
              <w:lastRenderedPageBreak/>
              <w:t>Ana karayolu güzergâhlarında otokorkuluk, yatay-düşey işaretleme ve trafik levhaları iyileştirilecektir.</w:t>
            </w:r>
          </w:p>
        </w:tc>
        <w:tc>
          <w:tcPr>
            <w:tcW w:w="1175" w:type="pct"/>
          </w:tcPr>
          <w:p w:rsidR="00565FD5" w:rsidRPr="00256F5A" w:rsidRDefault="00565FD5" w:rsidP="00AB62A3">
            <w:pPr>
              <w:spacing w:before="40" w:after="40"/>
              <w:ind w:left="57"/>
              <w:rPr>
                <w:rFonts w:cs="Tahoma"/>
                <w:sz w:val="16"/>
                <w:szCs w:val="16"/>
                <w:lang w:eastAsia="tr-TR"/>
              </w:rPr>
            </w:pPr>
            <w:r w:rsidRPr="00256F5A">
              <w:rPr>
                <w:rFonts w:cs="Tahoma"/>
                <w:sz w:val="16"/>
                <w:szCs w:val="16"/>
                <w:lang w:eastAsia="tr-TR"/>
              </w:rPr>
              <w:t>Karayolları Genel Müdürlüğü (S)</w:t>
            </w:r>
          </w:p>
        </w:tc>
        <w:tc>
          <w:tcPr>
            <w:tcW w:w="477" w:type="pct"/>
          </w:tcPr>
          <w:p w:rsidR="00565FD5" w:rsidRPr="00256F5A" w:rsidRDefault="00565FD5" w:rsidP="00AB62A3">
            <w:pPr>
              <w:spacing w:before="40" w:after="40"/>
              <w:ind w:left="57"/>
              <w:rPr>
                <w:rFonts w:cs="Tahoma"/>
                <w:sz w:val="16"/>
                <w:szCs w:val="16"/>
                <w:lang w:eastAsia="tr-TR"/>
              </w:rPr>
            </w:pPr>
            <w:r w:rsidRPr="00256F5A">
              <w:rPr>
                <w:rFonts w:cs="Tahoma"/>
                <w:sz w:val="16"/>
                <w:szCs w:val="16"/>
                <w:lang w:eastAsia="tr-TR"/>
              </w:rPr>
              <w:t>Aralık Sonu</w:t>
            </w:r>
          </w:p>
        </w:tc>
        <w:tc>
          <w:tcPr>
            <w:tcW w:w="1724" w:type="pct"/>
          </w:tcPr>
          <w:p w:rsidR="00565FD5" w:rsidRPr="00256F5A" w:rsidRDefault="00565FD5" w:rsidP="00AB62A3">
            <w:pPr>
              <w:spacing w:before="40" w:after="40"/>
              <w:ind w:left="57"/>
              <w:rPr>
                <w:rFonts w:cs="Tahoma"/>
                <w:sz w:val="16"/>
                <w:szCs w:val="16"/>
                <w:lang w:eastAsia="tr-TR"/>
              </w:rPr>
            </w:pPr>
            <w:r w:rsidRPr="00256F5A">
              <w:rPr>
                <w:rFonts w:cs="Tahoma"/>
                <w:sz w:val="16"/>
                <w:szCs w:val="16"/>
                <w:lang w:eastAsia="tr-TR"/>
              </w:rPr>
              <w:t>2013 yılında yapımı tamamlanan bölünmüş yollar başta olmak üzere karayollarında 1.800 km otokorkuluk yapım ve onarımının gerçekleştirilmesi, 24 milyon m</w:t>
            </w:r>
            <w:r w:rsidRPr="00256F5A">
              <w:rPr>
                <w:rFonts w:cs="Tahoma"/>
                <w:sz w:val="16"/>
                <w:szCs w:val="16"/>
                <w:vertAlign w:val="superscript"/>
                <w:lang w:eastAsia="tr-TR"/>
              </w:rPr>
              <w:t xml:space="preserve">2 </w:t>
            </w:r>
            <w:r w:rsidRPr="00256F5A">
              <w:rPr>
                <w:rFonts w:cs="Tahoma"/>
                <w:sz w:val="16"/>
                <w:szCs w:val="16"/>
                <w:lang w:eastAsia="tr-TR"/>
              </w:rPr>
              <w:t>yatay işaretleme ve 145.000 m</w:t>
            </w:r>
            <w:r w:rsidRPr="00256F5A">
              <w:rPr>
                <w:rFonts w:cs="Tahoma"/>
                <w:sz w:val="16"/>
                <w:szCs w:val="16"/>
                <w:vertAlign w:val="superscript"/>
                <w:lang w:eastAsia="tr-TR"/>
              </w:rPr>
              <w:t xml:space="preserve">2 </w:t>
            </w:r>
            <w:r w:rsidRPr="00256F5A">
              <w:rPr>
                <w:rFonts w:cs="Tahoma"/>
                <w:sz w:val="16"/>
                <w:szCs w:val="16"/>
                <w:lang w:eastAsia="tr-TR"/>
              </w:rPr>
              <w:t xml:space="preserve">düşey işaret levhasında yenileme yapılması hedeflenmektedir. </w:t>
            </w:r>
          </w:p>
        </w:tc>
      </w:tr>
      <w:tr w:rsidR="00565FD5" w:rsidRPr="00256F5A" w:rsidTr="00AB62A3">
        <w:trPr>
          <w:trHeight w:val="20"/>
          <w:jc w:val="center"/>
        </w:trPr>
        <w:tc>
          <w:tcPr>
            <w:tcW w:w="1624" w:type="pct"/>
          </w:tcPr>
          <w:p w:rsidR="00565FD5" w:rsidRPr="00256F5A" w:rsidRDefault="00565FD5" w:rsidP="00EB1E69">
            <w:pPr>
              <w:numPr>
                <w:ilvl w:val="0"/>
                <w:numId w:val="14"/>
              </w:numPr>
              <w:tabs>
                <w:tab w:val="left" w:pos="425"/>
              </w:tabs>
              <w:spacing w:before="40" w:after="40" w:line="240" w:lineRule="auto"/>
              <w:rPr>
                <w:rFonts w:cs="Tahoma"/>
                <w:sz w:val="16"/>
                <w:szCs w:val="16"/>
              </w:rPr>
            </w:pPr>
            <w:r w:rsidRPr="00256F5A">
              <w:rPr>
                <w:rFonts w:cs="Tahoma"/>
                <w:sz w:val="16"/>
                <w:szCs w:val="16"/>
              </w:rPr>
              <w:t>Ağırlık denetimleri etkinleştirilecektir.</w:t>
            </w:r>
          </w:p>
        </w:tc>
        <w:tc>
          <w:tcPr>
            <w:tcW w:w="1175" w:type="pct"/>
          </w:tcPr>
          <w:p w:rsidR="00565FD5" w:rsidRPr="00256F5A" w:rsidRDefault="00565FD5" w:rsidP="00AB62A3">
            <w:pPr>
              <w:spacing w:before="40" w:after="40"/>
              <w:ind w:left="57"/>
              <w:rPr>
                <w:rFonts w:cs="Tahoma"/>
                <w:sz w:val="16"/>
                <w:szCs w:val="16"/>
                <w:lang w:eastAsia="tr-TR"/>
              </w:rPr>
            </w:pPr>
            <w:r w:rsidRPr="00256F5A">
              <w:rPr>
                <w:rFonts w:cs="Tahoma"/>
                <w:sz w:val="16"/>
                <w:szCs w:val="16"/>
                <w:lang w:eastAsia="tr-TR"/>
              </w:rPr>
              <w:t xml:space="preserve">Ulaştırma, Denizcilik </w:t>
            </w:r>
            <w:r>
              <w:rPr>
                <w:rFonts w:cs="Tahoma"/>
                <w:sz w:val="16"/>
                <w:szCs w:val="16"/>
                <w:lang w:eastAsia="tr-TR"/>
              </w:rPr>
              <w:t xml:space="preserve">ve </w:t>
            </w:r>
            <w:r w:rsidRPr="00256F5A">
              <w:rPr>
                <w:rFonts w:cs="Tahoma"/>
                <w:sz w:val="16"/>
                <w:szCs w:val="16"/>
                <w:lang w:eastAsia="tr-TR"/>
              </w:rPr>
              <w:t>Haberleşme Bakanlığı (S), Emniyet Genel Müdürlüğü, Jandarma Genel Komutanlığı</w:t>
            </w:r>
          </w:p>
        </w:tc>
        <w:tc>
          <w:tcPr>
            <w:tcW w:w="477" w:type="pct"/>
          </w:tcPr>
          <w:p w:rsidR="00565FD5" w:rsidRPr="00256F5A" w:rsidRDefault="00565FD5" w:rsidP="00AB62A3">
            <w:pPr>
              <w:spacing w:before="40" w:after="40"/>
              <w:ind w:left="57"/>
              <w:rPr>
                <w:rFonts w:cs="Tahoma"/>
                <w:sz w:val="16"/>
                <w:szCs w:val="16"/>
                <w:lang w:eastAsia="tr-TR"/>
              </w:rPr>
            </w:pPr>
            <w:r w:rsidRPr="00256F5A">
              <w:rPr>
                <w:rFonts w:cs="Tahoma"/>
                <w:sz w:val="16"/>
                <w:szCs w:val="16"/>
                <w:lang w:eastAsia="tr-TR"/>
              </w:rPr>
              <w:t>Aralık Sonu</w:t>
            </w:r>
          </w:p>
        </w:tc>
        <w:tc>
          <w:tcPr>
            <w:tcW w:w="1724" w:type="pct"/>
          </w:tcPr>
          <w:p w:rsidR="00565FD5" w:rsidRPr="00256F5A" w:rsidRDefault="00565FD5" w:rsidP="00AB62A3">
            <w:pPr>
              <w:spacing w:before="40" w:after="40"/>
              <w:ind w:left="57"/>
              <w:rPr>
                <w:rFonts w:cs="Tahoma"/>
                <w:sz w:val="16"/>
                <w:szCs w:val="16"/>
                <w:lang w:eastAsia="tr-TR"/>
              </w:rPr>
            </w:pPr>
            <w:r w:rsidRPr="00256F5A">
              <w:rPr>
                <w:rFonts w:cs="Tahoma"/>
                <w:sz w:val="16"/>
                <w:szCs w:val="16"/>
                <w:lang w:eastAsia="tr-TR"/>
              </w:rPr>
              <w:t>Kurulumu tamamlanacak 30 yeni yol kenarı denetim istasyonu ile mevcut Ağırlık-Boyut Kontrol denetim istasyon sayısı artırılacak ve 2013 yılında 25 milyon aracın denetlenmesi sağlanacaktır.</w:t>
            </w:r>
          </w:p>
        </w:tc>
      </w:tr>
      <w:tr w:rsidR="00565FD5" w:rsidRPr="00256F5A" w:rsidTr="00AB62A3">
        <w:trPr>
          <w:trHeight w:val="20"/>
          <w:jc w:val="center"/>
        </w:trPr>
        <w:tc>
          <w:tcPr>
            <w:tcW w:w="1624" w:type="pct"/>
          </w:tcPr>
          <w:p w:rsidR="00565FD5" w:rsidRPr="00256F5A" w:rsidRDefault="00565FD5" w:rsidP="00EB1E69">
            <w:pPr>
              <w:numPr>
                <w:ilvl w:val="0"/>
                <w:numId w:val="14"/>
              </w:numPr>
              <w:tabs>
                <w:tab w:val="left" w:pos="425"/>
              </w:tabs>
              <w:spacing w:before="40" w:after="40" w:line="240" w:lineRule="auto"/>
              <w:rPr>
                <w:rFonts w:cs="Tahoma"/>
                <w:sz w:val="16"/>
                <w:szCs w:val="16"/>
              </w:rPr>
            </w:pPr>
            <w:r w:rsidRPr="00256F5A">
              <w:rPr>
                <w:rFonts w:cs="Tahoma"/>
                <w:sz w:val="16"/>
                <w:szCs w:val="16"/>
              </w:rPr>
              <w:t>Trafik denetim personelinin uzmanlaşmaları sağlanacaktır.</w:t>
            </w:r>
          </w:p>
        </w:tc>
        <w:tc>
          <w:tcPr>
            <w:tcW w:w="1175" w:type="pct"/>
          </w:tcPr>
          <w:p w:rsidR="00565FD5" w:rsidRPr="00256F5A" w:rsidRDefault="00565FD5" w:rsidP="00AB62A3">
            <w:pPr>
              <w:spacing w:before="40" w:after="40"/>
              <w:ind w:left="57"/>
              <w:rPr>
                <w:rFonts w:cs="Tahoma"/>
                <w:sz w:val="16"/>
                <w:szCs w:val="16"/>
              </w:rPr>
            </w:pPr>
            <w:r w:rsidRPr="00256F5A">
              <w:rPr>
                <w:rFonts w:cs="Tahoma"/>
                <w:sz w:val="16"/>
                <w:szCs w:val="16"/>
              </w:rPr>
              <w:t xml:space="preserve">Emniyet Genel Müdürlüğü(S), İçişleri Bakanlığı, </w:t>
            </w:r>
            <w:r w:rsidRPr="00256F5A">
              <w:rPr>
                <w:rFonts w:cs="Tahoma"/>
                <w:sz w:val="16"/>
                <w:szCs w:val="16"/>
                <w:lang w:eastAsia="tr-TR"/>
              </w:rPr>
              <w:t xml:space="preserve">Ulaştırma, Denizcilik </w:t>
            </w:r>
            <w:r>
              <w:rPr>
                <w:rFonts w:cs="Tahoma"/>
                <w:sz w:val="16"/>
                <w:szCs w:val="16"/>
                <w:lang w:eastAsia="tr-TR"/>
              </w:rPr>
              <w:t xml:space="preserve">ve </w:t>
            </w:r>
            <w:r w:rsidRPr="00256F5A">
              <w:rPr>
                <w:rFonts w:cs="Tahoma"/>
                <w:sz w:val="16"/>
                <w:szCs w:val="16"/>
                <w:lang w:eastAsia="tr-TR"/>
              </w:rPr>
              <w:t>Haberleşme Bakanlığı</w:t>
            </w:r>
          </w:p>
        </w:tc>
        <w:tc>
          <w:tcPr>
            <w:tcW w:w="477" w:type="pct"/>
          </w:tcPr>
          <w:p w:rsidR="00565FD5" w:rsidRPr="00256F5A" w:rsidRDefault="00565FD5" w:rsidP="00AB62A3">
            <w:pPr>
              <w:spacing w:before="40" w:after="40"/>
              <w:ind w:left="57"/>
              <w:rPr>
                <w:rFonts w:cs="Tahoma"/>
                <w:sz w:val="16"/>
                <w:szCs w:val="16"/>
                <w:lang w:eastAsia="tr-TR"/>
              </w:rPr>
            </w:pPr>
            <w:r w:rsidRPr="00256F5A">
              <w:rPr>
                <w:rFonts w:cs="Tahoma"/>
                <w:sz w:val="16"/>
                <w:szCs w:val="16"/>
                <w:lang w:eastAsia="tr-TR"/>
              </w:rPr>
              <w:t>Aralık Sonu</w:t>
            </w:r>
          </w:p>
        </w:tc>
        <w:tc>
          <w:tcPr>
            <w:tcW w:w="1724" w:type="pct"/>
            <w:vAlign w:val="center"/>
          </w:tcPr>
          <w:p w:rsidR="00565FD5" w:rsidRPr="00256F5A" w:rsidRDefault="00565FD5" w:rsidP="00AB62A3">
            <w:pPr>
              <w:spacing w:before="40" w:after="40"/>
              <w:ind w:left="57"/>
              <w:rPr>
                <w:rFonts w:cs="Tahoma"/>
                <w:sz w:val="16"/>
                <w:szCs w:val="16"/>
              </w:rPr>
            </w:pPr>
            <w:r w:rsidRPr="00256F5A">
              <w:rPr>
                <w:rFonts w:cs="Tahoma"/>
                <w:sz w:val="16"/>
                <w:szCs w:val="16"/>
              </w:rPr>
              <w:t>Trafik denetimlerinde etkinliğin sağlanması yönünde denetim personeli sayısı artan araç ve sürücü sayısı ile mobilite, yol ağı ve yoğunluğun getirdiği taleple orantılı bir şekilde artırılacak ve trafik personelinin uzmanlaşması sağlanacaktır.</w:t>
            </w:r>
          </w:p>
        </w:tc>
      </w:tr>
      <w:tr w:rsidR="00565FD5" w:rsidRPr="00256F5A" w:rsidTr="00AB62A3">
        <w:trPr>
          <w:trHeight w:val="20"/>
          <w:jc w:val="center"/>
        </w:trPr>
        <w:tc>
          <w:tcPr>
            <w:tcW w:w="1624" w:type="pct"/>
          </w:tcPr>
          <w:p w:rsidR="00565FD5" w:rsidRPr="00256F5A" w:rsidRDefault="00565FD5" w:rsidP="00EB1E69">
            <w:pPr>
              <w:numPr>
                <w:ilvl w:val="0"/>
                <w:numId w:val="14"/>
              </w:numPr>
              <w:tabs>
                <w:tab w:val="left" w:pos="425"/>
              </w:tabs>
              <w:spacing w:before="40" w:after="40" w:line="240" w:lineRule="auto"/>
              <w:rPr>
                <w:rFonts w:cs="Tahoma"/>
                <w:sz w:val="16"/>
                <w:szCs w:val="16"/>
              </w:rPr>
            </w:pPr>
            <w:r w:rsidRPr="00256F5A">
              <w:rPr>
                <w:rFonts w:cs="Tahoma"/>
                <w:sz w:val="16"/>
                <w:szCs w:val="16"/>
              </w:rPr>
              <w:t>Trafik denetimlerinde uyuşturucu madde kontrollerine başlanacaktır.</w:t>
            </w:r>
          </w:p>
        </w:tc>
        <w:tc>
          <w:tcPr>
            <w:tcW w:w="1175" w:type="pct"/>
          </w:tcPr>
          <w:p w:rsidR="00565FD5" w:rsidRPr="00256F5A" w:rsidRDefault="00565FD5" w:rsidP="00AB62A3">
            <w:pPr>
              <w:spacing w:before="40" w:after="40"/>
              <w:ind w:left="57"/>
              <w:rPr>
                <w:rFonts w:cs="Tahoma"/>
                <w:sz w:val="16"/>
                <w:szCs w:val="16"/>
              </w:rPr>
            </w:pPr>
            <w:r w:rsidRPr="00256F5A">
              <w:rPr>
                <w:rFonts w:cs="Tahoma"/>
                <w:sz w:val="16"/>
                <w:szCs w:val="16"/>
              </w:rPr>
              <w:t>Emniyet Genel Müdürlüğü (S)</w:t>
            </w:r>
          </w:p>
        </w:tc>
        <w:tc>
          <w:tcPr>
            <w:tcW w:w="477" w:type="pct"/>
          </w:tcPr>
          <w:p w:rsidR="00565FD5" w:rsidRPr="00256F5A" w:rsidRDefault="00565FD5" w:rsidP="00AB62A3">
            <w:pPr>
              <w:spacing w:before="40" w:after="40"/>
              <w:ind w:left="57"/>
              <w:rPr>
                <w:rFonts w:cs="Tahoma"/>
                <w:sz w:val="16"/>
                <w:szCs w:val="16"/>
                <w:lang w:eastAsia="tr-TR"/>
              </w:rPr>
            </w:pPr>
            <w:r w:rsidRPr="00256F5A">
              <w:rPr>
                <w:rFonts w:cs="Tahoma"/>
                <w:sz w:val="16"/>
                <w:szCs w:val="16"/>
                <w:lang w:eastAsia="tr-TR"/>
              </w:rPr>
              <w:t>Aralık Sonu</w:t>
            </w:r>
          </w:p>
        </w:tc>
        <w:tc>
          <w:tcPr>
            <w:tcW w:w="1724" w:type="pct"/>
            <w:vAlign w:val="center"/>
          </w:tcPr>
          <w:p w:rsidR="00565FD5" w:rsidRPr="00256F5A" w:rsidRDefault="00565FD5" w:rsidP="00AB62A3">
            <w:pPr>
              <w:spacing w:before="40" w:after="40"/>
              <w:ind w:left="57"/>
              <w:rPr>
                <w:rFonts w:cs="Tahoma"/>
                <w:sz w:val="16"/>
                <w:szCs w:val="16"/>
              </w:rPr>
            </w:pPr>
            <w:r w:rsidRPr="00256F5A">
              <w:rPr>
                <w:rFonts w:cs="Tahoma"/>
                <w:sz w:val="16"/>
                <w:szCs w:val="16"/>
              </w:rPr>
              <w:t>Yol kenarı denetimlerinde uyuşturucu madde denetimlerinin yapılabilmesini teminen denetim personeli gerekli ekipmanla teçhizatlandırılacak ve uzmanlaştırılacaktır.</w:t>
            </w:r>
          </w:p>
        </w:tc>
      </w:tr>
      <w:tr w:rsidR="00565FD5" w:rsidRPr="00256F5A" w:rsidTr="00AB62A3">
        <w:trPr>
          <w:trHeight w:val="20"/>
          <w:jc w:val="center"/>
        </w:trPr>
        <w:tc>
          <w:tcPr>
            <w:tcW w:w="1624" w:type="pct"/>
          </w:tcPr>
          <w:p w:rsidR="00565FD5" w:rsidRPr="00256F5A" w:rsidRDefault="00565FD5" w:rsidP="00EB1E69">
            <w:pPr>
              <w:numPr>
                <w:ilvl w:val="0"/>
                <w:numId w:val="14"/>
              </w:numPr>
              <w:tabs>
                <w:tab w:val="left" w:pos="425"/>
              </w:tabs>
              <w:spacing w:before="40" w:after="40" w:line="240" w:lineRule="auto"/>
              <w:rPr>
                <w:rFonts w:cs="Tahoma"/>
                <w:sz w:val="16"/>
                <w:szCs w:val="16"/>
              </w:rPr>
            </w:pPr>
            <w:r w:rsidRPr="00256F5A">
              <w:rPr>
                <w:rFonts w:cs="Tahoma"/>
                <w:sz w:val="16"/>
                <w:szCs w:val="16"/>
              </w:rPr>
              <w:t>Sürücü Eğitim ve sınavlarının kalitesinde AB standartlarına ulaşılacaktır.</w:t>
            </w:r>
          </w:p>
        </w:tc>
        <w:tc>
          <w:tcPr>
            <w:tcW w:w="1175" w:type="pct"/>
          </w:tcPr>
          <w:p w:rsidR="00565FD5" w:rsidRPr="00256F5A" w:rsidRDefault="00565FD5" w:rsidP="00AB62A3">
            <w:pPr>
              <w:spacing w:before="40" w:after="40"/>
              <w:ind w:left="57"/>
              <w:rPr>
                <w:rFonts w:cs="Tahoma"/>
                <w:sz w:val="16"/>
                <w:szCs w:val="16"/>
              </w:rPr>
            </w:pPr>
            <w:r w:rsidRPr="00256F5A">
              <w:rPr>
                <w:rFonts w:cs="Tahoma"/>
                <w:sz w:val="16"/>
                <w:szCs w:val="16"/>
              </w:rPr>
              <w:t>Milli Eğitim Bakanlığı (S)</w:t>
            </w:r>
          </w:p>
        </w:tc>
        <w:tc>
          <w:tcPr>
            <w:tcW w:w="477" w:type="pct"/>
          </w:tcPr>
          <w:p w:rsidR="00565FD5" w:rsidRPr="00256F5A" w:rsidRDefault="00565FD5" w:rsidP="00AB62A3">
            <w:pPr>
              <w:spacing w:before="40" w:after="40"/>
              <w:ind w:left="57"/>
              <w:rPr>
                <w:rFonts w:cs="Tahoma"/>
                <w:sz w:val="16"/>
                <w:szCs w:val="16"/>
                <w:lang w:eastAsia="tr-TR"/>
              </w:rPr>
            </w:pPr>
            <w:r w:rsidRPr="00256F5A">
              <w:rPr>
                <w:rFonts w:cs="Tahoma"/>
                <w:sz w:val="16"/>
                <w:szCs w:val="16"/>
                <w:lang w:eastAsia="tr-TR"/>
              </w:rPr>
              <w:t>Aralık Sonu</w:t>
            </w:r>
          </w:p>
        </w:tc>
        <w:tc>
          <w:tcPr>
            <w:tcW w:w="1724" w:type="pct"/>
            <w:vAlign w:val="center"/>
          </w:tcPr>
          <w:p w:rsidR="00565FD5" w:rsidRPr="00256F5A" w:rsidRDefault="00565FD5" w:rsidP="00AB62A3">
            <w:pPr>
              <w:spacing w:before="40" w:after="40"/>
              <w:ind w:left="57"/>
              <w:rPr>
                <w:rFonts w:cs="Tahoma"/>
                <w:sz w:val="16"/>
                <w:szCs w:val="16"/>
              </w:rPr>
            </w:pPr>
            <w:r w:rsidRPr="00256F5A">
              <w:rPr>
                <w:rFonts w:cs="Tahoma"/>
                <w:sz w:val="16"/>
                <w:szCs w:val="16"/>
              </w:rPr>
              <w:t>Sürücü eğitiminde pratik derslere ağırlık verilecek şekilde müfredat yenileme çalışmaları yürütülecek, direksiyon sınavları için sınav yapıcılık kurumsallaştırılacaktır.</w:t>
            </w:r>
          </w:p>
        </w:tc>
      </w:tr>
      <w:tr w:rsidR="00565FD5" w:rsidRPr="00256F5A" w:rsidTr="00AB62A3">
        <w:trPr>
          <w:trHeight w:val="20"/>
          <w:jc w:val="center"/>
        </w:trPr>
        <w:tc>
          <w:tcPr>
            <w:tcW w:w="1624" w:type="pct"/>
          </w:tcPr>
          <w:p w:rsidR="00565FD5" w:rsidRPr="00256F5A" w:rsidRDefault="00565FD5" w:rsidP="00EB1E69">
            <w:pPr>
              <w:numPr>
                <w:ilvl w:val="0"/>
                <w:numId w:val="14"/>
              </w:numPr>
              <w:tabs>
                <w:tab w:val="left" w:pos="425"/>
              </w:tabs>
              <w:spacing w:before="40" w:after="40" w:line="240" w:lineRule="auto"/>
              <w:rPr>
                <w:rFonts w:cs="Tahoma"/>
                <w:sz w:val="16"/>
                <w:szCs w:val="16"/>
              </w:rPr>
            </w:pPr>
            <w:r w:rsidRPr="00256F5A">
              <w:rPr>
                <w:rFonts w:cs="Tahoma"/>
                <w:sz w:val="16"/>
                <w:szCs w:val="16"/>
              </w:rPr>
              <w:t>Şehir içinde ve şehirlerarasında elektronik denetim sistemleri yaygınlaştırılacaktır.</w:t>
            </w:r>
          </w:p>
        </w:tc>
        <w:tc>
          <w:tcPr>
            <w:tcW w:w="1175" w:type="pct"/>
          </w:tcPr>
          <w:p w:rsidR="00565FD5" w:rsidRPr="00256F5A" w:rsidRDefault="00565FD5" w:rsidP="00AB62A3">
            <w:pPr>
              <w:tabs>
                <w:tab w:val="num" w:pos="0"/>
              </w:tabs>
              <w:spacing w:before="40" w:after="40"/>
              <w:ind w:left="57"/>
              <w:rPr>
                <w:rFonts w:cs="Tahoma"/>
                <w:sz w:val="16"/>
                <w:szCs w:val="16"/>
              </w:rPr>
            </w:pPr>
            <w:r w:rsidRPr="00256F5A">
              <w:rPr>
                <w:rFonts w:cs="Tahoma"/>
                <w:sz w:val="16"/>
                <w:szCs w:val="16"/>
              </w:rPr>
              <w:t>Emniyet Genel Müdürlüğü(S), Ulaştırma, Haberleşme ve Denizcilik Bakanlığı, Yerel Yönetimler</w:t>
            </w:r>
          </w:p>
        </w:tc>
        <w:tc>
          <w:tcPr>
            <w:tcW w:w="477" w:type="pct"/>
          </w:tcPr>
          <w:p w:rsidR="00565FD5" w:rsidRPr="00256F5A" w:rsidRDefault="00565FD5" w:rsidP="00AB62A3">
            <w:pPr>
              <w:spacing w:before="40" w:after="40"/>
              <w:ind w:left="57"/>
              <w:rPr>
                <w:rFonts w:cs="Tahoma"/>
                <w:sz w:val="16"/>
                <w:szCs w:val="16"/>
                <w:lang w:eastAsia="tr-TR"/>
              </w:rPr>
            </w:pPr>
            <w:r w:rsidRPr="00256F5A">
              <w:rPr>
                <w:rFonts w:cs="Tahoma"/>
                <w:sz w:val="16"/>
                <w:szCs w:val="16"/>
                <w:lang w:eastAsia="tr-TR"/>
              </w:rPr>
              <w:t>Aralık Sonu</w:t>
            </w:r>
          </w:p>
        </w:tc>
        <w:tc>
          <w:tcPr>
            <w:tcW w:w="1724" w:type="pct"/>
            <w:vAlign w:val="center"/>
          </w:tcPr>
          <w:p w:rsidR="00565FD5" w:rsidRPr="00256F5A" w:rsidRDefault="00565FD5" w:rsidP="00AB62A3">
            <w:pPr>
              <w:tabs>
                <w:tab w:val="num" w:pos="0"/>
              </w:tabs>
              <w:autoSpaceDE w:val="0"/>
              <w:autoSpaceDN w:val="0"/>
              <w:adjustRightInd w:val="0"/>
              <w:spacing w:before="40" w:after="40"/>
              <w:ind w:left="57"/>
              <w:rPr>
                <w:rFonts w:cs="Tahoma"/>
                <w:sz w:val="16"/>
                <w:szCs w:val="16"/>
              </w:rPr>
            </w:pPr>
            <w:r w:rsidRPr="00256F5A">
              <w:rPr>
                <w:rFonts w:cs="Tahoma"/>
                <w:sz w:val="16"/>
                <w:szCs w:val="16"/>
              </w:rPr>
              <w:t>Trafik güvenliğinin etkin bir şekilde sağlanarak trafik akışının takibi ve kolaylaştırılması, kurallara uyumda caydırıcılığın sağlanması ve araç takibinde anındalığın temini amacıyla elektronik denetleme sistemleri kurulacaktır.</w:t>
            </w:r>
          </w:p>
        </w:tc>
      </w:tr>
      <w:tr w:rsidR="00565FD5" w:rsidRPr="00256F5A" w:rsidTr="00AB62A3">
        <w:trPr>
          <w:trHeight w:val="619"/>
          <w:jc w:val="center"/>
        </w:trPr>
        <w:tc>
          <w:tcPr>
            <w:tcW w:w="1624" w:type="pct"/>
          </w:tcPr>
          <w:p w:rsidR="00565FD5" w:rsidRPr="00256F5A" w:rsidRDefault="00565FD5" w:rsidP="00EB1E69">
            <w:pPr>
              <w:numPr>
                <w:ilvl w:val="0"/>
                <w:numId w:val="14"/>
              </w:numPr>
              <w:tabs>
                <w:tab w:val="left" w:pos="425"/>
              </w:tabs>
              <w:spacing w:before="40" w:after="40" w:line="240" w:lineRule="auto"/>
              <w:rPr>
                <w:rFonts w:cs="Tahoma"/>
                <w:sz w:val="16"/>
                <w:szCs w:val="16"/>
              </w:rPr>
            </w:pPr>
            <w:r w:rsidRPr="00256F5A">
              <w:rPr>
                <w:rFonts w:cs="Tahoma"/>
                <w:sz w:val="16"/>
                <w:szCs w:val="16"/>
              </w:rPr>
              <w:t xml:space="preserve">Tehlikeli yüklerin denizyoluyla taşınmasına ilişkin yönetmelik, tehlikeli yüklerin </w:t>
            </w:r>
            <w:r w:rsidRPr="00256F5A">
              <w:rPr>
                <w:rFonts w:cs="Tahoma"/>
                <w:sz w:val="16"/>
                <w:szCs w:val="16"/>
              </w:rPr>
              <w:lastRenderedPageBreak/>
              <w:t>limanlarda iş ve işlemlerine ilişkin yönetmelik ve emniyetli konteynerlerin inşası ve denetimine ilişkin yetkilendirme yönetmeliği hazırlanacaktır.</w:t>
            </w:r>
          </w:p>
        </w:tc>
        <w:tc>
          <w:tcPr>
            <w:tcW w:w="1175" w:type="pct"/>
          </w:tcPr>
          <w:p w:rsidR="00565FD5" w:rsidRPr="00256F5A" w:rsidRDefault="00565FD5" w:rsidP="00AB62A3">
            <w:pPr>
              <w:tabs>
                <w:tab w:val="num" w:pos="0"/>
              </w:tabs>
              <w:spacing w:before="40" w:after="40"/>
              <w:ind w:left="57"/>
              <w:rPr>
                <w:rFonts w:cs="Tahoma"/>
                <w:sz w:val="16"/>
                <w:szCs w:val="16"/>
              </w:rPr>
            </w:pPr>
            <w:r w:rsidRPr="00256F5A">
              <w:rPr>
                <w:rFonts w:cs="Tahoma"/>
                <w:sz w:val="16"/>
                <w:szCs w:val="16"/>
              </w:rPr>
              <w:lastRenderedPageBreak/>
              <w:t xml:space="preserve">Ulaştırma, Denizcilik ve Haberleşme Bakanlığı </w:t>
            </w:r>
            <w:r w:rsidRPr="00256F5A">
              <w:rPr>
                <w:rFonts w:cs="Tahoma"/>
                <w:sz w:val="16"/>
                <w:szCs w:val="16"/>
              </w:rPr>
              <w:lastRenderedPageBreak/>
              <w:t>(S), Çevre ve Şehircilik Bakanlığı, Ekonomi Bakanlığı, Bilim</w:t>
            </w:r>
            <w:r>
              <w:rPr>
                <w:rFonts w:cs="Tahoma"/>
                <w:sz w:val="16"/>
                <w:szCs w:val="16"/>
              </w:rPr>
              <w:t>,</w:t>
            </w:r>
            <w:r w:rsidRPr="00256F5A">
              <w:rPr>
                <w:rFonts w:cs="Tahoma"/>
                <w:sz w:val="16"/>
                <w:szCs w:val="16"/>
              </w:rPr>
              <w:t xml:space="preserve"> Sanayi ve Teknoloji</w:t>
            </w:r>
            <w:r>
              <w:rPr>
                <w:rFonts w:cs="Tahoma"/>
                <w:sz w:val="16"/>
                <w:szCs w:val="16"/>
              </w:rPr>
              <w:t>,</w:t>
            </w:r>
            <w:r w:rsidRPr="00256F5A">
              <w:rPr>
                <w:rFonts w:cs="Tahoma"/>
                <w:sz w:val="16"/>
                <w:szCs w:val="16"/>
              </w:rPr>
              <w:t xml:space="preserve"> Bakanlığı, Hazine Müsteşarlığı</w:t>
            </w:r>
          </w:p>
        </w:tc>
        <w:tc>
          <w:tcPr>
            <w:tcW w:w="477" w:type="pct"/>
          </w:tcPr>
          <w:p w:rsidR="00565FD5" w:rsidRPr="00256F5A" w:rsidRDefault="00565FD5" w:rsidP="00AB62A3">
            <w:pPr>
              <w:tabs>
                <w:tab w:val="num" w:pos="0"/>
              </w:tabs>
              <w:spacing w:before="40" w:after="40"/>
              <w:ind w:left="57"/>
              <w:rPr>
                <w:rFonts w:cs="Tahoma"/>
                <w:sz w:val="16"/>
                <w:szCs w:val="16"/>
              </w:rPr>
            </w:pPr>
            <w:r w:rsidRPr="00256F5A">
              <w:rPr>
                <w:rFonts w:cs="Tahoma"/>
                <w:sz w:val="16"/>
                <w:szCs w:val="16"/>
              </w:rPr>
              <w:lastRenderedPageBreak/>
              <w:t>Aralık Sonu</w:t>
            </w:r>
          </w:p>
        </w:tc>
        <w:tc>
          <w:tcPr>
            <w:tcW w:w="1724" w:type="pct"/>
          </w:tcPr>
          <w:p w:rsidR="00565FD5" w:rsidRPr="00256F5A" w:rsidRDefault="00565FD5" w:rsidP="00AB62A3">
            <w:pPr>
              <w:tabs>
                <w:tab w:val="num" w:pos="0"/>
              </w:tabs>
              <w:spacing w:before="40" w:after="40"/>
              <w:ind w:left="57"/>
              <w:rPr>
                <w:rFonts w:cs="Tahoma"/>
                <w:sz w:val="16"/>
                <w:szCs w:val="16"/>
              </w:rPr>
            </w:pPr>
            <w:r w:rsidRPr="00256F5A">
              <w:rPr>
                <w:rFonts w:cs="Tahoma"/>
                <w:sz w:val="16"/>
                <w:szCs w:val="16"/>
              </w:rPr>
              <w:t xml:space="preserve">Tehlikeli yüklerin denizyoluyla taşınmasına ilişkin yönetmelik, </w:t>
            </w:r>
            <w:r w:rsidRPr="00256F5A">
              <w:rPr>
                <w:rFonts w:cs="Tahoma"/>
                <w:sz w:val="16"/>
                <w:szCs w:val="16"/>
              </w:rPr>
              <w:lastRenderedPageBreak/>
              <w:t xml:space="preserve">tehlikeli yüklerin limanlarda iş ve işlemlerine ilişkin yönetmelik ve emniyetli konteynerlerin inşası ve denetimine ilişkin yetkilendirme yönetmeliği hazırlanacaktır.   </w:t>
            </w:r>
          </w:p>
        </w:tc>
      </w:tr>
      <w:tr w:rsidR="00565FD5" w:rsidRPr="00256F5A" w:rsidTr="00AB62A3">
        <w:trPr>
          <w:trHeight w:val="20"/>
          <w:jc w:val="center"/>
        </w:trPr>
        <w:tc>
          <w:tcPr>
            <w:tcW w:w="5000" w:type="pct"/>
            <w:gridSpan w:val="4"/>
          </w:tcPr>
          <w:p w:rsidR="00565FD5" w:rsidRPr="00256F5A" w:rsidRDefault="00565FD5" w:rsidP="00EB1E69">
            <w:pPr>
              <w:numPr>
                <w:ilvl w:val="0"/>
                <w:numId w:val="15"/>
              </w:numPr>
              <w:spacing w:before="40" w:after="40" w:line="240" w:lineRule="auto"/>
              <w:jc w:val="both"/>
              <w:rPr>
                <w:rFonts w:cs="Tahoma"/>
                <w:b/>
                <w:bCs/>
                <w:sz w:val="16"/>
                <w:szCs w:val="16"/>
                <w:lang w:eastAsia="tr-TR"/>
              </w:rPr>
            </w:pPr>
            <w:r w:rsidRPr="00256F5A">
              <w:rPr>
                <w:rFonts w:cs="Tahoma"/>
                <w:b/>
                <w:bCs/>
                <w:sz w:val="16"/>
                <w:szCs w:val="16"/>
                <w:lang w:eastAsia="tr-TR"/>
              </w:rPr>
              <w:lastRenderedPageBreak/>
              <w:t>Bölünmüş yol yapımı ve standartlarının yükseltilmesi ile mevcut karayolu altyapısı iyileştirilecektir.</w:t>
            </w:r>
          </w:p>
        </w:tc>
      </w:tr>
      <w:tr w:rsidR="00565FD5" w:rsidRPr="00256F5A" w:rsidTr="00AB62A3">
        <w:trPr>
          <w:trHeight w:val="20"/>
          <w:jc w:val="center"/>
        </w:trPr>
        <w:tc>
          <w:tcPr>
            <w:tcW w:w="1624" w:type="pct"/>
          </w:tcPr>
          <w:p w:rsidR="00565FD5" w:rsidRPr="00256F5A" w:rsidRDefault="00565FD5" w:rsidP="00EB1E69">
            <w:pPr>
              <w:numPr>
                <w:ilvl w:val="0"/>
                <w:numId w:val="14"/>
              </w:numPr>
              <w:spacing w:before="40" w:after="40" w:line="240" w:lineRule="auto"/>
              <w:rPr>
                <w:rFonts w:cs="Tahoma"/>
                <w:sz w:val="16"/>
                <w:szCs w:val="16"/>
                <w:lang w:eastAsia="tr-TR"/>
              </w:rPr>
            </w:pPr>
            <w:r w:rsidRPr="00256F5A">
              <w:rPr>
                <w:rFonts w:cs="Tahoma"/>
                <w:sz w:val="16"/>
                <w:szCs w:val="16"/>
                <w:lang w:eastAsia="tr-TR"/>
              </w:rPr>
              <w:t>Bölünmüş yol yapımına devam edilecektir.</w:t>
            </w:r>
          </w:p>
        </w:tc>
        <w:tc>
          <w:tcPr>
            <w:tcW w:w="1175" w:type="pct"/>
          </w:tcPr>
          <w:p w:rsidR="00565FD5" w:rsidRPr="00256F5A" w:rsidRDefault="00565FD5" w:rsidP="00AB62A3">
            <w:pPr>
              <w:spacing w:before="40" w:after="40"/>
              <w:ind w:left="57"/>
              <w:rPr>
                <w:rFonts w:cs="Tahoma"/>
                <w:sz w:val="16"/>
                <w:szCs w:val="16"/>
                <w:lang w:eastAsia="tr-TR"/>
              </w:rPr>
            </w:pPr>
            <w:r w:rsidRPr="00256F5A">
              <w:rPr>
                <w:rFonts w:cs="Tahoma"/>
                <w:sz w:val="16"/>
                <w:szCs w:val="16"/>
                <w:lang w:eastAsia="tr-TR"/>
              </w:rPr>
              <w:t>Karayolları Genel Müdürlüğü (S)</w:t>
            </w:r>
          </w:p>
        </w:tc>
        <w:tc>
          <w:tcPr>
            <w:tcW w:w="477" w:type="pct"/>
          </w:tcPr>
          <w:p w:rsidR="00565FD5" w:rsidRPr="00256F5A" w:rsidRDefault="00565FD5" w:rsidP="00AB62A3">
            <w:pPr>
              <w:spacing w:before="40" w:after="40"/>
              <w:ind w:left="57"/>
              <w:rPr>
                <w:rFonts w:cs="Tahoma"/>
                <w:sz w:val="16"/>
                <w:szCs w:val="16"/>
                <w:lang w:eastAsia="tr-TR"/>
              </w:rPr>
            </w:pPr>
            <w:r w:rsidRPr="00256F5A">
              <w:rPr>
                <w:rFonts w:eastAsia="Arial Unicode MS" w:cs="Tahoma"/>
                <w:sz w:val="16"/>
                <w:szCs w:val="16"/>
                <w:lang w:eastAsia="tr-TR"/>
              </w:rPr>
              <w:t>Aralık Sonu</w:t>
            </w:r>
          </w:p>
        </w:tc>
        <w:tc>
          <w:tcPr>
            <w:tcW w:w="1724" w:type="pct"/>
          </w:tcPr>
          <w:p w:rsidR="00565FD5" w:rsidRPr="00256F5A" w:rsidRDefault="00565FD5" w:rsidP="00AB62A3">
            <w:pPr>
              <w:spacing w:before="40" w:after="40"/>
              <w:ind w:left="57"/>
              <w:rPr>
                <w:rFonts w:cs="Tahoma"/>
                <w:sz w:val="16"/>
                <w:szCs w:val="16"/>
                <w:lang w:eastAsia="tr-TR"/>
              </w:rPr>
            </w:pPr>
            <w:r w:rsidRPr="00256F5A">
              <w:rPr>
                <w:rFonts w:cs="Tahoma"/>
                <w:sz w:val="16"/>
                <w:szCs w:val="16"/>
                <w:lang w:eastAsia="tr-TR"/>
              </w:rPr>
              <w:t>1.075 km bölünmüş yol yapılacaktır.</w:t>
            </w:r>
          </w:p>
        </w:tc>
      </w:tr>
      <w:tr w:rsidR="00565FD5" w:rsidRPr="00256F5A" w:rsidTr="00AB62A3">
        <w:trPr>
          <w:trHeight w:val="20"/>
          <w:jc w:val="center"/>
        </w:trPr>
        <w:tc>
          <w:tcPr>
            <w:tcW w:w="1624" w:type="pct"/>
          </w:tcPr>
          <w:p w:rsidR="00565FD5" w:rsidRPr="00256F5A" w:rsidRDefault="00565FD5" w:rsidP="00EB1E69">
            <w:pPr>
              <w:numPr>
                <w:ilvl w:val="0"/>
                <w:numId w:val="14"/>
              </w:numPr>
              <w:spacing w:before="40" w:after="40" w:line="240" w:lineRule="auto"/>
              <w:rPr>
                <w:rFonts w:cs="Tahoma"/>
                <w:sz w:val="16"/>
                <w:szCs w:val="16"/>
                <w:lang w:eastAsia="tr-TR"/>
              </w:rPr>
            </w:pPr>
            <w:r w:rsidRPr="00256F5A">
              <w:rPr>
                <w:rFonts w:cs="Tahoma"/>
                <w:sz w:val="16"/>
                <w:szCs w:val="16"/>
                <w:lang w:eastAsia="tr-TR"/>
              </w:rPr>
              <w:t>Ağır taşıt trafiği bulunan yolların fiziki standardı yükseltilecektir.</w:t>
            </w:r>
          </w:p>
        </w:tc>
        <w:tc>
          <w:tcPr>
            <w:tcW w:w="1175" w:type="pct"/>
          </w:tcPr>
          <w:p w:rsidR="00565FD5" w:rsidRPr="00256F5A" w:rsidRDefault="00565FD5" w:rsidP="00AB62A3">
            <w:pPr>
              <w:spacing w:before="40" w:after="40"/>
              <w:ind w:left="57"/>
              <w:rPr>
                <w:rFonts w:cs="Tahoma"/>
                <w:sz w:val="16"/>
                <w:szCs w:val="16"/>
                <w:lang w:eastAsia="tr-TR"/>
              </w:rPr>
            </w:pPr>
            <w:r w:rsidRPr="00256F5A">
              <w:rPr>
                <w:rFonts w:cs="Tahoma"/>
                <w:sz w:val="16"/>
                <w:szCs w:val="16"/>
                <w:lang w:eastAsia="tr-TR"/>
              </w:rPr>
              <w:t>Karayolları Genel Müdürlüğü (S)</w:t>
            </w:r>
          </w:p>
          <w:p w:rsidR="00565FD5" w:rsidRPr="00256F5A" w:rsidRDefault="00565FD5" w:rsidP="00AB62A3">
            <w:pPr>
              <w:spacing w:before="40" w:after="40"/>
              <w:ind w:left="57"/>
              <w:rPr>
                <w:rFonts w:cs="Tahoma"/>
                <w:sz w:val="16"/>
                <w:szCs w:val="16"/>
                <w:lang w:eastAsia="tr-TR"/>
              </w:rPr>
            </w:pPr>
          </w:p>
        </w:tc>
        <w:tc>
          <w:tcPr>
            <w:tcW w:w="477" w:type="pct"/>
          </w:tcPr>
          <w:p w:rsidR="00565FD5" w:rsidRPr="00256F5A" w:rsidRDefault="00565FD5" w:rsidP="00AB62A3">
            <w:pPr>
              <w:spacing w:before="40" w:after="40"/>
              <w:ind w:left="57"/>
              <w:rPr>
                <w:rFonts w:eastAsia="Arial Unicode MS" w:cs="Tahoma"/>
                <w:sz w:val="16"/>
                <w:szCs w:val="16"/>
              </w:rPr>
            </w:pPr>
            <w:r w:rsidRPr="00256F5A">
              <w:rPr>
                <w:rFonts w:eastAsia="Arial Unicode MS" w:cs="Tahoma"/>
                <w:sz w:val="16"/>
                <w:szCs w:val="16"/>
              </w:rPr>
              <w:t>Aralık Sonu</w:t>
            </w:r>
          </w:p>
          <w:p w:rsidR="00565FD5" w:rsidRPr="00256F5A" w:rsidRDefault="00565FD5" w:rsidP="00AB62A3">
            <w:pPr>
              <w:spacing w:before="40" w:after="40"/>
              <w:ind w:left="57"/>
              <w:rPr>
                <w:rFonts w:cs="Tahoma"/>
                <w:sz w:val="16"/>
                <w:szCs w:val="16"/>
                <w:lang w:eastAsia="tr-TR"/>
              </w:rPr>
            </w:pPr>
          </w:p>
        </w:tc>
        <w:tc>
          <w:tcPr>
            <w:tcW w:w="1724" w:type="pct"/>
          </w:tcPr>
          <w:p w:rsidR="00565FD5" w:rsidRPr="00256F5A" w:rsidRDefault="00565FD5" w:rsidP="00AB62A3">
            <w:pPr>
              <w:spacing w:before="40" w:after="40"/>
              <w:ind w:left="57"/>
              <w:rPr>
                <w:rFonts w:cs="Tahoma"/>
                <w:sz w:val="16"/>
                <w:szCs w:val="16"/>
                <w:lang w:eastAsia="tr-TR"/>
              </w:rPr>
            </w:pPr>
            <w:r w:rsidRPr="00256F5A">
              <w:rPr>
                <w:rFonts w:cs="Tahoma"/>
                <w:sz w:val="16"/>
                <w:szCs w:val="16"/>
                <w:lang w:eastAsia="tr-TR"/>
              </w:rPr>
              <w:t>Ortalama günlük ağır taşıt trafiği 1.000 aracın üzerinde olan güzergâhlarda toplam 4.344 km BSK yapımı veya yenilenmesi gerçekleştirilecektir.</w:t>
            </w:r>
          </w:p>
        </w:tc>
      </w:tr>
      <w:tr w:rsidR="00565FD5" w:rsidRPr="00256F5A" w:rsidTr="00AB62A3">
        <w:trPr>
          <w:trHeight w:val="20"/>
          <w:jc w:val="center"/>
        </w:trPr>
        <w:tc>
          <w:tcPr>
            <w:tcW w:w="5000" w:type="pct"/>
            <w:gridSpan w:val="4"/>
            <w:vAlign w:val="bottom"/>
          </w:tcPr>
          <w:p w:rsidR="00565FD5" w:rsidRPr="00256F5A" w:rsidRDefault="00565FD5" w:rsidP="00EB1E69">
            <w:pPr>
              <w:numPr>
                <w:ilvl w:val="0"/>
                <w:numId w:val="15"/>
              </w:numPr>
              <w:spacing w:before="40" w:after="40" w:line="240" w:lineRule="auto"/>
              <w:jc w:val="both"/>
              <w:rPr>
                <w:rFonts w:cs="Tahoma"/>
                <w:b/>
                <w:bCs/>
                <w:sz w:val="16"/>
                <w:szCs w:val="16"/>
                <w:lang w:eastAsia="tr-TR"/>
              </w:rPr>
            </w:pPr>
            <w:r w:rsidRPr="00256F5A">
              <w:rPr>
                <w:rFonts w:cs="Tahoma"/>
                <w:b/>
                <w:bCs/>
                <w:sz w:val="16"/>
                <w:szCs w:val="16"/>
                <w:lang w:eastAsia="tr-TR"/>
              </w:rPr>
              <w:t xml:space="preserve">Akıllı ulaşım sistemlerinin kullanımı yaygınlaştırılacaktır. </w:t>
            </w:r>
          </w:p>
        </w:tc>
      </w:tr>
      <w:tr w:rsidR="00565FD5" w:rsidRPr="00256F5A" w:rsidTr="00AB62A3">
        <w:trPr>
          <w:trHeight w:val="20"/>
          <w:jc w:val="center"/>
        </w:trPr>
        <w:tc>
          <w:tcPr>
            <w:tcW w:w="1624" w:type="pct"/>
          </w:tcPr>
          <w:p w:rsidR="00565FD5" w:rsidRPr="00256F5A" w:rsidRDefault="00565FD5" w:rsidP="00EB1E69">
            <w:pPr>
              <w:numPr>
                <w:ilvl w:val="0"/>
                <w:numId w:val="14"/>
              </w:numPr>
              <w:tabs>
                <w:tab w:val="left" w:pos="425"/>
              </w:tabs>
              <w:spacing w:before="40" w:after="40" w:line="240" w:lineRule="auto"/>
              <w:rPr>
                <w:rFonts w:eastAsia="Arial Unicode MS" w:cs="Tahoma"/>
                <w:sz w:val="16"/>
                <w:szCs w:val="16"/>
              </w:rPr>
            </w:pPr>
            <w:r w:rsidRPr="00256F5A">
              <w:rPr>
                <w:rFonts w:cs="Tahoma"/>
                <w:bCs/>
                <w:sz w:val="16"/>
                <w:szCs w:val="16"/>
              </w:rPr>
              <w:t>Ulusal Akıllı Ulaşım Sistemleri Strateji Belgesi hazırlanacaktır.</w:t>
            </w:r>
          </w:p>
        </w:tc>
        <w:tc>
          <w:tcPr>
            <w:tcW w:w="1175" w:type="pct"/>
          </w:tcPr>
          <w:p w:rsidR="00565FD5" w:rsidRPr="00256F5A" w:rsidRDefault="00565FD5" w:rsidP="00AB62A3">
            <w:pPr>
              <w:spacing w:before="40" w:after="40"/>
              <w:ind w:left="57"/>
              <w:rPr>
                <w:rFonts w:eastAsia="Arial Unicode MS" w:cs="Tahoma"/>
                <w:sz w:val="16"/>
                <w:szCs w:val="16"/>
              </w:rPr>
            </w:pPr>
            <w:r w:rsidRPr="00256F5A">
              <w:rPr>
                <w:rFonts w:cs="Tahoma"/>
                <w:sz w:val="16"/>
                <w:szCs w:val="16"/>
              </w:rPr>
              <w:t>Ulaştırma, Denizcilik ve Haberleşme Bakanlığı (S), Kalkınma Bakanlığı, K</w:t>
            </w:r>
            <w:r>
              <w:rPr>
                <w:rFonts w:cs="Tahoma"/>
                <w:sz w:val="16"/>
                <w:szCs w:val="16"/>
              </w:rPr>
              <w:t>arayolları Genel Müdürlüğü</w:t>
            </w:r>
            <w:r w:rsidRPr="00256F5A">
              <w:rPr>
                <w:rFonts w:cs="Tahoma"/>
                <w:sz w:val="16"/>
                <w:szCs w:val="16"/>
              </w:rPr>
              <w:t>, İçişleri Bakanlığı, Üniversiteler, Büyükşehir Belediyeleri</w:t>
            </w:r>
          </w:p>
        </w:tc>
        <w:tc>
          <w:tcPr>
            <w:tcW w:w="477" w:type="pct"/>
          </w:tcPr>
          <w:p w:rsidR="00565FD5" w:rsidRPr="00256F5A" w:rsidRDefault="00565FD5" w:rsidP="00AB62A3">
            <w:pPr>
              <w:spacing w:before="40" w:after="40"/>
              <w:ind w:left="57"/>
              <w:rPr>
                <w:rFonts w:eastAsia="Arial Unicode MS" w:cs="Tahoma"/>
                <w:sz w:val="16"/>
                <w:szCs w:val="16"/>
              </w:rPr>
            </w:pPr>
            <w:r w:rsidRPr="00256F5A">
              <w:rPr>
                <w:rFonts w:cs="Tahoma"/>
                <w:sz w:val="16"/>
                <w:szCs w:val="16"/>
              </w:rPr>
              <w:t>Aralık Sonu</w:t>
            </w:r>
          </w:p>
        </w:tc>
        <w:tc>
          <w:tcPr>
            <w:tcW w:w="1724" w:type="pct"/>
          </w:tcPr>
          <w:p w:rsidR="00565FD5" w:rsidRPr="00256F5A" w:rsidRDefault="00565FD5" w:rsidP="00AB62A3">
            <w:pPr>
              <w:spacing w:before="40" w:after="40"/>
              <w:ind w:left="57"/>
              <w:rPr>
                <w:rFonts w:cs="Tahoma"/>
                <w:sz w:val="16"/>
                <w:szCs w:val="16"/>
              </w:rPr>
            </w:pPr>
            <w:r w:rsidRPr="00256F5A">
              <w:rPr>
                <w:rFonts w:cs="Tahoma"/>
                <w:sz w:val="16"/>
                <w:szCs w:val="16"/>
              </w:rPr>
              <w:t>Merkezi ve yerel idarelerin karayolu ağında akıllı ulaşım sistemleri uygulamalarında görülen farklılıkların önüne geçmek, ülkenin yatırım önceliklerini belirlemek ve entegre trafik yönetim sistemlerinin kurulmasını temin etmek için ulusal strateji belgesi hazırlanacaktır.</w:t>
            </w:r>
          </w:p>
        </w:tc>
      </w:tr>
      <w:tr w:rsidR="00565FD5" w:rsidRPr="00256F5A" w:rsidTr="00AB62A3">
        <w:trPr>
          <w:trHeight w:val="20"/>
          <w:jc w:val="center"/>
        </w:trPr>
        <w:tc>
          <w:tcPr>
            <w:tcW w:w="5000" w:type="pct"/>
            <w:gridSpan w:val="4"/>
          </w:tcPr>
          <w:p w:rsidR="00565FD5" w:rsidRPr="00256F5A" w:rsidRDefault="00565FD5" w:rsidP="00EB1E69">
            <w:pPr>
              <w:numPr>
                <w:ilvl w:val="0"/>
                <w:numId w:val="15"/>
              </w:numPr>
              <w:spacing w:before="40" w:after="40" w:line="240" w:lineRule="auto"/>
              <w:jc w:val="both"/>
              <w:rPr>
                <w:rFonts w:cs="Tahoma"/>
                <w:b/>
                <w:bCs/>
                <w:sz w:val="16"/>
                <w:szCs w:val="16"/>
                <w:lang w:eastAsia="tr-TR"/>
              </w:rPr>
            </w:pPr>
            <w:r w:rsidRPr="00256F5A">
              <w:rPr>
                <w:rFonts w:cs="Tahoma"/>
                <w:b/>
                <w:bCs/>
                <w:sz w:val="16"/>
                <w:szCs w:val="16"/>
                <w:lang w:eastAsia="tr-TR"/>
              </w:rPr>
              <w:t>Hızlı tren ile yolcu taşımacılığı yaygınlaştırılacaktır.</w:t>
            </w:r>
          </w:p>
        </w:tc>
      </w:tr>
      <w:tr w:rsidR="00565FD5" w:rsidRPr="00867EA0" w:rsidTr="00AB62A3">
        <w:trPr>
          <w:trHeight w:val="20"/>
          <w:jc w:val="center"/>
        </w:trPr>
        <w:tc>
          <w:tcPr>
            <w:tcW w:w="1624" w:type="pct"/>
          </w:tcPr>
          <w:p w:rsidR="00565FD5" w:rsidRPr="00867EA0" w:rsidRDefault="00565FD5" w:rsidP="00EB1E69">
            <w:pPr>
              <w:numPr>
                <w:ilvl w:val="0"/>
                <w:numId w:val="14"/>
              </w:numPr>
              <w:tabs>
                <w:tab w:val="left" w:pos="425"/>
              </w:tabs>
              <w:spacing w:before="40" w:after="40" w:line="240" w:lineRule="auto"/>
              <w:rPr>
                <w:rFonts w:cs="Tahoma"/>
                <w:bCs/>
                <w:sz w:val="16"/>
                <w:szCs w:val="16"/>
              </w:rPr>
            </w:pPr>
            <w:r w:rsidRPr="00867EA0">
              <w:rPr>
                <w:rFonts w:cs="Tahoma"/>
                <w:bCs/>
                <w:sz w:val="16"/>
                <w:szCs w:val="16"/>
              </w:rPr>
              <w:t>Ankara merkez olmak üzere hızlı tren çekirdek ağı oluşturulacaktır.</w:t>
            </w:r>
          </w:p>
        </w:tc>
        <w:tc>
          <w:tcPr>
            <w:tcW w:w="1175" w:type="pct"/>
          </w:tcPr>
          <w:p w:rsidR="00565FD5" w:rsidRPr="00867EA0" w:rsidRDefault="00565FD5" w:rsidP="00AB62A3">
            <w:pPr>
              <w:spacing w:before="40" w:after="40"/>
              <w:ind w:left="57"/>
              <w:rPr>
                <w:rFonts w:cs="Tahoma"/>
                <w:bCs/>
                <w:sz w:val="16"/>
                <w:szCs w:val="16"/>
              </w:rPr>
            </w:pPr>
            <w:r>
              <w:rPr>
                <w:rFonts w:cs="Tahoma"/>
                <w:bCs/>
                <w:sz w:val="16"/>
                <w:szCs w:val="16"/>
              </w:rPr>
              <w:t>TCDD (S)</w:t>
            </w:r>
            <w:r w:rsidRPr="00867EA0">
              <w:rPr>
                <w:rFonts w:cs="Tahoma"/>
                <w:bCs/>
                <w:sz w:val="16"/>
                <w:szCs w:val="16"/>
              </w:rPr>
              <w:t>,</w:t>
            </w:r>
          </w:p>
          <w:p w:rsidR="00565FD5" w:rsidRPr="00867EA0" w:rsidRDefault="00565FD5" w:rsidP="00AB62A3">
            <w:pPr>
              <w:spacing w:before="40" w:after="40"/>
              <w:ind w:left="57"/>
              <w:rPr>
                <w:rFonts w:cs="Tahoma"/>
                <w:bCs/>
                <w:sz w:val="16"/>
                <w:szCs w:val="16"/>
              </w:rPr>
            </w:pPr>
            <w:r w:rsidRPr="00867EA0">
              <w:rPr>
                <w:rFonts w:cs="Tahoma"/>
                <w:bCs/>
                <w:sz w:val="16"/>
                <w:szCs w:val="16"/>
              </w:rPr>
              <w:t xml:space="preserve">Ulaştırma, Denizcilik ve Haberleşme Bakanlığı, </w:t>
            </w:r>
          </w:p>
          <w:p w:rsidR="00565FD5" w:rsidRPr="00867EA0" w:rsidRDefault="00565FD5" w:rsidP="00AB62A3">
            <w:pPr>
              <w:spacing w:before="40" w:after="40"/>
              <w:ind w:left="57"/>
              <w:rPr>
                <w:rFonts w:cs="Tahoma"/>
                <w:bCs/>
                <w:sz w:val="16"/>
                <w:szCs w:val="16"/>
              </w:rPr>
            </w:pPr>
            <w:r w:rsidRPr="00867EA0">
              <w:rPr>
                <w:rFonts w:cs="Tahoma"/>
                <w:bCs/>
                <w:sz w:val="16"/>
                <w:szCs w:val="16"/>
              </w:rPr>
              <w:t>Kalkınma Bakanlığı</w:t>
            </w:r>
          </w:p>
        </w:tc>
        <w:tc>
          <w:tcPr>
            <w:tcW w:w="477" w:type="pct"/>
          </w:tcPr>
          <w:p w:rsidR="00565FD5" w:rsidRPr="00867EA0" w:rsidRDefault="00565FD5" w:rsidP="00AB62A3">
            <w:pPr>
              <w:spacing w:before="40" w:after="40"/>
              <w:ind w:left="57"/>
              <w:rPr>
                <w:rFonts w:cs="Tahoma"/>
                <w:bCs/>
                <w:sz w:val="16"/>
                <w:szCs w:val="16"/>
              </w:rPr>
            </w:pPr>
            <w:r w:rsidRPr="00867EA0">
              <w:rPr>
                <w:rFonts w:cs="Tahoma"/>
                <w:bCs/>
                <w:sz w:val="16"/>
                <w:szCs w:val="16"/>
              </w:rPr>
              <w:t>Aralık Sonu</w:t>
            </w:r>
          </w:p>
        </w:tc>
        <w:tc>
          <w:tcPr>
            <w:tcW w:w="1724" w:type="pct"/>
          </w:tcPr>
          <w:p w:rsidR="00565FD5" w:rsidRPr="00867EA0" w:rsidRDefault="00565FD5" w:rsidP="00AB62A3">
            <w:pPr>
              <w:spacing w:before="40" w:after="40"/>
              <w:ind w:left="57"/>
              <w:rPr>
                <w:rFonts w:cs="Tahoma"/>
                <w:bCs/>
                <w:sz w:val="16"/>
                <w:szCs w:val="16"/>
              </w:rPr>
            </w:pPr>
            <w:r w:rsidRPr="00867EA0">
              <w:rPr>
                <w:rFonts w:cs="Tahoma"/>
                <w:bCs/>
                <w:sz w:val="16"/>
                <w:szCs w:val="16"/>
              </w:rPr>
              <w:t>Ankara-İstanbul Hızlı Tren Projesi İnönü-Köseköy-Gebze kesiminin inşaat çalışmalarına devam edilecektir. Ankara-Sivas Demiryolu projesinde Yerköy-Sivas kesiminde çalışmalara devam edilecek, Kayaş-Yerköy arasında inşaat işine başlanacaktır. Ankara-İzmir Hızlı Tren projesinin Ankara-Afyonkarahisar kesiminin yapım çalışmalarına devam edilecektir.</w:t>
            </w:r>
          </w:p>
        </w:tc>
      </w:tr>
      <w:tr w:rsidR="00565FD5" w:rsidRPr="00256F5A" w:rsidTr="00AB62A3">
        <w:trPr>
          <w:trHeight w:val="20"/>
          <w:jc w:val="center"/>
        </w:trPr>
        <w:tc>
          <w:tcPr>
            <w:tcW w:w="5000" w:type="pct"/>
            <w:gridSpan w:val="4"/>
          </w:tcPr>
          <w:p w:rsidR="00565FD5" w:rsidRPr="00256F5A" w:rsidRDefault="00565FD5" w:rsidP="00EB1E69">
            <w:pPr>
              <w:numPr>
                <w:ilvl w:val="0"/>
                <w:numId w:val="15"/>
              </w:numPr>
              <w:spacing w:before="40" w:after="60" w:line="240" w:lineRule="auto"/>
              <w:ind w:right="57"/>
              <w:jc w:val="both"/>
              <w:rPr>
                <w:rFonts w:cs="Tahoma"/>
                <w:b/>
                <w:bCs/>
                <w:sz w:val="16"/>
                <w:szCs w:val="16"/>
                <w:lang w:eastAsia="tr-TR"/>
              </w:rPr>
            </w:pPr>
            <w:r w:rsidRPr="00256F5A">
              <w:rPr>
                <w:rFonts w:cs="Tahoma"/>
                <w:b/>
                <w:bCs/>
                <w:sz w:val="16"/>
                <w:szCs w:val="16"/>
                <w:lang w:eastAsia="tr-TR"/>
              </w:rPr>
              <w:t>Yük taşımacılığında demiryolu ve denizyoluna ağırlık verilecek; iç bölge bağlantıları geliştirilerek limanlar kombine taşımacılık yapılabilen lojistik merkezler haline getirilecektir. Uygun liman sahaları tespit edilecek, ana limanlar oluşturulacak ve limanların etkin yönetimi sağlanacaktır.</w:t>
            </w:r>
          </w:p>
        </w:tc>
      </w:tr>
      <w:tr w:rsidR="00565FD5" w:rsidRPr="00867EA0" w:rsidTr="00AB62A3">
        <w:trPr>
          <w:trHeight w:val="20"/>
          <w:jc w:val="center"/>
        </w:trPr>
        <w:tc>
          <w:tcPr>
            <w:tcW w:w="1624" w:type="pct"/>
          </w:tcPr>
          <w:p w:rsidR="00565FD5" w:rsidRPr="00867EA0" w:rsidRDefault="00565FD5" w:rsidP="00EB1E69">
            <w:pPr>
              <w:numPr>
                <w:ilvl w:val="0"/>
                <w:numId w:val="14"/>
              </w:numPr>
              <w:tabs>
                <w:tab w:val="left" w:pos="425"/>
              </w:tabs>
              <w:spacing w:before="60" w:after="60" w:line="240" w:lineRule="auto"/>
              <w:rPr>
                <w:rFonts w:cs="Tahoma"/>
                <w:bCs/>
                <w:sz w:val="16"/>
                <w:szCs w:val="16"/>
              </w:rPr>
            </w:pPr>
            <w:r w:rsidRPr="00867EA0">
              <w:rPr>
                <w:rFonts w:cs="Tahoma"/>
                <w:bCs/>
                <w:sz w:val="16"/>
                <w:szCs w:val="16"/>
              </w:rPr>
              <w:t>Liman yönetim modeli oluşturulacaktır.</w:t>
            </w:r>
          </w:p>
        </w:tc>
        <w:tc>
          <w:tcPr>
            <w:tcW w:w="1175" w:type="pct"/>
          </w:tcPr>
          <w:p w:rsidR="00565FD5" w:rsidRPr="00867EA0" w:rsidRDefault="00565FD5" w:rsidP="00AB62A3">
            <w:pPr>
              <w:spacing w:before="60" w:after="60"/>
              <w:ind w:left="57"/>
              <w:rPr>
                <w:rFonts w:cs="Tahoma"/>
                <w:bCs/>
                <w:sz w:val="16"/>
                <w:szCs w:val="16"/>
              </w:rPr>
            </w:pPr>
            <w:r w:rsidRPr="00867EA0">
              <w:rPr>
                <w:rFonts w:cs="Tahoma"/>
                <w:bCs/>
                <w:sz w:val="16"/>
                <w:szCs w:val="16"/>
              </w:rPr>
              <w:t xml:space="preserve">Ulaştırma, Denizcilik ve Haberleşme Bakanlığı (S), Kalkınma Bakanlığı, Çevre ve Şehircilik Bakanlığı, Rekabet Kurumu, ÖİB, TCDD, İlgili Belediyeler, Deniz Tic. </w:t>
            </w:r>
            <w:r w:rsidRPr="00867EA0">
              <w:rPr>
                <w:rFonts w:cs="Tahoma"/>
                <w:bCs/>
                <w:sz w:val="16"/>
                <w:szCs w:val="16"/>
              </w:rPr>
              <w:lastRenderedPageBreak/>
              <w:t>Odaları, TÜRKLİM</w:t>
            </w:r>
          </w:p>
        </w:tc>
        <w:tc>
          <w:tcPr>
            <w:tcW w:w="477" w:type="pct"/>
          </w:tcPr>
          <w:p w:rsidR="00565FD5" w:rsidRPr="00867EA0" w:rsidRDefault="00565FD5" w:rsidP="00AB62A3">
            <w:pPr>
              <w:spacing w:before="60" w:after="60"/>
              <w:ind w:left="57"/>
              <w:rPr>
                <w:rFonts w:cs="Tahoma"/>
                <w:bCs/>
                <w:sz w:val="16"/>
                <w:szCs w:val="16"/>
              </w:rPr>
            </w:pPr>
            <w:r w:rsidRPr="00867EA0">
              <w:rPr>
                <w:rFonts w:cs="Tahoma"/>
                <w:bCs/>
                <w:sz w:val="16"/>
                <w:szCs w:val="16"/>
              </w:rPr>
              <w:lastRenderedPageBreak/>
              <w:t>Aralık Sonu</w:t>
            </w:r>
          </w:p>
        </w:tc>
        <w:tc>
          <w:tcPr>
            <w:tcW w:w="1724" w:type="pct"/>
          </w:tcPr>
          <w:p w:rsidR="00565FD5" w:rsidRPr="00867EA0" w:rsidRDefault="00565FD5" w:rsidP="00AB62A3">
            <w:pPr>
              <w:spacing w:before="60" w:after="60"/>
              <w:ind w:left="57"/>
              <w:rPr>
                <w:rFonts w:cs="Tahoma"/>
                <w:bCs/>
                <w:sz w:val="16"/>
                <w:szCs w:val="16"/>
              </w:rPr>
            </w:pPr>
            <w:r w:rsidRPr="00867EA0">
              <w:rPr>
                <w:rFonts w:cs="Tahoma"/>
                <w:bCs/>
                <w:sz w:val="16"/>
                <w:szCs w:val="16"/>
              </w:rPr>
              <w:t>Liman yönetiminde dağınıklığın giderilmesi ve devlet tarafından belirlenecek politikanın, liman ihtiyaçlarını da gözönüne alacak şekilde uygulanmasını teminen bir liman yönetim modeli oluşturulması çalışmalarına devam edilecektir.</w:t>
            </w:r>
          </w:p>
        </w:tc>
      </w:tr>
      <w:tr w:rsidR="00565FD5" w:rsidRPr="00867EA0" w:rsidTr="00AB62A3">
        <w:trPr>
          <w:trHeight w:val="20"/>
          <w:jc w:val="center"/>
        </w:trPr>
        <w:tc>
          <w:tcPr>
            <w:tcW w:w="1624" w:type="pct"/>
          </w:tcPr>
          <w:p w:rsidR="00565FD5" w:rsidRPr="00867EA0" w:rsidRDefault="00565FD5" w:rsidP="00EB1E69">
            <w:pPr>
              <w:numPr>
                <w:ilvl w:val="0"/>
                <w:numId w:val="14"/>
              </w:numPr>
              <w:tabs>
                <w:tab w:val="left" w:pos="425"/>
              </w:tabs>
              <w:spacing w:before="60" w:after="60" w:line="240" w:lineRule="auto"/>
              <w:rPr>
                <w:rFonts w:cs="Tahoma"/>
                <w:bCs/>
                <w:sz w:val="16"/>
                <w:szCs w:val="16"/>
              </w:rPr>
            </w:pPr>
            <w:r w:rsidRPr="00867EA0">
              <w:rPr>
                <w:rFonts w:cs="Tahoma"/>
                <w:bCs/>
                <w:sz w:val="16"/>
                <w:szCs w:val="16"/>
              </w:rPr>
              <w:lastRenderedPageBreak/>
              <w:t>Kıyı yapıları master planı mevzuata yansıtılacaktır.</w:t>
            </w:r>
          </w:p>
        </w:tc>
        <w:tc>
          <w:tcPr>
            <w:tcW w:w="1175" w:type="pct"/>
          </w:tcPr>
          <w:p w:rsidR="00565FD5" w:rsidRPr="00867EA0" w:rsidRDefault="00565FD5" w:rsidP="00AB62A3">
            <w:pPr>
              <w:spacing w:before="60"/>
              <w:ind w:left="57"/>
              <w:rPr>
                <w:rFonts w:cs="Tahoma"/>
                <w:bCs/>
                <w:sz w:val="16"/>
                <w:szCs w:val="16"/>
              </w:rPr>
            </w:pPr>
            <w:r w:rsidRPr="00867EA0">
              <w:rPr>
                <w:rFonts w:cs="Tahoma"/>
                <w:bCs/>
                <w:sz w:val="16"/>
                <w:szCs w:val="16"/>
              </w:rPr>
              <w:t>Ulaştırma, Denizcilik ve Haberleşme Bakanlığı (S),</w:t>
            </w:r>
          </w:p>
          <w:p w:rsidR="00565FD5" w:rsidRPr="00867EA0" w:rsidRDefault="00565FD5" w:rsidP="00AB62A3">
            <w:pPr>
              <w:ind w:left="57"/>
              <w:rPr>
                <w:rFonts w:cs="Tahoma"/>
                <w:bCs/>
                <w:sz w:val="16"/>
                <w:szCs w:val="16"/>
              </w:rPr>
            </w:pPr>
            <w:r w:rsidRPr="00867EA0">
              <w:rPr>
                <w:rFonts w:cs="Tahoma"/>
                <w:bCs/>
                <w:sz w:val="16"/>
                <w:szCs w:val="16"/>
              </w:rPr>
              <w:t xml:space="preserve">Çevre ve Şehircilik Bakanlığı, </w:t>
            </w:r>
          </w:p>
          <w:p w:rsidR="00565FD5" w:rsidRPr="00867EA0" w:rsidRDefault="00565FD5" w:rsidP="00AB62A3">
            <w:pPr>
              <w:ind w:left="57"/>
              <w:rPr>
                <w:rFonts w:cs="Tahoma"/>
                <w:bCs/>
                <w:sz w:val="16"/>
                <w:szCs w:val="16"/>
              </w:rPr>
            </w:pPr>
            <w:r w:rsidRPr="00867EA0">
              <w:rPr>
                <w:rFonts w:cs="Tahoma"/>
                <w:bCs/>
                <w:sz w:val="16"/>
                <w:szCs w:val="16"/>
              </w:rPr>
              <w:t>Kültür ve Turizm Bakanlığı, ÖİB,</w:t>
            </w:r>
          </w:p>
          <w:p w:rsidR="00565FD5" w:rsidRPr="00867EA0" w:rsidRDefault="00565FD5" w:rsidP="00AB62A3">
            <w:pPr>
              <w:spacing w:after="60"/>
              <w:ind w:left="57"/>
              <w:rPr>
                <w:rFonts w:cs="Tahoma"/>
                <w:bCs/>
                <w:sz w:val="16"/>
                <w:szCs w:val="16"/>
              </w:rPr>
            </w:pPr>
            <w:r w:rsidRPr="00867EA0">
              <w:rPr>
                <w:rFonts w:cs="Tahoma"/>
                <w:bCs/>
                <w:sz w:val="16"/>
                <w:szCs w:val="16"/>
              </w:rPr>
              <w:t xml:space="preserve">İlgili Belediyeler </w:t>
            </w:r>
          </w:p>
        </w:tc>
        <w:tc>
          <w:tcPr>
            <w:tcW w:w="477" w:type="pct"/>
          </w:tcPr>
          <w:p w:rsidR="00565FD5" w:rsidRPr="00867EA0" w:rsidRDefault="00565FD5" w:rsidP="00AB62A3">
            <w:pPr>
              <w:spacing w:before="60" w:after="60"/>
              <w:ind w:left="57"/>
              <w:rPr>
                <w:rFonts w:cs="Tahoma"/>
                <w:bCs/>
                <w:sz w:val="16"/>
                <w:szCs w:val="16"/>
              </w:rPr>
            </w:pPr>
            <w:r w:rsidRPr="00867EA0">
              <w:rPr>
                <w:rFonts w:cs="Tahoma"/>
                <w:bCs/>
                <w:sz w:val="16"/>
                <w:szCs w:val="16"/>
              </w:rPr>
              <w:t xml:space="preserve">Aralık Sonu </w:t>
            </w:r>
          </w:p>
        </w:tc>
        <w:tc>
          <w:tcPr>
            <w:tcW w:w="1724" w:type="pct"/>
          </w:tcPr>
          <w:p w:rsidR="00565FD5" w:rsidRPr="00867EA0" w:rsidRDefault="00565FD5" w:rsidP="00AB62A3">
            <w:pPr>
              <w:spacing w:before="60" w:after="60"/>
              <w:ind w:left="57"/>
              <w:rPr>
                <w:rFonts w:cs="Tahoma"/>
                <w:bCs/>
                <w:sz w:val="16"/>
                <w:szCs w:val="16"/>
              </w:rPr>
            </w:pPr>
            <w:r w:rsidRPr="00867EA0">
              <w:rPr>
                <w:rFonts w:cs="Tahoma"/>
                <w:bCs/>
                <w:sz w:val="16"/>
                <w:szCs w:val="16"/>
              </w:rPr>
              <w:t>Büyük ölçekli ana limanlar oluşturulması kapsamında uygun liman sahalarını belirleyen kıyı yapıları master planının hayata geçirilmesini ve girişimcilerin bu sahalara yönlendirilmesini teminen çalışma sonuçlarının liman yapımı ile ilgili mevzuata yansıtılması sağlanacaktır.</w:t>
            </w:r>
          </w:p>
        </w:tc>
      </w:tr>
      <w:tr w:rsidR="00565FD5" w:rsidRPr="00867EA0" w:rsidTr="00AB62A3">
        <w:trPr>
          <w:trHeight w:val="20"/>
          <w:jc w:val="center"/>
        </w:trPr>
        <w:tc>
          <w:tcPr>
            <w:tcW w:w="1624" w:type="pct"/>
          </w:tcPr>
          <w:p w:rsidR="00565FD5" w:rsidRPr="00867EA0" w:rsidRDefault="00565FD5" w:rsidP="00EB1E69">
            <w:pPr>
              <w:numPr>
                <w:ilvl w:val="0"/>
                <w:numId w:val="14"/>
              </w:numPr>
              <w:tabs>
                <w:tab w:val="left" w:pos="425"/>
              </w:tabs>
              <w:spacing w:before="40" w:after="60" w:line="240" w:lineRule="auto"/>
              <w:rPr>
                <w:rFonts w:cs="Tahoma"/>
                <w:bCs/>
                <w:sz w:val="16"/>
                <w:szCs w:val="16"/>
              </w:rPr>
            </w:pPr>
            <w:r w:rsidRPr="00867EA0">
              <w:rPr>
                <w:rFonts w:cs="Tahoma"/>
                <w:bCs/>
                <w:sz w:val="16"/>
                <w:szCs w:val="16"/>
              </w:rPr>
              <w:t>Limanların geri sahasında demiryolu aktarım terminalleri veya karada konteyner terminalleri kurularak, demiryolu taşımacılık anlayışından lojistik taşımacılık anlayışına geçilecek</w:t>
            </w:r>
            <w:r>
              <w:rPr>
                <w:rFonts w:cs="Tahoma"/>
                <w:bCs/>
                <w:sz w:val="16"/>
                <w:szCs w:val="16"/>
              </w:rPr>
              <w:t xml:space="preserve"> ve o</w:t>
            </w:r>
            <w:r w:rsidRPr="00867EA0">
              <w:rPr>
                <w:rFonts w:cs="Tahoma"/>
                <w:bCs/>
                <w:sz w:val="16"/>
                <w:szCs w:val="16"/>
              </w:rPr>
              <w:t>rganize sanayi bölgelerine, büyük fabrikalara ve limanlara özel sektör katkısı ile bağlantı hatları yapılacaktır.</w:t>
            </w:r>
          </w:p>
        </w:tc>
        <w:tc>
          <w:tcPr>
            <w:tcW w:w="1175" w:type="pct"/>
          </w:tcPr>
          <w:p w:rsidR="00565FD5" w:rsidRPr="00867EA0" w:rsidRDefault="00565FD5" w:rsidP="00AB62A3">
            <w:pPr>
              <w:spacing w:before="40" w:after="60"/>
              <w:ind w:left="57"/>
              <w:rPr>
                <w:rFonts w:cs="Tahoma"/>
                <w:bCs/>
                <w:sz w:val="16"/>
                <w:szCs w:val="16"/>
              </w:rPr>
            </w:pPr>
            <w:r w:rsidRPr="00867EA0">
              <w:rPr>
                <w:rFonts w:cs="Tahoma"/>
                <w:bCs/>
                <w:sz w:val="16"/>
                <w:szCs w:val="16"/>
              </w:rPr>
              <w:t>Ulaştırma, Denizcilik ve Haberleşme Bakanlığı (S), TCDD, Kalkınma Bakanlığı</w:t>
            </w:r>
          </w:p>
        </w:tc>
        <w:tc>
          <w:tcPr>
            <w:tcW w:w="477" w:type="pct"/>
          </w:tcPr>
          <w:p w:rsidR="00565FD5" w:rsidRPr="00867EA0" w:rsidRDefault="00565FD5" w:rsidP="00AB62A3">
            <w:pPr>
              <w:spacing w:before="40" w:after="60"/>
              <w:ind w:left="57"/>
              <w:rPr>
                <w:rFonts w:cs="Tahoma"/>
                <w:bCs/>
                <w:sz w:val="16"/>
                <w:szCs w:val="16"/>
              </w:rPr>
            </w:pPr>
            <w:r w:rsidRPr="00867EA0">
              <w:rPr>
                <w:rFonts w:cs="Tahoma"/>
                <w:bCs/>
                <w:sz w:val="16"/>
                <w:szCs w:val="16"/>
              </w:rPr>
              <w:t>Aralık Sonu</w:t>
            </w:r>
          </w:p>
        </w:tc>
        <w:tc>
          <w:tcPr>
            <w:tcW w:w="1724" w:type="pct"/>
          </w:tcPr>
          <w:p w:rsidR="00565FD5" w:rsidRPr="00867EA0" w:rsidRDefault="00565FD5" w:rsidP="00AB62A3">
            <w:pPr>
              <w:spacing w:before="40" w:after="60"/>
              <w:ind w:left="57"/>
              <w:rPr>
                <w:rFonts w:cs="Tahoma"/>
                <w:bCs/>
                <w:sz w:val="16"/>
                <w:szCs w:val="16"/>
              </w:rPr>
            </w:pPr>
            <w:r w:rsidRPr="00867EA0">
              <w:rPr>
                <w:rFonts w:cs="Tahoma"/>
                <w:bCs/>
                <w:sz w:val="16"/>
                <w:szCs w:val="16"/>
              </w:rPr>
              <w:t xml:space="preserve">Proje hazırlama ve kamulaştırma çalışmaları tamamlanan lojistik merkezlerin yapımına başlanacaktır. </w:t>
            </w:r>
          </w:p>
          <w:p w:rsidR="00565FD5" w:rsidRDefault="00565FD5" w:rsidP="00AB62A3">
            <w:pPr>
              <w:spacing w:before="40" w:after="60"/>
              <w:ind w:left="57"/>
              <w:rPr>
                <w:rFonts w:cs="Tahoma"/>
                <w:bCs/>
                <w:sz w:val="16"/>
                <w:szCs w:val="16"/>
              </w:rPr>
            </w:pPr>
            <w:r w:rsidRPr="00867EA0">
              <w:rPr>
                <w:rFonts w:cs="Tahoma"/>
                <w:bCs/>
                <w:sz w:val="16"/>
                <w:szCs w:val="16"/>
              </w:rPr>
              <w:t xml:space="preserve">Adapazarı-Karasu Limanı Demiryolu Bağlantı Hattı inşaatına devam edilecektir. Ambarlı Limanı demiryolu bağlantısı etüd-proje çalışması başlatılacaktır. İnşaatı devam etmekte olan Çandarlı Limanının demiryolu bağlantısıyla ilgili çalışmalara başlanacaktır. </w:t>
            </w:r>
          </w:p>
          <w:p w:rsidR="00565FD5" w:rsidRPr="00867EA0" w:rsidRDefault="00565FD5" w:rsidP="00AB62A3">
            <w:pPr>
              <w:spacing w:before="40" w:after="60"/>
              <w:ind w:left="57"/>
              <w:rPr>
                <w:rFonts w:cs="Tahoma"/>
                <w:bCs/>
                <w:sz w:val="16"/>
                <w:szCs w:val="16"/>
              </w:rPr>
            </w:pPr>
            <w:r w:rsidRPr="00867EA0">
              <w:rPr>
                <w:rFonts w:cs="Tahoma"/>
                <w:bCs/>
                <w:sz w:val="16"/>
                <w:szCs w:val="16"/>
              </w:rPr>
              <w:t>İzmir Kemalpaşa Organize Sanayi Bölgesi demiryolu bağlantı hattı inşaatı tamamlanacak ve lojistik merkez yapımına başlanacaktır. Bursa-Yenişehir demiryolunun inşaatına devam edilecek ve bölgedeki OSB’lere ve otomotiv fabrikalarına demiryolu bağlantıları sağlanacaktır.</w:t>
            </w:r>
          </w:p>
        </w:tc>
      </w:tr>
      <w:tr w:rsidR="00565FD5" w:rsidRPr="00867EA0" w:rsidTr="00AB62A3">
        <w:trPr>
          <w:trHeight w:val="20"/>
          <w:jc w:val="center"/>
        </w:trPr>
        <w:tc>
          <w:tcPr>
            <w:tcW w:w="1624" w:type="pct"/>
          </w:tcPr>
          <w:p w:rsidR="00565FD5" w:rsidRPr="00867EA0" w:rsidRDefault="00565FD5" w:rsidP="00EB1E69">
            <w:pPr>
              <w:numPr>
                <w:ilvl w:val="0"/>
                <w:numId w:val="14"/>
              </w:numPr>
              <w:tabs>
                <w:tab w:val="left" w:pos="425"/>
              </w:tabs>
              <w:spacing w:before="40" w:after="40" w:line="240" w:lineRule="auto"/>
              <w:rPr>
                <w:rFonts w:cs="Tahoma"/>
                <w:bCs/>
                <w:sz w:val="16"/>
                <w:szCs w:val="16"/>
              </w:rPr>
            </w:pPr>
            <w:r w:rsidRPr="00867EA0">
              <w:rPr>
                <w:rFonts w:cs="Tahoma"/>
                <w:bCs/>
                <w:sz w:val="16"/>
                <w:szCs w:val="16"/>
              </w:rPr>
              <w:t>Kombine taşımacılık konusunda strateji ve mevzuat hazırlama çalışmaları başlatılacaktır.</w:t>
            </w:r>
          </w:p>
        </w:tc>
        <w:tc>
          <w:tcPr>
            <w:tcW w:w="1175" w:type="pct"/>
          </w:tcPr>
          <w:p w:rsidR="00565FD5" w:rsidRPr="00867EA0" w:rsidRDefault="00565FD5" w:rsidP="00AB62A3">
            <w:pPr>
              <w:spacing w:before="40" w:after="40"/>
              <w:ind w:left="57"/>
              <w:rPr>
                <w:rFonts w:cs="Tahoma"/>
                <w:bCs/>
                <w:sz w:val="16"/>
                <w:szCs w:val="16"/>
              </w:rPr>
            </w:pPr>
            <w:r w:rsidRPr="00867EA0">
              <w:rPr>
                <w:rFonts w:cs="Tahoma"/>
                <w:bCs/>
                <w:sz w:val="16"/>
                <w:szCs w:val="16"/>
              </w:rPr>
              <w:t>Ulaştırma, Denizcilik ve Haberleşme Bakanlığı (S), Kalkınma Bakanlığı, Maliye Bakanlığı, Güm</w:t>
            </w:r>
            <w:r>
              <w:rPr>
                <w:rFonts w:cs="Tahoma"/>
                <w:bCs/>
                <w:sz w:val="16"/>
                <w:szCs w:val="16"/>
              </w:rPr>
              <w:t>rük ve Ticaret Bakanlığı, TCDD</w:t>
            </w:r>
          </w:p>
        </w:tc>
        <w:tc>
          <w:tcPr>
            <w:tcW w:w="477" w:type="pct"/>
          </w:tcPr>
          <w:p w:rsidR="00565FD5" w:rsidRPr="00867EA0" w:rsidRDefault="00565FD5" w:rsidP="00AB62A3">
            <w:pPr>
              <w:spacing w:before="40" w:after="40"/>
              <w:ind w:left="57"/>
              <w:rPr>
                <w:rFonts w:cs="Tahoma"/>
                <w:bCs/>
                <w:sz w:val="16"/>
                <w:szCs w:val="16"/>
              </w:rPr>
            </w:pPr>
            <w:r w:rsidRPr="00867EA0">
              <w:rPr>
                <w:rFonts w:cs="Tahoma"/>
                <w:bCs/>
                <w:sz w:val="16"/>
                <w:szCs w:val="16"/>
              </w:rPr>
              <w:t>Aralık Sonu</w:t>
            </w:r>
          </w:p>
        </w:tc>
        <w:tc>
          <w:tcPr>
            <w:tcW w:w="1724" w:type="pct"/>
          </w:tcPr>
          <w:p w:rsidR="00565FD5" w:rsidRPr="00867EA0" w:rsidRDefault="00565FD5" w:rsidP="00AB62A3">
            <w:pPr>
              <w:spacing w:before="40" w:after="40"/>
              <w:ind w:left="57"/>
              <w:rPr>
                <w:rFonts w:cs="Tahoma"/>
                <w:bCs/>
                <w:sz w:val="16"/>
                <w:szCs w:val="16"/>
              </w:rPr>
            </w:pPr>
            <w:r w:rsidRPr="00867EA0">
              <w:rPr>
                <w:rFonts w:cs="Tahoma"/>
                <w:bCs/>
                <w:sz w:val="16"/>
                <w:szCs w:val="16"/>
              </w:rPr>
              <w:t>Kombine taşımacılık alanında bir strateji belgesi oluşturularak, ihtiyaç duyulan mevzuatın taslak hazırlama çalışmalarına başlanacaktır.</w:t>
            </w:r>
          </w:p>
        </w:tc>
      </w:tr>
      <w:tr w:rsidR="00565FD5" w:rsidRPr="00256F5A" w:rsidTr="00AB62A3">
        <w:trPr>
          <w:trHeight w:val="20"/>
          <w:jc w:val="center"/>
        </w:trPr>
        <w:tc>
          <w:tcPr>
            <w:tcW w:w="5000" w:type="pct"/>
            <w:gridSpan w:val="4"/>
          </w:tcPr>
          <w:p w:rsidR="00565FD5" w:rsidRPr="00256F5A" w:rsidRDefault="00565FD5" w:rsidP="00EB1E69">
            <w:pPr>
              <w:numPr>
                <w:ilvl w:val="0"/>
                <w:numId w:val="15"/>
              </w:numPr>
              <w:spacing w:before="60" w:after="60" w:line="240" w:lineRule="auto"/>
              <w:rPr>
                <w:rFonts w:cs="Tahoma"/>
                <w:b/>
                <w:bCs/>
                <w:sz w:val="16"/>
                <w:szCs w:val="16"/>
                <w:lang w:eastAsia="tr-TR"/>
              </w:rPr>
            </w:pPr>
            <w:r w:rsidRPr="00256F5A">
              <w:rPr>
                <w:rFonts w:cs="Tahoma"/>
                <w:b/>
                <w:bCs/>
                <w:sz w:val="16"/>
                <w:szCs w:val="16"/>
                <w:lang w:eastAsia="tr-TR"/>
              </w:rPr>
              <w:t>Orta ve uzun vadeli havaalanı toplam</w:t>
            </w:r>
            <w:r w:rsidRPr="00256F5A">
              <w:rPr>
                <w:rFonts w:eastAsia="Arial Unicode MS" w:cs="Tahoma"/>
                <w:b/>
                <w:bCs/>
                <w:sz w:val="16"/>
                <w:szCs w:val="16"/>
                <w:lang w:eastAsia="tr-TR"/>
              </w:rPr>
              <w:t xml:space="preserve"> kapasite ihtiyacının belirlenmesine yönelik çalışmalar yapılacaktır.</w:t>
            </w:r>
          </w:p>
        </w:tc>
      </w:tr>
      <w:tr w:rsidR="00565FD5" w:rsidRPr="00256F5A" w:rsidTr="00AB62A3">
        <w:trPr>
          <w:trHeight w:val="20"/>
          <w:jc w:val="center"/>
        </w:trPr>
        <w:tc>
          <w:tcPr>
            <w:tcW w:w="1624" w:type="pct"/>
          </w:tcPr>
          <w:p w:rsidR="00565FD5" w:rsidRPr="00256F5A" w:rsidRDefault="00565FD5" w:rsidP="00EB1E69">
            <w:pPr>
              <w:numPr>
                <w:ilvl w:val="0"/>
                <w:numId w:val="14"/>
              </w:numPr>
              <w:tabs>
                <w:tab w:val="left" w:pos="425"/>
              </w:tabs>
              <w:spacing w:before="60" w:after="60" w:line="240" w:lineRule="auto"/>
              <w:rPr>
                <w:rFonts w:eastAsia="Arial Unicode MS" w:cs="Tahoma"/>
                <w:sz w:val="16"/>
                <w:szCs w:val="16"/>
              </w:rPr>
            </w:pPr>
            <w:r w:rsidRPr="00256F5A">
              <w:rPr>
                <w:rFonts w:eastAsia="Arial Unicode MS" w:cs="Tahoma"/>
                <w:sz w:val="16"/>
                <w:szCs w:val="16"/>
                <w:lang w:eastAsia="tr-TR"/>
              </w:rPr>
              <w:t>Hava Ulaşımı Genel Etüdü çalışmasına başlanacaktır.</w:t>
            </w:r>
          </w:p>
        </w:tc>
        <w:tc>
          <w:tcPr>
            <w:tcW w:w="1175" w:type="pct"/>
          </w:tcPr>
          <w:p w:rsidR="00565FD5" w:rsidRPr="00256F5A" w:rsidRDefault="00565FD5" w:rsidP="00AB62A3">
            <w:pPr>
              <w:spacing w:before="60" w:after="60"/>
              <w:ind w:left="57"/>
              <w:rPr>
                <w:rFonts w:eastAsia="Arial Unicode MS" w:cs="Tahoma"/>
                <w:sz w:val="16"/>
                <w:szCs w:val="16"/>
              </w:rPr>
            </w:pPr>
            <w:r w:rsidRPr="00256F5A">
              <w:rPr>
                <w:rFonts w:eastAsia="Arial Unicode MS" w:cs="Tahoma"/>
                <w:sz w:val="16"/>
                <w:szCs w:val="16"/>
                <w:lang w:eastAsia="tr-TR"/>
              </w:rPr>
              <w:t xml:space="preserve">DHMİ (S), Ulaştırma, Denizcilik ve Haberleşme Bakanlığı, Kalkınma Bakanlığı, SHGM, Üniversiteler, TÖSHİD, Özel Havaalanı </w:t>
            </w:r>
            <w:r w:rsidRPr="00256F5A">
              <w:rPr>
                <w:rFonts w:eastAsia="Arial Unicode MS" w:cs="Tahoma"/>
                <w:sz w:val="16"/>
                <w:szCs w:val="16"/>
                <w:lang w:eastAsia="tr-TR"/>
              </w:rPr>
              <w:lastRenderedPageBreak/>
              <w:t>İşleticileri</w:t>
            </w:r>
          </w:p>
        </w:tc>
        <w:tc>
          <w:tcPr>
            <w:tcW w:w="477" w:type="pct"/>
          </w:tcPr>
          <w:p w:rsidR="00565FD5" w:rsidRPr="00256F5A" w:rsidRDefault="00565FD5" w:rsidP="00AB62A3">
            <w:pPr>
              <w:spacing w:before="60" w:after="60"/>
              <w:ind w:left="57"/>
              <w:rPr>
                <w:rFonts w:eastAsia="Arial Unicode MS" w:cs="Tahoma"/>
                <w:sz w:val="16"/>
                <w:szCs w:val="16"/>
              </w:rPr>
            </w:pPr>
            <w:r w:rsidRPr="00256F5A">
              <w:rPr>
                <w:rFonts w:eastAsia="Arial Unicode MS" w:cs="Tahoma"/>
                <w:sz w:val="16"/>
                <w:szCs w:val="16"/>
              </w:rPr>
              <w:lastRenderedPageBreak/>
              <w:t>Aralık Sonu</w:t>
            </w:r>
          </w:p>
        </w:tc>
        <w:tc>
          <w:tcPr>
            <w:tcW w:w="1724" w:type="pct"/>
          </w:tcPr>
          <w:p w:rsidR="00565FD5" w:rsidRPr="00256F5A" w:rsidRDefault="00565FD5" w:rsidP="00AB62A3">
            <w:pPr>
              <w:spacing w:before="60" w:after="60"/>
              <w:ind w:left="57"/>
              <w:rPr>
                <w:rFonts w:eastAsia="Arial Unicode MS" w:cs="Tahoma"/>
                <w:sz w:val="16"/>
                <w:szCs w:val="16"/>
              </w:rPr>
            </w:pPr>
            <w:r w:rsidRPr="00256F5A">
              <w:rPr>
                <w:rFonts w:eastAsia="Arial Unicode MS" w:cs="Tahoma"/>
                <w:sz w:val="16"/>
                <w:szCs w:val="16"/>
                <w:lang w:eastAsia="tr-TR"/>
              </w:rPr>
              <w:t xml:space="preserve">Sistem planlaması anlayışıyla, havaalanlarında mevcut durum analizi ve hava trafik projeksiyonu yapılarak ve yeni yatırım ihtiyaçlarını belirleyerek orta ve uzun vadeli yatırımları yönlendirecek Hava </w:t>
            </w:r>
            <w:r w:rsidRPr="00256F5A">
              <w:rPr>
                <w:rFonts w:eastAsia="Arial Unicode MS" w:cs="Tahoma"/>
                <w:sz w:val="16"/>
                <w:szCs w:val="16"/>
                <w:lang w:eastAsia="tr-TR"/>
              </w:rPr>
              <w:lastRenderedPageBreak/>
              <w:t>Ulaşımı Genel Etüdü çalışması başlatılacaktır.</w:t>
            </w:r>
          </w:p>
        </w:tc>
      </w:tr>
      <w:tr w:rsidR="00565FD5" w:rsidRPr="00256F5A" w:rsidTr="00AB62A3">
        <w:trPr>
          <w:trHeight w:val="20"/>
          <w:jc w:val="center"/>
        </w:trPr>
        <w:tc>
          <w:tcPr>
            <w:tcW w:w="1624" w:type="pct"/>
          </w:tcPr>
          <w:p w:rsidR="00565FD5" w:rsidRPr="00256F5A" w:rsidRDefault="00565FD5" w:rsidP="00EB1E69">
            <w:pPr>
              <w:numPr>
                <w:ilvl w:val="0"/>
                <w:numId w:val="14"/>
              </w:numPr>
              <w:tabs>
                <w:tab w:val="left" w:pos="425"/>
              </w:tabs>
              <w:spacing w:before="60" w:after="60" w:line="240" w:lineRule="auto"/>
              <w:rPr>
                <w:rFonts w:eastAsia="Arial Unicode MS" w:cs="Tahoma"/>
                <w:sz w:val="16"/>
                <w:szCs w:val="16"/>
              </w:rPr>
            </w:pPr>
            <w:r w:rsidRPr="00256F5A">
              <w:rPr>
                <w:rFonts w:eastAsia="Arial Unicode MS" w:cs="Tahoma"/>
                <w:sz w:val="16"/>
                <w:szCs w:val="16"/>
                <w:lang w:eastAsia="tr-TR"/>
              </w:rPr>
              <w:lastRenderedPageBreak/>
              <w:t>Havaalanları için Master Planlar hazırlanmasına devam edilecektir.</w:t>
            </w:r>
          </w:p>
        </w:tc>
        <w:tc>
          <w:tcPr>
            <w:tcW w:w="1175" w:type="pct"/>
          </w:tcPr>
          <w:p w:rsidR="00565FD5" w:rsidRPr="00256F5A" w:rsidRDefault="00565FD5" w:rsidP="00AB62A3">
            <w:pPr>
              <w:autoSpaceDE w:val="0"/>
              <w:autoSpaceDN w:val="0"/>
              <w:adjustRightInd w:val="0"/>
              <w:spacing w:before="60" w:after="60"/>
              <w:ind w:left="57"/>
              <w:rPr>
                <w:rFonts w:eastAsia="Arial Unicode MS" w:cs="Tahoma"/>
                <w:sz w:val="16"/>
                <w:szCs w:val="16"/>
              </w:rPr>
            </w:pPr>
            <w:r w:rsidRPr="00256F5A">
              <w:rPr>
                <w:rFonts w:eastAsia="Arial Unicode MS" w:cs="Tahoma"/>
                <w:sz w:val="16"/>
                <w:szCs w:val="16"/>
                <w:lang w:eastAsia="tr-TR"/>
              </w:rPr>
              <w:t>DHMİ (S), Ulaştırma, Denizcilik ve Haberleşme Bakanlığı , Kalkınma Bakanlığı, SHGM, Üniversiteler</w:t>
            </w:r>
          </w:p>
        </w:tc>
        <w:tc>
          <w:tcPr>
            <w:tcW w:w="477" w:type="pct"/>
          </w:tcPr>
          <w:p w:rsidR="00565FD5" w:rsidRPr="00256F5A" w:rsidRDefault="00565FD5" w:rsidP="00AB62A3">
            <w:pPr>
              <w:spacing w:before="60" w:after="60"/>
              <w:ind w:left="57"/>
              <w:rPr>
                <w:rFonts w:eastAsia="Arial Unicode MS" w:cs="Tahoma"/>
                <w:sz w:val="16"/>
                <w:szCs w:val="16"/>
              </w:rPr>
            </w:pPr>
            <w:r w:rsidRPr="00256F5A">
              <w:rPr>
                <w:rFonts w:eastAsia="Arial Unicode MS" w:cs="Tahoma"/>
                <w:sz w:val="16"/>
                <w:szCs w:val="16"/>
              </w:rPr>
              <w:t>Aralık Sonu</w:t>
            </w:r>
          </w:p>
        </w:tc>
        <w:tc>
          <w:tcPr>
            <w:tcW w:w="1724" w:type="pct"/>
          </w:tcPr>
          <w:p w:rsidR="00565FD5" w:rsidRPr="00256F5A" w:rsidRDefault="00565FD5" w:rsidP="00AB62A3">
            <w:pPr>
              <w:spacing w:before="60" w:after="60"/>
              <w:ind w:left="57"/>
              <w:rPr>
                <w:rFonts w:eastAsia="Arial Unicode MS" w:cs="Tahoma"/>
                <w:sz w:val="16"/>
                <w:szCs w:val="16"/>
              </w:rPr>
            </w:pPr>
            <w:r w:rsidRPr="00256F5A">
              <w:rPr>
                <w:rFonts w:eastAsia="Arial Unicode MS" w:cs="Tahoma"/>
                <w:sz w:val="16"/>
                <w:szCs w:val="16"/>
                <w:lang w:eastAsia="tr-TR"/>
              </w:rPr>
              <w:t>Master Planı bulunmayan havaalanları için Hava Alanı Master Planı hazırlanacaktır.</w:t>
            </w:r>
          </w:p>
        </w:tc>
      </w:tr>
      <w:tr w:rsidR="00565FD5" w:rsidRPr="00256F5A" w:rsidTr="00AB62A3">
        <w:trPr>
          <w:trHeight w:val="20"/>
          <w:jc w:val="center"/>
        </w:trPr>
        <w:tc>
          <w:tcPr>
            <w:tcW w:w="5000" w:type="pct"/>
            <w:gridSpan w:val="4"/>
          </w:tcPr>
          <w:p w:rsidR="00565FD5" w:rsidRPr="00256F5A" w:rsidRDefault="00565FD5" w:rsidP="00EB1E69">
            <w:pPr>
              <w:numPr>
                <w:ilvl w:val="0"/>
                <w:numId w:val="15"/>
              </w:numPr>
              <w:spacing w:before="60" w:after="60" w:line="240" w:lineRule="auto"/>
              <w:jc w:val="both"/>
              <w:rPr>
                <w:rFonts w:cs="Tahoma"/>
                <w:b/>
                <w:bCs/>
                <w:sz w:val="16"/>
                <w:szCs w:val="16"/>
                <w:lang w:eastAsia="tr-TR"/>
              </w:rPr>
            </w:pPr>
            <w:r w:rsidRPr="00256F5A">
              <w:rPr>
                <w:rFonts w:cs="Tahoma"/>
                <w:b/>
                <w:bCs/>
                <w:sz w:val="16"/>
                <w:szCs w:val="16"/>
                <w:lang w:eastAsia="tr-TR"/>
              </w:rPr>
              <w:t>Kent içi ulaşım altyapı projelerinin planlanması, projelendirilmesi, yapımı ve işletilmesi aşamalarında verimlilik artırılacaktır.</w:t>
            </w:r>
          </w:p>
        </w:tc>
      </w:tr>
      <w:tr w:rsidR="00565FD5" w:rsidRPr="00256F5A" w:rsidTr="00AB62A3">
        <w:trPr>
          <w:trHeight w:val="20"/>
          <w:jc w:val="center"/>
        </w:trPr>
        <w:tc>
          <w:tcPr>
            <w:tcW w:w="1624" w:type="pct"/>
          </w:tcPr>
          <w:p w:rsidR="00565FD5" w:rsidRPr="00256F5A" w:rsidRDefault="00565FD5" w:rsidP="00EB1E69">
            <w:pPr>
              <w:numPr>
                <w:ilvl w:val="0"/>
                <w:numId w:val="14"/>
              </w:numPr>
              <w:spacing w:before="60" w:after="60" w:line="240" w:lineRule="auto"/>
              <w:rPr>
                <w:rFonts w:cs="Tahoma"/>
                <w:sz w:val="16"/>
                <w:szCs w:val="16"/>
                <w:lang w:eastAsia="tr-TR"/>
              </w:rPr>
            </w:pPr>
            <w:r w:rsidRPr="00256F5A">
              <w:rPr>
                <w:rFonts w:cs="Tahoma"/>
                <w:bCs/>
                <w:sz w:val="16"/>
                <w:szCs w:val="16"/>
                <w:lang w:eastAsia="tr-TR"/>
              </w:rPr>
              <w:t>Kent içi raylı sistem projelerinin incelenmesi ve onaylanmasına ilişkin esasları düzenlemeye yönelik yönetmelik hazırlanacaktır.</w:t>
            </w:r>
          </w:p>
        </w:tc>
        <w:tc>
          <w:tcPr>
            <w:tcW w:w="1175" w:type="pct"/>
          </w:tcPr>
          <w:p w:rsidR="00565FD5" w:rsidRPr="00256F5A" w:rsidRDefault="00565FD5" w:rsidP="00AB62A3">
            <w:pPr>
              <w:spacing w:before="60" w:after="60"/>
              <w:ind w:left="57"/>
              <w:rPr>
                <w:rFonts w:cs="Tahoma"/>
                <w:sz w:val="16"/>
                <w:szCs w:val="16"/>
                <w:lang w:eastAsia="tr-TR"/>
              </w:rPr>
            </w:pPr>
            <w:r w:rsidRPr="00256F5A">
              <w:rPr>
                <w:rFonts w:cs="Tahoma"/>
                <w:sz w:val="16"/>
                <w:szCs w:val="16"/>
                <w:lang w:eastAsia="tr-TR"/>
              </w:rPr>
              <w:t>Ulaştırma, Denizcilik ve Haberleşme Bakanlığı (S), Kalkınma Bakanlığı, AYGM,</w:t>
            </w:r>
            <w:r>
              <w:rPr>
                <w:rFonts w:cs="Tahoma"/>
                <w:sz w:val="16"/>
                <w:szCs w:val="16"/>
                <w:lang w:eastAsia="tr-TR"/>
              </w:rPr>
              <w:t xml:space="preserve"> </w:t>
            </w:r>
            <w:r w:rsidRPr="00256F5A">
              <w:rPr>
                <w:rFonts w:cs="Tahoma"/>
                <w:sz w:val="16"/>
                <w:szCs w:val="16"/>
                <w:lang w:eastAsia="tr-TR"/>
              </w:rPr>
              <w:t>Büyükşehir Belediyeleri</w:t>
            </w:r>
          </w:p>
        </w:tc>
        <w:tc>
          <w:tcPr>
            <w:tcW w:w="477" w:type="pct"/>
          </w:tcPr>
          <w:p w:rsidR="00565FD5" w:rsidRPr="00256F5A" w:rsidRDefault="00565FD5" w:rsidP="00AB62A3">
            <w:pPr>
              <w:spacing w:before="60" w:after="60"/>
              <w:ind w:left="57"/>
              <w:rPr>
                <w:rFonts w:cs="Tahoma"/>
                <w:sz w:val="16"/>
                <w:szCs w:val="16"/>
                <w:lang w:eastAsia="tr-TR"/>
              </w:rPr>
            </w:pPr>
            <w:r w:rsidRPr="00256F5A">
              <w:rPr>
                <w:rFonts w:cs="Tahoma"/>
                <w:sz w:val="16"/>
                <w:szCs w:val="16"/>
                <w:lang w:eastAsia="tr-TR"/>
              </w:rPr>
              <w:t>Aralık Sonu</w:t>
            </w:r>
          </w:p>
        </w:tc>
        <w:tc>
          <w:tcPr>
            <w:tcW w:w="1724" w:type="pct"/>
          </w:tcPr>
          <w:p w:rsidR="00565FD5" w:rsidRPr="00256F5A" w:rsidRDefault="00565FD5" w:rsidP="00AB62A3">
            <w:pPr>
              <w:spacing w:before="60" w:after="60"/>
              <w:ind w:left="57"/>
              <w:rPr>
                <w:rFonts w:cs="Tahoma"/>
                <w:sz w:val="16"/>
                <w:szCs w:val="16"/>
                <w:lang w:eastAsia="tr-TR"/>
              </w:rPr>
            </w:pPr>
            <w:r w:rsidRPr="00256F5A">
              <w:rPr>
                <w:rFonts w:cs="Tahoma"/>
                <w:sz w:val="16"/>
                <w:szCs w:val="16"/>
                <w:lang w:eastAsia="tr-TR"/>
              </w:rPr>
              <w:t xml:space="preserve">655 sayılı Kanun Hükmünde Kararname gereğince </w:t>
            </w:r>
            <w:r w:rsidRPr="00256F5A">
              <w:rPr>
                <w:rFonts w:cs="Tahoma"/>
                <w:bCs/>
                <w:sz w:val="16"/>
                <w:szCs w:val="16"/>
                <w:lang w:eastAsia="tr-TR"/>
              </w:rPr>
              <w:t>kent içi raylı sistem projelerinin incelenmesi ve onaylanmasına ilişkin esasları düzenlemeye yönelik yönetmelik hazırlanacaktır.</w:t>
            </w:r>
          </w:p>
        </w:tc>
      </w:tr>
      <w:tr w:rsidR="00565FD5" w:rsidRPr="00256F5A" w:rsidTr="00AB62A3">
        <w:trPr>
          <w:trHeight w:val="20"/>
          <w:jc w:val="center"/>
        </w:trPr>
        <w:tc>
          <w:tcPr>
            <w:tcW w:w="1624" w:type="pct"/>
          </w:tcPr>
          <w:p w:rsidR="00565FD5" w:rsidRPr="00256F5A" w:rsidRDefault="00565FD5" w:rsidP="00EB1E69">
            <w:pPr>
              <w:numPr>
                <w:ilvl w:val="0"/>
                <w:numId w:val="14"/>
              </w:numPr>
              <w:spacing w:before="60" w:after="60" w:line="240" w:lineRule="auto"/>
              <w:rPr>
                <w:rFonts w:cs="Tahoma"/>
                <w:sz w:val="16"/>
                <w:szCs w:val="16"/>
                <w:lang w:eastAsia="tr-TR"/>
              </w:rPr>
            </w:pPr>
            <w:r w:rsidRPr="00256F5A">
              <w:rPr>
                <w:rFonts w:cs="Tahoma"/>
                <w:sz w:val="16"/>
                <w:szCs w:val="16"/>
                <w:lang w:eastAsia="tr-TR"/>
              </w:rPr>
              <w:t xml:space="preserve">Ulaşım Ana Planı hazırlanmasına ilişkin usul esas ve standartlar belirlenecektir. </w:t>
            </w:r>
          </w:p>
        </w:tc>
        <w:tc>
          <w:tcPr>
            <w:tcW w:w="1175" w:type="pct"/>
          </w:tcPr>
          <w:p w:rsidR="00565FD5" w:rsidRPr="00256F5A" w:rsidRDefault="00565FD5" w:rsidP="00AB62A3">
            <w:pPr>
              <w:spacing w:before="60" w:after="60"/>
              <w:ind w:left="57"/>
              <w:rPr>
                <w:rFonts w:cs="Tahoma"/>
                <w:sz w:val="16"/>
                <w:szCs w:val="16"/>
                <w:lang w:eastAsia="tr-TR"/>
              </w:rPr>
            </w:pPr>
            <w:r w:rsidRPr="00256F5A">
              <w:rPr>
                <w:rFonts w:cs="Tahoma"/>
                <w:sz w:val="16"/>
                <w:szCs w:val="16"/>
                <w:lang w:eastAsia="tr-TR"/>
              </w:rPr>
              <w:t>Ulaştırma, Denizcilik ve Haberleşme Bakanlığı (S), İçişleri Bakanlığı</w:t>
            </w:r>
            <w:r>
              <w:rPr>
                <w:rFonts w:cs="Tahoma"/>
                <w:sz w:val="16"/>
                <w:szCs w:val="16"/>
                <w:lang w:eastAsia="tr-TR"/>
              </w:rPr>
              <w:t>,</w:t>
            </w:r>
            <w:r w:rsidRPr="00256F5A">
              <w:rPr>
                <w:rFonts w:cs="Tahoma"/>
                <w:sz w:val="16"/>
                <w:szCs w:val="16"/>
                <w:lang w:eastAsia="tr-TR"/>
              </w:rPr>
              <w:t xml:space="preserve"> AYGM </w:t>
            </w:r>
          </w:p>
        </w:tc>
        <w:tc>
          <w:tcPr>
            <w:tcW w:w="477" w:type="pct"/>
          </w:tcPr>
          <w:p w:rsidR="00565FD5" w:rsidRPr="00256F5A" w:rsidRDefault="00565FD5" w:rsidP="00AB62A3">
            <w:pPr>
              <w:spacing w:before="60" w:after="60"/>
              <w:ind w:left="57"/>
              <w:rPr>
                <w:rFonts w:cs="Tahoma"/>
                <w:sz w:val="16"/>
                <w:szCs w:val="16"/>
                <w:lang w:eastAsia="tr-TR"/>
              </w:rPr>
            </w:pPr>
            <w:r w:rsidRPr="00256F5A">
              <w:rPr>
                <w:rFonts w:cs="Tahoma"/>
                <w:sz w:val="16"/>
                <w:szCs w:val="16"/>
                <w:lang w:eastAsia="tr-TR"/>
              </w:rPr>
              <w:t>Aralık Sonu</w:t>
            </w:r>
          </w:p>
        </w:tc>
        <w:tc>
          <w:tcPr>
            <w:tcW w:w="1724" w:type="pct"/>
          </w:tcPr>
          <w:p w:rsidR="00565FD5" w:rsidRPr="00256F5A" w:rsidRDefault="00565FD5" w:rsidP="00AB62A3">
            <w:pPr>
              <w:spacing w:before="60" w:after="60"/>
              <w:ind w:left="57"/>
              <w:rPr>
                <w:rFonts w:cs="Tahoma"/>
                <w:sz w:val="16"/>
                <w:szCs w:val="16"/>
                <w:lang w:eastAsia="tr-TR"/>
              </w:rPr>
            </w:pPr>
            <w:r w:rsidRPr="00256F5A">
              <w:rPr>
                <w:rFonts w:cs="Tahoma"/>
                <w:sz w:val="16"/>
                <w:szCs w:val="16"/>
                <w:lang w:eastAsia="tr-TR"/>
              </w:rPr>
              <w:t>5216 sayılı Büyükşehir Belediye Kanununda belirtilen Ulaşım Ana Planının yapılması ve uygulanmasıyla ilgili hususlarda bütün büyükşehir belediyelerini kapsayan usul esas ve standartlar oluşturulacaktır.</w:t>
            </w:r>
          </w:p>
        </w:tc>
      </w:tr>
    </w:tbl>
    <w:p w:rsidR="00565FD5" w:rsidRDefault="00565FD5" w:rsidP="00565FD5"/>
    <w:p w:rsidR="00565FD5" w:rsidRPr="00BD0813" w:rsidRDefault="00565FD5" w:rsidP="00565FD5">
      <w:pPr>
        <w:rPr>
          <w:sz w:val="14"/>
          <w:szCs w:val="14"/>
        </w:rPr>
      </w:pPr>
    </w:p>
    <w:p w:rsidR="00565FD5" w:rsidRPr="00E16DD0" w:rsidRDefault="00565FD5" w:rsidP="00565FD5">
      <w:pPr>
        <w:pStyle w:val="Balk3"/>
      </w:pPr>
      <w:bookmarkStart w:id="1651" w:name="_Toc338494239"/>
      <w:bookmarkStart w:id="1652" w:name="_Toc338505575"/>
      <w:bookmarkStart w:id="1653" w:name="_Toc338523802"/>
      <w:bookmarkStart w:id="1654" w:name="_Toc338524033"/>
      <w:bookmarkStart w:id="1655" w:name="_Toc338526259"/>
      <w:bookmarkStart w:id="1656" w:name="_Toc338673702"/>
      <w:bookmarkStart w:id="1657" w:name="_Toc338711581"/>
      <w:bookmarkEnd w:id="1583"/>
      <w:bookmarkEnd w:id="1584"/>
      <w:bookmarkEnd w:id="1585"/>
      <w:bookmarkEnd w:id="1586"/>
      <w:bookmarkEnd w:id="1587"/>
      <w:bookmarkEnd w:id="1588"/>
      <w:bookmarkEnd w:id="1589"/>
      <w:bookmarkEnd w:id="1590"/>
      <w:bookmarkEnd w:id="1591"/>
      <w:r>
        <w:t>E</w:t>
      </w:r>
      <w:r w:rsidRPr="00E16DD0">
        <w:t>. ÇEVRENİN KORUNMASI VE KENTSEL ALTYAPININ GELİŞTİRİLMESİ</w:t>
      </w:r>
      <w:bookmarkEnd w:id="1651"/>
      <w:bookmarkEnd w:id="1652"/>
      <w:bookmarkEnd w:id="1653"/>
      <w:bookmarkEnd w:id="1654"/>
      <w:bookmarkEnd w:id="1655"/>
      <w:bookmarkEnd w:id="1656"/>
      <w:bookmarkEnd w:id="1657"/>
    </w:p>
    <w:p w:rsidR="00565FD5" w:rsidRPr="00E16DD0" w:rsidRDefault="00565FD5" w:rsidP="00565FD5">
      <w:pPr>
        <w:pStyle w:val="Balk4"/>
        <w:rPr>
          <w:noProof/>
          <w:lang w:val="en-US"/>
        </w:rPr>
      </w:pPr>
      <w:bookmarkStart w:id="1658" w:name="_Toc338494240"/>
      <w:bookmarkStart w:id="1659" w:name="_Toc338505576"/>
      <w:bookmarkStart w:id="1660" w:name="_Toc338523803"/>
      <w:bookmarkStart w:id="1661" w:name="_Toc338524034"/>
      <w:bookmarkStart w:id="1662" w:name="_Toc338526260"/>
      <w:bookmarkStart w:id="1663" w:name="_Toc338673703"/>
      <w:bookmarkStart w:id="1664" w:name="_Toc338711582"/>
      <w:r w:rsidRPr="00E16DD0">
        <w:rPr>
          <w:noProof/>
          <w:lang w:val="en-US"/>
        </w:rPr>
        <w:t>1. Mevcut Durum</w:t>
      </w:r>
      <w:bookmarkEnd w:id="1658"/>
      <w:bookmarkEnd w:id="1659"/>
      <w:bookmarkEnd w:id="1660"/>
      <w:bookmarkEnd w:id="1661"/>
      <w:bookmarkEnd w:id="1662"/>
      <w:bookmarkEnd w:id="1663"/>
      <w:bookmarkEnd w:id="1664"/>
    </w:p>
    <w:p w:rsidR="00565FD5" w:rsidRPr="00E16DD0" w:rsidRDefault="00565FD5" w:rsidP="00565FD5">
      <w:pPr>
        <w:spacing w:after="120"/>
        <w:ind w:firstLine="425"/>
        <w:rPr>
          <w:rFonts w:cs="Tahoma"/>
          <w:szCs w:val="18"/>
        </w:rPr>
      </w:pPr>
      <w:bookmarkStart w:id="1665" w:name="_Toc149968499"/>
      <w:r w:rsidRPr="00E16DD0">
        <w:rPr>
          <w:rFonts w:cs="Tahoma"/>
          <w:szCs w:val="18"/>
        </w:rPr>
        <w:t xml:space="preserve">Ekonomik büyüme, nüfus artışı, üretim ve tüketim alışkanlıkları çevre üzerinde giderek artan bir baskı oluşturmaktadır. Çevre yönetiminde uygulama, izleme ve denetim konusundaki yetersizlikler bu baskıyı önemli çevre sorunlarına dönüştürmekte, doğal kaynakların koruma-kullanma dengesi içinde değerlendirilmesi önünde engel teşkil etmektedir. Ayrıca,  yerleşim alanlarında düzensiz ve izinsiz yapılaşma, yetersiz teknik altyapı, yüksek afet riski ve güvenlik sorunu gibi hususlar yaşam kalitesini olumsuz etkilemektedir. </w:t>
      </w:r>
    </w:p>
    <w:p w:rsidR="00565FD5" w:rsidRPr="00E16DD0" w:rsidRDefault="00565FD5" w:rsidP="00565FD5">
      <w:pPr>
        <w:spacing w:after="180"/>
        <w:ind w:firstLine="425"/>
        <w:rPr>
          <w:rFonts w:cs="Tahoma"/>
          <w:szCs w:val="18"/>
        </w:rPr>
      </w:pPr>
      <w:r w:rsidRPr="00E16DD0">
        <w:rPr>
          <w:rFonts w:cs="Tahoma"/>
          <w:szCs w:val="18"/>
        </w:rPr>
        <w:t xml:space="preserve">Türkiye’nin kalkınma politikaları, uluslararası gelişmelere paralel olarak ekonomi-çevre-toplum etkileşimleri çerçevesinde, sürdürülebilir kalkınmaya doğru bir gelişim göstermektedir. Bu kapsamda çevrenin korunması, kalitesinin iyileştirilmesi ve sürdürülebilir kalkınma ilkelerinin hayata geçirilmesine yönelik </w:t>
      </w:r>
      <w:r w:rsidRPr="00E16DD0">
        <w:rPr>
          <w:rFonts w:cs="Tahoma"/>
          <w:szCs w:val="18"/>
        </w:rPr>
        <w:lastRenderedPageBreak/>
        <w:t xml:space="preserve">politika ve stratejiler geliştirilmektedir. Uygulamada ise mevzuat ve kurumsal yapılanmanın güçlendirilmesi yönünde proje ve programlar hayata geçirilmektedir. </w:t>
      </w:r>
    </w:p>
    <w:p w:rsidR="00565FD5" w:rsidRPr="00E16DD0" w:rsidRDefault="00565FD5" w:rsidP="00565FD5">
      <w:pPr>
        <w:spacing w:after="180"/>
        <w:ind w:firstLine="425"/>
        <w:rPr>
          <w:rFonts w:cs="Tahoma"/>
          <w:szCs w:val="18"/>
        </w:rPr>
      </w:pPr>
      <w:r w:rsidRPr="00E16DD0">
        <w:rPr>
          <w:rFonts w:cs="Tahoma"/>
          <w:szCs w:val="18"/>
        </w:rPr>
        <w:t xml:space="preserve">Çevre alanında, özellikle AB’ye uyum kapsamında güncellenmekte olan mevzuatın etkin şekilde uygulanması için gereken kurumsal ve teknik kapasitenin güçlendirilmesine, izleme ve denetim başta olmak üzere çevre yönetiminde etkinliğin artırılmasına ihtiyaç duyulmaktadır. </w:t>
      </w:r>
    </w:p>
    <w:p w:rsidR="00565FD5" w:rsidRPr="00E16DD0" w:rsidRDefault="00565FD5" w:rsidP="00565FD5">
      <w:pPr>
        <w:spacing w:after="180"/>
        <w:ind w:firstLine="425"/>
        <w:rPr>
          <w:rFonts w:cs="Tahoma"/>
          <w:szCs w:val="18"/>
        </w:rPr>
      </w:pPr>
      <w:r w:rsidRPr="00E16DD0">
        <w:rPr>
          <w:rFonts w:cs="Tahoma"/>
          <w:szCs w:val="18"/>
        </w:rPr>
        <w:t>Çevrenin ve doğal kaynakların korunması, sürdürülebilir kullanımı ve geliştirilmesi için çevresel kalite standartlarının iyileştirilmesi ve doğal kaynakların ekonomik değerinin belirlenmesi önem arz etmektedir.</w:t>
      </w:r>
    </w:p>
    <w:p w:rsidR="00565FD5" w:rsidRPr="00E16DD0" w:rsidRDefault="00565FD5" w:rsidP="00565FD5">
      <w:pPr>
        <w:spacing w:after="180"/>
        <w:ind w:firstLine="425"/>
        <w:rPr>
          <w:rFonts w:cs="Tahoma"/>
          <w:szCs w:val="18"/>
        </w:rPr>
      </w:pPr>
      <w:r w:rsidRPr="00E16DD0">
        <w:rPr>
          <w:rFonts w:cs="Tahoma"/>
          <w:szCs w:val="18"/>
        </w:rPr>
        <w:t xml:space="preserve">İklim değişikliğinden kaynaklanan kuraklık, taşkın ve sıra dışı hava olayları orman, su ve toprak kaynakları üzerinde önemli baskılar oluşturmakta, ekonomik ve sosyal hayatı olumsuz yönde etkilemektedir. Bu nedenle, bu konu küresel düzeyde olduğu kadar Türkiye’nin gündeminde de önemli bir yer tutmaktadır. Ülkemizde iklim değişikliğiyle mücadele ve uyum konusunda birçok çalışma yürütülmektedir. </w:t>
      </w:r>
    </w:p>
    <w:p w:rsidR="00565FD5" w:rsidRPr="00E16DD0" w:rsidRDefault="00565FD5" w:rsidP="00565FD5">
      <w:pPr>
        <w:spacing w:after="180"/>
        <w:ind w:firstLine="425"/>
        <w:rPr>
          <w:rFonts w:cs="Tahoma"/>
          <w:szCs w:val="18"/>
        </w:rPr>
      </w:pPr>
      <w:r w:rsidRPr="00E16DD0">
        <w:rPr>
          <w:rFonts w:cs="Tahoma"/>
          <w:szCs w:val="18"/>
        </w:rPr>
        <w:t xml:space="preserve">Zengin bir biyolojik çeşitliliğe ve genetik kaynaklara sahip olan ülkemizde bu kaynakların korunması ve sürdürülebilir kullanımının sağlanması amacıyla hazırlanan Biyolojik Çeşitlilik Stratejisi ve Eylem Planının uygulanmasında kurumlar arasında eşgüdüm ve kurumsal kapasite konularında sorunlar devam etmektedir. Tür ve ekosistemlerin korunması, geliştirilmesi amacıyla mevcut korunan alan sisteminin iyileştirilmesi gerekmektedir. Bu çerçevede, tabiatın ve biyolojik çeşitliliğin korunması ve kullanımında sürdürülebilirliğin sağlanmasına temel teşkil edecek mevzuat ve planlama çalışmalarının tamamlanması gerekmektedir. Uygulamada ise farklı kuruluşlar tarafından yürütülen biyolojik çeşitliliğin ve genetik kaynakların tespiti ve izlenmesine ilişkin projelerin koordinasyonunun güçlendirilmesi ve kuruluşlar arasında işbirliğinin artırılmasına ihtiyaç duyulmaktadır. </w:t>
      </w:r>
    </w:p>
    <w:p w:rsidR="00565FD5" w:rsidRPr="00E16DD0" w:rsidRDefault="00565FD5" w:rsidP="00565FD5">
      <w:pPr>
        <w:spacing w:after="180"/>
        <w:ind w:firstLine="425"/>
        <w:rPr>
          <w:rFonts w:cs="Tahoma"/>
          <w:szCs w:val="18"/>
        </w:rPr>
      </w:pPr>
      <w:r w:rsidRPr="00E16DD0">
        <w:rPr>
          <w:rFonts w:cs="Tahoma"/>
          <w:szCs w:val="18"/>
        </w:rPr>
        <w:t xml:space="preserve">Ekonomik krizler, sosyal ve çevresel sorunlar gibi sürdürülebilir kalkınmanın önündeki engellerle mücadeleye ilişkin küresel düzeyde önlemlerin alınmasına devam edilmektedir. Bu kapsamda 20-22 Haziran 2012 tarihlerinde Brezilya’nın Rio de Janeiro kentinde Birleşmiş Milletler Sürdürülebilir Kalkınma </w:t>
      </w:r>
      <w:r w:rsidRPr="00E16DD0">
        <w:rPr>
          <w:rFonts w:cs="Tahoma"/>
          <w:szCs w:val="18"/>
        </w:rPr>
        <w:lastRenderedPageBreak/>
        <w:t>Konferansı (Rio+20 Zirvesi) gerçekleştirilmiştir. Rio+20 Zirvesi sonucunda sürdürülebilir kalkınmaya ilişkin önümüzdeki dönemde izlenmesi gereken temel ilke ve politikaları ortaya koyan İstediğimiz Gelecek Belgesi devlet ve hükümet başkanları tarafından onaylanarak kabul edilmiştir.</w:t>
      </w:r>
    </w:p>
    <w:p w:rsidR="00565FD5" w:rsidRPr="00E16DD0" w:rsidRDefault="00565FD5" w:rsidP="00565FD5">
      <w:pPr>
        <w:spacing w:after="120"/>
        <w:ind w:firstLine="425"/>
        <w:rPr>
          <w:rFonts w:cs="Tahoma"/>
          <w:szCs w:val="18"/>
        </w:rPr>
      </w:pPr>
      <w:r w:rsidRPr="00E16DD0">
        <w:rPr>
          <w:rFonts w:cs="Tahoma"/>
          <w:szCs w:val="18"/>
        </w:rPr>
        <w:t>Türkiye, Rio+20 Zirvesine Kalkınma Bakanlığının koordinasyonunda kamu kurum ve kuruluşlarının, özel sektörün, yerel yönetimlerin, sivil toplum kuruluşlarının ve üniversitelerin geniş katılımıyla hazırlanmıştır. Bu çerçevede yürütülen çalışmalar kapsamında sürdürülebilir kalkınma alanında 24 en iyi uygulama örneği seçilmiş ve Türkiye Sürdürülebilir Kalkınma 2012: Geleceği Sahiplenmek başlıklı ulusal rapor hazırlanarak Rio+20 Zirvesinde dünya kamuoyuyla paylaşılmıştır.</w:t>
      </w:r>
    </w:p>
    <w:p w:rsidR="00565FD5" w:rsidRPr="00E16DD0" w:rsidRDefault="00565FD5" w:rsidP="00565FD5">
      <w:pPr>
        <w:spacing w:after="120"/>
        <w:ind w:firstLine="425"/>
        <w:rPr>
          <w:rFonts w:cs="Tahoma"/>
          <w:szCs w:val="18"/>
        </w:rPr>
      </w:pPr>
      <w:r w:rsidRPr="00E16DD0">
        <w:rPr>
          <w:rFonts w:cs="Tahoma"/>
          <w:szCs w:val="18"/>
        </w:rPr>
        <w:t>Rio+20 Zirvesinde insan odaklı kalkınma konusunda, 22-23 Mart 2012 tarihlerinde İstanbul'da üst düzeyli Küresel İnsani Kalkınma Forumu düzenlenmiş ve bu etkinlik sonucunda İstanbul Bildirisi kabul edilmiştir.</w:t>
      </w:r>
    </w:p>
    <w:p w:rsidR="00565FD5" w:rsidRPr="00E16DD0" w:rsidRDefault="00565FD5" w:rsidP="00565FD5">
      <w:pPr>
        <w:spacing w:after="120"/>
        <w:ind w:firstLine="425"/>
        <w:rPr>
          <w:rFonts w:cs="Tahoma"/>
          <w:szCs w:val="18"/>
        </w:rPr>
      </w:pPr>
      <w:r w:rsidRPr="00E16DD0">
        <w:rPr>
          <w:rFonts w:cs="Tahoma"/>
          <w:szCs w:val="18"/>
        </w:rPr>
        <w:t xml:space="preserve">Adrese Dayalı Nüfus Kayıt Sistemi (ADNKS) verilerine göre, 2011 yılında kentlerde 53,6 milyon kişi yaşamakta olup kentleşme oranı yüzde 71,8 kentleşme hızı ise yüzde 2,5’tir. </w:t>
      </w:r>
    </w:p>
    <w:p w:rsidR="00565FD5" w:rsidRPr="00250B7F" w:rsidRDefault="00565FD5" w:rsidP="00565FD5">
      <w:pPr>
        <w:pStyle w:val="ResimYazs"/>
        <w:rPr>
          <w:rFonts w:cs="Tahoma"/>
        </w:rPr>
      </w:pPr>
      <w:bookmarkStart w:id="1666" w:name="_Toc307601674"/>
      <w:bookmarkStart w:id="1667" w:name="_Toc307657897"/>
      <w:bookmarkStart w:id="1668" w:name="_Toc307702153"/>
      <w:bookmarkStart w:id="1669" w:name="_Toc338606017"/>
      <w:bookmarkStart w:id="1670" w:name="_Toc338711792"/>
      <w:r>
        <w:t xml:space="preserve">TABLO IV: </w:t>
      </w:r>
      <w:fldSimple w:instr=" SEQ TABLO_IV: \* ARABIC ">
        <w:r>
          <w:rPr>
            <w:noProof/>
          </w:rPr>
          <w:t>22</w:t>
        </w:r>
      </w:fldSimple>
      <w:r w:rsidRPr="00250B7F">
        <w:rPr>
          <w:rFonts w:cs="Tahoma"/>
        </w:rPr>
        <w:t>- Yıllar İtibarıyla Kent ve Kır Nüfusu</w:t>
      </w:r>
      <w:bookmarkEnd w:id="1666"/>
      <w:bookmarkEnd w:id="1667"/>
      <w:bookmarkEnd w:id="1668"/>
      <w:bookmarkEnd w:id="1669"/>
      <w:bookmarkEnd w:id="1670"/>
    </w:p>
    <w:tbl>
      <w:tblPr>
        <w:tblW w:w="4957"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tblPr>
      <w:tblGrid>
        <w:gridCol w:w="830"/>
        <w:gridCol w:w="1227"/>
        <w:gridCol w:w="1151"/>
        <w:gridCol w:w="1008"/>
        <w:gridCol w:w="964"/>
        <w:gridCol w:w="862"/>
        <w:gridCol w:w="1048"/>
      </w:tblGrid>
      <w:tr w:rsidR="00565FD5" w:rsidRPr="00E16DD0" w:rsidTr="00AB62A3">
        <w:trPr>
          <w:trHeight w:val="632"/>
        </w:trPr>
        <w:tc>
          <w:tcPr>
            <w:tcW w:w="585" w:type="pct"/>
            <w:tcBorders>
              <w:top w:val="single" w:sz="4" w:space="0" w:color="auto"/>
              <w:bottom w:val="single" w:sz="4" w:space="0" w:color="auto"/>
              <w:right w:val="nil"/>
            </w:tcBorders>
            <w:noWrap/>
            <w:vAlign w:val="bottom"/>
          </w:tcPr>
          <w:p w:rsidR="00565FD5" w:rsidRPr="00E16DD0" w:rsidRDefault="00565FD5" w:rsidP="00AB62A3">
            <w:pPr>
              <w:tabs>
                <w:tab w:val="left" w:pos="708"/>
              </w:tabs>
              <w:ind w:left="57" w:right="57"/>
              <w:jc w:val="center"/>
              <w:rPr>
                <w:rFonts w:cs="Tahoma"/>
                <w:b/>
                <w:bCs/>
                <w:sz w:val="16"/>
                <w:szCs w:val="16"/>
                <w:lang w:eastAsia="tr-TR"/>
              </w:rPr>
            </w:pPr>
            <w:r w:rsidRPr="00E16DD0">
              <w:rPr>
                <w:rFonts w:cs="Tahoma"/>
                <w:b/>
                <w:bCs/>
                <w:sz w:val="16"/>
                <w:szCs w:val="16"/>
                <w:lang w:eastAsia="tr-TR"/>
              </w:rPr>
              <w:t>Yıllar (1)</w:t>
            </w:r>
          </w:p>
        </w:tc>
        <w:tc>
          <w:tcPr>
            <w:tcW w:w="865" w:type="pct"/>
            <w:tcBorders>
              <w:top w:val="single" w:sz="4" w:space="0" w:color="auto"/>
              <w:left w:val="nil"/>
              <w:bottom w:val="single" w:sz="4" w:space="0" w:color="auto"/>
              <w:right w:val="nil"/>
            </w:tcBorders>
            <w:noWrap/>
            <w:vAlign w:val="bottom"/>
          </w:tcPr>
          <w:p w:rsidR="00565FD5" w:rsidRPr="00E16DD0" w:rsidRDefault="00565FD5" w:rsidP="00AB62A3">
            <w:pPr>
              <w:ind w:left="57" w:right="57"/>
              <w:jc w:val="right"/>
              <w:rPr>
                <w:rFonts w:cs="Tahoma"/>
                <w:b/>
                <w:sz w:val="16"/>
                <w:szCs w:val="16"/>
                <w:lang w:eastAsia="tr-TR"/>
              </w:rPr>
            </w:pPr>
            <w:r w:rsidRPr="00E16DD0">
              <w:rPr>
                <w:rFonts w:cs="Tahoma"/>
                <w:b/>
                <w:sz w:val="16"/>
                <w:szCs w:val="16"/>
                <w:lang w:eastAsia="tr-TR"/>
              </w:rPr>
              <w:t xml:space="preserve">Toplam Nüfus </w:t>
            </w:r>
          </w:p>
          <w:p w:rsidR="00565FD5" w:rsidRPr="00E16DD0" w:rsidRDefault="00565FD5" w:rsidP="00AB62A3">
            <w:pPr>
              <w:ind w:left="57" w:right="57"/>
              <w:jc w:val="right"/>
              <w:rPr>
                <w:rFonts w:cs="Tahoma"/>
                <w:b/>
                <w:sz w:val="16"/>
                <w:szCs w:val="16"/>
                <w:lang w:eastAsia="tr-TR"/>
              </w:rPr>
            </w:pPr>
            <w:r w:rsidRPr="00E16DD0">
              <w:rPr>
                <w:rFonts w:cs="Tahoma"/>
                <w:b/>
                <w:sz w:val="16"/>
                <w:szCs w:val="16"/>
                <w:lang w:eastAsia="tr-TR"/>
              </w:rPr>
              <w:t>(Bin Kişi)</w:t>
            </w:r>
          </w:p>
        </w:tc>
        <w:tc>
          <w:tcPr>
            <w:tcW w:w="812" w:type="pct"/>
            <w:tcBorders>
              <w:top w:val="single" w:sz="4" w:space="0" w:color="auto"/>
              <w:left w:val="nil"/>
              <w:bottom w:val="single" w:sz="4" w:space="0" w:color="auto"/>
              <w:right w:val="nil"/>
            </w:tcBorders>
            <w:noWrap/>
            <w:vAlign w:val="bottom"/>
          </w:tcPr>
          <w:p w:rsidR="00565FD5" w:rsidRPr="00E16DD0" w:rsidRDefault="00565FD5" w:rsidP="00AB62A3">
            <w:pPr>
              <w:tabs>
                <w:tab w:val="left" w:pos="708"/>
              </w:tabs>
              <w:ind w:left="57" w:right="57"/>
              <w:jc w:val="right"/>
              <w:rPr>
                <w:rFonts w:cs="Tahoma"/>
                <w:b/>
                <w:sz w:val="16"/>
                <w:szCs w:val="16"/>
                <w:lang w:eastAsia="tr-TR"/>
              </w:rPr>
            </w:pPr>
            <w:r w:rsidRPr="00E16DD0">
              <w:rPr>
                <w:rFonts w:cs="Tahoma"/>
                <w:b/>
                <w:sz w:val="16"/>
                <w:szCs w:val="16"/>
                <w:lang w:eastAsia="tr-TR"/>
              </w:rPr>
              <w:t xml:space="preserve">Kent Nüfusu </w:t>
            </w:r>
          </w:p>
          <w:p w:rsidR="00565FD5" w:rsidRPr="00E16DD0" w:rsidRDefault="00565FD5" w:rsidP="00AB62A3">
            <w:pPr>
              <w:tabs>
                <w:tab w:val="left" w:pos="708"/>
              </w:tabs>
              <w:ind w:left="57" w:right="57"/>
              <w:jc w:val="right"/>
              <w:rPr>
                <w:rFonts w:cs="Tahoma"/>
                <w:b/>
                <w:sz w:val="16"/>
                <w:szCs w:val="16"/>
                <w:lang w:eastAsia="tr-TR"/>
              </w:rPr>
            </w:pPr>
            <w:r w:rsidRPr="00E16DD0">
              <w:rPr>
                <w:rFonts w:cs="Tahoma"/>
                <w:b/>
                <w:sz w:val="16"/>
                <w:szCs w:val="16"/>
                <w:lang w:eastAsia="tr-TR"/>
              </w:rPr>
              <w:t>(Bin Kişi) (2)</w:t>
            </w:r>
          </w:p>
        </w:tc>
        <w:tc>
          <w:tcPr>
            <w:tcW w:w="711" w:type="pct"/>
            <w:tcBorders>
              <w:top w:val="single" w:sz="4" w:space="0" w:color="auto"/>
              <w:left w:val="nil"/>
              <w:bottom w:val="single" w:sz="4" w:space="0" w:color="auto"/>
              <w:right w:val="nil"/>
            </w:tcBorders>
            <w:noWrap/>
            <w:vAlign w:val="bottom"/>
          </w:tcPr>
          <w:p w:rsidR="00565FD5" w:rsidRPr="00E16DD0" w:rsidRDefault="00565FD5" w:rsidP="00AB62A3">
            <w:pPr>
              <w:ind w:left="57" w:right="57"/>
              <w:jc w:val="right"/>
              <w:rPr>
                <w:rFonts w:cs="Tahoma"/>
                <w:b/>
                <w:sz w:val="16"/>
                <w:szCs w:val="16"/>
                <w:lang w:eastAsia="tr-TR"/>
              </w:rPr>
            </w:pPr>
            <w:r w:rsidRPr="00E16DD0">
              <w:rPr>
                <w:rFonts w:cs="Tahoma"/>
                <w:b/>
                <w:sz w:val="16"/>
                <w:szCs w:val="16"/>
                <w:lang w:eastAsia="tr-TR"/>
              </w:rPr>
              <w:t xml:space="preserve">Kent Nüfus </w:t>
            </w:r>
          </w:p>
          <w:p w:rsidR="00565FD5" w:rsidRPr="00E16DD0" w:rsidRDefault="00565FD5" w:rsidP="00AB62A3">
            <w:pPr>
              <w:ind w:left="57" w:right="57"/>
              <w:jc w:val="right"/>
              <w:rPr>
                <w:rFonts w:cs="Tahoma"/>
                <w:b/>
                <w:sz w:val="16"/>
                <w:szCs w:val="16"/>
                <w:lang w:eastAsia="tr-TR"/>
              </w:rPr>
            </w:pPr>
            <w:r w:rsidRPr="00E16DD0">
              <w:rPr>
                <w:rFonts w:cs="Tahoma"/>
                <w:b/>
                <w:sz w:val="16"/>
                <w:szCs w:val="16"/>
                <w:lang w:eastAsia="tr-TR"/>
              </w:rPr>
              <w:t xml:space="preserve">Oranı </w:t>
            </w:r>
          </w:p>
          <w:p w:rsidR="00565FD5" w:rsidRPr="00E16DD0" w:rsidRDefault="00565FD5" w:rsidP="00AB62A3">
            <w:pPr>
              <w:ind w:left="57" w:right="57"/>
              <w:jc w:val="right"/>
              <w:rPr>
                <w:rFonts w:cs="Tahoma"/>
                <w:b/>
                <w:sz w:val="16"/>
                <w:szCs w:val="16"/>
                <w:lang w:eastAsia="tr-TR"/>
              </w:rPr>
            </w:pPr>
            <w:r w:rsidRPr="00E16DD0">
              <w:rPr>
                <w:rFonts w:cs="Tahoma"/>
                <w:b/>
                <w:sz w:val="16"/>
                <w:szCs w:val="16"/>
                <w:lang w:eastAsia="tr-TR"/>
              </w:rPr>
              <w:t>(Yüzde)</w:t>
            </w:r>
          </w:p>
        </w:tc>
        <w:tc>
          <w:tcPr>
            <w:tcW w:w="680" w:type="pct"/>
            <w:tcBorders>
              <w:top w:val="single" w:sz="4" w:space="0" w:color="auto"/>
              <w:left w:val="nil"/>
              <w:bottom w:val="single" w:sz="4" w:space="0" w:color="auto"/>
              <w:right w:val="nil"/>
            </w:tcBorders>
            <w:noWrap/>
            <w:vAlign w:val="bottom"/>
          </w:tcPr>
          <w:p w:rsidR="00565FD5" w:rsidRPr="00E16DD0" w:rsidRDefault="00565FD5" w:rsidP="00AB62A3">
            <w:pPr>
              <w:ind w:left="57" w:right="57"/>
              <w:jc w:val="right"/>
              <w:rPr>
                <w:rFonts w:cs="Tahoma"/>
                <w:b/>
                <w:sz w:val="16"/>
                <w:szCs w:val="16"/>
                <w:lang w:eastAsia="tr-TR"/>
              </w:rPr>
            </w:pPr>
            <w:r w:rsidRPr="00E16DD0">
              <w:rPr>
                <w:rFonts w:cs="Tahoma"/>
                <w:b/>
                <w:sz w:val="16"/>
                <w:szCs w:val="16"/>
                <w:lang w:eastAsia="tr-TR"/>
              </w:rPr>
              <w:t>Kır Nüfusu</w:t>
            </w:r>
          </w:p>
          <w:p w:rsidR="00565FD5" w:rsidRPr="00E16DD0" w:rsidRDefault="00565FD5" w:rsidP="00AB62A3">
            <w:pPr>
              <w:ind w:left="57" w:right="57"/>
              <w:jc w:val="right"/>
              <w:rPr>
                <w:rFonts w:cs="Tahoma"/>
                <w:b/>
                <w:sz w:val="16"/>
                <w:szCs w:val="16"/>
                <w:lang w:eastAsia="tr-TR"/>
              </w:rPr>
            </w:pPr>
            <w:r w:rsidRPr="00E16DD0">
              <w:rPr>
                <w:rFonts w:cs="Tahoma"/>
                <w:b/>
                <w:sz w:val="16"/>
                <w:szCs w:val="16"/>
                <w:lang w:eastAsia="tr-TR"/>
              </w:rPr>
              <w:t xml:space="preserve"> (Bin Kişi)</w:t>
            </w:r>
          </w:p>
        </w:tc>
        <w:tc>
          <w:tcPr>
            <w:tcW w:w="608" w:type="pct"/>
            <w:tcBorders>
              <w:top w:val="single" w:sz="4" w:space="0" w:color="auto"/>
              <w:left w:val="nil"/>
              <w:bottom w:val="single" w:sz="4" w:space="0" w:color="auto"/>
              <w:right w:val="nil"/>
            </w:tcBorders>
            <w:noWrap/>
            <w:vAlign w:val="bottom"/>
          </w:tcPr>
          <w:p w:rsidR="00565FD5" w:rsidRPr="00E16DD0" w:rsidRDefault="00565FD5" w:rsidP="00AB62A3">
            <w:pPr>
              <w:ind w:left="57" w:right="57"/>
              <w:jc w:val="right"/>
              <w:rPr>
                <w:rFonts w:cs="Tahoma"/>
                <w:b/>
                <w:sz w:val="16"/>
                <w:szCs w:val="16"/>
                <w:lang w:eastAsia="tr-TR"/>
              </w:rPr>
            </w:pPr>
            <w:r w:rsidRPr="00E16DD0">
              <w:rPr>
                <w:rFonts w:cs="Tahoma"/>
                <w:b/>
                <w:sz w:val="16"/>
                <w:szCs w:val="16"/>
                <w:lang w:eastAsia="tr-TR"/>
              </w:rPr>
              <w:t xml:space="preserve">Kır Nüfus </w:t>
            </w:r>
          </w:p>
          <w:p w:rsidR="00565FD5" w:rsidRPr="00E16DD0" w:rsidRDefault="00565FD5" w:rsidP="00AB62A3">
            <w:pPr>
              <w:ind w:left="57" w:right="57"/>
              <w:jc w:val="right"/>
              <w:rPr>
                <w:rFonts w:cs="Tahoma"/>
                <w:b/>
                <w:sz w:val="16"/>
                <w:szCs w:val="16"/>
                <w:lang w:eastAsia="tr-TR"/>
              </w:rPr>
            </w:pPr>
            <w:r w:rsidRPr="00E16DD0">
              <w:rPr>
                <w:rFonts w:cs="Tahoma"/>
                <w:b/>
                <w:sz w:val="16"/>
                <w:szCs w:val="16"/>
                <w:lang w:eastAsia="tr-TR"/>
              </w:rPr>
              <w:t>Oranı</w:t>
            </w:r>
          </w:p>
          <w:p w:rsidR="00565FD5" w:rsidRPr="00E16DD0" w:rsidRDefault="00565FD5" w:rsidP="00AB62A3">
            <w:pPr>
              <w:ind w:left="57" w:right="57"/>
              <w:jc w:val="right"/>
              <w:rPr>
                <w:rFonts w:cs="Tahoma"/>
                <w:b/>
                <w:sz w:val="16"/>
                <w:szCs w:val="16"/>
                <w:lang w:eastAsia="tr-TR"/>
              </w:rPr>
            </w:pPr>
            <w:r w:rsidRPr="00E16DD0">
              <w:rPr>
                <w:rFonts w:cs="Tahoma"/>
                <w:b/>
                <w:sz w:val="16"/>
                <w:szCs w:val="16"/>
                <w:lang w:eastAsia="tr-TR"/>
              </w:rPr>
              <w:t>(Yüzde)</w:t>
            </w:r>
          </w:p>
        </w:tc>
        <w:tc>
          <w:tcPr>
            <w:tcW w:w="739" w:type="pct"/>
            <w:tcBorders>
              <w:top w:val="single" w:sz="4" w:space="0" w:color="auto"/>
              <w:left w:val="nil"/>
              <w:bottom w:val="single" w:sz="4" w:space="0" w:color="auto"/>
            </w:tcBorders>
            <w:noWrap/>
            <w:vAlign w:val="bottom"/>
          </w:tcPr>
          <w:p w:rsidR="00565FD5" w:rsidRPr="00E16DD0" w:rsidRDefault="00565FD5" w:rsidP="00AB62A3">
            <w:pPr>
              <w:ind w:left="57" w:right="57"/>
              <w:jc w:val="right"/>
              <w:rPr>
                <w:rFonts w:cs="Tahoma"/>
                <w:b/>
                <w:sz w:val="16"/>
                <w:szCs w:val="16"/>
                <w:lang w:eastAsia="tr-TR"/>
              </w:rPr>
            </w:pPr>
            <w:r w:rsidRPr="00E16DD0">
              <w:rPr>
                <w:rFonts w:cs="Tahoma"/>
                <w:b/>
                <w:sz w:val="16"/>
                <w:szCs w:val="16"/>
                <w:lang w:eastAsia="tr-TR"/>
              </w:rPr>
              <w:t xml:space="preserve">Kentleşme Hızı </w:t>
            </w:r>
          </w:p>
          <w:p w:rsidR="00565FD5" w:rsidRPr="00E16DD0" w:rsidRDefault="00565FD5" w:rsidP="00AB62A3">
            <w:pPr>
              <w:ind w:left="57" w:right="57"/>
              <w:jc w:val="right"/>
              <w:rPr>
                <w:rFonts w:cs="Tahoma"/>
                <w:b/>
                <w:sz w:val="16"/>
                <w:szCs w:val="16"/>
                <w:lang w:eastAsia="tr-TR"/>
              </w:rPr>
            </w:pPr>
            <w:r w:rsidRPr="00E16DD0">
              <w:rPr>
                <w:rFonts w:cs="Tahoma"/>
                <w:b/>
                <w:sz w:val="16"/>
                <w:szCs w:val="16"/>
                <w:lang w:eastAsia="tr-TR"/>
              </w:rPr>
              <w:t>(Yüzde)</w:t>
            </w:r>
          </w:p>
        </w:tc>
      </w:tr>
      <w:tr w:rsidR="00565FD5" w:rsidRPr="00E16DD0" w:rsidTr="00AB62A3">
        <w:trPr>
          <w:trHeight w:val="284"/>
        </w:trPr>
        <w:tc>
          <w:tcPr>
            <w:tcW w:w="585" w:type="pct"/>
            <w:tcBorders>
              <w:top w:val="single" w:sz="4" w:space="0" w:color="auto"/>
              <w:bottom w:val="nil"/>
              <w:right w:val="nil"/>
            </w:tcBorders>
            <w:noWrap/>
            <w:vAlign w:val="bottom"/>
          </w:tcPr>
          <w:p w:rsidR="00565FD5" w:rsidRPr="00860842" w:rsidRDefault="00565FD5" w:rsidP="00AB62A3">
            <w:pPr>
              <w:ind w:left="57" w:right="57"/>
              <w:jc w:val="center"/>
              <w:rPr>
                <w:rFonts w:cs="Tahoma"/>
                <w:bCs/>
                <w:sz w:val="16"/>
                <w:szCs w:val="16"/>
                <w:lang w:eastAsia="tr-TR"/>
              </w:rPr>
            </w:pPr>
            <w:r w:rsidRPr="00860842">
              <w:rPr>
                <w:rFonts w:cs="Tahoma"/>
                <w:bCs/>
                <w:sz w:val="16"/>
                <w:szCs w:val="16"/>
                <w:lang w:eastAsia="tr-TR"/>
              </w:rPr>
              <w:t>1970</w:t>
            </w:r>
          </w:p>
        </w:tc>
        <w:tc>
          <w:tcPr>
            <w:tcW w:w="865" w:type="pct"/>
            <w:tcBorders>
              <w:top w:val="single" w:sz="4" w:space="0" w:color="auto"/>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35 605</w:t>
            </w:r>
          </w:p>
        </w:tc>
        <w:tc>
          <w:tcPr>
            <w:tcW w:w="812" w:type="pct"/>
            <w:tcBorders>
              <w:top w:val="single" w:sz="4" w:space="0" w:color="auto"/>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10 222</w:t>
            </w:r>
          </w:p>
        </w:tc>
        <w:tc>
          <w:tcPr>
            <w:tcW w:w="711" w:type="pct"/>
            <w:tcBorders>
              <w:top w:val="single" w:sz="4" w:space="0" w:color="auto"/>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28,7</w:t>
            </w:r>
          </w:p>
        </w:tc>
        <w:tc>
          <w:tcPr>
            <w:tcW w:w="680" w:type="pct"/>
            <w:tcBorders>
              <w:top w:val="single" w:sz="4" w:space="0" w:color="auto"/>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25 384</w:t>
            </w:r>
          </w:p>
        </w:tc>
        <w:tc>
          <w:tcPr>
            <w:tcW w:w="608" w:type="pct"/>
            <w:tcBorders>
              <w:top w:val="single" w:sz="4" w:space="0" w:color="auto"/>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71,3</w:t>
            </w:r>
          </w:p>
        </w:tc>
        <w:tc>
          <w:tcPr>
            <w:tcW w:w="739" w:type="pct"/>
            <w:tcBorders>
              <w:top w:val="single" w:sz="4" w:space="0" w:color="auto"/>
              <w:left w:val="nil"/>
              <w:bottom w:val="nil"/>
            </w:tcBorders>
            <w:noWrap/>
            <w:vAlign w:val="bottom"/>
          </w:tcPr>
          <w:p w:rsidR="00565FD5" w:rsidRPr="00E16DD0" w:rsidRDefault="00565FD5" w:rsidP="00AB62A3">
            <w:pPr>
              <w:ind w:left="57" w:right="201"/>
              <w:jc w:val="right"/>
              <w:rPr>
                <w:rFonts w:cs="Tahoma"/>
                <w:sz w:val="16"/>
                <w:szCs w:val="16"/>
                <w:lang w:eastAsia="tr-TR"/>
              </w:rPr>
            </w:pPr>
            <w:r w:rsidRPr="00E16DD0">
              <w:rPr>
                <w:rFonts w:cs="Tahoma"/>
                <w:sz w:val="16"/>
                <w:szCs w:val="16"/>
                <w:lang w:eastAsia="tr-TR"/>
              </w:rPr>
              <w:t>5,3</w:t>
            </w:r>
          </w:p>
        </w:tc>
      </w:tr>
      <w:tr w:rsidR="00565FD5" w:rsidRPr="00E16DD0" w:rsidTr="00AB62A3">
        <w:trPr>
          <w:trHeight w:val="284"/>
        </w:trPr>
        <w:tc>
          <w:tcPr>
            <w:tcW w:w="585" w:type="pct"/>
            <w:tcBorders>
              <w:top w:val="nil"/>
              <w:bottom w:val="nil"/>
              <w:right w:val="nil"/>
            </w:tcBorders>
            <w:noWrap/>
            <w:vAlign w:val="bottom"/>
          </w:tcPr>
          <w:p w:rsidR="00565FD5" w:rsidRPr="00860842" w:rsidRDefault="00565FD5" w:rsidP="00AB62A3">
            <w:pPr>
              <w:ind w:left="57" w:right="57"/>
              <w:jc w:val="center"/>
              <w:rPr>
                <w:rFonts w:cs="Tahoma"/>
                <w:bCs/>
                <w:sz w:val="16"/>
                <w:szCs w:val="16"/>
                <w:lang w:eastAsia="tr-TR"/>
              </w:rPr>
            </w:pPr>
            <w:r w:rsidRPr="00860842">
              <w:rPr>
                <w:rFonts w:cs="Tahoma"/>
                <w:bCs/>
                <w:sz w:val="16"/>
                <w:szCs w:val="16"/>
                <w:lang w:eastAsia="tr-TR"/>
              </w:rPr>
              <w:t>1975</w:t>
            </w:r>
          </w:p>
        </w:tc>
        <w:tc>
          <w:tcPr>
            <w:tcW w:w="865"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40 348</w:t>
            </w:r>
          </w:p>
        </w:tc>
        <w:tc>
          <w:tcPr>
            <w:tcW w:w="812"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13 272</w:t>
            </w:r>
          </w:p>
        </w:tc>
        <w:tc>
          <w:tcPr>
            <w:tcW w:w="711"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32,9</w:t>
            </w:r>
          </w:p>
        </w:tc>
        <w:tc>
          <w:tcPr>
            <w:tcW w:w="680"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27 076</w:t>
            </w:r>
          </w:p>
        </w:tc>
        <w:tc>
          <w:tcPr>
            <w:tcW w:w="608"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67,1</w:t>
            </w:r>
          </w:p>
        </w:tc>
        <w:tc>
          <w:tcPr>
            <w:tcW w:w="739" w:type="pct"/>
            <w:tcBorders>
              <w:top w:val="nil"/>
              <w:left w:val="nil"/>
              <w:bottom w:val="nil"/>
            </w:tcBorders>
            <w:noWrap/>
            <w:vAlign w:val="bottom"/>
          </w:tcPr>
          <w:p w:rsidR="00565FD5" w:rsidRPr="00E16DD0" w:rsidRDefault="00565FD5" w:rsidP="00AB62A3">
            <w:pPr>
              <w:ind w:left="57" w:right="201"/>
              <w:jc w:val="right"/>
              <w:rPr>
                <w:rFonts w:cs="Tahoma"/>
                <w:sz w:val="16"/>
                <w:szCs w:val="16"/>
                <w:lang w:eastAsia="tr-TR"/>
              </w:rPr>
            </w:pPr>
            <w:r w:rsidRPr="00E16DD0">
              <w:rPr>
                <w:rFonts w:cs="Tahoma"/>
                <w:sz w:val="16"/>
                <w:szCs w:val="16"/>
                <w:lang w:eastAsia="tr-TR"/>
              </w:rPr>
              <w:t>5,4</w:t>
            </w:r>
          </w:p>
        </w:tc>
      </w:tr>
      <w:tr w:rsidR="00565FD5" w:rsidRPr="00E16DD0" w:rsidTr="00AB62A3">
        <w:trPr>
          <w:trHeight w:val="284"/>
        </w:trPr>
        <w:tc>
          <w:tcPr>
            <w:tcW w:w="585" w:type="pct"/>
            <w:tcBorders>
              <w:top w:val="nil"/>
              <w:bottom w:val="nil"/>
              <w:right w:val="nil"/>
            </w:tcBorders>
            <w:noWrap/>
            <w:vAlign w:val="bottom"/>
          </w:tcPr>
          <w:p w:rsidR="00565FD5" w:rsidRPr="00860842" w:rsidRDefault="00565FD5" w:rsidP="00AB62A3">
            <w:pPr>
              <w:ind w:left="57" w:right="57"/>
              <w:jc w:val="center"/>
              <w:rPr>
                <w:rFonts w:cs="Tahoma"/>
                <w:bCs/>
                <w:sz w:val="16"/>
                <w:szCs w:val="16"/>
                <w:lang w:eastAsia="tr-TR"/>
              </w:rPr>
            </w:pPr>
            <w:r w:rsidRPr="00860842">
              <w:rPr>
                <w:rFonts w:cs="Tahoma"/>
                <w:bCs/>
                <w:sz w:val="16"/>
                <w:szCs w:val="16"/>
                <w:lang w:eastAsia="tr-TR"/>
              </w:rPr>
              <w:t>1980</w:t>
            </w:r>
          </w:p>
        </w:tc>
        <w:tc>
          <w:tcPr>
            <w:tcW w:w="865"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44 737</w:t>
            </w:r>
          </w:p>
        </w:tc>
        <w:tc>
          <w:tcPr>
            <w:tcW w:w="812"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16 065</w:t>
            </w:r>
          </w:p>
        </w:tc>
        <w:tc>
          <w:tcPr>
            <w:tcW w:w="711"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35,9</w:t>
            </w:r>
          </w:p>
        </w:tc>
        <w:tc>
          <w:tcPr>
            <w:tcW w:w="680"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28 672</w:t>
            </w:r>
          </w:p>
        </w:tc>
        <w:tc>
          <w:tcPr>
            <w:tcW w:w="608"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64,1</w:t>
            </w:r>
          </w:p>
        </w:tc>
        <w:tc>
          <w:tcPr>
            <w:tcW w:w="739" w:type="pct"/>
            <w:tcBorders>
              <w:top w:val="nil"/>
              <w:left w:val="nil"/>
              <w:bottom w:val="nil"/>
            </w:tcBorders>
            <w:noWrap/>
            <w:vAlign w:val="bottom"/>
          </w:tcPr>
          <w:p w:rsidR="00565FD5" w:rsidRPr="00E16DD0" w:rsidRDefault="00565FD5" w:rsidP="00AB62A3">
            <w:pPr>
              <w:ind w:left="57" w:right="201"/>
              <w:jc w:val="right"/>
              <w:rPr>
                <w:rFonts w:cs="Tahoma"/>
                <w:sz w:val="16"/>
                <w:szCs w:val="16"/>
                <w:lang w:eastAsia="tr-TR"/>
              </w:rPr>
            </w:pPr>
            <w:r w:rsidRPr="00E16DD0">
              <w:rPr>
                <w:rFonts w:cs="Tahoma"/>
                <w:sz w:val="16"/>
                <w:szCs w:val="16"/>
                <w:lang w:eastAsia="tr-TR"/>
              </w:rPr>
              <w:t>3,9</w:t>
            </w:r>
          </w:p>
        </w:tc>
      </w:tr>
      <w:tr w:rsidR="00565FD5" w:rsidRPr="00E16DD0" w:rsidTr="00AB62A3">
        <w:trPr>
          <w:trHeight w:val="284"/>
        </w:trPr>
        <w:tc>
          <w:tcPr>
            <w:tcW w:w="585" w:type="pct"/>
            <w:tcBorders>
              <w:top w:val="nil"/>
              <w:bottom w:val="nil"/>
              <w:right w:val="nil"/>
            </w:tcBorders>
            <w:noWrap/>
            <w:vAlign w:val="bottom"/>
          </w:tcPr>
          <w:p w:rsidR="00565FD5" w:rsidRPr="00860842" w:rsidRDefault="00565FD5" w:rsidP="00AB62A3">
            <w:pPr>
              <w:ind w:left="57" w:right="57"/>
              <w:jc w:val="center"/>
              <w:rPr>
                <w:rFonts w:cs="Tahoma"/>
                <w:bCs/>
                <w:sz w:val="16"/>
                <w:szCs w:val="16"/>
                <w:lang w:eastAsia="tr-TR"/>
              </w:rPr>
            </w:pPr>
            <w:r w:rsidRPr="00860842">
              <w:rPr>
                <w:rFonts w:cs="Tahoma"/>
                <w:bCs/>
                <w:sz w:val="16"/>
                <w:szCs w:val="16"/>
                <w:lang w:eastAsia="tr-TR"/>
              </w:rPr>
              <w:t>1985</w:t>
            </w:r>
          </w:p>
        </w:tc>
        <w:tc>
          <w:tcPr>
            <w:tcW w:w="865"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50 664</w:t>
            </w:r>
          </w:p>
        </w:tc>
        <w:tc>
          <w:tcPr>
            <w:tcW w:w="812"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23 238</w:t>
            </w:r>
          </w:p>
        </w:tc>
        <w:tc>
          <w:tcPr>
            <w:tcW w:w="711"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45,9</w:t>
            </w:r>
          </w:p>
        </w:tc>
        <w:tc>
          <w:tcPr>
            <w:tcW w:w="680"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27 426</w:t>
            </w:r>
          </w:p>
        </w:tc>
        <w:tc>
          <w:tcPr>
            <w:tcW w:w="608"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54,1</w:t>
            </w:r>
          </w:p>
        </w:tc>
        <w:tc>
          <w:tcPr>
            <w:tcW w:w="739" w:type="pct"/>
            <w:tcBorders>
              <w:top w:val="nil"/>
              <w:left w:val="nil"/>
              <w:bottom w:val="nil"/>
            </w:tcBorders>
            <w:noWrap/>
            <w:vAlign w:val="bottom"/>
          </w:tcPr>
          <w:p w:rsidR="00565FD5" w:rsidRPr="00E16DD0" w:rsidRDefault="00565FD5" w:rsidP="00AB62A3">
            <w:pPr>
              <w:ind w:left="57" w:right="201"/>
              <w:jc w:val="right"/>
              <w:rPr>
                <w:rFonts w:cs="Tahoma"/>
                <w:sz w:val="16"/>
                <w:szCs w:val="16"/>
                <w:lang w:eastAsia="tr-TR"/>
              </w:rPr>
            </w:pPr>
            <w:r w:rsidRPr="00E16DD0">
              <w:rPr>
                <w:rFonts w:cs="Tahoma"/>
                <w:sz w:val="16"/>
                <w:szCs w:val="16"/>
                <w:lang w:eastAsia="tr-TR"/>
              </w:rPr>
              <w:t>7,7</w:t>
            </w:r>
          </w:p>
        </w:tc>
      </w:tr>
      <w:tr w:rsidR="00565FD5" w:rsidRPr="00E16DD0" w:rsidTr="00AB62A3">
        <w:trPr>
          <w:trHeight w:val="284"/>
        </w:trPr>
        <w:tc>
          <w:tcPr>
            <w:tcW w:w="585" w:type="pct"/>
            <w:tcBorders>
              <w:top w:val="nil"/>
              <w:bottom w:val="nil"/>
              <w:right w:val="nil"/>
            </w:tcBorders>
            <w:noWrap/>
            <w:vAlign w:val="bottom"/>
          </w:tcPr>
          <w:p w:rsidR="00565FD5" w:rsidRPr="00860842" w:rsidRDefault="00565FD5" w:rsidP="00AB62A3">
            <w:pPr>
              <w:ind w:left="57" w:right="57"/>
              <w:jc w:val="center"/>
              <w:rPr>
                <w:rFonts w:cs="Tahoma"/>
                <w:bCs/>
                <w:sz w:val="16"/>
                <w:szCs w:val="16"/>
                <w:lang w:eastAsia="tr-TR"/>
              </w:rPr>
            </w:pPr>
            <w:r w:rsidRPr="00860842">
              <w:rPr>
                <w:rFonts w:cs="Tahoma"/>
                <w:bCs/>
                <w:sz w:val="16"/>
                <w:szCs w:val="16"/>
                <w:lang w:eastAsia="tr-TR"/>
              </w:rPr>
              <w:t>1990</w:t>
            </w:r>
          </w:p>
        </w:tc>
        <w:tc>
          <w:tcPr>
            <w:tcW w:w="865"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56 473</w:t>
            </w:r>
          </w:p>
        </w:tc>
        <w:tc>
          <w:tcPr>
            <w:tcW w:w="812"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28 958</w:t>
            </w:r>
          </w:p>
        </w:tc>
        <w:tc>
          <w:tcPr>
            <w:tcW w:w="711"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51,3</w:t>
            </w:r>
          </w:p>
        </w:tc>
        <w:tc>
          <w:tcPr>
            <w:tcW w:w="680"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27 515</w:t>
            </w:r>
          </w:p>
        </w:tc>
        <w:tc>
          <w:tcPr>
            <w:tcW w:w="608"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48,7</w:t>
            </w:r>
          </w:p>
        </w:tc>
        <w:tc>
          <w:tcPr>
            <w:tcW w:w="739" w:type="pct"/>
            <w:tcBorders>
              <w:top w:val="nil"/>
              <w:left w:val="nil"/>
              <w:bottom w:val="nil"/>
            </w:tcBorders>
            <w:noWrap/>
            <w:vAlign w:val="bottom"/>
          </w:tcPr>
          <w:p w:rsidR="00565FD5" w:rsidRPr="00E16DD0" w:rsidRDefault="00565FD5" w:rsidP="00AB62A3">
            <w:pPr>
              <w:ind w:left="57" w:right="201"/>
              <w:jc w:val="right"/>
              <w:rPr>
                <w:rFonts w:cs="Tahoma"/>
                <w:sz w:val="16"/>
                <w:szCs w:val="16"/>
                <w:lang w:eastAsia="tr-TR"/>
              </w:rPr>
            </w:pPr>
            <w:r w:rsidRPr="00E16DD0">
              <w:rPr>
                <w:rFonts w:cs="Tahoma"/>
                <w:sz w:val="16"/>
                <w:szCs w:val="16"/>
                <w:lang w:eastAsia="tr-TR"/>
              </w:rPr>
              <w:t>4,5</w:t>
            </w:r>
          </w:p>
        </w:tc>
      </w:tr>
      <w:tr w:rsidR="00565FD5" w:rsidRPr="00E16DD0" w:rsidTr="00AB62A3">
        <w:trPr>
          <w:trHeight w:val="284"/>
        </w:trPr>
        <w:tc>
          <w:tcPr>
            <w:tcW w:w="585" w:type="pct"/>
            <w:tcBorders>
              <w:top w:val="nil"/>
              <w:bottom w:val="nil"/>
              <w:right w:val="nil"/>
            </w:tcBorders>
            <w:noWrap/>
            <w:vAlign w:val="bottom"/>
          </w:tcPr>
          <w:p w:rsidR="00565FD5" w:rsidRPr="00860842" w:rsidRDefault="00565FD5" w:rsidP="00AB62A3">
            <w:pPr>
              <w:ind w:left="57" w:right="57"/>
              <w:jc w:val="center"/>
              <w:rPr>
                <w:rFonts w:cs="Tahoma"/>
                <w:bCs/>
                <w:sz w:val="16"/>
                <w:szCs w:val="16"/>
                <w:lang w:eastAsia="tr-TR"/>
              </w:rPr>
            </w:pPr>
            <w:r w:rsidRPr="00860842">
              <w:rPr>
                <w:rFonts w:cs="Tahoma"/>
                <w:bCs/>
                <w:sz w:val="16"/>
                <w:szCs w:val="16"/>
                <w:lang w:eastAsia="tr-TR"/>
              </w:rPr>
              <w:t>2000</w:t>
            </w:r>
          </w:p>
        </w:tc>
        <w:tc>
          <w:tcPr>
            <w:tcW w:w="865"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67 804</w:t>
            </w:r>
          </w:p>
        </w:tc>
        <w:tc>
          <w:tcPr>
            <w:tcW w:w="812"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38 661</w:t>
            </w:r>
          </w:p>
        </w:tc>
        <w:tc>
          <w:tcPr>
            <w:tcW w:w="711"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57,0</w:t>
            </w:r>
          </w:p>
        </w:tc>
        <w:tc>
          <w:tcPr>
            <w:tcW w:w="680"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29 143</w:t>
            </w:r>
          </w:p>
        </w:tc>
        <w:tc>
          <w:tcPr>
            <w:tcW w:w="608"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43,0</w:t>
            </w:r>
          </w:p>
        </w:tc>
        <w:tc>
          <w:tcPr>
            <w:tcW w:w="739" w:type="pct"/>
            <w:tcBorders>
              <w:top w:val="nil"/>
              <w:left w:val="nil"/>
              <w:bottom w:val="nil"/>
            </w:tcBorders>
            <w:noWrap/>
            <w:vAlign w:val="bottom"/>
          </w:tcPr>
          <w:p w:rsidR="00565FD5" w:rsidRPr="00E16DD0" w:rsidRDefault="00565FD5" w:rsidP="00AB62A3">
            <w:pPr>
              <w:ind w:left="57" w:right="201"/>
              <w:jc w:val="right"/>
              <w:rPr>
                <w:rFonts w:cs="Tahoma"/>
                <w:sz w:val="16"/>
                <w:szCs w:val="16"/>
                <w:lang w:eastAsia="tr-TR"/>
              </w:rPr>
            </w:pPr>
            <w:r w:rsidRPr="00E16DD0">
              <w:rPr>
                <w:rFonts w:cs="Tahoma"/>
                <w:sz w:val="16"/>
                <w:szCs w:val="16"/>
                <w:lang w:eastAsia="tr-TR"/>
              </w:rPr>
              <w:t>2,9</w:t>
            </w:r>
          </w:p>
        </w:tc>
      </w:tr>
      <w:tr w:rsidR="00565FD5" w:rsidRPr="00E16DD0" w:rsidTr="00AB62A3">
        <w:trPr>
          <w:trHeight w:val="284"/>
        </w:trPr>
        <w:tc>
          <w:tcPr>
            <w:tcW w:w="585" w:type="pct"/>
            <w:tcBorders>
              <w:top w:val="nil"/>
              <w:bottom w:val="nil"/>
              <w:right w:val="nil"/>
            </w:tcBorders>
            <w:noWrap/>
            <w:vAlign w:val="bottom"/>
          </w:tcPr>
          <w:p w:rsidR="00565FD5" w:rsidRPr="00860842" w:rsidRDefault="00565FD5" w:rsidP="00AB62A3">
            <w:pPr>
              <w:ind w:left="57" w:right="57"/>
              <w:jc w:val="center"/>
              <w:rPr>
                <w:rFonts w:cs="Tahoma"/>
                <w:bCs/>
                <w:sz w:val="16"/>
                <w:szCs w:val="16"/>
                <w:lang w:eastAsia="tr-TR"/>
              </w:rPr>
            </w:pPr>
            <w:r w:rsidRPr="00860842">
              <w:rPr>
                <w:rFonts w:cs="Tahoma"/>
                <w:bCs/>
                <w:sz w:val="16"/>
                <w:szCs w:val="16"/>
                <w:lang w:eastAsia="tr-TR"/>
              </w:rPr>
              <w:t>2007</w:t>
            </w:r>
          </w:p>
        </w:tc>
        <w:tc>
          <w:tcPr>
            <w:tcW w:w="865"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70 586</w:t>
            </w:r>
          </w:p>
        </w:tc>
        <w:tc>
          <w:tcPr>
            <w:tcW w:w="812"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49 083</w:t>
            </w:r>
          </w:p>
        </w:tc>
        <w:tc>
          <w:tcPr>
            <w:tcW w:w="711"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69,5</w:t>
            </w:r>
          </w:p>
        </w:tc>
        <w:tc>
          <w:tcPr>
            <w:tcW w:w="680"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21 503</w:t>
            </w:r>
          </w:p>
        </w:tc>
        <w:tc>
          <w:tcPr>
            <w:tcW w:w="608"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30,5</w:t>
            </w:r>
          </w:p>
        </w:tc>
        <w:tc>
          <w:tcPr>
            <w:tcW w:w="739" w:type="pct"/>
            <w:tcBorders>
              <w:top w:val="nil"/>
              <w:left w:val="nil"/>
              <w:bottom w:val="nil"/>
            </w:tcBorders>
            <w:noWrap/>
            <w:vAlign w:val="bottom"/>
          </w:tcPr>
          <w:p w:rsidR="00565FD5" w:rsidRPr="00E16DD0" w:rsidRDefault="00565FD5" w:rsidP="00AB62A3">
            <w:pPr>
              <w:ind w:left="57" w:right="201"/>
              <w:jc w:val="right"/>
              <w:rPr>
                <w:rFonts w:cs="Tahoma"/>
                <w:sz w:val="16"/>
                <w:szCs w:val="16"/>
                <w:lang w:eastAsia="tr-TR"/>
              </w:rPr>
            </w:pPr>
            <w:r w:rsidRPr="00E16DD0">
              <w:rPr>
                <w:rFonts w:cs="Tahoma"/>
                <w:sz w:val="16"/>
                <w:szCs w:val="16"/>
                <w:lang w:eastAsia="tr-TR"/>
              </w:rPr>
              <w:t>3,5</w:t>
            </w:r>
          </w:p>
        </w:tc>
      </w:tr>
      <w:tr w:rsidR="00565FD5" w:rsidRPr="00E16DD0" w:rsidTr="00AB62A3">
        <w:trPr>
          <w:trHeight w:val="284"/>
        </w:trPr>
        <w:tc>
          <w:tcPr>
            <w:tcW w:w="585" w:type="pct"/>
            <w:tcBorders>
              <w:top w:val="nil"/>
              <w:bottom w:val="nil"/>
              <w:right w:val="nil"/>
            </w:tcBorders>
            <w:noWrap/>
            <w:vAlign w:val="bottom"/>
          </w:tcPr>
          <w:p w:rsidR="00565FD5" w:rsidRPr="00860842" w:rsidRDefault="00565FD5" w:rsidP="00AB62A3">
            <w:pPr>
              <w:ind w:left="57" w:right="57"/>
              <w:jc w:val="center"/>
              <w:rPr>
                <w:rFonts w:cs="Tahoma"/>
                <w:bCs/>
                <w:sz w:val="16"/>
                <w:szCs w:val="16"/>
                <w:lang w:eastAsia="tr-TR"/>
              </w:rPr>
            </w:pPr>
            <w:r w:rsidRPr="00860842">
              <w:rPr>
                <w:rFonts w:cs="Tahoma"/>
                <w:bCs/>
                <w:sz w:val="16"/>
                <w:szCs w:val="16"/>
                <w:lang w:eastAsia="tr-TR"/>
              </w:rPr>
              <w:t>2008</w:t>
            </w:r>
          </w:p>
        </w:tc>
        <w:tc>
          <w:tcPr>
            <w:tcW w:w="865"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71 517</w:t>
            </w:r>
          </w:p>
        </w:tc>
        <w:tc>
          <w:tcPr>
            <w:tcW w:w="812"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49 514</w:t>
            </w:r>
          </w:p>
        </w:tc>
        <w:tc>
          <w:tcPr>
            <w:tcW w:w="711"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69,2</w:t>
            </w:r>
          </w:p>
        </w:tc>
        <w:tc>
          <w:tcPr>
            <w:tcW w:w="680"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22 003</w:t>
            </w:r>
          </w:p>
        </w:tc>
        <w:tc>
          <w:tcPr>
            <w:tcW w:w="608"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30,8</w:t>
            </w:r>
          </w:p>
        </w:tc>
        <w:tc>
          <w:tcPr>
            <w:tcW w:w="739" w:type="pct"/>
            <w:tcBorders>
              <w:top w:val="nil"/>
              <w:left w:val="nil"/>
              <w:bottom w:val="nil"/>
            </w:tcBorders>
            <w:noWrap/>
            <w:vAlign w:val="bottom"/>
          </w:tcPr>
          <w:p w:rsidR="00565FD5" w:rsidRPr="00E16DD0" w:rsidRDefault="00565FD5" w:rsidP="00AB62A3">
            <w:pPr>
              <w:ind w:left="57" w:right="201"/>
              <w:jc w:val="right"/>
              <w:rPr>
                <w:rFonts w:cs="Tahoma"/>
                <w:sz w:val="16"/>
                <w:szCs w:val="16"/>
                <w:lang w:eastAsia="tr-TR"/>
              </w:rPr>
            </w:pPr>
            <w:r w:rsidRPr="00E16DD0">
              <w:rPr>
                <w:rFonts w:cs="Tahoma"/>
                <w:sz w:val="16"/>
                <w:szCs w:val="16"/>
                <w:lang w:eastAsia="tr-TR"/>
              </w:rPr>
              <w:t>0,9</w:t>
            </w:r>
          </w:p>
        </w:tc>
      </w:tr>
      <w:tr w:rsidR="00565FD5" w:rsidRPr="00E16DD0" w:rsidTr="00AB62A3">
        <w:trPr>
          <w:trHeight w:val="284"/>
        </w:trPr>
        <w:tc>
          <w:tcPr>
            <w:tcW w:w="585" w:type="pct"/>
            <w:tcBorders>
              <w:top w:val="nil"/>
              <w:bottom w:val="nil"/>
              <w:right w:val="nil"/>
            </w:tcBorders>
            <w:noWrap/>
            <w:vAlign w:val="bottom"/>
          </w:tcPr>
          <w:p w:rsidR="00565FD5" w:rsidRPr="00860842" w:rsidRDefault="00565FD5" w:rsidP="00AB62A3">
            <w:pPr>
              <w:ind w:left="57" w:right="57"/>
              <w:jc w:val="center"/>
              <w:rPr>
                <w:rFonts w:cs="Tahoma"/>
                <w:bCs/>
                <w:sz w:val="16"/>
                <w:szCs w:val="16"/>
                <w:lang w:eastAsia="tr-TR"/>
              </w:rPr>
            </w:pPr>
            <w:r w:rsidRPr="00860842">
              <w:rPr>
                <w:rFonts w:cs="Tahoma"/>
                <w:bCs/>
                <w:sz w:val="16"/>
                <w:szCs w:val="16"/>
                <w:lang w:eastAsia="tr-TR"/>
              </w:rPr>
              <w:lastRenderedPageBreak/>
              <w:t>2009</w:t>
            </w:r>
          </w:p>
        </w:tc>
        <w:tc>
          <w:tcPr>
            <w:tcW w:w="865"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72 561</w:t>
            </w:r>
          </w:p>
        </w:tc>
        <w:tc>
          <w:tcPr>
            <w:tcW w:w="812"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50 873</w:t>
            </w:r>
          </w:p>
        </w:tc>
        <w:tc>
          <w:tcPr>
            <w:tcW w:w="711"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70,1</w:t>
            </w:r>
          </w:p>
        </w:tc>
        <w:tc>
          <w:tcPr>
            <w:tcW w:w="680"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21 688</w:t>
            </w:r>
          </w:p>
        </w:tc>
        <w:tc>
          <w:tcPr>
            <w:tcW w:w="608"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29,9</w:t>
            </w:r>
          </w:p>
        </w:tc>
        <w:tc>
          <w:tcPr>
            <w:tcW w:w="739" w:type="pct"/>
            <w:tcBorders>
              <w:top w:val="nil"/>
              <w:left w:val="nil"/>
              <w:bottom w:val="nil"/>
            </w:tcBorders>
            <w:noWrap/>
            <w:vAlign w:val="bottom"/>
          </w:tcPr>
          <w:p w:rsidR="00565FD5" w:rsidRPr="00E16DD0" w:rsidRDefault="00565FD5" w:rsidP="00AB62A3">
            <w:pPr>
              <w:ind w:left="57" w:right="201"/>
              <w:jc w:val="right"/>
              <w:rPr>
                <w:rFonts w:cs="Tahoma"/>
                <w:sz w:val="16"/>
                <w:szCs w:val="16"/>
                <w:lang w:eastAsia="tr-TR"/>
              </w:rPr>
            </w:pPr>
            <w:r w:rsidRPr="00E16DD0">
              <w:rPr>
                <w:rFonts w:cs="Tahoma"/>
                <w:sz w:val="16"/>
                <w:szCs w:val="16"/>
                <w:lang w:eastAsia="tr-TR"/>
              </w:rPr>
              <w:t>2,7</w:t>
            </w:r>
          </w:p>
        </w:tc>
      </w:tr>
      <w:tr w:rsidR="00565FD5" w:rsidRPr="00E16DD0" w:rsidTr="00AB62A3">
        <w:trPr>
          <w:trHeight w:val="284"/>
        </w:trPr>
        <w:tc>
          <w:tcPr>
            <w:tcW w:w="585" w:type="pct"/>
            <w:tcBorders>
              <w:top w:val="nil"/>
              <w:bottom w:val="nil"/>
              <w:right w:val="nil"/>
            </w:tcBorders>
            <w:noWrap/>
            <w:vAlign w:val="bottom"/>
          </w:tcPr>
          <w:p w:rsidR="00565FD5" w:rsidRPr="00860842" w:rsidRDefault="00565FD5" w:rsidP="00AB62A3">
            <w:pPr>
              <w:ind w:left="57" w:right="57"/>
              <w:jc w:val="center"/>
              <w:rPr>
                <w:rFonts w:cs="Tahoma"/>
                <w:bCs/>
                <w:sz w:val="16"/>
                <w:szCs w:val="16"/>
                <w:lang w:eastAsia="tr-TR"/>
              </w:rPr>
            </w:pPr>
            <w:r w:rsidRPr="00860842">
              <w:rPr>
                <w:rFonts w:cs="Tahoma"/>
                <w:bCs/>
                <w:sz w:val="16"/>
                <w:szCs w:val="16"/>
                <w:lang w:eastAsia="tr-TR"/>
              </w:rPr>
              <w:t>2010</w:t>
            </w:r>
          </w:p>
        </w:tc>
        <w:tc>
          <w:tcPr>
            <w:tcW w:w="865"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73 722</w:t>
            </w:r>
          </w:p>
        </w:tc>
        <w:tc>
          <w:tcPr>
            <w:tcW w:w="812"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52 340</w:t>
            </w:r>
          </w:p>
        </w:tc>
        <w:tc>
          <w:tcPr>
            <w:tcW w:w="711"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71,0</w:t>
            </w:r>
          </w:p>
        </w:tc>
        <w:tc>
          <w:tcPr>
            <w:tcW w:w="680"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21 382</w:t>
            </w:r>
          </w:p>
        </w:tc>
        <w:tc>
          <w:tcPr>
            <w:tcW w:w="608" w:type="pct"/>
            <w:tcBorders>
              <w:top w:val="nil"/>
              <w:left w:val="nil"/>
              <w:bottom w:val="nil"/>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29,0</w:t>
            </w:r>
          </w:p>
        </w:tc>
        <w:tc>
          <w:tcPr>
            <w:tcW w:w="739" w:type="pct"/>
            <w:tcBorders>
              <w:top w:val="nil"/>
              <w:left w:val="nil"/>
              <w:bottom w:val="nil"/>
            </w:tcBorders>
            <w:noWrap/>
            <w:vAlign w:val="bottom"/>
          </w:tcPr>
          <w:p w:rsidR="00565FD5" w:rsidRPr="00E16DD0" w:rsidRDefault="00565FD5" w:rsidP="00AB62A3">
            <w:pPr>
              <w:ind w:left="57" w:right="201"/>
              <w:jc w:val="right"/>
              <w:rPr>
                <w:rFonts w:cs="Tahoma"/>
                <w:sz w:val="16"/>
                <w:szCs w:val="16"/>
                <w:lang w:eastAsia="tr-TR"/>
              </w:rPr>
            </w:pPr>
            <w:r w:rsidRPr="00E16DD0">
              <w:rPr>
                <w:rFonts w:cs="Tahoma"/>
                <w:sz w:val="16"/>
                <w:szCs w:val="16"/>
                <w:lang w:eastAsia="tr-TR"/>
              </w:rPr>
              <w:t>2,9</w:t>
            </w:r>
          </w:p>
        </w:tc>
      </w:tr>
      <w:tr w:rsidR="00565FD5" w:rsidRPr="00E16DD0" w:rsidTr="00AB62A3">
        <w:trPr>
          <w:trHeight w:val="284"/>
        </w:trPr>
        <w:tc>
          <w:tcPr>
            <w:tcW w:w="585" w:type="pct"/>
            <w:tcBorders>
              <w:top w:val="nil"/>
              <w:bottom w:val="single" w:sz="4" w:space="0" w:color="auto"/>
              <w:right w:val="nil"/>
            </w:tcBorders>
            <w:noWrap/>
            <w:vAlign w:val="bottom"/>
          </w:tcPr>
          <w:p w:rsidR="00565FD5" w:rsidRPr="00860842" w:rsidRDefault="00565FD5" w:rsidP="00AB62A3">
            <w:pPr>
              <w:ind w:left="57" w:right="57"/>
              <w:jc w:val="center"/>
              <w:rPr>
                <w:rFonts w:cs="Tahoma"/>
                <w:bCs/>
                <w:sz w:val="16"/>
                <w:szCs w:val="16"/>
                <w:lang w:eastAsia="tr-TR"/>
              </w:rPr>
            </w:pPr>
            <w:r w:rsidRPr="00860842">
              <w:rPr>
                <w:rFonts w:cs="Tahoma"/>
                <w:bCs/>
                <w:sz w:val="16"/>
                <w:szCs w:val="16"/>
                <w:lang w:eastAsia="tr-TR"/>
              </w:rPr>
              <w:t>2011</w:t>
            </w:r>
          </w:p>
        </w:tc>
        <w:tc>
          <w:tcPr>
            <w:tcW w:w="865" w:type="pct"/>
            <w:tcBorders>
              <w:top w:val="nil"/>
              <w:left w:val="nil"/>
              <w:bottom w:val="single" w:sz="4" w:space="0" w:color="auto"/>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74 724</w:t>
            </w:r>
          </w:p>
        </w:tc>
        <w:tc>
          <w:tcPr>
            <w:tcW w:w="812" w:type="pct"/>
            <w:tcBorders>
              <w:top w:val="nil"/>
              <w:left w:val="nil"/>
              <w:bottom w:val="single" w:sz="4" w:space="0" w:color="auto"/>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53 631</w:t>
            </w:r>
          </w:p>
        </w:tc>
        <w:tc>
          <w:tcPr>
            <w:tcW w:w="711" w:type="pct"/>
            <w:tcBorders>
              <w:top w:val="nil"/>
              <w:left w:val="nil"/>
              <w:bottom w:val="single" w:sz="4" w:space="0" w:color="auto"/>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71,8</w:t>
            </w:r>
          </w:p>
        </w:tc>
        <w:tc>
          <w:tcPr>
            <w:tcW w:w="680" w:type="pct"/>
            <w:tcBorders>
              <w:top w:val="nil"/>
              <w:left w:val="nil"/>
              <w:bottom w:val="single" w:sz="4" w:space="0" w:color="auto"/>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21 093</w:t>
            </w:r>
          </w:p>
        </w:tc>
        <w:tc>
          <w:tcPr>
            <w:tcW w:w="608" w:type="pct"/>
            <w:tcBorders>
              <w:top w:val="nil"/>
              <w:left w:val="nil"/>
              <w:bottom w:val="single" w:sz="4" w:space="0" w:color="auto"/>
              <w:right w:val="nil"/>
            </w:tcBorders>
            <w:noWrap/>
            <w:vAlign w:val="bottom"/>
          </w:tcPr>
          <w:p w:rsidR="00565FD5" w:rsidRPr="00E16DD0" w:rsidRDefault="00565FD5" w:rsidP="00AB62A3">
            <w:pPr>
              <w:ind w:left="57" w:right="57"/>
              <w:jc w:val="right"/>
              <w:rPr>
                <w:rFonts w:cs="Tahoma"/>
                <w:sz w:val="16"/>
                <w:szCs w:val="16"/>
                <w:lang w:eastAsia="tr-TR"/>
              </w:rPr>
            </w:pPr>
            <w:r w:rsidRPr="00E16DD0">
              <w:rPr>
                <w:rFonts w:cs="Tahoma"/>
                <w:sz w:val="16"/>
                <w:szCs w:val="16"/>
                <w:lang w:eastAsia="tr-TR"/>
              </w:rPr>
              <w:t>28,2</w:t>
            </w:r>
          </w:p>
        </w:tc>
        <w:tc>
          <w:tcPr>
            <w:tcW w:w="739" w:type="pct"/>
            <w:tcBorders>
              <w:top w:val="nil"/>
              <w:left w:val="nil"/>
              <w:bottom w:val="single" w:sz="4" w:space="0" w:color="auto"/>
            </w:tcBorders>
            <w:noWrap/>
            <w:vAlign w:val="bottom"/>
          </w:tcPr>
          <w:p w:rsidR="00565FD5" w:rsidRPr="00E16DD0" w:rsidRDefault="00565FD5" w:rsidP="00AB62A3">
            <w:pPr>
              <w:ind w:left="57" w:right="201"/>
              <w:jc w:val="right"/>
              <w:rPr>
                <w:rFonts w:cs="Tahoma"/>
                <w:sz w:val="16"/>
                <w:szCs w:val="16"/>
                <w:lang w:eastAsia="tr-TR"/>
              </w:rPr>
            </w:pPr>
            <w:r w:rsidRPr="00E16DD0">
              <w:rPr>
                <w:rFonts w:cs="Tahoma"/>
                <w:sz w:val="16"/>
                <w:szCs w:val="16"/>
                <w:lang w:eastAsia="tr-TR"/>
              </w:rPr>
              <w:t>2,5</w:t>
            </w:r>
          </w:p>
        </w:tc>
      </w:tr>
    </w:tbl>
    <w:p w:rsidR="00565FD5" w:rsidRPr="00E16DD0" w:rsidRDefault="00565FD5" w:rsidP="00565FD5">
      <w:pPr>
        <w:rPr>
          <w:rFonts w:cs="Tahoma"/>
          <w:sz w:val="14"/>
          <w:szCs w:val="16"/>
          <w:lang w:eastAsia="tr-TR"/>
        </w:rPr>
      </w:pPr>
      <w:r w:rsidRPr="00E16DD0">
        <w:rPr>
          <w:rFonts w:cs="Tahoma"/>
          <w:sz w:val="14"/>
          <w:szCs w:val="16"/>
          <w:lang w:eastAsia="tr-TR"/>
        </w:rPr>
        <w:t>Kaynak: TÜİK, Kalkınma Bakanlığı</w:t>
      </w:r>
    </w:p>
    <w:p w:rsidR="00565FD5" w:rsidRPr="00E16DD0" w:rsidRDefault="00565FD5" w:rsidP="00565FD5">
      <w:pPr>
        <w:ind w:left="284" w:hanging="284"/>
        <w:rPr>
          <w:rFonts w:cs="Tahoma"/>
          <w:sz w:val="14"/>
          <w:szCs w:val="14"/>
          <w:lang w:eastAsia="tr-TR"/>
        </w:rPr>
      </w:pPr>
      <w:r w:rsidRPr="00E16DD0">
        <w:rPr>
          <w:rFonts w:cs="Tahoma"/>
          <w:sz w:val="14"/>
          <w:szCs w:val="14"/>
          <w:lang w:eastAsia="tr-TR"/>
        </w:rPr>
        <w:t xml:space="preserve">(1) 1970-2000 arasındaki yıllarda yapılan nüfus sayımı sonuçlarıdır. 2007, 2008, 2009, 2010 ve 2011 yılları ADNKS sonuçlarıdır. </w:t>
      </w:r>
    </w:p>
    <w:p w:rsidR="00565FD5" w:rsidRPr="00E16DD0" w:rsidRDefault="00565FD5" w:rsidP="00565FD5">
      <w:pPr>
        <w:spacing w:after="240"/>
        <w:rPr>
          <w:rFonts w:cs="Tahoma"/>
          <w:sz w:val="14"/>
          <w:szCs w:val="14"/>
          <w:lang w:eastAsia="tr-TR"/>
        </w:rPr>
      </w:pPr>
      <w:r w:rsidRPr="00E16DD0">
        <w:rPr>
          <w:rFonts w:cs="Tahoma"/>
          <w:sz w:val="14"/>
          <w:szCs w:val="14"/>
          <w:lang w:eastAsia="tr-TR"/>
        </w:rPr>
        <w:t>(2) Nüfusu 20.000 ve üzeri olan yerleşimler kent olarak kabul edilmiştir.</w:t>
      </w:r>
    </w:p>
    <w:p w:rsidR="00565FD5" w:rsidRPr="00E16DD0" w:rsidRDefault="00565FD5" w:rsidP="00565FD5">
      <w:pPr>
        <w:spacing w:after="120"/>
        <w:ind w:firstLine="425"/>
        <w:rPr>
          <w:rFonts w:cs="Tahoma"/>
          <w:szCs w:val="18"/>
        </w:rPr>
      </w:pPr>
      <w:r w:rsidRPr="00E16DD0">
        <w:rPr>
          <w:rFonts w:cs="Tahoma"/>
          <w:szCs w:val="18"/>
        </w:rPr>
        <w:t>Daha önce mülga Bayındırlık ve İskân Bakanlığı ile mülga Çevre ve Orman Bakanlığı uhdelerinde farklı dönemlerde gerçekleştirilen planlama çalışmaları 2011 yılından itibaren Çevre ve Şehircilik Bakanlığı uhdesinde birleştirilmiştir. Çevre ve Şehircilik Bakanlığının kurulmasıyla kentleşme münferit bir politika alanı olarak tanımlanmıştır. Çevre ve Şehircilik Bakanlığı kentleşme ve imar politikası itibarıyla; mekânsal planlama, imar ve kentsel altyapı, kentsel dönüşüm ile coğrafi bilgi sistemleri alanlarında yeni ve önemli işlevler üstlenmiştir. Bu görevler arasında yer alan kentsel dönüşümle ilgili olarak 31/05/2012 tarihli ve 6306 sayılı Afet Riski Altındaki Alanların Dönüştürülmesi Hakkında Kanunla Bakanlığın bu alandaki görev ve sorumlulukları tanımlanmıştır. Kanunla, afet riski altındaki alanlar ile bu alanlar dışındaki riskli yapıların bulunduğu arsa ve arazilerde, fen ve sanat norm ve standartlarına uygun, sağlıklı ve güvenli yaşama çevrelerini teşkil etmek üzere iyileştirme, tasfiye ve yenilemelere dair usul ve esasların belirlenmesi amaçlanmaktadır.</w:t>
      </w:r>
    </w:p>
    <w:p w:rsidR="00565FD5" w:rsidRPr="00E16DD0" w:rsidRDefault="00565FD5" w:rsidP="00565FD5">
      <w:pPr>
        <w:spacing w:after="120"/>
        <w:ind w:firstLine="425"/>
        <w:rPr>
          <w:rFonts w:cs="Tahoma"/>
          <w:szCs w:val="18"/>
        </w:rPr>
      </w:pPr>
      <w:r w:rsidRPr="00E16DD0">
        <w:rPr>
          <w:rFonts w:cs="Tahoma"/>
          <w:szCs w:val="18"/>
        </w:rPr>
        <w:t>Kentlerimizde, kalkınma, yatırım ve mekânsal gelişme politikalarının uyumsuzluğu çeşitli boyutlarda sorunlar doğurmaktadır. İmar mevzuatının fiziki planlama, uygulama ve yapılaşmaya yön verecek stratejik bir yaklaşımla geliştirilmesi önem arz etmektedir. Değişen koşullar ve ihtiyaçlar da göz önüne alınarak kent tanımının yeniden ele alınması gerekmektedir.</w:t>
      </w:r>
    </w:p>
    <w:p w:rsidR="00565FD5" w:rsidRPr="00E16DD0" w:rsidRDefault="00565FD5" w:rsidP="00565FD5">
      <w:pPr>
        <w:spacing w:after="120"/>
        <w:ind w:firstLine="425"/>
        <w:rPr>
          <w:rFonts w:cs="Tahoma"/>
          <w:szCs w:val="18"/>
        </w:rPr>
      </w:pPr>
      <w:r w:rsidRPr="00E16DD0">
        <w:rPr>
          <w:rFonts w:cs="Tahoma"/>
          <w:szCs w:val="18"/>
        </w:rPr>
        <w:t>2011 yılında yaklaşık 407 bin olan konut ihtiyacına karşılık, yapı kullanma izni alan konut sayısı 550 bin olmuştur. 2012 yılında 416 bin olan ihtiyaca karşılık, yapı kullanma izni alan konut sayısının 400 bin civarında olacağı tahmin edilmektedir.</w:t>
      </w:r>
    </w:p>
    <w:p w:rsidR="00565FD5" w:rsidRPr="00E16DD0" w:rsidRDefault="00565FD5" w:rsidP="00565FD5">
      <w:pPr>
        <w:spacing w:after="120"/>
        <w:ind w:firstLine="425"/>
        <w:rPr>
          <w:rFonts w:cs="Tahoma"/>
          <w:szCs w:val="18"/>
        </w:rPr>
      </w:pPr>
      <w:r w:rsidRPr="00E16DD0">
        <w:rPr>
          <w:rFonts w:cs="Tahoma"/>
          <w:szCs w:val="18"/>
        </w:rPr>
        <w:t xml:space="preserve">Planlı kent ve konut çevreleri oluşturarak konut ihtiyacını karşılamak üzere sosyal ve teknik altyapıları tamamlanmış arsa üretimine öncelik verilmesine ihtiyaç duyulmaktadır. Özellikle alt gelir gruplarının konut sorununu çözmek </w:t>
      </w:r>
      <w:r w:rsidRPr="00E16DD0">
        <w:rPr>
          <w:rFonts w:cs="Tahoma"/>
          <w:szCs w:val="18"/>
        </w:rPr>
        <w:lastRenderedPageBreak/>
        <w:t>amacıyla uygun yapım ve finansman yöntemlerinin geliştirilmesi önemini korumaktadır. Bu kapsamda mülk konut politikalarının yanı sıra kiralık konut politikalarının da uygulanması gerekli görülmektedir.</w:t>
      </w:r>
    </w:p>
    <w:p w:rsidR="00565FD5" w:rsidRPr="00E16DD0" w:rsidRDefault="00565FD5" w:rsidP="00565FD5">
      <w:pPr>
        <w:spacing w:after="120"/>
        <w:ind w:firstLine="425"/>
        <w:rPr>
          <w:rFonts w:cs="Tahoma"/>
          <w:szCs w:val="18"/>
        </w:rPr>
      </w:pPr>
      <w:r w:rsidRPr="00E16DD0">
        <w:rPr>
          <w:rFonts w:cs="Tahoma"/>
          <w:szCs w:val="18"/>
        </w:rPr>
        <w:t>Toplu Konut İdaresi Başkanlığınca (TOKİ) Ocak 2003-Temmuz 2012 döneminde yapımına başlanan 553.172 konuttan 418.000’i sosyal ve teknik donatılarıyla birlikte tamamlanma aşamasına gelmiştir.</w:t>
      </w:r>
    </w:p>
    <w:p w:rsidR="00565FD5" w:rsidRPr="00E16DD0" w:rsidRDefault="00565FD5" w:rsidP="00565FD5">
      <w:pPr>
        <w:spacing w:after="120"/>
        <w:ind w:firstLine="425"/>
        <w:rPr>
          <w:rFonts w:cs="Tahoma"/>
          <w:szCs w:val="18"/>
        </w:rPr>
      </w:pPr>
      <w:r w:rsidRPr="00E16DD0">
        <w:rPr>
          <w:rFonts w:cs="Tahoma"/>
          <w:szCs w:val="18"/>
        </w:rPr>
        <w:t>Artan talep, kuraklık ve su toplama havzalarındaki kirlenme sonucu mevcut içme suyu miktarı yetersiz hale gelmektedir. Bunun sonucunda gelecekte Türkiye’nin, su sıkıntısı yaşayabilecek ülkeler arasında yer alması muhtemeldir. Planlama, izleme, değerlendirme ve yaptırım noksanlığı, sorumlu tek bir otoritenin olmaması, ortak veri tabanı ve bilgi akışı yetersizliği, kuruluşlar arası eşgüdüm sağlanamaması ve yeterli düzeyde Ar-Ge yapılamaması gibi hususlar, su kaynakları yönetiminde karşılaşılan ana sorunlardır.</w:t>
      </w:r>
    </w:p>
    <w:p w:rsidR="00565FD5" w:rsidRPr="00E16DD0" w:rsidRDefault="00565FD5" w:rsidP="00565FD5">
      <w:pPr>
        <w:spacing w:after="120"/>
        <w:ind w:firstLine="425"/>
        <w:rPr>
          <w:rFonts w:cs="Tahoma"/>
          <w:szCs w:val="18"/>
        </w:rPr>
      </w:pPr>
      <w:r w:rsidRPr="00E16DD0">
        <w:rPr>
          <w:rFonts w:cs="Tahoma"/>
          <w:szCs w:val="18"/>
        </w:rPr>
        <w:t xml:space="preserve">2010 yılı itibarıyla toplam belediye nüfusunun yüzde 99’u içme ve kullanma suyu şebekesinden, yüzde 88’i ise kanalizasyon şebekesinden yararlanmaktadır. İçme suyu ve kanalizasyon şebekesi ihtiyacı ağırlıklı olarak yerleşime yeni açılan ve mevcut şebekelerin yenileme ve bakım çalışmalarının devam ettiği alanlarda bulunmaktadır. </w:t>
      </w:r>
    </w:p>
    <w:p w:rsidR="00565FD5" w:rsidRPr="00E16DD0" w:rsidRDefault="00565FD5" w:rsidP="00565FD5">
      <w:pPr>
        <w:spacing w:after="120"/>
        <w:ind w:firstLine="425"/>
        <w:rPr>
          <w:rFonts w:cs="Tahoma"/>
          <w:szCs w:val="18"/>
        </w:rPr>
      </w:pPr>
      <w:r w:rsidRPr="00E16DD0">
        <w:rPr>
          <w:rFonts w:cs="Tahoma"/>
          <w:szCs w:val="18"/>
        </w:rPr>
        <w:t xml:space="preserve">Kaynak ve akarsulardan çekilen su miktarı oranı 2008 yılında yüzde 27 iken 2010 yılında  yüzde 24’e gerilemiştir. Baraj, göl ve göletlerden çekilen su miktarı 2008’de yüzde 45 iken 2010’da yüzde 49’a yükselmiştir. Bu kaynaklardan sağlanan suyun arıtılmadan kullanılamaması, kuyu ve kaynak sularının da giderek kirlenmesi, içme suyu arıtma tesisi ihtiyacını artırmıştır. Arıtılmış içme ve kullanma suyu miktarı 2008 yılında 2,1 milyar m3 iken 2010 yılında ise 2,5 milyar m3’e çıkmıştır. </w:t>
      </w:r>
    </w:p>
    <w:p w:rsidR="00565FD5" w:rsidRPr="00E16DD0" w:rsidRDefault="00565FD5" w:rsidP="00565FD5">
      <w:pPr>
        <w:spacing w:after="120"/>
        <w:ind w:firstLine="425"/>
        <w:rPr>
          <w:rFonts w:cs="Tahoma"/>
          <w:szCs w:val="18"/>
        </w:rPr>
      </w:pPr>
      <w:r w:rsidRPr="00E16DD0">
        <w:rPr>
          <w:rFonts w:cs="Tahoma"/>
          <w:szCs w:val="18"/>
        </w:rPr>
        <w:t xml:space="preserve">5491 sayılı Çevre Kanunuyla nüfusu 2 binin üzerindeki belediyelerin atık su arıtma tesislerini belirli bir sürede tamamlamaları, aksi takdirde cezai müeyyidelerle karşı karşıya kalabilecekleri hüküm altına alınmıştır. Kanunun yürürlüğe girdiği 2006 yılında yüzde 35 olan atıksu arıtma tesisiyle hizmet verilen nüfus 2008 yılında yüzde 56’ya, 2010 yılında yüzde 62’ye ulaşmıştır. </w:t>
      </w:r>
    </w:p>
    <w:p w:rsidR="00565FD5" w:rsidRPr="00E16DD0" w:rsidRDefault="00565FD5" w:rsidP="00565FD5">
      <w:pPr>
        <w:spacing w:after="120"/>
        <w:ind w:firstLine="425"/>
        <w:rPr>
          <w:rFonts w:cs="Tahoma"/>
          <w:szCs w:val="18"/>
        </w:rPr>
      </w:pPr>
      <w:r w:rsidRPr="00E16DD0">
        <w:rPr>
          <w:rFonts w:cs="Tahoma"/>
          <w:szCs w:val="18"/>
        </w:rPr>
        <w:t xml:space="preserve">2011 yılında belediyelerin acil nitelikli olan ancak finansmanında zorluk yaşanan içme suyu ve kanalizasyon projelerine kaynak sağlanması amacıyla başlatılan SUKAP uygulamasına 2012 yılında da devam edilmiştir. Programa </w:t>
      </w:r>
      <w:r w:rsidRPr="00E16DD0">
        <w:rPr>
          <w:rFonts w:cs="Tahoma"/>
          <w:szCs w:val="18"/>
        </w:rPr>
        <w:lastRenderedPageBreak/>
        <w:t xml:space="preserve">2012 yılında 363 proje daha ilave edilerek toplam proje sayısı 2.470’e ulaşmıştır. Bu programa 2011 ve 2012 yıllarında toplam 900 milyon TL ödenek tahsis edilmiştir. Program kapsamında 210’u içme suyu, 279’u kanalizasyon projesi olmak üzere toplam 489 projenin ihalesi yapılmıştır. </w:t>
      </w:r>
    </w:p>
    <w:p w:rsidR="00565FD5" w:rsidRPr="00E16DD0" w:rsidRDefault="00565FD5" w:rsidP="00565FD5">
      <w:pPr>
        <w:spacing w:after="120"/>
        <w:ind w:firstLine="425"/>
        <w:rPr>
          <w:rFonts w:cs="Tahoma"/>
          <w:szCs w:val="18"/>
        </w:rPr>
      </w:pPr>
      <w:r w:rsidRPr="00E16DD0">
        <w:rPr>
          <w:rFonts w:cs="Tahoma"/>
          <w:szCs w:val="18"/>
        </w:rPr>
        <w:t>İçme suyu kayıpları konusunda sağlıklı verilere ulaşılamamakla birlikte, faturalandırılamayan (kayıp/kaçak dâhil) su miktarının yüzde 55 civarında olduğu tahmin edilmektedir. Su temin sistemindeki kayıp ve kaçaklar azaltılarak, su kaynaklarının etkin kullanılması önemini korumaktadır.</w:t>
      </w:r>
    </w:p>
    <w:p w:rsidR="00565FD5" w:rsidRPr="00E16DD0" w:rsidRDefault="00565FD5" w:rsidP="00565FD5">
      <w:pPr>
        <w:spacing w:after="120"/>
        <w:ind w:firstLine="425"/>
        <w:rPr>
          <w:rFonts w:cs="Tahoma"/>
          <w:szCs w:val="18"/>
        </w:rPr>
      </w:pPr>
      <w:r w:rsidRPr="00E16DD0">
        <w:rPr>
          <w:rFonts w:cs="Tahoma"/>
          <w:szCs w:val="18"/>
        </w:rPr>
        <w:t>Su havzalarının koruma alanlarındaki evsel, endüstriyel ve tarımsal kirlilik, içme suyu teminini güçleştirmektedir. Bu nedenle, su kaynaklarının her türlü kullanım amacıyla korunması, kirlenmesinin önlenmesi, kirlenmiş olan su kaynaklarının kalitesinin iyileştirilmesi için uzun vadeli koruma program ve tedbirlerini içeren havza koruma planları hazırlama çalışmaları sürdürülmektedir.</w:t>
      </w:r>
    </w:p>
    <w:p w:rsidR="00565FD5" w:rsidRPr="00E16DD0" w:rsidRDefault="00565FD5" w:rsidP="00565FD5">
      <w:pPr>
        <w:spacing w:after="120"/>
        <w:ind w:firstLine="425"/>
        <w:rPr>
          <w:rFonts w:cs="Tahoma"/>
          <w:szCs w:val="18"/>
        </w:rPr>
      </w:pPr>
      <w:r w:rsidRPr="00E16DD0">
        <w:rPr>
          <w:rFonts w:cs="Tahoma"/>
          <w:szCs w:val="18"/>
        </w:rPr>
        <w:t xml:space="preserve">Rio+20 Zirvesinde suyun sürdürülebilir kalkınmanın merkezinde olduğu vurgulanmıştır. Bütüncül su kaynakları yönetiminin ve verimli su kullanım planlarının oluşturulması, su kirliliğini önemli ölçüde azaltıp su kalitesinin artırılması, atık su arıtımını ve verimli su kullanımının yaygınlaştırıp su kayıplarının azaltılmasına yönelik önlemlerin önem arz ettiği vurgulanmıştır. </w:t>
      </w:r>
    </w:p>
    <w:p w:rsidR="00565FD5" w:rsidRPr="00E16DD0" w:rsidRDefault="00565FD5" w:rsidP="00565FD5">
      <w:pPr>
        <w:spacing w:after="120"/>
        <w:ind w:firstLine="425"/>
        <w:rPr>
          <w:rFonts w:cs="Tahoma"/>
          <w:szCs w:val="18"/>
        </w:rPr>
      </w:pPr>
      <w:r w:rsidRPr="00E16DD0">
        <w:rPr>
          <w:rFonts w:cs="Tahoma"/>
          <w:szCs w:val="18"/>
        </w:rPr>
        <w:t>Günlük yaşamın önemli bir parçası olan şişelenmiş suların denetimi konusunda hem mevzuat hem de uygulama yönünden sıkıntılar bulunmaktadır.</w:t>
      </w:r>
    </w:p>
    <w:p w:rsidR="00565FD5" w:rsidRPr="00E16DD0" w:rsidRDefault="00565FD5" w:rsidP="00565FD5">
      <w:pPr>
        <w:spacing w:after="160"/>
        <w:ind w:firstLine="425"/>
        <w:rPr>
          <w:rFonts w:cs="Tahoma"/>
          <w:szCs w:val="18"/>
        </w:rPr>
      </w:pPr>
      <w:r w:rsidRPr="00E16DD0">
        <w:rPr>
          <w:rFonts w:cs="Tahoma"/>
          <w:szCs w:val="18"/>
        </w:rPr>
        <w:t>Çevre üzerinde büyük bir baskı oluşturan ve gün geçtikçe artan atık sorununun çözümü için atık yönetiminin tüm unsurları bir bütün olarak değerlendirilerek hem çevresel hem de ekonomik açıdan sürdürebilirliğin sağlanması amacıyla Entegre Atık Yönetimi anlayışı benimsenmiştir.</w:t>
      </w:r>
    </w:p>
    <w:p w:rsidR="00565FD5" w:rsidRPr="00E16DD0" w:rsidRDefault="00565FD5" w:rsidP="00565FD5">
      <w:pPr>
        <w:spacing w:after="160"/>
        <w:ind w:firstLine="425"/>
        <w:rPr>
          <w:rFonts w:cs="Tahoma"/>
          <w:szCs w:val="18"/>
        </w:rPr>
      </w:pPr>
      <w:r w:rsidRPr="00E16DD0">
        <w:rPr>
          <w:rFonts w:cs="Tahoma"/>
          <w:szCs w:val="18"/>
        </w:rPr>
        <w:t>Rio+20 Zirvesinde kaynak yeterliliği ve çevresel açıdan etkili atık yönetimi için politika geliştirme ve uygulamanın önemi vurgulanarak atıkları daha fazla azaltma, yeniden kullanma ve geri dönüştürme hususlarının önemi belirtilmiş; kapsamlı ulusal ve yerel atık yönetim politikaları, stratejileri, yasa ve mevzuatlarının gelişim ve uygulamasının önemine dikkat çekilmiştir.</w:t>
      </w:r>
    </w:p>
    <w:p w:rsidR="00565FD5" w:rsidRPr="00E16DD0" w:rsidRDefault="00565FD5" w:rsidP="00565FD5">
      <w:pPr>
        <w:spacing w:after="160"/>
        <w:ind w:firstLine="425"/>
        <w:rPr>
          <w:rFonts w:cs="Tahoma"/>
          <w:szCs w:val="18"/>
        </w:rPr>
      </w:pPr>
      <w:r w:rsidRPr="00E16DD0">
        <w:rPr>
          <w:rFonts w:cs="Tahoma"/>
          <w:szCs w:val="18"/>
        </w:rPr>
        <w:t xml:space="preserve">TÜİK verilerine göre 2010 yılında toplanan yaklaşık 25,3 milyon ton evsel nitelikli katı atığın yüzde 56,9’unun düzenli depolama sahalarında, yüzde 1’inin </w:t>
      </w:r>
      <w:r w:rsidRPr="00E16DD0">
        <w:rPr>
          <w:rFonts w:cs="Tahoma"/>
          <w:szCs w:val="18"/>
        </w:rPr>
        <w:lastRenderedPageBreak/>
        <w:t>ise kompost tesislerinde bertaraf edildiği tahmin edilmektedir. 2012 yılı itibarıyla işletmede olan düzenli depolama tesisi sayısı 68 olup bu tesislerle 879 belediyede 44 milyon nüfusa hizmet verilmektedir. 33 adet düzenli depolama tesisi ise inşaat ve ihale aşamasındadır. 2010 yılında toplam kapasitesi 556 bin ton/yıl olan 5 kompost tesisinde yaklaşık 38 bin ton kompost üretilmiştir.</w:t>
      </w:r>
    </w:p>
    <w:p w:rsidR="00565FD5" w:rsidRPr="00E16DD0" w:rsidRDefault="00565FD5" w:rsidP="00565FD5">
      <w:pPr>
        <w:spacing w:after="160"/>
        <w:ind w:firstLine="425"/>
        <w:rPr>
          <w:rFonts w:cs="Tahoma"/>
          <w:szCs w:val="18"/>
        </w:rPr>
      </w:pPr>
      <w:r w:rsidRPr="00E16DD0">
        <w:rPr>
          <w:rFonts w:cs="Tahoma"/>
          <w:szCs w:val="18"/>
        </w:rPr>
        <w:t xml:space="preserve">Katı atık üretiminde öncelikle, üretilen çöp miktarının azaltılması gerekmektedir. Ayrıca atığın kaynakta ayrıştırılarak toplamaya hazır hale getirilmesi için hane halklarının bilinçlendirilmesi ihtiyacı devam etmektedir. </w:t>
      </w:r>
    </w:p>
    <w:p w:rsidR="00565FD5" w:rsidRPr="00E16DD0" w:rsidRDefault="00565FD5" w:rsidP="00565FD5">
      <w:pPr>
        <w:spacing w:after="160"/>
        <w:ind w:firstLine="425"/>
        <w:rPr>
          <w:rFonts w:cs="Tahoma"/>
          <w:szCs w:val="18"/>
        </w:rPr>
      </w:pPr>
      <w:r w:rsidRPr="00E16DD0">
        <w:rPr>
          <w:rFonts w:cs="Tahoma"/>
          <w:szCs w:val="18"/>
        </w:rPr>
        <w:t>Belediyeler, katı atık yönetiminde toplama ve taşıma konularındaki görevlerini büyük ölçüde yerine getirirken, bertaraf konusunda gereken etkinliği ve hassasiyeti göstermemektedir. Özellikle düzensiz depolama, depo sahalarının yer seçiminde yapılan hatalar ile işletme koşullarındaki olumsuzluklar giderek büyüyen sorunlara sebep olmaktadır.</w:t>
      </w:r>
    </w:p>
    <w:p w:rsidR="00565FD5" w:rsidRPr="00E16DD0" w:rsidRDefault="00565FD5" w:rsidP="00565FD5">
      <w:pPr>
        <w:spacing w:after="160"/>
        <w:ind w:firstLine="425"/>
        <w:rPr>
          <w:rFonts w:cs="Tahoma"/>
          <w:szCs w:val="18"/>
        </w:rPr>
      </w:pPr>
      <w:r w:rsidRPr="00E16DD0">
        <w:rPr>
          <w:rFonts w:cs="Tahoma"/>
          <w:szCs w:val="18"/>
        </w:rPr>
        <w:t>2010 yılında 17 ilde tıbbi atık sterilizasyon ünitesi bulunmakta ve bu tesislerden 54 il yararlanmaktayken 2012 yılı itibarıyla tesis sayısı 34’e, yararlan</w:t>
      </w:r>
      <w:r>
        <w:rPr>
          <w:rFonts w:cs="Tahoma"/>
          <w:szCs w:val="18"/>
        </w:rPr>
        <w:t>an il sayısı ise 77‘ye yükse</w:t>
      </w:r>
      <w:r w:rsidRPr="00E16DD0">
        <w:rPr>
          <w:rFonts w:cs="Tahoma"/>
          <w:szCs w:val="18"/>
        </w:rPr>
        <w:t xml:space="preserve">lmiştir. </w:t>
      </w:r>
    </w:p>
    <w:p w:rsidR="00565FD5" w:rsidRPr="00E16DD0" w:rsidRDefault="00565FD5" w:rsidP="00565FD5">
      <w:pPr>
        <w:spacing w:after="160"/>
        <w:ind w:firstLine="425"/>
        <w:rPr>
          <w:rFonts w:cs="Tahoma"/>
          <w:szCs w:val="18"/>
        </w:rPr>
      </w:pPr>
      <w:r w:rsidRPr="00E16DD0">
        <w:rPr>
          <w:rFonts w:cs="Tahoma"/>
          <w:szCs w:val="18"/>
        </w:rPr>
        <w:t xml:space="preserve">Ülkemizde üçü yakma ve üçü düzenli depolama olmak üzere altı adet tehlikeli atık bertaraf tesisi bulunmaktadır. 2009 yılında oluşturulan Atık Beyan Sistemi çerçevesinde 20.136 atık üreten tesisten, maden atıkları hariç olmak üzere, 2009 yılında 15.664 tesiste toplam 629.030 ton tehlikeli atık kayıt altına alınırken, 2010 yılında 18.453 tesiste toplam 786.418 ton tehlikeli atık kayıt altına alınmıştır. Bu atığın 2009 yılında yüzde 69’u geri kazanılırken, 2010 yılında bu oran yüzde 77’ye ulaşmıştır. </w:t>
      </w:r>
    </w:p>
    <w:p w:rsidR="00565FD5" w:rsidRPr="00E16DD0" w:rsidRDefault="00565FD5" w:rsidP="00565FD5">
      <w:pPr>
        <w:spacing w:after="160"/>
        <w:ind w:firstLine="425"/>
        <w:rPr>
          <w:rFonts w:cs="Tahoma"/>
          <w:szCs w:val="18"/>
        </w:rPr>
      </w:pPr>
      <w:r w:rsidRPr="00E16DD0">
        <w:rPr>
          <w:rFonts w:cs="Tahoma"/>
          <w:szCs w:val="18"/>
        </w:rPr>
        <w:t xml:space="preserve">Ambalaj atıklarının oluşumunun önlenmesi, tekrar kullanımı, geri dönüşümü ve geri kazanım yoluyla bertaraf edilecek miktarın azaltılması, belirli bir yönetim sistemiyle kaynağında ayrı toplanması, taşınması ve ayrıştırılması önemini korumaktadır. 2009 yılı itibarıyla üretilen yaklaşık 2,9 milyon ton ambalaj atığının 2,5 milyon tonu geri kazanılmıştır. </w:t>
      </w:r>
    </w:p>
    <w:p w:rsidR="00565FD5" w:rsidRPr="00E16DD0" w:rsidRDefault="00565FD5" w:rsidP="00565FD5">
      <w:pPr>
        <w:spacing w:after="160"/>
        <w:ind w:firstLine="425"/>
        <w:rPr>
          <w:rFonts w:cs="Tahoma"/>
          <w:szCs w:val="18"/>
        </w:rPr>
      </w:pPr>
      <w:r w:rsidRPr="00E16DD0">
        <w:rPr>
          <w:rFonts w:cs="Tahoma"/>
          <w:szCs w:val="18"/>
        </w:rPr>
        <w:t xml:space="preserve">Atık yağlar, atık pil ve akümülatörler, ömrünü tamamlamış lastikler, elektrikli ve elektronik eşya atıkları, hafriyat toprağı, inşaat ve yıkıntı atığı, ömrünü tamamlamış araçlar gibi özel atıkların toplanması, taşınması, geri </w:t>
      </w:r>
      <w:r w:rsidRPr="00E16DD0">
        <w:rPr>
          <w:rFonts w:cs="Tahoma"/>
          <w:szCs w:val="18"/>
        </w:rPr>
        <w:lastRenderedPageBreak/>
        <w:t>kazanımı ve bertarafına yönelik çeşitli yönetmelikler çerçevesinde çalışmalar devam etmektedir.</w:t>
      </w:r>
    </w:p>
    <w:p w:rsidR="00565FD5" w:rsidRPr="00E16DD0" w:rsidRDefault="00565FD5" w:rsidP="00565FD5">
      <w:pPr>
        <w:spacing w:after="160"/>
        <w:ind w:firstLine="425"/>
        <w:rPr>
          <w:rFonts w:cs="Tahoma"/>
          <w:szCs w:val="18"/>
        </w:rPr>
      </w:pPr>
      <w:r w:rsidRPr="00E16DD0">
        <w:rPr>
          <w:rFonts w:cs="Tahoma"/>
          <w:szCs w:val="18"/>
        </w:rPr>
        <w:t>Elektrikli ve elektronik eşyaların üretiminden nihai bertarafına kadar çevre ve insan sağlığının korunması amacıyla bazı zararlı maddelerin kullanımının sınırlandırılması, ithalatının kontrol altına alınması ile bertaraf edilecek atık miktarının azaltılması için yeniden kullanım, geri dönüşüm, geri kazanım yöntem ve hedeflerine ilişkin esasları düzenlemek üzere Atık Elektrikli ve Elektronik Eşyaların Kontrolü Yönetmeliği 22/05/2012 tarihinde yürürlüğe girmiştir.</w:t>
      </w:r>
    </w:p>
    <w:p w:rsidR="00565FD5" w:rsidRPr="00E16DD0" w:rsidRDefault="00565FD5" w:rsidP="00565FD5">
      <w:pPr>
        <w:pStyle w:val="Balk4"/>
      </w:pPr>
      <w:bookmarkStart w:id="1671" w:name="_Toc276076289"/>
      <w:bookmarkStart w:id="1672" w:name="_Toc244339610"/>
      <w:bookmarkStart w:id="1673" w:name="_Toc244315147"/>
      <w:bookmarkStart w:id="1674" w:name="_Toc244313671"/>
      <w:bookmarkStart w:id="1675" w:name="_Toc244254936"/>
      <w:bookmarkStart w:id="1676" w:name="_Toc244253686"/>
      <w:bookmarkStart w:id="1677" w:name="_Toc213065671"/>
      <w:bookmarkStart w:id="1678" w:name="_Toc307601995"/>
      <w:bookmarkStart w:id="1679" w:name="_Toc307670444"/>
      <w:bookmarkStart w:id="1680" w:name="_Toc307701670"/>
      <w:bookmarkStart w:id="1681" w:name="_Toc338505577"/>
      <w:bookmarkStart w:id="1682" w:name="_Toc338523804"/>
      <w:bookmarkStart w:id="1683" w:name="_Toc338524035"/>
      <w:bookmarkStart w:id="1684" w:name="_Toc338526261"/>
      <w:bookmarkStart w:id="1685" w:name="_Toc338673704"/>
      <w:bookmarkStart w:id="1686" w:name="_Toc338711583"/>
      <w:r w:rsidRPr="00E16DD0">
        <w:t>2. Temel Amaç ve Hedefler</w:t>
      </w:r>
      <w:bookmarkEnd w:id="1665"/>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r w:rsidRPr="00E16DD0">
        <w:t xml:space="preserve"> </w:t>
      </w:r>
    </w:p>
    <w:p w:rsidR="00565FD5" w:rsidRPr="00E16DD0" w:rsidRDefault="00565FD5" w:rsidP="00565FD5">
      <w:pPr>
        <w:spacing w:after="160"/>
        <w:ind w:firstLine="425"/>
        <w:rPr>
          <w:rFonts w:cs="Tahoma"/>
          <w:szCs w:val="18"/>
        </w:rPr>
      </w:pPr>
      <w:r w:rsidRPr="00E16DD0">
        <w:rPr>
          <w:rFonts w:cs="Tahoma"/>
          <w:szCs w:val="18"/>
        </w:rPr>
        <w:t>Sürdürülebilir kalkınma ilkeleri doğrultusunda, insan sağlığını, doğal kaynakları ve estetik değerleri korumak suretiyle yeterli çevresel koruma düzeyine erişilmesi ve kentlerin temiz, güvenli ve yaşam kalitesi yüksek yerler haline getirilmesi temel amaçtır.</w:t>
      </w:r>
    </w:p>
    <w:p w:rsidR="00565FD5" w:rsidRPr="00E16DD0" w:rsidRDefault="00565FD5" w:rsidP="00565FD5">
      <w:pPr>
        <w:spacing w:after="160"/>
        <w:ind w:firstLine="425"/>
        <w:rPr>
          <w:rFonts w:cs="Tahoma"/>
          <w:szCs w:val="18"/>
        </w:rPr>
      </w:pPr>
      <w:r w:rsidRPr="00E16DD0">
        <w:rPr>
          <w:rFonts w:cs="Tahoma"/>
          <w:szCs w:val="18"/>
        </w:rPr>
        <w:t>Ulusal İklim Değişikliği Stratejisi çerçevesinde iklim değişikliğiyle mücadele ve uyuma yönelik başta enerji verimliliği, yenilenebilir enerji, çevre dostu ulaşım yöntemleri, ormancılık, mera koruma projeleri yürütülecek, kuraklıkla mücadele edilecektir.</w:t>
      </w:r>
    </w:p>
    <w:p w:rsidR="00565FD5" w:rsidRPr="00E16DD0" w:rsidRDefault="00565FD5" w:rsidP="00565FD5">
      <w:pPr>
        <w:spacing w:after="160"/>
        <w:ind w:firstLine="425"/>
        <w:rPr>
          <w:rFonts w:cs="Tahoma"/>
          <w:szCs w:val="18"/>
        </w:rPr>
      </w:pPr>
      <w:r w:rsidRPr="00E16DD0">
        <w:rPr>
          <w:rFonts w:cs="Tahoma"/>
          <w:szCs w:val="18"/>
        </w:rPr>
        <w:t>Doğa koruma alanlarının yönetiminde kurumlar arası işbirliği ve koordinasyon sağlanarak, korunan alanlar sistemi güçlendirilecektir.</w:t>
      </w:r>
    </w:p>
    <w:p w:rsidR="00565FD5" w:rsidRPr="00E16DD0" w:rsidRDefault="00565FD5" w:rsidP="00565FD5">
      <w:pPr>
        <w:spacing w:after="160"/>
        <w:ind w:firstLine="425"/>
        <w:rPr>
          <w:rFonts w:cs="Tahoma"/>
          <w:szCs w:val="18"/>
        </w:rPr>
      </w:pPr>
      <w:r w:rsidRPr="00E16DD0">
        <w:rPr>
          <w:rFonts w:cs="Tahoma"/>
          <w:szCs w:val="18"/>
        </w:rPr>
        <w:t>Arazi kullanım kararlarına yön verecek bir mekansal planlama sisteminin kurulması, arazi kullanım ilke ve standartlarının belirlenmesi ve bu doğrultuda yerel yönetimlerin yönlendirilmesine ilişkin çalışmalara öncelik verilecektir.</w:t>
      </w:r>
    </w:p>
    <w:p w:rsidR="00565FD5" w:rsidRPr="00E16DD0" w:rsidRDefault="00565FD5" w:rsidP="00565FD5">
      <w:pPr>
        <w:spacing w:after="160"/>
        <w:ind w:firstLine="425"/>
        <w:rPr>
          <w:rFonts w:cs="Tahoma"/>
          <w:szCs w:val="18"/>
        </w:rPr>
      </w:pPr>
      <w:r w:rsidRPr="00E16DD0">
        <w:rPr>
          <w:rFonts w:cs="Tahoma"/>
          <w:szCs w:val="18"/>
        </w:rPr>
        <w:t>Kentsel dönüşüm çalışmalarına 2013 yılında Bursa, İstanbul ve İzmir illerine öncelik verilerek devam edilecektir.</w:t>
      </w:r>
    </w:p>
    <w:p w:rsidR="00565FD5" w:rsidRDefault="00565FD5" w:rsidP="00565FD5">
      <w:pPr>
        <w:spacing w:after="160"/>
        <w:ind w:firstLine="425"/>
      </w:pPr>
      <w:r w:rsidRPr="00E16DD0">
        <w:rPr>
          <w:rFonts w:cs="Tahoma"/>
          <w:szCs w:val="18"/>
        </w:rPr>
        <w:t>5491 sayılı Çevre Kanunu çerçevesinde nüfusu 2 binin üzerindeki belediyelerin evsel nitelikli katı atık bertaraf tesislerini nüfus büyüklüğü kriterine göre 2017 yılına kadar tamamlamaları hedeflenmektedir. Ayrıca, atık su arıtma tesisiyle hizmet verilen nüfusun 2017 yılına kadar kademeli olarak yaklaşık yüzde 81</w:t>
      </w:r>
      <w:r w:rsidRPr="00E16DD0">
        <w:t>‘e yükseltilmesi hedeflenmektedir.</w:t>
      </w:r>
    </w:p>
    <w:p w:rsidR="00565FD5" w:rsidRPr="00E16DD0" w:rsidRDefault="00565FD5" w:rsidP="00565FD5">
      <w:pPr>
        <w:pStyle w:val="Balk4"/>
      </w:pPr>
      <w:bookmarkStart w:id="1687" w:name="_Toc276076290"/>
      <w:bookmarkStart w:id="1688" w:name="_Toc244339611"/>
      <w:bookmarkStart w:id="1689" w:name="_Toc244315148"/>
      <w:bookmarkStart w:id="1690" w:name="_Toc244313672"/>
      <w:bookmarkStart w:id="1691" w:name="_Toc244254937"/>
      <w:bookmarkStart w:id="1692" w:name="_Toc244253687"/>
      <w:bookmarkStart w:id="1693" w:name="_Toc213065672"/>
      <w:bookmarkStart w:id="1694" w:name="_Toc307601996"/>
      <w:bookmarkStart w:id="1695" w:name="_Toc307670445"/>
      <w:bookmarkStart w:id="1696" w:name="_Toc307701671"/>
      <w:bookmarkStart w:id="1697" w:name="_Toc338505578"/>
      <w:bookmarkStart w:id="1698" w:name="_Toc338523805"/>
      <w:bookmarkStart w:id="1699" w:name="_Toc338524036"/>
      <w:bookmarkStart w:id="1700" w:name="_Toc338526262"/>
      <w:bookmarkStart w:id="1701" w:name="_Toc338673705"/>
      <w:bookmarkStart w:id="1702" w:name="_Toc338711584"/>
      <w:r w:rsidRPr="00E16DD0">
        <w:lastRenderedPageBreak/>
        <w:t>3. Politika Öncelikleri ve Tedbirler</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4"/>
        <w:gridCol w:w="1782"/>
        <w:gridCol w:w="705"/>
        <w:gridCol w:w="2813"/>
      </w:tblGrid>
      <w:tr w:rsidR="00565FD5" w:rsidRPr="00E16DD0" w:rsidTr="00AB62A3">
        <w:trPr>
          <w:trHeight w:val="20"/>
          <w:jc w:val="center"/>
        </w:trPr>
        <w:tc>
          <w:tcPr>
            <w:tcW w:w="1844" w:type="dxa"/>
            <w:vAlign w:val="bottom"/>
          </w:tcPr>
          <w:p w:rsidR="00565FD5" w:rsidRPr="00E16DD0" w:rsidRDefault="00565FD5" w:rsidP="00AB62A3">
            <w:pPr>
              <w:spacing w:before="60" w:after="60"/>
              <w:rPr>
                <w:rFonts w:cs="Tahoma"/>
                <w:b/>
                <w:bCs/>
                <w:color w:val="000000"/>
                <w:sz w:val="16"/>
                <w:szCs w:val="16"/>
                <w:lang w:eastAsia="tr-TR"/>
              </w:rPr>
            </w:pPr>
            <w:r w:rsidRPr="00E16DD0">
              <w:rPr>
                <w:rFonts w:cs="Tahoma"/>
                <w:b/>
                <w:bCs/>
                <w:color w:val="000000"/>
                <w:sz w:val="16"/>
                <w:szCs w:val="16"/>
                <w:lang w:eastAsia="tr-TR"/>
              </w:rPr>
              <w:t>Öncelik / Tedbir</w:t>
            </w:r>
          </w:p>
        </w:tc>
        <w:tc>
          <w:tcPr>
            <w:tcW w:w="1782" w:type="dxa"/>
            <w:vAlign w:val="bottom"/>
          </w:tcPr>
          <w:p w:rsidR="00565FD5" w:rsidRPr="00E16DD0" w:rsidRDefault="00565FD5" w:rsidP="00AB62A3">
            <w:pPr>
              <w:spacing w:before="60" w:after="60"/>
              <w:rPr>
                <w:rFonts w:cs="Tahoma"/>
                <w:b/>
                <w:bCs/>
                <w:color w:val="000000"/>
                <w:sz w:val="16"/>
                <w:szCs w:val="16"/>
                <w:lang w:eastAsia="tr-TR"/>
              </w:rPr>
            </w:pPr>
            <w:r w:rsidRPr="00E16DD0">
              <w:rPr>
                <w:rFonts w:cs="Tahoma"/>
                <w:b/>
                <w:bCs/>
                <w:color w:val="000000"/>
                <w:sz w:val="16"/>
                <w:szCs w:val="16"/>
                <w:lang w:eastAsia="tr-TR"/>
              </w:rPr>
              <w:t>Sorumlu / İşbirliği Yapılacak Kuruluşlar</w:t>
            </w:r>
          </w:p>
        </w:tc>
        <w:tc>
          <w:tcPr>
            <w:tcW w:w="705" w:type="dxa"/>
            <w:vAlign w:val="bottom"/>
          </w:tcPr>
          <w:p w:rsidR="00565FD5" w:rsidRPr="00E16DD0" w:rsidRDefault="00565FD5" w:rsidP="00AB62A3">
            <w:pPr>
              <w:spacing w:before="60" w:after="60"/>
              <w:rPr>
                <w:rFonts w:cs="Tahoma"/>
                <w:b/>
                <w:bCs/>
                <w:color w:val="000000"/>
                <w:sz w:val="16"/>
                <w:szCs w:val="16"/>
                <w:lang w:eastAsia="tr-TR"/>
              </w:rPr>
            </w:pPr>
            <w:r w:rsidRPr="00E16DD0">
              <w:rPr>
                <w:rFonts w:cs="Tahoma"/>
                <w:b/>
                <w:bCs/>
                <w:color w:val="000000"/>
                <w:sz w:val="16"/>
                <w:szCs w:val="16"/>
                <w:lang w:eastAsia="tr-TR"/>
              </w:rPr>
              <w:t xml:space="preserve">Süre </w:t>
            </w:r>
          </w:p>
        </w:tc>
        <w:tc>
          <w:tcPr>
            <w:tcW w:w="2813" w:type="dxa"/>
            <w:vAlign w:val="bottom"/>
          </w:tcPr>
          <w:p w:rsidR="00565FD5" w:rsidRPr="00E16DD0" w:rsidRDefault="00565FD5" w:rsidP="00AB62A3">
            <w:pPr>
              <w:spacing w:before="60" w:after="60"/>
              <w:rPr>
                <w:rFonts w:cs="Tahoma"/>
                <w:b/>
                <w:bCs/>
                <w:color w:val="000000"/>
                <w:sz w:val="16"/>
                <w:szCs w:val="16"/>
                <w:lang w:eastAsia="tr-TR"/>
              </w:rPr>
            </w:pPr>
            <w:r w:rsidRPr="00E16DD0">
              <w:rPr>
                <w:rFonts w:cs="Tahoma"/>
                <w:b/>
                <w:bCs/>
                <w:color w:val="000000"/>
                <w:sz w:val="16"/>
                <w:szCs w:val="16"/>
                <w:lang w:eastAsia="tr-TR"/>
              </w:rPr>
              <w:t>Yapılacak İşlem ve Açıklama</w:t>
            </w:r>
          </w:p>
        </w:tc>
      </w:tr>
      <w:tr w:rsidR="00565FD5" w:rsidRPr="00E16DD0" w:rsidTr="00AB62A3">
        <w:trPr>
          <w:trHeight w:val="20"/>
          <w:jc w:val="center"/>
        </w:trPr>
        <w:tc>
          <w:tcPr>
            <w:tcW w:w="7144" w:type="dxa"/>
            <w:gridSpan w:val="4"/>
          </w:tcPr>
          <w:p w:rsidR="00565FD5" w:rsidRPr="00E16DD0" w:rsidRDefault="00565FD5" w:rsidP="00EB1E69">
            <w:pPr>
              <w:numPr>
                <w:ilvl w:val="0"/>
                <w:numId w:val="15"/>
              </w:numPr>
              <w:tabs>
                <w:tab w:val="left" w:pos="425"/>
              </w:tabs>
              <w:spacing w:after="0" w:line="240" w:lineRule="auto"/>
              <w:rPr>
                <w:rFonts w:cs="Tahoma"/>
                <w:b/>
                <w:bCs/>
                <w:color w:val="000000"/>
                <w:sz w:val="16"/>
                <w:szCs w:val="16"/>
                <w:lang w:eastAsia="tr-TR"/>
              </w:rPr>
            </w:pPr>
            <w:r w:rsidRPr="00E16DD0">
              <w:rPr>
                <w:rFonts w:cs="Tahoma"/>
                <w:b/>
                <w:bCs/>
                <w:color w:val="000000"/>
                <w:sz w:val="16"/>
                <w:szCs w:val="16"/>
                <w:lang w:eastAsia="tr-TR"/>
              </w:rPr>
              <w:t xml:space="preserve">Çevre mevzuatının uygulanmasına yönelik yönetim, denetim ve uygulama kapasitesi geliştirilecektir.  </w:t>
            </w:r>
          </w:p>
        </w:tc>
      </w:tr>
      <w:tr w:rsidR="00565FD5" w:rsidRPr="00E16DD0" w:rsidTr="00AB62A3">
        <w:trPr>
          <w:trHeight w:val="20"/>
          <w:jc w:val="center"/>
        </w:trPr>
        <w:tc>
          <w:tcPr>
            <w:tcW w:w="1844" w:type="dxa"/>
          </w:tcPr>
          <w:p w:rsidR="00565FD5" w:rsidRPr="00E16DD0" w:rsidRDefault="00565FD5" w:rsidP="00EB1E69">
            <w:pPr>
              <w:numPr>
                <w:ilvl w:val="0"/>
                <w:numId w:val="14"/>
              </w:numPr>
              <w:spacing w:before="60" w:after="60" w:line="240" w:lineRule="auto"/>
              <w:rPr>
                <w:rFonts w:cs="Tahoma"/>
                <w:color w:val="000000"/>
                <w:sz w:val="16"/>
                <w:szCs w:val="16"/>
                <w:lang w:eastAsia="tr-TR"/>
              </w:rPr>
            </w:pPr>
            <w:r w:rsidRPr="00E16DD0">
              <w:rPr>
                <w:rFonts w:cs="Tahoma"/>
                <w:color w:val="000000"/>
                <w:sz w:val="16"/>
                <w:szCs w:val="16"/>
                <w:lang w:eastAsia="tr-TR"/>
              </w:rPr>
              <w:t>Çevre mevzuatının etkin uygulanması için ölçüm, izleme, denetim, kontrol ve raporlama altyapısı etkinleştirilecektir.</w:t>
            </w:r>
          </w:p>
        </w:tc>
        <w:tc>
          <w:tcPr>
            <w:tcW w:w="1782" w:type="dxa"/>
          </w:tcPr>
          <w:p w:rsidR="00565FD5" w:rsidRPr="00E16DD0" w:rsidRDefault="00565FD5" w:rsidP="00AB62A3">
            <w:pPr>
              <w:spacing w:before="60" w:after="60"/>
              <w:rPr>
                <w:rFonts w:cs="Tahoma"/>
                <w:color w:val="000000"/>
                <w:sz w:val="16"/>
                <w:szCs w:val="16"/>
                <w:lang w:eastAsia="tr-TR"/>
              </w:rPr>
            </w:pPr>
            <w:r w:rsidRPr="00E16DD0">
              <w:rPr>
                <w:rFonts w:cs="Tahoma"/>
                <w:color w:val="000000"/>
                <w:sz w:val="16"/>
                <w:szCs w:val="16"/>
                <w:lang w:eastAsia="tr-TR"/>
              </w:rPr>
              <w:t>Çevre ve Şehircilik Bakanlığı (S), Orman ve Su İşleri Bakanlığı, Gıda, Tarım ve Hayvancılık Bakanlığı, Sağlık Bakanlığı, Yerel Yönetimler</w:t>
            </w:r>
          </w:p>
        </w:tc>
        <w:tc>
          <w:tcPr>
            <w:tcW w:w="705" w:type="dxa"/>
          </w:tcPr>
          <w:p w:rsidR="00565FD5" w:rsidRPr="00E16DD0" w:rsidRDefault="00565FD5" w:rsidP="00AB62A3">
            <w:pPr>
              <w:spacing w:before="60" w:after="60"/>
              <w:rPr>
                <w:rFonts w:cs="Tahoma"/>
                <w:color w:val="000000"/>
                <w:sz w:val="16"/>
                <w:szCs w:val="16"/>
                <w:lang w:eastAsia="tr-TR"/>
              </w:rPr>
            </w:pPr>
            <w:r w:rsidRPr="00E16DD0">
              <w:rPr>
                <w:rFonts w:cs="Tahoma"/>
                <w:color w:val="000000"/>
                <w:sz w:val="16"/>
                <w:szCs w:val="16"/>
                <w:lang w:eastAsia="tr-TR"/>
              </w:rPr>
              <w:t>Aralık Sonu</w:t>
            </w:r>
          </w:p>
        </w:tc>
        <w:tc>
          <w:tcPr>
            <w:tcW w:w="2813" w:type="dxa"/>
          </w:tcPr>
          <w:p w:rsidR="00565FD5" w:rsidRPr="00E16DD0" w:rsidRDefault="00565FD5" w:rsidP="00AB62A3">
            <w:pPr>
              <w:spacing w:before="60" w:after="60"/>
              <w:rPr>
                <w:rFonts w:cs="Tahoma"/>
                <w:color w:val="000000"/>
                <w:sz w:val="16"/>
                <w:szCs w:val="16"/>
                <w:lang w:eastAsia="tr-TR"/>
              </w:rPr>
            </w:pPr>
            <w:r w:rsidRPr="00E16DD0">
              <w:rPr>
                <w:rFonts w:cs="Tahoma"/>
                <w:color w:val="000000"/>
                <w:sz w:val="16"/>
                <w:szCs w:val="16"/>
                <w:lang w:eastAsia="tr-TR"/>
              </w:rPr>
              <w:t>Çevre mevzuatının etkili bir şekilde uygulanması için başta su, hava, toprak olmak üzere doğa korumaya ve kirliliği önlemeye yönelik kapasite geliştirme çalışmalarına devam edilecektir. Bu kapsamdaki ölçme, izleme ve denetim altyapısı günün teknolojisine uygun yöntem ve araçlarla geliştirilecektir.</w:t>
            </w:r>
          </w:p>
        </w:tc>
      </w:tr>
      <w:tr w:rsidR="00565FD5" w:rsidRPr="00E16DD0" w:rsidTr="00AB62A3">
        <w:trPr>
          <w:trHeight w:val="20"/>
          <w:jc w:val="center"/>
        </w:trPr>
        <w:tc>
          <w:tcPr>
            <w:tcW w:w="7144" w:type="dxa"/>
            <w:gridSpan w:val="4"/>
          </w:tcPr>
          <w:p w:rsidR="00565FD5" w:rsidRPr="00E16DD0" w:rsidRDefault="00565FD5" w:rsidP="00EB1E69">
            <w:pPr>
              <w:numPr>
                <w:ilvl w:val="0"/>
                <w:numId w:val="15"/>
              </w:numPr>
              <w:tabs>
                <w:tab w:val="left" w:pos="425"/>
              </w:tabs>
              <w:spacing w:after="0" w:line="240" w:lineRule="auto"/>
              <w:jc w:val="both"/>
              <w:rPr>
                <w:rFonts w:cs="Tahoma"/>
                <w:b/>
                <w:bCs/>
                <w:color w:val="000000"/>
                <w:sz w:val="16"/>
                <w:szCs w:val="16"/>
                <w:lang w:eastAsia="tr-TR"/>
              </w:rPr>
            </w:pPr>
            <w:r w:rsidRPr="00E16DD0">
              <w:rPr>
                <w:rFonts w:cs="Tahoma"/>
                <w:b/>
                <w:bCs/>
                <w:color w:val="000000"/>
                <w:sz w:val="16"/>
                <w:szCs w:val="16"/>
                <w:lang w:eastAsia="tr-TR"/>
              </w:rPr>
              <w:t>Başta biyolojik çeşitlilik olmak üzere doğal kaynakların korunması, geliştirilmesi ve ekonomik anlamda değer kazanmasına yönelik çalışmalar yapılarak sürdürülebilir kullanımı sağlanacaktır.</w:t>
            </w:r>
          </w:p>
        </w:tc>
      </w:tr>
      <w:tr w:rsidR="00565FD5" w:rsidRPr="00E16DD0" w:rsidTr="00AB62A3">
        <w:trPr>
          <w:trHeight w:val="20"/>
          <w:jc w:val="center"/>
        </w:trPr>
        <w:tc>
          <w:tcPr>
            <w:tcW w:w="1844" w:type="dxa"/>
          </w:tcPr>
          <w:p w:rsidR="00565FD5" w:rsidRPr="00E16DD0" w:rsidRDefault="00565FD5" w:rsidP="00EB1E69">
            <w:pPr>
              <w:numPr>
                <w:ilvl w:val="0"/>
                <w:numId w:val="14"/>
              </w:numPr>
              <w:spacing w:before="60" w:after="60" w:line="240" w:lineRule="auto"/>
              <w:rPr>
                <w:rFonts w:cs="Tahoma"/>
                <w:sz w:val="16"/>
                <w:szCs w:val="16"/>
                <w:lang w:eastAsia="tr-TR"/>
              </w:rPr>
            </w:pPr>
            <w:r w:rsidRPr="00E16DD0">
              <w:rPr>
                <w:rFonts w:cs="Tahoma"/>
                <w:sz w:val="16"/>
                <w:szCs w:val="16"/>
                <w:lang w:eastAsia="tr-TR"/>
              </w:rPr>
              <w:t xml:space="preserve">Tabiatın ve biyolojik çeşitliliğin korunması ve kullanımında sürdürülebilirliğin sağlanmasına yönelik düzenlemeler yapılacaktır.  </w:t>
            </w:r>
          </w:p>
        </w:tc>
        <w:tc>
          <w:tcPr>
            <w:tcW w:w="1782" w:type="dxa"/>
          </w:tcPr>
          <w:p w:rsidR="00565FD5" w:rsidRPr="00E16DD0" w:rsidRDefault="00565FD5" w:rsidP="00AB62A3">
            <w:pPr>
              <w:spacing w:before="60" w:after="60"/>
              <w:rPr>
                <w:rFonts w:cs="Tahoma"/>
                <w:sz w:val="16"/>
                <w:szCs w:val="16"/>
                <w:lang w:eastAsia="tr-TR"/>
              </w:rPr>
            </w:pPr>
            <w:r w:rsidRPr="00E16DD0">
              <w:rPr>
                <w:rFonts w:cs="Tahoma"/>
                <w:sz w:val="16"/>
                <w:szCs w:val="16"/>
                <w:lang w:eastAsia="tr-TR"/>
              </w:rPr>
              <w:t>Orman ve Su İşleri Bakanlığı (S), Çevre ve Şehircilik Bakanlığı, Gıda, Tarım ve Hayvancılık Bakanlığı, İlgili Diğer Kamu Kuruluşları, STK’lar</w:t>
            </w:r>
          </w:p>
        </w:tc>
        <w:tc>
          <w:tcPr>
            <w:tcW w:w="705" w:type="dxa"/>
          </w:tcPr>
          <w:p w:rsidR="00565FD5" w:rsidRPr="00E16DD0" w:rsidRDefault="00565FD5" w:rsidP="00AB62A3">
            <w:pPr>
              <w:tabs>
                <w:tab w:val="center" w:pos="4153"/>
                <w:tab w:val="right" w:pos="8306"/>
              </w:tabs>
              <w:spacing w:before="60" w:after="60"/>
              <w:rPr>
                <w:rFonts w:cs="Tahoma"/>
                <w:sz w:val="16"/>
                <w:szCs w:val="16"/>
                <w:lang w:eastAsia="tr-TR"/>
              </w:rPr>
            </w:pPr>
            <w:r w:rsidRPr="00E16DD0">
              <w:rPr>
                <w:rFonts w:cs="Tahoma"/>
                <w:sz w:val="16"/>
                <w:szCs w:val="16"/>
                <w:lang w:eastAsia="tr-TR"/>
              </w:rPr>
              <w:t>Aralık Sonu</w:t>
            </w:r>
          </w:p>
        </w:tc>
        <w:tc>
          <w:tcPr>
            <w:tcW w:w="2813" w:type="dxa"/>
          </w:tcPr>
          <w:p w:rsidR="00565FD5" w:rsidRPr="00E16DD0" w:rsidRDefault="00565FD5" w:rsidP="00AB62A3">
            <w:pPr>
              <w:tabs>
                <w:tab w:val="center" w:pos="4153"/>
                <w:tab w:val="right" w:pos="8306"/>
              </w:tabs>
              <w:autoSpaceDE w:val="0"/>
              <w:autoSpaceDN w:val="0"/>
              <w:adjustRightInd w:val="0"/>
              <w:spacing w:before="60" w:after="60"/>
              <w:rPr>
                <w:rFonts w:cs="Tahoma"/>
                <w:sz w:val="16"/>
                <w:szCs w:val="16"/>
                <w:lang w:eastAsia="tr-TR"/>
              </w:rPr>
            </w:pPr>
            <w:r w:rsidRPr="00E16DD0">
              <w:rPr>
                <w:rFonts w:cs="Tahoma"/>
                <w:sz w:val="16"/>
                <w:szCs w:val="16"/>
                <w:lang w:eastAsia="tr-TR"/>
              </w:rPr>
              <w:t>Mevzuat, kurumsal düzenleme çalışmaları tamamlanacak, biyolojik çeşitliliğin tespiti ve izlenmesine ilişkin projeler yürütülecektir. Koruma ve sürdürülebilir kullanıma yönelik bilinçlendirme çalışmaları yürütülecektir.</w:t>
            </w:r>
          </w:p>
        </w:tc>
      </w:tr>
      <w:tr w:rsidR="00565FD5" w:rsidRPr="00E16DD0" w:rsidTr="00AB62A3">
        <w:trPr>
          <w:trHeight w:val="20"/>
          <w:jc w:val="center"/>
        </w:trPr>
        <w:tc>
          <w:tcPr>
            <w:tcW w:w="7144" w:type="dxa"/>
            <w:gridSpan w:val="4"/>
          </w:tcPr>
          <w:p w:rsidR="00565FD5" w:rsidRPr="00E16DD0" w:rsidRDefault="00565FD5" w:rsidP="00EB1E69">
            <w:pPr>
              <w:numPr>
                <w:ilvl w:val="0"/>
                <w:numId w:val="15"/>
              </w:numPr>
              <w:tabs>
                <w:tab w:val="left" w:pos="425"/>
                <w:tab w:val="center" w:pos="4153"/>
                <w:tab w:val="right" w:pos="8306"/>
              </w:tabs>
              <w:spacing w:before="60" w:after="60" w:line="240" w:lineRule="auto"/>
              <w:jc w:val="both"/>
              <w:rPr>
                <w:rFonts w:cs="Tahoma"/>
                <w:sz w:val="16"/>
                <w:szCs w:val="16"/>
                <w:lang w:eastAsia="tr-TR"/>
              </w:rPr>
            </w:pPr>
            <w:r w:rsidRPr="00E16DD0">
              <w:rPr>
                <w:rFonts w:cs="Tahoma"/>
                <w:b/>
                <w:bCs/>
                <w:color w:val="000000"/>
                <w:sz w:val="16"/>
                <w:szCs w:val="16"/>
                <w:lang w:eastAsia="tr-TR"/>
              </w:rPr>
              <w:t>Kalkınma ve mekânsal gelişme politikaları arasında uyum artırılacak; fiziki planlama, uygulama ve yapılaşmaya yön verecek stratejik bir planlama yapısı oluşturulacaktır.</w:t>
            </w:r>
          </w:p>
        </w:tc>
      </w:tr>
      <w:tr w:rsidR="00565FD5" w:rsidRPr="00E16DD0" w:rsidTr="00AB62A3">
        <w:trPr>
          <w:trHeight w:val="20"/>
          <w:jc w:val="center"/>
        </w:trPr>
        <w:tc>
          <w:tcPr>
            <w:tcW w:w="1844" w:type="dxa"/>
          </w:tcPr>
          <w:p w:rsidR="00565FD5" w:rsidRPr="00E16DD0" w:rsidRDefault="00565FD5" w:rsidP="00EB1E69">
            <w:pPr>
              <w:numPr>
                <w:ilvl w:val="0"/>
                <w:numId w:val="14"/>
              </w:numPr>
              <w:spacing w:before="60" w:after="60" w:line="240" w:lineRule="auto"/>
              <w:ind w:left="0" w:right="-13"/>
              <w:rPr>
                <w:rFonts w:cs="Tahoma"/>
                <w:sz w:val="16"/>
                <w:szCs w:val="16"/>
                <w:lang w:eastAsia="tr-TR"/>
              </w:rPr>
            </w:pPr>
            <w:r w:rsidRPr="00E16DD0">
              <w:rPr>
                <w:rFonts w:cs="Tahoma"/>
                <w:sz w:val="16"/>
                <w:szCs w:val="16"/>
                <w:lang w:eastAsia="tr-TR"/>
              </w:rPr>
              <w:t>KENTGES Bütünleşik Kentsel Gelişme Stratejisi ve Eylem Planı etkili bir şekilde yürütülecek ve sonuçları izlenecektir.</w:t>
            </w:r>
          </w:p>
        </w:tc>
        <w:tc>
          <w:tcPr>
            <w:tcW w:w="1782" w:type="dxa"/>
          </w:tcPr>
          <w:p w:rsidR="00565FD5" w:rsidRPr="00E16DD0" w:rsidRDefault="00565FD5" w:rsidP="00AB62A3">
            <w:pPr>
              <w:spacing w:before="60" w:after="60"/>
              <w:rPr>
                <w:rFonts w:cs="Tahoma"/>
                <w:sz w:val="16"/>
                <w:szCs w:val="16"/>
                <w:lang w:eastAsia="tr-TR"/>
              </w:rPr>
            </w:pPr>
            <w:r w:rsidRPr="00E16DD0">
              <w:rPr>
                <w:rFonts w:cs="Tahoma"/>
                <w:sz w:val="16"/>
                <w:szCs w:val="16"/>
                <w:lang w:eastAsia="tr-TR"/>
              </w:rPr>
              <w:t>Çevre ve Şehircilik Bakanlığı (S), Kalkınma Bakanlığı, İçişleri Bakanlığı, Kültür ve Turizm Bakanlığı, Afet ve Acil Durum Yönetimi Başkanlığı, yerel yönetimler</w:t>
            </w:r>
          </w:p>
        </w:tc>
        <w:tc>
          <w:tcPr>
            <w:tcW w:w="705" w:type="dxa"/>
          </w:tcPr>
          <w:p w:rsidR="00565FD5" w:rsidRPr="00E16DD0" w:rsidRDefault="00565FD5" w:rsidP="00AB62A3">
            <w:pPr>
              <w:spacing w:before="60" w:after="60"/>
              <w:rPr>
                <w:rFonts w:cs="Tahoma"/>
                <w:sz w:val="16"/>
                <w:szCs w:val="16"/>
                <w:lang w:eastAsia="tr-TR"/>
              </w:rPr>
            </w:pPr>
            <w:r w:rsidRPr="00E16DD0">
              <w:rPr>
                <w:rFonts w:cs="Tahoma"/>
                <w:sz w:val="16"/>
                <w:szCs w:val="16"/>
                <w:lang w:eastAsia="tr-TR"/>
              </w:rPr>
              <w:t>Aralık Sonu</w:t>
            </w:r>
          </w:p>
        </w:tc>
        <w:tc>
          <w:tcPr>
            <w:tcW w:w="2813" w:type="dxa"/>
          </w:tcPr>
          <w:p w:rsidR="00565FD5" w:rsidRPr="00E16DD0" w:rsidRDefault="00565FD5" w:rsidP="00AB62A3">
            <w:pPr>
              <w:spacing w:before="60" w:after="60"/>
              <w:rPr>
                <w:rFonts w:cs="Tahoma"/>
                <w:sz w:val="16"/>
                <w:szCs w:val="16"/>
                <w:lang w:eastAsia="tr-TR"/>
              </w:rPr>
            </w:pPr>
            <w:r w:rsidRPr="00E16DD0">
              <w:rPr>
                <w:rFonts w:cs="Tahoma"/>
                <w:sz w:val="16"/>
                <w:szCs w:val="16"/>
                <w:lang w:eastAsia="tr-TR"/>
              </w:rPr>
              <w:t>KENTGES, içerdiği orta ve uzun vadeli eylemler önceliklendirilerek etkili bir şekilde yürütülecek, sonuçları izlenecek ve kamuoyuyla paylaşılacaktır.</w:t>
            </w:r>
          </w:p>
        </w:tc>
      </w:tr>
      <w:tr w:rsidR="00565FD5" w:rsidRPr="00E16DD0" w:rsidTr="00AB62A3">
        <w:trPr>
          <w:trHeight w:val="20"/>
          <w:jc w:val="center"/>
        </w:trPr>
        <w:tc>
          <w:tcPr>
            <w:tcW w:w="1844" w:type="dxa"/>
          </w:tcPr>
          <w:p w:rsidR="00565FD5" w:rsidRPr="00E16DD0" w:rsidRDefault="00565FD5" w:rsidP="00EB1E69">
            <w:pPr>
              <w:numPr>
                <w:ilvl w:val="0"/>
                <w:numId w:val="14"/>
              </w:numPr>
              <w:spacing w:before="60" w:after="60" w:line="240" w:lineRule="auto"/>
              <w:rPr>
                <w:rFonts w:cs="Tahoma"/>
                <w:sz w:val="16"/>
                <w:szCs w:val="16"/>
                <w:lang w:eastAsia="tr-TR"/>
              </w:rPr>
            </w:pPr>
            <w:r w:rsidRPr="00E16DD0">
              <w:rPr>
                <w:rFonts w:cs="Tahoma"/>
                <w:sz w:val="16"/>
                <w:szCs w:val="16"/>
                <w:lang w:eastAsia="tr-TR"/>
              </w:rPr>
              <w:t xml:space="preserve">Çevre düzeni planlarının ve mekânsal strateji planlarının yapılmasına ilişkin yeni bir yönetişim yapısını da içeren usul ve esaslar belirlenecektir. </w:t>
            </w:r>
          </w:p>
        </w:tc>
        <w:tc>
          <w:tcPr>
            <w:tcW w:w="1782" w:type="dxa"/>
          </w:tcPr>
          <w:p w:rsidR="00565FD5" w:rsidRPr="00E16DD0" w:rsidRDefault="00565FD5" w:rsidP="00AB62A3">
            <w:pPr>
              <w:spacing w:before="60" w:after="60"/>
              <w:rPr>
                <w:rFonts w:cs="Tahoma"/>
                <w:sz w:val="16"/>
                <w:szCs w:val="16"/>
                <w:lang w:eastAsia="tr-TR"/>
              </w:rPr>
            </w:pPr>
            <w:r w:rsidRPr="00E16DD0">
              <w:rPr>
                <w:rFonts w:cs="Tahoma"/>
                <w:sz w:val="16"/>
                <w:szCs w:val="16"/>
                <w:lang w:eastAsia="tr-TR"/>
              </w:rPr>
              <w:t>Çevre ve Şehircilik Bakanlığı (S), Kalkınma Bakanlığı</w:t>
            </w:r>
          </w:p>
        </w:tc>
        <w:tc>
          <w:tcPr>
            <w:tcW w:w="705" w:type="dxa"/>
          </w:tcPr>
          <w:p w:rsidR="00565FD5" w:rsidRPr="00E16DD0" w:rsidRDefault="00565FD5" w:rsidP="00AB62A3">
            <w:pPr>
              <w:spacing w:before="60" w:after="60"/>
              <w:rPr>
                <w:rFonts w:cs="Tahoma"/>
                <w:sz w:val="16"/>
                <w:szCs w:val="16"/>
                <w:lang w:eastAsia="tr-TR"/>
              </w:rPr>
            </w:pPr>
            <w:r w:rsidRPr="00E16DD0">
              <w:rPr>
                <w:rFonts w:cs="Tahoma"/>
                <w:sz w:val="16"/>
                <w:szCs w:val="16"/>
                <w:lang w:eastAsia="tr-TR"/>
              </w:rPr>
              <w:t>Aralık Sonu</w:t>
            </w:r>
          </w:p>
        </w:tc>
        <w:tc>
          <w:tcPr>
            <w:tcW w:w="2813" w:type="dxa"/>
          </w:tcPr>
          <w:p w:rsidR="00565FD5" w:rsidRPr="00E16DD0" w:rsidRDefault="00565FD5" w:rsidP="00AB62A3">
            <w:pPr>
              <w:spacing w:before="60" w:after="60"/>
              <w:rPr>
                <w:rFonts w:cs="Tahoma"/>
                <w:sz w:val="16"/>
                <w:szCs w:val="16"/>
                <w:lang w:eastAsia="tr-TR"/>
              </w:rPr>
            </w:pPr>
            <w:r w:rsidRPr="00E16DD0">
              <w:rPr>
                <w:rFonts w:cs="Tahoma"/>
                <w:sz w:val="16"/>
                <w:szCs w:val="16"/>
                <w:lang w:eastAsia="tr-TR"/>
              </w:rPr>
              <w:t>1/100.000 ölçekli olarak hali hazırda hizmet alımı yoluyla yaptırılan çevre düzeni planları, mekânsal strateji planlarıyla bütünleşik bir yapıda hazırlanacaktır. Kentlerin uzun vadede nasıl bir yapı, yerleşim ve yaşam kalitesini barındıracağına dair vizyon ve hedeflerin ortaya konulacağı, yeni bir plan kademesi olan Mekânsal Strateji Planlarının değerlendirileceği ve yeni bir yönetişim yapısını içerecek olan usul ve esaslar belirlenecektir.</w:t>
            </w:r>
          </w:p>
        </w:tc>
      </w:tr>
      <w:tr w:rsidR="00565FD5" w:rsidRPr="00E16DD0" w:rsidTr="00AB62A3">
        <w:trPr>
          <w:trHeight w:val="20"/>
          <w:jc w:val="center"/>
        </w:trPr>
        <w:tc>
          <w:tcPr>
            <w:tcW w:w="7144" w:type="dxa"/>
            <w:gridSpan w:val="4"/>
          </w:tcPr>
          <w:p w:rsidR="00565FD5" w:rsidRPr="00E16DD0" w:rsidRDefault="00565FD5" w:rsidP="00EB1E69">
            <w:pPr>
              <w:numPr>
                <w:ilvl w:val="0"/>
                <w:numId w:val="15"/>
              </w:numPr>
              <w:tabs>
                <w:tab w:val="left" w:pos="425"/>
              </w:tabs>
              <w:spacing w:before="60" w:after="60" w:line="240" w:lineRule="auto"/>
              <w:jc w:val="both"/>
              <w:rPr>
                <w:rFonts w:cs="Tahoma"/>
                <w:b/>
                <w:bCs/>
                <w:color w:val="000000"/>
                <w:sz w:val="16"/>
                <w:szCs w:val="16"/>
                <w:lang w:eastAsia="tr-TR"/>
              </w:rPr>
            </w:pPr>
            <w:r w:rsidRPr="00E16DD0">
              <w:rPr>
                <w:rFonts w:cs="Tahoma"/>
                <w:b/>
                <w:bCs/>
                <w:color w:val="000000"/>
                <w:sz w:val="16"/>
                <w:szCs w:val="16"/>
                <w:lang w:eastAsia="tr-TR"/>
              </w:rPr>
              <w:lastRenderedPageBreak/>
              <w:t xml:space="preserve">Kentlerin yaşam standartları yükseltilerek yaşanabilirlik düzeyleri artırılmış mekânlar oluşturulacak, sürdürülebilir kentsel gelişme sağlanacaktır.    </w:t>
            </w:r>
          </w:p>
        </w:tc>
      </w:tr>
      <w:tr w:rsidR="00565FD5" w:rsidRPr="00E16DD0" w:rsidTr="00AB62A3">
        <w:trPr>
          <w:trHeight w:val="20"/>
          <w:jc w:val="center"/>
        </w:trPr>
        <w:tc>
          <w:tcPr>
            <w:tcW w:w="1844" w:type="dxa"/>
          </w:tcPr>
          <w:p w:rsidR="00565FD5" w:rsidRPr="00E16DD0" w:rsidRDefault="00565FD5" w:rsidP="00EB1E69">
            <w:pPr>
              <w:numPr>
                <w:ilvl w:val="0"/>
                <w:numId w:val="14"/>
              </w:numPr>
              <w:tabs>
                <w:tab w:val="left" w:pos="425"/>
              </w:tabs>
              <w:spacing w:before="80" w:after="80" w:line="240" w:lineRule="auto"/>
              <w:rPr>
                <w:rFonts w:cs="Tahoma"/>
                <w:sz w:val="16"/>
                <w:szCs w:val="16"/>
                <w:lang w:eastAsia="tr-TR"/>
              </w:rPr>
            </w:pPr>
            <w:r w:rsidRPr="00E16DD0">
              <w:rPr>
                <w:rFonts w:cs="Tahoma"/>
                <w:sz w:val="16"/>
                <w:szCs w:val="16"/>
                <w:lang w:eastAsia="tr-TR"/>
              </w:rPr>
              <w:t>Kentleşme ve imar konularında hukuki ve idari çerçeve güçlendirilecektir.</w:t>
            </w:r>
          </w:p>
        </w:tc>
        <w:tc>
          <w:tcPr>
            <w:tcW w:w="1782" w:type="dxa"/>
          </w:tcPr>
          <w:p w:rsidR="00565FD5" w:rsidRPr="00E16DD0" w:rsidRDefault="00565FD5" w:rsidP="00AB62A3">
            <w:pPr>
              <w:spacing w:before="80" w:after="80"/>
              <w:rPr>
                <w:rFonts w:cs="Tahoma"/>
                <w:sz w:val="16"/>
                <w:szCs w:val="16"/>
                <w:lang w:eastAsia="tr-TR"/>
              </w:rPr>
            </w:pPr>
            <w:r w:rsidRPr="00E16DD0">
              <w:rPr>
                <w:rFonts w:cs="Tahoma"/>
                <w:sz w:val="16"/>
                <w:szCs w:val="16"/>
                <w:lang w:eastAsia="tr-TR"/>
              </w:rPr>
              <w:t>Çevre ve Şehircilik Bakanlığı (S), Kalkınma Bakanlığı, İçişleri Bakanlığı, TOKİ, yerel yönetimler</w:t>
            </w:r>
          </w:p>
        </w:tc>
        <w:tc>
          <w:tcPr>
            <w:tcW w:w="705" w:type="dxa"/>
          </w:tcPr>
          <w:p w:rsidR="00565FD5" w:rsidRPr="00E16DD0" w:rsidRDefault="00565FD5" w:rsidP="00AB62A3">
            <w:pPr>
              <w:spacing w:before="80" w:after="80"/>
              <w:rPr>
                <w:rFonts w:cs="Tahoma"/>
                <w:sz w:val="16"/>
                <w:szCs w:val="16"/>
                <w:lang w:eastAsia="tr-TR"/>
              </w:rPr>
            </w:pPr>
            <w:r w:rsidRPr="00E16DD0">
              <w:rPr>
                <w:rFonts w:cs="Tahoma"/>
                <w:sz w:val="16"/>
                <w:szCs w:val="16"/>
                <w:lang w:eastAsia="tr-TR"/>
              </w:rPr>
              <w:t>Aralık Sonu</w:t>
            </w:r>
          </w:p>
        </w:tc>
        <w:tc>
          <w:tcPr>
            <w:tcW w:w="2813" w:type="dxa"/>
          </w:tcPr>
          <w:p w:rsidR="00565FD5" w:rsidRPr="00E16DD0" w:rsidRDefault="00565FD5" w:rsidP="00AB62A3">
            <w:pPr>
              <w:spacing w:before="80" w:after="80"/>
              <w:rPr>
                <w:rFonts w:cs="Tahoma"/>
                <w:sz w:val="16"/>
                <w:szCs w:val="16"/>
                <w:lang w:eastAsia="tr-TR"/>
              </w:rPr>
            </w:pPr>
            <w:r w:rsidRPr="00E16DD0">
              <w:rPr>
                <w:rFonts w:cs="Tahoma"/>
                <w:sz w:val="16"/>
                <w:szCs w:val="16"/>
                <w:lang w:eastAsia="tr-TR"/>
              </w:rPr>
              <w:t>Arazi kullanımı, fiziki planlama, uygulama ve yapılaşma konularında temel ilkeleri, standartları ve denetim mekanizmasını da içerecek şekilde imar ve şehircilik mevzuatı yenilenecektir. Bölgesel gelişme ve mekânsal gelişme planlaması ilişkisi güçlendirilecek, mekânsal planlama hiyerarşisi sadelik ve yerindenlik ilkeleriyle geliştirilecektir. Cazibe merkezlerine, ticaret ve sanayi için önem arz eden alanlara, gelişmekte olan kırsal merkezi yerleşim yerlerine, yapılaşma baskısı altındaki turizm yörelerine, koruma alanlarına ve afet riski yüksek yörelere planlamada öncelik verilecektir.</w:t>
            </w:r>
          </w:p>
        </w:tc>
      </w:tr>
      <w:tr w:rsidR="00565FD5" w:rsidRPr="00E16DD0" w:rsidTr="00AB62A3">
        <w:trPr>
          <w:trHeight w:val="20"/>
          <w:jc w:val="center"/>
        </w:trPr>
        <w:tc>
          <w:tcPr>
            <w:tcW w:w="7144" w:type="dxa"/>
            <w:gridSpan w:val="4"/>
          </w:tcPr>
          <w:p w:rsidR="00565FD5" w:rsidRPr="00E16DD0" w:rsidRDefault="00565FD5" w:rsidP="00EB1E69">
            <w:pPr>
              <w:numPr>
                <w:ilvl w:val="0"/>
                <w:numId w:val="15"/>
              </w:numPr>
              <w:tabs>
                <w:tab w:val="left" w:pos="425"/>
              </w:tabs>
              <w:spacing w:before="80" w:after="80" w:line="240" w:lineRule="auto"/>
              <w:jc w:val="both"/>
              <w:rPr>
                <w:rFonts w:cs="Tahoma"/>
                <w:b/>
                <w:bCs/>
                <w:color w:val="000000"/>
                <w:sz w:val="16"/>
                <w:szCs w:val="16"/>
                <w:lang w:eastAsia="tr-TR"/>
              </w:rPr>
            </w:pPr>
            <w:r w:rsidRPr="00E16DD0">
              <w:rPr>
                <w:rFonts w:cs="Tahoma"/>
                <w:b/>
                <w:bCs/>
                <w:color w:val="000000"/>
                <w:sz w:val="16"/>
                <w:szCs w:val="16"/>
                <w:lang w:eastAsia="tr-TR"/>
              </w:rPr>
              <w:t>Afet riskli alanların dönüşümü ve riskli yapıların yıkımı sağla</w:t>
            </w:r>
            <w:r>
              <w:rPr>
                <w:rFonts w:cs="Tahoma"/>
                <w:b/>
                <w:bCs/>
                <w:color w:val="000000"/>
                <w:sz w:val="16"/>
                <w:szCs w:val="16"/>
                <w:lang w:eastAsia="tr-TR"/>
              </w:rPr>
              <w:t>n</w:t>
            </w:r>
            <w:r w:rsidRPr="00E16DD0">
              <w:rPr>
                <w:rFonts w:cs="Tahoma"/>
                <w:b/>
                <w:bCs/>
                <w:color w:val="000000"/>
                <w:sz w:val="16"/>
                <w:szCs w:val="16"/>
                <w:lang w:eastAsia="tr-TR"/>
              </w:rPr>
              <w:t>arak ülke genelinde güvenli ve yaşanılabilir alanlar oluşturulacaktır.</w:t>
            </w:r>
          </w:p>
        </w:tc>
      </w:tr>
      <w:tr w:rsidR="00565FD5" w:rsidRPr="00E16DD0" w:rsidTr="00AB62A3">
        <w:trPr>
          <w:trHeight w:val="20"/>
          <w:jc w:val="center"/>
        </w:trPr>
        <w:tc>
          <w:tcPr>
            <w:tcW w:w="1844" w:type="dxa"/>
          </w:tcPr>
          <w:p w:rsidR="00565FD5" w:rsidRPr="00E16DD0" w:rsidRDefault="00565FD5" w:rsidP="00EB1E69">
            <w:pPr>
              <w:numPr>
                <w:ilvl w:val="0"/>
                <w:numId w:val="14"/>
              </w:numPr>
              <w:tabs>
                <w:tab w:val="left" w:pos="425"/>
              </w:tabs>
              <w:spacing w:before="60" w:after="60" w:line="240" w:lineRule="auto"/>
              <w:rPr>
                <w:rFonts w:cs="Tahoma"/>
                <w:sz w:val="16"/>
                <w:szCs w:val="16"/>
                <w:lang w:eastAsia="tr-TR"/>
              </w:rPr>
            </w:pPr>
            <w:r w:rsidRPr="00E16DD0">
              <w:rPr>
                <w:rFonts w:cs="Tahoma"/>
                <w:sz w:val="16"/>
                <w:szCs w:val="16"/>
                <w:lang w:eastAsia="tr-TR"/>
              </w:rPr>
              <w:t xml:space="preserve">1.ve 2. derece deprem bölgelerinde riskli bina tespit çalışmaları yapılacaktır. </w:t>
            </w:r>
          </w:p>
        </w:tc>
        <w:tc>
          <w:tcPr>
            <w:tcW w:w="1782" w:type="dxa"/>
          </w:tcPr>
          <w:p w:rsidR="00565FD5" w:rsidRPr="00E16DD0" w:rsidRDefault="00565FD5" w:rsidP="00AB62A3">
            <w:pPr>
              <w:spacing w:before="60" w:after="60"/>
              <w:rPr>
                <w:rFonts w:cs="Tahoma"/>
                <w:sz w:val="16"/>
                <w:szCs w:val="16"/>
                <w:lang w:eastAsia="tr-TR"/>
              </w:rPr>
            </w:pPr>
            <w:r w:rsidRPr="00E16DD0">
              <w:rPr>
                <w:rFonts w:cs="Tahoma"/>
                <w:sz w:val="16"/>
                <w:szCs w:val="16"/>
                <w:lang w:eastAsia="tr-TR"/>
              </w:rPr>
              <w:t>Çevre ve Şehircilik Bakanlığı (S),  TOKİ, yerel yönetimler</w:t>
            </w:r>
          </w:p>
        </w:tc>
        <w:tc>
          <w:tcPr>
            <w:tcW w:w="705" w:type="dxa"/>
          </w:tcPr>
          <w:p w:rsidR="00565FD5" w:rsidRPr="00E16DD0" w:rsidRDefault="00565FD5" w:rsidP="00AB62A3">
            <w:pPr>
              <w:spacing w:before="60" w:after="60"/>
              <w:rPr>
                <w:rFonts w:cs="Tahoma"/>
                <w:sz w:val="16"/>
                <w:szCs w:val="16"/>
                <w:lang w:eastAsia="tr-TR"/>
              </w:rPr>
            </w:pPr>
            <w:r w:rsidRPr="00E16DD0">
              <w:rPr>
                <w:rFonts w:cs="Tahoma"/>
                <w:sz w:val="16"/>
                <w:szCs w:val="16"/>
                <w:lang w:eastAsia="tr-TR"/>
              </w:rPr>
              <w:t>Aralık Sonu</w:t>
            </w:r>
          </w:p>
        </w:tc>
        <w:tc>
          <w:tcPr>
            <w:tcW w:w="2813" w:type="dxa"/>
          </w:tcPr>
          <w:p w:rsidR="00565FD5" w:rsidRPr="00E16DD0" w:rsidRDefault="00565FD5" w:rsidP="00AB62A3">
            <w:pPr>
              <w:spacing w:before="60" w:after="60"/>
              <w:rPr>
                <w:rFonts w:cs="Tahoma"/>
                <w:sz w:val="16"/>
                <w:szCs w:val="16"/>
                <w:lang w:eastAsia="tr-TR"/>
              </w:rPr>
            </w:pPr>
            <w:r w:rsidRPr="00E16DD0">
              <w:rPr>
                <w:rFonts w:cs="Tahoma"/>
                <w:sz w:val="16"/>
                <w:szCs w:val="16"/>
                <w:lang w:eastAsia="tr-TR"/>
              </w:rPr>
              <w:t xml:space="preserve">1.ve 2. derece deprem bölgelerinde riskli bina tespit çalışmaları ivedilikle başlatılacaktır. </w:t>
            </w:r>
          </w:p>
        </w:tc>
      </w:tr>
      <w:tr w:rsidR="00565FD5" w:rsidRPr="00E16DD0" w:rsidTr="00AB62A3">
        <w:trPr>
          <w:trHeight w:val="20"/>
          <w:jc w:val="center"/>
        </w:trPr>
        <w:tc>
          <w:tcPr>
            <w:tcW w:w="1844" w:type="dxa"/>
          </w:tcPr>
          <w:p w:rsidR="00565FD5" w:rsidRPr="00E16DD0" w:rsidRDefault="00565FD5" w:rsidP="00EB1E69">
            <w:pPr>
              <w:numPr>
                <w:ilvl w:val="0"/>
                <w:numId w:val="14"/>
              </w:numPr>
              <w:tabs>
                <w:tab w:val="left" w:pos="425"/>
              </w:tabs>
              <w:spacing w:before="60" w:after="60" w:line="240" w:lineRule="auto"/>
              <w:rPr>
                <w:rFonts w:cs="Tahoma"/>
                <w:sz w:val="16"/>
                <w:szCs w:val="16"/>
                <w:lang w:eastAsia="tr-TR"/>
              </w:rPr>
            </w:pPr>
            <w:r w:rsidRPr="00E16DD0">
              <w:rPr>
                <w:rFonts w:cs="Tahoma"/>
                <w:sz w:val="16"/>
                <w:szCs w:val="16"/>
                <w:lang w:eastAsia="tr-TR"/>
              </w:rPr>
              <w:t>Dönüşüm sürecinde ihtiyaç duyulacak rezerv alanların tespiti yapılacaktır.</w:t>
            </w:r>
          </w:p>
        </w:tc>
        <w:tc>
          <w:tcPr>
            <w:tcW w:w="1782" w:type="dxa"/>
          </w:tcPr>
          <w:p w:rsidR="00565FD5" w:rsidRPr="00E16DD0" w:rsidRDefault="00565FD5" w:rsidP="00AB62A3">
            <w:pPr>
              <w:spacing w:before="60" w:after="60"/>
              <w:rPr>
                <w:rFonts w:cs="Tahoma"/>
                <w:sz w:val="16"/>
                <w:szCs w:val="16"/>
                <w:lang w:eastAsia="tr-TR"/>
              </w:rPr>
            </w:pPr>
            <w:r w:rsidRPr="00E16DD0">
              <w:rPr>
                <w:rFonts w:cs="Tahoma"/>
                <w:sz w:val="16"/>
                <w:szCs w:val="16"/>
                <w:lang w:eastAsia="tr-TR"/>
              </w:rPr>
              <w:t>Çevre ve Şehircilik Bakanlığı (S),  TOKİ, yerel yönetimler</w:t>
            </w:r>
          </w:p>
        </w:tc>
        <w:tc>
          <w:tcPr>
            <w:tcW w:w="705" w:type="dxa"/>
          </w:tcPr>
          <w:p w:rsidR="00565FD5" w:rsidRPr="00E16DD0" w:rsidRDefault="00565FD5" w:rsidP="00AB62A3">
            <w:pPr>
              <w:spacing w:before="60" w:after="60"/>
              <w:rPr>
                <w:rFonts w:cs="Tahoma"/>
                <w:sz w:val="16"/>
                <w:szCs w:val="16"/>
                <w:lang w:eastAsia="tr-TR"/>
              </w:rPr>
            </w:pPr>
            <w:r w:rsidRPr="00E16DD0">
              <w:rPr>
                <w:rFonts w:cs="Tahoma"/>
                <w:sz w:val="16"/>
                <w:szCs w:val="16"/>
                <w:lang w:eastAsia="tr-TR"/>
              </w:rPr>
              <w:t>Aralık Sonu</w:t>
            </w:r>
          </w:p>
        </w:tc>
        <w:tc>
          <w:tcPr>
            <w:tcW w:w="2813" w:type="dxa"/>
          </w:tcPr>
          <w:p w:rsidR="00565FD5" w:rsidRPr="00E16DD0" w:rsidRDefault="00565FD5" w:rsidP="00AB62A3">
            <w:pPr>
              <w:spacing w:before="60" w:after="60"/>
              <w:rPr>
                <w:rFonts w:cs="Tahoma"/>
                <w:sz w:val="16"/>
                <w:szCs w:val="16"/>
                <w:lang w:eastAsia="tr-TR"/>
              </w:rPr>
            </w:pPr>
            <w:r w:rsidRPr="00E16DD0">
              <w:rPr>
                <w:rFonts w:cs="Tahoma"/>
                <w:sz w:val="16"/>
                <w:szCs w:val="16"/>
                <w:lang w:eastAsia="tr-TR"/>
              </w:rPr>
              <w:t xml:space="preserve">Dönüşüm sürecinde geçici iskân sağlanması amacıyla rezerv alan tespit çalışmaları sürdürülecektir. </w:t>
            </w:r>
          </w:p>
        </w:tc>
      </w:tr>
      <w:tr w:rsidR="00565FD5" w:rsidRPr="00E16DD0" w:rsidTr="00AB62A3">
        <w:trPr>
          <w:trHeight w:val="20"/>
          <w:jc w:val="center"/>
        </w:trPr>
        <w:tc>
          <w:tcPr>
            <w:tcW w:w="1844" w:type="dxa"/>
          </w:tcPr>
          <w:p w:rsidR="00565FD5" w:rsidRPr="00E16DD0" w:rsidRDefault="00565FD5" w:rsidP="00EB1E69">
            <w:pPr>
              <w:numPr>
                <w:ilvl w:val="0"/>
                <w:numId w:val="14"/>
              </w:numPr>
              <w:tabs>
                <w:tab w:val="left" w:pos="425"/>
              </w:tabs>
              <w:spacing w:before="60" w:after="60" w:line="240" w:lineRule="auto"/>
              <w:rPr>
                <w:rFonts w:cs="Tahoma"/>
                <w:sz w:val="16"/>
                <w:szCs w:val="16"/>
                <w:lang w:eastAsia="tr-TR"/>
              </w:rPr>
            </w:pPr>
            <w:r w:rsidRPr="00E16DD0">
              <w:rPr>
                <w:rFonts w:cs="Tahoma"/>
                <w:sz w:val="16"/>
                <w:szCs w:val="16"/>
                <w:lang w:eastAsia="tr-TR"/>
              </w:rPr>
              <w:t xml:space="preserve">Afet riski altındaki alanların dönüşümü için sağlanacak destekler etkinleştirilecek, yeni finansal araçlar geliştirilecektir.  </w:t>
            </w:r>
          </w:p>
        </w:tc>
        <w:tc>
          <w:tcPr>
            <w:tcW w:w="1782" w:type="dxa"/>
          </w:tcPr>
          <w:p w:rsidR="00565FD5" w:rsidRPr="00E16DD0" w:rsidRDefault="00565FD5" w:rsidP="00AB62A3">
            <w:pPr>
              <w:spacing w:before="60" w:after="60"/>
              <w:rPr>
                <w:rFonts w:cs="Tahoma"/>
                <w:sz w:val="16"/>
                <w:szCs w:val="16"/>
                <w:lang w:eastAsia="tr-TR"/>
              </w:rPr>
            </w:pPr>
            <w:r w:rsidRPr="00E16DD0">
              <w:rPr>
                <w:rFonts w:cs="Tahoma"/>
                <w:sz w:val="16"/>
                <w:szCs w:val="16"/>
                <w:lang w:eastAsia="tr-TR"/>
              </w:rPr>
              <w:t>Çevre ve Şehircilik Bakanlığı (S), Kalkınma Bakanlığı, Hazine Müsteşarlığı, Banka ve Finans Kuruluşları</w:t>
            </w:r>
          </w:p>
        </w:tc>
        <w:tc>
          <w:tcPr>
            <w:tcW w:w="705" w:type="dxa"/>
          </w:tcPr>
          <w:p w:rsidR="00565FD5" w:rsidRPr="00E16DD0" w:rsidRDefault="00565FD5" w:rsidP="00AB62A3">
            <w:pPr>
              <w:spacing w:before="60" w:after="60"/>
              <w:rPr>
                <w:rFonts w:cs="Tahoma"/>
                <w:sz w:val="16"/>
                <w:szCs w:val="16"/>
                <w:lang w:eastAsia="tr-TR"/>
              </w:rPr>
            </w:pPr>
            <w:r w:rsidRPr="00E16DD0">
              <w:rPr>
                <w:rFonts w:cs="Tahoma"/>
                <w:sz w:val="16"/>
                <w:szCs w:val="16"/>
                <w:lang w:eastAsia="tr-TR"/>
              </w:rPr>
              <w:t>Aralık Sonu</w:t>
            </w:r>
          </w:p>
        </w:tc>
        <w:tc>
          <w:tcPr>
            <w:tcW w:w="2813" w:type="dxa"/>
          </w:tcPr>
          <w:p w:rsidR="00565FD5" w:rsidRPr="00E16DD0" w:rsidRDefault="00565FD5" w:rsidP="00AB62A3">
            <w:pPr>
              <w:spacing w:before="60" w:after="60"/>
              <w:rPr>
                <w:rFonts w:cs="Tahoma"/>
                <w:sz w:val="16"/>
                <w:szCs w:val="16"/>
                <w:lang w:eastAsia="tr-TR"/>
              </w:rPr>
            </w:pPr>
            <w:r w:rsidRPr="00E16DD0">
              <w:rPr>
                <w:rFonts w:cs="Tahoma"/>
                <w:sz w:val="16"/>
                <w:szCs w:val="16"/>
                <w:lang w:eastAsia="tr-TR"/>
              </w:rPr>
              <w:t xml:space="preserve">Afet riski altındaki alanlar ve bu alanlar dışındaki alanlarda bulunan riskli yapıların dönüşümü için bankalar tarafından kullandırılan kredilere faiz desteği sağlanacaktır. Afet riski altındaki alanların dönüşümü için kaynakların artırılması, finansal araçların çeşitlendirilmesi ve kamu –özel ortaklığı modelinin geliştirilmesi sağlanacaktır.  </w:t>
            </w:r>
          </w:p>
        </w:tc>
      </w:tr>
      <w:tr w:rsidR="00565FD5" w:rsidRPr="00E16DD0" w:rsidTr="00AB62A3">
        <w:trPr>
          <w:trHeight w:val="20"/>
          <w:jc w:val="center"/>
        </w:trPr>
        <w:tc>
          <w:tcPr>
            <w:tcW w:w="7144" w:type="dxa"/>
            <w:gridSpan w:val="4"/>
          </w:tcPr>
          <w:p w:rsidR="00565FD5" w:rsidRPr="00E16DD0" w:rsidRDefault="00565FD5" w:rsidP="00EB1E69">
            <w:pPr>
              <w:numPr>
                <w:ilvl w:val="0"/>
                <w:numId w:val="15"/>
              </w:numPr>
              <w:tabs>
                <w:tab w:val="left" w:pos="425"/>
              </w:tabs>
              <w:spacing w:before="80" w:after="80" w:line="240" w:lineRule="auto"/>
              <w:jc w:val="both"/>
              <w:rPr>
                <w:rFonts w:cs="Tahoma"/>
                <w:b/>
                <w:bCs/>
                <w:color w:val="000000"/>
                <w:sz w:val="16"/>
                <w:szCs w:val="16"/>
                <w:lang w:eastAsia="tr-TR"/>
              </w:rPr>
            </w:pPr>
            <w:r w:rsidRPr="00E16DD0">
              <w:rPr>
                <w:rFonts w:cs="Tahoma"/>
                <w:b/>
                <w:bCs/>
                <w:color w:val="000000"/>
                <w:sz w:val="16"/>
                <w:szCs w:val="16"/>
                <w:lang w:eastAsia="tr-TR"/>
              </w:rPr>
              <w:t xml:space="preserve">Su kaynaklarının etkin bir şekilde yönetimi amacıyla idari, yasal ve finansal düzenlemeler gerçekleştirilecektir. </w:t>
            </w:r>
          </w:p>
        </w:tc>
      </w:tr>
      <w:tr w:rsidR="00565FD5" w:rsidRPr="00E16DD0" w:rsidTr="00AB62A3">
        <w:trPr>
          <w:trHeight w:val="20"/>
          <w:jc w:val="center"/>
        </w:trPr>
        <w:tc>
          <w:tcPr>
            <w:tcW w:w="1844" w:type="dxa"/>
          </w:tcPr>
          <w:p w:rsidR="00565FD5" w:rsidRPr="00E16DD0" w:rsidRDefault="00565FD5" w:rsidP="00EB1E69">
            <w:pPr>
              <w:numPr>
                <w:ilvl w:val="0"/>
                <w:numId w:val="14"/>
              </w:numPr>
              <w:tabs>
                <w:tab w:val="left" w:pos="425"/>
              </w:tabs>
              <w:spacing w:before="40" w:after="40" w:line="240" w:lineRule="auto"/>
              <w:rPr>
                <w:rFonts w:cs="Tahoma"/>
                <w:color w:val="000000"/>
                <w:sz w:val="16"/>
                <w:szCs w:val="16"/>
                <w:lang w:eastAsia="tr-TR"/>
              </w:rPr>
            </w:pPr>
            <w:r w:rsidRPr="00E16DD0">
              <w:rPr>
                <w:rFonts w:cs="Tahoma"/>
                <w:color w:val="000000"/>
                <w:sz w:val="16"/>
                <w:szCs w:val="16"/>
                <w:lang w:eastAsia="tr-TR"/>
              </w:rPr>
              <w:t xml:space="preserve"> Su kaynaklarının etkin kullanımı ve korunması için bütüncül su </w:t>
            </w:r>
            <w:r w:rsidRPr="00E16DD0">
              <w:rPr>
                <w:rFonts w:cs="Tahoma"/>
                <w:color w:val="000000"/>
                <w:sz w:val="16"/>
                <w:szCs w:val="16"/>
                <w:lang w:eastAsia="tr-TR"/>
              </w:rPr>
              <w:lastRenderedPageBreak/>
              <w:t>kaynakları yönetimi modeli geliştirilecektir.</w:t>
            </w:r>
          </w:p>
        </w:tc>
        <w:tc>
          <w:tcPr>
            <w:tcW w:w="1782" w:type="dxa"/>
          </w:tcPr>
          <w:p w:rsidR="00565FD5" w:rsidRPr="00E16DD0" w:rsidRDefault="00565FD5" w:rsidP="00AB62A3">
            <w:pPr>
              <w:spacing w:before="40" w:after="40"/>
              <w:rPr>
                <w:rFonts w:cs="Tahoma"/>
                <w:color w:val="000000"/>
                <w:sz w:val="16"/>
                <w:szCs w:val="16"/>
                <w:lang w:eastAsia="tr-TR"/>
              </w:rPr>
            </w:pPr>
            <w:r w:rsidRPr="00E16DD0">
              <w:rPr>
                <w:rFonts w:cs="Tahoma"/>
                <w:color w:val="000000"/>
                <w:sz w:val="16"/>
                <w:szCs w:val="16"/>
                <w:lang w:eastAsia="tr-TR"/>
              </w:rPr>
              <w:lastRenderedPageBreak/>
              <w:t xml:space="preserve">Orman ve Su İşleri Bakanlığı (S), Su Yönetimi Koordinasyon </w:t>
            </w:r>
            <w:r w:rsidRPr="00E16DD0">
              <w:rPr>
                <w:rFonts w:cs="Tahoma"/>
                <w:color w:val="000000"/>
                <w:sz w:val="16"/>
                <w:szCs w:val="16"/>
                <w:lang w:eastAsia="tr-TR"/>
              </w:rPr>
              <w:lastRenderedPageBreak/>
              <w:t xml:space="preserve">Kurulu Üyeleri </w:t>
            </w:r>
          </w:p>
        </w:tc>
        <w:tc>
          <w:tcPr>
            <w:tcW w:w="705" w:type="dxa"/>
          </w:tcPr>
          <w:p w:rsidR="00565FD5" w:rsidRPr="00E16DD0" w:rsidRDefault="00565FD5" w:rsidP="00AB62A3">
            <w:pPr>
              <w:spacing w:before="40" w:after="40"/>
              <w:rPr>
                <w:rFonts w:cs="Tahoma"/>
                <w:color w:val="000000"/>
                <w:sz w:val="16"/>
                <w:szCs w:val="16"/>
                <w:lang w:eastAsia="tr-TR"/>
              </w:rPr>
            </w:pPr>
            <w:r w:rsidRPr="00E16DD0">
              <w:rPr>
                <w:rFonts w:cs="Tahoma"/>
                <w:color w:val="000000"/>
                <w:sz w:val="16"/>
                <w:szCs w:val="16"/>
                <w:lang w:eastAsia="tr-TR"/>
              </w:rPr>
              <w:lastRenderedPageBreak/>
              <w:t>Aralık Sonu</w:t>
            </w:r>
          </w:p>
        </w:tc>
        <w:tc>
          <w:tcPr>
            <w:tcW w:w="2813" w:type="dxa"/>
          </w:tcPr>
          <w:p w:rsidR="00565FD5" w:rsidRPr="00E16DD0" w:rsidRDefault="00565FD5" w:rsidP="00AB62A3">
            <w:pPr>
              <w:spacing w:before="40" w:after="40"/>
              <w:rPr>
                <w:rFonts w:cs="Tahoma"/>
                <w:color w:val="000000"/>
                <w:sz w:val="16"/>
                <w:szCs w:val="16"/>
                <w:lang w:eastAsia="tr-TR"/>
              </w:rPr>
            </w:pPr>
            <w:r w:rsidRPr="00E16DD0">
              <w:rPr>
                <w:rFonts w:cs="Tahoma"/>
                <w:color w:val="000000"/>
                <w:sz w:val="16"/>
                <w:szCs w:val="16"/>
                <w:lang w:eastAsia="tr-TR"/>
              </w:rPr>
              <w:t xml:space="preserve">Bütüncül su kaynakları yönetimi amacıyla 2012 yılında oluşturulan Su Yönetimi Koordinasyon Kurulu’nun </w:t>
            </w:r>
            <w:r w:rsidRPr="00E16DD0">
              <w:rPr>
                <w:rFonts w:cs="Tahoma"/>
                <w:color w:val="000000"/>
                <w:sz w:val="16"/>
                <w:szCs w:val="16"/>
                <w:lang w:eastAsia="tr-TR"/>
              </w:rPr>
              <w:lastRenderedPageBreak/>
              <w:t>eşgüdümünde yer üstü ve yer altı su kaynaklarını kapsayan hukuki, kurumsal ve uygulamaya yönelik çalışmalar yapılacaktır. Su kaynaklarının havza bazında yönetiminin sağlanması için strateji ve plan hazırlanacaktır.</w:t>
            </w:r>
          </w:p>
        </w:tc>
      </w:tr>
      <w:tr w:rsidR="00565FD5" w:rsidRPr="00E16DD0" w:rsidTr="00AB62A3">
        <w:trPr>
          <w:trHeight w:val="20"/>
          <w:jc w:val="center"/>
        </w:trPr>
        <w:tc>
          <w:tcPr>
            <w:tcW w:w="1844" w:type="dxa"/>
          </w:tcPr>
          <w:p w:rsidR="00565FD5" w:rsidRPr="00E16DD0" w:rsidRDefault="00565FD5" w:rsidP="00EB1E69">
            <w:pPr>
              <w:numPr>
                <w:ilvl w:val="0"/>
                <w:numId w:val="14"/>
              </w:numPr>
              <w:tabs>
                <w:tab w:val="left" w:pos="425"/>
              </w:tabs>
              <w:autoSpaceDE w:val="0"/>
              <w:autoSpaceDN w:val="0"/>
              <w:adjustRightInd w:val="0"/>
              <w:spacing w:before="40" w:after="40" w:line="240" w:lineRule="auto"/>
              <w:rPr>
                <w:rFonts w:cs="Tahoma"/>
                <w:color w:val="000000"/>
                <w:sz w:val="16"/>
                <w:szCs w:val="16"/>
                <w:lang w:eastAsia="tr-TR"/>
              </w:rPr>
            </w:pPr>
            <w:r w:rsidRPr="00E16DD0">
              <w:rPr>
                <w:rFonts w:cs="Tahoma"/>
                <w:color w:val="000000"/>
                <w:sz w:val="16"/>
                <w:szCs w:val="16"/>
                <w:lang w:eastAsia="tr-TR"/>
              </w:rPr>
              <w:lastRenderedPageBreak/>
              <w:t>Şişelenmiş suların denetimi konusunda hem mevzuat hem de uygulama yönünden çalışmalar yapılacaktır.</w:t>
            </w:r>
          </w:p>
        </w:tc>
        <w:tc>
          <w:tcPr>
            <w:tcW w:w="1782" w:type="dxa"/>
          </w:tcPr>
          <w:p w:rsidR="00565FD5" w:rsidRPr="00E16DD0" w:rsidRDefault="00565FD5" w:rsidP="00AB62A3">
            <w:pPr>
              <w:spacing w:before="40" w:after="40"/>
              <w:rPr>
                <w:rFonts w:cs="Tahoma"/>
                <w:color w:val="000000"/>
                <w:sz w:val="16"/>
                <w:szCs w:val="16"/>
                <w:lang w:eastAsia="tr-TR"/>
              </w:rPr>
            </w:pPr>
            <w:r w:rsidRPr="00E16DD0">
              <w:rPr>
                <w:rFonts w:cs="Tahoma"/>
                <w:color w:val="000000"/>
                <w:sz w:val="16"/>
                <w:szCs w:val="16"/>
                <w:lang w:eastAsia="tr-TR"/>
              </w:rPr>
              <w:t>Sağlık Bakanlığı (S), Orman ve Su İşleri Bakanlığı, Gıda, Tarım ve Hayvancılık Bakanlığı, İl Özel İdareleri, Belediyeler</w:t>
            </w:r>
          </w:p>
        </w:tc>
        <w:tc>
          <w:tcPr>
            <w:tcW w:w="705" w:type="dxa"/>
          </w:tcPr>
          <w:p w:rsidR="00565FD5" w:rsidRPr="00E16DD0" w:rsidRDefault="00565FD5" w:rsidP="00AB62A3">
            <w:pPr>
              <w:spacing w:before="40" w:after="40"/>
              <w:rPr>
                <w:rFonts w:cs="Tahoma"/>
                <w:color w:val="000000"/>
                <w:sz w:val="16"/>
                <w:szCs w:val="16"/>
                <w:lang w:eastAsia="tr-TR"/>
              </w:rPr>
            </w:pPr>
            <w:r w:rsidRPr="00E16DD0">
              <w:rPr>
                <w:rFonts w:cs="Tahoma"/>
                <w:color w:val="000000"/>
                <w:sz w:val="16"/>
                <w:szCs w:val="16"/>
                <w:lang w:eastAsia="tr-TR"/>
              </w:rPr>
              <w:t>Aralık Sonu</w:t>
            </w:r>
          </w:p>
        </w:tc>
        <w:tc>
          <w:tcPr>
            <w:tcW w:w="2813" w:type="dxa"/>
          </w:tcPr>
          <w:p w:rsidR="00565FD5" w:rsidRPr="00E16DD0" w:rsidRDefault="00565FD5" w:rsidP="00AB62A3">
            <w:pPr>
              <w:spacing w:before="40" w:after="40"/>
              <w:rPr>
                <w:rFonts w:cs="Tahoma"/>
                <w:color w:val="000000"/>
                <w:sz w:val="16"/>
                <w:szCs w:val="16"/>
                <w:lang w:eastAsia="tr-TR"/>
              </w:rPr>
            </w:pPr>
            <w:r w:rsidRPr="00E16DD0">
              <w:rPr>
                <w:rFonts w:cs="Tahoma"/>
                <w:color w:val="000000"/>
                <w:sz w:val="16"/>
                <w:szCs w:val="16"/>
                <w:lang w:eastAsia="tr-TR"/>
              </w:rPr>
              <w:t>Şişelenmiş suların denetimi konusundaki mevzuat günün şart ve ihtiyaçlarına göre güncellenecektir.</w:t>
            </w:r>
          </w:p>
        </w:tc>
      </w:tr>
      <w:tr w:rsidR="00565FD5" w:rsidRPr="00E16DD0" w:rsidTr="00AB62A3">
        <w:trPr>
          <w:trHeight w:val="20"/>
          <w:jc w:val="center"/>
        </w:trPr>
        <w:tc>
          <w:tcPr>
            <w:tcW w:w="7144" w:type="dxa"/>
            <w:gridSpan w:val="4"/>
          </w:tcPr>
          <w:p w:rsidR="00565FD5" w:rsidRPr="00E16DD0" w:rsidRDefault="00565FD5" w:rsidP="00EB1E69">
            <w:pPr>
              <w:numPr>
                <w:ilvl w:val="0"/>
                <w:numId w:val="15"/>
              </w:numPr>
              <w:tabs>
                <w:tab w:val="left" w:pos="425"/>
              </w:tabs>
              <w:spacing w:before="80" w:after="80" w:line="240" w:lineRule="auto"/>
              <w:jc w:val="both"/>
              <w:rPr>
                <w:rFonts w:cs="Tahoma"/>
                <w:b/>
                <w:bCs/>
                <w:color w:val="000000"/>
                <w:sz w:val="16"/>
                <w:szCs w:val="16"/>
                <w:lang w:eastAsia="tr-TR"/>
              </w:rPr>
            </w:pPr>
            <w:r w:rsidRPr="00E16DD0">
              <w:rPr>
                <w:rFonts w:cs="Tahoma"/>
                <w:b/>
                <w:bCs/>
                <w:color w:val="000000"/>
                <w:sz w:val="16"/>
                <w:szCs w:val="16"/>
                <w:lang w:eastAsia="tr-TR"/>
              </w:rPr>
              <w:t xml:space="preserve">Katı atık yönetiminde kaynakta ayrıştırma, toplama, taşıma, geri kazanım ve bertaraf safhaları teknik ve mali yönden bir bütün olarak değerlendirilecektir. </w:t>
            </w:r>
          </w:p>
        </w:tc>
      </w:tr>
      <w:tr w:rsidR="00565FD5" w:rsidRPr="00E16DD0" w:rsidTr="00AB62A3">
        <w:trPr>
          <w:trHeight w:val="20"/>
          <w:jc w:val="center"/>
        </w:trPr>
        <w:tc>
          <w:tcPr>
            <w:tcW w:w="1844" w:type="dxa"/>
          </w:tcPr>
          <w:p w:rsidR="00565FD5" w:rsidRPr="00E16DD0" w:rsidRDefault="00565FD5" w:rsidP="00EB1E69">
            <w:pPr>
              <w:numPr>
                <w:ilvl w:val="0"/>
                <w:numId w:val="14"/>
              </w:numPr>
              <w:tabs>
                <w:tab w:val="left" w:pos="425"/>
              </w:tabs>
              <w:spacing w:before="80" w:after="80" w:line="240" w:lineRule="auto"/>
              <w:rPr>
                <w:rFonts w:cs="Tahoma"/>
                <w:color w:val="000000"/>
                <w:sz w:val="16"/>
                <w:szCs w:val="16"/>
                <w:lang w:eastAsia="tr-TR"/>
              </w:rPr>
            </w:pPr>
            <w:r w:rsidRPr="00E16DD0">
              <w:rPr>
                <w:rFonts w:cs="Tahoma"/>
                <w:color w:val="000000"/>
                <w:sz w:val="16"/>
                <w:szCs w:val="16"/>
                <w:lang w:eastAsia="tr-TR"/>
              </w:rPr>
              <w:t>Katı atık yönetimi etkinleştirilecek ve evsel nitelikli katı atıkların mahalli idare birlikleri aracılığıyla düzenli depolama tesislerinde bertaraf edilmesi sağlanacaktır.</w:t>
            </w:r>
          </w:p>
        </w:tc>
        <w:tc>
          <w:tcPr>
            <w:tcW w:w="1782" w:type="dxa"/>
          </w:tcPr>
          <w:p w:rsidR="00565FD5" w:rsidRPr="00E16DD0" w:rsidRDefault="00565FD5" w:rsidP="00AB62A3">
            <w:pPr>
              <w:spacing w:before="80" w:after="80"/>
              <w:rPr>
                <w:rFonts w:cs="Tahoma"/>
                <w:color w:val="000000"/>
                <w:sz w:val="16"/>
                <w:szCs w:val="16"/>
                <w:lang w:eastAsia="tr-TR"/>
              </w:rPr>
            </w:pPr>
            <w:r w:rsidRPr="00E16DD0">
              <w:rPr>
                <w:rFonts w:cs="Tahoma"/>
                <w:color w:val="000000"/>
                <w:sz w:val="16"/>
                <w:szCs w:val="16"/>
                <w:lang w:eastAsia="tr-TR"/>
              </w:rPr>
              <w:t xml:space="preserve">Çevre ve Şehircilik Bakanlığı (S), İçişleri Bakanlığı, Kalkınma Bakanlığı, </w:t>
            </w:r>
            <w:r>
              <w:rPr>
                <w:rFonts w:cs="Tahoma"/>
                <w:color w:val="000000"/>
                <w:sz w:val="16"/>
                <w:szCs w:val="16"/>
                <w:lang w:eastAsia="tr-TR"/>
              </w:rPr>
              <w:t>İlbank A.Ş.</w:t>
            </w:r>
            <w:r w:rsidRPr="00E16DD0">
              <w:rPr>
                <w:rFonts w:cs="Tahoma"/>
                <w:color w:val="000000"/>
                <w:sz w:val="16"/>
                <w:szCs w:val="16"/>
                <w:lang w:eastAsia="tr-TR"/>
              </w:rPr>
              <w:t>, Yerel Yönetimler</w:t>
            </w:r>
          </w:p>
        </w:tc>
        <w:tc>
          <w:tcPr>
            <w:tcW w:w="705" w:type="dxa"/>
          </w:tcPr>
          <w:p w:rsidR="00565FD5" w:rsidRPr="00E16DD0" w:rsidRDefault="00565FD5" w:rsidP="00AB62A3">
            <w:pPr>
              <w:spacing w:before="80" w:after="80"/>
              <w:rPr>
                <w:rFonts w:cs="Tahoma"/>
                <w:color w:val="000000"/>
                <w:sz w:val="16"/>
                <w:szCs w:val="16"/>
                <w:lang w:eastAsia="tr-TR"/>
              </w:rPr>
            </w:pPr>
            <w:r w:rsidRPr="00E16DD0">
              <w:rPr>
                <w:rFonts w:cs="Tahoma"/>
                <w:color w:val="000000"/>
                <w:sz w:val="16"/>
                <w:szCs w:val="16"/>
                <w:lang w:eastAsia="tr-TR"/>
              </w:rPr>
              <w:t>Aralık Sonu</w:t>
            </w:r>
          </w:p>
        </w:tc>
        <w:tc>
          <w:tcPr>
            <w:tcW w:w="2813" w:type="dxa"/>
          </w:tcPr>
          <w:p w:rsidR="00565FD5" w:rsidRPr="00E16DD0" w:rsidRDefault="00565FD5" w:rsidP="00AB62A3">
            <w:pPr>
              <w:spacing w:before="80" w:after="80"/>
              <w:rPr>
                <w:rFonts w:cs="Tahoma"/>
                <w:color w:val="000000"/>
                <w:sz w:val="16"/>
                <w:szCs w:val="16"/>
                <w:lang w:eastAsia="tr-TR"/>
              </w:rPr>
            </w:pPr>
            <w:r w:rsidRPr="00E16DD0">
              <w:rPr>
                <w:rFonts w:cs="Tahoma"/>
                <w:color w:val="000000"/>
                <w:sz w:val="16"/>
                <w:szCs w:val="16"/>
                <w:lang w:eastAsia="tr-TR"/>
              </w:rPr>
              <w:t>Ulusal ve bölgesel düzeyde atık yönetim plan çalışmaları tamamlanacaktır. Katı atıkların kaynakta ayrıştırılarak, tekrar kullanım değerine sahip olanların ekonomiye kazandırılmasına yönelik kurumsal kapasitenin geliştirilmesi ve halkın bilinçlendirilmesine ilişkin çalışmalar sürdürülecektir. Katı atık yönetiminde mahalli idare birliklerinin etkin çalışmasına yönelik usul ve esaslar belirlenecektir.</w:t>
            </w:r>
          </w:p>
        </w:tc>
      </w:tr>
      <w:tr w:rsidR="00565FD5" w:rsidRPr="00E16DD0" w:rsidTr="00AB62A3">
        <w:trPr>
          <w:trHeight w:val="20"/>
          <w:jc w:val="center"/>
        </w:trPr>
        <w:tc>
          <w:tcPr>
            <w:tcW w:w="1844" w:type="dxa"/>
          </w:tcPr>
          <w:p w:rsidR="00565FD5" w:rsidRPr="00E16DD0" w:rsidRDefault="00565FD5" w:rsidP="00EB1E69">
            <w:pPr>
              <w:numPr>
                <w:ilvl w:val="0"/>
                <w:numId w:val="14"/>
              </w:numPr>
              <w:tabs>
                <w:tab w:val="left" w:pos="425"/>
              </w:tabs>
              <w:spacing w:before="80" w:after="80" w:line="240" w:lineRule="auto"/>
              <w:rPr>
                <w:rFonts w:cs="Tahoma"/>
                <w:color w:val="000000"/>
                <w:sz w:val="16"/>
                <w:szCs w:val="16"/>
                <w:lang w:eastAsia="tr-TR"/>
              </w:rPr>
            </w:pPr>
            <w:r w:rsidRPr="00E16DD0">
              <w:rPr>
                <w:rFonts w:cs="Tahoma"/>
                <w:color w:val="000000"/>
                <w:sz w:val="16"/>
                <w:szCs w:val="16"/>
                <w:lang w:eastAsia="tr-TR"/>
              </w:rPr>
              <w:t>Belediye atıkları için Biyobozunur Atık Azaltımı Stratejisi ve Yönetim Planı hazırlanacaktır.</w:t>
            </w:r>
          </w:p>
        </w:tc>
        <w:tc>
          <w:tcPr>
            <w:tcW w:w="1782" w:type="dxa"/>
          </w:tcPr>
          <w:p w:rsidR="00565FD5" w:rsidRPr="00E16DD0" w:rsidRDefault="00565FD5" w:rsidP="00AB62A3">
            <w:pPr>
              <w:spacing w:before="80" w:after="80"/>
              <w:rPr>
                <w:rFonts w:cs="Tahoma"/>
                <w:color w:val="000000"/>
                <w:sz w:val="16"/>
                <w:szCs w:val="16"/>
                <w:lang w:eastAsia="tr-TR"/>
              </w:rPr>
            </w:pPr>
            <w:r w:rsidRPr="00E16DD0">
              <w:rPr>
                <w:rFonts w:cs="Tahoma"/>
                <w:color w:val="000000"/>
                <w:sz w:val="16"/>
                <w:szCs w:val="16"/>
                <w:lang w:eastAsia="tr-TR"/>
              </w:rPr>
              <w:t>Çevre ve Şehircilik Bakanlığı (S), Enerji ve Tabii Kaynaklar Bakanlığı,  Kalkınma Bakanlığı, Yerel Yönetimler</w:t>
            </w:r>
          </w:p>
        </w:tc>
        <w:tc>
          <w:tcPr>
            <w:tcW w:w="705" w:type="dxa"/>
          </w:tcPr>
          <w:p w:rsidR="00565FD5" w:rsidRPr="00E16DD0" w:rsidRDefault="00565FD5" w:rsidP="00AB62A3">
            <w:pPr>
              <w:spacing w:before="80" w:after="80"/>
              <w:rPr>
                <w:rFonts w:cs="Tahoma"/>
                <w:color w:val="000000"/>
                <w:sz w:val="16"/>
                <w:szCs w:val="16"/>
                <w:lang w:eastAsia="tr-TR"/>
              </w:rPr>
            </w:pPr>
            <w:r w:rsidRPr="00E16DD0">
              <w:rPr>
                <w:rFonts w:cs="Tahoma"/>
                <w:color w:val="000000"/>
                <w:sz w:val="16"/>
                <w:szCs w:val="16"/>
                <w:lang w:eastAsia="tr-TR"/>
              </w:rPr>
              <w:t>Aralık Sonu</w:t>
            </w:r>
          </w:p>
        </w:tc>
        <w:tc>
          <w:tcPr>
            <w:tcW w:w="2813" w:type="dxa"/>
          </w:tcPr>
          <w:p w:rsidR="00565FD5" w:rsidRPr="00E16DD0" w:rsidRDefault="00565FD5" w:rsidP="00AB62A3">
            <w:pPr>
              <w:spacing w:before="80" w:after="80"/>
              <w:rPr>
                <w:rFonts w:cs="Tahoma"/>
                <w:color w:val="000000"/>
                <w:sz w:val="16"/>
                <w:szCs w:val="16"/>
                <w:lang w:eastAsia="tr-TR"/>
              </w:rPr>
            </w:pPr>
            <w:r w:rsidRPr="00E16DD0">
              <w:rPr>
                <w:rFonts w:cs="Tahoma"/>
                <w:color w:val="000000"/>
                <w:sz w:val="16"/>
                <w:szCs w:val="16"/>
                <w:lang w:eastAsia="tr-TR"/>
              </w:rPr>
              <w:t>Söz konusu Strateji ve Yönetim Planıyla belediye atıklarının ön işleminde geri kazanım, kompostlaştırma, biyogaz üretimi veya enerji/madde geri kazanımı gibi yöntemler kullanılarak geri kazanıma ilişkin tedbirler belirlenecektir.</w:t>
            </w:r>
          </w:p>
        </w:tc>
      </w:tr>
      <w:tr w:rsidR="00565FD5" w:rsidRPr="00E16DD0" w:rsidTr="00AB62A3">
        <w:trPr>
          <w:trHeight w:val="20"/>
          <w:jc w:val="center"/>
        </w:trPr>
        <w:tc>
          <w:tcPr>
            <w:tcW w:w="7144" w:type="dxa"/>
            <w:gridSpan w:val="4"/>
          </w:tcPr>
          <w:p w:rsidR="00565FD5" w:rsidRPr="00E16DD0" w:rsidRDefault="00565FD5" w:rsidP="00EB1E69">
            <w:pPr>
              <w:numPr>
                <w:ilvl w:val="0"/>
                <w:numId w:val="15"/>
              </w:numPr>
              <w:tabs>
                <w:tab w:val="left" w:pos="425"/>
              </w:tabs>
              <w:spacing w:before="80" w:after="80" w:line="240" w:lineRule="auto"/>
              <w:jc w:val="both"/>
              <w:rPr>
                <w:rFonts w:cs="Tahoma"/>
                <w:b/>
                <w:bCs/>
                <w:color w:val="000000"/>
                <w:sz w:val="16"/>
                <w:szCs w:val="16"/>
                <w:lang w:eastAsia="tr-TR"/>
              </w:rPr>
            </w:pPr>
            <w:r w:rsidRPr="00E16DD0">
              <w:rPr>
                <w:rFonts w:cs="Tahoma"/>
                <w:b/>
                <w:bCs/>
                <w:color w:val="000000"/>
                <w:sz w:val="16"/>
                <w:szCs w:val="16"/>
                <w:lang w:eastAsia="tr-TR"/>
              </w:rPr>
              <w:t>Alt ve orta gelir gruplarının konut ihtiyacının karşılanmasına öncelik verilecek, sağlıklı ve sürdürülebilir yaşam alanlarının oluşturulmasına devam edilecektir.</w:t>
            </w:r>
          </w:p>
        </w:tc>
      </w:tr>
      <w:tr w:rsidR="00565FD5" w:rsidRPr="00E16DD0" w:rsidTr="00AB62A3">
        <w:trPr>
          <w:trHeight w:val="20"/>
          <w:jc w:val="center"/>
        </w:trPr>
        <w:tc>
          <w:tcPr>
            <w:tcW w:w="1844" w:type="dxa"/>
          </w:tcPr>
          <w:p w:rsidR="00565FD5" w:rsidRPr="00326165" w:rsidRDefault="00565FD5" w:rsidP="00EB1E69">
            <w:pPr>
              <w:numPr>
                <w:ilvl w:val="0"/>
                <w:numId w:val="14"/>
              </w:numPr>
              <w:tabs>
                <w:tab w:val="left" w:pos="425"/>
                <w:tab w:val="center" w:pos="4153"/>
                <w:tab w:val="right" w:pos="8306"/>
              </w:tabs>
              <w:spacing w:before="80" w:after="80" w:line="240" w:lineRule="auto"/>
              <w:ind w:left="0"/>
              <w:rPr>
                <w:rFonts w:cs="Tahoma"/>
                <w:sz w:val="16"/>
                <w:szCs w:val="16"/>
                <w:lang w:eastAsia="tr-TR"/>
              </w:rPr>
            </w:pPr>
            <w:r w:rsidRPr="00326165">
              <w:rPr>
                <w:rFonts w:cs="Tahoma"/>
                <w:sz w:val="16"/>
                <w:szCs w:val="16"/>
                <w:lang w:eastAsia="tr-TR"/>
              </w:rPr>
              <w:t>Toplu konut uygulamalarının</w:t>
            </w:r>
            <w:r>
              <w:rPr>
                <w:rFonts w:cs="Tahoma"/>
                <w:sz w:val="16"/>
                <w:szCs w:val="16"/>
                <w:lang w:eastAsia="tr-TR"/>
              </w:rPr>
              <w:t xml:space="preserve"> kapsamının genişletilmesi ve</w:t>
            </w:r>
            <w:r w:rsidRPr="00326165">
              <w:rPr>
                <w:rFonts w:cs="Tahoma"/>
                <w:sz w:val="16"/>
                <w:szCs w:val="16"/>
                <w:lang w:eastAsia="tr-TR"/>
              </w:rPr>
              <w:t xml:space="preserve"> yapı kooperatifçiliğinin desteklenmesi suretiyle öncelikle nüfus artışının hızlı ve konut fiyatlarının yüksek olduğu şehirlerde alt ve orta gelir grupları</w:t>
            </w:r>
            <w:r>
              <w:rPr>
                <w:rFonts w:cs="Tahoma"/>
                <w:sz w:val="16"/>
                <w:szCs w:val="16"/>
                <w:lang w:eastAsia="tr-TR"/>
              </w:rPr>
              <w:t>na</w:t>
            </w:r>
            <w:r w:rsidRPr="00326165">
              <w:rPr>
                <w:rFonts w:cs="Tahoma"/>
                <w:sz w:val="16"/>
                <w:szCs w:val="16"/>
                <w:lang w:eastAsia="tr-TR"/>
              </w:rPr>
              <w:t xml:space="preserve"> </w:t>
            </w:r>
            <w:r>
              <w:rPr>
                <w:rFonts w:cs="Tahoma"/>
                <w:sz w:val="16"/>
                <w:szCs w:val="16"/>
                <w:lang w:eastAsia="tr-TR"/>
              </w:rPr>
              <w:t xml:space="preserve">yönelik </w:t>
            </w:r>
            <w:r w:rsidRPr="00326165">
              <w:rPr>
                <w:rFonts w:cs="Tahoma"/>
                <w:sz w:val="16"/>
                <w:szCs w:val="16"/>
                <w:lang w:eastAsia="tr-TR"/>
              </w:rPr>
              <w:t xml:space="preserve">sosyal konut üretimi </w:t>
            </w:r>
            <w:r w:rsidRPr="00326165">
              <w:rPr>
                <w:rFonts w:cs="Tahoma"/>
                <w:sz w:val="16"/>
                <w:szCs w:val="16"/>
                <w:lang w:eastAsia="tr-TR"/>
              </w:rPr>
              <w:lastRenderedPageBreak/>
              <w:t>sağlanacaktır.</w:t>
            </w:r>
          </w:p>
        </w:tc>
        <w:tc>
          <w:tcPr>
            <w:tcW w:w="1782" w:type="dxa"/>
          </w:tcPr>
          <w:p w:rsidR="00565FD5" w:rsidRPr="00326165" w:rsidRDefault="00565FD5" w:rsidP="00AB62A3">
            <w:pPr>
              <w:tabs>
                <w:tab w:val="center" w:pos="4153"/>
                <w:tab w:val="right" w:pos="8306"/>
              </w:tabs>
              <w:spacing w:before="80" w:after="80"/>
              <w:rPr>
                <w:rFonts w:cs="Tahoma"/>
                <w:sz w:val="16"/>
                <w:szCs w:val="16"/>
                <w:lang w:eastAsia="tr-TR"/>
              </w:rPr>
            </w:pPr>
            <w:r w:rsidRPr="00326165">
              <w:rPr>
                <w:rFonts w:cs="Tahoma"/>
                <w:sz w:val="16"/>
                <w:szCs w:val="16"/>
                <w:lang w:eastAsia="tr-TR"/>
              </w:rPr>
              <w:lastRenderedPageBreak/>
              <w:t>Çevre ve Şehircilik Bakanlığı (S), TOKİ</w:t>
            </w:r>
          </w:p>
        </w:tc>
        <w:tc>
          <w:tcPr>
            <w:tcW w:w="705" w:type="dxa"/>
          </w:tcPr>
          <w:p w:rsidR="00565FD5" w:rsidRPr="00326165" w:rsidRDefault="00565FD5" w:rsidP="00AB62A3">
            <w:pPr>
              <w:tabs>
                <w:tab w:val="center" w:pos="4153"/>
                <w:tab w:val="right" w:pos="8306"/>
              </w:tabs>
              <w:spacing w:before="80" w:after="80"/>
              <w:rPr>
                <w:rFonts w:cs="Tahoma"/>
                <w:sz w:val="16"/>
                <w:szCs w:val="16"/>
                <w:lang w:eastAsia="tr-TR"/>
              </w:rPr>
            </w:pPr>
            <w:r w:rsidRPr="00326165">
              <w:rPr>
                <w:rFonts w:cs="Tahoma"/>
                <w:sz w:val="16"/>
                <w:szCs w:val="16"/>
                <w:lang w:eastAsia="tr-TR"/>
              </w:rPr>
              <w:t>Aralık Sonu</w:t>
            </w:r>
          </w:p>
        </w:tc>
        <w:tc>
          <w:tcPr>
            <w:tcW w:w="2813" w:type="dxa"/>
          </w:tcPr>
          <w:p w:rsidR="00565FD5" w:rsidRPr="00326165" w:rsidRDefault="00565FD5" w:rsidP="00AB62A3">
            <w:pPr>
              <w:tabs>
                <w:tab w:val="center" w:pos="4153"/>
                <w:tab w:val="right" w:pos="8306"/>
              </w:tabs>
              <w:spacing w:before="80" w:after="80"/>
              <w:rPr>
                <w:rFonts w:cs="Tahoma"/>
                <w:sz w:val="16"/>
                <w:szCs w:val="16"/>
                <w:lang w:eastAsia="tr-TR"/>
              </w:rPr>
            </w:pPr>
            <w:r w:rsidRPr="00326165">
              <w:rPr>
                <w:rFonts w:cs="Tahoma"/>
                <w:sz w:val="16"/>
                <w:szCs w:val="16"/>
                <w:lang w:eastAsia="tr-TR"/>
              </w:rPr>
              <w:t>Mevcut konut finansman sistemi alt ve orta gelir gruplarının ödeme güçleri dikkate alınarak, yapı kooperatifçiliği ve kiralık konut üretimine fırsat sağlayacak şekilde gözden geçirilecektir. Maliyetlerin azaltıldığı, yapı güvenliğinin artırıldığı, alanın ve enerjinin rasyonel kullanıldığı yapım yöntemleri araştırılacaktır.</w:t>
            </w:r>
          </w:p>
        </w:tc>
      </w:tr>
    </w:tbl>
    <w:p w:rsidR="00565FD5" w:rsidRPr="00E16DD0" w:rsidRDefault="00565FD5" w:rsidP="00565FD5">
      <w:pPr>
        <w:spacing w:after="120"/>
        <w:ind w:firstLine="425"/>
        <w:rPr>
          <w:rFonts w:cs="Tahoma"/>
          <w:szCs w:val="18"/>
        </w:rPr>
      </w:pPr>
    </w:p>
    <w:p w:rsidR="00565FD5" w:rsidRPr="00E16DD0" w:rsidRDefault="00565FD5" w:rsidP="00565FD5">
      <w:pPr>
        <w:pStyle w:val="Balk3"/>
      </w:pPr>
      <w:bookmarkStart w:id="1703" w:name="_Toc338494241"/>
      <w:bookmarkStart w:id="1704" w:name="_Toc338505579"/>
      <w:bookmarkStart w:id="1705" w:name="_Toc338523806"/>
      <w:bookmarkStart w:id="1706" w:name="_Toc338524037"/>
      <w:bookmarkStart w:id="1707" w:name="_Toc338526263"/>
      <w:bookmarkStart w:id="1708" w:name="_Toc338673706"/>
      <w:bookmarkStart w:id="1709" w:name="_Toc338711585"/>
      <w:r>
        <w:t>F</w:t>
      </w:r>
      <w:r w:rsidRPr="00E16DD0">
        <w:t xml:space="preserve">. AR-GE </w:t>
      </w:r>
      <w:r>
        <w:t>VE</w:t>
      </w:r>
      <w:r w:rsidRPr="00E16DD0">
        <w:t xml:space="preserve"> YENİLİĞİN GELİŞTİRİLMESİ</w:t>
      </w:r>
      <w:bookmarkEnd w:id="1703"/>
      <w:bookmarkEnd w:id="1704"/>
      <w:bookmarkEnd w:id="1705"/>
      <w:bookmarkEnd w:id="1706"/>
      <w:bookmarkEnd w:id="1707"/>
      <w:bookmarkEnd w:id="1708"/>
      <w:bookmarkEnd w:id="1709"/>
      <w:r w:rsidRPr="00E16DD0">
        <w:t xml:space="preserve"> </w:t>
      </w:r>
    </w:p>
    <w:p w:rsidR="00565FD5" w:rsidRPr="00E16DD0" w:rsidRDefault="00565FD5" w:rsidP="00565FD5">
      <w:pPr>
        <w:pStyle w:val="Balk4"/>
      </w:pPr>
      <w:bookmarkStart w:id="1710" w:name="_Toc338505580"/>
      <w:bookmarkStart w:id="1711" w:name="_Toc338523807"/>
      <w:bookmarkStart w:id="1712" w:name="_Toc338524038"/>
      <w:bookmarkStart w:id="1713" w:name="_Toc338526264"/>
      <w:bookmarkStart w:id="1714" w:name="_Toc338673707"/>
      <w:bookmarkStart w:id="1715" w:name="_Toc338711586"/>
      <w:r w:rsidRPr="00E16DD0">
        <w:t>1. Mevcut Durum</w:t>
      </w:r>
      <w:bookmarkEnd w:id="1710"/>
      <w:bookmarkEnd w:id="1711"/>
      <w:bookmarkEnd w:id="1712"/>
      <w:bookmarkEnd w:id="1713"/>
      <w:bookmarkEnd w:id="1714"/>
      <w:bookmarkEnd w:id="1715"/>
    </w:p>
    <w:p w:rsidR="00565FD5" w:rsidRPr="00E16DD0" w:rsidRDefault="00565FD5" w:rsidP="00565FD5">
      <w:pPr>
        <w:spacing w:after="120"/>
        <w:ind w:firstLine="425"/>
        <w:rPr>
          <w:rFonts w:cs="Tahoma"/>
          <w:szCs w:val="18"/>
        </w:rPr>
      </w:pPr>
      <w:r w:rsidRPr="00E16DD0">
        <w:rPr>
          <w:rFonts w:cs="Tahoma"/>
          <w:szCs w:val="18"/>
        </w:rPr>
        <w:t xml:space="preserve">Günümüzde bilim, teknoloji ve yenilik yeteneği, rekabet üstünlüğünün ve sürdürülebilir sosyo-ekonomik gelişmenin belirleyici unsurlarından biri haline gelmiştir. </w:t>
      </w:r>
    </w:p>
    <w:p w:rsidR="00565FD5" w:rsidRPr="00E16DD0" w:rsidRDefault="00565FD5" w:rsidP="00565FD5">
      <w:pPr>
        <w:spacing w:after="180"/>
        <w:ind w:firstLine="425"/>
        <w:rPr>
          <w:rFonts w:cs="Tahoma"/>
          <w:szCs w:val="18"/>
        </w:rPr>
      </w:pPr>
      <w:r w:rsidRPr="00E16DD0">
        <w:rPr>
          <w:rFonts w:cs="Tahoma"/>
          <w:szCs w:val="18"/>
        </w:rPr>
        <w:t>2010 yılı itibarıyla Ar-Ge harcamalarının GSYH içindeki payı Türkiye’de yüzde 0,84 iken, AB-27’de yüzde 1,9, Japonya’da (2009 yılı) yüzde 3,36, Güney Kore’de yüzde 3,74 ve ABD’de (2009 yılı) yüzde 2,9’dur. Özel sektör tarafından gerçekleştirilen Ar-Ge harcamalarının toplam Ar-Ge harcamalarına oranı 2005 yılında yüzde 33,8 iken bu oran 2010 yılında yüzde 42,5’e yükselmiştir. Ancak, bu oran 2010 yılı AB-27 ortalaması olan yüzde 63,9’un gerisinde olup ülkemizde özel sektörün, özellikle de KOBİ'lerin Ar-Ge kapasitesi ve Ar-Ge’ye olan talebinin artırılması ihtiyacı sürmektedir.</w:t>
      </w:r>
    </w:p>
    <w:p w:rsidR="00565FD5" w:rsidRPr="00E16DD0" w:rsidRDefault="00565FD5" w:rsidP="00565FD5">
      <w:pPr>
        <w:spacing w:after="180"/>
        <w:ind w:firstLine="425"/>
        <w:rPr>
          <w:rFonts w:cs="Tahoma"/>
          <w:szCs w:val="18"/>
        </w:rPr>
      </w:pPr>
      <w:r w:rsidRPr="00E16DD0">
        <w:rPr>
          <w:rFonts w:cs="Tahoma"/>
          <w:szCs w:val="18"/>
        </w:rPr>
        <w:t xml:space="preserve">Ar-Ge insan kaynağı bir ülkenin Ar-Ge ve yeniliğe olan arz ve talebini belirleyen en önemli unsurlardan biridir. 2010 yılında ülkemizde Tam Zaman Eşdeğer (TZE) cinsinden toplam 81.792 Ar-Ge personeli ve 64.341 araştırmacı yer alırken, bir önceki yıla göre TZE cinsinden Ar-Ge personeli sayısındaki artış yüzde 11,3 olarak gerçekleşmiştir. Ar-Ge insan kaynağının sektörler itibarıyla dağılımına bakıldığında ise TZE cinsinden toplam Ar-Ge personelinin 2010 yılında yüzde 45,9’u özel sektörde, yüzde 40,2’si yükseköğretim sektöründe ve yüzde 13,9’u kamu sektöründe istihdam edilmiştir. Ar-Ge insan kaynağının gerek nitelik gerekse de nicelik olarak iyileştirilmeye ihtiyacı vardır. </w:t>
      </w:r>
    </w:p>
    <w:p w:rsidR="00565FD5" w:rsidRPr="00E16DD0" w:rsidRDefault="00565FD5" w:rsidP="00565FD5">
      <w:pPr>
        <w:spacing w:after="180"/>
        <w:ind w:firstLine="425"/>
        <w:rPr>
          <w:rFonts w:cs="Tahoma"/>
          <w:szCs w:val="18"/>
        </w:rPr>
      </w:pPr>
      <w:r w:rsidRPr="00E16DD0">
        <w:rPr>
          <w:rFonts w:cs="Tahoma"/>
          <w:szCs w:val="18"/>
        </w:rPr>
        <w:t xml:space="preserve">Ar-Ge çalışmalarının ürüne dönüşmesi ve rekabet gücüne katkısının artırılmasında özel sektör önemli rol üstlenmektedir. Son yıllarda sağlanan teşviklerle Ar-Ge ve yenilik faaliyetlerinin rekabet açısından gerekliliği konusunda farkındalık düzeyinin arttığı ve buna bağlı olarak özel sektörün Ar-Ge faaliyetlerinde artış olduğu görülmektedir. 2010 yılında Gayri Safi Yurtiçi Ar-Ge harcamalarının yüzde 46’sı yükseköğretim, yüzde 42,5’i özel sektör ve yüzde 11,4’ü kamu kurumları tarafından gerçekleştirilirken, bir önceki yıl yüzde 47,4’ü yükseköğretim, yüzde 40’ı özel sektör ve yüzde 12,6’sı kamu kurumları tarafından gerçekleştirilmiştir. 2010 yılında AB-27 ortalamasında ise bu oranlar </w:t>
      </w:r>
      <w:r w:rsidRPr="00E16DD0">
        <w:rPr>
          <w:rFonts w:cs="Tahoma"/>
          <w:szCs w:val="18"/>
        </w:rPr>
        <w:lastRenderedPageBreak/>
        <w:t>yüzde 52 özel sektör, yüzde 33,2 yükseköğretim ve yüzde 14,8 kamu sektörü olarak gerçekleşmiştir.</w:t>
      </w:r>
    </w:p>
    <w:p w:rsidR="00565FD5" w:rsidRPr="00E16DD0" w:rsidRDefault="00565FD5" w:rsidP="00565FD5">
      <w:pPr>
        <w:spacing w:after="180"/>
        <w:ind w:firstLine="425"/>
        <w:rPr>
          <w:rFonts w:cs="Tahoma"/>
          <w:szCs w:val="18"/>
        </w:rPr>
      </w:pPr>
      <w:r w:rsidRPr="00E16DD0">
        <w:rPr>
          <w:rFonts w:cs="Tahoma"/>
          <w:szCs w:val="18"/>
        </w:rPr>
        <w:t xml:space="preserve">2008 yılında yürürlüğe giren 5746 sayılı Araştırma Geliştirme Faaliyetlerinin Desteklenmesi Hakkında Kanun kapsamında 2012 yılı Eylül ayı itibarıyla, 129 işletmeye Ar-Ge Merkezi Belgesi verilmiştir. Ar-Ge Merkezi Belgesi alan işletmelerin 2012 yılında 2,5 milyar TL Ar-Ge harcaması yapmaları ve 15.000 Ar-Ge personeli çalıştırmaları beklenmektedir. Belge alan şirketlerin çalışma alanları itibarıyla otomotiv, otomotiv yan sanayi, bilgi ve iletişim teknolojileri, dayanıklı tüketim malları, savunma sanayi  ve elektrik-elektronik sektörlerinde yoğunlaştığı görülmektedir. </w:t>
      </w:r>
    </w:p>
    <w:p w:rsidR="00565FD5" w:rsidRPr="00E16DD0" w:rsidRDefault="00565FD5" w:rsidP="00565FD5">
      <w:pPr>
        <w:spacing w:after="180"/>
        <w:ind w:firstLine="425"/>
        <w:rPr>
          <w:rFonts w:cs="Tahoma"/>
          <w:szCs w:val="18"/>
        </w:rPr>
      </w:pPr>
      <w:r w:rsidRPr="00E16DD0">
        <w:rPr>
          <w:rFonts w:cs="Tahoma"/>
          <w:szCs w:val="18"/>
        </w:rPr>
        <w:t>TÜİK’in 2008-2010 yıllarını kapsayan yenilik araştırması sonuçlarına göre Türkiye’de 10 ve daha fazla çalışanı olan işletmelerin yüzde 51,4’ünün teknolojik yenilik faaliyetinde bulunduğu tespit edilmiştir. Aynı çalışma yenilik faaliyetlerinin işletmelerin büyüklükleriyle orantılı olarak arttığını göstermektedir. 10–49 çalışanı olan işletmelerin yüzde 49,4’ü, 50–249 çalışanı olan işletmelerin yüzde 58,9’u, 250 ve daha fazla çalışanı olan işletmelerin yüzde 69,7’si yenilik faaliyetinde bulunmuştur.</w:t>
      </w:r>
    </w:p>
    <w:p w:rsidR="00565FD5" w:rsidRDefault="00565FD5" w:rsidP="00565FD5">
      <w:pPr>
        <w:spacing w:after="120"/>
        <w:ind w:firstLine="425"/>
        <w:rPr>
          <w:rFonts w:cs="Tahoma"/>
          <w:szCs w:val="18"/>
        </w:rPr>
      </w:pPr>
      <w:r w:rsidRPr="00E16DD0">
        <w:rPr>
          <w:rFonts w:cs="Tahoma"/>
          <w:szCs w:val="18"/>
        </w:rPr>
        <w:t>Ar-Ge’ye dayalı üretim yeteneğini güçlendirmek amacıyla Kalkınma Planında öncelikli olarak belirtilen biyoteknoloji, yeni nesil enerji teknolojileri, sanayi politikasının öncelik verdiği sektörlerdeki araştırmalar, yerli kaynakların katma değere dönüşmesini amaçlayan Ar-Ge faaliyetleri, sağlık araştırmaları, bilgi ve iletişim teknolojileri, savunma ve uzay teknolojileri ile Bilim ve Teknoloji Yüksek Kurulu kararlarında yer alan öncelikli alanlarda büyük ölçekli araştırma merkezlerinin kurulmasına, gelişmekte olan üniversitelerde merkezi araştırma laboratuvarlarının oluşturulmasına, temel ve uygulamalı araştırma projelerinin desteklenmesine ve araştırmacı insan gücü yetiştirilmesine yönelik programlar sürdürülmektedir.</w:t>
      </w:r>
    </w:p>
    <w:p w:rsidR="00565FD5" w:rsidRPr="00E16DD0" w:rsidRDefault="00565FD5" w:rsidP="00565FD5">
      <w:pPr>
        <w:spacing w:after="120"/>
        <w:ind w:firstLine="425"/>
        <w:rPr>
          <w:rFonts w:cs="Tahoma"/>
          <w:szCs w:val="18"/>
        </w:rPr>
      </w:pPr>
    </w:p>
    <w:p w:rsidR="00565FD5" w:rsidRPr="00250B7F" w:rsidRDefault="00565FD5" w:rsidP="00565FD5">
      <w:pPr>
        <w:pStyle w:val="ResimYazs"/>
        <w:rPr>
          <w:rFonts w:cs="Tahoma"/>
        </w:rPr>
      </w:pPr>
      <w:bookmarkStart w:id="1716" w:name="_Toc338606018"/>
      <w:bookmarkStart w:id="1717" w:name="_Toc338711793"/>
      <w:r>
        <w:t xml:space="preserve">TABLO IV: </w:t>
      </w:r>
      <w:fldSimple w:instr=" SEQ TABLO_IV: \* ARABIC ">
        <w:r>
          <w:rPr>
            <w:noProof/>
          </w:rPr>
          <w:t>23</w:t>
        </w:r>
      </w:fldSimple>
      <w:r w:rsidRPr="00250B7F">
        <w:rPr>
          <w:rFonts w:cs="Tahoma"/>
        </w:rPr>
        <w:t>– Türkiye’nin Bilim ve Teknoloji Alanındaki Temel Göstergeleri</w:t>
      </w:r>
      <w:bookmarkEnd w:id="1716"/>
      <w:bookmarkEnd w:id="1717"/>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8"/>
        <w:gridCol w:w="744"/>
        <w:gridCol w:w="13"/>
        <w:gridCol w:w="732"/>
        <w:gridCol w:w="744"/>
        <w:gridCol w:w="743"/>
        <w:gridCol w:w="744"/>
        <w:gridCol w:w="743"/>
        <w:gridCol w:w="743"/>
      </w:tblGrid>
      <w:tr w:rsidR="00565FD5" w:rsidRPr="00E16DD0" w:rsidTr="00AB62A3">
        <w:trPr>
          <w:trHeight w:val="397"/>
          <w:jc w:val="center"/>
        </w:trPr>
        <w:tc>
          <w:tcPr>
            <w:tcW w:w="1356" w:type="pct"/>
            <w:vAlign w:val="center"/>
          </w:tcPr>
          <w:p w:rsidR="00565FD5" w:rsidRPr="00E4267B" w:rsidRDefault="00565FD5" w:rsidP="00AB62A3">
            <w:pPr>
              <w:rPr>
                <w:rFonts w:cs="Tahoma"/>
                <w:sz w:val="15"/>
                <w:szCs w:val="15"/>
              </w:rPr>
            </w:pPr>
          </w:p>
        </w:tc>
        <w:tc>
          <w:tcPr>
            <w:tcW w:w="521" w:type="pct"/>
            <w:tcBorders>
              <w:right w:val="nil"/>
            </w:tcBorders>
            <w:vAlign w:val="center"/>
          </w:tcPr>
          <w:p w:rsidR="00565FD5" w:rsidRPr="00E16DD0" w:rsidRDefault="00565FD5" w:rsidP="00AB62A3">
            <w:pPr>
              <w:rPr>
                <w:rFonts w:cs="Tahoma"/>
                <w:b/>
                <w:sz w:val="16"/>
                <w:szCs w:val="16"/>
              </w:rPr>
            </w:pPr>
            <w:r w:rsidRPr="00E16DD0">
              <w:rPr>
                <w:rFonts w:cs="Tahoma"/>
                <w:b/>
                <w:sz w:val="16"/>
                <w:szCs w:val="16"/>
              </w:rPr>
              <w:t>2004</w:t>
            </w:r>
          </w:p>
        </w:tc>
        <w:tc>
          <w:tcPr>
            <w:tcW w:w="520" w:type="pct"/>
            <w:gridSpan w:val="2"/>
            <w:tcBorders>
              <w:left w:val="nil"/>
              <w:right w:val="nil"/>
            </w:tcBorders>
            <w:vAlign w:val="center"/>
          </w:tcPr>
          <w:p w:rsidR="00565FD5" w:rsidRPr="00E16DD0" w:rsidRDefault="00565FD5" w:rsidP="00AB62A3">
            <w:pPr>
              <w:jc w:val="right"/>
              <w:rPr>
                <w:rFonts w:cs="Tahoma"/>
                <w:b/>
                <w:sz w:val="16"/>
                <w:szCs w:val="16"/>
              </w:rPr>
            </w:pPr>
            <w:r w:rsidRPr="00E16DD0">
              <w:rPr>
                <w:rFonts w:cs="Tahoma"/>
                <w:b/>
                <w:sz w:val="16"/>
                <w:szCs w:val="16"/>
              </w:rPr>
              <w:t>2005</w:t>
            </w:r>
          </w:p>
        </w:tc>
        <w:tc>
          <w:tcPr>
            <w:tcW w:w="521" w:type="pct"/>
            <w:tcBorders>
              <w:left w:val="nil"/>
              <w:right w:val="nil"/>
            </w:tcBorders>
            <w:vAlign w:val="center"/>
          </w:tcPr>
          <w:p w:rsidR="00565FD5" w:rsidRPr="00E16DD0" w:rsidRDefault="00565FD5" w:rsidP="00AB62A3">
            <w:pPr>
              <w:jc w:val="right"/>
              <w:rPr>
                <w:rFonts w:cs="Tahoma"/>
                <w:b/>
                <w:sz w:val="16"/>
                <w:szCs w:val="16"/>
              </w:rPr>
            </w:pPr>
            <w:r w:rsidRPr="00E16DD0">
              <w:rPr>
                <w:rFonts w:cs="Tahoma"/>
                <w:b/>
                <w:sz w:val="16"/>
                <w:szCs w:val="16"/>
              </w:rPr>
              <w:t>2006</w:t>
            </w:r>
          </w:p>
        </w:tc>
        <w:tc>
          <w:tcPr>
            <w:tcW w:w="520" w:type="pct"/>
            <w:tcBorders>
              <w:left w:val="nil"/>
              <w:right w:val="nil"/>
            </w:tcBorders>
            <w:vAlign w:val="center"/>
          </w:tcPr>
          <w:p w:rsidR="00565FD5" w:rsidRPr="00E16DD0" w:rsidRDefault="00565FD5" w:rsidP="00AB62A3">
            <w:pPr>
              <w:jc w:val="right"/>
              <w:rPr>
                <w:rFonts w:cs="Tahoma"/>
                <w:b/>
                <w:sz w:val="16"/>
                <w:szCs w:val="16"/>
              </w:rPr>
            </w:pPr>
            <w:r w:rsidRPr="00E16DD0">
              <w:rPr>
                <w:rFonts w:cs="Tahoma"/>
                <w:b/>
                <w:sz w:val="16"/>
                <w:szCs w:val="16"/>
              </w:rPr>
              <w:t>2007</w:t>
            </w:r>
          </w:p>
        </w:tc>
        <w:tc>
          <w:tcPr>
            <w:tcW w:w="521" w:type="pct"/>
            <w:tcBorders>
              <w:left w:val="nil"/>
              <w:right w:val="nil"/>
            </w:tcBorders>
            <w:vAlign w:val="center"/>
          </w:tcPr>
          <w:p w:rsidR="00565FD5" w:rsidRPr="00E16DD0" w:rsidRDefault="00565FD5" w:rsidP="00AB62A3">
            <w:pPr>
              <w:jc w:val="right"/>
              <w:rPr>
                <w:rFonts w:cs="Tahoma"/>
                <w:b/>
                <w:sz w:val="16"/>
                <w:szCs w:val="16"/>
              </w:rPr>
            </w:pPr>
            <w:r w:rsidRPr="00E16DD0">
              <w:rPr>
                <w:rFonts w:cs="Tahoma"/>
                <w:b/>
                <w:sz w:val="16"/>
                <w:szCs w:val="16"/>
              </w:rPr>
              <w:t>2008</w:t>
            </w:r>
          </w:p>
        </w:tc>
        <w:tc>
          <w:tcPr>
            <w:tcW w:w="520" w:type="pct"/>
            <w:tcBorders>
              <w:left w:val="nil"/>
              <w:right w:val="nil"/>
            </w:tcBorders>
            <w:vAlign w:val="center"/>
          </w:tcPr>
          <w:p w:rsidR="00565FD5" w:rsidRPr="00E16DD0" w:rsidRDefault="00565FD5" w:rsidP="00AB62A3">
            <w:pPr>
              <w:jc w:val="right"/>
              <w:rPr>
                <w:rFonts w:cs="Tahoma"/>
                <w:b/>
                <w:sz w:val="16"/>
                <w:szCs w:val="16"/>
              </w:rPr>
            </w:pPr>
            <w:r w:rsidRPr="00E16DD0">
              <w:rPr>
                <w:rFonts w:cs="Tahoma"/>
                <w:b/>
                <w:sz w:val="16"/>
                <w:szCs w:val="16"/>
              </w:rPr>
              <w:t>2009</w:t>
            </w:r>
          </w:p>
        </w:tc>
        <w:tc>
          <w:tcPr>
            <w:tcW w:w="521" w:type="pct"/>
            <w:tcBorders>
              <w:left w:val="nil"/>
            </w:tcBorders>
            <w:vAlign w:val="center"/>
          </w:tcPr>
          <w:p w:rsidR="00565FD5" w:rsidRPr="00E16DD0" w:rsidRDefault="00565FD5" w:rsidP="00AB62A3">
            <w:pPr>
              <w:jc w:val="right"/>
              <w:rPr>
                <w:rFonts w:cs="Tahoma"/>
                <w:b/>
                <w:sz w:val="16"/>
                <w:szCs w:val="16"/>
              </w:rPr>
            </w:pPr>
            <w:r w:rsidRPr="00E16DD0">
              <w:rPr>
                <w:rFonts w:cs="Tahoma"/>
                <w:b/>
                <w:sz w:val="16"/>
                <w:szCs w:val="16"/>
              </w:rPr>
              <w:t>2010</w:t>
            </w:r>
          </w:p>
        </w:tc>
      </w:tr>
      <w:tr w:rsidR="00565FD5" w:rsidRPr="00E16DD0" w:rsidTr="00AB62A3">
        <w:trPr>
          <w:trHeight w:val="340"/>
          <w:jc w:val="center"/>
        </w:trPr>
        <w:tc>
          <w:tcPr>
            <w:tcW w:w="1356" w:type="pct"/>
            <w:tcBorders>
              <w:bottom w:val="nil"/>
            </w:tcBorders>
            <w:vAlign w:val="bottom"/>
          </w:tcPr>
          <w:p w:rsidR="00565FD5" w:rsidRPr="00E4267B" w:rsidRDefault="00565FD5" w:rsidP="00AB62A3">
            <w:pPr>
              <w:rPr>
                <w:rFonts w:cs="Tahoma"/>
                <w:sz w:val="15"/>
                <w:szCs w:val="15"/>
              </w:rPr>
            </w:pPr>
            <w:r w:rsidRPr="00E4267B">
              <w:rPr>
                <w:rFonts w:cs="Tahoma"/>
                <w:sz w:val="15"/>
                <w:szCs w:val="15"/>
              </w:rPr>
              <w:t xml:space="preserve">Ar-Ge Harcamalarının GSYH İçindeki Payı </w:t>
            </w:r>
            <w:r w:rsidRPr="00AC1AE6">
              <w:rPr>
                <w:rFonts w:cs="Tahoma"/>
                <w:sz w:val="12"/>
                <w:szCs w:val="12"/>
              </w:rPr>
              <w:t>(Yüzde)</w:t>
            </w:r>
          </w:p>
        </w:tc>
        <w:tc>
          <w:tcPr>
            <w:tcW w:w="521" w:type="pct"/>
            <w:tcBorders>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0,67</w:t>
            </w:r>
          </w:p>
        </w:tc>
        <w:tc>
          <w:tcPr>
            <w:tcW w:w="520" w:type="pct"/>
            <w:gridSpan w:val="2"/>
            <w:tcBorders>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0,79</w:t>
            </w:r>
          </w:p>
        </w:tc>
        <w:tc>
          <w:tcPr>
            <w:tcW w:w="521" w:type="pct"/>
            <w:tcBorders>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0,76</w:t>
            </w:r>
          </w:p>
        </w:tc>
        <w:tc>
          <w:tcPr>
            <w:tcW w:w="520" w:type="pct"/>
            <w:tcBorders>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0,71</w:t>
            </w:r>
          </w:p>
        </w:tc>
        <w:tc>
          <w:tcPr>
            <w:tcW w:w="521" w:type="pct"/>
            <w:tcBorders>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0,73</w:t>
            </w:r>
          </w:p>
        </w:tc>
        <w:tc>
          <w:tcPr>
            <w:tcW w:w="520" w:type="pct"/>
            <w:tcBorders>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0,85</w:t>
            </w:r>
          </w:p>
        </w:tc>
        <w:tc>
          <w:tcPr>
            <w:tcW w:w="521" w:type="pct"/>
            <w:tcBorders>
              <w:left w:val="nil"/>
              <w:bottom w:val="nil"/>
            </w:tcBorders>
            <w:vAlign w:val="center"/>
          </w:tcPr>
          <w:p w:rsidR="00565FD5" w:rsidRPr="00E16DD0" w:rsidRDefault="00565FD5" w:rsidP="00AB62A3">
            <w:pPr>
              <w:jc w:val="right"/>
              <w:rPr>
                <w:rFonts w:cs="Tahoma"/>
                <w:sz w:val="16"/>
                <w:szCs w:val="16"/>
              </w:rPr>
            </w:pPr>
            <w:r w:rsidRPr="00E16DD0">
              <w:rPr>
                <w:rFonts w:cs="Tahoma"/>
                <w:sz w:val="16"/>
                <w:szCs w:val="16"/>
              </w:rPr>
              <w:t>0,84</w:t>
            </w:r>
          </w:p>
        </w:tc>
      </w:tr>
      <w:tr w:rsidR="00565FD5" w:rsidRPr="00E16DD0" w:rsidTr="00AB62A3">
        <w:trPr>
          <w:trHeight w:val="340"/>
          <w:jc w:val="center"/>
        </w:trPr>
        <w:tc>
          <w:tcPr>
            <w:tcW w:w="1356" w:type="pct"/>
            <w:tcBorders>
              <w:top w:val="nil"/>
              <w:bottom w:val="nil"/>
            </w:tcBorders>
            <w:vAlign w:val="bottom"/>
          </w:tcPr>
          <w:p w:rsidR="00565FD5" w:rsidRPr="00E4267B" w:rsidRDefault="00565FD5" w:rsidP="00AB62A3">
            <w:pPr>
              <w:rPr>
                <w:rFonts w:cs="Tahoma"/>
                <w:sz w:val="15"/>
                <w:szCs w:val="15"/>
              </w:rPr>
            </w:pPr>
            <w:r w:rsidRPr="00E4267B">
              <w:rPr>
                <w:rFonts w:cs="Tahoma"/>
                <w:sz w:val="15"/>
                <w:szCs w:val="15"/>
              </w:rPr>
              <w:lastRenderedPageBreak/>
              <w:t xml:space="preserve">Gayri Safi Yurtiçi Ar-Ge Harcaması </w:t>
            </w:r>
            <w:r w:rsidRPr="00AC1AE6">
              <w:rPr>
                <w:rFonts w:cs="Tahoma"/>
                <w:sz w:val="12"/>
                <w:szCs w:val="12"/>
              </w:rPr>
              <w:t>(Milyon TL - Cari Fiyatlarla)</w:t>
            </w:r>
          </w:p>
        </w:tc>
        <w:tc>
          <w:tcPr>
            <w:tcW w:w="530" w:type="pct"/>
            <w:gridSpan w:val="2"/>
            <w:tcBorders>
              <w:top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3 578</w:t>
            </w:r>
          </w:p>
        </w:tc>
        <w:tc>
          <w:tcPr>
            <w:tcW w:w="512"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4 786</w:t>
            </w: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5 103</w:t>
            </w: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6 873</w:t>
            </w: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7 093</w:t>
            </w: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8 492</w:t>
            </w:r>
          </w:p>
        </w:tc>
        <w:tc>
          <w:tcPr>
            <w:tcW w:w="521" w:type="pct"/>
            <w:tcBorders>
              <w:top w:val="nil"/>
              <w:left w:val="nil"/>
              <w:bottom w:val="nil"/>
            </w:tcBorders>
            <w:vAlign w:val="center"/>
          </w:tcPr>
          <w:p w:rsidR="00565FD5" w:rsidRPr="00E16DD0" w:rsidRDefault="00565FD5" w:rsidP="00AB62A3">
            <w:pPr>
              <w:jc w:val="right"/>
              <w:rPr>
                <w:rFonts w:cs="Tahoma"/>
                <w:sz w:val="16"/>
                <w:szCs w:val="16"/>
              </w:rPr>
            </w:pPr>
            <w:r w:rsidRPr="00E16DD0">
              <w:rPr>
                <w:rFonts w:cs="Tahoma"/>
                <w:sz w:val="16"/>
                <w:szCs w:val="16"/>
              </w:rPr>
              <w:t>9 805</w:t>
            </w:r>
          </w:p>
        </w:tc>
      </w:tr>
      <w:tr w:rsidR="00565FD5" w:rsidRPr="00E16DD0" w:rsidTr="00AB62A3">
        <w:trPr>
          <w:trHeight w:val="340"/>
          <w:jc w:val="center"/>
        </w:trPr>
        <w:tc>
          <w:tcPr>
            <w:tcW w:w="1356" w:type="pct"/>
            <w:tcBorders>
              <w:top w:val="nil"/>
              <w:bottom w:val="nil"/>
            </w:tcBorders>
            <w:vAlign w:val="bottom"/>
          </w:tcPr>
          <w:p w:rsidR="00565FD5" w:rsidRPr="00E4267B" w:rsidRDefault="00565FD5" w:rsidP="00AB62A3">
            <w:pPr>
              <w:rPr>
                <w:rFonts w:cs="Tahoma"/>
                <w:sz w:val="15"/>
                <w:szCs w:val="15"/>
              </w:rPr>
            </w:pPr>
            <w:r w:rsidRPr="00E4267B">
              <w:rPr>
                <w:rFonts w:cs="Tahoma"/>
                <w:sz w:val="15"/>
                <w:szCs w:val="15"/>
              </w:rPr>
              <w:t xml:space="preserve">Sektörlere Göre Ar-Ge Harcamalarını Gerçekleştirenler </w:t>
            </w:r>
            <w:r w:rsidRPr="00AC1AE6">
              <w:rPr>
                <w:rFonts w:cs="Tahoma"/>
                <w:sz w:val="12"/>
                <w:szCs w:val="12"/>
              </w:rPr>
              <w:t>(Yüzde)</w:t>
            </w:r>
          </w:p>
        </w:tc>
        <w:tc>
          <w:tcPr>
            <w:tcW w:w="521" w:type="pct"/>
            <w:tcBorders>
              <w:top w:val="nil"/>
              <w:bottom w:val="nil"/>
              <w:right w:val="nil"/>
            </w:tcBorders>
            <w:vAlign w:val="center"/>
          </w:tcPr>
          <w:p w:rsidR="00565FD5" w:rsidRPr="00E16DD0" w:rsidRDefault="00565FD5" w:rsidP="00AB62A3">
            <w:pPr>
              <w:jc w:val="right"/>
              <w:rPr>
                <w:rFonts w:cs="Tahoma"/>
                <w:sz w:val="16"/>
                <w:szCs w:val="16"/>
              </w:rPr>
            </w:pPr>
          </w:p>
        </w:tc>
        <w:tc>
          <w:tcPr>
            <w:tcW w:w="520" w:type="pct"/>
            <w:gridSpan w:val="2"/>
            <w:tcBorders>
              <w:top w:val="nil"/>
              <w:left w:val="nil"/>
              <w:bottom w:val="nil"/>
              <w:right w:val="nil"/>
            </w:tcBorders>
            <w:vAlign w:val="center"/>
          </w:tcPr>
          <w:p w:rsidR="00565FD5" w:rsidRPr="00E16DD0" w:rsidRDefault="00565FD5" w:rsidP="00AB62A3">
            <w:pPr>
              <w:jc w:val="right"/>
              <w:rPr>
                <w:rFonts w:cs="Tahoma"/>
                <w:sz w:val="16"/>
                <w:szCs w:val="16"/>
              </w:rPr>
            </w:pP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p>
        </w:tc>
        <w:tc>
          <w:tcPr>
            <w:tcW w:w="521" w:type="pct"/>
            <w:tcBorders>
              <w:top w:val="nil"/>
              <w:left w:val="nil"/>
              <w:bottom w:val="nil"/>
            </w:tcBorders>
            <w:vAlign w:val="center"/>
          </w:tcPr>
          <w:p w:rsidR="00565FD5" w:rsidRPr="00E16DD0" w:rsidRDefault="00565FD5" w:rsidP="00AB62A3">
            <w:pPr>
              <w:jc w:val="right"/>
              <w:rPr>
                <w:rFonts w:cs="Tahoma"/>
                <w:sz w:val="16"/>
                <w:szCs w:val="16"/>
              </w:rPr>
            </w:pPr>
          </w:p>
        </w:tc>
      </w:tr>
      <w:tr w:rsidR="00565FD5" w:rsidRPr="00E16DD0" w:rsidTr="00AB62A3">
        <w:trPr>
          <w:trHeight w:val="340"/>
          <w:jc w:val="center"/>
        </w:trPr>
        <w:tc>
          <w:tcPr>
            <w:tcW w:w="1356" w:type="pct"/>
            <w:tcBorders>
              <w:top w:val="nil"/>
              <w:bottom w:val="nil"/>
            </w:tcBorders>
            <w:vAlign w:val="bottom"/>
          </w:tcPr>
          <w:p w:rsidR="00565FD5" w:rsidRPr="00E4267B" w:rsidRDefault="00565FD5" w:rsidP="00AB62A3">
            <w:pPr>
              <w:ind w:firstLine="602"/>
              <w:rPr>
                <w:rFonts w:cs="Tahoma"/>
                <w:sz w:val="15"/>
                <w:szCs w:val="15"/>
              </w:rPr>
            </w:pPr>
            <w:r w:rsidRPr="00E4267B">
              <w:rPr>
                <w:rFonts w:cs="Tahoma"/>
                <w:sz w:val="15"/>
                <w:szCs w:val="15"/>
              </w:rPr>
              <w:t>Yükseköğretim</w:t>
            </w:r>
          </w:p>
        </w:tc>
        <w:tc>
          <w:tcPr>
            <w:tcW w:w="521" w:type="pct"/>
            <w:tcBorders>
              <w:top w:val="nil"/>
              <w:bottom w:val="nil"/>
              <w:right w:val="nil"/>
            </w:tcBorders>
            <w:vAlign w:val="center"/>
          </w:tcPr>
          <w:p w:rsidR="00565FD5" w:rsidRPr="00E16DD0" w:rsidRDefault="00565FD5" w:rsidP="00AB62A3">
            <w:pPr>
              <w:tabs>
                <w:tab w:val="center" w:pos="4153"/>
                <w:tab w:val="right" w:pos="8306"/>
              </w:tabs>
              <w:jc w:val="right"/>
              <w:rPr>
                <w:rFonts w:cs="Tahoma"/>
                <w:sz w:val="16"/>
                <w:szCs w:val="16"/>
              </w:rPr>
            </w:pPr>
            <w:r w:rsidRPr="00E16DD0">
              <w:rPr>
                <w:rFonts w:cs="Tahoma"/>
                <w:sz w:val="16"/>
                <w:szCs w:val="16"/>
              </w:rPr>
              <w:t>67,9</w:t>
            </w:r>
          </w:p>
        </w:tc>
        <w:tc>
          <w:tcPr>
            <w:tcW w:w="520" w:type="pct"/>
            <w:gridSpan w:val="2"/>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54,6</w:t>
            </w: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53,2</w:t>
            </w: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48,2</w:t>
            </w: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44,2</w:t>
            </w: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47,4</w:t>
            </w:r>
          </w:p>
        </w:tc>
        <w:tc>
          <w:tcPr>
            <w:tcW w:w="521" w:type="pct"/>
            <w:tcBorders>
              <w:top w:val="nil"/>
              <w:left w:val="nil"/>
              <w:bottom w:val="nil"/>
            </w:tcBorders>
            <w:vAlign w:val="center"/>
          </w:tcPr>
          <w:p w:rsidR="00565FD5" w:rsidRPr="00E16DD0" w:rsidRDefault="00565FD5" w:rsidP="00AB62A3">
            <w:pPr>
              <w:jc w:val="right"/>
              <w:rPr>
                <w:rFonts w:cs="Tahoma"/>
                <w:sz w:val="16"/>
                <w:szCs w:val="16"/>
              </w:rPr>
            </w:pPr>
            <w:r w:rsidRPr="00E16DD0">
              <w:rPr>
                <w:rFonts w:cs="Tahoma"/>
                <w:sz w:val="16"/>
                <w:szCs w:val="16"/>
              </w:rPr>
              <w:t>46,0</w:t>
            </w:r>
          </w:p>
        </w:tc>
      </w:tr>
      <w:tr w:rsidR="00565FD5" w:rsidRPr="00E16DD0" w:rsidTr="00AB62A3">
        <w:trPr>
          <w:trHeight w:val="340"/>
          <w:jc w:val="center"/>
        </w:trPr>
        <w:tc>
          <w:tcPr>
            <w:tcW w:w="1356" w:type="pct"/>
            <w:tcBorders>
              <w:top w:val="nil"/>
              <w:bottom w:val="nil"/>
            </w:tcBorders>
            <w:vAlign w:val="bottom"/>
          </w:tcPr>
          <w:p w:rsidR="00565FD5" w:rsidRPr="00E4267B" w:rsidRDefault="00565FD5" w:rsidP="00AB62A3">
            <w:pPr>
              <w:ind w:firstLine="602"/>
              <w:rPr>
                <w:rFonts w:cs="Tahoma"/>
                <w:sz w:val="15"/>
                <w:szCs w:val="15"/>
              </w:rPr>
            </w:pPr>
            <w:r w:rsidRPr="00E4267B">
              <w:rPr>
                <w:rFonts w:cs="Tahoma"/>
                <w:sz w:val="15"/>
                <w:szCs w:val="15"/>
              </w:rPr>
              <w:t>Özel Sektör</w:t>
            </w:r>
          </w:p>
        </w:tc>
        <w:tc>
          <w:tcPr>
            <w:tcW w:w="521" w:type="pct"/>
            <w:tcBorders>
              <w:top w:val="nil"/>
              <w:bottom w:val="nil"/>
              <w:right w:val="nil"/>
            </w:tcBorders>
            <w:vAlign w:val="center"/>
          </w:tcPr>
          <w:p w:rsidR="00565FD5" w:rsidRPr="00E16DD0" w:rsidRDefault="00565FD5" w:rsidP="00AB62A3">
            <w:pPr>
              <w:tabs>
                <w:tab w:val="center" w:pos="4153"/>
                <w:tab w:val="right" w:pos="8306"/>
              </w:tabs>
              <w:jc w:val="right"/>
              <w:rPr>
                <w:rFonts w:cs="Tahoma"/>
                <w:sz w:val="16"/>
                <w:szCs w:val="16"/>
              </w:rPr>
            </w:pPr>
            <w:r w:rsidRPr="00E16DD0">
              <w:rPr>
                <w:rFonts w:cs="Tahoma"/>
                <w:sz w:val="16"/>
                <w:szCs w:val="16"/>
              </w:rPr>
              <w:t>24,2</w:t>
            </w:r>
          </w:p>
        </w:tc>
        <w:tc>
          <w:tcPr>
            <w:tcW w:w="520" w:type="pct"/>
            <w:gridSpan w:val="2"/>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33,8</w:t>
            </w: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35,6</w:t>
            </w: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41,3</w:t>
            </w: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43,8</w:t>
            </w: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40,0</w:t>
            </w:r>
          </w:p>
        </w:tc>
        <w:tc>
          <w:tcPr>
            <w:tcW w:w="521" w:type="pct"/>
            <w:tcBorders>
              <w:top w:val="nil"/>
              <w:left w:val="nil"/>
              <w:bottom w:val="nil"/>
            </w:tcBorders>
            <w:vAlign w:val="center"/>
          </w:tcPr>
          <w:p w:rsidR="00565FD5" w:rsidRPr="00E16DD0" w:rsidRDefault="00565FD5" w:rsidP="00AB62A3">
            <w:pPr>
              <w:jc w:val="right"/>
              <w:rPr>
                <w:rFonts w:cs="Tahoma"/>
                <w:sz w:val="16"/>
                <w:szCs w:val="16"/>
              </w:rPr>
            </w:pPr>
            <w:r w:rsidRPr="00E16DD0">
              <w:rPr>
                <w:rFonts w:cs="Tahoma"/>
                <w:sz w:val="16"/>
                <w:szCs w:val="16"/>
              </w:rPr>
              <w:t>42,5</w:t>
            </w:r>
          </w:p>
        </w:tc>
      </w:tr>
      <w:tr w:rsidR="00565FD5" w:rsidRPr="00E16DD0" w:rsidTr="00AB62A3">
        <w:trPr>
          <w:trHeight w:val="340"/>
          <w:jc w:val="center"/>
        </w:trPr>
        <w:tc>
          <w:tcPr>
            <w:tcW w:w="1356" w:type="pct"/>
            <w:tcBorders>
              <w:top w:val="nil"/>
              <w:bottom w:val="nil"/>
            </w:tcBorders>
            <w:vAlign w:val="bottom"/>
          </w:tcPr>
          <w:p w:rsidR="00565FD5" w:rsidRPr="00E4267B" w:rsidRDefault="00565FD5" w:rsidP="00AB62A3">
            <w:pPr>
              <w:ind w:firstLine="602"/>
              <w:rPr>
                <w:rFonts w:cs="Tahoma"/>
                <w:sz w:val="15"/>
                <w:szCs w:val="15"/>
              </w:rPr>
            </w:pPr>
            <w:r w:rsidRPr="00E4267B">
              <w:rPr>
                <w:rFonts w:cs="Tahoma"/>
                <w:sz w:val="15"/>
                <w:szCs w:val="15"/>
              </w:rPr>
              <w:t>Kamu</w:t>
            </w:r>
          </w:p>
        </w:tc>
        <w:tc>
          <w:tcPr>
            <w:tcW w:w="521" w:type="pct"/>
            <w:tcBorders>
              <w:top w:val="nil"/>
              <w:bottom w:val="nil"/>
              <w:right w:val="nil"/>
            </w:tcBorders>
            <w:vAlign w:val="center"/>
          </w:tcPr>
          <w:p w:rsidR="00565FD5" w:rsidRPr="00E16DD0" w:rsidRDefault="00565FD5" w:rsidP="00AB62A3">
            <w:pPr>
              <w:tabs>
                <w:tab w:val="center" w:pos="4153"/>
                <w:tab w:val="right" w:pos="8306"/>
              </w:tabs>
              <w:jc w:val="right"/>
              <w:rPr>
                <w:rFonts w:cs="Tahoma"/>
                <w:sz w:val="16"/>
                <w:szCs w:val="16"/>
              </w:rPr>
            </w:pPr>
            <w:r w:rsidRPr="00E16DD0">
              <w:rPr>
                <w:rFonts w:cs="Tahoma"/>
                <w:sz w:val="16"/>
                <w:szCs w:val="16"/>
              </w:rPr>
              <w:t>8</w:t>
            </w:r>
          </w:p>
        </w:tc>
        <w:tc>
          <w:tcPr>
            <w:tcW w:w="520" w:type="pct"/>
            <w:gridSpan w:val="2"/>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11,6</w:t>
            </w: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11,2</w:t>
            </w: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10,6</w:t>
            </w: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12,0</w:t>
            </w: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12,6</w:t>
            </w:r>
          </w:p>
        </w:tc>
        <w:tc>
          <w:tcPr>
            <w:tcW w:w="521" w:type="pct"/>
            <w:tcBorders>
              <w:top w:val="nil"/>
              <w:left w:val="nil"/>
              <w:bottom w:val="nil"/>
            </w:tcBorders>
            <w:vAlign w:val="center"/>
          </w:tcPr>
          <w:p w:rsidR="00565FD5" w:rsidRPr="00E16DD0" w:rsidRDefault="00565FD5" w:rsidP="00AB62A3">
            <w:pPr>
              <w:jc w:val="right"/>
              <w:rPr>
                <w:rFonts w:cs="Tahoma"/>
                <w:sz w:val="16"/>
                <w:szCs w:val="16"/>
              </w:rPr>
            </w:pPr>
            <w:r w:rsidRPr="00E16DD0">
              <w:rPr>
                <w:rFonts w:cs="Tahoma"/>
                <w:sz w:val="16"/>
                <w:szCs w:val="16"/>
              </w:rPr>
              <w:t>11,4</w:t>
            </w:r>
          </w:p>
        </w:tc>
      </w:tr>
      <w:tr w:rsidR="00565FD5" w:rsidRPr="00E16DD0" w:rsidTr="00AB62A3">
        <w:trPr>
          <w:trHeight w:val="340"/>
          <w:jc w:val="center"/>
        </w:trPr>
        <w:tc>
          <w:tcPr>
            <w:tcW w:w="1356" w:type="pct"/>
            <w:tcBorders>
              <w:top w:val="nil"/>
              <w:bottom w:val="nil"/>
            </w:tcBorders>
            <w:vAlign w:val="bottom"/>
          </w:tcPr>
          <w:p w:rsidR="00565FD5" w:rsidRPr="00E4267B" w:rsidRDefault="00565FD5" w:rsidP="00AB62A3">
            <w:pPr>
              <w:rPr>
                <w:rFonts w:cs="Tahoma"/>
                <w:sz w:val="15"/>
                <w:szCs w:val="15"/>
              </w:rPr>
            </w:pPr>
            <w:r w:rsidRPr="00E4267B">
              <w:rPr>
                <w:rFonts w:cs="Tahoma"/>
                <w:sz w:val="15"/>
                <w:szCs w:val="15"/>
              </w:rPr>
              <w:t>TZE (1) Cinsinden Toplam Ar-Ge Personeli Sayısı</w:t>
            </w:r>
          </w:p>
        </w:tc>
        <w:tc>
          <w:tcPr>
            <w:tcW w:w="521" w:type="pct"/>
            <w:tcBorders>
              <w:top w:val="nil"/>
              <w:bottom w:val="nil"/>
              <w:right w:val="nil"/>
            </w:tcBorders>
            <w:vAlign w:val="center"/>
          </w:tcPr>
          <w:p w:rsidR="00565FD5" w:rsidRPr="00E16DD0" w:rsidRDefault="00565FD5" w:rsidP="00AB62A3">
            <w:pPr>
              <w:tabs>
                <w:tab w:val="left" w:pos="846"/>
                <w:tab w:val="center" w:pos="4153"/>
                <w:tab w:val="right" w:pos="8306"/>
              </w:tabs>
              <w:jc w:val="right"/>
              <w:rPr>
                <w:rFonts w:cs="Tahoma"/>
                <w:sz w:val="16"/>
                <w:szCs w:val="16"/>
              </w:rPr>
            </w:pPr>
            <w:r w:rsidRPr="00E16DD0">
              <w:rPr>
                <w:rFonts w:cs="Tahoma"/>
                <w:sz w:val="16"/>
                <w:szCs w:val="16"/>
              </w:rPr>
              <w:t>39 960</w:t>
            </w:r>
          </w:p>
        </w:tc>
        <w:tc>
          <w:tcPr>
            <w:tcW w:w="520" w:type="pct"/>
            <w:gridSpan w:val="2"/>
            <w:tcBorders>
              <w:top w:val="nil"/>
              <w:left w:val="nil"/>
              <w:bottom w:val="nil"/>
              <w:right w:val="nil"/>
            </w:tcBorders>
            <w:vAlign w:val="center"/>
          </w:tcPr>
          <w:p w:rsidR="00565FD5" w:rsidRPr="00E16DD0" w:rsidRDefault="00565FD5" w:rsidP="00AB62A3">
            <w:pPr>
              <w:rPr>
                <w:rFonts w:cs="Tahoma"/>
                <w:sz w:val="16"/>
                <w:szCs w:val="16"/>
              </w:rPr>
            </w:pPr>
            <w:r w:rsidRPr="00E16DD0">
              <w:rPr>
                <w:rFonts w:cs="Tahoma"/>
                <w:sz w:val="16"/>
                <w:szCs w:val="16"/>
              </w:rPr>
              <w:t>49 252</w:t>
            </w:r>
          </w:p>
        </w:tc>
        <w:tc>
          <w:tcPr>
            <w:tcW w:w="521" w:type="pct"/>
            <w:tcBorders>
              <w:top w:val="nil"/>
              <w:left w:val="nil"/>
              <w:bottom w:val="nil"/>
              <w:right w:val="nil"/>
            </w:tcBorders>
            <w:vAlign w:val="center"/>
          </w:tcPr>
          <w:p w:rsidR="00565FD5" w:rsidRPr="00E16DD0" w:rsidRDefault="00565FD5" w:rsidP="00AB62A3">
            <w:pPr>
              <w:tabs>
                <w:tab w:val="left" w:pos="629"/>
              </w:tabs>
              <w:ind w:right="-73"/>
              <w:jc w:val="right"/>
              <w:rPr>
                <w:rFonts w:cs="Tahoma"/>
                <w:sz w:val="16"/>
                <w:szCs w:val="16"/>
              </w:rPr>
            </w:pPr>
            <w:r w:rsidRPr="00E16DD0">
              <w:rPr>
                <w:rFonts w:cs="Tahoma"/>
                <w:sz w:val="16"/>
                <w:szCs w:val="16"/>
              </w:rPr>
              <w:t>54 444</w:t>
            </w: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63 777</w:t>
            </w: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67 000</w:t>
            </w: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74 000</w:t>
            </w:r>
          </w:p>
        </w:tc>
        <w:tc>
          <w:tcPr>
            <w:tcW w:w="521" w:type="pct"/>
            <w:tcBorders>
              <w:top w:val="nil"/>
              <w:left w:val="nil"/>
              <w:bottom w:val="nil"/>
            </w:tcBorders>
            <w:vAlign w:val="center"/>
          </w:tcPr>
          <w:p w:rsidR="00565FD5" w:rsidRPr="00E16DD0" w:rsidRDefault="00565FD5" w:rsidP="00AB62A3">
            <w:pPr>
              <w:jc w:val="right"/>
              <w:rPr>
                <w:rFonts w:cs="Tahoma"/>
                <w:sz w:val="16"/>
                <w:szCs w:val="16"/>
              </w:rPr>
            </w:pPr>
            <w:r w:rsidRPr="00E16DD0">
              <w:rPr>
                <w:rFonts w:cs="Tahoma"/>
                <w:sz w:val="16"/>
                <w:szCs w:val="16"/>
              </w:rPr>
              <w:t>81 792</w:t>
            </w:r>
          </w:p>
        </w:tc>
      </w:tr>
      <w:tr w:rsidR="00565FD5" w:rsidRPr="00E16DD0" w:rsidTr="00AB62A3">
        <w:trPr>
          <w:trHeight w:val="340"/>
          <w:jc w:val="center"/>
        </w:trPr>
        <w:tc>
          <w:tcPr>
            <w:tcW w:w="1356" w:type="pct"/>
            <w:tcBorders>
              <w:top w:val="nil"/>
              <w:bottom w:val="nil"/>
            </w:tcBorders>
            <w:vAlign w:val="bottom"/>
          </w:tcPr>
          <w:p w:rsidR="00565FD5" w:rsidRPr="00E4267B" w:rsidRDefault="00565FD5" w:rsidP="00AB62A3">
            <w:pPr>
              <w:rPr>
                <w:rFonts w:cs="Tahoma"/>
                <w:sz w:val="15"/>
                <w:szCs w:val="15"/>
              </w:rPr>
            </w:pPr>
            <w:r w:rsidRPr="00E4267B">
              <w:rPr>
                <w:rFonts w:cs="Tahoma"/>
                <w:sz w:val="15"/>
                <w:szCs w:val="15"/>
              </w:rPr>
              <w:t xml:space="preserve">TZE (1) Cinsinden Ar-Ge Personelinin Sektörlere Göre Dağılımı </w:t>
            </w:r>
            <w:r w:rsidRPr="00AC1AE6">
              <w:rPr>
                <w:rFonts w:cs="Tahoma"/>
                <w:sz w:val="12"/>
                <w:szCs w:val="12"/>
              </w:rPr>
              <w:t>(Yüzde)</w:t>
            </w:r>
          </w:p>
        </w:tc>
        <w:tc>
          <w:tcPr>
            <w:tcW w:w="521" w:type="pct"/>
            <w:tcBorders>
              <w:top w:val="nil"/>
              <w:bottom w:val="nil"/>
              <w:right w:val="nil"/>
            </w:tcBorders>
            <w:vAlign w:val="center"/>
          </w:tcPr>
          <w:p w:rsidR="00565FD5" w:rsidRPr="00E16DD0" w:rsidRDefault="00565FD5" w:rsidP="00AB62A3">
            <w:pPr>
              <w:jc w:val="right"/>
              <w:rPr>
                <w:rFonts w:cs="Tahoma"/>
                <w:sz w:val="16"/>
                <w:szCs w:val="16"/>
              </w:rPr>
            </w:pPr>
          </w:p>
        </w:tc>
        <w:tc>
          <w:tcPr>
            <w:tcW w:w="520" w:type="pct"/>
            <w:gridSpan w:val="2"/>
            <w:tcBorders>
              <w:top w:val="nil"/>
              <w:left w:val="nil"/>
              <w:bottom w:val="nil"/>
              <w:right w:val="nil"/>
            </w:tcBorders>
            <w:vAlign w:val="center"/>
          </w:tcPr>
          <w:p w:rsidR="00565FD5" w:rsidRPr="00E16DD0" w:rsidRDefault="00565FD5" w:rsidP="00AB62A3">
            <w:pPr>
              <w:jc w:val="right"/>
              <w:rPr>
                <w:rFonts w:cs="Tahoma"/>
                <w:sz w:val="16"/>
                <w:szCs w:val="16"/>
              </w:rPr>
            </w:pP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p>
        </w:tc>
        <w:tc>
          <w:tcPr>
            <w:tcW w:w="521" w:type="pct"/>
            <w:tcBorders>
              <w:top w:val="nil"/>
              <w:left w:val="nil"/>
              <w:bottom w:val="nil"/>
            </w:tcBorders>
            <w:vAlign w:val="center"/>
          </w:tcPr>
          <w:p w:rsidR="00565FD5" w:rsidRPr="00E16DD0" w:rsidRDefault="00565FD5" w:rsidP="00AB62A3">
            <w:pPr>
              <w:jc w:val="right"/>
              <w:rPr>
                <w:rFonts w:cs="Tahoma"/>
                <w:sz w:val="16"/>
                <w:szCs w:val="16"/>
              </w:rPr>
            </w:pPr>
          </w:p>
        </w:tc>
      </w:tr>
      <w:tr w:rsidR="00565FD5" w:rsidRPr="00E16DD0" w:rsidTr="00AB62A3">
        <w:trPr>
          <w:trHeight w:val="340"/>
          <w:jc w:val="center"/>
        </w:trPr>
        <w:tc>
          <w:tcPr>
            <w:tcW w:w="1356" w:type="pct"/>
            <w:tcBorders>
              <w:top w:val="nil"/>
              <w:bottom w:val="nil"/>
            </w:tcBorders>
            <w:vAlign w:val="bottom"/>
          </w:tcPr>
          <w:p w:rsidR="00565FD5" w:rsidRPr="00E4267B" w:rsidRDefault="00565FD5" w:rsidP="00AB62A3">
            <w:pPr>
              <w:ind w:firstLine="602"/>
              <w:rPr>
                <w:rFonts w:cs="Tahoma"/>
                <w:sz w:val="15"/>
                <w:szCs w:val="15"/>
              </w:rPr>
            </w:pPr>
            <w:r w:rsidRPr="00E4267B">
              <w:rPr>
                <w:rFonts w:cs="Tahoma"/>
                <w:sz w:val="15"/>
                <w:szCs w:val="15"/>
              </w:rPr>
              <w:t>Yükseköğretim</w:t>
            </w:r>
          </w:p>
        </w:tc>
        <w:tc>
          <w:tcPr>
            <w:tcW w:w="521" w:type="pct"/>
            <w:tcBorders>
              <w:top w:val="nil"/>
              <w:bottom w:val="nil"/>
              <w:right w:val="nil"/>
            </w:tcBorders>
            <w:vAlign w:val="center"/>
          </w:tcPr>
          <w:p w:rsidR="00565FD5" w:rsidRPr="00E16DD0" w:rsidRDefault="00565FD5" w:rsidP="00AB62A3">
            <w:pPr>
              <w:tabs>
                <w:tab w:val="center" w:pos="4153"/>
                <w:tab w:val="right" w:pos="8306"/>
              </w:tabs>
              <w:jc w:val="right"/>
              <w:rPr>
                <w:rFonts w:cs="Tahoma"/>
                <w:sz w:val="16"/>
                <w:szCs w:val="16"/>
              </w:rPr>
            </w:pPr>
            <w:r w:rsidRPr="00E16DD0">
              <w:rPr>
                <w:rFonts w:cs="Tahoma"/>
                <w:sz w:val="16"/>
                <w:szCs w:val="16"/>
              </w:rPr>
              <w:t>61,9</w:t>
            </w:r>
          </w:p>
        </w:tc>
        <w:tc>
          <w:tcPr>
            <w:tcW w:w="520" w:type="pct"/>
            <w:gridSpan w:val="2"/>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51,6</w:t>
            </w: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49,1</w:t>
            </w: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46,6</w:t>
            </w: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44,5</w:t>
            </w: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42,2</w:t>
            </w:r>
          </w:p>
        </w:tc>
        <w:tc>
          <w:tcPr>
            <w:tcW w:w="521" w:type="pct"/>
            <w:tcBorders>
              <w:top w:val="nil"/>
              <w:left w:val="nil"/>
              <w:bottom w:val="nil"/>
            </w:tcBorders>
            <w:vAlign w:val="center"/>
          </w:tcPr>
          <w:p w:rsidR="00565FD5" w:rsidRPr="00E16DD0" w:rsidRDefault="00565FD5" w:rsidP="00AB62A3">
            <w:pPr>
              <w:jc w:val="right"/>
              <w:rPr>
                <w:rFonts w:cs="Tahoma"/>
                <w:sz w:val="16"/>
                <w:szCs w:val="16"/>
              </w:rPr>
            </w:pPr>
            <w:r w:rsidRPr="00E16DD0">
              <w:rPr>
                <w:rFonts w:cs="Tahoma"/>
                <w:sz w:val="16"/>
                <w:szCs w:val="16"/>
              </w:rPr>
              <w:t>40,2</w:t>
            </w:r>
          </w:p>
        </w:tc>
      </w:tr>
      <w:tr w:rsidR="00565FD5" w:rsidRPr="00E16DD0" w:rsidTr="00AB62A3">
        <w:trPr>
          <w:trHeight w:val="340"/>
          <w:jc w:val="center"/>
        </w:trPr>
        <w:tc>
          <w:tcPr>
            <w:tcW w:w="1356" w:type="pct"/>
            <w:tcBorders>
              <w:top w:val="nil"/>
              <w:bottom w:val="nil"/>
            </w:tcBorders>
            <w:vAlign w:val="bottom"/>
          </w:tcPr>
          <w:p w:rsidR="00565FD5" w:rsidRPr="00E4267B" w:rsidRDefault="00565FD5" w:rsidP="00AB62A3">
            <w:pPr>
              <w:ind w:firstLine="602"/>
              <w:rPr>
                <w:rFonts w:cs="Tahoma"/>
                <w:sz w:val="15"/>
                <w:szCs w:val="15"/>
              </w:rPr>
            </w:pPr>
            <w:r w:rsidRPr="00E4267B">
              <w:rPr>
                <w:rFonts w:cs="Tahoma"/>
                <w:sz w:val="15"/>
                <w:szCs w:val="15"/>
              </w:rPr>
              <w:t>Özel Sektör</w:t>
            </w:r>
          </w:p>
        </w:tc>
        <w:tc>
          <w:tcPr>
            <w:tcW w:w="521" w:type="pct"/>
            <w:tcBorders>
              <w:top w:val="nil"/>
              <w:bottom w:val="nil"/>
              <w:right w:val="nil"/>
            </w:tcBorders>
            <w:vAlign w:val="center"/>
          </w:tcPr>
          <w:p w:rsidR="00565FD5" w:rsidRPr="00E16DD0" w:rsidRDefault="00565FD5" w:rsidP="00AB62A3">
            <w:pPr>
              <w:tabs>
                <w:tab w:val="center" w:pos="4153"/>
                <w:tab w:val="right" w:pos="8306"/>
              </w:tabs>
              <w:jc w:val="right"/>
              <w:rPr>
                <w:rFonts w:cs="Tahoma"/>
                <w:sz w:val="16"/>
                <w:szCs w:val="16"/>
              </w:rPr>
            </w:pPr>
            <w:r w:rsidRPr="00E16DD0">
              <w:rPr>
                <w:rFonts w:cs="Tahoma"/>
                <w:sz w:val="16"/>
                <w:szCs w:val="16"/>
              </w:rPr>
              <w:t>22,1</w:t>
            </w:r>
          </w:p>
        </w:tc>
        <w:tc>
          <w:tcPr>
            <w:tcW w:w="520" w:type="pct"/>
            <w:gridSpan w:val="2"/>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30,4</w:t>
            </w: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33,1</w:t>
            </w: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38,3</w:t>
            </w: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40,8</w:t>
            </w: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42,8</w:t>
            </w:r>
          </w:p>
        </w:tc>
        <w:tc>
          <w:tcPr>
            <w:tcW w:w="521" w:type="pct"/>
            <w:tcBorders>
              <w:top w:val="nil"/>
              <w:left w:val="nil"/>
              <w:bottom w:val="nil"/>
            </w:tcBorders>
            <w:vAlign w:val="center"/>
          </w:tcPr>
          <w:p w:rsidR="00565FD5" w:rsidRPr="00E16DD0" w:rsidRDefault="00565FD5" w:rsidP="00AB62A3">
            <w:pPr>
              <w:jc w:val="right"/>
              <w:rPr>
                <w:rFonts w:cs="Tahoma"/>
                <w:sz w:val="16"/>
                <w:szCs w:val="16"/>
              </w:rPr>
            </w:pPr>
            <w:r w:rsidRPr="00E16DD0">
              <w:rPr>
                <w:rFonts w:cs="Tahoma"/>
                <w:sz w:val="16"/>
                <w:szCs w:val="16"/>
              </w:rPr>
              <w:t>45,9</w:t>
            </w:r>
          </w:p>
        </w:tc>
      </w:tr>
      <w:tr w:rsidR="00565FD5" w:rsidRPr="00E16DD0" w:rsidTr="00AB62A3">
        <w:trPr>
          <w:trHeight w:val="340"/>
          <w:jc w:val="center"/>
        </w:trPr>
        <w:tc>
          <w:tcPr>
            <w:tcW w:w="1356" w:type="pct"/>
            <w:tcBorders>
              <w:top w:val="nil"/>
              <w:bottom w:val="nil"/>
            </w:tcBorders>
            <w:vAlign w:val="bottom"/>
          </w:tcPr>
          <w:p w:rsidR="00565FD5" w:rsidRPr="00E4267B" w:rsidRDefault="00565FD5" w:rsidP="00AB62A3">
            <w:pPr>
              <w:ind w:firstLine="602"/>
              <w:rPr>
                <w:rFonts w:cs="Tahoma"/>
                <w:sz w:val="15"/>
                <w:szCs w:val="15"/>
              </w:rPr>
            </w:pPr>
            <w:r w:rsidRPr="00E4267B">
              <w:rPr>
                <w:rFonts w:cs="Tahoma"/>
                <w:sz w:val="15"/>
                <w:szCs w:val="15"/>
              </w:rPr>
              <w:t>Kamu</w:t>
            </w:r>
          </w:p>
        </w:tc>
        <w:tc>
          <w:tcPr>
            <w:tcW w:w="521" w:type="pct"/>
            <w:tcBorders>
              <w:top w:val="nil"/>
              <w:bottom w:val="nil"/>
              <w:right w:val="nil"/>
            </w:tcBorders>
            <w:vAlign w:val="center"/>
          </w:tcPr>
          <w:p w:rsidR="00565FD5" w:rsidRPr="00E16DD0" w:rsidRDefault="00565FD5" w:rsidP="00AB62A3">
            <w:pPr>
              <w:tabs>
                <w:tab w:val="center" w:pos="4153"/>
                <w:tab w:val="right" w:pos="8306"/>
              </w:tabs>
              <w:jc w:val="right"/>
              <w:rPr>
                <w:rFonts w:cs="Tahoma"/>
                <w:sz w:val="16"/>
                <w:szCs w:val="16"/>
              </w:rPr>
            </w:pPr>
            <w:r w:rsidRPr="00E16DD0">
              <w:rPr>
                <w:rFonts w:cs="Tahoma"/>
                <w:sz w:val="16"/>
                <w:szCs w:val="16"/>
              </w:rPr>
              <w:t>16</w:t>
            </w:r>
          </w:p>
        </w:tc>
        <w:tc>
          <w:tcPr>
            <w:tcW w:w="520" w:type="pct"/>
            <w:gridSpan w:val="2"/>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17,9</w:t>
            </w: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17,8</w:t>
            </w: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15,1</w:t>
            </w: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14,7</w:t>
            </w: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15,0</w:t>
            </w:r>
          </w:p>
        </w:tc>
        <w:tc>
          <w:tcPr>
            <w:tcW w:w="521" w:type="pct"/>
            <w:tcBorders>
              <w:top w:val="nil"/>
              <w:left w:val="nil"/>
              <w:bottom w:val="nil"/>
            </w:tcBorders>
            <w:vAlign w:val="center"/>
          </w:tcPr>
          <w:p w:rsidR="00565FD5" w:rsidRPr="00E16DD0" w:rsidRDefault="00565FD5" w:rsidP="00AB62A3">
            <w:pPr>
              <w:jc w:val="right"/>
              <w:rPr>
                <w:rFonts w:cs="Tahoma"/>
                <w:sz w:val="16"/>
                <w:szCs w:val="16"/>
              </w:rPr>
            </w:pPr>
            <w:r w:rsidRPr="00E16DD0">
              <w:rPr>
                <w:rFonts w:cs="Tahoma"/>
                <w:sz w:val="16"/>
                <w:szCs w:val="16"/>
              </w:rPr>
              <w:t>13,9</w:t>
            </w:r>
          </w:p>
        </w:tc>
      </w:tr>
      <w:tr w:rsidR="00565FD5" w:rsidRPr="00E16DD0" w:rsidTr="00AB62A3">
        <w:trPr>
          <w:trHeight w:val="340"/>
          <w:jc w:val="center"/>
        </w:trPr>
        <w:tc>
          <w:tcPr>
            <w:tcW w:w="1356" w:type="pct"/>
            <w:tcBorders>
              <w:top w:val="nil"/>
              <w:bottom w:val="nil"/>
            </w:tcBorders>
            <w:vAlign w:val="bottom"/>
          </w:tcPr>
          <w:p w:rsidR="00565FD5" w:rsidRPr="00E4267B" w:rsidRDefault="00565FD5" w:rsidP="00AB62A3">
            <w:pPr>
              <w:rPr>
                <w:rFonts w:cs="Tahoma"/>
                <w:sz w:val="15"/>
                <w:szCs w:val="15"/>
              </w:rPr>
            </w:pPr>
            <w:r w:rsidRPr="00E4267B">
              <w:rPr>
                <w:rFonts w:cs="Tahoma"/>
                <w:sz w:val="15"/>
                <w:szCs w:val="15"/>
              </w:rPr>
              <w:t>TZE Cinsinden 10 Bin Kişiye Düşen Ar-Ge Personeli Sayısı</w:t>
            </w:r>
          </w:p>
        </w:tc>
        <w:tc>
          <w:tcPr>
            <w:tcW w:w="521" w:type="pct"/>
            <w:tcBorders>
              <w:top w:val="nil"/>
              <w:bottom w:val="nil"/>
              <w:right w:val="nil"/>
            </w:tcBorders>
            <w:vAlign w:val="center"/>
          </w:tcPr>
          <w:p w:rsidR="00565FD5" w:rsidRPr="00E16DD0" w:rsidRDefault="00565FD5" w:rsidP="00AB62A3">
            <w:pPr>
              <w:tabs>
                <w:tab w:val="center" w:pos="4153"/>
                <w:tab w:val="right" w:pos="8306"/>
              </w:tabs>
              <w:jc w:val="right"/>
              <w:rPr>
                <w:rFonts w:cs="Tahoma"/>
                <w:sz w:val="16"/>
                <w:szCs w:val="16"/>
              </w:rPr>
            </w:pPr>
            <w:r w:rsidRPr="00E16DD0">
              <w:rPr>
                <w:rFonts w:cs="Tahoma"/>
                <w:sz w:val="16"/>
                <w:szCs w:val="16"/>
              </w:rPr>
              <w:t>20</w:t>
            </w:r>
          </w:p>
        </w:tc>
        <w:tc>
          <w:tcPr>
            <w:tcW w:w="520" w:type="pct"/>
            <w:gridSpan w:val="2"/>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25</w:t>
            </w: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27</w:t>
            </w: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31</w:t>
            </w: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32</w:t>
            </w: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35</w:t>
            </w:r>
          </w:p>
        </w:tc>
        <w:tc>
          <w:tcPr>
            <w:tcW w:w="521" w:type="pct"/>
            <w:tcBorders>
              <w:top w:val="nil"/>
              <w:left w:val="nil"/>
              <w:bottom w:val="nil"/>
            </w:tcBorders>
            <w:vAlign w:val="center"/>
          </w:tcPr>
          <w:p w:rsidR="00565FD5" w:rsidRPr="00E16DD0" w:rsidRDefault="00565FD5" w:rsidP="00AB62A3">
            <w:pPr>
              <w:jc w:val="right"/>
              <w:rPr>
                <w:rFonts w:cs="Tahoma"/>
                <w:sz w:val="16"/>
                <w:szCs w:val="16"/>
              </w:rPr>
            </w:pPr>
            <w:r w:rsidRPr="00E16DD0">
              <w:rPr>
                <w:rFonts w:cs="Tahoma"/>
                <w:sz w:val="16"/>
                <w:szCs w:val="16"/>
              </w:rPr>
              <w:t>36</w:t>
            </w:r>
          </w:p>
        </w:tc>
      </w:tr>
      <w:tr w:rsidR="00565FD5" w:rsidRPr="00E16DD0" w:rsidTr="00AB62A3">
        <w:trPr>
          <w:trHeight w:val="340"/>
          <w:jc w:val="center"/>
        </w:trPr>
        <w:tc>
          <w:tcPr>
            <w:tcW w:w="1356" w:type="pct"/>
            <w:tcBorders>
              <w:top w:val="nil"/>
              <w:bottom w:val="nil"/>
            </w:tcBorders>
            <w:vAlign w:val="bottom"/>
          </w:tcPr>
          <w:p w:rsidR="00565FD5" w:rsidRPr="00E4267B" w:rsidRDefault="00565FD5" w:rsidP="00AB62A3">
            <w:pPr>
              <w:rPr>
                <w:rFonts w:cs="Tahoma"/>
                <w:sz w:val="15"/>
                <w:szCs w:val="15"/>
              </w:rPr>
            </w:pPr>
            <w:r w:rsidRPr="00E4267B">
              <w:rPr>
                <w:rFonts w:cs="Tahoma"/>
                <w:sz w:val="15"/>
                <w:szCs w:val="15"/>
              </w:rPr>
              <w:t>Türkiye Kaynaklı Bilimsel Yayın Sayısı</w:t>
            </w:r>
          </w:p>
        </w:tc>
        <w:tc>
          <w:tcPr>
            <w:tcW w:w="521" w:type="pct"/>
            <w:tcBorders>
              <w:top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16 300</w:t>
            </w:r>
          </w:p>
        </w:tc>
        <w:tc>
          <w:tcPr>
            <w:tcW w:w="520" w:type="pct"/>
            <w:gridSpan w:val="2"/>
            <w:tcBorders>
              <w:top w:val="nil"/>
              <w:left w:val="nil"/>
              <w:bottom w:val="nil"/>
              <w:right w:val="nil"/>
            </w:tcBorders>
            <w:vAlign w:val="center"/>
          </w:tcPr>
          <w:p w:rsidR="00565FD5" w:rsidRPr="00E16DD0" w:rsidRDefault="00565FD5" w:rsidP="00AB62A3">
            <w:pPr>
              <w:tabs>
                <w:tab w:val="center" w:pos="4153"/>
                <w:tab w:val="right" w:pos="8306"/>
              </w:tabs>
              <w:jc w:val="right"/>
              <w:rPr>
                <w:rFonts w:cs="Tahoma"/>
                <w:sz w:val="16"/>
                <w:szCs w:val="16"/>
              </w:rPr>
            </w:pPr>
            <w:r w:rsidRPr="00E16DD0">
              <w:rPr>
                <w:rFonts w:cs="Tahoma"/>
                <w:sz w:val="16"/>
                <w:szCs w:val="16"/>
              </w:rPr>
              <w:t>17 438</w:t>
            </w:r>
          </w:p>
        </w:tc>
        <w:tc>
          <w:tcPr>
            <w:tcW w:w="521" w:type="pct"/>
            <w:tcBorders>
              <w:top w:val="nil"/>
              <w:left w:val="nil"/>
              <w:bottom w:val="nil"/>
              <w:right w:val="nil"/>
            </w:tcBorders>
            <w:vAlign w:val="center"/>
          </w:tcPr>
          <w:p w:rsidR="00565FD5" w:rsidRPr="00E16DD0" w:rsidRDefault="00565FD5" w:rsidP="00AB62A3">
            <w:pPr>
              <w:tabs>
                <w:tab w:val="left" w:pos="539"/>
              </w:tabs>
              <w:ind w:right="-53"/>
              <w:jc w:val="right"/>
              <w:rPr>
                <w:rFonts w:cs="Tahoma"/>
                <w:sz w:val="16"/>
                <w:szCs w:val="16"/>
              </w:rPr>
            </w:pPr>
            <w:r w:rsidRPr="00E16DD0">
              <w:rPr>
                <w:rFonts w:cs="Tahoma"/>
                <w:sz w:val="16"/>
                <w:szCs w:val="16"/>
              </w:rPr>
              <w:t>20 092</w:t>
            </w: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24 093</w:t>
            </w:r>
          </w:p>
        </w:tc>
        <w:tc>
          <w:tcPr>
            <w:tcW w:w="521"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24 846</w:t>
            </w:r>
          </w:p>
        </w:tc>
        <w:tc>
          <w:tcPr>
            <w:tcW w:w="520" w:type="pct"/>
            <w:tcBorders>
              <w:top w:val="nil"/>
              <w:left w:val="nil"/>
              <w:bottom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27 786</w:t>
            </w:r>
          </w:p>
        </w:tc>
        <w:tc>
          <w:tcPr>
            <w:tcW w:w="521" w:type="pct"/>
            <w:tcBorders>
              <w:top w:val="nil"/>
              <w:left w:val="nil"/>
              <w:bottom w:val="nil"/>
            </w:tcBorders>
            <w:vAlign w:val="center"/>
          </w:tcPr>
          <w:p w:rsidR="00565FD5" w:rsidRPr="00E16DD0" w:rsidRDefault="00565FD5" w:rsidP="00AB62A3">
            <w:pPr>
              <w:jc w:val="right"/>
              <w:rPr>
                <w:rFonts w:cs="Tahoma"/>
                <w:sz w:val="16"/>
                <w:szCs w:val="16"/>
              </w:rPr>
            </w:pPr>
            <w:r w:rsidRPr="00E16DD0">
              <w:rPr>
                <w:rFonts w:cs="Tahoma"/>
                <w:sz w:val="16"/>
                <w:szCs w:val="16"/>
              </w:rPr>
              <w:t>28 194</w:t>
            </w:r>
          </w:p>
        </w:tc>
      </w:tr>
      <w:tr w:rsidR="00565FD5" w:rsidRPr="00E16DD0" w:rsidTr="00AB62A3">
        <w:trPr>
          <w:trHeight w:val="340"/>
          <w:jc w:val="center"/>
        </w:trPr>
        <w:tc>
          <w:tcPr>
            <w:tcW w:w="1356" w:type="pct"/>
            <w:tcBorders>
              <w:top w:val="nil"/>
            </w:tcBorders>
            <w:vAlign w:val="bottom"/>
          </w:tcPr>
          <w:p w:rsidR="00565FD5" w:rsidRPr="00E4267B" w:rsidRDefault="00565FD5" w:rsidP="00AB62A3">
            <w:pPr>
              <w:rPr>
                <w:rFonts w:cs="Tahoma"/>
                <w:sz w:val="15"/>
                <w:szCs w:val="15"/>
              </w:rPr>
            </w:pPr>
            <w:r w:rsidRPr="00E4267B">
              <w:rPr>
                <w:rFonts w:cs="Tahoma"/>
                <w:sz w:val="15"/>
                <w:szCs w:val="15"/>
              </w:rPr>
              <w:t>Bilimsel Yayın Sayısına Göre Uluslararası Sıralamada Türkiye’nin Yeri</w:t>
            </w:r>
          </w:p>
        </w:tc>
        <w:tc>
          <w:tcPr>
            <w:tcW w:w="521" w:type="pct"/>
            <w:tcBorders>
              <w:top w:val="nil"/>
              <w:right w:val="nil"/>
            </w:tcBorders>
            <w:vAlign w:val="center"/>
          </w:tcPr>
          <w:p w:rsidR="00565FD5" w:rsidRPr="00E16DD0" w:rsidRDefault="00565FD5" w:rsidP="00AB62A3">
            <w:pPr>
              <w:tabs>
                <w:tab w:val="center" w:pos="4153"/>
                <w:tab w:val="right" w:pos="8306"/>
              </w:tabs>
              <w:jc w:val="right"/>
              <w:rPr>
                <w:rFonts w:cs="Tahoma"/>
                <w:sz w:val="16"/>
                <w:szCs w:val="16"/>
              </w:rPr>
            </w:pPr>
            <w:r w:rsidRPr="00E16DD0">
              <w:rPr>
                <w:rFonts w:cs="Tahoma"/>
                <w:sz w:val="16"/>
                <w:szCs w:val="16"/>
              </w:rPr>
              <w:t>21</w:t>
            </w:r>
          </w:p>
        </w:tc>
        <w:tc>
          <w:tcPr>
            <w:tcW w:w="520" w:type="pct"/>
            <w:gridSpan w:val="2"/>
            <w:tcBorders>
              <w:top w:val="nil"/>
              <w:left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19</w:t>
            </w:r>
          </w:p>
        </w:tc>
        <w:tc>
          <w:tcPr>
            <w:tcW w:w="521" w:type="pct"/>
            <w:tcBorders>
              <w:top w:val="nil"/>
              <w:left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19</w:t>
            </w:r>
          </w:p>
        </w:tc>
        <w:tc>
          <w:tcPr>
            <w:tcW w:w="520" w:type="pct"/>
            <w:tcBorders>
              <w:top w:val="nil"/>
              <w:left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18</w:t>
            </w:r>
          </w:p>
        </w:tc>
        <w:tc>
          <w:tcPr>
            <w:tcW w:w="521" w:type="pct"/>
            <w:tcBorders>
              <w:top w:val="nil"/>
              <w:left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18</w:t>
            </w:r>
          </w:p>
        </w:tc>
        <w:tc>
          <w:tcPr>
            <w:tcW w:w="520" w:type="pct"/>
            <w:tcBorders>
              <w:top w:val="nil"/>
              <w:left w:val="nil"/>
              <w:right w:val="nil"/>
            </w:tcBorders>
            <w:vAlign w:val="center"/>
          </w:tcPr>
          <w:p w:rsidR="00565FD5" w:rsidRPr="00E16DD0" w:rsidRDefault="00565FD5" w:rsidP="00AB62A3">
            <w:pPr>
              <w:jc w:val="right"/>
              <w:rPr>
                <w:rFonts w:cs="Tahoma"/>
                <w:sz w:val="16"/>
                <w:szCs w:val="16"/>
              </w:rPr>
            </w:pPr>
            <w:r w:rsidRPr="00E16DD0">
              <w:rPr>
                <w:rFonts w:cs="Tahoma"/>
                <w:sz w:val="16"/>
                <w:szCs w:val="16"/>
              </w:rPr>
              <w:t>17</w:t>
            </w:r>
          </w:p>
        </w:tc>
        <w:tc>
          <w:tcPr>
            <w:tcW w:w="521" w:type="pct"/>
            <w:tcBorders>
              <w:top w:val="nil"/>
              <w:left w:val="nil"/>
            </w:tcBorders>
            <w:vAlign w:val="center"/>
          </w:tcPr>
          <w:p w:rsidR="00565FD5" w:rsidRPr="00E16DD0" w:rsidRDefault="00565FD5" w:rsidP="00AB62A3">
            <w:pPr>
              <w:jc w:val="right"/>
              <w:rPr>
                <w:rFonts w:cs="Tahoma"/>
                <w:sz w:val="16"/>
                <w:szCs w:val="16"/>
              </w:rPr>
            </w:pPr>
            <w:r w:rsidRPr="00E16DD0">
              <w:rPr>
                <w:rFonts w:cs="Tahoma"/>
                <w:sz w:val="16"/>
                <w:szCs w:val="16"/>
              </w:rPr>
              <w:t>18</w:t>
            </w:r>
          </w:p>
        </w:tc>
      </w:tr>
    </w:tbl>
    <w:p w:rsidR="00565FD5" w:rsidRPr="00E16DD0" w:rsidRDefault="00565FD5" w:rsidP="00565FD5">
      <w:pPr>
        <w:autoSpaceDE w:val="0"/>
        <w:autoSpaceDN w:val="0"/>
        <w:adjustRightInd w:val="0"/>
        <w:rPr>
          <w:rFonts w:cs="Tahoma"/>
          <w:sz w:val="14"/>
          <w:szCs w:val="14"/>
        </w:rPr>
      </w:pPr>
      <w:r w:rsidRPr="00E16DD0">
        <w:rPr>
          <w:rFonts w:cs="Tahoma"/>
          <w:sz w:val="14"/>
          <w:szCs w:val="14"/>
        </w:rPr>
        <w:t>Kaynak: TÜİK, TÜBİTAK</w:t>
      </w:r>
    </w:p>
    <w:p w:rsidR="00565FD5" w:rsidRPr="00E16DD0" w:rsidRDefault="00565FD5" w:rsidP="00565FD5">
      <w:pPr>
        <w:spacing w:after="240"/>
        <w:rPr>
          <w:rFonts w:cs="Tahoma"/>
          <w:sz w:val="14"/>
          <w:szCs w:val="14"/>
        </w:rPr>
      </w:pPr>
      <w:r w:rsidRPr="00E16DD0">
        <w:rPr>
          <w:rFonts w:cs="Tahoma"/>
          <w:sz w:val="14"/>
          <w:szCs w:val="14"/>
        </w:rPr>
        <w:t>(1) Tam Zaman Eşdeğeri</w:t>
      </w:r>
    </w:p>
    <w:p w:rsidR="00565FD5" w:rsidRPr="00E16DD0" w:rsidRDefault="00565FD5" w:rsidP="00565FD5">
      <w:pPr>
        <w:spacing w:after="120"/>
        <w:ind w:firstLine="425"/>
        <w:rPr>
          <w:rFonts w:cs="Tahoma"/>
          <w:szCs w:val="18"/>
        </w:rPr>
      </w:pPr>
      <w:r w:rsidRPr="00E16DD0">
        <w:rPr>
          <w:rFonts w:cs="Tahoma"/>
          <w:szCs w:val="18"/>
        </w:rPr>
        <w:t xml:space="preserve">Teknoloji geliştirme bölgeleri (TGB) ile teknoloji geliştirme merkezleri (TEKMER) ve duvarsız teknoloji kuluçka merkezleri faaliyetlerinin desteklenmesine devam edilmektedir. 2012 yılı Haziran ayı itibarıyla 32’si aktif 45 adet TGB ve 30 adet TEKMER kurulmuş bulunmaktadır. Aynı tarih itibarıyla TGB’lerde toplam 1.936 firma yer almakta olup bu firmalar tarafından 14.813’ü Ar-Ge personeli olmak üzere 17.863 kişiye istihdam imkânı sağlanmaktadır. </w:t>
      </w:r>
    </w:p>
    <w:p w:rsidR="00565FD5" w:rsidRDefault="00565FD5" w:rsidP="00565FD5">
      <w:pPr>
        <w:spacing w:after="120"/>
        <w:ind w:firstLine="425"/>
        <w:rPr>
          <w:rFonts w:cs="Tahoma"/>
          <w:szCs w:val="18"/>
        </w:rPr>
      </w:pPr>
      <w:r w:rsidRPr="00E16DD0">
        <w:rPr>
          <w:rFonts w:cs="Tahoma"/>
          <w:szCs w:val="18"/>
        </w:rPr>
        <w:lastRenderedPageBreak/>
        <w:t xml:space="preserve">Ar-Ge harcamalarının etkin kullanımını ve sonuçlarının uygulamaya geçirilmesini kolaylaştırmak amacıyla özellikle dışa bağımlılığın yüksek olduğu savunma, sağlık ve enerji gibi sektörlerde yerli teknolojiye dayalı ürün ve teknolojilerin geliştirilmesine yönelik programların desteklenmesine devam edilmektedir. </w:t>
      </w:r>
    </w:p>
    <w:p w:rsidR="00565FD5" w:rsidRPr="00E16DD0" w:rsidRDefault="00565FD5" w:rsidP="00565FD5">
      <w:pPr>
        <w:spacing w:after="120"/>
        <w:ind w:firstLine="425"/>
        <w:rPr>
          <w:rFonts w:cs="Tahoma"/>
          <w:szCs w:val="18"/>
        </w:rPr>
      </w:pPr>
    </w:p>
    <w:p w:rsidR="00565FD5" w:rsidRPr="00E16DD0" w:rsidRDefault="00565FD5" w:rsidP="00565FD5">
      <w:pPr>
        <w:pStyle w:val="Balk4"/>
      </w:pPr>
      <w:bookmarkStart w:id="1718" w:name="_Toc338505581"/>
      <w:bookmarkStart w:id="1719" w:name="_Toc338523808"/>
      <w:bookmarkStart w:id="1720" w:name="_Toc338524039"/>
      <w:bookmarkStart w:id="1721" w:name="_Toc338526265"/>
      <w:bookmarkStart w:id="1722" w:name="_Toc338673708"/>
      <w:bookmarkStart w:id="1723" w:name="_Toc338711587"/>
      <w:r w:rsidRPr="00E16DD0">
        <w:t>2. Temel Amaç ve Hedefler</w:t>
      </w:r>
      <w:bookmarkEnd w:id="1718"/>
      <w:bookmarkEnd w:id="1719"/>
      <w:bookmarkEnd w:id="1720"/>
      <w:bookmarkEnd w:id="1721"/>
      <w:bookmarkEnd w:id="1722"/>
      <w:bookmarkEnd w:id="1723"/>
    </w:p>
    <w:p w:rsidR="00565FD5" w:rsidRPr="00E16DD0" w:rsidRDefault="00565FD5" w:rsidP="00565FD5">
      <w:pPr>
        <w:spacing w:after="120"/>
        <w:ind w:firstLine="425"/>
        <w:rPr>
          <w:rFonts w:cs="Tahoma"/>
          <w:szCs w:val="18"/>
        </w:rPr>
      </w:pPr>
      <w:r w:rsidRPr="00E16DD0">
        <w:rPr>
          <w:rFonts w:cs="Tahoma"/>
          <w:szCs w:val="18"/>
        </w:rPr>
        <w:t>Bilim, teknoloji ve yenilik alanında yürütülen faaliyetlerin temel amacı, başta özel sektörde olmak üzere yenilik yeteneğini artırmak, bilim ve teknolojide yetkinleşmek ve bu yetkinliği ekonomik ve sosyal faydaya dönüştürmektir.</w:t>
      </w:r>
    </w:p>
    <w:p w:rsidR="00565FD5" w:rsidRPr="00E16DD0" w:rsidRDefault="00565FD5" w:rsidP="00565FD5">
      <w:pPr>
        <w:pStyle w:val="Balk4"/>
      </w:pPr>
      <w:bookmarkStart w:id="1724" w:name="_Toc338505582"/>
      <w:bookmarkStart w:id="1725" w:name="_Toc338523809"/>
      <w:bookmarkStart w:id="1726" w:name="_Toc338524040"/>
      <w:bookmarkStart w:id="1727" w:name="_Toc338526266"/>
      <w:bookmarkStart w:id="1728" w:name="_Toc338673709"/>
      <w:bookmarkStart w:id="1729" w:name="_Toc338711588"/>
      <w:r w:rsidRPr="00E16DD0">
        <w:t>3. Politika Öncelikleri ve Tedbirler</w:t>
      </w:r>
      <w:bookmarkEnd w:id="1724"/>
      <w:bookmarkEnd w:id="1725"/>
      <w:bookmarkEnd w:id="1726"/>
      <w:bookmarkEnd w:id="1727"/>
      <w:bookmarkEnd w:id="1728"/>
      <w:bookmarkEnd w:id="1729"/>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027"/>
        <w:gridCol w:w="1902"/>
        <w:gridCol w:w="597"/>
        <w:gridCol w:w="2618"/>
      </w:tblGrid>
      <w:tr w:rsidR="00565FD5" w:rsidRPr="00E16DD0" w:rsidTr="00AB62A3">
        <w:trPr>
          <w:trHeight w:val="20"/>
          <w:jc w:val="center"/>
        </w:trPr>
        <w:tc>
          <w:tcPr>
            <w:tcW w:w="1419" w:type="pct"/>
            <w:vAlign w:val="bottom"/>
          </w:tcPr>
          <w:p w:rsidR="00565FD5" w:rsidRPr="00E16DD0" w:rsidRDefault="00565FD5" w:rsidP="00AB62A3">
            <w:pPr>
              <w:spacing w:before="100" w:after="100"/>
              <w:rPr>
                <w:rFonts w:cs="Tahoma"/>
                <w:b/>
                <w:color w:val="000000"/>
                <w:sz w:val="16"/>
                <w:szCs w:val="16"/>
                <w:lang w:eastAsia="tr-TR"/>
              </w:rPr>
            </w:pPr>
            <w:r w:rsidRPr="00E16DD0">
              <w:rPr>
                <w:rFonts w:cs="Tahoma"/>
                <w:b/>
                <w:color w:val="000000"/>
                <w:sz w:val="16"/>
                <w:szCs w:val="16"/>
                <w:lang w:eastAsia="tr-TR"/>
              </w:rPr>
              <w:t>Öncelik / Tedbir</w:t>
            </w:r>
          </w:p>
        </w:tc>
        <w:tc>
          <w:tcPr>
            <w:tcW w:w="1331" w:type="pct"/>
            <w:vAlign w:val="bottom"/>
          </w:tcPr>
          <w:p w:rsidR="00565FD5" w:rsidRPr="00E16DD0" w:rsidRDefault="00565FD5" w:rsidP="00AB62A3">
            <w:pPr>
              <w:spacing w:before="100" w:after="100"/>
              <w:rPr>
                <w:rFonts w:cs="Tahoma"/>
                <w:b/>
                <w:color w:val="000000"/>
                <w:sz w:val="16"/>
                <w:szCs w:val="16"/>
                <w:lang w:eastAsia="tr-TR"/>
              </w:rPr>
            </w:pPr>
            <w:r w:rsidRPr="00E16DD0">
              <w:rPr>
                <w:rFonts w:cs="Tahoma"/>
                <w:b/>
                <w:color w:val="000000"/>
                <w:sz w:val="16"/>
                <w:szCs w:val="16"/>
                <w:lang w:eastAsia="tr-TR"/>
              </w:rPr>
              <w:t>Sorumlu/ İşbirliği Yapılacak Kuruluşlar</w:t>
            </w:r>
          </w:p>
        </w:tc>
        <w:tc>
          <w:tcPr>
            <w:tcW w:w="418" w:type="pct"/>
            <w:vAlign w:val="bottom"/>
          </w:tcPr>
          <w:p w:rsidR="00565FD5" w:rsidRPr="00E16DD0" w:rsidRDefault="00565FD5" w:rsidP="00AB62A3">
            <w:pPr>
              <w:spacing w:before="100" w:after="100"/>
              <w:rPr>
                <w:rFonts w:cs="Tahoma"/>
                <w:b/>
                <w:color w:val="000000"/>
                <w:sz w:val="16"/>
                <w:szCs w:val="16"/>
                <w:lang w:eastAsia="tr-TR"/>
              </w:rPr>
            </w:pPr>
            <w:r w:rsidRPr="00E16DD0">
              <w:rPr>
                <w:rFonts w:cs="Tahoma"/>
                <w:b/>
                <w:color w:val="000000"/>
                <w:sz w:val="16"/>
                <w:szCs w:val="16"/>
                <w:lang w:eastAsia="tr-TR"/>
              </w:rPr>
              <w:t>Süre</w:t>
            </w:r>
          </w:p>
        </w:tc>
        <w:tc>
          <w:tcPr>
            <w:tcW w:w="1832" w:type="pct"/>
            <w:vAlign w:val="bottom"/>
          </w:tcPr>
          <w:p w:rsidR="00565FD5" w:rsidRPr="00E16DD0" w:rsidRDefault="00565FD5" w:rsidP="00AB62A3">
            <w:pPr>
              <w:spacing w:before="100" w:after="100"/>
              <w:rPr>
                <w:rFonts w:cs="Tahoma"/>
                <w:b/>
                <w:color w:val="000000"/>
                <w:sz w:val="16"/>
                <w:szCs w:val="16"/>
                <w:lang w:eastAsia="tr-TR"/>
              </w:rPr>
            </w:pPr>
            <w:r w:rsidRPr="00E16DD0">
              <w:rPr>
                <w:rFonts w:cs="Tahoma"/>
                <w:b/>
                <w:color w:val="000000"/>
                <w:sz w:val="16"/>
                <w:szCs w:val="16"/>
                <w:lang w:eastAsia="tr-TR"/>
              </w:rPr>
              <w:t>Yapılacak İşlem ve Açıklama</w:t>
            </w:r>
          </w:p>
        </w:tc>
      </w:tr>
      <w:tr w:rsidR="00565FD5" w:rsidRPr="00E16DD0" w:rsidTr="00AB62A3">
        <w:trPr>
          <w:trHeight w:val="20"/>
          <w:jc w:val="center"/>
        </w:trPr>
        <w:tc>
          <w:tcPr>
            <w:tcW w:w="5000" w:type="pct"/>
            <w:gridSpan w:val="4"/>
            <w:vAlign w:val="bottom"/>
          </w:tcPr>
          <w:p w:rsidR="00565FD5" w:rsidRPr="00E16DD0" w:rsidRDefault="00565FD5" w:rsidP="00EB1E69">
            <w:pPr>
              <w:numPr>
                <w:ilvl w:val="0"/>
                <w:numId w:val="15"/>
              </w:numPr>
              <w:tabs>
                <w:tab w:val="left" w:pos="425"/>
              </w:tabs>
              <w:spacing w:before="100" w:after="100" w:line="240" w:lineRule="auto"/>
              <w:jc w:val="both"/>
              <w:rPr>
                <w:rFonts w:cs="Tahoma"/>
                <w:b/>
                <w:color w:val="000000"/>
                <w:sz w:val="16"/>
                <w:szCs w:val="16"/>
                <w:lang w:eastAsia="tr-TR"/>
              </w:rPr>
            </w:pPr>
            <w:r w:rsidRPr="00E16DD0">
              <w:rPr>
                <w:rFonts w:cs="Tahoma"/>
                <w:b/>
                <w:color w:val="000000"/>
                <w:sz w:val="16"/>
                <w:szCs w:val="16"/>
                <w:lang w:eastAsia="tr-TR"/>
              </w:rPr>
              <w:t>Ulusal yenilik sistemindeki aktörler arasında işbirliği geliştirilecek, özel kesimin sistem içerisindeki etkinliği artırılacak ve bu alanda uluslararası işbirliği geliştirilecektir.</w:t>
            </w:r>
          </w:p>
        </w:tc>
      </w:tr>
      <w:tr w:rsidR="00565FD5" w:rsidRPr="00E16DD0" w:rsidTr="00AB62A3">
        <w:trPr>
          <w:trHeight w:val="20"/>
          <w:jc w:val="center"/>
        </w:trPr>
        <w:tc>
          <w:tcPr>
            <w:tcW w:w="1419" w:type="pct"/>
          </w:tcPr>
          <w:p w:rsidR="00565FD5" w:rsidRPr="00E16DD0" w:rsidRDefault="00565FD5" w:rsidP="00EB1E69">
            <w:pPr>
              <w:numPr>
                <w:ilvl w:val="0"/>
                <w:numId w:val="14"/>
              </w:numPr>
              <w:tabs>
                <w:tab w:val="left" w:pos="425"/>
              </w:tabs>
              <w:spacing w:before="100" w:after="100" w:line="240" w:lineRule="auto"/>
              <w:rPr>
                <w:rFonts w:cs="Tahoma"/>
                <w:color w:val="000000"/>
                <w:sz w:val="16"/>
                <w:szCs w:val="16"/>
                <w:lang w:eastAsia="tr-TR"/>
              </w:rPr>
            </w:pPr>
            <w:r w:rsidRPr="00E16DD0">
              <w:rPr>
                <w:rFonts w:cs="Tahoma"/>
                <w:color w:val="000000"/>
                <w:sz w:val="16"/>
                <w:szCs w:val="16"/>
                <w:lang w:eastAsia="tr-TR"/>
              </w:rPr>
              <w:t>Bilim, Teknoloji ve Yenilik Stratejisi Eylem Planı güncellenecektir.</w:t>
            </w:r>
          </w:p>
        </w:tc>
        <w:tc>
          <w:tcPr>
            <w:tcW w:w="1331"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 xml:space="preserve">TÜBİTAK (S), Bilim, Sanayi ve Teknoloji Bakanlığı, Kalkınma Bakanlığı, Kalkınma Ajansları, STK’lar, Yerel Yönetimler </w:t>
            </w:r>
          </w:p>
        </w:tc>
        <w:tc>
          <w:tcPr>
            <w:tcW w:w="418"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Ulusal yenilik sistemindeki aktörler arasında işbirliğinin güçlendirilmesi, özel kesimin sistem içerisindeki etkinliğinin artırılması ve uluslararası işbirliğinin güçlendirilmesi amaçlarını da kapsayan Bilim, Teknoloji ve Yenilik Stratejisinin 2013 yılı eylem planı ilgili tarafların katılımıyla hazırlanacaktır.</w:t>
            </w:r>
          </w:p>
        </w:tc>
      </w:tr>
      <w:tr w:rsidR="00565FD5" w:rsidRPr="00E16DD0" w:rsidTr="00AB62A3">
        <w:trPr>
          <w:trHeight w:val="20"/>
          <w:jc w:val="center"/>
        </w:trPr>
        <w:tc>
          <w:tcPr>
            <w:tcW w:w="1419" w:type="pct"/>
          </w:tcPr>
          <w:p w:rsidR="00565FD5" w:rsidRPr="00E16DD0" w:rsidRDefault="00565FD5" w:rsidP="00EB1E69">
            <w:pPr>
              <w:numPr>
                <w:ilvl w:val="0"/>
                <w:numId w:val="14"/>
              </w:numPr>
              <w:tabs>
                <w:tab w:val="left" w:pos="425"/>
              </w:tabs>
              <w:spacing w:before="100" w:after="100" w:line="240" w:lineRule="auto"/>
              <w:rPr>
                <w:rFonts w:cs="Tahoma"/>
                <w:color w:val="000000"/>
                <w:sz w:val="16"/>
                <w:szCs w:val="16"/>
                <w:lang w:eastAsia="tr-TR"/>
              </w:rPr>
            </w:pPr>
            <w:r w:rsidRPr="00E16DD0">
              <w:rPr>
                <w:rFonts w:cs="Tahoma"/>
                <w:color w:val="000000"/>
                <w:sz w:val="16"/>
                <w:szCs w:val="16"/>
                <w:lang w:eastAsia="tr-TR"/>
              </w:rPr>
              <w:t xml:space="preserve">Bilim, araştırma, teknoloji ve yenilik alanlarında toplumsal farkındalık artırılacaktır. </w:t>
            </w:r>
          </w:p>
        </w:tc>
        <w:tc>
          <w:tcPr>
            <w:tcW w:w="1331"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TÜBİTAK (S), Milli Eğitim Bakanlığı, Kalkınma Bakanlığı, Üniversiteler, TÜBA, Yerel Yönetimler, STK'lar, Medya</w:t>
            </w:r>
          </w:p>
        </w:tc>
        <w:tc>
          <w:tcPr>
            <w:tcW w:w="418"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Bilim Merkezleri ve müzeleri kurulması çalışmaları devam ettirilecek, yazılı ve görsel basın aracılığıyla toplumsal farkındalık artırılacak, yarışma, burs ve bilim şenlikleriyle gençler ve çocuklar teşvik edilecektir. Ayrıca eğitim müfredatlarında yenilik kültürü ve farkındalığını artırıcı programlara yer verilecektir.</w:t>
            </w:r>
          </w:p>
        </w:tc>
      </w:tr>
      <w:tr w:rsidR="00565FD5" w:rsidRPr="00E16DD0" w:rsidTr="00AB62A3">
        <w:trPr>
          <w:trHeight w:val="20"/>
          <w:jc w:val="center"/>
        </w:trPr>
        <w:tc>
          <w:tcPr>
            <w:tcW w:w="5000" w:type="pct"/>
            <w:gridSpan w:val="4"/>
          </w:tcPr>
          <w:p w:rsidR="00565FD5" w:rsidRPr="00E16DD0" w:rsidRDefault="00565FD5" w:rsidP="00EB1E69">
            <w:pPr>
              <w:numPr>
                <w:ilvl w:val="0"/>
                <w:numId w:val="15"/>
              </w:numPr>
              <w:tabs>
                <w:tab w:val="left" w:pos="425"/>
              </w:tabs>
              <w:spacing w:before="100" w:after="100" w:line="240" w:lineRule="auto"/>
              <w:rPr>
                <w:rFonts w:cs="Tahoma"/>
                <w:b/>
                <w:color w:val="000000"/>
                <w:sz w:val="16"/>
                <w:szCs w:val="16"/>
                <w:lang w:eastAsia="tr-TR"/>
              </w:rPr>
            </w:pPr>
            <w:r w:rsidRPr="00E16DD0">
              <w:rPr>
                <w:rFonts w:cs="Tahoma"/>
                <w:b/>
                <w:color w:val="000000"/>
                <w:sz w:val="16"/>
                <w:szCs w:val="16"/>
                <w:lang w:eastAsia="tr-TR"/>
              </w:rPr>
              <w:t xml:space="preserve">Başta KOBİ’ler olmak üzere, özel kesimin Ar-Ge kapasitesi ve Ar-Ge’ye olan talebinin artırılması sağlanacak, yenilik tabanlı girişimcilik desteklenecektir. </w:t>
            </w:r>
          </w:p>
        </w:tc>
      </w:tr>
      <w:tr w:rsidR="00565FD5" w:rsidRPr="00E16DD0" w:rsidTr="00AB62A3">
        <w:trPr>
          <w:trHeight w:val="20"/>
          <w:jc w:val="center"/>
        </w:trPr>
        <w:tc>
          <w:tcPr>
            <w:tcW w:w="1419" w:type="pct"/>
          </w:tcPr>
          <w:p w:rsidR="00565FD5" w:rsidRPr="00E16DD0" w:rsidRDefault="00565FD5" w:rsidP="00EB1E69">
            <w:pPr>
              <w:numPr>
                <w:ilvl w:val="0"/>
                <w:numId w:val="14"/>
              </w:numPr>
              <w:tabs>
                <w:tab w:val="left" w:pos="425"/>
              </w:tabs>
              <w:spacing w:before="100" w:after="100" w:line="240" w:lineRule="auto"/>
              <w:rPr>
                <w:rFonts w:cs="Tahoma"/>
                <w:color w:val="000000"/>
                <w:sz w:val="16"/>
                <w:szCs w:val="16"/>
                <w:lang w:eastAsia="tr-TR"/>
              </w:rPr>
            </w:pPr>
            <w:r w:rsidRPr="00E16DD0">
              <w:rPr>
                <w:rFonts w:cs="Tahoma"/>
                <w:color w:val="000000"/>
                <w:sz w:val="16"/>
                <w:szCs w:val="16"/>
                <w:lang w:eastAsia="tr-TR"/>
              </w:rPr>
              <w:lastRenderedPageBreak/>
              <w:t xml:space="preserve">Özel sektöre yönelik olanlar başta olmak üzere, kamu kurumları tarafından verilen Ar-Ge desteklerinin etki analizi çalışması yapılacaktır. </w:t>
            </w:r>
          </w:p>
        </w:tc>
        <w:tc>
          <w:tcPr>
            <w:tcW w:w="1331"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 xml:space="preserve">Bilim, Sanayi ve Teknoloji Bakanlığı (S), Kalkınma Bakanlığı, TOBB, KOSGEB, Üniversiteler, TÜBİTAK, Kalkınma Ajansları </w:t>
            </w:r>
          </w:p>
        </w:tc>
        <w:tc>
          <w:tcPr>
            <w:tcW w:w="418"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Kamu kurumları tarafından verilen Ar-Ge desteklerinin yenilik kültürünün oluşmasına ve faydaya dönüşmesine yönelik etki analizi çalışması yapılacaktır.</w:t>
            </w:r>
          </w:p>
        </w:tc>
      </w:tr>
      <w:tr w:rsidR="00565FD5" w:rsidRPr="00E16DD0" w:rsidTr="00AB62A3">
        <w:trPr>
          <w:trHeight w:val="20"/>
          <w:jc w:val="center"/>
        </w:trPr>
        <w:tc>
          <w:tcPr>
            <w:tcW w:w="1419" w:type="pct"/>
          </w:tcPr>
          <w:p w:rsidR="00565FD5" w:rsidRPr="00E16DD0" w:rsidRDefault="00565FD5" w:rsidP="00EB1E69">
            <w:pPr>
              <w:numPr>
                <w:ilvl w:val="0"/>
                <w:numId w:val="14"/>
              </w:numPr>
              <w:tabs>
                <w:tab w:val="left" w:pos="425"/>
              </w:tabs>
              <w:spacing w:before="100" w:after="100" w:line="240" w:lineRule="auto"/>
              <w:rPr>
                <w:rFonts w:cs="Tahoma"/>
                <w:color w:val="000000"/>
                <w:sz w:val="16"/>
                <w:szCs w:val="16"/>
                <w:lang w:eastAsia="tr-TR"/>
              </w:rPr>
            </w:pPr>
            <w:r w:rsidRPr="00E16DD0">
              <w:rPr>
                <w:rFonts w:cs="Tahoma"/>
                <w:color w:val="000000"/>
                <w:sz w:val="16"/>
                <w:szCs w:val="16"/>
                <w:lang w:eastAsia="tr-TR"/>
              </w:rPr>
              <w:t xml:space="preserve">KOBİ’lere sağlanan Ar-Ge destekleri etkinleştirilecek ve yaygınlaştırılacaktır. </w:t>
            </w:r>
          </w:p>
        </w:tc>
        <w:tc>
          <w:tcPr>
            <w:tcW w:w="1331"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 xml:space="preserve">KOSGEB (S), Bilim, Sanayi ve Teknoloji Bakanlığı, TPE, Üniversiteler, Sanayi ve </w:t>
            </w:r>
            <w:r>
              <w:rPr>
                <w:rFonts w:cs="Tahoma"/>
                <w:color w:val="000000"/>
                <w:sz w:val="16"/>
                <w:szCs w:val="16"/>
                <w:lang w:eastAsia="tr-TR"/>
              </w:rPr>
              <w:t>Ticaret</w:t>
            </w:r>
            <w:r w:rsidRPr="00E16DD0">
              <w:rPr>
                <w:rFonts w:cs="Tahoma"/>
                <w:color w:val="000000"/>
                <w:sz w:val="16"/>
                <w:szCs w:val="16"/>
                <w:lang w:eastAsia="tr-TR"/>
              </w:rPr>
              <w:t xml:space="preserve"> Odaları, Kalkınma Ajansları</w:t>
            </w:r>
          </w:p>
        </w:tc>
        <w:tc>
          <w:tcPr>
            <w:tcW w:w="418"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KOBİ’lerin Ar-Ge finansmanına destek olmak üzere başlangıç ve risk sermayesi uygulamaları etkinleştirilecek ve yaygınlaştırılacaktır. Özel sektör ile üniversiteler arasında Ar-Ge ve yenilik faaliyetlerinin desteklenmesine yönelik işbirliğinin yaygınlaştırılması sağlanacak, KOBİ’ler ve girişimcilerin Ar-Ge, yenilik ve endüstriyel uygulamaya yönelik projeleri desteklenecektir.</w:t>
            </w:r>
          </w:p>
        </w:tc>
      </w:tr>
      <w:tr w:rsidR="00565FD5" w:rsidRPr="00E16DD0" w:rsidTr="00AB62A3">
        <w:trPr>
          <w:trHeight w:val="20"/>
          <w:jc w:val="center"/>
        </w:trPr>
        <w:tc>
          <w:tcPr>
            <w:tcW w:w="1419" w:type="pct"/>
          </w:tcPr>
          <w:p w:rsidR="00565FD5" w:rsidRPr="00E16DD0" w:rsidRDefault="00565FD5" w:rsidP="00EB1E69">
            <w:pPr>
              <w:numPr>
                <w:ilvl w:val="0"/>
                <w:numId w:val="14"/>
              </w:numPr>
              <w:tabs>
                <w:tab w:val="left" w:pos="425"/>
              </w:tabs>
              <w:spacing w:before="100" w:after="100" w:line="240" w:lineRule="auto"/>
              <w:rPr>
                <w:rFonts w:cs="Tahoma"/>
                <w:color w:val="000000"/>
                <w:sz w:val="16"/>
                <w:szCs w:val="16"/>
                <w:lang w:eastAsia="tr-TR"/>
              </w:rPr>
            </w:pPr>
            <w:r w:rsidRPr="00E16DD0">
              <w:rPr>
                <w:rFonts w:cs="Tahoma"/>
                <w:color w:val="000000"/>
                <w:sz w:val="16"/>
                <w:szCs w:val="16"/>
                <w:lang w:eastAsia="tr-TR"/>
              </w:rPr>
              <w:t>Yenilik tabanlı girişimcilik geliştirilerek  bütünsellik sağlayacak bir koordinasyon, izleme ve değerlendirme mekanizması kurulacaktır.</w:t>
            </w:r>
          </w:p>
        </w:tc>
        <w:tc>
          <w:tcPr>
            <w:tcW w:w="1331"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Bilim, Sanayi ve Teknoloji Bakanlığı (S), Maliye Bakanlığı, Kalkınma Bakanlığı, Ekonomi Bakanlığı,  Üniversiteler, TÜBİTAK, Teknoloji Geliştirme Bölgeleri Yönetici Şirketleri</w:t>
            </w:r>
          </w:p>
        </w:tc>
        <w:tc>
          <w:tcPr>
            <w:tcW w:w="418"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Bilim, Sanayi ve Teknoloji Bakanlığı, TÜBİTAK ve KOSGEB tarafından verilen yenilik tabanlı girişimcilik destekleri bütünsellik sağlayacak şekilde geliştirilecek ve bu alanda koordinasyon, izleme ve değerlendirme mekanizması kurulacaktır.</w:t>
            </w:r>
          </w:p>
        </w:tc>
      </w:tr>
      <w:tr w:rsidR="00565FD5" w:rsidRPr="00E16DD0" w:rsidTr="00AB62A3">
        <w:trPr>
          <w:trHeight w:val="20"/>
          <w:jc w:val="center"/>
        </w:trPr>
        <w:tc>
          <w:tcPr>
            <w:tcW w:w="5000" w:type="pct"/>
            <w:gridSpan w:val="4"/>
          </w:tcPr>
          <w:p w:rsidR="00565FD5" w:rsidRPr="00E16DD0" w:rsidRDefault="00565FD5" w:rsidP="00EB1E69">
            <w:pPr>
              <w:numPr>
                <w:ilvl w:val="0"/>
                <w:numId w:val="15"/>
              </w:numPr>
              <w:tabs>
                <w:tab w:val="left" w:pos="425"/>
              </w:tabs>
              <w:spacing w:before="100" w:after="100" w:line="240" w:lineRule="auto"/>
              <w:jc w:val="both"/>
              <w:rPr>
                <w:rFonts w:cs="Tahoma"/>
                <w:b/>
                <w:color w:val="000000"/>
                <w:sz w:val="16"/>
                <w:szCs w:val="16"/>
                <w:lang w:eastAsia="tr-TR"/>
              </w:rPr>
            </w:pPr>
            <w:r w:rsidRPr="00E16DD0">
              <w:rPr>
                <w:rFonts w:cs="Tahoma"/>
                <w:b/>
                <w:color w:val="000000"/>
                <w:sz w:val="16"/>
                <w:szCs w:val="16"/>
                <w:lang w:eastAsia="tr-TR"/>
              </w:rPr>
              <w:t xml:space="preserve">Özel sektör ile üniversiteler ve araştırma kurumları arasındaki işbirliğini geliştirmeye yönelik programlar ve rekabet öncesi Ar-Ge işbirlikleri ile yenilik tabanlı rekabetçi kümelenme çalışmaları desteklenecektir. </w:t>
            </w:r>
          </w:p>
        </w:tc>
      </w:tr>
      <w:tr w:rsidR="00565FD5" w:rsidRPr="00E16DD0" w:rsidTr="00AB62A3">
        <w:trPr>
          <w:trHeight w:val="20"/>
          <w:jc w:val="center"/>
        </w:trPr>
        <w:tc>
          <w:tcPr>
            <w:tcW w:w="1419" w:type="pct"/>
          </w:tcPr>
          <w:p w:rsidR="00565FD5" w:rsidRPr="00E16DD0" w:rsidRDefault="00565FD5" w:rsidP="00EB1E69">
            <w:pPr>
              <w:numPr>
                <w:ilvl w:val="0"/>
                <w:numId w:val="14"/>
              </w:numPr>
              <w:tabs>
                <w:tab w:val="left" w:pos="425"/>
              </w:tabs>
              <w:spacing w:before="100" w:after="100" w:line="240" w:lineRule="auto"/>
              <w:rPr>
                <w:rFonts w:cs="Tahoma"/>
                <w:color w:val="000000"/>
                <w:sz w:val="16"/>
                <w:szCs w:val="16"/>
                <w:lang w:eastAsia="tr-TR"/>
              </w:rPr>
            </w:pPr>
            <w:r w:rsidRPr="00326165">
              <w:rPr>
                <w:rFonts w:cs="Tahoma"/>
                <w:color w:val="000000"/>
                <w:sz w:val="16"/>
                <w:szCs w:val="16"/>
                <w:lang w:eastAsia="tr-TR"/>
              </w:rPr>
              <w:t>Bilim ve teknoloji alanında işbirliği ağları ve platformları yaygınlaştırılacaktır.</w:t>
            </w:r>
          </w:p>
        </w:tc>
        <w:tc>
          <w:tcPr>
            <w:tcW w:w="1331"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TÜBİTAK (S), YÖK, Üniversiteler, Özel Sektör</w:t>
            </w:r>
          </w:p>
        </w:tc>
        <w:tc>
          <w:tcPr>
            <w:tcW w:w="418"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İlgili kamu kurum ve kuruluşları, özel sektör ve sivil toplum kuruluşlarında bilim ve teknoloji alanında işbirliği ağları ve platformlarıyla ilgili olarak mevcut programlar yaygınlaştırılacak ve yeni programların başlatılması sağlanacaktır.</w:t>
            </w:r>
          </w:p>
        </w:tc>
      </w:tr>
      <w:tr w:rsidR="00565FD5" w:rsidRPr="00E16DD0" w:rsidTr="00AB62A3">
        <w:trPr>
          <w:trHeight w:val="20"/>
          <w:jc w:val="center"/>
        </w:trPr>
        <w:tc>
          <w:tcPr>
            <w:tcW w:w="1419" w:type="pct"/>
          </w:tcPr>
          <w:p w:rsidR="00565FD5" w:rsidRPr="00E16DD0" w:rsidRDefault="00565FD5" w:rsidP="00EB1E69">
            <w:pPr>
              <w:numPr>
                <w:ilvl w:val="0"/>
                <w:numId w:val="14"/>
              </w:numPr>
              <w:tabs>
                <w:tab w:val="left" w:pos="425"/>
              </w:tabs>
              <w:spacing w:before="100" w:after="100" w:line="240" w:lineRule="auto"/>
              <w:rPr>
                <w:rFonts w:cs="Tahoma"/>
                <w:color w:val="000000"/>
                <w:sz w:val="16"/>
                <w:szCs w:val="16"/>
                <w:lang w:eastAsia="tr-TR"/>
              </w:rPr>
            </w:pPr>
            <w:r w:rsidRPr="00E16DD0">
              <w:rPr>
                <w:rFonts w:cs="Tahoma"/>
                <w:color w:val="000000"/>
                <w:sz w:val="16"/>
                <w:szCs w:val="16"/>
                <w:lang w:eastAsia="tr-TR"/>
              </w:rPr>
              <w:t>TGB’lerde daha fazla katma değer üretilmesi amacına yönelik olarak Ar-Ge firması, personeli ve faaliyetleri artırılacaktır.</w:t>
            </w:r>
          </w:p>
        </w:tc>
        <w:tc>
          <w:tcPr>
            <w:tcW w:w="1331"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Bilim, Sanayi ve Teknoloji Bakanlığı (S), Maliye Bakanlığı, Kalkınma Bakanlığı, Hazine Müsteşarlığı, TÜBİTAK, TOBB</w:t>
            </w:r>
          </w:p>
        </w:tc>
        <w:tc>
          <w:tcPr>
            <w:tcW w:w="418"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565FD5" w:rsidRPr="00E16DD0" w:rsidDel="000E7E4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TGB’lerde Ar-Ge firması, personeli ve faaliyetleri artırılarak daha fazla katma değer üretilmesi sağlanacaktır.</w:t>
            </w:r>
            <w:r>
              <w:rPr>
                <w:rFonts w:cs="Tahoma"/>
                <w:color w:val="000000"/>
                <w:sz w:val="16"/>
                <w:szCs w:val="16"/>
                <w:lang w:eastAsia="tr-TR"/>
              </w:rPr>
              <w:t xml:space="preserve"> Bu amaçla performans izleme ve değerlendirme sistemi kurulacaktır.</w:t>
            </w:r>
          </w:p>
        </w:tc>
      </w:tr>
      <w:tr w:rsidR="00565FD5" w:rsidRPr="00E16DD0" w:rsidTr="00AB62A3">
        <w:trPr>
          <w:trHeight w:val="20"/>
          <w:jc w:val="center"/>
        </w:trPr>
        <w:tc>
          <w:tcPr>
            <w:tcW w:w="1419" w:type="pct"/>
          </w:tcPr>
          <w:p w:rsidR="00565FD5" w:rsidRPr="00E16DD0" w:rsidRDefault="00565FD5" w:rsidP="00EB1E69">
            <w:pPr>
              <w:numPr>
                <w:ilvl w:val="0"/>
                <w:numId w:val="14"/>
              </w:numPr>
              <w:tabs>
                <w:tab w:val="left" w:pos="425"/>
              </w:tabs>
              <w:spacing w:before="100" w:after="100" w:line="240" w:lineRule="auto"/>
              <w:rPr>
                <w:rFonts w:cs="Tahoma"/>
                <w:color w:val="000000"/>
                <w:sz w:val="16"/>
                <w:szCs w:val="16"/>
                <w:lang w:eastAsia="tr-TR"/>
              </w:rPr>
            </w:pPr>
            <w:r w:rsidRPr="00E16DD0">
              <w:rPr>
                <w:rFonts w:cs="Tahoma"/>
                <w:color w:val="000000"/>
                <w:sz w:val="16"/>
                <w:szCs w:val="16"/>
                <w:lang w:eastAsia="tr-TR"/>
              </w:rPr>
              <w:t xml:space="preserve">Araştırma </w:t>
            </w:r>
            <w:r w:rsidRPr="00E16DD0">
              <w:rPr>
                <w:rFonts w:cs="Tahoma"/>
                <w:color w:val="000000"/>
                <w:sz w:val="16"/>
                <w:szCs w:val="16"/>
                <w:lang w:eastAsia="tr-TR"/>
              </w:rPr>
              <w:lastRenderedPageBreak/>
              <w:t>sonuçlarının ticarileştirilmesi sağlanacak ve teknoloji transferi uygulamaları etkinleştirilecektir.</w:t>
            </w:r>
          </w:p>
        </w:tc>
        <w:tc>
          <w:tcPr>
            <w:tcW w:w="1331"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lastRenderedPageBreak/>
              <w:t xml:space="preserve">Bilim, Sanayi ve Teknoloji </w:t>
            </w:r>
            <w:r w:rsidRPr="00E16DD0">
              <w:rPr>
                <w:rFonts w:cs="Tahoma"/>
                <w:color w:val="000000"/>
                <w:sz w:val="16"/>
                <w:szCs w:val="16"/>
                <w:lang w:eastAsia="tr-TR"/>
              </w:rPr>
              <w:lastRenderedPageBreak/>
              <w:t xml:space="preserve">Bakanlığı (S), Kalkınma Bakanlığı, YÖK, Üniversiteler, TÜBİTAK, TPE, TOBB </w:t>
            </w:r>
          </w:p>
        </w:tc>
        <w:tc>
          <w:tcPr>
            <w:tcW w:w="418"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lastRenderedPageBreak/>
              <w:t xml:space="preserve">Aralık </w:t>
            </w:r>
            <w:r w:rsidRPr="00E16DD0">
              <w:rPr>
                <w:rFonts w:cs="Tahoma"/>
                <w:color w:val="000000"/>
                <w:sz w:val="16"/>
                <w:szCs w:val="16"/>
                <w:lang w:eastAsia="tr-TR"/>
              </w:rPr>
              <w:lastRenderedPageBreak/>
              <w:t>Sonu</w:t>
            </w:r>
          </w:p>
        </w:tc>
        <w:tc>
          <w:tcPr>
            <w:tcW w:w="1832"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lastRenderedPageBreak/>
              <w:t xml:space="preserve">Araştırma sonuçlarının fikri mülkiyet </w:t>
            </w:r>
            <w:r w:rsidRPr="00E16DD0">
              <w:rPr>
                <w:rFonts w:cs="Tahoma"/>
                <w:color w:val="000000"/>
                <w:sz w:val="16"/>
                <w:szCs w:val="16"/>
                <w:lang w:eastAsia="tr-TR"/>
              </w:rPr>
              <w:lastRenderedPageBreak/>
              <w:t xml:space="preserve">haklarına ilişkin mevzuat düzenlemeleri gerçekleştirilecektir. Ülkemiz için uygun Teknoloji Transfer Ofisi modeli tamamlanarak pilot ölçekte uygulaması başlatılacaktır.  Kuluçka merkezleri desteklenecektir. Girişimci ve yenilikçi üniversite endekslerinin oluşturulması ve akademik terfi ölçütlerinin girişimcilik ve yenilikçiliği teşvik edecek şekilde yeniden tasarımı sağlanacaktır.  </w:t>
            </w:r>
          </w:p>
        </w:tc>
      </w:tr>
      <w:tr w:rsidR="00565FD5" w:rsidRPr="00E16DD0" w:rsidTr="00AB62A3">
        <w:trPr>
          <w:trHeight w:val="20"/>
          <w:jc w:val="center"/>
        </w:trPr>
        <w:tc>
          <w:tcPr>
            <w:tcW w:w="1419" w:type="pct"/>
          </w:tcPr>
          <w:p w:rsidR="00565FD5" w:rsidRPr="00E16DD0" w:rsidRDefault="00565FD5" w:rsidP="00EB1E69">
            <w:pPr>
              <w:numPr>
                <w:ilvl w:val="0"/>
                <w:numId w:val="14"/>
              </w:numPr>
              <w:tabs>
                <w:tab w:val="left" w:pos="425"/>
              </w:tabs>
              <w:spacing w:before="100" w:after="100" w:line="240" w:lineRule="auto"/>
              <w:rPr>
                <w:rFonts w:cs="Tahoma"/>
                <w:color w:val="000000"/>
                <w:sz w:val="16"/>
                <w:szCs w:val="16"/>
                <w:lang w:eastAsia="tr-TR"/>
              </w:rPr>
            </w:pPr>
            <w:r w:rsidRPr="00E16DD0">
              <w:rPr>
                <w:rFonts w:cs="Tahoma"/>
                <w:color w:val="000000"/>
                <w:sz w:val="16"/>
                <w:szCs w:val="16"/>
                <w:lang w:eastAsia="tr-TR"/>
              </w:rPr>
              <w:lastRenderedPageBreak/>
              <w:t>Dışa bağımlılığın yüksek olduğu sektörlerde yerli ürün ve teknolojiler geliştirilmesine yönelik araştırma programları öncelikli olarak desteklenecek ve etkinleştirilecektir.</w:t>
            </w:r>
          </w:p>
        </w:tc>
        <w:tc>
          <w:tcPr>
            <w:tcW w:w="1331"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Kalkınma Bakanlığı (S), Bilim, Sanayi ve Teknoloji Bakanlığı, Sağlık Bakanlığı, Milli Savunma Bakanlığı, Enerji ve Tabii Kaynaklar Bakanlığı, Savunma Sanayi Müsteşarlığı, TÜBİTAK, Üniversiteler</w:t>
            </w:r>
          </w:p>
        </w:tc>
        <w:tc>
          <w:tcPr>
            <w:tcW w:w="418"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Dışa bağımlılığın yüksek olduğu savunma, sağlık ve enerji gibi sektörlerden sorumlu kamu kuruluşlarında Ar-Ge destek programları geliştirilecektir. TÜBİTAK tarafından yürütülen TARAL Programı kapsamındaki projelerde ve araştırma altyapısı desteklerinde öncelik bu alanlara verilecektir.</w:t>
            </w:r>
          </w:p>
        </w:tc>
      </w:tr>
      <w:tr w:rsidR="00565FD5" w:rsidRPr="00E16DD0" w:rsidTr="00AB62A3">
        <w:trPr>
          <w:trHeight w:val="20"/>
          <w:jc w:val="center"/>
        </w:trPr>
        <w:tc>
          <w:tcPr>
            <w:tcW w:w="1419" w:type="pct"/>
          </w:tcPr>
          <w:p w:rsidR="00565FD5" w:rsidRPr="00E16DD0" w:rsidRDefault="00565FD5" w:rsidP="00EB1E69">
            <w:pPr>
              <w:numPr>
                <w:ilvl w:val="0"/>
                <w:numId w:val="14"/>
              </w:numPr>
              <w:tabs>
                <w:tab w:val="left" w:pos="425"/>
              </w:tabs>
              <w:spacing w:before="100" w:after="100" w:line="240" w:lineRule="auto"/>
              <w:rPr>
                <w:rFonts w:cs="Tahoma"/>
                <w:color w:val="000000"/>
                <w:sz w:val="16"/>
                <w:szCs w:val="16"/>
                <w:lang w:eastAsia="tr-TR"/>
              </w:rPr>
            </w:pPr>
            <w:r w:rsidRPr="00E16DD0">
              <w:rPr>
                <w:rFonts w:cs="Tahoma"/>
                <w:color w:val="000000"/>
                <w:sz w:val="16"/>
                <w:szCs w:val="16"/>
                <w:lang w:eastAsia="tr-TR"/>
              </w:rPr>
              <w:t xml:space="preserve">İleri teknoloji içeren ve yurtdışında rekabet üstünlüğü yaratabilecek güvenlik sistemleri geliştirilecektir. </w:t>
            </w:r>
          </w:p>
        </w:tc>
        <w:tc>
          <w:tcPr>
            <w:tcW w:w="1331"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TÜBİTAK (S), Milli Savunma Bakanlığı, Savunma Sanayi Müsteşarlığı</w:t>
            </w:r>
          </w:p>
        </w:tc>
        <w:tc>
          <w:tcPr>
            <w:tcW w:w="418"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Aralık Sonu</w:t>
            </w:r>
          </w:p>
          <w:p w:rsidR="00565FD5" w:rsidRPr="00E16DD0" w:rsidRDefault="00565FD5" w:rsidP="00AB62A3">
            <w:pPr>
              <w:spacing w:before="100" w:after="100"/>
              <w:rPr>
                <w:rFonts w:cs="Tahoma"/>
                <w:color w:val="000000"/>
                <w:sz w:val="16"/>
                <w:szCs w:val="16"/>
                <w:lang w:eastAsia="tr-TR"/>
              </w:rPr>
            </w:pPr>
          </w:p>
        </w:tc>
        <w:tc>
          <w:tcPr>
            <w:tcW w:w="1832"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Güvenlik teknolojileri içeren projeler için destek mekanizmalarında çeşitlilik ve pazar yaratma konusunda destek sağlanacaktır.</w:t>
            </w:r>
          </w:p>
        </w:tc>
      </w:tr>
      <w:tr w:rsidR="00565FD5" w:rsidRPr="00E16DD0" w:rsidTr="00AB62A3">
        <w:trPr>
          <w:trHeight w:val="20"/>
          <w:jc w:val="center"/>
        </w:trPr>
        <w:tc>
          <w:tcPr>
            <w:tcW w:w="5000" w:type="pct"/>
            <w:gridSpan w:val="4"/>
          </w:tcPr>
          <w:p w:rsidR="00565FD5" w:rsidRPr="00E16DD0" w:rsidRDefault="00565FD5" w:rsidP="00EB1E69">
            <w:pPr>
              <w:numPr>
                <w:ilvl w:val="0"/>
                <w:numId w:val="15"/>
              </w:numPr>
              <w:tabs>
                <w:tab w:val="left" w:pos="425"/>
              </w:tabs>
              <w:spacing w:before="100" w:after="100" w:line="240" w:lineRule="auto"/>
              <w:rPr>
                <w:rFonts w:cs="Tahoma"/>
                <w:b/>
                <w:color w:val="000000"/>
                <w:sz w:val="16"/>
                <w:szCs w:val="16"/>
                <w:lang w:eastAsia="tr-TR"/>
              </w:rPr>
            </w:pPr>
            <w:r w:rsidRPr="00E16DD0">
              <w:rPr>
                <w:rFonts w:cs="Tahoma"/>
                <w:b/>
                <w:color w:val="000000"/>
                <w:sz w:val="16"/>
                <w:szCs w:val="16"/>
                <w:lang w:eastAsia="tr-TR"/>
              </w:rPr>
              <w:t xml:space="preserve">Araştırmacı insan gücü, özel sektörün ihtiyaçları da dikkate alınarak nitelik ve nicelik yönünden geliştirilecektir. </w:t>
            </w:r>
          </w:p>
        </w:tc>
      </w:tr>
      <w:tr w:rsidR="00565FD5" w:rsidRPr="00E16DD0" w:rsidTr="00AB62A3">
        <w:trPr>
          <w:trHeight w:val="20"/>
          <w:jc w:val="center"/>
        </w:trPr>
        <w:tc>
          <w:tcPr>
            <w:tcW w:w="1419" w:type="pct"/>
          </w:tcPr>
          <w:p w:rsidR="00565FD5" w:rsidRPr="00E16DD0" w:rsidRDefault="00565FD5" w:rsidP="00EB1E69">
            <w:pPr>
              <w:numPr>
                <w:ilvl w:val="0"/>
                <w:numId w:val="14"/>
              </w:numPr>
              <w:tabs>
                <w:tab w:val="left" w:pos="425"/>
              </w:tabs>
              <w:spacing w:before="100" w:after="100" w:line="240" w:lineRule="auto"/>
              <w:rPr>
                <w:rFonts w:cs="Tahoma"/>
                <w:color w:val="000000"/>
                <w:sz w:val="16"/>
                <w:szCs w:val="16"/>
                <w:lang w:eastAsia="tr-TR"/>
              </w:rPr>
            </w:pPr>
            <w:r w:rsidRPr="00E16DD0">
              <w:rPr>
                <w:rFonts w:cs="Tahoma"/>
                <w:color w:val="000000"/>
                <w:sz w:val="16"/>
                <w:szCs w:val="16"/>
                <w:lang w:eastAsia="tr-TR"/>
              </w:rPr>
              <w:t>Araştırmacı insan gücü yetiştirme programları yaygınlaştırılacaktır.</w:t>
            </w:r>
          </w:p>
        </w:tc>
        <w:tc>
          <w:tcPr>
            <w:tcW w:w="1331"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 xml:space="preserve">TÜBİTAK (S), Maliye Bakanlığı, Milli Eğitim Bakanlığı, Kalkınma Bakanlığı, YÖK, Devlet Personel Başkanlığı </w:t>
            </w:r>
          </w:p>
        </w:tc>
        <w:tc>
          <w:tcPr>
            <w:tcW w:w="418"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Öncelikli alanlar başta olmak üzere özel sektör- üniversite işbirliğini geliştirmeye yönelik araştırmacı insan gücü programları desteklenecek, mevcut araştırma kapasitesinin nitelik ve nicelik yönünden artırılabilmesi amacıyla yeni programlar geliştirilecek ve mevcut burslar artırılacaktır.</w:t>
            </w:r>
          </w:p>
        </w:tc>
      </w:tr>
      <w:tr w:rsidR="00565FD5" w:rsidRPr="00E16DD0" w:rsidTr="00AB62A3">
        <w:trPr>
          <w:trHeight w:val="20"/>
          <w:jc w:val="center"/>
        </w:trPr>
        <w:tc>
          <w:tcPr>
            <w:tcW w:w="1419" w:type="pct"/>
          </w:tcPr>
          <w:p w:rsidR="00565FD5" w:rsidRPr="00E16DD0" w:rsidRDefault="00565FD5" w:rsidP="00EB1E69">
            <w:pPr>
              <w:numPr>
                <w:ilvl w:val="0"/>
                <w:numId w:val="14"/>
              </w:numPr>
              <w:tabs>
                <w:tab w:val="left" w:pos="425"/>
              </w:tabs>
              <w:spacing w:before="100" w:after="100" w:line="240" w:lineRule="auto"/>
              <w:rPr>
                <w:rFonts w:cs="Tahoma"/>
                <w:color w:val="000000"/>
                <w:sz w:val="16"/>
                <w:szCs w:val="16"/>
                <w:lang w:eastAsia="tr-TR"/>
              </w:rPr>
            </w:pPr>
            <w:r w:rsidRPr="00E16DD0">
              <w:rPr>
                <w:rFonts w:cs="Tahoma"/>
                <w:color w:val="000000"/>
                <w:sz w:val="16"/>
                <w:szCs w:val="16"/>
                <w:lang w:eastAsia="tr-TR"/>
              </w:rPr>
              <w:t>Yurt dışındaki yerli ve yabancı, nitelikli araştırmacıların ülkemizde çalışması özendirilecektir.</w:t>
            </w:r>
          </w:p>
        </w:tc>
        <w:tc>
          <w:tcPr>
            <w:tcW w:w="1331"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 xml:space="preserve">TÜBİTAK (S), Maliye Bakanlığı, MEB, İçişleri Bakanlığı, Kalkınma Bakanlığı, Devlet Personel Başkanlığı, YÖK, Üniversiteler </w:t>
            </w:r>
          </w:p>
        </w:tc>
        <w:tc>
          <w:tcPr>
            <w:tcW w:w="418"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Yurt dışındaki yerli ve yabancı, nitelikli araştırmacılar için ülkemizi daha cazip kılmak üzere gerekli mali, hukuki ve idari düzenlemeler sürdürülecektir. Düzenli faaliyetlerle yurt dışındaki yerli akademisyenler bir araya getirilecektir.</w:t>
            </w:r>
          </w:p>
        </w:tc>
      </w:tr>
      <w:tr w:rsidR="00565FD5" w:rsidRPr="00E16DD0" w:rsidTr="00AB62A3">
        <w:trPr>
          <w:trHeight w:val="20"/>
          <w:jc w:val="center"/>
        </w:trPr>
        <w:tc>
          <w:tcPr>
            <w:tcW w:w="5000" w:type="pct"/>
            <w:gridSpan w:val="4"/>
          </w:tcPr>
          <w:p w:rsidR="00565FD5" w:rsidRPr="00E16DD0" w:rsidRDefault="00565FD5" w:rsidP="00EB1E69">
            <w:pPr>
              <w:numPr>
                <w:ilvl w:val="0"/>
                <w:numId w:val="15"/>
              </w:numPr>
              <w:tabs>
                <w:tab w:val="left" w:pos="425"/>
              </w:tabs>
              <w:spacing w:before="100" w:after="100" w:line="240" w:lineRule="auto"/>
              <w:jc w:val="both"/>
              <w:rPr>
                <w:rFonts w:cs="Tahoma"/>
                <w:b/>
                <w:color w:val="000000"/>
                <w:sz w:val="16"/>
                <w:szCs w:val="16"/>
                <w:lang w:eastAsia="tr-TR"/>
              </w:rPr>
            </w:pPr>
            <w:r w:rsidRPr="00E16DD0">
              <w:rPr>
                <w:rFonts w:cs="Tahoma"/>
                <w:b/>
                <w:color w:val="000000"/>
                <w:sz w:val="16"/>
                <w:szCs w:val="16"/>
                <w:lang w:eastAsia="tr-TR"/>
              </w:rPr>
              <w:lastRenderedPageBreak/>
              <w:t>Araştırma alt yapıları geliştirilecek, etkin kullanımı ve sürdürülebilirliği sağlanacaktır.</w:t>
            </w:r>
          </w:p>
        </w:tc>
      </w:tr>
      <w:tr w:rsidR="00565FD5" w:rsidRPr="00E16DD0" w:rsidTr="00AB62A3">
        <w:trPr>
          <w:trHeight w:val="20"/>
          <w:jc w:val="center"/>
        </w:trPr>
        <w:tc>
          <w:tcPr>
            <w:tcW w:w="1419" w:type="pct"/>
          </w:tcPr>
          <w:p w:rsidR="00565FD5" w:rsidRPr="00E16DD0" w:rsidRDefault="00565FD5" w:rsidP="00EB1E69">
            <w:pPr>
              <w:numPr>
                <w:ilvl w:val="0"/>
                <w:numId w:val="14"/>
              </w:numPr>
              <w:tabs>
                <w:tab w:val="left" w:pos="425"/>
                <w:tab w:val="center" w:pos="4153"/>
                <w:tab w:val="right" w:pos="8306"/>
              </w:tabs>
              <w:spacing w:before="100" w:after="100" w:line="240" w:lineRule="auto"/>
              <w:rPr>
                <w:rFonts w:cs="Tahoma"/>
                <w:color w:val="000000"/>
                <w:sz w:val="16"/>
                <w:szCs w:val="16"/>
                <w:lang w:eastAsia="tr-TR"/>
              </w:rPr>
            </w:pPr>
            <w:r w:rsidRPr="00E16DD0">
              <w:rPr>
                <w:rFonts w:cs="Tahoma"/>
                <w:color w:val="000000"/>
                <w:sz w:val="16"/>
                <w:szCs w:val="16"/>
                <w:lang w:eastAsia="tr-TR"/>
              </w:rPr>
              <w:t>Ülkemizdeki araştırma altyapılarını etkinleştirecek yol haritası çalışmaları yapılacaktır.</w:t>
            </w:r>
          </w:p>
        </w:tc>
        <w:tc>
          <w:tcPr>
            <w:tcW w:w="1331" w:type="pct"/>
          </w:tcPr>
          <w:p w:rsidR="00565FD5" w:rsidRPr="00E16DD0" w:rsidRDefault="00565FD5" w:rsidP="00AB62A3">
            <w:pPr>
              <w:tabs>
                <w:tab w:val="center" w:pos="4153"/>
                <w:tab w:val="right" w:pos="8306"/>
              </w:tabs>
              <w:spacing w:before="100" w:after="100"/>
              <w:rPr>
                <w:rFonts w:cs="Tahoma"/>
                <w:color w:val="000000"/>
                <w:sz w:val="16"/>
                <w:szCs w:val="16"/>
                <w:lang w:eastAsia="tr-TR"/>
              </w:rPr>
            </w:pPr>
            <w:r w:rsidRPr="00E16DD0">
              <w:rPr>
                <w:rFonts w:cs="Tahoma"/>
                <w:color w:val="000000"/>
                <w:sz w:val="16"/>
                <w:szCs w:val="16"/>
                <w:lang w:eastAsia="tr-TR"/>
              </w:rPr>
              <w:t xml:space="preserve">Kalkınma Bakanlığı (S), Bilim, Sanayi ve Teknoloji Bakanlığı, Maliye Bakanlığı, YÖK, TÜBİTAK, Üniversiteler, Sanayi ve Ticaret Odaları, KOSGEB </w:t>
            </w:r>
          </w:p>
        </w:tc>
        <w:tc>
          <w:tcPr>
            <w:tcW w:w="418" w:type="pct"/>
          </w:tcPr>
          <w:p w:rsidR="00565FD5" w:rsidRPr="00E16DD0" w:rsidRDefault="00565FD5" w:rsidP="00AB62A3">
            <w:pPr>
              <w:tabs>
                <w:tab w:val="center" w:pos="4153"/>
                <w:tab w:val="right" w:pos="8306"/>
              </w:tabs>
              <w:spacing w:before="100" w:after="100"/>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565FD5" w:rsidRPr="00E16DD0" w:rsidRDefault="00565FD5" w:rsidP="00AB62A3">
            <w:pPr>
              <w:tabs>
                <w:tab w:val="center" w:pos="4153"/>
                <w:tab w:val="right" w:pos="8306"/>
              </w:tabs>
              <w:spacing w:before="100" w:after="100"/>
              <w:rPr>
                <w:rFonts w:cs="Tahoma"/>
                <w:color w:val="000000"/>
                <w:sz w:val="16"/>
                <w:szCs w:val="16"/>
                <w:lang w:eastAsia="tr-TR"/>
              </w:rPr>
            </w:pPr>
            <w:r w:rsidRPr="00E16DD0">
              <w:rPr>
                <w:rFonts w:cs="Tahoma"/>
                <w:color w:val="000000"/>
                <w:sz w:val="16"/>
                <w:szCs w:val="16"/>
                <w:lang w:eastAsia="tr-TR"/>
              </w:rPr>
              <w:t>Kaynakların etkin kullanımı ve araştırmacıların birlikte çalışmasını sağlamak üzere kamu kurumlarında, özel kesimde ve üniversitelerde kurulan ve kurulacak araştırma merkezlerinin öncelikli alanlarda ve belli yerlerde oluşturulmasını sağlayacak Türkiye Ar-Ge altyapı yol haritası çalışmaları yapılacaktır.</w:t>
            </w:r>
          </w:p>
        </w:tc>
      </w:tr>
      <w:tr w:rsidR="00565FD5" w:rsidRPr="00E16DD0" w:rsidTr="00AB62A3">
        <w:trPr>
          <w:trHeight w:val="20"/>
          <w:jc w:val="center"/>
        </w:trPr>
        <w:tc>
          <w:tcPr>
            <w:tcW w:w="1419" w:type="pct"/>
          </w:tcPr>
          <w:p w:rsidR="00565FD5" w:rsidRPr="00E16DD0" w:rsidRDefault="00565FD5" w:rsidP="00EB1E69">
            <w:pPr>
              <w:numPr>
                <w:ilvl w:val="0"/>
                <w:numId w:val="14"/>
              </w:numPr>
              <w:tabs>
                <w:tab w:val="left" w:pos="425"/>
              </w:tabs>
              <w:spacing w:before="100" w:after="100" w:line="240" w:lineRule="auto"/>
              <w:rPr>
                <w:rFonts w:cs="Tahoma"/>
                <w:color w:val="000000"/>
                <w:sz w:val="16"/>
                <w:szCs w:val="16"/>
                <w:lang w:eastAsia="tr-TR"/>
              </w:rPr>
            </w:pPr>
            <w:r w:rsidRPr="00E16DD0">
              <w:rPr>
                <w:rFonts w:cs="Tahoma"/>
                <w:color w:val="000000"/>
                <w:sz w:val="16"/>
                <w:szCs w:val="16"/>
                <w:lang w:eastAsia="tr-TR"/>
              </w:rPr>
              <w:t>Araştırma merkezlerinin etkin çalışmasına yönelik mevzuat düzenlemeleri tamamlanacaktır.</w:t>
            </w:r>
          </w:p>
        </w:tc>
        <w:tc>
          <w:tcPr>
            <w:tcW w:w="1331"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Kalkınma Bakanlığı (S), Bilim, Sanayi ve Teknoloji Bakanlığı, YÖK, TÜBİTAK, Üniversiteler, Meslek Kuruluşları, STK’lar</w:t>
            </w:r>
          </w:p>
        </w:tc>
        <w:tc>
          <w:tcPr>
            <w:tcW w:w="418"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Araştırma merkezlerinin daha etkin kullanımını ve sürdürülebilirliğini sağlamak üzere, merkezlerin özel sektör ve ilgili kamu kurum ve kuruluşlarıyla işbirliği kurmaları, yönetimi, sürdürülebilir finansmanı, personel istihdamı, tüm araştırmacılara 7 gün 24 saat hizmet verebilecek şekilde açık olması, performanslarının izlenmesi ve değerlendirilmesi gibi konularda idari ve yasal düzenlemeler yapılacaktır.</w:t>
            </w:r>
          </w:p>
        </w:tc>
      </w:tr>
      <w:tr w:rsidR="00565FD5" w:rsidRPr="00E16DD0" w:rsidTr="00AB62A3">
        <w:trPr>
          <w:trHeight w:val="20"/>
          <w:jc w:val="center"/>
        </w:trPr>
        <w:tc>
          <w:tcPr>
            <w:tcW w:w="1419" w:type="pct"/>
          </w:tcPr>
          <w:p w:rsidR="00565FD5" w:rsidRPr="00E16DD0" w:rsidRDefault="00565FD5" w:rsidP="00EB1E69">
            <w:pPr>
              <w:numPr>
                <w:ilvl w:val="0"/>
                <w:numId w:val="14"/>
              </w:numPr>
              <w:tabs>
                <w:tab w:val="left" w:pos="425"/>
              </w:tabs>
              <w:spacing w:before="100" w:after="100" w:line="240" w:lineRule="auto"/>
              <w:rPr>
                <w:rFonts w:cs="Tahoma"/>
                <w:color w:val="000000"/>
                <w:sz w:val="16"/>
                <w:szCs w:val="16"/>
                <w:lang w:eastAsia="tr-TR"/>
              </w:rPr>
            </w:pPr>
            <w:r w:rsidRPr="00E16DD0">
              <w:rPr>
                <w:rFonts w:cs="Tahoma"/>
                <w:color w:val="000000"/>
                <w:sz w:val="16"/>
                <w:szCs w:val="16"/>
                <w:lang w:eastAsia="tr-TR"/>
              </w:rPr>
              <w:t>Uzay teknolojilerinde ülkemizin yetkinliğinin artırılması için fiziki ve beşeri altyapı geliştirilecektir.</w:t>
            </w:r>
          </w:p>
        </w:tc>
        <w:tc>
          <w:tcPr>
            <w:tcW w:w="1331"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TÜBİTAK (S), Kalkınma Bakanlığı, Bilim, Sanayi ve Teknoloji Bakanlığı, Milli Savunma Bakanlığı</w:t>
            </w:r>
          </w:p>
        </w:tc>
        <w:tc>
          <w:tcPr>
            <w:tcW w:w="418"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Aralık Sonu</w:t>
            </w:r>
          </w:p>
        </w:tc>
        <w:tc>
          <w:tcPr>
            <w:tcW w:w="1832" w:type="pct"/>
          </w:tcPr>
          <w:p w:rsidR="00565FD5" w:rsidRPr="00E16DD0" w:rsidRDefault="00565FD5" w:rsidP="00AB62A3">
            <w:pPr>
              <w:spacing w:before="100" w:after="100"/>
              <w:rPr>
                <w:rFonts w:cs="Tahoma"/>
                <w:color w:val="000000"/>
                <w:sz w:val="16"/>
                <w:szCs w:val="16"/>
                <w:lang w:eastAsia="tr-TR"/>
              </w:rPr>
            </w:pPr>
            <w:r w:rsidRPr="00E16DD0">
              <w:rPr>
                <w:rFonts w:cs="Tahoma"/>
                <w:color w:val="000000"/>
                <w:sz w:val="16"/>
                <w:szCs w:val="16"/>
                <w:lang w:eastAsia="tr-TR"/>
              </w:rPr>
              <w:t>Ülkemizin ihtiyaç duyduğu uydu sistemlerini üretebilir bir yeteneğe erişmesi ve fırlatma konusunda gerekli kabiliyetleri kazanması için altyapı, insan kaynağı ve bilgi birikimi geliştirilecektir. Bu kapsamda uydu verilerinden etkin bir şekilde yararlanılması sağlanacaktır.</w:t>
            </w:r>
          </w:p>
        </w:tc>
      </w:tr>
    </w:tbl>
    <w:p w:rsidR="00565FD5" w:rsidRPr="00E16DD0" w:rsidRDefault="00565FD5" w:rsidP="00565FD5">
      <w:pPr>
        <w:spacing w:after="120"/>
        <w:ind w:firstLine="425"/>
        <w:rPr>
          <w:rFonts w:cs="Tahoma"/>
          <w:szCs w:val="18"/>
        </w:rPr>
      </w:pPr>
    </w:p>
    <w:p w:rsidR="00565FD5" w:rsidRPr="00E16DD0" w:rsidRDefault="00565FD5" w:rsidP="00565FD5">
      <w:pPr>
        <w:pStyle w:val="Balk3"/>
      </w:pPr>
      <w:bookmarkStart w:id="1730" w:name="_Toc244661427"/>
      <w:bookmarkStart w:id="1731" w:name="_Toc244339616"/>
      <w:bookmarkStart w:id="1732" w:name="_Toc244315153"/>
      <w:bookmarkStart w:id="1733" w:name="_Toc244313677"/>
      <w:bookmarkStart w:id="1734" w:name="_Toc244254942"/>
      <w:bookmarkStart w:id="1735" w:name="_Toc244253692"/>
      <w:bookmarkStart w:id="1736" w:name="_Toc307602001"/>
      <w:bookmarkStart w:id="1737" w:name="_Toc307670450"/>
      <w:bookmarkStart w:id="1738" w:name="_Toc307701676"/>
      <w:bookmarkStart w:id="1739" w:name="_Toc338494242"/>
      <w:bookmarkStart w:id="1740" w:name="_Toc338505583"/>
      <w:bookmarkStart w:id="1741" w:name="_Toc338523810"/>
      <w:bookmarkStart w:id="1742" w:name="_Toc338524041"/>
      <w:bookmarkStart w:id="1743" w:name="_Toc338526267"/>
      <w:bookmarkStart w:id="1744" w:name="_Toc338673710"/>
      <w:bookmarkStart w:id="1745" w:name="_Toc338711589"/>
      <w:r>
        <w:t>G</w:t>
      </w:r>
      <w:r w:rsidRPr="00E16DD0">
        <w:t>. BİLGİ VE İLETİŞİM TEKNOLOJİLERİNİN YAYGINLAŞTIRILMASI</w:t>
      </w:r>
      <w:bookmarkStart w:id="1746" w:name="_Toc244661428"/>
      <w:bookmarkStart w:id="1747" w:name="_Toc244339617"/>
      <w:bookmarkStart w:id="1748" w:name="_Toc244315154"/>
      <w:bookmarkStart w:id="1749" w:name="_Toc244313678"/>
      <w:bookmarkStart w:id="1750" w:name="_Toc244254943"/>
      <w:bookmarkStart w:id="1751" w:name="_Toc244253693"/>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p>
    <w:p w:rsidR="00565FD5" w:rsidRPr="00E16DD0" w:rsidRDefault="00565FD5" w:rsidP="00565FD5">
      <w:pPr>
        <w:pStyle w:val="Balk4"/>
      </w:pPr>
      <w:bookmarkStart w:id="1752" w:name="_Toc307602002"/>
      <w:bookmarkStart w:id="1753" w:name="_Toc307670451"/>
      <w:bookmarkStart w:id="1754" w:name="_Toc307701677"/>
      <w:bookmarkStart w:id="1755" w:name="_Toc338505584"/>
      <w:bookmarkStart w:id="1756" w:name="_Toc338523811"/>
      <w:bookmarkStart w:id="1757" w:name="_Toc338524042"/>
      <w:bookmarkStart w:id="1758" w:name="_Toc338526268"/>
      <w:bookmarkStart w:id="1759" w:name="_Toc338673711"/>
      <w:bookmarkStart w:id="1760" w:name="_Toc338711590"/>
      <w:r w:rsidRPr="00E16DD0">
        <w:t>1. Mevcut Duru</w:t>
      </w:r>
      <w:bookmarkEnd w:id="1746"/>
      <w:bookmarkEnd w:id="1747"/>
      <w:bookmarkEnd w:id="1748"/>
      <w:bookmarkEnd w:id="1749"/>
      <w:bookmarkEnd w:id="1750"/>
      <w:bookmarkEnd w:id="1751"/>
      <w:r w:rsidRPr="00E16DD0">
        <w:t>m</w:t>
      </w:r>
      <w:bookmarkEnd w:id="1752"/>
      <w:bookmarkEnd w:id="1753"/>
      <w:bookmarkEnd w:id="1754"/>
      <w:bookmarkEnd w:id="1755"/>
      <w:bookmarkEnd w:id="1756"/>
      <w:bookmarkEnd w:id="1757"/>
      <w:bookmarkEnd w:id="1758"/>
      <w:bookmarkEnd w:id="1759"/>
      <w:bookmarkEnd w:id="1760"/>
    </w:p>
    <w:p w:rsidR="00565FD5" w:rsidRPr="00E16DD0" w:rsidRDefault="00565FD5" w:rsidP="00565FD5">
      <w:pPr>
        <w:spacing w:after="180"/>
        <w:ind w:firstLine="425"/>
        <w:rPr>
          <w:b/>
          <w:szCs w:val="18"/>
        </w:rPr>
      </w:pPr>
      <w:r w:rsidRPr="00E16DD0">
        <w:rPr>
          <w:b/>
          <w:szCs w:val="18"/>
        </w:rPr>
        <w:t>Elektronik Haberleşme</w:t>
      </w:r>
    </w:p>
    <w:p w:rsidR="00565FD5" w:rsidRPr="00E16DD0" w:rsidRDefault="00565FD5" w:rsidP="00565FD5">
      <w:pPr>
        <w:spacing w:after="180"/>
        <w:ind w:firstLine="425"/>
        <w:rPr>
          <w:szCs w:val="18"/>
        </w:rPr>
      </w:pPr>
      <w:r w:rsidRPr="00E16DD0">
        <w:rPr>
          <w:szCs w:val="18"/>
        </w:rPr>
        <w:t>Elektronik haberleşme sektörü, iletişim hizmetlerinin etkin bir şekilde sunulması yoluyla bilgi toplumuna dönüşümün hızlandırılması ve böylece ülkenin rekabet gücünün artırılması açısından kritik öneme sahiptir.</w:t>
      </w:r>
    </w:p>
    <w:p w:rsidR="00565FD5" w:rsidRPr="00E16DD0" w:rsidRDefault="00565FD5" w:rsidP="00565FD5">
      <w:pPr>
        <w:spacing w:after="180"/>
        <w:ind w:firstLine="425"/>
        <w:rPr>
          <w:szCs w:val="18"/>
        </w:rPr>
      </w:pPr>
      <w:r w:rsidRPr="00E16DD0">
        <w:rPr>
          <w:szCs w:val="18"/>
        </w:rPr>
        <w:lastRenderedPageBreak/>
        <w:t>2008 yılında yayımlanan ve sektöre ilişkin düzenleyici çerçeveyi belirleyen 5809 sayılı Elektronik Haberleşme Kanunu çerçevesinde 2012 yılında Elektronik Haberleşme Sektöründe Acil Yardım Çağrı Hizmetlerine İlişkin Yönetmelik ile Elektronik Haberleşme Sektöründe Kişisel Verilerin İşlenmesi ve Gizliliğinin Korunması Hakkında Yönetmelik çıkarılmıştır.</w:t>
      </w:r>
    </w:p>
    <w:p w:rsidR="00565FD5" w:rsidRPr="00E16DD0" w:rsidRDefault="00565FD5" w:rsidP="00565FD5">
      <w:pPr>
        <w:spacing w:after="180"/>
        <w:ind w:firstLine="425"/>
        <w:rPr>
          <w:szCs w:val="18"/>
        </w:rPr>
      </w:pPr>
      <w:r w:rsidRPr="00E16DD0">
        <w:rPr>
          <w:szCs w:val="18"/>
        </w:rPr>
        <w:t>Ağustos 2012 itibarıyla Bilgi Teknolojileri ve İletişim Kurumu (BTK) tarafından 384 işletmeci için yapılan 608 adet yetkilendirmenin 187’si sabit telefon hizmetleri alanındadır. Sabit telefonlarda numara taşınabilirliği düzenlemesi Eylül 2009’da yürürlüğe girmiş ve Ağustos 2012 itibarıyla yaklaşık 254 bin sabit telefon abonesi numarasını taşımıştır. 2012 yılı ilk yarısında alternatif işletmecilerin sabit telefon hizmetleri pazarında yüzde 13 olarak gerçekleşen payı bir önceki yıla göre yaklaşık iki kat artmış olup bu durum, söz konusu pazarda rekabetin oluşmaya başladığına işaret etmektedir.</w:t>
      </w:r>
    </w:p>
    <w:p w:rsidR="00565FD5" w:rsidRPr="00E16DD0" w:rsidRDefault="00565FD5" w:rsidP="00565FD5">
      <w:pPr>
        <w:spacing w:after="180"/>
        <w:ind w:firstLine="425"/>
        <w:rPr>
          <w:szCs w:val="18"/>
        </w:rPr>
      </w:pPr>
      <w:r w:rsidRPr="00E16DD0">
        <w:rPr>
          <w:szCs w:val="18"/>
        </w:rPr>
        <w:t>Altyapıya dayalı rekabetin tesisini sağlamak üzere, altyapı işletmeciliği alanında Ağustos 2012 itibarıyla 76 alternatif işletmeci yetkilendirilmiştir. Bu işletmeciler kendi altyapılarını kurmak üzere önemli ölçüde yatırım yapmaktadır. Söz konusu işletmecilerin sahip olduğu fiber optik kabloların toplam uzunluğu 2008 yılı sonunda 9.216 km iken Ağustos 2012 itibarıyla 40.591 km’ye ulaşmıştır. Aynı dönem itibarıyla yerleşik işletmecinin ise 158.660 km fiber optik kablo altyapısı mevcuttur.</w:t>
      </w:r>
    </w:p>
    <w:p w:rsidR="00565FD5" w:rsidRPr="00E16DD0" w:rsidRDefault="00565FD5" w:rsidP="00565FD5">
      <w:pPr>
        <w:spacing w:after="180"/>
        <w:ind w:firstLine="425"/>
        <w:rPr>
          <w:szCs w:val="18"/>
        </w:rPr>
      </w:pPr>
      <w:r w:rsidRPr="00E16DD0">
        <w:rPr>
          <w:szCs w:val="18"/>
        </w:rPr>
        <w:t xml:space="preserve">Alternatif işletmeciler yerel ağa erişim, veri akış erişimi veya yeniden satış yöntemleriyle yerleşik işletmecinin erişim altyapısı üzerinden sabit genişbant erişim hizmetleri sunabilmektedir. Diğer taraftan, kendilerine ait fiber optik erişim altyapısı kurmaya başlayan bazı alternatif işletmeciler bu altyapı üzerinden müşterilerine genişbant erişim hizmetleri sunmaktadır. Sabit genişbant erişim pazarı dikkate alındığında, Haziran 2012 itibarıyla, abone sayısı bazında, DSL hizmeti sunan alternatif internet servis sağlayıcılarının pazar payı yüzde 10,2; kablo internet hizmeti sunan işletmecilerin pazar payı yüzde 6,3 ve fiber internet hizmetinin pazar payı yüzde 6,1’dir. Söz konusu değerlerin 2011 yılı üçüncü çeyreği itibarıyla sırasıyla yüzde 8,7; yüzde 5,5 ve yüzde 3 olduğu göz önünde bulundurulduğunda son dönemde sabit genişbant erişim pazarındaki rekabetin artmakta olduğu görülmektedir. Bununla birlikte, AB ülkeleriyle kıyaslandığında, Türkiye’de sabit genişbant erişim pazarındaki rekabet </w:t>
      </w:r>
      <w:r w:rsidRPr="00E16DD0">
        <w:rPr>
          <w:szCs w:val="18"/>
        </w:rPr>
        <w:lastRenderedPageBreak/>
        <w:t>düzeyinin oldukça düşük kaldığı ve bu alandaki düzenlemelerin daha etkin şekilde uygulanması gerekliliği ortaya çıkmaktadır.</w:t>
      </w:r>
    </w:p>
    <w:p w:rsidR="00565FD5" w:rsidRPr="00E16DD0" w:rsidRDefault="00565FD5" w:rsidP="00565FD5">
      <w:pPr>
        <w:spacing w:after="180"/>
        <w:ind w:firstLine="425"/>
        <w:rPr>
          <w:szCs w:val="18"/>
        </w:rPr>
      </w:pPr>
      <w:r w:rsidRPr="00E16DD0">
        <w:rPr>
          <w:szCs w:val="18"/>
        </w:rPr>
        <w:t>Ağustos 2009’dan itibaren kullanıma sunulan üçüncü nesil (3G) mobil haberleşme hizmetlerinin kullanımı hızlı bir biçimde artmaktadır. Haziran 2011 itibarıyla 24,8 milyon olan 3G abone sayısı Haziran 2012’de 37,7 milyona; 3,6 milyon olan mobil genişbant erişim hizmetlerini kullanan abone sayısı ise 10,6 milyona yükselmiştir.</w:t>
      </w:r>
    </w:p>
    <w:p w:rsidR="00565FD5" w:rsidRPr="00E16DD0" w:rsidRDefault="00565FD5" w:rsidP="00565FD5">
      <w:pPr>
        <w:spacing w:after="180"/>
        <w:ind w:firstLine="425"/>
        <w:rPr>
          <w:szCs w:val="18"/>
        </w:rPr>
      </w:pPr>
      <w:r w:rsidRPr="00E16DD0">
        <w:rPr>
          <w:szCs w:val="18"/>
        </w:rPr>
        <w:t>Sabit telefon abone sayısında, son yıllarda gözlenen düşüş devam etmektedir. Numara taşınabilirliği ve her yöne tarifelerin etkisiyle ikinci hatların bir kısmının iptal edilmesi sonucunda 2009 ve 2010 yıllarında düşüş gösteren mobil telefon abone sayısı ise son iki yılda bir miktar artış kaydetmiştir.</w:t>
      </w:r>
    </w:p>
    <w:p w:rsidR="00565FD5" w:rsidRPr="00E16DD0" w:rsidRDefault="00565FD5" w:rsidP="00565FD5">
      <w:pPr>
        <w:spacing w:after="180"/>
        <w:ind w:firstLine="425"/>
        <w:rPr>
          <w:szCs w:val="18"/>
        </w:rPr>
      </w:pPr>
      <w:r w:rsidRPr="00E16DD0">
        <w:rPr>
          <w:szCs w:val="18"/>
        </w:rPr>
        <w:t>Bir önceki yılın aynı döneminde 11 milyon seviyesinde olan toplam genişbant abone sayısı, 2012 yılı Haziran ayı itibarıyla 18,3 milyonu geçmiştir. Bu hızlı değişimin önemli bir kısmı son bir yılda mobil genişbant teknolojisi kullanan abonelerin sayısının yaklaşık 3 kat artmasından kaynaklanmıştır. Bu durumun önümüzdeki dönemde de sürmesi ve mobil genişbant erişim hizmetlerinin genişbant pazarındaki payının daha da artması beklenmektedir. Söz konusu dönemde DSL teknolojisi kullanan internet abonelerinin sayısı hemen hemen sabit kalmıştır. Alternatif sabit genişbant erişim teknolojilerinden olan kablo internet ve fiber optik bağlantılarının abone sayıları ise sırasıyla yaklaşık yüzde 32 ve yüzde 148 artmıştır.</w:t>
      </w:r>
    </w:p>
    <w:p w:rsidR="00565FD5" w:rsidRPr="00E16DD0" w:rsidRDefault="00565FD5" w:rsidP="00565FD5">
      <w:pPr>
        <w:ind w:firstLine="425"/>
        <w:rPr>
          <w:szCs w:val="18"/>
        </w:rPr>
      </w:pPr>
      <w:r w:rsidRPr="00E16DD0">
        <w:rPr>
          <w:szCs w:val="18"/>
        </w:rPr>
        <w:t xml:space="preserve">BTK, 03/10/2011 tarihli </w:t>
      </w:r>
      <w:r>
        <w:rPr>
          <w:szCs w:val="18"/>
        </w:rPr>
        <w:t xml:space="preserve">Kurul </w:t>
      </w:r>
      <w:r w:rsidRPr="00E16DD0">
        <w:rPr>
          <w:szCs w:val="18"/>
        </w:rPr>
        <w:t>Kararıyla, Türkiye’de fiber genişbant erişim altyapılarının yaygınlaştırılmasına ilişkin kritik bir adım atmış ve 5 yıl boyunca veya fiber genişbant erişim abonelerinin, sabit genişbant erişim aboneleri içindeki payı yüzde 25’e ulaşana kadar, toptan seviyedeki fiber erişim hizmetlerini pazar analizi süreci dışında bırakmıştır.</w:t>
      </w:r>
    </w:p>
    <w:p w:rsidR="00565FD5" w:rsidRPr="00E16DD0" w:rsidRDefault="00565FD5" w:rsidP="00565FD5">
      <w:pPr>
        <w:ind w:firstLine="425"/>
        <w:rPr>
          <w:szCs w:val="18"/>
        </w:rPr>
      </w:pPr>
    </w:p>
    <w:p w:rsidR="00565FD5" w:rsidRPr="00E16DD0" w:rsidRDefault="00565FD5" w:rsidP="00565FD5">
      <w:pPr>
        <w:rPr>
          <w:szCs w:val="18"/>
        </w:rPr>
      </w:pPr>
      <w:r w:rsidRPr="00E16DD0">
        <w:rPr>
          <w:szCs w:val="18"/>
        </w:rPr>
        <w:tab/>
        <w:t xml:space="preserve">2012 yılı Hanelerde Bilişim Teknolojileri Kullanım Araştırması sonuçlarına göre 16-74 yaş grubundaki bireyler arasında bilgisayar ve internet kullananların oranları sırasıyla yüzde 48,7 ve yüzde 47,4’e ulaşmıştır. 2012 yılında hanelerde internet erişim oranı ise yüzde 47,2 olup internet erişimine </w:t>
      </w:r>
      <w:r w:rsidRPr="00E16DD0">
        <w:rPr>
          <w:szCs w:val="18"/>
        </w:rPr>
        <w:lastRenderedPageBreak/>
        <w:t xml:space="preserve">sahip hanelerin yüzde 91,5’inde genişbant erişim bulunmaktadır. 2011 yılı Girişimlerde Bilişim Teknolojileri Kullanım Araştırması sonuçlarına göre bilgisayar kullanılan girişimlerin oranı yüzde 94, internet erişimine sahip girişimlerin oranı ise yüzde 92,4’tür. Son yıllarda, orta ve büyük ölçekli girişimlere ait internet erişim oranları yüzde 95’in üstünde yatay bir seyir izlemiştir. Öte yandan, küçük ölçekli girişimlerin internet kullanım oranı 2005 yılındaki </w:t>
      </w:r>
      <w:r>
        <w:rPr>
          <w:szCs w:val="18"/>
        </w:rPr>
        <w:t xml:space="preserve">yüzde </w:t>
      </w:r>
      <w:r w:rsidRPr="00E16DD0">
        <w:rPr>
          <w:szCs w:val="18"/>
        </w:rPr>
        <w:t xml:space="preserve">78 seviyesinden 2011 yılındaki </w:t>
      </w:r>
      <w:r>
        <w:rPr>
          <w:szCs w:val="18"/>
        </w:rPr>
        <w:t xml:space="preserve">yüzde </w:t>
      </w:r>
      <w:r w:rsidRPr="00E16DD0">
        <w:rPr>
          <w:szCs w:val="18"/>
        </w:rPr>
        <w:t>91,4 seviyesine ulaşarak ciddi bir artış göstermiştir.</w:t>
      </w:r>
    </w:p>
    <w:p w:rsidR="00565FD5" w:rsidRPr="00E16DD0" w:rsidRDefault="00565FD5" w:rsidP="00565FD5">
      <w:pPr>
        <w:rPr>
          <w:szCs w:val="18"/>
        </w:rPr>
      </w:pPr>
    </w:p>
    <w:p w:rsidR="00565FD5" w:rsidRPr="00E16DD0" w:rsidRDefault="00565FD5" w:rsidP="00565FD5">
      <w:pPr>
        <w:ind w:firstLine="425"/>
        <w:rPr>
          <w:szCs w:val="18"/>
        </w:rPr>
      </w:pPr>
      <w:r w:rsidRPr="00E16DD0">
        <w:rPr>
          <w:szCs w:val="18"/>
        </w:rPr>
        <w:t>Genişbant hizmetlerinin kullanımındaki artışa paralel olarak, çeşitli işletmeciler tarafından hem sabit hem de mobil genişbant bağlantılar üzerinden sunulan telefon, yayın, elektronik içerik vb. yakınsama hizmetlerinin sayısının da arttığı gözlenmektedir. Bu sürecin önümüzdeki dönemde daha da hızlanması beklenmektedir.</w:t>
      </w:r>
    </w:p>
    <w:p w:rsidR="00565FD5" w:rsidRPr="00E16DD0" w:rsidRDefault="00565FD5" w:rsidP="00565FD5">
      <w:pPr>
        <w:ind w:firstLine="425"/>
        <w:rPr>
          <w:szCs w:val="18"/>
        </w:rPr>
      </w:pPr>
    </w:p>
    <w:p w:rsidR="00565FD5" w:rsidRPr="00E16DD0" w:rsidRDefault="00565FD5" w:rsidP="00565FD5">
      <w:pPr>
        <w:ind w:firstLine="425"/>
        <w:rPr>
          <w:szCs w:val="18"/>
        </w:rPr>
      </w:pPr>
      <w:r w:rsidRPr="00E16DD0">
        <w:rPr>
          <w:szCs w:val="18"/>
        </w:rPr>
        <w:t>Türkiye’nin küresel uydu haberleşme pazarındaki ağırlığını artırma politikasına paralel olarak hem televizyon yayıncılığı hem de veri haberleşmesi için kullanılmak üzere, 2014 yılına kadar uzaya iki yeni uydu gönderilmesi yönündeki çalışmalar Türksat A.Ş. bünyesinde devam etmektedir. Ayrıca, 2015 yılında uzaya gönderilmesi planlanan bir başka uydunun yerli üretimine yönelik çalışmalar da sürmektedir.</w:t>
      </w:r>
    </w:p>
    <w:p w:rsidR="00565FD5" w:rsidRPr="00E16DD0" w:rsidRDefault="00565FD5" w:rsidP="00565FD5">
      <w:pPr>
        <w:ind w:firstLine="425"/>
        <w:rPr>
          <w:szCs w:val="18"/>
        </w:rPr>
      </w:pPr>
    </w:p>
    <w:p w:rsidR="00565FD5" w:rsidRPr="00E16DD0" w:rsidRDefault="00565FD5" w:rsidP="00565FD5">
      <w:pPr>
        <w:ind w:firstLine="425"/>
        <w:rPr>
          <w:szCs w:val="18"/>
        </w:rPr>
      </w:pPr>
      <w:r w:rsidRPr="00E16DD0">
        <w:rPr>
          <w:szCs w:val="18"/>
        </w:rPr>
        <w:t>Son yıllarda Türkiye’de elektronik haberleşme alanında faaliyet gösteren işletme</w:t>
      </w:r>
      <w:r>
        <w:rPr>
          <w:szCs w:val="18"/>
        </w:rPr>
        <w:t>ci</w:t>
      </w:r>
      <w:r w:rsidRPr="00E16DD0">
        <w:rPr>
          <w:szCs w:val="18"/>
        </w:rPr>
        <w:t>lerin, gerek satın almalar gerekse diğer ülke işletme</w:t>
      </w:r>
      <w:r>
        <w:rPr>
          <w:szCs w:val="18"/>
        </w:rPr>
        <w:t>ci</w:t>
      </w:r>
      <w:r w:rsidRPr="00E16DD0">
        <w:rPr>
          <w:szCs w:val="18"/>
        </w:rPr>
        <w:t>leriyle işbirliği yaparak yurt dışı pazarlarda daha yoğun şekilde faaliyet göstermeye başladıkları gözlenmektedir.</w:t>
      </w:r>
    </w:p>
    <w:p w:rsidR="00565FD5" w:rsidRPr="00E16DD0" w:rsidRDefault="00565FD5" w:rsidP="00565FD5">
      <w:pPr>
        <w:ind w:firstLine="425"/>
        <w:rPr>
          <w:szCs w:val="18"/>
        </w:rPr>
      </w:pPr>
    </w:p>
    <w:p w:rsidR="00565FD5" w:rsidRPr="00E16DD0" w:rsidRDefault="00565FD5" w:rsidP="00565FD5">
      <w:pPr>
        <w:ind w:firstLine="425"/>
        <w:rPr>
          <w:szCs w:val="18"/>
        </w:rPr>
      </w:pPr>
      <w:r w:rsidRPr="00E16DD0">
        <w:rPr>
          <w:szCs w:val="18"/>
        </w:rPr>
        <w:t xml:space="preserve">08/12/2010 tarihli ve 2010/25 sayılı Başbakanlık Genelgesiyle kamu kurum ve kuruluşları için yeni nesil internet protokolü IPv6’ya geçişe ilişkin usul ve esaslar belirlenmiştir. Genelge uyarınca, kamu kurum ve kuruluşları internet </w:t>
      </w:r>
      <w:r w:rsidRPr="00E16DD0">
        <w:rPr>
          <w:szCs w:val="18"/>
        </w:rPr>
        <w:lastRenderedPageBreak/>
        <w:t>üzerinden sundukları kamuya açık tüm hizmetleri 31/08/2013 tarihine kadar IPv6’yı destekleyecek hale getireceklerdir.</w:t>
      </w:r>
    </w:p>
    <w:p w:rsidR="00565FD5" w:rsidRPr="00E16DD0" w:rsidRDefault="00565FD5" w:rsidP="00565FD5"/>
    <w:p w:rsidR="00565FD5" w:rsidRPr="00E16DD0" w:rsidRDefault="00565FD5" w:rsidP="00565FD5">
      <w:pPr>
        <w:rPr>
          <w:b/>
          <w:szCs w:val="18"/>
        </w:rPr>
      </w:pPr>
      <w:r w:rsidRPr="00E16DD0">
        <w:rPr>
          <w:b/>
          <w:szCs w:val="18"/>
        </w:rPr>
        <w:tab/>
        <w:t>Bilgi Teknolojileri</w:t>
      </w:r>
    </w:p>
    <w:p w:rsidR="00565FD5" w:rsidRPr="00E16DD0" w:rsidRDefault="00565FD5" w:rsidP="00565FD5">
      <w:pPr>
        <w:rPr>
          <w:b/>
          <w:szCs w:val="18"/>
        </w:rPr>
      </w:pPr>
    </w:p>
    <w:p w:rsidR="00565FD5" w:rsidRPr="00E16DD0" w:rsidRDefault="00565FD5" w:rsidP="00565FD5">
      <w:r w:rsidRPr="00E16DD0">
        <w:rPr>
          <w:b/>
          <w:szCs w:val="18"/>
        </w:rPr>
        <w:tab/>
      </w:r>
      <w:r w:rsidRPr="00E16DD0">
        <w:t>Bilgi teknolojileri sektörü, GSYH’ya sağlayabileceği doğrudan katkının yanı sıra, ekonominin genelinde getirdiği verimlilik artışı ve istihdam yaratma potansiyeliyle ülkemizin bilgi toplumuna dönüşüm sürecinde kritik bir öneme sahiptir. Özellikle bu sektör içerisinde yer alan yazılım ve hizmetler alanı, yenilikçi ve katma değeri yüksek yapısı, düşük sabit sermaye yatırımı ve ara malı ihtiyacıyla stratejik bir önem arz etmektedir.</w:t>
      </w:r>
    </w:p>
    <w:p w:rsidR="00565FD5" w:rsidRPr="00E16DD0" w:rsidRDefault="00565FD5" w:rsidP="00565FD5"/>
    <w:p w:rsidR="00565FD5" w:rsidRPr="00E16DD0" w:rsidRDefault="00565FD5" w:rsidP="00565FD5">
      <w:r w:rsidRPr="00E16DD0">
        <w:tab/>
        <w:t>Döviz Kazandırıcı Hizmet Ticaretinin Desteklenmesi Hakkındaki Tebliğ, 25/06/2012 tarihli Resmi Gazete’de yayımlanarak yürürlüğe girmiştir. Bu Tebliğle bilişim sektöründe faaliyet gösteren yararlanıcılara yönelik destekler bir araya toplanmış ve verilen desteklerin miktar ve kapsamı genişletilmiştir. Pazara giriş, yurt dışı tanıtım, yurt dışı birim, belgelendirme, ticaret heyeti, alım heyeti ve danışmanlık başlıkları altında ortaya konan desteklerden; bilişim sektöründe faaliyet gösteren bilişim şirketleri, işbirliği kuruluşları ve teknoloji geliştirme bölgeleri (TGB) yararlanabilmektedir.</w:t>
      </w:r>
    </w:p>
    <w:p w:rsidR="00565FD5" w:rsidRPr="00E16DD0" w:rsidRDefault="00565FD5" w:rsidP="00565FD5">
      <w:r w:rsidRPr="00E16DD0">
        <w:tab/>
      </w:r>
    </w:p>
    <w:p w:rsidR="00565FD5" w:rsidRPr="00E16DD0" w:rsidRDefault="00565FD5" w:rsidP="00565FD5">
      <w:r w:rsidRPr="00E16DD0">
        <w:tab/>
        <w:t xml:space="preserve">Yeni ve özgün yazılım faaliyetlerinin desteklenmesini de içeren 5746 sayılı Ar-Ge Faaliyetlerinin Desteklenmesi Hakkında Kanun ile 4691 sayılı Teknoloji Geliştirme Bölgeleri Kanunu sektörü etkileyen başlıca düzenlemeler arasındadır. Mart 2011’de yürürlüğe giren 6170 sayılı Kanunla, 4691 sayılı Kanunda değişiklik yapılarak, Ar-Ge ve yenilik faaliyetlerini desteklemeye yönelik kuluçka programları, teknoloji transfer ofisi hizmetleri ve teknoloji işbirliği programları destek kapsamına alınmıştır. Söz konusu düzenlemeler, Temmuz 2012 itibarıyla TGB’lerde yer alan 2037 firmanın yüzde 54'ünü oluşturan yazılım ve bilişim firmalarını doğrudan etkilemektedir. Aynı dönem </w:t>
      </w:r>
      <w:r w:rsidRPr="00E16DD0">
        <w:lastRenderedPageBreak/>
        <w:t>itibarıyla Ar-Ge Merkezi Belgesi alan 129 işletmeden 13’ü BİT sektöründe yer almaktadır. 12’si İstanbul’da, biri Ankara’da faaliyet gösteren merkezlerde, 1589’u araştırmacı olmak üzere toplam 1784 personel çalışmaktadır.</w:t>
      </w:r>
    </w:p>
    <w:p w:rsidR="00565FD5" w:rsidRPr="00E16DD0" w:rsidRDefault="00565FD5" w:rsidP="00565FD5"/>
    <w:p w:rsidR="00565FD5" w:rsidRPr="00E16DD0" w:rsidRDefault="00565FD5" w:rsidP="00565FD5">
      <w:r w:rsidRPr="00E16DD0">
        <w:tab/>
        <w:t>Bilişim Vadisine ilişkin fizibilite raporu 2010 yılı Ağustos ayında tamamlanmıştır. Bunu takiben, Bilişim Vadisinin İstanbul-Kocaeli öbeğinde kurulmasına yönelik çalışmalar başlatılmış ancak geçen süre zarfında somut bir ilerleme sağlanamamıştır. Öte yandan, İstanbul Teknik Üniversitesi ve TÜBİSAD işbirliğiyle yürütülen Dijital Türkiye Üssü Projesi ve Ankara Kalkınma Ajansı tarafından yürütülen Ankara Teknoloji Geliştirme Bölgelerinin Potansiyelinin Tespit Edilmesi, Tanıtılması ve Harekete Geçirilmesi Projesi (TechAnkara) gibi projeler aracılığıyla, bölgesel bilişim öbeklerinin oluşturulmasına yönelik girişimler ortaya çıkmaya başlamıştır.</w:t>
      </w:r>
    </w:p>
    <w:p w:rsidR="00565FD5" w:rsidRPr="00E16DD0" w:rsidRDefault="00565FD5" w:rsidP="00565FD5"/>
    <w:p w:rsidR="00565FD5" w:rsidRPr="00E16DD0" w:rsidRDefault="00565FD5" w:rsidP="00565FD5">
      <w:r w:rsidRPr="00E16DD0">
        <w:tab/>
        <w:t>Çalışma ve Sosyal Güvenlik Bakanlığı tarafından hazırlık çalışmaları sürdürülen Ulusal İstihdam Stratejisinde, kendi içinde ve ekonominin genelinde istihdam yaratma potansiyeli göz önünde bulundurularak BİT sektörü stratejik bir sektör olarak ele alınmaktadır. Bilgi Toplumu Stratejisi Eylem Planında yer alan 89 numaralı Nitelikli İnsan Gücü Yetiştirme eylemi doğrultusunda, bilişim sektöründeki işgücü açığını azaltmak amacıyla İş-Kur tarafından 2008 yılında başlatılan Nitelikli Bilişim Çalışanları Programı kapsamında düzenlenen eğitimler çeşitli illerde devam etmektedir.</w:t>
      </w:r>
    </w:p>
    <w:p w:rsidR="00565FD5" w:rsidRPr="00E16DD0" w:rsidRDefault="00565FD5" w:rsidP="00565FD5"/>
    <w:p w:rsidR="00565FD5" w:rsidRPr="00E16DD0" w:rsidRDefault="00565FD5" w:rsidP="00565FD5">
      <w:r w:rsidRPr="00E16DD0">
        <w:tab/>
        <w:t xml:space="preserve">Mesleki Yeterlilik Kurumu ve İstanbul Ticaret Odası arasında imzalanan Meslek Standardı Hazırlama İşbirliği Protokolü dâhilinde, bilgi teknolojilerini de içerecek şekilde 48 ulusal meslek standardının hazırlık çalışması yürütülmektedir. Yapılmakta olan çalışma, BİT sektörünün meslek tanımları ve seviyelerinin resmi olarak sınıflandırılmasını ve bu meslek tanımlarının gerektirdiği eğitim ve sertifikasyon seviyelerinin belirlenmesini sağlayacaktır. Bu kapsamda, ağ teknolojileri elemanı ve bilgisayar donanım elemanına yönelik </w:t>
      </w:r>
      <w:r w:rsidRPr="00E16DD0">
        <w:lastRenderedPageBreak/>
        <w:t>standartların da yer aldığı Ulusal Meslek Standartlarına Dair Tebliğ, 27/04/2012 tarihli Mükerrer Resmi Gazete'de yayımlanmıştır.</w:t>
      </w:r>
    </w:p>
    <w:p w:rsidR="00565FD5" w:rsidRPr="00E16DD0" w:rsidRDefault="00565FD5" w:rsidP="00565FD5"/>
    <w:p w:rsidR="00565FD5" w:rsidRPr="00E16DD0" w:rsidRDefault="00565FD5" w:rsidP="00565FD5">
      <w:r w:rsidRPr="00E16DD0">
        <w:tab/>
        <w:t>Kamu alımları özellikle bilgi teknolojileri hizmetleri pazarının gelişiminde ve bu pazardaki sektörel yapının şekillenmesinde doğrudan bir etkiye sahiptir. Bu etkiyle iç pazarda deneyim kazanan yerli şirketlerin dış pazarlara açılması kolaylaşmaktadır. Bu itibarla, kamu kurumlarının bilgi teknolojisi hizmetlerine ilişkin ihtiyaçların karşılanmasında kamu-özel sektör işbirliğinin yaygınlaştırılması ve ihale mevzuatında ilgili hizmetlerin alımına özgü düzenlemelerin yapılması ihtiyacı devam etmektedir. Diğer taraftan, bazı kuruluşlara mevzuat yoluyla tanınan imtiyazların kamu alımlarında rekabeti bozduğu ve entegratör niteliğindeki firmaların ciddi sıkıntılar yaşadığı yönünde eleştiriler gündemdeki yerini korumaktadır.</w:t>
      </w:r>
    </w:p>
    <w:p w:rsidR="00565FD5" w:rsidRPr="00E16DD0" w:rsidRDefault="00565FD5" w:rsidP="00565FD5"/>
    <w:p w:rsidR="00565FD5" w:rsidRPr="00E16DD0" w:rsidRDefault="00565FD5" w:rsidP="00565FD5">
      <w:r w:rsidRPr="00E16DD0">
        <w:tab/>
        <w:t>Eğitimde fırsat eşitliğinin sağlanması ve teknolojik altyapının iyileştirilmesi amacıyla uygulamaya konulan FATİH Projesi gerek ölçeği gerekse kapsamı bakımından ülkemizin bilgi toplumu olma sürecinde önemli ölçüde etkili olacaktır. Proje kapsamında tüm öğretmenlere ve orta öğretimdeki tüm öğrencilere tablet bilgisayar dağıtılması, tüm dersliklere etkileşimli tahta, yazıcı ve doküman kamera temin edilmesi, dersliklerin internet erişim altyapılarının tesis edilmesi ile eğitim müfredatının bilgi teknolojileri destekli eğitime uyumlaştırılması hedeflenmiştir. Proje, yazılım, hizmetler, elektronik içerik ve mobil uygulama pazarının büyümesine ve donanımın azami düzeyde yerli katkıyla üretilmesine yönelik önemli katkılar sağlayacak ve ilgili sektörlerin gelişimi için bir kaldıraç görevi üstlenecektir. Bu hedeflere de hizmet edecek FATİH Projesine ilişkin ihale yönetmeliği, 07/07/2012 tarihli Resmi Gazete’de yayımlanarak yürürlüğe girmiştir.</w:t>
      </w:r>
    </w:p>
    <w:p w:rsidR="00565FD5" w:rsidRPr="00E16DD0" w:rsidRDefault="00565FD5" w:rsidP="00565FD5"/>
    <w:p w:rsidR="00565FD5" w:rsidRPr="00E16DD0" w:rsidRDefault="00565FD5" w:rsidP="00565FD5">
      <w:r w:rsidRPr="00E16DD0">
        <w:tab/>
        <w:t xml:space="preserve">Ortak ihtiyaçlara yönelik T.C. Kimlik Kartı Projesi ve kamu kurumları arasında elektronik belge değişimini sağlamayı amaçlayan e-Yazışma Projesi gibi kurumsal bilgi teknolojisi yatırımlarını tetikleyecek e-Devlet proje ve </w:t>
      </w:r>
      <w:r w:rsidRPr="00E16DD0">
        <w:lastRenderedPageBreak/>
        <w:t>uygulamaları, sektörün gelişimine katkıda bulunmaktadır. Geçmiş yıllarda hayata geçirilen ve belirli bir olgunluk seviyesine ulaşan çeşitli kamu bilgi sistemlerinin birlikte çalışır hale gelmesiyle birlikte, önümüzdeki dönemde sektörde yeni uygulama alanlarının açılacağı öngörülmektedir. Kayıtlı Elektronik Posta hizmetlerine ilişkin mevzuat altyapısı 2011 yılı içerisinde tamamlanmış, bu kapsamda 10/09/2012 tarihinde PTT ilk Kayıtlı Elektronik Posta Hizmet Sağlayıcısı olarak BTK tarafından yetkilendirilmiştir.</w:t>
      </w:r>
    </w:p>
    <w:p w:rsidR="00565FD5" w:rsidRPr="00E16DD0" w:rsidRDefault="00565FD5" w:rsidP="00565FD5"/>
    <w:p w:rsidR="00565FD5" w:rsidRPr="00E16DD0" w:rsidRDefault="00565FD5" w:rsidP="00565FD5">
      <w:r w:rsidRPr="00E16DD0">
        <w:tab/>
        <w:t>BİT hizmetlerinin ortak kullanılan kaynaklar üzerinde, ölçeklenebilen bir yapı içerisinde sunumunu ifade eden bulut bilişim; veri depolama ve işleme için gerekli sermaye harcamaları ve istihdam ihtiyacında tasarruf imkânı yaratmaktadır. Özellikle genişbant internetin yaygınlaşmasıyla birlikte, ülkemizdeki ticari bulut hizmetleri son yıllarda artış göstermektedir. Benzer şekilde, BİT’in çevresel sorunlarla mücadelede önemli bir araç olarak ortaya çıktığı ve yeşil bilişim konusundaki çalışmaların dünyada ve ülkemizde arttığı gözlenmektedir.</w:t>
      </w:r>
    </w:p>
    <w:p w:rsidR="00565FD5" w:rsidRPr="00E16DD0" w:rsidRDefault="00565FD5" w:rsidP="00565FD5"/>
    <w:p w:rsidR="00565FD5" w:rsidRPr="00250B7F" w:rsidRDefault="00565FD5" w:rsidP="00565FD5">
      <w:pPr>
        <w:pStyle w:val="ResimYazs"/>
        <w:rPr>
          <w:rFonts w:cs="Tahoma"/>
          <w:bCs/>
          <w:szCs w:val="16"/>
        </w:rPr>
      </w:pPr>
      <w:bookmarkStart w:id="1761" w:name="_Toc307601676"/>
      <w:bookmarkStart w:id="1762" w:name="_Toc307657899"/>
      <w:bookmarkStart w:id="1763" w:name="_Toc307702155"/>
      <w:bookmarkStart w:id="1764" w:name="_Toc338606019"/>
      <w:bookmarkStart w:id="1765" w:name="_Toc338711794"/>
      <w:r>
        <w:t xml:space="preserve">TABLO IV: </w:t>
      </w:r>
      <w:fldSimple w:instr=" SEQ TABLO_IV: \* ARABIC ">
        <w:r>
          <w:rPr>
            <w:noProof/>
          </w:rPr>
          <w:t>24</w:t>
        </w:r>
      </w:fldSimple>
      <w:r w:rsidRPr="00250B7F">
        <w:rPr>
          <w:szCs w:val="16"/>
        </w:rPr>
        <w:t>-</w:t>
      </w:r>
      <w:r w:rsidRPr="00250B7F">
        <w:rPr>
          <w:rFonts w:cs="Tahoma"/>
          <w:bCs/>
          <w:szCs w:val="16"/>
        </w:rPr>
        <w:t xml:space="preserve"> Bilgi ve İletişim Teknolojilerine İlişkin Temel Göstergeler</w:t>
      </w:r>
      <w:bookmarkEnd w:id="1761"/>
      <w:bookmarkEnd w:id="1762"/>
      <w:bookmarkEnd w:id="1763"/>
      <w:bookmarkEnd w:id="1764"/>
      <w:bookmarkEnd w:id="1765"/>
    </w:p>
    <w:tbl>
      <w:tblPr>
        <w:tblW w:w="4870" w:type="pct"/>
        <w:tblInd w:w="108" w:type="dxa"/>
        <w:tblBorders>
          <w:top w:val="single" w:sz="4" w:space="0" w:color="auto"/>
          <w:bottom w:val="single" w:sz="4" w:space="0" w:color="auto"/>
        </w:tblBorders>
        <w:tblLook w:val="00A0"/>
      </w:tblPr>
      <w:tblGrid>
        <w:gridCol w:w="3409"/>
        <w:gridCol w:w="1263"/>
        <w:gridCol w:w="1261"/>
        <w:gridCol w:w="1234"/>
      </w:tblGrid>
      <w:tr w:rsidR="00565FD5" w:rsidRPr="00E16DD0" w:rsidTr="00AB62A3">
        <w:trPr>
          <w:trHeight w:val="227"/>
        </w:trPr>
        <w:tc>
          <w:tcPr>
            <w:tcW w:w="2378" w:type="pct"/>
            <w:tcBorders>
              <w:top w:val="single" w:sz="4" w:space="0" w:color="auto"/>
              <w:left w:val="single" w:sz="4" w:space="0" w:color="auto"/>
              <w:bottom w:val="single" w:sz="4" w:space="0" w:color="auto"/>
              <w:right w:val="nil"/>
            </w:tcBorders>
          </w:tcPr>
          <w:p w:rsidR="00565FD5" w:rsidRPr="00E16DD0" w:rsidRDefault="00565FD5" w:rsidP="00AB62A3">
            <w:pPr>
              <w:rPr>
                <w:rFonts w:cs="Tahoma"/>
                <w:b/>
                <w:bCs/>
                <w:sz w:val="16"/>
                <w:szCs w:val="16"/>
              </w:rPr>
            </w:pPr>
          </w:p>
        </w:tc>
        <w:tc>
          <w:tcPr>
            <w:tcW w:w="881" w:type="pct"/>
            <w:tcBorders>
              <w:top w:val="single" w:sz="4" w:space="0" w:color="auto"/>
              <w:left w:val="nil"/>
              <w:bottom w:val="single" w:sz="4" w:space="0" w:color="auto"/>
              <w:right w:val="nil"/>
            </w:tcBorders>
          </w:tcPr>
          <w:p w:rsidR="00565FD5" w:rsidRPr="00E16DD0" w:rsidRDefault="00565FD5" w:rsidP="00AB62A3">
            <w:pPr>
              <w:jc w:val="right"/>
              <w:rPr>
                <w:rFonts w:cs="Tahoma"/>
                <w:b/>
                <w:bCs/>
                <w:sz w:val="16"/>
                <w:szCs w:val="16"/>
              </w:rPr>
            </w:pPr>
            <w:r w:rsidRPr="00E16DD0">
              <w:rPr>
                <w:rFonts w:cs="Tahoma"/>
                <w:b/>
                <w:bCs/>
                <w:sz w:val="16"/>
                <w:szCs w:val="16"/>
              </w:rPr>
              <w:t>2010</w:t>
            </w:r>
          </w:p>
        </w:tc>
        <w:tc>
          <w:tcPr>
            <w:tcW w:w="880" w:type="pct"/>
            <w:tcBorders>
              <w:top w:val="single" w:sz="4" w:space="0" w:color="auto"/>
              <w:left w:val="nil"/>
              <w:bottom w:val="single" w:sz="4" w:space="0" w:color="auto"/>
              <w:right w:val="nil"/>
            </w:tcBorders>
          </w:tcPr>
          <w:p w:rsidR="00565FD5" w:rsidRPr="00E16DD0" w:rsidRDefault="00565FD5" w:rsidP="00AB62A3">
            <w:pPr>
              <w:jc w:val="right"/>
              <w:rPr>
                <w:rFonts w:cs="Tahoma"/>
                <w:b/>
                <w:bCs/>
                <w:sz w:val="16"/>
                <w:szCs w:val="16"/>
              </w:rPr>
            </w:pPr>
            <w:r w:rsidRPr="00E16DD0">
              <w:rPr>
                <w:rFonts w:cs="Tahoma"/>
                <w:b/>
                <w:bCs/>
                <w:sz w:val="16"/>
                <w:szCs w:val="16"/>
              </w:rPr>
              <w:t>2011</w:t>
            </w:r>
          </w:p>
        </w:tc>
        <w:tc>
          <w:tcPr>
            <w:tcW w:w="861" w:type="pct"/>
            <w:tcBorders>
              <w:top w:val="single" w:sz="4" w:space="0" w:color="auto"/>
              <w:left w:val="nil"/>
              <w:bottom w:val="single" w:sz="4" w:space="0" w:color="auto"/>
              <w:right w:val="single" w:sz="4" w:space="0" w:color="auto"/>
            </w:tcBorders>
          </w:tcPr>
          <w:p w:rsidR="00565FD5" w:rsidRPr="00E16DD0" w:rsidRDefault="00565FD5" w:rsidP="00AB62A3">
            <w:pPr>
              <w:jc w:val="right"/>
              <w:rPr>
                <w:rFonts w:cs="Tahoma"/>
                <w:b/>
                <w:bCs/>
                <w:sz w:val="16"/>
                <w:szCs w:val="16"/>
              </w:rPr>
            </w:pPr>
            <w:r w:rsidRPr="00E16DD0">
              <w:rPr>
                <w:rFonts w:cs="Tahoma"/>
                <w:b/>
                <w:bCs/>
                <w:sz w:val="16"/>
                <w:szCs w:val="16"/>
              </w:rPr>
              <w:t>2012(1)</w:t>
            </w:r>
          </w:p>
        </w:tc>
      </w:tr>
      <w:tr w:rsidR="00565FD5" w:rsidRPr="00E16DD0" w:rsidTr="00AB62A3">
        <w:trPr>
          <w:trHeight w:val="227"/>
        </w:trPr>
        <w:tc>
          <w:tcPr>
            <w:tcW w:w="2378" w:type="pct"/>
            <w:tcBorders>
              <w:top w:val="nil"/>
              <w:left w:val="single" w:sz="4" w:space="0" w:color="auto"/>
              <w:bottom w:val="nil"/>
              <w:right w:val="nil"/>
            </w:tcBorders>
          </w:tcPr>
          <w:p w:rsidR="00565FD5" w:rsidRPr="00E16DD0" w:rsidRDefault="00565FD5" w:rsidP="00AB62A3">
            <w:pPr>
              <w:rPr>
                <w:rFonts w:cs="Tahoma"/>
                <w:sz w:val="16"/>
                <w:szCs w:val="16"/>
              </w:rPr>
            </w:pPr>
            <w:r w:rsidRPr="00E16DD0">
              <w:rPr>
                <w:rFonts w:cs="Tahoma"/>
                <w:sz w:val="16"/>
                <w:szCs w:val="16"/>
              </w:rPr>
              <w:t>Sabit Telefon Abone Sayısı (Bin)</w:t>
            </w:r>
          </w:p>
        </w:tc>
        <w:tc>
          <w:tcPr>
            <w:tcW w:w="881"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16 200</w:t>
            </w:r>
          </w:p>
        </w:tc>
        <w:tc>
          <w:tcPr>
            <w:tcW w:w="880"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15 210</w:t>
            </w:r>
          </w:p>
        </w:tc>
        <w:tc>
          <w:tcPr>
            <w:tcW w:w="861" w:type="pct"/>
            <w:tcBorders>
              <w:top w:val="nil"/>
              <w:left w:val="nil"/>
              <w:bottom w:val="nil"/>
              <w:right w:val="single" w:sz="4" w:space="0" w:color="auto"/>
            </w:tcBorders>
          </w:tcPr>
          <w:p w:rsidR="00565FD5" w:rsidRPr="00E16DD0" w:rsidRDefault="00565FD5" w:rsidP="00AB62A3">
            <w:pPr>
              <w:jc w:val="right"/>
              <w:rPr>
                <w:rFonts w:cs="Tahoma"/>
                <w:sz w:val="16"/>
                <w:szCs w:val="16"/>
              </w:rPr>
            </w:pPr>
            <w:r w:rsidRPr="00E16DD0">
              <w:rPr>
                <w:rFonts w:cs="Tahoma"/>
                <w:sz w:val="16"/>
                <w:szCs w:val="16"/>
              </w:rPr>
              <w:t>14 000</w:t>
            </w:r>
          </w:p>
        </w:tc>
      </w:tr>
      <w:tr w:rsidR="00565FD5" w:rsidRPr="00E16DD0" w:rsidTr="00AB62A3">
        <w:trPr>
          <w:trHeight w:val="227"/>
        </w:trPr>
        <w:tc>
          <w:tcPr>
            <w:tcW w:w="2378" w:type="pct"/>
            <w:tcBorders>
              <w:top w:val="nil"/>
              <w:left w:val="single" w:sz="4" w:space="0" w:color="auto"/>
              <w:bottom w:val="nil"/>
              <w:right w:val="nil"/>
            </w:tcBorders>
          </w:tcPr>
          <w:p w:rsidR="00565FD5" w:rsidRPr="00E16DD0" w:rsidRDefault="00565FD5" w:rsidP="00AB62A3">
            <w:pPr>
              <w:rPr>
                <w:rFonts w:cs="Tahoma"/>
                <w:sz w:val="16"/>
                <w:szCs w:val="16"/>
              </w:rPr>
            </w:pPr>
            <w:r w:rsidRPr="00E16DD0">
              <w:rPr>
                <w:rFonts w:cs="Tahoma"/>
                <w:sz w:val="16"/>
                <w:szCs w:val="16"/>
              </w:rPr>
              <w:t>Sabit Telefon Abone Yoğunluğu (Yüzde)</w:t>
            </w:r>
          </w:p>
        </w:tc>
        <w:tc>
          <w:tcPr>
            <w:tcW w:w="881"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22,3</w:t>
            </w:r>
          </w:p>
        </w:tc>
        <w:tc>
          <w:tcPr>
            <w:tcW w:w="880"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20,6</w:t>
            </w:r>
          </w:p>
        </w:tc>
        <w:tc>
          <w:tcPr>
            <w:tcW w:w="861" w:type="pct"/>
            <w:tcBorders>
              <w:top w:val="nil"/>
              <w:left w:val="nil"/>
              <w:bottom w:val="nil"/>
              <w:right w:val="single" w:sz="4" w:space="0" w:color="auto"/>
            </w:tcBorders>
          </w:tcPr>
          <w:p w:rsidR="00565FD5" w:rsidRPr="00E16DD0" w:rsidRDefault="00565FD5" w:rsidP="00AB62A3">
            <w:pPr>
              <w:jc w:val="right"/>
              <w:rPr>
                <w:rFonts w:cs="Tahoma"/>
                <w:sz w:val="16"/>
                <w:szCs w:val="16"/>
              </w:rPr>
            </w:pPr>
            <w:r w:rsidRPr="00E16DD0">
              <w:rPr>
                <w:rFonts w:cs="Tahoma"/>
                <w:sz w:val="16"/>
                <w:szCs w:val="16"/>
              </w:rPr>
              <w:t>19</w:t>
            </w:r>
          </w:p>
        </w:tc>
      </w:tr>
      <w:tr w:rsidR="00565FD5" w:rsidRPr="00E16DD0" w:rsidTr="00AB62A3">
        <w:trPr>
          <w:trHeight w:val="227"/>
        </w:trPr>
        <w:tc>
          <w:tcPr>
            <w:tcW w:w="2378" w:type="pct"/>
            <w:tcBorders>
              <w:top w:val="nil"/>
              <w:left w:val="single" w:sz="4" w:space="0" w:color="auto"/>
              <w:bottom w:val="nil"/>
              <w:right w:val="nil"/>
            </w:tcBorders>
          </w:tcPr>
          <w:p w:rsidR="00565FD5" w:rsidRPr="00E16DD0" w:rsidRDefault="00565FD5" w:rsidP="00AB62A3">
            <w:pPr>
              <w:rPr>
                <w:rFonts w:cs="Tahoma"/>
                <w:sz w:val="16"/>
                <w:szCs w:val="16"/>
              </w:rPr>
            </w:pPr>
            <w:r w:rsidRPr="00E16DD0">
              <w:rPr>
                <w:rFonts w:cs="Tahoma"/>
                <w:sz w:val="16"/>
                <w:szCs w:val="16"/>
              </w:rPr>
              <w:t>Mobil Telefon Abone Sayısı (Bin)</w:t>
            </w:r>
          </w:p>
        </w:tc>
        <w:tc>
          <w:tcPr>
            <w:tcW w:w="881"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61 800</w:t>
            </w:r>
          </w:p>
        </w:tc>
        <w:tc>
          <w:tcPr>
            <w:tcW w:w="880"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65 300</w:t>
            </w:r>
          </w:p>
        </w:tc>
        <w:tc>
          <w:tcPr>
            <w:tcW w:w="861" w:type="pct"/>
            <w:tcBorders>
              <w:top w:val="nil"/>
              <w:left w:val="nil"/>
              <w:bottom w:val="nil"/>
              <w:right w:val="single" w:sz="4" w:space="0" w:color="auto"/>
            </w:tcBorders>
          </w:tcPr>
          <w:p w:rsidR="00565FD5" w:rsidRPr="00E16DD0" w:rsidRDefault="00565FD5" w:rsidP="00AB62A3">
            <w:pPr>
              <w:jc w:val="right"/>
              <w:rPr>
                <w:rFonts w:cs="Tahoma"/>
                <w:sz w:val="16"/>
                <w:szCs w:val="16"/>
              </w:rPr>
            </w:pPr>
            <w:r w:rsidRPr="00E16DD0">
              <w:rPr>
                <w:rFonts w:cs="Tahoma"/>
                <w:sz w:val="16"/>
                <w:szCs w:val="16"/>
              </w:rPr>
              <w:t xml:space="preserve">67 000 </w:t>
            </w:r>
          </w:p>
        </w:tc>
      </w:tr>
      <w:tr w:rsidR="00565FD5" w:rsidRPr="00E16DD0" w:rsidTr="00AB62A3">
        <w:trPr>
          <w:trHeight w:val="227"/>
        </w:trPr>
        <w:tc>
          <w:tcPr>
            <w:tcW w:w="2378" w:type="pct"/>
            <w:tcBorders>
              <w:top w:val="nil"/>
              <w:left w:val="single" w:sz="4" w:space="0" w:color="auto"/>
              <w:bottom w:val="nil"/>
              <w:right w:val="nil"/>
            </w:tcBorders>
          </w:tcPr>
          <w:p w:rsidR="00565FD5" w:rsidRPr="00E16DD0" w:rsidRDefault="00565FD5" w:rsidP="00AB62A3">
            <w:pPr>
              <w:rPr>
                <w:rFonts w:cs="Tahoma"/>
                <w:sz w:val="16"/>
                <w:szCs w:val="16"/>
              </w:rPr>
            </w:pPr>
            <w:r w:rsidRPr="00E16DD0">
              <w:rPr>
                <w:rFonts w:cs="Tahoma"/>
                <w:sz w:val="16"/>
                <w:szCs w:val="16"/>
              </w:rPr>
              <w:t>Mobil Telefon Abone Yoğunluğu (Yüzde)</w:t>
            </w:r>
          </w:p>
        </w:tc>
        <w:tc>
          <w:tcPr>
            <w:tcW w:w="881"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85,1</w:t>
            </w:r>
          </w:p>
        </w:tc>
        <w:tc>
          <w:tcPr>
            <w:tcW w:w="880"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88,6</w:t>
            </w:r>
          </w:p>
        </w:tc>
        <w:tc>
          <w:tcPr>
            <w:tcW w:w="861" w:type="pct"/>
            <w:tcBorders>
              <w:top w:val="nil"/>
              <w:left w:val="nil"/>
              <w:bottom w:val="nil"/>
              <w:right w:val="single" w:sz="4" w:space="0" w:color="auto"/>
            </w:tcBorders>
          </w:tcPr>
          <w:p w:rsidR="00565FD5" w:rsidRPr="00E16DD0" w:rsidRDefault="00565FD5" w:rsidP="00AB62A3">
            <w:pPr>
              <w:jc w:val="right"/>
              <w:rPr>
                <w:rFonts w:cs="Tahoma"/>
                <w:sz w:val="16"/>
                <w:szCs w:val="16"/>
              </w:rPr>
            </w:pPr>
            <w:r w:rsidRPr="00E16DD0">
              <w:rPr>
                <w:rFonts w:cs="Tahoma"/>
                <w:sz w:val="16"/>
                <w:szCs w:val="16"/>
              </w:rPr>
              <w:t>89</w:t>
            </w:r>
          </w:p>
        </w:tc>
      </w:tr>
      <w:tr w:rsidR="00565FD5" w:rsidRPr="00E16DD0" w:rsidTr="00AB62A3">
        <w:trPr>
          <w:trHeight w:val="227"/>
        </w:trPr>
        <w:tc>
          <w:tcPr>
            <w:tcW w:w="2378" w:type="pct"/>
            <w:tcBorders>
              <w:top w:val="nil"/>
              <w:left w:val="single" w:sz="4" w:space="0" w:color="auto"/>
              <w:bottom w:val="nil"/>
              <w:right w:val="nil"/>
            </w:tcBorders>
          </w:tcPr>
          <w:p w:rsidR="00565FD5" w:rsidRPr="00E16DD0" w:rsidRDefault="00565FD5" w:rsidP="00AB62A3">
            <w:pPr>
              <w:rPr>
                <w:rFonts w:cs="Tahoma"/>
                <w:sz w:val="16"/>
                <w:szCs w:val="16"/>
              </w:rPr>
            </w:pPr>
            <w:r w:rsidRPr="00E16DD0">
              <w:rPr>
                <w:rFonts w:cs="Tahoma"/>
                <w:sz w:val="16"/>
                <w:szCs w:val="16"/>
              </w:rPr>
              <w:t>Genişbant Abone Sayısı (Bin)</w:t>
            </w:r>
          </w:p>
        </w:tc>
        <w:tc>
          <w:tcPr>
            <w:tcW w:w="881"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8 562</w:t>
            </w:r>
          </w:p>
        </w:tc>
        <w:tc>
          <w:tcPr>
            <w:tcW w:w="880"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14 046</w:t>
            </w:r>
          </w:p>
        </w:tc>
        <w:tc>
          <w:tcPr>
            <w:tcW w:w="861" w:type="pct"/>
            <w:tcBorders>
              <w:top w:val="nil"/>
              <w:left w:val="nil"/>
              <w:bottom w:val="nil"/>
              <w:right w:val="single" w:sz="4" w:space="0" w:color="auto"/>
            </w:tcBorders>
          </w:tcPr>
          <w:p w:rsidR="00565FD5" w:rsidRPr="00E16DD0" w:rsidRDefault="00565FD5" w:rsidP="00AB62A3">
            <w:pPr>
              <w:jc w:val="right"/>
              <w:rPr>
                <w:rFonts w:cs="Tahoma"/>
                <w:sz w:val="16"/>
                <w:szCs w:val="16"/>
              </w:rPr>
            </w:pPr>
            <w:r w:rsidRPr="00E16DD0">
              <w:rPr>
                <w:rFonts w:cs="Tahoma"/>
                <w:sz w:val="16"/>
                <w:szCs w:val="16"/>
              </w:rPr>
              <w:t>22 000</w:t>
            </w:r>
          </w:p>
        </w:tc>
      </w:tr>
      <w:tr w:rsidR="00565FD5" w:rsidRPr="00E16DD0" w:rsidTr="00AB62A3">
        <w:trPr>
          <w:trHeight w:val="227"/>
        </w:trPr>
        <w:tc>
          <w:tcPr>
            <w:tcW w:w="2378" w:type="pct"/>
            <w:tcBorders>
              <w:top w:val="nil"/>
              <w:left w:val="single" w:sz="4" w:space="0" w:color="auto"/>
              <w:bottom w:val="nil"/>
              <w:right w:val="nil"/>
            </w:tcBorders>
          </w:tcPr>
          <w:p w:rsidR="00565FD5" w:rsidRPr="00E16DD0" w:rsidRDefault="00565FD5" w:rsidP="00AB62A3">
            <w:pPr>
              <w:rPr>
                <w:rFonts w:cs="Tahoma"/>
                <w:sz w:val="16"/>
                <w:szCs w:val="16"/>
              </w:rPr>
            </w:pPr>
            <w:r w:rsidRPr="00E16DD0">
              <w:rPr>
                <w:rFonts w:cs="Tahoma"/>
                <w:sz w:val="16"/>
                <w:szCs w:val="16"/>
              </w:rPr>
              <w:t>Genişbant Abone Yoğunluğu (Yüzde)</w:t>
            </w:r>
          </w:p>
        </w:tc>
        <w:tc>
          <w:tcPr>
            <w:tcW w:w="881"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11,6</w:t>
            </w:r>
          </w:p>
        </w:tc>
        <w:tc>
          <w:tcPr>
            <w:tcW w:w="880"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19</w:t>
            </w:r>
          </w:p>
        </w:tc>
        <w:tc>
          <w:tcPr>
            <w:tcW w:w="861" w:type="pct"/>
            <w:tcBorders>
              <w:top w:val="nil"/>
              <w:left w:val="nil"/>
              <w:bottom w:val="nil"/>
              <w:right w:val="single" w:sz="4" w:space="0" w:color="auto"/>
            </w:tcBorders>
          </w:tcPr>
          <w:p w:rsidR="00565FD5" w:rsidRPr="00E16DD0" w:rsidRDefault="00565FD5" w:rsidP="00AB62A3">
            <w:pPr>
              <w:jc w:val="right"/>
              <w:rPr>
                <w:rFonts w:cs="Tahoma"/>
                <w:sz w:val="16"/>
                <w:szCs w:val="16"/>
              </w:rPr>
            </w:pPr>
            <w:r w:rsidRPr="00E16DD0">
              <w:rPr>
                <w:rFonts w:cs="Tahoma"/>
                <w:sz w:val="16"/>
                <w:szCs w:val="16"/>
              </w:rPr>
              <w:t>30</w:t>
            </w:r>
          </w:p>
        </w:tc>
      </w:tr>
      <w:tr w:rsidR="00565FD5" w:rsidRPr="00E16DD0" w:rsidTr="00AB62A3">
        <w:trPr>
          <w:trHeight w:val="227"/>
        </w:trPr>
        <w:tc>
          <w:tcPr>
            <w:tcW w:w="2378" w:type="pct"/>
            <w:tcBorders>
              <w:top w:val="nil"/>
              <w:left w:val="single" w:sz="4" w:space="0" w:color="auto"/>
              <w:bottom w:val="nil"/>
              <w:right w:val="nil"/>
            </w:tcBorders>
          </w:tcPr>
          <w:p w:rsidR="00565FD5" w:rsidRPr="00E16DD0" w:rsidRDefault="00565FD5" w:rsidP="00AB62A3">
            <w:pPr>
              <w:rPr>
                <w:rFonts w:cs="Tahoma"/>
                <w:sz w:val="16"/>
                <w:szCs w:val="16"/>
              </w:rPr>
            </w:pPr>
            <w:r w:rsidRPr="00E16DD0">
              <w:rPr>
                <w:rFonts w:cs="Tahoma"/>
                <w:sz w:val="16"/>
                <w:szCs w:val="16"/>
              </w:rPr>
              <w:t>Kablo Tv Abone Sayısı (Bin)</w:t>
            </w:r>
          </w:p>
        </w:tc>
        <w:tc>
          <w:tcPr>
            <w:tcW w:w="881"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1 439</w:t>
            </w:r>
          </w:p>
        </w:tc>
        <w:tc>
          <w:tcPr>
            <w:tcW w:w="880"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1 261</w:t>
            </w:r>
          </w:p>
        </w:tc>
        <w:tc>
          <w:tcPr>
            <w:tcW w:w="861" w:type="pct"/>
            <w:tcBorders>
              <w:top w:val="nil"/>
              <w:left w:val="nil"/>
              <w:bottom w:val="nil"/>
              <w:right w:val="single" w:sz="4" w:space="0" w:color="auto"/>
            </w:tcBorders>
          </w:tcPr>
          <w:p w:rsidR="00565FD5" w:rsidRPr="00E16DD0" w:rsidRDefault="00565FD5" w:rsidP="00AB62A3">
            <w:pPr>
              <w:jc w:val="right"/>
              <w:rPr>
                <w:rFonts w:cs="Tahoma"/>
                <w:sz w:val="16"/>
                <w:szCs w:val="16"/>
              </w:rPr>
            </w:pPr>
            <w:r w:rsidRPr="00E16DD0">
              <w:rPr>
                <w:rFonts w:cs="Tahoma"/>
                <w:sz w:val="16"/>
                <w:szCs w:val="16"/>
              </w:rPr>
              <w:t>1 275</w:t>
            </w:r>
          </w:p>
        </w:tc>
      </w:tr>
      <w:tr w:rsidR="00565FD5" w:rsidRPr="00E16DD0" w:rsidTr="00AB62A3">
        <w:trPr>
          <w:trHeight w:val="227"/>
        </w:trPr>
        <w:tc>
          <w:tcPr>
            <w:tcW w:w="2378" w:type="pct"/>
            <w:tcBorders>
              <w:top w:val="nil"/>
              <w:left w:val="single" w:sz="4" w:space="0" w:color="auto"/>
              <w:bottom w:val="nil"/>
              <w:right w:val="nil"/>
            </w:tcBorders>
          </w:tcPr>
          <w:p w:rsidR="00565FD5" w:rsidRPr="00E16DD0" w:rsidRDefault="00565FD5" w:rsidP="00AB62A3">
            <w:pPr>
              <w:rPr>
                <w:rFonts w:cs="Tahoma"/>
                <w:sz w:val="16"/>
                <w:szCs w:val="16"/>
              </w:rPr>
            </w:pPr>
            <w:r w:rsidRPr="00E16DD0">
              <w:rPr>
                <w:rFonts w:cs="Tahoma"/>
                <w:sz w:val="16"/>
                <w:szCs w:val="16"/>
              </w:rPr>
              <w:t>Bilgisayar Kullanan Bireylerin Oranı (Yüzde)(2)</w:t>
            </w:r>
          </w:p>
        </w:tc>
        <w:tc>
          <w:tcPr>
            <w:tcW w:w="881"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43,2</w:t>
            </w:r>
          </w:p>
        </w:tc>
        <w:tc>
          <w:tcPr>
            <w:tcW w:w="880"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46,4</w:t>
            </w:r>
          </w:p>
        </w:tc>
        <w:tc>
          <w:tcPr>
            <w:tcW w:w="861" w:type="pct"/>
            <w:tcBorders>
              <w:top w:val="nil"/>
              <w:left w:val="nil"/>
              <w:bottom w:val="nil"/>
              <w:right w:val="single" w:sz="4" w:space="0" w:color="auto"/>
            </w:tcBorders>
          </w:tcPr>
          <w:p w:rsidR="00565FD5" w:rsidRPr="00E16DD0" w:rsidRDefault="00565FD5" w:rsidP="00AB62A3">
            <w:pPr>
              <w:jc w:val="right"/>
              <w:rPr>
                <w:rFonts w:cs="Tahoma"/>
                <w:sz w:val="16"/>
                <w:szCs w:val="16"/>
              </w:rPr>
            </w:pPr>
            <w:r w:rsidRPr="00E16DD0">
              <w:rPr>
                <w:rFonts w:cs="Tahoma"/>
                <w:sz w:val="16"/>
                <w:szCs w:val="16"/>
              </w:rPr>
              <w:t>48,7</w:t>
            </w:r>
          </w:p>
        </w:tc>
      </w:tr>
      <w:tr w:rsidR="00565FD5" w:rsidRPr="00E16DD0" w:rsidTr="00AB62A3">
        <w:trPr>
          <w:trHeight w:val="227"/>
        </w:trPr>
        <w:tc>
          <w:tcPr>
            <w:tcW w:w="2378" w:type="pct"/>
            <w:tcBorders>
              <w:top w:val="nil"/>
              <w:left w:val="single" w:sz="4" w:space="0" w:color="auto"/>
              <w:bottom w:val="nil"/>
              <w:right w:val="nil"/>
            </w:tcBorders>
          </w:tcPr>
          <w:p w:rsidR="00565FD5" w:rsidRPr="00E16DD0" w:rsidRDefault="00565FD5" w:rsidP="00AB62A3">
            <w:pPr>
              <w:rPr>
                <w:rFonts w:cs="Tahoma"/>
                <w:sz w:val="16"/>
                <w:szCs w:val="16"/>
              </w:rPr>
            </w:pPr>
            <w:r w:rsidRPr="00E16DD0">
              <w:rPr>
                <w:rFonts w:cs="Tahoma"/>
                <w:sz w:val="16"/>
                <w:szCs w:val="16"/>
              </w:rPr>
              <w:t>İnternet Kullanan Bireylerin Oranı (Yüzde)(2)</w:t>
            </w:r>
          </w:p>
        </w:tc>
        <w:tc>
          <w:tcPr>
            <w:tcW w:w="881"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41,6</w:t>
            </w:r>
          </w:p>
        </w:tc>
        <w:tc>
          <w:tcPr>
            <w:tcW w:w="880"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45</w:t>
            </w:r>
          </w:p>
        </w:tc>
        <w:tc>
          <w:tcPr>
            <w:tcW w:w="861" w:type="pct"/>
            <w:tcBorders>
              <w:top w:val="nil"/>
              <w:left w:val="nil"/>
              <w:bottom w:val="nil"/>
              <w:right w:val="single" w:sz="4" w:space="0" w:color="auto"/>
            </w:tcBorders>
          </w:tcPr>
          <w:p w:rsidR="00565FD5" w:rsidRPr="00E16DD0" w:rsidRDefault="00565FD5" w:rsidP="00AB62A3">
            <w:pPr>
              <w:jc w:val="right"/>
              <w:rPr>
                <w:rFonts w:cs="Tahoma"/>
                <w:sz w:val="16"/>
                <w:szCs w:val="16"/>
              </w:rPr>
            </w:pPr>
            <w:r w:rsidRPr="00E16DD0">
              <w:rPr>
                <w:rFonts w:cs="Tahoma"/>
                <w:sz w:val="16"/>
                <w:szCs w:val="16"/>
              </w:rPr>
              <w:t>47,4</w:t>
            </w:r>
          </w:p>
        </w:tc>
      </w:tr>
      <w:tr w:rsidR="00565FD5" w:rsidRPr="00E16DD0" w:rsidTr="00AB62A3">
        <w:trPr>
          <w:trHeight w:val="227"/>
        </w:trPr>
        <w:tc>
          <w:tcPr>
            <w:tcW w:w="2378" w:type="pct"/>
            <w:tcBorders>
              <w:top w:val="nil"/>
              <w:left w:val="single" w:sz="4" w:space="0" w:color="auto"/>
              <w:bottom w:val="nil"/>
              <w:right w:val="nil"/>
            </w:tcBorders>
          </w:tcPr>
          <w:p w:rsidR="00565FD5" w:rsidRPr="00E16DD0" w:rsidRDefault="00565FD5" w:rsidP="00AB62A3">
            <w:pPr>
              <w:rPr>
                <w:rFonts w:cs="Tahoma"/>
                <w:sz w:val="16"/>
                <w:szCs w:val="16"/>
              </w:rPr>
            </w:pPr>
            <w:r w:rsidRPr="00E16DD0">
              <w:rPr>
                <w:rFonts w:cs="Tahoma"/>
                <w:sz w:val="16"/>
                <w:szCs w:val="16"/>
              </w:rPr>
              <w:lastRenderedPageBreak/>
              <w:t>İnternet Erişimine Sahip Hane Oranı (Yüzde)</w:t>
            </w:r>
          </w:p>
        </w:tc>
        <w:tc>
          <w:tcPr>
            <w:tcW w:w="881"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41,6</w:t>
            </w:r>
          </w:p>
        </w:tc>
        <w:tc>
          <w:tcPr>
            <w:tcW w:w="880"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42,9</w:t>
            </w:r>
          </w:p>
        </w:tc>
        <w:tc>
          <w:tcPr>
            <w:tcW w:w="861" w:type="pct"/>
            <w:tcBorders>
              <w:top w:val="nil"/>
              <w:left w:val="nil"/>
              <w:bottom w:val="nil"/>
              <w:right w:val="single" w:sz="4" w:space="0" w:color="auto"/>
            </w:tcBorders>
          </w:tcPr>
          <w:p w:rsidR="00565FD5" w:rsidRPr="00E16DD0" w:rsidRDefault="00565FD5" w:rsidP="00AB62A3">
            <w:pPr>
              <w:jc w:val="right"/>
              <w:rPr>
                <w:rFonts w:cs="Tahoma"/>
                <w:sz w:val="16"/>
                <w:szCs w:val="16"/>
              </w:rPr>
            </w:pPr>
            <w:r w:rsidRPr="00E16DD0">
              <w:rPr>
                <w:rFonts w:cs="Tahoma"/>
                <w:sz w:val="16"/>
                <w:szCs w:val="16"/>
              </w:rPr>
              <w:t>47,2</w:t>
            </w:r>
          </w:p>
        </w:tc>
      </w:tr>
      <w:tr w:rsidR="00565FD5" w:rsidRPr="00E16DD0" w:rsidTr="00AB62A3">
        <w:trPr>
          <w:trHeight w:val="227"/>
        </w:trPr>
        <w:tc>
          <w:tcPr>
            <w:tcW w:w="2378" w:type="pct"/>
            <w:tcBorders>
              <w:top w:val="nil"/>
              <w:left w:val="single" w:sz="4" w:space="0" w:color="auto"/>
              <w:bottom w:val="nil"/>
              <w:right w:val="nil"/>
            </w:tcBorders>
          </w:tcPr>
          <w:p w:rsidR="00565FD5" w:rsidRPr="00E16DD0" w:rsidRDefault="00565FD5" w:rsidP="00AB62A3">
            <w:pPr>
              <w:rPr>
                <w:rFonts w:cs="Tahoma"/>
                <w:sz w:val="16"/>
                <w:szCs w:val="16"/>
              </w:rPr>
            </w:pPr>
            <w:r w:rsidRPr="00E16DD0">
              <w:rPr>
                <w:rFonts w:cs="Tahoma"/>
                <w:sz w:val="16"/>
                <w:szCs w:val="16"/>
              </w:rPr>
              <w:t>Bilgisayar Kullanılan Girişimlerin Oranı (Yüzde)(3)</w:t>
            </w:r>
          </w:p>
        </w:tc>
        <w:tc>
          <w:tcPr>
            <w:tcW w:w="881"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92,3</w:t>
            </w:r>
          </w:p>
        </w:tc>
        <w:tc>
          <w:tcPr>
            <w:tcW w:w="880"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94</w:t>
            </w:r>
          </w:p>
        </w:tc>
        <w:tc>
          <w:tcPr>
            <w:tcW w:w="861" w:type="pct"/>
            <w:tcBorders>
              <w:top w:val="nil"/>
              <w:left w:val="nil"/>
              <w:bottom w:val="nil"/>
              <w:right w:val="single" w:sz="4" w:space="0" w:color="auto"/>
            </w:tcBorders>
          </w:tcPr>
          <w:p w:rsidR="00565FD5" w:rsidRPr="00E16DD0" w:rsidRDefault="00565FD5" w:rsidP="00AB62A3">
            <w:pPr>
              <w:jc w:val="right"/>
              <w:rPr>
                <w:rFonts w:cs="Tahoma"/>
                <w:sz w:val="16"/>
                <w:szCs w:val="16"/>
              </w:rPr>
            </w:pPr>
            <w:r w:rsidRPr="00E16DD0">
              <w:rPr>
                <w:rFonts w:cs="Tahoma"/>
                <w:sz w:val="16"/>
                <w:szCs w:val="16"/>
              </w:rPr>
              <w:t>--</w:t>
            </w:r>
          </w:p>
        </w:tc>
      </w:tr>
      <w:tr w:rsidR="00565FD5" w:rsidRPr="00E16DD0" w:rsidTr="00AB62A3">
        <w:trPr>
          <w:trHeight w:val="227"/>
        </w:trPr>
        <w:tc>
          <w:tcPr>
            <w:tcW w:w="2378" w:type="pct"/>
            <w:tcBorders>
              <w:top w:val="nil"/>
              <w:left w:val="single" w:sz="4" w:space="0" w:color="auto"/>
              <w:bottom w:val="nil"/>
              <w:right w:val="nil"/>
            </w:tcBorders>
          </w:tcPr>
          <w:p w:rsidR="00565FD5" w:rsidRPr="00E16DD0" w:rsidRDefault="00565FD5" w:rsidP="00AB62A3">
            <w:pPr>
              <w:rPr>
                <w:rFonts w:cs="Tahoma"/>
                <w:sz w:val="16"/>
                <w:szCs w:val="16"/>
              </w:rPr>
            </w:pPr>
            <w:r w:rsidRPr="00E16DD0">
              <w:rPr>
                <w:rFonts w:cs="Tahoma"/>
                <w:sz w:val="16"/>
                <w:szCs w:val="16"/>
              </w:rPr>
              <w:t>İnternet Erişimine Sahip Girişimlerin Oranı (Yüzde)(3)</w:t>
            </w:r>
          </w:p>
        </w:tc>
        <w:tc>
          <w:tcPr>
            <w:tcW w:w="881"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90,9</w:t>
            </w:r>
          </w:p>
        </w:tc>
        <w:tc>
          <w:tcPr>
            <w:tcW w:w="880"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92,4</w:t>
            </w:r>
          </w:p>
        </w:tc>
        <w:tc>
          <w:tcPr>
            <w:tcW w:w="861" w:type="pct"/>
            <w:tcBorders>
              <w:top w:val="nil"/>
              <w:left w:val="nil"/>
              <w:bottom w:val="nil"/>
              <w:right w:val="single" w:sz="4" w:space="0" w:color="auto"/>
            </w:tcBorders>
          </w:tcPr>
          <w:p w:rsidR="00565FD5" w:rsidRPr="00E16DD0" w:rsidRDefault="00565FD5" w:rsidP="00AB62A3">
            <w:pPr>
              <w:jc w:val="right"/>
              <w:rPr>
                <w:rFonts w:cs="Tahoma"/>
                <w:sz w:val="16"/>
                <w:szCs w:val="16"/>
              </w:rPr>
            </w:pPr>
            <w:r w:rsidRPr="00E16DD0">
              <w:rPr>
                <w:rFonts w:cs="Tahoma"/>
                <w:sz w:val="16"/>
                <w:szCs w:val="16"/>
              </w:rPr>
              <w:t>--</w:t>
            </w:r>
          </w:p>
        </w:tc>
      </w:tr>
      <w:tr w:rsidR="00565FD5" w:rsidRPr="00E16DD0" w:rsidTr="00AB62A3">
        <w:trPr>
          <w:trHeight w:val="227"/>
        </w:trPr>
        <w:tc>
          <w:tcPr>
            <w:tcW w:w="2378" w:type="pct"/>
            <w:tcBorders>
              <w:top w:val="nil"/>
              <w:left w:val="single" w:sz="4" w:space="0" w:color="auto"/>
              <w:bottom w:val="nil"/>
              <w:right w:val="nil"/>
            </w:tcBorders>
          </w:tcPr>
          <w:p w:rsidR="00565FD5" w:rsidRPr="00E16DD0" w:rsidRDefault="00565FD5" w:rsidP="00AB62A3">
            <w:pPr>
              <w:rPr>
                <w:rFonts w:cs="Tahoma"/>
                <w:sz w:val="16"/>
                <w:szCs w:val="16"/>
              </w:rPr>
            </w:pPr>
            <w:r w:rsidRPr="00E16DD0">
              <w:rPr>
                <w:rFonts w:cs="Tahoma"/>
                <w:sz w:val="16"/>
                <w:szCs w:val="16"/>
              </w:rPr>
              <w:t>BİT Pazar Büyüklüğü (Milyar ABD doları)</w:t>
            </w:r>
          </w:p>
        </w:tc>
        <w:tc>
          <w:tcPr>
            <w:tcW w:w="881" w:type="pct"/>
            <w:tcBorders>
              <w:top w:val="nil"/>
              <w:left w:val="nil"/>
              <w:bottom w:val="nil"/>
              <w:right w:val="nil"/>
            </w:tcBorders>
          </w:tcPr>
          <w:p w:rsidR="00565FD5" w:rsidRPr="00E16DD0" w:rsidRDefault="00565FD5" w:rsidP="00AB62A3">
            <w:pPr>
              <w:jc w:val="right"/>
              <w:rPr>
                <w:rFonts w:cs="Tahoma"/>
                <w:sz w:val="16"/>
                <w:szCs w:val="16"/>
              </w:rPr>
            </w:pPr>
            <w:r>
              <w:rPr>
                <w:rFonts w:cs="Tahoma"/>
                <w:sz w:val="16"/>
                <w:szCs w:val="16"/>
              </w:rPr>
              <w:t>25</w:t>
            </w:r>
            <w:r w:rsidRPr="00E16DD0">
              <w:rPr>
                <w:rFonts w:cs="Tahoma"/>
                <w:sz w:val="16"/>
                <w:szCs w:val="16"/>
              </w:rPr>
              <w:t>,</w:t>
            </w:r>
            <w:r>
              <w:rPr>
                <w:rFonts w:cs="Tahoma"/>
                <w:sz w:val="16"/>
                <w:szCs w:val="16"/>
              </w:rPr>
              <w:t>8</w:t>
            </w:r>
          </w:p>
        </w:tc>
        <w:tc>
          <w:tcPr>
            <w:tcW w:w="880"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25,4</w:t>
            </w:r>
          </w:p>
        </w:tc>
        <w:tc>
          <w:tcPr>
            <w:tcW w:w="861" w:type="pct"/>
            <w:tcBorders>
              <w:top w:val="nil"/>
              <w:left w:val="nil"/>
              <w:bottom w:val="nil"/>
              <w:right w:val="single" w:sz="4" w:space="0" w:color="auto"/>
            </w:tcBorders>
          </w:tcPr>
          <w:p w:rsidR="00565FD5" w:rsidRPr="00E16DD0" w:rsidRDefault="00565FD5" w:rsidP="00AB62A3">
            <w:pPr>
              <w:jc w:val="right"/>
              <w:rPr>
                <w:rFonts w:cs="Tahoma"/>
                <w:sz w:val="16"/>
                <w:szCs w:val="16"/>
              </w:rPr>
            </w:pPr>
            <w:r w:rsidRPr="00E16DD0">
              <w:rPr>
                <w:rFonts w:cs="Tahoma"/>
                <w:sz w:val="16"/>
                <w:szCs w:val="16"/>
              </w:rPr>
              <w:t>27,5</w:t>
            </w:r>
          </w:p>
        </w:tc>
      </w:tr>
      <w:tr w:rsidR="00565FD5" w:rsidRPr="00E16DD0" w:rsidTr="00AB62A3">
        <w:trPr>
          <w:trHeight w:val="227"/>
        </w:trPr>
        <w:tc>
          <w:tcPr>
            <w:tcW w:w="2378" w:type="pct"/>
            <w:tcBorders>
              <w:top w:val="nil"/>
              <w:left w:val="single" w:sz="4" w:space="0" w:color="auto"/>
              <w:bottom w:val="nil"/>
              <w:right w:val="nil"/>
            </w:tcBorders>
          </w:tcPr>
          <w:p w:rsidR="00565FD5" w:rsidRPr="00E16DD0" w:rsidRDefault="00565FD5" w:rsidP="00AB62A3">
            <w:pPr>
              <w:ind w:firstLine="284"/>
              <w:rPr>
                <w:rFonts w:cs="Tahoma"/>
                <w:sz w:val="16"/>
                <w:szCs w:val="16"/>
              </w:rPr>
            </w:pPr>
            <w:r w:rsidRPr="00E16DD0">
              <w:rPr>
                <w:rFonts w:cs="Tahoma"/>
                <w:sz w:val="16"/>
                <w:szCs w:val="16"/>
              </w:rPr>
              <w:t>- Telekomünikasyon</w:t>
            </w:r>
          </w:p>
        </w:tc>
        <w:tc>
          <w:tcPr>
            <w:tcW w:w="881"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17,8</w:t>
            </w:r>
          </w:p>
        </w:tc>
        <w:tc>
          <w:tcPr>
            <w:tcW w:w="880" w:type="pct"/>
            <w:tcBorders>
              <w:top w:val="nil"/>
              <w:left w:val="nil"/>
              <w:bottom w:val="nil"/>
              <w:right w:val="nil"/>
            </w:tcBorders>
          </w:tcPr>
          <w:p w:rsidR="00565FD5" w:rsidRPr="00E16DD0" w:rsidRDefault="00565FD5" w:rsidP="00AB62A3">
            <w:pPr>
              <w:jc w:val="right"/>
              <w:rPr>
                <w:rFonts w:cs="Tahoma"/>
                <w:sz w:val="16"/>
                <w:szCs w:val="16"/>
              </w:rPr>
            </w:pPr>
            <w:r w:rsidRPr="00E16DD0">
              <w:rPr>
                <w:rFonts w:cs="Tahoma"/>
                <w:sz w:val="16"/>
                <w:szCs w:val="16"/>
              </w:rPr>
              <w:t>16,5</w:t>
            </w:r>
          </w:p>
        </w:tc>
        <w:tc>
          <w:tcPr>
            <w:tcW w:w="861" w:type="pct"/>
            <w:tcBorders>
              <w:top w:val="nil"/>
              <w:left w:val="nil"/>
              <w:bottom w:val="nil"/>
              <w:right w:val="single" w:sz="4" w:space="0" w:color="auto"/>
            </w:tcBorders>
          </w:tcPr>
          <w:p w:rsidR="00565FD5" w:rsidRPr="00E16DD0" w:rsidRDefault="00565FD5" w:rsidP="00AB62A3">
            <w:pPr>
              <w:jc w:val="right"/>
              <w:rPr>
                <w:rFonts w:cs="Tahoma"/>
                <w:sz w:val="16"/>
                <w:szCs w:val="16"/>
              </w:rPr>
            </w:pPr>
            <w:r w:rsidRPr="00E16DD0">
              <w:rPr>
                <w:rFonts w:cs="Tahoma"/>
                <w:sz w:val="16"/>
                <w:szCs w:val="16"/>
              </w:rPr>
              <w:t>17</w:t>
            </w:r>
          </w:p>
        </w:tc>
      </w:tr>
      <w:tr w:rsidR="00565FD5" w:rsidRPr="00E16DD0" w:rsidTr="00AB62A3">
        <w:trPr>
          <w:trHeight w:val="227"/>
        </w:trPr>
        <w:tc>
          <w:tcPr>
            <w:tcW w:w="2378" w:type="pct"/>
            <w:tcBorders>
              <w:top w:val="nil"/>
              <w:left w:val="single" w:sz="4" w:space="0" w:color="auto"/>
              <w:bottom w:val="single" w:sz="4" w:space="0" w:color="auto"/>
              <w:right w:val="nil"/>
            </w:tcBorders>
          </w:tcPr>
          <w:p w:rsidR="00565FD5" w:rsidRPr="00E16DD0" w:rsidRDefault="00565FD5" w:rsidP="00AB62A3">
            <w:pPr>
              <w:ind w:firstLine="284"/>
              <w:rPr>
                <w:rFonts w:cs="Tahoma"/>
                <w:sz w:val="16"/>
                <w:szCs w:val="16"/>
              </w:rPr>
            </w:pPr>
            <w:r w:rsidRPr="00E16DD0">
              <w:rPr>
                <w:rFonts w:cs="Tahoma"/>
                <w:sz w:val="16"/>
                <w:szCs w:val="16"/>
              </w:rPr>
              <w:t>- Bilgi Teknolojileri</w:t>
            </w:r>
          </w:p>
        </w:tc>
        <w:tc>
          <w:tcPr>
            <w:tcW w:w="881" w:type="pct"/>
            <w:tcBorders>
              <w:top w:val="nil"/>
              <w:left w:val="nil"/>
              <w:bottom w:val="single" w:sz="4" w:space="0" w:color="auto"/>
              <w:right w:val="nil"/>
            </w:tcBorders>
          </w:tcPr>
          <w:p w:rsidR="00565FD5" w:rsidRPr="00E16DD0" w:rsidRDefault="00565FD5" w:rsidP="00AB62A3">
            <w:pPr>
              <w:jc w:val="right"/>
              <w:rPr>
                <w:rFonts w:cs="Tahoma"/>
                <w:sz w:val="16"/>
                <w:szCs w:val="16"/>
              </w:rPr>
            </w:pPr>
            <w:r>
              <w:rPr>
                <w:rFonts w:cs="Tahoma"/>
                <w:sz w:val="16"/>
                <w:szCs w:val="16"/>
              </w:rPr>
              <w:t>8,0</w:t>
            </w:r>
          </w:p>
        </w:tc>
        <w:tc>
          <w:tcPr>
            <w:tcW w:w="880" w:type="pct"/>
            <w:tcBorders>
              <w:top w:val="nil"/>
              <w:left w:val="nil"/>
              <w:bottom w:val="single" w:sz="4" w:space="0" w:color="auto"/>
              <w:right w:val="nil"/>
            </w:tcBorders>
          </w:tcPr>
          <w:p w:rsidR="00565FD5" w:rsidRPr="00E16DD0" w:rsidRDefault="00565FD5" w:rsidP="00AB62A3">
            <w:pPr>
              <w:jc w:val="right"/>
              <w:rPr>
                <w:rFonts w:cs="Tahoma"/>
                <w:sz w:val="16"/>
                <w:szCs w:val="16"/>
              </w:rPr>
            </w:pPr>
            <w:r w:rsidRPr="00E16DD0">
              <w:rPr>
                <w:rFonts w:cs="Tahoma"/>
                <w:sz w:val="16"/>
                <w:szCs w:val="16"/>
              </w:rPr>
              <w:t>8,9</w:t>
            </w:r>
          </w:p>
        </w:tc>
        <w:tc>
          <w:tcPr>
            <w:tcW w:w="861" w:type="pct"/>
            <w:tcBorders>
              <w:top w:val="nil"/>
              <w:left w:val="nil"/>
              <w:bottom w:val="single" w:sz="4" w:space="0" w:color="auto"/>
              <w:right w:val="single" w:sz="4" w:space="0" w:color="auto"/>
            </w:tcBorders>
          </w:tcPr>
          <w:p w:rsidR="00565FD5" w:rsidRPr="00E16DD0" w:rsidRDefault="00565FD5" w:rsidP="00AB62A3">
            <w:pPr>
              <w:jc w:val="right"/>
              <w:rPr>
                <w:rFonts w:cs="Tahoma"/>
                <w:sz w:val="16"/>
                <w:szCs w:val="16"/>
              </w:rPr>
            </w:pPr>
            <w:r w:rsidRPr="00E16DD0">
              <w:rPr>
                <w:rFonts w:cs="Tahoma"/>
                <w:sz w:val="16"/>
                <w:szCs w:val="16"/>
              </w:rPr>
              <w:t>10,5</w:t>
            </w:r>
          </w:p>
        </w:tc>
      </w:tr>
    </w:tbl>
    <w:p w:rsidR="00565FD5" w:rsidRPr="00E16DD0" w:rsidRDefault="00565FD5" w:rsidP="00565FD5">
      <w:pPr>
        <w:rPr>
          <w:rFonts w:cs="Tahoma"/>
          <w:sz w:val="14"/>
          <w:szCs w:val="14"/>
        </w:rPr>
      </w:pPr>
      <w:r w:rsidRPr="00E16DD0">
        <w:rPr>
          <w:rFonts w:cs="Tahoma"/>
          <w:sz w:val="14"/>
          <w:szCs w:val="14"/>
        </w:rPr>
        <w:t>Kaynak: BTK, TÜİK, Kalkınma Bakanlığı, IDC</w:t>
      </w:r>
    </w:p>
    <w:p w:rsidR="00565FD5" w:rsidRDefault="00565FD5" w:rsidP="00565FD5">
      <w:pPr>
        <w:spacing w:after="240"/>
        <w:rPr>
          <w:rFonts w:cs="Tahoma"/>
          <w:sz w:val="14"/>
          <w:szCs w:val="14"/>
        </w:rPr>
      </w:pPr>
      <w:r w:rsidRPr="00E16DD0">
        <w:rPr>
          <w:rFonts w:cs="Tahoma"/>
          <w:sz w:val="14"/>
          <w:szCs w:val="14"/>
        </w:rPr>
        <w:t>(1) Gerçekleşme tahmini</w:t>
      </w:r>
      <w:r w:rsidRPr="00E16DD0">
        <w:rPr>
          <w:rFonts w:cs="Tahoma"/>
          <w:sz w:val="14"/>
          <w:szCs w:val="14"/>
        </w:rPr>
        <w:br/>
        <w:t>(2) 16-74 yaş arası nüfus bazındadır.</w:t>
      </w:r>
      <w:r w:rsidRPr="00E16DD0">
        <w:rPr>
          <w:rFonts w:cs="Tahoma"/>
          <w:sz w:val="14"/>
          <w:szCs w:val="14"/>
        </w:rPr>
        <w:br/>
        <w:t>(3) Seçilmiş sektörlerde 10 ve daha fazla çalışanı olan girişimler bazındadır.</w:t>
      </w:r>
    </w:p>
    <w:p w:rsidR="00565FD5" w:rsidRPr="00E16DD0" w:rsidRDefault="00565FD5" w:rsidP="00565FD5">
      <w:pPr>
        <w:spacing w:after="180"/>
      </w:pPr>
      <w:r w:rsidRPr="00E16DD0">
        <w:tab/>
        <w:t>2011 yılı itibarıyla BİT pazarının yüzde 65’i telekomünikasyon sektöründen, geri kalan yüzde 35’i ise bilgi teknolojileri sektöründen oluşmaktadır. Donanım, paket yazılım ve hizmetler alt kırılımlarından oluşan bilgi teknolojileri pazarı içerisinde en büyük payı 7,07 milyar ABD dolarlık donanım pazarı alırken, yazılım pazarının büyüklüğü 703 milyon ABD doları, hizmetler pazarının büyüklüğü ise 1,13 milyar ABD doları seviyesindedir. Bilgi teknolojileri pazarının toplam BİT pazarı içerisindeki payının gelişmiş ülkelerde yaklaşık olarak yüzde 50 olduğu düşünüldüğünde, ülkemizde gerçekleşen yüzde 35 oranı düşük seviyede kalmaktadır. Ülkemiz yazılım ve hizmetler sektörünün bilgi teknolojileri içerisindeki yüzde 21’lik payı ise, dünya ortalaması olan yüzde 70’le karşılaştırıldığında dikkat çekecek kadar düşük bir orandır. Bilgi teknolojileri hizmetleri pazarının gelişmesi; diğer sektörlerde BİT kullanımının yaygınlaşması ve bu teknolojilerin beraberinde getireceği imkânlardan yararlanılabilmesi açısından büyük önem taşımaktadır. BİT pazarı yıllar itibarıyla belirli bir büyüme sergilemesine rağmen, sektörün ekonomiye sağladığı katkı istenilen düzeyde gelişim göstermemektedir. TÜBİSAD tarafından 2012 yılında yayımlanan bir rapora göre, 2003-2008 döneminde BİT’in toplam özel sektör katma değeri içerisindeki payı ancak yüzde 5,54’ten yüzde 5,65’e yükselebilmiştir. BİT’in özel sektör istihdamı içerisindeki payı ise aynı dönemde yaklaşık yüzde 25 küçülmüştür.</w:t>
      </w:r>
    </w:p>
    <w:p w:rsidR="00565FD5" w:rsidRPr="00E16DD0" w:rsidRDefault="00565FD5" w:rsidP="00565FD5">
      <w:pPr>
        <w:spacing w:after="180"/>
        <w:ind w:firstLine="425"/>
        <w:rPr>
          <w:b/>
          <w:szCs w:val="18"/>
        </w:rPr>
      </w:pPr>
      <w:r w:rsidRPr="00E16DD0">
        <w:rPr>
          <w:b/>
          <w:szCs w:val="18"/>
        </w:rPr>
        <w:t>Posta ve Yayıncılık</w:t>
      </w:r>
    </w:p>
    <w:p w:rsidR="00565FD5" w:rsidRPr="00E16DD0" w:rsidRDefault="00565FD5" w:rsidP="00565FD5">
      <w:pPr>
        <w:spacing w:after="180"/>
        <w:rPr>
          <w:rFonts w:cs="Tahoma"/>
          <w:szCs w:val="18"/>
        </w:rPr>
      </w:pPr>
      <w:r w:rsidRPr="00E16DD0">
        <w:rPr>
          <w:rFonts w:cs="Tahoma"/>
          <w:szCs w:val="18"/>
        </w:rPr>
        <w:lastRenderedPageBreak/>
        <w:tab/>
        <w:t>Posta sektöründe politika belirleme, düzenleme ve işletme birimlerinin ayrılması; posta hizmetleri piyasasının serbestleştirilerek etkin rekabet ortamının sağlanması ve PTT Genel Müdürlüğünün yeniden yapılandırılmasına yönelik hazırlanan kanun tasarısı taslağı Ulaştırma, Denizcilik ve Haberleşme Bakanlığı tarafından Başbakanlığa sunulmuştur.</w:t>
      </w:r>
    </w:p>
    <w:p w:rsidR="00565FD5" w:rsidRPr="00E16DD0" w:rsidRDefault="00565FD5" w:rsidP="00565FD5">
      <w:pPr>
        <w:spacing w:after="180"/>
        <w:ind w:firstLine="426"/>
        <w:rPr>
          <w:rFonts w:cs="Tahoma"/>
          <w:szCs w:val="18"/>
        </w:rPr>
      </w:pPr>
      <w:r w:rsidRPr="00E16DD0">
        <w:rPr>
          <w:rFonts w:cs="Tahoma"/>
          <w:szCs w:val="18"/>
        </w:rPr>
        <w:t>Karasal vericiler üzerinden sayısal yayıncılığa geçiş politikası kapsamında, yayınların ortak altyapı üzerinden gerçekleştirilmesi amacıyla TRT ve özel yayıncılar tarafından Anten Teknik Hizmetler ve Verici Tesis İşletme A.Ş. adında bir şirket kurulmuştur. Sayısal karasal yayıncılık için sıralama ihalesinin gerçekleştirilmesine yönelik hukuki ve teknik düzenleme çalışmaları devam etmektedir.</w:t>
      </w:r>
    </w:p>
    <w:p w:rsidR="00565FD5" w:rsidRPr="00E16DD0" w:rsidRDefault="00565FD5" w:rsidP="00565FD5">
      <w:pPr>
        <w:pStyle w:val="Balk4"/>
      </w:pPr>
      <w:bookmarkStart w:id="1766" w:name="_Toc338523812"/>
      <w:bookmarkStart w:id="1767" w:name="_Toc338524043"/>
      <w:bookmarkStart w:id="1768" w:name="_Toc338526269"/>
      <w:bookmarkStart w:id="1769" w:name="_Toc338673712"/>
      <w:bookmarkStart w:id="1770" w:name="_Toc338711591"/>
      <w:r w:rsidRPr="00E16DD0">
        <w:t>2. Temel Amaç ve Hedefler</w:t>
      </w:r>
      <w:bookmarkEnd w:id="1766"/>
      <w:bookmarkEnd w:id="1767"/>
      <w:bookmarkEnd w:id="1768"/>
      <w:bookmarkEnd w:id="1769"/>
      <w:bookmarkEnd w:id="1770"/>
    </w:p>
    <w:p w:rsidR="00565FD5" w:rsidRPr="00E16DD0" w:rsidRDefault="00565FD5" w:rsidP="00565FD5">
      <w:pPr>
        <w:spacing w:after="180"/>
        <w:rPr>
          <w:rFonts w:cs="Tahoma"/>
          <w:szCs w:val="18"/>
        </w:rPr>
      </w:pPr>
      <w:r w:rsidRPr="00E16DD0">
        <w:rPr>
          <w:szCs w:val="18"/>
        </w:rPr>
        <w:tab/>
      </w:r>
      <w:r w:rsidRPr="00E16DD0">
        <w:rPr>
          <w:rFonts w:cs="Tahoma"/>
          <w:szCs w:val="18"/>
        </w:rPr>
        <w:t>Bilgi ve iletişim teknolojilerinin yaygınlaştırılması ve etkin kullanılmasıyla bilgi toplumuna dönüşüm sürecinin hızlandırılması ve bu yolla ülkemizin rekabet gücünün ve refah düzeyinin artırılmasına katkı sağlanması temel amaçtır.</w:t>
      </w:r>
    </w:p>
    <w:p w:rsidR="00565FD5" w:rsidRPr="00E16DD0" w:rsidRDefault="00565FD5" w:rsidP="00565FD5">
      <w:pPr>
        <w:tabs>
          <w:tab w:val="left" w:pos="708"/>
        </w:tabs>
        <w:autoSpaceDE w:val="0"/>
        <w:autoSpaceDN w:val="0"/>
        <w:adjustRightInd w:val="0"/>
        <w:ind w:firstLine="425"/>
        <w:rPr>
          <w:rFonts w:cs="Tahoma"/>
          <w:szCs w:val="18"/>
          <w:lang w:eastAsia="tr-TR"/>
        </w:rPr>
      </w:pPr>
      <w:r w:rsidRPr="00E16DD0">
        <w:rPr>
          <w:rFonts w:cs="Tahoma"/>
          <w:szCs w:val="18"/>
          <w:lang w:eastAsia="tr-TR"/>
        </w:rPr>
        <w:t>Ülkemizin bilgi toplumuna dönüşüm sürecinde, önümüzdeki dönemde hayata geçirilecek politika, strateji ve uygulamaların belirleneceği yeni Bilgi Toplumu Stratejisi hazırlanacaktır.</w:t>
      </w:r>
    </w:p>
    <w:p w:rsidR="00565FD5" w:rsidRPr="00E16DD0" w:rsidRDefault="00565FD5" w:rsidP="00565FD5">
      <w:pPr>
        <w:tabs>
          <w:tab w:val="left" w:pos="708"/>
        </w:tabs>
        <w:autoSpaceDE w:val="0"/>
        <w:autoSpaceDN w:val="0"/>
        <w:adjustRightInd w:val="0"/>
        <w:ind w:firstLine="425"/>
        <w:rPr>
          <w:rFonts w:cs="Tahoma"/>
          <w:szCs w:val="18"/>
          <w:lang w:eastAsia="tr-TR"/>
        </w:rPr>
      </w:pPr>
    </w:p>
    <w:p w:rsidR="00565FD5" w:rsidRPr="00E16DD0" w:rsidRDefault="00565FD5" w:rsidP="00565FD5">
      <w:pPr>
        <w:spacing w:after="180"/>
        <w:rPr>
          <w:rFonts w:cs="Tahoma"/>
          <w:szCs w:val="18"/>
        </w:rPr>
      </w:pPr>
      <w:r w:rsidRPr="00E16DD0">
        <w:rPr>
          <w:rFonts w:cs="Tahoma"/>
          <w:szCs w:val="18"/>
        </w:rPr>
        <w:tab/>
        <w:t>Elektronik haberleşme sektörünün hizmet yeteneğinin rekabetçi bir ortamda küresel düzeyde geliştirilmesi hedefi doğrultusunda; devletin düzenleyici rolü etkinleştirilecek, yapılan düzenlemeler etkin şekilde uygulanacak, alternatif altyapı ve hizmetlerin devreye girmesi sağlanacak, pazarın potansiyel gelişimi ve bilgi toplumu hizmetlerinin yaygınlaşmasını etkileyen sorunlara çözümler geliştirilecektir.</w:t>
      </w:r>
    </w:p>
    <w:p w:rsidR="00565FD5" w:rsidRPr="00E16DD0" w:rsidRDefault="00565FD5" w:rsidP="00565FD5">
      <w:pPr>
        <w:ind w:firstLine="425"/>
        <w:rPr>
          <w:rFonts w:cs="Tahoma"/>
          <w:szCs w:val="18"/>
        </w:rPr>
      </w:pPr>
      <w:r w:rsidRPr="00E16DD0">
        <w:rPr>
          <w:rFonts w:cs="Tahoma"/>
          <w:szCs w:val="18"/>
        </w:rPr>
        <w:t>Kullanıcılara yüksek hızlarda genişbant erişim hizmeti sunulmasına imkân veren fiber optik şebeke altyapılarının yaygınlaştırılması ve kurulumunun kolaylaştırılmasına yönelik tedbirler hayata geçirilecektir.</w:t>
      </w:r>
    </w:p>
    <w:p w:rsidR="00565FD5" w:rsidRPr="00E16DD0" w:rsidRDefault="00565FD5" w:rsidP="00565FD5">
      <w:pPr>
        <w:ind w:firstLine="425"/>
        <w:rPr>
          <w:rFonts w:cs="Tahoma"/>
          <w:szCs w:val="18"/>
        </w:rPr>
      </w:pPr>
    </w:p>
    <w:p w:rsidR="00565FD5" w:rsidRPr="00E16DD0" w:rsidRDefault="00565FD5" w:rsidP="00565FD5">
      <w:pPr>
        <w:tabs>
          <w:tab w:val="left" w:pos="708"/>
        </w:tabs>
        <w:autoSpaceDE w:val="0"/>
        <w:autoSpaceDN w:val="0"/>
        <w:adjustRightInd w:val="0"/>
        <w:ind w:firstLine="425"/>
        <w:rPr>
          <w:rFonts w:cs="Tahoma"/>
        </w:rPr>
      </w:pPr>
      <w:r w:rsidRPr="00E16DD0">
        <w:rPr>
          <w:rFonts w:cs="Tahoma"/>
        </w:rPr>
        <w:lastRenderedPageBreak/>
        <w:t>Bilgi teknolojileri sektöründe yazılım ve hizmetler pazarının aldığı payın artırılmasına yönelik çalışmalar sürdürülecektir. Kamu alımları, sektörün gelişimini destekleyecek ve yerli katma değeri artıracak bir politika aracı olarak kullanılacaktır.</w:t>
      </w:r>
    </w:p>
    <w:p w:rsidR="00565FD5" w:rsidRPr="00E16DD0" w:rsidRDefault="00565FD5" w:rsidP="00565FD5">
      <w:pPr>
        <w:tabs>
          <w:tab w:val="left" w:pos="708"/>
        </w:tabs>
        <w:autoSpaceDE w:val="0"/>
        <w:autoSpaceDN w:val="0"/>
        <w:adjustRightInd w:val="0"/>
        <w:ind w:firstLine="425"/>
        <w:rPr>
          <w:rFonts w:cs="Tahoma"/>
        </w:rPr>
      </w:pPr>
    </w:p>
    <w:p w:rsidR="00565FD5" w:rsidRPr="00E16DD0" w:rsidRDefault="00565FD5" w:rsidP="00565FD5">
      <w:pPr>
        <w:tabs>
          <w:tab w:val="left" w:pos="708"/>
        </w:tabs>
        <w:autoSpaceDE w:val="0"/>
        <w:autoSpaceDN w:val="0"/>
        <w:adjustRightInd w:val="0"/>
        <w:ind w:firstLine="425"/>
        <w:rPr>
          <w:rFonts w:cs="Tahoma"/>
        </w:rPr>
      </w:pPr>
      <w:r w:rsidRPr="00E16DD0">
        <w:rPr>
          <w:rFonts w:cs="Tahoma"/>
        </w:rPr>
        <w:t>FATİH Projesi kapsamında, gerek kullanılacak donanımların azami düzeyde yerli katkıyla üretilmesi gerekse iletişim ve yazılım hizmetleri ile içerik sektörünün gelişmesi için çalışmalar yürütülecektir.</w:t>
      </w:r>
    </w:p>
    <w:p w:rsidR="00565FD5" w:rsidRPr="00E16DD0" w:rsidRDefault="00565FD5" w:rsidP="00565FD5">
      <w:pPr>
        <w:rPr>
          <w:rFonts w:cs="Tahoma"/>
          <w:szCs w:val="18"/>
        </w:rPr>
      </w:pPr>
    </w:p>
    <w:p w:rsidR="00565FD5" w:rsidRPr="00E16DD0" w:rsidRDefault="00565FD5" w:rsidP="00565FD5">
      <w:pPr>
        <w:rPr>
          <w:rFonts w:cs="Tahoma"/>
          <w:szCs w:val="18"/>
        </w:rPr>
      </w:pPr>
      <w:r w:rsidRPr="00E16DD0">
        <w:rPr>
          <w:rFonts w:cs="Tahoma"/>
          <w:szCs w:val="18"/>
        </w:rPr>
        <w:tab/>
        <w:t>Karasal vericiler üzerinden sayısal yayıncılığa geçiş amacıyla sıralama ihalesinin 2013 yılı başında gerçekleştirilmesi ve sayısal yayın lisanslarının verilmesi planlanmaktadır. Analog ve sayısal karasal yayınlar paralel olarak sürdürülecek ve analog karasal yayınlar en geç 2015 yılında sonlandırılacaktır.</w:t>
      </w:r>
    </w:p>
    <w:p w:rsidR="00565FD5" w:rsidRPr="00E16DD0" w:rsidRDefault="00565FD5" w:rsidP="00565FD5">
      <w:pPr>
        <w:ind w:firstLine="360"/>
      </w:pPr>
    </w:p>
    <w:p w:rsidR="00565FD5" w:rsidRPr="00E16DD0" w:rsidRDefault="00565FD5" w:rsidP="00565FD5">
      <w:pPr>
        <w:rPr>
          <w:rFonts w:cs="Tahoma"/>
          <w:szCs w:val="18"/>
        </w:rPr>
      </w:pPr>
      <w:r w:rsidRPr="00E16DD0">
        <w:rPr>
          <w:rFonts w:cs="Tahoma"/>
          <w:szCs w:val="18"/>
        </w:rPr>
        <w:tab/>
      </w:r>
      <w:r w:rsidRPr="00BE47F7">
        <w:rPr>
          <w:rFonts w:cs="Tahoma"/>
          <w:szCs w:val="18"/>
        </w:rPr>
        <w:t>18</w:t>
      </w:r>
      <w:r>
        <w:rPr>
          <w:rFonts w:cs="Tahoma"/>
          <w:szCs w:val="18"/>
        </w:rPr>
        <w:t>/12/</w:t>
      </w:r>
      <w:r w:rsidRPr="00BE47F7">
        <w:rPr>
          <w:rFonts w:cs="Tahoma"/>
          <w:szCs w:val="18"/>
        </w:rPr>
        <w:t>2008 tarihinde müzakereye açılmış olan Bilgi Toplumu ve Medya Faslı çerçevesinde AB Müktesebatı uyumuna yönelik düzenleme çalışmalarına devam edilecektir.</w:t>
      </w:r>
    </w:p>
    <w:p w:rsidR="00565FD5" w:rsidRPr="00E16DD0" w:rsidRDefault="00565FD5" w:rsidP="00565FD5">
      <w:pPr>
        <w:ind w:firstLine="425"/>
        <w:rPr>
          <w:rFonts w:cs="Tahoma"/>
          <w:szCs w:val="18"/>
        </w:rPr>
      </w:pPr>
    </w:p>
    <w:p w:rsidR="00565FD5" w:rsidRPr="00E16DD0" w:rsidRDefault="00565FD5" w:rsidP="00565FD5">
      <w:pPr>
        <w:rPr>
          <w:rFonts w:cs="Tahoma"/>
        </w:rPr>
      </w:pPr>
      <w:r w:rsidRPr="00E16DD0">
        <w:rPr>
          <w:rFonts w:cs="Tahoma"/>
        </w:rPr>
        <w:tab/>
        <w:t xml:space="preserve">2013 yılında elektronik haberleşme pazarının 2012 yılına göre yüzde 6 oranında büyüyerek 18 milyar ABD dolarına ulaşması, aynı yıl içerisinde </w:t>
      </w:r>
      <w:r w:rsidRPr="00E16DD0">
        <w:t xml:space="preserve">bilgi teknolojileri pazarının da yüzde 10 oranında büyüyerek 11,6 milyar ABD dolarına ulaşması beklenmektedir. </w:t>
      </w:r>
      <w:r w:rsidRPr="00E16DD0">
        <w:rPr>
          <w:rFonts w:cs="Tahoma"/>
        </w:rPr>
        <w:t>2013 yılında mobil telefon abone yoğunluğunun yüzde 90, genişbant abone yoğunluğunun ise yüzde 45 olarak gerçekleşeceği tahmin edilmektedir.</w:t>
      </w:r>
    </w:p>
    <w:p w:rsidR="00565FD5" w:rsidRPr="00E16DD0" w:rsidRDefault="00565FD5" w:rsidP="00565FD5">
      <w:pPr>
        <w:rPr>
          <w:rFonts w:cs="Tahoma"/>
        </w:rPr>
      </w:pPr>
    </w:p>
    <w:p w:rsidR="00565FD5" w:rsidRPr="00E16DD0" w:rsidRDefault="00565FD5" w:rsidP="00565FD5">
      <w:pPr>
        <w:pStyle w:val="Balk4"/>
      </w:pPr>
      <w:bookmarkStart w:id="1771" w:name="_Toc275873296"/>
      <w:bookmarkStart w:id="1772" w:name="_Toc244339707"/>
      <w:bookmarkStart w:id="1773" w:name="_Toc244315244"/>
      <w:bookmarkStart w:id="1774" w:name="_Toc244313767"/>
      <w:bookmarkStart w:id="1775" w:name="_Toc244255032"/>
      <w:bookmarkStart w:id="1776" w:name="_Toc244253782"/>
      <w:bookmarkStart w:id="1777" w:name="_Toc307602004"/>
      <w:bookmarkStart w:id="1778" w:name="_Toc307670453"/>
      <w:bookmarkStart w:id="1779" w:name="_Toc307701679"/>
      <w:bookmarkStart w:id="1780" w:name="_Toc338505585"/>
      <w:bookmarkStart w:id="1781" w:name="_Toc338523813"/>
      <w:bookmarkStart w:id="1782" w:name="_Toc338524044"/>
      <w:bookmarkStart w:id="1783" w:name="_Toc338526270"/>
      <w:bookmarkStart w:id="1784" w:name="_Toc338673713"/>
      <w:bookmarkStart w:id="1785" w:name="_Toc338711592"/>
      <w:r w:rsidRPr="00E16DD0">
        <w:t>3. Politika Öncelikleri ve Tedbirler</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028"/>
        <w:gridCol w:w="1803"/>
        <w:gridCol w:w="712"/>
        <w:gridCol w:w="2601"/>
      </w:tblGrid>
      <w:tr w:rsidR="00565FD5" w:rsidRPr="00E16DD0" w:rsidTr="00AB62A3">
        <w:trPr>
          <w:trHeight w:val="20"/>
          <w:jc w:val="center"/>
        </w:trPr>
        <w:tc>
          <w:tcPr>
            <w:tcW w:w="2028" w:type="dxa"/>
            <w:vAlign w:val="bottom"/>
          </w:tcPr>
          <w:p w:rsidR="00565FD5" w:rsidRPr="00E16DD0" w:rsidRDefault="00565FD5" w:rsidP="00AB62A3">
            <w:pPr>
              <w:rPr>
                <w:rFonts w:cs="Tahoma"/>
                <w:b/>
                <w:bCs/>
                <w:color w:val="000000"/>
                <w:sz w:val="16"/>
                <w:szCs w:val="16"/>
                <w:lang w:eastAsia="tr-TR"/>
              </w:rPr>
            </w:pPr>
            <w:r w:rsidRPr="00E16DD0">
              <w:rPr>
                <w:rFonts w:cs="Tahoma"/>
                <w:b/>
                <w:bCs/>
                <w:color w:val="000000"/>
                <w:sz w:val="16"/>
                <w:szCs w:val="16"/>
                <w:lang w:eastAsia="tr-TR"/>
              </w:rPr>
              <w:t>Öncelik / Tedbir</w:t>
            </w:r>
          </w:p>
        </w:tc>
        <w:tc>
          <w:tcPr>
            <w:tcW w:w="1803" w:type="dxa"/>
            <w:vAlign w:val="bottom"/>
          </w:tcPr>
          <w:p w:rsidR="00565FD5" w:rsidRPr="00E16DD0" w:rsidRDefault="00565FD5" w:rsidP="00AB62A3">
            <w:pPr>
              <w:rPr>
                <w:rFonts w:cs="Tahoma"/>
                <w:b/>
                <w:bCs/>
                <w:color w:val="000000"/>
                <w:sz w:val="16"/>
                <w:szCs w:val="16"/>
                <w:lang w:eastAsia="tr-TR"/>
              </w:rPr>
            </w:pPr>
            <w:r w:rsidRPr="00E16DD0">
              <w:rPr>
                <w:rFonts w:cs="Tahoma"/>
                <w:b/>
                <w:bCs/>
                <w:color w:val="000000"/>
                <w:sz w:val="16"/>
                <w:szCs w:val="16"/>
                <w:lang w:eastAsia="tr-TR"/>
              </w:rPr>
              <w:t>Sorumlu Kuruluş / İşbirliği Yapılacak Kuruluşlar</w:t>
            </w:r>
          </w:p>
        </w:tc>
        <w:tc>
          <w:tcPr>
            <w:tcW w:w="712" w:type="dxa"/>
            <w:vAlign w:val="bottom"/>
          </w:tcPr>
          <w:p w:rsidR="00565FD5" w:rsidRPr="00E16DD0" w:rsidRDefault="00565FD5" w:rsidP="00AB62A3">
            <w:pPr>
              <w:rPr>
                <w:rFonts w:cs="Tahoma"/>
                <w:b/>
                <w:bCs/>
                <w:color w:val="000000"/>
                <w:sz w:val="16"/>
                <w:szCs w:val="16"/>
                <w:lang w:eastAsia="tr-TR"/>
              </w:rPr>
            </w:pPr>
            <w:r w:rsidRPr="00E16DD0">
              <w:rPr>
                <w:rFonts w:cs="Tahoma"/>
                <w:b/>
                <w:bCs/>
                <w:color w:val="000000"/>
                <w:sz w:val="16"/>
                <w:szCs w:val="16"/>
                <w:lang w:eastAsia="tr-TR"/>
              </w:rPr>
              <w:t>Süre</w:t>
            </w:r>
          </w:p>
        </w:tc>
        <w:tc>
          <w:tcPr>
            <w:tcW w:w="2601" w:type="dxa"/>
            <w:vAlign w:val="bottom"/>
          </w:tcPr>
          <w:p w:rsidR="00565FD5" w:rsidRPr="00E16DD0" w:rsidRDefault="00565FD5" w:rsidP="00AB62A3">
            <w:pPr>
              <w:rPr>
                <w:rFonts w:cs="Tahoma"/>
                <w:b/>
                <w:bCs/>
                <w:color w:val="000000"/>
                <w:sz w:val="16"/>
                <w:szCs w:val="16"/>
                <w:lang w:eastAsia="tr-TR"/>
              </w:rPr>
            </w:pPr>
            <w:r w:rsidRPr="00E16DD0">
              <w:rPr>
                <w:rFonts w:cs="Tahoma"/>
                <w:b/>
                <w:bCs/>
                <w:color w:val="000000"/>
                <w:sz w:val="16"/>
                <w:szCs w:val="16"/>
                <w:lang w:eastAsia="tr-TR"/>
              </w:rPr>
              <w:t>Yapılacak İşlem ve Açıklama</w:t>
            </w:r>
          </w:p>
        </w:tc>
      </w:tr>
      <w:tr w:rsidR="00565FD5" w:rsidRPr="00E16DD0" w:rsidTr="00AB62A3">
        <w:trPr>
          <w:trHeight w:val="20"/>
          <w:jc w:val="center"/>
        </w:trPr>
        <w:tc>
          <w:tcPr>
            <w:tcW w:w="7144" w:type="dxa"/>
            <w:gridSpan w:val="4"/>
            <w:vAlign w:val="bottom"/>
          </w:tcPr>
          <w:p w:rsidR="00565FD5" w:rsidRPr="00E16DD0" w:rsidRDefault="00565FD5" w:rsidP="00EB1E69">
            <w:pPr>
              <w:numPr>
                <w:ilvl w:val="0"/>
                <w:numId w:val="15"/>
              </w:numPr>
              <w:tabs>
                <w:tab w:val="left" w:pos="425"/>
              </w:tabs>
              <w:spacing w:after="0" w:line="240" w:lineRule="auto"/>
              <w:jc w:val="both"/>
              <w:rPr>
                <w:rFonts w:cs="Tahoma"/>
                <w:b/>
                <w:bCs/>
                <w:color w:val="000000"/>
                <w:sz w:val="16"/>
                <w:szCs w:val="16"/>
                <w:lang w:eastAsia="tr-TR"/>
              </w:rPr>
            </w:pPr>
            <w:r w:rsidRPr="00E16DD0">
              <w:rPr>
                <w:rFonts w:cs="Tahoma"/>
                <w:b/>
                <w:bCs/>
                <w:color w:val="000000"/>
                <w:sz w:val="16"/>
                <w:szCs w:val="16"/>
                <w:lang w:eastAsia="tr-TR"/>
              </w:rPr>
              <w:lastRenderedPageBreak/>
              <w:t>Bilgi toplumu politika ve stratejileri yenilenecek, bunların etkin bir şekilde koordinasyonu, uygulanması ve sonuçlarının izlenmesi sağlanacaktır.</w:t>
            </w:r>
          </w:p>
        </w:tc>
      </w:tr>
      <w:tr w:rsidR="00565FD5" w:rsidRPr="00E16DD0" w:rsidTr="00AB62A3">
        <w:trPr>
          <w:trHeight w:val="20"/>
          <w:jc w:val="center"/>
        </w:trPr>
        <w:tc>
          <w:tcPr>
            <w:tcW w:w="2028" w:type="dxa"/>
          </w:tcPr>
          <w:p w:rsidR="00565FD5" w:rsidRPr="00E16DD0" w:rsidRDefault="00565FD5" w:rsidP="00EB1E69">
            <w:pPr>
              <w:numPr>
                <w:ilvl w:val="0"/>
                <w:numId w:val="14"/>
              </w:numPr>
              <w:tabs>
                <w:tab w:val="left" w:pos="425"/>
              </w:tabs>
              <w:spacing w:after="0" w:line="240" w:lineRule="auto"/>
              <w:rPr>
                <w:rFonts w:cs="Tahoma"/>
                <w:color w:val="000000"/>
                <w:sz w:val="16"/>
                <w:szCs w:val="16"/>
                <w:lang w:eastAsia="tr-TR"/>
              </w:rPr>
            </w:pPr>
            <w:r w:rsidRPr="00E16DD0">
              <w:rPr>
                <w:rFonts w:cs="Tahoma"/>
                <w:color w:val="000000"/>
                <w:sz w:val="16"/>
                <w:szCs w:val="16"/>
                <w:lang w:eastAsia="tr-TR"/>
              </w:rPr>
              <w:t>Yeni bir bilgi toplumu stratejisi hazırlanacak ve uygulamaya konulacaktır.</w:t>
            </w:r>
          </w:p>
        </w:tc>
        <w:tc>
          <w:tcPr>
            <w:tcW w:w="1803" w:type="dxa"/>
          </w:tcPr>
          <w:p w:rsidR="00565FD5" w:rsidRPr="00E16DD0" w:rsidRDefault="00565FD5" w:rsidP="00AB62A3">
            <w:pPr>
              <w:rPr>
                <w:rFonts w:cs="Tahoma"/>
                <w:color w:val="000000"/>
                <w:sz w:val="16"/>
                <w:szCs w:val="16"/>
                <w:lang w:eastAsia="tr-TR"/>
              </w:rPr>
            </w:pPr>
            <w:r w:rsidRPr="00E16DD0">
              <w:rPr>
                <w:rFonts w:cs="Tahoma"/>
                <w:color w:val="000000"/>
                <w:sz w:val="16"/>
                <w:szCs w:val="16"/>
                <w:lang w:eastAsia="tr-TR"/>
              </w:rPr>
              <w:t>Kalkınma Bakanlığı (S); İlgili Kamu Kurum ve Kuruluşları, İlgili Sivil Toplum Kuruluşları</w:t>
            </w:r>
          </w:p>
        </w:tc>
        <w:tc>
          <w:tcPr>
            <w:tcW w:w="712" w:type="dxa"/>
          </w:tcPr>
          <w:p w:rsidR="00565FD5" w:rsidRPr="00E16DD0" w:rsidRDefault="00565FD5" w:rsidP="00AB62A3">
            <w:pPr>
              <w:rPr>
                <w:rFonts w:cs="Tahoma"/>
                <w:color w:val="000000"/>
                <w:sz w:val="16"/>
                <w:szCs w:val="16"/>
                <w:lang w:eastAsia="tr-TR"/>
              </w:rPr>
            </w:pPr>
            <w:r w:rsidRPr="00E16DD0">
              <w:rPr>
                <w:rFonts w:cs="Tahoma"/>
                <w:color w:val="000000"/>
                <w:sz w:val="16"/>
                <w:szCs w:val="16"/>
                <w:lang w:eastAsia="tr-TR"/>
              </w:rPr>
              <w:t>Aralık Sonu</w:t>
            </w:r>
          </w:p>
        </w:tc>
        <w:tc>
          <w:tcPr>
            <w:tcW w:w="2601" w:type="dxa"/>
          </w:tcPr>
          <w:p w:rsidR="00565FD5" w:rsidRPr="00E16DD0" w:rsidRDefault="00565FD5" w:rsidP="00AB62A3">
            <w:pPr>
              <w:rPr>
                <w:rFonts w:cs="Tahoma"/>
                <w:color w:val="000000"/>
                <w:sz w:val="16"/>
                <w:szCs w:val="16"/>
                <w:lang w:eastAsia="tr-TR"/>
              </w:rPr>
            </w:pPr>
            <w:r w:rsidRPr="00E16DD0">
              <w:rPr>
                <w:rFonts w:cs="Tahoma"/>
                <w:color w:val="000000"/>
                <w:sz w:val="16"/>
                <w:szCs w:val="16"/>
                <w:lang w:eastAsia="tr-TR"/>
              </w:rPr>
              <w:t>2010 yılı sonunda tamamlanan Bilgi Toplumu Stratejisi uygulama sonuçları değerlendirilerek yeni bir bilgi toplumu stratejisi hazırlanacak ve uygulamaya konulacaktır.</w:t>
            </w:r>
          </w:p>
        </w:tc>
      </w:tr>
      <w:tr w:rsidR="00565FD5" w:rsidRPr="00E16DD0" w:rsidTr="00AB62A3">
        <w:trPr>
          <w:trHeight w:val="598"/>
          <w:jc w:val="center"/>
        </w:trPr>
        <w:tc>
          <w:tcPr>
            <w:tcW w:w="7144" w:type="dxa"/>
            <w:gridSpan w:val="4"/>
            <w:vAlign w:val="bottom"/>
          </w:tcPr>
          <w:p w:rsidR="00565FD5" w:rsidRPr="00E16DD0" w:rsidRDefault="00565FD5" w:rsidP="00EB1E69">
            <w:pPr>
              <w:numPr>
                <w:ilvl w:val="0"/>
                <w:numId w:val="15"/>
              </w:numPr>
              <w:tabs>
                <w:tab w:val="left" w:pos="425"/>
              </w:tabs>
              <w:spacing w:after="0" w:line="240" w:lineRule="auto"/>
              <w:jc w:val="both"/>
              <w:rPr>
                <w:rFonts w:cs="Tahoma"/>
                <w:b/>
                <w:bCs/>
                <w:sz w:val="16"/>
                <w:szCs w:val="16"/>
                <w:lang w:eastAsia="tr-TR"/>
              </w:rPr>
            </w:pPr>
            <w:r w:rsidRPr="00E16DD0">
              <w:rPr>
                <w:rFonts w:cs="Tahoma"/>
                <w:b/>
                <w:bCs/>
                <w:sz w:val="16"/>
                <w:szCs w:val="16"/>
                <w:lang w:eastAsia="tr-TR"/>
              </w:rPr>
              <w:t xml:space="preserve">Elektronik haberleşme sektörüne ilişkin düzenlemeler değişen teknoloji ve pazar yapısının ortaya çıkardığı ihtiyaçlar doğrultusunda güncellenecek, düzenlemelerin zamanında ve etkin şekilde uygulanması sağlanacaktır. </w:t>
            </w:r>
          </w:p>
        </w:tc>
      </w:tr>
      <w:tr w:rsidR="00565FD5" w:rsidRPr="00E16DD0" w:rsidTr="00AB62A3">
        <w:trPr>
          <w:trHeight w:val="20"/>
          <w:jc w:val="center"/>
        </w:trPr>
        <w:tc>
          <w:tcPr>
            <w:tcW w:w="2028" w:type="dxa"/>
            <w:shd w:val="clear" w:color="000000" w:fill="FFFFFF"/>
          </w:tcPr>
          <w:p w:rsidR="00565FD5" w:rsidRPr="00326165" w:rsidRDefault="00565FD5" w:rsidP="00EB1E69">
            <w:pPr>
              <w:numPr>
                <w:ilvl w:val="0"/>
                <w:numId w:val="14"/>
              </w:numPr>
              <w:tabs>
                <w:tab w:val="left" w:pos="425"/>
              </w:tabs>
              <w:spacing w:after="0" w:line="240" w:lineRule="auto"/>
              <w:rPr>
                <w:rFonts w:cs="Tahoma"/>
                <w:color w:val="000000"/>
                <w:sz w:val="16"/>
                <w:szCs w:val="16"/>
                <w:lang w:eastAsia="tr-TR"/>
              </w:rPr>
            </w:pPr>
            <w:r w:rsidRPr="00326165">
              <w:rPr>
                <w:rFonts w:cs="Tahoma"/>
                <w:color w:val="000000"/>
                <w:sz w:val="16"/>
                <w:szCs w:val="16"/>
                <w:lang w:eastAsia="tr-TR"/>
              </w:rPr>
              <w:t>Bilgi ve iletişim teknolojileri sektörü için ulusal piyasa gözetimi ve denetimi sisteminin geliştirilmesi ve e-piyasa gözetimi ve denetimi sistemi oluşturma çalışma</w:t>
            </w:r>
            <w:r>
              <w:rPr>
                <w:rFonts w:cs="Tahoma"/>
                <w:color w:val="000000"/>
                <w:sz w:val="16"/>
                <w:szCs w:val="16"/>
                <w:lang w:eastAsia="tr-TR"/>
              </w:rPr>
              <w:t>larına devam edilecektir.</w:t>
            </w:r>
          </w:p>
        </w:tc>
        <w:tc>
          <w:tcPr>
            <w:tcW w:w="1803" w:type="dxa"/>
            <w:shd w:val="clear" w:color="000000" w:fill="FFFFFF"/>
          </w:tcPr>
          <w:p w:rsidR="00565FD5" w:rsidRPr="00326165" w:rsidRDefault="00565FD5" w:rsidP="00AB62A3">
            <w:pPr>
              <w:rPr>
                <w:rFonts w:cs="Tahoma"/>
                <w:color w:val="000000"/>
                <w:sz w:val="16"/>
                <w:szCs w:val="16"/>
                <w:lang w:eastAsia="tr-TR"/>
              </w:rPr>
            </w:pPr>
            <w:r w:rsidRPr="00326165">
              <w:rPr>
                <w:rFonts w:cs="Tahoma"/>
                <w:color w:val="000000"/>
                <w:sz w:val="16"/>
                <w:szCs w:val="16"/>
                <w:lang w:eastAsia="tr-TR"/>
              </w:rPr>
              <w:t>BTK (S); İlgili Kamu Kurum ve Kuruluşları, İlgili Sektör Kuruluşları</w:t>
            </w:r>
          </w:p>
        </w:tc>
        <w:tc>
          <w:tcPr>
            <w:tcW w:w="712" w:type="dxa"/>
            <w:shd w:val="clear" w:color="000000" w:fill="FFFFFF"/>
          </w:tcPr>
          <w:p w:rsidR="00565FD5" w:rsidRPr="00326165" w:rsidRDefault="00565FD5" w:rsidP="00AB62A3">
            <w:pPr>
              <w:rPr>
                <w:rFonts w:cs="Tahoma"/>
                <w:color w:val="000000"/>
                <w:sz w:val="16"/>
                <w:szCs w:val="16"/>
                <w:lang w:eastAsia="tr-TR"/>
              </w:rPr>
            </w:pPr>
            <w:r w:rsidRPr="00326165">
              <w:rPr>
                <w:rFonts w:cs="Tahoma"/>
                <w:color w:val="000000"/>
                <w:sz w:val="16"/>
                <w:szCs w:val="16"/>
                <w:lang w:eastAsia="tr-TR"/>
              </w:rPr>
              <w:t>Aralık Sonu</w:t>
            </w:r>
          </w:p>
        </w:tc>
        <w:tc>
          <w:tcPr>
            <w:tcW w:w="2601" w:type="dxa"/>
            <w:shd w:val="clear" w:color="000000" w:fill="FFFFFF"/>
          </w:tcPr>
          <w:p w:rsidR="00565FD5" w:rsidRPr="00326165" w:rsidRDefault="00565FD5" w:rsidP="00AB62A3">
            <w:pPr>
              <w:rPr>
                <w:rFonts w:cs="Tahoma"/>
                <w:color w:val="000000"/>
                <w:sz w:val="16"/>
                <w:szCs w:val="16"/>
                <w:lang w:eastAsia="tr-TR"/>
              </w:rPr>
            </w:pPr>
            <w:r w:rsidRPr="00326165">
              <w:rPr>
                <w:rFonts w:cs="Tahoma"/>
                <w:color w:val="000000"/>
                <w:sz w:val="16"/>
                <w:szCs w:val="16"/>
                <w:lang w:eastAsia="tr-TR"/>
              </w:rPr>
              <w:t xml:space="preserve">Bilgi ve iletişim teknolojileri sektörü için ulusal piyasa gözetimi ve denetimi sisteminin geliştirilmesi ve e-piyasa gözetimi ve denetimi sisteminin uygulanmasına yönelik AB projesi kapsamında </w:t>
            </w:r>
            <w:r>
              <w:rPr>
                <w:rFonts w:cs="Tahoma"/>
                <w:color w:val="000000"/>
                <w:sz w:val="16"/>
                <w:szCs w:val="16"/>
                <w:lang w:eastAsia="tr-TR"/>
              </w:rPr>
              <w:t>yapılacak ihaleyle gerekli donanım ve yazılımlar temin edilecektir.</w:t>
            </w:r>
          </w:p>
        </w:tc>
      </w:tr>
      <w:tr w:rsidR="00565FD5" w:rsidRPr="00E16DD0" w:rsidTr="00AB62A3">
        <w:trPr>
          <w:trHeight w:val="20"/>
          <w:jc w:val="center"/>
        </w:trPr>
        <w:tc>
          <w:tcPr>
            <w:tcW w:w="7144" w:type="dxa"/>
            <w:gridSpan w:val="4"/>
            <w:vAlign w:val="bottom"/>
          </w:tcPr>
          <w:p w:rsidR="00565FD5" w:rsidRPr="00E16DD0" w:rsidRDefault="00565FD5" w:rsidP="00EB1E69">
            <w:pPr>
              <w:numPr>
                <w:ilvl w:val="0"/>
                <w:numId w:val="15"/>
              </w:numPr>
              <w:tabs>
                <w:tab w:val="left" w:pos="425"/>
              </w:tabs>
              <w:spacing w:after="0" w:line="240" w:lineRule="auto"/>
              <w:jc w:val="both"/>
              <w:rPr>
                <w:rFonts w:cs="Tahoma"/>
                <w:b/>
                <w:bCs/>
                <w:sz w:val="16"/>
                <w:szCs w:val="16"/>
                <w:lang w:eastAsia="tr-TR"/>
              </w:rPr>
            </w:pPr>
            <w:r w:rsidRPr="00E16DD0">
              <w:rPr>
                <w:rFonts w:cs="Tahoma"/>
                <w:b/>
                <w:bCs/>
                <w:sz w:val="16"/>
                <w:szCs w:val="16"/>
                <w:lang w:eastAsia="tr-TR"/>
              </w:rPr>
              <w:t>Fiber optik şebeke altyapısının geliştirilmesi amacıyla yerel yönetimler ile şebeke altyapısı kuran ve işleten kuruluşların desteklenmesi yönünde çalışmalar yürütülecektir.</w:t>
            </w:r>
          </w:p>
        </w:tc>
      </w:tr>
      <w:tr w:rsidR="00565FD5" w:rsidRPr="00E16DD0" w:rsidTr="00AB62A3">
        <w:trPr>
          <w:trHeight w:val="20"/>
          <w:jc w:val="center"/>
        </w:trPr>
        <w:tc>
          <w:tcPr>
            <w:tcW w:w="2028" w:type="dxa"/>
          </w:tcPr>
          <w:p w:rsidR="00565FD5" w:rsidRPr="00326165" w:rsidRDefault="00565FD5" w:rsidP="00EB1E69">
            <w:pPr>
              <w:numPr>
                <w:ilvl w:val="0"/>
                <w:numId w:val="14"/>
              </w:numPr>
              <w:tabs>
                <w:tab w:val="left" w:pos="425"/>
              </w:tabs>
              <w:spacing w:after="0" w:line="240" w:lineRule="auto"/>
              <w:rPr>
                <w:rFonts w:cs="Tahoma"/>
                <w:color w:val="000000"/>
                <w:sz w:val="16"/>
                <w:szCs w:val="16"/>
                <w:lang w:eastAsia="tr-TR"/>
              </w:rPr>
            </w:pPr>
            <w:r w:rsidRPr="00326165">
              <w:rPr>
                <w:rFonts w:cs="Tahoma"/>
                <w:color w:val="000000"/>
                <w:sz w:val="16"/>
                <w:szCs w:val="16"/>
                <w:lang w:eastAsia="tr-TR"/>
              </w:rPr>
              <w:t>Fiber optik şebeke altyapılarının kurulmasını kolaylaştırmak amacıyla, yerel yönetimleri ve şebeke endüstrilerinde faaliyet gösteren kamu kuruluşlarını bu yönde teşvik edecek mekanizmalar tasarlanacaktır.</w:t>
            </w:r>
          </w:p>
        </w:tc>
        <w:tc>
          <w:tcPr>
            <w:tcW w:w="1803" w:type="dxa"/>
          </w:tcPr>
          <w:p w:rsidR="00565FD5" w:rsidRPr="00326165" w:rsidRDefault="00565FD5" w:rsidP="00AB62A3">
            <w:pPr>
              <w:rPr>
                <w:rFonts w:cs="Tahoma"/>
                <w:color w:val="000000"/>
                <w:sz w:val="16"/>
                <w:szCs w:val="16"/>
                <w:lang w:eastAsia="tr-TR"/>
              </w:rPr>
            </w:pPr>
            <w:r w:rsidRPr="00326165">
              <w:rPr>
                <w:rFonts w:cs="Tahoma"/>
                <w:color w:val="000000"/>
                <w:sz w:val="16"/>
                <w:szCs w:val="16"/>
                <w:lang w:eastAsia="tr-TR"/>
              </w:rPr>
              <w:t>Ulaştırma, Denizcilik ve Haberleşme Bakanlığı  (S); Kalkınma Bakanlığı, BTK, İlgili Kamu Kuruluşları, Yerel Yönetimler</w:t>
            </w:r>
          </w:p>
        </w:tc>
        <w:tc>
          <w:tcPr>
            <w:tcW w:w="712" w:type="dxa"/>
          </w:tcPr>
          <w:p w:rsidR="00565FD5" w:rsidRPr="00326165" w:rsidRDefault="00565FD5" w:rsidP="00AB62A3">
            <w:pPr>
              <w:rPr>
                <w:rFonts w:cs="Tahoma"/>
                <w:color w:val="000000"/>
                <w:sz w:val="16"/>
                <w:szCs w:val="16"/>
                <w:lang w:eastAsia="tr-TR"/>
              </w:rPr>
            </w:pPr>
            <w:r w:rsidRPr="00326165">
              <w:rPr>
                <w:rFonts w:cs="Tahoma"/>
                <w:color w:val="000000"/>
                <w:sz w:val="16"/>
                <w:szCs w:val="16"/>
                <w:lang w:eastAsia="tr-TR"/>
              </w:rPr>
              <w:t>Aralık Sonu</w:t>
            </w:r>
          </w:p>
        </w:tc>
        <w:tc>
          <w:tcPr>
            <w:tcW w:w="2601" w:type="dxa"/>
          </w:tcPr>
          <w:p w:rsidR="00565FD5" w:rsidRPr="00326165" w:rsidRDefault="00565FD5" w:rsidP="00AB62A3">
            <w:pPr>
              <w:rPr>
                <w:rFonts w:cs="Tahoma"/>
                <w:color w:val="000000"/>
                <w:sz w:val="16"/>
                <w:szCs w:val="16"/>
                <w:lang w:eastAsia="tr-TR"/>
              </w:rPr>
            </w:pPr>
            <w:r w:rsidRPr="00326165">
              <w:rPr>
                <w:rFonts w:cs="Tahoma"/>
                <w:color w:val="000000"/>
                <w:sz w:val="16"/>
                <w:szCs w:val="16"/>
                <w:lang w:eastAsia="tr-TR"/>
              </w:rPr>
              <w:t xml:space="preserve">Fiber optik şebeke altyapılarının kurulmasını kolaylaştırmak ve maliyetini azaltmak üzere, yerel yönetimler ve şebeke altyapısı kurup işleten kamu kuruluşlarını fiber optik kablo altyapısı oluşturma ve/veya bu altyapıların kurulmasını kolaylaştırma yönünde teşvik edecek finansal ve idari tedbirler konusunda öneriler geliştirilecektir. </w:t>
            </w:r>
          </w:p>
        </w:tc>
      </w:tr>
      <w:tr w:rsidR="00565FD5" w:rsidRPr="00E16DD0" w:rsidTr="00AB62A3">
        <w:trPr>
          <w:trHeight w:val="20"/>
          <w:jc w:val="center"/>
        </w:trPr>
        <w:tc>
          <w:tcPr>
            <w:tcW w:w="7144" w:type="dxa"/>
            <w:gridSpan w:val="4"/>
            <w:vAlign w:val="bottom"/>
          </w:tcPr>
          <w:p w:rsidR="00565FD5" w:rsidRPr="00E16DD0" w:rsidRDefault="00565FD5" w:rsidP="00EB1E69">
            <w:pPr>
              <w:numPr>
                <w:ilvl w:val="0"/>
                <w:numId w:val="15"/>
              </w:numPr>
              <w:tabs>
                <w:tab w:val="left" w:pos="425"/>
              </w:tabs>
              <w:spacing w:after="0" w:line="240" w:lineRule="auto"/>
              <w:jc w:val="both"/>
              <w:rPr>
                <w:rFonts w:cs="Tahoma"/>
                <w:b/>
                <w:bCs/>
                <w:sz w:val="16"/>
                <w:szCs w:val="16"/>
                <w:lang w:eastAsia="tr-TR"/>
              </w:rPr>
            </w:pPr>
            <w:r w:rsidRPr="00E16DD0">
              <w:rPr>
                <w:rFonts w:cs="Tahoma"/>
                <w:b/>
                <w:bCs/>
                <w:sz w:val="16"/>
                <w:szCs w:val="16"/>
                <w:lang w:eastAsia="tr-TR"/>
              </w:rPr>
              <w:t>Bilgi ve iletişim teknolojileri altyapısındaki bölgesel farklılıklar azaltılarak, toplumun tüm kesimlerinin genişbant teknolojileri başta olmak üzere bilgi ve iletişim teknolojilerine uygun maliyetlerle erişimi artırılacaktır.</w:t>
            </w:r>
          </w:p>
        </w:tc>
      </w:tr>
      <w:tr w:rsidR="00565FD5" w:rsidRPr="00E16DD0" w:rsidTr="00AB62A3">
        <w:trPr>
          <w:trHeight w:val="20"/>
          <w:jc w:val="center"/>
        </w:trPr>
        <w:tc>
          <w:tcPr>
            <w:tcW w:w="2028" w:type="dxa"/>
          </w:tcPr>
          <w:p w:rsidR="00565FD5" w:rsidRPr="00351606" w:rsidRDefault="00565FD5" w:rsidP="00EB1E69">
            <w:pPr>
              <w:numPr>
                <w:ilvl w:val="0"/>
                <w:numId w:val="14"/>
              </w:numPr>
              <w:tabs>
                <w:tab w:val="left" w:pos="425"/>
              </w:tabs>
              <w:spacing w:after="0" w:line="240" w:lineRule="auto"/>
              <w:rPr>
                <w:rFonts w:cs="Tahoma"/>
                <w:color w:val="000000"/>
                <w:sz w:val="16"/>
                <w:szCs w:val="16"/>
                <w:lang w:eastAsia="tr-TR"/>
              </w:rPr>
            </w:pPr>
            <w:r w:rsidRPr="00351606">
              <w:rPr>
                <w:rFonts w:cs="Tahoma"/>
                <w:color w:val="000000"/>
                <w:sz w:val="16"/>
                <w:szCs w:val="16"/>
                <w:lang w:eastAsia="tr-TR"/>
              </w:rPr>
              <w:t>Elektronik Haberleşme Altyapısı Olmayan Köy, Mezra ve Benzeri Yerleşim Yerlerine Telefon ve İnternet Altyapısının Kurulması ve İşletilmesi Projesi kapsamında, 2013 yılı içerisinde 900 civarında yerleşim yerine telefon ve internet altyapısının kurulması sağlanacaktır.</w:t>
            </w:r>
          </w:p>
        </w:tc>
        <w:tc>
          <w:tcPr>
            <w:tcW w:w="1803" w:type="dxa"/>
          </w:tcPr>
          <w:p w:rsidR="00565FD5" w:rsidRPr="00351606" w:rsidRDefault="00565FD5" w:rsidP="00AB62A3">
            <w:pPr>
              <w:rPr>
                <w:rFonts w:cs="Tahoma"/>
                <w:color w:val="000000"/>
                <w:sz w:val="16"/>
                <w:szCs w:val="16"/>
                <w:lang w:eastAsia="tr-TR"/>
              </w:rPr>
            </w:pPr>
            <w:r w:rsidRPr="00351606">
              <w:rPr>
                <w:rFonts w:cs="Tahoma"/>
                <w:color w:val="000000"/>
                <w:sz w:val="16"/>
                <w:szCs w:val="16"/>
                <w:lang w:eastAsia="tr-TR"/>
              </w:rPr>
              <w:t>Ulaştırma, Denizcilik ve Haberleşme Bakanlığı (S); BTK</w:t>
            </w:r>
          </w:p>
        </w:tc>
        <w:tc>
          <w:tcPr>
            <w:tcW w:w="712" w:type="dxa"/>
          </w:tcPr>
          <w:p w:rsidR="00565FD5" w:rsidRPr="00351606" w:rsidRDefault="00565FD5" w:rsidP="00AB62A3">
            <w:pPr>
              <w:rPr>
                <w:rFonts w:cs="Tahoma"/>
                <w:color w:val="000000"/>
                <w:sz w:val="16"/>
                <w:szCs w:val="16"/>
                <w:lang w:eastAsia="tr-TR"/>
              </w:rPr>
            </w:pPr>
            <w:r w:rsidRPr="00351606">
              <w:rPr>
                <w:rFonts w:cs="Tahoma"/>
                <w:color w:val="000000"/>
                <w:sz w:val="16"/>
                <w:szCs w:val="16"/>
                <w:lang w:eastAsia="tr-TR"/>
              </w:rPr>
              <w:t>Aralık Sonu</w:t>
            </w:r>
          </w:p>
        </w:tc>
        <w:tc>
          <w:tcPr>
            <w:tcW w:w="2601" w:type="dxa"/>
          </w:tcPr>
          <w:p w:rsidR="00565FD5" w:rsidRPr="00351606" w:rsidRDefault="00565FD5" w:rsidP="00AB62A3">
            <w:pPr>
              <w:rPr>
                <w:rFonts w:cs="Tahoma"/>
                <w:color w:val="000000"/>
                <w:sz w:val="16"/>
                <w:szCs w:val="16"/>
                <w:lang w:eastAsia="tr-TR"/>
              </w:rPr>
            </w:pPr>
            <w:r w:rsidRPr="00351606">
              <w:rPr>
                <w:rFonts w:cs="Tahoma"/>
                <w:color w:val="000000"/>
                <w:sz w:val="16"/>
                <w:szCs w:val="16"/>
                <w:lang w:eastAsia="tr-TR"/>
              </w:rPr>
              <w:t>2015 yılına kadar, büyük kısmı Doğu ve Güneydoğu Anadolu bölgesinde olmak üzere, yaklaşık 2.500 yerleşim yerinde telefon ve internet altyapısının faaliyete geçmesi sağlanacaktır. 2013 yılı içerisinde 900 civarında yerleşim yerine telefon ve internet altyapısı kurulacaktır.</w:t>
            </w:r>
          </w:p>
        </w:tc>
      </w:tr>
      <w:tr w:rsidR="00565FD5" w:rsidRPr="00E16DD0" w:rsidTr="00AB62A3">
        <w:trPr>
          <w:trHeight w:val="20"/>
          <w:jc w:val="center"/>
        </w:trPr>
        <w:tc>
          <w:tcPr>
            <w:tcW w:w="7144" w:type="dxa"/>
            <w:gridSpan w:val="4"/>
            <w:vAlign w:val="bottom"/>
          </w:tcPr>
          <w:p w:rsidR="00565FD5" w:rsidRPr="00E16DD0" w:rsidRDefault="00565FD5" w:rsidP="00EB1E69">
            <w:pPr>
              <w:numPr>
                <w:ilvl w:val="0"/>
                <w:numId w:val="15"/>
              </w:numPr>
              <w:tabs>
                <w:tab w:val="left" w:pos="425"/>
              </w:tabs>
              <w:spacing w:after="0" w:line="240" w:lineRule="auto"/>
              <w:jc w:val="both"/>
              <w:rPr>
                <w:rFonts w:cs="Tahoma"/>
                <w:b/>
                <w:bCs/>
                <w:color w:val="000000"/>
                <w:sz w:val="16"/>
                <w:szCs w:val="16"/>
                <w:lang w:eastAsia="tr-TR"/>
              </w:rPr>
            </w:pPr>
            <w:r w:rsidRPr="00E16DD0">
              <w:rPr>
                <w:rFonts w:cs="Tahoma"/>
                <w:b/>
                <w:bCs/>
                <w:color w:val="000000"/>
                <w:sz w:val="16"/>
                <w:szCs w:val="16"/>
                <w:lang w:eastAsia="tr-TR"/>
              </w:rPr>
              <w:t>Posta sektörü kalite, güvenilirlik ve erişilebilirlik esasları çerçevesinde ve rekabetçi bir anlayışla yeniden yapılandırılacak ve sektörde etkin düzenleme ve denetim sağlanacaktır.</w:t>
            </w:r>
          </w:p>
        </w:tc>
      </w:tr>
      <w:tr w:rsidR="00565FD5" w:rsidRPr="00E16DD0" w:rsidTr="00AB62A3">
        <w:trPr>
          <w:trHeight w:val="20"/>
          <w:jc w:val="center"/>
        </w:trPr>
        <w:tc>
          <w:tcPr>
            <w:tcW w:w="2028" w:type="dxa"/>
          </w:tcPr>
          <w:p w:rsidR="00565FD5" w:rsidRPr="00E16DD0" w:rsidRDefault="00565FD5" w:rsidP="00EB1E69">
            <w:pPr>
              <w:numPr>
                <w:ilvl w:val="0"/>
                <w:numId w:val="14"/>
              </w:numPr>
              <w:tabs>
                <w:tab w:val="left" w:pos="425"/>
              </w:tabs>
              <w:spacing w:after="0" w:line="240" w:lineRule="auto"/>
              <w:rPr>
                <w:rFonts w:cs="Tahoma"/>
                <w:color w:val="000000"/>
                <w:sz w:val="16"/>
                <w:szCs w:val="16"/>
                <w:lang w:eastAsia="tr-TR"/>
              </w:rPr>
            </w:pPr>
            <w:r w:rsidRPr="00E16DD0">
              <w:rPr>
                <w:rFonts w:cs="Tahoma"/>
                <w:color w:val="000000"/>
                <w:sz w:val="16"/>
                <w:szCs w:val="16"/>
                <w:lang w:eastAsia="tr-TR"/>
              </w:rPr>
              <w:t xml:space="preserve">Posta </w:t>
            </w:r>
            <w:r w:rsidRPr="00E16DD0">
              <w:rPr>
                <w:rFonts w:cs="Tahoma"/>
                <w:color w:val="000000"/>
                <w:sz w:val="16"/>
                <w:szCs w:val="16"/>
                <w:lang w:eastAsia="tr-TR"/>
              </w:rPr>
              <w:lastRenderedPageBreak/>
              <w:t xml:space="preserve">hizmetleri piyasasının AB düzenlemeleri paralelinde serbestleştirilerek piyasada etkin rekabet ortamının sağlanması ve PTT Genel Müdürlüğünün sektörde oluşacak rekabet ortamına hazır hale getirilmesi amacıyla yasal düzenleme yapılacaktır. </w:t>
            </w:r>
          </w:p>
        </w:tc>
        <w:tc>
          <w:tcPr>
            <w:tcW w:w="1803" w:type="dxa"/>
          </w:tcPr>
          <w:p w:rsidR="00565FD5" w:rsidRPr="00E16DD0" w:rsidRDefault="00565FD5" w:rsidP="00AB62A3">
            <w:pPr>
              <w:rPr>
                <w:rFonts w:cs="Tahoma"/>
                <w:color w:val="000000"/>
                <w:sz w:val="16"/>
                <w:szCs w:val="16"/>
                <w:lang w:eastAsia="tr-TR"/>
              </w:rPr>
            </w:pPr>
            <w:r w:rsidRPr="00E16DD0">
              <w:rPr>
                <w:rFonts w:cs="Tahoma"/>
                <w:color w:val="000000"/>
                <w:sz w:val="16"/>
                <w:szCs w:val="16"/>
                <w:lang w:eastAsia="tr-TR"/>
              </w:rPr>
              <w:lastRenderedPageBreak/>
              <w:t xml:space="preserve">Ulaştırma, Denizcilik ve </w:t>
            </w:r>
            <w:r w:rsidRPr="00E16DD0">
              <w:rPr>
                <w:rFonts w:cs="Tahoma"/>
                <w:color w:val="000000"/>
                <w:sz w:val="16"/>
                <w:szCs w:val="16"/>
                <w:lang w:eastAsia="tr-TR"/>
              </w:rPr>
              <w:lastRenderedPageBreak/>
              <w:t>Haberleşme Bakanlığı (S); Kalkınma Bakanlığı, Hazine Müsteşarlığı, PTT</w:t>
            </w:r>
          </w:p>
        </w:tc>
        <w:tc>
          <w:tcPr>
            <w:tcW w:w="712" w:type="dxa"/>
          </w:tcPr>
          <w:p w:rsidR="00565FD5" w:rsidRPr="00E16DD0" w:rsidRDefault="00565FD5" w:rsidP="00AB62A3">
            <w:pPr>
              <w:rPr>
                <w:rFonts w:cs="Tahoma"/>
                <w:color w:val="000000"/>
                <w:sz w:val="16"/>
                <w:szCs w:val="16"/>
                <w:lang w:eastAsia="tr-TR"/>
              </w:rPr>
            </w:pPr>
            <w:r w:rsidRPr="00E16DD0">
              <w:rPr>
                <w:rFonts w:cs="Tahoma"/>
                <w:color w:val="000000"/>
                <w:sz w:val="16"/>
                <w:szCs w:val="16"/>
                <w:lang w:eastAsia="tr-TR"/>
              </w:rPr>
              <w:lastRenderedPageBreak/>
              <w:t xml:space="preserve">Eylül </w:t>
            </w:r>
            <w:r w:rsidRPr="00E16DD0">
              <w:rPr>
                <w:rFonts w:cs="Tahoma"/>
                <w:color w:val="000000"/>
                <w:sz w:val="16"/>
                <w:szCs w:val="16"/>
                <w:lang w:eastAsia="tr-TR"/>
              </w:rPr>
              <w:lastRenderedPageBreak/>
              <w:t>Sonu</w:t>
            </w:r>
          </w:p>
        </w:tc>
        <w:tc>
          <w:tcPr>
            <w:tcW w:w="2601" w:type="dxa"/>
          </w:tcPr>
          <w:p w:rsidR="00565FD5" w:rsidRPr="00E16DD0" w:rsidRDefault="00565FD5" w:rsidP="00AB62A3">
            <w:pPr>
              <w:rPr>
                <w:rFonts w:cs="Tahoma"/>
                <w:color w:val="000000"/>
                <w:sz w:val="16"/>
                <w:szCs w:val="16"/>
                <w:lang w:eastAsia="tr-TR"/>
              </w:rPr>
            </w:pPr>
            <w:r w:rsidRPr="00E16DD0">
              <w:rPr>
                <w:rFonts w:cs="Tahoma"/>
                <w:color w:val="000000"/>
                <w:sz w:val="16"/>
                <w:szCs w:val="16"/>
                <w:lang w:eastAsia="tr-TR"/>
              </w:rPr>
              <w:lastRenderedPageBreak/>
              <w:t xml:space="preserve">Posta sektörünü evrensel hizmetin </w:t>
            </w:r>
            <w:r w:rsidRPr="00E16DD0">
              <w:rPr>
                <w:rFonts w:cs="Tahoma"/>
                <w:color w:val="000000"/>
                <w:sz w:val="16"/>
                <w:szCs w:val="16"/>
                <w:lang w:eastAsia="tr-TR"/>
              </w:rPr>
              <w:lastRenderedPageBreak/>
              <w:t xml:space="preserve">kapsamı ve finansmanı, düzenleyici birim, yetkilendirme, tarifeler ve muhasebe ayrımı, erişim hususlarını da kapsayacak şekilde bütünüyle düzenleyen ve PTT Genel Müdürlüğünü yeniden yapılandıran kanun tasarısı taslağı TBMM’ye sevk edilecektir.  </w:t>
            </w:r>
          </w:p>
        </w:tc>
      </w:tr>
      <w:tr w:rsidR="00565FD5" w:rsidRPr="00E16DD0" w:rsidTr="00AB62A3">
        <w:trPr>
          <w:trHeight w:val="20"/>
          <w:jc w:val="center"/>
        </w:trPr>
        <w:tc>
          <w:tcPr>
            <w:tcW w:w="7144" w:type="dxa"/>
            <w:gridSpan w:val="4"/>
            <w:vAlign w:val="bottom"/>
          </w:tcPr>
          <w:p w:rsidR="00565FD5" w:rsidRPr="00E16DD0" w:rsidRDefault="00565FD5" w:rsidP="00EB1E69">
            <w:pPr>
              <w:numPr>
                <w:ilvl w:val="0"/>
                <w:numId w:val="15"/>
              </w:numPr>
              <w:tabs>
                <w:tab w:val="left" w:pos="425"/>
              </w:tabs>
              <w:spacing w:after="0" w:line="240" w:lineRule="auto"/>
              <w:jc w:val="both"/>
              <w:rPr>
                <w:rFonts w:cs="Tahoma"/>
                <w:b/>
                <w:bCs/>
                <w:color w:val="000000"/>
                <w:sz w:val="16"/>
                <w:szCs w:val="16"/>
                <w:lang w:eastAsia="tr-TR"/>
              </w:rPr>
            </w:pPr>
            <w:r w:rsidRPr="00E16DD0">
              <w:rPr>
                <w:rFonts w:cs="Tahoma"/>
                <w:b/>
                <w:bCs/>
                <w:color w:val="000000"/>
                <w:sz w:val="16"/>
                <w:szCs w:val="16"/>
                <w:lang w:eastAsia="tr-TR"/>
              </w:rPr>
              <w:lastRenderedPageBreak/>
              <w:t>Yayıncılık sektörü uluslararası yükümlülükler de dikkate alınarak geliştirilecektir.</w:t>
            </w:r>
          </w:p>
        </w:tc>
      </w:tr>
      <w:tr w:rsidR="00565FD5" w:rsidRPr="00E16DD0" w:rsidTr="00AB62A3">
        <w:trPr>
          <w:trHeight w:val="20"/>
          <w:jc w:val="center"/>
        </w:trPr>
        <w:tc>
          <w:tcPr>
            <w:tcW w:w="2028" w:type="dxa"/>
          </w:tcPr>
          <w:p w:rsidR="00565FD5" w:rsidRPr="00E16DD0" w:rsidRDefault="00565FD5" w:rsidP="00EB1E69">
            <w:pPr>
              <w:numPr>
                <w:ilvl w:val="0"/>
                <w:numId w:val="14"/>
              </w:numPr>
              <w:tabs>
                <w:tab w:val="left" w:pos="425"/>
              </w:tabs>
              <w:spacing w:after="0" w:line="240" w:lineRule="auto"/>
              <w:rPr>
                <w:rFonts w:cs="Tahoma"/>
                <w:color w:val="000000"/>
                <w:sz w:val="16"/>
                <w:szCs w:val="16"/>
                <w:lang w:eastAsia="tr-TR"/>
              </w:rPr>
            </w:pPr>
            <w:r w:rsidRPr="00E16DD0">
              <w:rPr>
                <w:rFonts w:cs="Tahoma"/>
                <w:color w:val="000000"/>
                <w:sz w:val="16"/>
                <w:szCs w:val="16"/>
                <w:lang w:eastAsia="tr-TR"/>
              </w:rPr>
              <w:t xml:space="preserve">Karasal sayısal yayıncılık için gerekli mevzuat tamamlanacak ve teknik altyapı çalışmalarına </w:t>
            </w:r>
            <w:r w:rsidRPr="00326165">
              <w:rPr>
                <w:rFonts w:cs="Tahoma"/>
                <w:color w:val="000000"/>
                <w:sz w:val="16"/>
                <w:szCs w:val="16"/>
                <w:lang w:eastAsia="tr-TR"/>
              </w:rPr>
              <w:t>devam edilecektir.</w:t>
            </w:r>
          </w:p>
        </w:tc>
        <w:tc>
          <w:tcPr>
            <w:tcW w:w="1803" w:type="dxa"/>
          </w:tcPr>
          <w:p w:rsidR="00565FD5" w:rsidRPr="00E16DD0" w:rsidRDefault="00565FD5" w:rsidP="00AB62A3">
            <w:pPr>
              <w:rPr>
                <w:rFonts w:cs="Tahoma"/>
                <w:color w:val="000000"/>
                <w:sz w:val="16"/>
                <w:szCs w:val="16"/>
                <w:lang w:eastAsia="tr-TR"/>
              </w:rPr>
            </w:pPr>
            <w:r w:rsidRPr="00E16DD0">
              <w:rPr>
                <w:rFonts w:cs="Tahoma"/>
                <w:color w:val="000000"/>
                <w:sz w:val="16"/>
                <w:szCs w:val="16"/>
                <w:lang w:eastAsia="tr-TR"/>
              </w:rPr>
              <w:t>RTÜK (S); BTK, Ulaştırma, Denizcilik ve Haberleşme Bakanlığı, Kalkınma Bakanlığı,  TRT</w:t>
            </w:r>
          </w:p>
        </w:tc>
        <w:tc>
          <w:tcPr>
            <w:tcW w:w="712" w:type="dxa"/>
          </w:tcPr>
          <w:p w:rsidR="00565FD5" w:rsidRPr="00E16DD0" w:rsidRDefault="00565FD5" w:rsidP="00AB62A3">
            <w:pPr>
              <w:rPr>
                <w:rFonts w:cs="Tahoma"/>
                <w:color w:val="000000"/>
                <w:sz w:val="16"/>
                <w:szCs w:val="16"/>
                <w:lang w:eastAsia="tr-TR"/>
              </w:rPr>
            </w:pPr>
            <w:r w:rsidRPr="00E16DD0">
              <w:rPr>
                <w:rFonts w:cs="Tahoma"/>
                <w:color w:val="000000"/>
                <w:sz w:val="16"/>
                <w:szCs w:val="16"/>
                <w:lang w:eastAsia="tr-TR"/>
              </w:rPr>
              <w:t>Aralık Sonu</w:t>
            </w:r>
          </w:p>
        </w:tc>
        <w:tc>
          <w:tcPr>
            <w:tcW w:w="2601" w:type="dxa"/>
          </w:tcPr>
          <w:p w:rsidR="00565FD5" w:rsidRPr="00E16DD0" w:rsidRDefault="00565FD5" w:rsidP="00AB62A3">
            <w:pPr>
              <w:rPr>
                <w:rFonts w:cs="Tahoma"/>
                <w:color w:val="000000"/>
                <w:sz w:val="16"/>
                <w:szCs w:val="16"/>
                <w:lang w:eastAsia="tr-TR"/>
              </w:rPr>
            </w:pPr>
            <w:r w:rsidRPr="00E16DD0">
              <w:rPr>
                <w:rFonts w:cs="Tahoma"/>
                <w:color w:val="000000"/>
                <w:sz w:val="16"/>
                <w:szCs w:val="16"/>
                <w:lang w:eastAsia="tr-TR"/>
              </w:rPr>
              <w:t>Karasal sayısal televizyon yayınlarına yönelik sıralama ihalesi gerçekleştirilecek ve sayısal yayın lisansları verilecektir.</w:t>
            </w:r>
          </w:p>
        </w:tc>
      </w:tr>
    </w:tbl>
    <w:p w:rsidR="00565FD5" w:rsidRDefault="00565FD5" w:rsidP="00565FD5"/>
    <w:p w:rsidR="00565FD5" w:rsidRPr="00E16DD0" w:rsidRDefault="00565FD5" w:rsidP="00565FD5"/>
    <w:p w:rsidR="00565FD5" w:rsidRPr="001B45E1" w:rsidRDefault="00565FD5" w:rsidP="00565FD5">
      <w:pPr>
        <w:pStyle w:val="Balk3"/>
      </w:pPr>
      <w:bookmarkStart w:id="1786" w:name="_Toc338494243"/>
      <w:bookmarkStart w:id="1787" w:name="_Toc338505586"/>
      <w:bookmarkStart w:id="1788" w:name="_Toc338523814"/>
      <w:bookmarkStart w:id="1789" w:name="_Toc338524045"/>
      <w:bookmarkStart w:id="1790" w:name="_Toc338526271"/>
      <w:bookmarkStart w:id="1791" w:name="_Toc338673714"/>
      <w:bookmarkStart w:id="1792" w:name="_Toc338711593"/>
      <w:r>
        <w:t>Ğ</w:t>
      </w:r>
      <w:r w:rsidRPr="001B45E1">
        <w:t>. TARIMSAL YAPININ ETKİNLEŞTİRİLMESİ</w:t>
      </w:r>
      <w:bookmarkEnd w:id="1786"/>
      <w:bookmarkEnd w:id="1787"/>
      <w:bookmarkEnd w:id="1788"/>
      <w:bookmarkEnd w:id="1789"/>
      <w:bookmarkEnd w:id="1790"/>
      <w:bookmarkEnd w:id="1791"/>
      <w:bookmarkEnd w:id="1792"/>
    </w:p>
    <w:p w:rsidR="00565FD5" w:rsidRPr="001B45E1" w:rsidRDefault="00565FD5" w:rsidP="00565FD5">
      <w:pPr>
        <w:pStyle w:val="Balk4"/>
      </w:pPr>
      <w:bookmarkStart w:id="1793" w:name="_Toc276059241"/>
      <w:bookmarkStart w:id="1794" w:name="_Toc244339621"/>
      <w:bookmarkStart w:id="1795" w:name="_Toc244315158"/>
      <w:bookmarkStart w:id="1796" w:name="_Toc244313682"/>
      <w:bookmarkStart w:id="1797" w:name="_Toc244254947"/>
      <w:bookmarkStart w:id="1798" w:name="_Toc244253697"/>
      <w:bookmarkStart w:id="1799" w:name="_Toc212889610"/>
      <w:bookmarkStart w:id="1800" w:name="_Toc307602006"/>
      <w:bookmarkStart w:id="1801" w:name="_Toc307670455"/>
      <w:bookmarkStart w:id="1802" w:name="_Toc307701681"/>
      <w:bookmarkStart w:id="1803" w:name="_Toc338505587"/>
      <w:bookmarkStart w:id="1804" w:name="_Toc338523815"/>
      <w:bookmarkStart w:id="1805" w:name="_Toc338524046"/>
      <w:bookmarkStart w:id="1806" w:name="_Toc338526272"/>
      <w:bookmarkStart w:id="1807" w:name="_Toc338673715"/>
      <w:bookmarkStart w:id="1808" w:name="_Toc338711594"/>
      <w:r w:rsidRPr="001B45E1">
        <w:t>1. Mevcut Durum</w:t>
      </w:r>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r w:rsidRPr="001B45E1">
        <w:t xml:space="preserve"> </w:t>
      </w:r>
    </w:p>
    <w:p w:rsidR="00565FD5" w:rsidRDefault="00565FD5" w:rsidP="00565FD5">
      <w:pPr>
        <w:spacing w:after="160"/>
        <w:rPr>
          <w:rFonts w:cs="Tahoma"/>
          <w:szCs w:val="18"/>
        </w:rPr>
      </w:pPr>
      <w:r w:rsidRPr="001B45E1">
        <w:rPr>
          <w:rFonts w:cs="Tahoma"/>
          <w:szCs w:val="18"/>
        </w:rPr>
        <w:tab/>
        <w:t>Son üç yıldır sürekli büyümeyi sürdüren tarım sektörünün 2009-2011 yılları arası ortalama büyüme hızı yüzde 3,7 olarak kaydedilmiştir. 2011 yılında yüzde 5,</w:t>
      </w:r>
      <w:r>
        <w:rPr>
          <w:rFonts w:cs="Tahoma"/>
          <w:szCs w:val="18"/>
        </w:rPr>
        <w:t>6</w:t>
      </w:r>
      <w:r w:rsidRPr="001B45E1">
        <w:rPr>
          <w:rFonts w:cs="Tahoma"/>
          <w:szCs w:val="18"/>
        </w:rPr>
        <w:t xml:space="preserve"> büyüyen tarım sektörünün GSYH içindeki payı ise yüzde 8,1 olarak gerçekleşmiştir. Diğer yandan, 2011 yılında tarımsal istihdam, yarısı ücretsiz aile işçisi olmak üzere yaklaşık 460 bin kişi artarak 6,1 milyon kişi seviyesine ulaşmıştır. Sektörün toplam istihdam içindeki payı ise, 2009-2011 yılları arası dönemde düzenli bir şekilde artarak yüzde 24,6’dan yüzde 25,5’e yükselmiştir. 2012 yılının ilk yarısında, bir önceki yılın aynı dönemine göre tarımsal büyüme hızı yüzde 4,2 olurken, sektörde istihdam düzeyi aynı kalmıştır. Dış ticaret verileri incelendiğinde ise, ithalatın aynı dönemde çok hızlı bir şekilde artarak tarım sektöründe önemli bir dış ticaret açığına yol açtığı gözlenmektedir. Söz konusu açık, bitkisel üretim ve hayvancılık ithalatındaki artışlardan kaynaklanmaktadır.</w:t>
      </w:r>
    </w:p>
    <w:p w:rsidR="00565FD5" w:rsidRDefault="00565FD5" w:rsidP="00565FD5">
      <w:pPr>
        <w:spacing w:after="160"/>
        <w:rPr>
          <w:rFonts w:cs="Tahoma"/>
          <w:szCs w:val="18"/>
        </w:rPr>
      </w:pPr>
      <w:r w:rsidRPr="001B45E1">
        <w:rPr>
          <w:rFonts w:cs="Tahoma"/>
          <w:szCs w:val="18"/>
        </w:rPr>
        <w:tab/>
        <w:t xml:space="preserve">2007 yılında ülkemizdeki iklim koşullarına bağlı olarak görülen tarımsal ürün arzındaki gerilemenin yanı sıra, dünyada yaşanan gıda fiyat artışlarına bağlı gıda krizinin kısmen ülkemize yansıması sonrasında kırsal alanda gelirin azalması ve yoksulluğun artış eğilimine girmesi, hem tarımsal üretimin istikrarlı şekilde devamının önemini hem de gıda güvenliği üzerindeki tehditlerin ciddiyetini </w:t>
      </w:r>
      <w:r w:rsidRPr="001B45E1">
        <w:rPr>
          <w:rFonts w:cs="Tahoma"/>
          <w:szCs w:val="18"/>
        </w:rPr>
        <w:lastRenderedPageBreak/>
        <w:t xml:space="preserve">ortaya koymuştur. Birleşmiş Milletler Gıda ve Tarım Örgütü (FAO) verilerine göre, 2009-2010 döneminde düşüş gösteren dünya gıda fiyatları endeksi, 2011 yılında yeniden yükselişe geçmiştir. 2012 yılının ilk yarısında yeniden bir miktar düşüş gösteren gıda fiyatları endeksinin, yılın sonraki döneminde bazı temel tarımsal ürünlerin küresel düzeydeki üretiminde iklim koşullarına bağlı düşüş nedeniyle, tekrar artış eğilimine girmesi, önümüzdeki dönemde, istikrarsız seyreden gıda fiyatları için ülkemizde ilave tedbir alınmasını gerektirecek risklerin ortaya çıkabileceğine işaret etmektedir. </w:t>
      </w:r>
    </w:p>
    <w:p w:rsidR="00565FD5" w:rsidRPr="0054588B" w:rsidRDefault="00565FD5" w:rsidP="00565FD5">
      <w:pPr>
        <w:pStyle w:val="ResimYazs"/>
        <w:rPr>
          <w:rFonts w:cs="Tahoma"/>
        </w:rPr>
      </w:pPr>
      <w:bookmarkStart w:id="1809" w:name="_Toc338606020"/>
      <w:bookmarkStart w:id="1810" w:name="_Toc338711795"/>
      <w:r>
        <w:t xml:space="preserve">TABLO IV: </w:t>
      </w:r>
      <w:fldSimple w:instr=" SEQ TABLO_IV: \* ARABIC ">
        <w:r>
          <w:rPr>
            <w:noProof/>
          </w:rPr>
          <w:t>25</w:t>
        </w:r>
      </w:fldSimple>
      <w:r w:rsidRPr="0054588B">
        <w:rPr>
          <w:rFonts w:cs="Tahoma"/>
        </w:rPr>
        <w:t>- Tarım Sektöründe Dış Ticaret Göstergeleri</w:t>
      </w:r>
      <w:bookmarkEnd w:id="1809"/>
      <w:r>
        <w:rPr>
          <w:rFonts w:cs="Tahoma"/>
        </w:rPr>
        <w:t xml:space="preserve"> (ISIC, Rev. 3)</w:t>
      </w:r>
      <w:bookmarkEnd w:id="1810"/>
    </w:p>
    <w:tbl>
      <w:tblPr>
        <w:tblW w:w="7169" w:type="dxa"/>
        <w:jc w:val="center"/>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72"/>
        <w:gridCol w:w="691"/>
        <w:gridCol w:w="692"/>
        <w:gridCol w:w="573"/>
        <w:gridCol w:w="811"/>
        <w:gridCol w:w="776"/>
        <w:gridCol w:w="667"/>
        <w:gridCol w:w="573"/>
        <w:gridCol w:w="814"/>
      </w:tblGrid>
      <w:tr w:rsidR="00565FD5" w:rsidRPr="001B45E1" w:rsidTr="00AB62A3">
        <w:trPr>
          <w:trHeight w:val="296"/>
          <w:jc w:val="center"/>
        </w:trPr>
        <w:tc>
          <w:tcPr>
            <w:tcW w:w="1572" w:type="dxa"/>
            <w:vMerge w:val="restart"/>
            <w:noWrap/>
          </w:tcPr>
          <w:p w:rsidR="00565FD5" w:rsidRPr="00B5107F" w:rsidRDefault="00565FD5" w:rsidP="00AB62A3">
            <w:pPr>
              <w:spacing w:after="160"/>
              <w:rPr>
                <w:rFonts w:cs="Tahoma"/>
                <w:b/>
                <w:sz w:val="14"/>
                <w:szCs w:val="14"/>
                <w:lang w:eastAsia="tr-TR"/>
              </w:rPr>
            </w:pPr>
            <w:r w:rsidRPr="00B5107F">
              <w:rPr>
                <w:rFonts w:cs="Tahoma"/>
                <w:b/>
                <w:sz w:val="14"/>
                <w:szCs w:val="14"/>
                <w:lang w:eastAsia="tr-TR"/>
              </w:rPr>
              <w:t> </w:t>
            </w:r>
          </w:p>
        </w:tc>
        <w:tc>
          <w:tcPr>
            <w:tcW w:w="3543" w:type="dxa"/>
            <w:gridSpan w:val="5"/>
            <w:noWrap/>
            <w:vAlign w:val="center"/>
          </w:tcPr>
          <w:p w:rsidR="00565FD5" w:rsidRPr="00B5107F" w:rsidRDefault="00565FD5" w:rsidP="00AB62A3">
            <w:pPr>
              <w:jc w:val="center"/>
              <w:rPr>
                <w:rFonts w:cs="Tahoma"/>
                <w:b/>
                <w:bCs/>
                <w:sz w:val="14"/>
                <w:szCs w:val="14"/>
                <w:lang w:eastAsia="tr-TR"/>
              </w:rPr>
            </w:pPr>
            <w:r w:rsidRPr="00B5107F">
              <w:rPr>
                <w:rFonts w:cs="Tahoma"/>
                <w:b/>
                <w:bCs/>
                <w:sz w:val="14"/>
                <w:szCs w:val="14"/>
                <w:lang w:eastAsia="tr-TR"/>
              </w:rPr>
              <w:t>Yıllar</w:t>
            </w:r>
          </w:p>
        </w:tc>
        <w:tc>
          <w:tcPr>
            <w:tcW w:w="2054" w:type="dxa"/>
            <w:gridSpan w:val="3"/>
            <w:noWrap/>
            <w:vAlign w:val="center"/>
          </w:tcPr>
          <w:p w:rsidR="00565FD5" w:rsidRPr="00B5107F" w:rsidRDefault="00565FD5" w:rsidP="00AB62A3">
            <w:pPr>
              <w:jc w:val="center"/>
              <w:rPr>
                <w:rFonts w:cs="Tahoma"/>
                <w:b/>
                <w:bCs/>
                <w:sz w:val="14"/>
                <w:szCs w:val="14"/>
                <w:lang w:eastAsia="tr-TR"/>
              </w:rPr>
            </w:pPr>
            <w:r w:rsidRPr="00B5107F">
              <w:rPr>
                <w:rFonts w:cs="Tahoma"/>
                <w:b/>
                <w:bCs/>
                <w:sz w:val="14"/>
                <w:szCs w:val="14"/>
                <w:lang w:eastAsia="tr-TR"/>
              </w:rPr>
              <w:t>Yüzde Değişim</w:t>
            </w:r>
          </w:p>
        </w:tc>
      </w:tr>
      <w:tr w:rsidR="00565FD5" w:rsidRPr="001B45E1" w:rsidTr="00AB62A3">
        <w:trPr>
          <w:trHeight w:val="499"/>
          <w:jc w:val="center"/>
        </w:trPr>
        <w:tc>
          <w:tcPr>
            <w:tcW w:w="1572" w:type="dxa"/>
            <w:vMerge/>
          </w:tcPr>
          <w:p w:rsidR="00565FD5" w:rsidRPr="00B5107F" w:rsidRDefault="00565FD5" w:rsidP="00AB62A3">
            <w:pPr>
              <w:spacing w:after="160"/>
              <w:rPr>
                <w:rFonts w:cs="Tahoma"/>
                <w:b/>
                <w:sz w:val="14"/>
                <w:szCs w:val="14"/>
                <w:lang w:eastAsia="tr-TR"/>
              </w:rPr>
            </w:pPr>
          </w:p>
        </w:tc>
        <w:tc>
          <w:tcPr>
            <w:tcW w:w="691" w:type="dxa"/>
            <w:noWrap/>
            <w:vAlign w:val="center"/>
          </w:tcPr>
          <w:p w:rsidR="00565FD5" w:rsidRPr="00B5107F" w:rsidRDefault="00565FD5" w:rsidP="00AB62A3">
            <w:pPr>
              <w:jc w:val="center"/>
              <w:rPr>
                <w:rFonts w:cs="Tahoma"/>
                <w:b/>
                <w:bCs/>
                <w:sz w:val="14"/>
                <w:szCs w:val="14"/>
                <w:lang w:eastAsia="tr-TR"/>
              </w:rPr>
            </w:pPr>
            <w:r w:rsidRPr="00B5107F">
              <w:rPr>
                <w:rFonts w:cs="Tahoma"/>
                <w:b/>
                <w:bCs/>
                <w:sz w:val="14"/>
                <w:szCs w:val="14"/>
                <w:lang w:eastAsia="tr-TR"/>
              </w:rPr>
              <w:t>2009</w:t>
            </w:r>
          </w:p>
        </w:tc>
        <w:tc>
          <w:tcPr>
            <w:tcW w:w="692" w:type="dxa"/>
            <w:noWrap/>
            <w:vAlign w:val="center"/>
          </w:tcPr>
          <w:p w:rsidR="00565FD5" w:rsidRPr="00B5107F" w:rsidRDefault="00565FD5" w:rsidP="00AB62A3">
            <w:pPr>
              <w:jc w:val="center"/>
              <w:rPr>
                <w:rFonts w:cs="Tahoma"/>
                <w:b/>
                <w:bCs/>
                <w:sz w:val="14"/>
                <w:szCs w:val="14"/>
                <w:lang w:eastAsia="tr-TR"/>
              </w:rPr>
            </w:pPr>
            <w:r w:rsidRPr="00B5107F">
              <w:rPr>
                <w:rFonts w:cs="Tahoma"/>
                <w:b/>
                <w:bCs/>
                <w:sz w:val="14"/>
                <w:szCs w:val="14"/>
                <w:lang w:eastAsia="tr-TR"/>
              </w:rPr>
              <w:t>2010</w:t>
            </w:r>
          </w:p>
        </w:tc>
        <w:tc>
          <w:tcPr>
            <w:tcW w:w="573" w:type="dxa"/>
            <w:noWrap/>
            <w:vAlign w:val="center"/>
          </w:tcPr>
          <w:p w:rsidR="00565FD5" w:rsidRPr="00B5107F" w:rsidRDefault="00565FD5" w:rsidP="00AB62A3">
            <w:pPr>
              <w:jc w:val="center"/>
              <w:rPr>
                <w:rFonts w:cs="Tahoma"/>
                <w:b/>
                <w:bCs/>
                <w:sz w:val="14"/>
                <w:szCs w:val="14"/>
                <w:lang w:eastAsia="tr-TR"/>
              </w:rPr>
            </w:pPr>
            <w:r w:rsidRPr="00B5107F">
              <w:rPr>
                <w:rFonts w:cs="Tahoma"/>
                <w:b/>
                <w:bCs/>
                <w:sz w:val="14"/>
                <w:szCs w:val="14"/>
                <w:lang w:eastAsia="tr-TR"/>
              </w:rPr>
              <w:t>2011</w:t>
            </w:r>
          </w:p>
        </w:tc>
        <w:tc>
          <w:tcPr>
            <w:tcW w:w="811" w:type="dxa"/>
            <w:vAlign w:val="center"/>
          </w:tcPr>
          <w:p w:rsidR="00565FD5" w:rsidRPr="00B5107F" w:rsidRDefault="00565FD5" w:rsidP="00AB62A3">
            <w:pPr>
              <w:jc w:val="center"/>
              <w:rPr>
                <w:rFonts w:cs="Tahoma"/>
                <w:b/>
                <w:bCs/>
                <w:sz w:val="14"/>
                <w:szCs w:val="14"/>
                <w:lang w:eastAsia="tr-TR"/>
              </w:rPr>
            </w:pPr>
            <w:r w:rsidRPr="00B5107F">
              <w:rPr>
                <w:rFonts w:cs="Tahoma"/>
                <w:b/>
                <w:bCs/>
                <w:sz w:val="14"/>
                <w:szCs w:val="14"/>
                <w:lang w:eastAsia="tr-TR"/>
              </w:rPr>
              <w:t xml:space="preserve">2011 </w:t>
            </w:r>
            <w:r w:rsidRPr="00B5107F">
              <w:rPr>
                <w:rFonts w:cs="Tahoma"/>
                <w:b/>
                <w:bCs/>
                <w:sz w:val="14"/>
                <w:szCs w:val="14"/>
                <w:lang w:eastAsia="tr-TR"/>
              </w:rPr>
              <w:br/>
            </w:r>
            <w:r w:rsidRPr="00B5107F">
              <w:rPr>
                <w:rFonts w:cs="Tahoma"/>
                <w:b/>
                <w:bCs/>
                <w:sz w:val="12"/>
                <w:szCs w:val="12"/>
                <w:lang w:eastAsia="tr-TR"/>
              </w:rPr>
              <w:t>(8 Aylık)</w:t>
            </w:r>
          </w:p>
        </w:tc>
        <w:tc>
          <w:tcPr>
            <w:tcW w:w="776" w:type="dxa"/>
            <w:vAlign w:val="center"/>
          </w:tcPr>
          <w:p w:rsidR="00565FD5" w:rsidRPr="00B5107F" w:rsidRDefault="00565FD5" w:rsidP="00AB62A3">
            <w:pPr>
              <w:jc w:val="center"/>
              <w:rPr>
                <w:rFonts w:cs="Tahoma"/>
                <w:b/>
                <w:bCs/>
                <w:sz w:val="14"/>
                <w:szCs w:val="14"/>
                <w:lang w:eastAsia="tr-TR"/>
              </w:rPr>
            </w:pPr>
            <w:r w:rsidRPr="00B5107F">
              <w:rPr>
                <w:rFonts w:cs="Tahoma"/>
                <w:b/>
                <w:bCs/>
                <w:sz w:val="14"/>
                <w:szCs w:val="14"/>
                <w:lang w:eastAsia="tr-TR"/>
              </w:rPr>
              <w:t xml:space="preserve">2012 </w:t>
            </w:r>
            <w:r w:rsidRPr="00B5107F">
              <w:rPr>
                <w:rFonts w:cs="Tahoma"/>
                <w:b/>
                <w:bCs/>
                <w:sz w:val="14"/>
                <w:szCs w:val="14"/>
                <w:lang w:eastAsia="tr-TR"/>
              </w:rPr>
              <w:br/>
            </w:r>
            <w:r w:rsidRPr="00B5107F">
              <w:rPr>
                <w:rFonts w:cs="Tahoma"/>
                <w:b/>
                <w:bCs/>
                <w:sz w:val="12"/>
                <w:szCs w:val="12"/>
                <w:lang w:eastAsia="tr-TR"/>
              </w:rPr>
              <w:t>(8 Aylık)</w:t>
            </w:r>
          </w:p>
        </w:tc>
        <w:tc>
          <w:tcPr>
            <w:tcW w:w="667" w:type="dxa"/>
            <w:noWrap/>
            <w:vAlign w:val="center"/>
          </w:tcPr>
          <w:p w:rsidR="00565FD5" w:rsidRPr="00B5107F" w:rsidRDefault="00565FD5" w:rsidP="00AB62A3">
            <w:pPr>
              <w:jc w:val="center"/>
              <w:rPr>
                <w:rFonts w:cs="Tahoma"/>
                <w:b/>
                <w:bCs/>
                <w:sz w:val="14"/>
                <w:szCs w:val="14"/>
                <w:lang w:eastAsia="tr-TR"/>
              </w:rPr>
            </w:pPr>
            <w:r w:rsidRPr="00B5107F">
              <w:rPr>
                <w:rFonts w:cs="Tahoma"/>
                <w:b/>
                <w:bCs/>
                <w:sz w:val="14"/>
                <w:szCs w:val="14"/>
                <w:lang w:eastAsia="tr-TR"/>
              </w:rPr>
              <w:t>2010</w:t>
            </w:r>
          </w:p>
        </w:tc>
        <w:tc>
          <w:tcPr>
            <w:tcW w:w="573" w:type="dxa"/>
            <w:noWrap/>
            <w:vAlign w:val="center"/>
          </w:tcPr>
          <w:p w:rsidR="00565FD5" w:rsidRPr="00B5107F" w:rsidRDefault="00565FD5" w:rsidP="00AB62A3">
            <w:pPr>
              <w:jc w:val="center"/>
              <w:rPr>
                <w:rFonts w:cs="Tahoma"/>
                <w:b/>
                <w:bCs/>
                <w:sz w:val="14"/>
                <w:szCs w:val="14"/>
                <w:lang w:eastAsia="tr-TR"/>
              </w:rPr>
            </w:pPr>
            <w:r w:rsidRPr="00B5107F">
              <w:rPr>
                <w:rFonts w:cs="Tahoma"/>
                <w:b/>
                <w:bCs/>
                <w:sz w:val="14"/>
                <w:szCs w:val="14"/>
                <w:lang w:eastAsia="tr-TR"/>
              </w:rPr>
              <w:t>2011</w:t>
            </w:r>
          </w:p>
        </w:tc>
        <w:tc>
          <w:tcPr>
            <w:tcW w:w="814" w:type="dxa"/>
            <w:vAlign w:val="center"/>
          </w:tcPr>
          <w:p w:rsidR="00565FD5" w:rsidRPr="00B5107F" w:rsidRDefault="00565FD5" w:rsidP="00AB62A3">
            <w:pPr>
              <w:jc w:val="center"/>
              <w:rPr>
                <w:rFonts w:cs="Tahoma"/>
                <w:b/>
                <w:bCs/>
                <w:sz w:val="14"/>
                <w:szCs w:val="14"/>
                <w:lang w:eastAsia="tr-TR"/>
              </w:rPr>
            </w:pPr>
            <w:r w:rsidRPr="00B5107F">
              <w:rPr>
                <w:rFonts w:cs="Tahoma"/>
                <w:b/>
                <w:bCs/>
                <w:sz w:val="14"/>
                <w:szCs w:val="14"/>
                <w:lang w:eastAsia="tr-TR"/>
              </w:rPr>
              <w:t xml:space="preserve">2011-2012 </w:t>
            </w:r>
            <w:r w:rsidRPr="00B5107F">
              <w:rPr>
                <w:rFonts w:cs="Tahoma"/>
                <w:b/>
                <w:bCs/>
                <w:sz w:val="14"/>
                <w:szCs w:val="14"/>
                <w:lang w:eastAsia="tr-TR"/>
              </w:rPr>
              <w:br/>
            </w:r>
            <w:r w:rsidRPr="00B5107F">
              <w:rPr>
                <w:rFonts w:cs="Tahoma"/>
                <w:b/>
                <w:bCs/>
                <w:sz w:val="12"/>
                <w:szCs w:val="12"/>
                <w:lang w:eastAsia="tr-TR"/>
              </w:rPr>
              <w:t>(8 Aylık)</w:t>
            </w:r>
          </w:p>
        </w:tc>
      </w:tr>
      <w:tr w:rsidR="00565FD5" w:rsidRPr="001B45E1" w:rsidTr="00AB62A3">
        <w:trPr>
          <w:trHeight w:val="264"/>
          <w:jc w:val="center"/>
        </w:trPr>
        <w:tc>
          <w:tcPr>
            <w:tcW w:w="7169" w:type="dxa"/>
            <w:gridSpan w:val="9"/>
            <w:noWrap/>
            <w:vAlign w:val="center"/>
          </w:tcPr>
          <w:p w:rsidR="00565FD5" w:rsidRPr="00B5107F" w:rsidRDefault="00565FD5" w:rsidP="00AB62A3">
            <w:pPr>
              <w:rPr>
                <w:rFonts w:cs="Tahoma"/>
                <w:b/>
                <w:bCs/>
                <w:sz w:val="14"/>
                <w:szCs w:val="14"/>
                <w:lang w:eastAsia="tr-TR"/>
              </w:rPr>
            </w:pPr>
            <w:r w:rsidRPr="00B5107F">
              <w:rPr>
                <w:rFonts w:cs="Tahoma"/>
                <w:b/>
                <w:bCs/>
                <w:sz w:val="14"/>
                <w:szCs w:val="14"/>
                <w:lang w:eastAsia="tr-TR"/>
              </w:rPr>
              <w:t xml:space="preserve">İTHALAT  </w:t>
            </w:r>
            <w:r w:rsidRPr="00B5107F">
              <w:rPr>
                <w:rFonts w:cs="Tahoma"/>
                <w:bCs/>
                <w:sz w:val="14"/>
                <w:szCs w:val="14"/>
                <w:lang w:eastAsia="tr-TR"/>
              </w:rPr>
              <w:t>(Milyon ABD Doları)</w:t>
            </w:r>
          </w:p>
        </w:tc>
      </w:tr>
      <w:tr w:rsidR="00565FD5" w:rsidRPr="001B45E1" w:rsidTr="00AB62A3">
        <w:trPr>
          <w:trHeight w:val="300"/>
          <w:jc w:val="center"/>
        </w:trPr>
        <w:tc>
          <w:tcPr>
            <w:tcW w:w="1572" w:type="dxa"/>
            <w:noWrap/>
            <w:vAlign w:val="center"/>
          </w:tcPr>
          <w:p w:rsidR="00565FD5" w:rsidRPr="00B5107F" w:rsidRDefault="00565FD5" w:rsidP="00AB62A3">
            <w:pPr>
              <w:rPr>
                <w:rFonts w:cs="Tahoma"/>
                <w:bCs/>
                <w:sz w:val="14"/>
                <w:szCs w:val="14"/>
                <w:lang w:eastAsia="tr-TR"/>
              </w:rPr>
            </w:pPr>
            <w:r w:rsidRPr="00B5107F">
              <w:rPr>
                <w:rFonts w:cs="Tahoma"/>
                <w:bCs/>
                <w:sz w:val="14"/>
                <w:szCs w:val="14"/>
                <w:lang w:eastAsia="tr-TR"/>
              </w:rPr>
              <w:t>Bitkisel Üretim</w:t>
            </w:r>
          </w:p>
        </w:tc>
        <w:tc>
          <w:tcPr>
            <w:tcW w:w="691"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4 386</w:t>
            </w:r>
          </w:p>
        </w:tc>
        <w:tc>
          <w:tcPr>
            <w:tcW w:w="692"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5 890</w:t>
            </w:r>
          </w:p>
        </w:tc>
        <w:tc>
          <w:tcPr>
            <w:tcW w:w="573"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7 579</w:t>
            </w:r>
          </w:p>
        </w:tc>
        <w:tc>
          <w:tcPr>
            <w:tcW w:w="811"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5 677</w:t>
            </w:r>
          </w:p>
        </w:tc>
        <w:tc>
          <w:tcPr>
            <w:tcW w:w="776"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4 270</w:t>
            </w:r>
          </w:p>
        </w:tc>
        <w:tc>
          <w:tcPr>
            <w:tcW w:w="667"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34,3</w:t>
            </w:r>
          </w:p>
        </w:tc>
        <w:tc>
          <w:tcPr>
            <w:tcW w:w="573"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28,7</w:t>
            </w:r>
          </w:p>
        </w:tc>
        <w:tc>
          <w:tcPr>
            <w:tcW w:w="814"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-24,8</w:t>
            </w:r>
          </w:p>
        </w:tc>
      </w:tr>
      <w:tr w:rsidR="00565FD5" w:rsidRPr="001B45E1" w:rsidTr="00AB62A3">
        <w:trPr>
          <w:trHeight w:val="300"/>
          <w:jc w:val="center"/>
        </w:trPr>
        <w:tc>
          <w:tcPr>
            <w:tcW w:w="1572" w:type="dxa"/>
            <w:noWrap/>
            <w:vAlign w:val="center"/>
          </w:tcPr>
          <w:p w:rsidR="00565FD5" w:rsidRPr="00B5107F" w:rsidRDefault="00565FD5" w:rsidP="00AB62A3">
            <w:pPr>
              <w:rPr>
                <w:rFonts w:cs="Tahoma"/>
                <w:bCs/>
                <w:sz w:val="14"/>
                <w:szCs w:val="14"/>
                <w:lang w:eastAsia="tr-TR"/>
              </w:rPr>
            </w:pPr>
            <w:r w:rsidRPr="00B5107F">
              <w:rPr>
                <w:rFonts w:cs="Tahoma"/>
                <w:bCs/>
                <w:sz w:val="14"/>
                <w:szCs w:val="14"/>
                <w:lang w:eastAsia="tr-TR"/>
              </w:rPr>
              <w:t>Hayvancılık</w:t>
            </w:r>
          </w:p>
        </w:tc>
        <w:tc>
          <w:tcPr>
            <w:tcW w:w="691"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62</w:t>
            </w:r>
          </w:p>
        </w:tc>
        <w:tc>
          <w:tcPr>
            <w:tcW w:w="692"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371</w:t>
            </w:r>
          </w:p>
        </w:tc>
        <w:tc>
          <w:tcPr>
            <w:tcW w:w="573"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1 090</w:t>
            </w:r>
          </w:p>
        </w:tc>
        <w:tc>
          <w:tcPr>
            <w:tcW w:w="811"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650</w:t>
            </w:r>
          </w:p>
        </w:tc>
        <w:tc>
          <w:tcPr>
            <w:tcW w:w="776"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642</w:t>
            </w:r>
          </w:p>
        </w:tc>
        <w:tc>
          <w:tcPr>
            <w:tcW w:w="667"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493,9</w:t>
            </w:r>
          </w:p>
        </w:tc>
        <w:tc>
          <w:tcPr>
            <w:tcW w:w="573"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193,8</w:t>
            </w:r>
          </w:p>
        </w:tc>
        <w:tc>
          <w:tcPr>
            <w:tcW w:w="814"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-1,2</w:t>
            </w:r>
          </w:p>
        </w:tc>
      </w:tr>
      <w:tr w:rsidR="00565FD5" w:rsidRPr="001B45E1" w:rsidTr="00AB62A3">
        <w:trPr>
          <w:trHeight w:val="300"/>
          <w:jc w:val="center"/>
        </w:trPr>
        <w:tc>
          <w:tcPr>
            <w:tcW w:w="1572" w:type="dxa"/>
            <w:noWrap/>
            <w:vAlign w:val="center"/>
          </w:tcPr>
          <w:p w:rsidR="00565FD5" w:rsidRPr="00B5107F" w:rsidRDefault="00565FD5" w:rsidP="00AB62A3">
            <w:pPr>
              <w:rPr>
                <w:rFonts w:cs="Tahoma"/>
                <w:bCs/>
                <w:sz w:val="14"/>
                <w:szCs w:val="14"/>
                <w:lang w:eastAsia="tr-TR"/>
              </w:rPr>
            </w:pPr>
            <w:r w:rsidRPr="00B5107F">
              <w:rPr>
                <w:rFonts w:cs="Tahoma"/>
                <w:bCs/>
                <w:sz w:val="14"/>
                <w:szCs w:val="14"/>
                <w:lang w:eastAsia="tr-TR"/>
              </w:rPr>
              <w:t>Ormancılık ve Tomrukçuluk</w:t>
            </w:r>
          </w:p>
        </w:tc>
        <w:tc>
          <w:tcPr>
            <w:tcW w:w="691"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146</w:t>
            </w:r>
          </w:p>
        </w:tc>
        <w:tc>
          <w:tcPr>
            <w:tcW w:w="692"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195</w:t>
            </w:r>
          </w:p>
        </w:tc>
        <w:tc>
          <w:tcPr>
            <w:tcW w:w="573"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226</w:t>
            </w:r>
          </w:p>
        </w:tc>
        <w:tc>
          <w:tcPr>
            <w:tcW w:w="811"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164</w:t>
            </w:r>
          </w:p>
        </w:tc>
        <w:tc>
          <w:tcPr>
            <w:tcW w:w="776"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150</w:t>
            </w:r>
          </w:p>
        </w:tc>
        <w:tc>
          <w:tcPr>
            <w:tcW w:w="667"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34,0</w:t>
            </w:r>
          </w:p>
        </w:tc>
        <w:tc>
          <w:tcPr>
            <w:tcW w:w="573"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15,6</w:t>
            </w:r>
          </w:p>
        </w:tc>
        <w:tc>
          <w:tcPr>
            <w:tcW w:w="814"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-8,5</w:t>
            </w:r>
          </w:p>
        </w:tc>
      </w:tr>
      <w:tr w:rsidR="00565FD5" w:rsidRPr="001B45E1" w:rsidTr="00AB62A3">
        <w:trPr>
          <w:trHeight w:val="300"/>
          <w:jc w:val="center"/>
        </w:trPr>
        <w:tc>
          <w:tcPr>
            <w:tcW w:w="1572" w:type="dxa"/>
            <w:noWrap/>
            <w:vAlign w:val="center"/>
          </w:tcPr>
          <w:p w:rsidR="00565FD5" w:rsidRPr="00B5107F" w:rsidRDefault="00565FD5" w:rsidP="00AB62A3">
            <w:pPr>
              <w:rPr>
                <w:rFonts w:cs="Tahoma"/>
                <w:bCs/>
                <w:sz w:val="14"/>
                <w:szCs w:val="14"/>
                <w:lang w:eastAsia="tr-TR"/>
              </w:rPr>
            </w:pPr>
            <w:r w:rsidRPr="00B5107F">
              <w:rPr>
                <w:rFonts w:cs="Tahoma"/>
                <w:bCs/>
                <w:sz w:val="14"/>
                <w:szCs w:val="14"/>
                <w:lang w:eastAsia="tr-TR"/>
              </w:rPr>
              <w:t>Balıkçılık</w:t>
            </w:r>
          </w:p>
        </w:tc>
        <w:tc>
          <w:tcPr>
            <w:tcW w:w="691"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31</w:t>
            </w:r>
          </w:p>
        </w:tc>
        <w:tc>
          <w:tcPr>
            <w:tcW w:w="692"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33</w:t>
            </w:r>
          </w:p>
        </w:tc>
        <w:tc>
          <w:tcPr>
            <w:tcW w:w="573"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49</w:t>
            </w:r>
          </w:p>
        </w:tc>
        <w:tc>
          <w:tcPr>
            <w:tcW w:w="811"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34</w:t>
            </w:r>
          </w:p>
        </w:tc>
        <w:tc>
          <w:tcPr>
            <w:tcW w:w="776"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41</w:t>
            </w:r>
          </w:p>
        </w:tc>
        <w:tc>
          <w:tcPr>
            <w:tcW w:w="667"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6,7</w:t>
            </w:r>
          </w:p>
        </w:tc>
        <w:tc>
          <w:tcPr>
            <w:tcW w:w="573"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46,2</w:t>
            </w:r>
          </w:p>
        </w:tc>
        <w:tc>
          <w:tcPr>
            <w:tcW w:w="814"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20,6</w:t>
            </w:r>
          </w:p>
        </w:tc>
      </w:tr>
      <w:tr w:rsidR="00565FD5" w:rsidRPr="001B45E1" w:rsidTr="00AB62A3">
        <w:trPr>
          <w:trHeight w:val="300"/>
          <w:jc w:val="center"/>
        </w:trPr>
        <w:tc>
          <w:tcPr>
            <w:tcW w:w="1572" w:type="dxa"/>
            <w:noWrap/>
            <w:vAlign w:val="center"/>
          </w:tcPr>
          <w:p w:rsidR="00565FD5" w:rsidRPr="00B5107F" w:rsidRDefault="00565FD5" w:rsidP="00AB62A3">
            <w:pPr>
              <w:rPr>
                <w:rFonts w:cs="Tahoma"/>
                <w:bCs/>
                <w:sz w:val="14"/>
                <w:szCs w:val="14"/>
                <w:lang w:eastAsia="tr-TR"/>
              </w:rPr>
            </w:pPr>
            <w:r w:rsidRPr="00B5107F">
              <w:rPr>
                <w:rFonts w:cs="Tahoma"/>
                <w:bCs/>
                <w:sz w:val="14"/>
                <w:szCs w:val="14"/>
                <w:lang w:eastAsia="tr-TR"/>
              </w:rPr>
              <w:t>TOPLAM</w:t>
            </w:r>
          </w:p>
        </w:tc>
        <w:tc>
          <w:tcPr>
            <w:tcW w:w="691"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4 625</w:t>
            </w:r>
          </w:p>
        </w:tc>
        <w:tc>
          <w:tcPr>
            <w:tcW w:w="692"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6 490</w:t>
            </w:r>
          </w:p>
        </w:tc>
        <w:tc>
          <w:tcPr>
            <w:tcW w:w="573"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8 944</w:t>
            </w:r>
          </w:p>
        </w:tc>
        <w:tc>
          <w:tcPr>
            <w:tcW w:w="811"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6 525</w:t>
            </w:r>
          </w:p>
        </w:tc>
        <w:tc>
          <w:tcPr>
            <w:tcW w:w="776"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5 103</w:t>
            </w:r>
          </w:p>
        </w:tc>
        <w:tc>
          <w:tcPr>
            <w:tcW w:w="667"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40,3</w:t>
            </w:r>
          </w:p>
        </w:tc>
        <w:tc>
          <w:tcPr>
            <w:tcW w:w="573"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37,8</w:t>
            </w:r>
          </w:p>
        </w:tc>
        <w:tc>
          <w:tcPr>
            <w:tcW w:w="814"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-21,8</w:t>
            </w:r>
          </w:p>
        </w:tc>
      </w:tr>
      <w:tr w:rsidR="00565FD5" w:rsidRPr="001B45E1" w:rsidTr="00AB62A3">
        <w:trPr>
          <w:trHeight w:val="248"/>
          <w:jc w:val="center"/>
        </w:trPr>
        <w:tc>
          <w:tcPr>
            <w:tcW w:w="7169" w:type="dxa"/>
            <w:gridSpan w:val="9"/>
            <w:noWrap/>
            <w:vAlign w:val="center"/>
          </w:tcPr>
          <w:p w:rsidR="00565FD5" w:rsidRPr="00B5107F" w:rsidRDefault="00565FD5" w:rsidP="00AB62A3">
            <w:pPr>
              <w:rPr>
                <w:rFonts w:cs="Tahoma"/>
                <w:b/>
                <w:bCs/>
                <w:sz w:val="14"/>
                <w:szCs w:val="14"/>
                <w:lang w:eastAsia="tr-TR"/>
              </w:rPr>
            </w:pPr>
            <w:r w:rsidRPr="00B5107F">
              <w:rPr>
                <w:rFonts w:cs="Tahoma"/>
                <w:b/>
                <w:bCs/>
                <w:sz w:val="14"/>
                <w:szCs w:val="14"/>
                <w:lang w:eastAsia="tr-TR"/>
              </w:rPr>
              <w:t xml:space="preserve">İHRACAT </w:t>
            </w:r>
            <w:r w:rsidRPr="00B5107F">
              <w:rPr>
                <w:rFonts w:cs="Tahoma"/>
                <w:bCs/>
                <w:sz w:val="14"/>
                <w:szCs w:val="14"/>
                <w:lang w:eastAsia="tr-TR"/>
              </w:rPr>
              <w:t>(Milyon ABD Doları)</w:t>
            </w:r>
          </w:p>
        </w:tc>
      </w:tr>
      <w:tr w:rsidR="00565FD5" w:rsidRPr="001B45E1" w:rsidTr="00AB62A3">
        <w:trPr>
          <w:trHeight w:val="270"/>
          <w:jc w:val="center"/>
        </w:trPr>
        <w:tc>
          <w:tcPr>
            <w:tcW w:w="1572" w:type="dxa"/>
            <w:noWrap/>
            <w:vAlign w:val="center"/>
          </w:tcPr>
          <w:p w:rsidR="00565FD5" w:rsidRPr="00B5107F" w:rsidRDefault="00565FD5" w:rsidP="00AB62A3">
            <w:pPr>
              <w:rPr>
                <w:rFonts w:cs="Tahoma"/>
                <w:bCs/>
                <w:sz w:val="14"/>
                <w:szCs w:val="14"/>
                <w:lang w:eastAsia="tr-TR"/>
              </w:rPr>
            </w:pPr>
            <w:r w:rsidRPr="00B5107F">
              <w:rPr>
                <w:rFonts w:cs="Tahoma"/>
                <w:bCs/>
                <w:sz w:val="14"/>
                <w:szCs w:val="14"/>
                <w:lang w:eastAsia="tr-TR"/>
              </w:rPr>
              <w:t>Bitkisel Üretim</w:t>
            </w:r>
          </w:p>
        </w:tc>
        <w:tc>
          <w:tcPr>
            <w:tcW w:w="691"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4 177</w:t>
            </w:r>
          </w:p>
        </w:tc>
        <w:tc>
          <w:tcPr>
            <w:tcW w:w="692"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4 750</w:t>
            </w:r>
          </w:p>
        </w:tc>
        <w:tc>
          <w:tcPr>
            <w:tcW w:w="573"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4 847</w:t>
            </w:r>
          </w:p>
        </w:tc>
        <w:tc>
          <w:tcPr>
            <w:tcW w:w="811"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2 872</w:t>
            </w:r>
          </w:p>
        </w:tc>
        <w:tc>
          <w:tcPr>
            <w:tcW w:w="776"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2 917</w:t>
            </w:r>
          </w:p>
        </w:tc>
        <w:tc>
          <w:tcPr>
            <w:tcW w:w="667"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13,7</w:t>
            </w:r>
          </w:p>
        </w:tc>
        <w:tc>
          <w:tcPr>
            <w:tcW w:w="573"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2,0</w:t>
            </w:r>
          </w:p>
        </w:tc>
        <w:tc>
          <w:tcPr>
            <w:tcW w:w="814"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1,6</w:t>
            </w:r>
          </w:p>
        </w:tc>
      </w:tr>
      <w:tr w:rsidR="00565FD5" w:rsidRPr="001B45E1" w:rsidTr="00AB62A3">
        <w:trPr>
          <w:trHeight w:val="300"/>
          <w:jc w:val="center"/>
        </w:trPr>
        <w:tc>
          <w:tcPr>
            <w:tcW w:w="1572" w:type="dxa"/>
            <w:noWrap/>
            <w:vAlign w:val="center"/>
          </w:tcPr>
          <w:p w:rsidR="00565FD5" w:rsidRPr="00B5107F" w:rsidRDefault="00565FD5" w:rsidP="00AB62A3">
            <w:pPr>
              <w:rPr>
                <w:rFonts w:cs="Tahoma"/>
                <w:bCs/>
                <w:sz w:val="14"/>
                <w:szCs w:val="14"/>
                <w:lang w:eastAsia="tr-TR"/>
              </w:rPr>
            </w:pPr>
            <w:r w:rsidRPr="00B5107F">
              <w:rPr>
                <w:rFonts w:cs="Tahoma"/>
                <w:bCs/>
                <w:sz w:val="14"/>
                <w:szCs w:val="14"/>
                <w:lang w:eastAsia="tr-TR"/>
              </w:rPr>
              <w:t>Hayvancılık</w:t>
            </w:r>
          </w:p>
        </w:tc>
        <w:tc>
          <w:tcPr>
            <w:tcW w:w="691"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159</w:t>
            </w:r>
          </w:p>
        </w:tc>
        <w:tc>
          <w:tcPr>
            <w:tcW w:w="692"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175</w:t>
            </w:r>
          </w:p>
        </w:tc>
        <w:tc>
          <w:tcPr>
            <w:tcW w:w="573"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301</w:t>
            </w:r>
          </w:p>
        </w:tc>
        <w:tc>
          <w:tcPr>
            <w:tcW w:w="811"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170</w:t>
            </w:r>
          </w:p>
        </w:tc>
        <w:tc>
          <w:tcPr>
            <w:tcW w:w="776"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221</w:t>
            </w:r>
          </w:p>
        </w:tc>
        <w:tc>
          <w:tcPr>
            <w:tcW w:w="667"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9,6</w:t>
            </w:r>
          </w:p>
        </w:tc>
        <w:tc>
          <w:tcPr>
            <w:tcW w:w="573"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72,4</w:t>
            </w:r>
          </w:p>
        </w:tc>
        <w:tc>
          <w:tcPr>
            <w:tcW w:w="814"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30,0</w:t>
            </w:r>
          </w:p>
        </w:tc>
      </w:tr>
      <w:tr w:rsidR="00565FD5" w:rsidRPr="001B45E1" w:rsidTr="00AB62A3">
        <w:trPr>
          <w:trHeight w:val="300"/>
          <w:jc w:val="center"/>
        </w:trPr>
        <w:tc>
          <w:tcPr>
            <w:tcW w:w="1572" w:type="dxa"/>
            <w:noWrap/>
            <w:vAlign w:val="center"/>
          </w:tcPr>
          <w:p w:rsidR="00565FD5" w:rsidRPr="00B5107F" w:rsidRDefault="00565FD5" w:rsidP="00AB62A3">
            <w:pPr>
              <w:rPr>
                <w:rFonts w:cs="Tahoma"/>
                <w:bCs/>
                <w:sz w:val="14"/>
                <w:szCs w:val="14"/>
                <w:lang w:eastAsia="tr-TR"/>
              </w:rPr>
            </w:pPr>
            <w:r w:rsidRPr="00B5107F">
              <w:rPr>
                <w:rFonts w:cs="Tahoma"/>
                <w:bCs/>
                <w:sz w:val="14"/>
                <w:szCs w:val="14"/>
                <w:lang w:eastAsia="tr-TR"/>
              </w:rPr>
              <w:t>Ormancılık ve Tomrukçuluk</w:t>
            </w:r>
          </w:p>
        </w:tc>
        <w:tc>
          <w:tcPr>
            <w:tcW w:w="691"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11</w:t>
            </w:r>
          </w:p>
        </w:tc>
        <w:tc>
          <w:tcPr>
            <w:tcW w:w="692"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15</w:t>
            </w:r>
          </w:p>
        </w:tc>
        <w:tc>
          <w:tcPr>
            <w:tcW w:w="573"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19</w:t>
            </w:r>
          </w:p>
        </w:tc>
        <w:tc>
          <w:tcPr>
            <w:tcW w:w="811"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12</w:t>
            </w:r>
          </w:p>
        </w:tc>
        <w:tc>
          <w:tcPr>
            <w:tcW w:w="776"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13</w:t>
            </w:r>
          </w:p>
        </w:tc>
        <w:tc>
          <w:tcPr>
            <w:tcW w:w="667"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44,7</w:t>
            </w:r>
          </w:p>
        </w:tc>
        <w:tc>
          <w:tcPr>
            <w:tcW w:w="573"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20,1</w:t>
            </w:r>
          </w:p>
        </w:tc>
        <w:tc>
          <w:tcPr>
            <w:tcW w:w="814"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8,3</w:t>
            </w:r>
          </w:p>
        </w:tc>
      </w:tr>
      <w:tr w:rsidR="00565FD5" w:rsidRPr="001B45E1" w:rsidTr="00AB62A3">
        <w:trPr>
          <w:trHeight w:val="300"/>
          <w:jc w:val="center"/>
        </w:trPr>
        <w:tc>
          <w:tcPr>
            <w:tcW w:w="1572" w:type="dxa"/>
            <w:noWrap/>
            <w:vAlign w:val="center"/>
          </w:tcPr>
          <w:p w:rsidR="00565FD5" w:rsidRPr="00B5107F" w:rsidRDefault="00565FD5" w:rsidP="00AB62A3">
            <w:pPr>
              <w:rPr>
                <w:rFonts w:cs="Tahoma"/>
                <w:bCs/>
                <w:sz w:val="14"/>
                <w:szCs w:val="14"/>
                <w:lang w:eastAsia="tr-TR"/>
              </w:rPr>
            </w:pPr>
            <w:r w:rsidRPr="00B5107F">
              <w:rPr>
                <w:rFonts w:cs="Tahoma"/>
                <w:bCs/>
                <w:sz w:val="14"/>
                <w:szCs w:val="14"/>
                <w:lang w:eastAsia="tr-TR"/>
              </w:rPr>
              <w:t>Balıkçılık</w:t>
            </w:r>
          </w:p>
        </w:tc>
        <w:tc>
          <w:tcPr>
            <w:tcW w:w="691"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189</w:t>
            </w:r>
          </w:p>
        </w:tc>
        <w:tc>
          <w:tcPr>
            <w:tcW w:w="692"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150</w:t>
            </w:r>
          </w:p>
        </w:tc>
        <w:tc>
          <w:tcPr>
            <w:tcW w:w="573"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186</w:t>
            </w:r>
          </w:p>
        </w:tc>
        <w:tc>
          <w:tcPr>
            <w:tcW w:w="811"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120</w:t>
            </w:r>
          </w:p>
        </w:tc>
        <w:tc>
          <w:tcPr>
            <w:tcW w:w="776"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113</w:t>
            </w:r>
          </w:p>
        </w:tc>
        <w:tc>
          <w:tcPr>
            <w:tcW w:w="667"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-20,6</w:t>
            </w:r>
          </w:p>
        </w:tc>
        <w:tc>
          <w:tcPr>
            <w:tcW w:w="573"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24,0</w:t>
            </w:r>
          </w:p>
        </w:tc>
        <w:tc>
          <w:tcPr>
            <w:tcW w:w="814"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-5,8</w:t>
            </w:r>
          </w:p>
        </w:tc>
      </w:tr>
      <w:tr w:rsidR="00565FD5" w:rsidRPr="001B45E1" w:rsidTr="00AB62A3">
        <w:trPr>
          <w:trHeight w:val="315"/>
          <w:jc w:val="center"/>
        </w:trPr>
        <w:tc>
          <w:tcPr>
            <w:tcW w:w="1572" w:type="dxa"/>
            <w:noWrap/>
            <w:vAlign w:val="center"/>
          </w:tcPr>
          <w:p w:rsidR="00565FD5" w:rsidRPr="00B5107F" w:rsidRDefault="00565FD5" w:rsidP="00AB62A3">
            <w:pPr>
              <w:rPr>
                <w:rFonts w:cs="Tahoma"/>
                <w:bCs/>
                <w:sz w:val="14"/>
                <w:szCs w:val="14"/>
                <w:lang w:eastAsia="tr-TR"/>
              </w:rPr>
            </w:pPr>
            <w:r w:rsidRPr="00B5107F">
              <w:rPr>
                <w:rFonts w:cs="Tahoma"/>
                <w:bCs/>
                <w:sz w:val="14"/>
                <w:szCs w:val="14"/>
                <w:lang w:eastAsia="tr-TR"/>
              </w:rPr>
              <w:t>TOPLAM</w:t>
            </w:r>
          </w:p>
        </w:tc>
        <w:tc>
          <w:tcPr>
            <w:tcW w:w="691"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4 537</w:t>
            </w:r>
          </w:p>
        </w:tc>
        <w:tc>
          <w:tcPr>
            <w:tcW w:w="692"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5 090</w:t>
            </w:r>
          </w:p>
        </w:tc>
        <w:tc>
          <w:tcPr>
            <w:tcW w:w="573"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5 353</w:t>
            </w:r>
          </w:p>
        </w:tc>
        <w:tc>
          <w:tcPr>
            <w:tcW w:w="811"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3 174</w:t>
            </w:r>
          </w:p>
        </w:tc>
        <w:tc>
          <w:tcPr>
            <w:tcW w:w="776"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3 264</w:t>
            </w:r>
          </w:p>
        </w:tc>
        <w:tc>
          <w:tcPr>
            <w:tcW w:w="667"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12,2</w:t>
            </w:r>
          </w:p>
        </w:tc>
        <w:tc>
          <w:tcPr>
            <w:tcW w:w="573"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5,2</w:t>
            </w:r>
          </w:p>
        </w:tc>
        <w:tc>
          <w:tcPr>
            <w:tcW w:w="814" w:type="dxa"/>
            <w:vAlign w:val="center"/>
          </w:tcPr>
          <w:p w:rsidR="00565FD5" w:rsidRPr="00B5107F" w:rsidRDefault="00565FD5" w:rsidP="00AB62A3">
            <w:pPr>
              <w:jc w:val="right"/>
              <w:rPr>
                <w:rFonts w:cs="Tahoma"/>
                <w:sz w:val="14"/>
                <w:szCs w:val="14"/>
                <w:lang w:eastAsia="tr-TR"/>
              </w:rPr>
            </w:pPr>
            <w:r w:rsidRPr="00B5107F">
              <w:rPr>
                <w:rFonts w:cs="Tahoma"/>
                <w:sz w:val="14"/>
                <w:szCs w:val="14"/>
                <w:lang w:eastAsia="tr-TR"/>
              </w:rPr>
              <w:t>2,8</w:t>
            </w:r>
          </w:p>
        </w:tc>
      </w:tr>
    </w:tbl>
    <w:p w:rsidR="00565FD5" w:rsidRPr="001B45E1" w:rsidRDefault="00565FD5" w:rsidP="00565FD5">
      <w:pPr>
        <w:spacing w:after="240"/>
        <w:rPr>
          <w:rFonts w:cs="Tahoma"/>
          <w:sz w:val="14"/>
          <w:szCs w:val="14"/>
        </w:rPr>
      </w:pPr>
      <w:r w:rsidRPr="001B45E1">
        <w:rPr>
          <w:rFonts w:cs="Tahoma"/>
          <w:sz w:val="14"/>
          <w:szCs w:val="14"/>
        </w:rPr>
        <w:t>Kaynak: Kalkınma Bakanlığı, TÜİK</w:t>
      </w:r>
    </w:p>
    <w:p w:rsidR="00565FD5" w:rsidRPr="001B45E1" w:rsidRDefault="00565FD5" w:rsidP="00565FD5">
      <w:pPr>
        <w:spacing w:after="160"/>
        <w:rPr>
          <w:rFonts w:cs="Tahoma"/>
          <w:szCs w:val="18"/>
        </w:rPr>
      </w:pPr>
      <w:r w:rsidRPr="001B45E1">
        <w:rPr>
          <w:rFonts w:cs="Tahoma"/>
          <w:szCs w:val="18"/>
        </w:rPr>
        <w:tab/>
        <w:t xml:space="preserve">Arazi parçalılığı, işletme ölçeklerinin küçük olması ve örgütlenme yetersizliği gibi yapısal sorunların çözümüne yönelik politika geliştirilmesi ve uygulanmasının yanı sıra, özellikle arazi kullanımı ile piyasa gelişmeleri </w:t>
      </w:r>
      <w:r w:rsidRPr="001B45E1">
        <w:rPr>
          <w:rFonts w:cs="Tahoma"/>
          <w:szCs w:val="18"/>
        </w:rPr>
        <w:lastRenderedPageBreak/>
        <w:t xml:space="preserve">konularında kamunun izleme ve değerlendirme kapasitesinin geliştirilmesi ihtiyacı sürmektedir. </w:t>
      </w:r>
    </w:p>
    <w:p w:rsidR="00565FD5" w:rsidRPr="001B45E1" w:rsidRDefault="00565FD5" w:rsidP="00565FD5">
      <w:pPr>
        <w:spacing w:after="160"/>
        <w:rPr>
          <w:rFonts w:cs="Tahoma"/>
          <w:szCs w:val="18"/>
        </w:rPr>
      </w:pPr>
      <w:r w:rsidRPr="001B45E1">
        <w:rPr>
          <w:rFonts w:cs="Tahoma"/>
          <w:szCs w:val="18"/>
        </w:rPr>
        <w:tab/>
        <w:t xml:space="preserve">İşletmelerin çok parçalılığını gidermeye yönelik olarak miras yoluyla bölünmelerinin önlenmesi amacıyla Türk Medeni Kanunu ile 5403 sayılı Toprak Koruma ve Arazi Kullanımı Kanununda değişiklik yapılmasına ilişkin çalışmaların sonuçlandırılması önem arz etmektedir. </w:t>
      </w:r>
    </w:p>
    <w:p w:rsidR="00565FD5" w:rsidRPr="001B45E1" w:rsidRDefault="00565FD5" w:rsidP="00565FD5">
      <w:pPr>
        <w:spacing w:after="160"/>
        <w:rPr>
          <w:rFonts w:cs="Tahoma"/>
          <w:szCs w:val="18"/>
        </w:rPr>
      </w:pPr>
      <w:r w:rsidRPr="001B45E1">
        <w:rPr>
          <w:rFonts w:cs="Tahoma"/>
          <w:szCs w:val="18"/>
        </w:rPr>
        <w:tab/>
        <w:t>Tarımsal politikaların belirlenmesinde büyük öneme sahip olan güvenilir tarım istatistiklerinin oluşturulması için hem veri toplama ve işlemede hem de Çiftlik Muhasebe Veri Ağı, Çiftçi Kayıt Sistemi, Çiftlik Kayıt Sistemi ve Tarımsal İzleme ve Bilgi Sistemi gibi sistemlerin işletilmesinde Gıda, Tarım ve Hayvancılık Bakanlığı, Orman ve Su İşleri Bakanlığı ve TÜİK’in merkez ve taşra teşkilatlarının kapasitelerinin birbirini tamamlayıcı şekilde geliştirilmesi ihtiyacı bulunmaktadır.</w:t>
      </w:r>
    </w:p>
    <w:p w:rsidR="00565FD5" w:rsidRPr="001B45E1" w:rsidRDefault="00565FD5" w:rsidP="00565FD5">
      <w:pPr>
        <w:spacing w:after="180"/>
        <w:rPr>
          <w:b/>
          <w:szCs w:val="18"/>
        </w:rPr>
      </w:pPr>
      <w:r w:rsidRPr="001B45E1">
        <w:rPr>
          <w:b/>
          <w:szCs w:val="18"/>
        </w:rPr>
        <w:tab/>
        <w:t>Toprak ve Su Kaynakları</w:t>
      </w:r>
    </w:p>
    <w:p w:rsidR="00565FD5" w:rsidRPr="001B45E1" w:rsidRDefault="00565FD5" w:rsidP="00565FD5">
      <w:pPr>
        <w:spacing w:after="160"/>
        <w:rPr>
          <w:rFonts w:cs="Tahoma"/>
          <w:szCs w:val="18"/>
        </w:rPr>
      </w:pPr>
      <w:r w:rsidRPr="001B45E1">
        <w:rPr>
          <w:rFonts w:cs="Tahoma"/>
          <w:szCs w:val="18"/>
        </w:rPr>
        <w:tab/>
        <w:t xml:space="preserve">TÜİK verilerine göre, 2000 yılında 26,4 milyon hektar olan toplam tarım arazisi varlığı yüzde 10,5 oranında azalarak 2011 yılında 23,6 milyon hektara gerilemiştir. Bu miktarın </w:t>
      </w:r>
      <w:r w:rsidRPr="001B45E1">
        <w:rPr>
          <w:rFonts w:cs="Tahoma"/>
          <w:color w:val="000000"/>
          <w:szCs w:val="18"/>
        </w:rPr>
        <w:t xml:space="preserve">15,7 </w:t>
      </w:r>
      <w:r w:rsidRPr="001B45E1">
        <w:rPr>
          <w:rFonts w:cs="Tahoma"/>
          <w:szCs w:val="18"/>
        </w:rPr>
        <w:t>milyon hektarını ekilen, 4 milyon hektarını nadasa bırakılan, 0,8 milyon hektarını sebze yetiştirilen ve 3,1 milyon hektarını ise meyve, zeytin ağaçları ve bağcılık için ayrılan alanlar oluşturmaktadır. Hızlı şehirleşme ile turizm ve sanayi sektörlerindeki gelişmenin ortaya çıkardığı arazi ihtiyacı, tekrar üretilmesi mümkün olmayan bir üretim faktörü durumundaki tarım topraklarının varlığını olumsuz yönde etkilemektedir. Bununla birlikte, yanlış tarımsal faaliyetler ve arazinin kabiliyeti dışında kullanımı sonucu toprak yapısının bozulması da tarım arazilerinin tarım dışına çıkmasına neden olmaktadır. Tarımsal üretimin sürdürülebilirliği ve gıda güvenliği açısından tarım arazilerinin niteliklerinin bozulmasının önlenmesi, korunması ve geliştirilmesi için planlı kullanımın sağlanması önem arz etmektedir.</w:t>
      </w:r>
    </w:p>
    <w:p w:rsidR="00565FD5" w:rsidRPr="001B45E1" w:rsidRDefault="00565FD5" w:rsidP="00565FD5">
      <w:pPr>
        <w:spacing w:after="160"/>
        <w:rPr>
          <w:rFonts w:cs="Tahoma"/>
          <w:szCs w:val="18"/>
        </w:rPr>
      </w:pPr>
      <w:r w:rsidRPr="001B45E1">
        <w:rPr>
          <w:rFonts w:cs="Tahoma"/>
        </w:rPr>
        <w:tab/>
        <w:t xml:space="preserve">2011 yılında, Devlet Su İşleri (DSİ) Genel Müdürlüğünce büyük su işi projeleri kapsamında inşa edilen 9 adet sulama amaçlı baraj, 20 adet sulama tesisi bitirilmiş, 11 adet sulama barajı ile 31 adet sulama tesisi ise ihale edilmiştir. Ayrıca yine 2011 yılında küçük su işleri kapsamında, 35 adet gölet ve/veya gölet sulaması tamamlanırken, 71 adet gölet ve/veya gölet sulaması </w:t>
      </w:r>
      <w:r w:rsidRPr="001B45E1">
        <w:rPr>
          <w:rFonts w:cs="Tahoma"/>
        </w:rPr>
        <w:lastRenderedPageBreak/>
        <w:t xml:space="preserve">ihale edilmiştir. Böylece, 2011 yılı sonu itibarıyla DSİ tarafından 2.210 sulama tesisi tamamlanarak 2.090.192 hektar büyük su işi, 672.775 hektar küçük su işi projeleri kapsamında olmak üzere toplam 2.762.967 hektar net sulama alanı işletmeye açılmıştır. Bu alanın 2.209.436 hektarını oluşturan 740 adet sulama tesisi çeşitli kuruluşlara devredilmiş bulunmaktadır. Bu tesislerden, toplam sahanın 1.964.883 hektarını devralan 373 sulama birliği ile 109.419 hektarını devralan 124 kooperatife, işlevlerine uygun bir hukuki çerçeve kazandırmak </w:t>
      </w:r>
      <w:r w:rsidRPr="001B45E1">
        <w:rPr>
          <w:rFonts w:cs="Tahoma"/>
          <w:color w:val="000000"/>
        </w:rPr>
        <w:t>amacıyla hazırlanan ve 2011 yılında yürürlüğe giren 6172 sayılı Sulama Birlikleri Kanununda yer alan Sulama Birliklerinin kuruluş ve işleyişini düzenleyen Çerçeve Ana Statü’ye yönelik çalışmalar 2012 yılında tamamlanmıştır.</w:t>
      </w:r>
    </w:p>
    <w:p w:rsidR="00565FD5" w:rsidRPr="001B45E1" w:rsidRDefault="00565FD5" w:rsidP="00565FD5">
      <w:pPr>
        <w:spacing w:after="160"/>
        <w:rPr>
          <w:bCs/>
        </w:rPr>
      </w:pPr>
      <w:r w:rsidRPr="001B45E1">
        <w:rPr>
          <w:rFonts w:cs="Tahoma"/>
        </w:rPr>
        <w:tab/>
        <w:t>2008-2012 dönemini kapsayan</w:t>
      </w:r>
      <w:r w:rsidRPr="001B45E1">
        <w:rPr>
          <w:rFonts w:cs="Tahoma"/>
          <w:color w:val="000000"/>
        </w:rPr>
        <w:t xml:space="preserve"> </w:t>
      </w:r>
      <w:r w:rsidRPr="001B45E1">
        <w:t xml:space="preserve">GAP Eylem Planı çerçevesinde sulama altyapısına yönelik olarak öncelikle depolama ve sulama ana kanallarına yönelik yatırımlar gerçekleştirilmiştir. </w:t>
      </w:r>
      <w:r w:rsidRPr="001B45E1">
        <w:rPr>
          <w:rFonts w:cs="Tahoma"/>
          <w:szCs w:val="18"/>
        </w:rPr>
        <w:t xml:space="preserve">Bu </w:t>
      </w:r>
      <w:r w:rsidRPr="001B45E1">
        <w:rPr>
          <w:rFonts w:cs="Tahoma"/>
          <w:color w:val="000000"/>
          <w:szCs w:val="18"/>
        </w:rPr>
        <w:t xml:space="preserve">kapsamda yer alan projelerle yapılması öngörülen toplam 1.232 km uzunluğundaki ana kanalların 639 km’sinin ihale süreçleri tamamlanarak inşaatlarına başlanmıştır. Silvan Projesi kapsamında yer alan Silvan Barajında 2011 yılında işe başlanmış olup, inşaatı devam etmektedir. Silvan Tüneli inşaatında Mart 2012’de, Babakaya Tüneli inşaatında Temmuz 2012’de sözleşme imzalanarak işe başlanmıştır.  Pamukçay Barajının 2012’de tamamlanması beklenmektedir. </w:t>
      </w:r>
      <w:r w:rsidRPr="001B45E1">
        <w:rPr>
          <w:rFonts w:cs="Tahoma"/>
        </w:rPr>
        <w:t>Adıyaman–Göksu-Araban Projesi kapsamındaki Çetintepe Barajının Ağustos 2012 itibarıyla ihale süreci başlamıştır. 71 km’lik Aşağı Mardin Ana Kanalı 1. ve 2. Kısım İnşaatı işleri 2012 yılında tamamlanmıştır. Aşağı Mardin Ana Kanalı 3. Kısım İnşaatı işi de 2013</w:t>
      </w:r>
      <w:r>
        <w:rPr>
          <w:rFonts w:cs="Tahoma"/>
        </w:rPr>
        <w:t xml:space="preserve"> yılında</w:t>
      </w:r>
      <w:r w:rsidRPr="001B45E1">
        <w:rPr>
          <w:rFonts w:cs="Tahoma"/>
        </w:rPr>
        <w:t xml:space="preserve"> tamamlanacaktır. 37.353 hektarlık Batman II. Merhale ve 10.164 hektarlık Belkıs-Nizip Pompaj Sulaması Projelerinin 2013 yılında bitirilmesi programlanmıştır. </w:t>
      </w:r>
      <w:r w:rsidRPr="001B45E1">
        <w:rPr>
          <w:rFonts w:cs="Tahoma"/>
          <w:color w:val="000000"/>
          <w:szCs w:val="18"/>
        </w:rPr>
        <w:t>GAP’ın önemli bileşenlerinden biri olan Koçali Barajında planlama revizyon çalışmaları tamamlanmış olup, Barajın 2013 yılında ihale edilmesi planlanmaktadır. Diğer yandan, GAP Eylem Planının revizyon çalışmaları başlatılmış olup,</w:t>
      </w:r>
      <w:r w:rsidRPr="001B45E1">
        <w:t xml:space="preserve"> 2013-2017 dönemini </w:t>
      </w:r>
      <w:r w:rsidRPr="001B45E1">
        <w:rPr>
          <w:bCs/>
        </w:rPr>
        <w:t>kapsaması öngörülen yeni dönemde önceki beş yıllık dönemde başlanan projelerin sulama şebekelerinin ihale edilerek tamamlanması ve tarımsal üretim artışıyla birlikte bölgedeki ekonomik ve sosyal faaliyetlerin genişlemesi beklenmektedir.</w:t>
      </w:r>
    </w:p>
    <w:p w:rsidR="00565FD5" w:rsidRPr="001B45E1" w:rsidRDefault="00565FD5" w:rsidP="00565FD5">
      <w:pPr>
        <w:spacing w:after="160"/>
        <w:rPr>
          <w:rFonts w:cs="Tahoma"/>
          <w:szCs w:val="18"/>
        </w:rPr>
      </w:pPr>
      <w:r w:rsidRPr="001B45E1">
        <w:rPr>
          <w:rFonts w:cs="Tahoma"/>
          <w:szCs w:val="18"/>
        </w:rPr>
        <w:tab/>
        <w:t xml:space="preserve">2007-2011 dönemindeki son beş yılda her yıl ortalama 69 bin hektarlık bir sahada su kaynağı yetersizliği nedeniyle sulama yapılamaması, su tüketiminde etkinliğin artırılması gereğini öne çıkarmaktadır. Diğer yandan, </w:t>
      </w:r>
      <w:r w:rsidRPr="001B45E1">
        <w:rPr>
          <w:rFonts w:cs="Tahoma"/>
          <w:szCs w:val="18"/>
        </w:rPr>
        <w:lastRenderedPageBreak/>
        <w:t>iklim değişikliğinin etkileri de dikkate alındığında, sulama projelerinde planlamaların su kaynaklarının yetersizliği yönüyle gözden geçirilme ihtiyacı bulunmaktadır.</w:t>
      </w:r>
    </w:p>
    <w:p w:rsidR="00565FD5" w:rsidRPr="001B45E1" w:rsidRDefault="00565FD5" w:rsidP="00565FD5">
      <w:pPr>
        <w:spacing w:after="160"/>
        <w:rPr>
          <w:rFonts w:cs="Tahoma"/>
        </w:rPr>
      </w:pPr>
      <w:r w:rsidRPr="001B45E1">
        <w:rPr>
          <w:rFonts w:cs="Tahoma"/>
          <w:szCs w:val="18"/>
        </w:rPr>
        <w:tab/>
        <w:t xml:space="preserve">Bunun yanı sıra, Gıda, Tarım ve Hayvancılık Bakanlığı tarafından yürütülen arazi toplulaştırma ve tarla içi geliştirme hizmetlerine, GAP Eylem Planının uygulamaya başlanılmasıyla önemli bir ivme kazandırılmıştır. Bu kapsamda GAP illerinde toplam 2,1 milyon hektar alanda toplulaştırma ve tarla içi geliştirme hizmetleri programlanmış olup 2012 yılı itibarıyla 1,8 milyon hektar alandaki çalışmalar tamamlanmıştır. Benzer şekilde, Konya Ovası Projesi (KOP) kapsamındaki illerde </w:t>
      </w:r>
      <w:r w:rsidRPr="001B45E1">
        <w:rPr>
          <w:rFonts w:cs="Tahoma"/>
        </w:rPr>
        <w:t xml:space="preserve">toplam 505 bin hektar alanın toplulaştırılması için Yatırım Programında proje yer almaktadır. Bu çerçevede, söz konusu Bölge illerinde 51 bin hektar alanın toplulaştırması tamamlanmış olup 228 bin hektar alanda </w:t>
      </w:r>
      <w:r>
        <w:rPr>
          <w:rFonts w:cs="Tahoma"/>
        </w:rPr>
        <w:t xml:space="preserve">çalışmalara devam edilmektedir. </w:t>
      </w:r>
      <w:r w:rsidRPr="001B45E1">
        <w:rPr>
          <w:rFonts w:cs="Tahoma"/>
        </w:rPr>
        <w:t>DAP ilerinde ise 40 bin hektar arazinin toplulaştırması tamamlanmış olup 254 bin hektar alanda çalışmalara devam edilmektedir.</w:t>
      </w:r>
    </w:p>
    <w:p w:rsidR="00565FD5" w:rsidRPr="001B45E1" w:rsidRDefault="00565FD5" w:rsidP="00565FD5">
      <w:pPr>
        <w:spacing w:after="160"/>
        <w:rPr>
          <w:rFonts w:cs="Tahoma"/>
          <w:bCs/>
          <w:szCs w:val="18"/>
        </w:rPr>
      </w:pPr>
      <w:r w:rsidRPr="001B45E1">
        <w:rPr>
          <w:rFonts w:cs="Tahoma"/>
          <w:szCs w:val="18"/>
        </w:rPr>
        <w:tab/>
        <w:t>Toplulaştırmaya ilişkin son yıllarda yaşanan gelişmelere paralel olarak, Gıda, Tarım ve Hayvancılık Bakanlığı tarafından 2012 yılında 1,12 milyon hektar alanda toplulaştırmanın tamamlanması ve toplulaştırılan kümüla</w:t>
      </w:r>
      <w:r>
        <w:rPr>
          <w:rFonts w:cs="Tahoma"/>
          <w:szCs w:val="18"/>
        </w:rPr>
        <w:t>tif alanın yıl</w:t>
      </w:r>
      <w:r w:rsidRPr="001B45E1">
        <w:rPr>
          <w:rFonts w:cs="Tahoma"/>
          <w:szCs w:val="18"/>
        </w:rPr>
        <w:t xml:space="preserve">sonu itibarıyla 2,78 milyon hektar olarak gerçekleşmesi beklenmekte olup bu rakamın 2013 yılı sonunda 3,7 milyon hektara ulaşması öngörülmektedir. Bu kapsamda, Dokuzuncu Kalkınma Planı dönemi sonunda ulaşılması hedeflenen 1,27 milyon hektar kümülatif toplulaştırılmış alan hedefinin oldukça üzerine çıkılmıştır.  </w:t>
      </w:r>
    </w:p>
    <w:p w:rsidR="00565FD5" w:rsidRPr="001B45E1" w:rsidRDefault="00565FD5" w:rsidP="00565FD5">
      <w:pPr>
        <w:spacing w:after="160"/>
        <w:rPr>
          <w:rFonts w:cs="Tahoma"/>
          <w:szCs w:val="18"/>
        </w:rPr>
      </w:pPr>
      <w:r w:rsidRPr="001B45E1">
        <w:rPr>
          <w:rFonts w:cs="Tahoma"/>
          <w:szCs w:val="18"/>
        </w:rPr>
        <w:tab/>
        <w:t xml:space="preserve">Diğer taraftan, 5403 sayılı Toprak Koruma ve Arazi Kullanımı Kanunuyla Gıda, Tarım ve Hayvancılık Bakanlığının yanı sıra diğer bakanlıklara, kamu kurum ve kuruluşlarına, yerel idarelere ve üretici örgütlerine arazi toplulaştırma yapma yetkisi verilmiş olup Gıda, Tarım ve Hayvancılık Bakanlığı haricindeki kurum ve kuruluşlar tarafından yürütülen toplulaştırma çalışmalarına ilişkin verilerin izlenmesi gerekli görülmektedir. </w:t>
      </w:r>
    </w:p>
    <w:p w:rsidR="00565FD5" w:rsidRPr="001B45E1" w:rsidRDefault="00565FD5" w:rsidP="00565FD5">
      <w:pPr>
        <w:spacing w:after="160"/>
        <w:rPr>
          <w:b/>
        </w:rPr>
      </w:pPr>
      <w:r w:rsidRPr="001B45E1">
        <w:rPr>
          <w:b/>
        </w:rPr>
        <w:tab/>
        <w:t>Bitkisel Üretim</w:t>
      </w:r>
    </w:p>
    <w:p w:rsidR="00565FD5" w:rsidRPr="001B45E1" w:rsidRDefault="00565FD5" w:rsidP="00565FD5">
      <w:pPr>
        <w:ind w:firstLine="426"/>
        <w:rPr>
          <w:color w:val="000000"/>
        </w:rPr>
      </w:pPr>
      <w:r w:rsidRPr="001B45E1">
        <w:rPr>
          <w:color w:val="000000"/>
        </w:rPr>
        <w:t xml:space="preserve">TÜİK’in verilerine göre, 2011 yılı üretim miktarlarıyla kıyaslandığında 2012 yılı tahıl üretiminde yüzde 5,2 oranında azalış, sebzelerde yüzde 1,4 ve </w:t>
      </w:r>
      <w:r w:rsidRPr="001B45E1">
        <w:rPr>
          <w:color w:val="000000"/>
        </w:rPr>
        <w:lastRenderedPageBreak/>
        <w:t xml:space="preserve">meyvelerde yüzde 6,4 oranında artış beklenmektedir. Tahıl üretimindeki azalışın yağış rejimindeki dalgalanmalardan kaynaklandığı tahmin edilmekte olup uzun dönem ortalamaları dikkate alındığında üretim seviyesinin fazla değişmediği görülmektedir. </w:t>
      </w:r>
    </w:p>
    <w:p w:rsidR="00565FD5" w:rsidRPr="001B45E1" w:rsidRDefault="00565FD5" w:rsidP="00565FD5">
      <w:pPr>
        <w:ind w:firstLine="426"/>
        <w:rPr>
          <w:color w:val="000000"/>
        </w:rPr>
      </w:pPr>
      <w:r w:rsidRPr="001B45E1">
        <w:rPr>
          <w:color w:val="000000"/>
        </w:rPr>
        <w:t>Son 10 yıllık dönemde tarımsal üretimde kullanılan alanların azalmasına karşılık, tarım sektöründeki büyüme ve tarımsal üretim değeri artışının en önemli nedeni birim alanlardan elde edilen verimlerin artmasıdır. Bu artışta en önemli unsurların, sertifikalı tohum kullanımı, daha bilinçli tarımsal üretim metotlarının kullanılması, arazi toplulaştırma çalışmaları ve sulama olduğu değerlendirilmektedir. 2000’li yılların başında dekara verimi 210-220 kg düzeyinde olan buğday ve arpa gibi hububatların ortalama verim düzeyi 2011 yılında 270 kg düzeyine çıkmıştır. Benzer şekilde</w:t>
      </w:r>
      <w:r>
        <w:rPr>
          <w:color w:val="000000"/>
        </w:rPr>
        <w:t>,</w:t>
      </w:r>
      <w:r w:rsidRPr="001B45E1">
        <w:rPr>
          <w:color w:val="000000"/>
        </w:rPr>
        <w:t xml:space="preserve"> 2000</w:t>
      </w:r>
      <w:r>
        <w:rPr>
          <w:color w:val="000000"/>
        </w:rPr>
        <w:t>'li yılların başı</w:t>
      </w:r>
      <w:r w:rsidRPr="001B45E1">
        <w:rPr>
          <w:color w:val="000000"/>
        </w:rPr>
        <w:t xml:space="preserve"> ile 2011 yılı dekar başına verim</w:t>
      </w:r>
      <w:r>
        <w:rPr>
          <w:color w:val="000000"/>
        </w:rPr>
        <w:t>leri</w:t>
      </w:r>
      <w:r w:rsidRPr="001B45E1">
        <w:rPr>
          <w:color w:val="000000"/>
        </w:rPr>
        <w:t xml:space="preserve"> karşılaştırıldığında; ortalama 350 kg olan kütlü pamuk verimi yaklaşık 470 kg’a, 150 kg düzeyinde olan ayçiçeği verimi 210 kg’a ve 4,2 ton olan şekerpancarı verimi 5,4 tona yükselmiştir. Mısır ve çeltikte de son on yıllık dönemde önemli verim artışları gözlenmektedir.</w:t>
      </w:r>
    </w:p>
    <w:p w:rsidR="00565FD5" w:rsidRPr="001B45E1" w:rsidRDefault="00565FD5" w:rsidP="00565FD5">
      <w:pPr>
        <w:spacing w:after="160"/>
        <w:ind w:firstLine="426"/>
        <w:rPr>
          <w:rFonts w:cs="Tahoma"/>
          <w:szCs w:val="18"/>
          <w:lang w:eastAsia="tr-TR"/>
        </w:rPr>
      </w:pPr>
      <w:r w:rsidRPr="001B45E1">
        <w:rPr>
          <w:rFonts w:cs="Tahoma"/>
          <w:szCs w:val="18"/>
          <w:lang w:eastAsia="tr-TR"/>
        </w:rPr>
        <w:t xml:space="preserve">Bitkisel üretimde verimlilik ve kaliteyi daha da artırmak amacıyla, genetik potansiyeli yüksek ve üstün vasıflı bitki çeşitlerine ait her türlü çoğaltım materyalinin standartlara uygun, zamanında, uygun fiyatlarla ve </w:t>
      </w:r>
      <w:r>
        <w:rPr>
          <w:rFonts w:cs="Tahoma"/>
          <w:szCs w:val="18"/>
          <w:lang w:eastAsia="tr-TR"/>
        </w:rPr>
        <w:t>yurtiçi</w:t>
      </w:r>
      <w:r w:rsidRPr="001B45E1">
        <w:rPr>
          <w:rFonts w:cs="Tahoma"/>
          <w:szCs w:val="18"/>
          <w:lang w:eastAsia="tr-TR"/>
        </w:rPr>
        <w:t xml:space="preserve"> üretimle karşılanması ve kullanımının yaygınlaştırılması hususu önemini korumaktadır.</w:t>
      </w:r>
    </w:p>
    <w:p w:rsidR="00565FD5" w:rsidRPr="001B45E1" w:rsidRDefault="00565FD5" w:rsidP="00565FD5">
      <w:pPr>
        <w:spacing w:after="160"/>
        <w:ind w:firstLine="426"/>
      </w:pPr>
      <w:r w:rsidRPr="001B45E1">
        <w:t>Genetik yapısı değiştirilmiş organizmalar ve ürünlerden kaynaklanabilecek risklerin önlenmesi ve insan, hayvan ve bitki sağlığı ile çevre ve biyolojik çeşitliliğin korunması amacıyla 5977 sayılı Biyogüvenlik Kanunu ve ilgili yönetmeliklerce tanımlanan biyogüvenlik sistemi çerçevesinde söz konusu ürünlerle ilgili izlenebilirliğin sağlanması ile  kontrol ve denetim sisteminin etkin şekilde yürütülmesi hususları önem arz etmektedir.</w:t>
      </w:r>
    </w:p>
    <w:p w:rsidR="00565FD5" w:rsidRPr="001B45E1" w:rsidRDefault="00565FD5" w:rsidP="00565FD5">
      <w:pPr>
        <w:spacing w:after="160"/>
        <w:rPr>
          <w:rFonts w:cs="Tahoma"/>
          <w:szCs w:val="18"/>
        </w:rPr>
      </w:pPr>
      <w:r w:rsidRPr="001B45E1">
        <w:rPr>
          <w:rFonts w:cs="Tahoma"/>
          <w:szCs w:val="18"/>
        </w:rPr>
        <w:tab/>
        <w:t xml:space="preserve">Organik tarımsal üretimin ve pazarlamanın düzenlenmesi ve geliştirilmesine ilişkin zaman içinde duyulan iyileştirme ihtiyaçları dikkate alınarak hazırlanan Organik Tarımın Esasları ve Uygulanmasına İlişkin Yönetmelikte Değişiklik Yapılmasına Dair Yönetmelik, 14/08/2012 tarihli ve 28384 sayılı </w:t>
      </w:r>
      <w:r>
        <w:rPr>
          <w:rFonts w:cs="Tahoma"/>
          <w:szCs w:val="18"/>
        </w:rPr>
        <w:t>Resmi Gazete'de</w:t>
      </w:r>
      <w:r w:rsidRPr="001B45E1">
        <w:rPr>
          <w:rFonts w:cs="Tahoma"/>
          <w:szCs w:val="18"/>
        </w:rPr>
        <w:t xml:space="preserve"> yayımlanarak yürürlüğe girmiştir. Bununla birlikte, başta kontrol ve denetime yönelik hizmetlerin artırılması olmak üzere, istatistiki altyapı da dâhil izlenebilirliğin iyileştirilmesi, eğitim ve yayım hizmetleri ile </w:t>
      </w:r>
      <w:r w:rsidRPr="001B45E1">
        <w:rPr>
          <w:rFonts w:cs="Tahoma"/>
          <w:szCs w:val="18"/>
        </w:rPr>
        <w:lastRenderedPageBreak/>
        <w:t>kurumsal kapasitenin geliştirilmesi hususları önemini korumaktadır. Bu kapsamda ulusal düzeyde organik</w:t>
      </w:r>
      <w:r w:rsidRPr="001B45E1">
        <w:t xml:space="preserve"> tarımın geliştirilmesine ve yaygınlaştırılmasına yönelik bir </w:t>
      </w:r>
      <w:r w:rsidRPr="001B45E1">
        <w:rPr>
          <w:rFonts w:cs="Tahoma"/>
          <w:szCs w:val="18"/>
        </w:rPr>
        <w:t xml:space="preserve">strateji ve </w:t>
      </w:r>
      <w:r w:rsidRPr="001B45E1">
        <w:t xml:space="preserve">eylem planı Gıda, Tarım ve Hayvancılık Bakanlığı tarafından </w:t>
      </w:r>
      <w:r w:rsidRPr="001B45E1">
        <w:rPr>
          <w:rFonts w:cs="Tahoma"/>
          <w:szCs w:val="18"/>
        </w:rPr>
        <w:t>hazırlanmış olup eylemleri uygulamaya yönelik çalışmaların</w:t>
      </w:r>
      <w:r>
        <w:rPr>
          <w:rFonts w:cs="Tahoma"/>
          <w:szCs w:val="18"/>
        </w:rPr>
        <w:t xml:space="preserve"> </w:t>
      </w:r>
      <w:r w:rsidRPr="001B45E1">
        <w:rPr>
          <w:rFonts w:cs="Tahoma"/>
          <w:szCs w:val="18"/>
        </w:rPr>
        <w:t>2013 yılı itibarıyla başlatılması beklenmektedir.</w:t>
      </w:r>
    </w:p>
    <w:p w:rsidR="00565FD5" w:rsidRPr="001B45E1" w:rsidRDefault="00565FD5" w:rsidP="00565FD5">
      <w:pPr>
        <w:autoSpaceDE w:val="0"/>
        <w:autoSpaceDN w:val="0"/>
        <w:adjustRightInd w:val="0"/>
        <w:spacing w:after="120"/>
        <w:rPr>
          <w:rFonts w:cs="Tahoma"/>
          <w:szCs w:val="18"/>
        </w:rPr>
      </w:pPr>
      <w:r w:rsidRPr="001B45E1">
        <w:rPr>
          <w:rFonts w:cs="Tahoma"/>
          <w:szCs w:val="18"/>
        </w:rPr>
        <w:tab/>
        <w:t xml:space="preserve">Bitki sağlığı alanında ithalat da dâhil koruma ürünlerinin ruhsatlandırılması ve izlenmesine ilişkin altyapının geliştirilmesi, bir referans laboratuvarının kurulması ve üreticilerde farkındalığın oluşturulmasına yönelik yayım hizmetlerinin yürütülmesi hususları önemini korumaktadır. </w:t>
      </w:r>
    </w:p>
    <w:p w:rsidR="00565FD5" w:rsidRPr="001B45E1" w:rsidRDefault="00565FD5" w:rsidP="00565FD5">
      <w:pPr>
        <w:spacing w:before="120" w:after="180"/>
        <w:rPr>
          <w:rFonts w:cs="Tahoma"/>
          <w:szCs w:val="18"/>
        </w:rPr>
      </w:pPr>
      <w:r w:rsidRPr="001B45E1">
        <w:rPr>
          <w:rFonts w:cs="Tahoma"/>
          <w:szCs w:val="18"/>
        </w:rPr>
        <w:tab/>
        <w:t>Ticarete konu sebze ve meyveler ile arz ve talep derinliğine göre belirlenecek diğer gıda maddeleri ile kesme çiçek ve süs bitkilerinin ticaretinin düzenlenmesi hakkındaki 5957 sayılı Kanun uyarınca 2012 yılı ortalarında Sebze ve Meyve Ticareti ve Toptancı Halleri Hakkında Yönetmelik ile Meyve ve Sebze Üretici Örgütleri Hakkında Yönetmelik yürürlüğe girmiştir. Söz konusu ikincil mevzuatla, bitkisel ürünlerde pazarlama standardının olmaması, etkin ürün izleme sisteminin bulunmaması gibi başlıca sorunların çözümü ile çok çeşitli konularda faaliyet göstermesi öngörülen ve yüksek sayıdaki üretici örgütlerinin ürün pazarlamadaki etkinliklerini geliştirmesi beklenmektedir.</w:t>
      </w:r>
    </w:p>
    <w:p w:rsidR="00565FD5" w:rsidRPr="001B45E1" w:rsidRDefault="00565FD5" w:rsidP="00565FD5">
      <w:pPr>
        <w:spacing w:before="120" w:after="180"/>
        <w:rPr>
          <w:rFonts w:cs="Tahoma"/>
          <w:szCs w:val="18"/>
        </w:rPr>
      </w:pPr>
      <w:r w:rsidRPr="001B45E1">
        <w:rPr>
          <w:rFonts w:cs="Tahoma"/>
          <w:szCs w:val="18"/>
        </w:rPr>
        <w:tab/>
        <w:t>Ürün borsalarının kurumsal ve finansal kapasitelerinin yeterince gelişmemiş olmasından dolayı tarımsal ürünlerde istikrarlı fiyatlar oluşamamaktadır. Bu nedenle, Vadeli İşlem ve Opsiyon Borsasında (VOB), fiyatı baz alınabilecek ürün çeşidi az sayıda kalmakta ve baz alınan fiyata dayalı vadeli işlem sözleşmeleri de kısıtlı hacimde işlem görebilmektedir.</w:t>
      </w:r>
      <w:r w:rsidRPr="001B45E1">
        <w:rPr>
          <w:iCs/>
        </w:rPr>
        <w:t xml:space="preserve"> </w:t>
      </w:r>
      <w:r w:rsidRPr="001B45E1">
        <w:rPr>
          <w:rFonts w:cs="Tahoma"/>
          <w:szCs w:val="18"/>
        </w:rPr>
        <w:t xml:space="preserve">2011 yılında Toprak Mahsulleri Ofisi ile Türkiye Odalar ve Borsalar Birliği ortaklığında buğday üzerinde faaliyet yürütmek üzere TMO-TOBB Lisanslı Depoculuk Anonim Şirketi (LİDAŞ) kurulmuştur. 2012 yılında Ankara’nın Polatlı ve Gölbaşı ilçeleri ile Kırklareli’nin Lüleburgaz ilçesinde toplam 90 bin ton depo için ruhsat alan LİDAŞ, yıl içerisinde toplam 30 bin ton alım gerçekleştirmiş olup bu rakamın önümüzdeki yıllarda artması öngörülmektedir. </w:t>
      </w:r>
      <w:r w:rsidRPr="001B45E1">
        <w:rPr>
          <w:iCs/>
        </w:rPr>
        <w:t>İzmir’de pamuk üzerine lisanslı depolar kurulması yönünde somut gelişmeler olmakla birlikte henüz aktif uygulama aşamasına geçilememiştir.</w:t>
      </w:r>
    </w:p>
    <w:p w:rsidR="00565FD5" w:rsidRPr="001B45E1" w:rsidRDefault="00565FD5" w:rsidP="00565FD5">
      <w:pPr>
        <w:spacing w:after="160"/>
        <w:rPr>
          <w:rFonts w:cs="Tahoma"/>
          <w:szCs w:val="18"/>
        </w:rPr>
      </w:pPr>
      <w:r w:rsidRPr="001B45E1">
        <w:rPr>
          <w:rFonts w:cs="Tahoma"/>
          <w:szCs w:val="18"/>
        </w:rPr>
        <w:tab/>
        <w:t xml:space="preserve">Biyoyakıtlara ilişkin 2011 yılında yapılan düzenlemelerle yerli tarım ürünlerinden üretilmiş </w:t>
      </w:r>
      <w:r w:rsidRPr="001B45E1">
        <w:t xml:space="preserve">biyoetanol ile piyasaya akaryakıt olarak arz edilen benzin </w:t>
      </w:r>
      <w:r w:rsidRPr="001B45E1">
        <w:lastRenderedPageBreak/>
        <w:t xml:space="preserve">türlerinin 01/01/2013 tarihinden itibaren en az yüzde 2 ve yerli tarım ürünlerinden üretilmiş biyodizelin piyasaya akaryakıt olarak arz edilen motorin türleriyle 01/01/2014 tarihi itibarıyla en az yüzde 1 oranında harmanlanması </w:t>
      </w:r>
      <w:r w:rsidRPr="001B45E1">
        <w:rPr>
          <w:rFonts w:cs="Tahoma"/>
          <w:szCs w:val="18"/>
        </w:rPr>
        <w:t>zorunlu hale getirilmiştir. Zorunlu harmanlama oranı uygulamasının, bazı tarımsal ürünlerin üretiminde artış ile bunların tarıma dayalı sanayide işlenerek değerlendirilmesi yanında</w:t>
      </w:r>
      <w:r>
        <w:rPr>
          <w:rFonts w:cs="Tahoma"/>
          <w:szCs w:val="18"/>
        </w:rPr>
        <w:t>,</w:t>
      </w:r>
      <w:r w:rsidRPr="001B45E1">
        <w:rPr>
          <w:rFonts w:cs="Tahoma"/>
          <w:szCs w:val="18"/>
        </w:rPr>
        <w:t xml:space="preserve"> çiftçi gelirlerinin arttırılmasına olumlu katkı sağlaması mümkün olmakla birlikte, başta arz açığı bulunan yağlı tohumlu bitkiler olmak üzere, diğer ürünlerin ekim alanlarını etkileyebileceği ve dolayısıyla ithalatı tetikleyeceği değerlendirilmektedir. </w:t>
      </w:r>
    </w:p>
    <w:p w:rsidR="00565FD5" w:rsidRPr="001B45E1" w:rsidRDefault="00565FD5" w:rsidP="00565FD5">
      <w:pPr>
        <w:spacing w:after="160"/>
        <w:rPr>
          <w:rFonts w:cs="Tahoma"/>
          <w:b/>
          <w:bCs/>
          <w:szCs w:val="18"/>
        </w:rPr>
      </w:pPr>
      <w:r w:rsidRPr="001B45E1">
        <w:rPr>
          <w:rFonts w:cs="Tahoma"/>
          <w:b/>
          <w:bCs/>
          <w:szCs w:val="18"/>
        </w:rPr>
        <w:tab/>
        <w:t xml:space="preserve">Hayvancılık </w:t>
      </w:r>
    </w:p>
    <w:p w:rsidR="00565FD5" w:rsidRPr="001B45E1" w:rsidRDefault="00565FD5" w:rsidP="00565FD5">
      <w:pPr>
        <w:spacing w:after="140"/>
        <w:rPr>
          <w:rFonts w:cs="Tahoma"/>
          <w:szCs w:val="18"/>
        </w:rPr>
      </w:pPr>
      <w:r w:rsidRPr="001B45E1">
        <w:rPr>
          <w:rFonts w:cs="Tahoma"/>
          <w:szCs w:val="18"/>
        </w:rPr>
        <w:tab/>
        <w:t xml:space="preserve">Ülkemizde birim hayvan başına elde edilen verim düzeyleri, hayvancılığın gelişmiş olduğu ülkelere göre düşük seviyelerde olup TÜİK’in 2011 yılı verilerine göre sığır karkas ağırlığı ortalama 251 kg iken inek başına süt verimi yaklaşık 2.900 kg/laktasyon düzeyindedir. Gelişmiş ülkelerde ise bu miktarlar sırasıyla 270-280 kg karkas ve 5.000-6.000 kg/laktasyon civarındadır. </w:t>
      </w:r>
    </w:p>
    <w:p w:rsidR="00565FD5" w:rsidRPr="001B45E1" w:rsidRDefault="00565FD5" w:rsidP="00565FD5">
      <w:pPr>
        <w:spacing w:after="140"/>
        <w:rPr>
          <w:rFonts w:cs="Tahoma"/>
          <w:szCs w:val="18"/>
        </w:rPr>
      </w:pPr>
      <w:r w:rsidRPr="001B45E1">
        <w:rPr>
          <w:rFonts w:cs="Tahoma"/>
          <w:szCs w:val="18"/>
        </w:rPr>
        <w:tab/>
        <w:t xml:space="preserve">Ülkemizdeki 2011 yılı itibarıyla toplam 12,5 milyon baş olan sığır mevcudunun yüzde 41’i kültür melezi sığırlarından, yüzde 39’u ise saf kültür ırkı sığırlarından oluşmaktadır. Toplam 24 milyon baş olan koyun varlığının ise, yüzde 95,1’ini verimi görece düşük olan yerli koyunlar oluşturmaktadır. Bu kapsamda, hayvan ıslahı ve nitelikli damızlık sığır elde edilebilmesi amacıyla, 2012 yılında suni tohumlama metoduyla yaklaşık 3,5 milyon baş sığır tohumlanması programlanmış olup 2012 yılı Eylül ayı sonu itibarıyla suni tohumlama sayısı yaklaşık 1,8 milyon adet olarak gerçekleşmiştir. Yıl sonuna kadar bu sayının 2,5 milyon düzeyine çıkması </w:t>
      </w:r>
      <w:r>
        <w:rPr>
          <w:rFonts w:cs="Tahoma"/>
          <w:szCs w:val="18"/>
        </w:rPr>
        <w:t xml:space="preserve">ve </w:t>
      </w:r>
      <w:r w:rsidRPr="001B45E1">
        <w:rPr>
          <w:rFonts w:cs="Tahoma"/>
          <w:szCs w:val="18"/>
        </w:rPr>
        <w:t xml:space="preserve">gerçekleşmenin programlanan düzeyin altında kalması beklenmektedir. Geçmiş yıllardaki ithalat seviyesine yakın bir şekilde 2010 yılında 25.301 baş olan damızlık gebe düve ithalatı 2011 yılında 78.565 başa ulaşmış ve bu miktar 2012 yılı Ağustos ayı sonu itibarıyla 32.759 olarak gerçekleşmiştir. Bu durumun, </w:t>
      </w:r>
      <w:r>
        <w:rPr>
          <w:rFonts w:cs="Tahoma"/>
          <w:szCs w:val="18"/>
        </w:rPr>
        <w:t>yurtiçi</w:t>
      </w:r>
      <w:r w:rsidRPr="001B45E1">
        <w:rPr>
          <w:rFonts w:cs="Tahoma"/>
          <w:szCs w:val="18"/>
        </w:rPr>
        <w:t xml:space="preserve"> damızlık hayvan ihtiyacının karşılanması, büyük ölçekli işletmelerin sayısal olarak artırılması ve etçi ırk hayvan yetiştiriciliğinin yaygınlaştırılmasıyla et üretimine katkıda bulunduğu düşünülmektedir. </w:t>
      </w:r>
    </w:p>
    <w:p w:rsidR="00565FD5" w:rsidRPr="001B45E1" w:rsidRDefault="00565FD5" w:rsidP="00565FD5">
      <w:pPr>
        <w:spacing w:after="140"/>
        <w:rPr>
          <w:rFonts w:cs="Tahoma"/>
          <w:szCs w:val="18"/>
        </w:rPr>
      </w:pPr>
      <w:r w:rsidRPr="001B45E1">
        <w:rPr>
          <w:rFonts w:cs="Tahoma"/>
          <w:szCs w:val="18"/>
        </w:rPr>
        <w:tab/>
        <w:t xml:space="preserve">Suni tohumlama uygulamalarındaki olumlu gelişmeler ve damızlık hayvan ithalatının sürdürülmesi Türkiye’nin sütçü ırk sığır varlığı </w:t>
      </w:r>
      <w:r w:rsidRPr="001B45E1">
        <w:rPr>
          <w:rFonts w:cs="Tahoma"/>
          <w:szCs w:val="18"/>
        </w:rPr>
        <w:lastRenderedPageBreak/>
        <w:t>kompozisyonunda da iyileştirmeyi beraberinde getirmekte olup, toplam sığır varlığı içerisindeki kültür ve kültür melezi hayvan oranı yüzde 80 seviyesine çıkmıştır. Bu durum özellikle süt üretiminde önemli artışlara neden olmaktadır. Nitekim</w:t>
      </w:r>
      <w:r>
        <w:rPr>
          <w:rFonts w:cs="Tahoma"/>
          <w:szCs w:val="18"/>
        </w:rPr>
        <w:t>,</w:t>
      </w:r>
      <w:r w:rsidRPr="001B45E1">
        <w:rPr>
          <w:rFonts w:cs="Tahoma"/>
          <w:szCs w:val="18"/>
        </w:rPr>
        <w:t xml:space="preserve"> 2007 yılında 12,3 milyon ton olan süt üretimi 2011 yılında 15,1 milyon ton düzeyine çıkmıştır. Bu gelişmenin, et ve süt hayvancılığının bağlantılı yapısı da dikkate alındığında, mevcut süt piyasasındaki dönemsel fiyat dalgalanmalarını artırabileceği değerlendirilmektedir.  </w:t>
      </w:r>
    </w:p>
    <w:p w:rsidR="00565FD5" w:rsidRPr="001B45E1" w:rsidRDefault="00565FD5" w:rsidP="00565FD5">
      <w:pPr>
        <w:spacing w:after="140"/>
        <w:rPr>
          <w:rFonts w:cs="Tahoma"/>
          <w:szCs w:val="18"/>
        </w:rPr>
      </w:pPr>
      <w:r w:rsidRPr="001B45E1">
        <w:rPr>
          <w:rFonts w:cs="Tahoma"/>
          <w:szCs w:val="18"/>
        </w:rPr>
        <w:tab/>
        <w:t>2009 yılı ikinci yarısından itibaren sürekli bir artış eğilimine giren kırmızı et fiyatlarının düşürülmesi için 2010 yılında başlatılan kasaplık canlı hayvan ve et ithalatı sürdürülmekte olup 2011 yılı ile 2012 yılı ilk 8 a</w:t>
      </w:r>
      <w:r>
        <w:rPr>
          <w:rFonts w:cs="Tahoma"/>
          <w:szCs w:val="18"/>
        </w:rPr>
        <w:t>yını kapsayan dönemde yaklaşık 5</w:t>
      </w:r>
      <w:r w:rsidRPr="001B45E1">
        <w:rPr>
          <w:rFonts w:cs="Tahoma"/>
          <w:szCs w:val="18"/>
        </w:rPr>
        <w:t xml:space="preserve">00 bin büyükbaş kasaplık canlı hayvan ile 1,7 milyon küçükbaş canlı hayvan ve 132 bin ton kırmızı et ithal edilmiştir. Kırmızı et üretimi amacıyla başta koyunculuk olmak üzere hayvan sayısının artırılması ve besiciliğin yaygınlaştırılması önemini korumaktadır. Ayrıca, diğer et üretim amaçlı hayvan yetiştiriciliğinin özendirilmesi ihtiyacı bulunmaktadır. Bunların yanı sıra, kırmızı ete olan talep baskısının azaltılması amacıyla, talebin tavuk, hindi ve balık gibi et türlerine yönlendirilmesi önemli bir seçenek olarak görülmektedir. </w:t>
      </w:r>
    </w:p>
    <w:p w:rsidR="00565FD5" w:rsidRPr="001B45E1" w:rsidRDefault="00565FD5" w:rsidP="00565FD5">
      <w:pPr>
        <w:spacing w:after="140"/>
        <w:rPr>
          <w:rFonts w:cs="Tahoma"/>
          <w:szCs w:val="18"/>
        </w:rPr>
      </w:pPr>
      <w:r w:rsidRPr="001B45E1">
        <w:rPr>
          <w:rFonts w:cs="Tahoma"/>
          <w:szCs w:val="18"/>
        </w:rPr>
        <w:tab/>
        <w:t>2011 yılında, ihracat avantajı da bulunan kanatlı hayvan eti üretimi, bir önceki yıla göre yüzde 11,7 oranında artarak 1,61 milyon ton olmuştur. Tavuk yumurtası üretimi ise 2011 yılında bir önceki yıla göre yüzde 9,4 oranında artarak yaklaşık 13 milyar adet olarak gerçekleşmiştir.</w:t>
      </w:r>
    </w:p>
    <w:p w:rsidR="00565FD5" w:rsidRPr="001B45E1" w:rsidRDefault="00565FD5" w:rsidP="00565FD5">
      <w:pPr>
        <w:spacing w:after="140"/>
        <w:rPr>
          <w:rFonts w:cs="Tahoma"/>
          <w:szCs w:val="18"/>
        </w:rPr>
      </w:pPr>
      <w:r w:rsidRPr="001B45E1">
        <w:rPr>
          <w:rFonts w:cs="Tahoma"/>
          <w:szCs w:val="18"/>
        </w:rPr>
        <w:tab/>
        <w:t>Büyükbaş ve küçükbaş hayvan yetiştiriciliğinde kârlılığı etkileyen en önemli unsur olan kaliteli kaba yem arzında destekleme politikalarıyla önemli miktarda artış sağlanmış olup hayvan sayılarındaki artışa paralel şekilde, yem bitkilerinin kalite ve çeşit bakımından geliştirilmesi ve üretimlerinin artırılması sektör açısından daha da önemli hale gelmiştir. Nitekim</w:t>
      </w:r>
      <w:r>
        <w:rPr>
          <w:rFonts w:cs="Tahoma"/>
          <w:szCs w:val="18"/>
        </w:rPr>
        <w:t>,</w:t>
      </w:r>
      <w:r w:rsidRPr="001B45E1">
        <w:rPr>
          <w:rFonts w:cs="Tahoma"/>
          <w:szCs w:val="18"/>
        </w:rPr>
        <w:t xml:space="preserve"> 2011-2012 üretim sezonunda görülen yağış dengesizlikleri yem bitkisi, ot ve saman arzında sorunlar yaratmıştır. </w:t>
      </w:r>
    </w:p>
    <w:p w:rsidR="00565FD5" w:rsidRPr="001B45E1" w:rsidRDefault="00565FD5" w:rsidP="00565FD5">
      <w:pPr>
        <w:spacing w:after="140"/>
        <w:rPr>
          <w:rFonts w:cs="Tahoma"/>
          <w:szCs w:val="18"/>
        </w:rPr>
      </w:pPr>
      <w:r w:rsidRPr="001B45E1">
        <w:rPr>
          <w:rFonts w:cs="Tahoma"/>
          <w:szCs w:val="18"/>
        </w:rPr>
        <w:tab/>
        <w:t xml:space="preserve">Hayvancılık için en önemli kaba yem kaynağı olan mera, yaylak ve kışlakların verimli ve sürdürülebilir kullanımını sağlamak üzere, 4342 sayılı Mera Kanununda Değişiklik Yapılmasına Dair Kanun Tasarısı TBMM’ye sevk edilmiş olup, söz konusu düzenleme ile amaç dışı kullanım suretiyle vasıfları bozulan </w:t>
      </w:r>
      <w:r w:rsidRPr="001B45E1">
        <w:rPr>
          <w:rFonts w:cs="Tahoma"/>
          <w:szCs w:val="18"/>
        </w:rPr>
        <w:lastRenderedPageBreak/>
        <w:t xml:space="preserve">mera, yaylak ve kışlakların ıslahı için kaynak yaratılması,  mera olarak kullanılabilecek alanların belirlenecek kriterlere dayalı olarak hayvancılık yatırımlarında değerlendirilmesi amaçlanmaktadır. </w:t>
      </w:r>
    </w:p>
    <w:p w:rsidR="00565FD5" w:rsidRPr="001B45E1" w:rsidRDefault="00565FD5" w:rsidP="00565FD5">
      <w:pPr>
        <w:spacing w:after="140"/>
        <w:rPr>
          <w:rFonts w:cs="Tahoma"/>
          <w:szCs w:val="18"/>
        </w:rPr>
      </w:pPr>
      <w:r w:rsidRPr="001B45E1">
        <w:rPr>
          <w:rFonts w:cs="Tahoma"/>
          <w:szCs w:val="18"/>
        </w:rPr>
        <w:tab/>
        <w:t xml:space="preserve">Hayvan hastalıkları ve zararlılarının olumsuz etkilerinin azaltılması yönündeki çalışmalarda, hayvancılık işletmeleri bazında koruyucu önlemlerin alınmasıyla ülke şartlarına uygun aşı, ilaç ve serum üretimlerinin miktar ve kalitesinin iyileştirilmesi ihtiyaçları devam etmektedir. Bunun yanı sıra, hayvan hastalıklarıyla mücadele amacıyla bir politika belgesinin hazırlanarak önümüzdeki dönemde uygulamalara yansıtılmasına yönelik çalışma başlatılmıştır.  </w:t>
      </w:r>
    </w:p>
    <w:p w:rsidR="00565FD5" w:rsidRPr="001B45E1" w:rsidRDefault="00565FD5" w:rsidP="00565FD5">
      <w:pPr>
        <w:spacing w:after="160"/>
        <w:rPr>
          <w:b/>
        </w:rPr>
      </w:pPr>
      <w:r w:rsidRPr="001B45E1">
        <w:rPr>
          <w:b/>
        </w:rPr>
        <w:tab/>
        <w:t>Su Ürünleri</w:t>
      </w:r>
    </w:p>
    <w:p w:rsidR="00565FD5" w:rsidRPr="001B45E1" w:rsidRDefault="00565FD5" w:rsidP="00565FD5">
      <w:pPr>
        <w:spacing w:after="140"/>
      </w:pPr>
      <w:r w:rsidRPr="001B45E1">
        <w:tab/>
        <w:t xml:space="preserve">Su ürünleri üretimi, 2011 yılında yüzde 7,7 oranında artarak 703,5 bin tona ulaşmıştır. 2003 yılından bu yana tarımsal destekleme kapsamında yer alan yetiştiricilik üretiminin toplam üretim içindeki payı yüzde 26,8’e, üretim miktarı ise 189 bin tona ulaşmıştır. </w:t>
      </w:r>
    </w:p>
    <w:p w:rsidR="00565FD5" w:rsidRPr="001B45E1" w:rsidRDefault="00565FD5" w:rsidP="00565FD5">
      <w:pPr>
        <w:spacing w:after="140"/>
      </w:pPr>
      <w:r w:rsidRPr="001B45E1">
        <w:tab/>
        <w:t>Avcılıkta etkin kaynak yönetim sisteminin kurulması önceliğini korumaktadır. Bu doğrultuda, karaya çıkış noktalarında kontrollerin yapılabilmesi amacıyla 41 balıkçı barınağında ofisler kurulmuş, balıkçı gemilerinin izlenmesinde uzaktan algılama sistemlerinin kullanımına yönelik altyapı çalışmaları yapılmıştır. Buna ilave olarak, 2012 yılında yayımlanan 2012/51 no’lu Balıkçı Gemisini Avcılıktan Çıkaranlara Yapılacak Destekleme Tebliği kapsamında, su ürünleri kaynaklarının korunması, sürdürülebilir işletilmesi ve stoklar üzerindeki av baskısının azaltılması amacıyla, su ürünleri ruhsat teskeresine sahip on iki metre ve üzerindeki balıkçı gemisi sahiplerine gönüllülük esasına göre, gemilerinin avcılıktan çıka</w:t>
      </w:r>
      <w:r>
        <w:t>rılması karşılığında, gemi boyu temelinde</w:t>
      </w:r>
      <w:r w:rsidRPr="001B45E1">
        <w:t xml:space="preserve"> ödeme yapılması yönünde bir program başlatılmıştır. Ayrıca, 2012-2016 dönemini kapsayan Ticari Amaçlı Su Ürünleri Avcılığını Düzenleyen Tebliğ yayımlanmış olup söz konusu Tebliğ’de korumacı yaklaşımın ve sürdürülebilirlik ilkesinin ön plana çıktığı önemli düzenlemeler getirilmiştir.   </w:t>
      </w:r>
    </w:p>
    <w:p w:rsidR="00565FD5" w:rsidRPr="001B45E1" w:rsidRDefault="00565FD5" w:rsidP="00565FD5">
      <w:pPr>
        <w:spacing w:after="160"/>
      </w:pPr>
      <w:r w:rsidRPr="001B45E1">
        <w:tab/>
        <w:t xml:space="preserve">Sürdürülebilir balıkçılığın teminine yönelik düzenlemelerin yapılması ve AB Müktesebatına uyum gerekliliklerinin yerine getirilmesi amacıyla, 1971 yılında yürürlüğe girmiş olan Su Ürünleri Kanununda değişiklik ihtiyacı devam etmektedir. </w:t>
      </w:r>
    </w:p>
    <w:p w:rsidR="00565FD5" w:rsidRPr="001B45E1" w:rsidRDefault="00565FD5" w:rsidP="00565FD5">
      <w:pPr>
        <w:spacing w:after="160"/>
      </w:pPr>
      <w:r w:rsidRPr="001B45E1">
        <w:lastRenderedPageBreak/>
        <w:tab/>
        <w:t xml:space="preserve">Balıkçılık sektörünün en önemli altyapı ihtiyacı olan balıkçı barınaklarına yönelik onarım çalışmaları ile yeni barınak inşaatı projelerine devam edilmektedir. Bu kapsamda, 2007-2012 döneminde küçük ölçekli onarım projelerinin yanı sıra yeni inşaat, ikmal inşaatı ve tevsii içerikli 24 adet proje tamamlanmıştır. Önümüzdeki dönemde söz konusu yapıların imar planlarının hazırlanması ile idame-yenileme yatırımlarına öncelik verilmesi gerekmektedir. </w:t>
      </w:r>
    </w:p>
    <w:p w:rsidR="00565FD5" w:rsidRPr="001B45E1" w:rsidRDefault="00565FD5" w:rsidP="00565FD5">
      <w:pPr>
        <w:spacing w:after="180"/>
        <w:rPr>
          <w:b/>
          <w:szCs w:val="18"/>
        </w:rPr>
      </w:pPr>
      <w:r w:rsidRPr="001B45E1">
        <w:rPr>
          <w:b/>
          <w:szCs w:val="18"/>
        </w:rPr>
        <w:tab/>
        <w:t>Ormancılık</w:t>
      </w:r>
    </w:p>
    <w:p w:rsidR="00565FD5" w:rsidRPr="001B45E1" w:rsidRDefault="00565FD5" w:rsidP="00565FD5">
      <w:pPr>
        <w:spacing w:after="160"/>
      </w:pPr>
      <w:r w:rsidRPr="001B45E1">
        <w:tab/>
        <w:t>Ülkemizde ormanlar 21,5 milyon hektarlık bir alanı kaplamaktadır. 2011 yılında yapılan 65 bin hektarlık ilaveyle birlikte</w:t>
      </w:r>
      <w:r>
        <w:t xml:space="preserve"> Planlı dönemin başı olan </w:t>
      </w:r>
      <w:r w:rsidRPr="001B45E1">
        <w:t xml:space="preserve">1963 yılından itibaren yeşil kuşak, endüstriyel ve toprak muhafaza amaçlı toplam 2,94 milyon hektar alanda ağaçlandırma gerçekleştirilmiştir. Erozyon kontrolü faaliyetleri kapsamında </w:t>
      </w:r>
      <w:r w:rsidRPr="001B45E1">
        <w:rPr>
          <w:rFonts w:cs="Tahoma"/>
          <w:szCs w:val="18"/>
        </w:rPr>
        <w:t xml:space="preserve">2011 yılında gerçekleşen 65 bin hektarlık çalışmayla 1963 yılından itibaren toplam 932.830 hektar alanda erozyon kontrolü çalışması yapılmıştır. </w:t>
      </w:r>
      <w:r w:rsidRPr="001B45E1">
        <w:t xml:space="preserve">Diğer taraftan, 2011 yılında yanan 3.612 hektar alanla birlikte, 1963 yılından itibaren 591.999 hektar orman alanı yangınlarla tahrip olmuştur. </w:t>
      </w:r>
    </w:p>
    <w:p w:rsidR="00565FD5" w:rsidRPr="001B45E1" w:rsidRDefault="00565FD5" w:rsidP="00565FD5">
      <w:pPr>
        <w:spacing w:after="160"/>
        <w:rPr>
          <w:rFonts w:cs="Tahoma"/>
          <w:szCs w:val="18"/>
        </w:rPr>
      </w:pPr>
      <w:r w:rsidRPr="001B45E1">
        <w:tab/>
        <w:t>Ormanlarımızın korunması, ekosistem bütünlüğü içerisinde işletilmesi ve geliştirilmesi ile ağaçlandırma ve erozyon kontrol çalışmalarına yönelik faaliyetlerin yürütülmesi</w:t>
      </w:r>
      <w:r w:rsidRPr="001B45E1">
        <w:rPr>
          <w:rFonts w:cs="Tahoma"/>
        </w:rPr>
        <w:t xml:space="preserve"> amacıyla kurumsal kapasite güçlendirme çalışmalarına devam edilmektedir. </w:t>
      </w:r>
      <w:r w:rsidRPr="001B45E1">
        <w:rPr>
          <w:rFonts w:cs="Tahoma"/>
          <w:szCs w:val="18"/>
        </w:rPr>
        <w:t>Ağaçlandırma sahalarında ve özellikle yangına hassas alanlarda olmak üzere, doğal ormanlarda bakım çalışmalarının gereğince yapılamaması, ağaçlandırmaların biyolojik çeşitliliği sağlayacak şekilde çeşitli türde fidanlarla gerçekleştirilememesi ve ormancılık faaliyetlerinde eğitim ve uzmanlaşmaya yeterince ağırlık verilmemesi ağaçlandırma ve yangınla mücadele faaliyetlerinin başarısını olumsuz yönde etkilemektedir. Ayrıca, son yıllarda daha şiddetli görülmeye başlanan sel olaylarına istinaden sel kontrol çalışmalarının hızlandırılması</w:t>
      </w:r>
      <w:r w:rsidRPr="001B45E1">
        <w:rPr>
          <w:rFonts w:cs="Tahoma"/>
        </w:rPr>
        <w:t>, çölleşmeyle mücadele</w:t>
      </w:r>
      <w:r w:rsidRPr="001B45E1">
        <w:rPr>
          <w:rFonts w:cs="Tahoma"/>
          <w:szCs w:val="18"/>
        </w:rPr>
        <w:t xml:space="preserve"> ile kara yolu ağaçlandırma çalışmalarına ağırlık verilmesi hususları önemini korumaktadır.</w:t>
      </w:r>
    </w:p>
    <w:p w:rsidR="00565FD5" w:rsidRPr="001B45E1" w:rsidRDefault="00565FD5" w:rsidP="00565FD5">
      <w:pPr>
        <w:spacing w:after="180"/>
        <w:rPr>
          <w:b/>
          <w:szCs w:val="18"/>
        </w:rPr>
      </w:pPr>
      <w:r w:rsidRPr="001B45E1">
        <w:rPr>
          <w:b/>
          <w:szCs w:val="18"/>
        </w:rPr>
        <w:tab/>
        <w:t>Tarım Destekleri</w:t>
      </w:r>
    </w:p>
    <w:p w:rsidR="00565FD5" w:rsidRPr="001B45E1" w:rsidRDefault="00565FD5" w:rsidP="00565FD5">
      <w:pPr>
        <w:spacing w:after="160"/>
        <w:ind w:firstLine="426"/>
        <w:rPr>
          <w:rFonts w:cs="Tahoma"/>
          <w:szCs w:val="18"/>
        </w:rPr>
      </w:pPr>
      <w:bookmarkStart w:id="1811" w:name="_Toc276059438"/>
      <w:bookmarkStart w:id="1812" w:name="_Toc275873955"/>
      <w:bookmarkStart w:id="1813" w:name="_Toc244255271"/>
      <w:bookmarkStart w:id="1814" w:name="_Toc212876536"/>
      <w:bookmarkStart w:id="1815" w:name="_Toc212712797"/>
      <w:r w:rsidRPr="001B45E1">
        <w:rPr>
          <w:rFonts w:cs="Tahoma"/>
          <w:szCs w:val="18"/>
        </w:rPr>
        <w:t xml:space="preserve">Tarım destekleri, 2006 yılından itibaren 5488 sayılı Tarım Kanunu’nda öngörüldüğü üzere uygulanmaktadır. Ayrıca, 2004 yılı sonrasında çeşitli dönemlerde uygulamaya konulan organik tarım, iyi tarım uygulamaları, toprak analizi, Çevre Amaçlı Tarım Alanlarının Korunması (ÇATAK), sertifikalı tohum ve </w:t>
      </w:r>
      <w:r w:rsidRPr="001B45E1">
        <w:rPr>
          <w:rFonts w:cs="Tahoma"/>
          <w:szCs w:val="18"/>
        </w:rPr>
        <w:lastRenderedPageBreak/>
        <w:t>fidan kullanımı gibi şartlı alan bazlı ödemeler ile mazot ve gübre ödemeleri gibi şartsız alan bazlı ödemeler, üretimi yönlendirme amacıyla kullanılmaya başlanmıştır.</w:t>
      </w:r>
    </w:p>
    <w:p w:rsidR="00565FD5" w:rsidRPr="001B45E1" w:rsidRDefault="00565FD5" w:rsidP="00565FD5">
      <w:pPr>
        <w:spacing w:after="160"/>
        <w:ind w:firstLine="426"/>
        <w:rPr>
          <w:rFonts w:cs="Tahoma"/>
          <w:szCs w:val="18"/>
        </w:rPr>
      </w:pPr>
      <w:r w:rsidRPr="001B45E1">
        <w:rPr>
          <w:rFonts w:cs="Tahoma"/>
          <w:szCs w:val="18"/>
        </w:rPr>
        <w:t xml:space="preserve">Alan bazlı ödemelerin destekleme bütçesi içerisindeki payı, 2007 yılında yüzde 49,3 iken 2012 yılında yüzde 31,7 olarak gerçekleşmiştir. </w:t>
      </w:r>
      <w:r w:rsidRPr="001B45E1">
        <w:rPr>
          <w:rFonts w:cs="Tahoma"/>
        </w:rPr>
        <w:t>2013 yılında ise</w:t>
      </w:r>
      <w:r>
        <w:rPr>
          <w:rFonts w:cs="Tahoma"/>
        </w:rPr>
        <w:t>,</w:t>
      </w:r>
      <w:r w:rsidRPr="001B45E1">
        <w:rPr>
          <w:rFonts w:cs="Tahoma"/>
        </w:rPr>
        <w:t xml:space="preserve"> destekleme ödemelerinde alan bazlı ödemelerin payının yüzde 28,9 olacağı tahmin edilmektedir.</w:t>
      </w:r>
    </w:p>
    <w:p w:rsidR="00565FD5" w:rsidRDefault="00565FD5" w:rsidP="00565FD5">
      <w:pPr>
        <w:spacing w:after="160"/>
        <w:ind w:firstLine="426"/>
      </w:pPr>
      <w:r w:rsidRPr="001B45E1">
        <w:t>Ürün bazlı olarak uygulanmakta olan ve prim olarak da adlandırılan fark ödemesi desteklemeleri, yağlı tohumlar, çay, hububat ve bakliyat için yapılmaktadır. 2007 yılında destekleme bütçesinin yüzde 34’ünü oluşturan fark ödemesi desteklemelerinin, 2012 yılındaki payının yüzde 31,3 ve 2013 yılındaki payının ise yüzde 34,7 olacağı tahmin edilmektedir. 2010/159 sayılı Bakanlar Kurulu Kararıyla prim ödemelerinin 30 adet tarım havzası temelinde farklılaştırılarak ürün bazlı uygulanması kararlaştırılmıştır. Ancak, halihazırda desteklemelerin havza bazında farklılaştırılarak uygulanmasına başlanmamıştır.</w:t>
      </w:r>
    </w:p>
    <w:p w:rsidR="00565FD5" w:rsidRPr="001B45E1" w:rsidRDefault="00565FD5" w:rsidP="00565FD5">
      <w:pPr>
        <w:spacing w:after="160"/>
        <w:ind w:firstLine="426"/>
        <w:rPr>
          <w:b/>
        </w:rPr>
      </w:pPr>
      <w:r w:rsidRPr="001B45E1">
        <w:t xml:space="preserve">2000 yılından başlayarak beşer yıllık dönemler itibarıyla uygulanan hayvancılık desteklemeleri, 2008 yılından itibaren yıllık olarak uygulanmaktadır. Bu desteklerin toplam destekleme bütçesi içerisinde 2007 yılında yüzde 14 olan payının, 2012 yılında yüzde 28,5 ve 2013 yılında yüzde 27,5 seviyesinde gerçekleşeceği tahmin edilmektedir.  </w:t>
      </w:r>
    </w:p>
    <w:p w:rsidR="00565FD5" w:rsidRPr="001B45E1" w:rsidRDefault="00565FD5" w:rsidP="00565FD5">
      <w:pPr>
        <w:pStyle w:val="ResimYazs"/>
        <w:rPr>
          <w:rFonts w:eastAsia="Arial Unicode MS" w:cs="Tahoma"/>
          <w:b w:val="0"/>
          <w:szCs w:val="16"/>
        </w:rPr>
      </w:pPr>
      <w:bookmarkStart w:id="1816" w:name="_Toc307601677"/>
      <w:bookmarkStart w:id="1817" w:name="_Toc307657900"/>
      <w:bookmarkStart w:id="1818" w:name="_Toc307713592"/>
      <w:bookmarkStart w:id="1819" w:name="_Toc338606021"/>
      <w:bookmarkStart w:id="1820" w:name="_Toc338711796"/>
      <w:r>
        <w:t xml:space="preserve">TABLO IV: </w:t>
      </w:r>
      <w:fldSimple w:instr=" SEQ TABLO_IV: \* ARABIC ">
        <w:r>
          <w:rPr>
            <w:noProof/>
          </w:rPr>
          <w:t>26</w:t>
        </w:r>
      </w:fldSimple>
      <w:r w:rsidRPr="0054588B">
        <w:rPr>
          <w:rFonts w:eastAsia="Arial Unicode MS" w:cs="Tahoma"/>
          <w:szCs w:val="16"/>
        </w:rPr>
        <w:t>- Tarım Destekleme Bütçesinin Dağılımı</w:t>
      </w:r>
      <w:r w:rsidRPr="001B45E1">
        <w:rPr>
          <w:rFonts w:eastAsia="Arial Unicode MS" w:cs="Tahoma"/>
          <w:b w:val="0"/>
          <w:szCs w:val="16"/>
        </w:rPr>
        <w:t xml:space="preserve"> (1)</w:t>
      </w:r>
      <w:bookmarkEnd w:id="1816"/>
      <w:bookmarkEnd w:id="1817"/>
      <w:bookmarkEnd w:id="1818"/>
      <w:bookmarkEnd w:id="1819"/>
      <w:bookmarkEnd w:id="1820"/>
    </w:p>
    <w:p w:rsidR="00565FD5" w:rsidRPr="001B45E1" w:rsidRDefault="00565FD5" w:rsidP="00565FD5">
      <w:pPr>
        <w:jc w:val="right"/>
        <w:rPr>
          <w:sz w:val="16"/>
          <w:szCs w:val="16"/>
        </w:rPr>
      </w:pPr>
      <w:r w:rsidRPr="001B45E1">
        <w:rPr>
          <w:sz w:val="16"/>
          <w:szCs w:val="16"/>
        </w:rPr>
        <w:t>(Cari Fiyatlarla, Milyon TL)</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A0"/>
      </w:tblPr>
      <w:tblGrid>
        <w:gridCol w:w="2990"/>
        <w:gridCol w:w="540"/>
        <w:gridCol w:w="541"/>
        <w:gridCol w:w="541"/>
        <w:gridCol w:w="541"/>
        <w:gridCol w:w="541"/>
        <w:gridCol w:w="728"/>
        <w:gridCol w:w="730"/>
      </w:tblGrid>
      <w:tr w:rsidR="00565FD5" w:rsidRPr="001B45E1" w:rsidTr="00AB62A3">
        <w:trPr>
          <w:trHeight w:val="227"/>
        </w:trPr>
        <w:tc>
          <w:tcPr>
            <w:tcW w:w="2091" w:type="pct"/>
            <w:tcBorders>
              <w:top w:val="single" w:sz="4" w:space="0" w:color="auto"/>
              <w:bottom w:val="single" w:sz="4" w:space="0" w:color="auto"/>
              <w:right w:val="nil"/>
            </w:tcBorders>
            <w:vAlign w:val="center"/>
          </w:tcPr>
          <w:p w:rsidR="00565FD5" w:rsidRPr="001B45E1" w:rsidRDefault="00565FD5" w:rsidP="00AB62A3">
            <w:pPr>
              <w:tabs>
                <w:tab w:val="left" w:pos="708"/>
              </w:tabs>
              <w:ind w:left="57" w:right="57"/>
              <w:rPr>
                <w:rFonts w:cs="Tahoma"/>
                <w:sz w:val="15"/>
                <w:szCs w:val="15"/>
                <w:lang w:eastAsia="tr-TR"/>
              </w:rPr>
            </w:pPr>
            <w:r w:rsidRPr="001B45E1">
              <w:rPr>
                <w:rFonts w:cs="Tahoma"/>
                <w:sz w:val="15"/>
                <w:szCs w:val="15"/>
                <w:lang w:eastAsia="tr-TR"/>
              </w:rPr>
              <w:t> </w:t>
            </w:r>
          </w:p>
        </w:tc>
        <w:tc>
          <w:tcPr>
            <w:tcW w:w="378" w:type="pct"/>
            <w:tcBorders>
              <w:top w:val="single" w:sz="4" w:space="0" w:color="auto"/>
              <w:left w:val="nil"/>
              <w:bottom w:val="single" w:sz="4" w:space="0" w:color="auto"/>
              <w:right w:val="nil"/>
            </w:tcBorders>
            <w:vAlign w:val="center"/>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2007</w:t>
            </w:r>
          </w:p>
        </w:tc>
        <w:tc>
          <w:tcPr>
            <w:tcW w:w="378" w:type="pct"/>
            <w:tcBorders>
              <w:top w:val="single" w:sz="4" w:space="0" w:color="auto"/>
              <w:left w:val="nil"/>
              <w:bottom w:val="single" w:sz="4" w:space="0" w:color="auto"/>
              <w:right w:val="nil"/>
            </w:tcBorders>
            <w:vAlign w:val="center"/>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2008</w:t>
            </w:r>
          </w:p>
        </w:tc>
        <w:tc>
          <w:tcPr>
            <w:tcW w:w="378" w:type="pct"/>
            <w:tcBorders>
              <w:top w:val="single" w:sz="4" w:space="0" w:color="auto"/>
              <w:left w:val="nil"/>
              <w:bottom w:val="single" w:sz="4" w:space="0" w:color="auto"/>
              <w:right w:val="nil"/>
            </w:tcBorders>
            <w:vAlign w:val="center"/>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2009</w:t>
            </w:r>
          </w:p>
        </w:tc>
        <w:tc>
          <w:tcPr>
            <w:tcW w:w="378" w:type="pct"/>
            <w:tcBorders>
              <w:top w:val="single" w:sz="4" w:space="0" w:color="auto"/>
              <w:left w:val="nil"/>
              <w:bottom w:val="single" w:sz="4" w:space="0" w:color="auto"/>
              <w:right w:val="nil"/>
            </w:tcBorders>
            <w:vAlign w:val="center"/>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2010</w:t>
            </w:r>
          </w:p>
        </w:tc>
        <w:tc>
          <w:tcPr>
            <w:tcW w:w="378" w:type="pct"/>
            <w:tcBorders>
              <w:top w:val="single" w:sz="4" w:space="0" w:color="auto"/>
              <w:left w:val="nil"/>
              <w:bottom w:val="single" w:sz="4" w:space="0" w:color="auto"/>
              <w:right w:val="nil"/>
            </w:tcBorders>
            <w:vAlign w:val="center"/>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2011</w:t>
            </w:r>
          </w:p>
        </w:tc>
        <w:tc>
          <w:tcPr>
            <w:tcW w:w="509" w:type="pct"/>
            <w:tcBorders>
              <w:top w:val="single" w:sz="4" w:space="0" w:color="auto"/>
              <w:left w:val="nil"/>
              <w:bottom w:val="single" w:sz="4" w:space="0" w:color="auto"/>
            </w:tcBorders>
            <w:vAlign w:val="center"/>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2012(2)</w:t>
            </w:r>
          </w:p>
        </w:tc>
        <w:tc>
          <w:tcPr>
            <w:tcW w:w="512" w:type="pct"/>
            <w:tcBorders>
              <w:top w:val="single" w:sz="4" w:space="0" w:color="auto"/>
              <w:left w:val="nil"/>
              <w:bottom w:val="single" w:sz="4" w:space="0" w:color="auto"/>
            </w:tcBorders>
            <w:vAlign w:val="center"/>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2013(3)</w:t>
            </w:r>
          </w:p>
        </w:tc>
      </w:tr>
      <w:tr w:rsidR="00565FD5" w:rsidRPr="001B45E1" w:rsidTr="00AB62A3">
        <w:trPr>
          <w:trHeight w:val="227"/>
        </w:trPr>
        <w:tc>
          <w:tcPr>
            <w:tcW w:w="2091" w:type="pct"/>
            <w:tcBorders>
              <w:top w:val="single" w:sz="4" w:space="0" w:color="auto"/>
              <w:bottom w:val="nil"/>
              <w:right w:val="nil"/>
            </w:tcBorders>
            <w:vAlign w:val="bottom"/>
          </w:tcPr>
          <w:p w:rsidR="00565FD5" w:rsidRPr="001B45E1" w:rsidRDefault="00565FD5" w:rsidP="00AB62A3">
            <w:pPr>
              <w:tabs>
                <w:tab w:val="left" w:pos="708"/>
              </w:tabs>
              <w:ind w:left="57" w:right="57"/>
              <w:rPr>
                <w:rFonts w:cs="Tahoma"/>
                <w:b/>
                <w:bCs/>
                <w:sz w:val="15"/>
                <w:szCs w:val="15"/>
                <w:lang w:eastAsia="tr-TR"/>
              </w:rPr>
            </w:pPr>
            <w:r w:rsidRPr="001B45E1">
              <w:rPr>
                <w:rFonts w:cs="Tahoma"/>
                <w:b/>
                <w:bCs/>
                <w:sz w:val="15"/>
                <w:szCs w:val="15"/>
                <w:lang w:eastAsia="tr-TR"/>
              </w:rPr>
              <w:t xml:space="preserve">Alan Bazlı Tarımsal Dest. Ödemeleri </w:t>
            </w:r>
          </w:p>
        </w:tc>
        <w:tc>
          <w:tcPr>
            <w:tcW w:w="378" w:type="pct"/>
            <w:tcBorders>
              <w:top w:val="single" w:sz="4" w:space="0" w:color="auto"/>
              <w:left w:val="nil"/>
              <w:bottom w:val="nil"/>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2 607</w:t>
            </w:r>
          </w:p>
        </w:tc>
        <w:tc>
          <w:tcPr>
            <w:tcW w:w="378" w:type="pct"/>
            <w:tcBorders>
              <w:top w:val="single" w:sz="4" w:space="0" w:color="auto"/>
              <w:left w:val="nil"/>
              <w:bottom w:val="nil"/>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2 124</w:t>
            </w:r>
          </w:p>
        </w:tc>
        <w:tc>
          <w:tcPr>
            <w:tcW w:w="378" w:type="pct"/>
            <w:tcBorders>
              <w:top w:val="single" w:sz="4" w:space="0" w:color="auto"/>
              <w:left w:val="nil"/>
              <w:bottom w:val="nil"/>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1 247</w:t>
            </w:r>
          </w:p>
        </w:tc>
        <w:tc>
          <w:tcPr>
            <w:tcW w:w="378" w:type="pct"/>
            <w:tcBorders>
              <w:top w:val="single" w:sz="4" w:space="0" w:color="auto"/>
              <w:left w:val="nil"/>
              <w:bottom w:val="nil"/>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2 056</w:t>
            </w:r>
          </w:p>
        </w:tc>
        <w:tc>
          <w:tcPr>
            <w:tcW w:w="378" w:type="pct"/>
            <w:tcBorders>
              <w:top w:val="single" w:sz="4" w:space="0" w:color="auto"/>
              <w:left w:val="nil"/>
              <w:bottom w:val="nil"/>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2 189</w:t>
            </w:r>
          </w:p>
        </w:tc>
        <w:tc>
          <w:tcPr>
            <w:tcW w:w="509" w:type="pct"/>
            <w:tcBorders>
              <w:top w:val="single" w:sz="4" w:space="0" w:color="auto"/>
              <w:left w:val="nil"/>
              <w:bottom w:val="nil"/>
            </w:tcBorders>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2 430</w:t>
            </w:r>
          </w:p>
        </w:tc>
        <w:tc>
          <w:tcPr>
            <w:tcW w:w="512" w:type="pct"/>
            <w:tcBorders>
              <w:top w:val="single" w:sz="4" w:space="0" w:color="auto"/>
              <w:left w:val="nil"/>
              <w:bottom w:val="nil"/>
            </w:tcBorders>
            <w:vAlign w:val="bottom"/>
          </w:tcPr>
          <w:p w:rsidR="00565FD5" w:rsidRPr="001B45E1" w:rsidRDefault="00565FD5" w:rsidP="00AB62A3">
            <w:pPr>
              <w:tabs>
                <w:tab w:val="left" w:pos="708"/>
              </w:tabs>
              <w:ind w:left="57" w:right="113"/>
              <w:jc w:val="right"/>
              <w:rPr>
                <w:rFonts w:cs="Tahoma"/>
                <w:b/>
                <w:bCs/>
                <w:sz w:val="15"/>
                <w:szCs w:val="15"/>
                <w:lang w:eastAsia="tr-TR"/>
              </w:rPr>
            </w:pPr>
            <w:r w:rsidRPr="001B45E1">
              <w:rPr>
                <w:rFonts w:cs="Tahoma"/>
                <w:b/>
                <w:bCs/>
                <w:sz w:val="15"/>
                <w:szCs w:val="15"/>
                <w:lang w:eastAsia="tr-TR"/>
              </w:rPr>
              <w:t xml:space="preserve">2 591 </w:t>
            </w:r>
          </w:p>
        </w:tc>
      </w:tr>
      <w:tr w:rsidR="00565FD5" w:rsidRPr="001B45E1" w:rsidTr="00AB62A3">
        <w:trPr>
          <w:trHeight w:val="227"/>
        </w:trPr>
        <w:tc>
          <w:tcPr>
            <w:tcW w:w="2091" w:type="pct"/>
            <w:tcBorders>
              <w:top w:val="nil"/>
              <w:bottom w:val="nil"/>
              <w:right w:val="nil"/>
            </w:tcBorders>
            <w:vAlign w:val="bottom"/>
          </w:tcPr>
          <w:p w:rsidR="00565FD5" w:rsidRPr="001B45E1" w:rsidRDefault="00565FD5" w:rsidP="00AB62A3">
            <w:pPr>
              <w:tabs>
                <w:tab w:val="left" w:pos="708"/>
              </w:tabs>
              <w:ind w:left="57" w:right="57"/>
              <w:rPr>
                <w:rFonts w:cs="Tahoma"/>
                <w:sz w:val="15"/>
                <w:szCs w:val="15"/>
                <w:lang w:eastAsia="tr-TR"/>
              </w:rPr>
            </w:pPr>
            <w:r w:rsidRPr="001B45E1">
              <w:rPr>
                <w:rFonts w:cs="Tahoma"/>
                <w:sz w:val="15"/>
                <w:szCs w:val="15"/>
                <w:lang w:eastAsia="tr-TR"/>
              </w:rPr>
              <w:t xml:space="preserve">   DGD</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1 640</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1 140</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0</w:t>
            </w:r>
          </w:p>
        </w:tc>
        <w:tc>
          <w:tcPr>
            <w:tcW w:w="509" w:type="pct"/>
            <w:tcBorders>
              <w:top w:val="nil"/>
              <w:left w:val="nil"/>
              <w:bottom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0</w:t>
            </w:r>
          </w:p>
        </w:tc>
        <w:tc>
          <w:tcPr>
            <w:tcW w:w="512" w:type="pct"/>
            <w:tcBorders>
              <w:top w:val="nil"/>
              <w:left w:val="nil"/>
              <w:bottom w:val="nil"/>
            </w:tcBorders>
            <w:vAlign w:val="bottom"/>
          </w:tcPr>
          <w:p w:rsidR="00565FD5" w:rsidRPr="001B45E1" w:rsidRDefault="00565FD5" w:rsidP="00AB62A3">
            <w:pPr>
              <w:tabs>
                <w:tab w:val="left" w:pos="708"/>
              </w:tabs>
              <w:ind w:left="57" w:right="113"/>
              <w:jc w:val="right"/>
              <w:rPr>
                <w:rFonts w:cs="Tahoma"/>
                <w:sz w:val="15"/>
                <w:szCs w:val="15"/>
                <w:lang w:eastAsia="tr-TR"/>
              </w:rPr>
            </w:pPr>
            <w:r w:rsidRPr="001B45E1">
              <w:rPr>
                <w:rFonts w:cs="Tahoma"/>
                <w:sz w:val="15"/>
                <w:szCs w:val="15"/>
                <w:lang w:eastAsia="tr-TR"/>
              </w:rPr>
              <w:t>0</w:t>
            </w:r>
          </w:p>
        </w:tc>
      </w:tr>
      <w:tr w:rsidR="00565FD5" w:rsidRPr="001B45E1" w:rsidTr="00AB62A3">
        <w:trPr>
          <w:trHeight w:val="227"/>
        </w:trPr>
        <w:tc>
          <w:tcPr>
            <w:tcW w:w="2091" w:type="pct"/>
            <w:tcBorders>
              <w:top w:val="nil"/>
              <w:bottom w:val="nil"/>
              <w:right w:val="nil"/>
            </w:tcBorders>
            <w:vAlign w:val="bottom"/>
          </w:tcPr>
          <w:p w:rsidR="00565FD5" w:rsidRPr="001B45E1" w:rsidRDefault="00565FD5" w:rsidP="00AB62A3">
            <w:pPr>
              <w:tabs>
                <w:tab w:val="left" w:pos="708"/>
              </w:tabs>
              <w:ind w:left="215" w:right="57"/>
              <w:rPr>
                <w:rFonts w:cs="Tahoma"/>
                <w:sz w:val="15"/>
                <w:szCs w:val="15"/>
                <w:lang w:eastAsia="tr-TR"/>
              </w:rPr>
            </w:pPr>
            <w:r w:rsidRPr="001B45E1">
              <w:rPr>
                <w:rFonts w:cs="Tahoma"/>
                <w:sz w:val="15"/>
                <w:szCs w:val="15"/>
                <w:lang w:eastAsia="tr-TR"/>
              </w:rPr>
              <w:t>Alan Bazlı Ek Ödeme (Organik Tarım,</w:t>
            </w:r>
          </w:p>
          <w:p w:rsidR="00565FD5" w:rsidRPr="001B45E1" w:rsidRDefault="00565FD5" w:rsidP="00AB62A3">
            <w:pPr>
              <w:tabs>
                <w:tab w:val="left" w:pos="708"/>
              </w:tabs>
              <w:ind w:left="215" w:right="57"/>
              <w:rPr>
                <w:rFonts w:cs="Tahoma"/>
                <w:sz w:val="15"/>
                <w:szCs w:val="15"/>
                <w:lang w:eastAsia="tr-TR"/>
              </w:rPr>
            </w:pPr>
            <w:r w:rsidRPr="001B45E1">
              <w:rPr>
                <w:rFonts w:cs="Tahoma"/>
                <w:sz w:val="15"/>
                <w:szCs w:val="15"/>
                <w:lang w:eastAsia="tr-TR"/>
              </w:rPr>
              <w:t>İyi Tarım, Toprak Analizi) (4)</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10</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0 </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13</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81</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150</w:t>
            </w:r>
          </w:p>
        </w:tc>
        <w:tc>
          <w:tcPr>
            <w:tcW w:w="509" w:type="pct"/>
            <w:tcBorders>
              <w:top w:val="nil"/>
              <w:left w:val="nil"/>
              <w:bottom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172</w:t>
            </w:r>
          </w:p>
        </w:tc>
        <w:tc>
          <w:tcPr>
            <w:tcW w:w="512" w:type="pct"/>
            <w:tcBorders>
              <w:top w:val="nil"/>
              <w:left w:val="nil"/>
              <w:bottom w:val="nil"/>
            </w:tcBorders>
            <w:vAlign w:val="bottom"/>
          </w:tcPr>
          <w:p w:rsidR="00565FD5" w:rsidRPr="001B45E1" w:rsidRDefault="00565FD5" w:rsidP="00AB62A3">
            <w:pPr>
              <w:tabs>
                <w:tab w:val="left" w:pos="708"/>
              </w:tabs>
              <w:ind w:left="57" w:right="113"/>
              <w:jc w:val="right"/>
              <w:rPr>
                <w:rFonts w:cs="Tahoma"/>
                <w:sz w:val="15"/>
                <w:szCs w:val="15"/>
                <w:lang w:eastAsia="tr-TR"/>
              </w:rPr>
            </w:pPr>
            <w:r w:rsidRPr="001B45E1">
              <w:rPr>
                <w:rFonts w:cs="Tahoma"/>
                <w:sz w:val="15"/>
                <w:szCs w:val="15"/>
                <w:lang w:eastAsia="tr-TR"/>
              </w:rPr>
              <w:t>205</w:t>
            </w:r>
          </w:p>
        </w:tc>
      </w:tr>
      <w:tr w:rsidR="00565FD5" w:rsidRPr="001B45E1" w:rsidTr="00AB62A3">
        <w:trPr>
          <w:trHeight w:val="227"/>
        </w:trPr>
        <w:tc>
          <w:tcPr>
            <w:tcW w:w="2091" w:type="pct"/>
            <w:tcBorders>
              <w:top w:val="nil"/>
              <w:bottom w:val="nil"/>
              <w:right w:val="nil"/>
            </w:tcBorders>
            <w:vAlign w:val="bottom"/>
          </w:tcPr>
          <w:p w:rsidR="00565FD5" w:rsidRPr="001B45E1" w:rsidRDefault="00565FD5" w:rsidP="00AB62A3">
            <w:pPr>
              <w:tabs>
                <w:tab w:val="left" w:pos="708"/>
              </w:tabs>
              <w:ind w:left="57" w:right="57"/>
              <w:rPr>
                <w:rFonts w:cs="Tahoma"/>
                <w:sz w:val="15"/>
                <w:szCs w:val="15"/>
                <w:lang w:eastAsia="tr-TR"/>
              </w:rPr>
            </w:pPr>
            <w:r w:rsidRPr="001B45E1">
              <w:rPr>
                <w:rFonts w:cs="Tahoma"/>
                <w:sz w:val="15"/>
                <w:szCs w:val="15"/>
                <w:lang w:eastAsia="tr-TR"/>
              </w:rPr>
              <w:t xml:space="preserve">   Mazot</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480</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492</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469</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512</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508</w:t>
            </w:r>
          </w:p>
        </w:tc>
        <w:tc>
          <w:tcPr>
            <w:tcW w:w="509" w:type="pct"/>
            <w:tcBorders>
              <w:top w:val="nil"/>
              <w:left w:val="nil"/>
              <w:bottom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581</w:t>
            </w:r>
          </w:p>
        </w:tc>
        <w:tc>
          <w:tcPr>
            <w:tcW w:w="512" w:type="pct"/>
            <w:tcBorders>
              <w:top w:val="nil"/>
              <w:left w:val="nil"/>
              <w:bottom w:val="nil"/>
            </w:tcBorders>
            <w:vAlign w:val="bottom"/>
          </w:tcPr>
          <w:p w:rsidR="00565FD5" w:rsidRPr="001B45E1" w:rsidRDefault="00565FD5" w:rsidP="00AB62A3">
            <w:pPr>
              <w:tabs>
                <w:tab w:val="left" w:pos="708"/>
              </w:tabs>
              <w:ind w:left="57" w:right="113"/>
              <w:jc w:val="right"/>
              <w:rPr>
                <w:rFonts w:cs="Tahoma"/>
                <w:sz w:val="15"/>
                <w:szCs w:val="15"/>
                <w:lang w:eastAsia="tr-TR"/>
              </w:rPr>
            </w:pPr>
            <w:r w:rsidRPr="001B45E1">
              <w:rPr>
                <w:rFonts w:cs="Tahoma"/>
                <w:sz w:val="15"/>
                <w:szCs w:val="15"/>
                <w:lang w:eastAsia="tr-TR"/>
              </w:rPr>
              <w:t>630</w:t>
            </w:r>
          </w:p>
        </w:tc>
      </w:tr>
      <w:tr w:rsidR="00565FD5" w:rsidRPr="001B45E1" w:rsidTr="00AB62A3">
        <w:trPr>
          <w:trHeight w:val="227"/>
        </w:trPr>
        <w:tc>
          <w:tcPr>
            <w:tcW w:w="2091" w:type="pct"/>
            <w:tcBorders>
              <w:top w:val="nil"/>
              <w:bottom w:val="nil"/>
              <w:right w:val="nil"/>
            </w:tcBorders>
            <w:vAlign w:val="bottom"/>
          </w:tcPr>
          <w:p w:rsidR="00565FD5" w:rsidRPr="001B45E1" w:rsidRDefault="00565FD5" w:rsidP="00AB62A3">
            <w:pPr>
              <w:tabs>
                <w:tab w:val="left" w:pos="708"/>
              </w:tabs>
              <w:ind w:left="57" w:right="57"/>
              <w:rPr>
                <w:rFonts w:cs="Tahoma"/>
                <w:sz w:val="15"/>
                <w:szCs w:val="15"/>
                <w:lang w:eastAsia="tr-TR"/>
              </w:rPr>
            </w:pPr>
            <w:r w:rsidRPr="001B45E1">
              <w:rPr>
                <w:rFonts w:cs="Tahoma"/>
                <w:sz w:val="15"/>
                <w:szCs w:val="15"/>
                <w:lang w:eastAsia="tr-TR"/>
              </w:rPr>
              <w:t xml:space="preserve">   Gübre</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345</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352</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596</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622</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621</w:t>
            </w:r>
          </w:p>
        </w:tc>
        <w:tc>
          <w:tcPr>
            <w:tcW w:w="509" w:type="pct"/>
            <w:tcBorders>
              <w:top w:val="nil"/>
              <w:left w:val="nil"/>
              <w:bottom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695</w:t>
            </w:r>
          </w:p>
        </w:tc>
        <w:tc>
          <w:tcPr>
            <w:tcW w:w="512" w:type="pct"/>
            <w:tcBorders>
              <w:top w:val="nil"/>
              <w:left w:val="nil"/>
              <w:bottom w:val="nil"/>
            </w:tcBorders>
            <w:vAlign w:val="bottom"/>
          </w:tcPr>
          <w:p w:rsidR="00565FD5" w:rsidRPr="001B45E1" w:rsidRDefault="00565FD5" w:rsidP="00AB62A3">
            <w:pPr>
              <w:tabs>
                <w:tab w:val="left" w:pos="708"/>
              </w:tabs>
              <w:ind w:left="57" w:right="113"/>
              <w:jc w:val="right"/>
              <w:rPr>
                <w:rFonts w:cs="Tahoma"/>
                <w:sz w:val="15"/>
                <w:szCs w:val="15"/>
                <w:lang w:eastAsia="tr-TR"/>
              </w:rPr>
            </w:pPr>
            <w:r w:rsidRPr="001B45E1">
              <w:rPr>
                <w:rFonts w:cs="Tahoma"/>
                <w:sz w:val="15"/>
                <w:szCs w:val="15"/>
                <w:lang w:eastAsia="tr-TR"/>
              </w:rPr>
              <w:t>760</w:t>
            </w:r>
          </w:p>
        </w:tc>
      </w:tr>
      <w:tr w:rsidR="00565FD5" w:rsidRPr="001B45E1" w:rsidTr="00AB62A3">
        <w:trPr>
          <w:trHeight w:val="227"/>
        </w:trPr>
        <w:tc>
          <w:tcPr>
            <w:tcW w:w="2091" w:type="pct"/>
            <w:tcBorders>
              <w:top w:val="nil"/>
              <w:bottom w:val="nil"/>
              <w:right w:val="nil"/>
            </w:tcBorders>
            <w:vAlign w:val="bottom"/>
          </w:tcPr>
          <w:p w:rsidR="00565FD5" w:rsidRPr="001B45E1" w:rsidRDefault="00565FD5" w:rsidP="00AB62A3">
            <w:pPr>
              <w:tabs>
                <w:tab w:val="left" w:pos="708"/>
              </w:tabs>
              <w:ind w:left="57" w:right="57"/>
              <w:rPr>
                <w:rFonts w:cs="Tahoma"/>
                <w:sz w:val="15"/>
                <w:szCs w:val="15"/>
                <w:lang w:eastAsia="tr-TR"/>
              </w:rPr>
            </w:pPr>
            <w:r w:rsidRPr="001B45E1">
              <w:rPr>
                <w:rFonts w:cs="Tahoma"/>
                <w:sz w:val="15"/>
                <w:szCs w:val="15"/>
                <w:lang w:eastAsia="tr-TR"/>
              </w:rPr>
              <w:t xml:space="preserve">   Sertifikalı Tohum ve Fidan Kullanımı </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50</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56</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85</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90</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86</w:t>
            </w:r>
          </w:p>
        </w:tc>
        <w:tc>
          <w:tcPr>
            <w:tcW w:w="509" w:type="pct"/>
            <w:tcBorders>
              <w:top w:val="nil"/>
              <w:left w:val="nil"/>
              <w:bottom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130</w:t>
            </w:r>
          </w:p>
        </w:tc>
        <w:tc>
          <w:tcPr>
            <w:tcW w:w="512" w:type="pct"/>
            <w:tcBorders>
              <w:top w:val="nil"/>
              <w:left w:val="nil"/>
              <w:bottom w:val="nil"/>
            </w:tcBorders>
            <w:vAlign w:val="bottom"/>
          </w:tcPr>
          <w:p w:rsidR="00565FD5" w:rsidRPr="001B45E1" w:rsidRDefault="00565FD5" w:rsidP="00AB62A3">
            <w:pPr>
              <w:tabs>
                <w:tab w:val="left" w:pos="708"/>
              </w:tabs>
              <w:ind w:left="57" w:right="113"/>
              <w:jc w:val="right"/>
              <w:rPr>
                <w:rFonts w:cs="Tahoma"/>
                <w:sz w:val="15"/>
                <w:szCs w:val="15"/>
                <w:lang w:eastAsia="tr-TR"/>
              </w:rPr>
            </w:pPr>
            <w:r w:rsidRPr="001B45E1">
              <w:rPr>
                <w:rFonts w:cs="Tahoma"/>
                <w:sz w:val="15"/>
                <w:szCs w:val="15"/>
                <w:lang w:eastAsia="tr-TR"/>
              </w:rPr>
              <w:t>115</w:t>
            </w:r>
          </w:p>
        </w:tc>
      </w:tr>
      <w:tr w:rsidR="00565FD5" w:rsidRPr="001B45E1" w:rsidTr="00AB62A3">
        <w:trPr>
          <w:trHeight w:val="227"/>
        </w:trPr>
        <w:tc>
          <w:tcPr>
            <w:tcW w:w="2091" w:type="pct"/>
            <w:tcBorders>
              <w:top w:val="nil"/>
              <w:bottom w:val="nil"/>
              <w:right w:val="nil"/>
            </w:tcBorders>
            <w:vAlign w:val="bottom"/>
          </w:tcPr>
          <w:p w:rsidR="00565FD5" w:rsidRPr="001B45E1" w:rsidRDefault="00565FD5" w:rsidP="00AB62A3">
            <w:pPr>
              <w:tabs>
                <w:tab w:val="left" w:pos="708"/>
              </w:tabs>
              <w:ind w:left="215" w:right="57" w:hanging="158"/>
              <w:rPr>
                <w:rFonts w:cs="Tahoma"/>
                <w:sz w:val="15"/>
                <w:szCs w:val="15"/>
                <w:lang w:eastAsia="tr-TR"/>
              </w:rPr>
            </w:pPr>
            <w:r w:rsidRPr="001B45E1">
              <w:rPr>
                <w:rFonts w:cs="Tahoma"/>
                <w:sz w:val="15"/>
                <w:szCs w:val="15"/>
                <w:lang w:eastAsia="tr-TR"/>
              </w:rPr>
              <w:lastRenderedPageBreak/>
              <w:t xml:space="preserve">   Çevre Amaçlı Tarım Alanlarının Korunması (ÇATAK) (5)</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bCs/>
                <w:sz w:val="15"/>
                <w:szCs w:val="15"/>
                <w:lang w:eastAsia="tr-TR"/>
              </w:rPr>
            </w:pPr>
            <w:r w:rsidRPr="001B45E1">
              <w:rPr>
                <w:rFonts w:cs="Tahoma"/>
                <w:bCs/>
                <w:sz w:val="15"/>
                <w:szCs w:val="15"/>
                <w:lang w:eastAsia="tr-TR"/>
              </w:rPr>
              <w:t>3</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bCs/>
                <w:sz w:val="15"/>
                <w:szCs w:val="15"/>
                <w:lang w:eastAsia="tr-TR"/>
              </w:rPr>
            </w:pPr>
            <w:r w:rsidRPr="001B45E1">
              <w:rPr>
                <w:rFonts w:cs="Tahoma"/>
                <w:bCs/>
                <w:sz w:val="15"/>
                <w:szCs w:val="15"/>
                <w:lang w:eastAsia="tr-TR"/>
              </w:rPr>
              <w:t>5</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bCs/>
                <w:sz w:val="15"/>
                <w:szCs w:val="15"/>
                <w:lang w:eastAsia="tr-TR"/>
              </w:rPr>
            </w:pPr>
            <w:r w:rsidRPr="001B45E1">
              <w:rPr>
                <w:rFonts w:cs="Tahoma"/>
                <w:bCs/>
                <w:sz w:val="15"/>
                <w:szCs w:val="15"/>
                <w:lang w:eastAsia="tr-TR"/>
              </w:rPr>
              <w:t>6</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bCs/>
                <w:sz w:val="15"/>
                <w:szCs w:val="15"/>
                <w:lang w:eastAsia="tr-TR"/>
              </w:rPr>
            </w:pPr>
            <w:r w:rsidRPr="001B45E1">
              <w:rPr>
                <w:rFonts w:cs="Tahoma"/>
                <w:bCs/>
                <w:sz w:val="15"/>
                <w:szCs w:val="15"/>
                <w:lang w:eastAsia="tr-TR"/>
              </w:rPr>
              <w:t>9</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bCs/>
                <w:sz w:val="15"/>
                <w:szCs w:val="15"/>
                <w:lang w:eastAsia="tr-TR"/>
              </w:rPr>
            </w:pPr>
            <w:r w:rsidRPr="001B45E1">
              <w:rPr>
                <w:rFonts w:cs="Tahoma"/>
                <w:bCs/>
                <w:sz w:val="15"/>
                <w:szCs w:val="15"/>
                <w:lang w:eastAsia="tr-TR"/>
              </w:rPr>
              <w:t>17</w:t>
            </w:r>
          </w:p>
        </w:tc>
        <w:tc>
          <w:tcPr>
            <w:tcW w:w="509" w:type="pct"/>
            <w:tcBorders>
              <w:top w:val="nil"/>
              <w:left w:val="nil"/>
              <w:bottom w:val="nil"/>
            </w:tcBorders>
            <w:vAlign w:val="bottom"/>
          </w:tcPr>
          <w:p w:rsidR="00565FD5" w:rsidRPr="001B45E1" w:rsidRDefault="00565FD5" w:rsidP="00AB62A3">
            <w:pPr>
              <w:tabs>
                <w:tab w:val="left" w:pos="708"/>
              </w:tabs>
              <w:ind w:left="57" w:right="57"/>
              <w:jc w:val="right"/>
              <w:rPr>
                <w:rFonts w:cs="Tahoma"/>
                <w:bCs/>
                <w:sz w:val="15"/>
                <w:szCs w:val="15"/>
                <w:lang w:eastAsia="tr-TR"/>
              </w:rPr>
            </w:pPr>
            <w:r w:rsidRPr="001B45E1">
              <w:rPr>
                <w:rFonts w:cs="Tahoma"/>
                <w:bCs/>
                <w:sz w:val="15"/>
                <w:szCs w:val="15"/>
                <w:lang w:eastAsia="tr-TR"/>
              </w:rPr>
              <w:t>34</w:t>
            </w:r>
          </w:p>
        </w:tc>
        <w:tc>
          <w:tcPr>
            <w:tcW w:w="512" w:type="pct"/>
            <w:tcBorders>
              <w:top w:val="nil"/>
              <w:left w:val="nil"/>
              <w:bottom w:val="nil"/>
            </w:tcBorders>
            <w:vAlign w:val="bottom"/>
          </w:tcPr>
          <w:p w:rsidR="00565FD5" w:rsidRPr="001B45E1" w:rsidRDefault="00565FD5" w:rsidP="00AB62A3">
            <w:pPr>
              <w:tabs>
                <w:tab w:val="left" w:pos="708"/>
              </w:tabs>
              <w:ind w:left="57" w:right="113"/>
              <w:jc w:val="right"/>
              <w:rPr>
                <w:rFonts w:cs="Tahoma"/>
                <w:bCs/>
                <w:sz w:val="15"/>
                <w:szCs w:val="15"/>
                <w:lang w:eastAsia="tr-TR"/>
              </w:rPr>
            </w:pPr>
            <w:r w:rsidRPr="001B45E1">
              <w:rPr>
                <w:rFonts w:cs="Tahoma"/>
                <w:bCs/>
                <w:sz w:val="15"/>
                <w:szCs w:val="15"/>
                <w:lang w:eastAsia="tr-TR"/>
              </w:rPr>
              <w:t>40</w:t>
            </w:r>
          </w:p>
        </w:tc>
      </w:tr>
      <w:tr w:rsidR="00565FD5" w:rsidRPr="001B45E1" w:rsidTr="00AB62A3">
        <w:trPr>
          <w:trHeight w:val="227"/>
        </w:trPr>
        <w:tc>
          <w:tcPr>
            <w:tcW w:w="2091" w:type="pct"/>
            <w:tcBorders>
              <w:top w:val="nil"/>
              <w:bottom w:val="nil"/>
              <w:right w:val="nil"/>
            </w:tcBorders>
            <w:vAlign w:val="bottom"/>
          </w:tcPr>
          <w:p w:rsidR="00565FD5" w:rsidRPr="001B45E1" w:rsidRDefault="00565FD5" w:rsidP="00AB62A3">
            <w:pPr>
              <w:tabs>
                <w:tab w:val="left" w:pos="708"/>
              </w:tabs>
              <w:ind w:left="57" w:right="57"/>
              <w:rPr>
                <w:rFonts w:cs="Tahoma"/>
                <w:sz w:val="15"/>
                <w:szCs w:val="15"/>
                <w:lang w:eastAsia="tr-TR"/>
              </w:rPr>
            </w:pPr>
            <w:r w:rsidRPr="001B45E1">
              <w:rPr>
                <w:rFonts w:cs="Tahoma"/>
                <w:sz w:val="15"/>
                <w:szCs w:val="15"/>
                <w:lang w:eastAsia="tr-TR"/>
              </w:rPr>
              <w:t xml:space="preserve">   Fındık</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652</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709</w:t>
            </w:r>
          </w:p>
        </w:tc>
        <w:tc>
          <w:tcPr>
            <w:tcW w:w="509" w:type="pct"/>
            <w:tcBorders>
              <w:top w:val="nil"/>
              <w:left w:val="nil"/>
              <w:bottom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710</w:t>
            </w:r>
          </w:p>
        </w:tc>
        <w:tc>
          <w:tcPr>
            <w:tcW w:w="512" w:type="pct"/>
            <w:tcBorders>
              <w:top w:val="nil"/>
              <w:left w:val="nil"/>
              <w:bottom w:val="nil"/>
            </w:tcBorders>
            <w:vAlign w:val="bottom"/>
          </w:tcPr>
          <w:p w:rsidR="00565FD5" w:rsidRPr="001B45E1" w:rsidRDefault="00565FD5" w:rsidP="00AB62A3">
            <w:pPr>
              <w:tabs>
                <w:tab w:val="left" w:pos="708"/>
              </w:tabs>
              <w:ind w:left="57" w:right="113"/>
              <w:jc w:val="right"/>
              <w:rPr>
                <w:rFonts w:cs="Tahoma"/>
                <w:sz w:val="15"/>
                <w:szCs w:val="15"/>
                <w:lang w:eastAsia="tr-TR"/>
              </w:rPr>
            </w:pPr>
            <w:r w:rsidRPr="001B45E1">
              <w:rPr>
                <w:rFonts w:cs="Tahoma"/>
                <w:sz w:val="15"/>
                <w:szCs w:val="15"/>
                <w:lang w:eastAsia="tr-TR"/>
              </w:rPr>
              <w:t>720</w:t>
            </w:r>
          </w:p>
        </w:tc>
      </w:tr>
      <w:tr w:rsidR="00565FD5" w:rsidRPr="001B45E1" w:rsidTr="00AB62A3">
        <w:trPr>
          <w:trHeight w:val="227"/>
        </w:trPr>
        <w:tc>
          <w:tcPr>
            <w:tcW w:w="2091" w:type="pct"/>
            <w:tcBorders>
              <w:top w:val="nil"/>
              <w:bottom w:val="nil"/>
              <w:right w:val="nil"/>
            </w:tcBorders>
            <w:vAlign w:val="bottom"/>
          </w:tcPr>
          <w:p w:rsidR="00565FD5" w:rsidRPr="001B45E1" w:rsidRDefault="00565FD5" w:rsidP="00AB62A3">
            <w:pPr>
              <w:tabs>
                <w:tab w:val="left" w:pos="708"/>
              </w:tabs>
              <w:ind w:left="57" w:right="57"/>
              <w:rPr>
                <w:rFonts w:cs="Tahoma"/>
                <w:sz w:val="15"/>
                <w:szCs w:val="15"/>
                <w:lang w:eastAsia="tr-TR"/>
              </w:rPr>
            </w:pPr>
            <w:r w:rsidRPr="001B45E1">
              <w:rPr>
                <w:rFonts w:cs="Tahoma"/>
                <w:sz w:val="15"/>
                <w:szCs w:val="15"/>
                <w:lang w:eastAsia="tr-TR"/>
              </w:rPr>
              <w:t xml:space="preserve">   Alternatif Ürün Ödemeleri</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4</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9</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8</w:t>
            </w:r>
          </w:p>
        </w:tc>
        <w:tc>
          <w:tcPr>
            <w:tcW w:w="509" w:type="pct"/>
            <w:tcBorders>
              <w:top w:val="nil"/>
              <w:left w:val="nil"/>
              <w:bottom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8</w:t>
            </w:r>
          </w:p>
        </w:tc>
        <w:tc>
          <w:tcPr>
            <w:tcW w:w="512" w:type="pct"/>
            <w:tcBorders>
              <w:top w:val="nil"/>
              <w:left w:val="nil"/>
              <w:bottom w:val="nil"/>
            </w:tcBorders>
            <w:vAlign w:val="bottom"/>
          </w:tcPr>
          <w:p w:rsidR="00565FD5" w:rsidRPr="001B45E1" w:rsidRDefault="00565FD5" w:rsidP="00AB62A3">
            <w:pPr>
              <w:tabs>
                <w:tab w:val="left" w:pos="708"/>
              </w:tabs>
              <w:ind w:left="57" w:right="113"/>
              <w:jc w:val="right"/>
              <w:rPr>
                <w:rFonts w:cs="Tahoma"/>
                <w:sz w:val="15"/>
                <w:szCs w:val="15"/>
                <w:lang w:eastAsia="tr-TR"/>
              </w:rPr>
            </w:pPr>
            <w:r w:rsidRPr="001B45E1">
              <w:rPr>
                <w:rFonts w:cs="Tahoma"/>
                <w:sz w:val="15"/>
                <w:szCs w:val="15"/>
                <w:lang w:eastAsia="tr-TR"/>
              </w:rPr>
              <w:t>0</w:t>
            </w:r>
          </w:p>
        </w:tc>
      </w:tr>
      <w:tr w:rsidR="00565FD5" w:rsidRPr="001B45E1" w:rsidTr="00AB62A3">
        <w:trPr>
          <w:trHeight w:val="227"/>
        </w:trPr>
        <w:tc>
          <w:tcPr>
            <w:tcW w:w="2091" w:type="pct"/>
            <w:tcBorders>
              <w:top w:val="nil"/>
              <w:bottom w:val="nil"/>
              <w:right w:val="nil"/>
            </w:tcBorders>
            <w:vAlign w:val="bottom"/>
          </w:tcPr>
          <w:p w:rsidR="00565FD5" w:rsidRPr="001B45E1" w:rsidRDefault="00565FD5" w:rsidP="00EB1E69">
            <w:pPr>
              <w:numPr>
                <w:ilvl w:val="0"/>
                <w:numId w:val="2"/>
              </w:numPr>
              <w:tabs>
                <w:tab w:val="left" w:pos="708"/>
              </w:tabs>
              <w:spacing w:after="0" w:line="240" w:lineRule="auto"/>
              <w:ind w:left="57" w:right="57" w:hanging="141"/>
              <w:rPr>
                <w:rFonts w:cs="Tahoma"/>
                <w:sz w:val="15"/>
                <w:szCs w:val="15"/>
                <w:lang w:eastAsia="tr-TR"/>
              </w:rPr>
            </w:pPr>
            <w:r w:rsidRPr="001B45E1">
              <w:rPr>
                <w:rFonts w:cs="Tahoma"/>
                <w:sz w:val="15"/>
                <w:szCs w:val="15"/>
                <w:lang w:eastAsia="tr-TR"/>
              </w:rPr>
              <w:t xml:space="preserve">         Tütün</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4</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8</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7</w:t>
            </w:r>
          </w:p>
        </w:tc>
        <w:tc>
          <w:tcPr>
            <w:tcW w:w="509" w:type="pct"/>
            <w:tcBorders>
              <w:top w:val="nil"/>
              <w:left w:val="nil"/>
              <w:bottom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0</w:t>
            </w:r>
          </w:p>
        </w:tc>
        <w:tc>
          <w:tcPr>
            <w:tcW w:w="512" w:type="pct"/>
            <w:tcBorders>
              <w:top w:val="nil"/>
              <w:left w:val="nil"/>
              <w:bottom w:val="nil"/>
            </w:tcBorders>
            <w:vAlign w:val="bottom"/>
          </w:tcPr>
          <w:p w:rsidR="00565FD5" w:rsidRPr="001B45E1" w:rsidRDefault="00565FD5" w:rsidP="00AB62A3">
            <w:pPr>
              <w:tabs>
                <w:tab w:val="left" w:pos="708"/>
              </w:tabs>
              <w:ind w:left="57" w:right="113"/>
              <w:jc w:val="right"/>
              <w:rPr>
                <w:rFonts w:cs="Tahoma"/>
                <w:sz w:val="15"/>
                <w:szCs w:val="15"/>
                <w:lang w:eastAsia="tr-TR"/>
              </w:rPr>
            </w:pPr>
            <w:r w:rsidRPr="001B45E1">
              <w:rPr>
                <w:rFonts w:cs="Tahoma"/>
                <w:sz w:val="15"/>
                <w:szCs w:val="15"/>
                <w:lang w:eastAsia="tr-TR"/>
              </w:rPr>
              <w:t>0</w:t>
            </w:r>
          </w:p>
        </w:tc>
      </w:tr>
      <w:tr w:rsidR="00565FD5" w:rsidRPr="001B45E1" w:rsidTr="00AB62A3">
        <w:trPr>
          <w:trHeight w:val="227"/>
        </w:trPr>
        <w:tc>
          <w:tcPr>
            <w:tcW w:w="2091" w:type="pct"/>
            <w:tcBorders>
              <w:top w:val="nil"/>
              <w:bottom w:val="nil"/>
              <w:right w:val="nil"/>
            </w:tcBorders>
            <w:vAlign w:val="bottom"/>
          </w:tcPr>
          <w:p w:rsidR="00565FD5" w:rsidRPr="001B45E1" w:rsidRDefault="00565FD5" w:rsidP="00EB1E69">
            <w:pPr>
              <w:numPr>
                <w:ilvl w:val="0"/>
                <w:numId w:val="2"/>
              </w:numPr>
              <w:tabs>
                <w:tab w:val="left" w:pos="708"/>
              </w:tabs>
              <w:spacing w:after="0" w:line="240" w:lineRule="auto"/>
              <w:ind w:left="57" w:right="57" w:hanging="141"/>
              <w:rPr>
                <w:rFonts w:cs="Tahoma"/>
                <w:sz w:val="15"/>
                <w:szCs w:val="15"/>
                <w:lang w:eastAsia="tr-TR"/>
              </w:rPr>
            </w:pPr>
            <w:r w:rsidRPr="001B45E1">
              <w:rPr>
                <w:rFonts w:cs="Tahoma"/>
                <w:sz w:val="15"/>
                <w:szCs w:val="15"/>
                <w:lang w:eastAsia="tr-TR"/>
              </w:rPr>
              <w:t xml:space="preserve">         Fındık</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w:t>
            </w:r>
          </w:p>
        </w:tc>
        <w:tc>
          <w:tcPr>
            <w:tcW w:w="509" w:type="pct"/>
            <w:tcBorders>
              <w:top w:val="nil"/>
              <w:left w:val="nil"/>
              <w:bottom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8</w:t>
            </w:r>
          </w:p>
        </w:tc>
        <w:tc>
          <w:tcPr>
            <w:tcW w:w="512" w:type="pct"/>
            <w:tcBorders>
              <w:top w:val="nil"/>
              <w:left w:val="nil"/>
              <w:bottom w:val="nil"/>
            </w:tcBorders>
            <w:vAlign w:val="bottom"/>
          </w:tcPr>
          <w:p w:rsidR="00565FD5" w:rsidRPr="001B45E1" w:rsidRDefault="00565FD5" w:rsidP="00AB62A3">
            <w:pPr>
              <w:tabs>
                <w:tab w:val="left" w:pos="708"/>
              </w:tabs>
              <w:ind w:left="57" w:right="113"/>
              <w:jc w:val="right"/>
              <w:rPr>
                <w:rFonts w:cs="Tahoma"/>
                <w:sz w:val="15"/>
                <w:szCs w:val="15"/>
                <w:lang w:eastAsia="tr-TR"/>
              </w:rPr>
            </w:pPr>
            <w:r w:rsidRPr="001B45E1">
              <w:rPr>
                <w:rFonts w:cs="Tahoma"/>
                <w:sz w:val="15"/>
                <w:szCs w:val="15"/>
                <w:lang w:eastAsia="tr-TR"/>
              </w:rPr>
              <w:t>0</w:t>
            </w:r>
          </w:p>
        </w:tc>
      </w:tr>
      <w:tr w:rsidR="00565FD5" w:rsidRPr="001B45E1" w:rsidTr="00AB62A3">
        <w:trPr>
          <w:trHeight w:val="227"/>
        </w:trPr>
        <w:tc>
          <w:tcPr>
            <w:tcW w:w="2091" w:type="pct"/>
            <w:tcBorders>
              <w:top w:val="nil"/>
              <w:bottom w:val="nil"/>
              <w:right w:val="nil"/>
            </w:tcBorders>
            <w:vAlign w:val="bottom"/>
          </w:tcPr>
          <w:p w:rsidR="00565FD5" w:rsidRPr="001B45E1" w:rsidRDefault="00565FD5" w:rsidP="00AB62A3">
            <w:pPr>
              <w:tabs>
                <w:tab w:val="left" w:pos="708"/>
              </w:tabs>
              <w:ind w:left="201" w:right="57"/>
              <w:rPr>
                <w:rFonts w:cs="Tahoma"/>
                <w:b/>
                <w:bCs/>
                <w:sz w:val="15"/>
                <w:szCs w:val="15"/>
                <w:lang w:eastAsia="tr-TR"/>
              </w:rPr>
            </w:pPr>
            <w:r w:rsidRPr="001B45E1">
              <w:rPr>
                <w:rFonts w:cs="Tahoma"/>
                <w:sz w:val="15"/>
                <w:szCs w:val="15"/>
                <w:lang w:eastAsia="tr-TR"/>
              </w:rPr>
              <w:t>Telafi Edici Ödemeler</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bCs/>
                <w:sz w:val="15"/>
                <w:szCs w:val="15"/>
                <w:lang w:eastAsia="tr-TR"/>
              </w:rPr>
            </w:pPr>
            <w:r w:rsidRPr="001B45E1">
              <w:rPr>
                <w:rFonts w:cs="Tahoma"/>
                <w:bCs/>
                <w:sz w:val="15"/>
                <w:szCs w:val="15"/>
                <w:lang w:eastAsia="tr-TR"/>
              </w:rPr>
              <w:t>79</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bCs/>
                <w:sz w:val="15"/>
                <w:szCs w:val="15"/>
                <w:lang w:eastAsia="tr-TR"/>
              </w:rPr>
            </w:pPr>
            <w:r w:rsidRPr="001B45E1">
              <w:rPr>
                <w:rFonts w:cs="Tahoma"/>
                <w:bCs/>
                <w:sz w:val="15"/>
                <w:szCs w:val="15"/>
                <w:lang w:eastAsia="tr-TR"/>
              </w:rPr>
              <w:t>79</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bCs/>
                <w:sz w:val="15"/>
                <w:szCs w:val="15"/>
                <w:lang w:eastAsia="tr-TR"/>
              </w:rPr>
            </w:pPr>
            <w:r w:rsidRPr="001B45E1">
              <w:rPr>
                <w:rFonts w:cs="Tahoma"/>
                <w:bCs/>
                <w:sz w:val="15"/>
                <w:szCs w:val="15"/>
                <w:lang w:eastAsia="tr-TR"/>
              </w:rPr>
              <w:t>74</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bCs/>
                <w:sz w:val="15"/>
                <w:szCs w:val="15"/>
                <w:lang w:eastAsia="tr-TR"/>
              </w:rPr>
            </w:pPr>
            <w:r w:rsidRPr="001B45E1">
              <w:rPr>
                <w:rFonts w:cs="Tahoma"/>
                <w:bCs/>
                <w:sz w:val="15"/>
                <w:szCs w:val="15"/>
                <w:lang w:eastAsia="tr-TR"/>
              </w:rPr>
              <w:t>81</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bCs/>
                <w:sz w:val="15"/>
                <w:szCs w:val="15"/>
                <w:lang w:eastAsia="tr-TR"/>
              </w:rPr>
            </w:pPr>
            <w:r w:rsidRPr="001B45E1">
              <w:rPr>
                <w:rFonts w:cs="Tahoma"/>
                <w:bCs/>
                <w:sz w:val="15"/>
                <w:szCs w:val="15"/>
                <w:lang w:eastAsia="tr-TR"/>
              </w:rPr>
              <w:t>90</w:t>
            </w:r>
          </w:p>
        </w:tc>
        <w:tc>
          <w:tcPr>
            <w:tcW w:w="509" w:type="pct"/>
            <w:tcBorders>
              <w:top w:val="nil"/>
              <w:left w:val="nil"/>
              <w:bottom w:val="nil"/>
            </w:tcBorders>
            <w:vAlign w:val="bottom"/>
          </w:tcPr>
          <w:p w:rsidR="00565FD5" w:rsidRPr="001B45E1" w:rsidRDefault="00565FD5" w:rsidP="00AB62A3">
            <w:pPr>
              <w:tabs>
                <w:tab w:val="left" w:pos="708"/>
              </w:tabs>
              <w:ind w:left="57" w:right="57"/>
              <w:jc w:val="right"/>
              <w:rPr>
                <w:rFonts w:cs="Tahoma"/>
                <w:bCs/>
                <w:sz w:val="15"/>
                <w:szCs w:val="15"/>
                <w:lang w:eastAsia="tr-TR"/>
              </w:rPr>
            </w:pPr>
            <w:r w:rsidRPr="001B45E1">
              <w:rPr>
                <w:rFonts w:cs="Tahoma"/>
                <w:bCs/>
                <w:sz w:val="15"/>
                <w:szCs w:val="15"/>
                <w:lang w:eastAsia="tr-TR"/>
              </w:rPr>
              <w:t>100</w:t>
            </w:r>
          </w:p>
        </w:tc>
        <w:tc>
          <w:tcPr>
            <w:tcW w:w="512" w:type="pct"/>
            <w:tcBorders>
              <w:top w:val="nil"/>
              <w:left w:val="nil"/>
              <w:bottom w:val="nil"/>
            </w:tcBorders>
            <w:vAlign w:val="bottom"/>
          </w:tcPr>
          <w:p w:rsidR="00565FD5" w:rsidRPr="001B45E1" w:rsidRDefault="00565FD5" w:rsidP="00AB62A3">
            <w:pPr>
              <w:tabs>
                <w:tab w:val="left" w:pos="708"/>
              </w:tabs>
              <w:ind w:left="57" w:right="113"/>
              <w:jc w:val="right"/>
              <w:rPr>
                <w:rFonts w:cs="Tahoma"/>
                <w:bCs/>
                <w:sz w:val="15"/>
                <w:szCs w:val="15"/>
                <w:lang w:eastAsia="tr-TR"/>
              </w:rPr>
            </w:pPr>
            <w:r w:rsidRPr="001B45E1">
              <w:rPr>
                <w:rFonts w:cs="Tahoma"/>
                <w:bCs/>
                <w:sz w:val="15"/>
                <w:szCs w:val="15"/>
                <w:lang w:eastAsia="tr-TR"/>
              </w:rPr>
              <w:t>121</w:t>
            </w:r>
          </w:p>
        </w:tc>
      </w:tr>
      <w:tr w:rsidR="00565FD5" w:rsidRPr="001B45E1" w:rsidTr="00AB62A3">
        <w:trPr>
          <w:trHeight w:val="227"/>
        </w:trPr>
        <w:tc>
          <w:tcPr>
            <w:tcW w:w="2091" w:type="pct"/>
            <w:tcBorders>
              <w:top w:val="nil"/>
              <w:bottom w:val="nil"/>
              <w:right w:val="nil"/>
            </w:tcBorders>
            <w:vAlign w:val="bottom"/>
          </w:tcPr>
          <w:p w:rsidR="00565FD5" w:rsidRPr="001B45E1" w:rsidRDefault="00565FD5" w:rsidP="00EB1E69">
            <w:pPr>
              <w:numPr>
                <w:ilvl w:val="0"/>
                <w:numId w:val="2"/>
              </w:numPr>
              <w:tabs>
                <w:tab w:val="left" w:pos="708"/>
              </w:tabs>
              <w:spacing w:after="0" w:line="240" w:lineRule="auto"/>
              <w:ind w:left="57" w:right="57" w:hanging="141"/>
              <w:rPr>
                <w:rFonts w:cs="Tahoma"/>
                <w:sz w:val="15"/>
                <w:szCs w:val="15"/>
                <w:lang w:eastAsia="tr-TR"/>
              </w:rPr>
            </w:pPr>
            <w:r w:rsidRPr="001B45E1">
              <w:rPr>
                <w:rFonts w:cs="Tahoma"/>
                <w:sz w:val="15"/>
                <w:szCs w:val="15"/>
                <w:lang w:eastAsia="tr-TR"/>
              </w:rPr>
              <w:t xml:space="preserve">         Patates Siğili Desteği</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23</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23</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11</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8</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8</w:t>
            </w:r>
          </w:p>
        </w:tc>
        <w:tc>
          <w:tcPr>
            <w:tcW w:w="509" w:type="pct"/>
            <w:tcBorders>
              <w:top w:val="nil"/>
              <w:left w:val="nil"/>
              <w:bottom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0</w:t>
            </w:r>
          </w:p>
        </w:tc>
        <w:tc>
          <w:tcPr>
            <w:tcW w:w="512" w:type="pct"/>
            <w:tcBorders>
              <w:top w:val="nil"/>
              <w:left w:val="nil"/>
              <w:bottom w:val="nil"/>
            </w:tcBorders>
            <w:vAlign w:val="bottom"/>
          </w:tcPr>
          <w:p w:rsidR="00565FD5" w:rsidRPr="001B45E1" w:rsidRDefault="00565FD5" w:rsidP="00AB62A3">
            <w:pPr>
              <w:tabs>
                <w:tab w:val="left" w:pos="708"/>
              </w:tabs>
              <w:ind w:left="57" w:right="113"/>
              <w:jc w:val="right"/>
              <w:rPr>
                <w:rFonts w:cs="Tahoma"/>
                <w:sz w:val="15"/>
                <w:szCs w:val="15"/>
                <w:lang w:eastAsia="tr-TR"/>
              </w:rPr>
            </w:pPr>
            <w:r w:rsidRPr="001B45E1">
              <w:rPr>
                <w:rFonts w:cs="Tahoma"/>
                <w:sz w:val="15"/>
                <w:szCs w:val="15"/>
                <w:lang w:eastAsia="tr-TR"/>
              </w:rPr>
              <w:t>13</w:t>
            </w:r>
          </w:p>
        </w:tc>
      </w:tr>
      <w:tr w:rsidR="00565FD5" w:rsidRPr="001B45E1" w:rsidTr="00AB62A3">
        <w:trPr>
          <w:trHeight w:val="227"/>
        </w:trPr>
        <w:tc>
          <w:tcPr>
            <w:tcW w:w="2091" w:type="pct"/>
            <w:tcBorders>
              <w:top w:val="nil"/>
              <w:bottom w:val="nil"/>
              <w:right w:val="nil"/>
            </w:tcBorders>
            <w:vAlign w:val="bottom"/>
          </w:tcPr>
          <w:p w:rsidR="00565FD5" w:rsidRPr="001B45E1" w:rsidRDefault="00565FD5" w:rsidP="00EB1E69">
            <w:pPr>
              <w:numPr>
                <w:ilvl w:val="0"/>
                <w:numId w:val="2"/>
              </w:numPr>
              <w:tabs>
                <w:tab w:val="left" w:pos="708"/>
              </w:tabs>
              <w:spacing w:after="0" w:line="240" w:lineRule="auto"/>
              <w:ind w:left="467" w:right="57" w:hanging="551"/>
              <w:rPr>
                <w:rFonts w:cs="Tahoma"/>
                <w:sz w:val="15"/>
                <w:szCs w:val="15"/>
                <w:lang w:eastAsia="tr-TR"/>
              </w:rPr>
            </w:pPr>
            <w:r w:rsidRPr="001B45E1">
              <w:rPr>
                <w:rFonts w:cs="Tahoma"/>
                <w:sz w:val="15"/>
                <w:szCs w:val="15"/>
                <w:lang w:eastAsia="tr-TR"/>
              </w:rPr>
              <w:t>Çay Budama Tazminatı ve Masrafları</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56</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56</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63</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73</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82</w:t>
            </w:r>
          </w:p>
        </w:tc>
        <w:tc>
          <w:tcPr>
            <w:tcW w:w="509" w:type="pct"/>
            <w:tcBorders>
              <w:top w:val="nil"/>
              <w:left w:val="nil"/>
              <w:bottom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100</w:t>
            </w:r>
          </w:p>
        </w:tc>
        <w:tc>
          <w:tcPr>
            <w:tcW w:w="512" w:type="pct"/>
            <w:tcBorders>
              <w:top w:val="nil"/>
              <w:left w:val="nil"/>
              <w:bottom w:val="nil"/>
            </w:tcBorders>
            <w:vAlign w:val="bottom"/>
          </w:tcPr>
          <w:p w:rsidR="00565FD5" w:rsidRPr="001B45E1" w:rsidRDefault="00565FD5" w:rsidP="00AB62A3">
            <w:pPr>
              <w:tabs>
                <w:tab w:val="left" w:pos="708"/>
              </w:tabs>
              <w:ind w:left="57" w:right="113"/>
              <w:jc w:val="right"/>
              <w:rPr>
                <w:rFonts w:cs="Tahoma"/>
                <w:sz w:val="15"/>
                <w:szCs w:val="15"/>
                <w:lang w:eastAsia="tr-TR"/>
              </w:rPr>
            </w:pPr>
            <w:r w:rsidRPr="001B45E1">
              <w:rPr>
                <w:rFonts w:cs="Tahoma"/>
                <w:sz w:val="15"/>
                <w:szCs w:val="15"/>
                <w:lang w:eastAsia="tr-TR"/>
              </w:rPr>
              <w:t>108</w:t>
            </w:r>
          </w:p>
        </w:tc>
      </w:tr>
      <w:tr w:rsidR="00565FD5" w:rsidRPr="001B45E1" w:rsidTr="00AB62A3">
        <w:trPr>
          <w:trHeight w:val="227"/>
        </w:trPr>
        <w:tc>
          <w:tcPr>
            <w:tcW w:w="2091" w:type="pct"/>
            <w:tcBorders>
              <w:top w:val="nil"/>
              <w:bottom w:val="nil"/>
              <w:right w:val="nil"/>
            </w:tcBorders>
            <w:vAlign w:val="bottom"/>
          </w:tcPr>
          <w:p w:rsidR="00565FD5" w:rsidRPr="001B45E1" w:rsidRDefault="00565FD5" w:rsidP="00AB62A3">
            <w:pPr>
              <w:tabs>
                <w:tab w:val="left" w:pos="708"/>
              </w:tabs>
              <w:ind w:left="57" w:right="57"/>
              <w:rPr>
                <w:rFonts w:cs="Tahoma"/>
                <w:b/>
                <w:sz w:val="15"/>
                <w:szCs w:val="15"/>
                <w:lang w:eastAsia="tr-TR"/>
              </w:rPr>
            </w:pPr>
            <w:r w:rsidRPr="001B45E1">
              <w:rPr>
                <w:rFonts w:cs="Tahoma"/>
                <w:b/>
                <w:sz w:val="15"/>
                <w:szCs w:val="15"/>
                <w:lang w:eastAsia="tr-TR"/>
              </w:rPr>
              <w:t>Fark Ödemesi Destekleme Hiz. (6)</w:t>
            </w:r>
          </w:p>
        </w:tc>
        <w:tc>
          <w:tcPr>
            <w:tcW w:w="378" w:type="pct"/>
            <w:tcBorders>
              <w:top w:val="nil"/>
              <w:left w:val="nil"/>
              <w:bottom w:val="nil"/>
              <w:right w:val="nil"/>
            </w:tcBorders>
            <w:vAlign w:val="bottom"/>
          </w:tcPr>
          <w:p w:rsidR="00565FD5" w:rsidRPr="001B45E1" w:rsidRDefault="00565FD5" w:rsidP="00AB62A3">
            <w:pPr>
              <w:ind w:left="57" w:right="57"/>
              <w:jc w:val="right"/>
            </w:pPr>
            <w:r w:rsidRPr="001B45E1">
              <w:rPr>
                <w:rFonts w:cs="Tahoma"/>
                <w:b/>
                <w:bCs/>
                <w:sz w:val="15"/>
                <w:szCs w:val="15"/>
                <w:lang w:eastAsia="tr-TR"/>
              </w:rPr>
              <w:t>1 797</w:t>
            </w:r>
          </w:p>
        </w:tc>
        <w:tc>
          <w:tcPr>
            <w:tcW w:w="378" w:type="pct"/>
            <w:tcBorders>
              <w:top w:val="nil"/>
              <w:left w:val="nil"/>
              <w:bottom w:val="nil"/>
              <w:right w:val="nil"/>
            </w:tcBorders>
            <w:vAlign w:val="bottom"/>
          </w:tcPr>
          <w:p w:rsidR="00565FD5" w:rsidRPr="001B45E1" w:rsidRDefault="00565FD5" w:rsidP="00AB62A3">
            <w:pPr>
              <w:ind w:left="57" w:right="57"/>
              <w:jc w:val="right"/>
            </w:pPr>
            <w:r w:rsidRPr="001B45E1">
              <w:rPr>
                <w:rFonts w:cs="Tahoma"/>
                <w:b/>
                <w:bCs/>
                <w:sz w:val="15"/>
                <w:szCs w:val="15"/>
                <w:lang w:eastAsia="tr-TR"/>
              </w:rPr>
              <w:t>1 848</w:t>
            </w:r>
          </w:p>
        </w:tc>
        <w:tc>
          <w:tcPr>
            <w:tcW w:w="378" w:type="pct"/>
            <w:tcBorders>
              <w:top w:val="nil"/>
              <w:left w:val="nil"/>
              <w:bottom w:val="nil"/>
              <w:right w:val="nil"/>
            </w:tcBorders>
            <w:noWrap/>
            <w:vAlign w:val="bottom"/>
          </w:tcPr>
          <w:p w:rsidR="00565FD5" w:rsidRPr="001B45E1" w:rsidRDefault="00565FD5" w:rsidP="00AB62A3">
            <w:pPr>
              <w:ind w:left="57" w:right="57"/>
              <w:jc w:val="right"/>
            </w:pPr>
            <w:r w:rsidRPr="001B45E1">
              <w:rPr>
                <w:rFonts w:cs="Tahoma"/>
                <w:b/>
                <w:bCs/>
                <w:sz w:val="15"/>
                <w:szCs w:val="15"/>
                <w:lang w:eastAsia="tr-TR"/>
              </w:rPr>
              <w:t>2 007</w:t>
            </w:r>
          </w:p>
        </w:tc>
        <w:tc>
          <w:tcPr>
            <w:tcW w:w="378" w:type="pct"/>
            <w:tcBorders>
              <w:top w:val="nil"/>
              <w:left w:val="nil"/>
              <w:bottom w:val="nil"/>
              <w:right w:val="nil"/>
            </w:tcBorders>
            <w:noWrap/>
            <w:vAlign w:val="bottom"/>
          </w:tcPr>
          <w:p w:rsidR="00565FD5" w:rsidRPr="001B45E1" w:rsidRDefault="00565FD5" w:rsidP="00AB62A3">
            <w:pPr>
              <w:ind w:left="57" w:right="57"/>
              <w:jc w:val="right"/>
            </w:pPr>
            <w:r w:rsidRPr="001B45E1">
              <w:rPr>
                <w:rFonts w:cs="Tahoma"/>
                <w:b/>
                <w:bCs/>
                <w:sz w:val="15"/>
                <w:szCs w:val="15"/>
                <w:lang w:eastAsia="tr-TR"/>
              </w:rPr>
              <w:t>2 056</w:t>
            </w:r>
          </w:p>
        </w:tc>
        <w:tc>
          <w:tcPr>
            <w:tcW w:w="378" w:type="pct"/>
            <w:tcBorders>
              <w:top w:val="nil"/>
              <w:left w:val="nil"/>
              <w:bottom w:val="nil"/>
              <w:right w:val="nil"/>
            </w:tcBorders>
            <w:noWrap/>
            <w:vAlign w:val="bottom"/>
          </w:tcPr>
          <w:p w:rsidR="00565FD5" w:rsidRPr="001B45E1" w:rsidRDefault="00565FD5" w:rsidP="00AB62A3">
            <w:pPr>
              <w:ind w:left="57" w:right="57"/>
              <w:jc w:val="right"/>
            </w:pPr>
            <w:r w:rsidRPr="001B45E1">
              <w:rPr>
                <w:rFonts w:cs="Tahoma"/>
                <w:b/>
                <w:bCs/>
                <w:sz w:val="15"/>
                <w:szCs w:val="15"/>
                <w:lang w:eastAsia="tr-TR"/>
              </w:rPr>
              <w:t>2 504</w:t>
            </w:r>
          </w:p>
        </w:tc>
        <w:tc>
          <w:tcPr>
            <w:tcW w:w="509" w:type="pct"/>
            <w:tcBorders>
              <w:top w:val="nil"/>
              <w:left w:val="nil"/>
              <w:bottom w:val="nil"/>
            </w:tcBorders>
            <w:vAlign w:val="bottom"/>
          </w:tcPr>
          <w:p w:rsidR="00565FD5" w:rsidRPr="001B45E1" w:rsidRDefault="00565FD5" w:rsidP="00AB62A3">
            <w:pPr>
              <w:ind w:left="57" w:right="57"/>
              <w:jc w:val="right"/>
            </w:pPr>
            <w:r w:rsidRPr="001B45E1">
              <w:rPr>
                <w:rFonts w:cs="Tahoma"/>
                <w:b/>
                <w:bCs/>
                <w:sz w:val="15"/>
                <w:szCs w:val="15"/>
                <w:lang w:eastAsia="tr-TR"/>
              </w:rPr>
              <w:t>2 400</w:t>
            </w:r>
          </w:p>
        </w:tc>
        <w:tc>
          <w:tcPr>
            <w:tcW w:w="512" w:type="pct"/>
            <w:tcBorders>
              <w:top w:val="nil"/>
              <w:left w:val="nil"/>
              <w:bottom w:val="nil"/>
            </w:tcBorders>
            <w:vAlign w:val="bottom"/>
          </w:tcPr>
          <w:p w:rsidR="00565FD5" w:rsidRPr="001B45E1" w:rsidRDefault="00565FD5" w:rsidP="00AB62A3">
            <w:pPr>
              <w:ind w:left="57" w:right="113"/>
              <w:jc w:val="right"/>
              <w:rPr>
                <w:rFonts w:cs="Tahoma"/>
                <w:b/>
                <w:bCs/>
                <w:sz w:val="15"/>
                <w:szCs w:val="15"/>
                <w:lang w:eastAsia="tr-TR"/>
              </w:rPr>
            </w:pPr>
            <w:r w:rsidRPr="001B45E1">
              <w:rPr>
                <w:rFonts w:cs="Tahoma"/>
                <w:b/>
                <w:bCs/>
                <w:sz w:val="15"/>
                <w:szCs w:val="15"/>
                <w:lang w:eastAsia="tr-TR"/>
              </w:rPr>
              <w:t>3 117</w:t>
            </w:r>
          </w:p>
        </w:tc>
      </w:tr>
      <w:tr w:rsidR="00565FD5" w:rsidRPr="001B45E1" w:rsidTr="00AB62A3">
        <w:trPr>
          <w:trHeight w:val="227"/>
        </w:trPr>
        <w:tc>
          <w:tcPr>
            <w:tcW w:w="2091" w:type="pct"/>
            <w:tcBorders>
              <w:top w:val="nil"/>
              <w:bottom w:val="nil"/>
              <w:right w:val="nil"/>
            </w:tcBorders>
            <w:vAlign w:val="bottom"/>
          </w:tcPr>
          <w:p w:rsidR="00565FD5" w:rsidRPr="001B45E1" w:rsidRDefault="00565FD5" w:rsidP="00EB1E69">
            <w:pPr>
              <w:numPr>
                <w:ilvl w:val="0"/>
                <w:numId w:val="2"/>
              </w:numPr>
              <w:tabs>
                <w:tab w:val="left" w:pos="708"/>
              </w:tabs>
              <w:spacing w:after="0" w:line="240" w:lineRule="auto"/>
              <w:ind w:left="57" w:right="57" w:hanging="142"/>
              <w:rPr>
                <w:rFonts w:cs="Tahoma"/>
                <w:sz w:val="15"/>
                <w:szCs w:val="15"/>
                <w:lang w:eastAsia="tr-TR"/>
              </w:rPr>
            </w:pPr>
            <w:r w:rsidRPr="001B45E1">
              <w:rPr>
                <w:rFonts w:cs="Tahoma"/>
                <w:sz w:val="15"/>
                <w:szCs w:val="15"/>
                <w:lang w:eastAsia="tr-TR"/>
              </w:rPr>
              <w:t xml:space="preserve">   Arz Açığı Olan Ürünlere Ödemeler (7)</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1 273</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1 135</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826</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923</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1 292</w:t>
            </w:r>
          </w:p>
        </w:tc>
        <w:tc>
          <w:tcPr>
            <w:tcW w:w="509" w:type="pct"/>
            <w:tcBorders>
              <w:top w:val="nil"/>
              <w:left w:val="nil"/>
              <w:bottom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1 510</w:t>
            </w:r>
          </w:p>
        </w:tc>
        <w:tc>
          <w:tcPr>
            <w:tcW w:w="512" w:type="pct"/>
            <w:tcBorders>
              <w:top w:val="nil"/>
              <w:left w:val="nil"/>
              <w:bottom w:val="nil"/>
            </w:tcBorders>
            <w:vAlign w:val="bottom"/>
          </w:tcPr>
          <w:p w:rsidR="00565FD5" w:rsidRPr="001B45E1" w:rsidRDefault="00565FD5" w:rsidP="00AB62A3">
            <w:pPr>
              <w:tabs>
                <w:tab w:val="left" w:pos="708"/>
              </w:tabs>
              <w:ind w:left="57" w:right="113"/>
              <w:jc w:val="right"/>
              <w:rPr>
                <w:rFonts w:cs="Tahoma"/>
                <w:sz w:val="15"/>
                <w:szCs w:val="15"/>
                <w:lang w:eastAsia="tr-TR"/>
              </w:rPr>
            </w:pPr>
            <w:r w:rsidRPr="001B45E1">
              <w:rPr>
                <w:rFonts w:cs="Tahoma"/>
                <w:sz w:val="15"/>
                <w:szCs w:val="15"/>
                <w:lang w:eastAsia="tr-TR"/>
              </w:rPr>
              <w:t>1 620</w:t>
            </w:r>
          </w:p>
        </w:tc>
      </w:tr>
      <w:tr w:rsidR="00565FD5" w:rsidRPr="001B45E1" w:rsidTr="00AB62A3">
        <w:trPr>
          <w:trHeight w:val="227"/>
        </w:trPr>
        <w:tc>
          <w:tcPr>
            <w:tcW w:w="2091" w:type="pct"/>
            <w:tcBorders>
              <w:top w:val="nil"/>
              <w:bottom w:val="nil"/>
              <w:right w:val="nil"/>
            </w:tcBorders>
            <w:vAlign w:val="bottom"/>
          </w:tcPr>
          <w:p w:rsidR="00565FD5" w:rsidRPr="001B45E1" w:rsidRDefault="00565FD5" w:rsidP="00EB1E69">
            <w:pPr>
              <w:numPr>
                <w:ilvl w:val="0"/>
                <w:numId w:val="2"/>
              </w:numPr>
              <w:tabs>
                <w:tab w:val="left" w:pos="708"/>
              </w:tabs>
              <w:spacing w:after="0" w:line="240" w:lineRule="auto"/>
              <w:ind w:left="57" w:right="57" w:hanging="142"/>
              <w:rPr>
                <w:rFonts w:cs="Tahoma"/>
                <w:sz w:val="15"/>
                <w:szCs w:val="15"/>
                <w:lang w:eastAsia="tr-TR"/>
              </w:rPr>
            </w:pPr>
            <w:r w:rsidRPr="001B45E1">
              <w:rPr>
                <w:rFonts w:cs="Tahoma"/>
                <w:sz w:val="15"/>
                <w:szCs w:val="15"/>
                <w:lang w:eastAsia="tr-TR"/>
              </w:rPr>
              <w:t xml:space="preserve">   Hububat</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435</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610</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1 008</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996</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1 039</w:t>
            </w:r>
          </w:p>
        </w:tc>
        <w:tc>
          <w:tcPr>
            <w:tcW w:w="509" w:type="pct"/>
            <w:tcBorders>
              <w:top w:val="nil"/>
              <w:left w:val="nil"/>
              <w:bottom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707</w:t>
            </w:r>
          </w:p>
        </w:tc>
        <w:tc>
          <w:tcPr>
            <w:tcW w:w="512" w:type="pct"/>
            <w:tcBorders>
              <w:top w:val="nil"/>
              <w:left w:val="nil"/>
              <w:bottom w:val="nil"/>
            </w:tcBorders>
            <w:vAlign w:val="bottom"/>
          </w:tcPr>
          <w:p w:rsidR="00565FD5" w:rsidRPr="001B45E1" w:rsidRDefault="00565FD5" w:rsidP="00AB62A3">
            <w:pPr>
              <w:tabs>
                <w:tab w:val="left" w:pos="708"/>
              </w:tabs>
              <w:ind w:left="57" w:right="113"/>
              <w:jc w:val="right"/>
              <w:rPr>
                <w:rFonts w:cs="Tahoma"/>
                <w:sz w:val="15"/>
                <w:szCs w:val="15"/>
                <w:lang w:eastAsia="tr-TR"/>
              </w:rPr>
            </w:pPr>
            <w:r w:rsidRPr="001B45E1">
              <w:rPr>
                <w:rFonts w:cs="Tahoma"/>
                <w:sz w:val="15"/>
                <w:szCs w:val="15"/>
                <w:lang w:eastAsia="tr-TR"/>
              </w:rPr>
              <w:t>1 270</w:t>
            </w:r>
          </w:p>
        </w:tc>
      </w:tr>
      <w:tr w:rsidR="00565FD5" w:rsidRPr="001B45E1" w:rsidTr="00AB62A3">
        <w:trPr>
          <w:trHeight w:val="227"/>
        </w:trPr>
        <w:tc>
          <w:tcPr>
            <w:tcW w:w="2091" w:type="pct"/>
            <w:tcBorders>
              <w:top w:val="nil"/>
              <w:bottom w:val="nil"/>
              <w:right w:val="nil"/>
            </w:tcBorders>
            <w:vAlign w:val="bottom"/>
          </w:tcPr>
          <w:p w:rsidR="00565FD5" w:rsidRPr="001B45E1" w:rsidRDefault="00565FD5" w:rsidP="00EB1E69">
            <w:pPr>
              <w:numPr>
                <w:ilvl w:val="0"/>
                <w:numId w:val="2"/>
              </w:numPr>
              <w:tabs>
                <w:tab w:val="left" w:pos="708"/>
              </w:tabs>
              <w:spacing w:after="0" w:line="240" w:lineRule="auto"/>
              <w:ind w:left="57" w:right="57" w:hanging="142"/>
              <w:rPr>
                <w:rFonts w:cs="Tahoma"/>
                <w:sz w:val="15"/>
                <w:szCs w:val="15"/>
                <w:lang w:eastAsia="tr-TR"/>
              </w:rPr>
            </w:pPr>
            <w:r w:rsidRPr="001B45E1">
              <w:rPr>
                <w:rFonts w:cs="Tahoma"/>
                <w:sz w:val="15"/>
                <w:szCs w:val="15"/>
                <w:lang w:eastAsia="tr-TR"/>
              </w:rPr>
              <w:t xml:space="preserve">   Çay</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89</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103</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113</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115</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149</w:t>
            </w:r>
          </w:p>
        </w:tc>
        <w:tc>
          <w:tcPr>
            <w:tcW w:w="509" w:type="pct"/>
            <w:tcBorders>
              <w:top w:val="nil"/>
              <w:left w:val="nil"/>
              <w:bottom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148</w:t>
            </w:r>
          </w:p>
        </w:tc>
        <w:tc>
          <w:tcPr>
            <w:tcW w:w="512" w:type="pct"/>
            <w:tcBorders>
              <w:top w:val="nil"/>
              <w:left w:val="nil"/>
              <w:bottom w:val="nil"/>
            </w:tcBorders>
            <w:vAlign w:val="bottom"/>
          </w:tcPr>
          <w:p w:rsidR="00565FD5" w:rsidRPr="001B45E1" w:rsidRDefault="00565FD5" w:rsidP="00AB62A3">
            <w:pPr>
              <w:tabs>
                <w:tab w:val="left" w:pos="708"/>
              </w:tabs>
              <w:ind w:left="57" w:right="113"/>
              <w:jc w:val="right"/>
              <w:rPr>
                <w:rFonts w:cs="Tahoma"/>
                <w:sz w:val="15"/>
                <w:szCs w:val="15"/>
                <w:lang w:eastAsia="tr-TR"/>
              </w:rPr>
            </w:pPr>
            <w:r w:rsidRPr="001B45E1">
              <w:rPr>
                <w:rFonts w:cs="Tahoma"/>
                <w:sz w:val="15"/>
                <w:szCs w:val="15"/>
                <w:lang w:eastAsia="tr-TR"/>
              </w:rPr>
              <w:t>170</w:t>
            </w:r>
          </w:p>
        </w:tc>
      </w:tr>
      <w:tr w:rsidR="00565FD5" w:rsidRPr="001B45E1" w:rsidTr="00AB62A3">
        <w:trPr>
          <w:trHeight w:val="227"/>
        </w:trPr>
        <w:tc>
          <w:tcPr>
            <w:tcW w:w="2091" w:type="pct"/>
            <w:tcBorders>
              <w:top w:val="nil"/>
              <w:bottom w:val="nil"/>
              <w:right w:val="nil"/>
            </w:tcBorders>
            <w:vAlign w:val="bottom"/>
          </w:tcPr>
          <w:p w:rsidR="00565FD5" w:rsidRPr="001B45E1" w:rsidRDefault="00565FD5" w:rsidP="00EB1E69">
            <w:pPr>
              <w:numPr>
                <w:ilvl w:val="0"/>
                <w:numId w:val="2"/>
              </w:numPr>
              <w:tabs>
                <w:tab w:val="left" w:pos="708"/>
              </w:tabs>
              <w:spacing w:after="0" w:line="240" w:lineRule="auto"/>
              <w:ind w:left="215" w:right="57" w:hanging="308"/>
              <w:rPr>
                <w:rFonts w:cs="Tahoma"/>
                <w:sz w:val="15"/>
                <w:szCs w:val="15"/>
                <w:lang w:eastAsia="tr-TR"/>
              </w:rPr>
            </w:pPr>
            <w:r>
              <w:rPr>
                <w:rFonts w:cs="Tahoma"/>
                <w:sz w:val="15"/>
                <w:szCs w:val="15"/>
                <w:lang w:eastAsia="tr-TR"/>
              </w:rPr>
              <w:t>Bakliy.</w:t>
            </w:r>
            <w:r w:rsidRPr="001B45E1">
              <w:rPr>
                <w:rFonts w:cs="Tahoma"/>
                <w:sz w:val="15"/>
                <w:szCs w:val="15"/>
                <w:lang w:eastAsia="tr-TR"/>
              </w:rPr>
              <w:t xml:space="preserve"> (Kuru Fasulye,  Nohut,</w:t>
            </w:r>
            <w:r>
              <w:rPr>
                <w:rFonts w:cs="Tahoma"/>
                <w:sz w:val="15"/>
                <w:szCs w:val="15"/>
                <w:lang w:eastAsia="tr-TR"/>
              </w:rPr>
              <w:t xml:space="preserve"> </w:t>
            </w:r>
            <w:r w:rsidRPr="001B45E1">
              <w:rPr>
                <w:rFonts w:cs="Tahoma"/>
                <w:sz w:val="15"/>
                <w:szCs w:val="15"/>
                <w:lang w:eastAsia="tr-TR"/>
              </w:rPr>
              <w:t>Mercimek)</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0</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60</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22</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23</w:t>
            </w:r>
          </w:p>
        </w:tc>
        <w:tc>
          <w:tcPr>
            <w:tcW w:w="509" w:type="pct"/>
            <w:tcBorders>
              <w:top w:val="nil"/>
              <w:left w:val="nil"/>
              <w:bottom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35</w:t>
            </w:r>
          </w:p>
        </w:tc>
        <w:tc>
          <w:tcPr>
            <w:tcW w:w="512" w:type="pct"/>
            <w:tcBorders>
              <w:top w:val="nil"/>
              <w:left w:val="nil"/>
              <w:bottom w:val="nil"/>
            </w:tcBorders>
            <w:vAlign w:val="bottom"/>
          </w:tcPr>
          <w:p w:rsidR="00565FD5" w:rsidRPr="001B45E1" w:rsidRDefault="00565FD5" w:rsidP="00AB62A3">
            <w:pPr>
              <w:tabs>
                <w:tab w:val="left" w:pos="708"/>
              </w:tabs>
              <w:ind w:left="57" w:right="113"/>
              <w:jc w:val="right"/>
              <w:rPr>
                <w:rFonts w:cs="Tahoma"/>
                <w:sz w:val="15"/>
                <w:szCs w:val="15"/>
                <w:lang w:eastAsia="tr-TR"/>
              </w:rPr>
            </w:pPr>
            <w:r w:rsidRPr="001B45E1">
              <w:rPr>
                <w:rFonts w:cs="Tahoma"/>
                <w:sz w:val="15"/>
                <w:szCs w:val="15"/>
                <w:lang w:eastAsia="tr-TR"/>
              </w:rPr>
              <w:t>57</w:t>
            </w:r>
          </w:p>
        </w:tc>
      </w:tr>
      <w:tr w:rsidR="00565FD5" w:rsidRPr="001B45E1" w:rsidTr="00AB62A3">
        <w:trPr>
          <w:trHeight w:val="227"/>
        </w:trPr>
        <w:tc>
          <w:tcPr>
            <w:tcW w:w="2091" w:type="pct"/>
            <w:tcBorders>
              <w:top w:val="nil"/>
              <w:bottom w:val="nil"/>
              <w:right w:val="nil"/>
            </w:tcBorders>
            <w:vAlign w:val="bottom"/>
          </w:tcPr>
          <w:p w:rsidR="00565FD5" w:rsidRPr="001B45E1" w:rsidRDefault="00565FD5" w:rsidP="00AB62A3">
            <w:pPr>
              <w:tabs>
                <w:tab w:val="left" w:pos="708"/>
              </w:tabs>
              <w:ind w:left="57" w:right="57"/>
              <w:rPr>
                <w:rFonts w:cs="Tahoma"/>
                <w:b/>
                <w:bCs/>
                <w:sz w:val="15"/>
                <w:szCs w:val="15"/>
                <w:lang w:eastAsia="tr-TR"/>
              </w:rPr>
            </w:pPr>
            <w:r w:rsidRPr="001B45E1">
              <w:rPr>
                <w:rFonts w:cs="Tahoma"/>
                <w:b/>
                <w:bCs/>
                <w:sz w:val="15"/>
                <w:szCs w:val="15"/>
                <w:lang w:eastAsia="tr-TR"/>
              </w:rPr>
              <w:t>Hayvancılık Destek Ödemeleri</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741</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1 095</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908</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1 158</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1 728</w:t>
            </w:r>
          </w:p>
        </w:tc>
        <w:tc>
          <w:tcPr>
            <w:tcW w:w="509" w:type="pct"/>
            <w:tcBorders>
              <w:top w:val="nil"/>
              <w:left w:val="nil"/>
              <w:bottom w:val="nil"/>
            </w:tcBorders>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2 183</w:t>
            </w:r>
          </w:p>
        </w:tc>
        <w:tc>
          <w:tcPr>
            <w:tcW w:w="512" w:type="pct"/>
            <w:tcBorders>
              <w:top w:val="nil"/>
              <w:left w:val="nil"/>
              <w:bottom w:val="nil"/>
            </w:tcBorders>
            <w:vAlign w:val="bottom"/>
          </w:tcPr>
          <w:p w:rsidR="00565FD5" w:rsidRPr="001B45E1" w:rsidRDefault="00565FD5" w:rsidP="00AB62A3">
            <w:pPr>
              <w:tabs>
                <w:tab w:val="left" w:pos="708"/>
              </w:tabs>
              <w:ind w:left="57" w:right="113"/>
              <w:jc w:val="right"/>
              <w:rPr>
                <w:rFonts w:cs="Tahoma"/>
                <w:b/>
                <w:bCs/>
                <w:sz w:val="15"/>
                <w:szCs w:val="15"/>
                <w:lang w:eastAsia="tr-TR"/>
              </w:rPr>
            </w:pPr>
            <w:r w:rsidRPr="001B45E1">
              <w:rPr>
                <w:rFonts w:cs="Tahoma"/>
                <w:b/>
                <w:bCs/>
                <w:sz w:val="15"/>
                <w:szCs w:val="15"/>
                <w:lang w:eastAsia="tr-TR"/>
              </w:rPr>
              <w:t>2 464</w:t>
            </w:r>
          </w:p>
        </w:tc>
      </w:tr>
      <w:tr w:rsidR="00565FD5" w:rsidRPr="001B45E1" w:rsidTr="00AB62A3">
        <w:trPr>
          <w:trHeight w:val="227"/>
        </w:trPr>
        <w:tc>
          <w:tcPr>
            <w:tcW w:w="2091" w:type="pct"/>
            <w:tcBorders>
              <w:top w:val="nil"/>
              <w:bottom w:val="nil"/>
              <w:right w:val="nil"/>
            </w:tcBorders>
            <w:vAlign w:val="bottom"/>
          </w:tcPr>
          <w:p w:rsidR="00565FD5" w:rsidRPr="001B45E1" w:rsidRDefault="00565FD5" w:rsidP="00AB62A3">
            <w:pPr>
              <w:tabs>
                <w:tab w:val="left" w:pos="708"/>
              </w:tabs>
              <w:ind w:left="57" w:right="57"/>
              <w:rPr>
                <w:rFonts w:cs="Tahoma"/>
                <w:b/>
                <w:bCs/>
                <w:sz w:val="15"/>
                <w:szCs w:val="15"/>
                <w:lang w:eastAsia="tr-TR"/>
              </w:rPr>
            </w:pPr>
            <w:r w:rsidRPr="001B45E1">
              <w:rPr>
                <w:rFonts w:cs="Tahoma"/>
                <w:b/>
                <w:bCs/>
                <w:sz w:val="15"/>
                <w:szCs w:val="15"/>
                <w:lang w:eastAsia="tr-TR"/>
              </w:rPr>
              <w:t>Kırsal Kalkınma Amaçlı Tarımsal Destekleme (8)</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80</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109</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247</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304</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249</w:t>
            </w:r>
          </w:p>
        </w:tc>
        <w:tc>
          <w:tcPr>
            <w:tcW w:w="509" w:type="pct"/>
            <w:tcBorders>
              <w:top w:val="nil"/>
              <w:left w:val="nil"/>
              <w:bottom w:val="nil"/>
            </w:tcBorders>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309</w:t>
            </w:r>
          </w:p>
        </w:tc>
        <w:tc>
          <w:tcPr>
            <w:tcW w:w="512" w:type="pct"/>
            <w:tcBorders>
              <w:top w:val="nil"/>
              <w:left w:val="nil"/>
              <w:bottom w:val="nil"/>
            </w:tcBorders>
            <w:vAlign w:val="bottom"/>
          </w:tcPr>
          <w:p w:rsidR="00565FD5" w:rsidRPr="001B45E1" w:rsidRDefault="00565FD5" w:rsidP="00AB62A3">
            <w:pPr>
              <w:tabs>
                <w:tab w:val="left" w:pos="708"/>
              </w:tabs>
              <w:ind w:left="57" w:right="113"/>
              <w:jc w:val="right"/>
              <w:rPr>
                <w:rFonts w:cs="Tahoma"/>
                <w:b/>
                <w:bCs/>
                <w:sz w:val="15"/>
                <w:szCs w:val="15"/>
                <w:lang w:eastAsia="tr-TR"/>
              </w:rPr>
            </w:pPr>
            <w:r w:rsidRPr="001B45E1">
              <w:rPr>
                <w:rFonts w:cs="Tahoma"/>
                <w:b/>
                <w:bCs/>
                <w:sz w:val="15"/>
                <w:szCs w:val="15"/>
                <w:lang w:eastAsia="tr-TR"/>
              </w:rPr>
              <w:t>399</w:t>
            </w:r>
          </w:p>
        </w:tc>
      </w:tr>
      <w:tr w:rsidR="00565FD5" w:rsidRPr="001B45E1" w:rsidTr="00AB62A3">
        <w:trPr>
          <w:trHeight w:val="227"/>
        </w:trPr>
        <w:tc>
          <w:tcPr>
            <w:tcW w:w="2091" w:type="pct"/>
            <w:tcBorders>
              <w:top w:val="nil"/>
              <w:bottom w:val="nil"/>
              <w:right w:val="nil"/>
            </w:tcBorders>
            <w:vAlign w:val="bottom"/>
          </w:tcPr>
          <w:p w:rsidR="00565FD5" w:rsidRPr="001B45E1" w:rsidRDefault="00565FD5" w:rsidP="00AB62A3">
            <w:pPr>
              <w:tabs>
                <w:tab w:val="left" w:pos="708"/>
              </w:tabs>
              <w:ind w:left="57" w:right="57"/>
              <w:rPr>
                <w:rFonts w:cs="Tahoma"/>
                <w:b/>
                <w:bCs/>
                <w:sz w:val="15"/>
                <w:szCs w:val="15"/>
                <w:lang w:eastAsia="tr-TR"/>
              </w:rPr>
            </w:pPr>
            <w:r w:rsidRPr="001B45E1">
              <w:rPr>
                <w:rFonts w:cs="Tahoma"/>
                <w:b/>
                <w:bCs/>
                <w:sz w:val="15"/>
                <w:szCs w:val="15"/>
                <w:lang w:eastAsia="tr-TR"/>
              </w:rPr>
              <w:t>Tarım  Sigortası Destekleme Hizmetleri</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40</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47</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61</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80</w:t>
            </w:r>
          </w:p>
        </w:tc>
        <w:tc>
          <w:tcPr>
            <w:tcW w:w="378" w:type="pct"/>
            <w:tcBorders>
              <w:top w:val="nil"/>
              <w:left w:val="nil"/>
              <w:bottom w:val="nil"/>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239</w:t>
            </w:r>
          </w:p>
        </w:tc>
        <w:tc>
          <w:tcPr>
            <w:tcW w:w="509" w:type="pct"/>
            <w:tcBorders>
              <w:top w:val="nil"/>
              <w:left w:val="nil"/>
              <w:bottom w:val="nil"/>
            </w:tcBorders>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290</w:t>
            </w:r>
          </w:p>
        </w:tc>
        <w:tc>
          <w:tcPr>
            <w:tcW w:w="512" w:type="pct"/>
            <w:tcBorders>
              <w:top w:val="nil"/>
              <w:left w:val="nil"/>
              <w:bottom w:val="nil"/>
            </w:tcBorders>
            <w:vAlign w:val="bottom"/>
          </w:tcPr>
          <w:p w:rsidR="00565FD5" w:rsidRPr="001B45E1" w:rsidRDefault="00565FD5" w:rsidP="00AB62A3">
            <w:pPr>
              <w:tabs>
                <w:tab w:val="left" w:pos="708"/>
              </w:tabs>
              <w:ind w:left="57" w:right="113"/>
              <w:jc w:val="right"/>
              <w:rPr>
                <w:rFonts w:cs="Tahoma"/>
                <w:b/>
                <w:bCs/>
                <w:sz w:val="15"/>
                <w:szCs w:val="15"/>
                <w:lang w:eastAsia="tr-TR"/>
              </w:rPr>
            </w:pPr>
            <w:r w:rsidRPr="001B45E1">
              <w:rPr>
                <w:rFonts w:cs="Tahoma"/>
                <w:b/>
                <w:bCs/>
                <w:sz w:val="15"/>
                <w:szCs w:val="15"/>
                <w:lang w:eastAsia="tr-TR"/>
              </w:rPr>
              <w:t>316</w:t>
            </w:r>
          </w:p>
        </w:tc>
      </w:tr>
      <w:tr w:rsidR="00565FD5" w:rsidRPr="001B45E1" w:rsidTr="00AB62A3">
        <w:trPr>
          <w:trHeight w:val="227"/>
        </w:trPr>
        <w:tc>
          <w:tcPr>
            <w:tcW w:w="2091" w:type="pct"/>
            <w:tcBorders>
              <w:top w:val="nil"/>
              <w:bottom w:val="single" w:sz="4" w:space="0" w:color="auto"/>
              <w:right w:val="nil"/>
            </w:tcBorders>
            <w:vAlign w:val="bottom"/>
          </w:tcPr>
          <w:p w:rsidR="00565FD5" w:rsidRPr="001B45E1" w:rsidRDefault="00565FD5" w:rsidP="00AB62A3">
            <w:pPr>
              <w:tabs>
                <w:tab w:val="left" w:pos="708"/>
              </w:tabs>
              <w:ind w:left="57" w:right="57"/>
              <w:rPr>
                <w:rFonts w:cs="Tahoma"/>
                <w:b/>
                <w:bCs/>
                <w:sz w:val="15"/>
                <w:szCs w:val="15"/>
                <w:lang w:eastAsia="tr-TR"/>
              </w:rPr>
            </w:pPr>
            <w:r w:rsidRPr="001B45E1">
              <w:rPr>
                <w:rFonts w:cs="Tahoma"/>
                <w:b/>
                <w:bCs/>
                <w:sz w:val="15"/>
                <w:szCs w:val="15"/>
                <w:lang w:eastAsia="tr-TR"/>
              </w:rPr>
              <w:t>Diğer Tarımsal Amaçlı Destekler</w:t>
            </w:r>
          </w:p>
        </w:tc>
        <w:tc>
          <w:tcPr>
            <w:tcW w:w="378" w:type="pct"/>
            <w:tcBorders>
              <w:top w:val="nil"/>
              <w:left w:val="nil"/>
              <w:bottom w:val="single" w:sz="4" w:space="0" w:color="auto"/>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23</w:t>
            </w:r>
          </w:p>
        </w:tc>
        <w:tc>
          <w:tcPr>
            <w:tcW w:w="378" w:type="pct"/>
            <w:tcBorders>
              <w:top w:val="nil"/>
              <w:left w:val="nil"/>
              <w:bottom w:val="single" w:sz="4" w:space="0" w:color="auto"/>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39</w:t>
            </w:r>
          </w:p>
        </w:tc>
        <w:tc>
          <w:tcPr>
            <w:tcW w:w="378" w:type="pct"/>
            <w:tcBorders>
              <w:top w:val="nil"/>
              <w:left w:val="nil"/>
              <w:bottom w:val="single" w:sz="4" w:space="0" w:color="auto"/>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175</w:t>
            </w:r>
          </w:p>
        </w:tc>
        <w:tc>
          <w:tcPr>
            <w:tcW w:w="378" w:type="pct"/>
            <w:tcBorders>
              <w:top w:val="nil"/>
              <w:left w:val="nil"/>
              <w:bottom w:val="single" w:sz="4" w:space="0" w:color="auto"/>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30</w:t>
            </w:r>
          </w:p>
        </w:tc>
        <w:tc>
          <w:tcPr>
            <w:tcW w:w="378" w:type="pct"/>
            <w:tcBorders>
              <w:top w:val="nil"/>
              <w:left w:val="nil"/>
              <w:bottom w:val="single" w:sz="4" w:space="0" w:color="auto"/>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42</w:t>
            </w:r>
          </w:p>
        </w:tc>
        <w:tc>
          <w:tcPr>
            <w:tcW w:w="509" w:type="pct"/>
            <w:tcBorders>
              <w:top w:val="nil"/>
              <w:left w:val="nil"/>
              <w:bottom w:val="single" w:sz="4" w:space="0" w:color="auto"/>
            </w:tcBorders>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45</w:t>
            </w:r>
          </w:p>
        </w:tc>
        <w:tc>
          <w:tcPr>
            <w:tcW w:w="512" w:type="pct"/>
            <w:tcBorders>
              <w:top w:val="nil"/>
              <w:left w:val="nil"/>
              <w:bottom w:val="single" w:sz="4" w:space="0" w:color="auto"/>
            </w:tcBorders>
            <w:vAlign w:val="bottom"/>
          </w:tcPr>
          <w:p w:rsidR="00565FD5" w:rsidRPr="001B45E1" w:rsidRDefault="00565FD5" w:rsidP="00AB62A3">
            <w:pPr>
              <w:tabs>
                <w:tab w:val="left" w:pos="708"/>
              </w:tabs>
              <w:ind w:left="57" w:right="113"/>
              <w:jc w:val="right"/>
              <w:rPr>
                <w:rFonts w:cs="Tahoma"/>
                <w:b/>
                <w:bCs/>
                <w:sz w:val="15"/>
                <w:szCs w:val="15"/>
                <w:lang w:eastAsia="tr-TR"/>
              </w:rPr>
            </w:pPr>
            <w:r w:rsidRPr="001B45E1">
              <w:rPr>
                <w:rFonts w:cs="Tahoma"/>
                <w:b/>
                <w:bCs/>
                <w:sz w:val="15"/>
                <w:szCs w:val="15"/>
                <w:lang w:eastAsia="tr-TR"/>
              </w:rPr>
              <w:t>88</w:t>
            </w:r>
          </w:p>
        </w:tc>
      </w:tr>
      <w:tr w:rsidR="00565FD5" w:rsidRPr="001B45E1" w:rsidTr="00AB62A3">
        <w:trPr>
          <w:trHeight w:val="227"/>
        </w:trPr>
        <w:tc>
          <w:tcPr>
            <w:tcW w:w="2091" w:type="pct"/>
            <w:tcBorders>
              <w:top w:val="single" w:sz="4" w:space="0" w:color="auto"/>
              <w:bottom w:val="single" w:sz="4" w:space="0" w:color="auto"/>
              <w:right w:val="nil"/>
            </w:tcBorders>
            <w:vAlign w:val="bottom"/>
          </w:tcPr>
          <w:p w:rsidR="00565FD5" w:rsidRPr="001B45E1" w:rsidRDefault="00565FD5" w:rsidP="00AB62A3">
            <w:pPr>
              <w:tabs>
                <w:tab w:val="left" w:pos="708"/>
              </w:tabs>
              <w:ind w:left="57" w:right="57"/>
              <w:rPr>
                <w:rFonts w:cs="Tahoma"/>
                <w:b/>
                <w:bCs/>
                <w:sz w:val="15"/>
                <w:szCs w:val="15"/>
                <w:lang w:eastAsia="tr-TR"/>
              </w:rPr>
            </w:pPr>
            <w:r>
              <w:rPr>
                <w:rFonts w:cs="Tahoma"/>
                <w:b/>
                <w:bCs/>
                <w:sz w:val="15"/>
                <w:szCs w:val="15"/>
                <w:lang w:eastAsia="tr-TR"/>
              </w:rPr>
              <w:t>TOPLAM</w:t>
            </w:r>
            <w:r w:rsidRPr="001B45E1">
              <w:rPr>
                <w:rFonts w:cs="Tahoma"/>
                <w:b/>
                <w:bCs/>
                <w:sz w:val="15"/>
                <w:szCs w:val="15"/>
                <w:lang w:eastAsia="tr-TR"/>
              </w:rPr>
              <w:t xml:space="preserve"> </w:t>
            </w:r>
          </w:p>
        </w:tc>
        <w:tc>
          <w:tcPr>
            <w:tcW w:w="378" w:type="pct"/>
            <w:tcBorders>
              <w:top w:val="single" w:sz="4" w:space="0" w:color="auto"/>
              <w:left w:val="nil"/>
              <w:bottom w:val="single" w:sz="4" w:space="0" w:color="auto"/>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5 288</w:t>
            </w:r>
          </w:p>
        </w:tc>
        <w:tc>
          <w:tcPr>
            <w:tcW w:w="378" w:type="pct"/>
            <w:tcBorders>
              <w:top w:val="single" w:sz="4" w:space="0" w:color="auto"/>
              <w:left w:val="nil"/>
              <w:bottom w:val="single" w:sz="4" w:space="0" w:color="auto"/>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5 262</w:t>
            </w:r>
          </w:p>
        </w:tc>
        <w:tc>
          <w:tcPr>
            <w:tcW w:w="378" w:type="pct"/>
            <w:tcBorders>
              <w:top w:val="single" w:sz="4" w:space="0" w:color="auto"/>
              <w:left w:val="nil"/>
              <w:bottom w:val="single" w:sz="4" w:space="0" w:color="auto"/>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4 645</w:t>
            </w:r>
          </w:p>
        </w:tc>
        <w:tc>
          <w:tcPr>
            <w:tcW w:w="378" w:type="pct"/>
            <w:tcBorders>
              <w:top w:val="single" w:sz="4" w:space="0" w:color="auto"/>
              <w:left w:val="nil"/>
              <w:bottom w:val="single" w:sz="4" w:space="0" w:color="auto"/>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5 684</w:t>
            </w:r>
          </w:p>
        </w:tc>
        <w:tc>
          <w:tcPr>
            <w:tcW w:w="378" w:type="pct"/>
            <w:tcBorders>
              <w:top w:val="single" w:sz="4" w:space="0" w:color="auto"/>
              <w:left w:val="nil"/>
              <w:bottom w:val="single" w:sz="4" w:space="0" w:color="auto"/>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6 951</w:t>
            </w:r>
          </w:p>
        </w:tc>
        <w:tc>
          <w:tcPr>
            <w:tcW w:w="509" w:type="pct"/>
            <w:tcBorders>
              <w:top w:val="single" w:sz="4" w:space="0" w:color="auto"/>
              <w:left w:val="nil"/>
              <w:bottom w:val="single" w:sz="4" w:space="0" w:color="auto"/>
            </w:tcBorders>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7 657</w:t>
            </w:r>
          </w:p>
        </w:tc>
        <w:tc>
          <w:tcPr>
            <w:tcW w:w="512" w:type="pct"/>
            <w:tcBorders>
              <w:top w:val="single" w:sz="4" w:space="0" w:color="auto"/>
              <w:left w:val="nil"/>
              <w:bottom w:val="single" w:sz="4" w:space="0" w:color="auto"/>
            </w:tcBorders>
            <w:vAlign w:val="bottom"/>
          </w:tcPr>
          <w:p w:rsidR="00565FD5" w:rsidRPr="001B45E1" w:rsidRDefault="00565FD5" w:rsidP="00AB62A3">
            <w:pPr>
              <w:tabs>
                <w:tab w:val="left" w:pos="708"/>
              </w:tabs>
              <w:ind w:left="57" w:right="113"/>
              <w:jc w:val="right"/>
              <w:rPr>
                <w:rFonts w:cs="Tahoma"/>
                <w:b/>
                <w:bCs/>
                <w:sz w:val="15"/>
                <w:szCs w:val="15"/>
                <w:lang w:eastAsia="tr-TR"/>
              </w:rPr>
            </w:pPr>
            <w:r w:rsidRPr="001B45E1">
              <w:rPr>
                <w:rFonts w:cs="Tahoma"/>
                <w:b/>
                <w:bCs/>
                <w:sz w:val="15"/>
                <w:szCs w:val="15"/>
                <w:lang w:eastAsia="tr-TR"/>
              </w:rPr>
              <w:t>8 975</w:t>
            </w:r>
          </w:p>
        </w:tc>
      </w:tr>
      <w:tr w:rsidR="00565FD5" w:rsidRPr="001B45E1" w:rsidTr="00AB62A3">
        <w:trPr>
          <w:trHeight w:val="227"/>
        </w:trPr>
        <w:tc>
          <w:tcPr>
            <w:tcW w:w="2091" w:type="pct"/>
            <w:tcBorders>
              <w:top w:val="single" w:sz="4" w:space="0" w:color="auto"/>
              <w:bottom w:val="nil"/>
              <w:right w:val="nil"/>
            </w:tcBorders>
            <w:vAlign w:val="bottom"/>
          </w:tcPr>
          <w:p w:rsidR="00565FD5" w:rsidRPr="001B45E1" w:rsidRDefault="00565FD5" w:rsidP="00AB62A3">
            <w:pPr>
              <w:tabs>
                <w:tab w:val="left" w:pos="708"/>
              </w:tabs>
              <w:ind w:left="61" w:right="57" w:hanging="61"/>
              <w:rPr>
                <w:rFonts w:cs="Tahoma"/>
                <w:bCs/>
                <w:sz w:val="15"/>
                <w:szCs w:val="15"/>
                <w:lang w:eastAsia="tr-TR"/>
              </w:rPr>
            </w:pPr>
            <w:r w:rsidRPr="001B45E1">
              <w:rPr>
                <w:rFonts w:cs="Tahoma"/>
                <w:bCs/>
                <w:sz w:val="15"/>
                <w:szCs w:val="15"/>
                <w:lang w:eastAsia="tr-TR"/>
              </w:rPr>
              <w:t xml:space="preserve"> Afetten Zarar Gören Çiftçi. Yard.  Ödemeleri</w:t>
            </w:r>
          </w:p>
        </w:tc>
        <w:tc>
          <w:tcPr>
            <w:tcW w:w="378" w:type="pct"/>
            <w:tcBorders>
              <w:top w:val="single" w:sz="4" w:space="0" w:color="auto"/>
              <w:left w:val="nil"/>
              <w:bottom w:val="nil"/>
              <w:right w:val="nil"/>
            </w:tcBorders>
            <w:noWrap/>
            <w:vAlign w:val="bottom"/>
          </w:tcPr>
          <w:p w:rsidR="00565FD5" w:rsidRPr="001B45E1" w:rsidRDefault="00565FD5" w:rsidP="00AB62A3">
            <w:pPr>
              <w:tabs>
                <w:tab w:val="left" w:pos="708"/>
              </w:tabs>
              <w:ind w:left="57" w:right="57"/>
              <w:jc w:val="right"/>
              <w:rPr>
                <w:rFonts w:cs="Tahoma"/>
                <w:bCs/>
                <w:sz w:val="15"/>
                <w:szCs w:val="15"/>
                <w:lang w:eastAsia="tr-TR"/>
              </w:rPr>
            </w:pPr>
            <w:r w:rsidRPr="001B45E1">
              <w:rPr>
                <w:rFonts w:cs="Tahoma"/>
                <w:bCs/>
                <w:sz w:val="15"/>
                <w:szCs w:val="15"/>
                <w:lang w:eastAsia="tr-TR"/>
              </w:rPr>
              <w:t>355 </w:t>
            </w:r>
          </w:p>
        </w:tc>
        <w:tc>
          <w:tcPr>
            <w:tcW w:w="378" w:type="pct"/>
            <w:tcBorders>
              <w:top w:val="single" w:sz="4" w:space="0" w:color="auto"/>
              <w:left w:val="nil"/>
              <w:bottom w:val="nil"/>
              <w:right w:val="nil"/>
            </w:tcBorders>
            <w:noWrap/>
            <w:vAlign w:val="bottom"/>
          </w:tcPr>
          <w:p w:rsidR="00565FD5" w:rsidRPr="001B45E1" w:rsidRDefault="00565FD5" w:rsidP="00AB62A3">
            <w:pPr>
              <w:tabs>
                <w:tab w:val="left" w:pos="708"/>
              </w:tabs>
              <w:ind w:left="57" w:right="57"/>
              <w:jc w:val="right"/>
              <w:rPr>
                <w:rFonts w:cs="Tahoma"/>
                <w:bCs/>
                <w:sz w:val="15"/>
                <w:szCs w:val="15"/>
                <w:lang w:eastAsia="tr-TR"/>
              </w:rPr>
            </w:pPr>
            <w:r w:rsidRPr="001B45E1">
              <w:rPr>
                <w:rFonts w:cs="Tahoma"/>
                <w:bCs/>
                <w:sz w:val="15"/>
                <w:szCs w:val="15"/>
                <w:lang w:eastAsia="tr-TR"/>
              </w:rPr>
              <w:t>577</w:t>
            </w:r>
          </w:p>
        </w:tc>
        <w:tc>
          <w:tcPr>
            <w:tcW w:w="378" w:type="pct"/>
            <w:tcBorders>
              <w:top w:val="single" w:sz="4" w:space="0" w:color="auto"/>
              <w:left w:val="nil"/>
              <w:bottom w:val="nil"/>
              <w:right w:val="nil"/>
            </w:tcBorders>
            <w:noWrap/>
            <w:vAlign w:val="bottom"/>
          </w:tcPr>
          <w:p w:rsidR="00565FD5" w:rsidRPr="001B45E1" w:rsidRDefault="00565FD5" w:rsidP="00AB62A3">
            <w:pPr>
              <w:tabs>
                <w:tab w:val="left" w:pos="708"/>
              </w:tabs>
              <w:ind w:left="57" w:right="57"/>
              <w:jc w:val="right"/>
              <w:rPr>
                <w:rFonts w:cs="Tahoma"/>
                <w:bCs/>
                <w:sz w:val="15"/>
                <w:szCs w:val="15"/>
                <w:lang w:eastAsia="tr-TR"/>
              </w:rPr>
            </w:pPr>
            <w:r w:rsidRPr="001B45E1">
              <w:rPr>
                <w:rFonts w:cs="Tahoma"/>
                <w:bCs/>
                <w:sz w:val="15"/>
                <w:szCs w:val="15"/>
                <w:lang w:eastAsia="tr-TR"/>
              </w:rPr>
              <w:t>29</w:t>
            </w:r>
          </w:p>
        </w:tc>
        <w:tc>
          <w:tcPr>
            <w:tcW w:w="378" w:type="pct"/>
            <w:tcBorders>
              <w:top w:val="single" w:sz="4" w:space="0" w:color="auto"/>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137</w:t>
            </w:r>
          </w:p>
        </w:tc>
        <w:tc>
          <w:tcPr>
            <w:tcW w:w="378" w:type="pct"/>
            <w:tcBorders>
              <w:top w:val="single" w:sz="4" w:space="0" w:color="auto"/>
              <w:left w:val="nil"/>
              <w:bottom w:val="nil"/>
              <w:right w:val="nil"/>
            </w:tcBorders>
            <w:noWrap/>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0</w:t>
            </w:r>
          </w:p>
        </w:tc>
        <w:tc>
          <w:tcPr>
            <w:tcW w:w="509" w:type="pct"/>
            <w:tcBorders>
              <w:top w:val="single" w:sz="4" w:space="0" w:color="auto"/>
              <w:left w:val="nil"/>
              <w:bottom w:val="nil"/>
            </w:tcBorders>
            <w:vAlign w:val="bottom"/>
          </w:tcPr>
          <w:p w:rsidR="00565FD5" w:rsidRPr="001B45E1" w:rsidRDefault="00565FD5" w:rsidP="00AB62A3">
            <w:pPr>
              <w:tabs>
                <w:tab w:val="left" w:pos="708"/>
              </w:tabs>
              <w:ind w:left="57" w:right="57"/>
              <w:jc w:val="right"/>
              <w:rPr>
                <w:rFonts w:cs="Tahoma"/>
                <w:sz w:val="15"/>
                <w:szCs w:val="15"/>
                <w:lang w:eastAsia="tr-TR"/>
              </w:rPr>
            </w:pPr>
            <w:r w:rsidRPr="001B45E1">
              <w:rPr>
                <w:rFonts w:cs="Tahoma"/>
                <w:sz w:val="15"/>
                <w:szCs w:val="15"/>
                <w:lang w:eastAsia="tr-TR"/>
              </w:rPr>
              <w:t>0</w:t>
            </w:r>
          </w:p>
        </w:tc>
        <w:tc>
          <w:tcPr>
            <w:tcW w:w="512" w:type="pct"/>
            <w:tcBorders>
              <w:top w:val="single" w:sz="4" w:space="0" w:color="auto"/>
              <w:left w:val="nil"/>
              <w:bottom w:val="nil"/>
            </w:tcBorders>
            <w:vAlign w:val="bottom"/>
          </w:tcPr>
          <w:p w:rsidR="00565FD5" w:rsidRPr="001B45E1" w:rsidRDefault="00565FD5" w:rsidP="00AB62A3">
            <w:pPr>
              <w:tabs>
                <w:tab w:val="left" w:pos="708"/>
              </w:tabs>
              <w:ind w:left="57" w:right="113"/>
              <w:jc w:val="right"/>
              <w:rPr>
                <w:rFonts w:cs="Tahoma"/>
                <w:sz w:val="15"/>
                <w:szCs w:val="15"/>
                <w:lang w:eastAsia="tr-TR"/>
              </w:rPr>
            </w:pPr>
            <w:r w:rsidRPr="001B45E1">
              <w:rPr>
                <w:rFonts w:cs="Tahoma"/>
                <w:sz w:val="15"/>
                <w:szCs w:val="15"/>
                <w:lang w:eastAsia="tr-TR"/>
              </w:rPr>
              <w:t>0</w:t>
            </w:r>
          </w:p>
        </w:tc>
      </w:tr>
      <w:tr w:rsidR="00565FD5" w:rsidRPr="001B45E1" w:rsidTr="00AB62A3">
        <w:trPr>
          <w:trHeight w:val="227"/>
        </w:trPr>
        <w:tc>
          <w:tcPr>
            <w:tcW w:w="2091" w:type="pct"/>
            <w:tcBorders>
              <w:top w:val="nil"/>
              <w:bottom w:val="single" w:sz="4" w:space="0" w:color="auto"/>
              <w:right w:val="nil"/>
            </w:tcBorders>
            <w:vAlign w:val="bottom"/>
          </w:tcPr>
          <w:p w:rsidR="00565FD5" w:rsidRPr="001B45E1" w:rsidRDefault="00565FD5" w:rsidP="00AB62A3">
            <w:pPr>
              <w:tabs>
                <w:tab w:val="left" w:pos="708"/>
              </w:tabs>
              <w:ind w:left="57" w:right="57"/>
              <w:rPr>
                <w:rFonts w:cs="Tahoma"/>
                <w:bCs/>
                <w:sz w:val="15"/>
                <w:szCs w:val="15"/>
                <w:lang w:eastAsia="tr-TR"/>
              </w:rPr>
            </w:pPr>
            <w:r w:rsidRPr="001B45E1">
              <w:rPr>
                <w:rFonts w:cs="Tahoma"/>
                <w:bCs/>
                <w:sz w:val="15"/>
                <w:szCs w:val="15"/>
                <w:lang w:eastAsia="tr-TR"/>
              </w:rPr>
              <w:t>GAP Eylem Planı Kırsal Kalkınma ve Hayvancılık Destekleri (9)</w:t>
            </w:r>
          </w:p>
        </w:tc>
        <w:tc>
          <w:tcPr>
            <w:tcW w:w="378" w:type="pct"/>
            <w:tcBorders>
              <w:top w:val="nil"/>
              <w:left w:val="nil"/>
              <w:bottom w:val="single" w:sz="4" w:space="0" w:color="auto"/>
              <w:right w:val="nil"/>
            </w:tcBorders>
            <w:noWrap/>
            <w:vAlign w:val="bottom"/>
          </w:tcPr>
          <w:p w:rsidR="00565FD5" w:rsidRPr="001B45E1" w:rsidRDefault="00565FD5" w:rsidP="00AB62A3">
            <w:pPr>
              <w:tabs>
                <w:tab w:val="left" w:pos="708"/>
              </w:tabs>
              <w:ind w:left="57" w:right="57"/>
              <w:jc w:val="right"/>
              <w:rPr>
                <w:rFonts w:cs="Tahoma"/>
                <w:bCs/>
                <w:sz w:val="15"/>
                <w:szCs w:val="15"/>
                <w:lang w:eastAsia="tr-TR"/>
              </w:rPr>
            </w:pPr>
            <w:r w:rsidRPr="001B45E1">
              <w:rPr>
                <w:rFonts w:cs="Tahoma"/>
                <w:bCs/>
                <w:sz w:val="15"/>
                <w:szCs w:val="15"/>
                <w:lang w:eastAsia="tr-TR"/>
              </w:rPr>
              <w:t>0</w:t>
            </w:r>
          </w:p>
        </w:tc>
        <w:tc>
          <w:tcPr>
            <w:tcW w:w="378" w:type="pct"/>
            <w:tcBorders>
              <w:top w:val="nil"/>
              <w:left w:val="nil"/>
              <w:bottom w:val="single" w:sz="4" w:space="0" w:color="auto"/>
              <w:right w:val="nil"/>
            </w:tcBorders>
            <w:noWrap/>
            <w:vAlign w:val="bottom"/>
          </w:tcPr>
          <w:p w:rsidR="00565FD5" w:rsidRPr="001B45E1" w:rsidRDefault="00565FD5" w:rsidP="00AB62A3">
            <w:pPr>
              <w:tabs>
                <w:tab w:val="left" w:pos="708"/>
              </w:tabs>
              <w:ind w:left="57" w:right="57"/>
              <w:jc w:val="right"/>
              <w:rPr>
                <w:rFonts w:cs="Tahoma"/>
                <w:bCs/>
                <w:sz w:val="15"/>
                <w:szCs w:val="15"/>
                <w:lang w:eastAsia="tr-TR"/>
              </w:rPr>
            </w:pPr>
            <w:r w:rsidRPr="001B45E1">
              <w:rPr>
                <w:rFonts w:cs="Tahoma"/>
                <w:bCs/>
                <w:sz w:val="15"/>
                <w:szCs w:val="15"/>
                <w:lang w:eastAsia="tr-TR"/>
              </w:rPr>
              <w:t>25</w:t>
            </w:r>
          </w:p>
        </w:tc>
        <w:tc>
          <w:tcPr>
            <w:tcW w:w="378" w:type="pct"/>
            <w:tcBorders>
              <w:top w:val="nil"/>
              <w:left w:val="nil"/>
              <w:bottom w:val="single" w:sz="4" w:space="0" w:color="auto"/>
              <w:right w:val="nil"/>
            </w:tcBorders>
            <w:noWrap/>
            <w:vAlign w:val="bottom"/>
          </w:tcPr>
          <w:p w:rsidR="00565FD5" w:rsidRPr="001B45E1" w:rsidRDefault="00565FD5" w:rsidP="00AB62A3">
            <w:pPr>
              <w:tabs>
                <w:tab w:val="left" w:pos="708"/>
              </w:tabs>
              <w:ind w:left="57" w:right="57"/>
              <w:jc w:val="right"/>
              <w:rPr>
                <w:rFonts w:cs="Tahoma"/>
                <w:bCs/>
                <w:sz w:val="15"/>
                <w:szCs w:val="15"/>
                <w:lang w:eastAsia="tr-TR"/>
              </w:rPr>
            </w:pPr>
            <w:r w:rsidRPr="001B45E1">
              <w:rPr>
                <w:rFonts w:cs="Tahoma"/>
                <w:bCs/>
                <w:sz w:val="15"/>
                <w:szCs w:val="15"/>
                <w:lang w:eastAsia="tr-TR"/>
              </w:rPr>
              <w:t>75</w:t>
            </w:r>
          </w:p>
        </w:tc>
        <w:tc>
          <w:tcPr>
            <w:tcW w:w="378" w:type="pct"/>
            <w:tcBorders>
              <w:top w:val="nil"/>
              <w:left w:val="nil"/>
              <w:bottom w:val="single" w:sz="4" w:space="0" w:color="auto"/>
              <w:right w:val="nil"/>
            </w:tcBorders>
            <w:noWrap/>
            <w:vAlign w:val="bottom"/>
          </w:tcPr>
          <w:p w:rsidR="00565FD5" w:rsidRPr="001B45E1" w:rsidRDefault="00565FD5" w:rsidP="00AB62A3">
            <w:pPr>
              <w:tabs>
                <w:tab w:val="left" w:pos="708"/>
              </w:tabs>
              <w:ind w:left="57" w:right="57"/>
              <w:jc w:val="right"/>
              <w:rPr>
                <w:rFonts w:cs="Tahoma"/>
                <w:bCs/>
                <w:sz w:val="15"/>
                <w:szCs w:val="15"/>
                <w:lang w:eastAsia="tr-TR"/>
              </w:rPr>
            </w:pPr>
            <w:r w:rsidRPr="001B45E1">
              <w:rPr>
                <w:rFonts w:cs="Tahoma"/>
                <w:bCs/>
                <w:sz w:val="15"/>
                <w:szCs w:val="15"/>
                <w:lang w:eastAsia="tr-TR"/>
              </w:rPr>
              <w:t>126</w:t>
            </w:r>
          </w:p>
        </w:tc>
        <w:tc>
          <w:tcPr>
            <w:tcW w:w="378" w:type="pct"/>
            <w:tcBorders>
              <w:top w:val="nil"/>
              <w:left w:val="nil"/>
              <w:bottom w:val="single" w:sz="4" w:space="0" w:color="auto"/>
              <w:right w:val="nil"/>
            </w:tcBorders>
            <w:noWrap/>
            <w:vAlign w:val="bottom"/>
          </w:tcPr>
          <w:p w:rsidR="00565FD5" w:rsidRPr="001B45E1" w:rsidRDefault="00565FD5" w:rsidP="00AB62A3">
            <w:pPr>
              <w:tabs>
                <w:tab w:val="left" w:pos="708"/>
              </w:tabs>
              <w:ind w:left="57" w:right="57"/>
              <w:jc w:val="right"/>
              <w:rPr>
                <w:rFonts w:cs="Tahoma"/>
                <w:bCs/>
                <w:sz w:val="15"/>
                <w:szCs w:val="15"/>
                <w:lang w:eastAsia="tr-TR"/>
              </w:rPr>
            </w:pPr>
            <w:r w:rsidRPr="001B45E1">
              <w:rPr>
                <w:rFonts w:cs="Tahoma"/>
                <w:bCs/>
                <w:sz w:val="15"/>
                <w:szCs w:val="15"/>
                <w:lang w:eastAsia="tr-TR"/>
              </w:rPr>
              <w:t>114</w:t>
            </w:r>
          </w:p>
        </w:tc>
        <w:tc>
          <w:tcPr>
            <w:tcW w:w="509" w:type="pct"/>
            <w:tcBorders>
              <w:top w:val="nil"/>
              <w:left w:val="nil"/>
              <w:bottom w:val="single" w:sz="4" w:space="0" w:color="auto"/>
            </w:tcBorders>
            <w:vAlign w:val="bottom"/>
          </w:tcPr>
          <w:p w:rsidR="00565FD5" w:rsidRPr="001B45E1" w:rsidRDefault="00565FD5" w:rsidP="00AB62A3">
            <w:pPr>
              <w:tabs>
                <w:tab w:val="left" w:pos="708"/>
              </w:tabs>
              <w:ind w:left="57" w:right="57"/>
              <w:jc w:val="right"/>
              <w:rPr>
                <w:rFonts w:cs="Tahoma"/>
                <w:bCs/>
                <w:sz w:val="15"/>
                <w:szCs w:val="15"/>
                <w:lang w:eastAsia="tr-TR"/>
              </w:rPr>
            </w:pPr>
            <w:r w:rsidRPr="001B45E1">
              <w:rPr>
                <w:rFonts w:cs="Tahoma"/>
                <w:bCs/>
                <w:sz w:val="15"/>
                <w:szCs w:val="15"/>
                <w:lang w:eastAsia="tr-TR"/>
              </w:rPr>
              <w:t>120</w:t>
            </w:r>
          </w:p>
        </w:tc>
        <w:tc>
          <w:tcPr>
            <w:tcW w:w="512" w:type="pct"/>
            <w:tcBorders>
              <w:top w:val="nil"/>
              <w:left w:val="nil"/>
              <w:bottom w:val="single" w:sz="4" w:space="0" w:color="auto"/>
            </w:tcBorders>
            <w:vAlign w:val="bottom"/>
          </w:tcPr>
          <w:p w:rsidR="00565FD5" w:rsidRPr="001B45E1" w:rsidRDefault="00565FD5" w:rsidP="00AB62A3">
            <w:pPr>
              <w:tabs>
                <w:tab w:val="left" w:pos="708"/>
              </w:tabs>
              <w:ind w:left="57" w:right="113"/>
              <w:jc w:val="right"/>
              <w:rPr>
                <w:rFonts w:cs="Tahoma"/>
                <w:bCs/>
                <w:sz w:val="15"/>
                <w:szCs w:val="15"/>
                <w:lang w:eastAsia="tr-TR"/>
              </w:rPr>
            </w:pPr>
            <w:r w:rsidRPr="001B45E1">
              <w:rPr>
                <w:rFonts w:cs="Tahoma"/>
                <w:bCs/>
                <w:sz w:val="15"/>
                <w:szCs w:val="15"/>
                <w:lang w:eastAsia="tr-TR"/>
              </w:rPr>
              <w:t>127</w:t>
            </w:r>
          </w:p>
        </w:tc>
      </w:tr>
      <w:tr w:rsidR="00565FD5" w:rsidRPr="001B45E1" w:rsidTr="00AB62A3">
        <w:trPr>
          <w:trHeight w:val="227"/>
        </w:trPr>
        <w:tc>
          <w:tcPr>
            <w:tcW w:w="2091" w:type="pct"/>
            <w:tcBorders>
              <w:top w:val="single" w:sz="4" w:space="0" w:color="auto"/>
              <w:bottom w:val="single" w:sz="4" w:space="0" w:color="auto"/>
              <w:right w:val="nil"/>
            </w:tcBorders>
            <w:vAlign w:val="bottom"/>
          </w:tcPr>
          <w:p w:rsidR="00565FD5" w:rsidRPr="001B45E1" w:rsidRDefault="00565FD5" w:rsidP="00AB62A3">
            <w:pPr>
              <w:tabs>
                <w:tab w:val="left" w:pos="708"/>
              </w:tabs>
              <w:ind w:left="57" w:right="57"/>
              <w:rPr>
                <w:rFonts w:cs="Tahoma"/>
                <w:b/>
                <w:bCs/>
                <w:sz w:val="15"/>
                <w:szCs w:val="15"/>
                <w:lang w:eastAsia="tr-TR"/>
              </w:rPr>
            </w:pPr>
            <w:r w:rsidRPr="001B45E1">
              <w:rPr>
                <w:rFonts w:cs="Tahoma"/>
                <w:b/>
                <w:bCs/>
                <w:sz w:val="15"/>
                <w:szCs w:val="15"/>
                <w:lang w:eastAsia="tr-TR"/>
              </w:rPr>
              <w:t>GENEL TOPLAM</w:t>
            </w:r>
          </w:p>
        </w:tc>
        <w:tc>
          <w:tcPr>
            <w:tcW w:w="378" w:type="pct"/>
            <w:tcBorders>
              <w:top w:val="single" w:sz="4" w:space="0" w:color="auto"/>
              <w:left w:val="nil"/>
              <w:bottom w:val="single" w:sz="4" w:space="0" w:color="auto"/>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5 643</w:t>
            </w:r>
          </w:p>
        </w:tc>
        <w:tc>
          <w:tcPr>
            <w:tcW w:w="378" w:type="pct"/>
            <w:tcBorders>
              <w:top w:val="single" w:sz="4" w:space="0" w:color="auto"/>
              <w:left w:val="nil"/>
              <w:bottom w:val="single" w:sz="4" w:space="0" w:color="auto"/>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5 864</w:t>
            </w:r>
          </w:p>
        </w:tc>
        <w:tc>
          <w:tcPr>
            <w:tcW w:w="378" w:type="pct"/>
            <w:tcBorders>
              <w:top w:val="single" w:sz="4" w:space="0" w:color="auto"/>
              <w:left w:val="nil"/>
              <w:bottom w:val="single" w:sz="4" w:space="0" w:color="auto"/>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4 749</w:t>
            </w:r>
          </w:p>
        </w:tc>
        <w:tc>
          <w:tcPr>
            <w:tcW w:w="378" w:type="pct"/>
            <w:tcBorders>
              <w:top w:val="single" w:sz="4" w:space="0" w:color="auto"/>
              <w:left w:val="nil"/>
              <w:bottom w:val="single" w:sz="4" w:space="0" w:color="auto"/>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5 947</w:t>
            </w:r>
          </w:p>
        </w:tc>
        <w:tc>
          <w:tcPr>
            <w:tcW w:w="378" w:type="pct"/>
            <w:tcBorders>
              <w:top w:val="single" w:sz="4" w:space="0" w:color="auto"/>
              <w:left w:val="nil"/>
              <w:bottom w:val="single" w:sz="4" w:space="0" w:color="auto"/>
              <w:right w:val="nil"/>
            </w:tcBorders>
            <w:noWrap/>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7 085</w:t>
            </w:r>
          </w:p>
        </w:tc>
        <w:tc>
          <w:tcPr>
            <w:tcW w:w="509" w:type="pct"/>
            <w:tcBorders>
              <w:top w:val="single" w:sz="4" w:space="0" w:color="auto"/>
              <w:left w:val="nil"/>
              <w:bottom w:val="single" w:sz="4" w:space="0" w:color="auto"/>
            </w:tcBorders>
            <w:vAlign w:val="bottom"/>
          </w:tcPr>
          <w:p w:rsidR="00565FD5" w:rsidRPr="001B45E1" w:rsidRDefault="00565FD5" w:rsidP="00AB62A3">
            <w:pPr>
              <w:tabs>
                <w:tab w:val="left" w:pos="708"/>
              </w:tabs>
              <w:ind w:left="57" w:right="57"/>
              <w:jc w:val="right"/>
              <w:rPr>
                <w:rFonts w:cs="Tahoma"/>
                <w:b/>
                <w:bCs/>
                <w:sz w:val="15"/>
                <w:szCs w:val="15"/>
                <w:lang w:eastAsia="tr-TR"/>
              </w:rPr>
            </w:pPr>
            <w:r w:rsidRPr="001B45E1">
              <w:rPr>
                <w:rFonts w:cs="Tahoma"/>
                <w:b/>
                <w:bCs/>
                <w:sz w:val="15"/>
                <w:szCs w:val="15"/>
                <w:lang w:eastAsia="tr-TR"/>
              </w:rPr>
              <w:t>7 786</w:t>
            </w:r>
          </w:p>
        </w:tc>
        <w:tc>
          <w:tcPr>
            <w:tcW w:w="512" w:type="pct"/>
            <w:tcBorders>
              <w:top w:val="single" w:sz="4" w:space="0" w:color="auto"/>
              <w:left w:val="nil"/>
              <w:bottom w:val="single" w:sz="4" w:space="0" w:color="auto"/>
            </w:tcBorders>
            <w:vAlign w:val="bottom"/>
          </w:tcPr>
          <w:p w:rsidR="00565FD5" w:rsidRPr="001B45E1" w:rsidRDefault="00565FD5" w:rsidP="00AB62A3">
            <w:pPr>
              <w:tabs>
                <w:tab w:val="left" w:pos="708"/>
              </w:tabs>
              <w:ind w:left="57" w:right="113"/>
              <w:jc w:val="right"/>
              <w:rPr>
                <w:rFonts w:cs="Tahoma"/>
                <w:b/>
                <w:bCs/>
                <w:sz w:val="15"/>
                <w:szCs w:val="15"/>
                <w:lang w:eastAsia="tr-TR"/>
              </w:rPr>
            </w:pPr>
            <w:r w:rsidRPr="001B45E1">
              <w:rPr>
                <w:rFonts w:cs="Tahoma"/>
                <w:b/>
                <w:bCs/>
                <w:sz w:val="15"/>
                <w:szCs w:val="15"/>
                <w:lang w:eastAsia="tr-TR"/>
              </w:rPr>
              <w:t>9 102</w:t>
            </w:r>
          </w:p>
        </w:tc>
      </w:tr>
    </w:tbl>
    <w:p w:rsidR="00565FD5" w:rsidRDefault="00565FD5" w:rsidP="00565FD5">
      <w:pPr>
        <w:rPr>
          <w:rFonts w:cs="Tahoma"/>
          <w:sz w:val="14"/>
          <w:szCs w:val="14"/>
          <w:lang w:eastAsia="tr-TR"/>
        </w:rPr>
      </w:pPr>
      <w:r>
        <w:rPr>
          <w:rFonts w:cs="Tahoma"/>
          <w:sz w:val="14"/>
          <w:szCs w:val="14"/>
          <w:lang w:eastAsia="tr-TR"/>
        </w:rPr>
        <w:t>Kaynak: Gıda, Tarım ve Hayvancılık Bakanlığı.</w:t>
      </w:r>
    </w:p>
    <w:p w:rsidR="00565FD5" w:rsidRPr="001B45E1" w:rsidRDefault="00565FD5" w:rsidP="00565FD5">
      <w:pPr>
        <w:rPr>
          <w:rFonts w:cs="Tahoma"/>
          <w:sz w:val="14"/>
          <w:szCs w:val="14"/>
          <w:lang w:eastAsia="tr-TR"/>
        </w:rPr>
      </w:pPr>
      <w:r w:rsidRPr="001B45E1">
        <w:rPr>
          <w:rFonts w:cs="Tahoma"/>
          <w:sz w:val="14"/>
          <w:szCs w:val="14"/>
          <w:lang w:eastAsia="tr-TR"/>
        </w:rPr>
        <w:t>(1) 2007-2011 arası ilgili kurum bütçesi kesin hesap verileridir.</w:t>
      </w:r>
    </w:p>
    <w:p w:rsidR="00565FD5" w:rsidRPr="001B45E1" w:rsidRDefault="00565FD5" w:rsidP="00565FD5">
      <w:pPr>
        <w:rPr>
          <w:rFonts w:cs="Tahoma"/>
          <w:sz w:val="14"/>
          <w:szCs w:val="14"/>
          <w:lang w:eastAsia="tr-TR"/>
        </w:rPr>
      </w:pPr>
      <w:r w:rsidRPr="001B45E1">
        <w:rPr>
          <w:rFonts w:cs="Tahoma"/>
          <w:sz w:val="14"/>
          <w:szCs w:val="14"/>
          <w:lang w:eastAsia="tr-TR"/>
        </w:rPr>
        <w:t>(2) Gerçekleşme tahmini</w:t>
      </w:r>
    </w:p>
    <w:p w:rsidR="00565FD5" w:rsidRPr="001B45E1" w:rsidRDefault="00565FD5" w:rsidP="00565FD5">
      <w:pPr>
        <w:rPr>
          <w:rFonts w:cs="Tahoma"/>
          <w:sz w:val="14"/>
          <w:szCs w:val="14"/>
          <w:lang w:eastAsia="tr-TR"/>
        </w:rPr>
      </w:pPr>
      <w:r w:rsidRPr="001B45E1">
        <w:rPr>
          <w:rFonts w:cs="Tahoma"/>
          <w:sz w:val="14"/>
          <w:szCs w:val="14"/>
          <w:lang w:eastAsia="tr-TR"/>
        </w:rPr>
        <w:t>(3) Program</w:t>
      </w:r>
    </w:p>
    <w:p w:rsidR="00565FD5" w:rsidRPr="001B45E1" w:rsidRDefault="00565FD5" w:rsidP="00565FD5">
      <w:pPr>
        <w:rPr>
          <w:rFonts w:cs="Tahoma"/>
          <w:sz w:val="14"/>
          <w:szCs w:val="14"/>
          <w:lang w:eastAsia="tr-TR"/>
        </w:rPr>
      </w:pPr>
      <w:r w:rsidRPr="001B45E1">
        <w:rPr>
          <w:rFonts w:cs="Tahoma"/>
          <w:sz w:val="14"/>
          <w:szCs w:val="14"/>
          <w:lang w:eastAsia="tr-TR"/>
        </w:rPr>
        <w:lastRenderedPageBreak/>
        <w:t>(4) 2007 ve 2008 yıllarındaki alan bazlı ödemelerde iyi tarım uygulamaları bulunmamaktadır.</w:t>
      </w:r>
    </w:p>
    <w:p w:rsidR="00565FD5" w:rsidRPr="001B45E1" w:rsidRDefault="00565FD5" w:rsidP="00565FD5">
      <w:pPr>
        <w:rPr>
          <w:rFonts w:cs="Tahoma"/>
          <w:sz w:val="14"/>
          <w:szCs w:val="14"/>
          <w:lang w:eastAsia="tr-TR"/>
        </w:rPr>
      </w:pPr>
      <w:r w:rsidRPr="001B45E1">
        <w:rPr>
          <w:rFonts w:cs="Tahoma"/>
          <w:sz w:val="14"/>
          <w:szCs w:val="14"/>
          <w:lang w:eastAsia="tr-TR"/>
        </w:rPr>
        <w:t>(5) 2007 ve 2008 yıllarında Tarım Reformu Uygulama Projesi kapsamında yürütülmüştür.</w:t>
      </w:r>
    </w:p>
    <w:p w:rsidR="00565FD5" w:rsidRPr="001B45E1" w:rsidRDefault="00565FD5" w:rsidP="00565FD5">
      <w:pPr>
        <w:rPr>
          <w:rFonts w:cs="Tahoma"/>
          <w:sz w:val="14"/>
          <w:szCs w:val="14"/>
          <w:lang w:eastAsia="tr-TR"/>
        </w:rPr>
      </w:pPr>
      <w:r w:rsidRPr="001B45E1">
        <w:rPr>
          <w:rFonts w:cs="Tahoma"/>
          <w:sz w:val="14"/>
          <w:szCs w:val="14"/>
          <w:lang w:eastAsia="tr-TR"/>
        </w:rPr>
        <w:t>(6) Kütlü pamuk, zeytinyağı, ayçiçeği, soya fasulyesi, kanola, aspir ve dane mısıra verilmektedir.</w:t>
      </w:r>
    </w:p>
    <w:p w:rsidR="00565FD5" w:rsidRPr="001B45E1" w:rsidRDefault="00565FD5" w:rsidP="00565FD5">
      <w:pPr>
        <w:rPr>
          <w:rFonts w:cs="Tahoma"/>
          <w:sz w:val="14"/>
          <w:szCs w:val="14"/>
          <w:lang w:eastAsia="tr-TR"/>
        </w:rPr>
      </w:pPr>
      <w:r w:rsidRPr="001B45E1">
        <w:rPr>
          <w:rFonts w:cs="Tahoma"/>
          <w:sz w:val="14"/>
          <w:szCs w:val="14"/>
          <w:lang w:eastAsia="tr-TR"/>
        </w:rPr>
        <w:t>(7) 2009 yılı ürün destekleme alımı ödemesi KİT Görev Zararı Ödeneğinden yapılmıştır.</w:t>
      </w:r>
    </w:p>
    <w:p w:rsidR="00565FD5" w:rsidRPr="001B45E1" w:rsidRDefault="00565FD5" w:rsidP="00565FD5">
      <w:pPr>
        <w:rPr>
          <w:rFonts w:cs="Tahoma"/>
          <w:sz w:val="14"/>
          <w:szCs w:val="14"/>
          <w:lang w:eastAsia="tr-TR"/>
        </w:rPr>
      </w:pPr>
      <w:r w:rsidRPr="001B45E1">
        <w:rPr>
          <w:rFonts w:cs="Tahoma"/>
          <w:sz w:val="14"/>
          <w:szCs w:val="14"/>
          <w:lang w:eastAsia="tr-TR"/>
        </w:rPr>
        <w:t>(8) Bütçe tutarının 2011 yılında 52,3 milyon TL'si, 2012 yılında 159 milyon TL’si ve 2013 yılında 129 milyon TL’si TKDK hibe karşılığıdır.</w:t>
      </w:r>
    </w:p>
    <w:p w:rsidR="00565FD5" w:rsidRPr="001B45E1" w:rsidRDefault="00565FD5" w:rsidP="00565FD5">
      <w:pPr>
        <w:spacing w:after="360"/>
        <w:rPr>
          <w:rFonts w:cs="Tahoma"/>
          <w:sz w:val="14"/>
          <w:szCs w:val="14"/>
          <w:lang w:eastAsia="tr-TR"/>
        </w:rPr>
      </w:pPr>
      <w:r w:rsidRPr="001B45E1">
        <w:rPr>
          <w:rFonts w:cs="Tahoma"/>
          <w:sz w:val="14"/>
          <w:szCs w:val="14"/>
          <w:lang w:eastAsia="tr-TR"/>
        </w:rPr>
        <w:t>(9) 2010 yılı tutarının 96,6 milyon TL’si GAP EP-Kırsal Kalkınma ve Hayvancılık Projeleri; 29 milyon TL’si DAP Hayvancılık Desteği içindir. 2011 tutarının 92,7 milyon TL’si GAP EP-Kırsal Kalkınma ve Hayvancılık Projeleri; 21,2 milyon TL’si DAP Hayvancılık Desteği içindir. 2012 tutarının ise 66,6 milyon TL’si GAP EP-Kırsal Kalkınma Projeleri, 31 milyon TL’si GAP EP-Hayvancılık Projeleri ve 22,4 milyon TL’si DAP Hayvancılık Desteği içindir. 2013 tutarının ise 68,7 milyon TL’si GAP EP- Kırsal Kalkınma Projeleri, 34 milyon TL’si GAP EP-Hayvancılık Projeleri ve 24,9 milyon TL’si DAP Hayvancılık Desteği için öngörülmektedir.</w:t>
      </w:r>
    </w:p>
    <w:p w:rsidR="00565FD5" w:rsidRPr="001B45E1" w:rsidRDefault="00565FD5" w:rsidP="00565FD5">
      <w:pPr>
        <w:spacing w:after="240"/>
        <w:ind w:firstLine="425"/>
      </w:pPr>
      <w:r w:rsidRPr="001B45E1">
        <w:t>Bununla beraber, GAP Eylem Planı kapsamında, bölgede sulama altyapısının iyileştirilmesine paralel şekilde hayvancılığın geliştirilmesi amacıyla büyük süt hayvancılığı işletmelerinin desteklenmesine ilişkin program 2009 yılında uygulanmaya başlanmıştır. Özellikle süt ve et piyasalarında görülen dengesizlik ve istikrarsızlığı azaltmaya yönelik 2010 yılında Doğu Anadolu Bölgesinde başlatılan ve etçi ırk hayvan yetiştiriciliği yapan büyük işletmelerin kurulmasının desteklenmesine ilişkin programa ise</w:t>
      </w:r>
      <w:r>
        <w:t>,</w:t>
      </w:r>
      <w:r w:rsidRPr="001B45E1">
        <w:t xml:space="preserve"> 2012 yılında devam edilmiştir. Ayrı</w:t>
      </w:r>
      <w:r>
        <w:t>ca, 01/08/</w:t>
      </w:r>
      <w:r w:rsidRPr="001B45E1">
        <w:t xml:space="preserve">2010 tarihinde, T.C. Ziraat Bankası A.Ş. ve Tarım Kredi Kooperatiflerince Tarımsal Üretime Dair Düşük Faizli Yatırım ve İşletme Kredisi Kullandırılmasına İlişkin Kararda değişiklik yapılarak süt ve damızlık etçi sığır yetiştiriciliği yatırımlarına yönelik yatırım kredileri ve büyükbaş hayvan yetiştiriciliğine yönelik işletme kredileri, yüzde 100 faiz desteği uygulanacak şekilde yürürlüğe konmuş olup aynı uygulama 2012 yılında da sürdürülmüştür. </w:t>
      </w:r>
    </w:p>
    <w:p w:rsidR="00565FD5" w:rsidRPr="001B45E1" w:rsidRDefault="00565FD5" w:rsidP="00565FD5">
      <w:pPr>
        <w:spacing w:after="240"/>
        <w:ind w:firstLine="425"/>
        <w:rPr>
          <w:rFonts w:cs="Tahoma"/>
          <w:szCs w:val="18"/>
        </w:rPr>
      </w:pPr>
      <w:r w:rsidRPr="001B45E1">
        <w:t>Bunlara ek olarak, süt piyasasındaki olası fiyat dalgalanmaları ile bunların hayvancılık sektörü üzerindeki potansiyel etkileri göz önüne alınarak süt piyasasında arz-talep dengesinin sağlanması amacıyla daha önce başlatılan destekleme programlarına okul sütü programı da eklenmiştir.</w:t>
      </w:r>
      <w:r w:rsidRPr="001B45E1">
        <w:rPr>
          <w:rFonts w:cs="Tahoma"/>
          <w:szCs w:val="18"/>
        </w:rPr>
        <w:t xml:space="preserve"> </w:t>
      </w:r>
    </w:p>
    <w:p w:rsidR="00565FD5" w:rsidRPr="001B45E1" w:rsidRDefault="00565FD5" w:rsidP="00565FD5">
      <w:pPr>
        <w:pStyle w:val="ResimYazs"/>
      </w:pPr>
      <w:bookmarkStart w:id="1821" w:name="_Toc338606022"/>
      <w:bookmarkStart w:id="1822" w:name="_Toc338711797"/>
      <w:r>
        <w:t xml:space="preserve">TABLO IV: </w:t>
      </w:r>
      <w:fldSimple w:instr=" SEQ TABLO_IV: \* ARABIC ">
        <w:r>
          <w:rPr>
            <w:noProof/>
          </w:rPr>
          <w:t>27</w:t>
        </w:r>
      </w:fldSimple>
      <w:r w:rsidRPr="0054588B">
        <w:t>- Bazı Tarımsal Ürünlerin Başlangıç Alım Fiyatları</w:t>
      </w:r>
      <w:bookmarkEnd w:id="1821"/>
      <w:bookmarkEnd w:id="1822"/>
      <w:r w:rsidRPr="0054588B">
        <w:t xml:space="preserve"> </w:t>
      </w:r>
    </w:p>
    <w:tbl>
      <w:tblPr>
        <w:tblW w:w="5000" w:type="pct"/>
        <w:tblLayout w:type="fixed"/>
        <w:tblCellMar>
          <w:left w:w="0" w:type="dxa"/>
          <w:right w:w="0" w:type="dxa"/>
        </w:tblCellMar>
        <w:tblLook w:val="0000"/>
      </w:tblPr>
      <w:tblGrid>
        <w:gridCol w:w="2251"/>
        <w:gridCol w:w="810"/>
        <w:gridCol w:w="721"/>
        <w:gridCol w:w="810"/>
        <w:gridCol w:w="187"/>
        <w:gridCol w:w="811"/>
        <w:gridCol w:w="719"/>
        <w:gridCol w:w="843"/>
      </w:tblGrid>
      <w:tr w:rsidR="00565FD5" w:rsidRPr="001B45E1" w:rsidTr="00AB62A3">
        <w:trPr>
          <w:trHeight w:val="397"/>
        </w:trPr>
        <w:tc>
          <w:tcPr>
            <w:tcW w:w="1574" w:type="pct"/>
            <w:tcBorders>
              <w:top w:val="single" w:sz="4" w:space="0" w:color="auto"/>
              <w:left w:val="single" w:sz="4" w:space="0" w:color="auto"/>
            </w:tcBorders>
            <w:vAlign w:val="center"/>
          </w:tcPr>
          <w:p w:rsidR="00565FD5" w:rsidRPr="001B45E1" w:rsidRDefault="00565FD5" w:rsidP="00AB62A3">
            <w:pPr>
              <w:ind w:left="57" w:right="57"/>
              <w:jc w:val="right"/>
              <w:rPr>
                <w:rFonts w:cs="Tahoma"/>
                <w:snapToGrid w:val="0"/>
                <w:sz w:val="16"/>
                <w:szCs w:val="16"/>
              </w:rPr>
            </w:pPr>
          </w:p>
        </w:tc>
        <w:tc>
          <w:tcPr>
            <w:tcW w:w="1767" w:type="pct"/>
            <w:gridSpan w:val="4"/>
            <w:tcBorders>
              <w:top w:val="single" w:sz="4" w:space="0" w:color="auto"/>
            </w:tcBorders>
            <w:vAlign w:val="center"/>
          </w:tcPr>
          <w:p w:rsidR="00565FD5" w:rsidRPr="001B45E1" w:rsidRDefault="00565FD5" w:rsidP="00AB62A3">
            <w:pPr>
              <w:ind w:left="57" w:right="57"/>
              <w:jc w:val="center"/>
              <w:rPr>
                <w:rFonts w:cs="Tahoma"/>
                <w:b/>
                <w:snapToGrid w:val="0"/>
                <w:sz w:val="16"/>
                <w:szCs w:val="16"/>
              </w:rPr>
            </w:pPr>
            <w:r w:rsidRPr="001B45E1">
              <w:rPr>
                <w:rFonts w:cs="Tahoma"/>
                <w:b/>
                <w:snapToGrid w:val="0"/>
                <w:sz w:val="16"/>
                <w:szCs w:val="16"/>
              </w:rPr>
              <w:t>Fiyatlar (TL/Ton)</w:t>
            </w:r>
          </w:p>
        </w:tc>
        <w:tc>
          <w:tcPr>
            <w:tcW w:w="1660" w:type="pct"/>
            <w:gridSpan w:val="3"/>
            <w:tcBorders>
              <w:top w:val="single" w:sz="4" w:space="0" w:color="auto"/>
              <w:bottom w:val="single" w:sz="4" w:space="0" w:color="auto"/>
              <w:right w:val="single" w:sz="4" w:space="0" w:color="auto"/>
            </w:tcBorders>
            <w:vAlign w:val="center"/>
          </w:tcPr>
          <w:p w:rsidR="00565FD5" w:rsidRPr="001B45E1" w:rsidRDefault="00565FD5" w:rsidP="00AB62A3">
            <w:pPr>
              <w:tabs>
                <w:tab w:val="left" w:pos="-483"/>
              </w:tabs>
              <w:ind w:left="57" w:right="57" w:firstLine="196"/>
              <w:jc w:val="center"/>
              <w:rPr>
                <w:rFonts w:cs="Tahoma"/>
                <w:b/>
                <w:snapToGrid w:val="0"/>
                <w:sz w:val="16"/>
                <w:szCs w:val="16"/>
              </w:rPr>
            </w:pPr>
            <w:r w:rsidRPr="001B45E1">
              <w:rPr>
                <w:rFonts w:cs="Tahoma"/>
                <w:b/>
                <w:snapToGrid w:val="0"/>
                <w:sz w:val="16"/>
                <w:szCs w:val="16"/>
              </w:rPr>
              <w:t>Değişim (Yüzde)</w:t>
            </w:r>
          </w:p>
        </w:tc>
      </w:tr>
      <w:tr w:rsidR="00565FD5" w:rsidRPr="001B45E1" w:rsidTr="00AB62A3">
        <w:trPr>
          <w:trHeight w:val="397"/>
        </w:trPr>
        <w:tc>
          <w:tcPr>
            <w:tcW w:w="1574" w:type="pct"/>
            <w:tcBorders>
              <w:left w:val="single" w:sz="4" w:space="0" w:color="auto"/>
              <w:bottom w:val="single" w:sz="4" w:space="0" w:color="auto"/>
            </w:tcBorders>
            <w:vAlign w:val="center"/>
          </w:tcPr>
          <w:p w:rsidR="00565FD5" w:rsidRPr="001B45E1" w:rsidRDefault="00565FD5" w:rsidP="00AB62A3">
            <w:pPr>
              <w:ind w:left="57" w:right="57"/>
              <w:jc w:val="right"/>
              <w:rPr>
                <w:rFonts w:cs="Tahoma"/>
                <w:snapToGrid w:val="0"/>
                <w:sz w:val="16"/>
                <w:szCs w:val="16"/>
              </w:rPr>
            </w:pPr>
          </w:p>
        </w:tc>
        <w:tc>
          <w:tcPr>
            <w:tcW w:w="566" w:type="pct"/>
            <w:tcBorders>
              <w:top w:val="single" w:sz="4" w:space="0" w:color="auto"/>
              <w:bottom w:val="single" w:sz="4" w:space="0" w:color="auto"/>
            </w:tcBorders>
            <w:vAlign w:val="center"/>
          </w:tcPr>
          <w:p w:rsidR="00565FD5" w:rsidRPr="001B45E1" w:rsidRDefault="00565FD5" w:rsidP="00AB62A3">
            <w:pPr>
              <w:ind w:left="57" w:right="57"/>
              <w:jc w:val="right"/>
              <w:rPr>
                <w:rFonts w:cs="Tahoma"/>
                <w:b/>
                <w:snapToGrid w:val="0"/>
                <w:sz w:val="16"/>
                <w:szCs w:val="16"/>
              </w:rPr>
            </w:pPr>
            <w:r w:rsidRPr="001B45E1">
              <w:rPr>
                <w:rFonts w:cs="Tahoma"/>
                <w:b/>
                <w:snapToGrid w:val="0"/>
                <w:sz w:val="16"/>
                <w:szCs w:val="16"/>
              </w:rPr>
              <w:t>2009</w:t>
            </w:r>
          </w:p>
        </w:tc>
        <w:tc>
          <w:tcPr>
            <w:tcW w:w="504" w:type="pct"/>
            <w:tcBorders>
              <w:top w:val="single" w:sz="4" w:space="0" w:color="auto"/>
              <w:bottom w:val="single" w:sz="4" w:space="0" w:color="auto"/>
            </w:tcBorders>
            <w:vAlign w:val="center"/>
          </w:tcPr>
          <w:p w:rsidR="00565FD5" w:rsidRPr="001B45E1" w:rsidRDefault="00565FD5" w:rsidP="00AB62A3">
            <w:pPr>
              <w:ind w:left="57" w:right="57" w:firstLine="177"/>
              <w:jc w:val="right"/>
              <w:rPr>
                <w:rFonts w:cs="Tahoma"/>
                <w:b/>
                <w:snapToGrid w:val="0"/>
                <w:sz w:val="16"/>
                <w:szCs w:val="16"/>
              </w:rPr>
            </w:pPr>
            <w:r w:rsidRPr="001B45E1">
              <w:rPr>
                <w:rFonts w:cs="Tahoma"/>
                <w:b/>
                <w:snapToGrid w:val="0"/>
                <w:sz w:val="16"/>
                <w:szCs w:val="16"/>
              </w:rPr>
              <w:t>2010</w:t>
            </w:r>
          </w:p>
        </w:tc>
        <w:tc>
          <w:tcPr>
            <w:tcW w:w="566" w:type="pct"/>
            <w:tcBorders>
              <w:top w:val="single" w:sz="4" w:space="0" w:color="auto"/>
              <w:bottom w:val="single" w:sz="4" w:space="0" w:color="auto"/>
            </w:tcBorders>
            <w:vAlign w:val="center"/>
          </w:tcPr>
          <w:p w:rsidR="00565FD5" w:rsidRPr="001B45E1" w:rsidRDefault="00565FD5" w:rsidP="00AB62A3">
            <w:pPr>
              <w:ind w:left="57" w:right="57" w:firstLine="177"/>
              <w:jc w:val="right"/>
              <w:rPr>
                <w:rFonts w:cs="Tahoma"/>
                <w:b/>
                <w:snapToGrid w:val="0"/>
                <w:sz w:val="16"/>
                <w:szCs w:val="16"/>
              </w:rPr>
            </w:pPr>
            <w:r w:rsidRPr="001B45E1">
              <w:rPr>
                <w:rFonts w:cs="Tahoma"/>
                <w:b/>
                <w:snapToGrid w:val="0"/>
                <w:sz w:val="16"/>
                <w:szCs w:val="16"/>
              </w:rPr>
              <w:t>2011</w:t>
            </w:r>
          </w:p>
        </w:tc>
        <w:tc>
          <w:tcPr>
            <w:tcW w:w="130" w:type="pct"/>
            <w:vAlign w:val="center"/>
          </w:tcPr>
          <w:p w:rsidR="00565FD5" w:rsidRPr="001B45E1" w:rsidRDefault="00565FD5" w:rsidP="00AB62A3">
            <w:pPr>
              <w:ind w:left="57" w:right="57"/>
              <w:jc w:val="right"/>
              <w:rPr>
                <w:rFonts w:cs="Tahoma"/>
                <w:b/>
                <w:snapToGrid w:val="0"/>
                <w:sz w:val="16"/>
                <w:szCs w:val="16"/>
              </w:rPr>
            </w:pPr>
          </w:p>
        </w:tc>
        <w:tc>
          <w:tcPr>
            <w:tcW w:w="567" w:type="pct"/>
            <w:tcBorders>
              <w:top w:val="single" w:sz="4" w:space="0" w:color="auto"/>
              <w:bottom w:val="single" w:sz="4" w:space="0" w:color="auto"/>
            </w:tcBorders>
            <w:vAlign w:val="center"/>
          </w:tcPr>
          <w:p w:rsidR="00565FD5" w:rsidRPr="001B45E1" w:rsidRDefault="00565FD5" w:rsidP="00AB62A3">
            <w:pPr>
              <w:ind w:left="57" w:right="57"/>
              <w:jc w:val="right"/>
              <w:rPr>
                <w:rFonts w:cs="Tahoma"/>
                <w:b/>
                <w:snapToGrid w:val="0"/>
                <w:sz w:val="16"/>
                <w:szCs w:val="16"/>
              </w:rPr>
            </w:pPr>
            <w:r w:rsidRPr="001B45E1">
              <w:rPr>
                <w:rFonts w:cs="Tahoma"/>
                <w:b/>
                <w:snapToGrid w:val="0"/>
                <w:sz w:val="16"/>
                <w:szCs w:val="16"/>
              </w:rPr>
              <w:t>2009</w:t>
            </w:r>
          </w:p>
        </w:tc>
        <w:tc>
          <w:tcPr>
            <w:tcW w:w="503" w:type="pct"/>
            <w:tcBorders>
              <w:top w:val="single" w:sz="4" w:space="0" w:color="auto"/>
              <w:bottom w:val="single" w:sz="4" w:space="0" w:color="auto"/>
            </w:tcBorders>
            <w:vAlign w:val="center"/>
          </w:tcPr>
          <w:p w:rsidR="00565FD5" w:rsidRPr="001B45E1" w:rsidRDefault="00565FD5" w:rsidP="00AB62A3">
            <w:pPr>
              <w:tabs>
                <w:tab w:val="left" w:pos="296"/>
              </w:tabs>
              <w:ind w:left="57" w:right="57"/>
              <w:jc w:val="right"/>
              <w:rPr>
                <w:rFonts w:cs="Tahoma"/>
                <w:b/>
                <w:snapToGrid w:val="0"/>
                <w:sz w:val="16"/>
                <w:szCs w:val="16"/>
              </w:rPr>
            </w:pPr>
            <w:r w:rsidRPr="001B45E1">
              <w:rPr>
                <w:rFonts w:cs="Tahoma"/>
                <w:b/>
                <w:snapToGrid w:val="0"/>
                <w:sz w:val="16"/>
                <w:szCs w:val="16"/>
              </w:rPr>
              <w:t>2010</w:t>
            </w:r>
          </w:p>
        </w:tc>
        <w:tc>
          <w:tcPr>
            <w:tcW w:w="590" w:type="pct"/>
            <w:tcBorders>
              <w:top w:val="single" w:sz="4" w:space="0" w:color="auto"/>
              <w:bottom w:val="single" w:sz="4" w:space="0" w:color="auto"/>
              <w:right w:val="single" w:sz="4" w:space="0" w:color="auto"/>
            </w:tcBorders>
            <w:vAlign w:val="center"/>
          </w:tcPr>
          <w:p w:rsidR="00565FD5" w:rsidRPr="001B45E1" w:rsidRDefault="00565FD5" w:rsidP="00AB62A3">
            <w:pPr>
              <w:tabs>
                <w:tab w:val="left" w:pos="296"/>
              </w:tabs>
              <w:ind w:left="57" w:right="57"/>
              <w:jc w:val="right"/>
              <w:rPr>
                <w:rFonts w:cs="Tahoma"/>
                <w:b/>
                <w:snapToGrid w:val="0"/>
                <w:sz w:val="16"/>
                <w:szCs w:val="16"/>
              </w:rPr>
            </w:pPr>
            <w:r w:rsidRPr="001B45E1">
              <w:rPr>
                <w:rFonts w:cs="Tahoma"/>
                <w:b/>
                <w:snapToGrid w:val="0"/>
                <w:sz w:val="16"/>
                <w:szCs w:val="16"/>
              </w:rPr>
              <w:t>2011</w:t>
            </w:r>
          </w:p>
        </w:tc>
      </w:tr>
      <w:tr w:rsidR="00565FD5" w:rsidRPr="001B45E1" w:rsidTr="00AB62A3">
        <w:trPr>
          <w:trHeight w:val="340"/>
        </w:trPr>
        <w:tc>
          <w:tcPr>
            <w:tcW w:w="1574" w:type="pct"/>
            <w:tcBorders>
              <w:top w:val="single" w:sz="4" w:space="0" w:color="auto"/>
              <w:left w:val="single" w:sz="4" w:space="0" w:color="auto"/>
            </w:tcBorders>
            <w:vAlign w:val="center"/>
          </w:tcPr>
          <w:p w:rsidR="00565FD5" w:rsidRPr="001B45E1" w:rsidRDefault="00565FD5" w:rsidP="00AB62A3">
            <w:pPr>
              <w:ind w:left="57" w:right="57"/>
              <w:rPr>
                <w:rFonts w:cs="Tahoma"/>
                <w:snapToGrid w:val="0"/>
                <w:sz w:val="16"/>
                <w:szCs w:val="16"/>
              </w:rPr>
            </w:pPr>
            <w:r w:rsidRPr="001B45E1">
              <w:rPr>
                <w:rFonts w:cs="Tahoma"/>
                <w:snapToGrid w:val="0"/>
                <w:sz w:val="16"/>
                <w:szCs w:val="16"/>
              </w:rPr>
              <w:lastRenderedPageBreak/>
              <w:t xml:space="preserve">  1. Buğday (Ekmeklik) (1)</w:t>
            </w:r>
          </w:p>
        </w:tc>
        <w:tc>
          <w:tcPr>
            <w:tcW w:w="566" w:type="pct"/>
            <w:tcBorders>
              <w:top w:val="single" w:sz="4" w:space="0" w:color="auto"/>
            </w:tcBorders>
            <w:vAlign w:val="center"/>
          </w:tcPr>
          <w:p w:rsidR="00565FD5" w:rsidRPr="001B45E1" w:rsidRDefault="00565FD5" w:rsidP="00AB62A3">
            <w:pPr>
              <w:ind w:left="57" w:right="57"/>
              <w:jc w:val="right"/>
              <w:rPr>
                <w:rFonts w:cs="Tahoma"/>
                <w:sz w:val="16"/>
                <w:szCs w:val="16"/>
              </w:rPr>
            </w:pPr>
            <w:r w:rsidRPr="001B45E1">
              <w:rPr>
                <w:rFonts w:cs="Tahoma"/>
                <w:sz w:val="16"/>
                <w:szCs w:val="16"/>
              </w:rPr>
              <w:t>500</w:t>
            </w:r>
          </w:p>
        </w:tc>
        <w:tc>
          <w:tcPr>
            <w:tcW w:w="504" w:type="pct"/>
            <w:tcBorders>
              <w:top w:val="single" w:sz="4" w:space="0" w:color="auto"/>
            </w:tcBorders>
            <w:vAlign w:val="center"/>
          </w:tcPr>
          <w:p w:rsidR="00565FD5" w:rsidRPr="001B45E1" w:rsidRDefault="00565FD5" w:rsidP="00AB62A3">
            <w:pPr>
              <w:ind w:left="57" w:right="57"/>
              <w:jc w:val="right"/>
              <w:rPr>
                <w:rFonts w:cs="Tahoma"/>
                <w:sz w:val="16"/>
                <w:szCs w:val="16"/>
              </w:rPr>
            </w:pPr>
            <w:r w:rsidRPr="001B45E1">
              <w:rPr>
                <w:rFonts w:cs="Tahoma"/>
                <w:sz w:val="16"/>
                <w:szCs w:val="16"/>
              </w:rPr>
              <w:t>550</w:t>
            </w:r>
          </w:p>
        </w:tc>
        <w:tc>
          <w:tcPr>
            <w:tcW w:w="566" w:type="pct"/>
            <w:tcBorders>
              <w:top w:val="single" w:sz="4" w:space="0" w:color="auto"/>
            </w:tcBorders>
            <w:vAlign w:val="center"/>
          </w:tcPr>
          <w:p w:rsidR="00565FD5" w:rsidRPr="001B45E1" w:rsidRDefault="00565FD5" w:rsidP="00AB62A3">
            <w:pPr>
              <w:ind w:left="57" w:right="57"/>
              <w:jc w:val="right"/>
              <w:rPr>
                <w:rFonts w:cs="Tahoma"/>
                <w:sz w:val="16"/>
                <w:szCs w:val="16"/>
              </w:rPr>
            </w:pPr>
            <w:r w:rsidRPr="001B45E1">
              <w:rPr>
                <w:rFonts w:cs="Tahoma"/>
                <w:sz w:val="16"/>
                <w:szCs w:val="16"/>
              </w:rPr>
              <w:t>605</w:t>
            </w:r>
          </w:p>
        </w:tc>
        <w:tc>
          <w:tcPr>
            <w:tcW w:w="130" w:type="pct"/>
            <w:vAlign w:val="center"/>
          </w:tcPr>
          <w:p w:rsidR="00565FD5" w:rsidRPr="001B45E1" w:rsidRDefault="00565FD5" w:rsidP="00AB62A3">
            <w:pPr>
              <w:ind w:left="57" w:right="57"/>
              <w:jc w:val="right"/>
              <w:rPr>
                <w:rFonts w:cs="Tahoma"/>
                <w:snapToGrid w:val="0"/>
                <w:sz w:val="16"/>
                <w:szCs w:val="16"/>
              </w:rPr>
            </w:pPr>
          </w:p>
        </w:tc>
        <w:tc>
          <w:tcPr>
            <w:tcW w:w="567" w:type="pct"/>
            <w:tcBorders>
              <w:top w:val="single" w:sz="4" w:space="0" w:color="auto"/>
            </w:tcBorders>
            <w:vAlign w:val="center"/>
          </w:tcPr>
          <w:p w:rsidR="00565FD5" w:rsidRPr="001B45E1" w:rsidRDefault="00565FD5" w:rsidP="00AB62A3">
            <w:pPr>
              <w:ind w:left="57" w:right="57"/>
              <w:jc w:val="right"/>
              <w:rPr>
                <w:rFonts w:cs="Tahoma"/>
                <w:sz w:val="16"/>
                <w:szCs w:val="16"/>
              </w:rPr>
            </w:pPr>
            <w:r w:rsidRPr="001B45E1">
              <w:rPr>
                <w:rFonts w:cs="Tahoma"/>
                <w:sz w:val="16"/>
                <w:szCs w:val="16"/>
              </w:rPr>
              <w:t>0,0</w:t>
            </w:r>
          </w:p>
        </w:tc>
        <w:tc>
          <w:tcPr>
            <w:tcW w:w="503" w:type="pct"/>
            <w:tcBorders>
              <w:top w:val="single" w:sz="4" w:space="0" w:color="auto"/>
            </w:tcBorders>
            <w:vAlign w:val="center"/>
          </w:tcPr>
          <w:p w:rsidR="00565FD5" w:rsidRPr="001B45E1" w:rsidRDefault="00565FD5" w:rsidP="00AB62A3">
            <w:pPr>
              <w:ind w:left="57" w:right="57"/>
              <w:jc w:val="right"/>
              <w:rPr>
                <w:rFonts w:cs="Tahoma"/>
                <w:sz w:val="16"/>
                <w:szCs w:val="16"/>
              </w:rPr>
            </w:pPr>
            <w:r w:rsidRPr="001B45E1">
              <w:rPr>
                <w:rFonts w:cs="Tahoma"/>
                <w:sz w:val="16"/>
                <w:szCs w:val="16"/>
              </w:rPr>
              <w:t>10,0</w:t>
            </w:r>
          </w:p>
        </w:tc>
        <w:tc>
          <w:tcPr>
            <w:tcW w:w="590" w:type="pct"/>
            <w:tcBorders>
              <w:top w:val="single" w:sz="4" w:space="0" w:color="auto"/>
              <w:right w:val="single" w:sz="4" w:space="0" w:color="auto"/>
            </w:tcBorders>
            <w:vAlign w:val="center"/>
          </w:tcPr>
          <w:p w:rsidR="00565FD5" w:rsidRPr="001B45E1" w:rsidRDefault="00565FD5" w:rsidP="00AB62A3">
            <w:pPr>
              <w:ind w:left="57" w:right="113"/>
              <w:jc w:val="right"/>
              <w:rPr>
                <w:rFonts w:cs="Tahoma"/>
                <w:sz w:val="16"/>
                <w:szCs w:val="16"/>
              </w:rPr>
            </w:pPr>
            <w:r w:rsidRPr="001B45E1">
              <w:rPr>
                <w:rFonts w:cs="Tahoma"/>
                <w:sz w:val="16"/>
                <w:szCs w:val="16"/>
              </w:rPr>
              <w:t>10,0</w:t>
            </w:r>
          </w:p>
        </w:tc>
      </w:tr>
      <w:tr w:rsidR="00565FD5" w:rsidRPr="001B45E1" w:rsidTr="00AB62A3">
        <w:trPr>
          <w:trHeight w:val="340"/>
        </w:trPr>
        <w:tc>
          <w:tcPr>
            <w:tcW w:w="1574" w:type="pct"/>
            <w:tcBorders>
              <w:left w:val="single" w:sz="4" w:space="0" w:color="auto"/>
            </w:tcBorders>
            <w:vAlign w:val="center"/>
          </w:tcPr>
          <w:p w:rsidR="00565FD5" w:rsidRPr="001B45E1" w:rsidRDefault="00565FD5" w:rsidP="00AB62A3">
            <w:pPr>
              <w:ind w:left="57" w:right="57"/>
              <w:rPr>
                <w:rFonts w:cs="Tahoma"/>
                <w:snapToGrid w:val="0"/>
                <w:sz w:val="16"/>
                <w:szCs w:val="16"/>
              </w:rPr>
            </w:pPr>
            <w:r w:rsidRPr="001B45E1">
              <w:rPr>
                <w:rFonts w:cs="Tahoma"/>
                <w:snapToGrid w:val="0"/>
                <w:sz w:val="16"/>
                <w:szCs w:val="16"/>
              </w:rPr>
              <w:t xml:space="preserve">  2. Arpa (Beyaz) (1)</w:t>
            </w:r>
          </w:p>
        </w:tc>
        <w:tc>
          <w:tcPr>
            <w:tcW w:w="566" w:type="pct"/>
            <w:vAlign w:val="center"/>
          </w:tcPr>
          <w:p w:rsidR="00565FD5" w:rsidRPr="001B45E1" w:rsidRDefault="00565FD5" w:rsidP="00AB62A3">
            <w:pPr>
              <w:ind w:left="57" w:right="57"/>
              <w:jc w:val="right"/>
              <w:rPr>
                <w:rFonts w:cs="Tahoma"/>
                <w:sz w:val="16"/>
                <w:szCs w:val="16"/>
              </w:rPr>
            </w:pPr>
            <w:r w:rsidRPr="001B45E1">
              <w:rPr>
                <w:rFonts w:cs="Tahoma"/>
                <w:sz w:val="16"/>
                <w:szCs w:val="16"/>
              </w:rPr>
              <w:t>375</w:t>
            </w:r>
          </w:p>
        </w:tc>
        <w:tc>
          <w:tcPr>
            <w:tcW w:w="504" w:type="pct"/>
            <w:vAlign w:val="center"/>
          </w:tcPr>
          <w:p w:rsidR="00565FD5" w:rsidRPr="001B45E1" w:rsidRDefault="00565FD5" w:rsidP="00AB62A3">
            <w:pPr>
              <w:ind w:left="57" w:right="57"/>
              <w:jc w:val="right"/>
              <w:rPr>
                <w:rFonts w:cs="Tahoma"/>
                <w:sz w:val="16"/>
                <w:szCs w:val="16"/>
              </w:rPr>
            </w:pPr>
            <w:r w:rsidRPr="001B45E1">
              <w:rPr>
                <w:rFonts w:cs="Tahoma"/>
                <w:sz w:val="16"/>
                <w:szCs w:val="16"/>
              </w:rPr>
              <w:t>415</w:t>
            </w:r>
          </w:p>
        </w:tc>
        <w:tc>
          <w:tcPr>
            <w:tcW w:w="566" w:type="pct"/>
            <w:vAlign w:val="center"/>
          </w:tcPr>
          <w:p w:rsidR="00565FD5" w:rsidRPr="001B45E1" w:rsidRDefault="00565FD5" w:rsidP="00AB62A3">
            <w:pPr>
              <w:ind w:left="57" w:right="57"/>
              <w:jc w:val="right"/>
              <w:rPr>
                <w:rFonts w:cs="Tahoma"/>
                <w:sz w:val="16"/>
                <w:szCs w:val="16"/>
              </w:rPr>
            </w:pPr>
            <w:r w:rsidRPr="001B45E1">
              <w:rPr>
                <w:rFonts w:cs="Tahoma"/>
                <w:sz w:val="16"/>
                <w:szCs w:val="16"/>
              </w:rPr>
              <w:t>455</w:t>
            </w:r>
          </w:p>
        </w:tc>
        <w:tc>
          <w:tcPr>
            <w:tcW w:w="130" w:type="pct"/>
            <w:vAlign w:val="center"/>
          </w:tcPr>
          <w:p w:rsidR="00565FD5" w:rsidRPr="001B45E1" w:rsidRDefault="00565FD5" w:rsidP="00AB62A3">
            <w:pPr>
              <w:ind w:left="57" w:right="57"/>
              <w:jc w:val="right"/>
              <w:rPr>
                <w:rFonts w:cs="Tahoma"/>
                <w:snapToGrid w:val="0"/>
                <w:sz w:val="16"/>
                <w:szCs w:val="16"/>
              </w:rPr>
            </w:pPr>
          </w:p>
        </w:tc>
        <w:tc>
          <w:tcPr>
            <w:tcW w:w="567" w:type="pct"/>
            <w:vAlign w:val="center"/>
          </w:tcPr>
          <w:p w:rsidR="00565FD5" w:rsidRPr="001B45E1" w:rsidRDefault="00565FD5" w:rsidP="00AB62A3">
            <w:pPr>
              <w:ind w:left="57" w:right="57"/>
              <w:jc w:val="right"/>
              <w:rPr>
                <w:rFonts w:cs="Tahoma"/>
                <w:sz w:val="16"/>
                <w:szCs w:val="16"/>
              </w:rPr>
            </w:pPr>
            <w:r w:rsidRPr="001B45E1">
              <w:rPr>
                <w:rFonts w:cs="Tahoma"/>
                <w:sz w:val="16"/>
                <w:szCs w:val="16"/>
              </w:rPr>
              <w:t>0,0</w:t>
            </w:r>
          </w:p>
        </w:tc>
        <w:tc>
          <w:tcPr>
            <w:tcW w:w="503" w:type="pct"/>
            <w:vAlign w:val="center"/>
          </w:tcPr>
          <w:p w:rsidR="00565FD5" w:rsidRPr="001B45E1" w:rsidRDefault="00565FD5" w:rsidP="00AB62A3">
            <w:pPr>
              <w:ind w:left="57" w:right="57"/>
              <w:jc w:val="right"/>
              <w:rPr>
                <w:rFonts w:cs="Tahoma"/>
                <w:sz w:val="16"/>
                <w:szCs w:val="16"/>
              </w:rPr>
            </w:pPr>
            <w:r w:rsidRPr="001B45E1">
              <w:rPr>
                <w:rFonts w:cs="Tahoma"/>
                <w:sz w:val="16"/>
                <w:szCs w:val="16"/>
              </w:rPr>
              <w:t>10,7</w:t>
            </w:r>
          </w:p>
        </w:tc>
        <w:tc>
          <w:tcPr>
            <w:tcW w:w="590" w:type="pct"/>
            <w:tcBorders>
              <w:right w:val="single" w:sz="4" w:space="0" w:color="auto"/>
            </w:tcBorders>
            <w:vAlign w:val="center"/>
          </w:tcPr>
          <w:p w:rsidR="00565FD5" w:rsidRPr="001B45E1" w:rsidRDefault="00565FD5" w:rsidP="00AB62A3">
            <w:pPr>
              <w:ind w:left="57" w:right="113"/>
              <w:jc w:val="right"/>
              <w:rPr>
                <w:rFonts w:cs="Tahoma"/>
                <w:sz w:val="16"/>
                <w:szCs w:val="16"/>
              </w:rPr>
            </w:pPr>
            <w:r w:rsidRPr="001B45E1">
              <w:rPr>
                <w:rFonts w:cs="Tahoma"/>
                <w:sz w:val="16"/>
                <w:szCs w:val="16"/>
              </w:rPr>
              <w:t>9,6</w:t>
            </w:r>
          </w:p>
        </w:tc>
      </w:tr>
      <w:tr w:rsidR="00565FD5" w:rsidRPr="001B45E1" w:rsidTr="00AB62A3">
        <w:trPr>
          <w:trHeight w:val="340"/>
        </w:trPr>
        <w:tc>
          <w:tcPr>
            <w:tcW w:w="1574" w:type="pct"/>
            <w:tcBorders>
              <w:left w:val="single" w:sz="4" w:space="0" w:color="auto"/>
            </w:tcBorders>
            <w:vAlign w:val="center"/>
          </w:tcPr>
          <w:p w:rsidR="00565FD5" w:rsidRPr="001B45E1" w:rsidRDefault="00565FD5" w:rsidP="00AB62A3">
            <w:pPr>
              <w:ind w:left="57" w:right="57"/>
              <w:rPr>
                <w:rFonts w:cs="Tahoma"/>
                <w:snapToGrid w:val="0"/>
                <w:sz w:val="16"/>
                <w:szCs w:val="16"/>
              </w:rPr>
            </w:pPr>
            <w:r w:rsidRPr="001B45E1">
              <w:rPr>
                <w:rFonts w:cs="Tahoma"/>
                <w:snapToGrid w:val="0"/>
                <w:sz w:val="16"/>
                <w:szCs w:val="16"/>
              </w:rPr>
              <w:t xml:space="preserve">  3. Mısır (1) </w:t>
            </w:r>
          </w:p>
        </w:tc>
        <w:tc>
          <w:tcPr>
            <w:tcW w:w="566" w:type="pct"/>
            <w:vAlign w:val="center"/>
          </w:tcPr>
          <w:p w:rsidR="00565FD5" w:rsidRPr="001B45E1" w:rsidRDefault="00565FD5" w:rsidP="00AB62A3">
            <w:pPr>
              <w:ind w:left="57" w:right="57"/>
              <w:jc w:val="right"/>
              <w:rPr>
                <w:rFonts w:cs="Tahoma"/>
                <w:sz w:val="16"/>
                <w:szCs w:val="16"/>
              </w:rPr>
            </w:pPr>
            <w:r w:rsidRPr="001B45E1">
              <w:rPr>
                <w:rFonts w:cs="Tahoma"/>
                <w:sz w:val="16"/>
                <w:szCs w:val="16"/>
              </w:rPr>
              <w:t>450</w:t>
            </w:r>
          </w:p>
        </w:tc>
        <w:tc>
          <w:tcPr>
            <w:tcW w:w="504" w:type="pct"/>
            <w:vAlign w:val="center"/>
          </w:tcPr>
          <w:p w:rsidR="00565FD5" w:rsidRPr="001B45E1" w:rsidRDefault="00565FD5" w:rsidP="00AB62A3">
            <w:pPr>
              <w:ind w:left="57" w:right="57"/>
              <w:jc w:val="right"/>
              <w:rPr>
                <w:rFonts w:cs="Tahoma"/>
                <w:sz w:val="16"/>
                <w:szCs w:val="16"/>
              </w:rPr>
            </w:pPr>
            <w:r w:rsidRPr="001B45E1">
              <w:rPr>
                <w:rFonts w:cs="Tahoma"/>
                <w:sz w:val="16"/>
                <w:szCs w:val="16"/>
              </w:rPr>
              <w:t>490</w:t>
            </w:r>
          </w:p>
        </w:tc>
        <w:tc>
          <w:tcPr>
            <w:tcW w:w="566" w:type="pct"/>
            <w:vAlign w:val="center"/>
          </w:tcPr>
          <w:p w:rsidR="00565FD5" w:rsidRPr="001B45E1" w:rsidRDefault="00565FD5" w:rsidP="00AB62A3">
            <w:pPr>
              <w:ind w:left="57" w:right="57"/>
              <w:jc w:val="right"/>
              <w:rPr>
                <w:rFonts w:cs="Tahoma"/>
                <w:sz w:val="16"/>
                <w:szCs w:val="16"/>
              </w:rPr>
            </w:pPr>
            <w:r w:rsidRPr="001B45E1">
              <w:rPr>
                <w:rFonts w:cs="Tahoma"/>
                <w:sz w:val="16"/>
                <w:szCs w:val="16"/>
              </w:rPr>
              <w:t>540</w:t>
            </w:r>
          </w:p>
        </w:tc>
        <w:tc>
          <w:tcPr>
            <w:tcW w:w="130" w:type="pct"/>
            <w:vAlign w:val="center"/>
          </w:tcPr>
          <w:p w:rsidR="00565FD5" w:rsidRPr="001B45E1" w:rsidRDefault="00565FD5" w:rsidP="00AB62A3">
            <w:pPr>
              <w:ind w:left="57" w:right="57"/>
              <w:jc w:val="right"/>
              <w:rPr>
                <w:rFonts w:cs="Tahoma"/>
                <w:snapToGrid w:val="0"/>
                <w:sz w:val="16"/>
                <w:szCs w:val="16"/>
              </w:rPr>
            </w:pPr>
          </w:p>
        </w:tc>
        <w:tc>
          <w:tcPr>
            <w:tcW w:w="567" w:type="pct"/>
            <w:vAlign w:val="center"/>
          </w:tcPr>
          <w:p w:rsidR="00565FD5" w:rsidRPr="001B45E1" w:rsidRDefault="00565FD5" w:rsidP="00AB62A3">
            <w:pPr>
              <w:ind w:left="57" w:right="57"/>
              <w:jc w:val="right"/>
              <w:rPr>
                <w:rFonts w:cs="Tahoma"/>
                <w:sz w:val="16"/>
                <w:szCs w:val="16"/>
              </w:rPr>
            </w:pPr>
            <w:r w:rsidRPr="001B45E1">
              <w:rPr>
                <w:rFonts w:cs="Tahoma"/>
                <w:sz w:val="16"/>
                <w:szCs w:val="16"/>
              </w:rPr>
              <w:t>4,7</w:t>
            </w:r>
          </w:p>
        </w:tc>
        <w:tc>
          <w:tcPr>
            <w:tcW w:w="503" w:type="pct"/>
            <w:vAlign w:val="center"/>
          </w:tcPr>
          <w:p w:rsidR="00565FD5" w:rsidRPr="001B45E1" w:rsidRDefault="00565FD5" w:rsidP="00AB62A3">
            <w:pPr>
              <w:ind w:left="57" w:right="57"/>
              <w:jc w:val="right"/>
              <w:rPr>
                <w:rFonts w:cs="Tahoma"/>
                <w:sz w:val="16"/>
                <w:szCs w:val="16"/>
              </w:rPr>
            </w:pPr>
            <w:r w:rsidRPr="001B45E1">
              <w:rPr>
                <w:rFonts w:cs="Tahoma"/>
                <w:sz w:val="16"/>
                <w:szCs w:val="16"/>
              </w:rPr>
              <w:t>8,9</w:t>
            </w:r>
          </w:p>
        </w:tc>
        <w:tc>
          <w:tcPr>
            <w:tcW w:w="590" w:type="pct"/>
            <w:tcBorders>
              <w:right w:val="single" w:sz="4" w:space="0" w:color="auto"/>
            </w:tcBorders>
            <w:vAlign w:val="center"/>
          </w:tcPr>
          <w:p w:rsidR="00565FD5" w:rsidRPr="001B45E1" w:rsidRDefault="00565FD5" w:rsidP="00AB62A3">
            <w:pPr>
              <w:ind w:left="57" w:right="113"/>
              <w:jc w:val="right"/>
              <w:rPr>
                <w:rFonts w:cs="Tahoma"/>
                <w:sz w:val="16"/>
                <w:szCs w:val="16"/>
              </w:rPr>
            </w:pPr>
            <w:r w:rsidRPr="001B45E1">
              <w:rPr>
                <w:rFonts w:cs="Tahoma"/>
                <w:sz w:val="16"/>
                <w:szCs w:val="16"/>
              </w:rPr>
              <w:t>10,2</w:t>
            </w:r>
          </w:p>
        </w:tc>
      </w:tr>
      <w:tr w:rsidR="00565FD5" w:rsidRPr="001B45E1" w:rsidTr="00AB62A3">
        <w:trPr>
          <w:trHeight w:val="340"/>
        </w:trPr>
        <w:tc>
          <w:tcPr>
            <w:tcW w:w="1574" w:type="pct"/>
            <w:tcBorders>
              <w:left w:val="single" w:sz="4" w:space="0" w:color="auto"/>
            </w:tcBorders>
            <w:vAlign w:val="center"/>
          </w:tcPr>
          <w:p w:rsidR="00565FD5" w:rsidRPr="001B45E1" w:rsidRDefault="00565FD5" w:rsidP="00AB62A3">
            <w:pPr>
              <w:ind w:left="57" w:right="57"/>
              <w:rPr>
                <w:rFonts w:cs="Tahoma"/>
                <w:snapToGrid w:val="0"/>
                <w:sz w:val="16"/>
                <w:szCs w:val="16"/>
              </w:rPr>
            </w:pPr>
            <w:r w:rsidRPr="001B45E1">
              <w:rPr>
                <w:rFonts w:cs="Tahoma"/>
                <w:snapToGrid w:val="0"/>
                <w:sz w:val="16"/>
                <w:szCs w:val="16"/>
              </w:rPr>
              <w:t xml:space="preserve">  4. Şeker Pancarı</w:t>
            </w:r>
          </w:p>
        </w:tc>
        <w:tc>
          <w:tcPr>
            <w:tcW w:w="566" w:type="pct"/>
            <w:vAlign w:val="center"/>
          </w:tcPr>
          <w:p w:rsidR="00565FD5" w:rsidRPr="001B45E1" w:rsidRDefault="00565FD5" w:rsidP="00AB62A3">
            <w:pPr>
              <w:ind w:left="57" w:right="57"/>
              <w:jc w:val="right"/>
              <w:rPr>
                <w:rFonts w:cs="Tahoma"/>
                <w:sz w:val="16"/>
                <w:szCs w:val="16"/>
              </w:rPr>
            </w:pPr>
            <w:r w:rsidRPr="001B45E1">
              <w:rPr>
                <w:rFonts w:cs="Tahoma"/>
                <w:sz w:val="16"/>
                <w:szCs w:val="16"/>
              </w:rPr>
              <w:t>115</w:t>
            </w:r>
          </w:p>
        </w:tc>
        <w:tc>
          <w:tcPr>
            <w:tcW w:w="504" w:type="pct"/>
            <w:vAlign w:val="center"/>
          </w:tcPr>
          <w:p w:rsidR="00565FD5" w:rsidRPr="001B45E1" w:rsidRDefault="00565FD5" w:rsidP="00AB62A3">
            <w:pPr>
              <w:ind w:left="57" w:right="57"/>
              <w:jc w:val="right"/>
              <w:rPr>
                <w:rFonts w:cs="Tahoma"/>
                <w:sz w:val="16"/>
                <w:szCs w:val="16"/>
              </w:rPr>
            </w:pPr>
            <w:r w:rsidRPr="001B45E1">
              <w:rPr>
                <w:rFonts w:cs="Tahoma"/>
                <w:sz w:val="16"/>
                <w:szCs w:val="16"/>
              </w:rPr>
              <w:t>118</w:t>
            </w:r>
          </w:p>
        </w:tc>
        <w:tc>
          <w:tcPr>
            <w:tcW w:w="566" w:type="pct"/>
            <w:vAlign w:val="center"/>
          </w:tcPr>
          <w:p w:rsidR="00565FD5" w:rsidRPr="001B45E1" w:rsidRDefault="00565FD5" w:rsidP="00AB62A3">
            <w:pPr>
              <w:ind w:left="57" w:right="57"/>
              <w:jc w:val="right"/>
              <w:rPr>
                <w:rFonts w:cs="Tahoma"/>
                <w:sz w:val="16"/>
                <w:szCs w:val="16"/>
              </w:rPr>
            </w:pPr>
            <w:r w:rsidRPr="001B45E1">
              <w:rPr>
                <w:rFonts w:cs="Tahoma"/>
                <w:sz w:val="16"/>
                <w:szCs w:val="16"/>
              </w:rPr>
              <w:t>125</w:t>
            </w:r>
          </w:p>
        </w:tc>
        <w:tc>
          <w:tcPr>
            <w:tcW w:w="130" w:type="pct"/>
            <w:vAlign w:val="center"/>
          </w:tcPr>
          <w:p w:rsidR="00565FD5" w:rsidRPr="001B45E1" w:rsidRDefault="00565FD5" w:rsidP="00AB62A3">
            <w:pPr>
              <w:ind w:left="57" w:right="57"/>
              <w:jc w:val="right"/>
              <w:rPr>
                <w:rFonts w:cs="Tahoma"/>
                <w:snapToGrid w:val="0"/>
                <w:sz w:val="16"/>
                <w:szCs w:val="16"/>
              </w:rPr>
            </w:pPr>
          </w:p>
        </w:tc>
        <w:tc>
          <w:tcPr>
            <w:tcW w:w="567" w:type="pct"/>
            <w:vAlign w:val="center"/>
          </w:tcPr>
          <w:p w:rsidR="00565FD5" w:rsidRPr="001B45E1" w:rsidRDefault="00565FD5" w:rsidP="00AB62A3">
            <w:pPr>
              <w:ind w:left="57" w:right="57"/>
              <w:jc w:val="right"/>
              <w:rPr>
                <w:rFonts w:cs="Tahoma"/>
                <w:sz w:val="16"/>
                <w:szCs w:val="16"/>
              </w:rPr>
            </w:pPr>
            <w:r w:rsidRPr="001B45E1">
              <w:rPr>
                <w:rFonts w:cs="Tahoma"/>
                <w:sz w:val="16"/>
                <w:szCs w:val="16"/>
              </w:rPr>
              <w:t>6,5</w:t>
            </w:r>
          </w:p>
        </w:tc>
        <w:tc>
          <w:tcPr>
            <w:tcW w:w="503" w:type="pct"/>
            <w:vAlign w:val="center"/>
          </w:tcPr>
          <w:p w:rsidR="00565FD5" w:rsidRPr="001B45E1" w:rsidRDefault="00565FD5" w:rsidP="00AB62A3">
            <w:pPr>
              <w:ind w:left="57" w:right="57"/>
              <w:jc w:val="right"/>
              <w:rPr>
                <w:rFonts w:cs="Tahoma"/>
                <w:sz w:val="16"/>
                <w:szCs w:val="16"/>
              </w:rPr>
            </w:pPr>
            <w:r w:rsidRPr="001B45E1">
              <w:rPr>
                <w:rFonts w:cs="Tahoma"/>
                <w:sz w:val="16"/>
                <w:szCs w:val="16"/>
              </w:rPr>
              <w:t>2,6</w:t>
            </w:r>
          </w:p>
        </w:tc>
        <w:tc>
          <w:tcPr>
            <w:tcW w:w="590" w:type="pct"/>
            <w:tcBorders>
              <w:right w:val="single" w:sz="4" w:space="0" w:color="auto"/>
            </w:tcBorders>
            <w:vAlign w:val="center"/>
          </w:tcPr>
          <w:p w:rsidR="00565FD5" w:rsidRPr="001B45E1" w:rsidRDefault="00565FD5" w:rsidP="00AB62A3">
            <w:pPr>
              <w:ind w:left="57" w:right="113"/>
              <w:jc w:val="right"/>
              <w:rPr>
                <w:rFonts w:cs="Tahoma"/>
                <w:sz w:val="16"/>
                <w:szCs w:val="16"/>
              </w:rPr>
            </w:pPr>
            <w:r w:rsidRPr="001B45E1">
              <w:rPr>
                <w:rFonts w:cs="Tahoma"/>
                <w:sz w:val="16"/>
                <w:szCs w:val="16"/>
              </w:rPr>
              <w:t>5,9</w:t>
            </w:r>
          </w:p>
        </w:tc>
      </w:tr>
      <w:tr w:rsidR="00565FD5" w:rsidRPr="001B45E1" w:rsidTr="00AB62A3">
        <w:trPr>
          <w:trHeight w:val="340"/>
        </w:trPr>
        <w:tc>
          <w:tcPr>
            <w:tcW w:w="1574" w:type="pct"/>
            <w:tcBorders>
              <w:left w:val="single" w:sz="4" w:space="0" w:color="auto"/>
            </w:tcBorders>
            <w:vAlign w:val="center"/>
          </w:tcPr>
          <w:p w:rsidR="00565FD5" w:rsidRPr="001B45E1" w:rsidRDefault="00565FD5" w:rsidP="00AB62A3">
            <w:pPr>
              <w:ind w:left="57" w:right="57"/>
              <w:rPr>
                <w:rFonts w:cs="Tahoma"/>
                <w:snapToGrid w:val="0"/>
                <w:sz w:val="16"/>
                <w:szCs w:val="16"/>
              </w:rPr>
            </w:pPr>
            <w:r w:rsidRPr="001B45E1">
              <w:rPr>
                <w:rFonts w:cs="Tahoma"/>
                <w:snapToGrid w:val="0"/>
                <w:sz w:val="16"/>
                <w:szCs w:val="16"/>
              </w:rPr>
              <w:t xml:space="preserve">  </w:t>
            </w:r>
            <w:r>
              <w:rPr>
                <w:rFonts w:cs="Tahoma"/>
                <w:snapToGrid w:val="0"/>
                <w:sz w:val="16"/>
                <w:szCs w:val="16"/>
              </w:rPr>
              <w:t>5</w:t>
            </w:r>
            <w:r w:rsidRPr="001B45E1">
              <w:rPr>
                <w:rFonts w:cs="Tahoma"/>
                <w:snapToGrid w:val="0"/>
                <w:sz w:val="16"/>
                <w:szCs w:val="16"/>
              </w:rPr>
              <w:t>. Haşhaş Kapsülü</w:t>
            </w:r>
          </w:p>
        </w:tc>
        <w:tc>
          <w:tcPr>
            <w:tcW w:w="566" w:type="pct"/>
            <w:vAlign w:val="center"/>
          </w:tcPr>
          <w:p w:rsidR="00565FD5" w:rsidRPr="001B45E1" w:rsidRDefault="00565FD5" w:rsidP="00AB62A3">
            <w:pPr>
              <w:ind w:left="57" w:right="57"/>
              <w:jc w:val="right"/>
              <w:rPr>
                <w:rFonts w:cs="Tahoma"/>
                <w:sz w:val="16"/>
                <w:szCs w:val="16"/>
              </w:rPr>
            </w:pPr>
            <w:r w:rsidRPr="001B45E1">
              <w:rPr>
                <w:rFonts w:cs="Tahoma"/>
                <w:sz w:val="16"/>
                <w:szCs w:val="16"/>
              </w:rPr>
              <w:t>2 600</w:t>
            </w:r>
          </w:p>
        </w:tc>
        <w:tc>
          <w:tcPr>
            <w:tcW w:w="504" w:type="pct"/>
            <w:vAlign w:val="center"/>
          </w:tcPr>
          <w:p w:rsidR="00565FD5" w:rsidRPr="001B45E1" w:rsidRDefault="00565FD5" w:rsidP="00AB62A3">
            <w:pPr>
              <w:ind w:left="57" w:right="57"/>
              <w:jc w:val="right"/>
              <w:rPr>
                <w:rFonts w:cs="Tahoma"/>
                <w:sz w:val="16"/>
                <w:szCs w:val="16"/>
              </w:rPr>
            </w:pPr>
            <w:r w:rsidRPr="001B45E1">
              <w:rPr>
                <w:rFonts w:cs="Tahoma"/>
                <w:sz w:val="16"/>
                <w:szCs w:val="16"/>
              </w:rPr>
              <w:t>2 800</w:t>
            </w:r>
          </w:p>
        </w:tc>
        <w:tc>
          <w:tcPr>
            <w:tcW w:w="566" w:type="pct"/>
            <w:vAlign w:val="center"/>
          </w:tcPr>
          <w:p w:rsidR="00565FD5" w:rsidRPr="001B45E1" w:rsidRDefault="00565FD5" w:rsidP="00AB62A3">
            <w:pPr>
              <w:ind w:left="57" w:right="57"/>
              <w:jc w:val="right"/>
              <w:rPr>
                <w:rFonts w:cs="Tahoma"/>
                <w:sz w:val="16"/>
                <w:szCs w:val="16"/>
              </w:rPr>
            </w:pPr>
            <w:r w:rsidRPr="001B45E1">
              <w:rPr>
                <w:rFonts w:cs="Tahoma"/>
                <w:sz w:val="16"/>
                <w:szCs w:val="16"/>
              </w:rPr>
              <w:t>2 800</w:t>
            </w:r>
          </w:p>
        </w:tc>
        <w:tc>
          <w:tcPr>
            <w:tcW w:w="130" w:type="pct"/>
            <w:vAlign w:val="center"/>
          </w:tcPr>
          <w:p w:rsidR="00565FD5" w:rsidRPr="001B45E1" w:rsidRDefault="00565FD5" w:rsidP="00AB62A3">
            <w:pPr>
              <w:ind w:left="57" w:right="57"/>
              <w:jc w:val="right"/>
              <w:rPr>
                <w:rFonts w:cs="Tahoma"/>
                <w:snapToGrid w:val="0"/>
                <w:sz w:val="16"/>
                <w:szCs w:val="16"/>
              </w:rPr>
            </w:pPr>
          </w:p>
        </w:tc>
        <w:tc>
          <w:tcPr>
            <w:tcW w:w="567" w:type="pct"/>
            <w:vAlign w:val="center"/>
          </w:tcPr>
          <w:p w:rsidR="00565FD5" w:rsidRPr="001B45E1" w:rsidRDefault="00565FD5" w:rsidP="00AB62A3">
            <w:pPr>
              <w:ind w:left="57" w:right="57"/>
              <w:jc w:val="right"/>
              <w:rPr>
                <w:rFonts w:cs="Tahoma"/>
                <w:sz w:val="16"/>
                <w:szCs w:val="16"/>
              </w:rPr>
            </w:pPr>
            <w:r w:rsidRPr="001B45E1">
              <w:rPr>
                <w:rFonts w:cs="Tahoma"/>
                <w:sz w:val="16"/>
                <w:szCs w:val="16"/>
              </w:rPr>
              <w:t>18,2</w:t>
            </w:r>
          </w:p>
        </w:tc>
        <w:tc>
          <w:tcPr>
            <w:tcW w:w="503" w:type="pct"/>
            <w:vAlign w:val="center"/>
          </w:tcPr>
          <w:p w:rsidR="00565FD5" w:rsidRPr="001B45E1" w:rsidRDefault="00565FD5" w:rsidP="00AB62A3">
            <w:pPr>
              <w:ind w:left="57" w:right="57"/>
              <w:jc w:val="right"/>
              <w:rPr>
                <w:rFonts w:cs="Tahoma"/>
                <w:sz w:val="16"/>
                <w:szCs w:val="16"/>
              </w:rPr>
            </w:pPr>
            <w:r w:rsidRPr="001B45E1">
              <w:rPr>
                <w:rFonts w:cs="Tahoma"/>
                <w:sz w:val="16"/>
                <w:szCs w:val="16"/>
              </w:rPr>
              <w:t>7,7</w:t>
            </w:r>
          </w:p>
        </w:tc>
        <w:tc>
          <w:tcPr>
            <w:tcW w:w="590" w:type="pct"/>
            <w:tcBorders>
              <w:right w:val="single" w:sz="4" w:space="0" w:color="auto"/>
            </w:tcBorders>
            <w:vAlign w:val="center"/>
          </w:tcPr>
          <w:p w:rsidR="00565FD5" w:rsidRPr="001B45E1" w:rsidRDefault="00565FD5" w:rsidP="00AB62A3">
            <w:pPr>
              <w:ind w:left="57" w:right="113"/>
              <w:jc w:val="right"/>
              <w:rPr>
                <w:rFonts w:cs="Tahoma"/>
                <w:sz w:val="16"/>
                <w:szCs w:val="16"/>
              </w:rPr>
            </w:pPr>
            <w:r w:rsidRPr="001B45E1">
              <w:rPr>
                <w:rFonts w:cs="Tahoma"/>
                <w:sz w:val="16"/>
                <w:szCs w:val="16"/>
              </w:rPr>
              <w:t>-</w:t>
            </w:r>
          </w:p>
        </w:tc>
      </w:tr>
      <w:tr w:rsidR="00565FD5" w:rsidRPr="001B45E1" w:rsidTr="00AB62A3">
        <w:trPr>
          <w:trHeight w:val="340"/>
        </w:trPr>
        <w:tc>
          <w:tcPr>
            <w:tcW w:w="1574" w:type="pct"/>
            <w:tcBorders>
              <w:left w:val="single" w:sz="4" w:space="0" w:color="auto"/>
              <w:bottom w:val="single" w:sz="4" w:space="0" w:color="auto"/>
            </w:tcBorders>
            <w:vAlign w:val="center"/>
          </w:tcPr>
          <w:p w:rsidR="00565FD5" w:rsidRPr="001B45E1" w:rsidRDefault="00565FD5" w:rsidP="00AB62A3">
            <w:pPr>
              <w:ind w:left="57" w:right="57"/>
              <w:rPr>
                <w:rFonts w:cs="Tahoma"/>
                <w:snapToGrid w:val="0"/>
                <w:sz w:val="16"/>
                <w:szCs w:val="16"/>
              </w:rPr>
            </w:pPr>
            <w:r w:rsidRPr="001B45E1">
              <w:rPr>
                <w:rFonts w:cs="Tahoma"/>
                <w:snapToGrid w:val="0"/>
                <w:sz w:val="16"/>
                <w:szCs w:val="16"/>
              </w:rPr>
              <w:t xml:space="preserve">  </w:t>
            </w:r>
            <w:r>
              <w:rPr>
                <w:rFonts w:cs="Tahoma"/>
                <w:snapToGrid w:val="0"/>
                <w:sz w:val="16"/>
                <w:szCs w:val="16"/>
              </w:rPr>
              <w:t>6</w:t>
            </w:r>
            <w:r w:rsidRPr="001B45E1">
              <w:rPr>
                <w:rFonts w:cs="Tahoma"/>
                <w:snapToGrid w:val="0"/>
                <w:sz w:val="16"/>
                <w:szCs w:val="16"/>
              </w:rPr>
              <w:t>. Çay</w:t>
            </w:r>
          </w:p>
        </w:tc>
        <w:tc>
          <w:tcPr>
            <w:tcW w:w="566" w:type="pct"/>
            <w:tcBorders>
              <w:bottom w:val="single" w:sz="4" w:space="0" w:color="auto"/>
            </w:tcBorders>
            <w:vAlign w:val="center"/>
          </w:tcPr>
          <w:p w:rsidR="00565FD5" w:rsidRPr="001B45E1" w:rsidRDefault="00565FD5" w:rsidP="00AB62A3">
            <w:pPr>
              <w:ind w:left="57" w:right="57"/>
              <w:jc w:val="right"/>
              <w:rPr>
                <w:rFonts w:cs="Tahoma"/>
                <w:sz w:val="16"/>
                <w:szCs w:val="16"/>
              </w:rPr>
            </w:pPr>
            <w:r w:rsidRPr="001B45E1">
              <w:rPr>
                <w:rFonts w:cs="Tahoma"/>
                <w:sz w:val="16"/>
                <w:szCs w:val="16"/>
              </w:rPr>
              <w:t>790</w:t>
            </w:r>
          </w:p>
        </w:tc>
        <w:tc>
          <w:tcPr>
            <w:tcW w:w="504" w:type="pct"/>
            <w:tcBorders>
              <w:bottom w:val="single" w:sz="4" w:space="0" w:color="auto"/>
            </w:tcBorders>
            <w:vAlign w:val="center"/>
          </w:tcPr>
          <w:p w:rsidR="00565FD5" w:rsidRPr="001B45E1" w:rsidRDefault="00565FD5" w:rsidP="00AB62A3">
            <w:pPr>
              <w:ind w:left="57" w:right="57"/>
              <w:jc w:val="right"/>
              <w:rPr>
                <w:rFonts w:cs="Tahoma"/>
                <w:sz w:val="16"/>
                <w:szCs w:val="16"/>
              </w:rPr>
            </w:pPr>
            <w:r w:rsidRPr="001B45E1">
              <w:rPr>
                <w:rFonts w:cs="Tahoma"/>
                <w:sz w:val="16"/>
                <w:szCs w:val="16"/>
              </w:rPr>
              <w:t>885</w:t>
            </w:r>
          </w:p>
        </w:tc>
        <w:tc>
          <w:tcPr>
            <w:tcW w:w="566" w:type="pct"/>
            <w:tcBorders>
              <w:bottom w:val="single" w:sz="4" w:space="0" w:color="auto"/>
            </w:tcBorders>
            <w:vAlign w:val="center"/>
          </w:tcPr>
          <w:p w:rsidR="00565FD5" w:rsidRPr="001B45E1" w:rsidRDefault="00565FD5" w:rsidP="00AB62A3">
            <w:pPr>
              <w:ind w:left="57" w:right="57"/>
              <w:jc w:val="right"/>
              <w:rPr>
                <w:rFonts w:cs="Tahoma"/>
                <w:sz w:val="16"/>
                <w:szCs w:val="16"/>
              </w:rPr>
            </w:pPr>
            <w:r w:rsidRPr="001B45E1">
              <w:rPr>
                <w:rFonts w:cs="Tahoma"/>
                <w:sz w:val="16"/>
                <w:szCs w:val="16"/>
              </w:rPr>
              <w:t>980</w:t>
            </w:r>
          </w:p>
        </w:tc>
        <w:tc>
          <w:tcPr>
            <w:tcW w:w="130" w:type="pct"/>
            <w:tcBorders>
              <w:bottom w:val="single" w:sz="4" w:space="0" w:color="auto"/>
            </w:tcBorders>
            <w:vAlign w:val="center"/>
          </w:tcPr>
          <w:p w:rsidR="00565FD5" w:rsidRPr="001B45E1" w:rsidRDefault="00565FD5" w:rsidP="00AB62A3">
            <w:pPr>
              <w:ind w:left="57" w:right="57"/>
              <w:jc w:val="right"/>
              <w:rPr>
                <w:rFonts w:cs="Tahoma"/>
                <w:snapToGrid w:val="0"/>
                <w:sz w:val="16"/>
                <w:szCs w:val="16"/>
              </w:rPr>
            </w:pPr>
          </w:p>
        </w:tc>
        <w:tc>
          <w:tcPr>
            <w:tcW w:w="567" w:type="pct"/>
            <w:tcBorders>
              <w:bottom w:val="single" w:sz="4" w:space="0" w:color="auto"/>
            </w:tcBorders>
            <w:vAlign w:val="center"/>
          </w:tcPr>
          <w:p w:rsidR="00565FD5" w:rsidRPr="001B45E1" w:rsidRDefault="00565FD5" w:rsidP="00AB62A3">
            <w:pPr>
              <w:ind w:left="57" w:right="57"/>
              <w:jc w:val="right"/>
              <w:rPr>
                <w:rFonts w:cs="Tahoma"/>
                <w:sz w:val="16"/>
                <w:szCs w:val="16"/>
              </w:rPr>
            </w:pPr>
            <w:r w:rsidRPr="001B45E1">
              <w:rPr>
                <w:rFonts w:cs="Tahoma"/>
                <w:sz w:val="16"/>
                <w:szCs w:val="16"/>
              </w:rPr>
              <w:t>7,2</w:t>
            </w:r>
          </w:p>
        </w:tc>
        <w:tc>
          <w:tcPr>
            <w:tcW w:w="503" w:type="pct"/>
            <w:tcBorders>
              <w:bottom w:val="single" w:sz="4" w:space="0" w:color="auto"/>
            </w:tcBorders>
            <w:vAlign w:val="center"/>
          </w:tcPr>
          <w:p w:rsidR="00565FD5" w:rsidRPr="001B45E1" w:rsidRDefault="00565FD5" w:rsidP="00AB62A3">
            <w:pPr>
              <w:ind w:left="57" w:right="57"/>
              <w:jc w:val="right"/>
              <w:rPr>
                <w:rFonts w:cs="Tahoma"/>
                <w:sz w:val="16"/>
                <w:szCs w:val="16"/>
              </w:rPr>
            </w:pPr>
            <w:r w:rsidRPr="001B45E1">
              <w:rPr>
                <w:rFonts w:cs="Tahoma"/>
                <w:sz w:val="16"/>
                <w:szCs w:val="16"/>
              </w:rPr>
              <w:t>12,0</w:t>
            </w:r>
          </w:p>
        </w:tc>
        <w:tc>
          <w:tcPr>
            <w:tcW w:w="590" w:type="pct"/>
            <w:tcBorders>
              <w:bottom w:val="single" w:sz="4" w:space="0" w:color="auto"/>
              <w:right w:val="single" w:sz="4" w:space="0" w:color="auto"/>
            </w:tcBorders>
            <w:vAlign w:val="center"/>
          </w:tcPr>
          <w:p w:rsidR="00565FD5" w:rsidRPr="001B45E1" w:rsidRDefault="00565FD5" w:rsidP="00AB62A3">
            <w:pPr>
              <w:ind w:left="57" w:right="113"/>
              <w:jc w:val="right"/>
              <w:rPr>
                <w:rFonts w:cs="Tahoma"/>
                <w:sz w:val="16"/>
                <w:szCs w:val="16"/>
              </w:rPr>
            </w:pPr>
            <w:r w:rsidRPr="001B45E1">
              <w:rPr>
                <w:rFonts w:cs="Tahoma"/>
                <w:sz w:val="16"/>
                <w:szCs w:val="16"/>
              </w:rPr>
              <w:t>10,7</w:t>
            </w:r>
          </w:p>
        </w:tc>
      </w:tr>
    </w:tbl>
    <w:p w:rsidR="00565FD5" w:rsidRDefault="00565FD5" w:rsidP="00565FD5">
      <w:pPr>
        <w:spacing w:before="40"/>
        <w:ind w:right="68"/>
        <w:rPr>
          <w:rFonts w:cs="Tahoma"/>
          <w:snapToGrid w:val="0"/>
          <w:sz w:val="14"/>
          <w:szCs w:val="14"/>
        </w:rPr>
      </w:pPr>
      <w:r>
        <w:rPr>
          <w:rFonts w:cs="Tahoma"/>
          <w:snapToGrid w:val="0"/>
          <w:sz w:val="14"/>
          <w:szCs w:val="14"/>
        </w:rPr>
        <w:t>Kaynak: TMO, ÇAYKUR, TŞFAŞ</w:t>
      </w:r>
    </w:p>
    <w:p w:rsidR="00565FD5" w:rsidRPr="001B45E1" w:rsidRDefault="00565FD5" w:rsidP="00565FD5">
      <w:pPr>
        <w:spacing w:before="40"/>
        <w:ind w:right="68"/>
        <w:rPr>
          <w:rFonts w:cs="Tahoma"/>
          <w:snapToGrid w:val="0"/>
          <w:sz w:val="14"/>
          <w:szCs w:val="14"/>
        </w:rPr>
      </w:pPr>
      <w:r w:rsidRPr="001B45E1">
        <w:rPr>
          <w:rFonts w:cs="Tahoma"/>
          <w:snapToGrid w:val="0"/>
          <w:sz w:val="14"/>
          <w:szCs w:val="14"/>
        </w:rPr>
        <w:t>Not: Tarım Satış Kooperatifleri ve Birlikleri avans fiyat uygulamasına geçtiklerinden birliklerin aldıkları ürünler tabloda yer almamaktadır.</w:t>
      </w:r>
    </w:p>
    <w:p w:rsidR="00565FD5" w:rsidRPr="001B45E1" w:rsidRDefault="00565FD5" w:rsidP="00565FD5">
      <w:pPr>
        <w:tabs>
          <w:tab w:val="num" w:pos="1145"/>
        </w:tabs>
        <w:spacing w:after="360"/>
        <w:ind w:left="6"/>
        <w:rPr>
          <w:rFonts w:cs="Tahoma"/>
          <w:snapToGrid w:val="0"/>
          <w:sz w:val="14"/>
          <w:szCs w:val="14"/>
        </w:rPr>
      </w:pPr>
      <w:r w:rsidRPr="001B45E1">
        <w:rPr>
          <w:rFonts w:cs="Tahoma"/>
          <w:snapToGrid w:val="0"/>
          <w:sz w:val="14"/>
          <w:szCs w:val="14"/>
        </w:rPr>
        <w:t>(1) Destekleme primleri hariçtir.</w:t>
      </w:r>
    </w:p>
    <w:p w:rsidR="00565FD5" w:rsidRDefault="00565FD5" w:rsidP="00565FD5">
      <w:pPr>
        <w:spacing w:after="160"/>
        <w:ind w:firstLine="425"/>
        <w:rPr>
          <w:rFonts w:cs="Tahoma"/>
          <w:szCs w:val="18"/>
        </w:rPr>
      </w:pPr>
      <w:r w:rsidRPr="001B45E1">
        <w:rPr>
          <w:rFonts w:cs="Tahoma"/>
          <w:szCs w:val="18"/>
        </w:rPr>
        <w:t>Tarım ürünlerinin işlenmesi, değerlendirilmesi ve pazarlanması konularındaki tarımsal yatırımlar ile yeni alet ve ekipman alımlarının desteklenmesine ilişkin Kırsal Kalkınma Yatırımlarının Desteklenmesi Programının toplam destekleme bütçesindeki payı 2007 yılında yüzde 1,4 iken bu oranın 2012 yılında AB Mali İşbirliği kapsamında yürütülecek olan kırsal kalkınma destekleri için katkı payı da dahil olmak üzere yüzde 4 olması beklenmektedir. Söz konusu Programın, AB Mali İşbirliği kapsamında yürütülmesine başlanan Kırsal Kalkınma Programı gözetilerek, bölgesel özellikleri dikkate alacak şekilde farklılaştırılması ihtiyacı bulunmakta, faiz indirimli tarımsal krediler ile tarımsal amaçlı kooperatiflere kullandırılan kredi uygulamaları ve benzer nitelikli diğer proje bazlı destekler arasında tamamlayıcılığının sağlanması önem arz etmektedir.</w:t>
      </w:r>
    </w:p>
    <w:p w:rsidR="00565FD5" w:rsidRDefault="00565FD5" w:rsidP="00565FD5">
      <w:pPr>
        <w:spacing w:after="160"/>
        <w:ind w:firstLine="425"/>
        <w:rPr>
          <w:rFonts w:cs="Tahoma"/>
          <w:szCs w:val="18"/>
        </w:rPr>
      </w:pPr>
    </w:p>
    <w:p w:rsidR="00565FD5" w:rsidRPr="0054588B" w:rsidRDefault="00565FD5" w:rsidP="00565FD5">
      <w:pPr>
        <w:pStyle w:val="ResimYazs"/>
      </w:pPr>
      <w:bookmarkStart w:id="1823" w:name="_Toc338606023"/>
      <w:bookmarkStart w:id="1824" w:name="_Toc338711798"/>
      <w:bookmarkStart w:id="1825" w:name="_Toc276076500"/>
      <w:bookmarkStart w:id="1826" w:name="_Toc275873958"/>
      <w:bookmarkStart w:id="1827" w:name="_Toc244255274"/>
      <w:bookmarkEnd w:id="1811"/>
      <w:bookmarkEnd w:id="1812"/>
      <w:bookmarkEnd w:id="1813"/>
      <w:bookmarkEnd w:id="1814"/>
      <w:bookmarkEnd w:id="1815"/>
      <w:r>
        <w:t xml:space="preserve">TABLO IV: </w:t>
      </w:r>
      <w:fldSimple w:instr=" SEQ TABLO_IV: \* ARABIC ">
        <w:r>
          <w:rPr>
            <w:noProof/>
          </w:rPr>
          <w:t>28</w:t>
        </w:r>
      </w:fldSimple>
      <w:r w:rsidRPr="0054588B">
        <w:t>- Alım Yapılan Tarımsal Ürün Fiyatlarındaki Gelişmeler</w:t>
      </w:r>
      <w:bookmarkEnd w:id="1823"/>
      <w:bookmarkEnd w:id="1824"/>
    </w:p>
    <w:tbl>
      <w:tblPr>
        <w:tblW w:w="7144" w:type="dxa"/>
        <w:jc w:val="center"/>
        <w:tblBorders>
          <w:top w:val="single" w:sz="4" w:space="0" w:color="auto"/>
          <w:left w:val="single" w:sz="4" w:space="0" w:color="auto"/>
          <w:bottom w:val="single" w:sz="4" w:space="0" w:color="auto"/>
          <w:right w:val="single" w:sz="4" w:space="0" w:color="auto"/>
        </w:tblBorders>
        <w:tblLook w:val="0000"/>
      </w:tblPr>
      <w:tblGrid>
        <w:gridCol w:w="2114"/>
        <w:gridCol w:w="758"/>
        <w:gridCol w:w="905"/>
        <w:gridCol w:w="885"/>
        <w:gridCol w:w="222"/>
        <w:gridCol w:w="756"/>
        <w:gridCol w:w="759"/>
        <w:gridCol w:w="745"/>
      </w:tblGrid>
      <w:tr w:rsidR="00565FD5" w:rsidRPr="001B45E1" w:rsidTr="00AB62A3">
        <w:trPr>
          <w:trHeight w:val="255"/>
          <w:jc w:val="center"/>
        </w:trPr>
        <w:tc>
          <w:tcPr>
            <w:tcW w:w="1481" w:type="pct"/>
            <w:tcBorders>
              <w:top w:val="single" w:sz="4" w:space="0" w:color="auto"/>
              <w:bottom w:val="nil"/>
            </w:tcBorders>
          </w:tcPr>
          <w:p w:rsidR="00565FD5" w:rsidRPr="001B45E1" w:rsidRDefault="00565FD5" w:rsidP="00AB62A3">
            <w:pPr>
              <w:tabs>
                <w:tab w:val="left" w:pos="2582"/>
                <w:tab w:val="left" w:pos="3432"/>
                <w:tab w:val="left" w:pos="4283"/>
                <w:tab w:val="left" w:pos="5133"/>
                <w:tab w:val="left" w:pos="5984"/>
                <w:tab w:val="left" w:pos="6381"/>
                <w:tab w:val="left" w:pos="6804"/>
                <w:tab w:val="left" w:pos="7163"/>
                <w:tab w:val="left" w:pos="7945"/>
                <w:tab w:val="left" w:pos="8728"/>
              </w:tabs>
              <w:rPr>
                <w:rFonts w:cs="Tahoma"/>
                <w:b/>
                <w:snapToGrid w:val="0"/>
                <w:sz w:val="14"/>
                <w:szCs w:val="14"/>
              </w:rPr>
            </w:pPr>
          </w:p>
        </w:tc>
        <w:tc>
          <w:tcPr>
            <w:tcW w:w="1786" w:type="pct"/>
            <w:gridSpan w:val="3"/>
            <w:tcBorders>
              <w:top w:val="single" w:sz="4" w:space="0" w:color="auto"/>
              <w:bottom w:val="single" w:sz="4" w:space="0" w:color="auto"/>
              <w:right w:val="single" w:sz="4" w:space="0" w:color="auto"/>
            </w:tcBorders>
          </w:tcPr>
          <w:p w:rsidR="00565FD5" w:rsidRPr="001B45E1" w:rsidRDefault="00565FD5" w:rsidP="00AB62A3">
            <w:pPr>
              <w:tabs>
                <w:tab w:val="left" w:pos="2582"/>
                <w:tab w:val="left" w:pos="3432"/>
                <w:tab w:val="left" w:pos="4283"/>
                <w:tab w:val="left" w:pos="5133"/>
                <w:tab w:val="left" w:pos="5984"/>
                <w:tab w:val="left" w:pos="6381"/>
                <w:tab w:val="left" w:pos="6804"/>
                <w:tab w:val="left" w:pos="7163"/>
                <w:tab w:val="left" w:pos="7945"/>
                <w:tab w:val="left" w:pos="8728"/>
              </w:tabs>
              <w:jc w:val="center"/>
              <w:rPr>
                <w:rFonts w:cs="Tahoma"/>
                <w:b/>
                <w:snapToGrid w:val="0"/>
                <w:sz w:val="14"/>
                <w:szCs w:val="14"/>
              </w:rPr>
            </w:pPr>
            <w:r w:rsidRPr="001B45E1">
              <w:rPr>
                <w:rFonts w:cs="Tahoma"/>
                <w:b/>
                <w:snapToGrid w:val="0"/>
                <w:sz w:val="14"/>
                <w:szCs w:val="14"/>
              </w:rPr>
              <w:t>Ortalama Alım Fiyatları (TL/Ton)</w:t>
            </w:r>
          </w:p>
        </w:tc>
        <w:tc>
          <w:tcPr>
            <w:tcW w:w="149" w:type="pct"/>
            <w:tcBorders>
              <w:top w:val="single" w:sz="4" w:space="0" w:color="auto"/>
              <w:left w:val="single" w:sz="4" w:space="0" w:color="auto"/>
              <w:bottom w:val="single" w:sz="4" w:space="0" w:color="auto"/>
            </w:tcBorders>
          </w:tcPr>
          <w:p w:rsidR="00565FD5" w:rsidRPr="001B45E1" w:rsidRDefault="00565FD5" w:rsidP="00AB62A3">
            <w:pPr>
              <w:tabs>
                <w:tab w:val="left" w:pos="2582"/>
                <w:tab w:val="left" w:pos="3432"/>
                <w:tab w:val="left" w:pos="4283"/>
                <w:tab w:val="left" w:pos="5133"/>
                <w:tab w:val="left" w:pos="5984"/>
                <w:tab w:val="left" w:pos="6381"/>
                <w:tab w:val="left" w:pos="6804"/>
                <w:tab w:val="left" w:pos="7163"/>
                <w:tab w:val="left" w:pos="7945"/>
                <w:tab w:val="left" w:pos="8728"/>
              </w:tabs>
              <w:rPr>
                <w:rFonts w:cs="Tahoma"/>
                <w:b/>
                <w:snapToGrid w:val="0"/>
                <w:sz w:val="14"/>
                <w:szCs w:val="14"/>
              </w:rPr>
            </w:pPr>
          </w:p>
        </w:tc>
        <w:tc>
          <w:tcPr>
            <w:tcW w:w="1585" w:type="pct"/>
            <w:gridSpan w:val="3"/>
            <w:tcBorders>
              <w:top w:val="single" w:sz="4" w:space="0" w:color="auto"/>
              <w:bottom w:val="single" w:sz="4" w:space="0" w:color="auto"/>
            </w:tcBorders>
          </w:tcPr>
          <w:p w:rsidR="00565FD5" w:rsidRPr="001B45E1" w:rsidRDefault="00565FD5" w:rsidP="00AB62A3">
            <w:pPr>
              <w:tabs>
                <w:tab w:val="left" w:pos="2582"/>
                <w:tab w:val="left" w:pos="3432"/>
                <w:tab w:val="left" w:pos="4283"/>
                <w:tab w:val="left" w:pos="5133"/>
                <w:tab w:val="left" w:pos="5984"/>
                <w:tab w:val="left" w:pos="6381"/>
                <w:tab w:val="left" w:pos="6804"/>
                <w:tab w:val="left" w:pos="7163"/>
                <w:tab w:val="left" w:pos="7945"/>
                <w:tab w:val="left" w:pos="8728"/>
              </w:tabs>
              <w:jc w:val="center"/>
              <w:rPr>
                <w:rFonts w:cs="Tahoma"/>
                <w:b/>
                <w:snapToGrid w:val="0"/>
                <w:sz w:val="14"/>
                <w:szCs w:val="14"/>
              </w:rPr>
            </w:pPr>
            <w:r w:rsidRPr="001B45E1">
              <w:rPr>
                <w:rFonts w:cs="Tahoma"/>
                <w:b/>
                <w:snapToGrid w:val="0"/>
                <w:sz w:val="14"/>
                <w:szCs w:val="14"/>
              </w:rPr>
              <w:t>(Yüzde Değişim)</w:t>
            </w:r>
          </w:p>
        </w:tc>
      </w:tr>
      <w:tr w:rsidR="00565FD5" w:rsidRPr="001B45E1" w:rsidTr="00AB62A3">
        <w:trPr>
          <w:trHeight w:val="255"/>
          <w:jc w:val="center"/>
        </w:trPr>
        <w:tc>
          <w:tcPr>
            <w:tcW w:w="1481" w:type="pct"/>
            <w:tcBorders>
              <w:top w:val="nil"/>
              <w:bottom w:val="single" w:sz="4" w:space="0" w:color="auto"/>
            </w:tcBorders>
            <w:vAlign w:val="center"/>
          </w:tcPr>
          <w:p w:rsidR="00565FD5" w:rsidRPr="001B45E1" w:rsidRDefault="00565FD5" w:rsidP="00AB62A3">
            <w:pPr>
              <w:ind w:left="57" w:right="57"/>
              <w:rPr>
                <w:rFonts w:cs="Tahoma"/>
                <w:b/>
                <w:snapToGrid w:val="0"/>
                <w:sz w:val="14"/>
                <w:szCs w:val="14"/>
              </w:rPr>
            </w:pPr>
            <w:r w:rsidRPr="001B45E1">
              <w:rPr>
                <w:rFonts w:cs="Tahoma"/>
                <w:b/>
                <w:snapToGrid w:val="0"/>
                <w:sz w:val="14"/>
                <w:szCs w:val="14"/>
              </w:rPr>
              <w:t>Ürünler</w:t>
            </w:r>
          </w:p>
        </w:tc>
        <w:tc>
          <w:tcPr>
            <w:tcW w:w="532" w:type="pct"/>
            <w:tcBorders>
              <w:top w:val="single" w:sz="4" w:space="0" w:color="auto"/>
              <w:bottom w:val="single" w:sz="4" w:space="0" w:color="auto"/>
            </w:tcBorders>
            <w:vAlign w:val="center"/>
          </w:tcPr>
          <w:p w:rsidR="00565FD5" w:rsidRPr="001B45E1" w:rsidRDefault="00565FD5" w:rsidP="00AB62A3">
            <w:pPr>
              <w:ind w:left="57" w:right="57"/>
              <w:jc w:val="right"/>
              <w:rPr>
                <w:rFonts w:cs="Tahoma"/>
                <w:b/>
                <w:snapToGrid w:val="0"/>
                <w:sz w:val="14"/>
                <w:szCs w:val="14"/>
              </w:rPr>
            </w:pPr>
            <w:r w:rsidRPr="001B45E1">
              <w:rPr>
                <w:rFonts w:cs="Tahoma"/>
                <w:b/>
                <w:snapToGrid w:val="0"/>
                <w:sz w:val="14"/>
                <w:szCs w:val="14"/>
              </w:rPr>
              <w:t>2009</w:t>
            </w:r>
          </w:p>
        </w:tc>
        <w:tc>
          <w:tcPr>
            <w:tcW w:w="634" w:type="pct"/>
            <w:tcBorders>
              <w:top w:val="single" w:sz="4" w:space="0" w:color="auto"/>
              <w:bottom w:val="single" w:sz="4" w:space="0" w:color="auto"/>
            </w:tcBorders>
            <w:vAlign w:val="center"/>
          </w:tcPr>
          <w:p w:rsidR="00565FD5" w:rsidRPr="001B45E1" w:rsidRDefault="00565FD5" w:rsidP="00AB62A3">
            <w:pPr>
              <w:ind w:left="57" w:right="57"/>
              <w:jc w:val="right"/>
              <w:rPr>
                <w:rFonts w:cs="Tahoma"/>
                <w:b/>
                <w:snapToGrid w:val="0"/>
                <w:sz w:val="14"/>
                <w:szCs w:val="14"/>
              </w:rPr>
            </w:pPr>
            <w:r w:rsidRPr="001B45E1">
              <w:rPr>
                <w:rFonts w:cs="Tahoma"/>
                <w:b/>
                <w:snapToGrid w:val="0"/>
                <w:sz w:val="14"/>
                <w:szCs w:val="14"/>
              </w:rPr>
              <w:t>2010</w:t>
            </w:r>
          </w:p>
        </w:tc>
        <w:tc>
          <w:tcPr>
            <w:tcW w:w="620" w:type="pct"/>
            <w:tcBorders>
              <w:top w:val="single" w:sz="4" w:space="0" w:color="auto"/>
              <w:bottom w:val="single" w:sz="4" w:space="0" w:color="auto"/>
              <w:right w:val="single" w:sz="4" w:space="0" w:color="auto"/>
            </w:tcBorders>
            <w:vAlign w:val="center"/>
          </w:tcPr>
          <w:p w:rsidR="00565FD5" w:rsidRPr="001B45E1" w:rsidRDefault="00565FD5" w:rsidP="00AB62A3">
            <w:pPr>
              <w:ind w:left="57" w:right="57"/>
              <w:jc w:val="right"/>
              <w:rPr>
                <w:rFonts w:cs="Tahoma"/>
                <w:b/>
                <w:snapToGrid w:val="0"/>
                <w:sz w:val="14"/>
                <w:szCs w:val="14"/>
              </w:rPr>
            </w:pPr>
            <w:r w:rsidRPr="001B45E1">
              <w:rPr>
                <w:rFonts w:cs="Tahoma"/>
                <w:b/>
                <w:snapToGrid w:val="0"/>
                <w:sz w:val="14"/>
                <w:szCs w:val="14"/>
              </w:rPr>
              <w:t>2011</w:t>
            </w:r>
          </w:p>
        </w:tc>
        <w:tc>
          <w:tcPr>
            <w:tcW w:w="149" w:type="pct"/>
            <w:tcBorders>
              <w:top w:val="single" w:sz="4" w:space="0" w:color="auto"/>
              <w:left w:val="single" w:sz="4" w:space="0" w:color="auto"/>
              <w:bottom w:val="single" w:sz="4" w:space="0" w:color="auto"/>
            </w:tcBorders>
            <w:vAlign w:val="center"/>
          </w:tcPr>
          <w:p w:rsidR="00565FD5" w:rsidRPr="001B45E1" w:rsidRDefault="00565FD5" w:rsidP="00AB62A3">
            <w:pPr>
              <w:ind w:left="57" w:right="57"/>
              <w:jc w:val="center"/>
              <w:rPr>
                <w:rFonts w:cs="Tahoma"/>
                <w:b/>
                <w:snapToGrid w:val="0"/>
                <w:sz w:val="14"/>
                <w:szCs w:val="14"/>
              </w:rPr>
            </w:pPr>
          </w:p>
        </w:tc>
        <w:tc>
          <w:tcPr>
            <w:tcW w:w="530" w:type="pct"/>
            <w:tcBorders>
              <w:top w:val="single" w:sz="4" w:space="0" w:color="auto"/>
              <w:bottom w:val="single" w:sz="4" w:space="0" w:color="auto"/>
            </w:tcBorders>
            <w:vAlign w:val="center"/>
          </w:tcPr>
          <w:p w:rsidR="00565FD5" w:rsidRPr="001B45E1" w:rsidRDefault="00565FD5" w:rsidP="00AB62A3">
            <w:pPr>
              <w:ind w:left="57" w:right="57"/>
              <w:jc w:val="right"/>
              <w:rPr>
                <w:rFonts w:cs="Tahoma"/>
                <w:b/>
                <w:snapToGrid w:val="0"/>
                <w:sz w:val="14"/>
                <w:szCs w:val="14"/>
              </w:rPr>
            </w:pPr>
            <w:r w:rsidRPr="001B45E1">
              <w:rPr>
                <w:rFonts w:cs="Tahoma"/>
                <w:b/>
                <w:snapToGrid w:val="0"/>
                <w:sz w:val="14"/>
                <w:szCs w:val="14"/>
              </w:rPr>
              <w:t>2009</w:t>
            </w:r>
          </w:p>
        </w:tc>
        <w:tc>
          <w:tcPr>
            <w:tcW w:w="532" w:type="pct"/>
            <w:tcBorders>
              <w:top w:val="single" w:sz="4" w:space="0" w:color="auto"/>
              <w:bottom w:val="single" w:sz="4" w:space="0" w:color="auto"/>
            </w:tcBorders>
            <w:vAlign w:val="center"/>
          </w:tcPr>
          <w:p w:rsidR="00565FD5" w:rsidRPr="001B45E1" w:rsidRDefault="00565FD5" w:rsidP="00AB62A3">
            <w:pPr>
              <w:ind w:left="57" w:right="57"/>
              <w:jc w:val="right"/>
              <w:rPr>
                <w:rFonts w:cs="Tahoma"/>
                <w:b/>
                <w:snapToGrid w:val="0"/>
                <w:sz w:val="14"/>
                <w:szCs w:val="14"/>
              </w:rPr>
            </w:pPr>
            <w:r w:rsidRPr="001B45E1">
              <w:rPr>
                <w:rFonts w:cs="Tahoma"/>
                <w:b/>
                <w:snapToGrid w:val="0"/>
                <w:sz w:val="14"/>
                <w:szCs w:val="14"/>
              </w:rPr>
              <w:t>2010</w:t>
            </w:r>
          </w:p>
        </w:tc>
        <w:tc>
          <w:tcPr>
            <w:tcW w:w="523" w:type="pct"/>
            <w:tcBorders>
              <w:top w:val="single" w:sz="4" w:space="0" w:color="auto"/>
              <w:bottom w:val="single" w:sz="4" w:space="0" w:color="auto"/>
            </w:tcBorders>
            <w:vAlign w:val="center"/>
          </w:tcPr>
          <w:p w:rsidR="00565FD5" w:rsidRPr="001B45E1" w:rsidRDefault="00565FD5" w:rsidP="00AB62A3">
            <w:pPr>
              <w:ind w:left="57" w:right="57"/>
              <w:jc w:val="right"/>
              <w:rPr>
                <w:rFonts w:cs="Tahoma"/>
                <w:b/>
                <w:snapToGrid w:val="0"/>
                <w:sz w:val="14"/>
                <w:szCs w:val="14"/>
              </w:rPr>
            </w:pPr>
            <w:r w:rsidRPr="001B45E1">
              <w:rPr>
                <w:rFonts w:cs="Tahoma"/>
                <w:b/>
                <w:snapToGrid w:val="0"/>
                <w:sz w:val="14"/>
                <w:szCs w:val="14"/>
              </w:rPr>
              <w:t>2011</w:t>
            </w:r>
          </w:p>
        </w:tc>
      </w:tr>
      <w:tr w:rsidR="00565FD5" w:rsidRPr="001B45E1" w:rsidTr="00AB62A3">
        <w:trPr>
          <w:trHeight w:val="255"/>
          <w:jc w:val="center"/>
        </w:trPr>
        <w:tc>
          <w:tcPr>
            <w:tcW w:w="1481" w:type="pct"/>
            <w:tcBorders>
              <w:top w:val="single" w:sz="4" w:space="0" w:color="auto"/>
            </w:tcBorders>
            <w:vAlign w:val="center"/>
          </w:tcPr>
          <w:p w:rsidR="00565FD5" w:rsidRPr="001B45E1" w:rsidRDefault="00565FD5" w:rsidP="00AB62A3">
            <w:pPr>
              <w:ind w:left="57" w:right="57"/>
              <w:rPr>
                <w:rFonts w:cs="Tahoma"/>
                <w:snapToGrid w:val="0"/>
                <w:sz w:val="14"/>
                <w:szCs w:val="14"/>
              </w:rPr>
            </w:pPr>
            <w:r w:rsidRPr="001B45E1">
              <w:rPr>
                <w:rFonts w:cs="Tahoma"/>
                <w:snapToGrid w:val="0"/>
                <w:sz w:val="14"/>
                <w:szCs w:val="14"/>
              </w:rPr>
              <w:t xml:space="preserve">  1. Buğday </w:t>
            </w:r>
          </w:p>
        </w:tc>
        <w:tc>
          <w:tcPr>
            <w:tcW w:w="532" w:type="pct"/>
            <w:tcBorders>
              <w:top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459</w:t>
            </w:r>
          </w:p>
        </w:tc>
        <w:tc>
          <w:tcPr>
            <w:tcW w:w="634" w:type="pct"/>
            <w:tcBorders>
              <w:top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506</w:t>
            </w:r>
          </w:p>
        </w:tc>
        <w:tc>
          <w:tcPr>
            <w:tcW w:w="620" w:type="pct"/>
            <w:tcBorders>
              <w:top w:val="single" w:sz="4" w:space="0" w:color="auto"/>
              <w:right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554</w:t>
            </w:r>
          </w:p>
        </w:tc>
        <w:tc>
          <w:tcPr>
            <w:tcW w:w="149" w:type="pct"/>
            <w:tcBorders>
              <w:top w:val="single" w:sz="4" w:space="0" w:color="auto"/>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single" w:sz="4" w:space="0" w:color="auto"/>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-1,1</w:t>
            </w:r>
          </w:p>
        </w:tc>
        <w:tc>
          <w:tcPr>
            <w:tcW w:w="532" w:type="pct"/>
            <w:tcBorders>
              <w:top w:val="single" w:sz="4" w:space="0" w:color="auto"/>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10,1</w:t>
            </w:r>
          </w:p>
        </w:tc>
        <w:tc>
          <w:tcPr>
            <w:tcW w:w="523" w:type="pct"/>
            <w:tcBorders>
              <w:top w:val="single" w:sz="4" w:space="0" w:color="auto"/>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9,6</w:t>
            </w:r>
          </w:p>
        </w:tc>
      </w:tr>
      <w:tr w:rsidR="00565FD5" w:rsidRPr="001B45E1" w:rsidTr="00AB62A3">
        <w:trPr>
          <w:trHeight w:val="255"/>
          <w:jc w:val="center"/>
        </w:trPr>
        <w:tc>
          <w:tcPr>
            <w:tcW w:w="1481" w:type="pct"/>
            <w:vAlign w:val="center"/>
          </w:tcPr>
          <w:p w:rsidR="00565FD5" w:rsidRPr="001B45E1" w:rsidRDefault="00565FD5" w:rsidP="00AB62A3">
            <w:pPr>
              <w:ind w:left="57" w:right="57"/>
              <w:rPr>
                <w:rFonts w:cs="Tahoma"/>
                <w:snapToGrid w:val="0"/>
                <w:sz w:val="14"/>
                <w:szCs w:val="14"/>
              </w:rPr>
            </w:pPr>
            <w:r w:rsidRPr="001B45E1">
              <w:rPr>
                <w:rFonts w:cs="Tahoma"/>
                <w:snapToGrid w:val="0"/>
                <w:sz w:val="14"/>
                <w:szCs w:val="14"/>
              </w:rPr>
              <w:t xml:space="preserve">  2. Arpa </w:t>
            </w:r>
          </w:p>
        </w:tc>
        <w:tc>
          <w:tcPr>
            <w:tcW w:w="532" w:type="pct"/>
            <w:vAlign w:val="center"/>
          </w:tcPr>
          <w:p w:rsidR="00565FD5" w:rsidRPr="001B45E1" w:rsidRDefault="00565FD5" w:rsidP="00AB62A3">
            <w:pPr>
              <w:ind w:left="57" w:right="57"/>
              <w:jc w:val="right"/>
              <w:rPr>
                <w:rFonts w:cs="Tahoma"/>
                <w:sz w:val="14"/>
                <w:szCs w:val="14"/>
              </w:rPr>
            </w:pPr>
            <w:r w:rsidRPr="001B45E1">
              <w:rPr>
                <w:rFonts w:cs="Tahoma"/>
                <w:sz w:val="14"/>
                <w:szCs w:val="14"/>
              </w:rPr>
              <w:t>370</w:t>
            </w:r>
          </w:p>
        </w:tc>
        <w:tc>
          <w:tcPr>
            <w:tcW w:w="634" w:type="pct"/>
            <w:vAlign w:val="center"/>
          </w:tcPr>
          <w:p w:rsidR="00565FD5" w:rsidRPr="001B45E1" w:rsidRDefault="00565FD5" w:rsidP="00AB62A3">
            <w:pPr>
              <w:ind w:left="57" w:right="57"/>
              <w:jc w:val="right"/>
              <w:rPr>
                <w:rFonts w:cs="Tahoma"/>
                <w:sz w:val="14"/>
                <w:szCs w:val="14"/>
              </w:rPr>
            </w:pPr>
            <w:r w:rsidRPr="001B45E1">
              <w:rPr>
                <w:rFonts w:cs="Tahoma"/>
                <w:sz w:val="14"/>
                <w:szCs w:val="14"/>
              </w:rPr>
              <w:t>408</w:t>
            </w:r>
          </w:p>
        </w:tc>
        <w:tc>
          <w:tcPr>
            <w:tcW w:w="620" w:type="pct"/>
            <w:tcBorders>
              <w:right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451</w:t>
            </w:r>
          </w:p>
        </w:tc>
        <w:tc>
          <w:tcPr>
            <w:tcW w:w="149" w:type="pct"/>
            <w:tcBorders>
              <w:top w:val="nil"/>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w:t>
            </w:r>
          </w:p>
        </w:tc>
        <w:tc>
          <w:tcPr>
            <w:tcW w:w="532"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10,2</w:t>
            </w:r>
          </w:p>
        </w:tc>
        <w:tc>
          <w:tcPr>
            <w:tcW w:w="523"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10,5</w:t>
            </w:r>
          </w:p>
        </w:tc>
      </w:tr>
      <w:tr w:rsidR="00565FD5" w:rsidRPr="001B45E1" w:rsidTr="00AB62A3">
        <w:trPr>
          <w:trHeight w:val="255"/>
          <w:jc w:val="center"/>
        </w:trPr>
        <w:tc>
          <w:tcPr>
            <w:tcW w:w="1481" w:type="pct"/>
            <w:vAlign w:val="center"/>
          </w:tcPr>
          <w:p w:rsidR="00565FD5" w:rsidRPr="001B45E1" w:rsidRDefault="00565FD5" w:rsidP="00AB62A3">
            <w:pPr>
              <w:ind w:left="57" w:right="57"/>
              <w:rPr>
                <w:rFonts w:cs="Tahoma"/>
                <w:snapToGrid w:val="0"/>
                <w:sz w:val="14"/>
                <w:szCs w:val="14"/>
              </w:rPr>
            </w:pPr>
            <w:r w:rsidRPr="001B45E1">
              <w:rPr>
                <w:rFonts w:cs="Tahoma"/>
                <w:snapToGrid w:val="0"/>
                <w:sz w:val="14"/>
                <w:szCs w:val="14"/>
              </w:rPr>
              <w:t xml:space="preserve">  3. Çavdar </w:t>
            </w:r>
          </w:p>
        </w:tc>
        <w:tc>
          <w:tcPr>
            <w:tcW w:w="532" w:type="pct"/>
            <w:vAlign w:val="center"/>
          </w:tcPr>
          <w:p w:rsidR="00565FD5" w:rsidRPr="001B45E1" w:rsidRDefault="00565FD5" w:rsidP="00AB62A3">
            <w:pPr>
              <w:ind w:left="57" w:right="57"/>
              <w:jc w:val="right"/>
              <w:rPr>
                <w:rFonts w:cs="Tahoma"/>
                <w:sz w:val="14"/>
                <w:szCs w:val="14"/>
              </w:rPr>
            </w:pPr>
            <w:r w:rsidRPr="001B45E1">
              <w:rPr>
                <w:rFonts w:cs="Tahoma"/>
                <w:sz w:val="14"/>
                <w:szCs w:val="14"/>
              </w:rPr>
              <w:t>359</w:t>
            </w:r>
          </w:p>
        </w:tc>
        <w:tc>
          <w:tcPr>
            <w:tcW w:w="634" w:type="pct"/>
            <w:vAlign w:val="center"/>
          </w:tcPr>
          <w:p w:rsidR="00565FD5" w:rsidRPr="001B45E1" w:rsidRDefault="00565FD5" w:rsidP="00AB62A3">
            <w:pPr>
              <w:ind w:left="57" w:right="57"/>
              <w:jc w:val="right"/>
              <w:rPr>
                <w:rFonts w:cs="Tahoma"/>
                <w:sz w:val="14"/>
                <w:szCs w:val="14"/>
              </w:rPr>
            </w:pPr>
            <w:r w:rsidRPr="001B45E1">
              <w:rPr>
                <w:rFonts w:cs="Tahoma"/>
                <w:sz w:val="14"/>
                <w:szCs w:val="14"/>
              </w:rPr>
              <w:t>391</w:t>
            </w:r>
          </w:p>
        </w:tc>
        <w:tc>
          <w:tcPr>
            <w:tcW w:w="620" w:type="pct"/>
            <w:tcBorders>
              <w:right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394</w:t>
            </w:r>
          </w:p>
        </w:tc>
        <w:tc>
          <w:tcPr>
            <w:tcW w:w="149" w:type="pct"/>
            <w:tcBorders>
              <w:top w:val="nil"/>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w:t>
            </w:r>
          </w:p>
        </w:tc>
        <w:tc>
          <w:tcPr>
            <w:tcW w:w="532"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8,9</w:t>
            </w:r>
          </w:p>
        </w:tc>
        <w:tc>
          <w:tcPr>
            <w:tcW w:w="523"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0,6</w:t>
            </w:r>
          </w:p>
        </w:tc>
      </w:tr>
      <w:tr w:rsidR="00565FD5" w:rsidRPr="001B45E1" w:rsidTr="00AB62A3">
        <w:trPr>
          <w:trHeight w:val="255"/>
          <w:jc w:val="center"/>
        </w:trPr>
        <w:tc>
          <w:tcPr>
            <w:tcW w:w="1481" w:type="pct"/>
            <w:vAlign w:val="center"/>
          </w:tcPr>
          <w:p w:rsidR="00565FD5" w:rsidRPr="001B45E1" w:rsidRDefault="00565FD5" w:rsidP="00AB62A3">
            <w:pPr>
              <w:ind w:left="57" w:right="57"/>
              <w:rPr>
                <w:rFonts w:cs="Tahoma"/>
                <w:snapToGrid w:val="0"/>
                <w:sz w:val="14"/>
                <w:szCs w:val="14"/>
              </w:rPr>
            </w:pPr>
            <w:r w:rsidRPr="001B45E1">
              <w:rPr>
                <w:rFonts w:cs="Tahoma"/>
                <w:snapToGrid w:val="0"/>
                <w:sz w:val="14"/>
                <w:szCs w:val="14"/>
              </w:rPr>
              <w:lastRenderedPageBreak/>
              <w:t xml:space="preserve">  4. Mısır </w:t>
            </w:r>
          </w:p>
        </w:tc>
        <w:tc>
          <w:tcPr>
            <w:tcW w:w="532" w:type="pct"/>
            <w:vAlign w:val="center"/>
          </w:tcPr>
          <w:p w:rsidR="00565FD5" w:rsidRPr="001B45E1" w:rsidRDefault="00565FD5" w:rsidP="00AB62A3">
            <w:pPr>
              <w:ind w:left="57" w:right="57"/>
              <w:jc w:val="right"/>
              <w:rPr>
                <w:rFonts w:cs="Tahoma"/>
                <w:sz w:val="14"/>
                <w:szCs w:val="14"/>
              </w:rPr>
            </w:pPr>
            <w:r w:rsidRPr="001B45E1">
              <w:rPr>
                <w:rFonts w:cs="Tahoma"/>
                <w:sz w:val="14"/>
                <w:szCs w:val="14"/>
              </w:rPr>
              <w:t>436</w:t>
            </w:r>
          </w:p>
        </w:tc>
        <w:tc>
          <w:tcPr>
            <w:tcW w:w="634" w:type="pct"/>
            <w:vAlign w:val="center"/>
          </w:tcPr>
          <w:p w:rsidR="00565FD5" w:rsidRPr="001B45E1" w:rsidRDefault="00565FD5" w:rsidP="00AB62A3">
            <w:pPr>
              <w:ind w:left="57" w:right="57"/>
              <w:jc w:val="right"/>
              <w:rPr>
                <w:rFonts w:cs="Tahoma"/>
                <w:sz w:val="14"/>
                <w:szCs w:val="14"/>
              </w:rPr>
            </w:pPr>
            <w:r w:rsidRPr="001B45E1">
              <w:rPr>
                <w:rFonts w:cs="Tahoma"/>
                <w:sz w:val="14"/>
                <w:szCs w:val="14"/>
              </w:rPr>
              <w:t>488</w:t>
            </w:r>
          </w:p>
        </w:tc>
        <w:tc>
          <w:tcPr>
            <w:tcW w:w="620" w:type="pct"/>
            <w:tcBorders>
              <w:right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529</w:t>
            </w:r>
          </w:p>
        </w:tc>
        <w:tc>
          <w:tcPr>
            <w:tcW w:w="149" w:type="pct"/>
            <w:tcBorders>
              <w:top w:val="nil"/>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6,5</w:t>
            </w:r>
          </w:p>
        </w:tc>
        <w:tc>
          <w:tcPr>
            <w:tcW w:w="532"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12,1</w:t>
            </w:r>
          </w:p>
        </w:tc>
        <w:tc>
          <w:tcPr>
            <w:tcW w:w="523"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8,4</w:t>
            </w:r>
          </w:p>
        </w:tc>
      </w:tr>
      <w:tr w:rsidR="00565FD5" w:rsidRPr="001B45E1" w:rsidTr="00AB62A3">
        <w:trPr>
          <w:trHeight w:val="255"/>
          <w:jc w:val="center"/>
        </w:trPr>
        <w:tc>
          <w:tcPr>
            <w:tcW w:w="1481" w:type="pct"/>
            <w:vAlign w:val="center"/>
          </w:tcPr>
          <w:p w:rsidR="00565FD5" w:rsidRPr="001B45E1" w:rsidRDefault="00565FD5" w:rsidP="00AB62A3">
            <w:pPr>
              <w:ind w:left="57" w:right="57"/>
              <w:rPr>
                <w:rFonts w:cs="Tahoma"/>
                <w:snapToGrid w:val="0"/>
                <w:sz w:val="14"/>
                <w:szCs w:val="14"/>
              </w:rPr>
            </w:pPr>
            <w:r w:rsidRPr="001B45E1">
              <w:rPr>
                <w:rFonts w:cs="Tahoma"/>
                <w:snapToGrid w:val="0"/>
                <w:sz w:val="14"/>
                <w:szCs w:val="14"/>
              </w:rPr>
              <w:t xml:space="preserve">  5. Yulaf </w:t>
            </w:r>
          </w:p>
        </w:tc>
        <w:tc>
          <w:tcPr>
            <w:tcW w:w="532" w:type="pct"/>
            <w:vAlign w:val="center"/>
          </w:tcPr>
          <w:p w:rsidR="00565FD5" w:rsidRPr="001B45E1" w:rsidRDefault="00565FD5" w:rsidP="00AB62A3">
            <w:pPr>
              <w:ind w:left="57" w:right="57"/>
              <w:jc w:val="right"/>
              <w:rPr>
                <w:rFonts w:cs="Tahoma"/>
                <w:sz w:val="14"/>
                <w:szCs w:val="14"/>
              </w:rPr>
            </w:pPr>
            <w:r w:rsidRPr="001B45E1">
              <w:rPr>
                <w:rFonts w:cs="Tahoma"/>
                <w:sz w:val="14"/>
                <w:szCs w:val="14"/>
              </w:rPr>
              <w:t>370</w:t>
            </w:r>
          </w:p>
        </w:tc>
        <w:tc>
          <w:tcPr>
            <w:tcW w:w="634" w:type="pct"/>
            <w:vAlign w:val="center"/>
          </w:tcPr>
          <w:p w:rsidR="00565FD5" w:rsidRPr="001B45E1" w:rsidRDefault="00565FD5" w:rsidP="00AB62A3">
            <w:pPr>
              <w:ind w:left="57" w:right="57"/>
              <w:jc w:val="right"/>
              <w:rPr>
                <w:rFonts w:cs="Tahoma"/>
                <w:sz w:val="14"/>
                <w:szCs w:val="14"/>
              </w:rPr>
            </w:pPr>
            <w:r w:rsidRPr="001B45E1">
              <w:rPr>
                <w:rFonts w:cs="Tahoma"/>
                <w:sz w:val="14"/>
                <w:szCs w:val="14"/>
              </w:rPr>
              <w:t>403</w:t>
            </w:r>
          </w:p>
        </w:tc>
        <w:tc>
          <w:tcPr>
            <w:tcW w:w="620" w:type="pct"/>
            <w:tcBorders>
              <w:right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0</w:t>
            </w:r>
          </w:p>
        </w:tc>
        <w:tc>
          <w:tcPr>
            <w:tcW w:w="149" w:type="pct"/>
            <w:tcBorders>
              <w:top w:val="nil"/>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w:t>
            </w:r>
          </w:p>
        </w:tc>
        <w:tc>
          <w:tcPr>
            <w:tcW w:w="532"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8,8</w:t>
            </w:r>
          </w:p>
        </w:tc>
        <w:tc>
          <w:tcPr>
            <w:tcW w:w="523"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0,0</w:t>
            </w:r>
          </w:p>
        </w:tc>
      </w:tr>
      <w:tr w:rsidR="00565FD5" w:rsidRPr="001B45E1" w:rsidTr="00AB62A3">
        <w:trPr>
          <w:trHeight w:val="255"/>
          <w:jc w:val="center"/>
        </w:trPr>
        <w:tc>
          <w:tcPr>
            <w:tcW w:w="1481" w:type="pct"/>
            <w:vAlign w:val="center"/>
          </w:tcPr>
          <w:p w:rsidR="00565FD5" w:rsidRPr="001B45E1" w:rsidRDefault="00565FD5" w:rsidP="00AB62A3">
            <w:pPr>
              <w:ind w:left="57" w:right="57"/>
              <w:rPr>
                <w:rFonts w:cs="Tahoma"/>
                <w:snapToGrid w:val="0"/>
                <w:sz w:val="14"/>
                <w:szCs w:val="14"/>
              </w:rPr>
            </w:pPr>
            <w:r w:rsidRPr="001B45E1">
              <w:rPr>
                <w:rFonts w:cs="Tahoma"/>
                <w:snapToGrid w:val="0"/>
                <w:sz w:val="14"/>
                <w:szCs w:val="14"/>
              </w:rPr>
              <w:t xml:space="preserve">  6. Pamuk (1)</w:t>
            </w:r>
          </w:p>
        </w:tc>
        <w:tc>
          <w:tcPr>
            <w:tcW w:w="532" w:type="pct"/>
            <w:vAlign w:val="center"/>
          </w:tcPr>
          <w:p w:rsidR="00565FD5" w:rsidRPr="001B45E1" w:rsidRDefault="00565FD5" w:rsidP="00AB62A3">
            <w:pPr>
              <w:ind w:left="57" w:right="57"/>
              <w:jc w:val="right"/>
              <w:rPr>
                <w:rFonts w:cs="Tahoma"/>
                <w:sz w:val="14"/>
                <w:szCs w:val="14"/>
              </w:rPr>
            </w:pPr>
            <w:r w:rsidRPr="001B45E1">
              <w:rPr>
                <w:rFonts w:cs="Tahoma"/>
                <w:sz w:val="14"/>
                <w:szCs w:val="14"/>
              </w:rPr>
              <w:t>1 100</w:t>
            </w:r>
          </w:p>
        </w:tc>
        <w:tc>
          <w:tcPr>
            <w:tcW w:w="634" w:type="pct"/>
            <w:vAlign w:val="center"/>
          </w:tcPr>
          <w:p w:rsidR="00565FD5" w:rsidRPr="001B45E1" w:rsidRDefault="00565FD5" w:rsidP="00AB62A3">
            <w:pPr>
              <w:ind w:left="57" w:right="57"/>
              <w:jc w:val="right"/>
              <w:rPr>
                <w:rFonts w:cs="Tahoma"/>
                <w:sz w:val="14"/>
                <w:szCs w:val="14"/>
              </w:rPr>
            </w:pPr>
            <w:r w:rsidRPr="001B45E1">
              <w:rPr>
                <w:rFonts w:cs="Tahoma"/>
                <w:sz w:val="14"/>
                <w:szCs w:val="14"/>
              </w:rPr>
              <w:t>2 011</w:t>
            </w:r>
          </w:p>
        </w:tc>
        <w:tc>
          <w:tcPr>
            <w:tcW w:w="620" w:type="pct"/>
            <w:tcBorders>
              <w:right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1 472</w:t>
            </w:r>
          </w:p>
        </w:tc>
        <w:tc>
          <w:tcPr>
            <w:tcW w:w="149" w:type="pct"/>
            <w:tcBorders>
              <w:top w:val="nil"/>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17,1</w:t>
            </w:r>
          </w:p>
        </w:tc>
        <w:tc>
          <w:tcPr>
            <w:tcW w:w="532"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82,8</w:t>
            </w:r>
          </w:p>
        </w:tc>
        <w:tc>
          <w:tcPr>
            <w:tcW w:w="523" w:type="pct"/>
            <w:tcBorders>
              <w:top w:val="nil"/>
              <w:bottom w:val="nil"/>
            </w:tcBorders>
            <w:vAlign w:val="center"/>
          </w:tcPr>
          <w:p w:rsidR="00565FD5" w:rsidRPr="001B45E1" w:rsidRDefault="00565FD5" w:rsidP="00AB62A3">
            <w:pPr>
              <w:ind w:right="57"/>
              <w:jc w:val="right"/>
              <w:rPr>
                <w:rFonts w:cs="Tahoma"/>
                <w:sz w:val="14"/>
                <w:szCs w:val="14"/>
              </w:rPr>
            </w:pPr>
            <w:r w:rsidRPr="001B45E1">
              <w:rPr>
                <w:rFonts w:cs="Tahoma"/>
                <w:sz w:val="14"/>
                <w:szCs w:val="14"/>
              </w:rPr>
              <w:t>-26,8</w:t>
            </w:r>
          </w:p>
        </w:tc>
      </w:tr>
      <w:tr w:rsidR="00565FD5" w:rsidRPr="001B45E1" w:rsidTr="00AB62A3">
        <w:trPr>
          <w:trHeight w:val="255"/>
          <w:jc w:val="center"/>
        </w:trPr>
        <w:tc>
          <w:tcPr>
            <w:tcW w:w="1481" w:type="pct"/>
            <w:vAlign w:val="center"/>
          </w:tcPr>
          <w:p w:rsidR="00565FD5" w:rsidRPr="001B45E1" w:rsidRDefault="00565FD5" w:rsidP="00AB62A3">
            <w:pPr>
              <w:ind w:left="57" w:right="57"/>
              <w:rPr>
                <w:rFonts w:cs="Tahoma"/>
                <w:snapToGrid w:val="0"/>
                <w:sz w:val="14"/>
                <w:szCs w:val="14"/>
              </w:rPr>
            </w:pPr>
            <w:r w:rsidRPr="001B45E1">
              <w:rPr>
                <w:rFonts w:cs="Tahoma"/>
                <w:snapToGrid w:val="0"/>
                <w:sz w:val="14"/>
                <w:szCs w:val="14"/>
              </w:rPr>
              <w:t xml:space="preserve">  7. Şeker Pancarı </w:t>
            </w:r>
          </w:p>
        </w:tc>
        <w:tc>
          <w:tcPr>
            <w:tcW w:w="532" w:type="pct"/>
            <w:vAlign w:val="center"/>
          </w:tcPr>
          <w:p w:rsidR="00565FD5" w:rsidRPr="001B45E1" w:rsidRDefault="00565FD5" w:rsidP="00AB62A3">
            <w:pPr>
              <w:ind w:left="57" w:right="57"/>
              <w:jc w:val="right"/>
              <w:rPr>
                <w:rFonts w:cs="Tahoma"/>
                <w:sz w:val="14"/>
                <w:szCs w:val="14"/>
              </w:rPr>
            </w:pPr>
            <w:r w:rsidRPr="001B45E1">
              <w:rPr>
                <w:rFonts w:cs="Tahoma"/>
                <w:sz w:val="14"/>
                <w:szCs w:val="14"/>
              </w:rPr>
              <w:t>124</w:t>
            </w:r>
          </w:p>
        </w:tc>
        <w:tc>
          <w:tcPr>
            <w:tcW w:w="634" w:type="pct"/>
            <w:vAlign w:val="center"/>
          </w:tcPr>
          <w:p w:rsidR="00565FD5" w:rsidRPr="001B45E1" w:rsidRDefault="00565FD5" w:rsidP="00AB62A3">
            <w:pPr>
              <w:ind w:left="57" w:right="57"/>
              <w:jc w:val="right"/>
              <w:rPr>
                <w:rFonts w:cs="Tahoma"/>
                <w:sz w:val="14"/>
                <w:szCs w:val="14"/>
              </w:rPr>
            </w:pPr>
            <w:r w:rsidRPr="001B45E1">
              <w:rPr>
                <w:rFonts w:cs="Tahoma"/>
                <w:sz w:val="14"/>
                <w:szCs w:val="14"/>
              </w:rPr>
              <w:t>115</w:t>
            </w:r>
          </w:p>
        </w:tc>
        <w:tc>
          <w:tcPr>
            <w:tcW w:w="620" w:type="pct"/>
            <w:tcBorders>
              <w:right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131</w:t>
            </w:r>
          </w:p>
        </w:tc>
        <w:tc>
          <w:tcPr>
            <w:tcW w:w="149" w:type="pct"/>
            <w:tcBorders>
              <w:top w:val="nil"/>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9,2</w:t>
            </w:r>
          </w:p>
        </w:tc>
        <w:tc>
          <w:tcPr>
            <w:tcW w:w="532"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-8,0</w:t>
            </w:r>
          </w:p>
        </w:tc>
        <w:tc>
          <w:tcPr>
            <w:tcW w:w="523"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14,2</w:t>
            </w:r>
          </w:p>
        </w:tc>
      </w:tr>
      <w:tr w:rsidR="00565FD5" w:rsidRPr="001B45E1" w:rsidTr="00AB62A3">
        <w:trPr>
          <w:trHeight w:val="255"/>
          <w:jc w:val="center"/>
        </w:trPr>
        <w:tc>
          <w:tcPr>
            <w:tcW w:w="1481" w:type="pct"/>
            <w:vAlign w:val="center"/>
          </w:tcPr>
          <w:p w:rsidR="00565FD5" w:rsidRPr="001B45E1" w:rsidRDefault="00565FD5" w:rsidP="00AB62A3">
            <w:pPr>
              <w:ind w:left="57" w:right="57"/>
              <w:rPr>
                <w:rFonts w:cs="Tahoma"/>
                <w:snapToGrid w:val="0"/>
                <w:sz w:val="14"/>
                <w:szCs w:val="14"/>
              </w:rPr>
            </w:pPr>
            <w:r w:rsidRPr="001B45E1">
              <w:rPr>
                <w:rFonts w:cs="Tahoma"/>
                <w:snapToGrid w:val="0"/>
                <w:sz w:val="14"/>
                <w:szCs w:val="14"/>
              </w:rPr>
              <w:t xml:space="preserve">  8. Ayçiçeği </w:t>
            </w:r>
          </w:p>
        </w:tc>
        <w:tc>
          <w:tcPr>
            <w:tcW w:w="532" w:type="pct"/>
            <w:vAlign w:val="center"/>
          </w:tcPr>
          <w:p w:rsidR="00565FD5" w:rsidRPr="001B45E1" w:rsidRDefault="00565FD5" w:rsidP="00AB62A3">
            <w:pPr>
              <w:ind w:left="57" w:right="57"/>
              <w:jc w:val="right"/>
              <w:rPr>
                <w:rFonts w:cs="Tahoma"/>
                <w:sz w:val="14"/>
                <w:szCs w:val="14"/>
              </w:rPr>
            </w:pPr>
            <w:r w:rsidRPr="001B45E1">
              <w:rPr>
                <w:rFonts w:cs="Tahoma"/>
                <w:sz w:val="14"/>
                <w:szCs w:val="14"/>
              </w:rPr>
              <w:t>750</w:t>
            </w:r>
          </w:p>
        </w:tc>
        <w:tc>
          <w:tcPr>
            <w:tcW w:w="634" w:type="pct"/>
            <w:vAlign w:val="center"/>
          </w:tcPr>
          <w:p w:rsidR="00565FD5" w:rsidRPr="001B45E1" w:rsidRDefault="00565FD5" w:rsidP="00AB62A3">
            <w:pPr>
              <w:ind w:left="57" w:right="57"/>
              <w:jc w:val="right"/>
              <w:rPr>
                <w:rFonts w:cs="Tahoma"/>
                <w:sz w:val="14"/>
                <w:szCs w:val="14"/>
              </w:rPr>
            </w:pPr>
            <w:r w:rsidRPr="001B45E1">
              <w:rPr>
                <w:rFonts w:cs="Tahoma"/>
                <w:sz w:val="14"/>
                <w:szCs w:val="14"/>
              </w:rPr>
              <w:t>919</w:t>
            </w:r>
          </w:p>
        </w:tc>
        <w:tc>
          <w:tcPr>
            <w:tcW w:w="620" w:type="pct"/>
            <w:tcBorders>
              <w:right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1 184</w:t>
            </w:r>
          </w:p>
        </w:tc>
        <w:tc>
          <w:tcPr>
            <w:tcW w:w="149" w:type="pct"/>
            <w:tcBorders>
              <w:top w:val="nil"/>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-9,4</w:t>
            </w:r>
          </w:p>
        </w:tc>
        <w:tc>
          <w:tcPr>
            <w:tcW w:w="532"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22,6</w:t>
            </w:r>
          </w:p>
        </w:tc>
        <w:tc>
          <w:tcPr>
            <w:tcW w:w="523"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28,8</w:t>
            </w:r>
          </w:p>
        </w:tc>
      </w:tr>
      <w:tr w:rsidR="00565FD5" w:rsidRPr="001B45E1" w:rsidTr="00AB62A3">
        <w:trPr>
          <w:trHeight w:val="255"/>
          <w:jc w:val="center"/>
        </w:trPr>
        <w:tc>
          <w:tcPr>
            <w:tcW w:w="1481" w:type="pct"/>
            <w:vAlign w:val="center"/>
          </w:tcPr>
          <w:p w:rsidR="00565FD5" w:rsidRPr="001B45E1" w:rsidRDefault="00565FD5" w:rsidP="00AB62A3">
            <w:pPr>
              <w:ind w:left="57" w:right="57"/>
              <w:rPr>
                <w:rFonts w:cs="Tahoma"/>
                <w:snapToGrid w:val="0"/>
                <w:sz w:val="14"/>
                <w:szCs w:val="14"/>
              </w:rPr>
            </w:pPr>
            <w:r>
              <w:rPr>
                <w:rFonts w:cs="Tahoma"/>
                <w:snapToGrid w:val="0"/>
                <w:sz w:val="14"/>
                <w:szCs w:val="14"/>
              </w:rPr>
              <w:t xml:space="preserve">  9. Fındık</w:t>
            </w:r>
            <w:r w:rsidRPr="001B45E1">
              <w:rPr>
                <w:rFonts w:cs="Tahoma"/>
                <w:snapToGrid w:val="0"/>
                <w:sz w:val="14"/>
                <w:szCs w:val="14"/>
              </w:rPr>
              <w:t xml:space="preserve"> </w:t>
            </w:r>
          </w:p>
        </w:tc>
        <w:tc>
          <w:tcPr>
            <w:tcW w:w="532" w:type="pct"/>
            <w:vAlign w:val="center"/>
          </w:tcPr>
          <w:p w:rsidR="00565FD5" w:rsidRPr="001B45E1" w:rsidRDefault="00565FD5" w:rsidP="00AB62A3">
            <w:pPr>
              <w:ind w:left="57" w:right="57"/>
              <w:jc w:val="right"/>
              <w:rPr>
                <w:rFonts w:cs="Tahoma"/>
                <w:sz w:val="14"/>
                <w:szCs w:val="14"/>
              </w:rPr>
            </w:pPr>
            <w:r w:rsidRPr="001B45E1">
              <w:rPr>
                <w:rFonts w:cs="Tahoma"/>
                <w:sz w:val="14"/>
                <w:szCs w:val="14"/>
              </w:rPr>
              <w:t>4 500</w:t>
            </w:r>
          </w:p>
        </w:tc>
        <w:tc>
          <w:tcPr>
            <w:tcW w:w="634" w:type="pct"/>
            <w:vAlign w:val="center"/>
          </w:tcPr>
          <w:p w:rsidR="00565FD5" w:rsidRPr="001B45E1" w:rsidRDefault="00565FD5" w:rsidP="00AB62A3">
            <w:pPr>
              <w:ind w:left="57" w:right="57"/>
              <w:jc w:val="right"/>
              <w:rPr>
                <w:rFonts w:cs="Tahoma"/>
                <w:sz w:val="14"/>
                <w:szCs w:val="14"/>
              </w:rPr>
            </w:pPr>
            <w:r w:rsidRPr="001B45E1">
              <w:rPr>
                <w:rFonts w:cs="Tahoma"/>
                <w:sz w:val="14"/>
                <w:szCs w:val="14"/>
              </w:rPr>
              <w:t>-</w:t>
            </w:r>
          </w:p>
        </w:tc>
        <w:tc>
          <w:tcPr>
            <w:tcW w:w="620" w:type="pct"/>
            <w:tcBorders>
              <w:right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5 560</w:t>
            </w:r>
          </w:p>
        </w:tc>
        <w:tc>
          <w:tcPr>
            <w:tcW w:w="149" w:type="pct"/>
            <w:tcBorders>
              <w:top w:val="nil"/>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6,4</w:t>
            </w:r>
          </w:p>
        </w:tc>
        <w:tc>
          <w:tcPr>
            <w:tcW w:w="532"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w:t>
            </w:r>
          </w:p>
        </w:tc>
        <w:tc>
          <w:tcPr>
            <w:tcW w:w="523"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w:t>
            </w:r>
          </w:p>
        </w:tc>
      </w:tr>
      <w:tr w:rsidR="00565FD5" w:rsidRPr="001B45E1" w:rsidTr="00AB62A3">
        <w:trPr>
          <w:trHeight w:val="255"/>
          <w:jc w:val="center"/>
        </w:trPr>
        <w:tc>
          <w:tcPr>
            <w:tcW w:w="1481" w:type="pct"/>
            <w:vAlign w:val="center"/>
          </w:tcPr>
          <w:p w:rsidR="00565FD5" w:rsidRPr="001B45E1" w:rsidRDefault="00565FD5" w:rsidP="00AB62A3">
            <w:pPr>
              <w:ind w:left="57" w:right="57"/>
              <w:rPr>
                <w:rFonts w:cs="Tahoma"/>
                <w:snapToGrid w:val="0"/>
                <w:sz w:val="14"/>
                <w:szCs w:val="14"/>
              </w:rPr>
            </w:pPr>
            <w:r w:rsidRPr="001B45E1">
              <w:rPr>
                <w:rFonts w:cs="Tahoma"/>
                <w:snapToGrid w:val="0"/>
                <w:sz w:val="14"/>
                <w:szCs w:val="14"/>
              </w:rPr>
              <w:t xml:space="preserve">10. Kuru İncir </w:t>
            </w:r>
          </w:p>
        </w:tc>
        <w:tc>
          <w:tcPr>
            <w:tcW w:w="532" w:type="pct"/>
            <w:vAlign w:val="center"/>
          </w:tcPr>
          <w:p w:rsidR="00565FD5" w:rsidRPr="001B45E1" w:rsidRDefault="00565FD5" w:rsidP="00AB62A3">
            <w:pPr>
              <w:ind w:left="57" w:right="57"/>
              <w:jc w:val="right"/>
              <w:rPr>
                <w:rFonts w:cs="Tahoma"/>
                <w:sz w:val="14"/>
                <w:szCs w:val="14"/>
              </w:rPr>
            </w:pPr>
            <w:r w:rsidRPr="001B45E1">
              <w:rPr>
                <w:rFonts w:cs="Tahoma"/>
                <w:sz w:val="14"/>
                <w:szCs w:val="14"/>
              </w:rPr>
              <w:t>3 000</w:t>
            </w:r>
          </w:p>
        </w:tc>
        <w:tc>
          <w:tcPr>
            <w:tcW w:w="634" w:type="pct"/>
            <w:vAlign w:val="center"/>
          </w:tcPr>
          <w:p w:rsidR="00565FD5" w:rsidRPr="001B45E1" w:rsidRDefault="00565FD5" w:rsidP="00AB62A3">
            <w:pPr>
              <w:ind w:left="57" w:right="57"/>
              <w:jc w:val="right"/>
              <w:rPr>
                <w:rFonts w:cs="Tahoma"/>
                <w:sz w:val="14"/>
                <w:szCs w:val="14"/>
              </w:rPr>
            </w:pPr>
            <w:r w:rsidRPr="001B45E1">
              <w:rPr>
                <w:rFonts w:cs="Tahoma"/>
                <w:sz w:val="14"/>
                <w:szCs w:val="14"/>
              </w:rPr>
              <w:t>2 671</w:t>
            </w:r>
          </w:p>
        </w:tc>
        <w:tc>
          <w:tcPr>
            <w:tcW w:w="620" w:type="pct"/>
            <w:tcBorders>
              <w:right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3 117</w:t>
            </w:r>
          </w:p>
        </w:tc>
        <w:tc>
          <w:tcPr>
            <w:tcW w:w="149" w:type="pct"/>
            <w:tcBorders>
              <w:top w:val="nil"/>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-23,7</w:t>
            </w:r>
          </w:p>
        </w:tc>
        <w:tc>
          <w:tcPr>
            <w:tcW w:w="532"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-11,0</w:t>
            </w:r>
          </w:p>
        </w:tc>
        <w:tc>
          <w:tcPr>
            <w:tcW w:w="523"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16,7</w:t>
            </w:r>
          </w:p>
        </w:tc>
      </w:tr>
      <w:tr w:rsidR="00565FD5" w:rsidRPr="001B45E1" w:rsidTr="00AB62A3">
        <w:trPr>
          <w:trHeight w:val="255"/>
          <w:jc w:val="center"/>
        </w:trPr>
        <w:tc>
          <w:tcPr>
            <w:tcW w:w="1481" w:type="pct"/>
            <w:vAlign w:val="center"/>
          </w:tcPr>
          <w:p w:rsidR="00565FD5" w:rsidRPr="001B45E1" w:rsidRDefault="00565FD5" w:rsidP="00AB62A3">
            <w:pPr>
              <w:ind w:left="57" w:right="57"/>
              <w:rPr>
                <w:rFonts w:cs="Tahoma"/>
                <w:snapToGrid w:val="0"/>
                <w:sz w:val="14"/>
                <w:szCs w:val="14"/>
              </w:rPr>
            </w:pPr>
            <w:r w:rsidRPr="001B45E1">
              <w:rPr>
                <w:rFonts w:cs="Tahoma"/>
                <w:snapToGrid w:val="0"/>
                <w:sz w:val="14"/>
                <w:szCs w:val="14"/>
              </w:rPr>
              <w:t xml:space="preserve">11. Çekirdeksiz Kr. Üzüm </w:t>
            </w:r>
          </w:p>
        </w:tc>
        <w:tc>
          <w:tcPr>
            <w:tcW w:w="532" w:type="pct"/>
            <w:vAlign w:val="center"/>
          </w:tcPr>
          <w:p w:rsidR="00565FD5" w:rsidRPr="001B45E1" w:rsidRDefault="00565FD5" w:rsidP="00AB62A3">
            <w:pPr>
              <w:ind w:left="57" w:right="57"/>
              <w:jc w:val="right"/>
              <w:rPr>
                <w:rFonts w:cs="Tahoma"/>
                <w:sz w:val="14"/>
                <w:szCs w:val="14"/>
              </w:rPr>
            </w:pPr>
            <w:r w:rsidRPr="001B45E1">
              <w:rPr>
                <w:rFonts w:cs="Tahoma"/>
                <w:sz w:val="14"/>
                <w:szCs w:val="14"/>
              </w:rPr>
              <w:t>2 820</w:t>
            </w:r>
          </w:p>
        </w:tc>
        <w:tc>
          <w:tcPr>
            <w:tcW w:w="634" w:type="pct"/>
            <w:vAlign w:val="center"/>
          </w:tcPr>
          <w:p w:rsidR="00565FD5" w:rsidRPr="001B45E1" w:rsidRDefault="00565FD5" w:rsidP="00AB62A3">
            <w:pPr>
              <w:ind w:left="57" w:right="57"/>
              <w:jc w:val="right"/>
              <w:rPr>
                <w:rFonts w:cs="Tahoma"/>
                <w:sz w:val="14"/>
                <w:szCs w:val="14"/>
              </w:rPr>
            </w:pPr>
            <w:r w:rsidRPr="001B45E1">
              <w:rPr>
                <w:rFonts w:cs="Tahoma"/>
                <w:sz w:val="14"/>
                <w:szCs w:val="14"/>
              </w:rPr>
              <w:t>3 074</w:t>
            </w:r>
          </w:p>
        </w:tc>
        <w:tc>
          <w:tcPr>
            <w:tcW w:w="620" w:type="pct"/>
            <w:tcBorders>
              <w:right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3 709</w:t>
            </w:r>
          </w:p>
        </w:tc>
        <w:tc>
          <w:tcPr>
            <w:tcW w:w="149" w:type="pct"/>
            <w:tcBorders>
              <w:top w:val="nil"/>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67,3</w:t>
            </w:r>
          </w:p>
        </w:tc>
        <w:tc>
          <w:tcPr>
            <w:tcW w:w="532"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9,0</w:t>
            </w:r>
          </w:p>
        </w:tc>
        <w:tc>
          <w:tcPr>
            <w:tcW w:w="523"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20,6</w:t>
            </w:r>
          </w:p>
        </w:tc>
      </w:tr>
      <w:tr w:rsidR="00565FD5" w:rsidRPr="001B45E1" w:rsidTr="00AB62A3">
        <w:trPr>
          <w:trHeight w:val="255"/>
          <w:jc w:val="center"/>
        </w:trPr>
        <w:tc>
          <w:tcPr>
            <w:tcW w:w="1481" w:type="pct"/>
            <w:vAlign w:val="center"/>
          </w:tcPr>
          <w:p w:rsidR="00565FD5" w:rsidRPr="001B45E1" w:rsidRDefault="00565FD5" w:rsidP="00AB62A3">
            <w:pPr>
              <w:ind w:left="57" w:right="57"/>
              <w:rPr>
                <w:rFonts w:cs="Tahoma"/>
                <w:snapToGrid w:val="0"/>
                <w:sz w:val="14"/>
                <w:szCs w:val="14"/>
              </w:rPr>
            </w:pPr>
            <w:r w:rsidRPr="001B45E1">
              <w:rPr>
                <w:rFonts w:cs="Tahoma"/>
                <w:snapToGrid w:val="0"/>
                <w:sz w:val="14"/>
                <w:szCs w:val="14"/>
              </w:rPr>
              <w:t xml:space="preserve">12. Zeytinyağı </w:t>
            </w:r>
          </w:p>
        </w:tc>
        <w:tc>
          <w:tcPr>
            <w:tcW w:w="532" w:type="pct"/>
            <w:vAlign w:val="center"/>
          </w:tcPr>
          <w:p w:rsidR="00565FD5" w:rsidRPr="001B45E1" w:rsidRDefault="00565FD5" w:rsidP="00AB62A3">
            <w:pPr>
              <w:ind w:left="57" w:right="57"/>
              <w:jc w:val="right"/>
              <w:rPr>
                <w:rFonts w:cs="Tahoma"/>
                <w:sz w:val="14"/>
                <w:szCs w:val="14"/>
              </w:rPr>
            </w:pPr>
            <w:r w:rsidRPr="001B45E1">
              <w:rPr>
                <w:rFonts w:cs="Tahoma"/>
                <w:sz w:val="14"/>
                <w:szCs w:val="14"/>
              </w:rPr>
              <w:t>4 110</w:t>
            </w:r>
          </w:p>
        </w:tc>
        <w:tc>
          <w:tcPr>
            <w:tcW w:w="634" w:type="pct"/>
            <w:vAlign w:val="center"/>
          </w:tcPr>
          <w:p w:rsidR="00565FD5" w:rsidRPr="001B45E1" w:rsidRDefault="00565FD5" w:rsidP="00AB62A3">
            <w:pPr>
              <w:ind w:left="57" w:right="57"/>
              <w:jc w:val="right"/>
              <w:rPr>
                <w:rFonts w:cs="Tahoma"/>
                <w:sz w:val="14"/>
                <w:szCs w:val="14"/>
              </w:rPr>
            </w:pPr>
            <w:r w:rsidRPr="001B45E1">
              <w:rPr>
                <w:rFonts w:cs="Tahoma"/>
                <w:sz w:val="14"/>
                <w:szCs w:val="14"/>
              </w:rPr>
              <w:t>4 706</w:t>
            </w:r>
          </w:p>
        </w:tc>
        <w:tc>
          <w:tcPr>
            <w:tcW w:w="620" w:type="pct"/>
            <w:tcBorders>
              <w:right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5 298</w:t>
            </w:r>
          </w:p>
        </w:tc>
        <w:tc>
          <w:tcPr>
            <w:tcW w:w="149" w:type="pct"/>
            <w:tcBorders>
              <w:top w:val="nil"/>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3,6</w:t>
            </w:r>
          </w:p>
        </w:tc>
        <w:tc>
          <w:tcPr>
            <w:tcW w:w="532"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14,5</w:t>
            </w:r>
          </w:p>
        </w:tc>
        <w:tc>
          <w:tcPr>
            <w:tcW w:w="523"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12,6</w:t>
            </w:r>
          </w:p>
        </w:tc>
      </w:tr>
      <w:tr w:rsidR="00565FD5" w:rsidRPr="001B45E1" w:rsidTr="00AB62A3">
        <w:trPr>
          <w:trHeight w:val="255"/>
          <w:jc w:val="center"/>
        </w:trPr>
        <w:tc>
          <w:tcPr>
            <w:tcW w:w="1481" w:type="pct"/>
            <w:vAlign w:val="center"/>
          </w:tcPr>
          <w:p w:rsidR="00565FD5" w:rsidRPr="001B45E1" w:rsidRDefault="00565FD5" w:rsidP="00AB62A3">
            <w:pPr>
              <w:ind w:left="57" w:right="57"/>
              <w:rPr>
                <w:rFonts w:cs="Tahoma"/>
                <w:snapToGrid w:val="0"/>
                <w:sz w:val="14"/>
                <w:szCs w:val="14"/>
              </w:rPr>
            </w:pPr>
            <w:r w:rsidRPr="001B45E1">
              <w:rPr>
                <w:rFonts w:cs="Tahoma"/>
                <w:snapToGrid w:val="0"/>
                <w:sz w:val="14"/>
                <w:szCs w:val="14"/>
              </w:rPr>
              <w:t>13. Tiftik (1)</w:t>
            </w:r>
          </w:p>
        </w:tc>
        <w:tc>
          <w:tcPr>
            <w:tcW w:w="532" w:type="pct"/>
            <w:vAlign w:val="center"/>
          </w:tcPr>
          <w:p w:rsidR="00565FD5" w:rsidRPr="001B45E1" w:rsidRDefault="00565FD5" w:rsidP="00AB62A3">
            <w:pPr>
              <w:ind w:left="57" w:right="57"/>
              <w:jc w:val="right"/>
              <w:rPr>
                <w:rFonts w:cs="Tahoma"/>
                <w:sz w:val="14"/>
                <w:szCs w:val="14"/>
              </w:rPr>
            </w:pPr>
            <w:r w:rsidRPr="001B45E1">
              <w:rPr>
                <w:rFonts w:cs="Tahoma"/>
                <w:sz w:val="14"/>
                <w:szCs w:val="14"/>
              </w:rPr>
              <w:t>5 000</w:t>
            </w:r>
          </w:p>
        </w:tc>
        <w:tc>
          <w:tcPr>
            <w:tcW w:w="634" w:type="pct"/>
            <w:vAlign w:val="center"/>
          </w:tcPr>
          <w:p w:rsidR="00565FD5" w:rsidRPr="001B45E1" w:rsidRDefault="00565FD5" w:rsidP="00AB62A3">
            <w:pPr>
              <w:ind w:left="57" w:right="57"/>
              <w:jc w:val="right"/>
              <w:rPr>
                <w:rFonts w:cs="Tahoma"/>
                <w:sz w:val="14"/>
                <w:szCs w:val="14"/>
              </w:rPr>
            </w:pPr>
            <w:r w:rsidRPr="001B45E1">
              <w:rPr>
                <w:rFonts w:cs="Tahoma"/>
                <w:sz w:val="14"/>
                <w:szCs w:val="14"/>
              </w:rPr>
              <w:t>5 343</w:t>
            </w:r>
          </w:p>
        </w:tc>
        <w:tc>
          <w:tcPr>
            <w:tcW w:w="620" w:type="pct"/>
            <w:tcBorders>
              <w:right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5 343</w:t>
            </w:r>
          </w:p>
        </w:tc>
        <w:tc>
          <w:tcPr>
            <w:tcW w:w="149" w:type="pct"/>
            <w:tcBorders>
              <w:top w:val="nil"/>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3,9</w:t>
            </w:r>
          </w:p>
        </w:tc>
        <w:tc>
          <w:tcPr>
            <w:tcW w:w="532"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6,9</w:t>
            </w:r>
          </w:p>
        </w:tc>
        <w:tc>
          <w:tcPr>
            <w:tcW w:w="523"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w:t>
            </w:r>
          </w:p>
        </w:tc>
      </w:tr>
      <w:tr w:rsidR="00565FD5" w:rsidRPr="001B45E1" w:rsidTr="00AB62A3">
        <w:trPr>
          <w:trHeight w:val="255"/>
          <w:jc w:val="center"/>
        </w:trPr>
        <w:tc>
          <w:tcPr>
            <w:tcW w:w="1481" w:type="pct"/>
            <w:vAlign w:val="center"/>
          </w:tcPr>
          <w:p w:rsidR="00565FD5" w:rsidRPr="001B45E1" w:rsidRDefault="00565FD5" w:rsidP="00AB62A3">
            <w:pPr>
              <w:ind w:left="57" w:right="57"/>
              <w:rPr>
                <w:rFonts w:cs="Tahoma"/>
                <w:snapToGrid w:val="0"/>
                <w:sz w:val="14"/>
                <w:szCs w:val="14"/>
              </w:rPr>
            </w:pPr>
            <w:r w:rsidRPr="001B45E1">
              <w:rPr>
                <w:rFonts w:cs="Tahoma"/>
                <w:snapToGrid w:val="0"/>
                <w:sz w:val="14"/>
                <w:szCs w:val="14"/>
              </w:rPr>
              <w:t>14. Antep Fıstığı (</w:t>
            </w:r>
            <w:r>
              <w:rPr>
                <w:rFonts w:cs="Tahoma"/>
                <w:snapToGrid w:val="0"/>
                <w:sz w:val="14"/>
                <w:szCs w:val="14"/>
              </w:rPr>
              <w:t>2</w:t>
            </w:r>
            <w:r w:rsidRPr="001B45E1">
              <w:rPr>
                <w:rFonts w:cs="Tahoma"/>
                <w:snapToGrid w:val="0"/>
                <w:sz w:val="14"/>
                <w:szCs w:val="14"/>
              </w:rPr>
              <w:t xml:space="preserve">) </w:t>
            </w:r>
          </w:p>
        </w:tc>
        <w:tc>
          <w:tcPr>
            <w:tcW w:w="532" w:type="pct"/>
            <w:vAlign w:val="center"/>
          </w:tcPr>
          <w:p w:rsidR="00565FD5" w:rsidRPr="001B45E1" w:rsidRDefault="00565FD5" w:rsidP="00AB62A3">
            <w:pPr>
              <w:ind w:left="57" w:right="57"/>
              <w:jc w:val="right"/>
              <w:rPr>
                <w:rFonts w:cs="Tahoma"/>
                <w:sz w:val="14"/>
                <w:szCs w:val="14"/>
              </w:rPr>
            </w:pPr>
            <w:r w:rsidRPr="001B45E1">
              <w:rPr>
                <w:rFonts w:cs="Tahoma"/>
                <w:sz w:val="14"/>
                <w:szCs w:val="14"/>
              </w:rPr>
              <w:t>7 170</w:t>
            </w:r>
          </w:p>
        </w:tc>
        <w:tc>
          <w:tcPr>
            <w:tcW w:w="634" w:type="pct"/>
            <w:vAlign w:val="center"/>
          </w:tcPr>
          <w:p w:rsidR="00565FD5" w:rsidRPr="001B45E1" w:rsidRDefault="00565FD5" w:rsidP="00AB62A3">
            <w:pPr>
              <w:ind w:left="57" w:right="57"/>
              <w:jc w:val="right"/>
              <w:rPr>
                <w:rFonts w:cs="Tahoma"/>
                <w:sz w:val="14"/>
                <w:szCs w:val="14"/>
              </w:rPr>
            </w:pPr>
            <w:r w:rsidRPr="001B45E1">
              <w:rPr>
                <w:rFonts w:cs="Tahoma"/>
                <w:sz w:val="14"/>
                <w:szCs w:val="14"/>
              </w:rPr>
              <w:t>4 370</w:t>
            </w:r>
          </w:p>
        </w:tc>
        <w:tc>
          <w:tcPr>
            <w:tcW w:w="620" w:type="pct"/>
            <w:tcBorders>
              <w:right w:val="single" w:sz="4" w:space="0" w:color="auto"/>
            </w:tcBorders>
            <w:vAlign w:val="center"/>
          </w:tcPr>
          <w:p w:rsidR="00565FD5" w:rsidRPr="001B45E1" w:rsidRDefault="00565FD5" w:rsidP="00AB62A3">
            <w:pPr>
              <w:tabs>
                <w:tab w:val="left" w:pos="862"/>
              </w:tabs>
              <w:ind w:left="57" w:right="57"/>
              <w:jc w:val="right"/>
              <w:rPr>
                <w:rFonts w:cs="Tahoma"/>
                <w:sz w:val="14"/>
                <w:szCs w:val="14"/>
              </w:rPr>
            </w:pPr>
            <w:r w:rsidRPr="001B45E1">
              <w:rPr>
                <w:rFonts w:cs="Tahoma"/>
                <w:sz w:val="14"/>
                <w:szCs w:val="14"/>
              </w:rPr>
              <w:t>12 116</w:t>
            </w:r>
          </w:p>
        </w:tc>
        <w:tc>
          <w:tcPr>
            <w:tcW w:w="149" w:type="pct"/>
            <w:tcBorders>
              <w:top w:val="nil"/>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5,0</w:t>
            </w:r>
          </w:p>
        </w:tc>
        <w:tc>
          <w:tcPr>
            <w:tcW w:w="532"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-62,0</w:t>
            </w:r>
          </w:p>
        </w:tc>
        <w:tc>
          <w:tcPr>
            <w:tcW w:w="523"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177,2</w:t>
            </w:r>
          </w:p>
        </w:tc>
      </w:tr>
      <w:tr w:rsidR="00565FD5" w:rsidRPr="001B45E1" w:rsidTr="00AB62A3">
        <w:trPr>
          <w:trHeight w:val="255"/>
          <w:jc w:val="center"/>
        </w:trPr>
        <w:tc>
          <w:tcPr>
            <w:tcW w:w="1481" w:type="pct"/>
            <w:vAlign w:val="center"/>
          </w:tcPr>
          <w:p w:rsidR="00565FD5" w:rsidRPr="001B45E1" w:rsidRDefault="00565FD5" w:rsidP="00AB62A3">
            <w:pPr>
              <w:ind w:left="57" w:right="57"/>
              <w:rPr>
                <w:rFonts w:cs="Tahoma"/>
                <w:snapToGrid w:val="0"/>
                <w:sz w:val="14"/>
                <w:szCs w:val="14"/>
              </w:rPr>
            </w:pPr>
            <w:r w:rsidRPr="001B45E1">
              <w:rPr>
                <w:rFonts w:cs="Tahoma"/>
                <w:snapToGrid w:val="0"/>
                <w:sz w:val="14"/>
                <w:szCs w:val="14"/>
              </w:rPr>
              <w:t xml:space="preserve">15. Soya Fasulyesi </w:t>
            </w:r>
          </w:p>
        </w:tc>
        <w:tc>
          <w:tcPr>
            <w:tcW w:w="532" w:type="pct"/>
            <w:vAlign w:val="center"/>
          </w:tcPr>
          <w:p w:rsidR="00565FD5" w:rsidRPr="001B45E1" w:rsidRDefault="00565FD5" w:rsidP="00AB62A3">
            <w:pPr>
              <w:ind w:left="57" w:right="57"/>
              <w:jc w:val="right"/>
              <w:rPr>
                <w:rFonts w:cs="Tahoma"/>
                <w:sz w:val="14"/>
                <w:szCs w:val="14"/>
              </w:rPr>
            </w:pPr>
            <w:r w:rsidRPr="001B45E1">
              <w:rPr>
                <w:rFonts w:cs="Tahoma"/>
                <w:sz w:val="14"/>
                <w:szCs w:val="14"/>
              </w:rPr>
              <w:t>700</w:t>
            </w:r>
          </w:p>
        </w:tc>
        <w:tc>
          <w:tcPr>
            <w:tcW w:w="634" w:type="pct"/>
            <w:vAlign w:val="center"/>
          </w:tcPr>
          <w:p w:rsidR="00565FD5" w:rsidRPr="001B45E1" w:rsidRDefault="00565FD5" w:rsidP="00AB62A3">
            <w:pPr>
              <w:ind w:left="57" w:right="57"/>
              <w:jc w:val="right"/>
              <w:rPr>
                <w:rFonts w:cs="Tahoma"/>
                <w:sz w:val="14"/>
                <w:szCs w:val="14"/>
              </w:rPr>
            </w:pPr>
            <w:r w:rsidRPr="001B45E1">
              <w:rPr>
                <w:rFonts w:cs="Tahoma"/>
                <w:sz w:val="14"/>
                <w:szCs w:val="14"/>
              </w:rPr>
              <w:t>715</w:t>
            </w:r>
          </w:p>
        </w:tc>
        <w:tc>
          <w:tcPr>
            <w:tcW w:w="620" w:type="pct"/>
            <w:tcBorders>
              <w:right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865</w:t>
            </w:r>
          </w:p>
        </w:tc>
        <w:tc>
          <w:tcPr>
            <w:tcW w:w="149" w:type="pct"/>
            <w:tcBorders>
              <w:top w:val="nil"/>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15,2</w:t>
            </w:r>
          </w:p>
        </w:tc>
        <w:tc>
          <w:tcPr>
            <w:tcW w:w="532"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2,1</w:t>
            </w:r>
          </w:p>
        </w:tc>
        <w:tc>
          <w:tcPr>
            <w:tcW w:w="523"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21,0</w:t>
            </w:r>
          </w:p>
        </w:tc>
      </w:tr>
      <w:tr w:rsidR="00565FD5" w:rsidRPr="001B45E1" w:rsidTr="00AB62A3">
        <w:trPr>
          <w:trHeight w:val="255"/>
          <w:jc w:val="center"/>
        </w:trPr>
        <w:tc>
          <w:tcPr>
            <w:tcW w:w="1481" w:type="pct"/>
            <w:vAlign w:val="center"/>
          </w:tcPr>
          <w:p w:rsidR="00565FD5" w:rsidRPr="001B45E1" w:rsidRDefault="00565FD5" w:rsidP="00AB62A3">
            <w:pPr>
              <w:ind w:left="57" w:right="57"/>
              <w:rPr>
                <w:rFonts w:cs="Tahoma"/>
                <w:snapToGrid w:val="0"/>
                <w:sz w:val="14"/>
                <w:szCs w:val="14"/>
              </w:rPr>
            </w:pPr>
            <w:r w:rsidRPr="001B45E1">
              <w:rPr>
                <w:rFonts w:cs="Tahoma"/>
                <w:snapToGrid w:val="0"/>
                <w:sz w:val="14"/>
                <w:szCs w:val="14"/>
              </w:rPr>
              <w:t xml:space="preserve">16. Haşhaş Kapsülü </w:t>
            </w:r>
          </w:p>
        </w:tc>
        <w:tc>
          <w:tcPr>
            <w:tcW w:w="532" w:type="pct"/>
            <w:vAlign w:val="center"/>
          </w:tcPr>
          <w:p w:rsidR="00565FD5" w:rsidRPr="001B45E1" w:rsidRDefault="00565FD5" w:rsidP="00AB62A3">
            <w:pPr>
              <w:ind w:left="57" w:right="57"/>
              <w:jc w:val="right"/>
              <w:rPr>
                <w:rFonts w:cs="Tahoma"/>
                <w:sz w:val="14"/>
                <w:szCs w:val="14"/>
              </w:rPr>
            </w:pPr>
            <w:r w:rsidRPr="001B45E1">
              <w:rPr>
                <w:rFonts w:cs="Tahoma"/>
                <w:sz w:val="14"/>
                <w:szCs w:val="14"/>
              </w:rPr>
              <w:t>2 438</w:t>
            </w:r>
          </w:p>
        </w:tc>
        <w:tc>
          <w:tcPr>
            <w:tcW w:w="634" w:type="pct"/>
            <w:vAlign w:val="center"/>
          </w:tcPr>
          <w:p w:rsidR="00565FD5" w:rsidRPr="001B45E1" w:rsidRDefault="00565FD5" w:rsidP="00AB62A3">
            <w:pPr>
              <w:ind w:left="57" w:right="57"/>
              <w:jc w:val="right"/>
              <w:rPr>
                <w:rFonts w:cs="Tahoma"/>
                <w:sz w:val="14"/>
                <w:szCs w:val="14"/>
              </w:rPr>
            </w:pPr>
            <w:r w:rsidRPr="001B45E1">
              <w:rPr>
                <w:rFonts w:cs="Tahoma"/>
                <w:sz w:val="14"/>
                <w:szCs w:val="14"/>
              </w:rPr>
              <w:t>2 647</w:t>
            </w:r>
          </w:p>
        </w:tc>
        <w:tc>
          <w:tcPr>
            <w:tcW w:w="620" w:type="pct"/>
            <w:tcBorders>
              <w:right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2 684</w:t>
            </w:r>
          </w:p>
        </w:tc>
        <w:tc>
          <w:tcPr>
            <w:tcW w:w="149" w:type="pct"/>
            <w:tcBorders>
              <w:top w:val="nil"/>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11,6</w:t>
            </w:r>
          </w:p>
        </w:tc>
        <w:tc>
          <w:tcPr>
            <w:tcW w:w="532"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8,6</w:t>
            </w:r>
          </w:p>
        </w:tc>
        <w:tc>
          <w:tcPr>
            <w:tcW w:w="523" w:type="pct"/>
            <w:tcBorders>
              <w:top w:val="nil"/>
              <w:bottom w:val="nil"/>
            </w:tcBorders>
            <w:vAlign w:val="center"/>
          </w:tcPr>
          <w:p w:rsidR="00565FD5" w:rsidRPr="001B45E1" w:rsidRDefault="00565FD5" w:rsidP="00AB62A3">
            <w:pPr>
              <w:ind w:right="57"/>
              <w:jc w:val="right"/>
              <w:rPr>
                <w:rFonts w:cs="Tahoma"/>
                <w:sz w:val="14"/>
                <w:szCs w:val="14"/>
              </w:rPr>
            </w:pPr>
            <w:r w:rsidRPr="001B45E1">
              <w:rPr>
                <w:rFonts w:cs="Tahoma"/>
                <w:sz w:val="14"/>
                <w:szCs w:val="14"/>
              </w:rPr>
              <w:t>1,4</w:t>
            </w:r>
          </w:p>
        </w:tc>
      </w:tr>
      <w:tr w:rsidR="00565FD5" w:rsidRPr="001B45E1" w:rsidTr="00AB62A3">
        <w:trPr>
          <w:trHeight w:val="255"/>
          <w:jc w:val="center"/>
        </w:trPr>
        <w:tc>
          <w:tcPr>
            <w:tcW w:w="1481" w:type="pct"/>
            <w:vAlign w:val="center"/>
          </w:tcPr>
          <w:p w:rsidR="00565FD5" w:rsidRPr="001B45E1" w:rsidRDefault="00565FD5" w:rsidP="00AB62A3">
            <w:pPr>
              <w:ind w:left="57" w:right="57"/>
              <w:rPr>
                <w:rFonts w:cs="Tahoma"/>
                <w:snapToGrid w:val="0"/>
                <w:sz w:val="14"/>
                <w:szCs w:val="14"/>
              </w:rPr>
            </w:pPr>
            <w:r w:rsidRPr="001B45E1">
              <w:rPr>
                <w:rFonts w:cs="Tahoma"/>
                <w:snapToGrid w:val="0"/>
                <w:sz w:val="14"/>
                <w:szCs w:val="14"/>
              </w:rPr>
              <w:t xml:space="preserve">17. Çeltik </w:t>
            </w:r>
          </w:p>
        </w:tc>
        <w:tc>
          <w:tcPr>
            <w:tcW w:w="532" w:type="pct"/>
            <w:vAlign w:val="center"/>
          </w:tcPr>
          <w:p w:rsidR="00565FD5" w:rsidRPr="001B45E1" w:rsidRDefault="00565FD5" w:rsidP="00AB62A3">
            <w:pPr>
              <w:ind w:left="57" w:right="57"/>
              <w:jc w:val="right"/>
              <w:rPr>
                <w:rFonts w:cs="Tahoma"/>
                <w:sz w:val="14"/>
                <w:szCs w:val="14"/>
              </w:rPr>
            </w:pPr>
            <w:r w:rsidRPr="001B45E1">
              <w:rPr>
                <w:rFonts w:cs="Tahoma"/>
                <w:sz w:val="14"/>
                <w:szCs w:val="14"/>
              </w:rPr>
              <w:t>-</w:t>
            </w:r>
          </w:p>
        </w:tc>
        <w:tc>
          <w:tcPr>
            <w:tcW w:w="634" w:type="pct"/>
            <w:vAlign w:val="center"/>
          </w:tcPr>
          <w:p w:rsidR="00565FD5" w:rsidRPr="001B45E1" w:rsidRDefault="00565FD5" w:rsidP="00AB62A3">
            <w:pPr>
              <w:ind w:left="57" w:right="57"/>
              <w:jc w:val="right"/>
              <w:rPr>
                <w:rFonts w:cs="Tahoma"/>
                <w:sz w:val="14"/>
                <w:szCs w:val="14"/>
              </w:rPr>
            </w:pPr>
            <w:r w:rsidRPr="001B45E1">
              <w:rPr>
                <w:rFonts w:cs="Tahoma"/>
                <w:sz w:val="14"/>
                <w:szCs w:val="14"/>
              </w:rPr>
              <w:t>-</w:t>
            </w:r>
          </w:p>
        </w:tc>
        <w:tc>
          <w:tcPr>
            <w:tcW w:w="620" w:type="pct"/>
            <w:tcBorders>
              <w:right w:val="single" w:sz="4" w:space="0" w:color="auto"/>
            </w:tcBorders>
            <w:vAlign w:val="center"/>
          </w:tcPr>
          <w:p w:rsidR="00565FD5" w:rsidRPr="001B45E1" w:rsidRDefault="00565FD5" w:rsidP="00AB62A3">
            <w:pPr>
              <w:tabs>
                <w:tab w:val="left" w:pos="594"/>
              </w:tabs>
              <w:ind w:left="57" w:right="57"/>
              <w:jc w:val="right"/>
              <w:rPr>
                <w:rFonts w:cs="Tahoma"/>
                <w:sz w:val="14"/>
                <w:szCs w:val="14"/>
              </w:rPr>
            </w:pPr>
            <w:r w:rsidRPr="001B45E1">
              <w:rPr>
                <w:rFonts w:cs="Tahoma"/>
                <w:sz w:val="14"/>
                <w:szCs w:val="14"/>
              </w:rPr>
              <w:t>996</w:t>
            </w:r>
          </w:p>
        </w:tc>
        <w:tc>
          <w:tcPr>
            <w:tcW w:w="149" w:type="pct"/>
            <w:tcBorders>
              <w:top w:val="nil"/>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w:t>
            </w:r>
          </w:p>
        </w:tc>
        <w:tc>
          <w:tcPr>
            <w:tcW w:w="532"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w:t>
            </w:r>
          </w:p>
        </w:tc>
        <w:tc>
          <w:tcPr>
            <w:tcW w:w="523"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w:t>
            </w:r>
          </w:p>
        </w:tc>
      </w:tr>
      <w:tr w:rsidR="00565FD5" w:rsidRPr="001B45E1" w:rsidTr="00AB62A3">
        <w:trPr>
          <w:trHeight w:val="255"/>
          <w:jc w:val="center"/>
        </w:trPr>
        <w:tc>
          <w:tcPr>
            <w:tcW w:w="1481" w:type="pct"/>
            <w:vAlign w:val="center"/>
          </w:tcPr>
          <w:p w:rsidR="00565FD5" w:rsidRPr="001B45E1" w:rsidRDefault="00565FD5" w:rsidP="00AB62A3">
            <w:pPr>
              <w:ind w:left="57" w:right="57"/>
              <w:rPr>
                <w:rFonts w:cs="Tahoma"/>
                <w:snapToGrid w:val="0"/>
                <w:sz w:val="14"/>
                <w:szCs w:val="14"/>
              </w:rPr>
            </w:pPr>
            <w:r w:rsidRPr="001B45E1">
              <w:rPr>
                <w:rFonts w:cs="Tahoma"/>
                <w:snapToGrid w:val="0"/>
                <w:sz w:val="14"/>
                <w:szCs w:val="14"/>
              </w:rPr>
              <w:t>18. Yaş Koza (1) (</w:t>
            </w:r>
            <w:r>
              <w:rPr>
                <w:rFonts w:cs="Tahoma"/>
                <w:snapToGrid w:val="0"/>
                <w:sz w:val="14"/>
                <w:szCs w:val="14"/>
              </w:rPr>
              <w:t>3</w:t>
            </w:r>
            <w:r w:rsidRPr="001B45E1">
              <w:rPr>
                <w:rFonts w:cs="Tahoma"/>
                <w:snapToGrid w:val="0"/>
                <w:sz w:val="14"/>
                <w:szCs w:val="14"/>
              </w:rPr>
              <w:t>)</w:t>
            </w:r>
          </w:p>
        </w:tc>
        <w:tc>
          <w:tcPr>
            <w:tcW w:w="532" w:type="pct"/>
            <w:vAlign w:val="center"/>
          </w:tcPr>
          <w:p w:rsidR="00565FD5" w:rsidRPr="001B45E1" w:rsidRDefault="00565FD5" w:rsidP="00AB62A3">
            <w:pPr>
              <w:ind w:left="57" w:right="57"/>
              <w:jc w:val="right"/>
              <w:rPr>
                <w:rFonts w:cs="Tahoma"/>
                <w:sz w:val="14"/>
                <w:szCs w:val="14"/>
              </w:rPr>
            </w:pPr>
            <w:r w:rsidRPr="001B45E1">
              <w:rPr>
                <w:rFonts w:cs="Tahoma"/>
                <w:sz w:val="14"/>
                <w:szCs w:val="14"/>
              </w:rPr>
              <w:t>4 000</w:t>
            </w:r>
          </w:p>
        </w:tc>
        <w:tc>
          <w:tcPr>
            <w:tcW w:w="634" w:type="pct"/>
            <w:vAlign w:val="center"/>
          </w:tcPr>
          <w:p w:rsidR="00565FD5" w:rsidRPr="001B45E1" w:rsidRDefault="00565FD5" w:rsidP="00AB62A3">
            <w:pPr>
              <w:ind w:left="57" w:right="57"/>
              <w:jc w:val="right"/>
              <w:rPr>
                <w:rFonts w:cs="Tahoma"/>
                <w:sz w:val="14"/>
                <w:szCs w:val="14"/>
              </w:rPr>
            </w:pPr>
            <w:r w:rsidRPr="001B45E1">
              <w:rPr>
                <w:rFonts w:cs="Tahoma"/>
                <w:sz w:val="14"/>
                <w:szCs w:val="14"/>
              </w:rPr>
              <w:t>3 493</w:t>
            </w:r>
          </w:p>
        </w:tc>
        <w:tc>
          <w:tcPr>
            <w:tcW w:w="620" w:type="pct"/>
            <w:tcBorders>
              <w:right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3 593</w:t>
            </w:r>
          </w:p>
        </w:tc>
        <w:tc>
          <w:tcPr>
            <w:tcW w:w="149" w:type="pct"/>
            <w:tcBorders>
              <w:top w:val="nil"/>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-20,0</w:t>
            </w:r>
          </w:p>
        </w:tc>
        <w:tc>
          <w:tcPr>
            <w:tcW w:w="532"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-12,7</w:t>
            </w:r>
          </w:p>
        </w:tc>
        <w:tc>
          <w:tcPr>
            <w:tcW w:w="523"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2,9</w:t>
            </w:r>
          </w:p>
        </w:tc>
      </w:tr>
      <w:tr w:rsidR="00565FD5" w:rsidRPr="001B45E1" w:rsidTr="00AB62A3">
        <w:trPr>
          <w:trHeight w:val="255"/>
          <w:jc w:val="center"/>
        </w:trPr>
        <w:tc>
          <w:tcPr>
            <w:tcW w:w="1481" w:type="pct"/>
            <w:vAlign w:val="center"/>
          </w:tcPr>
          <w:p w:rsidR="00565FD5" w:rsidRPr="001B45E1" w:rsidRDefault="00565FD5" w:rsidP="00AB62A3">
            <w:pPr>
              <w:ind w:left="57" w:right="57"/>
              <w:rPr>
                <w:rFonts w:cs="Tahoma"/>
                <w:snapToGrid w:val="0"/>
                <w:sz w:val="14"/>
                <w:szCs w:val="14"/>
              </w:rPr>
            </w:pPr>
            <w:r w:rsidRPr="001B45E1">
              <w:rPr>
                <w:rFonts w:cs="Tahoma"/>
                <w:snapToGrid w:val="0"/>
                <w:sz w:val="14"/>
                <w:szCs w:val="14"/>
              </w:rPr>
              <w:t>19. Zeytin</w:t>
            </w:r>
          </w:p>
        </w:tc>
        <w:tc>
          <w:tcPr>
            <w:tcW w:w="532" w:type="pct"/>
            <w:vAlign w:val="center"/>
          </w:tcPr>
          <w:p w:rsidR="00565FD5" w:rsidRPr="001B45E1" w:rsidRDefault="00565FD5" w:rsidP="00AB62A3">
            <w:pPr>
              <w:ind w:left="57" w:right="57"/>
              <w:jc w:val="right"/>
              <w:rPr>
                <w:rFonts w:cs="Tahoma"/>
                <w:sz w:val="14"/>
                <w:szCs w:val="14"/>
              </w:rPr>
            </w:pPr>
            <w:r w:rsidRPr="001B45E1">
              <w:rPr>
                <w:rFonts w:cs="Tahoma"/>
                <w:sz w:val="14"/>
                <w:szCs w:val="14"/>
              </w:rPr>
              <w:t>2 620</w:t>
            </w:r>
          </w:p>
        </w:tc>
        <w:tc>
          <w:tcPr>
            <w:tcW w:w="634" w:type="pct"/>
            <w:vAlign w:val="center"/>
          </w:tcPr>
          <w:p w:rsidR="00565FD5" w:rsidRPr="001B45E1" w:rsidRDefault="00565FD5" w:rsidP="00AB62A3">
            <w:pPr>
              <w:ind w:left="57" w:right="57"/>
              <w:jc w:val="right"/>
              <w:rPr>
                <w:rFonts w:cs="Tahoma"/>
                <w:sz w:val="14"/>
                <w:szCs w:val="14"/>
              </w:rPr>
            </w:pPr>
            <w:r w:rsidRPr="001B45E1">
              <w:rPr>
                <w:rFonts w:cs="Tahoma"/>
                <w:sz w:val="14"/>
                <w:szCs w:val="14"/>
              </w:rPr>
              <w:t>3 512</w:t>
            </w:r>
          </w:p>
        </w:tc>
        <w:tc>
          <w:tcPr>
            <w:tcW w:w="620" w:type="pct"/>
            <w:tcBorders>
              <w:right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2 014</w:t>
            </w:r>
          </w:p>
        </w:tc>
        <w:tc>
          <w:tcPr>
            <w:tcW w:w="149" w:type="pct"/>
            <w:tcBorders>
              <w:top w:val="nil"/>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-0,9</w:t>
            </w:r>
          </w:p>
        </w:tc>
        <w:tc>
          <w:tcPr>
            <w:tcW w:w="532"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34,0</w:t>
            </w:r>
          </w:p>
        </w:tc>
        <w:tc>
          <w:tcPr>
            <w:tcW w:w="523" w:type="pct"/>
            <w:tcBorders>
              <w:top w:val="nil"/>
              <w:bottom w:val="nil"/>
            </w:tcBorders>
            <w:vAlign w:val="center"/>
          </w:tcPr>
          <w:p w:rsidR="00565FD5" w:rsidRPr="001B45E1" w:rsidRDefault="00565FD5" w:rsidP="00AB62A3">
            <w:pPr>
              <w:ind w:right="57"/>
              <w:jc w:val="right"/>
              <w:rPr>
                <w:rFonts w:cs="Tahoma"/>
                <w:sz w:val="14"/>
                <w:szCs w:val="14"/>
              </w:rPr>
            </w:pPr>
            <w:r w:rsidRPr="001B45E1">
              <w:rPr>
                <w:rFonts w:cs="Tahoma"/>
                <w:sz w:val="14"/>
                <w:szCs w:val="14"/>
              </w:rPr>
              <w:t>-42,7</w:t>
            </w:r>
          </w:p>
        </w:tc>
      </w:tr>
      <w:tr w:rsidR="00565FD5" w:rsidRPr="001B45E1" w:rsidTr="00AB62A3">
        <w:trPr>
          <w:trHeight w:val="255"/>
          <w:jc w:val="center"/>
        </w:trPr>
        <w:tc>
          <w:tcPr>
            <w:tcW w:w="1481" w:type="pct"/>
            <w:vAlign w:val="center"/>
          </w:tcPr>
          <w:p w:rsidR="00565FD5" w:rsidRPr="001B45E1" w:rsidRDefault="00565FD5" w:rsidP="00AB62A3">
            <w:pPr>
              <w:ind w:left="57" w:right="57"/>
              <w:rPr>
                <w:rFonts w:cs="Tahoma"/>
                <w:snapToGrid w:val="0"/>
                <w:sz w:val="14"/>
                <w:szCs w:val="14"/>
              </w:rPr>
            </w:pPr>
            <w:r w:rsidRPr="001B45E1">
              <w:rPr>
                <w:rFonts w:cs="Tahoma"/>
                <w:snapToGrid w:val="0"/>
                <w:sz w:val="14"/>
                <w:szCs w:val="14"/>
              </w:rPr>
              <w:t>20. Gülçiçeği</w:t>
            </w:r>
          </w:p>
        </w:tc>
        <w:tc>
          <w:tcPr>
            <w:tcW w:w="532" w:type="pct"/>
            <w:vAlign w:val="center"/>
          </w:tcPr>
          <w:p w:rsidR="00565FD5" w:rsidRPr="001B45E1" w:rsidRDefault="00565FD5" w:rsidP="00AB62A3">
            <w:pPr>
              <w:ind w:left="57" w:right="57"/>
              <w:jc w:val="right"/>
              <w:rPr>
                <w:rFonts w:cs="Tahoma"/>
                <w:sz w:val="14"/>
                <w:szCs w:val="14"/>
              </w:rPr>
            </w:pPr>
            <w:r w:rsidRPr="001B45E1">
              <w:rPr>
                <w:rFonts w:cs="Tahoma"/>
                <w:sz w:val="14"/>
                <w:szCs w:val="14"/>
              </w:rPr>
              <w:t>1 600</w:t>
            </w:r>
          </w:p>
        </w:tc>
        <w:tc>
          <w:tcPr>
            <w:tcW w:w="634" w:type="pct"/>
            <w:vAlign w:val="center"/>
          </w:tcPr>
          <w:p w:rsidR="00565FD5" w:rsidRPr="001B45E1" w:rsidRDefault="00565FD5" w:rsidP="00AB62A3">
            <w:pPr>
              <w:ind w:left="57" w:right="57"/>
              <w:jc w:val="right"/>
              <w:rPr>
                <w:rFonts w:cs="Tahoma"/>
                <w:sz w:val="14"/>
                <w:szCs w:val="14"/>
              </w:rPr>
            </w:pPr>
            <w:r w:rsidRPr="001B45E1">
              <w:rPr>
                <w:rFonts w:cs="Tahoma"/>
                <w:sz w:val="14"/>
                <w:szCs w:val="14"/>
              </w:rPr>
              <w:t>2 625</w:t>
            </w:r>
          </w:p>
        </w:tc>
        <w:tc>
          <w:tcPr>
            <w:tcW w:w="620" w:type="pct"/>
            <w:tcBorders>
              <w:right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2 259</w:t>
            </w:r>
          </w:p>
        </w:tc>
        <w:tc>
          <w:tcPr>
            <w:tcW w:w="149" w:type="pct"/>
            <w:tcBorders>
              <w:top w:val="nil"/>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-6,6</w:t>
            </w:r>
          </w:p>
        </w:tc>
        <w:tc>
          <w:tcPr>
            <w:tcW w:w="532"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64,1</w:t>
            </w:r>
          </w:p>
        </w:tc>
        <w:tc>
          <w:tcPr>
            <w:tcW w:w="523"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-14,0</w:t>
            </w:r>
          </w:p>
        </w:tc>
      </w:tr>
      <w:tr w:rsidR="00565FD5" w:rsidRPr="001B45E1" w:rsidTr="00AB62A3">
        <w:trPr>
          <w:trHeight w:val="255"/>
          <w:jc w:val="center"/>
        </w:trPr>
        <w:tc>
          <w:tcPr>
            <w:tcW w:w="1481" w:type="pct"/>
            <w:vAlign w:val="center"/>
          </w:tcPr>
          <w:p w:rsidR="00565FD5" w:rsidRPr="001B45E1" w:rsidRDefault="00565FD5" w:rsidP="00AB62A3">
            <w:pPr>
              <w:ind w:left="57" w:right="57"/>
              <w:rPr>
                <w:rFonts w:cs="Tahoma"/>
                <w:snapToGrid w:val="0"/>
                <w:sz w:val="14"/>
                <w:szCs w:val="14"/>
              </w:rPr>
            </w:pPr>
            <w:r w:rsidRPr="001B45E1">
              <w:rPr>
                <w:rFonts w:cs="Tahoma"/>
                <w:snapToGrid w:val="0"/>
                <w:sz w:val="14"/>
                <w:szCs w:val="14"/>
              </w:rPr>
              <w:t>21. Kırmızı Mercimek</w:t>
            </w:r>
          </w:p>
        </w:tc>
        <w:tc>
          <w:tcPr>
            <w:tcW w:w="532" w:type="pct"/>
            <w:vAlign w:val="center"/>
          </w:tcPr>
          <w:p w:rsidR="00565FD5" w:rsidRPr="001B45E1" w:rsidRDefault="00565FD5" w:rsidP="00AB62A3">
            <w:pPr>
              <w:ind w:left="57" w:right="57"/>
              <w:jc w:val="right"/>
              <w:rPr>
                <w:rFonts w:cs="Tahoma"/>
                <w:sz w:val="14"/>
                <w:szCs w:val="14"/>
              </w:rPr>
            </w:pPr>
            <w:r w:rsidRPr="001B45E1">
              <w:rPr>
                <w:rFonts w:cs="Tahoma"/>
                <w:sz w:val="14"/>
                <w:szCs w:val="14"/>
              </w:rPr>
              <w:t>2 000</w:t>
            </w:r>
          </w:p>
        </w:tc>
        <w:tc>
          <w:tcPr>
            <w:tcW w:w="634" w:type="pct"/>
            <w:vAlign w:val="center"/>
          </w:tcPr>
          <w:p w:rsidR="00565FD5" w:rsidRPr="001B45E1" w:rsidRDefault="00565FD5" w:rsidP="00AB62A3">
            <w:pPr>
              <w:ind w:left="57" w:right="57"/>
              <w:jc w:val="right"/>
              <w:rPr>
                <w:rFonts w:cs="Tahoma"/>
                <w:sz w:val="14"/>
                <w:szCs w:val="14"/>
              </w:rPr>
            </w:pPr>
            <w:r w:rsidRPr="001B45E1">
              <w:rPr>
                <w:rFonts w:cs="Tahoma"/>
                <w:sz w:val="14"/>
                <w:szCs w:val="14"/>
              </w:rPr>
              <w:t>-</w:t>
            </w:r>
          </w:p>
        </w:tc>
        <w:tc>
          <w:tcPr>
            <w:tcW w:w="620" w:type="pct"/>
            <w:tcBorders>
              <w:right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1 200</w:t>
            </w:r>
          </w:p>
        </w:tc>
        <w:tc>
          <w:tcPr>
            <w:tcW w:w="149" w:type="pct"/>
            <w:tcBorders>
              <w:top w:val="nil"/>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w:t>
            </w:r>
          </w:p>
        </w:tc>
        <w:tc>
          <w:tcPr>
            <w:tcW w:w="532"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w:t>
            </w:r>
          </w:p>
        </w:tc>
        <w:tc>
          <w:tcPr>
            <w:tcW w:w="523"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w:t>
            </w:r>
          </w:p>
        </w:tc>
      </w:tr>
      <w:tr w:rsidR="00565FD5" w:rsidRPr="001B45E1" w:rsidTr="00AB62A3">
        <w:trPr>
          <w:trHeight w:val="255"/>
          <w:jc w:val="center"/>
        </w:trPr>
        <w:tc>
          <w:tcPr>
            <w:tcW w:w="1481" w:type="pct"/>
            <w:vAlign w:val="center"/>
          </w:tcPr>
          <w:p w:rsidR="00565FD5" w:rsidRPr="001B45E1" w:rsidRDefault="00565FD5" w:rsidP="00AB62A3">
            <w:pPr>
              <w:ind w:left="57" w:right="57"/>
              <w:rPr>
                <w:rFonts w:cs="Tahoma"/>
                <w:snapToGrid w:val="0"/>
                <w:sz w:val="14"/>
                <w:szCs w:val="14"/>
              </w:rPr>
            </w:pPr>
            <w:r w:rsidRPr="001B45E1">
              <w:rPr>
                <w:rFonts w:cs="Tahoma"/>
                <w:snapToGrid w:val="0"/>
                <w:sz w:val="14"/>
                <w:szCs w:val="14"/>
              </w:rPr>
              <w:t>22. Çay</w:t>
            </w:r>
          </w:p>
        </w:tc>
        <w:tc>
          <w:tcPr>
            <w:tcW w:w="532" w:type="pct"/>
            <w:vAlign w:val="center"/>
          </w:tcPr>
          <w:p w:rsidR="00565FD5" w:rsidRPr="001B45E1" w:rsidRDefault="00565FD5" w:rsidP="00AB62A3">
            <w:pPr>
              <w:ind w:left="57" w:right="57"/>
              <w:jc w:val="right"/>
              <w:rPr>
                <w:rFonts w:cs="Tahoma"/>
                <w:sz w:val="14"/>
                <w:szCs w:val="14"/>
              </w:rPr>
            </w:pPr>
            <w:r w:rsidRPr="001B45E1">
              <w:rPr>
                <w:rFonts w:cs="Tahoma"/>
                <w:sz w:val="14"/>
                <w:szCs w:val="14"/>
              </w:rPr>
              <w:t>789</w:t>
            </w:r>
          </w:p>
        </w:tc>
        <w:tc>
          <w:tcPr>
            <w:tcW w:w="634" w:type="pct"/>
            <w:vAlign w:val="center"/>
          </w:tcPr>
          <w:p w:rsidR="00565FD5" w:rsidRPr="001B45E1" w:rsidRDefault="00565FD5" w:rsidP="00AB62A3">
            <w:pPr>
              <w:ind w:left="57" w:right="57"/>
              <w:jc w:val="right"/>
              <w:rPr>
                <w:rFonts w:cs="Tahoma"/>
                <w:sz w:val="14"/>
                <w:szCs w:val="14"/>
              </w:rPr>
            </w:pPr>
            <w:r w:rsidRPr="001B45E1">
              <w:rPr>
                <w:rFonts w:cs="Tahoma"/>
                <w:sz w:val="14"/>
                <w:szCs w:val="14"/>
              </w:rPr>
              <w:t>884</w:t>
            </w:r>
          </w:p>
        </w:tc>
        <w:tc>
          <w:tcPr>
            <w:tcW w:w="620" w:type="pct"/>
            <w:tcBorders>
              <w:right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953</w:t>
            </w:r>
          </w:p>
        </w:tc>
        <w:tc>
          <w:tcPr>
            <w:tcW w:w="149" w:type="pct"/>
            <w:tcBorders>
              <w:top w:val="nil"/>
              <w:left w:val="single" w:sz="4" w:space="0" w:color="auto"/>
              <w:bottom w:val="nil"/>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7,1</w:t>
            </w:r>
          </w:p>
        </w:tc>
        <w:tc>
          <w:tcPr>
            <w:tcW w:w="532"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12,0</w:t>
            </w:r>
          </w:p>
        </w:tc>
        <w:tc>
          <w:tcPr>
            <w:tcW w:w="523" w:type="pct"/>
            <w:tcBorders>
              <w:top w:val="nil"/>
              <w:bottom w:val="nil"/>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7,7</w:t>
            </w:r>
          </w:p>
        </w:tc>
      </w:tr>
      <w:tr w:rsidR="00565FD5" w:rsidRPr="001B45E1" w:rsidTr="00AB62A3">
        <w:trPr>
          <w:trHeight w:val="255"/>
          <w:jc w:val="center"/>
        </w:trPr>
        <w:tc>
          <w:tcPr>
            <w:tcW w:w="1481" w:type="pct"/>
            <w:tcBorders>
              <w:bottom w:val="single" w:sz="4" w:space="0" w:color="auto"/>
            </w:tcBorders>
            <w:vAlign w:val="center"/>
          </w:tcPr>
          <w:p w:rsidR="00565FD5" w:rsidRPr="001B45E1" w:rsidRDefault="00565FD5" w:rsidP="00AB62A3">
            <w:pPr>
              <w:ind w:left="57" w:right="57"/>
              <w:rPr>
                <w:rFonts w:cs="Tahoma"/>
                <w:b/>
                <w:snapToGrid w:val="0"/>
                <w:sz w:val="14"/>
                <w:szCs w:val="14"/>
              </w:rPr>
            </w:pPr>
            <w:r w:rsidRPr="001B45E1">
              <w:rPr>
                <w:rFonts w:cs="Tahoma"/>
                <w:b/>
                <w:snapToGrid w:val="0"/>
                <w:sz w:val="14"/>
                <w:szCs w:val="14"/>
              </w:rPr>
              <w:t>Genel Ortalama Değişim</w:t>
            </w:r>
          </w:p>
        </w:tc>
        <w:tc>
          <w:tcPr>
            <w:tcW w:w="532" w:type="pct"/>
            <w:tcBorders>
              <w:bottom w:val="single" w:sz="4" w:space="0" w:color="auto"/>
            </w:tcBorders>
            <w:vAlign w:val="center"/>
          </w:tcPr>
          <w:p w:rsidR="00565FD5" w:rsidRPr="001B45E1" w:rsidRDefault="00565FD5" w:rsidP="00AB62A3">
            <w:pPr>
              <w:ind w:left="57" w:right="57"/>
              <w:jc w:val="right"/>
              <w:rPr>
                <w:rFonts w:cs="Tahoma"/>
                <w:sz w:val="14"/>
                <w:szCs w:val="14"/>
              </w:rPr>
            </w:pPr>
          </w:p>
        </w:tc>
        <w:tc>
          <w:tcPr>
            <w:tcW w:w="634" w:type="pct"/>
            <w:tcBorders>
              <w:bottom w:val="single" w:sz="4" w:space="0" w:color="auto"/>
            </w:tcBorders>
            <w:vAlign w:val="center"/>
          </w:tcPr>
          <w:p w:rsidR="00565FD5" w:rsidRPr="001B45E1" w:rsidRDefault="00565FD5" w:rsidP="00AB62A3">
            <w:pPr>
              <w:ind w:left="57" w:right="57"/>
              <w:jc w:val="right"/>
              <w:rPr>
                <w:rFonts w:cs="Tahoma"/>
                <w:sz w:val="14"/>
                <w:szCs w:val="14"/>
              </w:rPr>
            </w:pPr>
          </w:p>
        </w:tc>
        <w:tc>
          <w:tcPr>
            <w:tcW w:w="620" w:type="pct"/>
            <w:tcBorders>
              <w:bottom w:val="single" w:sz="4" w:space="0" w:color="auto"/>
              <w:right w:val="single" w:sz="4" w:space="0" w:color="auto"/>
            </w:tcBorders>
            <w:vAlign w:val="center"/>
          </w:tcPr>
          <w:p w:rsidR="00565FD5" w:rsidRPr="001B45E1" w:rsidRDefault="00565FD5" w:rsidP="00AB62A3">
            <w:pPr>
              <w:ind w:left="57" w:right="57"/>
              <w:jc w:val="right"/>
              <w:rPr>
                <w:rFonts w:cs="Tahoma"/>
                <w:sz w:val="14"/>
                <w:szCs w:val="14"/>
              </w:rPr>
            </w:pPr>
          </w:p>
        </w:tc>
        <w:tc>
          <w:tcPr>
            <w:tcW w:w="149" w:type="pct"/>
            <w:tcBorders>
              <w:top w:val="nil"/>
              <w:left w:val="single" w:sz="4" w:space="0" w:color="auto"/>
              <w:bottom w:val="single" w:sz="4" w:space="0" w:color="auto"/>
            </w:tcBorders>
            <w:vAlign w:val="center"/>
          </w:tcPr>
          <w:p w:rsidR="00565FD5" w:rsidRPr="001B45E1" w:rsidRDefault="00565FD5" w:rsidP="00AB62A3">
            <w:pPr>
              <w:ind w:left="57" w:right="57"/>
              <w:jc w:val="right"/>
              <w:rPr>
                <w:rFonts w:cs="Tahoma"/>
                <w:sz w:val="14"/>
                <w:szCs w:val="14"/>
              </w:rPr>
            </w:pPr>
          </w:p>
        </w:tc>
        <w:tc>
          <w:tcPr>
            <w:tcW w:w="530" w:type="pct"/>
            <w:tcBorders>
              <w:top w:val="nil"/>
              <w:bottom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7,1</w:t>
            </w:r>
          </w:p>
        </w:tc>
        <w:tc>
          <w:tcPr>
            <w:tcW w:w="532" w:type="pct"/>
            <w:tcBorders>
              <w:top w:val="nil"/>
              <w:bottom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7,6</w:t>
            </w:r>
          </w:p>
        </w:tc>
        <w:tc>
          <w:tcPr>
            <w:tcW w:w="523" w:type="pct"/>
            <w:tcBorders>
              <w:top w:val="nil"/>
              <w:bottom w:val="single" w:sz="4" w:space="0" w:color="auto"/>
            </w:tcBorders>
            <w:vAlign w:val="center"/>
          </w:tcPr>
          <w:p w:rsidR="00565FD5" w:rsidRPr="001B45E1" w:rsidRDefault="00565FD5" w:rsidP="00AB62A3">
            <w:pPr>
              <w:ind w:left="57" w:right="57"/>
              <w:jc w:val="right"/>
              <w:rPr>
                <w:rFonts w:cs="Tahoma"/>
                <w:sz w:val="14"/>
                <w:szCs w:val="14"/>
              </w:rPr>
            </w:pPr>
            <w:r w:rsidRPr="001B45E1">
              <w:rPr>
                <w:rFonts w:cs="Tahoma"/>
                <w:sz w:val="14"/>
                <w:szCs w:val="14"/>
              </w:rPr>
              <w:t>9,4</w:t>
            </w:r>
          </w:p>
        </w:tc>
      </w:tr>
    </w:tbl>
    <w:p w:rsidR="00565FD5" w:rsidRDefault="00565FD5" w:rsidP="00565FD5">
      <w:pPr>
        <w:tabs>
          <w:tab w:val="left" w:pos="2582"/>
          <w:tab w:val="left" w:pos="3432"/>
          <w:tab w:val="left" w:pos="4283"/>
          <w:tab w:val="left" w:pos="5133"/>
          <w:tab w:val="left" w:pos="5984"/>
          <w:tab w:val="left" w:pos="6381"/>
          <w:tab w:val="left" w:pos="6804"/>
          <w:tab w:val="left" w:pos="7163"/>
          <w:tab w:val="left" w:pos="7945"/>
          <w:tab w:val="left" w:pos="8728"/>
        </w:tabs>
        <w:rPr>
          <w:rFonts w:cs="Tahoma"/>
          <w:snapToGrid w:val="0"/>
          <w:sz w:val="14"/>
          <w:szCs w:val="14"/>
        </w:rPr>
      </w:pPr>
      <w:r>
        <w:rPr>
          <w:rFonts w:cs="Tahoma"/>
          <w:snapToGrid w:val="0"/>
          <w:sz w:val="14"/>
          <w:szCs w:val="14"/>
        </w:rPr>
        <w:t>Kaynak: TMO, ÇAYKUR, TŞFAŞ, Gümrük ve Ticaret Bakanlığı</w:t>
      </w:r>
    </w:p>
    <w:p w:rsidR="00565FD5" w:rsidRPr="001B45E1" w:rsidRDefault="00565FD5" w:rsidP="00565FD5">
      <w:pPr>
        <w:tabs>
          <w:tab w:val="left" w:pos="2582"/>
          <w:tab w:val="left" w:pos="3432"/>
          <w:tab w:val="left" w:pos="4283"/>
          <w:tab w:val="left" w:pos="5133"/>
          <w:tab w:val="left" w:pos="5984"/>
          <w:tab w:val="left" w:pos="6381"/>
          <w:tab w:val="left" w:pos="6804"/>
          <w:tab w:val="left" w:pos="7163"/>
          <w:tab w:val="left" w:pos="7945"/>
          <w:tab w:val="left" w:pos="8728"/>
        </w:tabs>
        <w:rPr>
          <w:rFonts w:cs="Tahoma"/>
          <w:snapToGrid w:val="0"/>
          <w:sz w:val="14"/>
          <w:szCs w:val="14"/>
        </w:rPr>
      </w:pPr>
      <w:r w:rsidRPr="001B45E1">
        <w:rPr>
          <w:rFonts w:cs="Tahoma"/>
          <w:snapToGrid w:val="0"/>
          <w:sz w:val="14"/>
          <w:szCs w:val="14"/>
        </w:rPr>
        <w:t>(1)  Destekleme primleri hariçtir.</w:t>
      </w:r>
    </w:p>
    <w:p w:rsidR="00565FD5" w:rsidRPr="001B45E1" w:rsidRDefault="00565FD5" w:rsidP="00565FD5">
      <w:pPr>
        <w:tabs>
          <w:tab w:val="left" w:pos="2582"/>
          <w:tab w:val="left" w:pos="3432"/>
          <w:tab w:val="left" w:pos="4283"/>
          <w:tab w:val="left" w:pos="5133"/>
          <w:tab w:val="left" w:pos="5984"/>
          <w:tab w:val="left" w:pos="6381"/>
          <w:tab w:val="left" w:pos="6804"/>
          <w:tab w:val="left" w:pos="7163"/>
          <w:tab w:val="left" w:pos="7945"/>
          <w:tab w:val="left" w:pos="8728"/>
        </w:tabs>
        <w:rPr>
          <w:rFonts w:cs="Tahoma"/>
          <w:snapToGrid w:val="0"/>
          <w:sz w:val="14"/>
          <w:szCs w:val="14"/>
        </w:rPr>
      </w:pPr>
      <w:r w:rsidRPr="001B45E1">
        <w:rPr>
          <w:rFonts w:cs="Tahoma"/>
          <w:snapToGrid w:val="0"/>
          <w:sz w:val="14"/>
          <w:szCs w:val="14"/>
        </w:rPr>
        <w:t>(2) Antep fıstığı fiyat verisi olarak kırmızı kabuklu yaş Antep fıstığı fiyat verisi sunulmakta olup, önceki yıllara ait verilerde güncel</w:t>
      </w:r>
      <w:r>
        <w:rPr>
          <w:rFonts w:cs="Tahoma"/>
          <w:snapToGrid w:val="0"/>
          <w:sz w:val="14"/>
          <w:szCs w:val="14"/>
        </w:rPr>
        <w:t>leme yapılmıştır.</w:t>
      </w:r>
    </w:p>
    <w:p w:rsidR="00565FD5" w:rsidRDefault="00565FD5" w:rsidP="00565FD5">
      <w:pPr>
        <w:tabs>
          <w:tab w:val="left" w:pos="2582"/>
          <w:tab w:val="left" w:pos="3432"/>
          <w:tab w:val="left" w:pos="4283"/>
          <w:tab w:val="left" w:pos="5133"/>
          <w:tab w:val="left" w:pos="5984"/>
          <w:tab w:val="left" w:pos="6381"/>
          <w:tab w:val="left" w:pos="6804"/>
          <w:tab w:val="left" w:pos="7163"/>
          <w:tab w:val="left" w:pos="7945"/>
          <w:tab w:val="left" w:pos="8728"/>
        </w:tabs>
        <w:spacing w:after="240"/>
        <w:rPr>
          <w:rFonts w:cs="Tahoma"/>
          <w:snapToGrid w:val="0"/>
          <w:sz w:val="14"/>
          <w:szCs w:val="14"/>
        </w:rPr>
      </w:pPr>
      <w:r w:rsidRPr="001B45E1">
        <w:rPr>
          <w:rFonts w:cs="Tahoma"/>
          <w:snapToGrid w:val="0"/>
          <w:sz w:val="14"/>
          <w:szCs w:val="14"/>
        </w:rPr>
        <w:t>(3) Ağırlıklı olarak alımı gerçekleştirildiğinden 1. sınıf Yaş Kozaya ait fiyat verileri sunulmuş olup, önceki yıllara ait verilerde güncelleme yapılmıştır.</w:t>
      </w:r>
    </w:p>
    <w:p w:rsidR="00565FD5" w:rsidRDefault="00565FD5" w:rsidP="00565FD5">
      <w:pPr>
        <w:spacing w:after="180"/>
        <w:ind w:firstLine="425"/>
        <w:rPr>
          <w:color w:val="FF0000"/>
          <w:szCs w:val="18"/>
        </w:rPr>
      </w:pPr>
      <w:r w:rsidRPr="001B45E1">
        <w:rPr>
          <w:bCs/>
          <w:szCs w:val="18"/>
        </w:rPr>
        <w:t xml:space="preserve">5363 sayılı Tarım Sigortaları Kanunu uyarınca, 2012 </w:t>
      </w:r>
      <w:r w:rsidRPr="001B45E1">
        <w:rPr>
          <w:szCs w:val="18"/>
        </w:rPr>
        <w:t xml:space="preserve">yılı sonu itibarıyla toplam 730 bin poliçe kesileceği ve 290 milyon TL devlet desteği sağlanacağı tahmin edilmektedir. Kesilen sigorta poliçesi sayısının 2013 yılı sonunda 850 </w:t>
      </w:r>
      <w:r w:rsidRPr="001B45E1">
        <w:rPr>
          <w:szCs w:val="18"/>
        </w:rPr>
        <w:lastRenderedPageBreak/>
        <w:t>bine ulaşması beklenmektedir. Sistemin sürdürülebilirliği için AB ülkelerinde olduğu gibi bu desteklerin aşamalı olarak azaltılması önem arz etmektedir.</w:t>
      </w:r>
      <w:r w:rsidRPr="001B45E1">
        <w:rPr>
          <w:color w:val="FF0000"/>
          <w:szCs w:val="18"/>
        </w:rPr>
        <w:t xml:space="preserve"> </w:t>
      </w:r>
    </w:p>
    <w:p w:rsidR="00565FD5" w:rsidRPr="001B45E1" w:rsidRDefault="00565FD5" w:rsidP="00565FD5">
      <w:pPr>
        <w:tabs>
          <w:tab w:val="left" w:pos="2582"/>
          <w:tab w:val="left" w:pos="3432"/>
          <w:tab w:val="left" w:pos="4283"/>
          <w:tab w:val="left" w:pos="5133"/>
          <w:tab w:val="left" w:pos="5984"/>
          <w:tab w:val="left" w:pos="6381"/>
          <w:tab w:val="left" w:pos="6804"/>
          <w:tab w:val="left" w:pos="7163"/>
          <w:tab w:val="left" w:pos="7945"/>
          <w:tab w:val="left" w:pos="8728"/>
        </w:tabs>
        <w:spacing w:before="120" w:after="240"/>
        <w:rPr>
          <w:rFonts w:cs="Tahoma"/>
          <w:szCs w:val="18"/>
        </w:rPr>
      </w:pPr>
      <w:r w:rsidRPr="001B45E1">
        <w:rPr>
          <w:rFonts w:cs="Tahoma"/>
          <w:szCs w:val="18"/>
        </w:rPr>
        <w:tab/>
        <w:t xml:space="preserve">İhracatta rekabet gücünün artırılması amacıyla ihracat sübvansiyonlarının dış ticarete konu, katma değeri yüksek, markalı ve nihai tüketiciye yönelik ürünlere yönlendirilmesi ve sınırlı kamu kaynaklarının etkin kullanılması ihtiyacı devam etmektedir. </w:t>
      </w:r>
    </w:p>
    <w:p w:rsidR="00565FD5" w:rsidRPr="001B45E1" w:rsidRDefault="00565FD5" w:rsidP="00565FD5">
      <w:pPr>
        <w:spacing w:before="120" w:after="240"/>
        <w:rPr>
          <w:rFonts w:cs="Tahoma"/>
          <w:b/>
          <w:szCs w:val="18"/>
        </w:rPr>
      </w:pPr>
      <w:r w:rsidRPr="001B45E1">
        <w:rPr>
          <w:rFonts w:cs="Tahoma"/>
          <w:szCs w:val="18"/>
        </w:rPr>
        <w:tab/>
        <w:t xml:space="preserve">AB’ye katılım süreci, piyasalarda rekabetin tesisi ve sektörde sürdürülebilirliğin sağlanması konuları göz önüne alındığında, tarım desteklerinin alan ve ürün temelinde farklılaştırılarak desteklerin idare ve kontrolünün alan bazlı yapılması, çeşitli kurumlar tarafından uygulanan farklı destek programları arasında tamamlayıcılığın sağlanması ve bütçenin programlanmasında işletmelerin gelir seviyesinin de dikkate alınması gereği ortaya çıkmaktadır. </w:t>
      </w:r>
    </w:p>
    <w:p w:rsidR="00565FD5" w:rsidRPr="0054588B" w:rsidRDefault="00565FD5" w:rsidP="00565FD5">
      <w:pPr>
        <w:pStyle w:val="ResimYazs"/>
      </w:pPr>
      <w:bookmarkStart w:id="1828" w:name="_Toc307601680"/>
      <w:bookmarkStart w:id="1829" w:name="_Toc307657903"/>
      <w:bookmarkStart w:id="1830" w:name="_Toc307713595"/>
      <w:bookmarkStart w:id="1831" w:name="_Toc338606024"/>
      <w:bookmarkStart w:id="1832" w:name="_Toc338711799"/>
      <w:r>
        <w:t xml:space="preserve">TABLO IV: </w:t>
      </w:r>
      <w:fldSimple w:instr=" SEQ TABLO_IV: \* ARABIC ">
        <w:r>
          <w:rPr>
            <w:noProof/>
          </w:rPr>
          <w:t>29</w:t>
        </w:r>
      </w:fldSimple>
      <w:r w:rsidRPr="0054588B">
        <w:t>- Alım Miktarları ve Üreticilere Yapılan Ödemeler</w:t>
      </w:r>
      <w:bookmarkEnd w:id="1825"/>
      <w:bookmarkEnd w:id="1826"/>
      <w:bookmarkEnd w:id="1827"/>
      <w:bookmarkEnd w:id="1828"/>
      <w:bookmarkEnd w:id="1829"/>
      <w:bookmarkEnd w:id="1830"/>
      <w:bookmarkEnd w:id="1831"/>
      <w:bookmarkEnd w:id="1832"/>
    </w:p>
    <w:tbl>
      <w:tblPr>
        <w:tblW w:w="4980" w:type="pct"/>
        <w:tblCellMar>
          <w:left w:w="0" w:type="dxa"/>
          <w:right w:w="0" w:type="dxa"/>
        </w:tblCellMar>
        <w:tblLook w:val="0000"/>
      </w:tblPr>
      <w:tblGrid>
        <w:gridCol w:w="2061"/>
        <w:gridCol w:w="704"/>
        <w:gridCol w:w="350"/>
        <w:gridCol w:w="352"/>
        <w:gridCol w:w="705"/>
        <w:gridCol w:w="365"/>
        <w:gridCol w:w="862"/>
        <w:gridCol w:w="862"/>
        <w:gridCol w:w="862"/>
      </w:tblGrid>
      <w:tr w:rsidR="00565FD5" w:rsidRPr="001B45E1" w:rsidTr="00AB62A3">
        <w:trPr>
          <w:trHeight w:val="254"/>
        </w:trPr>
        <w:tc>
          <w:tcPr>
            <w:tcW w:w="1447" w:type="pct"/>
            <w:tcBorders>
              <w:top w:val="single" w:sz="4" w:space="0" w:color="auto"/>
              <w:left w:val="single" w:sz="4" w:space="0" w:color="auto"/>
            </w:tcBorders>
          </w:tcPr>
          <w:p w:rsidR="00565FD5" w:rsidRPr="001B45E1" w:rsidRDefault="00565FD5" w:rsidP="00AB62A3">
            <w:pPr>
              <w:ind w:right="57" w:firstLine="90"/>
              <w:jc w:val="center"/>
              <w:rPr>
                <w:rFonts w:cs="Tahoma"/>
                <w:b/>
                <w:sz w:val="14"/>
                <w:szCs w:val="14"/>
              </w:rPr>
            </w:pPr>
          </w:p>
        </w:tc>
        <w:tc>
          <w:tcPr>
            <w:tcW w:w="1482" w:type="pct"/>
            <w:gridSpan w:val="4"/>
            <w:tcBorders>
              <w:top w:val="single" w:sz="4" w:space="0" w:color="auto"/>
            </w:tcBorders>
            <w:vAlign w:val="center"/>
          </w:tcPr>
          <w:p w:rsidR="00565FD5" w:rsidRPr="001B45E1" w:rsidRDefault="00565FD5" w:rsidP="00AB62A3">
            <w:pPr>
              <w:ind w:right="57"/>
              <w:jc w:val="center"/>
              <w:rPr>
                <w:rFonts w:cs="Tahoma"/>
                <w:b/>
                <w:snapToGrid w:val="0"/>
                <w:sz w:val="14"/>
                <w:szCs w:val="14"/>
              </w:rPr>
            </w:pPr>
            <w:r w:rsidRPr="001B45E1">
              <w:rPr>
                <w:rFonts w:cs="Tahoma"/>
                <w:b/>
                <w:snapToGrid w:val="0"/>
                <w:sz w:val="14"/>
                <w:szCs w:val="14"/>
              </w:rPr>
              <w:t>Alım Miktarı</w:t>
            </w:r>
          </w:p>
          <w:p w:rsidR="00565FD5" w:rsidRPr="001B45E1" w:rsidRDefault="00565FD5" w:rsidP="00AB62A3">
            <w:pPr>
              <w:ind w:right="57"/>
              <w:jc w:val="center"/>
              <w:rPr>
                <w:rFonts w:cs="Tahoma"/>
                <w:b/>
                <w:snapToGrid w:val="0"/>
                <w:sz w:val="14"/>
                <w:szCs w:val="14"/>
              </w:rPr>
            </w:pPr>
            <w:r w:rsidRPr="001B45E1">
              <w:rPr>
                <w:rFonts w:cs="Tahoma"/>
                <w:b/>
                <w:snapToGrid w:val="0"/>
                <w:sz w:val="14"/>
                <w:szCs w:val="14"/>
              </w:rPr>
              <w:t>(Bin Ton)</w:t>
            </w:r>
          </w:p>
        </w:tc>
        <w:tc>
          <w:tcPr>
            <w:tcW w:w="256" w:type="pct"/>
            <w:tcBorders>
              <w:top w:val="single" w:sz="4" w:space="0" w:color="auto"/>
            </w:tcBorders>
            <w:vAlign w:val="center"/>
          </w:tcPr>
          <w:p w:rsidR="00565FD5" w:rsidRPr="001B45E1" w:rsidRDefault="00565FD5" w:rsidP="00AB62A3">
            <w:pPr>
              <w:ind w:right="57"/>
              <w:jc w:val="center"/>
              <w:rPr>
                <w:rFonts w:cs="Tahoma"/>
                <w:b/>
                <w:snapToGrid w:val="0"/>
                <w:sz w:val="14"/>
                <w:szCs w:val="14"/>
              </w:rPr>
            </w:pPr>
          </w:p>
        </w:tc>
        <w:tc>
          <w:tcPr>
            <w:tcW w:w="1815" w:type="pct"/>
            <w:gridSpan w:val="3"/>
            <w:tcBorders>
              <w:top w:val="single" w:sz="4" w:space="0" w:color="auto"/>
              <w:right w:val="single" w:sz="4" w:space="0" w:color="auto"/>
            </w:tcBorders>
            <w:vAlign w:val="center"/>
          </w:tcPr>
          <w:p w:rsidR="00565FD5" w:rsidRPr="001B45E1" w:rsidRDefault="00565FD5" w:rsidP="00AB62A3">
            <w:pPr>
              <w:ind w:right="57"/>
              <w:jc w:val="center"/>
              <w:rPr>
                <w:rFonts w:cs="Tahoma"/>
                <w:b/>
                <w:snapToGrid w:val="0"/>
                <w:sz w:val="14"/>
                <w:szCs w:val="14"/>
              </w:rPr>
            </w:pPr>
            <w:r w:rsidRPr="001B45E1">
              <w:rPr>
                <w:rFonts w:cs="Tahoma"/>
                <w:b/>
                <w:snapToGrid w:val="0"/>
                <w:sz w:val="14"/>
                <w:szCs w:val="14"/>
              </w:rPr>
              <w:t>Üreticileri Yapılan Ödemeler</w:t>
            </w:r>
          </w:p>
          <w:p w:rsidR="00565FD5" w:rsidRPr="001B45E1" w:rsidRDefault="00565FD5" w:rsidP="00AB62A3">
            <w:pPr>
              <w:ind w:right="57"/>
              <w:jc w:val="center"/>
              <w:rPr>
                <w:rFonts w:cs="Tahoma"/>
                <w:b/>
                <w:snapToGrid w:val="0"/>
                <w:sz w:val="14"/>
                <w:szCs w:val="14"/>
              </w:rPr>
            </w:pPr>
            <w:r w:rsidRPr="001B45E1">
              <w:rPr>
                <w:rFonts w:cs="Tahoma"/>
                <w:b/>
                <w:snapToGrid w:val="0"/>
                <w:sz w:val="14"/>
                <w:szCs w:val="14"/>
              </w:rPr>
              <w:t>(Cari Fiyatlarla, Bin TL)</w:t>
            </w:r>
          </w:p>
        </w:tc>
      </w:tr>
      <w:tr w:rsidR="00565FD5" w:rsidRPr="001B45E1" w:rsidTr="00AB62A3">
        <w:trPr>
          <w:trHeight w:val="254"/>
        </w:trPr>
        <w:tc>
          <w:tcPr>
            <w:tcW w:w="1447" w:type="pct"/>
            <w:tcBorders>
              <w:left w:val="single" w:sz="4" w:space="0" w:color="auto"/>
              <w:bottom w:val="single" w:sz="4" w:space="0" w:color="auto"/>
            </w:tcBorders>
            <w:vAlign w:val="center"/>
          </w:tcPr>
          <w:p w:rsidR="00565FD5" w:rsidRPr="001B45E1" w:rsidRDefault="00565FD5" w:rsidP="00AB62A3">
            <w:pPr>
              <w:ind w:right="57" w:firstLine="90"/>
              <w:rPr>
                <w:rFonts w:cs="Tahoma"/>
                <w:b/>
                <w:snapToGrid w:val="0"/>
                <w:spacing w:val="-6"/>
                <w:sz w:val="14"/>
                <w:szCs w:val="14"/>
              </w:rPr>
            </w:pPr>
            <w:r w:rsidRPr="001B45E1">
              <w:rPr>
                <w:rFonts w:cs="Tahoma"/>
                <w:b/>
                <w:snapToGrid w:val="0"/>
                <w:spacing w:val="-6"/>
                <w:sz w:val="14"/>
                <w:szCs w:val="14"/>
              </w:rPr>
              <w:t xml:space="preserve"> Ürünler</w:t>
            </w:r>
          </w:p>
        </w:tc>
        <w:tc>
          <w:tcPr>
            <w:tcW w:w="494" w:type="pct"/>
            <w:tcBorders>
              <w:top w:val="single" w:sz="4" w:space="0" w:color="auto"/>
              <w:bottom w:val="single" w:sz="4" w:space="0" w:color="auto"/>
            </w:tcBorders>
            <w:vAlign w:val="center"/>
          </w:tcPr>
          <w:p w:rsidR="00565FD5" w:rsidRPr="001B45E1" w:rsidRDefault="00565FD5" w:rsidP="00AB62A3">
            <w:pPr>
              <w:ind w:right="57"/>
              <w:jc w:val="center"/>
              <w:rPr>
                <w:rFonts w:cs="Tahoma"/>
                <w:b/>
                <w:snapToGrid w:val="0"/>
                <w:sz w:val="14"/>
                <w:szCs w:val="14"/>
              </w:rPr>
            </w:pPr>
            <w:r w:rsidRPr="001B45E1">
              <w:rPr>
                <w:rFonts w:cs="Tahoma"/>
                <w:b/>
                <w:snapToGrid w:val="0"/>
                <w:sz w:val="14"/>
                <w:szCs w:val="14"/>
              </w:rPr>
              <w:t>2009</w:t>
            </w:r>
          </w:p>
        </w:tc>
        <w:tc>
          <w:tcPr>
            <w:tcW w:w="493" w:type="pct"/>
            <w:gridSpan w:val="2"/>
            <w:tcBorders>
              <w:top w:val="single" w:sz="4" w:space="0" w:color="auto"/>
              <w:bottom w:val="single" w:sz="4" w:space="0" w:color="auto"/>
            </w:tcBorders>
            <w:vAlign w:val="center"/>
          </w:tcPr>
          <w:p w:rsidR="00565FD5" w:rsidRPr="001B45E1" w:rsidRDefault="00565FD5" w:rsidP="00AB62A3">
            <w:pPr>
              <w:ind w:right="57"/>
              <w:jc w:val="center"/>
              <w:rPr>
                <w:rFonts w:cs="Tahoma"/>
                <w:b/>
                <w:snapToGrid w:val="0"/>
                <w:sz w:val="14"/>
                <w:szCs w:val="14"/>
              </w:rPr>
            </w:pPr>
            <w:r w:rsidRPr="001B45E1">
              <w:rPr>
                <w:rFonts w:cs="Tahoma"/>
                <w:b/>
                <w:snapToGrid w:val="0"/>
                <w:sz w:val="14"/>
                <w:szCs w:val="14"/>
              </w:rPr>
              <w:t>2010</w:t>
            </w:r>
          </w:p>
        </w:tc>
        <w:tc>
          <w:tcPr>
            <w:tcW w:w="494" w:type="pct"/>
            <w:tcBorders>
              <w:top w:val="single" w:sz="4" w:space="0" w:color="auto"/>
              <w:bottom w:val="single" w:sz="4" w:space="0" w:color="auto"/>
            </w:tcBorders>
            <w:vAlign w:val="center"/>
          </w:tcPr>
          <w:p w:rsidR="00565FD5" w:rsidRPr="001B45E1" w:rsidRDefault="00565FD5" w:rsidP="00AB62A3">
            <w:pPr>
              <w:ind w:right="57"/>
              <w:jc w:val="center"/>
              <w:rPr>
                <w:rFonts w:cs="Tahoma"/>
                <w:b/>
                <w:snapToGrid w:val="0"/>
                <w:sz w:val="14"/>
                <w:szCs w:val="14"/>
              </w:rPr>
            </w:pPr>
            <w:r w:rsidRPr="001B45E1">
              <w:rPr>
                <w:rFonts w:cs="Tahoma"/>
                <w:b/>
                <w:snapToGrid w:val="0"/>
                <w:sz w:val="14"/>
                <w:szCs w:val="14"/>
              </w:rPr>
              <w:t>2011</w:t>
            </w:r>
          </w:p>
        </w:tc>
        <w:tc>
          <w:tcPr>
            <w:tcW w:w="256" w:type="pct"/>
            <w:tcBorders>
              <w:top w:val="single" w:sz="4" w:space="0" w:color="auto"/>
              <w:bottom w:val="single" w:sz="4" w:space="0" w:color="auto"/>
            </w:tcBorders>
            <w:vAlign w:val="center"/>
          </w:tcPr>
          <w:p w:rsidR="00565FD5" w:rsidRPr="001B45E1" w:rsidRDefault="00565FD5" w:rsidP="00AB62A3">
            <w:pPr>
              <w:ind w:right="57"/>
              <w:jc w:val="center"/>
              <w:rPr>
                <w:rFonts w:cs="Tahoma"/>
                <w:b/>
                <w:snapToGrid w:val="0"/>
                <w:sz w:val="14"/>
                <w:szCs w:val="14"/>
              </w:rPr>
            </w:pPr>
          </w:p>
        </w:tc>
        <w:tc>
          <w:tcPr>
            <w:tcW w:w="605" w:type="pct"/>
            <w:tcBorders>
              <w:top w:val="single" w:sz="4" w:space="0" w:color="auto"/>
              <w:bottom w:val="single" w:sz="4" w:space="0" w:color="auto"/>
            </w:tcBorders>
            <w:vAlign w:val="center"/>
          </w:tcPr>
          <w:p w:rsidR="00565FD5" w:rsidRPr="001B45E1" w:rsidRDefault="00565FD5" w:rsidP="00AB62A3">
            <w:pPr>
              <w:ind w:right="57"/>
              <w:jc w:val="center"/>
              <w:rPr>
                <w:rFonts w:cs="Tahoma"/>
                <w:b/>
                <w:snapToGrid w:val="0"/>
                <w:sz w:val="14"/>
                <w:szCs w:val="14"/>
              </w:rPr>
            </w:pPr>
            <w:r w:rsidRPr="001B45E1">
              <w:rPr>
                <w:rFonts w:cs="Tahoma"/>
                <w:b/>
                <w:snapToGrid w:val="0"/>
                <w:sz w:val="14"/>
                <w:szCs w:val="14"/>
              </w:rPr>
              <w:t>2009</w:t>
            </w:r>
          </w:p>
        </w:tc>
        <w:tc>
          <w:tcPr>
            <w:tcW w:w="605" w:type="pct"/>
            <w:tcBorders>
              <w:top w:val="single" w:sz="4" w:space="0" w:color="auto"/>
              <w:bottom w:val="single" w:sz="4" w:space="0" w:color="auto"/>
            </w:tcBorders>
            <w:vAlign w:val="center"/>
          </w:tcPr>
          <w:p w:rsidR="00565FD5" w:rsidRPr="001B45E1" w:rsidRDefault="00565FD5" w:rsidP="00AB62A3">
            <w:pPr>
              <w:ind w:right="57"/>
              <w:jc w:val="center"/>
              <w:rPr>
                <w:rFonts w:cs="Tahoma"/>
                <w:b/>
                <w:snapToGrid w:val="0"/>
                <w:sz w:val="14"/>
                <w:szCs w:val="14"/>
              </w:rPr>
            </w:pPr>
            <w:r w:rsidRPr="001B45E1">
              <w:rPr>
                <w:rFonts w:cs="Tahoma"/>
                <w:b/>
                <w:snapToGrid w:val="0"/>
                <w:sz w:val="14"/>
                <w:szCs w:val="14"/>
              </w:rPr>
              <w:t>2010</w:t>
            </w:r>
          </w:p>
        </w:tc>
        <w:tc>
          <w:tcPr>
            <w:tcW w:w="605" w:type="pct"/>
            <w:tcBorders>
              <w:top w:val="single" w:sz="4" w:space="0" w:color="auto"/>
              <w:bottom w:val="single" w:sz="4" w:space="0" w:color="auto"/>
              <w:right w:val="single" w:sz="4" w:space="0" w:color="auto"/>
            </w:tcBorders>
            <w:vAlign w:val="center"/>
          </w:tcPr>
          <w:p w:rsidR="00565FD5" w:rsidRPr="001B45E1" w:rsidRDefault="00565FD5" w:rsidP="00AB62A3">
            <w:pPr>
              <w:ind w:right="57"/>
              <w:jc w:val="center"/>
              <w:rPr>
                <w:rFonts w:cs="Tahoma"/>
                <w:b/>
                <w:snapToGrid w:val="0"/>
                <w:sz w:val="14"/>
                <w:szCs w:val="14"/>
              </w:rPr>
            </w:pPr>
            <w:r w:rsidRPr="001B45E1">
              <w:rPr>
                <w:rFonts w:cs="Tahoma"/>
                <w:b/>
                <w:snapToGrid w:val="0"/>
                <w:sz w:val="14"/>
                <w:szCs w:val="14"/>
              </w:rPr>
              <w:t>2011</w:t>
            </w:r>
          </w:p>
        </w:tc>
      </w:tr>
      <w:tr w:rsidR="00565FD5" w:rsidRPr="001B45E1" w:rsidTr="00AB62A3">
        <w:trPr>
          <w:trHeight w:val="254"/>
        </w:trPr>
        <w:tc>
          <w:tcPr>
            <w:tcW w:w="1447" w:type="pct"/>
            <w:tcBorders>
              <w:top w:val="single" w:sz="4" w:space="0" w:color="auto"/>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t xml:space="preserve">  1. Buğday </w:t>
            </w:r>
          </w:p>
        </w:tc>
        <w:tc>
          <w:tcPr>
            <w:tcW w:w="494" w:type="pct"/>
            <w:tcBorders>
              <w:top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3 789</w:t>
            </w:r>
          </w:p>
        </w:tc>
        <w:tc>
          <w:tcPr>
            <w:tcW w:w="493" w:type="pct"/>
            <w:gridSpan w:val="2"/>
            <w:tcBorders>
              <w:top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980</w:t>
            </w:r>
          </w:p>
        </w:tc>
        <w:tc>
          <w:tcPr>
            <w:tcW w:w="494" w:type="pct"/>
            <w:tcBorders>
              <w:top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824</w:t>
            </w:r>
          </w:p>
        </w:tc>
        <w:tc>
          <w:tcPr>
            <w:tcW w:w="256" w:type="pct"/>
            <w:tcBorders>
              <w:top w:val="single" w:sz="4" w:space="0" w:color="auto"/>
            </w:tcBorders>
            <w:vAlign w:val="center"/>
          </w:tcPr>
          <w:p w:rsidR="00565FD5" w:rsidRPr="001B45E1" w:rsidRDefault="00565FD5" w:rsidP="00AB62A3">
            <w:pPr>
              <w:ind w:right="57"/>
              <w:jc w:val="right"/>
              <w:rPr>
                <w:rFonts w:cs="Tahoma"/>
                <w:sz w:val="14"/>
                <w:szCs w:val="14"/>
              </w:rPr>
            </w:pPr>
          </w:p>
        </w:tc>
        <w:tc>
          <w:tcPr>
            <w:tcW w:w="605" w:type="pct"/>
            <w:tcBorders>
              <w:top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1 739 494</w:t>
            </w:r>
          </w:p>
        </w:tc>
        <w:tc>
          <w:tcPr>
            <w:tcW w:w="605" w:type="pct"/>
            <w:tcBorders>
              <w:top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495 435</w:t>
            </w:r>
          </w:p>
        </w:tc>
        <w:tc>
          <w:tcPr>
            <w:tcW w:w="605" w:type="pct"/>
            <w:tcBorders>
              <w:top w:val="single" w:sz="4" w:space="0" w:color="auto"/>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456 655</w:t>
            </w:r>
          </w:p>
        </w:tc>
      </w:tr>
      <w:tr w:rsidR="00565FD5" w:rsidRPr="001B45E1" w:rsidTr="00AB62A3">
        <w:trPr>
          <w:trHeight w:val="254"/>
        </w:trPr>
        <w:tc>
          <w:tcPr>
            <w:tcW w:w="1447" w:type="pct"/>
            <w:tcBorders>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t xml:space="preserve">  2. Arpa </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1 293</w:t>
            </w:r>
          </w:p>
        </w:tc>
        <w:tc>
          <w:tcPr>
            <w:tcW w:w="493" w:type="pct"/>
            <w:gridSpan w:val="2"/>
            <w:vAlign w:val="center"/>
          </w:tcPr>
          <w:p w:rsidR="00565FD5" w:rsidRPr="001B45E1" w:rsidRDefault="00565FD5" w:rsidP="00AB62A3">
            <w:pPr>
              <w:ind w:right="57"/>
              <w:jc w:val="right"/>
              <w:rPr>
                <w:rFonts w:cs="Tahoma"/>
                <w:sz w:val="14"/>
                <w:szCs w:val="14"/>
              </w:rPr>
            </w:pPr>
            <w:r w:rsidRPr="001B45E1">
              <w:rPr>
                <w:rFonts w:cs="Tahoma"/>
                <w:sz w:val="14"/>
                <w:szCs w:val="14"/>
              </w:rPr>
              <w:t>917</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167</w:t>
            </w:r>
          </w:p>
        </w:tc>
        <w:tc>
          <w:tcPr>
            <w:tcW w:w="256" w:type="pct"/>
            <w:vAlign w:val="center"/>
          </w:tcPr>
          <w:p w:rsidR="00565FD5" w:rsidRPr="001B45E1" w:rsidRDefault="00565FD5" w:rsidP="00AB62A3">
            <w:pPr>
              <w:ind w:right="57"/>
              <w:jc w:val="right"/>
              <w:rPr>
                <w:rFonts w:cs="Tahoma"/>
                <w:sz w:val="14"/>
                <w:szCs w:val="14"/>
              </w:rPr>
            </w:pP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478 415</w:t>
            </w: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373 929</w:t>
            </w:r>
          </w:p>
        </w:tc>
        <w:tc>
          <w:tcPr>
            <w:tcW w:w="605" w:type="pct"/>
            <w:tcBorders>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75 263</w:t>
            </w:r>
          </w:p>
        </w:tc>
      </w:tr>
      <w:tr w:rsidR="00565FD5" w:rsidRPr="001B45E1" w:rsidTr="00AB62A3">
        <w:trPr>
          <w:trHeight w:val="254"/>
        </w:trPr>
        <w:tc>
          <w:tcPr>
            <w:tcW w:w="1447" w:type="pct"/>
            <w:tcBorders>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t xml:space="preserve">  3. Çavdar </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48</w:t>
            </w:r>
          </w:p>
        </w:tc>
        <w:tc>
          <w:tcPr>
            <w:tcW w:w="493" w:type="pct"/>
            <w:gridSpan w:val="2"/>
            <w:vAlign w:val="center"/>
          </w:tcPr>
          <w:p w:rsidR="00565FD5" w:rsidRPr="001B45E1" w:rsidRDefault="00565FD5" w:rsidP="00AB62A3">
            <w:pPr>
              <w:ind w:right="57"/>
              <w:jc w:val="right"/>
              <w:rPr>
                <w:rFonts w:cs="Tahoma"/>
                <w:sz w:val="14"/>
                <w:szCs w:val="14"/>
              </w:rPr>
            </w:pPr>
            <w:r w:rsidRPr="001B45E1">
              <w:rPr>
                <w:rFonts w:cs="Tahoma"/>
                <w:sz w:val="14"/>
                <w:szCs w:val="14"/>
              </w:rPr>
              <w:t>16</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2</w:t>
            </w:r>
          </w:p>
        </w:tc>
        <w:tc>
          <w:tcPr>
            <w:tcW w:w="256" w:type="pct"/>
            <w:vAlign w:val="center"/>
          </w:tcPr>
          <w:p w:rsidR="00565FD5" w:rsidRPr="001B45E1" w:rsidRDefault="00565FD5" w:rsidP="00AB62A3">
            <w:pPr>
              <w:ind w:right="57"/>
              <w:jc w:val="right"/>
              <w:rPr>
                <w:rFonts w:cs="Tahoma"/>
                <w:sz w:val="14"/>
                <w:szCs w:val="14"/>
              </w:rPr>
            </w:pP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17 381</w:t>
            </w: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6 257</w:t>
            </w:r>
          </w:p>
        </w:tc>
        <w:tc>
          <w:tcPr>
            <w:tcW w:w="605" w:type="pct"/>
            <w:tcBorders>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787</w:t>
            </w:r>
          </w:p>
        </w:tc>
      </w:tr>
      <w:tr w:rsidR="00565FD5" w:rsidRPr="001B45E1" w:rsidTr="00AB62A3">
        <w:trPr>
          <w:trHeight w:val="254"/>
        </w:trPr>
        <w:tc>
          <w:tcPr>
            <w:tcW w:w="1447" w:type="pct"/>
            <w:tcBorders>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t xml:space="preserve">  4. Mısır </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183</w:t>
            </w:r>
          </w:p>
        </w:tc>
        <w:tc>
          <w:tcPr>
            <w:tcW w:w="493" w:type="pct"/>
            <w:gridSpan w:val="2"/>
            <w:vAlign w:val="center"/>
          </w:tcPr>
          <w:p w:rsidR="00565FD5" w:rsidRPr="001B45E1" w:rsidRDefault="00565FD5" w:rsidP="00AB62A3">
            <w:pPr>
              <w:ind w:right="57"/>
              <w:jc w:val="right"/>
              <w:rPr>
                <w:rFonts w:cs="Tahoma"/>
                <w:sz w:val="14"/>
                <w:szCs w:val="14"/>
              </w:rPr>
            </w:pPr>
            <w:r w:rsidRPr="001B45E1">
              <w:rPr>
                <w:rFonts w:cs="Tahoma"/>
                <w:sz w:val="14"/>
                <w:szCs w:val="14"/>
              </w:rPr>
              <w:t>83</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48</w:t>
            </w:r>
          </w:p>
        </w:tc>
        <w:tc>
          <w:tcPr>
            <w:tcW w:w="256" w:type="pct"/>
            <w:vAlign w:val="center"/>
          </w:tcPr>
          <w:p w:rsidR="00565FD5" w:rsidRPr="001B45E1" w:rsidRDefault="00565FD5" w:rsidP="00AB62A3">
            <w:pPr>
              <w:ind w:right="57"/>
              <w:jc w:val="right"/>
              <w:rPr>
                <w:rFonts w:cs="Tahoma"/>
                <w:sz w:val="14"/>
                <w:szCs w:val="14"/>
              </w:rPr>
            </w:pP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79 909</w:t>
            </w: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40 522</w:t>
            </w:r>
          </w:p>
        </w:tc>
        <w:tc>
          <w:tcPr>
            <w:tcW w:w="605" w:type="pct"/>
            <w:tcBorders>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25 398</w:t>
            </w:r>
          </w:p>
        </w:tc>
      </w:tr>
      <w:tr w:rsidR="00565FD5" w:rsidRPr="001B45E1" w:rsidTr="00AB62A3">
        <w:trPr>
          <w:trHeight w:val="254"/>
        </w:trPr>
        <w:tc>
          <w:tcPr>
            <w:tcW w:w="1447" w:type="pct"/>
            <w:tcBorders>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t xml:space="preserve">  5. Yulaf </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4</w:t>
            </w:r>
          </w:p>
        </w:tc>
        <w:tc>
          <w:tcPr>
            <w:tcW w:w="493" w:type="pct"/>
            <w:gridSpan w:val="2"/>
            <w:vAlign w:val="center"/>
          </w:tcPr>
          <w:p w:rsidR="00565FD5" w:rsidRPr="001B45E1" w:rsidRDefault="00565FD5" w:rsidP="00AB62A3">
            <w:pPr>
              <w:ind w:right="57"/>
              <w:jc w:val="right"/>
              <w:rPr>
                <w:rFonts w:cs="Tahoma"/>
                <w:sz w:val="14"/>
                <w:szCs w:val="14"/>
              </w:rPr>
            </w:pPr>
            <w:r w:rsidRPr="001B45E1">
              <w:rPr>
                <w:rFonts w:cs="Tahoma"/>
                <w:sz w:val="14"/>
                <w:szCs w:val="14"/>
              </w:rPr>
              <w:t>0,4</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0</w:t>
            </w:r>
          </w:p>
        </w:tc>
        <w:tc>
          <w:tcPr>
            <w:tcW w:w="256" w:type="pct"/>
            <w:vAlign w:val="center"/>
          </w:tcPr>
          <w:p w:rsidR="00565FD5" w:rsidRPr="001B45E1" w:rsidRDefault="00565FD5" w:rsidP="00AB62A3">
            <w:pPr>
              <w:ind w:right="57"/>
              <w:jc w:val="right"/>
              <w:rPr>
                <w:rFonts w:cs="Tahoma"/>
                <w:sz w:val="14"/>
                <w:szCs w:val="14"/>
              </w:rPr>
            </w:pP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1 527</w:t>
            </w: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161</w:t>
            </w:r>
          </w:p>
        </w:tc>
        <w:tc>
          <w:tcPr>
            <w:tcW w:w="605" w:type="pct"/>
            <w:tcBorders>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w:t>
            </w:r>
          </w:p>
        </w:tc>
      </w:tr>
      <w:tr w:rsidR="00565FD5" w:rsidRPr="001B45E1" w:rsidTr="00AB62A3">
        <w:trPr>
          <w:trHeight w:val="254"/>
        </w:trPr>
        <w:tc>
          <w:tcPr>
            <w:tcW w:w="1447" w:type="pct"/>
            <w:tcBorders>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t xml:space="preserve">  6. Pamuk</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48</w:t>
            </w:r>
          </w:p>
        </w:tc>
        <w:tc>
          <w:tcPr>
            <w:tcW w:w="493" w:type="pct"/>
            <w:gridSpan w:val="2"/>
            <w:vAlign w:val="center"/>
          </w:tcPr>
          <w:p w:rsidR="00565FD5" w:rsidRPr="001B45E1" w:rsidRDefault="00565FD5" w:rsidP="00AB62A3">
            <w:pPr>
              <w:ind w:right="57"/>
              <w:jc w:val="right"/>
              <w:rPr>
                <w:rFonts w:cs="Tahoma"/>
                <w:sz w:val="14"/>
                <w:szCs w:val="14"/>
              </w:rPr>
            </w:pPr>
            <w:r w:rsidRPr="001B45E1">
              <w:rPr>
                <w:rFonts w:cs="Tahoma"/>
                <w:sz w:val="14"/>
                <w:szCs w:val="14"/>
              </w:rPr>
              <w:t>85,5</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72</w:t>
            </w:r>
          </w:p>
        </w:tc>
        <w:tc>
          <w:tcPr>
            <w:tcW w:w="256" w:type="pct"/>
            <w:vAlign w:val="center"/>
          </w:tcPr>
          <w:p w:rsidR="00565FD5" w:rsidRPr="001B45E1" w:rsidRDefault="00565FD5" w:rsidP="00AB62A3">
            <w:pPr>
              <w:ind w:right="57"/>
              <w:jc w:val="right"/>
              <w:rPr>
                <w:rFonts w:cs="Tahoma"/>
                <w:sz w:val="14"/>
                <w:szCs w:val="14"/>
              </w:rPr>
            </w:pP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52 975</w:t>
            </w: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171 944</w:t>
            </w:r>
          </w:p>
        </w:tc>
        <w:tc>
          <w:tcPr>
            <w:tcW w:w="605" w:type="pct"/>
            <w:tcBorders>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106 008</w:t>
            </w:r>
          </w:p>
        </w:tc>
      </w:tr>
      <w:tr w:rsidR="00565FD5" w:rsidRPr="001B45E1" w:rsidTr="00AB62A3">
        <w:trPr>
          <w:trHeight w:val="254"/>
        </w:trPr>
        <w:tc>
          <w:tcPr>
            <w:tcW w:w="1447" w:type="pct"/>
            <w:tcBorders>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t xml:space="preserve">  7. Şeker Pancarı  (1)</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9 522</w:t>
            </w:r>
          </w:p>
        </w:tc>
        <w:tc>
          <w:tcPr>
            <w:tcW w:w="493" w:type="pct"/>
            <w:gridSpan w:val="2"/>
            <w:vAlign w:val="center"/>
          </w:tcPr>
          <w:p w:rsidR="00565FD5" w:rsidRPr="001B45E1" w:rsidRDefault="00565FD5" w:rsidP="00AB62A3">
            <w:pPr>
              <w:ind w:right="57"/>
              <w:jc w:val="right"/>
              <w:rPr>
                <w:rFonts w:cs="Tahoma"/>
                <w:sz w:val="14"/>
                <w:szCs w:val="14"/>
              </w:rPr>
            </w:pPr>
            <w:r w:rsidRPr="001B45E1">
              <w:rPr>
                <w:rFonts w:cs="Tahoma"/>
                <w:sz w:val="14"/>
                <w:szCs w:val="14"/>
              </w:rPr>
              <w:t>10 132</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8 950</w:t>
            </w:r>
          </w:p>
        </w:tc>
        <w:tc>
          <w:tcPr>
            <w:tcW w:w="256" w:type="pct"/>
            <w:vAlign w:val="center"/>
          </w:tcPr>
          <w:p w:rsidR="00565FD5" w:rsidRPr="001B45E1" w:rsidRDefault="00565FD5" w:rsidP="00AB62A3">
            <w:pPr>
              <w:ind w:right="57"/>
              <w:jc w:val="right"/>
              <w:rPr>
                <w:rFonts w:cs="Tahoma"/>
                <w:sz w:val="14"/>
                <w:szCs w:val="14"/>
              </w:rPr>
            </w:pP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1 185 238</w:t>
            </w: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1 160 874</w:t>
            </w:r>
          </w:p>
        </w:tc>
        <w:tc>
          <w:tcPr>
            <w:tcW w:w="605" w:type="pct"/>
            <w:tcBorders>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1 170 694</w:t>
            </w:r>
          </w:p>
        </w:tc>
      </w:tr>
      <w:tr w:rsidR="00565FD5" w:rsidRPr="001B45E1" w:rsidTr="00AB62A3">
        <w:trPr>
          <w:trHeight w:val="254"/>
        </w:trPr>
        <w:tc>
          <w:tcPr>
            <w:tcW w:w="1447" w:type="pct"/>
            <w:tcBorders>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t xml:space="preserve">  8. Ayçiçeği</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380</w:t>
            </w:r>
          </w:p>
        </w:tc>
        <w:tc>
          <w:tcPr>
            <w:tcW w:w="493" w:type="pct"/>
            <w:gridSpan w:val="2"/>
            <w:vAlign w:val="center"/>
          </w:tcPr>
          <w:p w:rsidR="00565FD5" w:rsidRPr="001B45E1" w:rsidRDefault="00565FD5" w:rsidP="00AB62A3">
            <w:pPr>
              <w:ind w:right="57"/>
              <w:jc w:val="right"/>
              <w:rPr>
                <w:rFonts w:cs="Tahoma"/>
                <w:sz w:val="14"/>
                <w:szCs w:val="14"/>
              </w:rPr>
            </w:pPr>
            <w:r w:rsidRPr="001B45E1">
              <w:rPr>
                <w:rFonts w:cs="Tahoma"/>
                <w:sz w:val="14"/>
                <w:szCs w:val="14"/>
              </w:rPr>
              <w:t>350</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270</w:t>
            </w:r>
          </w:p>
        </w:tc>
        <w:tc>
          <w:tcPr>
            <w:tcW w:w="256" w:type="pct"/>
            <w:vAlign w:val="center"/>
          </w:tcPr>
          <w:p w:rsidR="00565FD5" w:rsidRPr="001B45E1" w:rsidRDefault="00565FD5" w:rsidP="00AB62A3">
            <w:pPr>
              <w:ind w:right="57"/>
              <w:jc w:val="right"/>
              <w:rPr>
                <w:rFonts w:cs="Tahoma"/>
                <w:sz w:val="14"/>
                <w:szCs w:val="14"/>
              </w:rPr>
            </w:pP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284 938</w:t>
            </w: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321 705</w:t>
            </w:r>
          </w:p>
        </w:tc>
        <w:tc>
          <w:tcPr>
            <w:tcW w:w="605" w:type="pct"/>
            <w:tcBorders>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319 656</w:t>
            </w:r>
          </w:p>
        </w:tc>
      </w:tr>
      <w:tr w:rsidR="00565FD5" w:rsidRPr="001B45E1" w:rsidTr="00AB62A3">
        <w:trPr>
          <w:trHeight w:val="254"/>
        </w:trPr>
        <w:tc>
          <w:tcPr>
            <w:tcW w:w="1447" w:type="pct"/>
            <w:tcBorders>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t xml:space="preserve">  9. Fındık </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0,7</w:t>
            </w:r>
          </w:p>
        </w:tc>
        <w:tc>
          <w:tcPr>
            <w:tcW w:w="493" w:type="pct"/>
            <w:gridSpan w:val="2"/>
            <w:vAlign w:val="center"/>
          </w:tcPr>
          <w:p w:rsidR="00565FD5" w:rsidRPr="001B45E1" w:rsidRDefault="00565FD5" w:rsidP="00AB62A3">
            <w:pPr>
              <w:ind w:right="57"/>
              <w:jc w:val="right"/>
              <w:rPr>
                <w:rFonts w:cs="Tahoma"/>
                <w:sz w:val="14"/>
                <w:szCs w:val="14"/>
              </w:rPr>
            </w:pPr>
            <w:r w:rsidRPr="001B45E1">
              <w:rPr>
                <w:rFonts w:cs="Tahoma"/>
                <w:sz w:val="14"/>
                <w:szCs w:val="14"/>
              </w:rPr>
              <w:t>0,04</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0,05</w:t>
            </w:r>
          </w:p>
        </w:tc>
        <w:tc>
          <w:tcPr>
            <w:tcW w:w="256" w:type="pct"/>
            <w:vAlign w:val="center"/>
          </w:tcPr>
          <w:p w:rsidR="00565FD5" w:rsidRPr="001B45E1" w:rsidRDefault="00565FD5" w:rsidP="00AB62A3">
            <w:pPr>
              <w:ind w:right="57"/>
              <w:jc w:val="right"/>
              <w:rPr>
                <w:rFonts w:cs="Tahoma"/>
                <w:sz w:val="14"/>
                <w:szCs w:val="14"/>
              </w:rPr>
            </w:pP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3 150</w:t>
            </w: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1 654</w:t>
            </w:r>
          </w:p>
        </w:tc>
        <w:tc>
          <w:tcPr>
            <w:tcW w:w="605" w:type="pct"/>
            <w:tcBorders>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278</w:t>
            </w:r>
          </w:p>
        </w:tc>
      </w:tr>
      <w:tr w:rsidR="00565FD5" w:rsidRPr="001B45E1" w:rsidTr="00AB62A3">
        <w:trPr>
          <w:trHeight w:val="254"/>
        </w:trPr>
        <w:tc>
          <w:tcPr>
            <w:tcW w:w="1447" w:type="pct"/>
            <w:tcBorders>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t>10. Kuru İncir</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4,1</w:t>
            </w:r>
          </w:p>
        </w:tc>
        <w:tc>
          <w:tcPr>
            <w:tcW w:w="493" w:type="pct"/>
            <w:gridSpan w:val="2"/>
            <w:vAlign w:val="center"/>
          </w:tcPr>
          <w:p w:rsidR="00565FD5" w:rsidRPr="001B45E1" w:rsidRDefault="00565FD5" w:rsidP="00AB62A3">
            <w:pPr>
              <w:ind w:right="57"/>
              <w:jc w:val="right"/>
              <w:rPr>
                <w:rFonts w:cs="Tahoma"/>
                <w:sz w:val="14"/>
                <w:szCs w:val="14"/>
              </w:rPr>
            </w:pPr>
            <w:r w:rsidRPr="001B45E1">
              <w:rPr>
                <w:rFonts w:cs="Tahoma"/>
                <w:sz w:val="14"/>
                <w:szCs w:val="14"/>
              </w:rPr>
              <w:t>3,7</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2,2</w:t>
            </w:r>
          </w:p>
        </w:tc>
        <w:tc>
          <w:tcPr>
            <w:tcW w:w="256" w:type="pct"/>
            <w:vAlign w:val="center"/>
          </w:tcPr>
          <w:p w:rsidR="00565FD5" w:rsidRPr="001B45E1" w:rsidRDefault="00565FD5" w:rsidP="00AB62A3">
            <w:pPr>
              <w:ind w:right="57"/>
              <w:jc w:val="right"/>
              <w:rPr>
                <w:rFonts w:cs="Tahoma"/>
                <w:sz w:val="14"/>
                <w:szCs w:val="14"/>
              </w:rPr>
            </w:pP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12 432</w:t>
            </w: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9 881</w:t>
            </w:r>
          </w:p>
        </w:tc>
        <w:tc>
          <w:tcPr>
            <w:tcW w:w="605" w:type="pct"/>
            <w:tcBorders>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6 858</w:t>
            </w:r>
          </w:p>
        </w:tc>
      </w:tr>
      <w:tr w:rsidR="00565FD5" w:rsidRPr="001B45E1" w:rsidTr="00AB62A3">
        <w:trPr>
          <w:trHeight w:val="254"/>
        </w:trPr>
        <w:tc>
          <w:tcPr>
            <w:tcW w:w="1447" w:type="pct"/>
            <w:tcBorders>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t xml:space="preserve">11. Çekirdeksiz Kr. Üzüm </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33,9</w:t>
            </w:r>
          </w:p>
        </w:tc>
        <w:tc>
          <w:tcPr>
            <w:tcW w:w="493" w:type="pct"/>
            <w:gridSpan w:val="2"/>
            <w:vAlign w:val="center"/>
          </w:tcPr>
          <w:p w:rsidR="00565FD5" w:rsidRPr="001B45E1" w:rsidRDefault="00565FD5" w:rsidP="00AB62A3">
            <w:pPr>
              <w:ind w:right="57"/>
              <w:jc w:val="right"/>
              <w:rPr>
                <w:rFonts w:cs="Tahoma"/>
                <w:sz w:val="14"/>
                <w:szCs w:val="14"/>
              </w:rPr>
            </w:pPr>
            <w:r w:rsidRPr="001B45E1">
              <w:rPr>
                <w:rFonts w:cs="Tahoma"/>
                <w:sz w:val="14"/>
                <w:szCs w:val="14"/>
              </w:rPr>
              <w:t>29,2</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21,2</w:t>
            </w:r>
          </w:p>
        </w:tc>
        <w:tc>
          <w:tcPr>
            <w:tcW w:w="256" w:type="pct"/>
            <w:vAlign w:val="center"/>
          </w:tcPr>
          <w:p w:rsidR="00565FD5" w:rsidRPr="001B45E1" w:rsidRDefault="00565FD5" w:rsidP="00AB62A3">
            <w:pPr>
              <w:ind w:right="57"/>
              <w:jc w:val="right"/>
              <w:rPr>
                <w:rFonts w:cs="Tahoma"/>
                <w:sz w:val="14"/>
                <w:szCs w:val="14"/>
              </w:rPr>
            </w:pP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95 615</w:t>
            </w: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89 768</w:t>
            </w:r>
          </w:p>
        </w:tc>
        <w:tc>
          <w:tcPr>
            <w:tcW w:w="605" w:type="pct"/>
            <w:tcBorders>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78 631</w:t>
            </w:r>
          </w:p>
        </w:tc>
      </w:tr>
      <w:tr w:rsidR="00565FD5" w:rsidRPr="001B45E1" w:rsidTr="00AB62A3">
        <w:trPr>
          <w:trHeight w:val="254"/>
        </w:trPr>
        <w:tc>
          <w:tcPr>
            <w:tcW w:w="1447" w:type="pct"/>
            <w:tcBorders>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t>12. Zeytinyağı</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8,0</w:t>
            </w:r>
          </w:p>
        </w:tc>
        <w:tc>
          <w:tcPr>
            <w:tcW w:w="493" w:type="pct"/>
            <w:gridSpan w:val="2"/>
            <w:vAlign w:val="center"/>
          </w:tcPr>
          <w:p w:rsidR="00565FD5" w:rsidRPr="001B45E1" w:rsidRDefault="00565FD5" w:rsidP="00AB62A3">
            <w:pPr>
              <w:ind w:right="57"/>
              <w:jc w:val="right"/>
              <w:rPr>
                <w:rFonts w:cs="Tahoma"/>
                <w:sz w:val="14"/>
                <w:szCs w:val="14"/>
              </w:rPr>
            </w:pPr>
            <w:r w:rsidRPr="001B45E1">
              <w:rPr>
                <w:rFonts w:cs="Tahoma"/>
                <w:sz w:val="14"/>
                <w:szCs w:val="14"/>
              </w:rPr>
              <w:t>6,1</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7,9</w:t>
            </w:r>
          </w:p>
        </w:tc>
        <w:tc>
          <w:tcPr>
            <w:tcW w:w="256" w:type="pct"/>
            <w:vAlign w:val="center"/>
          </w:tcPr>
          <w:p w:rsidR="00565FD5" w:rsidRPr="001B45E1" w:rsidRDefault="00565FD5" w:rsidP="00AB62A3">
            <w:pPr>
              <w:ind w:right="57"/>
              <w:jc w:val="right"/>
              <w:rPr>
                <w:rFonts w:cs="Tahoma"/>
                <w:sz w:val="14"/>
                <w:szCs w:val="14"/>
              </w:rPr>
            </w:pP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33 065</w:t>
            </w: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28 706</w:t>
            </w:r>
          </w:p>
        </w:tc>
        <w:tc>
          <w:tcPr>
            <w:tcW w:w="605" w:type="pct"/>
            <w:tcBorders>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41 852</w:t>
            </w:r>
          </w:p>
        </w:tc>
      </w:tr>
      <w:tr w:rsidR="00565FD5" w:rsidRPr="001B45E1" w:rsidTr="00AB62A3">
        <w:trPr>
          <w:trHeight w:val="254"/>
        </w:trPr>
        <w:tc>
          <w:tcPr>
            <w:tcW w:w="1447" w:type="pct"/>
            <w:tcBorders>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lastRenderedPageBreak/>
              <w:t>13. Tiftik</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0,14</w:t>
            </w:r>
          </w:p>
        </w:tc>
        <w:tc>
          <w:tcPr>
            <w:tcW w:w="493" w:type="pct"/>
            <w:gridSpan w:val="2"/>
            <w:vAlign w:val="center"/>
          </w:tcPr>
          <w:p w:rsidR="00565FD5" w:rsidRPr="001B45E1" w:rsidRDefault="00565FD5" w:rsidP="00AB62A3">
            <w:pPr>
              <w:ind w:right="57"/>
              <w:jc w:val="right"/>
              <w:rPr>
                <w:rFonts w:cs="Tahoma"/>
                <w:sz w:val="14"/>
                <w:szCs w:val="14"/>
              </w:rPr>
            </w:pPr>
            <w:r w:rsidRPr="001B45E1">
              <w:rPr>
                <w:rFonts w:cs="Tahoma"/>
                <w:sz w:val="14"/>
                <w:szCs w:val="14"/>
              </w:rPr>
              <w:t>0,14</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0,14</w:t>
            </w:r>
          </w:p>
        </w:tc>
        <w:tc>
          <w:tcPr>
            <w:tcW w:w="256" w:type="pct"/>
            <w:vAlign w:val="center"/>
          </w:tcPr>
          <w:p w:rsidR="00565FD5" w:rsidRPr="001B45E1" w:rsidRDefault="00565FD5" w:rsidP="00AB62A3">
            <w:pPr>
              <w:ind w:right="57"/>
              <w:jc w:val="right"/>
              <w:rPr>
                <w:rFonts w:cs="Tahoma"/>
                <w:sz w:val="14"/>
                <w:szCs w:val="14"/>
              </w:rPr>
            </w:pP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720</w:t>
            </w: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748</w:t>
            </w:r>
          </w:p>
        </w:tc>
        <w:tc>
          <w:tcPr>
            <w:tcW w:w="605" w:type="pct"/>
            <w:tcBorders>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748</w:t>
            </w:r>
          </w:p>
        </w:tc>
      </w:tr>
      <w:tr w:rsidR="00565FD5" w:rsidRPr="001B45E1" w:rsidTr="00AB62A3">
        <w:trPr>
          <w:trHeight w:val="254"/>
        </w:trPr>
        <w:tc>
          <w:tcPr>
            <w:tcW w:w="1447" w:type="pct"/>
            <w:tcBorders>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t>14. Antep Fıstığı (2)</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0,26</w:t>
            </w:r>
          </w:p>
        </w:tc>
        <w:tc>
          <w:tcPr>
            <w:tcW w:w="493" w:type="pct"/>
            <w:gridSpan w:val="2"/>
            <w:vAlign w:val="center"/>
          </w:tcPr>
          <w:p w:rsidR="00565FD5" w:rsidRPr="001B45E1" w:rsidRDefault="00565FD5" w:rsidP="00AB62A3">
            <w:pPr>
              <w:ind w:right="57"/>
              <w:jc w:val="right"/>
              <w:rPr>
                <w:rFonts w:cs="Tahoma"/>
                <w:sz w:val="14"/>
                <w:szCs w:val="14"/>
              </w:rPr>
            </w:pPr>
            <w:r w:rsidRPr="001B45E1">
              <w:rPr>
                <w:rFonts w:cs="Tahoma"/>
                <w:sz w:val="14"/>
                <w:szCs w:val="14"/>
              </w:rPr>
              <w:t>0,44</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0,25</w:t>
            </w:r>
          </w:p>
        </w:tc>
        <w:tc>
          <w:tcPr>
            <w:tcW w:w="256" w:type="pct"/>
            <w:vAlign w:val="center"/>
          </w:tcPr>
          <w:p w:rsidR="00565FD5" w:rsidRPr="001B45E1" w:rsidRDefault="00565FD5" w:rsidP="00AB62A3">
            <w:pPr>
              <w:ind w:right="57"/>
              <w:jc w:val="right"/>
              <w:rPr>
                <w:rFonts w:cs="Tahoma"/>
                <w:sz w:val="14"/>
                <w:szCs w:val="14"/>
              </w:rPr>
            </w:pP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1 738</w:t>
            </w: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1 923</w:t>
            </w:r>
          </w:p>
        </w:tc>
        <w:tc>
          <w:tcPr>
            <w:tcW w:w="605" w:type="pct"/>
            <w:tcBorders>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3 029</w:t>
            </w:r>
          </w:p>
        </w:tc>
      </w:tr>
      <w:tr w:rsidR="00565FD5" w:rsidRPr="001B45E1" w:rsidTr="00AB62A3">
        <w:trPr>
          <w:trHeight w:val="254"/>
        </w:trPr>
        <w:tc>
          <w:tcPr>
            <w:tcW w:w="1447" w:type="pct"/>
            <w:tcBorders>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t>15. Soya Fasulyesi</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4,4</w:t>
            </w:r>
          </w:p>
        </w:tc>
        <w:tc>
          <w:tcPr>
            <w:tcW w:w="493" w:type="pct"/>
            <w:gridSpan w:val="2"/>
            <w:vAlign w:val="center"/>
          </w:tcPr>
          <w:p w:rsidR="00565FD5" w:rsidRPr="001B45E1" w:rsidRDefault="00565FD5" w:rsidP="00AB62A3">
            <w:pPr>
              <w:ind w:right="57"/>
              <w:jc w:val="right"/>
              <w:rPr>
                <w:rFonts w:cs="Tahoma"/>
                <w:sz w:val="14"/>
                <w:szCs w:val="14"/>
              </w:rPr>
            </w:pPr>
            <w:r w:rsidRPr="001B45E1">
              <w:rPr>
                <w:rFonts w:cs="Tahoma"/>
                <w:sz w:val="14"/>
                <w:szCs w:val="14"/>
              </w:rPr>
              <w:t>0,8</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1,2</w:t>
            </w:r>
          </w:p>
        </w:tc>
        <w:tc>
          <w:tcPr>
            <w:tcW w:w="256" w:type="pct"/>
            <w:vAlign w:val="center"/>
          </w:tcPr>
          <w:p w:rsidR="00565FD5" w:rsidRPr="001B45E1" w:rsidRDefault="00565FD5" w:rsidP="00AB62A3">
            <w:pPr>
              <w:ind w:right="57"/>
              <w:jc w:val="right"/>
              <w:rPr>
                <w:rFonts w:cs="Tahoma"/>
                <w:sz w:val="14"/>
                <w:szCs w:val="14"/>
              </w:rPr>
            </w:pP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3 105</w:t>
            </w: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572</w:t>
            </w:r>
          </w:p>
        </w:tc>
        <w:tc>
          <w:tcPr>
            <w:tcW w:w="605" w:type="pct"/>
            <w:tcBorders>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1 038</w:t>
            </w:r>
          </w:p>
        </w:tc>
      </w:tr>
      <w:tr w:rsidR="00565FD5" w:rsidRPr="001B45E1" w:rsidTr="00AB62A3">
        <w:trPr>
          <w:trHeight w:val="254"/>
        </w:trPr>
        <w:tc>
          <w:tcPr>
            <w:tcW w:w="1447" w:type="pct"/>
            <w:tcBorders>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t xml:space="preserve">16. Haşhaş Kapsülü </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30,8</w:t>
            </w:r>
          </w:p>
        </w:tc>
        <w:tc>
          <w:tcPr>
            <w:tcW w:w="493" w:type="pct"/>
            <w:gridSpan w:val="2"/>
            <w:vAlign w:val="center"/>
          </w:tcPr>
          <w:p w:rsidR="00565FD5" w:rsidRPr="001B45E1" w:rsidRDefault="00565FD5" w:rsidP="00AB62A3">
            <w:pPr>
              <w:ind w:right="57"/>
              <w:jc w:val="right"/>
              <w:rPr>
                <w:rFonts w:cs="Tahoma"/>
                <w:sz w:val="14"/>
                <w:szCs w:val="14"/>
              </w:rPr>
            </w:pPr>
            <w:r w:rsidRPr="001B45E1">
              <w:rPr>
                <w:rFonts w:cs="Tahoma"/>
                <w:sz w:val="14"/>
                <w:szCs w:val="14"/>
              </w:rPr>
              <w:t>40,9</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41</w:t>
            </w:r>
          </w:p>
        </w:tc>
        <w:tc>
          <w:tcPr>
            <w:tcW w:w="256" w:type="pct"/>
            <w:vAlign w:val="center"/>
          </w:tcPr>
          <w:p w:rsidR="00565FD5" w:rsidRPr="001B45E1" w:rsidRDefault="00565FD5" w:rsidP="00AB62A3">
            <w:pPr>
              <w:ind w:right="57"/>
              <w:jc w:val="right"/>
              <w:rPr>
                <w:rFonts w:cs="Tahoma"/>
                <w:sz w:val="14"/>
                <w:szCs w:val="14"/>
              </w:rPr>
            </w:pP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75 031</w:t>
            </w: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108 264</w:t>
            </w:r>
          </w:p>
        </w:tc>
        <w:tc>
          <w:tcPr>
            <w:tcW w:w="605" w:type="pct"/>
            <w:tcBorders>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110 050</w:t>
            </w:r>
          </w:p>
        </w:tc>
      </w:tr>
      <w:tr w:rsidR="00565FD5" w:rsidRPr="001B45E1" w:rsidTr="00AB62A3">
        <w:trPr>
          <w:trHeight w:val="254"/>
        </w:trPr>
        <w:tc>
          <w:tcPr>
            <w:tcW w:w="1447" w:type="pct"/>
            <w:tcBorders>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t xml:space="preserve">17. Çeltik </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0</w:t>
            </w:r>
          </w:p>
        </w:tc>
        <w:tc>
          <w:tcPr>
            <w:tcW w:w="493" w:type="pct"/>
            <w:gridSpan w:val="2"/>
            <w:vAlign w:val="center"/>
          </w:tcPr>
          <w:p w:rsidR="00565FD5" w:rsidRPr="001B45E1" w:rsidRDefault="00565FD5" w:rsidP="00AB62A3">
            <w:pPr>
              <w:ind w:right="57"/>
              <w:jc w:val="right"/>
              <w:rPr>
                <w:rFonts w:cs="Tahoma"/>
                <w:sz w:val="14"/>
                <w:szCs w:val="14"/>
              </w:rPr>
            </w:pPr>
            <w:r w:rsidRPr="001B45E1">
              <w:rPr>
                <w:rFonts w:cs="Tahoma"/>
                <w:sz w:val="14"/>
                <w:szCs w:val="14"/>
              </w:rPr>
              <w:t>0</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13</w:t>
            </w:r>
          </w:p>
        </w:tc>
        <w:tc>
          <w:tcPr>
            <w:tcW w:w="256" w:type="pct"/>
            <w:vAlign w:val="center"/>
          </w:tcPr>
          <w:p w:rsidR="00565FD5" w:rsidRPr="001B45E1" w:rsidRDefault="00565FD5" w:rsidP="00AB62A3">
            <w:pPr>
              <w:ind w:right="57"/>
              <w:jc w:val="right"/>
              <w:rPr>
                <w:rFonts w:cs="Tahoma"/>
                <w:sz w:val="14"/>
                <w:szCs w:val="14"/>
              </w:rPr>
            </w:pP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0</w:t>
            </w: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0</w:t>
            </w:r>
          </w:p>
        </w:tc>
        <w:tc>
          <w:tcPr>
            <w:tcW w:w="605" w:type="pct"/>
            <w:tcBorders>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12 440</w:t>
            </w:r>
          </w:p>
        </w:tc>
      </w:tr>
      <w:tr w:rsidR="00565FD5" w:rsidRPr="001B45E1" w:rsidTr="00AB62A3">
        <w:trPr>
          <w:trHeight w:val="254"/>
        </w:trPr>
        <w:tc>
          <w:tcPr>
            <w:tcW w:w="1447" w:type="pct"/>
            <w:tcBorders>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t xml:space="preserve">18. Yaş Koza (3)  </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0,14</w:t>
            </w:r>
          </w:p>
        </w:tc>
        <w:tc>
          <w:tcPr>
            <w:tcW w:w="493" w:type="pct"/>
            <w:gridSpan w:val="2"/>
            <w:vAlign w:val="center"/>
          </w:tcPr>
          <w:p w:rsidR="00565FD5" w:rsidRPr="001B45E1" w:rsidRDefault="00565FD5" w:rsidP="00AB62A3">
            <w:pPr>
              <w:ind w:right="57"/>
              <w:jc w:val="right"/>
              <w:rPr>
                <w:rFonts w:cs="Tahoma"/>
                <w:sz w:val="14"/>
                <w:szCs w:val="14"/>
              </w:rPr>
            </w:pPr>
            <w:r w:rsidRPr="001B45E1">
              <w:rPr>
                <w:rFonts w:cs="Tahoma"/>
                <w:sz w:val="14"/>
                <w:szCs w:val="14"/>
              </w:rPr>
              <w:t>0,14</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0,15</w:t>
            </w:r>
          </w:p>
        </w:tc>
        <w:tc>
          <w:tcPr>
            <w:tcW w:w="256" w:type="pct"/>
            <w:vAlign w:val="center"/>
          </w:tcPr>
          <w:p w:rsidR="00565FD5" w:rsidRPr="001B45E1" w:rsidRDefault="00565FD5" w:rsidP="00AB62A3">
            <w:pPr>
              <w:ind w:right="57"/>
              <w:jc w:val="right"/>
              <w:rPr>
                <w:rFonts w:cs="Tahoma"/>
                <w:sz w:val="14"/>
                <w:szCs w:val="14"/>
              </w:rPr>
            </w:pP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556</w:t>
            </w: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489</w:t>
            </w:r>
          </w:p>
        </w:tc>
        <w:tc>
          <w:tcPr>
            <w:tcW w:w="605" w:type="pct"/>
            <w:tcBorders>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539</w:t>
            </w:r>
          </w:p>
        </w:tc>
      </w:tr>
      <w:tr w:rsidR="00565FD5" w:rsidRPr="001B45E1" w:rsidTr="00AB62A3">
        <w:trPr>
          <w:trHeight w:val="254"/>
        </w:trPr>
        <w:tc>
          <w:tcPr>
            <w:tcW w:w="1447" w:type="pct"/>
            <w:tcBorders>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t xml:space="preserve">19. Zeytin </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32,6</w:t>
            </w:r>
          </w:p>
        </w:tc>
        <w:tc>
          <w:tcPr>
            <w:tcW w:w="493" w:type="pct"/>
            <w:gridSpan w:val="2"/>
            <w:vAlign w:val="center"/>
          </w:tcPr>
          <w:p w:rsidR="00565FD5" w:rsidRPr="001B45E1" w:rsidRDefault="00565FD5" w:rsidP="00AB62A3">
            <w:pPr>
              <w:ind w:right="57"/>
              <w:jc w:val="right"/>
              <w:rPr>
                <w:rFonts w:cs="Tahoma"/>
                <w:sz w:val="14"/>
                <w:szCs w:val="14"/>
              </w:rPr>
            </w:pPr>
            <w:r w:rsidRPr="001B45E1">
              <w:rPr>
                <w:rFonts w:cs="Tahoma"/>
                <w:sz w:val="14"/>
                <w:szCs w:val="14"/>
              </w:rPr>
              <w:t>30,3</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46</w:t>
            </w:r>
          </w:p>
        </w:tc>
        <w:tc>
          <w:tcPr>
            <w:tcW w:w="256" w:type="pct"/>
            <w:vAlign w:val="center"/>
          </w:tcPr>
          <w:p w:rsidR="00565FD5" w:rsidRPr="001B45E1" w:rsidRDefault="00565FD5" w:rsidP="00AB62A3">
            <w:pPr>
              <w:ind w:right="57"/>
              <w:jc w:val="right"/>
              <w:rPr>
                <w:rFonts w:cs="Tahoma"/>
                <w:sz w:val="14"/>
                <w:szCs w:val="14"/>
              </w:rPr>
            </w:pP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85 286</w:t>
            </w: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106 412</w:t>
            </w:r>
          </w:p>
        </w:tc>
        <w:tc>
          <w:tcPr>
            <w:tcW w:w="605" w:type="pct"/>
            <w:tcBorders>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92 637</w:t>
            </w:r>
          </w:p>
        </w:tc>
      </w:tr>
      <w:tr w:rsidR="00565FD5" w:rsidRPr="001B45E1" w:rsidTr="00AB62A3">
        <w:trPr>
          <w:trHeight w:val="254"/>
        </w:trPr>
        <w:tc>
          <w:tcPr>
            <w:tcW w:w="1447" w:type="pct"/>
            <w:tcBorders>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t>20. Gülçiçeği</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1,93</w:t>
            </w:r>
          </w:p>
        </w:tc>
        <w:tc>
          <w:tcPr>
            <w:tcW w:w="493" w:type="pct"/>
            <w:gridSpan w:val="2"/>
            <w:vAlign w:val="center"/>
          </w:tcPr>
          <w:p w:rsidR="00565FD5" w:rsidRPr="001B45E1" w:rsidRDefault="00565FD5" w:rsidP="00AB62A3">
            <w:pPr>
              <w:ind w:right="57"/>
              <w:jc w:val="right"/>
              <w:rPr>
                <w:rFonts w:cs="Tahoma"/>
                <w:sz w:val="14"/>
                <w:szCs w:val="14"/>
              </w:rPr>
            </w:pPr>
            <w:r w:rsidRPr="001B45E1">
              <w:rPr>
                <w:rFonts w:cs="Tahoma"/>
                <w:sz w:val="14"/>
                <w:szCs w:val="14"/>
              </w:rPr>
              <w:t>1,11</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1,14</w:t>
            </w:r>
          </w:p>
        </w:tc>
        <w:tc>
          <w:tcPr>
            <w:tcW w:w="256" w:type="pct"/>
            <w:vAlign w:val="center"/>
          </w:tcPr>
          <w:p w:rsidR="00565FD5" w:rsidRPr="001B45E1" w:rsidRDefault="00565FD5" w:rsidP="00AB62A3">
            <w:pPr>
              <w:ind w:right="57"/>
              <w:jc w:val="right"/>
              <w:rPr>
                <w:rFonts w:cs="Tahoma"/>
                <w:sz w:val="14"/>
                <w:szCs w:val="14"/>
              </w:rPr>
            </w:pP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3 094</w:t>
            </w: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2 914</w:t>
            </w:r>
          </w:p>
        </w:tc>
        <w:tc>
          <w:tcPr>
            <w:tcW w:w="605" w:type="pct"/>
            <w:tcBorders>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2 575</w:t>
            </w:r>
          </w:p>
        </w:tc>
      </w:tr>
      <w:tr w:rsidR="00565FD5" w:rsidRPr="001B45E1" w:rsidTr="00AB62A3">
        <w:trPr>
          <w:trHeight w:val="254"/>
        </w:trPr>
        <w:tc>
          <w:tcPr>
            <w:tcW w:w="1447" w:type="pct"/>
            <w:tcBorders>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t>21. Kırmızı Mercimek</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0,07</w:t>
            </w:r>
          </w:p>
        </w:tc>
        <w:tc>
          <w:tcPr>
            <w:tcW w:w="493" w:type="pct"/>
            <w:gridSpan w:val="2"/>
            <w:vAlign w:val="center"/>
          </w:tcPr>
          <w:p w:rsidR="00565FD5" w:rsidRPr="001B45E1" w:rsidRDefault="00565FD5" w:rsidP="00AB62A3">
            <w:pPr>
              <w:ind w:right="57"/>
              <w:jc w:val="right"/>
              <w:rPr>
                <w:rFonts w:cs="Tahoma"/>
                <w:sz w:val="14"/>
                <w:szCs w:val="14"/>
              </w:rPr>
            </w:pPr>
            <w:r w:rsidRPr="001B45E1">
              <w:rPr>
                <w:rFonts w:cs="Tahoma"/>
                <w:sz w:val="14"/>
                <w:szCs w:val="14"/>
              </w:rPr>
              <w:t>0</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0,03</w:t>
            </w:r>
          </w:p>
        </w:tc>
        <w:tc>
          <w:tcPr>
            <w:tcW w:w="256" w:type="pct"/>
            <w:vAlign w:val="center"/>
          </w:tcPr>
          <w:p w:rsidR="00565FD5" w:rsidRPr="001B45E1" w:rsidRDefault="00565FD5" w:rsidP="00AB62A3">
            <w:pPr>
              <w:ind w:right="57"/>
              <w:jc w:val="right"/>
              <w:rPr>
                <w:rFonts w:cs="Tahoma"/>
                <w:sz w:val="14"/>
                <w:szCs w:val="14"/>
              </w:rPr>
            </w:pP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140</w:t>
            </w: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0</w:t>
            </w:r>
          </w:p>
        </w:tc>
        <w:tc>
          <w:tcPr>
            <w:tcW w:w="605" w:type="pct"/>
            <w:tcBorders>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36</w:t>
            </w:r>
          </w:p>
        </w:tc>
      </w:tr>
      <w:tr w:rsidR="00565FD5" w:rsidRPr="001B45E1" w:rsidTr="00AB62A3">
        <w:trPr>
          <w:trHeight w:val="254"/>
        </w:trPr>
        <w:tc>
          <w:tcPr>
            <w:tcW w:w="1447" w:type="pct"/>
            <w:tcBorders>
              <w:left w:val="single" w:sz="4" w:space="0" w:color="auto"/>
            </w:tcBorders>
            <w:vAlign w:val="center"/>
          </w:tcPr>
          <w:p w:rsidR="00565FD5" w:rsidRPr="001B45E1" w:rsidRDefault="00565FD5" w:rsidP="00AB62A3">
            <w:pPr>
              <w:ind w:right="57" w:firstLine="90"/>
              <w:rPr>
                <w:rFonts w:cs="Tahoma"/>
                <w:snapToGrid w:val="0"/>
                <w:spacing w:val="-6"/>
                <w:sz w:val="14"/>
                <w:szCs w:val="14"/>
              </w:rPr>
            </w:pPr>
            <w:r w:rsidRPr="001B45E1">
              <w:rPr>
                <w:rFonts w:cs="Tahoma"/>
                <w:snapToGrid w:val="0"/>
                <w:spacing w:val="-6"/>
                <w:sz w:val="14"/>
                <w:szCs w:val="14"/>
              </w:rPr>
              <w:t>22. Çay</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594</w:t>
            </w:r>
          </w:p>
        </w:tc>
        <w:tc>
          <w:tcPr>
            <w:tcW w:w="493" w:type="pct"/>
            <w:gridSpan w:val="2"/>
            <w:vAlign w:val="center"/>
          </w:tcPr>
          <w:p w:rsidR="00565FD5" w:rsidRPr="001B45E1" w:rsidRDefault="00565FD5" w:rsidP="00AB62A3">
            <w:pPr>
              <w:ind w:right="57"/>
              <w:jc w:val="right"/>
              <w:rPr>
                <w:rFonts w:cs="Tahoma"/>
                <w:sz w:val="14"/>
                <w:szCs w:val="14"/>
              </w:rPr>
            </w:pPr>
            <w:r w:rsidRPr="001B45E1">
              <w:rPr>
                <w:rFonts w:cs="Tahoma"/>
                <w:sz w:val="14"/>
                <w:szCs w:val="14"/>
              </w:rPr>
              <w:t>591</w:t>
            </w:r>
          </w:p>
        </w:tc>
        <w:tc>
          <w:tcPr>
            <w:tcW w:w="494" w:type="pct"/>
            <w:vAlign w:val="center"/>
          </w:tcPr>
          <w:p w:rsidR="00565FD5" w:rsidRPr="001B45E1" w:rsidRDefault="00565FD5" w:rsidP="00AB62A3">
            <w:pPr>
              <w:ind w:right="57"/>
              <w:jc w:val="right"/>
              <w:rPr>
                <w:rFonts w:cs="Tahoma"/>
                <w:sz w:val="14"/>
                <w:szCs w:val="14"/>
              </w:rPr>
            </w:pPr>
            <w:r w:rsidRPr="001B45E1">
              <w:rPr>
                <w:rFonts w:cs="Tahoma"/>
                <w:sz w:val="14"/>
                <w:szCs w:val="14"/>
              </w:rPr>
              <w:t>653</w:t>
            </w:r>
          </w:p>
        </w:tc>
        <w:tc>
          <w:tcPr>
            <w:tcW w:w="256" w:type="pct"/>
            <w:vAlign w:val="center"/>
          </w:tcPr>
          <w:p w:rsidR="00565FD5" w:rsidRPr="001B45E1" w:rsidRDefault="00565FD5" w:rsidP="00AB62A3">
            <w:pPr>
              <w:ind w:right="57"/>
              <w:jc w:val="right"/>
              <w:rPr>
                <w:rFonts w:cs="Tahoma"/>
                <w:sz w:val="14"/>
                <w:szCs w:val="14"/>
              </w:rPr>
            </w:pP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468 893</w:t>
            </w:r>
          </w:p>
        </w:tc>
        <w:tc>
          <w:tcPr>
            <w:tcW w:w="605" w:type="pct"/>
            <w:vAlign w:val="center"/>
          </w:tcPr>
          <w:p w:rsidR="00565FD5" w:rsidRPr="001B45E1" w:rsidRDefault="00565FD5" w:rsidP="00AB62A3">
            <w:pPr>
              <w:ind w:right="57"/>
              <w:jc w:val="right"/>
              <w:rPr>
                <w:rFonts w:cs="Tahoma"/>
                <w:sz w:val="14"/>
                <w:szCs w:val="14"/>
              </w:rPr>
            </w:pPr>
            <w:r w:rsidRPr="001B45E1">
              <w:rPr>
                <w:rFonts w:cs="Tahoma"/>
                <w:sz w:val="14"/>
                <w:szCs w:val="14"/>
              </w:rPr>
              <w:t>522 484</w:t>
            </w:r>
          </w:p>
        </w:tc>
        <w:tc>
          <w:tcPr>
            <w:tcW w:w="605" w:type="pct"/>
            <w:tcBorders>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622 016</w:t>
            </w:r>
          </w:p>
        </w:tc>
      </w:tr>
      <w:tr w:rsidR="00565FD5" w:rsidRPr="001B45E1" w:rsidTr="00AB62A3">
        <w:trPr>
          <w:trHeight w:val="254"/>
        </w:trPr>
        <w:tc>
          <w:tcPr>
            <w:tcW w:w="1447" w:type="pct"/>
            <w:tcBorders>
              <w:left w:val="single" w:sz="4" w:space="0" w:color="auto"/>
              <w:bottom w:val="single" w:sz="4" w:space="0" w:color="auto"/>
            </w:tcBorders>
            <w:vAlign w:val="center"/>
          </w:tcPr>
          <w:p w:rsidR="00565FD5" w:rsidRPr="001B45E1" w:rsidRDefault="00565FD5" w:rsidP="00AB62A3">
            <w:pPr>
              <w:ind w:right="57"/>
              <w:rPr>
                <w:rFonts w:cs="Tahoma"/>
                <w:b/>
                <w:sz w:val="14"/>
                <w:szCs w:val="14"/>
              </w:rPr>
            </w:pPr>
            <w:r w:rsidRPr="001B45E1">
              <w:rPr>
                <w:rFonts w:cs="Tahoma"/>
                <w:b/>
                <w:snapToGrid w:val="0"/>
                <w:spacing w:val="-6"/>
                <w:sz w:val="14"/>
                <w:szCs w:val="14"/>
              </w:rPr>
              <w:t>TOPLAM</w:t>
            </w:r>
          </w:p>
        </w:tc>
        <w:tc>
          <w:tcPr>
            <w:tcW w:w="740" w:type="pct"/>
            <w:gridSpan w:val="2"/>
            <w:tcBorders>
              <w:bottom w:val="single" w:sz="4" w:space="0" w:color="auto"/>
            </w:tcBorders>
            <w:vAlign w:val="center"/>
          </w:tcPr>
          <w:p w:rsidR="00565FD5" w:rsidRPr="001B45E1" w:rsidRDefault="00565FD5" w:rsidP="00AB62A3">
            <w:pPr>
              <w:ind w:right="57"/>
              <w:jc w:val="right"/>
              <w:rPr>
                <w:rFonts w:cs="Tahoma"/>
                <w:sz w:val="14"/>
                <w:szCs w:val="14"/>
              </w:rPr>
            </w:pPr>
          </w:p>
        </w:tc>
        <w:tc>
          <w:tcPr>
            <w:tcW w:w="742" w:type="pct"/>
            <w:gridSpan w:val="2"/>
            <w:tcBorders>
              <w:bottom w:val="single" w:sz="4" w:space="0" w:color="auto"/>
            </w:tcBorders>
            <w:vAlign w:val="center"/>
          </w:tcPr>
          <w:p w:rsidR="00565FD5" w:rsidRPr="001B45E1" w:rsidRDefault="00565FD5" w:rsidP="00AB62A3">
            <w:pPr>
              <w:ind w:right="57"/>
              <w:jc w:val="right"/>
              <w:rPr>
                <w:rFonts w:cs="Tahoma"/>
                <w:sz w:val="14"/>
                <w:szCs w:val="14"/>
              </w:rPr>
            </w:pPr>
          </w:p>
        </w:tc>
        <w:tc>
          <w:tcPr>
            <w:tcW w:w="256" w:type="pct"/>
            <w:tcBorders>
              <w:bottom w:val="single" w:sz="4" w:space="0" w:color="auto"/>
            </w:tcBorders>
            <w:vAlign w:val="center"/>
          </w:tcPr>
          <w:p w:rsidR="00565FD5" w:rsidRPr="001B45E1" w:rsidRDefault="00565FD5" w:rsidP="00AB62A3">
            <w:pPr>
              <w:ind w:right="57"/>
              <w:jc w:val="right"/>
              <w:rPr>
                <w:rFonts w:cs="Tahoma"/>
                <w:sz w:val="14"/>
                <w:szCs w:val="14"/>
              </w:rPr>
            </w:pPr>
          </w:p>
        </w:tc>
        <w:tc>
          <w:tcPr>
            <w:tcW w:w="605" w:type="pct"/>
            <w:tcBorders>
              <w:bottom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4 622 702</w:t>
            </w:r>
          </w:p>
        </w:tc>
        <w:tc>
          <w:tcPr>
            <w:tcW w:w="605" w:type="pct"/>
            <w:tcBorders>
              <w:bottom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3 444 642</w:t>
            </w:r>
          </w:p>
        </w:tc>
        <w:tc>
          <w:tcPr>
            <w:tcW w:w="605" w:type="pct"/>
            <w:tcBorders>
              <w:bottom w:val="single" w:sz="4" w:space="0" w:color="auto"/>
              <w:right w:val="single" w:sz="4" w:space="0" w:color="auto"/>
            </w:tcBorders>
            <w:vAlign w:val="center"/>
          </w:tcPr>
          <w:p w:rsidR="00565FD5" w:rsidRPr="001B45E1" w:rsidRDefault="00565FD5" w:rsidP="00AB62A3">
            <w:pPr>
              <w:ind w:right="57"/>
              <w:jc w:val="right"/>
              <w:rPr>
                <w:rFonts w:cs="Tahoma"/>
                <w:sz w:val="14"/>
                <w:szCs w:val="14"/>
              </w:rPr>
            </w:pPr>
            <w:r w:rsidRPr="001B45E1">
              <w:rPr>
                <w:rFonts w:cs="Tahoma"/>
                <w:sz w:val="14"/>
                <w:szCs w:val="14"/>
              </w:rPr>
              <w:t>3 127 188</w:t>
            </w:r>
          </w:p>
        </w:tc>
      </w:tr>
    </w:tbl>
    <w:p w:rsidR="00565FD5" w:rsidRDefault="00565FD5" w:rsidP="00565FD5">
      <w:pPr>
        <w:tabs>
          <w:tab w:val="left" w:pos="2582"/>
          <w:tab w:val="left" w:pos="3432"/>
          <w:tab w:val="left" w:pos="4283"/>
          <w:tab w:val="left" w:pos="5133"/>
          <w:tab w:val="left" w:pos="5984"/>
          <w:tab w:val="left" w:pos="6381"/>
          <w:tab w:val="left" w:pos="6804"/>
          <w:tab w:val="left" w:pos="7163"/>
          <w:tab w:val="left" w:pos="7945"/>
          <w:tab w:val="left" w:pos="8728"/>
        </w:tabs>
        <w:rPr>
          <w:rFonts w:cs="Tahoma"/>
          <w:sz w:val="12"/>
          <w:szCs w:val="12"/>
        </w:rPr>
      </w:pPr>
      <w:r w:rsidRPr="00334CB7">
        <w:rPr>
          <w:rFonts w:cs="Tahoma"/>
          <w:sz w:val="12"/>
          <w:szCs w:val="12"/>
        </w:rPr>
        <w:t>Kaynak: TMO, ÇAYKUR, TŞFAŞ, Gümrük ve Ticaret Bakanlığı</w:t>
      </w:r>
    </w:p>
    <w:p w:rsidR="00565FD5" w:rsidRPr="001B45E1" w:rsidRDefault="00565FD5" w:rsidP="00565FD5">
      <w:pPr>
        <w:tabs>
          <w:tab w:val="left" w:pos="2582"/>
          <w:tab w:val="left" w:pos="3432"/>
          <w:tab w:val="left" w:pos="4283"/>
          <w:tab w:val="left" w:pos="5133"/>
          <w:tab w:val="left" w:pos="5984"/>
          <w:tab w:val="left" w:pos="6381"/>
          <w:tab w:val="left" w:pos="6804"/>
          <w:tab w:val="left" w:pos="7163"/>
          <w:tab w:val="left" w:pos="7945"/>
          <w:tab w:val="left" w:pos="8728"/>
        </w:tabs>
        <w:rPr>
          <w:rFonts w:cs="Tahoma"/>
          <w:sz w:val="12"/>
          <w:szCs w:val="12"/>
        </w:rPr>
      </w:pPr>
      <w:r w:rsidRPr="001B45E1">
        <w:rPr>
          <w:rFonts w:cs="Tahoma"/>
          <w:sz w:val="12"/>
          <w:szCs w:val="12"/>
        </w:rPr>
        <w:t>(1) Alım bedelini göstermektedir. Bu tutarın yaklaşık yüzde 40'ı cari yılda, yüzde 60'ı bir sonraki yılda ödenmektedir.</w:t>
      </w:r>
    </w:p>
    <w:p w:rsidR="00565FD5" w:rsidRPr="001B45E1" w:rsidRDefault="00565FD5" w:rsidP="00565FD5">
      <w:pPr>
        <w:tabs>
          <w:tab w:val="left" w:pos="2582"/>
          <w:tab w:val="left" w:pos="3432"/>
          <w:tab w:val="left" w:pos="4283"/>
          <w:tab w:val="left" w:pos="5133"/>
          <w:tab w:val="left" w:pos="5984"/>
          <w:tab w:val="left" w:pos="6381"/>
          <w:tab w:val="left" w:pos="6804"/>
          <w:tab w:val="left" w:pos="7163"/>
          <w:tab w:val="left" w:pos="7945"/>
          <w:tab w:val="left" w:pos="8728"/>
        </w:tabs>
        <w:rPr>
          <w:rFonts w:cs="Tahoma"/>
          <w:sz w:val="12"/>
          <w:szCs w:val="12"/>
        </w:rPr>
      </w:pPr>
      <w:r w:rsidRPr="001B45E1">
        <w:rPr>
          <w:rFonts w:cs="Tahoma"/>
          <w:sz w:val="12"/>
          <w:szCs w:val="12"/>
        </w:rPr>
        <w:t>(2) Taze kırmızı kabuklu Antep fıstığı (yaş ben fıstığı) alım miktarı yüzde 75 randıman oranıyla kırmızı kabuklu yaş Antep fıstığı alım miktarı rakamlarına dahil edilmiştir.</w:t>
      </w:r>
    </w:p>
    <w:p w:rsidR="00565FD5" w:rsidRPr="001B45E1" w:rsidRDefault="00565FD5" w:rsidP="00565FD5">
      <w:pPr>
        <w:tabs>
          <w:tab w:val="left" w:pos="2582"/>
          <w:tab w:val="left" w:pos="3432"/>
          <w:tab w:val="left" w:pos="4283"/>
          <w:tab w:val="left" w:pos="5133"/>
          <w:tab w:val="left" w:pos="5984"/>
          <w:tab w:val="left" w:pos="6381"/>
          <w:tab w:val="left" w:pos="6804"/>
          <w:tab w:val="left" w:pos="7163"/>
          <w:tab w:val="left" w:pos="7945"/>
          <w:tab w:val="left" w:pos="8728"/>
        </w:tabs>
        <w:spacing w:after="240"/>
        <w:rPr>
          <w:rFonts w:cs="Tahoma"/>
          <w:sz w:val="12"/>
          <w:szCs w:val="12"/>
        </w:rPr>
      </w:pPr>
      <w:r w:rsidRPr="001B45E1">
        <w:rPr>
          <w:rFonts w:cs="Tahoma"/>
          <w:sz w:val="12"/>
          <w:szCs w:val="12"/>
        </w:rPr>
        <w:t>(3) Yaş koza alım miktarı rakamlarında güncelleme yapılmış olup, sadece 1. sınıf yaş koza alım miktarı verileri sunulmuştur.</w:t>
      </w:r>
    </w:p>
    <w:p w:rsidR="00565FD5" w:rsidRPr="001B45E1" w:rsidRDefault="00565FD5" w:rsidP="00565FD5">
      <w:pPr>
        <w:spacing w:before="120" w:after="240"/>
        <w:rPr>
          <w:rFonts w:cs="Tahoma"/>
          <w:szCs w:val="18"/>
        </w:rPr>
      </w:pPr>
      <w:bookmarkStart w:id="1833" w:name="_Toc212876537"/>
      <w:bookmarkStart w:id="1834" w:name="_Toc212712798"/>
      <w:r w:rsidRPr="001B45E1">
        <w:rPr>
          <w:rFonts w:cs="Tahoma"/>
          <w:szCs w:val="18"/>
        </w:rPr>
        <w:tab/>
        <w:t>Tarım Satış Kooperatifleri Birlikleri ve ilgili KİT’lerin faaliyetlerine konu tarımsal ürünlerin alım fiyatlarında, 2010 yılında ortalama yüzde 7,6 ve 2011 yılında ise ortalama yüzde 9,4 oranında artış kaydedilmiştir.</w:t>
      </w:r>
    </w:p>
    <w:bookmarkEnd w:id="1833"/>
    <w:bookmarkEnd w:id="1834"/>
    <w:p w:rsidR="00565FD5" w:rsidRPr="001B45E1" w:rsidRDefault="00565FD5" w:rsidP="00565FD5">
      <w:pPr>
        <w:spacing w:after="180"/>
        <w:rPr>
          <w:b/>
          <w:szCs w:val="18"/>
        </w:rPr>
      </w:pPr>
      <w:r w:rsidRPr="001B45E1">
        <w:rPr>
          <w:b/>
          <w:szCs w:val="18"/>
        </w:rPr>
        <w:tab/>
        <w:t xml:space="preserve">Gıda </w:t>
      </w:r>
    </w:p>
    <w:p w:rsidR="00565FD5" w:rsidRPr="001B45E1" w:rsidRDefault="00565FD5" w:rsidP="00565FD5">
      <w:pPr>
        <w:spacing w:after="180"/>
        <w:rPr>
          <w:rFonts w:cs="Tahoma"/>
          <w:szCs w:val="18"/>
        </w:rPr>
      </w:pPr>
      <w:bookmarkStart w:id="1835" w:name="_Toc276059442"/>
      <w:bookmarkStart w:id="1836" w:name="_Toc275873959"/>
      <w:bookmarkStart w:id="1837" w:name="_Toc244255275"/>
      <w:r w:rsidRPr="001B45E1">
        <w:rPr>
          <w:rFonts w:cs="Tahoma"/>
          <w:szCs w:val="18"/>
        </w:rPr>
        <w:tab/>
        <w:t xml:space="preserve">5996 sayılı Veteriner Hizmetleri, Bitki Sağlığı, Gıda ve Yem Kanunu kapsamında önemli sayıda ikincil düzenleme yürürlüğe girmiş, Gıda, Tarım ve Hayvancılık Bakanlığının gıda güvenilirliğine ilişkin işlevlerini yerine getirecek olan birimlerin yeniden yapılandırılması ve görev dağılımı tamamlanmıştır. </w:t>
      </w:r>
    </w:p>
    <w:p w:rsidR="00565FD5" w:rsidRPr="001B45E1" w:rsidRDefault="00565FD5" w:rsidP="00565FD5">
      <w:pPr>
        <w:spacing w:after="180"/>
        <w:rPr>
          <w:rFonts w:cs="Tahoma"/>
          <w:szCs w:val="18"/>
        </w:rPr>
      </w:pPr>
      <w:bookmarkStart w:id="1838" w:name="_Toc244339622"/>
      <w:bookmarkStart w:id="1839" w:name="_Toc244315159"/>
      <w:bookmarkStart w:id="1840" w:name="_Toc244313683"/>
      <w:bookmarkStart w:id="1841" w:name="_Toc244254948"/>
      <w:bookmarkStart w:id="1842" w:name="_Toc244253698"/>
      <w:bookmarkStart w:id="1843" w:name="_Toc212889611"/>
      <w:bookmarkEnd w:id="1835"/>
      <w:bookmarkEnd w:id="1836"/>
      <w:bookmarkEnd w:id="1837"/>
      <w:r w:rsidRPr="001B45E1">
        <w:rPr>
          <w:rFonts w:cs="Tahoma"/>
          <w:szCs w:val="18"/>
        </w:rPr>
        <w:tab/>
        <w:t xml:space="preserve">AB’ye katılım sürecinde 2010 yılında açılan Gıda Güvenliği, Veterinerlik ve Bitki Sağlığı Faslının kapanış kriterlerine uygun olarak hayvansal ürün işleme tesislerinin hijyenik koşullarının AB standartlarına uyumu için bir ulusal program hazırlanması, programın desteklenmesi ve izlenmesi ile tüm resmi kontrollerde AB’ye uyumlu bir sistemin uygulanması gerekli görülmektedir. Bu bağlamda, Gıda, Tarım ve Hayvancılık Bakanlığı tarafından yürürlüğe konulan mevzuatla </w:t>
      </w:r>
      <w:r w:rsidRPr="001B45E1">
        <w:rPr>
          <w:rFonts w:cs="Tahoma"/>
          <w:szCs w:val="18"/>
        </w:rPr>
        <w:lastRenderedPageBreak/>
        <w:t xml:space="preserve">birlikte hayvansal ürün işleme tesislerinin hijyenik koşullarının </w:t>
      </w:r>
      <w:r w:rsidRPr="001B45E1">
        <w:rPr>
          <w:szCs w:val="18"/>
        </w:rPr>
        <w:t xml:space="preserve">31/12/2012 tarihine kadar ilgili </w:t>
      </w:r>
      <w:r w:rsidRPr="001B45E1">
        <w:rPr>
          <w:rFonts w:cs="Tahoma"/>
          <w:szCs w:val="18"/>
        </w:rPr>
        <w:t>mevzuatta belirtilen hükümlere uygun hale getirilerek onay belgesi almaları, bu tarihe kadar uyum sağlayamayacak işletmelerin ise modernizasyon planlarını Bakanlığa sunmaları zorunlu tutulmuştur. Söz konusu planın Bakanlığa sunulması halinde uyum süre</w:t>
      </w:r>
      <w:r>
        <w:rPr>
          <w:rFonts w:cs="Tahoma"/>
          <w:szCs w:val="18"/>
        </w:rPr>
        <w:t>si</w:t>
      </w:r>
      <w:r w:rsidRPr="001B45E1">
        <w:rPr>
          <w:rFonts w:cs="Tahoma"/>
          <w:szCs w:val="18"/>
        </w:rPr>
        <w:t>nin 31/12/2013 tarihine kadar uzatılabileceği belirtilmiştir. Diğer</w:t>
      </w:r>
      <w:r w:rsidRPr="001B45E1">
        <w:rPr>
          <w:szCs w:val="18"/>
        </w:rPr>
        <w:t xml:space="preserve"> gıda işletmelerinde de 31/12/2013 tarihine kadar mevzuatta belirtilen hijyen şartlarının sağlanması ve kayıt belgesi alınması gerekmektedir.</w:t>
      </w:r>
      <w:r w:rsidRPr="001B45E1">
        <w:rPr>
          <w:rFonts w:cs="Tahoma"/>
          <w:szCs w:val="18"/>
        </w:rPr>
        <w:t xml:space="preserve"> İşletmelerin modernizasyon gereksinimlerinin belirli programlar çerçevesinde karşılanmasını teminen sektöre yönelik çeşitli mali kaynakların kullandırılması konusunda politika belirlenmesi öncelikli görülmektedir.</w:t>
      </w:r>
    </w:p>
    <w:p w:rsidR="00565FD5" w:rsidRPr="0054588B" w:rsidRDefault="00565FD5" w:rsidP="00565FD5">
      <w:pPr>
        <w:pStyle w:val="ResimYazs"/>
        <w:rPr>
          <w:rFonts w:eastAsia="Arial Unicode MS" w:cs="Tahoma"/>
          <w:szCs w:val="16"/>
        </w:rPr>
      </w:pPr>
      <w:bookmarkStart w:id="1844" w:name="_Toc307601681"/>
      <w:bookmarkStart w:id="1845" w:name="_Toc307657904"/>
      <w:bookmarkStart w:id="1846" w:name="_Toc307713596"/>
      <w:bookmarkStart w:id="1847" w:name="_Toc338606025"/>
      <w:bookmarkStart w:id="1848" w:name="_Toc338711800"/>
      <w:r>
        <w:t xml:space="preserve">TABLO IV: </w:t>
      </w:r>
      <w:fldSimple w:instr=" SEQ TABLO_IV: \* ARABIC ">
        <w:r>
          <w:rPr>
            <w:noProof/>
          </w:rPr>
          <w:t>30</w:t>
        </w:r>
      </w:fldSimple>
      <w:r w:rsidRPr="0054588B">
        <w:rPr>
          <w:rFonts w:eastAsia="Arial Unicode MS" w:cs="Tahoma"/>
          <w:szCs w:val="16"/>
        </w:rPr>
        <w:t>- Tarım Sektöründe Seçilmiş Göstergeler</w:t>
      </w:r>
      <w:bookmarkEnd w:id="1844"/>
      <w:bookmarkEnd w:id="1845"/>
      <w:bookmarkEnd w:id="1846"/>
      <w:bookmarkEnd w:id="1847"/>
      <w:bookmarkEnd w:id="1848"/>
    </w:p>
    <w:tbl>
      <w:tblPr>
        <w:tblW w:w="7141" w:type="dxa"/>
        <w:tblInd w:w="108" w:type="dxa"/>
        <w:tblBorders>
          <w:top w:val="single" w:sz="4" w:space="0" w:color="auto"/>
          <w:left w:val="single" w:sz="4" w:space="0" w:color="auto"/>
          <w:bottom w:val="single" w:sz="4" w:space="0" w:color="auto"/>
          <w:right w:val="single" w:sz="4" w:space="0" w:color="auto"/>
        </w:tblBorders>
        <w:tblLook w:val="00A0"/>
      </w:tblPr>
      <w:tblGrid>
        <w:gridCol w:w="2645"/>
        <w:gridCol w:w="698"/>
        <w:gridCol w:w="698"/>
        <w:gridCol w:w="748"/>
        <w:gridCol w:w="830"/>
        <w:gridCol w:w="816"/>
        <w:gridCol w:w="706"/>
      </w:tblGrid>
      <w:tr w:rsidR="00565FD5" w:rsidRPr="001B45E1" w:rsidTr="00AB62A3">
        <w:trPr>
          <w:trHeight w:val="240"/>
        </w:trPr>
        <w:tc>
          <w:tcPr>
            <w:tcW w:w="1852" w:type="pct"/>
            <w:tcBorders>
              <w:top w:val="single" w:sz="4" w:space="0" w:color="auto"/>
            </w:tcBorders>
          </w:tcPr>
          <w:p w:rsidR="00565FD5" w:rsidRPr="001B45E1" w:rsidRDefault="00565FD5" w:rsidP="00AB62A3">
            <w:pPr>
              <w:rPr>
                <w:rFonts w:cs="Tahoma"/>
                <w:sz w:val="14"/>
                <w:szCs w:val="14"/>
              </w:rPr>
            </w:pPr>
          </w:p>
        </w:tc>
        <w:tc>
          <w:tcPr>
            <w:tcW w:w="489" w:type="pct"/>
            <w:tcBorders>
              <w:top w:val="single" w:sz="4" w:space="0" w:color="auto"/>
              <w:bottom w:val="single" w:sz="4" w:space="0" w:color="auto"/>
            </w:tcBorders>
            <w:vAlign w:val="center"/>
          </w:tcPr>
          <w:p w:rsidR="00565FD5" w:rsidRPr="001B45E1" w:rsidRDefault="00565FD5" w:rsidP="00AB62A3">
            <w:pPr>
              <w:jc w:val="center"/>
              <w:rPr>
                <w:rFonts w:cs="Tahoma"/>
                <w:b/>
                <w:bCs/>
                <w:sz w:val="14"/>
                <w:szCs w:val="14"/>
              </w:rPr>
            </w:pPr>
            <w:r w:rsidRPr="001B45E1">
              <w:rPr>
                <w:rFonts w:cs="Tahoma"/>
                <w:b/>
                <w:bCs/>
                <w:sz w:val="14"/>
                <w:szCs w:val="14"/>
              </w:rPr>
              <w:t>2009</w:t>
            </w:r>
          </w:p>
        </w:tc>
        <w:tc>
          <w:tcPr>
            <w:tcW w:w="489" w:type="pct"/>
            <w:tcBorders>
              <w:top w:val="single" w:sz="4" w:space="0" w:color="auto"/>
              <w:bottom w:val="single" w:sz="4" w:space="0" w:color="auto"/>
            </w:tcBorders>
            <w:vAlign w:val="center"/>
          </w:tcPr>
          <w:p w:rsidR="00565FD5" w:rsidRPr="001B45E1" w:rsidRDefault="00565FD5" w:rsidP="00AB62A3">
            <w:pPr>
              <w:jc w:val="center"/>
              <w:rPr>
                <w:rFonts w:cs="Tahoma"/>
                <w:b/>
                <w:bCs/>
                <w:sz w:val="14"/>
                <w:szCs w:val="14"/>
              </w:rPr>
            </w:pPr>
            <w:r w:rsidRPr="001B45E1">
              <w:rPr>
                <w:rFonts w:cs="Tahoma"/>
                <w:b/>
                <w:bCs/>
                <w:sz w:val="14"/>
                <w:szCs w:val="14"/>
              </w:rPr>
              <w:t>2010</w:t>
            </w:r>
          </w:p>
        </w:tc>
        <w:tc>
          <w:tcPr>
            <w:tcW w:w="524" w:type="pct"/>
            <w:tcBorders>
              <w:top w:val="single" w:sz="4" w:space="0" w:color="auto"/>
              <w:bottom w:val="single" w:sz="4" w:space="0" w:color="auto"/>
            </w:tcBorders>
            <w:vAlign w:val="center"/>
          </w:tcPr>
          <w:p w:rsidR="00565FD5" w:rsidRPr="001B45E1" w:rsidRDefault="00565FD5" w:rsidP="00AB62A3">
            <w:pPr>
              <w:jc w:val="center"/>
              <w:rPr>
                <w:rFonts w:cs="Tahoma"/>
                <w:b/>
                <w:bCs/>
                <w:sz w:val="14"/>
                <w:szCs w:val="14"/>
              </w:rPr>
            </w:pPr>
            <w:r w:rsidRPr="001B45E1">
              <w:rPr>
                <w:rFonts w:cs="Tahoma"/>
                <w:b/>
                <w:bCs/>
                <w:sz w:val="14"/>
                <w:szCs w:val="14"/>
              </w:rPr>
              <w:t>2011</w:t>
            </w:r>
          </w:p>
        </w:tc>
        <w:tc>
          <w:tcPr>
            <w:tcW w:w="581" w:type="pct"/>
            <w:tcBorders>
              <w:top w:val="single" w:sz="4" w:space="0" w:color="auto"/>
              <w:bottom w:val="single" w:sz="4" w:space="0" w:color="auto"/>
            </w:tcBorders>
            <w:vAlign w:val="center"/>
          </w:tcPr>
          <w:p w:rsidR="00565FD5" w:rsidRPr="001B45E1" w:rsidRDefault="00565FD5" w:rsidP="00AB62A3">
            <w:pPr>
              <w:jc w:val="center"/>
              <w:rPr>
                <w:rFonts w:cs="Tahoma"/>
                <w:b/>
                <w:bCs/>
                <w:sz w:val="14"/>
                <w:szCs w:val="14"/>
              </w:rPr>
            </w:pPr>
            <w:r w:rsidRPr="001B45E1">
              <w:rPr>
                <w:rFonts w:cs="Tahoma"/>
                <w:b/>
                <w:bCs/>
                <w:sz w:val="14"/>
                <w:szCs w:val="14"/>
              </w:rPr>
              <w:t>2012(1)</w:t>
            </w:r>
          </w:p>
        </w:tc>
        <w:tc>
          <w:tcPr>
            <w:tcW w:w="571" w:type="pct"/>
            <w:tcBorders>
              <w:top w:val="single" w:sz="4" w:space="0" w:color="auto"/>
              <w:bottom w:val="single" w:sz="4" w:space="0" w:color="auto"/>
            </w:tcBorders>
            <w:vAlign w:val="center"/>
          </w:tcPr>
          <w:p w:rsidR="00565FD5" w:rsidRPr="001B45E1" w:rsidRDefault="00565FD5" w:rsidP="00AB62A3">
            <w:pPr>
              <w:jc w:val="center"/>
              <w:rPr>
                <w:rFonts w:cs="Tahoma"/>
                <w:b/>
                <w:bCs/>
                <w:sz w:val="14"/>
                <w:szCs w:val="14"/>
              </w:rPr>
            </w:pPr>
            <w:r w:rsidRPr="001B45E1">
              <w:rPr>
                <w:rFonts w:cs="Tahoma"/>
                <w:b/>
                <w:bCs/>
                <w:sz w:val="14"/>
                <w:szCs w:val="14"/>
              </w:rPr>
              <w:t>2013(2)</w:t>
            </w:r>
          </w:p>
        </w:tc>
        <w:tc>
          <w:tcPr>
            <w:tcW w:w="494" w:type="pct"/>
            <w:tcBorders>
              <w:top w:val="single" w:sz="4" w:space="0" w:color="auto"/>
              <w:bottom w:val="single" w:sz="4" w:space="0" w:color="auto"/>
            </w:tcBorders>
            <w:vAlign w:val="center"/>
          </w:tcPr>
          <w:p w:rsidR="00565FD5" w:rsidRPr="001B45E1" w:rsidRDefault="00565FD5" w:rsidP="00AB62A3">
            <w:pPr>
              <w:jc w:val="center"/>
              <w:rPr>
                <w:rFonts w:cs="Tahoma"/>
                <w:b/>
                <w:bCs/>
                <w:sz w:val="14"/>
                <w:szCs w:val="14"/>
              </w:rPr>
            </w:pPr>
            <w:r w:rsidRPr="001B45E1">
              <w:rPr>
                <w:rFonts w:cs="Tahoma"/>
                <w:b/>
                <w:bCs/>
                <w:sz w:val="14"/>
                <w:szCs w:val="14"/>
              </w:rPr>
              <w:t>2013(3)</w:t>
            </w:r>
          </w:p>
        </w:tc>
      </w:tr>
      <w:tr w:rsidR="00565FD5" w:rsidRPr="001B45E1" w:rsidTr="00AB62A3">
        <w:trPr>
          <w:trHeight w:val="20"/>
        </w:trPr>
        <w:tc>
          <w:tcPr>
            <w:tcW w:w="1852" w:type="pct"/>
            <w:tcBorders>
              <w:bottom w:val="single" w:sz="4" w:space="0" w:color="auto"/>
            </w:tcBorders>
          </w:tcPr>
          <w:p w:rsidR="00565FD5" w:rsidRPr="001B45E1" w:rsidRDefault="00565FD5" w:rsidP="00AB62A3">
            <w:pPr>
              <w:rPr>
                <w:rFonts w:cs="Tahoma"/>
                <w:sz w:val="14"/>
                <w:szCs w:val="14"/>
              </w:rPr>
            </w:pPr>
            <w:r w:rsidRPr="001B45E1">
              <w:rPr>
                <w:rFonts w:cs="Tahoma"/>
                <w:sz w:val="14"/>
                <w:szCs w:val="14"/>
              </w:rPr>
              <w:t>DSİ Tarafından İnşa Edilerek İşletmeye Açılan Sulama Alanı (Net Kümülatif, Milyon ha)</w:t>
            </w:r>
          </w:p>
        </w:tc>
        <w:tc>
          <w:tcPr>
            <w:tcW w:w="489" w:type="pct"/>
            <w:tcBorders>
              <w:top w:val="single" w:sz="4" w:space="0" w:color="auto"/>
              <w:bottom w:val="single" w:sz="4" w:space="0" w:color="auto"/>
            </w:tcBorders>
            <w:vAlign w:val="center"/>
          </w:tcPr>
          <w:p w:rsidR="00565FD5" w:rsidRPr="001B45E1" w:rsidRDefault="00565FD5" w:rsidP="00AB62A3">
            <w:pPr>
              <w:jc w:val="center"/>
              <w:rPr>
                <w:rFonts w:cs="Tahoma"/>
                <w:bCs/>
                <w:sz w:val="14"/>
                <w:szCs w:val="14"/>
              </w:rPr>
            </w:pPr>
            <w:r w:rsidRPr="001B45E1">
              <w:rPr>
                <w:rFonts w:cs="Tahoma"/>
                <w:bCs/>
                <w:sz w:val="14"/>
                <w:szCs w:val="14"/>
              </w:rPr>
              <w:t>2,69</w:t>
            </w:r>
          </w:p>
        </w:tc>
        <w:tc>
          <w:tcPr>
            <w:tcW w:w="489" w:type="pct"/>
            <w:tcBorders>
              <w:top w:val="single" w:sz="4" w:space="0" w:color="auto"/>
              <w:bottom w:val="single" w:sz="4" w:space="0" w:color="auto"/>
            </w:tcBorders>
            <w:vAlign w:val="center"/>
          </w:tcPr>
          <w:p w:rsidR="00565FD5" w:rsidRPr="001B45E1" w:rsidRDefault="00565FD5" w:rsidP="00AB62A3">
            <w:pPr>
              <w:jc w:val="center"/>
              <w:rPr>
                <w:rFonts w:cs="Tahoma"/>
                <w:bCs/>
                <w:sz w:val="14"/>
                <w:szCs w:val="14"/>
              </w:rPr>
            </w:pPr>
            <w:r w:rsidRPr="001B45E1">
              <w:rPr>
                <w:rFonts w:cs="Tahoma"/>
                <w:bCs/>
                <w:sz w:val="14"/>
                <w:szCs w:val="14"/>
              </w:rPr>
              <w:t>2,73</w:t>
            </w:r>
          </w:p>
        </w:tc>
        <w:tc>
          <w:tcPr>
            <w:tcW w:w="524" w:type="pct"/>
            <w:tcBorders>
              <w:top w:val="single" w:sz="4" w:space="0" w:color="auto"/>
              <w:bottom w:val="single" w:sz="4" w:space="0" w:color="auto"/>
            </w:tcBorders>
            <w:vAlign w:val="center"/>
          </w:tcPr>
          <w:p w:rsidR="00565FD5" w:rsidRPr="001B45E1" w:rsidRDefault="00565FD5" w:rsidP="00AB62A3">
            <w:pPr>
              <w:jc w:val="center"/>
              <w:rPr>
                <w:rFonts w:cs="Tahoma"/>
                <w:bCs/>
                <w:sz w:val="14"/>
                <w:szCs w:val="14"/>
              </w:rPr>
            </w:pPr>
            <w:r w:rsidRPr="001B45E1">
              <w:rPr>
                <w:rFonts w:cs="Tahoma"/>
                <w:bCs/>
                <w:sz w:val="14"/>
                <w:szCs w:val="14"/>
              </w:rPr>
              <w:t>2,76</w:t>
            </w:r>
          </w:p>
        </w:tc>
        <w:tc>
          <w:tcPr>
            <w:tcW w:w="581" w:type="pct"/>
            <w:tcBorders>
              <w:top w:val="single" w:sz="4" w:space="0" w:color="auto"/>
              <w:bottom w:val="single" w:sz="4" w:space="0" w:color="auto"/>
            </w:tcBorders>
            <w:vAlign w:val="center"/>
          </w:tcPr>
          <w:p w:rsidR="00565FD5" w:rsidRPr="001B45E1" w:rsidRDefault="00565FD5" w:rsidP="00AB62A3">
            <w:pPr>
              <w:jc w:val="center"/>
              <w:rPr>
                <w:rFonts w:cs="Tahoma"/>
                <w:bCs/>
                <w:sz w:val="14"/>
                <w:szCs w:val="14"/>
              </w:rPr>
            </w:pPr>
            <w:r w:rsidRPr="001B45E1">
              <w:rPr>
                <w:rFonts w:cs="Tahoma"/>
                <w:bCs/>
                <w:sz w:val="14"/>
                <w:szCs w:val="14"/>
              </w:rPr>
              <w:t>2,86</w:t>
            </w:r>
          </w:p>
        </w:tc>
        <w:tc>
          <w:tcPr>
            <w:tcW w:w="571" w:type="pct"/>
            <w:tcBorders>
              <w:top w:val="single" w:sz="4" w:space="0" w:color="auto"/>
              <w:bottom w:val="single" w:sz="4" w:space="0" w:color="auto"/>
            </w:tcBorders>
            <w:vAlign w:val="center"/>
          </w:tcPr>
          <w:p w:rsidR="00565FD5" w:rsidRPr="001B45E1" w:rsidRDefault="00565FD5" w:rsidP="00AB62A3">
            <w:pPr>
              <w:jc w:val="center"/>
              <w:rPr>
                <w:rFonts w:cs="Tahoma"/>
                <w:bCs/>
                <w:sz w:val="14"/>
                <w:szCs w:val="14"/>
              </w:rPr>
            </w:pPr>
            <w:r w:rsidRPr="001B45E1">
              <w:rPr>
                <w:rFonts w:cs="Tahoma"/>
                <w:bCs/>
                <w:sz w:val="14"/>
                <w:szCs w:val="14"/>
              </w:rPr>
              <w:t>2,98</w:t>
            </w:r>
          </w:p>
        </w:tc>
        <w:tc>
          <w:tcPr>
            <w:tcW w:w="494" w:type="pct"/>
            <w:tcBorders>
              <w:top w:val="single" w:sz="4" w:space="0" w:color="auto"/>
              <w:bottom w:val="single" w:sz="4" w:space="0" w:color="auto"/>
            </w:tcBorders>
            <w:vAlign w:val="center"/>
          </w:tcPr>
          <w:p w:rsidR="00565FD5" w:rsidRPr="001B45E1" w:rsidDel="008124C6" w:rsidRDefault="00565FD5" w:rsidP="00AB62A3">
            <w:pPr>
              <w:jc w:val="center"/>
              <w:rPr>
                <w:rFonts w:cs="Tahoma"/>
                <w:bCs/>
                <w:sz w:val="14"/>
                <w:szCs w:val="14"/>
              </w:rPr>
            </w:pPr>
            <w:r w:rsidRPr="001B45E1">
              <w:rPr>
                <w:rFonts w:cs="Tahoma"/>
                <w:bCs/>
                <w:sz w:val="14"/>
                <w:szCs w:val="14"/>
              </w:rPr>
              <w:t>3,0</w:t>
            </w:r>
          </w:p>
        </w:tc>
      </w:tr>
      <w:tr w:rsidR="00565FD5" w:rsidRPr="001B45E1" w:rsidTr="00AB62A3">
        <w:trPr>
          <w:trHeight w:val="20"/>
        </w:trPr>
        <w:tc>
          <w:tcPr>
            <w:tcW w:w="1852" w:type="pct"/>
            <w:tcBorders>
              <w:top w:val="single" w:sz="4" w:space="0" w:color="auto"/>
              <w:bottom w:val="single" w:sz="4" w:space="0" w:color="auto"/>
            </w:tcBorders>
          </w:tcPr>
          <w:p w:rsidR="00565FD5" w:rsidRPr="001B45E1" w:rsidRDefault="00565FD5" w:rsidP="00AB62A3">
            <w:pPr>
              <w:rPr>
                <w:rFonts w:cs="Tahoma"/>
                <w:sz w:val="14"/>
                <w:szCs w:val="14"/>
              </w:rPr>
            </w:pPr>
            <w:r w:rsidRPr="001B45E1">
              <w:rPr>
                <w:rFonts w:cs="Tahoma"/>
                <w:sz w:val="14"/>
                <w:szCs w:val="14"/>
              </w:rPr>
              <w:t>Gıda, Tarım ve Hayvancılık Bakanlığı Tarım Reformu Gn.Md. Arazi Toplulaştırma Faaliyeti (Kümülatif, Milyon ha)</w:t>
            </w:r>
          </w:p>
        </w:tc>
        <w:tc>
          <w:tcPr>
            <w:tcW w:w="489" w:type="pct"/>
            <w:tcBorders>
              <w:top w:val="single" w:sz="4" w:space="0" w:color="auto"/>
              <w:bottom w:val="single" w:sz="4" w:space="0" w:color="auto"/>
            </w:tcBorders>
            <w:vAlign w:val="center"/>
          </w:tcPr>
          <w:p w:rsidR="00565FD5" w:rsidRPr="001B45E1" w:rsidRDefault="00565FD5" w:rsidP="00AB62A3">
            <w:pPr>
              <w:jc w:val="center"/>
              <w:rPr>
                <w:rFonts w:cs="Tahoma"/>
                <w:sz w:val="14"/>
                <w:szCs w:val="14"/>
              </w:rPr>
            </w:pPr>
            <w:r w:rsidRPr="001B45E1">
              <w:rPr>
                <w:rFonts w:cs="Tahoma"/>
                <w:sz w:val="14"/>
                <w:szCs w:val="14"/>
              </w:rPr>
              <w:t>0,66</w:t>
            </w:r>
          </w:p>
        </w:tc>
        <w:tc>
          <w:tcPr>
            <w:tcW w:w="489" w:type="pct"/>
            <w:tcBorders>
              <w:top w:val="single" w:sz="4" w:space="0" w:color="auto"/>
              <w:bottom w:val="single" w:sz="4" w:space="0" w:color="auto"/>
            </w:tcBorders>
            <w:vAlign w:val="center"/>
          </w:tcPr>
          <w:p w:rsidR="00565FD5" w:rsidRPr="001B45E1" w:rsidRDefault="00565FD5" w:rsidP="00AB62A3">
            <w:pPr>
              <w:jc w:val="center"/>
              <w:rPr>
                <w:rFonts w:cs="Tahoma"/>
                <w:sz w:val="14"/>
                <w:szCs w:val="14"/>
              </w:rPr>
            </w:pPr>
            <w:r w:rsidRPr="001B45E1">
              <w:rPr>
                <w:rFonts w:cs="Tahoma"/>
                <w:sz w:val="14"/>
                <w:szCs w:val="14"/>
              </w:rPr>
              <w:t>0,86</w:t>
            </w:r>
          </w:p>
        </w:tc>
        <w:tc>
          <w:tcPr>
            <w:tcW w:w="524" w:type="pct"/>
            <w:tcBorders>
              <w:top w:val="single" w:sz="4" w:space="0" w:color="auto"/>
              <w:bottom w:val="single" w:sz="4" w:space="0" w:color="auto"/>
            </w:tcBorders>
            <w:vAlign w:val="center"/>
          </w:tcPr>
          <w:p w:rsidR="00565FD5" w:rsidRPr="001B45E1" w:rsidRDefault="00565FD5" w:rsidP="00AB62A3">
            <w:pPr>
              <w:jc w:val="center"/>
              <w:rPr>
                <w:rFonts w:cs="Tahoma"/>
                <w:sz w:val="14"/>
                <w:szCs w:val="14"/>
              </w:rPr>
            </w:pPr>
            <w:r w:rsidRPr="001B45E1">
              <w:rPr>
                <w:rFonts w:cs="Tahoma"/>
                <w:sz w:val="14"/>
                <w:szCs w:val="14"/>
              </w:rPr>
              <w:t>1,66</w:t>
            </w:r>
          </w:p>
        </w:tc>
        <w:tc>
          <w:tcPr>
            <w:tcW w:w="581" w:type="pct"/>
            <w:tcBorders>
              <w:top w:val="single" w:sz="4" w:space="0" w:color="auto"/>
              <w:bottom w:val="single" w:sz="4" w:space="0" w:color="auto"/>
            </w:tcBorders>
            <w:vAlign w:val="center"/>
          </w:tcPr>
          <w:p w:rsidR="00565FD5" w:rsidRPr="001B45E1" w:rsidRDefault="00565FD5" w:rsidP="00AB62A3">
            <w:pPr>
              <w:jc w:val="center"/>
              <w:rPr>
                <w:rFonts w:cs="Tahoma"/>
                <w:sz w:val="14"/>
                <w:szCs w:val="14"/>
              </w:rPr>
            </w:pPr>
            <w:r w:rsidRPr="001B45E1">
              <w:rPr>
                <w:rFonts w:cs="Tahoma"/>
                <w:sz w:val="14"/>
                <w:szCs w:val="14"/>
              </w:rPr>
              <w:t>2,78</w:t>
            </w:r>
          </w:p>
        </w:tc>
        <w:tc>
          <w:tcPr>
            <w:tcW w:w="571" w:type="pct"/>
            <w:tcBorders>
              <w:top w:val="single" w:sz="4" w:space="0" w:color="auto"/>
              <w:bottom w:val="single" w:sz="4" w:space="0" w:color="auto"/>
            </w:tcBorders>
            <w:vAlign w:val="center"/>
          </w:tcPr>
          <w:p w:rsidR="00565FD5" w:rsidRPr="001B45E1" w:rsidRDefault="00565FD5" w:rsidP="00AB62A3">
            <w:pPr>
              <w:jc w:val="center"/>
              <w:rPr>
                <w:rFonts w:cs="Tahoma"/>
                <w:sz w:val="14"/>
                <w:szCs w:val="14"/>
              </w:rPr>
            </w:pPr>
            <w:r w:rsidRPr="001B45E1">
              <w:rPr>
                <w:rFonts w:cs="Tahoma"/>
                <w:sz w:val="14"/>
                <w:szCs w:val="14"/>
              </w:rPr>
              <w:t>3,70</w:t>
            </w:r>
          </w:p>
        </w:tc>
        <w:tc>
          <w:tcPr>
            <w:tcW w:w="494" w:type="pct"/>
            <w:tcBorders>
              <w:top w:val="single" w:sz="4" w:space="0" w:color="auto"/>
              <w:bottom w:val="single" w:sz="4" w:space="0" w:color="auto"/>
            </w:tcBorders>
            <w:vAlign w:val="center"/>
          </w:tcPr>
          <w:p w:rsidR="00565FD5" w:rsidRPr="001B45E1" w:rsidDel="0010117B" w:rsidRDefault="00565FD5" w:rsidP="00AB62A3">
            <w:pPr>
              <w:jc w:val="center"/>
              <w:rPr>
                <w:rFonts w:cs="Tahoma"/>
                <w:sz w:val="14"/>
                <w:szCs w:val="14"/>
              </w:rPr>
            </w:pPr>
            <w:r w:rsidRPr="001B45E1">
              <w:rPr>
                <w:rFonts w:cs="Tahoma"/>
                <w:bCs/>
                <w:sz w:val="14"/>
                <w:szCs w:val="14"/>
              </w:rPr>
              <w:t>1,27</w:t>
            </w:r>
          </w:p>
        </w:tc>
      </w:tr>
      <w:tr w:rsidR="00565FD5" w:rsidRPr="001B45E1" w:rsidTr="00AB62A3">
        <w:trPr>
          <w:trHeight w:val="20"/>
        </w:trPr>
        <w:tc>
          <w:tcPr>
            <w:tcW w:w="1852" w:type="pct"/>
            <w:tcBorders>
              <w:top w:val="single" w:sz="4" w:space="0" w:color="auto"/>
              <w:bottom w:val="single" w:sz="4" w:space="0" w:color="auto"/>
            </w:tcBorders>
          </w:tcPr>
          <w:p w:rsidR="00565FD5" w:rsidRPr="001B45E1" w:rsidRDefault="00565FD5" w:rsidP="00AB62A3">
            <w:pPr>
              <w:rPr>
                <w:rFonts w:cs="Tahoma"/>
                <w:sz w:val="14"/>
                <w:szCs w:val="14"/>
              </w:rPr>
            </w:pPr>
            <w:r w:rsidRPr="001B45E1">
              <w:rPr>
                <w:rFonts w:cs="Tahoma"/>
                <w:sz w:val="14"/>
                <w:szCs w:val="14"/>
              </w:rPr>
              <w:t xml:space="preserve">Sertifikalı Hububat (Buğday-Arpa) Tohumu Kullanım Oranı (Yüzde) </w:t>
            </w:r>
          </w:p>
        </w:tc>
        <w:tc>
          <w:tcPr>
            <w:tcW w:w="489" w:type="pct"/>
            <w:tcBorders>
              <w:top w:val="single" w:sz="4" w:space="0" w:color="auto"/>
              <w:bottom w:val="single" w:sz="4" w:space="0" w:color="auto"/>
            </w:tcBorders>
            <w:vAlign w:val="center"/>
          </w:tcPr>
          <w:p w:rsidR="00565FD5" w:rsidRPr="001B45E1" w:rsidRDefault="00565FD5" w:rsidP="00AB62A3">
            <w:pPr>
              <w:jc w:val="center"/>
              <w:rPr>
                <w:rFonts w:cs="Tahoma"/>
                <w:sz w:val="14"/>
                <w:szCs w:val="14"/>
              </w:rPr>
            </w:pPr>
            <w:r w:rsidRPr="001B45E1">
              <w:rPr>
                <w:rFonts w:cs="Tahoma"/>
                <w:sz w:val="14"/>
                <w:szCs w:val="14"/>
              </w:rPr>
              <w:t>33,5</w:t>
            </w:r>
          </w:p>
        </w:tc>
        <w:tc>
          <w:tcPr>
            <w:tcW w:w="489" w:type="pct"/>
            <w:tcBorders>
              <w:top w:val="single" w:sz="4" w:space="0" w:color="auto"/>
              <w:bottom w:val="single" w:sz="4" w:space="0" w:color="auto"/>
            </w:tcBorders>
            <w:vAlign w:val="center"/>
          </w:tcPr>
          <w:p w:rsidR="00565FD5" w:rsidRPr="001B45E1" w:rsidRDefault="00565FD5" w:rsidP="00AB62A3">
            <w:pPr>
              <w:jc w:val="center"/>
              <w:rPr>
                <w:rFonts w:cs="Tahoma"/>
                <w:sz w:val="14"/>
                <w:szCs w:val="14"/>
              </w:rPr>
            </w:pPr>
            <w:r w:rsidRPr="001B45E1">
              <w:rPr>
                <w:rFonts w:cs="Tahoma"/>
                <w:sz w:val="14"/>
                <w:szCs w:val="14"/>
              </w:rPr>
              <w:t>39,7</w:t>
            </w:r>
          </w:p>
        </w:tc>
        <w:tc>
          <w:tcPr>
            <w:tcW w:w="524" w:type="pct"/>
            <w:tcBorders>
              <w:top w:val="single" w:sz="4" w:space="0" w:color="auto"/>
              <w:bottom w:val="single" w:sz="4" w:space="0" w:color="auto"/>
            </w:tcBorders>
            <w:vAlign w:val="center"/>
          </w:tcPr>
          <w:p w:rsidR="00565FD5" w:rsidRPr="001B45E1" w:rsidRDefault="00565FD5" w:rsidP="00AB62A3">
            <w:pPr>
              <w:jc w:val="center"/>
              <w:rPr>
                <w:rFonts w:cs="Tahoma"/>
                <w:sz w:val="14"/>
                <w:szCs w:val="14"/>
              </w:rPr>
            </w:pPr>
            <w:r w:rsidRPr="001B45E1">
              <w:rPr>
                <w:rFonts w:cs="Tahoma"/>
                <w:sz w:val="14"/>
                <w:szCs w:val="14"/>
              </w:rPr>
              <w:t>54,4</w:t>
            </w:r>
          </w:p>
        </w:tc>
        <w:tc>
          <w:tcPr>
            <w:tcW w:w="581" w:type="pct"/>
            <w:tcBorders>
              <w:top w:val="single" w:sz="4" w:space="0" w:color="auto"/>
              <w:bottom w:val="single" w:sz="4" w:space="0" w:color="auto"/>
            </w:tcBorders>
            <w:vAlign w:val="center"/>
          </w:tcPr>
          <w:p w:rsidR="00565FD5" w:rsidRPr="001B45E1" w:rsidRDefault="00565FD5" w:rsidP="00AB62A3">
            <w:pPr>
              <w:jc w:val="center"/>
              <w:rPr>
                <w:rFonts w:cs="Tahoma"/>
                <w:sz w:val="14"/>
                <w:szCs w:val="14"/>
              </w:rPr>
            </w:pPr>
            <w:r w:rsidRPr="001B45E1">
              <w:rPr>
                <w:rFonts w:cs="Tahoma"/>
                <w:sz w:val="14"/>
                <w:szCs w:val="14"/>
              </w:rPr>
              <w:t>59,5</w:t>
            </w:r>
          </w:p>
        </w:tc>
        <w:tc>
          <w:tcPr>
            <w:tcW w:w="571" w:type="pct"/>
            <w:tcBorders>
              <w:top w:val="single" w:sz="4" w:space="0" w:color="auto"/>
              <w:bottom w:val="single" w:sz="4" w:space="0" w:color="auto"/>
            </w:tcBorders>
            <w:vAlign w:val="center"/>
          </w:tcPr>
          <w:p w:rsidR="00565FD5" w:rsidRPr="001B45E1" w:rsidRDefault="00565FD5" w:rsidP="00AB62A3">
            <w:pPr>
              <w:jc w:val="center"/>
              <w:rPr>
                <w:rFonts w:cs="Tahoma"/>
                <w:sz w:val="14"/>
                <w:szCs w:val="14"/>
              </w:rPr>
            </w:pPr>
            <w:r w:rsidRPr="001B45E1">
              <w:rPr>
                <w:rFonts w:cs="Tahoma"/>
                <w:sz w:val="14"/>
                <w:szCs w:val="14"/>
              </w:rPr>
              <w:t>61,6</w:t>
            </w:r>
          </w:p>
        </w:tc>
        <w:tc>
          <w:tcPr>
            <w:tcW w:w="494" w:type="pct"/>
            <w:tcBorders>
              <w:top w:val="single" w:sz="4" w:space="0" w:color="auto"/>
              <w:bottom w:val="single" w:sz="4" w:space="0" w:color="auto"/>
            </w:tcBorders>
            <w:vAlign w:val="center"/>
          </w:tcPr>
          <w:p w:rsidR="00565FD5" w:rsidRPr="001B45E1" w:rsidDel="00CC4A9D" w:rsidRDefault="00565FD5" w:rsidP="00AB62A3">
            <w:pPr>
              <w:jc w:val="center"/>
              <w:rPr>
                <w:rFonts w:cs="Tahoma"/>
                <w:sz w:val="14"/>
                <w:szCs w:val="14"/>
              </w:rPr>
            </w:pPr>
            <w:r w:rsidRPr="001B45E1">
              <w:rPr>
                <w:rFonts w:cs="Tahoma"/>
                <w:bCs/>
                <w:sz w:val="14"/>
                <w:szCs w:val="14"/>
              </w:rPr>
              <w:t>50,0</w:t>
            </w:r>
          </w:p>
        </w:tc>
      </w:tr>
      <w:tr w:rsidR="00565FD5" w:rsidRPr="001B45E1" w:rsidTr="00AB62A3">
        <w:trPr>
          <w:trHeight w:val="20"/>
        </w:trPr>
        <w:tc>
          <w:tcPr>
            <w:tcW w:w="1852" w:type="pct"/>
            <w:tcBorders>
              <w:top w:val="single" w:sz="4" w:space="0" w:color="auto"/>
              <w:bottom w:val="single" w:sz="4" w:space="0" w:color="auto"/>
            </w:tcBorders>
          </w:tcPr>
          <w:p w:rsidR="00565FD5" w:rsidRPr="001B45E1" w:rsidRDefault="00565FD5" w:rsidP="00AB62A3">
            <w:pPr>
              <w:rPr>
                <w:rFonts w:cs="Tahoma"/>
                <w:sz w:val="14"/>
                <w:szCs w:val="14"/>
              </w:rPr>
            </w:pPr>
            <w:r w:rsidRPr="001B45E1">
              <w:rPr>
                <w:rFonts w:cs="Tahoma"/>
                <w:sz w:val="14"/>
                <w:szCs w:val="14"/>
              </w:rPr>
              <w:t>Organik Tarım Olarak Yetiştiricilik Yapılan Kültür Alanları (Bin ha)(4)(5)</w:t>
            </w:r>
          </w:p>
        </w:tc>
        <w:tc>
          <w:tcPr>
            <w:tcW w:w="489" w:type="pct"/>
            <w:tcBorders>
              <w:top w:val="single" w:sz="4" w:space="0" w:color="auto"/>
              <w:bottom w:val="single" w:sz="4" w:space="0" w:color="auto"/>
            </w:tcBorders>
            <w:vAlign w:val="center"/>
          </w:tcPr>
          <w:p w:rsidR="00565FD5" w:rsidRPr="001B45E1" w:rsidRDefault="00565FD5" w:rsidP="00AB62A3">
            <w:pPr>
              <w:jc w:val="center"/>
              <w:rPr>
                <w:rFonts w:cs="Tahoma"/>
                <w:sz w:val="14"/>
                <w:szCs w:val="14"/>
              </w:rPr>
            </w:pPr>
            <w:r w:rsidRPr="001B45E1">
              <w:rPr>
                <w:rFonts w:cs="Tahoma"/>
                <w:sz w:val="14"/>
                <w:szCs w:val="14"/>
              </w:rPr>
              <w:t>326</w:t>
            </w:r>
          </w:p>
        </w:tc>
        <w:tc>
          <w:tcPr>
            <w:tcW w:w="489" w:type="pct"/>
            <w:tcBorders>
              <w:top w:val="single" w:sz="4" w:space="0" w:color="auto"/>
              <w:bottom w:val="single" w:sz="4" w:space="0" w:color="auto"/>
            </w:tcBorders>
            <w:vAlign w:val="center"/>
          </w:tcPr>
          <w:p w:rsidR="00565FD5" w:rsidRPr="001B45E1" w:rsidRDefault="00565FD5" w:rsidP="00AB62A3">
            <w:pPr>
              <w:jc w:val="center"/>
              <w:rPr>
                <w:rFonts w:cs="Tahoma"/>
                <w:sz w:val="14"/>
                <w:szCs w:val="14"/>
              </w:rPr>
            </w:pPr>
            <w:r w:rsidRPr="001B45E1">
              <w:rPr>
                <w:rFonts w:cs="Tahoma"/>
                <w:sz w:val="14"/>
                <w:szCs w:val="14"/>
              </w:rPr>
              <w:t>384</w:t>
            </w:r>
          </w:p>
        </w:tc>
        <w:tc>
          <w:tcPr>
            <w:tcW w:w="524" w:type="pct"/>
            <w:tcBorders>
              <w:top w:val="single" w:sz="4" w:space="0" w:color="auto"/>
              <w:bottom w:val="single" w:sz="4" w:space="0" w:color="auto"/>
            </w:tcBorders>
            <w:vAlign w:val="center"/>
          </w:tcPr>
          <w:p w:rsidR="00565FD5" w:rsidRPr="001B45E1" w:rsidRDefault="00565FD5" w:rsidP="00AB62A3">
            <w:pPr>
              <w:jc w:val="center"/>
              <w:rPr>
                <w:rFonts w:cs="Tahoma"/>
                <w:sz w:val="14"/>
                <w:szCs w:val="14"/>
              </w:rPr>
            </w:pPr>
            <w:r w:rsidRPr="001B45E1">
              <w:rPr>
                <w:rFonts w:cs="Tahoma"/>
                <w:sz w:val="14"/>
                <w:szCs w:val="14"/>
              </w:rPr>
              <w:t>443</w:t>
            </w:r>
          </w:p>
        </w:tc>
        <w:tc>
          <w:tcPr>
            <w:tcW w:w="581" w:type="pct"/>
            <w:tcBorders>
              <w:top w:val="single" w:sz="4" w:space="0" w:color="auto"/>
              <w:bottom w:val="single" w:sz="4" w:space="0" w:color="auto"/>
            </w:tcBorders>
            <w:vAlign w:val="center"/>
          </w:tcPr>
          <w:p w:rsidR="00565FD5" w:rsidRPr="001B45E1" w:rsidRDefault="00565FD5" w:rsidP="00AB62A3">
            <w:pPr>
              <w:jc w:val="center"/>
              <w:rPr>
                <w:rFonts w:cs="Tahoma"/>
                <w:sz w:val="14"/>
                <w:szCs w:val="14"/>
              </w:rPr>
            </w:pPr>
            <w:r w:rsidRPr="001B45E1">
              <w:rPr>
                <w:rFonts w:cs="Tahoma"/>
                <w:sz w:val="14"/>
                <w:szCs w:val="14"/>
              </w:rPr>
              <w:t>490</w:t>
            </w:r>
          </w:p>
        </w:tc>
        <w:tc>
          <w:tcPr>
            <w:tcW w:w="571" w:type="pct"/>
            <w:tcBorders>
              <w:top w:val="single" w:sz="4" w:space="0" w:color="auto"/>
              <w:bottom w:val="single" w:sz="4" w:space="0" w:color="auto"/>
            </w:tcBorders>
            <w:vAlign w:val="center"/>
          </w:tcPr>
          <w:p w:rsidR="00565FD5" w:rsidRPr="001B45E1" w:rsidRDefault="00565FD5" w:rsidP="00AB62A3">
            <w:pPr>
              <w:jc w:val="center"/>
              <w:rPr>
                <w:rFonts w:cs="Tahoma"/>
                <w:sz w:val="14"/>
                <w:szCs w:val="14"/>
              </w:rPr>
            </w:pPr>
            <w:r w:rsidRPr="001B45E1">
              <w:rPr>
                <w:rFonts w:cs="Tahoma"/>
                <w:sz w:val="14"/>
                <w:szCs w:val="14"/>
              </w:rPr>
              <w:t>540</w:t>
            </w:r>
          </w:p>
        </w:tc>
        <w:tc>
          <w:tcPr>
            <w:tcW w:w="494" w:type="pct"/>
            <w:tcBorders>
              <w:top w:val="single" w:sz="4" w:space="0" w:color="auto"/>
              <w:bottom w:val="single" w:sz="4" w:space="0" w:color="auto"/>
            </w:tcBorders>
            <w:vAlign w:val="center"/>
          </w:tcPr>
          <w:p w:rsidR="00565FD5" w:rsidRPr="001B45E1" w:rsidDel="00CC4A9D" w:rsidRDefault="00565FD5" w:rsidP="00AB62A3">
            <w:pPr>
              <w:jc w:val="center"/>
              <w:rPr>
                <w:rFonts w:cs="Tahoma"/>
                <w:sz w:val="14"/>
                <w:szCs w:val="14"/>
              </w:rPr>
            </w:pPr>
            <w:r w:rsidRPr="001B45E1">
              <w:rPr>
                <w:rFonts w:cs="Tahoma"/>
                <w:sz w:val="14"/>
                <w:szCs w:val="14"/>
              </w:rPr>
              <w:t>800</w:t>
            </w:r>
          </w:p>
        </w:tc>
      </w:tr>
      <w:tr w:rsidR="00565FD5" w:rsidRPr="001B45E1" w:rsidTr="00AB62A3">
        <w:trPr>
          <w:trHeight w:val="20"/>
        </w:trPr>
        <w:tc>
          <w:tcPr>
            <w:tcW w:w="1852" w:type="pct"/>
            <w:tcBorders>
              <w:top w:val="single" w:sz="4" w:space="0" w:color="auto"/>
              <w:bottom w:val="single" w:sz="4" w:space="0" w:color="auto"/>
            </w:tcBorders>
          </w:tcPr>
          <w:p w:rsidR="00565FD5" w:rsidRPr="001B45E1" w:rsidRDefault="00565FD5" w:rsidP="00AB62A3">
            <w:pPr>
              <w:rPr>
                <w:rFonts w:cs="Tahoma"/>
                <w:sz w:val="14"/>
                <w:szCs w:val="14"/>
              </w:rPr>
            </w:pPr>
            <w:r w:rsidRPr="001B45E1">
              <w:rPr>
                <w:rFonts w:cs="Tahoma"/>
                <w:sz w:val="14"/>
                <w:szCs w:val="14"/>
              </w:rPr>
              <w:t>Melez ve Kültür Irkı Sığır Varlığının Toplam Sığır Varlığına Oranı (Yüzde)</w:t>
            </w:r>
          </w:p>
        </w:tc>
        <w:tc>
          <w:tcPr>
            <w:tcW w:w="489" w:type="pct"/>
            <w:tcBorders>
              <w:top w:val="single" w:sz="4" w:space="0" w:color="auto"/>
              <w:bottom w:val="single" w:sz="4" w:space="0" w:color="auto"/>
            </w:tcBorders>
            <w:vAlign w:val="center"/>
          </w:tcPr>
          <w:p w:rsidR="00565FD5" w:rsidRPr="001B45E1" w:rsidRDefault="00565FD5" w:rsidP="00AB62A3">
            <w:pPr>
              <w:jc w:val="center"/>
              <w:rPr>
                <w:rFonts w:cs="Tahoma"/>
                <w:bCs/>
                <w:sz w:val="14"/>
                <w:szCs w:val="14"/>
              </w:rPr>
            </w:pPr>
            <w:r w:rsidRPr="001B45E1">
              <w:rPr>
                <w:rFonts w:cs="Tahoma"/>
                <w:bCs/>
                <w:sz w:val="14"/>
                <w:szCs w:val="14"/>
              </w:rPr>
              <w:t>75,8</w:t>
            </w:r>
          </w:p>
        </w:tc>
        <w:tc>
          <w:tcPr>
            <w:tcW w:w="489" w:type="pct"/>
            <w:tcBorders>
              <w:top w:val="single" w:sz="4" w:space="0" w:color="auto"/>
              <w:bottom w:val="single" w:sz="4" w:space="0" w:color="auto"/>
            </w:tcBorders>
            <w:vAlign w:val="center"/>
          </w:tcPr>
          <w:p w:rsidR="00565FD5" w:rsidRPr="001B45E1" w:rsidRDefault="00565FD5" w:rsidP="00AB62A3">
            <w:pPr>
              <w:jc w:val="center"/>
              <w:rPr>
                <w:rFonts w:cs="Tahoma"/>
                <w:bCs/>
                <w:sz w:val="14"/>
                <w:szCs w:val="14"/>
              </w:rPr>
            </w:pPr>
            <w:r w:rsidRPr="001B45E1">
              <w:rPr>
                <w:rFonts w:cs="Tahoma"/>
                <w:bCs/>
                <w:sz w:val="14"/>
                <w:szCs w:val="14"/>
              </w:rPr>
              <w:t>78,3</w:t>
            </w:r>
          </w:p>
        </w:tc>
        <w:tc>
          <w:tcPr>
            <w:tcW w:w="524" w:type="pct"/>
            <w:tcBorders>
              <w:top w:val="single" w:sz="4" w:space="0" w:color="auto"/>
              <w:bottom w:val="single" w:sz="4" w:space="0" w:color="auto"/>
            </w:tcBorders>
            <w:vAlign w:val="center"/>
          </w:tcPr>
          <w:p w:rsidR="00565FD5" w:rsidRPr="001B45E1" w:rsidRDefault="00565FD5" w:rsidP="00AB62A3">
            <w:pPr>
              <w:jc w:val="center"/>
              <w:rPr>
                <w:rFonts w:cs="Tahoma"/>
                <w:bCs/>
                <w:sz w:val="14"/>
                <w:szCs w:val="14"/>
              </w:rPr>
            </w:pPr>
            <w:r w:rsidRPr="001B45E1">
              <w:rPr>
                <w:rFonts w:cs="Tahoma"/>
                <w:bCs/>
                <w:sz w:val="14"/>
                <w:szCs w:val="14"/>
              </w:rPr>
              <w:t>80,4</w:t>
            </w:r>
          </w:p>
        </w:tc>
        <w:tc>
          <w:tcPr>
            <w:tcW w:w="581" w:type="pct"/>
            <w:tcBorders>
              <w:top w:val="single" w:sz="4" w:space="0" w:color="auto"/>
              <w:bottom w:val="single" w:sz="4" w:space="0" w:color="auto"/>
            </w:tcBorders>
            <w:vAlign w:val="center"/>
          </w:tcPr>
          <w:p w:rsidR="00565FD5" w:rsidRPr="001B45E1" w:rsidRDefault="00565FD5" w:rsidP="00AB62A3">
            <w:pPr>
              <w:jc w:val="center"/>
              <w:rPr>
                <w:rFonts w:cs="Tahoma"/>
                <w:bCs/>
                <w:sz w:val="14"/>
                <w:szCs w:val="14"/>
              </w:rPr>
            </w:pPr>
            <w:r w:rsidRPr="001B45E1">
              <w:rPr>
                <w:rFonts w:cs="Tahoma"/>
                <w:bCs/>
                <w:sz w:val="14"/>
                <w:szCs w:val="14"/>
              </w:rPr>
              <w:t>82,5</w:t>
            </w:r>
          </w:p>
        </w:tc>
        <w:tc>
          <w:tcPr>
            <w:tcW w:w="571" w:type="pct"/>
            <w:tcBorders>
              <w:top w:val="single" w:sz="4" w:space="0" w:color="auto"/>
              <w:bottom w:val="single" w:sz="4" w:space="0" w:color="auto"/>
            </w:tcBorders>
            <w:vAlign w:val="center"/>
          </w:tcPr>
          <w:p w:rsidR="00565FD5" w:rsidRPr="001B45E1" w:rsidRDefault="00565FD5" w:rsidP="00AB62A3">
            <w:pPr>
              <w:jc w:val="center"/>
              <w:rPr>
                <w:rFonts w:cs="Tahoma"/>
                <w:bCs/>
                <w:sz w:val="14"/>
                <w:szCs w:val="14"/>
              </w:rPr>
            </w:pPr>
            <w:r w:rsidRPr="001B45E1">
              <w:rPr>
                <w:rFonts w:cs="Tahoma"/>
                <w:bCs/>
                <w:sz w:val="14"/>
                <w:szCs w:val="14"/>
              </w:rPr>
              <w:t>84,5</w:t>
            </w:r>
          </w:p>
        </w:tc>
        <w:tc>
          <w:tcPr>
            <w:tcW w:w="494" w:type="pct"/>
            <w:tcBorders>
              <w:top w:val="single" w:sz="4" w:space="0" w:color="auto"/>
              <w:bottom w:val="single" w:sz="4" w:space="0" w:color="auto"/>
            </w:tcBorders>
            <w:vAlign w:val="center"/>
          </w:tcPr>
          <w:p w:rsidR="00565FD5" w:rsidRPr="001B45E1" w:rsidDel="0010117B" w:rsidRDefault="00565FD5" w:rsidP="00AB62A3">
            <w:pPr>
              <w:jc w:val="center"/>
              <w:rPr>
                <w:rFonts w:cs="Tahoma"/>
                <w:bCs/>
                <w:sz w:val="14"/>
                <w:szCs w:val="14"/>
              </w:rPr>
            </w:pPr>
            <w:r w:rsidRPr="001B45E1">
              <w:rPr>
                <w:rFonts w:cs="Tahoma"/>
                <w:bCs/>
                <w:sz w:val="14"/>
                <w:szCs w:val="14"/>
              </w:rPr>
              <w:t>77,0</w:t>
            </w:r>
          </w:p>
        </w:tc>
      </w:tr>
      <w:tr w:rsidR="00565FD5" w:rsidRPr="001B45E1" w:rsidTr="00AB62A3">
        <w:trPr>
          <w:trHeight w:val="20"/>
        </w:trPr>
        <w:tc>
          <w:tcPr>
            <w:tcW w:w="1852" w:type="pct"/>
            <w:tcBorders>
              <w:top w:val="single" w:sz="4" w:space="0" w:color="auto"/>
              <w:bottom w:val="single" w:sz="4" w:space="0" w:color="auto"/>
            </w:tcBorders>
          </w:tcPr>
          <w:p w:rsidR="00565FD5" w:rsidRPr="001B45E1" w:rsidRDefault="00565FD5" w:rsidP="00AB62A3">
            <w:pPr>
              <w:rPr>
                <w:rFonts w:cs="Tahoma"/>
                <w:sz w:val="14"/>
                <w:szCs w:val="14"/>
              </w:rPr>
            </w:pPr>
            <w:r w:rsidRPr="001B45E1">
              <w:rPr>
                <w:rFonts w:cs="Tahoma"/>
                <w:sz w:val="14"/>
                <w:szCs w:val="14"/>
              </w:rPr>
              <w:t>Endüstriyel ve Toprak Muhafaza Ağaçlandırmaları</w:t>
            </w:r>
          </w:p>
          <w:p w:rsidR="00565FD5" w:rsidRPr="001B45E1" w:rsidRDefault="00565FD5" w:rsidP="00AB62A3">
            <w:pPr>
              <w:rPr>
                <w:rFonts w:cs="Tahoma"/>
                <w:sz w:val="14"/>
                <w:szCs w:val="14"/>
              </w:rPr>
            </w:pPr>
            <w:r w:rsidRPr="001B45E1">
              <w:rPr>
                <w:rFonts w:cs="Tahoma"/>
                <w:sz w:val="14"/>
                <w:szCs w:val="14"/>
              </w:rPr>
              <w:t>(Kümülatif, Milyon ha)</w:t>
            </w:r>
          </w:p>
        </w:tc>
        <w:tc>
          <w:tcPr>
            <w:tcW w:w="489" w:type="pct"/>
            <w:tcBorders>
              <w:top w:val="single" w:sz="4" w:space="0" w:color="auto"/>
              <w:bottom w:val="single" w:sz="4" w:space="0" w:color="auto"/>
            </w:tcBorders>
            <w:vAlign w:val="center"/>
          </w:tcPr>
          <w:p w:rsidR="00565FD5" w:rsidRPr="001B45E1" w:rsidRDefault="00565FD5" w:rsidP="00AB62A3">
            <w:pPr>
              <w:jc w:val="center"/>
              <w:rPr>
                <w:rFonts w:cs="Tahoma"/>
                <w:bCs/>
                <w:sz w:val="14"/>
                <w:szCs w:val="14"/>
              </w:rPr>
            </w:pPr>
            <w:r w:rsidRPr="001B45E1">
              <w:rPr>
                <w:rFonts w:cs="Tahoma"/>
                <w:bCs/>
                <w:sz w:val="14"/>
                <w:szCs w:val="14"/>
              </w:rPr>
              <w:t>2,80</w:t>
            </w:r>
          </w:p>
        </w:tc>
        <w:tc>
          <w:tcPr>
            <w:tcW w:w="489" w:type="pct"/>
            <w:tcBorders>
              <w:top w:val="single" w:sz="4" w:space="0" w:color="auto"/>
              <w:bottom w:val="single" w:sz="4" w:space="0" w:color="auto"/>
            </w:tcBorders>
            <w:vAlign w:val="center"/>
          </w:tcPr>
          <w:p w:rsidR="00565FD5" w:rsidRPr="001B45E1" w:rsidRDefault="00565FD5" w:rsidP="00AB62A3">
            <w:pPr>
              <w:jc w:val="center"/>
              <w:rPr>
                <w:rFonts w:cs="Tahoma"/>
                <w:bCs/>
                <w:sz w:val="14"/>
                <w:szCs w:val="14"/>
              </w:rPr>
            </w:pPr>
            <w:r w:rsidRPr="001B45E1">
              <w:rPr>
                <w:rFonts w:cs="Tahoma"/>
                <w:bCs/>
                <w:sz w:val="14"/>
                <w:szCs w:val="14"/>
              </w:rPr>
              <w:t>2,88</w:t>
            </w:r>
          </w:p>
        </w:tc>
        <w:tc>
          <w:tcPr>
            <w:tcW w:w="524" w:type="pct"/>
            <w:tcBorders>
              <w:top w:val="single" w:sz="4" w:space="0" w:color="auto"/>
              <w:bottom w:val="single" w:sz="4" w:space="0" w:color="auto"/>
            </w:tcBorders>
            <w:vAlign w:val="center"/>
          </w:tcPr>
          <w:p w:rsidR="00565FD5" w:rsidRPr="001B45E1" w:rsidRDefault="00565FD5" w:rsidP="00AB62A3">
            <w:pPr>
              <w:jc w:val="center"/>
              <w:rPr>
                <w:rFonts w:cs="Tahoma"/>
                <w:bCs/>
                <w:sz w:val="14"/>
                <w:szCs w:val="14"/>
              </w:rPr>
            </w:pPr>
            <w:r w:rsidRPr="001B45E1">
              <w:rPr>
                <w:rFonts w:cs="Tahoma"/>
                <w:bCs/>
                <w:sz w:val="14"/>
                <w:szCs w:val="14"/>
              </w:rPr>
              <w:t>2,96</w:t>
            </w:r>
          </w:p>
        </w:tc>
        <w:tc>
          <w:tcPr>
            <w:tcW w:w="581" w:type="pct"/>
            <w:tcBorders>
              <w:top w:val="single" w:sz="4" w:space="0" w:color="auto"/>
              <w:bottom w:val="single" w:sz="4" w:space="0" w:color="auto"/>
            </w:tcBorders>
            <w:vAlign w:val="center"/>
          </w:tcPr>
          <w:p w:rsidR="00565FD5" w:rsidRPr="001B45E1" w:rsidRDefault="00565FD5" w:rsidP="00AB62A3">
            <w:pPr>
              <w:jc w:val="center"/>
              <w:rPr>
                <w:rFonts w:cs="Tahoma"/>
                <w:bCs/>
                <w:sz w:val="14"/>
                <w:szCs w:val="14"/>
              </w:rPr>
            </w:pPr>
            <w:r w:rsidRPr="001B45E1">
              <w:rPr>
                <w:rFonts w:cs="Tahoma"/>
                <w:bCs/>
                <w:sz w:val="14"/>
                <w:szCs w:val="14"/>
              </w:rPr>
              <w:t>3,06</w:t>
            </w:r>
          </w:p>
        </w:tc>
        <w:tc>
          <w:tcPr>
            <w:tcW w:w="571" w:type="pct"/>
            <w:tcBorders>
              <w:top w:val="single" w:sz="4" w:space="0" w:color="auto"/>
              <w:bottom w:val="single" w:sz="4" w:space="0" w:color="auto"/>
            </w:tcBorders>
            <w:vAlign w:val="center"/>
          </w:tcPr>
          <w:p w:rsidR="00565FD5" w:rsidRPr="001B45E1" w:rsidRDefault="00565FD5" w:rsidP="00AB62A3">
            <w:pPr>
              <w:jc w:val="center"/>
              <w:rPr>
                <w:rFonts w:cs="Tahoma"/>
                <w:bCs/>
                <w:sz w:val="14"/>
                <w:szCs w:val="14"/>
              </w:rPr>
            </w:pPr>
            <w:r w:rsidRPr="001B45E1">
              <w:rPr>
                <w:rFonts w:cs="Tahoma"/>
                <w:bCs/>
                <w:sz w:val="14"/>
                <w:szCs w:val="14"/>
              </w:rPr>
              <w:t>3,21</w:t>
            </w:r>
          </w:p>
        </w:tc>
        <w:tc>
          <w:tcPr>
            <w:tcW w:w="494" w:type="pct"/>
            <w:tcBorders>
              <w:top w:val="single" w:sz="4" w:space="0" w:color="auto"/>
              <w:bottom w:val="single" w:sz="4" w:space="0" w:color="auto"/>
            </w:tcBorders>
            <w:vAlign w:val="center"/>
          </w:tcPr>
          <w:p w:rsidR="00565FD5" w:rsidRPr="001B45E1" w:rsidRDefault="00565FD5" w:rsidP="00AB62A3">
            <w:pPr>
              <w:jc w:val="center"/>
              <w:rPr>
                <w:rFonts w:cs="Tahoma"/>
                <w:bCs/>
                <w:sz w:val="14"/>
                <w:szCs w:val="14"/>
              </w:rPr>
            </w:pPr>
            <w:r w:rsidRPr="001B45E1">
              <w:rPr>
                <w:rFonts w:cs="Tahoma"/>
                <w:bCs/>
                <w:sz w:val="14"/>
                <w:szCs w:val="14"/>
              </w:rPr>
              <w:t>3,30</w:t>
            </w:r>
          </w:p>
        </w:tc>
      </w:tr>
      <w:tr w:rsidR="00565FD5" w:rsidRPr="001B45E1" w:rsidTr="00AB62A3">
        <w:trPr>
          <w:trHeight w:val="20"/>
        </w:trPr>
        <w:tc>
          <w:tcPr>
            <w:tcW w:w="1852" w:type="pct"/>
            <w:tcBorders>
              <w:top w:val="single" w:sz="4" w:space="0" w:color="auto"/>
              <w:bottom w:val="single" w:sz="4" w:space="0" w:color="auto"/>
            </w:tcBorders>
          </w:tcPr>
          <w:p w:rsidR="00565FD5" w:rsidRPr="001B45E1" w:rsidRDefault="00565FD5" w:rsidP="00AB62A3">
            <w:pPr>
              <w:rPr>
                <w:rFonts w:cs="Tahoma"/>
                <w:sz w:val="14"/>
                <w:szCs w:val="14"/>
              </w:rPr>
            </w:pPr>
            <w:r w:rsidRPr="001B45E1">
              <w:rPr>
                <w:rFonts w:cs="Tahoma"/>
                <w:sz w:val="14"/>
                <w:szCs w:val="14"/>
              </w:rPr>
              <w:t>Devlet Destekli Tarım Sigortaları Poliçe Sayısı (Bin adet)</w:t>
            </w:r>
          </w:p>
        </w:tc>
        <w:tc>
          <w:tcPr>
            <w:tcW w:w="489" w:type="pct"/>
            <w:tcBorders>
              <w:top w:val="single" w:sz="4" w:space="0" w:color="auto"/>
              <w:bottom w:val="single" w:sz="4" w:space="0" w:color="auto"/>
            </w:tcBorders>
            <w:vAlign w:val="center"/>
          </w:tcPr>
          <w:p w:rsidR="00565FD5" w:rsidRPr="001B45E1" w:rsidRDefault="00565FD5" w:rsidP="00AB62A3">
            <w:pPr>
              <w:jc w:val="center"/>
              <w:rPr>
                <w:rFonts w:cs="Tahoma"/>
                <w:bCs/>
                <w:sz w:val="14"/>
                <w:szCs w:val="14"/>
              </w:rPr>
            </w:pPr>
            <w:r w:rsidRPr="001B45E1">
              <w:rPr>
                <w:rFonts w:cs="Tahoma"/>
                <w:bCs/>
                <w:sz w:val="14"/>
                <w:szCs w:val="14"/>
              </w:rPr>
              <w:t>307</w:t>
            </w:r>
          </w:p>
        </w:tc>
        <w:tc>
          <w:tcPr>
            <w:tcW w:w="489" w:type="pct"/>
            <w:tcBorders>
              <w:top w:val="single" w:sz="4" w:space="0" w:color="auto"/>
              <w:bottom w:val="single" w:sz="4" w:space="0" w:color="auto"/>
            </w:tcBorders>
            <w:vAlign w:val="center"/>
          </w:tcPr>
          <w:p w:rsidR="00565FD5" w:rsidRPr="001B45E1" w:rsidRDefault="00565FD5" w:rsidP="00AB62A3">
            <w:pPr>
              <w:jc w:val="center"/>
              <w:rPr>
                <w:rFonts w:cs="Tahoma"/>
                <w:bCs/>
                <w:strike/>
                <w:sz w:val="14"/>
                <w:szCs w:val="14"/>
              </w:rPr>
            </w:pPr>
            <w:r w:rsidRPr="001B45E1">
              <w:rPr>
                <w:rFonts w:cs="Tahoma"/>
                <w:bCs/>
                <w:sz w:val="14"/>
                <w:szCs w:val="14"/>
              </w:rPr>
              <w:t>375</w:t>
            </w:r>
          </w:p>
        </w:tc>
        <w:tc>
          <w:tcPr>
            <w:tcW w:w="524" w:type="pct"/>
            <w:tcBorders>
              <w:top w:val="single" w:sz="4" w:space="0" w:color="auto"/>
              <w:bottom w:val="single" w:sz="4" w:space="0" w:color="auto"/>
            </w:tcBorders>
            <w:vAlign w:val="center"/>
          </w:tcPr>
          <w:p w:rsidR="00565FD5" w:rsidRPr="001B45E1" w:rsidRDefault="00565FD5" w:rsidP="00AB62A3">
            <w:pPr>
              <w:jc w:val="center"/>
              <w:rPr>
                <w:rFonts w:cs="Tahoma"/>
                <w:bCs/>
                <w:sz w:val="14"/>
                <w:szCs w:val="14"/>
              </w:rPr>
            </w:pPr>
            <w:r w:rsidRPr="001B45E1">
              <w:rPr>
                <w:rFonts w:cs="Tahoma"/>
                <w:bCs/>
                <w:sz w:val="14"/>
                <w:szCs w:val="14"/>
              </w:rPr>
              <w:t>588</w:t>
            </w:r>
          </w:p>
        </w:tc>
        <w:tc>
          <w:tcPr>
            <w:tcW w:w="581" w:type="pct"/>
            <w:tcBorders>
              <w:top w:val="single" w:sz="4" w:space="0" w:color="auto"/>
              <w:bottom w:val="single" w:sz="4" w:space="0" w:color="auto"/>
            </w:tcBorders>
            <w:vAlign w:val="center"/>
          </w:tcPr>
          <w:p w:rsidR="00565FD5" w:rsidRPr="001B45E1" w:rsidRDefault="00565FD5" w:rsidP="00AB62A3">
            <w:pPr>
              <w:jc w:val="center"/>
              <w:rPr>
                <w:rFonts w:cs="Tahoma"/>
                <w:bCs/>
                <w:sz w:val="14"/>
                <w:szCs w:val="14"/>
              </w:rPr>
            </w:pPr>
            <w:r w:rsidRPr="001B45E1">
              <w:rPr>
                <w:rFonts w:cs="Tahoma"/>
                <w:bCs/>
                <w:sz w:val="14"/>
                <w:szCs w:val="14"/>
              </w:rPr>
              <w:t>730</w:t>
            </w:r>
          </w:p>
        </w:tc>
        <w:tc>
          <w:tcPr>
            <w:tcW w:w="571" w:type="pct"/>
            <w:tcBorders>
              <w:top w:val="single" w:sz="4" w:space="0" w:color="auto"/>
              <w:bottom w:val="single" w:sz="4" w:space="0" w:color="auto"/>
            </w:tcBorders>
            <w:vAlign w:val="center"/>
          </w:tcPr>
          <w:p w:rsidR="00565FD5" w:rsidRPr="001B45E1" w:rsidRDefault="00565FD5" w:rsidP="00AB62A3">
            <w:pPr>
              <w:jc w:val="center"/>
              <w:rPr>
                <w:rFonts w:cs="Tahoma"/>
                <w:bCs/>
                <w:sz w:val="14"/>
                <w:szCs w:val="14"/>
              </w:rPr>
            </w:pPr>
            <w:r w:rsidRPr="001B45E1">
              <w:rPr>
                <w:rFonts w:cs="Tahoma"/>
                <w:bCs/>
                <w:sz w:val="14"/>
                <w:szCs w:val="14"/>
              </w:rPr>
              <w:t>850</w:t>
            </w:r>
          </w:p>
        </w:tc>
        <w:tc>
          <w:tcPr>
            <w:tcW w:w="494" w:type="pct"/>
            <w:tcBorders>
              <w:top w:val="single" w:sz="4" w:space="0" w:color="auto"/>
              <w:bottom w:val="single" w:sz="4" w:space="0" w:color="auto"/>
            </w:tcBorders>
            <w:vAlign w:val="center"/>
          </w:tcPr>
          <w:p w:rsidR="00565FD5" w:rsidRPr="001B45E1" w:rsidDel="0010117B" w:rsidRDefault="00565FD5" w:rsidP="00AB62A3">
            <w:pPr>
              <w:jc w:val="center"/>
              <w:rPr>
                <w:rFonts w:cs="Tahoma"/>
                <w:bCs/>
                <w:sz w:val="14"/>
                <w:szCs w:val="14"/>
              </w:rPr>
            </w:pPr>
            <w:r w:rsidRPr="001B45E1">
              <w:rPr>
                <w:rFonts w:cs="Tahoma"/>
                <w:bCs/>
                <w:sz w:val="14"/>
                <w:szCs w:val="14"/>
              </w:rPr>
              <w:t>-</w:t>
            </w:r>
          </w:p>
        </w:tc>
      </w:tr>
    </w:tbl>
    <w:p w:rsidR="00565FD5" w:rsidRPr="001B45E1" w:rsidRDefault="00565FD5" w:rsidP="00565FD5">
      <w:pPr>
        <w:rPr>
          <w:rFonts w:cs="Tahoma"/>
          <w:sz w:val="12"/>
          <w:szCs w:val="12"/>
        </w:rPr>
      </w:pPr>
      <w:r w:rsidRPr="001B45E1">
        <w:rPr>
          <w:rFonts w:cs="Tahoma"/>
          <w:sz w:val="12"/>
          <w:szCs w:val="12"/>
        </w:rPr>
        <w:t xml:space="preserve">Kaynak: GTHB, OSİB, Kalkınma Bakanlığı, DSİ </w:t>
      </w:r>
    </w:p>
    <w:p w:rsidR="00565FD5" w:rsidRPr="001B45E1" w:rsidRDefault="00565FD5" w:rsidP="00565FD5">
      <w:pPr>
        <w:rPr>
          <w:rFonts w:cs="Tahoma"/>
          <w:sz w:val="12"/>
          <w:szCs w:val="12"/>
        </w:rPr>
      </w:pPr>
      <w:r w:rsidRPr="001B45E1">
        <w:rPr>
          <w:rFonts w:cs="Tahoma"/>
          <w:sz w:val="12"/>
          <w:szCs w:val="12"/>
        </w:rPr>
        <w:t>(1) Gerçekleşme tahmini</w:t>
      </w:r>
    </w:p>
    <w:p w:rsidR="00565FD5" w:rsidRPr="001B45E1" w:rsidRDefault="00565FD5" w:rsidP="00565FD5">
      <w:pPr>
        <w:rPr>
          <w:rFonts w:cs="Tahoma"/>
          <w:sz w:val="12"/>
          <w:szCs w:val="12"/>
        </w:rPr>
      </w:pPr>
      <w:r w:rsidRPr="001B45E1">
        <w:rPr>
          <w:rFonts w:cs="Tahoma"/>
          <w:sz w:val="12"/>
          <w:szCs w:val="12"/>
        </w:rPr>
        <w:t>(2) Program</w:t>
      </w:r>
    </w:p>
    <w:p w:rsidR="00565FD5" w:rsidRPr="001B45E1" w:rsidRDefault="00565FD5" w:rsidP="00565FD5">
      <w:pPr>
        <w:rPr>
          <w:rFonts w:cs="Tahoma"/>
          <w:sz w:val="12"/>
          <w:szCs w:val="12"/>
        </w:rPr>
      </w:pPr>
      <w:r w:rsidRPr="001B45E1">
        <w:rPr>
          <w:rFonts w:cs="Tahoma"/>
          <w:sz w:val="12"/>
          <w:szCs w:val="12"/>
        </w:rPr>
        <w:t>(3) 9.Kalkınma Planı hedefidir.</w:t>
      </w:r>
    </w:p>
    <w:p w:rsidR="00565FD5" w:rsidRPr="001B45E1" w:rsidRDefault="00565FD5" w:rsidP="00565FD5">
      <w:pPr>
        <w:rPr>
          <w:rFonts w:cs="Tahoma"/>
          <w:sz w:val="12"/>
          <w:szCs w:val="12"/>
        </w:rPr>
      </w:pPr>
      <w:r w:rsidRPr="001B45E1">
        <w:rPr>
          <w:rFonts w:cs="Tahoma"/>
          <w:sz w:val="12"/>
          <w:szCs w:val="12"/>
        </w:rPr>
        <w:t xml:space="preserve">(4) Geçiş süreci kültür alanı dahildir. </w:t>
      </w:r>
    </w:p>
    <w:p w:rsidR="00565FD5" w:rsidRDefault="00565FD5" w:rsidP="00565FD5">
      <w:pPr>
        <w:spacing w:after="240"/>
        <w:rPr>
          <w:rFonts w:cs="Tahoma"/>
          <w:sz w:val="12"/>
          <w:szCs w:val="12"/>
        </w:rPr>
      </w:pPr>
      <w:r w:rsidRPr="001B45E1">
        <w:rPr>
          <w:rFonts w:cs="Tahoma"/>
          <w:sz w:val="12"/>
          <w:szCs w:val="12"/>
        </w:rPr>
        <w:lastRenderedPageBreak/>
        <w:t>(5) 9. Plan Hedefi, tarımsal alan eşdeğerine dönüştürülmüştür.</w:t>
      </w:r>
    </w:p>
    <w:p w:rsidR="00565FD5" w:rsidRPr="001B45E1" w:rsidRDefault="00565FD5" w:rsidP="00565FD5">
      <w:pPr>
        <w:spacing w:after="180"/>
        <w:rPr>
          <w:rFonts w:cs="Tahoma"/>
          <w:szCs w:val="18"/>
        </w:rPr>
      </w:pPr>
      <w:r>
        <w:rPr>
          <w:rFonts w:cs="Tahoma"/>
          <w:szCs w:val="18"/>
        </w:rPr>
        <w:tab/>
      </w:r>
      <w:r w:rsidRPr="001B45E1">
        <w:rPr>
          <w:rFonts w:cs="Tahoma"/>
          <w:szCs w:val="18"/>
        </w:rPr>
        <w:t>Öte yandan, yenilenen gıda güvenilirliği mevzuatı sonrasında, gıda kontrol sisteminin bir parçası olan denetim altyapısının iyileştirilmesine yönelik yatırımlar ile risk analiz sistemi oluşturulması ve gıda güven</w:t>
      </w:r>
      <w:r>
        <w:rPr>
          <w:rFonts w:cs="Tahoma"/>
          <w:szCs w:val="18"/>
        </w:rPr>
        <w:t>i</w:t>
      </w:r>
      <w:r w:rsidRPr="001B45E1">
        <w:rPr>
          <w:rFonts w:cs="Tahoma"/>
          <w:szCs w:val="18"/>
        </w:rPr>
        <w:t>li</w:t>
      </w:r>
      <w:r>
        <w:rPr>
          <w:rFonts w:cs="Tahoma"/>
          <w:szCs w:val="18"/>
        </w:rPr>
        <w:t>rliği</w:t>
      </w:r>
      <w:r w:rsidRPr="001B45E1">
        <w:rPr>
          <w:rFonts w:cs="Tahoma"/>
          <w:szCs w:val="18"/>
        </w:rPr>
        <w:t xml:space="preserve"> bilgi ağının geliştirilmesi ihtiyacı bulunmaktadır. Hayvan ve bitki sağlığı ile gıda kontrolüne yönelik çalışmakta olan laboratuvarların yeniden yapılandırılması ve akreditasyonu için gerekli programlamanın yapılarak ihtiyaçların karşılanması önem arz etmektedir.</w:t>
      </w:r>
    </w:p>
    <w:p w:rsidR="00565FD5" w:rsidRPr="001B45E1" w:rsidRDefault="00565FD5" w:rsidP="00565FD5">
      <w:pPr>
        <w:spacing w:after="180"/>
        <w:rPr>
          <w:rFonts w:cs="Tahoma"/>
          <w:szCs w:val="18"/>
        </w:rPr>
      </w:pPr>
      <w:r w:rsidRPr="001B45E1">
        <w:rPr>
          <w:rFonts w:cs="Tahoma"/>
          <w:szCs w:val="18"/>
        </w:rPr>
        <w:tab/>
        <w:t xml:space="preserve">Kamu şeker fabrikalarının amaçlandığı gibi 2014 yılı sonuna kadar özelleştirilmesi tamamlandığı takdirde, şeker sektöründe gerekli görülen yeni bir kota denetimi ve izleme sisteminin kurulması için mevzuat çalışmalarının bitirilmesi önemli görülmektedir. </w:t>
      </w:r>
    </w:p>
    <w:p w:rsidR="00565FD5" w:rsidRPr="001B45E1" w:rsidRDefault="00565FD5" w:rsidP="00565FD5">
      <w:pPr>
        <w:pStyle w:val="Balk4"/>
        <w:rPr>
          <w:szCs w:val="18"/>
        </w:rPr>
      </w:pPr>
      <w:bookmarkStart w:id="1849" w:name="_Toc276059242"/>
      <w:bookmarkStart w:id="1850" w:name="_Toc307602007"/>
      <w:bookmarkStart w:id="1851" w:name="_Toc307670456"/>
      <w:bookmarkStart w:id="1852" w:name="_Toc307701682"/>
      <w:bookmarkStart w:id="1853" w:name="_Toc338505588"/>
      <w:bookmarkStart w:id="1854" w:name="_Toc338523816"/>
      <w:bookmarkStart w:id="1855" w:name="_Toc338524047"/>
      <w:bookmarkStart w:id="1856" w:name="_Toc338526273"/>
      <w:bookmarkStart w:id="1857" w:name="_Toc338673716"/>
      <w:bookmarkStart w:id="1858" w:name="_Toc338711595"/>
      <w:r w:rsidRPr="001B45E1">
        <w:t>2. Temel Amaç ve Hedefler</w:t>
      </w:r>
      <w:bookmarkEnd w:id="1838"/>
      <w:bookmarkEnd w:id="1839"/>
      <w:bookmarkEnd w:id="1840"/>
      <w:bookmarkEnd w:id="1841"/>
      <w:bookmarkEnd w:id="1842"/>
      <w:bookmarkEnd w:id="1843"/>
      <w:bookmarkEnd w:id="1849"/>
      <w:bookmarkEnd w:id="1850"/>
      <w:bookmarkEnd w:id="1851"/>
      <w:bookmarkEnd w:id="1852"/>
      <w:bookmarkEnd w:id="1853"/>
      <w:bookmarkEnd w:id="1854"/>
      <w:bookmarkEnd w:id="1855"/>
      <w:bookmarkEnd w:id="1856"/>
      <w:bookmarkEnd w:id="1857"/>
      <w:bookmarkEnd w:id="1858"/>
    </w:p>
    <w:p w:rsidR="00565FD5" w:rsidRPr="001B45E1" w:rsidRDefault="00565FD5" w:rsidP="00565FD5">
      <w:pPr>
        <w:spacing w:after="180"/>
        <w:rPr>
          <w:szCs w:val="18"/>
        </w:rPr>
      </w:pPr>
      <w:r w:rsidRPr="001B45E1">
        <w:rPr>
          <w:szCs w:val="18"/>
        </w:rPr>
        <w:tab/>
        <w:t>Tarım sektöründe, gıda güvenliği ve güvenilirliğinin sağlanması ile doğal kaynakların sürdürülebilir kullanımı gözetilerek, örgütlü ve rekabet gücü yüksek bir yapının oluşturulması temel amaçtır.</w:t>
      </w:r>
      <w:r w:rsidRPr="001B45E1">
        <w:rPr>
          <w:szCs w:val="18"/>
        </w:rPr>
        <w:tab/>
      </w:r>
    </w:p>
    <w:p w:rsidR="00565FD5" w:rsidRPr="001B45E1" w:rsidRDefault="00565FD5" w:rsidP="00565FD5">
      <w:pPr>
        <w:spacing w:after="180"/>
        <w:rPr>
          <w:szCs w:val="18"/>
        </w:rPr>
      </w:pPr>
      <w:r w:rsidRPr="001B45E1">
        <w:rPr>
          <w:szCs w:val="18"/>
        </w:rPr>
        <w:tab/>
        <w:t>AB’ye katılım sürecinde, Türkiye’nin üyelik sonrasında Birlik içerisinde rekabet edebilirliğini artıracak şekilde, kurumsal ve idari yapılarda gerekli dönüşüme öncelik verilecektir. Ayrıca, tarımsal destekleme politikaları, AB'ye katılım sürecinin gerekleri de göz önüne alınarak, üretimde etkinliği, verimliliği ve kaliteyi artırmaya yönelik olarak düzenlenecektir.</w:t>
      </w:r>
    </w:p>
    <w:p w:rsidR="00565FD5" w:rsidRPr="001B45E1" w:rsidRDefault="00565FD5" w:rsidP="00565FD5">
      <w:pPr>
        <w:pStyle w:val="Balk4"/>
      </w:pPr>
      <w:bookmarkStart w:id="1859" w:name="_Toc276059243"/>
      <w:bookmarkStart w:id="1860" w:name="_Toc244339623"/>
      <w:bookmarkStart w:id="1861" w:name="_Toc244315160"/>
      <w:bookmarkStart w:id="1862" w:name="_Toc244313684"/>
      <w:bookmarkStart w:id="1863" w:name="_Toc244254949"/>
      <w:bookmarkStart w:id="1864" w:name="_Toc244253699"/>
      <w:bookmarkStart w:id="1865" w:name="_Toc213065684"/>
      <w:bookmarkStart w:id="1866" w:name="_Toc307602008"/>
      <w:bookmarkStart w:id="1867" w:name="_Toc307670457"/>
      <w:bookmarkStart w:id="1868" w:name="_Toc307701683"/>
      <w:bookmarkStart w:id="1869" w:name="_Toc338505589"/>
      <w:bookmarkStart w:id="1870" w:name="_Toc338523817"/>
      <w:bookmarkStart w:id="1871" w:name="_Toc338524048"/>
      <w:bookmarkStart w:id="1872" w:name="_Toc338526274"/>
      <w:bookmarkStart w:id="1873" w:name="_Toc338673717"/>
      <w:bookmarkStart w:id="1874" w:name="_Toc338711596"/>
      <w:r w:rsidRPr="001B45E1">
        <w:t>3. Politika Öncelikleri ve Tedbirler</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tbl>
      <w:tblPr>
        <w:tblW w:w="7088" w:type="dxa"/>
        <w:jc w:val="center"/>
        <w:tblCellMar>
          <w:left w:w="0" w:type="dxa"/>
          <w:right w:w="0" w:type="dxa"/>
        </w:tblCellMar>
        <w:tblLook w:val="00A0"/>
      </w:tblPr>
      <w:tblGrid>
        <w:gridCol w:w="2185"/>
        <w:gridCol w:w="1756"/>
        <w:gridCol w:w="655"/>
        <w:gridCol w:w="2492"/>
      </w:tblGrid>
      <w:tr w:rsidR="00565FD5" w:rsidRPr="001B45E1" w:rsidTr="00AB62A3">
        <w:trPr>
          <w:trHeight w:val="20"/>
          <w:jc w:val="center"/>
        </w:trPr>
        <w:tc>
          <w:tcPr>
            <w:tcW w:w="1541" w:type="pct"/>
            <w:tcBorders>
              <w:top w:val="single" w:sz="4" w:space="0" w:color="auto"/>
              <w:left w:val="single" w:sz="4" w:space="0" w:color="auto"/>
              <w:bottom w:val="single" w:sz="4" w:space="0" w:color="auto"/>
              <w:right w:val="single" w:sz="4" w:space="0" w:color="auto"/>
            </w:tcBorders>
            <w:vAlign w:val="bottom"/>
          </w:tcPr>
          <w:p w:rsidR="00565FD5" w:rsidRPr="001B45E1" w:rsidRDefault="00565FD5" w:rsidP="00AB62A3">
            <w:pPr>
              <w:tabs>
                <w:tab w:val="left" w:pos="708"/>
              </w:tabs>
              <w:ind w:left="57" w:right="57"/>
              <w:rPr>
                <w:rFonts w:cs="Tahoma"/>
                <w:b/>
                <w:bCs/>
                <w:sz w:val="16"/>
                <w:szCs w:val="16"/>
                <w:lang w:eastAsia="tr-TR"/>
              </w:rPr>
            </w:pPr>
            <w:r w:rsidRPr="001B45E1">
              <w:rPr>
                <w:rFonts w:cs="Tahoma"/>
                <w:b/>
                <w:bCs/>
                <w:sz w:val="16"/>
                <w:szCs w:val="16"/>
                <w:lang w:eastAsia="tr-TR"/>
              </w:rPr>
              <w:t>Öncelik / Tedbir</w:t>
            </w:r>
          </w:p>
        </w:tc>
        <w:tc>
          <w:tcPr>
            <w:tcW w:w="1239" w:type="pct"/>
            <w:tcBorders>
              <w:top w:val="single" w:sz="4" w:space="0" w:color="auto"/>
              <w:left w:val="nil"/>
              <w:bottom w:val="single" w:sz="4" w:space="0" w:color="auto"/>
              <w:right w:val="single" w:sz="4" w:space="0" w:color="auto"/>
            </w:tcBorders>
            <w:vAlign w:val="bottom"/>
          </w:tcPr>
          <w:p w:rsidR="00565FD5" w:rsidRPr="001B45E1" w:rsidRDefault="00565FD5" w:rsidP="00AB62A3">
            <w:pPr>
              <w:tabs>
                <w:tab w:val="left" w:pos="708"/>
              </w:tabs>
              <w:ind w:left="57" w:right="57"/>
              <w:rPr>
                <w:rFonts w:cs="Tahoma"/>
                <w:b/>
                <w:bCs/>
                <w:sz w:val="16"/>
                <w:szCs w:val="16"/>
                <w:lang w:eastAsia="tr-TR"/>
              </w:rPr>
            </w:pPr>
            <w:r w:rsidRPr="001B45E1">
              <w:rPr>
                <w:rFonts w:cs="Tahoma"/>
                <w:b/>
                <w:bCs/>
                <w:sz w:val="16"/>
                <w:szCs w:val="16"/>
                <w:lang w:eastAsia="tr-TR"/>
              </w:rPr>
              <w:t>Sorumlu/ İşbirliği Yapılacak Kuruluşlar</w:t>
            </w:r>
          </w:p>
        </w:tc>
        <w:tc>
          <w:tcPr>
            <w:tcW w:w="462" w:type="pct"/>
            <w:tcBorders>
              <w:top w:val="single" w:sz="4" w:space="0" w:color="auto"/>
              <w:left w:val="nil"/>
              <w:bottom w:val="single" w:sz="4" w:space="0" w:color="auto"/>
              <w:right w:val="single" w:sz="4" w:space="0" w:color="auto"/>
            </w:tcBorders>
            <w:vAlign w:val="bottom"/>
          </w:tcPr>
          <w:p w:rsidR="00565FD5" w:rsidRPr="001B45E1" w:rsidRDefault="00565FD5" w:rsidP="00AB62A3">
            <w:pPr>
              <w:tabs>
                <w:tab w:val="left" w:pos="708"/>
              </w:tabs>
              <w:ind w:left="57" w:right="57"/>
              <w:rPr>
                <w:rFonts w:cs="Tahoma"/>
                <w:b/>
                <w:bCs/>
                <w:sz w:val="16"/>
                <w:szCs w:val="16"/>
                <w:lang w:eastAsia="tr-TR"/>
              </w:rPr>
            </w:pPr>
            <w:r w:rsidRPr="001B45E1">
              <w:rPr>
                <w:rFonts w:cs="Tahoma"/>
                <w:b/>
                <w:bCs/>
                <w:sz w:val="16"/>
                <w:szCs w:val="16"/>
                <w:lang w:eastAsia="tr-TR"/>
              </w:rPr>
              <w:t>Süre</w:t>
            </w:r>
          </w:p>
        </w:tc>
        <w:tc>
          <w:tcPr>
            <w:tcW w:w="1758" w:type="pct"/>
            <w:tcBorders>
              <w:top w:val="single" w:sz="4" w:space="0" w:color="auto"/>
              <w:left w:val="nil"/>
              <w:bottom w:val="single" w:sz="4" w:space="0" w:color="auto"/>
              <w:right w:val="single" w:sz="4" w:space="0" w:color="auto"/>
            </w:tcBorders>
            <w:vAlign w:val="bottom"/>
          </w:tcPr>
          <w:p w:rsidR="00565FD5" w:rsidRPr="001B45E1" w:rsidRDefault="00565FD5" w:rsidP="00AB62A3">
            <w:pPr>
              <w:tabs>
                <w:tab w:val="left" w:pos="708"/>
              </w:tabs>
              <w:ind w:left="57" w:right="57"/>
              <w:rPr>
                <w:rFonts w:cs="Tahoma"/>
                <w:b/>
                <w:bCs/>
                <w:sz w:val="16"/>
                <w:szCs w:val="16"/>
                <w:lang w:eastAsia="tr-TR"/>
              </w:rPr>
            </w:pPr>
            <w:r w:rsidRPr="001B45E1">
              <w:rPr>
                <w:rFonts w:cs="Tahoma"/>
                <w:b/>
                <w:bCs/>
                <w:sz w:val="16"/>
                <w:szCs w:val="16"/>
                <w:lang w:eastAsia="tr-TR"/>
              </w:rPr>
              <w:t>Yapılacak İşlem ve Açıklama</w:t>
            </w:r>
          </w:p>
        </w:tc>
      </w:tr>
      <w:tr w:rsidR="00565FD5" w:rsidRPr="001B45E1" w:rsidTr="00AB62A3">
        <w:trPr>
          <w:trHeight w:val="20"/>
          <w:jc w:val="center"/>
        </w:trPr>
        <w:tc>
          <w:tcPr>
            <w:tcW w:w="5000" w:type="pct"/>
            <w:gridSpan w:val="4"/>
            <w:tcBorders>
              <w:top w:val="nil"/>
              <w:left w:val="single" w:sz="4" w:space="0" w:color="auto"/>
              <w:bottom w:val="single" w:sz="4" w:space="0" w:color="auto"/>
              <w:right w:val="single" w:sz="4" w:space="0" w:color="auto"/>
            </w:tcBorders>
          </w:tcPr>
          <w:p w:rsidR="00565FD5" w:rsidRPr="001B45E1" w:rsidRDefault="00565FD5" w:rsidP="00EB1E69">
            <w:pPr>
              <w:numPr>
                <w:ilvl w:val="0"/>
                <w:numId w:val="15"/>
              </w:numPr>
              <w:tabs>
                <w:tab w:val="left" w:pos="425"/>
              </w:tabs>
              <w:spacing w:before="40" w:after="0" w:line="240" w:lineRule="auto"/>
              <w:ind w:right="57"/>
              <w:jc w:val="both"/>
              <w:rPr>
                <w:rFonts w:cs="Tahoma"/>
                <w:sz w:val="16"/>
                <w:szCs w:val="16"/>
                <w:lang w:eastAsia="tr-TR"/>
              </w:rPr>
            </w:pPr>
            <w:r w:rsidRPr="001B45E1">
              <w:rPr>
                <w:rFonts w:cs="Tahoma"/>
                <w:b/>
                <w:bCs/>
                <w:sz w:val="16"/>
                <w:szCs w:val="16"/>
                <w:lang w:eastAsia="tr-TR"/>
              </w:rPr>
              <w:t xml:space="preserve">Sektörde rekabet edebilirliğin artırılması amacıyla tarımsal ürün piyasaları güçlendirilecektir. </w:t>
            </w:r>
          </w:p>
        </w:tc>
      </w:tr>
      <w:tr w:rsidR="00565FD5" w:rsidRPr="001B45E1" w:rsidTr="00AB62A3">
        <w:trPr>
          <w:trHeight w:val="20"/>
          <w:jc w:val="center"/>
        </w:trPr>
        <w:tc>
          <w:tcPr>
            <w:tcW w:w="1541" w:type="pct"/>
            <w:tcBorders>
              <w:top w:val="nil"/>
              <w:left w:val="single" w:sz="4" w:space="0" w:color="auto"/>
              <w:bottom w:val="single" w:sz="4" w:space="0" w:color="auto"/>
              <w:right w:val="single" w:sz="4" w:space="0" w:color="auto"/>
            </w:tcBorders>
          </w:tcPr>
          <w:p w:rsidR="00565FD5" w:rsidRPr="001B45E1" w:rsidRDefault="00565FD5" w:rsidP="00EB1E69">
            <w:pPr>
              <w:numPr>
                <w:ilvl w:val="0"/>
                <w:numId w:val="14"/>
              </w:numPr>
              <w:tabs>
                <w:tab w:val="left" w:pos="425"/>
              </w:tabs>
              <w:spacing w:before="40" w:after="60" w:line="240" w:lineRule="auto"/>
              <w:ind w:right="57"/>
              <w:rPr>
                <w:rFonts w:cs="Tahoma"/>
                <w:sz w:val="16"/>
                <w:szCs w:val="16"/>
              </w:rPr>
            </w:pPr>
            <w:r w:rsidRPr="001B45E1">
              <w:rPr>
                <w:rFonts w:cs="Tahoma"/>
                <w:sz w:val="16"/>
                <w:szCs w:val="16"/>
              </w:rPr>
              <w:t xml:space="preserve">Besi ve süt hayvancılığının istikrarlı bir şekilde gelişmesi sağlanacaktır. </w:t>
            </w:r>
          </w:p>
        </w:tc>
        <w:tc>
          <w:tcPr>
            <w:tcW w:w="1239" w:type="pct"/>
            <w:tcBorders>
              <w:top w:val="nil"/>
              <w:left w:val="nil"/>
              <w:bottom w:val="single" w:sz="4" w:space="0" w:color="auto"/>
              <w:right w:val="single" w:sz="4" w:space="0" w:color="auto"/>
            </w:tcBorders>
          </w:tcPr>
          <w:p w:rsidR="00565FD5" w:rsidRPr="001B45E1" w:rsidRDefault="00565FD5" w:rsidP="00AB62A3">
            <w:pPr>
              <w:spacing w:before="40" w:after="60"/>
              <w:ind w:left="57" w:right="57"/>
              <w:rPr>
                <w:rFonts w:cs="Tahoma"/>
                <w:sz w:val="16"/>
                <w:szCs w:val="16"/>
              </w:rPr>
            </w:pPr>
            <w:r w:rsidRPr="001B45E1">
              <w:rPr>
                <w:rFonts w:cs="Tahoma"/>
                <w:sz w:val="16"/>
                <w:szCs w:val="16"/>
              </w:rPr>
              <w:t>Gıda, Tarım ve Hayvancılık Bakanlığı (S), Kalkınma Bakanlığı, Maliye Bakanlığı, Hazine Müsteşarlığı, Üretici Örgütleri</w:t>
            </w:r>
          </w:p>
        </w:tc>
        <w:tc>
          <w:tcPr>
            <w:tcW w:w="462" w:type="pct"/>
            <w:tcBorders>
              <w:top w:val="nil"/>
              <w:left w:val="nil"/>
              <w:bottom w:val="single" w:sz="4" w:space="0" w:color="auto"/>
              <w:right w:val="single" w:sz="4" w:space="0" w:color="auto"/>
            </w:tcBorders>
          </w:tcPr>
          <w:p w:rsidR="00565FD5" w:rsidRPr="001B45E1" w:rsidRDefault="00565FD5" w:rsidP="00AB62A3">
            <w:pPr>
              <w:spacing w:before="40" w:after="60"/>
              <w:ind w:left="57" w:right="57"/>
              <w:rPr>
                <w:rFonts w:cs="Tahoma"/>
                <w:sz w:val="16"/>
                <w:szCs w:val="16"/>
              </w:rPr>
            </w:pPr>
            <w:r w:rsidRPr="001B45E1">
              <w:rPr>
                <w:rFonts w:cs="Tahoma"/>
                <w:sz w:val="16"/>
                <w:szCs w:val="16"/>
              </w:rPr>
              <w:t>Aralık Sonu</w:t>
            </w:r>
          </w:p>
        </w:tc>
        <w:tc>
          <w:tcPr>
            <w:tcW w:w="1758" w:type="pct"/>
            <w:tcBorders>
              <w:top w:val="nil"/>
              <w:left w:val="nil"/>
              <w:bottom w:val="single" w:sz="4" w:space="0" w:color="auto"/>
              <w:right w:val="single" w:sz="4" w:space="0" w:color="auto"/>
            </w:tcBorders>
          </w:tcPr>
          <w:p w:rsidR="00565FD5" w:rsidRPr="001B45E1" w:rsidRDefault="00565FD5" w:rsidP="00AB62A3">
            <w:pPr>
              <w:spacing w:before="40" w:after="60"/>
              <w:ind w:left="57" w:right="57"/>
              <w:rPr>
                <w:rFonts w:cs="Tahoma"/>
                <w:sz w:val="16"/>
                <w:szCs w:val="16"/>
              </w:rPr>
            </w:pPr>
            <w:r w:rsidRPr="001B45E1">
              <w:rPr>
                <w:rFonts w:cs="Tahoma"/>
                <w:sz w:val="16"/>
                <w:szCs w:val="16"/>
              </w:rPr>
              <w:t xml:space="preserve">Hayvancılıkta verimlilik ve kalite artışının sağlanması, olası süt arz-talep dengesizliğinin önüne geçilmesi ve et üretiminin düzenli bir şekilde artırılarak ette arz güvenliğinin sağlanması amacıyla, özellikle bölgesel programlar yoluyla, besi hayvancılığı, etçi ve kombine ırk sığır yetiştiriciliği ile </w:t>
            </w:r>
            <w:r w:rsidRPr="001B45E1">
              <w:rPr>
                <w:rFonts w:cs="Tahoma"/>
                <w:sz w:val="16"/>
                <w:szCs w:val="16"/>
              </w:rPr>
              <w:lastRenderedPageBreak/>
              <w:t xml:space="preserve">küçükbaş hayvan yetiştiriciliğinin geliştirilmesi desteklenecektir. </w:t>
            </w:r>
          </w:p>
        </w:tc>
      </w:tr>
      <w:tr w:rsidR="00565FD5" w:rsidRPr="001B45E1" w:rsidTr="00AB62A3">
        <w:trPr>
          <w:trHeight w:val="20"/>
          <w:jc w:val="center"/>
        </w:trPr>
        <w:tc>
          <w:tcPr>
            <w:tcW w:w="1541" w:type="pct"/>
            <w:tcBorders>
              <w:top w:val="single" w:sz="4" w:space="0" w:color="auto"/>
              <w:left w:val="single" w:sz="4" w:space="0" w:color="auto"/>
              <w:bottom w:val="single" w:sz="4" w:space="0" w:color="auto"/>
              <w:right w:val="single" w:sz="4" w:space="0" w:color="auto"/>
            </w:tcBorders>
          </w:tcPr>
          <w:p w:rsidR="00565FD5" w:rsidRPr="001B45E1" w:rsidRDefault="00565FD5" w:rsidP="00EB1E69">
            <w:pPr>
              <w:numPr>
                <w:ilvl w:val="0"/>
                <w:numId w:val="14"/>
              </w:numPr>
              <w:tabs>
                <w:tab w:val="left" w:pos="425"/>
              </w:tabs>
              <w:spacing w:before="40" w:after="60" w:line="240" w:lineRule="auto"/>
              <w:ind w:right="57"/>
              <w:rPr>
                <w:rFonts w:cs="Tahoma"/>
                <w:sz w:val="16"/>
                <w:szCs w:val="16"/>
              </w:rPr>
            </w:pPr>
            <w:r w:rsidRPr="001B45E1">
              <w:rPr>
                <w:rFonts w:cs="Tahoma"/>
                <w:sz w:val="16"/>
                <w:szCs w:val="16"/>
              </w:rPr>
              <w:lastRenderedPageBreak/>
              <w:t>Tarımsal ürün piyasalarında istikrar sağlanmasına yardımcı olacak şekilde piyasayı güçlendirici altyapılar oluşturulacaktır.</w:t>
            </w:r>
          </w:p>
        </w:tc>
        <w:tc>
          <w:tcPr>
            <w:tcW w:w="1239" w:type="pct"/>
            <w:tcBorders>
              <w:top w:val="single" w:sz="4" w:space="0" w:color="auto"/>
              <w:left w:val="nil"/>
              <w:bottom w:val="single" w:sz="4" w:space="0" w:color="auto"/>
              <w:right w:val="single" w:sz="4" w:space="0" w:color="auto"/>
            </w:tcBorders>
          </w:tcPr>
          <w:p w:rsidR="00565FD5" w:rsidRPr="001B45E1" w:rsidRDefault="00565FD5" w:rsidP="00AB62A3">
            <w:pPr>
              <w:spacing w:before="40" w:after="60"/>
              <w:ind w:left="57" w:right="57"/>
              <w:rPr>
                <w:rFonts w:cs="Tahoma"/>
                <w:sz w:val="16"/>
                <w:szCs w:val="16"/>
              </w:rPr>
            </w:pPr>
            <w:r w:rsidRPr="001B45E1">
              <w:rPr>
                <w:rFonts w:cs="Tahoma"/>
                <w:sz w:val="16"/>
                <w:szCs w:val="16"/>
              </w:rPr>
              <w:t>Gıda, Tarım ve Hayvancılık Bakanlığı (S), Avrupa Birliği Bakanlığı, Bilim, Sanayi ve Teknoloji Bakanlığı, Gümrük ve Ticaret Bakanlığı,  Kalkınma Bakanlığı, Maliye Bakanlığı, Hazine Müsteşarlığı, Üretici Örgütleri</w:t>
            </w:r>
          </w:p>
        </w:tc>
        <w:tc>
          <w:tcPr>
            <w:tcW w:w="462" w:type="pct"/>
            <w:tcBorders>
              <w:top w:val="single" w:sz="4" w:space="0" w:color="auto"/>
              <w:left w:val="nil"/>
              <w:bottom w:val="single" w:sz="4" w:space="0" w:color="auto"/>
              <w:right w:val="single" w:sz="4" w:space="0" w:color="auto"/>
            </w:tcBorders>
          </w:tcPr>
          <w:p w:rsidR="00565FD5" w:rsidRPr="001B45E1" w:rsidRDefault="00565FD5" w:rsidP="00AB62A3">
            <w:pPr>
              <w:spacing w:before="40" w:after="60"/>
              <w:ind w:left="57" w:right="57"/>
              <w:rPr>
                <w:rFonts w:cs="Tahoma"/>
                <w:sz w:val="16"/>
                <w:szCs w:val="16"/>
              </w:rPr>
            </w:pPr>
            <w:r w:rsidRPr="001B45E1">
              <w:rPr>
                <w:rFonts w:cs="Tahoma"/>
                <w:sz w:val="16"/>
                <w:szCs w:val="16"/>
              </w:rPr>
              <w:t>Aralık Sonu</w:t>
            </w:r>
          </w:p>
        </w:tc>
        <w:tc>
          <w:tcPr>
            <w:tcW w:w="1758" w:type="pct"/>
            <w:tcBorders>
              <w:top w:val="single" w:sz="4" w:space="0" w:color="auto"/>
              <w:left w:val="nil"/>
              <w:bottom w:val="single" w:sz="4" w:space="0" w:color="auto"/>
              <w:right w:val="single" w:sz="4" w:space="0" w:color="auto"/>
            </w:tcBorders>
          </w:tcPr>
          <w:p w:rsidR="00565FD5" w:rsidRPr="001B45E1" w:rsidRDefault="00565FD5" w:rsidP="00AB62A3">
            <w:pPr>
              <w:spacing w:before="40" w:after="60"/>
              <w:ind w:left="57" w:right="57"/>
              <w:rPr>
                <w:rFonts w:cs="Tahoma"/>
                <w:sz w:val="16"/>
                <w:szCs w:val="16"/>
              </w:rPr>
            </w:pPr>
            <w:r w:rsidRPr="001B45E1">
              <w:rPr>
                <w:rFonts w:cs="Tahoma"/>
                <w:sz w:val="16"/>
                <w:szCs w:val="16"/>
              </w:rPr>
              <w:t xml:space="preserve">Fiyat dalgalanmalarının azaltılması ile ürün arzı ve çiftçi gelirlerinde istikrarın sağlanması amacıyla, AB üye ülke uygulamalarını gözeterek, pazarlama standartlarının oluşturulması, fiyat izleme sisteminin kurulması, üretici örgütlerine ilişkin mevzuatın yeniden düzenlenmesi ile piyasayı düzenleyici niteliği olan kurum ve kuruluşların idari ve teknik kapasitesinin güçlendirilmesine ilişkin bir yol haritası hazırlanarak gerekli çalışmalar yürütülecektir. </w:t>
            </w:r>
          </w:p>
        </w:tc>
      </w:tr>
      <w:tr w:rsidR="00565FD5" w:rsidRPr="001B45E1" w:rsidTr="00AB62A3">
        <w:trPr>
          <w:trHeight w:val="20"/>
          <w:jc w:val="center"/>
        </w:trPr>
        <w:tc>
          <w:tcPr>
            <w:tcW w:w="1541" w:type="pct"/>
            <w:tcBorders>
              <w:top w:val="nil"/>
              <w:left w:val="single" w:sz="4" w:space="0" w:color="auto"/>
              <w:bottom w:val="single" w:sz="4" w:space="0" w:color="auto"/>
              <w:right w:val="single" w:sz="4" w:space="0" w:color="auto"/>
            </w:tcBorders>
          </w:tcPr>
          <w:p w:rsidR="00565FD5" w:rsidRPr="001B45E1" w:rsidRDefault="00565FD5" w:rsidP="00EB1E69">
            <w:pPr>
              <w:numPr>
                <w:ilvl w:val="0"/>
                <w:numId w:val="14"/>
              </w:numPr>
              <w:tabs>
                <w:tab w:val="left" w:pos="425"/>
              </w:tabs>
              <w:spacing w:before="40" w:after="60" w:line="240" w:lineRule="auto"/>
              <w:ind w:right="57"/>
              <w:rPr>
                <w:rFonts w:cs="Tahoma"/>
                <w:sz w:val="16"/>
                <w:szCs w:val="16"/>
              </w:rPr>
            </w:pPr>
            <w:r w:rsidRPr="001B45E1">
              <w:rPr>
                <w:rFonts w:cs="Tahoma"/>
                <w:sz w:val="16"/>
                <w:szCs w:val="16"/>
              </w:rPr>
              <w:t>Şeker sektöründe kurumsal düzenleme tamamlanacak, kota yönetimi ve denetimi etkinleştirilecektir.</w:t>
            </w:r>
          </w:p>
        </w:tc>
        <w:tc>
          <w:tcPr>
            <w:tcW w:w="1239" w:type="pct"/>
            <w:tcBorders>
              <w:top w:val="nil"/>
              <w:left w:val="nil"/>
              <w:bottom w:val="single" w:sz="4" w:space="0" w:color="auto"/>
              <w:right w:val="single" w:sz="4" w:space="0" w:color="auto"/>
            </w:tcBorders>
          </w:tcPr>
          <w:p w:rsidR="00565FD5" w:rsidRPr="001B45E1" w:rsidRDefault="00565FD5" w:rsidP="00AB62A3">
            <w:pPr>
              <w:spacing w:before="40" w:after="60"/>
              <w:ind w:left="57" w:right="57"/>
              <w:rPr>
                <w:rFonts w:cs="Tahoma"/>
                <w:sz w:val="16"/>
                <w:szCs w:val="16"/>
              </w:rPr>
            </w:pPr>
            <w:r w:rsidRPr="001B45E1">
              <w:rPr>
                <w:rFonts w:cs="Tahoma"/>
                <w:sz w:val="16"/>
                <w:szCs w:val="16"/>
              </w:rPr>
              <w:t>Bilim, Sanayi ve Teknoloji Bakanlığı (S), Gıda, Tarım ve Hayvancılık Bakanlığı,  Şeker Kurumu</w:t>
            </w:r>
          </w:p>
        </w:tc>
        <w:tc>
          <w:tcPr>
            <w:tcW w:w="462" w:type="pct"/>
            <w:tcBorders>
              <w:top w:val="nil"/>
              <w:left w:val="nil"/>
              <w:bottom w:val="single" w:sz="4" w:space="0" w:color="auto"/>
              <w:right w:val="single" w:sz="4" w:space="0" w:color="auto"/>
            </w:tcBorders>
          </w:tcPr>
          <w:p w:rsidR="00565FD5" w:rsidRPr="001B45E1" w:rsidRDefault="00565FD5" w:rsidP="00AB62A3">
            <w:pPr>
              <w:spacing w:before="40" w:after="60"/>
              <w:ind w:left="57" w:right="57"/>
              <w:rPr>
                <w:rFonts w:cs="Tahoma"/>
                <w:sz w:val="16"/>
                <w:szCs w:val="16"/>
              </w:rPr>
            </w:pPr>
            <w:r w:rsidRPr="001B45E1">
              <w:rPr>
                <w:rFonts w:cs="Tahoma"/>
                <w:sz w:val="16"/>
                <w:szCs w:val="16"/>
              </w:rPr>
              <w:t>Haziran Sonu</w:t>
            </w:r>
          </w:p>
        </w:tc>
        <w:tc>
          <w:tcPr>
            <w:tcW w:w="1758" w:type="pct"/>
            <w:tcBorders>
              <w:top w:val="nil"/>
              <w:left w:val="nil"/>
              <w:bottom w:val="single" w:sz="4" w:space="0" w:color="auto"/>
              <w:right w:val="single" w:sz="4" w:space="0" w:color="auto"/>
            </w:tcBorders>
          </w:tcPr>
          <w:p w:rsidR="00565FD5" w:rsidRPr="001B45E1" w:rsidRDefault="00565FD5" w:rsidP="00AB62A3">
            <w:pPr>
              <w:spacing w:before="40" w:after="60"/>
              <w:ind w:left="57" w:right="57"/>
              <w:rPr>
                <w:rFonts w:cs="Tahoma"/>
                <w:sz w:val="16"/>
                <w:szCs w:val="16"/>
              </w:rPr>
            </w:pPr>
            <w:r w:rsidRPr="001B45E1">
              <w:rPr>
                <w:rFonts w:cs="Tahoma"/>
                <w:sz w:val="16"/>
                <w:szCs w:val="16"/>
              </w:rPr>
              <w:t>Şeker Kanununda, AB politikalarındaki değişimleri gözetecek ve özelleştirme sürecine paralel değişiklikleri içeren kanun tasarısı taslağı Başbakanlığa sevk edilecektir.</w:t>
            </w:r>
          </w:p>
        </w:tc>
      </w:tr>
      <w:tr w:rsidR="00565FD5" w:rsidRPr="001B45E1" w:rsidTr="00AB62A3">
        <w:trPr>
          <w:trHeight w:val="20"/>
          <w:jc w:val="center"/>
        </w:trPr>
        <w:tc>
          <w:tcPr>
            <w:tcW w:w="1541" w:type="pct"/>
            <w:tcBorders>
              <w:top w:val="single" w:sz="4" w:space="0" w:color="auto"/>
              <w:left w:val="single" w:sz="4" w:space="0" w:color="auto"/>
              <w:bottom w:val="single" w:sz="4" w:space="0" w:color="auto"/>
              <w:right w:val="single" w:sz="4" w:space="0" w:color="auto"/>
            </w:tcBorders>
          </w:tcPr>
          <w:p w:rsidR="00565FD5" w:rsidRPr="001B45E1" w:rsidRDefault="00565FD5" w:rsidP="00EB1E69">
            <w:pPr>
              <w:numPr>
                <w:ilvl w:val="0"/>
                <w:numId w:val="14"/>
              </w:numPr>
              <w:tabs>
                <w:tab w:val="left" w:pos="425"/>
              </w:tabs>
              <w:spacing w:before="40" w:after="0" w:line="240" w:lineRule="auto"/>
              <w:ind w:right="57"/>
              <w:rPr>
                <w:rFonts w:cs="Tahoma"/>
                <w:sz w:val="16"/>
                <w:szCs w:val="16"/>
              </w:rPr>
            </w:pPr>
            <w:r w:rsidRPr="001B45E1">
              <w:rPr>
                <w:rFonts w:cs="Tahoma"/>
                <w:sz w:val="16"/>
                <w:szCs w:val="16"/>
              </w:rPr>
              <w:t xml:space="preserve">Biyoyakıtlara ilişkin düzenlemelerin tarım sektörüne yönelik etkileri analiz edilecektir. </w:t>
            </w:r>
          </w:p>
        </w:tc>
        <w:tc>
          <w:tcPr>
            <w:tcW w:w="1239"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Gıda, Tarım ve Hayvancılık Bakanlığı (S), Çevre ve Şehircilik Bakanlığı, Enerji ve Tabii Kaynaklar Bakanlığı, Maliye Bakanlığı, Kalkınma Bakanlığı, EPDK, TAPDK, Üretici Örgütleri, STK’lar, Üniversiteler</w:t>
            </w:r>
          </w:p>
        </w:tc>
        <w:tc>
          <w:tcPr>
            <w:tcW w:w="462"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Haziran Sonu</w:t>
            </w:r>
          </w:p>
        </w:tc>
        <w:tc>
          <w:tcPr>
            <w:tcW w:w="1758"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 xml:space="preserve">Zorunlu harmanlama oranı uygulamasının tarım sektörüne etkisinin, özellikle arazi kullanımı, gıda güvenliği,  üretici gelirleri ile fiyatlar temelinde incelenmesini içeren bir etki analizi çalışması yapılacaktır. </w:t>
            </w:r>
          </w:p>
        </w:tc>
      </w:tr>
      <w:tr w:rsidR="00565FD5" w:rsidRPr="001B45E1" w:rsidTr="00AB62A3">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565FD5" w:rsidRPr="001B45E1" w:rsidRDefault="00565FD5" w:rsidP="00EB1E69">
            <w:pPr>
              <w:numPr>
                <w:ilvl w:val="0"/>
                <w:numId w:val="15"/>
              </w:numPr>
              <w:tabs>
                <w:tab w:val="left" w:pos="425"/>
              </w:tabs>
              <w:spacing w:before="40" w:after="0" w:line="240" w:lineRule="auto"/>
              <w:ind w:right="57"/>
              <w:jc w:val="both"/>
              <w:rPr>
                <w:rFonts w:cs="Tahoma"/>
                <w:b/>
                <w:sz w:val="16"/>
                <w:szCs w:val="16"/>
              </w:rPr>
            </w:pPr>
            <w:r w:rsidRPr="001B45E1">
              <w:rPr>
                <w:rFonts w:cs="Tahoma"/>
                <w:b/>
                <w:bCs/>
                <w:sz w:val="16"/>
                <w:szCs w:val="16"/>
                <w:lang w:eastAsia="tr-TR"/>
              </w:rPr>
              <w:t xml:space="preserve">Tarım sektöründe kurumsal ve idari yapılarda gerekli dönüşüme öncelik verilecektir. </w:t>
            </w:r>
          </w:p>
        </w:tc>
      </w:tr>
      <w:tr w:rsidR="00565FD5" w:rsidRPr="001B45E1" w:rsidTr="00AB62A3">
        <w:trPr>
          <w:trHeight w:val="20"/>
          <w:jc w:val="center"/>
        </w:trPr>
        <w:tc>
          <w:tcPr>
            <w:tcW w:w="1541" w:type="pct"/>
            <w:tcBorders>
              <w:top w:val="nil"/>
              <w:left w:val="single" w:sz="4" w:space="0" w:color="auto"/>
              <w:bottom w:val="single" w:sz="4" w:space="0" w:color="auto"/>
              <w:right w:val="single" w:sz="4" w:space="0" w:color="auto"/>
            </w:tcBorders>
          </w:tcPr>
          <w:p w:rsidR="00565FD5" w:rsidRPr="001B45E1" w:rsidRDefault="00565FD5" w:rsidP="00EB1E69">
            <w:pPr>
              <w:numPr>
                <w:ilvl w:val="0"/>
                <w:numId w:val="14"/>
              </w:numPr>
              <w:tabs>
                <w:tab w:val="left" w:pos="425"/>
              </w:tabs>
              <w:spacing w:before="40" w:after="0" w:line="240" w:lineRule="auto"/>
              <w:ind w:right="57"/>
              <w:rPr>
                <w:rFonts w:cs="Tahoma"/>
                <w:sz w:val="16"/>
                <w:szCs w:val="16"/>
              </w:rPr>
            </w:pPr>
            <w:r w:rsidRPr="001B45E1">
              <w:rPr>
                <w:rFonts w:cs="Tahoma"/>
                <w:sz w:val="16"/>
                <w:szCs w:val="16"/>
              </w:rPr>
              <w:t>4572 sayılı Tarım Satış Kooperatif ve Birlikleri Hakkındaki Kanunda değişiklik çalışmaları tamamlanacaktır.</w:t>
            </w:r>
          </w:p>
        </w:tc>
        <w:tc>
          <w:tcPr>
            <w:tcW w:w="1239" w:type="pct"/>
            <w:tcBorders>
              <w:top w:val="nil"/>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Gümrük ve Ticaret Bakanlığı (S), Gıda, Tarım ve Hayvancılık Bakanlığı, Maliye Bakanlığı, Kalkınma Bakanlığı, Hazine Müsteşarlığı</w:t>
            </w:r>
          </w:p>
        </w:tc>
        <w:tc>
          <w:tcPr>
            <w:tcW w:w="462" w:type="pct"/>
            <w:tcBorders>
              <w:top w:val="nil"/>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Aralık Sonu</w:t>
            </w:r>
          </w:p>
        </w:tc>
        <w:tc>
          <w:tcPr>
            <w:tcW w:w="1758" w:type="pct"/>
            <w:tcBorders>
              <w:top w:val="nil"/>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 xml:space="preserve">Birliklerin sürdürülebilir mali ve idari yapılara sahip olması ve rasyonel bir finansman modeli oluşturulması yönünde düzenlemelerin yapılması ve 4572 sayılı Kanunda yeniden yapılandırma dönemine ilişkin geçici maddelerin kaldırılması amacıyla bu kanunda gerekli düzenlemeleri içeren kanun tasarısı taslağı Başbakanlığa sevk edilecektir. </w:t>
            </w:r>
          </w:p>
        </w:tc>
      </w:tr>
      <w:tr w:rsidR="00565FD5" w:rsidRPr="001B45E1" w:rsidTr="00AB62A3">
        <w:trPr>
          <w:trHeight w:val="20"/>
          <w:jc w:val="center"/>
        </w:trPr>
        <w:tc>
          <w:tcPr>
            <w:tcW w:w="1541" w:type="pct"/>
            <w:tcBorders>
              <w:top w:val="single" w:sz="4" w:space="0" w:color="auto"/>
              <w:left w:val="single" w:sz="4" w:space="0" w:color="auto"/>
              <w:bottom w:val="single" w:sz="4" w:space="0" w:color="auto"/>
              <w:right w:val="single" w:sz="4" w:space="0" w:color="auto"/>
            </w:tcBorders>
          </w:tcPr>
          <w:p w:rsidR="00565FD5" w:rsidRPr="001B45E1" w:rsidRDefault="00565FD5" w:rsidP="00EB1E69">
            <w:pPr>
              <w:numPr>
                <w:ilvl w:val="0"/>
                <w:numId w:val="14"/>
              </w:numPr>
              <w:tabs>
                <w:tab w:val="left" w:pos="425"/>
              </w:tabs>
              <w:spacing w:before="40" w:after="0" w:line="240" w:lineRule="auto"/>
              <w:ind w:right="57"/>
              <w:rPr>
                <w:rFonts w:cs="Tahoma"/>
                <w:sz w:val="16"/>
                <w:szCs w:val="16"/>
              </w:rPr>
            </w:pPr>
            <w:r w:rsidRPr="001B45E1">
              <w:rPr>
                <w:rFonts w:cs="Tahoma"/>
                <w:sz w:val="16"/>
                <w:szCs w:val="16"/>
              </w:rPr>
              <w:t xml:space="preserve">Sebze ve meyvelerin ticaretine ilişkin </w:t>
            </w:r>
            <w:r w:rsidRPr="001B45E1">
              <w:rPr>
                <w:rFonts w:cs="Tahoma"/>
                <w:sz w:val="16"/>
                <w:szCs w:val="16"/>
              </w:rPr>
              <w:lastRenderedPageBreak/>
              <w:t xml:space="preserve">altyapı geliştirilecektir. </w:t>
            </w:r>
          </w:p>
        </w:tc>
        <w:tc>
          <w:tcPr>
            <w:tcW w:w="1239"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lastRenderedPageBreak/>
              <w:t xml:space="preserve">Gümrük ve Ticaret </w:t>
            </w:r>
            <w:r w:rsidRPr="001B45E1">
              <w:rPr>
                <w:rFonts w:cs="Tahoma"/>
                <w:sz w:val="16"/>
                <w:szCs w:val="16"/>
              </w:rPr>
              <w:lastRenderedPageBreak/>
              <w:t>Bakanlığı (S), Gıda, Tarım ve Hayvancılık Bakanlığı, İçişleri Bakanlığı, Rekabet Kurumu, TOBB, TESK, TÜSEMKOM, STK’lar</w:t>
            </w:r>
          </w:p>
        </w:tc>
        <w:tc>
          <w:tcPr>
            <w:tcW w:w="462"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lastRenderedPageBreak/>
              <w:t xml:space="preserve">Aralık </w:t>
            </w:r>
            <w:r w:rsidRPr="001B45E1">
              <w:rPr>
                <w:rFonts w:cs="Tahoma"/>
                <w:sz w:val="16"/>
                <w:szCs w:val="16"/>
              </w:rPr>
              <w:lastRenderedPageBreak/>
              <w:t>Sonu</w:t>
            </w:r>
          </w:p>
        </w:tc>
        <w:tc>
          <w:tcPr>
            <w:tcW w:w="1758"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lastRenderedPageBreak/>
              <w:t xml:space="preserve">Sebze ve meyveler ile arz ve talep </w:t>
            </w:r>
            <w:r w:rsidRPr="001B45E1">
              <w:rPr>
                <w:rFonts w:cs="Tahoma"/>
                <w:sz w:val="16"/>
                <w:szCs w:val="16"/>
              </w:rPr>
              <w:lastRenderedPageBreak/>
              <w:t xml:space="preserve">derinliğine göre belirlenecek diğer malların ticaretini düzenleyen 5957 sayılı Kanunun gerektirdiği ikincil mevzuat çalışmaları tamamlanacak ve Hal Kayıt Sistemi kurulacaktır. </w:t>
            </w:r>
          </w:p>
        </w:tc>
      </w:tr>
      <w:tr w:rsidR="00565FD5" w:rsidRPr="001B45E1" w:rsidTr="00AB62A3">
        <w:trPr>
          <w:trHeight w:val="20"/>
          <w:jc w:val="center"/>
        </w:trPr>
        <w:tc>
          <w:tcPr>
            <w:tcW w:w="1541" w:type="pct"/>
            <w:tcBorders>
              <w:top w:val="nil"/>
              <w:left w:val="single" w:sz="4" w:space="0" w:color="auto"/>
              <w:bottom w:val="single" w:sz="4" w:space="0" w:color="auto"/>
              <w:right w:val="single" w:sz="4" w:space="0" w:color="auto"/>
            </w:tcBorders>
          </w:tcPr>
          <w:p w:rsidR="00565FD5" w:rsidRPr="001B45E1" w:rsidRDefault="00565FD5" w:rsidP="00EB1E69">
            <w:pPr>
              <w:numPr>
                <w:ilvl w:val="0"/>
                <w:numId w:val="14"/>
              </w:numPr>
              <w:tabs>
                <w:tab w:val="left" w:pos="425"/>
              </w:tabs>
              <w:spacing w:before="40" w:after="0" w:line="240" w:lineRule="auto"/>
              <w:ind w:right="57"/>
              <w:rPr>
                <w:rFonts w:cs="Tahoma"/>
                <w:sz w:val="16"/>
                <w:szCs w:val="16"/>
              </w:rPr>
            </w:pPr>
            <w:r w:rsidRPr="001B45E1">
              <w:rPr>
                <w:rFonts w:cs="Tahoma"/>
                <w:sz w:val="16"/>
                <w:szCs w:val="16"/>
              </w:rPr>
              <w:lastRenderedPageBreak/>
              <w:t xml:space="preserve">Tarımsal istatistiki verilere dair nitelik ve nicelik sorunları giderilecek, tarım politikalarının yürütülmesine ilişkin bilgi altyapısı ile idari yapı geliştirilecektir. </w:t>
            </w:r>
          </w:p>
        </w:tc>
        <w:tc>
          <w:tcPr>
            <w:tcW w:w="1239" w:type="pct"/>
            <w:tcBorders>
              <w:top w:val="nil"/>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Gıda, Tarım ve Hayvancılık Bakanlığı (S), Orman ve Su İşleri Bakanlığı, TÜİK, İTÜ</w:t>
            </w:r>
          </w:p>
        </w:tc>
        <w:tc>
          <w:tcPr>
            <w:tcW w:w="462" w:type="pct"/>
            <w:tcBorders>
              <w:top w:val="nil"/>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Aralık Sonu</w:t>
            </w:r>
          </w:p>
        </w:tc>
        <w:tc>
          <w:tcPr>
            <w:tcW w:w="1758" w:type="pct"/>
            <w:tcBorders>
              <w:top w:val="nil"/>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 xml:space="preserve">AB gerekleri göz önüne alınarak, Çiftçi Kayıt Sistemi başta olmak üzere, tüm bilgi sistemleri Çiftlik Kayıt Sistemi temelinde bütünleştirilecek ve birbirini tamamlayıcı şekilde işletilecek, Gıda, Tarım ve Hayvancılık Bakanlığı ile TÜİK’in merkez ve taşra teşkilatının kapasitesi geliştirilecektir. </w:t>
            </w:r>
          </w:p>
        </w:tc>
      </w:tr>
      <w:tr w:rsidR="00565FD5" w:rsidRPr="001B45E1" w:rsidTr="00AB62A3">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565FD5" w:rsidRPr="001B45E1" w:rsidRDefault="00565FD5" w:rsidP="00EB1E69">
            <w:pPr>
              <w:numPr>
                <w:ilvl w:val="0"/>
                <w:numId w:val="15"/>
              </w:numPr>
              <w:tabs>
                <w:tab w:val="left" w:pos="425"/>
                <w:tab w:val="left" w:pos="708"/>
              </w:tabs>
              <w:spacing w:before="80" w:after="0" w:line="240" w:lineRule="auto"/>
              <w:ind w:right="57"/>
              <w:jc w:val="both"/>
              <w:rPr>
                <w:rFonts w:cs="Tahoma"/>
                <w:b/>
                <w:bCs/>
                <w:sz w:val="16"/>
                <w:szCs w:val="16"/>
                <w:lang w:eastAsia="tr-TR"/>
              </w:rPr>
            </w:pPr>
            <w:r w:rsidRPr="001B45E1">
              <w:rPr>
                <w:rFonts w:cs="Tahoma"/>
                <w:b/>
                <w:bCs/>
                <w:sz w:val="16"/>
                <w:szCs w:val="16"/>
                <w:lang w:eastAsia="tr-TR"/>
              </w:rPr>
              <w:t xml:space="preserve">Kamu kurumlarının, bitki ve hayvan sağlığı ile gıda güvenilirliği hizmetlerine ilişkin kapasitesi geliştirilecektir. </w:t>
            </w:r>
          </w:p>
        </w:tc>
      </w:tr>
      <w:tr w:rsidR="00565FD5" w:rsidRPr="001B45E1" w:rsidTr="00AB62A3">
        <w:trPr>
          <w:trHeight w:val="20"/>
          <w:jc w:val="center"/>
        </w:trPr>
        <w:tc>
          <w:tcPr>
            <w:tcW w:w="1541" w:type="pct"/>
            <w:tcBorders>
              <w:top w:val="single" w:sz="4" w:space="0" w:color="auto"/>
              <w:left w:val="single" w:sz="4" w:space="0" w:color="auto"/>
              <w:bottom w:val="single" w:sz="4" w:space="0" w:color="auto"/>
              <w:right w:val="single" w:sz="4" w:space="0" w:color="auto"/>
            </w:tcBorders>
          </w:tcPr>
          <w:p w:rsidR="00565FD5" w:rsidRPr="001B45E1" w:rsidRDefault="00565FD5" w:rsidP="00EB1E69">
            <w:pPr>
              <w:numPr>
                <w:ilvl w:val="0"/>
                <w:numId w:val="14"/>
              </w:numPr>
              <w:tabs>
                <w:tab w:val="left" w:pos="425"/>
              </w:tabs>
              <w:spacing w:before="40" w:after="0" w:line="240" w:lineRule="auto"/>
              <w:ind w:right="57"/>
              <w:rPr>
                <w:rFonts w:cs="Tahoma"/>
                <w:sz w:val="16"/>
                <w:szCs w:val="16"/>
              </w:rPr>
            </w:pPr>
            <w:r w:rsidRPr="001B45E1">
              <w:rPr>
                <w:rFonts w:cs="Tahoma"/>
                <w:sz w:val="16"/>
                <w:szCs w:val="16"/>
              </w:rPr>
              <w:t xml:space="preserve">Gıda, yem, gıda hijyeni ve veteriner hizmetleri ile bitki sağlığına ilişkin idari ve kurumsal altyapı güçlendirilecek, özel sektörün uyum maliyetleri desteklenecektir. </w:t>
            </w:r>
          </w:p>
        </w:tc>
        <w:tc>
          <w:tcPr>
            <w:tcW w:w="1239"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Gıda, Tarım ve Hayvancılık Bakanlığı (S), Ekonomi Bakanlığı, İçişleri Bakanlığı, Kalkınma Bakanlığı, Sağlık Bakanlığı, TAPDK, STK’lar</w:t>
            </w:r>
          </w:p>
        </w:tc>
        <w:tc>
          <w:tcPr>
            <w:tcW w:w="462"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Aralık Sonu</w:t>
            </w:r>
          </w:p>
        </w:tc>
        <w:tc>
          <w:tcPr>
            <w:tcW w:w="1758"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 xml:space="preserve">5996 sayılı Veteriner Hizmetleri, Bitki Sağlığı, Gıda ve Yem Kanununa ilişkin ikincil mevzuat tamamlanacak, kamuda yeniden düzenlenen idari yapı ile özellikle hayvan hastalıklarıyla mücadele ile denetim ve kontrole ilişkin kurumsal yapı geliştirilecek, öncelikle hayvansal ürün işleme tesislerinin modernizasyon ihtiyaçlarının desteklenmesine ilişkin çalışmalar tamamlanarak mevcut destekler bu kapsamda yeniden düzenlenecektir. </w:t>
            </w:r>
          </w:p>
        </w:tc>
      </w:tr>
      <w:tr w:rsidR="00565FD5" w:rsidRPr="001B45E1" w:rsidTr="00AB62A3">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565FD5" w:rsidRPr="001B45E1" w:rsidRDefault="00565FD5" w:rsidP="00EB1E69">
            <w:pPr>
              <w:numPr>
                <w:ilvl w:val="0"/>
                <w:numId w:val="15"/>
              </w:numPr>
              <w:tabs>
                <w:tab w:val="left" w:pos="425"/>
                <w:tab w:val="left" w:pos="708"/>
              </w:tabs>
              <w:spacing w:before="60" w:after="60" w:line="240" w:lineRule="auto"/>
              <w:ind w:right="57"/>
              <w:rPr>
                <w:rFonts w:cs="Tahoma"/>
                <w:b/>
                <w:bCs/>
                <w:sz w:val="16"/>
                <w:szCs w:val="16"/>
                <w:lang w:eastAsia="tr-TR"/>
              </w:rPr>
            </w:pPr>
            <w:r w:rsidRPr="001B45E1">
              <w:rPr>
                <w:rFonts w:cs="Tahoma"/>
                <w:b/>
                <w:bCs/>
                <w:sz w:val="16"/>
                <w:szCs w:val="16"/>
                <w:lang w:eastAsia="tr-TR"/>
              </w:rPr>
              <w:t xml:space="preserve">Toprak ve su kaynakları etkin kullanılacaktır. </w:t>
            </w:r>
          </w:p>
        </w:tc>
      </w:tr>
      <w:tr w:rsidR="00565FD5" w:rsidRPr="001B45E1" w:rsidTr="00AB62A3">
        <w:trPr>
          <w:trHeight w:val="20"/>
          <w:jc w:val="center"/>
        </w:trPr>
        <w:tc>
          <w:tcPr>
            <w:tcW w:w="1541" w:type="pct"/>
            <w:tcBorders>
              <w:top w:val="single" w:sz="4" w:space="0" w:color="auto"/>
              <w:left w:val="single" w:sz="4" w:space="0" w:color="auto"/>
              <w:bottom w:val="single" w:sz="4" w:space="0" w:color="auto"/>
              <w:right w:val="single" w:sz="4" w:space="0" w:color="auto"/>
            </w:tcBorders>
          </w:tcPr>
          <w:p w:rsidR="00565FD5" w:rsidRPr="001B45E1" w:rsidRDefault="00565FD5" w:rsidP="00EB1E69">
            <w:pPr>
              <w:numPr>
                <w:ilvl w:val="0"/>
                <w:numId w:val="14"/>
              </w:numPr>
              <w:tabs>
                <w:tab w:val="left" w:pos="425"/>
              </w:tabs>
              <w:spacing w:before="40" w:after="0" w:line="240" w:lineRule="auto"/>
              <w:ind w:right="57"/>
              <w:rPr>
                <w:rFonts w:cs="Tahoma"/>
                <w:sz w:val="16"/>
                <w:szCs w:val="16"/>
              </w:rPr>
            </w:pPr>
            <w:r w:rsidRPr="001B45E1">
              <w:rPr>
                <w:rFonts w:cs="Tahoma"/>
                <w:sz w:val="16"/>
                <w:szCs w:val="16"/>
              </w:rPr>
              <w:t xml:space="preserve">Tarım arazilerinin miras yoluyla parçalanmasının önlenmesine yönelik olarak ilgili mevzuatta değişiklik çalışmaları yapılacaktır. </w:t>
            </w:r>
          </w:p>
        </w:tc>
        <w:tc>
          <w:tcPr>
            <w:tcW w:w="1239"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Gıda, Tarım ve Hayvancılık Bakanlığı (S), Adalet Bakanlığı, İçişleri Bakanlığı, Maliye Bakanlığı</w:t>
            </w:r>
          </w:p>
        </w:tc>
        <w:tc>
          <w:tcPr>
            <w:tcW w:w="462"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Aralık Sonu</w:t>
            </w:r>
          </w:p>
        </w:tc>
        <w:tc>
          <w:tcPr>
            <w:tcW w:w="1758"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 xml:space="preserve">Türk Medeni Kanunundaki tarımsal işletmelere ilişkin miras hükümleri ile Toprak Koruma ve Arazi Kullanımı Kanunundaki tarımsal işletmelerin asgari büyüklüklerinin belirlenmesi konularında değişiklik yapan kanun tasarısı hazırlıkları yürütülecektir. </w:t>
            </w:r>
          </w:p>
        </w:tc>
      </w:tr>
      <w:tr w:rsidR="00565FD5" w:rsidRPr="001B45E1" w:rsidTr="00AB62A3">
        <w:trPr>
          <w:trHeight w:val="20"/>
          <w:jc w:val="center"/>
        </w:trPr>
        <w:tc>
          <w:tcPr>
            <w:tcW w:w="1541" w:type="pct"/>
            <w:tcBorders>
              <w:top w:val="single" w:sz="4" w:space="0" w:color="auto"/>
              <w:left w:val="single" w:sz="4" w:space="0" w:color="auto"/>
              <w:bottom w:val="single" w:sz="4" w:space="0" w:color="auto"/>
              <w:right w:val="single" w:sz="4" w:space="0" w:color="auto"/>
            </w:tcBorders>
          </w:tcPr>
          <w:p w:rsidR="00565FD5" w:rsidRPr="001B45E1" w:rsidRDefault="00565FD5" w:rsidP="00EB1E69">
            <w:pPr>
              <w:numPr>
                <w:ilvl w:val="0"/>
                <w:numId w:val="14"/>
              </w:numPr>
              <w:tabs>
                <w:tab w:val="left" w:pos="425"/>
              </w:tabs>
              <w:spacing w:before="40" w:after="0" w:line="240" w:lineRule="auto"/>
              <w:ind w:right="57"/>
              <w:rPr>
                <w:rFonts w:cs="Tahoma"/>
                <w:sz w:val="16"/>
                <w:szCs w:val="16"/>
              </w:rPr>
            </w:pPr>
            <w:r w:rsidRPr="001B45E1">
              <w:rPr>
                <w:rFonts w:cs="Tahoma"/>
                <w:sz w:val="16"/>
                <w:szCs w:val="16"/>
              </w:rPr>
              <w:t>Tarımsal amaçlı arazi kullanım planının hazırlanması için gerekli altyapı hazırlanacaktır.</w:t>
            </w:r>
          </w:p>
        </w:tc>
        <w:tc>
          <w:tcPr>
            <w:tcW w:w="1239"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 xml:space="preserve">Gıda, Tarım ve Hayvancılık Bakanlığı (S), Orman ve Su İşleri </w:t>
            </w:r>
            <w:r w:rsidRPr="001B45E1">
              <w:rPr>
                <w:rFonts w:cs="Tahoma"/>
                <w:sz w:val="16"/>
                <w:szCs w:val="16"/>
              </w:rPr>
              <w:lastRenderedPageBreak/>
              <w:t xml:space="preserve">Bakanlığı, Çevre ve Şehircilik Bakanlığı, İçişleri Bakanlığı, Maliye Bakanlığı, Tapu ve Kadastro Genel Müdürlüğü, DSİ </w:t>
            </w:r>
          </w:p>
        </w:tc>
        <w:tc>
          <w:tcPr>
            <w:tcW w:w="462"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lastRenderedPageBreak/>
              <w:t>Aralık Sonu</w:t>
            </w:r>
          </w:p>
        </w:tc>
        <w:tc>
          <w:tcPr>
            <w:tcW w:w="1758"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 xml:space="preserve">Tarım arazilerinin sürdürülebilir kullanımını sağlamak üzere,  farklı sektörlerin arazi ihtiyaçlarını </w:t>
            </w:r>
            <w:r w:rsidRPr="001B45E1">
              <w:rPr>
                <w:rFonts w:cs="Tahoma"/>
                <w:sz w:val="16"/>
                <w:szCs w:val="16"/>
              </w:rPr>
              <w:lastRenderedPageBreak/>
              <w:t xml:space="preserve">rasyonelleştirecek, toprakların kabiliyetleri çerçevesinde kullanımına temel teşkil edecek tarımsal arazi kullanım planının, farklı ölçekteki diğer mekânsal planlar da dikkate alınarak, hazırlanmasına yönelik  çalışmalara başlanacaktır. </w:t>
            </w:r>
          </w:p>
        </w:tc>
      </w:tr>
      <w:tr w:rsidR="00565FD5" w:rsidRPr="001B45E1" w:rsidTr="00AB62A3">
        <w:trPr>
          <w:trHeight w:val="20"/>
          <w:jc w:val="center"/>
        </w:trPr>
        <w:tc>
          <w:tcPr>
            <w:tcW w:w="1541" w:type="pct"/>
            <w:tcBorders>
              <w:top w:val="single" w:sz="4" w:space="0" w:color="auto"/>
              <w:left w:val="single" w:sz="4" w:space="0" w:color="auto"/>
              <w:bottom w:val="single" w:sz="4" w:space="0" w:color="auto"/>
              <w:right w:val="single" w:sz="4" w:space="0" w:color="auto"/>
            </w:tcBorders>
          </w:tcPr>
          <w:p w:rsidR="00565FD5" w:rsidRPr="001B45E1" w:rsidRDefault="00565FD5" w:rsidP="00EB1E69">
            <w:pPr>
              <w:numPr>
                <w:ilvl w:val="0"/>
                <w:numId w:val="14"/>
              </w:numPr>
              <w:tabs>
                <w:tab w:val="left" w:pos="425"/>
              </w:tabs>
              <w:spacing w:before="40" w:after="0" w:line="240" w:lineRule="auto"/>
              <w:ind w:right="57"/>
              <w:rPr>
                <w:rFonts w:cs="Tahoma"/>
                <w:sz w:val="16"/>
                <w:szCs w:val="16"/>
              </w:rPr>
            </w:pPr>
            <w:r w:rsidRPr="001B45E1">
              <w:rPr>
                <w:rFonts w:cs="Tahoma"/>
                <w:sz w:val="16"/>
                <w:szCs w:val="16"/>
              </w:rPr>
              <w:lastRenderedPageBreak/>
              <w:t xml:space="preserve">Havza bazında taşkın risk yönetim planlarının hazırlanmasına başlanacaktır. </w:t>
            </w:r>
          </w:p>
        </w:tc>
        <w:tc>
          <w:tcPr>
            <w:tcW w:w="1239"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Orman ve Su İşleri Bakanlığı (S), Çevre ve Şehircilik Bakanlığı, DSİ, Yerel Yönetimler</w:t>
            </w:r>
          </w:p>
        </w:tc>
        <w:tc>
          <w:tcPr>
            <w:tcW w:w="462"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Aralık Sonu</w:t>
            </w:r>
          </w:p>
        </w:tc>
        <w:tc>
          <w:tcPr>
            <w:tcW w:w="1758"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 xml:space="preserve">AB Taşkın Direktifi doğrultusunda taşkın tehlike ve risklerine karşı risk yönetim planları hazırlanmasına yönelik çalışmalar başlatılacaktır. </w:t>
            </w:r>
          </w:p>
        </w:tc>
      </w:tr>
      <w:tr w:rsidR="00565FD5" w:rsidRPr="001B45E1" w:rsidTr="00AB62A3">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565FD5" w:rsidRPr="001B45E1" w:rsidRDefault="00565FD5" w:rsidP="00EB1E69">
            <w:pPr>
              <w:numPr>
                <w:ilvl w:val="0"/>
                <w:numId w:val="15"/>
              </w:numPr>
              <w:tabs>
                <w:tab w:val="left" w:pos="425"/>
                <w:tab w:val="left" w:pos="708"/>
              </w:tabs>
              <w:spacing w:after="0" w:line="240" w:lineRule="auto"/>
              <w:ind w:right="57"/>
              <w:jc w:val="both"/>
              <w:rPr>
                <w:rFonts w:cs="Tahoma"/>
                <w:b/>
                <w:sz w:val="16"/>
                <w:szCs w:val="16"/>
              </w:rPr>
            </w:pPr>
            <w:r w:rsidRPr="001B45E1">
              <w:rPr>
                <w:rFonts w:cs="Tahoma"/>
                <w:b/>
                <w:bCs/>
                <w:sz w:val="16"/>
                <w:szCs w:val="16"/>
                <w:lang w:eastAsia="tr-TR"/>
              </w:rPr>
              <w:t>Su ürünleri sektöründe sürdürülebilir ve rekabetçi bir üretim yapısı geliştirilecektir.</w:t>
            </w:r>
            <w:r w:rsidRPr="001B45E1">
              <w:rPr>
                <w:rFonts w:cs="Tahoma"/>
                <w:b/>
                <w:sz w:val="16"/>
                <w:szCs w:val="16"/>
              </w:rPr>
              <w:t xml:space="preserve"> </w:t>
            </w:r>
          </w:p>
        </w:tc>
      </w:tr>
      <w:tr w:rsidR="00565FD5" w:rsidRPr="001B45E1" w:rsidTr="00AB62A3">
        <w:trPr>
          <w:trHeight w:val="20"/>
          <w:jc w:val="center"/>
        </w:trPr>
        <w:tc>
          <w:tcPr>
            <w:tcW w:w="1541" w:type="pct"/>
            <w:tcBorders>
              <w:top w:val="nil"/>
              <w:left w:val="single" w:sz="4" w:space="0" w:color="auto"/>
              <w:bottom w:val="single" w:sz="4" w:space="0" w:color="auto"/>
              <w:right w:val="single" w:sz="4" w:space="0" w:color="auto"/>
            </w:tcBorders>
          </w:tcPr>
          <w:p w:rsidR="00565FD5" w:rsidRPr="001B45E1" w:rsidRDefault="00565FD5" w:rsidP="00EB1E69">
            <w:pPr>
              <w:numPr>
                <w:ilvl w:val="0"/>
                <w:numId w:val="14"/>
              </w:numPr>
              <w:tabs>
                <w:tab w:val="left" w:pos="425"/>
              </w:tabs>
              <w:spacing w:before="40" w:after="0" w:line="240" w:lineRule="auto"/>
              <w:ind w:right="57"/>
              <w:rPr>
                <w:rFonts w:cs="Tahoma"/>
                <w:sz w:val="16"/>
                <w:szCs w:val="16"/>
              </w:rPr>
            </w:pPr>
            <w:r w:rsidRPr="001B45E1">
              <w:rPr>
                <w:rFonts w:cs="Tahoma"/>
                <w:sz w:val="16"/>
                <w:szCs w:val="16"/>
              </w:rPr>
              <w:t>1380 sayılı Su Ürünleri Kanununda değişiklik çalışmaları yapılacaktır.</w:t>
            </w:r>
          </w:p>
        </w:tc>
        <w:tc>
          <w:tcPr>
            <w:tcW w:w="1239" w:type="pct"/>
            <w:tcBorders>
              <w:top w:val="nil"/>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 xml:space="preserve">Gıda, Tarım ve Hayvancılık Bakanlığı (S), Avrupa Birliği Bakanlığı, Çevre ve Şehircilik Bakanlığı, İçişleri Bakanlığı, Orman ve Su İşleri Bakanlığı, </w:t>
            </w:r>
            <w:r w:rsidRPr="00256F5A">
              <w:rPr>
                <w:rFonts w:cs="Tahoma"/>
                <w:sz w:val="16"/>
                <w:szCs w:val="16"/>
                <w:lang w:eastAsia="tr-TR"/>
              </w:rPr>
              <w:t xml:space="preserve">Ulaştırma, Denizcilik </w:t>
            </w:r>
            <w:r>
              <w:rPr>
                <w:rFonts w:cs="Tahoma"/>
                <w:sz w:val="16"/>
                <w:szCs w:val="16"/>
                <w:lang w:eastAsia="tr-TR"/>
              </w:rPr>
              <w:t xml:space="preserve">ve </w:t>
            </w:r>
            <w:r w:rsidRPr="00256F5A">
              <w:rPr>
                <w:rFonts w:cs="Tahoma"/>
                <w:sz w:val="16"/>
                <w:szCs w:val="16"/>
                <w:lang w:eastAsia="tr-TR"/>
              </w:rPr>
              <w:t>Haberleşme Bakanlığı</w:t>
            </w:r>
          </w:p>
        </w:tc>
        <w:tc>
          <w:tcPr>
            <w:tcW w:w="462" w:type="pct"/>
            <w:tcBorders>
              <w:top w:val="nil"/>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Aralık Sonu</w:t>
            </w:r>
          </w:p>
        </w:tc>
        <w:tc>
          <w:tcPr>
            <w:tcW w:w="1758" w:type="pct"/>
            <w:tcBorders>
              <w:top w:val="nil"/>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 xml:space="preserve">Su Ürünleri Kanununda, sürdürülebilir balıkçılığın sağlanması amacıyla kaynakların korunması, kontrol hizmetlerinin etkinleştirilmesi ile kaliteli ürün temini gibi konularda düzenlemeler yapacak kanun tasarısı taslağı Başbakanlığa sevk edilecektir. </w:t>
            </w:r>
          </w:p>
        </w:tc>
      </w:tr>
      <w:tr w:rsidR="00565FD5" w:rsidRPr="001B45E1" w:rsidTr="00AB62A3">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565FD5" w:rsidRPr="001B45E1" w:rsidRDefault="00565FD5" w:rsidP="00EB1E69">
            <w:pPr>
              <w:numPr>
                <w:ilvl w:val="0"/>
                <w:numId w:val="15"/>
              </w:numPr>
              <w:tabs>
                <w:tab w:val="left" w:pos="425"/>
                <w:tab w:val="left" w:pos="708"/>
              </w:tabs>
              <w:spacing w:after="0" w:line="240" w:lineRule="auto"/>
              <w:ind w:right="57"/>
              <w:jc w:val="both"/>
              <w:rPr>
                <w:rFonts w:cs="Tahoma"/>
                <w:sz w:val="16"/>
                <w:szCs w:val="16"/>
                <w:lang w:eastAsia="tr-TR"/>
              </w:rPr>
            </w:pPr>
            <w:r w:rsidRPr="001B45E1">
              <w:rPr>
                <w:rFonts w:cs="Tahoma"/>
                <w:b/>
                <w:bCs/>
                <w:sz w:val="16"/>
                <w:szCs w:val="16"/>
                <w:lang w:eastAsia="tr-TR"/>
              </w:rPr>
              <w:t>Ormancılık faaliyetlerinde, özellikle ekosistemin etkin korunması gözetilirken; yangınla mücadele ve ağaçlandırma çalışmaları sürdürülecektir.</w:t>
            </w:r>
          </w:p>
        </w:tc>
      </w:tr>
      <w:tr w:rsidR="00565FD5" w:rsidRPr="001B45E1" w:rsidTr="00AB62A3">
        <w:trPr>
          <w:trHeight w:val="20"/>
          <w:jc w:val="center"/>
        </w:trPr>
        <w:tc>
          <w:tcPr>
            <w:tcW w:w="1541" w:type="pct"/>
            <w:tcBorders>
              <w:top w:val="single" w:sz="4" w:space="0" w:color="auto"/>
              <w:left w:val="single" w:sz="4" w:space="0" w:color="auto"/>
              <w:bottom w:val="single" w:sz="4" w:space="0" w:color="auto"/>
              <w:right w:val="single" w:sz="4" w:space="0" w:color="auto"/>
            </w:tcBorders>
          </w:tcPr>
          <w:p w:rsidR="00565FD5" w:rsidRPr="001B45E1" w:rsidRDefault="00565FD5" w:rsidP="00EB1E69">
            <w:pPr>
              <w:numPr>
                <w:ilvl w:val="0"/>
                <w:numId w:val="14"/>
              </w:numPr>
              <w:tabs>
                <w:tab w:val="left" w:pos="425"/>
              </w:tabs>
              <w:spacing w:before="40" w:after="0" w:line="240" w:lineRule="auto"/>
              <w:ind w:right="57"/>
              <w:rPr>
                <w:rFonts w:cs="Tahoma"/>
                <w:sz w:val="16"/>
                <w:szCs w:val="16"/>
              </w:rPr>
            </w:pPr>
            <w:r w:rsidRPr="001B45E1">
              <w:rPr>
                <w:rFonts w:cs="Tahoma"/>
                <w:sz w:val="16"/>
                <w:szCs w:val="16"/>
              </w:rPr>
              <w:t>Ormanlarımızın yangınlar, zararlı böcek ve hastalıklar ile her türlü yasa dışı müdahalelere karşı korunmasında etkinlik artırılacak, ağaçlandırma ve erozyonla mücadele faaliyetleri sürdürülecektir.</w:t>
            </w:r>
          </w:p>
        </w:tc>
        <w:tc>
          <w:tcPr>
            <w:tcW w:w="1239"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 xml:space="preserve">Orman ve Su İşleri Bakanlığı (S), Gıda, Tarım ve Hayvancılık Bakanlığı, Kalkınma Bakanlığı, Tapu ve Kadastro Genel Müdürlüğü, Yerel Yönetimler, Kooperatifler, Üniversiteler, STK’lar  </w:t>
            </w:r>
          </w:p>
        </w:tc>
        <w:tc>
          <w:tcPr>
            <w:tcW w:w="462"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Aralık Sonu</w:t>
            </w:r>
          </w:p>
        </w:tc>
        <w:tc>
          <w:tcPr>
            <w:tcW w:w="1758"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 xml:space="preserve">Yangınlarla daha etkin mücadele amacıyla gerekli makine-teçhizat alımının yanı sıra orman yangınlarına hassas alanlardan başlamak üzere orman bakım çalışmaları yoğunlaştırılacak, yangına dirençli orman kurma ve yangın emniyet şeridi dâhil koruma faaliyetleri yaygınlaştırılacaktır. Ağaçlandırma, erozyon kontrol çalışmaları ve konuyla ilgili araştırmalar, değişen iklim koşulları gözetilerek planlanacak ve sürdürülecektir. </w:t>
            </w:r>
          </w:p>
        </w:tc>
      </w:tr>
      <w:tr w:rsidR="00565FD5" w:rsidRPr="001B45E1" w:rsidTr="00AB62A3">
        <w:trPr>
          <w:trHeight w:val="20"/>
          <w:jc w:val="center"/>
        </w:trPr>
        <w:tc>
          <w:tcPr>
            <w:tcW w:w="1541" w:type="pct"/>
            <w:tcBorders>
              <w:top w:val="single" w:sz="4" w:space="0" w:color="auto"/>
              <w:left w:val="single" w:sz="4" w:space="0" w:color="auto"/>
              <w:bottom w:val="single" w:sz="4" w:space="0" w:color="auto"/>
              <w:right w:val="single" w:sz="4" w:space="0" w:color="auto"/>
            </w:tcBorders>
          </w:tcPr>
          <w:p w:rsidR="00565FD5" w:rsidRPr="001B45E1" w:rsidRDefault="00565FD5" w:rsidP="00EB1E69">
            <w:pPr>
              <w:numPr>
                <w:ilvl w:val="0"/>
                <w:numId w:val="14"/>
              </w:numPr>
              <w:tabs>
                <w:tab w:val="left" w:pos="425"/>
              </w:tabs>
              <w:spacing w:before="40" w:after="0" w:line="240" w:lineRule="auto"/>
              <w:ind w:right="57"/>
              <w:rPr>
                <w:rFonts w:cs="Tahoma"/>
                <w:sz w:val="16"/>
                <w:szCs w:val="16"/>
              </w:rPr>
            </w:pPr>
            <w:r w:rsidRPr="001B45E1">
              <w:rPr>
                <w:rFonts w:cs="Tahoma"/>
                <w:sz w:val="16"/>
                <w:szCs w:val="16"/>
              </w:rPr>
              <w:t>Çölleşme ve erozyonla mücadeleye ilişkin bilgi altyapısı geliştirilecektir.</w:t>
            </w:r>
          </w:p>
        </w:tc>
        <w:tc>
          <w:tcPr>
            <w:tcW w:w="1239"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 xml:space="preserve">Orman ve Su İşleri Bakanlığı (S), Çevre ve Şehircilik Bakanlığı, Gıda, Tarım ve Hayvancılık Bakanlığı, Kalkınma Bakanlığı, Yerel </w:t>
            </w:r>
            <w:r w:rsidRPr="001B45E1">
              <w:rPr>
                <w:rFonts w:cs="Tahoma"/>
                <w:sz w:val="16"/>
                <w:szCs w:val="16"/>
              </w:rPr>
              <w:lastRenderedPageBreak/>
              <w:t>Yönetimler, Üniversiteler, STK’lar</w:t>
            </w:r>
          </w:p>
        </w:tc>
        <w:tc>
          <w:tcPr>
            <w:tcW w:w="462"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lastRenderedPageBreak/>
              <w:t>Aralık Sonu</w:t>
            </w:r>
          </w:p>
        </w:tc>
        <w:tc>
          <w:tcPr>
            <w:tcW w:w="1758" w:type="pct"/>
            <w:tcBorders>
              <w:top w:val="single" w:sz="4" w:space="0" w:color="auto"/>
              <w:left w:val="nil"/>
              <w:bottom w:val="single" w:sz="4" w:space="0" w:color="auto"/>
              <w:right w:val="single" w:sz="4" w:space="0" w:color="auto"/>
            </w:tcBorders>
          </w:tcPr>
          <w:p w:rsidR="00565FD5" w:rsidRPr="001B45E1" w:rsidRDefault="00565FD5" w:rsidP="00AB62A3">
            <w:pPr>
              <w:spacing w:before="40"/>
              <w:ind w:left="57" w:right="57"/>
              <w:rPr>
                <w:rFonts w:cs="Tahoma"/>
                <w:sz w:val="16"/>
                <w:szCs w:val="16"/>
              </w:rPr>
            </w:pPr>
            <w:r w:rsidRPr="001B45E1">
              <w:rPr>
                <w:rFonts w:cs="Tahoma"/>
                <w:sz w:val="16"/>
                <w:szCs w:val="16"/>
              </w:rPr>
              <w:t xml:space="preserve">Çölleşme ve erozyonla mücadelede etkinliği artırmak amacıyla Ulusal Çölleşme ve Erozyonla Mücadele Stratejisi hazırlanacak, izleme sistemi geliştirilecek, uygulama </w:t>
            </w:r>
            <w:r w:rsidRPr="001B45E1">
              <w:rPr>
                <w:rFonts w:cs="Tahoma"/>
                <w:sz w:val="16"/>
                <w:szCs w:val="16"/>
              </w:rPr>
              <w:lastRenderedPageBreak/>
              <w:t>projeleri hazırlanacaktır.</w:t>
            </w:r>
          </w:p>
        </w:tc>
      </w:tr>
    </w:tbl>
    <w:p w:rsidR="00565FD5" w:rsidRPr="001B45E1" w:rsidRDefault="00565FD5" w:rsidP="00565FD5"/>
    <w:p w:rsidR="00565FD5" w:rsidRPr="001B45E1" w:rsidRDefault="00565FD5" w:rsidP="00565FD5"/>
    <w:p w:rsidR="00565FD5" w:rsidRPr="009B3D4C" w:rsidRDefault="00565FD5" w:rsidP="00565FD5">
      <w:pPr>
        <w:pStyle w:val="Balk3"/>
      </w:pPr>
      <w:bookmarkStart w:id="1875" w:name="_Toc276076303"/>
      <w:bookmarkStart w:id="1876" w:name="_Toc244339624"/>
      <w:bookmarkStart w:id="1877" w:name="_Toc244315161"/>
      <w:bookmarkStart w:id="1878" w:name="_Toc244313685"/>
      <w:bookmarkStart w:id="1879" w:name="_Toc244254950"/>
      <w:bookmarkStart w:id="1880" w:name="_Toc244253700"/>
      <w:bookmarkStart w:id="1881" w:name="_Toc213065685"/>
      <w:bookmarkStart w:id="1882" w:name="_Toc150099202"/>
      <w:bookmarkStart w:id="1883" w:name="_Toc149968513"/>
      <w:bookmarkStart w:id="1884" w:name="_Toc307602009"/>
      <w:bookmarkStart w:id="1885" w:name="_Toc307670458"/>
      <w:bookmarkStart w:id="1886" w:name="_Toc307701684"/>
      <w:bookmarkStart w:id="1887" w:name="_Toc338494244"/>
      <w:bookmarkStart w:id="1888" w:name="_Toc338505590"/>
      <w:bookmarkStart w:id="1889" w:name="_Toc338523818"/>
      <w:bookmarkStart w:id="1890" w:name="_Toc338524049"/>
      <w:bookmarkStart w:id="1891" w:name="_Toc338526275"/>
      <w:bookmarkStart w:id="1892" w:name="_Toc338673718"/>
      <w:bookmarkStart w:id="1893" w:name="_Toc338711597"/>
      <w:r>
        <w:t>H</w:t>
      </w:r>
      <w:r w:rsidRPr="009B3D4C">
        <w:t>. SANAYİ VE HİZMETLERDE YÜKSEK KATMA DEĞERLİ ÜRETİM YAPISINA GEÇİŞİN SAĞLANMASI</w:t>
      </w:r>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p>
    <w:p w:rsidR="00565FD5" w:rsidRPr="009B3D4C" w:rsidRDefault="00565FD5" w:rsidP="00565FD5">
      <w:pPr>
        <w:pStyle w:val="Balk4"/>
      </w:pPr>
      <w:bookmarkStart w:id="1894" w:name="_Toc276076304"/>
      <w:bookmarkStart w:id="1895" w:name="_Toc244339625"/>
      <w:bookmarkStart w:id="1896" w:name="_Toc244315162"/>
      <w:bookmarkStart w:id="1897" w:name="_Toc244313686"/>
      <w:bookmarkStart w:id="1898" w:name="_Toc244254951"/>
      <w:bookmarkStart w:id="1899" w:name="_Toc244253701"/>
      <w:bookmarkStart w:id="1900" w:name="_Toc213065686"/>
      <w:bookmarkStart w:id="1901" w:name="_Toc150099203"/>
      <w:bookmarkStart w:id="1902" w:name="_Toc307602010"/>
      <w:bookmarkStart w:id="1903" w:name="_Toc307670459"/>
      <w:bookmarkStart w:id="1904" w:name="_Toc307701685"/>
      <w:bookmarkStart w:id="1905" w:name="_Toc338505591"/>
      <w:bookmarkStart w:id="1906" w:name="_Toc338523819"/>
      <w:bookmarkStart w:id="1907" w:name="_Toc338524050"/>
      <w:bookmarkStart w:id="1908" w:name="_Toc338526276"/>
      <w:bookmarkStart w:id="1909" w:name="_Toc338673719"/>
      <w:bookmarkStart w:id="1910" w:name="_Toc338711598"/>
      <w:r w:rsidRPr="009B3D4C">
        <w:t>SANAYİ</w:t>
      </w:r>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p>
    <w:p w:rsidR="00565FD5" w:rsidRPr="009B3D4C" w:rsidRDefault="00565FD5" w:rsidP="00565FD5">
      <w:pPr>
        <w:pStyle w:val="Balk4"/>
      </w:pPr>
      <w:bookmarkStart w:id="1911" w:name="_Toc276076305"/>
      <w:bookmarkStart w:id="1912" w:name="_Toc244339626"/>
      <w:bookmarkStart w:id="1913" w:name="_Toc244315163"/>
      <w:bookmarkStart w:id="1914" w:name="_Toc244313687"/>
      <w:bookmarkStart w:id="1915" w:name="_Toc244254952"/>
      <w:bookmarkStart w:id="1916" w:name="_Toc244253702"/>
      <w:bookmarkStart w:id="1917" w:name="_Toc213065687"/>
      <w:bookmarkStart w:id="1918" w:name="_Toc150099204"/>
      <w:bookmarkStart w:id="1919" w:name="_Toc149968514"/>
      <w:bookmarkStart w:id="1920" w:name="_Toc307602011"/>
      <w:bookmarkStart w:id="1921" w:name="_Toc307670460"/>
      <w:bookmarkStart w:id="1922" w:name="_Toc307701686"/>
      <w:bookmarkStart w:id="1923" w:name="_Toc338505592"/>
      <w:bookmarkStart w:id="1924" w:name="_Toc338523820"/>
      <w:bookmarkStart w:id="1925" w:name="_Toc338524051"/>
      <w:bookmarkStart w:id="1926" w:name="_Toc338526277"/>
      <w:bookmarkStart w:id="1927" w:name="_Toc338673720"/>
      <w:bookmarkStart w:id="1928" w:name="_Toc338711599"/>
      <w:r w:rsidRPr="009B3D4C">
        <w:t>1. Mevcut Durum</w:t>
      </w:r>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p>
    <w:p w:rsidR="00565FD5" w:rsidRPr="009B3D4C" w:rsidRDefault="00565FD5" w:rsidP="00565FD5">
      <w:pPr>
        <w:spacing w:after="180"/>
        <w:ind w:firstLine="426"/>
        <w:rPr>
          <w:rFonts w:cs="Tahoma"/>
          <w:b/>
          <w:bCs/>
          <w:szCs w:val="18"/>
        </w:rPr>
      </w:pPr>
      <w:r w:rsidRPr="009B3D4C">
        <w:rPr>
          <w:rFonts w:cs="Tahoma"/>
          <w:b/>
          <w:bCs/>
          <w:szCs w:val="18"/>
        </w:rPr>
        <w:t>İmalat Sanayii</w:t>
      </w:r>
    </w:p>
    <w:p w:rsidR="00565FD5" w:rsidRPr="009B3D4C" w:rsidRDefault="00565FD5" w:rsidP="00565FD5">
      <w:pPr>
        <w:spacing w:after="180"/>
        <w:rPr>
          <w:rFonts w:cs="Tahoma"/>
          <w:szCs w:val="18"/>
        </w:rPr>
      </w:pPr>
      <w:r>
        <w:rPr>
          <w:rFonts w:cs="Tahoma"/>
          <w:szCs w:val="18"/>
        </w:rPr>
        <w:tab/>
      </w:r>
      <w:r w:rsidRPr="009B3D4C">
        <w:rPr>
          <w:rFonts w:cs="Tahoma"/>
          <w:szCs w:val="18"/>
        </w:rPr>
        <w:t xml:space="preserve">İmalat sanayiinde, 2009 yılında başlayan küresel kriz sonrasında 2010 ve 2011 yıllarında belirgin bir iyileşme yaşanmıştır. 2012 yılı Ocak-Ağustos döneminde, ihracatta önemli bir artış hızına erişilmiş olmakla birlikte üretim ve istihdamda artış hızı yavaşlamış, yeni kurulan işletme sayısı, kapasite kullanım oranı ve ithalat gerilemiştir. </w:t>
      </w:r>
    </w:p>
    <w:p w:rsidR="00565FD5" w:rsidRPr="009B3D4C" w:rsidRDefault="00565FD5" w:rsidP="00565FD5">
      <w:pPr>
        <w:spacing w:after="180"/>
        <w:rPr>
          <w:rFonts w:cs="Tahoma"/>
          <w:szCs w:val="18"/>
        </w:rPr>
      </w:pPr>
      <w:r>
        <w:rPr>
          <w:rFonts w:cs="Tahoma"/>
          <w:szCs w:val="18"/>
        </w:rPr>
        <w:tab/>
      </w:r>
      <w:r w:rsidRPr="009B3D4C">
        <w:rPr>
          <w:rFonts w:cs="Tahoma"/>
          <w:szCs w:val="18"/>
        </w:rPr>
        <w:t xml:space="preserve">2011 yılında </w:t>
      </w:r>
      <w:r>
        <w:rPr>
          <w:rFonts w:cs="Tahoma"/>
          <w:szCs w:val="18"/>
        </w:rPr>
        <w:t>yurtiçi</w:t>
      </w:r>
      <w:r w:rsidRPr="009B3D4C">
        <w:rPr>
          <w:rFonts w:cs="Tahoma"/>
          <w:szCs w:val="18"/>
        </w:rPr>
        <w:t xml:space="preserve"> talep ve ihracatta gözlenen yükselişin etkisiyle imalat sanayii üretimi yüzde 9,2 oranında artmıştır. Kauçuk ve plastik, bilgisayar, elektronik ve optik ürünler, elektrikli teçhizat, makine ve otomotiv üretimi imalat sanayii ortalamasından daha yüksek artış gösteren sektörler olmuştur. Öte yandan, tekstil üretiminde değişim gözlenmezken, tütün ürünleri ve giyim sektörlerinin üretiminde azalma olmuştur. 2012 yılının Ocak-Ağustos döneminde imalat sanayii üretimi, bir önceki yılın aynı dönemine göre, ortalama yüzde 1,9 oranında artmıştır. Bu dönemde gıda, tekstil, ilaç, ana metal, makine ile bilgisayar, elektronik ve optik ürünler en fazla üretim artışı kaydedilen sektörler olurken, en yüksek oranlı düşüş petrol ürünleri, taş ve toprağa dayalı sektörler, plastik ve otomotiv sektörlerinde olmuştur.</w:t>
      </w:r>
    </w:p>
    <w:p w:rsidR="00565FD5" w:rsidRPr="009B3D4C" w:rsidRDefault="00565FD5" w:rsidP="00565FD5">
      <w:pPr>
        <w:spacing w:after="180"/>
        <w:rPr>
          <w:rFonts w:cs="Tahoma"/>
          <w:szCs w:val="18"/>
        </w:rPr>
      </w:pPr>
      <w:r>
        <w:rPr>
          <w:rFonts w:cs="Tahoma"/>
          <w:szCs w:val="18"/>
        </w:rPr>
        <w:tab/>
      </w:r>
      <w:r w:rsidRPr="009B3D4C">
        <w:rPr>
          <w:rFonts w:cs="Tahoma"/>
          <w:szCs w:val="18"/>
        </w:rPr>
        <w:t>Türkiye Cumhuriyet Merkez Bankası verilerine göre, imalat sanayii kapasite kullanım oranı 2011 yılında yüzde 75,4 olarak gerçekleşmiştir. 2012 yılı ilk sekiz ayında ise, imalat sanayii kapasite kullanım oranı ortalama yüzde 74,2 düzeyinde gerçekleşmiştir. Kapasite kullanım oranında halen 2008 yılı ve öncesi dönemdeki seviyelere ulaşılamamıştır.</w:t>
      </w:r>
    </w:p>
    <w:p w:rsidR="00565FD5" w:rsidRPr="009B3D4C" w:rsidRDefault="00565FD5" w:rsidP="00565FD5">
      <w:pPr>
        <w:spacing w:after="180"/>
        <w:rPr>
          <w:rFonts w:cs="Tahoma"/>
          <w:szCs w:val="18"/>
        </w:rPr>
      </w:pPr>
      <w:r>
        <w:rPr>
          <w:rFonts w:cs="Tahoma"/>
          <w:szCs w:val="18"/>
        </w:rPr>
        <w:lastRenderedPageBreak/>
        <w:tab/>
      </w:r>
      <w:r w:rsidRPr="009B3D4C">
        <w:rPr>
          <w:rFonts w:cs="Tahoma"/>
          <w:szCs w:val="18"/>
        </w:rPr>
        <w:t>Kalkınma Bakanlığı verilerine göre imalat sanayii özel sektör sabit sermaye yatırımları 2010 yılında yüzde 3</w:t>
      </w:r>
      <w:r>
        <w:rPr>
          <w:rFonts w:cs="Tahoma"/>
          <w:szCs w:val="18"/>
        </w:rPr>
        <w:t>2</w:t>
      </w:r>
      <w:r w:rsidRPr="009B3D4C">
        <w:rPr>
          <w:rFonts w:cs="Tahoma"/>
          <w:szCs w:val="18"/>
        </w:rPr>
        <w:t>, 2011 yılında ise yüzde 2</w:t>
      </w:r>
      <w:r>
        <w:rPr>
          <w:rFonts w:cs="Tahoma"/>
          <w:szCs w:val="18"/>
        </w:rPr>
        <w:t>5</w:t>
      </w:r>
      <w:r w:rsidRPr="009B3D4C">
        <w:rPr>
          <w:rFonts w:cs="Tahoma"/>
          <w:szCs w:val="18"/>
        </w:rPr>
        <w:t xml:space="preserve"> oranında artmıştır. 2012 yılında ise söz konusu yatırımların yüzde 5</w:t>
      </w:r>
      <w:r>
        <w:rPr>
          <w:rFonts w:cs="Tahoma"/>
          <w:szCs w:val="18"/>
        </w:rPr>
        <w:t>,2</w:t>
      </w:r>
      <w:r w:rsidRPr="009B3D4C">
        <w:rPr>
          <w:rFonts w:cs="Tahoma"/>
          <w:szCs w:val="18"/>
        </w:rPr>
        <w:t xml:space="preserve"> oranında azalması beklenmektedir. İşletmelerin yatırım eğiliminin bir göstergesi olan imalat sanayiinde verilen teşvik belgesi sayısı 2011 yılında yüzde 5,6 oranında artmıştır. 2011 yılında teşvik belgelerinde öngörülen yatırım tutarının yüzde 37,4 oranında azaldığı görülmesine rağmen, 2010 yılında bir rafineri yatırımına ilişkin olarak alınan teşvik belgesindeki yüksek yatırım tutarı öngörüsü hariç yüzde 1,3 oranında artış kaydedilmiştir. 2012 yılı ilk sekiz ayında ise, düzenlenen yatırım teşvik belgeleri bir önceki yılın aynı dönemine göre, belge sayısı itibarıyla yüzde 10,7, öngörülen yatırım tutarı itibarıyla ise yüzde 37,7 oranında azalmıştır. Ancak, yeni yatırım teşvik sistemine ilişkin uygulamanın 2012 yılı Haziran ayında başlaması sonrasında Temmuz ve Ağustos aylarında verilen teşvik belgesinde bir önceki yılın aynı dönemine göre artış gözlenmektedir. </w:t>
      </w:r>
    </w:p>
    <w:p w:rsidR="00565FD5" w:rsidRPr="009B3D4C" w:rsidRDefault="00565FD5" w:rsidP="00565FD5">
      <w:pPr>
        <w:spacing w:after="180"/>
        <w:rPr>
          <w:rFonts w:cs="Tahoma"/>
          <w:szCs w:val="18"/>
        </w:rPr>
      </w:pPr>
      <w:r>
        <w:rPr>
          <w:rFonts w:cs="Tahoma"/>
          <w:szCs w:val="18"/>
        </w:rPr>
        <w:tab/>
      </w:r>
      <w:r w:rsidRPr="009B3D4C">
        <w:rPr>
          <w:rFonts w:cs="Tahoma"/>
          <w:szCs w:val="18"/>
        </w:rPr>
        <w:t>TÜİK Hanehalkı İşgücü Anketi sonuçlarına göre, 2011 yılında bir önceki yıla göre imalat sanayii istihdamı yüzde 3,6, toplam istihdam ise yüzde 6,7 oranında artmıştır. 2012 yılı ilk altı ayında da imalat sanayi istihdamı bir önceki yılın aynı dönemine göre yüzde 0,6 oranında artmıştır.</w:t>
      </w:r>
    </w:p>
    <w:p w:rsidR="00565FD5" w:rsidRPr="00A33CD3" w:rsidRDefault="00565FD5" w:rsidP="00565FD5">
      <w:pPr>
        <w:pStyle w:val="ResimYazs"/>
        <w:rPr>
          <w:rFonts w:eastAsia="Arial Unicode MS" w:cs="Tahoma"/>
          <w:bCs/>
          <w:szCs w:val="16"/>
        </w:rPr>
      </w:pPr>
      <w:bookmarkStart w:id="1929" w:name="_Toc276076502"/>
      <w:bookmarkStart w:id="1930" w:name="_Toc275873960"/>
      <w:bookmarkStart w:id="1931" w:name="_Toc244255276"/>
      <w:bookmarkStart w:id="1932" w:name="_Toc213071710"/>
      <w:bookmarkStart w:id="1933" w:name="_Toc212712802"/>
      <w:bookmarkStart w:id="1934" w:name="_Toc150099407"/>
      <w:bookmarkStart w:id="1935" w:name="_Toc149975954"/>
      <w:bookmarkStart w:id="1936" w:name="_Toc307601682"/>
      <w:bookmarkStart w:id="1937" w:name="_Toc307657905"/>
      <w:bookmarkStart w:id="1938" w:name="_Toc307702161"/>
      <w:bookmarkStart w:id="1939" w:name="_Toc338606026"/>
      <w:bookmarkStart w:id="1940" w:name="_Toc338711801"/>
      <w:r>
        <w:t xml:space="preserve">TABLO IV: </w:t>
      </w:r>
      <w:fldSimple w:instr=" SEQ TABLO_IV: \* ARABIC ">
        <w:r>
          <w:rPr>
            <w:noProof/>
          </w:rPr>
          <w:t>31</w:t>
        </w:r>
      </w:fldSimple>
      <w:r w:rsidRPr="00A33CD3">
        <w:rPr>
          <w:rFonts w:eastAsia="Arial Unicode MS" w:cs="Tahoma"/>
          <w:bCs/>
          <w:szCs w:val="16"/>
        </w:rPr>
        <w:t>- İmalat Sanayii ile İlgili Temel Göstergeler</w:t>
      </w:r>
      <w:bookmarkEnd w:id="1929"/>
      <w:bookmarkEnd w:id="1930"/>
      <w:bookmarkEnd w:id="1931"/>
      <w:bookmarkEnd w:id="1932"/>
      <w:bookmarkEnd w:id="1933"/>
      <w:bookmarkEnd w:id="1934"/>
      <w:bookmarkEnd w:id="1935"/>
      <w:bookmarkEnd w:id="1936"/>
      <w:bookmarkEnd w:id="1937"/>
      <w:bookmarkEnd w:id="1938"/>
      <w:bookmarkEnd w:id="1939"/>
      <w:bookmarkEnd w:id="1940"/>
    </w:p>
    <w:tbl>
      <w:tblPr>
        <w:tblW w:w="4850" w:type="pct"/>
        <w:tblInd w:w="108" w:type="dxa"/>
        <w:tblBorders>
          <w:top w:val="single" w:sz="4" w:space="0" w:color="000000"/>
          <w:bottom w:val="single" w:sz="4" w:space="0" w:color="000000"/>
        </w:tblBorders>
        <w:tblLook w:val="00A0"/>
      </w:tblPr>
      <w:tblGrid>
        <w:gridCol w:w="3616"/>
        <w:gridCol w:w="880"/>
        <w:gridCol w:w="880"/>
        <w:gridCol w:w="880"/>
        <w:gridCol w:w="881"/>
      </w:tblGrid>
      <w:tr w:rsidR="00565FD5" w:rsidRPr="009B3D4C" w:rsidTr="00AB62A3">
        <w:trPr>
          <w:trHeight w:val="284"/>
        </w:trPr>
        <w:tc>
          <w:tcPr>
            <w:tcW w:w="2470" w:type="pct"/>
            <w:tcBorders>
              <w:top w:val="nil"/>
              <w:left w:val="nil"/>
              <w:bottom w:val="single" w:sz="4" w:space="0" w:color="000000"/>
              <w:right w:val="nil"/>
            </w:tcBorders>
            <w:noWrap/>
            <w:vAlign w:val="center"/>
          </w:tcPr>
          <w:p w:rsidR="00565FD5" w:rsidRPr="009B3D4C" w:rsidRDefault="00565FD5" w:rsidP="00AB62A3">
            <w:pPr>
              <w:rPr>
                <w:rFonts w:cs="Tahoma"/>
                <w:sz w:val="16"/>
                <w:szCs w:val="16"/>
              </w:rPr>
            </w:pPr>
          </w:p>
        </w:tc>
        <w:tc>
          <w:tcPr>
            <w:tcW w:w="632" w:type="pct"/>
            <w:tcBorders>
              <w:top w:val="nil"/>
              <w:left w:val="nil"/>
              <w:bottom w:val="single" w:sz="4" w:space="0" w:color="000000"/>
              <w:right w:val="nil"/>
            </w:tcBorders>
            <w:noWrap/>
            <w:vAlign w:val="center"/>
          </w:tcPr>
          <w:p w:rsidR="00565FD5" w:rsidRPr="009B3D4C" w:rsidRDefault="00565FD5" w:rsidP="00AB62A3">
            <w:pPr>
              <w:jc w:val="right"/>
              <w:rPr>
                <w:rFonts w:cs="Tahoma"/>
                <w:b/>
                <w:bCs/>
                <w:sz w:val="16"/>
                <w:szCs w:val="16"/>
              </w:rPr>
            </w:pPr>
          </w:p>
        </w:tc>
        <w:tc>
          <w:tcPr>
            <w:tcW w:w="632" w:type="pct"/>
            <w:tcBorders>
              <w:top w:val="nil"/>
              <w:left w:val="nil"/>
              <w:bottom w:val="single" w:sz="4" w:space="0" w:color="000000"/>
              <w:right w:val="nil"/>
            </w:tcBorders>
            <w:noWrap/>
            <w:vAlign w:val="center"/>
          </w:tcPr>
          <w:p w:rsidR="00565FD5" w:rsidRPr="009B3D4C" w:rsidRDefault="00565FD5" w:rsidP="00AB62A3">
            <w:pPr>
              <w:jc w:val="right"/>
              <w:rPr>
                <w:rFonts w:cs="Tahoma"/>
                <w:b/>
                <w:bCs/>
                <w:sz w:val="16"/>
                <w:szCs w:val="16"/>
              </w:rPr>
            </w:pPr>
          </w:p>
        </w:tc>
        <w:tc>
          <w:tcPr>
            <w:tcW w:w="632" w:type="pct"/>
            <w:tcBorders>
              <w:top w:val="nil"/>
              <w:left w:val="nil"/>
              <w:bottom w:val="single" w:sz="4" w:space="0" w:color="000000"/>
              <w:right w:val="nil"/>
            </w:tcBorders>
            <w:vAlign w:val="center"/>
          </w:tcPr>
          <w:p w:rsidR="00565FD5" w:rsidRPr="009B3D4C" w:rsidRDefault="00565FD5" w:rsidP="00AB62A3">
            <w:pPr>
              <w:tabs>
                <w:tab w:val="left" w:pos="34"/>
              </w:tabs>
              <w:jc w:val="right"/>
              <w:rPr>
                <w:rFonts w:cs="Tahoma"/>
                <w:b/>
                <w:bCs/>
                <w:sz w:val="16"/>
                <w:szCs w:val="16"/>
              </w:rPr>
            </w:pPr>
          </w:p>
        </w:tc>
        <w:tc>
          <w:tcPr>
            <w:tcW w:w="632" w:type="pct"/>
            <w:tcBorders>
              <w:top w:val="nil"/>
              <w:left w:val="nil"/>
              <w:bottom w:val="single" w:sz="4" w:space="0" w:color="000000"/>
              <w:right w:val="nil"/>
            </w:tcBorders>
            <w:noWrap/>
            <w:vAlign w:val="center"/>
          </w:tcPr>
          <w:p w:rsidR="00565FD5" w:rsidRPr="009B3D4C" w:rsidRDefault="00565FD5" w:rsidP="00AB62A3">
            <w:pPr>
              <w:tabs>
                <w:tab w:val="left" w:pos="34"/>
              </w:tabs>
              <w:jc w:val="right"/>
              <w:rPr>
                <w:rFonts w:cs="Tahoma"/>
                <w:bCs/>
                <w:sz w:val="16"/>
                <w:szCs w:val="16"/>
              </w:rPr>
            </w:pPr>
            <w:r w:rsidRPr="009B3D4C">
              <w:rPr>
                <w:rFonts w:eastAsia="Arial Unicode MS" w:cs="Tahoma"/>
                <w:bCs/>
                <w:sz w:val="16"/>
                <w:szCs w:val="16"/>
              </w:rPr>
              <w:t>(Yüzde)</w:t>
            </w:r>
          </w:p>
        </w:tc>
      </w:tr>
      <w:tr w:rsidR="00565FD5" w:rsidRPr="009B3D4C" w:rsidTr="00AB62A3">
        <w:trPr>
          <w:trHeight w:val="284"/>
        </w:trPr>
        <w:tc>
          <w:tcPr>
            <w:tcW w:w="2470" w:type="pct"/>
            <w:tcBorders>
              <w:top w:val="single" w:sz="4" w:space="0" w:color="auto"/>
              <w:left w:val="single" w:sz="4" w:space="0" w:color="auto"/>
              <w:bottom w:val="single" w:sz="4" w:space="0" w:color="000000"/>
              <w:right w:val="nil"/>
            </w:tcBorders>
            <w:noWrap/>
            <w:vAlign w:val="center"/>
          </w:tcPr>
          <w:p w:rsidR="00565FD5" w:rsidRPr="009B3D4C" w:rsidRDefault="00565FD5" w:rsidP="00AB62A3">
            <w:pPr>
              <w:rPr>
                <w:rFonts w:cs="Tahoma"/>
                <w:sz w:val="16"/>
                <w:szCs w:val="16"/>
              </w:rPr>
            </w:pPr>
          </w:p>
        </w:tc>
        <w:tc>
          <w:tcPr>
            <w:tcW w:w="632" w:type="pct"/>
            <w:tcBorders>
              <w:top w:val="single" w:sz="4" w:space="0" w:color="auto"/>
              <w:left w:val="nil"/>
              <w:bottom w:val="single" w:sz="4" w:space="0" w:color="000000"/>
              <w:right w:val="nil"/>
            </w:tcBorders>
            <w:noWrap/>
            <w:vAlign w:val="center"/>
          </w:tcPr>
          <w:p w:rsidR="00565FD5" w:rsidRPr="009B3D4C" w:rsidRDefault="00565FD5" w:rsidP="00AB62A3">
            <w:pPr>
              <w:jc w:val="right"/>
              <w:rPr>
                <w:rFonts w:cs="Tahoma"/>
                <w:b/>
                <w:bCs/>
                <w:sz w:val="16"/>
                <w:szCs w:val="16"/>
              </w:rPr>
            </w:pPr>
            <w:r w:rsidRPr="009B3D4C">
              <w:rPr>
                <w:rFonts w:cs="Tahoma"/>
                <w:b/>
                <w:bCs/>
                <w:sz w:val="16"/>
                <w:szCs w:val="16"/>
              </w:rPr>
              <w:t>2010</w:t>
            </w:r>
          </w:p>
        </w:tc>
        <w:tc>
          <w:tcPr>
            <w:tcW w:w="632" w:type="pct"/>
            <w:tcBorders>
              <w:top w:val="single" w:sz="4" w:space="0" w:color="auto"/>
              <w:left w:val="nil"/>
              <w:bottom w:val="single" w:sz="4" w:space="0" w:color="000000"/>
              <w:right w:val="nil"/>
            </w:tcBorders>
            <w:noWrap/>
            <w:vAlign w:val="center"/>
          </w:tcPr>
          <w:p w:rsidR="00565FD5" w:rsidRPr="009B3D4C" w:rsidRDefault="00565FD5" w:rsidP="00AB62A3">
            <w:pPr>
              <w:jc w:val="right"/>
              <w:rPr>
                <w:rFonts w:cs="Tahoma"/>
                <w:b/>
                <w:bCs/>
                <w:sz w:val="16"/>
                <w:szCs w:val="16"/>
              </w:rPr>
            </w:pPr>
            <w:r w:rsidRPr="009B3D4C">
              <w:rPr>
                <w:rFonts w:cs="Tahoma"/>
                <w:b/>
                <w:bCs/>
                <w:sz w:val="16"/>
                <w:szCs w:val="16"/>
              </w:rPr>
              <w:t>2011</w:t>
            </w:r>
          </w:p>
        </w:tc>
        <w:tc>
          <w:tcPr>
            <w:tcW w:w="632" w:type="pct"/>
            <w:tcBorders>
              <w:top w:val="single" w:sz="4" w:space="0" w:color="auto"/>
              <w:left w:val="nil"/>
              <w:bottom w:val="single" w:sz="4" w:space="0" w:color="000000"/>
              <w:right w:val="nil"/>
            </w:tcBorders>
            <w:vAlign w:val="center"/>
          </w:tcPr>
          <w:p w:rsidR="00565FD5" w:rsidRPr="009B3D4C" w:rsidRDefault="00565FD5" w:rsidP="00AB62A3">
            <w:pPr>
              <w:tabs>
                <w:tab w:val="left" w:pos="34"/>
              </w:tabs>
              <w:jc w:val="right"/>
              <w:rPr>
                <w:rFonts w:cs="Tahoma"/>
                <w:b/>
                <w:bCs/>
                <w:sz w:val="16"/>
                <w:szCs w:val="16"/>
              </w:rPr>
            </w:pPr>
            <w:r w:rsidRPr="009B3D4C">
              <w:rPr>
                <w:rFonts w:cs="Tahoma"/>
                <w:b/>
                <w:bCs/>
                <w:sz w:val="16"/>
                <w:szCs w:val="16"/>
              </w:rPr>
              <w:t>2012(2)</w:t>
            </w:r>
          </w:p>
        </w:tc>
        <w:tc>
          <w:tcPr>
            <w:tcW w:w="632" w:type="pct"/>
            <w:tcBorders>
              <w:top w:val="single" w:sz="4" w:space="0" w:color="auto"/>
              <w:left w:val="nil"/>
              <w:bottom w:val="single" w:sz="4" w:space="0" w:color="000000"/>
              <w:right w:val="single" w:sz="4" w:space="0" w:color="auto"/>
            </w:tcBorders>
            <w:noWrap/>
            <w:vAlign w:val="center"/>
          </w:tcPr>
          <w:p w:rsidR="00565FD5" w:rsidRPr="009B3D4C" w:rsidRDefault="00565FD5" w:rsidP="00AB62A3">
            <w:pPr>
              <w:tabs>
                <w:tab w:val="left" w:pos="34"/>
              </w:tabs>
              <w:jc w:val="right"/>
              <w:rPr>
                <w:rFonts w:cs="Tahoma"/>
                <w:sz w:val="16"/>
                <w:szCs w:val="16"/>
                <w:vertAlign w:val="superscript"/>
              </w:rPr>
            </w:pPr>
            <w:r w:rsidRPr="009B3D4C">
              <w:rPr>
                <w:rFonts w:cs="Tahoma"/>
                <w:b/>
                <w:bCs/>
                <w:sz w:val="16"/>
                <w:szCs w:val="16"/>
              </w:rPr>
              <w:t>AB-27(5)</w:t>
            </w:r>
          </w:p>
          <w:p w:rsidR="00565FD5" w:rsidRPr="009B3D4C" w:rsidRDefault="00565FD5" w:rsidP="00AB62A3">
            <w:pPr>
              <w:tabs>
                <w:tab w:val="left" w:pos="-42"/>
                <w:tab w:val="left" w:pos="315"/>
              </w:tabs>
              <w:jc w:val="right"/>
              <w:rPr>
                <w:rFonts w:cs="Tahoma"/>
                <w:b/>
                <w:bCs/>
                <w:sz w:val="16"/>
                <w:szCs w:val="16"/>
              </w:rPr>
            </w:pPr>
            <w:r w:rsidRPr="009B3D4C">
              <w:rPr>
                <w:rFonts w:cs="Tahoma"/>
                <w:b/>
                <w:bCs/>
                <w:sz w:val="16"/>
                <w:szCs w:val="16"/>
              </w:rPr>
              <w:t>2011</w:t>
            </w:r>
          </w:p>
        </w:tc>
      </w:tr>
      <w:tr w:rsidR="00565FD5" w:rsidRPr="009B3D4C" w:rsidTr="00AB62A3">
        <w:trPr>
          <w:trHeight w:val="227"/>
        </w:trPr>
        <w:tc>
          <w:tcPr>
            <w:tcW w:w="2470" w:type="pct"/>
            <w:tcBorders>
              <w:top w:val="single" w:sz="4" w:space="0" w:color="000000"/>
              <w:left w:val="single" w:sz="4" w:space="0" w:color="auto"/>
              <w:bottom w:val="nil"/>
              <w:right w:val="nil"/>
            </w:tcBorders>
            <w:noWrap/>
            <w:vAlign w:val="center"/>
          </w:tcPr>
          <w:p w:rsidR="00565FD5" w:rsidRPr="009B3D4C" w:rsidRDefault="00565FD5" w:rsidP="00AB62A3">
            <w:pPr>
              <w:rPr>
                <w:rFonts w:cs="Tahoma"/>
                <w:sz w:val="16"/>
                <w:szCs w:val="16"/>
              </w:rPr>
            </w:pPr>
            <w:r w:rsidRPr="009B3D4C">
              <w:rPr>
                <w:rFonts w:cs="Tahoma"/>
                <w:sz w:val="16"/>
                <w:szCs w:val="16"/>
              </w:rPr>
              <w:t>GSYH İçindeki Payı (Cari Fiyatlarla)</w:t>
            </w:r>
          </w:p>
        </w:tc>
        <w:tc>
          <w:tcPr>
            <w:tcW w:w="632" w:type="pct"/>
            <w:tcBorders>
              <w:top w:val="single" w:sz="4" w:space="0" w:color="000000"/>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15,7</w:t>
            </w:r>
          </w:p>
        </w:tc>
        <w:tc>
          <w:tcPr>
            <w:tcW w:w="632" w:type="pct"/>
            <w:tcBorders>
              <w:top w:val="single" w:sz="4" w:space="0" w:color="000000"/>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16,2</w:t>
            </w:r>
          </w:p>
        </w:tc>
        <w:tc>
          <w:tcPr>
            <w:tcW w:w="632" w:type="pct"/>
            <w:tcBorders>
              <w:top w:val="single" w:sz="4" w:space="0" w:color="000000"/>
              <w:left w:val="nil"/>
              <w:bottom w:val="nil"/>
              <w:right w:val="nil"/>
            </w:tcBorders>
            <w:vAlign w:val="center"/>
          </w:tcPr>
          <w:p w:rsidR="00565FD5" w:rsidRPr="009B3D4C" w:rsidRDefault="00565FD5" w:rsidP="00AB62A3">
            <w:pPr>
              <w:jc w:val="right"/>
              <w:rPr>
                <w:rFonts w:cs="Tahoma"/>
                <w:sz w:val="16"/>
                <w:szCs w:val="16"/>
              </w:rPr>
            </w:pPr>
            <w:r w:rsidRPr="009B3D4C">
              <w:rPr>
                <w:rFonts w:cs="Tahoma"/>
                <w:sz w:val="16"/>
                <w:szCs w:val="16"/>
              </w:rPr>
              <w:t>17,1</w:t>
            </w:r>
            <w:r w:rsidRPr="009B3D4C">
              <w:rPr>
                <w:rFonts w:cs="Tahoma"/>
                <w:bCs/>
                <w:sz w:val="16"/>
                <w:szCs w:val="16"/>
              </w:rPr>
              <w:t>(3)</w:t>
            </w:r>
          </w:p>
        </w:tc>
        <w:tc>
          <w:tcPr>
            <w:tcW w:w="632" w:type="pct"/>
            <w:tcBorders>
              <w:top w:val="single" w:sz="4" w:space="0" w:color="000000"/>
              <w:left w:val="nil"/>
              <w:bottom w:val="nil"/>
              <w:right w:val="single" w:sz="4" w:space="0" w:color="auto"/>
            </w:tcBorders>
            <w:noWrap/>
            <w:vAlign w:val="center"/>
          </w:tcPr>
          <w:p w:rsidR="00565FD5" w:rsidRPr="009B3D4C" w:rsidRDefault="00565FD5" w:rsidP="00AB62A3">
            <w:pPr>
              <w:jc w:val="right"/>
              <w:rPr>
                <w:rFonts w:cs="Tahoma"/>
                <w:sz w:val="16"/>
                <w:szCs w:val="16"/>
              </w:rPr>
            </w:pPr>
            <w:r w:rsidRPr="009B3D4C">
              <w:rPr>
                <w:rFonts w:cs="Tahoma"/>
                <w:sz w:val="16"/>
                <w:szCs w:val="16"/>
              </w:rPr>
              <w:t xml:space="preserve">  15,6</w:t>
            </w:r>
          </w:p>
        </w:tc>
      </w:tr>
      <w:tr w:rsidR="00565FD5" w:rsidRPr="009B3D4C" w:rsidTr="00AB62A3">
        <w:trPr>
          <w:trHeight w:val="227"/>
        </w:trPr>
        <w:tc>
          <w:tcPr>
            <w:tcW w:w="2470" w:type="pct"/>
            <w:tcBorders>
              <w:top w:val="nil"/>
              <w:left w:val="single" w:sz="4" w:space="0" w:color="auto"/>
              <w:bottom w:val="nil"/>
              <w:right w:val="nil"/>
            </w:tcBorders>
            <w:noWrap/>
            <w:vAlign w:val="center"/>
          </w:tcPr>
          <w:p w:rsidR="00565FD5" w:rsidRPr="009B3D4C" w:rsidRDefault="00565FD5" w:rsidP="00AB62A3">
            <w:pPr>
              <w:rPr>
                <w:rFonts w:cs="Tahoma"/>
                <w:sz w:val="16"/>
                <w:szCs w:val="16"/>
              </w:rPr>
            </w:pPr>
            <w:r w:rsidRPr="009B3D4C">
              <w:rPr>
                <w:rFonts w:cs="Tahoma"/>
                <w:sz w:val="16"/>
                <w:szCs w:val="16"/>
              </w:rPr>
              <w:t>Üretim Artışı (Sabit Fiyatlarla</w:t>
            </w:r>
            <w:r w:rsidRPr="009B3D4C">
              <w:rPr>
                <w:rFonts w:cs="Tahoma"/>
                <w:bCs/>
                <w:sz w:val="16"/>
                <w:szCs w:val="16"/>
              </w:rPr>
              <w:t>)(1)</w:t>
            </w:r>
          </w:p>
        </w:tc>
        <w:tc>
          <w:tcPr>
            <w:tcW w:w="632" w:type="pct"/>
            <w:tcBorders>
              <w:top w:val="nil"/>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14,4</w:t>
            </w:r>
          </w:p>
        </w:tc>
        <w:tc>
          <w:tcPr>
            <w:tcW w:w="632" w:type="pct"/>
            <w:tcBorders>
              <w:top w:val="nil"/>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9,2</w:t>
            </w:r>
          </w:p>
        </w:tc>
        <w:tc>
          <w:tcPr>
            <w:tcW w:w="632" w:type="pct"/>
            <w:tcBorders>
              <w:top w:val="nil"/>
              <w:left w:val="nil"/>
              <w:bottom w:val="nil"/>
              <w:right w:val="nil"/>
            </w:tcBorders>
            <w:vAlign w:val="center"/>
          </w:tcPr>
          <w:p w:rsidR="00565FD5" w:rsidRPr="009B3D4C" w:rsidRDefault="00565FD5" w:rsidP="00AB62A3">
            <w:pPr>
              <w:jc w:val="right"/>
              <w:rPr>
                <w:rFonts w:cs="Tahoma"/>
                <w:sz w:val="16"/>
                <w:szCs w:val="16"/>
                <w:vertAlign w:val="superscript"/>
              </w:rPr>
            </w:pPr>
            <w:r w:rsidRPr="009B3D4C">
              <w:rPr>
                <w:rFonts w:cs="Tahoma"/>
                <w:sz w:val="16"/>
                <w:szCs w:val="16"/>
              </w:rPr>
              <w:t>1,9</w:t>
            </w:r>
          </w:p>
        </w:tc>
        <w:tc>
          <w:tcPr>
            <w:tcW w:w="632" w:type="pct"/>
            <w:tcBorders>
              <w:top w:val="nil"/>
              <w:left w:val="nil"/>
              <w:bottom w:val="nil"/>
              <w:right w:val="single" w:sz="4" w:space="0" w:color="auto"/>
            </w:tcBorders>
            <w:noWrap/>
            <w:vAlign w:val="center"/>
          </w:tcPr>
          <w:p w:rsidR="00565FD5" w:rsidRPr="009B3D4C" w:rsidRDefault="00565FD5" w:rsidP="00AB62A3">
            <w:pPr>
              <w:jc w:val="right"/>
              <w:rPr>
                <w:rFonts w:cs="Tahoma"/>
                <w:sz w:val="16"/>
                <w:szCs w:val="16"/>
              </w:rPr>
            </w:pPr>
            <w:r w:rsidRPr="009B3D4C">
              <w:rPr>
                <w:rFonts w:cs="Tahoma"/>
                <w:sz w:val="16"/>
                <w:szCs w:val="16"/>
              </w:rPr>
              <w:t>4,6</w:t>
            </w:r>
          </w:p>
        </w:tc>
      </w:tr>
      <w:tr w:rsidR="00565FD5" w:rsidRPr="009B3D4C" w:rsidTr="00AB62A3">
        <w:trPr>
          <w:trHeight w:val="227"/>
        </w:trPr>
        <w:tc>
          <w:tcPr>
            <w:tcW w:w="2470" w:type="pct"/>
            <w:tcBorders>
              <w:top w:val="nil"/>
              <w:left w:val="single" w:sz="4" w:space="0" w:color="auto"/>
              <w:bottom w:val="nil"/>
              <w:right w:val="nil"/>
            </w:tcBorders>
            <w:noWrap/>
            <w:vAlign w:val="center"/>
          </w:tcPr>
          <w:p w:rsidR="00565FD5" w:rsidRPr="009B3D4C" w:rsidRDefault="00565FD5" w:rsidP="00AB62A3">
            <w:pPr>
              <w:rPr>
                <w:rFonts w:cs="Tahoma"/>
                <w:sz w:val="16"/>
                <w:szCs w:val="16"/>
              </w:rPr>
            </w:pPr>
            <w:r w:rsidRPr="009B3D4C">
              <w:rPr>
                <w:rFonts w:cs="Tahoma"/>
                <w:sz w:val="16"/>
                <w:szCs w:val="16"/>
              </w:rPr>
              <w:t>İhracat Artışı (Cari Fiyatlarla)</w:t>
            </w:r>
          </w:p>
        </w:tc>
        <w:tc>
          <w:tcPr>
            <w:tcW w:w="632" w:type="pct"/>
            <w:tcBorders>
              <w:top w:val="nil"/>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10,5</w:t>
            </w:r>
          </w:p>
        </w:tc>
        <w:tc>
          <w:tcPr>
            <w:tcW w:w="632" w:type="pct"/>
            <w:tcBorders>
              <w:top w:val="nil"/>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19,4</w:t>
            </w:r>
          </w:p>
        </w:tc>
        <w:tc>
          <w:tcPr>
            <w:tcW w:w="632" w:type="pct"/>
            <w:tcBorders>
              <w:top w:val="nil"/>
              <w:left w:val="nil"/>
              <w:bottom w:val="nil"/>
              <w:right w:val="nil"/>
            </w:tcBorders>
            <w:vAlign w:val="center"/>
          </w:tcPr>
          <w:p w:rsidR="00565FD5" w:rsidRPr="009B3D4C" w:rsidRDefault="00565FD5" w:rsidP="00AB62A3">
            <w:pPr>
              <w:jc w:val="right"/>
              <w:rPr>
                <w:rFonts w:cs="Tahoma"/>
                <w:sz w:val="16"/>
                <w:szCs w:val="16"/>
              </w:rPr>
            </w:pPr>
            <w:r w:rsidRPr="009B3D4C">
              <w:rPr>
                <w:rFonts w:cs="Tahoma"/>
                <w:sz w:val="16"/>
                <w:szCs w:val="16"/>
              </w:rPr>
              <w:t>13,3</w:t>
            </w:r>
          </w:p>
        </w:tc>
        <w:tc>
          <w:tcPr>
            <w:tcW w:w="632" w:type="pct"/>
            <w:tcBorders>
              <w:top w:val="nil"/>
              <w:left w:val="nil"/>
              <w:bottom w:val="nil"/>
              <w:right w:val="single" w:sz="4" w:space="0" w:color="auto"/>
            </w:tcBorders>
            <w:noWrap/>
            <w:vAlign w:val="center"/>
          </w:tcPr>
          <w:p w:rsidR="00565FD5" w:rsidRPr="009B3D4C" w:rsidRDefault="00565FD5" w:rsidP="00AB62A3">
            <w:pPr>
              <w:jc w:val="right"/>
              <w:rPr>
                <w:rFonts w:cs="Tahoma"/>
                <w:sz w:val="16"/>
                <w:szCs w:val="16"/>
              </w:rPr>
            </w:pPr>
            <w:r w:rsidRPr="009B3D4C">
              <w:rPr>
                <w:rFonts w:cs="Tahoma"/>
                <w:sz w:val="16"/>
                <w:szCs w:val="16"/>
              </w:rPr>
              <w:t>13,8</w:t>
            </w:r>
            <w:r w:rsidRPr="009B3D4C">
              <w:rPr>
                <w:rFonts w:cs="Tahoma"/>
                <w:bCs/>
                <w:sz w:val="16"/>
                <w:szCs w:val="16"/>
              </w:rPr>
              <w:t>(6)</w:t>
            </w:r>
          </w:p>
        </w:tc>
      </w:tr>
      <w:tr w:rsidR="00565FD5" w:rsidRPr="009B3D4C" w:rsidTr="00AB62A3">
        <w:trPr>
          <w:trHeight w:val="227"/>
        </w:trPr>
        <w:tc>
          <w:tcPr>
            <w:tcW w:w="2470" w:type="pct"/>
            <w:tcBorders>
              <w:top w:val="nil"/>
              <w:left w:val="single" w:sz="4" w:space="0" w:color="auto"/>
              <w:bottom w:val="nil"/>
              <w:right w:val="nil"/>
            </w:tcBorders>
            <w:noWrap/>
            <w:vAlign w:val="center"/>
          </w:tcPr>
          <w:p w:rsidR="00565FD5" w:rsidRPr="009B3D4C" w:rsidRDefault="00565FD5" w:rsidP="00AB62A3">
            <w:pPr>
              <w:rPr>
                <w:rFonts w:cs="Tahoma"/>
                <w:sz w:val="16"/>
                <w:szCs w:val="16"/>
              </w:rPr>
            </w:pPr>
            <w:r w:rsidRPr="009B3D4C">
              <w:rPr>
                <w:rFonts w:cs="Tahoma"/>
                <w:sz w:val="16"/>
                <w:szCs w:val="16"/>
              </w:rPr>
              <w:t>Toplam İhracat İçindeki Payı</w:t>
            </w:r>
          </w:p>
        </w:tc>
        <w:tc>
          <w:tcPr>
            <w:tcW w:w="632" w:type="pct"/>
            <w:tcBorders>
              <w:top w:val="nil"/>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92,6</w:t>
            </w:r>
          </w:p>
        </w:tc>
        <w:tc>
          <w:tcPr>
            <w:tcW w:w="632" w:type="pct"/>
            <w:tcBorders>
              <w:top w:val="nil"/>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 xml:space="preserve"> 93,4</w:t>
            </w:r>
          </w:p>
        </w:tc>
        <w:tc>
          <w:tcPr>
            <w:tcW w:w="632" w:type="pct"/>
            <w:tcBorders>
              <w:top w:val="nil"/>
              <w:left w:val="nil"/>
              <w:bottom w:val="nil"/>
              <w:right w:val="nil"/>
            </w:tcBorders>
            <w:vAlign w:val="center"/>
          </w:tcPr>
          <w:p w:rsidR="00565FD5" w:rsidRPr="009B3D4C" w:rsidRDefault="00565FD5" w:rsidP="00AB62A3">
            <w:pPr>
              <w:jc w:val="right"/>
              <w:rPr>
                <w:rFonts w:cs="Tahoma"/>
                <w:sz w:val="16"/>
                <w:szCs w:val="16"/>
              </w:rPr>
            </w:pPr>
            <w:r w:rsidRPr="009B3D4C">
              <w:rPr>
                <w:rFonts w:cs="Tahoma"/>
                <w:sz w:val="16"/>
                <w:szCs w:val="16"/>
              </w:rPr>
              <w:t>94,2</w:t>
            </w:r>
          </w:p>
        </w:tc>
        <w:tc>
          <w:tcPr>
            <w:tcW w:w="632" w:type="pct"/>
            <w:tcBorders>
              <w:top w:val="nil"/>
              <w:left w:val="nil"/>
              <w:bottom w:val="nil"/>
              <w:right w:val="single" w:sz="4" w:space="0" w:color="auto"/>
            </w:tcBorders>
            <w:noWrap/>
            <w:vAlign w:val="center"/>
          </w:tcPr>
          <w:p w:rsidR="00565FD5" w:rsidRPr="009B3D4C" w:rsidRDefault="00565FD5" w:rsidP="00AB62A3">
            <w:pPr>
              <w:jc w:val="right"/>
              <w:rPr>
                <w:rFonts w:cs="Tahoma"/>
                <w:sz w:val="16"/>
                <w:szCs w:val="16"/>
              </w:rPr>
            </w:pPr>
            <w:r w:rsidRPr="009B3D4C">
              <w:rPr>
                <w:rFonts w:cs="Tahoma"/>
                <w:sz w:val="16"/>
                <w:szCs w:val="16"/>
              </w:rPr>
              <w:t xml:space="preserve">  87,4</w:t>
            </w:r>
            <w:r w:rsidRPr="009B3D4C">
              <w:rPr>
                <w:rFonts w:cs="Tahoma"/>
                <w:bCs/>
                <w:sz w:val="16"/>
                <w:szCs w:val="16"/>
              </w:rPr>
              <w:t>(6)</w:t>
            </w:r>
          </w:p>
        </w:tc>
      </w:tr>
      <w:tr w:rsidR="00565FD5" w:rsidRPr="009B3D4C" w:rsidTr="00AB62A3">
        <w:trPr>
          <w:trHeight w:val="227"/>
        </w:trPr>
        <w:tc>
          <w:tcPr>
            <w:tcW w:w="2470" w:type="pct"/>
            <w:tcBorders>
              <w:top w:val="nil"/>
              <w:left w:val="single" w:sz="4" w:space="0" w:color="auto"/>
              <w:bottom w:val="nil"/>
              <w:right w:val="nil"/>
            </w:tcBorders>
            <w:noWrap/>
            <w:vAlign w:val="center"/>
          </w:tcPr>
          <w:p w:rsidR="00565FD5" w:rsidRPr="009B3D4C" w:rsidRDefault="00565FD5" w:rsidP="00AB62A3">
            <w:pPr>
              <w:rPr>
                <w:rFonts w:cs="Tahoma"/>
                <w:sz w:val="16"/>
                <w:szCs w:val="16"/>
              </w:rPr>
            </w:pPr>
            <w:r w:rsidRPr="009B3D4C">
              <w:rPr>
                <w:rFonts w:cs="Tahoma"/>
                <w:sz w:val="16"/>
                <w:szCs w:val="16"/>
              </w:rPr>
              <w:t>İthalat Artışı (Cari Fiyatlarla)</w:t>
            </w:r>
          </w:p>
        </w:tc>
        <w:tc>
          <w:tcPr>
            <w:tcW w:w="632" w:type="pct"/>
            <w:tcBorders>
              <w:top w:val="nil"/>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30,9</w:t>
            </w:r>
          </w:p>
        </w:tc>
        <w:tc>
          <w:tcPr>
            <w:tcW w:w="632" w:type="pct"/>
            <w:tcBorders>
              <w:top w:val="nil"/>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26,5</w:t>
            </w:r>
          </w:p>
        </w:tc>
        <w:tc>
          <w:tcPr>
            <w:tcW w:w="632" w:type="pct"/>
            <w:tcBorders>
              <w:top w:val="nil"/>
              <w:left w:val="nil"/>
              <w:bottom w:val="nil"/>
              <w:right w:val="nil"/>
            </w:tcBorders>
            <w:vAlign w:val="center"/>
          </w:tcPr>
          <w:p w:rsidR="00565FD5" w:rsidRPr="009B3D4C" w:rsidRDefault="00565FD5" w:rsidP="00AB62A3">
            <w:pPr>
              <w:jc w:val="right"/>
              <w:rPr>
                <w:rFonts w:cs="Tahoma"/>
                <w:sz w:val="16"/>
                <w:szCs w:val="16"/>
              </w:rPr>
            </w:pPr>
            <w:r w:rsidRPr="009B3D4C">
              <w:rPr>
                <w:rFonts w:cs="Tahoma"/>
                <w:sz w:val="16"/>
                <w:szCs w:val="16"/>
              </w:rPr>
              <w:t>-5,4</w:t>
            </w:r>
          </w:p>
        </w:tc>
        <w:tc>
          <w:tcPr>
            <w:tcW w:w="632" w:type="pct"/>
            <w:tcBorders>
              <w:top w:val="nil"/>
              <w:left w:val="nil"/>
              <w:bottom w:val="nil"/>
              <w:right w:val="single" w:sz="4" w:space="0" w:color="auto"/>
            </w:tcBorders>
            <w:noWrap/>
            <w:vAlign w:val="center"/>
          </w:tcPr>
          <w:p w:rsidR="00565FD5" w:rsidRPr="009B3D4C" w:rsidRDefault="00565FD5" w:rsidP="00AB62A3">
            <w:pPr>
              <w:jc w:val="right"/>
              <w:rPr>
                <w:rFonts w:cs="Tahoma"/>
                <w:sz w:val="16"/>
                <w:szCs w:val="16"/>
              </w:rPr>
            </w:pPr>
            <w:r w:rsidRPr="009B3D4C">
              <w:rPr>
                <w:rFonts w:cs="Tahoma"/>
                <w:sz w:val="16"/>
                <w:szCs w:val="16"/>
              </w:rPr>
              <w:t xml:space="preserve">   11,6</w:t>
            </w:r>
            <w:r w:rsidRPr="009B3D4C">
              <w:rPr>
                <w:rFonts w:cs="Tahoma"/>
                <w:bCs/>
                <w:sz w:val="16"/>
                <w:szCs w:val="16"/>
              </w:rPr>
              <w:t>(6)</w:t>
            </w:r>
          </w:p>
        </w:tc>
      </w:tr>
      <w:tr w:rsidR="00565FD5" w:rsidRPr="009B3D4C" w:rsidTr="00AB62A3">
        <w:trPr>
          <w:trHeight w:val="227"/>
        </w:trPr>
        <w:tc>
          <w:tcPr>
            <w:tcW w:w="2470" w:type="pct"/>
            <w:tcBorders>
              <w:top w:val="nil"/>
              <w:left w:val="single" w:sz="4" w:space="0" w:color="auto"/>
              <w:bottom w:val="nil"/>
              <w:right w:val="nil"/>
            </w:tcBorders>
            <w:noWrap/>
            <w:vAlign w:val="center"/>
          </w:tcPr>
          <w:p w:rsidR="00565FD5" w:rsidRPr="009B3D4C" w:rsidRDefault="00565FD5" w:rsidP="00AB62A3">
            <w:pPr>
              <w:rPr>
                <w:rFonts w:cs="Tahoma"/>
                <w:sz w:val="16"/>
                <w:szCs w:val="16"/>
              </w:rPr>
            </w:pPr>
            <w:r w:rsidRPr="009B3D4C">
              <w:rPr>
                <w:rFonts w:cs="Tahoma"/>
                <w:sz w:val="16"/>
                <w:szCs w:val="16"/>
              </w:rPr>
              <w:t>Toplam İthalat İçindeki Payı</w:t>
            </w:r>
          </w:p>
        </w:tc>
        <w:tc>
          <w:tcPr>
            <w:tcW w:w="632" w:type="pct"/>
            <w:tcBorders>
              <w:top w:val="nil"/>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78,3</w:t>
            </w:r>
          </w:p>
        </w:tc>
        <w:tc>
          <w:tcPr>
            <w:tcW w:w="632" w:type="pct"/>
            <w:tcBorders>
              <w:top w:val="nil"/>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76,4</w:t>
            </w:r>
          </w:p>
        </w:tc>
        <w:tc>
          <w:tcPr>
            <w:tcW w:w="632" w:type="pct"/>
            <w:tcBorders>
              <w:top w:val="nil"/>
              <w:left w:val="nil"/>
              <w:bottom w:val="nil"/>
              <w:right w:val="nil"/>
            </w:tcBorders>
            <w:vAlign w:val="center"/>
          </w:tcPr>
          <w:p w:rsidR="00565FD5" w:rsidRPr="009B3D4C" w:rsidRDefault="00565FD5" w:rsidP="00AB62A3">
            <w:pPr>
              <w:jc w:val="right"/>
              <w:rPr>
                <w:rFonts w:cs="Tahoma"/>
                <w:sz w:val="16"/>
                <w:szCs w:val="16"/>
              </w:rPr>
            </w:pPr>
            <w:r w:rsidRPr="009B3D4C">
              <w:rPr>
                <w:rFonts w:cs="Tahoma"/>
                <w:sz w:val="16"/>
                <w:szCs w:val="16"/>
              </w:rPr>
              <w:t>74,7</w:t>
            </w:r>
          </w:p>
        </w:tc>
        <w:tc>
          <w:tcPr>
            <w:tcW w:w="632" w:type="pct"/>
            <w:tcBorders>
              <w:top w:val="nil"/>
              <w:left w:val="nil"/>
              <w:bottom w:val="nil"/>
              <w:right w:val="single" w:sz="4" w:space="0" w:color="auto"/>
            </w:tcBorders>
            <w:noWrap/>
            <w:vAlign w:val="center"/>
          </w:tcPr>
          <w:p w:rsidR="00565FD5" w:rsidRPr="009B3D4C" w:rsidRDefault="00565FD5" w:rsidP="00AB62A3">
            <w:pPr>
              <w:jc w:val="right"/>
              <w:rPr>
                <w:rFonts w:cs="Tahoma"/>
                <w:sz w:val="16"/>
                <w:szCs w:val="16"/>
              </w:rPr>
            </w:pPr>
            <w:r w:rsidRPr="009B3D4C">
              <w:rPr>
                <w:rFonts w:cs="Tahoma"/>
                <w:sz w:val="16"/>
                <w:szCs w:val="16"/>
              </w:rPr>
              <w:t xml:space="preserve">  86,5</w:t>
            </w:r>
            <w:r w:rsidRPr="009B3D4C">
              <w:rPr>
                <w:rFonts w:cs="Tahoma"/>
                <w:bCs/>
                <w:sz w:val="16"/>
                <w:szCs w:val="16"/>
              </w:rPr>
              <w:t>(6)</w:t>
            </w:r>
          </w:p>
        </w:tc>
      </w:tr>
      <w:tr w:rsidR="00565FD5" w:rsidRPr="009B3D4C" w:rsidTr="00AB62A3">
        <w:trPr>
          <w:trHeight w:val="227"/>
        </w:trPr>
        <w:tc>
          <w:tcPr>
            <w:tcW w:w="2470" w:type="pct"/>
            <w:tcBorders>
              <w:top w:val="nil"/>
              <w:left w:val="single" w:sz="4" w:space="0" w:color="auto"/>
              <w:bottom w:val="nil"/>
              <w:right w:val="nil"/>
            </w:tcBorders>
            <w:noWrap/>
            <w:vAlign w:val="center"/>
          </w:tcPr>
          <w:p w:rsidR="00565FD5" w:rsidRPr="009B3D4C" w:rsidRDefault="00565FD5" w:rsidP="00AB62A3">
            <w:pPr>
              <w:rPr>
                <w:rFonts w:cs="Tahoma"/>
                <w:sz w:val="16"/>
                <w:szCs w:val="16"/>
              </w:rPr>
            </w:pPr>
            <w:r>
              <w:rPr>
                <w:rFonts w:cs="Tahoma"/>
                <w:sz w:val="16"/>
                <w:szCs w:val="16"/>
              </w:rPr>
              <w:t xml:space="preserve">Özel S. </w:t>
            </w:r>
            <w:r w:rsidRPr="009B3D4C">
              <w:rPr>
                <w:rFonts w:cs="Tahoma"/>
                <w:sz w:val="16"/>
                <w:szCs w:val="16"/>
              </w:rPr>
              <w:t>Sabit Sermaye Yatırımı Artışı (Sabit Fiyatlarla)</w:t>
            </w:r>
          </w:p>
        </w:tc>
        <w:tc>
          <w:tcPr>
            <w:tcW w:w="632" w:type="pct"/>
            <w:tcBorders>
              <w:top w:val="nil"/>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3</w:t>
            </w:r>
            <w:r>
              <w:rPr>
                <w:rFonts w:cs="Tahoma"/>
                <w:sz w:val="16"/>
                <w:szCs w:val="16"/>
              </w:rPr>
              <w:t>2,0</w:t>
            </w:r>
          </w:p>
        </w:tc>
        <w:tc>
          <w:tcPr>
            <w:tcW w:w="632" w:type="pct"/>
            <w:tcBorders>
              <w:top w:val="nil"/>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2</w:t>
            </w:r>
            <w:r>
              <w:rPr>
                <w:rFonts w:cs="Tahoma"/>
                <w:sz w:val="16"/>
                <w:szCs w:val="16"/>
              </w:rPr>
              <w:t>5,0</w:t>
            </w:r>
          </w:p>
        </w:tc>
        <w:tc>
          <w:tcPr>
            <w:tcW w:w="632" w:type="pct"/>
            <w:tcBorders>
              <w:top w:val="nil"/>
              <w:left w:val="nil"/>
              <w:bottom w:val="nil"/>
              <w:right w:val="nil"/>
            </w:tcBorders>
            <w:vAlign w:val="center"/>
          </w:tcPr>
          <w:p w:rsidR="00565FD5" w:rsidRPr="009B3D4C" w:rsidRDefault="00565FD5" w:rsidP="00AB62A3">
            <w:pPr>
              <w:jc w:val="right"/>
              <w:rPr>
                <w:rFonts w:cs="Tahoma"/>
                <w:sz w:val="16"/>
                <w:szCs w:val="16"/>
              </w:rPr>
            </w:pPr>
            <w:r w:rsidRPr="009B3D4C">
              <w:rPr>
                <w:rFonts w:cs="Tahoma"/>
                <w:sz w:val="16"/>
                <w:szCs w:val="16"/>
              </w:rPr>
              <w:t>-5,</w:t>
            </w:r>
            <w:r>
              <w:rPr>
                <w:rFonts w:cs="Tahoma"/>
                <w:sz w:val="16"/>
                <w:szCs w:val="16"/>
              </w:rPr>
              <w:t>2</w:t>
            </w:r>
            <w:r w:rsidRPr="009B3D4C">
              <w:rPr>
                <w:rFonts w:cs="Tahoma"/>
                <w:bCs/>
                <w:sz w:val="16"/>
                <w:szCs w:val="16"/>
              </w:rPr>
              <w:t>(4)</w:t>
            </w:r>
          </w:p>
        </w:tc>
        <w:tc>
          <w:tcPr>
            <w:tcW w:w="632" w:type="pct"/>
            <w:tcBorders>
              <w:top w:val="nil"/>
              <w:left w:val="nil"/>
              <w:bottom w:val="nil"/>
              <w:right w:val="single" w:sz="4" w:space="0" w:color="auto"/>
            </w:tcBorders>
            <w:noWrap/>
            <w:vAlign w:val="center"/>
          </w:tcPr>
          <w:p w:rsidR="00565FD5" w:rsidRPr="009B3D4C" w:rsidRDefault="00565FD5" w:rsidP="00AB62A3">
            <w:pPr>
              <w:jc w:val="right"/>
              <w:rPr>
                <w:rFonts w:cs="Tahoma"/>
                <w:sz w:val="16"/>
                <w:szCs w:val="16"/>
              </w:rPr>
            </w:pPr>
            <w:r w:rsidRPr="009B3D4C">
              <w:rPr>
                <w:rFonts w:cs="Tahoma"/>
                <w:sz w:val="16"/>
                <w:szCs w:val="16"/>
              </w:rPr>
              <w:t>-</w:t>
            </w:r>
          </w:p>
        </w:tc>
      </w:tr>
      <w:tr w:rsidR="00565FD5" w:rsidRPr="009B3D4C" w:rsidTr="00AB62A3">
        <w:trPr>
          <w:trHeight w:val="227"/>
        </w:trPr>
        <w:tc>
          <w:tcPr>
            <w:tcW w:w="2470" w:type="pct"/>
            <w:tcBorders>
              <w:top w:val="nil"/>
              <w:left w:val="single" w:sz="4" w:space="0" w:color="auto"/>
              <w:bottom w:val="nil"/>
              <w:right w:val="nil"/>
            </w:tcBorders>
            <w:noWrap/>
            <w:vAlign w:val="center"/>
          </w:tcPr>
          <w:p w:rsidR="00565FD5" w:rsidRPr="009B3D4C" w:rsidRDefault="00565FD5" w:rsidP="00AB62A3">
            <w:pPr>
              <w:rPr>
                <w:rFonts w:cs="Tahoma"/>
                <w:sz w:val="16"/>
                <w:szCs w:val="16"/>
              </w:rPr>
            </w:pPr>
            <w:r w:rsidRPr="009B3D4C">
              <w:rPr>
                <w:rFonts w:cs="Tahoma"/>
                <w:sz w:val="16"/>
                <w:szCs w:val="16"/>
              </w:rPr>
              <w:t xml:space="preserve">Özel Sektör S.S.Y. İçindeki Payı (Cari Fiy.) </w:t>
            </w:r>
          </w:p>
        </w:tc>
        <w:tc>
          <w:tcPr>
            <w:tcW w:w="632" w:type="pct"/>
            <w:tcBorders>
              <w:top w:val="nil"/>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 xml:space="preserve"> 41,4</w:t>
            </w:r>
          </w:p>
        </w:tc>
        <w:tc>
          <w:tcPr>
            <w:tcW w:w="632" w:type="pct"/>
            <w:tcBorders>
              <w:top w:val="nil"/>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42,2</w:t>
            </w:r>
          </w:p>
        </w:tc>
        <w:tc>
          <w:tcPr>
            <w:tcW w:w="632" w:type="pct"/>
            <w:tcBorders>
              <w:top w:val="nil"/>
              <w:left w:val="nil"/>
              <w:bottom w:val="nil"/>
              <w:right w:val="nil"/>
            </w:tcBorders>
            <w:vAlign w:val="center"/>
          </w:tcPr>
          <w:p w:rsidR="00565FD5" w:rsidRPr="009B3D4C" w:rsidRDefault="00565FD5" w:rsidP="00AB62A3">
            <w:pPr>
              <w:jc w:val="right"/>
              <w:rPr>
                <w:rFonts w:cs="Tahoma"/>
                <w:sz w:val="16"/>
                <w:szCs w:val="16"/>
              </w:rPr>
            </w:pPr>
            <w:r w:rsidRPr="009B3D4C">
              <w:rPr>
                <w:rFonts w:cs="Tahoma"/>
                <w:sz w:val="16"/>
                <w:szCs w:val="16"/>
              </w:rPr>
              <w:t>40,4</w:t>
            </w:r>
            <w:r w:rsidRPr="009B3D4C">
              <w:rPr>
                <w:rFonts w:cs="Tahoma"/>
                <w:bCs/>
                <w:sz w:val="16"/>
                <w:szCs w:val="16"/>
              </w:rPr>
              <w:t>(4)</w:t>
            </w:r>
          </w:p>
        </w:tc>
        <w:tc>
          <w:tcPr>
            <w:tcW w:w="632" w:type="pct"/>
            <w:tcBorders>
              <w:top w:val="nil"/>
              <w:left w:val="nil"/>
              <w:bottom w:val="nil"/>
              <w:right w:val="single" w:sz="4" w:space="0" w:color="auto"/>
            </w:tcBorders>
            <w:noWrap/>
            <w:vAlign w:val="center"/>
          </w:tcPr>
          <w:p w:rsidR="00565FD5" w:rsidRPr="009B3D4C" w:rsidRDefault="00565FD5" w:rsidP="00AB62A3">
            <w:pPr>
              <w:jc w:val="right"/>
              <w:rPr>
                <w:rFonts w:cs="Tahoma"/>
                <w:sz w:val="16"/>
                <w:szCs w:val="16"/>
              </w:rPr>
            </w:pPr>
            <w:r w:rsidRPr="009B3D4C">
              <w:rPr>
                <w:rFonts w:cs="Tahoma"/>
                <w:sz w:val="16"/>
                <w:szCs w:val="16"/>
              </w:rPr>
              <w:t>-</w:t>
            </w:r>
          </w:p>
        </w:tc>
      </w:tr>
      <w:tr w:rsidR="00565FD5" w:rsidRPr="009B3D4C" w:rsidTr="00AB62A3">
        <w:trPr>
          <w:trHeight w:val="227"/>
        </w:trPr>
        <w:tc>
          <w:tcPr>
            <w:tcW w:w="2470" w:type="pct"/>
            <w:tcBorders>
              <w:top w:val="nil"/>
              <w:left w:val="single" w:sz="4" w:space="0" w:color="auto"/>
              <w:bottom w:val="nil"/>
              <w:right w:val="nil"/>
            </w:tcBorders>
            <w:noWrap/>
            <w:vAlign w:val="center"/>
          </w:tcPr>
          <w:p w:rsidR="00565FD5" w:rsidRPr="009B3D4C" w:rsidRDefault="00565FD5" w:rsidP="00AB62A3">
            <w:pPr>
              <w:rPr>
                <w:rFonts w:cs="Tahoma"/>
                <w:sz w:val="16"/>
                <w:szCs w:val="16"/>
              </w:rPr>
            </w:pPr>
            <w:r w:rsidRPr="009B3D4C">
              <w:rPr>
                <w:rFonts w:cs="Tahoma"/>
                <w:sz w:val="16"/>
                <w:szCs w:val="16"/>
              </w:rPr>
              <w:lastRenderedPageBreak/>
              <w:t>İmalat Sanayii İstihdam Artışı</w:t>
            </w:r>
          </w:p>
        </w:tc>
        <w:tc>
          <w:tcPr>
            <w:tcW w:w="632" w:type="pct"/>
            <w:tcBorders>
              <w:top w:val="nil"/>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8,9</w:t>
            </w:r>
          </w:p>
        </w:tc>
        <w:tc>
          <w:tcPr>
            <w:tcW w:w="632" w:type="pct"/>
            <w:tcBorders>
              <w:top w:val="nil"/>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3,6</w:t>
            </w:r>
          </w:p>
        </w:tc>
        <w:tc>
          <w:tcPr>
            <w:tcW w:w="632" w:type="pct"/>
            <w:tcBorders>
              <w:top w:val="nil"/>
              <w:left w:val="nil"/>
              <w:bottom w:val="nil"/>
              <w:right w:val="nil"/>
            </w:tcBorders>
            <w:vAlign w:val="center"/>
          </w:tcPr>
          <w:p w:rsidR="00565FD5" w:rsidRPr="009B3D4C" w:rsidRDefault="00565FD5" w:rsidP="00AB62A3">
            <w:pPr>
              <w:jc w:val="right"/>
              <w:rPr>
                <w:rFonts w:cs="Tahoma"/>
                <w:sz w:val="16"/>
                <w:szCs w:val="16"/>
              </w:rPr>
            </w:pPr>
            <w:r w:rsidRPr="009B3D4C">
              <w:rPr>
                <w:rFonts w:cs="Tahoma"/>
                <w:sz w:val="16"/>
                <w:szCs w:val="16"/>
              </w:rPr>
              <w:t>0,6</w:t>
            </w:r>
            <w:r w:rsidRPr="009B3D4C">
              <w:rPr>
                <w:rFonts w:cs="Tahoma"/>
                <w:bCs/>
                <w:sz w:val="16"/>
                <w:szCs w:val="16"/>
              </w:rPr>
              <w:t>(3)</w:t>
            </w:r>
          </w:p>
        </w:tc>
        <w:tc>
          <w:tcPr>
            <w:tcW w:w="632" w:type="pct"/>
            <w:tcBorders>
              <w:top w:val="nil"/>
              <w:left w:val="nil"/>
              <w:bottom w:val="nil"/>
              <w:right w:val="single" w:sz="4" w:space="0" w:color="auto"/>
            </w:tcBorders>
            <w:noWrap/>
            <w:vAlign w:val="center"/>
          </w:tcPr>
          <w:p w:rsidR="00565FD5" w:rsidRPr="009B3D4C" w:rsidRDefault="00565FD5" w:rsidP="00AB62A3">
            <w:pPr>
              <w:jc w:val="right"/>
              <w:rPr>
                <w:rFonts w:cs="Tahoma"/>
                <w:sz w:val="16"/>
                <w:szCs w:val="16"/>
              </w:rPr>
            </w:pPr>
            <w:r w:rsidRPr="009B3D4C">
              <w:rPr>
                <w:rFonts w:cs="Tahoma"/>
                <w:sz w:val="16"/>
                <w:szCs w:val="16"/>
              </w:rPr>
              <w:t>0,7</w:t>
            </w:r>
          </w:p>
        </w:tc>
      </w:tr>
      <w:tr w:rsidR="00565FD5" w:rsidRPr="009B3D4C" w:rsidTr="00AB62A3">
        <w:trPr>
          <w:trHeight w:val="227"/>
        </w:trPr>
        <w:tc>
          <w:tcPr>
            <w:tcW w:w="2470" w:type="pct"/>
            <w:tcBorders>
              <w:top w:val="nil"/>
              <w:left w:val="single" w:sz="4" w:space="0" w:color="auto"/>
              <w:bottom w:val="nil"/>
              <w:right w:val="nil"/>
            </w:tcBorders>
            <w:noWrap/>
            <w:vAlign w:val="center"/>
          </w:tcPr>
          <w:p w:rsidR="00565FD5" w:rsidRPr="009B3D4C" w:rsidRDefault="00565FD5" w:rsidP="00AB62A3">
            <w:pPr>
              <w:rPr>
                <w:rFonts w:cs="Tahoma"/>
                <w:sz w:val="16"/>
                <w:szCs w:val="16"/>
              </w:rPr>
            </w:pPr>
            <w:r w:rsidRPr="009B3D4C">
              <w:rPr>
                <w:rFonts w:cs="Tahoma"/>
                <w:sz w:val="16"/>
                <w:szCs w:val="16"/>
              </w:rPr>
              <w:t>Kurulan İşletme Sayısı (Adet)</w:t>
            </w:r>
          </w:p>
        </w:tc>
        <w:tc>
          <w:tcPr>
            <w:tcW w:w="632" w:type="pct"/>
            <w:tcBorders>
              <w:top w:val="nil"/>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14 629</w:t>
            </w:r>
          </w:p>
        </w:tc>
        <w:tc>
          <w:tcPr>
            <w:tcW w:w="632" w:type="pct"/>
            <w:tcBorders>
              <w:top w:val="nil"/>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16 171</w:t>
            </w:r>
          </w:p>
        </w:tc>
        <w:tc>
          <w:tcPr>
            <w:tcW w:w="632" w:type="pct"/>
            <w:tcBorders>
              <w:top w:val="nil"/>
              <w:left w:val="nil"/>
              <w:bottom w:val="nil"/>
              <w:right w:val="nil"/>
            </w:tcBorders>
            <w:vAlign w:val="center"/>
          </w:tcPr>
          <w:p w:rsidR="00565FD5" w:rsidRPr="009B3D4C" w:rsidRDefault="00565FD5" w:rsidP="00AB62A3">
            <w:pPr>
              <w:jc w:val="right"/>
              <w:rPr>
                <w:rFonts w:cs="Tahoma"/>
                <w:sz w:val="16"/>
                <w:szCs w:val="16"/>
              </w:rPr>
            </w:pPr>
            <w:r w:rsidRPr="009B3D4C">
              <w:rPr>
                <w:rFonts w:cs="Tahoma"/>
                <w:sz w:val="16"/>
                <w:szCs w:val="16"/>
              </w:rPr>
              <w:t>9 988</w:t>
            </w:r>
          </w:p>
        </w:tc>
        <w:tc>
          <w:tcPr>
            <w:tcW w:w="632" w:type="pct"/>
            <w:tcBorders>
              <w:top w:val="nil"/>
              <w:left w:val="nil"/>
              <w:bottom w:val="nil"/>
              <w:right w:val="single" w:sz="4" w:space="0" w:color="auto"/>
            </w:tcBorders>
            <w:noWrap/>
            <w:vAlign w:val="center"/>
          </w:tcPr>
          <w:p w:rsidR="00565FD5" w:rsidRPr="009B3D4C" w:rsidRDefault="00565FD5" w:rsidP="00AB62A3">
            <w:pPr>
              <w:jc w:val="right"/>
              <w:rPr>
                <w:rFonts w:cs="Tahoma"/>
                <w:sz w:val="16"/>
                <w:szCs w:val="16"/>
              </w:rPr>
            </w:pPr>
            <w:r w:rsidRPr="009B3D4C">
              <w:rPr>
                <w:rFonts w:cs="Tahoma"/>
                <w:sz w:val="16"/>
                <w:szCs w:val="16"/>
              </w:rPr>
              <w:t>-</w:t>
            </w:r>
          </w:p>
        </w:tc>
      </w:tr>
      <w:tr w:rsidR="00565FD5" w:rsidRPr="009B3D4C" w:rsidTr="00AB62A3">
        <w:trPr>
          <w:trHeight w:val="227"/>
        </w:trPr>
        <w:tc>
          <w:tcPr>
            <w:tcW w:w="2470" w:type="pct"/>
            <w:tcBorders>
              <w:top w:val="nil"/>
              <w:left w:val="single" w:sz="4" w:space="0" w:color="auto"/>
              <w:bottom w:val="nil"/>
              <w:right w:val="nil"/>
            </w:tcBorders>
            <w:noWrap/>
            <w:vAlign w:val="center"/>
          </w:tcPr>
          <w:p w:rsidR="00565FD5" w:rsidRPr="009B3D4C" w:rsidRDefault="00565FD5" w:rsidP="00AB62A3">
            <w:pPr>
              <w:rPr>
                <w:rFonts w:cs="Tahoma"/>
                <w:sz w:val="16"/>
                <w:szCs w:val="16"/>
              </w:rPr>
            </w:pPr>
            <w:r w:rsidRPr="009B3D4C">
              <w:rPr>
                <w:rFonts w:cs="Tahoma"/>
                <w:sz w:val="16"/>
                <w:szCs w:val="16"/>
              </w:rPr>
              <w:t>Kapanan İşletme Sayısı (Adet)</w:t>
            </w:r>
          </w:p>
        </w:tc>
        <w:tc>
          <w:tcPr>
            <w:tcW w:w="632" w:type="pct"/>
            <w:tcBorders>
              <w:top w:val="nil"/>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5 061</w:t>
            </w:r>
          </w:p>
        </w:tc>
        <w:tc>
          <w:tcPr>
            <w:tcW w:w="632" w:type="pct"/>
            <w:tcBorders>
              <w:top w:val="nil"/>
              <w:left w:val="nil"/>
              <w:bottom w:val="nil"/>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6 364</w:t>
            </w:r>
          </w:p>
        </w:tc>
        <w:tc>
          <w:tcPr>
            <w:tcW w:w="632" w:type="pct"/>
            <w:tcBorders>
              <w:top w:val="nil"/>
              <w:left w:val="nil"/>
              <w:bottom w:val="nil"/>
              <w:right w:val="nil"/>
            </w:tcBorders>
            <w:vAlign w:val="center"/>
          </w:tcPr>
          <w:p w:rsidR="00565FD5" w:rsidRPr="009B3D4C" w:rsidRDefault="00565FD5" w:rsidP="00AB62A3">
            <w:pPr>
              <w:tabs>
                <w:tab w:val="left" w:pos="172"/>
              </w:tabs>
              <w:jc w:val="right"/>
              <w:rPr>
                <w:rFonts w:cs="Tahoma"/>
                <w:sz w:val="16"/>
                <w:szCs w:val="16"/>
              </w:rPr>
            </w:pPr>
            <w:r w:rsidRPr="009B3D4C">
              <w:rPr>
                <w:rFonts w:cs="Tahoma"/>
                <w:sz w:val="16"/>
                <w:szCs w:val="16"/>
              </w:rPr>
              <w:t>3 755</w:t>
            </w:r>
          </w:p>
        </w:tc>
        <w:tc>
          <w:tcPr>
            <w:tcW w:w="632" w:type="pct"/>
            <w:tcBorders>
              <w:top w:val="nil"/>
              <w:left w:val="nil"/>
              <w:bottom w:val="nil"/>
              <w:right w:val="single" w:sz="4" w:space="0" w:color="auto"/>
            </w:tcBorders>
            <w:noWrap/>
            <w:vAlign w:val="center"/>
          </w:tcPr>
          <w:p w:rsidR="00565FD5" w:rsidRPr="009B3D4C" w:rsidRDefault="00565FD5" w:rsidP="00AB62A3">
            <w:pPr>
              <w:jc w:val="right"/>
              <w:rPr>
                <w:rFonts w:cs="Tahoma"/>
                <w:sz w:val="16"/>
                <w:szCs w:val="16"/>
              </w:rPr>
            </w:pPr>
            <w:r w:rsidRPr="009B3D4C">
              <w:rPr>
                <w:rFonts w:cs="Tahoma"/>
                <w:sz w:val="16"/>
                <w:szCs w:val="16"/>
              </w:rPr>
              <w:t>-</w:t>
            </w:r>
          </w:p>
        </w:tc>
      </w:tr>
      <w:tr w:rsidR="00565FD5" w:rsidRPr="009B3D4C" w:rsidTr="00AB62A3">
        <w:trPr>
          <w:trHeight w:val="227"/>
        </w:trPr>
        <w:tc>
          <w:tcPr>
            <w:tcW w:w="2470" w:type="pct"/>
            <w:tcBorders>
              <w:top w:val="nil"/>
              <w:left w:val="single" w:sz="4" w:space="0" w:color="auto"/>
              <w:bottom w:val="single" w:sz="4" w:space="0" w:color="auto"/>
              <w:right w:val="nil"/>
            </w:tcBorders>
            <w:noWrap/>
            <w:vAlign w:val="center"/>
          </w:tcPr>
          <w:p w:rsidR="00565FD5" w:rsidRPr="009B3D4C" w:rsidRDefault="00565FD5" w:rsidP="00AB62A3">
            <w:pPr>
              <w:rPr>
                <w:rFonts w:cs="Tahoma"/>
                <w:sz w:val="16"/>
                <w:szCs w:val="16"/>
              </w:rPr>
            </w:pPr>
            <w:r w:rsidRPr="009B3D4C">
              <w:rPr>
                <w:rFonts w:cs="Tahoma"/>
                <w:sz w:val="16"/>
                <w:szCs w:val="16"/>
              </w:rPr>
              <w:t>Kapasite Kullanım Oranı</w:t>
            </w:r>
          </w:p>
        </w:tc>
        <w:tc>
          <w:tcPr>
            <w:tcW w:w="632" w:type="pct"/>
            <w:tcBorders>
              <w:top w:val="nil"/>
              <w:left w:val="nil"/>
              <w:bottom w:val="single" w:sz="4" w:space="0" w:color="auto"/>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 xml:space="preserve">72,6 </w:t>
            </w:r>
          </w:p>
        </w:tc>
        <w:tc>
          <w:tcPr>
            <w:tcW w:w="632" w:type="pct"/>
            <w:tcBorders>
              <w:top w:val="nil"/>
              <w:left w:val="nil"/>
              <w:bottom w:val="single" w:sz="4" w:space="0" w:color="auto"/>
              <w:right w:val="nil"/>
            </w:tcBorders>
            <w:noWrap/>
            <w:vAlign w:val="center"/>
          </w:tcPr>
          <w:p w:rsidR="00565FD5" w:rsidRPr="009B3D4C" w:rsidRDefault="00565FD5" w:rsidP="00AB62A3">
            <w:pPr>
              <w:jc w:val="right"/>
              <w:rPr>
                <w:rFonts w:cs="Tahoma"/>
                <w:sz w:val="16"/>
                <w:szCs w:val="16"/>
              </w:rPr>
            </w:pPr>
            <w:r w:rsidRPr="009B3D4C">
              <w:rPr>
                <w:rFonts w:cs="Tahoma"/>
                <w:sz w:val="16"/>
                <w:szCs w:val="16"/>
              </w:rPr>
              <w:t>75,4</w:t>
            </w:r>
          </w:p>
        </w:tc>
        <w:tc>
          <w:tcPr>
            <w:tcW w:w="632" w:type="pct"/>
            <w:tcBorders>
              <w:top w:val="nil"/>
              <w:left w:val="nil"/>
              <w:bottom w:val="single" w:sz="4" w:space="0" w:color="auto"/>
              <w:right w:val="nil"/>
            </w:tcBorders>
            <w:vAlign w:val="center"/>
          </w:tcPr>
          <w:p w:rsidR="00565FD5" w:rsidRPr="009B3D4C" w:rsidRDefault="00565FD5" w:rsidP="00AB62A3">
            <w:pPr>
              <w:jc w:val="right"/>
              <w:rPr>
                <w:rFonts w:cs="Tahoma"/>
                <w:sz w:val="16"/>
                <w:szCs w:val="16"/>
              </w:rPr>
            </w:pPr>
            <w:r w:rsidRPr="009B3D4C">
              <w:rPr>
                <w:rFonts w:cs="Tahoma"/>
                <w:sz w:val="16"/>
                <w:szCs w:val="16"/>
              </w:rPr>
              <w:t>74,2</w:t>
            </w:r>
          </w:p>
        </w:tc>
        <w:tc>
          <w:tcPr>
            <w:tcW w:w="632" w:type="pct"/>
            <w:tcBorders>
              <w:top w:val="nil"/>
              <w:left w:val="nil"/>
              <w:bottom w:val="single" w:sz="4" w:space="0" w:color="auto"/>
              <w:right w:val="single" w:sz="4" w:space="0" w:color="auto"/>
            </w:tcBorders>
            <w:noWrap/>
            <w:vAlign w:val="center"/>
          </w:tcPr>
          <w:p w:rsidR="00565FD5" w:rsidRPr="009B3D4C" w:rsidRDefault="00565FD5" w:rsidP="00AB62A3">
            <w:pPr>
              <w:jc w:val="right"/>
              <w:rPr>
                <w:rFonts w:cs="Tahoma"/>
                <w:sz w:val="16"/>
                <w:szCs w:val="16"/>
              </w:rPr>
            </w:pPr>
            <w:r w:rsidRPr="009B3D4C">
              <w:rPr>
                <w:rFonts w:cs="Tahoma"/>
                <w:sz w:val="16"/>
                <w:szCs w:val="16"/>
              </w:rPr>
              <w:t>79,9</w:t>
            </w:r>
          </w:p>
        </w:tc>
      </w:tr>
    </w:tbl>
    <w:p w:rsidR="00565FD5" w:rsidRPr="009B3D4C" w:rsidRDefault="00565FD5" w:rsidP="00565FD5">
      <w:pPr>
        <w:tabs>
          <w:tab w:val="left" w:pos="540"/>
        </w:tabs>
        <w:rPr>
          <w:rFonts w:cs="Tahoma"/>
          <w:sz w:val="14"/>
          <w:szCs w:val="14"/>
        </w:rPr>
      </w:pPr>
      <w:r w:rsidRPr="009B3D4C">
        <w:rPr>
          <w:rFonts w:cs="Tahoma"/>
          <w:sz w:val="14"/>
          <w:szCs w:val="14"/>
        </w:rPr>
        <w:t>Kaynak:</w:t>
      </w:r>
      <w:r w:rsidRPr="009B3D4C">
        <w:rPr>
          <w:rFonts w:cs="Tahoma"/>
          <w:sz w:val="14"/>
          <w:szCs w:val="14"/>
        </w:rPr>
        <w:tab/>
        <w:t>TÜİK, TCMB, TOBB, EUROSTAT.</w:t>
      </w:r>
    </w:p>
    <w:p w:rsidR="00565FD5" w:rsidRPr="009B3D4C" w:rsidRDefault="00565FD5" w:rsidP="00565FD5">
      <w:pPr>
        <w:tabs>
          <w:tab w:val="left" w:pos="270"/>
        </w:tabs>
        <w:rPr>
          <w:rFonts w:cs="Tahoma"/>
          <w:sz w:val="14"/>
          <w:szCs w:val="14"/>
        </w:rPr>
      </w:pPr>
      <w:r w:rsidRPr="009B3D4C">
        <w:rPr>
          <w:rFonts w:cs="Tahoma"/>
          <w:sz w:val="14"/>
          <w:szCs w:val="14"/>
        </w:rPr>
        <w:t xml:space="preserve">(1) NACE Rev.2’e göre 2005=100 Serisi, (2) Ocak-Ağustos dönemi, (3) Ocak-Haziran dönemi, </w:t>
      </w:r>
    </w:p>
    <w:p w:rsidR="00565FD5" w:rsidRPr="009B3D4C" w:rsidRDefault="00565FD5" w:rsidP="00565FD5">
      <w:pPr>
        <w:tabs>
          <w:tab w:val="left" w:pos="270"/>
        </w:tabs>
        <w:spacing w:after="360"/>
        <w:rPr>
          <w:rFonts w:cs="Tahoma"/>
          <w:sz w:val="14"/>
          <w:szCs w:val="14"/>
        </w:rPr>
      </w:pPr>
      <w:r w:rsidRPr="009B3D4C">
        <w:rPr>
          <w:rFonts w:cs="Tahoma"/>
          <w:sz w:val="14"/>
          <w:szCs w:val="14"/>
        </w:rPr>
        <w:t>(4) Kalkınma Bakanlığı-Yıllık Tahmin, (5) EUROSTAT, (6) SITC (3, 5-8)</w:t>
      </w:r>
    </w:p>
    <w:p w:rsidR="00565FD5" w:rsidRPr="009B3D4C" w:rsidRDefault="00565FD5" w:rsidP="00565FD5">
      <w:pPr>
        <w:spacing w:after="120"/>
        <w:rPr>
          <w:rFonts w:cs="Tahoma"/>
          <w:szCs w:val="18"/>
        </w:rPr>
      </w:pPr>
      <w:r>
        <w:rPr>
          <w:rFonts w:cs="Tahoma"/>
          <w:szCs w:val="18"/>
        </w:rPr>
        <w:tab/>
      </w:r>
      <w:r w:rsidRPr="009B3D4C">
        <w:rPr>
          <w:rFonts w:cs="Tahoma"/>
          <w:szCs w:val="18"/>
        </w:rPr>
        <w:t>Toplam ihracat, 2011 yılında yüzde 18,5 oranında artarak 134,9 milyar ABD doları, imalat sanayii ihracatı ise yüzde 19,4 oranında artarak 125,9 milyar ABD doları olmuştur. İmalat sanayii ihracatının toplam ihracat içindeki payı 2010 yılında yüzde 92,6 iken 2011 yılında yüzde 93,4’e yükselmiştir. 2011 yılında gıda, petrol ürünleri, kauçuk ve plastik, makine ve elektrikli makine sektörleri ihracatı imalat sanayi ortalamasından daha yüksek artış gösteren sektörler olmuştur. 2012 yılının Ocak-Ağustos döneminde toplam ihracat 2011 yılının aynı dönemine göre yüzde 12,8 oranında artarak 100,1 milyar ABD doları, imalat sanayii ihracatı ise yüzde 13,3 artışla 94,3 milyar ABD doları olarak gerçekleşmiştir. Bu dönemde tütün, deri, kâğıt, ana metal, elektronik ve tıbbi alet sektörleri imalat sanayi ortalamasının üstünde ihracat artışı gösteren sektörler olmuştur.</w:t>
      </w:r>
    </w:p>
    <w:p w:rsidR="00565FD5" w:rsidRPr="009B3D4C" w:rsidRDefault="00565FD5" w:rsidP="00565FD5">
      <w:pPr>
        <w:spacing w:after="180"/>
        <w:rPr>
          <w:rFonts w:cs="Tahoma"/>
          <w:szCs w:val="18"/>
        </w:rPr>
      </w:pPr>
      <w:r>
        <w:rPr>
          <w:rFonts w:cs="Tahoma"/>
          <w:szCs w:val="18"/>
        </w:rPr>
        <w:tab/>
      </w:r>
      <w:r w:rsidRPr="009B3D4C">
        <w:rPr>
          <w:rFonts w:cs="Tahoma"/>
          <w:szCs w:val="18"/>
        </w:rPr>
        <w:t>Toplam ithalat, 2011 yılında yüzde 29,8 oranında artarak 240,8 milyar ABD dolarına yükselmiş; imalat sanayii ithalatı yüzde 26,5 oranında artarak 183,9 milyar ABD doları olmuştur. 2011 yılında ithalat artış oranının imalat sanayi ortalamasının üstünde olduğu sektörler gıda, deri, petrol ürünleri, kauçuk ve plastik, ana metal ve makine olmuştur. Toplam ithalat 2012 yılı Ocak-Ağustos döneminde bir önceki yılın aynı dönemine göre yüzde 2,4 oranında azalarak 156,6 milyar ABD doları, imalat sanayii ithalatı ise yüzde 5,4 oranında azalarak 117 milyar ABD doları olmuştur. Gıda, tütün, petrol ürünleri ve ana metal sektörlerinde ithalat artmış, tekstil, giyim ve otomotiv sektörlerinde ise yüksek oranlı düşüşler meydana gelmiştir.</w:t>
      </w:r>
    </w:p>
    <w:p w:rsidR="00565FD5" w:rsidRPr="009B3D4C" w:rsidRDefault="00565FD5" w:rsidP="00565FD5">
      <w:pPr>
        <w:spacing w:after="240"/>
        <w:rPr>
          <w:rFonts w:ascii="Calibri" w:hAnsi="Calibri" w:cs="Calibri"/>
        </w:rPr>
      </w:pPr>
      <w:r>
        <w:rPr>
          <w:rFonts w:cs="Tahoma"/>
          <w:szCs w:val="18"/>
        </w:rPr>
        <w:lastRenderedPageBreak/>
        <w:tab/>
      </w:r>
      <w:r w:rsidRPr="009B3D4C">
        <w:rPr>
          <w:rFonts w:cs="Tahoma"/>
          <w:szCs w:val="18"/>
        </w:rPr>
        <w:t>Bu gelişmeler sonucunda, imalat sanayiinde 2011 yılının Ocak-Ağustos döneminde 40,5 milyar ABD doları olan dış ticaret açığı 2012 yılının aynı döneminde azalış göstererek 22,7 milyar ABD dolarına gerilemiştir.</w:t>
      </w:r>
      <w:bookmarkStart w:id="1941" w:name="_Toc275873961"/>
      <w:bookmarkStart w:id="1942" w:name="_Toc276076503"/>
      <w:bookmarkStart w:id="1943" w:name="_Toc212712803"/>
      <w:bookmarkStart w:id="1944" w:name="_Toc213071711"/>
      <w:bookmarkStart w:id="1945" w:name="_Toc244255277"/>
    </w:p>
    <w:p w:rsidR="00565FD5" w:rsidRPr="009B3D4C" w:rsidRDefault="00565FD5" w:rsidP="00565FD5">
      <w:pPr>
        <w:pStyle w:val="ResimYazs"/>
        <w:rPr>
          <w:rFonts w:cs="Tahoma"/>
          <w:b w:val="0"/>
        </w:rPr>
      </w:pPr>
      <w:bookmarkStart w:id="1946" w:name="_Toc338606027"/>
      <w:bookmarkStart w:id="1947" w:name="_Toc338711802"/>
      <w:r>
        <w:t xml:space="preserve">TABLO IV: </w:t>
      </w:r>
      <w:fldSimple w:instr=" SEQ TABLO_IV: \* ARABIC ">
        <w:r>
          <w:rPr>
            <w:noProof/>
          </w:rPr>
          <w:t>32</w:t>
        </w:r>
      </w:fldSimple>
      <w:r w:rsidRPr="00A33CD3">
        <w:t>- İmalat Sanayii Üretim ve İhracatının Yapısı</w:t>
      </w:r>
      <w:bookmarkEnd w:id="1941"/>
      <w:bookmarkEnd w:id="1942"/>
      <w:bookmarkEnd w:id="1943"/>
      <w:bookmarkEnd w:id="1944"/>
      <w:bookmarkEnd w:id="1945"/>
      <w:bookmarkEnd w:id="1946"/>
      <w:bookmarkEnd w:id="1947"/>
    </w:p>
    <w:tbl>
      <w:tblPr>
        <w:tblW w:w="4900" w:type="pct"/>
        <w:tblInd w:w="84" w:type="dxa"/>
        <w:tblCellMar>
          <w:left w:w="70" w:type="dxa"/>
          <w:right w:w="70" w:type="dxa"/>
        </w:tblCellMar>
        <w:tblLook w:val="00A0"/>
      </w:tblPr>
      <w:tblGrid>
        <w:gridCol w:w="1176"/>
        <w:gridCol w:w="759"/>
        <w:gridCol w:w="759"/>
        <w:gridCol w:w="759"/>
        <w:gridCol w:w="759"/>
        <w:gridCol w:w="782"/>
        <w:gridCol w:w="815"/>
        <w:gridCol w:w="1327"/>
      </w:tblGrid>
      <w:tr w:rsidR="00565FD5" w:rsidRPr="00326165" w:rsidTr="00AB62A3">
        <w:trPr>
          <w:trHeight w:val="321"/>
        </w:trPr>
        <w:tc>
          <w:tcPr>
            <w:tcW w:w="823" w:type="pct"/>
            <w:tcBorders>
              <w:bottom w:val="single" w:sz="8" w:space="0" w:color="000000"/>
              <w:right w:val="nil"/>
            </w:tcBorders>
            <w:vAlign w:val="center"/>
          </w:tcPr>
          <w:p w:rsidR="00565FD5" w:rsidRPr="009B3D4C" w:rsidRDefault="00565FD5" w:rsidP="00AB62A3">
            <w:pPr>
              <w:rPr>
                <w:rFonts w:cs="Tahoma"/>
                <w:b/>
                <w:sz w:val="16"/>
                <w:szCs w:val="16"/>
              </w:rPr>
            </w:pPr>
          </w:p>
        </w:tc>
        <w:tc>
          <w:tcPr>
            <w:tcW w:w="3245" w:type="pct"/>
            <w:gridSpan w:val="6"/>
            <w:tcBorders>
              <w:left w:val="nil"/>
              <w:bottom w:val="single" w:sz="8" w:space="0" w:color="auto"/>
              <w:right w:val="nil"/>
            </w:tcBorders>
            <w:vAlign w:val="center"/>
          </w:tcPr>
          <w:p w:rsidR="00565FD5" w:rsidRPr="009B3D4C" w:rsidRDefault="00565FD5" w:rsidP="00AB62A3">
            <w:pPr>
              <w:jc w:val="center"/>
              <w:rPr>
                <w:rFonts w:cs="Tahoma"/>
                <w:b/>
                <w:sz w:val="16"/>
                <w:szCs w:val="16"/>
              </w:rPr>
            </w:pPr>
          </w:p>
        </w:tc>
        <w:tc>
          <w:tcPr>
            <w:tcW w:w="932" w:type="pct"/>
            <w:tcBorders>
              <w:left w:val="nil"/>
            </w:tcBorders>
            <w:vAlign w:val="center"/>
          </w:tcPr>
          <w:p w:rsidR="00565FD5" w:rsidRPr="00326165" w:rsidRDefault="00565FD5" w:rsidP="00AB62A3">
            <w:pPr>
              <w:jc w:val="right"/>
              <w:rPr>
                <w:rFonts w:cs="Tahoma"/>
                <w:b/>
                <w:sz w:val="16"/>
                <w:szCs w:val="16"/>
              </w:rPr>
            </w:pPr>
            <w:r w:rsidRPr="00326165">
              <w:rPr>
                <w:rFonts w:cs="Tahoma"/>
                <w:sz w:val="16"/>
                <w:szCs w:val="18"/>
              </w:rPr>
              <w:t>(Yüzde Pay)</w:t>
            </w:r>
          </w:p>
        </w:tc>
      </w:tr>
      <w:tr w:rsidR="00565FD5" w:rsidRPr="009B3D4C" w:rsidTr="00AB62A3">
        <w:trPr>
          <w:trHeight w:val="321"/>
        </w:trPr>
        <w:tc>
          <w:tcPr>
            <w:tcW w:w="823" w:type="pct"/>
            <w:vMerge w:val="restart"/>
            <w:tcBorders>
              <w:top w:val="single" w:sz="8" w:space="0" w:color="auto"/>
              <w:left w:val="single" w:sz="8" w:space="0" w:color="auto"/>
              <w:bottom w:val="single" w:sz="8" w:space="0" w:color="000000"/>
              <w:right w:val="nil"/>
            </w:tcBorders>
            <w:vAlign w:val="center"/>
          </w:tcPr>
          <w:p w:rsidR="00565FD5" w:rsidRPr="009B3D4C" w:rsidRDefault="00565FD5" w:rsidP="00AB62A3">
            <w:pPr>
              <w:rPr>
                <w:rFonts w:cs="Tahoma"/>
                <w:b/>
                <w:sz w:val="16"/>
                <w:szCs w:val="16"/>
              </w:rPr>
            </w:pPr>
            <w:r w:rsidRPr="009B3D4C">
              <w:rPr>
                <w:rFonts w:cs="Tahoma"/>
                <w:b/>
                <w:sz w:val="16"/>
                <w:szCs w:val="16"/>
              </w:rPr>
              <w:t>Teknoloji Yoğunluğu(1)</w:t>
            </w:r>
          </w:p>
        </w:tc>
        <w:tc>
          <w:tcPr>
            <w:tcW w:w="3245" w:type="pct"/>
            <w:gridSpan w:val="6"/>
            <w:tcBorders>
              <w:top w:val="single" w:sz="8" w:space="0" w:color="auto"/>
              <w:left w:val="nil"/>
              <w:bottom w:val="single" w:sz="8" w:space="0" w:color="auto"/>
              <w:right w:val="nil"/>
            </w:tcBorders>
            <w:vAlign w:val="center"/>
          </w:tcPr>
          <w:p w:rsidR="00565FD5" w:rsidRPr="009B3D4C" w:rsidRDefault="00565FD5" w:rsidP="00AB62A3">
            <w:pPr>
              <w:jc w:val="center"/>
              <w:rPr>
                <w:rFonts w:cs="Tahoma"/>
                <w:b/>
                <w:sz w:val="16"/>
                <w:szCs w:val="16"/>
              </w:rPr>
            </w:pPr>
            <w:r w:rsidRPr="009B3D4C">
              <w:rPr>
                <w:rFonts w:cs="Tahoma"/>
                <w:b/>
                <w:sz w:val="16"/>
                <w:szCs w:val="16"/>
              </w:rPr>
              <w:t>TÜRKİYE</w:t>
            </w:r>
          </w:p>
        </w:tc>
        <w:tc>
          <w:tcPr>
            <w:tcW w:w="932" w:type="pct"/>
            <w:vMerge w:val="restart"/>
            <w:tcBorders>
              <w:top w:val="single" w:sz="8" w:space="0" w:color="auto"/>
              <w:left w:val="nil"/>
              <w:right w:val="single" w:sz="8" w:space="0" w:color="auto"/>
            </w:tcBorders>
            <w:vAlign w:val="center"/>
          </w:tcPr>
          <w:p w:rsidR="00565FD5" w:rsidRPr="009B3D4C" w:rsidRDefault="00565FD5" w:rsidP="00AB62A3">
            <w:pPr>
              <w:jc w:val="center"/>
              <w:rPr>
                <w:rFonts w:cs="Tahoma"/>
                <w:b/>
                <w:sz w:val="16"/>
                <w:szCs w:val="16"/>
              </w:rPr>
            </w:pPr>
            <w:r w:rsidRPr="009B3D4C">
              <w:rPr>
                <w:rFonts w:cs="Tahoma"/>
                <w:b/>
                <w:sz w:val="16"/>
                <w:szCs w:val="16"/>
              </w:rPr>
              <w:t>AB</w:t>
            </w:r>
          </w:p>
          <w:p w:rsidR="00565FD5" w:rsidRPr="009B3D4C" w:rsidRDefault="00565FD5" w:rsidP="00AB62A3">
            <w:pPr>
              <w:jc w:val="center"/>
              <w:rPr>
                <w:rFonts w:cs="Tahoma"/>
                <w:b/>
                <w:sz w:val="16"/>
                <w:szCs w:val="16"/>
              </w:rPr>
            </w:pPr>
            <w:r w:rsidRPr="009B3D4C">
              <w:rPr>
                <w:rFonts w:cs="Tahoma"/>
                <w:b/>
                <w:sz w:val="16"/>
                <w:szCs w:val="16"/>
              </w:rPr>
              <w:t>İhracat</w:t>
            </w:r>
            <w:r>
              <w:rPr>
                <w:rFonts w:cs="Tahoma"/>
                <w:b/>
                <w:sz w:val="16"/>
                <w:szCs w:val="16"/>
              </w:rPr>
              <w:t xml:space="preserve"> </w:t>
            </w:r>
            <w:r w:rsidRPr="009B3D4C">
              <w:rPr>
                <w:rFonts w:cs="Tahoma"/>
                <w:b/>
                <w:sz w:val="16"/>
                <w:szCs w:val="16"/>
              </w:rPr>
              <w:t>(2)</w:t>
            </w:r>
          </w:p>
        </w:tc>
      </w:tr>
      <w:tr w:rsidR="00565FD5" w:rsidRPr="009B3D4C" w:rsidTr="00AB62A3">
        <w:trPr>
          <w:trHeight w:val="321"/>
        </w:trPr>
        <w:tc>
          <w:tcPr>
            <w:tcW w:w="823" w:type="pct"/>
            <w:vMerge/>
            <w:tcBorders>
              <w:top w:val="single" w:sz="8" w:space="0" w:color="auto"/>
              <w:left w:val="single" w:sz="8" w:space="0" w:color="auto"/>
              <w:bottom w:val="single" w:sz="8" w:space="0" w:color="000000"/>
              <w:right w:val="nil"/>
            </w:tcBorders>
            <w:vAlign w:val="center"/>
          </w:tcPr>
          <w:p w:rsidR="00565FD5" w:rsidRPr="009B3D4C" w:rsidRDefault="00565FD5" w:rsidP="00AB62A3">
            <w:pPr>
              <w:rPr>
                <w:rFonts w:cs="Tahoma"/>
                <w:sz w:val="16"/>
                <w:szCs w:val="16"/>
              </w:rPr>
            </w:pPr>
          </w:p>
        </w:tc>
        <w:tc>
          <w:tcPr>
            <w:tcW w:w="1595" w:type="pct"/>
            <w:gridSpan w:val="3"/>
            <w:tcBorders>
              <w:top w:val="single" w:sz="8" w:space="0" w:color="auto"/>
              <w:left w:val="nil"/>
              <w:bottom w:val="single" w:sz="8" w:space="0" w:color="auto"/>
              <w:right w:val="nil"/>
            </w:tcBorders>
            <w:vAlign w:val="center"/>
          </w:tcPr>
          <w:p w:rsidR="00565FD5" w:rsidRPr="009B3D4C" w:rsidRDefault="00565FD5" w:rsidP="00AB62A3">
            <w:pPr>
              <w:jc w:val="center"/>
              <w:rPr>
                <w:rFonts w:cs="Tahoma"/>
                <w:b/>
                <w:sz w:val="16"/>
                <w:szCs w:val="16"/>
              </w:rPr>
            </w:pPr>
            <w:r w:rsidRPr="009B3D4C">
              <w:rPr>
                <w:rFonts w:cs="Tahoma"/>
                <w:b/>
                <w:sz w:val="16"/>
                <w:szCs w:val="16"/>
              </w:rPr>
              <w:t>Üretim</w:t>
            </w:r>
          </w:p>
        </w:tc>
        <w:tc>
          <w:tcPr>
            <w:tcW w:w="1650" w:type="pct"/>
            <w:gridSpan w:val="3"/>
            <w:tcBorders>
              <w:top w:val="single" w:sz="8" w:space="0" w:color="auto"/>
              <w:left w:val="nil"/>
              <w:bottom w:val="single" w:sz="8" w:space="0" w:color="auto"/>
              <w:right w:val="nil"/>
            </w:tcBorders>
            <w:vAlign w:val="center"/>
          </w:tcPr>
          <w:p w:rsidR="00565FD5" w:rsidRPr="009B3D4C" w:rsidRDefault="00565FD5" w:rsidP="00AB62A3">
            <w:pPr>
              <w:jc w:val="center"/>
              <w:rPr>
                <w:rFonts w:cs="Tahoma"/>
                <w:b/>
                <w:sz w:val="16"/>
                <w:szCs w:val="16"/>
              </w:rPr>
            </w:pPr>
            <w:r w:rsidRPr="009B3D4C">
              <w:rPr>
                <w:rFonts w:cs="Tahoma"/>
                <w:b/>
                <w:sz w:val="16"/>
                <w:szCs w:val="16"/>
              </w:rPr>
              <w:t>İhracat</w:t>
            </w:r>
          </w:p>
        </w:tc>
        <w:tc>
          <w:tcPr>
            <w:tcW w:w="932" w:type="pct"/>
            <w:vMerge/>
            <w:tcBorders>
              <w:left w:val="nil"/>
              <w:bottom w:val="single" w:sz="8" w:space="0" w:color="auto"/>
              <w:right w:val="single" w:sz="8" w:space="0" w:color="auto"/>
            </w:tcBorders>
          </w:tcPr>
          <w:p w:rsidR="00565FD5" w:rsidRPr="009B3D4C" w:rsidRDefault="00565FD5" w:rsidP="00AB62A3">
            <w:pPr>
              <w:jc w:val="center"/>
              <w:rPr>
                <w:rFonts w:cs="Tahoma"/>
                <w:b/>
                <w:sz w:val="16"/>
                <w:szCs w:val="16"/>
              </w:rPr>
            </w:pPr>
          </w:p>
        </w:tc>
      </w:tr>
      <w:tr w:rsidR="00565FD5" w:rsidRPr="009B3D4C" w:rsidTr="00AB62A3">
        <w:trPr>
          <w:trHeight w:val="321"/>
        </w:trPr>
        <w:tc>
          <w:tcPr>
            <w:tcW w:w="823" w:type="pct"/>
            <w:vMerge/>
            <w:tcBorders>
              <w:top w:val="single" w:sz="8" w:space="0" w:color="auto"/>
              <w:left w:val="single" w:sz="8" w:space="0" w:color="auto"/>
              <w:bottom w:val="single" w:sz="8" w:space="0" w:color="000000"/>
              <w:right w:val="nil"/>
            </w:tcBorders>
            <w:vAlign w:val="center"/>
          </w:tcPr>
          <w:p w:rsidR="00565FD5" w:rsidRPr="009B3D4C" w:rsidRDefault="00565FD5" w:rsidP="00AB62A3">
            <w:pPr>
              <w:rPr>
                <w:rFonts w:cs="Tahoma"/>
                <w:sz w:val="16"/>
                <w:szCs w:val="16"/>
              </w:rPr>
            </w:pPr>
          </w:p>
        </w:tc>
        <w:tc>
          <w:tcPr>
            <w:tcW w:w="532" w:type="pct"/>
            <w:tcBorders>
              <w:top w:val="nil"/>
              <w:left w:val="nil"/>
              <w:bottom w:val="single" w:sz="8" w:space="0" w:color="auto"/>
              <w:right w:val="nil"/>
            </w:tcBorders>
            <w:vAlign w:val="center"/>
          </w:tcPr>
          <w:p w:rsidR="00565FD5" w:rsidRPr="009B3D4C" w:rsidRDefault="00565FD5" w:rsidP="00AB62A3">
            <w:pPr>
              <w:jc w:val="center"/>
              <w:rPr>
                <w:rFonts w:cs="Tahoma"/>
                <w:b/>
                <w:sz w:val="16"/>
                <w:szCs w:val="16"/>
              </w:rPr>
            </w:pPr>
            <w:r w:rsidRPr="009B3D4C">
              <w:rPr>
                <w:rFonts w:cs="Tahoma"/>
                <w:b/>
                <w:sz w:val="16"/>
                <w:szCs w:val="16"/>
              </w:rPr>
              <w:t>2002</w:t>
            </w:r>
          </w:p>
        </w:tc>
        <w:tc>
          <w:tcPr>
            <w:tcW w:w="532" w:type="pct"/>
            <w:tcBorders>
              <w:top w:val="nil"/>
              <w:left w:val="nil"/>
              <w:bottom w:val="single" w:sz="8" w:space="0" w:color="auto"/>
              <w:right w:val="nil"/>
            </w:tcBorders>
            <w:vAlign w:val="center"/>
          </w:tcPr>
          <w:p w:rsidR="00565FD5" w:rsidRPr="009B3D4C" w:rsidRDefault="00565FD5" w:rsidP="00AB62A3">
            <w:pPr>
              <w:jc w:val="center"/>
              <w:rPr>
                <w:rFonts w:cs="Tahoma"/>
                <w:b/>
                <w:sz w:val="16"/>
                <w:szCs w:val="16"/>
              </w:rPr>
            </w:pPr>
            <w:r w:rsidRPr="009B3D4C">
              <w:rPr>
                <w:rFonts w:cs="Tahoma"/>
                <w:b/>
                <w:sz w:val="16"/>
                <w:szCs w:val="16"/>
              </w:rPr>
              <w:t>2007</w:t>
            </w:r>
          </w:p>
        </w:tc>
        <w:tc>
          <w:tcPr>
            <w:tcW w:w="532" w:type="pct"/>
            <w:tcBorders>
              <w:top w:val="nil"/>
              <w:left w:val="nil"/>
              <w:bottom w:val="single" w:sz="8" w:space="0" w:color="auto"/>
              <w:right w:val="nil"/>
            </w:tcBorders>
            <w:vAlign w:val="center"/>
          </w:tcPr>
          <w:p w:rsidR="00565FD5" w:rsidRPr="009B3D4C" w:rsidRDefault="00565FD5" w:rsidP="00AB62A3">
            <w:pPr>
              <w:jc w:val="center"/>
              <w:rPr>
                <w:rFonts w:cs="Tahoma"/>
                <w:b/>
                <w:sz w:val="16"/>
                <w:szCs w:val="16"/>
              </w:rPr>
            </w:pPr>
            <w:r w:rsidRPr="009B3D4C">
              <w:rPr>
                <w:rFonts w:cs="Tahoma"/>
                <w:b/>
                <w:sz w:val="16"/>
                <w:szCs w:val="16"/>
              </w:rPr>
              <w:t>2011(3)</w:t>
            </w:r>
          </w:p>
        </w:tc>
        <w:tc>
          <w:tcPr>
            <w:tcW w:w="532" w:type="pct"/>
            <w:tcBorders>
              <w:top w:val="nil"/>
              <w:left w:val="nil"/>
              <w:bottom w:val="single" w:sz="8" w:space="0" w:color="auto"/>
              <w:right w:val="nil"/>
            </w:tcBorders>
            <w:vAlign w:val="center"/>
          </w:tcPr>
          <w:p w:rsidR="00565FD5" w:rsidRPr="009B3D4C" w:rsidRDefault="00565FD5" w:rsidP="00AB62A3">
            <w:pPr>
              <w:jc w:val="center"/>
              <w:rPr>
                <w:rFonts w:cs="Tahoma"/>
                <w:b/>
                <w:sz w:val="16"/>
                <w:szCs w:val="16"/>
              </w:rPr>
            </w:pPr>
            <w:r w:rsidRPr="009B3D4C">
              <w:rPr>
                <w:rFonts w:cs="Tahoma"/>
                <w:b/>
                <w:sz w:val="16"/>
                <w:szCs w:val="16"/>
              </w:rPr>
              <w:t>2002</w:t>
            </w:r>
          </w:p>
        </w:tc>
        <w:tc>
          <w:tcPr>
            <w:tcW w:w="548" w:type="pct"/>
            <w:tcBorders>
              <w:top w:val="nil"/>
              <w:left w:val="nil"/>
              <w:bottom w:val="single" w:sz="8" w:space="0" w:color="auto"/>
              <w:right w:val="nil"/>
            </w:tcBorders>
            <w:vAlign w:val="center"/>
          </w:tcPr>
          <w:p w:rsidR="00565FD5" w:rsidRPr="009B3D4C" w:rsidRDefault="00565FD5" w:rsidP="00AB62A3">
            <w:pPr>
              <w:jc w:val="center"/>
              <w:rPr>
                <w:rFonts w:cs="Tahoma"/>
                <w:b/>
                <w:sz w:val="16"/>
                <w:szCs w:val="16"/>
              </w:rPr>
            </w:pPr>
            <w:r w:rsidRPr="009B3D4C">
              <w:rPr>
                <w:rFonts w:cs="Tahoma"/>
                <w:b/>
                <w:sz w:val="16"/>
                <w:szCs w:val="16"/>
              </w:rPr>
              <w:t>2007</w:t>
            </w:r>
          </w:p>
        </w:tc>
        <w:tc>
          <w:tcPr>
            <w:tcW w:w="571" w:type="pct"/>
            <w:tcBorders>
              <w:top w:val="nil"/>
              <w:left w:val="nil"/>
              <w:bottom w:val="single" w:sz="8" w:space="0" w:color="auto"/>
              <w:right w:val="nil"/>
            </w:tcBorders>
            <w:vAlign w:val="center"/>
          </w:tcPr>
          <w:p w:rsidR="00565FD5" w:rsidRPr="009B3D4C" w:rsidRDefault="00565FD5" w:rsidP="00AB62A3">
            <w:pPr>
              <w:jc w:val="center"/>
              <w:rPr>
                <w:rFonts w:cs="Tahoma"/>
                <w:b/>
                <w:sz w:val="16"/>
                <w:szCs w:val="16"/>
              </w:rPr>
            </w:pPr>
            <w:r w:rsidRPr="009B3D4C">
              <w:rPr>
                <w:rFonts w:cs="Tahoma"/>
                <w:b/>
                <w:sz w:val="16"/>
                <w:szCs w:val="16"/>
              </w:rPr>
              <w:t>2011</w:t>
            </w:r>
          </w:p>
        </w:tc>
        <w:tc>
          <w:tcPr>
            <w:tcW w:w="932" w:type="pct"/>
            <w:tcBorders>
              <w:top w:val="nil"/>
              <w:left w:val="nil"/>
              <w:bottom w:val="single" w:sz="8" w:space="0" w:color="auto"/>
              <w:right w:val="single" w:sz="8" w:space="0" w:color="auto"/>
            </w:tcBorders>
            <w:vAlign w:val="center"/>
          </w:tcPr>
          <w:p w:rsidR="00565FD5" w:rsidRPr="009B3D4C" w:rsidRDefault="00565FD5" w:rsidP="00AB62A3">
            <w:pPr>
              <w:jc w:val="center"/>
              <w:rPr>
                <w:rFonts w:cs="Tahoma"/>
                <w:b/>
                <w:sz w:val="16"/>
                <w:szCs w:val="16"/>
              </w:rPr>
            </w:pPr>
            <w:r w:rsidRPr="009B3D4C">
              <w:rPr>
                <w:rFonts w:cs="Tahoma"/>
                <w:b/>
                <w:sz w:val="16"/>
                <w:szCs w:val="16"/>
              </w:rPr>
              <w:t>2011</w:t>
            </w:r>
          </w:p>
        </w:tc>
      </w:tr>
      <w:tr w:rsidR="00565FD5" w:rsidRPr="009B3D4C" w:rsidTr="00AB62A3">
        <w:trPr>
          <w:trHeight w:val="306"/>
        </w:trPr>
        <w:tc>
          <w:tcPr>
            <w:tcW w:w="823" w:type="pct"/>
            <w:tcBorders>
              <w:top w:val="nil"/>
              <w:left w:val="single" w:sz="8" w:space="0" w:color="auto"/>
              <w:bottom w:val="nil"/>
              <w:right w:val="nil"/>
            </w:tcBorders>
            <w:vAlign w:val="center"/>
          </w:tcPr>
          <w:p w:rsidR="00565FD5" w:rsidRPr="009B3D4C" w:rsidRDefault="00565FD5" w:rsidP="00AB62A3">
            <w:pPr>
              <w:rPr>
                <w:rFonts w:cs="Tahoma"/>
                <w:sz w:val="16"/>
                <w:szCs w:val="16"/>
              </w:rPr>
            </w:pPr>
            <w:r w:rsidRPr="009B3D4C">
              <w:rPr>
                <w:rFonts w:cs="Tahoma"/>
                <w:sz w:val="16"/>
                <w:szCs w:val="16"/>
              </w:rPr>
              <w:t>Yüksek</w:t>
            </w:r>
          </w:p>
        </w:tc>
        <w:tc>
          <w:tcPr>
            <w:tcW w:w="532"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5,1</w:t>
            </w:r>
          </w:p>
        </w:tc>
        <w:tc>
          <w:tcPr>
            <w:tcW w:w="532"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4,2</w:t>
            </w:r>
          </w:p>
        </w:tc>
        <w:tc>
          <w:tcPr>
            <w:tcW w:w="532"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3,5</w:t>
            </w:r>
          </w:p>
        </w:tc>
        <w:tc>
          <w:tcPr>
            <w:tcW w:w="532"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6,2</w:t>
            </w:r>
          </w:p>
        </w:tc>
        <w:tc>
          <w:tcPr>
            <w:tcW w:w="548"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4,5</w:t>
            </w:r>
          </w:p>
        </w:tc>
        <w:tc>
          <w:tcPr>
            <w:tcW w:w="571"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2,8</w:t>
            </w:r>
          </w:p>
        </w:tc>
        <w:tc>
          <w:tcPr>
            <w:tcW w:w="932" w:type="pct"/>
            <w:tcBorders>
              <w:top w:val="nil"/>
              <w:left w:val="nil"/>
              <w:bottom w:val="nil"/>
              <w:right w:val="single" w:sz="8" w:space="0" w:color="auto"/>
            </w:tcBorders>
            <w:vAlign w:val="center"/>
          </w:tcPr>
          <w:p w:rsidR="00565FD5" w:rsidRPr="009B3D4C" w:rsidRDefault="00565FD5" w:rsidP="00AB62A3">
            <w:pPr>
              <w:jc w:val="center"/>
              <w:rPr>
                <w:rFonts w:cs="Tahoma"/>
                <w:sz w:val="16"/>
                <w:szCs w:val="16"/>
              </w:rPr>
            </w:pPr>
            <w:r w:rsidRPr="009B3D4C">
              <w:rPr>
                <w:rFonts w:cs="Tahoma"/>
                <w:sz w:val="16"/>
                <w:szCs w:val="16"/>
              </w:rPr>
              <w:t>19,8</w:t>
            </w:r>
          </w:p>
        </w:tc>
      </w:tr>
      <w:tr w:rsidR="00565FD5" w:rsidRPr="009B3D4C" w:rsidTr="00AB62A3">
        <w:trPr>
          <w:trHeight w:val="306"/>
        </w:trPr>
        <w:tc>
          <w:tcPr>
            <w:tcW w:w="823" w:type="pct"/>
            <w:tcBorders>
              <w:top w:val="nil"/>
              <w:left w:val="single" w:sz="8" w:space="0" w:color="auto"/>
              <w:bottom w:val="nil"/>
              <w:right w:val="nil"/>
            </w:tcBorders>
            <w:vAlign w:val="center"/>
          </w:tcPr>
          <w:p w:rsidR="00565FD5" w:rsidRPr="009B3D4C" w:rsidRDefault="00565FD5" w:rsidP="00AB62A3">
            <w:pPr>
              <w:rPr>
                <w:rFonts w:cs="Tahoma"/>
                <w:sz w:val="16"/>
                <w:szCs w:val="16"/>
              </w:rPr>
            </w:pPr>
            <w:r w:rsidRPr="009B3D4C">
              <w:rPr>
                <w:rFonts w:cs="Tahoma"/>
                <w:sz w:val="16"/>
                <w:szCs w:val="16"/>
              </w:rPr>
              <w:t>Ortanın Üstü</w:t>
            </w:r>
          </w:p>
        </w:tc>
        <w:tc>
          <w:tcPr>
            <w:tcW w:w="532"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18,2</w:t>
            </w:r>
          </w:p>
        </w:tc>
        <w:tc>
          <w:tcPr>
            <w:tcW w:w="532"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24,3</w:t>
            </w:r>
          </w:p>
        </w:tc>
        <w:tc>
          <w:tcPr>
            <w:tcW w:w="532"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29,2</w:t>
            </w:r>
          </w:p>
        </w:tc>
        <w:tc>
          <w:tcPr>
            <w:tcW w:w="532"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24,3</w:t>
            </w:r>
          </w:p>
        </w:tc>
        <w:tc>
          <w:tcPr>
            <w:tcW w:w="548"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32,5</w:t>
            </w:r>
          </w:p>
        </w:tc>
        <w:tc>
          <w:tcPr>
            <w:tcW w:w="571"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24,0</w:t>
            </w:r>
          </w:p>
        </w:tc>
        <w:tc>
          <w:tcPr>
            <w:tcW w:w="932" w:type="pct"/>
            <w:tcBorders>
              <w:top w:val="nil"/>
              <w:left w:val="nil"/>
              <w:bottom w:val="nil"/>
              <w:right w:val="single" w:sz="8" w:space="0" w:color="auto"/>
            </w:tcBorders>
            <w:vAlign w:val="center"/>
          </w:tcPr>
          <w:p w:rsidR="00565FD5" w:rsidRPr="009B3D4C" w:rsidRDefault="00565FD5" w:rsidP="00AB62A3">
            <w:pPr>
              <w:jc w:val="center"/>
              <w:rPr>
                <w:rFonts w:cs="Tahoma"/>
                <w:sz w:val="16"/>
                <w:szCs w:val="16"/>
              </w:rPr>
            </w:pPr>
            <w:r w:rsidRPr="009B3D4C">
              <w:rPr>
                <w:rFonts w:cs="Tahoma"/>
                <w:sz w:val="16"/>
                <w:szCs w:val="16"/>
              </w:rPr>
              <w:t>41,1</w:t>
            </w:r>
          </w:p>
        </w:tc>
      </w:tr>
      <w:tr w:rsidR="00565FD5" w:rsidRPr="009B3D4C" w:rsidTr="00AB62A3">
        <w:trPr>
          <w:trHeight w:val="306"/>
        </w:trPr>
        <w:tc>
          <w:tcPr>
            <w:tcW w:w="823" w:type="pct"/>
            <w:tcBorders>
              <w:top w:val="nil"/>
              <w:left w:val="single" w:sz="8" w:space="0" w:color="auto"/>
              <w:bottom w:val="nil"/>
              <w:right w:val="nil"/>
            </w:tcBorders>
            <w:vAlign w:val="center"/>
          </w:tcPr>
          <w:p w:rsidR="00565FD5" w:rsidRPr="009B3D4C" w:rsidRDefault="00565FD5" w:rsidP="00AB62A3">
            <w:pPr>
              <w:rPr>
                <w:rFonts w:cs="Tahoma"/>
                <w:sz w:val="16"/>
                <w:szCs w:val="16"/>
              </w:rPr>
            </w:pPr>
            <w:r w:rsidRPr="009B3D4C">
              <w:rPr>
                <w:rFonts w:cs="Tahoma"/>
                <w:sz w:val="16"/>
                <w:szCs w:val="16"/>
              </w:rPr>
              <w:t>Ortanın Altı</w:t>
            </w:r>
          </w:p>
        </w:tc>
        <w:tc>
          <w:tcPr>
            <w:tcW w:w="532"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26,7</w:t>
            </w:r>
          </w:p>
        </w:tc>
        <w:tc>
          <w:tcPr>
            <w:tcW w:w="532"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32,4</w:t>
            </w:r>
          </w:p>
        </w:tc>
        <w:tc>
          <w:tcPr>
            <w:tcW w:w="532"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30,3</w:t>
            </w:r>
          </w:p>
        </w:tc>
        <w:tc>
          <w:tcPr>
            <w:tcW w:w="532"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22,8</w:t>
            </w:r>
          </w:p>
        </w:tc>
        <w:tc>
          <w:tcPr>
            <w:tcW w:w="548"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30,3</w:t>
            </w:r>
          </w:p>
        </w:tc>
        <w:tc>
          <w:tcPr>
            <w:tcW w:w="571"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36,3</w:t>
            </w:r>
          </w:p>
        </w:tc>
        <w:tc>
          <w:tcPr>
            <w:tcW w:w="932" w:type="pct"/>
            <w:tcBorders>
              <w:top w:val="nil"/>
              <w:left w:val="nil"/>
              <w:bottom w:val="nil"/>
              <w:right w:val="single" w:sz="8" w:space="0" w:color="auto"/>
            </w:tcBorders>
            <w:vAlign w:val="center"/>
          </w:tcPr>
          <w:p w:rsidR="00565FD5" w:rsidRPr="009B3D4C" w:rsidRDefault="00565FD5" w:rsidP="00AB62A3">
            <w:pPr>
              <w:jc w:val="center"/>
              <w:rPr>
                <w:rFonts w:cs="Tahoma"/>
                <w:sz w:val="16"/>
                <w:szCs w:val="16"/>
              </w:rPr>
            </w:pPr>
            <w:r w:rsidRPr="009B3D4C">
              <w:rPr>
                <w:rFonts w:cs="Tahoma"/>
                <w:sz w:val="16"/>
                <w:szCs w:val="16"/>
              </w:rPr>
              <w:t>20,5</w:t>
            </w:r>
          </w:p>
        </w:tc>
      </w:tr>
      <w:tr w:rsidR="00565FD5" w:rsidRPr="009B3D4C" w:rsidTr="00AB62A3">
        <w:trPr>
          <w:trHeight w:val="306"/>
        </w:trPr>
        <w:tc>
          <w:tcPr>
            <w:tcW w:w="823" w:type="pct"/>
            <w:tcBorders>
              <w:top w:val="nil"/>
              <w:left w:val="single" w:sz="8" w:space="0" w:color="auto"/>
              <w:bottom w:val="nil"/>
              <w:right w:val="nil"/>
            </w:tcBorders>
            <w:vAlign w:val="center"/>
          </w:tcPr>
          <w:p w:rsidR="00565FD5" w:rsidRPr="009B3D4C" w:rsidRDefault="00565FD5" w:rsidP="00AB62A3">
            <w:pPr>
              <w:rPr>
                <w:rFonts w:cs="Tahoma"/>
                <w:sz w:val="16"/>
                <w:szCs w:val="16"/>
              </w:rPr>
            </w:pPr>
            <w:r w:rsidRPr="009B3D4C">
              <w:rPr>
                <w:rFonts w:cs="Tahoma"/>
                <w:sz w:val="16"/>
                <w:szCs w:val="16"/>
              </w:rPr>
              <w:t>Düşük</w:t>
            </w:r>
          </w:p>
        </w:tc>
        <w:tc>
          <w:tcPr>
            <w:tcW w:w="532"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50,0</w:t>
            </w:r>
          </w:p>
        </w:tc>
        <w:tc>
          <w:tcPr>
            <w:tcW w:w="532"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39,1</w:t>
            </w:r>
          </w:p>
        </w:tc>
        <w:tc>
          <w:tcPr>
            <w:tcW w:w="532"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37,0</w:t>
            </w:r>
          </w:p>
        </w:tc>
        <w:tc>
          <w:tcPr>
            <w:tcW w:w="532"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46,8</w:t>
            </w:r>
          </w:p>
        </w:tc>
        <w:tc>
          <w:tcPr>
            <w:tcW w:w="548"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32,7</w:t>
            </w:r>
          </w:p>
        </w:tc>
        <w:tc>
          <w:tcPr>
            <w:tcW w:w="571" w:type="pct"/>
            <w:tcBorders>
              <w:top w:val="nil"/>
              <w:left w:val="nil"/>
              <w:bottom w:val="nil"/>
              <w:right w:val="nil"/>
            </w:tcBorders>
            <w:vAlign w:val="center"/>
          </w:tcPr>
          <w:p w:rsidR="00565FD5" w:rsidRPr="009B3D4C" w:rsidRDefault="00565FD5" w:rsidP="00AB62A3">
            <w:pPr>
              <w:jc w:val="center"/>
              <w:rPr>
                <w:rFonts w:cs="Tahoma"/>
                <w:sz w:val="16"/>
                <w:szCs w:val="16"/>
              </w:rPr>
            </w:pPr>
            <w:r w:rsidRPr="009B3D4C">
              <w:rPr>
                <w:rFonts w:cs="Tahoma"/>
                <w:sz w:val="16"/>
                <w:szCs w:val="16"/>
              </w:rPr>
              <w:t>36,8</w:t>
            </w:r>
          </w:p>
        </w:tc>
        <w:tc>
          <w:tcPr>
            <w:tcW w:w="932" w:type="pct"/>
            <w:tcBorders>
              <w:top w:val="nil"/>
              <w:left w:val="nil"/>
              <w:bottom w:val="nil"/>
              <w:right w:val="single" w:sz="8" w:space="0" w:color="auto"/>
            </w:tcBorders>
            <w:vAlign w:val="center"/>
          </w:tcPr>
          <w:p w:rsidR="00565FD5" w:rsidRPr="009B3D4C" w:rsidRDefault="00565FD5" w:rsidP="00AB62A3">
            <w:pPr>
              <w:jc w:val="center"/>
              <w:rPr>
                <w:rFonts w:cs="Tahoma"/>
                <w:sz w:val="16"/>
                <w:szCs w:val="16"/>
              </w:rPr>
            </w:pPr>
            <w:r w:rsidRPr="009B3D4C">
              <w:rPr>
                <w:rFonts w:cs="Tahoma"/>
                <w:sz w:val="16"/>
                <w:szCs w:val="16"/>
              </w:rPr>
              <w:t>18,6</w:t>
            </w:r>
          </w:p>
        </w:tc>
      </w:tr>
      <w:tr w:rsidR="00565FD5" w:rsidRPr="009B3D4C" w:rsidTr="00AB62A3">
        <w:trPr>
          <w:trHeight w:val="321"/>
        </w:trPr>
        <w:tc>
          <w:tcPr>
            <w:tcW w:w="823" w:type="pct"/>
            <w:tcBorders>
              <w:top w:val="nil"/>
              <w:left w:val="single" w:sz="8" w:space="0" w:color="auto"/>
              <w:bottom w:val="single" w:sz="8" w:space="0" w:color="auto"/>
              <w:right w:val="nil"/>
            </w:tcBorders>
            <w:vAlign w:val="center"/>
          </w:tcPr>
          <w:p w:rsidR="00565FD5" w:rsidRPr="009B3D4C" w:rsidRDefault="00565FD5" w:rsidP="00AB62A3">
            <w:pPr>
              <w:rPr>
                <w:rFonts w:cs="Tahoma"/>
                <w:sz w:val="16"/>
                <w:szCs w:val="16"/>
              </w:rPr>
            </w:pPr>
            <w:r w:rsidRPr="009B3D4C">
              <w:rPr>
                <w:rFonts w:cs="Tahoma"/>
                <w:sz w:val="16"/>
                <w:szCs w:val="16"/>
              </w:rPr>
              <w:t>Toplam</w:t>
            </w:r>
          </w:p>
        </w:tc>
        <w:tc>
          <w:tcPr>
            <w:tcW w:w="532" w:type="pct"/>
            <w:tcBorders>
              <w:top w:val="nil"/>
              <w:left w:val="nil"/>
              <w:bottom w:val="single" w:sz="8" w:space="0" w:color="auto"/>
              <w:right w:val="nil"/>
            </w:tcBorders>
            <w:vAlign w:val="center"/>
          </w:tcPr>
          <w:p w:rsidR="00565FD5" w:rsidRPr="009B3D4C" w:rsidRDefault="00565FD5" w:rsidP="00AB62A3">
            <w:pPr>
              <w:jc w:val="center"/>
              <w:rPr>
                <w:rFonts w:cs="Tahoma"/>
                <w:sz w:val="16"/>
                <w:szCs w:val="16"/>
              </w:rPr>
            </w:pPr>
            <w:r w:rsidRPr="009B3D4C">
              <w:rPr>
                <w:rFonts w:cs="Tahoma"/>
                <w:sz w:val="16"/>
                <w:szCs w:val="16"/>
              </w:rPr>
              <w:t>100</w:t>
            </w:r>
          </w:p>
        </w:tc>
        <w:tc>
          <w:tcPr>
            <w:tcW w:w="532" w:type="pct"/>
            <w:tcBorders>
              <w:top w:val="nil"/>
              <w:left w:val="nil"/>
              <w:bottom w:val="single" w:sz="8" w:space="0" w:color="auto"/>
              <w:right w:val="nil"/>
            </w:tcBorders>
            <w:vAlign w:val="center"/>
          </w:tcPr>
          <w:p w:rsidR="00565FD5" w:rsidRPr="009B3D4C" w:rsidRDefault="00565FD5" w:rsidP="00AB62A3">
            <w:pPr>
              <w:jc w:val="center"/>
              <w:rPr>
                <w:rFonts w:cs="Tahoma"/>
                <w:sz w:val="16"/>
                <w:szCs w:val="16"/>
              </w:rPr>
            </w:pPr>
            <w:r w:rsidRPr="009B3D4C">
              <w:rPr>
                <w:rFonts w:cs="Tahoma"/>
                <w:sz w:val="16"/>
                <w:szCs w:val="16"/>
              </w:rPr>
              <w:t>100</w:t>
            </w:r>
          </w:p>
        </w:tc>
        <w:tc>
          <w:tcPr>
            <w:tcW w:w="532" w:type="pct"/>
            <w:tcBorders>
              <w:top w:val="nil"/>
              <w:left w:val="nil"/>
              <w:bottom w:val="single" w:sz="8" w:space="0" w:color="auto"/>
              <w:right w:val="nil"/>
            </w:tcBorders>
            <w:vAlign w:val="center"/>
          </w:tcPr>
          <w:p w:rsidR="00565FD5" w:rsidRPr="009B3D4C" w:rsidRDefault="00565FD5" w:rsidP="00AB62A3">
            <w:pPr>
              <w:jc w:val="center"/>
              <w:rPr>
                <w:rFonts w:cs="Tahoma"/>
                <w:sz w:val="16"/>
                <w:szCs w:val="16"/>
              </w:rPr>
            </w:pPr>
            <w:r w:rsidRPr="009B3D4C">
              <w:rPr>
                <w:rFonts w:cs="Tahoma"/>
                <w:sz w:val="16"/>
                <w:szCs w:val="16"/>
              </w:rPr>
              <w:t>100</w:t>
            </w:r>
          </w:p>
        </w:tc>
        <w:tc>
          <w:tcPr>
            <w:tcW w:w="532" w:type="pct"/>
            <w:tcBorders>
              <w:top w:val="nil"/>
              <w:left w:val="nil"/>
              <w:bottom w:val="single" w:sz="8" w:space="0" w:color="auto"/>
              <w:right w:val="nil"/>
            </w:tcBorders>
            <w:vAlign w:val="center"/>
          </w:tcPr>
          <w:p w:rsidR="00565FD5" w:rsidRPr="009B3D4C" w:rsidRDefault="00565FD5" w:rsidP="00AB62A3">
            <w:pPr>
              <w:jc w:val="center"/>
              <w:rPr>
                <w:rFonts w:cs="Tahoma"/>
                <w:sz w:val="16"/>
                <w:szCs w:val="16"/>
              </w:rPr>
            </w:pPr>
            <w:r w:rsidRPr="009B3D4C">
              <w:rPr>
                <w:rFonts w:cs="Tahoma"/>
                <w:sz w:val="16"/>
                <w:szCs w:val="16"/>
              </w:rPr>
              <w:t>100</w:t>
            </w:r>
          </w:p>
        </w:tc>
        <w:tc>
          <w:tcPr>
            <w:tcW w:w="548" w:type="pct"/>
            <w:tcBorders>
              <w:top w:val="nil"/>
              <w:left w:val="nil"/>
              <w:bottom w:val="single" w:sz="8" w:space="0" w:color="auto"/>
              <w:right w:val="nil"/>
            </w:tcBorders>
            <w:vAlign w:val="center"/>
          </w:tcPr>
          <w:p w:rsidR="00565FD5" w:rsidRPr="009B3D4C" w:rsidRDefault="00565FD5" w:rsidP="00AB62A3">
            <w:pPr>
              <w:jc w:val="center"/>
              <w:rPr>
                <w:rFonts w:cs="Tahoma"/>
                <w:sz w:val="16"/>
                <w:szCs w:val="16"/>
              </w:rPr>
            </w:pPr>
            <w:r w:rsidRPr="009B3D4C">
              <w:rPr>
                <w:rFonts w:cs="Tahoma"/>
                <w:sz w:val="16"/>
                <w:szCs w:val="16"/>
              </w:rPr>
              <w:t>100</w:t>
            </w:r>
          </w:p>
        </w:tc>
        <w:tc>
          <w:tcPr>
            <w:tcW w:w="571" w:type="pct"/>
            <w:tcBorders>
              <w:top w:val="nil"/>
              <w:left w:val="nil"/>
              <w:bottom w:val="single" w:sz="8" w:space="0" w:color="auto"/>
              <w:right w:val="nil"/>
            </w:tcBorders>
            <w:vAlign w:val="center"/>
          </w:tcPr>
          <w:p w:rsidR="00565FD5" w:rsidRPr="009B3D4C" w:rsidRDefault="00565FD5" w:rsidP="00AB62A3">
            <w:pPr>
              <w:jc w:val="center"/>
              <w:rPr>
                <w:rFonts w:cs="Tahoma"/>
                <w:sz w:val="16"/>
                <w:szCs w:val="16"/>
              </w:rPr>
            </w:pPr>
            <w:r w:rsidRPr="009B3D4C">
              <w:rPr>
                <w:rFonts w:cs="Tahoma"/>
                <w:sz w:val="16"/>
                <w:szCs w:val="16"/>
              </w:rPr>
              <w:t>100</w:t>
            </w:r>
          </w:p>
        </w:tc>
        <w:tc>
          <w:tcPr>
            <w:tcW w:w="932" w:type="pct"/>
            <w:tcBorders>
              <w:top w:val="nil"/>
              <w:left w:val="nil"/>
              <w:bottom w:val="single" w:sz="8" w:space="0" w:color="auto"/>
              <w:right w:val="single" w:sz="8" w:space="0" w:color="auto"/>
            </w:tcBorders>
            <w:vAlign w:val="center"/>
          </w:tcPr>
          <w:p w:rsidR="00565FD5" w:rsidRPr="009B3D4C" w:rsidRDefault="00565FD5" w:rsidP="00AB62A3">
            <w:pPr>
              <w:jc w:val="center"/>
              <w:rPr>
                <w:rFonts w:cs="Tahoma"/>
                <w:sz w:val="16"/>
                <w:szCs w:val="16"/>
              </w:rPr>
            </w:pPr>
            <w:r w:rsidRPr="009B3D4C">
              <w:rPr>
                <w:rFonts w:cs="Tahoma"/>
                <w:sz w:val="16"/>
                <w:szCs w:val="16"/>
              </w:rPr>
              <w:t>100</w:t>
            </w:r>
          </w:p>
        </w:tc>
      </w:tr>
    </w:tbl>
    <w:p w:rsidR="00565FD5" w:rsidRPr="009B3D4C" w:rsidRDefault="00565FD5" w:rsidP="00565FD5">
      <w:pPr>
        <w:rPr>
          <w:rFonts w:cs="Tahoma"/>
          <w:sz w:val="14"/>
          <w:szCs w:val="14"/>
        </w:rPr>
      </w:pPr>
      <w:r w:rsidRPr="009B3D4C">
        <w:rPr>
          <w:rFonts w:cs="Tahoma"/>
          <w:sz w:val="14"/>
          <w:szCs w:val="14"/>
        </w:rPr>
        <w:t>Kaynak: TÜİK, OECD STAN Veritabanı</w:t>
      </w:r>
    </w:p>
    <w:p w:rsidR="00565FD5" w:rsidRPr="009B3D4C" w:rsidRDefault="00565FD5" w:rsidP="00565FD5">
      <w:pPr>
        <w:rPr>
          <w:rFonts w:cs="Tahoma"/>
          <w:sz w:val="14"/>
          <w:szCs w:val="14"/>
        </w:rPr>
      </w:pPr>
      <w:r w:rsidRPr="009B3D4C">
        <w:rPr>
          <w:rFonts w:cs="Tahoma"/>
          <w:sz w:val="14"/>
          <w:szCs w:val="14"/>
        </w:rPr>
        <w:t>(1) OECD Science, Technology and Industry Scoreboard sınıflandırması esas alınmıştır.</w:t>
      </w:r>
    </w:p>
    <w:p w:rsidR="00565FD5" w:rsidRPr="009B3D4C" w:rsidRDefault="00565FD5" w:rsidP="00565FD5">
      <w:pPr>
        <w:rPr>
          <w:rFonts w:cs="Tahoma"/>
          <w:sz w:val="14"/>
          <w:szCs w:val="14"/>
        </w:rPr>
      </w:pPr>
      <w:r w:rsidRPr="009B3D4C">
        <w:rPr>
          <w:rFonts w:cs="Tahoma"/>
          <w:sz w:val="14"/>
          <w:szCs w:val="14"/>
        </w:rPr>
        <w:t xml:space="preserve">(2) OECD üyesi AB ülkeleri. </w:t>
      </w:r>
    </w:p>
    <w:p w:rsidR="00565FD5" w:rsidRPr="009B3D4C" w:rsidRDefault="00565FD5" w:rsidP="00565FD5">
      <w:pPr>
        <w:spacing w:after="360"/>
        <w:rPr>
          <w:rFonts w:cs="Tahoma"/>
          <w:sz w:val="14"/>
          <w:szCs w:val="14"/>
        </w:rPr>
      </w:pPr>
      <w:r w:rsidRPr="009B3D4C">
        <w:rPr>
          <w:rFonts w:cs="Tahoma"/>
          <w:sz w:val="14"/>
          <w:szCs w:val="14"/>
        </w:rPr>
        <w:t>(3) 2009 yılı fiyatlarıyla Kalkınma Bakanlığı tahminidir (OECD tanımlaması Eurostat tarafından NACE Rev.2’ye uyarlanmıştır).</w:t>
      </w:r>
    </w:p>
    <w:p w:rsidR="00565FD5" w:rsidRPr="009B3D4C" w:rsidRDefault="00565FD5" w:rsidP="00565FD5">
      <w:pPr>
        <w:spacing w:after="180"/>
        <w:ind w:firstLine="426"/>
        <w:rPr>
          <w:rFonts w:cs="Tahoma"/>
          <w:szCs w:val="18"/>
        </w:rPr>
      </w:pPr>
      <w:r w:rsidRPr="009B3D4C">
        <w:rPr>
          <w:rFonts w:cs="Tahoma"/>
          <w:szCs w:val="18"/>
        </w:rPr>
        <w:t>İmalat sanayiinin üretim yapısında orta teknoloji sektörlerine doğru dönüşüm devam etmektedir. 2011 yılında bir önceki yıla göre yapılan üretim reel olarak yüksek teknoloji sektörlerinde yüzde 11,5, ortanın üstü teknoloji sektörlerinde ise yüzde 17,5 oranında artmıştır. Özellikle otomotiv ve elektrikli makine sektörleri üretiminde 2009 yılından bu yana kaydedilen önemli artış, ortanın üstü teknoloji sektörlerinin toplam üretim içerisindeki payının artmasında etkili olmuştur. Öte yandan bu durum yüksek teknoloji sektörlerinin, üretimi artmış olmasına rağmen, toplam üretim içerisindeki payının düşmesine neden olmuştur. 2011 yılında ise bu sektörlerin ihracatında azalma, ortanın altı ve düşük teknoloji sektörlerinin ihracatında ise artış yaşanmıştır. AB ülkeleri ile karşılaştırıldığında yüksek ve ortanın üstü teknoloji sektörlerinin ihracattaki payı halen düşük kalmaktadır.</w:t>
      </w:r>
    </w:p>
    <w:p w:rsidR="00565FD5" w:rsidRPr="009B3D4C" w:rsidRDefault="00565FD5" w:rsidP="00565FD5">
      <w:pPr>
        <w:spacing w:after="180"/>
        <w:ind w:firstLine="426"/>
        <w:rPr>
          <w:rFonts w:cs="Tahoma"/>
          <w:szCs w:val="18"/>
        </w:rPr>
      </w:pPr>
      <w:r w:rsidRPr="009B3D4C">
        <w:rPr>
          <w:rFonts w:cs="Tahoma"/>
          <w:szCs w:val="18"/>
        </w:rPr>
        <w:lastRenderedPageBreak/>
        <w:t>Sanayinin, kredi maliyetlerinin yüksekliği, kayıt dışı ekonomi ve düşük fiyatlı ithalattan kaynaklanan haksız rekabet, bürokrasinin fazlalığı, kamunun sağladığı bazı girdilerin fiyatlarının uluslararası fiyatlara göre yüksekliği, vergi oranlarındaki yükseklik gibi temel sorunları devam etmektedir. Ayrıca, teknoloji üretiminde yetersizlik, ileri teknoloji kullanımının hızlı yaygınlaştırılamaması, nitelikli işgücü eksikliği, yüksek katma değerli ürünlerde sınırlı üretim kabiliyeti, tesislerin üretim ve yönetim yapılarında modernizasyon ihtiyacı, sanayinin kapasitesi ve potansiyeli konusunda yatırımcıların bilgiye erişimindeki zorluklar gibi genellikle yapısal nitelikteki sorunların çözülmesi gerekmektedir.</w:t>
      </w:r>
    </w:p>
    <w:p w:rsidR="00565FD5" w:rsidRPr="009B3D4C" w:rsidRDefault="00565FD5" w:rsidP="00565FD5">
      <w:pPr>
        <w:spacing w:after="180"/>
        <w:ind w:firstLine="426"/>
        <w:rPr>
          <w:rFonts w:cs="Tahoma"/>
          <w:szCs w:val="18"/>
        </w:rPr>
      </w:pPr>
      <w:r w:rsidRPr="009B3D4C">
        <w:rPr>
          <w:rFonts w:cs="Tahoma"/>
          <w:szCs w:val="18"/>
        </w:rPr>
        <w:t xml:space="preserve">Türkiye Sanayi Stratejisi Belgesinin (2011-2014) uygulanması, izlenmesi ve değerlendirilmesi amacıyla oluşturulan İzleme ve Yönlendirme Komitesi, temel politika alanları itibarıyla izleme çalışmalarına devam etmektedir. Ayrıca sanayi sektörlerinin rekabet gücünü artırmaya katkı sağlayacak sektörel stratejilerin hazırlanmasına yönelik çalışmalar sürdürülmektedir. Kimya, Demir-Çelik ve Demirdışı Metaller, Elektrik-Elektronik ve Seramik sektörlerinde strateji belgeleri </w:t>
      </w:r>
      <w:r>
        <w:rPr>
          <w:rFonts w:cs="Tahoma"/>
          <w:szCs w:val="18"/>
        </w:rPr>
        <w:t>Yüksek Planlama Kurulu tarafından onaylanmıştır</w:t>
      </w:r>
      <w:r w:rsidRPr="009B3D4C">
        <w:rPr>
          <w:rFonts w:cs="Tahoma"/>
          <w:szCs w:val="18"/>
        </w:rPr>
        <w:t>. Tekstil, Hazır Giyim, Deri ve Deri Ürünleri ile İlaç sektörlerinde strateji belgesi hazırlıkları devam etmektedir.</w:t>
      </w:r>
    </w:p>
    <w:p w:rsidR="00565FD5" w:rsidRPr="009B3D4C" w:rsidRDefault="00565FD5" w:rsidP="00565FD5">
      <w:pPr>
        <w:spacing w:after="180"/>
        <w:ind w:firstLine="426"/>
        <w:rPr>
          <w:rFonts w:cs="Tahoma"/>
          <w:szCs w:val="18"/>
        </w:rPr>
      </w:pPr>
      <w:r w:rsidRPr="009B3D4C">
        <w:rPr>
          <w:rFonts w:cs="Tahoma"/>
          <w:szCs w:val="18"/>
        </w:rPr>
        <w:t xml:space="preserve">2023 yılında Türkiye’nin ihracatını 500 milyar ABD dolarına çıkarmak hedefine ulaşmak için hazırlanan 2023 Türkiye İhracat Stratejisi ve Eylem Planı 13/06/2012 tarihli ve 28322 sayılı </w:t>
      </w:r>
      <w:r>
        <w:rPr>
          <w:rFonts w:cs="Tahoma"/>
          <w:szCs w:val="18"/>
        </w:rPr>
        <w:t>Resmi Gazete'de</w:t>
      </w:r>
      <w:r w:rsidRPr="009B3D4C">
        <w:rPr>
          <w:rFonts w:cs="Tahoma"/>
          <w:szCs w:val="18"/>
        </w:rPr>
        <w:t xml:space="preserve"> yayımlanmıştır. Ayrıca, girdi tedarikinde, ülke ve bölge tabanlı bağımlılığın azaltılması, kaynaklardaki belirsizliklerin ve dalgalanmaların oluşturacağı risklerin giderilmesi, ihracatın korunması ve gelecekte önem kazanacak ürünlerin üretilmesi için hazırlanan Girdi Tedarik Stratejisi ve Eylem Planı </w:t>
      </w:r>
      <w:r>
        <w:rPr>
          <w:rFonts w:cs="Tahoma"/>
          <w:szCs w:val="18"/>
        </w:rPr>
        <w:t>Belgesi</w:t>
      </w:r>
      <w:r w:rsidRPr="009B3D4C">
        <w:rPr>
          <w:rFonts w:cs="Tahoma"/>
          <w:szCs w:val="18"/>
        </w:rPr>
        <w:t xml:space="preserve"> onay aşamasındadır.</w:t>
      </w:r>
    </w:p>
    <w:p w:rsidR="00565FD5" w:rsidRPr="009B3D4C" w:rsidRDefault="00565FD5" w:rsidP="00565FD5">
      <w:pPr>
        <w:spacing w:after="180"/>
        <w:ind w:firstLine="426"/>
        <w:rPr>
          <w:rFonts w:cs="Tahoma"/>
          <w:szCs w:val="18"/>
        </w:rPr>
      </w:pPr>
      <w:r w:rsidRPr="009B3D4C">
        <w:rPr>
          <w:rFonts w:cs="Tahoma"/>
          <w:szCs w:val="18"/>
        </w:rPr>
        <w:t xml:space="preserve">Ülkemizde akreditasyon ve piyasa gözetim sistemlerinin etkinleştirilmesine yönelik çalışmalara devam edilmektedir. Güncel AB mevzuatına uyum sağlamak amacıyla 2013 yılında Ürün Güvenliği Kanun Taslağı hazırlanacaktır. </w:t>
      </w:r>
    </w:p>
    <w:p w:rsidR="00565FD5" w:rsidRPr="009B3D4C" w:rsidRDefault="00565FD5" w:rsidP="00565FD5">
      <w:pPr>
        <w:spacing w:after="180"/>
        <w:ind w:firstLine="426"/>
        <w:rPr>
          <w:rFonts w:cs="Tahoma"/>
          <w:szCs w:val="18"/>
        </w:rPr>
      </w:pPr>
      <w:bookmarkStart w:id="1948" w:name="_Toc276076507"/>
      <w:bookmarkStart w:id="1949" w:name="_Toc275873965"/>
      <w:bookmarkStart w:id="1950" w:name="_Toc307601687"/>
      <w:bookmarkStart w:id="1951" w:name="_Toc307657910"/>
      <w:bookmarkStart w:id="1952" w:name="_Toc307702166"/>
      <w:r w:rsidRPr="009B3D4C">
        <w:rPr>
          <w:rFonts w:cs="Tahoma"/>
          <w:szCs w:val="18"/>
        </w:rPr>
        <w:t xml:space="preserve">İmalat sanayiinde ithalatta haksız rekabetin önlenmesi konusunda, 2012 yılı Ağustos ayı itibarıyla; 52 ürün grubunda çeşitli ülkelerin damping uygulamalarına karşı kesin önlem, 6 ürün grubunda önlemlerin etkisiz kılınmasına karşı kesin önlem, bir ürün grubunda sübvansiyona karşı telafi edici önlem, dört ürün grubunda damping soruşturması, beş ürün grubunda nihai </w:t>
      </w:r>
      <w:r w:rsidRPr="009B3D4C">
        <w:rPr>
          <w:rFonts w:cs="Tahoma"/>
          <w:szCs w:val="18"/>
        </w:rPr>
        <w:lastRenderedPageBreak/>
        <w:t>gözden geçirme soruşturması halen devam etmektedir. Çin başta olmak üzere, genellikle Uzakdoğu ülkelerinden kaynaklanan ithalatta fiyata dayalı haksız rekabetin önlenmesi için alınan tedbirler, tekstil, kimya, orman ürünleri, lastik ve metal eşya sektörlerinde yoğunlaşmaktadır.</w:t>
      </w:r>
    </w:p>
    <w:p w:rsidR="00565FD5" w:rsidRPr="009B3D4C" w:rsidRDefault="00565FD5" w:rsidP="00565FD5">
      <w:pPr>
        <w:spacing w:after="180"/>
        <w:ind w:firstLine="426"/>
        <w:rPr>
          <w:rFonts w:cs="Tahoma"/>
          <w:szCs w:val="18"/>
        </w:rPr>
      </w:pPr>
      <w:r w:rsidRPr="009B3D4C">
        <w:rPr>
          <w:rFonts w:cs="Tahoma"/>
          <w:szCs w:val="18"/>
        </w:rPr>
        <w:t>Ayrıca, İran menşeli naylon iplik, cam eşya, çerçevesiz cam ayna ve AYPE olmak üzere toplam 4 ürün grubunun ithalatında korunma önlemi uygulanmaktadır. Yine İran menşeli ambalaj film ithalatında korunma önlemi soruşturması yürütülmektedir.</w:t>
      </w:r>
    </w:p>
    <w:p w:rsidR="00565FD5" w:rsidRPr="009B3D4C" w:rsidRDefault="00565FD5" w:rsidP="00565FD5">
      <w:pPr>
        <w:spacing w:after="180"/>
        <w:ind w:firstLine="426"/>
        <w:rPr>
          <w:rFonts w:cs="Tahoma"/>
          <w:szCs w:val="18"/>
        </w:rPr>
      </w:pPr>
      <w:r w:rsidRPr="009B3D4C">
        <w:rPr>
          <w:rFonts w:cs="Tahoma"/>
          <w:szCs w:val="18"/>
        </w:rPr>
        <w:t xml:space="preserve">Öte yandan 15/09/2011 tarihinde yayımlanan Bakanlar Kurulu Kararıyla 54 ürün grubunu kapsayacak şekilde bazı tekstil ve hazır giyim ürünleri ithalatında ilave gümrük vergisi uygulaması başlatılmıştır. </w:t>
      </w:r>
    </w:p>
    <w:p w:rsidR="00565FD5" w:rsidRPr="009B3D4C" w:rsidRDefault="00565FD5" w:rsidP="00565FD5">
      <w:pPr>
        <w:spacing w:after="180"/>
        <w:ind w:firstLine="426"/>
        <w:rPr>
          <w:rFonts w:cs="Tahoma"/>
          <w:szCs w:val="18"/>
        </w:rPr>
      </w:pPr>
      <w:r w:rsidRPr="009B3D4C">
        <w:rPr>
          <w:rFonts w:cs="Tahoma"/>
          <w:szCs w:val="18"/>
        </w:rPr>
        <w:t>İthalatın yakından takip edilmesi amacıyla, İthalatta Gözetim Uygulanmasına İlişkin Mevzuat çerçevesinde 128 ürün/ürün grubu ithalatında gözetim uygulanmaktadır.</w:t>
      </w:r>
    </w:p>
    <w:p w:rsidR="00565FD5" w:rsidRPr="009B3D4C" w:rsidRDefault="00565FD5" w:rsidP="00565FD5">
      <w:pPr>
        <w:spacing w:after="240"/>
        <w:ind w:firstLine="425"/>
        <w:rPr>
          <w:rFonts w:cs="Tahoma"/>
          <w:szCs w:val="18"/>
        </w:rPr>
      </w:pPr>
      <w:r w:rsidRPr="009B3D4C">
        <w:rPr>
          <w:rFonts w:cs="Tahoma"/>
          <w:szCs w:val="18"/>
        </w:rPr>
        <w:t>Planlı sanayileşmenin ve düzenli kentleşmenin sağlanması, sanayinin çevresel etkilerinin azaltılması ve KOBİ’lere daha iyi üretim koşulları sağlanarak rekabet güçlerinin artırılması amacıyla Organize Sanayi Bölgelerinin (OSB) ve Küçük Sanayi Sitelerinin (KSS) yapımına devam edilmektedir. 2011 sonu itibarıyla tamamlanmış olan 147 OSB ve 445 KSS bulunmakta olup tamamlanan OSB’lerin doluluk oranları incelendiğinde, OSB parsellerinin yüzde 92’sinin tahsis edilmesine rağmen bu parsellerin sadece yüzde 70’inde üretime geçildiği görülmektedir. İl bazında bakıldığında ise gelişmiş iller dışındaki illerde OSB doluluk oranlarının düşük olduğu görülmektedir. Bu kapsamda OSB’lerin doluluk oranlarının artırılmasına ve buralarda verilecek etkin hizmet ve desteklere ihtiyaç devam etmektedir.</w:t>
      </w:r>
    </w:p>
    <w:p w:rsidR="00565FD5" w:rsidRPr="007B777A" w:rsidRDefault="00565FD5" w:rsidP="00565FD5">
      <w:pPr>
        <w:pStyle w:val="ResimYazs"/>
        <w:rPr>
          <w:rFonts w:cs="Tahoma"/>
        </w:rPr>
      </w:pPr>
      <w:bookmarkStart w:id="1953" w:name="_Toc212712804"/>
      <w:bookmarkStart w:id="1954" w:name="_Toc276076504"/>
      <w:bookmarkStart w:id="1955" w:name="_Toc275873962"/>
      <w:bookmarkStart w:id="1956" w:name="_Toc244255278"/>
      <w:bookmarkStart w:id="1957" w:name="_Toc213071712"/>
      <w:bookmarkStart w:id="1958" w:name="_Toc307601684"/>
      <w:bookmarkStart w:id="1959" w:name="_Toc307657907"/>
      <w:bookmarkStart w:id="1960" w:name="_Toc307702163"/>
      <w:bookmarkStart w:id="1961" w:name="_Toc338606028"/>
      <w:bookmarkStart w:id="1962" w:name="_Toc338711803"/>
      <w:r>
        <w:t xml:space="preserve">TABLO IV: </w:t>
      </w:r>
      <w:fldSimple w:instr=" SEQ TABLO_IV: \* ARABIC ">
        <w:r>
          <w:rPr>
            <w:noProof/>
          </w:rPr>
          <w:t>33</w:t>
        </w:r>
      </w:fldSimple>
      <w:bookmarkEnd w:id="1953"/>
      <w:r w:rsidRPr="007B777A">
        <w:rPr>
          <w:rFonts w:cs="Tahoma"/>
        </w:rPr>
        <w:t>- OSB ve KSS Proje ve Kredi Bilgileri</w:t>
      </w:r>
      <w:bookmarkEnd w:id="1954"/>
      <w:bookmarkEnd w:id="1955"/>
      <w:bookmarkEnd w:id="1956"/>
      <w:bookmarkEnd w:id="1957"/>
      <w:bookmarkEnd w:id="1958"/>
      <w:bookmarkEnd w:id="1959"/>
      <w:bookmarkEnd w:id="1960"/>
      <w:bookmarkEnd w:id="1961"/>
      <w:bookmarkEnd w:id="1962"/>
    </w:p>
    <w:tbl>
      <w:tblPr>
        <w:tblW w:w="491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799"/>
        <w:gridCol w:w="1111"/>
        <w:gridCol w:w="1342"/>
        <w:gridCol w:w="443"/>
        <w:gridCol w:w="1158"/>
        <w:gridCol w:w="1168"/>
        <w:gridCol w:w="1130"/>
      </w:tblGrid>
      <w:tr w:rsidR="00565FD5" w:rsidRPr="00AB66CA" w:rsidTr="00AB62A3">
        <w:trPr>
          <w:trHeight w:val="20"/>
        </w:trPr>
        <w:tc>
          <w:tcPr>
            <w:tcW w:w="558" w:type="pct"/>
            <w:tcBorders>
              <w:bottom w:val="nil"/>
              <w:right w:val="nil"/>
            </w:tcBorders>
            <w:noWrap/>
            <w:tcMar>
              <w:top w:w="0" w:type="dxa"/>
              <w:left w:w="70" w:type="dxa"/>
              <w:bottom w:w="0" w:type="dxa"/>
              <w:right w:w="70" w:type="dxa"/>
            </w:tcMar>
            <w:vAlign w:val="bottom"/>
          </w:tcPr>
          <w:p w:rsidR="00565FD5" w:rsidRPr="00AB66CA" w:rsidRDefault="00565FD5" w:rsidP="00AB62A3">
            <w:pPr>
              <w:spacing w:after="60"/>
              <w:rPr>
                <w:rFonts w:cs="Tahoma"/>
                <w:sz w:val="15"/>
                <w:szCs w:val="15"/>
              </w:rPr>
            </w:pPr>
          </w:p>
        </w:tc>
        <w:tc>
          <w:tcPr>
            <w:tcW w:w="1715" w:type="pct"/>
            <w:gridSpan w:val="2"/>
            <w:tcBorders>
              <w:left w:val="nil"/>
              <w:right w:val="nil"/>
            </w:tcBorders>
            <w:noWrap/>
            <w:tcMar>
              <w:top w:w="0" w:type="dxa"/>
              <w:left w:w="70" w:type="dxa"/>
              <w:bottom w:w="0" w:type="dxa"/>
              <w:right w:w="70" w:type="dxa"/>
            </w:tcMar>
            <w:vAlign w:val="bottom"/>
          </w:tcPr>
          <w:p w:rsidR="00565FD5" w:rsidRPr="00AB66CA" w:rsidRDefault="00565FD5" w:rsidP="00AB62A3">
            <w:pPr>
              <w:spacing w:after="60"/>
              <w:jc w:val="center"/>
              <w:rPr>
                <w:rFonts w:cs="Tahoma"/>
                <w:b/>
                <w:sz w:val="15"/>
                <w:szCs w:val="15"/>
              </w:rPr>
            </w:pPr>
            <w:r w:rsidRPr="00AB66CA">
              <w:rPr>
                <w:rFonts w:cs="Tahoma"/>
                <w:b/>
                <w:sz w:val="15"/>
                <w:szCs w:val="15"/>
              </w:rPr>
              <w:t>Organize Sanayi  Bölgeleri</w:t>
            </w:r>
          </w:p>
        </w:tc>
        <w:tc>
          <w:tcPr>
            <w:tcW w:w="310" w:type="pct"/>
            <w:tcBorders>
              <w:left w:val="nil"/>
              <w:bottom w:val="nil"/>
              <w:right w:val="nil"/>
            </w:tcBorders>
          </w:tcPr>
          <w:p w:rsidR="00565FD5" w:rsidRPr="00AB66CA" w:rsidRDefault="00565FD5" w:rsidP="00AB62A3">
            <w:pPr>
              <w:spacing w:after="60"/>
              <w:jc w:val="center"/>
              <w:rPr>
                <w:rFonts w:cs="Tahoma"/>
                <w:b/>
                <w:sz w:val="15"/>
                <w:szCs w:val="15"/>
              </w:rPr>
            </w:pPr>
          </w:p>
        </w:tc>
        <w:tc>
          <w:tcPr>
            <w:tcW w:w="2418" w:type="pct"/>
            <w:gridSpan w:val="3"/>
            <w:tcBorders>
              <w:left w:val="nil"/>
            </w:tcBorders>
            <w:tcMar>
              <w:top w:w="0" w:type="dxa"/>
              <w:left w:w="70" w:type="dxa"/>
              <w:bottom w:w="0" w:type="dxa"/>
              <w:right w:w="70" w:type="dxa"/>
            </w:tcMar>
            <w:vAlign w:val="bottom"/>
          </w:tcPr>
          <w:p w:rsidR="00565FD5" w:rsidRPr="00AB66CA" w:rsidRDefault="00565FD5" w:rsidP="00AB62A3">
            <w:pPr>
              <w:spacing w:after="60"/>
              <w:jc w:val="center"/>
              <w:rPr>
                <w:rFonts w:cs="Tahoma"/>
                <w:b/>
                <w:sz w:val="15"/>
                <w:szCs w:val="15"/>
              </w:rPr>
            </w:pPr>
            <w:r w:rsidRPr="00AB66CA">
              <w:rPr>
                <w:rFonts w:cs="Tahoma"/>
                <w:b/>
                <w:sz w:val="15"/>
                <w:szCs w:val="15"/>
              </w:rPr>
              <w:t>Küçük Sanayi Siteleri</w:t>
            </w:r>
          </w:p>
        </w:tc>
      </w:tr>
      <w:tr w:rsidR="00565FD5" w:rsidRPr="00AB66CA" w:rsidTr="00AB62A3">
        <w:trPr>
          <w:trHeight w:val="20"/>
        </w:trPr>
        <w:tc>
          <w:tcPr>
            <w:tcW w:w="558" w:type="pct"/>
            <w:vMerge w:val="restart"/>
            <w:tcBorders>
              <w:top w:val="nil"/>
              <w:right w:val="nil"/>
            </w:tcBorders>
            <w:noWrap/>
          </w:tcPr>
          <w:p w:rsidR="00565FD5" w:rsidRPr="00AB66CA" w:rsidRDefault="00565FD5" w:rsidP="00AB62A3">
            <w:pPr>
              <w:spacing w:after="60"/>
              <w:rPr>
                <w:rFonts w:cs="Tahoma"/>
                <w:b/>
                <w:sz w:val="15"/>
                <w:szCs w:val="15"/>
              </w:rPr>
            </w:pPr>
            <w:r w:rsidRPr="00AB66CA">
              <w:rPr>
                <w:rFonts w:cs="Tahoma"/>
                <w:b/>
                <w:sz w:val="15"/>
                <w:szCs w:val="15"/>
              </w:rPr>
              <w:t>Yıllar</w:t>
            </w:r>
          </w:p>
        </w:tc>
        <w:tc>
          <w:tcPr>
            <w:tcW w:w="777" w:type="pct"/>
            <w:vMerge w:val="restart"/>
            <w:tcBorders>
              <w:left w:val="nil"/>
              <w:right w:val="nil"/>
            </w:tcBorders>
          </w:tcPr>
          <w:p w:rsidR="00565FD5" w:rsidRPr="00AB66CA" w:rsidRDefault="00565FD5" w:rsidP="00AB62A3">
            <w:pPr>
              <w:spacing w:after="60"/>
              <w:jc w:val="center"/>
              <w:rPr>
                <w:rFonts w:cs="Tahoma"/>
                <w:b/>
                <w:sz w:val="15"/>
                <w:szCs w:val="15"/>
              </w:rPr>
            </w:pPr>
            <w:r w:rsidRPr="00AB66CA">
              <w:rPr>
                <w:rFonts w:cs="Tahoma"/>
                <w:b/>
                <w:sz w:val="15"/>
                <w:szCs w:val="15"/>
              </w:rPr>
              <w:t>Kullandırılan Kredi Miktarı(1) (Milyon TL)</w:t>
            </w:r>
          </w:p>
        </w:tc>
        <w:tc>
          <w:tcPr>
            <w:tcW w:w="938" w:type="pct"/>
            <w:vMerge w:val="restart"/>
            <w:tcBorders>
              <w:left w:val="nil"/>
              <w:right w:val="nil"/>
            </w:tcBorders>
          </w:tcPr>
          <w:p w:rsidR="00565FD5" w:rsidRPr="00AB66CA" w:rsidRDefault="00565FD5" w:rsidP="00AB62A3">
            <w:pPr>
              <w:spacing w:after="60"/>
              <w:jc w:val="center"/>
              <w:rPr>
                <w:rFonts w:cs="Tahoma"/>
                <w:b/>
                <w:sz w:val="15"/>
                <w:szCs w:val="15"/>
              </w:rPr>
            </w:pPr>
            <w:r w:rsidRPr="00AB66CA">
              <w:rPr>
                <w:rFonts w:cs="Tahoma"/>
                <w:b/>
                <w:sz w:val="15"/>
                <w:szCs w:val="15"/>
              </w:rPr>
              <w:t>Faaliyete Geçen OSB Sayısı</w:t>
            </w:r>
          </w:p>
        </w:tc>
        <w:tc>
          <w:tcPr>
            <w:tcW w:w="310" w:type="pct"/>
            <w:tcBorders>
              <w:top w:val="nil"/>
              <w:left w:val="nil"/>
              <w:bottom w:val="nil"/>
              <w:right w:val="nil"/>
            </w:tcBorders>
          </w:tcPr>
          <w:p w:rsidR="00565FD5" w:rsidRPr="00AB66CA" w:rsidRDefault="00565FD5" w:rsidP="00AB62A3">
            <w:pPr>
              <w:spacing w:after="60"/>
              <w:jc w:val="center"/>
              <w:rPr>
                <w:rFonts w:cs="Tahoma"/>
                <w:b/>
                <w:sz w:val="15"/>
                <w:szCs w:val="15"/>
              </w:rPr>
            </w:pPr>
          </w:p>
        </w:tc>
        <w:tc>
          <w:tcPr>
            <w:tcW w:w="810" w:type="pct"/>
            <w:vMerge w:val="restart"/>
            <w:tcBorders>
              <w:left w:val="nil"/>
              <w:right w:val="nil"/>
            </w:tcBorders>
            <w:tcMar>
              <w:top w:w="0" w:type="dxa"/>
              <w:left w:w="70" w:type="dxa"/>
              <w:bottom w:w="0" w:type="dxa"/>
              <w:right w:w="70" w:type="dxa"/>
            </w:tcMar>
          </w:tcPr>
          <w:p w:rsidR="00565FD5" w:rsidRPr="00AB66CA" w:rsidRDefault="00565FD5" w:rsidP="00AB62A3">
            <w:pPr>
              <w:spacing w:after="60"/>
              <w:jc w:val="center"/>
              <w:rPr>
                <w:rFonts w:cs="Tahoma"/>
                <w:b/>
                <w:sz w:val="15"/>
                <w:szCs w:val="15"/>
              </w:rPr>
            </w:pPr>
            <w:r w:rsidRPr="00AB66CA">
              <w:rPr>
                <w:rFonts w:cs="Tahoma"/>
                <w:b/>
                <w:sz w:val="15"/>
                <w:szCs w:val="15"/>
              </w:rPr>
              <w:t>Kullandırılan Kredi Miktarı(1) (Milyon TL)</w:t>
            </w:r>
          </w:p>
        </w:tc>
        <w:tc>
          <w:tcPr>
            <w:tcW w:w="817" w:type="pct"/>
            <w:vMerge w:val="restart"/>
            <w:tcBorders>
              <w:left w:val="nil"/>
              <w:right w:val="nil"/>
            </w:tcBorders>
            <w:tcMar>
              <w:top w:w="0" w:type="dxa"/>
              <w:left w:w="70" w:type="dxa"/>
              <w:bottom w:w="0" w:type="dxa"/>
              <w:right w:w="70" w:type="dxa"/>
            </w:tcMar>
          </w:tcPr>
          <w:p w:rsidR="00565FD5" w:rsidRPr="00AB66CA" w:rsidRDefault="00565FD5" w:rsidP="00AB62A3">
            <w:pPr>
              <w:spacing w:after="60"/>
              <w:jc w:val="center"/>
              <w:rPr>
                <w:rFonts w:cs="Tahoma"/>
                <w:b/>
                <w:sz w:val="15"/>
                <w:szCs w:val="15"/>
              </w:rPr>
            </w:pPr>
            <w:r w:rsidRPr="00AB66CA">
              <w:rPr>
                <w:rFonts w:cs="Tahoma"/>
                <w:b/>
                <w:sz w:val="15"/>
                <w:szCs w:val="15"/>
              </w:rPr>
              <w:t>Faaliyete Geçen KSS Sayısı</w:t>
            </w:r>
          </w:p>
        </w:tc>
        <w:tc>
          <w:tcPr>
            <w:tcW w:w="791" w:type="pct"/>
            <w:vMerge w:val="restart"/>
            <w:tcBorders>
              <w:left w:val="nil"/>
            </w:tcBorders>
            <w:tcMar>
              <w:top w:w="0" w:type="dxa"/>
              <w:left w:w="70" w:type="dxa"/>
              <w:bottom w:w="0" w:type="dxa"/>
              <w:right w:w="70" w:type="dxa"/>
            </w:tcMar>
          </w:tcPr>
          <w:p w:rsidR="00565FD5" w:rsidRPr="00AB66CA" w:rsidRDefault="00565FD5" w:rsidP="00AB62A3">
            <w:pPr>
              <w:spacing w:after="60"/>
              <w:jc w:val="center"/>
              <w:rPr>
                <w:rFonts w:cs="Tahoma"/>
                <w:b/>
                <w:sz w:val="15"/>
                <w:szCs w:val="15"/>
              </w:rPr>
            </w:pPr>
            <w:r w:rsidRPr="00AB66CA">
              <w:rPr>
                <w:rFonts w:cs="Tahoma"/>
                <w:b/>
                <w:sz w:val="15"/>
                <w:szCs w:val="15"/>
              </w:rPr>
              <w:t>Faaliyete Geçen İşyeri Sayısı</w:t>
            </w:r>
          </w:p>
        </w:tc>
      </w:tr>
      <w:tr w:rsidR="00565FD5" w:rsidRPr="00AB66CA" w:rsidTr="00AB62A3">
        <w:trPr>
          <w:trHeight w:val="20"/>
        </w:trPr>
        <w:tc>
          <w:tcPr>
            <w:tcW w:w="558" w:type="pct"/>
            <w:vMerge/>
            <w:tcBorders>
              <w:right w:val="nil"/>
            </w:tcBorders>
            <w:vAlign w:val="center"/>
          </w:tcPr>
          <w:p w:rsidR="00565FD5" w:rsidRPr="00AB66CA" w:rsidRDefault="00565FD5" w:rsidP="00AB62A3">
            <w:pPr>
              <w:spacing w:after="60"/>
              <w:rPr>
                <w:rFonts w:cs="Tahoma"/>
                <w:sz w:val="15"/>
                <w:szCs w:val="15"/>
              </w:rPr>
            </w:pPr>
          </w:p>
        </w:tc>
        <w:tc>
          <w:tcPr>
            <w:tcW w:w="777" w:type="pct"/>
            <w:vMerge/>
            <w:tcBorders>
              <w:left w:val="nil"/>
              <w:right w:val="nil"/>
            </w:tcBorders>
            <w:vAlign w:val="center"/>
          </w:tcPr>
          <w:p w:rsidR="00565FD5" w:rsidRPr="00AB66CA" w:rsidRDefault="00565FD5" w:rsidP="00AB62A3">
            <w:pPr>
              <w:spacing w:after="60"/>
              <w:rPr>
                <w:rFonts w:cs="Tahoma"/>
                <w:sz w:val="15"/>
                <w:szCs w:val="15"/>
              </w:rPr>
            </w:pPr>
          </w:p>
        </w:tc>
        <w:tc>
          <w:tcPr>
            <w:tcW w:w="938" w:type="pct"/>
            <w:vMerge/>
            <w:tcBorders>
              <w:left w:val="nil"/>
              <w:right w:val="nil"/>
            </w:tcBorders>
            <w:vAlign w:val="center"/>
          </w:tcPr>
          <w:p w:rsidR="00565FD5" w:rsidRPr="00AB66CA" w:rsidRDefault="00565FD5" w:rsidP="00AB62A3">
            <w:pPr>
              <w:spacing w:after="60"/>
              <w:rPr>
                <w:rFonts w:cs="Tahoma"/>
                <w:sz w:val="15"/>
                <w:szCs w:val="15"/>
              </w:rPr>
            </w:pPr>
          </w:p>
        </w:tc>
        <w:tc>
          <w:tcPr>
            <w:tcW w:w="310" w:type="pct"/>
            <w:tcBorders>
              <w:top w:val="nil"/>
              <w:left w:val="nil"/>
              <w:right w:val="nil"/>
            </w:tcBorders>
          </w:tcPr>
          <w:p w:rsidR="00565FD5" w:rsidRPr="00AB66CA" w:rsidRDefault="00565FD5" w:rsidP="00AB62A3">
            <w:pPr>
              <w:spacing w:after="60"/>
              <w:rPr>
                <w:rFonts w:cs="Tahoma"/>
                <w:sz w:val="15"/>
                <w:szCs w:val="15"/>
              </w:rPr>
            </w:pPr>
          </w:p>
        </w:tc>
        <w:tc>
          <w:tcPr>
            <w:tcW w:w="810" w:type="pct"/>
            <w:vMerge/>
            <w:tcBorders>
              <w:top w:val="nil"/>
              <w:left w:val="nil"/>
              <w:right w:val="nil"/>
            </w:tcBorders>
            <w:vAlign w:val="center"/>
          </w:tcPr>
          <w:p w:rsidR="00565FD5" w:rsidRPr="00AB66CA" w:rsidRDefault="00565FD5" w:rsidP="00AB62A3">
            <w:pPr>
              <w:spacing w:after="60"/>
              <w:rPr>
                <w:rFonts w:cs="Tahoma"/>
                <w:sz w:val="15"/>
                <w:szCs w:val="15"/>
              </w:rPr>
            </w:pPr>
          </w:p>
        </w:tc>
        <w:tc>
          <w:tcPr>
            <w:tcW w:w="817" w:type="pct"/>
            <w:vMerge/>
            <w:tcBorders>
              <w:top w:val="nil"/>
              <w:left w:val="nil"/>
              <w:right w:val="nil"/>
            </w:tcBorders>
            <w:vAlign w:val="center"/>
          </w:tcPr>
          <w:p w:rsidR="00565FD5" w:rsidRPr="00AB66CA" w:rsidRDefault="00565FD5" w:rsidP="00AB62A3">
            <w:pPr>
              <w:spacing w:after="60"/>
              <w:rPr>
                <w:rFonts w:cs="Tahoma"/>
                <w:sz w:val="15"/>
                <w:szCs w:val="15"/>
              </w:rPr>
            </w:pPr>
          </w:p>
        </w:tc>
        <w:tc>
          <w:tcPr>
            <w:tcW w:w="791" w:type="pct"/>
            <w:vMerge/>
            <w:tcBorders>
              <w:top w:val="nil"/>
              <w:left w:val="nil"/>
            </w:tcBorders>
            <w:vAlign w:val="center"/>
          </w:tcPr>
          <w:p w:rsidR="00565FD5" w:rsidRPr="00AB66CA" w:rsidRDefault="00565FD5" w:rsidP="00AB62A3">
            <w:pPr>
              <w:spacing w:after="60"/>
              <w:rPr>
                <w:rFonts w:cs="Tahoma"/>
                <w:sz w:val="15"/>
                <w:szCs w:val="15"/>
              </w:rPr>
            </w:pPr>
          </w:p>
        </w:tc>
      </w:tr>
      <w:tr w:rsidR="00565FD5" w:rsidRPr="00AB66CA" w:rsidTr="00AB62A3">
        <w:trPr>
          <w:trHeight w:val="113"/>
        </w:trPr>
        <w:tc>
          <w:tcPr>
            <w:tcW w:w="558" w:type="pct"/>
            <w:tcBorders>
              <w:bottom w:val="nil"/>
              <w:right w:val="nil"/>
            </w:tcBorders>
            <w:noWrap/>
            <w:vAlign w:val="bottom"/>
          </w:tcPr>
          <w:p w:rsidR="00565FD5" w:rsidRPr="00AB66CA" w:rsidRDefault="00565FD5" w:rsidP="00AB62A3">
            <w:pPr>
              <w:rPr>
                <w:rFonts w:cs="Tahoma"/>
                <w:b/>
                <w:sz w:val="15"/>
                <w:szCs w:val="15"/>
              </w:rPr>
            </w:pPr>
            <w:r w:rsidRPr="00AB66CA">
              <w:rPr>
                <w:rFonts w:cs="Tahoma"/>
                <w:b/>
                <w:sz w:val="15"/>
                <w:szCs w:val="15"/>
              </w:rPr>
              <w:t>2003</w:t>
            </w:r>
          </w:p>
        </w:tc>
        <w:tc>
          <w:tcPr>
            <w:tcW w:w="777" w:type="pct"/>
            <w:tcBorders>
              <w:left w:val="nil"/>
              <w:bottom w:val="nil"/>
              <w:right w:val="nil"/>
            </w:tcBorders>
            <w:vAlign w:val="bottom"/>
          </w:tcPr>
          <w:p w:rsidR="00565FD5" w:rsidRPr="00AB66CA" w:rsidRDefault="00565FD5" w:rsidP="00AB62A3">
            <w:pPr>
              <w:jc w:val="center"/>
              <w:rPr>
                <w:rFonts w:cs="Tahoma"/>
                <w:sz w:val="15"/>
                <w:szCs w:val="15"/>
              </w:rPr>
            </w:pPr>
            <w:r w:rsidRPr="00AB66CA">
              <w:rPr>
                <w:rFonts w:cs="Tahoma"/>
                <w:sz w:val="15"/>
                <w:szCs w:val="15"/>
              </w:rPr>
              <w:t>71</w:t>
            </w:r>
          </w:p>
        </w:tc>
        <w:tc>
          <w:tcPr>
            <w:tcW w:w="938" w:type="pct"/>
            <w:tcBorders>
              <w:left w:val="nil"/>
              <w:bottom w:val="nil"/>
              <w:right w:val="nil"/>
            </w:tcBorders>
            <w:noWrap/>
            <w:vAlign w:val="bottom"/>
          </w:tcPr>
          <w:p w:rsidR="00565FD5" w:rsidRPr="00AB66CA" w:rsidRDefault="00565FD5" w:rsidP="00AB62A3">
            <w:pPr>
              <w:jc w:val="center"/>
              <w:rPr>
                <w:rFonts w:cs="Tahoma"/>
                <w:sz w:val="15"/>
                <w:szCs w:val="15"/>
              </w:rPr>
            </w:pPr>
            <w:r w:rsidRPr="00AB66CA">
              <w:rPr>
                <w:rFonts w:cs="Tahoma"/>
                <w:sz w:val="15"/>
                <w:szCs w:val="15"/>
              </w:rPr>
              <w:t>7</w:t>
            </w:r>
          </w:p>
        </w:tc>
        <w:tc>
          <w:tcPr>
            <w:tcW w:w="310" w:type="pct"/>
            <w:tcBorders>
              <w:left w:val="nil"/>
              <w:bottom w:val="nil"/>
              <w:right w:val="nil"/>
            </w:tcBorders>
          </w:tcPr>
          <w:p w:rsidR="00565FD5" w:rsidRPr="00AB66CA" w:rsidRDefault="00565FD5" w:rsidP="00AB62A3">
            <w:pPr>
              <w:rPr>
                <w:rFonts w:cs="Tahoma"/>
                <w:sz w:val="15"/>
                <w:szCs w:val="15"/>
              </w:rPr>
            </w:pPr>
          </w:p>
        </w:tc>
        <w:tc>
          <w:tcPr>
            <w:tcW w:w="810" w:type="pct"/>
            <w:tcBorders>
              <w:left w:val="nil"/>
              <w:bottom w:val="nil"/>
              <w:right w:val="nil"/>
            </w:tcBorders>
            <w:tcMar>
              <w:top w:w="0" w:type="dxa"/>
              <w:left w:w="70" w:type="dxa"/>
              <w:bottom w:w="0" w:type="dxa"/>
              <w:right w:w="70" w:type="dxa"/>
            </w:tcMar>
            <w:vAlign w:val="bottom"/>
          </w:tcPr>
          <w:p w:rsidR="00565FD5" w:rsidRPr="00AB66CA" w:rsidRDefault="00565FD5" w:rsidP="00AB62A3">
            <w:pPr>
              <w:jc w:val="center"/>
              <w:rPr>
                <w:rFonts w:cs="Tahoma"/>
                <w:sz w:val="15"/>
                <w:szCs w:val="15"/>
              </w:rPr>
            </w:pPr>
            <w:r w:rsidRPr="00AB66CA">
              <w:rPr>
                <w:rFonts w:cs="Tahoma"/>
                <w:sz w:val="15"/>
                <w:szCs w:val="15"/>
              </w:rPr>
              <w:t>47</w:t>
            </w:r>
          </w:p>
        </w:tc>
        <w:tc>
          <w:tcPr>
            <w:tcW w:w="817" w:type="pct"/>
            <w:tcBorders>
              <w:left w:val="nil"/>
              <w:bottom w:val="nil"/>
              <w:right w:val="nil"/>
            </w:tcBorders>
            <w:noWrap/>
            <w:tcMar>
              <w:top w:w="0" w:type="dxa"/>
              <w:left w:w="70" w:type="dxa"/>
              <w:bottom w:w="0" w:type="dxa"/>
              <w:right w:w="70" w:type="dxa"/>
            </w:tcMar>
            <w:vAlign w:val="bottom"/>
          </w:tcPr>
          <w:p w:rsidR="00565FD5" w:rsidRPr="00AB66CA" w:rsidRDefault="00565FD5" w:rsidP="00AB62A3">
            <w:pPr>
              <w:jc w:val="center"/>
              <w:rPr>
                <w:rFonts w:cs="Tahoma"/>
                <w:sz w:val="15"/>
                <w:szCs w:val="15"/>
              </w:rPr>
            </w:pPr>
            <w:r w:rsidRPr="00AB66CA">
              <w:rPr>
                <w:rFonts w:cs="Tahoma"/>
                <w:sz w:val="15"/>
                <w:szCs w:val="15"/>
              </w:rPr>
              <w:t>14</w:t>
            </w:r>
          </w:p>
        </w:tc>
        <w:tc>
          <w:tcPr>
            <w:tcW w:w="791" w:type="pct"/>
            <w:tcBorders>
              <w:left w:val="nil"/>
              <w:bottom w:val="nil"/>
            </w:tcBorders>
            <w:noWrap/>
            <w:tcMar>
              <w:top w:w="0" w:type="dxa"/>
              <w:left w:w="70" w:type="dxa"/>
              <w:bottom w:w="0" w:type="dxa"/>
              <w:right w:w="70" w:type="dxa"/>
            </w:tcMar>
            <w:vAlign w:val="bottom"/>
          </w:tcPr>
          <w:p w:rsidR="00565FD5" w:rsidRPr="00AB66CA" w:rsidRDefault="00565FD5" w:rsidP="00AB62A3">
            <w:pPr>
              <w:ind w:right="170"/>
              <w:jc w:val="right"/>
              <w:rPr>
                <w:rFonts w:cs="Tahoma"/>
                <w:sz w:val="15"/>
                <w:szCs w:val="15"/>
              </w:rPr>
            </w:pPr>
            <w:r w:rsidRPr="00AB66CA">
              <w:rPr>
                <w:rFonts w:cs="Tahoma"/>
                <w:sz w:val="15"/>
                <w:szCs w:val="15"/>
              </w:rPr>
              <w:t>1 516</w:t>
            </w:r>
          </w:p>
        </w:tc>
      </w:tr>
      <w:tr w:rsidR="00565FD5" w:rsidRPr="00AB66CA" w:rsidTr="00AB62A3">
        <w:trPr>
          <w:trHeight w:val="113"/>
        </w:trPr>
        <w:tc>
          <w:tcPr>
            <w:tcW w:w="558" w:type="pct"/>
            <w:tcBorders>
              <w:top w:val="nil"/>
              <w:bottom w:val="nil"/>
              <w:right w:val="nil"/>
            </w:tcBorders>
            <w:noWrap/>
            <w:vAlign w:val="bottom"/>
          </w:tcPr>
          <w:p w:rsidR="00565FD5" w:rsidRPr="00AB66CA" w:rsidRDefault="00565FD5" w:rsidP="00AB62A3">
            <w:pPr>
              <w:rPr>
                <w:rFonts w:cs="Tahoma"/>
                <w:b/>
                <w:sz w:val="15"/>
                <w:szCs w:val="15"/>
              </w:rPr>
            </w:pPr>
            <w:r w:rsidRPr="00AB66CA">
              <w:rPr>
                <w:rFonts w:cs="Tahoma"/>
                <w:b/>
                <w:sz w:val="15"/>
                <w:szCs w:val="15"/>
              </w:rPr>
              <w:t>2004</w:t>
            </w:r>
          </w:p>
        </w:tc>
        <w:tc>
          <w:tcPr>
            <w:tcW w:w="777" w:type="pct"/>
            <w:tcBorders>
              <w:top w:val="nil"/>
              <w:left w:val="nil"/>
              <w:bottom w:val="nil"/>
              <w:right w:val="nil"/>
            </w:tcBorders>
            <w:vAlign w:val="bottom"/>
          </w:tcPr>
          <w:p w:rsidR="00565FD5" w:rsidRPr="00AB66CA" w:rsidRDefault="00565FD5" w:rsidP="00AB62A3">
            <w:pPr>
              <w:jc w:val="center"/>
              <w:rPr>
                <w:rFonts w:cs="Tahoma"/>
                <w:sz w:val="15"/>
                <w:szCs w:val="15"/>
              </w:rPr>
            </w:pPr>
            <w:r w:rsidRPr="00AB66CA">
              <w:rPr>
                <w:rFonts w:cs="Tahoma"/>
                <w:sz w:val="15"/>
                <w:szCs w:val="15"/>
              </w:rPr>
              <w:t>73</w:t>
            </w:r>
          </w:p>
        </w:tc>
        <w:tc>
          <w:tcPr>
            <w:tcW w:w="938" w:type="pct"/>
            <w:tcBorders>
              <w:top w:val="nil"/>
              <w:left w:val="nil"/>
              <w:bottom w:val="nil"/>
              <w:right w:val="nil"/>
            </w:tcBorders>
            <w:noWrap/>
            <w:vAlign w:val="bottom"/>
          </w:tcPr>
          <w:p w:rsidR="00565FD5" w:rsidRPr="00AB66CA" w:rsidRDefault="00565FD5" w:rsidP="00AB62A3">
            <w:pPr>
              <w:jc w:val="center"/>
              <w:rPr>
                <w:rFonts w:cs="Tahoma"/>
                <w:sz w:val="15"/>
                <w:szCs w:val="15"/>
              </w:rPr>
            </w:pPr>
            <w:r w:rsidRPr="00AB66CA">
              <w:rPr>
                <w:rFonts w:cs="Tahoma"/>
                <w:sz w:val="15"/>
                <w:szCs w:val="15"/>
              </w:rPr>
              <w:t>5</w:t>
            </w:r>
          </w:p>
        </w:tc>
        <w:tc>
          <w:tcPr>
            <w:tcW w:w="310" w:type="pct"/>
            <w:tcBorders>
              <w:top w:val="nil"/>
              <w:left w:val="nil"/>
              <w:bottom w:val="nil"/>
              <w:right w:val="nil"/>
            </w:tcBorders>
          </w:tcPr>
          <w:p w:rsidR="00565FD5" w:rsidRPr="00AB66CA" w:rsidRDefault="00565FD5" w:rsidP="00AB62A3">
            <w:pPr>
              <w:rPr>
                <w:rFonts w:cs="Tahoma"/>
                <w:sz w:val="15"/>
                <w:szCs w:val="15"/>
              </w:rPr>
            </w:pPr>
          </w:p>
        </w:tc>
        <w:tc>
          <w:tcPr>
            <w:tcW w:w="810" w:type="pct"/>
            <w:tcBorders>
              <w:top w:val="nil"/>
              <w:left w:val="nil"/>
              <w:bottom w:val="nil"/>
              <w:right w:val="nil"/>
            </w:tcBorders>
            <w:tcMar>
              <w:top w:w="0" w:type="dxa"/>
              <w:left w:w="70" w:type="dxa"/>
              <w:bottom w:w="0" w:type="dxa"/>
              <w:right w:w="70" w:type="dxa"/>
            </w:tcMar>
            <w:vAlign w:val="bottom"/>
          </w:tcPr>
          <w:p w:rsidR="00565FD5" w:rsidRPr="00AB66CA" w:rsidRDefault="00565FD5" w:rsidP="00AB62A3">
            <w:pPr>
              <w:jc w:val="center"/>
              <w:rPr>
                <w:rFonts w:cs="Tahoma"/>
                <w:sz w:val="15"/>
                <w:szCs w:val="15"/>
              </w:rPr>
            </w:pPr>
            <w:r w:rsidRPr="00AB66CA">
              <w:rPr>
                <w:rFonts w:cs="Tahoma"/>
                <w:sz w:val="15"/>
                <w:szCs w:val="15"/>
              </w:rPr>
              <w:t>45</w:t>
            </w:r>
          </w:p>
        </w:tc>
        <w:tc>
          <w:tcPr>
            <w:tcW w:w="817" w:type="pct"/>
            <w:tcBorders>
              <w:top w:val="nil"/>
              <w:left w:val="nil"/>
              <w:bottom w:val="nil"/>
              <w:right w:val="nil"/>
            </w:tcBorders>
            <w:noWrap/>
            <w:tcMar>
              <w:top w:w="0" w:type="dxa"/>
              <w:left w:w="70" w:type="dxa"/>
              <w:bottom w:w="0" w:type="dxa"/>
              <w:right w:w="70" w:type="dxa"/>
            </w:tcMar>
            <w:vAlign w:val="bottom"/>
          </w:tcPr>
          <w:p w:rsidR="00565FD5" w:rsidRPr="00AB66CA" w:rsidRDefault="00565FD5" w:rsidP="00AB62A3">
            <w:pPr>
              <w:jc w:val="center"/>
              <w:rPr>
                <w:rFonts w:cs="Tahoma"/>
                <w:sz w:val="15"/>
                <w:szCs w:val="15"/>
              </w:rPr>
            </w:pPr>
            <w:r w:rsidRPr="00AB66CA">
              <w:rPr>
                <w:rFonts w:cs="Tahoma"/>
                <w:sz w:val="15"/>
                <w:szCs w:val="15"/>
              </w:rPr>
              <w:t>14</w:t>
            </w:r>
          </w:p>
        </w:tc>
        <w:tc>
          <w:tcPr>
            <w:tcW w:w="791" w:type="pct"/>
            <w:tcBorders>
              <w:top w:val="nil"/>
              <w:left w:val="nil"/>
              <w:bottom w:val="nil"/>
            </w:tcBorders>
            <w:noWrap/>
            <w:tcMar>
              <w:top w:w="0" w:type="dxa"/>
              <w:left w:w="70" w:type="dxa"/>
              <w:bottom w:w="0" w:type="dxa"/>
              <w:right w:w="70" w:type="dxa"/>
            </w:tcMar>
            <w:vAlign w:val="bottom"/>
          </w:tcPr>
          <w:p w:rsidR="00565FD5" w:rsidRPr="00AB66CA" w:rsidRDefault="00565FD5" w:rsidP="00AB62A3">
            <w:pPr>
              <w:ind w:right="170"/>
              <w:jc w:val="right"/>
              <w:rPr>
                <w:rFonts w:cs="Tahoma"/>
                <w:sz w:val="15"/>
                <w:szCs w:val="15"/>
              </w:rPr>
            </w:pPr>
            <w:r w:rsidRPr="00AB66CA">
              <w:rPr>
                <w:rFonts w:cs="Tahoma"/>
                <w:sz w:val="15"/>
                <w:szCs w:val="15"/>
              </w:rPr>
              <w:t>2 353</w:t>
            </w:r>
          </w:p>
        </w:tc>
      </w:tr>
      <w:tr w:rsidR="00565FD5" w:rsidRPr="00AB66CA" w:rsidTr="00AB62A3">
        <w:trPr>
          <w:trHeight w:val="113"/>
        </w:trPr>
        <w:tc>
          <w:tcPr>
            <w:tcW w:w="558" w:type="pct"/>
            <w:tcBorders>
              <w:top w:val="nil"/>
              <w:bottom w:val="nil"/>
              <w:right w:val="nil"/>
            </w:tcBorders>
            <w:noWrap/>
            <w:vAlign w:val="bottom"/>
          </w:tcPr>
          <w:p w:rsidR="00565FD5" w:rsidRPr="00AB66CA" w:rsidRDefault="00565FD5" w:rsidP="00AB62A3">
            <w:pPr>
              <w:rPr>
                <w:rFonts w:cs="Tahoma"/>
                <w:b/>
                <w:sz w:val="15"/>
                <w:szCs w:val="15"/>
              </w:rPr>
            </w:pPr>
            <w:r w:rsidRPr="00AB66CA">
              <w:rPr>
                <w:rFonts w:cs="Tahoma"/>
                <w:b/>
                <w:sz w:val="15"/>
                <w:szCs w:val="15"/>
              </w:rPr>
              <w:lastRenderedPageBreak/>
              <w:t>2005</w:t>
            </w:r>
          </w:p>
        </w:tc>
        <w:tc>
          <w:tcPr>
            <w:tcW w:w="777" w:type="pct"/>
            <w:tcBorders>
              <w:top w:val="nil"/>
              <w:left w:val="nil"/>
              <w:bottom w:val="nil"/>
              <w:right w:val="nil"/>
            </w:tcBorders>
            <w:vAlign w:val="bottom"/>
          </w:tcPr>
          <w:p w:rsidR="00565FD5" w:rsidRPr="00AB66CA" w:rsidRDefault="00565FD5" w:rsidP="00AB62A3">
            <w:pPr>
              <w:jc w:val="center"/>
              <w:rPr>
                <w:rFonts w:cs="Tahoma"/>
                <w:sz w:val="15"/>
                <w:szCs w:val="15"/>
              </w:rPr>
            </w:pPr>
            <w:r w:rsidRPr="00AB66CA">
              <w:rPr>
                <w:rFonts w:cs="Tahoma"/>
                <w:sz w:val="15"/>
                <w:szCs w:val="15"/>
              </w:rPr>
              <w:t>122</w:t>
            </w:r>
          </w:p>
        </w:tc>
        <w:tc>
          <w:tcPr>
            <w:tcW w:w="938" w:type="pct"/>
            <w:tcBorders>
              <w:top w:val="nil"/>
              <w:left w:val="nil"/>
              <w:bottom w:val="nil"/>
              <w:right w:val="nil"/>
            </w:tcBorders>
            <w:noWrap/>
            <w:vAlign w:val="bottom"/>
          </w:tcPr>
          <w:p w:rsidR="00565FD5" w:rsidRPr="00AB66CA" w:rsidRDefault="00565FD5" w:rsidP="00AB62A3">
            <w:pPr>
              <w:jc w:val="center"/>
              <w:rPr>
                <w:rFonts w:cs="Tahoma"/>
                <w:sz w:val="15"/>
                <w:szCs w:val="15"/>
              </w:rPr>
            </w:pPr>
            <w:r w:rsidRPr="00AB66CA">
              <w:rPr>
                <w:rFonts w:cs="Tahoma"/>
                <w:sz w:val="15"/>
                <w:szCs w:val="15"/>
              </w:rPr>
              <w:t>10</w:t>
            </w:r>
          </w:p>
        </w:tc>
        <w:tc>
          <w:tcPr>
            <w:tcW w:w="310" w:type="pct"/>
            <w:tcBorders>
              <w:top w:val="nil"/>
              <w:left w:val="nil"/>
              <w:bottom w:val="nil"/>
              <w:right w:val="nil"/>
            </w:tcBorders>
          </w:tcPr>
          <w:p w:rsidR="00565FD5" w:rsidRPr="00AB66CA" w:rsidRDefault="00565FD5" w:rsidP="00AB62A3">
            <w:pPr>
              <w:rPr>
                <w:rFonts w:cs="Tahoma"/>
                <w:sz w:val="15"/>
                <w:szCs w:val="15"/>
              </w:rPr>
            </w:pPr>
          </w:p>
        </w:tc>
        <w:tc>
          <w:tcPr>
            <w:tcW w:w="810" w:type="pct"/>
            <w:tcBorders>
              <w:top w:val="nil"/>
              <w:left w:val="nil"/>
              <w:bottom w:val="nil"/>
              <w:right w:val="nil"/>
            </w:tcBorders>
            <w:tcMar>
              <w:top w:w="0" w:type="dxa"/>
              <w:left w:w="70" w:type="dxa"/>
              <w:bottom w:w="0" w:type="dxa"/>
              <w:right w:w="70" w:type="dxa"/>
            </w:tcMar>
            <w:vAlign w:val="bottom"/>
          </w:tcPr>
          <w:p w:rsidR="00565FD5" w:rsidRPr="00AB66CA" w:rsidRDefault="00565FD5" w:rsidP="00AB62A3">
            <w:pPr>
              <w:jc w:val="center"/>
              <w:rPr>
                <w:rFonts w:cs="Tahoma"/>
                <w:sz w:val="15"/>
                <w:szCs w:val="15"/>
              </w:rPr>
            </w:pPr>
            <w:r w:rsidRPr="00AB66CA">
              <w:rPr>
                <w:rFonts w:cs="Tahoma"/>
                <w:sz w:val="15"/>
                <w:szCs w:val="15"/>
              </w:rPr>
              <w:t>66</w:t>
            </w:r>
          </w:p>
        </w:tc>
        <w:tc>
          <w:tcPr>
            <w:tcW w:w="817" w:type="pct"/>
            <w:tcBorders>
              <w:top w:val="nil"/>
              <w:left w:val="nil"/>
              <w:bottom w:val="nil"/>
              <w:right w:val="nil"/>
            </w:tcBorders>
            <w:noWrap/>
            <w:tcMar>
              <w:top w:w="0" w:type="dxa"/>
              <w:left w:w="70" w:type="dxa"/>
              <w:bottom w:w="0" w:type="dxa"/>
              <w:right w:w="70" w:type="dxa"/>
            </w:tcMar>
            <w:vAlign w:val="bottom"/>
          </w:tcPr>
          <w:p w:rsidR="00565FD5" w:rsidRPr="00AB66CA" w:rsidRDefault="00565FD5" w:rsidP="00AB62A3">
            <w:pPr>
              <w:jc w:val="center"/>
              <w:rPr>
                <w:rFonts w:cs="Tahoma"/>
                <w:sz w:val="15"/>
                <w:szCs w:val="15"/>
              </w:rPr>
            </w:pPr>
            <w:r w:rsidRPr="00AB66CA">
              <w:rPr>
                <w:rFonts w:cs="Tahoma"/>
                <w:sz w:val="15"/>
                <w:szCs w:val="15"/>
              </w:rPr>
              <w:t>9</w:t>
            </w:r>
          </w:p>
        </w:tc>
        <w:tc>
          <w:tcPr>
            <w:tcW w:w="791" w:type="pct"/>
            <w:tcBorders>
              <w:top w:val="nil"/>
              <w:left w:val="nil"/>
              <w:bottom w:val="nil"/>
            </w:tcBorders>
            <w:noWrap/>
            <w:tcMar>
              <w:top w:w="0" w:type="dxa"/>
              <w:left w:w="70" w:type="dxa"/>
              <w:bottom w:w="0" w:type="dxa"/>
              <w:right w:w="70" w:type="dxa"/>
            </w:tcMar>
            <w:vAlign w:val="bottom"/>
          </w:tcPr>
          <w:p w:rsidR="00565FD5" w:rsidRPr="00AB66CA" w:rsidRDefault="00565FD5" w:rsidP="00AB62A3">
            <w:pPr>
              <w:ind w:right="170"/>
              <w:jc w:val="right"/>
              <w:rPr>
                <w:rFonts w:cs="Tahoma"/>
                <w:sz w:val="15"/>
                <w:szCs w:val="15"/>
              </w:rPr>
            </w:pPr>
            <w:r w:rsidRPr="00AB66CA">
              <w:rPr>
                <w:rFonts w:cs="Tahoma"/>
                <w:sz w:val="15"/>
                <w:szCs w:val="15"/>
              </w:rPr>
              <w:t>679</w:t>
            </w:r>
          </w:p>
        </w:tc>
      </w:tr>
      <w:tr w:rsidR="00565FD5" w:rsidRPr="00AB66CA" w:rsidTr="00AB62A3">
        <w:trPr>
          <w:trHeight w:val="113"/>
        </w:trPr>
        <w:tc>
          <w:tcPr>
            <w:tcW w:w="558" w:type="pct"/>
            <w:tcBorders>
              <w:top w:val="nil"/>
              <w:bottom w:val="nil"/>
              <w:right w:val="nil"/>
            </w:tcBorders>
            <w:noWrap/>
            <w:vAlign w:val="bottom"/>
          </w:tcPr>
          <w:p w:rsidR="00565FD5" w:rsidRPr="00AB66CA" w:rsidRDefault="00565FD5" w:rsidP="00AB62A3">
            <w:pPr>
              <w:rPr>
                <w:rFonts w:cs="Tahoma"/>
                <w:b/>
                <w:sz w:val="15"/>
                <w:szCs w:val="15"/>
              </w:rPr>
            </w:pPr>
            <w:r w:rsidRPr="00AB66CA">
              <w:rPr>
                <w:rFonts w:cs="Tahoma"/>
                <w:b/>
                <w:sz w:val="15"/>
                <w:szCs w:val="15"/>
              </w:rPr>
              <w:t>2006</w:t>
            </w:r>
          </w:p>
        </w:tc>
        <w:tc>
          <w:tcPr>
            <w:tcW w:w="777" w:type="pct"/>
            <w:tcBorders>
              <w:top w:val="nil"/>
              <w:left w:val="nil"/>
              <w:bottom w:val="nil"/>
              <w:right w:val="nil"/>
            </w:tcBorders>
            <w:vAlign w:val="bottom"/>
          </w:tcPr>
          <w:p w:rsidR="00565FD5" w:rsidRPr="00AB66CA" w:rsidRDefault="00565FD5" w:rsidP="00AB62A3">
            <w:pPr>
              <w:jc w:val="center"/>
              <w:rPr>
                <w:rFonts w:cs="Tahoma"/>
                <w:sz w:val="15"/>
                <w:szCs w:val="15"/>
              </w:rPr>
            </w:pPr>
            <w:r w:rsidRPr="00AB66CA">
              <w:rPr>
                <w:rFonts w:cs="Tahoma"/>
                <w:sz w:val="15"/>
                <w:szCs w:val="15"/>
              </w:rPr>
              <w:t>95</w:t>
            </w:r>
          </w:p>
        </w:tc>
        <w:tc>
          <w:tcPr>
            <w:tcW w:w="938" w:type="pct"/>
            <w:tcBorders>
              <w:top w:val="nil"/>
              <w:left w:val="nil"/>
              <w:bottom w:val="nil"/>
              <w:right w:val="nil"/>
            </w:tcBorders>
            <w:noWrap/>
            <w:vAlign w:val="bottom"/>
          </w:tcPr>
          <w:p w:rsidR="00565FD5" w:rsidRPr="00AB66CA" w:rsidRDefault="00565FD5" w:rsidP="00AB62A3">
            <w:pPr>
              <w:jc w:val="center"/>
              <w:rPr>
                <w:rFonts w:cs="Tahoma"/>
                <w:sz w:val="15"/>
                <w:szCs w:val="15"/>
              </w:rPr>
            </w:pPr>
            <w:r w:rsidRPr="00AB66CA">
              <w:rPr>
                <w:rFonts w:cs="Tahoma"/>
                <w:sz w:val="15"/>
                <w:szCs w:val="15"/>
              </w:rPr>
              <w:t>7</w:t>
            </w:r>
          </w:p>
        </w:tc>
        <w:tc>
          <w:tcPr>
            <w:tcW w:w="310" w:type="pct"/>
            <w:tcBorders>
              <w:top w:val="nil"/>
              <w:left w:val="nil"/>
              <w:bottom w:val="nil"/>
              <w:right w:val="nil"/>
            </w:tcBorders>
          </w:tcPr>
          <w:p w:rsidR="00565FD5" w:rsidRPr="00AB66CA" w:rsidRDefault="00565FD5" w:rsidP="00AB62A3">
            <w:pPr>
              <w:rPr>
                <w:rFonts w:cs="Tahoma"/>
                <w:sz w:val="15"/>
                <w:szCs w:val="15"/>
              </w:rPr>
            </w:pPr>
          </w:p>
        </w:tc>
        <w:tc>
          <w:tcPr>
            <w:tcW w:w="810" w:type="pct"/>
            <w:tcBorders>
              <w:top w:val="nil"/>
              <w:left w:val="nil"/>
              <w:bottom w:val="nil"/>
              <w:right w:val="nil"/>
            </w:tcBorders>
            <w:tcMar>
              <w:top w:w="0" w:type="dxa"/>
              <w:left w:w="70" w:type="dxa"/>
              <w:bottom w:w="0" w:type="dxa"/>
              <w:right w:w="70" w:type="dxa"/>
            </w:tcMar>
            <w:vAlign w:val="bottom"/>
          </w:tcPr>
          <w:p w:rsidR="00565FD5" w:rsidRPr="00AB66CA" w:rsidRDefault="00565FD5" w:rsidP="00AB62A3">
            <w:pPr>
              <w:jc w:val="center"/>
              <w:rPr>
                <w:rFonts w:cs="Tahoma"/>
                <w:sz w:val="15"/>
                <w:szCs w:val="15"/>
              </w:rPr>
            </w:pPr>
            <w:r w:rsidRPr="00AB66CA">
              <w:rPr>
                <w:rFonts w:cs="Tahoma"/>
                <w:sz w:val="15"/>
                <w:szCs w:val="15"/>
              </w:rPr>
              <w:t>56</w:t>
            </w:r>
          </w:p>
        </w:tc>
        <w:tc>
          <w:tcPr>
            <w:tcW w:w="817" w:type="pct"/>
            <w:tcBorders>
              <w:top w:val="nil"/>
              <w:left w:val="nil"/>
              <w:bottom w:val="nil"/>
              <w:right w:val="nil"/>
            </w:tcBorders>
            <w:noWrap/>
            <w:tcMar>
              <w:top w:w="0" w:type="dxa"/>
              <w:left w:w="70" w:type="dxa"/>
              <w:bottom w:w="0" w:type="dxa"/>
              <w:right w:w="70" w:type="dxa"/>
            </w:tcMar>
            <w:vAlign w:val="bottom"/>
          </w:tcPr>
          <w:p w:rsidR="00565FD5" w:rsidRPr="00AB66CA" w:rsidRDefault="00565FD5" w:rsidP="00AB62A3">
            <w:pPr>
              <w:jc w:val="center"/>
              <w:rPr>
                <w:rFonts w:cs="Tahoma"/>
                <w:sz w:val="15"/>
                <w:szCs w:val="15"/>
              </w:rPr>
            </w:pPr>
            <w:r w:rsidRPr="00AB66CA">
              <w:rPr>
                <w:rFonts w:cs="Tahoma"/>
                <w:sz w:val="15"/>
                <w:szCs w:val="15"/>
              </w:rPr>
              <w:t>11</w:t>
            </w:r>
          </w:p>
        </w:tc>
        <w:tc>
          <w:tcPr>
            <w:tcW w:w="791" w:type="pct"/>
            <w:tcBorders>
              <w:top w:val="nil"/>
              <w:left w:val="nil"/>
              <w:bottom w:val="nil"/>
            </w:tcBorders>
            <w:noWrap/>
            <w:tcMar>
              <w:top w:w="0" w:type="dxa"/>
              <w:left w:w="70" w:type="dxa"/>
              <w:bottom w:w="0" w:type="dxa"/>
              <w:right w:w="70" w:type="dxa"/>
            </w:tcMar>
            <w:vAlign w:val="bottom"/>
          </w:tcPr>
          <w:p w:rsidR="00565FD5" w:rsidRPr="00AB66CA" w:rsidRDefault="00565FD5" w:rsidP="00AB62A3">
            <w:pPr>
              <w:ind w:right="170"/>
              <w:jc w:val="right"/>
              <w:rPr>
                <w:rFonts w:cs="Tahoma"/>
                <w:sz w:val="15"/>
                <w:szCs w:val="15"/>
              </w:rPr>
            </w:pPr>
            <w:r w:rsidRPr="00AB66CA">
              <w:rPr>
                <w:rFonts w:cs="Tahoma"/>
                <w:sz w:val="15"/>
                <w:szCs w:val="15"/>
              </w:rPr>
              <w:t>680</w:t>
            </w:r>
          </w:p>
        </w:tc>
      </w:tr>
      <w:tr w:rsidR="00565FD5" w:rsidRPr="00AB66CA" w:rsidTr="00AB62A3">
        <w:trPr>
          <w:trHeight w:val="113"/>
        </w:trPr>
        <w:tc>
          <w:tcPr>
            <w:tcW w:w="558" w:type="pct"/>
            <w:tcBorders>
              <w:top w:val="nil"/>
              <w:bottom w:val="nil"/>
              <w:right w:val="nil"/>
            </w:tcBorders>
            <w:noWrap/>
            <w:vAlign w:val="bottom"/>
          </w:tcPr>
          <w:p w:rsidR="00565FD5" w:rsidRPr="00AB66CA" w:rsidRDefault="00565FD5" w:rsidP="00AB62A3">
            <w:pPr>
              <w:rPr>
                <w:rFonts w:cs="Tahoma"/>
                <w:b/>
                <w:sz w:val="15"/>
                <w:szCs w:val="15"/>
              </w:rPr>
            </w:pPr>
            <w:r w:rsidRPr="00AB66CA">
              <w:rPr>
                <w:rFonts w:cs="Tahoma"/>
                <w:b/>
                <w:sz w:val="15"/>
                <w:szCs w:val="15"/>
              </w:rPr>
              <w:t>2007</w:t>
            </w:r>
          </w:p>
        </w:tc>
        <w:tc>
          <w:tcPr>
            <w:tcW w:w="777" w:type="pct"/>
            <w:tcBorders>
              <w:top w:val="nil"/>
              <w:left w:val="nil"/>
              <w:bottom w:val="nil"/>
              <w:right w:val="nil"/>
            </w:tcBorders>
            <w:vAlign w:val="bottom"/>
          </w:tcPr>
          <w:p w:rsidR="00565FD5" w:rsidRPr="00AB66CA" w:rsidRDefault="00565FD5" w:rsidP="00AB62A3">
            <w:pPr>
              <w:jc w:val="center"/>
              <w:rPr>
                <w:rFonts w:cs="Tahoma"/>
                <w:sz w:val="15"/>
                <w:szCs w:val="15"/>
              </w:rPr>
            </w:pPr>
            <w:r w:rsidRPr="00AB66CA">
              <w:rPr>
                <w:rFonts w:cs="Tahoma"/>
                <w:sz w:val="15"/>
                <w:szCs w:val="15"/>
              </w:rPr>
              <w:t>90</w:t>
            </w:r>
          </w:p>
        </w:tc>
        <w:tc>
          <w:tcPr>
            <w:tcW w:w="938" w:type="pct"/>
            <w:tcBorders>
              <w:top w:val="nil"/>
              <w:left w:val="nil"/>
              <w:bottom w:val="nil"/>
              <w:right w:val="nil"/>
            </w:tcBorders>
            <w:noWrap/>
            <w:vAlign w:val="bottom"/>
          </w:tcPr>
          <w:p w:rsidR="00565FD5" w:rsidRPr="00AB66CA" w:rsidRDefault="00565FD5" w:rsidP="00AB62A3">
            <w:pPr>
              <w:jc w:val="center"/>
              <w:rPr>
                <w:rFonts w:cs="Tahoma"/>
                <w:sz w:val="15"/>
                <w:szCs w:val="15"/>
              </w:rPr>
            </w:pPr>
            <w:r w:rsidRPr="00AB66CA">
              <w:rPr>
                <w:rFonts w:cs="Tahoma"/>
                <w:sz w:val="15"/>
                <w:szCs w:val="15"/>
              </w:rPr>
              <w:t>15</w:t>
            </w:r>
          </w:p>
        </w:tc>
        <w:tc>
          <w:tcPr>
            <w:tcW w:w="310" w:type="pct"/>
            <w:tcBorders>
              <w:top w:val="nil"/>
              <w:left w:val="nil"/>
              <w:bottom w:val="nil"/>
              <w:right w:val="nil"/>
            </w:tcBorders>
          </w:tcPr>
          <w:p w:rsidR="00565FD5" w:rsidRPr="00AB66CA" w:rsidRDefault="00565FD5" w:rsidP="00AB62A3">
            <w:pPr>
              <w:rPr>
                <w:rFonts w:cs="Tahoma"/>
                <w:sz w:val="15"/>
                <w:szCs w:val="15"/>
              </w:rPr>
            </w:pPr>
          </w:p>
        </w:tc>
        <w:tc>
          <w:tcPr>
            <w:tcW w:w="810" w:type="pct"/>
            <w:tcBorders>
              <w:top w:val="nil"/>
              <w:left w:val="nil"/>
              <w:bottom w:val="nil"/>
              <w:right w:val="nil"/>
            </w:tcBorders>
            <w:tcMar>
              <w:top w:w="0" w:type="dxa"/>
              <w:left w:w="70" w:type="dxa"/>
              <w:bottom w:w="0" w:type="dxa"/>
              <w:right w:w="70" w:type="dxa"/>
            </w:tcMar>
            <w:vAlign w:val="bottom"/>
          </w:tcPr>
          <w:p w:rsidR="00565FD5" w:rsidRPr="00AB66CA" w:rsidRDefault="00565FD5" w:rsidP="00AB62A3">
            <w:pPr>
              <w:jc w:val="center"/>
              <w:rPr>
                <w:rFonts w:cs="Tahoma"/>
                <w:sz w:val="15"/>
                <w:szCs w:val="15"/>
              </w:rPr>
            </w:pPr>
            <w:r w:rsidRPr="00AB66CA">
              <w:rPr>
                <w:rFonts w:cs="Tahoma"/>
                <w:sz w:val="15"/>
                <w:szCs w:val="15"/>
              </w:rPr>
              <w:t>49</w:t>
            </w:r>
          </w:p>
        </w:tc>
        <w:tc>
          <w:tcPr>
            <w:tcW w:w="817" w:type="pct"/>
            <w:tcBorders>
              <w:top w:val="nil"/>
              <w:left w:val="nil"/>
              <w:bottom w:val="nil"/>
              <w:right w:val="nil"/>
            </w:tcBorders>
            <w:noWrap/>
            <w:tcMar>
              <w:top w:w="0" w:type="dxa"/>
              <w:left w:w="70" w:type="dxa"/>
              <w:bottom w:w="0" w:type="dxa"/>
              <w:right w:w="70" w:type="dxa"/>
            </w:tcMar>
            <w:vAlign w:val="bottom"/>
          </w:tcPr>
          <w:p w:rsidR="00565FD5" w:rsidRPr="00AB66CA" w:rsidRDefault="00565FD5" w:rsidP="00AB62A3">
            <w:pPr>
              <w:jc w:val="center"/>
              <w:rPr>
                <w:rFonts w:cs="Tahoma"/>
                <w:sz w:val="15"/>
                <w:szCs w:val="15"/>
              </w:rPr>
            </w:pPr>
            <w:r w:rsidRPr="00AB66CA">
              <w:rPr>
                <w:rFonts w:cs="Tahoma"/>
                <w:sz w:val="15"/>
                <w:szCs w:val="15"/>
              </w:rPr>
              <w:t>13</w:t>
            </w:r>
          </w:p>
        </w:tc>
        <w:tc>
          <w:tcPr>
            <w:tcW w:w="791" w:type="pct"/>
            <w:tcBorders>
              <w:top w:val="nil"/>
              <w:left w:val="nil"/>
              <w:bottom w:val="nil"/>
            </w:tcBorders>
            <w:noWrap/>
            <w:tcMar>
              <w:top w:w="0" w:type="dxa"/>
              <w:left w:w="70" w:type="dxa"/>
              <w:bottom w:w="0" w:type="dxa"/>
              <w:right w:w="70" w:type="dxa"/>
            </w:tcMar>
            <w:vAlign w:val="bottom"/>
          </w:tcPr>
          <w:p w:rsidR="00565FD5" w:rsidRPr="00AB66CA" w:rsidRDefault="00565FD5" w:rsidP="00AB62A3">
            <w:pPr>
              <w:ind w:right="170"/>
              <w:jc w:val="right"/>
              <w:rPr>
                <w:rFonts w:cs="Tahoma"/>
                <w:sz w:val="15"/>
                <w:szCs w:val="15"/>
              </w:rPr>
            </w:pPr>
            <w:r w:rsidRPr="00AB66CA">
              <w:rPr>
                <w:rFonts w:cs="Tahoma"/>
                <w:sz w:val="15"/>
                <w:szCs w:val="15"/>
              </w:rPr>
              <w:t>1 847</w:t>
            </w:r>
          </w:p>
        </w:tc>
      </w:tr>
      <w:tr w:rsidR="00565FD5" w:rsidRPr="00AB66CA" w:rsidTr="00AB62A3">
        <w:trPr>
          <w:trHeight w:val="113"/>
        </w:trPr>
        <w:tc>
          <w:tcPr>
            <w:tcW w:w="558" w:type="pct"/>
            <w:tcBorders>
              <w:top w:val="nil"/>
              <w:bottom w:val="nil"/>
              <w:right w:val="nil"/>
            </w:tcBorders>
            <w:noWrap/>
            <w:vAlign w:val="bottom"/>
          </w:tcPr>
          <w:p w:rsidR="00565FD5" w:rsidRPr="00AB66CA" w:rsidRDefault="00565FD5" w:rsidP="00AB62A3">
            <w:pPr>
              <w:rPr>
                <w:rFonts w:cs="Tahoma"/>
                <w:b/>
                <w:sz w:val="15"/>
                <w:szCs w:val="15"/>
              </w:rPr>
            </w:pPr>
            <w:r w:rsidRPr="00AB66CA">
              <w:rPr>
                <w:rFonts w:cs="Tahoma"/>
                <w:b/>
                <w:sz w:val="15"/>
                <w:szCs w:val="15"/>
              </w:rPr>
              <w:t>2008</w:t>
            </w:r>
          </w:p>
        </w:tc>
        <w:tc>
          <w:tcPr>
            <w:tcW w:w="777" w:type="pct"/>
            <w:tcBorders>
              <w:top w:val="nil"/>
              <w:left w:val="nil"/>
              <w:bottom w:val="nil"/>
              <w:right w:val="nil"/>
            </w:tcBorders>
            <w:vAlign w:val="bottom"/>
          </w:tcPr>
          <w:p w:rsidR="00565FD5" w:rsidRPr="00AB66CA" w:rsidRDefault="00565FD5" w:rsidP="00AB62A3">
            <w:pPr>
              <w:jc w:val="center"/>
              <w:rPr>
                <w:rFonts w:cs="Tahoma"/>
                <w:sz w:val="15"/>
                <w:szCs w:val="15"/>
              </w:rPr>
            </w:pPr>
            <w:r w:rsidRPr="00AB66CA">
              <w:rPr>
                <w:rFonts w:cs="Tahoma"/>
                <w:sz w:val="15"/>
                <w:szCs w:val="15"/>
              </w:rPr>
              <w:t>133</w:t>
            </w:r>
          </w:p>
        </w:tc>
        <w:tc>
          <w:tcPr>
            <w:tcW w:w="938" w:type="pct"/>
            <w:tcBorders>
              <w:top w:val="nil"/>
              <w:left w:val="nil"/>
              <w:bottom w:val="nil"/>
              <w:right w:val="nil"/>
            </w:tcBorders>
            <w:noWrap/>
            <w:vAlign w:val="bottom"/>
          </w:tcPr>
          <w:p w:rsidR="00565FD5" w:rsidRPr="00AB66CA" w:rsidRDefault="00565FD5" w:rsidP="00AB62A3">
            <w:pPr>
              <w:jc w:val="center"/>
              <w:rPr>
                <w:rFonts w:cs="Tahoma"/>
                <w:sz w:val="15"/>
                <w:szCs w:val="15"/>
              </w:rPr>
            </w:pPr>
            <w:r w:rsidRPr="00AB66CA">
              <w:rPr>
                <w:rFonts w:cs="Tahoma"/>
                <w:sz w:val="15"/>
                <w:szCs w:val="15"/>
              </w:rPr>
              <w:t>15</w:t>
            </w:r>
          </w:p>
        </w:tc>
        <w:tc>
          <w:tcPr>
            <w:tcW w:w="310" w:type="pct"/>
            <w:tcBorders>
              <w:top w:val="nil"/>
              <w:left w:val="nil"/>
              <w:bottom w:val="nil"/>
              <w:right w:val="nil"/>
            </w:tcBorders>
          </w:tcPr>
          <w:p w:rsidR="00565FD5" w:rsidRPr="00AB66CA" w:rsidRDefault="00565FD5" w:rsidP="00AB62A3">
            <w:pPr>
              <w:rPr>
                <w:rFonts w:cs="Tahoma"/>
                <w:sz w:val="15"/>
                <w:szCs w:val="15"/>
              </w:rPr>
            </w:pPr>
          </w:p>
        </w:tc>
        <w:tc>
          <w:tcPr>
            <w:tcW w:w="810" w:type="pct"/>
            <w:tcBorders>
              <w:top w:val="nil"/>
              <w:left w:val="nil"/>
              <w:bottom w:val="nil"/>
              <w:right w:val="nil"/>
            </w:tcBorders>
            <w:tcMar>
              <w:top w:w="0" w:type="dxa"/>
              <w:left w:w="70" w:type="dxa"/>
              <w:bottom w:w="0" w:type="dxa"/>
              <w:right w:w="70" w:type="dxa"/>
            </w:tcMar>
            <w:vAlign w:val="bottom"/>
          </w:tcPr>
          <w:p w:rsidR="00565FD5" w:rsidRPr="00AB66CA" w:rsidRDefault="00565FD5" w:rsidP="00AB62A3">
            <w:pPr>
              <w:jc w:val="center"/>
              <w:rPr>
                <w:rFonts w:cs="Tahoma"/>
                <w:sz w:val="15"/>
                <w:szCs w:val="15"/>
              </w:rPr>
            </w:pPr>
            <w:r w:rsidRPr="00AB66CA">
              <w:rPr>
                <w:rFonts w:cs="Tahoma"/>
                <w:sz w:val="15"/>
                <w:szCs w:val="15"/>
              </w:rPr>
              <w:t>45</w:t>
            </w:r>
          </w:p>
        </w:tc>
        <w:tc>
          <w:tcPr>
            <w:tcW w:w="817" w:type="pct"/>
            <w:tcBorders>
              <w:top w:val="nil"/>
              <w:left w:val="nil"/>
              <w:bottom w:val="nil"/>
              <w:right w:val="nil"/>
            </w:tcBorders>
            <w:noWrap/>
            <w:tcMar>
              <w:top w:w="0" w:type="dxa"/>
              <w:left w:w="70" w:type="dxa"/>
              <w:bottom w:w="0" w:type="dxa"/>
              <w:right w:w="70" w:type="dxa"/>
            </w:tcMar>
            <w:vAlign w:val="bottom"/>
          </w:tcPr>
          <w:p w:rsidR="00565FD5" w:rsidRPr="00AB66CA" w:rsidRDefault="00565FD5" w:rsidP="00AB62A3">
            <w:pPr>
              <w:jc w:val="center"/>
              <w:rPr>
                <w:rFonts w:cs="Tahoma"/>
                <w:sz w:val="15"/>
                <w:szCs w:val="15"/>
              </w:rPr>
            </w:pPr>
            <w:r w:rsidRPr="00AB66CA">
              <w:rPr>
                <w:rFonts w:cs="Tahoma"/>
                <w:sz w:val="15"/>
                <w:szCs w:val="15"/>
              </w:rPr>
              <w:t>13</w:t>
            </w:r>
          </w:p>
        </w:tc>
        <w:tc>
          <w:tcPr>
            <w:tcW w:w="791" w:type="pct"/>
            <w:tcBorders>
              <w:top w:val="nil"/>
              <w:left w:val="nil"/>
              <w:bottom w:val="nil"/>
            </w:tcBorders>
            <w:noWrap/>
            <w:tcMar>
              <w:top w:w="0" w:type="dxa"/>
              <w:left w:w="70" w:type="dxa"/>
              <w:bottom w:w="0" w:type="dxa"/>
              <w:right w:w="70" w:type="dxa"/>
            </w:tcMar>
            <w:vAlign w:val="bottom"/>
          </w:tcPr>
          <w:p w:rsidR="00565FD5" w:rsidRPr="00AB66CA" w:rsidRDefault="00565FD5" w:rsidP="00AB62A3">
            <w:pPr>
              <w:ind w:right="170"/>
              <w:jc w:val="right"/>
              <w:rPr>
                <w:rFonts w:cs="Tahoma"/>
                <w:sz w:val="15"/>
                <w:szCs w:val="15"/>
              </w:rPr>
            </w:pPr>
            <w:r w:rsidRPr="00AB66CA">
              <w:rPr>
                <w:rFonts w:cs="Tahoma"/>
                <w:sz w:val="15"/>
                <w:szCs w:val="15"/>
              </w:rPr>
              <w:t>1 271</w:t>
            </w:r>
          </w:p>
        </w:tc>
      </w:tr>
      <w:tr w:rsidR="00565FD5" w:rsidRPr="00AB66CA" w:rsidTr="00AB62A3">
        <w:trPr>
          <w:trHeight w:val="113"/>
        </w:trPr>
        <w:tc>
          <w:tcPr>
            <w:tcW w:w="558" w:type="pct"/>
            <w:tcBorders>
              <w:top w:val="nil"/>
              <w:bottom w:val="nil"/>
              <w:right w:val="nil"/>
            </w:tcBorders>
            <w:noWrap/>
            <w:vAlign w:val="bottom"/>
          </w:tcPr>
          <w:p w:rsidR="00565FD5" w:rsidRPr="00AB66CA" w:rsidRDefault="00565FD5" w:rsidP="00AB62A3">
            <w:pPr>
              <w:rPr>
                <w:rFonts w:cs="Tahoma"/>
                <w:b/>
                <w:sz w:val="15"/>
                <w:szCs w:val="15"/>
              </w:rPr>
            </w:pPr>
            <w:r w:rsidRPr="00AB66CA">
              <w:rPr>
                <w:rFonts w:cs="Tahoma"/>
                <w:b/>
                <w:sz w:val="15"/>
                <w:szCs w:val="15"/>
              </w:rPr>
              <w:t>2009</w:t>
            </w:r>
          </w:p>
        </w:tc>
        <w:tc>
          <w:tcPr>
            <w:tcW w:w="777" w:type="pct"/>
            <w:tcBorders>
              <w:top w:val="nil"/>
              <w:left w:val="nil"/>
              <w:bottom w:val="nil"/>
              <w:right w:val="nil"/>
            </w:tcBorders>
            <w:vAlign w:val="bottom"/>
          </w:tcPr>
          <w:p w:rsidR="00565FD5" w:rsidRPr="00AB66CA" w:rsidRDefault="00565FD5" w:rsidP="00AB62A3">
            <w:pPr>
              <w:jc w:val="center"/>
              <w:rPr>
                <w:rFonts w:cs="Tahoma"/>
                <w:sz w:val="15"/>
                <w:szCs w:val="15"/>
              </w:rPr>
            </w:pPr>
            <w:r w:rsidRPr="00AB66CA">
              <w:rPr>
                <w:rFonts w:cs="Tahoma"/>
                <w:sz w:val="15"/>
                <w:szCs w:val="15"/>
              </w:rPr>
              <w:t>118</w:t>
            </w:r>
          </w:p>
        </w:tc>
        <w:tc>
          <w:tcPr>
            <w:tcW w:w="938" w:type="pct"/>
            <w:tcBorders>
              <w:top w:val="nil"/>
              <w:left w:val="nil"/>
              <w:bottom w:val="nil"/>
              <w:right w:val="nil"/>
            </w:tcBorders>
            <w:noWrap/>
            <w:vAlign w:val="bottom"/>
          </w:tcPr>
          <w:p w:rsidR="00565FD5" w:rsidRPr="00AB66CA" w:rsidRDefault="00565FD5" w:rsidP="00AB62A3">
            <w:pPr>
              <w:jc w:val="center"/>
              <w:rPr>
                <w:rFonts w:cs="Tahoma"/>
                <w:sz w:val="15"/>
                <w:szCs w:val="15"/>
              </w:rPr>
            </w:pPr>
            <w:r w:rsidRPr="00AB66CA">
              <w:rPr>
                <w:rFonts w:cs="Tahoma"/>
                <w:sz w:val="15"/>
                <w:szCs w:val="15"/>
              </w:rPr>
              <w:t>13</w:t>
            </w:r>
          </w:p>
        </w:tc>
        <w:tc>
          <w:tcPr>
            <w:tcW w:w="310" w:type="pct"/>
            <w:tcBorders>
              <w:top w:val="nil"/>
              <w:left w:val="nil"/>
              <w:bottom w:val="nil"/>
              <w:right w:val="nil"/>
            </w:tcBorders>
          </w:tcPr>
          <w:p w:rsidR="00565FD5" w:rsidRPr="00AB66CA" w:rsidRDefault="00565FD5" w:rsidP="00AB62A3">
            <w:pPr>
              <w:rPr>
                <w:rFonts w:cs="Tahoma"/>
                <w:sz w:val="15"/>
                <w:szCs w:val="15"/>
              </w:rPr>
            </w:pPr>
          </w:p>
        </w:tc>
        <w:tc>
          <w:tcPr>
            <w:tcW w:w="810" w:type="pct"/>
            <w:tcBorders>
              <w:top w:val="nil"/>
              <w:left w:val="nil"/>
              <w:bottom w:val="nil"/>
              <w:right w:val="nil"/>
            </w:tcBorders>
            <w:tcMar>
              <w:top w:w="0" w:type="dxa"/>
              <w:left w:w="70" w:type="dxa"/>
              <w:bottom w:w="0" w:type="dxa"/>
              <w:right w:w="70" w:type="dxa"/>
            </w:tcMar>
            <w:vAlign w:val="bottom"/>
          </w:tcPr>
          <w:p w:rsidR="00565FD5" w:rsidRPr="00AB66CA" w:rsidRDefault="00565FD5" w:rsidP="00AB62A3">
            <w:pPr>
              <w:jc w:val="center"/>
              <w:rPr>
                <w:rFonts w:cs="Tahoma"/>
                <w:sz w:val="15"/>
                <w:szCs w:val="15"/>
              </w:rPr>
            </w:pPr>
            <w:r w:rsidRPr="00AB66CA">
              <w:rPr>
                <w:rFonts w:cs="Tahoma"/>
                <w:sz w:val="15"/>
                <w:szCs w:val="15"/>
              </w:rPr>
              <w:t>29</w:t>
            </w:r>
          </w:p>
        </w:tc>
        <w:tc>
          <w:tcPr>
            <w:tcW w:w="817" w:type="pct"/>
            <w:tcBorders>
              <w:top w:val="nil"/>
              <w:left w:val="nil"/>
              <w:bottom w:val="nil"/>
              <w:right w:val="nil"/>
            </w:tcBorders>
            <w:noWrap/>
            <w:tcMar>
              <w:top w:w="0" w:type="dxa"/>
              <w:left w:w="70" w:type="dxa"/>
              <w:bottom w:w="0" w:type="dxa"/>
              <w:right w:w="70" w:type="dxa"/>
            </w:tcMar>
            <w:vAlign w:val="bottom"/>
          </w:tcPr>
          <w:p w:rsidR="00565FD5" w:rsidRPr="00AB66CA" w:rsidRDefault="00565FD5" w:rsidP="00AB62A3">
            <w:pPr>
              <w:jc w:val="center"/>
              <w:rPr>
                <w:rFonts w:cs="Tahoma"/>
                <w:sz w:val="15"/>
                <w:szCs w:val="15"/>
              </w:rPr>
            </w:pPr>
            <w:r w:rsidRPr="00AB66CA">
              <w:rPr>
                <w:rFonts w:cs="Tahoma"/>
                <w:sz w:val="15"/>
                <w:szCs w:val="15"/>
              </w:rPr>
              <w:t>8</w:t>
            </w:r>
          </w:p>
        </w:tc>
        <w:tc>
          <w:tcPr>
            <w:tcW w:w="791" w:type="pct"/>
            <w:tcBorders>
              <w:top w:val="nil"/>
              <w:left w:val="nil"/>
              <w:bottom w:val="nil"/>
            </w:tcBorders>
            <w:noWrap/>
            <w:tcMar>
              <w:top w:w="0" w:type="dxa"/>
              <w:left w:w="70" w:type="dxa"/>
              <w:bottom w:w="0" w:type="dxa"/>
              <w:right w:w="70" w:type="dxa"/>
            </w:tcMar>
            <w:vAlign w:val="bottom"/>
          </w:tcPr>
          <w:p w:rsidR="00565FD5" w:rsidRPr="00AB66CA" w:rsidRDefault="00565FD5" w:rsidP="00AB62A3">
            <w:pPr>
              <w:ind w:right="170"/>
              <w:jc w:val="right"/>
              <w:rPr>
                <w:rFonts w:cs="Tahoma"/>
                <w:sz w:val="15"/>
                <w:szCs w:val="15"/>
              </w:rPr>
            </w:pPr>
            <w:r w:rsidRPr="00AB66CA">
              <w:rPr>
                <w:rFonts w:cs="Tahoma"/>
                <w:sz w:val="15"/>
                <w:szCs w:val="15"/>
              </w:rPr>
              <w:t>780</w:t>
            </w:r>
          </w:p>
        </w:tc>
      </w:tr>
      <w:tr w:rsidR="00565FD5" w:rsidRPr="00AB66CA" w:rsidTr="00AB62A3">
        <w:trPr>
          <w:trHeight w:val="113"/>
        </w:trPr>
        <w:tc>
          <w:tcPr>
            <w:tcW w:w="558" w:type="pct"/>
            <w:tcBorders>
              <w:top w:val="nil"/>
              <w:bottom w:val="nil"/>
              <w:right w:val="nil"/>
            </w:tcBorders>
            <w:noWrap/>
            <w:vAlign w:val="bottom"/>
          </w:tcPr>
          <w:p w:rsidR="00565FD5" w:rsidRPr="00AB66CA" w:rsidRDefault="00565FD5" w:rsidP="00AB62A3">
            <w:pPr>
              <w:rPr>
                <w:rFonts w:cs="Tahoma"/>
                <w:b/>
                <w:sz w:val="15"/>
                <w:szCs w:val="15"/>
              </w:rPr>
            </w:pPr>
            <w:r w:rsidRPr="00AB66CA">
              <w:rPr>
                <w:rFonts w:cs="Tahoma"/>
                <w:b/>
                <w:sz w:val="15"/>
                <w:szCs w:val="15"/>
              </w:rPr>
              <w:t>2010</w:t>
            </w:r>
          </w:p>
        </w:tc>
        <w:tc>
          <w:tcPr>
            <w:tcW w:w="777" w:type="pct"/>
            <w:tcBorders>
              <w:top w:val="nil"/>
              <w:left w:val="nil"/>
              <w:bottom w:val="nil"/>
              <w:right w:val="nil"/>
            </w:tcBorders>
            <w:vAlign w:val="bottom"/>
          </w:tcPr>
          <w:p w:rsidR="00565FD5" w:rsidRPr="00AB66CA" w:rsidRDefault="00565FD5" w:rsidP="00AB62A3">
            <w:pPr>
              <w:jc w:val="center"/>
              <w:rPr>
                <w:rFonts w:cs="Tahoma"/>
                <w:sz w:val="15"/>
                <w:szCs w:val="15"/>
              </w:rPr>
            </w:pPr>
            <w:r w:rsidRPr="00AB66CA">
              <w:rPr>
                <w:rFonts w:cs="Tahoma"/>
                <w:sz w:val="15"/>
                <w:szCs w:val="15"/>
              </w:rPr>
              <w:t>83</w:t>
            </w:r>
          </w:p>
        </w:tc>
        <w:tc>
          <w:tcPr>
            <w:tcW w:w="938" w:type="pct"/>
            <w:tcBorders>
              <w:top w:val="nil"/>
              <w:left w:val="nil"/>
              <w:bottom w:val="nil"/>
              <w:right w:val="nil"/>
            </w:tcBorders>
            <w:noWrap/>
            <w:vAlign w:val="bottom"/>
          </w:tcPr>
          <w:p w:rsidR="00565FD5" w:rsidRPr="00AB66CA" w:rsidRDefault="00565FD5" w:rsidP="00AB62A3">
            <w:pPr>
              <w:jc w:val="center"/>
              <w:rPr>
                <w:rFonts w:cs="Tahoma"/>
                <w:sz w:val="15"/>
                <w:szCs w:val="15"/>
              </w:rPr>
            </w:pPr>
            <w:r w:rsidRPr="00AB66CA">
              <w:rPr>
                <w:rFonts w:cs="Tahoma"/>
                <w:sz w:val="15"/>
                <w:szCs w:val="15"/>
              </w:rPr>
              <w:t>13</w:t>
            </w:r>
          </w:p>
        </w:tc>
        <w:tc>
          <w:tcPr>
            <w:tcW w:w="310" w:type="pct"/>
            <w:tcBorders>
              <w:top w:val="nil"/>
              <w:left w:val="nil"/>
              <w:bottom w:val="nil"/>
              <w:right w:val="nil"/>
            </w:tcBorders>
          </w:tcPr>
          <w:p w:rsidR="00565FD5" w:rsidRPr="00AB66CA" w:rsidRDefault="00565FD5" w:rsidP="00AB62A3">
            <w:pPr>
              <w:rPr>
                <w:rFonts w:cs="Tahoma"/>
                <w:sz w:val="15"/>
                <w:szCs w:val="15"/>
              </w:rPr>
            </w:pPr>
          </w:p>
        </w:tc>
        <w:tc>
          <w:tcPr>
            <w:tcW w:w="810" w:type="pct"/>
            <w:tcBorders>
              <w:top w:val="nil"/>
              <w:left w:val="nil"/>
              <w:bottom w:val="nil"/>
              <w:right w:val="nil"/>
            </w:tcBorders>
            <w:tcMar>
              <w:top w:w="0" w:type="dxa"/>
              <w:left w:w="70" w:type="dxa"/>
              <w:bottom w:w="0" w:type="dxa"/>
              <w:right w:w="70" w:type="dxa"/>
            </w:tcMar>
            <w:vAlign w:val="bottom"/>
          </w:tcPr>
          <w:p w:rsidR="00565FD5" w:rsidRPr="00AB66CA" w:rsidRDefault="00565FD5" w:rsidP="00AB62A3">
            <w:pPr>
              <w:jc w:val="center"/>
              <w:rPr>
                <w:rFonts w:cs="Tahoma"/>
                <w:sz w:val="15"/>
                <w:szCs w:val="15"/>
              </w:rPr>
            </w:pPr>
            <w:r w:rsidRPr="00AB66CA">
              <w:rPr>
                <w:rFonts w:cs="Tahoma"/>
                <w:sz w:val="15"/>
                <w:szCs w:val="15"/>
              </w:rPr>
              <w:t>29</w:t>
            </w:r>
          </w:p>
        </w:tc>
        <w:tc>
          <w:tcPr>
            <w:tcW w:w="817" w:type="pct"/>
            <w:tcBorders>
              <w:top w:val="nil"/>
              <w:left w:val="nil"/>
              <w:bottom w:val="nil"/>
              <w:right w:val="nil"/>
            </w:tcBorders>
            <w:noWrap/>
            <w:tcMar>
              <w:top w:w="0" w:type="dxa"/>
              <w:left w:w="70" w:type="dxa"/>
              <w:bottom w:w="0" w:type="dxa"/>
              <w:right w:w="70" w:type="dxa"/>
            </w:tcMar>
            <w:vAlign w:val="bottom"/>
          </w:tcPr>
          <w:p w:rsidR="00565FD5" w:rsidRPr="00AB66CA" w:rsidRDefault="00565FD5" w:rsidP="00AB62A3">
            <w:pPr>
              <w:jc w:val="center"/>
              <w:rPr>
                <w:rFonts w:cs="Tahoma"/>
                <w:sz w:val="15"/>
                <w:szCs w:val="15"/>
              </w:rPr>
            </w:pPr>
            <w:r w:rsidRPr="00AB66CA">
              <w:rPr>
                <w:rFonts w:cs="Tahoma"/>
                <w:sz w:val="15"/>
                <w:szCs w:val="15"/>
              </w:rPr>
              <w:t>2</w:t>
            </w:r>
          </w:p>
        </w:tc>
        <w:tc>
          <w:tcPr>
            <w:tcW w:w="791" w:type="pct"/>
            <w:tcBorders>
              <w:top w:val="nil"/>
              <w:left w:val="nil"/>
              <w:bottom w:val="nil"/>
            </w:tcBorders>
            <w:noWrap/>
            <w:tcMar>
              <w:top w:w="0" w:type="dxa"/>
              <w:left w:w="70" w:type="dxa"/>
              <w:bottom w:w="0" w:type="dxa"/>
              <w:right w:w="70" w:type="dxa"/>
            </w:tcMar>
            <w:vAlign w:val="bottom"/>
          </w:tcPr>
          <w:p w:rsidR="00565FD5" w:rsidRPr="00AB66CA" w:rsidRDefault="00565FD5" w:rsidP="00AB62A3">
            <w:pPr>
              <w:ind w:right="170"/>
              <w:jc w:val="right"/>
              <w:rPr>
                <w:rFonts w:cs="Tahoma"/>
                <w:sz w:val="15"/>
                <w:szCs w:val="15"/>
              </w:rPr>
            </w:pPr>
            <w:r w:rsidRPr="00AB66CA">
              <w:rPr>
                <w:rFonts w:cs="Tahoma"/>
                <w:sz w:val="15"/>
                <w:szCs w:val="15"/>
              </w:rPr>
              <w:t>141</w:t>
            </w:r>
          </w:p>
        </w:tc>
      </w:tr>
      <w:tr w:rsidR="00565FD5" w:rsidRPr="00AB66CA" w:rsidTr="00AB62A3">
        <w:trPr>
          <w:trHeight w:val="113"/>
        </w:trPr>
        <w:tc>
          <w:tcPr>
            <w:tcW w:w="558" w:type="pct"/>
            <w:tcBorders>
              <w:top w:val="nil"/>
              <w:right w:val="nil"/>
            </w:tcBorders>
            <w:noWrap/>
            <w:vAlign w:val="bottom"/>
          </w:tcPr>
          <w:p w:rsidR="00565FD5" w:rsidRPr="00AB66CA" w:rsidRDefault="00565FD5" w:rsidP="00AB62A3">
            <w:pPr>
              <w:rPr>
                <w:rFonts w:cs="Tahoma"/>
                <w:b/>
                <w:sz w:val="15"/>
                <w:szCs w:val="15"/>
              </w:rPr>
            </w:pPr>
            <w:r w:rsidRPr="00AB66CA">
              <w:rPr>
                <w:rFonts w:cs="Tahoma"/>
                <w:b/>
                <w:sz w:val="15"/>
                <w:szCs w:val="15"/>
              </w:rPr>
              <w:t>2011</w:t>
            </w:r>
          </w:p>
        </w:tc>
        <w:tc>
          <w:tcPr>
            <w:tcW w:w="777" w:type="pct"/>
            <w:tcBorders>
              <w:top w:val="nil"/>
              <w:left w:val="nil"/>
              <w:right w:val="nil"/>
            </w:tcBorders>
            <w:vAlign w:val="bottom"/>
          </w:tcPr>
          <w:p w:rsidR="00565FD5" w:rsidRPr="00AB66CA" w:rsidRDefault="00565FD5" w:rsidP="00AB62A3">
            <w:pPr>
              <w:jc w:val="center"/>
              <w:rPr>
                <w:rFonts w:cs="Tahoma"/>
                <w:sz w:val="15"/>
                <w:szCs w:val="15"/>
              </w:rPr>
            </w:pPr>
            <w:r w:rsidRPr="00AB66CA">
              <w:rPr>
                <w:rFonts w:cs="Tahoma"/>
                <w:sz w:val="15"/>
                <w:szCs w:val="15"/>
              </w:rPr>
              <w:t>87</w:t>
            </w:r>
          </w:p>
        </w:tc>
        <w:tc>
          <w:tcPr>
            <w:tcW w:w="938" w:type="pct"/>
            <w:tcBorders>
              <w:top w:val="nil"/>
              <w:left w:val="nil"/>
              <w:right w:val="nil"/>
            </w:tcBorders>
            <w:noWrap/>
            <w:vAlign w:val="bottom"/>
          </w:tcPr>
          <w:p w:rsidR="00565FD5" w:rsidRPr="00AB66CA" w:rsidRDefault="00565FD5" w:rsidP="00AB62A3">
            <w:pPr>
              <w:jc w:val="center"/>
              <w:rPr>
                <w:rFonts w:cs="Tahoma"/>
                <w:sz w:val="15"/>
                <w:szCs w:val="15"/>
              </w:rPr>
            </w:pPr>
            <w:r w:rsidRPr="00AB66CA">
              <w:rPr>
                <w:rFonts w:cs="Tahoma"/>
                <w:sz w:val="15"/>
                <w:szCs w:val="15"/>
              </w:rPr>
              <w:t>7</w:t>
            </w:r>
          </w:p>
        </w:tc>
        <w:tc>
          <w:tcPr>
            <w:tcW w:w="310" w:type="pct"/>
            <w:tcBorders>
              <w:top w:val="nil"/>
              <w:left w:val="nil"/>
              <w:right w:val="nil"/>
            </w:tcBorders>
          </w:tcPr>
          <w:p w:rsidR="00565FD5" w:rsidRPr="00AB66CA" w:rsidRDefault="00565FD5" w:rsidP="00AB62A3">
            <w:pPr>
              <w:rPr>
                <w:rFonts w:cs="Tahoma"/>
                <w:sz w:val="15"/>
                <w:szCs w:val="15"/>
              </w:rPr>
            </w:pPr>
          </w:p>
        </w:tc>
        <w:tc>
          <w:tcPr>
            <w:tcW w:w="810" w:type="pct"/>
            <w:tcBorders>
              <w:top w:val="nil"/>
              <w:left w:val="nil"/>
              <w:right w:val="nil"/>
            </w:tcBorders>
            <w:tcMar>
              <w:top w:w="0" w:type="dxa"/>
              <w:left w:w="70" w:type="dxa"/>
              <w:bottom w:w="0" w:type="dxa"/>
              <w:right w:w="70" w:type="dxa"/>
            </w:tcMar>
            <w:vAlign w:val="bottom"/>
          </w:tcPr>
          <w:p w:rsidR="00565FD5" w:rsidRPr="00AB66CA" w:rsidRDefault="00565FD5" w:rsidP="00AB62A3">
            <w:pPr>
              <w:jc w:val="center"/>
              <w:rPr>
                <w:rFonts w:cs="Tahoma"/>
                <w:sz w:val="15"/>
                <w:szCs w:val="15"/>
              </w:rPr>
            </w:pPr>
            <w:r w:rsidRPr="00AB66CA">
              <w:rPr>
                <w:rFonts w:cs="Tahoma"/>
                <w:sz w:val="15"/>
                <w:szCs w:val="15"/>
              </w:rPr>
              <w:t>30</w:t>
            </w:r>
          </w:p>
        </w:tc>
        <w:tc>
          <w:tcPr>
            <w:tcW w:w="817" w:type="pct"/>
            <w:tcBorders>
              <w:top w:val="nil"/>
              <w:left w:val="nil"/>
              <w:right w:val="nil"/>
            </w:tcBorders>
            <w:noWrap/>
            <w:tcMar>
              <w:top w:w="0" w:type="dxa"/>
              <w:left w:w="70" w:type="dxa"/>
              <w:bottom w:w="0" w:type="dxa"/>
              <w:right w:w="70" w:type="dxa"/>
            </w:tcMar>
            <w:vAlign w:val="bottom"/>
          </w:tcPr>
          <w:p w:rsidR="00565FD5" w:rsidRPr="00AB66CA" w:rsidRDefault="00565FD5" w:rsidP="00AB62A3">
            <w:pPr>
              <w:jc w:val="center"/>
              <w:rPr>
                <w:rFonts w:cs="Tahoma"/>
                <w:sz w:val="15"/>
                <w:szCs w:val="15"/>
              </w:rPr>
            </w:pPr>
            <w:r w:rsidRPr="00AB66CA">
              <w:rPr>
                <w:rFonts w:cs="Tahoma"/>
                <w:sz w:val="15"/>
                <w:szCs w:val="15"/>
              </w:rPr>
              <w:t>5</w:t>
            </w:r>
          </w:p>
        </w:tc>
        <w:tc>
          <w:tcPr>
            <w:tcW w:w="791" w:type="pct"/>
            <w:tcBorders>
              <w:top w:val="nil"/>
              <w:left w:val="nil"/>
            </w:tcBorders>
            <w:noWrap/>
            <w:tcMar>
              <w:top w:w="0" w:type="dxa"/>
              <w:left w:w="70" w:type="dxa"/>
              <w:bottom w:w="0" w:type="dxa"/>
              <w:right w:w="70" w:type="dxa"/>
            </w:tcMar>
            <w:vAlign w:val="bottom"/>
          </w:tcPr>
          <w:p w:rsidR="00565FD5" w:rsidRPr="00AB66CA" w:rsidRDefault="00565FD5" w:rsidP="00AB62A3">
            <w:pPr>
              <w:ind w:right="170"/>
              <w:jc w:val="right"/>
              <w:rPr>
                <w:rFonts w:cs="Tahoma"/>
                <w:sz w:val="15"/>
                <w:szCs w:val="15"/>
              </w:rPr>
            </w:pPr>
            <w:r w:rsidRPr="00AB66CA">
              <w:rPr>
                <w:rFonts w:cs="Tahoma"/>
                <w:sz w:val="15"/>
                <w:szCs w:val="15"/>
              </w:rPr>
              <w:t>290</w:t>
            </w:r>
          </w:p>
        </w:tc>
      </w:tr>
    </w:tbl>
    <w:p w:rsidR="00565FD5" w:rsidRPr="009B3D4C" w:rsidRDefault="00565FD5" w:rsidP="00565FD5">
      <w:pPr>
        <w:rPr>
          <w:rFonts w:cs="Tahoma"/>
          <w:sz w:val="14"/>
          <w:szCs w:val="14"/>
        </w:rPr>
      </w:pPr>
      <w:r w:rsidRPr="009B3D4C">
        <w:rPr>
          <w:rFonts w:cs="Tahoma"/>
          <w:sz w:val="14"/>
          <w:szCs w:val="14"/>
        </w:rPr>
        <w:t>Kaynak: Bilim, Sanayi ve Teknoloji Bakanlığı, 2012</w:t>
      </w:r>
    </w:p>
    <w:p w:rsidR="00565FD5" w:rsidRPr="009B3D4C" w:rsidRDefault="00565FD5" w:rsidP="00565FD5">
      <w:pPr>
        <w:spacing w:after="360"/>
        <w:rPr>
          <w:rFonts w:cs="Tahoma"/>
          <w:sz w:val="14"/>
          <w:szCs w:val="14"/>
        </w:rPr>
      </w:pPr>
      <w:r w:rsidRPr="009B3D4C">
        <w:rPr>
          <w:rFonts w:cs="Tahoma"/>
          <w:sz w:val="14"/>
          <w:szCs w:val="14"/>
        </w:rPr>
        <w:t>(1) 2012 yılı fiyatlarıyla</w:t>
      </w:r>
    </w:p>
    <w:p w:rsidR="00565FD5" w:rsidRPr="009B3D4C" w:rsidRDefault="00565FD5" w:rsidP="00565FD5">
      <w:pPr>
        <w:spacing w:after="240"/>
        <w:rPr>
          <w:rFonts w:cs="Tahoma"/>
          <w:szCs w:val="18"/>
        </w:rPr>
      </w:pPr>
      <w:r>
        <w:rPr>
          <w:rFonts w:cs="Tahoma"/>
          <w:szCs w:val="18"/>
        </w:rPr>
        <w:tab/>
      </w:r>
      <w:r w:rsidRPr="009B3D4C">
        <w:rPr>
          <w:rFonts w:cs="Tahoma"/>
          <w:szCs w:val="18"/>
        </w:rPr>
        <w:t>KOBİ’lerin markalaşma, kalite, çevre standartları konularında farkındalıklarının ve uygulama kapasitelerinin düşüklüğü, teknoloji kullanımlarının yetersizliği, düşük kalite ve verimde üretim yapmaları, düşük katma değer yaratmaları, Ar-Ge ve yenilik çalışmalarının ve yatırımlarının yetersiz olması uluslararası pazarlardaki rekabet edebilirliklerinin önündeki başlıca engellerdir.</w:t>
      </w:r>
    </w:p>
    <w:p w:rsidR="00565FD5" w:rsidRPr="009B3D4C" w:rsidRDefault="00565FD5" w:rsidP="00565FD5">
      <w:pPr>
        <w:spacing w:after="240"/>
        <w:rPr>
          <w:rFonts w:cs="Tahoma"/>
          <w:szCs w:val="18"/>
        </w:rPr>
      </w:pPr>
      <w:r>
        <w:rPr>
          <w:rFonts w:cs="Tahoma"/>
          <w:szCs w:val="18"/>
        </w:rPr>
        <w:tab/>
      </w:r>
      <w:r w:rsidRPr="009B3D4C">
        <w:rPr>
          <w:rFonts w:cs="Tahoma"/>
          <w:szCs w:val="18"/>
        </w:rPr>
        <w:t>Üniversiteler ve büyük ölçekli firmaların bilgi kapasitesinden yararlanmak amacıyla, KOBİ’lerin, üniversiteler ve büyük ölçekli işletmelerle işbirliğinin geliştirilmesiyle ana ve yan sanayii ilişkilerinin artırılmasına ihtiyaç duyulmaktadır.</w:t>
      </w:r>
    </w:p>
    <w:p w:rsidR="00565FD5" w:rsidRDefault="00565FD5" w:rsidP="00565FD5">
      <w:pPr>
        <w:spacing w:after="180"/>
        <w:rPr>
          <w:rFonts w:cs="Tahoma"/>
          <w:szCs w:val="18"/>
        </w:rPr>
      </w:pPr>
      <w:r>
        <w:rPr>
          <w:rFonts w:cs="Tahoma"/>
          <w:szCs w:val="18"/>
        </w:rPr>
        <w:tab/>
      </w:r>
      <w:r w:rsidRPr="009B3D4C">
        <w:rPr>
          <w:rFonts w:cs="Tahoma"/>
          <w:szCs w:val="18"/>
        </w:rPr>
        <w:t xml:space="preserve">Özellikle tekstil, hazır giyim, deri gibi geleneksel sektörler başta olmak üzere tüm alanlarda yüksek katma değerli ürünlerin geliştirilmesini sağlamak amacıyla markalaşmanın desteklenmesi faaliyetlerine ve Turquality sisteminin uygulanmasına devam edilmektedir. Ayrıca, tasarım stratejilerinin ve politikalarının belirlenmesine, katma değeri yüksek tasarımlar yaratılmasına, uluslararası alanda Türk tasarımlarının tercih edilir konuma getirilmesine yönelik çalışmalar yapmak üzere, 2009/15355 sayılı Bakanlar Kurulu Kararıyla kurulmuş olan Türk Tasarım Danışma Konseyi, Tasarım Strateji Belgesi ve Eylem Planı Taslağını hazırlamıştır. Konsey bünyesinde oluşturulan alt komitelerde, tasarım yarışmalarında dereceye giren tasarımların, Türk Tasarımı imajına sağlayacakları katkı açısından değerlendirilerek ödüllendirilmelerine ve ayrıca, </w:t>
      </w:r>
      <w:r w:rsidRPr="009B3D4C">
        <w:rPr>
          <w:rFonts w:cs="Tahoma"/>
          <w:szCs w:val="18"/>
        </w:rPr>
        <w:lastRenderedPageBreak/>
        <w:t>kamuya yarar sağlayacak tasarım yarışmalarına katılan ve başarı sağlayan tasarımların tescil maliyetlerinin azaltılmasına ilişkin çalışmalar yürütülmektedir.</w:t>
      </w:r>
    </w:p>
    <w:p w:rsidR="00565FD5" w:rsidRPr="007B777A" w:rsidRDefault="00565FD5" w:rsidP="00565FD5">
      <w:pPr>
        <w:pStyle w:val="ResimYazs"/>
      </w:pPr>
      <w:bookmarkStart w:id="1963" w:name="_Toc338606029"/>
      <w:bookmarkStart w:id="1964" w:name="_Toc338711804"/>
      <w:r>
        <w:t xml:space="preserve">TABLO IV: </w:t>
      </w:r>
      <w:fldSimple w:instr=" SEQ TABLO_IV: \* ARABIC ">
        <w:r>
          <w:rPr>
            <w:noProof/>
          </w:rPr>
          <w:t>34</w:t>
        </w:r>
      </w:fldSimple>
      <w:r w:rsidRPr="007B777A">
        <w:rPr>
          <w:szCs w:val="16"/>
        </w:rPr>
        <w:t xml:space="preserve">- </w:t>
      </w:r>
      <w:r w:rsidRPr="007B777A">
        <w:t>Sanayi Tüketimi için Elektrik ve Doğal Gaz Fiyatları</w:t>
      </w:r>
      <w:bookmarkEnd w:id="1963"/>
      <w:bookmarkEnd w:id="1964"/>
    </w:p>
    <w:tbl>
      <w:tblPr>
        <w:tblW w:w="48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2"/>
        <w:gridCol w:w="1938"/>
        <w:gridCol w:w="751"/>
        <w:gridCol w:w="710"/>
        <w:gridCol w:w="710"/>
        <w:gridCol w:w="707"/>
        <w:gridCol w:w="851"/>
      </w:tblGrid>
      <w:tr w:rsidR="00565FD5" w:rsidRPr="002672E5" w:rsidTr="00AB62A3">
        <w:trPr>
          <w:trHeight w:val="20"/>
        </w:trPr>
        <w:tc>
          <w:tcPr>
            <w:tcW w:w="1002" w:type="pct"/>
            <w:tcBorders>
              <w:right w:val="nil"/>
            </w:tcBorders>
            <w:vAlign w:val="center"/>
          </w:tcPr>
          <w:p w:rsidR="00565FD5" w:rsidRPr="002672E5" w:rsidRDefault="00565FD5" w:rsidP="00AB62A3">
            <w:pPr>
              <w:jc w:val="center"/>
              <w:rPr>
                <w:rFonts w:cs="Tahoma"/>
                <w:b/>
                <w:bCs/>
                <w:sz w:val="15"/>
                <w:szCs w:val="15"/>
              </w:rPr>
            </w:pPr>
          </w:p>
        </w:tc>
        <w:tc>
          <w:tcPr>
            <w:tcW w:w="1367" w:type="pct"/>
            <w:tcBorders>
              <w:left w:val="nil"/>
            </w:tcBorders>
            <w:vAlign w:val="center"/>
          </w:tcPr>
          <w:p w:rsidR="00565FD5" w:rsidRPr="002672E5" w:rsidRDefault="00565FD5" w:rsidP="00AB62A3">
            <w:pPr>
              <w:jc w:val="center"/>
              <w:rPr>
                <w:rFonts w:cs="Tahoma"/>
                <w:b/>
                <w:bCs/>
                <w:sz w:val="15"/>
                <w:szCs w:val="15"/>
              </w:rPr>
            </w:pPr>
          </w:p>
        </w:tc>
        <w:tc>
          <w:tcPr>
            <w:tcW w:w="530" w:type="pct"/>
            <w:vAlign w:val="center"/>
          </w:tcPr>
          <w:p w:rsidR="00565FD5" w:rsidRPr="002672E5" w:rsidRDefault="00565FD5" w:rsidP="00AB62A3">
            <w:pPr>
              <w:jc w:val="center"/>
              <w:rPr>
                <w:rFonts w:cs="Tahoma"/>
                <w:b/>
                <w:bCs/>
                <w:sz w:val="15"/>
                <w:szCs w:val="15"/>
              </w:rPr>
            </w:pPr>
            <w:r w:rsidRPr="002672E5">
              <w:rPr>
                <w:rFonts w:cs="Tahoma"/>
                <w:b/>
                <w:bCs/>
                <w:sz w:val="15"/>
                <w:szCs w:val="15"/>
              </w:rPr>
              <w:t>2007</w:t>
            </w:r>
          </w:p>
        </w:tc>
        <w:tc>
          <w:tcPr>
            <w:tcW w:w="501" w:type="pct"/>
            <w:vAlign w:val="center"/>
          </w:tcPr>
          <w:p w:rsidR="00565FD5" w:rsidRPr="002672E5" w:rsidRDefault="00565FD5" w:rsidP="00AB62A3">
            <w:pPr>
              <w:jc w:val="center"/>
              <w:rPr>
                <w:rFonts w:cs="Tahoma"/>
                <w:b/>
                <w:bCs/>
                <w:sz w:val="15"/>
                <w:szCs w:val="15"/>
              </w:rPr>
            </w:pPr>
            <w:r w:rsidRPr="002672E5">
              <w:rPr>
                <w:rFonts w:cs="Tahoma"/>
                <w:b/>
                <w:bCs/>
                <w:sz w:val="15"/>
                <w:szCs w:val="15"/>
              </w:rPr>
              <w:t>2008</w:t>
            </w:r>
          </w:p>
        </w:tc>
        <w:tc>
          <w:tcPr>
            <w:tcW w:w="501" w:type="pct"/>
            <w:vAlign w:val="center"/>
          </w:tcPr>
          <w:p w:rsidR="00565FD5" w:rsidRPr="002672E5" w:rsidRDefault="00565FD5" w:rsidP="00AB62A3">
            <w:pPr>
              <w:jc w:val="center"/>
              <w:rPr>
                <w:rFonts w:cs="Tahoma"/>
                <w:b/>
                <w:bCs/>
                <w:sz w:val="15"/>
                <w:szCs w:val="15"/>
              </w:rPr>
            </w:pPr>
            <w:r w:rsidRPr="002672E5">
              <w:rPr>
                <w:rFonts w:cs="Tahoma"/>
                <w:b/>
                <w:bCs/>
                <w:sz w:val="15"/>
                <w:szCs w:val="15"/>
              </w:rPr>
              <w:t>2009</w:t>
            </w:r>
          </w:p>
        </w:tc>
        <w:tc>
          <w:tcPr>
            <w:tcW w:w="499" w:type="pct"/>
            <w:vAlign w:val="center"/>
          </w:tcPr>
          <w:p w:rsidR="00565FD5" w:rsidRPr="002672E5" w:rsidRDefault="00565FD5" w:rsidP="00AB62A3">
            <w:pPr>
              <w:ind w:left="-94" w:right="-123"/>
              <w:jc w:val="center"/>
              <w:rPr>
                <w:rFonts w:cs="Tahoma"/>
                <w:b/>
                <w:bCs/>
                <w:sz w:val="15"/>
                <w:szCs w:val="15"/>
              </w:rPr>
            </w:pPr>
            <w:r w:rsidRPr="002672E5">
              <w:rPr>
                <w:rFonts w:cs="Tahoma"/>
                <w:b/>
                <w:bCs/>
                <w:sz w:val="15"/>
                <w:szCs w:val="15"/>
              </w:rPr>
              <w:t>2010</w:t>
            </w:r>
          </w:p>
        </w:tc>
        <w:tc>
          <w:tcPr>
            <w:tcW w:w="600" w:type="pct"/>
            <w:vAlign w:val="center"/>
          </w:tcPr>
          <w:p w:rsidR="00565FD5" w:rsidRPr="002672E5" w:rsidRDefault="00565FD5" w:rsidP="00AB62A3">
            <w:pPr>
              <w:ind w:left="-94" w:right="-123"/>
              <w:jc w:val="center"/>
              <w:rPr>
                <w:rFonts w:cs="Tahoma"/>
                <w:b/>
                <w:bCs/>
                <w:sz w:val="15"/>
                <w:szCs w:val="15"/>
              </w:rPr>
            </w:pPr>
            <w:r w:rsidRPr="002672E5">
              <w:rPr>
                <w:rFonts w:cs="Tahoma"/>
                <w:b/>
                <w:bCs/>
                <w:sz w:val="15"/>
                <w:szCs w:val="15"/>
              </w:rPr>
              <w:t>2011</w:t>
            </w:r>
          </w:p>
        </w:tc>
      </w:tr>
      <w:tr w:rsidR="00565FD5" w:rsidRPr="002672E5" w:rsidTr="00AB62A3">
        <w:trPr>
          <w:trHeight w:val="20"/>
        </w:trPr>
        <w:tc>
          <w:tcPr>
            <w:tcW w:w="1002" w:type="pct"/>
            <w:vMerge w:val="restart"/>
            <w:vAlign w:val="center"/>
          </w:tcPr>
          <w:p w:rsidR="00565FD5" w:rsidRPr="002672E5" w:rsidRDefault="00565FD5" w:rsidP="00AB62A3">
            <w:pPr>
              <w:jc w:val="center"/>
              <w:rPr>
                <w:rFonts w:cs="Tahoma"/>
                <w:bCs/>
                <w:sz w:val="15"/>
                <w:szCs w:val="15"/>
              </w:rPr>
            </w:pPr>
            <w:r w:rsidRPr="002672E5">
              <w:rPr>
                <w:rFonts w:cs="Tahoma"/>
                <w:bCs/>
                <w:sz w:val="15"/>
                <w:szCs w:val="15"/>
              </w:rPr>
              <w:t>Elektrik</w:t>
            </w:r>
            <w:r w:rsidRPr="002672E5">
              <w:rPr>
                <w:rFonts w:cs="Tahoma"/>
                <w:bCs/>
                <w:sz w:val="15"/>
                <w:szCs w:val="15"/>
              </w:rPr>
              <w:br/>
              <w:t>(Cent/Kwh)</w:t>
            </w:r>
          </w:p>
        </w:tc>
        <w:tc>
          <w:tcPr>
            <w:tcW w:w="1367" w:type="pct"/>
            <w:vAlign w:val="center"/>
          </w:tcPr>
          <w:p w:rsidR="00565FD5" w:rsidRPr="002672E5" w:rsidRDefault="00565FD5" w:rsidP="00AB62A3">
            <w:pPr>
              <w:jc w:val="center"/>
              <w:rPr>
                <w:rFonts w:cs="Tahoma"/>
                <w:bCs/>
                <w:sz w:val="15"/>
                <w:szCs w:val="15"/>
              </w:rPr>
            </w:pPr>
            <w:r w:rsidRPr="002672E5">
              <w:rPr>
                <w:rFonts w:cs="Tahoma"/>
                <w:bCs/>
                <w:sz w:val="15"/>
                <w:szCs w:val="15"/>
              </w:rPr>
              <w:t>Türkiye</w:t>
            </w:r>
          </w:p>
        </w:tc>
        <w:tc>
          <w:tcPr>
            <w:tcW w:w="530" w:type="pct"/>
            <w:vAlign w:val="center"/>
          </w:tcPr>
          <w:p w:rsidR="00565FD5" w:rsidRPr="002672E5" w:rsidRDefault="00565FD5" w:rsidP="00AB62A3">
            <w:pPr>
              <w:jc w:val="center"/>
              <w:rPr>
                <w:rFonts w:cs="Tahoma"/>
                <w:bCs/>
                <w:sz w:val="15"/>
                <w:szCs w:val="15"/>
              </w:rPr>
            </w:pPr>
            <w:r w:rsidRPr="002672E5">
              <w:rPr>
                <w:rFonts w:cs="Tahoma"/>
                <w:bCs/>
                <w:sz w:val="15"/>
                <w:szCs w:val="15"/>
              </w:rPr>
              <w:t>13,2</w:t>
            </w:r>
          </w:p>
        </w:tc>
        <w:tc>
          <w:tcPr>
            <w:tcW w:w="501" w:type="pct"/>
            <w:vAlign w:val="center"/>
          </w:tcPr>
          <w:p w:rsidR="00565FD5" w:rsidRPr="002672E5" w:rsidRDefault="00565FD5" w:rsidP="00AB62A3">
            <w:pPr>
              <w:jc w:val="center"/>
              <w:rPr>
                <w:rFonts w:cs="Tahoma"/>
                <w:bCs/>
                <w:sz w:val="15"/>
                <w:szCs w:val="15"/>
              </w:rPr>
            </w:pPr>
            <w:r w:rsidRPr="002672E5">
              <w:rPr>
                <w:rFonts w:cs="Tahoma"/>
                <w:bCs/>
                <w:sz w:val="15"/>
                <w:szCs w:val="15"/>
              </w:rPr>
              <w:t>13,9</w:t>
            </w:r>
          </w:p>
        </w:tc>
        <w:tc>
          <w:tcPr>
            <w:tcW w:w="501" w:type="pct"/>
            <w:vAlign w:val="center"/>
          </w:tcPr>
          <w:p w:rsidR="00565FD5" w:rsidRPr="002672E5" w:rsidRDefault="00565FD5" w:rsidP="00AB62A3">
            <w:pPr>
              <w:jc w:val="center"/>
              <w:rPr>
                <w:rFonts w:cs="Tahoma"/>
                <w:bCs/>
                <w:sz w:val="15"/>
                <w:szCs w:val="15"/>
              </w:rPr>
            </w:pPr>
            <w:r w:rsidRPr="002672E5">
              <w:rPr>
                <w:rFonts w:cs="Tahoma"/>
                <w:bCs/>
                <w:sz w:val="15"/>
                <w:szCs w:val="15"/>
              </w:rPr>
              <w:t>13,8</w:t>
            </w:r>
          </w:p>
        </w:tc>
        <w:tc>
          <w:tcPr>
            <w:tcW w:w="499" w:type="pct"/>
            <w:vAlign w:val="center"/>
          </w:tcPr>
          <w:p w:rsidR="00565FD5" w:rsidRPr="002672E5" w:rsidRDefault="00565FD5" w:rsidP="00AB62A3">
            <w:pPr>
              <w:jc w:val="center"/>
              <w:rPr>
                <w:rFonts w:cs="Tahoma"/>
                <w:bCs/>
                <w:sz w:val="15"/>
                <w:szCs w:val="15"/>
              </w:rPr>
            </w:pPr>
            <w:r w:rsidRPr="002672E5">
              <w:rPr>
                <w:rFonts w:cs="Tahoma"/>
                <w:bCs/>
                <w:sz w:val="15"/>
                <w:szCs w:val="15"/>
              </w:rPr>
              <w:t>15,1</w:t>
            </w:r>
          </w:p>
        </w:tc>
        <w:tc>
          <w:tcPr>
            <w:tcW w:w="600" w:type="pct"/>
            <w:vAlign w:val="center"/>
          </w:tcPr>
          <w:p w:rsidR="00565FD5" w:rsidRPr="002672E5" w:rsidRDefault="00565FD5" w:rsidP="00AB62A3">
            <w:pPr>
              <w:jc w:val="center"/>
              <w:rPr>
                <w:rFonts w:cs="Tahoma"/>
                <w:bCs/>
                <w:sz w:val="15"/>
                <w:szCs w:val="15"/>
              </w:rPr>
            </w:pPr>
            <w:r w:rsidRPr="002672E5">
              <w:rPr>
                <w:rFonts w:cs="Tahoma"/>
                <w:bCs/>
                <w:sz w:val="15"/>
                <w:szCs w:val="15"/>
              </w:rPr>
              <w:t>13,9</w:t>
            </w:r>
          </w:p>
        </w:tc>
      </w:tr>
      <w:tr w:rsidR="00565FD5" w:rsidRPr="002672E5" w:rsidTr="00AB62A3">
        <w:trPr>
          <w:trHeight w:val="20"/>
        </w:trPr>
        <w:tc>
          <w:tcPr>
            <w:tcW w:w="1002" w:type="pct"/>
            <w:vMerge/>
            <w:vAlign w:val="center"/>
          </w:tcPr>
          <w:p w:rsidR="00565FD5" w:rsidRPr="002672E5" w:rsidRDefault="00565FD5" w:rsidP="00AB62A3">
            <w:pPr>
              <w:jc w:val="center"/>
              <w:rPr>
                <w:rFonts w:cs="Tahoma"/>
                <w:bCs/>
                <w:sz w:val="15"/>
                <w:szCs w:val="15"/>
              </w:rPr>
            </w:pPr>
          </w:p>
        </w:tc>
        <w:tc>
          <w:tcPr>
            <w:tcW w:w="1367" w:type="pct"/>
            <w:vAlign w:val="center"/>
          </w:tcPr>
          <w:p w:rsidR="00565FD5" w:rsidRPr="002672E5" w:rsidRDefault="00565FD5" w:rsidP="00AB62A3">
            <w:pPr>
              <w:jc w:val="center"/>
              <w:rPr>
                <w:rFonts w:cs="Tahoma"/>
                <w:bCs/>
                <w:sz w:val="15"/>
                <w:szCs w:val="15"/>
              </w:rPr>
            </w:pPr>
            <w:r w:rsidRPr="002672E5">
              <w:rPr>
                <w:rFonts w:cs="Tahoma"/>
                <w:bCs/>
                <w:sz w:val="15"/>
                <w:szCs w:val="15"/>
              </w:rPr>
              <w:t>OECD Üyesi AB Ülkeleri Ortalaması</w:t>
            </w:r>
            <w:r>
              <w:rPr>
                <w:rFonts w:cs="Tahoma"/>
                <w:bCs/>
                <w:sz w:val="15"/>
                <w:szCs w:val="15"/>
              </w:rPr>
              <w:t xml:space="preserve"> (1) </w:t>
            </w:r>
          </w:p>
        </w:tc>
        <w:tc>
          <w:tcPr>
            <w:tcW w:w="530" w:type="pct"/>
            <w:vAlign w:val="center"/>
          </w:tcPr>
          <w:p w:rsidR="00565FD5" w:rsidRPr="002672E5" w:rsidRDefault="00565FD5" w:rsidP="00AB62A3">
            <w:pPr>
              <w:jc w:val="center"/>
              <w:rPr>
                <w:rFonts w:cs="Tahoma"/>
                <w:bCs/>
                <w:sz w:val="15"/>
                <w:szCs w:val="15"/>
              </w:rPr>
            </w:pPr>
            <w:r w:rsidRPr="002672E5">
              <w:rPr>
                <w:rFonts w:cs="Tahoma"/>
                <w:bCs/>
                <w:sz w:val="15"/>
                <w:szCs w:val="15"/>
              </w:rPr>
              <w:t>13,2</w:t>
            </w:r>
          </w:p>
        </w:tc>
        <w:tc>
          <w:tcPr>
            <w:tcW w:w="501" w:type="pct"/>
            <w:vAlign w:val="center"/>
          </w:tcPr>
          <w:p w:rsidR="00565FD5" w:rsidRPr="002672E5" w:rsidRDefault="00565FD5" w:rsidP="00AB62A3">
            <w:pPr>
              <w:jc w:val="center"/>
              <w:rPr>
                <w:rFonts w:cs="Tahoma"/>
                <w:bCs/>
                <w:sz w:val="15"/>
                <w:szCs w:val="15"/>
              </w:rPr>
            </w:pPr>
            <w:r w:rsidRPr="002672E5">
              <w:rPr>
                <w:rFonts w:cs="Tahoma"/>
                <w:bCs/>
                <w:sz w:val="15"/>
                <w:szCs w:val="15"/>
              </w:rPr>
              <w:t>14,0</w:t>
            </w:r>
          </w:p>
        </w:tc>
        <w:tc>
          <w:tcPr>
            <w:tcW w:w="501" w:type="pct"/>
            <w:vAlign w:val="center"/>
          </w:tcPr>
          <w:p w:rsidR="00565FD5" w:rsidRPr="002672E5" w:rsidRDefault="00565FD5" w:rsidP="00AB62A3">
            <w:pPr>
              <w:jc w:val="center"/>
              <w:rPr>
                <w:rFonts w:cs="Tahoma"/>
                <w:bCs/>
                <w:sz w:val="15"/>
                <w:szCs w:val="15"/>
              </w:rPr>
            </w:pPr>
            <w:r w:rsidRPr="002672E5">
              <w:rPr>
                <w:rFonts w:cs="Tahoma"/>
                <w:bCs/>
                <w:sz w:val="15"/>
                <w:szCs w:val="15"/>
              </w:rPr>
              <w:t>13,4</w:t>
            </w:r>
          </w:p>
        </w:tc>
        <w:tc>
          <w:tcPr>
            <w:tcW w:w="499" w:type="pct"/>
            <w:vAlign w:val="center"/>
          </w:tcPr>
          <w:p w:rsidR="00565FD5" w:rsidRPr="002672E5" w:rsidRDefault="00565FD5" w:rsidP="00AB62A3">
            <w:pPr>
              <w:jc w:val="center"/>
              <w:rPr>
                <w:rFonts w:cs="Tahoma"/>
                <w:bCs/>
                <w:sz w:val="15"/>
                <w:szCs w:val="15"/>
              </w:rPr>
            </w:pPr>
            <w:r w:rsidRPr="002672E5">
              <w:rPr>
                <w:rFonts w:cs="Tahoma"/>
                <w:bCs/>
                <w:sz w:val="15"/>
                <w:szCs w:val="15"/>
              </w:rPr>
              <w:t>12,6</w:t>
            </w:r>
          </w:p>
        </w:tc>
        <w:tc>
          <w:tcPr>
            <w:tcW w:w="600" w:type="pct"/>
            <w:vAlign w:val="center"/>
          </w:tcPr>
          <w:p w:rsidR="00565FD5" w:rsidRPr="002672E5" w:rsidRDefault="00565FD5" w:rsidP="00AB62A3">
            <w:pPr>
              <w:jc w:val="center"/>
              <w:rPr>
                <w:rFonts w:cs="Tahoma"/>
                <w:bCs/>
                <w:sz w:val="15"/>
                <w:szCs w:val="15"/>
              </w:rPr>
            </w:pPr>
            <w:r w:rsidRPr="002672E5">
              <w:rPr>
                <w:rFonts w:cs="Tahoma"/>
                <w:bCs/>
                <w:sz w:val="15"/>
                <w:szCs w:val="15"/>
              </w:rPr>
              <w:t>13,7</w:t>
            </w:r>
          </w:p>
        </w:tc>
      </w:tr>
      <w:tr w:rsidR="00565FD5" w:rsidRPr="002672E5" w:rsidTr="00AB62A3">
        <w:trPr>
          <w:trHeight w:val="20"/>
        </w:trPr>
        <w:tc>
          <w:tcPr>
            <w:tcW w:w="1002" w:type="pct"/>
            <w:vMerge w:val="restart"/>
            <w:vAlign w:val="center"/>
          </w:tcPr>
          <w:p w:rsidR="00565FD5" w:rsidRPr="002672E5" w:rsidRDefault="00565FD5" w:rsidP="00AB62A3">
            <w:pPr>
              <w:jc w:val="center"/>
              <w:rPr>
                <w:rFonts w:cs="Tahoma"/>
                <w:bCs/>
                <w:sz w:val="15"/>
                <w:szCs w:val="15"/>
              </w:rPr>
            </w:pPr>
            <w:r w:rsidRPr="002672E5">
              <w:rPr>
                <w:rFonts w:cs="Tahoma"/>
                <w:bCs/>
                <w:sz w:val="15"/>
                <w:szCs w:val="15"/>
              </w:rPr>
              <w:t>Doğal Gaz</w:t>
            </w:r>
          </w:p>
          <w:p w:rsidR="00565FD5" w:rsidRPr="002672E5" w:rsidRDefault="00565FD5" w:rsidP="00AB62A3">
            <w:pPr>
              <w:jc w:val="center"/>
              <w:rPr>
                <w:rFonts w:cs="Tahoma"/>
                <w:bCs/>
                <w:sz w:val="15"/>
                <w:szCs w:val="15"/>
              </w:rPr>
            </w:pPr>
            <w:r w:rsidRPr="002672E5">
              <w:rPr>
                <w:rFonts w:cs="Tahoma"/>
                <w:bCs/>
                <w:sz w:val="15"/>
                <w:szCs w:val="15"/>
              </w:rPr>
              <w:t>(Dolar/10</w:t>
            </w:r>
            <w:r w:rsidRPr="002672E5">
              <w:rPr>
                <w:rFonts w:cs="Tahoma"/>
                <w:bCs/>
                <w:sz w:val="15"/>
                <w:szCs w:val="15"/>
                <w:vertAlign w:val="superscript"/>
              </w:rPr>
              <w:t>7</w:t>
            </w:r>
            <w:r w:rsidRPr="002672E5">
              <w:rPr>
                <w:rFonts w:cs="Tahoma"/>
                <w:bCs/>
                <w:sz w:val="15"/>
                <w:szCs w:val="15"/>
              </w:rPr>
              <w:t xml:space="preserve"> Kcal)</w:t>
            </w:r>
          </w:p>
        </w:tc>
        <w:tc>
          <w:tcPr>
            <w:tcW w:w="1367" w:type="pct"/>
            <w:vAlign w:val="center"/>
          </w:tcPr>
          <w:p w:rsidR="00565FD5" w:rsidRPr="002672E5" w:rsidRDefault="00565FD5" w:rsidP="00AB62A3">
            <w:pPr>
              <w:jc w:val="center"/>
              <w:rPr>
                <w:rFonts w:cs="Tahoma"/>
                <w:bCs/>
                <w:sz w:val="15"/>
                <w:szCs w:val="15"/>
              </w:rPr>
            </w:pPr>
            <w:r w:rsidRPr="002672E5">
              <w:rPr>
                <w:rFonts w:cs="Tahoma"/>
                <w:bCs/>
                <w:sz w:val="15"/>
                <w:szCs w:val="15"/>
              </w:rPr>
              <w:t>Türkiye</w:t>
            </w:r>
          </w:p>
        </w:tc>
        <w:tc>
          <w:tcPr>
            <w:tcW w:w="530" w:type="pct"/>
          </w:tcPr>
          <w:p w:rsidR="00565FD5" w:rsidRPr="002672E5" w:rsidRDefault="00565FD5" w:rsidP="00AB62A3">
            <w:pPr>
              <w:jc w:val="center"/>
              <w:rPr>
                <w:rFonts w:cs="Tahoma"/>
                <w:bCs/>
                <w:sz w:val="15"/>
                <w:szCs w:val="15"/>
              </w:rPr>
            </w:pPr>
            <w:r w:rsidRPr="002672E5">
              <w:rPr>
                <w:rFonts w:cs="Tahoma"/>
                <w:bCs/>
                <w:sz w:val="15"/>
                <w:szCs w:val="15"/>
              </w:rPr>
              <w:t>513,6</w:t>
            </w:r>
          </w:p>
        </w:tc>
        <w:tc>
          <w:tcPr>
            <w:tcW w:w="501" w:type="pct"/>
          </w:tcPr>
          <w:p w:rsidR="00565FD5" w:rsidRPr="002672E5" w:rsidRDefault="00565FD5" w:rsidP="00AB62A3">
            <w:pPr>
              <w:jc w:val="center"/>
              <w:rPr>
                <w:rFonts w:cs="Tahoma"/>
                <w:bCs/>
                <w:sz w:val="15"/>
                <w:szCs w:val="15"/>
              </w:rPr>
            </w:pPr>
            <w:r w:rsidRPr="002672E5">
              <w:rPr>
                <w:rFonts w:cs="Tahoma"/>
                <w:bCs/>
                <w:sz w:val="15"/>
                <w:szCs w:val="15"/>
              </w:rPr>
              <w:t>572,9</w:t>
            </w:r>
          </w:p>
        </w:tc>
        <w:tc>
          <w:tcPr>
            <w:tcW w:w="501" w:type="pct"/>
          </w:tcPr>
          <w:p w:rsidR="00565FD5" w:rsidRPr="002672E5" w:rsidRDefault="00565FD5" w:rsidP="00AB62A3">
            <w:pPr>
              <w:jc w:val="center"/>
              <w:rPr>
                <w:rFonts w:cs="Tahoma"/>
                <w:bCs/>
                <w:sz w:val="15"/>
                <w:szCs w:val="15"/>
              </w:rPr>
            </w:pPr>
            <w:r w:rsidRPr="002672E5">
              <w:rPr>
                <w:rFonts w:cs="Tahoma"/>
                <w:bCs/>
                <w:sz w:val="15"/>
                <w:szCs w:val="15"/>
              </w:rPr>
              <w:t>467,6</w:t>
            </w:r>
          </w:p>
        </w:tc>
        <w:tc>
          <w:tcPr>
            <w:tcW w:w="499" w:type="pct"/>
          </w:tcPr>
          <w:p w:rsidR="00565FD5" w:rsidRPr="002672E5" w:rsidRDefault="00565FD5" w:rsidP="00AB62A3">
            <w:pPr>
              <w:jc w:val="center"/>
              <w:rPr>
                <w:rFonts w:cs="Tahoma"/>
                <w:bCs/>
                <w:sz w:val="15"/>
                <w:szCs w:val="15"/>
              </w:rPr>
            </w:pPr>
            <w:r w:rsidRPr="002672E5">
              <w:rPr>
                <w:rFonts w:cs="Tahoma"/>
                <w:bCs/>
                <w:sz w:val="15"/>
                <w:szCs w:val="15"/>
              </w:rPr>
              <w:t>407,3</w:t>
            </w:r>
          </w:p>
        </w:tc>
        <w:tc>
          <w:tcPr>
            <w:tcW w:w="600" w:type="pct"/>
          </w:tcPr>
          <w:p w:rsidR="00565FD5" w:rsidRPr="002672E5" w:rsidRDefault="00565FD5" w:rsidP="00AB62A3">
            <w:pPr>
              <w:jc w:val="center"/>
              <w:rPr>
                <w:rFonts w:cs="Tahoma"/>
                <w:bCs/>
                <w:sz w:val="15"/>
                <w:szCs w:val="15"/>
              </w:rPr>
            </w:pPr>
            <w:r w:rsidRPr="002672E5">
              <w:rPr>
                <w:rFonts w:cs="Tahoma"/>
                <w:bCs/>
                <w:sz w:val="15"/>
                <w:szCs w:val="15"/>
              </w:rPr>
              <w:t>393,1</w:t>
            </w:r>
          </w:p>
        </w:tc>
      </w:tr>
      <w:tr w:rsidR="00565FD5" w:rsidRPr="002672E5" w:rsidTr="00AB62A3">
        <w:trPr>
          <w:trHeight w:val="20"/>
        </w:trPr>
        <w:tc>
          <w:tcPr>
            <w:tcW w:w="1002" w:type="pct"/>
            <w:vMerge/>
            <w:vAlign w:val="center"/>
          </w:tcPr>
          <w:p w:rsidR="00565FD5" w:rsidRPr="002672E5" w:rsidRDefault="00565FD5" w:rsidP="00AB62A3">
            <w:pPr>
              <w:jc w:val="center"/>
              <w:rPr>
                <w:rFonts w:cs="Tahoma"/>
                <w:bCs/>
                <w:sz w:val="15"/>
                <w:szCs w:val="15"/>
              </w:rPr>
            </w:pPr>
          </w:p>
        </w:tc>
        <w:tc>
          <w:tcPr>
            <w:tcW w:w="1367" w:type="pct"/>
            <w:vAlign w:val="center"/>
          </w:tcPr>
          <w:p w:rsidR="00565FD5" w:rsidRPr="002672E5" w:rsidRDefault="00565FD5" w:rsidP="00AB62A3">
            <w:pPr>
              <w:jc w:val="center"/>
              <w:rPr>
                <w:rFonts w:cs="Tahoma"/>
                <w:bCs/>
                <w:sz w:val="15"/>
                <w:szCs w:val="15"/>
              </w:rPr>
            </w:pPr>
            <w:r w:rsidRPr="002672E5">
              <w:rPr>
                <w:rFonts w:cs="Tahoma"/>
                <w:bCs/>
                <w:sz w:val="15"/>
                <w:szCs w:val="15"/>
              </w:rPr>
              <w:t>OECD Üyesi AB Ülkeleri Ortalaması</w:t>
            </w:r>
            <w:r>
              <w:rPr>
                <w:rFonts w:cs="Tahoma"/>
                <w:bCs/>
                <w:sz w:val="15"/>
                <w:szCs w:val="15"/>
              </w:rPr>
              <w:t xml:space="preserve"> (1)</w:t>
            </w:r>
          </w:p>
        </w:tc>
        <w:tc>
          <w:tcPr>
            <w:tcW w:w="530" w:type="pct"/>
          </w:tcPr>
          <w:p w:rsidR="00565FD5" w:rsidRPr="002672E5" w:rsidRDefault="00565FD5" w:rsidP="00AB62A3">
            <w:pPr>
              <w:jc w:val="center"/>
              <w:rPr>
                <w:rFonts w:cs="Tahoma"/>
                <w:bCs/>
                <w:sz w:val="15"/>
                <w:szCs w:val="15"/>
              </w:rPr>
            </w:pPr>
            <w:r w:rsidRPr="002672E5">
              <w:rPr>
                <w:rFonts w:cs="Tahoma"/>
                <w:bCs/>
                <w:sz w:val="15"/>
                <w:szCs w:val="15"/>
              </w:rPr>
              <w:t>517,1</w:t>
            </w:r>
          </w:p>
        </w:tc>
        <w:tc>
          <w:tcPr>
            <w:tcW w:w="501" w:type="pct"/>
          </w:tcPr>
          <w:p w:rsidR="00565FD5" w:rsidRPr="002672E5" w:rsidRDefault="00565FD5" w:rsidP="00AB62A3">
            <w:pPr>
              <w:jc w:val="center"/>
              <w:rPr>
                <w:rFonts w:cs="Tahoma"/>
                <w:bCs/>
                <w:sz w:val="15"/>
                <w:szCs w:val="15"/>
              </w:rPr>
            </w:pPr>
            <w:r w:rsidRPr="002672E5">
              <w:rPr>
                <w:rFonts w:cs="Tahoma"/>
                <w:bCs/>
                <w:sz w:val="15"/>
                <w:szCs w:val="15"/>
              </w:rPr>
              <w:t>586,0</w:t>
            </w:r>
          </w:p>
        </w:tc>
        <w:tc>
          <w:tcPr>
            <w:tcW w:w="501" w:type="pct"/>
          </w:tcPr>
          <w:p w:rsidR="00565FD5" w:rsidRPr="002672E5" w:rsidRDefault="00565FD5" w:rsidP="00AB62A3">
            <w:pPr>
              <w:jc w:val="center"/>
              <w:rPr>
                <w:rFonts w:cs="Tahoma"/>
                <w:bCs/>
                <w:sz w:val="15"/>
                <w:szCs w:val="15"/>
              </w:rPr>
            </w:pPr>
            <w:r w:rsidRPr="002672E5">
              <w:rPr>
                <w:rFonts w:cs="Tahoma"/>
                <w:bCs/>
                <w:sz w:val="15"/>
                <w:szCs w:val="15"/>
              </w:rPr>
              <w:t>498,4</w:t>
            </w:r>
          </w:p>
        </w:tc>
        <w:tc>
          <w:tcPr>
            <w:tcW w:w="499" w:type="pct"/>
          </w:tcPr>
          <w:p w:rsidR="00565FD5" w:rsidRPr="002672E5" w:rsidRDefault="00565FD5" w:rsidP="00AB62A3">
            <w:pPr>
              <w:jc w:val="center"/>
              <w:rPr>
                <w:rFonts w:cs="Tahoma"/>
                <w:bCs/>
                <w:sz w:val="15"/>
                <w:szCs w:val="15"/>
              </w:rPr>
            </w:pPr>
            <w:r w:rsidRPr="002672E5">
              <w:rPr>
                <w:rFonts w:cs="Tahoma"/>
                <w:bCs/>
                <w:sz w:val="15"/>
                <w:szCs w:val="15"/>
              </w:rPr>
              <w:t>473,6</w:t>
            </w:r>
          </w:p>
        </w:tc>
        <w:tc>
          <w:tcPr>
            <w:tcW w:w="600" w:type="pct"/>
          </w:tcPr>
          <w:p w:rsidR="00565FD5" w:rsidRPr="002672E5" w:rsidRDefault="00565FD5" w:rsidP="00AB62A3">
            <w:pPr>
              <w:jc w:val="center"/>
              <w:rPr>
                <w:rFonts w:cs="Tahoma"/>
                <w:bCs/>
                <w:sz w:val="15"/>
                <w:szCs w:val="15"/>
              </w:rPr>
            </w:pPr>
            <w:r w:rsidRPr="002672E5">
              <w:rPr>
                <w:rFonts w:cs="Tahoma"/>
                <w:bCs/>
                <w:sz w:val="15"/>
                <w:szCs w:val="15"/>
              </w:rPr>
              <w:t>572,5</w:t>
            </w:r>
          </w:p>
        </w:tc>
      </w:tr>
    </w:tbl>
    <w:p w:rsidR="00565FD5" w:rsidRDefault="00565FD5" w:rsidP="00565FD5">
      <w:pPr>
        <w:rPr>
          <w:rFonts w:cs="Tahoma"/>
          <w:sz w:val="14"/>
          <w:szCs w:val="14"/>
        </w:rPr>
      </w:pPr>
      <w:r w:rsidRPr="009C53C7">
        <w:rPr>
          <w:rFonts w:cs="Tahoma"/>
          <w:sz w:val="14"/>
          <w:szCs w:val="14"/>
        </w:rPr>
        <w:t>Kaynak: Uluslara</w:t>
      </w:r>
      <w:r>
        <w:rPr>
          <w:rFonts w:cs="Tahoma"/>
          <w:sz w:val="14"/>
          <w:szCs w:val="14"/>
        </w:rPr>
        <w:t>rası Enerji Ajansı (IEA)</w:t>
      </w:r>
    </w:p>
    <w:p w:rsidR="00565FD5" w:rsidRPr="009C53C7" w:rsidRDefault="00565FD5" w:rsidP="00565FD5">
      <w:pPr>
        <w:spacing w:after="360"/>
        <w:rPr>
          <w:rFonts w:cs="Tahoma"/>
          <w:sz w:val="14"/>
          <w:szCs w:val="14"/>
        </w:rPr>
      </w:pPr>
      <w:r w:rsidRPr="009C53C7">
        <w:rPr>
          <w:rFonts w:cs="Tahoma"/>
          <w:sz w:val="14"/>
          <w:szCs w:val="14"/>
        </w:rPr>
        <w:t xml:space="preserve">(1) AB üyesi OECD ülkelerine Norveç ve İsviçre dahil edilmiştir.  </w:t>
      </w:r>
    </w:p>
    <w:p w:rsidR="00565FD5" w:rsidRPr="007B777A" w:rsidRDefault="00565FD5" w:rsidP="00565FD5">
      <w:pPr>
        <w:pStyle w:val="ResimYazs"/>
        <w:rPr>
          <w:rFonts w:cs="Tahoma"/>
          <w:sz w:val="14"/>
          <w:szCs w:val="14"/>
        </w:rPr>
      </w:pPr>
      <w:bookmarkStart w:id="1965" w:name="_Toc338606030"/>
      <w:bookmarkStart w:id="1966" w:name="_Toc338711805"/>
      <w:r>
        <w:t xml:space="preserve">TABLO IV: </w:t>
      </w:r>
      <w:fldSimple w:instr=" SEQ TABLO_IV: \* ARABIC ">
        <w:r>
          <w:rPr>
            <w:noProof/>
          </w:rPr>
          <w:t>35</w:t>
        </w:r>
      </w:fldSimple>
      <w:r w:rsidRPr="007B777A">
        <w:rPr>
          <w:szCs w:val="16"/>
        </w:rPr>
        <w:t>- Sanayide Kullanılan Elektrik ve Doğal Gazdaki Fiyat Artışları</w:t>
      </w:r>
      <w:bookmarkEnd w:id="1965"/>
      <w:bookmarkEnd w:id="1966"/>
    </w:p>
    <w:tbl>
      <w:tblPr>
        <w:tblW w:w="7144" w:type="dxa"/>
        <w:jc w:val="center"/>
        <w:tblBorders>
          <w:top w:val="single" w:sz="4" w:space="0" w:color="auto"/>
          <w:bottom w:val="single" w:sz="4" w:space="0" w:color="auto"/>
        </w:tblBorders>
        <w:tblLook w:val="0000"/>
      </w:tblPr>
      <w:tblGrid>
        <w:gridCol w:w="944"/>
        <w:gridCol w:w="1022"/>
        <w:gridCol w:w="1022"/>
        <w:gridCol w:w="1022"/>
        <w:gridCol w:w="1024"/>
        <w:gridCol w:w="1024"/>
        <w:gridCol w:w="1086"/>
      </w:tblGrid>
      <w:tr w:rsidR="00565FD5" w:rsidRPr="002672E5" w:rsidTr="00AB62A3">
        <w:trPr>
          <w:trHeight w:val="225"/>
          <w:jc w:val="center"/>
        </w:trPr>
        <w:tc>
          <w:tcPr>
            <w:tcW w:w="661" w:type="pct"/>
            <w:tcBorders>
              <w:top w:val="nil"/>
              <w:left w:val="nil"/>
              <w:bottom w:val="single" w:sz="4" w:space="0" w:color="auto"/>
            </w:tcBorders>
          </w:tcPr>
          <w:p w:rsidR="00565FD5" w:rsidRPr="002672E5" w:rsidRDefault="00565FD5" w:rsidP="00AB62A3">
            <w:pPr>
              <w:rPr>
                <w:rFonts w:cs="Tahoma"/>
                <w:sz w:val="15"/>
                <w:szCs w:val="15"/>
              </w:rPr>
            </w:pPr>
          </w:p>
        </w:tc>
        <w:tc>
          <w:tcPr>
            <w:tcW w:w="715" w:type="pct"/>
            <w:tcBorders>
              <w:top w:val="nil"/>
              <w:bottom w:val="single" w:sz="4" w:space="0" w:color="auto"/>
            </w:tcBorders>
            <w:vAlign w:val="center"/>
          </w:tcPr>
          <w:p w:rsidR="00565FD5" w:rsidRPr="002672E5" w:rsidRDefault="00565FD5" w:rsidP="00AB62A3">
            <w:pPr>
              <w:jc w:val="center"/>
              <w:rPr>
                <w:rFonts w:cs="Tahoma"/>
                <w:b/>
                <w:bCs/>
                <w:sz w:val="15"/>
                <w:szCs w:val="15"/>
              </w:rPr>
            </w:pPr>
          </w:p>
        </w:tc>
        <w:tc>
          <w:tcPr>
            <w:tcW w:w="715" w:type="pct"/>
            <w:tcBorders>
              <w:top w:val="nil"/>
              <w:bottom w:val="single" w:sz="4" w:space="0" w:color="auto"/>
            </w:tcBorders>
            <w:vAlign w:val="center"/>
          </w:tcPr>
          <w:p w:rsidR="00565FD5" w:rsidRPr="002672E5" w:rsidRDefault="00565FD5" w:rsidP="00AB62A3">
            <w:pPr>
              <w:jc w:val="center"/>
              <w:rPr>
                <w:rFonts w:cs="Tahoma"/>
                <w:b/>
                <w:bCs/>
                <w:sz w:val="15"/>
                <w:szCs w:val="15"/>
              </w:rPr>
            </w:pPr>
          </w:p>
        </w:tc>
        <w:tc>
          <w:tcPr>
            <w:tcW w:w="2909" w:type="pct"/>
            <w:gridSpan w:val="4"/>
            <w:tcBorders>
              <w:top w:val="nil"/>
              <w:bottom w:val="single" w:sz="4" w:space="0" w:color="auto"/>
              <w:right w:val="nil"/>
            </w:tcBorders>
            <w:vAlign w:val="center"/>
          </w:tcPr>
          <w:p w:rsidR="00565FD5" w:rsidRPr="002672E5" w:rsidRDefault="00565FD5" w:rsidP="00AB62A3">
            <w:pPr>
              <w:jc w:val="right"/>
              <w:rPr>
                <w:rFonts w:cs="Tahoma"/>
                <w:b/>
                <w:bCs/>
                <w:sz w:val="15"/>
                <w:szCs w:val="15"/>
              </w:rPr>
            </w:pPr>
            <w:r w:rsidRPr="002672E5">
              <w:rPr>
                <w:rFonts w:cs="Tahoma"/>
                <w:sz w:val="15"/>
                <w:szCs w:val="15"/>
              </w:rPr>
              <w:t>(Yılsonu fiyatlarındaki yüzde değişim)</w:t>
            </w:r>
          </w:p>
        </w:tc>
      </w:tr>
      <w:tr w:rsidR="00565FD5" w:rsidRPr="002672E5" w:rsidTr="00AB62A3">
        <w:trPr>
          <w:trHeight w:val="340"/>
          <w:jc w:val="center"/>
        </w:trPr>
        <w:tc>
          <w:tcPr>
            <w:tcW w:w="661" w:type="pct"/>
            <w:tcBorders>
              <w:top w:val="single" w:sz="4" w:space="0" w:color="auto"/>
              <w:left w:val="single" w:sz="4" w:space="0" w:color="auto"/>
              <w:bottom w:val="single" w:sz="4" w:space="0" w:color="auto"/>
            </w:tcBorders>
            <w:vAlign w:val="center"/>
          </w:tcPr>
          <w:p w:rsidR="00565FD5" w:rsidRPr="002672E5" w:rsidRDefault="00565FD5" w:rsidP="00AB62A3">
            <w:pPr>
              <w:rPr>
                <w:rFonts w:cs="Tahoma"/>
                <w:sz w:val="15"/>
                <w:szCs w:val="15"/>
              </w:rPr>
            </w:pPr>
          </w:p>
        </w:tc>
        <w:tc>
          <w:tcPr>
            <w:tcW w:w="715" w:type="pct"/>
            <w:tcBorders>
              <w:top w:val="single" w:sz="4" w:space="0" w:color="auto"/>
              <w:bottom w:val="single" w:sz="4" w:space="0" w:color="auto"/>
            </w:tcBorders>
            <w:vAlign w:val="center"/>
          </w:tcPr>
          <w:p w:rsidR="00565FD5" w:rsidRPr="002672E5" w:rsidRDefault="00565FD5" w:rsidP="00AB62A3">
            <w:pPr>
              <w:jc w:val="center"/>
              <w:rPr>
                <w:rFonts w:cs="Tahoma"/>
                <w:b/>
                <w:bCs/>
                <w:sz w:val="15"/>
                <w:szCs w:val="15"/>
              </w:rPr>
            </w:pPr>
            <w:r w:rsidRPr="002672E5">
              <w:rPr>
                <w:rFonts w:cs="Tahoma"/>
                <w:b/>
                <w:bCs/>
                <w:sz w:val="15"/>
                <w:szCs w:val="15"/>
              </w:rPr>
              <w:t>2007</w:t>
            </w:r>
          </w:p>
        </w:tc>
        <w:tc>
          <w:tcPr>
            <w:tcW w:w="715" w:type="pct"/>
            <w:tcBorders>
              <w:top w:val="single" w:sz="4" w:space="0" w:color="auto"/>
              <w:bottom w:val="single" w:sz="4" w:space="0" w:color="auto"/>
            </w:tcBorders>
            <w:vAlign w:val="center"/>
          </w:tcPr>
          <w:p w:rsidR="00565FD5" w:rsidRPr="002672E5" w:rsidRDefault="00565FD5" w:rsidP="00AB62A3">
            <w:pPr>
              <w:jc w:val="center"/>
              <w:rPr>
                <w:rFonts w:cs="Tahoma"/>
                <w:b/>
                <w:bCs/>
                <w:sz w:val="15"/>
                <w:szCs w:val="15"/>
              </w:rPr>
            </w:pPr>
            <w:r w:rsidRPr="002672E5">
              <w:rPr>
                <w:rFonts w:cs="Tahoma"/>
                <w:b/>
                <w:bCs/>
                <w:sz w:val="15"/>
                <w:szCs w:val="15"/>
              </w:rPr>
              <w:t>2008</w:t>
            </w:r>
          </w:p>
        </w:tc>
        <w:tc>
          <w:tcPr>
            <w:tcW w:w="715" w:type="pct"/>
            <w:tcBorders>
              <w:top w:val="single" w:sz="4" w:space="0" w:color="auto"/>
              <w:bottom w:val="single" w:sz="4" w:space="0" w:color="auto"/>
            </w:tcBorders>
            <w:vAlign w:val="center"/>
          </w:tcPr>
          <w:p w:rsidR="00565FD5" w:rsidRPr="002672E5" w:rsidRDefault="00565FD5" w:rsidP="00AB62A3">
            <w:pPr>
              <w:jc w:val="center"/>
              <w:rPr>
                <w:rFonts w:cs="Tahoma"/>
                <w:b/>
                <w:bCs/>
                <w:sz w:val="15"/>
                <w:szCs w:val="15"/>
              </w:rPr>
            </w:pPr>
            <w:r w:rsidRPr="002672E5">
              <w:rPr>
                <w:rFonts w:cs="Tahoma"/>
                <w:b/>
                <w:bCs/>
                <w:sz w:val="15"/>
                <w:szCs w:val="15"/>
              </w:rPr>
              <w:t>2009</w:t>
            </w:r>
          </w:p>
        </w:tc>
        <w:tc>
          <w:tcPr>
            <w:tcW w:w="717" w:type="pct"/>
            <w:tcBorders>
              <w:top w:val="single" w:sz="4" w:space="0" w:color="auto"/>
              <w:bottom w:val="single" w:sz="4" w:space="0" w:color="auto"/>
            </w:tcBorders>
            <w:vAlign w:val="center"/>
          </w:tcPr>
          <w:p w:rsidR="00565FD5" w:rsidRPr="002672E5" w:rsidRDefault="00565FD5" w:rsidP="00AB62A3">
            <w:pPr>
              <w:jc w:val="center"/>
              <w:rPr>
                <w:rFonts w:cs="Tahoma"/>
                <w:b/>
                <w:bCs/>
                <w:sz w:val="15"/>
                <w:szCs w:val="15"/>
              </w:rPr>
            </w:pPr>
            <w:r w:rsidRPr="002672E5">
              <w:rPr>
                <w:rFonts w:cs="Tahoma"/>
                <w:b/>
                <w:bCs/>
                <w:sz w:val="15"/>
                <w:szCs w:val="15"/>
              </w:rPr>
              <w:t>2010</w:t>
            </w:r>
          </w:p>
        </w:tc>
        <w:tc>
          <w:tcPr>
            <w:tcW w:w="717" w:type="pct"/>
            <w:tcBorders>
              <w:top w:val="single" w:sz="4" w:space="0" w:color="auto"/>
              <w:bottom w:val="single" w:sz="4" w:space="0" w:color="auto"/>
            </w:tcBorders>
            <w:vAlign w:val="center"/>
          </w:tcPr>
          <w:p w:rsidR="00565FD5" w:rsidRPr="002672E5" w:rsidRDefault="00565FD5" w:rsidP="00AB62A3">
            <w:pPr>
              <w:jc w:val="center"/>
              <w:rPr>
                <w:rFonts w:cs="Tahoma"/>
                <w:b/>
                <w:bCs/>
                <w:sz w:val="15"/>
                <w:szCs w:val="15"/>
              </w:rPr>
            </w:pPr>
            <w:r w:rsidRPr="002672E5">
              <w:rPr>
                <w:rFonts w:cs="Tahoma"/>
                <w:b/>
                <w:bCs/>
                <w:sz w:val="15"/>
                <w:szCs w:val="15"/>
              </w:rPr>
              <w:t>2011</w:t>
            </w:r>
            <w:r w:rsidRPr="002672E5">
              <w:rPr>
                <w:rFonts w:cs="Tahoma"/>
                <w:b/>
                <w:bCs/>
                <w:sz w:val="15"/>
                <w:szCs w:val="15"/>
                <w:vertAlign w:val="superscript"/>
              </w:rPr>
              <w:t xml:space="preserve"> </w:t>
            </w:r>
          </w:p>
        </w:tc>
        <w:tc>
          <w:tcPr>
            <w:tcW w:w="760" w:type="pct"/>
            <w:tcBorders>
              <w:top w:val="single" w:sz="4" w:space="0" w:color="auto"/>
              <w:bottom w:val="single" w:sz="4" w:space="0" w:color="auto"/>
              <w:right w:val="single" w:sz="4" w:space="0" w:color="auto"/>
            </w:tcBorders>
            <w:vAlign w:val="center"/>
          </w:tcPr>
          <w:p w:rsidR="00565FD5" w:rsidRPr="002672E5" w:rsidRDefault="00565FD5" w:rsidP="00AB62A3">
            <w:pPr>
              <w:jc w:val="center"/>
              <w:rPr>
                <w:rFonts w:cs="Tahoma"/>
                <w:b/>
                <w:bCs/>
                <w:sz w:val="15"/>
                <w:szCs w:val="15"/>
              </w:rPr>
            </w:pPr>
            <w:r w:rsidRPr="002672E5">
              <w:rPr>
                <w:rFonts w:cs="Tahoma"/>
                <w:b/>
                <w:bCs/>
                <w:sz w:val="15"/>
                <w:szCs w:val="15"/>
              </w:rPr>
              <w:t>2012(3)</w:t>
            </w:r>
            <w:r w:rsidRPr="002672E5">
              <w:rPr>
                <w:rFonts w:cs="Tahoma"/>
                <w:b/>
                <w:bCs/>
                <w:sz w:val="15"/>
                <w:szCs w:val="15"/>
                <w:vertAlign w:val="superscript"/>
              </w:rPr>
              <w:t xml:space="preserve"> </w:t>
            </w:r>
          </w:p>
        </w:tc>
      </w:tr>
      <w:tr w:rsidR="00565FD5" w:rsidRPr="002672E5" w:rsidTr="00AB62A3">
        <w:trPr>
          <w:trHeight w:val="340"/>
          <w:jc w:val="center"/>
        </w:trPr>
        <w:tc>
          <w:tcPr>
            <w:tcW w:w="661" w:type="pct"/>
            <w:tcBorders>
              <w:top w:val="single" w:sz="4" w:space="0" w:color="auto"/>
              <w:left w:val="single" w:sz="4" w:space="0" w:color="auto"/>
              <w:bottom w:val="nil"/>
            </w:tcBorders>
            <w:vAlign w:val="center"/>
          </w:tcPr>
          <w:p w:rsidR="00565FD5" w:rsidRPr="002672E5" w:rsidRDefault="00565FD5" w:rsidP="00AB62A3">
            <w:pPr>
              <w:rPr>
                <w:rFonts w:cs="Tahoma"/>
                <w:sz w:val="15"/>
                <w:szCs w:val="15"/>
              </w:rPr>
            </w:pPr>
            <w:r w:rsidRPr="002672E5">
              <w:rPr>
                <w:rFonts w:cs="Tahoma"/>
                <w:bCs/>
                <w:sz w:val="15"/>
                <w:szCs w:val="15"/>
              </w:rPr>
              <w:t>Elektrik(1)</w:t>
            </w:r>
          </w:p>
        </w:tc>
        <w:tc>
          <w:tcPr>
            <w:tcW w:w="715" w:type="pct"/>
            <w:tcBorders>
              <w:top w:val="single" w:sz="4" w:space="0" w:color="auto"/>
              <w:bottom w:val="nil"/>
            </w:tcBorders>
            <w:vAlign w:val="center"/>
          </w:tcPr>
          <w:p w:rsidR="00565FD5" w:rsidRPr="002672E5" w:rsidRDefault="00565FD5" w:rsidP="00AB62A3">
            <w:pPr>
              <w:jc w:val="center"/>
              <w:rPr>
                <w:rFonts w:cs="Tahoma"/>
                <w:bCs/>
                <w:sz w:val="15"/>
                <w:szCs w:val="15"/>
              </w:rPr>
            </w:pPr>
            <w:r w:rsidRPr="002672E5">
              <w:rPr>
                <w:rFonts w:cs="Tahoma"/>
                <w:bCs/>
                <w:sz w:val="15"/>
                <w:szCs w:val="15"/>
              </w:rPr>
              <w:t>-2,9</w:t>
            </w:r>
          </w:p>
        </w:tc>
        <w:tc>
          <w:tcPr>
            <w:tcW w:w="715" w:type="pct"/>
            <w:tcBorders>
              <w:top w:val="single" w:sz="4" w:space="0" w:color="auto"/>
              <w:bottom w:val="nil"/>
            </w:tcBorders>
            <w:vAlign w:val="center"/>
          </w:tcPr>
          <w:p w:rsidR="00565FD5" w:rsidRPr="002672E5" w:rsidRDefault="00565FD5" w:rsidP="00AB62A3">
            <w:pPr>
              <w:jc w:val="center"/>
              <w:rPr>
                <w:rFonts w:cs="Tahoma"/>
                <w:bCs/>
                <w:sz w:val="15"/>
                <w:szCs w:val="15"/>
              </w:rPr>
            </w:pPr>
            <w:r w:rsidRPr="002672E5">
              <w:rPr>
                <w:rFonts w:cs="Tahoma"/>
                <w:bCs/>
                <w:sz w:val="15"/>
                <w:szCs w:val="15"/>
              </w:rPr>
              <w:t>51,7</w:t>
            </w:r>
          </w:p>
        </w:tc>
        <w:tc>
          <w:tcPr>
            <w:tcW w:w="715" w:type="pct"/>
            <w:tcBorders>
              <w:top w:val="single" w:sz="4" w:space="0" w:color="auto"/>
              <w:bottom w:val="nil"/>
            </w:tcBorders>
            <w:vAlign w:val="center"/>
          </w:tcPr>
          <w:p w:rsidR="00565FD5" w:rsidRPr="002672E5" w:rsidRDefault="00565FD5" w:rsidP="00AB62A3">
            <w:pPr>
              <w:jc w:val="center"/>
              <w:rPr>
                <w:rFonts w:cs="Tahoma"/>
                <w:bCs/>
                <w:sz w:val="15"/>
                <w:szCs w:val="15"/>
              </w:rPr>
            </w:pPr>
            <w:r w:rsidRPr="002672E5">
              <w:rPr>
                <w:rFonts w:cs="Tahoma"/>
                <w:bCs/>
                <w:sz w:val="15"/>
                <w:szCs w:val="15"/>
              </w:rPr>
              <w:t>9,3</w:t>
            </w:r>
          </w:p>
        </w:tc>
        <w:tc>
          <w:tcPr>
            <w:tcW w:w="717" w:type="pct"/>
            <w:tcBorders>
              <w:top w:val="single" w:sz="4" w:space="0" w:color="auto"/>
              <w:bottom w:val="nil"/>
            </w:tcBorders>
            <w:vAlign w:val="center"/>
          </w:tcPr>
          <w:p w:rsidR="00565FD5" w:rsidRPr="002672E5" w:rsidRDefault="00565FD5" w:rsidP="00AB62A3">
            <w:pPr>
              <w:jc w:val="center"/>
              <w:rPr>
                <w:rFonts w:cs="Tahoma"/>
                <w:bCs/>
                <w:sz w:val="15"/>
                <w:szCs w:val="15"/>
              </w:rPr>
            </w:pPr>
            <w:r w:rsidRPr="002672E5">
              <w:rPr>
                <w:rFonts w:cs="Tahoma"/>
                <w:bCs/>
                <w:sz w:val="15"/>
                <w:szCs w:val="15"/>
              </w:rPr>
              <w:t>11,2</w:t>
            </w:r>
          </w:p>
        </w:tc>
        <w:tc>
          <w:tcPr>
            <w:tcW w:w="717" w:type="pct"/>
            <w:tcBorders>
              <w:top w:val="single" w:sz="4" w:space="0" w:color="auto"/>
              <w:bottom w:val="nil"/>
            </w:tcBorders>
            <w:vAlign w:val="center"/>
          </w:tcPr>
          <w:p w:rsidR="00565FD5" w:rsidRPr="002672E5" w:rsidRDefault="00565FD5" w:rsidP="00AB62A3">
            <w:pPr>
              <w:jc w:val="center"/>
              <w:rPr>
                <w:rFonts w:cs="Tahoma"/>
                <w:bCs/>
                <w:sz w:val="15"/>
                <w:szCs w:val="15"/>
              </w:rPr>
            </w:pPr>
            <w:r w:rsidRPr="002672E5">
              <w:rPr>
                <w:rFonts w:cs="Tahoma"/>
                <w:bCs/>
                <w:sz w:val="15"/>
                <w:szCs w:val="15"/>
              </w:rPr>
              <w:t>10,0</w:t>
            </w:r>
          </w:p>
        </w:tc>
        <w:tc>
          <w:tcPr>
            <w:tcW w:w="760" w:type="pct"/>
            <w:tcBorders>
              <w:top w:val="single" w:sz="4" w:space="0" w:color="auto"/>
              <w:bottom w:val="nil"/>
              <w:right w:val="single" w:sz="4" w:space="0" w:color="auto"/>
            </w:tcBorders>
            <w:vAlign w:val="center"/>
          </w:tcPr>
          <w:p w:rsidR="00565FD5" w:rsidRPr="002672E5" w:rsidRDefault="00565FD5" w:rsidP="00AB62A3">
            <w:pPr>
              <w:jc w:val="center"/>
              <w:rPr>
                <w:rFonts w:cs="Tahoma"/>
                <w:bCs/>
                <w:sz w:val="15"/>
                <w:szCs w:val="15"/>
              </w:rPr>
            </w:pPr>
            <w:r w:rsidRPr="002672E5">
              <w:rPr>
                <w:rFonts w:cs="Tahoma"/>
                <w:bCs/>
                <w:sz w:val="15"/>
                <w:szCs w:val="15"/>
              </w:rPr>
              <w:t>14,7</w:t>
            </w:r>
          </w:p>
        </w:tc>
      </w:tr>
      <w:tr w:rsidR="00565FD5" w:rsidRPr="002672E5" w:rsidTr="00AB62A3">
        <w:trPr>
          <w:trHeight w:val="340"/>
          <w:jc w:val="center"/>
        </w:trPr>
        <w:tc>
          <w:tcPr>
            <w:tcW w:w="661" w:type="pct"/>
            <w:tcBorders>
              <w:top w:val="nil"/>
              <w:left w:val="single" w:sz="4" w:space="0" w:color="auto"/>
            </w:tcBorders>
            <w:vAlign w:val="center"/>
          </w:tcPr>
          <w:p w:rsidR="00565FD5" w:rsidRPr="002672E5" w:rsidRDefault="00565FD5" w:rsidP="00AB62A3">
            <w:pPr>
              <w:rPr>
                <w:rFonts w:cs="Tahoma"/>
                <w:bCs/>
                <w:sz w:val="15"/>
                <w:szCs w:val="15"/>
                <w:vertAlign w:val="superscript"/>
              </w:rPr>
            </w:pPr>
            <w:r w:rsidRPr="002672E5">
              <w:rPr>
                <w:rFonts w:cs="Tahoma"/>
                <w:bCs/>
                <w:sz w:val="15"/>
                <w:szCs w:val="15"/>
              </w:rPr>
              <w:t>Doğal Gaz(2)</w:t>
            </w:r>
          </w:p>
        </w:tc>
        <w:tc>
          <w:tcPr>
            <w:tcW w:w="715" w:type="pct"/>
            <w:tcBorders>
              <w:top w:val="nil"/>
            </w:tcBorders>
            <w:vAlign w:val="center"/>
          </w:tcPr>
          <w:p w:rsidR="00565FD5" w:rsidRPr="002672E5" w:rsidRDefault="00565FD5" w:rsidP="00AB62A3">
            <w:pPr>
              <w:jc w:val="center"/>
              <w:rPr>
                <w:rFonts w:cs="Tahoma"/>
                <w:bCs/>
                <w:sz w:val="15"/>
                <w:szCs w:val="15"/>
              </w:rPr>
            </w:pPr>
            <w:r w:rsidRPr="002672E5">
              <w:rPr>
                <w:rFonts w:cs="Tahoma"/>
                <w:bCs/>
                <w:sz w:val="15"/>
                <w:szCs w:val="15"/>
              </w:rPr>
              <w:t>0,0</w:t>
            </w:r>
          </w:p>
        </w:tc>
        <w:tc>
          <w:tcPr>
            <w:tcW w:w="715" w:type="pct"/>
            <w:tcBorders>
              <w:top w:val="nil"/>
            </w:tcBorders>
            <w:vAlign w:val="center"/>
          </w:tcPr>
          <w:p w:rsidR="00565FD5" w:rsidRPr="002672E5" w:rsidRDefault="00565FD5" w:rsidP="00AB62A3">
            <w:pPr>
              <w:jc w:val="center"/>
              <w:rPr>
                <w:rFonts w:cs="Tahoma"/>
                <w:bCs/>
                <w:sz w:val="15"/>
                <w:szCs w:val="15"/>
              </w:rPr>
            </w:pPr>
            <w:r w:rsidRPr="002672E5">
              <w:rPr>
                <w:rFonts w:cs="Tahoma"/>
                <w:bCs/>
                <w:sz w:val="15"/>
                <w:szCs w:val="15"/>
              </w:rPr>
              <w:t>84,7</w:t>
            </w:r>
          </w:p>
        </w:tc>
        <w:tc>
          <w:tcPr>
            <w:tcW w:w="715" w:type="pct"/>
            <w:tcBorders>
              <w:top w:val="nil"/>
            </w:tcBorders>
            <w:vAlign w:val="center"/>
          </w:tcPr>
          <w:p w:rsidR="00565FD5" w:rsidRPr="002672E5" w:rsidRDefault="00565FD5" w:rsidP="00AB62A3">
            <w:pPr>
              <w:jc w:val="center"/>
              <w:rPr>
                <w:rFonts w:cs="Tahoma"/>
                <w:bCs/>
                <w:sz w:val="15"/>
                <w:szCs w:val="15"/>
              </w:rPr>
            </w:pPr>
            <w:r w:rsidRPr="002672E5">
              <w:rPr>
                <w:rFonts w:cs="Tahoma"/>
                <w:bCs/>
                <w:sz w:val="15"/>
                <w:szCs w:val="15"/>
              </w:rPr>
              <w:t>-39,3</w:t>
            </w:r>
          </w:p>
        </w:tc>
        <w:tc>
          <w:tcPr>
            <w:tcW w:w="717" w:type="pct"/>
            <w:tcBorders>
              <w:top w:val="nil"/>
            </w:tcBorders>
            <w:vAlign w:val="center"/>
          </w:tcPr>
          <w:p w:rsidR="00565FD5" w:rsidRPr="002672E5" w:rsidRDefault="00565FD5" w:rsidP="00AB62A3">
            <w:pPr>
              <w:jc w:val="center"/>
              <w:rPr>
                <w:rFonts w:cs="Tahoma"/>
                <w:bCs/>
                <w:sz w:val="15"/>
                <w:szCs w:val="15"/>
              </w:rPr>
            </w:pPr>
            <w:r w:rsidRPr="002672E5">
              <w:rPr>
                <w:rFonts w:cs="Tahoma"/>
                <w:bCs/>
                <w:sz w:val="15"/>
                <w:szCs w:val="15"/>
              </w:rPr>
              <w:t>0</w:t>
            </w:r>
          </w:p>
        </w:tc>
        <w:tc>
          <w:tcPr>
            <w:tcW w:w="717" w:type="pct"/>
            <w:tcBorders>
              <w:top w:val="nil"/>
            </w:tcBorders>
            <w:vAlign w:val="center"/>
          </w:tcPr>
          <w:p w:rsidR="00565FD5" w:rsidRPr="002672E5" w:rsidRDefault="00565FD5" w:rsidP="00AB62A3">
            <w:pPr>
              <w:jc w:val="center"/>
              <w:rPr>
                <w:rFonts w:cs="Tahoma"/>
                <w:bCs/>
                <w:sz w:val="15"/>
                <w:szCs w:val="15"/>
              </w:rPr>
            </w:pPr>
            <w:r w:rsidRPr="002672E5">
              <w:rPr>
                <w:rFonts w:cs="Tahoma"/>
                <w:bCs/>
                <w:sz w:val="15"/>
                <w:szCs w:val="15"/>
              </w:rPr>
              <w:t>15,0</w:t>
            </w:r>
          </w:p>
        </w:tc>
        <w:tc>
          <w:tcPr>
            <w:tcW w:w="760" w:type="pct"/>
            <w:tcBorders>
              <w:top w:val="nil"/>
              <w:right w:val="single" w:sz="4" w:space="0" w:color="auto"/>
            </w:tcBorders>
            <w:vAlign w:val="center"/>
          </w:tcPr>
          <w:p w:rsidR="00565FD5" w:rsidRPr="002672E5" w:rsidRDefault="00565FD5" w:rsidP="00AB62A3">
            <w:pPr>
              <w:jc w:val="center"/>
              <w:rPr>
                <w:rFonts w:cs="Tahoma"/>
                <w:bCs/>
                <w:sz w:val="15"/>
                <w:szCs w:val="15"/>
              </w:rPr>
            </w:pPr>
            <w:r w:rsidRPr="002672E5">
              <w:rPr>
                <w:rFonts w:cs="Tahoma"/>
                <w:bCs/>
                <w:sz w:val="15"/>
                <w:szCs w:val="15"/>
              </w:rPr>
              <w:t>32,4</w:t>
            </w:r>
          </w:p>
        </w:tc>
      </w:tr>
      <w:tr w:rsidR="00565FD5" w:rsidRPr="002672E5" w:rsidTr="00AB62A3">
        <w:trPr>
          <w:trHeight w:val="340"/>
          <w:jc w:val="center"/>
        </w:trPr>
        <w:tc>
          <w:tcPr>
            <w:tcW w:w="661" w:type="pct"/>
            <w:tcBorders>
              <w:left w:val="single" w:sz="4" w:space="0" w:color="auto"/>
              <w:bottom w:val="single" w:sz="4" w:space="0" w:color="auto"/>
            </w:tcBorders>
            <w:vAlign w:val="center"/>
          </w:tcPr>
          <w:p w:rsidR="00565FD5" w:rsidRPr="002672E5" w:rsidRDefault="00565FD5" w:rsidP="00AB62A3">
            <w:pPr>
              <w:rPr>
                <w:rFonts w:cs="Tahoma"/>
                <w:bCs/>
                <w:sz w:val="15"/>
                <w:szCs w:val="15"/>
              </w:rPr>
            </w:pPr>
            <w:r w:rsidRPr="002672E5">
              <w:rPr>
                <w:rFonts w:cs="Tahoma"/>
                <w:bCs/>
                <w:sz w:val="15"/>
                <w:szCs w:val="15"/>
              </w:rPr>
              <w:t>ÜFE</w:t>
            </w:r>
          </w:p>
        </w:tc>
        <w:tc>
          <w:tcPr>
            <w:tcW w:w="715" w:type="pct"/>
            <w:tcBorders>
              <w:bottom w:val="single" w:sz="4" w:space="0" w:color="auto"/>
            </w:tcBorders>
            <w:vAlign w:val="center"/>
          </w:tcPr>
          <w:p w:rsidR="00565FD5" w:rsidRPr="002672E5" w:rsidRDefault="00565FD5" w:rsidP="00AB62A3">
            <w:pPr>
              <w:jc w:val="center"/>
              <w:rPr>
                <w:rFonts w:cs="Tahoma"/>
                <w:bCs/>
                <w:sz w:val="15"/>
                <w:szCs w:val="15"/>
              </w:rPr>
            </w:pPr>
            <w:r w:rsidRPr="002672E5">
              <w:rPr>
                <w:rFonts w:cs="Tahoma"/>
                <w:bCs/>
                <w:sz w:val="15"/>
                <w:szCs w:val="15"/>
              </w:rPr>
              <w:t>5,9</w:t>
            </w:r>
          </w:p>
        </w:tc>
        <w:tc>
          <w:tcPr>
            <w:tcW w:w="715" w:type="pct"/>
            <w:tcBorders>
              <w:bottom w:val="single" w:sz="4" w:space="0" w:color="auto"/>
            </w:tcBorders>
            <w:vAlign w:val="center"/>
          </w:tcPr>
          <w:p w:rsidR="00565FD5" w:rsidRPr="002672E5" w:rsidRDefault="00565FD5" w:rsidP="00AB62A3">
            <w:pPr>
              <w:jc w:val="center"/>
              <w:rPr>
                <w:rFonts w:cs="Tahoma"/>
                <w:bCs/>
                <w:sz w:val="15"/>
                <w:szCs w:val="15"/>
              </w:rPr>
            </w:pPr>
            <w:r w:rsidRPr="002672E5">
              <w:rPr>
                <w:rFonts w:cs="Tahoma"/>
                <w:bCs/>
                <w:sz w:val="15"/>
                <w:szCs w:val="15"/>
              </w:rPr>
              <w:t>8,1</w:t>
            </w:r>
          </w:p>
        </w:tc>
        <w:tc>
          <w:tcPr>
            <w:tcW w:w="715" w:type="pct"/>
            <w:tcBorders>
              <w:bottom w:val="single" w:sz="4" w:space="0" w:color="auto"/>
            </w:tcBorders>
            <w:vAlign w:val="center"/>
          </w:tcPr>
          <w:p w:rsidR="00565FD5" w:rsidRPr="002672E5" w:rsidRDefault="00565FD5" w:rsidP="00AB62A3">
            <w:pPr>
              <w:jc w:val="center"/>
              <w:rPr>
                <w:rFonts w:cs="Tahoma"/>
                <w:bCs/>
                <w:sz w:val="15"/>
                <w:szCs w:val="15"/>
              </w:rPr>
            </w:pPr>
            <w:r w:rsidRPr="002672E5">
              <w:rPr>
                <w:rFonts w:cs="Tahoma"/>
                <w:bCs/>
                <w:sz w:val="15"/>
                <w:szCs w:val="15"/>
              </w:rPr>
              <w:t>5,9</w:t>
            </w:r>
          </w:p>
        </w:tc>
        <w:tc>
          <w:tcPr>
            <w:tcW w:w="717" w:type="pct"/>
            <w:tcBorders>
              <w:bottom w:val="single" w:sz="4" w:space="0" w:color="auto"/>
            </w:tcBorders>
            <w:vAlign w:val="center"/>
          </w:tcPr>
          <w:p w:rsidR="00565FD5" w:rsidRPr="002672E5" w:rsidRDefault="00565FD5" w:rsidP="00AB62A3">
            <w:pPr>
              <w:jc w:val="center"/>
              <w:rPr>
                <w:rFonts w:cs="Tahoma"/>
                <w:bCs/>
                <w:sz w:val="15"/>
                <w:szCs w:val="15"/>
              </w:rPr>
            </w:pPr>
            <w:r w:rsidRPr="002672E5">
              <w:rPr>
                <w:rFonts w:cs="Tahoma"/>
                <w:bCs/>
                <w:sz w:val="15"/>
                <w:szCs w:val="15"/>
              </w:rPr>
              <w:t>8,9</w:t>
            </w:r>
          </w:p>
        </w:tc>
        <w:tc>
          <w:tcPr>
            <w:tcW w:w="717" w:type="pct"/>
            <w:tcBorders>
              <w:bottom w:val="single" w:sz="4" w:space="0" w:color="auto"/>
            </w:tcBorders>
            <w:vAlign w:val="center"/>
          </w:tcPr>
          <w:p w:rsidR="00565FD5" w:rsidRPr="002672E5" w:rsidRDefault="00565FD5" w:rsidP="00AB62A3">
            <w:pPr>
              <w:jc w:val="center"/>
              <w:rPr>
                <w:rFonts w:cs="Tahoma"/>
                <w:bCs/>
                <w:sz w:val="15"/>
                <w:szCs w:val="15"/>
              </w:rPr>
            </w:pPr>
            <w:r w:rsidRPr="002672E5">
              <w:rPr>
                <w:rFonts w:cs="Tahoma"/>
                <w:bCs/>
                <w:sz w:val="15"/>
                <w:szCs w:val="15"/>
              </w:rPr>
              <w:t>13,3</w:t>
            </w:r>
          </w:p>
        </w:tc>
        <w:tc>
          <w:tcPr>
            <w:tcW w:w="760" w:type="pct"/>
            <w:tcBorders>
              <w:bottom w:val="single" w:sz="4" w:space="0" w:color="auto"/>
              <w:right w:val="single" w:sz="4" w:space="0" w:color="auto"/>
            </w:tcBorders>
            <w:vAlign w:val="center"/>
          </w:tcPr>
          <w:p w:rsidR="00565FD5" w:rsidRPr="002672E5" w:rsidRDefault="00565FD5" w:rsidP="00AB62A3">
            <w:pPr>
              <w:jc w:val="center"/>
              <w:rPr>
                <w:rFonts w:cs="Tahoma"/>
                <w:bCs/>
                <w:sz w:val="15"/>
                <w:szCs w:val="15"/>
              </w:rPr>
            </w:pPr>
            <w:r w:rsidRPr="002672E5">
              <w:rPr>
                <w:rFonts w:cs="Tahoma"/>
                <w:bCs/>
                <w:sz w:val="15"/>
                <w:szCs w:val="15"/>
              </w:rPr>
              <w:t>10,7</w:t>
            </w:r>
          </w:p>
        </w:tc>
      </w:tr>
    </w:tbl>
    <w:p w:rsidR="00565FD5" w:rsidRDefault="00565FD5" w:rsidP="00565FD5">
      <w:pPr>
        <w:rPr>
          <w:rFonts w:cs="Tahoma"/>
          <w:sz w:val="14"/>
          <w:szCs w:val="14"/>
        </w:rPr>
      </w:pPr>
      <w:r w:rsidRPr="009C53C7">
        <w:rPr>
          <w:rFonts w:cs="Tahoma"/>
          <w:sz w:val="14"/>
          <w:szCs w:val="14"/>
        </w:rPr>
        <w:t>Kaynak: TEDAŞ, BOTAŞ, TÜİK</w:t>
      </w:r>
    </w:p>
    <w:p w:rsidR="00565FD5" w:rsidRPr="009C53C7" w:rsidRDefault="00565FD5" w:rsidP="00565FD5">
      <w:pPr>
        <w:rPr>
          <w:rFonts w:cs="Tahoma"/>
          <w:sz w:val="14"/>
          <w:szCs w:val="14"/>
        </w:rPr>
      </w:pPr>
      <w:r w:rsidRPr="009C53C7">
        <w:rPr>
          <w:rFonts w:cs="Tahoma"/>
          <w:sz w:val="14"/>
          <w:szCs w:val="14"/>
        </w:rPr>
        <w:t>(1) Dağıtım şirketlerinin tek terimli alçak gerilim sanayi tarifesi dikkate alınmıştır.</w:t>
      </w:r>
    </w:p>
    <w:p w:rsidR="00565FD5" w:rsidRPr="009C53C7" w:rsidRDefault="00565FD5" w:rsidP="00565FD5">
      <w:pPr>
        <w:rPr>
          <w:rFonts w:cs="Tahoma"/>
          <w:sz w:val="14"/>
          <w:szCs w:val="14"/>
        </w:rPr>
      </w:pPr>
      <w:r w:rsidRPr="009C53C7">
        <w:rPr>
          <w:rFonts w:cs="Tahoma"/>
          <w:sz w:val="14"/>
          <w:szCs w:val="14"/>
        </w:rPr>
        <w:t>(2) BOTAŞ serbest tüketici doğalgaz satış fiyatları dikkate alınmıştır.</w:t>
      </w:r>
    </w:p>
    <w:p w:rsidR="00565FD5" w:rsidRPr="009C53C7" w:rsidRDefault="00565FD5" w:rsidP="00565FD5">
      <w:pPr>
        <w:spacing w:after="120"/>
        <w:rPr>
          <w:rFonts w:cs="Tahoma"/>
          <w:sz w:val="14"/>
          <w:szCs w:val="14"/>
        </w:rPr>
      </w:pPr>
      <w:r w:rsidRPr="009C53C7">
        <w:rPr>
          <w:rFonts w:cs="Tahoma"/>
          <w:sz w:val="14"/>
          <w:szCs w:val="14"/>
        </w:rPr>
        <w:t>(3) Ocak-Ekim dönemi.</w:t>
      </w:r>
    </w:p>
    <w:p w:rsidR="00565FD5" w:rsidRPr="009C53C7" w:rsidRDefault="00565FD5" w:rsidP="00565FD5">
      <w:pPr>
        <w:spacing w:after="120"/>
        <w:ind w:firstLine="425"/>
        <w:rPr>
          <w:rFonts w:cs="Tahoma"/>
          <w:szCs w:val="18"/>
        </w:rPr>
      </w:pPr>
      <w:r w:rsidRPr="009C53C7">
        <w:rPr>
          <w:rFonts w:cs="Tahoma"/>
          <w:szCs w:val="18"/>
        </w:rPr>
        <w:t>Tablo IV:</w:t>
      </w:r>
      <w:r>
        <w:rPr>
          <w:rFonts w:cs="Tahoma"/>
          <w:szCs w:val="18"/>
        </w:rPr>
        <w:t>34</w:t>
      </w:r>
      <w:r w:rsidRPr="009C53C7">
        <w:rPr>
          <w:rFonts w:cs="Tahoma"/>
          <w:szCs w:val="18"/>
        </w:rPr>
        <w:t xml:space="preserve"> değerlendirildiğinde, sanayinin en temel girdilerinden olan enerji</w:t>
      </w:r>
      <w:r>
        <w:rPr>
          <w:rFonts w:cs="Tahoma"/>
          <w:szCs w:val="18"/>
        </w:rPr>
        <w:t>de fiyatların</w:t>
      </w:r>
      <w:r w:rsidRPr="009C53C7">
        <w:rPr>
          <w:rFonts w:cs="Tahoma"/>
          <w:szCs w:val="18"/>
        </w:rPr>
        <w:t xml:space="preserve"> özellikle 2010-2011 yıllarında dalgalı bir seyir izlediği görülmektedir. Tablo IV:</w:t>
      </w:r>
      <w:r>
        <w:rPr>
          <w:rFonts w:cs="Tahoma"/>
          <w:szCs w:val="18"/>
        </w:rPr>
        <w:t>35</w:t>
      </w:r>
      <w:r w:rsidRPr="009C53C7">
        <w:rPr>
          <w:rFonts w:cs="Tahoma"/>
          <w:szCs w:val="18"/>
        </w:rPr>
        <w:t>’te görüleceği üzere, ülkemizde 2008 yılından itibaren elektrik fiyatlarında artışlar yaşanmıştır. Bu artışta, 2008 yılından itibaren devreye giren elektrikte maliyet</w:t>
      </w:r>
      <w:r>
        <w:rPr>
          <w:rFonts w:cs="Tahoma"/>
          <w:szCs w:val="18"/>
        </w:rPr>
        <w:t xml:space="preserve"> bazlı</w:t>
      </w:r>
      <w:r w:rsidRPr="009C53C7">
        <w:rPr>
          <w:rFonts w:cs="Tahoma"/>
          <w:szCs w:val="18"/>
        </w:rPr>
        <w:t xml:space="preserve"> fiyatlandırma mekanizması</w:t>
      </w:r>
      <w:r>
        <w:rPr>
          <w:rFonts w:cs="Tahoma"/>
          <w:szCs w:val="18"/>
        </w:rPr>
        <w:t xml:space="preserve">yla satış </w:t>
      </w:r>
      <w:r w:rsidRPr="009C53C7">
        <w:rPr>
          <w:rFonts w:cs="Tahoma"/>
          <w:szCs w:val="18"/>
        </w:rPr>
        <w:t>fi</w:t>
      </w:r>
      <w:r>
        <w:rPr>
          <w:rFonts w:cs="Tahoma"/>
          <w:szCs w:val="18"/>
        </w:rPr>
        <w:t>yatlar</w:t>
      </w:r>
      <w:r w:rsidRPr="009C53C7">
        <w:rPr>
          <w:rFonts w:cs="Tahoma"/>
          <w:szCs w:val="18"/>
        </w:rPr>
        <w:t>ın</w:t>
      </w:r>
      <w:r>
        <w:rPr>
          <w:rFonts w:cs="Tahoma"/>
          <w:szCs w:val="18"/>
        </w:rPr>
        <w:t>ın</w:t>
      </w:r>
      <w:r w:rsidRPr="009C53C7">
        <w:rPr>
          <w:rFonts w:cs="Tahoma"/>
          <w:szCs w:val="18"/>
        </w:rPr>
        <w:t xml:space="preserve"> maliyet</w:t>
      </w:r>
      <w:r>
        <w:rPr>
          <w:rFonts w:cs="Tahoma"/>
          <w:szCs w:val="18"/>
        </w:rPr>
        <w:t xml:space="preserve">lere bağlı olarak belirlenmesi </w:t>
      </w:r>
      <w:r w:rsidRPr="009C53C7">
        <w:rPr>
          <w:rFonts w:cs="Tahoma"/>
          <w:szCs w:val="18"/>
        </w:rPr>
        <w:t xml:space="preserve">önemli rol oynamıştır. </w:t>
      </w:r>
    </w:p>
    <w:p w:rsidR="00565FD5" w:rsidRPr="008522B8" w:rsidRDefault="00565FD5" w:rsidP="00565FD5">
      <w:pPr>
        <w:spacing w:after="180"/>
        <w:ind w:firstLine="425"/>
        <w:rPr>
          <w:rFonts w:cs="Tahoma"/>
          <w:szCs w:val="18"/>
        </w:rPr>
      </w:pPr>
      <w:r w:rsidRPr="009C53C7">
        <w:rPr>
          <w:rFonts w:cs="Tahoma"/>
          <w:szCs w:val="18"/>
        </w:rPr>
        <w:lastRenderedPageBreak/>
        <w:t>Doğal gazdaki fiyat dinamikleri elektrik fiyatlarına göre farklılık arz etmektedir. Hem elektrik üretiminde girdi olarak artan oranda kullanılması hem de sanayide doğrudan kullanılıyor olması, bütün dünya</w:t>
      </w:r>
      <w:r>
        <w:rPr>
          <w:rFonts w:cs="Tahoma"/>
          <w:szCs w:val="18"/>
        </w:rPr>
        <w:t>yla</w:t>
      </w:r>
      <w:r w:rsidRPr="009C53C7">
        <w:rPr>
          <w:rFonts w:cs="Tahoma"/>
          <w:szCs w:val="18"/>
        </w:rPr>
        <w:t xml:space="preserve"> birlikte ülkemizde de, sanayi üretimini doğal gaz tedarik ve fiyatlarına daha da duyarlı hale getirmektedir. OECD ortalamaları ile Türkiye arasındaki fiyat farklılıkları doğal gazda daha belirgindir. Türkiye, AB üyesi OECD ülkelerinden daha ucuz doğal gaz kullanmaktadır. </w:t>
      </w:r>
    </w:p>
    <w:p w:rsidR="00565FD5" w:rsidRPr="007B777A" w:rsidRDefault="00565FD5" w:rsidP="00565FD5">
      <w:pPr>
        <w:pStyle w:val="ResimYazs"/>
        <w:rPr>
          <w:rFonts w:cs="Tahoma"/>
          <w:szCs w:val="16"/>
        </w:rPr>
      </w:pPr>
      <w:bookmarkStart w:id="1967" w:name="_Toc338606031"/>
      <w:bookmarkStart w:id="1968" w:name="_Toc338711806"/>
      <w:r>
        <w:t xml:space="preserve">TABLO IV: </w:t>
      </w:r>
      <w:fldSimple w:instr=" SEQ TABLO_IV: \* ARABIC ">
        <w:r>
          <w:rPr>
            <w:noProof/>
          </w:rPr>
          <w:t>36</w:t>
        </w:r>
      </w:fldSimple>
      <w:r w:rsidRPr="007B777A">
        <w:rPr>
          <w:rFonts w:eastAsia="Arial Unicode MS" w:cs="Tahoma"/>
          <w:bCs/>
          <w:szCs w:val="16"/>
        </w:rPr>
        <w:t>- İmalat Sanayiinde Önemli Sektörler İtibarıyla Üretimdeki Değişimler</w:t>
      </w:r>
      <w:bookmarkEnd w:id="1948"/>
      <w:bookmarkEnd w:id="1949"/>
      <w:bookmarkEnd w:id="1950"/>
      <w:bookmarkEnd w:id="1951"/>
      <w:bookmarkEnd w:id="1952"/>
      <w:bookmarkEnd w:id="1967"/>
      <w:bookmarkEnd w:id="1968"/>
    </w:p>
    <w:p w:rsidR="00565FD5" w:rsidRPr="002672E5" w:rsidRDefault="00565FD5" w:rsidP="00565FD5">
      <w:pPr>
        <w:tabs>
          <w:tab w:val="left" w:pos="4113"/>
        </w:tabs>
        <w:ind w:left="108"/>
        <w:jc w:val="right"/>
        <w:rPr>
          <w:rFonts w:cs="Tahoma"/>
          <w:b/>
          <w:bCs/>
          <w:sz w:val="14"/>
          <w:szCs w:val="14"/>
        </w:rPr>
      </w:pPr>
      <w:r w:rsidRPr="002672E5">
        <w:rPr>
          <w:rFonts w:cs="Tahoma"/>
          <w:b/>
          <w:bCs/>
          <w:sz w:val="14"/>
          <w:szCs w:val="14"/>
        </w:rPr>
        <w:tab/>
      </w:r>
      <w:r w:rsidRPr="002672E5">
        <w:rPr>
          <w:rFonts w:cs="Tahoma"/>
          <w:sz w:val="14"/>
          <w:szCs w:val="14"/>
        </w:rPr>
        <w:t xml:space="preserve">  (Yüzde)</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05"/>
        <w:gridCol w:w="1419"/>
        <w:gridCol w:w="1713"/>
      </w:tblGrid>
      <w:tr w:rsidR="00565FD5" w:rsidRPr="009B3D4C" w:rsidTr="00AB62A3">
        <w:trPr>
          <w:trHeight w:val="20"/>
        </w:trPr>
        <w:tc>
          <w:tcPr>
            <w:tcW w:w="2806" w:type="pct"/>
            <w:vMerge w:val="restart"/>
            <w:tcBorders>
              <w:right w:val="nil"/>
            </w:tcBorders>
            <w:noWrap/>
            <w:vAlign w:val="center"/>
          </w:tcPr>
          <w:p w:rsidR="00565FD5" w:rsidRPr="009B3D4C" w:rsidRDefault="00565FD5" w:rsidP="00AB62A3">
            <w:pPr>
              <w:tabs>
                <w:tab w:val="left" w:pos="2161"/>
                <w:tab w:val="left" w:pos="2202"/>
              </w:tabs>
              <w:rPr>
                <w:rFonts w:cs="Tahoma"/>
                <w:b/>
                <w:bCs/>
                <w:sz w:val="16"/>
                <w:szCs w:val="16"/>
              </w:rPr>
            </w:pPr>
            <w:r w:rsidRPr="009B3D4C">
              <w:rPr>
                <w:rFonts w:cs="Tahoma"/>
                <w:b/>
                <w:bCs/>
                <w:sz w:val="16"/>
                <w:szCs w:val="16"/>
              </w:rPr>
              <w:t> </w:t>
            </w:r>
          </w:p>
          <w:p w:rsidR="00565FD5" w:rsidRPr="009B3D4C" w:rsidRDefault="00565FD5" w:rsidP="00AB62A3">
            <w:pPr>
              <w:tabs>
                <w:tab w:val="left" w:pos="2161"/>
                <w:tab w:val="left" w:pos="2202"/>
              </w:tabs>
              <w:rPr>
                <w:rFonts w:cs="Tahoma"/>
                <w:b/>
                <w:bCs/>
                <w:sz w:val="16"/>
                <w:szCs w:val="16"/>
              </w:rPr>
            </w:pPr>
            <w:r w:rsidRPr="009B3D4C">
              <w:rPr>
                <w:rFonts w:cs="Tahoma"/>
                <w:b/>
                <w:bCs/>
                <w:sz w:val="16"/>
                <w:szCs w:val="16"/>
              </w:rPr>
              <w:t>Sektörler </w:t>
            </w:r>
          </w:p>
        </w:tc>
        <w:tc>
          <w:tcPr>
            <w:tcW w:w="2194" w:type="pct"/>
            <w:gridSpan w:val="2"/>
            <w:tcBorders>
              <w:left w:val="nil"/>
            </w:tcBorders>
            <w:noWrap/>
            <w:vAlign w:val="center"/>
          </w:tcPr>
          <w:p w:rsidR="00565FD5" w:rsidRPr="009B3D4C" w:rsidRDefault="00565FD5" w:rsidP="00AB62A3">
            <w:pPr>
              <w:tabs>
                <w:tab w:val="left" w:pos="0"/>
              </w:tabs>
              <w:jc w:val="center"/>
              <w:rPr>
                <w:rFonts w:cs="Tahoma"/>
                <w:b/>
                <w:bCs/>
                <w:sz w:val="16"/>
                <w:szCs w:val="16"/>
              </w:rPr>
            </w:pPr>
            <w:r w:rsidRPr="009B3D4C">
              <w:rPr>
                <w:rFonts w:cs="Tahoma"/>
                <w:b/>
                <w:bCs/>
                <w:sz w:val="16"/>
                <w:szCs w:val="16"/>
              </w:rPr>
              <w:t>Üretim(1)</w:t>
            </w:r>
          </w:p>
        </w:tc>
      </w:tr>
      <w:tr w:rsidR="00565FD5" w:rsidRPr="009B3D4C" w:rsidTr="00AB62A3">
        <w:trPr>
          <w:trHeight w:val="20"/>
        </w:trPr>
        <w:tc>
          <w:tcPr>
            <w:tcW w:w="2806" w:type="pct"/>
            <w:vMerge/>
            <w:tcBorders>
              <w:right w:val="nil"/>
            </w:tcBorders>
            <w:vAlign w:val="center"/>
          </w:tcPr>
          <w:p w:rsidR="00565FD5" w:rsidRPr="009B3D4C" w:rsidRDefault="00565FD5" w:rsidP="00AB62A3">
            <w:pPr>
              <w:rPr>
                <w:rFonts w:cs="Tahoma"/>
                <w:b/>
                <w:bCs/>
                <w:sz w:val="16"/>
                <w:szCs w:val="16"/>
              </w:rPr>
            </w:pPr>
          </w:p>
        </w:tc>
        <w:tc>
          <w:tcPr>
            <w:tcW w:w="994" w:type="pct"/>
            <w:tcBorders>
              <w:left w:val="nil"/>
              <w:right w:val="nil"/>
            </w:tcBorders>
            <w:noWrap/>
            <w:vAlign w:val="center"/>
          </w:tcPr>
          <w:p w:rsidR="00565FD5" w:rsidRPr="009B3D4C" w:rsidRDefault="00565FD5" w:rsidP="00AB62A3">
            <w:pPr>
              <w:tabs>
                <w:tab w:val="left" w:pos="0"/>
              </w:tabs>
              <w:jc w:val="center"/>
              <w:rPr>
                <w:rFonts w:eastAsia="Arial Unicode MS" w:cs="Calibri"/>
                <w:b/>
                <w:bCs/>
                <w:sz w:val="16"/>
                <w:szCs w:val="16"/>
              </w:rPr>
            </w:pPr>
            <w:r w:rsidRPr="009B3D4C">
              <w:rPr>
                <w:rFonts w:cs="Tahoma"/>
                <w:b/>
                <w:bCs/>
                <w:sz w:val="16"/>
                <w:szCs w:val="16"/>
              </w:rPr>
              <w:t>2011</w:t>
            </w:r>
          </w:p>
        </w:tc>
        <w:tc>
          <w:tcPr>
            <w:tcW w:w="1200" w:type="pct"/>
            <w:tcBorders>
              <w:left w:val="nil"/>
            </w:tcBorders>
            <w:noWrap/>
            <w:vAlign w:val="center"/>
          </w:tcPr>
          <w:p w:rsidR="00565FD5" w:rsidRPr="009B3D4C" w:rsidRDefault="00565FD5" w:rsidP="00AB62A3">
            <w:pPr>
              <w:tabs>
                <w:tab w:val="left" w:pos="0"/>
              </w:tabs>
              <w:ind w:right="33"/>
              <w:jc w:val="center"/>
              <w:rPr>
                <w:rFonts w:eastAsia="Arial Unicode MS" w:cs="Tahoma"/>
                <w:b/>
                <w:bCs/>
                <w:sz w:val="16"/>
                <w:szCs w:val="16"/>
                <w:vertAlign w:val="superscript"/>
              </w:rPr>
            </w:pPr>
            <w:r w:rsidRPr="009B3D4C">
              <w:rPr>
                <w:rFonts w:eastAsia="Arial Unicode MS" w:cs="Tahoma"/>
                <w:b/>
                <w:bCs/>
                <w:sz w:val="16"/>
                <w:szCs w:val="16"/>
              </w:rPr>
              <w:t>2012(2)</w:t>
            </w:r>
          </w:p>
        </w:tc>
      </w:tr>
      <w:tr w:rsidR="00565FD5" w:rsidRPr="002672E5" w:rsidTr="00AB62A3">
        <w:trPr>
          <w:trHeight w:val="255"/>
        </w:trPr>
        <w:tc>
          <w:tcPr>
            <w:tcW w:w="2806" w:type="pct"/>
            <w:tcBorders>
              <w:bottom w:val="nil"/>
              <w:right w:val="nil"/>
            </w:tcBorders>
            <w:noWrap/>
            <w:vAlign w:val="center"/>
          </w:tcPr>
          <w:p w:rsidR="00565FD5" w:rsidRPr="002672E5" w:rsidRDefault="00565FD5" w:rsidP="00AB62A3">
            <w:pPr>
              <w:tabs>
                <w:tab w:val="left" w:pos="2161"/>
                <w:tab w:val="left" w:pos="2202"/>
              </w:tabs>
              <w:rPr>
                <w:rFonts w:eastAsia="Arial Unicode MS" w:cs="Calibri"/>
                <w:sz w:val="15"/>
                <w:szCs w:val="15"/>
              </w:rPr>
            </w:pPr>
            <w:r w:rsidRPr="002672E5">
              <w:rPr>
                <w:rFonts w:cs="Tahoma"/>
                <w:sz w:val="15"/>
                <w:szCs w:val="15"/>
              </w:rPr>
              <w:t>İmalat Sanayii Toplamı</w:t>
            </w:r>
          </w:p>
        </w:tc>
        <w:tc>
          <w:tcPr>
            <w:tcW w:w="994" w:type="pct"/>
            <w:tcBorders>
              <w:left w:val="nil"/>
              <w:bottom w:val="nil"/>
              <w:right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Tahoma"/>
                <w:sz w:val="15"/>
                <w:szCs w:val="15"/>
              </w:rPr>
              <w:t>9,2</w:t>
            </w:r>
          </w:p>
        </w:tc>
        <w:tc>
          <w:tcPr>
            <w:tcW w:w="1200" w:type="pct"/>
            <w:tcBorders>
              <w:left w:val="nil"/>
              <w:bottom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Calibri"/>
                <w:sz w:val="15"/>
                <w:szCs w:val="15"/>
              </w:rPr>
              <w:t>1,9</w:t>
            </w:r>
          </w:p>
        </w:tc>
      </w:tr>
      <w:tr w:rsidR="00565FD5" w:rsidRPr="002672E5" w:rsidTr="00AB62A3">
        <w:trPr>
          <w:trHeight w:val="255"/>
        </w:trPr>
        <w:tc>
          <w:tcPr>
            <w:tcW w:w="2806" w:type="pct"/>
            <w:tcBorders>
              <w:top w:val="nil"/>
              <w:bottom w:val="nil"/>
              <w:right w:val="nil"/>
            </w:tcBorders>
            <w:noWrap/>
            <w:vAlign w:val="center"/>
          </w:tcPr>
          <w:p w:rsidR="00565FD5" w:rsidRPr="002672E5" w:rsidRDefault="00565FD5" w:rsidP="00AB62A3">
            <w:pPr>
              <w:ind w:right="183"/>
              <w:rPr>
                <w:rFonts w:eastAsia="Arial Unicode MS" w:cs="Calibri"/>
                <w:sz w:val="15"/>
                <w:szCs w:val="15"/>
              </w:rPr>
            </w:pPr>
            <w:r w:rsidRPr="002672E5">
              <w:rPr>
                <w:rFonts w:cs="Tahoma"/>
                <w:sz w:val="15"/>
                <w:szCs w:val="15"/>
              </w:rPr>
              <w:t>Gıda</w:t>
            </w:r>
          </w:p>
        </w:tc>
        <w:tc>
          <w:tcPr>
            <w:tcW w:w="994" w:type="pct"/>
            <w:tcBorders>
              <w:top w:val="nil"/>
              <w:left w:val="nil"/>
              <w:bottom w:val="nil"/>
              <w:right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Tahoma"/>
                <w:sz w:val="15"/>
                <w:szCs w:val="15"/>
              </w:rPr>
              <w:t>6,2</w:t>
            </w:r>
          </w:p>
        </w:tc>
        <w:tc>
          <w:tcPr>
            <w:tcW w:w="1200" w:type="pct"/>
            <w:tcBorders>
              <w:top w:val="nil"/>
              <w:left w:val="nil"/>
              <w:bottom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Calibri"/>
                <w:sz w:val="15"/>
                <w:szCs w:val="15"/>
              </w:rPr>
              <w:t>2,4</w:t>
            </w:r>
          </w:p>
        </w:tc>
      </w:tr>
      <w:tr w:rsidR="00565FD5" w:rsidRPr="002672E5" w:rsidTr="00AB62A3">
        <w:trPr>
          <w:trHeight w:val="255"/>
        </w:trPr>
        <w:tc>
          <w:tcPr>
            <w:tcW w:w="2806" w:type="pct"/>
            <w:tcBorders>
              <w:top w:val="nil"/>
              <w:bottom w:val="nil"/>
              <w:right w:val="nil"/>
            </w:tcBorders>
            <w:noWrap/>
            <w:vAlign w:val="center"/>
          </w:tcPr>
          <w:p w:rsidR="00565FD5" w:rsidRPr="002672E5" w:rsidRDefault="00565FD5" w:rsidP="00AB62A3">
            <w:pPr>
              <w:ind w:right="183"/>
              <w:rPr>
                <w:rFonts w:eastAsia="Arial Unicode MS" w:cs="Calibri"/>
                <w:sz w:val="15"/>
                <w:szCs w:val="15"/>
              </w:rPr>
            </w:pPr>
            <w:r w:rsidRPr="002672E5">
              <w:rPr>
                <w:rFonts w:cs="Tahoma"/>
                <w:sz w:val="15"/>
                <w:szCs w:val="15"/>
              </w:rPr>
              <w:t xml:space="preserve">Tekstil </w:t>
            </w:r>
          </w:p>
        </w:tc>
        <w:tc>
          <w:tcPr>
            <w:tcW w:w="994" w:type="pct"/>
            <w:tcBorders>
              <w:top w:val="nil"/>
              <w:left w:val="nil"/>
              <w:bottom w:val="nil"/>
              <w:right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Tahoma"/>
                <w:sz w:val="15"/>
                <w:szCs w:val="15"/>
              </w:rPr>
              <w:t>0,0</w:t>
            </w:r>
          </w:p>
        </w:tc>
        <w:tc>
          <w:tcPr>
            <w:tcW w:w="1200" w:type="pct"/>
            <w:tcBorders>
              <w:top w:val="nil"/>
              <w:left w:val="nil"/>
              <w:bottom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Calibri"/>
                <w:sz w:val="15"/>
                <w:szCs w:val="15"/>
              </w:rPr>
              <w:t>4,4</w:t>
            </w:r>
          </w:p>
        </w:tc>
      </w:tr>
      <w:tr w:rsidR="00565FD5" w:rsidRPr="002672E5" w:rsidTr="00AB62A3">
        <w:trPr>
          <w:trHeight w:val="255"/>
        </w:trPr>
        <w:tc>
          <w:tcPr>
            <w:tcW w:w="2806" w:type="pct"/>
            <w:tcBorders>
              <w:top w:val="nil"/>
              <w:bottom w:val="nil"/>
              <w:right w:val="nil"/>
            </w:tcBorders>
            <w:noWrap/>
            <w:vAlign w:val="center"/>
          </w:tcPr>
          <w:p w:rsidR="00565FD5" w:rsidRPr="002672E5" w:rsidRDefault="00565FD5" w:rsidP="00AB62A3">
            <w:pPr>
              <w:tabs>
                <w:tab w:val="left" w:pos="0"/>
              </w:tabs>
              <w:ind w:right="183"/>
              <w:rPr>
                <w:rFonts w:eastAsia="Arial Unicode MS" w:cs="Calibri"/>
                <w:sz w:val="15"/>
                <w:szCs w:val="15"/>
              </w:rPr>
            </w:pPr>
            <w:r w:rsidRPr="002672E5">
              <w:rPr>
                <w:rFonts w:cs="Tahoma"/>
                <w:sz w:val="15"/>
                <w:szCs w:val="15"/>
              </w:rPr>
              <w:t xml:space="preserve">Giyim </w:t>
            </w:r>
          </w:p>
        </w:tc>
        <w:tc>
          <w:tcPr>
            <w:tcW w:w="994" w:type="pct"/>
            <w:tcBorders>
              <w:top w:val="nil"/>
              <w:left w:val="nil"/>
              <w:bottom w:val="nil"/>
              <w:right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Tahoma"/>
                <w:sz w:val="15"/>
                <w:szCs w:val="15"/>
              </w:rPr>
              <w:t>-0,6</w:t>
            </w:r>
          </w:p>
        </w:tc>
        <w:tc>
          <w:tcPr>
            <w:tcW w:w="1200" w:type="pct"/>
            <w:tcBorders>
              <w:top w:val="nil"/>
              <w:left w:val="nil"/>
              <w:bottom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Calibri"/>
                <w:sz w:val="15"/>
                <w:szCs w:val="15"/>
              </w:rPr>
              <w:t>-2,6</w:t>
            </w:r>
          </w:p>
        </w:tc>
      </w:tr>
      <w:tr w:rsidR="00565FD5" w:rsidRPr="002672E5" w:rsidTr="00AB62A3">
        <w:trPr>
          <w:trHeight w:val="255"/>
        </w:trPr>
        <w:tc>
          <w:tcPr>
            <w:tcW w:w="2806" w:type="pct"/>
            <w:tcBorders>
              <w:top w:val="nil"/>
              <w:bottom w:val="nil"/>
              <w:right w:val="nil"/>
            </w:tcBorders>
            <w:noWrap/>
            <w:vAlign w:val="center"/>
          </w:tcPr>
          <w:p w:rsidR="00565FD5" w:rsidRPr="002672E5" w:rsidRDefault="00565FD5" w:rsidP="00AB62A3">
            <w:pPr>
              <w:tabs>
                <w:tab w:val="left" w:pos="34"/>
              </w:tabs>
              <w:ind w:right="183"/>
              <w:rPr>
                <w:rFonts w:eastAsia="Arial Unicode MS" w:cs="Calibri"/>
                <w:sz w:val="15"/>
                <w:szCs w:val="15"/>
              </w:rPr>
            </w:pPr>
            <w:r w:rsidRPr="002672E5">
              <w:rPr>
                <w:rFonts w:cs="Tahoma"/>
                <w:sz w:val="15"/>
                <w:szCs w:val="15"/>
              </w:rPr>
              <w:t xml:space="preserve">Deri </w:t>
            </w:r>
          </w:p>
        </w:tc>
        <w:tc>
          <w:tcPr>
            <w:tcW w:w="994" w:type="pct"/>
            <w:tcBorders>
              <w:top w:val="nil"/>
              <w:left w:val="nil"/>
              <w:bottom w:val="nil"/>
              <w:right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Tahoma"/>
                <w:sz w:val="15"/>
                <w:szCs w:val="15"/>
              </w:rPr>
              <w:t>7,6</w:t>
            </w:r>
          </w:p>
        </w:tc>
        <w:tc>
          <w:tcPr>
            <w:tcW w:w="1200" w:type="pct"/>
            <w:tcBorders>
              <w:top w:val="nil"/>
              <w:left w:val="nil"/>
              <w:bottom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Calibri"/>
                <w:sz w:val="15"/>
                <w:szCs w:val="15"/>
              </w:rPr>
              <w:t>-2,4</w:t>
            </w:r>
          </w:p>
        </w:tc>
      </w:tr>
      <w:tr w:rsidR="00565FD5" w:rsidRPr="002672E5" w:rsidTr="00AB62A3">
        <w:trPr>
          <w:trHeight w:val="255"/>
        </w:trPr>
        <w:tc>
          <w:tcPr>
            <w:tcW w:w="2806" w:type="pct"/>
            <w:tcBorders>
              <w:top w:val="nil"/>
              <w:bottom w:val="nil"/>
              <w:right w:val="nil"/>
            </w:tcBorders>
            <w:noWrap/>
            <w:vAlign w:val="center"/>
          </w:tcPr>
          <w:p w:rsidR="00565FD5" w:rsidRPr="002672E5" w:rsidRDefault="00565FD5" w:rsidP="00AB62A3">
            <w:pPr>
              <w:ind w:right="183"/>
              <w:rPr>
                <w:rFonts w:eastAsia="Arial Unicode MS" w:cs="Calibri"/>
                <w:sz w:val="15"/>
                <w:szCs w:val="15"/>
              </w:rPr>
            </w:pPr>
            <w:r w:rsidRPr="002672E5">
              <w:rPr>
                <w:rFonts w:cs="Tahoma"/>
                <w:sz w:val="15"/>
                <w:szCs w:val="15"/>
              </w:rPr>
              <w:t xml:space="preserve">Kok ve Petrol ürünleri </w:t>
            </w:r>
          </w:p>
        </w:tc>
        <w:tc>
          <w:tcPr>
            <w:tcW w:w="994" w:type="pct"/>
            <w:tcBorders>
              <w:top w:val="nil"/>
              <w:left w:val="nil"/>
              <w:bottom w:val="nil"/>
              <w:right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Tahoma"/>
                <w:sz w:val="15"/>
                <w:szCs w:val="15"/>
              </w:rPr>
              <w:t>6,8</w:t>
            </w:r>
          </w:p>
        </w:tc>
        <w:tc>
          <w:tcPr>
            <w:tcW w:w="1200" w:type="pct"/>
            <w:tcBorders>
              <w:top w:val="nil"/>
              <w:left w:val="nil"/>
              <w:bottom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Calibri"/>
                <w:sz w:val="15"/>
                <w:szCs w:val="15"/>
              </w:rPr>
              <w:t>-7,1</w:t>
            </w:r>
          </w:p>
        </w:tc>
      </w:tr>
      <w:tr w:rsidR="00565FD5" w:rsidRPr="002672E5" w:rsidTr="00AB62A3">
        <w:trPr>
          <w:trHeight w:val="255"/>
        </w:trPr>
        <w:tc>
          <w:tcPr>
            <w:tcW w:w="2806" w:type="pct"/>
            <w:tcBorders>
              <w:top w:val="nil"/>
              <w:bottom w:val="nil"/>
              <w:right w:val="nil"/>
            </w:tcBorders>
            <w:noWrap/>
            <w:vAlign w:val="center"/>
          </w:tcPr>
          <w:p w:rsidR="00565FD5" w:rsidRPr="002672E5" w:rsidRDefault="00565FD5" w:rsidP="00AB62A3">
            <w:pPr>
              <w:ind w:right="183"/>
              <w:rPr>
                <w:rFonts w:eastAsia="Arial Unicode MS" w:cs="Calibri"/>
                <w:sz w:val="15"/>
                <w:szCs w:val="15"/>
              </w:rPr>
            </w:pPr>
            <w:r w:rsidRPr="002672E5">
              <w:rPr>
                <w:rFonts w:cs="Tahoma"/>
                <w:sz w:val="15"/>
                <w:szCs w:val="15"/>
              </w:rPr>
              <w:t xml:space="preserve">Kimyasal ürünler </w:t>
            </w:r>
          </w:p>
        </w:tc>
        <w:tc>
          <w:tcPr>
            <w:tcW w:w="994" w:type="pct"/>
            <w:tcBorders>
              <w:top w:val="nil"/>
              <w:left w:val="nil"/>
              <w:bottom w:val="nil"/>
              <w:right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Tahoma"/>
                <w:sz w:val="15"/>
                <w:szCs w:val="15"/>
              </w:rPr>
              <w:t>5,6</w:t>
            </w:r>
          </w:p>
        </w:tc>
        <w:tc>
          <w:tcPr>
            <w:tcW w:w="1200" w:type="pct"/>
            <w:tcBorders>
              <w:top w:val="nil"/>
              <w:left w:val="nil"/>
              <w:bottom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Calibri"/>
                <w:sz w:val="15"/>
                <w:szCs w:val="15"/>
              </w:rPr>
              <w:t>0,9</w:t>
            </w:r>
          </w:p>
        </w:tc>
      </w:tr>
      <w:tr w:rsidR="00565FD5" w:rsidRPr="002672E5" w:rsidTr="00AB62A3">
        <w:trPr>
          <w:trHeight w:val="255"/>
        </w:trPr>
        <w:tc>
          <w:tcPr>
            <w:tcW w:w="2806" w:type="pct"/>
            <w:tcBorders>
              <w:top w:val="nil"/>
              <w:bottom w:val="nil"/>
              <w:right w:val="nil"/>
            </w:tcBorders>
            <w:noWrap/>
            <w:vAlign w:val="center"/>
          </w:tcPr>
          <w:p w:rsidR="00565FD5" w:rsidRPr="002672E5" w:rsidRDefault="00565FD5" w:rsidP="00AB62A3">
            <w:pPr>
              <w:ind w:right="183"/>
              <w:rPr>
                <w:rFonts w:cs="Tahoma"/>
                <w:sz w:val="15"/>
                <w:szCs w:val="15"/>
              </w:rPr>
            </w:pPr>
            <w:r w:rsidRPr="002672E5">
              <w:rPr>
                <w:rFonts w:cs="Tahoma"/>
                <w:sz w:val="15"/>
                <w:szCs w:val="15"/>
              </w:rPr>
              <w:t xml:space="preserve">İlaç </w:t>
            </w:r>
          </w:p>
        </w:tc>
        <w:tc>
          <w:tcPr>
            <w:tcW w:w="994" w:type="pct"/>
            <w:tcBorders>
              <w:top w:val="nil"/>
              <w:left w:val="nil"/>
              <w:bottom w:val="nil"/>
              <w:right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Tahoma"/>
                <w:sz w:val="15"/>
                <w:szCs w:val="15"/>
              </w:rPr>
              <w:t>8,7</w:t>
            </w:r>
          </w:p>
        </w:tc>
        <w:tc>
          <w:tcPr>
            <w:tcW w:w="1200" w:type="pct"/>
            <w:tcBorders>
              <w:top w:val="nil"/>
              <w:left w:val="nil"/>
              <w:bottom w:val="nil"/>
            </w:tcBorders>
            <w:noWrap/>
            <w:vAlign w:val="center"/>
          </w:tcPr>
          <w:p w:rsidR="00565FD5" w:rsidRPr="002672E5" w:rsidRDefault="00565FD5" w:rsidP="00AB62A3">
            <w:pPr>
              <w:tabs>
                <w:tab w:val="left" w:pos="0"/>
              </w:tabs>
              <w:ind w:right="113"/>
              <w:jc w:val="center"/>
              <w:rPr>
                <w:rFonts w:eastAsia="Arial Unicode MS" w:cs="Tahoma"/>
                <w:sz w:val="15"/>
                <w:szCs w:val="15"/>
              </w:rPr>
            </w:pPr>
            <w:r w:rsidRPr="002672E5">
              <w:rPr>
                <w:rFonts w:eastAsia="Arial Unicode MS" w:cs="Tahoma"/>
                <w:sz w:val="15"/>
                <w:szCs w:val="15"/>
              </w:rPr>
              <w:t>12,7</w:t>
            </w:r>
          </w:p>
        </w:tc>
      </w:tr>
      <w:tr w:rsidR="00565FD5" w:rsidRPr="002672E5" w:rsidTr="00AB62A3">
        <w:trPr>
          <w:trHeight w:val="255"/>
        </w:trPr>
        <w:tc>
          <w:tcPr>
            <w:tcW w:w="2806" w:type="pct"/>
            <w:tcBorders>
              <w:top w:val="nil"/>
              <w:bottom w:val="nil"/>
              <w:right w:val="nil"/>
            </w:tcBorders>
            <w:noWrap/>
            <w:vAlign w:val="center"/>
          </w:tcPr>
          <w:p w:rsidR="00565FD5" w:rsidRPr="002672E5" w:rsidRDefault="00565FD5" w:rsidP="00AB62A3">
            <w:pPr>
              <w:ind w:right="183"/>
              <w:rPr>
                <w:rFonts w:eastAsia="Arial Unicode MS" w:cs="Calibri"/>
                <w:sz w:val="15"/>
                <w:szCs w:val="15"/>
              </w:rPr>
            </w:pPr>
            <w:r w:rsidRPr="002672E5">
              <w:rPr>
                <w:rFonts w:cs="Tahoma"/>
                <w:sz w:val="15"/>
                <w:szCs w:val="15"/>
              </w:rPr>
              <w:t xml:space="preserve">Kauçuk ve plastik </w:t>
            </w:r>
          </w:p>
        </w:tc>
        <w:tc>
          <w:tcPr>
            <w:tcW w:w="994" w:type="pct"/>
            <w:tcBorders>
              <w:top w:val="nil"/>
              <w:left w:val="nil"/>
              <w:bottom w:val="nil"/>
              <w:right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Tahoma"/>
                <w:sz w:val="15"/>
                <w:szCs w:val="15"/>
              </w:rPr>
              <w:t>11,6</w:t>
            </w:r>
          </w:p>
        </w:tc>
        <w:tc>
          <w:tcPr>
            <w:tcW w:w="1200" w:type="pct"/>
            <w:tcBorders>
              <w:top w:val="nil"/>
              <w:left w:val="nil"/>
              <w:bottom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Calibri"/>
                <w:sz w:val="15"/>
                <w:szCs w:val="15"/>
              </w:rPr>
              <w:t>-4,8</w:t>
            </w:r>
          </w:p>
        </w:tc>
      </w:tr>
      <w:tr w:rsidR="00565FD5" w:rsidRPr="002672E5" w:rsidTr="00AB62A3">
        <w:trPr>
          <w:trHeight w:val="255"/>
        </w:trPr>
        <w:tc>
          <w:tcPr>
            <w:tcW w:w="2806" w:type="pct"/>
            <w:tcBorders>
              <w:top w:val="nil"/>
              <w:bottom w:val="nil"/>
              <w:right w:val="nil"/>
            </w:tcBorders>
            <w:noWrap/>
            <w:vAlign w:val="center"/>
          </w:tcPr>
          <w:p w:rsidR="00565FD5" w:rsidRPr="002672E5" w:rsidRDefault="00565FD5" w:rsidP="00AB62A3">
            <w:pPr>
              <w:tabs>
                <w:tab w:val="left" w:pos="34"/>
                <w:tab w:val="left" w:pos="2727"/>
              </w:tabs>
              <w:rPr>
                <w:rFonts w:eastAsia="Arial Unicode MS" w:cs="Calibri"/>
                <w:sz w:val="15"/>
                <w:szCs w:val="15"/>
              </w:rPr>
            </w:pPr>
            <w:r w:rsidRPr="002672E5">
              <w:rPr>
                <w:rFonts w:cs="Tahoma"/>
                <w:sz w:val="15"/>
                <w:szCs w:val="15"/>
              </w:rPr>
              <w:t>Taş ve toprağa dayalı sanayiler</w:t>
            </w:r>
          </w:p>
        </w:tc>
        <w:tc>
          <w:tcPr>
            <w:tcW w:w="994" w:type="pct"/>
            <w:tcBorders>
              <w:top w:val="nil"/>
              <w:left w:val="nil"/>
              <w:bottom w:val="nil"/>
              <w:right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Tahoma"/>
                <w:sz w:val="15"/>
                <w:szCs w:val="15"/>
              </w:rPr>
              <w:t>6,8</w:t>
            </w:r>
          </w:p>
        </w:tc>
        <w:tc>
          <w:tcPr>
            <w:tcW w:w="1200" w:type="pct"/>
            <w:tcBorders>
              <w:top w:val="nil"/>
              <w:left w:val="nil"/>
              <w:bottom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Calibri"/>
                <w:sz w:val="15"/>
                <w:szCs w:val="15"/>
              </w:rPr>
              <w:t>-4,5</w:t>
            </w:r>
          </w:p>
        </w:tc>
      </w:tr>
      <w:tr w:rsidR="00565FD5" w:rsidRPr="002672E5" w:rsidTr="00AB62A3">
        <w:trPr>
          <w:trHeight w:val="255"/>
        </w:trPr>
        <w:tc>
          <w:tcPr>
            <w:tcW w:w="2806" w:type="pct"/>
            <w:tcBorders>
              <w:top w:val="nil"/>
              <w:bottom w:val="nil"/>
              <w:right w:val="nil"/>
            </w:tcBorders>
            <w:noWrap/>
            <w:vAlign w:val="center"/>
          </w:tcPr>
          <w:p w:rsidR="00565FD5" w:rsidRPr="002672E5" w:rsidRDefault="00565FD5" w:rsidP="00AB62A3">
            <w:pPr>
              <w:ind w:right="183"/>
              <w:rPr>
                <w:rFonts w:eastAsia="Arial Unicode MS" w:cs="Calibri"/>
                <w:sz w:val="15"/>
                <w:szCs w:val="15"/>
              </w:rPr>
            </w:pPr>
            <w:r w:rsidRPr="002672E5">
              <w:rPr>
                <w:rFonts w:cs="Tahoma"/>
                <w:sz w:val="15"/>
                <w:szCs w:val="15"/>
              </w:rPr>
              <w:t xml:space="preserve">Ana metal </w:t>
            </w:r>
          </w:p>
        </w:tc>
        <w:tc>
          <w:tcPr>
            <w:tcW w:w="994" w:type="pct"/>
            <w:tcBorders>
              <w:top w:val="nil"/>
              <w:left w:val="nil"/>
              <w:bottom w:val="nil"/>
              <w:right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Tahoma"/>
                <w:sz w:val="15"/>
                <w:szCs w:val="15"/>
              </w:rPr>
              <w:t>6,8</w:t>
            </w:r>
          </w:p>
        </w:tc>
        <w:tc>
          <w:tcPr>
            <w:tcW w:w="1200" w:type="pct"/>
            <w:tcBorders>
              <w:top w:val="nil"/>
              <w:left w:val="nil"/>
              <w:bottom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Calibri"/>
                <w:sz w:val="15"/>
                <w:szCs w:val="15"/>
              </w:rPr>
              <w:t>8,1</w:t>
            </w:r>
          </w:p>
        </w:tc>
      </w:tr>
      <w:tr w:rsidR="00565FD5" w:rsidRPr="002672E5" w:rsidTr="00AB62A3">
        <w:trPr>
          <w:trHeight w:val="255"/>
        </w:trPr>
        <w:tc>
          <w:tcPr>
            <w:tcW w:w="2806" w:type="pct"/>
            <w:tcBorders>
              <w:top w:val="nil"/>
              <w:bottom w:val="nil"/>
              <w:right w:val="nil"/>
            </w:tcBorders>
            <w:noWrap/>
            <w:vAlign w:val="center"/>
          </w:tcPr>
          <w:p w:rsidR="00565FD5" w:rsidRPr="002672E5" w:rsidRDefault="00565FD5" w:rsidP="00AB62A3">
            <w:pPr>
              <w:ind w:right="183"/>
              <w:rPr>
                <w:rFonts w:eastAsia="Arial Unicode MS" w:cs="Calibri"/>
                <w:sz w:val="15"/>
                <w:szCs w:val="15"/>
              </w:rPr>
            </w:pPr>
            <w:r w:rsidRPr="002672E5">
              <w:rPr>
                <w:rFonts w:cs="Tahoma"/>
                <w:sz w:val="15"/>
                <w:szCs w:val="15"/>
              </w:rPr>
              <w:t xml:space="preserve">Bilgisayar, elektronik ve optik ürünler </w:t>
            </w:r>
          </w:p>
        </w:tc>
        <w:tc>
          <w:tcPr>
            <w:tcW w:w="994" w:type="pct"/>
            <w:tcBorders>
              <w:top w:val="nil"/>
              <w:left w:val="nil"/>
              <w:bottom w:val="nil"/>
              <w:right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Tahoma"/>
                <w:sz w:val="15"/>
                <w:szCs w:val="15"/>
              </w:rPr>
              <w:t>14,1</w:t>
            </w:r>
          </w:p>
        </w:tc>
        <w:tc>
          <w:tcPr>
            <w:tcW w:w="1200" w:type="pct"/>
            <w:tcBorders>
              <w:top w:val="nil"/>
              <w:left w:val="nil"/>
              <w:bottom w:val="nil"/>
            </w:tcBorders>
            <w:noWrap/>
            <w:vAlign w:val="center"/>
          </w:tcPr>
          <w:p w:rsidR="00565FD5" w:rsidRPr="002672E5" w:rsidRDefault="00565FD5" w:rsidP="00AB62A3">
            <w:pPr>
              <w:tabs>
                <w:tab w:val="left" w:pos="0"/>
              </w:tabs>
              <w:ind w:right="113"/>
              <w:jc w:val="center"/>
              <w:rPr>
                <w:rFonts w:eastAsia="Arial Unicode MS" w:cs="Tahoma"/>
                <w:sz w:val="15"/>
                <w:szCs w:val="15"/>
              </w:rPr>
            </w:pPr>
            <w:r w:rsidRPr="002672E5">
              <w:rPr>
                <w:rFonts w:eastAsia="Arial Unicode MS" w:cs="Tahoma"/>
                <w:sz w:val="15"/>
                <w:szCs w:val="15"/>
              </w:rPr>
              <w:t>13,4</w:t>
            </w:r>
          </w:p>
        </w:tc>
      </w:tr>
      <w:tr w:rsidR="00565FD5" w:rsidRPr="002672E5" w:rsidTr="00AB62A3">
        <w:trPr>
          <w:trHeight w:val="255"/>
        </w:trPr>
        <w:tc>
          <w:tcPr>
            <w:tcW w:w="2806" w:type="pct"/>
            <w:tcBorders>
              <w:top w:val="nil"/>
              <w:bottom w:val="nil"/>
              <w:right w:val="nil"/>
            </w:tcBorders>
            <w:noWrap/>
            <w:vAlign w:val="center"/>
          </w:tcPr>
          <w:p w:rsidR="00565FD5" w:rsidRPr="002672E5" w:rsidRDefault="00565FD5" w:rsidP="00AB62A3">
            <w:pPr>
              <w:ind w:right="183"/>
              <w:rPr>
                <w:rFonts w:eastAsia="Arial Unicode MS" w:cs="Calibri"/>
                <w:sz w:val="15"/>
                <w:szCs w:val="15"/>
              </w:rPr>
            </w:pPr>
            <w:r w:rsidRPr="002672E5">
              <w:rPr>
                <w:rFonts w:cs="Tahoma"/>
                <w:sz w:val="15"/>
                <w:szCs w:val="15"/>
              </w:rPr>
              <w:t>Elektrikli teçhizat</w:t>
            </w:r>
          </w:p>
        </w:tc>
        <w:tc>
          <w:tcPr>
            <w:tcW w:w="994" w:type="pct"/>
            <w:tcBorders>
              <w:top w:val="nil"/>
              <w:left w:val="nil"/>
              <w:bottom w:val="nil"/>
              <w:right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Tahoma"/>
                <w:sz w:val="15"/>
                <w:szCs w:val="15"/>
              </w:rPr>
              <w:t>17,7</w:t>
            </w:r>
          </w:p>
        </w:tc>
        <w:tc>
          <w:tcPr>
            <w:tcW w:w="1200" w:type="pct"/>
            <w:tcBorders>
              <w:top w:val="nil"/>
              <w:left w:val="nil"/>
              <w:bottom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Calibri"/>
                <w:sz w:val="15"/>
                <w:szCs w:val="15"/>
              </w:rPr>
              <w:t>1,6</w:t>
            </w:r>
          </w:p>
        </w:tc>
      </w:tr>
      <w:tr w:rsidR="00565FD5" w:rsidRPr="002672E5" w:rsidTr="00AB62A3">
        <w:trPr>
          <w:trHeight w:val="255"/>
        </w:trPr>
        <w:tc>
          <w:tcPr>
            <w:tcW w:w="2806" w:type="pct"/>
            <w:tcBorders>
              <w:top w:val="nil"/>
              <w:bottom w:val="nil"/>
              <w:right w:val="nil"/>
            </w:tcBorders>
            <w:noWrap/>
            <w:vAlign w:val="center"/>
          </w:tcPr>
          <w:p w:rsidR="00565FD5" w:rsidRPr="002672E5" w:rsidRDefault="00565FD5" w:rsidP="00AB62A3">
            <w:pPr>
              <w:ind w:right="183"/>
              <w:rPr>
                <w:rFonts w:cs="Tahoma"/>
                <w:sz w:val="15"/>
                <w:szCs w:val="15"/>
              </w:rPr>
            </w:pPr>
            <w:r w:rsidRPr="002672E5">
              <w:rPr>
                <w:rFonts w:cs="Tahoma"/>
                <w:sz w:val="15"/>
                <w:szCs w:val="15"/>
              </w:rPr>
              <w:t xml:space="preserve">Makine </w:t>
            </w:r>
          </w:p>
        </w:tc>
        <w:tc>
          <w:tcPr>
            <w:tcW w:w="994" w:type="pct"/>
            <w:tcBorders>
              <w:top w:val="nil"/>
              <w:left w:val="nil"/>
              <w:bottom w:val="nil"/>
              <w:right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Tahoma"/>
                <w:sz w:val="15"/>
                <w:szCs w:val="15"/>
              </w:rPr>
              <w:t>22,1</w:t>
            </w:r>
          </w:p>
        </w:tc>
        <w:tc>
          <w:tcPr>
            <w:tcW w:w="1200" w:type="pct"/>
            <w:tcBorders>
              <w:top w:val="nil"/>
              <w:left w:val="nil"/>
              <w:bottom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Calibri"/>
                <w:sz w:val="15"/>
                <w:szCs w:val="15"/>
              </w:rPr>
              <w:t>4,9</w:t>
            </w:r>
          </w:p>
        </w:tc>
      </w:tr>
      <w:tr w:rsidR="00565FD5" w:rsidRPr="002672E5" w:rsidTr="00AB62A3">
        <w:trPr>
          <w:trHeight w:val="255"/>
        </w:trPr>
        <w:tc>
          <w:tcPr>
            <w:tcW w:w="2806" w:type="pct"/>
            <w:tcBorders>
              <w:top w:val="nil"/>
              <w:bottom w:val="nil"/>
              <w:right w:val="nil"/>
            </w:tcBorders>
            <w:noWrap/>
            <w:vAlign w:val="center"/>
          </w:tcPr>
          <w:p w:rsidR="00565FD5" w:rsidRPr="002672E5" w:rsidRDefault="00565FD5" w:rsidP="00AB62A3">
            <w:pPr>
              <w:ind w:right="183"/>
              <w:rPr>
                <w:rFonts w:eastAsia="Arial Unicode MS" w:cs="Tahoma"/>
                <w:sz w:val="15"/>
                <w:szCs w:val="15"/>
              </w:rPr>
            </w:pPr>
            <w:r w:rsidRPr="002672E5">
              <w:rPr>
                <w:rFonts w:eastAsia="Arial Unicode MS" w:cs="Tahoma"/>
                <w:sz w:val="15"/>
                <w:szCs w:val="15"/>
              </w:rPr>
              <w:t>Otomotiv</w:t>
            </w:r>
          </w:p>
        </w:tc>
        <w:tc>
          <w:tcPr>
            <w:tcW w:w="994" w:type="pct"/>
            <w:tcBorders>
              <w:top w:val="nil"/>
              <w:left w:val="nil"/>
              <w:bottom w:val="nil"/>
              <w:right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Tahoma"/>
                <w:sz w:val="15"/>
                <w:szCs w:val="15"/>
              </w:rPr>
              <w:t>16,0</w:t>
            </w:r>
          </w:p>
        </w:tc>
        <w:tc>
          <w:tcPr>
            <w:tcW w:w="1200" w:type="pct"/>
            <w:tcBorders>
              <w:top w:val="nil"/>
              <w:left w:val="nil"/>
              <w:bottom w:val="nil"/>
            </w:tcBorders>
            <w:noWrap/>
            <w:vAlign w:val="center"/>
          </w:tcPr>
          <w:p w:rsidR="00565FD5" w:rsidRPr="002672E5" w:rsidRDefault="00565FD5" w:rsidP="00AB62A3">
            <w:pPr>
              <w:tabs>
                <w:tab w:val="left" w:pos="0"/>
              </w:tabs>
              <w:ind w:right="113"/>
              <w:jc w:val="center"/>
              <w:rPr>
                <w:rFonts w:eastAsia="Arial Unicode MS" w:cs="Calibri"/>
                <w:sz w:val="15"/>
                <w:szCs w:val="15"/>
              </w:rPr>
            </w:pPr>
            <w:r w:rsidRPr="002672E5">
              <w:rPr>
                <w:rFonts w:eastAsia="Arial Unicode MS" w:cs="Calibri"/>
                <w:sz w:val="15"/>
                <w:szCs w:val="15"/>
              </w:rPr>
              <w:t>-7,3</w:t>
            </w:r>
          </w:p>
        </w:tc>
      </w:tr>
      <w:tr w:rsidR="00565FD5" w:rsidRPr="009B3D4C" w:rsidTr="00AB62A3">
        <w:trPr>
          <w:trHeight w:hRule="exact" w:val="68"/>
        </w:trPr>
        <w:tc>
          <w:tcPr>
            <w:tcW w:w="2806" w:type="pct"/>
            <w:tcBorders>
              <w:top w:val="nil"/>
              <w:right w:val="nil"/>
            </w:tcBorders>
            <w:noWrap/>
          </w:tcPr>
          <w:p w:rsidR="00565FD5" w:rsidRPr="009B3D4C" w:rsidRDefault="00565FD5" w:rsidP="00AB62A3">
            <w:pPr>
              <w:ind w:right="183"/>
              <w:rPr>
                <w:rFonts w:eastAsia="Arial Unicode MS" w:cs="Calibri"/>
                <w:sz w:val="16"/>
                <w:szCs w:val="16"/>
              </w:rPr>
            </w:pPr>
          </w:p>
        </w:tc>
        <w:tc>
          <w:tcPr>
            <w:tcW w:w="994" w:type="pct"/>
            <w:tcBorders>
              <w:top w:val="nil"/>
              <w:left w:val="nil"/>
              <w:right w:val="nil"/>
            </w:tcBorders>
            <w:noWrap/>
          </w:tcPr>
          <w:p w:rsidR="00565FD5" w:rsidRPr="009B3D4C" w:rsidRDefault="00565FD5" w:rsidP="00AB62A3">
            <w:pPr>
              <w:tabs>
                <w:tab w:val="left" w:pos="0"/>
              </w:tabs>
              <w:ind w:right="113"/>
              <w:jc w:val="right"/>
              <w:rPr>
                <w:rFonts w:eastAsia="Arial Unicode MS" w:cs="Calibri"/>
                <w:sz w:val="16"/>
                <w:szCs w:val="16"/>
              </w:rPr>
            </w:pPr>
          </w:p>
        </w:tc>
        <w:tc>
          <w:tcPr>
            <w:tcW w:w="1200" w:type="pct"/>
            <w:tcBorders>
              <w:top w:val="nil"/>
              <w:left w:val="nil"/>
            </w:tcBorders>
            <w:noWrap/>
          </w:tcPr>
          <w:p w:rsidR="00565FD5" w:rsidRPr="009B3D4C" w:rsidRDefault="00565FD5" w:rsidP="00AB62A3">
            <w:pPr>
              <w:tabs>
                <w:tab w:val="left" w:pos="0"/>
              </w:tabs>
              <w:ind w:right="113"/>
              <w:jc w:val="right"/>
              <w:rPr>
                <w:rFonts w:eastAsia="Arial Unicode MS" w:cs="Calibri"/>
                <w:sz w:val="16"/>
                <w:szCs w:val="16"/>
              </w:rPr>
            </w:pPr>
          </w:p>
        </w:tc>
      </w:tr>
    </w:tbl>
    <w:p w:rsidR="00565FD5" w:rsidRPr="009B3D4C" w:rsidRDefault="00565FD5" w:rsidP="00565FD5">
      <w:pPr>
        <w:rPr>
          <w:rFonts w:cs="Tahoma"/>
          <w:sz w:val="14"/>
          <w:szCs w:val="14"/>
        </w:rPr>
      </w:pPr>
      <w:r w:rsidRPr="009B3D4C">
        <w:rPr>
          <w:rFonts w:cs="Tahoma"/>
          <w:sz w:val="14"/>
          <w:szCs w:val="14"/>
        </w:rPr>
        <w:t xml:space="preserve">Kaynak: TÜİK </w:t>
      </w:r>
    </w:p>
    <w:p w:rsidR="00565FD5" w:rsidRPr="009B3D4C" w:rsidRDefault="00565FD5" w:rsidP="00565FD5">
      <w:pPr>
        <w:rPr>
          <w:rFonts w:cs="Tahoma"/>
          <w:sz w:val="14"/>
          <w:szCs w:val="14"/>
        </w:rPr>
      </w:pPr>
      <w:r w:rsidRPr="009B3D4C">
        <w:rPr>
          <w:rFonts w:cs="Tahoma"/>
          <w:sz w:val="14"/>
          <w:szCs w:val="14"/>
        </w:rPr>
        <w:t>(1) NACE Rev.2 Sınıflamasına Göre Aylık Sanayi Üretim Endeksi (2005=100)</w:t>
      </w:r>
    </w:p>
    <w:p w:rsidR="00565FD5" w:rsidRPr="009B3D4C" w:rsidRDefault="00565FD5" w:rsidP="00565FD5">
      <w:pPr>
        <w:spacing w:after="360"/>
        <w:rPr>
          <w:rFonts w:cs="Tahoma"/>
          <w:sz w:val="14"/>
          <w:szCs w:val="14"/>
        </w:rPr>
      </w:pPr>
      <w:r w:rsidRPr="009B3D4C">
        <w:rPr>
          <w:rFonts w:cs="Tahoma"/>
          <w:sz w:val="14"/>
          <w:szCs w:val="14"/>
        </w:rPr>
        <w:lastRenderedPageBreak/>
        <w:t>(2) Ocak-Ağustos dönemi</w:t>
      </w:r>
    </w:p>
    <w:p w:rsidR="00565FD5" w:rsidRPr="00AB66CA" w:rsidRDefault="00565FD5" w:rsidP="00565FD5">
      <w:pPr>
        <w:pStyle w:val="ResimYazs"/>
        <w:rPr>
          <w:rFonts w:eastAsia="Arial Unicode MS" w:cs="Tahoma"/>
          <w:bCs/>
          <w:szCs w:val="16"/>
        </w:rPr>
      </w:pPr>
      <w:bookmarkStart w:id="1969" w:name="_Toc276076508"/>
      <w:bookmarkStart w:id="1970" w:name="_Toc275873966"/>
      <w:bookmarkStart w:id="1971" w:name="_Toc307601688"/>
      <w:bookmarkStart w:id="1972" w:name="_Toc307657911"/>
      <w:bookmarkStart w:id="1973" w:name="_Toc307702167"/>
      <w:bookmarkStart w:id="1974" w:name="_Toc338606032"/>
      <w:bookmarkStart w:id="1975" w:name="_Toc338711807"/>
      <w:r>
        <w:t xml:space="preserve">TABLO IV: </w:t>
      </w:r>
      <w:fldSimple w:instr=" SEQ TABLO_IV: \* ARABIC ">
        <w:r>
          <w:rPr>
            <w:noProof/>
          </w:rPr>
          <w:t>37</w:t>
        </w:r>
      </w:fldSimple>
      <w:r w:rsidRPr="00AB66CA">
        <w:rPr>
          <w:rFonts w:eastAsia="Arial Unicode MS" w:cs="Tahoma"/>
          <w:bCs/>
          <w:szCs w:val="16"/>
        </w:rPr>
        <w:t>- İmalat Sanayiinde Önemli Sektörler İtibarıyla Dış Ticaretteki Değişmeler</w:t>
      </w:r>
      <w:bookmarkEnd w:id="1969"/>
      <w:bookmarkEnd w:id="1970"/>
      <w:bookmarkEnd w:id="1971"/>
      <w:bookmarkEnd w:id="1972"/>
      <w:bookmarkEnd w:id="1973"/>
      <w:bookmarkEnd w:id="1974"/>
      <w:bookmarkEnd w:id="1975"/>
    </w:p>
    <w:p w:rsidR="00565FD5" w:rsidRPr="009B3D4C" w:rsidRDefault="00565FD5" w:rsidP="00565FD5">
      <w:pPr>
        <w:ind w:right="-25"/>
        <w:jc w:val="center"/>
        <w:rPr>
          <w:rFonts w:cs="Tahoma"/>
          <w:sz w:val="16"/>
          <w:szCs w:val="16"/>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0"/>
        <w:gridCol w:w="1136"/>
        <w:gridCol w:w="1036"/>
        <w:gridCol w:w="1133"/>
        <w:gridCol w:w="1122"/>
      </w:tblGrid>
      <w:tr w:rsidR="00565FD5" w:rsidRPr="009B3D4C" w:rsidTr="00AB62A3">
        <w:trPr>
          <w:trHeight w:val="20"/>
        </w:trPr>
        <w:tc>
          <w:tcPr>
            <w:tcW w:w="1898" w:type="pct"/>
            <w:tcBorders>
              <w:top w:val="nil"/>
              <w:left w:val="nil"/>
              <w:right w:val="nil"/>
            </w:tcBorders>
            <w:noWrap/>
            <w:vAlign w:val="center"/>
          </w:tcPr>
          <w:p w:rsidR="00565FD5" w:rsidRPr="009B3D4C" w:rsidRDefault="00565FD5" w:rsidP="00AB62A3">
            <w:pPr>
              <w:tabs>
                <w:tab w:val="left" w:pos="2161"/>
                <w:tab w:val="left" w:pos="2202"/>
              </w:tabs>
              <w:rPr>
                <w:rFonts w:cs="Tahoma"/>
                <w:b/>
                <w:bCs/>
                <w:sz w:val="16"/>
                <w:szCs w:val="16"/>
              </w:rPr>
            </w:pPr>
          </w:p>
        </w:tc>
        <w:tc>
          <w:tcPr>
            <w:tcW w:w="1522" w:type="pct"/>
            <w:gridSpan w:val="2"/>
            <w:tcBorders>
              <w:top w:val="nil"/>
              <w:left w:val="nil"/>
              <w:right w:val="nil"/>
            </w:tcBorders>
            <w:vAlign w:val="center"/>
          </w:tcPr>
          <w:p w:rsidR="00565FD5" w:rsidRPr="009B3D4C" w:rsidRDefault="00565FD5" w:rsidP="00AB62A3">
            <w:pPr>
              <w:jc w:val="center"/>
              <w:rPr>
                <w:rFonts w:cs="Tahoma"/>
                <w:b/>
                <w:bCs/>
                <w:sz w:val="16"/>
                <w:szCs w:val="16"/>
              </w:rPr>
            </w:pPr>
          </w:p>
        </w:tc>
        <w:tc>
          <w:tcPr>
            <w:tcW w:w="1580" w:type="pct"/>
            <w:gridSpan w:val="2"/>
            <w:tcBorders>
              <w:top w:val="nil"/>
              <w:left w:val="nil"/>
              <w:right w:val="nil"/>
            </w:tcBorders>
            <w:vAlign w:val="center"/>
          </w:tcPr>
          <w:p w:rsidR="00565FD5" w:rsidRPr="009B3D4C" w:rsidRDefault="00565FD5" w:rsidP="00AB62A3">
            <w:pPr>
              <w:jc w:val="right"/>
              <w:rPr>
                <w:rFonts w:cs="Tahoma"/>
                <w:bCs/>
                <w:sz w:val="16"/>
                <w:szCs w:val="16"/>
              </w:rPr>
            </w:pPr>
            <w:r w:rsidRPr="009B3D4C">
              <w:rPr>
                <w:rFonts w:cs="Tahoma"/>
                <w:bCs/>
                <w:sz w:val="16"/>
                <w:szCs w:val="16"/>
              </w:rPr>
              <w:t>(Yüzde)</w:t>
            </w:r>
          </w:p>
        </w:tc>
      </w:tr>
      <w:tr w:rsidR="00565FD5" w:rsidRPr="009B3D4C" w:rsidTr="00AB62A3">
        <w:trPr>
          <w:trHeight w:val="20"/>
        </w:trPr>
        <w:tc>
          <w:tcPr>
            <w:tcW w:w="1898" w:type="pct"/>
            <w:vMerge w:val="restart"/>
            <w:tcBorders>
              <w:right w:val="nil"/>
            </w:tcBorders>
            <w:noWrap/>
            <w:vAlign w:val="center"/>
          </w:tcPr>
          <w:p w:rsidR="00565FD5" w:rsidRPr="009B3D4C" w:rsidRDefault="00565FD5" w:rsidP="00AB62A3">
            <w:pPr>
              <w:tabs>
                <w:tab w:val="left" w:pos="2161"/>
                <w:tab w:val="left" w:pos="2202"/>
              </w:tabs>
              <w:rPr>
                <w:rFonts w:cs="Tahoma"/>
                <w:b/>
                <w:bCs/>
                <w:sz w:val="16"/>
                <w:szCs w:val="16"/>
              </w:rPr>
            </w:pPr>
            <w:r w:rsidRPr="009B3D4C">
              <w:rPr>
                <w:rFonts w:cs="Tahoma"/>
                <w:b/>
                <w:bCs/>
                <w:sz w:val="16"/>
                <w:szCs w:val="16"/>
              </w:rPr>
              <w:t> </w:t>
            </w:r>
          </w:p>
          <w:p w:rsidR="00565FD5" w:rsidRPr="009B3D4C" w:rsidRDefault="00565FD5" w:rsidP="00AB62A3">
            <w:pPr>
              <w:tabs>
                <w:tab w:val="left" w:pos="2161"/>
                <w:tab w:val="left" w:pos="2202"/>
              </w:tabs>
              <w:rPr>
                <w:rFonts w:cs="Tahoma"/>
                <w:b/>
                <w:bCs/>
                <w:sz w:val="16"/>
                <w:szCs w:val="16"/>
              </w:rPr>
            </w:pPr>
            <w:r w:rsidRPr="009B3D4C">
              <w:rPr>
                <w:rFonts w:cs="Tahoma"/>
                <w:b/>
                <w:bCs/>
                <w:sz w:val="16"/>
                <w:szCs w:val="16"/>
              </w:rPr>
              <w:t>Sektörler </w:t>
            </w:r>
          </w:p>
        </w:tc>
        <w:tc>
          <w:tcPr>
            <w:tcW w:w="1522" w:type="pct"/>
            <w:gridSpan w:val="2"/>
            <w:tcBorders>
              <w:left w:val="nil"/>
              <w:right w:val="nil"/>
            </w:tcBorders>
            <w:vAlign w:val="center"/>
          </w:tcPr>
          <w:p w:rsidR="00565FD5" w:rsidRPr="009B3D4C" w:rsidRDefault="00565FD5" w:rsidP="00AB62A3">
            <w:pPr>
              <w:jc w:val="center"/>
              <w:rPr>
                <w:rFonts w:cs="Tahoma"/>
                <w:b/>
                <w:bCs/>
                <w:sz w:val="16"/>
                <w:szCs w:val="16"/>
              </w:rPr>
            </w:pPr>
            <w:r w:rsidRPr="009B3D4C">
              <w:rPr>
                <w:rFonts w:cs="Tahoma"/>
                <w:b/>
                <w:bCs/>
                <w:sz w:val="16"/>
                <w:szCs w:val="16"/>
              </w:rPr>
              <w:t>İhracat(1)</w:t>
            </w:r>
          </w:p>
        </w:tc>
        <w:tc>
          <w:tcPr>
            <w:tcW w:w="1580" w:type="pct"/>
            <w:gridSpan w:val="2"/>
            <w:tcBorders>
              <w:left w:val="nil"/>
            </w:tcBorders>
            <w:vAlign w:val="center"/>
          </w:tcPr>
          <w:p w:rsidR="00565FD5" w:rsidRPr="009B3D4C" w:rsidRDefault="00565FD5" w:rsidP="00AB62A3">
            <w:pPr>
              <w:jc w:val="center"/>
              <w:rPr>
                <w:rFonts w:cs="Tahoma"/>
                <w:b/>
                <w:bCs/>
                <w:sz w:val="16"/>
                <w:szCs w:val="16"/>
              </w:rPr>
            </w:pPr>
            <w:r w:rsidRPr="009B3D4C">
              <w:rPr>
                <w:rFonts w:cs="Tahoma"/>
                <w:b/>
                <w:bCs/>
                <w:sz w:val="16"/>
                <w:szCs w:val="16"/>
              </w:rPr>
              <w:t>İthalat(1)</w:t>
            </w:r>
          </w:p>
        </w:tc>
      </w:tr>
      <w:tr w:rsidR="00565FD5" w:rsidRPr="009B3D4C" w:rsidTr="00AB62A3">
        <w:trPr>
          <w:trHeight w:val="20"/>
        </w:trPr>
        <w:tc>
          <w:tcPr>
            <w:tcW w:w="1898" w:type="pct"/>
            <w:vMerge/>
            <w:tcBorders>
              <w:right w:val="nil"/>
            </w:tcBorders>
            <w:vAlign w:val="center"/>
          </w:tcPr>
          <w:p w:rsidR="00565FD5" w:rsidRPr="009B3D4C" w:rsidRDefault="00565FD5" w:rsidP="00AB62A3">
            <w:pPr>
              <w:rPr>
                <w:rFonts w:cs="Tahoma"/>
                <w:b/>
                <w:bCs/>
                <w:sz w:val="16"/>
                <w:szCs w:val="16"/>
              </w:rPr>
            </w:pPr>
          </w:p>
        </w:tc>
        <w:tc>
          <w:tcPr>
            <w:tcW w:w="796" w:type="pct"/>
            <w:tcBorders>
              <w:left w:val="nil"/>
              <w:right w:val="nil"/>
            </w:tcBorders>
            <w:noWrap/>
            <w:vAlign w:val="center"/>
          </w:tcPr>
          <w:p w:rsidR="00565FD5" w:rsidRPr="009B3D4C" w:rsidRDefault="00565FD5" w:rsidP="00AB62A3">
            <w:pPr>
              <w:tabs>
                <w:tab w:val="left" w:pos="79"/>
              </w:tabs>
              <w:ind w:right="-68"/>
              <w:jc w:val="right"/>
              <w:rPr>
                <w:rFonts w:eastAsia="Arial Unicode MS" w:cs="Calibri"/>
                <w:b/>
                <w:bCs/>
                <w:sz w:val="16"/>
                <w:szCs w:val="16"/>
              </w:rPr>
            </w:pPr>
            <w:r w:rsidRPr="009B3D4C">
              <w:rPr>
                <w:rFonts w:eastAsia="Arial Unicode MS" w:cs="Tahoma"/>
                <w:b/>
                <w:bCs/>
                <w:sz w:val="16"/>
                <w:szCs w:val="16"/>
              </w:rPr>
              <w:t>2011</w:t>
            </w:r>
          </w:p>
        </w:tc>
        <w:tc>
          <w:tcPr>
            <w:tcW w:w="726" w:type="pct"/>
            <w:tcBorders>
              <w:left w:val="nil"/>
              <w:right w:val="nil"/>
            </w:tcBorders>
            <w:noWrap/>
            <w:vAlign w:val="center"/>
          </w:tcPr>
          <w:p w:rsidR="00565FD5" w:rsidRPr="009B3D4C" w:rsidRDefault="00565FD5" w:rsidP="00AB62A3">
            <w:pPr>
              <w:tabs>
                <w:tab w:val="left" w:pos="0"/>
              </w:tabs>
              <w:ind w:right="10"/>
              <w:jc w:val="right"/>
              <w:rPr>
                <w:rFonts w:eastAsia="Arial Unicode MS" w:cs="Tahoma"/>
                <w:b/>
                <w:bCs/>
                <w:sz w:val="16"/>
                <w:szCs w:val="16"/>
                <w:vertAlign w:val="superscript"/>
              </w:rPr>
            </w:pPr>
            <w:r w:rsidRPr="009B3D4C">
              <w:rPr>
                <w:rFonts w:eastAsia="Arial Unicode MS" w:cs="Tahoma"/>
                <w:b/>
                <w:bCs/>
                <w:sz w:val="16"/>
                <w:szCs w:val="16"/>
              </w:rPr>
              <w:t xml:space="preserve"> 2012</w:t>
            </w:r>
            <w:r w:rsidRPr="009B3D4C">
              <w:rPr>
                <w:rFonts w:cs="Tahoma"/>
                <w:b/>
                <w:bCs/>
                <w:sz w:val="16"/>
                <w:szCs w:val="16"/>
              </w:rPr>
              <w:t>(2)</w:t>
            </w:r>
          </w:p>
        </w:tc>
        <w:tc>
          <w:tcPr>
            <w:tcW w:w="794" w:type="pct"/>
            <w:tcBorders>
              <w:left w:val="nil"/>
              <w:right w:val="nil"/>
            </w:tcBorders>
            <w:vAlign w:val="center"/>
          </w:tcPr>
          <w:p w:rsidR="00565FD5" w:rsidRPr="009B3D4C" w:rsidRDefault="00565FD5" w:rsidP="00AB62A3">
            <w:pPr>
              <w:tabs>
                <w:tab w:val="left" w:pos="708"/>
              </w:tabs>
              <w:ind w:right="34"/>
              <w:jc w:val="right"/>
              <w:rPr>
                <w:rFonts w:eastAsia="Arial Unicode MS" w:cs="Calibri"/>
                <w:b/>
                <w:bCs/>
                <w:sz w:val="16"/>
                <w:szCs w:val="16"/>
              </w:rPr>
            </w:pPr>
            <w:r w:rsidRPr="009B3D4C">
              <w:rPr>
                <w:rFonts w:eastAsia="Arial Unicode MS" w:cs="Tahoma"/>
                <w:b/>
                <w:bCs/>
                <w:sz w:val="16"/>
                <w:szCs w:val="16"/>
              </w:rPr>
              <w:t>2011</w:t>
            </w:r>
          </w:p>
        </w:tc>
        <w:tc>
          <w:tcPr>
            <w:tcW w:w="787" w:type="pct"/>
            <w:tcBorders>
              <w:left w:val="nil"/>
            </w:tcBorders>
            <w:vAlign w:val="center"/>
          </w:tcPr>
          <w:p w:rsidR="00565FD5" w:rsidRPr="009B3D4C" w:rsidRDefault="00565FD5" w:rsidP="00AB62A3">
            <w:pPr>
              <w:tabs>
                <w:tab w:val="left" w:pos="459"/>
              </w:tabs>
              <w:jc w:val="right"/>
              <w:rPr>
                <w:rFonts w:eastAsia="Arial Unicode MS" w:cs="Tahoma"/>
                <w:b/>
                <w:bCs/>
                <w:sz w:val="16"/>
                <w:szCs w:val="16"/>
                <w:vertAlign w:val="superscript"/>
              </w:rPr>
            </w:pPr>
            <w:r w:rsidRPr="009B3D4C">
              <w:rPr>
                <w:rFonts w:eastAsia="Arial Unicode MS" w:cs="Tahoma"/>
                <w:b/>
                <w:bCs/>
                <w:sz w:val="16"/>
                <w:szCs w:val="16"/>
              </w:rPr>
              <w:t>2012</w:t>
            </w:r>
            <w:r w:rsidRPr="009B3D4C">
              <w:rPr>
                <w:rFonts w:cs="Tahoma"/>
                <w:b/>
                <w:bCs/>
                <w:sz w:val="16"/>
                <w:szCs w:val="16"/>
              </w:rPr>
              <w:t>(2)</w:t>
            </w:r>
          </w:p>
        </w:tc>
      </w:tr>
      <w:tr w:rsidR="00565FD5" w:rsidRPr="009B3D4C" w:rsidTr="00AB62A3">
        <w:trPr>
          <w:trHeight w:val="170"/>
        </w:trPr>
        <w:tc>
          <w:tcPr>
            <w:tcW w:w="1898" w:type="pct"/>
            <w:tcBorders>
              <w:bottom w:val="nil"/>
              <w:right w:val="nil"/>
            </w:tcBorders>
            <w:noWrap/>
            <w:vAlign w:val="center"/>
          </w:tcPr>
          <w:p w:rsidR="00565FD5" w:rsidRPr="009B3D4C" w:rsidRDefault="00565FD5" w:rsidP="00AB62A3">
            <w:pPr>
              <w:tabs>
                <w:tab w:val="left" w:pos="2161"/>
                <w:tab w:val="left" w:pos="2202"/>
              </w:tabs>
              <w:spacing w:after="60"/>
              <w:rPr>
                <w:rFonts w:eastAsia="Arial Unicode MS" w:cs="Calibri"/>
                <w:sz w:val="16"/>
                <w:szCs w:val="16"/>
              </w:rPr>
            </w:pPr>
            <w:r w:rsidRPr="009B3D4C">
              <w:rPr>
                <w:rFonts w:cs="Tahoma"/>
                <w:sz w:val="16"/>
                <w:szCs w:val="16"/>
              </w:rPr>
              <w:t>İmalat Sanayii Toplamı</w:t>
            </w:r>
          </w:p>
        </w:tc>
        <w:tc>
          <w:tcPr>
            <w:tcW w:w="796" w:type="pct"/>
            <w:tcBorders>
              <w:left w:val="nil"/>
              <w:bottom w:val="nil"/>
              <w:right w:val="nil"/>
            </w:tcBorders>
            <w:noWrap/>
            <w:vAlign w:val="center"/>
          </w:tcPr>
          <w:p w:rsidR="00565FD5" w:rsidRPr="009B3D4C" w:rsidRDefault="00565FD5" w:rsidP="00AB62A3">
            <w:pPr>
              <w:tabs>
                <w:tab w:val="left" w:pos="79"/>
              </w:tabs>
              <w:spacing w:after="60"/>
              <w:ind w:right="-68"/>
              <w:jc w:val="right"/>
              <w:rPr>
                <w:rFonts w:eastAsia="Arial Unicode MS" w:cs="Calibri"/>
                <w:sz w:val="16"/>
                <w:szCs w:val="16"/>
              </w:rPr>
            </w:pPr>
            <w:r w:rsidRPr="009B3D4C">
              <w:rPr>
                <w:rFonts w:eastAsia="Arial Unicode MS" w:cs="Tahoma"/>
                <w:sz w:val="16"/>
                <w:szCs w:val="16"/>
              </w:rPr>
              <w:t>19,4</w:t>
            </w:r>
          </w:p>
        </w:tc>
        <w:tc>
          <w:tcPr>
            <w:tcW w:w="726" w:type="pct"/>
            <w:tcBorders>
              <w:left w:val="nil"/>
              <w:bottom w:val="nil"/>
              <w:right w:val="nil"/>
            </w:tcBorders>
            <w:noWrap/>
            <w:vAlign w:val="center"/>
          </w:tcPr>
          <w:p w:rsidR="00565FD5" w:rsidRPr="009B3D4C" w:rsidRDefault="00565FD5" w:rsidP="00AB62A3">
            <w:pPr>
              <w:tabs>
                <w:tab w:val="left" w:pos="0"/>
              </w:tabs>
              <w:spacing w:after="60"/>
              <w:ind w:right="113"/>
              <w:jc w:val="right"/>
              <w:rPr>
                <w:rFonts w:eastAsia="Arial Unicode MS" w:cs="Calibri"/>
                <w:sz w:val="16"/>
                <w:szCs w:val="16"/>
              </w:rPr>
            </w:pPr>
            <w:r w:rsidRPr="009B3D4C">
              <w:rPr>
                <w:rFonts w:eastAsia="Arial Unicode MS" w:cs="Calibri"/>
                <w:sz w:val="16"/>
                <w:szCs w:val="16"/>
              </w:rPr>
              <w:t>13,3</w:t>
            </w:r>
          </w:p>
        </w:tc>
        <w:tc>
          <w:tcPr>
            <w:tcW w:w="794" w:type="pct"/>
            <w:tcBorders>
              <w:left w:val="nil"/>
              <w:bottom w:val="nil"/>
              <w:right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Tahoma"/>
                <w:sz w:val="16"/>
                <w:szCs w:val="16"/>
              </w:rPr>
              <w:t>26,5</w:t>
            </w:r>
          </w:p>
        </w:tc>
        <w:tc>
          <w:tcPr>
            <w:tcW w:w="787" w:type="pct"/>
            <w:tcBorders>
              <w:left w:val="nil"/>
              <w:bottom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Calibri"/>
                <w:sz w:val="16"/>
                <w:szCs w:val="16"/>
              </w:rPr>
              <w:t>-5,4</w:t>
            </w:r>
          </w:p>
        </w:tc>
      </w:tr>
      <w:tr w:rsidR="00565FD5" w:rsidRPr="009B3D4C" w:rsidTr="00AB62A3">
        <w:trPr>
          <w:trHeight w:val="170"/>
        </w:trPr>
        <w:tc>
          <w:tcPr>
            <w:tcW w:w="1898" w:type="pct"/>
            <w:tcBorders>
              <w:top w:val="nil"/>
              <w:bottom w:val="nil"/>
              <w:right w:val="nil"/>
            </w:tcBorders>
            <w:noWrap/>
            <w:vAlign w:val="center"/>
          </w:tcPr>
          <w:p w:rsidR="00565FD5" w:rsidRPr="009B3D4C" w:rsidRDefault="00565FD5" w:rsidP="00AB62A3">
            <w:pPr>
              <w:spacing w:after="60"/>
              <w:ind w:right="183"/>
              <w:rPr>
                <w:rFonts w:eastAsia="Arial Unicode MS" w:cs="Calibri"/>
                <w:sz w:val="16"/>
                <w:szCs w:val="16"/>
              </w:rPr>
            </w:pPr>
            <w:r w:rsidRPr="009B3D4C">
              <w:rPr>
                <w:rFonts w:cs="Tahoma"/>
                <w:sz w:val="16"/>
                <w:szCs w:val="16"/>
              </w:rPr>
              <w:t>Gıda ve içecek</w:t>
            </w:r>
          </w:p>
        </w:tc>
        <w:tc>
          <w:tcPr>
            <w:tcW w:w="796" w:type="pct"/>
            <w:tcBorders>
              <w:top w:val="nil"/>
              <w:left w:val="nil"/>
              <w:bottom w:val="nil"/>
              <w:right w:val="nil"/>
            </w:tcBorders>
            <w:noWrap/>
            <w:vAlign w:val="center"/>
          </w:tcPr>
          <w:p w:rsidR="00565FD5" w:rsidRPr="009B3D4C" w:rsidRDefault="00565FD5" w:rsidP="00AB62A3">
            <w:pPr>
              <w:tabs>
                <w:tab w:val="left" w:pos="79"/>
              </w:tabs>
              <w:spacing w:after="60"/>
              <w:ind w:right="-68"/>
              <w:jc w:val="right"/>
              <w:rPr>
                <w:rFonts w:eastAsia="Arial Unicode MS" w:cs="Calibri"/>
                <w:sz w:val="16"/>
                <w:szCs w:val="16"/>
              </w:rPr>
            </w:pPr>
            <w:r w:rsidRPr="009B3D4C">
              <w:rPr>
                <w:rFonts w:eastAsia="Arial Unicode MS" w:cs="Tahoma"/>
                <w:sz w:val="16"/>
                <w:szCs w:val="16"/>
              </w:rPr>
              <w:t>32,5</w:t>
            </w:r>
          </w:p>
        </w:tc>
        <w:tc>
          <w:tcPr>
            <w:tcW w:w="726" w:type="pct"/>
            <w:tcBorders>
              <w:top w:val="nil"/>
              <w:left w:val="nil"/>
              <w:bottom w:val="nil"/>
              <w:right w:val="nil"/>
            </w:tcBorders>
            <w:noWrap/>
            <w:vAlign w:val="center"/>
          </w:tcPr>
          <w:p w:rsidR="00565FD5" w:rsidRPr="009B3D4C" w:rsidRDefault="00565FD5" w:rsidP="00AB62A3">
            <w:pPr>
              <w:tabs>
                <w:tab w:val="left" w:pos="0"/>
              </w:tabs>
              <w:spacing w:after="60"/>
              <w:ind w:right="113"/>
              <w:jc w:val="right"/>
              <w:rPr>
                <w:rFonts w:eastAsia="Arial Unicode MS" w:cs="Calibri"/>
                <w:sz w:val="16"/>
                <w:szCs w:val="16"/>
              </w:rPr>
            </w:pPr>
            <w:r w:rsidRPr="009B3D4C">
              <w:rPr>
                <w:rFonts w:eastAsia="Arial Unicode MS" w:cs="Calibri"/>
                <w:sz w:val="16"/>
                <w:szCs w:val="16"/>
              </w:rPr>
              <w:t>9,2</w:t>
            </w:r>
          </w:p>
        </w:tc>
        <w:tc>
          <w:tcPr>
            <w:tcW w:w="794" w:type="pct"/>
            <w:tcBorders>
              <w:top w:val="nil"/>
              <w:left w:val="nil"/>
              <w:bottom w:val="nil"/>
              <w:right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Tahoma"/>
                <w:sz w:val="16"/>
                <w:szCs w:val="16"/>
              </w:rPr>
              <w:t>43,0</w:t>
            </w:r>
          </w:p>
        </w:tc>
        <w:tc>
          <w:tcPr>
            <w:tcW w:w="787" w:type="pct"/>
            <w:tcBorders>
              <w:top w:val="nil"/>
              <w:left w:val="nil"/>
              <w:bottom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Calibri"/>
                <w:sz w:val="16"/>
                <w:szCs w:val="16"/>
              </w:rPr>
              <w:t>0,2</w:t>
            </w:r>
          </w:p>
        </w:tc>
      </w:tr>
      <w:tr w:rsidR="00565FD5" w:rsidRPr="009B3D4C" w:rsidTr="00AB62A3">
        <w:trPr>
          <w:trHeight w:val="170"/>
        </w:trPr>
        <w:tc>
          <w:tcPr>
            <w:tcW w:w="1898" w:type="pct"/>
            <w:tcBorders>
              <w:top w:val="nil"/>
              <w:bottom w:val="nil"/>
              <w:right w:val="nil"/>
            </w:tcBorders>
            <w:noWrap/>
            <w:vAlign w:val="center"/>
          </w:tcPr>
          <w:p w:rsidR="00565FD5" w:rsidRPr="009B3D4C" w:rsidRDefault="00565FD5" w:rsidP="00AB62A3">
            <w:pPr>
              <w:spacing w:after="60"/>
              <w:ind w:right="183"/>
              <w:rPr>
                <w:rFonts w:eastAsia="Arial Unicode MS" w:cs="Calibri"/>
                <w:sz w:val="16"/>
                <w:szCs w:val="16"/>
              </w:rPr>
            </w:pPr>
            <w:r w:rsidRPr="009B3D4C">
              <w:rPr>
                <w:rFonts w:cs="Tahoma"/>
                <w:sz w:val="16"/>
                <w:szCs w:val="16"/>
              </w:rPr>
              <w:t>Tekstil</w:t>
            </w:r>
          </w:p>
        </w:tc>
        <w:tc>
          <w:tcPr>
            <w:tcW w:w="796" w:type="pct"/>
            <w:tcBorders>
              <w:top w:val="nil"/>
              <w:left w:val="nil"/>
              <w:bottom w:val="nil"/>
              <w:right w:val="nil"/>
            </w:tcBorders>
            <w:noWrap/>
            <w:vAlign w:val="center"/>
          </w:tcPr>
          <w:p w:rsidR="00565FD5" w:rsidRPr="009B3D4C" w:rsidRDefault="00565FD5" w:rsidP="00AB62A3">
            <w:pPr>
              <w:tabs>
                <w:tab w:val="left" w:pos="79"/>
              </w:tabs>
              <w:spacing w:after="60"/>
              <w:ind w:right="-68"/>
              <w:jc w:val="right"/>
              <w:rPr>
                <w:rFonts w:eastAsia="Arial Unicode MS" w:cs="Calibri"/>
                <w:sz w:val="16"/>
                <w:szCs w:val="16"/>
              </w:rPr>
            </w:pPr>
            <w:r w:rsidRPr="009B3D4C">
              <w:rPr>
                <w:rFonts w:eastAsia="Arial Unicode MS" w:cs="Tahoma"/>
                <w:sz w:val="16"/>
                <w:szCs w:val="16"/>
              </w:rPr>
              <w:t>18,2</w:t>
            </w:r>
          </w:p>
        </w:tc>
        <w:tc>
          <w:tcPr>
            <w:tcW w:w="726" w:type="pct"/>
            <w:tcBorders>
              <w:top w:val="nil"/>
              <w:left w:val="nil"/>
              <w:bottom w:val="nil"/>
              <w:right w:val="nil"/>
            </w:tcBorders>
            <w:noWrap/>
            <w:vAlign w:val="center"/>
          </w:tcPr>
          <w:p w:rsidR="00565FD5" w:rsidRPr="009B3D4C" w:rsidRDefault="00565FD5" w:rsidP="00AB62A3">
            <w:pPr>
              <w:tabs>
                <w:tab w:val="left" w:pos="0"/>
              </w:tabs>
              <w:spacing w:after="60"/>
              <w:ind w:right="113"/>
              <w:jc w:val="right"/>
              <w:rPr>
                <w:rFonts w:eastAsia="Arial Unicode MS" w:cs="Calibri"/>
                <w:sz w:val="16"/>
                <w:szCs w:val="16"/>
              </w:rPr>
            </w:pPr>
            <w:r w:rsidRPr="009B3D4C">
              <w:rPr>
                <w:rFonts w:eastAsia="Arial Unicode MS" w:cs="Calibri"/>
                <w:sz w:val="16"/>
                <w:szCs w:val="16"/>
              </w:rPr>
              <w:t>-2,8</w:t>
            </w:r>
          </w:p>
        </w:tc>
        <w:tc>
          <w:tcPr>
            <w:tcW w:w="794" w:type="pct"/>
            <w:tcBorders>
              <w:top w:val="nil"/>
              <w:left w:val="nil"/>
              <w:bottom w:val="nil"/>
              <w:right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Tahoma"/>
                <w:sz w:val="16"/>
                <w:szCs w:val="16"/>
              </w:rPr>
              <w:t>13,6</w:t>
            </w:r>
          </w:p>
        </w:tc>
        <w:tc>
          <w:tcPr>
            <w:tcW w:w="787" w:type="pct"/>
            <w:tcBorders>
              <w:top w:val="nil"/>
              <w:left w:val="nil"/>
              <w:bottom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Calibri"/>
                <w:sz w:val="16"/>
                <w:szCs w:val="16"/>
              </w:rPr>
              <w:t>-27,3</w:t>
            </w:r>
          </w:p>
        </w:tc>
      </w:tr>
      <w:tr w:rsidR="00565FD5" w:rsidRPr="009B3D4C" w:rsidTr="00AB62A3">
        <w:trPr>
          <w:trHeight w:val="170"/>
        </w:trPr>
        <w:tc>
          <w:tcPr>
            <w:tcW w:w="1898" w:type="pct"/>
            <w:tcBorders>
              <w:top w:val="nil"/>
              <w:bottom w:val="nil"/>
              <w:right w:val="nil"/>
            </w:tcBorders>
            <w:noWrap/>
            <w:vAlign w:val="center"/>
          </w:tcPr>
          <w:p w:rsidR="00565FD5" w:rsidRPr="009B3D4C" w:rsidRDefault="00565FD5" w:rsidP="00AB62A3">
            <w:pPr>
              <w:spacing w:after="60"/>
              <w:ind w:right="183"/>
              <w:rPr>
                <w:rFonts w:eastAsia="Arial Unicode MS" w:cs="Calibri"/>
                <w:sz w:val="16"/>
                <w:szCs w:val="16"/>
              </w:rPr>
            </w:pPr>
            <w:r w:rsidRPr="009B3D4C">
              <w:rPr>
                <w:rFonts w:cs="Tahoma"/>
                <w:sz w:val="16"/>
                <w:szCs w:val="16"/>
              </w:rPr>
              <w:t>Giyim</w:t>
            </w:r>
          </w:p>
        </w:tc>
        <w:tc>
          <w:tcPr>
            <w:tcW w:w="796" w:type="pct"/>
            <w:tcBorders>
              <w:top w:val="nil"/>
              <w:left w:val="nil"/>
              <w:bottom w:val="nil"/>
              <w:right w:val="nil"/>
            </w:tcBorders>
            <w:noWrap/>
            <w:vAlign w:val="center"/>
          </w:tcPr>
          <w:p w:rsidR="00565FD5" w:rsidRPr="009B3D4C" w:rsidRDefault="00565FD5" w:rsidP="00AB62A3">
            <w:pPr>
              <w:tabs>
                <w:tab w:val="left" w:pos="79"/>
              </w:tabs>
              <w:spacing w:after="60"/>
              <w:ind w:right="-68"/>
              <w:jc w:val="right"/>
              <w:rPr>
                <w:rFonts w:eastAsia="Arial Unicode MS" w:cs="Tahoma"/>
                <w:sz w:val="16"/>
                <w:szCs w:val="16"/>
              </w:rPr>
            </w:pPr>
            <w:r w:rsidRPr="009B3D4C">
              <w:rPr>
                <w:rFonts w:eastAsia="Arial Unicode MS" w:cs="Tahoma"/>
                <w:sz w:val="16"/>
                <w:szCs w:val="16"/>
              </w:rPr>
              <w:t>9,6</w:t>
            </w:r>
          </w:p>
        </w:tc>
        <w:tc>
          <w:tcPr>
            <w:tcW w:w="726" w:type="pct"/>
            <w:tcBorders>
              <w:top w:val="nil"/>
              <w:left w:val="nil"/>
              <w:bottom w:val="nil"/>
              <w:right w:val="nil"/>
            </w:tcBorders>
            <w:noWrap/>
            <w:vAlign w:val="center"/>
          </w:tcPr>
          <w:p w:rsidR="00565FD5" w:rsidRPr="009B3D4C" w:rsidRDefault="00565FD5" w:rsidP="00AB62A3">
            <w:pPr>
              <w:tabs>
                <w:tab w:val="left" w:pos="0"/>
              </w:tabs>
              <w:spacing w:after="60"/>
              <w:ind w:right="113"/>
              <w:jc w:val="right"/>
              <w:rPr>
                <w:rFonts w:eastAsia="Arial Unicode MS" w:cs="Calibri"/>
                <w:sz w:val="16"/>
                <w:szCs w:val="16"/>
              </w:rPr>
            </w:pPr>
            <w:r w:rsidRPr="009B3D4C">
              <w:rPr>
                <w:rFonts w:eastAsia="Arial Unicode MS" w:cs="Calibri"/>
                <w:sz w:val="16"/>
                <w:szCs w:val="16"/>
              </w:rPr>
              <w:t>-1,4</w:t>
            </w:r>
          </w:p>
        </w:tc>
        <w:tc>
          <w:tcPr>
            <w:tcW w:w="794" w:type="pct"/>
            <w:tcBorders>
              <w:top w:val="nil"/>
              <w:left w:val="nil"/>
              <w:bottom w:val="nil"/>
              <w:right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Tahoma"/>
                <w:sz w:val="16"/>
                <w:szCs w:val="16"/>
              </w:rPr>
              <w:t>17,6</w:t>
            </w:r>
          </w:p>
        </w:tc>
        <w:tc>
          <w:tcPr>
            <w:tcW w:w="787" w:type="pct"/>
            <w:tcBorders>
              <w:top w:val="nil"/>
              <w:left w:val="nil"/>
              <w:bottom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Calibri"/>
                <w:sz w:val="16"/>
                <w:szCs w:val="16"/>
              </w:rPr>
              <w:t>-27,3</w:t>
            </w:r>
          </w:p>
        </w:tc>
      </w:tr>
      <w:tr w:rsidR="00565FD5" w:rsidRPr="009B3D4C" w:rsidTr="00AB62A3">
        <w:trPr>
          <w:trHeight w:val="170"/>
        </w:trPr>
        <w:tc>
          <w:tcPr>
            <w:tcW w:w="1898" w:type="pct"/>
            <w:tcBorders>
              <w:top w:val="nil"/>
              <w:bottom w:val="nil"/>
              <w:right w:val="nil"/>
            </w:tcBorders>
            <w:noWrap/>
            <w:vAlign w:val="center"/>
          </w:tcPr>
          <w:p w:rsidR="00565FD5" w:rsidRPr="009B3D4C" w:rsidRDefault="00565FD5" w:rsidP="00AB62A3">
            <w:pPr>
              <w:spacing w:after="60"/>
              <w:ind w:right="183"/>
              <w:rPr>
                <w:rFonts w:eastAsia="Arial Unicode MS" w:cs="Calibri"/>
                <w:sz w:val="16"/>
                <w:szCs w:val="16"/>
              </w:rPr>
            </w:pPr>
            <w:r w:rsidRPr="009B3D4C">
              <w:rPr>
                <w:rFonts w:cs="Tahoma"/>
                <w:sz w:val="16"/>
                <w:szCs w:val="16"/>
              </w:rPr>
              <w:t>Deri</w:t>
            </w:r>
          </w:p>
        </w:tc>
        <w:tc>
          <w:tcPr>
            <w:tcW w:w="796" w:type="pct"/>
            <w:tcBorders>
              <w:top w:val="nil"/>
              <w:left w:val="nil"/>
              <w:bottom w:val="nil"/>
              <w:right w:val="nil"/>
            </w:tcBorders>
            <w:noWrap/>
            <w:vAlign w:val="center"/>
          </w:tcPr>
          <w:p w:rsidR="00565FD5" w:rsidRPr="009B3D4C" w:rsidRDefault="00565FD5" w:rsidP="00AB62A3">
            <w:pPr>
              <w:tabs>
                <w:tab w:val="left" w:pos="79"/>
              </w:tabs>
              <w:spacing w:after="60"/>
              <w:ind w:right="-68"/>
              <w:jc w:val="right"/>
              <w:rPr>
                <w:rFonts w:eastAsia="Arial Unicode MS" w:cs="Calibri"/>
                <w:sz w:val="16"/>
                <w:szCs w:val="16"/>
              </w:rPr>
            </w:pPr>
            <w:r w:rsidRPr="009B3D4C">
              <w:rPr>
                <w:rFonts w:eastAsia="Arial Unicode MS" w:cs="Tahoma"/>
                <w:sz w:val="16"/>
                <w:szCs w:val="16"/>
              </w:rPr>
              <w:t>17,8</w:t>
            </w:r>
          </w:p>
        </w:tc>
        <w:tc>
          <w:tcPr>
            <w:tcW w:w="726" w:type="pct"/>
            <w:tcBorders>
              <w:top w:val="nil"/>
              <w:left w:val="nil"/>
              <w:bottom w:val="nil"/>
              <w:right w:val="nil"/>
            </w:tcBorders>
            <w:noWrap/>
            <w:vAlign w:val="center"/>
          </w:tcPr>
          <w:p w:rsidR="00565FD5" w:rsidRPr="009B3D4C" w:rsidRDefault="00565FD5" w:rsidP="00AB62A3">
            <w:pPr>
              <w:tabs>
                <w:tab w:val="left" w:pos="0"/>
              </w:tabs>
              <w:spacing w:after="60"/>
              <w:ind w:right="113"/>
              <w:jc w:val="right"/>
              <w:rPr>
                <w:rFonts w:eastAsia="Arial Unicode MS" w:cs="Calibri"/>
                <w:sz w:val="16"/>
                <w:szCs w:val="16"/>
              </w:rPr>
            </w:pPr>
            <w:r w:rsidRPr="009B3D4C">
              <w:rPr>
                <w:rFonts w:eastAsia="Arial Unicode MS" w:cs="Calibri"/>
                <w:sz w:val="16"/>
                <w:szCs w:val="16"/>
              </w:rPr>
              <w:t>15,5</w:t>
            </w:r>
          </w:p>
        </w:tc>
        <w:tc>
          <w:tcPr>
            <w:tcW w:w="794" w:type="pct"/>
            <w:tcBorders>
              <w:top w:val="nil"/>
              <w:left w:val="nil"/>
              <w:bottom w:val="nil"/>
              <w:right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Tahoma"/>
                <w:sz w:val="16"/>
                <w:szCs w:val="16"/>
              </w:rPr>
              <w:t>31,0</w:t>
            </w:r>
          </w:p>
        </w:tc>
        <w:tc>
          <w:tcPr>
            <w:tcW w:w="787" w:type="pct"/>
            <w:tcBorders>
              <w:top w:val="nil"/>
              <w:left w:val="nil"/>
              <w:bottom w:val="nil"/>
            </w:tcBorders>
            <w:vAlign w:val="center"/>
          </w:tcPr>
          <w:p w:rsidR="00565FD5" w:rsidRPr="009B3D4C" w:rsidRDefault="00565FD5" w:rsidP="00AB62A3">
            <w:pPr>
              <w:spacing w:after="60"/>
              <w:ind w:right="113"/>
              <w:jc w:val="right"/>
              <w:rPr>
                <w:rFonts w:eastAsia="Arial Unicode MS" w:cs="Tahoma"/>
                <w:sz w:val="16"/>
                <w:szCs w:val="16"/>
              </w:rPr>
            </w:pPr>
            <w:r w:rsidRPr="009B3D4C">
              <w:rPr>
                <w:rFonts w:eastAsia="Arial Unicode MS" w:cs="Tahoma"/>
                <w:sz w:val="16"/>
                <w:szCs w:val="16"/>
              </w:rPr>
              <w:t>-3,8</w:t>
            </w:r>
          </w:p>
        </w:tc>
      </w:tr>
      <w:tr w:rsidR="00565FD5" w:rsidRPr="009B3D4C" w:rsidTr="00AB62A3">
        <w:trPr>
          <w:trHeight w:val="170"/>
        </w:trPr>
        <w:tc>
          <w:tcPr>
            <w:tcW w:w="1898" w:type="pct"/>
            <w:tcBorders>
              <w:top w:val="nil"/>
              <w:bottom w:val="nil"/>
              <w:right w:val="nil"/>
            </w:tcBorders>
            <w:noWrap/>
            <w:vAlign w:val="center"/>
          </w:tcPr>
          <w:p w:rsidR="00565FD5" w:rsidRPr="009B3D4C" w:rsidRDefault="00565FD5" w:rsidP="00AB62A3">
            <w:pPr>
              <w:spacing w:after="60"/>
              <w:ind w:right="183"/>
              <w:rPr>
                <w:rFonts w:eastAsia="Arial Unicode MS" w:cs="Calibri"/>
                <w:sz w:val="16"/>
                <w:szCs w:val="16"/>
              </w:rPr>
            </w:pPr>
            <w:r w:rsidRPr="009B3D4C">
              <w:rPr>
                <w:rFonts w:cs="Tahoma"/>
                <w:sz w:val="16"/>
                <w:szCs w:val="16"/>
              </w:rPr>
              <w:t xml:space="preserve">Kok ve Petrol ürünleri </w:t>
            </w:r>
          </w:p>
        </w:tc>
        <w:tc>
          <w:tcPr>
            <w:tcW w:w="796" w:type="pct"/>
            <w:tcBorders>
              <w:top w:val="nil"/>
              <w:left w:val="nil"/>
              <w:bottom w:val="nil"/>
              <w:right w:val="nil"/>
            </w:tcBorders>
            <w:noWrap/>
            <w:vAlign w:val="center"/>
          </w:tcPr>
          <w:p w:rsidR="00565FD5" w:rsidRPr="009B3D4C" w:rsidRDefault="00565FD5" w:rsidP="00AB62A3">
            <w:pPr>
              <w:tabs>
                <w:tab w:val="left" w:pos="79"/>
              </w:tabs>
              <w:spacing w:after="60"/>
              <w:ind w:right="-68"/>
              <w:jc w:val="right"/>
              <w:rPr>
                <w:rFonts w:eastAsia="Arial Unicode MS" w:cs="Calibri"/>
                <w:sz w:val="16"/>
                <w:szCs w:val="16"/>
              </w:rPr>
            </w:pPr>
            <w:r w:rsidRPr="009B3D4C">
              <w:rPr>
                <w:rFonts w:eastAsia="Arial Unicode MS" w:cs="Tahoma"/>
                <w:sz w:val="16"/>
                <w:szCs w:val="16"/>
              </w:rPr>
              <w:t>47,4</w:t>
            </w:r>
          </w:p>
        </w:tc>
        <w:tc>
          <w:tcPr>
            <w:tcW w:w="726" w:type="pct"/>
            <w:tcBorders>
              <w:top w:val="nil"/>
              <w:left w:val="nil"/>
              <w:bottom w:val="nil"/>
              <w:right w:val="nil"/>
            </w:tcBorders>
            <w:noWrap/>
            <w:vAlign w:val="center"/>
          </w:tcPr>
          <w:p w:rsidR="00565FD5" w:rsidRPr="009B3D4C" w:rsidRDefault="00565FD5" w:rsidP="00AB62A3">
            <w:pPr>
              <w:tabs>
                <w:tab w:val="left" w:pos="0"/>
              </w:tabs>
              <w:spacing w:after="60"/>
              <w:ind w:right="113"/>
              <w:jc w:val="right"/>
              <w:rPr>
                <w:rFonts w:eastAsia="Arial Unicode MS" w:cs="Calibri"/>
                <w:sz w:val="16"/>
                <w:szCs w:val="16"/>
              </w:rPr>
            </w:pPr>
            <w:r w:rsidRPr="009B3D4C">
              <w:rPr>
                <w:rFonts w:eastAsia="Arial Unicode MS" w:cs="Calibri"/>
                <w:sz w:val="16"/>
                <w:szCs w:val="16"/>
              </w:rPr>
              <w:t>8,9</w:t>
            </w:r>
          </w:p>
        </w:tc>
        <w:tc>
          <w:tcPr>
            <w:tcW w:w="794" w:type="pct"/>
            <w:tcBorders>
              <w:top w:val="nil"/>
              <w:left w:val="nil"/>
              <w:bottom w:val="nil"/>
              <w:right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Tahoma"/>
                <w:sz w:val="16"/>
                <w:szCs w:val="16"/>
              </w:rPr>
              <w:t>32,7</w:t>
            </w:r>
          </w:p>
        </w:tc>
        <w:tc>
          <w:tcPr>
            <w:tcW w:w="787" w:type="pct"/>
            <w:tcBorders>
              <w:top w:val="nil"/>
              <w:left w:val="nil"/>
              <w:bottom w:val="nil"/>
            </w:tcBorders>
            <w:vAlign w:val="center"/>
          </w:tcPr>
          <w:p w:rsidR="00565FD5" w:rsidRPr="009B3D4C" w:rsidRDefault="00565FD5" w:rsidP="00AB62A3">
            <w:pPr>
              <w:spacing w:after="60"/>
              <w:ind w:right="113"/>
              <w:jc w:val="right"/>
              <w:rPr>
                <w:rFonts w:eastAsia="Arial Unicode MS" w:cs="Tahoma"/>
                <w:sz w:val="16"/>
                <w:szCs w:val="16"/>
              </w:rPr>
            </w:pPr>
            <w:r w:rsidRPr="009B3D4C">
              <w:rPr>
                <w:rFonts w:eastAsia="Arial Unicode MS" w:cs="Tahoma"/>
                <w:sz w:val="16"/>
                <w:szCs w:val="16"/>
              </w:rPr>
              <w:t>6,9</w:t>
            </w:r>
          </w:p>
        </w:tc>
      </w:tr>
      <w:tr w:rsidR="00565FD5" w:rsidRPr="009B3D4C" w:rsidTr="00AB62A3">
        <w:trPr>
          <w:trHeight w:val="170"/>
        </w:trPr>
        <w:tc>
          <w:tcPr>
            <w:tcW w:w="1898" w:type="pct"/>
            <w:tcBorders>
              <w:top w:val="nil"/>
              <w:bottom w:val="nil"/>
              <w:right w:val="nil"/>
            </w:tcBorders>
            <w:noWrap/>
            <w:vAlign w:val="center"/>
          </w:tcPr>
          <w:p w:rsidR="00565FD5" w:rsidRPr="009B3D4C" w:rsidRDefault="00565FD5" w:rsidP="00AB62A3">
            <w:pPr>
              <w:spacing w:after="60"/>
              <w:ind w:right="183"/>
              <w:rPr>
                <w:rFonts w:eastAsia="Arial Unicode MS" w:cs="Calibri"/>
                <w:sz w:val="16"/>
                <w:szCs w:val="16"/>
              </w:rPr>
            </w:pPr>
            <w:r w:rsidRPr="009B3D4C">
              <w:rPr>
                <w:rFonts w:cs="Tahoma"/>
                <w:sz w:val="16"/>
                <w:szCs w:val="16"/>
              </w:rPr>
              <w:t>Kimya</w:t>
            </w:r>
          </w:p>
        </w:tc>
        <w:tc>
          <w:tcPr>
            <w:tcW w:w="796" w:type="pct"/>
            <w:tcBorders>
              <w:top w:val="nil"/>
              <w:left w:val="nil"/>
              <w:bottom w:val="nil"/>
              <w:right w:val="nil"/>
            </w:tcBorders>
            <w:noWrap/>
            <w:vAlign w:val="center"/>
          </w:tcPr>
          <w:p w:rsidR="00565FD5" w:rsidRPr="009B3D4C" w:rsidRDefault="00565FD5" w:rsidP="00AB62A3">
            <w:pPr>
              <w:tabs>
                <w:tab w:val="left" w:pos="79"/>
              </w:tabs>
              <w:spacing w:after="60"/>
              <w:ind w:right="-68"/>
              <w:jc w:val="right"/>
              <w:rPr>
                <w:rFonts w:eastAsia="Arial Unicode MS" w:cs="Calibri"/>
                <w:sz w:val="16"/>
                <w:szCs w:val="16"/>
              </w:rPr>
            </w:pPr>
            <w:r w:rsidRPr="009B3D4C">
              <w:rPr>
                <w:rFonts w:eastAsia="Arial Unicode MS" w:cs="Tahoma"/>
                <w:sz w:val="16"/>
                <w:szCs w:val="16"/>
              </w:rPr>
              <w:t>18,2</w:t>
            </w:r>
          </w:p>
        </w:tc>
        <w:tc>
          <w:tcPr>
            <w:tcW w:w="726" w:type="pct"/>
            <w:tcBorders>
              <w:top w:val="nil"/>
              <w:left w:val="nil"/>
              <w:bottom w:val="nil"/>
              <w:right w:val="nil"/>
            </w:tcBorders>
            <w:noWrap/>
            <w:vAlign w:val="center"/>
          </w:tcPr>
          <w:p w:rsidR="00565FD5" w:rsidRPr="009B3D4C" w:rsidRDefault="00565FD5" w:rsidP="00AB62A3">
            <w:pPr>
              <w:tabs>
                <w:tab w:val="left" w:pos="0"/>
              </w:tabs>
              <w:spacing w:after="60"/>
              <w:ind w:right="113"/>
              <w:jc w:val="right"/>
              <w:rPr>
                <w:rFonts w:eastAsia="Arial Unicode MS" w:cs="Tahoma"/>
                <w:sz w:val="16"/>
                <w:szCs w:val="16"/>
              </w:rPr>
            </w:pPr>
            <w:r w:rsidRPr="009B3D4C">
              <w:rPr>
                <w:rFonts w:eastAsia="Arial Unicode MS" w:cs="Tahoma"/>
                <w:sz w:val="16"/>
                <w:szCs w:val="16"/>
              </w:rPr>
              <w:t>4,9</w:t>
            </w:r>
          </w:p>
        </w:tc>
        <w:tc>
          <w:tcPr>
            <w:tcW w:w="794" w:type="pct"/>
            <w:tcBorders>
              <w:top w:val="nil"/>
              <w:left w:val="nil"/>
              <w:bottom w:val="nil"/>
              <w:right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Tahoma"/>
                <w:sz w:val="16"/>
                <w:szCs w:val="16"/>
              </w:rPr>
              <w:t>23,0</w:t>
            </w:r>
          </w:p>
        </w:tc>
        <w:tc>
          <w:tcPr>
            <w:tcW w:w="787" w:type="pct"/>
            <w:tcBorders>
              <w:top w:val="nil"/>
              <w:left w:val="nil"/>
              <w:bottom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Calibri"/>
                <w:sz w:val="16"/>
                <w:szCs w:val="16"/>
              </w:rPr>
              <w:t>-5,1</w:t>
            </w:r>
          </w:p>
        </w:tc>
      </w:tr>
      <w:tr w:rsidR="00565FD5" w:rsidRPr="009B3D4C" w:rsidTr="00AB62A3">
        <w:trPr>
          <w:trHeight w:val="170"/>
        </w:trPr>
        <w:tc>
          <w:tcPr>
            <w:tcW w:w="1898" w:type="pct"/>
            <w:tcBorders>
              <w:top w:val="nil"/>
              <w:bottom w:val="nil"/>
              <w:right w:val="nil"/>
            </w:tcBorders>
            <w:noWrap/>
            <w:vAlign w:val="center"/>
          </w:tcPr>
          <w:p w:rsidR="00565FD5" w:rsidRPr="009B3D4C" w:rsidRDefault="00565FD5" w:rsidP="00AB62A3">
            <w:pPr>
              <w:spacing w:after="60"/>
              <w:ind w:right="183"/>
              <w:rPr>
                <w:rFonts w:eastAsia="Arial Unicode MS" w:cs="Calibri"/>
                <w:sz w:val="16"/>
                <w:szCs w:val="16"/>
              </w:rPr>
            </w:pPr>
            <w:r w:rsidRPr="009B3D4C">
              <w:rPr>
                <w:rFonts w:cs="Tahoma"/>
                <w:sz w:val="16"/>
                <w:szCs w:val="16"/>
              </w:rPr>
              <w:t xml:space="preserve">Kauçuk ve plastik  </w:t>
            </w:r>
          </w:p>
        </w:tc>
        <w:tc>
          <w:tcPr>
            <w:tcW w:w="796" w:type="pct"/>
            <w:tcBorders>
              <w:top w:val="nil"/>
              <w:left w:val="nil"/>
              <w:bottom w:val="nil"/>
              <w:right w:val="nil"/>
            </w:tcBorders>
            <w:noWrap/>
            <w:vAlign w:val="center"/>
          </w:tcPr>
          <w:p w:rsidR="00565FD5" w:rsidRPr="009B3D4C" w:rsidRDefault="00565FD5" w:rsidP="00AB62A3">
            <w:pPr>
              <w:tabs>
                <w:tab w:val="left" w:pos="79"/>
              </w:tabs>
              <w:spacing w:after="60"/>
              <w:ind w:right="-68"/>
              <w:jc w:val="right"/>
              <w:rPr>
                <w:rFonts w:eastAsia="Arial Unicode MS" w:cs="Calibri"/>
                <w:sz w:val="16"/>
                <w:szCs w:val="16"/>
              </w:rPr>
            </w:pPr>
            <w:r w:rsidRPr="009B3D4C">
              <w:rPr>
                <w:rFonts w:eastAsia="Arial Unicode MS" w:cs="Tahoma"/>
                <w:sz w:val="16"/>
                <w:szCs w:val="16"/>
              </w:rPr>
              <w:t>27,7</w:t>
            </w:r>
          </w:p>
        </w:tc>
        <w:tc>
          <w:tcPr>
            <w:tcW w:w="726" w:type="pct"/>
            <w:tcBorders>
              <w:top w:val="nil"/>
              <w:left w:val="nil"/>
              <w:bottom w:val="nil"/>
              <w:right w:val="nil"/>
            </w:tcBorders>
            <w:noWrap/>
            <w:vAlign w:val="center"/>
          </w:tcPr>
          <w:p w:rsidR="00565FD5" w:rsidRPr="009B3D4C" w:rsidRDefault="00565FD5" w:rsidP="00AB62A3">
            <w:pPr>
              <w:tabs>
                <w:tab w:val="left" w:pos="0"/>
              </w:tabs>
              <w:spacing w:after="60"/>
              <w:ind w:right="113"/>
              <w:jc w:val="right"/>
              <w:rPr>
                <w:rFonts w:eastAsia="Arial Unicode MS" w:cs="Tahoma"/>
                <w:sz w:val="16"/>
                <w:szCs w:val="16"/>
              </w:rPr>
            </w:pPr>
            <w:r w:rsidRPr="009B3D4C">
              <w:rPr>
                <w:rFonts w:eastAsia="Arial Unicode MS" w:cs="Tahoma"/>
                <w:sz w:val="16"/>
                <w:szCs w:val="16"/>
              </w:rPr>
              <w:t>2,3</w:t>
            </w:r>
          </w:p>
        </w:tc>
        <w:tc>
          <w:tcPr>
            <w:tcW w:w="794" w:type="pct"/>
            <w:tcBorders>
              <w:top w:val="nil"/>
              <w:left w:val="nil"/>
              <w:bottom w:val="nil"/>
              <w:right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Tahoma"/>
                <w:sz w:val="16"/>
                <w:szCs w:val="16"/>
              </w:rPr>
              <w:t>28,5</w:t>
            </w:r>
          </w:p>
        </w:tc>
        <w:tc>
          <w:tcPr>
            <w:tcW w:w="787" w:type="pct"/>
            <w:tcBorders>
              <w:top w:val="nil"/>
              <w:left w:val="nil"/>
              <w:bottom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Calibri"/>
                <w:sz w:val="16"/>
                <w:szCs w:val="16"/>
              </w:rPr>
              <w:t>-3,3</w:t>
            </w:r>
          </w:p>
        </w:tc>
      </w:tr>
      <w:tr w:rsidR="00565FD5" w:rsidRPr="009B3D4C" w:rsidTr="00AB62A3">
        <w:trPr>
          <w:trHeight w:val="170"/>
        </w:trPr>
        <w:tc>
          <w:tcPr>
            <w:tcW w:w="1898" w:type="pct"/>
            <w:tcBorders>
              <w:top w:val="nil"/>
              <w:bottom w:val="nil"/>
              <w:right w:val="nil"/>
            </w:tcBorders>
            <w:noWrap/>
            <w:vAlign w:val="center"/>
          </w:tcPr>
          <w:p w:rsidR="00565FD5" w:rsidRPr="009B3D4C" w:rsidRDefault="00565FD5" w:rsidP="00AB62A3">
            <w:pPr>
              <w:tabs>
                <w:tab w:val="left" w:pos="2202"/>
              </w:tabs>
              <w:spacing w:after="60"/>
              <w:rPr>
                <w:rFonts w:eastAsia="Arial Unicode MS" w:cs="Calibri"/>
                <w:sz w:val="16"/>
                <w:szCs w:val="16"/>
              </w:rPr>
            </w:pPr>
            <w:r w:rsidRPr="009B3D4C">
              <w:rPr>
                <w:rFonts w:cs="Tahoma"/>
                <w:sz w:val="16"/>
                <w:szCs w:val="16"/>
              </w:rPr>
              <w:t>Taş ve toprağa dayalı sanayiler</w:t>
            </w:r>
          </w:p>
        </w:tc>
        <w:tc>
          <w:tcPr>
            <w:tcW w:w="796" w:type="pct"/>
            <w:tcBorders>
              <w:top w:val="nil"/>
              <w:left w:val="nil"/>
              <w:bottom w:val="nil"/>
              <w:right w:val="nil"/>
            </w:tcBorders>
            <w:noWrap/>
            <w:vAlign w:val="center"/>
          </w:tcPr>
          <w:p w:rsidR="00565FD5" w:rsidRPr="009B3D4C" w:rsidRDefault="00565FD5" w:rsidP="00AB62A3">
            <w:pPr>
              <w:tabs>
                <w:tab w:val="left" w:pos="79"/>
              </w:tabs>
              <w:spacing w:after="60"/>
              <w:ind w:right="-68"/>
              <w:jc w:val="right"/>
              <w:rPr>
                <w:rFonts w:eastAsia="Arial Unicode MS" w:cs="Calibri"/>
                <w:sz w:val="16"/>
                <w:szCs w:val="16"/>
              </w:rPr>
            </w:pPr>
            <w:r w:rsidRPr="009B3D4C">
              <w:rPr>
                <w:rFonts w:eastAsia="Arial Unicode MS" w:cs="Tahoma"/>
                <w:sz w:val="16"/>
                <w:szCs w:val="16"/>
              </w:rPr>
              <w:t>1,3</w:t>
            </w:r>
          </w:p>
        </w:tc>
        <w:tc>
          <w:tcPr>
            <w:tcW w:w="726" w:type="pct"/>
            <w:tcBorders>
              <w:top w:val="nil"/>
              <w:left w:val="nil"/>
              <w:bottom w:val="nil"/>
              <w:right w:val="nil"/>
            </w:tcBorders>
            <w:noWrap/>
            <w:vAlign w:val="center"/>
          </w:tcPr>
          <w:p w:rsidR="00565FD5" w:rsidRPr="009B3D4C" w:rsidRDefault="00565FD5" w:rsidP="00AB62A3">
            <w:pPr>
              <w:tabs>
                <w:tab w:val="left" w:pos="0"/>
              </w:tabs>
              <w:spacing w:after="60"/>
              <w:ind w:right="113"/>
              <w:jc w:val="right"/>
              <w:rPr>
                <w:rFonts w:eastAsia="Arial Unicode MS" w:cs="Calibri"/>
                <w:sz w:val="16"/>
                <w:szCs w:val="16"/>
              </w:rPr>
            </w:pPr>
            <w:r w:rsidRPr="009B3D4C">
              <w:rPr>
                <w:rFonts w:eastAsia="Arial Unicode MS" w:cs="Calibri"/>
                <w:sz w:val="16"/>
                <w:szCs w:val="16"/>
              </w:rPr>
              <w:t>0,1</w:t>
            </w:r>
          </w:p>
        </w:tc>
        <w:tc>
          <w:tcPr>
            <w:tcW w:w="794" w:type="pct"/>
            <w:tcBorders>
              <w:top w:val="nil"/>
              <w:left w:val="nil"/>
              <w:bottom w:val="nil"/>
              <w:right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Tahoma"/>
                <w:sz w:val="16"/>
                <w:szCs w:val="16"/>
              </w:rPr>
              <w:t>19,5</w:t>
            </w:r>
          </w:p>
        </w:tc>
        <w:tc>
          <w:tcPr>
            <w:tcW w:w="787" w:type="pct"/>
            <w:tcBorders>
              <w:top w:val="nil"/>
              <w:left w:val="nil"/>
              <w:bottom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Calibri"/>
                <w:sz w:val="16"/>
                <w:szCs w:val="16"/>
              </w:rPr>
              <w:t>-10,1</w:t>
            </w:r>
          </w:p>
        </w:tc>
      </w:tr>
      <w:tr w:rsidR="00565FD5" w:rsidRPr="009B3D4C" w:rsidTr="00AB62A3">
        <w:trPr>
          <w:trHeight w:val="170"/>
        </w:trPr>
        <w:tc>
          <w:tcPr>
            <w:tcW w:w="1898" w:type="pct"/>
            <w:tcBorders>
              <w:top w:val="nil"/>
              <w:bottom w:val="nil"/>
              <w:right w:val="nil"/>
            </w:tcBorders>
            <w:noWrap/>
            <w:vAlign w:val="center"/>
          </w:tcPr>
          <w:p w:rsidR="00565FD5" w:rsidRPr="009B3D4C" w:rsidRDefault="00565FD5" w:rsidP="00AB62A3">
            <w:pPr>
              <w:spacing w:after="60"/>
              <w:ind w:right="183"/>
              <w:rPr>
                <w:rFonts w:eastAsia="Arial Unicode MS" w:cs="Calibri"/>
                <w:sz w:val="16"/>
                <w:szCs w:val="16"/>
              </w:rPr>
            </w:pPr>
            <w:r w:rsidRPr="009B3D4C">
              <w:rPr>
                <w:rFonts w:cs="Tahoma"/>
                <w:sz w:val="16"/>
                <w:szCs w:val="16"/>
              </w:rPr>
              <w:t xml:space="preserve">Ana metal </w:t>
            </w:r>
          </w:p>
        </w:tc>
        <w:tc>
          <w:tcPr>
            <w:tcW w:w="796" w:type="pct"/>
            <w:tcBorders>
              <w:top w:val="nil"/>
              <w:left w:val="nil"/>
              <w:bottom w:val="nil"/>
              <w:right w:val="nil"/>
            </w:tcBorders>
            <w:noWrap/>
            <w:vAlign w:val="center"/>
          </w:tcPr>
          <w:p w:rsidR="00565FD5" w:rsidRPr="009B3D4C" w:rsidRDefault="00565FD5" w:rsidP="00AB62A3">
            <w:pPr>
              <w:tabs>
                <w:tab w:val="left" w:pos="79"/>
              </w:tabs>
              <w:spacing w:after="60"/>
              <w:ind w:right="-68"/>
              <w:jc w:val="right"/>
              <w:rPr>
                <w:rFonts w:eastAsia="Arial Unicode MS" w:cs="Calibri"/>
                <w:sz w:val="16"/>
                <w:szCs w:val="16"/>
              </w:rPr>
            </w:pPr>
            <w:r w:rsidRPr="009B3D4C">
              <w:rPr>
                <w:rFonts w:eastAsia="Arial Unicode MS" w:cs="Tahoma"/>
                <w:sz w:val="16"/>
                <w:szCs w:val="16"/>
              </w:rPr>
              <w:t>18,3</w:t>
            </w:r>
          </w:p>
        </w:tc>
        <w:tc>
          <w:tcPr>
            <w:tcW w:w="726" w:type="pct"/>
            <w:tcBorders>
              <w:top w:val="nil"/>
              <w:left w:val="nil"/>
              <w:bottom w:val="nil"/>
              <w:right w:val="nil"/>
            </w:tcBorders>
            <w:noWrap/>
            <w:vAlign w:val="center"/>
          </w:tcPr>
          <w:p w:rsidR="00565FD5" w:rsidRPr="009B3D4C" w:rsidRDefault="00565FD5" w:rsidP="00AB62A3">
            <w:pPr>
              <w:tabs>
                <w:tab w:val="left" w:pos="0"/>
              </w:tabs>
              <w:spacing w:after="60"/>
              <w:ind w:right="113"/>
              <w:jc w:val="right"/>
              <w:rPr>
                <w:rFonts w:eastAsia="Arial Unicode MS" w:cs="Calibri"/>
                <w:sz w:val="16"/>
                <w:szCs w:val="16"/>
              </w:rPr>
            </w:pPr>
            <w:r w:rsidRPr="009B3D4C">
              <w:rPr>
                <w:rFonts w:eastAsia="Arial Unicode MS" w:cs="Calibri"/>
                <w:sz w:val="16"/>
                <w:szCs w:val="16"/>
              </w:rPr>
              <w:t>80,3</w:t>
            </w:r>
          </w:p>
        </w:tc>
        <w:tc>
          <w:tcPr>
            <w:tcW w:w="794" w:type="pct"/>
            <w:tcBorders>
              <w:top w:val="nil"/>
              <w:left w:val="nil"/>
              <w:bottom w:val="nil"/>
              <w:right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Tahoma"/>
                <w:sz w:val="16"/>
                <w:szCs w:val="16"/>
              </w:rPr>
              <w:t>39,7</w:t>
            </w:r>
          </w:p>
        </w:tc>
        <w:tc>
          <w:tcPr>
            <w:tcW w:w="787" w:type="pct"/>
            <w:tcBorders>
              <w:top w:val="nil"/>
              <w:left w:val="nil"/>
              <w:bottom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Calibri"/>
                <w:sz w:val="16"/>
                <w:szCs w:val="16"/>
              </w:rPr>
              <w:t>8,4</w:t>
            </w:r>
          </w:p>
        </w:tc>
      </w:tr>
      <w:tr w:rsidR="00565FD5" w:rsidRPr="009B3D4C" w:rsidTr="00AB62A3">
        <w:trPr>
          <w:trHeight w:val="170"/>
        </w:trPr>
        <w:tc>
          <w:tcPr>
            <w:tcW w:w="1898" w:type="pct"/>
            <w:tcBorders>
              <w:top w:val="nil"/>
              <w:bottom w:val="nil"/>
              <w:right w:val="nil"/>
            </w:tcBorders>
            <w:noWrap/>
            <w:vAlign w:val="center"/>
          </w:tcPr>
          <w:p w:rsidR="00565FD5" w:rsidRPr="009B3D4C" w:rsidRDefault="00565FD5" w:rsidP="00AB62A3">
            <w:pPr>
              <w:spacing w:after="60"/>
              <w:ind w:right="183"/>
              <w:rPr>
                <w:rFonts w:eastAsia="Arial Unicode MS" w:cs="Calibri"/>
                <w:sz w:val="16"/>
                <w:szCs w:val="16"/>
              </w:rPr>
            </w:pPr>
            <w:r w:rsidRPr="009B3D4C">
              <w:rPr>
                <w:rFonts w:cs="Tahoma"/>
                <w:sz w:val="16"/>
                <w:szCs w:val="16"/>
              </w:rPr>
              <w:t xml:space="preserve">Makine </w:t>
            </w:r>
          </w:p>
        </w:tc>
        <w:tc>
          <w:tcPr>
            <w:tcW w:w="796" w:type="pct"/>
            <w:tcBorders>
              <w:top w:val="nil"/>
              <w:left w:val="nil"/>
              <w:bottom w:val="nil"/>
              <w:right w:val="nil"/>
            </w:tcBorders>
            <w:noWrap/>
            <w:vAlign w:val="center"/>
          </w:tcPr>
          <w:p w:rsidR="00565FD5" w:rsidRPr="009B3D4C" w:rsidRDefault="00565FD5" w:rsidP="00AB62A3">
            <w:pPr>
              <w:tabs>
                <w:tab w:val="left" w:pos="79"/>
              </w:tabs>
              <w:spacing w:after="60"/>
              <w:ind w:right="-68"/>
              <w:jc w:val="right"/>
              <w:rPr>
                <w:rFonts w:eastAsia="Arial Unicode MS" w:cs="Calibri"/>
                <w:sz w:val="16"/>
                <w:szCs w:val="16"/>
              </w:rPr>
            </w:pPr>
            <w:r w:rsidRPr="009B3D4C">
              <w:rPr>
                <w:rFonts w:eastAsia="Arial Unicode MS" w:cs="Tahoma"/>
                <w:sz w:val="16"/>
                <w:szCs w:val="16"/>
              </w:rPr>
              <w:t>22,8</w:t>
            </w:r>
          </w:p>
        </w:tc>
        <w:tc>
          <w:tcPr>
            <w:tcW w:w="726" w:type="pct"/>
            <w:tcBorders>
              <w:top w:val="nil"/>
              <w:left w:val="nil"/>
              <w:bottom w:val="nil"/>
              <w:right w:val="nil"/>
            </w:tcBorders>
            <w:noWrap/>
            <w:vAlign w:val="center"/>
          </w:tcPr>
          <w:p w:rsidR="00565FD5" w:rsidRPr="009B3D4C" w:rsidRDefault="00565FD5" w:rsidP="00AB62A3">
            <w:pPr>
              <w:tabs>
                <w:tab w:val="left" w:pos="0"/>
              </w:tabs>
              <w:spacing w:after="60"/>
              <w:ind w:right="113"/>
              <w:jc w:val="right"/>
              <w:rPr>
                <w:rFonts w:eastAsia="Arial Unicode MS" w:cs="Calibri"/>
                <w:sz w:val="16"/>
                <w:szCs w:val="16"/>
              </w:rPr>
            </w:pPr>
            <w:r w:rsidRPr="009B3D4C">
              <w:rPr>
                <w:rFonts w:eastAsia="Arial Unicode MS" w:cs="Calibri"/>
                <w:sz w:val="16"/>
                <w:szCs w:val="16"/>
              </w:rPr>
              <w:t>6,8</w:t>
            </w:r>
          </w:p>
        </w:tc>
        <w:tc>
          <w:tcPr>
            <w:tcW w:w="794" w:type="pct"/>
            <w:tcBorders>
              <w:top w:val="nil"/>
              <w:left w:val="nil"/>
              <w:bottom w:val="nil"/>
              <w:right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Tahoma"/>
                <w:sz w:val="16"/>
                <w:szCs w:val="16"/>
              </w:rPr>
              <w:t>37,1</w:t>
            </w:r>
          </w:p>
        </w:tc>
        <w:tc>
          <w:tcPr>
            <w:tcW w:w="787" w:type="pct"/>
            <w:tcBorders>
              <w:top w:val="nil"/>
              <w:left w:val="nil"/>
              <w:bottom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Calibri"/>
                <w:sz w:val="16"/>
                <w:szCs w:val="16"/>
              </w:rPr>
              <w:t>-6,8</w:t>
            </w:r>
          </w:p>
        </w:tc>
      </w:tr>
      <w:tr w:rsidR="00565FD5" w:rsidRPr="009B3D4C" w:rsidTr="00AB62A3">
        <w:trPr>
          <w:trHeight w:val="170"/>
        </w:trPr>
        <w:tc>
          <w:tcPr>
            <w:tcW w:w="1898" w:type="pct"/>
            <w:tcBorders>
              <w:top w:val="nil"/>
              <w:bottom w:val="nil"/>
              <w:right w:val="nil"/>
            </w:tcBorders>
            <w:noWrap/>
            <w:vAlign w:val="center"/>
          </w:tcPr>
          <w:p w:rsidR="00565FD5" w:rsidRPr="009B3D4C" w:rsidRDefault="00565FD5" w:rsidP="00AB62A3">
            <w:pPr>
              <w:spacing w:after="60"/>
              <w:ind w:right="183"/>
              <w:rPr>
                <w:rFonts w:eastAsia="Arial Unicode MS" w:cs="Calibri"/>
                <w:sz w:val="16"/>
                <w:szCs w:val="16"/>
              </w:rPr>
            </w:pPr>
            <w:r w:rsidRPr="009B3D4C">
              <w:rPr>
                <w:rFonts w:cs="Tahoma"/>
                <w:sz w:val="16"/>
                <w:szCs w:val="16"/>
              </w:rPr>
              <w:t>Elektrikli makineler</w:t>
            </w:r>
          </w:p>
        </w:tc>
        <w:tc>
          <w:tcPr>
            <w:tcW w:w="796" w:type="pct"/>
            <w:tcBorders>
              <w:top w:val="nil"/>
              <w:left w:val="nil"/>
              <w:bottom w:val="nil"/>
              <w:right w:val="nil"/>
            </w:tcBorders>
            <w:noWrap/>
            <w:vAlign w:val="center"/>
          </w:tcPr>
          <w:p w:rsidR="00565FD5" w:rsidRPr="009B3D4C" w:rsidRDefault="00565FD5" w:rsidP="00AB62A3">
            <w:pPr>
              <w:tabs>
                <w:tab w:val="left" w:pos="79"/>
              </w:tabs>
              <w:spacing w:after="60"/>
              <w:ind w:right="-68"/>
              <w:jc w:val="right"/>
              <w:rPr>
                <w:rFonts w:eastAsia="Arial Unicode MS" w:cs="Calibri"/>
                <w:sz w:val="16"/>
                <w:szCs w:val="16"/>
              </w:rPr>
            </w:pPr>
            <w:r w:rsidRPr="009B3D4C">
              <w:rPr>
                <w:rFonts w:eastAsia="Arial Unicode MS" w:cs="Tahoma"/>
                <w:sz w:val="16"/>
                <w:szCs w:val="16"/>
              </w:rPr>
              <w:t>20,6</w:t>
            </w:r>
          </w:p>
        </w:tc>
        <w:tc>
          <w:tcPr>
            <w:tcW w:w="726" w:type="pct"/>
            <w:tcBorders>
              <w:top w:val="nil"/>
              <w:left w:val="nil"/>
              <w:bottom w:val="nil"/>
              <w:right w:val="nil"/>
            </w:tcBorders>
            <w:noWrap/>
            <w:vAlign w:val="center"/>
          </w:tcPr>
          <w:p w:rsidR="00565FD5" w:rsidRPr="009B3D4C" w:rsidRDefault="00565FD5" w:rsidP="00AB62A3">
            <w:pPr>
              <w:tabs>
                <w:tab w:val="left" w:pos="0"/>
              </w:tabs>
              <w:spacing w:after="60"/>
              <w:ind w:right="113"/>
              <w:jc w:val="right"/>
              <w:rPr>
                <w:rFonts w:eastAsia="Arial Unicode MS" w:cs="Calibri"/>
                <w:sz w:val="16"/>
                <w:szCs w:val="16"/>
              </w:rPr>
            </w:pPr>
            <w:r w:rsidRPr="009B3D4C">
              <w:rPr>
                <w:rFonts w:eastAsia="Arial Unicode MS" w:cs="Calibri"/>
                <w:sz w:val="16"/>
                <w:szCs w:val="16"/>
              </w:rPr>
              <w:t>0,5</w:t>
            </w:r>
          </w:p>
        </w:tc>
        <w:tc>
          <w:tcPr>
            <w:tcW w:w="794" w:type="pct"/>
            <w:tcBorders>
              <w:top w:val="nil"/>
              <w:left w:val="nil"/>
              <w:bottom w:val="nil"/>
              <w:right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Tahoma"/>
                <w:sz w:val="16"/>
                <w:szCs w:val="16"/>
              </w:rPr>
              <w:t>14,2</w:t>
            </w:r>
          </w:p>
        </w:tc>
        <w:tc>
          <w:tcPr>
            <w:tcW w:w="787" w:type="pct"/>
            <w:tcBorders>
              <w:top w:val="nil"/>
              <w:left w:val="nil"/>
              <w:bottom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Calibri"/>
                <w:sz w:val="16"/>
                <w:szCs w:val="16"/>
              </w:rPr>
              <w:t>-6,3</w:t>
            </w:r>
          </w:p>
        </w:tc>
      </w:tr>
      <w:tr w:rsidR="00565FD5" w:rsidRPr="009B3D4C" w:rsidTr="00AB62A3">
        <w:trPr>
          <w:trHeight w:val="170"/>
        </w:trPr>
        <w:tc>
          <w:tcPr>
            <w:tcW w:w="1898" w:type="pct"/>
            <w:tcBorders>
              <w:top w:val="nil"/>
              <w:bottom w:val="nil"/>
              <w:right w:val="nil"/>
            </w:tcBorders>
            <w:noWrap/>
            <w:vAlign w:val="center"/>
          </w:tcPr>
          <w:p w:rsidR="00565FD5" w:rsidRPr="009B3D4C" w:rsidRDefault="00565FD5" w:rsidP="00AB62A3">
            <w:pPr>
              <w:spacing w:after="60"/>
              <w:ind w:right="183"/>
              <w:rPr>
                <w:rFonts w:eastAsia="Arial Unicode MS" w:cs="Calibri"/>
                <w:sz w:val="16"/>
                <w:szCs w:val="16"/>
              </w:rPr>
            </w:pPr>
            <w:r w:rsidRPr="009B3D4C">
              <w:rPr>
                <w:rFonts w:cs="Tahoma"/>
                <w:sz w:val="16"/>
                <w:szCs w:val="16"/>
              </w:rPr>
              <w:t>Elektronik</w:t>
            </w:r>
          </w:p>
        </w:tc>
        <w:tc>
          <w:tcPr>
            <w:tcW w:w="796" w:type="pct"/>
            <w:tcBorders>
              <w:top w:val="nil"/>
              <w:left w:val="nil"/>
              <w:bottom w:val="nil"/>
              <w:right w:val="nil"/>
            </w:tcBorders>
            <w:noWrap/>
            <w:vAlign w:val="center"/>
          </w:tcPr>
          <w:p w:rsidR="00565FD5" w:rsidRPr="009B3D4C" w:rsidRDefault="00565FD5" w:rsidP="00AB62A3">
            <w:pPr>
              <w:tabs>
                <w:tab w:val="left" w:pos="79"/>
              </w:tabs>
              <w:spacing w:after="60"/>
              <w:ind w:right="-68"/>
              <w:jc w:val="right"/>
              <w:rPr>
                <w:rFonts w:eastAsia="Arial Unicode MS" w:cs="Calibri"/>
                <w:sz w:val="16"/>
                <w:szCs w:val="16"/>
              </w:rPr>
            </w:pPr>
            <w:r w:rsidRPr="009B3D4C">
              <w:rPr>
                <w:rFonts w:eastAsia="Arial Unicode MS" w:cs="Tahoma"/>
                <w:sz w:val="16"/>
                <w:szCs w:val="16"/>
              </w:rPr>
              <w:t>8,2</w:t>
            </w:r>
          </w:p>
        </w:tc>
        <w:tc>
          <w:tcPr>
            <w:tcW w:w="726" w:type="pct"/>
            <w:tcBorders>
              <w:top w:val="nil"/>
              <w:left w:val="nil"/>
              <w:bottom w:val="nil"/>
              <w:right w:val="nil"/>
            </w:tcBorders>
            <w:noWrap/>
            <w:vAlign w:val="center"/>
          </w:tcPr>
          <w:p w:rsidR="00565FD5" w:rsidRPr="009B3D4C" w:rsidRDefault="00565FD5" w:rsidP="00AB62A3">
            <w:pPr>
              <w:tabs>
                <w:tab w:val="left" w:pos="0"/>
              </w:tabs>
              <w:spacing w:after="60"/>
              <w:ind w:right="113"/>
              <w:jc w:val="right"/>
              <w:rPr>
                <w:rFonts w:eastAsia="Arial Unicode MS" w:cs="Calibri"/>
                <w:sz w:val="16"/>
                <w:szCs w:val="16"/>
              </w:rPr>
            </w:pPr>
            <w:r w:rsidRPr="009B3D4C">
              <w:rPr>
                <w:rFonts w:eastAsia="Arial Unicode MS" w:cs="Calibri"/>
                <w:sz w:val="16"/>
                <w:szCs w:val="16"/>
              </w:rPr>
              <w:t>54,0</w:t>
            </w:r>
          </w:p>
        </w:tc>
        <w:tc>
          <w:tcPr>
            <w:tcW w:w="794" w:type="pct"/>
            <w:tcBorders>
              <w:top w:val="nil"/>
              <w:left w:val="nil"/>
              <w:bottom w:val="nil"/>
              <w:right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Tahoma"/>
                <w:sz w:val="16"/>
                <w:szCs w:val="16"/>
              </w:rPr>
              <w:t>15,0</w:t>
            </w:r>
          </w:p>
        </w:tc>
        <w:tc>
          <w:tcPr>
            <w:tcW w:w="787" w:type="pct"/>
            <w:tcBorders>
              <w:top w:val="nil"/>
              <w:left w:val="nil"/>
              <w:bottom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Calibri"/>
                <w:sz w:val="16"/>
                <w:szCs w:val="16"/>
              </w:rPr>
              <w:t>-1,9</w:t>
            </w:r>
          </w:p>
        </w:tc>
      </w:tr>
      <w:tr w:rsidR="00565FD5" w:rsidRPr="009B3D4C" w:rsidTr="00AB62A3">
        <w:trPr>
          <w:trHeight w:val="170"/>
        </w:trPr>
        <w:tc>
          <w:tcPr>
            <w:tcW w:w="1898" w:type="pct"/>
            <w:tcBorders>
              <w:top w:val="nil"/>
              <w:bottom w:val="nil"/>
              <w:right w:val="nil"/>
            </w:tcBorders>
            <w:noWrap/>
            <w:vAlign w:val="center"/>
          </w:tcPr>
          <w:p w:rsidR="00565FD5" w:rsidRPr="009B3D4C" w:rsidRDefault="00565FD5" w:rsidP="00AB62A3">
            <w:pPr>
              <w:spacing w:after="60"/>
              <w:ind w:right="183"/>
              <w:rPr>
                <w:rFonts w:eastAsia="Arial Unicode MS" w:cs="Tahoma"/>
                <w:sz w:val="16"/>
                <w:szCs w:val="16"/>
              </w:rPr>
            </w:pPr>
            <w:r w:rsidRPr="009B3D4C">
              <w:rPr>
                <w:rFonts w:eastAsia="Arial Unicode MS" w:cs="Tahoma"/>
                <w:sz w:val="16"/>
                <w:szCs w:val="16"/>
              </w:rPr>
              <w:t>Otomotiv</w:t>
            </w:r>
          </w:p>
        </w:tc>
        <w:tc>
          <w:tcPr>
            <w:tcW w:w="796" w:type="pct"/>
            <w:tcBorders>
              <w:top w:val="nil"/>
              <w:left w:val="nil"/>
              <w:bottom w:val="nil"/>
              <w:right w:val="nil"/>
            </w:tcBorders>
            <w:noWrap/>
            <w:vAlign w:val="center"/>
          </w:tcPr>
          <w:p w:rsidR="00565FD5" w:rsidRPr="009B3D4C" w:rsidRDefault="00565FD5" w:rsidP="00AB62A3">
            <w:pPr>
              <w:tabs>
                <w:tab w:val="left" w:pos="79"/>
              </w:tabs>
              <w:spacing w:after="60"/>
              <w:ind w:right="-68"/>
              <w:jc w:val="right"/>
              <w:rPr>
                <w:rFonts w:eastAsia="Arial Unicode MS" w:cs="Calibri"/>
                <w:sz w:val="16"/>
                <w:szCs w:val="16"/>
              </w:rPr>
            </w:pPr>
            <w:r w:rsidRPr="009B3D4C">
              <w:rPr>
                <w:rFonts w:eastAsia="Arial Unicode MS" w:cs="Tahoma"/>
                <w:sz w:val="16"/>
                <w:szCs w:val="16"/>
              </w:rPr>
              <w:t>14,7</w:t>
            </w:r>
          </w:p>
        </w:tc>
        <w:tc>
          <w:tcPr>
            <w:tcW w:w="726" w:type="pct"/>
            <w:tcBorders>
              <w:top w:val="nil"/>
              <w:left w:val="nil"/>
              <w:bottom w:val="nil"/>
              <w:right w:val="nil"/>
            </w:tcBorders>
            <w:noWrap/>
            <w:vAlign w:val="center"/>
          </w:tcPr>
          <w:p w:rsidR="00565FD5" w:rsidRPr="009B3D4C" w:rsidRDefault="00565FD5" w:rsidP="00AB62A3">
            <w:pPr>
              <w:tabs>
                <w:tab w:val="left" w:pos="0"/>
              </w:tabs>
              <w:spacing w:after="60"/>
              <w:ind w:right="113"/>
              <w:jc w:val="right"/>
              <w:rPr>
                <w:rFonts w:eastAsia="Arial Unicode MS" w:cs="Calibri"/>
                <w:sz w:val="16"/>
                <w:szCs w:val="16"/>
              </w:rPr>
            </w:pPr>
            <w:r w:rsidRPr="009B3D4C">
              <w:rPr>
                <w:rFonts w:eastAsia="Arial Unicode MS" w:cs="Calibri"/>
                <w:sz w:val="16"/>
                <w:szCs w:val="16"/>
              </w:rPr>
              <w:t>-6,4</w:t>
            </w:r>
          </w:p>
        </w:tc>
        <w:tc>
          <w:tcPr>
            <w:tcW w:w="794" w:type="pct"/>
            <w:tcBorders>
              <w:top w:val="nil"/>
              <w:left w:val="nil"/>
              <w:bottom w:val="nil"/>
              <w:right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Tahoma"/>
                <w:sz w:val="16"/>
                <w:szCs w:val="16"/>
              </w:rPr>
              <w:t>26,1</w:t>
            </w:r>
          </w:p>
        </w:tc>
        <w:tc>
          <w:tcPr>
            <w:tcW w:w="787" w:type="pct"/>
            <w:tcBorders>
              <w:top w:val="nil"/>
              <w:left w:val="nil"/>
              <w:bottom w:val="nil"/>
            </w:tcBorders>
            <w:vAlign w:val="center"/>
          </w:tcPr>
          <w:p w:rsidR="00565FD5" w:rsidRPr="009B3D4C" w:rsidRDefault="00565FD5" w:rsidP="00AB62A3">
            <w:pPr>
              <w:spacing w:after="60"/>
              <w:ind w:right="113"/>
              <w:jc w:val="right"/>
              <w:rPr>
                <w:rFonts w:eastAsia="Arial Unicode MS" w:cs="Calibri"/>
                <w:sz w:val="16"/>
                <w:szCs w:val="16"/>
              </w:rPr>
            </w:pPr>
            <w:r w:rsidRPr="009B3D4C">
              <w:rPr>
                <w:rFonts w:eastAsia="Arial Unicode MS" w:cs="Calibri"/>
                <w:sz w:val="16"/>
                <w:szCs w:val="16"/>
              </w:rPr>
              <w:t>-19,4</w:t>
            </w:r>
          </w:p>
        </w:tc>
      </w:tr>
      <w:tr w:rsidR="00565FD5" w:rsidRPr="009B3D4C" w:rsidTr="00AB62A3">
        <w:trPr>
          <w:trHeight w:hRule="exact" w:val="68"/>
        </w:trPr>
        <w:tc>
          <w:tcPr>
            <w:tcW w:w="1898" w:type="pct"/>
            <w:tcBorders>
              <w:top w:val="nil"/>
              <w:right w:val="nil"/>
            </w:tcBorders>
            <w:noWrap/>
          </w:tcPr>
          <w:p w:rsidR="00565FD5" w:rsidRPr="009B3D4C" w:rsidRDefault="00565FD5" w:rsidP="00AB62A3">
            <w:pPr>
              <w:ind w:right="183"/>
              <w:rPr>
                <w:rFonts w:eastAsia="Arial Unicode MS" w:cs="Calibri"/>
                <w:sz w:val="16"/>
                <w:szCs w:val="16"/>
              </w:rPr>
            </w:pPr>
          </w:p>
        </w:tc>
        <w:tc>
          <w:tcPr>
            <w:tcW w:w="796" w:type="pct"/>
            <w:tcBorders>
              <w:top w:val="nil"/>
              <w:left w:val="nil"/>
              <w:right w:val="nil"/>
            </w:tcBorders>
            <w:noWrap/>
            <w:vAlign w:val="center"/>
          </w:tcPr>
          <w:p w:rsidR="00565FD5" w:rsidRPr="009B3D4C" w:rsidRDefault="00565FD5" w:rsidP="00AB62A3">
            <w:pPr>
              <w:ind w:right="113"/>
              <w:jc w:val="right"/>
              <w:rPr>
                <w:rFonts w:eastAsia="Arial Unicode MS" w:cs="Calibri"/>
                <w:sz w:val="16"/>
                <w:szCs w:val="16"/>
              </w:rPr>
            </w:pPr>
          </w:p>
        </w:tc>
        <w:tc>
          <w:tcPr>
            <w:tcW w:w="726" w:type="pct"/>
            <w:tcBorders>
              <w:top w:val="nil"/>
              <w:left w:val="nil"/>
              <w:right w:val="nil"/>
            </w:tcBorders>
            <w:noWrap/>
            <w:vAlign w:val="center"/>
          </w:tcPr>
          <w:p w:rsidR="00565FD5" w:rsidRPr="009B3D4C" w:rsidRDefault="00565FD5" w:rsidP="00AB62A3">
            <w:pPr>
              <w:ind w:right="113"/>
              <w:jc w:val="right"/>
              <w:rPr>
                <w:rFonts w:eastAsia="Arial Unicode MS" w:cs="Calibri"/>
                <w:sz w:val="16"/>
                <w:szCs w:val="16"/>
              </w:rPr>
            </w:pPr>
          </w:p>
        </w:tc>
        <w:tc>
          <w:tcPr>
            <w:tcW w:w="794" w:type="pct"/>
            <w:tcBorders>
              <w:top w:val="nil"/>
              <w:left w:val="nil"/>
              <w:right w:val="nil"/>
            </w:tcBorders>
            <w:vAlign w:val="center"/>
          </w:tcPr>
          <w:p w:rsidR="00565FD5" w:rsidRPr="009B3D4C" w:rsidRDefault="00565FD5" w:rsidP="00AB62A3">
            <w:pPr>
              <w:ind w:right="113"/>
              <w:jc w:val="right"/>
              <w:rPr>
                <w:rFonts w:eastAsia="Arial Unicode MS" w:cs="Calibri"/>
                <w:sz w:val="16"/>
                <w:szCs w:val="16"/>
              </w:rPr>
            </w:pPr>
          </w:p>
        </w:tc>
        <w:tc>
          <w:tcPr>
            <w:tcW w:w="787" w:type="pct"/>
            <w:tcBorders>
              <w:top w:val="nil"/>
              <w:left w:val="nil"/>
            </w:tcBorders>
            <w:vAlign w:val="center"/>
          </w:tcPr>
          <w:p w:rsidR="00565FD5" w:rsidRPr="009B3D4C" w:rsidRDefault="00565FD5" w:rsidP="00AB62A3">
            <w:pPr>
              <w:ind w:right="113"/>
              <w:jc w:val="right"/>
              <w:rPr>
                <w:rFonts w:eastAsia="Arial Unicode MS" w:cs="Calibri"/>
                <w:sz w:val="16"/>
                <w:szCs w:val="16"/>
              </w:rPr>
            </w:pPr>
          </w:p>
        </w:tc>
      </w:tr>
    </w:tbl>
    <w:p w:rsidR="00565FD5" w:rsidRPr="009B3D4C" w:rsidRDefault="00565FD5" w:rsidP="00565FD5">
      <w:pPr>
        <w:rPr>
          <w:rFonts w:cs="Tahoma"/>
          <w:sz w:val="14"/>
          <w:szCs w:val="14"/>
        </w:rPr>
      </w:pPr>
      <w:r w:rsidRPr="009B3D4C">
        <w:rPr>
          <w:rFonts w:cs="Tahoma"/>
          <w:sz w:val="14"/>
          <w:szCs w:val="14"/>
        </w:rPr>
        <w:t xml:space="preserve">Kaynak: TÜİK </w:t>
      </w:r>
    </w:p>
    <w:p w:rsidR="00565FD5" w:rsidRPr="009B3D4C" w:rsidRDefault="00565FD5" w:rsidP="00565FD5">
      <w:pPr>
        <w:rPr>
          <w:rFonts w:cs="Tahoma"/>
          <w:sz w:val="14"/>
          <w:szCs w:val="14"/>
        </w:rPr>
      </w:pPr>
      <w:r w:rsidRPr="009B3D4C">
        <w:rPr>
          <w:rFonts w:cs="Tahoma"/>
          <w:sz w:val="14"/>
          <w:szCs w:val="14"/>
        </w:rPr>
        <w:t>(1) ISIC Rev. 3 Sınıflamasına göre cari fiyatlarla (ABD doları) dış ticaret</w:t>
      </w:r>
    </w:p>
    <w:p w:rsidR="00565FD5" w:rsidRPr="009B3D4C" w:rsidRDefault="00565FD5" w:rsidP="00565FD5">
      <w:pPr>
        <w:spacing w:after="240"/>
        <w:rPr>
          <w:rFonts w:cs="Tahoma"/>
          <w:sz w:val="14"/>
          <w:szCs w:val="14"/>
        </w:rPr>
      </w:pPr>
      <w:r w:rsidRPr="009B3D4C">
        <w:rPr>
          <w:rFonts w:cs="Tahoma"/>
          <w:sz w:val="14"/>
          <w:szCs w:val="14"/>
        </w:rPr>
        <w:t>(2) Ocak-Ağustos dönemi</w:t>
      </w:r>
    </w:p>
    <w:p w:rsidR="00565FD5" w:rsidRPr="009B3D4C" w:rsidRDefault="00565FD5" w:rsidP="00565FD5">
      <w:pPr>
        <w:spacing w:after="180"/>
        <w:rPr>
          <w:rFonts w:cs="Tahoma"/>
          <w:szCs w:val="18"/>
        </w:rPr>
      </w:pPr>
      <w:r>
        <w:rPr>
          <w:rFonts w:cs="Tahoma"/>
          <w:szCs w:val="18"/>
        </w:rPr>
        <w:tab/>
      </w:r>
      <w:r w:rsidRPr="009B3D4C">
        <w:rPr>
          <w:rFonts w:cs="Tahoma"/>
          <w:szCs w:val="18"/>
        </w:rPr>
        <w:t>2011 yılında sigara sanayiinde toplam 112,1 milyar adet sigara üretilmiştir. 2011 yılında sigara üretim ve iç piyasaya satış miktarlarında 2010 yılına oranla sırasıyla yüzde 2,7 ve yüzde 2,3 oranlarında düşüş gözlenmiştir. Söz konusu düşüşte tütün kullanımına yönelik kısıtlama ve önlemlerle beraber artan sigara fiyatları sonucunda oluşan talep daralmasının etkili olduğu düşünülmektedir. Bununla beraber tütün, tütün mamulleri ve alkollü içecekler sektöründe, uygulanan bandrollü izleme sistemi ve diğer tedbirlere rağmen kayıt dışı üretim ve yasadışı ticaretin olumsuz etkileri devam etmektedir.</w:t>
      </w:r>
    </w:p>
    <w:p w:rsidR="00565FD5" w:rsidRPr="009B3D4C" w:rsidRDefault="00565FD5" w:rsidP="00565FD5">
      <w:pPr>
        <w:spacing w:after="180"/>
        <w:rPr>
          <w:rFonts w:cs="Tahoma"/>
          <w:szCs w:val="18"/>
        </w:rPr>
      </w:pPr>
      <w:r>
        <w:rPr>
          <w:rFonts w:cs="Tahoma"/>
          <w:szCs w:val="18"/>
        </w:rPr>
        <w:lastRenderedPageBreak/>
        <w:tab/>
      </w:r>
      <w:r w:rsidRPr="009B3D4C">
        <w:rPr>
          <w:rFonts w:cs="Tahoma"/>
          <w:szCs w:val="18"/>
        </w:rPr>
        <w:t>2011 yılında tekstil sanayiinde üretim bir önceki yıla göre aynı seviyede kalırken hazır giyim sanayiinde yüzde 0,6 oranında azalmıştır. 2011 yılındaki ihracat artışında reel döviz kurundaki düşüşün de olumlu etkisi görülmüştür. 2012 yılı Ocak-Ağustos döneminde ise tekstil sanayi</w:t>
      </w:r>
      <w:r>
        <w:rPr>
          <w:rFonts w:cs="Tahoma"/>
          <w:szCs w:val="18"/>
        </w:rPr>
        <w:t>i</w:t>
      </w:r>
      <w:r w:rsidRPr="009B3D4C">
        <w:rPr>
          <w:rFonts w:cs="Tahoma"/>
          <w:szCs w:val="18"/>
        </w:rPr>
        <w:t>nde üretim artarken hazır giyim sanayiinde azalmıştır. Aynı dönemde AB dışı pazarlarda ihracat artışı sağlanmış olmakla birlikte AB pazarındaki daralmanın devam etmesi sonucunda toplam ihracat azalmıştır. Bu gelişmelerde, küresel krizin en büyük pazarımız olan AB’deki süregelen olumsuz etkiler</w:t>
      </w:r>
      <w:r>
        <w:rPr>
          <w:rFonts w:cs="Tahoma"/>
          <w:szCs w:val="18"/>
        </w:rPr>
        <w:t>i</w:t>
      </w:r>
      <w:r w:rsidRPr="009B3D4C">
        <w:rPr>
          <w:rFonts w:cs="Tahoma"/>
          <w:szCs w:val="18"/>
        </w:rPr>
        <w:t xml:space="preserve">, alınan korunma önlemleri ve Rusya, Ortadoğu ülkeleri gibi pazarlardaki gelişmeler etkili olmuştur. Ayrıca 2012 yılı ilk yarısında </w:t>
      </w:r>
      <w:r>
        <w:rPr>
          <w:rFonts w:cs="Tahoma"/>
          <w:szCs w:val="18"/>
        </w:rPr>
        <w:t>yurtiçi</w:t>
      </w:r>
      <w:r w:rsidRPr="009B3D4C">
        <w:rPr>
          <w:rFonts w:cs="Tahoma"/>
          <w:szCs w:val="18"/>
        </w:rPr>
        <w:t xml:space="preserve"> özel nihai ayakkabı ve giyim tüketiminin sabit fiyatlarla yüzde 9,1 oranında düşmesi de hazır giyim sanayii üretimindeki azalmada etkili olmuştur. Alınan korunma önlemleri ve iç pazardaki daralmanın etkisiyle 2012 yılı aynı döneminde ithalatta azalma yaşanmıştır. </w:t>
      </w:r>
    </w:p>
    <w:p w:rsidR="00565FD5" w:rsidRPr="009B3D4C" w:rsidRDefault="00565FD5" w:rsidP="00565FD5">
      <w:pPr>
        <w:spacing w:after="180"/>
        <w:rPr>
          <w:rFonts w:cs="Tahoma"/>
          <w:szCs w:val="18"/>
        </w:rPr>
      </w:pPr>
      <w:r>
        <w:rPr>
          <w:rFonts w:cs="Tahoma"/>
          <w:szCs w:val="18"/>
        </w:rPr>
        <w:tab/>
      </w:r>
      <w:r w:rsidRPr="009B3D4C">
        <w:rPr>
          <w:rFonts w:cs="Tahoma"/>
          <w:szCs w:val="18"/>
        </w:rPr>
        <w:t xml:space="preserve">Deri ve deri ürünleri sektöründe 2011 yılında sektörde iyileşme devam etmiş, üretim ve ihracat artmıştır. Sektör ithalatında ise 2011 yılında hızlı bir artış görülmüştür. 2012 yılı Ocak-Ağustos döneminde sektör üretimi ihracattaki yüksek oranlı artışa rağmen iç pazardaki daralmaya bağlı olarak azalmıştır. Sektör ithalatı ise iç pazardaki talep düşüşünün etkisiyle azalma eğilimine girmiştir. Sektör ithalatında yüzde 47 ile Çin’in payı aynı kalırken Vietnam ve Hindistan’ın payında kayda değer bir artış yaşanmıştır. </w:t>
      </w:r>
    </w:p>
    <w:p w:rsidR="00565FD5" w:rsidRPr="009B3D4C" w:rsidRDefault="00565FD5" w:rsidP="00565FD5">
      <w:pPr>
        <w:spacing w:after="180"/>
        <w:rPr>
          <w:rFonts w:cs="Tahoma"/>
          <w:szCs w:val="18"/>
        </w:rPr>
      </w:pPr>
      <w:r>
        <w:rPr>
          <w:rFonts w:cs="Tahoma"/>
          <w:szCs w:val="18"/>
        </w:rPr>
        <w:tab/>
      </w:r>
      <w:r w:rsidRPr="009B3D4C">
        <w:rPr>
          <w:rFonts w:cs="Tahoma"/>
          <w:szCs w:val="18"/>
        </w:rPr>
        <w:t xml:space="preserve">Tekstil, hazır giyim ve deri sektörlerinde maliyet avantajına dayalı rekabet giderek güçleşmektedir. Ucuz işgücü avantajına sahip Çin ve diğer Uzak Doğu ülkeleriyle rekabet edebilmek; yüksek katma değerli, çevre ve sosyal sorumluluk standartlarını gözeten; kaliteli, modaya uygun, markalı üretim ve değişen taleplere hızlı cevap verebilmekle mümkün olacaktır. Ayrıca, ürün çeşitlendirme ve ileri teknolojiler içeren teknik tekstillerin ve çok fonksiyonlu ürünlerin geliştirilmesi önem arz etmektedir. Son yıllarda firmaların bir kısmında bu yönde çabalar gözlenmektedir. </w:t>
      </w:r>
    </w:p>
    <w:p w:rsidR="00565FD5" w:rsidRPr="009B3D4C" w:rsidRDefault="00565FD5" w:rsidP="00565FD5">
      <w:pPr>
        <w:spacing w:after="140"/>
        <w:rPr>
          <w:szCs w:val="18"/>
        </w:rPr>
      </w:pPr>
      <w:r>
        <w:rPr>
          <w:szCs w:val="18"/>
        </w:rPr>
        <w:tab/>
      </w:r>
      <w:r w:rsidRPr="009B3D4C">
        <w:rPr>
          <w:szCs w:val="18"/>
        </w:rPr>
        <w:t xml:space="preserve">İlaç hariç kimya sanayiinde üretim 2011 yılında yüzde 5,6 oranında artmıştır. 2012 yılı Ocak-Ağustos döneminde ise üretim artış hızı yavaşlayarak bir önceki yılın aynı dönemine göre yüzde 0,9 oranında gerçekleşmiştir. Talep genel olarak kullanılmayan kapasitelerin kullanılması ve küçük çaplı tevsii niteliğindeki yatırımlar yoluyla karşılanmıştır. Kimya sanayiinde (ilaç hariç), 2011 </w:t>
      </w:r>
      <w:r w:rsidRPr="009B3D4C">
        <w:rPr>
          <w:szCs w:val="18"/>
        </w:rPr>
        <w:lastRenderedPageBreak/>
        <w:t>yılında ihracat yüzde 20,1 oranında artarak 6,2 milyar ABD doları, ithalat ise yüzde 26,4 oranında artarak 28,2 milyar ABD doları olarak gerçekleşmiştir. 2012 yılının Ocak-Ağustos dönemi itibarıyla bir önceki yılın aynı dönemine göre ihracat yüzde 5,7 artmış, ithalat ise yüzde 3,4 azalmıştır. Sektörde büyük yatırımların uzun yıllardır yapılamıyor oluşu ülkeyi sektör ürünlerinde giderek daha fazla ithalata bağımlı hale getirmektedir. Kimya sanayii ithalatı, imalat sanayii ithalatı içerisinde en büyük paya sahiptir. İhtisas organize sanayi bölgelerinin yatırıma açılması ve sektörel kümelenme modelinin desteklenmesi, rekabetçi şartlarda yatırım yeri sağlanması ve çevre sorununun çözülmesi konularında sektöre avantaj sağlayacaktır.</w:t>
      </w:r>
    </w:p>
    <w:p w:rsidR="00565FD5" w:rsidRPr="009B3D4C" w:rsidRDefault="00565FD5" w:rsidP="00565FD5">
      <w:pPr>
        <w:spacing w:after="140"/>
        <w:rPr>
          <w:szCs w:val="18"/>
        </w:rPr>
      </w:pPr>
      <w:r>
        <w:rPr>
          <w:szCs w:val="18"/>
        </w:rPr>
        <w:tab/>
      </w:r>
      <w:r w:rsidRPr="009B3D4C">
        <w:rPr>
          <w:szCs w:val="18"/>
        </w:rPr>
        <w:t>2011 yılı itibarıyla dünya ilaç pazarının büyüklüğü 878 milyar ABD dolarıdır. İlaç Endüstrisi İşverenler Sendikası verilerine göre 2011 yılında, Türkiye reçeteli ilaç pazarı değer olarak yüzde 1,4 oranında büyüyerek 8,3 milyar ABD dolarına, miktar olarak yüzde 9,1 oranında artışla 1,56 milyar kutuya ulaşmıştır. 2011 yılında kişi başı ilaç tüketimi 121 ABD doları olmuştur. İlaç sanayii üretimi 2011 yılında yüzde 8,6, 2012 yılının Ocak-Ağustos döneminde ise bir önceki yılın aynı dönemine göre yüzde 12,7 artmıştır. TÜİK verilerine göre 2011 yılında ithalat 5,4 milyar ABD doları, ihracat ise 0,6 milyar ABD doları olmuştur. İhracatın ithalatı karşılama oranı 2011’de yüzde 12,1 olmuştur. İthalat 2012 yılının Ocak-Ağustos döneminde bir önceki yılın aynı dönemine göre yüzde 15, ihracat ise yüzde 2 azalmıştır. Türkiye ilaç pazarının hızla gelişmesi nedeniyle, son yıllarda birçok ulusal sermayeli firma yabancı firmalarca satın alınmıştır. Yeni yatırım teşvik sisteminde ilaç sanayinde 50 milyon TL’nin üzerindeki yatırımlar Büyük Proje Yatırımlarının teşviki kapsamında desteklenmekte, biyoteknolojik ilaç, onkoloji ilaçları ve kan ürünleri üretimine yönelik yatırımlar  öncelikli yatırım alanları arasında yer almaktadır. İlaca erişimi kolaylaştıran uygulamaların kamuya getirdiği maliyetin azaltılmasına yönelik tasarruf tedbirleri çerçevesinde, ilaç fiyatlandırma sistemine yeni düzenlemeler getirilmiştir. Sektörde, fiyat ve geri ödeme sistemleri çerçevesinde 2004’ten bu yana önemli değişiklikler yaşanmaktadır.</w:t>
      </w:r>
    </w:p>
    <w:p w:rsidR="00565FD5" w:rsidRPr="009B3D4C" w:rsidRDefault="00565FD5" w:rsidP="00565FD5">
      <w:pPr>
        <w:spacing w:after="180"/>
        <w:rPr>
          <w:szCs w:val="18"/>
        </w:rPr>
      </w:pPr>
      <w:r>
        <w:rPr>
          <w:szCs w:val="18"/>
        </w:rPr>
        <w:tab/>
      </w:r>
      <w:r w:rsidRPr="009B3D4C">
        <w:rPr>
          <w:szCs w:val="18"/>
        </w:rPr>
        <w:t xml:space="preserve">Kauçuk ve plastik ürünleri üretimi 2011 yılında, bir önceki yıla göre, yüzde 11,6 oranında artmış, 2012 yılının Ocak-Ağustos döneminde ise bir önceki yılın aynı dönemine göre yüzde 4,8 oranında azalmıştır. Sektörün ihracatı 2011 yılında yüzde 27,6 oranında artarak 6,3 milyar ABD doları, ithalatı ise yüzde 28,4 </w:t>
      </w:r>
      <w:r w:rsidRPr="009B3D4C">
        <w:rPr>
          <w:szCs w:val="18"/>
        </w:rPr>
        <w:lastRenderedPageBreak/>
        <w:t xml:space="preserve">oranında artarak 4,5 milyar ABD doları olarak gerçekleşmiştir. AB ülkeleri içerisinde plastik mamul kapasitesi olarak Almanya ve İtalya’nın ardından büyüklük bakımından üçüncü olan sektörün hammadde ihtiyacının yalnızca yüzde 15’i </w:t>
      </w:r>
      <w:r>
        <w:rPr>
          <w:szCs w:val="18"/>
        </w:rPr>
        <w:t>yurtiçi</w:t>
      </w:r>
      <w:r w:rsidRPr="009B3D4C">
        <w:rPr>
          <w:szCs w:val="18"/>
        </w:rPr>
        <w:t xml:space="preserve"> üretimle karşılanmaktadır. Kauçuk ürünler imalatı sektörü ise tamamen ithalata bağımlı durumdadır. Sektörün hammadde ihtiyacının daha yüksek oranlarda </w:t>
      </w:r>
      <w:r>
        <w:rPr>
          <w:szCs w:val="18"/>
        </w:rPr>
        <w:t>yurtiçi</w:t>
      </w:r>
      <w:r w:rsidRPr="009B3D4C">
        <w:rPr>
          <w:szCs w:val="18"/>
        </w:rPr>
        <w:t>nden karşılanabilmesi için yeni petrokimya yatırımlarıyla hem üretim kapasitesi hem de ürün çeşitliliği artırılmalıdır.</w:t>
      </w:r>
    </w:p>
    <w:p w:rsidR="00565FD5" w:rsidRPr="009B3D4C" w:rsidRDefault="00565FD5" w:rsidP="00565FD5">
      <w:pPr>
        <w:spacing w:after="180"/>
        <w:ind w:firstLine="426"/>
        <w:rPr>
          <w:rFonts w:cs="Tahoma"/>
          <w:szCs w:val="18"/>
        </w:rPr>
      </w:pPr>
      <w:r w:rsidRPr="009B3D4C">
        <w:rPr>
          <w:rFonts w:cs="Tahoma"/>
          <w:szCs w:val="18"/>
        </w:rPr>
        <w:t xml:space="preserve">Taş ve toprağa dayalı ürünlerin üretimi, 2011 yılında bir önceki yıla göre yüzde 6,8 oranında artmış, 2012 yılının Ocak-Ağustos döneminde, bir önceki yılın aynı dönemine göre yüzde 4,5 oranında azalmıştır. Türkiye Çimento Müstahsilleri Birliği verilerine göre 2012 yılının ilk yarısında çimento üretimi bir önceki yılın aynı dönemine göre yüzde 4,4 oranında azalmıştır. 2011 yılında sektörün ihracatı küresel ekonomik krizin devam eden etkilerine rağmen yüzde 1,3 oranında artarak 4 milyar ABD dolarına ulaşmıştır. Sektör 2,7 milyar ABD doları ihracat gerçekleştirerek, 2012 yılının Ocak-Ağustos döneminde bir önceki yılın aynı dönemine göre ihracat seviyesini korumuştur. 2011 yılında en fazla çimento ihracatı yapılan ülkeler sırasıyla Irak, Suriye, Rusya, Mısır ve Nijerya olmuştur. </w:t>
      </w:r>
    </w:p>
    <w:p w:rsidR="00565FD5" w:rsidRPr="009B3D4C" w:rsidRDefault="00565FD5" w:rsidP="00565FD5">
      <w:pPr>
        <w:spacing w:after="180"/>
        <w:rPr>
          <w:szCs w:val="18"/>
        </w:rPr>
      </w:pPr>
      <w:r>
        <w:rPr>
          <w:szCs w:val="18"/>
        </w:rPr>
        <w:tab/>
      </w:r>
      <w:r w:rsidRPr="009B3D4C">
        <w:rPr>
          <w:szCs w:val="18"/>
        </w:rPr>
        <w:t>D</w:t>
      </w:r>
      <w:r w:rsidRPr="009B3D4C">
        <w:rPr>
          <w:rFonts w:cs="Tahoma"/>
          <w:szCs w:val="18"/>
        </w:rPr>
        <w:t>ünya ham çelik üretiminde</w:t>
      </w:r>
      <w:r w:rsidRPr="009B3D4C">
        <w:rPr>
          <w:szCs w:val="18"/>
        </w:rPr>
        <w:t xml:space="preserve"> 2009 yılında kriz sonrası başlayan artış 2011 </w:t>
      </w:r>
      <w:r w:rsidRPr="009B3D4C">
        <w:rPr>
          <w:rFonts w:cs="Tahoma"/>
          <w:szCs w:val="18"/>
        </w:rPr>
        <w:t>yılında da devam etmiş ve üretim 1,5 milyar ton olarak gerçekleşmiştir.</w:t>
      </w:r>
      <w:r w:rsidRPr="009B3D4C">
        <w:rPr>
          <w:szCs w:val="18"/>
        </w:rPr>
        <w:t xml:space="preserve"> 2011 </w:t>
      </w:r>
      <w:r w:rsidRPr="009B3D4C">
        <w:rPr>
          <w:rFonts w:cs="Tahoma"/>
          <w:szCs w:val="18"/>
        </w:rPr>
        <w:t>yılında dünya ham çelik üretimi yüzde 6,8 oranında, Türkiye üretimi ise yüzde 17,0 oranında artmıştır. Bu dönemde Türkiye dünyanın en büyük 30 çelik üreticisi arasında, çelik üretimini en çok artıran ülke olmuştur. Türkiye 2011 yılında 34,1 milyon ton ham çelik üretimiyle dünyada onuncu sıradaki yerini korumuştur. 2012 yılının Ocak-Ağustos döneminde dünya ham çelik üretimi yüzde 0,8 oranında artış gösterirken, Türkiye ham çelik üretimi Orta Doğu ve Kuzey Afrika gibi önemli pazarlarımızda yaşanan iç karışıklıkların devam etmesine rağmen, yüksek iç talebin de etkisiyle yüzde 9,3 oranında artmış ve 21,1 milyon ton seviyesine ulaşmıştır.</w:t>
      </w:r>
    </w:p>
    <w:p w:rsidR="00565FD5" w:rsidRPr="009B3D4C" w:rsidRDefault="00565FD5" w:rsidP="00565FD5">
      <w:pPr>
        <w:spacing w:after="180"/>
        <w:rPr>
          <w:szCs w:val="18"/>
        </w:rPr>
      </w:pPr>
      <w:r>
        <w:rPr>
          <w:szCs w:val="18"/>
        </w:rPr>
        <w:tab/>
      </w:r>
      <w:r w:rsidRPr="009B3D4C">
        <w:rPr>
          <w:szCs w:val="18"/>
        </w:rPr>
        <w:t xml:space="preserve">Türkiye’nin demir çelik nihai mamul tüketimi 2011 yılında bir önceki yıla göre yüzde 14,1 oranında artarak 26,9 milyon ton olmuştur. Bu yüksek oranlı artışta kriz sonrası artan iç talep ve uzun ürün talebi etkilidir. Yassı ürün tüketiminde yüzde 10,6 oranında, uzun ürün tüketiminde ise yüzde 17,7 </w:t>
      </w:r>
      <w:r w:rsidRPr="009B3D4C">
        <w:rPr>
          <w:szCs w:val="18"/>
        </w:rPr>
        <w:lastRenderedPageBreak/>
        <w:t xml:space="preserve">oranında artış yaşanmıştır. 2012 yılının Ocak-Ağustos döneminde yassı ürün tüketimi yüzde 6,7, uzun ürün tüketimi yüzde 8,8, toplam nihai mamul tüketimi ise yüzde 7,8 oranında artmıştır. Bu dönemdeki toplam 18,6 milyon tonluk iç tüketimin yüzde 51,9’u uzun ürünlerden, yüzde 48,1’i ise yassı ürünlerden oluşmaktadır. </w:t>
      </w:r>
    </w:p>
    <w:p w:rsidR="00565FD5" w:rsidRPr="009B3D4C" w:rsidRDefault="00565FD5" w:rsidP="00565FD5">
      <w:pPr>
        <w:spacing w:after="180"/>
        <w:rPr>
          <w:szCs w:val="18"/>
        </w:rPr>
      </w:pPr>
      <w:r>
        <w:rPr>
          <w:szCs w:val="18"/>
        </w:rPr>
        <w:tab/>
      </w:r>
      <w:r w:rsidRPr="009B3D4C">
        <w:rPr>
          <w:szCs w:val="18"/>
        </w:rPr>
        <w:t>2011 yılında bir önceki yıla göre, yarı ürünler dâhil uzun ve yassı ürünlerin ihracatı, miktar olarak yüzde 5,5, değer olarak yüzde 28,9 oranında artarak 15,3 milyon ton ve 10,9 milyar ABD doları olarak gerçekleşmiştir. 2012 yılının Ocak-Ağustos döneminde ise bir önceki yılın aynı dönemine göre ihracat miktar bazında yüzde 10, değer bazında yüzde 5,2 oranında artış göstermiştir. Demir çelik ürünleri ithalatı ise 2011 yılında yurtiçi üretimde artan ürün çeşitliliğine bağlı olarak miktar bazında yüzde 4,7 oranında azalarak 9,9 milyon ton, değer bazında yüzde 15,7 oranında artarak 9,4 milyar ABD doları olmuştur. İthalat 2012 yılının Ocak-Ağustos döneminde de miktar bazında yüzde 6,4 oranında artarken, azalan ürün fiyatlarına paralel olarak değer bazında yüzde 5,4 oranında azalmıştır.</w:t>
      </w:r>
    </w:p>
    <w:p w:rsidR="00565FD5" w:rsidRPr="009B3D4C" w:rsidRDefault="00565FD5" w:rsidP="00565FD5">
      <w:pPr>
        <w:spacing w:after="180"/>
        <w:ind w:firstLine="426"/>
        <w:rPr>
          <w:rFonts w:cs="Tahoma"/>
          <w:szCs w:val="18"/>
        </w:rPr>
      </w:pPr>
      <w:r w:rsidRPr="009B3D4C">
        <w:rPr>
          <w:rFonts w:cs="Tahoma"/>
          <w:szCs w:val="18"/>
        </w:rPr>
        <w:t>Makine imalat sanayiinde talep genellikle sabit sermaye yatırımlarına bağlı olarak artmaktadır. 2011 yılında ihracat yüzde 22,8, ithalat yüzde 37,1, beyaz eşya hariç üretim yüzde 22,1 oranında artmıştır. 2012 yılı Ocak-Ağustos döneminde beyaz eşya hariç makine imalat sanayiinde üretim önceki yılın aynı dönemine göre yüzde 4,9 oranında artmıştır. 2012 yılı Ocak-Ağustos döneminde ihracat bir önceki yılın aynı dönemine göre yüzde 6,8 artarken ithalat yüzde 6,8 oranında azalmıştır. Sanayi tipi fırın, ocak ve ateşleyici, diğer pompa ve kompresör imalatı, metal işleme hariç diğer takım tezgâhları imalatı, diğer özel amaçlı makineler ile inşaat ve maden makineleri üretiminde yüksek oranlı artışlar görülmüştür.</w:t>
      </w:r>
    </w:p>
    <w:p w:rsidR="00565FD5" w:rsidRPr="009B3D4C" w:rsidRDefault="00565FD5" w:rsidP="00565FD5">
      <w:pPr>
        <w:spacing w:after="180"/>
        <w:ind w:firstLine="426"/>
        <w:rPr>
          <w:rFonts w:cs="Tahoma"/>
          <w:szCs w:val="18"/>
        </w:rPr>
      </w:pPr>
      <w:r w:rsidRPr="009B3D4C">
        <w:rPr>
          <w:rFonts w:cs="Tahoma"/>
          <w:szCs w:val="18"/>
        </w:rPr>
        <w:t xml:space="preserve">2011 yılında elektronik sanayiinde ihracat yüzde 8,2, beyaz eşya, bilgisayar ve optik ürünler dâhil üretim ise yüzde 14 oranında artarak 2010 yılından bu yana gözlenen büyüme devam etmiştir. 2012 yılının Ocak-Ağustos döneminde, üretim bir önceki yılın aynı dönemine göre yüzde 13,4 oranında artarken, ihracat yüzde 48,4 oranında artmış, ithalat ise yüzde 4,2’lik düşüş göstermiştir. Sektörde en önemli üretim kalemi olan televizyon üretim ve ihracatı 2005 yılından 2008 yılı ortalarına kadar düşüş eğiliminde olmuş, 2008-2010 </w:t>
      </w:r>
      <w:r w:rsidRPr="009B3D4C">
        <w:rPr>
          <w:rFonts w:cs="Tahoma"/>
          <w:szCs w:val="18"/>
        </w:rPr>
        <w:lastRenderedPageBreak/>
        <w:t xml:space="preserve">döneminde ise durağan bir seyir izlemiştir. Türk Elektronik Sanayicileri Derneği (TESİD) verilerine göre televizyon üretimi ve ihracatı, 2011 yılında bir önceki yıla oranla yüzde 17 ve 18 oranlarında artarak 10,9 milyon adet ve 9,1 milyon adet olarak gerçekleşmiştir. </w:t>
      </w:r>
    </w:p>
    <w:p w:rsidR="00565FD5" w:rsidRPr="009B3D4C" w:rsidRDefault="00565FD5" w:rsidP="00565FD5">
      <w:pPr>
        <w:spacing w:after="180"/>
        <w:ind w:firstLine="426"/>
        <w:rPr>
          <w:rFonts w:cs="Tahoma"/>
          <w:szCs w:val="18"/>
        </w:rPr>
      </w:pPr>
      <w:r w:rsidRPr="009B3D4C">
        <w:rPr>
          <w:rFonts w:cs="Tahoma"/>
          <w:szCs w:val="18"/>
        </w:rPr>
        <w:t xml:space="preserve">Beyaz eşya sanayiinde 2011 yılında ihracat 3,9 milyar ABD doları, ithalat 1,3 milyar ABD doları olmuştur. 2012 yılı Ocak- Ağustos döneminde bir önceki yılın aynı dönemine göre ihracat yüzde 7,7 oranında artarak 2,6 milyar ABD dolarına, ithalat yüzde 10,4 oranında azalarak 792 milyon ABD dolarına düşmüştür. Beyaz eşya sanayii üretimi büyük oranda ihracata yönelmiş olup buzdolabı, çamaşır makinesi ve fırın üretiminin yüzde 70’ten, bulaşık makinesi üretiminin yüzde 50’den fazlası ihraç edilmektedir. 2012 yılı Ocak-Ağustos döneminde bir önceki yılın aynı dönemine göre miktar bazında üretim yüzde 7,5, ihracat yüzde 13,4 artarken, </w:t>
      </w:r>
      <w:r>
        <w:rPr>
          <w:rFonts w:cs="Tahoma"/>
          <w:szCs w:val="18"/>
        </w:rPr>
        <w:t>yurtiçi</w:t>
      </w:r>
      <w:r w:rsidRPr="009B3D4C">
        <w:rPr>
          <w:rFonts w:cs="Tahoma"/>
          <w:szCs w:val="18"/>
        </w:rPr>
        <w:t xml:space="preserve"> satışlar yüzde 1 azalmış ithalat sabit kalmıştır.</w:t>
      </w:r>
    </w:p>
    <w:p w:rsidR="00565FD5" w:rsidRPr="009B3D4C" w:rsidRDefault="00565FD5" w:rsidP="00565FD5">
      <w:pPr>
        <w:spacing w:after="180"/>
        <w:ind w:firstLine="426"/>
        <w:rPr>
          <w:rFonts w:cs="Tahoma"/>
          <w:szCs w:val="18"/>
        </w:rPr>
      </w:pPr>
      <w:r w:rsidRPr="009B3D4C">
        <w:rPr>
          <w:rFonts w:cs="Tahoma"/>
          <w:szCs w:val="18"/>
        </w:rPr>
        <w:t>Otomotiv sanayiinde, geçmiş yıllarda yerli ve yabancı ortaklar arasında gerçekleştirilen işbirliği ve uluslararası firmaların Türkiye’de üretim kararları sonucunda ihracatta önemli gelişmeler sağlanmıştır. Bu gelişmeler neticesinde Türkiye’nin otomotiv sanayiinde bir üretim merkezi olması yolunda önemli mesafeler kaydedilmiştir. 2011 yılında üretimde bir önceki yıla göre yüzde 9 oranında artış sağlanarak 1.189.131 adetle rekor elde edilmiştir. Otomotiv sanayii kapasite kullanım oranı 2010 yılında yüzde 72 iken, bu oran 2011 yılı sonu itibarıyla yüzde 76 seviyesine yükselmiştir. Otomotiv sanayii toplam yurtiçi pazarı, özellikle 2011 yılının ilk yarısında yaşanan iç talepteki canlılık ve genişleyen kredi piyasalarının olumlu etkisine bağlı olarak,  geçmiş yılların en yüksek seviyesine çıkarak 910.867 adet olarak gerçekleşmiştir. Ancak, ihracatta 2011 yılında bir önceki yıla göre yüzde 5 oranında artış olmasına rağmen, AB pazarında yaşanan daralma sebebiyle 790.966 adetle ihracatta en iyi yıl olan 2008 yılı seviyesinin altında kalınmıştır. Böylelikle 2010 yılında otomotiv sanayii üretiminde ihracatın payı yüzde 69 iken bu pay 2011 yılında yüzde 67 seviyesine gerilemiştir.</w:t>
      </w:r>
    </w:p>
    <w:p w:rsidR="00565FD5" w:rsidRPr="009B3D4C" w:rsidRDefault="00565FD5" w:rsidP="00565FD5">
      <w:pPr>
        <w:spacing w:after="180"/>
        <w:ind w:firstLine="426"/>
        <w:rPr>
          <w:rFonts w:cs="Tahoma"/>
          <w:szCs w:val="18"/>
        </w:rPr>
      </w:pPr>
      <w:r w:rsidRPr="009B3D4C">
        <w:rPr>
          <w:rFonts w:cs="Tahoma"/>
          <w:szCs w:val="18"/>
        </w:rPr>
        <w:t xml:space="preserve">2012 yılı Ocak-Eylül döneminde otomotiv sanayii üretimi bir önceki yılın aynı dönemine göre yüzde 10,2, ihracatı yüzde 9,6 ve ithalatı yüzde 7,6 oranında düşüş göstermiştir. Bu gelişmelerde, AB pazarlarında yaşanan </w:t>
      </w:r>
      <w:r w:rsidRPr="009B3D4C">
        <w:rPr>
          <w:rFonts w:cs="Tahoma"/>
          <w:szCs w:val="18"/>
        </w:rPr>
        <w:lastRenderedPageBreak/>
        <w:t>daralmanın yanı sıra iç pazardaki talep kaybı da etkili olmuştur. Otomotiv sanayii yurtiçi pazarı bu dönemde yüzde 12,2 oranında azalarak 558.893 adet olarak gerçekleşmiştir. Özellikle 2011 yılının ikinci yarısından itibaren başlayan yurtiçi otomobil talebindeki düşüş 2012 yılı Ocak-Eylül döneminde de artarak devam etmiştir. Bu dönemde yurtiçi otomobil talebindeki düşüş bir önceki yılın aynı dönemine göre yüzde 7,9 oranında olmuştur. Öte yandan 2011 yılı Ocak-Eylül döneminde otomotiv sanayii yurtiçi pazarında ithalatın payı yüzde 59 iken bu oran 2012 yılının aynı döneminde yüzde 62’ye yükselmiştir. Otomobil ithalatının pazar payı ise 2012 yılı Ocak-Eylül döneminde yüzde 73 gibi çok yüksek bir oranda gerçekleşmiştir.</w:t>
      </w:r>
    </w:p>
    <w:p w:rsidR="00565FD5" w:rsidRPr="009B3D4C" w:rsidRDefault="00565FD5" w:rsidP="00565FD5">
      <w:pPr>
        <w:spacing w:after="180"/>
        <w:ind w:firstLine="426"/>
        <w:rPr>
          <w:rFonts w:cs="Tahoma"/>
          <w:szCs w:val="18"/>
        </w:rPr>
      </w:pPr>
      <w:r w:rsidRPr="009B3D4C">
        <w:rPr>
          <w:rFonts w:cs="Tahoma"/>
          <w:szCs w:val="18"/>
        </w:rPr>
        <w:t xml:space="preserve">Otomotiv sanayii dış ticaretine değer olarak bakıldığında ise, 2012 yılı Ocak-Ağustos döneminde 9 milyar ABD doları ithalata karşılık, 9,9 milyar ABD doları ihracatın gerçekleştiği gözlenmektedir. Otomotiv sanayii ürünlerinde bir önceki yılın aynı dönemine göre ihracat yüzde 6, ithalat ise yüzde 20 oranında azalmıştır. Bu durum, sektörün 2011 yılı Ocak-Ağustos döneminde 0,8 milyar ABD doları açık veren dış ticaret dengesinin 2012 yılının aynı döneminde 0,9 milyar ABD doları fazla vermesiyle sonuçlanmıştır. Sektörde ölçek ekonomisinde üretim yapılabilmesi, ihracata dayalı büyümenin ve sürdürülebilir rekabet gücünün sağlanabilmesi amacıyla tedarik zinciri ve ana sanayii bütünleşmesi de dâhil firma işbirliklerinin devam ettirilmesi önem arz etmektedir. </w:t>
      </w:r>
    </w:p>
    <w:p w:rsidR="00565FD5" w:rsidRPr="009B3D4C" w:rsidRDefault="00565FD5" w:rsidP="00565FD5">
      <w:pPr>
        <w:spacing w:after="180"/>
        <w:ind w:firstLine="426"/>
        <w:rPr>
          <w:rFonts w:cs="Tahoma"/>
          <w:szCs w:val="18"/>
        </w:rPr>
      </w:pPr>
      <w:r w:rsidRPr="009B3D4C">
        <w:rPr>
          <w:rFonts w:cs="Tahoma"/>
          <w:szCs w:val="18"/>
        </w:rPr>
        <w:t xml:space="preserve">Savunma sanayii üretimi yıllık ortalama yüzde 12,8 oranında artışla 2003 yılında 1,3 milyar ABD dolarından 2011 yılında 3,4 milyar ABD dolarına yükselmiştir. Bu dönemde ihracat yıllık ortalama yüzde 12 oranında artışla 331 milyon ABD dolarından 2011 yılında 817 milyon ABD dolarına yükselmiştir. Aynı dönemde öz kaynaktan Ar-Ge harcamaları yıllık ortalama yüzde 18,2 oranında artışla 58 milyon ABD dolarından 2011 yılında 221 milyon ABD dolarına ulaşmıştır. Sözleşmesi imzalanmış projelerin toplam bedeli yıllık ortalama yüzde 17,7 oranında artışla 2003 yılında 7,4 milyar ABD dolarından 2011 yılında 27,3 milyar ABD dolarına yükselmiştir. </w:t>
      </w:r>
    </w:p>
    <w:p w:rsidR="00565FD5" w:rsidRPr="009B3D4C" w:rsidRDefault="00565FD5" w:rsidP="00565FD5">
      <w:pPr>
        <w:spacing w:after="180"/>
        <w:ind w:firstLine="426"/>
        <w:rPr>
          <w:rFonts w:cs="Tahoma"/>
          <w:szCs w:val="18"/>
        </w:rPr>
      </w:pPr>
      <w:r w:rsidRPr="009B3D4C">
        <w:rPr>
          <w:rFonts w:cs="Tahoma"/>
          <w:szCs w:val="18"/>
        </w:rPr>
        <w:t xml:space="preserve">Savunma Sanayii Müsteşarlığının, 2009 yılında yayımlanan 2009-2016 Savunma Sanayii Sektörel Stratejisi uygulanmaya devam edilmektedir. Bu kapsamda, Savunma sanayii ürünlerinin tasarımdan, üretim, modernizasyon ve lojistik desteğe uzanan yaşam döngüsünün tamamında etkin rol alınabilmesi </w:t>
      </w:r>
      <w:r w:rsidRPr="009B3D4C">
        <w:rPr>
          <w:rFonts w:cs="Tahoma"/>
          <w:szCs w:val="18"/>
        </w:rPr>
        <w:lastRenderedPageBreak/>
        <w:t xml:space="preserve">için çalışmalar yürütülmektedir. Ayrıca, uydu montaj, entegrasyon ve test merkezinin kurulması öngörülmektedir. 2003-2012 döneminde </w:t>
      </w:r>
      <w:r>
        <w:rPr>
          <w:rFonts w:cs="Tahoma"/>
          <w:szCs w:val="18"/>
        </w:rPr>
        <w:t>yurtiçi</w:t>
      </w:r>
      <w:r w:rsidRPr="009B3D4C">
        <w:rPr>
          <w:rFonts w:cs="Tahoma"/>
          <w:szCs w:val="18"/>
        </w:rPr>
        <w:t xml:space="preserve"> üretimi ve tasarım yeteneğini geliştirmek amacıyla yürütülen başlıca faaliyetler; savaş gemisi, helikopter, tank ve görüntüleme amaçlı uydu tasarımı ve üretimi projeleri olmuştur.</w:t>
      </w:r>
    </w:p>
    <w:p w:rsidR="00565FD5" w:rsidRPr="009B3D4C" w:rsidRDefault="00565FD5" w:rsidP="00565FD5">
      <w:pPr>
        <w:spacing w:after="180"/>
        <w:ind w:firstLine="426"/>
        <w:rPr>
          <w:rFonts w:cs="Tahoma"/>
          <w:szCs w:val="18"/>
        </w:rPr>
      </w:pPr>
      <w:r w:rsidRPr="009B3D4C">
        <w:rPr>
          <w:rFonts w:cs="Tahoma"/>
          <w:szCs w:val="18"/>
        </w:rPr>
        <w:t xml:space="preserve">Savunma sanayii sektörünün en önemli etkinlik göstergesi olan Türk Silahlı Kuvvetleri ihtiyaçlarının yurt içinden karşılanma oranı 2003 yılında yüzde 25 iken 2011 yılında yüzde 54’e yükselmiştir. Gelişmiş ülkelerde savunma ihtiyaçlarının yüzde 85-95’i yerli kaynaklardan sağlanmaktadır. Ülkemizde ise savunma alımlarında büyük oranda dışa bağımlılık devam etmektedir. </w:t>
      </w:r>
    </w:p>
    <w:p w:rsidR="00565FD5" w:rsidRPr="009B3D4C" w:rsidRDefault="00565FD5" w:rsidP="00565FD5">
      <w:pPr>
        <w:spacing w:after="180"/>
        <w:rPr>
          <w:rFonts w:cs="Tahoma"/>
          <w:b/>
          <w:bCs/>
          <w:szCs w:val="18"/>
        </w:rPr>
      </w:pPr>
      <w:r>
        <w:rPr>
          <w:rFonts w:cs="Tahoma"/>
          <w:b/>
          <w:bCs/>
          <w:szCs w:val="18"/>
        </w:rPr>
        <w:tab/>
      </w:r>
      <w:r w:rsidRPr="009B3D4C">
        <w:rPr>
          <w:rFonts w:cs="Tahoma"/>
          <w:b/>
          <w:bCs/>
          <w:szCs w:val="18"/>
        </w:rPr>
        <w:t>Madencilik</w:t>
      </w:r>
    </w:p>
    <w:p w:rsidR="00565FD5" w:rsidRDefault="00565FD5" w:rsidP="00565FD5">
      <w:pPr>
        <w:spacing w:after="180"/>
        <w:rPr>
          <w:rFonts w:cs="Tahoma"/>
          <w:szCs w:val="18"/>
          <w:highlight w:val="yellow"/>
        </w:rPr>
      </w:pPr>
      <w:bookmarkStart w:id="1976" w:name="_Toc276076306"/>
      <w:bookmarkStart w:id="1977" w:name="_Toc244339627"/>
      <w:bookmarkStart w:id="1978" w:name="_Toc244315164"/>
      <w:bookmarkStart w:id="1979" w:name="_Toc244313688"/>
      <w:bookmarkStart w:id="1980" w:name="_Toc244254953"/>
      <w:bookmarkStart w:id="1981" w:name="_Toc244253703"/>
      <w:r>
        <w:rPr>
          <w:rFonts w:cs="Tahoma"/>
          <w:szCs w:val="18"/>
        </w:rPr>
        <w:tab/>
      </w:r>
      <w:r w:rsidRPr="009B3D4C">
        <w:rPr>
          <w:rFonts w:cs="Tahoma"/>
          <w:szCs w:val="18"/>
        </w:rPr>
        <w:t>Madencilik sektöründe 2011 yılında da artış eğilimleri devam etmiş, 2012 yılının Ocak-Ağustos döneminde ihracatta yüzde 8,7, ithalatta yüzde 17,4, üretimde ise yüzde 2,24 oranında artış görülmüştür. İhracatta görülen artışlar ağırlıklı olarak demir dışı metaller</w:t>
      </w:r>
      <w:r w:rsidRPr="009B3D4C" w:rsidDel="006613D3">
        <w:rPr>
          <w:rFonts w:cs="Tahoma"/>
          <w:szCs w:val="18"/>
        </w:rPr>
        <w:t xml:space="preserve"> </w:t>
      </w:r>
      <w:r w:rsidRPr="009B3D4C">
        <w:rPr>
          <w:rFonts w:cs="Tahoma"/>
          <w:szCs w:val="18"/>
        </w:rPr>
        <w:t>(bakır, çinko, krom) ile feldspat, bor ve mermer kalemlerinden kaynaklanmıştır. İthalat kalemleri içinde ham petrol, doğal gaz, taşkömürü ve demir cevheri ağırlığını korumuştur.</w:t>
      </w:r>
      <w:r w:rsidRPr="009B3D4C">
        <w:rPr>
          <w:rFonts w:cs="Tahoma"/>
          <w:szCs w:val="18"/>
          <w:highlight w:val="yellow"/>
        </w:rPr>
        <w:t xml:space="preserve"> </w:t>
      </w:r>
    </w:p>
    <w:p w:rsidR="00565FD5" w:rsidRPr="00AB66CA" w:rsidRDefault="00565FD5" w:rsidP="00565FD5">
      <w:pPr>
        <w:spacing w:after="180"/>
        <w:rPr>
          <w:rFonts w:cs="Tahoma"/>
          <w:szCs w:val="18"/>
        </w:rPr>
      </w:pPr>
      <w:r>
        <w:rPr>
          <w:rFonts w:cs="Tahoma"/>
          <w:szCs w:val="18"/>
        </w:rPr>
        <w:tab/>
      </w:r>
      <w:r w:rsidRPr="009B3D4C">
        <w:rPr>
          <w:rFonts w:cs="Tahoma"/>
          <w:szCs w:val="18"/>
        </w:rPr>
        <w:t>Türkiye’nin ham petrol üretimi ise bir önceki yıla göre yüzde 4 oranında düşüşle 2,4 milyon tona gerilemiştir. Ham petrol ithalatı 2011 yılında yüzde 7 oranında artarak 18 milyon ton olmuştur. Türkiye’nin 2011 yılı doğal gaz üretimi 0,8 milyar Sm</w:t>
      </w:r>
      <w:r w:rsidRPr="00AB66CA">
        <w:rPr>
          <w:rFonts w:cs="Tahoma"/>
          <w:szCs w:val="18"/>
        </w:rPr>
        <w:t>3</w:t>
      </w:r>
      <w:r w:rsidRPr="009B3D4C">
        <w:rPr>
          <w:rFonts w:cs="Tahoma"/>
          <w:szCs w:val="18"/>
        </w:rPr>
        <w:t>, ithalatı 43,9 milyar Sm</w:t>
      </w:r>
      <w:r w:rsidRPr="00AB66CA">
        <w:rPr>
          <w:rFonts w:cs="Tahoma"/>
          <w:szCs w:val="18"/>
        </w:rPr>
        <w:t>3</w:t>
      </w:r>
      <w:r w:rsidRPr="009B3D4C">
        <w:rPr>
          <w:rFonts w:cs="Tahoma"/>
          <w:szCs w:val="18"/>
        </w:rPr>
        <w:t>, tüketimi ise 44,1 milyar Sm</w:t>
      </w:r>
      <w:r w:rsidRPr="00AB66CA">
        <w:rPr>
          <w:rFonts w:cs="Tahoma"/>
          <w:szCs w:val="18"/>
        </w:rPr>
        <w:t>3</w:t>
      </w:r>
      <w:r w:rsidRPr="009B3D4C">
        <w:rPr>
          <w:rFonts w:cs="Tahoma"/>
          <w:szCs w:val="18"/>
        </w:rPr>
        <w:t xml:space="preserve"> olmuştur. Bu çerçevede, bir önceki yıla göre ithalatta yüzde 15,5 ve tüketimde yüzde 17,9 oranında artış gerçekleşmiştir. </w:t>
      </w:r>
      <w:r w:rsidRPr="00AB66CA">
        <w:rPr>
          <w:rFonts w:cs="Tahoma"/>
          <w:szCs w:val="18"/>
        </w:rPr>
        <w:t xml:space="preserve"> </w:t>
      </w:r>
    </w:p>
    <w:p w:rsidR="00565FD5" w:rsidRPr="009B3D4C" w:rsidRDefault="00565FD5" w:rsidP="00565FD5">
      <w:pPr>
        <w:spacing w:after="180"/>
        <w:rPr>
          <w:rFonts w:cs="Tahoma"/>
          <w:szCs w:val="18"/>
          <w:highlight w:val="yellow"/>
        </w:rPr>
      </w:pPr>
    </w:p>
    <w:p w:rsidR="00565FD5" w:rsidRPr="00AB66CA" w:rsidRDefault="00565FD5" w:rsidP="00565FD5">
      <w:pPr>
        <w:pStyle w:val="ResimYazs"/>
        <w:rPr>
          <w:rFonts w:cs="Tahoma"/>
          <w:bCs/>
          <w:szCs w:val="16"/>
        </w:rPr>
      </w:pPr>
      <w:bookmarkStart w:id="1982" w:name="_Toc244255282"/>
      <w:bookmarkStart w:id="1983" w:name="_Toc275873967"/>
      <w:bookmarkStart w:id="1984" w:name="_Toc276076509"/>
      <w:bookmarkStart w:id="1985" w:name="_Toc338606033"/>
      <w:bookmarkStart w:id="1986" w:name="_Toc338711808"/>
      <w:r>
        <w:t xml:space="preserve">TABLO IV: </w:t>
      </w:r>
      <w:fldSimple w:instr=" SEQ TABLO_IV: \* ARABIC ">
        <w:r>
          <w:rPr>
            <w:noProof/>
          </w:rPr>
          <w:t>38</w:t>
        </w:r>
      </w:fldSimple>
      <w:r w:rsidRPr="00AB66CA">
        <w:rPr>
          <w:rFonts w:cs="Tahoma"/>
          <w:bCs/>
          <w:szCs w:val="16"/>
        </w:rPr>
        <w:t>- Madencilik ile İlgili Temel Göstergeler</w:t>
      </w:r>
      <w:bookmarkEnd w:id="1982"/>
      <w:bookmarkEnd w:id="1983"/>
      <w:bookmarkEnd w:id="1984"/>
      <w:bookmarkEnd w:id="1985"/>
      <w:bookmarkEnd w:id="1986"/>
      <w:r w:rsidRPr="00AB66CA">
        <w:rPr>
          <w:rFonts w:cs="Tahoma"/>
          <w:bCs/>
          <w:szCs w:val="16"/>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634"/>
        <w:gridCol w:w="1864"/>
        <w:gridCol w:w="991"/>
        <w:gridCol w:w="888"/>
        <w:gridCol w:w="745"/>
        <w:gridCol w:w="1040"/>
      </w:tblGrid>
      <w:tr w:rsidR="00565FD5" w:rsidRPr="009B3D4C" w:rsidTr="00AB62A3">
        <w:trPr>
          <w:trHeight w:val="25"/>
        </w:trPr>
        <w:tc>
          <w:tcPr>
            <w:tcW w:w="2442" w:type="pct"/>
            <w:gridSpan w:val="2"/>
            <w:tcBorders>
              <w:right w:val="nil"/>
            </w:tcBorders>
            <w:tcMar>
              <w:top w:w="15" w:type="dxa"/>
              <w:left w:w="15" w:type="dxa"/>
              <w:bottom w:w="0" w:type="dxa"/>
              <w:right w:w="15" w:type="dxa"/>
            </w:tcMar>
            <w:vAlign w:val="bottom"/>
          </w:tcPr>
          <w:p w:rsidR="00565FD5" w:rsidRPr="009B3D4C" w:rsidRDefault="00565FD5" w:rsidP="00AB62A3">
            <w:pPr>
              <w:spacing w:after="60"/>
              <w:rPr>
                <w:rFonts w:eastAsia="Arial Unicode MS" w:cs="Tahoma"/>
                <w:b/>
                <w:sz w:val="16"/>
                <w:szCs w:val="16"/>
              </w:rPr>
            </w:pPr>
          </w:p>
        </w:tc>
        <w:tc>
          <w:tcPr>
            <w:tcW w:w="692" w:type="pct"/>
            <w:tcBorders>
              <w:left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eastAsia="Arial Unicode MS" w:cs="Tahoma"/>
                <w:b/>
                <w:sz w:val="16"/>
                <w:szCs w:val="16"/>
              </w:rPr>
            </w:pPr>
            <w:r w:rsidRPr="009B3D4C">
              <w:rPr>
                <w:rFonts w:cs="Tahoma"/>
                <w:b/>
                <w:sz w:val="16"/>
                <w:szCs w:val="16"/>
              </w:rPr>
              <w:t>2009</w:t>
            </w:r>
          </w:p>
        </w:tc>
        <w:tc>
          <w:tcPr>
            <w:tcW w:w="620" w:type="pct"/>
            <w:tcBorders>
              <w:left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eastAsia="Arial Unicode MS" w:cs="Tahoma"/>
                <w:b/>
                <w:sz w:val="16"/>
                <w:szCs w:val="16"/>
              </w:rPr>
            </w:pPr>
            <w:r w:rsidRPr="009B3D4C">
              <w:rPr>
                <w:rFonts w:cs="Tahoma"/>
                <w:b/>
                <w:sz w:val="16"/>
                <w:szCs w:val="16"/>
              </w:rPr>
              <w:t>2010</w:t>
            </w:r>
          </w:p>
        </w:tc>
        <w:tc>
          <w:tcPr>
            <w:tcW w:w="520" w:type="pct"/>
            <w:tcBorders>
              <w:left w:val="nil"/>
              <w:right w:val="nil"/>
            </w:tcBorders>
            <w:vAlign w:val="center"/>
          </w:tcPr>
          <w:p w:rsidR="00565FD5" w:rsidRPr="009B3D4C" w:rsidRDefault="00565FD5" w:rsidP="00AB62A3">
            <w:pPr>
              <w:spacing w:after="60"/>
              <w:ind w:right="57"/>
              <w:jc w:val="right"/>
              <w:rPr>
                <w:rFonts w:eastAsia="Arial Unicode MS" w:cs="Tahoma"/>
                <w:b/>
                <w:sz w:val="16"/>
                <w:szCs w:val="16"/>
              </w:rPr>
            </w:pPr>
            <w:r w:rsidRPr="009B3D4C">
              <w:rPr>
                <w:rFonts w:eastAsia="Arial Unicode MS" w:cs="Tahoma"/>
                <w:b/>
                <w:sz w:val="16"/>
                <w:szCs w:val="16"/>
              </w:rPr>
              <w:t>2011</w:t>
            </w:r>
          </w:p>
        </w:tc>
        <w:tc>
          <w:tcPr>
            <w:tcW w:w="727" w:type="pct"/>
            <w:tcBorders>
              <w:left w:val="nil"/>
            </w:tcBorders>
          </w:tcPr>
          <w:p w:rsidR="00565FD5" w:rsidRPr="009B3D4C" w:rsidRDefault="00565FD5" w:rsidP="00AB62A3">
            <w:pPr>
              <w:spacing w:after="60"/>
              <w:ind w:right="113"/>
              <w:jc w:val="right"/>
              <w:rPr>
                <w:rFonts w:eastAsia="Arial Unicode MS" w:cs="Tahoma"/>
                <w:b/>
                <w:sz w:val="16"/>
                <w:szCs w:val="16"/>
              </w:rPr>
            </w:pPr>
            <w:r w:rsidRPr="009B3D4C">
              <w:rPr>
                <w:rFonts w:eastAsia="Arial Unicode MS" w:cs="Tahoma"/>
                <w:b/>
                <w:sz w:val="16"/>
                <w:szCs w:val="16"/>
              </w:rPr>
              <w:t>2012</w:t>
            </w:r>
          </w:p>
        </w:tc>
      </w:tr>
      <w:tr w:rsidR="00565FD5" w:rsidRPr="009B3D4C" w:rsidTr="00AB62A3">
        <w:trPr>
          <w:trHeight w:val="25"/>
        </w:trPr>
        <w:tc>
          <w:tcPr>
            <w:tcW w:w="2442" w:type="pct"/>
            <w:gridSpan w:val="2"/>
            <w:tcBorders>
              <w:bottom w:val="nil"/>
              <w:right w:val="nil"/>
            </w:tcBorders>
            <w:tcMar>
              <w:top w:w="15" w:type="dxa"/>
              <w:left w:w="15" w:type="dxa"/>
              <w:bottom w:w="0" w:type="dxa"/>
              <w:right w:w="15" w:type="dxa"/>
            </w:tcMar>
            <w:vAlign w:val="bottom"/>
          </w:tcPr>
          <w:p w:rsidR="00565FD5" w:rsidRPr="009B3D4C" w:rsidRDefault="00565FD5" w:rsidP="00AB62A3">
            <w:pPr>
              <w:spacing w:after="60"/>
              <w:rPr>
                <w:rFonts w:eastAsia="Arial Unicode MS" w:cs="Tahoma"/>
                <w:sz w:val="16"/>
                <w:szCs w:val="16"/>
              </w:rPr>
            </w:pPr>
            <w:r w:rsidRPr="009B3D4C">
              <w:rPr>
                <w:rFonts w:cs="Tahoma"/>
                <w:sz w:val="16"/>
                <w:szCs w:val="16"/>
              </w:rPr>
              <w:t xml:space="preserve">GSYH İçindeki Payı (Yüzde) </w:t>
            </w:r>
          </w:p>
        </w:tc>
        <w:tc>
          <w:tcPr>
            <w:tcW w:w="692" w:type="pct"/>
            <w:tcBorders>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eastAsia="Arial Unicode MS" w:cs="Tahoma"/>
                <w:sz w:val="16"/>
                <w:szCs w:val="16"/>
              </w:rPr>
            </w:pPr>
            <w:r w:rsidRPr="009B3D4C">
              <w:rPr>
                <w:rFonts w:eastAsia="Arial Unicode MS" w:cs="Tahoma"/>
                <w:sz w:val="16"/>
                <w:szCs w:val="16"/>
              </w:rPr>
              <w:t>1,5</w:t>
            </w:r>
          </w:p>
        </w:tc>
        <w:tc>
          <w:tcPr>
            <w:tcW w:w="620" w:type="pct"/>
            <w:tcBorders>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1,4</w:t>
            </w:r>
          </w:p>
        </w:tc>
        <w:tc>
          <w:tcPr>
            <w:tcW w:w="520" w:type="pct"/>
            <w:tcBorders>
              <w:left w:val="nil"/>
              <w:bottom w:val="nil"/>
              <w:right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1,5</w:t>
            </w:r>
          </w:p>
        </w:tc>
        <w:tc>
          <w:tcPr>
            <w:tcW w:w="727" w:type="pct"/>
            <w:tcBorders>
              <w:left w:val="nil"/>
              <w:bottom w:val="nil"/>
            </w:tcBorders>
            <w:vAlign w:val="center"/>
          </w:tcPr>
          <w:tbl>
            <w:tblPr>
              <w:tblW w:w="998" w:type="dxa"/>
              <w:tblCellMar>
                <w:left w:w="0" w:type="dxa"/>
                <w:right w:w="0" w:type="dxa"/>
              </w:tblCellMar>
              <w:tblLook w:val="0000"/>
            </w:tblPr>
            <w:tblGrid>
              <w:gridCol w:w="998"/>
            </w:tblGrid>
            <w:tr w:rsidR="00565FD5" w:rsidRPr="009B3D4C" w:rsidTr="00AB62A3">
              <w:trPr>
                <w:trHeight w:val="25"/>
              </w:trPr>
              <w:tc>
                <w:tcPr>
                  <w:tcW w:w="5000" w:type="pct"/>
                  <w:tcBorders>
                    <w:top w:val="nil"/>
                  </w:tcBorders>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1,2(1)</w:t>
                  </w:r>
                </w:p>
              </w:tc>
            </w:tr>
          </w:tbl>
          <w:p w:rsidR="00565FD5" w:rsidRPr="009B3D4C" w:rsidRDefault="00565FD5" w:rsidP="00AB62A3">
            <w:pPr>
              <w:spacing w:after="60"/>
              <w:jc w:val="right"/>
              <w:rPr>
                <w:rFonts w:cs="Tahoma"/>
                <w:sz w:val="16"/>
                <w:szCs w:val="16"/>
              </w:rPr>
            </w:pPr>
          </w:p>
        </w:tc>
      </w:tr>
      <w:tr w:rsidR="00565FD5" w:rsidRPr="009B3D4C" w:rsidTr="00AB62A3">
        <w:trPr>
          <w:trHeight w:val="25"/>
        </w:trPr>
        <w:tc>
          <w:tcPr>
            <w:tcW w:w="2442" w:type="pct"/>
            <w:gridSpan w:val="2"/>
            <w:tcBorders>
              <w:top w:val="nil"/>
              <w:bottom w:val="nil"/>
              <w:right w:val="nil"/>
            </w:tcBorders>
            <w:tcMar>
              <w:top w:w="15" w:type="dxa"/>
              <w:left w:w="15" w:type="dxa"/>
              <w:bottom w:w="0" w:type="dxa"/>
              <w:right w:w="15" w:type="dxa"/>
            </w:tcMar>
            <w:vAlign w:val="bottom"/>
          </w:tcPr>
          <w:p w:rsidR="00565FD5" w:rsidRPr="009B3D4C" w:rsidRDefault="00565FD5" w:rsidP="00AB62A3">
            <w:pPr>
              <w:spacing w:after="60"/>
              <w:rPr>
                <w:rFonts w:eastAsia="Arial Unicode MS" w:cs="Tahoma"/>
                <w:sz w:val="16"/>
                <w:szCs w:val="16"/>
              </w:rPr>
            </w:pPr>
            <w:r w:rsidRPr="009B3D4C">
              <w:rPr>
                <w:rFonts w:cs="Tahoma"/>
                <w:sz w:val="16"/>
                <w:szCs w:val="16"/>
              </w:rPr>
              <w:t>Üretim Artışı (Yüzde) (2005=100)</w:t>
            </w:r>
          </w:p>
        </w:tc>
        <w:tc>
          <w:tcPr>
            <w:tcW w:w="692" w:type="pct"/>
            <w:tcBorders>
              <w:top w:val="nil"/>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eastAsia="Arial Unicode MS" w:cs="Tahoma"/>
                <w:sz w:val="16"/>
                <w:szCs w:val="16"/>
              </w:rPr>
            </w:pPr>
            <w:r w:rsidRPr="009B3D4C">
              <w:rPr>
                <w:rFonts w:eastAsia="Arial Unicode MS" w:cs="Tahoma"/>
                <w:sz w:val="16"/>
                <w:szCs w:val="16"/>
              </w:rPr>
              <w:t>-0,8</w:t>
            </w:r>
          </w:p>
        </w:tc>
        <w:tc>
          <w:tcPr>
            <w:tcW w:w="620" w:type="pct"/>
            <w:tcBorders>
              <w:top w:val="nil"/>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2,1</w:t>
            </w:r>
          </w:p>
        </w:tc>
        <w:tc>
          <w:tcPr>
            <w:tcW w:w="520" w:type="pct"/>
            <w:tcBorders>
              <w:top w:val="nil"/>
              <w:left w:val="nil"/>
              <w:bottom w:val="nil"/>
              <w:right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2,97</w:t>
            </w:r>
          </w:p>
        </w:tc>
        <w:tc>
          <w:tcPr>
            <w:tcW w:w="727" w:type="pct"/>
            <w:tcBorders>
              <w:top w:val="nil"/>
              <w:left w:val="nil"/>
              <w:bottom w:val="nil"/>
            </w:tcBorders>
            <w:vAlign w:val="center"/>
          </w:tcPr>
          <w:p w:rsidR="00565FD5" w:rsidRPr="009B3D4C" w:rsidRDefault="00565FD5" w:rsidP="00AB62A3">
            <w:pPr>
              <w:spacing w:after="60"/>
              <w:ind w:right="57"/>
              <w:jc w:val="right"/>
              <w:rPr>
                <w:rFonts w:cs="Tahoma"/>
                <w:sz w:val="16"/>
                <w:szCs w:val="16"/>
                <w:vertAlign w:val="superscript"/>
              </w:rPr>
            </w:pPr>
            <w:r w:rsidRPr="009B3D4C">
              <w:rPr>
                <w:rFonts w:cs="Tahoma"/>
                <w:sz w:val="16"/>
                <w:szCs w:val="16"/>
              </w:rPr>
              <w:t>2,24(2)</w:t>
            </w:r>
          </w:p>
        </w:tc>
      </w:tr>
      <w:tr w:rsidR="00565FD5" w:rsidRPr="009B3D4C" w:rsidTr="00AB62A3">
        <w:trPr>
          <w:trHeight w:val="25"/>
        </w:trPr>
        <w:tc>
          <w:tcPr>
            <w:tcW w:w="2442" w:type="pct"/>
            <w:gridSpan w:val="2"/>
            <w:tcBorders>
              <w:top w:val="nil"/>
              <w:bottom w:val="nil"/>
              <w:right w:val="nil"/>
            </w:tcBorders>
            <w:tcMar>
              <w:top w:w="15" w:type="dxa"/>
              <w:left w:w="15" w:type="dxa"/>
              <w:bottom w:w="0" w:type="dxa"/>
              <w:right w:w="15" w:type="dxa"/>
            </w:tcMar>
          </w:tcPr>
          <w:p w:rsidR="00565FD5" w:rsidRPr="009B3D4C" w:rsidRDefault="00565FD5" w:rsidP="00AB62A3">
            <w:pPr>
              <w:spacing w:after="60"/>
              <w:rPr>
                <w:rFonts w:eastAsia="Arial Unicode MS" w:cs="Tahoma"/>
                <w:sz w:val="16"/>
                <w:szCs w:val="16"/>
              </w:rPr>
            </w:pPr>
            <w:r w:rsidRPr="009B3D4C">
              <w:rPr>
                <w:rFonts w:cs="Tahoma"/>
                <w:sz w:val="16"/>
                <w:szCs w:val="16"/>
              </w:rPr>
              <w:t xml:space="preserve">İhracat (Milyon ABD doları) (Cari Fiyatlarla) </w:t>
            </w:r>
          </w:p>
        </w:tc>
        <w:tc>
          <w:tcPr>
            <w:tcW w:w="692" w:type="pct"/>
            <w:tcBorders>
              <w:top w:val="nil"/>
              <w:left w:val="nil"/>
              <w:bottom w:val="nil"/>
              <w:right w:val="nil"/>
            </w:tcBorders>
            <w:noWrap/>
            <w:tcMar>
              <w:top w:w="15" w:type="dxa"/>
              <w:left w:w="15" w:type="dxa"/>
              <w:bottom w:w="0" w:type="dxa"/>
              <w:right w:w="15" w:type="dxa"/>
            </w:tcMar>
            <w:vAlign w:val="bottom"/>
          </w:tcPr>
          <w:p w:rsidR="00565FD5" w:rsidRPr="009B3D4C" w:rsidRDefault="00565FD5" w:rsidP="00AB62A3">
            <w:pPr>
              <w:spacing w:after="60"/>
              <w:ind w:right="57"/>
              <w:jc w:val="right"/>
              <w:rPr>
                <w:rFonts w:eastAsia="Arial Unicode MS" w:cs="Tahoma"/>
                <w:sz w:val="16"/>
                <w:szCs w:val="16"/>
              </w:rPr>
            </w:pPr>
            <w:r w:rsidRPr="009B3D4C">
              <w:rPr>
                <w:rFonts w:eastAsia="Arial Unicode MS" w:cs="Tahoma"/>
                <w:sz w:val="16"/>
                <w:szCs w:val="16"/>
              </w:rPr>
              <w:t>1 683</w:t>
            </w:r>
          </w:p>
        </w:tc>
        <w:tc>
          <w:tcPr>
            <w:tcW w:w="620" w:type="pct"/>
            <w:tcBorders>
              <w:top w:val="nil"/>
              <w:left w:val="nil"/>
              <w:bottom w:val="nil"/>
              <w:right w:val="nil"/>
            </w:tcBorders>
            <w:noWrap/>
            <w:tcMar>
              <w:top w:w="15" w:type="dxa"/>
              <w:left w:w="15" w:type="dxa"/>
              <w:bottom w:w="0" w:type="dxa"/>
              <w:right w:w="15" w:type="dxa"/>
            </w:tcMar>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2 687</w:t>
            </w:r>
          </w:p>
        </w:tc>
        <w:tc>
          <w:tcPr>
            <w:tcW w:w="520" w:type="pct"/>
            <w:tcBorders>
              <w:top w:val="nil"/>
              <w:left w:val="nil"/>
              <w:bottom w:val="nil"/>
              <w:right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2 806</w:t>
            </w:r>
          </w:p>
        </w:tc>
        <w:tc>
          <w:tcPr>
            <w:tcW w:w="727" w:type="pct"/>
            <w:tcBorders>
              <w:top w:val="nil"/>
              <w:left w:val="nil"/>
              <w:bottom w:val="nil"/>
            </w:tcBorders>
            <w:vAlign w:val="center"/>
          </w:tcPr>
          <w:p w:rsidR="00565FD5" w:rsidRPr="009B3D4C" w:rsidRDefault="00565FD5" w:rsidP="00AB62A3">
            <w:pPr>
              <w:spacing w:after="60"/>
              <w:ind w:right="57"/>
              <w:jc w:val="right"/>
              <w:rPr>
                <w:rFonts w:cs="Tahoma"/>
                <w:sz w:val="16"/>
                <w:szCs w:val="16"/>
                <w:vertAlign w:val="superscript"/>
              </w:rPr>
            </w:pPr>
            <w:r w:rsidRPr="009B3D4C">
              <w:rPr>
                <w:rFonts w:cs="Tahoma"/>
                <w:sz w:val="16"/>
                <w:szCs w:val="16"/>
              </w:rPr>
              <w:t>1 975(2)</w:t>
            </w:r>
          </w:p>
        </w:tc>
      </w:tr>
      <w:tr w:rsidR="00565FD5" w:rsidRPr="009B3D4C" w:rsidTr="00AB62A3">
        <w:trPr>
          <w:trHeight w:val="25"/>
        </w:trPr>
        <w:tc>
          <w:tcPr>
            <w:tcW w:w="2442" w:type="pct"/>
            <w:gridSpan w:val="2"/>
            <w:tcBorders>
              <w:top w:val="nil"/>
              <w:bottom w:val="nil"/>
              <w:right w:val="nil"/>
            </w:tcBorders>
            <w:tcMar>
              <w:top w:w="15" w:type="dxa"/>
              <w:left w:w="15" w:type="dxa"/>
              <w:bottom w:w="0" w:type="dxa"/>
              <w:right w:w="15" w:type="dxa"/>
            </w:tcMar>
            <w:vAlign w:val="bottom"/>
          </w:tcPr>
          <w:p w:rsidR="00565FD5" w:rsidRPr="009B3D4C" w:rsidRDefault="00565FD5" w:rsidP="00AB62A3">
            <w:pPr>
              <w:spacing w:after="60"/>
              <w:rPr>
                <w:rFonts w:eastAsia="Arial Unicode MS" w:cs="Tahoma"/>
                <w:sz w:val="16"/>
                <w:szCs w:val="16"/>
              </w:rPr>
            </w:pPr>
            <w:r w:rsidRPr="009B3D4C">
              <w:rPr>
                <w:rFonts w:cs="Tahoma"/>
                <w:sz w:val="16"/>
                <w:szCs w:val="16"/>
              </w:rPr>
              <w:t>İhracat Artışı (Yüzde)</w:t>
            </w:r>
          </w:p>
        </w:tc>
        <w:tc>
          <w:tcPr>
            <w:tcW w:w="692" w:type="pct"/>
            <w:tcBorders>
              <w:top w:val="nil"/>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eastAsia="Arial Unicode MS" w:cs="Tahoma"/>
                <w:sz w:val="16"/>
                <w:szCs w:val="16"/>
              </w:rPr>
            </w:pPr>
            <w:r w:rsidRPr="009B3D4C">
              <w:rPr>
                <w:rFonts w:eastAsia="Arial Unicode MS" w:cs="Tahoma"/>
                <w:sz w:val="16"/>
                <w:szCs w:val="16"/>
              </w:rPr>
              <w:t>-21,9</w:t>
            </w:r>
          </w:p>
        </w:tc>
        <w:tc>
          <w:tcPr>
            <w:tcW w:w="620" w:type="pct"/>
            <w:tcBorders>
              <w:top w:val="nil"/>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59,7</w:t>
            </w:r>
          </w:p>
        </w:tc>
        <w:tc>
          <w:tcPr>
            <w:tcW w:w="520" w:type="pct"/>
            <w:tcBorders>
              <w:top w:val="nil"/>
              <w:left w:val="nil"/>
              <w:bottom w:val="nil"/>
              <w:right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4</w:t>
            </w:r>
          </w:p>
        </w:tc>
        <w:tc>
          <w:tcPr>
            <w:tcW w:w="727" w:type="pct"/>
            <w:tcBorders>
              <w:top w:val="nil"/>
              <w:left w:val="nil"/>
              <w:bottom w:val="nil"/>
            </w:tcBorders>
            <w:vAlign w:val="center"/>
          </w:tcPr>
          <w:p w:rsidR="00565FD5" w:rsidRPr="009B3D4C" w:rsidRDefault="00565FD5" w:rsidP="00AB62A3">
            <w:pPr>
              <w:spacing w:after="60"/>
              <w:ind w:right="57"/>
              <w:jc w:val="right"/>
              <w:rPr>
                <w:rFonts w:cs="Tahoma"/>
                <w:sz w:val="16"/>
                <w:szCs w:val="16"/>
                <w:vertAlign w:val="superscript"/>
              </w:rPr>
            </w:pPr>
            <w:r w:rsidRPr="009B3D4C">
              <w:rPr>
                <w:rFonts w:cs="Tahoma"/>
                <w:sz w:val="16"/>
                <w:szCs w:val="16"/>
              </w:rPr>
              <w:t>8,7(2)</w:t>
            </w:r>
          </w:p>
        </w:tc>
      </w:tr>
      <w:tr w:rsidR="00565FD5" w:rsidRPr="009B3D4C" w:rsidTr="00AB62A3">
        <w:trPr>
          <w:trHeight w:val="25"/>
        </w:trPr>
        <w:tc>
          <w:tcPr>
            <w:tcW w:w="2442" w:type="pct"/>
            <w:gridSpan w:val="2"/>
            <w:tcBorders>
              <w:top w:val="nil"/>
              <w:bottom w:val="nil"/>
              <w:right w:val="nil"/>
            </w:tcBorders>
            <w:tcMar>
              <w:top w:w="15" w:type="dxa"/>
              <w:left w:w="15" w:type="dxa"/>
              <w:bottom w:w="0" w:type="dxa"/>
              <w:right w:w="15" w:type="dxa"/>
            </w:tcMar>
            <w:vAlign w:val="bottom"/>
          </w:tcPr>
          <w:p w:rsidR="00565FD5" w:rsidRPr="009B3D4C" w:rsidRDefault="00565FD5" w:rsidP="00AB62A3">
            <w:pPr>
              <w:spacing w:after="60"/>
              <w:rPr>
                <w:rFonts w:eastAsia="Arial Unicode MS" w:cs="Tahoma"/>
                <w:sz w:val="16"/>
                <w:szCs w:val="16"/>
              </w:rPr>
            </w:pPr>
            <w:r w:rsidRPr="009B3D4C">
              <w:rPr>
                <w:rFonts w:cs="Tahoma"/>
                <w:sz w:val="16"/>
                <w:szCs w:val="16"/>
              </w:rPr>
              <w:t>Toplam İhracat İçindeki Payı (Yüzde)</w:t>
            </w:r>
          </w:p>
        </w:tc>
        <w:tc>
          <w:tcPr>
            <w:tcW w:w="692" w:type="pct"/>
            <w:tcBorders>
              <w:top w:val="nil"/>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eastAsia="Arial Unicode MS" w:cs="Tahoma"/>
                <w:sz w:val="16"/>
                <w:szCs w:val="16"/>
              </w:rPr>
            </w:pPr>
            <w:r w:rsidRPr="009B3D4C">
              <w:rPr>
                <w:rFonts w:eastAsia="Arial Unicode MS" w:cs="Tahoma"/>
                <w:sz w:val="16"/>
                <w:szCs w:val="16"/>
              </w:rPr>
              <w:t>1,6</w:t>
            </w:r>
          </w:p>
        </w:tc>
        <w:tc>
          <w:tcPr>
            <w:tcW w:w="620" w:type="pct"/>
            <w:tcBorders>
              <w:top w:val="nil"/>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2,4</w:t>
            </w:r>
          </w:p>
        </w:tc>
        <w:tc>
          <w:tcPr>
            <w:tcW w:w="520" w:type="pct"/>
            <w:tcBorders>
              <w:top w:val="nil"/>
              <w:left w:val="nil"/>
              <w:bottom w:val="nil"/>
              <w:right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2,08</w:t>
            </w:r>
          </w:p>
        </w:tc>
        <w:tc>
          <w:tcPr>
            <w:tcW w:w="727" w:type="pct"/>
            <w:tcBorders>
              <w:top w:val="nil"/>
              <w:left w:val="nil"/>
              <w:bottom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2,0(2)</w:t>
            </w:r>
          </w:p>
        </w:tc>
      </w:tr>
      <w:tr w:rsidR="00565FD5" w:rsidRPr="009B3D4C" w:rsidTr="00AB62A3">
        <w:trPr>
          <w:trHeight w:val="25"/>
        </w:trPr>
        <w:tc>
          <w:tcPr>
            <w:tcW w:w="2442" w:type="pct"/>
            <w:gridSpan w:val="2"/>
            <w:tcBorders>
              <w:top w:val="nil"/>
              <w:bottom w:val="nil"/>
              <w:right w:val="nil"/>
            </w:tcBorders>
            <w:tcMar>
              <w:top w:w="15" w:type="dxa"/>
              <w:left w:w="15" w:type="dxa"/>
              <w:bottom w:w="0" w:type="dxa"/>
              <w:right w:w="15" w:type="dxa"/>
            </w:tcMar>
            <w:vAlign w:val="bottom"/>
          </w:tcPr>
          <w:p w:rsidR="00565FD5" w:rsidRPr="009B3D4C" w:rsidRDefault="00565FD5" w:rsidP="00AB62A3">
            <w:pPr>
              <w:spacing w:after="60"/>
              <w:rPr>
                <w:rFonts w:eastAsia="Arial Unicode MS" w:cs="Tahoma"/>
                <w:sz w:val="16"/>
                <w:szCs w:val="16"/>
              </w:rPr>
            </w:pPr>
            <w:r w:rsidRPr="009B3D4C">
              <w:rPr>
                <w:rFonts w:cs="Tahoma"/>
                <w:sz w:val="16"/>
                <w:szCs w:val="16"/>
              </w:rPr>
              <w:t xml:space="preserve">İthalat (Milyon ABD doları) (Cari Fiyatlarla) </w:t>
            </w:r>
          </w:p>
        </w:tc>
        <w:tc>
          <w:tcPr>
            <w:tcW w:w="692" w:type="pct"/>
            <w:tcBorders>
              <w:top w:val="nil"/>
              <w:left w:val="nil"/>
              <w:bottom w:val="nil"/>
              <w:right w:val="nil"/>
            </w:tcBorders>
            <w:noWrap/>
            <w:tcMar>
              <w:top w:w="15" w:type="dxa"/>
              <w:left w:w="15" w:type="dxa"/>
              <w:bottom w:w="0" w:type="dxa"/>
              <w:right w:w="15" w:type="dxa"/>
            </w:tcMar>
            <w:vAlign w:val="bottom"/>
          </w:tcPr>
          <w:p w:rsidR="00565FD5" w:rsidRPr="009B3D4C" w:rsidRDefault="00565FD5" w:rsidP="00AB62A3">
            <w:pPr>
              <w:spacing w:after="60"/>
              <w:ind w:right="57"/>
              <w:jc w:val="right"/>
              <w:rPr>
                <w:rFonts w:eastAsia="Arial Unicode MS" w:cs="Tahoma"/>
                <w:sz w:val="16"/>
                <w:szCs w:val="16"/>
              </w:rPr>
            </w:pPr>
            <w:r w:rsidRPr="009B3D4C">
              <w:rPr>
                <w:rFonts w:eastAsia="Arial Unicode MS" w:cs="Tahoma"/>
                <w:sz w:val="16"/>
                <w:szCs w:val="16"/>
              </w:rPr>
              <w:t>20 625</w:t>
            </w:r>
          </w:p>
        </w:tc>
        <w:tc>
          <w:tcPr>
            <w:tcW w:w="620" w:type="pct"/>
            <w:tcBorders>
              <w:top w:val="nil"/>
              <w:left w:val="nil"/>
              <w:bottom w:val="nil"/>
              <w:right w:val="nil"/>
            </w:tcBorders>
            <w:noWrap/>
            <w:tcMar>
              <w:top w:w="15" w:type="dxa"/>
              <w:left w:w="15" w:type="dxa"/>
              <w:bottom w:w="0" w:type="dxa"/>
              <w:right w:w="15" w:type="dxa"/>
            </w:tcMar>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25 932</w:t>
            </w:r>
          </w:p>
        </w:tc>
        <w:tc>
          <w:tcPr>
            <w:tcW w:w="520" w:type="pct"/>
            <w:tcBorders>
              <w:top w:val="nil"/>
              <w:left w:val="nil"/>
              <w:bottom w:val="nil"/>
              <w:right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37 331</w:t>
            </w:r>
          </w:p>
        </w:tc>
        <w:tc>
          <w:tcPr>
            <w:tcW w:w="727" w:type="pct"/>
            <w:tcBorders>
              <w:top w:val="nil"/>
              <w:left w:val="nil"/>
              <w:bottom w:val="nil"/>
            </w:tcBorders>
            <w:vAlign w:val="center"/>
          </w:tcPr>
          <w:p w:rsidR="00565FD5" w:rsidRPr="009B3D4C" w:rsidRDefault="00565FD5" w:rsidP="00AB62A3">
            <w:pPr>
              <w:spacing w:after="60"/>
              <w:ind w:right="57"/>
              <w:jc w:val="right"/>
              <w:rPr>
                <w:rFonts w:cs="Tahoma"/>
                <w:sz w:val="16"/>
                <w:szCs w:val="16"/>
                <w:vertAlign w:val="superscript"/>
              </w:rPr>
            </w:pPr>
            <w:r w:rsidRPr="009B3D4C">
              <w:rPr>
                <w:rFonts w:cs="Tahoma"/>
                <w:sz w:val="16"/>
                <w:szCs w:val="16"/>
              </w:rPr>
              <w:t>27 263(2)</w:t>
            </w:r>
          </w:p>
        </w:tc>
      </w:tr>
      <w:tr w:rsidR="00565FD5" w:rsidRPr="009B3D4C" w:rsidTr="00AB62A3">
        <w:trPr>
          <w:trHeight w:val="25"/>
        </w:trPr>
        <w:tc>
          <w:tcPr>
            <w:tcW w:w="2442" w:type="pct"/>
            <w:gridSpan w:val="2"/>
            <w:tcBorders>
              <w:top w:val="nil"/>
              <w:bottom w:val="nil"/>
              <w:right w:val="nil"/>
            </w:tcBorders>
            <w:tcMar>
              <w:top w:w="15" w:type="dxa"/>
              <w:left w:w="15" w:type="dxa"/>
              <w:bottom w:w="0" w:type="dxa"/>
              <w:right w:w="15" w:type="dxa"/>
            </w:tcMar>
            <w:vAlign w:val="bottom"/>
          </w:tcPr>
          <w:p w:rsidR="00565FD5" w:rsidRPr="009B3D4C" w:rsidRDefault="00565FD5" w:rsidP="00AB62A3">
            <w:pPr>
              <w:spacing w:after="60"/>
              <w:rPr>
                <w:rFonts w:eastAsia="Arial Unicode MS" w:cs="Tahoma"/>
                <w:sz w:val="16"/>
                <w:szCs w:val="16"/>
              </w:rPr>
            </w:pPr>
            <w:r w:rsidRPr="009B3D4C">
              <w:rPr>
                <w:rFonts w:cs="Tahoma"/>
                <w:sz w:val="16"/>
                <w:szCs w:val="16"/>
              </w:rPr>
              <w:lastRenderedPageBreak/>
              <w:t>İthalat Artışı (Yüzde)</w:t>
            </w:r>
          </w:p>
        </w:tc>
        <w:tc>
          <w:tcPr>
            <w:tcW w:w="692" w:type="pct"/>
            <w:tcBorders>
              <w:top w:val="nil"/>
              <w:left w:val="nil"/>
              <w:bottom w:val="nil"/>
              <w:right w:val="nil"/>
            </w:tcBorders>
            <w:noWrap/>
            <w:tcMar>
              <w:top w:w="15" w:type="dxa"/>
              <w:left w:w="15" w:type="dxa"/>
              <w:bottom w:w="0" w:type="dxa"/>
              <w:right w:w="15" w:type="dxa"/>
            </w:tcMar>
            <w:vAlign w:val="bottom"/>
          </w:tcPr>
          <w:p w:rsidR="00565FD5" w:rsidRPr="009B3D4C" w:rsidRDefault="00565FD5" w:rsidP="00AB62A3">
            <w:pPr>
              <w:spacing w:after="60"/>
              <w:ind w:right="57"/>
              <w:jc w:val="right"/>
              <w:rPr>
                <w:rFonts w:eastAsia="Arial Unicode MS" w:cs="Tahoma"/>
                <w:sz w:val="16"/>
                <w:szCs w:val="16"/>
              </w:rPr>
            </w:pPr>
            <w:r w:rsidRPr="009B3D4C">
              <w:rPr>
                <w:rFonts w:eastAsia="Arial Unicode MS" w:cs="Tahoma"/>
                <w:sz w:val="16"/>
                <w:szCs w:val="16"/>
              </w:rPr>
              <w:t>-42,1</w:t>
            </w:r>
          </w:p>
        </w:tc>
        <w:tc>
          <w:tcPr>
            <w:tcW w:w="620" w:type="pct"/>
            <w:tcBorders>
              <w:top w:val="nil"/>
              <w:left w:val="nil"/>
              <w:bottom w:val="nil"/>
              <w:right w:val="nil"/>
            </w:tcBorders>
            <w:noWrap/>
            <w:tcMar>
              <w:top w:w="15" w:type="dxa"/>
              <w:left w:w="15" w:type="dxa"/>
              <w:bottom w:w="0" w:type="dxa"/>
              <w:right w:w="15" w:type="dxa"/>
            </w:tcMar>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25,7</w:t>
            </w:r>
          </w:p>
        </w:tc>
        <w:tc>
          <w:tcPr>
            <w:tcW w:w="520" w:type="pct"/>
            <w:tcBorders>
              <w:top w:val="nil"/>
              <w:left w:val="nil"/>
              <w:bottom w:val="nil"/>
              <w:right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44</w:t>
            </w:r>
          </w:p>
        </w:tc>
        <w:tc>
          <w:tcPr>
            <w:tcW w:w="727" w:type="pct"/>
            <w:tcBorders>
              <w:top w:val="nil"/>
              <w:left w:val="nil"/>
              <w:bottom w:val="nil"/>
            </w:tcBorders>
            <w:vAlign w:val="center"/>
          </w:tcPr>
          <w:p w:rsidR="00565FD5" w:rsidRPr="009B3D4C" w:rsidRDefault="00565FD5" w:rsidP="00AB62A3">
            <w:pPr>
              <w:spacing w:after="60"/>
              <w:ind w:right="57"/>
              <w:jc w:val="right"/>
              <w:rPr>
                <w:rFonts w:cs="Tahoma"/>
                <w:sz w:val="16"/>
                <w:szCs w:val="16"/>
                <w:vertAlign w:val="superscript"/>
              </w:rPr>
            </w:pPr>
            <w:r w:rsidRPr="009B3D4C">
              <w:rPr>
                <w:rFonts w:cs="Tahoma"/>
                <w:sz w:val="16"/>
                <w:szCs w:val="16"/>
              </w:rPr>
              <w:t>16,6(2)</w:t>
            </w:r>
          </w:p>
        </w:tc>
      </w:tr>
      <w:tr w:rsidR="00565FD5" w:rsidRPr="009B3D4C" w:rsidTr="00AB62A3">
        <w:trPr>
          <w:trHeight w:val="25"/>
        </w:trPr>
        <w:tc>
          <w:tcPr>
            <w:tcW w:w="2442" w:type="pct"/>
            <w:gridSpan w:val="2"/>
            <w:tcBorders>
              <w:top w:val="nil"/>
              <w:bottom w:val="nil"/>
              <w:right w:val="nil"/>
            </w:tcBorders>
            <w:tcMar>
              <w:top w:w="15" w:type="dxa"/>
              <w:left w:w="15" w:type="dxa"/>
              <w:bottom w:w="0" w:type="dxa"/>
              <w:right w:w="15" w:type="dxa"/>
            </w:tcMar>
            <w:vAlign w:val="bottom"/>
          </w:tcPr>
          <w:p w:rsidR="00565FD5" w:rsidRPr="009B3D4C" w:rsidRDefault="00565FD5" w:rsidP="00AB62A3">
            <w:pPr>
              <w:spacing w:after="60"/>
              <w:rPr>
                <w:rFonts w:eastAsia="Arial Unicode MS" w:cs="Tahoma"/>
                <w:sz w:val="16"/>
                <w:szCs w:val="16"/>
              </w:rPr>
            </w:pPr>
            <w:r w:rsidRPr="009B3D4C">
              <w:rPr>
                <w:rFonts w:cs="Tahoma"/>
                <w:sz w:val="16"/>
                <w:szCs w:val="16"/>
              </w:rPr>
              <w:t>Toplam İthalat İçindeki Payı (Yüzde)</w:t>
            </w:r>
          </w:p>
        </w:tc>
        <w:tc>
          <w:tcPr>
            <w:tcW w:w="692" w:type="pct"/>
            <w:tcBorders>
              <w:top w:val="nil"/>
              <w:left w:val="nil"/>
              <w:bottom w:val="nil"/>
              <w:right w:val="nil"/>
            </w:tcBorders>
            <w:noWrap/>
            <w:tcMar>
              <w:top w:w="15" w:type="dxa"/>
              <w:left w:w="15" w:type="dxa"/>
              <w:bottom w:w="0" w:type="dxa"/>
              <w:right w:w="15" w:type="dxa"/>
            </w:tcMar>
            <w:vAlign w:val="bottom"/>
          </w:tcPr>
          <w:p w:rsidR="00565FD5" w:rsidRPr="009B3D4C" w:rsidRDefault="00565FD5" w:rsidP="00AB62A3">
            <w:pPr>
              <w:spacing w:after="60"/>
              <w:ind w:right="57"/>
              <w:jc w:val="right"/>
              <w:rPr>
                <w:rFonts w:eastAsia="Arial Unicode MS" w:cs="Tahoma"/>
                <w:sz w:val="16"/>
                <w:szCs w:val="16"/>
              </w:rPr>
            </w:pPr>
            <w:r w:rsidRPr="009B3D4C">
              <w:rPr>
                <w:rFonts w:eastAsia="Arial Unicode MS" w:cs="Tahoma"/>
                <w:sz w:val="16"/>
                <w:szCs w:val="16"/>
              </w:rPr>
              <w:t>14,6</w:t>
            </w:r>
          </w:p>
        </w:tc>
        <w:tc>
          <w:tcPr>
            <w:tcW w:w="620" w:type="pct"/>
            <w:tcBorders>
              <w:top w:val="nil"/>
              <w:left w:val="nil"/>
              <w:bottom w:val="nil"/>
              <w:right w:val="nil"/>
            </w:tcBorders>
            <w:noWrap/>
            <w:tcMar>
              <w:top w:w="15" w:type="dxa"/>
              <w:left w:w="15" w:type="dxa"/>
              <w:bottom w:w="0" w:type="dxa"/>
              <w:right w:w="15" w:type="dxa"/>
            </w:tcMar>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14,0</w:t>
            </w:r>
          </w:p>
        </w:tc>
        <w:tc>
          <w:tcPr>
            <w:tcW w:w="520" w:type="pct"/>
            <w:tcBorders>
              <w:top w:val="nil"/>
              <w:left w:val="nil"/>
              <w:bottom w:val="nil"/>
              <w:right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15,5</w:t>
            </w:r>
          </w:p>
        </w:tc>
        <w:tc>
          <w:tcPr>
            <w:tcW w:w="727" w:type="pct"/>
            <w:tcBorders>
              <w:top w:val="nil"/>
              <w:left w:val="nil"/>
              <w:bottom w:val="nil"/>
            </w:tcBorders>
            <w:vAlign w:val="center"/>
          </w:tcPr>
          <w:p w:rsidR="00565FD5" w:rsidRPr="009B3D4C" w:rsidRDefault="00565FD5" w:rsidP="00AB62A3">
            <w:pPr>
              <w:spacing w:after="60"/>
              <w:ind w:right="57"/>
              <w:jc w:val="right"/>
              <w:rPr>
                <w:rFonts w:cs="Tahoma"/>
                <w:sz w:val="16"/>
                <w:szCs w:val="16"/>
                <w:vertAlign w:val="superscript"/>
              </w:rPr>
            </w:pPr>
            <w:r w:rsidRPr="009B3D4C">
              <w:rPr>
                <w:rFonts w:cs="Tahoma"/>
                <w:sz w:val="16"/>
                <w:szCs w:val="16"/>
              </w:rPr>
              <w:t>17,4(2)</w:t>
            </w:r>
          </w:p>
        </w:tc>
      </w:tr>
      <w:tr w:rsidR="00565FD5" w:rsidRPr="009B3D4C" w:rsidTr="00AB62A3">
        <w:trPr>
          <w:trHeight w:val="25"/>
        </w:trPr>
        <w:tc>
          <w:tcPr>
            <w:tcW w:w="2442" w:type="pct"/>
            <w:gridSpan w:val="2"/>
            <w:tcBorders>
              <w:top w:val="nil"/>
              <w:bottom w:val="nil"/>
              <w:right w:val="nil"/>
            </w:tcBorders>
            <w:tcMar>
              <w:top w:w="15" w:type="dxa"/>
              <w:left w:w="15" w:type="dxa"/>
              <w:bottom w:w="0" w:type="dxa"/>
              <w:right w:w="15" w:type="dxa"/>
            </w:tcMar>
            <w:vAlign w:val="bottom"/>
          </w:tcPr>
          <w:p w:rsidR="00565FD5" w:rsidRPr="009B3D4C" w:rsidRDefault="00565FD5" w:rsidP="00AB62A3">
            <w:pPr>
              <w:spacing w:after="60"/>
              <w:rPr>
                <w:rFonts w:eastAsia="Arial Unicode MS" w:cs="Tahoma"/>
                <w:sz w:val="16"/>
                <w:szCs w:val="16"/>
              </w:rPr>
            </w:pPr>
            <w:r w:rsidRPr="009B3D4C">
              <w:rPr>
                <w:rFonts w:cs="Tahoma"/>
                <w:sz w:val="16"/>
                <w:szCs w:val="16"/>
              </w:rPr>
              <w:t>Sabit Sermaye Yatırımları İçindeki Payı (Yüzde)</w:t>
            </w:r>
            <w:r w:rsidRPr="009B3D4C">
              <w:rPr>
                <w:rFonts w:cs="Tahoma"/>
                <w:sz w:val="16"/>
                <w:szCs w:val="16"/>
                <w:vertAlign w:val="superscript"/>
              </w:rPr>
              <w:t xml:space="preserve"> </w:t>
            </w:r>
          </w:p>
        </w:tc>
        <w:tc>
          <w:tcPr>
            <w:tcW w:w="692" w:type="pct"/>
            <w:tcBorders>
              <w:top w:val="nil"/>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eastAsia="Arial Unicode MS" w:cs="Tahoma"/>
                <w:sz w:val="16"/>
                <w:szCs w:val="16"/>
              </w:rPr>
            </w:pPr>
            <w:r w:rsidRPr="009B3D4C">
              <w:rPr>
                <w:rFonts w:eastAsia="Arial Unicode MS" w:cs="Tahoma"/>
                <w:sz w:val="16"/>
                <w:szCs w:val="16"/>
              </w:rPr>
              <w:t>1,7</w:t>
            </w:r>
          </w:p>
        </w:tc>
        <w:tc>
          <w:tcPr>
            <w:tcW w:w="620" w:type="pct"/>
            <w:tcBorders>
              <w:top w:val="nil"/>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1,5</w:t>
            </w:r>
          </w:p>
        </w:tc>
        <w:tc>
          <w:tcPr>
            <w:tcW w:w="520" w:type="pct"/>
            <w:tcBorders>
              <w:top w:val="nil"/>
              <w:left w:val="nil"/>
              <w:bottom w:val="nil"/>
              <w:right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1,6</w:t>
            </w:r>
          </w:p>
        </w:tc>
        <w:tc>
          <w:tcPr>
            <w:tcW w:w="727" w:type="pct"/>
            <w:tcBorders>
              <w:top w:val="nil"/>
              <w:left w:val="nil"/>
              <w:bottom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1,8(3)</w:t>
            </w:r>
          </w:p>
        </w:tc>
      </w:tr>
      <w:tr w:rsidR="00565FD5" w:rsidRPr="009B3D4C" w:rsidTr="00AB62A3">
        <w:trPr>
          <w:trHeight w:val="25"/>
        </w:trPr>
        <w:tc>
          <w:tcPr>
            <w:tcW w:w="2442" w:type="pct"/>
            <w:gridSpan w:val="2"/>
            <w:tcBorders>
              <w:top w:val="nil"/>
              <w:bottom w:val="nil"/>
              <w:right w:val="nil"/>
            </w:tcBorders>
            <w:tcMar>
              <w:top w:w="15" w:type="dxa"/>
              <w:left w:w="15" w:type="dxa"/>
              <w:bottom w:w="0" w:type="dxa"/>
              <w:right w:w="15" w:type="dxa"/>
            </w:tcMar>
            <w:vAlign w:val="bottom"/>
          </w:tcPr>
          <w:p w:rsidR="00565FD5" w:rsidRPr="009B3D4C" w:rsidRDefault="00565FD5" w:rsidP="00AB62A3">
            <w:pPr>
              <w:spacing w:after="60"/>
              <w:rPr>
                <w:rFonts w:cs="Tahoma"/>
                <w:sz w:val="16"/>
                <w:szCs w:val="16"/>
              </w:rPr>
            </w:pPr>
            <w:r w:rsidRPr="009B3D4C">
              <w:rPr>
                <w:rFonts w:cs="Tahoma"/>
                <w:sz w:val="16"/>
                <w:szCs w:val="16"/>
              </w:rPr>
              <w:t>Kamu Yatırımları (Milyon TL)</w:t>
            </w:r>
          </w:p>
        </w:tc>
        <w:tc>
          <w:tcPr>
            <w:tcW w:w="692" w:type="pct"/>
            <w:tcBorders>
              <w:top w:val="nil"/>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823</w:t>
            </w:r>
          </w:p>
        </w:tc>
        <w:tc>
          <w:tcPr>
            <w:tcW w:w="620" w:type="pct"/>
            <w:tcBorders>
              <w:top w:val="nil"/>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879</w:t>
            </w:r>
          </w:p>
        </w:tc>
        <w:tc>
          <w:tcPr>
            <w:tcW w:w="520" w:type="pct"/>
            <w:tcBorders>
              <w:top w:val="nil"/>
              <w:left w:val="nil"/>
              <w:bottom w:val="nil"/>
              <w:right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1 247</w:t>
            </w:r>
          </w:p>
        </w:tc>
        <w:tc>
          <w:tcPr>
            <w:tcW w:w="727" w:type="pct"/>
            <w:tcBorders>
              <w:top w:val="nil"/>
              <w:left w:val="nil"/>
              <w:bottom w:val="nil"/>
            </w:tcBorders>
            <w:vAlign w:val="center"/>
          </w:tcPr>
          <w:p w:rsidR="00565FD5" w:rsidRPr="009B3D4C" w:rsidRDefault="00565FD5" w:rsidP="00AB62A3">
            <w:pPr>
              <w:spacing w:after="60"/>
              <w:ind w:right="57"/>
              <w:jc w:val="right"/>
              <w:rPr>
                <w:rFonts w:cs="Tahoma"/>
                <w:sz w:val="16"/>
                <w:szCs w:val="16"/>
                <w:vertAlign w:val="superscript"/>
              </w:rPr>
            </w:pPr>
            <w:r w:rsidRPr="009B3D4C">
              <w:rPr>
                <w:rFonts w:cs="Tahoma"/>
                <w:sz w:val="16"/>
                <w:szCs w:val="16"/>
              </w:rPr>
              <w:t>1 542(3)</w:t>
            </w:r>
          </w:p>
        </w:tc>
      </w:tr>
      <w:tr w:rsidR="00565FD5" w:rsidRPr="009B3D4C" w:rsidTr="00AB62A3">
        <w:trPr>
          <w:trHeight w:val="25"/>
        </w:trPr>
        <w:tc>
          <w:tcPr>
            <w:tcW w:w="2442" w:type="pct"/>
            <w:gridSpan w:val="2"/>
            <w:tcBorders>
              <w:top w:val="nil"/>
              <w:bottom w:val="nil"/>
              <w:right w:val="nil"/>
            </w:tcBorders>
            <w:tcMar>
              <w:top w:w="15" w:type="dxa"/>
              <w:left w:w="15" w:type="dxa"/>
              <w:bottom w:w="0" w:type="dxa"/>
              <w:right w:w="15" w:type="dxa"/>
            </w:tcMar>
            <w:vAlign w:val="bottom"/>
          </w:tcPr>
          <w:p w:rsidR="00565FD5" w:rsidRPr="009B3D4C" w:rsidRDefault="00565FD5" w:rsidP="00AB62A3">
            <w:pPr>
              <w:spacing w:after="60"/>
              <w:rPr>
                <w:rFonts w:cs="Tahoma"/>
                <w:sz w:val="16"/>
                <w:szCs w:val="16"/>
              </w:rPr>
            </w:pPr>
            <w:r w:rsidRPr="009B3D4C">
              <w:rPr>
                <w:rFonts w:cs="Tahoma"/>
                <w:sz w:val="16"/>
                <w:szCs w:val="16"/>
              </w:rPr>
              <w:t>Özel Sektör Yatırımları (Milyon TL)</w:t>
            </w:r>
          </w:p>
        </w:tc>
        <w:tc>
          <w:tcPr>
            <w:tcW w:w="692" w:type="pct"/>
            <w:tcBorders>
              <w:top w:val="nil"/>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1 899</w:t>
            </w:r>
          </w:p>
        </w:tc>
        <w:tc>
          <w:tcPr>
            <w:tcW w:w="620" w:type="pct"/>
            <w:tcBorders>
              <w:top w:val="nil"/>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2 386</w:t>
            </w:r>
          </w:p>
        </w:tc>
        <w:tc>
          <w:tcPr>
            <w:tcW w:w="520" w:type="pct"/>
            <w:tcBorders>
              <w:top w:val="nil"/>
              <w:left w:val="nil"/>
              <w:bottom w:val="nil"/>
              <w:right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3 438</w:t>
            </w:r>
          </w:p>
        </w:tc>
        <w:tc>
          <w:tcPr>
            <w:tcW w:w="727" w:type="pct"/>
            <w:tcBorders>
              <w:top w:val="nil"/>
              <w:left w:val="nil"/>
              <w:bottom w:val="nil"/>
            </w:tcBorders>
            <w:vAlign w:val="center"/>
          </w:tcPr>
          <w:p w:rsidR="00565FD5" w:rsidRPr="009B3D4C" w:rsidRDefault="00565FD5" w:rsidP="00AB62A3">
            <w:pPr>
              <w:spacing w:after="60"/>
              <w:ind w:right="57"/>
              <w:jc w:val="right"/>
              <w:rPr>
                <w:rFonts w:cs="Tahoma"/>
                <w:sz w:val="16"/>
                <w:szCs w:val="16"/>
                <w:vertAlign w:val="superscript"/>
              </w:rPr>
            </w:pPr>
            <w:r w:rsidRPr="009B3D4C">
              <w:rPr>
                <w:rFonts w:cs="Tahoma"/>
                <w:sz w:val="16"/>
                <w:szCs w:val="16"/>
              </w:rPr>
              <w:t>4 212(3)</w:t>
            </w:r>
          </w:p>
        </w:tc>
      </w:tr>
      <w:tr w:rsidR="00565FD5" w:rsidRPr="009B3D4C" w:rsidTr="00AB62A3">
        <w:trPr>
          <w:trHeight w:val="25"/>
        </w:trPr>
        <w:tc>
          <w:tcPr>
            <w:tcW w:w="2442" w:type="pct"/>
            <w:gridSpan w:val="2"/>
            <w:tcBorders>
              <w:top w:val="nil"/>
              <w:bottom w:val="nil"/>
              <w:right w:val="nil"/>
            </w:tcBorders>
            <w:tcMar>
              <w:top w:w="15" w:type="dxa"/>
              <w:left w:w="15" w:type="dxa"/>
              <w:bottom w:w="0" w:type="dxa"/>
              <w:right w:w="15" w:type="dxa"/>
            </w:tcMar>
            <w:vAlign w:val="bottom"/>
          </w:tcPr>
          <w:p w:rsidR="00565FD5" w:rsidRPr="009B3D4C" w:rsidRDefault="00565FD5" w:rsidP="00AB62A3">
            <w:pPr>
              <w:spacing w:after="60"/>
              <w:rPr>
                <w:rFonts w:eastAsia="Arial Unicode MS" w:cs="Tahoma"/>
                <w:sz w:val="16"/>
                <w:szCs w:val="16"/>
              </w:rPr>
            </w:pPr>
            <w:r w:rsidRPr="009B3D4C">
              <w:rPr>
                <w:rFonts w:cs="Tahoma"/>
                <w:sz w:val="16"/>
                <w:szCs w:val="16"/>
              </w:rPr>
              <w:t>Kurulan İşletme Sayısı</w:t>
            </w:r>
          </w:p>
        </w:tc>
        <w:tc>
          <w:tcPr>
            <w:tcW w:w="692" w:type="pct"/>
            <w:tcBorders>
              <w:top w:val="nil"/>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eastAsia="Arial Unicode MS" w:cs="Tahoma"/>
                <w:sz w:val="16"/>
                <w:szCs w:val="16"/>
              </w:rPr>
            </w:pPr>
            <w:r w:rsidRPr="009B3D4C">
              <w:rPr>
                <w:rFonts w:eastAsia="Arial Unicode MS" w:cs="Tahoma"/>
                <w:sz w:val="16"/>
                <w:szCs w:val="16"/>
              </w:rPr>
              <w:t>842</w:t>
            </w:r>
          </w:p>
        </w:tc>
        <w:tc>
          <w:tcPr>
            <w:tcW w:w="620" w:type="pct"/>
            <w:tcBorders>
              <w:top w:val="nil"/>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963</w:t>
            </w:r>
          </w:p>
        </w:tc>
        <w:tc>
          <w:tcPr>
            <w:tcW w:w="520" w:type="pct"/>
            <w:tcBorders>
              <w:top w:val="nil"/>
              <w:left w:val="nil"/>
              <w:bottom w:val="nil"/>
              <w:right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1025</w:t>
            </w:r>
          </w:p>
        </w:tc>
        <w:tc>
          <w:tcPr>
            <w:tcW w:w="727" w:type="pct"/>
            <w:tcBorders>
              <w:top w:val="nil"/>
              <w:left w:val="nil"/>
              <w:bottom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475(2)</w:t>
            </w:r>
          </w:p>
        </w:tc>
      </w:tr>
      <w:tr w:rsidR="00565FD5" w:rsidRPr="009B3D4C" w:rsidTr="00AB62A3">
        <w:trPr>
          <w:trHeight w:val="25"/>
        </w:trPr>
        <w:tc>
          <w:tcPr>
            <w:tcW w:w="2442" w:type="pct"/>
            <w:gridSpan w:val="2"/>
            <w:tcBorders>
              <w:top w:val="nil"/>
              <w:bottom w:val="nil"/>
              <w:right w:val="nil"/>
            </w:tcBorders>
            <w:tcMar>
              <w:top w:w="15" w:type="dxa"/>
              <w:left w:w="15" w:type="dxa"/>
              <w:bottom w:w="0" w:type="dxa"/>
              <w:right w:w="15" w:type="dxa"/>
            </w:tcMar>
            <w:vAlign w:val="bottom"/>
          </w:tcPr>
          <w:p w:rsidR="00565FD5" w:rsidRPr="009B3D4C" w:rsidRDefault="00565FD5" w:rsidP="00AB62A3">
            <w:pPr>
              <w:spacing w:after="60"/>
              <w:rPr>
                <w:rFonts w:eastAsia="Arial Unicode MS" w:cs="Tahoma"/>
                <w:sz w:val="16"/>
                <w:szCs w:val="16"/>
              </w:rPr>
            </w:pPr>
            <w:r w:rsidRPr="009B3D4C">
              <w:rPr>
                <w:rFonts w:cs="Tahoma"/>
                <w:sz w:val="16"/>
                <w:szCs w:val="16"/>
              </w:rPr>
              <w:t>Kapanan İşletme Sayısı</w:t>
            </w:r>
          </w:p>
        </w:tc>
        <w:tc>
          <w:tcPr>
            <w:tcW w:w="692" w:type="pct"/>
            <w:tcBorders>
              <w:top w:val="nil"/>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eastAsia="Arial Unicode MS" w:cs="Tahoma"/>
                <w:sz w:val="16"/>
                <w:szCs w:val="16"/>
              </w:rPr>
            </w:pPr>
            <w:r w:rsidRPr="009B3D4C">
              <w:rPr>
                <w:rFonts w:eastAsia="Arial Unicode MS" w:cs="Tahoma"/>
                <w:sz w:val="16"/>
                <w:szCs w:val="16"/>
              </w:rPr>
              <w:t>150</w:t>
            </w:r>
          </w:p>
        </w:tc>
        <w:tc>
          <w:tcPr>
            <w:tcW w:w="620" w:type="pct"/>
            <w:tcBorders>
              <w:top w:val="nil"/>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161</w:t>
            </w:r>
          </w:p>
        </w:tc>
        <w:tc>
          <w:tcPr>
            <w:tcW w:w="520" w:type="pct"/>
            <w:tcBorders>
              <w:top w:val="nil"/>
              <w:left w:val="nil"/>
              <w:bottom w:val="nil"/>
              <w:right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195</w:t>
            </w:r>
          </w:p>
        </w:tc>
        <w:tc>
          <w:tcPr>
            <w:tcW w:w="727" w:type="pct"/>
            <w:tcBorders>
              <w:top w:val="nil"/>
              <w:left w:val="nil"/>
              <w:bottom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128(2)</w:t>
            </w:r>
          </w:p>
        </w:tc>
      </w:tr>
      <w:tr w:rsidR="00565FD5" w:rsidRPr="009B3D4C" w:rsidTr="00AB62A3">
        <w:trPr>
          <w:trHeight w:val="25"/>
        </w:trPr>
        <w:tc>
          <w:tcPr>
            <w:tcW w:w="2442" w:type="pct"/>
            <w:gridSpan w:val="2"/>
            <w:tcBorders>
              <w:top w:val="nil"/>
              <w:right w:val="nil"/>
            </w:tcBorders>
            <w:tcMar>
              <w:top w:w="15" w:type="dxa"/>
              <w:left w:w="15" w:type="dxa"/>
              <w:bottom w:w="0" w:type="dxa"/>
              <w:right w:w="15" w:type="dxa"/>
            </w:tcMar>
          </w:tcPr>
          <w:p w:rsidR="00565FD5" w:rsidRPr="009B3D4C" w:rsidRDefault="00565FD5" w:rsidP="00AB62A3">
            <w:pPr>
              <w:spacing w:after="60"/>
              <w:rPr>
                <w:rFonts w:eastAsia="Arial Unicode MS" w:cs="Tahoma"/>
                <w:sz w:val="16"/>
                <w:szCs w:val="16"/>
              </w:rPr>
            </w:pPr>
            <w:r w:rsidRPr="009B3D4C">
              <w:rPr>
                <w:rFonts w:cs="Tahoma"/>
                <w:sz w:val="16"/>
                <w:szCs w:val="16"/>
              </w:rPr>
              <w:t xml:space="preserve">Ruhsat Müracaatı Sayısı </w:t>
            </w:r>
          </w:p>
        </w:tc>
        <w:tc>
          <w:tcPr>
            <w:tcW w:w="692" w:type="pct"/>
            <w:tcBorders>
              <w:top w:val="nil"/>
              <w:left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eastAsia="Arial Unicode MS" w:cs="Tahoma"/>
                <w:sz w:val="16"/>
                <w:szCs w:val="16"/>
              </w:rPr>
            </w:pPr>
            <w:r w:rsidRPr="009B3D4C">
              <w:rPr>
                <w:rFonts w:eastAsia="Arial Unicode MS" w:cs="Tahoma"/>
                <w:sz w:val="16"/>
                <w:szCs w:val="16"/>
              </w:rPr>
              <w:t>10 377</w:t>
            </w:r>
          </w:p>
        </w:tc>
        <w:tc>
          <w:tcPr>
            <w:tcW w:w="620" w:type="pct"/>
            <w:tcBorders>
              <w:top w:val="nil"/>
              <w:left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9 461</w:t>
            </w:r>
          </w:p>
        </w:tc>
        <w:tc>
          <w:tcPr>
            <w:tcW w:w="520" w:type="pct"/>
            <w:tcBorders>
              <w:top w:val="nil"/>
              <w:left w:val="nil"/>
              <w:right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4 342</w:t>
            </w:r>
          </w:p>
        </w:tc>
        <w:tc>
          <w:tcPr>
            <w:tcW w:w="727" w:type="pct"/>
            <w:tcBorders>
              <w:top w:val="nil"/>
              <w:left w:val="nil"/>
            </w:tcBorders>
            <w:vAlign w:val="center"/>
          </w:tcPr>
          <w:p w:rsidR="00565FD5" w:rsidRPr="009B3D4C" w:rsidRDefault="00565FD5" w:rsidP="00AB62A3">
            <w:pPr>
              <w:spacing w:after="60"/>
              <w:ind w:right="57"/>
              <w:jc w:val="right"/>
              <w:rPr>
                <w:rFonts w:cs="Tahoma"/>
                <w:sz w:val="16"/>
                <w:szCs w:val="16"/>
                <w:vertAlign w:val="superscript"/>
              </w:rPr>
            </w:pPr>
            <w:r w:rsidRPr="009B3D4C">
              <w:rPr>
                <w:rFonts w:cs="Tahoma"/>
                <w:sz w:val="16"/>
                <w:szCs w:val="16"/>
              </w:rPr>
              <w:t>3 845(2)</w:t>
            </w:r>
          </w:p>
        </w:tc>
      </w:tr>
      <w:tr w:rsidR="00565FD5" w:rsidRPr="009B3D4C" w:rsidTr="00AB62A3">
        <w:trPr>
          <w:cantSplit/>
          <w:trHeight w:val="25"/>
        </w:trPr>
        <w:tc>
          <w:tcPr>
            <w:tcW w:w="1141" w:type="pct"/>
            <w:vMerge w:val="restart"/>
            <w:tcMar>
              <w:top w:w="15" w:type="dxa"/>
              <w:left w:w="15" w:type="dxa"/>
              <w:bottom w:w="0" w:type="dxa"/>
              <w:right w:w="15" w:type="dxa"/>
            </w:tcMar>
            <w:vAlign w:val="center"/>
          </w:tcPr>
          <w:p w:rsidR="00565FD5" w:rsidRPr="009B3D4C" w:rsidRDefault="00565FD5" w:rsidP="00AB62A3">
            <w:pPr>
              <w:spacing w:after="60"/>
              <w:rPr>
                <w:rFonts w:cs="Tahoma"/>
                <w:sz w:val="16"/>
                <w:szCs w:val="16"/>
              </w:rPr>
            </w:pPr>
            <w:r w:rsidRPr="009B3D4C">
              <w:rPr>
                <w:rFonts w:cs="Tahoma"/>
                <w:sz w:val="16"/>
                <w:szCs w:val="16"/>
              </w:rPr>
              <w:t>Verilen Ruhsat</w:t>
            </w:r>
          </w:p>
          <w:p w:rsidR="00565FD5" w:rsidRPr="009B3D4C" w:rsidRDefault="00565FD5" w:rsidP="00AB62A3">
            <w:pPr>
              <w:spacing w:after="60"/>
              <w:rPr>
                <w:rFonts w:eastAsia="Arial Unicode MS" w:cs="Tahoma"/>
                <w:sz w:val="16"/>
                <w:szCs w:val="16"/>
              </w:rPr>
            </w:pPr>
            <w:r w:rsidRPr="009B3D4C">
              <w:rPr>
                <w:rFonts w:cs="Tahoma"/>
                <w:sz w:val="16"/>
                <w:szCs w:val="16"/>
              </w:rPr>
              <w:t>Sayısı</w:t>
            </w:r>
          </w:p>
        </w:tc>
        <w:tc>
          <w:tcPr>
            <w:tcW w:w="1300" w:type="pct"/>
            <w:tcBorders>
              <w:bottom w:val="nil"/>
              <w:right w:val="nil"/>
            </w:tcBorders>
            <w:tcMar>
              <w:top w:w="15" w:type="dxa"/>
              <w:left w:w="15" w:type="dxa"/>
              <w:bottom w:w="0" w:type="dxa"/>
              <w:right w:w="15" w:type="dxa"/>
            </w:tcMar>
            <w:vAlign w:val="bottom"/>
          </w:tcPr>
          <w:p w:rsidR="00565FD5" w:rsidRPr="009B3D4C" w:rsidRDefault="00565FD5" w:rsidP="00AB62A3">
            <w:pPr>
              <w:spacing w:after="60"/>
              <w:ind w:right="57"/>
              <w:rPr>
                <w:rFonts w:eastAsia="Arial Unicode MS" w:cs="Tahoma"/>
                <w:sz w:val="16"/>
                <w:szCs w:val="16"/>
              </w:rPr>
            </w:pPr>
            <w:r w:rsidRPr="009B3D4C">
              <w:rPr>
                <w:rFonts w:eastAsia="Arial Unicode MS" w:cs="Tahoma"/>
                <w:sz w:val="16"/>
                <w:szCs w:val="16"/>
              </w:rPr>
              <w:t>Arama</w:t>
            </w:r>
          </w:p>
        </w:tc>
        <w:tc>
          <w:tcPr>
            <w:tcW w:w="692" w:type="pct"/>
            <w:tcBorders>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3 816</w:t>
            </w:r>
          </w:p>
        </w:tc>
        <w:tc>
          <w:tcPr>
            <w:tcW w:w="620" w:type="pct"/>
            <w:tcBorders>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eastAsia="Arial Unicode MS" w:cs="Tahoma"/>
                <w:sz w:val="16"/>
                <w:szCs w:val="16"/>
              </w:rPr>
            </w:pPr>
            <w:r w:rsidRPr="009B3D4C">
              <w:rPr>
                <w:rFonts w:eastAsia="Arial Unicode MS" w:cs="Tahoma"/>
                <w:sz w:val="16"/>
                <w:szCs w:val="16"/>
              </w:rPr>
              <w:t>4 740</w:t>
            </w:r>
          </w:p>
        </w:tc>
        <w:tc>
          <w:tcPr>
            <w:tcW w:w="520" w:type="pct"/>
            <w:tcBorders>
              <w:left w:val="nil"/>
              <w:bottom w:val="nil"/>
              <w:right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2 049</w:t>
            </w:r>
          </w:p>
        </w:tc>
        <w:tc>
          <w:tcPr>
            <w:tcW w:w="727" w:type="pct"/>
            <w:tcBorders>
              <w:left w:val="nil"/>
              <w:bottom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1 968(2)</w:t>
            </w:r>
          </w:p>
        </w:tc>
      </w:tr>
      <w:tr w:rsidR="00565FD5" w:rsidRPr="009B3D4C" w:rsidTr="00AB62A3">
        <w:trPr>
          <w:cantSplit/>
          <w:trHeight w:val="25"/>
        </w:trPr>
        <w:tc>
          <w:tcPr>
            <w:tcW w:w="1141" w:type="pct"/>
            <w:vMerge/>
            <w:tcMar>
              <w:top w:w="15" w:type="dxa"/>
              <w:left w:w="15" w:type="dxa"/>
              <w:bottom w:w="0" w:type="dxa"/>
              <w:right w:w="15" w:type="dxa"/>
            </w:tcMar>
          </w:tcPr>
          <w:p w:rsidR="00565FD5" w:rsidRPr="009B3D4C" w:rsidRDefault="00565FD5" w:rsidP="00AB62A3">
            <w:pPr>
              <w:spacing w:after="60"/>
              <w:rPr>
                <w:rFonts w:cs="Tahoma"/>
                <w:sz w:val="16"/>
                <w:szCs w:val="16"/>
              </w:rPr>
            </w:pPr>
          </w:p>
        </w:tc>
        <w:tc>
          <w:tcPr>
            <w:tcW w:w="1300" w:type="pct"/>
            <w:tcBorders>
              <w:top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rPr>
                <w:rFonts w:cs="Tahoma"/>
                <w:sz w:val="16"/>
                <w:szCs w:val="16"/>
              </w:rPr>
            </w:pPr>
            <w:r w:rsidRPr="009B3D4C">
              <w:rPr>
                <w:rFonts w:cs="Tahoma"/>
                <w:sz w:val="16"/>
                <w:szCs w:val="16"/>
              </w:rPr>
              <w:t>İşletme</w:t>
            </w:r>
          </w:p>
        </w:tc>
        <w:tc>
          <w:tcPr>
            <w:tcW w:w="692" w:type="pct"/>
            <w:tcBorders>
              <w:top w:val="nil"/>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1 107</w:t>
            </w:r>
          </w:p>
        </w:tc>
        <w:tc>
          <w:tcPr>
            <w:tcW w:w="620" w:type="pct"/>
            <w:tcBorders>
              <w:top w:val="nil"/>
              <w:left w:val="nil"/>
              <w:bottom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2 054</w:t>
            </w:r>
          </w:p>
        </w:tc>
        <w:tc>
          <w:tcPr>
            <w:tcW w:w="520" w:type="pct"/>
            <w:tcBorders>
              <w:top w:val="nil"/>
              <w:left w:val="nil"/>
              <w:bottom w:val="nil"/>
              <w:right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1 405</w:t>
            </w:r>
          </w:p>
        </w:tc>
        <w:tc>
          <w:tcPr>
            <w:tcW w:w="727" w:type="pct"/>
            <w:tcBorders>
              <w:top w:val="nil"/>
              <w:left w:val="nil"/>
              <w:bottom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1 211(2)</w:t>
            </w:r>
          </w:p>
        </w:tc>
      </w:tr>
      <w:tr w:rsidR="00565FD5" w:rsidRPr="009B3D4C" w:rsidTr="00AB62A3">
        <w:trPr>
          <w:cantSplit/>
          <w:trHeight w:val="25"/>
        </w:trPr>
        <w:tc>
          <w:tcPr>
            <w:tcW w:w="1141" w:type="pct"/>
            <w:vMerge/>
            <w:tcMar>
              <w:top w:w="15" w:type="dxa"/>
              <w:left w:w="15" w:type="dxa"/>
              <w:bottom w:w="0" w:type="dxa"/>
              <w:right w:w="15" w:type="dxa"/>
            </w:tcMar>
          </w:tcPr>
          <w:p w:rsidR="00565FD5" w:rsidRPr="009B3D4C" w:rsidRDefault="00565FD5" w:rsidP="00AB62A3">
            <w:pPr>
              <w:spacing w:after="60"/>
              <w:rPr>
                <w:rFonts w:cs="Tahoma"/>
                <w:sz w:val="16"/>
                <w:szCs w:val="16"/>
              </w:rPr>
            </w:pPr>
          </w:p>
        </w:tc>
        <w:tc>
          <w:tcPr>
            <w:tcW w:w="1300" w:type="pct"/>
            <w:tcBorders>
              <w:top w:val="nil"/>
              <w:right w:val="nil"/>
            </w:tcBorders>
            <w:tcMar>
              <w:top w:w="15" w:type="dxa"/>
              <w:left w:w="15" w:type="dxa"/>
              <w:bottom w:w="0" w:type="dxa"/>
              <w:right w:w="15" w:type="dxa"/>
            </w:tcMar>
            <w:vAlign w:val="bottom"/>
          </w:tcPr>
          <w:p w:rsidR="00565FD5" w:rsidRPr="009B3D4C" w:rsidRDefault="00565FD5" w:rsidP="00AB62A3">
            <w:pPr>
              <w:spacing w:after="60"/>
              <w:ind w:right="57"/>
              <w:rPr>
                <w:rFonts w:cs="Tahoma"/>
                <w:sz w:val="16"/>
                <w:szCs w:val="16"/>
              </w:rPr>
            </w:pPr>
            <w:r w:rsidRPr="009B3D4C">
              <w:rPr>
                <w:rFonts w:cs="Tahoma"/>
                <w:sz w:val="16"/>
                <w:szCs w:val="16"/>
              </w:rPr>
              <w:t>Toplam</w:t>
            </w:r>
          </w:p>
        </w:tc>
        <w:tc>
          <w:tcPr>
            <w:tcW w:w="692" w:type="pct"/>
            <w:tcBorders>
              <w:top w:val="nil"/>
              <w:left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4 923</w:t>
            </w:r>
          </w:p>
        </w:tc>
        <w:tc>
          <w:tcPr>
            <w:tcW w:w="620" w:type="pct"/>
            <w:tcBorders>
              <w:top w:val="nil"/>
              <w:left w:val="nil"/>
              <w:right w:val="nil"/>
            </w:tcBorders>
            <w:tcMar>
              <w:top w:w="15" w:type="dxa"/>
              <w:left w:w="15" w:type="dxa"/>
              <w:bottom w:w="0" w:type="dxa"/>
              <w:right w:w="15" w:type="dxa"/>
            </w:tcMar>
            <w:vAlign w:val="bottom"/>
          </w:tcPr>
          <w:p w:rsidR="00565FD5" w:rsidRPr="009B3D4C" w:rsidRDefault="00565FD5" w:rsidP="00AB62A3">
            <w:pPr>
              <w:spacing w:after="60"/>
              <w:ind w:right="57"/>
              <w:jc w:val="right"/>
              <w:rPr>
                <w:rFonts w:cs="Tahoma"/>
                <w:sz w:val="16"/>
                <w:szCs w:val="16"/>
              </w:rPr>
            </w:pPr>
            <w:r w:rsidRPr="009B3D4C">
              <w:rPr>
                <w:rFonts w:cs="Tahoma"/>
                <w:sz w:val="16"/>
                <w:szCs w:val="16"/>
              </w:rPr>
              <w:t>6 794</w:t>
            </w:r>
          </w:p>
        </w:tc>
        <w:tc>
          <w:tcPr>
            <w:tcW w:w="520" w:type="pct"/>
            <w:tcBorders>
              <w:top w:val="nil"/>
              <w:left w:val="nil"/>
              <w:right w:val="nil"/>
            </w:tcBorders>
            <w:vAlign w:val="center"/>
          </w:tcPr>
          <w:p w:rsidR="00565FD5" w:rsidRPr="009B3D4C" w:rsidRDefault="00565FD5" w:rsidP="00AB62A3">
            <w:pPr>
              <w:spacing w:after="60"/>
              <w:ind w:right="57"/>
              <w:jc w:val="right"/>
              <w:rPr>
                <w:rFonts w:cs="Tahoma"/>
                <w:sz w:val="16"/>
                <w:szCs w:val="16"/>
              </w:rPr>
            </w:pPr>
            <w:r w:rsidRPr="009B3D4C">
              <w:rPr>
                <w:rFonts w:cs="Tahoma"/>
                <w:sz w:val="16"/>
                <w:szCs w:val="16"/>
              </w:rPr>
              <w:t>3 454</w:t>
            </w:r>
          </w:p>
        </w:tc>
        <w:tc>
          <w:tcPr>
            <w:tcW w:w="727" w:type="pct"/>
            <w:tcBorders>
              <w:top w:val="nil"/>
              <w:left w:val="nil"/>
            </w:tcBorders>
            <w:vAlign w:val="center"/>
          </w:tcPr>
          <w:p w:rsidR="00565FD5" w:rsidRPr="009B3D4C" w:rsidRDefault="00565FD5" w:rsidP="00AB62A3">
            <w:pPr>
              <w:spacing w:after="60"/>
              <w:ind w:right="57"/>
              <w:jc w:val="right"/>
              <w:rPr>
                <w:rFonts w:cs="Tahoma"/>
                <w:sz w:val="16"/>
                <w:szCs w:val="16"/>
                <w:vertAlign w:val="superscript"/>
              </w:rPr>
            </w:pPr>
            <w:r w:rsidRPr="009B3D4C">
              <w:rPr>
                <w:rFonts w:cs="Tahoma"/>
                <w:sz w:val="16"/>
                <w:szCs w:val="16"/>
              </w:rPr>
              <w:t>3 179(2)</w:t>
            </w:r>
          </w:p>
        </w:tc>
      </w:tr>
    </w:tbl>
    <w:p w:rsidR="00565FD5" w:rsidRPr="009B3D4C" w:rsidRDefault="00565FD5" w:rsidP="00565FD5">
      <w:pPr>
        <w:rPr>
          <w:rFonts w:cs="Tahoma"/>
          <w:sz w:val="14"/>
          <w:szCs w:val="14"/>
        </w:rPr>
      </w:pPr>
      <w:r w:rsidRPr="009B3D4C">
        <w:rPr>
          <w:rFonts w:cs="Tahoma"/>
          <w:sz w:val="14"/>
          <w:szCs w:val="14"/>
        </w:rPr>
        <w:t xml:space="preserve">Kaynak: TÜİK, Kalkınma Bakanlığı, TOBB, MİGEM </w:t>
      </w:r>
    </w:p>
    <w:p w:rsidR="00565FD5" w:rsidRPr="009B3D4C" w:rsidRDefault="00565FD5" w:rsidP="00565FD5">
      <w:pPr>
        <w:rPr>
          <w:rFonts w:cs="Tahoma"/>
          <w:sz w:val="14"/>
          <w:szCs w:val="14"/>
        </w:rPr>
      </w:pPr>
      <w:r w:rsidRPr="009B3D4C">
        <w:rPr>
          <w:rFonts w:cs="Tahoma"/>
          <w:sz w:val="14"/>
          <w:szCs w:val="14"/>
        </w:rPr>
        <w:t xml:space="preserve">(1) Ocak-Haziran dönemi </w:t>
      </w:r>
    </w:p>
    <w:p w:rsidR="00565FD5" w:rsidRPr="009B3D4C" w:rsidRDefault="00565FD5" w:rsidP="00565FD5">
      <w:pPr>
        <w:rPr>
          <w:rFonts w:cs="Tahoma"/>
          <w:sz w:val="14"/>
          <w:szCs w:val="14"/>
        </w:rPr>
      </w:pPr>
      <w:r w:rsidRPr="009B3D4C">
        <w:rPr>
          <w:rFonts w:cs="Tahoma"/>
          <w:sz w:val="14"/>
          <w:szCs w:val="14"/>
        </w:rPr>
        <w:t>(2) Ocak-Ağustos dönemi</w:t>
      </w:r>
    </w:p>
    <w:p w:rsidR="00565FD5" w:rsidRPr="009B3D4C" w:rsidRDefault="00565FD5" w:rsidP="00565FD5">
      <w:pPr>
        <w:rPr>
          <w:rFonts w:cs="Tahoma"/>
          <w:sz w:val="14"/>
          <w:szCs w:val="14"/>
        </w:rPr>
      </w:pPr>
      <w:r w:rsidRPr="009B3D4C">
        <w:rPr>
          <w:rFonts w:cs="Tahoma"/>
          <w:sz w:val="14"/>
          <w:szCs w:val="14"/>
        </w:rPr>
        <w:t xml:space="preserve">(3) </w:t>
      </w:r>
      <w:r>
        <w:rPr>
          <w:rFonts w:cs="Tahoma"/>
          <w:sz w:val="14"/>
          <w:szCs w:val="14"/>
        </w:rPr>
        <w:t>Gerçekleşme Tahmini</w:t>
      </w:r>
    </w:p>
    <w:p w:rsidR="00565FD5" w:rsidRPr="009B3D4C" w:rsidRDefault="00565FD5" w:rsidP="00565FD5">
      <w:pPr>
        <w:spacing w:before="120" w:after="120"/>
        <w:rPr>
          <w:rFonts w:cs="Tahoma"/>
          <w:szCs w:val="18"/>
        </w:rPr>
      </w:pPr>
      <w:r w:rsidRPr="009B3D4C">
        <w:rPr>
          <w:rFonts w:eastAsia="Arial Unicode MS" w:cs="Tahoma"/>
          <w:sz w:val="24"/>
          <w:szCs w:val="24"/>
        </w:rPr>
        <w:tab/>
      </w:r>
      <w:r w:rsidRPr="009B3D4C">
        <w:rPr>
          <w:rFonts w:cs="Tahoma"/>
          <w:szCs w:val="18"/>
        </w:rPr>
        <w:t xml:space="preserve">Petrol ve doğal gazda halen son derece yetersiz olan yerli üretimin ülke talebini karşılama oranını yükseltmek amacıyla, TPAO’nun arama ve üretim yatırımlarına ağırlık vermesi yönündeki politika, özellikle denizlerimizdeki çalışmalarla sürdürülmüştür. Halen TPAO, hem yabancı firmalarla ortak hem de tek başına projeler yürütmektedir. Bu kapsamda sürdürülen büyük ölçekli yatırımlar 2011 ve 2012 yıllarında da devam etmiştir. Önümüzdeki dönemde de bu politika ve yüksek düzeyli yatırımlar devam ettirilecektir.  </w:t>
      </w:r>
    </w:p>
    <w:p w:rsidR="00565FD5" w:rsidRPr="009B3D4C" w:rsidRDefault="00565FD5" w:rsidP="00565FD5">
      <w:pPr>
        <w:spacing w:after="180"/>
        <w:rPr>
          <w:rFonts w:cs="Tahoma"/>
          <w:szCs w:val="18"/>
          <w:highlight w:val="yellow"/>
        </w:rPr>
      </w:pPr>
      <w:r>
        <w:rPr>
          <w:rFonts w:cs="Tahoma"/>
          <w:szCs w:val="18"/>
        </w:rPr>
        <w:tab/>
      </w:r>
      <w:r w:rsidRPr="009B3D4C">
        <w:rPr>
          <w:rFonts w:cs="Tahoma"/>
          <w:szCs w:val="18"/>
        </w:rPr>
        <w:t xml:space="preserve">TPAO’nun petrol ve doğal gaz arama çalışmalarına 2012-2013 yıllarında Karadeniz ve ağırlıklı olarak Akdeniz’deki derin deniz sondajları ile devam etmesi planlanmıştır. Bu kapsamda, 2013 yılında Akdeniz’de, TPAO tarafından iki adet derin deniz sondajı yapılması programlanmıştır. </w:t>
      </w:r>
      <w:r>
        <w:rPr>
          <w:rFonts w:cs="Tahoma"/>
          <w:szCs w:val="18"/>
        </w:rPr>
        <w:t xml:space="preserve">Ayrıca, TPAO tarafından denizlerdeki petrol ve doğal gaz aramalarında kullanılmak üzere bir sismik geminin satın alınması işlemleri yürütülmekte olup, 2013 yılında kullanıma geçmesi beklenmektedir. </w:t>
      </w:r>
    </w:p>
    <w:p w:rsidR="00565FD5" w:rsidRPr="009B3D4C" w:rsidRDefault="00565FD5" w:rsidP="00565FD5">
      <w:pPr>
        <w:spacing w:after="120"/>
        <w:rPr>
          <w:rFonts w:cs="Tahoma"/>
          <w:szCs w:val="18"/>
        </w:rPr>
      </w:pPr>
      <w:r>
        <w:rPr>
          <w:rFonts w:cs="Tahoma"/>
          <w:szCs w:val="18"/>
        </w:rPr>
        <w:tab/>
      </w:r>
      <w:r w:rsidRPr="009B3D4C">
        <w:rPr>
          <w:rFonts w:cs="Tahoma"/>
          <w:szCs w:val="18"/>
        </w:rPr>
        <w:t xml:space="preserve">Doğal gaz arz güvenliğini sağlamak ve talepteki mevsimsel değişiklikleri karşılamak amacıyla 2007 yılının Nisan ayında devreye alınan Trakya’daki Silivri doğal gaz depolama tesislerinin depolama, enjeksiyon ve geri üretim kapasitelerinin artırılması amacıyla 3 faz halinde programlanan Kuzey Marmara </w:t>
      </w:r>
      <w:r w:rsidRPr="009B3D4C">
        <w:rPr>
          <w:rFonts w:cs="Tahoma"/>
          <w:szCs w:val="18"/>
        </w:rPr>
        <w:lastRenderedPageBreak/>
        <w:t>ve Değirmenköy Sahaları Yeraltı Doğal Gaz Depolama Tesisleri Kapasite Artırımı Projesi devam etmektedir. Bu projelerin tamamlanması sonucunda, mevcut depolama kapasitesinin 1,6 milyar Sm</w:t>
      </w:r>
      <w:r w:rsidRPr="009B3D4C">
        <w:rPr>
          <w:rFonts w:cs="Tahoma"/>
          <w:szCs w:val="18"/>
          <w:vertAlign w:val="superscript"/>
        </w:rPr>
        <w:t>3</w:t>
      </w:r>
      <w:r w:rsidRPr="009B3D4C">
        <w:rPr>
          <w:rFonts w:cs="Tahoma"/>
          <w:szCs w:val="18"/>
        </w:rPr>
        <w:t>’ten 2,83 milyar Sm</w:t>
      </w:r>
      <w:r w:rsidRPr="009B3D4C">
        <w:rPr>
          <w:rFonts w:cs="Tahoma"/>
          <w:szCs w:val="18"/>
          <w:vertAlign w:val="superscript"/>
        </w:rPr>
        <w:t>3</w:t>
      </w:r>
      <w:r w:rsidRPr="009B3D4C">
        <w:rPr>
          <w:rFonts w:cs="Tahoma"/>
          <w:szCs w:val="18"/>
        </w:rPr>
        <w:t>’e, enjeksiyon kapasitesinin 10 milyon Sm</w:t>
      </w:r>
      <w:r w:rsidRPr="009B3D4C">
        <w:rPr>
          <w:rFonts w:cs="Tahoma"/>
          <w:szCs w:val="18"/>
          <w:vertAlign w:val="superscript"/>
        </w:rPr>
        <w:t>3</w:t>
      </w:r>
      <w:r w:rsidRPr="009B3D4C">
        <w:rPr>
          <w:rFonts w:cs="Tahoma"/>
          <w:szCs w:val="18"/>
        </w:rPr>
        <w:t>/gün’den 24 milyon Sm</w:t>
      </w:r>
      <w:r w:rsidRPr="009B3D4C">
        <w:rPr>
          <w:rFonts w:cs="Tahoma"/>
          <w:szCs w:val="18"/>
          <w:vertAlign w:val="superscript"/>
        </w:rPr>
        <w:t>3</w:t>
      </w:r>
      <w:r w:rsidRPr="009B3D4C">
        <w:rPr>
          <w:rFonts w:cs="Tahoma"/>
          <w:szCs w:val="18"/>
        </w:rPr>
        <w:t>/gün’e ve geri üretim kapasitesinin 14 milyon Sm</w:t>
      </w:r>
      <w:r w:rsidRPr="009B3D4C">
        <w:rPr>
          <w:rFonts w:cs="Tahoma"/>
          <w:szCs w:val="18"/>
          <w:vertAlign w:val="superscript"/>
        </w:rPr>
        <w:t>3</w:t>
      </w:r>
      <w:r w:rsidRPr="009B3D4C">
        <w:rPr>
          <w:rFonts w:cs="Tahoma"/>
          <w:szCs w:val="18"/>
        </w:rPr>
        <w:t>/gün’den 50 milyon Sm</w:t>
      </w:r>
      <w:r w:rsidRPr="009B3D4C">
        <w:rPr>
          <w:rFonts w:cs="Tahoma"/>
          <w:szCs w:val="18"/>
          <w:vertAlign w:val="superscript"/>
        </w:rPr>
        <w:t>3</w:t>
      </w:r>
      <w:r w:rsidRPr="009B3D4C">
        <w:rPr>
          <w:rFonts w:cs="Tahoma"/>
          <w:szCs w:val="18"/>
        </w:rPr>
        <w:t>/gün’e çıkarılması hedeflenmektedir.</w:t>
      </w:r>
    </w:p>
    <w:p w:rsidR="00565FD5" w:rsidRPr="00AB66CA" w:rsidRDefault="00565FD5" w:rsidP="00565FD5">
      <w:pPr>
        <w:spacing w:after="180"/>
        <w:rPr>
          <w:rFonts w:cs="Tahoma"/>
          <w:szCs w:val="18"/>
        </w:rPr>
      </w:pPr>
      <w:r w:rsidRPr="009B3D4C">
        <w:rPr>
          <w:rFonts w:cs="Tahoma"/>
          <w:szCs w:val="18"/>
        </w:rPr>
        <w:tab/>
      </w:r>
      <w:bookmarkStart w:id="1987" w:name="_Toc338505593"/>
      <w:r w:rsidRPr="00AB66CA">
        <w:rPr>
          <w:rFonts w:cs="Tahoma"/>
          <w:szCs w:val="18"/>
        </w:rPr>
        <w:t>2011 yılında MTA bünyesinde Tabiat Tarihi ve Madencilik Müzesi hizmete açılmış, Türkiye diri fay haritasının oluşturulmasına yönelik proje tamamlanmıştır. Ayrıca, deniz alanlarımızda faaliyet gösterecek tam donanımlı bir sismik araştırma gemisi</w:t>
      </w:r>
      <w:r w:rsidRPr="009B3D4C">
        <w:rPr>
          <w:rFonts w:cs="Tahoma"/>
          <w:szCs w:val="18"/>
        </w:rPr>
        <w:t xml:space="preserve"> </w:t>
      </w:r>
      <w:r w:rsidRPr="00AB66CA">
        <w:rPr>
          <w:rFonts w:cs="Tahoma"/>
          <w:szCs w:val="18"/>
        </w:rPr>
        <w:t>için Savunma Sanayi Müsteşarlığı</w:t>
      </w:r>
      <w:r w:rsidRPr="009B3D4C">
        <w:rPr>
          <w:rFonts w:cs="Tahoma"/>
          <w:szCs w:val="18"/>
        </w:rPr>
        <w:t>yla</w:t>
      </w:r>
      <w:r w:rsidRPr="00AB66CA">
        <w:rPr>
          <w:rFonts w:cs="Tahoma"/>
          <w:szCs w:val="18"/>
        </w:rPr>
        <w:t xml:space="preserve"> yapılan işbirliği çerçevesinde gemi yapım çalışmalarına 2012 yılında başlanmıştır. Araştırma gemisinin 2015 yılı itibarıyla faaliyete geçmesi planlanmaktadır. MTA’ya maden ve jeotermal kaynak arama yatırımları için ayrılan kaynak son yıllarda önemli oranda artırılmış olup başlatılmış olan arama faaliyetleri 2013 yılında da sürdürülecektir.</w:t>
      </w:r>
      <w:bookmarkEnd w:id="1987"/>
    </w:p>
    <w:p w:rsidR="00565FD5" w:rsidRPr="009B3D4C" w:rsidRDefault="00565FD5" w:rsidP="00565FD5">
      <w:pPr>
        <w:pStyle w:val="Balk4"/>
        <w:rPr>
          <w:rFonts w:ascii="Cambria" w:hAnsi="Cambria"/>
          <w:i w:val="0"/>
          <w:color w:val="4F81BD"/>
        </w:rPr>
      </w:pPr>
      <w:bookmarkStart w:id="1988" w:name="_Toc338505594"/>
      <w:bookmarkStart w:id="1989" w:name="_Toc338523821"/>
      <w:bookmarkStart w:id="1990" w:name="_Toc338524052"/>
      <w:bookmarkStart w:id="1991" w:name="_Toc338526278"/>
      <w:bookmarkStart w:id="1992" w:name="_Toc338673721"/>
      <w:bookmarkStart w:id="1993" w:name="_Toc338711600"/>
      <w:r w:rsidRPr="009B3D4C">
        <w:t>2. Temel Amaç ve Hedefler</w:t>
      </w:r>
      <w:bookmarkEnd w:id="1976"/>
      <w:bookmarkEnd w:id="1977"/>
      <w:bookmarkEnd w:id="1978"/>
      <w:bookmarkEnd w:id="1979"/>
      <w:bookmarkEnd w:id="1980"/>
      <w:bookmarkEnd w:id="1981"/>
      <w:bookmarkEnd w:id="1988"/>
      <w:bookmarkEnd w:id="1989"/>
      <w:bookmarkEnd w:id="1990"/>
      <w:bookmarkEnd w:id="1991"/>
      <w:bookmarkEnd w:id="1992"/>
      <w:bookmarkEnd w:id="1993"/>
    </w:p>
    <w:p w:rsidR="00565FD5" w:rsidRPr="009B3D4C" w:rsidRDefault="00565FD5" w:rsidP="00565FD5">
      <w:pPr>
        <w:spacing w:after="140"/>
        <w:rPr>
          <w:rFonts w:cs="Tahoma"/>
          <w:szCs w:val="18"/>
        </w:rPr>
      </w:pPr>
      <w:r>
        <w:rPr>
          <w:rFonts w:cs="Tahoma"/>
          <w:szCs w:val="18"/>
        </w:rPr>
        <w:tab/>
      </w:r>
      <w:r w:rsidRPr="009B3D4C">
        <w:rPr>
          <w:rFonts w:cs="Tahoma"/>
          <w:szCs w:val="18"/>
        </w:rPr>
        <w:t>İmalat sanayiinde rekabet gücünü artırmak ve dünya ihracatından daha fazla pay almak üzere yüksek katma değerli mal üretimini artırarak, yapısal dönüşümün hızlandırılması temel amaçtır.</w:t>
      </w:r>
    </w:p>
    <w:p w:rsidR="00565FD5" w:rsidRPr="009B3D4C" w:rsidRDefault="00565FD5" w:rsidP="00565FD5">
      <w:pPr>
        <w:spacing w:after="140"/>
        <w:rPr>
          <w:rFonts w:cs="Tahoma"/>
          <w:szCs w:val="18"/>
        </w:rPr>
      </w:pPr>
      <w:r>
        <w:rPr>
          <w:rFonts w:cs="Tahoma"/>
          <w:szCs w:val="18"/>
        </w:rPr>
        <w:tab/>
      </w:r>
      <w:r w:rsidRPr="009B3D4C">
        <w:rPr>
          <w:rFonts w:cs="Tahoma"/>
          <w:szCs w:val="18"/>
        </w:rPr>
        <w:t xml:space="preserve">Madencilikte hammadde arz güvenliğinin sağlanması, madenlerin yurt içinde işlenerek katma değerinin artırılması yoluyla ülke ekonomisine katkının geliştirilmesi temel amaçtır. Bu kapsamda, enerji sektörünün petrol, doğal gaz ve jeotermal kaynak ile sanayinin hammadde ihtiyacını karşılamak üzere </w:t>
      </w:r>
      <w:r>
        <w:rPr>
          <w:rFonts w:cs="Tahoma"/>
          <w:szCs w:val="18"/>
        </w:rPr>
        <w:t>yurtiçi</w:t>
      </w:r>
      <w:r w:rsidRPr="009B3D4C">
        <w:rPr>
          <w:rFonts w:cs="Tahoma"/>
          <w:szCs w:val="18"/>
        </w:rPr>
        <w:t xml:space="preserve"> ve yurt dışındaki arama çalışmalarına devam edilecektir. Ayrıca, mevcut rezervlerin en etkin şekilde değerlendirilmesi amacıyla kamu elindeki sahaların özel sektör işletmeciliğine sunulması ve ihtiyaç duyulan kurumsal yapılanma çalışmaları sürdürülecektir.</w:t>
      </w:r>
    </w:p>
    <w:p w:rsidR="00565FD5" w:rsidRPr="00AB66CA" w:rsidRDefault="00565FD5" w:rsidP="00565FD5">
      <w:pPr>
        <w:spacing w:after="140"/>
        <w:rPr>
          <w:rFonts w:cs="Tahoma"/>
          <w:szCs w:val="18"/>
        </w:rPr>
      </w:pPr>
      <w:r>
        <w:rPr>
          <w:rFonts w:cs="Tahoma"/>
          <w:szCs w:val="18"/>
        </w:rPr>
        <w:tab/>
      </w:r>
      <w:r w:rsidRPr="009B3D4C">
        <w:rPr>
          <w:rFonts w:cs="Tahoma"/>
          <w:szCs w:val="18"/>
        </w:rPr>
        <w:t>OSB yatırımlarının etkinliğini artırmak amacıyla, öncelikle devam eden OSB projeleri tamamlanacak ve mevcutların doluluk oranlarının artırılmasına yönelik tedbirler alınacaktır.</w:t>
      </w:r>
    </w:p>
    <w:p w:rsidR="00565FD5" w:rsidRPr="00AB66CA" w:rsidRDefault="00565FD5" w:rsidP="00565FD5">
      <w:pPr>
        <w:spacing w:after="140"/>
        <w:rPr>
          <w:rFonts w:cs="Tahoma"/>
          <w:szCs w:val="18"/>
        </w:rPr>
      </w:pPr>
      <w:r>
        <w:rPr>
          <w:rFonts w:cs="Tahoma"/>
          <w:szCs w:val="18"/>
        </w:rPr>
        <w:tab/>
      </w:r>
      <w:r w:rsidRPr="00AB66CA">
        <w:rPr>
          <w:rFonts w:cs="Tahoma"/>
          <w:szCs w:val="18"/>
        </w:rPr>
        <w:t>2013 yılında sanayi sektörünün yüzde 4 oranında büyümesi beklenmektedir.</w:t>
      </w:r>
    </w:p>
    <w:p w:rsidR="00565FD5" w:rsidRPr="009B3D4C" w:rsidRDefault="00565FD5" w:rsidP="00565FD5">
      <w:pPr>
        <w:pStyle w:val="Balk4"/>
      </w:pPr>
      <w:bookmarkStart w:id="1994" w:name="_Toc276076307"/>
      <w:bookmarkStart w:id="1995" w:name="_Toc244339628"/>
      <w:bookmarkStart w:id="1996" w:name="_Toc244315165"/>
      <w:bookmarkStart w:id="1997" w:name="_Toc244313689"/>
      <w:bookmarkStart w:id="1998" w:name="_Toc244254954"/>
      <w:bookmarkStart w:id="1999" w:name="_Toc244253704"/>
      <w:bookmarkStart w:id="2000" w:name="_Toc307602013"/>
      <w:bookmarkStart w:id="2001" w:name="_Toc307670462"/>
      <w:bookmarkStart w:id="2002" w:name="_Toc307701688"/>
      <w:bookmarkStart w:id="2003" w:name="_Toc338505595"/>
      <w:bookmarkStart w:id="2004" w:name="_Toc338523822"/>
      <w:bookmarkStart w:id="2005" w:name="_Toc338524053"/>
      <w:bookmarkStart w:id="2006" w:name="_Toc338526279"/>
      <w:bookmarkStart w:id="2007" w:name="_Toc338673722"/>
      <w:bookmarkStart w:id="2008" w:name="_Toc338711601"/>
      <w:r w:rsidRPr="009B3D4C">
        <w:lastRenderedPageBreak/>
        <w:t>3. Politika Öncelikleri ve Tedbirler</w:t>
      </w:r>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20"/>
        <w:gridCol w:w="1813"/>
        <w:gridCol w:w="726"/>
        <w:gridCol w:w="2785"/>
      </w:tblGrid>
      <w:tr w:rsidR="00565FD5" w:rsidRPr="009B3D4C" w:rsidTr="00AB62A3">
        <w:trPr>
          <w:jc w:val="center"/>
        </w:trPr>
        <w:tc>
          <w:tcPr>
            <w:tcW w:w="1820" w:type="dxa"/>
            <w:vAlign w:val="bottom"/>
          </w:tcPr>
          <w:p w:rsidR="00565FD5" w:rsidRPr="009B3D4C" w:rsidRDefault="00565FD5" w:rsidP="00AB62A3">
            <w:pPr>
              <w:rPr>
                <w:rFonts w:cs="Tahoma"/>
                <w:b/>
                <w:sz w:val="16"/>
                <w:szCs w:val="16"/>
              </w:rPr>
            </w:pPr>
            <w:r w:rsidRPr="009B3D4C">
              <w:rPr>
                <w:rFonts w:cs="Tahoma"/>
                <w:b/>
                <w:sz w:val="16"/>
                <w:szCs w:val="16"/>
              </w:rPr>
              <w:t>Öncelik / Tedbir</w:t>
            </w:r>
          </w:p>
        </w:tc>
        <w:tc>
          <w:tcPr>
            <w:tcW w:w="1813" w:type="dxa"/>
            <w:vAlign w:val="bottom"/>
          </w:tcPr>
          <w:p w:rsidR="00565FD5" w:rsidRPr="009B3D4C" w:rsidRDefault="00565FD5" w:rsidP="00AB62A3">
            <w:pPr>
              <w:rPr>
                <w:rFonts w:cs="Tahoma"/>
                <w:b/>
                <w:sz w:val="16"/>
                <w:szCs w:val="16"/>
                <w:lang w:eastAsia="tr-TR"/>
              </w:rPr>
            </w:pPr>
            <w:r w:rsidRPr="009B3D4C">
              <w:rPr>
                <w:rFonts w:cs="Tahoma"/>
                <w:b/>
                <w:sz w:val="16"/>
                <w:szCs w:val="16"/>
                <w:lang w:eastAsia="tr-TR"/>
              </w:rPr>
              <w:t>Sorumlu / İşbirliği Yapılacak Kuruluşlar</w:t>
            </w:r>
          </w:p>
        </w:tc>
        <w:tc>
          <w:tcPr>
            <w:tcW w:w="726" w:type="dxa"/>
            <w:vAlign w:val="bottom"/>
          </w:tcPr>
          <w:p w:rsidR="00565FD5" w:rsidRPr="009B3D4C" w:rsidRDefault="00565FD5" w:rsidP="00AB62A3">
            <w:pPr>
              <w:rPr>
                <w:rFonts w:cs="Tahoma"/>
                <w:b/>
                <w:sz w:val="16"/>
                <w:szCs w:val="16"/>
                <w:lang w:eastAsia="tr-TR"/>
              </w:rPr>
            </w:pPr>
            <w:r w:rsidRPr="009B3D4C">
              <w:rPr>
                <w:rFonts w:cs="Tahoma"/>
                <w:b/>
                <w:sz w:val="16"/>
                <w:szCs w:val="16"/>
                <w:lang w:eastAsia="tr-TR"/>
              </w:rPr>
              <w:t>Süre</w:t>
            </w:r>
          </w:p>
        </w:tc>
        <w:tc>
          <w:tcPr>
            <w:tcW w:w="2785" w:type="dxa"/>
            <w:vAlign w:val="bottom"/>
          </w:tcPr>
          <w:p w:rsidR="00565FD5" w:rsidRPr="009B3D4C" w:rsidRDefault="00565FD5" w:rsidP="00AB62A3">
            <w:pPr>
              <w:rPr>
                <w:rFonts w:cs="Tahoma"/>
                <w:b/>
                <w:sz w:val="16"/>
                <w:szCs w:val="16"/>
                <w:lang w:eastAsia="tr-TR"/>
              </w:rPr>
            </w:pPr>
            <w:r w:rsidRPr="009B3D4C">
              <w:rPr>
                <w:rFonts w:cs="Tahoma"/>
                <w:b/>
                <w:sz w:val="16"/>
                <w:szCs w:val="16"/>
                <w:lang w:eastAsia="tr-TR"/>
              </w:rPr>
              <w:t>Yapılacak İşlem ve Açıklama</w:t>
            </w:r>
          </w:p>
        </w:tc>
      </w:tr>
      <w:tr w:rsidR="00565FD5" w:rsidRPr="009B3D4C" w:rsidTr="00AB62A3">
        <w:trPr>
          <w:jc w:val="center"/>
        </w:trPr>
        <w:tc>
          <w:tcPr>
            <w:tcW w:w="7144" w:type="dxa"/>
            <w:gridSpan w:val="4"/>
          </w:tcPr>
          <w:p w:rsidR="00565FD5" w:rsidRPr="009B3D4C" w:rsidRDefault="00565FD5" w:rsidP="00EB1E69">
            <w:pPr>
              <w:numPr>
                <w:ilvl w:val="0"/>
                <w:numId w:val="15"/>
              </w:numPr>
              <w:tabs>
                <w:tab w:val="left" w:pos="425"/>
                <w:tab w:val="left" w:pos="708"/>
              </w:tabs>
              <w:autoSpaceDE w:val="0"/>
              <w:autoSpaceDN w:val="0"/>
              <w:adjustRightInd w:val="0"/>
              <w:spacing w:after="0" w:line="240" w:lineRule="auto"/>
              <w:jc w:val="both"/>
              <w:rPr>
                <w:rFonts w:cs="Tahoma"/>
                <w:b/>
                <w:sz w:val="16"/>
                <w:szCs w:val="16"/>
              </w:rPr>
            </w:pPr>
            <w:r w:rsidRPr="009B3D4C">
              <w:rPr>
                <w:rFonts w:cs="Tahoma"/>
                <w:b/>
                <w:sz w:val="16"/>
                <w:szCs w:val="16"/>
              </w:rPr>
              <w:t>Türkiye’nin orta ve yüksek teknolojili ürünlerde üretim merkezi olmasına yönelik yapısal dönüşüme katkı sağlayacak Sanayi Stratejisi ve sektörel stratejilerin hazırlanması ve uygulanmasına devam edilecektir.</w:t>
            </w:r>
          </w:p>
        </w:tc>
      </w:tr>
      <w:tr w:rsidR="00565FD5" w:rsidRPr="009B3D4C" w:rsidTr="00AB62A3">
        <w:trPr>
          <w:jc w:val="center"/>
        </w:trPr>
        <w:tc>
          <w:tcPr>
            <w:tcW w:w="1820" w:type="dxa"/>
          </w:tcPr>
          <w:p w:rsidR="00565FD5" w:rsidRPr="009B3D4C" w:rsidRDefault="00565FD5" w:rsidP="00EB1E69">
            <w:pPr>
              <w:numPr>
                <w:ilvl w:val="0"/>
                <w:numId w:val="14"/>
              </w:numPr>
              <w:tabs>
                <w:tab w:val="left" w:pos="425"/>
              </w:tabs>
              <w:spacing w:after="0" w:line="240" w:lineRule="auto"/>
              <w:rPr>
                <w:rFonts w:cs="Tahoma"/>
                <w:sz w:val="16"/>
                <w:szCs w:val="16"/>
              </w:rPr>
            </w:pPr>
            <w:r w:rsidRPr="009B3D4C">
              <w:rPr>
                <w:rFonts w:cs="Tahoma"/>
                <w:sz w:val="16"/>
                <w:szCs w:val="16"/>
              </w:rPr>
              <w:t xml:space="preserve">Sanayide rekabet gücünün artırılması amacıyla sektörel stratejiler ve eylem planları hazırlanacak, uygulamalar izlenecek ve değerlendirilecektir. </w:t>
            </w:r>
          </w:p>
        </w:tc>
        <w:tc>
          <w:tcPr>
            <w:tcW w:w="1813" w:type="dxa"/>
          </w:tcPr>
          <w:p w:rsidR="00565FD5" w:rsidRPr="009B3D4C" w:rsidRDefault="00565FD5" w:rsidP="00AB62A3">
            <w:pPr>
              <w:rPr>
                <w:rFonts w:cs="Tahoma"/>
                <w:sz w:val="16"/>
                <w:szCs w:val="16"/>
              </w:rPr>
            </w:pPr>
            <w:r w:rsidRPr="009B3D4C">
              <w:rPr>
                <w:rFonts w:cs="Tahoma"/>
                <w:sz w:val="16"/>
                <w:szCs w:val="16"/>
              </w:rPr>
              <w:t>Bilim, Sanayi ve Teknoloji Bakanlığı (S), Kalkınma Bakanlığı</w:t>
            </w:r>
          </w:p>
        </w:tc>
        <w:tc>
          <w:tcPr>
            <w:tcW w:w="726" w:type="dxa"/>
          </w:tcPr>
          <w:p w:rsidR="00565FD5" w:rsidRPr="009B3D4C" w:rsidRDefault="00565FD5" w:rsidP="00AB62A3">
            <w:pPr>
              <w:rPr>
                <w:rFonts w:cs="Tahoma"/>
                <w:sz w:val="16"/>
                <w:szCs w:val="16"/>
              </w:rPr>
            </w:pPr>
            <w:r w:rsidRPr="009B3D4C">
              <w:rPr>
                <w:rFonts w:cs="Tahoma"/>
                <w:sz w:val="16"/>
                <w:szCs w:val="16"/>
              </w:rPr>
              <w:t>Aralık Sonu</w:t>
            </w:r>
          </w:p>
        </w:tc>
        <w:tc>
          <w:tcPr>
            <w:tcW w:w="2785" w:type="dxa"/>
          </w:tcPr>
          <w:p w:rsidR="00565FD5" w:rsidRPr="009B3D4C" w:rsidRDefault="00565FD5" w:rsidP="00AB62A3">
            <w:pPr>
              <w:rPr>
                <w:rFonts w:cs="Tahoma"/>
                <w:sz w:val="16"/>
                <w:szCs w:val="16"/>
              </w:rPr>
            </w:pPr>
            <w:r w:rsidRPr="009B3D4C">
              <w:rPr>
                <w:rFonts w:cs="Tahoma"/>
                <w:sz w:val="16"/>
                <w:szCs w:val="16"/>
              </w:rPr>
              <w:t>Hazırlanmış olan sanayi stratejisi ile sektörel stratejilerin izlenmesi, değerlendirilmesi ve geliştirilmesi sağlanacak, ayrıca sektörel stratejileri tamamlanamayan diğer sektörler için de strateji belgeleri hazırlanacaktır. Bu kapsamda gerekli kurumsal kapasitenin artırılması amaçlanmaktadır.</w:t>
            </w:r>
          </w:p>
        </w:tc>
      </w:tr>
      <w:tr w:rsidR="00565FD5" w:rsidRPr="009B3D4C" w:rsidTr="00AB62A3">
        <w:trPr>
          <w:jc w:val="center"/>
        </w:trPr>
        <w:tc>
          <w:tcPr>
            <w:tcW w:w="1820" w:type="dxa"/>
          </w:tcPr>
          <w:p w:rsidR="00565FD5" w:rsidRPr="009C53C7" w:rsidRDefault="00565FD5" w:rsidP="00EB1E69">
            <w:pPr>
              <w:numPr>
                <w:ilvl w:val="0"/>
                <w:numId w:val="14"/>
              </w:numPr>
              <w:tabs>
                <w:tab w:val="left" w:pos="425"/>
              </w:tabs>
              <w:spacing w:after="0" w:line="240" w:lineRule="auto"/>
              <w:rPr>
                <w:rFonts w:cs="Tahoma"/>
                <w:sz w:val="16"/>
                <w:szCs w:val="16"/>
              </w:rPr>
            </w:pPr>
            <w:r w:rsidRPr="009C53C7">
              <w:rPr>
                <w:rFonts w:cs="Tahoma"/>
                <w:sz w:val="16"/>
                <w:szCs w:val="16"/>
              </w:rPr>
              <w:t>Girdi Tedarik Stratejisi (GİTES) ve Eylem Planı</w:t>
            </w:r>
            <w:r>
              <w:rPr>
                <w:rFonts w:cs="Tahoma"/>
                <w:sz w:val="16"/>
                <w:szCs w:val="16"/>
              </w:rPr>
              <w:t xml:space="preserve"> (2013-2015)</w:t>
            </w:r>
            <w:r w:rsidRPr="009C53C7">
              <w:rPr>
                <w:rFonts w:cs="Tahoma"/>
                <w:sz w:val="16"/>
                <w:szCs w:val="16"/>
              </w:rPr>
              <w:t xml:space="preserve"> uygulamaya geçirilecektir.</w:t>
            </w:r>
          </w:p>
        </w:tc>
        <w:tc>
          <w:tcPr>
            <w:tcW w:w="1813" w:type="dxa"/>
          </w:tcPr>
          <w:p w:rsidR="00565FD5" w:rsidRPr="009C53C7" w:rsidRDefault="00565FD5" w:rsidP="00AB62A3">
            <w:pPr>
              <w:rPr>
                <w:rFonts w:cs="Tahoma"/>
                <w:sz w:val="16"/>
                <w:szCs w:val="16"/>
              </w:rPr>
            </w:pPr>
            <w:r w:rsidRPr="009C53C7">
              <w:rPr>
                <w:rFonts w:cs="Tahoma"/>
                <w:sz w:val="16"/>
                <w:szCs w:val="16"/>
              </w:rPr>
              <w:t>Ekonomi Bakanlığı (S), İlgili Kurum ve Kuruluşlar</w:t>
            </w:r>
          </w:p>
        </w:tc>
        <w:tc>
          <w:tcPr>
            <w:tcW w:w="726" w:type="dxa"/>
          </w:tcPr>
          <w:p w:rsidR="00565FD5" w:rsidRPr="009C53C7" w:rsidRDefault="00565FD5" w:rsidP="00AB62A3">
            <w:pPr>
              <w:rPr>
                <w:rFonts w:cs="Tahoma"/>
                <w:sz w:val="16"/>
                <w:szCs w:val="16"/>
              </w:rPr>
            </w:pPr>
            <w:r>
              <w:rPr>
                <w:rFonts w:cs="Tahoma"/>
                <w:sz w:val="16"/>
                <w:szCs w:val="16"/>
              </w:rPr>
              <w:t>Aralık Sonu</w:t>
            </w:r>
          </w:p>
        </w:tc>
        <w:tc>
          <w:tcPr>
            <w:tcW w:w="2785" w:type="dxa"/>
          </w:tcPr>
          <w:p w:rsidR="00565FD5" w:rsidRPr="009C53C7" w:rsidRDefault="00565FD5" w:rsidP="00AB62A3">
            <w:pPr>
              <w:rPr>
                <w:rFonts w:cs="Tahoma"/>
                <w:sz w:val="16"/>
                <w:szCs w:val="16"/>
              </w:rPr>
            </w:pPr>
            <w:r w:rsidRPr="009C53C7">
              <w:rPr>
                <w:rFonts w:cs="Tahoma"/>
                <w:sz w:val="16"/>
                <w:szCs w:val="16"/>
              </w:rPr>
              <w:t xml:space="preserve">GİTES kapsamında yer alan yatay ve sektörel eylem planları uygulamaya geçirilecek ve oluşturulacak izleme ve değerlendirme </w:t>
            </w:r>
            <w:r>
              <w:rPr>
                <w:rFonts w:cs="Tahoma"/>
                <w:sz w:val="16"/>
                <w:szCs w:val="16"/>
              </w:rPr>
              <w:t>sistemiyle</w:t>
            </w:r>
            <w:r w:rsidRPr="009C53C7">
              <w:rPr>
                <w:rFonts w:cs="Tahoma"/>
                <w:sz w:val="16"/>
                <w:szCs w:val="16"/>
              </w:rPr>
              <w:t xml:space="preserve"> eylemlerin izlenmesine başlanacaktır.</w:t>
            </w:r>
          </w:p>
        </w:tc>
      </w:tr>
      <w:tr w:rsidR="00565FD5" w:rsidRPr="009B3D4C" w:rsidTr="00AB62A3">
        <w:trPr>
          <w:jc w:val="center"/>
        </w:trPr>
        <w:tc>
          <w:tcPr>
            <w:tcW w:w="7144" w:type="dxa"/>
            <w:gridSpan w:val="4"/>
          </w:tcPr>
          <w:p w:rsidR="00565FD5" w:rsidRPr="009B3D4C" w:rsidRDefault="00565FD5" w:rsidP="00EB1E69">
            <w:pPr>
              <w:numPr>
                <w:ilvl w:val="0"/>
                <w:numId w:val="15"/>
              </w:numPr>
              <w:autoSpaceDE w:val="0"/>
              <w:autoSpaceDN w:val="0"/>
              <w:adjustRightInd w:val="0"/>
              <w:spacing w:after="0" w:line="240" w:lineRule="auto"/>
              <w:jc w:val="both"/>
              <w:rPr>
                <w:rFonts w:cs="Tahoma"/>
                <w:color w:val="000000"/>
                <w:sz w:val="16"/>
                <w:szCs w:val="16"/>
                <w:lang w:val="en-US"/>
              </w:rPr>
            </w:pPr>
            <w:r w:rsidRPr="009B3D4C">
              <w:rPr>
                <w:rFonts w:cs="Tahoma"/>
                <w:b/>
                <w:sz w:val="16"/>
                <w:szCs w:val="16"/>
                <w:lang w:val="en-US"/>
              </w:rPr>
              <w:t>Dışa bağımlılığı yüksek olan sektörlerde geri dönüşüm yatırımlarına özel önem verilecek, Ulusal Geri Dönüşüm Stratejisi oluşturulacaktır.</w:t>
            </w:r>
          </w:p>
        </w:tc>
      </w:tr>
      <w:tr w:rsidR="00565FD5" w:rsidRPr="009B3D4C" w:rsidTr="00AB62A3">
        <w:trPr>
          <w:jc w:val="center"/>
        </w:trPr>
        <w:tc>
          <w:tcPr>
            <w:tcW w:w="1820" w:type="dxa"/>
          </w:tcPr>
          <w:p w:rsidR="00565FD5" w:rsidRPr="009B3D4C" w:rsidRDefault="00565FD5" w:rsidP="00EB1E69">
            <w:pPr>
              <w:numPr>
                <w:ilvl w:val="0"/>
                <w:numId w:val="14"/>
              </w:numPr>
              <w:tabs>
                <w:tab w:val="left" w:pos="425"/>
              </w:tabs>
              <w:spacing w:after="40" w:line="240" w:lineRule="auto"/>
              <w:rPr>
                <w:rFonts w:cs="Tahoma"/>
                <w:sz w:val="16"/>
                <w:szCs w:val="16"/>
              </w:rPr>
            </w:pPr>
            <w:r w:rsidRPr="009B3D4C">
              <w:rPr>
                <w:rFonts w:cs="Tahoma"/>
                <w:sz w:val="16"/>
                <w:szCs w:val="16"/>
              </w:rPr>
              <w:t>Ulusal Geri Dönüşüm Stratejisi oluşturulacaktır.</w:t>
            </w:r>
          </w:p>
        </w:tc>
        <w:tc>
          <w:tcPr>
            <w:tcW w:w="1813" w:type="dxa"/>
          </w:tcPr>
          <w:p w:rsidR="00565FD5" w:rsidRPr="009B3D4C" w:rsidRDefault="00565FD5" w:rsidP="00AB62A3">
            <w:pPr>
              <w:spacing w:after="40"/>
              <w:rPr>
                <w:rFonts w:cs="Tahoma"/>
                <w:sz w:val="16"/>
                <w:szCs w:val="16"/>
              </w:rPr>
            </w:pPr>
            <w:r w:rsidRPr="009B3D4C">
              <w:rPr>
                <w:rFonts w:cs="Tahoma"/>
                <w:sz w:val="16"/>
                <w:szCs w:val="16"/>
              </w:rPr>
              <w:t>Bilim, Sanayi ve Teknoloji Bakanlığı (S), Çevre ve Şehircilik Bakanlığı, Kalkınma Bakanlığı</w:t>
            </w:r>
          </w:p>
        </w:tc>
        <w:tc>
          <w:tcPr>
            <w:tcW w:w="726" w:type="dxa"/>
          </w:tcPr>
          <w:p w:rsidR="00565FD5" w:rsidRPr="009B3D4C" w:rsidRDefault="00565FD5" w:rsidP="00AB62A3">
            <w:pPr>
              <w:spacing w:after="40"/>
              <w:rPr>
                <w:rFonts w:cs="Tahoma"/>
                <w:sz w:val="16"/>
                <w:szCs w:val="16"/>
              </w:rPr>
            </w:pPr>
            <w:r w:rsidRPr="009B3D4C">
              <w:rPr>
                <w:rFonts w:cs="Tahoma"/>
                <w:sz w:val="16"/>
                <w:szCs w:val="16"/>
              </w:rPr>
              <w:t>Aralık Sonu</w:t>
            </w:r>
          </w:p>
        </w:tc>
        <w:tc>
          <w:tcPr>
            <w:tcW w:w="2785" w:type="dxa"/>
          </w:tcPr>
          <w:p w:rsidR="00565FD5" w:rsidRPr="009B3D4C" w:rsidRDefault="00565FD5" w:rsidP="00AB62A3">
            <w:pPr>
              <w:spacing w:after="40"/>
              <w:rPr>
                <w:rFonts w:cs="Tahoma"/>
                <w:sz w:val="16"/>
                <w:szCs w:val="16"/>
              </w:rPr>
            </w:pPr>
            <w:r w:rsidRPr="009B3D4C">
              <w:rPr>
                <w:rFonts w:cs="Tahoma"/>
                <w:sz w:val="16"/>
                <w:szCs w:val="16"/>
              </w:rPr>
              <w:t xml:space="preserve">Geri dönüşüm tüm sektörlerde gerek mevzuat gerekse farkındalık açısından özel önem verilmesi gereken bir konu olarak ortaya çıkmaktadır. Ulusal Geri Dönüşüm Stratejisi oluşturulması için gerekli çalışmalar Koordinasyon içinde yürütülecektir. </w:t>
            </w:r>
          </w:p>
        </w:tc>
      </w:tr>
      <w:tr w:rsidR="00565FD5" w:rsidRPr="009B3D4C" w:rsidTr="00AB62A3">
        <w:trPr>
          <w:jc w:val="center"/>
        </w:trPr>
        <w:tc>
          <w:tcPr>
            <w:tcW w:w="7144" w:type="dxa"/>
            <w:gridSpan w:val="4"/>
          </w:tcPr>
          <w:p w:rsidR="00565FD5" w:rsidRPr="009B3D4C" w:rsidRDefault="00565FD5" w:rsidP="00EB1E69">
            <w:pPr>
              <w:numPr>
                <w:ilvl w:val="0"/>
                <w:numId w:val="15"/>
              </w:numPr>
              <w:tabs>
                <w:tab w:val="left" w:pos="425"/>
                <w:tab w:val="left" w:pos="708"/>
              </w:tabs>
              <w:autoSpaceDE w:val="0"/>
              <w:autoSpaceDN w:val="0"/>
              <w:adjustRightInd w:val="0"/>
              <w:spacing w:before="40" w:after="40" w:line="240" w:lineRule="auto"/>
              <w:jc w:val="both"/>
              <w:rPr>
                <w:rFonts w:cs="Tahoma"/>
                <w:b/>
                <w:sz w:val="16"/>
                <w:szCs w:val="16"/>
              </w:rPr>
            </w:pPr>
            <w:r w:rsidRPr="009B3D4C">
              <w:rPr>
                <w:rFonts w:cs="Tahoma"/>
                <w:b/>
                <w:sz w:val="16"/>
                <w:szCs w:val="16"/>
              </w:rPr>
              <w:t>Yüksek katma değerli mal üretimi için ürün kalitesini geliştirmek amacıyla laboratuvarların kurulması desteklenecek ve piyasada güvenli ürünlerin yer almasını sağlamak amacıyla mevzuat hazırlıkları tamamlanacak, uygunluk değerlendirme ve piyasa gözetim sistemleri etkinleştirilecektir.</w:t>
            </w:r>
          </w:p>
        </w:tc>
      </w:tr>
      <w:tr w:rsidR="00565FD5" w:rsidRPr="009B3D4C" w:rsidTr="00AB62A3">
        <w:trPr>
          <w:jc w:val="center"/>
        </w:trPr>
        <w:tc>
          <w:tcPr>
            <w:tcW w:w="1820" w:type="dxa"/>
          </w:tcPr>
          <w:p w:rsidR="00565FD5" w:rsidRPr="009B3D4C" w:rsidRDefault="00565FD5" w:rsidP="00EB1E69">
            <w:pPr>
              <w:numPr>
                <w:ilvl w:val="0"/>
                <w:numId w:val="14"/>
              </w:numPr>
              <w:tabs>
                <w:tab w:val="left" w:pos="425"/>
              </w:tabs>
              <w:spacing w:before="40" w:after="40" w:line="240" w:lineRule="auto"/>
              <w:rPr>
                <w:rFonts w:cs="Tahoma"/>
                <w:sz w:val="16"/>
                <w:szCs w:val="16"/>
              </w:rPr>
            </w:pPr>
            <w:r w:rsidRPr="009B3D4C">
              <w:rPr>
                <w:rFonts w:cs="Tahoma"/>
                <w:sz w:val="16"/>
                <w:szCs w:val="16"/>
              </w:rPr>
              <w:t>Ürün Güvenliği Kanunu Taslağı hazırlanacaktır.</w:t>
            </w:r>
          </w:p>
        </w:tc>
        <w:tc>
          <w:tcPr>
            <w:tcW w:w="1813" w:type="dxa"/>
          </w:tcPr>
          <w:p w:rsidR="00565FD5" w:rsidRPr="009B3D4C" w:rsidRDefault="00565FD5" w:rsidP="00AB62A3">
            <w:pPr>
              <w:spacing w:before="40" w:after="40"/>
              <w:rPr>
                <w:rFonts w:cs="Tahoma"/>
                <w:sz w:val="16"/>
                <w:szCs w:val="16"/>
              </w:rPr>
            </w:pPr>
            <w:r w:rsidRPr="009B3D4C">
              <w:rPr>
                <w:rFonts w:cs="Tahoma"/>
                <w:sz w:val="16"/>
                <w:szCs w:val="16"/>
              </w:rPr>
              <w:t>Ekonomi Bakanlığı (S), İlgili Kurum ve Kuruluşlar</w:t>
            </w:r>
          </w:p>
        </w:tc>
        <w:tc>
          <w:tcPr>
            <w:tcW w:w="726" w:type="dxa"/>
          </w:tcPr>
          <w:p w:rsidR="00565FD5" w:rsidRPr="009B3D4C" w:rsidRDefault="00565FD5" w:rsidP="00AB62A3">
            <w:pPr>
              <w:spacing w:before="40" w:after="40"/>
              <w:rPr>
                <w:rFonts w:cs="Tahoma"/>
                <w:sz w:val="16"/>
                <w:szCs w:val="16"/>
                <w:highlight w:val="yellow"/>
              </w:rPr>
            </w:pPr>
            <w:r w:rsidRPr="009B3D4C">
              <w:rPr>
                <w:rFonts w:cs="Tahoma"/>
                <w:sz w:val="16"/>
                <w:szCs w:val="16"/>
              </w:rPr>
              <w:t xml:space="preserve">Aralık Sonu </w:t>
            </w:r>
          </w:p>
        </w:tc>
        <w:tc>
          <w:tcPr>
            <w:tcW w:w="2785" w:type="dxa"/>
          </w:tcPr>
          <w:p w:rsidR="00565FD5" w:rsidRPr="009B3D4C" w:rsidRDefault="00565FD5" w:rsidP="00AB62A3">
            <w:pPr>
              <w:spacing w:before="40" w:after="40"/>
              <w:rPr>
                <w:rFonts w:cs="Tahoma"/>
                <w:sz w:val="16"/>
                <w:szCs w:val="16"/>
              </w:rPr>
            </w:pPr>
            <w:r w:rsidRPr="009B3D4C">
              <w:rPr>
                <w:rFonts w:cs="Tahoma"/>
                <w:sz w:val="16"/>
                <w:szCs w:val="16"/>
              </w:rPr>
              <w:t>AB'nin 2010'da yürürlüğe koyduğu üç yatay mevzuat (764/2008/EC ve 765/2008/EC sayılı Tüzükler ile 768/2008/EC sayılı Karar) göz önüne alınarak hazırlık çalışmaları başlamıştır. AB’nin 2012 yılı sonuna kadar bitirmeyi planladığı Genel Ürün Güvenliği Direktifi revizyonu paralelinde kanun tasarısı taslağı hazırlanacaktır. Ayrıca Genel Ürün Güvenliği Yönetmeliği ve Piyasa Gözetimi ve Denetimi Yönetmeliği güncellenecektir.</w:t>
            </w:r>
          </w:p>
        </w:tc>
      </w:tr>
      <w:tr w:rsidR="00565FD5" w:rsidRPr="009B3D4C" w:rsidTr="00AB62A3">
        <w:trPr>
          <w:jc w:val="center"/>
        </w:trPr>
        <w:tc>
          <w:tcPr>
            <w:tcW w:w="1820" w:type="dxa"/>
          </w:tcPr>
          <w:p w:rsidR="00565FD5" w:rsidRPr="009B3D4C" w:rsidRDefault="00565FD5" w:rsidP="00EB1E69">
            <w:pPr>
              <w:numPr>
                <w:ilvl w:val="0"/>
                <w:numId w:val="14"/>
              </w:numPr>
              <w:tabs>
                <w:tab w:val="left" w:pos="425"/>
              </w:tabs>
              <w:spacing w:before="40" w:after="40" w:line="240" w:lineRule="auto"/>
              <w:rPr>
                <w:rFonts w:cs="Tahoma"/>
                <w:sz w:val="16"/>
                <w:szCs w:val="16"/>
              </w:rPr>
            </w:pPr>
            <w:r w:rsidRPr="009B3D4C">
              <w:rPr>
                <w:rFonts w:cs="Tahoma"/>
                <w:sz w:val="16"/>
                <w:szCs w:val="16"/>
              </w:rPr>
              <w:t xml:space="preserve">Ulusal Piyasa Gözetimi ve </w:t>
            </w:r>
            <w:r w:rsidRPr="009B3D4C">
              <w:rPr>
                <w:rFonts w:cs="Tahoma"/>
                <w:sz w:val="16"/>
                <w:szCs w:val="16"/>
              </w:rPr>
              <w:lastRenderedPageBreak/>
              <w:t>Denetimi Strateji Belgesinin (2012-2014) uygulama, izleme ve değerlendirme çalışmaları yürütülecektir.</w:t>
            </w:r>
          </w:p>
        </w:tc>
        <w:tc>
          <w:tcPr>
            <w:tcW w:w="1813" w:type="dxa"/>
          </w:tcPr>
          <w:p w:rsidR="00565FD5" w:rsidRPr="009B3D4C" w:rsidRDefault="00565FD5" w:rsidP="00AB62A3">
            <w:pPr>
              <w:spacing w:before="40" w:after="40"/>
              <w:rPr>
                <w:rFonts w:cs="Tahoma"/>
                <w:sz w:val="16"/>
                <w:szCs w:val="16"/>
              </w:rPr>
            </w:pPr>
            <w:r w:rsidRPr="009B3D4C">
              <w:rPr>
                <w:rFonts w:cs="Tahoma"/>
                <w:sz w:val="16"/>
                <w:szCs w:val="16"/>
              </w:rPr>
              <w:lastRenderedPageBreak/>
              <w:t xml:space="preserve">Ekonomi Bakanlığı (S), </w:t>
            </w:r>
            <w:r w:rsidRPr="009B3D4C">
              <w:rPr>
                <w:rFonts w:cs="Tahoma"/>
                <w:sz w:val="16"/>
                <w:szCs w:val="16"/>
              </w:rPr>
              <w:lastRenderedPageBreak/>
              <w:t>ilgili kurum ve kuruluşlar</w:t>
            </w:r>
          </w:p>
        </w:tc>
        <w:tc>
          <w:tcPr>
            <w:tcW w:w="726" w:type="dxa"/>
          </w:tcPr>
          <w:p w:rsidR="00565FD5" w:rsidRPr="009B3D4C" w:rsidRDefault="00565FD5" w:rsidP="00AB62A3">
            <w:pPr>
              <w:spacing w:before="40" w:after="40"/>
              <w:rPr>
                <w:rFonts w:cs="Tahoma"/>
                <w:sz w:val="16"/>
                <w:szCs w:val="16"/>
              </w:rPr>
            </w:pPr>
            <w:r w:rsidRPr="009B3D4C">
              <w:rPr>
                <w:rFonts w:cs="Tahoma"/>
                <w:sz w:val="16"/>
                <w:szCs w:val="16"/>
              </w:rPr>
              <w:lastRenderedPageBreak/>
              <w:t xml:space="preserve">Aralık </w:t>
            </w:r>
            <w:r w:rsidRPr="009B3D4C">
              <w:rPr>
                <w:rFonts w:cs="Tahoma"/>
                <w:sz w:val="16"/>
                <w:szCs w:val="16"/>
              </w:rPr>
              <w:lastRenderedPageBreak/>
              <w:t xml:space="preserve">Sonu </w:t>
            </w:r>
          </w:p>
        </w:tc>
        <w:tc>
          <w:tcPr>
            <w:tcW w:w="2785" w:type="dxa"/>
          </w:tcPr>
          <w:p w:rsidR="00565FD5" w:rsidRPr="009B3D4C" w:rsidRDefault="00565FD5" w:rsidP="00AB62A3">
            <w:pPr>
              <w:spacing w:before="40" w:after="40"/>
              <w:rPr>
                <w:rFonts w:cs="Tahoma"/>
                <w:sz w:val="16"/>
                <w:szCs w:val="16"/>
              </w:rPr>
            </w:pPr>
            <w:r w:rsidRPr="009B3D4C">
              <w:rPr>
                <w:rFonts w:cs="Tahoma"/>
                <w:sz w:val="16"/>
                <w:szCs w:val="16"/>
              </w:rPr>
              <w:lastRenderedPageBreak/>
              <w:t xml:space="preserve">Görev dağılımının netleştirilmesi ve tüketici örgütlerinin PGD'ye veri </w:t>
            </w:r>
            <w:r w:rsidRPr="009B3D4C">
              <w:rPr>
                <w:rFonts w:cs="Tahoma"/>
                <w:sz w:val="16"/>
                <w:szCs w:val="16"/>
              </w:rPr>
              <w:lastRenderedPageBreak/>
              <w:t>sunabilecek yapıya kavuşturulması için desteklenmesi hedefleri tamamlanacaktır.</w:t>
            </w:r>
          </w:p>
        </w:tc>
      </w:tr>
      <w:tr w:rsidR="00565FD5" w:rsidRPr="009B3D4C" w:rsidTr="00AB62A3">
        <w:trPr>
          <w:jc w:val="center"/>
        </w:trPr>
        <w:tc>
          <w:tcPr>
            <w:tcW w:w="1820" w:type="dxa"/>
          </w:tcPr>
          <w:p w:rsidR="00565FD5" w:rsidRPr="009B3D4C" w:rsidRDefault="00565FD5" w:rsidP="00EB1E69">
            <w:pPr>
              <w:numPr>
                <w:ilvl w:val="0"/>
                <w:numId w:val="14"/>
              </w:numPr>
              <w:tabs>
                <w:tab w:val="left" w:pos="425"/>
              </w:tabs>
              <w:spacing w:before="40" w:after="40" w:line="240" w:lineRule="auto"/>
              <w:rPr>
                <w:rFonts w:cs="Tahoma"/>
                <w:sz w:val="16"/>
                <w:szCs w:val="16"/>
              </w:rPr>
            </w:pPr>
            <w:r w:rsidRPr="009B3D4C">
              <w:rPr>
                <w:rFonts w:cs="Tahoma"/>
                <w:sz w:val="16"/>
                <w:szCs w:val="16"/>
              </w:rPr>
              <w:lastRenderedPageBreak/>
              <w:t>Sanayi ürünlerinin güvenli ve mevzuatına uygun şekilde piyasaya arzını sağlamak amacıyla piyasa gözetim ve denetim faaliyetleri etkinleştirilecektir.</w:t>
            </w:r>
          </w:p>
        </w:tc>
        <w:tc>
          <w:tcPr>
            <w:tcW w:w="1813" w:type="dxa"/>
          </w:tcPr>
          <w:p w:rsidR="00565FD5" w:rsidRPr="009B3D4C" w:rsidRDefault="00565FD5" w:rsidP="00AB62A3">
            <w:pPr>
              <w:spacing w:before="40" w:after="40"/>
              <w:rPr>
                <w:rFonts w:cs="Tahoma"/>
                <w:sz w:val="16"/>
                <w:szCs w:val="16"/>
              </w:rPr>
            </w:pPr>
            <w:r w:rsidRPr="009B3D4C">
              <w:rPr>
                <w:rFonts w:cs="Tahoma"/>
                <w:sz w:val="16"/>
                <w:szCs w:val="16"/>
              </w:rPr>
              <w:t>Bilim, Sanayi ve Teknoloji Bakanlığı (S), Ekonomi Bakanlığı, Gümrük ve Ticaret Bakanlığı</w:t>
            </w:r>
          </w:p>
        </w:tc>
        <w:tc>
          <w:tcPr>
            <w:tcW w:w="726" w:type="dxa"/>
          </w:tcPr>
          <w:p w:rsidR="00565FD5" w:rsidRPr="009B3D4C" w:rsidRDefault="00565FD5" w:rsidP="00AB62A3">
            <w:pPr>
              <w:spacing w:before="40" w:after="40"/>
              <w:rPr>
                <w:rFonts w:cs="Tahoma"/>
                <w:sz w:val="16"/>
                <w:szCs w:val="16"/>
              </w:rPr>
            </w:pPr>
            <w:r w:rsidRPr="009B3D4C">
              <w:rPr>
                <w:rFonts w:cs="Tahoma"/>
                <w:sz w:val="16"/>
                <w:szCs w:val="16"/>
              </w:rPr>
              <w:t>Aralık Sonu</w:t>
            </w:r>
          </w:p>
        </w:tc>
        <w:tc>
          <w:tcPr>
            <w:tcW w:w="2785" w:type="dxa"/>
          </w:tcPr>
          <w:p w:rsidR="00565FD5" w:rsidRPr="009B3D4C" w:rsidRDefault="00565FD5" w:rsidP="00AB62A3">
            <w:pPr>
              <w:spacing w:before="40" w:after="40"/>
              <w:rPr>
                <w:rFonts w:cs="Tahoma"/>
                <w:sz w:val="16"/>
                <w:szCs w:val="16"/>
              </w:rPr>
            </w:pPr>
            <w:r w:rsidRPr="009B3D4C">
              <w:rPr>
                <w:rFonts w:cs="Tahoma"/>
                <w:sz w:val="16"/>
                <w:szCs w:val="16"/>
              </w:rPr>
              <w:t>Bilim, Sanayi ve Teknoloji Bakanlığı sorumluluğunda bulunan sanayi ürünlerinin Yıllık Sektörel Denetim Programı hazırlanarak ilgili kuruluşa sunulacaktır. Yıllık PGD rehberi ve denetim programları hazırlanacak ve uygulanması sağlanacaktır. Risk analizi sistemi oluşturulacaktır. Piyasa gözetimi ve denetimleri kapsamında test ve muayene laboratuvarlarının teknik kapasitesinin geliştirilmesine ve gereksinim görülen alanlarda yeni laboratuvarların kurulmasına destek olunacaktır. Kitle iletişim araçlarından yararlanarak kamuoyu aydınlatılacaktır.</w:t>
            </w:r>
          </w:p>
        </w:tc>
      </w:tr>
      <w:tr w:rsidR="00565FD5" w:rsidRPr="009B3D4C" w:rsidTr="00AB62A3">
        <w:trPr>
          <w:jc w:val="center"/>
        </w:trPr>
        <w:tc>
          <w:tcPr>
            <w:tcW w:w="1820" w:type="dxa"/>
          </w:tcPr>
          <w:p w:rsidR="00565FD5" w:rsidRPr="009B3D4C" w:rsidRDefault="00565FD5" w:rsidP="00EB1E69">
            <w:pPr>
              <w:numPr>
                <w:ilvl w:val="0"/>
                <w:numId w:val="14"/>
              </w:numPr>
              <w:tabs>
                <w:tab w:val="left" w:pos="425"/>
              </w:tabs>
              <w:spacing w:before="40" w:after="40" w:line="240" w:lineRule="auto"/>
              <w:rPr>
                <w:rFonts w:cs="Tahoma"/>
                <w:sz w:val="16"/>
                <w:szCs w:val="16"/>
              </w:rPr>
            </w:pPr>
            <w:r w:rsidRPr="009B3D4C">
              <w:rPr>
                <w:rFonts w:cs="Tahoma"/>
                <w:sz w:val="16"/>
                <w:szCs w:val="16"/>
              </w:rPr>
              <w:t>Piyasa gözetim ve denetim faaliyetleri kapsamında belirlenecek illerde,  akaryakıt ve LPG istasyonlarında ulusal marker, sayaç ve hazır ambalajlı mamullerin denetimi etkinleştirilecektir.</w:t>
            </w:r>
          </w:p>
        </w:tc>
        <w:tc>
          <w:tcPr>
            <w:tcW w:w="1813" w:type="dxa"/>
          </w:tcPr>
          <w:p w:rsidR="00565FD5" w:rsidRPr="009B3D4C" w:rsidRDefault="00565FD5" w:rsidP="00AB62A3">
            <w:pPr>
              <w:spacing w:before="40" w:after="40"/>
              <w:rPr>
                <w:rFonts w:cs="Tahoma"/>
                <w:sz w:val="16"/>
                <w:szCs w:val="16"/>
              </w:rPr>
            </w:pPr>
            <w:r w:rsidRPr="009B3D4C">
              <w:rPr>
                <w:rFonts w:cs="Tahoma"/>
                <w:sz w:val="16"/>
                <w:szCs w:val="16"/>
              </w:rPr>
              <w:t xml:space="preserve">Bilim, Sanayi ve Teknoloji Bakanlığı (S) </w:t>
            </w:r>
          </w:p>
        </w:tc>
        <w:tc>
          <w:tcPr>
            <w:tcW w:w="726" w:type="dxa"/>
          </w:tcPr>
          <w:p w:rsidR="00565FD5" w:rsidRPr="009B3D4C" w:rsidRDefault="00565FD5" w:rsidP="00AB62A3">
            <w:pPr>
              <w:spacing w:before="40" w:after="40"/>
              <w:rPr>
                <w:rFonts w:cs="Tahoma"/>
                <w:sz w:val="16"/>
                <w:szCs w:val="16"/>
              </w:rPr>
            </w:pPr>
            <w:r w:rsidRPr="009B3D4C">
              <w:rPr>
                <w:rFonts w:cs="Tahoma"/>
                <w:sz w:val="16"/>
                <w:szCs w:val="16"/>
              </w:rPr>
              <w:t>Aralık Sonu</w:t>
            </w:r>
          </w:p>
        </w:tc>
        <w:tc>
          <w:tcPr>
            <w:tcW w:w="2785" w:type="dxa"/>
          </w:tcPr>
          <w:p w:rsidR="00565FD5" w:rsidRPr="009B3D4C" w:rsidRDefault="00565FD5" w:rsidP="00AB62A3">
            <w:pPr>
              <w:spacing w:before="40" w:after="40"/>
              <w:rPr>
                <w:rFonts w:cs="Tahoma"/>
                <w:sz w:val="16"/>
                <w:szCs w:val="16"/>
              </w:rPr>
            </w:pPr>
            <w:r w:rsidRPr="009B3D4C">
              <w:rPr>
                <w:rFonts w:cs="Tahoma"/>
                <w:sz w:val="16"/>
                <w:szCs w:val="16"/>
              </w:rPr>
              <w:t xml:space="preserve">30 ilde akaryakıt ve LPG istasyonu,  8 büyükşehir belediyesinde hazır ambalajlı mamullere yönelik çapraz denetimler yapılacaktır. </w:t>
            </w:r>
          </w:p>
        </w:tc>
      </w:tr>
      <w:tr w:rsidR="00565FD5" w:rsidRPr="009B3D4C" w:rsidTr="00AB62A3">
        <w:trPr>
          <w:jc w:val="center"/>
        </w:trPr>
        <w:tc>
          <w:tcPr>
            <w:tcW w:w="1820" w:type="dxa"/>
          </w:tcPr>
          <w:p w:rsidR="00565FD5" w:rsidRPr="009B3D4C" w:rsidRDefault="00565FD5" w:rsidP="00EB1E69">
            <w:pPr>
              <w:numPr>
                <w:ilvl w:val="0"/>
                <w:numId w:val="14"/>
              </w:numPr>
              <w:tabs>
                <w:tab w:val="left" w:pos="425"/>
              </w:tabs>
              <w:spacing w:before="20" w:after="20" w:line="240" w:lineRule="auto"/>
              <w:rPr>
                <w:rFonts w:cs="Tahoma"/>
                <w:sz w:val="16"/>
                <w:szCs w:val="16"/>
              </w:rPr>
            </w:pPr>
            <w:r w:rsidRPr="009B3D4C">
              <w:rPr>
                <w:rFonts w:cs="Tahoma"/>
                <w:sz w:val="16"/>
                <w:szCs w:val="16"/>
              </w:rPr>
              <w:t>Ulusal Metroloji Stratejisi ve Eylem Planı hazırlanacaktır.</w:t>
            </w:r>
          </w:p>
        </w:tc>
        <w:tc>
          <w:tcPr>
            <w:tcW w:w="1813" w:type="dxa"/>
          </w:tcPr>
          <w:p w:rsidR="00565FD5" w:rsidRPr="009B3D4C" w:rsidRDefault="00565FD5" w:rsidP="00AB62A3">
            <w:pPr>
              <w:spacing w:before="20" w:after="20"/>
              <w:rPr>
                <w:rFonts w:cs="Tahoma"/>
                <w:sz w:val="16"/>
                <w:szCs w:val="16"/>
              </w:rPr>
            </w:pPr>
            <w:r w:rsidRPr="009B3D4C">
              <w:rPr>
                <w:rFonts w:cs="Tahoma"/>
                <w:sz w:val="16"/>
                <w:szCs w:val="16"/>
              </w:rPr>
              <w:t>Bilim, Sanayi ve Teknoloji Bakanlığı (S), Ekonomi Bakanlığı, Sağlık Bakanlığı, TÜBİTAK, TÜRKAK, TSE</w:t>
            </w:r>
          </w:p>
        </w:tc>
        <w:tc>
          <w:tcPr>
            <w:tcW w:w="726" w:type="dxa"/>
          </w:tcPr>
          <w:p w:rsidR="00565FD5" w:rsidRPr="009B3D4C" w:rsidRDefault="00565FD5" w:rsidP="00AB62A3">
            <w:pPr>
              <w:spacing w:before="20" w:after="20"/>
              <w:rPr>
                <w:rFonts w:cs="Tahoma"/>
                <w:sz w:val="16"/>
                <w:szCs w:val="16"/>
              </w:rPr>
            </w:pPr>
            <w:r w:rsidRPr="009B3D4C">
              <w:rPr>
                <w:rFonts w:cs="Tahoma"/>
                <w:sz w:val="16"/>
                <w:szCs w:val="16"/>
              </w:rPr>
              <w:t>Aralık Sonu</w:t>
            </w:r>
          </w:p>
        </w:tc>
        <w:tc>
          <w:tcPr>
            <w:tcW w:w="2785" w:type="dxa"/>
          </w:tcPr>
          <w:p w:rsidR="00565FD5" w:rsidRPr="009B3D4C" w:rsidRDefault="00565FD5" w:rsidP="00AB62A3">
            <w:pPr>
              <w:spacing w:before="20" w:after="20"/>
              <w:rPr>
                <w:rFonts w:cs="Tahoma"/>
                <w:sz w:val="16"/>
                <w:szCs w:val="16"/>
              </w:rPr>
            </w:pPr>
            <w:r w:rsidRPr="009B3D4C">
              <w:rPr>
                <w:rFonts w:cs="Tahoma"/>
                <w:sz w:val="16"/>
                <w:szCs w:val="16"/>
              </w:rPr>
              <w:t>Hazırlanacak strateji belgesinin uygulanması, izlenmesi ve değerlendirilmesine ilişkin faaliyetler yürütülecektir.</w:t>
            </w:r>
          </w:p>
        </w:tc>
      </w:tr>
      <w:tr w:rsidR="00565FD5" w:rsidRPr="009B3D4C" w:rsidTr="00AB62A3">
        <w:trPr>
          <w:jc w:val="center"/>
        </w:trPr>
        <w:tc>
          <w:tcPr>
            <w:tcW w:w="7144" w:type="dxa"/>
            <w:gridSpan w:val="4"/>
          </w:tcPr>
          <w:p w:rsidR="00565FD5" w:rsidRPr="009B3D4C" w:rsidRDefault="00565FD5" w:rsidP="00EB1E69">
            <w:pPr>
              <w:numPr>
                <w:ilvl w:val="0"/>
                <w:numId w:val="15"/>
              </w:numPr>
              <w:tabs>
                <w:tab w:val="left" w:pos="425"/>
                <w:tab w:val="left" w:pos="708"/>
              </w:tabs>
              <w:autoSpaceDE w:val="0"/>
              <w:autoSpaceDN w:val="0"/>
              <w:adjustRightInd w:val="0"/>
              <w:spacing w:before="20" w:after="20" w:line="240" w:lineRule="auto"/>
              <w:jc w:val="both"/>
              <w:rPr>
                <w:rFonts w:cs="Tahoma"/>
                <w:b/>
                <w:sz w:val="16"/>
                <w:szCs w:val="16"/>
              </w:rPr>
            </w:pPr>
            <w:r w:rsidRPr="009B3D4C">
              <w:rPr>
                <w:rFonts w:cs="Tahoma"/>
                <w:b/>
                <w:sz w:val="16"/>
                <w:szCs w:val="16"/>
              </w:rPr>
              <w:t>Yenilikçi fikirlere ve Ar-Ge’ye dayalı katma değeri yüksek ürün ve hizmetlerin ticarileştirilmesi ve pazarlanma süreçleri desteklenecektir.</w:t>
            </w:r>
          </w:p>
        </w:tc>
      </w:tr>
      <w:tr w:rsidR="00565FD5" w:rsidRPr="009B3D4C" w:rsidTr="00AB62A3">
        <w:trPr>
          <w:jc w:val="center"/>
        </w:trPr>
        <w:tc>
          <w:tcPr>
            <w:tcW w:w="1820" w:type="dxa"/>
            <w:tcMar>
              <w:top w:w="0" w:type="dxa"/>
              <w:left w:w="28" w:type="dxa"/>
              <w:bottom w:w="0" w:type="dxa"/>
              <w:right w:w="28" w:type="dxa"/>
            </w:tcMar>
          </w:tcPr>
          <w:p w:rsidR="00565FD5" w:rsidRPr="009B3D4C" w:rsidRDefault="00565FD5" w:rsidP="00EB1E69">
            <w:pPr>
              <w:numPr>
                <w:ilvl w:val="0"/>
                <w:numId w:val="14"/>
              </w:numPr>
              <w:tabs>
                <w:tab w:val="left" w:pos="425"/>
              </w:tabs>
              <w:spacing w:before="20" w:after="20" w:line="240" w:lineRule="auto"/>
              <w:rPr>
                <w:rFonts w:cs="Tahoma"/>
                <w:sz w:val="16"/>
                <w:szCs w:val="16"/>
              </w:rPr>
            </w:pPr>
            <w:r w:rsidRPr="009B3D4C">
              <w:rPr>
                <w:rFonts w:cs="Tahoma"/>
                <w:sz w:val="16"/>
                <w:szCs w:val="16"/>
              </w:rPr>
              <w:t>Hezarfen Teknoloji ve Tasarım Geliştirme Projesi yaygınlaştırılacaktır.</w:t>
            </w:r>
          </w:p>
        </w:tc>
        <w:tc>
          <w:tcPr>
            <w:tcW w:w="1813" w:type="dxa"/>
            <w:tcMar>
              <w:top w:w="0" w:type="dxa"/>
              <w:left w:w="28" w:type="dxa"/>
              <w:bottom w:w="0" w:type="dxa"/>
              <w:right w:w="28" w:type="dxa"/>
            </w:tcMar>
          </w:tcPr>
          <w:p w:rsidR="00565FD5" w:rsidRPr="009B3D4C" w:rsidRDefault="00565FD5" w:rsidP="00AB62A3">
            <w:pPr>
              <w:spacing w:before="20" w:after="20"/>
              <w:rPr>
                <w:rFonts w:cs="Tahoma"/>
                <w:sz w:val="16"/>
                <w:szCs w:val="16"/>
              </w:rPr>
            </w:pPr>
            <w:r w:rsidRPr="009B3D4C">
              <w:rPr>
                <w:rFonts w:cs="Tahoma"/>
                <w:sz w:val="16"/>
                <w:szCs w:val="16"/>
              </w:rPr>
              <w:t>Türk Patent Enstitüsü (S), Bilim, Sanayi ve Teknoloji Bakanlığı, OSB’ler, Sanayi ve Ticaret Odaları</w:t>
            </w:r>
          </w:p>
        </w:tc>
        <w:tc>
          <w:tcPr>
            <w:tcW w:w="726" w:type="dxa"/>
            <w:tcMar>
              <w:top w:w="0" w:type="dxa"/>
              <w:left w:w="28" w:type="dxa"/>
              <w:bottom w:w="0" w:type="dxa"/>
              <w:right w:w="28" w:type="dxa"/>
            </w:tcMar>
          </w:tcPr>
          <w:p w:rsidR="00565FD5" w:rsidRPr="009B3D4C" w:rsidRDefault="00565FD5" w:rsidP="00AB62A3">
            <w:pPr>
              <w:spacing w:before="20" w:after="20"/>
              <w:rPr>
                <w:rFonts w:cs="Tahoma"/>
                <w:sz w:val="16"/>
                <w:szCs w:val="16"/>
              </w:rPr>
            </w:pPr>
            <w:r w:rsidRPr="009B3D4C">
              <w:rPr>
                <w:rFonts w:cs="Tahoma"/>
                <w:sz w:val="16"/>
                <w:szCs w:val="16"/>
              </w:rPr>
              <w:t>Aralık Sonu</w:t>
            </w:r>
          </w:p>
        </w:tc>
        <w:tc>
          <w:tcPr>
            <w:tcW w:w="2785" w:type="dxa"/>
            <w:tcMar>
              <w:top w:w="0" w:type="dxa"/>
              <w:left w:w="28" w:type="dxa"/>
              <w:bottom w:w="0" w:type="dxa"/>
              <w:right w:w="28" w:type="dxa"/>
            </w:tcMar>
          </w:tcPr>
          <w:p w:rsidR="00565FD5" w:rsidRPr="009B3D4C" w:rsidRDefault="00565FD5" w:rsidP="00AB62A3">
            <w:pPr>
              <w:spacing w:before="20" w:after="20"/>
              <w:rPr>
                <w:rFonts w:cs="Tahoma"/>
                <w:sz w:val="16"/>
                <w:szCs w:val="16"/>
              </w:rPr>
            </w:pPr>
            <w:r w:rsidRPr="009B3D4C">
              <w:rPr>
                <w:rFonts w:cs="Tahoma"/>
                <w:sz w:val="16"/>
                <w:szCs w:val="16"/>
              </w:rPr>
              <w:t>KOBİ’lerin yenilik geliştirme kapasitelerinin güçlendirilmesine yönelik olan Hezarfen Teknoloji ve Tasarım Geliştirme Projesinin Ankara’da medikal cihaz ve alet üretimi alanında başlatılan altıncı aşama uygulaması tamamlanacak, 2013 yılı içinde yeni bir bölgede uygulamasına başlanacaktır.</w:t>
            </w:r>
          </w:p>
        </w:tc>
      </w:tr>
      <w:tr w:rsidR="00565FD5" w:rsidRPr="009B3D4C" w:rsidTr="00AB62A3">
        <w:trPr>
          <w:jc w:val="center"/>
        </w:trPr>
        <w:tc>
          <w:tcPr>
            <w:tcW w:w="7144" w:type="dxa"/>
            <w:gridSpan w:val="4"/>
          </w:tcPr>
          <w:p w:rsidR="00565FD5" w:rsidRPr="009B3D4C" w:rsidRDefault="00565FD5" w:rsidP="00EB1E69">
            <w:pPr>
              <w:numPr>
                <w:ilvl w:val="0"/>
                <w:numId w:val="15"/>
              </w:numPr>
              <w:tabs>
                <w:tab w:val="left" w:pos="425"/>
                <w:tab w:val="left" w:pos="708"/>
              </w:tabs>
              <w:autoSpaceDE w:val="0"/>
              <w:autoSpaceDN w:val="0"/>
              <w:adjustRightInd w:val="0"/>
              <w:spacing w:before="20" w:after="20" w:line="240" w:lineRule="auto"/>
              <w:jc w:val="both"/>
              <w:rPr>
                <w:rFonts w:cs="Tahoma"/>
                <w:b/>
                <w:sz w:val="16"/>
                <w:szCs w:val="16"/>
              </w:rPr>
            </w:pPr>
            <w:r w:rsidRPr="009B3D4C">
              <w:rPr>
                <w:rFonts w:cs="Tahoma"/>
                <w:b/>
                <w:sz w:val="16"/>
                <w:szCs w:val="16"/>
              </w:rPr>
              <w:t>Tekstil, hazır giyim, deri, seramik, cam, mobilya, kuyumculuk gibi geleneksel sektörler başta olmak üzere özgün tasarım faaliyetleri özendirilecek, ulusal ve uluslararası marka oluşturulması desteklenecektir.</w:t>
            </w:r>
          </w:p>
        </w:tc>
      </w:tr>
      <w:tr w:rsidR="00565FD5" w:rsidRPr="009B3D4C" w:rsidTr="00AB62A3">
        <w:trPr>
          <w:jc w:val="center"/>
        </w:trPr>
        <w:tc>
          <w:tcPr>
            <w:tcW w:w="1820" w:type="dxa"/>
          </w:tcPr>
          <w:p w:rsidR="00565FD5" w:rsidRPr="009B3D4C" w:rsidRDefault="00565FD5" w:rsidP="00EB1E69">
            <w:pPr>
              <w:numPr>
                <w:ilvl w:val="0"/>
                <w:numId w:val="14"/>
              </w:numPr>
              <w:tabs>
                <w:tab w:val="left" w:pos="425"/>
              </w:tabs>
              <w:spacing w:before="20" w:after="20" w:line="240" w:lineRule="auto"/>
              <w:rPr>
                <w:rFonts w:cs="Tahoma"/>
                <w:sz w:val="16"/>
                <w:szCs w:val="16"/>
              </w:rPr>
            </w:pPr>
            <w:r w:rsidRPr="009B3D4C">
              <w:rPr>
                <w:rFonts w:cs="Tahoma"/>
                <w:sz w:val="16"/>
                <w:szCs w:val="16"/>
              </w:rPr>
              <w:lastRenderedPageBreak/>
              <w:t>Tasarım Strateji Belgesi ve Eylem Planı tamamlanacaktır.</w:t>
            </w:r>
          </w:p>
        </w:tc>
        <w:tc>
          <w:tcPr>
            <w:tcW w:w="1813" w:type="dxa"/>
          </w:tcPr>
          <w:p w:rsidR="00565FD5" w:rsidRPr="009B3D4C" w:rsidRDefault="00565FD5" w:rsidP="00AB62A3">
            <w:pPr>
              <w:spacing w:before="20" w:after="20"/>
              <w:rPr>
                <w:rFonts w:cs="Tahoma"/>
                <w:sz w:val="16"/>
                <w:szCs w:val="16"/>
              </w:rPr>
            </w:pPr>
            <w:r w:rsidRPr="009B3D4C">
              <w:rPr>
                <w:rFonts w:cs="Tahoma"/>
                <w:sz w:val="16"/>
                <w:szCs w:val="16"/>
              </w:rPr>
              <w:t>Türk Patent Enstitüsü (S), Bilim, Sanayi ve Teknoloji Bakanlığı, ilgili kurum ve kuruluşlar</w:t>
            </w:r>
          </w:p>
        </w:tc>
        <w:tc>
          <w:tcPr>
            <w:tcW w:w="726" w:type="dxa"/>
          </w:tcPr>
          <w:p w:rsidR="00565FD5" w:rsidRPr="009B3D4C" w:rsidRDefault="00565FD5" w:rsidP="00AB62A3">
            <w:pPr>
              <w:spacing w:before="20" w:after="20"/>
              <w:rPr>
                <w:rFonts w:cs="Tahoma"/>
                <w:sz w:val="16"/>
                <w:szCs w:val="16"/>
              </w:rPr>
            </w:pPr>
            <w:r w:rsidRPr="009B3D4C">
              <w:rPr>
                <w:rFonts w:cs="Tahoma"/>
                <w:sz w:val="16"/>
                <w:szCs w:val="16"/>
              </w:rPr>
              <w:t>Aralık Sonu</w:t>
            </w:r>
          </w:p>
        </w:tc>
        <w:tc>
          <w:tcPr>
            <w:tcW w:w="2785" w:type="dxa"/>
          </w:tcPr>
          <w:p w:rsidR="00565FD5" w:rsidRPr="009B3D4C" w:rsidRDefault="00565FD5" w:rsidP="00AB62A3">
            <w:pPr>
              <w:spacing w:before="20" w:after="20"/>
              <w:rPr>
                <w:rFonts w:cs="Tahoma"/>
                <w:sz w:val="16"/>
                <w:szCs w:val="16"/>
              </w:rPr>
            </w:pPr>
            <w:r w:rsidRPr="009B3D4C">
              <w:rPr>
                <w:rFonts w:cs="Tahoma"/>
                <w:sz w:val="16"/>
                <w:szCs w:val="16"/>
              </w:rPr>
              <w:t>Türk Tasarım Danışma Konseyinin inisiyatifiyle hazırlanmış olan Tasarım Strateji Belgesi ve Eylem Planı tamamlanacak ve uygulamaya geçirilecektir.</w:t>
            </w:r>
          </w:p>
        </w:tc>
      </w:tr>
      <w:tr w:rsidR="00565FD5" w:rsidRPr="009B3D4C" w:rsidTr="00AB62A3">
        <w:trPr>
          <w:jc w:val="center"/>
        </w:trPr>
        <w:tc>
          <w:tcPr>
            <w:tcW w:w="7144" w:type="dxa"/>
            <w:gridSpan w:val="4"/>
          </w:tcPr>
          <w:p w:rsidR="00565FD5" w:rsidRPr="009B3D4C" w:rsidRDefault="00565FD5" w:rsidP="00EB1E69">
            <w:pPr>
              <w:numPr>
                <w:ilvl w:val="0"/>
                <w:numId w:val="15"/>
              </w:numPr>
              <w:tabs>
                <w:tab w:val="left" w:pos="425"/>
                <w:tab w:val="left" w:pos="708"/>
              </w:tabs>
              <w:autoSpaceDE w:val="0"/>
              <w:autoSpaceDN w:val="0"/>
              <w:adjustRightInd w:val="0"/>
              <w:spacing w:before="20" w:after="20" w:line="240" w:lineRule="auto"/>
              <w:jc w:val="both"/>
              <w:rPr>
                <w:rFonts w:cs="Tahoma"/>
                <w:b/>
                <w:sz w:val="16"/>
                <w:szCs w:val="16"/>
              </w:rPr>
            </w:pPr>
            <w:r w:rsidRPr="009B3D4C">
              <w:rPr>
                <w:rFonts w:cs="Tahoma"/>
                <w:b/>
                <w:sz w:val="16"/>
                <w:szCs w:val="16"/>
              </w:rPr>
              <w:t>KOBİ’lerin büyüme ve birleşmeleri özendirilecek; verimliliklerini artırmaya, iş kurma ve geliştirmeye yönelik faaliyetleri ile bilgi ve iletişim teknolojileri altyapıları desteklenecektir.</w:t>
            </w:r>
          </w:p>
        </w:tc>
      </w:tr>
      <w:tr w:rsidR="00565FD5" w:rsidRPr="009B3D4C" w:rsidTr="00AB62A3">
        <w:trPr>
          <w:jc w:val="center"/>
        </w:trPr>
        <w:tc>
          <w:tcPr>
            <w:tcW w:w="1820" w:type="dxa"/>
            <w:tcMar>
              <w:top w:w="0" w:type="dxa"/>
              <w:left w:w="28" w:type="dxa"/>
              <w:bottom w:w="0" w:type="dxa"/>
              <w:right w:w="28" w:type="dxa"/>
            </w:tcMar>
          </w:tcPr>
          <w:p w:rsidR="00565FD5" w:rsidRPr="009B3D4C" w:rsidRDefault="00565FD5" w:rsidP="00EB1E69">
            <w:pPr>
              <w:numPr>
                <w:ilvl w:val="0"/>
                <w:numId w:val="14"/>
              </w:numPr>
              <w:tabs>
                <w:tab w:val="left" w:pos="425"/>
              </w:tabs>
              <w:spacing w:before="20" w:after="20" w:line="240" w:lineRule="auto"/>
              <w:rPr>
                <w:rFonts w:cs="Tahoma"/>
                <w:sz w:val="16"/>
                <w:szCs w:val="16"/>
              </w:rPr>
            </w:pPr>
            <w:r w:rsidRPr="009B3D4C">
              <w:rPr>
                <w:rFonts w:cs="Tahoma"/>
                <w:sz w:val="16"/>
                <w:szCs w:val="16"/>
              </w:rPr>
              <w:t>KOBİ’lerin ortak iş yapma kültürü geliştirilecektir.</w:t>
            </w:r>
          </w:p>
        </w:tc>
        <w:tc>
          <w:tcPr>
            <w:tcW w:w="1813" w:type="dxa"/>
            <w:tcMar>
              <w:top w:w="0" w:type="dxa"/>
              <w:left w:w="28" w:type="dxa"/>
              <w:bottom w:w="0" w:type="dxa"/>
              <w:right w:w="28" w:type="dxa"/>
            </w:tcMar>
          </w:tcPr>
          <w:p w:rsidR="00565FD5" w:rsidRPr="009B3D4C" w:rsidRDefault="00565FD5" w:rsidP="00AB62A3">
            <w:pPr>
              <w:spacing w:before="20" w:after="20"/>
              <w:rPr>
                <w:rFonts w:cs="Tahoma"/>
                <w:sz w:val="16"/>
                <w:szCs w:val="16"/>
              </w:rPr>
            </w:pPr>
            <w:r w:rsidRPr="009B3D4C">
              <w:rPr>
                <w:rFonts w:cs="Tahoma"/>
                <w:sz w:val="16"/>
                <w:szCs w:val="16"/>
              </w:rPr>
              <w:t>KOSGEB (S)</w:t>
            </w:r>
            <w:r>
              <w:rPr>
                <w:rFonts w:cs="Tahoma"/>
                <w:sz w:val="16"/>
                <w:szCs w:val="16"/>
              </w:rPr>
              <w:t>, İlgili Kurum ve Kuruluşlar</w:t>
            </w:r>
          </w:p>
        </w:tc>
        <w:tc>
          <w:tcPr>
            <w:tcW w:w="726" w:type="dxa"/>
            <w:tcMar>
              <w:top w:w="0" w:type="dxa"/>
              <w:left w:w="28" w:type="dxa"/>
              <w:bottom w:w="0" w:type="dxa"/>
              <w:right w:w="28" w:type="dxa"/>
            </w:tcMar>
          </w:tcPr>
          <w:p w:rsidR="00565FD5" w:rsidRPr="009B3D4C" w:rsidRDefault="00565FD5" w:rsidP="00AB62A3">
            <w:pPr>
              <w:spacing w:before="20" w:after="20"/>
              <w:rPr>
                <w:rFonts w:cs="Tahoma"/>
                <w:sz w:val="16"/>
                <w:szCs w:val="16"/>
              </w:rPr>
            </w:pPr>
            <w:r w:rsidRPr="009B3D4C">
              <w:rPr>
                <w:rFonts w:cs="Tahoma"/>
                <w:sz w:val="16"/>
                <w:szCs w:val="16"/>
              </w:rPr>
              <w:t>Aralık Sonu</w:t>
            </w:r>
          </w:p>
        </w:tc>
        <w:tc>
          <w:tcPr>
            <w:tcW w:w="2785" w:type="dxa"/>
            <w:tcMar>
              <w:top w:w="0" w:type="dxa"/>
              <w:left w:w="28" w:type="dxa"/>
              <w:bottom w:w="0" w:type="dxa"/>
              <w:right w:w="28" w:type="dxa"/>
            </w:tcMar>
          </w:tcPr>
          <w:p w:rsidR="00565FD5" w:rsidRPr="009B3D4C" w:rsidRDefault="00565FD5" w:rsidP="00AB62A3">
            <w:pPr>
              <w:spacing w:before="20" w:after="20"/>
              <w:rPr>
                <w:rFonts w:cs="Tahoma"/>
                <w:sz w:val="16"/>
                <w:szCs w:val="16"/>
              </w:rPr>
            </w:pPr>
            <w:r w:rsidRPr="009B3D4C">
              <w:rPr>
                <w:rFonts w:cs="Tahoma"/>
                <w:sz w:val="16"/>
                <w:szCs w:val="16"/>
              </w:rPr>
              <w:t>KOBİ'lerin işbirliği-güçbirliği anlayışıyla bir araya gelerek ortak tedarik,  tasarım, pazarlama, laboratuvar, makine-teçhizat  kullanımı ve benzeri konularda hazırlayacakları projeler desteklenecektir.</w:t>
            </w:r>
          </w:p>
        </w:tc>
      </w:tr>
      <w:tr w:rsidR="00565FD5" w:rsidRPr="009B3D4C" w:rsidTr="00AB62A3">
        <w:trPr>
          <w:jc w:val="center"/>
        </w:trPr>
        <w:tc>
          <w:tcPr>
            <w:tcW w:w="1820" w:type="dxa"/>
          </w:tcPr>
          <w:p w:rsidR="00565FD5" w:rsidRPr="009B3D4C" w:rsidRDefault="00565FD5" w:rsidP="00EB1E69">
            <w:pPr>
              <w:numPr>
                <w:ilvl w:val="0"/>
                <w:numId w:val="14"/>
              </w:numPr>
              <w:tabs>
                <w:tab w:val="left" w:pos="425"/>
              </w:tabs>
              <w:spacing w:before="20" w:after="20" w:line="240" w:lineRule="auto"/>
              <w:rPr>
                <w:rFonts w:cs="Tahoma"/>
                <w:sz w:val="16"/>
                <w:szCs w:val="16"/>
              </w:rPr>
            </w:pPr>
            <w:r w:rsidRPr="009B3D4C">
              <w:rPr>
                <w:rFonts w:cs="Tahoma"/>
                <w:sz w:val="16"/>
                <w:szCs w:val="16"/>
              </w:rPr>
              <w:t>İş geliştirme ve kuluçka merkezlerinin sayısı ve etkinliği artırılacaktır.</w:t>
            </w:r>
          </w:p>
        </w:tc>
        <w:tc>
          <w:tcPr>
            <w:tcW w:w="1813" w:type="dxa"/>
          </w:tcPr>
          <w:p w:rsidR="00565FD5" w:rsidRPr="009B3D4C" w:rsidRDefault="00565FD5" w:rsidP="00AB62A3">
            <w:pPr>
              <w:spacing w:before="20" w:after="20"/>
              <w:rPr>
                <w:rFonts w:cs="Tahoma"/>
                <w:sz w:val="16"/>
                <w:szCs w:val="16"/>
              </w:rPr>
            </w:pPr>
            <w:r w:rsidRPr="009B3D4C">
              <w:rPr>
                <w:rFonts w:cs="Tahoma"/>
                <w:sz w:val="16"/>
                <w:szCs w:val="16"/>
              </w:rPr>
              <w:t>KOSGEB (S)</w:t>
            </w:r>
            <w:r>
              <w:rPr>
                <w:rFonts w:cs="Tahoma"/>
                <w:sz w:val="16"/>
                <w:szCs w:val="16"/>
              </w:rPr>
              <w:t>, İlgili Kurum ve Kuruluşlar</w:t>
            </w:r>
          </w:p>
        </w:tc>
        <w:tc>
          <w:tcPr>
            <w:tcW w:w="726" w:type="dxa"/>
          </w:tcPr>
          <w:p w:rsidR="00565FD5" w:rsidRPr="009B3D4C" w:rsidRDefault="00565FD5" w:rsidP="00AB62A3">
            <w:pPr>
              <w:spacing w:before="20" w:after="20"/>
              <w:rPr>
                <w:rFonts w:cs="Tahoma"/>
                <w:sz w:val="16"/>
                <w:szCs w:val="16"/>
              </w:rPr>
            </w:pPr>
            <w:r w:rsidRPr="009B3D4C">
              <w:rPr>
                <w:rFonts w:cs="Tahoma"/>
                <w:sz w:val="16"/>
                <w:szCs w:val="16"/>
              </w:rPr>
              <w:t>Aralık Sonu</w:t>
            </w:r>
          </w:p>
        </w:tc>
        <w:tc>
          <w:tcPr>
            <w:tcW w:w="2785" w:type="dxa"/>
          </w:tcPr>
          <w:p w:rsidR="00565FD5" w:rsidRPr="009B3D4C" w:rsidRDefault="00565FD5" w:rsidP="00AB62A3">
            <w:pPr>
              <w:spacing w:before="20" w:after="20"/>
              <w:rPr>
                <w:rFonts w:cs="Tahoma"/>
                <w:sz w:val="16"/>
                <w:szCs w:val="16"/>
              </w:rPr>
            </w:pPr>
            <w:r w:rsidRPr="009B3D4C">
              <w:rPr>
                <w:rFonts w:cs="Tahoma"/>
                <w:sz w:val="16"/>
                <w:szCs w:val="16"/>
              </w:rPr>
              <w:t>İşletmelerin özellikle kuruluş dönemlerinde önemli katkılar sağlayan İŞGEM ve TEKMER benzeri yapıların oluşturulması ve etkinleştirilmesi sağlanacaktır.</w:t>
            </w:r>
          </w:p>
        </w:tc>
      </w:tr>
      <w:tr w:rsidR="00565FD5" w:rsidRPr="009B3D4C" w:rsidTr="00AB62A3">
        <w:trPr>
          <w:jc w:val="center"/>
        </w:trPr>
        <w:tc>
          <w:tcPr>
            <w:tcW w:w="1820" w:type="dxa"/>
          </w:tcPr>
          <w:p w:rsidR="00565FD5" w:rsidRPr="009B3D4C" w:rsidRDefault="00565FD5" w:rsidP="00EB1E69">
            <w:pPr>
              <w:numPr>
                <w:ilvl w:val="0"/>
                <w:numId w:val="14"/>
              </w:numPr>
              <w:tabs>
                <w:tab w:val="left" w:pos="425"/>
              </w:tabs>
              <w:spacing w:before="20" w:after="20" w:line="240" w:lineRule="auto"/>
              <w:rPr>
                <w:rFonts w:cs="Tahoma"/>
                <w:sz w:val="16"/>
                <w:szCs w:val="16"/>
              </w:rPr>
            </w:pPr>
            <w:r w:rsidRPr="009B3D4C">
              <w:rPr>
                <w:rFonts w:cs="Tahoma"/>
                <w:sz w:val="16"/>
                <w:szCs w:val="16"/>
              </w:rPr>
              <w:t>Organize Sanayi Bölgelerinin etkinliği artırılacaktır.</w:t>
            </w:r>
          </w:p>
        </w:tc>
        <w:tc>
          <w:tcPr>
            <w:tcW w:w="1813" w:type="dxa"/>
          </w:tcPr>
          <w:p w:rsidR="00565FD5" w:rsidRPr="009B3D4C" w:rsidRDefault="00565FD5" w:rsidP="00AB62A3">
            <w:pPr>
              <w:spacing w:before="20" w:after="20"/>
              <w:rPr>
                <w:rFonts w:cs="Tahoma"/>
                <w:sz w:val="16"/>
                <w:szCs w:val="16"/>
              </w:rPr>
            </w:pPr>
            <w:r w:rsidRPr="009B3D4C">
              <w:rPr>
                <w:rFonts w:cs="Tahoma"/>
                <w:sz w:val="16"/>
                <w:szCs w:val="16"/>
              </w:rPr>
              <w:t>Bilim, Sanayi ve Teknoloji Bakanlığı (S)</w:t>
            </w:r>
            <w:r>
              <w:rPr>
                <w:rFonts w:cs="Tahoma"/>
                <w:sz w:val="16"/>
                <w:szCs w:val="16"/>
              </w:rPr>
              <w:t>, İlgili Kurum ve Kuruluşlar</w:t>
            </w:r>
          </w:p>
        </w:tc>
        <w:tc>
          <w:tcPr>
            <w:tcW w:w="726" w:type="dxa"/>
          </w:tcPr>
          <w:p w:rsidR="00565FD5" w:rsidRPr="009B3D4C" w:rsidRDefault="00565FD5" w:rsidP="00AB62A3">
            <w:pPr>
              <w:spacing w:before="20" w:after="20"/>
              <w:rPr>
                <w:rFonts w:cs="Tahoma"/>
                <w:sz w:val="16"/>
                <w:szCs w:val="16"/>
              </w:rPr>
            </w:pPr>
            <w:r w:rsidRPr="009B3D4C">
              <w:rPr>
                <w:rFonts w:cs="Tahoma"/>
                <w:sz w:val="16"/>
                <w:szCs w:val="16"/>
              </w:rPr>
              <w:t>Aralık Sonu</w:t>
            </w:r>
          </w:p>
        </w:tc>
        <w:tc>
          <w:tcPr>
            <w:tcW w:w="2785" w:type="dxa"/>
          </w:tcPr>
          <w:p w:rsidR="00565FD5" w:rsidRPr="009B3D4C" w:rsidRDefault="00565FD5" w:rsidP="00AB62A3">
            <w:pPr>
              <w:spacing w:before="20" w:after="20"/>
              <w:rPr>
                <w:rFonts w:cs="Tahoma"/>
                <w:sz w:val="16"/>
                <w:szCs w:val="16"/>
              </w:rPr>
            </w:pPr>
            <w:r w:rsidRPr="009B3D4C">
              <w:rPr>
                <w:rFonts w:cs="Tahoma"/>
                <w:sz w:val="16"/>
                <w:szCs w:val="16"/>
              </w:rPr>
              <w:t>Organize sanayi bölgeleri politika ve uygulamalarını geliştirmek amacıyla etki analizi yapılacak ve OSB Müdürlüklerinin kapasiteleri geliştirilerek bir izleme ve değerlendirme sistemi kurulacaktır.</w:t>
            </w:r>
          </w:p>
        </w:tc>
      </w:tr>
      <w:tr w:rsidR="00565FD5" w:rsidRPr="009B3D4C" w:rsidTr="00AB62A3">
        <w:trPr>
          <w:jc w:val="center"/>
        </w:trPr>
        <w:tc>
          <w:tcPr>
            <w:tcW w:w="1820" w:type="dxa"/>
          </w:tcPr>
          <w:p w:rsidR="00565FD5" w:rsidRPr="009B3D4C" w:rsidRDefault="00565FD5" w:rsidP="00EB1E69">
            <w:pPr>
              <w:numPr>
                <w:ilvl w:val="0"/>
                <w:numId w:val="14"/>
              </w:numPr>
              <w:tabs>
                <w:tab w:val="left" w:pos="425"/>
              </w:tabs>
              <w:spacing w:before="20" w:after="20" w:line="240" w:lineRule="auto"/>
              <w:rPr>
                <w:rFonts w:cs="Tahoma"/>
                <w:sz w:val="16"/>
                <w:szCs w:val="16"/>
              </w:rPr>
            </w:pPr>
            <w:r w:rsidRPr="009B3D4C">
              <w:rPr>
                <w:rFonts w:cs="Tahoma"/>
                <w:sz w:val="16"/>
                <w:szCs w:val="16"/>
              </w:rPr>
              <w:t>Türkiye Verimlilik Stratejisi ve Eylem Planı (2014-2017) Belgesi hazırlanacaktır.</w:t>
            </w:r>
          </w:p>
        </w:tc>
        <w:tc>
          <w:tcPr>
            <w:tcW w:w="1813" w:type="dxa"/>
          </w:tcPr>
          <w:p w:rsidR="00565FD5" w:rsidRPr="009B3D4C" w:rsidRDefault="00565FD5" w:rsidP="00AB62A3">
            <w:pPr>
              <w:spacing w:before="20" w:after="20"/>
              <w:rPr>
                <w:rFonts w:cs="Tahoma"/>
                <w:sz w:val="16"/>
                <w:szCs w:val="16"/>
              </w:rPr>
            </w:pPr>
            <w:r w:rsidRPr="009B3D4C">
              <w:rPr>
                <w:rFonts w:cs="Tahoma"/>
                <w:sz w:val="16"/>
                <w:szCs w:val="16"/>
              </w:rPr>
              <w:t>Bilim, Sanayi ve Teknoloji Bakanlığı (S)</w:t>
            </w:r>
            <w:r>
              <w:rPr>
                <w:rFonts w:cs="Tahoma"/>
                <w:sz w:val="16"/>
                <w:szCs w:val="16"/>
              </w:rPr>
              <w:t>, İlgili Kurum ve Kuruluşlar</w:t>
            </w:r>
          </w:p>
        </w:tc>
        <w:tc>
          <w:tcPr>
            <w:tcW w:w="726" w:type="dxa"/>
          </w:tcPr>
          <w:p w:rsidR="00565FD5" w:rsidRPr="009B3D4C" w:rsidRDefault="00565FD5" w:rsidP="00AB62A3">
            <w:pPr>
              <w:spacing w:before="20" w:after="20"/>
              <w:rPr>
                <w:rFonts w:cs="Tahoma"/>
                <w:sz w:val="16"/>
                <w:szCs w:val="16"/>
              </w:rPr>
            </w:pPr>
            <w:r>
              <w:rPr>
                <w:rFonts w:cs="Tahoma"/>
                <w:sz w:val="16"/>
                <w:szCs w:val="16"/>
              </w:rPr>
              <w:t>Haziran</w:t>
            </w:r>
            <w:r w:rsidRPr="009B3D4C">
              <w:rPr>
                <w:rFonts w:cs="Tahoma"/>
                <w:sz w:val="16"/>
                <w:szCs w:val="16"/>
              </w:rPr>
              <w:t>Sonu</w:t>
            </w:r>
          </w:p>
        </w:tc>
        <w:tc>
          <w:tcPr>
            <w:tcW w:w="2785" w:type="dxa"/>
          </w:tcPr>
          <w:p w:rsidR="00565FD5" w:rsidRPr="009B3D4C" w:rsidRDefault="00565FD5" w:rsidP="00AB62A3">
            <w:pPr>
              <w:spacing w:before="20" w:after="20"/>
              <w:rPr>
                <w:rFonts w:cs="Tahoma"/>
                <w:sz w:val="16"/>
                <w:szCs w:val="16"/>
              </w:rPr>
            </w:pPr>
            <w:r w:rsidRPr="009B3D4C">
              <w:rPr>
                <w:rFonts w:cs="Tahoma"/>
                <w:sz w:val="16"/>
                <w:szCs w:val="16"/>
              </w:rPr>
              <w:t>Türkiye Verimlilik Stratejisi ve Eylem Planı (2014-2017) Belgesi hazırlıkları 2013 yılı Haziran ayında tamamlanacaktır.</w:t>
            </w:r>
          </w:p>
        </w:tc>
      </w:tr>
      <w:tr w:rsidR="00565FD5" w:rsidRPr="009B3D4C" w:rsidTr="00AB62A3">
        <w:trPr>
          <w:jc w:val="center"/>
        </w:trPr>
        <w:tc>
          <w:tcPr>
            <w:tcW w:w="1820" w:type="dxa"/>
          </w:tcPr>
          <w:p w:rsidR="00565FD5" w:rsidRPr="009B3D4C" w:rsidRDefault="00565FD5" w:rsidP="00EB1E69">
            <w:pPr>
              <w:numPr>
                <w:ilvl w:val="0"/>
                <w:numId w:val="14"/>
              </w:numPr>
              <w:tabs>
                <w:tab w:val="left" w:pos="425"/>
              </w:tabs>
              <w:spacing w:after="0" w:line="240" w:lineRule="auto"/>
              <w:rPr>
                <w:rFonts w:cs="Tahoma"/>
                <w:sz w:val="16"/>
                <w:szCs w:val="16"/>
              </w:rPr>
            </w:pPr>
            <w:r w:rsidRPr="009B3D4C">
              <w:rPr>
                <w:rFonts w:cs="Tahoma"/>
                <w:sz w:val="16"/>
                <w:szCs w:val="16"/>
              </w:rPr>
              <w:t>Ulusal Temiz Üretim/Eko-Verimlilik Programı hazırlanacaktır.</w:t>
            </w:r>
          </w:p>
        </w:tc>
        <w:tc>
          <w:tcPr>
            <w:tcW w:w="1813" w:type="dxa"/>
          </w:tcPr>
          <w:p w:rsidR="00565FD5" w:rsidRPr="009B3D4C" w:rsidRDefault="00565FD5" w:rsidP="00AB62A3">
            <w:pPr>
              <w:rPr>
                <w:rFonts w:cs="Tahoma"/>
                <w:sz w:val="16"/>
                <w:szCs w:val="16"/>
              </w:rPr>
            </w:pPr>
            <w:r w:rsidRPr="009B3D4C">
              <w:rPr>
                <w:rFonts w:cs="Tahoma"/>
                <w:sz w:val="16"/>
                <w:szCs w:val="16"/>
              </w:rPr>
              <w:t>Bilim, Sanayi ve Teknoloji Bakanlığı (S)</w:t>
            </w:r>
            <w:r>
              <w:rPr>
                <w:rFonts w:cs="Tahoma"/>
                <w:sz w:val="16"/>
                <w:szCs w:val="16"/>
              </w:rPr>
              <w:t>, İlgili Kurum ve Kuruluşlar</w:t>
            </w:r>
          </w:p>
        </w:tc>
        <w:tc>
          <w:tcPr>
            <w:tcW w:w="726" w:type="dxa"/>
          </w:tcPr>
          <w:p w:rsidR="00565FD5" w:rsidRPr="009B3D4C" w:rsidRDefault="00565FD5" w:rsidP="00AB62A3">
            <w:pPr>
              <w:rPr>
                <w:rFonts w:cs="Tahoma"/>
                <w:sz w:val="16"/>
                <w:szCs w:val="16"/>
              </w:rPr>
            </w:pPr>
            <w:r w:rsidRPr="009B3D4C">
              <w:rPr>
                <w:rFonts w:cs="Tahoma"/>
                <w:sz w:val="16"/>
                <w:szCs w:val="16"/>
              </w:rPr>
              <w:t>Aralık Sonu</w:t>
            </w:r>
          </w:p>
        </w:tc>
        <w:tc>
          <w:tcPr>
            <w:tcW w:w="2785" w:type="dxa"/>
          </w:tcPr>
          <w:p w:rsidR="00565FD5" w:rsidRPr="009B3D4C" w:rsidRDefault="00565FD5" w:rsidP="00AB62A3">
            <w:pPr>
              <w:rPr>
                <w:rFonts w:cs="Tahoma"/>
                <w:sz w:val="16"/>
                <w:szCs w:val="16"/>
              </w:rPr>
            </w:pPr>
            <w:r w:rsidRPr="009B3D4C">
              <w:rPr>
                <w:rFonts w:cs="Tahoma"/>
                <w:sz w:val="16"/>
                <w:szCs w:val="16"/>
              </w:rPr>
              <w:t>Ulusal Temiz Üretim/Eko-Verimlilik Programlarının geliştirilmesi yönünde gerekli yasal düzenlemeler için öneri ve taslaklar oluşturulacaktır. Temiz üretim/eko-verimlilik alanında kullanılan finansman modelleri incelenecek ve ulusal ölçekte uygun alternatifler geliştirilecektir.</w:t>
            </w:r>
          </w:p>
        </w:tc>
      </w:tr>
      <w:tr w:rsidR="00565FD5" w:rsidRPr="009B3D4C" w:rsidTr="00AB62A3">
        <w:trPr>
          <w:jc w:val="center"/>
        </w:trPr>
        <w:tc>
          <w:tcPr>
            <w:tcW w:w="1820" w:type="dxa"/>
          </w:tcPr>
          <w:p w:rsidR="00565FD5" w:rsidRPr="009B3D4C" w:rsidRDefault="00565FD5" w:rsidP="00EB1E69">
            <w:pPr>
              <w:numPr>
                <w:ilvl w:val="0"/>
                <w:numId w:val="14"/>
              </w:numPr>
              <w:tabs>
                <w:tab w:val="left" w:pos="425"/>
              </w:tabs>
              <w:spacing w:after="0" w:line="240" w:lineRule="auto"/>
              <w:rPr>
                <w:rFonts w:cs="Tahoma"/>
                <w:sz w:val="16"/>
                <w:szCs w:val="16"/>
              </w:rPr>
            </w:pPr>
            <w:r w:rsidRPr="009B3D4C">
              <w:rPr>
                <w:rFonts w:cs="Tahoma"/>
                <w:sz w:val="16"/>
                <w:szCs w:val="16"/>
              </w:rPr>
              <w:t>Sanayide temiz üretim/eko-verimlilik çalışmalarının uygulanmasını sağlamak amacıyla bir Temiz Üretim/Eko-Verimlilik Merkezi kurulacaktır.</w:t>
            </w:r>
          </w:p>
        </w:tc>
        <w:tc>
          <w:tcPr>
            <w:tcW w:w="1813" w:type="dxa"/>
          </w:tcPr>
          <w:p w:rsidR="00565FD5" w:rsidRPr="009B3D4C" w:rsidRDefault="00565FD5" w:rsidP="00AB62A3">
            <w:pPr>
              <w:rPr>
                <w:rFonts w:cs="Tahoma"/>
                <w:sz w:val="16"/>
                <w:szCs w:val="16"/>
              </w:rPr>
            </w:pPr>
            <w:r w:rsidRPr="009B3D4C">
              <w:rPr>
                <w:rFonts w:cs="Tahoma"/>
                <w:sz w:val="16"/>
                <w:szCs w:val="16"/>
              </w:rPr>
              <w:t>Bilim, Sanayi ve Teknoloji Bakanlığı (S)</w:t>
            </w:r>
          </w:p>
        </w:tc>
        <w:tc>
          <w:tcPr>
            <w:tcW w:w="726" w:type="dxa"/>
          </w:tcPr>
          <w:p w:rsidR="00565FD5" w:rsidRPr="009B3D4C" w:rsidRDefault="00565FD5" w:rsidP="00AB62A3">
            <w:pPr>
              <w:rPr>
                <w:rFonts w:cs="Tahoma"/>
                <w:sz w:val="16"/>
                <w:szCs w:val="16"/>
              </w:rPr>
            </w:pPr>
            <w:r w:rsidRPr="009B3D4C">
              <w:rPr>
                <w:rFonts w:cs="Tahoma"/>
                <w:sz w:val="16"/>
                <w:szCs w:val="16"/>
              </w:rPr>
              <w:t>Aralık Sonu</w:t>
            </w:r>
          </w:p>
        </w:tc>
        <w:tc>
          <w:tcPr>
            <w:tcW w:w="2785" w:type="dxa"/>
          </w:tcPr>
          <w:p w:rsidR="00565FD5" w:rsidRPr="009B3D4C" w:rsidRDefault="00565FD5" w:rsidP="00AB62A3">
            <w:pPr>
              <w:rPr>
                <w:rFonts w:cs="Tahoma"/>
                <w:sz w:val="16"/>
                <w:szCs w:val="16"/>
              </w:rPr>
            </w:pPr>
            <w:r w:rsidRPr="009B3D4C">
              <w:rPr>
                <w:rFonts w:cs="Tahoma"/>
                <w:sz w:val="16"/>
                <w:szCs w:val="16"/>
              </w:rPr>
              <w:t>Temiz Üretim/Eko-Verimlilik Merkezinin yapısına ilişkin hukuki ve mali altyapı çalışmaları tamamlanacaktır. Diğer ülkelerdeki benzer merkezlerin yapısı incelenerek ülkemiz açısından uygun olan yapının tasarlanması çalışmaları gerçekleştirilecektir.</w:t>
            </w:r>
          </w:p>
        </w:tc>
      </w:tr>
      <w:tr w:rsidR="00565FD5" w:rsidRPr="009B3D4C" w:rsidTr="00AB62A3">
        <w:trPr>
          <w:jc w:val="center"/>
        </w:trPr>
        <w:tc>
          <w:tcPr>
            <w:tcW w:w="1820" w:type="dxa"/>
          </w:tcPr>
          <w:p w:rsidR="00565FD5" w:rsidRPr="009B3D4C" w:rsidRDefault="00565FD5" w:rsidP="00EB1E69">
            <w:pPr>
              <w:numPr>
                <w:ilvl w:val="0"/>
                <w:numId w:val="14"/>
              </w:numPr>
              <w:tabs>
                <w:tab w:val="left" w:pos="425"/>
              </w:tabs>
              <w:spacing w:after="0" w:line="240" w:lineRule="auto"/>
              <w:rPr>
                <w:rFonts w:cs="Tahoma"/>
                <w:sz w:val="16"/>
                <w:szCs w:val="16"/>
              </w:rPr>
            </w:pPr>
            <w:r w:rsidRPr="009B3D4C">
              <w:rPr>
                <w:rFonts w:cs="Tahoma"/>
                <w:sz w:val="16"/>
                <w:szCs w:val="16"/>
              </w:rPr>
              <w:t xml:space="preserve">Verimlilik ve temiz üretim/eko-verimlilik konusunda bilimsel kapasitenin güçlendirilmesi için </w:t>
            </w:r>
            <w:r w:rsidRPr="009B3D4C">
              <w:rPr>
                <w:rFonts w:cs="Tahoma"/>
                <w:sz w:val="16"/>
                <w:szCs w:val="16"/>
              </w:rPr>
              <w:lastRenderedPageBreak/>
              <w:t>bilimsel etkinlikler düzenlenecektir.</w:t>
            </w:r>
          </w:p>
        </w:tc>
        <w:tc>
          <w:tcPr>
            <w:tcW w:w="1813" w:type="dxa"/>
          </w:tcPr>
          <w:p w:rsidR="00565FD5" w:rsidRPr="009B3D4C" w:rsidRDefault="00565FD5" w:rsidP="00AB62A3">
            <w:pPr>
              <w:rPr>
                <w:rFonts w:cs="Tahoma"/>
                <w:sz w:val="16"/>
                <w:szCs w:val="16"/>
              </w:rPr>
            </w:pPr>
            <w:r w:rsidRPr="009B3D4C">
              <w:rPr>
                <w:rFonts w:cs="Tahoma"/>
                <w:sz w:val="16"/>
                <w:szCs w:val="16"/>
              </w:rPr>
              <w:lastRenderedPageBreak/>
              <w:t>Bilim, Sa</w:t>
            </w:r>
            <w:r>
              <w:rPr>
                <w:rFonts w:cs="Tahoma"/>
                <w:sz w:val="16"/>
                <w:szCs w:val="16"/>
              </w:rPr>
              <w:t>nayi ve Teknoloji Bakanlığı (S)</w:t>
            </w:r>
            <w:r w:rsidRPr="009B3D4C">
              <w:rPr>
                <w:rFonts w:cs="Tahoma"/>
                <w:sz w:val="16"/>
                <w:szCs w:val="16"/>
              </w:rPr>
              <w:t xml:space="preserve"> </w:t>
            </w:r>
          </w:p>
        </w:tc>
        <w:tc>
          <w:tcPr>
            <w:tcW w:w="726" w:type="dxa"/>
          </w:tcPr>
          <w:p w:rsidR="00565FD5" w:rsidRPr="009B3D4C" w:rsidRDefault="00565FD5" w:rsidP="00AB62A3">
            <w:pPr>
              <w:rPr>
                <w:rFonts w:cs="Tahoma"/>
                <w:sz w:val="16"/>
                <w:szCs w:val="16"/>
              </w:rPr>
            </w:pPr>
            <w:r w:rsidRPr="009B3D4C">
              <w:rPr>
                <w:rFonts w:cs="Tahoma"/>
                <w:sz w:val="16"/>
                <w:szCs w:val="16"/>
              </w:rPr>
              <w:t>Aralık Sonu</w:t>
            </w:r>
          </w:p>
        </w:tc>
        <w:tc>
          <w:tcPr>
            <w:tcW w:w="2785" w:type="dxa"/>
          </w:tcPr>
          <w:p w:rsidR="00565FD5" w:rsidRPr="009B3D4C" w:rsidRDefault="00565FD5" w:rsidP="00AB62A3">
            <w:pPr>
              <w:rPr>
                <w:rFonts w:cs="Tahoma"/>
                <w:sz w:val="16"/>
                <w:szCs w:val="16"/>
              </w:rPr>
            </w:pPr>
            <w:r w:rsidRPr="009B3D4C">
              <w:rPr>
                <w:rFonts w:cs="Tahoma"/>
                <w:sz w:val="16"/>
                <w:szCs w:val="16"/>
              </w:rPr>
              <w:t xml:space="preserve">2013 Ekim ayında 4. Ulusal Verimlilik Kongresi gerçekleştirilecektir. 2013 yılı sonuna kadar en az 3 tane kongre, ulusal, uluslararası, bölgesel ve sektörel </w:t>
            </w:r>
            <w:r w:rsidRPr="009B3D4C">
              <w:rPr>
                <w:rFonts w:cs="Tahoma"/>
                <w:sz w:val="16"/>
                <w:szCs w:val="16"/>
              </w:rPr>
              <w:lastRenderedPageBreak/>
              <w:t>düzeyde çalıştay, konferans, panel vb. bilimsel etkinlikler düzenlenecektir.</w:t>
            </w:r>
          </w:p>
        </w:tc>
      </w:tr>
      <w:tr w:rsidR="00565FD5" w:rsidRPr="009B3D4C" w:rsidTr="00AB62A3">
        <w:trPr>
          <w:jc w:val="center"/>
        </w:trPr>
        <w:tc>
          <w:tcPr>
            <w:tcW w:w="1820" w:type="dxa"/>
          </w:tcPr>
          <w:p w:rsidR="00565FD5" w:rsidRPr="009B3D4C" w:rsidRDefault="00565FD5" w:rsidP="00EB1E69">
            <w:pPr>
              <w:numPr>
                <w:ilvl w:val="0"/>
                <w:numId w:val="14"/>
              </w:numPr>
              <w:tabs>
                <w:tab w:val="left" w:pos="425"/>
              </w:tabs>
              <w:spacing w:after="0" w:line="240" w:lineRule="auto"/>
              <w:rPr>
                <w:rFonts w:cs="Tahoma"/>
                <w:sz w:val="16"/>
                <w:szCs w:val="16"/>
              </w:rPr>
            </w:pPr>
            <w:r w:rsidRPr="009B3D4C">
              <w:rPr>
                <w:rFonts w:cs="Tahoma"/>
                <w:sz w:val="16"/>
                <w:szCs w:val="16"/>
              </w:rPr>
              <w:lastRenderedPageBreak/>
              <w:t>Uluslararası standartlara uygun üçer aylık ve yıllık ulusal verimlilik gösterge ve istatistikleri oluşturulacaktır.</w:t>
            </w:r>
          </w:p>
        </w:tc>
        <w:tc>
          <w:tcPr>
            <w:tcW w:w="1813" w:type="dxa"/>
          </w:tcPr>
          <w:p w:rsidR="00565FD5" w:rsidRPr="009B3D4C" w:rsidRDefault="00565FD5" w:rsidP="00AB62A3">
            <w:pPr>
              <w:rPr>
                <w:rFonts w:cs="Tahoma"/>
                <w:sz w:val="16"/>
                <w:szCs w:val="16"/>
              </w:rPr>
            </w:pPr>
            <w:r w:rsidRPr="009B3D4C">
              <w:rPr>
                <w:rFonts w:cs="Tahoma"/>
                <w:sz w:val="16"/>
                <w:szCs w:val="16"/>
              </w:rPr>
              <w:t xml:space="preserve">Bilim, Sanayi ve Teknoloji Bakanlığı (S) </w:t>
            </w:r>
          </w:p>
        </w:tc>
        <w:tc>
          <w:tcPr>
            <w:tcW w:w="726" w:type="dxa"/>
          </w:tcPr>
          <w:p w:rsidR="00565FD5" w:rsidRPr="009B3D4C" w:rsidRDefault="00565FD5" w:rsidP="00AB62A3">
            <w:pPr>
              <w:rPr>
                <w:rFonts w:cs="Tahoma"/>
                <w:sz w:val="16"/>
                <w:szCs w:val="16"/>
              </w:rPr>
            </w:pPr>
            <w:r w:rsidRPr="009B3D4C">
              <w:rPr>
                <w:rFonts w:cs="Tahoma"/>
                <w:sz w:val="16"/>
                <w:szCs w:val="16"/>
              </w:rPr>
              <w:t>Aralık Sonu</w:t>
            </w:r>
          </w:p>
        </w:tc>
        <w:tc>
          <w:tcPr>
            <w:tcW w:w="2785" w:type="dxa"/>
          </w:tcPr>
          <w:p w:rsidR="00565FD5" w:rsidRPr="009B3D4C" w:rsidRDefault="00565FD5" w:rsidP="00AB62A3">
            <w:pPr>
              <w:rPr>
                <w:rFonts w:cs="Tahoma"/>
                <w:sz w:val="16"/>
                <w:szCs w:val="16"/>
              </w:rPr>
            </w:pPr>
            <w:r w:rsidRPr="009B3D4C">
              <w:rPr>
                <w:rFonts w:cs="Tahoma"/>
                <w:sz w:val="16"/>
                <w:szCs w:val="16"/>
              </w:rPr>
              <w:t>Üçer aylık ve yıllık olmak üzere ulusal verimlilik istatistikleri gerekli analizler kullanılarak hesaplanıp yayımlanacaktır.</w:t>
            </w:r>
          </w:p>
        </w:tc>
      </w:tr>
      <w:tr w:rsidR="00565FD5" w:rsidRPr="009B3D4C" w:rsidTr="00AB62A3">
        <w:trPr>
          <w:jc w:val="center"/>
        </w:trPr>
        <w:tc>
          <w:tcPr>
            <w:tcW w:w="7144" w:type="dxa"/>
            <w:gridSpan w:val="4"/>
          </w:tcPr>
          <w:p w:rsidR="00565FD5" w:rsidRPr="009B3D4C" w:rsidRDefault="00565FD5" w:rsidP="00EB1E69">
            <w:pPr>
              <w:numPr>
                <w:ilvl w:val="0"/>
                <w:numId w:val="15"/>
              </w:numPr>
              <w:autoSpaceDE w:val="0"/>
              <w:autoSpaceDN w:val="0"/>
              <w:adjustRightInd w:val="0"/>
              <w:spacing w:after="0" w:line="240" w:lineRule="auto"/>
              <w:jc w:val="both"/>
              <w:rPr>
                <w:rFonts w:cs="Tahoma"/>
                <w:b/>
                <w:color w:val="000000"/>
                <w:sz w:val="16"/>
                <w:szCs w:val="16"/>
                <w:lang w:val="en-US"/>
              </w:rPr>
            </w:pPr>
            <w:r w:rsidRPr="009B3D4C">
              <w:rPr>
                <w:rFonts w:cs="Tahoma"/>
                <w:b/>
                <w:color w:val="000000"/>
                <w:sz w:val="16"/>
                <w:szCs w:val="16"/>
              </w:rPr>
              <w:t>Savunma sanayiinde; yurtiçi teknoloji, tasarım ve üretim yetenekleri geliştirilecektir.</w:t>
            </w:r>
          </w:p>
        </w:tc>
      </w:tr>
      <w:tr w:rsidR="00565FD5" w:rsidRPr="009B3D4C" w:rsidTr="00AB62A3">
        <w:trPr>
          <w:jc w:val="center"/>
        </w:trPr>
        <w:tc>
          <w:tcPr>
            <w:tcW w:w="1820" w:type="dxa"/>
            <w:tcMar>
              <w:top w:w="0" w:type="dxa"/>
              <w:left w:w="28" w:type="dxa"/>
              <w:bottom w:w="0" w:type="dxa"/>
              <w:right w:w="28" w:type="dxa"/>
            </w:tcMar>
          </w:tcPr>
          <w:p w:rsidR="00565FD5" w:rsidRPr="009B3D4C" w:rsidRDefault="00565FD5" w:rsidP="00EB1E69">
            <w:pPr>
              <w:numPr>
                <w:ilvl w:val="0"/>
                <w:numId w:val="14"/>
              </w:numPr>
              <w:tabs>
                <w:tab w:val="left" w:pos="425"/>
              </w:tabs>
              <w:spacing w:after="0" w:line="240" w:lineRule="auto"/>
              <w:rPr>
                <w:rFonts w:cs="Tahoma"/>
                <w:sz w:val="16"/>
                <w:szCs w:val="16"/>
              </w:rPr>
            </w:pPr>
            <w:r w:rsidRPr="009B3D4C">
              <w:rPr>
                <w:rFonts w:cs="Tahoma"/>
                <w:sz w:val="16"/>
                <w:szCs w:val="16"/>
              </w:rPr>
              <w:t>Teknolojik üstünlük kazandıracak platform ve sistemlerin yurtiçinde geliştirilmesine yönelik projeler hayata geçirilecektir.</w:t>
            </w:r>
          </w:p>
        </w:tc>
        <w:tc>
          <w:tcPr>
            <w:tcW w:w="1813" w:type="dxa"/>
            <w:tcMar>
              <w:top w:w="0" w:type="dxa"/>
              <w:left w:w="28" w:type="dxa"/>
              <w:bottom w:w="0" w:type="dxa"/>
              <w:right w:w="28" w:type="dxa"/>
            </w:tcMar>
          </w:tcPr>
          <w:p w:rsidR="00565FD5" w:rsidRPr="009B3D4C" w:rsidRDefault="00565FD5" w:rsidP="00AB62A3">
            <w:pPr>
              <w:rPr>
                <w:rFonts w:cs="Tahoma"/>
                <w:sz w:val="16"/>
                <w:szCs w:val="16"/>
              </w:rPr>
            </w:pPr>
            <w:r w:rsidRPr="009B3D4C">
              <w:rPr>
                <w:rFonts w:cs="Tahoma"/>
                <w:sz w:val="16"/>
                <w:szCs w:val="16"/>
              </w:rPr>
              <w:t>Savunma Sanayii Müsteşarlığı (S), Genelkurmay Başkanlığı, MSB, İlgili Kurum ve Kuruluşlar</w:t>
            </w:r>
          </w:p>
        </w:tc>
        <w:tc>
          <w:tcPr>
            <w:tcW w:w="726" w:type="dxa"/>
            <w:tcMar>
              <w:top w:w="0" w:type="dxa"/>
              <w:left w:w="28" w:type="dxa"/>
              <w:bottom w:w="0" w:type="dxa"/>
              <w:right w:w="28" w:type="dxa"/>
            </w:tcMar>
          </w:tcPr>
          <w:p w:rsidR="00565FD5" w:rsidRPr="009B3D4C" w:rsidRDefault="00565FD5" w:rsidP="00AB62A3">
            <w:pPr>
              <w:rPr>
                <w:rFonts w:cs="Tahoma"/>
                <w:sz w:val="16"/>
                <w:szCs w:val="16"/>
              </w:rPr>
            </w:pPr>
            <w:r w:rsidRPr="009B3D4C">
              <w:rPr>
                <w:rFonts w:cs="Tahoma"/>
                <w:sz w:val="16"/>
                <w:szCs w:val="16"/>
              </w:rPr>
              <w:t>Aralık Sonu</w:t>
            </w:r>
          </w:p>
        </w:tc>
        <w:tc>
          <w:tcPr>
            <w:tcW w:w="2785" w:type="dxa"/>
            <w:tcMar>
              <w:top w:w="0" w:type="dxa"/>
              <w:left w:w="28" w:type="dxa"/>
              <w:bottom w:w="0" w:type="dxa"/>
              <w:right w:w="28" w:type="dxa"/>
            </w:tcMar>
          </w:tcPr>
          <w:p w:rsidR="00565FD5" w:rsidRPr="009B3D4C" w:rsidRDefault="00565FD5" w:rsidP="00AB62A3">
            <w:pPr>
              <w:rPr>
                <w:rFonts w:cs="Tahoma"/>
                <w:sz w:val="16"/>
                <w:szCs w:val="16"/>
              </w:rPr>
            </w:pPr>
            <w:r w:rsidRPr="009B3D4C">
              <w:rPr>
                <w:rFonts w:cs="Tahoma"/>
                <w:sz w:val="16"/>
                <w:szCs w:val="16"/>
              </w:rPr>
              <w:t xml:space="preserve">ALTAY </w:t>
            </w:r>
            <w:r>
              <w:rPr>
                <w:rFonts w:cs="Tahoma"/>
                <w:sz w:val="16"/>
                <w:szCs w:val="16"/>
              </w:rPr>
              <w:t xml:space="preserve">Projesi, ANKA Projesi, ATAK Projesi ve HÜRKUŞ Projesi kapsamındaki çalışmalara devam edilecektir. </w:t>
            </w:r>
          </w:p>
        </w:tc>
      </w:tr>
      <w:tr w:rsidR="00565FD5" w:rsidRPr="009B3D4C" w:rsidTr="00AB62A3">
        <w:trPr>
          <w:jc w:val="center"/>
        </w:trPr>
        <w:tc>
          <w:tcPr>
            <w:tcW w:w="1820" w:type="dxa"/>
            <w:tcMar>
              <w:top w:w="0" w:type="dxa"/>
              <w:left w:w="28" w:type="dxa"/>
              <w:bottom w:w="0" w:type="dxa"/>
              <w:right w:w="28" w:type="dxa"/>
            </w:tcMar>
          </w:tcPr>
          <w:p w:rsidR="00565FD5" w:rsidRPr="009B3D4C" w:rsidRDefault="00565FD5" w:rsidP="00EB1E69">
            <w:pPr>
              <w:numPr>
                <w:ilvl w:val="0"/>
                <w:numId w:val="14"/>
              </w:numPr>
              <w:tabs>
                <w:tab w:val="left" w:pos="425"/>
              </w:tabs>
              <w:spacing w:after="0" w:line="240" w:lineRule="auto"/>
              <w:rPr>
                <w:rFonts w:cs="Tahoma"/>
                <w:sz w:val="16"/>
                <w:szCs w:val="16"/>
              </w:rPr>
            </w:pPr>
            <w:r w:rsidRPr="009B3D4C">
              <w:rPr>
                <w:rFonts w:cs="Tahoma"/>
                <w:sz w:val="16"/>
                <w:szCs w:val="16"/>
              </w:rPr>
              <w:t>Performans bazlı ve sanayinin sorumluluk alacağı lojistik destek uygulamaları başlatılacaktır.</w:t>
            </w:r>
          </w:p>
        </w:tc>
        <w:tc>
          <w:tcPr>
            <w:tcW w:w="1813" w:type="dxa"/>
            <w:tcMar>
              <w:top w:w="0" w:type="dxa"/>
              <w:left w:w="28" w:type="dxa"/>
              <w:bottom w:w="0" w:type="dxa"/>
              <w:right w:w="28" w:type="dxa"/>
            </w:tcMar>
          </w:tcPr>
          <w:p w:rsidR="00565FD5" w:rsidRPr="009B3D4C" w:rsidRDefault="00565FD5" w:rsidP="00AB62A3">
            <w:pPr>
              <w:rPr>
                <w:rFonts w:cs="Tahoma"/>
                <w:sz w:val="16"/>
                <w:szCs w:val="16"/>
              </w:rPr>
            </w:pPr>
            <w:r w:rsidRPr="009B3D4C">
              <w:rPr>
                <w:rFonts w:cs="Tahoma"/>
                <w:sz w:val="16"/>
                <w:szCs w:val="16"/>
              </w:rPr>
              <w:t>Savunma Sanayii Müsteşarlığı (S), Genelkurmay Başkanlığı, MSB</w:t>
            </w:r>
          </w:p>
        </w:tc>
        <w:tc>
          <w:tcPr>
            <w:tcW w:w="726" w:type="dxa"/>
            <w:tcMar>
              <w:top w:w="0" w:type="dxa"/>
              <w:left w:w="28" w:type="dxa"/>
              <w:bottom w:w="0" w:type="dxa"/>
              <w:right w:w="28" w:type="dxa"/>
            </w:tcMar>
          </w:tcPr>
          <w:p w:rsidR="00565FD5" w:rsidRPr="009B3D4C" w:rsidRDefault="00565FD5" w:rsidP="00AB62A3">
            <w:pPr>
              <w:rPr>
                <w:rFonts w:cs="Tahoma"/>
                <w:sz w:val="16"/>
                <w:szCs w:val="16"/>
              </w:rPr>
            </w:pPr>
            <w:r w:rsidRPr="009B3D4C">
              <w:rPr>
                <w:rFonts w:cs="Tahoma"/>
                <w:sz w:val="16"/>
                <w:szCs w:val="16"/>
              </w:rPr>
              <w:t>Aralık Sonu</w:t>
            </w:r>
          </w:p>
        </w:tc>
        <w:tc>
          <w:tcPr>
            <w:tcW w:w="2785" w:type="dxa"/>
            <w:tcMar>
              <w:top w:w="0" w:type="dxa"/>
              <w:left w:w="28" w:type="dxa"/>
              <w:bottom w:w="0" w:type="dxa"/>
              <w:right w:w="28" w:type="dxa"/>
            </w:tcMar>
          </w:tcPr>
          <w:p w:rsidR="00565FD5" w:rsidRPr="009B3D4C" w:rsidRDefault="00565FD5" w:rsidP="00AB62A3">
            <w:pPr>
              <w:rPr>
                <w:rFonts w:cs="Tahoma"/>
                <w:sz w:val="16"/>
                <w:szCs w:val="16"/>
              </w:rPr>
            </w:pPr>
            <w:r w:rsidRPr="009B3D4C">
              <w:rPr>
                <w:rFonts w:cs="Tahoma"/>
                <w:sz w:val="16"/>
                <w:szCs w:val="16"/>
              </w:rPr>
              <w:t>SSM Lojistik Yol Haritasının oluşturulması, lojistik destek standart sözleşmelerinin hazırlanması ve en az 3 başlangıç projesinin sözleşmeye bağlanması sağlanacaktır.</w:t>
            </w:r>
          </w:p>
        </w:tc>
      </w:tr>
      <w:tr w:rsidR="00565FD5" w:rsidRPr="009B3D4C" w:rsidTr="00AB62A3">
        <w:trPr>
          <w:jc w:val="center"/>
        </w:trPr>
        <w:tc>
          <w:tcPr>
            <w:tcW w:w="1820" w:type="dxa"/>
            <w:tcMar>
              <w:top w:w="0" w:type="dxa"/>
              <w:left w:w="28" w:type="dxa"/>
              <w:bottom w:w="0" w:type="dxa"/>
              <w:right w:w="28" w:type="dxa"/>
            </w:tcMar>
          </w:tcPr>
          <w:p w:rsidR="00565FD5" w:rsidRPr="009B3D4C" w:rsidRDefault="00565FD5" w:rsidP="00EB1E69">
            <w:pPr>
              <w:numPr>
                <w:ilvl w:val="0"/>
                <w:numId w:val="14"/>
              </w:numPr>
              <w:tabs>
                <w:tab w:val="left" w:pos="425"/>
              </w:tabs>
              <w:spacing w:after="0" w:line="240" w:lineRule="auto"/>
              <w:rPr>
                <w:rFonts w:cs="Tahoma"/>
                <w:sz w:val="16"/>
                <w:szCs w:val="16"/>
              </w:rPr>
            </w:pPr>
            <w:r w:rsidRPr="009B3D4C">
              <w:rPr>
                <w:rFonts w:cs="Tahoma"/>
                <w:sz w:val="16"/>
                <w:szCs w:val="16"/>
              </w:rPr>
              <w:t>İhracat ve tanıtım faaliyetlerinin koordinasyonu için beş bölgede (Orta Doğu, Uzak Doğu, ABD, Kafkasya-Orta Asya, AB-NATO) irtibat ofisleri kurulacaktır.</w:t>
            </w:r>
          </w:p>
        </w:tc>
        <w:tc>
          <w:tcPr>
            <w:tcW w:w="1813" w:type="dxa"/>
            <w:tcMar>
              <w:top w:w="0" w:type="dxa"/>
              <w:left w:w="28" w:type="dxa"/>
              <w:bottom w:w="0" w:type="dxa"/>
              <w:right w:w="28" w:type="dxa"/>
            </w:tcMar>
          </w:tcPr>
          <w:p w:rsidR="00565FD5" w:rsidRPr="009B3D4C" w:rsidRDefault="00565FD5" w:rsidP="00AB62A3">
            <w:pPr>
              <w:rPr>
                <w:rFonts w:cs="Tahoma"/>
                <w:sz w:val="16"/>
                <w:szCs w:val="16"/>
              </w:rPr>
            </w:pPr>
            <w:r w:rsidRPr="009B3D4C">
              <w:rPr>
                <w:rFonts w:cs="Tahoma"/>
                <w:sz w:val="16"/>
                <w:szCs w:val="16"/>
              </w:rPr>
              <w:t>Savunma Sanayii Müsteşarlığı (S), Genelkurmay Başkanlığı, Ekonomi Bakanlığı</w:t>
            </w:r>
          </w:p>
        </w:tc>
        <w:tc>
          <w:tcPr>
            <w:tcW w:w="726" w:type="dxa"/>
            <w:tcMar>
              <w:top w:w="0" w:type="dxa"/>
              <w:left w:w="28" w:type="dxa"/>
              <w:bottom w:w="0" w:type="dxa"/>
              <w:right w:w="28" w:type="dxa"/>
            </w:tcMar>
          </w:tcPr>
          <w:p w:rsidR="00565FD5" w:rsidRPr="009B3D4C" w:rsidRDefault="00565FD5" w:rsidP="00AB62A3">
            <w:pPr>
              <w:rPr>
                <w:rFonts w:cs="Tahoma"/>
                <w:sz w:val="16"/>
                <w:szCs w:val="16"/>
              </w:rPr>
            </w:pPr>
            <w:r w:rsidRPr="009B3D4C">
              <w:rPr>
                <w:rFonts w:cs="Tahoma"/>
                <w:sz w:val="16"/>
                <w:szCs w:val="16"/>
              </w:rPr>
              <w:t>Aralık Sonu</w:t>
            </w:r>
          </w:p>
        </w:tc>
        <w:tc>
          <w:tcPr>
            <w:tcW w:w="2785" w:type="dxa"/>
            <w:tcMar>
              <w:top w:w="0" w:type="dxa"/>
              <w:left w:w="28" w:type="dxa"/>
              <w:bottom w:w="0" w:type="dxa"/>
              <w:right w:w="28" w:type="dxa"/>
            </w:tcMar>
          </w:tcPr>
          <w:p w:rsidR="00565FD5" w:rsidRPr="009B3D4C" w:rsidRDefault="00565FD5" w:rsidP="00AB62A3">
            <w:pPr>
              <w:rPr>
                <w:rFonts w:cs="Tahoma"/>
                <w:sz w:val="16"/>
                <w:szCs w:val="16"/>
              </w:rPr>
            </w:pPr>
            <w:r w:rsidRPr="009B3D4C">
              <w:rPr>
                <w:rFonts w:cs="Tahoma"/>
                <w:sz w:val="16"/>
                <w:szCs w:val="16"/>
              </w:rPr>
              <w:t>Bakü ve Abu Dabi'de açılacak ofisler ile ilgili çalışmalar yapılacaktır. 2013 yılı başında Endonezya'da bir ofis açılması yönünde çalışmalar gerçekleştirilecektir.</w:t>
            </w:r>
          </w:p>
        </w:tc>
      </w:tr>
      <w:tr w:rsidR="00565FD5" w:rsidRPr="009B3D4C" w:rsidTr="00AB62A3">
        <w:trPr>
          <w:jc w:val="center"/>
        </w:trPr>
        <w:tc>
          <w:tcPr>
            <w:tcW w:w="1820" w:type="dxa"/>
            <w:tcMar>
              <w:top w:w="0" w:type="dxa"/>
              <w:left w:w="28" w:type="dxa"/>
              <w:bottom w:w="0" w:type="dxa"/>
              <w:right w:w="28" w:type="dxa"/>
            </w:tcMar>
          </w:tcPr>
          <w:p w:rsidR="00565FD5" w:rsidRPr="009B3D4C" w:rsidRDefault="00565FD5" w:rsidP="00EB1E69">
            <w:pPr>
              <w:numPr>
                <w:ilvl w:val="0"/>
                <w:numId w:val="14"/>
              </w:numPr>
              <w:tabs>
                <w:tab w:val="left" w:pos="425"/>
              </w:tabs>
              <w:spacing w:after="0" w:line="240" w:lineRule="auto"/>
              <w:rPr>
                <w:rFonts w:cs="Tahoma"/>
                <w:sz w:val="16"/>
                <w:szCs w:val="16"/>
              </w:rPr>
            </w:pPr>
            <w:r w:rsidRPr="009B3D4C">
              <w:rPr>
                <w:rFonts w:cs="Tahoma"/>
                <w:sz w:val="16"/>
                <w:szCs w:val="16"/>
              </w:rPr>
              <w:t xml:space="preserve">Türkiye'nin tüm uydu projelerine hizmet edecek Uydu Montaj, Entegrasyon ve Test Merkezi (UMET) faaliyete geçirilecektir. </w:t>
            </w:r>
          </w:p>
        </w:tc>
        <w:tc>
          <w:tcPr>
            <w:tcW w:w="1813" w:type="dxa"/>
            <w:tcMar>
              <w:top w:w="0" w:type="dxa"/>
              <w:left w:w="28" w:type="dxa"/>
              <w:bottom w:w="0" w:type="dxa"/>
              <w:right w:w="28" w:type="dxa"/>
            </w:tcMar>
          </w:tcPr>
          <w:p w:rsidR="00565FD5" w:rsidRPr="009B3D4C" w:rsidRDefault="00565FD5" w:rsidP="00AB62A3">
            <w:pPr>
              <w:rPr>
                <w:rFonts w:cs="Tahoma"/>
                <w:sz w:val="16"/>
                <w:szCs w:val="16"/>
              </w:rPr>
            </w:pPr>
            <w:r w:rsidRPr="009B3D4C">
              <w:rPr>
                <w:rFonts w:cs="Tahoma"/>
                <w:sz w:val="16"/>
                <w:szCs w:val="16"/>
              </w:rPr>
              <w:t>Savunma Sanayii Müsteşarlığı (S), TAİ</w:t>
            </w:r>
          </w:p>
        </w:tc>
        <w:tc>
          <w:tcPr>
            <w:tcW w:w="726" w:type="dxa"/>
            <w:tcMar>
              <w:top w:w="0" w:type="dxa"/>
              <w:left w:w="28" w:type="dxa"/>
              <w:bottom w:w="0" w:type="dxa"/>
              <w:right w:w="28" w:type="dxa"/>
            </w:tcMar>
          </w:tcPr>
          <w:p w:rsidR="00565FD5" w:rsidRPr="009B3D4C" w:rsidRDefault="00565FD5" w:rsidP="00AB62A3">
            <w:pPr>
              <w:rPr>
                <w:rFonts w:cs="Tahoma"/>
                <w:sz w:val="16"/>
                <w:szCs w:val="16"/>
              </w:rPr>
            </w:pPr>
            <w:r w:rsidRPr="009B3D4C">
              <w:rPr>
                <w:rFonts w:cs="Tahoma"/>
                <w:sz w:val="16"/>
                <w:szCs w:val="16"/>
              </w:rPr>
              <w:t>Aralık Sonu</w:t>
            </w:r>
          </w:p>
        </w:tc>
        <w:tc>
          <w:tcPr>
            <w:tcW w:w="2785" w:type="dxa"/>
            <w:tcMar>
              <w:top w:w="0" w:type="dxa"/>
              <w:left w:w="28" w:type="dxa"/>
              <w:bottom w:w="0" w:type="dxa"/>
              <w:right w:w="28" w:type="dxa"/>
            </w:tcMar>
          </w:tcPr>
          <w:p w:rsidR="00565FD5" w:rsidRPr="009B3D4C" w:rsidRDefault="00565FD5" w:rsidP="00AB62A3">
            <w:pPr>
              <w:rPr>
                <w:rFonts w:cs="Tahoma"/>
                <w:sz w:val="16"/>
                <w:szCs w:val="16"/>
              </w:rPr>
            </w:pPr>
            <w:r w:rsidRPr="009B3D4C">
              <w:rPr>
                <w:rFonts w:cs="Tahoma"/>
                <w:sz w:val="16"/>
                <w:szCs w:val="16"/>
              </w:rPr>
              <w:t>2013 sonuna kadar UMET faaliyete geçecektir. GÖKTÜRK-1 Uydusu Türkiye'ye getirilerek, UMET Merkezinde uydunun testleri başlayacaktır.</w:t>
            </w:r>
          </w:p>
        </w:tc>
      </w:tr>
      <w:tr w:rsidR="00565FD5" w:rsidRPr="009B3D4C" w:rsidTr="00AB62A3">
        <w:trPr>
          <w:jc w:val="center"/>
        </w:trPr>
        <w:tc>
          <w:tcPr>
            <w:tcW w:w="7144" w:type="dxa"/>
            <w:gridSpan w:val="4"/>
          </w:tcPr>
          <w:p w:rsidR="00565FD5" w:rsidRPr="009B3D4C" w:rsidRDefault="00565FD5" w:rsidP="00EB1E69">
            <w:pPr>
              <w:numPr>
                <w:ilvl w:val="0"/>
                <w:numId w:val="15"/>
              </w:numPr>
              <w:tabs>
                <w:tab w:val="left" w:pos="425"/>
                <w:tab w:val="left" w:pos="708"/>
              </w:tabs>
              <w:autoSpaceDE w:val="0"/>
              <w:autoSpaceDN w:val="0"/>
              <w:adjustRightInd w:val="0"/>
              <w:spacing w:after="0" w:line="240" w:lineRule="auto"/>
              <w:jc w:val="both"/>
              <w:rPr>
                <w:rFonts w:cs="Tahoma"/>
                <w:b/>
                <w:sz w:val="16"/>
                <w:szCs w:val="16"/>
              </w:rPr>
            </w:pPr>
            <w:r w:rsidRPr="009B3D4C">
              <w:rPr>
                <w:rFonts w:cs="Tahoma"/>
                <w:b/>
                <w:sz w:val="16"/>
                <w:szCs w:val="16"/>
              </w:rPr>
              <w:t>Madencilik sektöründe; maden ve jeotermal kaynak arama faaliyetleri ile yurtiçinde ve yurtdışında petrol ve doğal gaz arama-üretim çalışmaları hızlandırılacak, madenlerin katma değeri yüksek ürünlere dönüştürülmesine önem verilecektir.</w:t>
            </w:r>
          </w:p>
        </w:tc>
      </w:tr>
      <w:tr w:rsidR="00565FD5" w:rsidRPr="009B3D4C" w:rsidTr="00AB62A3">
        <w:trPr>
          <w:jc w:val="center"/>
        </w:trPr>
        <w:tc>
          <w:tcPr>
            <w:tcW w:w="1820" w:type="dxa"/>
          </w:tcPr>
          <w:p w:rsidR="00565FD5" w:rsidRPr="009B3D4C" w:rsidRDefault="00565FD5" w:rsidP="00EB1E69">
            <w:pPr>
              <w:numPr>
                <w:ilvl w:val="0"/>
                <w:numId w:val="14"/>
              </w:numPr>
              <w:tabs>
                <w:tab w:val="left" w:pos="425"/>
              </w:tabs>
              <w:spacing w:after="0" w:line="240" w:lineRule="auto"/>
              <w:rPr>
                <w:rFonts w:cs="Tahoma"/>
                <w:sz w:val="16"/>
                <w:szCs w:val="16"/>
              </w:rPr>
            </w:pPr>
            <w:r w:rsidRPr="009B3D4C">
              <w:rPr>
                <w:rFonts w:cs="Tahoma"/>
                <w:sz w:val="16"/>
                <w:szCs w:val="16"/>
              </w:rPr>
              <w:t>MTA Genel Müdürlüğünün günümüz ihtiyaçlarına göre yeniden yapılandırılmasını sağlamak üzere kuruluş kanunu gözden geçirilecektir.</w:t>
            </w:r>
          </w:p>
        </w:tc>
        <w:tc>
          <w:tcPr>
            <w:tcW w:w="1813" w:type="dxa"/>
          </w:tcPr>
          <w:p w:rsidR="00565FD5" w:rsidRPr="009B3D4C" w:rsidRDefault="00565FD5" w:rsidP="00AB62A3">
            <w:pPr>
              <w:rPr>
                <w:rFonts w:cs="Tahoma"/>
                <w:sz w:val="16"/>
                <w:szCs w:val="16"/>
              </w:rPr>
            </w:pPr>
            <w:r w:rsidRPr="009B3D4C">
              <w:rPr>
                <w:rFonts w:cs="Tahoma"/>
                <w:sz w:val="16"/>
                <w:szCs w:val="16"/>
              </w:rPr>
              <w:t xml:space="preserve">MTA (S), Enerji ve Tabii Kaynaklar Bakanlığı </w:t>
            </w:r>
          </w:p>
        </w:tc>
        <w:tc>
          <w:tcPr>
            <w:tcW w:w="726" w:type="dxa"/>
          </w:tcPr>
          <w:p w:rsidR="00565FD5" w:rsidRPr="009B3D4C" w:rsidRDefault="00565FD5" w:rsidP="00AB62A3">
            <w:pPr>
              <w:rPr>
                <w:rFonts w:cs="Tahoma"/>
                <w:sz w:val="16"/>
                <w:szCs w:val="16"/>
              </w:rPr>
            </w:pPr>
            <w:r w:rsidRPr="009B3D4C">
              <w:rPr>
                <w:rFonts w:cs="Tahoma"/>
                <w:sz w:val="16"/>
                <w:szCs w:val="16"/>
              </w:rPr>
              <w:t>Aralık Sonu</w:t>
            </w:r>
          </w:p>
        </w:tc>
        <w:tc>
          <w:tcPr>
            <w:tcW w:w="2785" w:type="dxa"/>
          </w:tcPr>
          <w:p w:rsidR="00565FD5" w:rsidRPr="009B3D4C" w:rsidRDefault="00565FD5" w:rsidP="00AB62A3">
            <w:pPr>
              <w:autoSpaceDE w:val="0"/>
              <w:autoSpaceDN w:val="0"/>
              <w:rPr>
                <w:rFonts w:cs="Tahoma"/>
                <w:sz w:val="16"/>
                <w:szCs w:val="16"/>
              </w:rPr>
            </w:pPr>
            <w:r w:rsidRPr="009B3D4C">
              <w:rPr>
                <w:rFonts w:cs="Tahoma"/>
                <w:sz w:val="16"/>
                <w:szCs w:val="16"/>
              </w:rPr>
              <w:t>İlgili kurumlarla işbirliği yapılarak dünyadaki benzer örnekler dikkate alınmak suretiyle bir rapor hazırlanacaktır. Rapor esas alınarak hazırlanacak Kanun tasarısı taslağı Başbakanlığa sevk edilecektir.</w:t>
            </w:r>
          </w:p>
        </w:tc>
      </w:tr>
      <w:tr w:rsidR="00565FD5" w:rsidRPr="009B3D4C" w:rsidTr="00AB62A3">
        <w:trPr>
          <w:jc w:val="center"/>
        </w:trPr>
        <w:tc>
          <w:tcPr>
            <w:tcW w:w="1820" w:type="dxa"/>
          </w:tcPr>
          <w:p w:rsidR="00565FD5" w:rsidRPr="009B3D4C" w:rsidRDefault="00565FD5" w:rsidP="00EB1E69">
            <w:pPr>
              <w:numPr>
                <w:ilvl w:val="0"/>
                <w:numId w:val="14"/>
              </w:numPr>
              <w:tabs>
                <w:tab w:val="left" w:pos="425"/>
              </w:tabs>
              <w:spacing w:after="0" w:line="240" w:lineRule="auto"/>
              <w:rPr>
                <w:rFonts w:cs="Tahoma"/>
                <w:sz w:val="16"/>
                <w:szCs w:val="16"/>
              </w:rPr>
            </w:pPr>
            <w:r w:rsidRPr="009B3D4C">
              <w:rPr>
                <w:rFonts w:cs="Tahoma"/>
                <w:sz w:val="16"/>
                <w:szCs w:val="16"/>
              </w:rPr>
              <w:t>TTK’nın yeniden yapılandırılmasına yönelik olarak eylem planı hazırlanacaktır.</w:t>
            </w:r>
          </w:p>
        </w:tc>
        <w:tc>
          <w:tcPr>
            <w:tcW w:w="1813" w:type="dxa"/>
          </w:tcPr>
          <w:p w:rsidR="00565FD5" w:rsidRPr="009B3D4C" w:rsidRDefault="00565FD5" w:rsidP="00AB62A3">
            <w:pPr>
              <w:rPr>
                <w:rFonts w:cs="Tahoma"/>
                <w:sz w:val="16"/>
                <w:szCs w:val="16"/>
              </w:rPr>
            </w:pPr>
            <w:r w:rsidRPr="009B3D4C">
              <w:rPr>
                <w:rFonts w:cs="Tahoma"/>
                <w:sz w:val="16"/>
                <w:szCs w:val="16"/>
              </w:rPr>
              <w:t>Hazine Müsteşarlığı (S), Enerji ve Tabii Kaynaklar Bakanlığı, Kalkınma Bakanlığı, TTK, İlgili Kamu Kurum ve Kuruluşları</w:t>
            </w:r>
          </w:p>
        </w:tc>
        <w:tc>
          <w:tcPr>
            <w:tcW w:w="726" w:type="dxa"/>
          </w:tcPr>
          <w:p w:rsidR="00565FD5" w:rsidRPr="009B3D4C" w:rsidRDefault="00565FD5" w:rsidP="00AB62A3">
            <w:pPr>
              <w:rPr>
                <w:rFonts w:cs="Tahoma"/>
                <w:sz w:val="16"/>
                <w:szCs w:val="16"/>
              </w:rPr>
            </w:pPr>
            <w:r w:rsidRPr="009B3D4C">
              <w:rPr>
                <w:rFonts w:cs="Tahoma"/>
                <w:sz w:val="16"/>
                <w:szCs w:val="16"/>
              </w:rPr>
              <w:t>Aralık Sonu</w:t>
            </w:r>
          </w:p>
        </w:tc>
        <w:tc>
          <w:tcPr>
            <w:tcW w:w="2785" w:type="dxa"/>
          </w:tcPr>
          <w:p w:rsidR="00565FD5" w:rsidRPr="009B3D4C" w:rsidRDefault="00565FD5" w:rsidP="00AB62A3">
            <w:pPr>
              <w:autoSpaceDE w:val="0"/>
              <w:autoSpaceDN w:val="0"/>
              <w:rPr>
                <w:rFonts w:cs="Tahoma"/>
                <w:sz w:val="16"/>
                <w:szCs w:val="16"/>
              </w:rPr>
            </w:pPr>
            <w:r w:rsidRPr="009B3D4C">
              <w:rPr>
                <w:rFonts w:cs="Tahoma"/>
                <w:sz w:val="16"/>
                <w:szCs w:val="16"/>
              </w:rPr>
              <w:t>TTK’nın zarar eden bir yapıdan çıkarılması amacıyla eylem planı hazırlanacak ve kurum yeniden yapılandırılacaktır.</w:t>
            </w:r>
          </w:p>
        </w:tc>
      </w:tr>
      <w:tr w:rsidR="00565FD5" w:rsidRPr="009B3D4C" w:rsidTr="00AB62A3">
        <w:trPr>
          <w:jc w:val="center"/>
        </w:trPr>
        <w:tc>
          <w:tcPr>
            <w:tcW w:w="1820" w:type="dxa"/>
          </w:tcPr>
          <w:p w:rsidR="00565FD5" w:rsidRPr="009C53C7" w:rsidRDefault="00565FD5" w:rsidP="00EB1E69">
            <w:pPr>
              <w:numPr>
                <w:ilvl w:val="0"/>
                <w:numId w:val="14"/>
              </w:numPr>
              <w:tabs>
                <w:tab w:val="left" w:pos="425"/>
              </w:tabs>
              <w:spacing w:after="0" w:line="240" w:lineRule="auto"/>
              <w:rPr>
                <w:rFonts w:cs="Tahoma"/>
                <w:sz w:val="16"/>
                <w:szCs w:val="16"/>
              </w:rPr>
            </w:pPr>
            <w:r w:rsidRPr="009C53C7">
              <w:rPr>
                <w:rFonts w:cs="Tahoma"/>
                <w:sz w:val="16"/>
                <w:szCs w:val="16"/>
              </w:rPr>
              <w:lastRenderedPageBreak/>
              <w:t>Türk Petrol Kanunu tasarısı hazırlıkları tamamlanacaktır.</w:t>
            </w:r>
          </w:p>
        </w:tc>
        <w:tc>
          <w:tcPr>
            <w:tcW w:w="1813" w:type="dxa"/>
          </w:tcPr>
          <w:p w:rsidR="00565FD5" w:rsidRPr="009C53C7" w:rsidRDefault="00565FD5" w:rsidP="00AB62A3">
            <w:pPr>
              <w:rPr>
                <w:rFonts w:cs="Tahoma"/>
                <w:sz w:val="16"/>
                <w:szCs w:val="16"/>
              </w:rPr>
            </w:pPr>
            <w:r w:rsidRPr="009C53C7">
              <w:rPr>
                <w:rFonts w:cs="Tahoma"/>
                <w:sz w:val="16"/>
                <w:szCs w:val="16"/>
              </w:rPr>
              <w:t>ETKB, İlgili Kamu Kurum ve Kuruluşları</w:t>
            </w:r>
          </w:p>
        </w:tc>
        <w:tc>
          <w:tcPr>
            <w:tcW w:w="726" w:type="dxa"/>
          </w:tcPr>
          <w:p w:rsidR="00565FD5" w:rsidRPr="009C53C7" w:rsidRDefault="00565FD5" w:rsidP="00AB62A3">
            <w:pPr>
              <w:rPr>
                <w:rFonts w:cs="Tahoma"/>
                <w:sz w:val="16"/>
                <w:szCs w:val="16"/>
              </w:rPr>
            </w:pPr>
            <w:r w:rsidRPr="009C53C7">
              <w:rPr>
                <w:rFonts w:cs="Tahoma"/>
                <w:sz w:val="16"/>
                <w:szCs w:val="16"/>
              </w:rPr>
              <w:t>Aralık Sonu</w:t>
            </w:r>
          </w:p>
        </w:tc>
        <w:tc>
          <w:tcPr>
            <w:tcW w:w="2785" w:type="dxa"/>
          </w:tcPr>
          <w:p w:rsidR="00565FD5" w:rsidRPr="009C53C7" w:rsidRDefault="00565FD5" w:rsidP="00AB62A3">
            <w:pPr>
              <w:autoSpaceDE w:val="0"/>
              <w:autoSpaceDN w:val="0"/>
              <w:rPr>
                <w:rFonts w:cs="Tahoma"/>
                <w:sz w:val="16"/>
                <w:szCs w:val="16"/>
              </w:rPr>
            </w:pPr>
            <w:r w:rsidRPr="009C53C7">
              <w:rPr>
                <w:rFonts w:cs="Tahoma"/>
                <w:sz w:val="16"/>
                <w:szCs w:val="16"/>
              </w:rPr>
              <w:t>Türk Petrol Kanunu tasarısı hazırlıkları tamamlanacaktır.</w:t>
            </w:r>
          </w:p>
        </w:tc>
      </w:tr>
    </w:tbl>
    <w:p w:rsidR="00565FD5" w:rsidRPr="00AB66CA" w:rsidRDefault="00565FD5" w:rsidP="00565FD5">
      <w:pPr>
        <w:ind w:firstLine="425"/>
        <w:rPr>
          <w:rFonts w:cs="Tahoma"/>
          <w:szCs w:val="18"/>
          <w:lang w:eastAsia="tr-TR"/>
        </w:rPr>
      </w:pPr>
    </w:p>
    <w:p w:rsidR="00565FD5" w:rsidRPr="004B3DE4" w:rsidRDefault="00565FD5" w:rsidP="00565FD5">
      <w:pPr>
        <w:pStyle w:val="Balk4"/>
        <w:rPr>
          <w:lang w:eastAsia="tr-TR"/>
        </w:rPr>
      </w:pPr>
      <w:bookmarkStart w:id="2009" w:name="_Toc338523823"/>
      <w:bookmarkStart w:id="2010" w:name="_Toc338524054"/>
      <w:bookmarkStart w:id="2011" w:name="_Toc338526280"/>
      <w:bookmarkStart w:id="2012" w:name="_Toc338673723"/>
      <w:bookmarkStart w:id="2013" w:name="_Toc338711602"/>
      <w:bookmarkStart w:id="2014" w:name="_Toc244253706"/>
      <w:bookmarkStart w:id="2015" w:name="_Toc244254956"/>
      <w:bookmarkStart w:id="2016" w:name="_Toc244313691"/>
      <w:bookmarkStart w:id="2017" w:name="_Toc244315167"/>
      <w:bookmarkStart w:id="2018" w:name="_Toc244339630"/>
      <w:bookmarkStart w:id="2019" w:name="_Toc276076309"/>
      <w:bookmarkStart w:id="2020" w:name="_Toc213065695"/>
      <w:r w:rsidRPr="004B3DE4">
        <w:rPr>
          <w:lang w:eastAsia="tr-TR"/>
        </w:rPr>
        <w:t>HİZMETLER</w:t>
      </w:r>
      <w:bookmarkEnd w:id="2009"/>
      <w:bookmarkEnd w:id="2010"/>
      <w:bookmarkEnd w:id="2011"/>
      <w:bookmarkEnd w:id="2012"/>
      <w:bookmarkEnd w:id="2013"/>
    </w:p>
    <w:p w:rsidR="00565FD5" w:rsidRPr="004B3DE4" w:rsidRDefault="00565FD5" w:rsidP="00565FD5">
      <w:pPr>
        <w:pStyle w:val="Balk4"/>
        <w:rPr>
          <w:lang w:eastAsia="tr-TR"/>
        </w:rPr>
      </w:pPr>
      <w:bookmarkStart w:id="2021" w:name="_Toc338523824"/>
      <w:bookmarkStart w:id="2022" w:name="_Toc338524055"/>
      <w:bookmarkStart w:id="2023" w:name="_Toc338526281"/>
      <w:bookmarkStart w:id="2024" w:name="_Toc338673724"/>
      <w:bookmarkStart w:id="2025" w:name="_Toc338711603"/>
      <w:r w:rsidRPr="004B3DE4">
        <w:rPr>
          <w:lang w:eastAsia="tr-TR"/>
        </w:rPr>
        <w:t>1. Mevcut Durum</w:t>
      </w:r>
      <w:bookmarkEnd w:id="2021"/>
      <w:bookmarkEnd w:id="2022"/>
      <w:bookmarkEnd w:id="2023"/>
      <w:bookmarkEnd w:id="2024"/>
      <w:bookmarkEnd w:id="2025"/>
    </w:p>
    <w:p w:rsidR="00565FD5" w:rsidRPr="004B3DE4" w:rsidRDefault="00565FD5" w:rsidP="00565FD5">
      <w:pPr>
        <w:spacing w:before="120" w:after="120"/>
        <w:ind w:firstLine="425"/>
        <w:rPr>
          <w:rFonts w:cs="Tahoma"/>
          <w:szCs w:val="18"/>
          <w:lang w:eastAsia="tr-TR"/>
        </w:rPr>
      </w:pPr>
      <w:r w:rsidRPr="004B3DE4">
        <w:rPr>
          <w:rFonts w:cs="Tahoma"/>
          <w:szCs w:val="18"/>
          <w:lang w:eastAsia="tr-TR"/>
        </w:rPr>
        <w:t>Günümüzde hizmetler sektörünün gelişmesi</w:t>
      </w:r>
      <w:r>
        <w:rPr>
          <w:rFonts w:cs="Tahoma"/>
          <w:szCs w:val="18"/>
          <w:lang w:eastAsia="tr-TR"/>
        </w:rPr>
        <w:t>yle birlikte</w:t>
      </w:r>
      <w:r w:rsidRPr="004B3DE4">
        <w:rPr>
          <w:rFonts w:cs="Tahoma"/>
          <w:szCs w:val="18"/>
          <w:lang w:eastAsia="tr-TR"/>
        </w:rPr>
        <w:t xml:space="preserve"> üretim ve ticaretin artması küresel ekonomideki değişimin önemli bir unsuru olmuştur. Küresel düzeyde hizmetler sektörünü etkileyen eğilimler, teknoloji kullanımının yaygınlaşması, yeni hizmet alanları ve mesleklerin ortaya çıkması, bilgi teknolojileriyle birlikte hizmet sunumunun yaygınlaşması, üretim ve hizmet alanlarının giderek bütünleşmesi ve dış kaynaklardan edinmenin önem kazanmasıdır.</w:t>
      </w:r>
    </w:p>
    <w:p w:rsidR="00565FD5" w:rsidRPr="004B3DE4" w:rsidRDefault="00565FD5" w:rsidP="00565FD5">
      <w:pPr>
        <w:spacing w:before="120" w:after="120"/>
        <w:ind w:firstLine="425"/>
        <w:rPr>
          <w:rFonts w:cs="Tahoma"/>
          <w:szCs w:val="18"/>
          <w:lang w:eastAsia="tr-TR"/>
        </w:rPr>
      </w:pPr>
      <w:r w:rsidRPr="004B3DE4">
        <w:rPr>
          <w:rFonts w:cs="Tahoma"/>
          <w:szCs w:val="18"/>
          <w:lang w:eastAsia="tr-TR"/>
        </w:rPr>
        <w:t xml:space="preserve">Küreselleşme ve teknolojik gelişmeler hizmet sektörlerini etkilemekte ve bu sektörlerin değer yaratma potansiyelini önemli ölçüde değiştirmektedir. Tarım ve sanayi sektörleri dışında kalan bütün faaliyetler olarak tanımlanan hizmetler sektöründe, yeni faaliyet alanlarının ortaya çıkması ve mevcut faaliyet alanlarının etkinliğinin artması sektörün yarattığı katma değeri ve istihdamı önemli ölçüde artırmaktadır. </w:t>
      </w:r>
    </w:p>
    <w:p w:rsidR="00565FD5" w:rsidRPr="004B3DE4" w:rsidRDefault="00565FD5" w:rsidP="00565FD5">
      <w:pPr>
        <w:spacing w:before="120" w:after="120"/>
        <w:ind w:firstLine="425"/>
        <w:rPr>
          <w:rFonts w:cs="Tahoma"/>
          <w:szCs w:val="18"/>
          <w:lang w:eastAsia="tr-TR"/>
        </w:rPr>
      </w:pPr>
      <w:r w:rsidRPr="004B3DE4">
        <w:rPr>
          <w:rFonts w:cs="Tahoma"/>
          <w:szCs w:val="18"/>
          <w:lang w:eastAsia="tr-TR"/>
        </w:rPr>
        <w:t>Dünya ekonomisinde yaratılan katma değerin önemli bir bölümü hizmetler sektöründen sağlanmaktadır. OECD ülkelerinde hizmetler sektörünün katma değer içindeki payı artış göstermektedir. Bu ülkelerde 2000 yılında katma değerin yüzde 75,7’si hizmet sektörlerinden sağlanırken bu oran 2010 yılında yüzde 77,6’ya yükselmiştir</w:t>
      </w:r>
      <w:r>
        <w:rPr>
          <w:rFonts w:cs="Tahoma"/>
          <w:szCs w:val="18"/>
          <w:lang w:eastAsia="tr-TR"/>
        </w:rPr>
        <w:t>.</w:t>
      </w:r>
      <w:r w:rsidRPr="004B3DE4">
        <w:rPr>
          <w:rFonts w:cs="Tahoma"/>
          <w:szCs w:val="18"/>
          <w:vertAlign w:val="superscript"/>
          <w:lang w:eastAsia="tr-TR"/>
        </w:rPr>
        <w:footnoteReference w:id="8"/>
      </w:r>
      <w:r w:rsidRPr="004B3DE4">
        <w:rPr>
          <w:rFonts w:cs="Tahoma"/>
          <w:szCs w:val="18"/>
          <w:lang w:eastAsia="tr-TR"/>
        </w:rPr>
        <w:t xml:space="preserve"> </w:t>
      </w:r>
    </w:p>
    <w:p w:rsidR="00565FD5" w:rsidRPr="004B3DE4" w:rsidRDefault="00565FD5" w:rsidP="00565FD5">
      <w:pPr>
        <w:spacing w:before="120" w:after="120"/>
        <w:ind w:firstLine="425"/>
        <w:rPr>
          <w:rFonts w:cs="Tahoma"/>
          <w:szCs w:val="18"/>
          <w:lang w:eastAsia="tr-TR"/>
        </w:rPr>
      </w:pPr>
      <w:r w:rsidRPr="004B3DE4">
        <w:rPr>
          <w:rFonts w:cs="Tahoma"/>
          <w:szCs w:val="18"/>
          <w:lang w:eastAsia="tr-TR"/>
        </w:rPr>
        <w:t xml:space="preserve">Türkiye’de de hizmetler sektörünün ekonomideki ağırlığı değişmektedir. 2000 yılında yüzde 64,6 olan bu pay 2009 yılında yüzde 69,8 seviyesine yükselmiştir. 2012 yılında ise bu payın yüzde 68,4 olarak gerçekleşeceği tahmin edilmektedir. Hizmetler sektörünün dış gelirler içerisinde önemli bir yeri bulunmaktadır. 2010 yılında 34,7 milyar ABD doları olan hizmet dış ticaret geliri, 2011 yılında 38,6 milyar ABD dolarına yükselmiştir. Hizmet dış ticaret gelirinin mal ihracatına oranı ise 2010 yılında yüzde 28,7 iken 2011 yılında yüzde 26,9 </w:t>
      </w:r>
      <w:r w:rsidRPr="004B3DE4">
        <w:rPr>
          <w:rFonts w:cs="Tahoma"/>
          <w:szCs w:val="18"/>
          <w:lang w:eastAsia="tr-TR"/>
        </w:rPr>
        <w:lastRenderedPageBreak/>
        <w:t>olmuştur. Hizmet dış ticaret geliri içerisinde turizm, taşımacılık ve inşaat sektörlerinin ağırlığı bulunmaktadır. Hizmetler sektörünün istihdam içindeki payı ise son yıllarda yüzde 55</w:t>
      </w:r>
      <w:r>
        <w:rPr>
          <w:rFonts w:cs="Tahoma"/>
          <w:szCs w:val="18"/>
          <w:lang w:eastAsia="tr-TR"/>
        </w:rPr>
        <w:t xml:space="preserve"> civarında</w:t>
      </w:r>
      <w:r w:rsidRPr="004B3DE4">
        <w:rPr>
          <w:rFonts w:cs="Tahoma"/>
          <w:szCs w:val="18"/>
          <w:lang w:eastAsia="tr-TR"/>
        </w:rPr>
        <w:t xml:space="preserve"> gerçekleşmiştir. </w:t>
      </w:r>
    </w:p>
    <w:p w:rsidR="00565FD5" w:rsidRPr="00AB66CA" w:rsidRDefault="00565FD5" w:rsidP="00565FD5">
      <w:pPr>
        <w:pStyle w:val="ResimYazs"/>
        <w:rPr>
          <w:rFonts w:cs="Tahoma"/>
          <w:lang w:eastAsia="tr-TR"/>
        </w:rPr>
      </w:pPr>
      <w:bookmarkStart w:id="2026" w:name="_Toc338606034"/>
      <w:bookmarkStart w:id="2027" w:name="_Toc338711809"/>
      <w:r>
        <w:t xml:space="preserve">TABLO IV: </w:t>
      </w:r>
      <w:fldSimple w:instr=" SEQ TABLO_IV: \* ARABIC ">
        <w:r>
          <w:rPr>
            <w:noProof/>
          </w:rPr>
          <w:t>39</w:t>
        </w:r>
      </w:fldSimple>
      <w:r w:rsidRPr="00AB66CA">
        <w:rPr>
          <w:rFonts w:cs="Tahoma"/>
          <w:lang w:eastAsia="tr-TR"/>
        </w:rPr>
        <w:t>- Hizmetler İle İlgili Temel Göstergeler</w:t>
      </w:r>
      <w:bookmarkEnd w:id="2026"/>
      <w:bookmarkEnd w:id="2027"/>
      <w:r w:rsidRPr="00AB66CA">
        <w:rPr>
          <w:rFonts w:cs="Tahoma"/>
          <w:lang w:eastAsia="tr-TR"/>
        </w:rPr>
        <w:t xml:space="preserve">  </w:t>
      </w:r>
    </w:p>
    <w:p w:rsidR="00565FD5" w:rsidRPr="004B3DE4" w:rsidRDefault="00565FD5" w:rsidP="00565FD5">
      <w:pPr>
        <w:tabs>
          <w:tab w:val="left" w:pos="3091"/>
          <w:tab w:val="left" w:pos="3763"/>
          <w:tab w:val="left" w:pos="4462"/>
          <w:tab w:val="left" w:pos="5120"/>
          <w:tab w:val="left" w:pos="5778"/>
        </w:tabs>
        <w:ind w:left="122" w:firstLine="425"/>
        <w:jc w:val="right"/>
        <w:rPr>
          <w:rFonts w:cs="Tahoma"/>
          <w:sz w:val="14"/>
          <w:szCs w:val="14"/>
          <w:lang w:eastAsia="tr-TR"/>
        </w:rPr>
      </w:pPr>
      <w:r w:rsidRPr="004B3DE4">
        <w:rPr>
          <w:rFonts w:cs="Tahoma"/>
          <w:sz w:val="14"/>
          <w:szCs w:val="14"/>
          <w:lang w:eastAsia="tr-TR"/>
        </w:rPr>
        <w:tab/>
      </w:r>
      <w:r w:rsidRPr="004B3DE4">
        <w:rPr>
          <w:rFonts w:cs="Tahoma"/>
          <w:sz w:val="14"/>
          <w:szCs w:val="14"/>
          <w:lang w:eastAsia="tr-TR"/>
        </w:rPr>
        <w:tab/>
      </w:r>
      <w:r w:rsidRPr="004B3DE4">
        <w:rPr>
          <w:rFonts w:cs="Tahoma"/>
          <w:sz w:val="14"/>
          <w:szCs w:val="14"/>
          <w:lang w:eastAsia="tr-TR"/>
        </w:rPr>
        <w:tab/>
      </w:r>
      <w:r w:rsidRPr="004B3DE4">
        <w:rPr>
          <w:rFonts w:cs="Tahoma"/>
          <w:sz w:val="14"/>
          <w:szCs w:val="14"/>
          <w:lang w:eastAsia="tr-TR"/>
        </w:rPr>
        <w:tab/>
      </w:r>
      <w:r w:rsidRPr="004B3DE4">
        <w:rPr>
          <w:rFonts w:cs="Tahoma"/>
          <w:sz w:val="14"/>
          <w:szCs w:val="14"/>
          <w:lang w:eastAsia="tr-TR"/>
        </w:rPr>
        <w:tab/>
        <w:t>(Yüzde)</w:t>
      </w:r>
    </w:p>
    <w:tbl>
      <w:tblPr>
        <w:tblW w:w="4850" w:type="pct"/>
        <w:tblInd w:w="122" w:type="dxa"/>
        <w:tblLayout w:type="fixed"/>
        <w:tblLook w:val="00A0"/>
      </w:tblPr>
      <w:tblGrid>
        <w:gridCol w:w="2969"/>
        <w:gridCol w:w="672"/>
        <w:gridCol w:w="699"/>
        <w:gridCol w:w="658"/>
        <w:gridCol w:w="658"/>
        <w:gridCol w:w="655"/>
        <w:gridCol w:w="826"/>
      </w:tblGrid>
      <w:tr w:rsidR="00565FD5" w:rsidRPr="004B3DE4" w:rsidTr="00AB62A3">
        <w:trPr>
          <w:trHeight w:val="227"/>
        </w:trPr>
        <w:tc>
          <w:tcPr>
            <w:tcW w:w="2079" w:type="pct"/>
            <w:tcBorders>
              <w:top w:val="single" w:sz="4" w:space="0" w:color="auto"/>
              <w:left w:val="single" w:sz="4" w:space="0" w:color="auto"/>
              <w:right w:val="nil"/>
            </w:tcBorders>
            <w:noWrap/>
            <w:vAlign w:val="bottom"/>
          </w:tcPr>
          <w:p w:rsidR="00565FD5" w:rsidRPr="004B3DE4" w:rsidRDefault="00565FD5" w:rsidP="00AB62A3">
            <w:pPr>
              <w:ind w:firstLine="425"/>
              <w:jc w:val="center"/>
              <w:rPr>
                <w:rFonts w:cs="Tahoma"/>
                <w:sz w:val="14"/>
                <w:szCs w:val="14"/>
                <w:lang w:eastAsia="tr-TR"/>
              </w:rPr>
            </w:pPr>
            <w:r w:rsidRPr="004B3DE4">
              <w:rPr>
                <w:rFonts w:cs="Tahoma"/>
                <w:sz w:val="14"/>
                <w:szCs w:val="14"/>
                <w:lang w:eastAsia="tr-TR"/>
              </w:rPr>
              <w:t> </w:t>
            </w:r>
          </w:p>
        </w:tc>
        <w:tc>
          <w:tcPr>
            <w:tcW w:w="471" w:type="pct"/>
            <w:tcBorders>
              <w:top w:val="single" w:sz="4" w:space="0" w:color="auto"/>
              <w:left w:val="nil"/>
              <w:bottom w:val="single" w:sz="4" w:space="0" w:color="auto"/>
              <w:right w:val="nil"/>
            </w:tcBorders>
            <w:noWrap/>
            <w:vAlign w:val="bottom"/>
          </w:tcPr>
          <w:p w:rsidR="00565FD5" w:rsidRPr="004B3DE4" w:rsidRDefault="00565FD5" w:rsidP="00AB62A3">
            <w:pPr>
              <w:jc w:val="right"/>
              <w:rPr>
                <w:rFonts w:cs="Tahoma"/>
                <w:b/>
                <w:sz w:val="14"/>
                <w:szCs w:val="14"/>
                <w:lang w:eastAsia="tr-TR"/>
              </w:rPr>
            </w:pPr>
            <w:r w:rsidRPr="004B3DE4">
              <w:rPr>
                <w:rFonts w:cs="Tahoma"/>
                <w:b/>
                <w:sz w:val="14"/>
                <w:szCs w:val="14"/>
                <w:lang w:eastAsia="tr-TR"/>
              </w:rPr>
              <w:t>2007</w:t>
            </w:r>
          </w:p>
        </w:tc>
        <w:tc>
          <w:tcPr>
            <w:tcW w:w="490" w:type="pct"/>
            <w:tcBorders>
              <w:top w:val="single" w:sz="4" w:space="0" w:color="auto"/>
              <w:left w:val="nil"/>
              <w:bottom w:val="single" w:sz="4" w:space="0" w:color="auto"/>
              <w:right w:val="nil"/>
            </w:tcBorders>
            <w:noWrap/>
            <w:vAlign w:val="bottom"/>
          </w:tcPr>
          <w:p w:rsidR="00565FD5" w:rsidRPr="004B3DE4" w:rsidRDefault="00565FD5" w:rsidP="00AB62A3">
            <w:pPr>
              <w:jc w:val="right"/>
              <w:rPr>
                <w:rFonts w:cs="Tahoma"/>
                <w:b/>
                <w:sz w:val="14"/>
                <w:szCs w:val="14"/>
                <w:lang w:eastAsia="tr-TR"/>
              </w:rPr>
            </w:pPr>
            <w:r w:rsidRPr="004B3DE4">
              <w:rPr>
                <w:rFonts w:cs="Tahoma"/>
                <w:b/>
                <w:sz w:val="14"/>
                <w:szCs w:val="14"/>
                <w:lang w:eastAsia="tr-TR"/>
              </w:rPr>
              <w:t>2008</w:t>
            </w:r>
          </w:p>
        </w:tc>
        <w:tc>
          <w:tcPr>
            <w:tcW w:w="461" w:type="pct"/>
            <w:tcBorders>
              <w:top w:val="single" w:sz="4" w:space="0" w:color="auto"/>
              <w:left w:val="nil"/>
              <w:bottom w:val="single" w:sz="4" w:space="0" w:color="auto"/>
              <w:right w:val="nil"/>
            </w:tcBorders>
            <w:noWrap/>
            <w:vAlign w:val="bottom"/>
          </w:tcPr>
          <w:p w:rsidR="00565FD5" w:rsidRPr="004B3DE4" w:rsidRDefault="00565FD5" w:rsidP="00AB62A3">
            <w:pPr>
              <w:jc w:val="right"/>
              <w:rPr>
                <w:rFonts w:cs="Tahoma"/>
                <w:b/>
                <w:sz w:val="14"/>
                <w:szCs w:val="14"/>
                <w:lang w:eastAsia="tr-TR"/>
              </w:rPr>
            </w:pPr>
            <w:r w:rsidRPr="004B3DE4">
              <w:rPr>
                <w:rFonts w:cs="Tahoma"/>
                <w:b/>
                <w:sz w:val="14"/>
                <w:szCs w:val="14"/>
                <w:lang w:eastAsia="tr-TR"/>
              </w:rPr>
              <w:t>2009</w:t>
            </w:r>
          </w:p>
        </w:tc>
        <w:tc>
          <w:tcPr>
            <w:tcW w:w="461" w:type="pct"/>
            <w:tcBorders>
              <w:top w:val="single" w:sz="4" w:space="0" w:color="auto"/>
              <w:left w:val="nil"/>
              <w:bottom w:val="single" w:sz="4" w:space="0" w:color="auto"/>
              <w:right w:val="nil"/>
            </w:tcBorders>
            <w:noWrap/>
            <w:vAlign w:val="bottom"/>
          </w:tcPr>
          <w:p w:rsidR="00565FD5" w:rsidRPr="004B3DE4" w:rsidRDefault="00565FD5" w:rsidP="00AB62A3">
            <w:pPr>
              <w:jc w:val="right"/>
              <w:rPr>
                <w:rFonts w:cs="Tahoma"/>
                <w:b/>
                <w:sz w:val="14"/>
                <w:szCs w:val="14"/>
                <w:lang w:eastAsia="tr-TR"/>
              </w:rPr>
            </w:pPr>
            <w:r w:rsidRPr="004B3DE4">
              <w:rPr>
                <w:rFonts w:cs="Tahoma"/>
                <w:b/>
                <w:sz w:val="14"/>
                <w:szCs w:val="14"/>
                <w:lang w:eastAsia="tr-TR"/>
              </w:rPr>
              <w:t>2010</w:t>
            </w:r>
          </w:p>
        </w:tc>
        <w:tc>
          <w:tcPr>
            <w:tcW w:w="459" w:type="pct"/>
            <w:tcBorders>
              <w:top w:val="single" w:sz="4" w:space="0" w:color="auto"/>
              <w:left w:val="nil"/>
              <w:bottom w:val="single" w:sz="4" w:space="0" w:color="auto"/>
              <w:right w:val="nil"/>
            </w:tcBorders>
            <w:noWrap/>
            <w:vAlign w:val="bottom"/>
          </w:tcPr>
          <w:p w:rsidR="00565FD5" w:rsidRPr="004B3DE4" w:rsidRDefault="00565FD5" w:rsidP="00AB62A3">
            <w:pPr>
              <w:jc w:val="right"/>
              <w:rPr>
                <w:rFonts w:cs="Tahoma"/>
                <w:b/>
                <w:sz w:val="14"/>
                <w:szCs w:val="14"/>
                <w:lang w:eastAsia="tr-TR"/>
              </w:rPr>
            </w:pPr>
            <w:r w:rsidRPr="004B3DE4">
              <w:rPr>
                <w:rFonts w:cs="Tahoma"/>
                <w:b/>
                <w:sz w:val="14"/>
                <w:szCs w:val="14"/>
                <w:lang w:eastAsia="tr-TR"/>
              </w:rPr>
              <w:t>2011</w:t>
            </w:r>
          </w:p>
        </w:tc>
        <w:tc>
          <w:tcPr>
            <w:tcW w:w="579" w:type="pct"/>
            <w:tcBorders>
              <w:top w:val="single" w:sz="4" w:space="0" w:color="auto"/>
              <w:left w:val="nil"/>
              <w:bottom w:val="single" w:sz="4" w:space="0" w:color="auto"/>
              <w:right w:val="single" w:sz="4" w:space="0" w:color="auto"/>
            </w:tcBorders>
            <w:noWrap/>
            <w:vAlign w:val="bottom"/>
          </w:tcPr>
          <w:p w:rsidR="00565FD5" w:rsidRPr="004B3DE4" w:rsidRDefault="00565FD5" w:rsidP="00AB62A3">
            <w:pPr>
              <w:jc w:val="right"/>
              <w:rPr>
                <w:rFonts w:cs="Tahoma"/>
                <w:b/>
                <w:sz w:val="14"/>
                <w:szCs w:val="14"/>
                <w:lang w:eastAsia="tr-TR"/>
              </w:rPr>
            </w:pPr>
            <w:r w:rsidRPr="004B3DE4">
              <w:rPr>
                <w:rFonts w:cs="Tahoma"/>
                <w:b/>
                <w:sz w:val="14"/>
                <w:szCs w:val="14"/>
                <w:lang w:eastAsia="tr-TR"/>
              </w:rPr>
              <w:t>2012</w:t>
            </w:r>
          </w:p>
        </w:tc>
      </w:tr>
      <w:tr w:rsidR="00565FD5" w:rsidRPr="004B3DE4" w:rsidTr="00AB62A3">
        <w:trPr>
          <w:trHeight w:val="227"/>
        </w:trPr>
        <w:tc>
          <w:tcPr>
            <w:tcW w:w="2079" w:type="pct"/>
            <w:tcBorders>
              <w:left w:val="single" w:sz="4" w:space="0" w:color="auto"/>
              <w:bottom w:val="nil"/>
              <w:right w:val="nil"/>
            </w:tcBorders>
            <w:noWrap/>
            <w:vAlign w:val="bottom"/>
          </w:tcPr>
          <w:p w:rsidR="00565FD5" w:rsidRPr="004B3DE4" w:rsidRDefault="00565FD5" w:rsidP="00AB62A3">
            <w:pPr>
              <w:rPr>
                <w:rFonts w:cs="Tahoma"/>
                <w:sz w:val="14"/>
                <w:szCs w:val="14"/>
                <w:lang w:eastAsia="tr-TR"/>
              </w:rPr>
            </w:pPr>
            <w:r w:rsidRPr="004B3DE4">
              <w:rPr>
                <w:rFonts w:cs="Tahoma"/>
                <w:sz w:val="14"/>
                <w:szCs w:val="14"/>
                <w:lang w:eastAsia="tr-TR"/>
              </w:rPr>
              <w:t>GSYH İçindeki Payı(1)(2)</w:t>
            </w:r>
          </w:p>
        </w:tc>
        <w:tc>
          <w:tcPr>
            <w:tcW w:w="471" w:type="pct"/>
            <w:tcBorders>
              <w:top w:val="nil"/>
              <w:left w:val="nil"/>
              <w:bottom w:val="nil"/>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69,1</w:t>
            </w:r>
          </w:p>
        </w:tc>
        <w:tc>
          <w:tcPr>
            <w:tcW w:w="490" w:type="pct"/>
            <w:tcBorders>
              <w:top w:val="nil"/>
              <w:left w:val="nil"/>
              <w:bottom w:val="nil"/>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69,6</w:t>
            </w:r>
          </w:p>
        </w:tc>
        <w:tc>
          <w:tcPr>
            <w:tcW w:w="461" w:type="pct"/>
            <w:tcBorders>
              <w:top w:val="nil"/>
              <w:left w:val="nil"/>
              <w:bottom w:val="nil"/>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69,8</w:t>
            </w:r>
          </w:p>
        </w:tc>
        <w:tc>
          <w:tcPr>
            <w:tcW w:w="461" w:type="pct"/>
            <w:tcBorders>
              <w:top w:val="nil"/>
              <w:left w:val="nil"/>
              <w:bottom w:val="nil"/>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68,8</w:t>
            </w:r>
          </w:p>
        </w:tc>
        <w:tc>
          <w:tcPr>
            <w:tcW w:w="459" w:type="pct"/>
            <w:tcBorders>
              <w:top w:val="nil"/>
              <w:left w:val="nil"/>
              <w:bottom w:val="nil"/>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68,5</w:t>
            </w:r>
          </w:p>
        </w:tc>
        <w:tc>
          <w:tcPr>
            <w:tcW w:w="579" w:type="pct"/>
            <w:tcBorders>
              <w:top w:val="nil"/>
              <w:left w:val="nil"/>
              <w:bottom w:val="nil"/>
              <w:right w:val="single" w:sz="4" w:space="0" w:color="auto"/>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68,4(3)</w:t>
            </w:r>
          </w:p>
        </w:tc>
      </w:tr>
      <w:tr w:rsidR="00565FD5" w:rsidRPr="004B3DE4" w:rsidTr="00AB62A3">
        <w:trPr>
          <w:trHeight w:val="227"/>
        </w:trPr>
        <w:tc>
          <w:tcPr>
            <w:tcW w:w="2079" w:type="pct"/>
            <w:tcBorders>
              <w:top w:val="nil"/>
              <w:left w:val="single" w:sz="4" w:space="0" w:color="auto"/>
              <w:bottom w:val="nil"/>
              <w:right w:val="nil"/>
            </w:tcBorders>
            <w:noWrap/>
            <w:vAlign w:val="bottom"/>
          </w:tcPr>
          <w:p w:rsidR="00565FD5" w:rsidRPr="004B3DE4" w:rsidRDefault="00565FD5" w:rsidP="00AB62A3">
            <w:pPr>
              <w:rPr>
                <w:rFonts w:cs="Tahoma"/>
                <w:sz w:val="14"/>
                <w:szCs w:val="14"/>
                <w:lang w:eastAsia="tr-TR"/>
              </w:rPr>
            </w:pPr>
            <w:r w:rsidRPr="004B3DE4">
              <w:rPr>
                <w:rFonts w:cs="Tahoma"/>
                <w:sz w:val="14"/>
                <w:szCs w:val="14"/>
                <w:lang w:eastAsia="tr-TR"/>
              </w:rPr>
              <w:t>Hizmetler Sektöründe Büyüme (4)</w:t>
            </w:r>
          </w:p>
        </w:tc>
        <w:tc>
          <w:tcPr>
            <w:tcW w:w="471" w:type="pct"/>
            <w:tcBorders>
              <w:top w:val="nil"/>
              <w:left w:val="nil"/>
              <w:bottom w:val="nil"/>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6,3</w:t>
            </w:r>
          </w:p>
        </w:tc>
        <w:tc>
          <w:tcPr>
            <w:tcW w:w="490" w:type="pct"/>
            <w:tcBorders>
              <w:top w:val="nil"/>
              <w:left w:val="nil"/>
              <w:bottom w:val="nil"/>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1,2</w:t>
            </w:r>
          </w:p>
        </w:tc>
        <w:tc>
          <w:tcPr>
            <w:tcW w:w="461" w:type="pct"/>
            <w:tcBorders>
              <w:top w:val="nil"/>
              <w:left w:val="nil"/>
              <w:bottom w:val="nil"/>
              <w:right w:val="nil"/>
            </w:tcBorders>
            <w:noWrap/>
            <w:vAlign w:val="bottom"/>
          </w:tcPr>
          <w:p w:rsidR="00565FD5" w:rsidRPr="004B3DE4" w:rsidRDefault="00565FD5" w:rsidP="00AB62A3">
            <w:pPr>
              <w:jc w:val="right"/>
              <w:rPr>
                <w:rFonts w:cs="Tahoma"/>
                <w:sz w:val="14"/>
                <w:szCs w:val="14"/>
                <w:lang w:eastAsia="tr-TR"/>
              </w:rPr>
            </w:pPr>
            <w:r>
              <w:rPr>
                <w:rFonts w:cs="Tahoma"/>
                <w:sz w:val="14"/>
                <w:szCs w:val="14"/>
                <w:lang w:eastAsia="tr-TR"/>
              </w:rPr>
              <w:t>-</w:t>
            </w:r>
            <w:r w:rsidRPr="004B3DE4">
              <w:rPr>
                <w:rFonts w:cs="Tahoma"/>
                <w:sz w:val="14"/>
                <w:szCs w:val="14"/>
                <w:lang w:eastAsia="tr-TR"/>
              </w:rPr>
              <w:t>3,2</w:t>
            </w:r>
          </w:p>
        </w:tc>
        <w:tc>
          <w:tcPr>
            <w:tcW w:w="461" w:type="pct"/>
            <w:tcBorders>
              <w:top w:val="nil"/>
              <w:left w:val="nil"/>
              <w:bottom w:val="nil"/>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8,6</w:t>
            </w:r>
          </w:p>
        </w:tc>
        <w:tc>
          <w:tcPr>
            <w:tcW w:w="459" w:type="pct"/>
            <w:tcBorders>
              <w:top w:val="nil"/>
              <w:left w:val="nil"/>
              <w:bottom w:val="nil"/>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8,9</w:t>
            </w:r>
          </w:p>
        </w:tc>
        <w:tc>
          <w:tcPr>
            <w:tcW w:w="579" w:type="pct"/>
            <w:tcBorders>
              <w:top w:val="nil"/>
              <w:left w:val="nil"/>
              <w:bottom w:val="nil"/>
              <w:right w:val="single" w:sz="4" w:space="0" w:color="auto"/>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3,2(3)</w:t>
            </w:r>
          </w:p>
        </w:tc>
      </w:tr>
      <w:tr w:rsidR="00565FD5" w:rsidRPr="004B3DE4" w:rsidTr="00AB62A3">
        <w:trPr>
          <w:trHeight w:val="227"/>
        </w:trPr>
        <w:tc>
          <w:tcPr>
            <w:tcW w:w="2079" w:type="pct"/>
            <w:tcBorders>
              <w:top w:val="nil"/>
              <w:left w:val="single" w:sz="4" w:space="0" w:color="auto"/>
              <w:bottom w:val="nil"/>
              <w:right w:val="nil"/>
            </w:tcBorders>
            <w:noWrap/>
            <w:vAlign w:val="bottom"/>
          </w:tcPr>
          <w:p w:rsidR="00565FD5" w:rsidRPr="004B3DE4" w:rsidRDefault="00565FD5" w:rsidP="00AB62A3">
            <w:pPr>
              <w:rPr>
                <w:rFonts w:cs="Tahoma"/>
                <w:sz w:val="14"/>
                <w:szCs w:val="14"/>
                <w:lang w:eastAsia="tr-TR"/>
              </w:rPr>
            </w:pPr>
            <w:r w:rsidRPr="004B3DE4">
              <w:rPr>
                <w:rFonts w:cs="Tahoma"/>
                <w:sz w:val="14"/>
                <w:szCs w:val="14"/>
                <w:lang w:eastAsia="tr-TR"/>
              </w:rPr>
              <w:t>Hizmet Dış Ticaret Geliri (milyon ABD doları)</w:t>
            </w:r>
          </w:p>
        </w:tc>
        <w:tc>
          <w:tcPr>
            <w:tcW w:w="471" w:type="pct"/>
            <w:tcBorders>
              <w:top w:val="nil"/>
              <w:left w:val="nil"/>
              <w:bottom w:val="nil"/>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28</w:t>
            </w:r>
            <w:r>
              <w:rPr>
                <w:rFonts w:cs="Tahoma"/>
                <w:sz w:val="14"/>
                <w:szCs w:val="14"/>
                <w:lang w:eastAsia="tr-TR"/>
              </w:rPr>
              <w:t xml:space="preserve"> </w:t>
            </w:r>
            <w:r w:rsidRPr="004B3DE4">
              <w:rPr>
                <w:rFonts w:cs="Tahoma"/>
                <w:sz w:val="14"/>
                <w:szCs w:val="14"/>
                <w:lang w:eastAsia="tr-TR"/>
              </w:rPr>
              <w:t>930</w:t>
            </w:r>
          </w:p>
        </w:tc>
        <w:tc>
          <w:tcPr>
            <w:tcW w:w="490" w:type="pct"/>
            <w:tcBorders>
              <w:top w:val="nil"/>
              <w:left w:val="nil"/>
              <w:bottom w:val="nil"/>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35</w:t>
            </w:r>
            <w:r>
              <w:rPr>
                <w:rFonts w:cs="Tahoma"/>
                <w:sz w:val="14"/>
                <w:szCs w:val="14"/>
                <w:lang w:eastAsia="tr-TR"/>
              </w:rPr>
              <w:t xml:space="preserve"> </w:t>
            </w:r>
            <w:r w:rsidRPr="004B3DE4">
              <w:rPr>
                <w:rFonts w:cs="Tahoma"/>
                <w:sz w:val="14"/>
                <w:szCs w:val="14"/>
                <w:lang w:eastAsia="tr-TR"/>
              </w:rPr>
              <w:t>564</w:t>
            </w:r>
          </w:p>
        </w:tc>
        <w:tc>
          <w:tcPr>
            <w:tcW w:w="461" w:type="pct"/>
            <w:tcBorders>
              <w:top w:val="nil"/>
              <w:left w:val="nil"/>
              <w:bottom w:val="nil"/>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33</w:t>
            </w:r>
            <w:r>
              <w:rPr>
                <w:rFonts w:cs="Tahoma"/>
                <w:sz w:val="14"/>
                <w:szCs w:val="14"/>
                <w:lang w:eastAsia="tr-TR"/>
              </w:rPr>
              <w:t xml:space="preserve"> </w:t>
            </w:r>
            <w:r w:rsidRPr="004B3DE4">
              <w:rPr>
                <w:rFonts w:cs="Tahoma"/>
                <w:sz w:val="14"/>
                <w:szCs w:val="14"/>
                <w:lang w:eastAsia="tr-TR"/>
              </w:rPr>
              <w:t>922</w:t>
            </w:r>
          </w:p>
        </w:tc>
        <w:tc>
          <w:tcPr>
            <w:tcW w:w="461" w:type="pct"/>
            <w:tcBorders>
              <w:top w:val="nil"/>
              <w:left w:val="nil"/>
              <w:bottom w:val="nil"/>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34</w:t>
            </w:r>
            <w:r>
              <w:rPr>
                <w:rFonts w:cs="Tahoma"/>
                <w:sz w:val="14"/>
                <w:szCs w:val="14"/>
                <w:lang w:eastAsia="tr-TR"/>
              </w:rPr>
              <w:t xml:space="preserve"> </w:t>
            </w:r>
            <w:r w:rsidRPr="004B3DE4">
              <w:rPr>
                <w:rFonts w:cs="Tahoma"/>
                <w:sz w:val="14"/>
                <w:szCs w:val="14"/>
                <w:lang w:eastAsia="tr-TR"/>
              </w:rPr>
              <w:t>743</w:t>
            </w:r>
          </w:p>
        </w:tc>
        <w:tc>
          <w:tcPr>
            <w:tcW w:w="459" w:type="pct"/>
            <w:tcBorders>
              <w:top w:val="nil"/>
              <w:left w:val="nil"/>
              <w:bottom w:val="nil"/>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38</w:t>
            </w:r>
            <w:r>
              <w:rPr>
                <w:rFonts w:cs="Tahoma"/>
                <w:sz w:val="14"/>
                <w:szCs w:val="14"/>
                <w:lang w:eastAsia="tr-TR"/>
              </w:rPr>
              <w:t xml:space="preserve"> </w:t>
            </w:r>
            <w:r w:rsidRPr="004B3DE4">
              <w:rPr>
                <w:rFonts w:cs="Tahoma"/>
                <w:sz w:val="14"/>
                <w:szCs w:val="14"/>
                <w:lang w:eastAsia="tr-TR"/>
              </w:rPr>
              <w:t>575</w:t>
            </w:r>
          </w:p>
        </w:tc>
        <w:tc>
          <w:tcPr>
            <w:tcW w:w="579" w:type="pct"/>
            <w:tcBorders>
              <w:top w:val="nil"/>
              <w:left w:val="nil"/>
              <w:bottom w:val="nil"/>
              <w:right w:val="single" w:sz="4" w:space="0" w:color="auto"/>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26</w:t>
            </w:r>
            <w:r>
              <w:rPr>
                <w:rFonts w:cs="Tahoma"/>
                <w:sz w:val="14"/>
                <w:szCs w:val="14"/>
                <w:lang w:eastAsia="tr-TR"/>
              </w:rPr>
              <w:t xml:space="preserve"> </w:t>
            </w:r>
            <w:r w:rsidRPr="004B3DE4">
              <w:rPr>
                <w:rFonts w:cs="Tahoma"/>
                <w:sz w:val="14"/>
                <w:szCs w:val="14"/>
                <w:lang w:eastAsia="tr-TR"/>
              </w:rPr>
              <w:t>302(5)</w:t>
            </w:r>
          </w:p>
        </w:tc>
      </w:tr>
      <w:tr w:rsidR="00565FD5" w:rsidRPr="004B3DE4" w:rsidTr="00AB62A3">
        <w:trPr>
          <w:trHeight w:val="227"/>
        </w:trPr>
        <w:tc>
          <w:tcPr>
            <w:tcW w:w="2079" w:type="pct"/>
            <w:tcBorders>
              <w:top w:val="nil"/>
              <w:left w:val="single" w:sz="4" w:space="0" w:color="auto"/>
              <w:bottom w:val="nil"/>
              <w:right w:val="nil"/>
            </w:tcBorders>
            <w:noWrap/>
            <w:vAlign w:val="bottom"/>
          </w:tcPr>
          <w:p w:rsidR="00565FD5" w:rsidRPr="004B3DE4" w:rsidRDefault="00565FD5" w:rsidP="00AB62A3">
            <w:pPr>
              <w:rPr>
                <w:rFonts w:cs="Tahoma"/>
                <w:sz w:val="14"/>
                <w:szCs w:val="14"/>
                <w:lang w:eastAsia="tr-TR"/>
              </w:rPr>
            </w:pPr>
            <w:r w:rsidRPr="004B3DE4">
              <w:rPr>
                <w:rFonts w:cs="Tahoma"/>
                <w:sz w:val="14"/>
                <w:szCs w:val="14"/>
                <w:lang w:eastAsia="tr-TR"/>
              </w:rPr>
              <w:t>Hizmet Dış Ticaret Geliri/Mal İhracatı</w:t>
            </w:r>
          </w:p>
        </w:tc>
        <w:tc>
          <w:tcPr>
            <w:tcW w:w="471" w:type="pct"/>
            <w:tcBorders>
              <w:top w:val="nil"/>
              <w:left w:val="nil"/>
              <w:bottom w:val="nil"/>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25,1</w:t>
            </w:r>
          </w:p>
        </w:tc>
        <w:tc>
          <w:tcPr>
            <w:tcW w:w="490" w:type="pct"/>
            <w:tcBorders>
              <w:top w:val="nil"/>
              <w:left w:val="nil"/>
              <w:bottom w:val="nil"/>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25,3</w:t>
            </w:r>
          </w:p>
        </w:tc>
        <w:tc>
          <w:tcPr>
            <w:tcW w:w="461" w:type="pct"/>
            <w:tcBorders>
              <w:top w:val="nil"/>
              <w:left w:val="nil"/>
              <w:bottom w:val="nil"/>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30,9</w:t>
            </w:r>
          </w:p>
        </w:tc>
        <w:tc>
          <w:tcPr>
            <w:tcW w:w="461" w:type="pct"/>
            <w:tcBorders>
              <w:top w:val="nil"/>
              <w:left w:val="nil"/>
              <w:bottom w:val="nil"/>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28,7</w:t>
            </w:r>
          </w:p>
        </w:tc>
        <w:tc>
          <w:tcPr>
            <w:tcW w:w="459" w:type="pct"/>
            <w:tcBorders>
              <w:top w:val="nil"/>
              <w:left w:val="nil"/>
              <w:bottom w:val="nil"/>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26,9</w:t>
            </w:r>
          </w:p>
        </w:tc>
        <w:tc>
          <w:tcPr>
            <w:tcW w:w="579" w:type="pct"/>
            <w:tcBorders>
              <w:top w:val="nil"/>
              <w:left w:val="nil"/>
              <w:bottom w:val="nil"/>
              <w:right w:val="single" w:sz="4" w:space="0" w:color="auto"/>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24,7 (5)</w:t>
            </w:r>
          </w:p>
        </w:tc>
      </w:tr>
      <w:tr w:rsidR="00565FD5" w:rsidRPr="004B3DE4" w:rsidTr="00AB62A3">
        <w:trPr>
          <w:trHeight w:val="227"/>
        </w:trPr>
        <w:tc>
          <w:tcPr>
            <w:tcW w:w="2079" w:type="pct"/>
            <w:tcBorders>
              <w:top w:val="nil"/>
              <w:left w:val="single" w:sz="4" w:space="0" w:color="auto"/>
              <w:bottom w:val="single" w:sz="4" w:space="0" w:color="auto"/>
              <w:right w:val="nil"/>
            </w:tcBorders>
            <w:noWrap/>
            <w:vAlign w:val="bottom"/>
          </w:tcPr>
          <w:p w:rsidR="00565FD5" w:rsidRPr="004B3DE4" w:rsidRDefault="00565FD5" w:rsidP="00AB62A3">
            <w:pPr>
              <w:rPr>
                <w:rFonts w:cs="Tahoma"/>
                <w:sz w:val="14"/>
                <w:szCs w:val="14"/>
                <w:lang w:eastAsia="tr-TR"/>
              </w:rPr>
            </w:pPr>
            <w:r w:rsidRPr="004B3DE4">
              <w:rPr>
                <w:rFonts w:cs="Tahoma"/>
                <w:sz w:val="14"/>
                <w:szCs w:val="14"/>
                <w:lang w:eastAsia="tr-TR"/>
              </w:rPr>
              <w:t>Hizmetlerin İstihdam İçindeki Payı</w:t>
            </w:r>
            <w:r>
              <w:rPr>
                <w:rFonts w:cs="Tahoma"/>
                <w:sz w:val="14"/>
                <w:szCs w:val="14"/>
                <w:lang w:eastAsia="tr-TR"/>
              </w:rPr>
              <w:t xml:space="preserve"> </w:t>
            </w:r>
            <w:r w:rsidRPr="004B3DE4">
              <w:rPr>
                <w:rFonts w:cs="Tahoma"/>
                <w:sz w:val="14"/>
                <w:szCs w:val="14"/>
                <w:lang w:eastAsia="tr-TR"/>
              </w:rPr>
              <w:t>(2)</w:t>
            </w:r>
          </w:p>
        </w:tc>
        <w:tc>
          <w:tcPr>
            <w:tcW w:w="471" w:type="pct"/>
            <w:tcBorders>
              <w:top w:val="nil"/>
              <w:left w:val="nil"/>
              <w:bottom w:val="single" w:sz="4" w:space="0" w:color="auto"/>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55,7</w:t>
            </w:r>
          </w:p>
        </w:tc>
        <w:tc>
          <w:tcPr>
            <w:tcW w:w="490" w:type="pct"/>
            <w:tcBorders>
              <w:top w:val="nil"/>
              <w:left w:val="nil"/>
              <w:bottom w:val="single" w:sz="4" w:space="0" w:color="auto"/>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55,4</w:t>
            </w:r>
          </w:p>
        </w:tc>
        <w:tc>
          <w:tcPr>
            <w:tcW w:w="461" w:type="pct"/>
            <w:tcBorders>
              <w:top w:val="nil"/>
              <w:left w:val="nil"/>
              <w:bottom w:val="single" w:sz="4" w:space="0" w:color="auto"/>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56,2</w:t>
            </w:r>
          </w:p>
        </w:tc>
        <w:tc>
          <w:tcPr>
            <w:tcW w:w="461" w:type="pct"/>
            <w:tcBorders>
              <w:top w:val="nil"/>
              <w:left w:val="nil"/>
              <w:bottom w:val="single" w:sz="4" w:space="0" w:color="auto"/>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55,0</w:t>
            </w:r>
          </w:p>
        </w:tc>
        <w:tc>
          <w:tcPr>
            <w:tcW w:w="459" w:type="pct"/>
            <w:tcBorders>
              <w:top w:val="nil"/>
              <w:left w:val="nil"/>
              <w:bottom w:val="single" w:sz="4" w:space="0" w:color="auto"/>
              <w:right w:val="nil"/>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55,0</w:t>
            </w:r>
          </w:p>
        </w:tc>
        <w:tc>
          <w:tcPr>
            <w:tcW w:w="579" w:type="pct"/>
            <w:tcBorders>
              <w:top w:val="nil"/>
              <w:left w:val="nil"/>
              <w:bottom w:val="single" w:sz="4" w:space="0" w:color="auto"/>
              <w:right w:val="single" w:sz="4" w:space="0" w:color="auto"/>
            </w:tcBorders>
            <w:noWrap/>
            <w:vAlign w:val="bottom"/>
          </w:tcPr>
          <w:p w:rsidR="00565FD5" w:rsidRPr="004B3DE4" w:rsidRDefault="00565FD5" w:rsidP="00AB62A3">
            <w:pPr>
              <w:jc w:val="right"/>
              <w:rPr>
                <w:rFonts w:cs="Tahoma"/>
                <w:sz w:val="14"/>
                <w:szCs w:val="14"/>
                <w:lang w:eastAsia="tr-TR"/>
              </w:rPr>
            </w:pPr>
            <w:r w:rsidRPr="004B3DE4">
              <w:rPr>
                <w:rFonts w:cs="Tahoma"/>
                <w:sz w:val="14"/>
                <w:szCs w:val="14"/>
                <w:lang w:eastAsia="tr-TR"/>
              </w:rPr>
              <w:t>55,2(6)</w:t>
            </w:r>
          </w:p>
        </w:tc>
      </w:tr>
    </w:tbl>
    <w:p w:rsidR="00565FD5" w:rsidRPr="004225DF" w:rsidRDefault="00565FD5" w:rsidP="00565FD5">
      <w:pPr>
        <w:rPr>
          <w:rFonts w:cs="Tahoma"/>
          <w:sz w:val="12"/>
          <w:szCs w:val="18"/>
          <w:lang w:eastAsia="tr-TR"/>
        </w:rPr>
      </w:pPr>
      <w:r w:rsidRPr="004225DF">
        <w:rPr>
          <w:rFonts w:cs="Tahoma"/>
          <w:sz w:val="12"/>
          <w:szCs w:val="18"/>
          <w:lang w:eastAsia="tr-TR"/>
        </w:rPr>
        <w:t xml:space="preserve">Kaynak: Kalkınma Bakanlığı, TÜİK, TCMB </w:t>
      </w:r>
    </w:p>
    <w:p w:rsidR="00565FD5" w:rsidRDefault="00565FD5" w:rsidP="00565FD5">
      <w:pPr>
        <w:rPr>
          <w:rFonts w:cs="Tahoma"/>
          <w:sz w:val="12"/>
          <w:szCs w:val="18"/>
          <w:lang w:eastAsia="tr-TR"/>
        </w:rPr>
      </w:pPr>
      <w:r w:rsidRPr="00BE47F7">
        <w:rPr>
          <w:rFonts w:cs="Tahoma"/>
          <w:sz w:val="12"/>
          <w:szCs w:val="18"/>
          <w:lang w:eastAsia="tr-TR"/>
        </w:rPr>
        <w:t xml:space="preserve">Not: Dolaylı ölçülen mali aracılık hizmetleri ve vergi-sübvansiyon kalemleri sektörel ağırlıklara göre dağıtılarak GSYH içindeki payları elde edilmiştir. </w:t>
      </w:r>
    </w:p>
    <w:p w:rsidR="00565FD5" w:rsidRPr="004225DF" w:rsidRDefault="00565FD5" w:rsidP="00565FD5">
      <w:pPr>
        <w:rPr>
          <w:rFonts w:cs="Tahoma"/>
          <w:sz w:val="12"/>
          <w:szCs w:val="18"/>
          <w:lang w:eastAsia="tr-TR"/>
        </w:rPr>
      </w:pPr>
      <w:r w:rsidRPr="004225DF">
        <w:rPr>
          <w:rFonts w:cs="Tahoma"/>
          <w:sz w:val="12"/>
          <w:szCs w:val="18"/>
          <w:lang w:eastAsia="tr-TR"/>
        </w:rPr>
        <w:t>(1) Cari fiyatlarla</w:t>
      </w:r>
    </w:p>
    <w:p w:rsidR="00565FD5" w:rsidRPr="004225DF" w:rsidRDefault="00565FD5" w:rsidP="00565FD5">
      <w:pPr>
        <w:rPr>
          <w:rFonts w:cs="Tahoma"/>
          <w:sz w:val="12"/>
          <w:szCs w:val="18"/>
          <w:lang w:eastAsia="tr-TR"/>
        </w:rPr>
      </w:pPr>
      <w:r w:rsidRPr="004225DF">
        <w:rPr>
          <w:rFonts w:cs="Tahoma"/>
          <w:sz w:val="12"/>
          <w:szCs w:val="18"/>
          <w:lang w:eastAsia="tr-TR"/>
        </w:rPr>
        <w:t>(2) İnşaat sektörü dahil edilmiştir.</w:t>
      </w:r>
    </w:p>
    <w:p w:rsidR="00565FD5" w:rsidRPr="004225DF" w:rsidRDefault="00565FD5" w:rsidP="00565FD5">
      <w:pPr>
        <w:rPr>
          <w:rFonts w:cs="Tahoma"/>
          <w:sz w:val="12"/>
          <w:szCs w:val="18"/>
          <w:lang w:eastAsia="tr-TR"/>
        </w:rPr>
      </w:pPr>
      <w:r w:rsidRPr="004225DF">
        <w:rPr>
          <w:rFonts w:cs="Tahoma"/>
          <w:sz w:val="12"/>
          <w:szCs w:val="18"/>
          <w:lang w:eastAsia="tr-TR"/>
        </w:rPr>
        <w:t>(3) Gerçekleşme tahmini</w:t>
      </w:r>
    </w:p>
    <w:p w:rsidR="00565FD5" w:rsidRPr="004225DF" w:rsidRDefault="00565FD5" w:rsidP="00565FD5">
      <w:pPr>
        <w:rPr>
          <w:rFonts w:cs="Tahoma"/>
          <w:sz w:val="12"/>
          <w:szCs w:val="18"/>
          <w:lang w:eastAsia="tr-TR"/>
        </w:rPr>
      </w:pPr>
      <w:r w:rsidRPr="004225DF">
        <w:rPr>
          <w:rFonts w:cs="Tahoma"/>
          <w:sz w:val="12"/>
          <w:szCs w:val="18"/>
          <w:lang w:eastAsia="tr-TR"/>
        </w:rPr>
        <w:t>(4) Sabit fiyatlarla yüzde değişme</w:t>
      </w:r>
    </w:p>
    <w:p w:rsidR="00565FD5" w:rsidRPr="004225DF" w:rsidRDefault="00565FD5" w:rsidP="00565FD5">
      <w:pPr>
        <w:rPr>
          <w:rFonts w:cs="Tahoma"/>
          <w:sz w:val="12"/>
          <w:szCs w:val="18"/>
          <w:lang w:eastAsia="tr-TR"/>
        </w:rPr>
      </w:pPr>
      <w:r w:rsidRPr="004225DF">
        <w:rPr>
          <w:rFonts w:cs="Tahoma"/>
          <w:sz w:val="12"/>
          <w:szCs w:val="18"/>
          <w:lang w:eastAsia="tr-TR"/>
        </w:rPr>
        <w:t>(5) Ocak-Ağustos</w:t>
      </w:r>
    </w:p>
    <w:p w:rsidR="00565FD5" w:rsidRPr="004225DF" w:rsidRDefault="00565FD5" w:rsidP="00565FD5">
      <w:pPr>
        <w:spacing w:after="240"/>
        <w:rPr>
          <w:rFonts w:cs="Tahoma"/>
          <w:sz w:val="12"/>
          <w:szCs w:val="18"/>
          <w:lang w:eastAsia="tr-TR"/>
        </w:rPr>
      </w:pPr>
      <w:r w:rsidRPr="004225DF">
        <w:rPr>
          <w:rFonts w:cs="Tahoma"/>
          <w:sz w:val="12"/>
          <w:szCs w:val="18"/>
          <w:lang w:eastAsia="tr-TR"/>
        </w:rPr>
        <w:t>(6) Temmuz 2012</w:t>
      </w:r>
    </w:p>
    <w:p w:rsidR="00565FD5" w:rsidRPr="004B3DE4" w:rsidRDefault="00565FD5" w:rsidP="00565FD5">
      <w:pPr>
        <w:spacing w:before="120" w:after="120"/>
        <w:ind w:firstLine="425"/>
        <w:rPr>
          <w:rFonts w:cs="Tahoma"/>
          <w:szCs w:val="18"/>
          <w:lang w:eastAsia="tr-TR"/>
        </w:rPr>
      </w:pPr>
      <w:r w:rsidRPr="004B3DE4">
        <w:rPr>
          <w:rFonts w:cs="Tahoma"/>
          <w:szCs w:val="18"/>
          <w:lang w:eastAsia="tr-TR"/>
        </w:rPr>
        <w:t xml:space="preserve">Son yıllarda hizmetlerde yaratılan toplam katma değerin hizmet sektörlerine dağılımı incelendiğinde, ulaştırma, depolama ve haberleşme, toptan ve perakende ticaret, konut sahipliği sektörlerinin ağırlıklı olduğu görülmektedir. Ayrıca, 2007-2011 yılları arasında gayrimenkul kiralama ve iş faaliyetleri, kamu yönetimi ve savunma, zorunlu sosyal güvenlik ve eğitim sektörlerinin toplam hizmetler katma değeri içindeki paylarında artış gözlenmektedir. </w:t>
      </w:r>
    </w:p>
    <w:p w:rsidR="00565FD5" w:rsidRPr="00AB66CA" w:rsidRDefault="00565FD5" w:rsidP="00565FD5">
      <w:pPr>
        <w:pStyle w:val="ResimYazs"/>
        <w:rPr>
          <w:rFonts w:cs="Tahoma"/>
          <w:lang w:eastAsia="tr-TR"/>
        </w:rPr>
      </w:pPr>
      <w:bookmarkStart w:id="2028" w:name="_Toc338606035"/>
      <w:bookmarkStart w:id="2029" w:name="_Toc338711810"/>
      <w:r>
        <w:t xml:space="preserve">TABLO IV: </w:t>
      </w:r>
      <w:fldSimple w:instr=" SEQ TABLO_IV: \* ARABIC ">
        <w:r>
          <w:rPr>
            <w:noProof/>
          </w:rPr>
          <w:t>40</w:t>
        </w:r>
      </w:fldSimple>
      <w:r w:rsidRPr="00AB66CA">
        <w:rPr>
          <w:rFonts w:cs="Tahoma"/>
          <w:lang w:eastAsia="tr-TR"/>
        </w:rPr>
        <w:t>- Hizmetler Sektörünün Katma Değer Dağılımı</w:t>
      </w:r>
      <w:bookmarkEnd w:id="2028"/>
      <w:bookmarkEnd w:id="2029"/>
      <w:r w:rsidRPr="00AB66CA">
        <w:rPr>
          <w:rFonts w:cs="Tahoma"/>
          <w:lang w:eastAsia="tr-TR"/>
        </w:rPr>
        <w:t xml:space="preserve"> </w:t>
      </w:r>
    </w:p>
    <w:p w:rsidR="00565FD5" w:rsidRPr="009D2BB7" w:rsidRDefault="00565FD5" w:rsidP="00565FD5">
      <w:pPr>
        <w:tabs>
          <w:tab w:val="left" w:pos="3324"/>
          <w:tab w:val="left" w:pos="4459"/>
          <w:tab w:val="left" w:pos="5480"/>
        </w:tabs>
        <w:ind w:left="108" w:firstLine="425"/>
        <w:jc w:val="right"/>
        <w:rPr>
          <w:rFonts w:cs="Tahoma"/>
          <w:sz w:val="14"/>
          <w:szCs w:val="14"/>
          <w:lang w:eastAsia="tr-TR"/>
        </w:rPr>
      </w:pPr>
      <w:r w:rsidRPr="009D2BB7">
        <w:rPr>
          <w:rFonts w:cs="Tahoma"/>
          <w:sz w:val="14"/>
          <w:szCs w:val="14"/>
          <w:lang w:eastAsia="tr-TR"/>
        </w:rPr>
        <w:tab/>
      </w:r>
      <w:r w:rsidRPr="009D2BB7">
        <w:rPr>
          <w:rFonts w:cs="Tahoma"/>
          <w:sz w:val="14"/>
          <w:szCs w:val="14"/>
          <w:lang w:eastAsia="tr-TR"/>
        </w:rPr>
        <w:tab/>
      </w:r>
      <w:r w:rsidRPr="009D2BB7">
        <w:rPr>
          <w:rFonts w:cs="Tahoma"/>
          <w:sz w:val="14"/>
          <w:szCs w:val="14"/>
          <w:lang w:eastAsia="tr-TR"/>
        </w:rPr>
        <w:tab/>
        <w:t>(Yüzde)</w:t>
      </w:r>
    </w:p>
    <w:tbl>
      <w:tblPr>
        <w:tblW w:w="4859" w:type="pct"/>
        <w:tblInd w:w="108" w:type="dxa"/>
        <w:tblLook w:val="00A0"/>
      </w:tblPr>
      <w:tblGrid>
        <w:gridCol w:w="3230"/>
        <w:gridCol w:w="1149"/>
        <w:gridCol w:w="1034"/>
        <w:gridCol w:w="920"/>
        <w:gridCol w:w="818"/>
      </w:tblGrid>
      <w:tr w:rsidR="00565FD5" w:rsidRPr="004B3DE4" w:rsidTr="00AB62A3">
        <w:trPr>
          <w:trHeight w:val="293"/>
        </w:trPr>
        <w:tc>
          <w:tcPr>
            <w:tcW w:w="2258" w:type="pct"/>
            <w:tcBorders>
              <w:top w:val="single" w:sz="4" w:space="0" w:color="auto"/>
              <w:left w:val="single" w:sz="4" w:space="0" w:color="auto"/>
              <w:bottom w:val="single" w:sz="4" w:space="0" w:color="auto"/>
              <w:right w:val="nil"/>
            </w:tcBorders>
            <w:noWrap/>
            <w:vAlign w:val="bottom"/>
          </w:tcPr>
          <w:p w:rsidR="00565FD5" w:rsidRPr="004B3DE4" w:rsidRDefault="00565FD5" w:rsidP="00AB62A3">
            <w:pPr>
              <w:ind w:firstLine="425"/>
              <w:rPr>
                <w:rFonts w:cs="Tahoma"/>
                <w:sz w:val="16"/>
                <w:szCs w:val="18"/>
                <w:lang w:eastAsia="tr-TR"/>
              </w:rPr>
            </w:pPr>
            <w:r w:rsidRPr="004B3DE4">
              <w:rPr>
                <w:rFonts w:cs="Tahoma"/>
                <w:sz w:val="16"/>
                <w:szCs w:val="18"/>
                <w:lang w:eastAsia="tr-TR"/>
              </w:rPr>
              <w:t> </w:t>
            </w:r>
          </w:p>
        </w:tc>
        <w:tc>
          <w:tcPr>
            <w:tcW w:w="803" w:type="pct"/>
            <w:tcBorders>
              <w:top w:val="single" w:sz="4" w:space="0" w:color="auto"/>
              <w:left w:val="nil"/>
              <w:bottom w:val="single" w:sz="4" w:space="0" w:color="auto"/>
              <w:right w:val="nil"/>
            </w:tcBorders>
            <w:noWrap/>
            <w:vAlign w:val="bottom"/>
          </w:tcPr>
          <w:p w:rsidR="00565FD5" w:rsidRPr="004B3DE4" w:rsidRDefault="00565FD5" w:rsidP="00AB62A3">
            <w:pPr>
              <w:ind w:firstLine="425"/>
              <w:jc w:val="right"/>
              <w:rPr>
                <w:rFonts w:cs="Tahoma"/>
                <w:b/>
                <w:sz w:val="16"/>
                <w:szCs w:val="18"/>
                <w:lang w:eastAsia="tr-TR"/>
              </w:rPr>
            </w:pPr>
            <w:r w:rsidRPr="004B3DE4">
              <w:rPr>
                <w:rFonts w:cs="Tahoma"/>
                <w:b/>
                <w:sz w:val="16"/>
                <w:szCs w:val="18"/>
                <w:lang w:eastAsia="tr-TR"/>
              </w:rPr>
              <w:t>2007</w:t>
            </w:r>
          </w:p>
        </w:tc>
        <w:tc>
          <w:tcPr>
            <w:tcW w:w="723" w:type="pct"/>
            <w:tcBorders>
              <w:top w:val="single" w:sz="4" w:space="0" w:color="auto"/>
              <w:left w:val="nil"/>
              <w:bottom w:val="single" w:sz="4" w:space="0" w:color="auto"/>
              <w:right w:val="nil"/>
            </w:tcBorders>
            <w:noWrap/>
            <w:vAlign w:val="bottom"/>
          </w:tcPr>
          <w:p w:rsidR="00565FD5" w:rsidRPr="004B3DE4" w:rsidRDefault="00565FD5" w:rsidP="00AB62A3">
            <w:pPr>
              <w:jc w:val="right"/>
              <w:rPr>
                <w:rFonts w:cs="Tahoma"/>
                <w:b/>
                <w:sz w:val="16"/>
                <w:szCs w:val="18"/>
                <w:lang w:eastAsia="tr-TR"/>
              </w:rPr>
            </w:pPr>
            <w:r w:rsidRPr="004B3DE4">
              <w:rPr>
                <w:rFonts w:cs="Tahoma"/>
                <w:b/>
                <w:sz w:val="16"/>
                <w:szCs w:val="18"/>
                <w:lang w:eastAsia="tr-TR"/>
              </w:rPr>
              <w:t>2010</w:t>
            </w:r>
          </w:p>
        </w:tc>
        <w:tc>
          <w:tcPr>
            <w:tcW w:w="643" w:type="pct"/>
            <w:tcBorders>
              <w:top w:val="single" w:sz="4" w:space="0" w:color="auto"/>
              <w:left w:val="nil"/>
              <w:bottom w:val="single" w:sz="4" w:space="0" w:color="auto"/>
              <w:right w:val="nil"/>
            </w:tcBorders>
            <w:noWrap/>
            <w:vAlign w:val="bottom"/>
          </w:tcPr>
          <w:p w:rsidR="00565FD5" w:rsidRPr="004B3DE4" w:rsidRDefault="00565FD5" w:rsidP="00AB62A3">
            <w:pPr>
              <w:jc w:val="right"/>
              <w:rPr>
                <w:rFonts w:cs="Tahoma"/>
                <w:b/>
                <w:sz w:val="16"/>
                <w:szCs w:val="18"/>
                <w:lang w:eastAsia="tr-TR"/>
              </w:rPr>
            </w:pPr>
            <w:r w:rsidRPr="004B3DE4">
              <w:rPr>
                <w:rFonts w:cs="Tahoma"/>
                <w:b/>
                <w:sz w:val="16"/>
                <w:szCs w:val="18"/>
                <w:lang w:eastAsia="tr-TR"/>
              </w:rPr>
              <w:t>2011</w:t>
            </w:r>
          </w:p>
        </w:tc>
        <w:tc>
          <w:tcPr>
            <w:tcW w:w="572" w:type="pct"/>
            <w:tcBorders>
              <w:top w:val="single" w:sz="4" w:space="0" w:color="auto"/>
              <w:left w:val="nil"/>
              <w:bottom w:val="single" w:sz="4" w:space="0" w:color="auto"/>
              <w:right w:val="single" w:sz="4" w:space="0" w:color="auto"/>
            </w:tcBorders>
            <w:noWrap/>
            <w:vAlign w:val="bottom"/>
          </w:tcPr>
          <w:p w:rsidR="00565FD5" w:rsidRPr="004B3DE4" w:rsidRDefault="00565FD5" w:rsidP="00AB62A3">
            <w:pPr>
              <w:jc w:val="right"/>
              <w:rPr>
                <w:rFonts w:cs="Tahoma"/>
                <w:b/>
                <w:sz w:val="16"/>
                <w:szCs w:val="18"/>
                <w:lang w:eastAsia="tr-TR"/>
              </w:rPr>
            </w:pPr>
            <w:r w:rsidRPr="004B3DE4">
              <w:rPr>
                <w:rFonts w:cs="Tahoma"/>
                <w:b/>
                <w:sz w:val="16"/>
                <w:szCs w:val="18"/>
                <w:lang w:eastAsia="tr-TR"/>
              </w:rPr>
              <w:t>2012(1)</w:t>
            </w:r>
          </w:p>
        </w:tc>
      </w:tr>
      <w:tr w:rsidR="00565FD5" w:rsidRPr="004B3DE4" w:rsidTr="00AB62A3">
        <w:trPr>
          <w:trHeight w:val="227"/>
        </w:trPr>
        <w:tc>
          <w:tcPr>
            <w:tcW w:w="2258" w:type="pct"/>
            <w:tcBorders>
              <w:top w:val="nil"/>
              <w:left w:val="single" w:sz="4" w:space="0" w:color="auto"/>
              <w:bottom w:val="nil"/>
              <w:right w:val="nil"/>
            </w:tcBorders>
            <w:vAlign w:val="bottom"/>
          </w:tcPr>
          <w:p w:rsidR="00565FD5" w:rsidRPr="004B3DE4" w:rsidRDefault="00565FD5" w:rsidP="00AB62A3">
            <w:pPr>
              <w:rPr>
                <w:rFonts w:cs="Tahoma"/>
                <w:b/>
                <w:sz w:val="16"/>
                <w:szCs w:val="18"/>
                <w:lang w:eastAsia="tr-TR"/>
              </w:rPr>
            </w:pPr>
            <w:r w:rsidRPr="004B3DE4">
              <w:rPr>
                <w:rFonts w:cs="Tahoma"/>
                <w:b/>
                <w:sz w:val="16"/>
                <w:szCs w:val="18"/>
                <w:lang w:eastAsia="tr-TR"/>
              </w:rPr>
              <w:t>HİZMETLER</w:t>
            </w:r>
          </w:p>
        </w:tc>
        <w:tc>
          <w:tcPr>
            <w:tcW w:w="80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100</w:t>
            </w:r>
          </w:p>
        </w:tc>
        <w:tc>
          <w:tcPr>
            <w:tcW w:w="72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100</w:t>
            </w:r>
          </w:p>
        </w:tc>
        <w:tc>
          <w:tcPr>
            <w:tcW w:w="64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100</w:t>
            </w:r>
          </w:p>
        </w:tc>
        <w:tc>
          <w:tcPr>
            <w:tcW w:w="572" w:type="pct"/>
            <w:tcBorders>
              <w:top w:val="nil"/>
              <w:left w:val="nil"/>
              <w:bottom w:val="nil"/>
              <w:right w:val="single" w:sz="4" w:space="0" w:color="auto"/>
            </w:tcBorders>
            <w:noWrap/>
            <w:vAlign w:val="bottom"/>
          </w:tcPr>
          <w:p w:rsidR="00565FD5" w:rsidRPr="004B3DE4" w:rsidRDefault="00565FD5" w:rsidP="00AB62A3">
            <w:pPr>
              <w:jc w:val="right"/>
              <w:rPr>
                <w:rFonts w:cs="Tahoma"/>
                <w:sz w:val="16"/>
                <w:szCs w:val="18"/>
                <w:lang w:eastAsia="tr-TR"/>
              </w:rPr>
            </w:pPr>
            <w:r w:rsidRPr="004B3DE4">
              <w:rPr>
                <w:rFonts w:cs="Tahoma"/>
                <w:sz w:val="16"/>
                <w:szCs w:val="18"/>
                <w:lang w:eastAsia="tr-TR"/>
              </w:rPr>
              <w:t>100</w:t>
            </w:r>
          </w:p>
        </w:tc>
      </w:tr>
      <w:tr w:rsidR="00565FD5" w:rsidRPr="004B3DE4" w:rsidTr="00AB62A3">
        <w:trPr>
          <w:trHeight w:val="227"/>
        </w:trPr>
        <w:tc>
          <w:tcPr>
            <w:tcW w:w="2258" w:type="pct"/>
            <w:tcBorders>
              <w:top w:val="nil"/>
              <w:left w:val="single" w:sz="4" w:space="0" w:color="auto"/>
              <w:bottom w:val="nil"/>
              <w:right w:val="nil"/>
            </w:tcBorders>
            <w:vAlign w:val="bottom"/>
          </w:tcPr>
          <w:p w:rsidR="00565FD5" w:rsidRPr="004B3DE4" w:rsidRDefault="00565FD5" w:rsidP="00AB62A3">
            <w:pPr>
              <w:rPr>
                <w:rFonts w:cs="Tahoma"/>
                <w:sz w:val="16"/>
                <w:szCs w:val="18"/>
                <w:lang w:eastAsia="tr-TR"/>
              </w:rPr>
            </w:pPr>
            <w:r w:rsidRPr="004B3DE4">
              <w:rPr>
                <w:rFonts w:cs="Tahoma"/>
                <w:sz w:val="16"/>
                <w:szCs w:val="18"/>
                <w:lang w:eastAsia="tr-TR"/>
              </w:rPr>
              <w:lastRenderedPageBreak/>
              <w:t xml:space="preserve">Ulaştırma, depolama ve haberleşme </w:t>
            </w:r>
          </w:p>
        </w:tc>
        <w:tc>
          <w:tcPr>
            <w:tcW w:w="80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22,5</w:t>
            </w:r>
          </w:p>
        </w:tc>
        <w:tc>
          <w:tcPr>
            <w:tcW w:w="72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21,4</w:t>
            </w:r>
          </w:p>
        </w:tc>
        <w:tc>
          <w:tcPr>
            <w:tcW w:w="643" w:type="pct"/>
            <w:tcBorders>
              <w:top w:val="nil"/>
              <w:left w:val="nil"/>
              <w:bottom w:val="nil"/>
              <w:right w:val="nil"/>
            </w:tcBorders>
            <w:noWrap/>
            <w:vAlign w:val="bottom"/>
          </w:tcPr>
          <w:p w:rsidR="00565FD5" w:rsidRPr="004B3DE4" w:rsidRDefault="00565FD5" w:rsidP="00AB62A3">
            <w:pPr>
              <w:jc w:val="right"/>
              <w:rPr>
                <w:rFonts w:cs="Tahoma"/>
                <w:sz w:val="16"/>
                <w:szCs w:val="18"/>
                <w:lang w:eastAsia="tr-TR"/>
              </w:rPr>
            </w:pPr>
            <w:r w:rsidRPr="004B3DE4">
              <w:rPr>
                <w:rFonts w:cs="Tahoma"/>
                <w:sz w:val="16"/>
                <w:szCs w:val="18"/>
                <w:lang w:eastAsia="tr-TR"/>
              </w:rPr>
              <w:t>22,3</w:t>
            </w:r>
          </w:p>
        </w:tc>
        <w:tc>
          <w:tcPr>
            <w:tcW w:w="572" w:type="pct"/>
            <w:tcBorders>
              <w:top w:val="nil"/>
              <w:left w:val="nil"/>
              <w:bottom w:val="nil"/>
              <w:right w:val="single" w:sz="4" w:space="0" w:color="auto"/>
            </w:tcBorders>
            <w:noWrap/>
            <w:vAlign w:val="bottom"/>
          </w:tcPr>
          <w:p w:rsidR="00565FD5" w:rsidRPr="004B3DE4" w:rsidRDefault="00565FD5" w:rsidP="00AB62A3">
            <w:pPr>
              <w:jc w:val="right"/>
              <w:rPr>
                <w:rFonts w:cs="Tahoma"/>
                <w:sz w:val="16"/>
                <w:szCs w:val="18"/>
                <w:lang w:eastAsia="tr-TR"/>
              </w:rPr>
            </w:pPr>
            <w:r w:rsidRPr="004B3DE4">
              <w:rPr>
                <w:rFonts w:cs="Tahoma"/>
                <w:sz w:val="16"/>
                <w:szCs w:val="18"/>
                <w:lang w:eastAsia="tr-TR"/>
              </w:rPr>
              <w:t>22,0</w:t>
            </w:r>
          </w:p>
        </w:tc>
      </w:tr>
      <w:tr w:rsidR="00565FD5" w:rsidRPr="004B3DE4" w:rsidTr="00AB62A3">
        <w:trPr>
          <w:trHeight w:val="227"/>
        </w:trPr>
        <w:tc>
          <w:tcPr>
            <w:tcW w:w="2258" w:type="pct"/>
            <w:tcBorders>
              <w:top w:val="nil"/>
              <w:left w:val="single" w:sz="4" w:space="0" w:color="auto"/>
              <w:bottom w:val="nil"/>
              <w:right w:val="nil"/>
            </w:tcBorders>
            <w:vAlign w:val="bottom"/>
          </w:tcPr>
          <w:p w:rsidR="00565FD5" w:rsidRPr="004B3DE4" w:rsidRDefault="00565FD5" w:rsidP="00AB62A3">
            <w:pPr>
              <w:rPr>
                <w:rFonts w:cs="Tahoma"/>
                <w:sz w:val="16"/>
                <w:szCs w:val="18"/>
                <w:lang w:eastAsia="tr-TR"/>
              </w:rPr>
            </w:pPr>
            <w:r w:rsidRPr="004B3DE4">
              <w:rPr>
                <w:rFonts w:cs="Tahoma"/>
                <w:sz w:val="16"/>
                <w:szCs w:val="18"/>
                <w:lang w:eastAsia="tr-TR"/>
              </w:rPr>
              <w:t xml:space="preserve">Toptan ve perakende ticaret </w:t>
            </w:r>
          </w:p>
        </w:tc>
        <w:tc>
          <w:tcPr>
            <w:tcW w:w="80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19,8</w:t>
            </w:r>
          </w:p>
        </w:tc>
        <w:tc>
          <w:tcPr>
            <w:tcW w:w="72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17,9</w:t>
            </w:r>
          </w:p>
        </w:tc>
        <w:tc>
          <w:tcPr>
            <w:tcW w:w="643" w:type="pct"/>
            <w:tcBorders>
              <w:top w:val="nil"/>
              <w:left w:val="nil"/>
              <w:bottom w:val="nil"/>
              <w:right w:val="nil"/>
            </w:tcBorders>
            <w:noWrap/>
            <w:vAlign w:val="bottom"/>
          </w:tcPr>
          <w:p w:rsidR="00565FD5" w:rsidRPr="004B3DE4" w:rsidRDefault="00565FD5" w:rsidP="00AB62A3">
            <w:pPr>
              <w:jc w:val="right"/>
              <w:rPr>
                <w:rFonts w:cs="Tahoma"/>
                <w:sz w:val="16"/>
                <w:szCs w:val="18"/>
                <w:lang w:eastAsia="tr-TR"/>
              </w:rPr>
            </w:pPr>
            <w:r w:rsidRPr="004B3DE4">
              <w:rPr>
                <w:rFonts w:cs="Tahoma"/>
                <w:sz w:val="16"/>
                <w:szCs w:val="18"/>
                <w:lang w:eastAsia="tr-TR"/>
              </w:rPr>
              <w:t>19,8</w:t>
            </w:r>
          </w:p>
        </w:tc>
        <w:tc>
          <w:tcPr>
            <w:tcW w:w="572" w:type="pct"/>
            <w:tcBorders>
              <w:top w:val="nil"/>
              <w:left w:val="nil"/>
              <w:bottom w:val="nil"/>
              <w:right w:val="single" w:sz="4" w:space="0" w:color="auto"/>
            </w:tcBorders>
            <w:noWrap/>
            <w:vAlign w:val="bottom"/>
          </w:tcPr>
          <w:p w:rsidR="00565FD5" w:rsidRPr="004B3DE4" w:rsidRDefault="00565FD5" w:rsidP="00AB62A3">
            <w:pPr>
              <w:jc w:val="right"/>
              <w:rPr>
                <w:rFonts w:cs="Tahoma"/>
                <w:sz w:val="16"/>
                <w:szCs w:val="18"/>
                <w:lang w:eastAsia="tr-TR"/>
              </w:rPr>
            </w:pPr>
            <w:r w:rsidRPr="004B3DE4">
              <w:rPr>
                <w:rFonts w:cs="Tahoma"/>
                <w:sz w:val="16"/>
                <w:szCs w:val="18"/>
                <w:lang w:eastAsia="tr-TR"/>
              </w:rPr>
              <w:t>20,0</w:t>
            </w:r>
          </w:p>
        </w:tc>
      </w:tr>
      <w:tr w:rsidR="00565FD5" w:rsidRPr="004B3DE4" w:rsidTr="00AB62A3">
        <w:trPr>
          <w:trHeight w:val="227"/>
        </w:trPr>
        <w:tc>
          <w:tcPr>
            <w:tcW w:w="2258" w:type="pct"/>
            <w:tcBorders>
              <w:top w:val="nil"/>
              <w:left w:val="single" w:sz="4" w:space="0" w:color="auto"/>
              <w:bottom w:val="nil"/>
              <w:right w:val="nil"/>
            </w:tcBorders>
            <w:vAlign w:val="bottom"/>
          </w:tcPr>
          <w:p w:rsidR="00565FD5" w:rsidRPr="004B3DE4" w:rsidRDefault="00565FD5" w:rsidP="00AB62A3">
            <w:pPr>
              <w:rPr>
                <w:rFonts w:cs="Tahoma"/>
                <w:sz w:val="16"/>
                <w:szCs w:val="18"/>
                <w:lang w:eastAsia="tr-TR"/>
              </w:rPr>
            </w:pPr>
            <w:r w:rsidRPr="004B3DE4">
              <w:rPr>
                <w:rFonts w:cs="Tahoma"/>
                <w:sz w:val="16"/>
                <w:szCs w:val="18"/>
                <w:lang w:eastAsia="tr-TR"/>
              </w:rPr>
              <w:t xml:space="preserve">Konut Sahipliği </w:t>
            </w:r>
          </w:p>
        </w:tc>
        <w:tc>
          <w:tcPr>
            <w:tcW w:w="80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17,5</w:t>
            </w:r>
          </w:p>
        </w:tc>
        <w:tc>
          <w:tcPr>
            <w:tcW w:w="72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18,2</w:t>
            </w:r>
          </w:p>
        </w:tc>
        <w:tc>
          <w:tcPr>
            <w:tcW w:w="643" w:type="pct"/>
            <w:tcBorders>
              <w:top w:val="nil"/>
              <w:left w:val="nil"/>
              <w:bottom w:val="nil"/>
              <w:right w:val="nil"/>
            </w:tcBorders>
            <w:noWrap/>
            <w:vAlign w:val="bottom"/>
          </w:tcPr>
          <w:p w:rsidR="00565FD5" w:rsidRPr="004B3DE4" w:rsidRDefault="00565FD5" w:rsidP="00AB62A3">
            <w:pPr>
              <w:jc w:val="right"/>
              <w:rPr>
                <w:rFonts w:cs="Tahoma"/>
                <w:sz w:val="16"/>
                <w:szCs w:val="18"/>
                <w:lang w:eastAsia="tr-TR"/>
              </w:rPr>
            </w:pPr>
            <w:r w:rsidRPr="004B3DE4">
              <w:rPr>
                <w:rFonts w:cs="Tahoma"/>
                <w:sz w:val="16"/>
                <w:szCs w:val="18"/>
                <w:lang w:eastAsia="tr-TR"/>
              </w:rPr>
              <w:t>16,4</w:t>
            </w:r>
          </w:p>
        </w:tc>
        <w:tc>
          <w:tcPr>
            <w:tcW w:w="572" w:type="pct"/>
            <w:tcBorders>
              <w:top w:val="nil"/>
              <w:left w:val="nil"/>
              <w:bottom w:val="nil"/>
              <w:right w:val="single" w:sz="4" w:space="0" w:color="auto"/>
            </w:tcBorders>
            <w:noWrap/>
            <w:vAlign w:val="bottom"/>
          </w:tcPr>
          <w:p w:rsidR="00565FD5" w:rsidRPr="004B3DE4" w:rsidRDefault="00565FD5" w:rsidP="00AB62A3">
            <w:pPr>
              <w:jc w:val="right"/>
              <w:rPr>
                <w:rFonts w:cs="Tahoma"/>
                <w:sz w:val="16"/>
                <w:szCs w:val="18"/>
                <w:lang w:eastAsia="tr-TR"/>
              </w:rPr>
            </w:pPr>
            <w:r w:rsidRPr="004B3DE4">
              <w:rPr>
                <w:rFonts w:cs="Tahoma"/>
                <w:sz w:val="16"/>
                <w:szCs w:val="18"/>
                <w:lang w:eastAsia="tr-TR"/>
              </w:rPr>
              <w:t>15,9</w:t>
            </w:r>
          </w:p>
        </w:tc>
      </w:tr>
      <w:tr w:rsidR="00565FD5" w:rsidRPr="004B3DE4" w:rsidTr="00AB62A3">
        <w:trPr>
          <w:trHeight w:val="227"/>
        </w:trPr>
        <w:tc>
          <w:tcPr>
            <w:tcW w:w="2258" w:type="pct"/>
            <w:tcBorders>
              <w:top w:val="nil"/>
              <w:left w:val="single" w:sz="4" w:space="0" w:color="auto"/>
              <w:bottom w:val="nil"/>
              <w:right w:val="nil"/>
            </w:tcBorders>
            <w:vAlign w:val="bottom"/>
          </w:tcPr>
          <w:p w:rsidR="00565FD5" w:rsidRPr="004B3DE4" w:rsidRDefault="00565FD5" w:rsidP="00AB62A3">
            <w:pPr>
              <w:rPr>
                <w:rFonts w:cs="Tahoma"/>
                <w:sz w:val="16"/>
                <w:szCs w:val="18"/>
                <w:lang w:eastAsia="tr-TR"/>
              </w:rPr>
            </w:pPr>
            <w:r w:rsidRPr="004B3DE4">
              <w:rPr>
                <w:rFonts w:cs="Tahoma"/>
                <w:sz w:val="16"/>
                <w:szCs w:val="18"/>
                <w:lang w:eastAsia="tr-TR"/>
              </w:rPr>
              <w:t xml:space="preserve">Gayrimenkul, kiralama ve iş faaliyetleri </w:t>
            </w:r>
          </w:p>
        </w:tc>
        <w:tc>
          <w:tcPr>
            <w:tcW w:w="80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6,6</w:t>
            </w:r>
          </w:p>
        </w:tc>
        <w:tc>
          <w:tcPr>
            <w:tcW w:w="72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7,8</w:t>
            </w:r>
          </w:p>
        </w:tc>
        <w:tc>
          <w:tcPr>
            <w:tcW w:w="64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7,7</w:t>
            </w:r>
          </w:p>
        </w:tc>
        <w:tc>
          <w:tcPr>
            <w:tcW w:w="572" w:type="pct"/>
            <w:tcBorders>
              <w:top w:val="nil"/>
              <w:left w:val="nil"/>
              <w:bottom w:val="nil"/>
              <w:right w:val="single" w:sz="4" w:space="0" w:color="auto"/>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8,4</w:t>
            </w:r>
          </w:p>
        </w:tc>
      </w:tr>
      <w:tr w:rsidR="00565FD5" w:rsidRPr="004B3DE4" w:rsidTr="00AB62A3">
        <w:trPr>
          <w:trHeight w:val="227"/>
        </w:trPr>
        <w:tc>
          <w:tcPr>
            <w:tcW w:w="2258" w:type="pct"/>
            <w:tcBorders>
              <w:top w:val="nil"/>
              <w:left w:val="single" w:sz="4" w:space="0" w:color="auto"/>
              <w:bottom w:val="nil"/>
              <w:right w:val="nil"/>
            </w:tcBorders>
            <w:vAlign w:val="bottom"/>
          </w:tcPr>
          <w:p w:rsidR="00565FD5" w:rsidRPr="004B3DE4" w:rsidRDefault="00565FD5" w:rsidP="00AB62A3">
            <w:pPr>
              <w:rPr>
                <w:rFonts w:cs="Tahoma"/>
                <w:sz w:val="16"/>
                <w:szCs w:val="18"/>
                <w:lang w:eastAsia="tr-TR"/>
              </w:rPr>
            </w:pPr>
            <w:r w:rsidRPr="004B3DE4">
              <w:rPr>
                <w:rFonts w:cs="Tahoma"/>
                <w:sz w:val="16"/>
                <w:szCs w:val="18"/>
                <w:lang w:eastAsia="tr-TR"/>
              </w:rPr>
              <w:t xml:space="preserve">İnşaat </w:t>
            </w:r>
          </w:p>
        </w:tc>
        <w:tc>
          <w:tcPr>
            <w:tcW w:w="80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7,9</w:t>
            </w:r>
          </w:p>
        </w:tc>
        <w:tc>
          <w:tcPr>
            <w:tcW w:w="72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6,8</w:t>
            </w:r>
          </w:p>
        </w:tc>
        <w:tc>
          <w:tcPr>
            <w:tcW w:w="64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7,3</w:t>
            </w:r>
          </w:p>
        </w:tc>
        <w:tc>
          <w:tcPr>
            <w:tcW w:w="572" w:type="pct"/>
            <w:tcBorders>
              <w:top w:val="nil"/>
              <w:left w:val="nil"/>
              <w:bottom w:val="nil"/>
              <w:right w:val="single" w:sz="4" w:space="0" w:color="auto"/>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7,3</w:t>
            </w:r>
          </w:p>
        </w:tc>
      </w:tr>
      <w:tr w:rsidR="00565FD5" w:rsidRPr="004B3DE4" w:rsidTr="00AB62A3">
        <w:trPr>
          <w:trHeight w:val="227"/>
        </w:trPr>
        <w:tc>
          <w:tcPr>
            <w:tcW w:w="2258" w:type="pct"/>
            <w:tcBorders>
              <w:top w:val="nil"/>
              <w:left w:val="single" w:sz="4" w:space="0" w:color="auto"/>
              <w:bottom w:val="nil"/>
              <w:right w:val="nil"/>
            </w:tcBorders>
            <w:vAlign w:val="bottom"/>
          </w:tcPr>
          <w:p w:rsidR="00565FD5" w:rsidRPr="004B3DE4" w:rsidRDefault="00565FD5" w:rsidP="00AB62A3">
            <w:pPr>
              <w:rPr>
                <w:rFonts w:cs="Tahoma"/>
                <w:sz w:val="16"/>
                <w:szCs w:val="18"/>
                <w:lang w:eastAsia="tr-TR"/>
              </w:rPr>
            </w:pPr>
            <w:r w:rsidRPr="004B3DE4">
              <w:rPr>
                <w:rFonts w:cs="Tahoma"/>
                <w:sz w:val="16"/>
                <w:szCs w:val="18"/>
                <w:lang w:eastAsia="tr-TR"/>
              </w:rPr>
              <w:t xml:space="preserve">Kamu yönetimi ve savunma, zorunlu sosyal güvenlik </w:t>
            </w:r>
          </w:p>
        </w:tc>
        <w:tc>
          <w:tcPr>
            <w:tcW w:w="80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6,3</w:t>
            </w:r>
          </w:p>
        </w:tc>
        <w:tc>
          <w:tcPr>
            <w:tcW w:w="72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6,8</w:t>
            </w:r>
          </w:p>
        </w:tc>
        <w:tc>
          <w:tcPr>
            <w:tcW w:w="64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6,6</w:t>
            </w:r>
          </w:p>
        </w:tc>
        <w:tc>
          <w:tcPr>
            <w:tcW w:w="572" w:type="pct"/>
            <w:tcBorders>
              <w:top w:val="nil"/>
              <w:left w:val="nil"/>
              <w:bottom w:val="nil"/>
              <w:right w:val="single" w:sz="4" w:space="0" w:color="auto"/>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7,1</w:t>
            </w:r>
          </w:p>
        </w:tc>
      </w:tr>
      <w:tr w:rsidR="00565FD5" w:rsidRPr="004B3DE4" w:rsidTr="00AB62A3">
        <w:trPr>
          <w:trHeight w:val="227"/>
        </w:trPr>
        <w:tc>
          <w:tcPr>
            <w:tcW w:w="2258" w:type="pct"/>
            <w:tcBorders>
              <w:top w:val="nil"/>
              <w:left w:val="single" w:sz="4" w:space="0" w:color="auto"/>
              <w:bottom w:val="nil"/>
              <w:right w:val="nil"/>
            </w:tcBorders>
            <w:vAlign w:val="bottom"/>
          </w:tcPr>
          <w:p w:rsidR="00565FD5" w:rsidRPr="004B3DE4" w:rsidRDefault="00565FD5" w:rsidP="00AB62A3">
            <w:pPr>
              <w:rPr>
                <w:rFonts w:cs="Tahoma"/>
                <w:sz w:val="16"/>
                <w:szCs w:val="18"/>
                <w:lang w:eastAsia="tr-TR"/>
              </w:rPr>
            </w:pPr>
            <w:r w:rsidRPr="004B3DE4">
              <w:rPr>
                <w:rFonts w:cs="Tahoma"/>
                <w:sz w:val="16"/>
                <w:szCs w:val="18"/>
                <w:lang w:eastAsia="tr-TR"/>
              </w:rPr>
              <w:t xml:space="preserve">Eğitim </w:t>
            </w:r>
          </w:p>
        </w:tc>
        <w:tc>
          <w:tcPr>
            <w:tcW w:w="80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4,7</w:t>
            </w:r>
          </w:p>
        </w:tc>
        <w:tc>
          <w:tcPr>
            <w:tcW w:w="72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5,5</w:t>
            </w:r>
          </w:p>
        </w:tc>
        <w:tc>
          <w:tcPr>
            <w:tcW w:w="64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5,4</w:t>
            </w:r>
          </w:p>
        </w:tc>
        <w:tc>
          <w:tcPr>
            <w:tcW w:w="572" w:type="pct"/>
            <w:tcBorders>
              <w:top w:val="nil"/>
              <w:left w:val="nil"/>
              <w:bottom w:val="nil"/>
              <w:right w:val="single" w:sz="4" w:space="0" w:color="auto"/>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6,1</w:t>
            </w:r>
          </w:p>
        </w:tc>
      </w:tr>
      <w:tr w:rsidR="00565FD5" w:rsidRPr="004B3DE4" w:rsidTr="00AB62A3">
        <w:trPr>
          <w:trHeight w:val="227"/>
        </w:trPr>
        <w:tc>
          <w:tcPr>
            <w:tcW w:w="2258" w:type="pct"/>
            <w:tcBorders>
              <w:top w:val="nil"/>
              <w:left w:val="single" w:sz="4" w:space="0" w:color="auto"/>
              <w:bottom w:val="nil"/>
              <w:right w:val="nil"/>
            </w:tcBorders>
            <w:vAlign w:val="bottom"/>
          </w:tcPr>
          <w:p w:rsidR="00565FD5" w:rsidRPr="004B3DE4" w:rsidRDefault="00565FD5" w:rsidP="00AB62A3">
            <w:pPr>
              <w:rPr>
                <w:rFonts w:cs="Tahoma"/>
                <w:sz w:val="16"/>
                <w:szCs w:val="18"/>
                <w:lang w:eastAsia="tr-TR"/>
              </w:rPr>
            </w:pPr>
            <w:r w:rsidRPr="004B3DE4">
              <w:rPr>
                <w:rFonts w:cs="Tahoma"/>
                <w:sz w:val="16"/>
                <w:szCs w:val="18"/>
                <w:lang w:eastAsia="tr-TR"/>
              </w:rPr>
              <w:t>Mali aracı kuruluşların faaliyetleri</w:t>
            </w:r>
          </w:p>
        </w:tc>
        <w:tc>
          <w:tcPr>
            <w:tcW w:w="80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5,3</w:t>
            </w:r>
          </w:p>
        </w:tc>
        <w:tc>
          <w:tcPr>
            <w:tcW w:w="72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6,0</w:t>
            </w:r>
          </w:p>
        </w:tc>
        <w:tc>
          <w:tcPr>
            <w:tcW w:w="64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5,2</w:t>
            </w:r>
          </w:p>
        </w:tc>
        <w:tc>
          <w:tcPr>
            <w:tcW w:w="572" w:type="pct"/>
            <w:tcBorders>
              <w:top w:val="nil"/>
              <w:left w:val="nil"/>
              <w:bottom w:val="nil"/>
              <w:right w:val="single" w:sz="4" w:space="0" w:color="auto"/>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5,0</w:t>
            </w:r>
          </w:p>
        </w:tc>
      </w:tr>
      <w:tr w:rsidR="00565FD5" w:rsidRPr="004B3DE4" w:rsidTr="00AB62A3">
        <w:trPr>
          <w:trHeight w:val="227"/>
        </w:trPr>
        <w:tc>
          <w:tcPr>
            <w:tcW w:w="2258" w:type="pct"/>
            <w:tcBorders>
              <w:top w:val="nil"/>
              <w:left w:val="single" w:sz="4" w:space="0" w:color="auto"/>
              <w:bottom w:val="nil"/>
              <w:right w:val="nil"/>
            </w:tcBorders>
            <w:vAlign w:val="bottom"/>
          </w:tcPr>
          <w:p w:rsidR="00565FD5" w:rsidRPr="004B3DE4" w:rsidRDefault="00565FD5" w:rsidP="00AB62A3">
            <w:pPr>
              <w:rPr>
                <w:rFonts w:cs="Tahoma"/>
                <w:sz w:val="16"/>
                <w:szCs w:val="18"/>
                <w:lang w:eastAsia="tr-TR"/>
              </w:rPr>
            </w:pPr>
            <w:r w:rsidRPr="004B3DE4">
              <w:rPr>
                <w:rFonts w:cs="Tahoma"/>
                <w:sz w:val="16"/>
                <w:szCs w:val="18"/>
                <w:lang w:eastAsia="tr-TR"/>
              </w:rPr>
              <w:t xml:space="preserve">Oteller ve Lokantalar </w:t>
            </w:r>
          </w:p>
        </w:tc>
        <w:tc>
          <w:tcPr>
            <w:tcW w:w="80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3,7</w:t>
            </w:r>
          </w:p>
        </w:tc>
        <w:tc>
          <w:tcPr>
            <w:tcW w:w="72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3,8</w:t>
            </w:r>
          </w:p>
        </w:tc>
        <w:tc>
          <w:tcPr>
            <w:tcW w:w="64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3,7</w:t>
            </w:r>
          </w:p>
        </w:tc>
        <w:tc>
          <w:tcPr>
            <w:tcW w:w="572" w:type="pct"/>
            <w:tcBorders>
              <w:top w:val="nil"/>
              <w:left w:val="nil"/>
              <w:bottom w:val="nil"/>
              <w:right w:val="single" w:sz="4" w:space="0" w:color="auto"/>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2,8</w:t>
            </w:r>
          </w:p>
        </w:tc>
      </w:tr>
      <w:tr w:rsidR="00565FD5" w:rsidRPr="004B3DE4" w:rsidTr="00AB62A3">
        <w:trPr>
          <w:trHeight w:val="227"/>
        </w:trPr>
        <w:tc>
          <w:tcPr>
            <w:tcW w:w="2258" w:type="pct"/>
            <w:tcBorders>
              <w:top w:val="nil"/>
              <w:left w:val="single" w:sz="4" w:space="0" w:color="auto"/>
              <w:bottom w:val="nil"/>
              <w:right w:val="nil"/>
            </w:tcBorders>
            <w:vAlign w:val="bottom"/>
          </w:tcPr>
          <w:p w:rsidR="00565FD5" w:rsidRPr="004B3DE4" w:rsidRDefault="00565FD5" w:rsidP="00AB62A3">
            <w:pPr>
              <w:rPr>
                <w:rFonts w:cs="Tahoma"/>
                <w:sz w:val="16"/>
                <w:szCs w:val="18"/>
                <w:lang w:eastAsia="tr-TR"/>
              </w:rPr>
            </w:pPr>
            <w:r w:rsidRPr="004B3DE4">
              <w:rPr>
                <w:rFonts w:cs="Tahoma"/>
                <w:sz w:val="16"/>
                <w:szCs w:val="18"/>
                <w:lang w:eastAsia="tr-TR"/>
              </w:rPr>
              <w:t>Diğer sosyal, toplumsal ve kişisel hizmet faaliyetleri</w:t>
            </w:r>
          </w:p>
        </w:tc>
        <w:tc>
          <w:tcPr>
            <w:tcW w:w="80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2,8</w:t>
            </w:r>
          </w:p>
        </w:tc>
        <w:tc>
          <w:tcPr>
            <w:tcW w:w="72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2,8</w:t>
            </w:r>
          </w:p>
        </w:tc>
        <w:tc>
          <w:tcPr>
            <w:tcW w:w="64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2,7</w:t>
            </w:r>
          </w:p>
        </w:tc>
        <w:tc>
          <w:tcPr>
            <w:tcW w:w="572" w:type="pct"/>
            <w:tcBorders>
              <w:top w:val="nil"/>
              <w:left w:val="nil"/>
              <w:bottom w:val="nil"/>
              <w:right w:val="single" w:sz="4" w:space="0" w:color="auto"/>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2,7</w:t>
            </w:r>
          </w:p>
        </w:tc>
      </w:tr>
      <w:tr w:rsidR="00565FD5" w:rsidRPr="004B3DE4" w:rsidTr="00AB62A3">
        <w:trPr>
          <w:trHeight w:val="227"/>
        </w:trPr>
        <w:tc>
          <w:tcPr>
            <w:tcW w:w="2258" w:type="pct"/>
            <w:tcBorders>
              <w:top w:val="nil"/>
              <w:left w:val="single" w:sz="4" w:space="0" w:color="auto"/>
              <w:bottom w:val="nil"/>
              <w:right w:val="nil"/>
            </w:tcBorders>
            <w:vAlign w:val="bottom"/>
          </w:tcPr>
          <w:p w:rsidR="00565FD5" w:rsidRPr="004B3DE4" w:rsidRDefault="00565FD5" w:rsidP="00AB62A3">
            <w:pPr>
              <w:rPr>
                <w:rFonts w:cs="Tahoma"/>
                <w:sz w:val="16"/>
                <w:szCs w:val="18"/>
                <w:lang w:eastAsia="tr-TR"/>
              </w:rPr>
            </w:pPr>
            <w:r w:rsidRPr="004B3DE4">
              <w:rPr>
                <w:rFonts w:cs="Tahoma"/>
                <w:sz w:val="16"/>
                <w:szCs w:val="18"/>
                <w:lang w:eastAsia="tr-TR"/>
              </w:rPr>
              <w:t xml:space="preserve">Sağlık işleri ve sosyal hizmetler </w:t>
            </w:r>
          </w:p>
        </w:tc>
        <w:tc>
          <w:tcPr>
            <w:tcW w:w="80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2,7</w:t>
            </w:r>
          </w:p>
        </w:tc>
        <w:tc>
          <w:tcPr>
            <w:tcW w:w="72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2,7</w:t>
            </w:r>
          </w:p>
        </w:tc>
        <w:tc>
          <w:tcPr>
            <w:tcW w:w="643" w:type="pct"/>
            <w:tcBorders>
              <w:top w:val="nil"/>
              <w:left w:val="nil"/>
              <w:bottom w:val="nil"/>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2,5</w:t>
            </w:r>
          </w:p>
        </w:tc>
        <w:tc>
          <w:tcPr>
            <w:tcW w:w="572" w:type="pct"/>
            <w:tcBorders>
              <w:top w:val="nil"/>
              <w:left w:val="nil"/>
              <w:bottom w:val="nil"/>
              <w:right w:val="single" w:sz="4" w:space="0" w:color="auto"/>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2,5</w:t>
            </w:r>
          </w:p>
        </w:tc>
      </w:tr>
      <w:tr w:rsidR="00565FD5" w:rsidRPr="004B3DE4" w:rsidTr="00AB62A3">
        <w:trPr>
          <w:trHeight w:val="227"/>
        </w:trPr>
        <w:tc>
          <w:tcPr>
            <w:tcW w:w="2258" w:type="pct"/>
            <w:tcBorders>
              <w:top w:val="nil"/>
              <w:left w:val="single" w:sz="4" w:space="0" w:color="auto"/>
              <w:bottom w:val="single" w:sz="4" w:space="0" w:color="auto"/>
              <w:right w:val="nil"/>
            </w:tcBorders>
            <w:vAlign w:val="bottom"/>
          </w:tcPr>
          <w:p w:rsidR="00565FD5" w:rsidRPr="004B3DE4" w:rsidRDefault="00565FD5" w:rsidP="00AB62A3">
            <w:pPr>
              <w:rPr>
                <w:rFonts w:cs="Tahoma"/>
                <w:sz w:val="16"/>
                <w:szCs w:val="18"/>
                <w:lang w:eastAsia="tr-TR"/>
              </w:rPr>
            </w:pPr>
            <w:r w:rsidRPr="004B3DE4">
              <w:rPr>
                <w:rFonts w:cs="Tahoma"/>
                <w:sz w:val="16"/>
                <w:szCs w:val="18"/>
                <w:lang w:eastAsia="tr-TR"/>
              </w:rPr>
              <w:t xml:space="preserve">Eviçi personel çalıştıran hanehalkları </w:t>
            </w:r>
          </w:p>
        </w:tc>
        <w:tc>
          <w:tcPr>
            <w:tcW w:w="803" w:type="pct"/>
            <w:tcBorders>
              <w:top w:val="nil"/>
              <w:left w:val="nil"/>
              <w:bottom w:val="single" w:sz="4" w:space="0" w:color="auto"/>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0,3</w:t>
            </w:r>
          </w:p>
        </w:tc>
        <w:tc>
          <w:tcPr>
            <w:tcW w:w="723" w:type="pct"/>
            <w:tcBorders>
              <w:top w:val="nil"/>
              <w:left w:val="nil"/>
              <w:bottom w:val="single" w:sz="4" w:space="0" w:color="auto"/>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0,3</w:t>
            </w:r>
          </w:p>
        </w:tc>
        <w:tc>
          <w:tcPr>
            <w:tcW w:w="643" w:type="pct"/>
            <w:tcBorders>
              <w:top w:val="nil"/>
              <w:left w:val="nil"/>
              <w:bottom w:val="single" w:sz="4" w:space="0" w:color="auto"/>
              <w:right w:val="nil"/>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0,3</w:t>
            </w:r>
          </w:p>
        </w:tc>
        <w:tc>
          <w:tcPr>
            <w:tcW w:w="572" w:type="pct"/>
            <w:tcBorders>
              <w:top w:val="nil"/>
              <w:left w:val="nil"/>
              <w:bottom w:val="single" w:sz="4" w:space="0" w:color="auto"/>
              <w:right w:val="single" w:sz="4" w:space="0" w:color="auto"/>
            </w:tcBorders>
            <w:noWrap/>
            <w:vAlign w:val="bottom"/>
          </w:tcPr>
          <w:p w:rsidR="00565FD5" w:rsidRPr="004B3DE4" w:rsidRDefault="00565FD5" w:rsidP="00AB62A3">
            <w:pPr>
              <w:ind w:firstLine="425"/>
              <w:jc w:val="right"/>
              <w:rPr>
                <w:rFonts w:cs="Tahoma"/>
                <w:sz w:val="16"/>
                <w:szCs w:val="18"/>
                <w:lang w:eastAsia="tr-TR"/>
              </w:rPr>
            </w:pPr>
            <w:r w:rsidRPr="004B3DE4">
              <w:rPr>
                <w:rFonts w:cs="Tahoma"/>
                <w:sz w:val="16"/>
                <w:szCs w:val="18"/>
                <w:lang w:eastAsia="tr-TR"/>
              </w:rPr>
              <w:t>0,3</w:t>
            </w:r>
          </w:p>
        </w:tc>
      </w:tr>
    </w:tbl>
    <w:p w:rsidR="00565FD5" w:rsidRPr="004B3DE4" w:rsidRDefault="00565FD5" w:rsidP="00565FD5">
      <w:pPr>
        <w:rPr>
          <w:rFonts w:cs="Tahoma"/>
          <w:sz w:val="14"/>
          <w:szCs w:val="18"/>
          <w:lang w:eastAsia="tr-TR"/>
        </w:rPr>
      </w:pPr>
      <w:r w:rsidRPr="004B3DE4">
        <w:rPr>
          <w:rFonts w:cs="Tahoma"/>
          <w:sz w:val="14"/>
          <w:szCs w:val="18"/>
          <w:lang w:eastAsia="tr-TR"/>
        </w:rPr>
        <w:t xml:space="preserve">Kaynak: TÜİK, Milli Gelir İstatistikleri </w:t>
      </w:r>
    </w:p>
    <w:p w:rsidR="00565FD5" w:rsidRPr="004B3DE4" w:rsidRDefault="00565FD5" w:rsidP="00565FD5">
      <w:pPr>
        <w:spacing w:after="360"/>
        <w:rPr>
          <w:rFonts w:cs="Tahoma"/>
          <w:sz w:val="14"/>
          <w:szCs w:val="18"/>
          <w:lang w:eastAsia="tr-TR"/>
        </w:rPr>
      </w:pPr>
      <w:r w:rsidRPr="004B3DE4">
        <w:rPr>
          <w:rFonts w:cs="Tahoma"/>
          <w:sz w:val="14"/>
          <w:szCs w:val="18"/>
          <w:lang w:eastAsia="tr-TR"/>
        </w:rPr>
        <w:t>(1) Ocak-Haziran</w:t>
      </w:r>
    </w:p>
    <w:p w:rsidR="00565FD5" w:rsidRPr="004B3DE4" w:rsidRDefault="00565FD5" w:rsidP="00565FD5">
      <w:pPr>
        <w:spacing w:before="120" w:after="120"/>
        <w:ind w:firstLine="425"/>
        <w:rPr>
          <w:rFonts w:cs="Tahoma"/>
          <w:szCs w:val="18"/>
          <w:lang w:eastAsia="tr-TR"/>
        </w:rPr>
      </w:pPr>
      <w:r w:rsidRPr="004B3DE4">
        <w:rPr>
          <w:rFonts w:cs="Tahoma"/>
          <w:szCs w:val="18"/>
          <w:lang w:eastAsia="tr-TR"/>
        </w:rPr>
        <w:t>Toplam istihdamın yaklaşık yarısını sağlayan hizmetler sektöründe istihdamın hizmet sektörlerine dağılımı incelendiğinde, toptan ve perakende ticaret, inşaat ile kamu yönetimi ve savunma alanlarının ağırlıklı olduğu görülmektedir. Ayrıca, 2007-2011 yılları arasında inşaat, eğitim, idari ve destek hizmet faaliyetleri, sağlık ve sosyal hizmet faaliyetleri, mesleki, bilimsel ve teknik faaliyetler, bilgi ve iletişim ile gayrimenkul faaliyetlerinin hizmetler istihdamı içindeki paylarında artış gözlenmektedir.</w:t>
      </w:r>
    </w:p>
    <w:p w:rsidR="00565FD5" w:rsidRPr="00AB66CA" w:rsidRDefault="00565FD5" w:rsidP="00565FD5">
      <w:pPr>
        <w:pStyle w:val="ResimYazs"/>
        <w:rPr>
          <w:rFonts w:cs="Tahoma"/>
          <w:sz w:val="18"/>
          <w:lang w:eastAsia="tr-TR"/>
        </w:rPr>
      </w:pPr>
      <w:bookmarkStart w:id="2030" w:name="_Toc338606036"/>
      <w:bookmarkStart w:id="2031" w:name="_Toc338711811"/>
      <w:r>
        <w:lastRenderedPageBreak/>
        <w:t xml:space="preserve">TABLO IV: </w:t>
      </w:r>
      <w:fldSimple w:instr=" SEQ TABLO_IV: \* ARABIC ">
        <w:r>
          <w:rPr>
            <w:noProof/>
          </w:rPr>
          <w:t>41</w:t>
        </w:r>
      </w:fldSimple>
      <w:r w:rsidRPr="00AB66CA">
        <w:rPr>
          <w:rFonts w:cs="Tahoma"/>
          <w:szCs w:val="16"/>
          <w:lang w:eastAsia="tr-TR"/>
        </w:rPr>
        <w:t>- Hizmetler Sektörünün İstihdam Dağılımı</w:t>
      </w:r>
      <w:bookmarkEnd w:id="2030"/>
      <w:bookmarkEnd w:id="2031"/>
    </w:p>
    <w:tbl>
      <w:tblPr>
        <w:tblW w:w="7144" w:type="dxa"/>
        <w:jc w:val="center"/>
        <w:tblLook w:val="00A0"/>
      </w:tblPr>
      <w:tblGrid>
        <w:gridCol w:w="3560"/>
        <w:gridCol w:w="895"/>
        <w:gridCol w:w="896"/>
        <w:gridCol w:w="896"/>
        <w:gridCol w:w="897"/>
      </w:tblGrid>
      <w:tr w:rsidR="00565FD5" w:rsidRPr="004B3DE4" w:rsidTr="00AB62A3">
        <w:trPr>
          <w:trHeight w:val="290"/>
          <w:jc w:val="center"/>
        </w:trPr>
        <w:tc>
          <w:tcPr>
            <w:tcW w:w="3559" w:type="dxa"/>
            <w:tcBorders>
              <w:bottom w:val="single" w:sz="4" w:space="0" w:color="auto"/>
              <w:right w:val="nil"/>
            </w:tcBorders>
            <w:noWrap/>
            <w:vAlign w:val="bottom"/>
          </w:tcPr>
          <w:p w:rsidR="00565FD5" w:rsidRPr="004B3DE4" w:rsidRDefault="00565FD5" w:rsidP="00AB62A3">
            <w:pPr>
              <w:ind w:firstLine="425"/>
              <w:rPr>
                <w:rFonts w:cs="Tahoma"/>
                <w:color w:val="000000"/>
                <w:sz w:val="16"/>
                <w:szCs w:val="16"/>
              </w:rPr>
            </w:pPr>
            <w:r w:rsidRPr="004B3DE4">
              <w:rPr>
                <w:rFonts w:cs="Tahoma"/>
                <w:sz w:val="14"/>
                <w:szCs w:val="14"/>
                <w:lang w:eastAsia="tr-TR"/>
              </w:rPr>
              <w:t xml:space="preserve"> </w:t>
            </w:r>
          </w:p>
        </w:tc>
        <w:tc>
          <w:tcPr>
            <w:tcW w:w="895" w:type="dxa"/>
            <w:tcBorders>
              <w:left w:val="nil"/>
              <w:bottom w:val="single" w:sz="4" w:space="0" w:color="auto"/>
              <w:right w:val="nil"/>
            </w:tcBorders>
            <w:noWrap/>
            <w:vAlign w:val="bottom"/>
          </w:tcPr>
          <w:p w:rsidR="00565FD5" w:rsidRPr="004B3DE4" w:rsidRDefault="00565FD5" w:rsidP="00AB62A3">
            <w:pPr>
              <w:jc w:val="right"/>
              <w:rPr>
                <w:rFonts w:cs="Tahoma"/>
                <w:b/>
                <w:color w:val="000000"/>
                <w:sz w:val="16"/>
                <w:szCs w:val="16"/>
              </w:rPr>
            </w:pPr>
          </w:p>
        </w:tc>
        <w:tc>
          <w:tcPr>
            <w:tcW w:w="895" w:type="dxa"/>
            <w:tcBorders>
              <w:left w:val="nil"/>
              <w:bottom w:val="single" w:sz="4" w:space="0" w:color="auto"/>
              <w:right w:val="nil"/>
            </w:tcBorders>
            <w:noWrap/>
            <w:vAlign w:val="bottom"/>
          </w:tcPr>
          <w:p w:rsidR="00565FD5" w:rsidRPr="004B3DE4" w:rsidRDefault="00565FD5" w:rsidP="00AB62A3">
            <w:pPr>
              <w:jc w:val="right"/>
              <w:rPr>
                <w:rFonts w:cs="Tahoma"/>
                <w:b/>
                <w:color w:val="000000"/>
                <w:sz w:val="16"/>
                <w:szCs w:val="16"/>
              </w:rPr>
            </w:pPr>
          </w:p>
        </w:tc>
        <w:tc>
          <w:tcPr>
            <w:tcW w:w="895" w:type="dxa"/>
            <w:tcBorders>
              <w:left w:val="nil"/>
              <w:bottom w:val="single" w:sz="4" w:space="0" w:color="auto"/>
              <w:right w:val="nil"/>
            </w:tcBorders>
            <w:noWrap/>
            <w:vAlign w:val="bottom"/>
          </w:tcPr>
          <w:p w:rsidR="00565FD5" w:rsidRPr="004B3DE4" w:rsidRDefault="00565FD5" w:rsidP="00AB62A3">
            <w:pPr>
              <w:jc w:val="right"/>
              <w:rPr>
                <w:rFonts w:cs="Tahoma"/>
                <w:b/>
                <w:color w:val="000000"/>
                <w:sz w:val="16"/>
                <w:szCs w:val="16"/>
              </w:rPr>
            </w:pPr>
          </w:p>
        </w:tc>
        <w:tc>
          <w:tcPr>
            <w:tcW w:w="896" w:type="dxa"/>
            <w:tcBorders>
              <w:left w:val="nil"/>
              <w:bottom w:val="single" w:sz="4" w:space="0" w:color="auto"/>
            </w:tcBorders>
            <w:noWrap/>
            <w:vAlign w:val="bottom"/>
          </w:tcPr>
          <w:p w:rsidR="00565FD5" w:rsidRPr="004B3DE4" w:rsidRDefault="00565FD5" w:rsidP="00AB62A3">
            <w:pPr>
              <w:jc w:val="right"/>
              <w:rPr>
                <w:rFonts w:cs="Tahoma"/>
                <w:color w:val="000000"/>
                <w:sz w:val="16"/>
                <w:szCs w:val="16"/>
              </w:rPr>
            </w:pPr>
            <w:r w:rsidRPr="004B3DE4">
              <w:rPr>
                <w:rFonts w:cs="Tahoma"/>
                <w:sz w:val="16"/>
                <w:szCs w:val="16"/>
                <w:lang w:eastAsia="tr-TR"/>
              </w:rPr>
              <w:t>(Yüzde)</w:t>
            </w:r>
          </w:p>
        </w:tc>
      </w:tr>
      <w:tr w:rsidR="00565FD5" w:rsidRPr="004B3DE4" w:rsidTr="00AB62A3">
        <w:trPr>
          <w:trHeight w:val="290"/>
          <w:jc w:val="center"/>
        </w:trPr>
        <w:tc>
          <w:tcPr>
            <w:tcW w:w="3559" w:type="dxa"/>
            <w:tcBorders>
              <w:top w:val="single" w:sz="4" w:space="0" w:color="auto"/>
              <w:left w:val="single" w:sz="4" w:space="0" w:color="auto"/>
              <w:bottom w:val="single" w:sz="4" w:space="0" w:color="auto"/>
              <w:right w:val="nil"/>
            </w:tcBorders>
            <w:noWrap/>
            <w:vAlign w:val="bottom"/>
          </w:tcPr>
          <w:p w:rsidR="00565FD5" w:rsidRPr="004B3DE4" w:rsidRDefault="00565FD5" w:rsidP="00AB62A3">
            <w:pPr>
              <w:ind w:firstLine="425"/>
              <w:rPr>
                <w:rFonts w:cs="Tahoma"/>
                <w:color w:val="000000"/>
                <w:sz w:val="16"/>
                <w:szCs w:val="16"/>
              </w:rPr>
            </w:pPr>
            <w:r w:rsidRPr="004B3DE4">
              <w:rPr>
                <w:rFonts w:cs="Tahoma"/>
                <w:color w:val="000000"/>
                <w:sz w:val="16"/>
                <w:szCs w:val="16"/>
              </w:rPr>
              <w:t> </w:t>
            </w:r>
          </w:p>
        </w:tc>
        <w:tc>
          <w:tcPr>
            <w:tcW w:w="895" w:type="dxa"/>
            <w:tcBorders>
              <w:top w:val="single" w:sz="4" w:space="0" w:color="auto"/>
              <w:left w:val="nil"/>
              <w:bottom w:val="single" w:sz="4" w:space="0" w:color="auto"/>
              <w:right w:val="nil"/>
            </w:tcBorders>
            <w:noWrap/>
            <w:vAlign w:val="bottom"/>
          </w:tcPr>
          <w:p w:rsidR="00565FD5" w:rsidRPr="004B3DE4" w:rsidRDefault="00565FD5" w:rsidP="00AB62A3">
            <w:pPr>
              <w:jc w:val="right"/>
              <w:rPr>
                <w:rFonts w:cs="Tahoma"/>
                <w:b/>
                <w:color w:val="000000"/>
                <w:sz w:val="16"/>
                <w:szCs w:val="16"/>
              </w:rPr>
            </w:pPr>
            <w:r w:rsidRPr="004B3DE4">
              <w:rPr>
                <w:rFonts w:cs="Tahoma"/>
                <w:b/>
                <w:color w:val="000000"/>
                <w:sz w:val="16"/>
                <w:szCs w:val="16"/>
              </w:rPr>
              <w:t>2007</w:t>
            </w:r>
          </w:p>
        </w:tc>
        <w:tc>
          <w:tcPr>
            <w:tcW w:w="895" w:type="dxa"/>
            <w:tcBorders>
              <w:top w:val="single" w:sz="4" w:space="0" w:color="auto"/>
              <w:left w:val="nil"/>
              <w:bottom w:val="single" w:sz="4" w:space="0" w:color="auto"/>
              <w:right w:val="nil"/>
            </w:tcBorders>
            <w:noWrap/>
            <w:vAlign w:val="bottom"/>
          </w:tcPr>
          <w:p w:rsidR="00565FD5" w:rsidRPr="004B3DE4" w:rsidRDefault="00565FD5" w:rsidP="00AB62A3">
            <w:pPr>
              <w:jc w:val="right"/>
              <w:rPr>
                <w:rFonts w:cs="Tahoma"/>
                <w:b/>
                <w:color w:val="000000"/>
                <w:sz w:val="16"/>
                <w:szCs w:val="16"/>
              </w:rPr>
            </w:pPr>
            <w:r w:rsidRPr="004B3DE4">
              <w:rPr>
                <w:rFonts w:cs="Tahoma"/>
                <w:b/>
                <w:color w:val="000000"/>
                <w:sz w:val="16"/>
                <w:szCs w:val="16"/>
              </w:rPr>
              <w:t>2010</w:t>
            </w:r>
          </w:p>
        </w:tc>
        <w:tc>
          <w:tcPr>
            <w:tcW w:w="895" w:type="dxa"/>
            <w:tcBorders>
              <w:top w:val="single" w:sz="4" w:space="0" w:color="auto"/>
              <w:left w:val="nil"/>
              <w:bottom w:val="single" w:sz="4" w:space="0" w:color="auto"/>
              <w:right w:val="nil"/>
            </w:tcBorders>
            <w:noWrap/>
            <w:vAlign w:val="bottom"/>
          </w:tcPr>
          <w:p w:rsidR="00565FD5" w:rsidRPr="004B3DE4" w:rsidRDefault="00565FD5" w:rsidP="00AB62A3">
            <w:pPr>
              <w:jc w:val="right"/>
              <w:rPr>
                <w:rFonts w:cs="Tahoma"/>
                <w:b/>
                <w:color w:val="000000"/>
                <w:sz w:val="16"/>
                <w:szCs w:val="16"/>
              </w:rPr>
            </w:pPr>
            <w:r w:rsidRPr="004B3DE4">
              <w:rPr>
                <w:rFonts w:cs="Tahoma"/>
                <w:b/>
                <w:color w:val="000000"/>
                <w:sz w:val="16"/>
                <w:szCs w:val="16"/>
              </w:rPr>
              <w:t>2011</w:t>
            </w:r>
          </w:p>
        </w:tc>
        <w:tc>
          <w:tcPr>
            <w:tcW w:w="896" w:type="dxa"/>
            <w:tcBorders>
              <w:top w:val="single" w:sz="4" w:space="0" w:color="auto"/>
              <w:left w:val="nil"/>
              <w:bottom w:val="single" w:sz="4" w:space="0" w:color="auto"/>
              <w:right w:val="single" w:sz="4" w:space="0" w:color="auto"/>
            </w:tcBorders>
            <w:noWrap/>
            <w:vAlign w:val="bottom"/>
          </w:tcPr>
          <w:p w:rsidR="00565FD5" w:rsidRPr="004B3DE4" w:rsidRDefault="00565FD5" w:rsidP="00AB62A3">
            <w:pPr>
              <w:jc w:val="right"/>
              <w:rPr>
                <w:rFonts w:cs="Tahoma"/>
                <w:b/>
                <w:color w:val="000000"/>
                <w:sz w:val="16"/>
                <w:szCs w:val="16"/>
              </w:rPr>
            </w:pPr>
            <w:r w:rsidRPr="004B3DE4">
              <w:rPr>
                <w:rFonts w:cs="Tahoma"/>
                <w:b/>
                <w:color w:val="000000"/>
                <w:sz w:val="16"/>
                <w:szCs w:val="16"/>
              </w:rPr>
              <w:t>2012(1)</w:t>
            </w:r>
          </w:p>
        </w:tc>
      </w:tr>
      <w:tr w:rsidR="00565FD5" w:rsidRPr="004B3DE4" w:rsidTr="00AB62A3">
        <w:trPr>
          <w:jc w:val="center"/>
        </w:trPr>
        <w:tc>
          <w:tcPr>
            <w:tcW w:w="3559" w:type="dxa"/>
            <w:tcBorders>
              <w:top w:val="nil"/>
              <w:left w:val="single" w:sz="4" w:space="0" w:color="auto"/>
              <w:bottom w:val="nil"/>
              <w:right w:val="nil"/>
            </w:tcBorders>
            <w:noWrap/>
            <w:vAlign w:val="bottom"/>
          </w:tcPr>
          <w:p w:rsidR="00565FD5" w:rsidRPr="004B3DE4" w:rsidRDefault="00565FD5" w:rsidP="00AB62A3">
            <w:pPr>
              <w:rPr>
                <w:rFonts w:cs="Tahoma"/>
                <w:b/>
                <w:color w:val="000000"/>
                <w:sz w:val="16"/>
                <w:szCs w:val="16"/>
              </w:rPr>
            </w:pPr>
          </w:p>
          <w:p w:rsidR="00565FD5" w:rsidRPr="004B3DE4" w:rsidRDefault="00565FD5" w:rsidP="00AB62A3">
            <w:pPr>
              <w:rPr>
                <w:rFonts w:cs="Tahoma"/>
                <w:b/>
                <w:color w:val="000000"/>
                <w:sz w:val="16"/>
                <w:szCs w:val="16"/>
              </w:rPr>
            </w:pPr>
            <w:r w:rsidRPr="004B3DE4">
              <w:rPr>
                <w:rFonts w:cs="Tahoma"/>
                <w:b/>
                <w:color w:val="000000"/>
                <w:sz w:val="16"/>
                <w:szCs w:val="16"/>
              </w:rPr>
              <w:t>HİZMETLER TOPLAMI</w:t>
            </w:r>
          </w:p>
        </w:tc>
        <w:tc>
          <w:tcPr>
            <w:tcW w:w="895" w:type="dxa"/>
            <w:tcBorders>
              <w:top w:val="nil"/>
              <w:left w:val="nil"/>
              <w:bottom w:val="nil"/>
              <w:right w:val="nil"/>
            </w:tcBorders>
            <w:noWrap/>
            <w:vAlign w:val="bottom"/>
          </w:tcPr>
          <w:p w:rsidR="00565FD5" w:rsidRPr="004B3DE4" w:rsidRDefault="00565FD5" w:rsidP="00AB62A3">
            <w:pPr>
              <w:jc w:val="right"/>
              <w:rPr>
                <w:rFonts w:cs="Tahoma"/>
                <w:color w:val="000000"/>
                <w:sz w:val="16"/>
                <w:szCs w:val="16"/>
              </w:rPr>
            </w:pPr>
            <w:r w:rsidRPr="004B3DE4">
              <w:rPr>
                <w:rFonts w:cs="Tahoma"/>
                <w:color w:val="000000"/>
                <w:sz w:val="16"/>
                <w:szCs w:val="16"/>
              </w:rPr>
              <w:t>100</w:t>
            </w:r>
          </w:p>
        </w:tc>
        <w:tc>
          <w:tcPr>
            <w:tcW w:w="895" w:type="dxa"/>
            <w:tcBorders>
              <w:top w:val="nil"/>
              <w:left w:val="nil"/>
              <w:bottom w:val="nil"/>
              <w:right w:val="nil"/>
            </w:tcBorders>
            <w:noWrap/>
            <w:vAlign w:val="bottom"/>
          </w:tcPr>
          <w:p w:rsidR="00565FD5" w:rsidRPr="004B3DE4" w:rsidRDefault="00565FD5" w:rsidP="00AB62A3">
            <w:pPr>
              <w:jc w:val="right"/>
              <w:rPr>
                <w:rFonts w:cs="Tahoma"/>
                <w:color w:val="000000"/>
                <w:sz w:val="16"/>
                <w:szCs w:val="16"/>
              </w:rPr>
            </w:pPr>
            <w:r w:rsidRPr="004B3DE4">
              <w:rPr>
                <w:rFonts w:cs="Tahoma"/>
                <w:color w:val="000000"/>
                <w:sz w:val="16"/>
                <w:szCs w:val="16"/>
              </w:rPr>
              <w:t>100</w:t>
            </w:r>
          </w:p>
        </w:tc>
        <w:tc>
          <w:tcPr>
            <w:tcW w:w="895" w:type="dxa"/>
            <w:tcBorders>
              <w:top w:val="nil"/>
              <w:left w:val="nil"/>
              <w:bottom w:val="nil"/>
              <w:right w:val="nil"/>
            </w:tcBorders>
            <w:noWrap/>
            <w:vAlign w:val="bottom"/>
          </w:tcPr>
          <w:p w:rsidR="00565FD5" w:rsidRPr="004B3DE4" w:rsidRDefault="00565FD5" w:rsidP="00AB62A3">
            <w:pPr>
              <w:jc w:val="right"/>
              <w:rPr>
                <w:rFonts w:cs="Tahoma"/>
                <w:color w:val="000000"/>
                <w:sz w:val="16"/>
                <w:szCs w:val="16"/>
              </w:rPr>
            </w:pPr>
            <w:r w:rsidRPr="004B3DE4">
              <w:rPr>
                <w:rFonts w:cs="Tahoma"/>
                <w:color w:val="000000"/>
                <w:sz w:val="16"/>
                <w:szCs w:val="16"/>
              </w:rPr>
              <w:t>100</w:t>
            </w:r>
          </w:p>
        </w:tc>
        <w:tc>
          <w:tcPr>
            <w:tcW w:w="896" w:type="dxa"/>
            <w:tcBorders>
              <w:top w:val="nil"/>
              <w:left w:val="nil"/>
              <w:bottom w:val="nil"/>
              <w:right w:val="single" w:sz="4" w:space="0" w:color="auto"/>
            </w:tcBorders>
            <w:noWrap/>
            <w:vAlign w:val="bottom"/>
          </w:tcPr>
          <w:p w:rsidR="00565FD5" w:rsidRPr="004B3DE4" w:rsidRDefault="00565FD5" w:rsidP="00AB62A3">
            <w:pPr>
              <w:jc w:val="right"/>
              <w:rPr>
                <w:rFonts w:cs="Tahoma"/>
                <w:color w:val="000000"/>
                <w:sz w:val="16"/>
                <w:szCs w:val="16"/>
              </w:rPr>
            </w:pPr>
            <w:r w:rsidRPr="004B3DE4">
              <w:rPr>
                <w:rFonts w:cs="Tahoma"/>
                <w:color w:val="000000"/>
                <w:sz w:val="16"/>
                <w:szCs w:val="16"/>
              </w:rPr>
              <w:t>100</w:t>
            </w:r>
          </w:p>
        </w:tc>
      </w:tr>
      <w:tr w:rsidR="00565FD5" w:rsidRPr="004B3DE4" w:rsidTr="00AB62A3">
        <w:trPr>
          <w:jc w:val="center"/>
        </w:trPr>
        <w:tc>
          <w:tcPr>
            <w:tcW w:w="3559" w:type="dxa"/>
            <w:tcBorders>
              <w:top w:val="nil"/>
              <w:left w:val="single" w:sz="4" w:space="0" w:color="auto"/>
              <w:bottom w:val="nil"/>
              <w:right w:val="nil"/>
            </w:tcBorders>
            <w:noWrap/>
            <w:vAlign w:val="bottom"/>
          </w:tcPr>
          <w:p w:rsidR="00565FD5" w:rsidRPr="004B3DE4" w:rsidRDefault="00565FD5" w:rsidP="00AB62A3">
            <w:pPr>
              <w:spacing w:after="60"/>
              <w:rPr>
                <w:rFonts w:cs="Tahoma"/>
                <w:color w:val="000000"/>
                <w:sz w:val="16"/>
                <w:szCs w:val="16"/>
              </w:rPr>
            </w:pPr>
          </w:p>
          <w:p w:rsidR="00565FD5" w:rsidRPr="004B3DE4" w:rsidRDefault="00565FD5" w:rsidP="00AB62A3">
            <w:pPr>
              <w:spacing w:after="60"/>
              <w:rPr>
                <w:rFonts w:cs="Tahoma"/>
                <w:color w:val="000000"/>
                <w:sz w:val="16"/>
                <w:szCs w:val="16"/>
              </w:rPr>
            </w:pPr>
            <w:r w:rsidRPr="004B3DE4">
              <w:rPr>
                <w:rFonts w:cs="Tahoma"/>
                <w:color w:val="000000"/>
                <w:sz w:val="16"/>
                <w:szCs w:val="16"/>
              </w:rPr>
              <w:t xml:space="preserve">Toptan ve perakende ticaret  </w:t>
            </w:r>
          </w:p>
        </w:tc>
        <w:tc>
          <w:tcPr>
            <w:tcW w:w="895" w:type="dxa"/>
            <w:tcBorders>
              <w:top w:val="nil"/>
              <w:left w:val="nil"/>
              <w:bottom w:val="nil"/>
              <w:right w:val="nil"/>
            </w:tcBorders>
            <w:noWrap/>
            <w:vAlign w:val="bottom"/>
          </w:tcPr>
          <w:p w:rsidR="00565FD5" w:rsidRPr="004B3DE4" w:rsidRDefault="00565FD5" w:rsidP="00AB62A3">
            <w:pPr>
              <w:spacing w:after="60"/>
              <w:jc w:val="right"/>
              <w:rPr>
                <w:rFonts w:cs="Tahoma"/>
                <w:color w:val="000000"/>
                <w:sz w:val="16"/>
                <w:szCs w:val="16"/>
              </w:rPr>
            </w:pPr>
            <w:r w:rsidRPr="004B3DE4">
              <w:rPr>
                <w:rFonts w:cs="Tahoma"/>
                <w:color w:val="000000"/>
                <w:sz w:val="16"/>
                <w:szCs w:val="16"/>
              </w:rPr>
              <w:t>29,8</w:t>
            </w:r>
          </w:p>
        </w:tc>
        <w:tc>
          <w:tcPr>
            <w:tcW w:w="895" w:type="dxa"/>
            <w:tcBorders>
              <w:top w:val="nil"/>
              <w:left w:val="nil"/>
              <w:bottom w:val="nil"/>
              <w:right w:val="nil"/>
            </w:tcBorders>
            <w:noWrap/>
            <w:vAlign w:val="bottom"/>
          </w:tcPr>
          <w:p w:rsidR="00565FD5" w:rsidRPr="004B3DE4" w:rsidRDefault="00565FD5" w:rsidP="00AB62A3">
            <w:pPr>
              <w:spacing w:after="60"/>
              <w:jc w:val="right"/>
              <w:rPr>
                <w:rFonts w:cs="Tahoma"/>
                <w:color w:val="000000"/>
                <w:sz w:val="16"/>
                <w:szCs w:val="16"/>
              </w:rPr>
            </w:pPr>
            <w:r w:rsidRPr="004B3DE4">
              <w:rPr>
                <w:rFonts w:cs="Tahoma"/>
                <w:color w:val="000000"/>
                <w:sz w:val="16"/>
                <w:szCs w:val="16"/>
              </w:rPr>
              <w:t>26,8</w:t>
            </w:r>
          </w:p>
        </w:tc>
        <w:tc>
          <w:tcPr>
            <w:tcW w:w="895" w:type="dxa"/>
            <w:tcBorders>
              <w:top w:val="nil"/>
              <w:left w:val="nil"/>
              <w:bottom w:val="nil"/>
              <w:right w:val="nil"/>
            </w:tcBorders>
            <w:noWrap/>
            <w:vAlign w:val="bottom"/>
          </w:tcPr>
          <w:p w:rsidR="00565FD5" w:rsidRPr="004B3DE4" w:rsidRDefault="00565FD5" w:rsidP="00AB62A3">
            <w:pPr>
              <w:spacing w:after="60"/>
              <w:jc w:val="right"/>
              <w:rPr>
                <w:rFonts w:cs="Tahoma"/>
                <w:color w:val="000000"/>
                <w:sz w:val="16"/>
                <w:szCs w:val="16"/>
              </w:rPr>
            </w:pPr>
            <w:r w:rsidRPr="004B3DE4">
              <w:rPr>
                <w:rFonts w:cs="Tahoma"/>
                <w:color w:val="000000"/>
                <w:sz w:val="16"/>
                <w:szCs w:val="16"/>
              </w:rPr>
              <w:t>26,2</w:t>
            </w:r>
          </w:p>
        </w:tc>
        <w:tc>
          <w:tcPr>
            <w:tcW w:w="896" w:type="dxa"/>
            <w:tcBorders>
              <w:top w:val="nil"/>
              <w:left w:val="nil"/>
              <w:bottom w:val="nil"/>
              <w:right w:val="single" w:sz="4" w:space="0" w:color="auto"/>
            </w:tcBorders>
            <w:noWrap/>
            <w:vAlign w:val="bottom"/>
          </w:tcPr>
          <w:p w:rsidR="00565FD5" w:rsidRPr="004B3DE4" w:rsidRDefault="00565FD5" w:rsidP="00AB62A3">
            <w:pPr>
              <w:spacing w:after="60"/>
              <w:jc w:val="right"/>
              <w:rPr>
                <w:rFonts w:cs="Tahoma"/>
                <w:color w:val="000000"/>
                <w:sz w:val="16"/>
                <w:szCs w:val="16"/>
              </w:rPr>
            </w:pPr>
            <w:r w:rsidRPr="004B3DE4">
              <w:rPr>
                <w:rFonts w:cs="Tahoma"/>
                <w:color w:val="000000"/>
                <w:sz w:val="16"/>
                <w:szCs w:val="16"/>
              </w:rPr>
              <w:t>24,6</w:t>
            </w:r>
          </w:p>
        </w:tc>
      </w:tr>
      <w:tr w:rsidR="00565FD5" w:rsidRPr="004B3DE4" w:rsidTr="00AB62A3">
        <w:trPr>
          <w:jc w:val="center"/>
        </w:trPr>
        <w:tc>
          <w:tcPr>
            <w:tcW w:w="3559" w:type="dxa"/>
            <w:tcBorders>
              <w:top w:val="nil"/>
              <w:left w:val="single" w:sz="4" w:space="0" w:color="auto"/>
              <w:bottom w:val="nil"/>
              <w:right w:val="nil"/>
            </w:tcBorders>
            <w:noWrap/>
            <w:vAlign w:val="bottom"/>
          </w:tcPr>
          <w:p w:rsidR="00565FD5" w:rsidRPr="004B3DE4" w:rsidRDefault="00565FD5" w:rsidP="00AB62A3">
            <w:pPr>
              <w:spacing w:after="60"/>
              <w:rPr>
                <w:rFonts w:cs="Tahoma"/>
                <w:color w:val="000000"/>
                <w:sz w:val="16"/>
                <w:szCs w:val="16"/>
              </w:rPr>
            </w:pPr>
            <w:r w:rsidRPr="004B3DE4">
              <w:rPr>
                <w:rFonts w:cs="Tahoma"/>
                <w:color w:val="000000"/>
                <w:sz w:val="16"/>
                <w:szCs w:val="16"/>
              </w:rPr>
              <w:t xml:space="preserve">İnşaat                             </w:t>
            </w:r>
          </w:p>
        </w:tc>
        <w:tc>
          <w:tcPr>
            <w:tcW w:w="895" w:type="dxa"/>
            <w:tcBorders>
              <w:top w:val="nil"/>
              <w:left w:val="nil"/>
              <w:bottom w:val="nil"/>
              <w:right w:val="nil"/>
            </w:tcBorders>
            <w:noWrap/>
            <w:vAlign w:val="bottom"/>
          </w:tcPr>
          <w:p w:rsidR="00565FD5" w:rsidRPr="004B3DE4" w:rsidRDefault="00565FD5" w:rsidP="00AB62A3">
            <w:pPr>
              <w:spacing w:after="60"/>
              <w:jc w:val="right"/>
              <w:rPr>
                <w:rFonts w:cs="Tahoma"/>
                <w:color w:val="000000"/>
                <w:sz w:val="16"/>
                <w:szCs w:val="16"/>
              </w:rPr>
            </w:pPr>
            <w:r w:rsidRPr="004B3DE4">
              <w:rPr>
                <w:rFonts w:cs="Tahoma"/>
                <w:color w:val="000000"/>
                <w:sz w:val="16"/>
                <w:szCs w:val="16"/>
              </w:rPr>
              <w:t>10,7</w:t>
            </w:r>
          </w:p>
        </w:tc>
        <w:tc>
          <w:tcPr>
            <w:tcW w:w="895" w:type="dxa"/>
            <w:tcBorders>
              <w:top w:val="nil"/>
              <w:left w:val="nil"/>
              <w:bottom w:val="nil"/>
              <w:right w:val="nil"/>
            </w:tcBorders>
            <w:noWrap/>
            <w:vAlign w:val="bottom"/>
          </w:tcPr>
          <w:p w:rsidR="00565FD5" w:rsidRPr="004B3DE4" w:rsidRDefault="00565FD5" w:rsidP="00AB62A3">
            <w:pPr>
              <w:spacing w:after="60"/>
              <w:jc w:val="right"/>
              <w:rPr>
                <w:rFonts w:cs="Tahoma"/>
                <w:color w:val="000000"/>
                <w:sz w:val="16"/>
                <w:szCs w:val="16"/>
              </w:rPr>
            </w:pPr>
            <w:r w:rsidRPr="004B3DE4">
              <w:rPr>
                <w:rFonts w:cs="Tahoma"/>
                <w:color w:val="000000"/>
                <w:sz w:val="16"/>
                <w:szCs w:val="16"/>
              </w:rPr>
              <w:t>11,5</w:t>
            </w:r>
          </w:p>
        </w:tc>
        <w:tc>
          <w:tcPr>
            <w:tcW w:w="895" w:type="dxa"/>
            <w:tcBorders>
              <w:top w:val="nil"/>
              <w:left w:val="nil"/>
              <w:bottom w:val="nil"/>
              <w:right w:val="nil"/>
            </w:tcBorders>
            <w:noWrap/>
            <w:vAlign w:val="bottom"/>
          </w:tcPr>
          <w:p w:rsidR="00565FD5" w:rsidRPr="004B3DE4" w:rsidRDefault="00565FD5" w:rsidP="00AB62A3">
            <w:pPr>
              <w:spacing w:after="60"/>
              <w:jc w:val="right"/>
              <w:rPr>
                <w:rFonts w:cs="Tahoma"/>
                <w:color w:val="000000"/>
                <w:sz w:val="16"/>
                <w:szCs w:val="16"/>
              </w:rPr>
            </w:pPr>
            <w:r w:rsidRPr="004B3DE4">
              <w:rPr>
                <w:rFonts w:cs="Tahoma"/>
                <w:color w:val="000000"/>
                <w:sz w:val="16"/>
                <w:szCs w:val="16"/>
              </w:rPr>
              <w:t>12,6</w:t>
            </w:r>
          </w:p>
        </w:tc>
        <w:tc>
          <w:tcPr>
            <w:tcW w:w="896" w:type="dxa"/>
            <w:tcBorders>
              <w:top w:val="nil"/>
              <w:left w:val="nil"/>
              <w:bottom w:val="nil"/>
              <w:right w:val="single" w:sz="4" w:space="0" w:color="auto"/>
            </w:tcBorders>
            <w:noWrap/>
            <w:vAlign w:val="bottom"/>
          </w:tcPr>
          <w:p w:rsidR="00565FD5" w:rsidRPr="004B3DE4" w:rsidRDefault="00565FD5" w:rsidP="00AB62A3">
            <w:pPr>
              <w:spacing w:after="60"/>
              <w:jc w:val="right"/>
              <w:rPr>
                <w:rFonts w:cs="Tahoma"/>
                <w:color w:val="000000"/>
                <w:sz w:val="16"/>
                <w:szCs w:val="16"/>
              </w:rPr>
            </w:pPr>
            <w:r w:rsidRPr="004B3DE4">
              <w:rPr>
                <w:rFonts w:cs="Tahoma"/>
                <w:color w:val="000000"/>
                <w:sz w:val="16"/>
                <w:szCs w:val="16"/>
              </w:rPr>
              <w:t>13,4</w:t>
            </w:r>
          </w:p>
        </w:tc>
      </w:tr>
      <w:tr w:rsidR="00565FD5" w:rsidRPr="004B3DE4" w:rsidTr="00AB62A3">
        <w:trPr>
          <w:jc w:val="center"/>
        </w:trPr>
        <w:tc>
          <w:tcPr>
            <w:tcW w:w="3559" w:type="dxa"/>
            <w:tcBorders>
              <w:top w:val="nil"/>
              <w:left w:val="single" w:sz="4" w:space="0" w:color="auto"/>
              <w:bottom w:val="nil"/>
              <w:right w:val="nil"/>
            </w:tcBorders>
            <w:noWrap/>
            <w:vAlign w:val="bottom"/>
          </w:tcPr>
          <w:p w:rsidR="00565FD5" w:rsidRPr="004B3DE4" w:rsidRDefault="00565FD5" w:rsidP="00AB62A3">
            <w:pPr>
              <w:spacing w:after="60"/>
              <w:rPr>
                <w:rFonts w:cs="Tahoma"/>
                <w:color w:val="000000"/>
                <w:sz w:val="16"/>
                <w:szCs w:val="16"/>
              </w:rPr>
            </w:pPr>
            <w:r w:rsidRPr="004B3DE4">
              <w:rPr>
                <w:rFonts w:cs="Tahoma"/>
                <w:color w:val="000000"/>
                <w:sz w:val="16"/>
                <w:szCs w:val="16"/>
              </w:rPr>
              <w:t xml:space="preserve">Kamu yönetimi ve savunma </w:t>
            </w:r>
          </w:p>
        </w:tc>
        <w:tc>
          <w:tcPr>
            <w:tcW w:w="895" w:type="dxa"/>
            <w:tcBorders>
              <w:top w:val="nil"/>
              <w:left w:val="nil"/>
              <w:bottom w:val="nil"/>
              <w:right w:val="nil"/>
            </w:tcBorders>
            <w:noWrap/>
            <w:vAlign w:val="bottom"/>
          </w:tcPr>
          <w:p w:rsidR="00565FD5" w:rsidRPr="004B3DE4" w:rsidRDefault="00565FD5" w:rsidP="00AB62A3">
            <w:pPr>
              <w:spacing w:after="60"/>
              <w:jc w:val="right"/>
              <w:rPr>
                <w:rFonts w:cs="Tahoma"/>
                <w:color w:val="000000"/>
                <w:sz w:val="16"/>
                <w:szCs w:val="16"/>
              </w:rPr>
            </w:pPr>
            <w:r w:rsidRPr="004B3DE4">
              <w:rPr>
                <w:rFonts w:cs="Tahoma"/>
                <w:color w:val="000000"/>
                <w:sz w:val="16"/>
                <w:szCs w:val="16"/>
              </w:rPr>
              <w:t>10,9</w:t>
            </w:r>
          </w:p>
        </w:tc>
        <w:tc>
          <w:tcPr>
            <w:tcW w:w="895" w:type="dxa"/>
            <w:tcBorders>
              <w:top w:val="nil"/>
              <w:left w:val="nil"/>
              <w:bottom w:val="nil"/>
              <w:right w:val="nil"/>
            </w:tcBorders>
            <w:noWrap/>
            <w:vAlign w:val="bottom"/>
          </w:tcPr>
          <w:p w:rsidR="00565FD5" w:rsidRPr="004B3DE4" w:rsidRDefault="00565FD5" w:rsidP="00AB62A3">
            <w:pPr>
              <w:spacing w:after="60"/>
              <w:jc w:val="right"/>
              <w:rPr>
                <w:rFonts w:cs="Tahoma"/>
                <w:color w:val="000000"/>
                <w:sz w:val="16"/>
                <w:szCs w:val="16"/>
              </w:rPr>
            </w:pPr>
            <w:r w:rsidRPr="004B3DE4">
              <w:rPr>
                <w:rFonts w:cs="Tahoma"/>
                <w:color w:val="000000"/>
                <w:sz w:val="16"/>
                <w:szCs w:val="16"/>
              </w:rPr>
              <w:t>10,4</w:t>
            </w:r>
          </w:p>
        </w:tc>
        <w:tc>
          <w:tcPr>
            <w:tcW w:w="895" w:type="dxa"/>
            <w:tcBorders>
              <w:top w:val="nil"/>
              <w:left w:val="nil"/>
              <w:bottom w:val="nil"/>
              <w:right w:val="nil"/>
            </w:tcBorders>
            <w:noWrap/>
            <w:vAlign w:val="bottom"/>
          </w:tcPr>
          <w:p w:rsidR="00565FD5" w:rsidRPr="004B3DE4" w:rsidRDefault="00565FD5" w:rsidP="00AB62A3">
            <w:pPr>
              <w:spacing w:after="60"/>
              <w:jc w:val="right"/>
              <w:rPr>
                <w:rFonts w:cs="Tahoma"/>
                <w:color w:val="000000"/>
                <w:sz w:val="16"/>
                <w:szCs w:val="16"/>
              </w:rPr>
            </w:pPr>
            <w:r w:rsidRPr="004B3DE4">
              <w:rPr>
                <w:rFonts w:cs="Tahoma"/>
                <w:color w:val="000000"/>
                <w:sz w:val="16"/>
                <w:szCs w:val="16"/>
              </w:rPr>
              <w:t>10,1</w:t>
            </w:r>
          </w:p>
        </w:tc>
        <w:tc>
          <w:tcPr>
            <w:tcW w:w="896" w:type="dxa"/>
            <w:tcBorders>
              <w:top w:val="nil"/>
              <w:left w:val="nil"/>
              <w:bottom w:val="nil"/>
              <w:right w:val="single" w:sz="4" w:space="0" w:color="auto"/>
            </w:tcBorders>
            <w:noWrap/>
            <w:vAlign w:val="bottom"/>
          </w:tcPr>
          <w:p w:rsidR="00565FD5" w:rsidRPr="004B3DE4" w:rsidRDefault="00565FD5" w:rsidP="00AB62A3">
            <w:pPr>
              <w:spacing w:after="60"/>
              <w:jc w:val="right"/>
              <w:rPr>
                <w:rFonts w:cs="Tahoma"/>
                <w:color w:val="000000"/>
                <w:sz w:val="16"/>
                <w:szCs w:val="16"/>
              </w:rPr>
            </w:pPr>
            <w:r w:rsidRPr="004B3DE4">
              <w:rPr>
                <w:rFonts w:cs="Tahoma"/>
                <w:color w:val="000000"/>
                <w:sz w:val="16"/>
                <w:szCs w:val="16"/>
              </w:rPr>
              <w:t>10,2</w:t>
            </w:r>
          </w:p>
        </w:tc>
      </w:tr>
      <w:tr w:rsidR="00565FD5" w:rsidRPr="004B3DE4" w:rsidTr="00AB62A3">
        <w:trPr>
          <w:jc w:val="center"/>
        </w:trPr>
        <w:tc>
          <w:tcPr>
            <w:tcW w:w="3559" w:type="dxa"/>
            <w:tcBorders>
              <w:top w:val="nil"/>
              <w:left w:val="single" w:sz="4" w:space="0" w:color="auto"/>
              <w:bottom w:val="nil"/>
              <w:right w:val="nil"/>
            </w:tcBorders>
            <w:noWrap/>
            <w:vAlign w:val="bottom"/>
          </w:tcPr>
          <w:p w:rsidR="00565FD5" w:rsidRPr="004B3DE4" w:rsidRDefault="00565FD5" w:rsidP="00AB62A3">
            <w:pPr>
              <w:spacing w:after="60"/>
              <w:rPr>
                <w:rFonts w:cs="Tahoma"/>
                <w:color w:val="000000"/>
                <w:sz w:val="16"/>
                <w:szCs w:val="16"/>
              </w:rPr>
            </w:pPr>
            <w:r w:rsidRPr="004B3DE4">
              <w:rPr>
                <w:rFonts w:cs="Tahoma"/>
                <w:color w:val="000000"/>
                <w:sz w:val="16"/>
                <w:szCs w:val="16"/>
              </w:rPr>
              <w:t>Konaklama ve yiyecek hizmeti faaliyetleri</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8,6</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8,7</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8,6</w:t>
            </w:r>
          </w:p>
        </w:tc>
        <w:tc>
          <w:tcPr>
            <w:tcW w:w="896" w:type="dxa"/>
            <w:tcBorders>
              <w:top w:val="nil"/>
              <w:left w:val="nil"/>
              <w:bottom w:val="nil"/>
              <w:right w:val="single" w:sz="4" w:space="0" w:color="auto"/>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9,2</w:t>
            </w:r>
          </w:p>
        </w:tc>
      </w:tr>
      <w:tr w:rsidR="00565FD5" w:rsidRPr="004B3DE4" w:rsidTr="00AB62A3">
        <w:trPr>
          <w:jc w:val="center"/>
        </w:trPr>
        <w:tc>
          <w:tcPr>
            <w:tcW w:w="3559" w:type="dxa"/>
            <w:tcBorders>
              <w:top w:val="nil"/>
              <w:left w:val="single" w:sz="4" w:space="0" w:color="auto"/>
              <w:bottom w:val="nil"/>
              <w:right w:val="nil"/>
            </w:tcBorders>
            <w:noWrap/>
            <w:vAlign w:val="bottom"/>
          </w:tcPr>
          <w:p w:rsidR="00565FD5" w:rsidRPr="004B3DE4" w:rsidRDefault="00565FD5" w:rsidP="00AB62A3">
            <w:pPr>
              <w:spacing w:after="60"/>
              <w:rPr>
                <w:rFonts w:cs="Tahoma"/>
                <w:color w:val="000000"/>
                <w:sz w:val="16"/>
                <w:szCs w:val="16"/>
              </w:rPr>
            </w:pPr>
            <w:r w:rsidRPr="004B3DE4">
              <w:rPr>
                <w:rFonts w:cs="Tahoma"/>
                <w:color w:val="000000"/>
                <w:sz w:val="16"/>
                <w:szCs w:val="16"/>
              </w:rPr>
              <w:t xml:space="preserve">Eğitim </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7,5</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8,2</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8,3</w:t>
            </w:r>
          </w:p>
        </w:tc>
        <w:tc>
          <w:tcPr>
            <w:tcW w:w="896" w:type="dxa"/>
            <w:tcBorders>
              <w:top w:val="nil"/>
              <w:left w:val="nil"/>
              <w:bottom w:val="nil"/>
              <w:right w:val="single" w:sz="4" w:space="0" w:color="auto"/>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7,8</w:t>
            </w:r>
          </w:p>
        </w:tc>
      </w:tr>
      <w:tr w:rsidR="00565FD5" w:rsidRPr="004B3DE4" w:rsidTr="00AB62A3">
        <w:trPr>
          <w:jc w:val="center"/>
        </w:trPr>
        <w:tc>
          <w:tcPr>
            <w:tcW w:w="3559" w:type="dxa"/>
            <w:tcBorders>
              <w:top w:val="nil"/>
              <w:left w:val="single" w:sz="4" w:space="0" w:color="auto"/>
              <w:bottom w:val="nil"/>
              <w:right w:val="nil"/>
            </w:tcBorders>
            <w:noWrap/>
            <w:vAlign w:val="bottom"/>
          </w:tcPr>
          <w:p w:rsidR="00565FD5" w:rsidRPr="004B3DE4" w:rsidRDefault="00565FD5" w:rsidP="00AB62A3">
            <w:pPr>
              <w:spacing w:after="60"/>
              <w:rPr>
                <w:rFonts w:cs="Tahoma"/>
                <w:color w:val="000000"/>
                <w:sz w:val="16"/>
                <w:szCs w:val="16"/>
              </w:rPr>
            </w:pPr>
            <w:r w:rsidRPr="004B3DE4">
              <w:rPr>
                <w:rFonts w:cs="Tahoma"/>
                <w:color w:val="000000"/>
                <w:sz w:val="16"/>
                <w:szCs w:val="16"/>
              </w:rPr>
              <w:t>Ulaştırma ve depolama</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8,8</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8,1</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7,9</w:t>
            </w:r>
          </w:p>
        </w:tc>
        <w:tc>
          <w:tcPr>
            <w:tcW w:w="896" w:type="dxa"/>
            <w:tcBorders>
              <w:top w:val="nil"/>
              <w:left w:val="nil"/>
              <w:bottom w:val="nil"/>
              <w:right w:val="single" w:sz="4" w:space="0" w:color="auto"/>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7,8</w:t>
            </w:r>
          </w:p>
        </w:tc>
      </w:tr>
      <w:tr w:rsidR="00565FD5" w:rsidRPr="004B3DE4" w:rsidTr="00AB62A3">
        <w:trPr>
          <w:jc w:val="center"/>
        </w:trPr>
        <w:tc>
          <w:tcPr>
            <w:tcW w:w="3559" w:type="dxa"/>
            <w:tcBorders>
              <w:top w:val="nil"/>
              <w:left w:val="single" w:sz="4" w:space="0" w:color="auto"/>
              <w:bottom w:val="nil"/>
              <w:right w:val="nil"/>
            </w:tcBorders>
            <w:noWrap/>
            <w:vAlign w:val="bottom"/>
          </w:tcPr>
          <w:p w:rsidR="00565FD5" w:rsidRPr="004B3DE4" w:rsidRDefault="00565FD5" w:rsidP="00AB62A3">
            <w:pPr>
              <w:spacing w:after="60"/>
              <w:rPr>
                <w:rFonts w:cs="Tahoma"/>
                <w:color w:val="000000"/>
                <w:sz w:val="16"/>
                <w:szCs w:val="16"/>
              </w:rPr>
            </w:pPr>
            <w:r w:rsidRPr="004B3DE4">
              <w:rPr>
                <w:rFonts w:cs="Tahoma"/>
                <w:color w:val="000000"/>
                <w:sz w:val="16"/>
                <w:szCs w:val="16"/>
              </w:rPr>
              <w:t>İdari ve destek hizmet faaliyetleri</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3,3</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6,2</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5,9</w:t>
            </w:r>
          </w:p>
        </w:tc>
        <w:tc>
          <w:tcPr>
            <w:tcW w:w="896" w:type="dxa"/>
            <w:tcBorders>
              <w:top w:val="nil"/>
              <w:left w:val="nil"/>
              <w:bottom w:val="nil"/>
              <w:right w:val="single" w:sz="4" w:space="0" w:color="auto"/>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6,7</w:t>
            </w:r>
          </w:p>
        </w:tc>
      </w:tr>
      <w:tr w:rsidR="00565FD5" w:rsidRPr="004B3DE4" w:rsidTr="00AB62A3">
        <w:trPr>
          <w:jc w:val="center"/>
        </w:trPr>
        <w:tc>
          <w:tcPr>
            <w:tcW w:w="3559" w:type="dxa"/>
            <w:tcBorders>
              <w:top w:val="nil"/>
              <w:left w:val="single" w:sz="4" w:space="0" w:color="auto"/>
              <w:bottom w:val="nil"/>
              <w:right w:val="nil"/>
            </w:tcBorders>
            <w:noWrap/>
            <w:vAlign w:val="bottom"/>
          </w:tcPr>
          <w:p w:rsidR="00565FD5" w:rsidRPr="004B3DE4" w:rsidRDefault="00565FD5" w:rsidP="00AB62A3">
            <w:pPr>
              <w:spacing w:after="60"/>
              <w:rPr>
                <w:rFonts w:cs="Tahoma"/>
                <w:color w:val="000000"/>
                <w:sz w:val="16"/>
                <w:szCs w:val="16"/>
              </w:rPr>
            </w:pPr>
            <w:r w:rsidRPr="004B3DE4">
              <w:rPr>
                <w:rFonts w:cs="Tahoma"/>
                <w:color w:val="000000"/>
                <w:sz w:val="16"/>
                <w:szCs w:val="16"/>
              </w:rPr>
              <w:t>İnsan sağlığı ve sosyal hizmet faaliyetleri</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4,8</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4,8</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5,2</w:t>
            </w:r>
          </w:p>
        </w:tc>
        <w:tc>
          <w:tcPr>
            <w:tcW w:w="896" w:type="dxa"/>
            <w:tcBorders>
              <w:top w:val="nil"/>
              <w:left w:val="nil"/>
              <w:bottom w:val="nil"/>
              <w:right w:val="single" w:sz="4" w:space="0" w:color="auto"/>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5,6</w:t>
            </w:r>
          </w:p>
        </w:tc>
      </w:tr>
      <w:tr w:rsidR="00565FD5" w:rsidRPr="004B3DE4" w:rsidTr="00AB62A3">
        <w:trPr>
          <w:jc w:val="center"/>
        </w:trPr>
        <w:tc>
          <w:tcPr>
            <w:tcW w:w="3559" w:type="dxa"/>
            <w:tcBorders>
              <w:top w:val="nil"/>
              <w:left w:val="single" w:sz="4" w:space="0" w:color="auto"/>
              <w:bottom w:val="nil"/>
              <w:right w:val="nil"/>
            </w:tcBorders>
            <w:noWrap/>
            <w:vAlign w:val="bottom"/>
          </w:tcPr>
          <w:p w:rsidR="00565FD5" w:rsidRPr="004B3DE4" w:rsidRDefault="00565FD5" w:rsidP="00AB62A3">
            <w:pPr>
              <w:spacing w:after="60"/>
              <w:rPr>
                <w:rFonts w:cs="Tahoma"/>
                <w:color w:val="000000"/>
                <w:sz w:val="16"/>
                <w:szCs w:val="16"/>
              </w:rPr>
            </w:pPr>
            <w:r w:rsidRPr="004B3DE4">
              <w:rPr>
                <w:rFonts w:cs="Tahoma"/>
                <w:color w:val="000000"/>
                <w:sz w:val="16"/>
                <w:szCs w:val="16"/>
              </w:rPr>
              <w:t>Diğer hizmet faaliyetleri</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7,3</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6,7</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6,3</w:t>
            </w:r>
          </w:p>
        </w:tc>
        <w:tc>
          <w:tcPr>
            <w:tcW w:w="896" w:type="dxa"/>
            <w:tcBorders>
              <w:top w:val="nil"/>
              <w:left w:val="nil"/>
              <w:bottom w:val="nil"/>
              <w:right w:val="single" w:sz="4" w:space="0" w:color="auto"/>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5,1</w:t>
            </w:r>
          </w:p>
        </w:tc>
      </w:tr>
      <w:tr w:rsidR="00565FD5" w:rsidRPr="004B3DE4" w:rsidTr="00AB62A3">
        <w:trPr>
          <w:jc w:val="center"/>
        </w:trPr>
        <w:tc>
          <w:tcPr>
            <w:tcW w:w="3559" w:type="dxa"/>
            <w:tcBorders>
              <w:top w:val="nil"/>
              <w:left w:val="single" w:sz="4" w:space="0" w:color="auto"/>
              <w:bottom w:val="nil"/>
              <w:right w:val="nil"/>
            </w:tcBorders>
            <w:vAlign w:val="bottom"/>
          </w:tcPr>
          <w:p w:rsidR="00565FD5" w:rsidRPr="004B3DE4" w:rsidRDefault="00565FD5" w:rsidP="00AB62A3">
            <w:pPr>
              <w:spacing w:after="60"/>
              <w:rPr>
                <w:rFonts w:cs="Tahoma"/>
                <w:color w:val="000000"/>
                <w:sz w:val="16"/>
                <w:szCs w:val="16"/>
              </w:rPr>
            </w:pPr>
            <w:r w:rsidRPr="004B3DE4">
              <w:rPr>
                <w:rFonts w:cs="Tahoma"/>
                <w:color w:val="000000"/>
                <w:sz w:val="16"/>
                <w:szCs w:val="16"/>
              </w:rPr>
              <w:t>Mesleki, bilimsel ve teknik faaliyetler</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3,1</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3,5</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3,2</w:t>
            </w:r>
          </w:p>
        </w:tc>
        <w:tc>
          <w:tcPr>
            <w:tcW w:w="896" w:type="dxa"/>
            <w:tcBorders>
              <w:top w:val="nil"/>
              <w:left w:val="nil"/>
              <w:bottom w:val="nil"/>
              <w:right w:val="single" w:sz="4" w:space="0" w:color="auto"/>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3,8</w:t>
            </w:r>
          </w:p>
        </w:tc>
      </w:tr>
      <w:tr w:rsidR="00565FD5" w:rsidRPr="004B3DE4" w:rsidTr="00AB62A3">
        <w:trPr>
          <w:jc w:val="center"/>
        </w:trPr>
        <w:tc>
          <w:tcPr>
            <w:tcW w:w="3559" w:type="dxa"/>
            <w:tcBorders>
              <w:top w:val="nil"/>
              <w:left w:val="single" w:sz="4" w:space="0" w:color="auto"/>
              <w:bottom w:val="nil"/>
              <w:right w:val="nil"/>
            </w:tcBorders>
            <w:vAlign w:val="bottom"/>
          </w:tcPr>
          <w:p w:rsidR="00565FD5" w:rsidRPr="004B3DE4" w:rsidRDefault="00565FD5" w:rsidP="00AB62A3">
            <w:pPr>
              <w:spacing w:after="60"/>
              <w:rPr>
                <w:rFonts w:cs="Tahoma"/>
                <w:color w:val="000000"/>
                <w:sz w:val="16"/>
                <w:szCs w:val="16"/>
              </w:rPr>
            </w:pPr>
            <w:r w:rsidRPr="004B3DE4">
              <w:rPr>
                <w:rFonts w:cs="Tahoma"/>
                <w:color w:val="000000"/>
                <w:sz w:val="16"/>
                <w:szCs w:val="16"/>
              </w:rPr>
              <w:t>Finans ve sigorta faaliyetleri</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2,2</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2,2</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2,1</w:t>
            </w:r>
          </w:p>
        </w:tc>
        <w:tc>
          <w:tcPr>
            <w:tcW w:w="896" w:type="dxa"/>
            <w:tcBorders>
              <w:top w:val="nil"/>
              <w:left w:val="nil"/>
              <w:bottom w:val="nil"/>
              <w:right w:val="single" w:sz="4" w:space="0" w:color="auto"/>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2,0</w:t>
            </w:r>
          </w:p>
        </w:tc>
      </w:tr>
      <w:tr w:rsidR="00565FD5" w:rsidRPr="004B3DE4" w:rsidTr="00AB62A3">
        <w:trPr>
          <w:jc w:val="center"/>
        </w:trPr>
        <w:tc>
          <w:tcPr>
            <w:tcW w:w="3559" w:type="dxa"/>
            <w:tcBorders>
              <w:top w:val="nil"/>
              <w:left w:val="single" w:sz="4" w:space="0" w:color="auto"/>
              <w:bottom w:val="nil"/>
              <w:right w:val="nil"/>
            </w:tcBorders>
            <w:noWrap/>
            <w:vAlign w:val="bottom"/>
          </w:tcPr>
          <w:p w:rsidR="00565FD5" w:rsidRPr="004B3DE4" w:rsidRDefault="00565FD5" w:rsidP="00AB62A3">
            <w:pPr>
              <w:spacing w:after="60"/>
              <w:rPr>
                <w:rFonts w:cs="Tahoma"/>
                <w:color w:val="000000"/>
                <w:sz w:val="16"/>
                <w:szCs w:val="16"/>
              </w:rPr>
            </w:pPr>
            <w:r w:rsidRPr="004B3DE4">
              <w:rPr>
                <w:rFonts w:cs="Tahoma"/>
                <w:color w:val="000000"/>
                <w:sz w:val="16"/>
                <w:szCs w:val="16"/>
              </w:rPr>
              <w:t>Bilgi ve iletişim</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1,5</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1,6</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1,6</w:t>
            </w:r>
          </w:p>
        </w:tc>
        <w:tc>
          <w:tcPr>
            <w:tcW w:w="896" w:type="dxa"/>
            <w:tcBorders>
              <w:top w:val="nil"/>
              <w:left w:val="nil"/>
              <w:bottom w:val="nil"/>
              <w:right w:val="single" w:sz="4" w:space="0" w:color="auto"/>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1,8</w:t>
            </w:r>
          </w:p>
        </w:tc>
      </w:tr>
      <w:tr w:rsidR="00565FD5" w:rsidRPr="004B3DE4" w:rsidTr="00AB62A3">
        <w:trPr>
          <w:jc w:val="center"/>
        </w:trPr>
        <w:tc>
          <w:tcPr>
            <w:tcW w:w="3559" w:type="dxa"/>
            <w:tcBorders>
              <w:top w:val="nil"/>
              <w:left w:val="single" w:sz="4" w:space="0" w:color="auto"/>
              <w:bottom w:val="nil"/>
              <w:right w:val="nil"/>
            </w:tcBorders>
            <w:vAlign w:val="bottom"/>
          </w:tcPr>
          <w:p w:rsidR="00565FD5" w:rsidRPr="004B3DE4" w:rsidRDefault="00565FD5" w:rsidP="00AB62A3">
            <w:pPr>
              <w:spacing w:after="60"/>
              <w:rPr>
                <w:rFonts w:cs="Tahoma"/>
                <w:color w:val="000000"/>
                <w:sz w:val="16"/>
                <w:szCs w:val="16"/>
              </w:rPr>
            </w:pPr>
            <w:r w:rsidRPr="004B3DE4">
              <w:rPr>
                <w:rFonts w:cs="Tahoma"/>
                <w:color w:val="000000"/>
                <w:sz w:val="16"/>
                <w:szCs w:val="16"/>
              </w:rPr>
              <w:t>Gayrimenkul faaliyetleri</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0,4</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0,5</w:t>
            </w:r>
          </w:p>
        </w:tc>
        <w:tc>
          <w:tcPr>
            <w:tcW w:w="895" w:type="dxa"/>
            <w:tcBorders>
              <w:top w:val="nil"/>
              <w:left w:val="nil"/>
              <w:bottom w:val="nil"/>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1,2</w:t>
            </w:r>
          </w:p>
        </w:tc>
        <w:tc>
          <w:tcPr>
            <w:tcW w:w="896" w:type="dxa"/>
            <w:tcBorders>
              <w:top w:val="nil"/>
              <w:left w:val="nil"/>
              <w:bottom w:val="nil"/>
              <w:right w:val="single" w:sz="4" w:space="0" w:color="auto"/>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1,3</w:t>
            </w:r>
          </w:p>
        </w:tc>
      </w:tr>
      <w:tr w:rsidR="00565FD5" w:rsidRPr="004B3DE4" w:rsidTr="00AB62A3">
        <w:trPr>
          <w:jc w:val="center"/>
        </w:trPr>
        <w:tc>
          <w:tcPr>
            <w:tcW w:w="3559" w:type="dxa"/>
            <w:tcBorders>
              <w:top w:val="nil"/>
              <w:left w:val="single" w:sz="4" w:space="0" w:color="auto"/>
              <w:bottom w:val="single" w:sz="4" w:space="0" w:color="auto"/>
              <w:right w:val="nil"/>
            </w:tcBorders>
            <w:noWrap/>
            <w:vAlign w:val="bottom"/>
          </w:tcPr>
          <w:p w:rsidR="00565FD5" w:rsidRPr="004B3DE4" w:rsidRDefault="00565FD5" w:rsidP="00AB62A3">
            <w:pPr>
              <w:spacing w:after="60"/>
              <w:rPr>
                <w:rFonts w:cs="Tahoma"/>
                <w:color w:val="000000"/>
                <w:sz w:val="16"/>
                <w:szCs w:val="16"/>
              </w:rPr>
            </w:pPr>
            <w:r w:rsidRPr="004B3DE4">
              <w:rPr>
                <w:rFonts w:cs="Tahoma"/>
                <w:color w:val="000000"/>
                <w:sz w:val="16"/>
                <w:szCs w:val="16"/>
              </w:rPr>
              <w:t>Kültür, sanat, eğlence, dinlence ve spor</w:t>
            </w:r>
          </w:p>
        </w:tc>
        <w:tc>
          <w:tcPr>
            <w:tcW w:w="895" w:type="dxa"/>
            <w:tcBorders>
              <w:top w:val="nil"/>
              <w:left w:val="nil"/>
              <w:bottom w:val="single" w:sz="4" w:space="0" w:color="auto"/>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1,1</w:t>
            </w:r>
          </w:p>
        </w:tc>
        <w:tc>
          <w:tcPr>
            <w:tcW w:w="895" w:type="dxa"/>
            <w:tcBorders>
              <w:top w:val="nil"/>
              <w:left w:val="nil"/>
              <w:bottom w:val="single" w:sz="4" w:space="0" w:color="auto"/>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0,8</w:t>
            </w:r>
          </w:p>
        </w:tc>
        <w:tc>
          <w:tcPr>
            <w:tcW w:w="895" w:type="dxa"/>
            <w:tcBorders>
              <w:top w:val="nil"/>
              <w:left w:val="nil"/>
              <w:bottom w:val="single" w:sz="4" w:space="0" w:color="auto"/>
              <w:right w:val="nil"/>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0,8</w:t>
            </w:r>
          </w:p>
        </w:tc>
        <w:tc>
          <w:tcPr>
            <w:tcW w:w="896" w:type="dxa"/>
            <w:tcBorders>
              <w:top w:val="nil"/>
              <w:left w:val="nil"/>
              <w:bottom w:val="single" w:sz="4" w:space="0" w:color="auto"/>
              <w:right w:val="single" w:sz="4" w:space="0" w:color="auto"/>
            </w:tcBorders>
            <w:noWrap/>
            <w:vAlign w:val="bottom"/>
          </w:tcPr>
          <w:p w:rsidR="00565FD5" w:rsidRPr="004B3DE4" w:rsidRDefault="00565FD5" w:rsidP="00AB62A3">
            <w:pPr>
              <w:spacing w:after="60"/>
              <w:ind w:firstLine="425"/>
              <w:jc w:val="right"/>
              <w:rPr>
                <w:rFonts w:cs="Tahoma"/>
                <w:color w:val="000000"/>
                <w:sz w:val="16"/>
                <w:szCs w:val="16"/>
              </w:rPr>
            </w:pPr>
            <w:r w:rsidRPr="004B3DE4">
              <w:rPr>
                <w:rFonts w:cs="Tahoma"/>
                <w:color w:val="000000"/>
                <w:sz w:val="16"/>
                <w:szCs w:val="16"/>
              </w:rPr>
              <w:t>0,7</w:t>
            </w:r>
          </w:p>
        </w:tc>
      </w:tr>
    </w:tbl>
    <w:p w:rsidR="00565FD5" w:rsidRPr="00AB66CA" w:rsidRDefault="00565FD5" w:rsidP="00565FD5">
      <w:pPr>
        <w:tabs>
          <w:tab w:val="left" w:pos="284"/>
        </w:tabs>
        <w:rPr>
          <w:rFonts w:cs="Tahoma"/>
          <w:sz w:val="14"/>
          <w:szCs w:val="14"/>
          <w:lang w:eastAsia="tr-TR"/>
        </w:rPr>
      </w:pPr>
      <w:r w:rsidRPr="00AB66CA">
        <w:rPr>
          <w:rFonts w:cs="Tahoma"/>
          <w:sz w:val="14"/>
          <w:szCs w:val="14"/>
          <w:lang w:eastAsia="tr-TR"/>
        </w:rPr>
        <w:t>Kaynak: TÜİK, Hanehalkı İşgücü İstatistikleri</w:t>
      </w:r>
    </w:p>
    <w:p w:rsidR="00565FD5" w:rsidRPr="00AB66CA" w:rsidRDefault="00565FD5" w:rsidP="00565FD5">
      <w:pPr>
        <w:tabs>
          <w:tab w:val="left" w:pos="284"/>
        </w:tabs>
        <w:spacing w:after="240"/>
        <w:rPr>
          <w:rFonts w:cs="Tahoma"/>
          <w:sz w:val="14"/>
          <w:szCs w:val="14"/>
          <w:lang w:eastAsia="tr-TR"/>
        </w:rPr>
      </w:pPr>
      <w:r w:rsidRPr="00AB66CA">
        <w:rPr>
          <w:rFonts w:cs="Tahoma"/>
          <w:sz w:val="14"/>
          <w:szCs w:val="14"/>
          <w:lang w:eastAsia="tr-TR"/>
        </w:rPr>
        <w:t>(1) Temmuz 2012</w:t>
      </w:r>
    </w:p>
    <w:p w:rsidR="00565FD5" w:rsidRDefault="00565FD5" w:rsidP="00565FD5">
      <w:pPr>
        <w:spacing w:before="120" w:after="120"/>
        <w:ind w:firstLine="425"/>
        <w:rPr>
          <w:rFonts w:cs="Tahoma"/>
          <w:szCs w:val="18"/>
          <w:lang w:eastAsia="tr-TR"/>
        </w:rPr>
      </w:pPr>
      <w:r w:rsidRPr="004B3DE4">
        <w:rPr>
          <w:rFonts w:cs="Tahoma"/>
          <w:szCs w:val="18"/>
          <w:lang w:eastAsia="tr-TR"/>
        </w:rPr>
        <w:t xml:space="preserve">Hizmetler sektörünün katma değer oranında yıllar itibarıyla değişiklikler gözlenmektedir. Hizmetler sektörünün geneli için, katma değer oranı 2003-2008 döneminde kademeli olarak 0,47’den 0,38’e düşmüş, 2009 yılında ise 0,41’e yükselmiştir. </w:t>
      </w:r>
    </w:p>
    <w:p w:rsidR="00565FD5" w:rsidRPr="004B3DE4" w:rsidRDefault="00565FD5" w:rsidP="00565FD5">
      <w:pPr>
        <w:spacing w:before="120" w:after="120"/>
        <w:ind w:firstLine="425"/>
        <w:rPr>
          <w:rFonts w:cs="Tahoma"/>
          <w:szCs w:val="18"/>
          <w:lang w:eastAsia="tr-TR"/>
        </w:rPr>
      </w:pPr>
    </w:p>
    <w:p w:rsidR="00565FD5" w:rsidRDefault="00565FD5" w:rsidP="00565FD5">
      <w:pPr>
        <w:pStyle w:val="ResimYazs"/>
        <w:rPr>
          <w:rFonts w:cs="Tahoma"/>
          <w:color w:val="000000"/>
          <w:szCs w:val="16"/>
          <w:lang w:eastAsia="tr-TR"/>
        </w:rPr>
      </w:pPr>
      <w:bookmarkStart w:id="2032" w:name="_Toc338606037"/>
      <w:bookmarkStart w:id="2033" w:name="_Toc338711812"/>
      <w:r>
        <w:t xml:space="preserve">TABLO IV: </w:t>
      </w:r>
      <w:fldSimple w:instr=" SEQ TABLO_IV: \* ARABIC ">
        <w:r>
          <w:rPr>
            <w:noProof/>
          </w:rPr>
          <w:t>42</w:t>
        </w:r>
      </w:fldSimple>
      <w:r w:rsidRPr="008B744B">
        <w:t>-</w:t>
      </w:r>
      <w:r w:rsidRPr="008B744B">
        <w:rPr>
          <w:rFonts w:cs="Tahoma"/>
          <w:bCs/>
          <w:szCs w:val="16"/>
          <w:lang w:eastAsia="tr-TR"/>
        </w:rPr>
        <w:t xml:space="preserve"> Hizmetler Sektöründe Katma Değer Oranı</w:t>
      </w:r>
      <w:r w:rsidRPr="00981B4F">
        <w:rPr>
          <w:rFonts w:cs="Tahoma"/>
          <w:b w:val="0"/>
          <w:bCs/>
          <w:szCs w:val="16"/>
          <w:lang w:eastAsia="tr-TR"/>
        </w:rPr>
        <w:t xml:space="preserve"> (1)</w:t>
      </w:r>
      <w:bookmarkEnd w:id="2032"/>
      <w:bookmarkEnd w:id="2033"/>
      <w:r w:rsidRPr="004B3DE4">
        <w:rPr>
          <w:rFonts w:cs="Tahoma"/>
          <w:b w:val="0"/>
          <w:bCs/>
          <w:szCs w:val="16"/>
          <w:lang w:eastAsia="tr-TR"/>
        </w:rPr>
        <w:tab/>
      </w:r>
      <w:r w:rsidRPr="004B3DE4">
        <w:rPr>
          <w:rFonts w:cs="Tahoma"/>
          <w:color w:val="000000"/>
          <w:szCs w:val="16"/>
          <w:lang w:eastAsia="tr-TR"/>
        </w:rPr>
        <w:tab/>
      </w:r>
    </w:p>
    <w:tbl>
      <w:tblPr>
        <w:tblW w:w="7144" w:type="dxa"/>
        <w:jc w:val="center"/>
        <w:tblLayout w:type="fixed"/>
        <w:tblLook w:val="00A0"/>
      </w:tblPr>
      <w:tblGrid>
        <w:gridCol w:w="1658"/>
        <w:gridCol w:w="775"/>
        <w:gridCol w:w="777"/>
        <w:gridCol w:w="777"/>
        <w:gridCol w:w="776"/>
        <w:gridCol w:w="777"/>
        <w:gridCol w:w="706"/>
        <w:gridCol w:w="898"/>
      </w:tblGrid>
      <w:tr w:rsidR="00565FD5" w:rsidRPr="004B3DE4" w:rsidTr="00AB62A3">
        <w:trPr>
          <w:trHeight w:val="284"/>
          <w:jc w:val="center"/>
        </w:trPr>
        <w:tc>
          <w:tcPr>
            <w:tcW w:w="1658" w:type="dxa"/>
            <w:tcBorders>
              <w:top w:val="single" w:sz="4" w:space="0" w:color="auto"/>
              <w:left w:val="single" w:sz="4" w:space="0" w:color="auto"/>
              <w:bottom w:val="single" w:sz="4" w:space="0" w:color="auto"/>
              <w:right w:val="nil"/>
            </w:tcBorders>
            <w:noWrap/>
            <w:vAlign w:val="bottom"/>
          </w:tcPr>
          <w:p w:rsidR="00565FD5" w:rsidRPr="004B3DE4" w:rsidRDefault="00565FD5" w:rsidP="00AB62A3">
            <w:pPr>
              <w:ind w:firstLine="425"/>
              <w:rPr>
                <w:rFonts w:cs="Tahoma"/>
                <w:color w:val="000000"/>
                <w:sz w:val="16"/>
                <w:szCs w:val="16"/>
                <w:lang w:val="de-DE"/>
              </w:rPr>
            </w:pPr>
            <w:r w:rsidRPr="004B3DE4">
              <w:rPr>
                <w:rFonts w:cs="Tahoma"/>
                <w:color w:val="000000"/>
                <w:sz w:val="16"/>
                <w:szCs w:val="16"/>
                <w:lang w:eastAsia="tr-TR"/>
              </w:rPr>
              <w:tab/>
            </w:r>
            <w:r w:rsidRPr="004B3DE4">
              <w:rPr>
                <w:rFonts w:cs="Tahoma"/>
                <w:color w:val="000000"/>
                <w:sz w:val="16"/>
                <w:szCs w:val="16"/>
                <w:lang w:val="de-DE"/>
              </w:rPr>
              <w:t> </w:t>
            </w:r>
          </w:p>
        </w:tc>
        <w:tc>
          <w:tcPr>
            <w:tcW w:w="775" w:type="dxa"/>
            <w:tcBorders>
              <w:top w:val="single" w:sz="4" w:space="0" w:color="auto"/>
              <w:left w:val="nil"/>
              <w:bottom w:val="single" w:sz="4" w:space="0" w:color="auto"/>
              <w:right w:val="nil"/>
            </w:tcBorders>
            <w:noWrap/>
            <w:vAlign w:val="center"/>
          </w:tcPr>
          <w:p w:rsidR="00565FD5" w:rsidRPr="004B3DE4" w:rsidRDefault="00565FD5" w:rsidP="00AB62A3">
            <w:pPr>
              <w:jc w:val="right"/>
              <w:rPr>
                <w:rFonts w:cs="Tahoma"/>
                <w:b/>
                <w:bCs/>
                <w:sz w:val="16"/>
                <w:szCs w:val="16"/>
                <w:lang w:val="de-DE"/>
              </w:rPr>
            </w:pPr>
            <w:r w:rsidRPr="004B3DE4">
              <w:rPr>
                <w:rFonts w:cs="Tahoma"/>
                <w:b/>
                <w:bCs/>
                <w:sz w:val="16"/>
                <w:szCs w:val="16"/>
                <w:lang w:val="de-DE"/>
              </w:rPr>
              <w:t>2003</w:t>
            </w:r>
          </w:p>
        </w:tc>
        <w:tc>
          <w:tcPr>
            <w:tcW w:w="777" w:type="dxa"/>
            <w:tcBorders>
              <w:top w:val="single" w:sz="4" w:space="0" w:color="auto"/>
              <w:left w:val="nil"/>
              <w:bottom w:val="single" w:sz="4" w:space="0" w:color="auto"/>
              <w:right w:val="nil"/>
            </w:tcBorders>
            <w:noWrap/>
            <w:vAlign w:val="center"/>
          </w:tcPr>
          <w:p w:rsidR="00565FD5" w:rsidRPr="004B3DE4" w:rsidRDefault="00565FD5" w:rsidP="00AB62A3">
            <w:pPr>
              <w:jc w:val="right"/>
              <w:rPr>
                <w:rFonts w:cs="Tahoma"/>
                <w:b/>
                <w:bCs/>
                <w:sz w:val="16"/>
                <w:szCs w:val="16"/>
                <w:lang w:val="de-DE"/>
              </w:rPr>
            </w:pPr>
            <w:r w:rsidRPr="004B3DE4">
              <w:rPr>
                <w:rFonts w:cs="Tahoma"/>
                <w:b/>
                <w:bCs/>
                <w:sz w:val="16"/>
                <w:szCs w:val="16"/>
                <w:lang w:val="de-DE"/>
              </w:rPr>
              <w:t>2004</w:t>
            </w:r>
          </w:p>
        </w:tc>
        <w:tc>
          <w:tcPr>
            <w:tcW w:w="777" w:type="dxa"/>
            <w:tcBorders>
              <w:top w:val="single" w:sz="4" w:space="0" w:color="auto"/>
              <w:left w:val="nil"/>
              <w:bottom w:val="single" w:sz="4" w:space="0" w:color="auto"/>
              <w:right w:val="nil"/>
            </w:tcBorders>
            <w:noWrap/>
            <w:vAlign w:val="center"/>
          </w:tcPr>
          <w:p w:rsidR="00565FD5" w:rsidRPr="004B3DE4" w:rsidRDefault="00565FD5" w:rsidP="00AB62A3">
            <w:pPr>
              <w:jc w:val="right"/>
              <w:rPr>
                <w:rFonts w:cs="Tahoma"/>
                <w:b/>
                <w:bCs/>
                <w:sz w:val="16"/>
                <w:szCs w:val="16"/>
                <w:lang w:val="de-DE"/>
              </w:rPr>
            </w:pPr>
            <w:r w:rsidRPr="004B3DE4">
              <w:rPr>
                <w:rFonts w:cs="Tahoma"/>
                <w:b/>
                <w:bCs/>
                <w:sz w:val="16"/>
                <w:szCs w:val="16"/>
                <w:lang w:val="de-DE"/>
              </w:rPr>
              <w:t>2005</w:t>
            </w:r>
          </w:p>
        </w:tc>
        <w:tc>
          <w:tcPr>
            <w:tcW w:w="776" w:type="dxa"/>
            <w:tcBorders>
              <w:top w:val="single" w:sz="4" w:space="0" w:color="auto"/>
              <w:left w:val="nil"/>
              <w:bottom w:val="single" w:sz="4" w:space="0" w:color="auto"/>
              <w:right w:val="nil"/>
            </w:tcBorders>
            <w:noWrap/>
            <w:vAlign w:val="center"/>
          </w:tcPr>
          <w:p w:rsidR="00565FD5" w:rsidRPr="004B3DE4" w:rsidRDefault="00565FD5" w:rsidP="00AB62A3">
            <w:pPr>
              <w:jc w:val="right"/>
              <w:rPr>
                <w:rFonts w:cs="Tahoma"/>
                <w:b/>
                <w:bCs/>
                <w:sz w:val="16"/>
                <w:szCs w:val="16"/>
                <w:lang w:val="de-DE"/>
              </w:rPr>
            </w:pPr>
            <w:r w:rsidRPr="004B3DE4">
              <w:rPr>
                <w:rFonts w:cs="Tahoma"/>
                <w:b/>
                <w:bCs/>
                <w:sz w:val="16"/>
                <w:szCs w:val="16"/>
                <w:lang w:val="de-DE"/>
              </w:rPr>
              <w:t>2006</w:t>
            </w:r>
          </w:p>
        </w:tc>
        <w:tc>
          <w:tcPr>
            <w:tcW w:w="777" w:type="dxa"/>
            <w:tcBorders>
              <w:top w:val="single" w:sz="4" w:space="0" w:color="auto"/>
              <w:left w:val="nil"/>
              <w:bottom w:val="single" w:sz="4" w:space="0" w:color="auto"/>
              <w:right w:val="nil"/>
            </w:tcBorders>
            <w:noWrap/>
            <w:vAlign w:val="center"/>
          </w:tcPr>
          <w:p w:rsidR="00565FD5" w:rsidRPr="004B3DE4" w:rsidRDefault="00565FD5" w:rsidP="00AB62A3">
            <w:pPr>
              <w:jc w:val="right"/>
              <w:rPr>
                <w:rFonts w:cs="Tahoma"/>
                <w:b/>
                <w:bCs/>
                <w:sz w:val="16"/>
                <w:szCs w:val="16"/>
                <w:lang w:val="de-DE"/>
              </w:rPr>
            </w:pPr>
            <w:r w:rsidRPr="004B3DE4">
              <w:rPr>
                <w:rFonts w:cs="Tahoma"/>
                <w:b/>
                <w:bCs/>
                <w:sz w:val="16"/>
                <w:szCs w:val="16"/>
                <w:lang w:val="de-DE"/>
              </w:rPr>
              <w:t>2007</w:t>
            </w:r>
          </w:p>
        </w:tc>
        <w:tc>
          <w:tcPr>
            <w:tcW w:w="706" w:type="dxa"/>
            <w:tcBorders>
              <w:top w:val="single" w:sz="4" w:space="0" w:color="auto"/>
              <w:left w:val="nil"/>
              <w:bottom w:val="single" w:sz="4" w:space="0" w:color="auto"/>
              <w:right w:val="nil"/>
            </w:tcBorders>
            <w:noWrap/>
            <w:vAlign w:val="center"/>
          </w:tcPr>
          <w:p w:rsidR="00565FD5" w:rsidRPr="004B3DE4" w:rsidRDefault="00565FD5" w:rsidP="00AB62A3">
            <w:pPr>
              <w:jc w:val="right"/>
              <w:rPr>
                <w:rFonts w:cs="Tahoma"/>
                <w:b/>
                <w:bCs/>
                <w:sz w:val="16"/>
                <w:szCs w:val="16"/>
                <w:lang w:val="de-DE"/>
              </w:rPr>
            </w:pPr>
            <w:r w:rsidRPr="004B3DE4">
              <w:rPr>
                <w:rFonts w:cs="Tahoma"/>
                <w:b/>
                <w:bCs/>
                <w:sz w:val="16"/>
                <w:szCs w:val="16"/>
                <w:lang w:val="de-DE"/>
              </w:rPr>
              <w:t>2008</w:t>
            </w:r>
          </w:p>
        </w:tc>
        <w:tc>
          <w:tcPr>
            <w:tcW w:w="898" w:type="dxa"/>
            <w:tcBorders>
              <w:top w:val="single" w:sz="4" w:space="0" w:color="auto"/>
              <w:left w:val="nil"/>
              <w:bottom w:val="single" w:sz="4" w:space="0" w:color="auto"/>
              <w:right w:val="single" w:sz="4" w:space="0" w:color="auto"/>
            </w:tcBorders>
            <w:noWrap/>
            <w:vAlign w:val="center"/>
          </w:tcPr>
          <w:p w:rsidR="00565FD5" w:rsidRPr="004B3DE4" w:rsidRDefault="00565FD5" w:rsidP="00AB62A3">
            <w:pPr>
              <w:jc w:val="right"/>
              <w:rPr>
                <w:rFonts w:cs="Tahoma"/>
                <w:b/>
                <w:bCs/>
                <w:sz w:val="16"/>
                <w:szCs w:val="16"/>
                <w:lang w:val="de-DE"/>
              </w:rPr>
            </w:pPr>
            <w:r w:rsidRPr="004B3DE4">
              <w:rPr>
                <w:rFonts w:cs="Tahoma"/>
                <w:b/>
                <w:bCs/>
                <w:sz w:val="16"/>
                <w:szCs w:val="16"/>
                <w:lang w:val="de-DE"/>
              </w:rPr>
              <w:t>2009(2)</w:t>
            </w:r>
          </w:p>
        </w:tc>
      </w:tr>
      <w:tr w:rsidR="00565FD5" w:rsidRPr="004B3DE4" w:rsidTr="00AB62A3">
        <w:trPr>
          <w:trHeight w:val="284"/>
          <w:jc w:val="center"/>
        </w:trPr>
        <w:tc>
          <w:tcPr>
            <w:tcW w:w="1658" w:type="dxa"/>
            <w:tcBorders>
              <w:top w:val="single" w:sz="4" w:space="0" w:color="auto"/>
              <w:left w:val="single" w:sz="4" w:space="0" w:color="auto"/>
              <w:bottom w:val="single" w:sz="4" w:space="0" w:color="auto"/>
              <w:right w:val="nil"/>
            </w:tcBorders>
            <w:noWrap/>
            <w:vAlign w:val="center"/>
          </w:tcPr>
          <w:p w:rsidR="00565FD5" w:rsidRPr="004B3DE4" w:rsidRDefault="00565FD5" w:rsidP="00AB62A3">
            <w:pPr>
              <w:rPr>
                <w:rFonts w:cs="Tahoma"/>
                <w:color w:val="000000"/>
                <w:sz w:val="16"/>
                <w:szCs w:val="16"/>
              </w:rPr>
            </w:pPr>
            <w:r w:rsidRPr="004B3DE4">
              <w:rPr>
                <w:rFonts w:cs="Tahoma"/>
                <w:color w:val="000000"/>
                <w:sz w:val="16"/>
                <w:szCs w:val="16"/>
              </w:rPr>
              <w:t>Katma Değer Oranı</w:t>
            </w:r>
          </w:p>
        </w:tc>
        <w:tc>
          <w:tcPr>
            <w:tcW w:w="775" w:type="dxa"/>
            <w:tcBorders>
              <w:top w:val="single" w:sz="4" w:space="0" w:color="auto"/>
              <w:left w:val="nil"/>
              <w:bottom w:val="single" w:sz="4" w:space="0" w:color="auto"/>
              <w:right w:val="nil"/>
            </w:tcBorders>
            <w:noWrap/>
            <w:vAlign w:val="center"/>
          </w:tcPr>
          <w:p w:rsidR="00565FD5" w:rsidRPr="004B3DE4" w:rsidRDefault="00565FD5" w:rsidP="00AB62A3">
            <w:pPr>
              <w:jc w:val="right"/>
              <w:rPr>
                <w:rFonts w:cs="Tahoma"/>
                <w:color w:val="000000"/>
                <w:sz w:val="16"/>
                <w:szCs w:val="16"/>
                <w:lang w:val="de-DE"/>
              </w:rPr>
            </w:pPr>
            <w:r w:rsidRPr="004B3DE4">
              <w:rPr>
                <w:rFonts w:cs="Tahoma"/>
                <w:color w:val="000000"/>
                <w:sz w:val="16"/>
                <w:szCs w:val="16"/>
                <w:lang w:val="de-DE"/>
              </w:rPr>
              <w:t>0,47</w:t>
            </w:r>
          </w:p>
        </w:tc>
        <w:tc>
          <w:tcPr>
            <w:tcW w:w="777" w:type="dxa"/>
            <w:tcBorders>
              <w:top w:val="single" w:sz="4" w:space="0" w:color="auto"/>
              <w:left w:val="nil"/>
              <w:bottom w:val="single" w:sz="4" w:space="0" w:color="auto"/>
              <w:right w:val="nil"/>
            </w:tcBorders>
            <w:noWrap/>
            <w:vAlign w:val="center"/>
          </w:tcPr>
          <w:p w:rsidR="00565FD5" w:rsidRPr="004B3DE4" w:rsidRDefault="00565FD5" w:rsidP="00AB62A3">
            <w:pPr>
              <w:jc w:val="right"/>
              <w:rPr>
                <w:rFonts w:cs="Tahoma"/>
                <w:color w:val="000000"/>
                <w:sz w:val="16"/>
                <w:szCs w:val="16"/>
                <w:lang w:val="de-DE"/>
              </w:rPr>
            </w:pPr>
            <w:r w:rsidRPr="004B3DE4">
              <w:rPr>
                <w:rFonts w:cs="Tahoma"/>
                <w:color w:val="000000"/>
                <w:sz w:val="16"/>
                <w:szCs w:val="16"/>
                <w:lang w:val="de-DE"/>
              </w:rPr>
              <w:t>0,44</w:t>
            </w:r>
          </w:p>
        </w:tc>
        <w:tc>
          <w:tcPr>
            <w:tcW w:w="777" w:type="dxa"/>
            <w:tcBorders>
              <w:top w:val="single" w:sz="4" w:space="0" w:color="auto"/>
              <w:left w:val="nil"/>
              <w:bottom w:val="single" w:sz="4" w:space="0" w:color="auto"/>
              <w:right w:val="nil"/>
            </w:tcBorders>
            <w:noWrap/>
            <w:vAlign w:val="center"/>
          </w:tcPr>
          <w:p w:rsidR="00565FD5" w:rsidRPr="004B3DE4" w:rsidRDefault="00565FD5" w:rsidP="00AB62A3">
            <w:pPr>
              <w:jc w:val="right"/>
              <w:rPr>
                <w:rFonts w:cs="Tahoma"/>
                <w:color w:val="000000"/>
                <w:sz w:val="16"/>
                <w:szCs w:val="16"/>
                <w:lang w:val="de-DE"/>
              </w:rPr>
            </w:pPr>
            <w:r w:rsidRPr="004B3DE4">
              <w:rPr>
                <w:rFonts w:cs="Tahoma"/>
                <w:color w:val="000000"/>
                <w:sz w:val="16"/>
                <w:szCs w:val="16"/>
                <w:lang w:val="de-DE"/>
              </w:rPr>
              <w:t>0,41</w:t>
            </w:r>
          </w:p>
        </w:tc>
        <w:tc>
          <w:tcPr>
            <w:tcW w:w="776" w:type="dxa"/>
            <w:tcBorders>
              <w:top w:val="single" w:sz="4" w:space="0" w:color="auto"/>
              <w:left w:val="nil"/>
              <w:bottom w:val="single" w:sz="4" w:space="0" w:color="auto"/>
              <w:right w:val="nil"/>
            </w:tcBorders>
            <w:noWrap/>
            <w:vAlign w:val="center"/>
          </w:tcPr>
          <w:p w:rsidR="00565FD5" w:rsidRPr="004B3DE4" w:rsidRDefault="00565FD5" w:rsidP="00AB62A3">
            <w:pPr>
              <w:jc w:val="right"/>
              <w:rPr>
                <w:rFonts w:cs="Tahoma"/>
                <w:color w:val="000000"/>
                <w:sz w:val="16"/>
                <w:szCs w:val="16"/>
                <w:lang w:val="de-DE"/>
              </w:rPr>
            </w:pPr>
            <w:r w:rsidRPr="004B3DE4">
              <w:rPr>
                <w:rFonts w:cs="Tahoma"/>
                <w:color w:val="000000"/>
                <w:sz w:val="16"/>
                <w:szCs w:val="16"/>
                <w:lang w:val="de-DE"/>
              </w:rPr>
              <w:t>0,39</w:t>
            </w:r>
          </w:p>
        </w:tc>
        <w:tc>
          <w:tcPr>
            <w:tcW w:w="777" w:type="dxa"/>
            <w:tcBorders>
              <w:top w:val="single" w:sz="4" w:space="0" w:color="auto"/>
              <w:left w:val="nil"/>
              <w:bottom w:val="single" w:sz="4" w:space="0" w:color="auto"/>
              <w:right w:val="nil"/>
            </w:tcBorders>
            <w:noWrap/>
            <w:vAlign w:val="center"/>
          </w:tcPr>
          <w:p w:rsidR="00565FD5" w:rsidRPr="004B3DE4" w:rsidRDefault="00565FD5" w:rsidP="00AB62A3">
            <w:pPr>
              <w:jc w:val="right"/>
              <w:rPr>
                <w:rFonts w:cs="Tahoma"/>
                <w:color w:val="000000"/>
                <w:sz w:val="16"/>
                <w:szCs w:val="16"/>
                <w:lang w:val="de-DE"/>
              </w:rPr>
            </w:pPr>
            <w:r w:rsidRPr="004B3DE4">
              <w:rPr>
                <w:rFonts w:cs="Tahoma"/>
                <w:color w:val="000000"/>
                <w:sz w:val="16"/>
                <w:szCs w:val="16"/>
                <w:lang w:val="de-DE"/>
              </w:rPr>
              <w:t>0,38</w:t>
            </w:r>
          </w:p>
        </w:tc>
        <w:tc>
          <w:tcPr>
            <w:tcW w:w="706" w:type="dxa"/>
            <w:tcBorders>
              <w:top w:val="single" w:sz="4" w:space="0" w:color="auto"/>
              <w:left w:val="nil"/>
              <w:bottom w:val="single" w:sz="4" w:space="0" w:color="auto"/>
              <w:right w:val="nil"/>
            </w:tcBorders>
            <w:noWrap/>
            <w:vAlign w:val="center"/>
          </w:tcPr>
          <w:p w:rsidR="00565FD5" w:rsidRPr="004B3DE4" w:rsidRDefault="00565FD5" w:rsidP="00AB62A3">
            <w:pPr>
              <w:jc w:val="right"/>
              <w:rPr>
                <w:rFonts w:cs="Tahoma"/>
                <w:color w:val="000000"/>
                <w:sz w:val="16"/>
                <w:szCs w:val="16"/>
                <w:lang w:val="de-DE"/>
              </w:rPr>
            </w:pPr>
            <w:r w:rsidRPr="004B3DE4">
              <w:rPr>
                <w:rFonts w:cs="Tahoma"/>
                <w:color w:val="000000"/>
                <w:sz w:val="16"/>
                <w:szCs w:val="16"/>
                <w:lang w:val="de-DE"/>
              </w:rPr>
              <w:t>0,38</w:t>
            </w:r>
          </w:p>
        </w:tc>
        <w:tc>
          <w:tcPr>
            <w:tcW w:w="898" w:type="dxa"/>
            <w:tcBorders>
              <w:top w:val="single" w:sz="4" w:space="0" w:color="auto"/>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val="de-DE"/>
              </w:rPr>
            </w:pPr>
            <w:r w:rsidRPr="004B3DE4">
              <w:rPr>
                <w:rFonts w:cs="Tahoma"/>
                <w:color w:val="000000"/>
                <w:sz w:val="16"/>
                <w:szCs w:val="16"/>
                <w:lang w:val="de-DE"/>
              </w:rPr>
              <w:t>0,41</w:t>
            </w:r>
          </w:p>
        </w:tc>
      </w:tr>
    </w:tbl>
    <w:p w:rsidR="00565FD5" w:rsidRDefault="00565FD5" w:rsidP="00565FD5">
      <w:pPr>
        <w:rPr>
          <w:rFonts w:cs="Tahoma"/>
          <w:color w:val="000000"/>
          <w:sz w:val="14"/>
          <w:szCs w:val="14"/>
          <w:lang w:eastAsia="tr-TR"/>
        </w:rPr>
      </w:pPr>
      <w:r w:rsidRPr="004B3DE4">
        <w:rPr>
          <w:rFonts w:cs="Tahoma"/>
          <w:color w:val="000000"/>
          <w:sz w:val="14"/>
          <w:szCs w:val="14"/>
          <w:lang w:eastAsia="tr-TR"/>
        </w:rPr>
        <w:t>Kaynak: TÜİK,  Yıllık Sanayi ve Hizmet İstatistikleri ve Mali Aracı Kuruluş İstatistikleri kullanılmıştır.</w:t>
      </w:r>
    </w:p>
    <w:p w:rsidR="00565FD5" w:rsidRPr="004B3DE4" w:rsidRDefault="00565FD5" w:rsidP="00565FD5">
      <w:pPr>
        <w:rPr>
          <w:rFonts w:cs="Tahoma"/>
          <w:color w:val="000000"/>
          <w:sz w:val="14"/>
          <w:szCs w:val="14"/>
          <w:lang w:eastAsia="tr-TR"/>
        </w:rPr>
      </w:pPr>
      <w:r w:rsidRPr="004B3DE4">
        <w:rPr>
          <w:rFonts w:cs="Tahoma"/>
          <w:color w:val="000000"/>
          <w:sz w:val="14"/>
          <w:szCs w:val="14"/>
          <w:lang w:eastAsia="tr-TR"/>
        </w:rPr>
        <w:t>(1) NACE Rev1.1</w:t>
      </w:r>
    </w:p>
    <w:p w:rsidR="00565FD5" w:rsidRPr="004B3DE4" w:rsidRDefault="00565FD5" w:rsidP="00565FD5">
      <w:pPr>
        <w:spacing w:after="240"/>
        <w:rPr>
          <w:rFonts w:cs="Tahoma"/>
          <w:color w:val="000000"/>
          <w:sz w:val="14"/>
          <w:szCs w:val="14"/>
          <w:lang w:eastAsia="tr-TR"/>
        </w:rPr>
      </w:pPr>
      <w:r w:rsidRPr="004B3DE4">
        <w:rPr>
          <w:rFonts w:cs="Tahoma"/>
          <w:color w:val="000000"/>
          <w:sz w:val="14"/>
          <w:szCs w:val="14"/>
          <w:lang w:eastAsia="tr-TR"/>
        </w:rPr>
        <w:lastRenderedPageBreak/>
        <w:t>(2) NACE Rev.2</w:t>
      </w:r>
    </w:p>
    <w:p w:rsidR="00565FD5" w:rsidRPr="004B3DE4" w:rsidRDefault="00565FD5" w:rsidP="00565FD5">
      <w:pPr>
        <w:spacing w:before="120" w:after="120"/>
        <w:ind w:firstLine="425"/>
        <w:rPr>
          <w:rFonts w:cs="Tahoma"/>
          <w:szCs w:val="18"/>
          <w:lang w:eastAsia="tr-TR"/>
        </w:rPr>
      </w:pPr>
      <w:r w:rsidRPr="004B3DE4">
        <w:rPr>
          <w:rFonts w:cs="Tahoma"/>
          <w:szCs w:val="18"/>
          <w:lang w:eastAsia="tr-TR"/>
        </w:rPr>
        <w:t xml:space="preserve">Hizmetler sektörü bilgi yoğunluğu bakımından incelendiğinde; Türkiye’de bilgi yoğun hizmet sektörlerinin toplam hizmetler katma değeri içindeki payının, 2003-2009 yılları arasında, yüzde 40’dan yüzde 54,3’e yükseldiği görülmektedir. </w:t>
      </w:r>
    </w:p>
    <w:p w:rsidR="00565FD5" w:rsidRPr="008B744B" w:rsidRDefault="00565FD5" w:rsidP="00565FD5">
      <w:pPr>
        <w:rPr>
          <w:rFonts w:cs="Tahoma"/>
          <w:color w:val="000000"/>
          <w:sz w:val="14"/>
          <w:szCs w:val="14"/>
          <w:lang w:eastAsia="tr-TR"/>
        </w:rPr>
      </w:pPr>
    </w:p>
    <w:p w:rsidR="00565FD5" w:rsidRPr="004B3DE4" w:rsidRDefault="00565FD5" w:rsidP="00565FD5">
      <w:pPr>
        <w:pStyle w:val="ResimYazs"/>
        <w:rPr>
          <w:rFonts w:cs="Tahoma"/>
          <w:b w:val="0"/>
          <w:szCs w:val="16"/>
          <w:lang w:eastAsia="tr-TR"/>
        </w:rPr>
      </w:pPr>
      <w:bookmarkStart w:id="2034" w:name="_Toc338606038"/>
      <w:bookmarkStart w:id="2035" w:name="_Toc338711813"/>
      <w:r>
        <w:t xml:space="preserve">TABLO IV: </w:t>
      </w:r>
      <w:fldSimple w:instr=" SEQ TABLO_IV: \* ARABIC ">
        <w:r>
          <w:rPr>
            <w:noProof/>
          </w:rPr>
          <w:t>43</w:t>
        </w:r>
      </w:fldSimple>
      <w:r w:rsidRPr="008B744B">
        <w:rPr>
          <w:rFonts w:cs="Tahoma"/>
          <w:szCs w:val="16"/>
          <w:lang w:eastAsia="tr-TR"/>
        </w:rPr>
        <w:t xml:space="preserve">- Hizmet Sektörlerinin Bilgi Yoğunluğu </w:t>
      </w:r>
      <w:r w:rsidRPr="00981B4F">
        <w:rPr>
          <w:rFonts w:cs="Tahoma"/>
          <w:b w:val="0"/>
          <w:szCs w:val="16"/>
          <w:lang w:eastAsia="tr-TR"/>
        </w:rPr>
        <w:t>(1)</w:t>
      </w:r>
      <w:bookmarkEnd w:id="2034"/>
      <w:bookmarkEnd w:id="2035"/>
      <w:r w:rsidRPr="00981B4F">
        <w:rPr>
          <w:rFonts w:cs="Tahoma"/>
          <w:b w:val="0"/>
          <w:szCs w:val="16"/>
          <w:lang w:eastAsia="tr-TR"/>
        </w:rPr>
        <w:t xml:space="preserve"> </w:t>
      </w:r>
    </w:p>
    <w:tbl>
      <w:tblPr>
        <w:tblW w:w="4891" w:type="pct"/>
        <w:tblInd w:w="84" w:type="dxa"/>
        <w:tblLayout w:type="fixed"/>
        <w:tblCellMar>
          <w:left w:w="70" w:type="dxa"/>
          <w:right w:w="70" w:type="dxa"/>
        </w:tblCellMar>
        <w:tblLook w:val="00A0"/>
      </w:tblPr>
      <w:tblGrid>
        <w:gridCol w:w="2255"/>
        <w:gridCol w:w="695"/>
        <w:gridCol w:w="692"/>
        <w:gridCol w:w="692"/>
        <w:gridCol w:w="695"/>
        <w:gridCol w:w="672"/>
        <w:gridCol w:w="567"/>
        <w:gridCol w:w="855"/>
      </w:tblGrid>
      <w:tr w:rsidR="00565FD5" w:rsidRPr="004B3DE4" w:rsidTr="00AB62A3">
        <w:trPr>
          <w:trHeight w:val="300"/>
        </w:trPr>
        <w:tc>
          <w:tcPr>
            <w:tcW w:w="1582" w:type="pct"/>
            <w:tcBorders>
              <w:bottom w:val="single" w:sz="4" w:space="0" w:color="auto"/>
            </w:tcBorders>
            <w:noWrap/>
            <w:vAlign w:val="bottom"/>
          </w:tcPr>
          <w:p w:rsidR="00565FD5" w:rsidRPr="004B3DE4" w:rsidRDefault="00565FD5" w:rsidP="00AB62A3">
            <w:pPr>
              <w:ind w:firstLine="425"/>
              <w:jc w:val="right"/>
              <w:rPr>
                <w:rFonts w:cs="Tahoma"/>
                <w:sz w:val="16"/>
                <w:szCs w:val="16"/>
                <w:lang w:eastAsia="tr-TR"/>
              </w:rPr>
            </w:pPr>
          </w:p>
        </w:tc>
        <w:tc>
          <w:tcPr>
            <w:tcW w:w="3418" w:type="pct"/>
            <w:gridSpan w:val="7"/>
            <w:tcBorders>
              <w:bottom w:val="single" w:sz="4" w:space="0" w:color="auto"/>
            </w:tcBorders>
            <w:noWrap/>
            <w:vAlign w:val="bottom"/>
          </w:tcPr>
          <w:p w:rsidR="00565FD5" w:rsidRPr="004B3DE4" w:rsidRDefault="00565FD5" w:rsidP="00AB62A3">
            <w:pPr>
              <w:ind w:firstLine="425"/>
              <w:jc w:val="right"/>
              <w:rPr>
                <w:rFonts w:cs="Tahoma"/>
                <w:sz w:val="16"/>
                <w:szCs w:val="16"/>
                <w:lang w:eastAsia="tr-TR"/>
              </w:rPr>
            </w:pPr>
            <w:r w:rsidRPr="004B3DE4">
              <w:rPr>
                <w:rFonts w:cs="Tahoma"/>
                <w:sz w:val="16"/>
                <w:szCs w:val="16"/>
                <w:lang w:eastAsia="tr-TR"/>
              </w:rPr>
              <w:t>(Yüzde)</w:t>
            </w:r>
          </w:p>
        </w:tc>
      </w:tr>
      <w:tr w:rsidR="00565FD5" w:rsidRPr="004B3DE4" w:rsidTr="00AB62A3">
        <w:tc>
          <w:tcPr>
            <w:tcW w:w="1582" w:type="pct"/>
            <w:tcBorders>
              <w:top w:val="single" w:sz="4" w:space="0" w:color="auto"/>
              <w:left w:val="single" w:sz="4" w:space="0" w:color="auto"/>
              <w:right w:val="nil"/>
            </w:tcBorders>
            <w:noWrap/>
            <w:vAlign w:val="bottom"/>
          </w:tcPr>
          <w:p w:rsidR="00565FD5" w:rsidRPr="004B3DE4" w:rsidRDefault="00565FD5" w:rsidP="00AB62A3">
            <w:pPr>
              <w:ind w:firstLine="425"/>
              <w:jc w:val="right"/>
              <w:rPr>
                <w:rFonts w:cs="Tahoma"/>
                <w:sz w:val="16"/>
                <w:szCs w:val="16"/>
                <w:lang w:eastAsia="tr-TR"/>
              </w:rPr>
            </w:pPr>
          </w:p>
        </w:tc>
        <w:tc>
          <w:tcPr>
            <w:tcW w:w="3418" w:type="pct"/>
            <w:gridSpan w:val="7"/>
            <w:tcBorders>
              <w:top w:val="single" w:sz="4" w:space="0" w:color="auto"/>
              <w:left w:val="nil"/>
              <w:bottom w:val="single" w:sz="4" w:space="0" w:color="auto"/>
              <w:right w:val="single" w:sz="4" w:space="0" w:color="auto"/>
            </w:tcBorders>
            <w:noWrap/>
            <w:vAlign w:val="bottom"/>
          </w:tcPr>
          <w:p w:rsidR="00565FD5" w:rsidRPr="004B3DE4" w:rsidRDefault="00565FD5" w:rsidP="00AB62A3">
            <w:pPr>
              <w:spacing w:before="120" w:after="120"/>
              <w:ind w:firstLine="425"/>
              <w:jc w:val="center"/>
              <w:rPr>
                <w:rFonts w:cs="Tahoma"/>
                <w:b/>
                <w:sz w:val="16"/>
                <w:szCs w:val="16"/>
                <w:lang w:eastAsia="tr-TR"/>
              </w:rPr>
            </w:pPr>
            <w:r w:rsidRPr="004B3DE4">
              <w:rPr>
                <w:rFonts w:cs="Tahoma"/>
                <w:b/>
                <w:sz w:val="16"/>
                <w:szCs w:val="16"/>
                <w:lang w:eastAsia="tr-TR"/>
              </w:rPr>
              <w:t>Katma Değer Payı</w:t>
            </w:r>
          </w:p>
        </w:tc>
      </w:tr>
      <w:tr w:rsidR="00565FD5" w:rsidRPr="004B3DE4" w:rsidTr="00AB62A3">
        <w:tc>
          <w:tcPr>
            <w:tcW w:w="1582" w:type="pct"/>
            <w:tcBorders>
              <w:top w:val="nil"/>
              <w:left w:val="single" w:sz="4" w:space="0" w:color="auto"/>
              <w:right w:val="nil"/>
            </w:tcBorders>
            <w:noWrap/>
            <w:vAlign w:val="bottom"/>
          </w:tcPr>
          <w:p w:rsidR="00565FD5" w:rsidRPr="004B3DE4" w:rsidRDefault="00565FD5" w:rsidP="00AB62A3">
            <w:pPr>
              <w:ind w:firstLine="425"/>
              <w:jc w:val="right"/>
              <w:rPr>
                <w:rFonts w:cs="Tahoma"/>
                <w:sz w:val="16"/>
                <w:szCs w:val="16"/>
                <w:lang w:eastAsia="tr-TR"/>
              </w:rPr>
            </w:pPr>
          </w:p>
        </w:tc>
        <w:tc>
          <w:tcPr>
            <w:tcW w:w="488" w:type="pct"/>
            <w:tcBorders>
              <w:top w:val="single" w:sz="4" w:space="0" w:color="auto"/>
              <w:left w:val="nil"/>
              <w:bottom w:val="single" w:sz="4" w:space="0" w:color="auto"/>
              <w:right w:val="nil"/>
            </w:tcBorders>
            <w:noWrap/>
            <w:vAlign w:val="bottom"/>
          </w:tcPr>
          <w:p w:rsidR="00565FD5" w:rsidRPr="004B3DE4" w:rsidRDefault="00565FD5" w:rsidP="00AB62A3">
            <w:pPr>
              <w:jc w:val="right"/>
              <w:rPr>
                <w:rFonts w:cs="Tahoma"/>
                <w:b/>
                <w:sz w:val="16"/>
                <w:szCs w:val="16"/>
                <w:lang w:eastAsia="tr-TR"/>
              </w:rPr>
            </w:pPr>
            <w:r w:rsidRPr="004B3DE4">
              <w:rPr>
                <w:rFonts w:cs="Tahoma"/>
                <w:b/>
                <w:sz w:val="16"/>
                <w:szCs w:val="16"/>
                <w:lang w:eastAsia="tr-TR"/>
              </w:rPr>
              <w:t>2003</w:t>
            </w:r>
          </w:p>
        </w:tc>
        <w:tc>
          <w:tcPr>
            <w:tcW w:w="486" w:type="pct"/>
            <w:tcBorders>
              <w:top w:val="single" w:sz="4" w:space="0" w:color="auto"/>
              <w:left w:val="nil"/>
              <w:bottom w:val="single" w:sz="4" w:space="0" w:color="auto"/>
              <w:right w:val="nil"/>
            </w:tcBorders>
            <w:noWrap/>
            <w:vAlign w:val="bottom"/>
          </w:tcPr>
          <w:p w:rsidR="00565FD5" w:rsidRPr="004B3DE4" w:rsidRDefault="00565FD5" w:rsidP="00AB62A3">
            <w:pPr>
              <w:jc w:val="right"/>
              <w:rPr>
                <w:rFonts w:cs="Tahoma"/>
                <w:b/>
                <w:sz w:val="16"/>
                <w:szCs w:val="16"/>
                <w:lang w:eastAsia="tr-TR"/>
              </w:rPr>
            </w:pPr>
            <w:r w:rsidRPr="004B3DE4">
              <w:rPr>
                <w:rFonts w:cs="Tahoma"/>
                <w:b/>
                <w:sz w:val="16"/>
                <w:szCs w:val="16"/>
                <w:lang w:eastAsia="tr-TR"/>
              </w:rPr>
              <w:t>2004</w:t>
            </w:r>
          </w:p>
        </w:tc>
        <w:tc>
          <w:tcPr>
            <w:tcW w:w="486" w:type="pct"/>
            <w:tcBorders>
              <w:top w:val="single" w:sz="4" w:space="0" w:color="auto"/>
              <w:left w:val="nil"/>
              <w:bottom w:val="single" w:sz="4" w:space="0" w:color="auto"/>
              <w:right w:val="nil"/>
            </w:tcBorders>
            <w:noWrap/>
            <w:vAlign w:val="bottom"/>
          </w:tcPr>
          <w:p w:rsidR="00565FD5" w:rsidRPr="004B3DE4" w:rsidRDefault="00565FD5" w:rsidP="00AB62A3">
            <w:pPr>
              <w:jc w:val="right"/>
              <w:rPr>
                <w:rFonts w:cs="Tahoma"/>
                <w:b/>
                <w:sz w:val="16"/>
                <w:szCs w:val="16"/>
                <w:lang w:eastAsia="tr-TR"/>
              </w:rPr>
            </w:pPr>
            <w:r w:rsidRPr="004B3DE4">
              <w:rPr>
                <w:rFonts w:cs="Tahoma"/>
                <w:b/>
                <w:sz w:val="16"/>
                <w:szCs w:val="16"/>
                <w:lang w:eastAsia="tr-TR"/>
              </w:rPr>
              <w:t>2005</w:t>
            </w:r>
          </w:p>
        </w:tc>
        <w:tc>
          <w:tcPr>
            <w:tcW w:w="488" w:type="pct"/>
            <w:tcBorders>
              <w:top w:val="single" w:sz="4" w:space="0" w:color="auto"/>
              <w:left w:val="nil"/>
              <w:bottom w:val="single" w:sz="4" w:space="0" w:color="auto"/>
              <w:right w:val="nil"/>
            </w:tcBorders>
            <w:noWrap/>
            <w:vAlign w:val="bottom"/>
          </w:tcPr>
          <w:p w:rsidR="00565FD5" w:rsidRPr="004B3DE4" w:rsidRDefault="00565FD5" w:rsidP="00AB62A3">
            <w:pPr>
              <w:jc w:val="right"/>
              <w:rPr>
                <w:rFonts w:cs="Tahoma"/>
                <w:b/>
                <w:sz w:val="16"/>
                <w:szCs w:val="16"/>
                <w:lang w:eastAsia="tr-TR"/>
              </w:rPr>
            </w:pPr>
            <w:r w:rsidRPr="004B3DE4">
              <w:rPr>
                <w:rFonts w:cs="Tahoma"/>
                <w:b/>
                <w:sz w:val="16"/>
                <w:szCs w:val="16"/>
                <w:lang w:eastAsia="tr-TR"/>
              </w:rPr>
              <w:t>2006</w:t>
            </w:r>
          </w:p>
        </w:tc>
        <w:tc>
          <w:tcPr>
            <w:tcW w:w="472" w:type="pct"/>
            <w:tcBorders>
              <w:top w:val="single" w:sz="4" w:space="0" w:color="auto"/>
              <w:left w:val="nil"/>
              <w:bottom w:val="single" w:sz="4" w:space="0" w:color="auto"/>
              <w:right w:val="nil"/>
            </w:tcBorders>
            <w:noWrap/>
            <w:vAlign w:val="bottom"/>
          </w:tcPr>
          <w:p w:rsidR="00565FD5" w:rsidRPr="004B3DE4" w:rsidRDefault="00565FD5" w:rsidP="00AB62A3">
            <w:pPr>
              <w:jc w:val="right"/>
              <w:rPr>
                <w:rFonts w:cs="Tahoma"/>
                <w:b/>
                <w:sz w:val="16"/>
                <w:szCs w:val="16"/>
                <w:lang w:eastAsia="tr-TR"/>
              </w:rPr>
            </w:pPr>
            <w:r w:rsidRPr="004B3DE4">
              <w:rPr>
                <w:rFonts w:cs="Tahoma"/>
                <w:b/>
                <w:sz w:val="16"/>
                <w:szCs w:val="16"/>
                <w:lang w:eastAsia="tr-TR"/>
              </w:rPr>
              <w:t>2007</w:t>
            </w:r>
          </w:p>
        </w:tc>
        <w:tc>
          <w:tcPr>
            <w:tcW w:w="398" w:type="pct"/>
            <w:tcBorders>
              <w:top w:val="single" w:sz="4" w:space="0" w:color="auto"/>
              <w:left w:val="nil"/>
              <w:bottom w:val="single" w:sz="4" w:space="0" w:color="auto"/>
              <w:right w:val="nil"/>
            </w:tcBorders>
            <w:noWrap/>
            <w:vAlign w:val="bottom"/>
          </w:tcPr>
          <w:p w:rsidR="00565FD5" w:rsidRPr="004B3DE4" w:rsidRDefault="00565FD5" w:rsidP="00AB62A3">
            <w:pPr>
              <w:jc w:val="right"/>
              <w:rPr>
                <w:rFonts w:cs="Tahoma"/>
                <w:b/>
                <w:sz w:val="16"/>
                <w:szCs w:val="16"/>
                <w:lang w:eastAsia="tr-TR"/>
              </w:rPr>
            </w:pPr>
            <w:r w:rsidRPr="004B3DE4">
              <w:rPr>
                <w:rFonts w:cs="Tahoma"/>
                <w:b/>
                <w:sz w:val="16"/>
                <w:szCs w:val="16"/>
                <w:lang w:eastAsia="tr-TR"/>
              </w:rPr>
              <w:t>2008</w:t>
            </w:r>
          </w:p>
        </w:tc>
        <w:tc>
          <w:tcPr>
            <w:tcW w:w="599" w:type="pct"/>
            <w:tcBorders>
              <w:top w:val="single" w:sz="4" w:space="0" w:color="auto"/>
              <w:left w:val="nil"/>
              <w:bottom w:val="single" w:sz="4" w:space="0" w:color="auto"/>
              <w:right w:val="single" w:sz="4" w:space="0" w:color="auto"/>
            </w:tcBorders>
            <w:noWrap/>
            <w:vAlign w:val="bottom"/>
          </w:tcPr>
          <w:p w:rsidR="00565FD5" w:rsidRPr="004B3DE4" w:rsidRDefault="00565FD5" w:rsidP="00AB62A3">
            <w:pPr>
              <w:jc w:val="right"/>
              <w:rPr>
                <w:rFonts w:cs="Tahoma"/>
                <w:b/>
                <w:sz w:val="16"/>
                <w:szCs w:val="16"/>
                <w:lang w:eastAsia="tr-TR"/>
              </w:rPr>
            </w:pPr>
            <w:r w:rsidRPr="004B3DE4">
              <w:rPr>
                <w:rFonts w:cs="Tahoma"/>
                <w:b/>
                <w:sz w:val="16"/>
                <w:szCs w:val="16"/>
                <w:lang w:eastAsia="tr-TR"/>
              </w:rPr>
              <w:t>2009(2)</w:t>
            </w:r>
          </w:p>
        </w:tc>
      </w:tr>
      <w:tr w:rsidR="00565FD5" w:rsidRPr="004B3DE4" w:rsidTr="00AB62A3">
        <w:tc>
          <w:tcPr>
            <w:tcW w:w="1582" w:type="pct"/>
            <w:tcBorders>
              <w:left w:val="single" w:sz="4" w:space="0" w:color="auto"/>
              <w:bottom w:val="nil"/>
              <w:right w:val="nil"/>
            </w:tcBorders>
            <w:noWrap/>
            <w:vAlign w:val="bottom"/>
          </w:tcPr>
          <w:p w:rsidR="00565FD5" w:rsidRPr="004B3DE4" w:rsidRDefault="00565FD5" w:rsidP="00AB62A3">
            <w:pPr>
              <w:spacing w:after="60"/>
              <w:rPr>
                <w:rFonts w:cs="Tahoma"/>
                <w:bCs/>
                <w:sz w:val="16"/>
                <w:szCs w:val="16"/>
                <w:lang w:eastAsia="tr-TR"/>
              </w:rPr>
            </w:pPr>
            <w:r w:rsidRPr="004B3DE4">
              <w:rPr>
                <w:rFonts w:cs="Tahoma"/>
                <w:bCs/>
                <w:sz w:val="16"/>
                <w:szCs w:val="16"/>
                <w:lang w:eastAsia="tr-TR"/>
              </w:rPr>
              <w:t>Bilgi yoğun (3)</w:t>
            </w:r>
          </w:p>
        </w:tc>
        <w:tc>
          <w:tcPr>
            <w:tcW w:w="488" w:type="pct"/>
            <w:tcBorders>
              <w:top w:val="single" w:sz="4" w:space="0" w:color="auto"/>
              <w:left w:val="nil"/>
              <w:bottom w:val="nil"/>
              <w:right w:val="nil"/>
            </w:tcBorders>
            <w:noWrap/>
            <w:vAlign w:val="bottom"/>
          </w:tcPr>
          <w:p w:rsidR="00565FD5" w:rsidRPr="004B3DE4" w:rsidRDefault="00565FD5" w:rsidP="00AB62A3">
            <w:pPr>
              <w:spacing w:after="60"/>
              <w:jc w:val="right"/>
              <w:rPr>
                <w:rFonts w:cs="Tahoma"/>
                <w:sz w:val="16"/>
                <w:szCs w:val="16"/>
                <w:lang w:eastAsia="tr-TR"/>
              </w:rPr>
            </w:pPr>
            <w:r w:rsidRPr="004B3DE4">
              <w:rPr>
                <w:rFonts w:cs="Tahoma"/>
                <w:sz w:val="16"/>
                <w:szCs w:val="16"/>
                <w:lang w:eastAsia="tr-TR"/>
              </w:rPr>
              <w:t>39,9</w:t>
            </w:r>
          </w:p>
        </w:tc>
        <w:tc>
          <w:tcPr>
            <w:tcW w:w="486" w:type="pct"/>
            <w:tcBorders>
              <w:top w:val="single" w:sz="4" w:space="0" w:color="auto"/>
              <w:left w:val="nil"/>
              <w:bottom w:val="nil"/>
              <w:right w:val="nil"/>
            </w:tcBorders>
            <w:noWrap/>
            <w:vAlign w:val="bottom"/>
          </w:tcPr>
          <w:p w:rsidR="00565FD5" w:rsidRPr="004B3DE4" w:rsidRDefault="00565FD5" w:rsidP="00AB62A3">
            <w:pPr>
              <w:spacing w:after="60"/>
              <w:jc w:val="right"/>
              <w:rPr>
                <w:rFonts w:cs="Tahoma"/>
                <w:sz w:val="16"/>
                <w:szCs w:val="16"/>
                <w:lang w:eastAsia="tr-TR"/>
              </w:rPr>
            </w:pPr>
            <w:r w:rsidRPr="004B3DE4">
              <w:rPr>
                <w:rFonts w:cs="Tahoma"/>
                <w:sz w:val="16"/>
                <w:szCs w:val="16"/>
                <w:lang w:eastAsia="tr-TR"/>
              </w:rPr>
              <w:t>40,9</w:t>
            </w:r>
          </w:p>
        </w:tc>
        <w:tc>
          <w:tcPr>
            <w:tcW w:w="486" w:type="pct"/>
            <w:tcBorders>
              <w:top w:val="single" w:sz="4" w:space="0" w:color="auto"/>
              <w:left w:val="nil"/>
              <w:bottom w:val="nil"/>
              <w:right w:val="nil"/>
            </w:tcBorders>
            <w:noWrap/>
            <w:vAlign w:val="bottom"/>
          </w:tcPr>
          <w:p w:rsidR="00565FD5" w:rsidRPr="004B3DE4" w:rsidRDefault="00565FD5" w:rsidP="00AB62A3">
            <w:pPr>
              <w:spacing w:after="60"/>
              <w:jc w:val="right"/>
              <w:rPr>
                <w:rFonts w:cs="Tahoma"/>
                <w:sz w:val="16"/>
                <w:szCs w:val="16"/>
                <w:lang w:eastAsia="tr-TR"/>
              </w:rPr>
            </w:pPr>
            <w:r w:rsidRPr="004B3DE4">
              <w:rPr>
                <w:rFonts w:cs="Tahoma"/>
                <w:sz w:val="16"/>
                <w:szCs w:val="16"/>
                <w:lang w:eastAsia="tr-TR"/>
              </w:rPr>
              <w:t>41,4</w:t>
            </w:r>
          </w:p>
        </w:tc>
        <w:tc>
          <w:tcPr>
            <w:tcW w:w="488" w:type="pct"/>
            <w:tcBorders>
              <w:top w:val="single" w:sz="4" w:space="0" w:color="auto"/>
              <w:left w:val="nil"/>
              <w:bottom w:val="nil"/>
              <w:right w:val="nil"/>
            </w:tcBorders>
            <w:noWrap/>
            <w:vAlign w:val="bottom"/>
          </w:tcPr>
          <w:p w:rsidR="00565FD5" w:rsidRPr="004B3DE4" w:rsidRDefault="00565FD5" w:rsidP="00AB62A3">
            <w:pPr>
              <w:spacing w:after="60"/>
              <w:jc w:val="right"/>
              <w:rPr>
                <w:rFonts w:cs="Tahoma"/>
                <w:sz w:val="16"/>
                <w:szCs w:val="16"/>
                <w:lang w:eastAsia="tr-TR"/>
              </w:rPr>
            </w:pPr>
            <w:r w:rsidRPr="004B3DE4">
              <w:rPr>
                <w:rFonts w:cs="Tahoma"/>
                <w:sz w:val="16"/>
                <w:szCs w:val="16"/>
                <w:lang w:eastAsia="tr-TR"/>
              </w:rPr>
              <w:t>46,1</w:t>
            </w:r>
          </w:p>
        </w:tc>
        <w:tc>
          <w:tcPr>
            <w:tcW w:w="472" w:type="pct"/>
            <w:tcBorders>
              <w:top w:val="single" w:sz="4" w:space="0" w:color="auto"/>
              <w:left w:val="nil"/>
              <w:bottom w:val="nil"/>
              <w:right w:val="nil"/>
            </w:tcBorders>
            <w:noWrap/>
            <w:vAlign w:val="bottom"/>
          </w:tcPr>
          <w:p w:rsidR="00565FD5" w:rsidRPr="004B3DE4" w:rsidRDefault="00565FD5" w:rsidP="00AB62A3">
            <w:pPr>
              <w:spacing w:after="60"/>
              <w:jc w:val="right"/>
              <w:rPr>
                <w:rFonts w:cs="Tahoma"/>
                <w:sz w:val="16"/>
                <w:szCs w:val="16"/>
                <w:lang w:eastAsia="tr-TR"/>
              </w:rPr>
            </w:pPr>
            <w:r w:rsidRPr="004B3DE4">
              <w:rPr>
                <w:rFonts w:cs="Tahoma"/>
                <w:sz w:val="16"/>
                <w:szCs w:val="16"/>
                <w:lang w:eastAsia="tr-TR"/>
              </w:rPr>
              <w:t>45,4</w:t>
            </w:r>
          </w:p>
        </w:tc>
        <w:tc>
          <w:tcPr>
            <w:tcW w:w="398" w:type="pct"/>
            <w:tcBorders>
              <w:top w:val="single" w:sz="4" w:space="0" w:color="auto"/>
              <w:left w:val="nil"/>
              <w:bottom w:val="nil"/>
              <w:right w:val="nil"/>
            </w:tcBorders>
            <w:noWrap/>
            <w:vAlign w:val="bottom"/>
          </w:tcPr>
          <w:p w:rsidR="00565FD5" w:rsidRPr="004B3DE4" w:rsidRDefault="00565FD5" w:rsidP="00AB62A3">
            <w:pPr>
              <w:spacing w:after="60"/>
              <w:jc w:val="right"/>
              <w:rPr>
                <w:rFonts w:cs="Tahoma"/>
                <w:sz w:val="16"/>
                <w:szCs w:val="16"/>
                <w:lang w:eastAsia="tr-TR"/>
              </w:rPr>
            </w:pPr>
            <w:r w:rsidRPr="004B3DE4">
              <w:rPr>
                <w:rFonts w:cs="Tahoma"/>
                <w:sz w:val="16"/>
                <w:szCs w:val="16"/>
                <w:lang w:eastAsia="tr-TR"/>
              </w:rPr>
              <w:t>49,1</w:t>
            </w:r>
          </w:p>
        </w:tc>
        <w:tc>
          <w:tcPr>
            <w:tcW w:w="599" w:type="pct"/>
            <w:tcBorders>
              <w:top w:val="single" w:sz="4" w:space="0" w:color="auto"/>
              <w:left w:val="nil"/>
              <w:bottom w:val="nil"/>
              <w:right w:val="single" w:sz="4" w:space="0" w:color="auto"/>
            </w:tcBorders>
            <w:noWrap/>
            <w:vAlign w:val="bottom"/>
          </w:tcPr>
          <w:p w:rsidR="00565FD5" w:rsidRPr="004B3DE4" w:rsidRDefault="00565FD5" w:rsidP="00AB62A3">
            <w:pPr>
              <w:spacing w:after="60"/>
              <w:jc w:val="right"/>
              <w:rPr>
                <w:rFonts w:cs="Tahoma"/>
                <w:sz w:val="16"/>
                <w:szCs w:val="16"/>
                <w:lang w:eastAsia="tr-TR"/>
              </w:rPr>
            </w:pPr>
            <w:r w:rsidRPr="004B3DE4">
              <w:rPr>
                <w:rFonts w:cs="Tahoma"/>
                <w:sz w:val="16"/>
                <w:szCs w:val="16"/>
                <w:lang w:eastAsia="tr-TR"/>
              </w:rPr>
              <w:t>54,3</w:t>
            </w:r>
          </w:p>
        </w:tc>
      </w:tr>
      <w:tr w:rsidR="00565FD5" w:rsidRPr="004B3DE4" w:rsidTr="00AB62A3">
        <w:tc>
          <w:tcPr>
            <w:tcW w:w="1582" w:type="pct"/>
            <w:tcBorders>
              <w:top w:val="nil"/>
              <w:left w:val="single" w:sz="4" w:space="0" w:color="auto"/>
              <w:bottom w:val="nil"/>
              <w:right w:val="nil"/>
            </w:tcBorders>
            <w:noWrap/>
            <w:vAlign w:val="bottom"/>
          </w:tcPr>
          <w:p w:rsidR="00565FD5" w:rsidRPr="004B3DE4" w:rsidRDefault="00565FD5" w:rsidP="00AB62A3">
            <w:pPr>
              <w:spacing w:after="60"/>
              <w:rPr>
                <w:rFonts w:cs="Tahoma"/>
                <w:bCs/>
                <w:sz w:val="16"/>
                <w:szCs w:val="16"/>
                <w:lang w:eastAsia="tr-TR"/>
              </w:rPr>
            </w:pPr>
            <w:r w:rsidRPr="004B3DE4">
              <w:rPr>
                <w:rFonts w:cs="Tahoma"/>
                <w:bCs/>
                <w:sz w:val="16"/>
                <w:szCs w:val="16"/>
                <w:lang w:eastAsia="tr-TR"/>
              </w:rPr>
              <w:t>Daha az bilgi yoğun (4)</w:t>
            </w:r>
          </w:p>
        </w:tc>
        <w:tc>
          <w:tcPr>
            <w:tcW w:w="488" w:type="pct"/>
            <w:tcBorders>
              <w:top w:val="nil"/>
              <w:left w:val="nil"/>
              <w:bottom w:val="nil"/>
              <w:right w:val="nil"/>
            </w:tcBorders>
            <w:noWrap/>
            <w:vAlign w:val="bottom"/>
          </w:tcPr>
          <w:p w:rsidR="00565FD5" w:rsidRPr="004B3DE4" w:rsidRDefault="00565FD5" w:rsidP="00AB62A3">
            <w:pPr>
              <w:spacing w:after="60"/>
              <w:jc w:val="right"/>
              <w:rPr>
                <w:rFonts w:cs="Tahoma"/>
                <w:sz w:val="16"/>
                <w:szCs w:val="16"/>
                <w:lang w:eastAsia="tr-TR"/>
              </w:rPr>
            </w:pPr>
            <w:r w:rsidRPr="004B3DE4">
              <w:rPr>
                <w:rFonts w:cs="Tahoma"/>
                <w:sz w:val="16"/>
                <w:szCs w:val="16"/>
                <w:lang w:eastAsia="tr-TR"/>
              </w:rPr>
              <w:t>60,1</w:t>
            </w:r>
          </w:p>
        </w:tc>
        <w:tc>
          <w:tcPr>
            <w:tcW w:w="486" w:type="pct"/>
            <w:tcBorders>
              <w:top w:val="nil"/>
              <w:left w:val="nil"/>
              <w:bottom w:val="nil"/>
              <w:right w:val="nil"/>
            </w:tcBorders>
            <w:noWrap/>
            <w:vAlign w:val="bottom"/>
          </w:tcPr>
          <w:p w:rsidR="00565FD5" w:rsidRPr="004B3DE4" w:rsidRDefault="00565FD5" w:rsidP="00AB62A3">
            <w:pPr>
              <w:spacing w:after="60"/>
              <w:jc w:val="right"/>
              <w:rPr>
                <w:rFonts w:cs="Tahoma"/>
                <w:sz w:val="16"/>
                <w:szCs w:val="16"/>
                <w:lang w:eastAsia="tr-TR"/>
              </w:rPr>
            </w:pPr>
            <w:r w:rsidRPr="004B3DE4">
              <w:rPr>
                <w:rFonts w:cs="Tahoma"/>
                <w:sz w:val="16"/>
                <w:szCs w:val="16"/>
                <w:lang w:eastAsia="tr-TR"/>
              </w:rPr>
              <w:t>59,1</w:t>
            </w:r>
          </w:p>
        </w:tc>
        <w:tc>
          <w:tcPr>
            <w:tcW w:w="486" w:type="pct"/>
            <w:tcBorders>
              <w:top w:val="nil"/>
              <w:left w:val="nil"/>
              <w:bottom w:val="nil"/>
              <w:right w:val="nil"/>
            </w:tcBorders>
            <w:noWrap/>
            <w:vAlign w:val="bottom"/>
          </w:tcPr>
          <w:p w:rsidR="00565FD5" w:rsidRPr="004B3DE4" w:rsidRDefault="00565FD5" w:rsidP="00AB62A3">
            <w:pPr>
              <w:spacing w:after="60"/>
              <w:jc w:val="right"/>
              <w:rPr>
                <w:rFonts w:cs="Tahoma"/>
                <w:sz w:val="16"/>
                <w:szCs w:val="16"/>
                <w:lang w:eastAsia="tr-TR"/>
              </w:rPr>
            </w:pPr>
            <w:r w:rsidRPr="004B3DE4">
              <w:rPr>
                <w:rFonts w:cs="Tahoma"/>
                <w:sz w:val="16"/>
                <w:szCs w:val="16"/>
                <w:lang w:eastAsia="tr-TR"/>
              </w:rPr>
              <w:t>58,6</w:t>
            </w:r>
          </w:p>
        </w:tc>
        <w:tc>
          <w:tcPr>
            <w:tcW w:w="488" w:type="pct"/>
            <w:tcBorders>
              <w:top w:val="nil"/>
              <w:left w:val="nil"/>
              <w:bottom w:val="nil"/>
              <w:right w:val="nil"/>
            </w:tcBorders>
            <w:noWrap/>
            <w:vAlign w:val="bottom"/>
          </w:tcPr>
          <w:p w:rsidR="00565FD5" w:rsidRPr="004B3DE4" w:rsidRDefault="00565FD5" w:rsidP="00AB62A3">
            <w:pPr>
              <w:spacing w:after="60"/>
              <w:jc w:val="right"/>
              <w:rPr>
                <w:rFonts w:cs="Tahoma"/>
                <w:sz w:val="16"/>
                <w:szCs w:val="16"/>
                <w:lang w:eastAsia="tr-TR"/>
              </w:rPr>
            </w:pPr>
            <w:r w:rsidRPr="004B3DE4">
              <w:rPr>
                <w:rFonts w:cs="Tahoma"/>
                <w:sz w:val="16"/>
                <w:szCs w:val="16"/>
                <w:lang w:eastAsia="tr-TR"/>
              </w:rPr>
              <w:t>53,9</w:t>
            </w:r>
          </w:p>
        </w:tc>
        <w:tc>
          <w:tcPr>
            <w:tcW w:w="472" w:type="pct"/>
            <w:tcBorders>
              <w:top w:val="nil"/>
              <w:left w:val="nil"/>
              <w:bottom w:val="nil"/>
              <w:right w:val="nil"/>
            </w:tcBorders>
            <w:noWrap/>
            <w:vAlign w:val="bottom"/>
          </w:tcPr>
          <w:p w:rsidR="00565FD5" w:rsidRPr="004B3DE4" w:rsidRDefault="00565FD5" w:rsidP="00AB62A3">
            <w:pPr>
              <w:spacing w:after="60"/>
              <w:jc w:val="right"/>
              <w:rPr>
                <w:rFonts w:cs="Tahoma"/>
                <w:sz w:val="16"/>
                <w:szCs w:val="16"/>
                <w:lang w:eastAsia="tr-TR"/>
              </w:rPr>
            </w:pPr>
            <w:r w:rsidRPr="004B3DE4">
              <w:rPr>
                <w:rFonts w:cs="Tahoma"/>
                <w:sz w:val="16"/>
                <w:szCs w:val="16"/>
                <w:lang w:eastAsia="tr-TR"/>
              </w:rPr>
              <w:t>54,6</w:t>
            </w:r>
          </w:p>
        </w:tc>
        <w:tc>
          <w:tcPr>
            <w:tcW w:w="398" w:type="pct"/>
            <w:tcBorders>
              <w:top w:val="nil"/>
              <w:left w:val="nil"/>
              <w:bottom w:val="nil"/>
              <w:right w:val="nil"/>
            </w:tcBorders>
            <w:noWrap/>
            <w:vAlign w:val="bottom"/>
          </w:tcPr>
          <w:p w:rsidR="00565FD5" w:rsidRPr="004B3DE4" w:rsidRDefault="00565FD5" w:rsidP="00AB62A3">
            <w:pPr>
              <w:spacing w:after="60"/>
              <w:jc w:val="right"/>
              <w:rPr>
                <w:rFonts w:cs="Tahoma"/>
                <w:sz w:val="16"/>
                <w:szCs w:val="16"/>
                <w:lang w:eastAsia="tr-TR"/>
              </w:rPr>
            </w:pPr>
            <w:r w:rsidRPr="004B3DE4">
              <w:rPr>
                <w:rFonts w:cs="Tahoma"/>
                <w:sz w:val="16"/>
                <w:szCs w:val="16"/>
                <w:lang w:eastAsia="tr-TR"/>
              </w:rPr>
              <w:t>50,9</w:t>
            </w:r>
          </w:p>
        </w:tc>
        <w:tc>
          <w:tcPr>
            <w:tcW w:w="599" w:type="pct"/>
            <w:tcBorders>
              <w:top w:val="nil"/>
              <w:left w:val="nil"/>
              <w:bottom w:val="nil"/>
              <w:right w:val="single" w:sz="4" w:space="0" w:color="auto"/>
            </w:tcBorders>
            <w:noWrap/>
            <w:vAlign w:val="bottom"/>
          </w:tcPr>
          <w:p w:rsidR="00565FD5" w:rsidRPr="004B3DE4" w:rsidRDefault="00565FD5" w:rsidP="00AB62A3">
            <w:pPr>
              <w:spacing w:after="60"/>
              <w:jc w:val="right"/>
              <w:rPr>
                <w:rFonts w:cs="Tahoma"/>
                <w:sz w:val="16"/>
                <w:szCs w:val="16"/>
                <w:lang w:eastAsia="tr-TR"/>
              </w:rPr>
            </w:pPr>
            <w:r w:rsidRPr="004B3DE4">
              <w:rPr>
                <w:rFonts w:cs="Tahoma"/>
                <w:sz w:val="16"/>
                <w:szCs w:val="16"/>
                <w:lang w:eastAsia="tr-TR"/>
              </w:rPr>
              <w:t>45,7</w:t>
            </w:r>
          </w:p>
        </w:tc>
      </w:tr>
      <w:tr w:rsidR="00565FD5" w:rsidRPr="004B3DE4" w:rsidTr="00AB62A3">
        <w:tc>
          <w:tcPr>
            <w:tcW w:w="1582" w:type="pct"/>
            <w:tcBorders>
              <w:top w:val="nil"/>
              <w:left w:val="single" w:sz="4" w:space="0" w:color="auto"/>
              <w:bottom w:val="single" w:sz="4" w:space="0" w:color="auto"/>
              <w:right w:val="nil"/>
            </w:tcBorders>
            <w:noWrap/>
            <w:vAlign w:val="bottom"/>
          </w:tcPr>
          <w:p w:rsidR="00565FD5" w:rsidRPr="004B3DE4" w:rsidRDefault="00565FD5" w:rsidP="00AB62A3">
            <w:pPr>
              <w:spacing w:after="60"/>
              <w:rPr>
                <w:rFonts w:cs="Tahoma"/>
                <w:bCs/>
                <w:sz w:val="16"/>
                <w:szCs w:val="16"/>
                <w:lang w:eastAsia="tr-TR"/>
              </w:rPr>
            </w:pPr>
            <w:r w:rsidRPr="004B3DE4">
              <w:rPr>
                <w:rFonts w:cs="Tahoma"/>
                <w:bCs/>
                <w:sz w:val="16"/>
                <w:szCs w:val="16"/>
                <w:lang w:eastAsia="tr-TR"/>
              </w:rPr>
              <w:t>Toplam</w:t>
            </w:r>
          </w:p>
        </w:tc>
        <w:tc>
          <w:tcPr>
            <w:tcW w:w="488" w:type="pct"/>
            <w:tcBorders>
              <w:top w:val="nil"/>
              <w:left w:val="nil"/>
              <w:bottom w:val="single" w:sz="4" w:space="0" w:color="auto"/>
              <w:right w:val="nil"/>
            </w:tcBorders>
            <w:noWrap/>
            <w:vAlign w:val="bottom"/>
          </w:tcPr>
          <w:p w:rsidR="00565FD5" w:rsidRPr="004B3DE4" w:rsidRDefault="00565FD5" w:rsidP="00AB62A3">
            <w:pPr>
              <w:spacing w:after="60"/>
              <w:jc w:val="right"/>
              <w:rPr>
                <w:rFonts w:cs="Tahoma"/>
                <w:sz w:val="16"/>
                <w:szCs w:val="16"/>
                <w:lang w:eastAsia="tr-TR"/>
              </w:rPr>
            </w:pPr>
            <w:r w:rsidRPr="004B3DE4">
              <w:rPr>
                <w:rFonts w:cs="Tahoma"/>
                <w:sz w:val="16"/>
                <w:szCs w:val="16"/>
                <w:lang w:eastAsia="tr-TR"/>
              </w:rPr>
              <w:t>100</w:t>
            </w:r>
          </w:p>
        </w:tc>
        <w:tc>
          <w:tcPr>
            <w:tcW w:w="486" w:type="pct"/>
            <w:tcBorders>
              <w:top w:val="nil"/>
              <w:left w:val="nil"/>
              <w:bottom w:val="single" w:sz="4" w:space="0" w:color="auto"/>
              <w:right w:val="nil"/>
            </w:tcBorders>
            <w:noWrap/>
            <w:vAlign w:val="bottom"/>
          </w:tcPr>
          <w:p w:rsidR="00565FD5" w:rsidRPr="004B3DE4" w:rsidRDefault="00565FD5" w:rsidP="00AB62A3">
            <w:pPr>
              <w:spacing w:after="60"/>
              <w:jc w:val="right"/>
              <w:rPr>
                <w:rFonts w:cs="Tahoma"/>
                <w:sz w:val="16"/>
                <w:szCs w:val="16"/>
                <w:lang w:eastAsia="tr-TR"/>
              </w:rPr>
            </w:pPr>
            <w:r w:rsidRPr="004B3DE4">
              <w:rPr>
                <w:rFonts w:cs="Tahoma"/>
                <w:sz w:val="16"/>
                <w:szCs w:val="16"/>
                <w:lang w:eastAsia="tr-TR"/>
              </w:rPr>
              <w:t>100</w:t>
            </w:r>
          </w:p>
        </w:tc>
        <w:tc>
          <w:tcPr>
            <w:tcW w:w="486" w:type="pct"/>
            <w:tcBorders>
              <w:top w:val="nil"/>
              <w:left w:val="nil"/>
              <w:bottom w:val="single" w:sz="4" w:space="0" w:color="auto"/>
              <w:right w:val="nil"/>
            </w:tcBorders>
            <w:noWrap/>
            <w:vAlign w:val="bottom"/>
          </w:tcPr>
          <w:p w:rsidR="00565FD5" w:rsidRPr="004B3DE4" w:rsidRDefault="00565FD5" w:rsidP="00AB62A3">
            <w:pPr>
              <w:spacing w:after="60"/>
              <w:jc w:val="right"/>
              <w:rPr>
                <w:rFonts w:cs="Tahoma"/>
                <w:sz w:val="16"/>
                <w:szCs w:val="16"/>
                <w:lang w:eastAsia="tr-TR"/>
              </w:rPr>
            </w:pPr>
            <w:r w:rsidRPr="004B3DE4">
              <w:rPr>
                <w:rFonts w:cs="Tahoma"/>
                <w:sz w:val="16"/>
                <w:szCs w:val="16"/>
                <w:lang w:eastAsia="tr-TR"/>
              </w:rPr>
              <w:t>100</w:t>
            </w:r>
          </w:p>
        </w:tc>
        <w:tc>
          <w:tcPr>
            <w:tcW w:w="488" w:type="pct"/>
            <w:tcBorders>
              <w:top w:val="nil"/>
              <w:left w:val="nil"/>
              <w:bottom w:val="single" w:sz="4" w:space="0" w:color="auto"/>
              <w:right w:val="nil"/>
            </w:tcBorders>
            <w:noWrap/>
            <w:vAlign w:val="bottom"/>
          </w:tcPr>
          <w:p w:rsidR="00565FD5" w:rsidRPr="004B3DE4" w:rsidRDefault="00565FD5" w:rsidP="00AB62A3">
            <w:pPr>
              <w:spacing w:after="60"/>
              <w:jc w:val="right"/>
              <w:rPr>
                <w:rFonts w:cs="Tahoma"/>
                <w:sz w:val="16"/>
                <w:szCs w:val="16"/>
                <w:lang w:eastAsia="tr-TR"/>
              </w:rPr>
            </w:pPr>
            <w:r w:rsidRPr="004B3DE4">
              <w:rPr>
                <w:rFonts w:cs="Tahoma"/>
                <w:sz w:val="16"/>
                <w:szCs w:val="16"/>
                <w:lang w:eastAsia="tr-TR"/>
              </w:rPr>
              <w:t>100</w:t>
            </w:r>
          </w:p>
        </w:tc>
        <w:tc>
          <w:tcPr>
            <w:tcW w:w="472" w:type="pct"/>
            <w:tcBorders>
              <w:top w:val="nil"/>
              <w:left w:val="nil"/>
              <w:bottom w:val="single" w:sz="4" w:space="0" w:color="auto"/>
              <w:right w:val="nil"/>
            </w:tcBorders>
            <w:noWrap/>
            <w:vAlign w:val="bottom"/>
          </w:tcPr>
          <w:p w:rsidR="00565FD5" w:rsidRPr="004B3DE4" w:rsidRDefault="00565FD5" w:rsidP="00AB62A3">
            <w:pPr>
              <w:spacing w:after="60"/>
              <w:jc w:val="right"/>
              <w:rPr>
                <w:rFonts w:cs="Tahoma"/>
                <w:sz w:val="16"/>
                <w:szCs w:val="16"/>
                <w:lang w:eastAsia="tr-TR"/>
              </w:rPr>
            </w:pPr>
            <w:r w:rsidRPr="004B3DE4">
              <w:rPr>
                <w:rFonts w:cs="Tahoma"/>
                <w:sz w:val="16"/>
                <w:szCs w:val="16"/>
                <w:lang w:eastAsia="tr-TR"/>
              </w:rPr>
              <w:t>100</w:t>
            </w:r>
          </w:p>
        </w:tc>
        <w:tc>
          <w:tcPr>
            <w:tcW w:w="398" w:type="pct"/>
            <w:tcBorders>
              <w:top w:val="nil"/>
              <w:left w:val="nil"/>
              <w:bottom w:val="single" w:sz="4" w:space="0" w:color="auto"/>
              <w:right w:val="nil"/>
            </w:tcBorders>
            <w:noWrap/>
            <w:vAlign w:val="bottom"/>
          </w:tcPr>
          <w:p w:rsidR="00565FD5" w:rsidRPr="004B3DE4" w:rsidRDefault="00565FD5" w:rsidP="00AB62A3">
            <w:pPr>
              <w:spacing w:after="60"/>
              <w:jc w:val="right"/>
              <w:rPr>
                <w:rFonts w:cs="Tahoma"/>
                <w:sz w:val="16"/>
                <w:szCs w:val="16"/>
                <w:lang w:eastAsia="tr-TR"/>
              </w:rPr>
            </w:pPr>
            <w:r w:rsidRPr="004B3DE4">
              <w:rPr>
                <w:rFonts w:cs="Tahoma"/>
                <w:sz w:val="16"/>
                <w:szCs w:val="16"/>
                <w:lang w:eastAsia="tr-TR"/>
              </w:rPr>
              <w:t>100</w:t>
            </w:r>
          </w:p>
        </w:tc>
        <w:tc>
          <w:tcPr>
            <w:tcW w:w="599" w:type="pct"/>
            <w:tcBorders>
              <w:top w:val="nil"/>
              <w:left w:val="nil"/>
              <w:bottom w:val="single" w:sz="4" w:space="0" w:color="auto"/>
              <w:right w:val="single" w:sz="4" w:space="0" w:color="auto"/>
            </w:tcBorders>
            <w:noWrap/>
            <w:vAlign w:val="bottom"/>
          </w:tcPr>
          <w:p w:rsidR="00565FD5" w:rsidRPr="004B3DE4" w:rsidRDefault="00565FD5" w:rsidP="00AB62A3">
            <w:pPr>
              <w:spacing w:after="60"/>
              <w:jc w:val="right"/>
              <w:rPr>
                <w:rFonts w:cs="Tahoma"/>
                <w:sz w:val="16"/>
                <w:szCs w:val="16"/>
                <w:lang w:eastAsia="tr-TR"/>
              </w:rPr>
            </w:pPr>
            <w:r w:rsidRPr="004B3DE4">
              <w:rPr>
                <w:rFonts w:cs="Tahoma"/>
                <w:sz w:val="16"/>
                <w:szCs w:val="16"/>
                <w:lang w:eastAsia="tr-TR"/>
              </w:rPr>
              <w:t>100</w:t>
            </w:r>
          </w:p>
        </w:tc>
      </w:tr>
    </w:tbl>
    <w:p w:rsidR="00565FD5" w:rsidRPr="004B3DE4" w:rsidRDefault="00565FD5" w:rsidP="00565FD5">
      <w:pPr>
        <w:rPr>
          <w:rFonts w:cs="Tahoma"/>
          <w:sz w:val="14"/>
          <w:szCs w:val="14"/>
          <w:lang w:eastAsia="tr-TR"/>
        </w:rPr>
      </w:pPr>
      <w:r w:rsidRPr="004B3DE4">
        <w:rPr>
          <w:rFonts w:cs="Tahoma"/>
          <w:sz w:val="14"/>
          <w:szCs w:val="14"/>
          <w:lang w:eastAsia="tr-TR"/>
        </w:rPr>
        <w:t>Kaynak: TÜİK,  Yıllık Sanayi ve Hizmet İstatistikleri ve Mali Aracı Kuruluş İstatistikleri kullanılmıştır.</w:t>
      </w:r>
    </w:p>
    <w:p w:rsidR="00565FD5" w:rsidRPr="004B3DE4" w:rsidRDefault="00565FD5" w:rsidP="00565FD5">
      <w:pPr>
        <w:rPr>
          <w:rFonts w:cs="Tahoma"/>
          <w:sz w:val="14"/>
          <w:szCs w:val="14"/>
          <w:lang w:eastAsia="tr-TR"/>
        </w:rPr>
      </w:pPr>
      <w:r w:rsidRPr="004B3DE4">
        <w:rPr>
          <w:rFonts w:cs="Tahoma"/>
          <w:sz w:val="14"/>
          <w:szCs w:val="14"/>
          <w:lang w:eastAsia="tr-TR"/>
        </w:rPr>
        <w:t xml:space="preserve">(1) EUROSTAT, Bilgi Yoğun Hizmetler Sınıflandırması </w:t>
      </w:r>
    </w:p>
    <w:p w:rsidR="00565FD5" w:rsidRPr="004B3DE4" w:rsidRDefault="00565FD5" w:rsidP="00565FD5">
      <w:pPr>
        <w:rPr>
          <w:rFonts w:cs="Tahoma"/>
          <w:sz w:val="14"/>
          <w:szCs w:val="14"/>
          <w:lang w:eastAsia="tr-TR"/>
        </w:rPr>
      </w:pPr>
      <w:r w:rsidRPr="004B3DE4">
        <w:rPr>
          <w:rFonts w:cs="Tahoma"/>
          <w:sz w:val="14"/>
          <w:szCs w:val="14"/>
          <w:lang w:eastAsia="tr-TR"/>
        </w:rPr>
        <w:t>(2) NACE Rev.2</w:t>
      </w:r>
    </w:p>
    <w:p w:rsidR="00565FD5" w:rsidRPr="004B3DE4" w:rsidRDefault="00565FD5" w:rsidP="00565FD5">
      <w:pPr>
        <w:contextualSpacing/>
        <w:rPr>
          <w:rFonts w:cs="Tahoma"/>
          <w:sz w:val="14"/>
          <w:szCs w:val="14"/>
          <w:lang w:eastAsia="tr-TR"/>
        </w:rPr>
      </w:pPr>
      <w:r w:rsidRPr="004B3DE4">
        <w:rPr>
          <w:rFonts w:cs="Tahoma"/>
          <w:sz w:val="14"/>
          <w:szCs w:val="14"/>
          <w:lang w:eastAsia="tr-TR"/>
        </w:rPr>
        <w:t>(3) Finansal hizmet sektörleri, telekomünikasyon, diğer iş faaliyetleri ile bilgisayar ve ilgili faaliyetler gibi sıralanmaktadır.</w:t>
      </w:r>
    </w:p>
    <w:p w:rsidR="00565FD5" w:rsidRPr="004B3DE4" w:rsidRDefault="00565FD5" w:rsidP="00565FD5">
      <w:pPr>
        <w:contextualSpacing/>
        <w:rPr>
          <w:rFonts w:cs="Tahoma"/>
          <w:sz w:val="14"/>
          <w:szCs w:val="14"/>
          <w:lang w:eastAsia="tr-TR"/>
        </w:rPr>
      </w:pPr>
      <w:r w:rsidRPr="004B3DE4">
        <w:rPr>
          <w:rFonts w:cs="Tahoma"/>
          <w:sz w:val="14"/>
          <w:szCs w:val="14"/>
          <w:lang w:eastAsia="tr-TR"/>
        </w:rPr>
        <w:t>(4) Toptan ve perakende ticaret, kara taşımacılığı ve boru hattı taşımacılığı ve oteller ve lokantalar gibi sıralanmaktadır.</w:t>
      </w:r>
    </w:p>
    <w:p w:rsidR="00565FD5" w:rsidRPr="004B3DE4" w:rsidRDefault="00565FD5" w:rsidP="00565FD5">
      <w:pPr>
        <w:ind w:firstLine="425"/>
        <w:rPr>
          <w:rFonts w:cs="Tahoma"/>
          <w:sz w:val="14"/>
          <w:szCs w:val="14"/>
          <w:lang w:eastAsia="tr-TR"/>
        </w:rPr>
      </w:pPr>
    </w:p>
    <w:p w:rsidR="00565FD5" w:rsidRPr="004B3DE4" w:rsidRDefault="00565FD5" w:rsidP="00565FD5">
      <w:pPr>
        <w:pStyle w:val="Balk4"/>
        <w:rPr>
          <w:lang w:eastAsia="tr-TR"/>
        </w:rPr>
      </w:pPr>
      <w:bookmarkStart w:id="2036" w:name="_Toc338523825"/>
      <w:bookmarkStart w:id="2037" w:name="_Toc338524056"/>
      <w:bookmarkStart w:id="2038" w:name="_Toc338526282"/>
      <w:bookmarkStart w:id="2039" w:name="_Toc338673725"/>
      <w:bookmarkStart w:id="2040" w:name="_Toc338711604"/>
      <w:r w:rsidRPr="004B3DE4">
        <w:rPr>
          <w:lang w:eastAsia="tr-TR"/>
        </w:rPr>
        <w:t>2. Temel Amaç ve Hedefler</w:t>
      </w:r>
      <w:bookmarkEnd w:id="2036"/>
      <w:bookmarkEnd w:id="2037"/>
      <w:bookmarkEnd w:id="2038"/>
      <w:bookmarkEnd w:id="2039"/>
      <w:bookmarkEnd w:id="2040"/>
    </w:p>
    <w:p w:rsidR="00565FD5" w:rsidRPr="004B3DE4" w:rsidRDefault="00565FD5" w:rsidP="00565FD5">
      <w:pPr>
        <w:spacing w:before="120" w:after="120"/>
        <w:ind w:firstLine="425"/>
        <w:rPr>
          <w:rFonts w:cs="Tahoma"/>
          <w:szCs w:val="18"/>
          <w:lang w:eastAsia="tr-TR"/>
        </w:rPr>
      </w:pPr>
      <w:r w:rsidRPr="004B3DE4">
        <w:rPr>
          <w:rFonts w:cs="Tahoma"/>
          <w:szCs w:val="18"/>
          <w:lang w:eastAsia="tr-TR"/>
        </w:rPr>
        <w:t xml:space="preserve">Hizmetler sektöründe ülkemizin rekabet gücünün geliştirilmesi, katma değeri yüksek alanların payının ve istihdamının yükseltilmesi, hizmet ihracatının artırılması ve çeşitlendirilmesi temel amaçtır. Bunun için mevcut hizmet sektörlerinde büyümenin yanında yeni hizmet alanlarının geliştirilmesi ihtiyacı bulunmaktadır. </w:t>
      </w:r>
      <w:bookmarkEnd w:id="2014"/>
      <w:bookmarkEnd w:id="2015"/>
      <w:bookmarkEnd w:id="2016"/>
      <w:bookmarkEnd w:id="2017"/>
      <w:bookmarkEnd w:id="2018"/>
      <w:bookmarkEnd w:id="2019"/>
      <w:bookmarkEnd w:id="2020"/>
      <w:r w:rsidRPr="004B3DE4">
        <w:rPr>
          <w:rFonts w:cs="Tahoma"/>
          <w:szCs w:val="18"/>
          <w:lang w:eastAsia="tr-TR"/>
        </w:rPr>
        <w:t xml:space="preserve"> </w:t>
      </w:r>
    </w:p>
    <w:p w:rsidR="00565FD5" w:rsidRPr="004B3DE4" w:rsidRDefault="00565FD5" w:rsidP="00565FD5">
      <w:pPr>
        <w:pStyle w:val="Balk4"/>
        <w:rPr>
          <w:lang w:eastAsia="tr-TR"/>
        </w:rPr>
      </w:pPr>
      <w:bookmarkStart w:id="2041" w:name="_Toc338505596"/>
      <w:bookmarkStart w:id="2042" w:name="_Toc338523826"/>
      <w:bookmarkStart w:id="2043" w:name="_Toc338524057"/>
      <w:bookmarkStart w:id="2044" w:name="_Toc338526283"/>
      <w:bookmarkStart w:id="2045" w:name="_Toc338673726"/>
      <w:bookmarkStart w:id="2046" w:name="_Toc338711605"/>
      <w:r w:rsidRPr="004B3DE4">
        <w:rPr>
          <w:lang w:eastAsia="tr-TR"/>
        </w:rPr>
        <w:t>TURİZM</w:t>
      </w:r>
      <w:bookmarkEnd w:id="2041"/>
      <w:bookmarkEnd w:id="2042"/>
      <w:bookmarkEnd w:id="2043"/>
      <w:bookmarkEnd w:id="2044"/>
      <w:bookmarkEnd w:id="2045"/>
      <w:bookmarkEnd w:id="2046"/>
    </w:p>
    <w:p w:rsidR="00565FD5" w:rsidRPr="004B3DE4" w:rsidRDefault="00565FD5" w:rsidP="00565FD5">
      <w:pPr>
        <w:pStyle w:val="Balk4"/>
        <w:rPr>
          <w:lang w:eastAsia="tr-TR"/>
        </w:rPr>
      </w:pPr>
      <w:bookmarkStart w:id="2047" w:name="_Toc338505597"/>
      <w:bookmarkStart w:id="2048" w:name="_Toc338523827"/>
      <w:bookmarkStart w:id="2049" w:name="_Toc338524058"/>
      <w:bookmarkStart w:id="2050" w:name="_Toc338526284"/>
      <w:bookmarkStart w:id="2051" w:name="_Toc338673727"/>
      <w:bookmarkStart w:id="2052" w:name="_Toc338711606"/>
      <w:r w:rsidRPr="004B3DE4">
        <w:rPr>
          <w:lang w:eastAsia="tr-TR"/>
        </w:rPr>
        <w:t>1. Mevcut Durum</w:t>
      </w:r>
      <w:bookmarkEnd w:id="2047"/>
      <w:bookmarkEnd w:id="2048"/>
      <w:bookmarkEnd w:id="2049"/>
      <w:bookmarkEnd w:id="2050"/>
      <w:bookmarkEnd w:id="2051"/>
      <w:bookmarkEnd w:id="2052"/>
    </w:p>
    <w:p w:rsidR="00565FD5" w:rsidRPr="004B3DE4" w:rsidRDefault="00565FD5" w:rsidP="00565FD5">
      <w:pPr>
        <w:spacing w:before="120" w:after="120"/>
        <w:ind w:firstLine="425"/>
        <w:rPr>
          <w:rFonts w:cs="Tahoma"/>
          <w:szCs w:val="18"/>
          <w:lang w:eastAsia="tr-TR"/>
        </w:rPr>
      </w:pPr>
      <w:r w:rsidRPr="004B3DE4">
        <w:rPr>
          <w:rFonts w:cs="Tahoma"/>
          <w:szCs w:val="18"/>
          <w:lang w:eastAsia="tr-TR"/>
        </w:rPr>
        <w:t>Uluslararası turizm talebi 2001-2011 döneminde yüzde 46,9 oranında artış göstermiş, aynı dönemde turizm gelirleri yüzde 118,2 oranında artmıştır. 2011 yılında uluslararası turist sayısı bir önceki yıla göre yüzde 5 oranında artarak 990 milyon, turizm gelirleri ise yüzde 11,1 oranında artarak 1.030</w:t>
      </w:r>
      <w:r w:rsidRPr="004B3DE4">
        <w:rPr>
          <w:rFonts w:cs="Tahoma"/>
          <w:szCs w:val="18"/>
          <w:vertAlign w:val="superscript"/>
          <w:lang w:eastAsia="tr-TR"/>
        </w:rPr>
        <w:t xml:space="preserve"> </w:t>
      </w:r>
      <w:r w:rsidRPr="004B3DE4">
        <w:rPr>
          <w:rFonts w:cs="Tahoma"/>
          <w:szCs w:val="18"/>
          <w:lang w:eastAsia="tr-TR"/>
        </w:rPr>
        <w:t xml:space="preserve">milyar ABD doları olarak gerçekleşmiştir. Toplam turizm ve yolcu taşımacılığı gelirlerinin yüzde </w:t>
      </w:r>
      <w:r w:rsidRPr="004B3DE4">
        <w:rPr>
          <w:rFonts w:cs="Tahoma"/>
          <w:szCs w:val="18"/>
          <w:lang w:eastAsia="tr-TR"/>
        </w:rPr>
        <w:lastRenderedPageBreak/>
        <w:t xml:space="preserve">16’sı olarak tahmin edilen uluslararası yolcu taşımacılığının, 2011 yılında 196 milyar ABD doları tutarında bir büyüklüğe ulaştığı tahmin edilmektedir. 2012 yılında, dünyadaki turist sayısının yüzde 4,6 oranında artarak 1.035 milyon kişi, turizm harcamalarının ise yüzde 4,4 oranında artarak 1.075 milyar ABD doları olarak gerçekleşmesi beklenmektedir. </w:t>
      </w:r>
    </w:p>
    <w:p w:rsidR="00565FD5" w:rsidRPr="004B3DE4" w:rsidRDefault="00565FD5" w:rsidP="00565FD5">
      <w:pPr>
        <w:pStyle w:val="ResimYazs"/>
        <w:rPr>
          <w:rFonts w:cs="Tahoma"/>
          <w:b w:val="0"/>
        </w:rPr>
      </w:pPr>
      <w:bookmarkStart w:id="2053" w:name="_Toc338606039"/>
      <w:bookmarkStart w:id="2054" w:name="_Toc338711814"/>
      <w:r>
        <w:t xml:space="preserve">TABLO IV: </w:t>
      </w:r>
      <w:fldSimple w:instr=" SEQ TABLO_IV: \* ARABIC ">
        <w:r>
          <w:rPr>
            <w:noProof/>
          </w:rPr>
          <w:t>44</w:t>
        </w:r>
      </w:fldSimple>
      <w:r w:rsidRPr="008B744B">
        <w:rPr>
          <w:rFonts w:cs="Tahoma"/>
        </w:rPr>
        <w:t>- Uluslararası Turizm Hareketleri ve Turizm Gelirleri</w:t>
      </w:r>
      <w:bookmarkEnd w:id="2053"/>
      <w:bookmarkEnd w:id="2054"/>
    </w:p>
    <w:tbl>
      <w:tblPr>
        <w:tblW w:w="4831" w:type="pct"/>
        <w:tblInd w:w="108" w:type="dxa"/>
        <w:tblLook w:val="0000"/>
      </w:tblPr>
      <w:tblGrid>
        <w:gridCol w:w="2104"/>
        <w:gridCol w:w="705"/>
        <w:gridCol w:w="705"/>
        <w:gridCol w:w="705"/>
        <w:gridCol w:w="705"/>
        <w:gridCol w:w="705"/>
        <w:gridCol w:w="705"/>
        <w:gridCol w:w="775"/>
      </w:tblGrid>
      <w:tr w:rsidR="00565FD5" w:rsidRPr="004B3DE4" w:rsidTr="00AB62A3">
        <w:trPr>
          <w:trHeight w:val="256"/>
        </w:trPr>
        <w:tc>
          <w:tcPr>
            <w:tcW w:w="1479" w:type="pct"/>
            <w:tcBorders>
              <w:top w:val="single" w:sz="4" w:space="0" w:color="auto"/>
              <w:left w:val="single" w:sz="4" w:space="0" w:color="auto"/>
              <w:bottom w:val="single" w:sz="4" w:space="0" w:color="auto"/>
            </w:tcBorders>
            <w:vAlign w:val="center"/>
          </w:tcPr>
          <w:p w:rsidR="00565FD5" w:rsidRPr="004B3DE4" w:rsidRDefault="00565FD5" w:rsidP="00AB62A3">
            <w:pPr>
              <w:snapToGrid w:val="0"/>
              <w:ind w:firstLine="425"/>
              <w:jc w:val="right"/>
              <w:rPr>
                <w:rFonts w:cs="Tahoma"/>
                <w:sz w:val="16"/>
                <w:szCs w:val="16"/>
                <w:lang w:eastAsia="tr-TR"/>
              </w:rPr>
            </w:pPr>
          </w:p>
        </w:tc>
        <w:tc>
          <w:tcPr>
            <w:tcW w:w="496" w:type="pct"/>
            <w:tcBorders>
              <w:top w:val="single" w:sz="4" w:space="0" w:color="auto"/>
              <w:bottom w:val="single" w:sz="4" w:space="0" w:color="auto"/>
            </w:tcBorders>
            <w:vAlign w:val="center"/>
          </w:tcPr>
          <w:p w:rsidR="00565FD5" w:rsidRPr="004B3DE4" w:rsidRDefault="00565FD5" w:rsidP="00AB62A3">
            <w:pPr>
              <w:snapToGrid w:val="0"/>
              <w:jc w:val="right"/>
              <w:rPr>
                <w:rFonts w:cs="Tahoma"/>
                <w:b/>
                <w:bCs/>
                <w:sz w:val="16"/>
                <w:szCs w:val="16"/>
                <w:lang w:eastAsia="tr-TR"/>
              </w:rPr>
            </w:pPr>
            <w:r w:rsidRPr="004B3DE4">
              <w:rPr>
                <w:rFonts w:cs="Tahoma"/>
                <w:b/>
                <w:bCs/>
                <w:sz w:val="16"/>
                <w:szCs w:val="16"/>
                <w:lang w:eastAsia="tr-TR"/>
              </w:rPr>
              <w:t>2000</w:t>
            </w:r>
          </w:p>
        </w:tc>
        <w:tc>
          <w:tcPr>
            <w:tcW w:w="496" w:type="pct"/>
            <w:tcBorders>
              <w:top w:val="single" w:sz="4" w:space="0" w:color="auto"/>
              <w:bottom w:val="single" w:sz="4" w:space="0" w:color="auto"/>
            </w:tcBorders>
            <w:vAlign w:val="center"/>
          </w:tcPr>
          <w:p w:rsidR="00565FD5" w:rsidRPr="004B3DE4" w:rsidRDefault="00565FD5" w:rsidP="00AB62A3">
            <w:pPr>
              <w:snapToGrid w:val="0"/>
              <w:jc w:val="right"/>
              <w:rPr>
                <w:rFonts w:cs="Tahoma"/>
                <w:b/>
                <w:bCs/>
                <w:sz w:val="16"/>
                <w:szCs w:val="16"/>
                <w:lang w:eastAsia="tr-TR"/>
              </w:rPr>
            </w:pPr>
            <w:r w:rsidRPr="004B3DE4">
              <w:rPr>
                <w:rFonts w:cs="Tahoma"/>
                <w:b/>
                <w:bCs/>
                <w:sz w:val="16"/>
                <w:szCs w:val="16"/>
                <w:lang w:eastAsia="tr-TR"/>
              </w:rPr>
              <w:t>2001</w:t>
            </w:r>
          </w:p>
        </w:tc>
        <w:tc>
          <w:tcPr>
            <w:tcW w:w="496" w:type="pct"/>
            <w:tcBorders>
              <w:top w:val="single" w:sz="4" w:space="0" w:color="auto"/>
              <w:bottom w:val="single" w:sz="4" w:space="0" w:color="auto"/>
            </w:tcBorders>
            <w:vAlign w:val="center"/>
          </w:tcPr>
          <w:p w:rsidR="00565FD5" w:rsidRPr="004B3DE4" w:rsidRDefault="00565FD5" w:rsidP="00AB62A3">
            <w:pPr>
              <w:snapToGrid w:val="0"/>
              <w:jc w:val="right"/>
              <w:rPr>
                <w:rFonts w:cs="Tahoma"/>
                <w:b/>
                <w:bCs/>
                <w:sz w:val="16"/>
                <w:szCs w:val="16"/>
                <w:lang w:eastAsia="tr-TR"/>
              </w:rPr>
            </w:pPr>
            <w:r w:rsidRPr="004B3DE4">
              <w:rPr>
                <w:rFonts w:cs="Tahoma"/>
                <w:b/>
                <w:bCs/>
                <w:sz w:val="16"/>
                <w:szCs w:val="16"/>
                <w:lang w:eastAsia="tr-TR"/>
              </w:rPr>
              <w:t>2005</w:t>
            </w:r>
          </w:p>
        </w:tc>
        <w:tc>
          <w:tcPr>
            <w:tcW w:w="496" w:type="pct"/>
            <w:tcBorders>
              <w:top w:val="single" w:sz="4" w:space="0" w:color="auto"/>
              <w:bottom w:val="single" w:sz="4" w:space="0" w:color="auto"/>
            </w:tcBorders>
            <w:vAlign w:val="center"/>
          </w:tcPr>
          <w:p w:rsidR="00565FD5" w:rsidRPr="004B3DE4" w:rsidRDefault="00565FD5" w:rsidP="00AB62A3">
            <w:pPr>
              <w:snapToGrid w:val="0"/>
              <w:jc w:val="right"/>
              <w:rPr>
                <w:rFonts w:cs="Tahoma"/>
                <w:b/>
                <w:bCs/>
                <w:sz w:val="16"/>
                <w:szCs w:val="16"/>
                <w:lang w:eastAsia="tr-TR"/>
              </w:rPr>
            </w:pPr>
            <w:r w:rsidRPr="004B3DE4">
              <w:rPr>
                <w:rFonts w:cs="Tahoma"/>
                <w:b/>
                <w:bCs/>
                <w:sz w:val="16"/>
                <w:szCs w:val="16"/>
                <w:lang w:eastAsia="tr-TR"/>
              </w:rPr>
              <w:t>2009</w:t>
            </w:r>
          </w:p>
        </w:tc>
        <w:tc>
          <w:tcPr>
            <w:tcW w:w="496" w:type="pct"/>
            <w:tcBorders>
              <w:top w:val="single" w:sz="4" w:space="0" w:color="auto"/>
              <w:bottom w:val="single" w:sz="4" w:space="0" w:color="auto"/>
            </w:tcBorders>
            <w:vAlign w:val="center"/>
          </w:tcPr>
          <w:p w:rsidR="00565FD5" w:rsidRPr="004B3DE4" w:rsidRDefault="00565FD5" w:rsidP="00AB62A3">
            <w:pPr>
              <w:snapToGrid w:val="0"/>
              <w:jc w:val="right"/>
              <w:rPr>
                <w:rFonts w:cs="Tahoma"/>
                <w:b/>
                <w:bCs/>
                <w:sz w:val="16"/>
                <w:szCs w:val="16"/>
                <w:lang w:eastAsia="tr-TR"/>
              </w:rPr>
            </w:pPr>
            <w:r w:rsidRPr="004B3DE4">
              <w:rPr>
                <w:rFonts w:cs="Tahoma"/>
                <w:b/>
                <w:bCs/>
                <w:sz w:val="16"/>
                <w:szCs w:val="16"/>
                <w:lang w:eastAsia="tr-TR"/>
              </w:rPr>
              <w:t>2010</w:t>
            </w:r>
          </w:p>
        </w:tc>
        <w:tc>
          <w:tcPr>
            <w:tcW w:w="496" w:type="pct"/>
            <w:tcBorders>
              <w:top w:val="single" w:sz="4" w:space="0" w:color="auto"/>
              <w:bottom w:val="single" w:sz="4" w:space="0" w:color="auto"/>
            </w:tcBorders>
            <w:vAlign w:val="center"/>
          </w:tcPr>
          <w:p w:rsidR="00565FD5" w:rsidRPr="004B3DE4" w:rsidRDefault="00565FD5" w:rsidP="00AB62A3">
            <w:pPr>
              <w:snapToGrid w:val="0"/>
              <w:jc w:val="right"/>
              <w:rPr>
                <w:rFonts w:cs="Tahoma"/>
                <w:b/>
                <w:bCs/>
                <w:sz w:val="16"/>
                <w:szCs w:val="16"/>
                <w:lang w:eastAsia="tr-TR"/>
              </w:rPr>
            </w:pPr>
            <w:r w:rsidRPr="004B3DE4">
              <w:rPr>
                <w:rFonts w:cs="Tahoma"/>
                <w:b/>
                <w:bCs/>
                <w:sz w:val="16"/>
                <w:szCs w:val="16"/>
                <w:lang w:eastAsia="tr-TR"/>
              </w:rPr>
              <w:t>2011</w:t>
            </w:r>
          </w:p>
        </w:tc>
        <w:tc>
          <w:tcPr>
            <w:tcW w:w="547" w:type="pct"/>
            <w:tcBorders>
              <w:top w:val="single" w:sz="4" w:space="0" w:color="auto"/>
              <w:bottom w:val="single" w:sz="4" w:space="0" w:color="auto"/>
              <w:right w:val="single" w:sz="4" w:space="0" w:color="auto"/>
            </w:tcBorders>
            <w:vAlign w:val="center"/>
          </w:tcPr>
          <w:p w:rsidR="00565FD5" w:rsidRPr="004B3DE4" w:rsidRDefault="00565FD5" w:rsidP="00AB62A3">
            <w:pPr>
              <w:snapToGrid w:val="0"/>
              <w:jc w:val="right"/>
              <w:rPr>
                <w:rFonts w:cs="Tahoma"/>
                <w:b/>
                <w:bCs/>
                <w:sz w:val="16"/>
                <w:szCs w:val="16"/>
                <w:lang w:eastAsia="tr-TR"/>
              </w:rPr>
            </w:pPr>
            <w:r w:rsidRPr="004B3DE4">
              <w:rPr>
                <w:rFonts w:cs="Tahoma"/>
                <w:b/>
                <w:bCs/>
                <w:sz w:val="16"/>
                <w:szCs w:val="16"/>
                <w:lang w:eastAsia="tr-TR"/>
              </w:rPr>
              <w:t>2012(1)</w:t>
            </w:r>
          </w:p>
        </w:tc>
      </w:tr>
      <w:tr w:rsidR="00565FD5" w:rsidRPr="004B3DE4" w:rsidTr="00AB62A3">
        <w:tc>
          <w:tcPr>
            <w:tcW w:w="1479" w:type="pct"/>
            <w:tcBorders>
              <w:top w:val="single" w:sz="4" w:space="0" w:color="auto"/>
              <w:left w:val="single" w:sz="4" w:space="0" w:color="auto"/>
            </w:tcBorders>
          </w:tcPr>
          <w:p w:rsidR="00565FD5" w:rsidRPr="004B3DE4" w:rsidRDefault="00565FD5" w:rsidP="00AB62A3">
            <w:pPr>
              <w:snapToGrid w:val="0"/>
              <w:spacing w:after="60"/>
              <w:rPr>
                <w:rFonts w:cs="Tahoma"/>
                <w:sz w:val="16"/>
                <w:szCs w:val="16"/>
                <w:lang w:eastAsia="tr-TR"/>
              </w:rPr>
            </w:pPr>
            <w:r w:rsidRPr="004B3DE4">
              <w:rPr>
                <w:rFonts w:cs="Tahoma"/>
                <w:sz w:val="16"/>
                <w:szCs w:val="16"/>
                <w:lang w:eastAsia="tr-TR"/>
              </w:rPr>
              <w:t>Turist sayısı (</w:t>
            </w:r>
            <w:r>
              <w:rPr>
                <w:rFonts w:cs="Tahoma"/>
                <w:sz w:val="16"/>
                <w:szCs w:val="16"/>
                <w:lang w:eastAsia="tr-TR"/>
              </w:rPr>
              <w:t>M</w:t>
            </w:r>
            <w:r w:rsidRPr="004B3DE4">
              <w:rPr>
                <w:rFonts w:cs="Tahoma"/>
                <w:sz w:val="16"/>
                <w:szCs w:val="16"/>
                <w:lang w:eastAsia="tr-TR"/>
              </w:rPr>
              <w:t xml:space="preserve">ilyon </w:t>
            </w:r>
            <w:r>
              <w:rPr>
                <w:rFonts w:cs="Tahoma"/>
                <w:sz w:val="16"/>
                <w:szCs w:val="16"/>
                <w:lang w:eastAsia="tr-TR"/>
              </w:rPr>
              <w:t>K</w:t>
            </w:r>
            <w:r w:rsidRPr="004B3DE4">
              <w:rPr>
                <w:rFonts w:cs="Tahoma"/>
                <w:sz w:val="16"/>
                <w:szCs w:val="16"/>
                <w:lang w:eastAsia="tr-TR"/>
              </w:rPr>
              <w:t>işi)</w:t>
            </w:r>
          </w:p>
        </w:tc>
        <w:tc>
          <w:tcPr>
            <w:tcW w:w="496" w:type="pct"/>
            <w:tcBorders>
              <w:top w:val="single" w:sz="4" w:space="0" w:color="auto"/>
            </w:tcBorders>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674</w:t>
            </w:r>
          </w:p>
        </w:tc>
        <w:tc>
          <w:tcPr>
            <w:tcW w:w="496" w:type="pct"/>
            <w:tcBorders>
              <w:top w:val="single" w:sz="4" w:space="0" w:color="auto"/>
            </w:tcBorders>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684</w:t>
            </w:r>
          </w:p>
        </w:tc>
        <w:tc>
          <w:tcPr>
            <w:tcW w:w="496" w:type="pct"/>
            <w:tcBorders>
              <w:top w:val="single" w:sz="4" w:space="0" w:color="auto"/>
            </w:tcBorders>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800</w:t>
            </w:r>
          </w:p>
        </w:tc>
        <w:tc>
          <w:tcPr>
            <w:tcW w:w="496" w:type="pct"/>
            <w:tcBorders>
              <w:top w:val="single" w:sz="4" w:space="0" w:color="auto"/>
            </w:tcBorders>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885</w:t>
            </w:r>
          </w:p>
        </w:tc>
        <w:tc>
          <w:tcPr>
            <w:tcW w:w="496" w:type="pct"/>
            <w:tcBorders>
              <w:top w:val="single" w:sz="4" w:space="0" w:color="auto"/>
            </w:tcBorders>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943</w:t>
            </w:r>
          </w:p>
        </w:tc>
        <w:tc>
          <w:tcPr>
            <w:tcW w:w="496" w:type="pct"/>
            <w:tcBorders>
              <w:top w:val="single" w:sz="4" w:space="0" w:color="auto"/>
            </w:tcBorders>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990</w:t>
            </w:r>
          </w:p>
        </w:tc>
        <w:tc>
          <w:tcPr>
            <w:tcW w:w="547" w:type="pct"/>
            <w:tcBorders>
              <w:top w:val="single" w:sz="4" w:space="0" w:color="auto"/>
              <w:right w:val="single" w:sz="4" w:space="0" w:color="auto"/>
            </w:tcBorders>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1 035</w:t>
            </w:r>
          </w:p>
        </w:tc>
      </w:tr>
      <w:tr w:rsidR="00565FD5" w:rsidRPr="004B3DE4" w:rsidTr="00AB62A3">
        <w:tc>
          <w:tcPr>
            <w:tcW w:w="1479" w:type="pct"/>
            <w:tcBorders>
              <w:left w:val="single" w:sz="4" w:space="0" w:color="auto"/>
            </w:tcBorders>
          </w:tcPr>
          <w:p w:rsidR="00565FD5" w:rsidRPr="004B3DE4" w:rsidRDefault="00565FD5" w:rsidP="00AB62A3">
            <w:pPr>
              <w:snapToGrid w:val="0"/>
              <w:spacing w:after="60"/>
              <w:rPr>
                <w:rFonts w:cs="Tahoma"/>
                <w:sz w:val="16"/>
                <w:szCs w:val="16"/>
                <w:lang w:eastAsia="tr-TR"/>
              </w:rPr>
            </w:pPr>
            <w:r w:rsidRPr="004B3DE4">
              <w:rPr>
                <w:rFonts w:cs="Tahoma"/>
                <w:sz w:val="16"/>
                <w:szCs w:val="16"/>
                <w:lang w:eastAsia="tr-TR"/>
              </w:rPr>
              <w:t>Yıllık değişim (</w:t>
            </w:r>
            <w:r>
              <w:rPr>
                <w:rFonts w:cs="Tahoma"/>
                <w:sz w:val="16"/>
                <w:szCs w:val="16"/>
                <w:lang w:eastAsia="tr-TR"/>
              </w:rPr>
              <w:t>Y</w:t>
            </w:r>
            <w:r w:rsidRPr="004B3DE4">
              <w:rPr>
                <w:rFonts w:cs="Tahoma"/>
                <w:sz w:val="16"/>
                <w:szCs w:val="16"/>
                <w:lang w:eastAsia="tr-TR"/>
              </w:rPr>
              <w:t>üzde)</w:t>
            </w:r>
          </w:p>
        </w:tc>
        <w:tc>
          <w:tcPr>
            <w:tcW w:w="496" w:type="pct"/>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w:t>
            </w:r>
          </w:p>
        </w:tc>
        <w:tc>
          <w:tcPr>
            <w:tcW w:w="496" w:type="pct"/>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-0,4</w:t>
            </w:r>
          </w:p>
        </w:tc>
        <w:tc>
          <w:tcPr>
            <w:tcW w:w="496" w:type="pct"/>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4,0</w:t>
            </w:r>
          </w:p>
        </w:tc>
        <w:tc>
          <w:tcPr>
            <w:tcW w:w="496" w:type="pct"/>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-3,8</w:t>
            </w:r>
          </w:p>
        </w:tc>
        <w:tc>
          <w:tcPr>
            <w:tcW w:w="496" w:type="pct"/>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6,6</w:t>
            </w:r>
          </w:p>
        </w:tc>
        <w:tc>
          <w:tcPr>
            <w:tcW w:w="496" w:type="pct"/>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5,0</w:t>
            </w:r>
          </w:p>
        </w:tc>
        <w:tc>
          <w:tcPr>
            <w:tcW w:w="547" w:type="pct"/>
            <w:tcBorders>
              <w:right w:val="single" w:sz="4" w:space="0" w:color="auto"/>
            </w:tcBorders>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4,6</w:t>
            </w:r>
          </w:p>
        </w:tc>
      </w:tr>
      <w:tr w:rsidR="00565FD5" w:rsidRPr="004B3DE4" w:rsidTr="00AB62A3">
        <w:tc>
          <w:tcPr>
            <w:tcW w:w="1479" w:type="pct"/>
            <w:tcBorders>
              <w:left w:val="single" w:sz="4" w:space="0" w:color="auto"/>
            </w:tcBorders>
            <w:vAlign w:val="bottom"/>
          </w:tcPr>
          <w:p w:rsidR="00565FD5" w:rsidRPr="004B3DE4" w:rsidRDefault="00565FD5" w:rsidP="00AB62A3">
            <w:pPr>
              <w:snapToGrid w:val="0"/>
              <w:spacing w:after="60"/>
              <w:rPr>
                <w:rFonts w:cs="Tahoma"/>
                <w:sz w:val="16"/>
                <w:szCs w:val="16"/>
                <w:lang w:eastAsia="tr-TR"/>
              </w:rPr>
            </w:pPr>
            <w:r w:rsidRPr="004B3DE4">
              <w:rPr>
                <w:rFonts w:cs="Tahoma"/>
                <w:sz w:val="16"/>
                <w:szCs w:val="16"/>
                <w:lang w:eastAsia="tr-TR"/>
              </w:rPr>
              <w:t>Turizm geliri (</w:t>
            </w:r>
            <w:r>
              <w:rPr>
                <w:rFonts w:cs="Tahoma"/>
                <w:sz w:val="16"/>
                <w:szCs w:val="16"/>
                <w:lang w:eastAsia="tr-TR"/>
              </w:rPr>
              <w:t>M</w:t>
            </w:r>
            <w:r w:rsidRPr="004B3DE4">
              <w:rPr>
                <w:rFonts w:cs="Tahoma"/>
                <w:sz w:val="16"/>
                <w:szCs w:val="16"/>
                <w:lang w:eastAsia="tr-TR"/>
              </w:rPr>
              <w:t xml:space="preserve">ilyar ABD </w:t>
            </w:r>
            <w:r>
              <w:rPr>
                <w:rFonts w:cs="Tahoma"/>
                <w:sz w:val="16"/>
                <w:szCs w:val="16"/>
                <w:lang w:eastAsia="tr-TR"/>
              </w:rPr>
              <w:t>D</w:t>
            </w:r>
            <w:r w:rsidRPr="004B3DE4">
              <w:rPr>
                <w:rFonts w:cs="Tahoma"/>
                <w:sz w:val="16"/>
                <w:szCs w:val="16"/>
                <w:lang w:eastAsia="tr-TR"/>
              </w:rPr>
              <w:t>oları)</w:t>
            </w:r>
            <w:r w:rsidRPr="004B3DE4">
              <w:rPr>
                <w:rFonts w:cs="Tahoma"/>
                <w:b/>
                <w:bCs/>
                <w:sz w:val="16"/>
                <w:szCs w:val="16"/>
                <w:vertAlign w:val="superscript"/>
                <w:lang w:eastAsia="tr-TR"/>
              </w:rPr>
              <w:t xml:space="preserve"> </w:t>
            </w:r>
            <w:r w:rsidRPr="004B3DE4">
              <w:rPr>
                <w:rFonts w:cs="Tahoma"/>
                <w:bCs/>
                <w:sz w:val="16"/>
                <w:szCs w:val="16"/>
                <w:lang w:eastAsia="tr-TR"/>
              </w:rPr>
              <w:t>(2)</w:t>
            </w:r>
          </w:p>
        </w:tc>
        <w:tc>
          <w:tcPr>
            <w:tcW w:w="496" w:type="pct"/>
            <w:vAlign w:val="bottom"/>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 xml:space="preserve">     475</w:t>
            </w:r>
          </w:p>
        </w:tc>
        <w:tc>
          <w:tcPr>
            <w:tcW w:w="496" w:type="pct"/>
            <w:vAlign w:val="bottom"/>
          </w:tcPr>
          <w:p w:rsidR="00565FD5" w:rsidRPr="004B3DE4" w:rsidRDefault="00565FD5" w:rsidP="00AB62A3">
            <w:pPr>
              <w:snapToGrid w:val="0"/>
              <w:spacing w:after="60"/>
              <w:jc w:val="right"/>
              <w:rPr>
                <w:rFonts w:cs="Tahoma"/>
                <w:sz w:val="16"/>
                <w:szCs w:val="16"/>
                <w:lang w:eastAsia="tr-TR"/>
              </w:rPr>
            </w:pPr>
          </w:p>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472</w:t>
            </w:r>
          </w:p>
        </w:tc>
        <w:tc>
          <w:tcPr>
            <w:tcW w:w="496" w:type="pct"/>
            <w:vAlign w:val="bottom"/>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679</w:t>
            </w:r>
          </w:p>
        </w:tc>
        <w:tc>
          <w:tcPr>
            <w:tcW w:w="496" w:type="pct"/>
            <w:vAlign w:val="bottom"/>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853</w:t>
            </w:r>
          </w:p>
        </w:tc>
        <w:tc>
          <w:tcPr>
            <w:tcW w:w="496" w:type="pct"/>
            <w:vAlign w:val="bottom"/>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927</w:t>
            </w:r>
          </w:p>
        </w:tc>
        <w:tc>
          <w:tcPr>
            <w:tcW w:w="496" w:type="pct"/>
            <w:vAlign w:val="bottom"/>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1 030</w:t>
            </w:r>
          </w:p>
        </w:tc>
        <w:tc>
          <w:tcPr>
            <w:tcW w:w="547" w:type="pct"/>
            <w:tcBorders>
              <w:right w:val="single" w:sz="4" w:space="0" w:color="auto"/>
            </w:tcBorders>
            <w:vAlign w:val="bottom"/>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1 075</w:t>
            </w:r>
          </w:p>
        </w:tc>
      </w:tr>
      <w:tr w:rsidR="00565FD5" w:rsidRPr="004B3DE4" w:rsidTr="00AB62A3">
        <w:tc>
          <w:tcPr>
            <w:tcW w:w="1479" w:type="pct"/>
            <w:tcBorders>
              <w:left w:val="single" w:sz="4" w:space="0" w:color="auto"/>
              <w:bottom w:val="single" w:sz="4" w:space="0" w:color="auto"/>
            </w:tcBorders>
          </w:tcPr>
          <w:p w:rsidR="00565FD5" w:rsidRPr="004B3DE4" w:rsidRDefault="00565FD5" w:rsidP="00AB62A3">
            <w:pPr>
              <w:snapToGrid w:val="0"/>
              <w:spacing w:after="60"/>
              <w:rPr>
                <w:rFonts w:cs="Tahoma"/>
                <w:sz w:val="16"/>
                <w:szCs w:val="16"/>
                <w:lang w:eastAsia="tr-TR"/>
              </w:rPr>
            </w:pPr>
            <w:r w:rsidRPr="004B3DE4">
              <w:rPr>
                <w:rFonts w:cs="Tahoma"/>
                <w:sz w:val="16"/>
                <w:szCs w:val="16"/>
                <w:lang w:eastAsia="tr-TR"/>
              </w:rPr>
              <w:t>Yıllık değişim (</w:t>
            </w:r>
            <w:r>
              <w:rPr>
                <w:rFonts w:cs="Tahoma"/>
                <w:sz w:val="16"/>
                <w:szCs w:val="16"/>
                <w:lang w:eastAsia="tr-TR"/>
              </w:rPr>
              <w:t>Y</w:t>
            </w:r>
            <w:r w:rsidRPr="004B3DE4">
              <w:rPr>
                <w:rFonts w:cs="Tahoma"/>
                <w:sz w:val="16"/>
                <w:szCs w:val="16"/>
                <w:lang w:eastAsia="tr-TR"/>
              </w:rPr>
              <w:t>üzde)</w:t>
            </w:r>
          </w:p>
        </w:tc>
        <w:tc>
          <w:tcPr>
            <w:tcW w:w="496" w:type="pct"/>
            <w:tcBorders>
              <w:bottom w:val="single" w:sz="4" w:space="0" w:color="auto"/>
            </w:tcBorders>
          </w:tcPr>
          <w:p w:rsidR="00565FD5" w:rsidRPr="004B3DE4" w:rsidRDefault="00565FD5" w:rsidP="00AB62A3">
            <w:pPr>
              <w:snapToGrid w:val="0"/>
              <w:spacing w:after="60"/>
              <w:ind w:firstLine="425"/>
              <w:jc w:val="right"/>
              <w:rPr>
                <w:rFonts w:cs="Tahoma"/>
                <w:sz w:val="16"/>
                <w:szCs w:val="16"/>
                <w:lang w:eastAsia="tr-TR"/>
              </w:rPr>
            </w:pPr>
            <w:r w:rsidRPr="004B3DE4">
              <w:rPr>
                <w:rFonts w:cs="Tahoma"/>
                <w:sz w:val="16"/>
                <w:szCs w:val="16"/>
                <w:lang w:eastAsia="tr-TR"/>
              </w:rPr>
              <w:t>-</w:t>
            </w:r>
          </w:p>
        </w:tc>
        <w:tc>
          <w:tcPr>
            <w:tcW w:w="496" w:type="pct"/>
            <w:tcBorders>
              <w:bottom w:val="single" w:sz="4" w:space="0" w:color="auto"/>
            </w:tcBorders>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-0,6</w:t>
            </w:r>
          </w:p>
        </w:tc>
        <w:tc>
          <w:tcPr>
            <w:tcW w:w="496" w:type="pct"/>
            <w:tcBorders>
              <w:bottom w:val="single" w:sz="4" w:space="0" w:color="auto"/>
            </w:tcBorders>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7,3</w:t>
            </w:r>
          </w:p>
        </w:tc>
        <w:tc>
          <w:tcPr>
            <w:tcW w:w="496" w:type="pct"/>
            <w:tcBorders>
              <w:bottom w:val="single" w:sz="4" w:space="0" w:color="auto"/>
            </w:tcBorders>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-9,4</w:t>
            </w:r>
          </w:p>
        </w:tc>
        <w:tc>
          <w:tcPr>
            <w:tcW w:w="496" w:type="pct"/>
            <w:tcBorders>
              <w:bottom w:val="single" w:sz="4" w:space="0" w:color="auto"/>
            </w:tcBorders>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8,7</w:t>
            </w:r>
          </w:p>
        </w:tc>
        <w:tc>
          <w:tcPr>
            <w:tcW w:w="496" w:type="pct"/>
            <w:tcBorders>
              <w:bottom w:val="single" w:sz="4" w:space="0" w:color="auto"/>
            </w:tcBorders>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11,1</w:t>
            </w:r>
          </w:p>
        </w:tc>
        <w:tc>
          <w:tcPr>
            <w:tcW w:w="547" w:type="pct"/>
            <w:tcBorders>
              <w:bottom w:val="single" w:sz="4" w:space="0" w:color="auto"/>
              <w:right w:val="single" w:sz="4" w:space="0" w:color="auto"/>
            </w:tcBorders>
          </w:tcPr>
          <w:p w:rsidR="00565FD5" w:rsidRPr="004B3DE4" w:rsidRDefault="00565FD5" w:rsidP="00AB62A3">
            <w:pPr>
              <w:snapToGrid w:val="0"/>
              <w:spacing w:after="60"/>
              <w:jc w:val="right"/>
              <w:rPr>
                <w:rFonts w:cs="Tahoma"/>
                <w:sz w:val="16"/>
                <w:szCs w:val="16"/>
                <w:lang w:eastAsia="tr-TR"/>
              </w:rPr>
            </w:pPr>
            <w:r w:rsidRPr="004B3DE4">
              <w:rPr>
                <w:rFonts w:cs="Tahoma"/>
                <w:sz w:val="16"/>
                <w:szCs w:val="16"/>
                <w:lang w:eastAsia="tr-TR"/>
              </w:rPr>
              <w:t>4,4</w:t>
            </w:r>
          </w:p>
        </w:tc>
      </w:tr>
    </w:tbl>
    <w:p w:rsidR="00565FD5" w:rsidRPr="004B3DE4" w:rsidRDefault="00565FD5" w:rsidP="00565FD5">
      <w:pPr>
        <w:rPr>
          <w:rFonts w:cs="Tahoma"/>
          <w:sz w:val="14"/>
          <w:szCs w:val="14"/>
          <w:lang w:eastAsia="tr-TR"/>
        </w:rPr>
      </w:pPr>
      <w:r w:rsidRPr="004B3DE4">
        <w:rPr>
          <w:rFonts w:cs="Tahoma"/>
          <w:sz w:val="14"/>
          <w:szCs w:val="14"/>
          <w:lang w:eastAsia="tr-TR"/>
        </w:rPr>
        <w:t>Kaynak: Dünya Turizm Örgütü (UNWTO)</w:t>
      </w:r>
      <w:r>
        <w:rPr>
          <w:rFonts w:cs="Tahoma"/>
          <w:sz w:val="14"/>
          <w:szCs w:val="14"/>
          <w:lang w:eastAsia="tr-TR"/>
        </w:rPr>
        <w:t>, Eyül 2012</w:t>
      </w:r>
    </w:p>
    <w:p w:rsidR="00565FD5" w:rsidRPr="004B3DE4" w:rsidRDefault="00565FD5" w:rsidP="00565FD5">
      <w:pPr>
        <w:rPr>
          <w:rFonts w:cs="Tahoma"/>
          <w:sz w:val="14"/>
          <w:szCs w:val="14"/>
          <w:lang w:eastAsia="tr-TR"/>
        </w:rPr>
      </w:pPr>
      <w:r w:rsidRPr="004B3DE4">
        <w:rPr>
          <w:rFonts w:cs="Tahoma"/>
          <w:bCs/>
          <w:sz w:val="14"/>
          <w:szCs w:val="14"/>
          <w:lang w:eastAsia="tr-TR"/>
        </w:rPr>
        <w:t xml:space="preserve">(1) </w:t>
      </w:r>
      <w:r>
        <w:rPr>
          <w:rFonts w:cs="Tahoma"/>
          <w:bCs/>
          <w:sz w:val="14"/>
          <w:szCs w:val="14"/>
          <w:lang w:eastAsia="tr-TR"/>
        </w:rPr>
        <w:t xml:space="preserve">Gerçekleşme </w:t>
      </w:r>
      <w:r w:rsidRPr="004B3DE4">
        <w:rPr>
          <w:rFonts w:cs="Tahoma"/>
          <w:sz w:val="14"/>
          <w:szCs w:val="14"/>
          <w:lang w:eastAsia="tr-TR"/>
        </w:rPr>
        <w:t>Tahmin</w:t>
      </w:r>
      <w:r>
        <w:rPr>
          <w:rFonts w:cs="Tahoma"/>
          <w:sz w:val="14"/>
          <w:szCs w:val="14"/>
          <w:lang w:eastAsia="tr-TR"/>
        </w:rPr>
        <w:t>i</w:t>
      </w:r>
    </w:p>
    <w:p w:rsidR="00565FD5" w:rsidRPr="004B3DE4" w:rsidRDefault="00565FD5" w:rsidP="00565FD5">
      <w:pPr>
        <w:spacing w:after="240"/>
        <w:rPr>
          <w:rFonts w:cs="Tahoma"/>
          <w:sz w:val="14"/>
          <w:szCs w:val="14"/>
          <w:lang w:eastAsia="tr-TR"/>
        </w:rPr>
      </w:pPr>
      <w:r w:rsidRPr="004B3DE4">
        <w:rPr>
          <w:rFonts w:cs="Tahoma"/>
          <w:bCs/>
          <w:sz w:val="14"/>
          <w:szCs w:val="14"/>
          <w:lang w:eastAsia="tr-TR"/>
        </w:rPr>
        <w:t>(2)</w:t>
      </w:r>
      <w:r w:rsidRPr="004B3DE4">
        <w:rPr>
          <w:rFonts w:cs="Tahoma"/>
          <w:sz w:val="14"/>
          <w:szCs w:val="14"/>
          <w:lang w:eastAsia="tr-TR"/>
        </w:rPr>
        <w:t xml:space="preserve"> Bu sayıya uluslararası yolcu taşımacılığı dahil değildir.</w:t>
      </w:r>
    </w:p>
    <w:p w:rsidR="00565FD5" w:rsidRPr="004B3DE4" w:rsidRDefault="00565FD5" w:rsidP="00565FD5">
      <w:pPr>
        <w:spacing w:after="100"/>
        <w:ind w:firstLine="425"/>
        <w:rPr>
          <w:rFonts w:cs="Tahoma"/>
          <w:szCs w:val="18"/>
          <w:lang w:eastAsia="tr-TR"/>
        </w:rPr>
      </w:pPr>
      <w:r w:rsidRPr="004B3DE4">
        <w:rPr>
          <w:rFonts w:cs="Tahoma"/>
          <w:szCs w:val="18"/>
          <w:lang w:eastAsia="tr-TR"/>
        </w:rPr>
        <w:t xml:space="preserve">Dünya Turizm Örgütü tarafından hazırlanan Turizm 2020 Yılı Vizyonu çalışmasında, 2020 yılında dünyadaki turist sayısının 1,6 milyar kişi, toplam turizm gelirlerinin ise 2 trilyon ABD doları olacağı tahmin edilmektedir. 717 milyon kişi ile Avrupa’nın en çok turist çeken bölge olmayı sürdüreceği, ancak dünya turizminden 2000 yılında ortalama yüzde 57 pay alan Avrupa turizminin 2012 yılında yüzde 50, 2020 yılında ise yüzde 46 pay alacağı tahmin edilmektedir. </w:t>
      </w:r>
    </w:p>
    <w:p w:rsidR="00565FD5" w:rsidRPr="004B3DE4" w:rsidRDefault="00565FD5" w:rsidP="00565FD5">
      <w:pPr>
        <w:spacing w:after="100"/>
        <w:ind w:firstLine="425"/>
        <w:rPr>
          <w:rFonts w:cs="Tahoma"/>
          <w:szCs w:val="18"/>
          <w:lang w:eastAsia="tr-TR"/>
        </w:rPr>
      </w:pPr>
      <w:r w:rsidRPr="004B3DE4">
        <w:rPr>
          <w:rFonts w:cs="Tahoma"/>
          <w:szCs w:val="18"/>
          <w:lang w:eastAsia="tr-TR"/>
        </w:rPr>
        <w:t xml:space="preserve">2011 yılında dünya turizm hareketleri içinde Avrupa’ya gelen turist sayısı, bir önceki yıla göre yüzde 6,2 oranında artarak 504 milyon kişiye; turizm gelirleri ise yüzde 5,2 oranında artarak 463,4 milyar ABD dolarına ulaşmıştır. Turist girişlerinde Avrupa’da en çok turist çeken ülkelerin başında 79,5 milyon kişiyle Fransa, 56,7 milyon kişiyle İspanya ve 46,1 milyon kişiyle İtalya gelmektedir. </w:t>
      </w:r>
    </w:p>
    <w:p w:rsidR="00565FD5" w:rsidRPr="004B3DE4" w:rsidRDefault="00565FD5" w:rsidP="00565FD5">
      <w:pPr>
        <w:spacing w:after="100"/>
        <w:ind w:firstLine="425"/>
        <w:rPr>
          <w:rFonts w:cs="Tahoma"/>
          <w:szCs w:val="18"/>
          <w:lang w:eastAsia="tr-TR"/>
        </w:rPr>
      </w:pPr>
      <w:r w:rsidRPr="004B3DE4">
        <w:rPr>
          <w:rFonts w:cs="Tahoma"/>
          <w:szCs w:val="18"/>
          <w:lang w:eastAsia="tr-TR"/>
        </w:rPr>
        <w:t xml:space="preserve">2011 yılı itibarıyla ülkemiz, dünyada turist girişleri açısından yüzde 3,2, turizm gelirleri açısından ise yüzde 2,2 payla en büyük 20 turizm varış noktası içinde turist girişleri açısından altıncı, turizm gelirleri açısından on ikinci sıradadır. Türkiye, Avrupa turizm pazarında turist girişlerinde yüzde 6,2, turizm gelirlerinde ise yüzde 5 paya sahiptir. </w:t>
      </w:r>
    </w:p>
    <w:p w:rsidR="00565FD5" w:rsidRPr="004B3DE4" w:rsidRDefault="00565FD5" w:rsidP="00565FD5">
      <w:pPr>
        <w:spacing w:after="100"/>
        <w:ind w:firstLine="425"/>
        <w:rPr>
          <w:rFonts w:cs="Tahoma"/>
          <w:szCs w:val="18"/>
          <w:lang w:eastAsia="tr-TR"/>
        </w:rPr>
      </w:pPr>
      <w:r w:rsidRPr="004B3DE4">
        <w:rPr>
          <w:rFonts w:cs="Tahoma"/>
          <w:szCs w:val="18"/>
          <w:lang w:eastAsia="tr-TR"/>
        </w:rPr>
        <w:lastRenderedPageBreak/>
        <w:t>Ülkemize gelen yabancı ziyaretçilerin yüzde 54,4’ü OECD, yüzde 21,3’ü Rusya Federasyonu’nun dahil olduğu Bağımsız Devletler Topluluğu (BDT) ülkelerindendir. 2011 yılında ülkemize en çok ziyaretçi gönderen ülke sıralamasında Almanya yüzde 15,3 ile birinci, Rusya Federasyonu yüzde 11 ile ikinci, İngiltere ise yüzde 8,2 ile üçüncü sırada bulunmaktadır.</w:t>
      </w:r>
    </w:p>
    <w:p w:rsidR="00565FD5" w:rsidRPr="004B3DE4" w:rsidRDefault="00565FD5" w:rsidP="00565FD5">
      <w:pPr>
        <w:spacing w:after="100"/>
        <w:ind w:firstLine="425"/>
        <w:rPr>
          <w:rFonts w:cs="Tahoma"/>
          <w:szCs w:val="18"/>
          <w:lang w:eastAsia="tr-TR"/>
        </w:rPr>
      </w:pPr>
      <w:r w:rsidRPr="004B3DE4">
        <w:rPr>
          <w:rFonts w:cs="Tahoma"/>
          <w:szCs w:val="18"/>
          <w:lang w:eastAsia="tr-TR"/>
        </w:rPr>
        <w:t>2011 yılında ülkemize gelen turist sayısı 31,5 milyon kişi, turizm gelirleri ise 23 milyar ABD doları olmuş, Kültür ve Turizm Bakanlığından belgeli yatak sayısı 2.816 tesiste 680 bin, belediye belgeli yatak sayısı ise 8.893 tesiste 505 bin olarak gerçekleşmiştir. Ayrıca, sektörde 2011 yılı sonu itibarıyla 6.399 seyahat acentesi faaliyet göstermektedir.</w:t>
      </w:r>
    </w:p>
    <w:p w:rsidR="00565FD5" w:rsidRPr="004B3DE4" w:rsidRDefault="00565FD5" w:rsidP="00565FD5">
      <w:pPr>
        <w:spacing w:after="100"/>
        <w:ind w:firstLine="425"/>
        <w:rPr>
          <w:rFonts w:cs="Tahoma"/>
          <w:szCs w:val="18"/>
          <w:lang w:eastAsia="tr-TR"/>
        </w:rPr>
      </w:pPr>
      <w:r w:rsidRPr="004B3DE4">
        <w:rPr>
          <w:rFonts w:cs="Tahoma"/>
          <w:szCs w:val="18"/>
          <w:lang w:eastAsia="tr-TR"/>
        </w:rPr>
        <w:t>2012 yılında ülkemize gelen turist sayısının 31,8 milyon kişi, turizm gelirlerinin ise 23,5 milyar ABD doları olarak gerçekleşeceği, Kültür ve Turizm Bakanlığından belgeli yatak sayısının 710 bin, belediye belgeli yatak sayısının ise 503 bin olacağı, yatırım aşamasındaki 271 bin yatakla birlikte toplam yatak kapasitesinin 1,5 milyona ulaşacağı tahmin edilmektedir.</w:t>
      </w:r>
    </w:p>
    <w:p w:rsidR="00565FD5" w:rsidRPr="004B3DE4" w:rsidRDefault="00565FD5" w:rsidP="00565FD5">
      <w:pPr>
        <w:spacing w:after="100"/>
        <w:ind w:firstLine="425"/>
        <w:rPr>
          <w:rFonts w:cs="Tahoma"/>
          <w:szCs w:val="18"/>
          <w:lang w:eastAsia="tr-TR"/>
        </w:rPr>
      </w:pPr>
      <w:r w:rsidRPr="004B3DE4">
        <w:rPr>
          <w:rFonts w:cs="Tahoma"/>
          <w:szCs w:val="18"/>
          <w:lang w:eastAsia="tr-TR"/>
        </w:rPr>
        <w:t>Ülkemizde son yıllarda yatak kapasitesindeki hızlı artışa ve kaydedilen önemli gelişmelere rağmen teknik altyapı konusunda bazı eksiklikler yaşanmaktadır. Fiziksel çevrenin kirlenmesi ve turizm merkezlerinin kentleşmesi Türkiye turizmini etkileyen sorunlar arasındadır. Yatırıma açılması uygun görülen alanlarda öncelikle fiziksel planlama çalışmalarının tamamlanması ve yatırımların bu planlara uygun olarak gerçekleştirilmesi önem arz etmektedir.</w:t>
      </w:r>
    </w:p>
    <w:p w:rsidR="00565FD5" w:rsidRPr="004B3DE4" w:rsidRDefault="00565FD5" w:rsidP="00565FD5">
      <w:pPr>
        <w:spacing w:after="100"/>
        <w:ind w:firstLine="425"/>
        <w:rPr>
          <w:rFonts w:cs="Tahoma"/>
          <w:szCs w:val="18"/>
          <w:lang w:eastAsia="tr-TR"/>
        </w:rPr>
      </w:pPr>
      <w:r w:rsidRPr="004B3DE4">
        <w:rPr>
          <w:rFonts w:cs="Tahoma"/>
          <w:szCs w:val="18"/>
          <w:lang w:eastAsia="tr-TR"/>
        </w:rPr>
        <w:t xml:space="preserve">Turizmin yoğunlaştığı Ege ve Akdeniz kıyılarında çevre bozulmasının önlenmesi ve turizm altyapılarının tamamlanması amacıyla başlatılan Akdeniz-Ege Turizm Altyapısı ve Kıyı Yönetimi (ATAK) Projesinin gerçekleşmesinde gecikmeler yaşanmakta, yerel yönetimlerin organizasyon ve dış kredi kullanımı açısından eksiklikleri bulunmaktadır. </w:t>
      </w:r>
    </w:p>
    <w:p w:rsidR="00565FD5" w:rsidRPr="004B3DE4" w:rsidRDefault="00565FD5" w:rsidP="00565FD5">
      <w:pPr>
        <w:spacing w:after="100"/>
        <w:ind w:firstLine="425"/>
        <w:rPr>
          <w:rFonts w:cs="Tahoma"/>
          <w:szCs w:val="18"/>
          <w:lang w:eastAsia="tr-TR"/>
        </w:rPr>
      </w:pPr>
      <w:r w:rsidRPr="004B3DE4">
        <w:rPr>
          <w:rFonts w:cs="Tahoma"/>
          <w:szCs w:val="18"/>
          <w:lang w:eastAsia="tr-TR"/>
        </w:rPr>
        <w:t>İklimsel, coğrafi ve morfolojik özellikleri nedeniyle, turizm aktivitelerinin yoğunlaştığı alanlar olarak beliren kıyı alanlarında, insan kaynaklı kullanımların etkileri, küresel iklim değişikliğinin yarattığı olumsuz koşullarla birleşerek sürekli bir baskı yaratmaktadır. İklim değişikliğinden olumsuz etkilenecek olan turizm sektörünün modelinde, ürünlerinde ve coğrafi mekân kullanımında ne gibi değişikliklere yönelmek gerektiği belirlenerek yeni bir bütünleşik kıyı alanları yönetimi modeli oluşturulması gerekmektedir.</w:t>
      </w:r>
    </w:p>
    <w:p w:rsidR="00565FD5" w:rsidRPr="004B3DE4" w:rsidRDefault="00565FD5" w:rsidP="00565FD5">
      <w:pPr>
        <w:spacing w:after="100"/>
        <w:ind w:firstLine="425"/>
        <w:rPr>
          <w:rFonts w:cs="Tahoma"/>
          <w:szCs w:val="18"/>
          <w:lang w:eastAsia="tr-TR"/>
        </w:rPr>
      </w:pPr>
      <w:r w:rsidRPr="004B3DE4">
        <w:rPr>
          <w:rFonts w:cs="Tahoma"/>
          <w:szCs w:val="18"/>
          <w:lang w:eastAsia="tr-TR"/>
        </w:rPr>
        <w:lastRenderedPageBreak/>
        <w:t xml:space="preserve">Turizmin mevsimlik ve coğrafi dağılımını iyileştirmek ve dış pazarlarda değişen tüketici tercihleri dikkate alınarak yeni turizm gelişim alanları yaratmak üzere, varış noktası yönetimine ağırlık verilerek golf, termal, kongre, kış, kruvaziyer, sağlık turizmi ve eko-turizmle ilgili yönlendirme faaliyetleri sürdürülmektedir. </w:t>
      </w:r>
    </w:p>
    <w:p w:rsidR="00565FD5" w:rsidRPr="004B3DE4" w:rsidRDefault="00565FD5" w:rsidP="00565FD5">
      <w:pPr>
        <w:spacing w:before="120" w:after="120"/>
        <w:ind w:firstLine="425"/>
        <w:rPr>
          <w:rFonts w:cs="Tahoma"/>
          <w:szCs w:val="18"/>
          <w:lang w:eastAsia="tr-TR"/>
        </w:rPr>
      </w:pPr>
      <w:r w:rsidRPr="004B3DE4">
        <w:rPr>
          <w:rFonts w:cs="Tahoma"/>
          <w:szCs w:val="18"/>
          <w:lang w:eastAsia="tr-TR"/>
        </w:rPr>
        <w:t>2012 yılında açıklanan yeni teşvik paketiyle, Kültür ve Turizm Koruma ve Gelişim Bölgelerinde yapılacak turizm yatırımlarından bölgesel desteklerden yararlanabilecek nitelikteki turizm konaklama yatırımlarının 5’inci bölgede uygulanan bölgesel desteklerden faydalanabilmesi sağlanmıştır.</w:t>
      </w:r>
    </w:p>
    <w:p w:rsidR="00565FD5" w:rsidRPr="004B3DE4" w:rsidRDefault="00565FD5" w:rsidP="00565FD5">
      <w:pPr>
        <w:spacing w:before="120" w:after="120"/>
        <w:ind w:firstLine="425"/>
        <w:rPr>
          <w:rFonts w:cs="Tahoma"/>
          <w:szCs w:val="18"/>
          <w:lang w:eastAsia="tr-TR"/>
        </w:rPr>
      </w:pPr>
      <w:r w:rsidRPr="004B3DE4">
        <w:rPr>
          <w:rFonts w:cs="Tahoma"/>
          <w:szCs w:val="18"/>
          <w:lang w:eastAsia="tr-TR"/>
        </w:rPr>
        <w:t>2012/4 sayılı Döviz Kazandırıcı Hizmet Ticaretinin Desteklenmesi Hakkında Tebliğ kapsamında; sağlık turizmi  alanında hizmet veren turizm şirketlerine pazara giriş, yurtdışı tanıtım, yurtdışı birim, belgelendirme, danışmanlık, ticaret heyeti ve alım heyeti desteklerinden faydalanma imkanı sağlanmıştır.</w:t>
      </w:r>
    </w:p>
    <w:p w:rsidR="00565FD5" w:rsidRPr="004B3DE4" w:rsidRDefault="00565FD5" w:rsidP="00565FD5">
      <w:pPr>
        <w:spacing w:before="120" w:after="120"/>
        <w:ind w:firstLine="425"/>
        <w:rPr>
          <w:rFonts w:cs="Tahoma"/>
          <w:szCs w:val="18"/>
          <w:lang w:eastAsia="tr-TR"/>
        </w:rPr>
      </w:pPr>
      <w:r w:rsidRPr="004B3DE4">
        <w:rPr>
          <w:rFonts w:cs="Tahoma"/>
          <w:szCs w:val="18"/>
          <w:lang w:eastAsia="tr-TR"/>
        </w:rPr>
        <w:t>Turizm eğitiminde belgelendirme (sertifikasyon); mesleki eğitimde standardizasyonu, değerlendirmenin devlet ve sektör kuruluşları tarafından ortaklaşa yapılmasını, uluslararası ölçütlere göre verimlilik ve iş kalitesinin gelişmesini ve istihdam için gerekli olan beceri düzeyinin belirlenmesini sağlamaktadır. Turizm sektöründe başlatılan belgelendirme sistemiyle ilgili uygulamaların sektörün tüm iş kollarında çalışanları kapsayacak şekilde yaygınlaştırılması gerekmektedir.</w:t>
      </w:r>
    </w:p>
    <w:p w:rsidR="00565FD5" w:rsidRPr="004B3DE4" w:rsidRDefault="00565FD5" w:rsidP="00565FD5">
      <w:pPr>
        <w:spacing w:before="120" w:after="120"/>
        <w:ind w:firstLine="425"/>
        <w:rPr>
          <w:rFonts w:cs="Tahoma"/>
          <w:szCs w:val="18"/>
          <w:lang w:eastAsia="tr-TR"/>
        </w:rPr>
      </w:pPr>
      <w:r w:rsidRPr="004B3DE4">
        <w:rPr>
          <w:rFonts w:cs="Tahoma"/>
          <w:szCs w:val="18"/>
          <w:lang w:eastAsia="tr-TR"/>
        </w:rPr>
        <w:t xml:space="preserve">Artan turist sayısına karşın turist başına harcama istenilen düzeyde değildir. Yatay ve dikey entegrasyonlarla aşırı ölçüde büyüyen bazı yabancı tur operatörlerinin fiyat ve koşulları tek taraflı belirlemelerine sektörde sıklıkla rastlanmaktadır. Bu sorun ülkemiz turizm gelirleri açısından olumsuz sonuçlar doğurmaktadır. </w:t>
      </w:r>
    </w:p>
    <w:p w:rsidR="00565FD5" w:rsidRPr="004B3DE4" w:rsidRDefault="00565FD5" w:rsidP="00565FD5">
      <w:pPr>
        <w:spacing w:before="120" w:after="120"/>
        <w:ind w:firstLine="425"/>
        <w:rPr>
          <w:rFonts w:cs="Tahoma"/>
          <w:szCs w:val="18"/>
          <w:lang w:eastAsia="tr-TR"/>
        </w:rPr>
      </w:pPr>
      <w:r w:rsidRPr="004B3DE4">
        <w:rPr>
          <w:rFonts w:cs="Tahoma"/>
          <w:szCs w:val="18"/>
          <w:lang w:eastAsia="tr-TR"/>
        </w:rPr>
        <w:t>Turizm sektöründe rekabet avantajımız düşük fiyata dayalı olarak sürdürülmeye çalışılmaktadır. Ürün ve hizmet kalitesinde üstünlük sağlanarak turizm ürünü planlaması ve pazarlamasında yaratıcı uygulamalar ön plana çıkarılmalıdır.</w:t>
      </w:r>
    </w:p>
    <w:p w:rsidR="00565FD5" w:rsidRPr="004B3DE4" w:rsidRDefault="00565FD5" w:rsidP="00565FD5">
      <w:pPr>
        <w:spacing w:before="120" w:after="120"/>
        <w:ind w:firstLine="425"/>
        <w:rPr>
          <w:rFonts w:cs="Tahoma"/>
          <w:szCs w:val="18"/>
          <w:lang w:eastAsia="tr-TR"/>
        </w:rPr>
      </w:pPr>
      <w:r w:rsidRPr="004B3DE4">
        <w:rPr>
          <w:rFonts w:cs="Tahoma"/>
          <w:szCs w:val="18"/>
          <w:lang w:eastAsia="tr-TR"/>
        </w:rPr>
        <w:t xml:space="preserve">Dünya Turizm Örgütü, ülkelerin büyük bir bölümünde dış turizmin tanıtılması amacıyla kamu ve özel sektörün bir araya gelerek ulusal turizm örgütleri kurduğunu belirtmektedir. Ülkemizde de dış tanıtım ve pazarlama konusundaki bu tür örgütlenmelere duyulan ihtiyaç devam etmektedir. </w:t>
      </w:r>
    </w:p>
    <w:p w:rsidR="00565FD5" w:rsidRPr="004B3DE4" w:rsidRDefault="00565FD5" w:rsidP="00565FD5">
      <w:pPr>
        <w:spacing w:before="120" w:after="120"/>
        <w:ind w:firstLine="425"/>
        <w:rPr>
          <w:rFonts w:cs="Tahoma"/>
          <w:szCs w:val="18"/>
          <w:lang w:eastAsia="tr-TR"/>
        </w:rPr>
      </w:pPr>
      <w:r w:rsidRPr="004B3DE4">
        <w:rPr>
          <w:rFonts w:cs="Tahoma"/>
          <w:szCs w:val="18"/>
          <w:lang w:eastAsia="tr-TR"/>
        </w:rPr>
        <w:lastRenderedPageBreak/>
        <w:t>Ulusal ekonomilerde turizmin etkisini ölçmek üzere Birleşmiş Milletler Ulusal Hesaplar Sisteminin (SNA 1993) özü ve anlayışı ile uyumlu bir turizm uydu hesapları sistemi belirlenmesi konusunda, OECD’nin yanı sıra Dünya Turizm Örgütü (UNWTO) tarafından da çalışmalar sürdürülmektedir. Turizmin ekonomik yansımalarının somut, anlaşılabilir ve uluslararası standart bilgi temeline dayandırılması amacını güden, ülkemiz turizm gelirlerinin gerçek boyutlarını ortaya koyacak olan ve TÜİK tarafından UNWTO ve Eurostat uzmanlarıyla birlikte yürütülen Turizm Uydu Hesapları-Türkiye çalışmasının hızlandırılması gerekmektedir.</w:t>
      </w:r>
    </w:p>
    <w:p w:rsidR="00565FD5" w:rsidRPr="004B3DE4" w:rsidRDefault="00565FD5" w:rsidP="00565FD5">
      <w:pPr>
        <w:pStyle w:val="Balk4"/>
        <w:rPr>
          <w:lang w:eastAsia="tr-TR"/>
        </w:rPr>
      </w:pPr>
      <w:bookmarkStart w:id="2055" w:name="_Toc338505598"/>
      <w:bookmarkStart w:id="2056" w:name="_Toc338523828"/>
      <w:bookmarkStart w:id="2057" w:name="_Toc338524059"/>
      <w:bookmarkStart w:id="2058" w:name="_Toc338526285"/>
      <w:bookmarkStart w:id="2059" w:name="_Toc338673728"/>
      <w:bookmarkStart w:id="2060" w:name="_Toc338711607"/>
      <w:r w:rsidRPr="004B3DE4">
        <w:rPr>
          <w:lang w:eastAsia="tr-TR"/>
        </w:rPr>
        <w:t>2. Temel Amaç ve Hedefler</w:t>
      </w:r>
      <w:bookmarkEnd w:id="2055"/>
      <w:bookmarkEnd w:id="2056"/>
      <w:bookmarkEnd w:id="2057"/>
      <w:bookmarkEnd w:id="2058"/>
      <w:bookmarkEnd w:id="2059"/>
      <w:bookmarkEnd w:id="2060"/>
    </w:p>
    <w:p w:rsidR="00565FD5" w:rsidRPr="004B3DE4" w:rsidRDefault="00565FD5" w:rsidP="00565FD5">
      <w:pPr>
        <w:spacing w:after="120"/>
        <w:ind w:firstLine="425"/>
        <w:rPr>
          <w:rFonts w:cs="Tahoma"/>
          <w:szCs w:val="18"/>
          <w:lang w:eastAsia="tr-TR"/>
        </w:rPr>
      </w:pPr>
      <w:r w:rsidRPr="004B3DE4">
        <w:rPr>
          <w:rFonts w:cs="Tahoma"/>
          <w:szCs w:val="18"/>
          <w:lang w:eastAsia="tr-TR"/>
        </w:rPr>
        <w:t>Turizm sektöründe, küreselleşmenin ortaya koyduğu dinamikleri barındıran, ülkeye daha çok turist gelmesinin yanı sıra hizmet kalitesini artırmaya çalışan, pazarlama kanallarını çeşitlendirerek üst gelir gruplarını hedef alan, doğal sermayeyi koruyan ve sürdürülebilir kılan, ülkemiz turizminin karşılaştırmalı rekabet üstünlüğüne uygun olarak, golf, termal, kongre, kruvaziyer, sağlık turizmini ve eko-turizmi ön plana çıkaran bir yapının oluşturulması temel amaçtır.</w:t>
      </w:r>
    </w:p>
    <w:p w:rsidR="00565FD5" w:rsidRPr="004B3DE4" w:rsidRDefault="00565FD5" w:rsidP="00565FD5">
      <w:pPr>
        <w:spacing w:after="120"/>
        <w:ind w:firstLine="425"/>
        <w:rPr>
          <w:rFonts w:cs="Tahoma"/>
          <w:szCs w:val="18"/>
          <w:lang w:eastAsia="tr-TR"/>
        </w:rPr>
      </w:pPr>
      <w:r w:rsidRPr="004B3DE4">
        <w:rPr>
          <w:rFonts w:cs="Tahoma"/>
          <w:szCs w:val="18"/>
          <w:lang w:eastAsia="tr-TR"/>
        </w:rPr>
        <w:t xml:space="preserve">2013 yılında Kültür ve Turizm Bakanlığından belgeli yatak sayısının 725 bin, belediye belgeli yatak sayısının ise 500 bin olarak gerçekleşeceği, ülkemize gelen turist sayısının 33 milyon kişi, turizm gelirinin ise 25,4 milyar ABD doları olacağı tahmin edilmektedir. </w:t>
      </w:r>
    </w:p>
    <w:p w:rsidR="00565FD5" w:rsidRPr="008B744B" w:rsidRDefault="00565FD5" w:rsidP="00565FD5">
      <w:pPr>
        <w:pStyle w:val="ResimYazs"/>
        <w:rPr>
          <w:rFonts w:cs="Tahoma"/>
        </w:rPr>
      </w:pPr>
      <w:bookmarkStart w:id="2061" w:name="_Toc338606040"/>
      <w:bookmarkStart w:id="2062" w:name="_Toc338711815"/>
      <w:r>
        <w:t xml:space="preserve">TABLO IV: </w:t>
      </w:r>
      <w:fldSimple w:instr=" SEQ TABLO_IV: \* ARABIC ">
        <w:r>
          <w:rPr>
            <w:noProof/>
          </w:rPr>
          <w:t>45</w:t>
        </w:r>
      </w:fldSimple>
      <w:r w:rsidRPr="008B744B">
        <w:rPr>
          <w:rFonts w:cs="Tahoma"/>
        </w:rPr>
        <w:t>- Turizm Sektöründeki Gelişmeler</w:t>
      </w:r>
      <w:bookmarkEnd w:id="2061"/>
      <w:bookmarkEnd w:id="2062"/>
    </w:p>
    <w:tbl>
      <w:tblPr>
        <w:tblW w:w="4831" w:type="pct"/>
        <w:tblInd w:w="122" w:type="dxa"/>
        <w:tblBorders>
          <w:top w:val="single" w:sz="4" w:space="0" w:color="000000"/>
          <w:bottom w:val="single" w:sz="4" w:space="0" w:color="000000"/>
        </w:tblBorders>
        <w:tblLayout w:type="fixed"/>
        <w:tblLook w:val="0000"/>
      </w:tblPr>
      <w:tblGrid>
        <w:gridCol w:w="2933"/>
        <w:gridCol w:w="161"/>
        <w:gridCol w:w="745"/>
        <w:gridCol w:w="742"/>
        <w:gridCol w:w="729"/>
        <w:gridCol w:w="913"/>
        <w:gridCol w:w="886"/>
      </w:tblGrid>
      <w:tr w:rsidR="00565FD5" w:rsidRPr="004B3DE4" w:rsidTr="00AB62A3">
        <w:trPr>
          <w:trHeight w:val="20"/>
        </w:trPr>
        <w:tc>
          <w:tcPr>
            <w:tcW w:w="2176" w:type="pct"/>
            <w:gridSpan w:val="2"/>
            <w:vMerge w:val="restart"/>
            <w:tcBorders>
              <w:top w:val="single" w:sz="4" w:space="0" w:color="auto"/>
              <w:left w:val="single" w:sz="4" w:space="0" w:color="auto"/>
            </w:tcBorders>
          </w:tcPr>
          <w:p w:rsidR="00565FD5" w:rsidRPr="004B3DE4" w:rsidRDefault="00565FD5" w:rsidP="00AB62A3">
            <w:pPr>
              <w:snapToGrid w:val="0"/>
              <w:spacing w:after="240"/>
              <w:ind w:firstLine="425"/>
              <w:rPr>
                <w:rFonts w:cs="Tahoma"/>
                <w:sz w:val="14"/>
                <w:szCs w:val="14"/>
                <w:lang w:eastAsia="tr-TR"/>
              </w:rPr>
            </w:pPr>
          </w:p>
        </w:tc>
        <w:tc>
          <w:tcPr>
            <w:tcW w:w="524" w:type="pct"/>
            <w:vMerge w:val="restart"/>
            <w:tcBorders>
              <w:top w:val="single" w:sz="4" w:space="0" w:color="auto"/>
            </w:tcBorders>
          </w:tcPr>
          <w:p w:rsidR="00565FD5" w:rsidRPr="004B3DE4" w:rsidRDefault="00565FD5" w:rsidP="00AB62A3">
            <w:pPr>
              <w:snapToGrid w:val="0"/>
              <w:jc w:val="right"/>
              <w:rPr>
                <w:rFonts w:cs="Tahoma"/>
                <w:b/>
                <w:bCs/>
                <w:sz w:val="14"/>
                <w:szCs w:val="14"/>
                <w:lang w:eastAsia="tr-TR"/>
              </w:rPr>
            </w:pPr>
            <w:r w:rsidRPr="004B3DE4">
              <w:rPr>
                <w:rFonts w:cs="Tahoma"/>
                <w:b/>
                <w:bCs/>
                <w:sz w:val="14"/>
                <w:szCs w:val="14"/>
                <w:lang w:eastAsia="tr-TR"/>
              </w:rPr>
              <w:t>2011</w:t>
            </w:r>
          </w:p>
          <w:p w:rsidR="00565FD5" w:rsidRPr="004B3DE4" w:rsidRDefault="00565FD5" w:rsidP="00AB62A3">
            <w:pPr>
              <w:ind w:firstLine="425"/>
              <w:jc w:val="right"/>
              <w:rPr>
                <w:rFonts w:cs="Tahoma"/>
                <w:b/>
                <w:bCs/>
                <w:sz w:val="14"/>
                <w:szCs w:val="14"/>
                <w:lang w:eastAsia="tr-TR"/>
              </w:rPr>
            </w:pPr>
          </w:p>
        </w:tc>
        <w:tc>
          <w:tcPr>
            <w:tcW w:w="522" w:type="pct"/>
            <w:vMerge w:val="restart"/>
            <w:tcBorders>
              <w:top w:val="single" w:sz="4" w:space="0" w:color="auto"/>
            </w:tcBorders>
          </w:tcPr>
          <w:p w:rsidR="00565FD5" w:rsidRPr="004B3DE4" w:rsidRDefault="00565FD5" w:rsidP="00AB62A3">
            <w:pPr>
              <w:snapToGrid w:val="0"/>
              <w:jc w:val="right"/>
              <w:rPr>
                <w:rFonts w:cs="Tahoma"/>
                <w:b/>
                <w:bCs/>
                <w:sz w:val="14"/>
                <w:szCs w:val="14"/>
                <w:lang w:eastAsia="tr-TR"/>
              </w:rPr>
            </w:pPr>
            <w:r w:rsidRPr="004B3DE4">
              <w:rPr>
                <w:rFonts w:cs="Tahoma"/>
                <w:b/>
                <w:bCs/>
                <w:sz w:val="14"/>
                <w:szCs w:val="14"/>
                <w:lang w:eastAsia="tr-TR"/>
              </w:rPr>
              <w:t>2012</w:t>
            </w:r>
          </w:p>
          <w:p w:rsidR="00565FD5" w:rsidRPr="004B3DE4" w:rsidRDefault="00565FD5" w:rsidP="00AB62A3">
            <w:pPr>
              <w:jc w:val="right"/>
              <w:rPr>
                <w:rFonts w:cs="Tahoma"/>
                <w:b/>
                <w:bCs/>
                <w:sz w:val="14"/>
                <w:szCs w:val="14"/>
                <w:lang w:eastAsia="tr-TR"/>
              </w:rPr>
            </w:pPr>
            <w:r w:rsidRPr="004B3DE4">
              <w:rPr>
                <w:rFonts w:cs="Tahoma"/>
                <w:b/>
                <w:bCs/>
                <w:sz w:val="14"/>
                <w:szCs w:val="14"/>
                <w:lang w:eastAsia="tr-TR"/>
              </w:rPr>
              <w:t>(1)</w:t>
            </w:r>
          </w:p>
        </w:tc>
        <w:tc>
          <w:tcPr>
            <w:tcW w:w="513" w:type="pct"/>
            <w:vMerge w:val="restart"/>
            <w:tcBorders>
              <w:top w:val="single" w:sz="4" w:space="0" w:color="auto"/>
            </w:tcBorders>
          </w:tcPr>
          <w:p w:rsidR="00565FD5" w:rsidRPr="004B3DE4" w:rsidRDefault="00565FD5" w:rsidP="00AB62A3">
            <w:pPr>
              <w:snapToGrid w:val="0"/>
              <w:jc w:val="right"/>
              <w:rPr>
                <w:rFonts w:cs="Tahoma"/>
                <w:b/>
                <w:bCs/>
                <w:sz w:val="14"/>
                <w:szCs w:val="14"/>
                <w:lang w:eastAsia="tr-TR"/>
              </w:rPr>
            </w:pPr>
            <w:r w:rsidRPr="004B3DE4">
              <w:rPr>
                <w:rFonts w:cs="Tahoma"/>
                <w:b/>
                <w:bCs/>
                <w:sz w:val="14"/>
                <w:szCs w:val="14"/>
                <w:lang w:eastAsia="tr-TR"/>
              </w:rPr>
              <w:t>2013</w:t>
            </w:r>
          </w:p>
          <w:p w:rsidR="00565FD5" w:rsidRPr="004B3DE4" w:rsidRDefault="00565FD5" w:rsidP="00AB62A3">
            <w:pPr>
              <w:jc w:val="right"/>
              <w:rPr>
                <w:rFonts w:cs="Tahoma"/>
                <w:b/>
                <w:bCs/>
                <w:sz w:val="14"/>
                <w:szCs w:val="14"/>
                <w:lang w:eastAsia="tr-TR"/>
              </w:rPr>
            </w:pPr>
            <w:r w:rsidRPr="004B3DE4">
              <w:rPr>
                <w:rFonts w:cs="Tahoma"/>
                <w:b/>
                <w:bCs/>
                <w:sz w:val="14"/>
                <w:szCs w:val="14"/>
                <w:lang w:eastAsia="tr-TR"/>
              </w:rPr>
              <w:t>(2)</w:t>
            </w:r>
          </w:p>
        </w:tc>
        <w:tc>
          <w:tcPr>
            <w:tcW w:w="1266" w:type="pct"/>
            <w:gridSpan w:val="2"/>
            <w:tcBorders>
              <w:top w:val="single" w:sz="4" w:space="0" w:color="auto"/>
              <w:bottom w:val="single" w:sz="4" w:space="0" w:color="000000"/>
              <w:right w:val="single" w:sz="4" w:space="0" w:color="auto"/>
            </w:tcBorders>
          </w:tcPr>
          <w:p w:rsidR="00565FD5" w:rsidRPr="004B3DE4" w:rsidRDefault="00565FD5" w:rsidP="00AB62A3">
            <w:pPr>
              <w:jc w:val="center"/>
              <w:rPr>
                <w:rFonts w:cs="Tahoma"/>
                <w:b/>
                <w:bCs/>
                <w:sz w:val="14"/>
                <w:szCs w:val="14"/>
                <w:lang w:eastAsia="tr-TR"/>
              </w:rPr>
            </w:pPr>
            <w:r w:rsidRPr="004B3DE4">
              <w:rPr>
                <w:rFonts w:cs="Tahoma"/>
                <w:b/>
                <w:bCs/>
                <w:sz w:val="14"/>
                <w:szCs w:val="14"/>
                <w:lang w:eastAsia="tr-TR"/>
              </w:rPr>
              <w:t>Yıllık Ortalama Artış (yüzde)</w:t>
            </w:r>
          </w:p>
        </w:tc>
      </w:tr>
      <w:tr w:rsidR="00565FD5" w:rsidRPr="004B3DE4" w:rsidTr="00AB62A3">
        <w:trPr>
          <w:trHeight w:val="20"/>
        </w:trPr>
        <w:tc>
          <w:tcPr>
            <w:tcW w:w="2176" w:type="pct"/>
            <w:gridSpan w:val="2"/>
            <w:vMerge/>
            <w:tcBorders>
              <w:left w:val="single" w:sz="4" w:space="0" w:color="auto"/>
              <w:bottom w:val="single" w:sz="4" w:space="0" w:color="000000"/>
            </w:tcBorders>
          </w:tcPr>
          <w:p w:rsidR="00565FD5" w:rsidRPr="004B3DE4" w:rsidRDefault="00565FD5" w:rsidP="00AB62A3">
            <w:pPr>
              <w:spacing w:before="120" w:after="120"/>
              <w:ind w:firstLine="425"/>
              <w:rPr>
                <w:rFonts w:cs="Tahoma"/>
                <w:sz w:val="14"/>
                <w:szCs w:val="14"/>
                <w:lang w:eastAsia="tr-TR"/>
              </w:rPr>
            </w:pPr>
          </w:p>
        </w:tc>
        <w:tc>
          <w:tcPr>
            <w:tcW w:w="524" w:type="pct"/>
            <w:vMerge/>
            <w:tcBorders>
              <w:bottom w:val="single" w:sz="4" w:space="0" w:color="000000"/>
            </w:tcBorders>
          </w:tcPr>
          <w:p w:rsidR="00565FD5" w:rsidRPr="004B3DE4" w:rsidRDefault="00565FD5" w:rsidP="00AB62A3">
            <w:pPr>
              <w:spacing w:before="120" w:after="120"/>
              <w:ind w:firstLine="425"/>
              <w:jc w:val="right"/>
              <w:rPr>
                <w:rFonts w:cs="Tahoma"/>
                <w:sz w:val="14"/>
                <w:szCs w:val="14"/>
                <w:lang w:eastAsia="tr-TR"/>
              </w:rPr>
            </w:pPr>
          </w:p>
        </w:tc>
        <w:tc>
          <w:tcPr>
            <w:tcW w:w="522" w:type="pct"/>
            <w:vMerge/>
            <w:tcBorders>
              <w:bottom w:val="single" w:sz="4" w:space="0" w:color="000000"/>
            </w:tcBorders>
          </w:tcPr>
          <w:p w:rsidR="00565FD5" w:rsidRPr="004B3DE4" w:rsidRDefault="00565FD5" w:rsidP="00AB62A3">
            <w:pPr>
              <w:spacing w:before="120" w:after="120"/>
              <w:ind w:firstLine="425"/>
              <w:jc w:val="right"/>
              <w:rPr>
                <w:rFonts w:cs="Tahoma"/>
                <w:sz w:val="14"/>
                <w:szCs w:val="14"/>
                <w:lang w:eastAsia="tr-TR"/>
              </w:rPr>
            </w:pPr>
          </w:p>
        </w:tc>
        <w:tc>
          <w:tcPr>
            <w:tcW w:w="513" w:type="pct"/>
            <w:vMerge/>
            <w:tcBorders>
              <w:bottom w:val="single" w:sz="4" w:space="0" w:color="000000"/>
            </w:tcBorders>
          </w:tcPr>
          <w:p w:rsidR="00565FD5" w:rsidRPr="004B3DE4" w:rsidRDefault="00565FD5" w:rsidP="00AB62A3">
            <w:pPr>
              <w:spacing w:before="120" w:after="120"/>
              <w:ind w:firstLine="425"/>
              <w:jc w:val="right"/>
              <w:rPr>
                <w:rFonts w:cs="Tahoma"/>
                <w:sz w:val="14"/>
                <w:szCs w:val="14"/>
                <w:lang w:eastAsia="tr-TR"/>
              </w:rPr>
            </w:pPr>
          </w:p>
        </w:tc>
        <w:tc>
          <w:tcPr>
            <w:tcW w:w="642" w:type="pct"/>
            <w:tcBorders>
              <w:top w:val="single" w:sz="4" w:space="0" w:color="000000"/>
              <w:bottom w:val="single" w:sz="4" w:space="0" w:color="000000"/>
            </w:tcBorders>
          </w:tcPr>
          <w:p w:rsidR="00565FD5" w:rsidRPr="004B3DE4" w:rsidRDefault="00565FD5" w:rsidP="00AB62A3">
            <w:pPr>
              <w:snapToGrid w:val="0"/>
              <w:rPr>
                <w:rFonts w:cs="Tahoma"/>
                <w:b/>
                <w:bCs/>
                <w:sz w:val="14"/>
                <w:szCs w:val="14"/>
                <w:lang w:eastAsia="tr-TR"/>
              </w:rPr>
            </w:pPr>
            <w:r w:rsidRPr="004B3DE4">
              <w:rPr>
                <w:rFonts w:cs="Tahoma"/>
                <w:b/>
                <w:bCs/>
                <w:sz w:val="14"/>
                <w:szCs w:val="14"/>
                <w:lang w:eastAsia="tr-TR"/>
              </w:rPr>
              <w:t>2012/11</w:t>
            </w:r>
          </w:p>
        </w:tc>
        <w:tc>
          <w:tcPr>
            <w:tcW w:w="624" w:type="pct"/>
            <w:tcBorders>
              <w:top w:val="single" w:sz="4" w:space="0" w:color="000000"/>
              <w:bottom w:val="single" w:sz="4" w:space="0" w:color="000000"/>
              <w:right w:val="single" w:sz="4" w:space="0" w:color="auto"/>
            </w:tcBorders>
          </w:tcPr>
          <w:p w:rsidR="00565FD5" w:rsidRPr="004B3DE4" w:rsidRDefault="00565FD5" w:rsidP="00AB62A3">
            <w:pPr>
              <w:snapToGrid w:val="0"/>
              <w:rPr>
                <w:rFonts w:cs="Tahoma"/>
                <w:b/>
                <w:bCs/>
                <w:sz w:val="14"/>
                <w:szCs w:val="14"/>
                <w:lang w:eastAsia="tr-TR"/>
              </w:rPr>
            </w:pPr>
            <w:r w:rsidRPr="004B3DE4">
              <w:rPr>
                <w:rFonts w:cs="Tahoma"/>
                <w:b/>
                <w:bCs/>
                <w:sz w:val="14"/>
                <w:szCs w:val="14"/>
                <w:lang w:eastAsia="tr-TR"/>
              </w:rPr>
              <w:t>2013/12</w:t>
            </w:r>
          </w:p>
        </w:tc>
      </w:tr>
      <w:tr w:rsidR="00565FD5" w:rsidRPr="004B3DE4" w:rsidTr="00AB62A3">
        <w:tc>
          <w:tcPr>
            <w:tcW w:w="2063" w:type="pct"/>
            <w:tcBorders>
              <w:top w:val="single" w:sz="4" w:space="0" w:color="000000"/>
              <w:left w:val="single" w:sz="4" w:space="0" w:color="auto"/>
              <w:bottom w:val="nil"/>
            </w:tcBorders>
            <w:vAlign w:val="center"/>
          </w:tcPr>
          <w:p w:rsidR="00565FD5" w:rsidRPr="004B3DE4" w:rsidRDefault="00565FD5" w:rsidP="00AB62A3">
            <w:pPr>
              <w:snapToGrid w:val="0"/>
              <w:ind w:left="20"/>
              <w:rPr>
                <w:rFonts w:cs="Tahoma"/>
                <w:sz w:val="14"/>
                <w:szCs w:val="14"/>
                <w:lang w:eastAsia="tr-TR"/>
              </w:rPr>
            </w:pPr>
            <w:r w:rsidRPr="004B3DE4">
              <w:rPr>
                <w:rFonts w:cs="Tahoma"/>
                <w:sz w:val="14"/>
                <w:szCs w:val="14"/>
                <w:lang w:eastAsia="tr-TR"/>
              </w:rPr>
              <w:t xml:space="preserve">Yurda Gelen Yabancı Sayısı </w:t>
            </w:r>
          </w:p>
          <w:p w:rsidR="00565FD5" w:rsidRPr="004B3DE4" w:rsidRDefault="00565FD5" w:rsidP="00AB62A3">
            <w:pPr>
              <w:snapToGrid w:val="0"/>
              <w:ind w:left="20"/>
              <w:rPr>
                <w:rFonts w:cs="Tahoma"/>
                <w:sz w:val="14"/>
                <w:szCs w:val="14"/>
                <w:lang w:eastAsia="tr-TR"/>
              </w:rPr>
            </w:pPr>
            <w:r w:rsidRPr="004B3DE4">
              <w:rPr>
                <w:rFonts w:cs="Tahoma"/>
                <w:sz w:val="14"/>
                <w:szCs w:val="14"/>
                <w:lang w:eastAsia="tr-TR"/>
              </w:rPr>
              <w:t>(bin kişi) (3)</w:t>
            </w:r>
          </w:p>
        </w:tc>
        <w:tc>
          <w:tcPr>
            <w:tcW w:w="636" w:type="pct"/>
            <w:gridSpan w:val="2"/>
            <w:tcBorders>
              <w:top w:val="single" w:sz="4" w:space="0" w:color="000000"/>
              <w:bottom w:val="nil"/>
            </w:tcBorders>
            <w:vAlign w:val="center"/>
          </w:tcPr>
          <w:p w:rsidR="00565FD5" w:rsidRPr="004B3DE4" w:rsidRDefault="00565FD5" w:rsidP="00AB62A3">
            <w:pPr>
              <w:snapToGrid w:val="0"/>
              <w:jc w:val="right"/>
              <w:rPr>
                <w:rFonts w:cs="Tahoma"/>
                <w:sz w:val="14"/>
                <w:szCs w:val="14"/>
                <w:lang w:eastAsia="tr-TR"/>
              </w:rPr>
            </w:pPr>
            <w:r w:rsidRPr="004B3DE4">
              <w:rPr>
                <w:rFonts w:cs="Tahoma"/>
                <w:sz w:val="14"/>
                <w:szCs w:val="14"/>
                <w:lang w:eastAsia="tr-TR"/>
              </w:rPr>
              <w:t>31 456</w:t>
            </w:r>
          </w:p>
        </w:tc>
        <w:tc>
          <w:tcPr>
            <w:tcW w:w="522" w:type="pct"/>
            <w:tcBorders>
              <w:top w:val="single" w:sz="4" w:space="0" w:color="000000"/>
              <w:bottom w:val="nil"/>
            </w:tcBorders>
            <w:vAlign w:val="center"/>
          </w:tcPr>
          <w:p w:rsidR="00565FD5" w:rsidRPr="004B3DE4" w:rsidRDefault="00565FD5" w:rsidP="00AB62A3">
            <w:pPr>
              <w:snapToGrid w:val="0"/>
              <w:jc w:val="right"/>
              <w:rPr>
                <w:rFonts w:cs="Tahoma"/>
                <w:sz w:val="14"/>
                <w:szCs w:val="14"/>
                <w:lang w:eastAsia="tr-TR"/>
              </w:rPr>
            </w:pPr>
            <w:r w:rsidRPr="004B3DE4">
              <w:rPr>
                <w:rFonts w:cs="Tahoma"/>
                <w:sz w:val="14"/>
                <w:szCs w:val="14"/>
                <w:lang w:eastAsia="tr-TR"/>
              </w:rPr>
              <w:t>31 800</w:t>
            </w:r>
          </w:p>
        </w:tc>
        <w:tc>
          <w:tcPr>
            <w:tcW w:w="513" w:type="pct"/>
            <w:tcBorders>
              <w:top w:val="single" w:sz="4" w:space="0" w:color="000000"/>
              <w:bottom w:val="nil"/>
            </w:tcBorders>
            <w:vAlign w:val="center"/>
          </w:tcPr>
          <w:p w:rsidR="00565FD5" w:rsidRPr="004B3DE4" w:rsidRDefault="00565FD5" w:rsidP="00AB62A3">
            <w:pPr>
              <w:snapToGrid w:val="0"/>
              <w:jc w:val="right"/>
              <w:rPr>
                <w:rFonts w:cs="Tahoma"/>
                <w:sz w:val="14"/>
                <w:szCs w:val="14"/>
                <w:lang w:eastAsia="tr-TR"/>
              </w:rPr>
            </w:pPr>
            <w:r w:rsidRPr="004B3DE4">
              <w:rPr>
                <w:rFonts w:cs="Tahoma"/>
                <w:sz w:val="14"/>
                <w:szCs w:val="14"/>
                <w:lang w:eastAsia="tr-TR"/>
              </w:rPr>
              <w:t>33 000</w:t>
            </w:r>
          </w:p>
        </w:tc>
        <w:tc>
          <w:tcPr>
            <w:tcW w:w="642" w:type="pct"/>
            <w:tcBorders>
              <w:top w:val="single" w:sz="4" w:space="0" w:color="000000"/>
              <w:bottom w:val="nil"/>
            </w:tcBorders>
            <w:vAlign w:val="center"/>
          </w:tcPr>
          <w:p w:rsidR="00565FD5" w:rsidRPr="004B3DE4" w:rsidRDefault="00565FD5" w:rsidP="00AB62A3">
            <w:pPr>
              <w:snapToGrid w:val="0"/>
              <w:ind w:firstLine="425"/>
              <w:jc w:val="right"/>
              <w:rPr>
                <w:rFonts w:cs="Tahoma"/>
                <w:sz w:val="14"/>
                <w:szCs w:val="14"/>
                <w:lang w:eastAsia="tr-TR"/>
              </w:rPr>
            </w:pPr>
            <w:r w:rsidRPr="004B3DE4">
              <w:rPr>
                <w:rFonts w:cs="Tahoma"/>
                <w:sz w:val="14"/>
                <w:szCs w:val="14"/>
                <w:lang w:eastAsia="tr-TR"/>
              </w:rPr>
              <w:t>1,1</w:t>
            </w:r>
          </w:p>
        </w:tc>
        <w:tc>
          <w:tcPr>
            <w:tcW w:w="624" w:type="pct"/>
            <w:tcBorders>
              <w:top w:val="single" w:sz="4" w:space="0" w:color="000000"/>
              <w:bottom w:val="nil"/>
              <w:right w:val="single" w:sz="4" w:space="0" w:color="auto"/>
            </w:tcBorders>
            <w:vAlign w:val="center"/>
          </w:tcPr>
          <w:p w:rsidR="00565FD5" w:rsidRPr="004B3DE4" w:rsidRDefault="00565FD5" w:rsidP="00AB62A3">
            <w:pPr>
              <w:snapToGrid w:val="0"/>
              <w:jc w:val="right"/>
              <w:rPr>
                <w:rFonts w:cs="Tahoma"/>
                <w:sz w:val="14"/>
                <w:szCs w:val="14"/>
                <w:lang w:eastAsia="tr-TR"/>
              </w:rPr>
            </w:pPr>
            <w:r w:rsidRPr="004B3DE4">
              <w:rPr>
                <w:rFonts w:cs="Tahoma"/>
                <w:sz w:val="14"/>
                <w:szCs w:val="14"/>
                <w:lang w:eastAsia="tr-TR"/>
              </w:rPr>
              <w:t>3,8</w:t>
            </w:r>
          </w:p>
        </w:tc>
      </w:tr>
      <w:tr w:rsidR="00565FD5" w:rsidRPr="004B3DE4" w:rsidTr="00AB62A3">
        <w:tc>
          <w:tcPr>
            <w:tcW w:w="2063" w:type="pct"/>
            <w:tcBorders>
              <w:top w:val="nil"/>
              <w:left w:val="single" w:sz="4" w:space="0" w:color="auto"/>
            </w:tcBorders>
            <w:vAlign w:val="center"/>
          </w:tcPr>
          <w:p w:rsidR="00565FD5" w:rsidRPr="004B3DE4" w:rsidRDefault="00565FD5" w:rsidP="00AB62A3">
            <w:pPr>
              <w:snapToGrid w:val="0"/>
              <w:ind w:left="20"/>
              <w:rPr>
                <w:rFonts w:cs="Tahoma"/>
                <w:sz w:val="14"/>
                <w:szCs w:val="14"/>
                <w:lang w:eastAsia="tr-TR"/>
              </w:rPr>
            </w:pPr>
            <w:r w:rsidRPr="004B3DE4">
              <w:rPr>
                <w:rFonts w:cs="Tahoma"/>
                <w:sz w:val="14"/>
                <w:szCs w:val="14"/>
                <w:lang w:eastAsia="tr-TR"/>
              </w:rPr>
              <w:t xml:space="preserve">Yurt Dışına Çıkan Vatandaş Sayısı </w:t>
            </w:r>
          </w:p>
          <w:p w:rsidR="00565FD5" w:rsidRPr="004B3DE4" w:rsidRDefault="00565FD5" w:rsidP="00AB62A3">
            <w:pPr>
              <w:snapToGrid w:val="0"/>
              <w:ind w:left="20"/>
              <w:rPr>
                <w:rFonts w:cs="Tahoma"/>
                <w:sz w:val="14"/>
                <w:szCs w:val="14"/>
                <w:lang w:eastAsia="tr-TR"/>
              </w:rPr>
            </w:pPr>
            <w:r w:rsidRPr="004B3DE4">
              <w:rPr>
                <w:rFonts w:cs="Tahoma"/>
                <w:sz w:val="14"/>
                <w:szCs w:val="14"/>
                <w:lang w:eastAsia="tr-TR"/>
              </w:rPr>
              <w:t>(bin kişi) (3)</w:t>
            </w:r>
          </w:p>
        </w:tc>
        <w:tc>
          <w:tcPr>
            <w:tcW w:w="636" w:type="pct"/>
            <w:gridSpan w:val="2"/>
            <w:tcBorders>
              <w:top w:val="nil"/>
            </w:tcBorders>
            <w:vAlign w:val="center"/>
          </w:tcPr>
          <w:p w:rsidR="00565FD5" w:rsidRPr="004B3DE4" w:rsidRDefault="00565FD5" w:rsidP="00AB62A3">
            <w:pPr>
              <w:snapToGrid w:val="0"/>
              <w:jc w:val="right"/>
              <w:rPr>
                <w:rFonts w:cs="Tahoma"/>
                <w:sz w:val="14"/>
                <w:szCs w:val="14"/>
                <w:lang w:eastAsia="tr-TR"/>
              </w:rPr>
            </w:pPr>
            <w:r w:rsidRPr="004B3DE4">
              <w:rPr>
                <w:rFonts w:cs="Tahoma"/>
                <w:sz w:val="14"/>
                <w:szCs w:val="14"/>
                <w:lang w:eastAsia="tr-TR"/>
              </w:rPr>
              <w:t>6 282</w:t>
            </w:r>
          </w:p>
        </w:tc>
        <w:tc>
          <w:tcPr>
            <w:tcW w:w="522" w:type="pct"/>
            <w:tcBorders>
              <w:top w:val="nil"/>
            </w:tcBorders>
            <w:vAlign w:val="center"/>
          </w:tcPr>
          <w:p w:rsidR="00565FD5" w:rsidRPr="004B3DE4" w:rsidRDefault="00565FD5" w:rsidP="00AB62A3">
            <w:pPr>
              <w:snapToGrid w:val="0"/>
              <w:jc w:val="right"/>
              <w:rPr>
                <w:rFonts w:cs="Tahoma"/>
                <w:sz w:val="14"/>
                <w:szCs w:val="14"/>
                <w:lang w:eastAsia="tr-TR"/>
              </w:rPr>
            </w:pPr>
            <w:r w:rsidRPr="004B3DE4">
              <w:rPr>
                <w:rFonts w:cs="Tahoma"/>
                <w:sz w:val="14"/>
                <w:szCs w:val="14"/>
                <w:lang w:eastAsia="tr-TR"/>
              </w:rPr>
              <w:t>6 160</w:t>
            </w:r>
          </w:p>
        </w:tc>
        <w:tc>
          <w:tcPr>
            <w:tcW w:w="513" w:type="pct"/>
            <w:tcBorders>
              <w:top w:val="nil"/>
            </w:tcBorders>
            <w:vAlign w:val="center"/>
          </w:tcPr>
          <w:p w:rsidR="00565FD5" w:rsidRPr="004B3DE4" w:rsidRDefault="00565FD5" w:rsidP="00AB62A3">
            <w:pPr>
              <w:snapToGrid w:val="0"/>
              <w:jc w:val="right"/>
              <w:rPr>
                <w:rFonts w:cs="Tahoma"/>
                <w:sz w:val="14"/>
                <w:szCs w:val="14"/>
                <w:lang w:eastAsia="tr-TR"/>
              </w:rPr>
            </w:pPr>
            <w:r w:rsidRPr="004B3DE4">
              <w:rPr>
                <w:rFonts w:cs="Tahoma"/>
                <w:sz w:val="14"/>
                <w:szCs w:val="14"/>
                <w:lang w:eastAsia="tr-TR"/>
              </w:rPr>
              <w:t>6 400</w:t>
            </w:r>
          </w:p>
        </w:tc>
        <w:tc>
          <w:tcPr>
            <w:tcW w:w="642" w:type="pct"/>
            <w:tcBorders>
              <w:top w:val="nil"/>
            </w:tcBorders>
            <w:vAlign w:val="center"/>
          </w:tcPr>
          <w:p w:rsidR="00565FD5" w:rsidRPr="004B3DE4" w:rsidRDefault="00565FD5" w:rsidP="00AB62A3">
            <w:pPr>
              <w:snapToGrid w:val="0"/>
              <w:ind w:firstLine="425"/>
              <w:jc w:val="right"/>
              <w:rPr>
                <w:rFonts w:cs="Tahoma"/>
                <w:sz w:val="14"/>
                <w:szCs w:val="14"/>
                <w:lang w:eastAsia="tr-TR"/>
              </w:rPr>
            </w:pPr>
            <w:r w:rsidRPr="004B3DE4">
              <w:rPr>
                <w:rFonts w:cs="Tahoma"/>
                <w:sz w:val="14"/>
                <w:szCs w:val="14"/>
                <w:lang w:eastAsia="tr-TR"/>
              </w:rPr>
              <w:t>-2,0</w:t>
            </w:r>
          </w:p>
        </w:tc>
        <w:tc>
          <w:tcPr>
            <w:tcW w:w="624" w:type="pct"/>
            <w:tcBorders>
              <w:top w:val="nil"/>
              <w:right w:val="single" w:sz="4" w:space="0" w:color="auto"/>
            </w:tcBorders>
            <w:vAlign w:val="center"/>
          </w:tcPr>
          <w:p w:rsidR="00565FD5" w:rsidRPr="004B3DE4" w:rsidRDefault="00565FD5" w:rsidP="00AB62A3">
            <w:pPr>
              <w:snapToGrid w:val="0"/>
              <w:jc w:val="right"/>
              <w:rPr>
                <w:rFonts w:cs="Tahoma"/>
                <w:sz w:val="14"/>
                <w:szCs w:val="14"/>
                <w:lang w:eastAsia="tr-TR"/>
              </w:rPr>
            </w:pPr>
            <w:r w:rsidRPr="004B3DE4">
              <w:rPr>
                <w:rFonts w:cs="Tahoma"/>
                <w:sz w:val="14"/>
                <w:szCs w:val="14"/>
                <w:lang w:eastAsia="tr-TR"/>
              </w:rPr>
              <w:t>3,9</w:t>
            </w:r>
          </w:p>
        </w:tc>
      </w:tr>
      <w:tr w:rsidR="00565FD5" w:rsidRPr="004B3DE4" w:rsidTr="00AB62A3">
        <w:tc>
          <w:tcPr>
            <w:tcW w:w="2063" w:type="pct"/>
            <w:tcBorders>
              <w:left w:val="single" w:sz="4" w:space="0" w:color="auto"/>
            </w:tcBorders>
            <w:vAlign w:val="center"/>
          </w:tcPr>
          <w:p w:rsidR="00565FD5" w:rsidRPr="004B3DE4" w:rsidRDefault="00565FD5" w:rsidP="00AB62A3">
            <w:pPr>
              <w:snapToGrid w:val="0"/>
              <w:ind w:left="20"/>
              <w:rPr>
                <w:rFonts w:cs="Tahoma"/>
                <w:sz w:val="14"/>
                <w:szCs w:val="14"/>
                <w:lang w:eastAsia="tr-TR"/>
              </w:rPr>
            </w:pPr>
            <w:r w:rsidRPr="004B3DE4">
              <w:rPr>
                <w:rFonts w:cs="Tahoma"/>
                <w:sz w:val="14"/>
                <w:szCs w:val="14"/>
                <w:lang w:eastAsia="tr-TR"/>
              </w:rPr>
              <w:t>Turizm Geliri (Milyon ABD doları) (4)</w:t>
            </w:r>
          </w:p>
        </w:tc>
        <w:tc>
          <w:tcPr>
            <w:tcW w:w="636" w:type="pct"/>
            <w:gridSpan w:val="2"/>
            <w:vAlign w:val="center"/>
          </w:tcPr>
          <w:p w:rsidR="00565FD5" w:rsidRPr="004B3DE4" w:rsidRDefault="00565FD5" w:rsidP="00AB62A3">
            <w:pPr>
              <w:snapToGrid w:val="0"/>
              <w:jc w:val="right"/>
              <w:rPr>
                <w:rFonts w:cs="Tahoma"/>
                <w:sz w:val="14"/>
                <w:szCs w:val="14"/>
                <w:lang w:eastAsia="tr-TR"/>
              </w:rPr>
            </w:pPr>
            <w:r w:rsidRPr="004B3DE4">
              <w:rPr>
                <w:rFonts w:cs="Tahoma"/>
                <w:sz w:val="14"/>
                <w:szCs w:val="14"/>
                <w:lang w:eastAsia="tr-TR"/>
              </w:rPr>
              <w:t>23 020</w:t>
            </w:r>
          </w:p>
        </w:tc>
        <w:tc>
          <w:tcPr>
            <w:tcW w:w="522" w:type="pct"/>
            <w:vAlign w:val="center"/>
          </w:tcPr>
          <w:p w:rsidR="00565FD5" w:rsidRPr="004B3DE4" w:rsidRDefault="00565FD5" w:rsidP="00AB62A3">
            <w:pPr>
              <w:jc w:val="right"/>
              <w:rPr>
                <w:rFonts w:cs="Tahoma"/>
                <w:sz w:val="14"/>
                <w:szCs w:val="14"/>
                <w:lang w:eastAsia="tr-TR"/>
              </w:rPr>
            </w:pPr>
            <w:r w:rsidRPr="004B3DE4">
              <w:rPr>
                <w:rFonts w:cs="Tahoma"/>
                <w:sz w:val="14"/>
                <w:szCs w:val="14"/>
                <w:lang w:eastAsia="tr-TR"/>
              </w:rPr>
              <w:t>23 500</w:t>
            </w:r>
          </w:p>
        </w:tc>
        <w:tc>
          <w:tcPr>
            <w:tcW w:w="513" w:type="pct"/>
            <w:vAlign w:val="center"/>
          </w:tcPr>
          <w:p w:rsidR="00565FD5" w:rsidRPr="004B3DE4" w:rsidRDefault="00565FD5" w:rsidP="00AB62A3">
            <w:pPr>
              <w:snapToGrid w:val="0"/>
              <w:jc w:val="right"/>
              <w:rPr>
                <w:rFonts w:cs="Tahoma"/>
                <w:sz w:val="14"/>
                <w:szCs w:val="14"/>
                <w:lang w:eastAsia="tr-TR"/>
              </w:rPr>
            </w:pPr>
            <w:r w:rsidRPr="004B3DE4">
              <w:rPr>
                <w:rFonts w:cs="Tahoma"/>
                <w:sz w:val="14"/>
                <w:szCs w:val="14"/>
                <w:lang w:eastAsia="tr-TR"/>
              </w:rPr>
              <w:t>25 400</w:t>
            </w:r>
          </w:p>
        </w:tc>
        <w:tc>
          <w:tcPr>
            <w:tcW w:w="642" w:type="pct"/>
            <w:vAlign w:val="center"/>
          </w:tcPr>
          <w:p w:rsidR="00565FD5" w:rsidRPr="004B3DE4" w:rsidRDefault="00565FD5" w:rsidP="00AB62A3">
            <w:pPr>
              <w:snapToGrid w:val="0"/>
              <w:ind w:firstLine="425"/>
              <w:jc w:val="right"/>
              <w:rPr>
                <w:rFonts w:cs="Tahoma"/>
                <w:sz w:val="14"/>
                <w:szCs w:val="14"/>
                <w:lang w:eastAsia="tr-TR"/>
              </w:rPr>
            </w:pPr>
            <w:r w:rsidRPr="004B3DE4">
              <w:rPr>
                <w:rFonts w:cs="Tahoma"/>
                <w:sz w:val="14"/>
                <w:szCs w:val="14"/>
                <w:lang w:eastAsia="tr-TR"/>
              </w:rPr>
              <w:t>2,1</w:t>
            </w:r>
          </w:p>
        </w:tc>
        <w:tc>
          <w:tcPr>
            <w:tcW w:w="624" w:type="pct"/>
            <w:tcBorders>
              <w:right w:val="single" w:sz="4" w:space="0" w:color="auto"/>
            </w:tcBorders>
            <w:vAlign w:val="center"/>
          </w:tcPr>
          <w:p w:rsidR="00565FD5" w:rsidRPr="004B3DE4" w:rsidRDefault="00565FD5" w:rsidP="00AB62A3">
            <w:pPr>
              <w:snapToGrid w:val="0"/>
              <w:jc w:val="right"/>
              <w:rPr>
                <w:rFonts w:cs="Tahoma"/>
                <w:sz w:val="14"/>
                <w:szCs w:val="14"/>
                <w:lang w:eastAsia="tr-TR"/>
              </w:rPr>
            </w:pPr>
            <w:r w:rsidRPr="004B3DE4">
              <w:rPr>
                <w:rFonts w:cs="Tahoma"/>
                <w:sz w:val="14"/>
                <w:szCs w:val="14"/>
                <w:lang w:eastAsia="tr-TR"/>
              </w:rPr>
              <w:t>8,1</w:t>
            </w:r>
          </w:p>
        </w:tc>
      </w:tr>
      <w:tr w:rsidR="00565FD5" w:rsidRPr="004B3DE4" w:rsidTr="00AB62A3">
        <w:tc>
          <w:tcPr>
            <w:tcW w:w="2063" w:type="pct"/>
            <w:tcBorders>
              <w:left w:val="single" w:sz="4" w:space="0" w:color="auto"/>
              <w:bottom w:val="single" w:sz="4" w:space="0" w:color="auto"/>
            </w:tcBorders>
            <w:vAlign w:val="center"/>
          </w:tcPr>
          <w:p w:rsidR="00565FD5" w:rsidRPr="004B3DE4" w:rsidRDefault="00565FD5" w:rsidP="00AB62A3">
            <w:pPr>
              <w:snapToGrid w:val="0"/>
              <w:ind w:left="20"/>
              <w:rPr>
                <w:rFonts w:cs="Tahoma"/>
                <w:sz w:val="14"/>
                <w:szCs w:val="14"/>
                <w:lang w:eastAsia="tr-TR"/>
              </w:rPr>
            </w:pPr>
            <w:r w:rsidRPr="004B3DE4">
              <w:rPr>
                <w:rFonts w:cs="Tahoma"/>
                <w:sz w:val="14"/>
                <w:szCs w:val="14"/>
                <w:lang w:eastAsia="tr-TR"/>
              </w:rPr>
              <w:t>Turizm Gideri (Milyon ABD doları) (4)</w:t>
            </w:r>
          </w:p>
        </w:tc>
        <w:tc>
          <w:tcPr>
            <w:tcW w:w="636" w:type="pct"/>
            <w:gridSpan w:val="2"/>
            <w:tcBorders>
              <w:bottom w:val="single" w:sz="4" w:space="0" w:color="auto"/>
            </w:tcBorders>
            <w:vAlign w:val="center"/>
          </w:tcPr>
          <w:p w:rsidR="00565FD5" w:rsidRPr="004B3DE4" w:rsidRDefault="00565FD5" w:rsidP="00AB62A3">
            <w:pPr>
              <w:snapToGrid w:val="0"/>
              <w:jc w:val="right"/>
              <w:rPr>
                <w:rFonts w:cs="Tahoma"/>
                <w:sz w:val="14"/>
                <w:szCs w:val="14"/>
                <w:lang w:eastAsia="tr-TR"/>
              </w:rPr>
            </w:pPr>
            <w:r w:rsidRPr="004B3DE4">
              <w:rPr>
                <w:rFonts w:cs="Tahoma"/>
                <w:sz w:val="14"/>
                <w:szCs w:val="14"/>
                <w:lang w:eastAsia="tr-TR"/>
              </w:rPr>
              <w:t>4 976</w:t>
            </w:r>
          </w:p>
        </w:tc>
        <w:tc>
          <w:tcPr>
            <w:tcW w:w="522" w:type="pct"/>
            <w:tcBorders>
              <w:bottom w:val="single" w:sz="4" w:space="0" w:color="auto"/>
            </w:tcBorders>
            <w:vAlign w:val="center"/>
          </w:tcPr>
          <w:p w:rsidR="00565FD5" w:rsidRPr="004B3DE4" w:rsidRDefault="00565FD5" w:rsidP="00AB62A3">
            <w:pPr>
              <w:snapToGrid w:val="0"/>
              <w:jc w:val="right"/>
              <w:rPr>
                <w:rFonts w:cs="Tahoma"/>
                <w:sz w:val="14"/>
                <w:szCs w:val="14"/>
                <w:lang w:eastAsia="tr-TR"/>
              </w:rPr>
            </w:pPr>
            <w:r w:rsidRPr="004B3DE4">
              <w:rPr>
                <w:rFonts w:cs="Tahoma"/>
                <w:sz w:val="14"/>
                <w:szCs w:val="14"/>
                <w:lang w:eastAsia="tr-TR"/>
              </w:rPr>
              <w:t>4 250</w:t>
            </w:r>
          </w:p>
        </w:tc>
        <w:tc>
          <w:tcPr>
            <w:tcW w:w="513" w:type="pct"/>
            <w:tcBorders>
              <w:bottom w:val="single" w:sz="4" w:space="0" w:color="auto"/>
            </w:tcBorders>
            <w:vAlign w:val="center"/>
          </w:tcPr>
          <w:p w:rsidR="00565FD5" w:rsidRPr="004B3DE4" w:rsidRDefault="00565FD5" w:rsidP="00AB62A3">
            <w:pPr>
              <w:snapToGrid w:val="0"/>
              <w:jc w:val="right"/>
              <w:rPr>
                <w:rFonts w:cs="Tahoma"/>
                <w:sz w:val="14"/>
                <w:szCs w:val="14"/>
                <w:lang w:eastAsia="tr-TR"/>
              </w:rPr>
            </w:pPr>
            <w:r w:rsidRPr="004B3DE4">
              <w:rPr>
                <w:rFonts w:cs="Tahoma"/>
                <w:sz w:val="14"/>
                <w:szCs w:val="14"/>
                <w:lang w:eastAsia="tr-TR"/>
              </w:rPr>
              <w:t>4 400</w:t>
            </w:r>
          </w:p>
        </w:tc>
        <w:tc>
          <w:tcPr>
            <w:tcW w:w="642" w:type="pct"/>
            <w:tcBorders>
              <w:bottom w:val="single" w:sz="4" w:space="0" w:color="auto"/>
            </w:tcBorders>
            <w:vAlign w:val="center"/>
          </w:tcPr>
          <w:p w:rsidR="00565FD5" w:rsidRPr="004B3DE4" w:rsidRDefault="00565FD5" w:rsidP="00AB62A3">
            <w:pPr>
              <w:snapToGrid w:val="0"/>
              <w:jc w:val="right"/>
              <w:rPr>
                <w:rFonts w:cs="Tahoma"/>
                <w:sz w:val="14"/>
                <w:szCs w:val="14"/>
                <w:lang w:eastAsia="tr-TR"/>
              </w:rPr>
            </w:pPr>
            <w:r w:rsidRPr="004B3DE4">
              <w:rPr>
                <w:rFonts w:cs="Tahoma"/>
                <w:sz w:val="14"/>
                <w:szCs w:val="14"/>
                <w:lang w:eastAsia="tr-TR"/>
              </w:rPr>
              <w:t>-14,6</w:t>
            </w:r>
          </w:p>
        </w:tc>
        <w:tc>
          <w:tcPr>
            <w:tcW w:w="624" w:type="pct"/>
            <w:tcBorders>
              <w:bottom w:val="single" w:sz="4" w:space="0" w:color="auto"/>
              <w:right w:val="single" w:sz="4" w:space="0" w:color="auto"/>
            </w:tcBorders>
            <w:vAlign w:val="center"/>
          </w:tcPr>
          <w:p w:rsidR="00565FD5" w:rsidRPr="004B3DE4" w:rsidRDefault="00565FD5" w:rsidP="00AB62A3">
            <w:pPr>
              <w:snapToGrid w:val="0"/>
              <w:jc w:val="right"/>
              <w:rPr>
                <w:rFonts w:cs="Tahoma"/>
                <w:sz w:val="14"/>
                <w:szCs w:val="14"/>
                <w:lang w:eastAsia="tr-TR"/>
              </w:rPr>
            </w:pPr>
            <w:r w:rsidRPr="004B3DE4">
              <w:rPr>
                <w:rFonts w:cs="Tahoma"/>
                <w:sz w:val="14"/>
                <w:szCs w:val="14"/>
                <w:lang w:eastAsia="tr-TR"/>
              </w:rPr>
              <w:t>3,5</w:t>
            </w:r>
          </w:p>
        </w:tc>
      </w:tr>
    </w:tbl>
    <w:p w:rsidR="00565FD5" w:rsidRPr="004B3DE4" w:rsidRDefault="00565FD5" w:rsidP="00565FD5">
      <w:pPr>
        <w:rPr>
          <w:rFonts w:cs="Tahoma"/>
          <w:sz w:val="12"/>
          <w:szCs w:val="12"/>
          <w:lang w:eastAsia="tr-TR"/>
        </w:rPr>
      </w:pPr>
      <w:r w:rsidRPr="004B3DE4">
        <w:rPr>
          <w:rFonts w:cs="Tahoma"/>
          <w:sz w:val="12"/>
          <w:szCs w:val="12"/>
          <w:lang w:eastAsia="tr-TR"/>
        </w:rPr>
        <w:t xml:space="preserve">(1) </w:t>
      </w:r>
      <w:r>
        <w:rPr>
          <w:rFonts w:cs="Tahoma"/>
          <w:sz w:val="12"/>
          <w:szCs w:val="12"/>
          <w:lang w:eastAsia="tr-TR"/>
        </w:rPr>
        <w:t xml:space="preserve">Gerçekleşme </w:t>
      </w:r>
      <w:r w:rsidRPr="004B3DE4">
        <w:rPr>
          <w:rFonts w:cs="Tahoma"/>
          <w:sz w:val="12"/>
          <w:szCs w:val="12"/>
          <w:lang w:eastAsia="tr-TR"/>
        </w:rPr>
        <w:t>Tahmin</w:t>
      </w:r>
      <w:r>
        <w:rPr>
          <w:rFonts w:cs="Tahoma"/>
          <w:sz w:val="12"/>
          <w:szCs w:val="12"/>
          <w:lang w:eastAsia="tr-TR"/>
        </w:rPr>
        <w:t>i</w:t>
      </w:r>
    </w:p>
    <w:p w:rsidR="00565FD5" w:rsidRPr="004B3DE4" w:rsidRDefault="00565FD5" w:rsidP="00565FD5">
      <w:pPr>
        <w:rPr>
          <w:rFonts w:cs="Tahoma"/>
          <w:sz w:val="12"/>
          <w:szCs w:val="12"/>
          <w:lang w:eastAsia="tr-TR"/>
        </w:rPr>
      </w:pPr>
      <w:r w:rsidRPr="004B3DE4">
        <w:rPr>
          <w:rFonts w:cs="Tahoma"/>
          <w:sz w:val="12"/>
          <w:szCs w:val="12"/>
          <w:lang w:eastAsia="tr-TR"/>
        </w:rPr>
        <w:lastRenderedPageBreak/>
        <w:t>(2) Program</w:t>
      </w:r>
    </w:p>
    <w:p w:rsidR="00565FD5" w:rsidRPr="004B3DE4" w:rsidRDefault="00565FD5" w:rsidP="00565FD5">
      <w:pPr>
        <w:rPr>
          <w:rFonts w:cs="Tahoma"/>
          <w:sz w:val="12"/>
          <w:szCs w:val="12"/>
          <w:lang w:eastAsia="tr-TR"/>
        </w:rPr>
      </w:pPr>
      <w:r w:rsidRPr="004B3DE4">
        <w:rPr>
          <w:rFonts w:cs="Tahoma"/>
          <w:sz w:val="12"/>
          <w:szCs w:val="12"/>
          <w:lang w:eastAsia="tr-TR"/>
        </w:rPr>
        <w:t>(3) Kültür ve Turizm Bakanlığı İstatistikleri</w:t>
      </w:r>
    </w:p>
    <w:p w:rsidR="00565FD5" w:rsidRPr="004B3DE4" w:rsidRDefault="00565FD5" w:rsidP="00565FD5">
      <w:pPr>
        <w:spacing w:after="240"/>
        <w:rPr>
          <w:rFonts w:cs="Tahoma"/>
          <w:sz w:val="14"/>
          <w:szCs w:val="16"/>
          <w:lang w:eastAsia="tr-TR"/>
        </w:rPr>
      </w:pPr>
      <w:r w:rsidRPr="004B3DE4">
        <w:rPr>
          <w:rFonts w:cs="Tahoma"/>
          <w:sz w:val="12"/>
          <w:szCs w:val="12"/>
          <w:lang w:eastAsia="tr-TR"/>
        </w:rPr>
        <w:t>(4) Merkez Bankası verileri</w:t>
      </w:r>
    </w:p>
    <w:p w:rsidR="00565FD5" w:rsidRPr="004B3DE4" w:rsidRDefault="00565FD5" w:rsidP="00565FD5">
      <w:pPr>
        <w:pStyle w:val="Balk4"/>
        <w:rPr>
          <w:lang w:eastAsia="tr-TR"/>
        </w:rPr>
      </w:pPr>
      <w:bookmarkStart w:id="2063" w:name="_Toc338505599"/>
      <w:bookmarkStart w:id="2064" w:name="_Toc338523829"/>
      <w:bookmarkStart w:id="2065" w:name="_Toc338524060"/>
      <w:bookmarkStart w:id="2066" w:name="_Toc338526286"/>
      <w:bookmarkStart w:id="2067" w:name="_Toc338673729"/>
      <w:bookmarkStart w:id="2068" w:name="_Toc338711608"/>
      <w:r w:rsidRPr="004B3DE4">
        <w:rPr>
          <w:lang w:eastAsia="tr-TR"/>
        </w:rPr>
        <w:t>3. Politika Öncelikleri ve Tedbirler</w:t>
      </w:r>
      <w:bookmarkEnd w:id="2063"/>
      <w:bookmarkEnd w:id="2064"/>
      <w:bookmarkEnd w:id="2065"/>
      <w:bookmarkEnd w:id="2066"/>
      <w:bookmarkEnd w:id="2067"/>
      <w:bookmarkEnd w:id="2068"/>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3"/>
        <w:gridCol w:w="2103"/>
        <w:gridCol w:w="605"/>
        <w:gridCol w:w="2583"/>
      </w:tblGrid>
      <w:tr w:rsidR="00565FD5" w:rsidRPr="004B3DE4" w:rsidTr="00AB62A3">
        <w:trPr>
          <w:trHeight w:val="484"/>
          <w:jc w:val="center"/>
        </w:trPr>
        <w:tc>
          <w:tcPr>
            <w:tcW w:w="1178" w:type="pct"/>
            <w:vAlign w:val="bottom"/>
          </w:tcPr>
          <w:p w:rsidR="00565FD5" w:rsidRPr="004B3DE4" w:rsidRDefault="00565FD5" w:rsidP="00AB62A3">
            <w:pPr>
              <w:spacing w:before="20" w:after="20"/>
              <w:rPr>
                <w:rFonts w:cs="Tahoma"/>
                <w:sz w:val="16"/>
                <w:szCs w:val="16"/>
                <w:lang w:eastAsia="tr-TR"/>
              </w:rPr>
            </w:pPr>
            <w:r w:rsidRPr="004B3DE4">
              <w:rPr>
                <w:rFonts w:cs="Tahoma"/>
                <w:b/>
                <w:bCs/>
                <w:sz w:val="16"/>
                <w:szCs w:val="16"/>
                <w:lang w:eastAsia="tr-TR"/>
              </w:rPr>
              <w:t>Öncelik / Tedbir</w:t>
            </w:r>
          </w:p>
        </w:tc>
        <w:tc>
          <w:tcPr>
            <w:tcW w:w="1512" w:type="pct"/>
            <w:vAlign w:val="bottom"/>
          </w:tcPr>
          <w:p w:rsidR="00565FD5" w:rsidRPr="004B3DE4" w:rsidRDefault="00565FD5" w:rsidP="00AB62A3">
            <w:pPr>
              <w:tabs>
                <w:tab w:val="left" w:pos="567"/>
              </w:tabs>
              <w:suppressAutoHyphens/>
              <w:snapToGrid w:val="0"/>
              <w:spacing w:before="20" w:after="20"/>
              <w:rPr>
                <w:rFonts w:cs="Tahoma"/>
                <w:b/>
                <w:bCs/>
                <w:sz w:val="16"/>
                <w:szCs w:val="16"/>
                <w:lang w:eastAsia="ar-SA"/>
              </w:rPr>
            </w:pPr>
            <w:r w:rsidRPr="004B3DE4">
              <w:rPr>
                <w:rFonts w:cs="Tahoma"/>
                <w:b/>
                <w:bCs/>
                <w:sz w:val="16"/>
                <w:szCs w:val="16"/>
                <w:lang w:eastAsia="ar-SA"/>
              </w:rPr>
              <w:t>Sorumlu/İşbirliği Yapılacak Kuruluşlar</w:t>
            </w:r>
          </w:p>
        </w:tc>
        <w:tc>
          <w:tcPr>
            <w:tcW w:w="463" w:type="pct"/>
            <w:vAlign w:val="bottom"/>
          </w:tcPr>
          <w:p w:rsidR="00565FD5" w:rsidRPr="004B3DE4" w:rsidRDefault="00565FD5" w:rsidP="00AB62A3">
            <w:pPr>
              <w:tabs>
                <w:tab w:val="left" w:pos="567"/>
              </w:tabs>
              <w:suppressAutoHyphens/>
              <w:snapToGrid w:val="0"/>
              <w:spacing w:before="20" w:after="20"/>
              <w:rPr>
                <w:rFonts w:cs="Tahoma"/>
                <w:b/>
                <w:bCs/>
                <w:sz w:val="16"/>
                <w:szCs w:val="16"/>
                <w:lang w:eastAsia="ar-SA"/>
              </w:rPr>
            </w:pPr>
            <w:r w:rsidRPr="004B3DE4">
              <w:rPr>
                <w:rFonts w:cs="Tahoma"/>
                <w:b/>
                <w:bCs/>
                <w:sz w:val="16"/>
                <w:szCs w:val="16"/>
                <w:lang w:eastAsia="ar-SA"/>
              </w:rPr>
              <w:t>Süre</w:t>
            </w:r>
          </w:p>
        </w:tc>
        <w:tc>
          <w:tcPr>
            <w:tcW w:w="1846" w:type="pct"/>
            <w:vAlign w:val="bottom"/>
          </w:tcPr>
          <w:p w:rsidR="00565FD5" w:rsidRPr="004B3DE4" w:rsidRDefault="00565FD5" w:rsidP="00AB62A3">
            <w:pPr>
              <w:tabs>
                <w:tab w:val="left" w:pos="567"/>
              </w:tabs>
              <w:suppressAutoHyphens/>
              <w:snapToGrid w:val="0"/>
              <w:spacing w:before="20" w:after="20"/>
              <w:rPr>
                <w:rFonts w:cs="Tahoma"/>
                <w:b/>
                <w:bCs/>
                <w:sz w:val="16"/>
                <w:szCs w:val="16"/>
                <w:lang w:eastAsia="ar-SA"/>
              </w:rPr>
            </w:pPr>
            <w:r w:rsidRPr="004B3DE4">
              <w:rPr>
                <w:rFonts w:cs="Tahoma"/>
                <w:b/>
                <w:bCs/>
                <w:sz w:val="16"/>
                <w:szCs w:val="16"/>
                <w:lang w:eastAsia="ar-SA"/>
              </w:rPr>
              <w:t>Yapılacak İşlem ve Açıklama</w:t>
            </w:r>
          </w:p>
        </w:tc>
      </w:tr>
      <w:tr w:rsidR="00565FD5" w:rsidRPr="004B3DE4" w:rsidTr="00AB62A3">
        <w:trPr>
          <w:trHeight w:val="263"/>
          <w:jc w:val="center"/>
        </w:trPr>
        <w:tc>
          <w:tcPr>
            <w:tcW w:w="5000" w:type="pct"/>
            <w:gridSpan w:val="4"/>
          </w:tcPr>
          <w:p w:rsidR="00565FD5" w:rsidRPr="004B3DE4" w:rsidRDefault="00565FD5" w:rsidP="00EB1E69">
            <w:pPr>
              <w:numPr>
                <w:ilvl w:val="0"/>
                <w:numId w:val="15"/>
              </w:numPr>
              <w:tabs>
                <w:tab w:val="left" w:pos="0"/>
              </w:tabs>
              <w:snapToGrid w:val="0"/>
              <w:spacing w:before="20" w:after="20" w:line="240" w:lineRule="auto"/>
              <w:jc w:val="both"/>
              <w:rPr>
                <w:rFonts w:cs="Tahoma"/>
                <w:b/>
                <w:bCs/>
                <w:sz w:val="16"/>
                <w:szCs w:val="16"/>
                <w:lang w:eastAsia="tr-TR"/>
              </w:rPr>
            </w:pPr>
            <w:r w:rsidRPr="004B3DE4">
              <w:rPr>
                <w:rFonts w:cs="Tahoma"/>
                <w:b/>
                <w:bCs/>
                <w:sz w:val="16"/>
                <w:szCs w:val="16"/>
                <w:lang w:eastAsia="tr-TR"/>
              </w:rPr>
              <w:t xml:space="preserve">Turizm yatırımları yeşil büyüme yaklaşımı çerçevesinde doğal, tarihi, sosyal ve kültürel çevreyi koruyucu ve geliştirici bir anlayışla ele alınacaktır. </w:t>
            </w:r>
          </w:p>
        </w:tc>
      </w:tr>
      <w:tr w:rsidR="00565FD5" w:rsidRPr="004B3DE4" w:rsidTr="00AB62A3">
        <w:trPr>
          <w:trHeight w:val="806"/>
          <w:jc w:val="center"/>
        </w:trPr>
        <w:tc>
          <w:tcPr>
            <w:tcW w:w="1178" w:type="pct"/>
          </w:tcPr>
          <w:p w:rsidR="00565FD5" w:rsidRPr="004B3DE4" w:rsidRDefault="00565FD5" w:rsidP="00EB1E69">
            <w:pPr>
              <w:numPr>
                <w:ilvl w:val="0"/>
                <w:numId w:val="14"/>
              </w:numPr>
              <w:tabs>
                <w:tab w:val="left" w:pos="567"/>
              </w:tabs>
              <w:suppressAutoHyphens/>
              <w:snapToGrid w:val="0"/>
              <w:spacing w:before="20" w:after="20" w:line="240" w:lineRule="auto"/>
              <w:rPr>
                <w:rFonts w:cs="Tahoma"/>
                <w:sz w:val="16"/>
                <w:szCs w:val="16"/>
                <w:lang w:eastAsia="ar-SA"/>
              </w:rPr>
            </w:pPr>
            <w:r w:rsidRPr="004B3DE4">
              <w:rPr>
                <w:rFonts w:cs="Tahoma"/>
                <w:sz w:val="16"/>
                <w:szCs w:val="16"/>
                <w:lang w:eastAsia="ar-SA"/>
              </w:rPr>
              <w:t xml:space="preserve">Varış Noktası Yönetimi kapsamındaki projeler desteklenecektir. </w:t>
            </w:r>
          </w:p>
        </w:tc>
        <w:tc>
          <w:tcPr>
            <w:tcW w:w="1512" w:type="pct"/>
          </w:tcPr>
          <w:p w:rsidR="00565FD5" w:rsidRPr="004B3DE4" w:rsidRDefault="00565FD5" w:rsidP="00AB62A3">
            <w:pPr>
              <w:tabs>
                <w:tab w:val="left" w:pos="792"/>
              </w:tabs>
              <w:snapToGrid w:val="0"/>
              <w:spacing w:before="20" w:after="20"/>
              <w:rPr>
                <w:rFonts w:cs="Tahoma"/>
                <w:sz w:val="16"/>
                <w:szCs w:val="16"/>
                <w:lang w:eastAsia="tr-TR"/>
              </w:rPr>
            </w:pPr>
            <w:r w:rsidRPr="004B3DE4">
              <w:rPr>
                <w:rFonts w:cs="Tahoma"/>
                <w:sz w:val="16"/>
                <w:szCs w:val="16"/>
                <w:lang w:eastAsia="tr-TR"/>
              </w:rPr>
              <w:t xml:space="preserve">Kültür ve Turizm Bakanlığı (S), İl Özel İdareleri, Belediyeler, Üniversiteler, Sivil Toplum ve Sektör Kuruluşları </w:t>
            </w:r>
          </w:p>
        </w:tc>
        <w:tc>
          <w:tcPr>
            <w:tcW w:w="463" w:type="pct"/>
          </w:tcPr>
          <w:p w:rsidR="00565FD5" w:rsidRPr="004B3DE4" w:rsidRDefault="00565FD5" w:rsidP="00AB62A3">
            <w:pPr>
              <w:tabs>
                <w:tab w:val="left" w:pos="567"/>
              </w:tabs>
              <w:suppressAutoHyphens/>
              <w:snapToGrid w:val="0"/>
              <w:spacing w:before="20" w:after="20"/>
              <w:rPr>
                <w:rFonts w:cs="Tahoma"/>
                <w:sz w:val="16"/>
                <w:szCs w:val="16"/>
                <w:lang w:eastAsia="ar-SA"/>
              </w:rPr>
            </w:pPr>
            <w:r w:rsidRPr="004B3DE4">
              <w:rPr>
                <w:rFonts w:cs="Tahoma"/>
                <w:sz w:val="16"/>
                <w:szCs w:val="16"/>
                <w:lang w:eastAsia="ar-SA"/>
              </w:rPr>
              <w:t>Aralık Sonu</w:t>
            </w:r>
          </w:p>
        </w:tc>
        <w:tc>
          <w:tcPr>
            <w:tcW w:w="1846" w:type="pct"/>
          </w:tcPr>
          <w:p w:rsidR="00565FD5" w:rsidRPr="004B3DE4" w:rsidRDefault="00565FD5" w:rsidP="00AB62A3">
            <w:pPr>
              <w:tabs>
                <w:tab w:val="left" w:pos="567"/>
              </w:tabs>
              <w:suppressAutoHyphens/>
              <w:snapToGrid w:val="0"/>
              <w:spacing w:before="20" w:after="20"/>
              <w:rPr>
                <w:rFonts w:cs="Tahoma"/>
                <w:sz w:val="16"/>
                <w:szCs w:val="16"/>
                <w:lang w:eastAsia="ar-SA"/>
              </w:rPr>
            </w:pPr>
            <w:r w:rsidRPr="004B3DE4">
              <w:rPr>
                <w:rFonts w:cs="Tahoma"/>
                <w:sz w:val="16"/>
                <w:szCs w:val="16"/>
                <w:lang w:eastAsia="ar-SA"/>
              </w:rPr>
              <w:t>Varış noktalarında çevrenin, tarihi ve kültürel değerlerin korunması ve geliştirilmesi sağlanacak, turistik ürün geliştirme ve pazarlama konuları desteklenecektir. Bu kapsamda öncelikle Likya Yolu, Frigya Termal Turizm Gelişim Bölgesi ve İpek Yolu Koridorları ele alınacaktır.</w:t>
            </w:r>
          </w:p>
        </w:tc>
      </w:tr>
      <w:tr w:rsidR="00565FD5" w:rsidRPr="004B3DE4" w:rsidTr="00AB62A3">
        <w:trPr>
          <w:trHeight w:val="169"/>
          <w:jc w:val="center"/>
        </w:trPr>
        <w:tc>
          <w:tcPr>
            <w:tcW w:w="1178" w:type="pct"/>
          </w:tcPr>
          <w:p w:rsidR="00565FD5" w:rsidRPr="004B3DE4" w:rsidRDefault="00565FD5" w:rsidP="00EB1E69">
            <w:pPr>
              <w:numPr>
                <w:ilvl w:val="0"/>
                <w:numId w:val="14"/>
              </w:numPr>
              <w:tabs>
                <w:tab w:val="left" w:pos="567"/>
              </w:tabs>
              <w:suppressAutoHyphens/>
              <w:snapToGrid w:val="0"/>
              <w:spacing w:before="20" w:after="20" w:line="240" w:lineRule="auto"/>
              <w:rPr>
                <w:rFonts w:cs="Tahoma"/>
                <w:sz w:val="16"/>
                <w:szCs w:val="16"/>
                <w:lang w:eastAsia="ar-SA"/>
              </w:rPr>
            </w:pPr>
            <w:r w:rsidRPr="004B3DE4">
              <w:rPr>
                <w:rFonts w:cs="Tahoma"/>
                <w:sz w:val="16"/>
                <w:szCs w:val="16"/>
                <w:lang w:eastAsia="ar-SA"/>
              </w:rPr>
              <w:t xml:space="preserve">Doğal ve tarihi çevrenin korunmasında hız ve etkinlik sağlanacak, Kültür ve Turizm Gelişim Bölgelerinde katı ve sıvı atıklar arındırılacaktır. </w:t>
            </w:r>
          </w:p>
        </w:tc>
        <w:tc>
          <w:tcPr>
            <w:tcW w:w="1512" w:type="pct"/>
          </w:tcPr>
          <w:p w:rsidR="00565FD5" w:rsidRPr="004B3DE4" w:rsidRDefault="00565FD5" w:rsidP="00AB62A3">
            <w:pPr>
              <w:tabs>
                <w:tab w:val="left" w:pos="792"/>
              </w:tabs>
              <w:snapToGrid w:val="0"/>
              <w:spacing w:before="20" w:after="20"/>
              <w:rPr>
                <w:rFonts w:cs="Tahoma"/>
                <w:sz w:val="16"/>
                <w:szCs w:val="16"/>
                <w:lang w:eastAsia="tr-TR"/>
              </w:rPr>
            </w:pPr>
            <w:r w:rsidRPr="004B3DE4">
              <w:rPr>
                <w:rFonts w:cs="Tahoma"/>
                <w:sz w:val="16"/>
                <w:szCs w:val="16"/>
                <w:lang w:eastAsia="tr-TR"/>
              </w:rPr>
              <w:t>Kültür ve Turizm Bakanlığı (S), Çevre ve Şehircilik Bakanlığı, Yerel Yönetimler, Sivil Toplum Kuruluşları</w:t>
            </w:r>
          </w:p>
        </w:tc>
        <w:tc>
          <w:tcPr>
            <w:tcW w:w="463" w:type="pct"/>
          </w:tcPr>
          <w:p w:rsidR="00565FD5" w:rsidRPr="004B3DE4" w:rsidRDefault="00565FD5" w:rsidP="00AB62A3">
            <w:pPr>
              <w:tabs>
                <w:tab w:val="left" w:pos="567"/>
              </w:tabs>
              <w:suppressAutoHyphens/>
              <w:snapToGrid w:val="0"/>
              <w:spacing w:before="20" w:after="20"/>
              <w:rPr>
                <w:rFonts w:cs="Tahoma"/>
                <w:sz w:val="16"/>
                <w:szCs w:val="16"/>
                <w:lang w:eastAsia="ar-SA"/>
              </w:rPr>
            </w:pPr>
            <w:r w:rsidRPr="004B3DE4">
              <w:rPr>
                <w:rFonts w:cs="Tahoma"/>
                <w:sz w:val="16"/>
                <w:szCs w:val="16"/>
                <w:lang w:eastAsia="ar-SA"/>
              </w:rPr>
              <w:t>Aralık Sonu</w:t>
            </w:r>
          </w:p>
        </w:tc>
        <w:tc>
          <w:tcPr>
            <w:tcW w:w="1846" w:type="pct"/>
          </w:tcPr>
          <w:p w:rsidR="00565FD5" w:rsidRPr="004B3DE4" w:rsidRDefault="00565FD5" w:rsidP="00AB62A3">
            <w:pPr>
              <w:tabs>
                <w:tab w:val="left" w:pos="567"/>
              </w:tabs>
              <w:suppressAutoHyphens/>
              <w:snapToGrid w:val="0"/>
              <w:spacing w:before="20" w:after="20"/>
              <w:rPr>
                <w:rFonts w:cs="Tahoma"/>
                <w:sz w:val="16"/>
                <w:szCs w:val="16"/>
                <w:lang w:eastAsia="ar-SA"/>
              </w:rPr>
            </w:pPr>
            <w:r w:rsidRPr="004B3DE4">
              <w:rPr>
                <w:rFonts w:cs="Tahoma"/>
                <w:sz w:val="16"/>
                <w:szCs w:val="16"/>
                <w:lang w:eastAsia="ar-SA"/>
              </w:rPr>
              <w:t xml:space="preserve">Atık su arıtma tesisleri, katı atık düzenli depolama tesis ve inşaatlarının yapımı, uygulama projesi hazır olanlar öncelendirilerek ödenekler ölçüsünde gerçekleştirilecektir. Akdeniz-Ege Turizm Altyapısı ve Kıyı Yönetimi (ATAK) kapsamında yapımı programlanan atık su arıtma, terfi ve derin deşarj tesisleri, katı atık düzenli depolama ve kompost tesisleri,   kanalizasyon kolektör hattı ve şebeke yapımı tamamlanacaktır.     </w:t>
            </w:r>
          </w:p>
        </w:tc>
      </w:tr>
      <w:tr w:rsidR="00565FD5" w:rsidRPr="004B3DE4" w:rsidTr="00AB62A3">
        <w:trPr>
          <w:trHeight w:val="169"/>
          <w:jc w:val="center"/>
        </w:trPr>
        <w:tc>
          <w:tcPr>
            <w:tcW w:w="1178" w:type="pct"/>
          </w:tcPr>
          <w:p w:rsidR="00565FD5" w:rsidRPr="004B3DE4" w:rsidRDefault="00565FD5" w:rsidP="00EB1E69">
            <w:pPr>
              <w:numPr>
                <w:ilvl w:val="0"/>
                <w:numId w:val="14"/>
              </w:numPr>
              <w:tabs>
                <w:tab w:val="left" w:pos="567"/>
              </w:tabs>
              <w:suppressAutoHyphens/>
              <w:snapToGrid w:val="0"/>
              <w:spacing w:before="20" w:after="20" w:line="240" w:lineRule="auto"/>
              <w:rPr>
                <w:rFonts w:cs="Tahoma"/>
                <w:sz w:val="16"/>
                <w:szCs w:val="16"/>
                <w:lang w:eastAsia="ar-SA"/>
              </w:rPr>
            </w:pPr>
            <w:r w:rsidRPr="004B3DE4">
              <w:rPr>
                <w:rFonts w:cs="Tahoma"/>
                <w:sz w:val="16"/>
                <w:szCs w:val="16"/>
                <w:lang w:eastAsia="ar-SA"/>
              </w:rPr>
              <w:t>Konaklama tesislerinde Yeşil Yıldız belgelendirme sisteminin yaygınlaştırılması sağlanacaktır.</w:t>
            </w:r>
          </w:p>
        </w:tc>
        <w:tc>
          <w:tcPr>
            <w:tcW w:w="1512" w:type="pct"/>
          </w:tcPr>
          <w:p w:rsidR="00565FD5" w:rsidRPr="004B3DE4" w:rsidRDefault="00565FD5" w:rsidP="00AB62A3">
            <w:pPr>
              <w:tabs>
                <w:tab w:val="left" w:pos="792"/>
              </w:tabs>
              <w:snapToGrid w:val="0"/>
              <w:spacing w:before="20" w:after="20"/>
              <w:rPr>
                <w:rFonts w:cs="Tahoma"/>
                <w:sz w:val="16"/>
                <w:szCs w:val="16"/>
                <w:lang w:eastAsia="tr-TR"/>
              </w:rPr>
            </w:pPr>
            <w:r w:rsidRPr="004B3DE4">
              <w:rPr>
                <w:rFonts w:cs="Tahoma"/>
                <w:sz w:val="16"/>
                <w:szCs w:val="16"/>
                <w:lang w:eastAsia="tr-TR"/>
              </w:rPr>
              <w:t>Kültür ve Turizm Bakanlığı (S), Çevre ve Şehircilik Bakanlığı, Yerel Yönetimler, Sektör Organizasyonları (TUROB,TÜROFED,TYD)</w:t>
            </w:r>
          </w:p>
          <w:p w:rsidR="00565FD5" w:rsidRPr="004B3DE4" w:rsidRDefault="00565FD5" w:rsidP="00AB62A3">
            <w:pPr>
              <w:tabs>
                <w:tab w:val="left" w:pos="792"/>
              </w:tabs>
              <w:snapToGrid w:val="0"/>
              <w:spacing w:before="20" w:after="20"/>
              <w:ind w:firstLine="425"/>
              <w:rPr>
                <w:rFonts w:cs="Tahoma"/>
                <w:sz w:val="16"/>
                <w:szCs w:val="16"/>
                <w:lang w:eastAsia="tr-TR"/>
              </w:rPr>
            </w:pPr>
          </w:p>
        </w:tc>
        <w:tc>
          <w:tcPr>
            <w:tcW w:w="463" w:type="pct"/>
          </w:tcPr>
          <w:p w:rsidR="00565FD5" w:rsidRPr="004B3DE4" w:rsidRDefault="00565FD5" w:rsidP="00AB62A3">
            <w:pPr>
              <w:tabs>
                <w:tab w:val="left" w:pos="567"/>
              </w:tabs>
              <w:suppressAutoHyphens/>
              <w:snapToGrid w:val="0"/>
              <w:spacing w:before="20" w:after="20"/>
              <w:rPr>
                <w:rFonts w:cs="Tahoma"/>
                <w:sz w:val="16"/>
                <w:szCs w:val="16"/>
                <w:lang w:eastAsia="ar-SA"/>
              </w:rPr>
            </w:pPr>
            <w:r w:rsidRPr="004B3DE4">
              <w:rPr>
                <w:rFonts w:cs="Tahoma"/>
                <w:sz w:val="16"/>
                <w:szCs w:val="16"/>
                <w:lang w:eastAsia="ar-SA"/>
              </w:rPr>
              <w:t>Aralık Sonu</w:t>
            </w:r>
          </w:p>
        </w:tc>
        <w:tc>
          <w:tcPr>
            <w:tcW w:w="1846" w:type="pct"/>
          </w:tcPr>
          <w:p w:rsidR="00565FD5" w:rsidRPr="004B3DE4" w:rsidRDefault="00565FD5" w:rsidP="00AB62A3">
            <w:pPr>
              <w:tabs>
                <w:tab w:val="left" w:pos="567"/>
              </w:tabs>
              <w:suppressAutoHyphens/>
              <w:snapToGrid w:val="0"/>
              <w:spacing w:before="20" w:after="20"/>
              <w:rPr>
                <w:rFonts w:cs="Tahoma"/>
                <w:sz w:val="16"/>
                <w:szCs w:val="16"/>
                <w:lang w:eastAsia="ar-SA"/>
              </w:rPr>
            </w:pPr>
            <w:r w:rsidRPr="004B3DE4">
              <w:rPr>
                <w:rFonts w:cs="Tahoma"/>
                <w:sz w:val="16"/>
                <w:szCs w:val="16"/>
                <w:lang w:eastAsia="ar-SA"/>
              </w:rPr>
              <w:t>Ülkemiz turizm sektörünün uzun erimli çevresel, sosyo-kültürel ve ekonomik sürdürülebilirliğini sağlamak üzere AB ölçütlerini dikkate alan ve 2008/3 sayılı Tebliğ kapsamında Kültür ve Turizm Bakanlığından belgeli konaklama tesislerinde uygulanmaya başlanan çevreye duyarlı konaklama tesisi belgesi Yeşil Yıldız eko-etiketleme uygulamasının özendirilerek yaygınlaştırılması konusunda gerekli düzenlemeler yapılacaktır.</w:t>
            </w:r>
          </w:p>
        </w:tc>
      </w:tr>
      <w:tr w:rsidR="00565FD5" w:rsidRPr="004B3DE4" w:rsidTr="00AB62A3">
        <w:trPr>
          <w:trHeight w:val="169"/>
          <w:jc w:val="center"/>
        </w:trPr>
        <w:tc>
          <w:tcPr>
            <w:tcW w:w="1178" w:type="pct"/>
          </w:tcPr>
          <w:p w:rsidR="00565FD5" w:rsidRPr="004B3DE4" w:rsidRDefault="00565FD5" w:rsidP="00EB1E69">
            <w:pPr>
              <w:numPr>
                <w:ilvl w:val="0"/>
                <w:numId w:val="14"/>
              </w:numPr>
              <w:tabs>
                <w:tab w:val="left" w:pos="567"/>
              </w:tabs>
              <w:suppressAutoHyphens/>
              <w:snapToGrid w:val="0"/>
              <w:spacing w:before="20" w:after="40" w:line="240" w:lineRule="auto"/>
              <w:rPr>
                <w:rFonts w:cs="Tahoma"/>
                <w:sz w:val="16"/>
                <w:szCs w:val="16"/>
                <w:lang w:eastAsia="ar-SA"/>
              </w:rPr>
            </w:pPr>
            <w:r w:rsidRPr="004B3DE4">
              <w:rPr>
                <w:rFonts w:cs="Tahoma"/>
                <w:sz w:val="16"/>
                <w:szCs w:val="16"/>
                <w:lang w:eastAsia="ar-SA"/>
              </w:rPr>
              <w:t xml:space="preserve">Turizm </w:t>
            </w:r>
            <w:r w:rsidRPr="004B3DE4">
              <w:rPr>
                <w:rFonts w:cs="Tahoma"/>
                <w:sz w:val="16"/>
                <w:szCs w:val="16"/>
                <w:lang w:eastAsia="ar-SA"/>
              </w:rPr>
              <w:lastRenderedPageBreak/>
              <w:t xml:space="preserve">sektörü hizmetlerinde niteliğin yükseltilmesi sağlanacaktır. </w:t>
            </w:r>
          </w:p>
        </w:tc>
        <w:tc>
          <w:tcPr>
            <w:tcW w:w="1512" w:type="pct"/>
          </w:tcPr>
          <w:p w:rsidR="00565FD5" w:rsidRPr="004B3DE4" w:rsidRDefault="00565FD5" w:rsidP="00AB62A3">
            <w:pPr>
              <w:tabs>
                <w:tab w:val="left" w:pos="792"/>
              </w:tabs>
              <w:snapToGrid w:val="0"/>
              <w:spacing w:before="20" w:after="40"/>
              <w:rPr>
                <w:rFonts w:cs="Tahoma"/>
                <w:sz w:val="16"/>
                <w:szCs w:val="16"/>
                <w:lang w:eastAsia="tr-TR"/>
              </w:rPr>
            </w:pPr>
            <w:r w:rsidRPr="004B3DE4">
              <w:rPr>
                <w:rFonts w:cs="Tahoma"/>
                <w:sz w:val="16"/>
                <w:szCs w:val="16"/>
                <w:lang w:eastAsia="tr-TR"/>
              </w:rPr>
              <w:lastRenderedPageBreak/>
              <w:t xml:space="preserve">Mesleki Yeterlilik Kurumu </w:t>
            </w:r>
            <w:r w:rsidRPr="004B3DE4">
              <w:rPr>
                <w:rFonts w:cs="Tahoma"/>
                <w:sz w:val="16"/>
                <w:szCs w:val="16"/>
                <w:lang w:eastAsia="tr-TR"/>
              </w:rPr>
              <w:lastRenderedPageBreak/>
              <w:t>(S), Kültür ve Turizm Bakanlığı, Milli Eğitim Bakanlığı,  Yerel Yönetimler, AKTOB, TUROB</w:t>
            </w:r>
          </w:p>
        </w:tc>
        <w:tc>
          <w:tcPr>
            <w:tcW w:w="463" w:type="pct"/>
          </w:tcPr>
          <w:p w:rsidR="00565FD5" w:rsidRPr="004B3DE4" w:rsidRDefault="00565FD5" w:rsidP="00AB62A3">
            <w:pPr>
              <w:tabs>
                <w:tab w:val="left" w:pos="567"/>
              </w:tabs>
              <w:suppressAutoHyphens/>
              <w:snapToGrid w:val="0"/>
              <w:spacing w:before="20" w:after="40"/>
              <w:rPr>
                <w:rFonts w:cs="Tahoma"/>
                <w:sz w:val="16"/>
                <w:szCs w:val="16"/>
                <w:lang w:eastAsia="ar-SA"/>
              </w:rPr>
            </w:pPr>
            <w:r w:rsidRPr="004B3DE4">
              <w:rPr>
                <w:rFonts w:cs="Tahoma"/>
                <w:sz w:val="16"/>
                <w:szCs w:val="16"/>
                <w:lang w:eastAsia="ar-SA"/>
              </w:rPr>
              <w:lastRenderedPageBreak/>
              <w:t xml:space="preserve">Aralık </w:t>
            </w:r>
            <w:r w:rsidRPr="004B3DE4">
              <w:rPr>
                <w:rFonts w:cs="Tahoma"/>
                <w:sz w:val="16"/>
                <w:szCs w:val="16"/>
                <w:lang w:eastAsia="ar-SA"/>
              </w:rPr>
              <w:lastRenderedPageBreak/>
              <w:t>Sonu</w:t>
            </w:r>
          </w:p>
        </w:tc>
        <w:tc>
          <w:tcPr>
            <w:tcW w:w="1846" w:type="pct"/>
          </w:tcPr>
          <w:p w:rsidR="00565FD5" w:rsidRPr="004B3DE4" w:rsidRDefault="00565FD5" w:rsidP="00AB62A3">
            <w:pPr>
              <w:tabs>
                <w:tab w:val="left" w:pos="567"/>
              </w:tabs>
              <w:suppressAutoHyphens/>
              <w:snapToGrid w:val="0"/>
              <w:spacing w:before="20" w:after="40"/>
              <w:rPr>
                <w:rFonts w:cs="Tahoma"/>
                <w:sz w:val="16"/>
                <w:szCs w:val="16"/>
                <w:lang w:eastAsia="ar-SA"/>
              </w:rPr>
            </w:pPr>
            <w:r w:rsidRPr="004B3DE4">
              <w:rPr>
                <w:rFonts w:cs="Tahoma"/>
                <w:sz w:val="16"/>
                <w:szCs w:val="16"/>
                <w:lang w:eastAsia="ar-SA"/>
              </w:rPr>
              <w:lastRenderedPageBreak/>
              <w:t xml:space="preserve">Mesleki Yeterlilik Kurumu </w:t>
            </w:r>
            <w:r w:rsidRPr="004B3DE4">
              <w:rPr>
                <w:rFonts w:cs="Tahoma"/>
                <w:sz w:val="16"/>
                <w:szCs w:val="16"/>
                <w:lang w:eastAsia="ar-SA"/>
              </w:rPr>
              <w:lastRenderedPageBreak/>
              <w:t xml:space="preserve">koordinasyonunda turizm personelinin belgelendirilmesi (sertifikasyon) uygulamaları hızlandırılarak sürdürülecektir.    </w:t>
            </w:r>
          </w:p>
        </w:tc>
      </w:tr>
      <w:tr w:rsidR="00565FD5" w:rsidRPr="004B3DE4" w:rsidTr="00AB62A3">
        <w:trPr>
          <w:trHeight w:val="169"/>
          <w:jc w:val="center"/>
        </w:trPr>
        <w:tc>
          <w:tcPr>
            <w:tcW w:w="5000" w:type="pct"/>
            <w:gridSpan w:val="4"/>
          </w:tcPr>
          <w:p w:rsidR="00565FD5" w:rsidRPr="004B3DE4" w:rsidRDefault="00565FD5" w:rsidP="00EB1E69">
            <w:pPr>
              <w:numPr>
                <w:ilvl w:val="0"/>
                <w:numId w:val="15"/>
              </w:numPr>
              <w:tabs>
                <w:tab w:val="left" w:pos="0"/>
              </w:tabs>
              <w:snapToGrid w:val="0"/>
              <w:spacing w:before="20" w:after="40" w:line="240" w:lineRule="auto"/>
              <w:jc w:val="both"/>
              <w:rPr>
                <w:rFonts w:cs="Tahoma"/>
                <w:b/>
                <w:bCs/>
                <w:sz w:val="16"/>
                <w:szCs w:val="16"/>
                <w:lang w:eastAsia="tr-TR"/>
              </w:rPr>
            </w:pPr>
            <w:r w:rsidRPr="004B3DE4">
              <w:rPr>
                <w:rFonts w:cs="Tahoma"/>
                <w:b/>
                <w:bCs/>
                <w:sz w:val="16"/>
                <w:szCs w:val="16"/>
                <w:lang w:eastAsia="tr-TR"/>
              </w:rPr>
              <w:lastRenderedPageBreak/>
              <w:t xml:space="preserve">Turizm yatırımları, gelişmiş ve yoğun kullanıma konu olan yörelerden diğer alanlara kaydırılarak çeşitlendirilecek ve turizm faaliyetlerinin tüm yıla yayılması sağlanacaktır.    </w:t>
            </w:r>
          </w:p>
        </w:tc>
      </w:tr>
      <w:tr w:rsidR="00565FD5" w:rsidRPr="004B3DE4" w:rsidTr="00AB62A3">
        <w:trPr>
          <w:trHeight w:val="1284"/>
          <w:jc w:val="center"/>
        </w:trPr>
        <w:tc>
          <w:tcPr>
            <w:tcW w:w="1178" w:type="pct"/>
          </w:tcPr>
          <w:p w:rsidR="00565FD5" w:rsidRPr="004B3DE4" w:rsidRDefault="00565FD5" w:rsidP="00EB1E69">
            <w:pPr>
              <w:numPr>
                <w:ilvl w:val="0"/>
                <w:numId w:val="14"/>
              </w:numPr>
              <w:tabs>
                <w:tab w:val="left" w:pos="567"/>
              </w:tabs>
              <w:suppressAutoHyphens/>
              <w:snapToGrid w:val="0"/>
              <w:spacing w:before="20" w:after="40" w:line="240" w:lineRule="auto"/>
              <w:rPr>
                <w:rFonts w:cs="Tahoma"/>
                <w:sz w:val="16"/>
                <w:szCs w:val="16"/>
                <w:lang w:val="en-US" w:eastAsia="ar-SA"/>
              </w:rPr>
            </w:pPr>
            <w:r w:rsidRPr="004B3DE4">
              <w:rPr>
                <w:rFonts w:cs="Tahoma"/>
                <w:sz w:val="16"/>
                <w:szCs w:val="16"/>
                <w:lang w:eastAsia="ar-SA"/>
              </w:rPr>
              <w:t>Turizme hizmet veren planlama, yatırım ve danışmanlık firmaları belgelendirilecektir.</w:t>
            </w:r>
          </w:p>
        </w:tc>
        <w:tc>
          <w:tcPr>
            <w:tcW w:w="1512" w:type="pct"/>
          </w:tcPr>
          <w:p w:rsidR="00565FD5" w:rsidRPr="004B3DE4" w:rsidRDefault="00565FD5" w:rsidP="00AB62A3">
            <w:pPr>
              <w:tabs>
                <w:tab w:val="left" w:pos="792"/>
              </w:tabs>
              <w:snapToGrid w:val="0"/>
              <w:spacing w:before="20" w:after="40"/>
              <w:rPr>
                <w:rFonts w:cs="Tahoma"/>
                <w:sz w:val="16"/>
                <w:szCs w:val="16"/>
                <w:lang w:eastAsia="tr-TR"/>
              </w:rPr>
            </w:pPr>
            <w:r w:rsidRPr="004B3DE4">
              <w:rPr>
                <w:rFonts w:cs="Tahoma"/>
                <w:sz w:val="16"/>
                <w:szCs w:val="16"/>
                <w:lang w:eastAsia="tr-TR"/>
              </w:rPr>
              <w:t>Kültür ve Turizm Bakanlığı (S), Sektör Kuruluşları</w:t>
            </w:r>
          </w:p>
        </w:tc>
        <w:tc>
          <w:tcPr>
            <w:tcW w:w="463" w:type="pct"/>
          </w:tcPr>
          <w:p w:rsidR="00565FD5" w:rsidRPr="004B3DE4" w:rsidRDefault="00565FD5" w:rsidP="00AB62A3">
            <w:pPr>
              <w:tabs>
                <w:tab w:val="left" w:pos="567"/>
              </w:tabs>
              <w:suppressAutoHyphens/>
              <w:snapToGrid w:val="0"/>
              <w:spacing w:before="20" w:after="40"/>
              <w:rPr>
                <w:rFonts w:cs="Tahoma"/>
                <w:sz w:val="16"/>
                <w:szCs w:val="16"/>
                <w:lang w:eastAsia="ar-SA"/>
              </w:rPr>
            </w:pPr>
            <w:r w:rsidRPr="004B3DE4">
              <w:rPr>
                <w:rFonts w:cs="Tahoma"/>
                <w:sz w:val="16"/>
                <w:szCs w:val="16"/>
                <w:lang w:eastAsia="ar-SA"/>
              </w:rPr>
              <w:t>Aralık Sonu</w:t>
            </w:r>
          </w:p>
        </w:tc>
        <w:tc>
          <w:tcPr>
            <w:tcW w:w="1846" w:type="pct"/>
          </w:tcPr>
          <w:p w:rsidR="00565FD5" w:rsidRPr="004B3DE4" w:rsidRDefault="00565FD5" w:rsidP="00AB62A3">
            <w:pPr>
              <w:tabs>
                <w:tab w:val="left" w:pos="567"/>
              </w:tabs>
              <w:suppressAutoHyphens/>
              <w:snapToGrid w:val="0"/>
              <w:spacing w:before="20" w:after="40"/>
              <w:rPr>
                <w:rFonts w:cs="Tahoma"/>
                <w:sz w:val="16"/>
                <w:szCs w:val="16"/>
                <w:lang w:eastAsia="ar-SA"/>
              </w:rPr>
            </w:pPr>
            <w:r w:rsidRPr="004B3DE4">
              <w:rPr>
                <w:rFonts w:cs="Tahoma"/>
                <w:sz w:val="16"/>
                <w:szCs w:val="16"/>
                <w:lang w:eastAsia="ar-SA"/>
              </w:rPr>
              <w:t>Kültür ve Turizm Ba</w:t>
            </w:r>
            <w:r>
              <w:rPr>
                <w:rFonts w:cs="Tahoma"/>
                <w:sz w:val="16"/>
                <w:szCs w:val="16"/>
                <w:lang w:eastAsia="ar-SA"/>
              </w:rPr>
              <w:t>kanlığı Kuruluş ve Görevleri Hakkında</w:t>
            </w:r>
            <w:r w:rsidRPr="004B3DE4">
              <w:rPr>
                <w:rFonts w:cs="Tahoma"/>
                <w:sz w:val="16"/>
                <w:szCs w:val="16"/>
                <w:lang w:eastAsia="ar-SA"/>
              </w:rPr>
              <w:t xml:space="preserve"> Kanun ve Turizmi Teşvik Kanununda gerekli düzenlemelere ilişkin çalışmalar tamamlanacaktır.</w:t>
            </w:r>
          </w:p>
        </w:tc>
      </w:tr>
      <w:tr w:rsidR="00565FD5" w:rsidRPr="004B3DE4" w:rsidTr="00AB62A3">
        <w:trPr>
          <w:trHeight w:val="169"/>
          <w:jc w:val="center"/>
        </w:trPr>
        <w:tc>
          <w:tcPr>
            <w:tcW w:w="1178" w:type="pct"/>
          </w:tcPr>
          <w:p w:rsidR="00565FD5" w:rsidRPr="004B3DE4" w:rsidRDefault="00565FD5" w:rsidP="00EB1E69">
            <w:pPr>
              <w:numPr>
                <w:ilvl w:val="0"/>
                <w:numId w:val="14"/>
              </w:numPr>
              <w:tabs>
                <w:tab w:val="left" w:pos="567"/>
              </w:tabs>
              <w:suppressAutoHyphens/>
              <w:snapToGrid w:val="0"/>
              <w:spacing w:before="20" w:after="40" w:line="240" w:lineRule="auto"/>
              <w:rPr>
                <w:rFonts w:cs="Tahoma"/>
                <w:sz w:val="16"/>
                <w:szCs w:val="16"/>
                <w:lang w:eastAsia="ar-SA"/>
              </w:rPr>
            </w:pPr>
            <w:r w:rsidRPr="004B3DE4">
              <w:rPr>
                <w:rFonts w:cs="Tahoma"/>
                <w:sz w:val="16"/>
                <w:szCs w:val="16"/>
                <w:lang w:eastAsia="ar-SA"/>
              </w:rPr>
              <w:t xml:space="preserve">Turizm ürünleri özel turizm pazarlarına uygun şekilde çeşitlendirilecektir.   </w:t>
            </w:r>
          </w:p>
        </w:tc>
        <w:tc>
          <w:tcPr>
            <w:tcW w:w="1512" w:type="pct"/>
          </w:tcPr>
          <w:p w:rsidR="00565FD5" w:rsidRPr="004B3DE4" w:rsidRDefault="00565FD5" w:rsidP="00AB62A3">
            <w:pPr>
              <w:spacing w:before="20" w:after="40"/>
              <w:rPr>
                <w:rFonts w:cs="Tahoma"/>
                <w:sz w:val="16"/>
                <w:szCs w:val="16"/>
                <w:lang w:eastAsia="tr-TR"/>
              </w:rPr>
            </w:pPr>
            <w:r w:rsidRPr="004B3DE4">
              <w:rPr>
                <w:rFonts w:cs="Tahoma"/>
                <w:sz w:val="16"/>
                <w:szCs w:val="16"/>
                <w:lang w:eastAsia="tr-TR"/>
              </w:rPr>
              <w:t>Kültür ve Turizm Bakanlığı (S), Sektör Kuruluşları, Yerel Yönetimler</w:t>
            </w:r>
          </w:p>
        </w:tc>
        <w:tc>
          <w:tcPr>
            <w:tcW w:w="463" w:type="pct"/>
          </w:tcPr>
          <w:p w:rsidR="00565FD5" w:rsidRPr="004B3DE4" w:rsidRDefault="00565FD5" w:rsidP="00AB62A3">
            <w:pPr>
              <w:tabs>
                <w:tab w:val="left" w:pos="567"/>
              </w:tabs>
              <w:suppressAutoHyphens/>
              <w:snapToGrid w:val="0"/>
              <w:spacing w:before="20" w:after="40"/>
              <w:rPr>
                <w:rFonts w:cs="Tahoma"/>
                <w:sz w:val="16"/>
                <w:szCs w:val="16"/>
                <w:lang w:eastAsia="ar-SA"/>
              </w:rPr>
            </w:pPr>
            <w:r w:rsidRPr="004B3DE4">
              <w:rPr>
                <w:rFonts w:cs="Tahoma"/>
                <w:sz w:val="16"/>
                <w:szCs w:val="16"/>
                <w:lang w:eastAsia="ar-SA"/>
              </w:rPr>
              <w:t>Aralık Sonu</w:t>
            </w:r>
          </w:p>
        </w:tc>
        <w:tc>
          <w:tcPr>
            <w:tcW w:w="1846" w:type="pct"/>
          </w:tcPr>
          <w:p w:rsidR="00565FD5" w:rsidRPr="004B3DE4" w:rsidRDefault="00565FD5" w:rsidP="00AB62A3">
            <w:pPr>
              <w:tabs>
                <w:tab w:val="left" w:pos="567"/>
              </w:tabs>
              <w:suppressAutoHyphens/>
              <w:snapToGrid w:val="0"/>
              <w:spacing w:before="20" w:after="40"/>
              <w:rPr>
                <w:rFonts w:cs="Tahoma"/>
                <w:sz w:val="16"/>
                <w:szCs w:val="16"/>
                <w:lang w:eastAsia="ar-SA"/>
              </w:rPr>
            </w:pPr>
            <w:r w:rsidRPr="004B3DE4">
              <w:rPr>
                <w:rFonts w:cs="Tahoma"/>
                <w:sz w:val="16"/>
                <w:szCs w:val="16"/>
                <w:lang w:eastAsia="ar-SA"/>
              </w:rPr>
              <w:t>Dünyada hızlı bir gelişme trendi gösteren kongre ve iş turizmi, sağlık turizmi, ödül turizmi, termal, yat, kruvaziyer ve üçüncü yaş turizmine dış tanıtımda daha fazla önem verilecek, eko-turizm ve aktif turizme doğru gelişen eğilimlere koşut olarak golf, rafting, dağ ve kayak turizmi ve ilgili özel turizm pazarlarında talebin artırılması sağlanacaktır.</w:t>
            </w:r>
          </w:p>
        </w:tc>
      </w:tr>
      <w:tr w:rsidR="00565FD5" w:rsidRPr="004B3DE4" w:rsidTr="00AB62A3">
        <w:trPr>
          <w:trHeight w:val="169"/>
          <w:jc w:val="center"/>
        </w:trPr>
        <w:tc>
          <w:tcPr>
            <w:tcW w:w="5000" w:type="pct"/>
            <w:gridSpan w:val="4"/>
          </w:tcPr>
          <w:p w:rsidR="00565FD5" w:rsidRPr="004B3DE4" w:rsidRDefault="00565FD5" w:rsidP="00EB1E69">
            <w:pPr>
              <w:numPr>
                <w:ilvl w:val="0"/>
                <w:numId w:val="15"/>
              </w:numPr>
              <w:tabs>
                <w:tab w:val="left" w:pos="567"/>
              </w:tabs>
              <w:suppressAutoHyphens/>
              <w:snapToGrid w:val="0"/>
              <w:spacing w:before="20" w:after="40" w:line="240" w:lineRule="auto"/>
              <w:jc w:val="both"/>
              <w:rPr>
                <w:rFonts w:cs="Tahoma"/>
                <w:b/>
                <w:bCs/>
                <w:sz w:val="16"/>
                <w:szCs w:val="16"/>
                <w:lang w:eastAsia="ar-SA"/>
              </w:rPr>
            </w:pPr>
            <w:r w:rsidRPr="004B3DE4">
              <w:rPr>
                <w:rFonts w:cs="Tahoma"/>
                <w:b/>
                <w:bCs/>
                <w:sz w:val="16"/>
                <w:szCs w:val="16"/>
                <w:lang w:eastAsia="ar-SA"/>
              </w:rPr>
              <w:t>Uluslararası turizm pazarından alınan payın artırılabilmesi için seçilmiş pazarlar başta olmak üzere tanıtıma ve uluslararası örgütler nezdinde turizm alanında işbirliğine ağırlık verilecektir.</w:t>
            </w:r>
          </w:p>
        </w:tc>
      </w:tr>
      <w:tr w:rsidR="00565FD5" w:rsidRPr="004B3DE4" w:rsidTr="00AB62A3">
        <w:trPr>
          <w:trHeight w:val="169"/>
          <w:jc w:val="center"/>
        </w:trPr>
        <w:tc>
          <w:tcPr>
            <w:tcW w:w="1178" w:type="pct"/>
          </w:tcPr>
          <w:p w:rsidR="00565FD5" w:rsidRPr="004B3DE4" w:rsidRDefault="00565FD5" w:rsidP="00EB1E69">
            <w:pPr>
              <w:numPr>
                <w:ilvl w:val="0"/>
                <w:numId w:val="14"/>
              </w:numPr>
              <w:tabs>
                <w:tab w:val="left" w:pos="567"/>
              </w:tabs>
              <w:suppressAutoHyphens/>
              <w:snapToGrid w:val="0"/>
              <w:spacing w:before="20" w:after="40" w:line="240" w:lineRule="auto"/>
              <w:rPr>
                <w:rFonts w:cs="Tahoma"/>
                <w:sz w:val="16"/>
                <w:szCs w:val="16"/>
                <w:lang w:eastAsia="ar-SA"/>
              </w:rPr>
            </w:pPr>
            <w:r w:rsidRPr="004B3DE4">
              <w:rPr>
                <w:rFonts w:cs="Tahoma"/>
                <w:sz w:val="16"/>
                <w:szCs w:val="16"/>
                <w:lang w:eastAsia="ar-SA"/>
              </w:rPr>
              <w:t xml:space="preserve">Turizmde dış tanıtım için yeni bir yapılanmaya gidilecektir. </w:t>
            </w:r>
          </w:p>
        </w:tc>
        <w:tc>
          <w:tcPr>
            <w:tcW w:w="1512" w:type="pct"/>
          </w:tcPr>
          <w:p w:rsidR="00565FD5" w:rsidRPr="004B3DE4" w:rsidRDefault="00565FD5" w:rsidP="00AB62A3">
            <w:pPr>
              <w:tabs>
                <w:tab w:val="left" w:pos="792"/>
              </w:tabs>
              <w:snapToGrid w:val="0"/>
              <w:spacing w:before="20" w:after="40"/>
              <w:rPr>
                <w:rFonts w:cs="Tahoma"/>
                <w:sz w:val="16"/>
                <w:szCs w:val="16"/>
                <w:lang w:eastAsia="tr-TR"/>
              </w:rPr>
            </w:pPr>
            <w:r w:rsidRPr="004B3DE4">
              <w:rPr>
                <w:rFonts w:cs="Tahoma"/>
                <w:sz w:val="16"/>
                <w:szCs w:val="16"/>
                <w:lang w:eastAsia="tr-TR"/>
              </w:rPr>
              <w:t>Kültür ve Turizm Bakanlığı (S), Sektör Kuruluşları</w:t>
            </w:r>
          </w:p>
        </w:tc>
        <w:tc>
          <w:tcPr>
            <w:tcW w:w="463" w:type="pct"/>
          </w:tcPr>
          <w:p w:rsidR="00565FD5" w:rsidRPr="004B3DE4" w:rsidRDefault="00565FD5" w:rsidP="00AB62A3">
            <w:pPr>
              <w:tabs>
                <w:tab w:val="left" w:pos="567"/>
              </w:tabs>
              <w:suppressAutoHyphens/>
              <w:snapToGrid w:val="0"/>
              <w:spacing w:before="20" w:after="40"/>
              <w:rPr>
                <w:rFonts w:cs="Tahoma"/>
                <w:sz w:val="16"/>
                <w:szCs w:val="16"/>
                <w:lang w:eastAsia="ar-SA"/>
              </w:rPr>
            </w:pPr>
            <w:r w:rsidRPr="004B3DE4">
              <w:rPr>
                <w:rFonts w:cs="Tahoma"/>
                <w:sz w:val="16"/>
                <w:szCs w:val="16"/>
                <w:lang w:eastAsia="ar-SA"/>
              </w:rPr>
              <w:t>Aralık Sonu</w:t>
            </w:r>
          </w:p>
        </w:tc>
        <w:tc>
          <w:tcPr>
            <w:tcW w:w="1846" w:type="pct"/>
          </w:tcPr>
          <w:p w:rsidR="00565FD5" w:rsidRPr="004B3DE4" w:rsidRDefault="00565FD5" w:rsidP="00AB62A3">
            <w:pPr>
              <w:tabs>
                <w:tab w:val="left" w:pos="567"/>
              </w:tabs>
              <w:suppressAutoHyphens/>
              <w:snapToGrid w:val="0"/>
              <w:spacing w:before="20" w:after="40"/>
              <w:rPr>
                <w:rFonts w:cs="Tahoma"/>
                <w:sz w:val="16"/>
                <w:szCs w:val="16"/>
                <w:lang w:eastAsia="ar-SA"/>
              </w:rPr>
            </w:pPr>
            <w:r w:rsidRPr="004B3DE4">
              <w:rPr>
                <w:rFonts w:cs="Tahoma"/>
                <w:sz w:val="16"/>
                <w:szCs w:val="16"/>
                <w:lang w:eastAsia="ar-SA"/>
              </w:rPr>
              <w:t xml:space="preserve">Dış tanıtım stratejilerinin belirlenmesi, uygulamanın izlenmesi, denetimi ve finansmanına turizm işletmelerinin de katılımını sağlayacak yeni bir yapılanma konusunda </w:t>
            </w:r>
            <w:r>
              <w:rPr>
                <w:rFonts w:cs="Tahoma"/>
                <w:sz w:val="16"/>
                <w:szCs w:val="16"/>
                <w:lang w:eastAsia="ar-SA"/>
              </w:rPr>
              <w:t>mevzuat</w:t>
            </w:r>
            <w:r w:rsidRPr="004B3DE4">
              <w:rPr>
                <w:rFonts w:cs="Tahoma"/>
                <w:sz w:val="16"/>
                <w:szCs w:val="16"/>
                <w:lang w:eastAsia="ar-SA"/>
              </w:rPr>
              <w:t xml:space="preserve"> düzenleme</w:t>
            </w:r>
            <w:r>
              <w:rPr>
                <w:rFonts w:cs="Tahoma"/>
                <w:sz w:val="16"/>
                <w:szCs w:val="16"/>
                <w:lang w:eastAsia="ar-SA"/>
              </w:rPr>
              <w:t>leri</w:t>
            </w:r>
            <w:r w:rsidRPr="004B3DE4">
              <w:rPr>
                <w:rFonts w:cs="Tahoma"/>
                <w:sz w:val="16"/>
                <w:szCs w:val="16"/>
                <w:lang w:eastAsia="ar-SA"/>
              </w:rPr>
              <w:t xml:space="preserve"> yapılacaktır. </w:t>
            </w:r>
          </w:p>
        </w:tc>
      </w:tr>
      <w:tr w:rsidR="00565FD5" w:rsidRPr="004B3DE4" w:rsidTr="00AB62A3">
        <w:trPr>
          <w:trHeight w:val="169"/>
          <w:jc w:val="center"/>
        </w:trPr>
        <w:tc>
          <w:tcPr>
            <w:tcW w:w="1178" w:type="pct"/>
          </w:tcPr>
          <w:p w:rsidR="00565FD5" w:rsidRPr="004B3DE4" w:rsidRDefault="00565FD5" w:rsidP="00EB1E69">
            <w:pPr>
              <w:numPr>
                <w:ilvl w:val="0"/>
                <w:numId w:val="14"/>
              </w:numPr>
              <w:tabs>
                <w:tab w:val="left" w:pos="567"/>
              </w:tabs>
              <w:suppressAutoHyphens/>
              <w:snapToGrid w:val="0"/>
              <w:spacing w:before="20" w:after="40" w:line="240" w:lineRule="auto"/>
              <w:rPr>
                <w:rFonts w:cs="Tahoma"/>
                <w:sz w:val="16"/>
                <w:szCs w:val="16"/>
                <w:lang w:eastAsia="ar-SA"/>
              </w:rPr>
            </w:pPr>
            <w:r w:rsidRPr="004B3DE4">
              <w:rPr>
                <w:rFonts w:cs="Tahoma"/>
                <w:sz w:val="16"/>
                <w:szCs w:val="16"/>
                <w:lang w:eastAsia="ar-SA"/>
              </w:rPr>
              <w:t>Talepteki değişim sürekli izlenerek, değişen koşullara uygun tanıtım faaliyetleri yürütülecektir.</w:t>
            </w:r>
          </w:p>
        </w:tc>
        <w:tc>
          <w:tcPr>
            <w:tcW w:w="1512" w:type="pct"/>
          </w:tcPr>
          <w:p w:rsidR="00565FD5" w:rsidRPr="004B3DE4" w:rsidRDefault="00565FD5" w:rsidP="00AB62A3">
            <w:pPr>
              <w:spacing w:before="20" w:after="40"/>
              <w:rPr>
                <w:rFonts w:cs="Tahoma"/>
                <w:sz w:val="16"/>
                <w:szCs w:val="16"/>
                <w:lang w:eastAsia="tr-TR"/>
              </w:rPr>
            </w:pPr>
            <w:r w:rsidRPr="004B3DE4">
              <w:rPr>
                <w:rFonts w:cs="Tahoma"/>
                <w:sz w:val="16"/>
                <w:szCs w:val="16"/>
                <w:lang w:eastAsia="tr-TR"/>
              </w:rPr>
              <w:t>Kültür ve Turizm Bakanlığı (S)</w:t>
            </w:r>
          </w:p>
        </w:tc>
        <w:tc>
          <w:tcPr>
            <w:tcW w:w="463" w:type="pct"/>
          </w:tcPr>
          <w:p w:rsidR="00565FD5" w:rsidRPr="004B3DE4" w:rsidRDefault="00565FD5" w:rsidP="00AB62A3">
            <w:pPr>
              <w:tabs>
                <w:tab w:val="left" w:pos="567"/>
              </w:tabs>
              <w:suppressAutoHyphens/>
              <w:snapToGrid w:val="0"/>
              <w:spacing w:before="20" w:after="40"/>
              <w:rPr>
                <w:rFonts w:cs="Tahoma"/>
                <w:sz w:val="16"/>
                <w:szCs w:val="16"/>
                <w:lang w:eastAsia="ar-SA"/>
              </w:rPr>
            </w:pPr>
            <w:r w:rsidRPr="004B3DE4">
              <w:rPr>
                <w:rFonts w:cs="Tahoma"/>
                <w:sz w:val="16"/>
                <w:szCs w:val="16"/>
                <w:lang w:eastAsia="ar-SA"/>
              </w:rPr>
              <w:t>Aralık Sonu</w:t>
            </w:r>
          </w:p>
        </w:tc>
        <w:tc>
          <w:tcPr>
            <w:tcW w:w="1846" w:type="pct"/>
          </w:tcPr>
          <w:p w:rsidR="00565FD5" w:rsidRPr="004B3DE4" w:rsidRDefault="00565FD5" w:rsidP="00AB62A3">
            <w:pPr>
              <w:tabs>
                <w:tab w:val="left" w:pos="567"/>
              </w:tabs>
              <w:suppressAutoHyphens/>
              <w:spacing w:before="20" w:after="40"/>
              <w:rPr>
                <w:rFonts w:cs="Tahoma"/>
                <w:sz w:val="16"/>
                <w:szCs w:val="16"/>
                <w:lang w:eastAsia="ar-SA"/>
              </w:rPr>
            </w:pPr>
            <w:r w:rsidRPr="004B3DE4">
              <w:rPr>
                <w:rFonts w:cs="Tahoma"/>
                <w:sz w:val="16"/>
                <w:szCs w:val="16"/>
                <w:lang w:eastAsia="ar-SA"/>
              </w:rPr>
              <w:t xml:space="preserve">Tanıtım Stratejisi doğrultusunda hareket edilecek, turizm portalı geliştirilerek turizm tesislerinin tanıtımı, çevrimiçi rezervasyon ve sektörde ilgili aktörler arasında bilgi paylaşımına uygun ortam sağlanacaktır. </w:t>
            </w:r>
          </w:p>
        </w:tc>
      </w:tr>
      <w:tr w:rsidR="00565FD5" w:rsidRPr="004B3DE4" w:rsidTr="00AB62A3">
        <w:trPr>
          <w:trHeight w:val="169"/>
          <w:jc w:val="center"/>
        </w:trPr>
        <w:tc>
          <w:tcPr>
            <w:tcW w:w="1178" w:type="pct"/>
          </w:tcPr>
          <w:p w:rsidR="00565FD5" w:rsidRPr="004B3DE4" w:rsidRDefault="00565FD5" w:rsidP="00EB1E69">
            <w:pPr>
              <w:numPr>
                <w:ilvl w:val="0"/>
                <w:numId w:val="14"/>
              </w:numPr>
              <w:tabs>
                <w:tab w:val="left" w:pos="567"/>
              </w:tabs>
              <w:suppressAutoHyphens/>
              <w:snapToGrid w:val="0"/>
              <w:spacing w:before="20" w:after="20" w:line="240" w:lineRule="auto"/>
              <w:rPr>
                <w:rFonts w:cs="Tahoma"/>
                <w:sz w:val="16"/>
                <w:szCs w:val="16"/>
                <w:lang w:eastAsia="ar-SA"/>
              </w:rPr>
            </w:pPr>
            <w:r w:rsidRPr="004B3DE4">
              <w:rPr>
                <w:rFonts w:cs="Tahoma"/>
                <w:sz w:val="16"/>
                <w:szCs w:val="16"/>
                <w:lang w:eastAsia="ar-SA"/>
              </w:rPr>
              <w:t xml:space="preserve">Turizmin milli ekonomiye etkisini ölçmek üzere turizm uydu hesapları sistemi geliştirilecektir. </w:t>
            </w:r>
          </w:p>
        </w:tc>
        <w:tc>
          <w:tcPr>
            <w:tcW w:w="1512" w:type="pct"/>
          </w:tcPr>
          <w:p w:rsidR="00565FD5" w:rsidRPr="004B3DE4" w:rsidRDefault="00565FD5" w:rsidP="00AB62A3">
            <w:pPr>
              <w:tabs>
                <w:tab w:val="left" w:pos="567"/>
              </w:tabs>
              <w:suppressAutoHyphens/>
              <w:snapToGrid w:val="0"/>
              <w:spacing w:before="20" w:after="20"/>
              <w:rPr>
                <w:rFonts w:cs="Tahoma"/>
                <w:sz w:val="16"/>
                <w:szCs w:val="16"/>
                <w:lang w:eastAsia="ar-SA"/>
              </w:rPr>
            </w:pPr>
            <w:r w:rsidRPr="004B3DE4">
              <w:rPr>
                <w:rFonts w:cs="Tahoma"/>
                <w:sz w:val="16"/>
                <w:szCs w:val="16"/>
                <w:lang w:eastAsia="ar-SA"/>
              </w:rPr>
              <w:t>Türkiye İstatistik Kurumu (S), Kültür ve Turizm Bakanlığı, Merkez Bankası, Sektör Kuruluşları, Yerel Yönetimler</w:t>
            </w:r>
          </w:p>
        </w:tc>
        <w:tc>
          <w:tcPr>
            <w:tcW w:w="463" w:type="pct"/>
          </w:tcPr>
          <w:p w:rsidR="00565FD5" w:rsidRPr="004B3DE4" w:rsidRDefault="00565FD5" w:rsidP="00AB62A3">
            <w:pPr>
              <w:tabs>
                <w:tab w:val="left" w:pos="567"/>
              </w:tabs>
              <w:suppressAutoHyphens/>
              <w:snapToGrid w:val="0"/>
              <w:spacing w:before="20" w:after="20"/>
              <w:rPr>
                <w:rFonts w:cs="Tahoma"/>
                <w:sz w:val="16"/>
                <w:szCs w:val="16"/>
                <w:lang w:eastAsia="ar-SA"/>
              </w:rPr>
            </w:pPr>
            <w:r w:rsidRPr="004B3DE4">
              <w:rPr>
                <w:rFonts w:cs="Tahoma"/>
                <w:sz w:val="16"/>
                <w:szCs w:val="16"/>
                <w:lang w:eastAsia="ar-SA"/>
              </w:rPr>
              <w:t>Aralık Sonu</w:t>
            </w:r>
          </w:p>
        </w:tc>
        <w:tc>
          <w:tcPr>
            <w:tcW w:w="1846" w:type="pct"/>
          </w:tcPr>
          <w:p w:rsidR="00565FD5" w:rsidRPr="004B3DE4" w:rsidRDefault="00565FD5" w:rsidP="00AB62A3">
            <w:pPr>
              <w:tabs>
                <w:tab w:val="left" w:pos="567"/>
              </w:tabs>
              <w:suppressAutoHyphens/>
              <w:spacing w:before="20" w:after="20"/>
              <w:rPr>
                <w:rFonts w:cs="Tahoma"/>
                <w:sz w:val="16"/>
                <w:szCs w:val="16"/>
                <w:lang w:eastAsia="ar-SA"/>
              </w:rPr>
            </w:pPr>
            <w:r w:rsidRPr="004B3DE4">
              <w:rPr>
                <w:rFonts w:cs="Tahoma"/>
                <w:sz w:val="16"/>
                <w:szCs w:val="16"/>
                <w:lang w:eastAsia="ar-SA"/>
              </w:rPr>
              <w:t>Birleşmiş Milletler Ulusal Hesaplar Sistemi (SNA 1993)  ile uyumlu olarak yürütülmekte olan Turizm Uydu Hesapları-Türkiye çalışması kapsamında, metodoloji belirleme ve ulusal hesaplarla uyum konusundaki çalışmalar hızlandırılacaktır.</w:t>
            </w:r>
          </w:p>
        </w:tc>
      </w:tr>
      <w:tr w:rsidR="00565FD5" w:rsidRPr="004B3DE4" w:rsidTr="00AB62A3">
        <w:trPr>
          <w:trHeight w:val="169"/>
          <w:jc w:val="center"/>
        </w:trPr>
        <w:tc>
          <w:tcPr>
            <w:tcW w:w="5000" w:type="pct"/>
            <w:gridSpan w:val="4"/>
          </w:tcPr>
          <w:p w:rsidR="00565FD5" w:rsidRPr="004B3DE4" w:rsidRDefault="00565FD5" w:rsidP="00EB1E69">
            <w:pPr>
              <w:numPr>
                <w:ilvl w:val="0"/>
                <w:numId w:val="15"/>
              </w:numPr>
              <w:tabs>
                <w:tab w:val="left" w:pos="567"/>
              </w:tabs>
              <w:suppressAutoHyphens/>
              <w:snapToGrid w:val="0"/>
              <w:spacing w:before="20" w:after="20" w:line="240" w:lineRule="auto"/>
              <w:jc w:val="both"/>
              <w:rPr>
                <w:rFonts w:cs="Tahoma"/>
                <w:b/>
                <w:bCs/>
                <w:sz w:val="16"/>
                <w:szCs w:val="16"/>
                <w:lang w:eastAsia="ar-SA"/>
              </w:rPr>
            </w:pPr>
            <w:r w:rsidRPr="004B3DE4">
              <w:rPr>
                <w:rFonts w:cs="Tahoma"/>
                <w:b/>
                <w:bCs/>
                <w:sz w:val="16"/>
                <w:szCs w:val="16"/>
                <w:lang w:eastAsia="ar-SA"/>
              </w:rPr>
              <w:lastRenderedPageBreak/>
              <w:t>İstanbul başta olmak üzere gelişme potansiyeli yüksek turizm bölgelerinin kültürel, sosyal ve doğal zenginlikleri sürdürülebilir turizm yaklaşımıyla değerlendirilecek,</w:t>
            </w:r>
            <w:r w:rsidRPr="004B3DE4">
              <w:rPr>
                <w:rFonts w:cs="Tahoma"/>
                <w:b/>
                <w:bCs/>
                <w:sz w:val="16"/>
                <w:szCs w:val="16"/>
                <w:lang w:val="en-US" w:eastAsia="ar-SA"/>
              </w:rPr>
              <w:t xml:space="preserve"> ulaşım ve teknik altyapı eksiklikleri hızla giderilecektir.</w:t>
            </w:r>
            <w:r w:rsidRPr="004B3DE4">
              <w:rPr>
                <w:rFonts w:cs="Tahoma"/>
                <w:b/>
                <w:bCs/>
                <w:sz w:val="16"/>
                <w:szCs w:val="16"/>
                <w:lang w:eastAsia="ar-SA"/>
              </w:rPr>
              <w:t xml:space="preserve"> </w:t>
            </w:r>
          </w:p>
        </w:tc>
      </w:tr>
      <w:tr w:rsidR="00565FD5" w:rsidRPr="004B3DE4" w:rsidTr="00AB62A3">
        <w:trPr>
          <w:trHeight w:val="169"/>
          <w:jc w:val="center"/>
        </w:trPr>
        <w:tc>
          <w:tcPr>
            <w:tcW w:w="1178" w:type="pct"/>
          </w:tcPr>
          <w:p w:rsidR="00565FD5" w:rsidRPr="004B3DE4" w:rsidRDefault="00565FD5" w:rsidP="00EB1E69">
            <w:pPr>
              <w:numPr>
                <w:ilvl w:val="0"/>
                <w:numId w:val="14"/>
              </w:numPr>
              <w:tabs>
                <w:tab w:val="left" w:pos="567"/>
              </w:tabs>
              <w:suppressAutoHyphens/>
              <w:snapToGrid w:val="0"/>
              <w:spacing w:before="20" w:after="20" w:line="240" w:lineRule="auto"/>
              <w:rPr>
                <w:rFonts w:cs="Tahoma"/>
                <w:sz w:val="16"/>
                <w:szCs w:val="16"/>
                <w:shd w:val="clear" w:color="auto" w:fill="FFFFFF"/>
                <w:lang w:eastAsia="ar-SA"/>
              </w:rPr>
            </w:pPr>
            <w:r w:rsidRPr="004B3DE4">
              <w:rPr>
                <w:rFonts w:cs="Tahoma"/>
                <w:sz w:val="16"/>
                <w:szCs w:val="16"/>
                <w:shd w:val="clear" w:color="auto" w:fill="FFFFFF"/>
                <w:lang w:eastAsia="ar-SA"/>
              </w:rPr>
              <w:t>İstanbul'un marka kent olarak dünya turizmine sunulması sağlanacaktır.</w:t>
            </w:r>
          </w:p>
        </w:tc>
        <w:tc>
          <w:tcPr>
            <w:tcW w:w="1512" w:type="pct"/>
          </w:tcPr>
          <w:p w:rsidR="00565FD5" w:rsidRPr="004B3DE4" w:rsidRDefault="00565FD5" w:rsidP="00AB62A3">
            <w:pPr>
              <w:spacing w:before="20" w:after="20"/>
              <w:rPr>
                <w:rFonts w:cs="Tahoma"/>
                <w:sz w:val="16"/>
                <w:szCs w:val="16"/>
                <w:lang w:eastAsia="tr-TR"/>
              </w:rPr>
            </w:pPr>
            <w:r w:rsidRPr="004B3DE4">
              <w:rPr>
                <w:rFonts w:cs="Tahoma"/>
                <w:sz w:val="16"/>
                <w:szCs w:val="16"/>
                <w:lang w:eastAsia="tr-TR"/>
              </w:rPr>
              <w:t>Kültür ve Turizm Bakanlığı (S), İstanbul Valiliği,  İstanbul Büyükşehir Belediyesi</w:t>
            </w:r>
            <w:r>
              <w:rPr>
                <w:rFonts w:cs="Tahoma"/>
                <w:sz w:val="16"/>
                <w:szCs w:val="16"/>
                <w:lang w:eastAsia="tr-TR"/>
              </w:rPr>
              <w:t>, İstanbul Kalkınma Ajansı</w:t>
            </w:r>
          </w:p>
        </w:tc>
        <w:tc>
          <w:tcPr>
            <w:tcW w:w="463" w:type="pct"/>
          </w:tcPr>
          <w:p w:rsidR="00565FD5" w:rsidRPr="004B3DE4" w:rsidRDefault="00565FD5" w:rsidP="00AB62A3">
            <w:pPr>
              <w:tabs>
                <w:tab w:val="left" w:pos="567"/>
              </w:tabs>
              <w:suppressAutoHyphens/>
              <w:snapToGrid w:val="0"/>
              <w:spacing w:before="20" w:after="20"/>
              <w:rPr>
                <w:rFonts w:cs="Tahoma"/>
                <w:sz w:val="16"/>
                <w:szCs w:val="16"/>
                <w:lang w:eastAsia="ar-SA"/>
              </w:rPr>
            </w:pPr>
            <w:r w:rsidRPr="004B3DE4">
              <w:rPr>
                <w:rFonts w:cs="Tahoma"/>
                <w:sz w:val="16"/>
                <w:szCs w:val="16"/>
                <w:lang w:eastAsia="ar-SA"/>
              </w:rPr>
              <w:t>Aralık Sonu</w:t>
            </w:r>
          </w:p>
        </w:tc>
        <w:tc>
          <w:tcPr>
            <w:tcW w:w="1846" w:type="pct"/>
          </w:tcPr>
          <w:p w:rsidR="00565FD5" w:rsidRPr="004B3DE4" w:rsidRDefault="00565FD5" w:rsidP="00AB62A3">
            <w:pPr>
              <w:tabs>
                <w:tab w:val="left" w:pos="567"/>
              </w:tabs>
              <w:suppressAutoHyphens/>
              <w:snapToGrid w:val="0"/>
              <w:spacing w:before="20" w:after="20"/>
              <w:rPr>
                <w:rFonts w:cs="Tahoma"/>
                <w:sz w:val="16"/>
                <w:szCs w:val="16"/>
                <w:lang w:eastAsia="ar-SA"/>
              </w:rPr>
            </w:pPr>
            <w:r w:rsidRPr="004B3DE4">
              <w:rPr>
                <w:rFonts w:cs="Tahoma"/>
                <w:sz w:val="16"/>
                <w:szCs w:val="16"/>
                <w:lang w:eastAsia="ar-SA"/>
              </w:rPr>
              <w:t>Dinamik, profesyonel ve mali yönden güçlü bir tanıtım yapılabilmesini sağlamak üzere bu faaliyetlerin finansmanına turizmden doğrudan gelir elde eden kesimin ve ticaret erbabının da katılımı sağlanacaktır.</w:t>
            </w:r>
          </w:p>
        </w:tc>
      </w:tr>
      <w:tr w:rsidR="00565FD5" w:rsidRPr="004B3DE4" w:rsidTr="00AB62A3">
        <w:trPr>
          <w:trHeight w:val="629"/>
          <w:jc w:val="center"/>
        </w:trPr>
        <w:tc>
          <w:tcPr>
            <w:tcW w:w="1178" w:type="pct"/>
          </w:tcPr>
          <w:p w:rsidR="00565FD5" w:rsidRPr="004B3DE4" w:rsidRDefault="00565FD5" w:rsidP="00EB1E69">
            <w:pPr>
              <w:numPr>
                <w:ilvl w:val="0"/>
                <w:numId w:val="14"/>
              </w:numPr>
              <w:tabs>
                <w:tab w:val="left" w:pos="567"/>
              </w:tabs>
              <w:suppressAutoHyphens/>
              <w:snapToGrid w:val="0"/>
              <w:spacing w:before="20" w:after="20" w:line="240" w:lineRule="auto"/>
              <w:rPr>
                <w:rFonts w:cs="Tahoma"/>
                <w:sz w:val="16"/>
                <w:szCs w:val="16"/>
                <w:lang w:eastAsia="ar-SA"/>
              </w:rPr>
            </w:pPr>
            <w:r w:rsidRPr="004B3DE4">
              <w:rPr>
                <w:rFonts w:cs="Tahoma"/>
                <w:sz w:val="16"/>
                <w:szCs w:val="16"/>
                <w:lang w:eastAsia="ar-SA"/>
              </w:rPr>
              <w:t>Marka kentlerde turizm potansiyeli geliştirilecektir.</w:t>
            </w:r>
          </w:p>
        </w:tc>
        <w:tc>
          <w:tcPr>
            <w:tcW w:w="1512" w:type="pct"/>
          </w:tcPr>
          <w:p w:rsidR="00565FD5" w:rsidRPr="004B3DE4" w:rsidRDefault="00565FD5" w:rsidP="00AB62A3">
            <w:pPr>
              <w:spacing w:before="20" w:after="20"/>
              <w:rPr>
                <w:rFonts w:cs="Tahoma"/>
                <w:sz w:val="16"/>
                <w:szCs w:val="16"/>
                <w:lang w:eastAsia="tr-TR"/>
              </w:rPr>
            </w:pPr>
            <w:r w:rsidRPr="004B3DE4">
              <w:rPr>
                <w:rFonts w:cs="Tahoma"/>
                <w:sz w:val="16"/>
                <w:szCs w:val="16"/>
                <w:lang w:eastAsia="tr-TR"/>
              </w:rPr>
              <w:t>Kültür ve Turizm Bakanlığı (S), İl Valilikleri, Yerel Yönetimler</w:t>
            </w:r>
          </w:p>
        </w:tc>
        <w:tc>
          <w:tcPr>
            <w:tcW w:w="463" w:type="pct"/>
          </w:tcPr>
          <w:p w:rsidR="00565FD5" w:rsidRPr="004B3DE4" w:rsidRDefault="00565FD5" w:rsidP="00AB62A3">
            <w:pPr>
              <w:tabs>
                <w:tab w:val="left" w:pos="567"/>
              </w:tabs>
              <w:suppressAutoHyphens/>
              <w:snapToGrid w:val="0"/>
              <w:spacing w:before="20" w:after="20"/>
              <w:rPr>
                <w:rFonts w:cs="Tahoma"/>
                <w:sz w:val="16"/>
                <w:szCs w:val="16"/>
                <w:lang w:eastAsia="ar-SA"/>
              </w:rPr>
            </w:pPr>
            <w:r w:rsidRPr="004B3DE4">
              <w:rPr>
                <w:rFonts w:cs="Tahoma"/>
                <w:sz w:val="16"/>
                <w:szCs w:val="16"/>
                <w:lang w:eastAsia="ar-SA"/>
              </w:rPr>
              <w:t>Aralık Sonu</w:t>
            </w:r>
          </w:p>
        </w:tc>
        <w:tc>
          <w:tcPr>
            <w:tcW w:w="1846" w:type="pct"/>
          </w:tcPr>
          <w:p w:rsidR="00565FD5" w:rsidRPr="004B3DE4" w:rsidRDefault="00565FD5" w:rsidP="00AB62A3">
            <w:pPr>
              <w:tabs>
                <w:tab w:val="left" w:pos="567"/>
              </w:tabs>
              <w:suppressAutoHyphens/>
              <w:snapToGrid w:val="0"/>
              <w:spacing w:before="20" w:after="20"/>
              <w:rPr>
                <w:rFonts w:cs="Tahoma"/>
                <w:sz w:val="16"/>
                <w:szCs w:val="16"/>
                <w:lang w:eastAsia="ar-SA"/>
              </w:rPr>
            </w:pPr>
            <w:r w:rsidRPr="004B3DE4">
              <w:rPr>
                <w:rFonts w:cs="Tahoma"/>
                <w:sz w:val="16"/>
                <w:szCs w:val="16"/>
                <w:lang w:eastAsia="ar-SA"/>
              </w:rPr>
              <w:t>Kent turizmi ve kültür turizmiyle de öne çıkan 15 kent markalaştırılarak dünya turizmine sunulacaktır. Bu amaçla uluslararası standartlarda şehir müzeleri, ulaşım sistemi, fiziksel ve sosyal altyapıyla ilgili düzenlemeler gerçekleştirilecektir.</w:t>
            </w:r>
          </w:p>
        </w:tc>
      </w:tr>
    </w:tbl>
    <w:p w:rsidR="00565FD5" w:rsidRPr="008B744B" w:rsidRDefault="00565FD5" w:rsidP="00565FD5">
      <w:pPr>
        <w:spacing w:before="120" w:after="120"/>
        <w:ind w:firstLine="425"/>
        <w:rPr>
          <w:rFonts w:cs="Tahoma"/>
          <w:szCs w:val="18"/>
          <w:lang w:eastAsia="tr-TR"/>
        </w:rPr>
      </w:pPr>
      <w:bookmarkStart w:id="2069" w:name="_Toc338505600"/>
    </w:p>
    <w:p w:rsidR="00565FD5" w:rsidRPr="004B3DE4" w:rsidRDefault="00565FD5" w:rsidP="00565FD5">
      <w:pPr>
        <w:pStyle w:val="Balk4"/>
        <w:rPr>
          <w:i w:val="0"/>
          <w:lang w:eastAsia="tr-TR"/>
        </w:rPr>
      </w:pPr>
      <w:bookmarkStart w:id="2070" w:name="_Toc338523830"/>
      <w:bookmarkStart w:id="2071" w:name="_Toc338524061"/>
      <w:bookmarkStart w:id="2072" w:name="_Toc338526287"/>
      <w:bookmarkStart w:id="2073" w:name="_Toc338673730"/>
      <w:bookmarkStart w:id="2074" w:name="_Toc338711609"/>
      <w:r w:rsidRPr="004B3DE4">
        <w:rPr>
          <w:lang w:eastAsia="tr-TR"/>
        </w:rPr>
        <w:t>İNŞAAT, MÜHENDİSLİK-MİMARLIK, TEKNİK MÜŞAVİRLİK VE MÜTEAHHİTLİK HİZMETLERİ</w:t>
      </w:r>
      <w:bookmarkEnd w:id="2069"/>
      <w:bookmarkEnd w:id="2070"/>
      <w:bookmarkEnd w:id="2071"/>
      <w:bookmarkEnd w:id="2072"/>
      <w:bookmarkEnd w:id="2073"/>
      <w:bookmarkEnd w:id="2074"/>
    </w:p>
    <w:p w:rsidR="00565FD5" w:rsidRPr="004B3DE4" w:rsidRDefault="00565FD5" w:rsidP="00565FD5">
      <w:pPr>
        <w:pStyle w:val="Balk4"/>
        <w:rPr>
          <w:i w:val="0"/>
          <w:lang w:eastAsia="tr-TR"/>
        </w:rPr>
      </w:pPr>
      <w:bookmarkStart w:id="2075" w:name="_Toc338505601"/>
      <w:bookmarkStart w:id="2076" w:name="_Toc338523831"/>
      <w:bookmarkStart w:id="2077" w:name="_Toc338524062"/>
      <w:bookmarkStart w:id="2078" w:name="_Toc338526288"/>
      <w:bookmarkStart w:id="2079" w:name="_Toc338673731"/>
      <w:bookmarkStart w:id="2080" w:name="_Toc338711610"/>
      <w:r w:rsidRPr="004B3DE4">
        <w:rPr>
          <w:lang w:eastAsia="tr-TR"/>
        </w:rPr>
        <w:t>1. Mevcut Durum</w:t>
      </w:r>
      <w:bookmarkEnd w:id="2075"/>
      <w:bookmarkEnd w:id="2076"/>
      <w:bookmarkEnd w:id="2077"/>
      <w:bookmarkEnd w:id="2078"/>
      <w:bookmarkEnd w:id="2079"/>
      <w:bookmarkEnd w:id="2080"/>
    </w:p>
    <w:p w:rsidR="00565FD5" w:rsidRPr="004B3DE4" w:rsidRDefault="00565FD5" w:rsidP="00565FD5">
      <w:pPr>
        <w:spacing w:before="120"/>
        <w:ind w:firstLine="425"/>
        <w:rPr>
          <w:rFonts w:cs="Tahoma"/>
          <w:szCs w:val="18"/>
          <w:lang w:eastAsia="tr-TR"/>
        </w:rPr>
      </w:pPr>
      <w:r w:rsidRPr="004B3DE4">
        <w:rPr>
          <w:rFonts w:cs="Tahoma"/>
          <w:szCs w:val="18"/>
          <w:lang w:eastAsia="tr-TR"/>
        </w:rPr>
        <w:t xml:space="preserve">İnşaat sektörü, yarattığı katma değer, yüksek istihdam potansiyeli, ulusal sermaye ağırlığı, etkileşim içerisinde bulunduğu sektörlerin çeşitliliği ve yurt dışı müteahhitlik hizmetleri aracılığıyla yarattığı katkılar dolayısıyla ekonomide önemli bir yere sahiptir. Sektörün GSYH içindeki payı 2010 yılında yüzde 5,6 iken 2011 yılında yüzde 5,8’e yükselmiş, 2012 yılının ilk altı ayında ise yine yüzde 5,8 olarak gerçekleşmiştir. </w:t>
      </w:r>
    </w:p>
    <w:p w:rsidR="00565FD5" w:rsidRPr="008B744B" w:rsidRDefault="00565FD5" w:rsidP="00565FD5">
      <w:pPr>
        <w:pStyle w:val="ResimYazs"/>
        <w:rPr>
          <w:rFonts w:eastAsia="Arial Unicode MS" w:cs="Tahoma"/>
          <w:b w:val="0"/>
          <w:szCs w:val="24"/>
          <w:lang w:val="en-US"/>
        </w:rPr>
      </w:pPr>
      <w:bookmarkStart w:id="2081" w:name="_Toc338606041"/>
      <w:bookmarkStart w:id="2082" w:name="_Toc338711816"/>
      <w:r>
        <w:t xml:space="preserve">TABLO IV: </w:t>
      </w:r>
      <w:fldSimple w:instr=" SEQ TABLO_IV: \* ARABIC ">
        <w:r>
          <w:rPr>
            <w:noProof/>
          </w:rPr>
          <w:t>46</w:t>
        </w:r>
      </w:fldSimple>
      <w:r w:rsidRPr="008B744B">
        <w:rPr>
          <w:rFonts w:eastAsia="Arial Unicode MS" w:cs="Tahoma"/>
          <w:szCs w:val="24"/>
        </w:rPr>
        <w:t>- İnşaat Sektöründeki Gelişmeler</w:t>
      </w:r>
      <w:bookmarkEnd w:id="2081"/>
      <w:bookmarkEnd w:id="2082"/>
    </w:p>
    <w:p w:rsidR="00565FD5" w:rsidRPr="004B3DE4" w:rsidRDefault="00565FD5" w:rsidP="00565FD5">
      <w:pPr>
        <w:tabs>
          <w:tab w:val="left" w:pos="2968"/>
        </w:tabs>
        <w:jc w:val="right"/>
        <w:rPr>
          <w:rFonts w:eastAsia="Arial Unicode MS" w:cs="Tahoma"/>
          <w:sz w:val="16"/>
          <w:szCs w:val="24"/>
          <w:lang w:val="en-US"/>
        </w:rPr>
      </w:pPr>
      <w:r w:rsidRPr="004B3DE4">
        <w:rPr>
          <w:rFonts w:eastAsia="Arial Unicode MS" w:cs="Tahoma"/>
          <w:sz w:val="16"/>
          <w:szCs w:val="24"/>
          <w:lang w:val="en-US"/>
        </w:rPr>
        <w:tab/>
      </w:r>
      <w:r w:rsidRPr="004B3DE4">
        <w:rPr>
          <w:rFonts w:eastAsia="Arial Unicode MS" w:cs="Tahoma"/>
          <w:bCs/>
          <w:sz w:val="16"/>
          <w:szCs w:val="24"/>
        </w:rPr>
        <w:t>(</w:t>
      </w:r>
      <w:r w:rsidRPr="004B3DE4">
        <w:rPr>
          <w:rFonts w:eastAsia="Arial Unicode MS" w:cs="Tahoma"/>
          <w:sz w:val="16"/>
          <w:szCs w:val="24"/>
        </w:rPr>
        <w:t>1998 Sabit Fiyatlarıyla, Yüzde)</w:t>
      </w:r>
    </w:p>
    <w:tbl>
      <w:tblPr>
        <w:tblW w:w="4831" w:type="pct"/>
        <w:tblInd w:w="122" w:type="dxa"/>
        <w:tblBorders>
          <w:top w:val="single" w:sz="4" w:space="0" w:color="auto"/>
          <w:left w:val="single" w:sz="4" w:space="0" w:color="auto"/>
          <w:bottom w:val="single" w:sz="4" w:space="0" w:color="auto"/>
          <w:right w:val="single" w:sz="4" w:space="0" w:color="auto"/>
        </w:tblBorders>
        <w:tblLayout w:type="fixed"/>
        <w:tblLook w:val="00A0"/>
      </w:tblPr>
      <w:tblGrid>
        <w:gridCol w:w="2846"/>
        <w:gridCol w:w="855"/>
        <w:gridCol w:w="855"/>
        <w:gridCol w:w="857"/>
        <w:gridCol w:w="667"/>
        <w:gridCol w:w="1029"/>
      </w:tblGrid>
      <w:tr w:rsidR="00565FD5" w:rsidRPr="004B3DE4" w:rsidTr="00AB62A3">
        <w:trPr>
          <w:trHeight w:val="355"/>
        </w:trPr>
        <w:tc>
          <w:tcPr>
            <w:tcW w:w="2002" w:type="pct"/>
            <w:tcBorders>
              <w:top w:val="single" w:sz="4" w:space="0" w:color="auto"/>
              <w:bottom w:val="single" w:sz="4" w:space="0" w:color="auto"/>
              <w:right w:val="nil"/>
            </w:tcBorders>
            <w:vAlign w:val="center"/>
          </w:tcPr>
          <w:p w:rsidR="00565FD5" w:rsidRPr="004B3DE4" w:rsidRDefault="00565FD5" w:rsidP="00AB62A3">
            <w:pPr>
              <w:spacing w:before="100" w:beforeAutospacing="1" w:after="100" w:afterAutospacing="1"/>
              <w:rPr>
                <w:rFonts w:eastAsia="Arial Unicode MS" w:cs="Tahoma"/>
                <w:b/>
                <w:sz w:val="16"/>
                <w:szCs w:val="24"/>
                <w:lang w:val="en-US"/>
              </w:rPr>
            </w:pPr>
            <w:r w:rsidRPr="004B3DE4">
              <w:rPr>
                <w:rFonts w:eastAsia="Arial Unicode MS" w:cs="Tahoma"/>
                <w:b/>
                <w:sz w:val="16"/>
                <w:szCs w:val="24"/>
                <w:lang w:val="en-US"/>
              </w:rPr>
              <w:t>Yıllar</w:t>
            </w:r>
          </w:p>
        </w:tc>
        <w:tc>
          <w:tcPr>
            <w:tcW w:w="601" w:type="pct"/>
            <w:tcBorders>
              <w:top w:val="single" w:sz="4" w:space="0" w:color="auto"/>
              <w:left w:val="nil"/>
              <w:bottom w:val="single" w:sz="4" w:space="0" w:color="auto"/>
              <w:right w:val="nil"/>
            </w:tcBorders>
            <w:vAlign w:val="center"/>
          </w:tcPr>
          <w:p w:rsidR="00565FD5" w:rsidRPr="004B3DE4" w:rsidRDefault="00565FD5" w:rsidP="00AB62A3">
            <w:pPr>
              <w:spacing w:before="100" w:beforeAutospacing="1" w:after="100" w:afterAutospacing="1"/>
              <w:jc w:val="right"/>
              <w:rPr>
                <w:rFonts w:eastAsia="Arial Unicode MS" w:cs="Tahoma"/>
                <w:b/>
                <w:sz w:val="16"/>
                <w:szCs w:val="24"/>
                <w:lang w:val="en-US"/>
              </w:rPr>
            </w:pPr>
            <w:r w:rsidRPr="004B3DE4">
              <w:rPr>
                <w:rFonts w:eastAsia="Arial Unicode MS" w:cs="Tahoma"/>
                <w:b/>
                <w:sz w:val="16"/>
                <w:szCs w:val="24"/>
                <w:lang w:val="en-US"/>
              </w:rPr>
              <w:t>2008</w:t>
            </w:r>
          </w:p>
        </w:tc>
        <w:tc>
          <w:tcPr>
            <w:tcW w:w="601" w:type="pct"/>
            <w:tcBorders>
              <w:top w:val="single" w:sz="4" w:space="0" w:color="auto"/>
              <w:left w:val="nil"/>
              <w:bottom w:val="single" w:sz="4" w:space="0" w:color="auto"/>
              <w:right w:val="nil"/>
            </w:tcBorders>
            <w:vAlign w:val="center"/>
          </w:tcPr>
          <w:p w:rsidR="00565FD5" w:rsidRPr="004B3DE4" w:rsidRDefault="00565FD5" w:rsidP="00AB62A3">
            <w:pPr>
              <w:spacing w:before="100" w:beforeAutospacing="1" w:after="100" w:afterAutospacing="1"/>
              <w:jc w:val="right"/>
              <w:rPr>
                <w:rFonts w:eastAsia="Arial Unicode MS" w:cs="Tahoma"/>
                <w:b/>
                <w:sz w:val="16"/>
                <w:szCs w:val="24"/>
                <w:lang w:val="en-US"/>
              </w:rPr>
            </w:pPr>
            <w:r w:rsidRPr="004B3DE4">
              <w:rPr>
                <w:rFonts w:eastAsia="Arial Unicode MS" w:cs="Tahoma"/>
                <w:b/>
                <w:sz w:val="16"/>
                <w:szCs w:val="24"/>
                <w:lang w:val="en-US"/>
              </w:rPr>
              <w:t>2009</w:t>
            </w:r>
          </w:p>
        </w:tc>
        <w:tc>
          <w:tcPr>
            <w:tcW w:w="603" w:type="pct"/>
            <w:tcBorders>
              <w:top w:val="single" w:sz="4" w:space="0" w:color="auto"/>
              <w:left w:val="nil"/>
              <w:bottom w:val="single" w:sz="4" w:space="0" w:color="auto"/>
              <w:right w:val="nil"/>
            </w:tcBorders>
            <w:vAlign w:val="center"/>
          </w:tcPr>
          <w:p w:rsidR="00565FD5" w:rsidRPr="004B3DE4" w:rsidRDefault="00565FD5" w:rsidP="00AB62A3">
            <w:pPr>
              <w:spacing w:before="100" w:beforeAutospacing="1" w:after="100" w:afterAutospacing="1"/>
              <w:jc w:val="right"/>
              <w:rPr>
                <w:rFonts w:eastAsia="Arial Unicode MS" w:cs="Tahoma"/>
                <w:b/>
                <w:sz w:val="16"/>
                <w:szCs w:val="24"/>
                <w:lang w:val="en-US"/>
              </w:rPr>
            </w:pPr>
            <w:r w:rsidRPr="004B3DE4">
              <w:rPr>
                <w:rFonts w:eastAsia="Arial Unicode MS" w:cs="Tahoma"/>
                <w:b/>
                <w:sz w:val="16"/>
                <w:szCs w:val="24"/>
                <w:lang w:val="en-US"/>
              </w:rPr>
              <w:t>2010</w:t>
            </w:r>
          </w:p>
        </w:tc>
        <w:tc>
          <w:tcPr>
            <w:tcW w:w="469" w:type="pct"/>
            <w:tcBorders>
              <w:top w:val="single" w:sz="4" w:space="0" w:color="auto"/>
              <w:left w:val="nil"/>
              <w:bottom w:val="single" w:sz="4" w:space="0" w:color="auto"/>
              <w:right w:val="nil"/>
            </w:tcBorders>
            <w:vAlign w:val="center"/>
          </w:tcPr>
          <w:p w:rsidR="00565FD5" w:rsidRPr="004B3DE4" w:rsidRDefault="00565FD5" w:rsidP="00AB62A3">
            <w:pPr>
              <w:spacing w:before="100" w:beforeAutospacing="1" w:after="100" w:afterAutospacing="1"/>
              <w:jc w:val="right"/>
              <w:rPr>
                <w:rFonts w:eastAsia="Arial Unicode MS" w:cs="Tahoma"/>
                <w:b/>
                <w:sz w:val="16"/>
                <w:szCs w:val="24"/>
                <w:lang w:val="en-US"/>
              </w:rPr>
            </w:pPr>
            <w:r w:rsidRPr="004B3DE4">
              <w:rPr>
                <w:rFonts w:eastAsia="Arial Unicode MS" w:cs="Tahoma"/>
                <w:b/>
                <w:sz w:val="16"/>
                <w:szCs w:val="24"/>
                <w:lang w:val="en-US"/>
              </w:rPr>
              <w:t>2011</w:t>
            </w:r>
          </w:p>
        </w:tc>
        <w:tc>
          <w:tcPr>
            <w:tcW w:w="724" w:type="pct"/>
            <w:tcBorders>
              <w:top w:val="single" w:sz="4" w:space="0" w:color="auto"/>
              <w:left w:val="nil"/>
              <w:bottom w:val="single" w:sz="4" w:space="0" w:color="auto"/>
            </w:tcBorders>
            <w:vAlign w:val="center"/>
          </w:tcPr>
          <w:p w:rsidR="00565FD5" w:rsidRPr="004B3DE4" w:rsidRDefault="00565FD5" w:rsidP="00AB62A3">
            <w:pPr>
              <w:spacing w:before="100" w:beforeAutospacing="1" w:after="100" w:afterAutospacing="1"/>
              <w:jc w:val="right"/>
              <w:rPr>
                <w:rFonts w:eastAsia="Arial Unicode MS" w:cs="Tahoma"/>
                <w:b/>
                <w:sz w:val="16"/>
                <w:szCs w:val="24"/>
                <w:lang w:val="en-US"/>
              </w:rPr>
            </w:pPr>
            <w:r w:rsidRPr="004B3DE4">
              <w:rPr>
                <w:rFonts w:eastAsia="Arial Unicode MS" w:cs="Tahoma"/>
                <w:b/>
                <w:sz w:val="16"/>
                <w:szCs w:val="24"/>
                <w:lang w:val="en-US"/>
              </w:rPr>
              <w:t>2012 (1)</w:t>
            </w:r>
          </w:p>
        </w:tc>
      </w:tr>
      <w:tr w:rsidR="00565FD5" w:rsidRPr="004B3DE4" w:rsidTr="00AB62A3">
        <w:tc>
          <w:tcPr>
            <w:tcW w:w="2002" w:type="pct"/>
            <w:tcBorders>
              <w:top w:val="single" w:sz="4" w:space="0" w:color="auto"/>
              <w:bottom w:val="nil"/>
              <w:right w:val="nil"/>
            </w:tcBorders>
            <w:vAlign w:val="center"/>
          </w:tcPr>
          <w:p w:rsidR="00565FD5" w:rsidRPr="004B3DE4" w:rsidRDefault="00565FD5" w:rsidP="00AB62A3">
            <w:pPr>
              <w:spacing w:after="60"/>
              <w:rPr>
                <w:rFonts w:eastAsia="Arial Unicode MS" w:cs="Tahoma"/>
                <w:bCs/>
                <w:sz w:val="16"/>
                <w:szCs w:val="24"/>
              </w:rPr>
            </w:pPr>
            <w:r w:rsidRPr="004B3DE4">
              <w:rPr>
                <w:rFonts w:eastAsia="Arial Unicode MS" w:cs="Tahoma"/>
                <w:sz w:val="16"/>
                <w:szCs w:val="24"/>
              </w:rPr>
              <w:t xml:space="preserve">İnşaat Sektörü GSYH Payı </w:t>
            </w:r>
          </w:p>
        </w:tc>
        <w:tc>
          <w:tcPr>
            <w:tcW w:w="601" w:type="pct"/>
            <w:tcBorders>
              <w:top w:val="single" w:sz="4" w:space="0" w:color="auto"/>
              <w:left w:val="nil"/>
              <w:bottom w:val="nil"/>
              <w:right w:val="nil"/>
            </w:tcBorders>
            <w:vAlign w:val="center"/>
          </w:tcPr>
          <w:p w:rsidR="00565FD5" w:rsidRPr="004B3DE4" w:rsidRDefault="00565FD5" w:rsidP="00AB62A3">
            <w:pPr>
              <w:spacing w:after="60"/>
              <w:jc w:val="right"/>
              <w:rPr>
                <w:rFonts w:eastAsia="Arial Unicode MS" w:cs="Tahoma"/>
                <w:sz w:val="16"/>
                <w:szCs w:val="24"/>
                <w:lang w:val="en-US"/>
              </w:rPr>
            </w:pPr>
            <w:r w:rsidRPr="004B3DE4">
              <w:rPr>
                <w:rFonts w:eastAsia="Arial Unicode MS" w:cs="Tahoma"/>
                <w:sz w:val="16"/>
                <w:szCs w:val="24"/>
                <w:lang w:val="en-US"/>
              </w:rPr>
              <w:t>5,9</w:t>
            </w:r>
          </w:p>
        </w:tc>
        <w:tc>
          <w:tcPr>
            <w:tcW w:w="601" w:type="pct"/>
            <w:tcBorders>
              <w:top w:val="single" w:sz="4" w:space="0" w:color="auto"/>
              <w:left w:val="nil"/>
              <w:bottom w:val="nil"/>
              <w:right w:val="nil"/>
            </w:tcBorders>
            <w:vAlign w:val="center"/>
          </w:tcPr>
          <w:p w:rsidR="00565FD5" w:rsidRPr="004B3DE4" w:rsidRDefault="00565FD5" w:rsidP="00AB62A3">
            <w:pPr>
              <w:spacing w:after="60"/>
              <w:jc w:val="right"/>
              <w:rPr>
                <w:rFonts w:eastAsia="Arial Unicode MS" w:cs="Tahoma"/>
                <w:sz w:val="16"/>
                <w:szCs w:val="24"/>
                <w:lang w:val="en-US"/>
              </w:rPr>
            </w:pPr>
            <w:r w:rsidRPr="004B3DE4">
              <w:rPr>
                <w:rFonts w:eastAsia="Arial Unicode MS" w:cs="Tahoma"/>
                <w:sz w:val="16"/>
                <w:szCs w:val="24"/>
                <w:lang w:val="en-US"/>
              </w:rPr>
              <w:t>5,2</w:t>
            </w:r>
          </w:p>
        </w:tc>
        <w:tc>
          <w:tcPr>
            <w:tcW w:w="603" w:type="pct"/>
            <w:tcBorders>
              <w:top w:val="single" w:sz="4" w:space="0" w:color="auto"/>
              <w:left w:val="nil"/>
              <w:bottom w:val="nil"/>
              <w:right w:val="nil"/>
            </w:tcBorders>
            <w:vAlign w:val="center"/>
          </w:tcPr>
          <w:p w:rsidR="00565FD5" w:rsidRPr="004B3DE4" w:rsidRDefault="00565FD5" w:rsidP="00AB62A3">
            <w:pPr>
              <w:spacing w:after="60"/>
              <w:jc w:val="right"/>
              <w:rPr>
                <w:rFonts w:eastAsia="Arial Unicode MS" w:cs="Tahoma"/>
                <w:sz w:val="16"/>
                <w:szCs w:val="24"/>
                <w:lang w:val="en-US"/>
              </w:rPr>
            </w:pPr>
            <w:r w:rsidRPr="004B3DE4">
              <w:rPr>
                <w:rFonts w:eastAsia="Arial Unicode MS" w:cs="Tahoma"/>
                <w:sz w:val="16"/>
                <w:szCs w:val="24"/>
                <w:lang w:val="en-US"/>
              </w:rPr>
              <w:t>5,6</w:t>
            </w:r>
          </w:p>
        </w:tc>
        <w:tc>
          <w:tcPr>
            <w:tcW w:w="469" w:type="pct"/>
            <w:tcBorders>
              <w:top w:val="single" w:sz="4" w:space="0" w:color="auto"/>
              <w:left w:val="nil"/>
              <w:bottom w:val="nil"/>
              <w:right w:val="nil"/>
            </w:tcBorders>
            <w:vAlign w:val="center"/>
          </w:tcPr>
          <w:p w:rsidR="00565FD5" w:rsidRPr="004B3DE4" w:rsidRDefault="00565FD5" w:rsidP="00AB62A3">
            <w:pPr>
              <w:spacing w:after="60"/>
              <w:jc w:val="right"/>
              <w:rPr>
                <w:rFonts w:eastAsia="Arial Unicode MS" w:cs="Tahoma"/>
                <w:sz w:val="16"/>
                <w:szCs w:val="24"/>
                <w:lang w:val="en-US"/>
              </w:rPr>
            </w:pPr>
            <w:r w:rsidRPr="004B3DE4">
              <w:rPr>
                <w:rFonts w:eastAsia="Arial Unicode MS" w:cs="Tahoma"/>
                <w:sz w:val="16"/>
                <w:szCs w:val="24"/>
                <w:lang w:val="en-US"/>
              </w:rPr>
              <w:t>5,8</w:t>
            </w:r>
          </w:p>
        </w:tc>
        <w:tc>
          <w:tcPr>
            <w:tcW w:w="724" w:type="pct"/>
            <w:tcBorders>
              <w:top w:val="single" w:sz="4" w:space="0" w:color="auto"/>
              <w:left w:val="nil"/>
              <w:bottom w:val="nil"/>
            </w:tcBorders>
            <w:vAlign w:val="center"/>
          </w:tcPr>
          <w:p w:rsidR="00565FD5" w:rsidRPr="004B3DE4" w:rsidRDefault="00565FD5" w:rsidP="00AB62A3">
            <w:pPr>
              <w:spacing w:after="60"/>
              <w:jc w:val="right"/>
              <w:rPr>
                <w:rFonts w:eastAsia="Arial Unicode MS" w:cs="Tahoma"/>
                <w:sz w:val="16"/>
                <w:szCs w:val="24"/>
                <w:lang w:val="en-US"/>
              </w:rPr>
            </w:pPr>
            <w:r w:rsidRPr="004B3DE4">
              <w:rPr>
                <w:rFonts w:eastAsia="Arial Unicode MS" w:cs="Tahoma"/>
                <w:sz w:val="16"/>
                <w:szCs w:val="24"/>
                <w:lang w:val="en-US"/>
              </w:rPr>
              <w:t>5,8</w:t>
            </w:r>
          </w:p>
        </w:tc>
      </w:tr>
      <w:tr w:rsidR="00565FD5" w:rsidRPr="004B3DE4" w:rsidTr="00AB62A3">
        <w:tc>
          <w:tcPr>
            <w:tcW w:w="2002" w:type="pct"/>
            <w:tcBorders>
              <w:top w:val="nil"/>
              <w:bottom w:val="nil"/>
              <w:right w:val="nil"/>
            </w:tcBorders>
            <w:vAlign w:val="center"/>
          </w:tcPr>
          <w:p w:rsidR="00565FD5" w:rsidRPr="004B3DE4" w:rsidRDefault="00565FD5" w:rsidP="00AB62A3">
            <w:pPr>
              <w:spacing w:after="60"/>
              <w:rPr>
                <w:rFonts w:eastAsia="Arial Unicode MS" w:cs="Tahoma"/>
                <w:bCs/>
                <w:sz w:val="16"/>
                <w:szCs w:val="24"/>
              </w:rPr>
            </w:pPr>
            <w:r w:rsidRPr="004B3DE4">
              <w:rPr>
                <w:rFonts w:eastAsia="Arial Unicode MS" w:cs="Tahoma"/>
                <w:sz w:val="16"/>
                <w:szCs w:val="24"/>
              </w:rPr>
              <w:t>İnşaat Sektörü Büyüme Hızı</w:t>
            </w:r>
          </w:p>
        </w:tc>
        <w:tc>
          <w:tcPr>
            <w:tcW w:w="601" w:type="pct"/>
            <w:tcBorders>
              <w:top w:val="nil"/>
              <w:left w:val="nil"/>
              <w:bottom w:val="nil"/>
              <w:right w:val="nil"/>
            </w:tcBorders>
            <w:vAlign w:val="center"/>
          </w:tcPr>
          <w:p w:rsidR="00565FD5" w:rsidRPr="004B3DE4" w:rsidRDefault="00565FD5" w:rsidP="00AB62A3">
            <w:pPr>
              <w:spacing w:after="60"/>
              <w:jc w:val="right"/>
              <w:rPr>
                <w:rFonts w:eastAsia="Arial Unicode MS" w:cs="Tahoma"/>
                <w:sz w:val="16"/>
                <w:szCs w:val="24"/>
                <w:lang w:val="en-US"/>
              </w:rPr>
            </w:pPr>
            <w:r w:rsidRPr="004B3DE4">
              <w:rPr>
                <w:rFonts w:eastAsia="Arial Unicode MS" w:cs="Tahoma"/>
                <w:sz w:val="16"/>
                <w:szCs w:val="24"/>
                <w:lang w:val="en-US"/>
              </w:rPr>
              <w:t>8,1</w:t>
            </w:r>
          </w:p>
        </w:tc>
        <w:tc>
          <w:tcPr>
            <w:tcW w:w="601" w:type="pct"/>
            <w:tcBorders>
              <w:top w:val="nil"/>
              <w:left w:val="nil"/>
              <w:bottom w:val="nil"/>
              <w:right w:val="nil"/>
            </w:tcBorders>
            <w:vAlign w:val="center"/>
          </w:tcPr>
          <w:p w:rsidR="00565FD5" w:rsidRPr="004B3DE4" w:rsidRDefault="00565FD5" w:rsidP="00AB62A3">
            <w:pPr>
              <w:spacing w:after="60"/>
              <w:jc w:val="right"/>
              <w:rPr>
                <w:rFonts w:eastAsia="Arial Unicode MS" w:cs="Tahoma"/>
                <w:sz w:val="16"/>
                <w:szCs w:val="24"/>
                <w:lang w:val="en-US"/>
              </w:rPr>
            </w:pPr>
            <w:r w:rsidRPr="004B3DE4">
              <w:rPr>
                <w:rFonts w:eastAsia="Arial Unicode MS" w:cs="Tahoma"/>
                <w:sz w:val="16"/>
                <w:szCs w:val="24"/>
                <w:lang w:val="en-US"/>
              </w:rPr>
              <w:t>-16,1</w:t>
            </w:r>
          </w:p>
        </w:tc>
        <w:tc>
          <w:tcPr>
            <w:tcW w:w="603" w:type="pct"/>
            <w:tcBorders>
              <w:top w:val="nil"/>
              <w:left w:val="nil"/>
              <w:bottom w:val="nil"/>
              <w:right w:val="nil"/>
            </w:tcBorders>
            <w:vAlign w:val="center"/>
          </w:tcPr>
          <w:p w:rsidR="00565FD5" w:rsidRPr="004B3DE4" w:rsidRDefault="00565FD5" w:rsidP="00AB62A3">
            <w:pPr>
              <w:spacing w:after="60"/>
              <w:jc w:val="right"/>
              <w:rPr>
                <w:rFonts w:eastAsia="Arial Unicode MS" w:cs="Tahoma"/>
                <w:sz w:val="16"/>
                <w:szCs w:val="24"/>
                <w:lang w:val="en-US"/>
              </w:rPr>
            </w:pPr>
            <w:r w:rsidRPr="004B3DE4">
              <w:rPr>
                <w:rFonts w:eastAsia="Arial Unicode MS" w:cs="Tahoma"/>
                <w:sz w:val="16"/>
                <w:szCs w:val="24"/>
                <w:lang w:val="en-US"/>
              </w:rPr>
              <w:t>17,1</w:t>
            </w:r>
          </w:p>
        </w:tc>
        <w:tc>
          <w:tcPr>
            <w:tcW w:w="469" w:type="pct"/>
            <w:tcBorders>
              <w:top w:val="nil"/>
              <w:left w:val="nil"/>
              <w:bottom w:val="nil"/>
              <w:right w:val="nil"/>
            </w:tcBorders>
            <w:vAlign w:val="center"/>
          </w:tcPr>
          <w:p w:rsidR="00565FD5" w:rsidRPr="004B3DE4" w:rsidRDefault="00565FD5" w:rsidP="00AB62A3">
            <w:pPr>
              <w:spacing w:after="60"/>
              <w:jc w:val="right"/>
              <w:rPr>
                <w:rFonts w:eastAsia="Arial Unicode MS" w:cs="Tahoma"/>
                <w:sz w:val="16"/>
                <w:szCs w:val="24"/>
                <w:lang w:val="en-US"/>
              </w:rPr>
            </w:pPr>
            <w:r w:rsidRPr="004B3DE4">
              <w:rPr>
                <w:rFonts w:eastAsia="Arial Unicode MS" w:cs="Tahoma"/>
                <w:sz w:val="16"/>
                <w:szCs w:val="24"/>
                <w:lang w:val="en-US"/>
              </w:rPr>
              <w:t>11,3</w:t>
            </w:r>
          </w:p>
        </w:tc>
        <w:tc>
          <w:tcPr>
            <w:tcW w:w="724" w:type="pct"/>
            <w:tcBorders>
              <w:top w:val="nil"/>
              <w:left w:val="nil"/>
              <w:bottom w:val="nil"/>
            </w:tcBorders>
            <w:vAlign w:val="center"/>
          </w:tcPr>
          <w:p w:rsidR="00565FD5" w:rsidRPr="004B3DE4" w:rsidRDefault="00565FD5" w:rsidP="00AB62A3">
            <w:pPr>
              <w:spacing w:after="60"/>
              <w:jc w:val="right"/>
              <w:rPr>
                <w:rFonts w:eastAsia="Arial Unicode MS" w:cs="Tahoma"/>
                <w:sz w:val="16"/>
                <w:szCs w:val="24"/>
                <w:lang w:val="en-US"/>
              </w:rPr>
            </w:pPr>
            <w:r w:rsidRPr="004B3DE4">
              <w:rPr>
                <w:rFonts w:eastAsia="Arial Unicode MS" w:cs="Tahoma"/>
                <w:sz w:val="16"/>
                <w:szCs w:val="24"/>
                <w:lang w:val="en-US"/>
              </w:rPr>
              <w:t>1,5</w:t>
            </w:r>
          </w:p>
        </w:tc>
      </w:tr>
      <w:tr w:rsidR="00565FD5" w:rsidRPr="004B3DE4" w:rsidTr="00AB62A3">
        <w:tc>
          <w:tcPr>
            <w:tcW w:w="2002" w:type="pct"/>
            <w:tcBorders>
              <w:top w:val="nil"/>
              <w:bottom w:val="single" w:sz="4" w:space="0" w:color="auto"/>
              <w:right w:val="nil"/>
            </w:tcBorders>
            <w:vAlign w:val="center"/>
          </w:tcPr>
          <w:p w:rsidR="00565FD5" w:rsidRPr="004B3DE4" w:rsidRDefault="00565FD5" w:rsidP="00AB62A3">
            <w:pPr>
              <w:spacing w:after="60"/>
              <w:rPr>
                <w:rFonts w:eastAsia="Arial Unicode MS" w:cs="Tahoma"/>
                <w:sz w:val="16"/>
                <w:szCs w:val="24"/>
                <w:lang w:val="en-US"/>
              </w:rPr>
            </w:pPr>
            <w:r w:rsidRPr="004B3DE4">
              <w:rPr>
                <w:rFonts w:eastAsia="Arial Unicode MS" w:cs="Tahoma"/>
                <w:sz w:val="16"/>
                <w:szCs w:val="24"/>
                <w:lang w:val="en-US"/>
              </w:rPr>
              <w:t>GSYH Büyüme Hızı</w:t>
            </w:r>
          </w:p>
        </w:tc>
        <w:tc>
          <w:tcPr>
            <w:tcW w:w="601" w:type="pct"/>
            <w:tcBorders>
              <w:top w:val="nil"/>
              <w:left w:val="nil"/>
              <w:bottom w:val="single" w:sz="4" w:space="0" w:color="auto"/>
              <w:right w:val="nil"/>
            </w:tcBorders>
            <w:vAlign w:val="center"/>
          </w:tcPr>
          <w:p w:rsidR="00565FD5" w:rsidRPr="004B3DE4" w:rsidRDefault="00565FD5" w:rsidP="00AB62A3">
            <w:pPr>
              <w:spacing w:after="60"/>
              <w:jc w:val="right"/>
              <w:rPr>
                <w:rFonts w:eastAsia="Arial Unicode MS" w:cs="Tahoma"/>
                <w:sz w:val="16"/>
                <w:szCs w:val="24"/>
                <w:lang w:val="en-US"/>
              </w:rPr>
            </w:pPr>
            <w:r w:rsidRPr="004B3DE4">
              <w:rPr>
                <w:rFonts w:eastAsia="Arial Unicode MS" w:cs="Tahoma"/>
                <w:sz w:val="16"/>
                <w:szCs w:val="24"/>
                <w:lang w:val="en-US"/>
              </w:rPr>
              <w:t>0,7</w:t>
            </w:r>
          </w:p>
        </w:tc>
        <w:tc>
          <w:tcPr>
            <w:tcW w:w="601" w:type="pct"/>
            <w:tcBorders>
              <w:top w:val="nil"/>
              <w:left w:val="nil"/>
              <w:bottom w:val="single" w:sz="4" w:space="0" w:color="auto"/>
              <w:right w:val="nil"/>
            </w:tcBorders>
            <w:vAlign w:val="center"/>
          </w:tcPr>
          <w:p w:rsidR="00565FD5" w:rsidRPr="004B3DE4" w:rsidRDefault="00565FD5" w:rsidP="00AB62A3">
            <w:pPr>
              <w:spacing w:after="60"/>
              <w:jc w:val="right"/>
              <w:rPr>
                <w:rFonts w:eastAsia="Arial Unicode MS" w:cs="Tahoma"/>
                <w:sz w:val="16"/>
                <w:szCs w:val="24"/>
                <w:lang w:val="en-US"/>
              </w:rPr>
            </w:pPr>
            <w:r w:rsidRPr="004B3DE4">
              <w:rPr>
                <w:rFonts w:eastAsia="Arial Unicode MS" w:cs="Tahoma"/>
                <w:sz w:val="16"/>
                <w:szCs w:val="24"/>
                <w:lang w:val="en-US"/>
              </w:rPr>
              <w:t>-4,8</w:t>
            </w:r>
          </w:p>
        </w:tc>
        <w:tc>
          <w:tcPr>
            <w:tcW w:w="603" w:type="pct"/>
            <w:tcBorders>
              <w:top w:val="nil"/>
              <w:left w:val="nil"/>
              <w:bottom w:val="single" w:sz="4" w:space="0" w:color="auto"/>
              <w:right w:val="nil"/>
            </w:tcBorders>
            <w:vAlign w:val="center"/>
          </w:tcPr>
          <w:p w:rsidR="00565FD5" w:rsidRPr="004B3DE4" w:rsidRDefault="00565FD5" w:rsidP="00AB62A3">
            <w:pPr>
              <w:spacing w:after="60"/>
              <w:jc w:val="right"/>
              <w:rPr>
                <w:rFonts w:eastAsia="Arial Unicode MS" w:cs="Tahoma"/>
                <w:sz w:val="16"/>
                <w:szCs w:val="24"/>
                <w:lang w:val="en-US"/>
              </w:rPr>
            </w:pPr>
            <w:r w:rsidRPr="004B3DE4">
              <w:rPr>
                <w:rFonts w:eastAsia="Arial Unicode MS" w:cs="Tahoma"/>
                <w:sz w:val="16"/>
                <w:szCs w:val="24"/>
                <w:lang w:val="en-US"/>
              </w:rPr>
              <w:t>9,0</w:t>
            </w:r>
          </w:p>
        </w:tc>
        <w:tc>
          <w:tcPr>
            <w:tcW w:w="469" w:type="pct"/>
            <w:tcBorders>
              <w:top w:val="nil"/>
              <w:left w:val="nil"/>
              <w:bottom w:val="single" w:sz="4" w:space="0" w:color="auto"/>
              <w:right w:val="nil"/>
            </w:tcBorders>
            <w:vAlign w:val="center"/>
          </w:tcPr>
          <w:p w:rsidR="00565FD5" w:rsidRPr="004B3DE4" w:rsidRDefault="00565FD5" w:rsidP="00AB62A3">
            <w:pPr>
              <w:spacing w:after="60"/>
              <w:jc w:val="right"/>
              <w:rPr>
                <w:rFonts w:eastAsia="Arial Unicode MS" w:cs="Tahoma"/>
                <w:sz w:val="16"/>
                <w:szCs w:val="24"/>
                <w:lang w:val="en-US"/>
              </w:rPr>
            </w:pPr>
            <w:r w:rsidRPr="004B3DE4">
              <w:rPr>
                <w:rFonts w:eastAsia="Arial Unicode MS" w:cs="Tahoma"/>
                <w:sz w:val="16"/>
                <w:szCs w:val="24"/>
                <w:lang w:val="en-US"/>
              </w:rPr>
              <w:t>8,5</w:t>
            </w:r>
          </w:p>
        </w:tc>
        <w:tc>
          <w:tcPr>
            <w:tcW w:w="724" w:type="pct"/>
            <w:tcBorders>
              <w:top w:val="nil"/>
              <w:left w:val="nil"/>
              <w:bottom w:val="single" w:sz="4" w:space="0" w:color="auto"/>
            </w:tcBorders>
            <w:vAlign w:val="center"/>
          </w:tcPr>
          <w:p w:rsidR="00565FD5" w:rsidRPr="004B3DE4" w:rsidRDefault="00565FD5" w:rsidP="00AB62A3">
            <w:pPr>
              <w:spacing w:after="60"/>
              <w:jc w:val="right"/>
              <w:rPr>
                <w:rFonts w:eastAsia="Arial Unicode MS" w:cs="Tahoma"/>
                <w:sz w:val="16"/>
                <w:szCs w:val="24"/>
                <w:lang w:val="en-US"/>
              </w:rPr>
            </w:pPr>
            <w:r w:rsidRPr="004B3DE4">
              <w:rPr>
                <w:rFonts w:eastAsia="Arial Unicode MS" w:cs="Tahoma"/>
                <w:sz w:val="16"/>
                <w:szCs w:val="24"/>
                <w:lang w:val="en-US"/>
              </w:rPr>
              <w:t>3,2</w:t>
            </w:r>
          </w:p>
        </w:tc>
      </w:tr>
    </w:tbl>
    <w:p w:rsidR="00565FD5" w:rsidRPr="004B3DE4" w:rsidRDefault="00565FD5" w:rsidP="00565FD5">
      <w:pPr>
        <w:rPr>
          <w:rFonts w:cs="Tahoma"/>
          <w:sz w:val="14"/>
          <w:szCs w:val="18"/>
          <w:lang w:eastAsia="tr-TR"/>
        </w:rPr>
      </w:pPr>
      <w:r w:rsidRPr="004B3DE4">
        <w:rPr>
          <w:rFonts w:cs="Tahoma"/>
          <w:sz w:val="14"/>
          <w:szCs w:val="18"/>
          <w:lang w:eastAsia="tr-TR"/>
        </w:rPr>
        <w:t xml:space="preserve">Kaynak: TÜİK  </w:t>
      </w:r>
    </w:p>
    <w:p w:rsidR="00565FD5" w:rsidRPr="004B3DE4" w:rsidRDefault="00565FD5" w:rsidP="00565FD5">
      <w:pPr>
        <w:spacing w:after="240"/>
        <w:rPr>
          <w:rFonts w:cs="Tahoma"/>
          <w:sz w:val="14"/>
          <w:szCs w:val="18"/>
          <w:lang w:eastAsia="tr-TR"/>
        </w:rPr>
      </w:pPr>
      <w:r w:rsidRPr="004B3DE4">
        <w:rPr>
          <w:rFonts w:cs="Tahoma"/>
          <w:sz w:val="14"/>
          <w:szCs w:val="18"/>
          <w:lang w:eastAsia="tr-TR"/>
        </w:rPr>
        <w:t>(1)2012 yılı Ocak-Haziran dönemi</w:t>
      </w:r>
    </w:p>
    <w:p w:rsidR="00565FD5" w:rsidRPr="004B3DE4" w:rsidRDefault="00565FD5" w:rsidP="00565FD5">
      <w:pPr>
        <w:spacing w:before="120" w:after="120"/>
        <w:ind w:firstLine="425"/>
        <w:rPr>
          <w:rFonts w:cs="Tahoma"/>
          <w:szCs w:val="18"/>
          <w:lang w:eastAsia="tr-TR"/>
        </w:rPr>
      </w:pPr>
      <w:r w:rsidRPr="004B3DE4">
        <w:rPr>
          <w:rFonts w:cs="Tahoma"/>
          <w:szCs w:val="18"/>
          <w:lang w:eastAsia="tr-TR"/>
        </w:rPr>
        <w:lastRenderedPageBreak/>
        <w:t xml:space="preserve">İnşaat sektörü kriz dönemlerinde ekonominin geneline göre daha ciddi oranda küçülen, büyüme dönemlerinde ise ekonominin itici güçlerinden birisi haline gelen bir yapıya sahiptir. Nitekim sektör, yaşanan küresel krizden ekonominin geneline oranla daha fazla etkilenmiş, 2010 yılı ortalarından itibaren genel ekonomik büyümeye oranla daha hızlı bir büyüme göstermiştir. 2012 yılının ilk altı ayında ise ekonomide ve inşaat sektöründe belirgin bir büyüme yavaşlaması gözlenmiş, ekonomi yüzde 3,2 oranında büyürken inşaat sektöründeki büyüme oranı yüzde 1,5 olmuştur.  </w:t>
      </w:r>
    </w:p>
    <w:p w:rsidR="00565FD5" w:rsidRPr="004B3DE4" w:rsidRDefault="00565FD5" w:rsidP="00565FD5">
      <w:pPr>
        <w:spacing w:before="120" w:after="120"/>
        <w:ind w:firstLine="425"/>
        <w:rPr>
          <w:rFonts w:cs="Tahoma"/>
          <w:szCs w:val="18"/>
          <w:lang w:eastAsia="tr-TR"/>
        </w:rPr>
      </w:pPr>
      <w:r w:rsidRPr="004B3DE4">
        <w:rPr>
          <w:rFonts w:cs="Tahoma"/>
          <w:szCs w:val="18"/>
          <w:lang w:eastAsia="tr-TR"/>
        </w:rPr>
        <w:t xml:space="preserve">Yaşanan küresel krizin de etkisiyle 2009 yılında yüzde 3 oranında azalan metrekare bazında yapı inşa izinleri, 2010 yılından itibaren sektörün toparlanmaya başlamasıyla aynı yıl yüzde 77,5’e varan bir artış göstermiştir. Yapı inşa izinleri 2011 yılında yüzde 30,8 oranında azalırken 2012 yılının ilk yarısında yüzde 37 oranında artmıştır. Diğer yandan, inşaat sektörünün üretim süreciyle tutarlı bir biçimde, yapı inşa izinlerinde görülen artış veya azalışlar 1-2 yıl gecikmeli olarak yapı kullanım izinlerine yansımaktadır. Buna bağlı olarak, küresel kriz döneminde yaşanan talep daralmasının etkileri yapı kullanım izinlerinde 2010 yılında kendisini göstermiş, yapı kullanım izinlerinde bir önceki yıla göre yüzde 9,7 oranında bir azalma gerçekleşmiştir. Benzer şekilde, 2010 yılında yapı inşa izinlerinde görülen ciddi artışın yansımaları, 2011 yılında yapı kullanım izinlerinde yaşanan yüzde 23,4 oranındaki artışı ortaya çıkarmıştır. Yapı inşa izinlerinde 2011 yılında yaşanan yüzde 30,8 oranındaki azalmanın yapı kullanım izinlerine yansıması ise 2012 yılının ilk altı aylık döneminde yapı kullanım izinlerindeki yüzde 5,1’lik düşüşle hissedilmektedir. </w:t>
      </w:r>
    </w:p>
    <w:p w:rsidR="00565FD5" w:rsidRPr="008B744B" w:rsidRDefault="00565FD5" w:rsidP="00565FD5">
      <w:pPr>
        <w:pStyle w:val="ResimYazs"/>
        <w:rPr>
          <w:rFonts w:eastAsia="Arial Unicode MS" w:cs="Tahoma"/>
          <w:szCs w:val="24"/>
        </w:rPr>
      </w:pPr>
      <w:bookmarkStart w:id="2083" w:name="_Toc338606042"/>
      <w:bookmarkStart w:id="2084" w:name="_Toc338711817"/>
      <w:r>
        <w:t xml:space="preserve">TABLO IV: </w:t>
      </w:r>
      <w:fldSimple w:instr=" SEQ TABLO_IV: \* ARABIC ">
        <w:r>
          <w:rPr>
            <w:noProof/>
          </w:rPr>
          <w:t>47</w:t>
        </w:r>
      </w:fldSimple>
      <w:r w:rsidRPr="008B744B">
        <w:rPr>
          <w:rFonts w:eastAsia="Arial Unicode MS" w:cs="Tahoma"/>
          <w:szCs w:val="24"/>
        </w:rPr>
        <w:t>- Yapı İnşa ve Yapı Kullanım İzinleri ile Değişim Oranları</w:t>
      </w:r>
      <w:bookmarkEnd w:id="2083"/>
      <w:bookmarkEnd w:id="2084"/>
    </w:p>
    <w:tbl>
      <w:tblPr>
        <w:tblW w:w="4831" w:type="pct"/>
        <w:tblInd w:w="122" w:type="dxa"/>
        <w:tblBorders>
          <w:top w:val="single" w:sz="4" w:space="0" w:color="auto"/>
          <w:left w:val="single" w:sz="4" w:space="0" w:color="auto"/>
          <w:bottom w:val="single" w:sz="4" w:space="0" w:color="auto"/>
          <w:right w:val="single" w:sz="4" w:space="0" w:color="auto"/>
        </w:tblBorders>
        <w:tblLook w:val="00A0"/>
      </w:tblPr>
      <w:tblGrid>
        <w:gridCol w:w="2771"/>
        <w:gridCol w:w="904"/>
        <w:gridCol w:w="904"/>
        <w:gridCol w:w="904"/>
        <w:gridCol w:w="904"/>
        <w:gridCol w:w="722"/>
      </w:tblGrid>
      <w:tr w:rsidR="00565FD5" w:rsidRPr="004B3DE4" w:rsidTr="00AB62A3">
        <w:trPr>
          <w:trHeight w:val="356"/>
        </w:trPr>
        <w:tc>
          <w:tcPr>
            <w:tcW w:w="1950" w:type="pct"/>
            <w:tcBorders>
              <w:top w:val="single" w:sz="4" w:space="0" w:color="auto"/>
              <w:bottom w:val="single" w:sz="4" w:space="0" w:color="auto"/>
              <w:right w:val="nil"/>
            </w:tcBorders>
            <w:vAlign w:val="center"/>
          </w:tcPr>
          <w:p w:rsidR="00565FD5" w:rsidRPr="004B3DE4" w:rsidRDefault="00565FD5" w:rsidP="00AB62A3">
            <w:pPr>
              <w:spacing w:before="100" w:beforeAutospacing="1" w:after="100" w:afterAutospacing="1"/>
              <w:rPr>
                <w:rFonts w:eastAsia="Arial Unicode MS" w:cs="Tahoma"/>
                <w:b/>
                <w:sz w:val="16"/>
                <w:szCs w:val="24"/>
                <w:lang w:val="en-US"/>
              </w:rPr>
            </w:pPr>
            <w:r w:rsidRPr="004B3DE4">
              <w:rPr>
                <w:rFonts w:eastAsia="Arial Unicode MS" w:cs="Tahoma"/>
                <w:b/>
                <w:sz w:val="16"/>
                <w:szCs w:val="24"/>
                <w:lang w:val="en-US"/>
              </w:rPr>
              <w:t>Yıllar</w:t>
            </w:r>
          </w:p>
        </w:tc>
        <w:tc>
          <w:tcPr>
            <w:tcW w:w="638" w:type="pct"/>
            <w:tcBorders>
              <w:top w:val="single" w:sz="4" w:space="0" w:color="auto"/>
              <w:left w:val="nil"/>
              <w:bottom w:val="single" w:sz="4" w:space="0" w:color="auto"/>
              <w:right w:val="nil"/>
            </w:tcBorders>
            <w:vAlign w:val="center"/>
          </w:tcPr>
          <w:p w:rsidR="00565FD5" w:rsidRPr="004B3DE4" w:rsidRDefault="00565FD5" w:rsidP="00AB62A3">
            <w:pPr>
              <w:spacing w:before="100" w:beforeAutospacing="1" w:after="100" w:afterAutospacing="1"/>
              <w:jc w:val="right"/>
              <w:rPr>
                <w:rFonts w:eastAsia="Arial Unicode MS" w:cs="Tahoma"/>
                <w:b/>
                <w:sz w:val="16"/>
                <w:szCs w:val="24"/>
                <w:lang w:val="en-US"/>
              </w:rPr>
            </w:pPr>
            <w:r w:rsidRPr="004B3DE4">
              <w:rPr>
                <w:rFonts w:eastAsia="Arial Unicode MS" w:cs="Tahoma"/>
                <w:b/>
                <w:sz w:val="16"/>
                <w:szCs w:val="24"/>
                <w:lang w:val="en-US"/>
              </w:rPr>
              <w:t>2008</w:t>
            </w:r>
          </w:p>
        </w:tc>
        <w:tc>
          <w:tcPr>
            <w:tcW w:w="638" w:type="pct"/>
            <w:tcBorders>
              <w:top w:val="single" w:sz="4" w:space="0" w:color="auto"/>
              <w:left w:val="nil"/>
              <w:bottom w:val="single" w:sz="4" w:space="0" w:color="auto"/>
              <w:right w:val="nil"/>
            </w:tcBorders>
            <w:vAlign w:val="center"/>
          </w:tcPr>
          <w:p w:rsidR="00565FD5" w:rsidRPr="004B3DE4" w:rsidRDefault="00565FD5" w:rsidP="00AB62A3">
            <w:pPr>
              <w:spacing w:before="100" w:beforeAutospacing="1" w:after="100" w:afterAutospacing="1"/>
              <w:jc w:val="right"/>
              <w:rPr>
                <w:rFonts w:eastAsia="Arial Unicode MS" w:cs="Tahoma"/>
                <w:b/>
                <w:sz w:val="16"/>
                <w:szCs w:val="24"/>
                <w:lang w:val="en-US"/>
              </w:rPr>
            </w:pPr>
            <w:r w:rsidRPr="004B3DE4">
              <w:rPr>
                <w:rFonts w:eastAsia="Arial Unicode MS" w:cs="Tahoma"/>
                <w:b/>
                <w:sz w:val="16"/>
                <w:szCs w:val="24"/>
                <w:lang w:val="en-US"/>
              </w:rPr>
              <w:t>2009</w:t>
            </w:r>
          </w:p>
        </w:tc>
        <w:tc>
          <w:tcPr>
            <w:tcW w:w="638" w:type="pct"/>
            <w:tcBorders>
              <w:top w:val="single" w:sz="4" w:space="0" w:color="auto"/>
              <w:left w:val="nil"/>
              <w:bottom w:val="single" w:sz="4" w:space="0" w:color="auto"/>
              <w:right w:val="nil"/>
            </w:tcBorders>
            <w:vAlign w:val="center"/>
          </w:tcPr>
          <w:p w:rsidR="00565FD5" w:rsidRPr="004B3DE4" w:rsidRDefault="00565FD5" w:rsidP="00AB62A3">
            <w:pPr>
              <w:spacing w:before="100" w:beforeAutospacing="1" w:after="100" w:afterAutospacing="1"/>
              <w:jc w:val="right"/>
              <w:rPr>
                <w:rFonts w:eastAsia="Arial Unicode MS" w:cs="Tahoma"/>
                <w:b/>
                <w:sz w:val="16"/>
                <w:szCs w:val="24"/>
                <w:lang w:val="en-US"/>
              </w:rPr>
            </w:pPr>
            <w:r w:rsidRPr="004B3DE4">
              <w:rPr>
                <w:rFonts w:eastAsia="Arial Unicode MS" w:cs="Tahoma"/>
                <w:b/>
                <w:sz w:val="16"/>
                <w:szCs w:val="24"/>
                <w:lang w:val="en-US"/>
              </w:rPr>
              <w:t xml:space="preserve">2010  </w:t>
            </w:r>
          </w:p>
        </w:tc>
        <w:tc>
          <w:tcPr>
            <w:tcW w:w="638" w:type="pct"/>
            <w:tcBorders>
              <w:top w:val="single" w:sz="4" w:space="0" w:color="auto"/>
              <w:left w:val="nil"/>
              <w:bottom w:val="single" w:sz="4" w:space="0" w:color="auto"/>
              <w:right w:val="nil"/>
            </w:tcBorders>
            <w:vAlign w:val="center"/>
          </w:tcPr>
          <w:p w:rsidR="00565FD5" w:rsidRPr="004B3DE4" w:rsidRDefault="00565FD5" w:rsidP="00AB62A3">
            <w:pPr>
              <w:spacing w:before="100" w:beforeAutospacing="1" w:after="100" w:afterAutospacing="1"/>
              <w:jc w:val="right"/>
              <w:rPr>
                <w:rFonts w:eastAsia="Arial Unicode MS" w:cs="Tahoma"/>
                <w:b/>
                <w:sz w:val="16"/>
                <w:szCs w:val="24"/>
                <w:lang w:val="en-US"/>
              </w:rPr>
            </w:pPr>
            <w:r w:rsidRPr="004B3DE4">
              <w:rPr>
                <w:rFonts w:eastAsia="Arial Unicode MS" w:cs="Tahoma"/>
                <w:b/>
                <w:sz w:val="16"/>
                <w:szCs w:val="24"/>
                <w:lang w:val="en-US"/>
              </w:rPr>
              <w:t>2011</w:t>
            </w:r>
          </w:p>
        </w:tc>
        <w:tc>
          <w:tcPr>
            <w:tcW w:w="496" w:type="pct"/>
            <w:tcBorders>
              <w:top w:val="single" w:sz="4" w:space="0" w:color="auto"/>
              <w:left w:val="nil"/>
              <w:bottom w:val="single" w:sz="4" w:space="0" w:color="auto"/>
            </w:tcBorders>
            <w:vAlign w:val="center"/>
          </w:tcPr>
          <w:p w:rsidR="00565FD5" w:rsidRPr="004B3DE4" w:rsidRDefault="00565FD5" w:rsidP="00AB62A3">
            <w:pPr>
              <w:spacing w:before="100" w:beforeAutospacing="1" w:after="100" w:afterAutospacing="1"/>
              <w:jc w:val="right"/>
              <w:rPr>
                <w:rFonts w:eastAsia="Arial Unicode MS" w:cs="Tahoma"/>
                <w:b/>
                <w:sz w:val="16"/>
                <w:szCs w:val="24"/>
                <w:lang w:val="en-US"/>
              </w:rPr>
            </w:pPr>
            <w:r w:rsidRPr="004B3DE4">
              <w:rPr>
                <w:rFonts w:eastAsia="Arial Unicode MS" w:cs="Tahoma"/>
                <w:b/>
                <w:sz w:val="16"/>
                <w:szCs w:val="24"/>
                <w:lang w:val="en-US"/>
              </w:rPr>
              <w:t>2012(1)</w:t>
            </w:r>
          </w:p>
        </w:tc>
      </w:tr>
      <w:tr w:rsidR="00565FD5" w:rsidRPr="004B3DE4" w:rsidTr="00AB62A3">
        <w:tc>
          <w:tcPr>
            <w:tcW w:w="1950" w:type="pct"/>
            <w:tcBorders>
              <w:top w:val="single" w:sz="4" w:space="0" w:color="auto"/>
              <w:bottom w:val="nil"/>
              <w:right w:val="nil"/>
            </w:tcBorders>
            <w:vAlign w:val="center"/>
          </w:tcPr>
          <w:p w:rsidR="00565FD5" w:rsidRPr="004B3DE4" w:rsidRDefault="00565FD5" w:rsidP="00AB62A3">
            <w:pPr>
              <w:spacing w:before="100" w:beforeAutospacing="1" w:after="60"/>
              <w:rPr>
                <w:rFonts w:eastAsia="Arial Unicode MS" w:cs="Tahoma"/>
                <w:sz w:val="16"/>
                <w:szCs w:val="24"/>
              </w:rPr>
            </w:pPr>
            <w:r w:rsidRPr="004B3DE4">
              <w:rPr>
                <w:rFonts w:eastAsia="Arial Unicode MS" w:cs="Tahoma"/>
                <w:sz w:val="16"/>
                <w:szCs w:val="24"/>
              </w:rPr>
              <w:t>Yapı İnşa İzni (Bin m</w:t>
            </w:r>
            <w:r w:rsidRPr="004B3DE4">
              <w:rPr>
                <w:rFonts w:eastAsia="Arial Unicode MS" w:cs="Tahoma"/>
                <w:sz w:val="16"/>
                <w:szCs w:val="24"/>
                <w:vertAlign w:val="superscript"/>
              </w:rPr>
              <w:t>2</w:t>
            </w:r>
            <w:r w:rsidRPr="004B3DE4">
              <w:rPr>
                <w:rFonts w:eastAsia="Arial Unicode MS" w:cs="Tahoma"/>
                <w:sz w:val="16"/>
                <w:szCs w:val="24"/>
              </w:rPr>
              <w:t>)</w:t>
            </w:r>
          </w:p>
        </w:tc>
        <w:tc>
          <w:tcPr>
            <w:tcW w:w="638" w:type="pct"/>
            <w:tcBorders>
              <w:top w:val="single" w:sz="4" w:space="0" w:color="auto"/>
              <w:left w:val="nil"/>
              <w:bottom w:val="nil"/>
              <w:right w:val="nil"/>
            </w:tcBorders>
            <w:vAlign w:val="center"/>
          </w:tcPr>
          <w:p w:rsidR="00565FD5" w:rsidRPr="004B3DE4" w:rsidRDefault="00565FD5" w:rsidP="00AB62A3">
            <w:pPr>
              <w:spacing w:before="100" w:beforeAutospacing="1" w:after="60"/>
              <w:jc w:val="right"/>
              <w:rPr>
                <w:rFonts w:eastAsia="Arial Unicode MS" w:cs="Tahoma"/>
                <w:sz w:val="16"/>
                <w:szCs w:val="24"/>
                <w:lang w:val="en-US"/>
              </w:rPr>
            </w:pPr>
            <w:r w:rsidRPr="004B3DE4">
              <w:rPr>
                <w:rFonts w:eastAsia="Arial Unicode MS" w:cs="Tahoma"/>
                <w:sz w:val="16"/>
                <w:szCs w:val="24"/>
                <w:lang w:val="en-US"/>
              </w:rPr>
              <w:t>103 846</w:t>
            </w:r>
          </w:p>
        </w:tc>
        <w:tc>
          <w:tcPr>
            <w:tcW w:w="638" w:type="pct"/>
            <w:tcBorders>
              <w:top w:val="single" w:sz="4" w:space="0" w:color="auto"/>
              <w:left w:val="nil"/>
              <w:bottom w:val="nil"/>
              <w:right w:val="nil"/>
            </w:tcBorders>
            <w:vAlign w:val="center"/>
          </w:tcPr>
          <w:p w:rsidR="00565FD5" w:rsidRPr="004B3DE4" w:rsidRDefault="00565FD5" w:rsidP="00AB62A3">
            <w:pPr>
              <w:spacing w:before="100" w:beforeAutospacing="1" w:after="60"/>
              <w:jc w:val="right"/>
              <w:rPr>
                <w:rFonts w:eastAsia="Arial Unicode MS" w:cs="Tahoma"/>
                <w:sz w:val="16"/>
                <w:szCs w:val="24"/>
                <w:lang w:val="en-US"/>
              </w:rPr>
            </w:pPr>
            <w:r w:rsidRPr="004B3DE4">
              <w:rPr>
                <w:rFonts w:eastAsia="Arial Unicode MS" w:cs="Tahoma"/>
                <w:sz w:val="16"/>
                <w:szCs w:val="24"/>
                <w:lang w:val="en-US"/>
              </w:rPr>
              <w:t>100 727</w:t>
            </w:r>
          </w:p>
        </w:tc>
        <w:tc>
          <w:tcPr>
            <w:tcW w:w="638" w:type="pct"/>
            <w:tcBorders>
              <w:top w:val="single" w:sz="4" w:space="0" w:color="auto"/>
              <w:left w:val="nil"/>
              <w:bottom w:val="nil"/>
              <w:right w:val="nil"/>
            </w:tcBorders>
            <w:vAlign w:val="center"/>
          </w:tcPr>
          <w:p w:rsidR="00565FD5" w:rsidRPr="004B3DE4" w:rsidRDefault="00565FD5" w:rsidP="00AB62A3">
            <w:pPr>
              <w:spacing w:before="100" w:beforeAutospacing="1" w:after="60"/>
              <w:jc w:val="right"/>
              <w:rPr>
                <w:rFonts w:eastAsia="Arial Unicode MS" w:cs="Tahoma"/>
                <w:sz w:val="16"/>
                <w:szCs w:val="24"/>
                <w:lang w:val="en-US"/>
              </w:rPr>
            </w:pPr>
            <w:r w:rsidRPr="004B3DE4">
              <w:rPr>
                <w:rFonts w:eastAsia="Arial Unicode MS" w:cs="Tahoma"/>
                <w:sz w:val="16"/>
                <w:szCs w:val="24"/>
                <w:lang w:val="en-US"/>
              </w:rPr>
              <w:t>178 777</w:t>
            </w:r>
          </w:p>
        </w:tc>
        <w:tc>
          <w:tcPr>
            <w:tcW w:w="638" w:type="pct"/>
            <w:tcBorders>
              <w:top w:val="single" w:sz="4" w:space="0" w:color="auto"/>
              <w:left w:val="nil"/>
              <w:bottom w:val="nil"/>
              <w:right w:val="nil"/>
            </w:tcBorders>
            <w:vAlign w:val="center"/>
          </w:tcPr>
          <w:p w:rsidR="00565FD5" w:rsidRPr="004B3DE4" w:rsidRDefault="00565FD5" w:rsidP="00AB62A3">
            <w:pPr>
              <w:spacing w:before="100" w:beforeAutospacing="1" w:after="60"/>
              <w:jc w:val="right"/>
              <w:rPr>
                <w:rFonts w:eastAsia="Arial Unicode MS" w:cs="Tahoma"/>
                <w:bCs/>
                <w:sz w:val="16"/>
                <w:szCs w:val="24"/>
                <w:lang w:val="en-US"/>
              </w:rPr>
            </w:pPr>
            <w:r w:rsidRPr="004B3DE4">
              <w:rPr>
                <w:rFonts w:eastAsia="Arial Unicode MS" w:cs="Tahoma"/>
                <w:bCs/>
                <w:sz w:val="16"/>
                <w:szCs w:val="24"/>
                <w:lang w:val="en-US"/>
              </w:rPr>
              <w:t>123 640</w:t>
            </w:r>
          </w:p>
        </w:tc>
        <w:tc>
          <w:tcPr>
            <w:tcW w:w="496" w:type="pct"/>
            <w:tcBorders>
              <w:top w:val="single" w:sz="4" w:space="0" w:color="auto"/>
              <w:left w:val="nil"/>
              <w:bottom w:val="nil"/>
            </w:tcBorders>
            <w:vAlign w:val="center"/>
          </w:tcPr>
          <w:p w:rsidR="00565FD5" w:rsidRPr="004B3DE4" w:rsidRDefault="00565FD5" w:rsidP="00AB62A3">
            <w:pPr>
              <w:spacing w:before="100" w:beforeAutospacing="1" w:after="60"/>
              <w:jc w:val="right"/>
              <w:rPr>
                <w:rFonts w:eastAsia="Arial Unicode MS" w:cs="Tahoma"/>
                <w:bCs/>
                <w:sz w:val="16"/>
                <w:szCs w:val="24"/>
                <w:lang w:val="en-US"/>
              </w:rPr>
            </w:pPr>
            <w:r w:rsidRPr="004B3DE4">
              <w:rPr>
                <w:rFonts w:eastAsia="Arial Unicode MS" w:cs="Tahoma"/>
                <w:bCs/>
                <w:sz w:val="16"/>
                <w:szCs w:val="24"/>
                <w:lang w:val="en-US"/>
              </w:rPr>
              <w:t>72 176</w:t>
            </w:r>
          </w:p>
        </w:tc>
      </w:tr>
      <w:tr w:rsidR="00565FD5" w:rsidRPr="004B3DE4" w:rsidTr="00AB62A3">
        <w:tc>
          <w:tcPr>
            <w:tcW w:w="1950" w:type="pct"/>
            <w:tcBorders>
              <w:top w:val="nil"/>
              <w:bottom w:val="nil"/>
              <w:right w:val="nil"/>
            </w:tcBorders>
            <w:vAlign w:val="center"/>
          </w:tcPr>
          <w:p w:rsidR="00565FD5" w:rsidRPr="004B3DE4" w:rsidRDefault="00565FD5" w:rsidP="00AB62A3">
            <w:pPr>
              <w:spacing w:before="100" w:beforeAutospacing="1" w:after="60"/>
              <w:rPr>
                <w:rFonts w:eastAsia="Arial Unicode MS" w:cs="Tahoma"/>
                <w:sz w:val="16"/>
                <w:szCs w:val="24"/>
                <w:lang w:val="en-US"/>
              </w:rPr>
            </w:pPr>
            <w:r w:rsidRPr="004B3DE4">
              <w:rPr>
                <w:rFonts w:eastAsia="Arial Unicode MS" w:cs="Tahoma"/>
                <w:sz w:val="16"/>
                <w:szCs w:val="24"/>
                <w:lang w:val="en-US"/>
              </w:rPr>
              <w:t>Yüzde Değişim</w:t>
            </w:r>
          </w:p>
        </w:tc>
        <w:tc>
          <w:tcPr>
            <w:tcW w:w="638" w:type="pct"/>
            <w:tcBorders>
              <w:top w:val="nil"/>
              <w:left w:val="nil"/>
              <w:bottom w:val="nil"/>
              <w:right w:val="nil"/>
            </w:tcBorders>
            <w:vAlign w:val="center"/>
          </w:tcPr>
          <w:p w:rsidR="00565FD5" w:rsidRPr="004B3DE4" w:rsidRDefault="00565FD5" w:rsidP="00AB62A3">
            <w:pPr>
              <w:spacing w:before="100" w:beforeAutospacing="1" w:after="60"/>
              <w:jc w:val="right"/>
              <w:rPr>
                <w:rFonts w:eastAsia="Arial Unicode MS" w:cs="Tahoma"/>
                <w:sz w:val="16"/>
                <w:szCs w:val="24"/>
                <w:lang w:val="en-US"/>
              </w:rPr>
            </w:pPr>
            <w:r w:rsidRPr="004B3DE4">
              <w:rPr>
                <w:rFonts w:eastAsia="Arial Unicode MS" w:cs="Tahoma"/>
                <w:sz w:val="16"/>
                <w:szCs w:val="24"/>
                <w:lang w:val="en-US"/>
              </w:rPr>
              <w:t>-17,0</w:t>
            </w:r>
          </w:p>
        </w:tc>
        <w:tc>
          <w:tcPr>
            <w:tcW w:w="638" w:type="pct"/>
            <w:tcBorders>
              <w:top w:val="nil"/>
              <w:left w:val="nil"/>
              <w:bottom w:val="nil"/>
              <w:right w:val="nil"/>
            </w:tcBorders>
            <w:vAlign w:val="center"/>
          </w:tcPr>
          <w:p w:rsidR="00565FD5" w:rsidRPr="004B3DE4" w:rsidRDefault="00565FD5" w:rsidP="00AB62A3">
            <w:pPr>
              <w:spacing w:before="100" w:beforeAutospacing="1" w:after="60"/>
              <w:jc w:val="right"/>
              <w:rPr>
                <w:rFonts w:eastAsia="Arial Unicode MS" w:cs="Tahoma"/>
                <w:sz w:val="16"/>
                <w:szCs w:val="24"/>
                <w:lang w:val="en-US"/>
              </w:rPr>
            </w:pPr>
            <w:r w:rsidRPr="004B3DE4">
              <w:rPr>
                <w:rFonts w:eastAsia="Arial Unicode MS" w:cs="Tahoma"/>
                <w:sz w:val="16"/>
                <w:szCs w:val="24"/>
                <w:lang w:val="en-US"/>
              </w:rPr>
              <w:t>-3,0</w:t>
            </w:r>
          </w:p>
        </w:tc>
        <w:tc>
          <w:tcPr>
            <w:tcW w:w="638" w:type="pct"/>
            <w:tcBorders>
              <w:top w:val="nil"/>
              <w:left w:val="nil"/>
              <w:bottom w:val="nil"/>
              <w:right w:val="nil"/>
            </w:tcBorders>
            <w:vAlign w:val="center"/>
          </w:tcPr>
          <w:p w:rsidR="00565FD5" w:rsidRPr="004B3DE4" w:rsidRDefault="00565FD5" w:rsidP="00AB62A3">
            <w:pPr>
              <w:spacing w:before="100" w:beforeAutospacing="1" w:after="60"/>
              <w:jc w:val="right"/>
              <w:rPr>
                <w:rFonts w:eastAsia="Arial Unicode MS" w:cs="Tahoma"/>
                <w:sz w:val="16"/>
                <w:szCs w:val="24"/>
                <w:lang w:val="en-US"/>
              </w:rPr>
            </w:pPr>
            <w:r w:rsidRPr="004B3DE4">
              <w:rPr>
                <w:rFonts w:eastAsia="Arial Unicode MS" w:cs="Tahoma"/>
                <w:sz w:val="16"/>
                <w:szCs w:val="24"/>
                <w:lang w:val="en-US"/>
              </w:rPr>
              <w:t>77,5</w:t>
            </w:r>
          </w:p>
        </w:tc>
        <w:tc>
          <w:tcPr>
            <w:tcW w:w="638" w:type="pct"/>
            <w:tcBorders>
              <w:top w:val="nil"/>
              <w:left w:val="nil"/>
              <w:bottom w:val="nil"/>
              <w:right w:val="nil"/>
            </w:tcBorders>
            <w:vAlign w:val="center"/>
          </w:tcPr>
          <w:p w:rsidR="00565FD5" w:rsidRPr="004B3DE4" w:rsidRDefault="00565FD5" w:rsidP="00AB62A3">
            <w:pPr>
              <w:spacing w:before="100" w:beforeAutospacing="1" w:after="60"/>
              <w:jc w:val="right"/>
              <w:rPr>
                <w:rFonts w:eastAsia="Arial Unicode MS" w:cs="Tahoma"/>
                <w:sz w:val="16"/>
                <w:szCs w:val="24"/>
                <w:lang w:val="en-US"/>
              </w:rPr>
            </w:pPr>
            <w:r w:rsidRPr="004B3DE4">
              <w:rPr>
                <w:rFonts w:eastAsia="Arial Unicode MS" w:cs="Tahoma"/>
                <w:sz w:val="16"/>
                <w:szCs w:val="24"/>
                <w:lang w:val="en-US"/>
              </w:rPr>
              <w:t>-30,8</w:t>
            </w:r>
          </w:p>
        </w:tc>
        <w:tc>
          <w:tcPr>
            <w:tcW w:w="496" w:type="pct"/>
            <w:tcBorders>
              <w:top w:val="nil"/>
              <w:left w:val="nil"/>
              <w:bottom w:val="nil"/>
            </w:tcBorders>
            <w:vAlign w:val="center"/>
          </w:tcPr>
          <w:p w:rsidR="00565FD5" w:rsidRPr="004B3DE4" w:rsidRDefault="00565FD5" w:rsidP="00AB62A3">
            <w:pPr>
              <w:spacing w:before="100" w:beforeAutospacing="1" w:after="60"/>
              <w:jc w:val="right"/>
              <w:rPr>
                <w:rFonts w:eastAsia="Arial Unicode MS" w:cs="Tahoma"/>
                <w:sz w:val="16"/>
                <w:szCs w:val="24"/>
                <w:lang w:val="en-US"/>
              </w:rPr>
            </w:pPr>
            <w:r w:rsidRPr="004B3DE4">
              <w:rPr>
                <w:rFonts w:eastAsia="Arial Unicode MS" w:cs="Tahoma"/>
                <w:sz w:val="16"/>
                <w:szCs w:val="24"/>
                <w:lang w:val="en-US"/>
              </w:rPr>
              <w:t>37,0</w:t>
            </w:r>
          </w:p>
        </w:tc>
      </w:tr>
      <w:tr w:rsidR="00565FD5" w:rsidRPr="004B3DE4" w:rsidTr="00AB62A3">
        <w:tc>
          <w:tcPr>
            <w:tcW w:w="1950" w:type="pct"/>
            <w:tcBorders>
              <w:top w:val="nil"/>
              <w:bottom w:val="nil"/>
              <w:right w:val="nil"/>
            </w:tcBorders>
            <w:vAlign w:val="center"/>
          </w:tcPr>
          <w:p w:rsidR="00565FD5" w:rsidRPr="004B3DE4" w:rsidRDefault="00565FD5" w:rsidP="00AB62A3">
            <w:pPr>
              <w:spacing w:before="100" w:beforeAutospacing="1" w:after="60"/>
              <w:rPr>
                <w:rFonts w:eastAsia="Arial Unicode MS" w:cs="Tahoma"/>
                <w:sz w:val="16"/>
                <w:szCs w:val="24"/>
              </w:rPr>
            </w:pPr>
            <w:r w:rsidRPr="004B3DE4">
              <w:rPr>
                <w:rFonts w:eastAsia="Arial Unicode MS" w:cs="Tahoma"/>
                <w:sz w:val="16"/>
                <w:szCs w:val="24"/>
              </w:rPr>
              <w:t>Yapı Kullanım İzni (Bin m</w:t>
            </w:r>
            <w:r w:rsidRPr="004B3DE4">
              <w:rPr>
                <w:rFonts w:eastAsia="Arial Unicode MS" w:cs="Tahoma"/>
                <w:sz w:val="16"/>
                <w:szCs w:val="24"/>
                <w:vertAlign w:val="superscript"/>
              </w:rPr>
              <w:t>2</w:t>
            </w:r>
            <w:r w:rsidRPr="004B3DE4">
              <w:rPr>
                <w:rFonts w:eastAsia="Arial Unicode MS" w:cs="Tahoma"/>
                <w:sz w:val="16"/>
                <w:szCs w:val="24"/>
              </w:rPr>
              <w:t>)</w:t>
            </w:r>
          </w:p>
        </w:tc>
        <w:tc>
          <w:tcPr>
            <w:tcW w:w="638" w:type="pct"/>
            <w:tcBorders>
              <w:top w:val="nil"/>
              <w:left w:val="nil"/>
              <w:bottom w:val="nil"/>
              <w:right w:val="nil"/>
            </w:tcBorders>
            <w:vAlign w:val="center"/>
          </w:tcPr>
          <w:p w:rsidR="00565FD5" w:rsidRPr="004B3DE4" w:rsidRDefault="00565FD5" w:rsidP="00AB62A3">
            <w:pPr>
              <w:spacing w:before="100" w:beforeAutospacing="1" w:after="60"/>
              <w:jc w:val="right"/>
              <w:rPr>
                <w:rFonts w:eastAsia="Arial Unicode MS" w:cs="Tahoma"/>
                <w:sz w:val="16"/>
                <w:szCs w:val="24"/>
                <w:lang w:val="en-US"/>
              </w:rPr>
            </w:pPr>
            <w:r w:rsidRPr="004B3DE4">
              <w:rPr>
                <w:rFonts w:eastAsia="Arial Unicode MS" w:cs="Tahoma"/>
                <w:sz w:val="16"/>
                <w:szCs w:val="24"/>
                <w:lang w:val="en-US"/>
              </w:rPr>
              <w:t>70 957</w:t>
            </w:r>
          </w:p>
        </w:tc>
        <w:tc>
          <w:tcPr>
            <w:tcW w:w="638" w:type="pct"/>
            <w:tcBorders>
              <w:top w:val="nil"/>
              <w:left w:val="nil"/>
              <w:bottom w:val="nil"/>
              <w:right w:val="nil"/>
            </w:tcBorders>
            <w:vAlign w:val="center"/>
          </w:tcPr>
          <w:p w:rsidR="00565FD5" w:rsidRPr="004B3DE4" w:rsidRDefault="00565FD5" w:rsidP="00AB62A3">
            <w:pPr>
              <w:spacing w:before="100" w:beforeAutospacing="1" w:after="60"/>
              <w:jc w:val="right"/>
              <w:rPr>
                <w:rFonts w:eastAsia="Arial Unicode MS" w:cs="Tahoma"/>
                <w:sz w:val="16"/>
                <w:szCs w:val="24"/>
                <w:lang w:val="en-US"/>
              </w:rPr>
            </w:pPr>
            <w:r w:rsidRPr="004B3DE4">
              <w:rPr>
                <w:rFonts w:eastAsia="Arial Unicode MS" w:cs="Tahoma"/>
                <w:sz w:val="16"/>
                <w:szCs w:val="24"/>
                <w:lang w:val="en-US"/>
              </w:rPr>
              <w:t>94 568</w:t>
            </w:r>
          </w:p>
        </w:tc>
        <w:tc>
          <w:tcPr>
            <w:tcW w:w="638" w:type="pct"/>
            <w:tcBorders>
              <w:top w:val="nil"/>
              <w:left w:val="nil"/>
              <w:bottom w:val="nil"/>
              <w:right w:val="nil"/>
            </w:tcBorders>
            <w:vAlign w:val="center"/>
          </w:tcPr>
          <w:p w:rsidR="00565FD5" w:rsidRPr="004B3DE4" w:rsidRDefault="00565FD5" w:rsidP="00AB62A3">
            <w:pPr>
              <w:spacing w:before="100" w:beforeAutospacing="1" w:after="60"/>
              <w:jc w:val="right"/>
              <w:rPr>
                <w:rFonts w:eastAsia="Arial Unicode MS" w:cs="Tahoma"/>
                <w:sz w:val="16"/>
                <w:szCs w:val="24"/>
                <w:lang w:val="en-US"/>
              </w:rPr>
            </w:pPr>
            <w:r w:rsidRPr="004B3DE4">
              <w:rPr>
                <w:rFonts w:eastAsia="Arial Unicode MS" w:cs="Tahoma"/>
                <w:sz w:val="16"/>
                <w:szCs w:val="24"/>
                <w:lang w:val="en-US"/>
              </w:rPr>
              <w:t>85 439</w:t>
            </w:r>
          </w:p>
        </w:tc>
        <w:tc>
          <w:tcPr>
            <w:tcW w:w="638" w:type="pct"/>
            <w:tcBorders>
              <w:top w:val="nil"/>
              <w:left w:val="nil"/>
              <w:bottom w:val="nil"/>
              <w:right w:val="nil"/>
            </w:tcBorders>
            <w:vAlign w:val="center"/>
          </w:tcPr>
          <w:p w:rsidR="00565FD5" w:rsidRPr="004B3DE4" w:rsidRDefault="00565FD5" w:rsidP="00AB62A3">
            <w:pPr>
              <w:spacing w:before="100" w:beforeAutospacing="1" w:after="60"/>
              <w:jc w:val="right"/>
              <w:rPr>
                <w:rFonts w:eastAsia="Arial Unicode MS" w:cs="Tahoma"/>
                <w:sz w:val="16"/>
                <w:szCs w:val="24"/>
                <w:lang w:val="en-US"/>
              </w:rPr>
            </w:pPr>
            <w:r w:rsidRPr="004B3DE4">
              <w:rPr>
                <w:rFonts w:eastAsia="Arial Unicode MS" w:cs="Tahoma"/>
                <w:sz w:val="16"/>
                <w:szCs w:val="24"/>
                <w:lang w:val="en-US"/>
              </w:rPr>
              <w:t>105 403</w:t>
            </w:r>
          </w:p>
        </w:tc>
        <w:tc>
          <w:tcPr>
            <w:tcW w:w="496" w:type="pct"/>
            <w:tcBorders>
              <w:top w:val="nil"/>
              <w:left w:val="nil"/>
              <w:bottom w:val="nil"/>
            </w:tcBorders>
            <w:vAlign w:val="center"/>
          </w:tcPr>
          <w:p w:rsidR="00565FD5" w:rsidRPr="004B3DE4" w:rsidRDefault="00565FD5" w:rsidP="00AB62A3">
            <w:pPr>
              <w:spacing w:before="100" w:beforeAutospacing="1" w:after="60"/>
              <w:jc w:val="right"/>
              <w:rPr>
                <w:rFonts w:eastAsia="Arial Unicode MS" w:cs="Tahoma"/>
                <w:sz w:val="16"/>
                <w:szCs w:val="24"/>
                <w:lang w:val="en-US"/>
              </w:rPr>
            </w:pPr>
            <w:r w:rsidRPr="004B3DE4">
              <w:rPr>
                <w:rFonts w:eastAsia="Arial Unicode MS" w:cs="Tahoma"/>
                <w:sz w:val="16"/>
                <w:szCs w:val="24"/>
                <w:lang w:val="en-US"/>
              </w:rPr>
              <w:t>46 225</w:t>
            </w:r>
          </w:p>
        </w:tc>
      </w:tr>
      <w:tr w:rsidR="00565FD5" w:rsidRPr="004B3DE4" w:rsidTr="00AB62A3">
        <w:tc>
          <w:tcPr>
            <w:tcW w:w="1950" w:type="pct"/>
            <w:tcBorders>
              <w:top w:val="nil"/>
              <w:bottom w:val="single" w:sz="4" w:space="0" w:color="auto"/>
              <w:right w:val="nil"/>
            </w:tcBorders>
            <w:vAlign w:val="center"/>
          </w:tcPr>
          <w:p w:rsidR="00565FD5" w:rsidRPr="004B3DE4" w:rsidRDefault="00565FD5" w:rsidP="00AB62A3">
            <w:pPr>
              <w:spacing w:before="100" w:beforeAutospacing="1" w:after="60"/>
              <w:rPr>
                <w:rFonts w:eastAsia="Arial Unicode MS" w:cs="Tahoma"/>
                <w:sz w:val="16"/>
                <w:szCs w:val="24"/>
                <w:lang w:val="en-US"/>
              </w:rPr>
            </w:pPr>
            <w:r w:rsidRPr="004B3DE4">
              <w:rPr>
                <w:rFonts w:eastAsia="Arial Unicode MS" w:cs="Tahoma"/>
                <w:sz w:val="16"/>
                <w:szCs w:val="24"/>
                <w:lang w:val="en-US"/>
              </w:rPr>
              <w:t>Yüzde Değişim</w:t>
            </w:r>
          </w:p>
        </w:tc>
        <w:tc>
          <w:tcPr>
            <w:tcW w:w="638" w:type="pct"/>
            <w:tcBorders>
              <w:top w:val="nil"/>
              <w:left w:val="nil"/>
              <w:bottom w:val="single" w:sz="4" w:space="0" w:color="auto"/>
              <w:right w:val="nil"/>
            </w:tcBorders>
            <w:vAlign w:val="center"/>
          </w:tcPr>
          <w:p w:rsidR="00565FD5" w:rsidRPr="004B3DE4" w:rsidRDefault="00565FD5" w:rsidP="00AB62A3">
            <w:pPr>
              <w:spacing w:before="100" w:beforeAutospacing="1" w:after="60"/>
              <w:jc w:val="right"/>
              <w:rPr>
                <w:rFonts w:eastAsia="Arial Unicode MS" w:cs="Tahoma"/>
                <w:sz w:val="16"/>
                <w:szCs w:val="24"/>
                <w:lang w:val="en-US"/>
              </w:rPr>
            </w:pPr>
            <w:r w:rsidRPr="004B3DE4">
              <w:rPr>
                <w:rFonts w:eastAsia="Arial Unicode MS" w:cs="Tahoma"/>
                <w:sz w:val="16"/>
                <w:szCs w:val="24"/>
                <w:lang w:val="en-US"/>
              </w:rPr>
              <w:t>11,9</w:t>
            </w:r>
          </w:p>
        </w:tc>
        <w:tc>
          <w:tcPr>
            <w:tcW w:w="638" w:type="pct"/>
            <w:tcBorders>
              <w:top w:val="nil"/>
              <w:left w:val="nil"/>
              <w:bottom w:val="single" w:sz="4" w:space="0" w:color="auto"/>
              <w:right w:val="nil"/>
            </w:tcBorders>
            <w:vAlign w:val="center"/>
          </w:tcPr>
          <w:p w:rsidR="00565FD5" w:rsidRPr="004B3DE4" w:rsidRDefault="00565FD5" w:rsidP="00AB62A3">
            <w:pPr>
              <w:spacing w:before="100" w:beforeAutospacing="1" w:after="60"/>
              <w:jc w:val="right"/>
              <w:rPr>
                <w:rFonts w:eastAsia="Arial Unicode MS" w:cs="Tahoma"/>
                <w:sz w:val="16"/>
                <w:szCs w:val="24"/>
                <w:lang w:val="en-US"/>
              </w:rPr>
            </w:pPr>
            <w:r w:rsidRPr="004B3DE4">
              <w:rPr>
                <w:rFonts w:eastAsia="Arial Unicode MS" w:cs="Tahoma"/>
                <w:sz w:val="16"/>
                <w:szCs w:val="24"/>
                <w:lang w:val="en-US"/>
              </w:rPr>
              <w:t>33,3</w:t>
            </w:r>
          </w:p>
        </w:tc>
        <w:tc>
          <w:tcPr>
            <w:tcW w:w="638" w:type="pct"/>
            <w:tcBorders>
              <w:top w:val="nil"/>
              <w:left w:val="nil"/>
              <w:bottom w:val="single" w:sz="4" w:space="0" w:color="auto"/>
              <w:right w:val="nil"/>
            </w:tcBorders>
            <w:vAlign w:val="center"/>
          </w:tcPr>
          <w:p w:rsidR="00565FD5" w:rsidRPr="004B3DE4" w:rsidRDefault="00565FD5" w:rsidP="00AB62A3">
            <w:pPr>
              <w:spacing w:before="100" w:beforeAutospacing="1" w:after="60"/>
              <w:jc w:val="right"/>
              <w:rPr>
                <w:rFonts w:eastAsia="Arial Unicode MS" w:cs="Tahoma"/>
                <w:sz w:val="16"/>
                <w:szCs w:val="24"/>
                <w:lang w:val="en-US"/>
              </w:rPr>
            </w:pPr>
            <w:r w:rsidRPr="004B3DE4">
              <w:rPr>
                <w:rFonts w:eastAsia="Arial Unicode MS" w:cs="Tahoma"/>
                <w:sz w:val="16"/>
                <w:szCs w:val="24"/>
                <w:lang w:val="en-US"/>
              </w:rPr>
              <w:t>-9,7</w:t>
            </w:r>
          </w:p>
        </w:tc>
        <w:tc>
          <w:tcPr>
            <w:tcW w:w="638" w:type="pct"/>
            <w:tcBorders>
              <w:top w:val="nil"/>
              <w:left w:val="nil"/>
              <w:bottom w:val="single" w:sz="4" w:space="0" w:color="auto"/>
              <w:right w:val="nil"/>
            </w:tcBorders>
            <w:vAlign w:val="center"/>
          </w:tcPr>
          <w:p w:rsidR="00565FD5" w:rsidRPr="004B3DE4" w:rsidRDefault="00565FD5" w:rsidP="00AB62A3">
            <w:pPr>
              <w:spacing w:before="100" w:beforeAutospacing="1" w:after="60"/>
              <w:jc w:val="right"/>
              <w:rPr>
                <w:rFonts w:eastAsia="Arial Unicode MS" w:cs="Tahoma"/>
                <w:sz w:val="16"/>
                <w:szCs w:val="24"/>
                <w:lang w:val="en-US"/>
              </w:rPr>
            </w:pPr>
            <w:r w:rsidRPr="004B3DE4">
              <w:rPr>
                <w:rFonts w:eastAsia="Arial Unicode MS" w:cs="Tahoma"/>
                <w:sz w:val="16"/>
                <w:szCs w:val="24"/>
                <w:lang w:val="en-US"/>
              </w:rPr>
              <w:t>23,4</w:t>
            </w:r>
          </w:p>
        </w:tc>
        <w:tc>
          <w:tcPr>
            <w:tcW w:w="496" w:type="pct"/>
            <w:tcBorders>
              <w:top w:val="nil"/>
              <w:left w:val="nil"/>
              <w:bottom w:val="single" w:sz="4" w:space="0" w:color="auto"/>
            </w:tcBorders>
            <w:vAlign w:val="center"/>
          </w:tcPr>
          <w:p w:rsidR="00565FD5" w:rsidRPr="004B3DE4" w:rsidRDefault="00565FD5" w:rsidP="00AB62A3">
            <w:pPr>
              <w:spacing w:before="100" w:beforeAutospacing="1" w:after="60"/>
              <w:jc w:val="right"/>
              <w:rPr>
                <w:rFonts w:eastAsia="Arial Unicode MS" w:cs="Tahoma"/>
                <w:sz w:val="16"/>
                <w:szCs w:val="24"/>
                <w:lang w:val="en-US"/>
              </w:rPr>
            </w:pPr>
            <w:r w:rsidRPr="004B3DE4">
              <w:rPr>
                <w:rFonts w:eastAsia="Arial Unicode MS" w:cs="Tahoma"/>
                <w:sz w:val="16"/>
                <w:szCs w:val="24"/>
                <w:lang w:val="en-US"/>
              </w:rPr>
              <w:t>-5,1</w:t>
            </w:r>
          </w:p>
        </w:tc>
      </w:tr>
    </w:tbl>
    <w:p w:rsidR="00565FD5" w:rsidRPr="004B3DE4" w:rsidRDefault="00565FD5" w:rsidP="00565FD5">
      <w:pPr>
        <w:rPr>
          <w:rFonts w:cs="Tahoma"/>
          <w:sz w:val="14"/>
          <w:szCs w:val="18"/>
          <w:lang w:eastAsia="tr-TR"/>
        </w:rPr>
      </w:pPr>
      <w:r w:rsidRPr="004B3DE4">
        <w:rPr>
          <w:rFonts w:cs="Tahoma"/>
          <w:sz w:val="14"/>
          <w:szCs w:val="18"/>
          <w:lang w:eastAsia="tr-TR"/>
        </w:rPr>
        <w:t>Kaynak: TÜİK</w:t>
      </w:r>
    </w:p>
    <w:p w:rsidR="00565FD5" w:rsidRPr="004B3DE4" w:rsidRDefault="00565FD5" w:rsidP="00565FD5">
      <w:pPr>
        <w:spacing w:after="240"/>
        <w:rPr>
          <w:rFonts w:cs="Tahoma"/>
          <w:sz w:val="14"/>
          <w:szCs w:val="18"/>
          <w:lang w:eastAsia="tr-TR"/>
        </w:rPr>
      </w:pPr>
      <w:r w:rsidRPr="004B3DE4">
        <w:rPr>
          <w:rFonts w:cs="Tahoma"/>
          <w:sz w:val="14"/>
          <w:szCs w:val="18"/>
          <w:lang w:eastAsia="tr-TR"/>
        </w:rPr>
        <w:t>(1) 2012 yılı Ocak-Haziran dönemi</w:t>
      </w:r>
    </w:p>
    <w:p w:rsidR="00565FD5" w:rsidRPr="004B3DE4" w:rsidRDefault="00565FD5" w:rsidP="00565FD5">
      <w:pPr>
        <w:spacing w:before="120" w:after="120"/>
        <w:ind w:firstLine="425"/>
        <w:rPr>
          <w:rFonts w:cs="Tahoma"/>
          <w:szCs w:val="18"/>
          <w:lang w:eastAsia="tr-TR"/>
        </w:rPr>
      </w:pPr>
      <w:r w:rsidRPr="004B3DE4">
        <w:rPr>
          <w:rFonts w:cs="Tahoma"/>
          <w:szCs w:val="18"/>
          <w:lang w:eastAsia="tr-TR"/>
        </w:rPr>
        <w:t xml:space="preserve">Sektörde 2010 ve 2011 yıllarında yaşanan yüksek orandaki büyümenin sektör istihdamına yansıması da belirgin şekilde gözlenmektedir. 2009 yılının ikinci yarısından itibaren bir önceki yılın aynı dönemine göre yükselme eğilimine </w:t>
      </w:r>
      <w:r w:rsidRPr="004B3DE4">
        <w:rPr>
          <w:rFonts w:cs="Tahoma"/>
          <w:szCs w:val="18"/>
          <w:lang w:eastAsia="tr-TR"/>
        </w:rPr>
        <w:lastRenderedPageBreak/>
        <w:t xml:space="preserve">giren sektör istihdamı, 2009 yılında ortalama 1.306 bin kişi iken, 2010 yılında ortalama 1.431 bin kişi, 2011 yılında ise ortalama 1.676 bin kişi olarak gerçekleşmiştir. 2011 yılının Haziran ayında 1.863 bin kişi olan sektör istihdamı, 2012 yılının Haziran ayında 1.921 bin kişiye yükselmiştir. </w:t>
      </w:r>
    </w:p>
    <w:p w:rsidR="00565FD5" w:rsidRPr="004B3DE4" w:rsidRDefault="00565FD5" w:rsidP="00565FD5">
      <w:pPr>
        <w:spacing w:before="120" w:after="120"/>
        <w:ind w:firstLine="425"/>
        <w:rPr>
          <w:rFonts w:cs="Tahoma"/>
          <w:szCs w:val="18"/>
          <w:lang w:eastAsia="tr-TR"/>
        </w:rPr>
      </w:pPr>
      <w:r w:rsidRPr="004B3DE4">
        <w:rPr>
          <w:rFonts w:cs="Tahoma"/>
          <w:szCs w:val="18"/>
          <w:lang w:eastAsia="tr-TR"/>
        </w:rPr>
        <w:t xml:space="preserve">Yurt dışı müteahhitlik hizmetleri taahhüt tutarı 2003 yılından itibaren yükseliş göstermiş, 2007 yılında yaklaşık 24,7 milyar ABD dolarıyla en yüksek seviyesine ulaşmış, ancak küresel krizin de etkisiyle yaşanan talep daralmasına paralel biçimde 2008 yılında 24 milyar ABD dolarına, 2009 ve 2010 yıllarında 22,3 milyar ABD dolarına gerilemiş, 2011 yılında ise 18,5 milyar ABD doları olarak gerçekleşmiştir. </w:t>
      </w:r>
    </w:p>
    <w:p w:rsidR="00565FD5" w:rsidRDefault="00565FD5" w:rsidP="00565FD5">
      <w:pPr>
        <w:spacing w:before="120" w:after="180"/>
        <w:ind w:firstLine="425"/>
        <w:rPr>
          <w:rFonts w:cs="Tahoma"/>
          <w:szCs w:val="18"/>
          <w:lang w:eastAsia="tr-TR"/>
        </w:rPr>
      </w:pPr>
      <w:r w:rsidRPr="004B3DE4">
        <w:rPr>
          <w:rFonts w:cs="Tahoma"/>
          <w:szCs w:val="18"/>
          <w:lang w:eastAsia="tr-TR"/>
        </w:rPr>
        <w:t xml:space="preserve">2011 yılı başından itibaren Kuzey Afrika ülkelerinde baş gösteren ve çevre ülkelere de sirayet eden siyasi istikrarsızlık, bu bölgelerde taahhütler üstlenmiş olan müteahhitlerimizin faaliyetlerini olumsuz yönde etkilemiştir. Özellikle, üstlenilen taahhütler bakımından önemli bir noktada yer alan Libya’da ciddi sorunlarla karşı karşıya kalınmıştır. Bu sorunların giderilebilmesi için ilgili kamu kurum ve kuruluşlarının katkısıyla çeşitli önlemler alınmış olup bölgede yaşanan belirsizliğin ortadan kalkmasıyla, yeniden yapılanma çalışmalarında Türk yurt dışı müteahhitlik sektörüne önemli görevler düşmektedir. </w:t>
      </w:r>
    </w:p>
    <w:p w:rsidR="00565FD5" w:rsidRPr="004B3DE4" w:rsidRDefault="00565FD5" w:rsidP="00565FD5">
      <w:pPr>
        <w:spacing w:before="120" w:after="180"/>
        <w:ind w:firstLine="425"/>
        <w:rPr>
          <w:rFonts w:cs="Tahoma"/>
          <w:szCs w:val="18"/>
          <w:lang w:eastAsia="tr-TR"/>
        </w:rPr>
      </w:pPr>
    </w:p>
    <w:p w:rsidR="00565FD5" w:rsidRPr="004B3DE4" w:rsidRDefault="00565FD5" w:rsidP="00565FD5">
      <w:pPr>
        <w:spacing w:before="120" w:after="180"/>
        <w:ind w:firstLine="425"/>
        <w:rPr>
          <w:rFonts w:cs="Tahoma"/>
          <w:szCs w:val="18"/>
          <w:lang w:eastAsia="tr-TR"/>
        </w:rPr>
      </w:pPr>
      <w:r w:rsidRPr="004B3DE4">
        <w:rPr>
          <w:rFonts w:cs="Tahoma"/>
          <w:szCs w:val="18"/>
          <w:lang w:eastAsia="tr-TR"/>
        </w:rPr>
        <w:t xml:space="preserve">Yurt dışı müteahhitlik hizmetlerinde, uluslararası pazarlarda önemli bir konum elde edilmiş olmakla birlikte, özellikle gelişmiş ülke pazarlarında daha fazla istihdam sağlayacak ustalık belgelendirmesi uygulamasında yetersizlikler sürmektedir. Diğer yandan, sektörde finansmana erişim, risk yönetimi ve akreditasyon sorunlarının çözümüne yönelik çalışmalar devam etmektedir. </w:t>
      </w:r>
    </w:p>
    <w:p w:rsidR="00565FD5" w:rsidRPr="004B3DE4" w:rsidRDefault="00565FD5" w:rsidP="00565FD5">
      <w:pPr>
        <w:spacing w:before="120" w:after="180"/>
        <w:ind w:firstLine="425"/>
        <w:rPr>
          <w:rFonts w:cs="Tahoma"/>
          <w:szCs w:val="18"/>
          <w:lang w:eastAsia="tr-TR"/>
        </w:rPr>
      </w:pPr>
      <w:r w:rsidRPr="004B3DE4">
        <w:rPr>
          <w:rFonts w:cs="Tahoma"/>
          <w:szCs w:val="18"/>
          <w:lang w:eastAsia="tr-TR"/>
        </w:rPr>
        <w:t xml:space="preserve">Yapı denetim sisteminin iyileştirilmesi doğrultusunda, mevzuatın ve gerekli beşeri ve teknik kapasitenin geliştirilmesi çalışmaları devam etmektedir. Ayrıca, 16/12/2010 tarihinde Resmi Gazete’de yayımlanan Yapı Müteahhitlerinin Kayıtları ile Şantiye Şefleri ve Yetki Belgeli Ustalar Hakkında Yönetmelik kapsamında, yapı müteahhitleri ile inşaat ve tesisat işlerinde çalışacak ustalara yetki belgesi verilerek kayıtlarının tutulması ve şantiye şeflerinin faaliyetlerinin takibi çalışmaları devam etmektedir. </w:t>
      </w:r>
    </w:p>
    <w:p w:rsidR="00565FD5" w:rsidRPr="004B3DE4" w:rsidRDefault="00565FD5" w:rsidP="00565FD5">
      <w:pPr>
        <w:pStyle w:val="Balk4"/>
        <w:rPr>
          <w:lang w:eastAsia="tr-TR"/>
        </w:rPr>
      </w:pPr>
      <w:bookmarkStart w:id="2085" w:name="_Toc338523832"/>
      <w:bookmarkStart w:id="2086" w:name="_Toc338524063"/>
      <w:bookmarkStart w:id="2087" w:name="_Toc338526289"/>
      <w:bookmarkStart w:id="2088" w:name="_Toc338673732"/>
      <w:bookmarkStart w:id="2089" w:name="_Toc338711611"/>
      <w:r w:rsidRPr="004B3DE4">
        <w:rPr>
          <w:lang w:eastAsia="tr-TR"/>
        </w:rPr>
        <w:lastRenderedPageBreak/>
        <w:t>2. Temel Amaç ve Hedefler</w:t>
      </w:r>
      <w:bookmarkEnd w:id="2085"/>
      <w:bookmarkEnd w:id="2086"/>
      <w:bookmarkEnd w:id="2087"/>
      <w:bookmarkEnd w:id="2088"/>
      <w:bookmarkEnd w:id="2089"/>
    </w:p>
    <w:p w:rsidR="00565FD5" w:rsidRPr="004B3DE4" w:rsidRDefault="00565FD5" w:rsidP="00565FD5">
      <w:pPr>
        <w:spacing w:before="120" w:after="180"/>
        <w:ind w:firstLine="425"/>
        <w:rPr>
          <w:rFonts w:cs="Tahoma"/>
          <w:szCs w:val="18"/>
          <w:lang w:eastAsia="tr-TR"/>
        </w:rPr>
      </w:pPr>
      <w:r w:rsidRPr="004B3DE4">
        <w:rPr>
          <w:rFonts w:cs="Tahoma"/>
          <w:szCs w:val="18"/>
          <w:lang w:eastAsia="tr-TR"/>
        </w:rPr>
        <w:t xml:space="preserve">Kaliteye dayalı rekabet ve talep üzerine kurulu, beşeri ve fiziki sermayesi gelişmiş, ileri teknoloji kullanan, çevreye duyarlı ve yüksek hizmet kalitesiyle uluslararası piyasalarda markalaşmış bir sektör yapısı oluşturmak temel amaçtır. </w:t>
      </w:r>
    </w:p>
    <w:p w:rsidR="00565FD5" w:rsidRPr="004B3DE4" w:rsidRDefault="00565FD5" w:rsidP="00565FD5">
      <w:pPr>
        <w:spacing w:before="120" w:after="180"/>
        <w:ind w:firstLine="425"/>
        <w:rPr>
          <w:rFonts w:cs="Tahoma"/>
          <w:szCs w:val="18"/>
          <w:lang w:eastAsia="tr-TR"/>
        </w:rPr>
      </w:pPr>
      <w:r w:rsidRPr="004B3DE4">
        <w:rPr>
          <w:rFonts w:cs="Tahoma"/>
          <w:szCs w:val="18"/>
          <w:lang w:eastAsia="tr-TR"/>
        </w:rPr>
        <w:t>Bu çerçevede, tüm paydaşların işbirliği ve katılımıyla, üretim ve hizmet kalitesi bakımından sektörün, rekabetçi ve sürdürülebilir bir yapıya kavuşturularak, ülkemizin rekabet gücünün artırılması ve kalkınmasındaki kritik rolünün güçlendirilmesi için gerekli tedbirler alınacaktır.</w:t>
      </w:r>
    </w:p>
    <w:p w:rsidR="00565FD5" w:rsidRPr="004B3DE4" w:rsidRDefault="00565FD5" w:rsidP="00565FD5">
      <w:pPr>
        <w:pStyle w:val="Balk4"/>
        <w:rPr>
          <w:i w:val="0"/>
          <w:lang w:eastAsia="tr-TR"/>
        </w:rPr>
      </w:pPr>
      <w:bookmarkStart w:id="2090" w:name="_Toc338505602"/>
      <w:bookmarkStart w:id="2091" w:name="_Toc338523833"/>
      <w:bookmarkStart w:id="2092" w:name="_Toc338524064"/>
      <w:bookmarkStart w:id="2093" w:name="_Toc338526290"/>
      <w:bookmarkStart w:id="2094" w:name="_Toc338673733"/>
      <w:bookmarkStart w:id="2095" w:name="_Toc338711612"/>
      <w:r w:rsidRPr="004B3DE4">
        <w:rPr>
          <w:lang w:eastAsia="tr-TR"/>
        </w:rPr>
        <w:t>3. Politika Öncelikleri ve Tedbirler</w:t>
      </w:r>
      <w:bookmarkEnd w:id="2090"/>
      <w:bookmarkEnd w:id="2091"/>
      <w:bookmarkEnd w:id="2092"/>
      <w:bookmarkEnd w:id="2093"/>
      <w:bookmarkEnd w:id="2094"/>
      <w:bookmarkEnd w:id="2095"/>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552"/>
        <w:gridCol w:w="9"/>
        <w:gridCol w:w="1905"/>
        <w:gridCol w:w="779"/>
        <w:gridCol w:w="39"/>
        <w:gridCol w:w="2860"/>
      </w:tblGrid>
      <w:tr w:rsidR="00565FD5" w:rsidRPr="004B3DE4" w:rsidTr="00AB62A3">
        <w:trPr>
          <w:trHeight w:val="350"/>
          <w:jc w:val="center"/>
        </w:trPr>
        <w:tc>
          <w:tcPr>
            <w:tcW w:w="1087" w:type="pct"/>
            <w:vAlign w:val="bottom"/>
          </w:tcPr>
          <w:p w:rsidR="00565FD5" w:rsidRPr="004B3DE4" w:rsidRDefault="00565FD5" w:rsidP="00AB62A3">
            <w:pPr>
              <w:rPr>
                <w:rFonts w:cs="Tahoma"/>
                <w:b/>
                <w:sz w:val="16"/>
                <w:szCs w:val="18"/>
                <w:lang w:eastAsia="tr-TR"/>
              </w:rPr>
            </w:pPr>
            <w:r w:rsidRPr="004B3DE4">
              <w:rPr>
                <w:rFonts w:cs="Tahoma"/>
                <w:b/>
                <w:sz w:val="16"/>
                <w:szCs w:val="18"/>
                <w:lang w:eastAsia="tr-TR"/>
              </w:rPr>
              <w:t>Öncelik/Tedbir</w:t>
            </w:r>
          </w:p>
        </w:tc>
        <w:tc>
          <w:tcPr>
            <w:tcW w:w="1339" w:type="pct"/>
            <w:gridSpan w:val="2"/>
            <w:vAlign w:val="bottom"/>
          </w:tcPr>
          <w:p w:rsidR="00565FD5" w:rsidRPr="004B3DE4" w:rsidRDefault="00565FD5" w:rsidP="00AB62A3">
            <w:pPr>
              <w:rPr>
                <w:rFonts w:cs="Tahoma"/>
                <w:b/>
                <w:sz w:val="16"/>
                <w:szCs w:val="18"/>
                <w:lang w:eastAsia="tr-TR"/>
              </w:rPr>
            </w:pPr>
            <w:r w:rsidRPr="004B3DE4">
              <w:rPr>
                <w:rFonts w:cs="Tahoma"/>
                <w:b/>
                <w:sz w:val="16"/>
                <w:szCs w:val="18"/>
                <w:lang w:eastAsia="tr-TR"/>
              </w:rPr>
              <w:t>Sorumlu/İşbirliği Yapılacak Kuruluşlar</w:t>
            </w:r>
          </w:p>
        </w:tc>
        <w:tc>
          <w:tcPr>
            <w:tcW w:w="572" w:type="pct"/>
            <w:gridSpan w:val="2"/>
            <w:vAlign w:val="bottom"/>
          </w:tcPr>
          <w:p w:rsidR="00565FD5" w:rsidRPr="004B3DE4" w:rsidRDefault="00565FD5" w:rsidP="00AB62A3">
            <w:pPr>
              <w:rPr>
                <w:rFonts w:cs="Tahoma"/>
                <w:b/>
                <w:sz w:val="16"/>
                <w:szCs w:val="18"/>
                <w:lang w:eastAsia="tr-TR"/>
              </w:rPr>
            </w:pPr>
            <w:r w:rsidRPr="004B3DE4">
              <w:rPr>
                <w:rFonts w:cs="Tahoma"/>
                <w:b/>
                <w:sz w:val="16"/>
                <w:szCs w:val="18"/>
                <w:lang w:eastAsia="tr-TR"/>
              </w:rPr>
              <w:t>Süre</w:t>
            </w:r>
          </w:p>
        </w:tc>
        <w:tc>
          <w:tcPr>
            <w:tcW w:w="2003" w:type="pct"/>
            <w:vAlign w:val="bottom"/>
          </w:tcPr>
          <w:p w:rsidR="00565FD5" w:rsidRPr="004B3DE4" w:rsidRDefault="00565FD5" w:rsidP="00AB62A3">
            <w:pPr>
              <w:rPr>
                <w:rFonts w:cs="Tahoma"/>
                <w:b/>
                <w:sz w:val="16"/>
                <w:szCs w:val="18"/>
                <w:lang w:eastAsia="tr-TR"/>
              </w:rPr>
            </w:pPr>
            <w:r w:rsidRPr="004B3DE4">
              <w:rPr>
                <w:rFonts w:cs="Tahoma"/>
                <w:b/>
                <w:sz w:val="16"/>
                <w:szCs w:val="18"/>
                <w:lang w:eastAsia="tr-TR"/>
              </w:rPr>
              <w:t>Yapılacak İşlem ve Açıklama</w:t>
            </w:r>
          </w:p>
        </w:tc>
      </w:tr>
      <w:tr w:rsidR="00565FD5" w:rsidRPr="004B3DE4" w:rsidTr="00AB62A3">
        <w:tblPrEx>
          <w:tblLook w:val="0000"/>
        </w:tblPrEx>
        <w:trPr>
          <w:trHeight w:val="350"/>
          <w:jc w:val="center"/>
        </w:trPr>
        <w:tc>
          <w:tcPr>
            <w:tcW w:w="5000" w:type="pct"/>
            <w:gridSpan w:val="6"/>
          </w:tcPr>
          <w:p w:rsidR="00565FD5" w:rsidRPr="004B3DE4" w:rsidRDefault="00565FD5" w:rsidP="00EB1E69">
            <w:pPr>
              <w:numPr>
                <w:ilvl w:val="0"/>
                <w:numId w:val="15"/>
              </w:numPr>
              <w:tabs>
                <w:tab w:val="left" w:pos="0"/>
              </w:tabs>
              <w:spacing w:before="120" w:after="120" w:line="240" w:lineRule="auto"/>
              <w:jc w:val="both"/>
              <w:rPr>
                <w:rFonts w:cs="Tahoma"/>
                <w:b/>
                <w:bCs/>
                <w:noProof/>
                <w:sz w:val="16"/>
                <w:szCs w:val="18"/>
              </w:rPr>
            </w:pPr>
            <w:r w:rsidRPr="004B3DE4">
              <w:rPr>
                <w:rFonts w:cs="Tahoma"/>
                <w:b/>
                <w:bCs/>
                <w:noProof/>
                <w:sz w:val="16"/>
                <w:szCs w:val="18"/>
              </w:rPr>
              <w:t xml:space="preserve">Uluslararası standartlarda, fen, sanat ve sağlık kurallarına uygun yapı inşasını teminen denetim etkinleştirilecektir. </w:t>
            </w:r>
          </w:p>
        </w:tc>
      </w:tr>
      <w:tr w:rsidR="00565FD5" w:rsidRPr="004B3DE4" w:rsidTr="00AB62A3">
        <w:tblPrEx>
          <w:tblLook w:val="0000"/>
        </w:tblPrEx>
        <w:trPr>
          <w:trHeight w:val="2446"/>
          <w:jc w:val="center"/>
        </w:trPr>
        <w:tc>
          <w:tcPr>
            <w:tcW w:w="1087" w:type="pct"/>
          </w:tcPr>
          <w:p w:rsidR="00565FD5" w:rsidRPr="004B3DE4" w:rsidRDefault="00565FD5" w:rsidP="00EB1E69">
            <w:pPr>
              <w:numPr>
                <w:ilvl w:val="0"/>
                <w:numId w:val="14"/>
              </w:numPr>
              <w:spacing w:before="120" w:after="120" w:line="240" w:lineRule="auto"/>
              <w:rPr>
                <w:rFonts w:cs="Tahoma"/>
                <w:sz w:val="16"/>
                <w:szCs w:val="18"/>
                <w:lang w:eastAsia="tr-TR"/>
              </w:rPr>
            </w:pPr>
            <w:r w:rsidRPr="004B3DE4">
              <w:rPr>
                <w:rFonts w:cs="Tahoma"/>
                <w:sz w:val="16"/>
                <w:szCs w:val="18"/>
                <w:lang w:eastAsia="tr-TR"/>
              </w:rPr>
              <w:t xml:space="preserve">Yapı denetimi sistemi güçlendirilecektir. </w:t>
            </w:r>
          </w:p>
        </w:tc>
        <w:tc>
          <w:tcPr>
            <w:tcW w:w="1339" w:type="pct"/>
            <w:gridSpan w:val="2"/>
          </w:tcPr>
          <w:p w:rsidR="00565FD5" w:rsidRPr="004B3DE4" w:rsidRDefault="00565FD5" w:rsidP="00AB62A3">
            <w:pPr>
              <w:spacing w:before="120" w:after="120"/>
              <w:rPr>
                <w:rFonts w:ascii="Times New Roman" w:hAnsi="Times New Roman" w:cs="Tahoma"/>
                <w:b/>
                <w:sz w:val="16"/>
                <w:lang w:eastAsia="tr-TR"/>
              </w:rPr>
            </w:pPr>
            <w:r w:rsidRPr="004B3DE4">
              <w:rPr>
                <w:rFonts w:cs="Tahoma"/>
                <w:sz w:val="16"/>
                <w:szCs w:val="18"/>
                <w:lang w:eastAsia="tr-TR"/>
              </w:rPr>
              <w:t>Çevre ve Şehircilik Bakanlığı (S), İlgili Bakanlıklar, Türk Mühendis ve Mimar Odaları Birliği, Türk Müşavir Mühendisler ve Mimarlar Birliği, Üniversiteler, Türkiye Müteahhitler Birliği, Türkiye İnşaat Sanayicileri İşveren Sendikası</w:t>
            </w:r>
          </w:p>
        </w:tc>
        <w:tc>
          <w:tcPr>
            <w:tcW w:w="572" w:type="pct"/>
            <w:gridSpan w:val="2"/>
          </w:tcPr>
          <w:p w:rsidR="00565FD5" w:rsidRPr="004B3DE4" w:rsidRDefault="00565FD5" w:rsidP="00AB62A3">
            <w:pPr>
              <w:spacing w:before="120" w:after="120"/>
              <w:rPr>
                <w:rFonts w:cs="Tahoma"/>
                <w:sz w:val="16"/>
                <w:szCs w:val="18"/>
                <w:lang w:eastAsia="tr-TR"/>
              </w:rPr>
            </w:pPr>
            <w:r w:rsidRPr="004B3DE4">
              <w:rPr>
                <w:rFonts w:eastAsia="Arial Unicode MS" w:cs="Tahoma"/>
                <w:sz w:val="16"/>
                <w:szCs w:val="18"/>
                <w:lang w:eastAsia="tr-TR"/>
              </w:rPr>
              <w:t>Aralık Sonu</w:t>
            </w:r>
          </w:p>
        </w:tc>
        <w:tc>
          <w:tcPr>
            <w:tcW w:w="2003" w:type="pct"/>
          </w:tcPr>
          <w:p w:rsidR="00565FD5" w:rsidRPr="004B3DE4" w:rsidRDefault="00565FD5" w:rsidP="00AB62A3">
            <w:pPr>
              <w:spacing w:before="120" w:after="120"/>
              <w:rPr>
                <w:rFonts w:cs="Tahoma"/>
                <w:sz w:val="16"/>
                <w:szCs w:val="18"/>
                <w:lang w:eastAsia="tr-TR"/>
              </w:rPr>
            </w:pPr>
            <w:r w:rsidRPr="004B3DE4">
              <w:rPr>
                <w:rFonts w:cs="Tahoma"/>
                <w:sz w:val="16"/>
                <w:szCs w:val="18"/>
                <w:lang w:eastAsia="tr-TR"/>
              </w:rPr>
              <w:t xml:space="preserve">Etkin yapı denetimine yönelik kapasite geliştirme çalışmalarına devam edilecek, bu kapsamda, Ulusal Yapı Denetim Sistemi geliştirilerek e-devlet uygulamalarıyla bütünleşmesi sağlanacaktır.  </w:t>
            </w:r>
          </w:p>
        </w:tc>
      </w:tr>
      <w:tr w:rsidR="00565FD5" w:rsidRPr="004B3DE4" w:rsidTr="00AB62A3">
        <w:tblPrEx>
          <w:tblLook w:val="0000"/>
        </w:tblPrEx>
        <w:trPr>
          <w:trHeight w:val="350"/>
          <w:jc w:val="center"/>
        </w:trPr>
        <w:tc>
          <w:tcPr>
            <w:tcW w:w="5000" w:type="pct"/>
            <w:gridSpan w:val="6"/>
          </w:tcPr>
          <w:p w:rsidR="00565FD5" w:rsidRPr="004B3DE4" w:rsidRDefault="00565FD5" w:rsidP="00EB1E69">
            <w:pPr>
              <w:numPr>
                <w:ilvl w:val="0"/>
                <w:numId w:val="15"/>
              </w:numPr>
              <w:tabs>
                <w:tab w:val="left" w:pos="0"/>
              </w:tabs>
              <w:spacing w:before="120" w:after="120" w:line="240" w:lineRule="auto"/>
              <w:jc w:val="both"/>
              <w:rPr>
                <w:rFonts w:cs="Tahoma"/>
                <w:b/>
                <w:bCs/>
                <w:noProof/>
                <w:sz w:val="16"/>
                <w:szCs w:val="18"/>
              </w:rPr>
            </w:pPr>
            <w:r w:rsidRPr="004B3DE4">
              <w:rPr>
                <w:rFonts w:cs="Tahoma"/>
                <w:b/>
                <w:bCs/>
                <w:noProof/>
                <w:sz w:val="16"/>
                <w:szCs w:val="18"/>
              </w:rPr>
              <w:t xml:space="preserve">İşgücü belgelendirme ve denetleme faaliyetleri etkinleştirilerek sektörde işgücünün niteliği geliştirilecektir. </w:t>
            </w:r>
          </w:p>
        </w:tc>
      </w:tr>
      <w:tr w:rsidR="00565FD5" w:rsidRPr="004B3DE4" w:rsidTr="00AB62A3">
        <w:tblPrEx>
          <w:tblLook w:val="0000"/>
        </w:tblPrEx>
        <w:trPr>
          <w:trHeight w:val="350"/>
          <w:jc w:val="center"/>
        </w:trPr>
        <w:tc>
          <w:tcPr>
            <w:tcW w:w="1087" w:type="pct"/>
          </w:tcPr>
          <w:p w:rsidR="00565FD5" w:rsidRPr="004B3DE4" w:rsidRDefault="00565FD5" w:rsidP="00EB1E69">
            <w:pPr>
              <w:numPr>
                <w:ilvl w:val="0"/>
                <w:numId w:val="14"/>
              </w:numPr>
              <w:spacing w:before="120" w:after="120" w:line="240" w:lineRule="auto"/>
              <w:rPr>
                <w:rFonts w:cs="Tahoma"/>
                <w:sz w:val="16"/>
                <w:szCs w:val="18"/>
                <w:lang w:eastAsia="tr-TR"/>
              </w:rPr>
            </w:pPr>
            <w:r w:rsidRPr="004B3DE4">
              <w:rPr>
                <w:rFonts w:cs="Tahoma"/>
                <w:sz w:val="16"/>
                <w:szCs w:val="18"/>
                <w:lang w:eastAsia="tr-TR"/>
              </w:rPr>
              <w:t xml:space="preserve">İnşaat sektöründe ara işgücünün ustalık seviyesinin belgelendirilmesi için bir sistem oluşturulacaktır. </w:t>
            </w:r>
          </w:p>
          <w:p w:rsidR="00565FD5" w:rsidRPr="004B3DE4" w:rsidRDefault="00565FD5" w:rsidP="00AB62A3">
            <w:pPr>
              <w:spacing w:before="120" w:after="120"/>
              <w:ind w:firstLine="425"/>
              <w:rPr>
                <w:rFonts w:cs="Tahoma"/>
                <w:sz w:val="16"/>
                <w:szCs w:val="18"/>
                <w:lang w:eastAsia="tr-TR"/>
              </w:rPr>
            </w:pPr>
          </w:p>
        </w:tc>
        <w:tc>
          <w:tcPr>
            <w:tcW w:w="1339" w:type="pct"/>
            <w:gridSpan w:val="2"/>
          </w:tcPr>
          <w:p w:rsidR="00565FD5" w:rsidRPr="004B3DE4" w:rsidRDefault="00565FD5" w:rsidP="00AB62A3">
            <w:pPr>
              <w:spacing w:before="120" w:after="120"/>
              <w:rPr>
                <w:rFonts w:cs="Tahoma"/>
                <w:sz w:val="16"/>
                <w:szCs w:val="18"/>
                <w:lang w:eastAsia="tr-TR"/>
              </w:rPr>
            </w:pPr>
            <w:r w:rsidRPr="004B3DE4">
              <w:rPr>
                <w:rFonts w:cs="Tahoma"/>
                <w:sz w:val="16"/>
                <w:szCs w:val="18"/>
                <w:lang w:eastAsia="tr-TR"/>
              </w:rPr>
              <w:t>Çevre ve Şehircilik Bakanlığı (S), Milli Eğitim Bakanlığı, Mesleki Yeterlilik Kurumu, Çalışma ve Sosyal Güvenlik Bakanlığı, TSE, Üniversiteler, Türkiye İnşaat Sanayicileri İşveren Sendikası, Türkiye Müteahhitler Birliği, Türk Müşavir Mühendisler ve Mimarlar Birliği, Türkiye Esnaf ve Sanatkârlar Konfederasyonu</w:t>
            </w:r>
          </w:p>
        </w:tc>
        <w:tc>
          <w:tcPr>
            <w:tcW w:w="572" w:type="pct"/>
            <w:gridSpan w:val="2"/>
          </w:tcPr>
          <w:p w:rsidR="00565FD5" w:rsidRPr="004B3DE4" w:rsidRDefault="00565FD5" w:rsidP="00AB62A3">
            <w:pPr>
              <w:spacing w:before="120" w:after="120"/>
              <w:rPr>
                <w:rFonts w:cs="Tahoma"/>
                <w:sz w:val="16"/>
                <w:szCs w:val="18"/>
                <w:lang w:eastAsia="tr-TR"/>
              </w:rPr>
            </w:pPr>
            <w:r w:rsidRPr="004B3DE4">
              <w:rPr>
                <w:rFonts w:eastAsia="Arial Unicode MS" w:cs="Tahoma"/>
                <w:sz w:val="16"/>
                <w:szCs w:val="18"/>
                <w:lang w:eastAsia="tr-TR"/>
              </w:rPr>
              <w:t>Aralık Sonu</w:t>
            </w:r>
          </w:p>
        </w:tc>
        <w:tc>
          <w:tcPr>
            <w:tcW w:w="2003" w:type="pct"/>
          </w:tcPr>
          <w:p w:rsidR="00565FD5" w:rsidRPr="004B3DE4" w:rsidRDefault="00565FD5" w:rsidP="00AB62A3">
            <w:pPr>
              <w:spacing w:before="120" w:after="120"/>
              <w:rPr>
                <w:rFonts w:cs="Tahoma"/>
                <w:sz w:val="16"/>
                <w:szCs w:val="18"/>
                <w:lang w:eastAsia="tr-TR"/>
              </w:rPr>
            </w:pPr>
            <w:r w:rsidRPr="004B3DE4">
              <w:rPr>
                <w:rFonts w:cs="Tahoma"/>
                <w:sz w:val="16"/>
                <w:szCs w:val="18"/>
                <w:lang w:eastAsia="tr-TR"/>
              </w:rPr>
              <w:t xml:space="preserve">16/12/2010 tarihinde Resmi Gazete’de yayımlanan </w:t>
            </w:r>
            <w:r w:rsidRPr="004B3DE4">
              <w:rPr>
                <w:rFonts w:cs="Tahoma"/>
                <w:bCs/>
                <w:sz w:val="16"/>
                <w:szCs w:val="18"/>
                <w:lang w:eastAsia="tr-TR"/>
              </w:rPr>
              <w:t xml:space="preserve">Yapı Müteahhitlerinin Kayıtları ile Şantiye Şefleri ve Yetki Belgeli Ustalar Hakkında Yönetmelik </w:t>
            </w:r>
            <w:r w:rsidRPr="004B3DE4">
              <w:rPr>
                <w:rFonts w:cs="Tahoma"/>
                <w:sz w:val="16"/>
                <w:szCs w:val="18"/>
                <w:lang w:eastAsia="tr-TR"/>
              </w:rPr>
              <w:t xml:space="preserve">kapsamında, inşaat ve tesisat işlerinde çalışacak ustalar için yetki belgesi verilmesi çalışmaları ile eğitim ve bilgilendirme faaliyetleri gerçekleştirilecektir. </w:t>
            </w:r>
          </w:p>
        </w:tc>
      </w:tr>
      <w:tr w:rsidR="00565FD5" w:rsidRPr="004B3DE4" w:rsidTr="00AB62A3">
        <w:tblPrEx>
          <w:tblLook w:val="0000"/>
        </w:tblPrEx>
        <w:trPr>
          <w:trHeight w:val="2468"/>
          <w:jc w:val="center"/>
        </w:trPr>
        <w:tc>
          <w:tcPr>
            <w:tcW w:w="1087" w:type="pct"/>
          </w:tcPr>
          <w:p w:rsidR="00565FD5" w:rsidRPr="004B3DE4" w:rsidRDefault="00565FD5" w:rsidP="00EB1E69">
            <w:pPr>
              <w:numPr>
                <w:ilvl w:val="0"/>
                <w:numId w:val="14"/>
              </w:numPr>
              <w:spacing w:before="120" w:after="120" w:line="240" w:lineRule="auto"/>
              <w:ind w:left="0"/>
              <w:rPr>
                <w:rFonts w:cs="Tahoma"/>
                <w:sz w:val="16"/>
                <w:szCs w:val="18"/>
                <w:lang w:eastAsia="tr-TR"/>
              </w:rPr>
            </w:pPr>
            <w:r w:rsidRPr="004B3DE4">
              <w:rPr>
                <w:rFonts w:cs="Tahoma"/>
                <w:sz w:val="16"/>
                <w:szCs w:val="18"/>
                <w:lang w:eastAsia="tr-TR"/>
              </w:rPr>
              <w:lastRenderedPageBreak/>
              <w:t>Yapı müteahhitliği hizmetlerinin yeterli yetkinliğe sahip kişiler tarafından verilmesi sağlanacaktır.</w:t>
            </w:r>
          </w:p>
        </w:tc>
        <w:tc>
          <w:tcPr>
            <w:tcW w:w="1339" w:type="pct"/>
            <w:gridSpan w:val="2"/>
          </w:tcPr>
          <w:p w:rsidR="00565FD5" w:rsidRPr="004B3DE4" w:rsidRDefault="00565FD5" w:rsidP="00AB62A3">
            <w:pPr>
              <w:spacing w:before="120" w:after="120"/>
              <w:rPr>
                <w:rFonts w:cs="Tahoma"/>
                <w:sz w:val="16"/>
                <w:szCs w:val="18"/>
                <w:lang w:eastAsia="tr-TR"/>
              </w:rPr>
            </w:pPr>
            <w:r w:rsidRPr="004B3DE4">
              <w:rPr>
                <w:rFonts w:cs="Tahoma"/>
                <w:sz w:val="16"/>
                <w:szCs w:val="18"/>
                <w:lang w:eastAsia="tr-TR"/>
              </w:rPr>
              <w:t>Çevre ve Şehircilik Bakanlığı (S), İlgili Bakanlıklar,  Türk Mühendis ve Mimar Odaları Birliği,  Türkiye Müteahhitler Birliği,  Türkiye İnşaat Sanayicileri İşveren Sendikası, Türk Müşavir Mühendisler ve Mimarlar Birliği, Türkiye Odalar ve Borsalar Birliği</w:t>
            </w:r>
          </w:p>
        </w:tc>
        <w:tc>
          <w:tcPr>
            <w:tcW w:w="572" w:type="pct"/>
            <w:gridSpan w:val="2"/>
          </w:tcPr>
          <w:p w:rsidR="00565FD5" w:rsidRPr="004B3DE4" w:rsidRDefault="00565FD5" w:rsidP="00AB62A3">
            <w:pPr>
              <w:spacing w:before="120" w:after="120"/>
              <w:rPr>
                <w:rFonts w:cs="Tahoma"/>
                <w:sz w:val="16"/>
                <w:szCs w:val="18"/>
                <w:lang w:eastAsia="tr-TR"/>
              </w:rPr>
            </w:pPr>
            <w:r w:rsidRPr="004B3DE4">
              <w:rPr>
                <w:rFonts w:eastAsia="Arial Unicode MS" w:cs="Tahoma"/>
                <w:sz w:val="16"/>
                <w:szCs w:val="18"/>
                <w:lang w:eastAsia="tr-TR"/>
              </w:rPr>
              <w:t>Aralık Sonu</w:t>
            </w:r>
          </w:p>
        </w:tc>
        <w:tc>
          <w:tcPr>
            <w:tcW w:w="2003" w:type="pct"/>
          </w:tcPr>
          <w:p w:rsidR="00565FD5" w:rsidRPr="004B3DE4" w:rsidRDefault="00565FD5" w:rsidP="00AB62A3">
            <w:pPr>
              <w:spacing w:before="120" w:after="120"/>
              <w:rPr>
                <w:rFonts w:cs="Tahoma"/>
                <w:sz w:val="16"/>
                <w:szCs w:val="18"/>
                <w:lang w:eastAsia="tr-TR"/>
              </w:rPr>
            </w:pPr>
            <w:r w:rsidRPr="004B3DE4">
              <w:rPr>
                <w:rFonts w:cs="Tahoma"/>
                <w:sz w:val="16"/>
                <w:szCs w:val="18"/>
                <w:lang w:eastAsia="tr-TR"/>
              </w:rPr>
              <w:t>16/12/2010 tarihinde Resmi Gazete’de yayımlanan Yapı Müteahhitlerinin Kayıtları ile Şantiye Şefleri ve Yetki Belgeli Ustalar Hakkında Yönetmelik kapsamında, yetkin bulunan kişilere yapı müteahhitliği yetki belgesi verilerek kayıtları tutulacaktır.</w:t>
            </w:r>
          </w:p>
        </w:tc>
      </w:tr>
      <w:tr w:rsidR="00565FD5" w:rsidRPr="004B3DE4" w:rsidTr="00AB62A3">
        <w:tblPrEx>
          <w:tblLook w:val="0000"/>
        </w:tblPrEx>
        <w:trPr>
          <w:trHeight w:val="350"/>
          <w:jc w:val="center"/>
        </w:trPr>
        <w:tc>
          <w:tcPr>
            <w:tcW w:w="1087" w:type="pct"/>
          </w:tcPr>
          <w:p w:rsidR="00565FD5" w:rsidRPr="004B3DE4" w:rsidRDefault="00565FD5" w:rsidP="00EB1E69">
            <w:pPr>
              <w:numPr>
                <w:ilvl w:val="0"/>
                <w:numId w:val="14"/>
              </w:numPr>
              <w:spacing w:before="120" w:after="120" w:line="240" w:lineRule="auto"/>
              <w:ind w:left="0"/>
              <w:rPr>
                <w:rFonts w:cs="Tahoma"/>
                <w:sz w:val="16"/>
                <w:szCs w:val="18"/>
                <w:lang w:eastAsia="tr-TR"/>
              </w:rPr>
            </w:pPr>
            <w:r w:rsidRPr="004B3DE4">
              <w:rPr>
                <w:rFonts w:cs="Tahoma"/>
                <w:sz w:val="16"/>
                <w:szCs w:val="18"/>
                <w:lang w:eastAsia="tr-TR"/>
              </w:rPr>
              <w:t xml:space="preserve">Şantiye şeflerinin faaliyetleri denetlenecektir. </w:t>
            </w:r>
          </w:p>
        </w:tc>
        <w:tc>
          <w:tcPr>
            <w:tcW w:w="1339" w:type="pct"/>
            <w:gridSpan w:val="2"/>
          </w:tcPr>
          <w:p w:rsidR="00565FD5" w:rsidRPr="004B3DE4" w:rsidRDefault="00565FD5" w:rsidP="00AB62A3">
            <w:pPr>
              <w:spacing w:before="120" w:after="120"/>
              <w:rPr>
                <w:rFonts w:cs="Tahoma"/>
                <w:sz w:val="16"/>
                <w:szCs w:val="18"/>
                <w:lang w:eastAsia="tr-TR"/>
              </w:rPr>
            </w:pPr>
            <w:r w:rsidRPr="004B3DE4">
              <w:rPr>
                <w:rFonts w:cs="Tahoma"/>
                <w:sz w:val="16"/>
                <w:szCs w:val="18"/>
                <w:lang w:eastAsia="tr-TR"/>
              </w:rPr>
              <w:t>Çevre ve Şehircilik Bakanlığı (S), İlgili Bakanlıklar,  Türk Mühendis ve Mimar Odaları Birliği,  Türkiye Müteahhitler Birliği,  Türkiye İnşaat Sanayicileri İşveren Sendikası, Türk Müşavir Mühendisler ve Mimarlar Birliği, Türkiye Odalar ve Borsalar Birliği</w:t>
            </w:r>
          </w:p>
        </w:tc>
        <w:tc>
          <w:tcPr>
            <w:tcW w:w="572" w:type="pct"/>
            <w:gridSpan w:val="2"/>
          </w:tcPr>
          <w:p w:rsidR="00565FD5" w:rsidRPr="004B3DE4" w:rsidRDefault="00565FD5" w:rsidP="00AB62A3">
            <w:pPr>
              <w:spacing w:before="120" w:after="120"/>
              <w:rPr>
                <w:rFonts w:eastAsia="Arial Unicode MS" w:cs="Tahoma"/>
                <w:sz w:val="16"/>
                <w:szCs w:val="18"/>
                <w:lang w:eastAsia="tr-TR"/>
              </w:rPr>
            </w:pPr>
            <w:r w:rsidRPr="004B3DE4">
              <w:rPr>
                <w:rFonts w:eastAsia="Arial Unicode MS" w:cs="Tahoma"/>
                <w:sz w:val="16"/>
                <w:szCs w:val="18"/>
                <w:lang w:eastAsia="tr-TR"/>
              </w:rPr>
              <w:t>Aralık Sonu</w:t>
            </w:r>
          </w:p>
        </w:tc>
        <w:tc>
          <w:tcPr>
            <w:tcW w:w="2003" w:type="pct"/>
          </w:tcPr>
          <w:p w:rsidR="00565FD5" w:rsidRPr="004B3DE4" w:rsidRDefault="00565FD5" w:rsidP="00AB62A3">
            <w:pPr>
              <w:spacing w:before="120" w:after="120"/>
              <w:rPr>
                <w:rFonts w:cs="Tahoma"/>
                <w:sz w:val="16"/>
                <w:szCs w:val="18"/>
                <w:lang w:eastAsia="tr-TR"/>
              </w:rPr>
            </w:pPr>
            <w:r w:rsidRPr="004B3DE4">
              <w:rPr>
                <w:rFonts w:cs="Tahoma"/>
                <w:sz w:val="16"/>
                <w:szCs w:val="18"/>
                <w:lang w:eastAsia="tr-TR"/>
              </w:rPr>
              <w:t xml:space="preserve">Şantiye şeflerinin faaliyetleri, mevcut Yapı Müteahhitliği Bilişim Sistemine eklenecek modülle, yapı ruhsatı ve yapı kullanma izin belgelerinin tanzimi aşamasında İçişleri Bakanlığı Adres Kayıt Sistemi ve Yapı Belgeleri Sistemiyle entegre olarak denetlenecektir. </w:t>
            </w:r>
          </w:p>
        </w:tc>
      </w:tr>
      <w:tr w:rsidR="00565FD5" w:rsidRPr="004B3DE4" w:rsidTr="00AB62A3">
        <w:tblPrEx>
          <w:tblLook w:val="0000"/>
        </w:tblPrEx>
        <w:trPr>
          <w:trHeight w:val="350"/>
          <w:jc w:val="center"/>
        </w:trPr>
        <w:tc>
          <w:tcPr>
            <w:tcW w:w="5000" w:type="pct"/>
            <w:gridSpan w:val="6"/>
          </w:tcPr>
          <w:p w:rsidR="00565FD5" w:rsidRPr="004B3DE4" w:rsidRDefault="00565FD5" w:rsidP="00EB1E69">
            <w:pPr>
              <w:numPr>
                <w:ilvl w:val="0"/>
                <w:numId w:val="15"/>
              </w:numPr>
              <w:tabs>
                <w:tab w:val="left" w:pos="0"/>
              </w:tabs>
              <w:spacing w:before="120" w:after="120" w:line="240" w:lineRule="auto"/>
              <w:jc w:val="both"/>
              <w:rPr>
                <w:rFonts w:cs="Tahoma"/>
                <w:b/>
                <w:noProof/>
                <w:sz w:val="16"/>
                <w:szCs w:val="18"/>
              </w:rPr>
            </w:pPr>
            <w:r w:rsidRPr="004B3DE4">
              <w:rPr>
                <w:rFonts w:cs="Tahoma"/>
                <w:b/>
                <w:bCs/>
                <w:noProof/>
                <w:sz w:val="16"/>
                <w:szCs w:val="18"/>
              </w:rPr>
              <w:t>Yurt dışındaki iş hacminin yükseltilmesi amacıyla, finansmana erişim ve politik risk sigortası destekleriyle yurt dışı müteahhitlik hizmetlerinin uluslararası rekabet gücü artırılacaktır.</w:t>
            </w:r>
          </w:p>
        </w:tc>
      </w:tr>
      <w:tr w:rsidR="00565FD5" w:rsidRPr="004B3DE4" w:rsidTr="00AB62A3">
        <w:tblPrEx>
          <w:tblLook w:val="0000"/>
        </w:tblPrEx>
        <w:trPr>
          <w:trHeight w:val="350"/>
          <w:jc w:val="center"/>
        </w:trPr>
        <w:tc>
          <w:tcPr>
            <w:tcW w:w="1087" w:type="pct"/>
          </w:tcPr>
          <w:p w:rsidR="00565FD5" w:rsidRPr="004B3DE4" w:rsidRDefault="00565FD5" w:rsidP="00EB1E69">
            <w:pPr>
              <w:numPr>
                <w:ilvl w:val="0"/>
                <w:numId w:val="14"/>
              </w:numPr>
              <w:spacing w:before="120" w:after="120" w:line="240" w:lineRule="auto"/>
              <w:ind w:left="0"/>
              <w:rPr>
                <w:rFonts w:cs="Tahoma"/>
                <w:sz w:val="16"/>
                <w:szCs w:val="18"/>
                <w:lang w:eastAsia="tr-TR"/>
              </w:rPr>
            </w:pPr>
            <w:r w:rsidRPr="004B3DE4">
              <w:rPr>
                <w:rFonts w:cs="Tahoma"/>
                <w:sz w:val="16"/>
                <w:szCs w:val="18"/>
                <w:lang w:eastAsia="tr-TR"/>
              </w:rPr>
              <w:t>Yurt dışında faaliyet gösteren müteahhitlik firmalarına finansmana erişim ve ülkelerarası işbirliği konularında destek verilecektir.</w:t>
            </w:r>
          </w:p>
        </w:tc>
        <w:tc>
          <w:tcPr>
            <w:tcW w:w="1339" w:type="pct"/>
            <w:gridSpan w:val="2"/>
          </w:tcPr>
          <w:p w:rsidR="00565FD5" w:rsidRPr="004B3DE4" w:rsidRDefault="00565FD5" w:rsidP="00AB62A3">
            <w:pPr>
              <w:spacing w:before="120" w:after="120"/>
              <w:rPr>
                <w:rFonts w:cs="Tahoma"/>
                <w:sz w:val="16"/>
                <w:szCs w:val="18"/>
                <w:lang w:eastAsia="tr-TR"/>
              </w:rPr>
            </w:pPr>
            <w:r w:rsidRPr="004B3DE4">
              <w:rPr>
                <w:rFonts w:cs="Tahoma"/>
                <w:sz w:val="16"/>
                <w:szCs w:val="18"/>
                <w:lang w:eastAsia="tr-TR"/>
              </w:rPr>
              <w:t>Ekonomi Bakanlığı (S), Çevre ve Şehircilik Bakanlığı, Hazine Müsteşarlığı, Türk Eximbank, İlgili Diğer Kurum, Kuruluş ve STK'lar.</w:t>
            </w:r>
          </w:p>
        </w:tc>
        <w:tc>
          <w:tcPr>
            <w:tcW w:w="572" w:type="pct"/>
            <w:gridSpan w:val="2"/>
          </w:tcPr>
          <w:p w:rsidR="00565FD5" w:rsidRPr="004B3DE4" w:rsidRDefault="00565FD5" w:rsidP="00AB62A3">
            <w:pPr>
              <w:spacing w:before="120" w:after="120"/>
              <w:rPr>
                <w:rFonts w:cs="Tahoma"/>
                <w:sz w:val="16"/>
                <w:szCs w:val="18"/>
                <w:lang w:eastAsia="tr-TR"/>
              </w:rPr>
            </w:pPr>
            <w:r w:rsidRPr="004B3DE4">
              <w:rPr>
                <w:rFonts w:eastAsia="Arial Unicode MS" w:cs="Tahoma"/>
                <w:sz w:val="16"/>
                <w:szCs w:val="18"/>
                <w:lang w:eastAsia="tr-TR"/>
              </w:rPr>
              <w:t>Aralık Sonu</w:t>
            </w:r>
          </w:p>
        </w:tc>
        <w:tc>
          <w:tcPr>
            <w:tcW w:w="2003" w:type="pct"/>
          </w:tcPr>
          <w:p w:rsidR="00565FD5" w:rsidRPr="004B3DE4" w:rsidRDefault="00565FD5" w:rsidP="00AB62A3">
            <w:pPr>
              <w:spacing w:before="120" w:after="120"/>
              <w:rPr>
                <w:rFonts w:cs="Tahoma"/>
                <w:sz w:val="16"/>
                <w:szCs w:val="18"/>
                <w:lang w:eastAsia="tr-TR"/>
              </w:rPr>
            </w:pPr>
            <w:r w:rsidRPr="004B3DE4">
              <w:rPr>
                <w:rFonts w:cs="Tahoma"/>
                <w:sz w:val="16"/>
                <w:szCs w:val="18"/>
                <w:lang w:eastAsia="tr-TR"/>
              </w:rPr>
              <w:t xml:space="preserve">Yurt dışında faaliyet gösteren müteahhitlik firmalarının teminat mektubu sorununun çözümüne yönelik çalışmalar yapılacaktır. Ayrıca, müteahhitlik firmalarının hâlihazırda faaliyet gösterdikleri pazarlarda etkinliklerinin artırılması ve yeni pazarlara giriş yapabilmelerini teminen, ülkeler arası işbirliği protokollerinin imzalanması yönünde girişimlere devam edilecek, finansman modelleri geliştirilerek firmalarımızın yurt dışında yatırımcı olarak da faaliyet göstermeleri sağlanacaktır.  </w:t>
            </w:r>
          </w:p>
        </w:tc>
      </w:tr>
      <w:tr w:rsidR="00565FD5" w:rsidRPr="004B3DE4" w:rsidTr="00AB62A3">
        <w:tblPrEx>
          <w:tblLook w:val="0000"/>
        </w:tblPrEx>
        <w:trPr>
          <w:trHeight w:val="350"/>
          <w:jc w:val="center"/>
        </w:trPr>
        <w:tc>
          <w:tcPr>
            <w:tcW w:w="1087" w:type="pct"/>
          </w:tcPr>
          <w:p w:rsidR="00565FD5" w:rsidRPr="004B3DE4" w:rsidRDefault="00565FD5" w:rsidP="00EB1E69">
            <w:pPr>
              <w:numPr>
                <w:ilvl w:val="0"/>
                <w:numId w:val="14"/>
              </w:numPr>
              <w:spacing w:before="120" w:after="120" w:line="240" w:lineRule="auto"/>
              <w:ind w:left="0"/>
              <w:rPr>
                <w:rFonts w:cs="Tahoma"/>
                <w:sz w:val="16"/>
                <w:szCs w:val="18"/>
                <w:lang w:eastAsia="tr-TR"/>
              </w:rPr>
            </w:pPr>
            <w:r w:rsidRPr="004B3DE4">
              <w:rPr>
                <w:rFonts w:cs="Tahoma"/>
                <w:sz w:val="16"/>
                <w:szCs w:val="18"/>
                <w:lang w:eastAsia="tr-TR"/>
              </w:rPr>
              <w:t>Yurtdışı Müteahhitlik Hizmetleri Politik Risk Sigortası Programının uygulanmasına başlanacaktır.</w:t>
            </w:r>
          </w:p>
        </w:tc>
        <w:tc>
          <w:tcPr>
            <w:tcW w:w="1339" w:type="pct"/>
            <w:gridSpan w:val="2"/>
          </w:tcPr>
          <w:p w:rsidR="00565FD5" w:rsidRPr="004B3DE4" w:rsidRDefault="00565FD5" w:rsidP="00AB62A3">
            <w:pPr>
              <w:spacing w:before="120" w:after="120"/>
              <w:rPr>
                <w:rFonts w:cs="Tahoma"/>
                <w:sz w:val="16"/>
                <w:szCs w:val="18"/>
                <w:lang w:eastAsia="tr-TR"/>
              </w:rPr>
            </w:pPr>
            <w:r w:rsidRPr="004B3DE4">
              <w:rPr>
                <w:rFonts w:cs="Tahoma"/>
                <w:sz w:val="16"/>
                <w:szCs w:val="18"/>
                <w:lang w:eastAsia="tr-TR"/>
              </w:rPr>
              <w:t xml:space="preserve">Türk Eximbank (S), Hazine Müsteşarlığı, Ekonomi Bakanlığı, Çevre ve Şehircilik Bakanlığı, İlgili Diğer Kurum, Kuruluş ve </w:t>
            </w:r>
            <w:r w:rsidRPr="004B3DE4">
              <w:rPr>
                <w:rFonts w:cs="Tahoma"/>
                <w:sz w:val="16"/>
                <w:szCs w:val="18"/>
                <w:lang w:eastAsia="tr-TR"/>
              </w:rPr>
              <w:lastRenderedPageBreak/>
              <w:t>STK'lar.</w:t>
            </w:r>
          </w:p>
        </w:tc>
        <w:tc>
          <w:tcPr>
            <w:tcW w:w="572" w:type="pct"/>
            <w:gridSpan w:val="2"/>
          </w:tcPr>
          <w:p w:rsidR="00565FD5" w:rsidRPr="004B3DE4" w:rsidRDefault="00565FD5" w:rsidP="00AB62A3">
            <w:pPr>
              <w:spacing w:before="120" w:after="120"/>
              <w:rPr>
                <w:rFonts w:eastAsia="Arial Unicode MS" w:cs="Tahoma"/>
                <w:sz w:val="16"/>
                <w:szCs w:val="18"/>
                <w:lang w:eastAsia="tr-TR"/>
              </w:rPr>
            </w:pPr>
            <w:r w:rsidRPr="004B3DE4">
              <w:rPr>
                <w:rFonts w:eastAsia="Arial Unicode MS" w:cs="Tahoma"/>
                <w:sz w:val="16"/>
                <w:szCs w:val="18"/>
                <w:lang w:eastAsia="tr-TR"/>
              </w:rPr>
              <w:lastRenderedPageBreak/>
              <w:t>Aralık Sonu</w:t>
            </w:r>
          </w:p>
        </w:tc>
        <w:tc>
          <w:tcPr>
            <w:tcW w:w="2003" w:type="pct"/>
          </w:tcPr>
          <w:p w:rsidR="00565FD5" w:rsidRPr="004B3DE4" w:rsidRDefault="00565FD5" w:rsidP="00AB62A3">
            <w:pPr>
              <w:spacing w:before="120" w:after="120"/>
              <w:rPr>
                <w:rFonts w:cs="Tahoma"/>
                <w:sz w:val="16"/>
                <w:szCs w:val="18"/>
                <w:lang w:eastAsia="tr-TR"/>
              </w:rPr>
            </w:pPr>
            <w:r w:rsidRPr="004B3DE4">
              <w:rPr>
                <w:rFonts w:cs="Tahoma"/>
                <w:sz w:val="16"/>
                <w:szCs w:val="18"/>
                <w:lang w:eastAsia="tr-TR"/>
              </w:rPr>
              <w:t xml:space="preserve">Özellikle riski yüksek olan ülkelerde faaliyet gösteren müteahhitlik firmalarının politik riskler nedeniyle uğrayabilecekleri zararların teminat altına alınması amacıyla bir Program </w:t>
            </w:r>
            <w:r w:rsidRPr="004B3DE4">
              <w:rPr>
                <w:rFonts w:cs="Tahoma"/>
                <w:sz w:val="16"/>
                <w:szCs w:val="18"/>
                <w:lang w:eastAsia="tr-TR"/>
              </w:rPr>
              <w:lastRenderedPageBreak/>
              <w:t>başlatılacaktır.</w:t>
            </w:r>
          </w:p>
        </w:tc>
      </w:tr>
      <w:tr w:rsidR="00565FD5" w:rsidRPr="004B3DE4" w:rsidTr="00AB62A3">
        <w:tblPrEx>
          <w:tblLook w:val="0000"/>
        </w:tblPrEx>
        <w:trPr>
          <w:trHeight w:val="350"/>
          <w:jc w:val="center"/>
        </w:trPr>
        <w:tc>
          <w:tcPr>
            <w:tcW w:w="5000" w:type="pct"/>
            <w:gridSpan w:val="6"/>
          </w:tcPr>
          <w:p w:rsidR="00565FD5" w:rsidRPr="004B3DE4" w:rsidRDefault="00565FD5" w:rsidP="00EB1E69">
            <w:pPr>
              <w:numPr>
                <w:ilvl w:val="0"/>
                <w:numId w:val="15"/>
              </w:numPr>
              <w:tabs>
                <w:tab w:val="left" w:pos="0"/>
              </w:tabs>
              <w:spacing w:before="120" w:after="120" w:line="240" w:lineRule="auto"/>
              <w:jc w:val="both"/>
              <w:rPr>
                <w:rFonts w:cs="Tahoma"/>
                <w:b/>
                <w:bCs/>
                <w:noProof/>
                <w:sz w:val="16"/>
                <w:szCs w:val="18"/>
              </w:rPr>
            </w:pPr>
            <w:r w:rsidRPr="004B3DE4">
              <w:rPr>
                <w:rFonts w:cs="Tahoma"/>
                <w:b/>
                <w:bCs/>
                <w:noProof/>
                <w:sz w:val="16"/>
                <w:szCs w:val="18"/>
              </w:rPr>
              <w:lastRenderedPageBreak/>
              <w:t>Teknik müşavirlik hizmetlerine olan talebin niteliği yükseltilerek bu hizmetlerin etkin bir şekilde kullanılması sağlanacak, sektörde tasarım kabiliyetleri geliştirilerek uluslararası rekabet gücü artırılacaktır.</w:t>
            </w:r>
          </w:p>
        </w:tc>
      </w:tr>
      <w:tr w:rsidR="00565FD5" w:rsidRPr="004B3DE4" w:rsidTr="00AB62A3">
        <w:tblPrEx>
          <w:tblLook w:val="0000"/>
        </w:tblPrEx>
        <w:trPr>
          <w:trHeight w:val="350"/>
          <w:jc w:val="center"/>
        </w:trPr>
        <w:tc>
          <w:tcPr>
            <w:tcW w:w="1093" w:type="pct"/>
            <w:gridSpan w:val="2"/>
          </w:tcPr>
          <w:p w:rsidR="00565FD5" w:rsidRPr="004B3DE4" w:rsidRDefault="00565FD5" w:rsidP="00EB1E69">
            <w:pPr>
              <w:numPr>
                <w:ilvl w:val="0"/>
                <w:numId w:val="14"/>
              </w:numPr>
              <w:spacing w:before="120" w:after="120" w:line="240" w:lineRule="auto"/>
              <w:ind w:left="0"/>
              <w:rPr>
                <w:rFonts w:cs="Tahoma"/>
                <w:b/>
                <w:bCs/>
                <w:noProof/>
                <w:sz w:val="16"/>
                <w:szCs w:val="18"/>
              </w:rPr>
            </w:pPr>
            <w:r w:rsidRPr="004B3DE4">
              <w:rPr>
                <w:rFonts w:cs="Tahoma"/>
                <w:noProof/>
                <w:sz w:val="16"/>
                <w:szCs w:val="18"/>
              </w:rPr>
              <w:t xml:space="preserve">Teknik müşavirlik firmalarının uluslararası pazarlarda güçlenmesi ve konumlanmasına yönelik destek verilecektir. </w:t>
            </w:r>
          </w:p>
        </w:tc>
        <w:tc>
          <w:tcPr>
            <w:tcW w:w="1332" w:type="pct"/>
          </w:tcPr>
          <w:p w:rsidR="00565FD5" w:rsidRPr="004B3DE4" w:rsidRDefault="00565FD5" w:rsidP="00AB62A3">
            <w:pPr>
              <w:spacing w:before="120" w:after="120"/>
              <w:rPr>
                <w:rFonts w:cs="Tahoma"/>
                <w:sz w:val="16"/>
                <w:szCs w:val="18"/>
                <w:lang w:eastAsia="tr-TR"/>
              </w:rPr>
            </w:pPr>
            <w:r w:rsidRPr="004B3DE4">
              <w:rPr>
                <w:rFonts w:cs="Tahoma"/>
                <w:sz w:val="16"/>
                <w:szCs w:val="18"/>
                <w:lang w:eastAsia="tr-TR"/>
              </w:rPr>
              <w:t>Ekonomi Bakanlığı (S), Çevre ve Şehircilik Bakanlığı, Hazine Müsteşarlığı, Türk Eximbank, İlgili Diğer Kurum, Kuruluş ve STK'lar.</w:t>
            </w:r>
          </w:p>
        </w:tc>
        <w:tc>
          <w:tcPr>
            <w:tcW w:w="545" w:type="pct"/>
          </w:tcPr>
          <w:p w:rsidR="00565FD5" w:rsidRPr="004B3DE4" w:rsidRDefault="00565FD5" w:rsidP="00AB62A3">
            <w:pPr>
              <w:spacing w:before="120" w:after="120"/>
              <w:rPr>
                <w:rFonts w:cs="Tahoma"/>
                <w:sz w:val="16"/>
                <w:szCs w:val="18"/>
                <w:lang w:eastAsia="tr-TR"/>
              </w:rPr>
            </w:pPr>
            <w:r w:rsidRPr="004B3DE4">
              <w:rPr>
                <w:rFonts w:eastAsia="Arial Unicode MS" w:cs="Tahoma"/>
                <w:sz w:val="16"/>
                <w:szCs w:val="18"/>
                <w:lang w:eastAsia="tr-TR"/>
              </w:rPr>
              <w:t>Aralık Sonu</w:t>
            </w:r>
          </w:p>
        </w:tc>
        <w:tc>
          <w:tcPr>
            <w:tcW w:w="2030" w:type="pct"/>
            <w:gridSpan w:val="2"/>
          </w:tcPr>
          <w:p w:rsidR="00565FD5" w:rsidRPr="004B3DE4" w:rsidRDefault="00565FD5" w:rsidP="00AB62A3">
            <w:pPr>
              <w:spacing w:before="120" w:after="120"/>
              <w:rPr>
                <w:rFonts w:cs="Tahoma"/>
                <w:sz w:val="16"/>
                <w:szCs w:val="18"/>
                <w:lang w:eastAsia="tr-TR"/>
              </w:rPr>
            </w:pPr>
            <w:r w:rsidRPr="004B3DE4">
              <w:rPr>
                <w:rFonts w:cs="Tahoma"/>
                <w:sz w:val="16"/>
                <w:szCs w:val="18"/>
                <w:lang w:eastAsia="tr-TR"/>
              </w:rPr>
              <w:t xml:space="preserve">2012/3 sayılı Tebliğ kapsamında, teknik müşavirlik firmalarının yurt dışında ofis açması, reklam, tanıtım, pazarlama faaliyetleri, fuar, seminer/konferanslara katılımı, </w:t>
            </w:r>
            <w:r>
              <w:rPr>
                <w:rFonts w:cs="Tahoma"/>
                <w:sz w:val="16"/>
                <w:szCs w:val="18"/>
                <w:lang w:eastAsia="tr-TR"/>
              </w:rPr>
              <w:t>yurtiçi</w:t>
            </w:r>
            <w:r w:rsidRPr="004B3DE4">
              <w:rPr>
                <w:rFonts w:cs="Tahoma"/>
                <w:sz w:val="16"/>
                <w:szCs w:val="18"/>
                <w:lang w:eastAsia="tr-TR"/>
              </w:rPr>
              <w:t xml:space="preserve"> ve yurt dışı eğitim faaliyetleri, pazar araştırması, sektörel araştırmalar, heyet programları, sözleşme, fizibilite ve master plan çalışmaları desteklenecektir.</w:t>
            </w:r>
          </w:p>
        </w:tc>
      </w:tr>
      <w:tr w:rsidR="00565FD5" w:rsidRPr="004B3DE4" w:rsidTr="00AB62A3">
        <w:tblPrEx>
          <w:tblLook w:val="0000"/>
        </w:tblPrEx>
        <w:trPr>
          <w:trHeight w:val="350"/>
          <w:jc w:val="center"/>
        </w:trPr>
        <w:tc>
          <w:tcPr>
            <w:tcW w:w="5000" w:type="pct"/>
            <w:gridSpan w:val="6"/>
          </w:tcPr>
          <w:p w:rsidR="00565FD5" w:rsidRPr="004B3DE4" w:rsidRDefault="00565FD5" w:rsidP="00EB1E69">
            <w:pPr>
              <w:numPr>
                <w:ilvl w:val="0"/>
                <w:numId w:val="15"/>
              </w:numPr>
              <w:tabs>
                <w:tab w:val="left" w:pos="0"/>
              </w:tabs>
              <w:spacing w:before="120" w:after="120" w:line="240" w:lineRule="auto"/>
              <w:jc w:val="both"/>
              <w:rPr>
                <w:rFonts w:cs="Tahoma"/>
                <w:b/>
                <w:bCs/>
                <w:noProof/>
                <w:sz w:val="16"/>
                <w:szCs w:val="18"/>
              </w:rPr>
            </w:pPr>
            <w:r w:rsidRPr="004B3DE4">
              <w:rPr>
                <w:rFonts w:cs="Tahoma"/>
                <w:b/>
                <w:bCs/>
                <w:noProof/>
                <w:sz w:val="16"/>
                <w:szCs w:val="18"/>
              </w:rPr>
              <w:t>Yapı malzemesi üretiminde kalite temin edilecek, yurt dışı müteahhitlik hizmetlerinin yapı malzemesi ve makine-ekipman ihraç potansiyeli yükseltilecektir.</w:t>
            </w:r>
            <w:r w:rsidRPr="004B3DE4">
              <w:rPr>
                <w:rFonts w:cs="Tahoma"/>
                <w:bCs/>
                <w:noProof/>
                <w:sz w:val="16"/>
                <w:szCs w:val="18"/>
              </w:rPr>
              <w:t xml:space="preserve">  </w:t>
            </w:r>
          </w:p>
        </w:tc>
      </w:tr>
      <w:tr w:rsidR="00565FD5" w:rsidRPr="004B3DE4" w:rsidTr="00AB62A3">
        <w:tblPrEx>
          <w:tblLook w:val="0000"/>
        </w:tblPrEx>
        <w:trPr>
          <w:trHeight w:val="350"/>
          <w:jc w:val="center"/>
        </w:trPr>
        <w:tc>
          <w:tcPr>
            <w:tcW w:w="1087" w:type="pct"/>
          </w:tcPr>
          <w:p w:rsidR="00565FD5" w:rsidRPr="004B3DE4" w:rsidRDefault="00565FD5" w:rsidP="00EB1E69">
            <w:pPr>
              <w:numPr>
                <w:ilvl w:val="0"/>
                <w:numId w:val="14"/>
              </w:numPr>
              <w:spacing w:before="120" w:after="120" w:line="240" w:lineRule="auto"/>
              <w:ind w:left="0"/>
              <w:rPr>
                <w:rFonts w:cs="Tahoma"/>
                <w:sz w:val="16"/>
                <w:szCs w:val="18"/>
                <w:lang w:eastAsia="tr-TR"/>
              </w:rPr>
            </w:pPr>
            <w:r w:rsidRPr="004B3DE4">
              <w:rPr>
                <w:rFonts w:cs="Tahoma"/>
                <w:sz w:val="16"/>
                <w:szCs w:val="18"/>
                <w:lang w:eastAsia="tr-TR"/>
              </w:rPr>
              <w:t>Yapılar</w:t>
            </w:r>
            <w:r>
              <w:rPr>
                <w:rFonts w:cs="Tahoma"/>
                <w:sz w:val="16"/>
                <w:szCs w:val="18"/>
                <w:lang w:eastAsia="tr-TR"/>
              </w:rPr>
              <w:t>-</w:t>
            </w:r>
            <w:r w:rsidRPr="004B3DE4">
              <w:rPr>
                <w:rFonts w:cs="Tahoma"/>
                <w:sz w:val="16"/>
                <w:szCs w:val="18"/>
                <w:lang w:eastAsia="tr-TR"/>
              </w:rPr>
              <w:t xml:space="preserve">da kullanılan malzemelerin kalite denetimleri etkinleştirilecektir. </w:t>
            </w:r>
          </w:p>
          <w:p w:rsidR="00565FD5" w:rsidRPr="004B3DE4" w:rsidRDefault="00565FD5" w:rsidP="00AB62A3">
            <w:pPr>
              <w:spacing w:before="120" w:after="120"/>
              <w:ind w:firstLine="425"/>
              <w:rPr>
                <w:rFonts w:cs="Tahoma"/>
                <w:sz w:val="16"/>
                <w:szCs w:val="18"/>
                <w:lang w:eastAsia="tr-TR"/>
              </w:rPr>
            </w:pPr>
          </w:p>
        </w:tc>
        <w:tc>
          <w:tcPr>
            <w:tcW w:w="1339" w:type="pct"/>
            <w:gridSpan w:val="2"/>
          </w:tcPr>
          <w:p w:rsidR="00565FD5" w:rsidRPr="004B3DE4" w:rsidRDefault="00565FD5" w:rsidP="00AB62A3">
            <w:pPr>
              <w:spacing w:before="120" w:after="120"/>
              <w:rPr>
                <w:rFonts w:cs="Tahoma"/>
                <w:sz w:val="16"/>
                <w:szCs w:val="18"/>
                <w:lang w:eastAsia="tr-TR"/>
              </w:rPr>
            </w:pPr>
            <w:r w:rsidRPr="004B3DE4">
              <w:rPr>
                <w:rFonts w:cs="Tahoma"/>
                <w:sz w:val="16"/>
                <w:szCs w:val="18"/>
                <w:lang w:eastAsia="tr-TR"/>
              </w:rPr>
              <w:t>Çevre ve Şehircilik Bakanlığı (S), Ekonomi Bakanlığı, TSE, Üniversiteler,  Türkiye Müteahhitler Birliği,  Türkiye İnşaat Sanayicileri İşveren Sendikası, Türk Mühendis ve Mimar Odaları Birliği, Türk Müşavir Mühendisler ve Mimarlar Birliği</w:t>
            </w:r>
          </w:p>
        </w:tc>
        <w:tc>
          <w:tcPr>
            <w:tcW w:w="572" w:type="pct"/>
            <w:gridSpan w:val="2"/>
          </w:tcPr>
          <w:p w:rsidR="00565FD5" w:rsidRPr="004B3DE4" w:rsidRDefault="00565FD5" w:rsidP="00AB62A3">
            <w:pPr>
              <w:spacing w:before="120" w:after="120"/>
              <w:rPr>
                <w:rFonts w:eastAsia="Arial Unicode MS" w:cs="Tahoma"/>
                <w:sz w:val="16"/>
                <w:szCs w:val="18"/>
                <w:lang w:eastAsia="tr-TR"/>
              </w:rPr>
            </w:pPr>
            <w:r w:rsidRPr="004B3DE4">
              <w:rPr>
                <w:rFonts w:eastAsia="Arial Unicode MS" w:cs="Tahoma"/>
                <w:sz w:val="16"/>
                <w:szCs w:val="18"/>
                <w:lang w:eastAsia="tr-TR"/>
              </w:rPr>
              <w:t>Aralık Sonu</w:t>
            </w:r>
          </w:p>
          <w:p w:rsidR="00565FD5" w:rsidRPr="004B3DE4" w:rsidRDefault="00565FD5" w:rsidP="00AB62A3">
            <w:pPr>
              <w:spacing w:before="120" w:after="120"/>
              <w:ind w:firstLine="425"/>
              <w:rPr>
                <w:rFonts w:cs="Tahoma"/>
                <w:sz w:val="16"/>
                <w:szCs w:val="18"/>
                <w:lang w:eastAsia="tr-TR"/>
              </w:rPr>
            </w:pPr>
          </w:p>
        </w:tc>
        <w:tc>
          <w:tcPr>
            <w:tcW w:w="2003" w:type="pct"/>
          </w:tcPr>
          <w:p w:rsidR="00565FD5" w:rsidRPr="004B3DE4" w:rsidRDefault="00565FD5" w:rsidP="00AB62A3">
            <w:pPr>
              <w:spacing w:before="120" w:after="120"/>
              <w:rPr>
                <w:rFonts w:cs="Tahoma"/>
                <w:sz w:val="16"/>
                <w:szCs w:val="18"/>
                <w:lang w:eastAsia="tr-TR"/>
              </w:rPr>
            </w:pPr>
            <w:r w:rsidRPr="004B3DE4">
              <w:rPr>
                <w:rFonts w:cs="Tahoma"/>
                <w:sz w:val="16"/>
                <w:szCs w:val="18"/>
                <w:lang w:eastAsia="tr-TR"/>
              </w:rPr>
              <w:t>Piyasaya kaliteli ve güvenli yapı malzemesi arzının temini doğrultusunda piyasa gözetim ve denetim sistemleri ile laboratuvar hizmetleri güçlendirilerek denetim faaliyetleri etkinleştirilecektir.</w:t>
            </w:r>
          </w:p>
        </w:tc>
      </w:tr>
      <w:tr w:rsidR="00565FD5" w:rsidRPr="004B3DE4" w:rsidTr="00AB62A3">
        <w:tblPrEx>
          <w:tblLook w:val="0000"/>
        </w:tblPrEx>
        <w:trPr>
          <w:trHeight w:val="350"/>
          <w:jc w:val="center"/>
        </w:trPr>
        <w:tc>
          <w:tcPr>
            <w:tcW w:w="1087" w:type="pct"/>
          </w:tcPr>
          <w:p w:rsidR="00565FD5" w:rsidRPr="004B3DE4" w:rsidRDefault="00565FD5" w:rsidP="00EB1E69">
            <w:pPr>
              <w:numPr>
                <w:ilvl w:val="0"/>
                <w:numId w:val="14"/>
              </w:numPr>
              <w:spacing w:before="120" w:after="120" w:line="240" w:lineRule="auto"/>
              <w:ind w:left="0"/>
              <w:rPr>
                <w:rFonts w:cs="Tahoma"/>
                <w:sz w:val="16"/>
                <w:szCs w:val="18"/>
                <w:lang w:eastAsia="tr-TR"/>
              </w:rPr>
            </w:pPr>
            <w:r w:rsidRPr="004B3DE4">
              <w:rPr>
                <w:rFonts w:cs="Tahoma"/>
                <w:sz w:val="16"/>
                <w:szCs w:val="18"/>
                <w:lang w:eastAsia="tr-TR"/>
              </w:rPr>
              <w:t>Yapı malzemesi ihracını artırıcı faaliyetler ve yurt dışında üstlenilen müteahhitlik ihaleleriyle teknik müşavirlik faaliyetlerinde Türk malı makine-ekipman kullanımı desteklenecektir.</w:t>
            </w:r>
          </w:p>
        </w:tc>
        <w:tc>
          <w:tcPr>
            <w:tcW w:w="1339" w:type="pct"/>
            <w:gridSpan w:val="2"/>
          </w:tcPr>
          <w:p w:rsidR="00565FD5" w:rsidRPr="004B3DE4" w:rsidRDefault="00565FD5" w:rsidP="00AB62A3">
            <w:pPr>
              <w:spacing w:before="120" w:after="120"/>
              <w:rPr>
                <w:rFonts w:cs="Tahoma"/>
                <w:sz w:val="16"/>
                <w:szCs w:val="18"/>
                <w:lang w:eastAsia="tr-TR"/>
              </w:rPr>
            </w:pPr>
            <w:r w:rsidRPr="004B3DE4">
              <w:rPr>
                <w:rFonts w:cs="Tahoma"/>
                <w:sz w:val="16"/>
                <w:szCs w:val="18"/>
                <w:lang w:eastAsia="tr-TR"/>
              </w:rPr>
              <w:t xml:space="preserve">Ekonomi Bakanlığı (S), Çevre ve Şehircilik Bakanlığı, Türkiye Müteahhitler Birliği, Türkiye İnşaat Sanayicileri İşveren Sendikası, Türk Müşavir Mühendisler ve Mimarlar Birliği, Türkiye Odalar ve Borsalar Birliği </w:t>
            </w:r>
          </w:p>
        </w:tc>
        <w:tc>
          <w:tcPr>
            <w:tcW w:w="572" w:type="pct"/>
            <w:gridSpan w:val="2"/>
          </w:tcPr>
          <w:p w:rsidR="00565FD5" w:rsidRPr="004B3DE4" w:rsidRDefault="00565FD5" w:rsidP="00AB62A3">
            <w:pPr>
              <w:spacing w:before="120" w:after="120"/>
              <w:rPr>
                <w:rFonts w:cs="Tahoma"/>
                <w:sz w:val="16"/>
                <w:szCs w:val="18"/>
                <w:lang w:eastAsia="tr-TR"/>
              </w:rPr>
            </w:pPr>
            <w:r w:rsidRPr="004B3DE4">
              <w:rPr>
                <w:rFonts w:cs="Tahoma"/>
                <w:sz w:val="16"/>
                <w:szCs w:val="18"/>
                <w:lang w:eastAsia="tr-TR"/>
              </w:rPr>
              <w:t>Aralık Sonu</w:t>
            </w:r>
          </w:p>
        </w:tc>
        <w:tc>
          <w:tcPr>
            <w:tcW w:w="2003" w:type="pct"/>
          </w:tcPr>
          <w:p w:rsidR="00565FD5" w:rsidRPr="004B3DE4" w:rsidRDefault="00565FD5" w:rsidP="00AB62A3">
            <w:pPr>
              <w:spacing w:before="120" w:after="120"/>
              <w:rPr>
                <w:rFonts w:cs="Tahoma"/>
                <w:sz w:val="16"/>
                <w:szCs w:val="18"/>
                <w:lang w:eastAsia="tr-TR"/>
              </w:rPr>
            </w:pPr>
            <w:r w:rsidRPr="004B3DE4">
              <w:rPr>
                <w:rFonts w:cs="Tahoma"/>
                <w:sz w:val="16"/>
                <w:szCs w:val="18"/>
                <w:lang w:eastAsia="tr-TR"/>
              </w:rPr>
              <w:t xml:space="preserve">Yapı malzemesi ihracının artırılması doğrultusunda yürütülen yurt dışı fuar, pazar araştırması, birim, marka ve tanıtım faaliyetleri desteklenecektir. Ayrıca, yurt dışı müteahhitlik ve teknik müşavirlik hizmetleri kapsamında yapılacak ihracat işlemlerine ilişkin süreçler etkinleştirilecek, yurt dışında üstlenilen inşaat taahhütlerinde ve teknik müşavirlik hizmetlerinde Türk malı makine-ekipman kullanımının teşvik edilmesine devam edilecektir. </w:t>
            </w:r>
          </w:p>
        </w:tc>
      </w:tr>
    </w:tbl>
    <w:p w:rsidR="00565FD5" w:rsidRPr="008B744B" w:rsidRDefault="00565FD5" w:rsidP="00565FD5">
      <w:pPr>
        <w:spacing w:before="120" w:after="120"/>
        <w:ind w:firstLine="425"/>
        <w:rPr>
          <w:rFonts w:cs="Tahoma"/>
          <w:szCs w:val="18"/>
          <w:lang w:eastAsia="tr-TR"/>
        </w:rPr>
      </w:pPr>
      <w:bookmarkStart w:id="2096" w:name="_Toc307602025"/>
      <w:bookmarkStart w:id="2097" w:name="_Toc307670474"/>
      <w:bookmarkStart w:id="2098" w:name="_Toc307701700"/>
      <w:bookmarkStart w:id="2099" w:name="_Toc338505603"/>
    </w:p>
    <w:p w:rsidR="00565FD5" w:rsidRPr="004B3DE4" w:rsidRDefault="00565FD5" w:rsidP="00565FD5">
      <w:pPr>
        <w:pStyle w:val="Balk4"/>
        <w:rPr>
          <w:lang w:eastAsia="tr-TR"/>
        </w:rPr>
      </w:pPr>
      <w:bookmarkStart w:id="2100" w:name="_Toc338523834"/>
      <w:bookmarkStart w:id="2101" w:name="_Toc338524065"/>
      <w:bookmarkStart w:id="2102" w:name="_Toc338526291"/>
      <w:bookmarkStart w:id="2103" w:name="_Toc338673734"/>
      <w:bookmarkStart w:id="2104" w:name="_Toc338711613"/>
      <w:r w:rsidRPr="004B3DE4">
        <w:rPr>
          <w:lang w:eastAsia="tr-TR"/>
        </w:rPr>
        <w:lastRenderedPageBreak/>
        <w:t>TİCARET HİZMETLERİ</w:t>
      </w:r>
      <w:bookmarkEnd w:id="2096"/>
      <w:bookmarkEnd w:id="2097"/>
      <w:bookmarkEnd w:id="2098"/>
      <w:bookmarkEnd w:id="2099"/>
      <w:bookmarkEnd w:id="2100"/>
      <w:bookmarkEnd w:id="2101"/>
      <w:bookmarkEnd w:id="2102"/>
      <w:bookmarkEnd w:id="2103"/>
      <w:bookmarkEnd w:id="2104"/>
    </w:p>
    <w:p w:rsidR="00565FD5" w:rsidRPr="004B3DE4" w:rsidRDefault="00565FD5" w:rsidP="00565FD5">
      <w:pPr>
        <w:pStyle w:val="Balk4"/>
        <w:rPr>
          <w:lang w:eastAsia="tr-TR"/>
        </w:rPr>
      </w:pPr>
      <w:bookmarkStart w:id="2105" w:name="_Toc307602026"/>
      <w:bookmarkStart w:id="2106" w:name="_Toc307670475"/>
      <w:bookmarkStart w:id="2107" w:name="_Toc307701701"/>
      <w:bookmarkStart w:id="2108" w:name="_Toc338505604"/>
      <w:bookmarkStart w:id="2109" w:name="_Toc338523835"/>
      <w:bookmarkStart w:id="2110" w:name="_Toc338524066"/>
      <w:bookmarkStart w:id="2111" w:name="_Toc338526292"/>
      <w:bookmarkStart w:id="2112" w:name="_Toc338673735"/>
      <w:bookmarkStart w:id="2113" w:name="_Toc338711614"/>
      <w:r w:rsidRPr="004B3DE4">
        <w:rPr>
          <w:lang w:eastAsia="tr-TR"/>
        </w:rPr>
        <w:t>1. Mevcut Durum</w:t>
      </w:r>
      <w:bookmarkEnd w:id="2105"/>
      <w:bookmarkEnd w:id="2106"/>
      <w:bookmarkEnd w:id="2107"/>
      <w:bookmarkEnd w:id="2108"/>
      <w:bookmarkEnd w:id="2109"/>
      <w:bookmarkEnd w:id="2110"/>
      <w:bookmarkEnd w:id="2111"/>
      <w:bookmarkEnd w:id="2112"/>
      <w:bookmarkEnd w:id="2113"/>
    </w:p>
    <w:p w:rsidR="00565FD5" w:rsidRPr="004B3DE4" w:rsidRDefault="00565FD5" w:rsidP="00565FD5">
      <w:pPr>
        <w:spacing w:before="120" w:after="180"/>
        <w:ind w:firstLine="425"/>
        <w:rPr>
          <w:rFonts w:cs="Tahoma"/>
          <w:szCs w:val="18"/>
          <w:lang w:eastAsia="tr-TR"/>
        </w:rPr>
      </w:pPr>
      <w:r w:rsidRPr="004B3DE4">
        <w:rPr>
          <w:rFonts w:cs="Tahoma"/>
          <w:szCs w:val="18"/>
          <w:lang w:eastAsia="tr-TR"/>
        </w:rPr>
        <w:t>Ticaret hizmetleri sektörü yapısı itibarıyla bağlantılı olduğu diğer sektörlerdeki gelişmelerden ve piyasalardaki dalgalanmalardan öncelikle ve büyük ölçüde etkilenmektedir. 2011 yılında GSYH yüzde 8,5, hizmetler yüzde 8,9, toptan ve perakende ticaret sektörü ise yüzde 11,1 oranında büyümüştür. 2012 yılının ilk altı aylık döneminde bir önceki yılın aynı dönemine göre GSYH yüzde 3,1 oranında büyürken, toptan ve perakende ticaret yüzde 0,9 oranında büyümüştür.</w:t>
      </w:r>
    </w:p>
    <w:p w:rsidR="00565FD5" w:rsidRPr="004B3DE4" w:rsidRDefault="00565FD5" w:rsidP="00565FD5">
      <w:pPr>
        <w:spacing w:before="120" w:after="180"/>
        <w:ind w:firstLine="425"/>
        <w:rPr>
          <w:rFonts w:cs="Tahoma"/>
          <w:szCs w:val="18"/>
          <w:lang w:eastAsia="tr-TR"/>
        </w:rPr>
      </w:pPr>
      <w:r w:rsidRPr="004B3DE4">
        <w:rPr>
          <w:rFonts w:cs="Tahoma"/>
          <w:szCs w:val="18"/>
          <w:lang w:eastAsia="tr-TR"/>
        </w:rPr>
        <w:t>2011 yılı itibarıyla toptan ve perakende ticaretin GSYH içindeki payı yüzde 12’dir. Ekonominin ve nüfusun dinamik yapısına, iç pazardaki potansiyele, ticareti destekleyen fuar alanları, kongre merkezleri, kültür, turizm ve konaklama yatırımlarına bağlı olarak önümüzdeki yıllarda sektörün milli gelir içindeki payının artması beklenmektedir. Yurt dışında açılan alışveriş merkezleri ve mağazalarda yerli markaların yurt dışına taşınmasıyla birlikte, sektörün uluslararası piyasalarda da gelişmesi beklenmektedir.</w:t>
      </w:r>
    </w:p>
    <w:p w:rsidR="00565FD5" w:rsidRPr="004B3DE4" w:rsidRDefault="00565FD5" w:rsidP="00565FD5">
      <w:pPr>
        <w:spacing w:before="120" w:after="180"/>
        <w:ind w:firstLine="425"/>
        <w:rPr>
          <w:rFonts w:cs="Tahoma"/>
          <w:szCs w:val="18"/>
          <w:lang w:eastAsia="tr-TR"/>
        </w:rPr>
      </w:pPr>
      <w:r w:rsidRPr="004B3DE4">
        <w:rPr>
          <w:rFonts w:cs="Tahoma"/>
          <w:szCs w:val="18"/>
          <w:lang w:eastAsia="tr-TR"/>
        </w:rPr>
        <w:t>Sektördeki rekabet ve verimlilik baskısı, teknoloji kullanımıyla modern tedarik zinciri yönetimi ve kombine taşımacılık sistemlerinin önemini artırmaktadır. Ayrıca, ticaret potansiyelinin kullanılabilmesi için fiziki altyapının iyileştirilmesi önem arz etmektedir.</w:t>
      </w:r>
    </w:p>
    <w:p w:rsidR="00565FD5" w:rsidRPr="004B3DE4" w:rsidRDefault="00565FD5" w:rsidP="00565FD5">
      <w:pPr>
        <w:spacing w:before="120" w:after="180"/>
        <w:ind w:firstLine="425"/>
        <w:rPr>
          <w:rFonts w:cs="Tahoma"/>
          <w:szCs w:val="18"/>
          <w:lang w:eastAsia="tr-TR"/>
        </w:rPr>
      </w:pPr>
      <w:r w:rsidRPr="004B3DE4">
        <w:rPr>
          <w:rFonts w:cs="Tahoma"/>
          <w:szCs w:val="18"/>
          <w:lang w:eastAsia="tr-TR"/>
        </w:rPr>
        <w:t>Bilgisayar kullanımının ve online işlemlere güvenin giderek artmasıyla birlikte son yıllarda elektronik ticaret hacminde artış görülmektedir. Elektronik ticaretin yaygınlaşması ticaret hizmetlerinin gelişmesinde ilave bir katkı sağlayacaktır.</w:t>
      </w:r>
    </w:p>
    <w:p w:rsidR="00565FD5" w:rsidRPr="004B3DE4" w:rsidRDefault="00565FD5" w:rsidP="00565FD5">
      <w:pPr>
        <w:spacing w:before="120" w:after="120"/>
        <w:ind w:firstLine="425"/>
        <w:rPr>
          <w:rFonts w:cs="Tahoma"/>
          <w:szCs w:val="18"/>
          <w:lang w:eastAsia="tr-TR"/>
        </w:rPr>
      </w:pPr>
      <w:r w:rsidRPr="004B3DE4">
        <w:rPr>
          <w:rFonts w:cs="Tahoma"/>
          <w:szCs w:val="18"/>
          <w:lang w:eastAsia="tr-TR"/>
        </w:rPr>
        <w:t xml:space="preserve">2011 yılında Türk Ticaret Kanunu ve Türk Borçlar Kanunu büyük ölçüde yenilenmiştir. 2012 yılında ise Türk Ticaret Kanununun, ticari hayatı olumsuz yönde etkileyeceği, uygulanmasında sorunlar yaşanabileceği öngörülen bazı hükümleri değiştirilmiştir. Bu kapsamda başlıca, suç ve cezalarda orantı sağlamaya yönelik düzenlemelere gidilmiş, muğlak görünen ibareler netleştirilmiş, işletmeye ve muhasebeye yönelik işlemler sadeleştirilmiş, işlem maliyetleri nispeten azaltılmaya çalışılmıştır.  Şirket ortak ve yöneticilerinin acil kaynak ihtiyaçlarını karşılamalarını teminen,  makul bir vadede şirketi zarara </w:t>
      </w:r>
      <w:r w:rsidRPr="004B3DE4">
        <w:rPr>
          <w:rFonts w:cs="Tahoma"/>
          <w:szCs w:val="18"/>
          <w:lang w:eastAsia="tr-TR"/>
        </w:rPr>
        <w:lastRenderedPageBreak/>
        <w:t>uğratmadan, şirket varlıklarından borçlanabilmeleri imkanı getirilmiştir.  Kanunun denetimle ilgili hükümlerinde ve buna bağlı olarak diğer maddelerinde değişikliklere gidilmiş, denetime tabi olacak şirketlerin kapsamının Bakanlar Kurulunca belirleneceği hükmü getirilmiştir. İnternet sitesi oluşturulmasıyla ilgili maddeler yeniden düzenlenmiş ve bu hükümlerin denetime tabi olmayan sermaye şirketlerine uygulanmayacağı hükmü getirilmiştir. Temel kanunlarla ilgili ikincil düzenleme çalışmaları sürdürülmektedir.</w:t>
      </w:r>
    </w:p>
    <w:p w:rsidR="00565FD5" w:rsidRPr="004B3DE4" w:rsidRDefault="00565FD5" w:rsidP="00565FD5">
      <w:pPr>
        <w:pStyle w:val="Balk4"/>
        <w:rPr>
          <w:lang w:eastAsia="tr-TR"/>
        </w:rPr>
      </w:pPr>
      <w:bookmarkStart w:id="2114" w:name="_Toc307602027"/>
      <w:bookmarkStart w:id="2115" w:name="_Toc307670476"/>
      <w:bookmarkStart w:id="2116" w:name="_Toc307701702"/>
      <w:bookmarkStart w:id="2117" w:name="_Toc338505605"/>
      <w:bookmarkStart w:id="2118" w:name="_Toc338523836"/>
      <w:bookmarkStart w:id="2119" w:name="_Toc338524067"/>
      <w:bookmarkStart w:id="2120" w:name="_Toc338526293"/>
      <w:bookmarkStart w:id="2121" w:name="_Toc338673736"/>
      <w:bookmarkStart w:id="2122" w:name="_Toc338711615"/>
      <w:r w:rsidRPr="004B3DE4">
        <w:rPr>
          <w:lang w:eastAsia="tr-TR"/>
        </w:rPr>
        <w:t>2. Temel Amaç ve Hedefler</w:t>
      </w:r>
      <w:bookmarkEnd w:id="2114"/>
      <w:bookmarkEnd w:id="2115"/>
      <w:bookmarkEnd w:id="2116"/>
      <w:bookmarkEnd w:id="2117"/>
      <w:bookmarkEnd w:id="2118"/>
      <w:bookmarkEnd w:id="2119"/>
      <w:bookmarkEnd w:id="2120"/>
      <w:bookmarkEnd w:id="2121"/>
      <w:bookmarkEnd w:id="2122"/>
    </w:p>
    <w:p w:rsidR="00565FD5" w:rsidRPr="004B3DE4" w:rsidRDefault="00565FD5" w:rsidP="00565FD5">
      <w:pPr>
        <w:spacing w:before="120" w:after="120"/>
        <w:ind w:firstLine="425"/>
        <w:rPr>
          <w:rFonts w:cs="Tahoma"/>
          <w:szCs w:val="18"/>
          <w:lang w:eastAsia="tr-TR"/>
        </w:rPr>
      </w:pPr>
      <w:r w:rsidRPr="004B3DE4">
        <w:rPr>
          <w:rFonts w:cs="Tahoma"/>
          <w:szCs w:val="18"/>
          <w:lang w:eastAsia="tr-TR"/>
        </w:rPr>
        <w:t xml:space="preserve">Ticaret faaliyetlerinde yüksek katma değerli hizmet üretiminin ve verimlilik artışının sağlanması, iş hacminin artırılması, teknoloji kullanımı ve yeniliğin özendirilmesi temel amaçtır. </w:t>
      </w:r>
    </w:p>
    <w:p w:rsidR="00565FD5" w:rsidRPr="004B3DE4" w:rsidRDefault="00565FD5" w:rsidP="00565FD5">
      <w:pPr>
        <w:spacing w:before="120" w:after="120"/>
        <w:ind w:firstLine="425"/>
        <w:rPr>
          <w:rFonts w:cs="Tahoma"/>
          <w:szCs w:val="18"/>
          <w:lang w:eastAsia="tr-TR"/>
        </w:rPr>
      </w:pPr>
      <w:r w:rsidRPr="004B3DE4">
        <w:rPr>
          <w:rFonts w:cs="Tahoma"/>
          <w:szCs w:val="18"/>
          <w:lang w:eastAsia="tr-TR"/>
        </w:rPr>
        <w:t xml:space="preserve">Ticaret hizmetlerinde kurumsal yapılanmalar ve mevzuat düzenlemeleriyle piyasa işleyişindeki aksaklıkların giderilmesi ve iş hacminin büyütülmesi hedeflenmektedir. Yapılacak düzenlemelerde, sektörün bağlantılı diğer sektörler ve tüketiciler üzerindeki etkilerinin çok yönlü olarak analiz edilmesi önem arz etmektedir.  Elektronik ortamda yapılan alışverişlerde tüketici güveninin artırılmasına ve elektronik ticaretin yaygınlaştırılmasına yönelik düzenlemelere gidilecektir. </w:t>
      </w:r>
    </w:p>
    <w:p w:rsidR="00565FD5" w:rsidRPr="004B3DE4" w:rsidRDefault="00565FD5" w:rsidP="00565FD5">
      <w:pPr>
        <w:pStyle w:val="Balk4"/>
        <w:rPr>
          <w:lang w:eastAsia="tr-TR"/>
        </w:rPr>
      </w:pPr>
      <w:bookmarkStart w:id="2123" w:name="_Toc307602028"/>
      <w:bookmarkStart w:id="2124" w:name="_Toc307670477"/>
      <w:bookmarkStart w:id="2125" w:name="_Toc307701703"/>
      <w:bookmarkStart w:id="2126" w:name="_Toc338505606"/>
      <w:bookmarkStart w:id="2127" w:name="_Toc338523837"/>
      <w:bookmarkStart w:id="2128" w:name="_Toc338524068"/>
      <w:bookmarkStart w:id="2129" w:name="_Toc338526294"/>
      <w:bookmarkStart w:id="2130" w:name="_Toc338673737"/>
      <w:bookmarkStart w:id="2131" w:name="_Toc338711616"/>
      <w:r w:rsidRPr="004B3DE4">
        <w:rPr>
          <w:lang w:eastAsia="tr-TR"/>
        </w:rPr>
        <w:t>3. Politika Öncelikleri ve Tedbirler</w:t>
      </w:r>
      <w:bookmarkEnd w:id="2123"/>
      <w:bookmarkEnd w:id="2124"/>
      <w:bookmarkEnd w:id="2125"/>
      <w:bookmarkEnd w:id="2126"/>
      <w:bookmarkEnd w:id="2127"/>
      <w:bookmarkEnd w:id="2128"/>
      <w:bookmarkEnd w:id="2129"/>
      <w:bookmarkEnd w:id="2130"/>
      <w:bookmarkEnd w:id="2131"/>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3"/>
        <w:gridCol w:w="1909"/>
        <w:gridCol w:w="859"/>
        <w:gridCol w:w="2533"/>
      </w:tblGrid>
      <w:tr w:rsidR="00565FD5" w:rsidRPr="004B3DE4" w:rsidTr="00AB62A3">
        <w:trPr>
          <w:trHeight w:val="20"/>
          <w:jc w:val="center"/>
        </w:trPr>
        <w:tc>
          <w:tcPr>
            <w:tcW w:w="1290" w:type="pct"/>
            <w:vAlign w:val="bottom"/>
          </w:tcPr>
          <w:p w:rsidR="00565FD5" w:rsidRPr="004B3DE4" w:rsidRDefault="00565FD5" w:rsidP="00AB62A3">
            <w:pPr>
              <w:rPr>
                <w:rFonts w:cs="Tahoma"/>
                <w:sz w:val="16"/>
                <w:szCs w:val="16"/>
                <w:lang w:eastAsia="tr-TR"/>
              </w:rPr>
            </w:pPr>
            <w:r>
              <w:rPr>
                <w:rFonts w:cs="Tahoma"/>
                <w:b/>
                <w:bCs/>
                <w:sz w:val="16"/>
                <w:szCs w:val="16"/>
                <w:lang w:eastAsia="tr-TR"/>
              </w:rPr>
              <w:t>Öncelik/Tedbir</w:t>
            </w:r>
          </w:p>
        </w:tc>
        <w:tc>
          <w:tcPr>
            <w:tcW w:w="1336" w:type="pct"/>
            <w:vAlign w:val="bottom"/>
          </w:tcPr>
          <w:p w:rsidR="00565FD5" w:rsidRPr="004B3DE4" w:rsidRDefault="00565FD5" w:rsidP="00AB62A3">
            <w:pPr>
              <w:tabs>
                <w:tab w:val="left" w:pos="567"/>
              </w:tabs>
              <w:suppressAutoHyphens/>
              <w:snapToGrid w:val="0"/>
              <w:rPr>
                <w:rFonts w:cs="Tahoma"/>
                <w:b/>
                <w:bCs/>
                <w:sz w:val="16"/>
                <w:szCs w:val="16"/>
                <w:lang w:eastAsia="ar-SA"/>
              </w:rPr>
            </w:pPr>
            <w:r w:rsidRPr="004B3DE4">
              <w:rPr>
                <w:rFonts w:cs="Tahoma"/>
                <w:b/>
                <w:bCs/>
                <w:sz w:val="16"/>
                <w:szCs w:val="16"/>
                <w:lang w:eastAsia="ar-SA"/>
              </w:rPr>
              <w:t>Sorumlu/İşbirliği Yapılacak Kuruluşlar</w:t>
            </w:r>
          </w:p>
        </w:tc>
        <w:tc>
          <w:tcPr>
            <w:tcW w:w="601" w:type="pct"/>
            <w:vAlign w:val="bottom"/>
          </w:tcPr>
          <w:p w:rsidR="00565FD5" w:rsidRPr="004B3DE4" w:rsidRDefault="00565FD5" w:rsidP="00AB62A3">
            <w:pPr>
              <w:tabs>
                <w:tab w:val="left" w:pos="567"/>
              </w:tabs>
              <w:suppressAutoHyphens/>
              <w:snapToGrid w:val="0"/>
              <w:rPr>
                <w:rFonts w:cs="Tahoma"/>
                <w:b/>
                <w:bCs/>
                <w:sz w:val="16"/>
                <w:szCs w:val="16"/>
                <w:lang w:eastAsia="ar-SA"/>
              </w:rPr>
            </w:pPr>
            <w:r w:rsidRPr="004B3DE4">
              <w:rPr>
                <w:rFonts w:cs="Tahoma"/>
                <w:b/>
                <w:bCs/>
                <w:sz w:val="16"/>
                <w:szCs w:val="16"/>
                <w:lang w:eastAsia="ar-SA"/>
              </w:rPr>
              <w:t>Süre</w:t>
            </w:r>
          </w:p>
        </w:tc>
        <w:tc>
          <w:tcPr>
            <w:tcW w:w="1774" w:type="pct"/>
            <w:vAlign w:val="bottom"/>
          </w:tcPr>
          <w:p w:rsidR="00565FD5" w:rsidRPr="004B3DE4" w:rsidRDefault="00565FD5" w:rsidP="00AB62A3">
            <w:pPr>
              <w:tabs>
                <w:tab w:val="left" w:pos="567"/>
              </w:tabs>
              <w:suppressAutoHyphens/>
              <w:snapToGrid w:val="0"/>
              <w:rPr>
                <w:rFonts w:cs="Tahoma"/>
                <w:b/>
                <w:bCs/>
                <w:sz w:val="16"/>
                <w:szCs w:val="16"/>
                <w:lang w:eastAsia="ar-SA"/>
              </w:rPr>
            </w:pPr>
            <w:r w:rsidRPr="004B3DE4">
              <w:rPr>
                <w:rFonts w:cs="Tahoma"/>
                <w:b/>
                <w:bCs/>
                <w:sz w:val="16"/>
                <w:szCs w:val="16"/>
                <w:lang w:eastAsia="ar-SA"/>
              </w:rPr>
              <w:t>Yapılacak İşlem ve Açıklama</w:t>
            </w:r>
          </w:p>
        </w:tc>
      </w:tr>
      <w:tr w:rsidR="00565FD5" w:rsidRPr="004B3DE4" w:rsidTr="00AB62A3">
        <w:trPr>
          <w:trHeight w:val="20"/>
          <w:jc w:val="center"/>
        </w:trPr>
        <w:tc>
          <w:tcPr>
            <w:tcW w:w="5000" w:type="pct"/>
            <w:gridSpan w:val="4"/>
          </w:tcPr>
          <w:p w:rsidR="00565FD5" w:rsidRPr="004B3DE4" w:rsidRDefault="00565FD5" w:rsidP="00EB1E69">
            <w:pPr>
              <w:numPr>
                <w:ilvl w:val="0"/>
                <w:numId w:val="15"/>
              </w:numPr>
              <w:tabs>
                <w:tab w:val="left" w:pos="0"/>
              </w:tabs>
              <w:snapToGrid w:val="0"/>
              <w:spacing w:before="20" w:after="20" w:line="240" w:lineRule="auto"/>
              <w:jc w:val="both"/>
              <w:rPr>
                <w:rFonts w:cs="Tahoma"/>
                <w:b/>
                <w:bCs/>
                <w:sz w:val="16"/>
                <w:szCs w:val="16"/>
                <w:lang w:eastAsia="tr-TR"/>
              </w:rPr>
            </w:pPr>
            <w:r w:rsidRPr="004B3DE4">
              <w:rPr>
                <w:rFonts w:cs="Tahoma"/>
                <w:b/>
                <w:sz w:val="16"/>
                <w:szCs w:val="16"/>
                <w:lang w:eastAsia="tr-TR"/>
              </w:rPr>
              <w:t>Toptan ve perakende ticaret hizmetleri sektöründe; rekabeti ve tüketiciyi koruyan, kayıt dışılığı önleyen, verimlilik ve kaliteyi artıran, hijyen kurallarına uyumu gözeten ve sektör içi kesimler arasında dengeli gelişmeyi sağlayan bir ortam tesis edilecektir.</w:t>
            </w:r>
          </w:p>
        </w:tc>
      </w:tr>
      <w:tr w:rsidR="00565FD5" w:rsidRPr="004B3DE4" w:rsidTr="00AB62A3">
        <w:trPr>
          <w:trHeight w:val="20"/>
          <w:jc w:val="center"/>
        </w:trPr>
        <w:tc>
          <w:tcPr>
            <w:tcW w:w="1290" w:type="pct"/>
          </w:tcPr>
          <w:p w:rsidR="00565FD5" w:rsidRPr="004B3DE4" w:rsidRDefault="00565FD5" w:rsidP="00EB1E69">
            <w:pPr>
              <w:numPr>
                <w:ilvl w:val="0"/>
                <w:numId w:val="14"/>
              </w:numPr>
              <w:tabs>
                <w:tab w:val="left" w:pos="792"/>
              </w:tabs>
              <w:snapToGrid w:val="0"/>
              <w:spacing w:before="20" w:after="20" w:line="240" w:lineRule="auto"/>
              <w:rPr>
                <w:rFonts w:cs="Tahoma"/>
                <w:sz w:val="16"/>
                <w:szCs w:val="16"/>
                <w:lang w:eastAsia="tr-TR"/>
              </w:rPr>
            </w:pPr>
            <w:r w:rsidRPr="004B3DE4">
              <w:rPr>
                <w:rFonts w:cs="Tahoma"/>
                <w:sz w:val="16"/>
                <w:szCs w:val="16"/>
                <w:lang w:eastAsia="tr-TR"/>
              </w:rPr>
              <w:t>Türk Ticaret Kanununun uygulanmasına yönelik ikincil mevzuat çıkarılacaktır.</w:t>
            </w:r>
          </w:p>
        </w:tc>
        <w:tc>
          <w:tcPr>
            <w:tcW w:w="1336" w:type="pct"/>
          </w:tcPr>
          <w:p w:rsidR="00565FD5" w:rsidRPr="004B3DE4" w:rsidRDefault="00565FD5" w:rsidP="00AB62A3">
            <w:pPr>
              <w:spacing w:before="20" w:after="20"/>
              <w:ind w:left="57" w:right="203"/>
              <w:rPr>
                <w:rFonts w:cs="Tahoma"/>
                <w:sz w:val="16"/>
                <w:szCs w:val="16"/>
                <w:lang w:eastAsia="tr-TR"/>
              </w:rPr>
            </w:pPr>
            <w:r w:rsidRPr="004B3DE4">
              <w:rPr>
                <w:rFonts w:cs="Tahoma"/>
                <w:bCs/>
                <w:sz w:val="16"/>
                <w:szCs w:val="16"/>
                <w:lang w:eastAsia="tr-TR"/>
              </w:rPr>
              <w:t>Gümrük ve Ticaret Bakanlığı (S), Adalet Bakanlığı, Maliye Bakanlığı, TOBB, Üniversiteler,</w:t>
            </w:r>
            <w:r w:rsidRPr="004B3DE4">
              <w:rPr>
                <w:rFonts w:cs="Tahoma"/>
                <w:sz w:val="16"/>
                <w:szCs w:val="16"/>
                <w:lang w:eastAsia="tr-TR"/>
              </w:rPr>
              <w:t xml:space="preserve"> TÜRMOB,TMSK, SPK, BDDK, Bankalar Birliği, </w:t>
            </w:r>
            <w:r w:rsidRPr="004B3DE4">
              <w:rPr>
                <w:rFonts w:cs="Tahoma"/>
                <w:bCs/>
                <w:sz w:val="16"/>
                <w:szCs w:val="16"/>
                <w:lang w:eastAsia="tr-TR"/>
              </w:rPr>
              <w:t>Gelir İdaresi Başkanlığı, İlgili Diğer Kamu ve Meslek Kuruluşları, STK’lar</w:t>
            </w:r>
          </w:p>
        </w:tc>
        <w:tc>
          <w:tcPr>
            <w:tcW w:w="601" w:type="pct"/>
          </w:tcPr>
          <w:p w:rsidR="00565FD5" w:rsidRPr="004B3DE4" w:rsidRDefault="00565FD5" w:rsidP="00AB62A3">
            <w:pPr>
              <w:tabs>
                <w:tab w:val="left" w:pos="567"/>
              </w:tabs>
              <w:suppressAutoHyphens/>
              <w:snapToGrid w:val="0"/>
              <w:spacing w:before="20" w:after="20"/>
              <w:ind w:right="-100"/>
              <w:rPr>
                <w:rFonts w:cs="Tahoma"/>
                <w:sz w:val="16"/>
                <w:szCs w:val="16"/>
                <w:lang w:eastAsia="ar-SA"/>
              </w:rPr>
            </w:pPr>
            <w:r w:rsidRPr="004B3DE4">
              <w:rPr>
                <w:rFonts w:cs="Tahoma"/>
                <w:bCs/>
                <w:sz w:val="16"/>
                <w:szCs w:val="16"/>
                <w:lang w:val="en-US" w:eastAsia="ar-SA"/>
              </w:rPr>
              <w:t>Aralık Sonu</w:t>
            </w:r>
            <w:r w:rsidRPr="004B3DE4">
              <w:rPr>
                <w:rFonts w:cs="Tahoma"/>
                <w:sz w:val="16"/>
                <w:szCs w:val="16"/>
                <w:lang w:eastAsia="ar-SA"/>
              </w:rPr>
              <w:t xml:space="preserve"> </w:t>
            </w:r>
          </w:p>
        </w:tc>
        <w:tc>
          <w:tcPr>
            <w:tcW w:w="1774" w:type="pct"/>
          </w:tcPr>
          <w:p w:rsidR="00565FD5" w:rsidRPr="004B3DE4" w:rsidRDefault="00565FD5" w:rsidP="00AB62A3">
            <w:pPr>
              <w:tabs>
                <w:tab w:val="left" w:pos="567"/>
              </w:tabs>
              <w:suppressAutoHyphens/>
              <w:snapToGrid w:val="0"/>
              <w:spacing w:before="20" w:after="20"/>
              <w:rPr>
                <w:rFonts w:cs="Tahoma"/>
                <w:sz w:val="16"/>
                <w:szCs w:val="16"/>
                <w:lang w:eastAsia="ar-SA"/>
              </w:rPr>
            </w:pPr>
            <w:r w:rsidRPr="004B3DE4">
              <w:rPr>
                <w:rFonts w:cs="Tahoma"/>
                <w:bCs/>
                <w:sz w:val="16"/>
                <w:szCs w:val="16"/>
                <w:lang w:eastAsia="ar-SA"/>
              </w:rPr>
              <w:t>Büyük bölümü 01/07/2012 tarihinde yürürlüğe giren 6102 sayılı Türk Ticaret Kanununun ikincil mevzuat çalışmaları tamamlanacaktır.</w:t>
            </w:r>
          </w:p>
        </w:tc>
      </w:tr>
      <w:tr w:rsidR="00565FD5" w:rsidRPr="004B3DE4" w:rsidTr="00AB62A3">
        <w:trPr>
          <w:trHeight w:val="20"/>
          <w:jc w:val="center"/>
        </w:trPr>
        <w:tc>
          <w:tcPr>
            <w:tcW w:w="1290" w:type="pct"/>
          </w:tcPr>
          <w:p w:rsidR="00565FD5" w:rsidRPr="004B3DE4" w:rsidRDefault="00565FD5" w:rsidP="00EB1E69">
            <w:pPr>
              <w:numPr>
                <w:ilvl w:val="0"/>
                <w:numId w:val="14"/>
              </w:numPr>
              <w:tabs>
                <w:tab w:val="left" w:pos="567"/>
              </w:tabs>
              <w:suppressAutoHyphens/>
              <w:snapToGrid w:val="0"/>
              <w:spacing w:before="20" w:after="20" w:line="240" w:lineRule="auto"/>
              <w:rPr>
                <w:rFonts w:cs="Tahoma"/>
                <w:sz w:val="16"/>
                <w:szCs w:val="16"/>
                <w:lang w:val="en-US" w:eastAsia="ar-SA"/>
              </w:rPr>
            </w:pPr>
            <w:r w:rsidRPr="004B3DE4">
              <w:rPr>
                <w:rFonts w:cs="Tahoma"/>
                <w:sz w:val="16"/>
                <w:szCs w:val="16"/>
                <w:lang w:val="en-US" w:eastAsia="ar-SA"/>
              </w:rPr>
              <w:t xml:space="preserve">Perakende ticaret sektörünün düzenlenmesine yönelik </w:t>
            </w:r>
            <w:r w:rsidRPr="004B3DE4">
              <w:rPr>
                <w:rFonts w:cs="Tahoma"/>
                <w:sz w:val="16"/>
                <w:szCs w:val="16"/>
                <w:lang w:val="en-US" w:eastAsia="ar-SA"/>
              </w:rPr>
              <w:lastRenderedPageBreak/>
              <w:t>mevzuat çalışmaları tamamlanacaktır.</w:t>
            </w:r>
          </w:p>
        </w:tc>
        <w:tc>
          <w:tcPr>
            <w:tcW w:w="1336" w:type="pct"/>
          </w:tcPr>
          <w:p w:rsidR="00565FD5" w:rsidRPr="004B3DE4" w:rsidRDefault="00565FD5" w:rsidP="00AB62A3">
            <w:pPr>
              <w:spacing w:before="20" w:after="20"/>
              <w:rPr>
                <w:rFonts w:cs="Tahoma"/>
                <w:sz w:val="16"/>
                <w:szCs w:val="16"/>
                <w:lang w:eastAsia="tr-TR"/>
              </w:rPr>
            </w:pPr>
            <w:r w:rsidRPr="004B3DE4">
              <w:rPr>
                <w:rFonts w:cs="Tahoma"/>
                <w:bCs/>
                <w:sz w:val="16"/>
                <w:szCs w:val="16"/>
                <w:lang w:eastAsia="tr-TR"/>
              </w:rPr>
              <w:lastRenderedPageBreak/>
              <w:t>Gümrük ve Ticaret Bakanlığı (S),</w:t>
            </w:r>
            <w:r w:rsidRPr="004B3DE4">
              <w:rPr>
                <w:rFonts w:cs="Tahoma"/>
                <w:sz w:val="16"/>
                <w:szCs w:val="16"/>
                <w:lang w:eastAsia="tr-TR"/>
              </w:rPr>
              <w:t xml:space="preserve"> İlgili Kamu </w:t>
            </w:r>
            <w:r w:rsidRPr="004B3DE4">
              <w:rPr>
                <w:rFonts w:cs="Tahoma"/>
                <w:sz w:val="16"/>
                <w:szCs w:val="16"/>
                <w:lang w:eastAsia="tr-TR"/>
              </w:rPr>
              <w:lastRenderedPageBreak/>
              <w:t>Kuruluşları, Meslek Kuruluşları,</w:t>
            </w:r>
            <w:r w:rsidRPr="004B3DE4">
              <w:rPr>
                <w:rFonts w:cs="Tahoma"/>
                <w:bCs/>
                <w:sz w:val="16"/>
                <w:szCs w:val="16"/>
                <w:lang w:eastAsia="tr-TR"/>
              </w:rPr>
              <w:t xml:space="preserve"> STK’lar</w:t>
            </w:r>
            <w:r w:rsidRPr="004B3DE4">
              <w:rPr>
                <w:rFonts w:cs="Tahoma"/>
                <w:bCs/>
                <w:color w:val="FF0000"/>
                <w:sz w:val="16"/>
                <w:szCs w:val="16"/>
                <w:lang w:eastAsia="tr-TR"/>
              </w:rPr>
              <w:t xml:space="preserve"> </w:t>
            </w:r>
          </w:p>
        </w:tc>
        <w:tc>
          <w:tcPr>
            <w:tcW w:w="601" w:type="pct"/>
          </w:tcPr>
          <w:p w:rsidR="00565FD5" w:rsidRPr="004B3DE4" w:rsidRDefault="00565FD5" w:rsidP="00AB62A3">
            <w:pPr>
              <w:tabs>
                <w:tab w:val="left" w:pos="708"/>
              </w:tabs>
              <w:spacing w:before="20" w:after="20"/>
              <w:ind w:left="57" w:right="154"/>
              <w:rPr>
                <w:rFonts w:cs="Tahoma"/>
                <w:bCs/>
                <w:sz w:val="16"/>
                <w:szCs w:val="16"/>
                <w:lang w:eastAsia="tr-TR"/>
              </w:rPr>
            </w:pPr>
            <w:r w:rsidRPr="004B3DE4">
              <w:rPr>
                <w:rFonts w:cs="Tahoma"/>
                <w:bCs/>
                <w:sz w:val="16"/>
                <w:szCs w:val="16"/>
                <w:lang w:eastAsia="tr-TR"/>
              </w:rPr>
              <w:lastRenderedPageBreak/>
              <w:t>Aralık Sonu</w:t>
            </w:r>
          </w:p>
        </w:tc>
        <w:tc>
          <w:tcPr>
            <w:tcW w:w="1774" w:type="pct"/>
          </w:tcPr>
          <w:p w:rsidR="00565FD5" w:rsidRPr="004B3DE4" w:rsidRDefault="00565FD5" w:rsidP="00AB62A3">
            <w:pPr>
              <w:tabs>
                <w:tab w:val="left" w:pos="567"/>
              </w:tabs>
              <w:suppressAutoHyphens/>
              <w:snapToGrid w:val="0"/>
              <w:spacing w:before="20" w:after="20"/>
              <w:rPr>
                <w:rFonts w:cs="Tahoma"/>
                <w:sz w:val="24"/>
                <w:szCs w:val="24"/>
                <w:lang w:val="en-US" w:eastAsia="ar-SA"/>
              </w:rPr>
            </w:pPr>
            <w:r w:rsidRPr="004B3DE4">
              <w:rPr>
                <w:rFonts w:cs="Tahoma"/>
                <w:bCs/>
                <w:sz w:val="16"/>
                <w:szCs w:val="16"/>
                <w:lang w:val="en-US" w:eastAsia="ar-SA"/>
              </w:rPr>
              <w:t xml:space="preserve">Perakende ticareti düzenleyen bir kanun tasarısı taslağı geniş </w:t>
            </w:r>
            <w:r w:rsidRPr="004B3DE4">
              <w:rPr>
                <w:rFonts w:cs="Tahoma"/>
                <w:bCs/>
                <w:sz w:val="16"/>
                <w:szCs w:val="16"/>
                <w:lang w:val="en-US" w:eastAsia="ar-SA"/>
              </w:rPr>
              <w:lastRenderedPageBreak/>
              <w:t>katılımla hazırlanarak  Başbakanlığa sevk edilecektir.</w:t>
            </w:r>
          </w:p>
        </w:tc>
      </w:tr>
      <w:tr w:rsidR="00565FD5" w:rsidRPr="004B3DE4" w:rsidTr="00AB62A3">
        <w:trPr>
          <w:trHeight w:val="20"/>
          <w:jc w:val="center"/>
        </w:trPr>
        <w:tc>
          <w:tcPr>
            <w:tcW w:w="5000" w:type="pct"/>
            <w:gridSpan w:val="4"/>
          </w:tcPr>
          <w:p w:rsidR="00565FD5" w:rsidRPr="004B3DE4" w:rsidRDefault="00565FD5" w:rsidP="00EB1E69">
            <w:pPr>
              <w:numPr>
                <w:ilvl w:val="0"/>
                <w:numId w:val="15"/>
              </w:numPr>
              <w:autoSpaceDE w:val="0"/>
              <w:autoSpaceDN w:val="0"/>
              <w:adjustRightInd w:val="0"/>
              <w:spacing w:before="20" w:after="20" w:line="240" w:lineRule="auto"/>
              <w:jc w:val="both"/>
              <w:rPr>
                <w:rFonts w:cs="Tahoma"/>
                <w:b/>
                <w:sz w:val="16"/>
                <w:szCs w:val="16"/>
                <w:lang w:eastAsia="tr-TR"/>
              </w:rPr>
            </w:pPr>
            <w:r w:rsidRPr="004B3DE4">
              <w:rPr>
                <w:rFonts w:cs="Tahoma"/>
                <w:b/>
                <w:sz w:val="16"/>
                <w:szCs w:val="16"/>
                <w:lang w:eastAsia="tr-TR"/>
              </w:rPr>
              <w:lastRenderedPageBreak/>
              <w:t>Elektronik ticaretin güvenli bir biçimde yapılmasına ve yaygınlaştırılmasına yönelik hukuki ve teknik düzenlemeler yapılacak, girişimcilerin</w:t>
            </w:r>
            <w:r w:rsidRPr="004B3DE4">
              <w:rPr>
                <w:rFonts w:cs="Tahoma"/>
                <w:color w:val="000000"/>
                <w:sz w:val="16"/>
                <w:szCs w:val="16"/>
                <w:lang w:eastAsia="tr-TR"/>
              </w:rPr>
              <w:t xml:space="preserve"> </w:t>
            </w:r>
            <w:r w:rsidRPr="004B3DE4">
              <w:rPr>
                <w:rFonts w:cs="Tahoma"/>
                <w:b/>
                <w:color w:val="000000"/>
                <w:sz w:val="16"/>
                <w:szCs w:val="16"/>
                <w:lang w:eastAsia="tr-TR"/>
              </w:rPr>
              <w:t>elektronik ticaret yoluyla iç ve dış pazarlara açılması teşvik edilecektir.</w:t>
            </w:r>
            <w:r w:rsidRPr="004B3DE4">
              <w:rPr>
                <w:rFonts w:cs="Tahoma"/>
                <w:b/>
                <w:sz w:val="16"/>
                <w:szCs w:val="16"/>
                <w:lang w:eastAsia="tr-TR"/>
              </w:rPr>
              <w:t xml:space="preserve">  </w:t>
            </w:r>
          </w:p>
        </w:tc>
      </w:tr>
      <w:tr w:rsidR="00565FD5" w:rsidRPr="004B3DE4" w:rsidTr="00AB62A3">
        <w:trPr>
          <w:trHeight w:val="20"/>
          <w:jc w:val="center"/>
        </w:trPr>
        <w:tc>
          <w:tcPr>
            <w:tcW w:w="1290" w:type="pct"/>
          </w:tcPr>
          <w:p w:rsidR="00565FD5" w:rsidRPr="004B3DE4" w:rsidRDefault="00565FD5" w:rsidP="00EB1E69">
            <w:pPr>
              <w:numPr>
                <w:ilvl w:val="0"/>
                <w:numId w:val="14"/>
              </w:numPr>
              <w:spacing w:before="20" w:after="20" w:line="240" w:lineRule="auto"/>
              <w:ind w:right="-91"/>
              <w:rPr>
                <w:rFonts w:cs="Tahoma"/>
                <w:bCs/>
                <w:sz w:val="16"/>
                <w:szCs w:val="16"/>
                <w:lang w:eastAsia="tr-TR"/>
              </w:rPr>
            </w:pPr>
            <w:r w:rsidRPr="004B3DE4">
              <w:rPr>
                <w:rFonts w:cs="Tahoma"/>
                <w:sz w:val="16"/>
                <w:szCs w:val="16"/>
                <w:lang w:eastAsia="tr-TR"/>
              </w:rPr>
              <w:t xml:space="preserve">Elektronik ticaretin güvenli bir biçimde yapılmasına ve </w:t>
            </w:r>
            <w:r>
              <w:rPr>
                <w:rFonts w:cs="Tahoma"/>
                <w:sz w:val="16"/>
                <w:szCs w:val="16"/>
                <w:lang w:eastAsia="tr-TR"/>
              </w:rPr>
              <w:t>y</w:t>
            </w:r>
            <w:r w:rsidRPr="004B3DE4">
              <w:rPr>
                <w:rFonts w:cs="Tahoma"/>
                <w:sz w:val="16"/>
                <w:szCs w:val="16"/>
                <w:lang w:eastAsia="tr-TR"/>
              </w:rPr>
              <w:t>aygınlaştırılmasına yönelik hukuki ve teknik düzenlemeler yapılacaktır.</w:t>
            </w:r>
          </w:p>
        </w:tc>
        <w:tc>
          <w:tcPr>
            <w:tcW w:w="1336" w:type="pct"/>
          </w:tcPr>
          <w:p w:rsidR="00565FD5" w:rsidRPr="004B3DE4" w:rsidRDefault="00565FD5" w:rsidP="00AB62A3">
            <w:pPr>
              <w:spacing w:before="20" w:after="20"/>
              <w:ind w:left="57" w:right="203"/>
              <w:rPr>
                <w:rFonts w:cs="Tahoma"/>
                <w:sz w:val="16"/>
                <w:szCs w:val="16"/>
                <w:lang w:eastAsia="ar-SA"/>
              </w:rPr>
            </w:pPr>
            <w:r w:rsidRPr="004B3DE4">
              <w:rPr>
                <w:rFonts w:cs="Tahoma"/>
                <w:bCs/>
                <w:sz w:val="16"/>
                <w:szCs w:val="16"/>
                <w:lang w:eastAsia="tr-TR"/>
              </w:rPr>
              <w:t xml:space="preserve">Gümrük ve Ticaret Bakanlığı (S), İlgili Kamu Kuruluşları, Meslek Kuruluşları, STK’lar </w:t>
            </w:r>
          </w:p>
        </w:tc>
        <w:tc>
          <w:tcPr>
            <w:tcW w:w="601" w:type="pct"/>
          </w:tcPr>
          <w:p w:rsidR="00565FD5" w:rsidRPr="004B3DE4" w:rsidRDefault="00565FD5" w:rsidP="00AB62A3">
            <w:pPr>
              <w:tabs>
                <w:tab w:val="left" w:pos="567"/>
              </w:tabs>
              <w:suppressAutoHyphens/>
              <w:spacing w:before="20" w:after="20"/>
              <w:rPr>
                <w:rFonts w:cs="Tahoma"/>
                <w:sz w:val="16"/>
                <w:szCs w:val="16"/>
                <w:lang w:eastAsia="ar-SA"/>
              </w:rPr>
            </w:pPr>
            <w:r w:rsidRPr="004B3DE4">
              <w:rPr>
                <w:rFonts w:cs="Tahoma"/>
                <w:bCs/>
                <w:sz w:val="16"/>
                <w:szCs w:val="16"/>
                <w:lang w:eastAsia="ar-SA"/>
              </w:rPr>
              <w:t>Aralık Sonu</w:t>
            </w:r>
          </w:p>
        </w:tc>
        <w:tc>
          <w:tcPr>
            <w:tcW w:w="1774" w:type="pct"/>
          </w:tcPr>
          <w:p w:rsidR="00565FD5" w:rsidRPr="004B3DE4" w:rsidRDefault="00565FD5" w:rsidP="00AB62A3">
            <w:pPr>
              <w:tabs>
                <w:tab w:val="left" w:pos="567"/>
              </w:tabs>
              <w:suppressAutoHyphens/>
              <w:spacing w:before="20" w:after="20"/>
              <w:rPr>
                <w:rFonts w:cs="Tahoma"/>
                <w:bCs/>
                <w:sz w:val="16"/>
                <w:szCs w:val="16"/>
                <w:lang w:eastAsia="ar-SA"/>
              </w:rPr>
            </w:pPr>
            <w:r w:rsidRPr="004B3DE4">
              <w:rPr>
                <w:rFonts w:cs="Tahoma"/>
                <w:bCs/>
                <w:sz w:val="16"/>
                <w:szCs w:val="16"/>
                <w:lang w:val="en-US" w:eastAsia="ar-SA"/>
              </w:rPr>
              <w:t>Elektronik ticaretin güvenli bir biçimde yapılmasına ve yaygınlaştırılmasına, tüketici güveninin artırılmasına yönelik hukuki ve teknik düzenlemeler yapılacaktır. Girişimcilerin elektronik ticaret yoluyla iç ve dış pazarlara açılması özendirilecektir.</w:t>
            </w:r>
          </w:p>
        </w:tc>
      </w:tr>
    </w:tbl>
    <w:p w:rsidR="00565FD5" w:rsidRDefault="00565FD5" w:rsidP="00565FD5"/>
    <w:p w:rsidR="00565FD5" w:rsidRPr="004B3DE4" w:rsidRDefault="00565FD5" w:rsidP="00565FD5">
      <w:pPr>
        <w:pStyle w:val="Balk2"/>
      </w:pPr>
      <w:bookmarkStart w:id="2132" w:name="_Toc276076321"/>
      <w:bookmarkStart w:id="2133" w:name="_Toc244339642"/>
      <w:bookmarkStart w:id="2134" w:name="_Toc244315179"/>
      <w:bookmarkStart w:id="2135" w:name="_Toc244313702"/>
      <w:bookmarkStart w:id="2136" w:name="_Toc244254967"/>
      <w:bookmarkStart w:id="2137" w:name="_Toc244253717"/>
      <w:bookmarkStart w:id="2138" w:name="_Toc213065703"/>
      <w:bookmarkStart w:id="2139" w:name="_Toc181286067"/>
      <w:bookmarkStart w:id="2140" w:name="_Toc181284988"/>
      <w:bookmarkStart w:id="2141" w:name="_Toc149986851"/>
      <w:bookmarkStart w:id="2142" w:name="_Toc149968529"/>
      <w:bookmarkStart w:id="2143" w:name="_Toc307602041"/>
      <w:bookmarkStart w:id="2144" w:name="_Toc307670478"/>
      <w:bookmarkStart w:id="2145" w:name="_Toc307701704"/>
      <w:bookmarkStart w:id="2146" w:name="_Toc338494245"/>
      <w:bookmarkStart w:id="2147" w:name="_Toc338505607"/>
      <w:bookmarkStart w:id="2148" w:name="_Toc338523838"/>
      <w:bookmarkStart w:id="2149" w:name="_Toc338524069"/>
      <w:bookmarkStart w:id="2150" w:name="_Toc338526295"/>
      <w:bookmarkStart w:id="2151" w:name="_Toc338673738"/>
      <w:bookmarkStart w:id="2152" w:name="_Toc338711617"/>
      <w:r w:rsidRPr="004B3DE4">
        <w:t>II. İSTİHDAMIN ARTIRILMASI</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r w:rsidRPr="004B3DE4">
        <w:t xml:space="preserve"> </w:t>
      </w:r>
    </w:p>
    <w:p w:rsidR="00565FD5" w:rsidRPr="004B3DE4" w:rsidRDefault="00565FD5" w:rsidP="00565FD5">
      <w:pPr>
        <w:pStyle w:val="Balk3"/>
      </w:pPr>
      <w:bookmarkStart w:id="2153" w:name="_Toc276076322"/>
      <w:bookmarkStart w:id="2154" w:name="_Toc244339643"/>
      <w:bookmarkStart w:id="2155" w:name="_Toc244315180"/>
      <w:bookmarkStart w:id="2156" w:name="_Toc244313703"/>
      <w:bookmarkStart w:id="2157" w:name="_Toc244254968"/>
      <w:bookmarkStart w:id="2158" w:name="_Toc244253718"/>
      <w:bookmarkStart w:id="2159" w:name="_Toc213065704"/>
      <w:bookmarkStart w:id="2160" w:name="_Toc181286068"/>
      <w:bookmarkStart w:id="2161" w:name="_Toc181284989"/>
      <w:bookmarkStart w:id="2162" w:name="_Toc149986852"/>
      <w:bookmarkStart w:id="2163" w:name="_Toc149968530"/>
      <w:bookmarkStart w:id="2164" w:name="_Toc307602042"/>
      <w:bookmarkStart w:id="2165" w:name="_Toc307670479"/>
      <w:bookmarkStart w:id="2166" w:name="_Toc307701705"/>
      <w:bookmarkStart w:id="2167" w:name="_Toc338494246"/>
      <w:bookmarkStart w:id="2168" w:name="_Toc338505608"/>
      <w:bookmarkStart w:id="2169" w:name="_Toc338523839"/>
      <w:bookmarkStart w:id="2170" w:name="_Toc338524070"/>
      <w:bookmarkStart w:id="2171" w:name="_Toc338526296"/>
      <w:bookmarkStart w:id="2172" w:name="_Toc338673739"/>
      <w:bookmarkStart w:id="2173" w:name="_Toc338711618"/>
      <w:r w:rsidRPr="004B3DE4">
        <w:t>A. İŞGÜCÜ PİYASASININ GELİŞTİRİLMESİ</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rsidR="00565FD5" w:rsidRPr="004B3DE4" w:rsidRDefault="00565FD5" w:rsidP="00565FD5">
      <w:pPr>
        <w:pStyle w:val="Balk4"/>
        <w:rPr>
          <w:szCs w:val="18"/>
        </w:rPr>
      </w:pPr>
      <w:bookmarkStart w:id="2174" w:name="_Toc149968531"/>
      <w:bookmarkStart w:id="2175" w:name="_Toc149986853"/>
      <w:bookmarkStart w:id="2176" w:name="_Toc181284990"/>
      <w:bookmarkStart w:id="2177" w:name="_Toc181286069"/>
      <w:bookmarkStart w:id="2178" w:name="_Toc213065705"/>
      <w:bookmarkStart w:id="2179" w:name="_Toc244253719"/>
      <w:bookmarkStart w:id="2180" w:name="_Toc244254969"/>
      <w:bookmarkStart w:id="2181" w:name="_Toc244313704"/>
      <w:bookmarkStart w:id="2182" w:name="_Toc244315181"/>
      <w:bookmarkStart w:id="2183" w:name="_Toc244339644"/>
      <w:bookmarkStart w:id="2184" w:name="_Toc276076323"/>
      <w:bookmarkStart w:id="2185" w:name="_Toc307602043"/>
      <w:bookmarkStart w:id="2186" w:name="_Toc307670480"/>
      <w:bookmarkStart w:id="2187" w:name="_Toc307701706"/>
      <w:bookmarkStart w:id="2188" w:name="_Toc338505609"/>
      <w:bookmarkStart w:id="2189" w:name="_Toc338523840"/>
      <w:bookmarkStart w:id="2190" w:name="_Toc338524071"/>
      <w:bookmarkStart w:id="2191" w:name="_Toc338526297"/>
      <w:bookmarkStart w:id="2192" w:name="_Toc338673740"/>
      <w:bookmarkStart w:id="2193" w:name="_Toc338711619"/>
      <w:r w:rsidRPr="004B3DE4">
        <w:t>1.</w:t>
      </w:r>
      <w:bookmarkStart w:id="2194" w:name="_Toc118568085"/>
      <w:bookmarkStart w:id="2195" w:name="_Toc118567207"/>
      <w:bookmarkStart w:id="2196" w:name="_Toc118567102"/>
      <w:bookmarkStart w:id="2197" w:name="_Toc118560479"/>
      <w:bookmarkStart w:id="2198" w:name="_Toc118555876"/>
      <w:bookmarkStart w:id="2199" w:name="_Toc118526978"/>
      <w:bookmarkStart w:id="2200" w:name="_Toc118526763"/>
      <w:r w:rsidRPr="004B3DE4">
        <w:t xml:space="preserve"> Mevcut Durum</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p>
    <w:p w:rsidR="00565FD5" w:rsidRPr="004B3DE4" w:rsidRDefault="00565FD5" w:rsidP="00565FD5">
      <w:pPr>
        <w:spacing w:after="180"/>
        <w:ind w:firstLine="425"/>
        <w:rPr>
          <w:rFonts w:cs="Tahoma"/>
          <w:szCs w:val="18"/>
        </w:rPr>
      </w:pPr>
      <w:bookmarkStart w:id="2201" w:name="_Toc213065707"/>
      <w:bookmarkStart w:id="2202" w:name="_Toc181286071"/>
      <w:bookmarkStart w:id="2203" w:name="_Toc181284992"/>
      <w:bookmarkStart w:id="2204" w:name="_Toc149986855"/>
      <w:bookmarkStart w:id="2205" w:name="_Toc149968533"/>
      <w:r w:rsidRPr="004B3DE4">
        <w:rPr>
          <w:rFonts w:cs="Tahoma"/>
          <w:szCs w:val="18"/>
        </w:rPr>
        <w:t xml:space="preserve">2011 yılı sonu itibarıyla 74,7 milyon kişi olan Türkiye nüfusunun 55,8 milyonu çalışma çağında yer almaktadır. ADNKS sonuçlarına dayanarak yapılan tahminlere göre yıl ortası çalışma çağı nüfusunun 2012 yılında 56 milyon, 2013 yılında ise 56,9 milyona ulaşması beklenmektedir.  </w:t>
      </w:r>
    </w:p>
    <w:p w:rsidR="00565FD5" w:rsidRPr="004B3DE4" w:rsidRDefault="00565FD5" w:rsidP="00565FD5">
      <w:pPr>
        <w:spacing w:after="180"/>
        <w:ind w:firstLine="425"/>
        <w:rPr>
          <w:rFonts w:cs="Tahoma"/>
          <w:szCs w:val="18"/>
        </w:rPr>
      </w:pPr>
      <w:r w:rsidRPr="004B3DE4">
        <w:rPr>
          <w:rFonts w:cs="Tahoma"/>
          <w:szCs w:val="18"/>
        </w:rPr>
        <w:t>Ülkemizde istihdamın artırılması ve işsizliğin azaltılmasına yönelik çabaların ve GSYH’daki hızlı artışların da etkisiyle işgücü piyasasında 2010 yılında başlayan hızlı iyileşme 2011 yılında da devam etmiştir. Hanehalkı İşgücü Anketi verilerine göre 2011 yılında bir önceki yıla göre işgücüne katılma oranı yüzde 48,8’den yüzde 49,9’a yükselerek 2002 yılından bu yana en yüksek seviyesine ulaşmıştır. 2011 yılında işgücü yüzde 4,2 artarken, istihdam yüzde 6,7’lik bir artış göstermiştir. 2011 yılında GSYH büyüme hızının yüzde 8,5 olduğu ve işgücüne katılımdaki önemli yükseliş göz önüne alındığında istihdamdaki artış hızının önemi daha iyi anlaşılmaktadır.</w:t>
      </w:r>
    </w:p>
    <w:p w:rsidR="00565FD5" w:rsidRPr="004B3DE4" w:rsidRDefault="00565FD5" w:rsidP="00565FD5">
      <w:pPr>
        <w:spacing w:after="180"/>
        <w:ind w:firstLine="425"/>
        <w:rPr>
          <w:rFonts w:cs="Tahoma"/>
          <w:szCs w:val="18"/>
        </w:rPr>
      </w:pPr>
      <w:r w:rsidRPr="004B3DE4">
        <w:rPr>
          <w:rFonts w:cs="Tahoma"/>
          <w:szCs w:val="18"/>
        </w:rPr>
        <w:t xml:space="preserve">2008 yılı sonunda kendini gösteren ekonomik krizin etkisiyle yüzde 14 seviyesine kadar yükselen işsizlik oranı 2011 yılında yüzde 9,8’e, 2012 yılı Temmuz dönemi itibarıyla da yüzde 8,4’e gerileyerek 2002 yılındaki seviyenin altında gerçekleşmiştir. Türkiye OECD ülkeleri arasında Almanya, Lüksemburg ve İsrail’le birlikte 2008 yılına göre 2011 yılında işsizlik oranını düşüren 4 ülkeden biri olup küresel ekonomik krizin doruğa ulaştığı 2009 yılına göre ise </w:t>
      </w:r>
      <w:r w:rsidRPr="004B3DE4">
        <w:rPr>
          <w:rFonts w:cs="Tahoma"/>
          <w:szCs w:val="18"/>
        </w:rPr>
        <w:lastRenderedPageBreak/>
        <w:t>işsizliğin en fazla azaldığı ülke olarak ön plana çıkmaktadır. Aynı dönemde AB-27 ülkelerinde ise işsizlik oranının yüzde 11’ler seviyesinde olduğu görülmektedir. Söz konusu olumlu tablo tarım dışı ve genç işsizliği oranlarına da yansımıştır. 2010 yılında yüzde 14,8 olan tarım dışı işsizlik oranı 2011 yılında yüzde 12,4’e, genç işsizliği oranı da aynı dönemde yüzde 21,7’den yüzde 18,4’e düşmüştür. 2012 yılı Temmuz dönemi itibarıyla bu oranlar sırasıyla yüzde 10,7 ve yüzde 16,3 olmuştur.</w:t>
      </w:r>
    </w:p>
    <w:p w:rsidR="00565FD5" w:rsidRDefault="00565FD5" w:rsidP="00565FD5">
      <w:pPr>
        <w:spacing w:after="180"/>
        <w:ind w:firstLine="425"/>
        <w:rPr>
          <w:rFonts w:cs="Tahoma"/>
          <w:szCs w:val="18"/>
        </w:rPr>
      </w:pPr>
      <w:r w:rsidRPr="004B3DE4">
        <w:rPr>
          <w:rFonts w:cs="Tahoma"/>
          <w:szCs w:val="18"/>
        </w:rPr>
        <w:t>İşgücüne dâhil olmayan nüfus 2011 yılında bir önceki yıla göre azalış göstermiş, iş aramayıp, çalışmaya hazır olanların sayısı da düşmeye devam etmiştir.</w:t>
      </w:r>
    </w:p>
    <w:p w:rsidR="00565FD5" w:rsidRPr="004B3DE4" w:rsidRDefault="00565FD5" w:rsidP="00565FD5">
      <w:pPr>
        <w:spacing w:after="180"/>
        <w:ind w:firstLine="425"/>
        <w:rPr>
          <w:rFonts w:cs="Tahoma"/>
          <w:szCs w:val="18"/>
        </w:rPr>
      </w:pPr>
      <w:r w:rsidRPr="004B3DE4">
        <w:rPr>
          <w:rFonts w:cs="Tahoma"/>
          <w:szCs w:val="18"/>
        </w:rPr>
        <w:t xml:space="preserve">AB ortalamasına göre düşük seviyede olmakla birlikte artış eğiliminde olan toplam işgücüne katılma ve istihdam oranlarının erkeklerde AB ortalamasına yakın, kadınlarda ise AB ortalamasının oldukça altında kaldığı görülmektedir. 2011 yılında bir önceki yıla göre kadın işgücüne katılma oranı AB’de yüzde 62,4’ten yüzde 63,3’e yükselirken ülkemizde yüzde 27,6’dan yüzde 28,8’e yükselmiştir. Kadınlarda istihdam oranı ise AB’de aynı dönemde 0,7 puan ve ülkemizde 1,6 puan artmıştır. </w:t>
      </w:r>
    </w:p>
    <w:p w:rsidR="00565FD5" w:rsidRPr="008B744B" w:rsidRDefault="00565FD5" w:rsidP="00565FD5">
      <w:pPr>
        <w:pStyle w:val="ResimYazs"/>
        <w:rPr>
          <w:rFonts w:eastAsia="Arial Unicode MS" w:cs="Tahoma"/>
          <w:szCs w:val="16"/>
        </w:rPr>
      </w:pPr>
      <w:bookmarkStart w:id="2206" w:name="_Toc338606043"/>
      <w:bookmarkStart w:id="2207" w:name="_Toc338711818"/>
      <w:r>
        <w:t xml:space="preserve">TABLO IV: </w:t>
      </w:r>
      <w:fldSimple w:instr=" SEQ TABLO_IV: \* ARABIC ">
        <w:r>
          <w:rPr>
            <w:noProof/>
          </w:rPr>
          <w:t>48</w:t>
        </w:r>
      </w:fldSimple>
      <w:r w:rsidRPr="008B744B">
        <w:rPr>
          <w:rFonts w:eastAsia="Arial Unicode MS" w:cs="Tahoma"/>
          <w:szCs w:val="16"/>
        </w:rPr>
        <w:t>- Temel İstihdam ve İşgücü Göstergeleri</w:t>
      </w:r>
      <w:bookmarkEnd w:id="2206"/>
      <w:bookmarkEnd w:id="2207"/>
      <w:r w:rsidRPr="008B744B">
        <w:rPr>
          <w:rFonts w:eastAsia="Arial Unicode MS" w:cs="Tahoma"/>
          <w:szCs w:val="16"/>
        </w:rPr>
        <w:t xml:space="preserve"> </w:t>
      </w:r>
    </w:p>
    <w:p w:rsidR="00565FD5" w:rsidRPr="004B3DE4" w:rsidRDefault="00565FD5" w:rsidP="00565FD5">
      <w:pPr>
        <w:ind w:right="71"/>
        <w:jc w:val="right"/>
        <w:rPr>
          <w:sz w:val="16"/>
        </w:rPr>
      </w:pPr>
      <w:r w:rsidRPr="004B3DE4">
        <w:rPr>
          <w:sz w:val="16"/>
        </w:rPr>
        <w:t>(15 + Yaş, Yüzde)</w:t>
      </w:r>
    </w:p>
    <w:tbl>
      <w:tblPr>
        <w:tblW w:w="4885" w:type="pct"/>
        <w:tblInd w:w="108" w:type="dxa"/>
        <w:tblBorders>
          <w:top w:val="single" w:sz="4" w:space="0" w:color="auto"/>
          <w:left w:val="single" w:sz="4" w:space="0" w:color="auto"/>
          <w:bottom w:val="single" w:sz="4" w:space="0" w:color="auto"/>
          <w:right w:val="single" w:sz="4" w:space="0" w:color="auto"/>
        </w:tblBorders>
        <w:tblLook w:val="00A0"/>
      </w:tblPr>
      <w:tblGrid>
        <w:gridCol w:w="2294"/>
        <w:gridCol w:w="1190"/>
        <w:gridCol w:w="741"/>
        <w:gridCol w:w="741"/>
        <w:gridCol w:w="741"/>
        <w:gridCol w:w="741"/>
        <w:gridCol w:w="741"/>
      </w:tblGrid>
      <w:tr w:rsidR="00565FD5" w:rsidRPr="004B3DE4" w:rsidTr="00AB62A3">
        <w:trPr>
          <w:trHeight w:val="17"/>
        </w:trPr>
        <w:tc>
          <w:tcPr>
            <w:tcW w:w="1621" w:type="pct"/>
            <w:vMerge w:val="restart"/>
            <w:tcBorders>
              <w:top w:val="single" w:sz="4" w:space="0" w:color="auto"/>
              <w:bottom w:val="single" w:sz="4" w:space="0" w:color="auto"/>
              <w:right w:val="single" w:sz="4" w:space="0" w:color="auto"/>
            </w:tcBorders>
          </w:tcPr>
          <w:p w:rsidR="00565FD5" w:rsidRPr="004B3DE4" w:rsidRDefault="00565FD5" w:rsidP="00AB62A3">
            <w:pPr>
              <w:spacing w:after="120"/>
              <w:rPr>
                <w:rFonts w:cs="Tahoma"/>
                <w:b/>
                <w:sz w:val="15"/>
                <w:szCs w:val="15"/>
              </w:rPr>
            </w:pPr>
          </w:p>
        </w:tc>
        <w:tc>
          <w:tcPr>
            <w:tcW w:w="1756" w:type="pct"/>
            <w:gridSpan w:val="3"/>
            <w:tcBorders>
              <w:top w:val="single" w:sz="4" w:space="0" w:color="auto"/>
              <w:left w:val="single" w:sz="4" w:space="0" w:color="auto"/>
              <w:bottom w:val="single" w:sz="4" w:space="0" w:color="auto"/>
              <w:right w:val="single" w:sz="4" w:space="0" w:color="auto"/>
            </w:tcBorders>
            <w:vAlign w:val="center"/>
          </w:tcPr>
          <w:p w:rsidR="00565FD5" w:rsidRPr="004B3DE4" w:rsidRDefault="00565FD5" w:rsidP="00AB62A3">
            <w:pPr>
              <w:jc w:val="center"/>
              <w:rPr>
                <w:rFonts w:cs="Tahoma"/>
                <w:b/>
                <w:sz w:val="15"/>
                <w:szCs w:val="15"/>
              </w:rPr>
            </w:pPr>
            <w:r w:rsidRPr="004B3DE4">
              <w:rPr>
                <w:rFonts w:cs="Tahoma"/>
                <w:b/>
                <w:sz w:val="15"/>
                <w:szCs w:val="15"/>
              </w:rPr>
              <w:t>Türkiye</w:t>
            </w:r>
          </w:p>
        </w:tc>
        <w:tc>
          <w:tcPr>
            <w:tcW w:w="1623" w:type="pct"/>
            <w:gridSpan w:val="3"/>
            <w:tcBorders>
              <w:top w:val="single" w:sz="4" w:space="0" w:color="auto"/>
              <w:left w:val="single" w:sz="4" w:space="0" w:color="auto"/>
              <w:bottom w:val="single" w:sz="4" w:space="0" w:color="auto"/>
            </w:tcBorders>
            <w:vAlign w:val="center"/>
          </w:tcPr>
          <w:p w:rsidR="00565FD5" w:rsidRPr="004B3DE4" w:rsidRDefault="00565FD5" w:rsidP="00AB62A3">
            <w:pPr>
              <w:jc w:val="center"/>
              <w:rPr>
                <w:rFonts w:cs="Tahoma"/>
                <w:b/>
                <w:sz w:val="15"/>
                <w:szCs w:val="15"/>
              </w:rPr>
            </w:pPr>
            <w:r w:rsidRPr="004B3DE4">
              <w:rPr>
                <w:rFonts w:cs="Tahoma"/>
                <w:b/>
                <w:sz w:val="15"/>
                <w:szCs w:val="15"/>
              </w:rPr>
              <w:t>AB-27</w:t>
            </w:r>
          </w:p>
        </w:tc>
      </w:tr>
      <w:tr w:rsidR="00565FD5" w:rsidRPr="004B3DE4" w:rsidTr="00AB62A3">
        <w:trPr>
          <w:trHeight w:val="17"/>
        </w:trPr>
        <w:tc>
          <w:tcPr>
            <w:tcW w:w="0" w:type="auto"/>
            <w:vMerge/>
            <w:tcBorders>
              <w:top w:val="single" w:sz="4" w:space="0" w:color="auto"/>
              <w:bottom w:val="single" w:sz="4" w:space="0" w:color="auto"/>
              <w:right w:val="single" w:sz="4" w:space="0" w:color="auto"/>
            </w:tcBorders>
            <w:vAlign w:val="center"/>
          </w:tcPr>
          <w:p w:rsidR="00565FD5" w:rsidRPr="004B3DE4" w:rsidRDefault="00565FD5" w:rsidP="00AB62A3">
            <w:pPr>
              <w:rPr>
                <w:rFonts w:cs="Tahoma"/>
                <w:b/>
                <w:sz w:val="15"/>
                <w:szCs w:val="15"/>
              </w:rPr>
            </w:pPr>
          </w:p>
        </w:tc>
        <w:tc>
          <w:tcPr>
            <w:tcW w:w="674" w:type="pct"/>
            <w:tcBorders>
              <w:top w:val="single" w:sz="4" w:space="0" w:color="auto"/>
              <w:left w:val="nil"/>
              <w:bottom w:val="single" w:sz="4" w:space="0" w:color="auto"/>
              <w:right w:val="nil"/>
            </w:tcBorders>
          </w:tcPr>
          <w:p w:rsidR="00565FD5" w:rsidRPr="004B3DE4" w:rsidRDefault="00565FD5" w:rsidP="00AB62A3">
            <w:pPr>
              <w:jc w:val="right"/>
              <w:rPr>
                <w:rFonts w:cs="Tahoma"/>
                <w:b/>
                <w:sz w:val="15"/>
                <w:szCs w:val="15"/>
              </w:rPr>
            </w:pPr>
            <w:r w:rsidRPr="004B3DE4">
              <w:rPr>
                <w:rFonts w:cs="Tahoma"/>
                <w:b/>
                <w:bCs/>
                <w:sz w:val="15"/>
                <w:szCs w:val="15"/>
              </w:rPr>
              <w:t>2009</w:t>
            </w:r>
          </w:p>
        </w:tc>
        <w:tc>
          <w:tcPr>
            <w:tcW w:w="541" w:type="pct"/>
            <w:tcBorders>
              <w:top w:val="single" w:sz="4" w:space="0" w:color="auto"/>
              <w:left w:val="nil"/>
              <w:bottom w:val="single" w:sz="4" w:space="0" w:color="auto"/>
              <w:right w:val="nil"/>
            </w:tcBorders>
          </w:tcPr>
          <w:p w:rsidR="00565FD5" w:rsidRPr="004B3DE4" w:rsidRDefault="00565FD5" w:rsidP="00AB62A3">
            <w:pPr>
              <w:jc w:val="right"/>
              <w:rPr>
                <w:rFonts w:cs="Tahoma"/>
                <w:b/>
                <w:sz w:val="15"/>
                <w:szCs w:val="15"/>
              </w:rPr>
            </w:pPr>
            <w:r w:rsidRPr="004B3DE4">
              <w:rPr>
                <w:rFonts w:cs="Tahoma"/>
                <w:b/>
                <w:bCs/>
                <w:sz w:val="15"/>
                <w:szCs w:val="15"/>
              </w:rPr>
              <w:t>2010</w:t>
            </w:r>
          </w:p>
        </w:tc>
        <w:tc>
          <w:tcPr>
            <w:tcW w:w="541" w:type="pct"/>
            <w:tcBorders>
              <w:top w:val="single" w:sz="4" w:space="0" w:color="auto"/>
              <w:left w:val="nil"/>
              <w:bottom w:val="single" w:sz="4" w:space="0" w:color="auto"/>
              <w:right w:val="single" w:sz="4" w:space="0" w:color="auto"/>
            </w:tcBorders>
          </w:tcPr>
          <w:p w:rsidR="00565FD5" w:rsidRPr="004B3DE4" w:rsidRDefault="00565FD5" w:rsidP="00AB62A3">
            <w:pPr>
              <w:jc w:val="right"/>
              <w:rPr>
                <w:rFonts w:cs="Tahoma"/>
                <w:b/>
                <w:sz w:val="15"/>
                <w:szCs w:val="15"/>
              </w:rPr>
            </w:pPr>
            <w:r w:rsidRPr="004B3DE4">
              <w:rPr>
                <w:rFonts w:cs="Tahoma"/>
                <w:b/>
                <w:bCs/>
                <w:sz w:val="15"/>
                <w:szCs w:val="15"/>
              </w:rPr>
              <w:t>2011</w:t>
            </w:r>
          </w:p>
        </w:tc>
        <w:tc>
          <w:tcPr>
            <w:tcW w:w="541" w:type="pct"/>
            <w:tcBorders>
              <w:top w:val="single" w:sz="4" w:space="0" w:color="auto"/>
              <w:left w:val="nil"/>
              <w:bottom w:val="single" w:sz="4" w:space="0" w:color="auto"/>
              <w:right w:val="nil"/>
            </w:tcBorders>
          </w:tcPr>
          <w:p w:rsidR="00565FD5" w:rsidRPr="004B3DE4" w:rsidRDefault="00565FD5" w:rsidP="00AB62A3">
            <w:pPr>
              <w:tabs>
                <w:tab w:val="left" w:pos="2100"/>
              </w:tabs>
              <w:jc w:val="right"/>
              <w:rPr>
                <w:rFonts w:cs="Tahoma"/>
                <w:b/>
                <w:sz w:val="15"/>
                <w:szCs w:val="15"/>
              </w:rPr>
            </w:pPr>
            <w:r w:rsidRPr="004B3DE4">
              <w:rPr>
                <w:rFonts w:cs="Tahoma"/>
                <w:b/>
                <w:bCs/>
                <w:sz w:val="15"/>
                <w:szCs w:val="15"/>
              </w:rPr>
              <w:t>2009</w:t>
            </w:r>
          </w:p>
        </w:tc>
        <w:tc>
          <w:tcPr>
            <w:tcW w:w="541" w:type="pct"/>
            <w:tcBorders>
              <w:top w:val="single" w:sz="4" w:space="0" w:color="auto"/>
              <w:left w:val="nil"/>
              <w:bottom w:val="single" w:sz="4" w:space="0" w:color="auto"/>
              <w:right w:val="nil"/>
            </w:tcBorders>
          </w:tcPr>
          <w:p w:rsidR="00565FD5" w:rsidRPr="004B3DE4" w:rsidRDefault="00565FD5" w:rsidP="00AB62A3">
            <w:pPr>
              <w:tabs>
                <w:tab w:val="left" w:pos="2100"/>
              </w:tabs>
              <w:jc w:val="right"/>
              <w:rPr>
                <w:rFonts w:cs="Tahoma"/>
                <w:b/>
                <w:sz w:val="15"/>
                <w:szCs w:val="15"/>
              </w:rPr>
            </w:pPr>
            <w:r w:rsidRPr="004B3DE4">
              <w:rPr>
                <w:rFonts w:cs="Tahoma"/>
                <w:b/>
                <w:bCs/>
                <w:sz w:val="15"/>
                <w:szCs w:val="15"/>
              </w:rPr>
              <w:t>2010</w:t>
            </w:r>
          </w:p>
        </w:tc>
        <w:tc>
          <w:tcPr>
            <w:tcW w:w="541" w:type="pct"/>
            <w:tcBorders>
              <w:top w:val="single" w:sz="4" w:space="0" w:color="auto"/>
              <w:left w:val="nil"/>
              <w:bottom w:val="single" w:sz="4" w:space="0" w:color="auto"/>
            </w:tcBorders>
          </w:tcPr>
          <w:p w:rsidR="00565FD5" w:rsidRPr="004B3DE4" w:rsidRDefault="00565FD5" w:rsidP="00AB62A3">
            <w:pPr>
              <w:tabs>
                <w:tab w:val="left" w:pos="2100"/>
              </w:tabs>
              <w:jc w:val="right"/>
              <w:rPr>
                <w:rFonts w:cs="Tahoma"/>
                <w:b/>
                <w:sz w:val="15"/>
                <w:szCs w:val="15"/>
              </w:rPr>
            </w:pPr>
            <w:r w:rsidRPr="004B3DE4">
              <w:rPr>
                <w:rFonts w:cs="Tahoma"/>
                <w:b/>
                <w:bCs/>
                <w:sz w:val="15"/>
                <w:szCs w:val="15"/>
              </w:rPr>
              <w:t>2011</w:t>
            </w:r>
          </w:p>
        </w:tc>
      </w:tr>
      <w:tr w:rsidR="00565FD5" w:rsidRPr="004B3DE4" w:rsidTr="00AB62A3">
        <w:trPr>
          <w:trHeight w:val="17"/>
        </w:trPr>
        <w:tc>
          <w:tcPr>
            <w:tcW w:w="1621" w:type="pct"/>
            <w:tcBorders>
              <w:top w:val="single" w:sz="4" w:space="0" w:color="auto"/>
              <w:bottom w:val="nil"/>
              <w:right w:val="single" w:sz="4" w:space="0" w:color="auto"/>
            </w:tcBorders>
            <w:vAlign w:val="center"/>
          </w:tcPr>
          <w:p w:rsidR="00565FD5" w:rsidRPr="004B3DE4" w:rsidRDefault="00565FD5" w:rsidP="00AB62A3">
            <w:pPr>
              <w:rPr>
                <w:rFonts w:cs="Tahoma"/>
                <w:b/>
                <w:sz w:val="15"/>
                <w:szCs w:val="15"/>
              </w:rPr>
            </w:pPr>
            <w:r w:rsidRPr="004B3DE4">
              <w:rPr>
                <w:rFonts w:cs="Tahoma"/>
                <w:b/>
                <w:sz w:val="15"/>
                <w:szCs w:val="15"/>
              </w:rPr>
              <w:t xml:space="preserve">İşgücüne Katılma Oranı (İKO) </w:t>
            </w:r>
          </w:p>
        </w:tc>
        <w:tc>
          <w:tcPr>
            <w:tcW w:w="674" w:type="pct"/>
            <w:tcBorders>
              <w:top w:val="single" w:sz="4" w:space="0" w:color="auto"/>
              <w:left w:val="single" w:sz="4" w:space="0" w:color="auto"/>
              <w:bottom w:val="nil"/>
              <w:right w:val="nil"/>
            </w:tcBorders>
            <w:vAlign w:val="center"/>
          </w:tcPr>
          <w:p w:rsidR="00565FD5" w:rsidRPr="004B3DE4" w:rsidRDefault="00565FD5" w:rsidP="00AB62A3">
            <w:pPr>
              <w:jc w:val="right"/>
              <w:rPr>
                <w:rFonts w:cs="Tahoma"/>
                <w:b/>
                <w:sz w:val="15"/>
                <w:szCs w:val="15"/>
              </w:rPr>
            </w:pPr>
            <w:r w:rsidRPr="004B3DE4">
              <w:rPr>
                <w:rFonts w:cs="Tahoma"/>
                <w:b/>
                <w:sz w:val="15"/>
                <w:szCs w:val="15"/>
              </w:rPr>
              <w:t>47,9</w:t>
            </w:r>
          </w:p>
        </w:tc>
        <w:tc>
          <w:tcPr>
            <w:tcW w:w="541" w:type="pct"/>
            <w:tcBorders>
              <w:top w:val="single" w:sz="4" w:space="0" w:color="auto"/>
              <w:left w:val="nil"/>
              <w:bottom w:val="nil"/>
              <w:right w:val="nil"/>
            </w:tcBorders>
            <w:vAlign w:val="center"/>
          </w:tcPr>
          <w:p w:rsidR="00565FD5" w:rsidRPr="004B3DE4" w:rsidRDefault="00565FD5" w:rsidP="00AB62A3">
            <w:pPr>
              <w:jc w:val="right"/>
              <w:rPr>
                <w:rFonts w:cs="Tahoma"/>
                <w:b/>
                <w:sz w:val="15"/>
                <w:szCs w:val="15"/>
              </w:rPr>
            </w:pPr>
            <w:r w:rsidRPr="004B3DE4">
              <w:rPr>
                <w:rFonts w:cs="Tahoma"/>
                <w:b/>
                <w:sz w:val="15"/>
                <w:szCs w:val="15"/>
              </w:rPr>
              <w:t>48,8</w:t>
            </w:r>
          </w:p>
        </w:tc>
        <w:tc>
          <w:tcPr>
            <w:tcW w:w="541" w:type="pct"/>
            <w:tcBorders>
              <w:top w:val="single" w:sz="4" w:space="0" w:color="auto"/>
              <w:left w:val="nil"/>
              <w:bottom w:val="nil"/>
              <w:right w:val="single" w:sz="4" w:space="0" w:color="auto"/>
            </w:tcBorders>
            <w:vAlign w:val="center"/>
          </w:tcPr>
          <w:p w:rsidR="00565FD5" w:rsidRPr="004B3DE4" w:rsidRDefault="00565FD5" w:rsidP="00AB62A3">
            <w:pPr>
              <w:jc w:val="right"/>
              <w:rPr>
                <w:rFonts w:cs="Tahoma"/>
                <w:b/>
                <w:sz w:val="15"/>
                <w:szCs w:val="15"/>
              </w:rPr>
            </w:pPr>
            <w:r w:rsidRPr="004B3DE4">
              <w:rPr>
                <w:rFonts w:cs="Tahoma"/>
                <w:b/>
                <w:sz w:val="15"/>
                <w:szCs w:val="15"/>
              </w:rPr>
              <w:t>49,9</w:t>
            </w:r>
          </w:p>
        </w:tc>
        <w:tc>
          <w:tcPr>
            <w:tcW w:w="541" w:type="pct"/>
            <w:tcBorders>
              <w:top w:val="single" w:sz="4" w:space="0" w:color="auto"/>
              <w:left w:val="single" w:sz="4" w:space="0" w:color="auto"/>
              <w:bottom w:val="nil"/>
              <w:right w:val="nil"/>
            </w:tcBorders>
            <w:vAlign w:val="center"/>
          </w:tcPr>
          <w:p w:rsidR="00565FD5" w:rsidRPr="004B3DE4" w:rsidRDefault="00565FD5" w:rsidP="00AB62A3">
            <w:pPr>
              <w:jc w:val="right"/>
              <w:rPr>
                <w:rFonts w:cs="Tahoma"/>
                <w:b/>
                <w:sz w:val="15"/>
                <w:szCs w:val="15"/>
              </w:rPr>
            </w:pPr>
            <w:r w:rsidRPr="004B3DE4">
              <w:rPr>
                <w:rFonts w:cs="Tahoma"/>
                <w:b/>
                <w:sz w:val="15"/>
                <w:szCs w:val="15"/>
              </w:rPr>
              <w:t>69,0</w:t>
            </w:r>
          </w:p>
        </w:tc>
        <w:tc>
          <w:tcPr>
            <w:tcW w:w="541" w:type="pct"/>
            <w:tcBorders>
              <w:top w:val="single" w:sz="4" w:space="0" w:color="auto"/>
              <w:left w:val="nil"/>
              <w:bottom w:val="nil"/>
              <w:right w:val="nil"/>
            </w:tcBorders>
            <w:vAlign w:val="center"/>
          </w:tcPr>
          <w:p w:rsidR="00565FD5" w:rsidRPr="004B3DE4" w:rsidRDefault="00565FD5" w:rsidP="00AB62A3">
            <w:pPr>
              <w:jc w:val="right"/>
              <w:rPr>
                <w:rFonts w:cs="Tahoma"/>
                <w:b/>
                <w:sz w:val="15"/>
                <w:szCs w:val="15"/>
              </w:rPr>
            </w:pPr>
            <w:r w:rsidRPr="004B3DE4">
              <w:rPr>
                <w:rFonts w:cs="Tahoma"/>
                <w:b/>
                <w:sz w:val="15"/>
                <w:szCs w:val="15"/>
              </w:rPr>
              <w:t>68,8</w:t>
            </w:r>
          </w:p>
        </w:tc>
        <w:tc>
          <w:tcPr>
            <w:tcW w:w="541" w:type="pct"/>
            <w:tcBorders>
              <w:top w:val="single" w:sz="4" w:space="0" w:color="auto"/>
              <w:left w:val="nil"/>
              <w:bottom w:val="nil"/>
            </w:tcBorders>
            <w:vAlign w:val="center"/>
          </w:tcPr>
          <w:p w:rsidR="00565FD5" w:rsidRPr="004B3DE4" w:rsidRDefault="00565FD5" w:rsidP="00AB62A3">
            <w:pPr>
              <w:jc w:val="right"/>
              <w:rPr>
                <w:rFonts w:cs="Tahoma"/>
                <w:b/>
                <w:sz w:val="15"/>
                <w:szCs w:val="15"/>
              </w:rPr>
            </w:pPr>
            <w:r w:rsidRPr="004B3DE4">
              <w:rPr>
                <w:rFonts w:cs="Tahoma"/>
                <w:b/>
                <w:sz w:val="15"/>
                <w:szCs w:val="15"/>
              </w:rPr>
              <w:t>69,0</w:t>
            </w:r>
          </w:p>
        </w:tc>
      </w:tr>
      <w:tr w:rsidR="00565FD5" w:rsidRPr="004B3DE4" w:rsidTr="00AB62A3">
        <w:trPr>
          <w:trHeight w:val="17"/>
        </w:trPr>
        <w:tc>
          <w:tcPr>
            <w:tcW w:w="1621" w:type="pct"/>
            <w:tcBorders>
              <w:top w:val="nil"/>
              <w:bottom w:val="nil"/>
              <w:right w:val="single" w:sz="4" w:space="0" w:color="auto"/>
            </w:tcBorders>
            <w:vAlign w:val="center"/>
          </w:tcPr>
          <w:p w:rsidR="00565FD5" w:rsidRPr="004B3DE4" w:rsidRDefault="00565FD5" w:rsidP="00AB62A3">
            <w:pPr>
              <w:rPr>
                <w:rFonts w:cs="Tahoma"/>
                <w:sz w:val="15"/>
                <w:szCs w:val="15"/>
              </w:rPr>
            </w:pPr>
            <w:r w:rsidRPr="004B3DE4">
              <w:rPr>
                <w:rFonts w:cs="Tahoma"/>
                <w:sz w:val="15"/>
                <w:szCs w:val="15"/>
              </w:rPr>
              <w:t xml:space="preserve">    İKO (Kadın)</w:t>
            </w:r>
          </w:p>
        </w:tc>
        <w:tc>
          <w:tcPr>
            <w:tcW w:w="674" w:type="pct"/>
            <w:tcBorders>
              <w:top w:val="nil"/>
              <w:left w:val="single" w:sz="4" w:space="0" w:color="auto"/>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26,0</w:t>
            </w:r>
          </w:p>
        </w:tc>
        <w:tc>
          <w:tcPr>
            <w:tcW w:w="541" w:type="pct"/>
            <w:tcBorders>
              <w:top w:val="nil"/>
              <w:left w:val="nil"/>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27,6</w:t>
            </w:r>
          </w:p>
        </w:tc>
        <w:tc>
          <w:tcPr>
            <w:tcW w:w="541" w:type="pct"/>
            <w:tcBorders>
              <w:top w:val="nil"/>
              <w:left w:val="nil"/>
              <w:bottom w:val="nil"/>
              <w:right w:val="single" w:sz="4" w:space="0" w:color="auto"/>
            </w:tcBorders>
            <w:vAlign w:val="center"/>
          </w:tcPr>
          <w:p w:rsidR="00565FD5" w:rsidRPr="004B3DE4" w:rsidRDefault="00565FD5" w:rsidP="00AB62A3">
            <w:pPr>
              <w:jc w:val="right"/>
              <w:rPr>
                <w:rFonts w:cs="Tahoma"/>
                <w:sz w:val="15"/>
                <w:szCs w:val="15"/>
              </w:rPr>
            </w:pPr>
            <w:r w:rsidRPr="004B3DE4">
              <w:rPr>
                <w:rFonts w:cs="Tahoma"/>
                <w:sz w:val="15"/>
                <w:szCs w:val="15"/>
              </w:rPr>
              <w:t>28,8</w:t>
            </w:r>
          </w:p>
        </w:tc>
        <w:tc>
          <w:tcPr>
            <w:tcW w:w="541" w:type="pct"/>
            <w:tcBorders>
              <w:top w:val="nil"/>
              <w:left w:val="single" w:sz="4" w:space="0" w:color="auto"/>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62,0</w:t>
            </w:r>
          </w:p>
        </w:tc>
        <w:tc>
          <w:tcPr>
            <w:tcW w:w="541" w:type="pct"/>
            <w:tcBorders>
              <w:top w:val="nil"/>
              <w:left w:val="nil"/>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62,4</w:t>
            </w:r>
          </w:p>
        </w:tc>
        <w:tc>
          <w:tcPr>
            <w:tcW w:w="541" w:type="pct"/>
            <w:tcBorders>
              <w:top w:val="nil"/>
              <w:left w:val="nil"/>
              <w:bottom w:val="nil"/>
            </w:tcBorders>
            <w:vAlign w:val="center"/>
          </w:tcPr>
          <w:p w:rsidR="00565FD5" w:rsidRPr="004B3DE4" w:rsidRDefault="00565FD5" w:rsidP="00AB62A3">
            <w:pPr>
              <w:jc w:val="right"/>
              <w:rPr>
                <w:rFonts w:cs="Tahoma"/>
                <w:sz w:val="15"/>
                <w:szCs w:val="15"/>
              </w:rPr>
            </w:pPr>
            <w:r w:rsidRPr="004B3DE4">
              <w:rPr>
                <w:rFonts w:cs="Tahoma"/>
                <w:sz w:val="15"/>
                <w:szCs w:val="15"/>
              </w:rPr>
              <w:t>63,3</w:t>
            </w:r>
          </w:p>
        </w:tc>
      </w:tr>
      <w:tr w:rsidR="00565FD5" w:rsidRPr="004B3DE4" w:rsidTr="00AB62A3">
        <w:trPr>
          <w:trHeight w:val="17"/>
        </w:trPr>
        <w:tc>
          <w:tcPr>
            <w:tcW w:w="1621" w:type="pct"/>
            <w:tcBorders>
              <w:top w:val="nil"/>
              <w:bottom w:val="nil"/>
              <w:right w:val="single" w:sz="4" w:space="0" w:color="auto"/>
            </w:tcBorders>
            <w:vAlign w:val="center"/>
          </w:tcPr>
          <w:p w:rsidR="00565FD5" w:rsidRPr="004B3DE4" w:rsidRDefault="00565FD5" w:rsidP="00AB62A3">
            <w:pPr>
              <w:rPr>
                <w:rFonts w:cs="Tahoma"/>
                <w:sz w:val="15"/>
                <w:szCs w:val="15"/>
              </w:rPr>
            </w:pPr>
            <w:r w:rsidRPr="004B3DE4">
              <w:rPr>
                <w:rFonts w:cs="Tahoma"/>
                <w:sz w:val="15"/>
                <w:szCs w:val="15"/>
              </w:rPr>
              <w:t xml:space="preserve">    İKO (Erkek)</w:t>
            </w:r>
          </w:p>
        </w:tc>
        <w:tc>
          <w:tcPr>
            <w:tcW w:w="674" w:type="pct"/>
            <w:tcBorders>
              <w:top w:val="nil"/>
              <w:left w:val="single" w:sz="4" w:space="0" w:color="auto"/>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70,5</w:t>
            </w:r>
          </w:p>
        </w:tc>
        <w:tc>
          <w:tcPr>
            <w:tcW w:w="541" w:type="pct"/>
            <w:tcBorders>
              <w:top w:val="nil"/>
              <w:left w:val="nil"/>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70,8</w:t>
            </w:r>
          </w:p>
        </w:tc>
        <w:tc>
          <w:tcPr>
            <w:tcW w:w="541" w:type="pct"/>
            <w:tcBorders>
              <w:top w:val="nil"/>
              <w:left w:val="nil"/>
              <w:bottom w:val="nil"/>
              <w:right w:val="single" w:sz="4" w:space="0" w:color="auto"/>
            </w:tcBorders>
            <w:vAlign w:val="center"/>
          </w:tcPr>
          <w:p w:rsidR="00565FD5" w:rsidRPr="004B3DE4" w:rsidRDefault="00565FD5" w:rsidP="00AB62A3">
            <w:pPr>
              <w:jc w:val="right"/>
              <w:rPr>
                <w:rFonts w:cs="Tahoma"/>
                <w:sz w:val="15"/>
                <w:szCs w:val="15"/>
              </w:rPr>
            </w:pPr>
            <w:r w:rsidRPr="004B3DE4">
              <w:rPr>
                <w:rFonts w:cs="Tahoma"/>
                <w:sz w:val="15"/>
                <w:szCs w:val="15"/>
              </w:rPr>
              <w:t>71,7</w:t>
            </w:r>
          </w:p>
        </w:tc>
        <w:tc>
          <w:tcPr>
            <w:tcW w:w="541" w:type="pct"/>
            <w:tcBorders>
              <w:top w:val="nil"/>
              <w:left w:val="single" w:sz="4" w:space="0" w:color="auto"/>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76,3</w:t>
            </w:r>
          </w:p>
        </w:tc>
        <w:tc>
          <w:tcPr>
            <w:tcW w:w="541" w:type="pct"/>
            <w:tcBorders>
              <w:top w:val="nil"/>
              <w:left w:val="nil"/>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75,4</w:t>
            </w:r>
          </w:p>
        </w:tc>
        <w:tc>
          <w:tcPr>
            <w:tcW w:w="541" w:type="pct"/>
            <w:tcBorders>
              <w:top w:val="nil"/>
              <w:left w:val="nil"/>
              <w:bottom w:val="nil"/>
            </w:tcBorders>
            <w:vAlign w:val="center"/>
          </w:tcPr>
          <w:p w:rsidR="00565FD5" w:rsidRPr="004B3DE4" w:rsidRDefault="00565FD5" w:rsidP="00AB62A3">
            <w:pPr>
              <w:jc w:val="right"/>
              <w:rPr>
                <w:rFonts w:cs="Tahoma"/>
                <w:sz w:val="15"/>
                <w:szCs w:val="15"/>
              </w:rPr>
            </w:pPr>
            <w:r w:rsidRPr="004B3DE4">
              <w:rPr>
                <w:rFonts w:cs="Tahoma"/>
                <w:sz w:val="15"/>
                <w:szCs w:val="15"/>
              </w:rPr>
              <w:t>75,1</w:t>
            </w:r>
          </w:p>
        </w:tc>
      </w:tr>
      <w:tr w:rsidR="00565FD5" w:rsidRPr="004B3DE4" w:rsidTr="00AB62A3">
        <w:trPr>
          <w:trHeight w:val="17"/>
        </w:trPr>
        <w:tc>
          <w:tcPr>
            <w:tcW w:w="1621" w:type="pct"/>
            <w:tcBorders>
              <w:top w:val="nil"/>
              <w:bottom w:val="nil"/>
              <w:right w:val="single" w:sz="4" w:space="0" w:color="auto"/>
            </w:tcBorders>
            <w:vAlign w:val="center"/>
          </w:tcPr>
          <w:p w:rsidR="00565FD5" w:rsidRPr="004B3DE4" w:rsidRDefault="00565FD5" w:rsidP="00AB62A3">
            <w:pPr>
              <w:rPr>
                <w:rFonts w:cs="Tahoma"/>
                <w:b/>
                <w:sz w:val="15"/>
                <w:szCs w:val="15"/>
              </w:rPr>
            </w:pPr>
            <w:r w:rsidRPr="004B3DE4">
              <w:rPr>
                <w:rFonts w:cs="Tahoma"/>
                <w:b/>
                <w:sz w:val="15"/>
                <w:szCs w:val="15"/>
              </w:rPr>
              <w:t xml:space="preserve">İstihdam Oranı </w:t>
            </w:r>
          </w:p>
        </w:tc>
        <w:tc>
          <w:tcPr>
            <w:tcW w:w="674" w:type="pct"/>
            <w:tcBorders>
              <w:top w:val="nil"/>
              <w:left w:val="single" w:sz="4" w:space="0" w:color="auto"/>
              <w:bottom w:val="nil"/>
              <w:right w:val="nil"/>
            </w:tcBorders>
            <w:vAlign w:val="center"/>
          </w:tcPr>
          <w:p w:rsidR="00565FD5" w:rsidRPr="004B3DE4" w:rsidRDefault="00565FD5" w:rsidP="00AB62A3">
            <w:pPr>
              <w:jc w:val="right"/>
              <w:rPr>
                <w:rFonts w:cs="Tahoma"/>
                <w:b/>
                <w:sz w:val="15"/>
                <w:szCs w:val="15"/>
              </w:rPr>
            </w:pPr>
            <w:r w:rsidRPr="004B3DE4">
              <w:rPr>
                <w:rFonts w:cs="Tahoma"/>
                <w:b/>
                <w:sz w:val="15"/>
                <w:szCs w:val="15"/>
              </w:rPr>
              <w:t>41,2</w:t>
            </w:r>
          </w:p>
        </w:tc>
        <w:tc>
          <w:tcPr>
            <w:tcW w:w="541" w:type="pct"/>
            <w:tcBorders>
              <w:top w:val="nil"/>
              <w:left w:val="nil"/>
              <w:bottom w:val="nil"/>
              <w:right w:val="nil"/>
            </w:tcBorders>
            <w:vAlign w:val="center"/>
          </w:tcPr>
          <w:p w:rsidR="00565FD5" w:rsidRPr="004B3DE4" w:rsidRDefault="00565FD5" w:rsidP="00AB62A3">
            <w:pPr>
              <w:jc w:val="right"/>
              <w:rPr>
                <w:rFonts w:cs="Tahoma"/>
                <w:b/>
                <w:sz w:val="15"/>
                <w:szCs w:val="15"/>
              </w:rPr>
            </w:pPr>
            <w:r w:rsidRPr="004B3DE4">
              <w:rPr>
                <w:rFonts w:cs="Tahoma"/>
                <w:b/>
                <w:sz w:val="15"/>
                <w:szCs w:val="15"/>
              </w:rPr>
              <w:t>43,0</w:t>
            </w:r>
          </w:p>
        </w:tc>
        <w:tc>
          <w:tcPr>
            <w:tcW w:w="541" w:type="pct"/>
            <w:tcBorders>
              <w:top w:val="nil"/>
              <w:left w:val="nil"/>
              <w:bottom w:val="nil"/>
              <w:right w:val="single" w:sz="4" w:space="0" w:color="auto"/>
            </w:tcBorders>
            <w:vAlign w:val="center"/>
          </w:tcPr>
          <w:p w:rsidR="00565FD5" w:rsidRPr="004B3DE4" w:rsidRDefault="00565FD5" w:rsidP="00AB62A3">
            <w:pPr>
              <w:jc w:val="right"/>
              <w:rPr>
                <w:rFonts w:cs="Tahoma"/>
                <w:b/>
                <w:sz w:val="15"/>
                <w:szCs w:val="15"/>
              </w:rPr>
            </w:pPr>
            <w:r w:rsidRPr="004B3DE4">
              <w:rPr>
                <w:rFonts w:cs="Tahoma"/>
                <w:b/>
                <w:sz w:val="15"/>
                <w:szCs w:val="15"/>
              </w:rPr>
              <w:t>45,0</w:t>
            </w:r>
          </w:p>
        </w:tc>
        <w:tc>
          <w:tcPr>
            <w:tcW w:w="541" w:type="pct"/>
            <w:tcBorders>
              <w:top w:val="nil"/>
              <w:left w:val="single" w:sz="4" w:space="0" w:color="auto"/>
              <w:bottom w:val="nil"/>
              <w:right w:val="nil"/>
            </w:tcBorders>
            <w:vAlign w:val="center"/>
          </w:tcPr>
          <w:p w:rsidR="00565FD5" w:rsidRPr="004B3DE4" w:rsidRDefault="00565FD5" w:rsidP="00AB62A3">
            <w:pPr>
              <w:jc w:val="right"/>
              <w:rPr>
                <w:rFonts w:cs="Tahoma"/>
                <w:b/>
                <w:sz w:val="15"/>
                <w:szCs w:val="15"/>
              </w:rPr>
            </w:pPr>
            <w:r w:rsidRPr="004B3DE4">
              <w:rPr>
                <w:rFonts w:cs="Tahoma"/>
                <w:b/>
                <w:sz w:val="15"/>
                <w:szCs w:val="15"/>
              </w:rPr>
              <w:t>61,1</w:t>
            </w:r>
          </w:p>
        </w:tc>
        <w:tc>
          <w:tcPr>
            <w:tcW w:w="541" w:type="pct"/>
            <w:tcBorders>
              <w:top w:val="nil"/>
              <w:left w:val="nil"/>
              <w:bottom w:val="nil"/>
              <w:right w:val="nil"/>
            </w:tcBorders>
            <w:vAlign w:val="center"/>
          </w:tcPr>
          <w:p w:rsidR="00565FD5" w:rsidRPr="004B3DE4" w:rsidRDefault="00565FD5" w:rsidP="00AB62A3">
            <w:pPr>
              <w:jc w:val="right"/>
              <w:rPr>
                <w:rFonts w:cs="Tahoma"/>
                <w:b/>
                <w:sz w:val="15"/>
                <w:szCs w:val="15"/>
              </w:rPr>
            </w:pPr>
            <w:r w:rsidRPr="004B3DE4">
              <w:rPr>
                <w:rFonts w:cs="Tahoma"/>
                <w:b/>
                <w:sz w:val="15"/>
                <w:szCs w:val="15"/>
              </w:rPr>
              <w:t>60,7</w:t>
            </w:r>
          </w:p>
        </w:tc>
        <w:tc>
          <w:tcPr>
            <w:tcW w:w="541" w:type="pct"/>
            <w:tcBorders>
              <w:top w:val="nil"/>
              <w:left w:val="nil"/>
              <w:bottom w:val="nil"/>
            </w:tcBorders>
            <w:vAlign w:val="center"/>
          </w:tcPr>
          <w:p w:rsidR="00565FD5" w:rsidRPr="004B3DE4" w:rsidRDefault="00565FD5" w:rsidP="00AB62A3">
            <w:pPr>
              <w:jc w:val="right"/>
              <w:rPr>
                <w:rFonts w:cs="Tahoma"/>
                <w:b/>
                <w:sz w:val="15"/>
                <w:szCs w:val="15"/>
              </w:rPr>
            </w:pPr>
            <w:r w:rsidRPr="004B3DE4">
              <w:rPr>
                <w:rFonts w:cs="Tahoma"/>
                <w:b/>
                <w:sz w:val="15"/>
                <w:szCs w:val="15"/>
              </w:rPr>
              <w:t>60,9</w:t>
            </w:r>
          </w:p>
        </w:tc>
      </w:tr>
      <w:tr w:rsidR="00565FD5" w:rsidRPr="004B3DE4" w:rsidTr="00AB62A3">
        <w:trPr>
          <w:trHeight w:val="17"/>
        </w:trPr>
        <w:tc>
          <w:tcPr>
            <w:tcW w:w="1621" w:type="pct"/>
            <w:tcBorders>
              <w:top w:val="nil"/>
              <w:bottom w:val="nil"/>
              <w:right w:val="single" w:sz="4" w:space="0" w:color="auto"/>
            </w:tcBorders>
            <w:vAlign w:val="center"/>
          </w:tcPr>
          <w:p w:rsidR="00565FD5" w:rsidRPr="004B3DE4" w:rsidRDefault="00565FD5" w:rsidP="00AB62A3">
            <w:pPr>
              <w:rPr>
                <w:rFonts w:cs="Tahoma"/>
                <w:sz w:val="15"/>
                <w:szCs w:val="15"/>
              </w:rPr>
            </w:pPr>
            <w:r w:rsidRPr="004B3DE4">
              <w:rPr>
                <w:rFonts w:cs="Tahoma"/>
                <w:sz w:val="15"/>
                <w:szCs w:val="15"/>
              </w:rPr>
              <w:t xml:space="preserve">    İstihdam Oranı (Kadın)</w:t>
            </w:r>
          </w:p>
        </w:tc>
        <w:tc>
          <w:tcPr>
            <w:tcW w:w="674" w:type="pct"/>
            <w:tcBorders>
              <w:top w:val="nil"/>
              <w:left w:val="single" w:sz="4" w:space="0" w:color="auto"/>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22,3</w:t>
            </w:r>
          </w:p>
        </w:tc>
        <w:tc>
          <w:tcPr>
            <w:tcW w:w="541" w:type="pct"/>
            <w:tcBorders>
              <w:top w:val="nil"/>
              <w:left w:val="nil"/>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24,0</w:t>
            </w:r>
          </w:p>
        </w:tc>
        <w:tc>
          <w:tcPr>
            <w:tcW w:w="541" w:type="pct"/>
            <w:tcBorders>
              <w:top w:val="nil"/>
              <w:left w:val="nil"/>
              <w:bottom w:val="nil"/>
              <w:right w:val="single" w:sz="4" w:space="0" w:color="auto"/>
            </w:tcBorders>
            <w:vAlign w:val="center"/>
          </w:tcPr>
          <w:p w:rsidR="00565FD5" w:rsidRPr="004B3DE4" w:rsidRDefault="00565FD5" w:rsidP="00AB62A3">
            <w:pPr>
              <w:jc w:val="right"/>
              <w:rPr>
                <w:rFonts w:cs="Tahoma"/>
                <w:sz w:val="15"/>
                <w:szCs w:val="15"/>
              </w:rPr>
            </w:pPr>
            <w:r w:rsidRPr="004B3DE4">
              <w:rPr>
                <w:rFonts w:cs="Tahoma"/>
                <w:sz w:val="15"/>
                <w:szCs w:val="15"/>
              </w:rPr>
              <w:t>25,6</w:t>
            </w:r>
          </w:p>
        </w:tc>
        <w:tc>
          <w:tcPr>
            <w:tcW w:w="541" w:type="pct"/>
            <w:tcBorders>
              <w:top w:val="nil"/>
              <w:left w:val="single" w:sz="4" w:space="0" w:color="auto"/>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54,7</w:t>
            </w:r>
          </w:p>
        </w:tc>
        <w:tc>
          <w:tcPr>
            <w:tcW w:w="541" w:type="pct"/>
            <w:tcBorders>
              <w:top w:val="nil"/>
              <w:left w:val="nil"/>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54,7</w:t>
            </w:r>
          </w:p>
        </w:tc>
        <w:tc>
          <w:tcPr>
            <w:tcW w:w="541" w:type="pct"/>
            <w:tcBorders>
              <w:top w:val="nil"/>
              <w:left w:val="nil"/>
              <w:bottom w:val="nil"/>
            </w:tcBorders>
            <w:vAlign w:val="center"/>
          </w:tcPr>
          <w:p w:rsidR="00565FD5" w:rsidRPr="004B3DE4" w:rsidRDefault="00565FD5" w:rsidP="00AB62A3">
            <w:pPr>
              <w:jc w:val="right"/>
              <w:rPr>
                <w:rFonts w:cs="Tahoma"/>
                <w:sz w:val="15"/>
                <w:szCs w:val="15"/>
              </w:rPr>
            </w:pPr>
            <w:r w:rsidRPr="004B3DE4">
              <w:rPr>
                <w:rFonts w:cs="Tahoma"/>
                <w:sz w:val="15"/>
                <w:szCs w:val="15"/>
              </w:rPr>
              <w:t>55,4</w:t>
            </w:r>
          </w:p>
        </w:tc>
      </w:tr>
      <w:tr w:rsidR="00565FD5" w:rsidRPr="004B3DE4" w:rsidTr="00AB62A3">
        <w:trPr>
          <w:trHeight w:val="17"/>
        </w:trPr>
        <w:tc>
          <w:tcPr>
            <w:tcW w:w="1621" w:type="pct"/>
            <w:tcBorders>
              <w:top w:val="nil"/>
              <w:bottom w:val="nil"/>
              <w:right w:val="single" w:sz="4" w:space="0" w:color="auto"/>
            </w:tcBorders>
            <w:vAlign w:val="center"/>
          </w:tcPr>
          <w:p w:rsidR="00565FD5" w:rsidRPr="004B3DE4" w:rsidRDefault="00565FD5" w:rsidP="00AB62A3">
            <w:pPr>
              <w:rPr>
                <w:rFonts w:cs="Tahoma"/>
                <w:sz w:val="15"/>
                <w:szCs w:val="15"/>
              </w:rPr>
            </w:pPr>
            <w:r w:rsidRPr="004B3DE4">
              <w:rPr>
                <w:rFonts w:cs="Tahoma"/>
                <w:sz w:val="15"/>
                <w:szCs w:val="15"/>
              </w:rPr>
              <w:t xml:space="preserve">    İstihdam Oranı (Erkek)</w:t>
            </w:r>
          </w:p>
        </w:tc>
        <w:tc>
          <w:tcPr>
            <w:tcW w:w="674" w:type="pct"/>
            <w:tcBorders>
              <w:top w:val="nil"/>
              <w:left w:val="single" w:sz="4" w:space="0" w:color="auto"/>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60,7</w:t>
            </w:r>
          </w:p>
        </w:tc>
        <w:tc>
          <w:tcPr>
            <w:tcW w:w="541" w:type="pct"/>
            <w:tcBorders>
              <w:top w:val="nil"/>
              <w:left w:val="nil"/>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62,7</w:t>
            </w:r>
          </w:p>
        </w:tc>
        <w:tc>
          <w:tcPr>
            <w:tcW w:w="541" w:type="pct"/>
            <w:tcBorders>
              <w:top w:val="nil"/>
              <w:left w:val="nil"/>
              <w:bottom w:val="nil"/>
              <w:right w:val="single" w:sz="4" w:space="0" w:color="auto"/>
            </w:tcBorders>
            <w:vAlign w:val="center"/>
          </w:tcPr>
          <w:p w:rsidR="00565FD5" w:rsidRPr="004B3DE4" w:rsidRDefault="00565FD5" w:rsidP="00AB62A3">
            <w:pPr>
              <w:jc w:val="right"/>
              <w:rPr>
                <w:rFonts w:cs="Tahoma"/>
                <w:sz w:val="15"/>
                <w:szCs w:val="15"/>
              </w:rPr>
            </w:pPr>
            <w:r w:rsidRPr="004B3DE4">
              <w:rPr>
                <w:rFonts w:cs="Tahoma"/>
                <w:sz w:val="15"/>
                <w:szCs w:val="15"/>
              </w:rPr>
              <w:t>65,1</w:t>
            </w:r>
          </w:p>
        </w:tc>
        <w:tc>
          <w:tcPr>
            <w:tcW w:w="541" w:type="pct"/>
            <w:tcBorders>
              <w:top w:val="nil"/>
              <w:left w:val="single" w:sz="4" w:space="0" w:color="auto"/>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67,7</w:t>
            </w:r>
          </w:p>
        </w:tc>
        <w:tc>
          <w:tcPr>
            <w:tcW w:w="541" w:type="pct"/>
            <w:tcBorders>
              <w:top w:val="nil"/>
              <w:left w:val="nil"/>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66,9</w:t>
            </w:r>
          </w:p>
        </w:tc>
        <w:tc>
          <w:tcPr>
            <w:tcW w:w="541" w:type="pct"/>
            <w:tcBorders>
              <w:top w:val="nil"/>
              <w:left w:val="nil"/>
              <w:bottom w:val="nil"/>
            </w:tcBorders>
            <w:vAlign w:val="center"/>
          </w:tcPr>
          <w:p w:rsidR="00565FD5" w:rsidRPr="004B3DE4" w:rsidRDefault="00565FD5" w:rsidP="00AB62A3">
            <w:pPr>
              <w:jc w:val="right"/>
              <w:rPr>
                <w:rFonts w:cs="Tahoma"/>
                <w:sz w:val="15"/>
                <w:szCs w:val="15"/>
              </w:rPr>
            </w:pPr>
            <w:r w:rsidRPr="004B3DE4">
              <w:rPr>
                <w:rFonts w:cs="Tahoma"/>
                <w:sz w:val="15"/>
                <w:szCs w:val="15"/>
              </w:rPr>
              <w:t>66,8</w:t>
            </w:r>
          </w:p>
        </w:tc>
      </w:tr>
      <w:tr w:rsidR="00565FD5" w:rsidRPr="004B3DE4" w:rsidTr="00AB62A3">
        <w:trPr>
          <w:trHeight w:val="17"/>
        </w:trPr>
        <w:tc>
          <w:tcPr>
            <w:tcW w:w="1621" w:type="pct"/>
            <w:tcBorders>
              <w:top w:val="nil"/>
              <w:bottom w:val="nil"/>
              <w:right w:val="single" w:sz="4" w:space="0" w:color="auto"/>
            </w:tcBorders>
            <w:vAlign w:val="center"/>
          </w:tcPr>
          <w:p w:rsidR="00565FD5" w:rsidRPr="004B3DE4" w:rsidRDefault="00565FD5" w:rsidP="00AB62A3">
            <w:pPr>
              <w:rPr>
                <w:rFonts w:cs="Tahoma"/>
                <w:b/>
                <w:sz w:val="15"/>
                <w:szCs w:val="15"/>
              </w:rPr>
            </w:pPr>
            <w:r w:rsidRPr="004B3DE4">
              <w:rPr>
                <w:rFonts w:cs="Tahoma"/>
                <w:b/>
                <w:sz w:val="15"/>
                <w:szCs w:val="15"/>
              </w:rPr>
              <w:t xml:space="preserve">İşsizlik Oranı </w:t>
            </w:r>
          </w:p>
        </w:tc>
        <w:tc>
          <w:tcPr>
            <w:tcW w:w="674" w:type="pct"/>
            <w:tcBorders>
              <w:top w:val="nil"/>
              <w:left w:val="single" w:sz="4" w:space="0" w:color="auto"/>
              <w:bottom w:val="nil"/>
              <w:right w:val="nil"/>
            </w:tcBorders>
          </w:tcPr>
          <w:p w:rsidR="00565FD5" w:rsidRPr="004B3DE4" w:rsidRDefault="00565FD5" w:rsidP="00AB62A3">
            <w:pPr>
              <w:jc w:val="right"/>
              <w:rPr>
                <w:rFonts w:cs="Tahoma"/>
                <w:b/>
                <w:sz w:val="15"/>
                <w:szCs w:val="15"/>
              </w:rPr>
            </w:pPr>
            <w:r w:rsidRPr="004B3DE4">
              <w:rPr>
                <w:rFonts w:cs="Tahoma"/>
                <w:b/>
                <w:sz w:val="15"/>
                <w:szCs w:val="15"/>
              </w:rPr>
              <w:t>14,0</w:t>
            </w:r>
          </w:p>
        </w:tc>
        <w:tc>
          <w:tcPr>
            <w:tcW w:w="541" w:type="pct"/>
            <w:tcBorders>
              <w:top w:val="nil"/>
              <w:left w:val="nil"/>
              <w:bottom w:val="nil"/>
              <w:right w:val="nil"/>
            </w:tcBorders>
            <w:vAlign w:val="center"/>
          </w:tcPr>
          <w:p w:rsidR="00565FD5" w:rsidRPr="004B3DE4" w:rsidRDefault="00565FD5" w:rsidP="00AB62A3">
            <w:pPr>
              <w:jc w:val="right"/>
              <w:rPr>
                <w:rFonts w:cs="Tahoma"/>
                <w:b/>
                <w:sz w:val="15"/>
                <w:szCs w:val="15"/>
              </w:rPr>
            </w:pPr>
            <w:r w:rsidRPr="004B3DE4">
              <w:rPr>
                <w:rFonts w:cs="Tahoma"/>
                <w:b/>
                <w:sz w:val="15"/>
                <w:szCs w:val="15"/>
              </w:rPr>
              <w:t>11,9</w:t>
            </w:r>
          </w:p>
        </w:tc>
        <w:tc>
          <w:tcPr>
            <w:tcW w:w="541" w:type="pct"/>
            <w:tcBorders>
              <w:top w:val="nil"/>
              <w:left w:val="nil"/>
              <w:bottom w:val="nil"/>
              <w:right w:val="single" w:sz="4" w:space="0" w:color="auto"/>
            </w:tcBorders>
            <w:vAlign w:val="center"/>
          </w:tcPr>
          <w:p w:rsidR="00565FD5" w:rsidRPr="004B3DE4" w:rsidRDefault="00565FD5" w:rsidP="00AB62A3">
            <w:pPr>
              <w:jc w:val="right"/>
              <w:rPr>
                <w:rFonts w:cs="Tahoma"/>
                <w:b/>
                <w:sz w:val="15"/>
                <w:szCs w:val="15"/>
              </w:rPr>
            </w:pPr>
            <w:r w:rsidRPr="004B3DE4">
              <w:rPr>
                <w:rFonts w:cs="Tahoma"/>
                <w:b/>
                <w:sz w:val="15"/>
                <w:szCs w:val="15"/>
              </w:rPr>
              <w:t>9,8</w:t>
            </w:r>
          </w:p>
        </w:tc>
        <w:tc>
          <w:tcPr>
            <w:tcW w:w="541" w:type="pct"/>
            <w:tcBorders>
              <w:top w:val="nil"/>
              <w:left w:val="single" w:sz="4" w:space="0" w:color="auto"/>
              <w:bottom w:val="nil"/>
              <w:right w:val="nil"/>
            </w:tcBorders>
            <w:vAlign w:val="center"/>
          </w:tcPr>
          <w:p w:rsidR="00565FD5" w:rsidRPr="004B3DE4" w:rsidRDefault="00565FD5" w:rsidP="00AB62A3">
            <w:pPr>
              <w:jc w:val="right"/>
              <w:rPr>
                <w:rFonts w:cs="Tahoma"/>
                <w:b/>
                <w:sz w:val="15"/>
                <w:szCs w:val="15"/>
              </w:rPr>
            </w:pPr>
            <w:r w:rsidRPr="004B3DE4">
              <w:rPr>
                <w:rFonts w:cs="Tahoma"/>
                <w:b/>
                <w:sz w:val="15"/>
                <w:szCs w:val="15"/>
              </w:rPr>
              <w:t>11,5</w:t>
            </w:r>
          </w:p>
        </w:tc>
        <w:tc>
          <w:tcPr>
            <w:tcW w:w="541" w:type="pct"/>
            <w:tcBorders>
              <w:top w:val="nil"/>
              <w:left w:val="nil"/>
              <w:bottom w:val="nil"/>
              <w:right w:val="nil"/>
            </w:tcBorders>
            <w:vAlign w:val="center"/>
          </w:tcPr>
          <w:p w:rsidR="00565FD5" w:rsidRPr="004B3DE4" w:rsidRDefault="00565FD5" w:rsidP="00AB62A3">
            <w:pPr>
              <w:jc w:val="right"/>
              <w:rPr>
                <w:rFonts w:cs="Tahoma"/>
                <w:b/>
                <w:sz w:val="15"/>
                <w:szCs w:val="15"/>
              </w:rPr>
            </w:pPr>
            <w:r w:rsidRPr="004B3DE4">
              <w:rPr>
                <w:rFonts w:cs="Tahoma"/>
                <w:b/>
                <w:sz w:val="15"/>
                <w:szCs w:val="15"/>
              </w:rPr>
              <w:t>11,9</w:t>
            </w:r>
          </w:p>
        </w:tc>
        <w:tc>
          <w:tcPr>
            <w:tcW w:w="541" w:type="pct"/>
            <w:tcBorders>
              <w:top w:val="nil"/>
              <w:left w:val="nil"/>
              <w:bottom w:val="nil"/>
            </w:tcBorders>
            <w:vAlign w:val="center"/>
          </w:tcPr>
          <w:p w:rsidR="00565FD5" w:rsidRPr="004B3DE4" w:rsidRDefault="00565FD5" w:rsidP="00AB62A3">
            <w:pPr>
              <w:jc w:val="right"/>
              <w:rPr>
                <w:rFonts w:cs="Tahoma"/>
                <w:b/>
                <w:sz w:val="15"/>
                <w:szCs w:val="15"/>
              </w:rPr>
            </w:pPr>
            <w:r w:rsidRPr="004B3DE4">
              <w:rPr>
                <w:rFonts w:cs="Tahoma"/>
                <w:b/>
                <w:sz w:val="15"/>
                <w:szCs w:val="15"/>
              </w:rPr>
              <w:t>11,7</w:t>
            </w:r>
          </w:p>
        </w:tc>
      </w:tr>
      <w:tr w:rsidR="00565FD5" w:rsidRPr="004B3DE4" w:rsidTr="00AB62A3">
        <w:trPr>
          <w:trHeight w:val="17"/>
        </w:trPr>
        <w:tc>
          <w:tcPr>
            <w:tcW w:w="1621" w:type="pct"/>
            <w:tcBorders>
              <w:top w:val="nil"/>
              <w:bottom w:val="nil"/>
              <w:right w:val="single" w:sz="4" w:space="0" w:color="auto"/>
            </w:tcBorders>
            <w:vAlign w:val="center"/>
          </w:tcPr>
          <w:p w:rsidR="00565FD5" w:rsidRPr="004B3DE4" w:rsidRDefault="00565FD5" w:rsidP="00AB62A3">
            <w:pPr>
              <w:rPr>
                <w:rFonts w:cs="Tahoma"/>
                <w:sz w:val="15"/>
                <w:szCs w:val="15"/>
              </w:rPr>
            </w:pPr>
            <w:r w:rsidRPr="004B3DE4">
              <w:rPr>
                <w:rFonts w:cs="Tahoma"/>
                <w:sz w:val="15"/>
                <w:szCs w:val="15"/>
              </w:rPr>
              <w:t xml:space="preserve">    İşsizlik Oranı (Kadın)</w:t>
            </w:r>
          </w:p>
        </w:tc>
        <w:tc>
          <w:tcPr>
            <w:tcW w:w="674" w:type="pct"/>
            <w:tcBorders>
              <w:top w:val="nil"/>
              <w:left w:val="single" w:sz="4" w:space="0" w:color="auto"/>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ab/>
              <w:t>14,3</w:t>
            </w:r>
          </w:p>
        </w:tc>
        <w:tc>
          <w:tcPr>
            <w:tcW w:w="541" w:type="pct"/>
            <w:tcBorders>
              <w:top w:val="nil"/>
              <w:left w:val="nil"/>
              <w:bottom w:val="nil"/>
              <w:right w:val="nil"/>
            </w:tcBorders>
            <w:vAlign w:val="center"/>
          </w:tcPr>
          <w:p w:rsidR="00565FD5" w:rsidRPr="004B3DE4" w:rsidRDefault="00565FD5" w:rsidP="00AB62A3">
            <w:pPr>
              <w:tabs>
                <w:tab w:val="left" w:pos="563"/>
              </w:tabs>
              <w:jc w:val="right"/>
              <w:rPr>
                <w:rFonts w:cs="Tahoma"/>
                <w:sz w:val="15"/>
                <w:szCs w:val="15"/>
              </w:rPr>
            </w:pPr>
            <w:r w:rsidRPr="004B3DE4">
              <w:rPr>
                <w:rFonts w:cs="Tahoma"/>
                <w:sz w:val="15"/>
                <w:szCs w:val="15"/>
              </w:rPr>
              <w:t>13,0</w:t>
            </w:r>
          </w:p>
        </w:tc>
        <w:tc>
          <w:tcPr>
            <w:tcW w:w="541" w:type="pct"/>
            <w:tcBorders>
              <w:top w:val="nil"/>
              <w:left w:val="nil"/>
              <w:bottom w:val="nil"/>
              <w:right w:val="single" w:sz="4" w:space="0" w:color="auto"/>
            </w:tcBorders>
            <w:vAlign w:val="center"/>
          </w:tcPr>
          <w:p w:rsidR="00565FD5" w:rsidRPr="004B3DE4" w:rsidRDefault="00565FD5" w:rsidP="00AB62A3">
            <w:pPr>
              <w:jc w:val="right"/>
              <w:rPr>
                <w:rFonts w:cs="Tahoma"/>
                <w:sz w:val="15"/>
                <w:szCs w:val="15"/>
              </w:rPr>
            </w:pPr>
            <w:r w:rsidRPr="004B3DE4">
              <w:rPr>
                <w:rFonts w:cs="Tahoma"/>
                <w:sz w:val="15"/>
                <w:szCs w:val="15"/>
              </w:rPr>
              <w:t>11,3</w:t>
            </w:r>
          </w:p>
        </w:tc>
        <w:tc>
          <w:tcPr>
            <w:tcW w:w="541" w:type="pct"/>
            <w:tcBorders>
              <w:top w:val="nil"/>
              <w:left w:val="single" w:sz="4" w:space="0" w:color="auto"/>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11,7</w:t>
            </w:r>
          </w:p>
        </w:tc>
        <w:tc>
          <w:tcPr>
            <w:tcW w:w="541" w:type="pct"/>
            <w:tcBorders>
              <w:top w:val="nil"/>
              <w:left w:val="nil"/>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12,5</w:t>
            </w:r>
          </w:p>
        </w:tc>
        <w:tc>
          <w:tcPr>
            <w:tcW w:w="541" w:type="pct"/>
            <w:tcBorders>
              <w:top w:val="nil"/>
              <w:left w:val="nil"/>
              <w:bottom w:val="nil"/>
            </w:tcBorders>
            <w:vAlign w:val="center"/>
          </w:tcPr>
          <w:p w:rsidR="00565FD5" w:rsidRPr="004B3DE4" w:rsidRDefault="00565FD5" w:rsidP="00AB62A3">
            <w:pPr>
              <w:jc w:val="right"/>
              <w:rPr>
                <w:rFonts w:cs="Tahoma"/>
                <w:sz w:val="15"/>
                <w:szCs w:val="15"/>
              </w:rPr>
            </w:pPr>
            <w:r w:rsidRPr="004B3DE4">
              <w:rPr>
                <w:rFonts w:cs="Tahoma"/>
                <w:sz w:val="15"/>
                <w:szCs w:val="15"/>
              </w:rPr>
              <w:t>12,5</w:t>
            </w:r>
          </w:p>
        </w:tc>
      </w:tr>
      <w:tr w:rsidR="00565FD5" w:rsidRPr="004B3DE4" w:rsidTr="00AB62A3">
        <w:trPr>
          <w:trHeight w:val="17"/>
        </w:trPr>
        <w:tc>
          <w:tcPr>
            <w:tcW w:w="1621" w:type="pct"/>
            <w:tcBorders>
              <w:top w:val="nil"/>
              <w:bottom w:val="nil"/>
              <w:right w:val="single" w:sz="4" w:space="0" w:color="auto"/>
            </w:tcBorders>
            <w:vAlign w:val="center"/>
          </w:tcPr>
          <w:p w:rsidR="00565FD5" w:rsidRPr="004B3DE4" w:rsidRDefault="00565FD5" w:rsidP="00AB62A3">
            <w:pPr>
              <w:rPr>
                <w:rFonts w:cs="Tahoma"/>
                <w:sz w:val="15"/>
                <w:szCs w:val="15"/>
              </w:rPr>
            </w:pPr>
            <w:r w:rsidRPr="004B3DE4">
              <w:rPr>
                <w:rFonts w:cs="Tahoma"/>
                <w:sz w:val="15"/>
                <w:szCs w:val="15"/>
              </w:rPr>
              <w:lastRenderedPageBreak/>
              <w:t xml:space="preserve">    İşsizlik Oranı (Erkek)</w:t>
            </w:r>
          </w:p>
        </w:tc>
        <w:tc>
          <w:tcPr>
            <w:tcW w:w="674" w:type="pct"/>
            <w:tcBorders>
              <w:top w:val="nil"/>
              <w:left w:val="single" w:sz="4" w:space="0" w:color="auto"/>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13,9</w:t>
            </w:r>
          </w:p>
        </w:tc>
        <w:tc>
          <w:tcPr>
            <w:tcW w:w="541" w:type="pct"/>
            <w:tcBorders>
              <w:top w:val="nil"/>
              <w:left w:val="nil"/>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11,4</w:t>
            </w:r>
          </w:p>
        </w:tc>
        <w:tc>
          <w:tcPr>
            <w:tcW w:w="541" w:type="pct"/>
            <w:tcBorders>
              <w:top w:val="nil"/>
              <w:left w:val="nil"/>
              <w:bottom w:val="nil"/>
              <w:right w:val="single" w:sz="4" w:space="0" w:color="auto"/>
            </w:tcBorders>
            <w:vAlign w:val="center"/>
          </w:tcPr>
          <w:p w:rsidR="00565FD5" w:rsidRPr="004B3DE4" w:rsidRDefault="00565FD5" w:rsidP="00AB62A3">
            <w:pPr>
              <w:jc w:val="right"/>
              <w:rPr>
                <w:rFonts w:cs="Tahoma"/>
                <w:sz w:val="15"/>
                <w:szCs w:val="15"/>
              </w:rPr>
            </w:pPr>
            <w:r w:rsidRPr="004B3DE4">
              <w:rPr>
                <w:rFonts w:cs="Tahoma"/>
                <w:sz w:val="15"/>
                <w:szCs w:val="15"/>
              </w:rPr>
              <w:t>9,2</w:t>
            </w:r>
          </w:p>
        </w:tc>
        <w:tc>
          <w:tcPr>
            <w:tcW w:w="541" w:type="pct"/>
            <w:tcBorders>
              <w:top w:val="nil"/>
              <w:left w:val="single" w:sz="4" w:space="0" w:color="auto"/>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11,3</w:t>
            </w:r>
          </w:p>
        </w:tc>
        <w:tc>
          <w:tcPr>
            <w:tcW w:w="541" w:type="pct"/>
            <w:tcBorders>
              <w:top w:val="nil"/>
              <w:left w:val="nil"/>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11,4</w:t>
            </w:r>
          </w:p>
        </w:tc>
        <w:tc>
          <w:tcPr>
            <w:tcW w:w="541" w:type="pct"/>
            <w:tcBorders>
              <w:top w:val="nil"/>
              <w:left w:val="nil"/>
              <w:bottom w:val="nil"/>
            </w:tcBorders>
            <w:vAlign w:val="center"/>
          </w:tcPr>
          <w:p w:rsidR="00565FD5" w:rsidRPr="004B3DE4" w:rsidRDefault="00565FD5" w:rsidP="00AB62A3">
            <w:pPr>
              <w:jc w:val="right"/>
              <w:rPr>
                <w:rFonts w:cs="Tahoma"/>
                <w:sz w:val="15"/>
                <w:szCs w:val="15"/>
              </w:rPr>
            </w:pPr>
            <w:r w:rsidRPr="004B3DE4">
              <w:rPr>
                <w:rFonts w:cs="Tahoma"/>
                <w:sz w:val="15"/>
                <w:szCs w:val="15"/>
              </w:rPr>
              <w:t>11,1</w:t>
            </w:r>
          </w:p>
        </w:tc>
      </w:tr>
      <w:tr w:rsidR="00565FD5" w:rsidRPr="004B3DE4" w:rsidTr="00AB62A3">
        <w:trPr>
          <w:trHeight w:val="17"/>
        </w:trPr>
        <w:tc>
          <w:tcPr>
            <w:tcW w:w="1621" w:type="pct"/>
            <w:tcBorders>
              <w:top w:val="nil"/>
              <w:bottom w:val="nil"/>
              <w:right w:val="single" w:sz="4" w:space="0" w:color="auto"/>
            </w:tcBorders>
            <w:vAlign w:val="center"/>
          </w:tcPr>
          <w:p w:rsidR="00565FD5" w:rsidRPr="004B3DE4" w:rsidRDefault="00565FD5" w:rsidP="00AB62A3">
            <w:pPr>
              <w:rPr>
                <w:rFonts w:cs="Tahoma"/>
                <w:sz w:val="15"/>
                <w:szCs w:val="15"/>
              </w:rPr>
            </w:pPr>
            <w:r w:rsidRPr="004B3DE4">
              <w:rPr>
                <w:rFonts w:cs="Tahoma"/>
                <w:sz w:val="15"/>
                <w:szCs w:val="15"/>
              </w:rPr>
              <w:t xml:space="preserve">    İşsizlik Oranı (Kır)</w:t>
            </w:r>
          </w:p>
        </w:tc>
        <w:tc>
          <w:tcPr>
            <w:tcW w:w="674" w:type="pct"/>
            <w:tcBorders>
              <w:top w:val="nil"/>
              <w:left w:val="single" w:sz="4" w:space="0" w:color="auto"/>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8,9</w:t>
            </w:r>
          </w:p>
        </w:tc>
        <w:tc>
          <w:tcPr>
            <w:tcW w:w="541" w:type="pct"/>
            <w:tcBorders>
              <w:top w:val="nil"/>
              <w:left w:val="nil"/>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7,3</w:t>
            </w:r>
          </w:p>
        </w:tc>
        <w:tc>
          <w:tcPr>
            <w:tcW w:w="541" w:type="pct"/>
            <w:tcBorders>
              <w:top w:val="nil"/>
              <w:left w:val="nil"/>
              <w:bottom w:val="nil"/>
              <w:right w:val="single" w:sz="4" w:space="0" w:color="auto"/>
            </w:tcBorders>
            <w:vAlign w:val="center"/>
          </w:tcPr>
          <w:p w:rsidR="00565FD5" w:rsidRPr="004B3DE4" w:rsidRDefault="00565FD5" w:rsidP="00AB62A3">
            <w:pPr>
              <w:jc w:val="right"/>
              <w:rPr>
                <w:rFonts w:cs="Tahoma"/>
                <w:sz w:val="15"/>
                <w:szCs w:val="15"/>
              </w:rPr>
            </w:pPr>
            <w:r w:rsidRPr="004B3DE4">
              <w:rPr>
                <w:rFonts w:cs="Tahoma"/>
                <w:sz w:val="15"/>
                <w:szCs w:val="15"/>
              </w:rPr>
              <w:t>5,8</w:t>
            </w:r>
          </w:p>
        </w:tc>
        <w:tc>
          <w:tcPr>
            <w:tcW w:w="541" w:type="pct"/>
            <w:tcBorders>
              <w:top w:val="nil"/>
              <w:left w:val="single" w:sz="4" w:space="0" w:color="auto"/>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w:t>
            </w:r>
          </w:p>
        </w:tc>
        <w:tc>
          <w:tcPr>
            <w:tcW w:w="541" w:type="pct"/>
            <w:tcBorders>
              <w:top w:val="nil"/>
              <w:left w:val="nil"/>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w:t>
            </w:r>
          </w:p>
        </w:tc>
        <w:tc>
          <w:tcPr>
            <w:tcW w:w="541" w:type="pct"/>
            <w:tcBorders>
              <w:top w:val="nil"/>
              <w:left w:val="nil"/>
              <w:bottom w:val="nil"/>
            </w:tcBorders>
            <w:vAlign w:val="center"/>
          </w:tcPr>
          <w:p w:rsidR="00565FD5" w:rsidRPr="004B3DE4" w:rsidRDefault="00565FD5" w:rsidP="00AB62A3">
            <w:pPr>
              <w:jc w:val="right"/>
              <w:rPr>
                <w:rFonts w:cs="Tahoma"/>
                <w:sz w:val="15"/>
                <w:szCs w:val="15"/>
              </w:rPr>
            </w:pPr>
            <w:r w:rsidRPr="004B3DE4">
              <w:rPr>
                <w:rFonts w:cs="Tahoma"/>
                <w:sz w:val="15"/>
                <w:szCs w:val="15"/>
              </w:rPr>
              <w:t>-</w:t>
            </w:r>
          </w:p>
        </w:tc>
      </w:tr>
      <w:tr w:rsidR="00565FD5" w:rsidRPr="004B3DE4" w:rsidTr="00AB62A3">
        <w:trPr>
          <w:trHeight w:val="17"/>
        </w:trPr>
        <w:tc>
          <w:tcPr>
            <w:tcW w:w="1621" w:type="pct"/>
            <w:tcBorders>
              <w:top w:val="nil"/>
              <w:bottom w:val="nil"/>
              <w:right w:val="single" w:sz="4" w:space="0" w:color="auto"/>
            </w:tcBorders>
            <w:vAlign w:val="center"/>
          </w:tcPr>
          <w:p w:rsidR="00565FD5" w:rsidRPr="004B3DE4" w:rsidRDefault="00565FD5" w:rsidP="00AB62A3">
            <w:pPr>
              <w:rPr>
                <w:rFonts w:cs="Tahoma"/>
                <w:sz w:val="15"/>
                <w:szCs w:val="15"/>
              </w:rPr>
            </w:pPr>
            <w:r w:rsidRPr="004B3DE4">
              <w:rPr>
                <w:rFonts w:cs="Tahoma"/>
                <w:sz w:val="15"/>
                <w:szCs w:val="15"/>
              </w:rPr>
              <w:t xml:space="preserve">    İşsizlik Oranı (Kent)</w:t>
            </w:r>
          </w:p>
        </w:tc>
        <w:tc>
          <w:tcPr>
            <w:tcW w:w="674" w:type="pct"/>
            <w:tcBorders>
              <w:top w:val="nil"/>
              <w:left w:val="single" w:sz="4" w:space="0" w:color="auto"/>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16,6</w:t>
            </w:r>
          </w:p>
        </w:tc>
        <w:tc>
          <w:tcPr>
            <w:tcW w:w="541" w:type="pct"/>
            <w:tcBorders>
              <w:top w:val="nil"/>
              <w:left w:val="nil"/>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14,2</w:t>
            </w:r>
          </w:p>
        </w:tc>
        <w:tc>
          <w:tcPr>
            <w:tcW w:w="541" w:type="pct"/>
            <w:tcBorders>
              <w:top w:val="nil"/>
              <w:left w:val="nil"/>
              <w:bottom w:val="nil"/>
              <w:right w:val="single" w:sz="4" w:space="0" w:color="auto"/>
            </w:tcBorders>
            <w:vAlign w:val="center"/>
          </w:tcPr>
          <w:p w:rsidR="00565FD5" w:rsidRPr="004B3DE4" w:rsidRDefault="00565FD5" w:rsidP="00AB62A3">
            <w:pPr>
              <w:jc w:val="right"/>
              <w:rPr>
                <w:rFonts w:cs="Tahoma"/>
                <w:sz w:val="15"/>
                <w:szCs w:val="15"/>
              </w:rPr>
            </w:pPr>
            <w:r w:rsidRPr="004B3DE4">
              <w:rPr>
                <w:rFonts w:cs="Tahoma"/>
                <w:sz w:val="15"/>
                <w:szCs w:val="15"/>
              </w:rPr>
              <w:t>11,9</w:t>
            </w:r>
          </w:p>
        </w:tc>
        <w:tc>
          <w:tcPr>
            <w:tcW w:w="541" w:type="pct"/>
            <w:tcBorders>
              <w:top w:val="nil"/>
              <w:left w:val="single" w:sz="4" w:space="0" w:color="auto"/>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w:t>
            </w:r>
          </w:p>
        </w:tc>
        <w:tc>
          <w:tcPr>
            <w:tcW w:w="541" w:type="pct"/>
            <w:tcBorders>
              <w:top w:val="nil"/>
              <w:left w:val="nil"/>
              <w:bottom w:val="nil"/>
              <w:right w:val="nil"/>
            </w:tcBorders>
            <w:vAlign w:val="center"/>
          </w:tcPr>
          <w:p w:rsidR="00565FD5" w:rsidRPr="004B3DE4" w:rsidRDefault="00565FD5" w:rsidP="00AB62A3">
            <w:pPr>
              <w:jc w:val="right"/>
              <w:rPr>
                <w:rFonts w:cs="Tahoma"/>
                <w:sz w:val="15"/>
                <w:szCs w:val="15"/>
              </w:rPr>
            </w:pPr>
            <w:r w:rsidRPr="004B3DE4">
              <w:rPr>
                <w:rFonts w:cs="Tahoma"/>
                <w:sz w:val="15"/>
                <w:szCs w:val="15"/>
              </w:rPr>
              <w:t>-</w:t>
            </w:r>
          </w:p>
        </w:tc>
        <w:tc>
          <w:tcPr>
            <w:tcW w:w="541" w:type="pct"/>
            <w:tcBorders>
              <w:top w:val="nil"/>
              <w:left w:val="nil"/>
              <w:bottom w:val="nil"/>
            </w:tcBorders>
            <w:vAlign w:val="center"/>
          </w:tcPr>
          <w:p w:rsidR="00565FD5" w:rsidRPr="004B3DE4" w:rsidRDefault="00565FD5" w:rsidP="00AB62A3">
            <w:pPr>
              <w:jc w:val="right"/>
              <w:rPr>
                <w:rFonts w:cs="Tahoma"/>
                <w:sz w:val="15"/>
                <w:szCs w:val="15"/>
              </w:rPr>
            </w:pPr>
            <w:r w:rsidRPr="004B3DE4">
              <w:rPr>
                <w:rFonts w:cs="Tahoma"/>
                <w:sz w:val="15"/>
                <w:szCs w:val="15"/>
              </w:rPr>
              <w:t>-</w:t>
            </w:r>
          </w:p>
        </w:tc>
      </w:tr>
      <w:tr w:rsidR="00565FD5" w:rsidRPr="004B3DE4" w:rsidTr="00AB62A3">
        <w:trPr>
          <w:trHeight w:val="17"/>
        </w:trPr>
        <w:tc>
          <w:tcPr>
            <w:tcW w:w="1621" w:type="pct"/>
            <w:tcBorders>
              <w:top w:val="nil"/>
              <w:bottom w:val="nil"/>
              <w:right w:val="single" w:sz="4" w:space="0" w:color="auto"/>
            </w:tcBorders>
            <w:vAlign w:val="center"/>
          </w:tcPr>
          <w:p w:rsidR="00565FD5" w:rsidRPr="004B3DE4" w:rsidRDefault="00565FD5" w:rsidP="00AB62A3">
            <w:pPr>
              <w:rPr>
                <w:rFonts w:cs="Tahoma"/>
                <w:b/>
                <w:sz w:val="15"/>
                <w:szCs w:val="15"/>
              </w:rPr>
            </w:pPr>
            <w:r w:rsidRPr="004B3DE4">
              <w:rPr>
                <w:rFonts w:cs="Tahoma"/>
                <w:b/>
                <w:sz w:val="15"/>
                <w:szCs w:val="15"/>
              </w:rPr>
              <w:t>Genç İşsizliği Oranı (15-24)</w:t>
            </w:r>
          </w:p>
        </w:tc>
        <w:tc>
          <w:tcPr>
            <w:tcW w:w="674" w:type="pct"/>
            <w:tcBorders>
              <w:top w:val="nil"/>
              <w:left w:val="single" w:sz="4" w:space="0" w:color="auto"/>
              <w:bottom w:val="nil"/>
              <w:right w:val="nil"/>
            </w:tcBorders>
            <w:vAlign w:val="center"/>
          </w:tcPr>
          <w:p w:rsidR="00565FD5" w:rsidRPr="004B3DE4" w:rsidRDefault="00565FD5" w:rsidP="00AB62A3">
            <w:pPr>
              <w:jc w:val="right"/>
              <w:rPr>
                <w:rFonts w:cs="Tahoma"/>
                <w:b/>
                <w:sz w:val="15"/>
                <w:szCs w:val="15"/>
              </w:rPr>
            </w:pPr>
            <w:r w:rsidRPr="004B3DE4">
              <w:rPr>
                <w:rFonts w:cs="Tahoma"/>
                <w:b/>
                <w:sz w:val="15"/>
                <w:szCs w:val="15"/>
              </w:rPr>
              <w:t>25,3</w:t>
            </w:r>
          </w:p>
        </w:tc>
        <w:tc>
          <w:tcPr>
            <w:tcW w:w="541" w:type="pct"/>
            <w:tcBorders>
              <w:top w:val="nil"/>
              <w:left w:val="nil"/>
              <w:bottom w:val="nil"/>
              <w:right w:val="nil"/>
            </w:tcBorders>
            <w:vAlign w:val="center"/>
          </w:tcPr>
          <w:p w:rsidR="00565FD5" w:rsidRPr="004B3DE4" w:rsidRDefault="00565FD5" w:rsidP="00AB62A3">
            <w:pPr>
              <w:jc w:val="right"/>
              <w:rPr>
                <w:rFonts w:cs="Tahoma"/>
                <w:b/>
                <w:sz w:val="15"/>
                <w:szCs w:val="15"/>
              </w:rPr>
            </w:pPr>
            <w:r w:rsidRPr="004B3DE4">
              <w:rPr>
                <w:rFonts w:cs="Tahoma"/>
                <w:b/>
                <w:sz w:val="15"/>
                <w:szCs w:val="15"/>
              </w:rPr>
              <w:t>21,7</w:t>
            </w:r>
          </w:p>
        </w:tc>
        <w:tc>
          <w:tcPr>
            <w:tcW w:w="541" w:type="pct"/>
            <w:tcBorders>
              <w:top w:val="nil"/>
              <w:left w:val="nil"/>
              <w:bottom w:val="nil"/>
              <w:right w:val="single" w:sz="4" w:space="0" w:color="auto"/>
            </w:tcBorders>
            <w:vAlign w:val="center"/>
          </w:tcPr>
          <w:p w:rsidR="00565FD5" w:rsidRPr="004B3DE4" w:rsidRDefault="00565FD5" w:rsidP="00AB62A3">
            <w:pPr>
              <w:jc w:val="right"/>
              <w:rPr>
                <w:rFonts w:cs="Tahoma"/>
                <w:b/>
                <w:sz w:val="15"/>
                <w:szCs w:val="15"/>
              </w:rPr>
            </w:pPr>
            <w:r w:rsidRPr="004B3DE4">
              <w:rPr>
                <w:rFonts w:cs="Tahoma"/>
                <w:b/>
                <w:sz w:val="15"/>
                <w:szCs w:val="15"/>
              </w:rPr>
              <w:t>18,4</w:t>
            </w:r>
          </w:p>
        </w:tc>
        <w:tc>
          <w:tcPr>
            <w:tcW w:w="541" w:type="pct"/>
            <w:tcBorders>
              <w:top w:val="nil"/>
              <w:left w:val="single" w:sz="4" w:space="0" w:color="auto"/>
              <w:bottom w:val="nil"/>
              <w:right w:val="nil"/>
            </w:tcBorders>
            <w:vAlign w:val="center"/>
          </w:tcPr>
          <w:p w:rsidR="00565FD5" w:rsidRPr="004B3DE4" w:rsidRDefault="00565FD5" w:rsidP="00AB62A3">
            <w:pPr>
              <w:jc w:val="right"/>
              <w:rPr>
                <w:rFonts w:cs="Tahoma"/>
                <w:b/>
                <w:sz w:val="15"/>
                <w:szCs w:val="15"/>
              </w:rPr>
            </w:pPr>
            <w:r w:rsidRPr="004B3DE4">
              <w:rPr>
                <w:rFonts w:cs="Tahoma"/>
                <w:b/>
                <w:sz w:val="15"/>
                <w:szCs w:val="15"/>
              </w:rPr>
              <w:t>20,6</w:t>
            </w:r>
          </w:p>
        </w:tc>
        <w:tc>
          <w:tcPr>
            <w:tcW w:w="541" w:type="pct"/>
            <w:tcBorders>
              <w:top w:val="nil"/>
              <w:left w:val="nil"/>
              <w:bottom w:val="nil"/>
              <w:right w:val="nil"/>
            </w:tcBorders>
            <w:vAlign w:val="center"/>
          </w:tcPr>
          <w:p w:rsidR="00565FD5" w:rsidRPr="004B3DE4" w:rsidRDefault="00565FD5" w:rsidP="00AB62A3">
            <w:pPr>
              <w:jc w:val="right"/>
              <w:rPr>
                <w:rFonts w:cs="Tahoma"/>
                <w:b/>
                <w:sz w:val="15"/>
                <w:szCs w:val="15"/>
              </w:rPr>
            </w:pPr>
            <w:r w:rsidRPr="004B3DE4">
              <w:rPr>
                <w:rFonts w:cs="Tahoma"/>
                <w:b/>
                <w:sz w:val="15"/>
                <w:szCs w:val="15"/>
              </w:rPr>
              <w:t>20,6</w:t>
            </w:r>
          </w:p>
        </w:tc>
        <w:tc>
          <w:tcPr>
            <w:tcW w:w="541" w:type="pct"/>
            <w:tcBorders>
              <w:top w:val="nil"/>
              <w:left w:val="nil"/>
              <w:bottom w:val="nil"/>
            </w:tcBorders>
            <w:vAlign w:val="center"/>
          </w:tcPr>
          <w:p w:rsidR="00565FD5" w:rsidRPr="004B3DE4" w:rsidRDefault="00565FD5" w:rsidP="00AB62A3">
            <w:pPr>
              <w:jc w:val="right"/>
              <w:rPr>
                <w:rFonts w:cs="Tahoma"/>
                <w:b/>
                <w:sz w:val="15"/>
                <w:szCs w:val="15"/>
              </w:rPr>
            </w:pPr>
            <w:r w:rsidRPr="004B3DE4">
              <w:rPr>
                <w:rFonts w:cs="Tahoma"/>
                <w:b/>
                <w:sz w:val="15"/>
                <w:szCs w:val="15"/>
              </w:rPr>
              <w:t>22,3</w:t>
            </w:r>
          </w:p>
        </w:tc>
      </w:tr>
      <w:tr w:rsidR="00565FD5" w:rsidRPr="004B3DE4" w:rsidTr="00AB62A3">
        <w:trPr>
          <w:trHeight w:val="17"/>
        </w:trPr>
        <w:tc>
          <w:tcPr>
            <w:tcW w:w="1621" w:type="pct"/>
            <w:tcBorders>
              <w:top w:val="nil"/>
              <w:bottom w:val="single" w:sz="4" w:space="0" w:color="auto"/>
              <w:right w:val="single" w:sz="4" w:space="0" w:color="auto"/>
            </w:tcBorders>
            <w:vAlign w:val="center"/>
          </w:tcPr>
          <w:p w:rsidR="00565FD5" w:rsidRPr="004B3DE4" w:rsidRDefault="00565FD5" w:rsidP="00AB62A3">
            <w:pPr>
              <w:rPr>
                <w:rFonts w:cs="Tahoma"/>
                <w:b/>
                <w:sz w:val="15"/>
                <w:szCs w:val="15"/>
              </w:rPr>
            </w:pPr>
            <w:r w:rsidRPr="004B3DE4">
              <w:rPr>
                <w:rFonts w:cs="Tahoma"/>
                <w:b/>
                <w:sz w:val="15"/>
                <w:szCs w:val="15"/>
              </w:rPr>
              <w:t xml:space="preserve">Tarım Dışı İşsizlik Oranı </w:t>
            </w:r>
          </w:p>
        </w:tc>
        <w:tc>
          <w:tcPr>
            <w:tcW w:w="674" w:type="pct"/>
            <w:tcBorders>
              <w:top w:val="nil"/>
              <w:left w:val="single" w:sz="4" w:space="0" w:color="auto"/>
              <w:bottom w:val="single" w:sz="4" w:space="0" w:color="auto"/>
              <w:right w:val="nil"/>
            </w:tcBorders>
            <w:vAlign w:val="center"/>
          </w:tcPr>
          <w:p w:rsidR="00565FD5" w:rsidRPr="004B3DE4" w:rsidRDefault="00565FD5" w:rsidP="00AB62A3">
            <w:pPr>
              <w:jc w:val="right"/>
              <w:rPr>
                <w:rFonts w:cs="Tahoma"/>
                <w:b/>
                <w:sz w:val="15"/>
                <w:szCs w:val="15"/>
              </w:rPr>
            </w:pPr>
            <w:r w:rsidRPr="004B3DE4">
              <w:rPr>
                <w:rFonts w:cs="Tahoma"/>
                <w:b/>
                <w:sz w:val="15"/>
                <w:szCs w:val="15"/>
              </w:rPr>
              <w:t>17,4</w:t>
            </w:r>
          </w:p>
        </w:tc>
        <w:tc>
          <w:tcPr>
            <w:tcW w:w="541" w:type="pct"/>
            <w:tcBorders>
              <w:top w:val="nil"/>
              <w:left w:val="nil"/>
              <w:bottom w:val="single" w:sz="4" w:space="0" w:color="auto"/>
              <w:right w:val="nil"/>
            </w:tcBorders>
            <w:vAlign w:val="center"/>
          </w:tcPr>
          <w:p w:rsidR="00565FD5" w:rsidRPr="004B3DE4" w:rsidRDefault="00565FD5" w:rsidP="00AB62A3">
            <w:pPr>
              <w:jc w:val="right"/>
              <w:rPr>
                <w:rFonts w:cs="Tahoma"/>
                <w:b/>
                <w:sz w:val="15"/>
                <w:szCs w:val="15"/>
              </w:rPr>
            </w:pPr>
            <w:r w:rsidRPr="004B3DE4">
              <w:rPr>
                <w:rFonts w:cs="Tahoma"/>
                <w:b/>
                <w:sz w:val="15"/>
                <w:szCs w:val="15"/>
              </w:rPr>
              <w:t>14,8</w:t>
            </w:r>
          </w:p>
        </w:tc>
        <w:tc>
          <w:tcPr>
            <w:tcW w:w="541" w:type="pct"/>
            <w:tcBorders>
              <w:top w:val="nil"/>
              <w:left w:val="nil"/>
              <w:bottom w:val="single" w:sz="4" w:space="0" w:color="auto"/>
              <w:right w:val="single" w:sz="4" w:space="0" w:color="auto"/>
            </w:tcBorders>
            <w:vAlign w:val="center"/>
          </w:tcPr>
          <w:p w:rsidR="00565FD5" w:rsidRPr="004B3DE4" w:rsidRDefault="00565FD5" w:rsidP="00AB62A3">
            <w:pPr>
              <w:jc w:val="right"/>
              <w:rPr>
                <w:rFonts w:cs="Tahoma"/>
                <w:b/>
                <w:sz w:val="15"/>
                <w:szCs w:val="15"/>
              </w:rPr>
            </w:pPr>
            <w:r w:rsidRPr="004B3DE4">
              <w:rPr>
                <w:rFonts w:cs="Tahoma"/>
                <w:b/>
                <w:sz w:val="15"/>
                <w:szCs w:val="15"/>
              </w:rPr>
              <w:t>12,4</w:t>
            </w:r>
          </w:p>
        </w:tc>
        <w:tc>
          <w:tcPr>
            <w:tcW w:w="541" w:type="pct"/>
            <w:tcBorders>
              <w:top w:val="nil"/>
              <w:left w:val="single" w:sz="4" w:space="0" w:color="auto"/>
              <w:bottom w:val="single" w:sz="4" w:space="0" w:color="auto"/>
              <w:right w:val="nil"/>
            </w:tcBorders>
            <w:vAlign w:val="center"/>
          </w:tcPr>
          <w:p w:rsidR="00565FD5" w:rsidRPr="004B3DE4" w:rsidRDefault="00565FD5" w:rsidP="00AB62A3">
            <w:pPr>
              <w:jc w:val="right"/>
              <w:rPr>
                <w:rFonts w:cs="Tahoma"/>
                <w:b/>
                <w:sz w:val="15"/>
                <w:szCs w:val="15"/>
              </w:rPr>
            </w:pPr>
            <w:r w:rsidRPr="004B3DE4">
              <w:rPr>
                <w:rFonts w:cs="Tahoma"/>
                <w:b/>
                <w:sz w:val="15"/>
                <w:szCs w:val="15"/>
              </w:rPr>
              <w:t>-</w:t>
            </w:r>
          </w:p>
        </w:tc>
        <w:tc>
          <w:tcPr>
            <w:tcW w:w="541" w:type="pct"/>
            <w:tcBorders>
              <w:top w:val="nil"/>
              <w:left w:val="nil"/>
              <w:bottom w:val="single" w:sz="4" w:space="0" w:color="auto"/>
              <w:right w:val="nil"/>
            </w:tcBorders>
            <w:vAlign w:val="center"/>
          </w:tcPr>
          <w:p w:rsidR="00565FD5" w:rsidRPr="004B3DE4" w:rsidRDefault="00565FD5" w:rsidP="00AB62A3">
            <w:pPr>
              <w:jc w:val="right"/>
              <w:rPr>
                <w:rFonts w:cs="Tahoma"/>
                <w:b/>
                <w:sz w:val="15"/>
                <w:szCs w:val="15"/>
              </w:rPr>
            </w:pPr>
            <w:r w:rsidRPr="004B3DE4">
              <w:rPr>
                <w:rFonts w:cs="Tahoma"/>
                <w:b/>
                <w:sz w:val="15"/>
                <w:szCs w:val="15"/>
              </w:rPr>
              <w:t>-</w:t>
            </w:r>
          </w:p>
        </w:tc>
        <w:tc>
          <w:tcPr>
            <w:tcW w:w="541" w:type="pct"/>
            <w:tcBorders>
              <w:top w:val="nil"/>
              <w:left w:val="nil"/>
              <w:bottom w:val="single" w:sz="4" w:space="0" w:color="auto"/>
            </w:tcBorders>
            <w:vAlign w:val="center"/>
          </w:tcPr>
          <w:p w:rsidR="00565FD5" w:rsidRPr="004B3DE4" w:rsidRDefault="00565FD5" w:rsidP="00AB62A3">
            <w:pPr>
              <w:jc w:val="right"/>
              <w:rPr>
                <w:rFonts w:cs="Tahoma"/>
                <w:b/>
                <w:sz w:val="15"/>
                <w:szCs w:val="15"/>
              </w:rPr>
            </w:pPr>
            <w:r w:rsidRPr="004B3DE4">
              <w:rPr>
                <w:rFonts w:cs="Tahoma"/>
                <w:b/>
                <w:sz w:val="15"/>
                <w:szCs w:val="15"/>
              </w:rPr>
              <w:t>-</w:t>
            </w:r>
          </w:p>
        </w:tc>
      </w:tr>
    </w:tbl>
    <w:p w:rsidR="00565FD5" w:rsidRPr="004B3DE4" w:rsidRDefault="00565FD5" w:rsidP="00565FD5">
      <w:pPr>
        <w:tabs>
          <w:tab w:val="left" w:pos="480"/>
        </w:tabs>
        <w:spacing w:after="240"/>
        <w:rPr>
          <w:sz w:val="15"/>
        </w:rPr>
      </w:pPr>
      <w:r w:rsidRPr="004B3DE4">
        <w:rPr>
          <w:sz w:val="15"/>
        </w:rPr>
        <w:t>Kaynak: TÜİK, Eurostat</w:t>
      </w:r>
    </w:p>
    <w:p w:rsidR="00565FD5" w:rsidRPr="004B3DE4" w:rsidRDefault="00565FD5" w:rsidP="00565FD5">
      <w:pPr>
        <w:spacing w:after="120"/>
        <w:ind w:firstLine="425"/>
        <w:rPr>
          <w:rFonts w:cs="Tahoma"/>
          <w:szCs w:val="18"/>
        </w:rPr>
      </w:pPr>
      <w:r w:rsidRPr="004B3DE4">
        <w:rPr>
          <w:rFonts w:cs="Tahoma"/>
          <w:szCs w:val="18"/>
        </w:rPr>
        <w:t xml:space="preserve">Sektörel ayrımda istihdam incelendiğinde tarım dışı sektörlerde nispeten en fazla iş yaratan sektörün inşaat olduğu göze çarpmaktadır. 2011 yılında sektörel ekonomik büyüme hızları inşaatta yüzde 11,3, sanayide yüzde 9,4, hizmetlerde yüzde 8,9 ve tarımda yüzde 5,6 olarak gerçekleşirken, bu sektörlerdeki istihdam artış hızı sırasıyla, yüzde 17,1, yüzde 4,6, yüzde 5,5 ve yüzde 8,1 olarak kaydedilmiştir. 2007 yılından bu yana artış gösteren tarım istihdamının payı 2011 yılında da artmaya devam etmiştir. </w:t>
      </w:r>
    </w:p>
    <w:p w:rsidR="00565FD5" w:rsidRPr="008B744B" w:rsidRDefault="00565FD5" w:rsidP="00565FD5">
      <w:pPr>
        <w:pStyle w:val="ResimYazs"/>
        <w:rPr>
          <w:rFonts w:cs="Tahoma"/>
        </w:rPr>
      </w:pPr>
      <w:bookmarkStart w:id="2208" w:name="_Toc307601700"/>
      <w:bookmarkStart w:id="2209" w:name="_Toc307657920"/>
      <w:bookmarkStart w:id="2210" w:name="_Toc307702177"/>
      <w:bookmarkStart w:id="2211" w:name="_Toc338606044"/>
      <w:bookmarkStart w:id="2212" w:name="_Toc338711819"/>
      <w:r>
        <w:t xml:space="preserve">TABLO IV: </w:t>
      </w:r>
      <w:fldSimple w:instr=" SEQ TABLO_IV: \* ARABIC ">
        <w:r>
          <w:rPr>
            <w:noProof/>
          </w:rPr>
          <w:t>49</w:t>
        </w:r>
      </w:fldSimple>
      <w:r w:rsidRPr="008B744B">
        <w:t>-</w:t>
      </w:r>
      <w:r w:rsidRPr="008B744B">
        <w:rPr>
          <w:rFonts w:cs="Tahoma"/>
        </w:rPr>
        <w:t xml:space="preserve"> İstihdamın Sektörel Dağılımı</w:t>
      </w:r>
      <w:bookmarkEnd w:id="2208"/>
      <w:bookmarkEnd w:id="2209"/>
      <w:bookmarkEnd w:id="2210"/>
      <w:bookmarkEnd w:id="2211"/>
      <w:bookmarkEnd w:id="2212"/>
      <w:r w:rsidRPr="008B744B">
        <w:rPr>
          <w:rFonts w:cs="Tahoma"/>
        </w:rPr>
        <w:t xml:space="preserve"> </w:t>
      </w:r>
    </w:p>
    <w:tbl>
      <w:tblPr>
        <w:tblW w:w="4815" w:type="pct"/>
        <w:tblInd w:w="108" w:type="dxa"/>
        <w:tblBorders>
          <w:top w:val="single" w:sz="4" w:space="0" w:color="auto"/>
          <w:left w:val="single" w:sz="4" w:space="0" w:color="auto"/>
          <w:bottom w:val="single" w:sz="4" w:space="0" w:color="auto"/>
          <w:right w:val="single" w:sz="4" w:space="0" w:color="auto"/>
        </w:tblBorders>
        <w:tblLook w:val="00A0"/>
      </w:tblPr>
      <w:tblGrid>
        <w:gridCol w:w="1865"/>
        <w:gridCol w:w="1798"/>
        <w:gridCol w:w="1807"/>
        <w:gridCol w:w="1616"/>
      </w:tblGrid>
      <w:tr w:rsidR="00565FD5" w:rsidRPr="004B3DE4" w:rsidTr="00AB62A3">
        <w:tc>
          <w:tcPr>
            <w:tcW w:w="1316" w:type="pct"/>
            <w:tcBorders>
              <w:top w:val="nil"/>
              <w:left w:val="nil"/>
              <w:bottom w:val="single" w:sz="4" w:space="0" w:color="auto"/>
              <w:right w:val="nil"/>
            </w:tcBorders>
          </w:tcPr>
          <w:p w:rsidR="00565FD5" w:rsidRPr="004B3DE4" w:rsidRDefault="00565FD5" w:rsidP="00AB62A3">
            <w:pPr>
              <w:rPr>
                <w:rFonts w:cs="Tahoma"/>
                <w:b/>
                <w:szCs w:val="18"/>
              </w:rPr>
            </w:pPr>
          </w:p>
        </w:tc>
        <w:tc>
          <w:tcPr>
            <w:tcW w:w="1269" w:type="pct"/>
            <w:tcBorders>
              <w:top w:val="nil"/>
              <w:left w:val="nil"/>
              <w:bottom w:val="single" w:sz="4" w:space="0" w:color="auto"/>
              <w:right w:val="nil"/>
            </w:tcBorders>
            <w:vAlign w:val="center"/>
          </w:tcPr>
          <w:p w:rsidR="00565FD5" w:rsidRPr="004B3DE4" w:rsidRDefault="00565FD5" w:rsidP="00AB62A3">
            <w:pPr>
              <w:jc w:val="right"/>
              <w:rPr>
                <w:rFonts w:cs="Tahoma"/>
                <w:b/>
                <w:szCs w:val="18"/>
              </w:rPr>
            </w:pPr>
          </w:p>
        </w:tc>
        <w:tc>
          <w:tcPr>
            <w:tcW w:w="1275" w:type="pct"/>
            <w:tcBorders>
              <w:top w:val="nil"/>
              <w:left w:val="nil"/>
              <w:bottom w:val="single" w:sz="4" w:space="0" w:color="auto"/>
              <w:right w:val="nil"/>
            </w:tcBorders>
            <w:vAlign w:val="center"/>
          </w:tcPr>
          <w:p w:rsidR="00565FD5" w:rsidRPr="004B3DE4" w:rsidRDefault="00565FD5" w:rsidP="00AB62A3">
            <w:pPr>
              <w:ind w:right="176"/>
              <w:jc w:val="right"/>
              <w:rPr>
                <w:rFonts w:cs="Tahoma"/>
                <w:b/>
                <w:szCs w:val="18"/>
              </w:rPr>
            </w:pPr>
          </w:p>
        </w:tc>
        <w:tc>
          <w:tcPr>
            <w:tcW w:w="1140" w:type="pct"/>
            <w:tcBorders>
              <w:top w:val="nil"/>
              <w:left w:val="nil"/>
              <w:bottom w:val="single" w:sz="4" w:space="0" w:color="auto"/>
              <w:right w:val="nil"/>
            </w:tcBorders>
          </w:tcPr>
          <w:p w:rsidR="00565FD5" w:rsidRPr="004B3DE4" w:rsidRDefault="00565FD5" w:rsidP="00AB62A3">
            <w:pPr>
              <w:ind w:right="176"/>
              <w:jc w:val="right"/>
              <w:rPr>
                <w:rFonts w:cs="Tahoma"/>
                <w:b/>
                <w:szCs w:val="18"/>
              </w:rPr>
            </w:pPr>
            <w:r w:rsidRPr="004B3DE4">
              <w:rPr>
                <w:rFonts w:cs="Tahoma"/>
              </w:rPr>
              <w:t>(Yüzde)</w:t>
            </w:r>
          </w:p>
        </w:tc>
      </w:tr>
      <w:tr w:rsidR="00565FD5" w:rsidRPr="004B3DE4" w:rsidTr="00AB62A3">
        <w:tc>
          <w:tcPr>
            <w:tcW w:w="1316" w:type="pct"/>
            <w:tcBorders>
              <w:top w:val="single" w:sz="4" w:space="0" w:color="auto"/>
              <w:bottom w:val="single" w:sz="4" w:space="0" w:color="auto"/>
              <w:right w:val="single" w:sz="4" w:space="0" w:color="auto"/>
            </w:tcBorders>
          </w:tcPr>
          <w:p w:rsidR="00565FD5" w:rsidRPr="004B3DE4" w:rsidRDefault="00565FD5" w:rsidP="00AB62A3">
            <w:pPr>
              <w:rPr>
                <w:rFonts w:cs="Tahoma"/>
                <w:b/>
                <w:szCs w:val="18"/>
              </w:rPr>
            </w:pPr>
          </w:p>
        </w:tc>
        <w:tc>
          <w:tcPr>
            <w:tcW w:w="1269" w:type="pct"/>
            <w:tcBorders>
              <w:top w:val="single" w:sz="4" w:space="0" w:color="auto"/>
              <w:left w:val="single" w:sz="4" w:space="0" w:color="auto"/>
              <w:bottom w:val="single" w:sz="4" w:space="0" w:color="auto"/>
            </w:tcBorders>
            <w:vAlign w:val="center"/>
          </w:tcPr>
          <w:p w:rsidR="00565FD5" w:rsidRPr="004B3DE4" w:rsidRDefault="00565FD5" w:rsidP="00AB62A3">
            <w:pPr>
              <w:jc w:val="right"/>
              <w:rPr>
                <w:rFonts w:cs="Tahoma"/>
                <w:b/>
                <w:szCs w:val="18"/>
              </w:rPr>
            </w:pPr>
            <w:r w:rsidRPr="004B3DE4">
              <w:rPr>
                <w:rFonts w:cs="Tahoma"/>
                <w:b/>
                <w:szCs w:val="18"/>
              </w:rPr>
              <w:t>2009</w:t>
            </w:r>
          </w:p>
        </w:tc>
        <w:tc>
          <w:tcPr>
            <w:tcW w:w="1275" w:type="pct"/>
            <w:tcBorders>
              <w:top w:val="single" w:sz="4" w:space="0" w:color="auto"/>
              <w:bottom w:val="single" w:sz="4" w:space="0" w:color="auto"/>
            </w:tcBorders>
            <w:vAlign w:val="center"/>
          </w:tcPr>
          <w:p w:rsidR="00565FD5" w:rsidRPr="004B3DE4" w:rsidRDefault="00565FD5" w:rsidP="00AB62A3">
            <w:pPr>
              <w:ind w:right="176"/>
              <w:jc w:val="right"/>
              <w:rPr>
                <w:rFonts w:cs="Tahoma"/>
                <w:b/>
                <w:szCs w:val="18"/>
              </w:rPr>
            </w:pPr>
            <w:r w:rsidRPr="004B3DE4">
              <w:rPr>
                <w:rFonts w:cs="Tahoma"/>
                <w:b/>
                <w:szCs w:val="18"/>
              </w:rPr>
              <w:t>2010</w:t>
            </w:r>
          </w:p>
        </w:tc>
        <w:tc>
          <w:tcPr>
            <w:tcW w:w="1140" w:type="pct"/>
            <w:tcBorders>
              <w:top w:val="single" w:sz="4" w:space="0" w:color="auto"/>
              <w:bottom w:val="single" w:sz="4" w:space="0" w:color="auto"/>
            </w:tcBorders>
          </w:tcPr>
          <w:p w:rsidR="00565FD5" w:rsidRPr="004B3DE4" w:rsidRDefault="00565FD5" w:rsidP="00AB62A3">
            <w:pPr>
              <w:ind w:right="176"/>
              <w:jc w:val="right"/>
              <w:rPr>
                <w:rFonts w:cs="Tahoma"/>
                <w:b/>
                <w:szCs w:val="18"/>
              </w:rPr>
            </w:pPr>
            <w:r w:rsidRPr="004B3DE4">
              <w:rPr>
                <w:rFonts w:cs="Tahoma"/>
                <w:b/>
                <w:szCs w:val="18"/>
              </w:rPr>
              <w:t>2011</w:t>
            </w:r>
          </w:p>
        </w:tc>
      </w:tr>
      <w:tr w:rsidR="00565FD5" w:rsidRPr="004B3DE4" w:rsidTr="00AB62A3">
        <w:tc>
          <w:tcPr>
            <w:tcW w:w="1316" w:type="pct"/>
            <w:tcBorders>
              <w:top w:val="single" w:sz="4" w:space="0" w:color="auto"/>
              <w:right w:val="single" w:sz="4" w:space="0" w:color="auto"/>
            </w:tcBorders>
          </w:tcPr>
          <w:p w:rsidR="00565FD5" w:rsidRPr="004B3DE4" w:rsidRDefault="00565FD5" w:rsidP="00AB62A3">
            <w:pPr>
              <w:rPr>
                <w:rFonts w:cs="Tahoma"/>
                <w:szCs w:val="18"/>
              </w:rPr>
            </w:pPr>
            <w:r w:rsidRPr="004B3DE4">
              <w:rPr>
                <w:rFonts w:cs="Tahoma"/>
                <w:szCs w:val="18"/>
              </w:rPr>
              <w:t>Tarım</w:t>
            </w:r>
          </w:p>
        </w:tc>
        <w:tc>
          <w:tcPr>
            <w:tcW w:w="1269" w:type="pct"/>
            <w:tcBorders>
              <w:top w:val="single" w:sz="4" w:space="0" w:color="auto"/>
              <w:left w:val="single" w:sz="4" w:space="0" w:color="auto"/>
              <w:bottom w:val="nil"/>
            </w:tcBorders>
            <w:vAlign w:val="center"/>
          </w:tcPr>
          <w:p w:rsidR="00565FD5" w:rsidRPr="004B3DE4" w:rsidRDefault="00565FD5" w:rsidP="00AB62A3">
            <w:pPr>
              <w:jc w:val="right"/>
              <w:rPr>
                <w:rFonts w:cs="Tahoma"/>
                <w:szCs w:val="18"/>
              </w:rPr>
            </w:pPr>
            <w:r w:rsidRPr="004B3DE4">
              <w:rPr>
                <w:rFonts w:cs="Tahoma"/>
                <w:szCs w:val="18"/>
              </w:rPr>
              <w:t>24,7</w:t>
            </w:r>
          </w:p>
        </w:tc>
        <w:tc>
          <w:tcPr>
            <w:tcW w:w="1275" w:type="pct"/>
            <w:tcBorders>
              <w:top w:val="single" w:sz="4" w:space="0" w:color="auto"/>
              <w:bottom w:val="nil"/>
            </w:tcBorders>
            <w:vAlign w:val="center"/>
          </w:tcPr>
          <w:p w:rsidR="00565FD5" w:rsidRPr="004B3DE4" w:rsidRDefault="00565FD5" w:rsidP="00AB62A3">
            <w:pPr>
              <w:ind w:right="176"/>
              <w:jc w:val="right"/>
              <w:rPr>
                <w:rFonts w:cs="Tahoma"/>
                <w:szCs w:val="18"/>
              </w:rPr>
            </w:pPr>
            <w:r w:rsidRPr="004B3DE4">
              <w:rPr>
                <w:rFonts w:cs="Tahoma"/>
                <w:szCs w:val="18"/>
              </w:rPr>
              <w:t>25,2</w:t>
            </w:r>
          </w:p>
        </w:tc>
        <w:tc>
          <w:tcPr>
            <w:tcW w:w="1140" w:type="pct"/>
            <w:tcBorders>
              <w:top w:val="single" w:sz="4" w:space="0" w:color="auto"/>
              <w:bottom w:val="nil"/>
            </w:tcBorders>
          </w:tcPr>
          <w:p w:rsidR="00565FD5" w:rsidRPr="004B3DE4" w:rsidRDefault="00565FD5" w:rsidP="00AB62A3">
            <w:pPr>
              <w:ind w:right="176"/>
              <w:jc w:val="right"/>
              <w:rPr>
                <w:rFonts w:cs="Tahoma"/>
                <w:szCs w:val="18"/>
              </w:rPr>
            </w:pPr>
            <w:r w:rsidRPr="004B3DE4">
              <w:rPr>
                <w:rFonts w:cs="Tahoma"/>
                <w:szCs w:val="18"/>
              </w:rPr>
              <w:t>25,5</w:t>
            </w:r>
          </w:p>
        </w:tc>
      </w:tr>
      <w:tr w:rsidR="00565FD5" w:rsidRPr="004B3DE4" w:rsidTr="00AB62A3">
        <w:tc>
          <w:tcPr>
            <w:tcW w:w="1316" w:type="pct"/>
            <w:tcBorders>
              <w:right w:val="single" w:sz="4" w:space="0" w:color="auto"/>
            </w:tcBorders>
          </w:tcPr>
          <w:p w:rsidR="00565FD5" w:rsidRPr="004B3DE4" w:rsidRDefault="00565FD5" w:rsidP="00AB62A3">
            <w:pPr>
              <w:rPr>
                <w:rFonts w:cs="Tahoma"/>
                <w:szCs w:val="18"/>
              </w:rPr>
            </w:pPr>
            <w:r w:rsidRPr="004B3DE4">
              <w:rPr>
                <w:rFonts w:cs="Tahoma"/>
                <w:szCs w:val="18"/>
              </w:rPr>
              <w:t>Sanayi</w:t>
            </w:r>
          </w:p>
        </w:tc>
        <w:tc>
          <w:tcPr>
            <w:tcW w:w="1269" w:type="pct"/>
            <w:tcBorders>
              <w:top w:val="nil"/>
              <w:left w:val="single" w:sz="4" w:space="0" w:color="auto"/>
              <w:bottom w:val="nil"/>
            </w:tcBorders>
            <w:vAlign w:val="center"/>
          </w:tcPr>
          <w:p w:rsidR="00565FD5" w:rsidRPr="004B3DE4" w:rsidRDefault="00565FD5" w:rsidP="00AB62A3">
            <w:pPr>
              <w:jc w:val="right"/>
              <w:rPr>
                <w:rFonts w:cs="Tahoma"/>
                <w:szCs w:val="18"/>
              </w:rPr>
            </w:pPr>
            <w:r w:rsidRPr="004B3DE4">
              <w:rPr>
                <w:rFonts w:cs="Tahoma"/>
                <w:szCs w:val="18"/>
              </w:rPr>
              <w:t>19,2</w:t>
            </w:r>
          </w:p>
        </w:tc>
        <w:tc>
          <w:tcPr>
            <w:tcW w:w="1275" w:type="pct"/>
            <w:tcBorders>
              <w:top w:val="nil"/>
              <w:bottom w:val="nil"/>
            </w:tcBorders>
            <w:vAlign w:val="center"/>
          </w:tcPr>
          <w:p w:rsidR="00565FD5" w:rsidRPr="004B3DE4" w:rsidRDefault="00565FD5" w:rsidP="00AB62A3">
            <w:pPr>
              <w:ind w:right="176"/>
              <w:jc w:val="right"/>
              <w:rPr>
                <w:rFonts w:cs="Tahoma"/>
                <w:szCs w:val="18"/>
              </w:rPr>
            </w:pPr>
            <w:r w:rsidRPr="004B3DE4">
              <w:rPr>
                <w:rFonts w:cs="Tahoma"/>
                <w:szCs w:val="18"/>
              </w:rPr>
              <w:t>19,9</w:t>
            </w:r>
          </w:p>
        </w:tc>
        <w:tc>
          <w:tcPr>
            <w:tcW w:w="1140" w:type="pct"/>
            <w:tcBorders>
              <w:top w:val="nil"/>
              <w:bottom w:val="nil"/>
            </w:tcBorders>
          </w:tcPr>
          <w:p w:rsidR="00565FD5" w:rsidRPr="004B3DE4" w:rsidRDefault="00565FD5" w:rsidP="00AB62A3">
            <w:pPr>
              <w:ind w:right="176"/>
              <w:jc w:val="right"/>
              <w:rPr>
                <w:rFonts w:cs="Tahoma"/>
                <w:szCs w:val="18"/>
              </w:rPr>
            </w:pPr>
            <w:r w:rsidRPr="004B3DE4">
              <w:rPr>
                <w:rFonts w:cs="Tahoma"/>
                <w:szCs w:val="18"/>
              </w:rPr>
              <w:t>19,5</w:t>
            </w:r>
          </w:p>
        </w:tc>
      </w:tr>
      <w:tr w:rsidR="00565FD5" w:rsidRPr="004B3DE4" w:rsidTr="00AB62A3">
        <w:tc>
          <w:tcPr>
            <w:tcW w:w="1316" w:type="pct"/>
            <w:tcBorders>
              <w:right w:val="single" w:sz="4" w:space="0" w:color="auto"/>
            </w:tcBorders>
          </w:tcPr>
          <w:p w:rsidR="00565FD5" w:rsidRPr="004B3DE4" w:rsidRDefault="00565FD5" w:rsidP="00AB62A3">
            <w:pPr>
              <w:rPr>
                <w:rFonts w:cs="Tahoma"/>
                <w:szCs w:val="18"/>
              </w:rPr>
            </w:pPr>
            <w:r w:rsidRPr="004B3DE4">
              <w:rPr>
                <w:rFonts w:cs="Tahoma"/>
                <w:szCs w:val="18"/>
              </w:rPr>
              <w:t>Hizmetler</w:t>
            </w:r>
          </w:p>
        </w:tc>
        <w:tc>
          <w:tcPr>
            <w:tcW w:w="1269" w:type="pct"/>
            <w:tcBorders>
              <w:top w:val="nil"/>
              <w:left w:val="single" w:sz="4" w:space="0" w:color="auto"/>
              <w:bottom w:val="nil"/>
            </w:tcBorders>
            <w:vAlign w:val="center"/>
          </w:tcPr>
          <w:p w:rsidR="00565FD5" w:rsidRPr="004B3DE4" w:rsidRDefault="00565FD5" w:rsidP="00AB62A3">
            <w:pPr>
              <w:jc w:val="right"/>
              <w:rPr>
                <w:rFonts w:cs="Tahoma"/>
                <w:szCs w:val="18"/>
              </w:rPr>
            </w:pPr>
            <w:r w:rsidRPr="004B3DE4">
              <w:rPr>
                <w:rFonts w:cs="Tahoma"/>
                <w:szCs w:val="18"/>
              </w:rPr>
              <w:t>50,0</w:t>
            </w:r>
          </w:p>
        </w:tc>
        <w:tc>
          <w:tcPr>
            <w:tcW w:w="1275" w:type="pct"/>
            <w:tcBorders>
              <w:top w:val="nil"/>
              <w:bottom w:val="nil"/>
            </w:tcBorders>
            <w:vAlign w:val="center"/>
          </w:tcPr>
          <w:p w:rsidR="00565FD5" w:rsidRPr="004B3DE4" w:rsidRDefault="00565FD5" w:rsidP="00AB62A3">
            <w:pPr>
              <w:ind w:right="176"/>
              <w:jc w:val="right"/>
              <w:rPr>
                <w:rFonts w:cs="Tahoma"/>
                <w:szCs w:val="18"/>
              </w:rPr>
            </w:pPr>
            <w:r w:rsidRPr="004B3DE4">
              <w:rPr>
                <w:rFonts w:cs="Tahoma"/>
                <w:szCs w:val="18"/>
              </w:rPr>
              <w:t>48,6</w:t>
            </w:r>
          </w:p>
        </w:tc>
        <w:tc>
          <w:tcPr>
            <w:tcW w:w="1140" w:type="pct"/>
            <w:tcBorders>
              <w:top w:val="nil"/>
              <w:bottom w:val="nil"/>
            </w:tcBorders>
          </w:tcPr>
          <w:p w:rsidR="00565FD5" w:rsidRPr="004B3DE4" w:rsidRDefault="00565FD5" w:rsidP="00AB62A3">
            <w:pPr>
              <w:ind w:right="176"/>
              <w:jc w:val="right"/>
              <w:rPr>
                <w:rFonts w:cs="Tahoma"/>
                <w:szCs w:val="18"/>
              </w:rPr>
            </w:pPr>
            <w:r w:rsidRPr="004B3DE4">
              <w:rPr>
                <w:rFonts w:cs="Tahoma"/>
                <w:szCs w:val="18"/>
              </w:rPr>
              <w:t>48,0</w:t>
            </w:r>
          </w:p>
        </w:tc>
      </w:tr>
      <w:tr w:rsidR="00565FD5" w:rsidRPr="004B3DE4" w:rsidTr="00AB62A3">
        <w:tc>
          <w:tcPr>
            <w:tcW w:w="1316" w:type="pct"/>
            <w:tcBorders>
              <w:bottom w:val="single" w:sz="4" w:space="0" w:color="auto"/>
              <w:right w:val="single" w:sz="4" w:space="0" w:color="auto"/>
            </w:tcBorders>
          </w:tcPr>
          <w:p w:rsidR="00565FD5" w:rsidRPr="004B3DE4" w:rsidRDefault="00565FD5" w:rsidP="00AB62A3">
            <w:pPr>
              <w:rPr>
                <w:rFonts w:cs="Tahoma"/>
                <w:szCs w:val="18"/>
              </w:rPr>
            </w:pPr>
            <w:r w:rsidRPr="004B3DE4">
              <w:rPr>
                <w:rFonts w:cs="Tahoma"/>
                <w:szCs w:val="18"/>
              </w:rPr>
              <w:t>İnşaat</w:t>
            </w:r>
          </w:p>
        </w:tc>
        <w:tc>
          <w:tcPr>
            <w:tcW w:w="1269" w:type="pct"/>
            <w:tcBorders>
              <w:top w:val="nil"/>
              <w:left w:val="single" w:sz="4" w:space="0" w:color="auto"/>
              <w:bottom w:val="single" w:sz="4" w:space="0" w:color="auto"/>
            </w:tcBorders>
            <w:vAlign w:val="center"/>
          </w:tcPr>
          <w:p w:rsidR="00565FD5" w:rsidRPr="004B3DE4" w:rsidRDefault="00565FD5" w:rsidP="00AB62A3">
            <w:pPr>
              <w:jc w:val="right"/>
              <w:rPr>
                <w:rFonts w:cs="Tahoma"/>
                <w:szCs w:val="18"/>
              </w:rPr>
            </w:pPr>
            <w:r w:rsidRPr="004B3DE4">
              <w:rPr>
                <w:rFonts w:cs="Tahoma"/>
                <w:szCs w:val="18"/>
              </w:rPr>
              <w:t>6,1</w:t>
            </w:r>
          </w:p>
        </w:tc>
        <w:tc>
          <w:tcPr>
            <w:tcW w:w="1275" w:type="pct"/>
            <w:tcBorders>
              <w:top w:val="nil"/>
              <w:bottom w:val="single" w:sz="4" w:space="0" w:color="auto"/>
            </w:tcBorders>
            <w:vAlign w:val="center"/>
          </w:tcPr>
          <w:p w:rsidR="00565FD5" w:rsidRPr="004B3DE4" w:rsidRDefault="00565FD5" w:rsidP="00AB62A3">
            <w:pPr>
              <w:ind w:right="176"/>
              <w:jc w:val="right"/>
              <w:rPr>
                <w:rFonts w:cs="Tahoma"/>
                <w:szCs w:val="18"/>
              </w:rPr>
            </w:pPr>
            <w:r w:rsidRPr="004B3DE4">
              <w:rPr>
                <w:rFonts w:cs="Tahoma"/>
                <w:szCs w:val="18"/>
              </w:rPr>
              <w:t>6,3</w:t>
            </w:r>
          </w:p>
        </w:tc>
        <w:tc>
          <w:tcPr>
            <w:tcW w:w="1140" w:type="pct"/>
            <w:tcBorders>
              <w:top w:val="nil"/>
              <w:bottom w:val="single" w:sz="4" w:space="0" w:color="auto"/>
            </w:tcBorders>
          </w:tcPr>
          <w:p w:rsidR="00565FD5" w:rsidRPr="004B3DE4" w:rsidRDefault="00565FD5" w:rsidP="00AB62A3">
            <w:pPr>
              <w:ind w:right="176"/>
              <w:jc w:val="right"/>
              <w:rPr>
                <w:rFonts w:cs="Tahoma"/>
                <w:szCs w:val="18"/>
              </w:rPr>
            </w:pPr>
            <w:r w:rsidRPr="004B3DE4">
              <w:rPr>
                <w:rFonts w:cs="Tahoma"/>
                <w:szCs w:val="18"/>
              </w:rPr>
              <w:t>7,0</w:t>
            </w:r>
          </w:p>
        </w:tc>
      </w:tr>
    </w:tbl>
    <w:p w:rsidR="00565FD5" w:rsidRPr="008B744B" w:rsidRDefault="00565FD5" w:rsidP="00565FD5">
      <w:pPr>
        <w:spacing w:after="240"/>
        <w:rPr>
          <w:rFonts w:eastAsia="Batang" w:cs="Tahoma"/>
          <w:sz w:val="14"/>
          <w:szCs w:val="14"/>
          <w:lang w:eastAsia="ko-KR"/>
        </w:rPr>
      </w:pPr>
      <w:r w:rsidRPr="008B744B">
        <w:rPr>
          <w:rFonts w:eastAsia="Batang" w:cs="Tahoma"/>
          <w:sz w:val="14"/>
          <w:szCs w:val="14"/>
          <w:lang w:eastAsia="ko-KR"/>
        </w:rPr>
        <w:t>Kaynak: TÜİK, NACE Rev. 2</w:t>
      </w:r>
    </w:p>
    <w:p w:rsidR="00565FD5" w:rsidRPr="004B3DE4" w:rsidRDefault="00565FD5" w:rsidP="00565FD5">
      <w:pPr>
        <w:spacing w:after="120"/>
        <w:ind w:firstLine="425"/>
        <w:rPr>
          <w:rFonts w:cs="Tahoma"/>
          <w:szCs w:val="18"/>
        </w:rPr>
      </w:pPr>
      <w:r w:rsidRPr="004B3DE4">
        <w:rPr>
          <w:rFonts w:cs="Tahoma"/>
          <w:szCs w:val="18"/>
        </w:rPr>
        <w:t xml:space="preserve">İşgücü piyasasında meydana gelen olumlu gelişmelerin başlıca nedenleri, kriz sonrası ekonomideki hızlı toparlanma, uygulamaya konulan istihdam paketleri, 6111 sayılı Kanununda yer alan istihdam tedbirleri ve uygulanan projelerin yansıması olarak sıralanabilir. </w:t>
      </w:r>
    </w:p>
    <w:p w:rsidR="00565FD5" w:rsidRPr="004B3DE4" w:rsidRDefault="00565FD5" w:rsidP="00565FD5">
      <w:pPr>
        <w:spacing w:after="120"/>
        <w:ind w:firstLine="425"/>
        <w:rPr>
          <w:rFonts w:cs="Tahoma"/>
          <w:szCs w:val="18"/>
        </w:rPr>
      </w:pPr>
      <w:r w:rsidRPr="004B3DE4">
        <w:rPr>
          <w:rFonts w:cs="Tahoma"/>
          <w:szCs w:val="18"/>
        </w:rPr>
        <w:t xml:space="preserve">Ülke genelinde işgücü piyasasında önemli gelişmeler yaşanmakla birlikte, genç işsizliği seviyesinin yüksekliği, kadınlarda düşük işgücüne katılma ve istihdam oranları, işgücünün eğitim seviyesinin ve niteliğinin düşüklüğü ve </w:t>
      </w:r>
      <w:r w:rsidRPr="004B3DE4">
        <w:rPr>
          <w:rFonts w:cs="Tahoma"/>
          <w:szCs w:val="18"/>
        </w:rPr>
        <w:lastRenderedPageBreak/>
        <w:t>eğitim ile istihdam arasındaki ilişkinin zayıflığı gibi sorunlar önemini korumaktadır.</w:t>
      </w:r>
    </w:p>
    <w:p w:rsidR="00565FD5" w:rsidRPr="004B3DE4" w:rsidRDefault="00565FD5" w:rsidP="00565FD5">
      <w:pPr>
        <w:spacing w:after="120"/>
        <w:ind w:firstLine="425"/>
        <w:rPr>
          <w:rFonts w:cs="Tahoma"/>
          <w:szCs w:val="18"/>
        </w:rPr>
      </w:pPr>
      <w:r w:rsidRPr="004B3DE4">
        <w:rPr>
          <w:rFonts w:cs="Tahoma"/>
          <w:szCs w:val="18"/>
        </w:rPr>
        <w:t xml:space="preserve">Ülkemizde işgücü verimliliği, son dönemde artış göstermekle beraber, özellikle mesleki eğitim kalitesinin düşüklüğü, hizmet içi eğitim ve yaşam boyu eğitim faaliyetlerinin yetersizliği, sermaye birikimi ve teknolojik yenilenme süreçlerindeki eksiklikler gibi nedenlerle, AB ülkelerine göre daha düşüktür. ILO verilerinde, çalışılan saat başına satın alma gücü paritesine göre GSYH olarak hesaplanan işgücü verimliliği, ülkemizde, 2002-2011 yılları arasında, 10 ABD dolarından 23,9 ABD dolarına yükselmiştir. Ancak bu rakam, 2011 yılı için, Fransa’da 55, İspanya’da 48,9, İtalya’da 47,2, İngiltere’de 43,5 ve Almanya’da 45 ABD doları olarak gerçekleşmiştir. </w:t>
      </w:r>
    </w:p>
    <w:p w:rsidR="00565FD5" w:rsidRPr="004B3DE4" w:rsidRDefault="00565FD5" w:rsidP="00565FD5">
      <w:pPr>
        <w:spacing w:after="120"/>
        <w:ind w:firstLine="425"/>
        <w:rPr>
          <w:rFonts w:cs="Tahoma"/>
          <w:szCs w:val="18"/>
        </w:rPr>
      </w:pPr>
      <w:r w:rsidRPr="004B3DE4">
        <w:rPr>
          <w:rFonts w:cs="Tahoma"/>
          <w:szCs w:val="18"/>
        </w:rPr>
        <w:t>2012 yılında nominal olarak ortalama net memur maaşları yüzde 13,7, ortalama kamu işçi ücretleri ise yüzde 7,3 oranlarında artmıştır. Reel olarak ise, memur maaşlarının yüzde 4,5 artacağı, kamu işçi ücretlerinin ise yüzde 1,4 oranında azalacağı tahmin edilmektedir. 2012 yılında ortalama özel kesim net işçi ücretlerinde nominal olarak yüzde 11,6, reel olarak ise 4,8 oranında artacağı tahmin edilmektedir.</w:t>
      </w:r>
    </w:p>
    <w:p w:rsidR="00565FD5" w:rsidRDefault="00565FD5" w:rsidP="00565FD5">
      <w:pPr>
        <w:spacing w:after="120"/>
        <w:ind w:firstLine="425"/>
        <w:rPr>
          <w:rFonts w:cs="Tahoma"/>
          <w:szCs w:val="18"/>
        </w:rPr>
      </w:pPr>
      <w:r w:rsidRPr="004B3DE4">
        <w:rPr>
          <w:rFonts w:cs="Tahoma"/>
          <w:szCs w:val="18"/>
        </w:rPr>
        <w:t>2012 yılında ortalama aylık brüt asgari ücret 16 yaşından büyük işçiler için 913,50 TL, 16 yaşından küçük işçiler için ise 783 TL olmuştur. 2012 yılında 16 yaş ve üstü ortalama aylık net asgari ücret nominal olarak yüzde 11,8 oranında artmış olup reel olarak yüzde 2,7 oranında artacağı tahmin edilmektedir.</w:t>
      </w:r>
    </w:p>
    <w:p w:rsidR="00565FD5" w:rsidRPr="004B3DE4" w:rsidRDefault="00565FD5" w:rsidP="00565FD5">
      <w:pPr>
        <w:spacing w:after="120"/>
        <w:ind w:firstLine="425"/>
        <w:rPr>
          <w:rFonts w:cs="Tahoma"/>
          <w:szCs w:val="18"/>
        </w:rPr>
      </w:pPr>
      <w:r w:rsidRPr="004B3DE4">
        <w:rPr>
          <w:rFonts w:cs="Tahoma"/>
          <w:szCs w:val="18"/>
        </w:rPr>
        <w:t xml:space="preserve">İşgücü piyasasının geliştirilmesi, işsizliğin azaltılması ve nitelikli istihdamın artırılması amacıyla Çalışma ve Sosyal Güvenlik Bakanlığının (ÇSGB) koordinasyonunda ilgili tarafların katılımıyla yürütülmekte olan Ulusal İstihdam Stratejisi çalışmalarının 2012 yılı sonunda tamamlanması beklenmektedir. </w:t>
      </w:r>
    </w:p>
    <w:p w:rsidR="00565FD5" w:rsidRDefault="00565FD5" w:rsidP="00565FD5">
      <w:pPr>
        <w:spacing w:after="120"/>
        <w:ind w:firstLine="425"/>
        <w:rPr>
          <w:rFonts w:cs="Tahoma"/>
          <w:szCs w:val="18"/>
        </w:rPr>
      </w:pPr>
      <w:r w:rsidRPr="004B3DE4">
        <w:rPr>
          <w:rFonts w:cs="Tahoma"/>
          <w:szCs w:val="18"/>
        </w:rPr>
        <w:t xml:space="preserve">AB ve ILO norm ve standartları ile 5982 sayılı Kanunun Anayasa’da toplu iş hukukuna yönelik yaptığı değişiklikler doğrultusunda, çalışma hayatına ilişkin mevzuatın yeniden düzenlenmesi çalışmaları </w:t>
      </w:r>
      <w:r>
        <w:rPr>
          <w:rFonts w:cs="Tahoma"/>
          <w:szCs w:val="18"/>
        </w:rPr>
        <w:t>kapsamında 2821 ve 2822 sayılı Kanunların yerine hazırlanan Toplu İş İlişkileri Kanunu 19/10/2012 tarihinde TBMM’de kabul edilmiştir</w:t>
      </w:r>
      <w:r w:rsidRPr="004B3DE4">
        <w:rPr>
          <w:rFonts w:cs="Tahoma"/>
          <w:szCs w:val="18"/>
        </w:rPr>
        <w:t xml:space="preserve">. Ayrıca, 04/04/2012 tarihli ve 6289 sayılı Kanunla memurlar ve diğer kamu görevlilerine tanınan toplu sözleşme hakkına ilişkin usul ve esaslar belirlenmiştir. Bunların dışında Anayasa’da yapılan değişiklikle </w:t>
      </w:r>
      <w:r w:rsidRPr="004B3DE4">
        <w:rPr>
          <w:rFonts w:cs="Tahoma"/>
          <w:szCs w:val="18"/>
        </w:rPr>
        <w:lastRenderedPageBreak/>
        <w:t>anayasal güvence altına alınan Ekonomik ve Sosyal Konseyin (ESK) işlevinde etkinliğin artırılması ihtiyacı önemini korumaktadır.</w:t>
      </w:r>
    </w:p>
    <w:p w:rsidR="00565FD5" w:rsidRPr="004B3DE4" w:rsidRDefault="00565FD5" w:rsidP="00565FD5">
      <w:pPr>
        <w:spacing w:after="120"/>
        <w:ind w:firstLine="425"/>
        <w:rPr>
          <w:rFonts w:cs="Tahoma"/>
          <w:szCs w:val="18"/>
        </w:rPr>
      </w:pPr>
    </w:p>
    <w:p w:rsidR="00565FD5" w:rsidRPr="008B744B" w:rsidRDefault="00565FD5" w:rsidP="00565FD5">
      <w:pPr>
        <w:pStyle w:val="ResimYazs"/>
        <w:rPr>
          <w:rFonts w:cs="Tahoma"/>
        </w:rPr>
      </w:pPr>
      <w:bookmarkStart w:id="2213" w:name="_Toc338606045"/>
      <w:bookmarkStart w:id="2214" w:name="_Toc338711820"/>
      <w:r>
        <w:t xml:space="preserve">TABLO IV: </w:t>
      </w:r>
      <w:fldSimple w:instr=" SEQ TABLO_IV: \* ARABIC ">
        <w:r>
          <w:rPr>
            <w:noProof/>
          </w:rPr>
          <w:t>50</w:t>
        </w:r>
      </w:fldSimple>
      <w:r w:rsidRPr="008B744B">
        <w:rPr>
          <w:rFonts w:cs="Tahoma"/>
        </w:rPr>
        <w:t>- İşgücü Maliyetlerinde ve Net Ele Geçen Ücretlerdeki Gelişmeler</w:t>
      </w:r>
      <w:bookmarkEnd w:id="2213"/>
      <w:bookmarkEnd w:id="2214"/>
    </w:p>
    <w:tbl>
      <w:tblPr>
        <w:tblW w:w="7144" w:type="dxa"/>
        <w:tblBorders>
          <w:top w:val="single" w:sz="4" w:space="0" w:color="auto"/>
          <w:left w:val="single" w:sz="4" w:space="0" w:color="auto"/>
          <w:bottom w:val="single" w:sz="4" w:space="0" w:color="auto"/>
          <w:right w:val="single" w:sz="4" w:space="0" w:color="auto"/>
        </w:tblBorders>
        <w:tblCellMar>
          <w:left w:w="0" w:type="dxa"/>
          <w:right w:w="0" w:type="dxa"/>
        </w:tblCellMar>
        <w:tblLook w:val="00A0"/>
      </w:tblPr>
      <w:tblGrid>
        <w:gridCol w:w="1156"/>
        <w:gridCol w:w="162"/>
        <w:gridCol w:w="581"/>
        <w:gridCol w:w="581"/>
        <w:gridCol w:w="582"/>
        <w:gridCol w:w="582"/>
        <w:gridCol w:w="582"/>
        <w:gridCol w:w="582"/>
        <w:gridCol w:w="582"/>
        <w:gridCol w:w="582"/>
        <w:gridCol w:w="582"/>
        <w:gridCol w:w="590"/>
      </w:tblGrid>
      <w:tr w:rsidR="00565FD5" w:rsidRPr="004B3DE4" w:rsidTr="00AB62A3">
        <w:trPr>
          <w:trHeight w:val="20"/>
        </w:trPr>
        <w:tc>
          <w:tcPr>
            <w:tcW w:w="810" w:type="pct"/>
            <w:tcBorders>
              <w:top w:val="single" w:sz="4" w:space="0" w:color="auto"/>
            </w:tcBorders>
            <w:noWrap/>
            <w:vAlign w:val="center"/>
          </w:tcPr>
          <w:p w:rsidR="00565FD5" w:rsidRPr="004B3DE4" w:rsidRDefault="00565FD5" w:rsidP="00AB62A3">
            <w:pPr>
              <w:ind w:right="57"/>
              <w:rPr>
                <w:rFonts w:cs="Tahoma"/>
                <w:sz w:val="14"/>
              </w:rPr>
            </w:pPr>
            <w:r w:rsidRPr="004B3DE4">
              <w:rPr>
                <w:rFonts w:cs="Tahoma"/>
                <w:sz w:val="14"/>
              </w:rPr>
              <w:t> </w:t>
            </w:r>
          </w:p>
        </w:tc>
        <w:tc>
          <w:tcPr>
            <w:tcW w:w="114" w:type="pct"/>
            <w:tcBorders>
              <w:top w:val="single" w:sz="4" w:space="0" w:color="auto"/>
            </w:tcBorders>
            <w:noWrap/>
            <w:vAlign w:val="center"/>
          </w:tcPr>
          <w:p w:rsidR="00565FD5" w:rsidRPr="004B3DE4" w:rsidRDefault="00565FD5" w:rsidP="00AB62A3">
            <w:pPr>
              <w:ind w:right="57"/>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top w:val="single" w:sz="4" w:space="0" w:color="auto"/>
            </w:tcBorders>
            <w:vAlign w:val="center"/>
          </w:tcPr>
          <w:p w:rsidR="00565FD5" w:rsidRPr="004B3DE4" w:rsidRDefault="00565FD5" w:rsidP="00AB62A3">
            <w:pPr>
              <w:ind w:right="57"/>
              <w:jc w:val="right"/>
              <w:rPr>
                <w:rFonts w:cs="Tahoma"/>
                <w:sz w:val="14"/>
              </w:rPr>
            </w:pPr>
            <w:r w:rsidRPr="004B3DE4">
              <w:rPr>
                <w:rFonts w:cs="Tahoma"/>
                <w:sz w:val="14"/>
              </w:rPr>
              <w:t> </w:t>
            </w:r>
          </w:p>
        </w:tc>
        <w:tc>
          <w:tcPr>
            <w:tcW w:w="414" w:type="pct"/>
            <w:tcBorders>
              <w:top w:val="single" w:sz="4" w:space="0" w:color="auto"/>
            </w:tcBorders>
            <w:vAlign w:val="center"/>
          </w:tcPr>
          <w:p w:rsidR="00565FD5" w:rsidRPr="004B3DE4" w:rsidRDefault="00565FD5" w:rsidP="00AB62A3">
            <w:pPr>
              <w:ind w:right="57"/>
              <w:jc w:val="right"/>
              <w:rPr>
                <w:rFonts w:cs="Tahoma"/>
                <w:sz w:val="14"/>
              </w:rPr>
            </w:pPr>
          </w:p>
        </w:tc>
      </w:tr>
      <w:tr w:rsidR="00565FD5" w:rsidRPr="004B3DE4" w:rsidTr="00AB62A3">
        <w:trPr>
          <w:trHeight w:val="20"/>
        </w:trPr>
        <w:tc>
          <w:tcPr>
            <w:tcW w:w="810" w:type="pct"/>
            <w:noWrap/>
            <w:vAlign w:val="center"/>
          </w:tcPr>
          <w:p w:rsidR="00565FD5" w:rsidRPr="004B3DE4" w:rsidRDefault="00565FD5" w:rsidP="00AB62A3">
            <w:pPr>
              <w:ind w:right="57"/>
              <w:jc w:val="right"/>
              <w:rPr>
                <w:rFonts w:cs="Tahoma"/>
                <w:b/>
                <w:sz w:val="14"/>
              </w:rPr>
            </w:pPr>
            <w:r w:rsidRPr="004B3DE4">
              <w:rPr>
                <w:rFonts w:cs="Tahoma"/>
                <w:b/>
                <w:sz w:val="14"/>
              </w:rPr>
              <w:t> </w:t>
            </w:r>
          </w:p>
        </w:tc>
        <w:tc>
          <w:tcPr>
            <w:tcW w:w="114" w:type="pct"/>
            <w:noWrap/>
            <w:vAlign w:val="center"/>
          </w:tcPr>
          <w:p w:rsidR="00565FD5" w:rsidRPr="004B3DE4" w:rsidRDefault="00565FD5" w:rsidP="00AB62A3">
            <w:pPr>
              <w:ind w:right="57"/>
              <w:jc w:val="right"/>
              <w:rPr>
                <w:rFonts w:cs="Tahoma"/>
                <w:b/>
                <w:sz w:val="14"/>
              </w:rPr>
            </w:pPr>
          </w:p>
        </w:tc>
        <w:tc>
          <w:tcPr>
            <w:tcW w:w="407" w:type="pct"/>
            <w:noWrap/>
            <w:vAlign w:val="center"/>
          </w:tcPr>
          <w:p w:rsidR="00565FD5" w:rsidRPr="004B3DE4" w:rsidRDefault="00565FD5" w:rsidP="00AB62A3">
            <w:pPr>
              <w:ind w:right="57"/>
              <w:jc w:val="right"/>
              <w:rPr>
                <w:rFonts w:cs="Tahoma"/>
                <w:b/>
                <w:sz w:val="14"/>
              </w:rPr>
            </w:pPr>
          </w:p>
        </w:tc>
        <w:tc>
          <w:tcPr>
            <w:tcW w:w="407" w:type="pct"/>
            <w:noWrap/>
            <w:vAlign w:val="center"/>
          </w:tcPr>
          <w:p w:rsidR="00565FD5" w:rsidRPr="004B3DE4" w:rsidRDefault="00565FD5" w:rsidP="00AB62A3">
            <w:pPr>
              <w:ind w:right="57"/>
              <w:jc w:val="center"/>
              <w:rPr>
                <w:rFonts w:cs="Tahoma"/>
                <w:b/>
                <w:sz w:val="14"/>
              </w:rPr>
            </w:pPr>
            <w:r w:rsidRPr="004B3DE4">
              <w:rPr>
                <w:rFonts w:cs="Tahoma"/>
                <w:b/>
                <w:sz w:val="14"/>
              </w:rPr>
              <w:t>2004</w:t>
            </w:r>
          </w:p>
        </w:tc>
        <w:tc>
          <w:tcPr>
            <w:tcW w:w="407" w:type="pct"/>
            <w:noWrap/>
            <w:vAlign w:val="center"/>
          </w:tcPr>
          <w:p w:rsidR="00565FD5" w:rsidRPr="004B3DE4" w:rsidRDefault="00565FD5" w:rsidP="00AB62A3">
            <w:pPr>
              <w:ind w:right="57"/>
              <w:jc w:val="center"/>
              <w:rPr>
                <w:rFonts w:cs="Tahoma"/>
                <w:b/>
                <w:sz w:val="14"/>
              </w:rPr>
            </w:pPr>
            <w:r w:rsidRPr="004B3DE4">
              <w:rPr>
                <w:rFonts w:cs="Tahoma"/>
                <w:b/>
                <w:sz w:val="14"/>
              </w:rPr>
              <w:t>2005</w:t>
            </w:r>
          </w:p>
        </w:tc>
        <w:tc>
          <w:tcPr>
            <w:tcW w:w="407" w:type="pct"/>
            <w:noWrap/>
            <w:vAlign w:val="center"/>
          </w:tcPr>
          <w:p w:rsidR="00565FD5" w:rsidRPr="004B3DE4" w:rsidRDefault="00565FD5" w:rsidP="00AB62A3">
            <w:pPr>
              <w:ind w:right="57"/>
              <w:jc w:val="center"/>
              <w:rPr>
                <w:rFonts w:cs="Tahoma"/>
                <w:b/>
                <w:sz w:val="14"/>
              </w:rPr>
            </w:pPr>
            <w:r w:rsidRPr="004B3DE4">
              <w:rPr>
                <w:rFonts w:cs="Tahoma"/>
                <w:b/>
                <w:sz w:val="14"/>
              </w:rPr>
              <w:t>2006</w:t>
            </w:r>
          </w:p>
        </w:tc>
        <w:tc>
          <w:tcPr>
            <w:tcW w:w="407" w:type="pct"/>
            <w:noWrap/>
            <w:vAlign w:val="center"/>
          </w:tcPr>
          <w:p w:rsidR="00565FD5" w:rsidRPr="004B3DE4" w:rsidRDefault="00565FD5" w:rsidP="00AB62A3">
            <w:pPr>
              <w:ind w:right="57"/>
              <w:jc w:val="center"/>
              <w:rPr>
                <w:rFonts w:cs="Tahoma"/>
                <w:b/>
                <w:sz w:val="14"/>
              </w:rPr>
            </w:pPr>
            <w:r w:rsidRPr="004B3DE4">
              <w:rPr>
                <w:rFonts w:cs="Tahoma"/>
                <w:b/>
                <w:bCs/>
                <w:sz w:val="14"/>
                <w:szCs w:val="14"/>
                <w:lang w:eastAsia="tr-TR"/>
              </w:rPr>
              <w:t>2007</w:t>
            </w:r>
          </w:p>
        </w:tc>
        <w:tc>
          <w:tcPr>
            <w:tcW w:w="407" w:type="pct"/>
            <w:noWrap/>
            <w:vAlign w:val="center"/>
          </w:tcPr>
          <w:p w:rsidR="00565FD5" w:rsidRPr="004B3DE4" w:rsidRDefault="00565FD5" w:rsidP="00AB62A3">
            <w:pPr>
              <w:ind w:right="57"/>
              <w:jc w:val="center"/>
              <w:rPr>
                <w:rFonts w:cs="Tahoma"/>
                <w:b/>
                <w:sz w:val="14"/>
              </w:rPr>
            </w:pPr>
            <w:r w:rsidRPr="004B3DE4">
              <w:rPr>
                <w:rFonts w:cs="Tahoma"/>
                <w:b/>
                <w:sz w:val="14"/>
              </w:rPr>
              <w:t>2008</w:t>
            </w:r>
          </w:p>
        </w:tc>
        <w:tc>
          <w:tcPr>
            <w:tcW w:w="407" w:type="pct"/>
            <w:noWrap/>
            <w:vAlign w:val="center"/>
          </w:tcPr>
          <w:p w:rsidR="00565FD5" w:rsidRPr="004B3DE4" w:rsidRDefault="00565FD5" w:rsidP="00AB62A3">
            <w:pPr>
              <w:ind w:right="57"/>
              <w:jc w:val="center"/>
              <w:rPr>
                <w:rFonts w:cs="Tahoma"/>
                <w:b/>
                <w:sz w:val="14"/>
              </w:rPr>
            </w:pPr>
            <w:r w:rsidRPr="004B3DE4">
              <w:rPr>
                <w:rFonts w:cs="Tahoma"/>
                <w:b/>
                <w:sz w:val="14"/>
              </w:rPr>
              <w:t>2009</w:t>
            </w:r>
          </w:p>
        </w:tc>
        <w:tc>
          <w:tcPr>
            <w:tcW w:w="407" w:type="pct"/>
            <w:noWrap/>
            <w:vAlign w:val="center"/>
          </w:tcPr>
          <w:p w:rsidR="00565FD5" w:rsidRPr="004B3DE4" w:rsidRDefault="00565FD5" w:rsidP="00AB62A3">
            <w:pPr>
              <w:ind w:right="57"/>
              <w:jc w:val="center"/>
              <w:rPr>
                <w:rFonts w:cs="Tahoma"/>
                <w:b/>
                <w:sz w:val="14"/>
              </w:rPr>
            </w:pPr>
            <w:r w:rsidRPr="004B3DE4">
              <w:rPr>
                <w:rFonts w:cs="Tahoma"/>
                <w:b/>
                <w:bCs/>
                <w:sz w:val="14"/>
                <w:szCs w:val="14"/>
                <w:lang w:eastAsia="tr-TR"/>
              </w:rPr>
              <w:t>2010</w:t>
            </w:r>
          </w:p>
        </w:tc>
        <w:tc>
          <w:tcPr>
            <w:tcW w:w="407" w:type="pct"/>
            <w:vAlign w:val="center"/>
          </w:tcPr>
          <w:p w:rsidR="00565FD5" w:rsidRPr="004B3DE4" w:rsidRDefault="00565FD5" w:rsidP="00AB62A3">
            <w:pPr>
              <w:ind w:right="57"/>
              <w:jc w:val="center"/>
              <w:rPr>
                <w:rFonts w:cs="Tahoma"/>
                <w:b/>
                <w:sz w:val="14"/>
              </w:rPr>
            </w:pPr>
            <w:r w:rsidRPr="004B3DE4">
              <w:rPr>
                <w:rFonts w:cs="Tahoma"/>
                <w:b/>
                <w:bCs/>
                <w:sz w:val="14"/>
                <w:szCs w:val="14"/>
                <w:lang w:eastAsia="tr-TR"/>
              </w:rPr>
              <w:t>2011</w:t>
            </w:r>
          </w:p>
        </w:tc>
        <w:tc>
          <w:tcPr>
            <w:tcW w:w="414" w:type="pct"/>
            <w:vAlign w:val="center"/>
          </w:tcPr>
          <w:p w:rsidR="00565FD5" w:rsidRPr="004B3DE4" w:rsidRDefault="00565FD5" w:rsidP="00AB62A3">
            <w:pPr>
              <w:ind w:right="57"/>
              <w:jc w:val="center"/>
              <w:rPr>
                <w:rFonts w:cs="Tahoma"/>
                <w:b/>
                <w:bCs/>
                <w:sz w:val="14"/>
                <w:szCs w:val="14"/>
                <w:lang w:eastAsia="tr-TR"/>
              </w:rPr>
            </w:pPr>
            <w:r w:rsidRPr="004B3DE4">
              <w:rPr>
                <w:rFonts w:cs="Tahoma"/>
                <w:b/>
                <w:sz w:val="14"/>
              </w:rPr>
              <w:t>2012(6)</w:t>
            </w:r>
          </w:p>
        </w:tc>
      </w:tr>
      <w:tr w:rsidR="00565FD5" w:rsidRPr="004B3DE4" w:rsidTr="00AB62A3">
        <w:trPr>
          <w:trHeight w:val="20"/>
        </w:trPr>
        <w:tc>
          <w:tcPr>
            <w:tcW w:w="810" w:type="pct"/>
            <w:noWrap/>
            <w:vAlign w:val="center"/>
          </w:tcPr>
          <w:p w:rsidR="00565FD5" w:rsidRPr="004B3DE4" w:rsidRDefault="00565FD5" w:rsidP="00AB62A3">
            <w:pPr>
              <w:ind w:right="57"/>
              <w:rPr>
                <w:rFonts w:cs="Tahoma"/>
                <w:sz w:val="14"/>
              </w:rPr>
            </w:pPr>
            <w:r w:rsidRPr="004B3DE4">
              <w:rPr>
                <w:rFonts w:cs="Tahoma"/>
                <w:sz w:val="14"/>
              </w:rPr>
              <w:t> </w:t>
            </w:r>
          </w:p>
        </w:tc>
        <w:tc>
          <w:tcPr>
            <w:tcW w:w="114" w:type="pct"/>
            <w:noWrap/>
            <w:vAlign w:val="center"/>
          </w:tcPr>
          <w:p w:rsidR="00565FD5" w:rsidRPr="004B3DE4" w:rsidRDefault="00565FD5" w:rsidP="00AB62A3">
            <w:pPr>
              <w:ind w:right="57"/>
              <w:rPr>
                <w:rFonts w:cs="Tahoma"/>
                <w:sz w:val="14"/>
              </w:rPr>
            </w:pPr>
          </w:p>
        </w:tc>
        <w:tc>
          <w:tcPr>
            <w:tcW w:w="407" w:type="pct"/>
            <w:tcBorders>
              <w:bottom w:val="single" w:sz="4" w:space="0" w:color="auto"/>
            </w:tcBorders>
            <w:noWrap/>
            <w:vAlign w:val="center"/>
          </w:tcPr>
          <w:p w:rsidR="00565FD5" w:rsidRPr="004B3DE4" w:rsidRDefault="00565FD5" w:rsidP="00AB62A3">
            <w:pPr>
              <w:ind w:right="57"/>
              <w:rPr>
                <w:rFonts w:cs="Tahoma"/>
                <w:sz w:val="14"/>
              </w:rPr>
            </w:pPr>
            <w:r w:rsidRPr="004B3DE4">
              <w:rPr>
                <w:rFonts w:cs="Tahoma"/>
                <w:sz w:val="14"/>
              </w:rPr>
              <w:t> </w:t>
            </w:r>
          </w:p>
        </w:tc>
        <w:tc>
          <w:tcPr>
            <w:tcW w:w="407" w:type="pct"/>
            <w:tcBorders>
              <w:bottom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bottom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bottom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bottom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bottom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bottom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bottom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bottom w:val="single" w:sz="4" w:space="0" w:color="auto"/>
            </w:tcBorders>
            <w:vAlign w:val="center"/>
          </w:tcPr>
          <w:p w:rsidR="00565FD5" w:rsidRPr="004B3DE4" w:rsidRDefault="00565FD5" w:rsidP="00AB62A3">
            <w:pPr>
              <w:ind w:right="57"/>
              <w:jc w:val="right"/>
              <w:rPr>
                <w:rFonts w:cs="Tahoma"/>
                <w:sz w:val="14"/>
              </w:rPr>
            </w:pPr>
            <w:r w:rsidRPr="004B3DE4">
              <w:rPr>
                <w:rFonts w:cs="Tahoma"/>
                <w:sz w:val="14"/>
              </w:rPr>
              <w:t> </w:t>
            </w:r>
          </w:p>
        </w:tc>
        <w:tc>
          <w:tcPr>
            <w:tcW w:w="414" w:type="pct"/>
            <w:tcBorders>
              <w:bottom w:val="single" w:sz="4" w:space="0" w:color="auto"/>
            </w:tcBorders>
            <w:vAlign w:val="center"/>
          </w:tcPr>
          <w:p w:rsidR="00565FD5" w:rsidRPr="004B3DE4" w:rsidRDefault="00565FD5" w:rsidP="00AB62A3">
            <w:pPr>
              <w:ind w:right="57"/>
              <w:jc w:val="right"/>
              <w:rPr>
                <w:rFonts w:cs="Tahoma"/>
                <w:sz w:val="14"/>
              </w:rPr>
            </w:pPr>
          </w:p>
        </w:tc>
      </w:tr>
      <w:tr w:rsidR="00565FD5" w:rsidRPr="004B3DE4" w:rsidTr="00AB62A3">
        <w:trPr>
          <w:trHeight w:val="20"/>
        </w:trPr>
        <w:tc>
          <w:tcPr>
            <w:tcW w:w="810" w:type="pct"/>
            <w:noWrap/>
            <w:vAlign w:val="center"/>
          </w:tcPr>
          <w:p w:rsidR="00565FD5" w:rsidRPr="004B3DE4" w:rsidRDefault="00565FD5" w:rsidP="00AB62A3">
            <w:pPr>
              <w:ind w:right="57"/>
              <w:rPr>
                <w:rFonts w:cs="Tahoma"/>
                <w:sz w:val="14"/>
              </w:rPr>
            </w:pPr>
            <w:r w:rsidRPr="004B3DE4">
              <w:rPr>
                <w:rFonts w:cs="Tahoma"/>
                <w:sz w:val="14"/>
              </w:rPr>
              <w:t> </w:t>
            </w:r>
          </w:p>
        </w:tc>
        <w:tc>
          <w:tcPr>
            <w:tcW w:w="114" w:type="pct"/>
            <w:noWrap/>
            <w:vAlign w:val="center"/>
          </w:tcPr>
          <w:p w:rsidR="00565FD5" w:rsidRPr="004B3DE4" w:rsidRDefault="00565FD5" w:rsidP="00AB62A3">
            <w:pPr>
              <w:ind w:right="57"/>
              <w:rPr>
                <w:rFonts w:cs="Tahoma"/>
                <w:sz w:val="14"/>
              </w:rPr>
            </w:pPr>
          </w:p>
        </w:tc>
        <w:tc>
          <w:tcPr>
            <w:tcW w:w="4076" w:type="pct"/>
            <w:gridSpan w:val="10"/>
            <w:tcBorders>
              <w:top w:val="single" w:sz="4" w:space="0" w:color="auto"/>
              <w:bottom w:val="nil"/>
            </w:tcBorders>
            <w:noWrap/>
            <w:vAlign w:val="center"/>
          </w:tcPr>
          <w:p w:rsidR="00565FD5" w:rsidRPr="004B3DE4" w:rsidRDefault="00565FD5" w:rsidP="00AB62A3">
            <w:pPr>
              <w:ind w:right="57"/>
              <w:rPr>
                <w:rFonts w:cs="Tahoma"/>
                <w:sz w:val="14"/>
              </w:rPr>
            </w:pPr>
            <w:r w:rsidRPr="004B3DE4">
              <w:rPr>
                <w:rFonts w:cs="Tahoma"/>
                <w:b/>
                <w:sz w:val="14"/>
              </w:rPr>
              <w:t>İŞGÜCÜ MALİYETİ (1)</w:t>
            </w:r>
          </w:p>
        </w:tc>
      </w:tr>
      <w:tr w:rsidR="00565FD5" w:rsidRPr="004B3DE4" w:rsidTr="00AB62A3">
        <w:trPr>
          <w:trHeight w:val="20"/>
        </w:trPr>
        <w:tc>
          <w:tcPr>
            <w:tcW w:w="810" w:type="pct"/>
            <w:noWrap/>
            <w:vAlign w:val="center"/>
          </w:tcPr>
          <w:p w:rsidR="00565FD5" w:rsidRPr="004B3DE4" w:rsidRDefault="00565FD5" w:rsidP="00AB62A3">
            <w:pPr>
              <w:ind w:right="57"/>
              <w:rPr>
                <w:rFonts w:cs="Tahoma"/>
                <w:sz w:val="14"/>
              </w:rPr>
            </w:pPr>
            <w:r w:rsidRPr="004B3DE4">
              <w:rPr>
                <w:rFonts w:cs="Tahoma"/>
                <w:sz w:val="14"/>
              </w:rPr>
              <w:t> </w:t>
            </w:r>
          </w:p>
        </w:tc>
        <w:tc>
          <w:tcPr>
            <w:tcW w:w="114" w:type="pct"/>
            <w:noWrap/>
            <w:vAlign w:val="center"/>
          </w:tcPr>
          <w:p w:rsidR="00565FD5" w:rsidRPr="004B3DE4" w:rsidRDefault="00565FD5" w:rsidP="00AB62A3">
            <w:pPr>
              <w:ind w:right="57"/>
              <w:rPr>
                <w:rFonts w:cs="Tahoma"/>
                <w:sz w:val="14"/>
              </w:rPr>
            </w:pPr>
          </w:p>
        </w:tc>
        <w:tc>
          <w:tcPr>
            <w:tcW w:w="4076" w:type="pct"/>
            <w:gridSpan w:val="10"/>
            <w:tcBorders>
              <w:top w:val="nil"/>
              <w:bottom w:val="single" w:sz="4" w:space="0" w:color="auto"/>
            </w:tcBorders>
            <w:noWrap/>
            <w:vAlign w:val="center"/>
          </w:tcPr>
          <w:p w:rsidR="00565FD5" w:rsidRPr="004B3DE4" w:rsidRDefault="00565FD5" w:rsidP="00AB62A3">
            <w:pPr>
              <w:ind w:right="57"/>
              <w:rPr>
                <w:rFonts w:cs="Tahoma"/>
                <w:sz w:val="14"/>
              </w:rPr>
            </w:pPr>
            <w:r w:rsidRPr="004B3DE4">
              <w:rPr>
                <w:rFonts w:cs="Tahoma"/>
                <w:b/>
                <w:sz w:val="14"/>
              </w:rPr>
              <w:t>Reel İşgücü Maliyeti Endeksi (1994=100)</w:t>
            </w:r>
            <w:r w:rsidRPr="004B3DE4">
              <w:rPr>
                <w:rFonts w:cs="Tahoma"/>
                <w:sz w:val="14"/>
              </w:rPr>
              <w:t> </w:t>
            </w:r>
          </w:p>
        </w:tc>
      </w:tr>
      <w:tr w:rsidR="00565FD5" w:rsidRPr="004B3DE4" w:rsidTr="00AB62A3">
        <w:trPr>
          <w:trHeight w:val="20"/>
        </w:trPr>
        <w:tc>
          <w:tcPr>
            <w:tcW w:w="810" w:type="pct"/>
            <w:noWrap/>
            <w:vAlign w:val="center"/>
          </w:tcPr>
          <w:p w:rsidR="00565FD5" w:rsidRPr="004B3DE4" w:rsidRDefault="00565FD5" w:rsidP="00AB62A3">
            <w:pPr>
              <w:ind w:right="57"/>
              <w:rPr>
                <w:rFonts w:cs="Tahoma"/>
                <w:sz w:val="14"/>
              </w:rPr>
            </w:pPr>
            <w:r w:rsidRPr="004B3DE4">
              <w:rPr>
                <w:rFonts w:cs="Tahoma"/>
                <w:sz w:val="14"/>
              </w:rPr>
              <w:t> </w:t>
            </w:r>
          </w:p>
        </w:tc>
        <w:tc>
          <w:tcPr>
            <w:tcW w:w="114" w:type="pct"/>
            <w:noWrap/>
            <w:vAlign w:val="center"/>
          </w:tcPr>
          <w:p w:rsidR="00565FD5" w:rsidRPr="004B3DE4" w:rsidRDefault="00565FD5" w:rsidP="00AB62A3">
            <w:pPr>
              <w:ind w:right="57"/>
              <w:rPr>
                <w:rFonts w:cs="Tahoma"/>
                <w:sz w:val="14"/>
              </w:rPr>
            </w:pPr>
          </w:p>
        </w:tc>
        <w:tc>
          <w:tcPr>
            <w:tcW w:w="407" w:type="pct"/>
            <w:tcBorders>
              <w:top w:val="single" w:sz="4" w:space="0" w:color="auto"/>
            </w:tcBorders>
            <w:noWrap/>
            <w:vAlign w:val="center"/>
          </w:tcPr>
          <w:p w:rsidR="00565FD5" w:rsidRPr="004B3DE4" w:rsidRDefault="00565FD5" w:rsidP="00AB62A3">
            <w:pPr>
              <w:ind w:right="57"/>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top w:val="single" w:sz="4" w:space="0" w:color="auto"/>
            </w:tcBorders>
            <w:vAlign w:val="center"/>
          </w:tcPr>
          <w:p w:rsidR="00565FD5" w:rsidRPr="004B3DE4" w:rsidRDefault="00565FD5" w:rsidP="00AB62A3">
            <w:pPr>
              <w:ind w:right="57"/>
              <w:jc w:val="right"/>
              <w:rPr>
                <w:rFonts w:cs="Tahoma"/>
                <w:sz w:val="14"/>
              </w:rPr>
            </w:pPr>
            <w:r w:rsidRPr="004B3DE4">
              <w:rPr>
                <w:rFonts w:cs="Tahoma"/>
                <w:sz w:val="14"/>
              </w:rPr>
              <w:t> </w:t>
            </w:r>
          </w:p>
        </w:tc>
        <w:tc>
          <w:tcPr>
            <w:tcW w:w="414" w:type="pct"/>
            <w:tcBorders>
              <w:top w:val="single" w:sz="4" w:space="0" w:color="auto"/>
            </w:tcBorders>
            <w:vAlign w:val="center"/>
          </w:tcPr>
          <w:p w:rsidR="00565FD5" w:rsidRPr="004B3DE4" w:rsidRDefault="00565FD5" w:rsidP="00AB62A3">
            <w:pPr>
              <w:ind w:right="57"/>
              <w:jc w:val="right"/>
              <w:rPr>
                <w:rFonts w:cs="Tahoma"/>
                <w:sz w:val="14"/>
              </w:rPr>
            </w:pPr>
          </w:p>
        </w:tc>
      </w:tr>
      <w:tr w:rsidR="00565FD5" w:rsidRPr="004B3DE4" w:rsidTr="00AB62A3">
        <w:trPr>
          <w:trHeight w:val="20"/>
        </w:trPr>
        <w:tc>
          <w:tcPr>
            <w:tcW w:w="810" w:type="pct"/>
            <w:noWrap/>
            <w:vAlign w:val="center"/>
          </w:tcPr>
          <w:p w:rsidR="00565FD5" w:rsidRPr="004B3DE4" w:rsidRDefault="00565FD5" w:rsidP="00AB62A3">
            <w:pPr>
              <w:ind w:right="57"/>
              <w:rPr>
                <w:rFonts w:cs="Tahoma"/>
                <w:sz w:val="14"/>
              </w:rPr>
            </w:pPr>
            <w:r w:rsidRPr="004B3DE4">
              <w:rPr>
                <w:rFonts w:cs="Tahoma"/>
                <w:sz w:val="14"/>
              </w:rPr>
              <w:t xml:space="preserve">   İşçi (3)</w:t>
            </w:r>
          </w:p>
        </w:tc>
        <w:tc>
          <w:tcPr>
            <w:tcW w:w="114" w:type="pct"/>
            <w:noWrap/>
            <w:vAlign w:val="center"/>
          </w:tcPr>
          <w:p w:rsidR="00565FD5" w:rsidRPr="004B3DE4" w:rsidRDefault="00565FD5" w:rsidP="00AB62A3">
            <w:pPr>
              <w:ind w:right="57"/>
              <w:rPr>
                <w:rFonts w:cs="Tahoma"/>
                <w:sz w:val="14"/>
              </w:rPr>
            </w:pPr>
          </w:p>
        </w:tc>
        <w:tc>
          <w:tcPr>
            <w:tcW w:w="407" w:type="pct"/>
            <w:noWrap/>
            <w:vAlign w:val="center"/>
          </w:tcPr>
          <w:p w:rsidR="00565FD5" w:rsidRPr="004B3DE4" w:rsidRDefault="00565FD5" w:rsidP="00AB62A3">
            <w:pPr>
              <w:ind w:right="57"/>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vAlign w:val="center"/>
          </w:tcPr>
          <w:p w:rsidR="00565FD5" w:rsidRPr="004B3DE4" w:rsidRDefault="00565FD5" w:rsidP="00AB62A3">
            <w:pPr>
              <w:ind w:right="57"/>
              <w:jc w:val="right"/>
              <w:rPr>
                <w:rFonts w:cs="Tahoma"/>
                <w:sz w:val="14"/>
              </w:rPr>
            </w:pPr>
            <w:r w:rsidRPr="004B3DE4">
              <w:rPr>
                <w:rFonts w:cs="Tahoma"/>
                <w:sz w:val="14"/>
              </w:rPr>
              <w:t> </w:t>
            </w:r>
          </w:p>
        </w:tc>
        <w:tc>
          <w:tcPr>
            <w:tcW w:w="414" w:type="pct"/>
            <w:vAlign w:val="center"/>
          </w:tcPr>
          <w:p w:rsidR="00565FD5" w:rsidRPr="004B3DE4" w:rsidRDefault="00565FD5" w:rsidP="00AB62A3">
            <w:pPr>
              <w:ind w:right="57"/>
              <w:jc w:val="right"/>
              <w:rPr>
                <w:rFonts w:cs="Tahoma"/>
                <w:sz w:val="14"/>
              </w:rPr>
            </w:pPr>
          </w:p>
        </w:tc>
      </w:tr>
      <w:tr w:rsidR="00565FD5" w:rsidRPr="004B3DE4" w:rsidTr="00AB62A3">
        <w:trPr>
          <w:trHeight w:val="20"/>
        </w:trPr>
        <w:tc>
          <w:tcPr>
            <w:tcW w:w="924" w:type="pct"/>
            <w:gridSpan w:val="2"/>
            <w:noWrap/>
            <w:vAlign w:val="center"/>
          </w:tcPr>
          <w:p w:rsidR="00565FD5" w:rsidRPr="004B3DE4" w:rsidRDefault="00565FD5" w:rsidP="00AB62A3">
            <w:pPr>
              <w:ind w:right="57"/>
              <w:rPr>
                <w:rFonts w:cs="Tahoma"/>
                <w:sz w:val="14"/>
              </w:rPr>
            </w:pPr>
            <w:r w:rsidRPr="004B3DE4">
              <w:rPr>
                <w:rFonts w:cs="Tahoma"/>
                <w:sz w:val="14"/>
              </w:rPr>
              <w:t xml:space="preserve">          Kamu </w:t>
            </w: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105,4</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107</w:t>
            </w:r>
            <w:r w:rsidRPr="004B3DE4">
              <w:rPr>
                <w:rFonts w:cs="Tahoma"/>
                <w:sz w:val="14"/>
              </w:rPr>
              <w:t>,4</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104</w:t>
            </w:r>
            <w:r w:rsidRPr="004B3DE4">
              <w:rPr>
                <w:rFonts w:cs="Tahoma"/>
                <w:sz w:val="14"/>
              </w:rPr>
              <w:t>,4</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111,9</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105,2</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lang w:eastAsia="tr-TR"/>
              </w:rPr>
              <w:t>111,9</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lang w:eastAsia="tr-TR"/>
              </w:rPr>
              <w:t>110</w:t>
            </w:r>
            <w:r w:rsidRPr="004B3DE4">
              <w:rPr>
                <w:rFonts w:cs="Tahoma"/>
                <w:sz w:val="14"/>
                <w:szCs w:val="14"/>
              </w:rPr>
              <w:t>,3</w:t>
            </w:r>
          </w:p>
        </w:tc>
        <w:tc>
          <w:tcPr>
            <w:tcW w:w="407" w:type="pct"/>
            <w:vAlign w:val="center"/>
          </w:tcPr>
          <w:p w:rsidR="00565FD5" w:rsidRPr="004B3DE4" w:rsidRDefault="00565FD5" w:rsidP="00AB62A3">
            <w:pPr>
              <w:ind w:right="57"/>
              <w:jc w:val="right"/>
              <w:rPr>
                <w:rFonts w:cs="Tahoma"/>
                <w:sz w:val="14"/>
              </w:rPr>
            </w:pPr>
            <w:r>
              <w:rPr>
                <w:rFonts w:cs="Tahoma"/>
                <w:sz w:val="14"/>
              </w:rPr>
              <w:t>1</w:t>
            </w:r>
            <w:r w:rsidRPr="004B3DE4">
              <w:rPr>
                <w:rFonts w:cs="Tahoma"/>
                <w:sz w:val="14"/>
              </w:rPr>
              <w:t>05,7</w:t>
            </w:r>
          </w:p>
        </w:tc>
        <w:tc>
          <w:tcPr>
            <w:tcW w:w="414" w:type="pct"/>
            <w:vAlign w:val="center"/>
          </w:tcPr>
          <w:p w:rsidR="00565FD5" w:rsidRPr="00DD0F98" w:rsidRDefault="00565FD5" w:rsidP="00AB62A3">
            <w:pPr>
              <w:ind w:right="57"/>
              <w:jc w:val="right"/>
              <w:rPr>
                <w:rFonts w:cs="Tahoma"/>
                <w:sz w:val="14"/>
                <w:szCs w:val="14"/>
                <w:lang w:eastAsia="tr-TR"/>
              </w:rPr>
            </w:pPr>
            <w:r w:rsidRPr="00DD0F98">
              <w:rPr>
                <w:rFonts w:cs="Tahoma"/>
                <w:sz w:val="14"/>
                <w:szCs w:val="14"/>
                <w:lang w:eastAsia="tr-TR"/>
              </w:rPr>
              <w:t>106,9</w:t>
            </w:r>
          </w:p>
        </w:tc>
      </w:tr>
      <w:tr w:rsidR="00565FD5" w:rsidRPr="004B3DE4" w:rsidTr="00AB62A3">
        <w:trPr>
          <w:trHeight w:val="20"/>
        </w:trPr>
        <w:tc>
          <w:tcPr>
            <w:tcW w:w="924" w:type="pct"/>
            <w:gridSpan w:val="2"/>
            <w:noWrap/>
            <w:vAlign w:val="center"/>
          </w:tcPr>
          <w:p w:rsidR="00565FD5" w:rsidRPr="004B3DE4" w:rsidRDefault="00565FD5" w:rsidP="00AB62A3">
            <w:pPr>
              <w:ind w:right="57"/>
              <w:rPr>
                <w:rFonts w:cs="Tahoma"/>
                <w:sz w:val="14"/>
              </w:rPr>
            </w:pPr>
            <w:r w:rsidRPr="004B3DE4">
              <w:rPr>
                <w:rFonts w:cs="Tahoma"/>
                <w:sz w:val="14"/>
              </w:rPr>
              <w:t xml:space="preserve">          Özel </w:t>
            </w: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111,1</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114,9</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114,</w:t>
            </w:r>
            <w:r w:rsidRPr="004B3DE4">
              <w:rPr>
                <w:rFonts w:cs="Tahoma"/>
                <w:sz w:val="14"/>
                <w:szCs w:val="14"/>
              </w:rPr>
              <w:t>0</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118,3</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113,1</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lang w:eastAsia="tr-TR"/>
              </w:rPr>
              <w:t>120,8</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rPr>
              <w:t>119,3</w:t>
            </w:r>
          </w:p>
        </w:tc>
        <w:tc>
          <w:tcPr>
            <w:tcW w:w="407" w:type="pct"/>
            <w:vAlign w:val="center"/>
          </w:tcPr>
          <w:p w:rsidR="00565FD5" w:rsidRPr="004B3DE4" w:rsidRDefault="00565FD5" w:rsidP="00AB62A3">
            <w:pPr>
              <w:ind w:right="57"/>
              <w:jc w:val="right"/>
              <w:rPr>
                <w:rFonts w:cs="Tahoma"/>
                <w:sz w:val="14"/>
              </w:rPr>
            </w:pPr>
            <w:r w:rsidRPr="004B3DE4">
              <w:rPr>
                <w:rFonts w:cs="Tahoma"/>
                <w:sz w:val="14"/>
              </w:rPr>
              <w:t xml:space="preserve">119,8       </w:t>
            </w:r>
          </w:p>
        </w:tc>
        <w:tc>
          <w:tcPr>
            <w:tcW w:w="414" w:type="pct"/>
            <w:vAlign w:val="center"/>
          </w:tcPr>
          <w:p w:rsidR="00565FD5" w:rsidRPr="00DD0F98" w:rsidRDefault="00565FD5" w:rsidP="00AB62A3">
            <w:pPr>
              <w:ind w:right="57"/>
              <w:jc w:val="right"/>
              <w:rPr>
                <w:rFonts w:cs="Tahoma"/>
                <w:sz w:val="14"/>
                <w:szCs w:val="14"/>
                <w:lang w:eastAsia="tr-TR"/>
              </w:rPr>
            </w:pPr>
            <w:r w:rsidRPr="00DD0F98">
              <w:rPr>
                <w:rFonts w:cs="Tahoma"/>
                <w:sz w:val="14"/>
                <w:szCs w:val="14"/>
                <w:lang w:eastAsia="tr-TR"/>
              </w:rPr>
              <w:t xml:space="preserve">-    </w:t>
            </w:r>
          </w:p>
        </w:tc>
      </w:tr>
      <w:tr w:rsidR="00565FD5" w:rsidRPr="004B3DE4" w:rsidTr="00AB62A3">
        <w:trPr>
          <w:trHeight w:val="20"/>
        </w:trPr>
        <w:tc>
          <w:tcPr>
            <w:tcW w:w="810" w:type="pct"/>
            <w:noWrap/>
            <w:vAlign w:val="center"/>
          </w:tcPr>
          <w:p w:rsidR="00565FD5" w:rsidRPr="004B3DE4" w:rsidRDefault="00565FD5" w:rsidP="00AB62A3">
            <w:pPr>
              <w:ind w:right="57"/>
              <w:rPr>
                <w:rFonts w:cs="Tahoma"/>
                <w:sz w:val="14"/>
              </w:rPr>
            </w:pPr>
            <w:r w:rsidRPr="004B3DE4">
              <w:rPr>
                <w:rFonts w:cs="Tahoma"/>
                <w:sz w:val="14"/>
              </w:rPr>
              <w:t xml:space="preserve">   Memur</w:t>
            </w:r>
          </w:p>
        </w:tc>
        <w:tc>
          <w:tcPr>
            <w:tcW w:w="114" w:type="pct"/>
            <w:noWrap/>
            <w:vAlign w:val="center"/>
          </w:tcPr>
          <w:p w:rsidR="00565FD5" w:rsidRPr="004B3DE4" w:rsidRDefault="00565FD5" w:rsidP="00AB62A3">
            <w:pPr>
              <w:ind w:right="57"/>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127,8</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134,5</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140,2</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148,4</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147,0</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lang w:eastAsia="tr-TR"/>
              </w:rPr>
              <w:t>164,7</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lang w:eastAsia="tr-TR"/>
              </w:rPr>
              <w:t>162,4</w:t>
            </w:r>
          </w:p>
        </w:tc>
        <w:tc>
          <w:tcPr>
            <w:tcW w:w="407" w:type="pct"/>
            <w:vAlign w:val="center"/>
          </w:tcPr>
          <w:p w:rsidR="00565FD5" w:rsidRPr="004B3DE4" w:rsidRDefault="00565FD5" w:rsidP="00AB62A3">
            <w:pPr>
              <w:ind w:right="57"/>
              <w:jc w:val="right"/>
              <w:rPr>
                <w:rFonts w:cs="Tahoma"/>
                <w:sz w:val="14"/>
              </w:rPr>
            </w:pPr>
            <w:r w:rsidRPr="004B3DE4">
              <w:rPr>
                <w:rFonts w:cs="Tahoma"/>
                <w:sz w:val="14"/>
                <w:szCs w:val="14"/>
              </w:rPr>
              <w:t>163,7</w:t>
            </w:r>
          </w:p>
        </w:tc>
        <w:tc>
          <w:tcPr>
            <w:tcW w:w="414" w:type="pct"/>
            <w:vAlign w:val="center"/>
          </w:tcPr>
          <w:p w:rsidR="00565FD5" w:rsidRPr="004B3DE4" w:rsidRDefault="00565FD5" w:rsidP="00AB62A3">
            <w:pPr>
              <w:ind w:right="57"/>
              <w:jc w:val="right"/>
              <w:rPr>
                <w:rFonts w:cs="Tahoma"/>
                <w:sz w:val="14"/>
                <w:szCs w:val="14"/>
                <w:lang w:eastAsia="tr-TR"/>
              </w:rPr>
            </w:pPr>
            <w:r w:rsidRPr="004B3DE4">
              <w:rPr>
                <w:rFonts w:cs="Tahoma"/>
                <w:sz w:val="14"/>
                <w:szCs w:val="14"/>
                <w:lang w:eastAsia="tr-TR"/>
              </w:rPr>
              <w:t>174,8</w:t>
            </w:r>
          </w:p>
        </w:tc>
      </w:tr>
      <w:tr w:rsidR="00565FD5" w:rsidRPr="004B3DE4" w:rsidTr="00AB62A3">
        <w:trPr>
          <w:trHeight w:val="20"/>
        </w:trPr>
        <w:tc>
          <w:tcPr>
            <w:tcW w:w="924" w:type="pct"/>
            <w:gridSpan w:val="2"/>
            <w:noWrap/>
            <w:vAlign w:val="center"/>
          </w:tcPr>
          <w:p w:rsidR="00565FD5" w:rsidRPr="004B3DE4" w:rsidRDefault="00565FD5" w:rsidP="00AB62A3">
            <w:pPr>
              <w:ind w:right="57"/>
              <w:rPr>
                <w:rFonts w:cs="Tahoma"/>
                <w:sz w:val="14"/>
              </w:rPr>
            </w:pPr>
            <w:r w:rsidRPr="004B3DE4">
              <w:rPr>
                <w:rFonts w:cs="Tahoma"/>
                <w:sz w:val="14"/>
              </w:rPr>
              <w:t xml:space="preserve">   Asgari Ücret (4)</w:t>
            </w: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170,8</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181</w:t>
            </w:r>
            <w:r w:rsidRPr="004B3DE4">
              <w:rPr>
                <w:rFonts w:cs="Tahoma"/>
                <w:sz w:val="14"/>
              </w:rPr>
              <w:t>,8</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180,7</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183,6</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177,1</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lang w:eastAsia="tr-TR"/>
              </w:rPr>
              <w:t>190,6</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lang w:eastAsia="tr-TR"/>
              </w:rPr>
              <w:t>192</w:t>
            </w:r>
            <w:r w:rsidRPr="004B3DE4">
              <w:rPr>
                <w:rFonts w:cs="Tahoma"/>
                <w:sz w:val="14"/>
                <w:szCs w:val="14"/>
              </w:rPr>
              <w:t>,5</w:t>
            </w:r>
          </w:p>
        </w:tc>
        <w:tc>
          <w:tcPr>
            <w:tcW w:w="407" w:type="pct"/>
            <w:vAlign w:val="center"/>
          </w:tcPr>
          <w:p w:rsidR="00565FD5" w:rsidRPr="004B3DE4" w:rsidRDefault="00565FD5" w:rsidP="00AB62A3">
            <w:pPr>
              <w:ind w:right="57"/>
              <w:jc w:val="right"/>
              <w:rPr>
                <w:rFonts w:cs="Tahoma"/>
                <w:sz w:val="14"/>
              </w:rPr>
            </w:pPr>
            <w:r w:rsidRPr="004B3DE4">
              <w:rPr>
                <w:rFonts w:cs="Tahoma"/>
                <w:sz w:val="14"/>
                <w:szCs w:val="14"/>
              </w:rPr>
              <w:t>190,0</w:t>
            </w:r>
          </w:p>
        </w:tc>
        <w:tc>
          <w:tcPr>
            <w:tcW w:w="414" w:type="pct"/>
            <w:vAlign w:val="center"/>
          </w:tcPr>
          <w:p w:rsidR="00565FD5" w:rsidRPr="004B3DE4" w:rsidRDefault="00565FD5" w:rsidP="00AB62A3">
            <w:pPr>
              <w:ind w:right="57"/>
              <w:jc w:val="right"/>
              <w:rPr>
                <w:rFonts w:cs="Tahoma"/>
                <w:sz w:val="14"/>
                <w:szCs w:val="14"/>
                <w:lang w:eastAsia="tr-TR"/>
              </w:rPr>
            </w:pPr>
            <w:r w:rsidRPr="004B3DE4">
              <w:rPr>
                <w:rFonts w:cs="Tahoma"/>
                <w:sz w:val="14"/>
                <w:szCs w:val="14"/>
                <w:lang w:eastAsia="tr-TR"/>
              </w:rPr>
              <w:t>192,4</w:t>
            </w:r>
          </w:p>
        </w:tc>
      </w:tr>
      <w:tr w:rsidR="00565FD5" w:rsidRPr="004B3DE4" w:rsidTr="00AB62A3">
        <w:trPr>
          <w:trHeight w:val="20"/>
        </w:trPr>
        <w:tc>
          <w:tcPr>
            <w:tcW w:w="810" w:type="pct"/>
            <w:noWrap/>
            <w:vAlign w:val="center"/>
          </w:tcPr>
          <w:p w:rsidR="00565FD5" w:rsidRPr="004B3DE4" w:rsidRDefault="00565FD5" w:rsidP="00AB62A3">
            <w:pPr>
              <w:ind w:right="57"/>
              <w:rPr>
                <w:rFonts w:cs="Tahoma"/>
                <w:sz w:val="14"/>
              </w:rPr>
            </w:pPr>
            <w:r w:rsidRPr="004B3DE4">
              <w:rPr>
                <w:rFonts w:cs="Tahoma"/>
                <w:sz w:val="14"/>
              </w:rPr>
              <w:t xml:space="preserve">      </w:t>
            </w:r>
          </w:p>
        </w:tc>
        <w:tc>
          <w:tcPr>
            <w:tcW w:w="114" w:type="pct"/>
            <w:noWrap/>
            <w:vAlign w:val="center"/>
          </w:tcPr>
          <w:p w:rsidR="00565FD5" w:rsidRPr="004B3DE4" w:rsidRDefault="00565FD5" w:rsidP="00AB62A3">
            <w:pPr>
              <w:ind w:right="57"/>
              <w:rPr>
                <w:rFonts w:cs="Tahoma"/>
                <w:sz w:val="14"/>
              </w:rPr>
            </w:pPr>
          </w:p>
        </w:tc>
        <w:tc>
          <w:tcPr>
            <w:tcW w:w="407" w:type="pct"/>
            <w:tcBorders>
              <w:bottom w:val="nil"/>
            </w:tcBorders>
            <w:noWrap/>
            <w:vAlign w:val="center"/>
          </w:tcPr>
          <w:p w:rsidR="00565FD5" w:rsidRPr="004B3DE4" w:rsidRDefault="00565FD5" w:rsidP="00AB62A3">
            <w:pPr>
              <w:ind w:right="57"/>
              <w:rPr>
                <w:rFonts w:cs="Tahoma"/>
                <w:sz w:val="14"/>
              </w:rPr>
            </w:pPr>
          </w:p>
        </w:tc>
        <w:tc>
          <w:tcPr>
            <w:tcW w:w="407" w:type="pct"/>
            <w:tcBorders>
              <w:bottom w:val="nil"/>
            </w:tcBorders>
            <w:noWrap/>
            <w:vAlign w:val="center"/>
          </w:tcPr>
          <w:p w:rsidR="00565FD5" w:rsidRPr="004B3DE4" w:rsidRDefault="00565FD5" w:rsidP="00AB62A3">
            <w:pPr>
              <w:ind w:right="57"/>
              <w:jc w:val="right"/>
              <w:rPr>
                <w:rFonts w:cs="Tahoma"/>
                <w:sz w:val="14"/>
              </w:rPr>
            </w:pPr>
          </w:p>
        </w:tc>
        <w:tc>
          <w:tcPr>
            <w:tcW w:w="407" w:type="pct"/>
            <w:tcBorders>
              <w:bottom w:val="nil"/>
            </w:tcBorders>
            <w:noWrap/>
            <w:vAlign w:val="center"/>
          </w:tcPr>
          <w:p w:rsidR="00565FD5" w:rsidRPr="004B3DE4" w:rsidRDefault="00565FD5" w:rsidP="00AB62A3">
            <w:pPr>
              <w:ind w:right="57"/>
              <w:jc w:val="right"/>
              <w:rPr>
                <w:rFonts w:cs="Tahoma"/>
                <w:sz w:val="14"/>
              </w:rPr>
            </w:pPr>
          </w:p>
        </w:tc>
        <w:tc>
          <w:tcPr>
            <w:tcW w:w="407" w:type="pct"/>
            <w:tcBorders>
              <w:bottom w:val="nil"/>
            </w:tcBorders>
            <w:noWrap/>
            <w:vAlign w:val="center"/>
          </w:tcPr>
          <w:p w:rsidR="00565FD5" w:rsidRPr="004B3DE4" w:rsidRDefault="00565FD5" w:rsidP="00AB62A3">
            <w:pPr>
              <w:ind w:right="57"/>
              <w:jc w:val="right"/>
              <w:rPr>
                <w:rFonts w:cs="Tahoma"/>
                <w:sz w:val="14"/>
              </w:rPr>
            </w:pPr>
          </w:p>
        </w:tc>
        <w:tc>
          <w:tcPr>
            <w:tcW w:w="407" w:type="pct"/>
            <w:tcBorders>
              <w:bottom w:val="nil"/>
            </w:tcBorders>
            <w:noWrap/>
            <w:vAlign w:val="center"/>
          </w:tcPr>
          <w:p w:rsidR="00565FD5" w:rsidRPr="004B3DE4" w:rsidRDefault="00565FD5" w:rsidP="00AB62A3">
            <w:pPr>
              <w:ind w:right="57"/>
              <w:jc w:val="right"/>
              <w:rPr>
                <w:rFonts w:cs="Tahoma"/>
                <w:sz w:val="14"/>
              </w:rPr>
            </w:pPr>
          </w:p>
        </w:tc>
        <w:tc>
          <w:tcPr>
            <w:tcW w:w="407" w:type="pct"/>
            <w:tcBorders>
              <w:bottom w:val="nil"/>
            </w:tcBorders>
            <w:noWrap/>
            <w:vAlign w:val="center"/>
          </w:tcPr>
          <w:p w:rsidR="00565FD5" w:rsidRPr="004B3DE4" w:rsidRDefault="00565FD5" w:rsidP="00AB62A3">
            <w:pPr>
              <w:ind w:right="57"/>
              <w:jc w:val="right"/>
              <w:rPr>
                <w:rFonts w:cs="Tahoma"/>
                <w:sz w:val="14"/>
              </w:rPr>
            </w:pPr>
          </w:p>
        </w:tc>
        <w:tc>
          <w:tcPr>
            <w:tcW w:w="407" w:type="pct"/>
            <w:tcBorders>
              <w:bottom w:val="nil"/>
            </w:tcBorders>
            <w:noWrap/>
            <w:vAlign w:val="center"/>
          </w:tcPr>
          <w:p w:rsidR="00565FD5" w:rsidRPr="004B3DE4" w:rsidRDefault="00565FD5" w:rsidP="00AB62A3">
            <w:pPr>
              <w:ind w:right="57"/>
              <w:jc w:val="right"/>
              <w:rPr>
                <w:rFonts w:cs="Tahoma"/>
                <w:sz w:val="14"/>
              </w:rPr>
            </w:pPr>
          </w:p>
        </w:tc>
        <w:tc>
          <w:tcPr>
            <w:tcW w:w="407" w:type="pct"/>
            <w:tcBorders>
              <w:bottom w:val="nil"/>
            </w:tcBorders>
            <w:noWrap/>
            <w:vAlign w:val="center"/>
          </w:tcPr>
          <w:p w:rsidR="00565FD5" w:rsidRPr="004B3DE4" w:rsidRDefault="00565FD5" w:rsidP="00AB62A3">
            <w:pPr>
              <w:ind w:right="57"/>
              <w:jc w:val="right"/>
              <w:rPr>
                <w:rFonts w:cs="Tahoma"/>
                <w:sz w:val="14"/>
              </w:rPr>
            </w:pPr>
          </w:p>
        </w:tc>
        <w:tc>
          <w:tcPr>
            <w:tcW w:w="407" w:type="pct"/>
            <w:tcBorders>
              <w:bottom w:val="nil"/>
            </w:tcBorders>
            <w:vAlign w:val="center"/>
          </w:tcPr>
          <w:p w:rsidR="00565FD5" w:rsidRPr="004B3DE4" w:rsidRDefault="00565FD5" w:rsidP="00AB62A3">
            <w:pPr>
              <w:ind w:right="57"/>
              <w:jc w:val="right"/>
              <w:rPr>
                <w:rFonts w:cs="Tahoma"/>
                <w:sz w:val="14"/>
              </w:rPr>
            </w:pPr>
            <w:r w:rsidRPr="004B3DE4">
              <w:rPr>
                <w:rFonts w:cs="Tahoma"/>
                <w:sz w:val="14"/>
              </w:rPr>
              <w:t> </w:t>
            </w:r>
          </w:p>
        </w:tc>
        <w:tc>
          <w:tcPr>
            <w:tcW w:w="414" w:type="pct"/>
            <w:tcBorders>
              <w:bottom w:val="nil"/>
            </w:tcBorders>
            <w:vAlign w:val="center"/>
          </w:tcPr>
          <w:p w:rsidR="00565FD5" w:rsidRPr="004B3DE4" w:rsidRDefault="00565FD5" w:rsidP="00AB62A3">
            <w:pPr>
              <w:ind w:right="57"/>
              <w:jc w:val="right"/>
              <w:rPr>
                <w:rFonts w:cs="Tahoma"/>
                <w:sz w:val="14"/>
              </w:rPr>
            </w:pPr>
          </w:p>
        </w:tc>
      </w:tr>
      <w:tr w:rsidR="00565FD5" w:rsidRPr="004B3DE4" w:rsidTr="00AB62A3">
        <w:trPr>
          <w:trHeight w:val="20"/>
        </w:trPr>
        <w:tc>
          <w:tcPr>
            <w:tcW w:w="810" w:type="pct"/>
            <w:noWrap/>
            <w:vAlign w:val="center"/>
          </w:tcPr>
          <w:p w:rsidR="00565FD5" w:rsidRPr="004B3DE4" w:rsidRDefault="00565FD5" w:rsidP="00AB62A3">
            <w:pPr>
              <w:ind w:right="57"/>
              <w:rPr>
                <w:rFonts w:cs="Tahoma"/>
                <w:sz w:val="14"/>
              </w:rPr>
            </w:pPr>
            <w:r w:rsidRPr="004B3DE4">
              <w:rPr>
                <w:rFonts w:cs="Tahoma"/>
                <w:sz w:val="14"/>
              </w:rPr>
              <w:t> </w:t>
            </w:r>
          </w:p>
        </w:tc>
        <w:tc>
          <w:tcPr>
            <w:tcW w:w="114" w:type="pct"/>
            <w:noWrap/>
            <w:vAlign w:val="center"/>
          </w:tcPr>
          <w:p w:rsidR="00565FD5" w:rsidRPr="004B3DE4" w:rsidRDefault="00565FD5" w:rsidP="00AB62A3">
            <w:pPr>
              <w:ind w:right="57"/>
              <w:rPr>
                <w:rFonts w:cs="Tahoma"/>
                <w:sz w:val="14"/>
              </w:rPr>
            </w:pPr>
          </w:p>
        </w:tc>
        <w:tc>
          <w:tcPr>
            <w:tcW w:w="4076" w:type="pct"/>
            <w:gridSpan w:val="10"/>
            <w:tcBorders>
              <w:top w:val="nil"/>
              <w:bottom w:val="single" w:sz="4" w:space="0" w:color="auto"/>
            </w:tcBorders>
            <w:noWrap/>
            <w:vAlign w:val="center"/>
          </w:tcPr>
          <w:p w:rsidR="00565FD5" w:rsidRPr="004B3DE4" w:rsidRDefault="00565FD5" w:rsidP="00AB62A3">
            <w:pPr>
              <w:ind w:right="57"/>
              <w:rPr>
                <w:rFonts w:cs="Tahoma"/>
                <w:sz w:val="14"/>
              </w:rPr>
            </w:pPr>
            <w:r w:rsidRPr="004B3DE4">
              <w:rPr>
                <w:rFonts w:cs="Tahoma"/>
                <w:b/>
                <w:sz w:val="14"/>
              </w:rPr>
              <w:t>Bir Önceki Yıla Göre  Reel Yüzde Değişim</w:t>
            </w:r>
          </w:p>
        </w:tc>
      </w:tr>
      <w:tr w:rsidR="00565FD5" w:rsidRPr="004B3DE4" w:rsidTr="00AB62A3">
        <w:trPr>
          <w:trHeight w:val="20"/>
        </w:trPr>
        <w:tc>
          <w:tcPr>
            <w:tcW w:w="810" w:type="pct"/>
            <w:noWrap/>
            <w:vAlign w:val="center"/>
          </w:tcPr>
          <w:p w:rsidR="00565FD5" w:rsidRPr="004B3DE4" w:rsidRDefault="00565FD5" w:rsidP="00AB62A3">
            <w:pPr>
              <w:ind w:right="57"/>
              <w:rPr>
                <w:rFonts w:cs="Tahoma"/>
                <w:sz w:val="14"/>
              </w:rPr>
            </w:pPr>
            <w:r w:rsidRPr="004B3DE4">
              <w:rPr>
                <w:rFonts w:cs="Tahoma"/>
                <w:sz w:val="14"/>
              </w:rPr>
              <w:t xml:space="preserve">   İşçi (3)</w:t>
            </w:r>
          </w:p>
        </w:tc>
        <w:tc>
          <w:tcPr>
            <w:tcW w:w="114" w:type="pct"/>
            <w:noWrap/>
            <w:vAlign w:val="center"/>
          </w:tcPr>
          <w:p w:rsidR="00565FD5" w:rsidRPr="004B3DE4" w:rsidRDefault="00565FD5" w:rsidP="00AB62A3">
            <w:pPr>
              <w:ind w:right="57"/>
              <w:rPr>
                <w:rFonts w:cs="Tahoma"/>
                <w:sz w:val="14"/>
              </w:rPr>
            </w:pPr>
          </w:p>
        </w:tc>
        <w:tc>
          <w:tcPr>
            <w:tcW w:w="407" w:type="pct"/>
            <w:tcBorders>
              <w:top w:val="single" w:sz="4" w:space="0" w:color="auto"/>
            </w:tcBorders>
            <w:noWrap/>
            <w:vAlign w:val="center"/>
          </w:tcPr>
          <w:p w:rsidR="00565FD5" w:rsidRPr="004B3DE4" w:rsidRDefault="00565FD5" w:rsidP="00AB62A3">
            <w:pPr>
              <w:ind w:right="57"/>
              <w:rPr>
                <w:rFonts w:cs="Tahoma"/>
                <w:sz w:val="14"/>
              </w:rPr>
            </w:pP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p>
        </w:tc>
        <w:tc>
          <w:tcPr>
            <w:tcW w:w="407" w:type="pct"/>
            <w:tcBorders>
              <w:top w:val="single" w:sz="4" w:space="0" w:color="auto"/>
            </w:tcBorders>
            <w:vAlign w:val="center"/>
          </w:tcPr>
          <w:p w:rsidR="00565FD5" w:rsidRPr="004B3DE4" w:rsidRDefault="00565FD5" w:rsidP="00AB62A3">
            <w:pPr>
              <w:ind w:right="57"/>
              <w:jc w:val="right"/>
              <w:rPr>
                <w:rFonts w:cs="Tahoma"/>
                <w:sz w:val="14"/>
              </w:rPr>
            </w:pPr>
            <w:r w:rsidRPr="004B3DE4">
              <w:rPr>
                <w:rFonts w:cs="Tahoma"/>
                <w:sz w:val="14"/>
              </w:rPr>
              <w:t> </w:t>
            </w:r>
          </w:p>
        </w:tc>
        <w:tc>
          <w:tcPr>
            <w:tcW w:w="414" w:type="pct"/>
            <w:tcBorders>
              <w:top w:val="single" w:sz="4" w:space="0" w:color="auto"/>
            </w:tcBorders>
            <w:vAlign w:val="center"/>
          </w:tcPr>
          <w:p w:rsidR="00565FD5" w:rsidRPr="004B3DE4" w:rsidRDefault="00565FD5" w:rsidP="00AB62A3">
            <w:pPr>
              <w:ind w:right="57"/>
              <w:jc w:val="right"/>
              <w:rPr>
                <w:rFonts w:cs="Tahoma"/>
                <w:sz w:val="14"/>
              </w:rPr>
            </w:pPr>
          </w:p>
        </w:tc>
      </w:tr>
      <w:tr w:rsidR="00565FD5" w:rsidRPr="004B3DE4" w:rsidTr="00AB62A3">
        <w:trPr>
          <w:trHeight w:val="20"/>
        </w:trPr>
        <w:tc>
          <w:tcPr>
            <w:tcW w:w="924" w:type="pct"/>
            <w:gridSpan w:val="2"/>
            <w:noWrap/>
            <w:vAlign w:val="center"/>
          </w:tcPr>
          <w:p w:rsidR="00565FD5" w:rsidRPr="004B3DE4" w:rsidRDefault="00565FD5" w:rsidP="00AB62A3">
            <w:pPr>
              <w:ind w:right="57"/>
              <w:rPr>
                <w:rFonts w:cs="Tahoma"/>
                <w:sz w:val="14"/>
              </w:rPr>
            </w:pPr>
            <w:r w:rsidRPr="004B3DE4">
              <w:rPr>
                <w:rFonts w:cs="Tahoma"/>
                <w:sz w:val="14"/>
              </w:rPr>
              <w:t xml:space="preserve">          Kamu </w:t>
            </w: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3,1</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1</w:t>
            </w:r>
            <w:r w:rsidRPr="004B3DE4">
              <w:rPr>
                <w:rFonts w:cs="Tahoma"/>
                <w:bCs/>
                <w:sz w:val="14"/>
                <w:szCs w:val="14"/>
                <w:lang w:eastAsia="tr-TR"/>
              </w:rPr>
              <w:t>,9</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-2,8</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7,</w:t>
            </w:r>
            <w:r w:rsidRPr="004B3DE4">
              <w:rPr>
                <w:rFonts w:cs="Tahoma"/>
                <w:sz w:val="14"/>
              </w:rPr>
              <w:t>2</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-6,0</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6,</w:t>
            </w:r>
            <w:r w:rsidRPr="004B3DE4">
              <w:rPr>
                <w:rFonts w:cs="Tahoma"/>
                <w:sz w:val="14"/>
                <w:szCs w:val="14"/>
                <w:lang w:eastAsia="tr-TR"/>
              </w:rPr>
              <w:t>4</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lang w:eastAsia="tr-TR"/>
              </w:rPr>
              <w:t>-1,5</w:t>
            </w:r>
          </w:p>
        </w:tc>
        <w:tc>
          <w:tcPr>
            <w:tcW w:w="407" w:type="pct"/>
            <w:vAlign w:val="center"/>
          </w:tcPr>
          <w:p w:rsidR="00565FD5" w:rsidRPr="004B3DE4" w:rsidRDefault="00565FD5" w:rsidP="00AB62A3">
            <w:pPr>
              <w:ind w:right="57"/>
              <w:jc w:val="right"/>
              <w:rPr>
                <w:rFonts w:cs="Tahoma"/>
                <w:sz w:val="14"/>
              </w:rPr>
            </w:pPr>
            <w:r w:rsidRPr="004B3DE4">
              <w:rPr>
                <w:rFonts w:cs="Tahoma"/>
                <w:sz w:val="14"/>
                <w:szCs w:val="14"/>
              </w:rPr>
              <w:t>-4,2</w:t>
            </w:r>
          </w:p>
        </w:tc>
        <w:tc>
          <w:tcPr>
            <w:tcW w:w="414" w:type="pct"/>
            <w:vAlign w:val="center"/>
          </w:tcPr>
          <w:p w:rsidR="00565FD5" w:rsidRPr="004B3DE4" w:rsidRDefault="00565FD5" w:rsidP="00AB62A3">
            <w:pPr>
              <w:ind w:right="57"/>
              <w:jc w:val="right"/>
              <w:rPr>
                <w:rFonts w:cs="Tahoma"/>
                <w:sz w:val="14"/>
                <w:szCs w:val="14"/>
              </w:rPr>
            </w:pPr>
            <w:r w:rsidRPr="004B3DE4">
              <w:rPr>
                <w:rFonts w:cs="Tahoma"/>
                <w:sz w:val="14"/>
                <w:szCs w:val="14"/>
              </w:rPr>
              <w:t>1,2</w:t>
            </w:r>
          </w:p>
        </w:tc>
      </w:tr>
      <w:tr w:rsidR="00565FD5" w:rsidRPr="004B3DE4" w:rsidTr="00AB62A3">
        <w:trPr>
          <w:trHeight w:val="20"/>
        </w:trPr>
        <w:tc>
          <w:tcPr>
            <w:tcW w:w="924" w:type="pct"/>
            <w:gridSpan w:val="2"/>
            <w:noWrap/>
            <w:vAlign w:val="center"/>
          </w:tcPr>
          <w:p w:rsidR="00565FD5" w:rsidRPr="004B3DE4" w:rsidRDefault="00565FD5" w:rsidP="00AB62A3">
            <w:pPr>
              <w:ind w:right="57"/>
              <w:rPr>
                <w:rFonts w:cs="Tahoma"/>
                <w:sz w:val="14"/>
              </w:rPr>
            </w:pPr>
            <w:r w:rsidRPr="004B3DE4">
              <w:rPr>
                <w:rFonts w:cs="Tahoma"/>
                <w:sz w:val="14"/>
              </w:rPr>
              <w:t xml:space="preserve">          Özel </w:t>
            </w: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4,5</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3,</w:t>
            </w:r>
            <w:r w:rsidRPr="004B3DE4">
              <w:rPr>
                <w:rFonts w:cs="Tahoma"/>
                <w:sz w:val="14"/>
              </w:rPr>
              <w:t>4</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-0,8</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3</w:t>
            </w:r>
            <w:r w:rsidRPr="004B3DE4">
              <w:rPr>
                <w:rFonts w:cs="Tahoma"/>
                <w:sz w:val="14"/>
              </w:rPr>
              <w:t>,8</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-4,4</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lang w:eastAsia="tr-TR"/>
              </w:rPr>
              <w:t>6,8</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rPr>
              <w:t>-1,2</w:t>
            </w:r>
          </w:p>
        </w:tc>
        <w:tc>
          <w:tcPr>
            <w:tcW w:w="407" w:type="pct"/>
            <w:vAlign w:val="center"/>
          </w:tcPr>
          <w:p w:rsidR="00565FD5" w:rsidRPr="004B3DE4" w:rsidRDefault="00565FD5" w:rsidP="00AB62A3">
            <w:pPr>
              <w:ind w:right="57"/>
              <w:jc w:val="right"/>
              <w:rPr>
                <w:rFonts w:cs="Tahoma"/>
                <w:sz w:val="14"/>
              </w:rPr>
            </w:pPr>
            <w:r w:rsidRPr="004B3DE4">
              <w:rPr>
                <w:rFonts w:cs="Tahoma"/>
                <w:sz w:val="14"/>
              </w:rPr>
              <w:t xml:space="preserve">0,5  </w:t>
            </w:r>
          </w:p>
        </w:tc>
        <w:tc>
          <w:tcPr>
            <w:tcW w:w="414" w:type="pct"/>
            <w:vAlign w:val="center"/>
          </w:tcPr>
          <w:p w:rsidR="00565FD5" w:rsidRPr="004B3DE4" w:rsidRDefault="00565FD5" w:rsidP="00AB62A3">
            <w:pPr>
              <w:ind w:right="57"/>
              <w:jc w:val="right"/>
              <w:rPr>
                <w:rFonts w:cs="Tahoma"/>
                <w:sz w:val="14"/>
              </w:rPr>
            </w:pPr>
            <w:r w:rsidRPr="004B3DE4">
              <w:rPr>
                <w:rFonts w:cs="Tahoma"/>
                <w:sz w:val="14"/>
              </w:rPr>
              <w:t xml:space="preserve">-  </w:t>
            </w:r>
          </w:p>
        </w:tc>
      </w:tr>
      <w:tr w:rsidR="00565FD5" w:rsidRPr="004B3DE4" w:rsidTr="00AB62A3">
        <w:trPr>
          <w:trHeight w:val="20"/>
        </w:trPr>
        <w:tc>
          <w:tcPr>
            <w:tcW w:w="810" w:type="pct"/>
            <w:noWrap/>
            <w:vAlign w:val="center"/>
          </w:tcPr>
          <w:p w:rsidR="00565FD5" w:rsidRPr="004B3DE4" w:rsidRDefault="00565FD5" w:rsidP="00AB62A3">
            <w:pPr>
              <w:ind w:right="57"/>
              <w:rPr>
                <w:rFonts w:cs="Tahoma"/>
                <w:sz w:val="14"/>
              </w:rPr>
            </w:pPr>
            <w:r w:rsidRPr="004B3DE4">
              <w:rPr>
                <w:rFonts w:cs="Tahoma"/>
                <w:sz w:val="14"/>
              </w:rPr>
              <w:t xml:space="preserve">   Memur</w:t>
            </w:r>
          </w:p>
        </w:tc>
        <w:tc>
          <w:tcPr>
            <w:tcW w:w="114" w:type="pct"/>
            <w:noWrap/>
            <w:vAlign w:val="center"/>
          </w:tcPr>
          <w:p w:rsidR="00565FD5" w:rsidRPr="004B3DE4" w:rsidRDefault="00565FD5" w:rsidP="00AB62A3">
            <w:pPr>
              <w:ind w:right="57"/>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4,3</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5,2</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4</w:t>
            </w:r>
            <w:r w:rsidRPr="004B3DE4">
              <w:rPr>
                <w:rFonts w:cs="Tahoma"/>
                <w:sz w:val="14"/>
              </w:rPr>
              <w:t>,2</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5,8</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-0,9</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lang w:eastAsia="tr-TR"/>
              </w:rPr>
              <w:t>12,</w:t>
            </w:r>
            <w:r w:rsidRPr="004B3DE4">
              <w:rPr>
                <w:rFonts w:cs="Tahoma"/>
                <w:sz w:val="14"/>
              </w:rPr>
              <w:t>0</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lang w:eastAsia="tr-TR"/>
              </w:rPr>
              <w:t>-1,4</w:t>
            </w:r>
          </w:p>
        </w:tc>
        <w:tc>
          <w:tcPr>
            <w:tcW w:w="407" w:type="pct"/>
            <w:vAlign w:val="center"/>
          </w:tcPr>
          <w:p w:rsidR="00565FD5" w:rsidRPr="004B3DE4" w:rsidRDefault="00565FD5" w:rsidP="00AB62A3">
            <w:pPr>
              <w:ind w:right="57"/>
              <w:jc w:val="right"/>
              <w:rPr>
                <w:rFonts w:cs="Tahoma"/>
                <w:sz w:val="14"/>
              </w:rPr>
            </w:pPr>
            <w:r w:rsidRPr="004B3DE4">
              <w:rPr>
                <w:rFonts w:cs="Tahoma"/>
                <w:sz w:val="14"/>
              </w:rPr>
              <w:t>0,8</w:t>
            </w:r>
          </w:p>
        </w:tc>
        <w:tc>
          <w:tcPr>
            <w:tcW w:w="414" w:type="pct"/>
            <w:vAlign w:val="center"/>
          </w:tcPr>
          <w:p w:rsidR="00565FD5" w:rsidRPr="004B3DE4" w:rsidRDefault="00565FD5" w:rsidP="00AB62A3">
            <w:pPr>
              <w:ind w:right="57"/>
              <w:jc w:val="right"/>
              <w:rPr>
                <w:rFonts w:cs="Tahoma"/>
                <w:sz w:val="14"/>
              </w:rPr>
            </w:pPr>
            <w:r w:rsidRPr="004B3DE4">
              <w:rPr>
                <w:rFonts w:cs="Tahoma"/>
                <w:sz w:val="14"/>
              </w:rPr>
              <w:t>6,8</w:t>
            </w:r>
          </w:p>
        </w:tc>
      </w:tr>
      <w:tr w:rsidR="00565FD5" w:rsidRPr="004B3DE4" w:rsidTr="00AB62A3">
        <w:trPr>
          <w:trHeight w:val="20"/>
        </w:trPr>
        <w:tc>
          <w:tcPr>
            <w:tcW w:w="924" w:type="pct"/>
            <w:gridSpan w:val="2"/>
            <w:noWrap/>
            <w:vAlign w:val="center"/>
          </w:tcPr>
          <w:p w:rsidR="00565FD5" w:rsidRPr="004B3DE4" w:rsidRDefault="00565FD5" w:rsidP="00AB62A3">
            <w:pPr>
              <w:ind w:right="57"/>
              <w:rPr>
                <w:rFonts w:cs="Tahoma"/>
                <w:sz w:val="14"/>
              </w:rPr>
            </w:pPr>
            <w:r w:rsidRPr="004B3DE4">
              <w:rPr>
                <w:rFonts w:cs="Tahoma"/>
                <w:sz w:val="14"/>
              </w:rPr>
              <w:t xml:space="preserve">   Asgari Ücret (4)</w:t>
            </w: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11,0</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6,4</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-0,</w:t>
            </w:r>
            <w:r w:rsidRPr="004B3DE4">
              <w:rPr>
                <w:rFonts w:cs="Tahoma"/>
                <w:sz w:val="14"/>
              </w:rPr>
              <w:t>6</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w:t>
            </w:r>
            <w:r w:rsidRPr="004B3DE4">
              <w:rPr>
                <w:rFonts w:cs="Tahoma"/>
                <w:sz w:val="14"/>
              </w:rPr>
              <w:t>,6</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-3</w:t>
            </w:r>
            <w:r w:rsidRPr="004B3DE4">
              <w:rPr>
                <w:rFonts w:cs="Tahoma"/>
                <w:sz w:val="14"/>
              </w:rPr>
              <w:t>,6</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lang w:eastAsia="tr-TR"/>
              </w:rPr>
              <w:t>7</w:t>
            </w:r>
            <w:r w:rsidRPr="004B3DE4">
              <w:rPr>
                <w:rFonts w:cs="Tahoma"/>
                <w:sz w:val="14"/>
              </w:rPr>
              <w:t>,6</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lang w:eastAsia="tr-TR"/>
              </w:rPr>
              <w:t>1,0</w:t>
            </w:r>
          </w:p>
        </w:tc>
        <w:tc>
          <w:tcPr>
            <w:tcW w:w="407" w:type="pct"/>
            <w:vAlign w:val="center"/>
          </w:tcPr>
          <w:p w:rsidR="00565FD5" w:rsidRPr="004B3DE4" w:rsidRDefault="00565FD5" w:rsidP="00AB62A3">
            <w:pPr>
              <w:ind w:right="57"/>
              <w:jc w:val="right"/>
              <w:rPr>
                <w:rFonts w:cs="Tahoma"/>
                <w:sz w:val="14"/>
              </w:rPr>
            </w:pPr>
            <w:r w:rsidRPr="004B3DE4">
              <w:rPr>
                <w:rFonts w:cs="Tahoma"/>
                <w:sz w:val="14"/>
                <w:szCs w:val="14"/>
              </w:rPr>
              <w:t>-</w:t>
            </w:r>
            <w:r w:rsidRPr="004B3DE4">
              <w:rPr>
                <w:rFonts w:cs="Tahoma"/>
                <w:sz w:val="14"/>
              </w:rPr>
              <w:t>1,3</w:t>
            </w:r>
          </w:p>
        </w:tc>
        <w:tc>
          <w:tcPr>
            <w:tcW w:w="414" w:type="pct"/>
            <w:vAlign w:val="center"/>
          </w:tcPr>
          <w:p w:rsidR="00565FD5" w:rsidRPr="004B3DE4" w:rsidRDefault="00565FD5" w:rsidP="00AB62A3">
            <w:pPr>
              <w:ind w:right="57"/>
              <w:jc w:val="right"/>
              <w:rPr>
                <w:rFonts w:cs="Tahoma"/>
                <w:sz w:val="14"/>
                <w:szCs w:val="14"/>
              </w:rPr>
            </w:pPr>
            <w:r w:rsidRPr="004B3DE4">
              <w:rPr>
                <w:rFonts w:cs="Tahoma"/>
                <w:sz w:val="14"/>
              </w:rPr>
              <w:t>1,3</w:t>
            </w:r>
          </w:p>
        </w:tc>
      </w:tr>
      <w:tr w:rsidR="00565FD5" w:rsidRPr="004B3DE4" w:rsidTr="00AB62A3">
        <w:trPr>
          <w:trHeight w:val="20"/>
        </w:trPr>
        <w:tc>
          <w:tcPr>
            <w:tcW w:w="810" w:type="pct"/>
            <w:noWrap/>
            <w:vAlign w:val="center"/>
          </w:tcPr>
          <w:p w:rsidR="00565FD5" w:rsidRPr="004B3DE4" w:rsidRDefault="00565FD5" w:rsidP="00AB62A3">
            <w:pPr>
              <w:ind w:right="57"/>
              <w:rPr>
                <w:rFonts w:cs="Tahoma"/>
                <w:sz w:val="14"/>
              </w:rPr>
            </w:pPr>
            <w:r w:rsidRPr="004B3DE4">
              <w:rPr>
                <w:rFonts w:cs="Tahoma"/>
                <w:sz w:val="14"/>
              </w:rPr>
              <w:t> </w:t>
            </w:r>
          </w:p>
        </w:tc>
        <w:tc>
          <w:tcPr>
            <w:tcW w:w="114" w:type="pct"/>
            <w:noWrap/>
            <w:vAlign w:val="center"/>
          </w:tcPr>
          <w:p w:rsidR="00565FD5" w:rsidRPr="004B3DE4" w:rsidRDefault="00565FD5" w:rsidP="00AB62A3">
            <w:pPr>
              <w:ind w:right="57"/>
              <w:rPr>
                <w:rFonts w:cs="Tahoma"/>
                <w:sz w:val="14"/>
              </w:rPr>
            </w:pPr>
          </w:p>
        </w:tc>
        <w:tc>
          <w:tcPr>
            <w:tcW w:w="407" w:type="pct"/>
            <w:noWrap/>
            <w:vAlign w:val="center"/>
          </w:tcPr>
          <w:p w:rsidR="00565FD5" w:rsidRPr="004B3DE4" w:rsidRDefault="00565FD5" w:rsidP="00AB62A3">
            <w:pPr>
              <w:ind w:right="57"/>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vAlign w:val="center"/>
          </w:tcPr>
          <w:p w:rsidR="00565FD5" w:rsidRPr="004B3DE4" w:rsidRDefault="00565FD5" w:rsidP="00AB62A3">
            <w:pPr>
              <w:ind w:right="57"/>
              <w:jc w:val="right"/>
              <w:rPr>
                <w:rFonts w:cs="Tahoma"/>
                <w:sz w:val="14"/>
              </w:rPr>
            </w:pPr>
            <w:r w:rsidRPr="004B3DE4">
              <w:rPr>
                <w:rFonts w:cs="Tahoma"/>
                <w:sz w:val="14"/>
              </w:rPr>
              <w:t> </w:t>
            </w:r>
          </w:p>
        </w:tc>
        <w:tc>
          <w:tcPr>
            <w:tcW w:w="414" w:type="pct"/>
            <w:vAlign w:val="center"/>
          </w:tcPr>
          <w:p w:rsidR="00565FD5" w:rsidRPr="004B3DE4" w:rsidRDefault="00565FD5" w:rsidP="00AB62A3">
            <w:pPr>
              <w:ind w:right="57"/>
              <w:jc w:val="right"/>
              <w:rPr>
                <w:rFonts w:cs="Tahoma"/>
                <w:sz w:val="14"/>
              </w:rPr>
            </w:pPr>
          </w:p>
        </w:tc>
      </w:tr>
      <w:tr w:rsidR="00565FD5" w:rsidRPr="004B3DE4" w:rsidTr="00AB62A3">
        <w:trPr>
          <w:trHeight w:val="20"/>
        </w:trPr>
        <w:tc>
          <w:tcPr>
            <w:tcW w:w="810" w:type="pct"/>
            <w:noWrap/>
            <w:vAlign w:val="center"/>
          </w:tcPr>
          <w:p w:rsidR="00565FD5" w:rsidRPr="004B3DE4" w:rsidRDefault="00565FD5" w:rsidP="00AB62A3">
            <w:pPr>
              <w:ind w:right="57"/>
              <w:rPr>
                <w:rFonts w:cs="Tahoma"/>
                <w:sz w:val="14"/>
              </w:rPr>
            </w:pPr>
            <w:r w:rsidRPr="004B3DE4">
              <w:rPr>
                <w:rFonts w:cs="Tahoma"/>
                <w:sz w:val="14"/>
              </w:rPr>
              <w:t> </w:t>
            </w:r>
          </w:p>
        </w:tc>
        <w:tc>
          <w:tcPr>
            <w:tcW w:w="114" w:type="pct"/>
            <w:noWrap/>
            <w:vAlign w:val="center"/>
          </w:tcPr>
          <w:p w:rsidR="00565FD5" w:rsidRPr="004B3DE4" w:rsidRDefault="00565FD5" w:rsidP="00AB62A3">
            <w:pPr>
              <w:ind w:right="57"/>
              <w:rPr>
                <w:rFonts w:cs="Tahoma"/>
                <w:sz w:val="14"/>
              </w:rPr>
            </w:pPr>
          </w:p>
        </w:tc>
        <w:tc>
          <w:tcPr>
            <w:tcW w:w="4076" w:type="pct"/>
            <w:gridSpan w:val="10"/>
            <w:tcBorders>
              <w:bottom w:val="nil"/>
            </w:tcBorders>
            <w:noWrap/>
            <w:vAlign w:val="center"/>
          </w:tcPr>
          <w:p w:rsidR="00565FD5" w:rsidRPr="004B3DE4" w:rsidRDefault="00565FD5" w:rsidP="00AB62A3">
            <w:pPr>
              <w:ind w:right="57"/>
              <w:rPr>
                <w:rFonts w:cs="Tahoma"/>
                <w:sz w:val="14"/>
              </w:rPr>
            </w:pPr>
            <w:r w:rsidRPr="004B3DE4">
              <w:rPr>
                <w:rFonts w:cs="Tahoma"/>
                <w:b/>
                <w:sz w:val="14"/>
              </w:rPr>
              <w:t>NET ELE GEÇEN ÜCRETLER (2)</w:t>
            </w:r>
            <w:r w:rsidRPr="004B3DE4">
              <w:rPr>
                <w:rFonts w:cs="Tahoma"/>
                <w:sz w:val="14"/>
              </w:rPr>
              <w:t> </w:t>
            </w:r>
          </w:p>
        </w:tc>
      </w:tr>
      <w:tr w:rsidR="00565FD5" w:rsidRPr="004B3DE4" w:rsidTr="00AB62A3">
        <w:trPr>
          <w:trHeight w:val="20"/>
        </w:trPr>
        <w:tc>
          <w:tcPr>
            <w:tcW w:w="810" w:type="pct"/>
            <w:noWrap/>
            <w:vAlign w:val="center"/>
          </w:tcPr>
          <w:p w:rsidR="00565FD5" w:rsidRPr="004B3DE4" w:rsidRDefault="00565FD5" w:rsidP="00AB62A3">
            <w:pPr>
              <w:ind w:right="57"/>
              <w:rPr>
                <w:rFonts w:cs="Tahoma"/>
                <w:sz w:val="14"/>
              </w:rPr>
            </w:pPr>
            <w:r w:rsidRPr="004B3DE4">
              <w:rPr>
                <w:rFonts w:cs="Tahoma"/>
                <w:sz w:val="14"/>
              </w:rPr>
              <w:t> </w:t>
            </w:r>
          </w:p>
        </w:tc>
        <w:tc>
          <w:tcPr>
            <w:tcW w:w="114" w:type="pct"/>
            <w:noWrap/>
            <w:vAlign w:val="center"/>
          </w:tcPr>
          <w:p w:rsidR="00565FD5" w:rsidRPr="004B3DE4" w:rsidRDefault="00565FD5" w:rsidP="00AB62A3">
            <w:pPr>
              <w:ind w:right="57"/>
              <w:rPr>
                <w:rFonts w:cs="Tahoma"/>
                <w:sz w:val="14"/>
              </w:rPr>
            </w:pPr>
          </w:p>
        </w:tc>
        <w:tc>
          <w:tcPr>
            <w:tcW w:w="4076" w:type="pct"/>
            <w:gridSpan w:val="10"/>
            <w:tcBorders>
              <w:top w:val="nil"/>
              <w:bottom w:val="single" w:sz="4" w:space="0" w:color="auto"/>
            </w:tcBorders>
            <w:noWrap/>
            <w:vAlign w:val="center"/>
          </w:tcPr>
          <w:p w:rsidR="00565FD5" w:rsidRPr="004B3DE4" w:rsidRDefault="00565FD5" w:rsidP="00AB62A3">
            <w:pPr>
              <w:ind w:right="57"/>
              <w:rPr>
                <w:rFonts w:cs="Tahoma"/>
                <w:sz w:val="14"/>
              </w:rPr>
            </w:pPr>
            <w:r w:rsidRPr="004B3DE4">
              <w:rPr>
                <w:rFonts w:cs="Tahoma"/>
                <w:b/>
                <w:sz w:val="14"/>
              </w:rPr>
              <w:t>Reel Net Ele Geçen Ücret Endeksi (1994=100)</w:t>
            </w:r>
            <w:r w:rsidRPr="004B3DE4">
              <w:rPr>
                <w:rFonts w:cs="Tahoma"/>
                <w:sz w:val="14"/>
              </w:rPr>
              <w:t> </w:t>
            </w:r>
          </w:p>
        </w:tc>
      </w:tr>
      <w:tr w:rsidR="00565FD5" w:rsidRPr="004B3DE4" w:rsidTr="00AB62A3">
        <w:trPr>
          <w:trHeight w:val="20"/>
        </w:trPr>
        <w:tc>
          <w:tcPr>
            <w:tcW w:w="810" w:type="pct"/>
            <w:noWrap/>
            <w:vAlign w:val="center"/>
          </w:tcPr>
          <w:p w:rsidR="00565FD5" w:rsidRPr="004B3DE4" w:rsidRDefault="00565FD5" w:rsidP="00AB62A3">
            <w:pPr>
              <w:ind w:right="57"/>
              <w:rPr>
                <w:rFonts w:cs="Tahoma"/>
                <w:sz w:val="14"/>
              </w:rPr>
            </w:pPr>
            <w:r w:rsidRPr="004B3DE4">
              <w:rPr>
                <w:rFonts w:cs="Tahoma"/>
                <w:sz w:val="14"/>
              </w:rPr>
              <w:t> </w:t>
            </w:r>
          </w:p>
        </w:tc>
        <w:tc>
          <w:tcPr>
            <w:tcW w:w="114" w:type="pct"/>
            <w:noWrap/>
            <w:vAlign w:val="center"/>
          </w:tcPr>
          <w:p w:rsidR="00565FD5" w:rsidRPr="004B3DE4" w:rsidRDefault="00565FD5" w:rsidP="00AB62A3">
            <w:pPr>
              <w:ind w:right="57"/>
              <w:rPr>
                <w:rFonts w:cs="Tahoma"/>
                <w:sz w:val="14"/>
              </w:rPr>
            </w:pPr>
          </w:p>
        </w:tc>
        <w:tc>
          <w:tcPr>
            <w:tcW w:w="407" w:type="pct"/>
            <w:tcBorders>
              <w:top w:val="single" w:sz="4" w:space="0" w:color="auto"/>
            </w:tcBorders>
            <w:noWrap/>
            <w:vAlign w:val="center"/>
          </w:tcPr>
          <w:p w:rsidR="00565FD5" w:rsidRPr="004B3DE4" w:rsidRDefault="00565FD5" w:rsidP="00AB62A3">
            <w:pPr>
              <w:ind w:right="57"/>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 </w:t>
            </w:r>
          </w:p>
        </w:tc>
        <w:tc>
          <w:tcPr>
            <w:tcW w:w="407" w:type="pct"/>
            <w:tcBorders>
              <w:top w:val="single" w:sz="4" w:space="0" w:color="auto"/>
            </w:tcBorders>
            <w:vAlign w:val="center"/>
          </w:tcPr>
          <w:p w:rsidR="00565FD5" w:rsidRPr="004B3DE4" w:rsidRDefault="00565FD5" w:rsidP="00AB62A3">
            <w:pPr>
              <w:ind w:right="57"/>
              <w:jc w:val="right"/>
              <w:rPr>
                <w:rFonts w:cs="Tahoma"/>
                <w:sz w:val="14"/>
              </w:rPr>
            </w:pPr>
            <w:r w:rsidRPr="004B3DE4">
              <w:rPr>
                <w:rFonts w:cs="Tahoma"/>
                <w:sz w:val="14"/>
              </w:rPr>
              <w:t> </w:t>
            </w:r>
          </w:p>
        </w:tc>
        <w:tc>
          <w:tcPr>
            <w:tcW w:w="414" w:type="pct"/>
            <w:tcBorders>
              <w:top w:val="single" w:sz="4" w:space="0" w:color="auto"/>
            </w:tcBorders>
            <w:vAlign w:val="center"/>
          </w:tcPr>
          <w:p w:rsidR="00565FD5" w:rsidRPr="004B3DE4" w:rsidRDefault="00565FD5" w:rsidP="00AB62A3">
            <w:pPr>
              <w:ind w:right="57"/>
              <w:jc w:val="right"/>
              <w:rPr>
                <w:rFonts w:cs="Tahoma"/>
                <w:sz w:val="14"/>
              </w:rPr>
            </w:pPr>
          </w:p>
        </w:tc>
      </w:tr>
      <w:tr w:rsidR="00565FD5" w:rsidRPr="004B3DE4" w:rsidTr="00AB62A3">
        <w:trPr>
          <w:trHeight w:val="20"/>
        </w:trPr>
        <w:tc>
          <w:tcPr>
            <w:tcW w:w="810" w:type="pct"/>
            <w:noWrap/>
            <w:vAlign w:val="center"/>
          </w:tcPr>
          <w:p w:rsidR="00565FD5" w:rsidRPr="004B3DE4" w:rsidRDefault="00565FD5" w:rsidP="00AB62A3">
            <w:pPr>
              <w:ind w:right="57"/>
              <w:rPr>
                <w:rFonts w:cs="Tahoma"/>
                <w:sz w:val="14"/>
              </w:rPr>
            </w:pPr>
            <w:r w:rsidRPr="004B3DE4">
              <w:rPr>
                <w:rFonts w:cs="Tahoma"/>
                <w:sz w:val="14"/>
              </w:rPr>
              <w:t xml:space="preserve">   İşçi (3)</w:t>
            </w:r>
          </w:p>
        </w:tc>
        <w:tc>
          <w:tcPr>
            <w:tcW w:w="114" w:type="pct"/>
            <w:noWrap/>
            <w:vAlign w:val="center"/>
          </w:tcPr>
          <w:p w:rsidR="00565FD5" w:rsidRPr="004B3DE4" w:rsidRDefault="00565FD5" w:rsidP="00AB62A3">
            <w:pPr>
              <w:ind w:right="57"/>
              <w:rPr>
                <w:rFonts w:cs="Tahoma"/>
                <w:sz w:val="14"/>
              </w:rPr>
            </w:pPr>
          </w:p>
        </w:tc>
        <w:tc>
          <w:tcPr>
            <w:tcW w:w="407" w:type="pct"/>
            <w:noWrap/>
            <w:vAlign w:val="center"/>
          </w:tcPr>
          <w:p w:rsidR="00565FD5" w:rsidRPr="004B3DE4" w:rsidRDefault="00565FD5" w:rsidP="00AB62A3">
            <w:pPr>
              <w:ind w:right="57"/>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vAlign w:val="center"/>
          </w:tcPr>
          <w:p w:rsidR="00565FD5" w:rsidRPr="004B3DE4" w:rsidRDefault="00565FD5" w:rsidP="00AB62A3">
            <w:pPr>
              <w:ind w:right="57"/>
              <w:jc w:val="right"/>
              <w:rPr>
                <w:rFonts w:cs="Tahoma"/>
                <w:sz w:val="14"/>
              </w:rPr>
            </w:pPr>
            <w:r w:rsidRPr="004B3DE4">
              <w:rPr>
                <w:rFonts w:cs="Tahoma"/>
                <w:sz w:val="14"/>
              </w:rPr>
              <w:t> </w:t>
            </w:r>
          </w:p>
        </w:tc>
        <w:tc>
          <w:tcPr>
            <w:tcW w:w="414" w:type="pct"/>
            <w:vAlign w:val="center"/>
          </w:tcPr>
          <w:p w:rsidR="00565FD5" w:rsidRPr="004B3DE4" w:rsidRDefault="00565FD5" w:rsidP="00AB62A3">
            <w:pPr>
              <w:ind w:right="57"/>
              <w:jc w:val="right"/>
              <w:rPr>
                <w:rFonts w:cs="Tahoma"/>
                <w:sz w:val="14"/>
              </w:rPr>
            </w:pPr>
          </w:p>
        </w:tc>
      </w:tr>
      <w:tr w:rsidR="00565FD5" w:rsidRPr="004B3DE4" w:rsidTr="00AB62A3">
        <w:trPr>
          <w:trHeight w:val="20"/>
        </w:trPr>
        <w:tc>
          <w:tcPr>
            <w:tcW w:w="924" w:type="pct"/>
            <w:gridSpan w:val="2"/>
            <w:noWrap/>
            <w:vAlign w:val="center"/>
          </w:tcPr>
          <w:p w:rsidR="00565FD5" w:rsidRPr="004B3DE4" w:rsidRDefault="00565FD5" w:rsidP="00AB62A3">
            <w:pPr>
              <w:ind w:right="57"/>
              <w:rPr>
                <w:rFonts w:cs="Tahoma"/>
                <w:sz w:val="14"/>
              </w:rPr>
            </w:pPr>
            <w:r w:rsidRPr="004B3DE4">
              <w:rPr>
                <w:rFonts w:cs="Tahoma"/>
                <w:sz w:val="14"/>
              </w:rPr>
              <w:lastRenderedPageBreak/>
              <w:t xml:space="preserve">          Kamu </w:t>
            </w: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88,3</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90,7</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88,3</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91,1</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89,3</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lang w:eastAsia="tr-TR"/>
              </w:rPr>
              <w:t>88,8</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lang w:eastAsia="tr-TR"/>
              </w:rPr>
              <w:t>85,6</w:t>
            </w:r>
          </w:p>
        </w:tc>
        <w:tc>
          <w:tcPr>
            <w:tcW w:w="407" w:type="pct"/>
            <w:vAlign w:val="center"/>
          </w:tcPr>
          <w:p w:rsidR="00565FD5" w:rsidRPr="004B3DE4" w:rsidRDefault="00565FD5" w:rsidP="00AB62A3">
            <w:pPr>
              <w:ind w:right="57"/>
              <w:jc w:val="right"/>
              <w:rPr>
                <w:rFonts w:cs="Tahoma"/>
                <w:sz w:val="14"/>
              </w:rPr>
            </w:pPr>
            <w:r w:rsidRPr="004B3DE4">
              <w:rPr>
                <w:rFonts w:cs="Tahoma"/>
                <w:sz w:val="14"/>
                <w:szCs w:val="14"/>
              </w:rPr>
              <w:t xml:space="preserve">87,1   </w:t>
            </w:r>
          </w:p>
        </w:tc>
        <w:tc>
          <w:tcPr>
            <w:tcW w:w="414" w:type="pct"/>
            <w:vAlign w:val="center"/>
          </w:tcPr>
          <w:p w:rsidR="00565FD5" w:rsidRPr="004B3DE4" w:rsidRDefault="00565FD5" w:rsidP="00AB62A3">
            <w:pPr>
              <w:ind w:right="57"/>
              <w:jc w:val="right"/>
              <w:rPr>
                <w:rFonts w:cs="Tahoma"/>
                <w:sz w:val="14"/>
                <w:szCs w:val="14"/>
              </w:rPr>
            </w:pPr>
            <w:r w:rsidRPr="004B3DE4">
              <w:rPr>
                <w:rFonts w:cs="Tahoma"/>
                <w:sz w:val="14"/>
                <w:szCs w:val="14"/>
              </w:rPr>
              <w:t xml:space="preserve">85,8           </w:t>
            </w:r>
          </w:p>
        </w:tc>
      </w:tr>
      <w:tr w:rsidR="00565FD5" w:rsidRPr="004B3DE4" w:rsidTr="00AB62A3">
        <w:trPr>
          <w:trHeight w:val="20"/>
        </w:trPr>
        <w:tc>
          <w:tcPr>
            <w:tcW w:w="924" w:type="pct"/>
            <w:gridSpan w:val="2"/>
            <w:noWrap/>
            <w:vAlign w:val="center"/>
          </w:tcPr>
          <w:p w:rsidR="00565FD5" w:rsidRPr="004B3DE4" w:rsidRDefault="00565FD5" w:rsidP="00AB62A3">
            <w:pPr>
              <w:ind w:right="57"/>
              <w:rPr>
                <w:rFonts w:cs="Tahoma"/>
                <w:sz w:val="14"/>
              </w:rPr>
            </w:pPr>
            <w:r w:rsidRPr="004B3DE4">
              <w:rPr>
                <w:rFonts w:cs="Tahoma"/>
                <w:sz w:val="14"/>
              </w:rPr>
              <w:t xml:space="preserve">          Özel </w:t>
            </w: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97,1</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97,</w:t>
            </w:r>
            <w:r w:rsidRPr="004B3DE4">
              <w:rPr>
                <w:rFonts w:cs="Tahoma"/>
                <w:bCs/>
                <w:sz w:val="14"/>
                <w:szCs w:val="14"/>
                <w:lang w:eastAsia="tr-TR"/>
              </w:rPr>
              <w:t>7</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97,</w:t>
            </w:r>
            <w:r w:rsidRPr="004B3DE4">
              <w:rPr>
                <w:rFonts w:cs="Tahoma"/>
                <w:sz w:val="14"/>
                <w:szCs w:val="14"/>
              </w:rPr>
              <w:t>0</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99,4</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96,9</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rPr>
              <w:t>99,1</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rPr>
              <w:t>99,4</w:t>
            </w:r>
          </w:p>
        </w:tc>
        <w:tc>
          <w:tcPr>
            <w:tcW w:w="407" w:type="pct"/>
            <w:vAlign w:val="center"/>
          </w:tcPr>
          <w:p w:rsidR="00565FD5" w:rsidRPr="004B3DE4" w:rsidRDefault="00565FD5" w:rsidP="00AB62A3">
            <w:pPr>
              <w:ind w:right="57"/>
              <w:jc w:val="right"/>
              <w:rPr>
                <w:rFonts w:cs="Tahoma"/>
                <w:sz w:val="14"/>
              </w:rPr>
            </w:pPr>
            <w:r w:rsidRPr="004B3DE4">
              <w:rPr>
                <w:rFonts w:cs="Tahoma"/>
                <w:sz w:val="14"/>
              </w:rPr>
              <w:t>104,2</w:t>
            </w:r>
          </w:p>
        </w:tc>
        <w:tc>
          <w:tcPr>
            <w:tcW w:w="414" w:type="pct"/>
            <w:vAlign w:val="center"/>
          </w:tcPr>
          <w:p w:rsidR="00565FD5" w:rsidRPr="004B3DE4" w:rsidRDefault="00565FD5" w:rsidP="00AB62A3">
            <w:pPr>
              <w:ind w:right="57"/>
              <w:jc w:val="right"/>
              <w:rPr>
                <w:rFonts w:cs="Tahoma"/>
                <w:sz w:val="14"/>
              </w:rPr>
            </w:pPr>
            <w:r w:rsidRPr="004B3DE4">
              <w:rPr>
                <w:rFonts w:cs="Tahoma"/>
                <w:sz w:val="14"/>
              </w:rPr>
              <w:t>-</w:t>
            </w:r>
          </w:p>
        </w:tc>
      </w:tr>
      <w:tr w:rsidR="00565FD5" w:rsidRPr="004B3DE4" w:rsidTr="00AB62A3">
        <w:trPr>
          <w:trHeight w:val="20"/>
        </w:trPr>
        <w:tc>
          <w:tcPr>
            <w:tcW w:w="810" w:type="pct"/>
            <w:noWrap/>
            <w:vAlign w:val="center"/>
          </w:tcPr>
          <w:p w:rsidR="00565FD5" w:rsidRPr="004B3DE4" w:rsidRDefault="00565FD5" w:rsidP="00AB62A3">
            <w:pPr>
              <w:ind w:right="57"/>
              <w:rPr>
                <w:rFonts w:cs="Tahoma"/>
                <w:sz w:val="14"/>
              </w:rPr>
            </w:pPr>
            <w:r w:rsidRPr="004B3DE4">
              <w:rPr>
                <w:rFonts w:cs="Tahoma"/>
                <w:sz w:val="14"/>
              </w:rPr>
              <w:t xml:space="preserve">   Memur</w:t>
            </w:r>
          </w:p>
        </w:tc>
        <w:tc>
          <w:tcPr>
            <w:tcW w:w="114" w:type="pct"/>
            <w:noWrap/>
            <w:vAlign w:val="center"/>
          </w:tcPr>
          <w:p w:rsidR="00565FD5" w:rsidRPr="004B3DE4" w:rsidRDefault="00565FD5" w:rsidP="00AB62A3">
            <w:pPr>
              <w:ind w:right="57"/>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112,7</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115</w:t>
            </w:r>
            <w:r w:rsidRPr="004B3DE4">
              <w:rPr>
                <w:rFonts w:cs="Tahoma"/>
                <w:sz w:val="14"/>
              </w:rPr>
              <w:t>,7</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122,9</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127,7</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136,0</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lang w:eastAsia="tr-TR"/>
              </w:rPr>
              <w:t>147,2</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lang w:eastAsia="tr-TR"/>
              </w:rPr>
              <w:t>145,1</w:t>
            </w:r>
          </w:p>
        </w:tc>
        <w:tc>
          <w:tcPr>
            <w:tcW w:w="407" w:type="pct"/>
            <w:vAlign w:val="center"/>
          </w:tcPr>
          <w:p w:rsidR="00565FD5" w:rsidRPr="004B3DE4" w:rsidRDefault="00565FD5" w:rsidP="00AB62A3">
            <w:pPr>
              <w:ind w:right="57"/>
              <w:jc w:val="right"/>
              <w:rPr>
                <w:rFonts w:cs="Tahoma"/>
                <w:sz w:val="14"/>
              </w:rPr>
            </w:pPr>
            <w:r w:rsidRPr="004B3DE4">
              <w:rPr>
                <w:rFonts w:cs="Tahoma"/>
                <w:sz w:val="14"/>
                <w:szCs w:val="14"/>
              </w:rPr>
              <w:t>154</w:t>
            </w:r>
            <w:r w:rsidRPr="004B3DE4">
              <w:rPr>
                <w:rFonts w:cs="Tahoma"/>
                <w:sz w:val="14"/>
              </w:rPr>
              <w:t>,3</w:t>
            </w:r>
          </w:p>
        </w:tc>
        <w:tc>
          <w:tcPr>
            <w:tcW w:w="414" w:type="pct"/>
            <w:vAlign w:val="center"/>
          </w:tcPr>
          <w:p w:rsidR="00565FD5" w:rsidRPr="004B3DE4" w:rsidRDefault="00565FD5" w:rsidP="00AB62A3">
            <w:pPr>
              <w:ind w:right="57"/>
              <w:jc w:val="right"/>
              <w:rPr>
                <w:rFonts w:cs="Tahoma"/>
                <w:sz w:val="14"/>
                <w:szCs w:val="14"/>
              </w:rPr>
            </w:pPr>
            <w:r w:rsidRPr="004B3DE4">
              <w:rPr>
                <w:rFonts w:cs="Tahoma"/>
                <w:sz w:val="14"/>
              </w:rPr>
              <w:t>161,1</w:t>
            </w:r>
          </w:p>
        </w:tc>
      </w:tr>
      <w:tr w:rsidR="00565FD5" w:rsidRPr="004B3DE4" w:rsidTr="00AB62A3">
        <w:trPr>
          <w:trHeight w:val="20"/>
        </w:trPr>
        <w:tc>
          <w:tcPr>
            <w:tcW w:w="924" w:type="pct"/>
            <w:gridSpan w:val="2"/>
            <w:noWrap/>
            <w:vAlign w:val="center"/>
          </w:tcPr>
          <w:p w:rsidR="00565FD5" w:rsidRPr="004B3DE4" w:rsidRDefault="00565FD5" w:rsidP="00AB62A3">
            <w:pPr>
              <w:ind w:right="57"/>
              <w:rPr>
                <w:rFonts w:cs="Tahoma"/>
                <w:sz w:val="14"/>
              </w:rPr>
            </w:pPr>
            <w:r w:rsidRPr="004B3DE4">
              <w:rPr>
                <w:rFonts w:cs="Tahoma"/>
                <w:sz w:val="14"/>
              </w:rPr>
              <w:t xml:space="preserve">   Asgari Ücret (5)</w:t>
            </w: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158</w:t>
            </w:r>
            <w:r w:rsidRPr="004B3DE4">
              <w:rPr>
                <w:rFonts w:cs="Tahoma"/>
                <w:sz w:val="14"/>
              </w:rPr>
              <w:t>,6</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165,3</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163,9</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162,8</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176,6</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lang w:eastAsia="tr-TR"/>
              </w:rPr>
              <w:t>181,2</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lang w:eastAsia="tr-TR"/>
              </w:rPr>
              <w:t>182,9</w:t>
            </w:r>
          </w:p>
        </w:tc>
        <w:tc>
          <w:tcPr>
            <w:tcW w:w="407" w:type="pct"/>
            <w:vAlign w:val="center"/>
          </w:tcPr>
          <w:p w:rsidR="00565FD5" w:rsidRPr="004B3DE4" w:rsidRDefault="00565FD5" w:rsidP="00AB62A3">
            <w:pPr>
              <w:ind w:right="57"/>
              <w:jc w:val="right"/>
              <w:rPr>
                <w:rFonts w:cs="Tahoma"/>
                <w:sz w:val="14"/>
              </w:rPr>
            </w:pPr>
            <w:r w:rsidRPr="004B3DE4">
              <w:rPr>
                <w:rFonts w:cs="Tahoma"/>
                <w:sz w:val="14"/>
                <w:szCs w:val="14"/>
              </w:rPr>
              <w:t>188,1</w:t>
            </w:r>
          </w:p>
        </w:tc>
        <w:tc>
          <w:tcPr>
            <w:tcW w:w="414" w:type="pct"/>
            <w:vAlign w:val="center"/>
          </w:tcPr>
          <w:p w:rsidR="00565FD5" w:rsidRPr="004B3DE4" w:rsidRDefault="00565FD5" w:rsidP="00AB62A3">
            <w:pPr>
              <w:ind w:right="57"/>
              <w:jc w:val="right"/>
              <w:rPr>
                <w:rFonts w:cs="Tahoma"/>
                <w:sz w:val="14"/>
                <w:szCs w:val="14"/>
              </w:rPr>
            </w:pPr>
            <w:r w:rsidRPr="004B3DE4">
              <w:rPr>
                <w:rFonts w:cs="Tahoma"/>
                <w:sz w:val="14"/>
                <w:szCs w:val="14"/>
              </w:rPr>
              <w:t>193,2</w:t>
            </w:r>
          </w:p>
        </w:tc>
      </w:tr>
      <w:tr w:rsidR="00565FD5" w:rsidRPr="004B3DE4" w:rsidTr="00AB62A3">
        <w:trPr>
          <w:trHeight w:val="20"/>
        </w:trPr>
        <w:tc>
          <w:tcPr>
            <w:tcW w:w="810" w:type="pct"/>
            <w:noWrap/>
            <w:vAlign w:val="center"/>
          </w:tcPr>
          <w:p w:rsidR="00565FD5" w:rsidRPr="004B3DE4" w:rsidRDefault="00565FD5" w:rsidP="00AB62A3">
            <w:pPr>
              <w:ind w:right="57"/>
              <w:rPr>
                <w:rFonts w:cs="Tahoma"/>
                <w:sz w:val="14"/>
              </w:rPr>
            </w:pPr>
            <w:r w:rsidRPr="004B3DE4">
              <w:rPr>
                <w:rFonts w:cs="Tahoma"/>
                <w:sz w:val="14"/>
              </w:rPr>
              <w:t> </w:t>
            </w:r>
          </w:p>
        </w:tc>
        <w:tc>
          <w:tcPr>
            <w:tcW w:w="114" w:type="pct"/>
            <w:noWrap/>
            <w:vAlign w:val="center"/>
          </w:tcPr>
          <w:p w:rsidR="00565FD5" w:rsidRPr="004B3DE4" w:rsidRDefault="00565FD5" w:rsidP="00AB62A3">
            <w:pPr>
              <w:ind w:right="57"/>
              <w:rPr>
                <w:rFonts w:cs="Tahoma"/>
                <w:sz w:val="14"/>
              </w:rPr>
            </w:pPr>
          </w:p>
        </w:tc>
        <w:tc>
          <w:tcPr>
            <w:tcW w:w="407" w:type="pct"/>
            <w:tcBorders>
              <w:bottom w:val="nil"/>
            </w:tcBorders>
            <w:noWrap/>
            <w:vAlign w:val="center"/>
          </w:tcPr>
          <w:p w:rsidR="00565FD5" w:rsidRPr="004B3DE4" w:rsidRDefault="00565FD5" w:rsidP="00AB62A3">
            <w:pPr>
              <w:ind w:right="57"/>
              <w:rPr>
                <w:rFonts w:cs="Tahoma"/>
                <w:sz w:val="14"/>
              </w:rPr>
            </w:pPr>
          </w:p>
        </w:tc>
        <w:tc>
          <w:tcPr>
            <w:tcW w:w="407" w:type="pct"/>
            <w:tcBorders>
              <w:bottom w:val="nil"/>
            </w:tcBorders>
            <w:noWrap/>
            <w:vAlign w:val="center"/>
          </w:tcPr>
          <w:p w:rsidR="00565FD5" w:rsidRPr="004B3DE4" w:rsidRDefault="00565FD5" w:rsidP="00AB62A3">
            <w:pPr>
              <w:ind w:right="57"/>
              <w:jc w:val="right"/>
              <w:rPr>
                <w:rFonts w:cs="Tahoma"/>
                <w:sz w:val="14"/>
              </w:rPr>
            </w:pPr>
          </w:p>
        </w:tc>
        <w:tc>
          <w:tcPr>
            <w:tcW w:w="407" w:type="pct"/>
            <w:tcBorders>
              <w:bottom w:val="nil"/>
            </w:tcBorders>
            <w:noWrap/>
            <w:vAlign w:val="center"/>
          </w:tcPr>
          <w:p w:rsidR="00565FD5" w:rsidRPr="004B3DE4" w:rsidRDefault="00565FD5" w:rsidP="00AB62A3">
            <w:pPr>
              <w:ind w:right="57"/>
              <w:jc w:val="right"/>
              <w:rPr>
                <w:rFonts w:cs="Tahoma"/>
                <w:sz w:val="14"/>
              </w:rPr>
            </w:pPr>
          </w:p>
        </w:tc>
        <w:tc>
          <w:tcPr>
            <w:tcW w:w="407" w:type="pct"/>
            <w:tcBorders>
              <w:bottom w:val="nil"/>
            </w:tcBorders>
            <w:noWrap/>
            <w:vAlign w:val="center"/>
          </w:tcPr>
          <w:p w:rsidR="00565FD5" w:rsidRPr="004B3DE4" w:rsidRDefault="00565FD5" w:rsidP="00AB62A3">
            <w:pPr>
              <w:ind w:right="57"/>
              <w:jc w:val="right"/>
              <w:rPr>
                <w:rFonts w:cs="Tahoma"/>
                <w:sz w:val="14"/>
              </w:rPr>
            </w:pPr>
          </w:p>
        </w:tc>
        <w:tc>
          <w:tcPr>
            <w:tcW w:w="407" w:type="pct"/>
            <w:tcBorders>
              <w:bottom w:val="nil"/>
            </w:tcBorders>
            <w:noWrap/>
            <w:vAlign w:val="center"/>
          </w:tcPr>
          <w:p w:rsidR="00565FD5" w:rsidRPr="004B3DE4" w:rsidRDefault="00565FD5" w:rsidP="00AB62A3">
            <w:pPr>
              <w:ind w:right="57"/>
              <w:jc w:val="right"/>
              <w:rPr>
                <w:rFonts w:cs="Tahoma"/>
                <w:sz w:val="14"/>
              </w:rPr>
            </w:pPr>
          </w:p>
        </w:tc>
        <w:tc>
          <w:tcPr>
            <w:tcW w:w="407" w:type="pct"/>
            <w:tcBorders>
              <w:bottom w:val="nil"/>
            </w:tcBorders>
            <w:noWrap/>
            <w:vAlign w:val="center"/>
          </w:tcPr>
          <w:p w:rsidR="00565FD5" w:rsidRPr="004B3DE4" w:rsidRDefault="00565FD5" w:rsidP="00AB62A3">
            <w:pPr>
              <w:ind w:right="57"/>
              <w:jc w:val="right"/>
              <w:rPr>
                <w:rFonts w:cs="Tahoma"/>
                <w:sz w:val="14"/>
              </w:rPr>
            </w:pPr>
          </w:p>
        </w:tc>
        <w:tc>
          <w:tcPr>
            <w:tcW w:w="407" w:type="pct"/>
            <w:tcBorders>
              <w:bottom w:val="nil"/>
            </w:tcBorders>
            <w:noWrap/>
            <w:vAlign w:val="center"/>
          </w:tcPr>
          <w:p w:rsidR="00565FD5" w:rsidRPr="004B3DE4" w:rsidRDefault="00565FD5" w:rsidP="00AB62A3">
            <w:pPr>
              <w:ind w:right="57"/>
              <w:jc w:val="right"/>
              <w:rPr>
                <w:rFonts w:cs="Tahoma"/>
                <w:sz w:val="14"/>
              </w:rPr>
            </w:pPr>
          </w:p>
        </w:tc>
        <w:tc>
          <w:tcPr>
            <w:tcW w:w="407" w:type="pct"/>
            <w:tcBorders>
              <w:bottom w:val="nil"/>
            </w:tcBorders>
            <w:noWrap/>
            <w:vAlign w:val="center"/>
          </w:tcPr>
          <w:p w:rsidR="00565FD5" w:rsidRPr="004B3DE4" w:rsidRDefault="00565FD5" w:rsidP="00AB62A3">
            <w:pPr>
              <w:ind w:right="57"/>
              <w:jc w:val="right"/>
              <w:rPr>
                <w:rFonts w:cs="Tahoma"/>
                <w:sz w:val="14"/>
              </w:rPr>
            </w:pPr>
          </w:p>
        </w:tc>
        <w:tc>
          <w:tcPr>
            <w:tcW w:w="407" w:type="pct"/>
            <w:tcBorders>
              <w:bottom w:val="nil"/>
            </w:tcBorders>
            <w:vAlign w:val="center"/>
          </w:tcPr>
          <w:p w:rsidR="00565FD5" w:rsidRPr="004B3DE4" w:rsidRDefault="00565FD5" w:rsidP="00AB62A3">
            <w:pPr>
              <w:ind w:right="57"/>
              <w:jc w:val="right"/>
              <w:rPr>
                <w:rFonts w:cs="Tahoma"/>
                <w:sz w:val="14"/>
              </w:rPr>
            </w:pPr>
          </w:p>
        </w:tc>
        <w:tc>
          <w:tcPr>
            <w:tcW w:w="414" w:type="pct"/>
            <w:tcBorders>
              <w:bottom w:val="nil"/>
            </w:tcBorders>
            <w:vAlign w:val="center"/>
          </w:tcPr>
          <w:p w:rsidR="00565FD5" w:rsidRPr="004B3DE4" w:rsidRDefault="00565FD5" w:rsidP="00AB62A3">
            <w:pPr>
              <w:ind w:right="57"/>
              <w:jc w:val="right"/>
              <w:rPr>
                <w:rFonts w:cs="Tahoma"/>
                <w:sz w:val="14"/>
              </w:rPr>
            </w:pPr>
          </w:p>
        </w:tc>
      </w:tr>
      <w:tr w:rsidR="00565FD5" w:rsidRPr="004B3DE4" w:rsidTr="00AB62A3">
        <w:trPr>
          <w:trHeight w:val="20"/>
        </w:trPr>
        <w:tc>
          <w:tcPr>
            <w:tcW w:w="810" w:type="pct"/>
            <w:noWrap/>
            <w:vAlign w:val="center"/>
          </w:tcPr>
          <w:p w:rsidR="00565FD5" w:rsidRPr="004B3DE4" w:rsidRDefault="00565FD5" w:rsidP="00AB62A3">
            <w:pPr>
              <w:ind w:right="57"/>
              <w:rPr>
                <w:rFonts w:cs="Tahoma"/>
                <w:sz w:val="14"/>
              </w:rPr>
            </w:pPr>
            <w:r w:rsidRPr="004B3DE4">
              <w:rPr>
                <w:rFonts w:cs="Tahoma"/>
                <w:sz w:val="14"/>
              </w:rPr>
              <w:t> </w:t>
            </w:r>
          </w:p>
        </w:tc>
        <w:tc>
          <w:tcPr>
            <w:tcW w:w="114" w:type="pct"/>
            <w:noWrap/>
            <w:vAlign w:val="center"/>
          </w:tcPr>
          <w:p w:rsidR="00565FD5" w:rsidRPr="004B3DE4" w:rsidRDefault="00565FD5" w:rsidP="00AB62A3">
            <w:pPr>
              <w:ind w:right="57"/>
              <w:rPr>
                <w:rFonts w:cs="Tahoma"/>
                <w:sz w:val="14"/>
              </w:rPr>
            </w:pPr>
          </w:p>
        </w:tc>
        <w:tc>
          <w:tcPr>
            <w:tcW w:w="4076" w:type="pct"/>
            <w:gridSpan w:val="10"/>
            <w:tcBorders>
              <w:top w:val="nil"/>
              <w:bottom w:val="single" w:sz="4" w:space="0" w:color="auto"/>
            </w:tcBorders>
            <w:noWrap/>
            <w:vAlign w:val="center"/>
          </w:tcPr>
          <w:p w:rsidR="00565FD5" w:rsidRPr="004B3DE4" w:rsidRDefault="00565FD5" w:rsidP="00AB62A3">
            <w:pPr>
              <w:ind w:right="57"/>
              <w:rPr>
                <w:rFonts w:cs="Tahoma"/>
                <w:sz w:val="14"/>
              </w:rPr>
            </w:pPr>
            <w:r w:rsidRPr="004B3DE4">
              <w:rPr>
                <w:rFonts w:cs="Tahoma"/>
                <w:b/>
                <w:sz w:val="14"/>
              </w:rPr>
              <w:t>Bir Önceki Yıla Göre Reel Yüzde Değişim</w:t>
            </w:r>
          </w:p>
        </w:tc>
      </w:tr>
      <w:tr w:rsidR="00565FD5" w:rsidRPr="004B3DE4" w:rsidTr="00AB62A3">
        <w:trPr>
          <w:trHeight w:val="20"/>
        </w:trPr>
        <w:tc>
          <w:tcPr>
            <w:tcW w:w="810" w:type="pct"/>
            <w:noWrap/>
            <w:vAlign w:val="center"/>
          </w:tcPr>
          <w:p w:rsidR="00565FD5" w:rsidRPr="004B3DE4" w:rsidRDefault="00565FD5" w:rsidP="00AB62A3">
            <w:pPr>
              <w:ind w:right="57"/>
              <w:rPr>
                <w:rFonts w:cs="Tahoma"/>
                <w:sz w:val="14"/>
              </w:rPr>
            </w:pPr>
            <w:r w:rsidRPr="004B3DE4">
              <w:rPr>
                <w:rFonts w:cs="Tahoma"/>
                <w:sz w:val="14"/>
              </w:rPr>
              <w:t xml:space="preserve">   İşçi (3)</w:t>
            </w:r>
          </w:p>
        </w:tc>
        <w:tc>
          <w:tcPr>
            <w:tcW w:w="114" w:type="pct"/>
            <w:noWrap/>
            <w:vAlign w:val="center"/>
          </w:tcPr>
          <w:p w:rsidR="00565FD5" w:rsidRPr="004B3DE4" w:rsidRDefault="00565FD5" w:rsidP="00AB62A3">
            <w:pPr>
              <w:ind w:right="57"/>
              <w:rPr>
                <w:rFonts w:cs="Tahoma"/>
                <w:sz w:val="14"/>
              </w:rPr>
            </w:pPr>
          </w:p>
        </w:tc>
        <w:tc>
          <w:tcPr>
            <w:tcW w:w="407" w:type="pct"/>
            <w:tcBorders>
              <w:top w:val="single" w:sz="4" w:space="0" w:color="auto"/>
            </w:tcBorders>
            <w:noWrap/>
            <w:vAlign w:val="center"/>
          </w:tcPr>
          <w:p w:rsidR="00565FD5" w:rsidRPr="004B3DE4" w:rsidRDefault="00565FD5" w:rsidP="00AB62A3">
            <w:pPr>
              <w:ind w:right="57"/>
              <w:rPr>
                <w:rFonts w:cs="Tahoma"/>
                <w:sz w:val="14"/>
              </w:rPr>
            </w:pP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p>
        </w:tc>
        <w:tc>
          <w:tcPr>
            <w:tcW w:w="407" w:type="pct"/>
            <w:tcBorders>
              <w:top w:val="single" w:sz="4" w:space="0" w:color="auto"/>
            </w:tcBorders>
            <w:noWrap/>
            <w:vAlign w:val="center"/>
          </w:tcPr>
          <w:p w:rsidR="00565FD5" w:rsidRPr="004B3DE4" w:rsidRDefault="00565FD5" w:rsidP="00AB62A3">
            <w:pPr>
              <w:ind w:right="57"/>
              <w:jc w:val="right"/>
              <w:rPr>
                <w:rFonts w:cs="Tahoma"/>
                <w:sz w:val="14"/>
              </w:rPr>
            </w:pPr>
          </w:p>
        </w:tc>
        <w:tc>
          <w:tcPr>
            <w:tcW w:w="407" w:type="pct"/>
            <w:tcBorders>
              <w:top w:val="single" w:sz="4" w:space="0" w:color="auto"/>
            </w:tcBorders>
            <w:vAlign w:val="center"/>
          </w:tcPr>
          <w:p w:rsidR="00565FD5" w:rsidRPr="004B3DE4" w:rsidRDefault="00565FD5" w:rsidP="00AB62A3">
            <w:pPr>
              <w:ind w:right="57"/>
              <w:jc w:val="right"/>
              <w:rPr>
                <w:rFonts w:cs="Tahoma"/>
                <w:sz w:val="14"/>
              </w:rPr>
            </w:pPr>
            <w:r w:rsidRPr="004B3DE4">
              <w:rPr>
                <w:rFonts w:cs="Tahoma"/>
                <w:sz w:val="14"/>
              </w:rPr>
              <w:t> </w:t>
            </w:r>
          </w:p>
        </w:tc>
        <w:tc>
          <w:tcPr>
            <w:tcW w:w="414" w:type="pct"/>
            <w:tcBorders>
              <w:top w:val="single" w:sz="4" w:space="0" w:color="auto"/>
            </w:tcBorders>
            <w:vAlign w:val="center"/>
          </w:tcPr>
          <w:p w:rsidR="00565FD5" w:rsidRPr="004B3DE4" w:rsidRDefault="00565FD5" w:rsidP="00AB62A3">
            <w:pPr>
              <w:ind w:right="57"/>
              <w:jc w:val="right"/>
              <w:rPr>
                <w:rFonts w:cs="Tahoma"/>
                <w:sz w:val="14"/>
              </w:rPr>
            </w:pPr>
          </w:p>
        </w:tc>
      </w:tr>
      <w:tr w:rsidR="00565FD5" w:rsidRPr="004B3DE4" w:rsidTr="00AB62A3">
        <w:trPr>
          <w:trHeight w:val="20"/>
        </w:trPr>
        <w:tc>
          <w:tcPr>
            <w:tcW w:w="924" w:type="pct"/>
            <w:gridSpan w:val="2"/>
            <w:noWrap/>
            <w:vAlign w:val="center"/>
          </w:tcPr>
          <w:p w:rsidR="00565FD5" w:rsidRPr="004B3DE4" w:rsidRDefault="00565FD5" w:rsidP="00AB62A3">
            <w:pPr>
              <w:ind w:right="57"/>
              <w:rPr>
                <w:rFonts w:cs="Tahoma"/>
                <w:sz w:val="14"/>
              </w:rPr>
            </w:pPr>
            <w:r w:rsidRPr="004B3DE4">
              <w:rPr>
                <w:rFonts w:cs="Tahoma"/>
                <w:sz w:val="14"/>
              </w:rPr>
              <w:t xml:space="preserve">          Kamu </w:t>
            </w:r>
          </w:p>
        </w:tc>
        <w:tc>
          <w:tcPr>
            <w:tcW w:w="407" w:type="pct"/>
            <w:noWrap/>
            <w:vAlign w:val="center"/>
          </w:tcPr>
          <w:p w:rsidR="00565FD5" w:rsidRPr="004B3DE4" w:rsidRDefault="00565FD5" w:rsidP="00AB62A3">
            <w:pPr>
              <w:ind w:right="57"/>
              <w:rPr>
                <w:rFonts w:cs="Tahoma"/>
                <w:sz w:val="14"/>
              </w:rPr>
            </w:pPr>
            <w:r w:rsidRPr="004B3DE4">
              <w:rPr>
                <w:rFonts w:cs="Tahoma"/>
                <w:sz w:val="14"/>
              </w:rPr>
              <w:t xml:space="preserve">             </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1</w:t>
            </w:r>
            <w:r w:rsidRPr="004B3DE4">
              <w:rPr>
                <w:rFonts w:cs="Tahoma"/>
                <w:sz w:val="14"/>
              </w:rPr>
              <w:t>,7</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2</w:t>
            </w:r>
            <w:r w:rsidRPr="004B3DE4">
              <w:rPr>
                <w:rFonts w:cs="Tahoma"/>
                <w:sz w:val="14"/>
              </w:rPr>
              <w:t>,7</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w:t>
            </w:r>
            <w:r w:rsidRPr="004B3DE4">
              <w:rPr>
                <w:rFonts w:cs="Tahoma"/>
                <w:sz w:val="14"/>
              </w:rPr>
              <w:t>2,7</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3,1</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w:t>
            </w:r>
            <w:r w:rsidRPr="004B3DE4">
              <w:rPr>
                <w:rFonts w:cs="Tahoma"/>
                <w:sz w:val="14"/>
              </w:rPr>
              <w:t>1</w:t>
            </w:r>
            <w:r w:rsidRPr="004B3DE4">
              <w:rPr>
                <w:rFonts w:cs="Tahoma"/>
                <w:bCs/>
                <w:sz w:val="14"/>
                <w:szCs w:val="14"/>
                <w:lang w:eastAsia="tr-TR"/>
              </w:rPr>
              <w:t>,9</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w:t>
            </w:r>
            <w:r w:rsidRPr="004B3DE4">
              <w:rPr>
                <w:rFonts w:cs="Tahoma"/>
                <w:sz w:val="14"/>
                <w:szCs w:val="14"/>
                <w:lang w:eastAsia="tr-TR"/>
              </w:rPr>
              <w:t>0,5</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w:t>
            </w:r>
            <w:r w:rsidRPr="004B3DE4">
              <w:rPr>
                <w:rFonts w:cs="Tahoma"/>
                <w:sz w:val="14"/>
                <w:szCs w:val="14"/>
                <w:lang w:eastAsia="tr-TR"/>
              </w:rPr>
              <w:t>3,6</w:t>
            </w:r>
          </w:p>
        </w:tc>
        <w:tc>
          <w:tcPr>
            <w:tcW w:w="407" w:type="pct"/>
            <w:vAlign w:val="center"/>
          </w:tcPr>
          <w:p w:rsidR="00565FD5" w:rsidRPr="004B3DE4" w:rsidRDefault="00565FD5" w:rsidP="00AB62A3">
            <w:pPr>
              <w:ind w:right="57"/>
              <w:jc w:val="right"/>
              <w:rPr>
                <w:rFonts w:cs="Tahoma"/>
                <w:sz w:val="14"/>
              </w:rPr>
            </w:pPr>
            <w:r w:rsidRPr="004B3DE4">
              <w:rPr>
                <w:rFonts w:cs="Tahoma"/>
                <w:sz w:val="14"/>
                <w:szCs w:val="14"/>
              </w:rPr>
              <w:t>1</w:t>
            </w:r>
            <w:r w:rsidRPr="004B3DE4">
              <w:rPr>
                <w:rFonts w:cs="Tahoma"/>
                <w:sz w:val="14"/>
              </w:rPr>
              <w:t>,7</w:t>
            </w:r>
          </w:p>
        </w:tc>
        <w:tc>
          <w:tcPr>
            <w:tcW w:w="414" w:type="pct"/>
            <w:vAlign w:val="center"/>
          </w:tcPr>
          <w:p w:rsidR="00565FD5" w:rsidRPr="004B3DE4" w:rsidRDefault="00565FD5" w:rsidP="00AB62A3">
            <w:pPr>
              <w:ind w:right="57"/>
              <w:jc w:val="right"/>
              <w:rPr>
                <w:rFonts w:cs="Tahoma"/>
                <w:sz w:val="14"/>
                <w:szCs w:val="14"/>
              </w:rPr>
            </w:pPr>
            <w:r w:rsidRPr="004B3DE4">
              <w:rPr>
                <w:rFonts w:cs="Tahoma"/>
                <w:sz w:val="14"/>
              </w:rPr>
              <w:t>-1,4</w:t>
            </w:r>
          </w:p>
        </w:tc>
      </w:tr>
      <w:tr w:rsidR="00565FD5" w:rsidRPr="004B3DE4" w:rsidTr="00AB62A3">
        <w:trPr>
          <w:trHeight w:val="20"/>
        </w:trPr>
        <w:tc>
          <w:tcPr>
            <w:tcW w:w="924" w:type="pct"/>
            <w:gridSpan w:val="2"/>
            <w:noWrap/>
            <w:vAlign w:val="center"/>
          </w:tcPr>
          <w:p w:rsidR="00565FD5" w:rsidRPr="004B3DE4" w:rsidRDefault="00565FD5" w:rsidP="00AB62A3">
            <w:pPr>
              <w:ind w:right="57"/>
              <w:rPr>
                <w:rFonts w:cs="Tahoma"/>
                <w:sz w:val="14"/>
              </w:rPr>
            </w:pPr>
            <w:r w:rsidRPr="004B3DE4">
              <w:rPr>
                <w:rFonts w:cs="Tahoma"/>
                <w:sz w:val="14"/>
              </w:rPr>
              <w:t xml:space="preserve">          Özel </w:t>
            </w: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3,5</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0</w:t>
            </w:r>
            <w:r w:rsidRPr="004B3DE4">
              <w:rPr>
                <w:rFonts w:cs="Tahoma"/>
                <w:sz w:val="14"/>
              </w:rPr>
              <w:t>,5</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w:t>
            </w:r>
            <w:r w:rsidRPr="004B3DE4">
              <w:rPr>
                <w:rFonts w:cs="Tahoma"/>
                <w:sz w:val="14"/>
              </w:rPr>
              <w:t>0,</w:t>
            </w:r>
            <w:r w:rsidRPr="004B3DE4">
              <w:rPr>
                <w:rFonts w:cs="Tahoma"/>
                <w:bCs/>
                <w:sz w:val="14"/>
                <w:szCs w:val="14"/>
                <w:lang w:eastAsia="tr-TR"/>
              </w:rPr>
              <w:t>7</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2,5</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w:t>
            </w:r>
            <w:r w:rsidRPr="004B3DE4">
              <w:rPr>
                <w:rFonts w:cs="Tahoma"/>
                <w:sz w:val="14"/>
              </w:rPr>
              <w:t>2,5</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2,</w:t>
            </w:r>
            <w:r w:rsidRPr="004B3DE4">
              <w:rPr>
                <w:rFonts w:cs="Tahoma"/>
                <w:sz w:val="14"/>
                <w:szCs w:val="14"/>
                <w:lang w:eastAsia="tr-TR"/>
              </w:rPr>
              <w:t>3</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rPr>
              <w:t>0,3</w:t>
            </w:r>
          </w:p>
        </w:tc>
        <w:tc>
          <w:tcPr>
            <w:tcW w:w="407" w:type="pct"/>
            <w:vAlign w:val="center"/>
          </w:tcPr>
          <w:p w:rsidR="00565FD5" w:rsidRPr="004B3DE4" w:rsidRDefault="00565FD5" w:rsidP="00AB62A3">
            <w:pPr>
              <w:ind w:right="57"/>
              <w:jc w:val="right"/>
              <w:rPr>
                <w:rFonts w:cs="Tahoma"/>
                <w:sz w:val="14"/>
              </w:rPr>
            </w:pPr>
            <w:r w:rsidRPr="004B3DE4">
              <w:rPr>
                <w:rFonts w:cs="Tahoma"/>
                <w:sz w:val="14"/>
              </w:rPr>
              <w:t xml:space="preserve">4,8     </w:t>
            </w:r>
          </w:p>
        </w:tc>
        <w:tc>
          <w:tcPr>
            <w:tcW w:w="414" w:type="pct"/>
            <w:vAlign w:val="center"/>
          </w:tcPr>
          <w:p w:rsidR="00565FD5" w:rsidRPr="004B3DE4" w:rsidRDefault="00565FD5" w:rsidP="00AB62A3">
            <w:pPr>
              <w:ind w:right="57"/>
              <w:jc w:val="right"/>
              <w:rPr>
                <w:rFonts w:cs="Tahoma"/>
                <w:sz w:val="14"/>
              </w:rPr>
            </w:pPr>
            <w:r w:rsidRPr="004B3DE4">
              <w:rPr>
                <w:rFonts w:cs="Tahoma"/>
                <w:sz w:val="14"/>
              </w:rPr>
              <w:t>-</w:t>
            </w:r>
          </w:p>
        </w:tc>
      </w:tr>
      <w:tr w:rsidR="00565FD5" w:rsidRPr="004B3DE4" w:rsidTr="00AB62A3">
        <w:trPr>
          <w:trHeight w:val="20"/>
        </w:trPr>
        <w:tc>
          <w:tcPr>
            <w:tcW w:w="810" w:type="pct"/>
            <w:noWrap/>
            <w:vAlign w:val="center"/>
          </w:tcPr>
          <w:p w:rsidR="00565FD5" w:rsidRPr="004B3DE4" w:rsidRDefault="00565FD5" w:rsidP="00AB62A3">
            <w:pPr>
              <w:ind w:right="57"/>
              <w:rPr>
                <w:rFonts w:cs="Tahoma"/>
                <w:sz w:val="14"/>
              </w:rPr>
            </w:pPr>
            <w:r w:rsidRPr="004B3DE4">
              <w:rPr>
                <w:rFonts w:cs="Tahoma"/>
                <w:sz w:val="14"/>
              </w:rPr>
              <w:t xml:space="preserve">   Memur</w:t>
            </w:r>
          </w:p>
        </w:tc>
        <w:tc>
          <w:tcPr>
            <w:tcW w:w="114" w:type="pct"/>
            <w:noWrap/>
            <w:vAlign w:val="center"/>
          </w:tcPr>
          <w:p w:rsidR="00565FD5" w:rsidRPr="004B3DE4" w:rsidRDefault="00565FD5" w:rsidP="00AB62A3">
            <w:pPr>
              <w:ind w:right="57"/>
              <w:rPr>
                <w:rFonts w:cs="Tahoma"/>
                <w:sz w:val="14"/>
              </w:rPr>
            </w:pPr>
          </w:p>
        </w:tc>
        <w:tc>
          <w:tcPr>
            <w:tcW w:w="407" w:type="pct"/>
            <w:noWrap/>
            <w:vAlign w:val="center"/>
          </w:tcPr>
          <w:p w:rsidR="00565FD5" w:rsidRPr="004B3DE4" w:rsidRDefault="00565FD5" w:rsidP="00AB62A3">
            <w:pPr>
              <w:ind w:right="57"/>
              <w:jc w:val="right"/>
              <w:rPr>
                <w:rFonts w:cs="Tahoma"/>
                <w:sz w:val="14"/>
              </w:rPr>
            </w:pP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2,6</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2,6</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6,</w:t>
            </w:r>
            <w:r w:rsidRPr="004B3DE4">
              <w:rPr>
                <w:rFonts w:cs="Tahoma"/>
                <w:sz w:val="14"/>
              </w:rPr>
              <w:t>2</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3,9</w:t>
            </w:r>
          </w:p>
        </w:tc>
        <w:tc>
          <w:tcPr>
            <w:tcW w:w="407" w:type="pct"/>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6,5</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szCs w:val="14"/>
                <w:lang w:eastAsia="tr-TR"/>
              </w:rPr>
              <w:t>8,2</w:t>
            </w:r>
          </w:p>
        </w:tc>
        <w:tc>
          <w:tcPr>
            <w:tcW w:w="407" w:type="pct"/>
            <w:noWrap/>
            <w:vAlign w:val="center"/>
          </w:tcPr>
          <w:p w:rsidR="00565FD5" w:rsidRPr="004B3DE4" w:rsidRDefault="00565FD5" w:rsidP="00AB62A3">
            <w:pPr>
              <w:ind w:right="57"/>
              <w:jc w:val="right"/>
              <w:rPr>
                <w:rFonts w:cs="Tahoma"/>
                <w:sz w:val="14"/>
              </w:rPr>
            </w:pPr>
            <w:r w:rsidRPr="004B3DE4">
              <w:rPr>
                <w:rFonts w:cs="Tahoma"/>
                <w:sz w:val="14"/>
              </w:rPr>
              <w:t>-1,4</w:t>
            </w:r>
          </w:p>
        </w:tc>
        <w:tc>
          <w:tcPr>
            <w:tcW w:w="407" w:type="pct"/>
            <w:vAlign w:val="center"/>
          </w:tcPr>
          <w:p w:rsidR="00565FD5" w:rsidRPr="004B3DE4" w:rsidRDefault="00565FD5" w:rsidP="00AB62A3">
            <w:pPr>
              <w:ind w:right="57"/>
              <w:jc w:val="right"/>
              <w:rPr>
                <w:rFonts w:cs="Tahoma"/>
                <w:sz w:val="14"/>
              </w:rPr>
            </w:pPr>
            <w:r w:rsidRPr="004B3DE4">
              <w:rPr>
                <w:rFonts w:cs="Tahoma"/>
                <w:sz w:val="14"/>
                <w:szCs w:val="14"/>
              </w:rPr>
              <w:t xml:space="preserve">6,3   </w:t>
            </w:r>
          </w:p>
        </w:tc>
        <w:tc>
          <w:tcPr>
            <w:tcW w:w="414" w:type="pct"/>
            <w:vAlign w:val="center"/>
          </w:tcPr>
          <w:p w:rsidR="00565FD5" w:rsidRPr="004B3DE4" w:rsidRDefault="00565FD5" w:rsidP="00AB62A3">
            <w:pPr>
              <w:ind w:right="57"/>
              <w:jc w:val="right"/>
              <w:rPr>
                <w:rFonts w:cs="Tahoma"/>
                <w:sz w:val="14"/>
                <w:szCs w:val="14"/>
              </w:rPr>
            </w:pPr>
            <w:r w:rsidRPr="004B3DE4">
              <w:rPr>
                <w:rFonts w:cs="Tahoma"/>
                <w:sz w:val="14"/>
                <w:szCs w:val="14"/>
              </w:rPr>
              <w:t>4,5</w:t>
            </w:r>
          </w:p>
        </w:tc>
      </w:tr>
      <w:tr w:rsidR="00565FD5" w:rsidRPr="004B3DE4" w:rsidTr="00AB62A3">
        <w:trPr>
          <w:trHeight w:val="20"/>
        </w:trPr>
        <w:tc>
          <w:tcPr>
            <w:tcW w:w="924" w:type="pct"/>
            <w:gridSpan w:val="2"/>
            <w:tcBorders>
              <w:bottom w:val="single" w:sz="4" w:space="0" w:color="auto"/>
            </w:tcBorders>
            <w:noWrap/>
            <w:vAlign w:val="center"/>
          </w:tcPr>
          <w:p w:rsidR="00565FD5" w:rsidRPr="004B3DE4" w:rsidRDefault="00565FD5" w:rsidP="00AB62A3">
            <w:pPr>
              <w:ind w:right="57"/>
              <w:rPr>
                <w:rFonts w:cs="Tahoma"/>
                <w:sz w:val="14"/>
              </w:rPr>
            </w:pPr>
            <w:r w:rsidRPr="004B3DE4">
              <w:rPr>
                <w:rFonts w:cs="Tahoma"/>
                <w:sz w:val="14"/>
              </w:rPr>
              <w:t xml:space="preserve">   Asgari Ücret (5)</w:t>
            </w:r>
          </w:p>
        </w:tc>
        <w:tc>
          <w:tcPr>
            <w:tcW w:w="407" w:type="pct"/>
            <w:tcBorders>
              <w:bottom w:val="single" w:sz="4" w:space="0" w:color="auto"/>
            </w:tcBorders>
            <w:noWrap/>
            <w:vAlign w:val="center"/>
          </w:tcPr>
          <w:p w:rsidR="00565FD5" w:rsidRPr="004B3DE4" w:rsidRDefault="00565FD5" w:rsidP="00AB62A3">
            <w:pPr>
              <w:ind w:right="57"/>
              <w:jc w:val="right"/>
              <w:rPr>
                <w:rFonts w:cs="Tahoma"/>
                <w:sz w:val="14"/>
              </w:rPr>
            </w:pPr>
          </w:p>
        </w:tc>
        <w:tc>
          <w:tcPr>
            <w:tcW w:w="407" w:type="pct"/>
            <w:tcBorders>
              <w:bottom w:val="single" w:sz="4" w:space="0" w:color="auto"/>
            </w:tcBorders>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24,</w:t>
            </w:r>
            <w:r w:rsidRPr="004B3DE4">
              <w:rPr>
                <w:rFonts w:cs="Tahoma"/>
                <w:sz w:val="14"/>
              </w:rPr>
              <w:t>3</w:t>
            </w:r>
          </w:p>
        </w:tc>
        <w:tc>
          <w:tcPr>
            <w:tcW w:w="407" w:type="pct"/>
            <w:tcBorders>
              <w:bottom w:val="single" w:sz="4" w:space="0" w:color="auto"/>
            </w:tcBorders>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4,2</w:t>
            </w:r>
          </w:p>
        </w:tc>
        <w:tc>
          <w:tcPr>
            <w:tcW w:w="407" w:type="pct"/>
            <w:tcBorders>
              <w:bottom w:val="single" w:sz="4" w:space="0" w:color="auto"/>
            </w:tcBorders>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-0,9</w:t>
            </w:r>
          </w:p>
        </w:tc>
        <w:tc>
          <w:tcPr>
            <w:tcW w:w="407" w:type="pct"/>
            <w:tcBorders>
              <w:bottom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rPr>
              <w:t>-0,</w:t>
            </w:r>
            <w:r w:rsidRPr="004B3DE4">
              <w:rPr>
                <w:rFonts w:cs="Tahoma"/>
                <w:bCs/>
                <w:sz w:val="14"/>
                <w:szCs w:val="14"/>
                <w:lang w:eastAsia="tr-TR"/>
              </w:rPr>
              <w:t>7</w:t>
            </w:r>
          </w:p>
        </w:tc>
        <w:tc>
          <w:tcPr>
            <w:tcW w:w="407" w:type="pct"/>
            <w:tcBorders>
              <w:bottom w:val="single" w:sz="4" w:space="0" w:color="auto"/>
            </w:tcBorders>
            <w:noWrap/>
            <w:vAlign w:val="center"/>
          </w:tcPr>
          <w:p w:rsidR="00565FD5" w:rsidRPr="004B3DE4" w:rsidRDefault="00565FD5" w:rsidP="00AB62A3">
            <w:pPr>
              <w:ind w:right="57"/>
              <w:jc w:val="right"/>
              <w:rPr>
                <w:rFonts w:cs="Tahoma"/>
                <w:sz w:val="14"/>
              </w:rPr>
            </w:pPr>
            <w:r w:rsidRPr="004B3DE4">
              <w:rPr>
                <w:rFonts w:cs="Tahoma"/>
                <w:bCs/>
                <w:sz w:val="14"/>
                <w:szCs w:val="14"/>
                <w:lang w:eastAsia="tr-TR"/>
              </w:rPr>
              <w:t>8,5</w:t>
            </w:r>
          </w:p>
        </w:tc>
        <w:tc>
          <w:tcPr>
            <w:tcW w:w="407" w:type="pct"/>
            <w:tcBorders>
              <w:bottom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szCs w:val="14"/>
                <w:lang w:eastAsia="tr-TR"/>
              </w:rPr>
              <w:t>2,6</w:t>
            </w:r>
          </w:p>
        </w:tc>
        <w:tc>
          <w:tcPr>
            <w:tcW w:w="407" w:type="pct"/>
            <w:tcBorders>
              <w:bottom w:val="single" w:sz="4" w:space="0" w:color="auto"/>
            </w:tcBorders>
            <w:noWrap/>
            <w:vAlign w:val="center"/>
          </w:tcPr>
          <w:p w:rsidR="00565FD5" w:rsidRPr="004B3DE4" w:rsidRDefault="00565FD5" w:rsidP="00AB62A3">
            <w:pPr>
              <w:ind w:right="57"/>
              <w:jc w:val="right"/>
              <w:rPr>
                <w:rFonts w:cs="Tahoma"/>
                <w:sz w:val="14"/>
              </w:rPr>
            </w:pPr>
            <w:r w:rsidRPr="004B3DE4">
              <w:rPr>
                <w:rFonts w:cs="Tahoma"/>
                <w:sz w:val="14"/>
                <w:szCs w:val="14"/>
                <w:lang w:eastAsia="tr-TR"/>
              </w:rPr>
              <w:t>0,9</w:t>
            </w:r>
          </w:p>
        </w:tc>
        <w:tc>
          <w:tcPr>
            <w:tcW w:w="407" w:type="pct"/>
            <w:tcBorders>
              <w:bottom w:val="single" w:sz="4" w:space="0" w:color="auto"/>
            </w:tcBorders>
            <w:vAlign w:val="center"/>
          </w:tcPr>
          <w:p w:rsidR="00565FD5" w:rsidRPr="004B3DE4" w:rsidRDefault="00565FD5" w:rsidP="00AB62A3">
            <w:pPr>
              <w:ind w:right="57"/>
              <w:jc w:val="right"/>
              <w:rPr>
                <w:rFonts w:cs="Tahoma"/>
                <w:sz w:val="14"/>
              </w:rPr>
            </w:pPr>
            <w:r w:rsidRPr="004B3DE4">
              <w:rPr>
                <w:rFonts w:cs="Tahoma"/>
                <w:sz w:val="14"/>
                <w:szCs w:val="14"/>
              </w:rPr>
              <w:t xml:space="preserve">2,9    </w:t>
            </w:r>
          </w:p>
        </w:tc>
        <w:tc>
          <w:tcPr>
            <w:tcW w:w="414" w:type="pct"/>
            <w:tcBorders>
              <w:bottom w:val="single" w:sz="4" w:space="0" w:color="auto"/>
            </w:tcBorders>
            <w:vAlign w:val="center"/>
          </w:tcPr>
          <w:p w:rsidR="00565FD5" w:rsidRPr="004B3DE4" w:rsidRDefault="00565FD5" w:rsidP="00AB62A3">
            <w:pPr>
              <w:ind w:right="57"/>
              <w:jc w:val="right"/>
              <w:rPr>
                <w:rFonts w:cs="Tahoma"/>
                <w:sz w:val="14"/>
                <w:szCs w:val="14"/>
              </w:rPr>
            </w:pPr>
            <w:r w:rsidRPr="004B3DE4">
              <w:rPr>
                <w:rFonts w:cs="Tahoma"/>
                <w:sz w:val="14"/>
                <w:szCs w:val="14"/>
              </w:rPr>
              <w:t>2,7</w:t>
            </w:r>
          </w:p>
        </w:tc>
      </w:tr>
    </w:tbl>
    <w:p w:rsidR="00565FD5" w:rsidRPr="004B3DE4" w:rsidRDefault="00565FD5" w:rsidP="00565FD5">
      <w:pPr>
        <w:spacing w:before="40"/>
        <w:rPr>
          <w:rFonts w:cs="Tahoma"/>
          <w:sz w:val="14"/>
        </w:rPr>
      </w:pPr>
      <w:r w:rsidRPr="004B3DE4">
        <w:rPr>
          <w:rFonts w:cs="Tahoma"/>
          <w:sz w:val="14"/>
        </w:rPr>
        <w:t>Kaynak: Maliye Bakanlığı,  ÇSGB, Kalkınma Bakanlığı, TİSK ve Kamu İşveren Sendikaları</w:t>
      </w:r>
    </w:p>
    <w:p w:rsidR="00565FD5" w:rsidRPr="004B3DE4" w:rsidRDefault="00565FD5" w:rsidP="00565FD5">
      <w:pPr>
        <w:rPr>
          <w:rFonts w:cs="Tahoma"/>
          <w:sz w:val="14"/>
        </w:rPr>
      </w:pPr>
      <w:r w:rsidRPr="004B3DE4">
        <w:rPr>
          <w:rFonts w:cs="Tahoma"/>
          <w:sz w:val="14"/>
        </w:rPr>
        <w:t xml:space="preserve">(1) Reel hesaplamalarda 1994-2004 yılları arasında TEFE (1994=100), 2005 yılından sonra ise ÜFE (2003=100) bazlı endeks kullanılmıştır. ÜFE </w:t>
      </w:r>
      <w:r w:rsidRPr="004B3DE4">
        <w:rPr>
          <w:rFonts w:cs="Tahoma"/>
          <w:bCs/>
          <w:sz w:val="14"/>
          <w:szCs w:val="14"/>
          <w:lang w:eastAsia="tr-TR"/>
        </w:rPr>
        <w:t>2012</w:t>
      </w:r>
      <w:r w:rsidRPr="004B3DE4">
        <w:rPr>
          <w:rFonts w:cs="Tahoma"/>
          <w:sz w:val="14"/>
        </w:rPr>
        <w:t xml:space="preserve"> yılı için tahmini yüzde </w:t>
      </w:r>
      <w:r w:rsidRPr="004B3DE4">
        <w:rPr>
          <w:rFonts w:cs="Tahoma"/>
          <w:bCs/>
          <w:sz w:val="14"/>
          <w:szCs w:val="14"/>
          <w:lang w:eastAsia="tr-TR"/>
        </w:rPr>
        <w:t>5,91</w:t>
      </w:r>
      <w:r w:rsidRPr="004B3DE4">
        <w:rPr>
          <w:rFonts w:cs="Tahoma"/>
          <w:sz w:val="14"/>
        </w:rPr>
        <w:t xml:space="preserve"> alınmıştır.</w:t>
      </w:r>
    </w:p>
    <w:p w:rsidR="00565FD5" w:rsidRPr="004B3DE4" w:rsidRDefault="00565FD5" w:rsidP="00565FD5">
      <w:pPr>
        <w:rPr>
          <w:rFonts w:cs="Tahoma"/>
          <w:sz w:val="14"/>
        </w:rPr>
      </w:pPr>
      <w:r w:rsidRPr="004B3DE4">
        <w:rPr>
          <w:rFonts w:cs="Tahoma"/>
          <w:sz w:val="14"/>
        </w:rPr>
        <w:t xml:space="preserve">(2) Reel hesaplamalarda 1994-2004 yılları arasında TÜFE (1994=100), 2005 yılından sonra ise TÜFE (2003=100) bazlı endeks kullanılmıştır. TÜFE </w:t>
      </w:r>
      <w:r w:rsidRPr="004B3DE4">
        <w:rPr>
          <w:rFonts w:cs="Tahoma"/>
          <w:bCs/>
          <w:sz w:val="14"/>
          <w:szCs w:val="14"/>
          <w:lang w:eastAsia="tr-TR"/>
        </w:rPr>
        <w:t>2012</w:t>
      </w:r>
      <w:r w:rsidRPr="004B3DE4">
        <w:rPr>
          <w:rFonts w:cs="Tahoma"/>
          <w:sz w:val="14"/>
        </w:rPr>
        <w:t xml:space="preserve"> yılı için tahmini yüzde 8,89 alınmıştır.</w:t>
      </w:r>
    </w:p>
    <w:p w:rsidR="00565FD5" w:rsidRPr="004B3DE4" w:rsidRDefault="00565FD5" w:rsidP="00565FD5">
      <w:pPr>
        <w:rPr>
          <w:rFonts w:cs="Tahoma"/>
          <w:sz w:val="14"/>
        </w:rPr>
      </w:pPr>
      <w:r w:rsidRPr="004B3DE4">
        <w:rPr>
          <w:rFonts w:cs="Tahoma"/>
          <w:sz w:val="14"/>
        </w:rPr>
        <w:t xml:space="preserve">(3) TİSK ve Kamu İşveren Sendikaları verilerinden hesaplanmıştır. </w:t>
      </w:r>
      <w:r w:rsidRPr="004B3DE4">
        <w:rPr>
          <w:rFonts w:cs="Tahoma"/>
          <w:bCs/>
          <w:sz w:val="14"/>
          <w:szCs w:val="14"/>
          <w:lang w:eastAsia="tr-TR"/>
        </w:rPr>
        <w:t>2011</w:t>
      </w:r>
      <w:r w:rsidRPr="004B3DE4">
        <w:rPr>
          <w:rFonts w:cs="Tahoma"/>
          <w:sz w:val="14"/>
        </w:rPr>
        <w:t xml:space="preserve"> yılı özel kesim işçi ücretleri tahmindir.</w:t>
      </w:r>
    </w:p>
    <w:p w:rsidR="00565FD5" w:rsidRPr="004B3DE4" w:rsidRDefault="00565FD5" w:rsidP="00565FD5">
      <w:pPr>
        <w:rPr>
          <w:rFonts w:cs="Tahoma"/>
          <w:sz w:val="14"/>
        </w:rPr>
      </w:pPr>
      <w:r w:rsidRPr="004B3DE4">
        <w:rPr>
          <w:rFonts w:cs="Tahoma"/>
          <w:sz w:val="14"/>
        </w:rPr>
        <w:t>(4) 16 ve üstü yaş asgari ücretin işgücü maliyetinin yıllık ortalamaları esas alınmıştır.</w:t>
      </w:r>
    </w:p>
    <w:p w:rsidR="00565FD5" w:rsidRPr="004B3DE4" w:rsidRDefault="00565FD5" w:rsidP="00565FD5">
      <w:pPr>
        <w:rPr>
          <w:rFonts w:cs="Tahoma"/>
          <w:sz w:val="14"/>
        </w:rPr>
      </w:pPr>
      <w:r w:rsidRPr="004B3DE4">
        <w:rPr>
          <w:rFonts w:cs="Tahoma"/>
          <w:sz w:val="14"/>
        </w:rPr>
        <w:t>(5) 16 ve üstü yaş net asgari ücretin yıllık ortalamaları esas alınmıştır.</w:t>
      </w:r>
    </w:p>
    <w:p w:rsidR="00565FD5" w:rsidRPr="004B3DE4" w:rsidRDefault="00565FD5" w:rsidP="00565FD5">
      <w:pPr>
        <w:rPr>
          <w:rFonts w:cs="Tahoma"/>
          <w:sz w:val="14"/>
        </w:rPr>
      </w:pPr>
      <w:r w:rsidRPr="004B3DE4">
        <w:rPr>
          <w:rFonts w:cs="Tahoma"/>
          <w:sz w:val="14"/>
        </w:rPr>
        <w:t xml:space="preserve">(6) </w:t>
      </w:r>
      <w:r>
        <w:rPr>
          <w:rFonts w:cs="Tahoma"/>
          <w:sz w:val="14"/>
        </w:rPr>
        <w:t xml:space="preserve">Gerçekleşme </w:t>
      </w:r>
      <w:r w:rsidRPr="004B3DE4">
        <w:rPr>
          <w:rFonts w:cs="Tahoma"/>
          <w:sz w:val="14"/>
        </w:rPr>
        <w:t>Tahmin</w:t>
      </w:r>
      <w:r>
        <w:rPr>
          <w:rFonts w:cs="Tahoma"/>
          <w:sz w:val="14"/>
        </w:rPr>
        <w:t>i</w:t>
      </w:r>
    </w:p>
    <w:p w:rsidR="00565FD5" w:rsidRPr="004B3DE4" w:rsidRDefault="00565FD5" w:rsidP="00565FD5">
      <w:pPr>
        <w:spacing w:after="240"/>
        <w:rPr>
          <w:rFonts w:cs="Tahoma"/>
          <w:sz w:val="16"/>
        </w:rPr>
      </w:pPr>
      <w:r w:rsidRPr="004B3DE4">
        <w:rPr>
          <w:rFonts w:cs="Tahoma"/>
          <w:sz w:val="14"/>
        </w:rPr>
        <w:t>Not: 2008 yılından itibaren net ele geçen ücretlere bekar çalışan için asgari geçim indirimi dahildir.</w:t>
      </w:r>
    </w:p>
    <w:p w:rsidR="00565FD5" w:rsidRPr="004B3DE4" w:rsidRDefault="00565FD5" w:rsidP="00565FD5">
      <w:pPr>
        <w:spacing w:after="120"/>
        <w:ind w:firstLine="425"/>
        <w:rPr>
          <w:rFonts w:cs="Tahoma"/>
          <w:szCs w:val="18"/>
        </w:rPr>
      </w:pPr>
      <w:r w:rsidRPr="004B3DE4">
        <w:rPr>
          <w:rFonts w:cs="Tahoma"/>
          <w:szCs w:val="18"/>
        </w:rPr>
        <w:t xml:space="preserve">Mevsimlik gezici tarım işçilerinin çalışma ve sosyal hayatlarının iyileştirmesine yönelik hazırlanan eylem planı kapsamında ÇSGB tarafından yürütülen faaliyetlere devam edilmektedir. Bu kapsamda 2010-2012 yılları arasında yürütülen projenin de sonuna gelinmiş olup söz konusu projenin etkileri değerlendirilerek 2013 yılında da sürdürülmesi planlanmaktadır. Ülkemiz tarımının özelliklerini dikkate alan, tarım ve orman işlerini kapsayan Tarım İş Kanunu çıkarılması ihtiyacı sürmektedir. </w:t>
      </w:r>
    </w:p>
    <w:p w:rsidR="00565FD5" w:rsidRPr="004B3DE4" w:rsidRDefault="00565FD5" w:rsidP="00565FD5">
      <w:pPr>
        <w:spacing w:after="120"/>
        <w:ind w:firstLine="425"/>
        <w:rPr>
          <w:rFonts w:cs="Tahoma"/>
          <w:szCs w:val="18"/>
        </w:rPr>
      </w:pPr>
      <w:r w:rsidRPr="004B3DE4">
        <w:rPr>
          <w:rFonts w:cs="Tahoma"/>
          <w:szCs w:val="18"/>
        </w:rPr>
        <w:t xml:space="preserve">İşyerlerinde iş sağlığı ve güvenliğinin sağlanması ve mevcut sağlık ve güvenlik şartlarının iyileştirilmesi için işveren ve çalışanların görev, yetki, </w:t>
      </w:r>
      <w:r w:rsidRPr="004B3DE4">
        <w:rPr>
          <w:rFonts w:cs="Tahoma"/>
          <w:szCs w:val="18"/>
        </w:rPr>
        <w:lastRenderedPageBreak/>
        <w:t>sorumluluk, hak ve yükümlülüklerini düzenlemesi amacıyla 20/06/2012 tarihli ve 6331 sayılı İş Sağlığı ve Güvenliği Kanunu yürürlüğe girmiş olup ikincil mevzuat çalışmaları sürdürülmektedir.</w:t>
      </w:r>
    </w:p>
    <w:p w:rsidR="00565FD5" w:rsidRPr="004B3DE4" w:rsidRDefault="00565FD5" w:rsidP="00565FD5">
      <w:pPr>
        <w:spacing w:after="120"/>
        <w:ind w:firstLine="425"/>
        <w:rPr>
          <w:rFonts w:cs="Tahoma"/>
          <w:szCs w:val="18"/>
        </w:rPr>
      </w:pPr>
      <w:r w:rsidRPr="004B3DE4">
        <w:rPr>
          <w:rFonts w:cs="Tahoma"/>
          <w:szCs w:val="18"/>
        </w:rPr>
        <w:t>İş Kanununda yer alan Kıdem Tazminatı Fonu oluşturulmasına yönelik çalışmalar devam etmektedir. İş hukuku mevzuatında yer alan alt işverenlik uygulaması, çalışanlar açısından sosyal ve ekonomik hak kayıpları yaratması sebebiyle sorun olarak önemini korumaktadır.</w:t>
      </w:r>
    </w:p>
    <w:p w:rsidR="00565FD5" w:rsidRPr="004B3DE4" w:rsidRDefault="00565FD5" w:rsidP="00565FD5">
      <w:pPr>
        <w:spacing w:after="120"/>
        <w:ind w:firstLine="425"/>
        <w:rPr>
          <w:rFonts w:cs="Tahoma"/>
          <w:szCs w:val="18"/>
        </w:rPr>
      </w:pPr>
      <w:r w:rsidRPr="004B3DE4">
        <w:rPr>
          <w:rFonts w:cs="Tahoma"/>
          <w:szCs w:val="18"/>
        </w:rPr>
        <w:t>Özürlülerin istihdamı konusunda uygulanan zorunlu kota sisteminin özel sektörde ve özellikle de kamu sektöründe daha etkin bir şekilde hayata geçirilmesi ihtiyacı bulunmaktadır. Zorunlu özürlü istihdamı kapsamında Hazine Müsteşarlığı tarafından sosyal sigorta primi işveren payı karşılanan özürlü sigortalı sayısı 2012 yılı Temmuz ayı itibarıyla 46.334 kişi olup ödenen tutar ise 5,5 milyon TL’dir. 2011 yılı Ağustos ayı itibarıyla kamuda özürlülere ayrılan ancak açık bulunan özürlü memur kadrosu sayısı 29.693’tür. Bununla birlikte, özürlülerin merkezi sınavla devlet memurluğuna alınması amacıyla 2012 yılında ilk defa Özürlü Memur Seçme Sınavı yapılmış olup sınav ve kura sonuçlarına göre yerleştirmeler yapılmaktadır.</w:t>
      </w:r>
    </w:p>
    <w:p w:rsidR="00565FD5" w:rsidRPr="004B3DE4" w:rsidRDefault="00565FD5" w:rsidP="00565FD5">
      <w:pPr>
        <w:spacing w:after="120"/>
        <w:ind w:firstLine="425"/>
        <w:rPr>
          <w:rFonts w:cs="Tahoma"/>
          <w:szCs w:val="18"/>
        </w:rPr>
      </w:pPr>
      <w:r w:rsidRPr="004B3DE4">
        <w:rPr>
          <w:rFonts w:cs="Tahoma"/>
          <w:szCs w:val="18"/>
        </w:rPr>
        <w:t>Son dönemde kaydedilen ekonomik gelişmeler ve yürütülen dışa açılma politikaları ülkemizin göç alan ve veren ülke konumunu güçlendirmektedir. Bu çerçevede hazırlanan Göç Yönetimi Genel Müdürlüğü kurulmasını öngören kanun tasarısı TBMM gündeminde bulunmaktadır. 2011 yılında 52.491 kişi çalışmak için yurt dışına gönderilirken, 16.890 yabancıya ülkemizde çalışma izni verilmiştir. Yurt dışında sürekli ikamet eden Türkiye Cumhuriyeti vatandaşı sayısı ise 5 milyona ulaşmıştır. Bu çerçevede, yurtdışında çalışan veya sürekli ikamet eden vatandaşlarımıza yönelik hizmetlere ilişkin bir strateji oluşturma ihtiyacı bulunmaktadır.</w:t>
      </w:r>
    </w:p>
    <w:p w:rsidR="00565FD5" w:rsidRPr="004B3DE4" w:rsidRDefault="00565FD5" w:rsidP="00565FD5">
      <w:pPr>
        <w:pStyle w:val="Balk4"/>
        <w:rPr>
          <w:szCs w:val="18"/>
        </w:rPr>
      </w:pPr>
      <w:bookmarkStart w:id="2215" w:name="_Toc276076324"/>
      <w:bookmarkStart w:id="2216" w:name="_Toc244339645"/>
      <w:bookmarkStart w:id="2217" w:name="_Toc244315182"/>
      <w:bookmarkStart w:id="2218" w:name="_Toc244313705"/>
      <w:bookmarkStart w:id="2219" w:name="_Toc244254970"/>
      <w:bookmarkStart w:id="2220" w:name="_Toc244253720"/>
      <w:bookmarkStart w:id="2221" w:name="_Toc213065706"/>
      <w:bookmarkStart w:id="2222" w:name="_Toc181286070"/>
      <w:bookmarkStart w:id="2223" w:name="_Toc181284991"/>
      <w:bookmarkStart w:id="2224" w:name="_Toc149986854"/>
      <w:bookmarkStart w:id="2225" w:name="_Toc149968532"/>
      <w:bookmarkStart w:id="2226" w:name="_Toc307602044"/>
      <w:bookmarkStart w:id="2227" w:name="_Toc307670481"/>
      <w:bookmarkStart w:id="2228" w:name="_Toc307701707"/>
      <w:bookmarkStart w:id="2229" w:name="_Toc338505610"/>
      <w:bookmarkStart w:id="2230" w:name="_Toc338523841"/>
      <w:bookmarkStart w:id="2231" w:name="_Toc338524072"/>
      <w:bookmarkStart w:id="2232" w:name="_Toc338526298"/>
      <w:bookmarkStart w:id="2233" w:name="_Toc338673741"/>
      <w:bookmarkStart w:id="2234" w:name="_Toc338711620"/>
      <w:r w:rsidRPr="004B3DE4">
        <w:t>2. Temel Amaç ve Hedefler</w:t>
      </w:r>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p>
    <w:p w:rsidR="00565FD5" w:rsidRPr="004B3DE4" w:rsidRDefault="00565FD5" w:rsidP="00565FD5">
      <w:pPr>
        <w:spacing w:after="120"/>
        <w:ind w:firstLine="425"/>
        <w:rPr>
          <w:rFonts w:cs="Tahoma"/>
          <w:szCs w:val="18"/>
        </w:rPr>
      </w:pPr>
      <w:r w:rsidRPr="004B3DE4">
        <w:rPr>
          <w:rFonts w:cs="Tahoma"/>
          <w:szCs w:val="18"/>
        </w:rPr>
        <w:t>İstihdam odaklı sürdürülebilir büyüme çerçevesinde, rekabetçi bir ekonomi ve bilgi toplumunun gerektirdiği nitelikli insan kaynaklarının yetiştirilmesi, işgücü piyasasının etkinleştirilerek istihdam imkânlarının geliştirilmesi ve işsizliğin azaltılması temel amaçtır.</w:t>
      </w:r>
    </w:p>
    <w:p w:rsidR="00565FD5" w:rsidRPr="004B3DE4" w:rsidRDefault="00565FD5" w:rsidP="00565FD5">
      <w:pPr>
        <w:spacing w:after="120"/>
        <w:ind w:firstLine="425"/>
        <w:rPr>
          <w:rFonts w:cs="Tahoma"/>
          <w:szCs w:val="18"/>
        </w:rPr>
      </w:pPr>
      <w:r w:rsidRPr="004B3DE4">
        <w:rPr>
          <w:rFonts w:cs="Tahoma"/>
          <w:szCs w:val="18"/>
        </w:rPr>
        <w:t xml:space="preserve">Esneklik ile güvence arasındaki dengenin sağlandığı, verimliliği esas alan ücret sisteminin oluşturulduğu, teknolojik gelişme ve değişime uyum </w:t>
      </w:r>
      <w:r w:rsidRPr="004B3DE4">
        <w:rPr>
          <w:rFonts w:cs="Tahoma"/>
          <w:szCs w:val="18"/>
        </w:rPr>
        <w:lastRenderedPageBreak/>
        <w:t xml:space="preserve">sağlayabilecek istihdam olanaklarıyla herkese, başta cinsiyete dayalı hak eşitliği olmak üzere, eşit hak ve fırsatların sunulduğu etkin bir işgücü piyasası oluşturulacaktır. </w:t>
      </w:r>
    </w:p>
    <w:p w:rsidR="00565FD5" w:rsidRPr="004B3DE4" w:rsidRDefault="00565FD5" w:rsidP="00565FD5">
      <w:pPr>
        <w:pStyle w:val="Balk4"/>
      </w:pPr>
      <w:bookmarkStart w:id="2235" w:name="_Toc276076325"/>
      <w:bookmarkStart w:id="2236" w:name="_Toc244339646"/>
      <w:bookmarkStart w:id="2237" w:name="_Toc244315183"/>
      <w:bookmarkStart w:id="2238" w:name="_Toc244313706"/>
      <w:bookmarkStart w:id="2239" w:name="_Toc244254971"/>
      <w:bookmarkStart w:id="2240" w:name="_Toc244253721"/>
      <w:bookmarkStart w:id="2241" w:name="_Toc307602045"/>
      <w:bookmarkStart w:id="2242" w:name="_Toc307670482"/>
      <w:bookmarkStart w:id="2243" w:name="_Toc307701708"/>
      <w:bookmarkStart w:id="2244" w:name="_Toc338505611"/>
      <w:bookmarkStart w:id="2245" w:name="_Toc338523842"/>
      <w:bookmarkStart w:id="2246" w:name="_Toc338524073"/>
      <w:bookmarkStart w:id="2247" w:name="_Toc338526299"/>
      <w:bookmarkStart w:id="2248" w:name="_Toc338673742"/>
      <w:bookmarkStart w:id="2249" w:name="_Toc338711621"/>
      <w:r w:rsidRPr="004B3DE4">
        <w:t>3. Politika Öncelikleri ve Tedbirler</w:t>
      </w:r>
      <w:bookmarkEnd w:id="2201"/>
      <w:bookmarkEnd w:id="2202"/>
      <w:bookmarkEnd w:id="2203"/>
      <w:bookmarkEnd w:id="2204"/>
      <w:bookmarkEnd w:id="2205"/>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324"/>
        <w:gridCol w:w="1776"/>
        <w:gridCol w:w="696"/>
        <w:gridCol w:w="2348"/>
      </w:tblGrid>
      <w:tr w:rsidR="00565FD5" w:rsidRPr="004B3DE4" w:rsidTr="00AB62A3">
        <w:trPr>
          <w:trHeight w:val="20"/>
          <w:jc w:val="center"/>
        </w:trPr>
        <w:tc>
          <w:tcPr>
            <w:tcW w:w="1627" w:type="pct"/>
            <w:vAlign w:val="bottom"/>
          </w:tcPr>
          <w:p w:rsidR="00565FD5" w:rsidRPr="004B3DE4" w:rsidRDefault="00565FD5" w:rsidP="00AB62A3">
            <w:pPr>
              <w:spacing w:before="60" w:after="60"/>
              <w:rPr>
                <w:rFonts w:cs="Tahoma"/>
                <w:b/>
                <w:bCs/>
                <w:color w:val="000000"/>
                <w:sz w:val="16"/>
                <w:szCs w:val="16"/>
                <w:lang w:eastAsia="tr-TR"/>
              </w:rPr>
            </w:pPr>
            <w:r w:rsidRPr="004B3DE4">
              <w:rPr>
                <w:rFonts w:cs="Tahoma"/>
                <w:b/>
                <w:bCs/>
                <w:color w:val="000000"/>
                <w:sz w:val="16"/>
                <w:szCs w:val="16"/>
                <w:lang w:eastAsia="tr-TR"/>
              </w:rPr>
              <w:t>Öncelik / Tedbir</w:t>
            </w:r>
          </w:p>
        </w:tc>
        <w:tc>
          <w:tcPr>
            <w:tcW w:w="1243" w:type="pct"/>
            <w:vAlign w:val="bottom"/>
          </w:tcPr>
          <w:p w:rsidR="00565FD5" w:rsidRPr="004B3DE4" w:rsidRDefault="00565FD5" w:rsidP="00AB62A3">
            <w:pPr>
              <w:spacing w:before="60" w:after="60"/>
              <w:rPr>
                <w:rFonts w:cs="Tahoma"/>
                <w:b/>
                <w:bCs/>
                <w:color w:val="000000"/>
                <w:sz w:val="16"/>
                <w:szCs w:val="16"/>
                <w:lang w:eastAsia="tr-TR"/>
              </w:rPr>
            </w:pPr>
            <w:r w:rsidRPr="004B3DE4">
              <w:rPr>
                <w:rFonts w:cs="Tahoma"/>
                <w:b/>
                <w:bCs/>
                <w:color w:val="000000"/>
                <w:sz w:val="16"/>
                <w:szCs w:val="16"/>
                <w:lang w:eastAsia="tr-TR"/>
              </w:rPr>
              <w:t>Sorumlu / İşbirliği Yapılacak Kuruluşlar</w:t>
            </w:r>
          </w:p>
        </w:tc>
        <w:tc>
          <w:tcPr>
            <w:tcW w:w="487" w:type="pct"/>
            <w:vAlign w:val="bottom"/>
          </w:tcPr>
          <w:p w:rsidR="00565FD5" w:rsidRPr="004B3DE4" w:rsidRDefault="00565FD5" w:rsidP="00AB62A3">
            <w:pPr>
              <w:spacing w:before="60" w:after="60"/>
              <w:rPr>
                <w:rFonts w:cs="Tahoma"/>
                <w:b/>
                <w:bCs/>
                <w:color w:val="000000"/>
                <w:sz w:val="16"/>
                <w:szCs w:val="16"/>
                <w:lang w:eastAsia="tr-TR"/>
              </w:rPr>
            </w:pPr>
            <w:r w:rsidRPr="004B3DE4">
              <w:rPr>
                <w:rFonts w:cs="Tahoma"/>
                <w:b/>
                <w:bCs/>
                <w:color w:val="000000"/>
                <w:sz w:val="16"/>
                <w:szCs w:val="16"/>
                <w:lang w:eastAsia="tr-TR"/>
              </w:rPr>
              <w:t>Süre</w:t>
            </w:r>
          </w:p>
        </w:tc>
        <w:tc>
          <w:tcPr>
            <w:tcW w:w="1643" w:type="pct"/>
            <w:vAlign w:val="bottom"/>
          </w:tcPr>
          <w:p w:rsidR="00565FD5" w:rsidRPr="004B3DE4" w:rsidRDefault="00565FD5" w:rsidP="00AB62A3">
            <w:pPr>
              <w:spacing w:before="60" w:after="60"/>
              <w:rPr>
                <w:rFonts w:cs="Tahoma"/>
                <w:b/>
                <w:bCs/>
                <w:color w:val="000000"/>
                <w:sz w:val="16"/>
                <w:szCs w:val="16"/>
                <w:lang w:eastAsia="tr-TR"/>
              </w:rPr>
            </w:pPr>
            <w:r w:rsidRPr="004B3DE4">
              <w:rPr>
                <w:rFonts w:cs="Tahoma"/>
                <w:b/>
                <w:bCs/>
                <w:color w:val="000000"/>
                <w:sz w:val="16"/>
                <w:szCs w:val="16"/>
                <w:lang w:eastAsia="tr-TR"/>
              </w:rPr>
              <w:t>Yapılacak İşlem ve Açıklama</w:t>
            </w:r>
          </w:p>
        </w:tc>
      </w:tr>
      <w:tr w:rsidR="00565FD5" w:rsidRPr="004B3DE4" w:rsidTr="00AB62A3">
        <w:trPr>
          <w:trHeight w:val="20"/>
          <w:jc w:val="center"/>
        </w:trPr>
        <w:tc>
          <w:tcPr>
            <w:tcW w:w="5000" w:type="pct"/>
            <w:gridSpan w:val="4"/>
          </w:tcPr>
          <w:p w:rsidR="00565FD5" w:rsidRPr="004B3DE4" w:rsidRDefault="00565FD5" w:rsidP="00EB1E69">
            <w:pPr>
              <w:numPr>
                <w:ilvl w:val="0"/>
                <w:numId w:val="15"/>
              </w:numPr>
              <w:tabs>
                <w:tab w:val="left" w:pos="425"/>
              </w:tabs>
              <w:spacing w:before="60" w:after="60" w:line="240" w:lineRule="auto"/>
              <w:jc w:val="both"/>
              <w:rPr>
                <w:rFonts w:cs="Tahoma"/>
                <w:color w:val="000000"/>
                <w:sz w:val="16"/>
                <w:szCs w:val="16"/>
                <w:lang w:eastAsia="tr-TR"/>
              </w:rPr>
            </w:pPr>
            <w:r w:rsidRPr="004B3DE4">
              <w:rPr>
                <w:rFonts w:cs="Tahoma"/>
                <w:b/>
                <w:bCs/>
                <w:color w:val="000000"/>
                <w:sz w:val="16"/>
                <w:szCs w:val="16"/>
                <w:lang w:eastAsia="tr-TR"/>
              </w:rPr>
              <w:t>Kayıtdışı istihdamı önlemeye ve ilave istihdamı teşvik etmeye yönelik tedbirler alınacaktır.</w:t>
            </w:r>
          </w:p>
        </w:tc>
      </w:tr>
      <w:tr w:rsidR="00565FD5" w:rsidRPr="004B3DE4" w:rsidTr="00AB62A3">
        <w:trPr>
          <w:trHeight w:val="20"/>
          <w:jc w:val="center"/>
        </w:trPr>
        <w:tc>
          <w:tcPr>
            <w:tcW w:w="1627" w:type="pct"/>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t>İşsizlikle mücadele kapsamında Ulusal İstihdam Stratejisi uygulamaya konulacaktır.</w:t>
            </w:r>
          </w:p>
        </w:tc>
        <w:tc>
          <w:tcPr>
            <w:tcW w:w="12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ÇSGB (S), Kalkınma Bakanlığı, Maliye Bakanlığı, MEB, Hazine Müsteşarlığı, SGK, MYK, KOSGEB, İşçi ve İşveren Sendikaları Konfederasyonları, Üniversiteler, Meslek Kuruluşları, STK’lar</w:t>
            </w:r>
          </w:p>
        </w:tc>
        <w:tc>
          <w:tcPr>
            <w:tcW w:w="487"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Aralık Sonu  </w:t>
            </w:r>
          </w:p>
        </w:tc>
        <w:tc>
          <w:tcPr>
            <w:tcW w:w="16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İstihdamın artırılması ve işsizliğin azaltılmasına yönelik, değişen piyasa koşullarını göz önüne alan bütüncül bir istihdam stratejisi YPK onayına sunulmuş olup 2012 yılı sonuna kadar yürürlüğe girmesi beklenmektedir. Bu kapsamda hazırlanan Ulusal İstihdam Stratejisi Eylem Planı uygulamaya konulacaktır.</w:t>
            </w:r>
          </w:p>
        </w:tc>
      </w:tr>
      <w:tr w:rsidR="00565FD5" w:rsidRPr="004B3DE4" w:rsidTr="00AB62A3">
        <w:trPr>
          <w:trHeight w:val="20"/>
          <w:jc w:val="center"/>
        </w:trPr>
        <w:tc>
          <w:tcPr>
            <w:tcW w:w="1627" w:type="pct"/>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t>İstihdamı teşvik düzenlemeleri sade ve etkin bir yapıya kavuşturulacaktır.</w:t>
            </w:r>
          </w:p>
        </w:tc>
        <w:tc>
          <w:tcPr>
            <w:tcW w:w="12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ÇSGB (S), Kalkınma Bakanlığı, Maliye Bakanlığı, Ekonomi Bakanlığı, Hazine Müsteşarlığı, SGK </w:t>
            </w:r>
          </w:p>
        </w:tc>
        <w:tc>
          <w:tcPr>
            <w:tcW w:w="487"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Aralık Sonu  </w:t>
            </w:r>
          </w:p>
        </w:tc>
        <w:tc>
          <w:tcPr>
            <w:tcW w:w="16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Çeşitli düzenlemelerle farklı süre ve oranlarda uygulanan istihdam teşviklerinin, daha anlaşılır ve bütüncül bir biçimde uygulanmasına ve bu teşviklerden yararlanmanın kolaylaştırılmasına olanak sağlayacak basit, anlaşılır tek bir düzenleme yapılacaktır. Ayrıca, işletmelerin bu alandaki farkındalığı artırılarak teşviklerden yaygın bir biçimde faydalanmaları için bilgilendirme faaliyetleri yürütülecektir.    </w:t>
            </w:r>
          </w:p>
        </w:tc>
      </w:tr>
      <w:tr w:rsidR="00565FD5" w:rsidRPr="004B3DE4" w:rsidTr="00AB62A3">
        <w:trPr>
          <w:trHeight w:val="20"/>
          <w:jc w:val="center"/>
        </w:trPr>
        <w:tc>
          <w:tcPr>
            <w:tcW w:w="5000" w:type="pct"/>
            <w:gridSpan w:val="4"/>
            <w:vAlign w:val="bottom"/>
          </w:tcPr>
          <w:p w:rsidR="00565FD5" w:rsidRPr="004B3DE4" w:rsidRDefault="00565FD5" w:rsidP="00EB1E69">
            <w:pPr>
              <w:numPr>
                <w:ilvl w:val="0"/>
                <w:numId w:val="15"/>
              </w:numPr>
              <w:tabs>
                <w:tab w:val="left" w:pos="425"/>
              </w:tabs>
              <w:spacing w:before="60" w:after="60" w:line="240" w:lineRule="auto"/>
              <w:rPr>
                <w:rFonts w:cs="Tahoma"/>
                <w:b/>
                <w:bCs/>
                <w:color w:val="000000"/>
                <w:sz w:val="16"/>
                <w:szCs w:val="16"/>
                <w:lang w:eastAsia="tr-TR"/>
              </w:rPr>
            </w:pPr>
            <w:r w:rsidRPr="004B3DE4">
              <w:rPr>
                <w:rFonts w:cs="Tahoma"/>
                <w:b/>
                <w:bCs/>
                <w:color w:val="000000"/>
                <w:sz w:val="16"/>
                <w:szCs w:val="16"/>
                <w:lang w:eastAsia="tr-TR"/>
              </w:rPr>
              <w:t xml:space="preserve">İşgücü piyasasındaki katılıkları azaltmak amacıyla sosyal taraflarla istişare içinde gerekli düzenlemeler yapılacaktır. </w:t>
            </w:r>
          </w:p>
        </w:tc>
      </w:tr>
      <w:tr w:rsidR="00565FD5" w:rsidRPr="004B3DE4" w:rsidTr="00AB62A3">
        <w:trPr>
          <w:trHeight w:val="20"/>
          <w:jc w:val="center"/>
        </w:trPr>
        <w:tc>
          <w:tcPr>
            <w:tcW w:w="1627" w:type="pct"/>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t>İşgücü piyasasındaki katılıklar giderilecek ve esnek çalışma uygulamaları yaygınlaştırılarak hayata geçirilecektir.</w:t>
            </w:r>
          </w:p>
        </w:tc>
        <w:tc>
          <w:tcPr>
            <w:tcW w:w="12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ÇSGB (S), Aile ve Sosyal Politikalar Bakanlığı, Bilim, Sanayi ve Teknoloji Bakanlığı, Kalkınma Bakanlığı, Maliye Bakanlığı, MEB </w:t>
            </w:r>
          </w:p>
        </w:tc>
        <w:tc>
          <w:tcPr>
            <w:tcW w:w="487"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Evde çalışma, uzaktan çalışma, iş paylaşımı ve esnek zaman modeli gibi esnek çalışma yöntemlerine de imkan sağlayacak düzenlemeler yapılacak, bu çalışma biçimlerinin yaygınlaştırılarak hayata geçirilmesi sağlanacaktır.</w:t>
            </w:r>
          </w:p>
        </w:tc>
      </w:tr>
      <w:tr w:rsidR="00565FD5" w:rsidRPr="004B3DE4" w:rsidTr="00AB62A3">
        <w:trPr>
          <w:trHeight w:val="20"/>
          <w:jc w:val="center"/>
        </w:trPr>
        <w:tc>
          <w:tcPr>
            <w:tcW w:w="5000" w:type="pct"/>
            <w:gridSpan w:val="4"/>
            <w:vAlign w:val="bottom"/>
          </w:tcPr>
          <w:p w:rsidR="00565FD5" w:rsidRPr="004B3DE4" w:rsidRDefault="00565FD5" w:rsidP="00EB1E69">
            <w:pPr>
              <w:numPr>
                <w:ilvl w:val="0"/>
                <w:numId w:val="15"/>
              </w:numPr>
              <w:tabs>
                <w:tab w:val="left" w:pos="425"/>
              </w:tabs>
              <w:spacing w:before="60" w:after="60" w:line="240" w:lineRule="auto"/>
              <w:jc w:val="both"/>
              <w:rPr>
                <w:rFonts w:cs="Tahoma"/>
                <w:b/>
                <w:bCs/>
                <w:color w:val="000000"/>
                <w:sz w:val="16"/>
                <w:szCs w:val="16"/>
                <w:lang w:eastAsia="tr-TR"/>
              </w:rPr>
            </w:pPr>
            <w:r w:rsidRPr="004B3DE4">
              <w:rPr>
                <w:rFonts w:cs="Tahoma"/>
                <w:b/>
                <w:bCs/>
                <w:color w:val="000000"/>
                <w:sz w:val="16"/>
                <w:szCs w:val="16"/>
                <w:lang w:eastAsia="tr-TR"/>
              </w:rPr>
              <w:t xml:space="preserve">Sosyal diyalog, toplu iş hukuku ve alt işverenlik alanlarında gerekli düzenlemeler yapılacak ve </w:t>
            </w:r>
            <w:r>
              <w:rPr>
                <w:rFonts w:cs="Tahoma"/>
                <w:b/>
                <w:bCs/>
                <w:color w:val="000000"/>
                <w:sz w:val="16"/>
                <w:szCs w:val="16"/>
                <w:lang w:eastAsia="tr-TR"/>
              </w:rPr>
              <w:t>yürürlüğe giren İş Sağlığı ve Güvenliği Kanunu etkin bir şekilde uygulamaya konulacaktır.</w:t>
            </w:r>
          </w:p>
        </w:tc>
      </w:tr>
      <w:tr w:rsidR="00565FD5" w:rsidRPr="004B3DE4" w:rsidTr="00AB62A3">
        <w:trPr>
          <w:trHeight w:val="20"/>
          <w:jc w:val="center"/>
        </w:trPr>
        <w:tc>
          <w:tcPr>
            <w:tcW w:w="1627" w:type="pct"/>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lastRenderedPageBreak/>
              <w:t>Ülkemizdeki mevcut sosyal diyalog mekanizmalarının etkinliğini artırmaya yönelik olarak ESK yeniden yapılandırılacaktır.</w:t>
            </w:r>
          </w:p>
        </w:tc>
        <w:tc>
          <w:tcPr>
            <w:tcW w:w="12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Kalkınma Bakanlığı (S), İşçi ve İşveren Sendikaları Konfederasyonları, Kamu Görevlileri Sendikaları Konfederasyonları, Meslek Kuruluşları, STK’lar</w:t>
            </w:r>
          </w:p>
        </w:tc>
        <w:tc>
          <w:tcPr>
            <w:tcW w:w="487"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Anayasadaki değişiklikler doğrultusunda, ESK’nın yasal ve fonksiyonel altyapısını güçlendirecek düzenlemeler yapılacaktır.</w:t>
            </w:r>
          </w:p>
        </w:tc>
      </w:tr>
      <w:tr w:rsidR="00565FD5" w:rsidRPr="004B3DE4" w:rsidTr="00AB62A3">
        <w:trPr>
          <w:trHeight w:val="20"/>
          <w:jc w:val="center"/>
        </w:trPr>
        <w:tc>
          <w:tcPr>
            <w:tcW w:w="1627" w:type="pct"/>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t>İş sağlığı ve güvenliği kültürünün yaygınlaştırılmasına yönelik ikincil mevzuat çalışmaları sonuçlandırılacaktır.</w:t>
            </w:r>
          </w:p>
          <w:p w:rsidR="00565FD5" w:rsidRPr="004B3DE4" w:rsidRDefault="00565FD5" w:rsidP="00AB62A3">
            <w:pPr>
              <w:spacing w:before="60" w:after="60"/>
              <w:rPr>
                <w:rFonts w:cs="Tahoma"/>
                <w:color w:val="000000"/>
                <w:sz w:val="16"/>
                <w:szCs w:val="16"/>
                <w:lang w:eastAsia="tr-TR"/>
              </w:rPr>
            </w:pPr>
          </w:p>
        </w:tc>
        <w:tc>
          <w:tcPr>
            <w:tcW w:w="12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ÇSGB (S), Kalkınma Bakanlığı, Bilim, Teknoloji Sanayi Bakanlığı, Devlet Personel Başkanlığı, KOSGEB, İşçi ve İşveren Sendikaları Konfederasyonları, Meslek Kuruluşları, STK’lar  </w:t>
            </w:r>
          </w:p>
        </w:tc>
        <w:tc>
          <w:tcPr>
            <w:tcW w:w="487"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Aralık Sonu  </w:t>
            </w:r>
          </w:p>
        </w:tc>
        <w:tc>
          <w:tcPr>
            <w:tcW w:w="16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 6331 sayılı İş Sağlığı ve Güvenliği Kanunu’nun uygulanmasına yönelik ikincil mevzuat çalışmaları tamamlanacak, toplumda iş sağlığı ve güvenliği kültürünün yaygınlaştırılmasına yönelik bilinçlendirme faaliyetleri ve çeşitli projeler yürütülecek ve ilgili denetim çalışmaları güçlendirilecektir.</w:t>
            </w:r>
          </w:p>
        </w:tc>
      </w:tr>
      <w:tr w:rsidR="00565FD5" w:rsidRPr="004B3DE4" w:rsidTr="00AB62A3">
        <w:trPr>
          <w:trHeight w:val="20"/>
          <w:jc w:val="center"/>
        </w:trPr>
        <w:tc>
          <w:tcPr>
            <w:tcW w:w="1627" w:type="pct"/>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t>Alt işverenlikle ilgili mevzuat ve uygulamadan kaynaklanan sorunlar giderilecektir.</w:t>
            </w:r>
          </w:p>
        </w:tc>
        <w:tc>
          <w:tcPr>
            <w:tcW w:w="12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ÇSGB (S), Kalkınma Bakanlığı, Maliye Bakanlığı, Sağlık Bakanlığı, Hazine Müsteşarlığı, Sosyal Güvenlik Kurumu, Kamu İhale Kurumu, İşçi ve İşveren Sendikaları Konfederasyonları, Meslek Kuruluşları, STK’lar  </w:t>
            </w:r>
          </w:p>
        </w:tc>
        <w:tc>
          <w:tcPr>
            <w:tcW w:w="487"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Asıl işveren-alt işveren ilişkisinde işveren ve işçi kesimlerinin yaşadığı sorunların çözümüne ve işçilerin uğramış oldukları sosyal ve ekonomik hak kayıplarının giderilmesine yönelik iş hukuku mevzuatında değişiklik yapılacak ve bu alandaki denetimler etkinleştirilecektir.</w:t>
            </w:r>
          </w:p>
        </w:tc>
      </w:tr>
      <w:tr w:rsidR="00565FD5" w:rsidRPr="004B3DE4" w:rsidTr="00AB62A3">
        <w:trPr>
          <w:trHeight w:val="20"/>
          <w:jc w:val="center"/>
        </w:trPr>
        <w:tc>
          <w:tcPr>
            <w:tcW w:w="1627" w:type="pct"/>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t xml:space="preserve">Çalışma hayatında etkin ve verimli bir teftiş sisteminin oluşturulması için önleyici teftiş yaklaşımı yaygınlaştırılacaktır. </w:t>
            </w:r>
          </w:p>
        </w:tc>
        <w:tc>
          <w:tcPr>
            <w:tcW w:w="12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ÇSGB (S), Kalkınma Bakanlığı, Maliye Bakanlığı, Sağlık Bakanlığı, Hazine Müsteşarlığı, Sosyal Güvenlik Kurumu, Kamu İhale Kurumu, İşçi ve İşveren Sendikaları Konfederasyonları, Meslek Kuruluşları, STK’lar  </w:t>
            </w:r>
          </w:p>
        </w:tc>
        <w:tc>
          <w:tcPr>
            <w:tcW w:w="487"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İlgili tüm sosyal tarafları kapsayan, eğitim ve bilgilendirmeye ağırlık veren, çözüm odaklı, risk esaslı, işkolu/sektör ve alan esaslı teftişler yapılması suretiyle başlatılmış olan programlı teftişler yaygınlaştırılacaktır.</w:t>
            </w:r>
          </w:p>
        </w:tc>
      </w:tr>
      <w:tr w:rsidR="00565FD5" w:rsidRPr="004B3DE4" w:rsidTr="00AB62A3">
        <w:trPr>
          <w:trHeight w:val="20"/>
          <w:jc w:val="center"/>
        </w:trPr>
        <w:tc>
          <w:tcPr>
            <w:tcW w:w="5000" w:type="pct"/>
            <w:gridSpan w:val="4"/>
            <w:vAlign w:val="bottom"/>
          </w:tcPr>
          <w:p w:rsidR="00565FD5" w:rsidRPr="004B3DE4" w:rsidRDefault="00565FD5" w:rsidP="00EB1E69">
            <w:pPr>
              <w:numPr>
                <w:ilvl w:val="0"/>
                <w:numId w:val="15"/>
              </w:numPr>
              <w:tabs>
                <w:tab w:val="left" w:pos="425"/>
              </w:tabs>
              <w:spacing w:before="60" w:after="60" w:line="240" w:lineRule="auto"/>
              <w:jc w:val="both"/>
              <w:rPr>
                <w:rFonts w:cs="Tahoma"/>
                <w:b/>
                <w:bCs/>
                <w:color w:val="000000"/>
                <w:sz w:val="16"/>
                <w:szCs w:val="16"/>
                <w:lang w:eastAsia="tr-TR"/>
              </w:rPr>
            </w:pPr>
            <w:r w:rsidRPr="004B3DE4">
              <w:rPr>
                <w:rFonts w:cs="Tahoma"/>
                <w:b/>
                <w:bCs/>
                <w:color w:val="000000"/>
                <w:sz w:val="16"/>
                <w:szCs w:val="16"/>
                <w:lang w:eastAsia="tr-TR"/>
              </w:rPr>
              <w:t xml:space="preserve">Gençler, kadınlar ve özürlüler başta olmak üzere işgücü piyasasında </w:t>
            </w:r>
            <w:r>
              <w:rPr>
                <w:rFonts w:cs="Tahoma"/>
                <w:b/>
                <w:bCs/>
                <w:color w:val="000000"/>
                <w:sz w:val="16"/>
                <w:szCs w:val="16"/>
                <w:lang w:eastAsia="tr-TR"/>
              </w:rPr>
              <w:t>dezavantajlı gruplara</w:t>
            </w:r>
            <w:r w:rsidRPr="004B3DE4">
              <w:rPr>
                <w:rFonts w:cs="Tahoma"/>
                <w:b/>
                <w:bCs/>
                <w:color w:val="000000"/>
                <w:sz w:val="16"/>
                <w:szCs w:val="16"/>
                <w:lang w:eastAsia="tr-TR"/>
              </w:rPr>
              <w:t xml:space="preserve"> yönelik destekleyici politikalar ilave tedbirler alınarak sürdürülecektir.</w:t>
            </w:r>
          </w:p>
        </w:tc>
      </w:tr>
      <w:tr w:rsidR="00565FD5" w:rsidRPr="004B3DE4" w:rsidTr="00AB62A3">
        <w:trPr>
          <w:trHeight w:val="20"/>
          <w:jc w:val="center"/>
        </w:trPr>
        <w:tc>
          <w:tcPr>
            <w:tcW w:w="1627" w:type="pct"/>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t>Kadınların işgücüne ve istihdama katılımları artırılacaktır.</w:t>
            </w:r>
          </w:p>
        </w:tc>
        <w:tc>
          <w:tcPr>
            <w:tcW w:w="12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ÇSGB (S), Maliye Bakanlığı, İŞKUR, MEB, Kalkınma Bakanlığı, Aile </w:t>
            </w:r>
            <w:r w:rsidRPr="004B3DE4">
              <w:rPr>
                <w:rFonts w:cs="Tahoma"/>
                <w:color w:val="000000"/>
                <w:sz w:val="16"/>
                <w:szCs w:val="16"/>
                <w:lang w:eastAsia="tr-TR"/>
              </w:rPr>
              <w:lastRenderedPageBreak/>
              <w:t>ve Sosyal Politikalar Bakanlığı, Hazine Müsteşarlığı, Devlet Personel Başkanlığı, SGK, KOSGEB, Yerel Yönetimler, İşçi ve İşveren Sendikaları Konfederasyonları, Meslek Kuruluşları</w:t>
            </w:r>
          </w:p>
        </w:tc>
        <w:tc>
          <w:tcPr>
            <w:tcW w:w="487"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lastRenderedPageBreak/>
              <w:t>Aralık Sonu</w:t>
            </w:r>
          </w:p>
        </w:tc>
        <w:tc>
          <w:tcPr>
            <w:tcW w:w="16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İşgücü piyasasına girişlerinin kolaylaştırılması amacıyla kadınlar için esnek çalışma </w:t>
            </w:r>
            <w:r w:rsidRPr="004B3DE4">
              <w:rPr>
                <w:rFonts w:cs="Tahoma"/>
                <w:color w:val="000000"/>
                <w:sz w:val="16"/>
                <w:szCs w:val="16"/>
                <w:lang w:eastAsia="tr-TR"/>
              </w:rPr>
              <w:lastRenderedPageBreak/>
              <w:t>biçimleri yaygınlaştırılacaktır. Kadınlara iş kurma alanında verilen mesleki bilgi, rehberlik ve danışmanlık hizmetleri geliştirilecektir. Kadınların çalışma hayatına katılımını artırmak amacıyla evde bakım, bakımevleri ve kreş hizmetlerinin erişilebilirliği artırılacaktır. İşe alımlarda cinsiyet ayrımcılığını azaltmaya yönelik bilinçlendirme faaliyetleri yürütülecektir.</w:t>
            </w:r>
          </w:p>
        </w:tc>
      </w:tr>
      <w:tr w:rsidR="00565FD5" w:rsidRPr="004B3DE4" w:rsidTr="00AB62A3">
        <w:trPr>
          <w:trHeight w:val="20"/>
          <w:jc w:val="center"/>
        </w:trPr>
        <w:tc>
          <w:tcPr>
            <w:tcW w:w="1627" w:type="pct"/>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lastRenderedPageBreak/>
              <w:t>Genç işsizliği azaltılacaktır.</w:t>
            </w:r>
          </w:p>
        </w:tc>
        <w:tc>
          <w:tcPr>
            <w:tcW w:w="12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İŞKUR (S), ÇSGB, MEB, Kalkınma Bakanlığı, Aile ve Sosyal Politikalar Bakanlığı, Gençlik ve Spor Bakanlığı,  SGK, YÖK, KOSGEB, İşçi ve İşveren Sendikaları Konfederasyonları, Meslek Kuruluşları</w:t>
            </w:r>
          </w:p>
        </w:tc>
        <w:tc>
          <w:tcPr>
            <w:tcW w:w="487"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Başta staj ve iş başı eğitim programları olmak üzere gençlerin işgücü piyasasında deneyim kazanmalarını sağlayıcı programlar yaygınlaştırılarak bu programların etkinliği artırılacaktır. Genç işsizlere sunulan iş kurma konusunda mesleki eğitim, bilgi, rehberlik ve danışmanlık hizmetleri geliştirilecektir. Üniversiteler ve meslek kuruluşları ile işbirliği içinde gençler için iş kurma ve geliştirme merkezleri kurulacaktır. </w:t>
            </w:r>
          </w:p>
        </w:tc>
      </w:tr>
      <w:tr w:rsidR="00565FD5" w:rsidRPr="004B3DE4" w:rsidTr="00AB62A3">
        <w:trPr>
          <w:trHeight w:val="20"/>
          <w:jc w:val="center"/>
        </w:trPr>
        <w:tc>
          <w:tcPr>
            <w:tcW w:w="1627" w:type="pct"/>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t>Özürlülere yönelik iş imkânları geliştirilecek, eğitim ve danışmanlık hizmetleri yaygınlaştırılacaktır.</w:t>
            </w:r>
          </w:p>
        </w:tc>
        <w:tc>
          <w:tcPr>
            <w:tcW w:w="12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Aile ve Sosyal Politikalar Bakanlığı (S), Çalışma ve Sosyal Güvenlik Bakanlığı, Sağlık Bakanlığı, Maliye Bakanlığı, Hazine Müsteşarlığı, İŞKUR</w:t>
            </w:r>
          </w:p>
        </w:tc>
        <w:tc>
          <w:tcPr>
            <w:tcW w:w="487"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Özürlüler için çalışma ortamının özel olarak düzenlendiği korumalı işyerlerine ilişkin mevzuat çalışmaları tamamlanarak korumalı işyerlerinin işlevselleştirilmesi sağlanacak ve özürlülere kolay erişilebilir mesleki eğitim ve danışmanlık hizmetleri sunulacaktır.  </w:t>
            </w:r>
          </w:p>
        </w:tc>
      </w:tr>
      <w:tr w:rsidR="00565FD5" w:rsidRPr="004B3DE4" w:rsidTr="00AB62A3">
        <w:trPr>
          <w:trHeight w:val="20"/>
          <w:jc w:val="center"/>
        </w:trPr>
        <w:tc>
          <w:tcPr>
            <w:tcW w:w="1627" w:type="pct"/>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t>Yurtdışında yaşayan vatandaşlarımıza yönelik bir strateji belgesi hazırlanacaktır.</w:t>
            </w:r>
          </w:p>
        </w:tc>
        <w:tc>
          <w:tcPr>
            <w:tcW w:w="12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Yurtdışı Türkler ve Akraba Topluluklar Başkanlığı (S), ÇSGB, Dışişleri Bakanlığı, Milli Eğitim Bakanlığı, Kültür ve Turizm Bakanlığı, Aile ve Sosyal Politikalar Bakanlığı </w:t>
            </w:r>
          </w:p>
        </w:tc>
        <w:tc>
          <w:tcPr>
            <w:tcW w:w="487"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Yurtdışında yaşayan vatandaşlarımıza yönelik hizmet alanlarını ve öncelikleri belirleyen, sorunlarına çözüm önerileri getiren, kısa ve orta vadede yapılacak işlere yönelik amaç ve hedefleri içeren bir strateji belgesi hazırlanacak ve uygulamaya konulacaktır.</w:t>
            </w:r>
          </w:p>
        </w:tc>
      </w:tr>
    </w:tbl>
    <w:p w:rsidR="00565FD5" w:rsidRPr="004B3DE4" w:rsidRDefault="00565FD5" w:rsidP="00565FD5">
      <w:pPr>
        <w:rPr>
          <w:rFonts w:cs="Tahoma"/>
        </w:rPr>
      </w:pPr>
    </w:p>
    <w:p w:rsidR="00565FD5" w:rsidRPr="004B3DE4" w:rsidRDefault="00565FD5" w:rsidP="00565FD5">
      <w:pPr>
        <w:pStyle w:val="Balk3"/>
      </w:pPr>
      <w:bookmarkStart w:id="2250" w:name="_Toc276076326"/>
      <w:bookmarkStart w:id="2251" w:name="_Toc244339647"/>
      <w:bookmarkStart w:id="2252" w:name="_Toc244315184"/>
      <w:bookmarkStart w:id="2253" w:name="_Toc244313707"/>
      <w:bookmarkStart w:id="2254" w:name="_Toc244254972"/>
      <w:bookmarkStart w:id="2255" w:name="_Toc244253722"/>
      <w:bookmarkStart w:id="2256" w:name="_Toc213065708"/>
      <w:bookmarkStart w:id="2257" w:name="_Toc181286072"/>
      <w:bookmarkStart w:id="2258" w:name="_Toc181284993"/>
      <w:bookmarkStart w:id="2259" w:name="_Toc149986856"/>
      <w:bookmarkStart w:id="2260" w:name="_Toc149968534"/>
      <w:bookmarkStart w:id="2261" w:name="_Toc307602046"/>
      <w:bookmarkStart w:id="2262" w:name="_Toc307670483"/>
      <w:bookmarkStart w:id="2263" w:name="_Toc307701709"/>
      <w:bookmarkStart w:id="2264" w:name="_Toc338494247"/>
      <w:bookmarkStart w:id="2265" w:name="_Toc338505612"/>
      <w:bookmarkStart w:id="2266" w:name="_Toc338523843"/>
      <w:bookmarkStart w:id="2267" w:name="_Toc338524074"/>
      <w:bookmarkStart w:id="2268" w:name="_Toc338526300"/>
      <w:bookmarkStart w:id="2269" w:name="_Toc338673743"/>
      <w:bookmarkStart w:id="2270" w:name="_Toc338711622"/>
      <w:r w:rsidRPr="004B3DE4">
        <w:lastRenderedPageBreak/>
        <w:t>B.</w:t>
      </w:r>
      <w:r w:rsidRPr="004B3DE4">
        <w:rPr>
          <w:spacing w:val="6"/>
        </w:rPr>
        <w:t xml:space="preserve"> </w:t>
      </w:r>
      <w:r w:rsidRPr="004B3DE4">
        <w:t>EĞ</w:t>
      </w:r>
      <w:r w:rsidRPr="004B3DE4">
        <w:rPr>
          <w:spacing w:val="1"/>
        </w:rPr>
        <w:t>İ</w:t>
      </w:r>
      <w:r w:rsidRPr="004B3DE4">
        <w:t>T</w:t>
      </w:r>
      <w:r w:rsidRPr="004B3DE4">
        <w:rPr>
          <w:spacing w:val="1"/>
        </w:rPr>
        <w:t>İ</w:t>
      </w:r>
      <w:r w:rsidRPr="004B3DE4">
        <w:rPr>
          <w:spacing w:val="-1"/>
        </w:rPr>
        <w:t>M</w:t>
      </w:r>
      <w:r w:rsidRPr="004B3DE4">
        <w:rPr>
          <w:spacing w:val="1"/>
        </w:rPr>
        <w:t>İ</w:t>
      </w:r>
      <w:r w:rsidRPr="004B3DE4">
        <w:t xml:space="preserve">N </w:t>
      </w:r>
      <w:r w:rsidRPr="004B3DE4">
        <w:rPr>
          <w:spacing w:val="1"/>
        </w:rPr>
        <w:t>İ</w:t>
      </w:r>
      <w:r w:rsidRPr="004B3DE4">
        <w:t xml:space="preserve">ŞGÜCÜ </w:t>
      </w:r>
      <w:r w:rsidRPr="004B3DE4">
        <w:rPr>
          <w:spacing w:val="-1"/>
        </w:rPr>
        <w:t>T</w:t>
      </w:r>
      <w:r w:rsidRPr="004B3DE4">
        <w:rPr>
          <w:spacing w:val="1"/>
        </w:rPr>
        <w:t>A</w:t>
      </w:r>
      <w:r w:rsidRPr="004B3DE4">
        <w:t>LEB</w:t>
      </w:r>
      <w:r w:rsidRPr="004B3DE4">
        <w:rPr>
          <w:spacing w:val="1"/>
        </w:rPr>
        <w:t>İ</w:t>
      </w:r>
      <w:r w:rsidRPr="004B3DE4">
        <w:t>NE</w:t>
      </w:r>
      <w:r w:rsidRPr="004B3DE4">
        <w:rPr>
          <w:spacing w:val="1"/>
        </w:rPr>
        <w:t xml:space="preserve"> </w:t>
      </w:r>
      <w:r w:rsidRPr="004B3DE4">
        <w:t>D</w:t>
      </w:r>
      <w:r w:rsidRPr="004B3DE4">
        <w:rPr>
          <w:spacing w:val="-1"/>
        </w:rPr>
        <w:t>U</w:t>
      </w:r>
      <w:r w:rsidRPr="004B3DE4">
        <w:t>YA</w:t>
      </w:r>
      <w:r w:rsidRPr="004B3DE4">
        <w:rPr>
          <w:spacing w:val="-1"/>
        </w:rPr>
        <w:t>R</w:t>
      </w:r>
      <w:r w:rsidRPr="004B3DE4">
        <w:t>LILIĞI</w:t>
      </w:r>
      <w:r w:rsidRPr="004B3DE4">
        <w:rPr>
          <w:spacing w:val="-1"/>
        </w:rPr>
        <w:t>N</w:t>
      </w:r>
      <w:r w:rsidRPr="004B3DE4">
        <w:t xml:space="preserve">IN </w:t>
      </w:r>
      <w:r w:rsidRPr="004B3DE4">
        <w:rPr>
          <w:spacing w:val="-1"/>
        </w:rPr>
        <w:t>A</w:t>
      </w:r>
      <w:r w:rsidRPr="004B3DE4">
        <w:t>RTIRI</w:t>
      </w:r>
      <w:r w:rsidRPr="004B3DE4">
        <w:rPr>
          <w:spacing w:val="-1"/>
        </w:rPr>
        <w:t>L</w:t>
      </w:r>
      <w:r w:rsidRPr="004B3DE4">
        <w:t>MASI</w:t>
      </w:r>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rsidR="00565FD5" w:rsidRPr="004B3DE4" w:rsidRDefault="00565FD5" w:rsidP="00565FD5">
      <w:pPr>
        <w:pStyle w:val="Balk4"/>
        <w:rPr>
          <w:szCs w:val="18"/>
        </w:rPr>
      </w:pPr>
      <w:bookmarkStart w:id="2271" w:name="_Toc276076327"/>
      <w:bookmarkStart w:id="2272" w:name="_Toc244339648"/>
      <w:bookmarkStart w:id="2273" w:name="_Toc244315185"/>
      <w:bookmarkStart w:id="2274" w:name="_Toc244313708"/>
      <w:bookmarkStart w:id="2275" w:name="_Toc244254973"/>
      <w:bookmarkStart w:id="2276" w:name="_Toc244253723"/>
      <w:bookmarkStart w:id="2277" w:name="_Toc213065709"/>
      <w:bookmarkStart w:id="2278" w:name="_Toc181286073"/>
      <w:bookmarkStart w:id="2279" w:name="_Toc181284994"/>
      <w:bookmarkStart w:id="2280" w:name="_Toc149986857"/>
      <w:bookmarkStart w:id="2281" w:name="_Toc149968535"/>
      <w:bookmarkStart w:id="2282" w:name="_Toc307602047"/>
      <w:bookmarkStart w:id="2283" w:name="_Toc307670484"/>
      <w:bookmarkStart w:id="2284" w:name="_Toc307701710"/>
      <w:bookmarkStart w:id="2285" w:name="_Toc338505613"/>
      <w:bookmarkStart w:id="2286" w:name="_Toc338523844"/>
      <w:bookmarkStart w:id="2287" w:name="_Toc338524075"/>
      <w:bookmarkStart w:id="2288" w:name="_Toc338526301"/>
      <w:bookmarkStart w:id="2289" w:name="_Toc338673744"/>
      <w:bookmarkStart w:id="2290" w:name="_Toc338711623"/>
      <w:r w:rsidRPr="004B3DE4">
        <w:t>1.</w:t>
      </w:r>
      <w:r w:rsidRPr="004B3DE4">
        <w:rPr>
          <w:spacing w:val="6"/>
        </w:rPr>
        <w:t xml:space="preserve"> </w:t>
      </w:r>
      <w:r w:rsidRPr="004B3DE4">
        <w:t>Mevcut D</w:t>
      </w:r>
      <w:r w:rsidRPr="004B3DE4">
        <w:rPr>
          <w:spacing w:val="-1"/>
        </w:rPr>
        <w:t>u</w:t>
      </w:r>
      <w:r w:rsidRPr="004B3DE4">
        <w:t>rum</w:t>
      </w:r>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p>
    <w:p w:rsidR="00565FD5" w:rsidRPr="004B3DE4" w:rsidRDefault="00565FD5" w:rsidP="00565FD5">
      <w:pPr>
        <w:spacing w:after="120"/>
        <w:ind w:firstLine="425"/>
        <w:rPr>
          <w:rFonts w:cs="Tahoma"/>
          <w:szCs w:val="18"/>
        </w:rPr>
      </w:pPr>
      <w:r w:rsidRPr="004B3DE4">
        <w:rPr>
          <w:rFonts w:cs="Tahoma"/>
          <w:szCs w:val="18"/>
        </w:rPr>
        <w:t xml:space="preserve">Türkiye’nin demografik yapısı itibarıyla çalışma çağı nüfusundaki artışa paralel olarak istihdam yaratabilmesi ve bilgi toplumuna dönüşebilmesi için önünde önemli fırsatlar bulunmaktadır. Kısa ve orta vadede değişen ekonomik yapıya uygun işgücü ihtiyacını karşılayacak gençlerin, mesleki becerilerinin geliştirilmesi ve özellikle yüksek katma değer sağlayacak olan bilgi ve iletişim teknolojilerinden yararlanılması, hem insan kaynağının geliştirilmesini sağlayacak hem de bilgi toplumuna dönüşümü hızlandıracaktır. </w:t>
      </w:r>
    </w:p>
    <w:p w:rsidR="00565FD5" w:rsidRPr="004B3DE4" w:rsidRDefault="00565FD5" w:rsidP="00565FD5">
      <w:pPr>
        <w:spacing w:after="120"/>
        <w:ind w:firstLine="425"/>
        <w:rPr>
          <w:rFonts w:cs="Tahoma"/>
          <w:szCs w:val="18"/>
        </w:rPr>
      </w:pPr>
      <w:r w:rsidRPr="004B3DE4">
        <w:rPr>
          <w:rFonts w:cs="Tahoma"/>
          <w:szCs w:val="18"/>
        </w:rPr>
        <w:t xml:space="preserve">İstihdam ve eğitim arasındaki bağın yeterince kurulamaması ve mesleki eğitimin işgücü piyasası ihtiyaçları doğrultusunda istenilen ölçüde verilememesi, insan gücü niteliği ile işgücü piyasasının talebi arasında dengesizliklere yol açmakta ve eş zamanlı olarak hem işsizliğe hem de boş iş pozisyonlarına neden olmaktadır. Bu çerçevede eğitim sisteminde yer alanların ve sistem dışına çıkmış olanların bilgi ve becerilerinin iş piyasasına uygun olarak geliştirilmesi önem arz etmektedir. </w:t>
      </w:r>
    </w:p>
    <w:p w:rsidR="00565FD5" w:rsidRPr="004B3DE4" w:rsidRDefault="00565FD5" w:rsidP="00565FD5">
      <w:pPr>
        <w:spacing w:after="120"/>
        <w:ind w:firstLine="425"/>
        <w:rPr>
          <w:rFonts w:cs="Tahoma"/>
          <w:szCs w:val="18"/>
        </w:rPr>
      </w:pPr>
      <w:r w:rsidRPr="004B3DE4">
        <w:rPr>
          <w:rFonts w:cs="Tahoma"/>
          <w:szCs w:val="18"/>
        </w:rPr>
        <w:t xml:space="preserve">2010 yılı itibarıyla ülkemizde 15-29 yaş grubu genç nüfus içerisinde istihdamda ve eğitimde yer almayanların oranı yüzde 36,6 iken OECD ortalaması yüzde 15,8’dir. Diğer yandan söz konusu oran Türkiye’de kadınlar için daha yüksek olup kadınlarda eğitim ve istihdamın dışında olma durumunun erkeklere göre daha kalıcı olduğu görülmektedir. </w:t>
      </w:r>
    </w:p>
    <w:p w:rsidR="00565FD5" w:rsidRPr="004B3DE4" w:rsidRDefault="00565FD5" w:rsidP="00565FD5">
      <w:pPr>
        <w:spacing w:after="120"/>
        <w:ind w:firstLine="425"/>
        <w:rPr>
          <w:rFonts w:cs="Tahoma"/>
          <w:szCs w:val="18"/>
        </w:rPr>
      </w:pPr>
      <w:r w:rsidRPr="004B3DE4">
        <w:rPr>
          <w:rFonts w:cs="Tahoma"/>
          <w:szCs w:val="18"/>
        </w:rPr>
        <w:t>2010 yılı itibarıyla yetişkin nüfusta (25-64 yaş) ortaöğretim ve daha üst seviyede eğitim düzeyine sahip olanların oranı Türkiye’de yüzde 31 iken bu oran OECD ortalamasında yüzde 74’tür. Türkiye’de yetişkin nüfusun bilgi, beceri ve yeterliliklerinin düşük kalması, bu kişilerin sosyal ve ekonomik hayata etkin olarak katılımını da zorlaştırmaktadır. Bu kapsamda Hayat Boyu Öğrenme Strateji Belgesinin etkin olarak uygulanması büyük önem taşımaktadır.</w:t>
      </w:r>
    </w:p>
    <w:p w:rsidR="00565FD5" w:rsidRPr="004B3DE4" w:rsidRDefault="00565FD5" w:rsidP="00565FD5">
      <w:pPr>
        <w:spacing w:after="120"/>
        <w:ind w:firstLine="425"/>
        <w:rPr>
          <w:rFonts w:cs="Tahoma"/>
          <w:szCs w:val="18"/>
        </w:rPr>
      </w:pPr>
      <w:r w:rsidRPr="004B3DE4">
        <w:rPr>
          <w:rFonts w:cs="Tahoma"/>
          <w:szCs w:val="18"/>
        </w:rPr>
        <w:t>2011 yılında işgücünün yüzde 63,2’si, istihdamın yüzde 63,8’i ve işsizlerin yüzde 57,8’i lise altı eğitim seviyesindekilerden ve okur-yazar olmayanlardan oluşmaktadır. Mevcut işgücünün niteliği ve verimliliğinin düşük olması nedeniyle işgücü arz ve talebi arasında yaşanan uyumsuzluk işgücü piyasasının etkinliğini azaltan önemli bir faktördür.</w:t>
      </w:r>
    </w:p>
    <w:p w:rsidR="00565FD5" w:rsidRPr="004B3DE4" w:rsidRDefault="00565FD5" w:rsidP="00565FD5">
      <w:pPr>
        <w:pStyle w:val="ResimYazs"/>
        <w:rPr>
          <w:rFonts w:cs="Tahoma"/>
          <w:b w:val="0"/>
        </w:rPr>
      </w:pPr>
      <w:bookmarkStart w:id="2291" w:name="_Toc338606046"/>
      <w:bookmarkStart w:id="2292" w:name="_Toc338711821"/>
      <w:bookmarkStart w:id="2293" w:name="_Toc307601702"/>
      <w:bookmarkStart w:id="2294" w:name="_Toc307657922"/>
      <w:bookmarkStart w:id="2295" w:name="_Toc307702179"/>
      <w:r>
        <w:lastRenderedPageBreak/>
        <w:t xml:space="preserve">TABLO IV: </w:t>
      </w:r>
      <w:fldSimple w:instr=" SEQ TABLO_IV: \* ARABIC ">
        <w:r>
          <w:rPr>
            <w:noProof/>
          </w:rPr>
          <w:t>51</w:t>
        </w:r>
      </w:fldSimple>
      <w:r w:rsidRPr="00B24821">
        <w:rPr>
          <w:rFonts w:cs="Tahoma"/>
        </w:rPr>
        <w:t>- 2011 Yılında İşgücünün Eğitim Düzeyi</w:t>
      </w:r>
      <w:bookmarkEnd w:id="2291"/>
      <w:bookmarkEnd w:id="2292"/>
      <w:r w:rsidRPr="004B3DE4">
        <w:rPr>
          <w:rFonts w:cs="Tahoma"/>
          <w:b w:val="0"/>
        </w:rPr>
        <w:t xml:space="preserve"> </w:t>
      </w:r>
      <w:bookmarkEnd w:id="2293"/>
      <w:bookmarkEnd w:id="2294"/>
      <w:bookmarkEnd w:id="2295"/>
    </w:p>
    <w:p w:rsidR="00565FD5" w:rsidRPr="00EE14A1" w:rsidRDefault="00565FD5" w:rsidP="00565FD5">
      <w:pPr>
        <w:tabs>
          <w:tab w:val="left" w:pos="2057"/>
          <w:tab w:val="left" w:pos="2823"/>
          <w:tab w:val="left" w:pos="3765"/>
          <w:tab w:val="left" w:pos="4439"/>
          <w:tab w:val="left" w:pos="5011"/>
          <w:tab w:val="left" w:pos="5953"/>
        </w:tabs>
        <w:ind w:left="-374"/>
        <w:jc w:val="right"/>
        <w:rPr>
          <w:rFonts w:cs="Tahoma"/>
          <w:sz w:val="14"/>
          <w:szCs w:val="14"/>
        </w:rPr>
      </w:pPr>
      <w:r w:rsidRPr="00EE14A1">
        <w:rPr>
          <w:rFonts w:cs="Tahoma"/>
          <w:sz w:val="14"/>
          <w:szCs w:val="14"/>
        </w:rPr>
        <w:tab/>
      </w:r>
      <w:r w:rsidRPr="00EE14A1">
        <w:rPr>
          <w:rFonts w:cs="Tahoma"/>
          <w:sz w:val="14"/>
          <w:szCs w:val="14"/>
        </w:rPr>
        <w:tab/>
      </w:r>
      <w:r w:rsidRPr="00EE14A1">
        <w:rPr>
          <w:rFonts w:cs="Tahoma"/>
          <w:sz w:val="14"/>
          <w:szCs w:val="14"/>
        </w:rPr>
        <w:tab/>
      </w:r>
      <w:r w:rsidRPr="00EE14A1">
        <w:rPr>
          <w:rFonts w:cs="Tahoma"/>
          <w:sz w:val="14"/>
          <w:szCs w:val="14"/>
        </w:rPr>
        <w:tab/>
      </w:r>
      <w:r w:rsidRPr="00EE14A1">
        <w:rPr>
          <w:rFonts w:cs="Tahoma"/>
          <w:sz w:val="14"/>
          <w:szCs w:val="14"/>
        </w:rPr>
        <w:tab/>
      </w:r>
      <w:r w:rsidRPr="00EE14A1">
        <w:rPr>
          <w:rFonts w:cs="Tahoma"/>
          <w:sz w:val="14"/>
          <w:szCs w:val="14"/>
        </w:rPr>
        <w:tab/>
      </w:r>
      <w:r w:rsidRPr="00EE14A1">
        <w:rPr>
          <w:rFonts w:eastAsia="Arial Unicode MS" w:cs="Tahoma"/>
          <w:sz w:val="14"/>
          <w:szCs w:val="14"/>
        </w:rPr>
        <w:t>(Yüzde)</w:t>
      </w:r>
    </w:p>
    <w:tbl>
      <w:tblPr>
        <w:tblW w:w="4878" w:type="pct"/>
        <w:jc w:val="center"/>
        <w:tblInd w:w="-374" w:type="dxa"/>
        <w:tblBorders>
          <w:top w:val="single" w:sz="4" w:space="0" w:color="auto"/>
          <w:left w:val="single" w:sz="4" w:space="0" w:color="auto"/>
          <w:bottom w:val="single" w:sz="4" w:space="0" w:color="auto"/>
          <w:right w:val="single" w:sz="4" w:space="0" w:color="auto"/>
        </w:tblBorders>
        <w:tblLook w:val="00A0"/>
      </w:tblPr>
      <w:tblGrid>
        <w:gridCol w:w="2451"/>
        <w:gridCol w:w="767"/>
        <w:gridCol w:w="942"/>
        <w:gridCol w:w="675"/>
        <w:gridCol w:w="617"/>
        <w:gridCol w:w="942"/>
        <w:gridCol w:w="784"/>
      </w:tblGrid>
      <w:tr w:rsidR="00565FD5" w:rsidRPr="00EE14A1" w:rsidTr="00AB62A3">
        <w:trPr>
          <w:trHeight w:val="292"/>
          <w:jc w:val="center"/>
        </w:trPr>
        <w:tc>
          <w:tcPr>
            <w:tcW w:w="1707" w:type="pct"/>
            <w:tcBorders>
              <w:top w:val="single" w:sz="4" w:space="0" w:color="auto"/>
              <w:bottom w:val="single" w:sz="4" w:space="0" w:color="auto"/>
              <w:right w:val="nil"/>
            </w:tcBorders>
            <w:vAlign w:val="center"/>
          </w:tcPr>
          <w:p w:rsidR="00565FD5" w:rsidRPr="00EE14A1" w:rsidRDefault="00565FD5" w:rsidP="00AB62A3">
            <w:pPr>
              <w:rPr>
                <w:rFonts w:cs="Tahoma"/>
                <w:sz w:val="15"/>
                <w:szCs w:val="15"/>
              </w:rPr>
            </w:pPr>
          </w:p>
        </w:tc>
        <w:tc>
          <w:tcPr>
            <w:tcW w:w="534" w:type="pct"/>
            <w:tcBorders>
              <w:top w:val="single" w:sz="4" w:space="0" w:color="auto"/>
              <w:left w:val="nil"/>
              <w:bottom w:val="single" w:sz="4" w:space="0" w:color="auto"/>
              <w:right w:val="nil"/>
            </w:tcBorders>
            <w:vAlign w:val="center"/>
          </w:tcPr>
          <w:p w:rsidR="00565FD5" w:rsidRPr="00EE14A1" w:rsidRDefault="00565FD5" w:rsidP="00AB62A3">
            <w:pPr>
              <w:jc w:val="right"/>
              <w:rPr>
                <w:rFonts w:cs="Tahoma"/>
                <w:b/>
                <w:sz w:val="15"/>
                <w:szCs w:val="15"/>
              </w:rPr>
            </w:pPr>
            <w:r w:rsidRPr="00EE14A1">
              <w:rPr>
                <w:rFonts w:cs="Tahoma"/>
                <w:b/>
                <w:sz w:val="15"/>
                <w:szCs w:val="15"/>
              </w:rPr>
              <w:t>İşgücü</w:t>
            </w:r>
          </w:p>
        </w:tc>
        <w:tc>
          <w:tcPr>
            <w:tcW w:w="656" w:type="pct"/>
            <w:tcBorders>
              <w:top w:val="single" w:sz="4" w:space="0" w:color="auto"/>
              <w:left w:val="nil"/>
              <w:bottom w:val="single" w:sz="4" w:space="0" w:color="auto"/>
              <w:right w:val="nil"/>
            </w:tcBorders>
            <w:vAlign w:val="center"/>
          </w:tcPr>
          <w:p w:rsidR="00565FD5" w:rsidRPr="00EE14A1" w:rsidRDefault="00565FD5" w:rsidP="00AB62A3">
            <w:pPr>
              <w:jc w:val="right"/>
              <w:rPr>
                <w:rFonts w:cs="Tahoma"/>
                <w:b/>
                <w:sz w:val="15"/>
                <w:szCs w:val="15"/>
              </w:rPr>
            </w:pPr>
            <w:r w:rsidRPr="00EE14A1">
              <w:rPr>
                <w:rFonts w:cs="Tahoma"/>
                <w:b/>
                <w:sz w:val="15"/>
                <w:szCs w:val="15"/>
              </w:rPr>
              <w:t>İstihdam</w:t>
            </w:r>
          </w:p>
        </w:tc>
        <w:tc>
          <w:tcPr>
            <w:tcW w:w="470" w:type="pct"/>
            <w:tcBorders>
              <w:top w:val="single" w:sz="4" w:space="0" w:color="auto"/>
              <w:left w:val="nil"/>
              <w:bottom w:val="single" w:sz="4" w:space="0" w:color="auto"/>
              <w:right w:val="nil"/>
            </w:tcBorders>
            <w:vAlign w:val="center"/>
          </w:tcPr>
          <w:p w:rsidR="00565FD5" w:rsidRPr="00EE14A1" w:rsidRDefault="00565FD5" w:rsidP="00AB62A3">
            <w:pPr>
              <w:jc w:val="right"/>
              <w:rPr>
                <w:rFonts w:cs="Tahoma"/>
                <w:sz w:val="15"/>
                <w:szCs w:val="15"/>
              </w:rPr>
            </w:pPr>
            <w:r w:rsidRPr="00EE14A1">
              <w:rPr>
                <w:rFonts w:cs="Tahoma"/>
                <w:b/>
                <w:sz w:val="15"/>
                <w:szCs w:val="15"/>
              </w:rPr>
              <w:t>İşsiz</w:t>
            </w:r>
          </w:p>
        </w:tc>
        <w:tc>
          <w:tcPr>
            <w:tcW w:w="430" w:type="pct"/>
            <w:tcBorders>
              <w:top w:val="single" w:sz="4" w:space="0" w:color="auto"/>
              <w:left w:val="nil"/>
              <w:bottom w:val="single" w:sz="4" w:space="0" w:color="auto"/>
              <w:right w:val="nil"/>
            </w:tcBorders>
            <w:vAlign w:val="center"/>
          </w:tcPr>
          <w:p w:rsidR="00565FD5" w:rsidRPr="00EE14A1" w:rsidRDefault="00565FD5" w:rsidP="00AB62A3">
            <w:pPr>
              <w:jc w:val="right"/>
              <w:rPr>
                <w:rFonts w:cs="Tahoma"/>
                <w:b/>
                <w:sz w:val="15"/>
                <w:szCs w:val="15"/>
              </w:rPr>
            </w:pPr>
            <w:r w:rsidRPr="00EE14A1">
              <w:rPr>
                <w:rFonts w:cs="Tahoma"/>
                <w:b/>
                <w:sz w:val="15"/>
                <w:szCs w:val="15"/>
              </w:rPr>
              <w:t>İKO</w:t>
            </w:r>
          </w:p>
        </w:tc>
        <w:tc>
          <w:tcPr>
            <w:tcW w:w="656" w:type="pct"/>
            <w:tcBorders>
              <w:top w:val="single" w:sz="4" w:space="0" w:color="auto"/>
              <w:left w:val="nil"/>
              <w:bottom w:val="single" w:sz="4" w:space="0" w:color="auto"/>
              <w:right w:val="nil"/>
            </w:tcBorders>
            <w:vAlign w:val="center"/>
          </w:tcPr>
          <w:p w:rsidR="00565FD5" w:rsidRPr="00EE14A1" w:rsidRDefault="00565FD5" w:rsidP="00AB62A3">
            <w:pPr>
              <w:jc w:val="right"/>
              <w:rPr>
                <w:rFonts w:cs="Tahoma"/>
                <w:b/>
                <w:sz w:val="15"/>
                <w:szCs w:val="15"/>
              </w:rPr>
            </w:pPr>
            <w:r w:rsidRPr="00EE14A1">
              <w:rPr>
                <w:rFonts w:cs="Tahoma"/>
                <w:b/>
                <w:sz w:val="15"/>
                <w:szCs w:val="15"/>
              </w:rPr>
              <w:t>İstihdam</w:t>
            </w:r>
          </w:p>
          <w:p w:rsidR="00565FD5" w:rsidRPr="00EE14A1" w:rsidRDefault="00565FD5" w:rsidP="00AB62A3">
            <w:pPr>
              <w:jc w:val="right"/>
              <w:rPr>
                <w:rFonts w:cs="Tahoma"/>
                <w:b/>
                <w:sz w:val="15"/>
                <w:szCs w:val="15"/>
              </w:rPr>
            </w:pPr>
            <w:r w:rsidRPr="00EE14A1">
              <w:rPr>
                <w:rFonts w:cs="Tahoma"/>
                <w:b/>
                <w:sz w:val="15"/>
                <w:szCs w:val="15"/>
              </w:rPr>
              <w:t>Oranı</w:t>
            </w:r>
          </w:p>
        </w:tc>
        <w:tc>
          <w:tcPr>
            <w:tcW w:w="546" w:type="pct"/>
            <w:tcBorders>
              <w:top w:val="single" w:sz="4" w:space="0" w:color="auto"/>
              <w:left w:val="nil"/>
              <w:bottom w:val="single" w:sz="4" w:space="0" w:color="auto"/>
            </w:tcBorders>
            <w:vAlign w:val="center"/>
          </w:tcPr>
          <w:p w:rsidR="00565FD5" w:rsidRPr="00EE14A1" w:rsidRDefault="00565FD5" w:rsidP="00AB62A3">
            <w:pPr>
              <w:jc w:val="right"/>
              <w:rPr>
                <w:rFonts w:cs="Tahoma"/>
                <w:b/>
                <w:sz w:val="15"/>
                <w:szCs w:val="15"/>
              </w:rPr>
            </w:pPr>
            <w:r w:rsidRPr="00EE14A1">
              <w:rPr>
                <w:rFonts w:cs="Tahoma"/>
                <w:b/>
                <w:sz w:val="15"/>
                <w:szCs w:val="15"/>
              </w:rPr>
              <w:t>İşsizlik</w:t>
            </w:r>
          </w:p>
          <w:p w:rsidR="00565FD5" w:rsidRPr="00EE14A1" w:rsidRDefault="00565FD5" w:rsidP="00AB62A3">
            <w:pPr>
              <w:jc w:val="right"/>
              <w:rPr>
                <w:rFonts w:cs="Tahoma"/>
                <w:b/>
                <w:sz w:val="15"/>
                <w:szCs w:val="15"/>
              </w:rPr>
            </w:pPr>
            <w:r w:rsidRPr="00EE14A1">
              <w:rPr>
                <w:rFonts w:cs="Tahoma"/>
                <w:b/>
                <w:sz w:val="15"/>
                <w:szCs w:val="15"/>
              </w:rPr>
              <w:t>Oranı</w:t>
            </w:r>
          </w:p>
        </w:tc>
      </w:tr>
      <w:tr w:rsidR="00565FD5" w:rsidRPr="00EE14A1" w:rsidTr="00AB62A3">
        <w:trPr>
          <w:trHeight w:val="163"/>
          <w:jc w:val="center"/>
        </w:trPr>
        <w:tc>
          <w:tcPr>
            <w:tcW w:w="1707" w:type="pct"/>
            <w:tcBorders>
              <w:top w:val="single" w:sz="4" w:space="0" w:color="auto"/>
              <w:bottom w:val="nil"/>
              <w:right w:val="nil"/>
            </w:tcBorders>
            <w:vAlign w:val="bottom"/>
          </w:tcPr>
          <w:p w:rsidR="00565FD5" w:rsidRPr="00EE14A1" w:rsidRDefault="00565FD5" w:rsidP="00AB62A3">
            <w:pPr>
              <w:rPr>
                <w:rFonts w:cs="Tahoma"/>
                <w:sz w:val="15"/>
                <w:szCs w:val="15"/>
              </w:rPr>
            </w:pPr>
            <w:r w:rsidRPr="00EE14A1">
              <w:rPr>
                <w:rFonts w:cs="Tahoma"/>
                <w:sz w:val="15"/>
                <w:szCs w:val="15"/>
              </w:rPr>
              <w:t>Okur-yazar Olmayanlar</w:t>
            </w:r>
          </w:p>
        </w:tc>
        <w:tc>
          <w:tcPr>
            <w:tcW w:w="534" w:type="pct"/>
            <w:tcBorders>
              <w:top w:val="single" w:sz="4" w:space="0" w:color="auto"/>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4,5</w:t>
            </w:r>
          </w:p>
        </w:tc>
        <w:tc>
          <w:tcPr>
            <w:tcW w:w="656" w:type="pct"/>
            <w:tcBorders>
              <w:top w:val="single" w:sz="4" w:space="0" w:color="auto"/>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4,8</w:t>
            </w:r>
          </w:p>
        </w:tc>
        <w:tc>
          <w:tcPr>
            <w:tcW w:w="470" w:type="pct"/>
            <w:tcBorders>
              <w:top w:val="single" w:sz="4" w:space="0" w:color="auto"/>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2,1</w:t>
            </w:r>
          </w:p>
        </w:tc>
        <w:tc>
          <w:tcPr>
            <w:tcW w:w="430" w:type="pct"/>
            <w:tcBorders>
              <w:top w:val="single" w:sz="4" w:space="0" w:color="auto"/>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20,5</w:t>
            </w:r>
          </w:p>
        </w:tc>
        <w:tc>
          <w:tcPr>
            <w:tcW w:w="656" w:type="pct"/>
            <w:tcBorders>
              <w:top w:val="single" w:sz="4" w:space="0" w:color="auto"/>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19,6</w:t>
            </w:r>
          </w:p>
        </w:tc>
        <w:tc>
          <w:tcPr>
            <w:tcW w:w="546" w:type="pct"/>
            <w:tcBorders>
              <w:top w:val="single" w:sz="4" w:space="0" w:color="auto"/>
              <w:left w:val="nil"/>
              <w:bottom w:val="nil"/>
            </w:tcBorders>
            <w:vAlign w:val="bottom"/>
          </w:tcPr>
          <w:p w:rsidR="00565FD5" w:rsidRPr="00EE14A1" w:rsidRDefault="00565FD5" w:rsidP="00AB62A3">
            <w:pPr>
              <w:jc w:val="right"/>
              <w:rPr>
                <w:rFonts w:cs="Tahoma"/>
                <w:sz w:val="15"/>
                <w:szCs w:val="15"/>
              </w:rPr>
            </w:pPr>
            <w:r w:rsidRPr="00EE14A1">
              <w:rPr>
                <w:rFonts w:cs="Tahoma"/>
                <w:sz w:val="15"/>
                <w:szCs w:val="15"/>
              </w:rPr>
              <w:t>4,6</w:t>
            </w:r>
          </w:p>
        </w:tc>
      </w:tr>
      <w:tr w:rsidR="00565FD5" w:rsidRPr="00EE14A1" w:rsidTr="00AB62A3">
        <w:trPr>
          <w:trHeight w:val="163"/>
          <w:jc w:val="center"/>
        </w:trPr>
        <w:tc>
          <w:tcPr>
            <w:tcW w:w="1707" w:type="pct"/>
            <w:tcBorders>
              <w:top w:val="nil"/>
              <w:bottom w:val="nil"/>
              <w:right w:val="nil"/>
            </w:tcBorders>
            <w:vAlign w:val="bottom"/>
          </w:tcPr>
          <w:p w:rsidR="00565FD5" w:rsidRPr="00EE14A1" w:rsidRDefault="00565FD5" w:rsidP="00AB62A3">
            <w:pPr>
              <w:rPr>
                <w:rFonts w:cs="Tahoma"/>
                <w:sz w:val="15"/>
                <w:szCs w:val="15"/>
              </w:rPr>
            </w:pPr>
            <w:r w:rsidRPr="00EE14A1">
              <w:rPr>
                <w:rFonts w:cs="Tahoma"/>
                <w:sz w:val="15"/>
                <w:szCs w:val="15"/>
              </w:rPr>
              <w:t>Lisealtı Eğitimliler</w:t>
            </w:r>
          </w:p>
        </w:tc>
        <w:tc>
          <w:tcPr>
            <w:tcW w:w="534" w:type="pct"/>
            <w:tcBorders>
              <w:top w:val="nil"/>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58,7</w:t>
            </w:r>
          </w:p>
        </w:tc>
        <w:tc>
          <w:tcPr>
            <w:tcW w:w="656" w:type="pct"/>
            <w:tcBorders>
              <w:top w:val="nil"/>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59,0</w:t>
            </w:r>
          </w:p>
        </w:tc>
        <w:tc>
          <w:tcPr>
            <w:tcW w:w="470" w:type="pct"/>
            <w:tcBorders>
              <w:top w:val="nil"/>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55,7</w:t>
            </w:r>
          </w:p>
        </w:tc>
        <w:tc>
          <w:tcPr>
            <w:tcW w:w="430" w:type="pct"/>
            <w:tcBorders>
              <w:top w:val="nil"/>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47,8</w:t>
            </w:r>
          </w:p>
        </w:tc>
        <w:tc>
          <w:tcPr>
            <w:tcW w:w="656" w:type="pct"/>
            <w:tcBorders>
              <w:top w:val="nil"/>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43,3</w:t>
            </w:r>
          </w:p>
        </w:tc>
        <w:tc>
          <w:tcPr>
            <w:tcW w:w="546" w:type="pct"/>
            <w:tcBorders>
              <w:top w:val="nil"/>
              <w:left w:val="nil"/>
              <w:bottom w:val="nil"/>
            </w:tcBorders>
            <w:vAlign w:val="bottom"/>
          </w:tcPr>
          <w:p w:rsidR="00565FD5" w:rsidRPr="00EE14A1" w:rsidRDefault="00565FD5" w:rsidP="00AB62A3">
            <w:pPr>
              <w:jc w:val="right"/>
              <w:rPr>
                <w:rFonts w:cs="Tahoma"/>
                <w:sz w:val="15"/>
                <w:szCs w:val="15"/>
              </w:rPr>
            </w:pPr>
            <w:r w:rsidRPr="00EE14A1">
              <w:rPr>
                <w:rFonts w:cs="Tahoma"/>
                <w:sz w:val="15"/>
                <w:szCs w:val="15"/>
              </w:rPr>
              <w:t>9,3</w:t>
            </w:r>
          </w:p>
        </w:tc>
      </w:tr>
      <w:tr w:rsidR="00565FD5" w:rsidRPr="00EE14A1" w:rsidTr="00AB62A3">
        <w:trPr>
          <w:trHeight w:val="163"/>
          <w:jc w:val="center"/>
        </w:trPr>
        <w:tc>
          <w:tcPr>
            <w:tcW w:w="1707" w:type="pct"/>
            <w:tcBorders>
              <w:top w:val="nil"/>
              <w:bottom w:val="nil"/>
              <w:right w:val="nil"/>
            </w:tcBorders>
            <w:vAlign w:val="bottom"/>
          </w:tcPr>
          <w:p w:rsidR="00565FD5" w:rsidRPr="00EE14A1" w:rsidRDefault="00565FD5" w:rsidP="00AB62A3">
            <w:pPr>
              <w:rPr>
                <w:rFonts w:cs="Tahoma"/>
                <w:sz w:val="15"/>
                <w:szCs w:val="15"/>
              </w:rPr>
            </w:pPr>
            <w:r w:rsidRPr="00EE14A1">
              <w:rPr>
                <w:rFonts w:cs="Tahoma"/>
                <w:sz w:val="15"/>
                <w:szCs w:val="15"/>
              </w:rPr>
              <w:t xml:space="preserve">Lise </w:t>
            </w:r>
          </w:p>
        </w:tc>
        <w:tc>
          <w:tcPr>
            <w:tcW w:w="534" w:type="pct"/>
            <w:tcBorders>
              <w:top w:val="nil"/>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10,4</w:t>
            </w:r>
          </w:p>
        </w:tc>
        <w:tc>
          <w:tcPr>
            <w:tcW w:w="656" w:type="pct"/>
            <w:tcBorders>
              <w:top w:val="nil"/>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10,0</w:t>
            </w:r>
          </w:p>
        </w:tc>
        <w:tc>
          <w:tcPr>
            <w:tcW w:w="470" w:type="pct"/>
            <w:tcBorders>
              <w:top w:val="nil"/>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13,4</w:t>
            </w:r>
          </w:p>
        </w:tc>
        <w:tc>
          <w:tcPr>
            <w:tcW w:w="430" w:type="pct"/>
            <w:tcBorders>
              <w:top w:val="nil"/>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52,1</w:t>
            </w:r>
          </w:p>
        </w:tc>
        <w:tc>
          <w:tcPr>
            <w:tcW w:w="656" w:type="pct"/>
            <w:tcBorders>
              <w:top w:val="nil"/>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45,5</w:t>
            </w:r>
          </w:p>
        </w:tc>
        <w:tc>
          <w:tcPr>
            <w:tcW w:w="546" w:type="pct"/>
            <w:tcBorders>
              <w:top w:val="nil"/>
              <w:left w:val="nil"/>
              <w:bottom w:val="nil"/>
            </w:tcBorders>
            <w:vAlign w:val="bottom"/>
          </w:tcPr>
          <w:p w:rsidR="00565FD5" w:rsidRPr="00EE14A1" w:rsidRDefault="00565FD5" w:rsidP="00AB62A3">
            <w:pPr>
              <w:jc w:val="right"/>
              <w:rPr>
                <w:rFonts w:cs="Tahoma"/>
                <w:sz w:val="15"/>
                <w:szCs w:val="15"/>
              </w:rPr>
            </w:pPr>
            <w:r w:rsidRPr="00EE14A1">
              <w:rPr>
                <w:rFonts w:cs="Tahoma"/>
                <w:sz w:val="15"/>
                <w:szCs w:val="15"/>
              </w:rPr>
              <w:t>12,6</w:t>
            </w:r>
          </w:p>
        </w:tc>
      </w:tr>
      <w:tr w:rsidR="00565FD5" w:rsidRPr="00EE14A1" w:rsidTr="00AB62A3">
        <w:trPr>
          <w:trHeight w:val="163"/>
          <w:jc w:val="center"/>
        </w:trPr>
        <w:tc>
          <w:tcPr>
            <w:tcW w:w="1707" w:type="pct"/>
            <w:tcBorders>
              <w:top w:val="nil"/>
              <w:bottom w:val="nil"/>
              <w:right w:val="nil"/>
            </w:tcBorders>
            <w:vAlign w:val="bottom"/>
          </w:tcPr>
          <w:p w:rsidR="00565FD5" w:rsidRPr="00EE14A1" w:rsidRDefault="00565FD5" w:rsidP="00AB62A3">
            <w:pPr>
              <w:rPr>
                <w:rFonts w:cs="Tahoma"/>
                <w:sz w:val="15"/>
                <w:szCs w:val="15"/>
              </w:rPr>
            </w:pPr>
            <w:r w:rsidRPr="00EE14A1">
              <w:rPr>
                <w:rFonts w:cs="Tahoma"/>
                <w:sz w:val="15"/>
                <w:szCs w:val="15"/>
              </w:rPr>
              <w:t>Mesleki ve Teknik Lise</w:t>
            </w:r>
          </w:p>
        </w:tc>
        <w:tc>
          <w:tcPr>
            <w:tcW w:w="534" w:type="pct"/>
            <w:tcBorders>
              <w:top w:val="nil"/>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9,7</w:t>
            </w:r>
          </w:p>
        </w:tc>
        <w:tc>
          <w:tcPr>
            <w:tcW w:w="656" w:type="pct"/>
            <w:tcBorders>
              <w:top w:val="nil"/>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10,0</w:t>
            </w:r>
          </w:p>
        </w:tc>
        <w:tc>
          <w:tcPr>
            <w:tcW w:w="470" w:type="pct"/>
            <w:tcBorders>
              <w:top w:val="nil"/>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10,9</w:t>
            </w:r>
          </w:p>
        </w:tc>
        <w:tc>
          <w:tcPr>
            <w:tcW w:w="430" w:type="pct"/>
            <w:tcBorders>
              <w:top w:val="nil"/>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65,5</w:t>
            </w:r>
          </w:p>
        </w:tc>
        <w:tc>
          <w:tcPr>
            <w:tcW w:w="656" w:type="pct"/>
            <w:tcBorders>
              <w:top w:val="nil"/>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58,3</w:t>
            </w:r>
          </w:p>
        </w:tc>
        <w:tc>
          <w:tcPr>
            <w:tcW w:w="546" w:type="pct"/>
            <w:tcBorders>
              <w:top w:val="nil"/>
              <w:left w:val="nil"/>
              <w:bottom w:val="nil"/>
            </w:tcBorders>
            <w:vAlign w:val="bottom"/>
          </w:tcPr>
          <w:p w:rsidR="00565FD5" w:rsidRPr="00EE14A1" w:rsidRDefault="00565FD5" w:rsidP="00AB62A3">
            <w:pPr>
              <w:jc w:val="right"/>
              <w:rPr>
                <w:rFonts w:cs="Tahoma"/>
                <w:sz w:val="15"/>
                <w:szCs w:val="15"/>
              </w:rPr>
            </w:pPr>
            <w:r w:rsidRPr="00EE14A1">
              <w:rPr>
                <w:rFonts w:cs="Tahoma"/>
                <w:sz w:val="15"/>
                <w:szCs w:val="15"/>
              </w:rPr>
              <w:t>11,0</w:t>
            </w:r>
          </w:p>
        </w:tc>
      </w:tr>
      <w:tr w:rsidR="00565FD5" w:rsidRPr="00EE14A1" w:rsidTr="00AB62A3">
        <w:trPr>
          <w:trHeight w:val="163"/>
          <w:jc w:val="center"/>
        </w:trPr>
        <w:tc>
          <w:tcPr>
            <w:tcW w:w="1707" w:type="pct"/>
            <w:tcBorders>
              <w:top w:val="nil"/>
              <w:bottom w:val="nil"/>
              <w:right w:val="nil"/>
            </w:tcBorders>
            <w:vAlign w:val="bottom"/>
          </w:tcPr>
          <w:p w:rsidR="00565FD5" w:rsidRPr="00EE14A1" w:rsidRDefault="00565FD5" w:rsidP="00AB62A3">
            <w:pPr>
              <w:rPr>
                <w:rFonts w:cs="Tahoma"/>
                <w:sz w:val="15"/>
                <w:szCs w:val="15"/>
              </w:rPr>
            </w:pPr>
            <w:r w:rsidRPr="00EE14A1">
              <w:rPr>
                <w:rFonts w:cs="Tahoma"/>
                <w:sz w:val="15"/>
                <w:szCs w:val="15"/>
              </w:rPr>
              <w:t>Yükseköğretim</w:t>
            </w:r>
          </w:p>
        </w:tc>
        <w:tc>
          <w:tcPr>
            <w:tcW w:w="534" w:type="pct"/>
            <w:tcBorders>
              <w:top w:val="nil"/>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16,7</w:t>
            </w:r>
          </w:p>
        </w:tc>
        <w:tc>
          <w:tcPr>
            <w:tcW w:w="656" w:type="pct"/>
            <w:tcBorders>
              <w:top w:val="nil"/>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16,2</w:t>
            </w:r>
          </w:p>
        </w:tc>
        <w:tc>
          <w:tcPr>
            <w:tcW w:w="470" w:type="pct"/>
            <w:tcBorders>
              <w:top w:val="nil"/>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17,9</w:t>
            </w:r>
          </w:p>
        </w:tc>
        <w:tc>
          <w:tcPr>
            <w:tcW w:w="430" w:type="pct"/>
            <w:tcBorders>
              <w:top w:val="nil"/>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79,3</w:t>
            </w:r>
          </w:p>
        </w:tc>
        <w:tc>
          <w:tcPr>
            <w:tcW w:w="656" w:type="pct"/>
            <w:tcBorders>
              <w:top w:val="nil"/>
              <w:left w:val="nil"/>
              <w:bottom w:val="nil"/>
              <w:right w:val="nil"/>
            </w:tcBorders>
            <w:vAlign w:val="bottom"/>
          </w:tcPr>
          <w:p w:rsidR="00565FD5" w:rsidRPr="00EE14A1" w:rsidRDefault="00565FD5" w:rsidP="00AB62A3">
            <w:pPr>
              <w:jc w:val="right"/>
              <w:rPr>
                <w:rFonts w:cs="Tahoma"/>
                <w:sz w:val="15"/>
                <w:szCs w:val="15"/>
              </w:rPr>
            </w:pPr>
            <w:r w:rsidRPr="00EE14A1">
              <w:rPr>
                <w:rFonts w:cs="Tahoma"/>
                <w:sz w:val="15"/>
                <w:szCs w:val="15"/>
              </w:rPr>
              <w:t>71,0</w:t>
            </w:r>
          </w:p>
        </w:tc>
        <w:tc>
          <w:tcPr>
            <w:tcW w:w="546" w:type="pct"/>
            <w:tcBorders>
              <w:top w:val="nil"/>
              <w:left w:val="nil"/>
              <w:bottom w:val="nil"/>
            </w:tcBorders>
            <w:vAlign w:val="bottom"/>
          </w:tcPr>
          <w:p w:rsidR="00565FD5" w:rsidRPr="00EE14A1" w:rsidRDefault="00565FD5" w:rsidP="00AB62A3">
            <w:pPr>
              <w:jc w:val="right"/>
              <w:rPr>
                <w:rFonts w:cs="Tahoma"/>
                <w:sz w:val="15"/>
                <w:szCs w:val="15"/>
              </w:rPr>
            </w:pPr>
            <w:r w:rsidRPr="00EE14A1">
              <w:rPr>
                <w:rFonts w:cs="Tahoma"/>
                <w:sz w:val="15"/>
                <w:szCs w:val="15"/>
              </w:rPr>
              <w:t>10,4</w:t>
            </w:r>
          </w:p>
        </w:tc>
      </w:tr>
      <w:tr w:rsidR="00565FD5" w:rsidRPr="00EE14A1" w:rsidTr="00AB62A3">
        <w:trPr>
          <w:trHeight w:val="47"/>
          <w:jc w:val="center"/>
        </w:trPr>
        <w:tc>
          <w:tcPr>
            <w:tcW w:w="1707" w:type="pct"/>
            <w:tcBorders>
              <w:top w:val="nil"/>
              <w:bottom w:val="single" w:sz="4" w:space="0" w:color="auto"/>
              <w:right w:val="nil"/>
            </w:tcBorders>
            <w:vAlign w:val="bottom"/>
          </w:tcPr>
          <w:p w:rsidR="00565FD5" w:rsidRPr="00EE14A1" w:rsidRDefault="00565FD5" w:rsidP="00AB62A3">
            <w:pPr>
              <w:rPr>
                <w:rFonts w:cs="Tahoma"/>
                <w:b/>
                <w:sz w:val="15"/>
                <w:szCs w:val="15"/>
              </w:rPr>
            </w:pPr>
            <w:r w:rsidRPr="00EE14A1">
              <w:rPr>
                <w:rFonts w:cs="Tahoma"/>
                <w:b/>
                <w:sz w:val="15"/>
                <w:szCs w:val="15"/>
              </w:rPr>
              <w:t>Toplam</w:t>
            </w:r>
          </w:p>
        </w:tc>
        <w:tc>
          <w:tcPr>
            <w:tcW w:w="534" w:type="pct"/>
            <w:tcBorders>
              <w:top w:val="nil"/>
              <w:left w:val="nil"/>
              <w:bottom w:val="single" w:sz="4" w:space="0" w:color="auto"/>
              <w:right w:val="nil"/>
            </w:tcBorders>
            <w:vAlign w:val="bottom"/>
          </w:tcPr>
          <w:p w:rsidR="00565FD5" w:rsidRPr="00EE14A1" w:rsidRDefault="00565FD5" w:rsidP="00AB62A3">
            <w:pPr>
              <w:jc w:val="right"/>
              <w:rPr>
                <w:rFonts w:cs="Tahoma"/>
                <w:b/>
                <w:sz w:val="15"/>
                <w:szCs w:val="15"/>
              </w:rPr>
            </w:pPr>
            <w:r w:rsidRPr="00EE14A1">
              <w:rPr>
                <w:rFonts w:cs="Tahoma"/>
                <w:b/>
                <w:sz w:val="15"/>
                <w:szCs w:val="15"/>
              </w:rPr>
              <w:t>100,0</w:t>
            </w:r>
          </w:p>
        </w:tc>
        <w:tc>
          <w:tcPr>
            <w:tcW w:w="656" w:type="pct"/>
            <w:tcBorders>
              <w:top w:val="nil"/>
              <w:left w:val="nil"/>
              <w:bottom w:val="single" w:sz="4" w:space="0" w:color="auto"/>
              <w:right w:val="nil"/>
            </w:tcBorders>
            <w:vAlign w:val="bottom"/>
          </w:tcPr>
          <w:p w:rsidR="00565FD5" w:rsidRPr="00EE14A1" w:rsidRDefault="00565FD5" w:rsidP="00AB62A3">
            <w:pPr>
              <w:jc w:val="right"/>
              <w:rPr>
                <w:rFonts w:cs="Tahoma"/>
                <w:b/>
                <w:sz w:val="15"/>
                <w:szCs w:val="15"/>
              </w:rPr>
            </w:pPr>
            <w:r w:rsidRPr="00EE14A1">
              <w:rPr>
                <w:rFonts w:cs="Tahoma"/>
                <w:b/>
                <w:sz w:val="15"/>
                <w:szCs w:val="15"/>
              </w:rPr>
              <w:t>100,0</w:t>
            </w:r>
          </w:p>
        </w:tc>
        <w:tc>
          <w:tcPr>
            <w:tcW w:w="470" w:type="pct"/>
            <w:tcBorders>
              <w:top w:val="nil"/>
              <w:left w:val="nil"/>
              <w:bottom w:val="single" w:sz="4" w:space="0" w:color="auto"/>
              <w:right w:val="nil"/>
            </w:tcBorders>
            <w:vAlign w:val="bottom"/>
          </w:tcPr>
          <w:p w:rsidR="00565FD5" w:rsidRPr="00EE14A1" w:rsidRDefault="00565FD5" w:rsidP="00AB62A3">
            <w:pPr>
              <w:jc w:val="right"/>
              <w:rPr>
                <w:rFonts w:cs="Tahoma"/>
                <w:b/>
                <w:sz w:val="15"/>
                <w:szCs w:val="15"/>
              </w:rPr>
            </w:pPr>
            <w:r w:rsidRPr="00EE14A1">
              <w:rPr>
                <w:rFonts w:cs="Tahoma"/>
                <w:b/>
                <w:sz w:val="15"/>
                <w:szCs w:val="15"/>
              </w:rPr>
              <w:t>100,0</w:t>
            </w:r>
          </w:p>
        </w:tc>
        <w:tc>
          <w:tcPr>
            <w:tcW w:w="430" w:type="pct"/>
            <w:tcBorders>
              <w:top w:val="nil"/>
              <w:left w:val="nil"/>
              <w:bottom w:val="single" w:sz="4" w:space="0" w:color="auto"/>
              <w:right w:val="nil"/>
            </w:tcBorders>
          </w:tcPr>
          <w:p w:rsidR="00565FD5" w:rsidRPr="00EE14A1" w:rsidRDefault="00565FD5" w:rsidP="00AB62A3">
            <w:pPr>
              <w:jc w:val="right"/>
              <w:rPr>
                <w:rFonts w:eastAsia="Arial Unicode MS" w:cs="Tahoma"/>
                <w:b/>
                <w:sz w:val="15"/>
                <w:szCs w:val="15"/>
              </w:rPr>
            </w:pPr>
            <w:r w:rsidRPr="00EE14A1">
              <w:rPr>
                <w:rFonts w:cs="Tahoma"/>
                <w:b/>
                <w:sz w:val="15"/>
                <w:szCs w:val="15"/>
              </w:rPr>
              <w:t>49,9</w:t>
            </w:r>
          </w:p>
        </w:tc>
        <w:tc>
          <w:tcPr>
            <w:tcW w:w="656" w:type="pct"/>
            <w:tcBorders>
              <w:top w:val="nil"/>
              <w:left w:val="nil"/>
              <w:bottom w:val="single" w:sz="4" w:space="0" w:color="auto"/>
              <w:right w:val="nil"/>
            </w:tcBorders>
            <w:vAlign w:val="bottom"/>
          </w:tcPr>
          <w:p w:rsidR="00565FD5" w:rsidRPr="00EE14A1" w:rsidRDefault="00565FD5" w:rsidP="00AB62A3">
            <w:pPr>
              <w:jc w:val="right"/>
              <w:rPr>
                <w:rFonts w:cs="Tahoma"/>
                <w:b/>
                <w:sz w:val="15"/>
                <w:szCs w:val="15"/>
              </w:rPr>
            </w:pPr>
            <w:r w:rsidRPr="00EE14A1">
              <w:rPr>
                <w:rFonts w:cs="Tahoma"/>
                <w:b/>
                <w:sz w:val="15"/>
                <w:szCs w:val="15"/>
              </w:rPr>
              <w:t>45,0</w:t>
            </w:r>
          </w:p>
        </w:tc>
        <w:tc>
          <w:tcPr>
            <w:tcW w:w="546" w:type="pct"/>
            <w:tcBorders>
              <w:top w:val="nil"/>
              <w:left w:val="nil"/>
              <w:bottom w:val="single" w:sz="4" w:space="0" w:color="auto"/>
            </w:tcBorders>
            <w:vAlign w:val="bottom"/>
          </w:tcPr>
          <w:p w:rsidR="00565FD5" w:rsidRPr="00EE14A1" w:rsidRDefault="00565FD5" w:rsidP="00AB62A3">
            <w:pPr>
              <w:jc w:val="right"/>
              <w:rPr>
                <w:rFonts w:cs="Tahoma"/>
                <w:b/>
                <w:sz w:val="15"/>
                <w:szCs w:val="15"/>
              </w:rPr>
            </w:pPr>
            <w:r w:rsidRPr="00EE14A1">
              <w:rPr>
                <w:rFonts w:cs="Tahoma"/>
                <w:b/>
                <w:bCs/>
                <w:sz w:val="15"/>
                <w:szCs w:val="15"/>
              </w:rPr>
              <w:t>9,8</w:t>
            </w:r>
          </w:p>
        </w:tc>
      </w:tr>
    </w:tbl>
    <w:p w:rsidR="00565FD5" w:rsidRPr="004B3DE4" w:rsidRDefault="00565FD5" w:rsidP="00565FD5">
      <w:pPr>
        <w:spacing w:after="240"/>
        <w:rPr>
          <w:rFonts w:eastAsia="Batang" w:cs="Tahoma"/>
          <w:sz w:val="14"/>
        </w:rPr>
      </w:pPr>
      <w:r w:rsidRPr="004B3DE4">
        <w:rPr>
          <w:rFonts w:eastAsia="Batang" w:cs="Tahoma"/>
          <w:sz w:val="14"/>
          <w:lang w:eastAsia="ko-KR"/>
        </w:rPr>
        <w:t>Kaynak: TÜİK</w:t>
      </w:r>
    </w:p>
    <w:p w:rsidR="00565FD5" w:rsidRPr="004B3DE4" w:rsidRDefault="00565FD5" w:rsidP="00565FD5">
      <w:pPr>
        <w:spacing w:after="120"/>
        <w:ind w:firstLine="425"/>
        <w:rPr>
          <w:rFonts w:cs="Tahoma"/>
          <w:szCs w:val="18"/>
        </w:rPr>
      </w:pPr>
      <w:r w:rsidRPr="004B3DE4">
        <w:rPr>
          <w:rFonts w:cs="Tahoma"/>
          <w:szCs w:val="18"/>
        </w:rPr>
        <w:t>Eğitim seviyeleri itibarıyla bakıldığında, eğitim seviyesi yükseldikçe işgücüne ve istihdama katılma eğilimi artmakta</w:t>
      </w:r>
      <w:r>
        <w:rPr>
          <w:rFonts w:cs="Tahoma"/>
          <w:szCs w:val="18"/>
        </w:rPr>
        <w:t xml:space="preserve">dır. İşgücüne katılma oranının artması da işsizlik oranlarına </w:t>
      </w:r>
      <w:r w:rsidRPr="004B3DE4">
        <w:rPr>
          <w:rFonts w:cs="Tahoma"/>
          <w:szCs w:val="18"/>
        </w:rPr>
        <w:t xml:space="preserve">olumsuz etki yapabilmektedir. </w:t>
      </w:r>
    </w:p>
    <w:p w:rsidR="00565FD5" w:rsidRPr="004B3DE4" w:rsidRDefault="00565FD5" w:rsidP="00565FD5">
      <w:pPr>
        <w:spacing w:after="120"/>
        <w:ind w:firstLine="425"/>
        <w:rPr>
          <w:rFonts w:cs="Tahoma"/>
          <w:szCs w:val="18"/>
        </w:rPr>
      </w:pPr>
      <w:r w:rsidRPr="004B3DE4">
        <w:rPr>
          <w:rFonts w:cs="Tahoma"/>
          <w:szCs w:val="18"/>
        </w:rPr>
        <w:t>Eğitimle birlikte özellikle yabancı dil, iletişim, problem çözme, ekip çalışmasına yatkınlık, eleştirel ve analitik düşünme, bilgi ve iletişim teknolojilerini kullanabilme gibi temel beceriler istihdam şansını önemli ölçüde artırmaktadır.</w:t>
      </w:r>
    </w:p>
    <w:p w:rsidR="00565FD5" w:rsidRPr="004B3DE4" w:rsidRDefault="00565FD5" w:rsidP="00565FD5">
      <w:pPr>
        <w:spacing w:after="120"/>
        <w:ind w:firstLine="425"/>
        <w:rPr>
          <w:rFonts w:cs="Tahoma"/>
          <w:szCs w:val="18"/>
        </w:rPr>
      </w:pPr>
      <w:r w:rsidRPr="004B3DE4">
        <w:rPr>
          <w:rFonts w:cs="Tahoma"/>
          <w:szCs w:val="18"/>
        </w:rPr>
        <w:t>Türkiye, 2013 yılında OECD tarafından yürütülen ve ikincisi yapılacak olan 15-65 yaş grubu yetişkinlerin eğitim durumları, eğitimlerinden edinmiş oldukları birikimi, bu birikimin iş hayatına geçişte ne şekilde kullanıldığı ve eğitim sisteminin sosyo-ekonomik hayatın gereklerine ne şekilde yanıt verdiği hususlarında istatistikî bilgi toplanması ve karşılaştırmalı değerlendirmelerde bulunulmasını amaçlayan PIAAC Programı’na (Uluslararası Yetişkin Becerilerinin Değerlendirilmesi Programı) katılacaktır.</w:t>
      </w:r>
    </w:p>
    <w:p w:rsidR="00565FD5" w:rsidRPr="004B3DE4" w:rsidRDefault="00565FD5" w:rsidP="00565FD5">
      <w:pPr>
        <w:spacing w:after="120"/>
        <w:ind w:firstLine="425"/>
        <w:rPr>
          <w:rFonts w:cs="Tahoma"/>
          <w:szCs w:val="18"/>
        </w:rPr>
      </w:pPr>
      <w:r w:rsidRPr="004B3DE4">
        <w:rPr>
          <w:rFonts w:cs="Tahoma"/>
          <w:szCs w:val="18"/>
        </w:rPr>
        <w:t xml:space="preserve">İşgücü piyasası ihtiyaç analizleri, kamu ve özel sektörün beceri talebinin karşılanmasında çok önemli bir işlev görmesine karşın bu alandaki çalışmalar istenilen düzeyde değildir. Bu kapsamda mevcut ve geleceğe ilişkin meslek alanları, istihdam eğilimleri, ulusal ve yerel düzeydeki işgücü piyasası gereksinimlerini belirleme ve mesleki ve teknik eğitim ile yükseköğretim mezunlarını izleme çalışmalarının sistematik ve bilişim temelli olarak yapılması </w:t>
      </w:r>
      <w:r w:rsidRPr="004B3DE4">
        <w:rPr>
          <w:rFonts w:cs="Tahoma"/>
          <w:szCs w:val="18"/>
        </w:rPr>
        <w:lastRenderedPageBreak/>
        <w:t xml:space="preserve">gerekmektedir. Bu alandaki çalışmalar mesleki ve teknik eğitimde ve yükseköğretimde açılacak programların kurum ve bölge düzeyinde belirlenmesinde bilimsel ve objektif bir yapının oluşturulmasına önemli bir katkı sağlayacaktır.  </w:t>
      </w:r>
    </w:p>
    <w:p w:rsidR="00565FD5" w:rsidRPr="004B3DE4" w:rsidRDefault="00565FD5" w:rsidP="00565FD5">
      <w:pPr>
        <w:spacing w:after="120"/>
        <w:ind w:firstLine="425"/>
        <w:rPr>
          <w:rFonts w:cs="Tahoma"/>
          <w:szCs w:val="18"/>
        </w:rPr>
      </w:pPr>
      <w:r w:rsidRPr="004B3DE4">
        <w:rPr>
          <w:rFonts w:cs="Tahoma"/>
          <w:szCs w:val="18"/>
        </w:rPr>
        <w:t>MEB bünyesinde yer alan ortaöğretim düzeyindeki mesleki ve teknik eğitim kurumlarının yeni teşkilat yasasıyla beraber Mesleki ve Teknik Eğitim Genel Müdürlüğü altında birleştirilmesi, bu kurumların etkinliğinin artırılması açısından önemli bir gelişmedir. Bu gelişmenin ardından farklı okul türleri yerine gerçek anlamda program türünü esas alan bir yapının oluşması yönünde beklentiler artmıştır. Bu yapının oluşturulmasında öğrencilerin sistemin dışına çıkmasını azaltacak şekilde farklı eğitim kademeleri arasındaki geçişlerin kolaylaştırıldığı ve başarısızlıkların telafi edilebildiği bir sistem ihtiyacı önemini korumaktadır. Söz konusu yaklaşım çerçevesinde mesleki ve teknik eğitimin bir bütünlük içinde ele alınması ve yürütülebilmesi amacıyla Mesleki Eğitim ve Öğretim Strateji Belgesi hazırlanması çalışmalarına devam edilmektedir.</w:t>
      </w:r>
    </w:p>
    <w:p w:rsidR="00565FD5" w:rsidRPr="004B3DE4" w:rsidRDefault="00565FD5" w:rsidP="00565FD5">
      <w:pPr>
        <w:spacing w:after="120"/>
        <w:ind w:firstLine="425"/>
        <w:rPr>
          <w:rFonts w:cs="Tahoma"/>
          <w:szCs w:val="18"/>
        </w:rPr>
      </w:pPr>
      <w:r w:rsidRPr="004B3DE4">
        <w:rPr>
          <w:rFonts w:cs="Tahoma"/>
          <w:szCs w:val="18"/>
        </w:rPr>
        <w:t xml:space="preserve">Mesleki ve teknik eğitimin işgücü piyasasının ihtiyaçları doğrultusunda verilmesi, eğitim-istihdam ilişkisinin güçlendirilmesi, hayat boyu öğrenme anlayışı içinde aktif işgücü piyasası politikalarının etkin olarak uygulanması, mesleksizlik sorununun giderilerek işgücünün istihdam edilebilirliğinin artırılması amacıyla ÇSGB koordinasyonunda ilgili tüm paydaşların katılımıyla hazırlanan İstihdam ve Mesleki Eğitim İlişkisinin Güçlendirilmesi Eylem Planı yürürlüğe konulmuştur. Bu çerçevede, etkin bir izleme değerlendirme kurulu oluşturulmuş, mevzuat düzenlemeleri yapılmış, mezunların izlenmesine yönelik veri tabanlarının entegrasyonu çalışmalarına başlanmıştır. </w:t>
      </w:r>
    </w:p>
    <w:p w:rsidR="00565FD5" w:rsidRPr="004B3DE4" w:rsidRDefault="00565FD5" w:rsidP="00565FD5">
      <w:pPr>
        <w:spacing w:after="120"/>
        <w:ind w:firstLine="425"/>
        <w:rPr>
          <w:rFonts w:cs="Tahoma"/>
          <w:szCs w:val="18"/>
        </w:rPr>
      </w:pPr>
      <w:r w:rsidRPr="004B3DE4">
        <w:rPr>
          <w:rFonts w:cs="Tahoma"/>
          <w:szCs w:val="18"/>
        </w:rPr>
        <w:t>Eğitimle istihdam arasında doğru ilişkinin kurulması, mesleki ve teknik eğitim programlarının işgücü piyasasının ihtiyaçlarına göre şekillendirilmesinin sağlanması ve bireylerin sahip oldukları bilgi, beceri ve yetkinliklerin uluslararası açıdan kıyaslanabilir düzeyde tanınması çerçevesinde Ulusal Yeterlilik Sisteminin oluşturulmasına ilişkin çalışmalar devam etmektedir. Bu sistemin önemli bir parçası olan Mesleki Yeterlilik Kurumu, işgücü piyasasının ihtiyaçlarını göz önüne alarak meslek standartlarını geliştirme ve öğrencileri değerlendirerek sertifikalandırma çalışmalarına başlamıştır. Yayınlanan ulusal meslek standartlarının sayısındaki hızlı artışa paralel olarak sınav, akreditasyon ve belgelendirme faaliyetlerine de hız verilmesi gerekmektedir.</w:t>
      </w:r>
    </w:p>
    <w:p w:rsidR="00565FD5" w:rsidRPr="004B3DE4" w:rsidRDefault="00565FD5" w:rsidP="00565FD5">
      <w:pPr>
        <w:spacing w:after="120"/>
        <w:ind w:firstLine="425"/>
        <w:rPr>
          <w:rFonts w:cs="Tahoma"/>
          <w:szCs w:val="18"/>
        </w:rPr>
      </w:pPr>
      <w:r w:rsidRPr="004B3DE4">
        <w:rPr>
          <w:rFonts w:cs="Tahoma"/>
          <w:szCs w:val="18"/>
        </w:rPr>
        <w:lastRenderedPageBreak/>
        <w:t>Eğitim sisteminin genelinde olduğu kadar mesleki ve teknik eğitimde de öğrenci ve öğretmen niteliğinden makine ve teçhizat eksikliğine kadar uzanan birçok sorun mevcuttur. Bu çerçevede, özellikle mesleki ve teknik eğitim kurumları ile özel sektör arasında stajların, Ar-Ge faaliyetlerinin, eğiticilerin, donanımların ve ortak projelerin kapsandığı işbirliği sayısının ve niteliğinin geliştirilmesi önem arz etmektedir. Bu kapsamda, 5580 sayılı Özel Öğretim Kanununda yapılan değişiklik neticesinde organize sanayi bölgelerinde açılan mesleki ve teknik eğitim okullarında öğrenim gören her bir öğrenci için, resmî okullarda öğrenim gören bir öğrencinin okul türüne göre devlete maliyetinin bir buçuk katını geçmemek üzere eğitim yardımı yapılabilmesi imkânının sağlanması, kamu ve özel sektör arasındaki işbirliğinin geliştirilmesi açısından önemli bir adım olmuştur.</w:t>
      </w:r>
    </w:p>
    <w:p w:rsidR="00565FD5" w:rsidRPr="004B3DE4" w:rsidRDefault="00565FD5" w:rsidP="00565FD5">
      <w:pPr>
        <w:pStyle w:val="Balk4"/>
      </w:pPr>
      <w:bookmarkStart w:id="2296" w:name="_Toc307602048"/>
      <w:bookmarkStart w:id="2297" w:name="_Toc307670485"/>
      <w:bookmarkStart w:id="2298" w:name="_Toc307701711"/>
      <w:bookmarkStart w:id="2299" w:name="_Toc338505614"/>
      <w:bookmarkStart w:id="2300" w:name="_Toc338523845"/>
      <w:bookmarkStart w:id="2301" w:name="_Toc338524076"/>
      <w:bookmarkStart w:id="2302" w:name="_Toc338526302"/>
      <w:bookmarkStart w:id="2303" w:name="_Toc338673745"/>
      <w:bookmarkStart w:id="2304" w:name="_Toc338711624"/>
      <w:r w:rsidRPr="004B3DE4">
        <w:t>2.</w:t>
      </w:r>
      <w:r w:rsidRPr="004B3DE4">
        <w:rPr>
          <w:spacing w:val="6"/>
        </w:rPr>
        <w:t xml:space="preserve"> </w:t>
      </w:r>
      <w:r w:rsidRPr="004B3DE4">
        <w:t>Temel A</w:t>
      </w:r>
      <w:r w:rsidRPr="004B3DE4">
        <w:rPr>
          <w:spacing w:val="-1"/>
        </w:rPr>
        <w:t>m</w:t>
      </w:r>
      <w:r w:rsidRPr="004B3DE4">
        <w:t>aç ve Hedefler</w:t>
      </w:r>
      <w:bookmarkEnd w:id="2296"/>
      <w:bookmarkEnd w:id="2297"/>
      <w:bookmarkEnd w:id="2298"/>
      <w:bookmarkEnd w:id="2299"/>
      <w:bookmarkEnd w:id="2300"/>
      <w:bookmarkEnd w:id="2301"/>
      <w:bookmarkEnd w:id="2302"/>
      <w:bookmarkEnd w:id="2303"/>
      <w:bookmarkEnd w:id="2304"/>
    </w:p>
    <w:p w:rsidR="00565FD5" w:rsidRPr="004B3DE4" w:rsidRDefault="00565FD5" w:rsidP="00565FD5">
      <w:pPr>
        <w:spacing w:after="120"/>
        <w:ind w:firstLine="425"/>
        <w:rPr>
          <w:rFonts w:cs="Tahoma"/>
          <w:szCs w:val="18"/>
        </w:rPr>
      </w:pPr>
      <w:r w:rsidRPr="004B3DE4">
        <w:rPr>
          <w:rFonts w:cs="Tahoma"/>
          <w:szCs w:val="18"/>
        </w:rPr>
        <w:t>Eğitimin işgücü talebine duyarlılığının artırılması ve işgücü piyasasında talep edilen nitelik ve nicelikte insan gücünün yetiştirilmesi temel amaçtır.</w:t>
      </w:r>
    </w:p>
    <w:p w:rsidR="00565FD5" w:rsidRPr="004B3DE4" w:rsidRDefault="00565FD5" w:rsidP="00565FD5">
      <w:pPr>
        <w:pStyle w:val="Balk4"/>
      </w:pPr>
      <w:bookmarkStart w:id="2305" w:name="_Toc307602049"/>
      <w:bookmarkStart w:id="2306" w:name="_Toc307670486"/>
      <w:bookmarkStart w:id="2307" w:name="_Toc307701712"/>
      <w:bookmarkStart w:id="2308" w:name="_Toc338505615"/>
      <w:bookmarkStart w:id="2309" w:name="_Toc338523846"/>
      <w:bookmarkStart w:id="2310" w:name="_Toc338524077"/>
      <w:bookmarkStart w:id="2311" w:name="_Toc338526303"/>
      <w:bookmarkStart w:id="2312" w:name="_Toc338673746"/>
      <w:bookmarkStart w:id="2313" w:name="_Toc338711625"/>
      <w:r w:rsidRPr="004B3DE4">
        <w:t>3. Politika Öncelikleri ve Tedbirler</w:t>
      </w:r>
      <w:bookmarkEnd w:id="2305"/>
      <w:bookmarkEnd w:id="2306"/>
      <w:bookmarkEnd w:id="2307"/>
      <w:bookmarkEnd w:id="2308"/>
      <w:bookmarkEnd w:id="2309"/>
      <w:bookmarkEnd w:id="2310"/>
      <w:bookmarkEnd w:id="2311"/>
      <w:bookmarkEnd w:id="2312"/>
      <w:bookmarkEnd w:id="2313"/>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154"/>
        <w:gridCol w:w="1901"/>
        <w:gridCol w:w="702"/>
        <w:gridCol w:w="2387"/>
      </w:tblGrid>
      <w:tr w:rsidR="00565FD5" w:rsidRPr="004B3DE4" w:rsidTr="00AB62A3">
        <w:trPr>
          <w:trHeight w:val="20"/>
          <w:jc w:val="center"/>
        </w:trPr>
        <w:tc>
          <w:tcPr>
            <w:tcW w:w="2142" w:type="dxa"/>
            <w:shd w:val="clear" w:color="auto" w:fill="FFFFFF"/>
            <w:vAlign w:val="bottom"/>
          </w:tcPr>
          <w:p w:rsidR="00565FD5" w:rsidRPr="004B3DE4" w:rsidRDefault="00565FD5" w:rsidP="00AB62A3">
            <w:pPr>
              <w:spacing w:before="60" w:after="60"/>
              <w:rPr>
                <w:rFonts w:cs="Tahoma"/>
                <w:b/>
                <w:bCs/>
                <w:color w:val="000000"/>
                <w:sz w:val="16"/>
                <w:szCs w:val="16"/>
                <w:lang w:eastAsia="tr-TR"/>
              </w:rPr>
            </w:pPr>
            <w:r w:rsidRPr="004B3DE4">
              <w:rPr>
                <w:rFonts w:cs="Tahoma"/>
                <w:b/>
                <w:bCs/>
                <w:color w:val="000000"/>
                <w:sz w:val="16"/>
                <w:szCs w:val="16"/>
                <w:lang w:eastAsia="tr-TR"/>
              </w:rPr>
              <w:t>Öncelik / Tedbir</w:t>
            </w:r>
          </w:p>
        </w:tc>
        <w:tc>
          <w:tcPr>
            <w:tcW w:w="1890" w:type="dxa"/>
            <w:shd w:val="clear" w:color="auto" w:fill="FFFFFF"/>
            <w:vAlign w:val="bottom"/>
          </w:tcPr>
          <w:p w:rsidR="00565FD5" w:rsidRPr="004B3DE4" w:rsidRDefault="00565FD5" w:rsidP="00AB62A3">
            <w:pPr>
              <w:spacing w:before="60" w:after="60"/>
              <w:rPr>
                <w:rFonts w:cs="Tahoma"/>
                <w:b/>
                <w:bCs/>
                <w:color w:val="000000"/>
                <w:sz w:val="16"/>
                <w:szCs w:val="16"/>
                <w:lang w:eastAsia="tr-TR"/>
              </w:rPr>
            </w:pPr>
            <w:r w:rsidRPr="004B3DE4">
              <w:rPr>
                <w:rFonts w:cs="Tahoma"/>
                <w:b/>
                <w:bCs/>
                <w:color w:val="000000"/>
                <w:sz w:val="16"/>
                <w:szCs w:val="16"/>
                <w:lang w:eastAsia="tr-TR"/>
              </w:rPr>
              <w:t>Sorumlu / İşbirliği Yapılacak Kuruluşlar</w:t>
            </w:r>
          </w:p>
        </w:tc>
        <w:tc>
          <w:tcPr>
            <w:tcW w:w="698" w:type="dxa"/>
            <w:shd w:val="clear" w:color="auto" w:fill="FFFFFF"/>
            <w:vAlign w:val="bottom"/>
          </w:tcPr>
          <w:p w:rsidR="00565FD5" w:rsidRPr="004B3DE4" w:rsidRDefault="00565FD5" w:rsidP="00AB62A3">
            <w:pPr>
              <w:spacing w:before="60" w:after="60"/>
              <w:rPr>
                <w:rFonts w:cs="Tahoma"/>
                <w:b/>
                <w:bCs/>
                <w:color w:val="000000"/>
                <w:sz w:val="16"/>
                <w:szCs w:val="16"/>
                <w:lang w:eastAsia="tr-TR"/>
              </w:rPr>
            </w:pPr>
            <w:r w:rsidRPr="004B3DE4">
              <w:rPr>
                <w:rFonts w:cs="Tahoma"/>
                <w:b/>
                <w:bCs/>
                <w:color w:val="000000"/>
                <w:sz w:val="16"/>
                <w:szCs w:val="16"/>
                <w:lang w:eastAsia="tr-TR"/>
              </w:rPr>
              <w:t>Süre</w:t>
            </w:r>
          </w:p>
        </w:tc>
        <w:tc>
          <w:tcPr>
            <w:tcW w:w="2373" w:type="dxa"/>
            <w:shd w:val="clear" w:color="auto" w:fill="FFFFFF"/>
            <w:vAlign w:val="bottom"/>
          </w:tcPr>
          <w:p w:rsidR="00565FD5" w:rsidRPr="004B3DE4" w:rsidRDefault="00565FD5" w:rsidP="00AB62A3">
            <w:pPr>
              <w:spacing w:before="60" w:after="60"/>
              <w:rPr>
                <w:rFonts w:cs="Tahoma"/>
                <w:b/>
                <w:bCs/>
                <w:color w:val="000000"/>
                <w:sz w:val="16"/>
                <w:szCs w:val="16"/>
                <w:lang w:eastAsia="tr-TR"/>
              </w:rPr>
            </w:pPr>
            <w:r w:rsidRPr="004B3DE4">
              <w:rPr>
                <w:rFonts w:cs="Tahoma"/>
                <w:b/>
                <w:bCs/>
                <w:color w:val="000000"/>
                <w:sz w:val="16"/>
                <w:szCs w:val="16"/>
                <w:lang w:eastAsia="tr-TR"/>
              </w:rPr>
              <w:t>Yapılacak İşlem ve Açıklama</w:t>
            </w:r>
          </w:p>
        </w:tc>
      </w:tr>
      <w:tr w:rsidR="00565FD5" w:rsidRPr="004B3DE4" w:rsidTr="00AB62A3">
        <w:trPr>
          <w:trHeight w:val="20"/>
          <w:jc w:val="center"/>
        </w:trPr>
        <w:tc>
          <w:tcPr>
            <w:tcW w:w="7103" w:type="dxa"/>
            <w:gridSpan w:val="4"/>
            <w:shd w:val="clear" w:color="auto" w:fill="FFFFFF"/>
          </w:tcPr>
          <w:p w:rsidR="00565FD5" w:rsidRPr="004B3DE4" w:rsidRDefault="00565FD5" w:rsidP="00EB1E69">
            <w:pPr>
              <w:numPr>
                <w:ilvl w:val="0"/>
                <w:numId w:val="15"/>
              </w:numPr>
              <w:tabs>
                <w:tab w:val="left" w:pos="425"/>
              </w:tabs>
              <w:spacing w:before="60" w:after="60" w:line="240" w:lineRule="auto"/>
              <w:jc w:val="both"/>
              <w:rPr>
                <w:rFonts w:cs="Tahoma"/>
                <w:color w:val="000000"/>
                <w:sz w:val="16"/>
                <w:szCs w:val="16"/>
                <w:lang w:eastAsia="tr-TR"/>
              </w:rPr>
            </w:pPr>
            <w:r w:rsidRPr="004B3DE4">
              <w:rPr>
                <w:rFonts w:cs="Tahoma"/>
                <w:b/>
                <w:bCs/>
                <w:color w:val="000000"/>
                <w:sz w:val="16"/>
                <w:szCs w:val="16"/>
                <w:lang w:eastAsia="tr-TR"/>
              </w:rPr>
              <w:t xml:space="preserve">İş dünyasının talep ettiği nitelikteki işgücünün yetiştirilmesi amacıyla eğitim sistemi ile işgücü piyasası arasındaki uyum, hayat boyu öğrenme perspektifinde girişimcilik kültürünün benimsenmesi </w:t>
            </w:r>
            <w:r>
              <w:rPr>
                <w:rFonts w:cs="Tahoma"/>
                <w:b/>
                <w:bCs/>
                <w:color w:val="000000"/>
                <w:sz w:val="16"/>
                <w:szCs w:val="16"/>
                <w:lang w:eastAsia="tr-TR"/>
              </w:rPr>
              <w:t>ile</w:t>
            </w:r>
            <w:r w:rsidRPr="004B3DE4">
              <w:rPr>
                <w:rFonts w:cs="Tahoma"/>
                <w:b/>
                <w:bCs/>
                <w:color w:val="000000"/>
                <w:sz w:val="16"/>
                <w:szCs w:val="16"/>
                <w:lang w:eastAsia="tr-TR"/>
              </w:rPr>
              <w:t xml:space="preserve"> temel beceri ve yetkinliklerin kazandırılması yoluyla güçlendirilecektir.</w:t>
            </w:r>
          </w:p>
        </w:tc>
      </w:tr>
      <w:tr w:rsidR="00565FD5" w:rsidRPr="004B3DE4" w:rsidTr="00AB62A3">
        <w:trPr>
          <w:trHeight w:val="20"/>
          <w:jc w:val="center"/>
        </w:trPr>
        <w:tc>
          <w:tcPr>
            <w:tcW w:w="2142" w:type="dxa"/>
            <w:shd w:val="clear" w:color="auto" w:fill="FFFFFF"/>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t>Hayat Boyu Öğrenme perspektifinde kolay erişilebilir öğrenme ortamları oluşturulacaktır.</w:t>
            </w:r>
          </w:p>
        </w:tc>
        <w:tc>
          <w:tcPr>
            <w:tcW w:w="1890"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MEB (S), Maliye Bakanlığı, Kalkınma Bakanlığı, AB Bakanlığı, YÖK, KOSGEB, İŞKUR, MYK, STK’lar, İşçi İşveren Örgütleri ve Meslek Kuruluşları</w:t>
            </w:r>
          </w:p>
        </w:tc>
        <w:tc>
          <w:tcPr>
            <w:tcW w:w="698"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2373"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Bireylere eğitimde yatay ve dikey hareketlilik fırsatları sağlanacak ve zorunlu eğitim sonrasındaki öğrenme fırsatları çeşitlendirilecektir. </w:t>
            </w:r>
          </w:p>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Bilgi ve iletişim teknolojilerinden yararlanılarak uzaktan eğitim uygulamaları yaygınlaştırılacaktır. Hayat boyu öğrenme portalı kurulacak, bu çerçevede kamu ve özel kesim ile STK’lar tarafından gerçekleştirilen tüm eğitimlere ilişkin bilgiler bu portalda toplanacaktır.  </w:t>
            </w:r>
          </w:p>
        </w:tc>
      </w:tr>
      <w:tr w:rsidR="00565FD5" w:rsidRPr="004B3DE4" w:rsidTr="00AB62A3">
        <w:trPr>
          <w:trHeight w:val="20"/>
          <w:jc w:val="center"/>
        </w:trPr>
        <w:tc>
          <w:tcPr>
            <w:tcW w:w="2142" w:type="dxa"/>
            <w:shd w:val="clear" w:color="auto" w:fill="FFFFFF"/>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t xml:space="preserve">Bireylere girişimcilik kültürü ve temel beceriler kazandıracak programlar hazırlanacaktır. </w:t>
            </w:r>
          </w:p>
        </w:tc>
        <w:tc>
          <w:tcPr>
            <w:tcW w:w="1890"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MEB (S), Maliye Bakanlığı, Kalkınma Bakanlığı, YÖK, KOSGEB, İŞKUR, MYK, STK’lar, İşçi İşveren </w:t>
            </w:r>
            <w:r w:rsidRPr="004B3DE4">
              <w:rPr>
                <w:rFonts w:cs="Tahoma"/>
                <w:color w:val="000000"/>
                <w:sz w:val="16"/>
                <w:szCs w:val="16"/>
                <w:lang w:eastAsia="tr-TR"/>
              </w:rPr>
              <w:lastRenderedPageBreak/>
              <w:t>Örgütleri ve Meslek Kuruluşları</w:t>
            </w:r>
          </w:p>
        </w:tc>
        <w:tc>
          <w:tcPr>
            <w:tcW w:w="698"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lastRenderedPageBreak/>
              <w:t>Aralık Sonu</w:t>
            </w:r>
          </w:p>
        </w:tc>
        <w:tc>
          <w:tcPr>
            <w:tcW w:w="2373"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Başta mesleki ve teknik eğitim programlarında olmak üzere eğitimin tüm kademelerinde temel beceri ve yetkinlikler ile </w:t>
            </w:r>
            <w:r w:rsidRPr="004B3DE4">
              <w:rPr>
                <w:rFonts w:cs="Tahoma"/>
                <w:color w:val="000000"/>
                <w:sz w:val="16"/>
                <w:szCs w:val="16"/>
                <w:lang w:eastAsia="tr-TR"/>
              </w:rPr>
              <w:lastRenderedPageBreak/>
              <w:t xml:space="preserve">girişimcilik kültürüne yönelik konulara müfredatta yer verilecektir. </w:t>
            </w:r>
          </w:p>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Örgün eğitim dışına çıkmış olanlara yönelik olarak İŞKUR ve KOSGEB koordinasyonunda girişimcilik ve temel beceri eğitimleri verilecektir. TEKMER ve İŞGEM’lerden söz konusu faaliyetlerde etkin bir şekilde yararlanılacaktır. </w:t>
            </w:r>
          </w:p>
        </w:tc>
      </w:tr>
      <w:tr w:rsidR="00565FD5" w:rsidRPr="004B3DE4" w:rsidTr="00AB62A3">
        <w:trPr>
          <w:trHeight w:val="20"/>
          <w:jc w:val="center"/>
        </w:trPr>
        <w:tc>
          <w:tcPr>
            <w:tcW w:w="7103" w:type="dxa"/>
            <w:gridSpan w:val="4"/>
            <w:shd w:val="clear" w:color="auto" w:fill="FFFFFF"/>
            <w:vAlign w:val="bottom"/>
          </w:tcPr>
          <w:p w:rsidR="00565FD5" w:rsidRPr="004B3DE4" w:rsidRDefault="00565FD5" w:rsidP="00EB1E69">
            <w:pPr>
              <w:numPr>
                <w:ilvl w:val="0"/>
                <w:numId w:val="15"/>
              </w:numPr>
              <w:tabs>
                <w:tab w:val="left" w:pos="425"/>
              </w:tabs>
              <w:spacing w:before="60" w:after="60" w:line="240" w:lineRule="auto"/>
              <w:jc w:val="both"/>
              <w:rPr>
                <w:rFonts w:cs="Tahoma"/>
                <w:b/>
                <w:bCs/>
                <w:color w:val="000000"/>
                <w:sz w:val="16"/>
                <w:szCs w:val="16"/>
                <w:lang w:eastAsia="tr-TR"/>
              </w:rPr>
            </w:pPr>
            <w:r w:rsidRPr="004B3DE4">
              <w:rPr>
                <w:rFonts w:cs="Tahoma"/>
                <w:b/>
                <w:bCs/>
                <w:color w:val="000000"/>
                <w:sz w:val="16"/>
                <w:szCs w:val="16"/>
                <w:lang w:eastAsia="tr-TR"/>
              </w:rPr>
              <w:lastRenderedPageBreak/>
              <w:t xml:space="preserve">Ulusal Yeterlilik Çerçevesi oluşturularak eğitim ve öğretim programları ulusal meslek standartlarına göre güncellenecek ve uyumlaştırılacaktır. </w:t>
            </w:r>
          </w:p>
        </w:tc>
      </w:tr>
      <w:tr w:rsidR="00565FD5" w:rsidRPr="004B3DE4" w:rsidTr="00AB62A3">
        <w:trPr>
          <w:trHeight w:val="20"/>
          <w:jc w:val="center"/>
        </w:trPr>
        <w:tc>
          <w:tcPr>
            <w:tcW w:w="2142" w:type="dxa"/>
            <w:shd w:val="clear" w:color="auto" w:fill="FFFFFF"/>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t>Ulusal Yeterlilik Çerçevesi yükseköğretim ve yaygın eğitim sürecini de içine alacak şekilde genişletilecektir.</w:t>
            </w:r>
          </w:p>
        </w:tc>
        <w:tc>
          <w:tcPr>
            <w:tcW w:w="1890"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Mesleki Yeterlik Kurumu (S), AB Bakanlığı, BSTB, MEB, YÖK, İŞKUR, STK’lar, İşçi İşveren Örgütleri ve Meslek Kuruluşları</w:t>
            </w:r>
          </w:p>
        </w:tc>
        <w:tc>
          <w:tcPr>
            <w:tcW w:w="698"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2373"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AB tarafından benimsenen yeterlilik esaslarıyla uyumlu olacak şekilde tasarlanan ve ilk, orta ve yükseköğretim ile özel öğretim dâhil, tüm teknik ve meslekî eğitim/öğretim programları ile örgün, yaygın ve ilgili kurumların iznine dayalı programlarla kazandırılan yeterlilik esaslarını içeren Ulusal Yeterlilik Çerçevesi hazırlanacaktır.</w:t>
            </w:r>
          </w:p>
        </w:tc>
      </w:tr>
      <w:tr w:rsidR="00565FD5" w:rsidRPr="004B3DE4" w:rsidTr="00AB62A3">
        <w:trPr>
          <w:trHeight w:val="20"/>
          <w:jc w:val="center"/>
        </w:trPr>
        <w:tc>
          <w:tcPr>
            <w:tcW w:w="2142" w:type="dxa"/>
            <w:shd w:val="clear" w:color="auto" w:fill="FFFFFF"/>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t>İşgücü piyasasının ihtiyaç duyduğu meslek standartları ve yeterlilikler hazırlanacak ve hayata geçirilecektir.</w:t>
            </w:r>
          </w:p>
        </w:tc>
        <w:tc>
          <w:tcPr>
            <w:tcW w:w="1890"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Mesleki Yeterlik Kurumu (S), MEB, YÖK, TÜRKAK, STK’lar</w:t>
            </w:r>
          </w:p>
        </w:tc>
        <w:tc>
          <w:tcPr>
            <w:tcW w:w="698"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2373"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Destek vermeye gönüllü kurum/kuruluşlarla protokoller imzalanarak öncelikli sektörlerde Ulusal Meslek Standardı ve Yeterliliklerin hazırlanması sağlanacaktır. Belgelendirme kuruluşları yetkilendirilecektir. Eğitim ve öğretim kuruluşlarının akreditasyonuna başlanacaktır.</w:t>
            </w:r>
          </w:p>
        </w:tc>
      </w:tr>
      <w:tr w:rsidR="00565FD5" w:rsidRPr="004B3DE4" w:rsidTr="00AB62A3">
        <w:trPr>
          <w:trHeight w:val="20"/>
          <w:jc w:val="center"/>
        </w:trPr>
        <w:tc>
          <w:tcPr>
            <w:tcW w:w="7103" w:type="dxa"/>
            <w:gridSpan w:val="4"/>
            <w:shd w:val="clear" w:color="auto" w:fill="FFFFFF"/>
            <w:vAlign w:val="bottom"/>
          </w:tcPr>
          <w:p w:rsidR="00565FD5" w:rsidRPr="004B3DE4" w:rsidRDefault="00565FD5" w:rsidP="00EB1E69">
            <w:pPr>
              <w:numPr>
                <w:ilvl w:val="0"/>
                <w:numId w:val="15"/>
              </w:numPr>
              <w:tabs>
                <w:tab w:val="left" w:pos="425"/>
              </w:tabs>
              <w:spacing w:before="60" w:after="60" w:line="240" w:lineRule="auto"/>
              <w:jc w:val="both"/>
              <w:rPr>
                <w:rFonts w:cs="Tahoma"/>
                <w:b/>
                <w:bCs/>
                <w:color w:val="000000"/>
                <w:sz w:val="16"/>
                <w:szCs w:val="16"/>
                <w:lang w:eastAsia="tr-TR"/>
              </w:rPr>
            </w:pPr>
            <w:r w:rsidRPr="004B3DE4">
              <w:rPr>
                <w:rFonts w:cs="Tahoma"/>
                <w:b/>
                <w:bCs/>
                <w:color w:val="000000"/>
                <w:sz w:val="16"/>
                <w:szCs w:val="16"/>
                <w:lang w:eastAsia="tr-TR"/>
              </w:rPr>
              <w:t xml:space="preserve">Mesleki eğitimin payı ve kalitesi artırılacak, özel sektör ve meslek örgütlerinin mesleki eğitim sürecine idari ve mali yönden aktif katılımının sağlanması için düzenlemeler yapılacaktır. </w:t>
            </w:r>
          </w:p>
        </w:tc>
      </w:tr>
      <w:tr w:rsidR="00565FD5" w:rsidRPr="004B3DE4" w:rsidTr="00AB62A3">
        <w:trPr>
          <w:trHeight w:val="20"/>
          <w:jc w:val="center"/>
        </w:trPr>
        <w:tc>
          <w:tcPr>
            <w:tcW w:w="2142" w:type="dxa"/>
            <w:shd w:val="clear" w:color="auto" w:fill="FFFFFF"/>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t>Mesleki Eğitim ve Öğretim Stratejisi tamamlanacaktır.</w:t>
            </w:r>
          </w:p>
        </w:tc>
        <w:tc>
          <w:tcPr>
            <w:tcW w:w="1890"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MEB (S), ÇSGB, Kalkınma Bakanlığı, İŞKUR, İşçi ve İşveren Sendikaları Konfederasyonları, Meslek Kuruluşları</w:t>
            </w:r>
          </w:p>
        </w:tc>
        <w:tc>
          <w:tcPr>
            <w:tcW w:w="698"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2373"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Mesleki eğitim ve öğretimde işgücü talebine uyumun güçlendirilmesine, kalitenin artırılmasına, statünün geliştirilmesine, mali kaynakların çeşitlendirilmesine ve iş dünyasının yönetimde rol almasına odaklanan bir strateji ve eylem planı hazırlıkları sonuçlandırılacaktır. Mesleki, Bilgi, </w:t>
            </w:r>
            <w:r w:rsidRPr="004B3DE4">
              <w:rPr>
                <w:rFonts w:cs="Tahoma"/>
                <w:color w:val="000000"/>
                <w:sz w:val="16"/>
                <w:szCs w:val="16"/>
                <w:lang w:eastAsia="tr-TR"/>
              </w:rPr>
              <w:lastRenderedPageBreak/>
              <w:t>Rehberlik ve Danışmanlık Sisteminin oluşturulması kapsamında etkin bir hayat boyu mesleki yönlendirme mekanizması geliştirilecektir.</w:t>
            </w:r>
          </w:p>
        </w:tc>
      </w:tr>
      <w:tr w:rsidR="00565FD5" w:rsidRPr="004B3DE4" w:rsidTr="00AB62A3">
        <w:trPr>
          <w:trHeight w:val="20"/>
          <w:jc w:val="center"/>
        </w:trPr>
        <w:tc>
          <w:tcPr>
            <w:tcW w:w="2142" w:type="dxa"/>
            <w:shd w:val="clear" w:color="auto" w:fill="FFFFFF"/>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lastRenderedPageBreak/>
              <w:t>Ortaöğretim ve yükseköğretim kademelerindeki mesleki ve teknik eğitimde açılacak eğitim kurumları ve uygulanacak programlar işgücü piyasası ihtiyaç analizleri dikkate alınarak belirlenecektir.</w:t>
            </w:r>
          </w:p>
        </w:tc>
        <w:tc>
          <w:tcPr>
            <w:tcW w:w="1890"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MEB (S), ÇSGB, YÖK, İŞKUR, MYK, Üniversiteler, İşçi ve İşveren Sendikaları Konfederasyonları, Meslek Kuruluşları</w:t>
            </w:r>
          </w:p>
        </w:tc>
        <w:tc>
          <w:tcPr>
            <w:tcW w:w="698"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2373"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Mesleki ve teknik eğitim bölüm ve programları işgücü piyasası ihtiyaç analiz sonuçlarına uygun olarak açılacak ve il istihdam ve mesleki eğitim kurullarına raporlanacaktır. İl istihdam ve mesleki eğitim kurullarının ve işgücü piyasası ihtiyaç analizlerinin etkinliğinin artırılması yönünde alan araştırması yapılacaktır.</w:t>
            </w:r>
          </w:p>
        </w:tc>
      </w:tr>
      <w:tr w:rsidR="00565FD5" w:rsidRPr="004B3DE4" w:rsidTr="00AB62A3">
        <w:trPr>
          <w:trHeight w:val="20"/>
          <w:jc w:val="center"/>
        </w:trPr>
        <w:tc>
          <w:tcPr>
            <w:tcW w:w="2142" w:type="dxa"/>
            <w:shd w:val="clear" w:color="auto" w:fill="FFFFFF"/>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t>Meslek yüksekokullarının etkin bir yapı ve işleyişe kavuşturulmasına yönelik olarak yeniden yapılandırılmasını içeren bir rapor hazırlanacaktır.</w:t>
            </w:r>
          </w:p>
        </w:tc>
        <w:tc>
          <w:tcPr>
            <w:tcW w:w="1890"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YÖK (S), MEB, Kalkınma Bakanlığı, TOBB, Meslek Kuruluşları</w:t>
            </w:r>
          </w:p>
        </w:tc>
        <w:tc>
          <w:tcPr>
            <w:tcW w:w="698"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2373"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Ülke genelindeki tüm meslek yüksekokullarını kapsayan bir etkinlik analizi yapılacak ve gerekli görüldüğü yerlerde kurumların kapatılması, toplulaştırılması veya meslek liselerine dönüştürülmesi yönünde strateji ortaya koyan bir rapor hazırlanacak ve buna uygun yapılandırılacaktır.</w:t>
            </w:r>
          </w:p>
        </w:tc>
      </w:tr>
      <w:tr w:rsidR="00565FD5" w:rsidRPr="004B3DE4" w:rsidTr="00AB62A3">
        <w:trPr>
          <w:trHeight w:val="20"/>
          <w:jc w:val="center"/>
        </w:trPr>
        <w:tc>
          <w:tcPr>
            <w:tcW w:w="2142" w:type="dxa"/>
            <w:shd w:val="clear" w:color="auto" w:fill="FFFFFF"/>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t>Mesleki ve teknik eğitim ve yükseköğretim mezunlarının işgücü piyasasındaki durumunun sistematik ve güncellenebilir bir model çerçevesinde izlenmesi sağlanacaktır.</w:t>
            </w:r>
          </w:p>
        </w:tc>
        <w:tc>
          <w:tcPr>
            <w:tcW w:w="1890"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MEB (S), Kalkınma Bakanlığı, İŞKUR, YÖK Kalkınma Ajansları, TOBB, Meslek Kuruluşları</w:t>
            </w:r>
          </w:p>
        </w:tc>
        <w:tc>
          <w:tcPr>
            <w:tcW w:w="698"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2373" w:type="dxa"/>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Eğitim bölümleri ve programlarının kalitesinin değerlendirilmesi ve yeniden yapılandırılmasıyla öğrencilerin kariyer tercihlerine ışık tutulması, eğitimle kazandırılan yeterliliklerin iş hayatıyla uyumunun değerlendirilmesi, sistemin güçlü ve zayıf yanlarının belirlenmesi için, veri temin etmek ve kanıta dayalı politika oluşturmak amacıyla araştırmalar yapılacaktır. Kurumlar arasında veri paylaşımı ve entegrasyonu ile nitel ve n</w:t>
            </w:r>
            <w:r>
              <w:rPr>
                <w:rFonts w:cs="Tahoma"/>
                <w:color w:val="000000"/>
                <w:sz w:val="16"/>
                <w:szCs w:val="16"/>
                <w:lang w:eastAsia="tr-TR"/>
              </w:rPr>
              <w:t>icel çalışmalarla veri üretimi</w:t>
            </w:r>
            <w:r w:rsidRPr="004B3DE4">
              <w:rPr>
                <w:rFonts w:cs="Tahoma"/>
                <w:color w:val="000000"/>
                <w:sz w:val="16"/>
                <w:szCs w:val="16"/>
                <w:lang w:eastAsia="tr-TR"/>
              </w:rPr>
              <w:t xml:space="preserve"> </w:t>
            </w:r>
            <w:r>
              <w:rPr>
                <w:rFonts w:cs="Tahoma"/>
                <w:color w:val="000000"/>
                <w:sz w:val="16"/>
                <w:szCs w:val="16"/>
                <w:lang w:eastAsia="tr-TR"/>
              </w:rPr>
              <w:t>amaçlanmaktad</w:t>
            </w:r>
            <w:r w:rsidRPr="004B3DE4">
              <w:rPr>
                <w:rFonts w:cs="Tahoma"/>
                <w:color w:val="000000"/>
                <w:sz w:val="16"/>
                <w:szCs w:val="16"/>
                <w:lang w:eastAsia="tr-TR"/>
              </w:rPr>
              <w:t xml:space="preserve">ır. </w:t>
            </w:r>
          </w:p>
        </w:tc>
      </w:tr>
    </w:tbl>
    <w:p w:rsidR="00565FD5" w:rsidRDefault="00565FD5" w:rsidP="00565FD5">
      <w:pPr>
        <w:rPr>
          <w:rFonts w:cs="Tahoma"/>
        </w:rPr>
      </w:pPr>
    </w:p>
    <w:p w:rsidR="00565FD5" w:rsidRDefault="00565FD5" w:rsidP="00565FD5">
      <w:pPr>
        <w:rPr>
          <w:rFonts w:cs="Tahoma"/>
        </w:rPr>
      </w:pPr>
    </w:p>
    <w:p w:rsidR="00565FD5" w:rsidRPr="004B3DE4" w:rsidRDefault="00565FD5" w:rsidP="00565FD5">
      <w:pPr>
        <w:rPr>
          <w:rFonts w:cs="Tahoma"/>
        </w:rPr>
      </w:pPr>
    </w:p>
    <w:p w:rsidR="00565FD5" w:rsidRPr="004B3DE4" w:rsidRDefault="00565FD5" w:rsidP="00565FD5">
      <w:pPr>
        <w:pStyle w:val="Balk3"/>
      </w:pPr>
      <w:bookmarkStart w:id="2314" w:name="_Toc276076330"/>
      <w:bookmarkStart w:id="2315" w:name="_Toc244339651"/>
      <w:bookmarkStart w:id="2316" w:name="_Toc244315188"/>
      <w:bookmarkStart w:id="2317" w:name="_Toc244313711"/>
      <w:bookmarkStart w:id="2318" w:name="_Toc244254976"/>
      <w:bookmarkStart w:id="2319" w:name="_Toc244253726"/>
      <w:bookmarkStart w:id="2320" w:name="_Toc213065712"/>
      <w:bookmarkStart w:id="2321" w:name="_Toc181286076"/>
      <w:bookmarkStart w:id="2322" w:name="_Toc181284997"/>
      <w:bookmarkStart w:id="2323" w:name="_Toc307602050"/>
      <w:bookmarkStart w:id="2324" w:name="_Toc307670487"/>
      <w:bookmarkStart w:id="2325" w:name="_Toc307701713"/>
      <w:bookmarkStart w:id="2326" w:name="_Toc338494248"/>
      <w:bookmarkStart w:id="2327" w:name="_Toc338505616"/>
      <w:bookmarkStart w:id="2328" w:name="_Toc338523847"/>
      <w:bookmarkStart w:id="2329" w:name="_Toc338524078"/>
      <w:bookmarkStart w:id="2330" w:name="_Toc338526304"/>
      <w:bookmarkStart w:id="2331" w:name="_Toc338673747"/>
      <w:bookmarkStart w:id="2332" w:name="_Toc338711626"/>
      <w:r w:rsidRPr="004B3DE4">
        <w:lastRenderedPageBreak/>
        <w:t>C. AKTİF İŞGÜCÜ POLİTİKALARININ GELİŞTİRİLMESİ</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p>
    <w:p w:rsidR="00565FD5" w:rsidRPr="004B3DE4" w:rsidRDefault="00565FD5" w:rsidP="00565FD5">
      <w:pPr>
        <w:pStyle w:val="Balk4"/>
      </w:pPr>
      <w:bookmarkStart w:id="2333" w:name="_Toc276076331"/>
      <w:bookmarkStart w:id="2334" w:name="_Toc244339652"/>
      <w:bookmarkStart w:id="2335" w:name="_Toc244315189"/>
      <w:bookmarkStart w:id="2336" w:name="_Toc244313712"/>
      <w:bookmarkStart w:id="2337" w:name="_Toc244254977"/>
      <w:bookmarkStart w:id="2338" w:name="_Toc244253727"/>
      <w:bookmarkStart w:id="2339" w:name="_Toc213065713"/>
      <w:bookmarkStart w:id="2340" w:name="_Toc181286077"/>
      <w:bookmarkStart w:id="2341" w:name="_Toc181284998"/>
      <w:bookmarkStart w:id="2342" w:name="_Toc149986861"/>
      <w:bookmarkStart w:id="2343" w:name="_Toc149968539"/>
      <w:bookmarkStart w:id="2344" w:name="_Toc307602051"/>
      <w:bookmarkStart w:id="2345" w:name="_Toc307670488"/>
      <w:bookmarkStart w:id="2346" w:name="_Toc307701714"/>
      <w:bookmarkStart w:id="2347" w:name="_Toc338505617"/>
      <w:bookmarkStart w:id="2348" w:name="_Toc338523848"/>
      <w:bookmarkStart w:id="2349" w:name="_Toc338524079"/>
      <w:bookmarkStart w:id="2350" w:name="_Toc338526305"/>
      <w:bookmarkStart w:id="2351" w:name="_Toc338673748"/>
      <w:bookmarkStart w:id="2352" w:name="_Toc338711627"/>
      <w:r w:rsidRPr="004B3DE4">
        <w:t>1. Mevcut Durum</w:t>
      </w:r>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p>
    <w:p w:rsidR="00565FD5" w:rsidRPr="004B3DE4" w:rsidRDefault="00565FD5" w:rsidP="00565FD5">
      <w:pPr>
        <w:spacing w:after="120"/>
        <w:ind w:firstLine="425"/>
        <w:rPr>
          <w:rFonts w:cs="Tahoma"/>
          <w:szCs w:val="18"/>
        </w:rPr>
      </w:pPr>
      <w:r w:rsidRPr="004B3DE4">
        <w:rPr>
          <w:rFonts w:cs="Tahoma"/>
          <w:szCs w:val="18"/>
        </w:rPr>
        <w:t xml:space="preserve">Nitelik düzeyi düşük ve işgücü piyasasına girişte zorluk yaşayan bireylerin niteliklerinin artırılmasını, iş yaratmayı, kamu istihdam hizmetlerini ve işgücünün eğitimini içeren aktif işgücü politikalarına ayrılan kaynaklar son yıllarda önemli ölçüde artırılmaktadır. </w:t>
      </w:r>
      <w:bookmarkStart w:id="2353" w:name="_Toc244255291"/>
      <w:bookmarkStart w:id="2354" w:name="_Toc276076517"/>
      <w:bookmarkStart w:id="2355" w:name="_Toc275873972"/>
      <w:r w:rsidRPr="004B3DE4">
        <w:rPr>
          <w:rFonts w:cs="Tahoma"/>
          <w:szCs w:val="18"/>
        </w:rPr>
        <w:t xml:space="preserve">İŞKUR’un aktif işgücü programları kapsamında yaptığı harcamalar, 2011 yılında bir önceki yıla göre yüzde 4 artmıştır. 2012 yılı Ağustos ayı itibarıyla ise söz konusu harcamalar 607,9 milyon TL’ye ulaşmıştır. </w:t>
      </w:r>
    </w:p>
    <w:p w:rsidR="00565FD5" w:rsidRPr="00B24821" w:rsidRDefault="00565FD5" w:rsidP="00565FD5">
      <w:pPr>
        <w:pStyle w:val="ResimYazs"/>
        <w:rPr>
          <w:rFonts w:cs="Tahoma"/>
        </w:rPr>
      </w:pPr>
      <w:bookmarkStart w:id="2356" w:name="_Toc307601703"/>
      <w:bookmarkStart w:id="2357" w:name="_Toc307657923"/>
      <w:bookmarkStart w:id="2358" w:name="_Toc307702180"/>
      <w:bookmarkStart w:id="2359" w:name="_Toc338606047"/>
      <w:bookmarkStart w:id="2360" w:name="_Toc338711822"/>
      <w:r>
        <w:t xml:space="preserve">TABLO IV: </w:t>
      </w:r>
      <w:fldSimple w:instr=" SEQ TABLO_IV: \* ARABIC ">
        <w:r>
          <w:rPr>
            <w:noProof/>
          </w:rPr>
          <w:t>52</w:t>
        </w:r>
      </w:fldSimple>
      <w:bookmarkEnd w:id="2353"/>
      <w:r w:rsidRPr="00B24821">
        <w:rPr>
          <w:rFonts w:cs="Tahoma"/>
        </w:rPr>
        <w:t>–</w:t>
      </w:r>
      <w:r>
        <w:rPr>
          <w:rFonts w:cs="Tahoma"/>
        </w:rPr>
        <w:t xml:space="preserve"> </w:t>
      </w:r>
      <w:r w:rsidRPr="00B24821">
        <w:rPr>
          <w:rFonts w:cs="Tahoma"/>
        </w:rPr>
        <w:t>İŞKUR Tarafından Düzenlenen Aktif İşgücü Programlarına Yapılan Harcama ve Yararlanan Kişi Sayısı</w:t>
      </w:r>
      <w:bookmarkEnd w:id="2354"/>
      <w:bookmarkEnd w:id="2355"/>
      <w:bookmarkEnd w:id="2356"/>
      <w:bookmarkEnd w:id="2357"/>
      <w:bookmarkEnd w:id="2358"/>
      <w:bookmarkEnd w:id="2359"/>
      <w:bookmarkEnd w:id="2360"/>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8"/>
        <w:gridCol w:w="1659"/>
        <w:gridCol w:w="1284"/>
        <w:gridCol w:w="1482"/>
        <w:gridCol w:w="787"/>
        <w:gridCol w:w="904"/>
      </w:tblGrid>
      <w:tr w:rsidR="00565FD5" w:rsidRPr="004B3DE4" w:rsidTr="00AB62A3">
        <w:trPr>
          <w:trHeight w:val="227"/>
          <w:jc w:val="center"/>
        </w:trPr>
        <w:tc>
          <w:tcPr>
            <w:tcW w:w="719" w:type="pct"/>
            <w:tcBorders>
              <w:right w:val="nil"/>
            </w:tcBorders>
            <w:vAlign w:val="center"/>
          </w:tcPr>
          <w:p w:rsidR="00565FD5" w:rsidRPr="004B3DE4" w:rsidRDefault="00565FD5" w:rsidP="00AB62A3">
            <w:pPr>
              <w:jc w:val="center"/>
              <w:rPr>
                <w:rFonts w:cs="Tahoma"/>
                <w:b/>
                <w:sz w:val="16"/>
              </w:rPr>
            </w:pPr>
            <w:r w:rsidRPr="004B3DE4">
              <w:rPr>
                <w:rFonts w:cs="Tahoma"/>
                <w:b/>
                <w:sz w:val="16"/>
              </w:rPr>
              <w:t>Yıllar</w:t>
            </w:r>
          </w:p>
        </w:tc>
        <w:tc>
          <w:tcPr>
            <w:tcW w:w="1161" w:type="pct"/>
            <w:tcBorders>
              <w:left w:val="nil"/>
              <w:right w:val="nil"/>
            </w:tcBorders>
            <w:vAlign w:val="center"/>
          </w:tcPr>
          <w:p w:rsidR="00565FD5" w:rsidRPr="004B3DE4" w:rsidRDefault="00565FD5" w:rsidP="00AB62A3">
            <w:pPr>
              <w:jc w:val="right"/>
              <w:rPr>
                <w:rFonts w:cs="Tahoma"/>
                <w:b/>
                <w:sz w:val="16"/>
              </w:rPr>
            </w:pPr>
            <w:r w:rsidRPr="004B3DE4">
              <w:rPr>
                <w:rFonts w:cs="Tahoma"/>
                <w:b/>
                <w:sz w:val="16"/>
              </w:rPr>
              <w:t>Kurs (Kişi)</w:t>
            </w:r>
          </w:p>
        </w:tc>
        <w:tc>
          <w:tcPr>
            <w:tcW w:w="899" w:type="pct"/>
            <w:tcBorders>
              <w:left w:val="nil"/>
              <w:right w:val="nil"/>
            </w:tcBorders>
          </w:tcPr>
          <w:p w:rsidR="00565FD5" w:rsidRPr="004B3DE4" w:rsidRDefault="00565FD5" w:rsidP="00AB62A3">
            <w:pPr>
              <w:jc w:val="center"/>
              <w:rPr>
                <w:rFonts w:cs="Tahoma"/>
                <w:b/>
                <w:sz w:val="16"/>
              </w:rPr>
            </w:pPr>
            <w:r w:rsidRPr="004B3DE4">
              <w:rPr>
                <w:rFonts w:cs="Tahoma"/>
                <w:b/>
                <w:sz w:val="16"/>
              </w:rPr>
              <w:t>Toplum Yararına Çalışma Programları (Kişi)</w:t>
            </w:r>
          </w:p>
        </w:tc>
        <w:tc>
          <w:tcPr>
            <w:tcW w:w="1037" w:type="pct"/>
            <w:tcBorders>
              <w:left w:val="nil"/>
              <w:right w:val="nil"/>
            </w:tcBorders>
            <w:vAlign w:val="center"/>
          </w:tcPr>
          <w:p w:rsidR="00565FD5" w:rsidRPr="004B3DE4" w:rsidRDefault="00565FD5" w:rsidP="00AB62A3">
            <w:pPr>
              <w:jc w:val="center"/>
              <w:rPr>
                <w:rFonts w:cs="Tahoma"/>
                <w:b/>
                <w:sz w:val="16"/>
              </w:rPr>
            </w:pPr>
            <w:r w:rsidRPr="004B3DE4">
              <w:rPr>
                <w:rFonts w:cs="Tahoma"/>
                <w:b/>
                <w:sz w:val="16"/>
              </w:rPr>
              <w:t>Staj (Kişi)</w:t>
            </w:r>
          </w:p>
        </w:tc>
        <w:tc>
          <w:tcPr>
            <w:tcW w:w="551" w:type="pct"/>
            <w:tcBorders>
              <w:left w:val="nil"/>
              <w:right w:val="nil"/>
            </w:tcBorders>
            <w:vAlign w:val="center"/>
          </w:tcPr>
          <w:p w:rsidR="00565FD5" w:rsidRPr="004B3DE4" w:rsidRDefault="00565FD5" w:rsidP="00AB62A3">
            <w:pPr>
              <w:jc w:val="center"/>
              <w:rPr>
                <w:rFonts w:cs="Tahoma"/>
                <w:b/>
                <w:sz w:val="16"/>
              </w:rPr>
            </w:pPr>
            <w:r w:rsidRPr="004B3DE4">
              <w:rPr>
                <w:rFonts w:cs="Tahoma"/>
                <w:b/>
                <w:sz w:val="16"/>
              </w:rPr>
              <w:t>Toplam (Kişi)</w:t>
            </w:r>
          </w:p>
        </w:tc>
        <w:tc>
          <w:tcPr>
            <w:tcW w:w="633" w:type="pct"/>
            <w:tcBorders>
              <w:left w:val="nil"/>
            </w:tcBorders>
            <w:vAlign w:val="center"/>
          </w:tcPr>
          <w:p w:rsidR="00565FD5" w:rsidRPr="004B3DE4" w:rsidRDefault="00565FD5" w:rsidP="00AB62A3">
            <w:pPr>
              <w:jc w:val="center"/>
              <w:rPr>
                <w:rFonts w:cs="Tahoma"/>
                <w:b/>
                <w:sz w:val="16"/>
              </w:rPr>
            </w:pPr>
            <w:r w:rsidRPr="004B3DE4">
              <w:rPr>
                <w:rFonts w:cs="Tahoma"/>
                <w:b/>
                <w:sz w:val="16"/>
              </w:rPr>
              <w:t>Harcama (Bin TL)</w:t>
            </w:r>
          </w:p>
        </w:tc>
      </w:tr>
      <w:tr w:rsidR="00565FD5" w:rsidRPr="004B3DE4" w:rsidTr="00AB62A3">
        <w:trPr>
          <w:trHeight w:val="227"/>
          <w:jc w:val="center"/>
        </w:trPr>
        <w:tc>
          <w:tcPr>
            <w:tcW w:w="719" w:type="pct"/>
            <w:tcBorders>
              <w:bottom w:val="nil"/>
              <w:right w:val="nil"/>
            </w:tcBorders>
            <w:vAlign w:val="center"/>
          </w:tcPr>
          <w:p w:rsidR="00565FD5" w:rsidRPr="004B3DE4" w:rsidRDefault="00565FD5" w:rsidP="00AB62A3">
            <w:pPr>
              <w:rPr>
                <w:rFonts w:cs="Tahoma"/>
                <w:sz w:val="16"/>
              </w:rPr>
            </w:pPr>
            <w:r w:rsidRPr="004B3DE4">
              <w:rPr>
                <w:rFonts w:cs="Tahoma"/>
                <w:sz w:val="16"/>
              </w:rPr>
              <w:t>2006</w:t>
            </w:r>
          </w:p>
        </w:tc>
        <w:tc>
          <w:tcPr>
            <w:tcW w:w="1161" w:type="pct"/>
            <w:tcBorders>
              <w:left w:val="nil"/>
              <w:bottom w:val="nil"/>
              <w:right w:val="nil"/>
            </w:tcBorders>
            <w:vAlign w:val="center"/>
          </w:tcPr>
          <w:p w:rsidR="00565FD5" w:rsidRPr="004B3DE4" w:rsidRDefault="00565FD5" w:rsidP="00AB62A3">
            <w:pPr>
              <w:ind w:right="113"/>
              <w:jc w:val="right"/>
              <w:rPr>
                <w:rFonts w:cs="Tahoma"/>
                <w:sz w:val="16"/>
              </w:rPr>
            </w:pPr>
            <w:r w:rsidRPr="004B3DE4">
              <w:rPr>
                <w:rFonts w:cs="Tahoma"/>
                <w:sz w:val="16"/>
              </w:rPr>
              <w:t>17</w:t>
            </w:r>
            <w:r>
              <w:rPr>
                <w:rFonts w:cs="Tahoma"/>
                <w:sz w:val="16"/>
              </w:rPr>
              <w:t xml:space="preserve"> </w:t>
            </w:r>
            <w:r w:rsidRPr="004B3DE4">
              <w:rPr>
                <w:rFonts w:cs="Tahoma"/>
                <w:sz w:val="16"/>
              </w:rPr>
              <w:t>106</w:t>
            </w:r>
          </w:p>
        </w:tc>
        <w:tc>
          <w:tcPr>
            <w:tcW w:w="899" w:type="pct"/>
            <w:tcBorders>
              <w:left w:val="nil"/>
              <w:bottom w:val="nil"/>
              <w:right w:val="nil"/>
            </w:tcBorders>
            <w:vAlign w:val="center"/>
          </w:tcPr>
          <w:p w:rsidR="00565FD5" w:rsidRPr="004B3DE4" w:rsidDel="00E556AF" w:rsidRDefault="00565FD5" w:rsidP="00AB62A3">
            <w:pPr>
              <w:ind w:right="235"/>
              <w:jc w:val="right"/>
              <w:rPr>
                <w:rFonts w:cs="Tahoma"/>
                <w:sz w:val="16"/>
              </w:rPr>
            </w:pPr>
            <w:r w:rsidRPr="004B3DE4">
              <w:rPr>
                <w:rFonts w:cs="Tahoma"/>
                <w:sz w:val="16"/>
              </w:rPr>
              <w:t>-</w:t>
            </w:r>
          </w:p>
        </w:tc>
        <w:tc>
          <w:tcPr>
            <w:tcW w:w="1037" w:type="pct"/>
            <w:tcBorders>
              <w:left w:val="nil"/>
              <w:bottom w:val="nil"/>
              <w:right w:val="nil"/>
            </w:tcBorders>
            <w:vAlign w:val="center"/>
          </w:tcPr>
          <w:p w:rsidR="00565FD5" w:rsidRPr="004B3DE4" w:rsidRDefault="00565FD5" w:rsidP="00AB62A3">
            <w:pPr>
              <w:jc w:val="center"/>
              <w:rPr>
                <w:rFonts w:cs="Tahoma"/>
                <w:sz w:val="16"/>
              </w:rPr>
            </w:pPr>
            <w:r w:rsidRPr="004B3DE4">
              <w:rPr>
                <w:rFonts w:cs="Tahoma"/>
                <w:sz w:val="16"/>
              </w:rPr>
              <w:t>-</w:t>
            </w:r>
          </w:p>
        </w:tc>
        <w:tc>
          <w:tcPr>
            <w:tcW w:w="551" w:type="pct"/>
            <w:tcBorders>
              <w:left w:val="nil"/>
              <w:bottom w:val="nil"/>
              <w:right w:val="nil"/>
            </w:tcBorders>
            <w:vAlign w:val="center"/>
          </w:tcPr>
          <w:p w:rsidR="00565FD5" w:rsidRPr="004B3DE4" w:rsidRDefault="00565FD5" w:rsidP="00AB62A3">
            <w:pPr>
              <w:jc w:val="right"/>
              <w:rPr>
                <w:rFonts w:cs="Tahoma"/>
                <w:sz w:val="16"/>
              </w:rPr>
            </w:pPr>
            <w:r w:rsidRPr="004B3DE4">
              <w:rPr>
                <w:rFonts w:cs="Tahoma"/>
                <w:sz w:val="16"/>
              </w:rPr>
              <w:t>17</w:t>
            </w:r>
            <w:r>
              <w:rPr>
                <w:rFonts w:cs="Tahoma"/>
                <w:sz w:val="16"/>
              </w:rPr>
              <w:t xml:space="preserve"> </w:t>
            </w:r>
            <w:r w:rsidRPr="004B3DE4">
              <w:rPr>
                <w:rFonts w:cs="Tahoma"/>
                <w:sz w:val="16"/>
              </w:rPr>
              <w:t>106</w:t>
            </w:r>
          </w:p>
        </w:tc>
        <w:tc>
          <w:tcPr>
            <w:tcW w:w="633" w:type="pct"/>
            <w:tcBorders>
              <w:left w:val="nil"/>
              <w:bottom w:val="nil"/>
            </w:tcBorders>
            <w:vAlign w:val="center"/>
          </w:tcPr>
          <w:p w:rsidR="00565FD5" w:rsidRPr="004B3DE4" w:rsidRDefault="00565FD5" w:rsidP="00AB62A3">
            <w:pPr>
              <w:jc w:val="right"/>
              <w:rPr>
                <w:rFonts w:cs="Tahoma"/>
                <w:sz w:val="16"/>
              </w:rPr>
            </w:pPr>
            <w:r w:rsidRPr="004B3DE4">
              <w:rPr>
                <w:rFonts w:cs="Tahoma"/>
                <w:sz w:val="16"/>
              </w:rPr>
              <w:t>27</w:t>
            </w:r>
            <w:r>
              <w:rPr>
                <w:rFonts w:cs="Tahoma"/>
                <w:sz w:val="16"/>
              </w:rPr>
              <w:t xml:space="preserve"> </w:t>
            </w:r>
            <w:r w:rsidRPr="004B3DE4">
              <w:rPr>
                <w:rFonts w:cs="Tahoma"/>
                <w:sz w:val="16"/>
              </w:rPr>
              <w:t>974</w:t>
            </w:r>
          </w:p>
        </w:tc>
      </w:tr>
      <w:tr w:rsidR="00565FD5" w:rsidRPr="004B3DE4" w:rsidTr="00AB62A3">
        <w:trPr>
          <w:trHeight w:val="227"/>
          <w:jc w:val="center"/>
        </w:trPr>
        <w:tc>
          <w:tcPr>
            <w:tcW w:w="719" w:type="pct"/>
            <w:tcBorders>
              <w:top w:val="nil"/>
              <w:bottom w:val="nil"/>
              <w:right w:val="nil"/>
            </w:tcBorders>
            <w:vAlign w:val="center"/>
          </w:tcPr>
          <w:p w:rsidR="00565FD5" w:rsidRPr="004B3DE4" w:rsidRDefault="00565FD5" w:rsidP="00AB62A3">
            <w:pPr>
              <w:rPr>
                <w:rFonts w:cs="Tahoma"/>
                <w:sz w:val="16"/>
              </w:rPr>
            </w:pPr>
            <w:r w:rsidRPr="004B3DE4">
              <w:rPr>
                <w:rFonts w:cs="Tahoma"/>
                <w:sz w:val="16"/>
              </w:rPr>
              <w:t>2007</w:t>
            </w:r>
          </w:p>
        </w:tc>
        <w:tc>
          <w:tcPr>
            <w:tcW w:w="1161" w:type="pct"/>
            <w:tcBorders>
              <w:top w:val="nil"/>
              <w:left w:val="nil"/>
              <w:bottom w:val="nil"/>
              <w:right w:val="nil"/>
            </w:tcBorders>
            <w:vAlign w:val="center"/>
          </w:tcPr>
          <w:p w:rsidR="00565FD5" w:rsidRPr="004B3DE4" w:rsidRDefault="00565FD5" w:rsidP="00AB62A3">
            <w:pPr>
              <w:ind w:right="113"/>
              <w:jc w:val="right"/>
              <w:rPr>
                <w:rFonts w:cs="Tahoma"/>
                <w:sz w:val="16"/>
              </w:rPr>
            </w:pPr>
            <w:r w:rsidRPr="004B3DE4">
              <w:rPr>
                <w:rFonts w:cs="Tahoma"/>
                <w:sz w:val="16"/>
              </w:rPr>
              <w:t>22</w:t>
            </w:r>
            <w:r>
              <w:rPr>
                <w:rFonts w:cs="Tahoma"/>
                <w:sz w:val="16"/>
              </w:rPr>
              <w:t xml:space="preserve"> </w:t>
            </w:r>
            <w:r w:rsidRPr="004B3DE4">
              <w:rPr>
                <w:rFonts w:cs="Tahoma"/>
                <w:sz w:val="16"/>
              </w:rPr>
              <w:t>834</w:t>
            </w:r>
          </w:p>
        </w:tc>
        <w:tc>
          <w:tcPr>
            <w:tcW w:w="899" w:type="pct"/>
            <w:tcBorders>
              <w:top w:val="nil"/>
              <w:left w:val="nil"/>
              <w:bottom w:val="nil"/>
              <w:right w:val="nil"/>
            </w:tcBorders>
            <w:vAlign w:val="center"/>
          </w:tcPr>
          <w:p w:rsidR="00565FD5" w:rsidRPr="004B3DE4" w:rsidDel="00E556AF" w:rsidRDefault="00565FD5" w:rsidP="00AB62A3">
            <w:pPr>
              <w:ind w:right="235"/>
              <w:jc w:val="right"/>
              <w:rPr>
                <w:rFonts w:cs="Tahoma"/>
                <w:sz w:val="16"/>
              </w:rPr>
            </w:pPr>
            <w:r w:rsidRPr="004B3DE4">
              <w:rPr>
                <w:rFonts w:cs="Tahoma"/>
                <w:sz w:val="16"/>
              </w:rPr>
              <w:t>-</w:t>
            </w:r>
          </w:p>
        </w:tc>
        <w:tc>
          <w:tcPr>
            <w:tcW w:w="1037" w:type="pct"/>
            <w:tcBorders>
              <w:top w:val="nil"/>
              <w:left w:val="nil"/>
              <w:bottom w:val="nil"/>
              <w:right w:val="nil"/>
            </w:tcBorders>
            <w:vAlign w:val="center"/>
          </w:tcPr>
          <w:p w:rsidR="00565FD5" w:rsidRPr="004B3DE4" w:rsidRDefault="00565FD5" w:rsidP="00AB62A3">
            <w:pPr>
              <w:jc w:val="center"/>
              <w:rPr>
                <w:rFonts w:cs="Tahoma"/>
                <w:sz w:val="16"/>
              </w:rPr>
            </w:pPr>
            <w:r w:rsidRPr="004B3DE4">
              <w:rPr>
                <w:rFonts w:cs="Tahoma"/>
                <w:sz w:val="16"/>
              </w:rPr>
              <w:t>-</w:t>
            </w:r>
          </w:p>
        </w:tc>
        <w:tc>
          <w:tcPr>
            <w:tcW w:w="551" w:type="pct"/>
            <w:tcBorders>
              <w:top w:val="nil"/>
              <w:left w:val="nil"/>
              <w:bottom w:val="nil"/>
              <w:right w:val="nil"/>
            </w:tcBorders>
            <w:vAlign w:val="center"/>
          </w:tcPr>
          <w:p w:rsidR="00565FD5" w:rsidRPr="004B3DE4" w:rsidRDefault="00565FD5" w:rsidP="00AB62A3">
            <w:pPr>
              <w:jc w:val="right"/>
              <w:rPr>
                <w:rFonts w:cs="Tahoma"/>
                <w:sz w:val="16"/>
              </w:rPr>
            </w:pPr>
            <w:r w:rsidRPr="004B3DE4">
              <w:rPr>
                <w:rFonts w:cs="Tahoma"/>
                <w:sz w:val="16"/>
              </w:rPr>
              <w:t>22</w:t>
            </w:r>
            <w:r>
              <w:rPr>
                <w:rFonts w:cs="Tahoma"/>
                <w:sz w:val="16"/>
              </w:rPr>
              <w:t xml:space="preserve"> </w:t>
            </w:r>
            <w:r w:rsidRPr="004B3DE4">
              <w:rPr>
                <w:rFonts w:cs="Tahoma"/>
                <w:sz w:val="16"/>
              </w:rPr>
              <w:t>834</w:t>
            </w:r>
          </w:p>
        </w:tc>
        <w:tc>
          <w:tcPr>
            <w:tcW w:w="633" w:type="pct"/>
            <w:tcBorders>
              <w:top w:val="nil"/>
              <w:left w:val="nil"/>
              <w:bottom w:val="nil"/>
            </w:tcBorders>
            <w:vAlign w:val="center"/>
          </w:tcPr>
          <w:p w:rsidR="00565FD5" w:rsidRPr="004B3DE4" w:rsidRDefault="00565FD5" w:rsidP="00AB62A3">
            <w:pPr>
              <w:jc w:val="right"/>
              <w:rPr>
                <w:rFonts w:cs="Tahoma"/>
                <w:sz w:val="16"/>
              </w:rPr>
            </w:pPr>
            <w:r w:rsidRPr="004B3DE4">
              <w:rPr>
                <w:rFonts w:cs="Tahoma"/>
                <w:sz w:val="16"/>
              </w:rPr>
              <w:t>29</w:t>
            </w:r>
            <w:r>
              <w:rPr>
                <w:rFonts w:cs="Tahoma"/>
                <w:sz w:val="16"/>
              </w:rPr>
              <w:t xml:space="preserve"> </w:t>
            </w:r>
            <w:r w:rsidRPr="004B3DE4">
              <w:rPr>
                <w:rFonts w:cs="Tahoma"/>
                <w:sz w:val="16"/>
              </w:rPr>
              <w:t>672</w:t>
            </w:r>
          </w:p>
        </w:tc>
      </w:tr>
      <w:tr w:rsidR="00565FD5" w:rsidRPr="004B3DE4" w:rsidTr="00AB62A3">
        <w:trPr>
          <w:trHeight w:val="227"/>
          <w:jc w:val="center"/>
        </w:trPr>
        <w:tc>
          <w:tcPr>
            <w:tcW w:w="719" w:type="pct"/>
            <w:tcBorders>
              <w:top w:val="nil"/>
              <w:bottom w:val="nil"/>
              <w:right w:val="nil"/>
            </w:tcBorders>
            <w:vAlign w:val="center"/>
          </w:tcPr>
          <w:p w:rsidR="00565FD5" w:rsidRPr="004B3DE4" w:rsidRDefault="00565FD5" w:rsidP="00AB62A3">
            <w:pPr>
              <w:rPr>
                <w:rFonts w:cs="Tahoma"/>
                <w:sz w:val="16"/>
              </w:rPr>
            </w:pPr>
            <w:r w:rsidRPr="004B3DE4">
              <w:rPr>
                <w:rFonts w:cs="Tahoma"/>
                <w:sz w:val="16"/>
              </w:rPr>
              <w:t>2008</w:t>
            </w:r>
          </w:p>
        </w:tc>
        <w:tc>
          <w:tcPr>
            <w:tcW w:w="1161" w:type="pct"/>
            <w:tcBorders>
              <w:top w:val="nil"/>
              <w:left w:val="nil"/>
              <w:bottom w:val="nil"/>
              <w:right w:val="nil"/>
            </w:tcBorders>
            <w:vAlign w:val="center"/>
          </w:tcPr>
          <w:p w:rsidR="00565FD5" w:rsidRPr="004B3DE4" w:rsidRDefault="00565FD5" w:rsidP="00AB62A3">
            <w:pPr>
              <w:ind w:right="113"/>
              <w:jc w:val="right"/>
              <w:rPr>
                <w:rFonts w:cs="Tahoma"/>
                <w:sz w:val="16"/>
              </w:rPr>
            </w:pPr>
            <w:r w:rsidRPr="004B3DE4">
              <w:rPr>
                <w:rFonts w:cs="Tahoma"/>
                <w:sz w:val="16"/>
              </w:rPr>
              <w:t>31</w:t>
            </w:r>
            <w:r>
              <w:rPr>
                <w:rFonts w:cs="Tahoma"/>
                <w:sz w:val="16"/>
              </w:rPr>
              <w:t xml:space="preserve"> </w:t>
            </w:r>
            <w:r w:rsidRPr="004B3DE4">
              <w:rPr>
                <w:rFonts w:cs="Tahoma"/>
                <w:sz w:val="16"/>
              </w:rPr>
              <w:t>788</w:t>
            </w:r>
          </w:p>
        </w:tc>
        <w:tc>
          <w:tcPr>
            <w:tcW w:w="899" w:type="pct"/>
            <w:tcBorders>
              <w:top w:val="nil"/>
              <w:left w:val="nil"/>
              <w:bottom w:val="nil"/>
              <w:right w:val="nil"/>
            </w:tcBorders>
            <w:vAlign w:val="center"/>
          </w:tcPr>
          <w:p w:rsidR="00565FD5" w:rsidRPr="004B3DE4" w:rsidDel="00E556AF" w:rsidRDefault="00565FD5" w:rsidP="00AB62A3">
            <w:pPr>
              <w:ind w:right="235"/>
              <w:jc w:val="right"/>
              <w:rPr>
                <w:rFonts w:cs="Tahoma"/>
                <w:sz w:val="16"/>
              </w:rPr>
            </w:pPr>
            <w:r w:rsidRPr="004B3DE4">
              <w:rPr>
                <w:rFonts w:cs="Tahoma"/>
                <w:sz w:val="16"/>
              </w:rPr>
              <w:t>139</w:t>
            </w:r>
          </w:p>
        </w:tc>
        <w:tc>
          <w:tcPr>
            <w:tcW w:w="1037" w:type="pct"/>
            <w:tcBorders>
              <w:top w:val="nil"/>
              <w:left w:val="nil"/>
              <w:bottom w:val="nil"/>
              <w:right w:val="nil"/>
            </w:tcBorders>
            <w:vAlign w:val="center"/>
          </w:tcPr>
          <w:p w:rsidR="00565FD5" w:rsidRPr="004B3DE4" w:rsidRDefault="00565FD5" w:rsidP="00AB62A3">
            <w:pPr>
              <w:jc w:val="center"/>
              <w:rPr>
                <w:rFonts w:cs="Tahoma"/>
                <w:sz w:val="16"/>
              </w:rPr>
            </w:pPr>
            <w:r w:rsidRPr="004B3DE4">
              <w:rPr>
                <w:rFonts w:cs="Tahoma"/>
                <w:sz w:val="16"/>
              </w:rPr>
              <w:t>-</w:t>
            </w:r>
          </w:p>
        </w:tc>
        <w:tc>
          <w:tcPr>
            <w:tcW w:w="551" w:type="pct"/>
            <w:tcBorders>
              <w:top w:val="nil"/>
              <w:left w:val="nil"/>
              <w:bottom w:val="nil"/>
              <w:right w:val="nil"/>
            </w:tcBorders>
            <w:vAlign w:val="center"/>
          </w:tcPr>
          <w:p w:rsidR="00565FD5" w:rsidRPr="004B3DE4" w:rsidRDefault="00565FD5" w:rsidP="00AB62A3">
            <w:pPr>
              <w:jc w:val="right"/>
              <w:rPr>
                <w:rFonts w:cs="Tahoma"/>
                <w:sz w:val="16"/>
              </w:rPr>
            </w:pPr>
            <w:r w:rsidRPr="004B3DE4">
              <w:rPr>
                <w:rFonts w:cs="Tahoma"/>
                <w:sz w:val="16"/>
              </w:rPr>
              <w:t>31</w:t>
            </w:r>
            <w:r>
              <w:rPr>
                <w:rFonts w:cs="Tahoma"/>
                <w:sz w:val="16"/>
              </w:rPr>
              <w:t xml:space="preserve"> </w:t>
            </w:r>
            <w:r w:rsidRPr="004B3DE4">
              <w:rPr>
                <w:rFonts w:cs="Tahoma"/>
                <w:sz w:val="16"/>
              </w:rPr>
              <w:t>927</w:t>
            </w:r>
          </w:p>
        </w:tc>
        <w:tc>
          <w:tcPr>
            <w:tcW w:w="633" w:type="pct"/>
            <w:tcBorders>
              <w:top w:val="nil"/>
              <w:left w:val="nil"/>
              <w:bottom w:val="nil"/>
            </w:tcBorders>
            <w:vAlign w:val="center"/>
          </w:tcPr>
          <w:p w:rsidR="00565FD5" w:rsidRPr="004B3DE4" w:rsidRDefault="00565FD5" w:rsidP="00AB62A3">
            <w:pPr>
              <w:jc w:val="right"/>
              <w:rPr>
                <w:rFonts w:cs="Tahoma"/>
                <w:sz w:val="16"/>
              </w:rPr>
            </w:pPr>
            <w:r w:rsidRPr="004B3DE4">
              <w:rPr>
                <w:rFonts w:cs="Tahoma"/>
                <w:sz w:val="16"/>
              </w:rPr>
              <w:t>35</w:t>
            </w:r>
            <w:r>
              <w:rPr>
                <w:rFonts w:cs="Tahoma"/>
                <w:sz w:val="16"/>
              </w:rPr>
              <w:t xml:space="preserve"> </w:t>
            </w:r>
            <w:r w:rsidRPr="004B3DE4">
              <w:rPr>
                <w:rFonts w:cs="Tahoma"/>
                <w:sz w:val="16"/>
              </w:rPr>
              <w:t>511</w:t>
            </w:r>
          </w:p>
        </w:tc>
      </w:tr>
      <w:tr w:rsidR="00565FD5" w:rsidRPr="004B3DE4" w:rsidTr="00AB62A3">
        <w:trPr>
          <w:trHeight w:val="227"/>
          <w:jc w:val="center"/>
        </w:trPr>
        <w:tc>
          <w:tcPr>
            <w:tcW w:w="719" w:type="pct"/>
            <w:tcBorders>
              <w:top w:val="nil"/>
              <w:bottom w:val="nil"/>
              <w:right w:val="nil"/>
            </w:tcBorders>
            <w:vAlign w:val="center"/>
          </w:tcPr>
          <w:p w:rsidR="00565FD5" w:rsidRPr="004B3DE4" w:rsidRDefault="00565FD5" w:rsidP="00AB62A3">
            <w:pPr>
              <w:rPr>
                <w:rFonts w:cs="Tahoma"/>
                <w:sz w:val="16"/>
              </w:rPr>
            </w:pPr>
            <w:r w:rsidRPr="004B3DE4">
              <w:rPr>
                <w:rFonts w:cs="Tahoma"/>
                <w:sz w:val="16"/>
              </w:rPr>
              <w:t>2009</w:t>
            </w:r>
          </w:p>
        </w:tc>
        <w:tc>
          <w:tcPr>
            <w:tcW w:w="1161" w:type="pct"/>
            <w:tcBorders>
              <w:top w:val="nil"/>
              <w:left w:val="nil"/>
              <w:bottom w:val="nil"/>
              <w:right w:val="nil"/>
            </w:tcBorders>
            <w:vAlign w:val="center"/>
          </w:tcPr>
          <w:p w:rsidR="00565FD5" w:rsidRPr="004B3DE4" w:rsidRDefault="00565FD5" w:rsidP="00AB62A3">
            <w:pPr>
              <w:ind w:right="113"/>
              <w:jc w:val="right"/>
              <w:rPr>
                <w:rFonts w:cs="Tahoma"/>
                <w:sz w:val="16"/>
              </w:rPr>
            </w:pPr>
            <w:r w:rsidRPr="004B3DE4">
              <w:rPr>
                <w:rFonts w:cs="Tahoma"/>
                <w:sz w:val="16"/>
              </w:rPr>
              <w:t>166</w:t>
            </w:r>
            <w:r>
              <w:rPr>
                <w:rFonts w:cs="Tahoma"/>
                <w:sz w:val="16"/>
              </w:rPr>
              <w:t xml:space="preserve"> </w:t>
            </w:r>
            <w:r w:rsidRPr="004B3DE4">
              <w:rPr>
                <w:rFonts w:cs="Tahoma"/>
                <w:sz w:val="16"/>
              </w:rPr>
              <w:t>713</w:t>
            </w:r>
          </w:p>
        </w:tc>
        <w:tc>
          <w:tcPr>
            <w:tcW w:w="899" w:type="pct"/>
            <w:tcBorders>
              <w:top w:val="nil"/>
              <w:left w:val="nil"/>
              <w:bottom w:val="nil"/>
              <w:right w:val="nil"/>
            </w:tcBorders>
            <w:vAlign w:val="center"/>
          </w:tcPr>
          <w:p w:rsidR="00565FD5" w:rsidRPr="004B3DE4" w:rsidDel="00651A2B" w:rsidRDefault="00565FD5" w:rsidP="00AB62A3">
            <w:pPr>
              <w:ind w:right="235"/>
              <w:jc w:val="right"/>
              <w:rPr>
                <w:rFonts w:cs="Tahoma"/>
                <w:sz w:val="16"/>
              </w:rPr>
            </w:pPr>
            <w:r w:rsidRPr="004B3DE4">
              <w:rPr>
                <w:rFonts w:cs="Tahoma"/>
                <w:sz w:val="16"/>
              </w:rPr>
              <w:t>45</w:t>
            </w:r>
            <w:r>
              <w:rPr>
                <w:rFonts w:cs="Tahoma"/>
                <w:sz w:val="16"/>
              </w:rPr>
              <w:t xml:space="preserve"> </w:t>
            </w:r>
            <w:r w:rsidRPr="004B3DE4">
              <w:rPr>
                <w:rFonts w:cs="Tahoma"/>
                <w:sz w:val="16"/>
              </w:rPr>
              <w:t>467</w:t>
            </w:r>
          </w:p>
        </w:tc>
        <w:tc>
          <w:tcPr>
            <w:tcW w:w="1037" w:type="pct"/>
            <w:tcBorders>
              <w:top w:val="nil"/>
              <w:left w:val="nil"/>
              <w:bottom w:val="nil"/>
              <w:right w:val="nil"/>
            </w:tcBorders>
            <w:vAlign w:val="center"/>
          </w:tcPr>
          <w:p w:rsidR="00565FD5" w:rsidRPr="004B3DE4" w:rsidRDefault="00565FD5" w:rsidP="00AB62A3">
            <w:pPr>
              <w:jc w:val="center"/>
              <w:rPr>
                <w:rFonts w:cs="Tahoma"/>
                <w:sz w:val="16"/>
              </w:rPr>
            </w:pPr>
            <w:r w:rsidRPr="004B3DE4">
              <w:rPr>
                <w:rFonts w:cs="Tahoma"/>
                <w:sz w:val="16"/>
              </w:rPr>
              <w:t>1</w:t>
            </w:r>
            <w:r>
              <w:rPr>
                <w:rFonts w:cs="Tahoma"/>
                <w:sz w:val="16"/>
              </w:rPr>
              <w:t xml:space="preserve"> </w:t>
            </w:r>
            <w:r w:rsidRPr="004B3DE4">
              <w:rPr>
                <w:rFonts w:cs="Tahoma"/>
                <w:sz w:val="16"/>
              </w:rPr>
              <w:t>285</w:t>
            </w:r>
          </w:p>
        </w:tc>
        <w:tc>
          <w:tcPr>
            <w:tcW w:w="551" w:type="pct"/>
            <w:tcBorders>
              <w:top w:val="nil"/>
              <w:left w:val="nil"/>
              <w:bottom w:val="nil"/>
              <w:right w:val="nil"/>
            </w:tcBorders>
            <w:vAlign w:val="center"/>
          </w:tcPr>
          <w:p w:rsidR="00565FD5" w:rsidRPr="004B3DE4" w:rsidRDefault="00565FD5" w:rsidP="00AB62A3">
            <w:pPr>
              <w:jc w:val="right"/>
              <w:rPr>
                <w:rFonts w:cs="Tahoma"/>
                <w:sz w:val="16"/>
              </w:rPr>
            </w:pPr>
            <w:r w:rsidRPr="004B3DE4">
              <w:rPr>
                <w:rFonts w:cs="Tahoma"/>
                <w:sz w:val="16"/>
              </w:rPr>
              <w:t>213</w:t>
            </w:r>
            <w:r>
              <w:rPr>
                <w:rFonts w:cs="Tahoma"/>
                <w:sz w:val="16"/>
              </w:rPr>
              <w:t xml:space="preserve"> </w:t>
            </w:r>
            <w:r w:rsidRPr="004B3DE4">
              <w:rPr>
                <w:rFonts w:cs="Tahoma"/>
                <w:sz w:val="16"/>
              </w:rPr>
              <w:t>852</w:t>
            </w:r>
          </w:p>
        </w:tc>
        <w:tc>
          <w:tcPr>
            <w:tcW w:w="633" w:type="pct"/>
            <w:tcBorders>
              <w:top w:val="nil"/>
              <w:left w:val="nil"/>
              <w:bottom w:val="nil"/>
            </w:tcBorders>
            <w:vAlign w:val="center"/>
          </w:tcPr>
          <w:p w:rsidR="00565FD5" w:rsidRPr="004B3DE4" w:rsidDel="00651A2B" w:rsidRDefault="00565FD5" w:rsidP="00AB62A3">
            <w:pPr>
              <w:jc w:val="right"/>
              <w:rPr>
                <w:rFonts w:cs="Tahoma"/>
                <w:sz w:val="16"/>
              </w:rPr>
            </w:pPr>
            <w:r w:rsidRPr="004B3DE4">
              <w:rPr>
                <w:rFonts w:cs="Tahoma"/>
                <w:sz w:val="16"/>
              </w:rPr>
              <w:t>306</w:t>
            </w:r>
            <w:r>
              <w:rPr>
                <w:rFonts w:cs="Tahoma"/>
                <w:sz w:val="16"/>
              </w:rPr>
              <w:t xml:space="preserve"> </w:t>
            </w:r>
            <w:r w:rsidRPr="004B3DE4">
              <w:rPr>
                <w:rFonts w:cs="Tahoma"/>
                <w:sz w:val="16"/>
              </w:rPr>
              <w:t>366</w:t>
            </w:r>
          </w:p>
        </w:tc>
      </w:tr>
      <w:tr w:rsidR="00565FD5" w:rsidRPr="004B3DE4" w:rsidTr="00AB62A3">
        <w:trPr>
          <w:trHeight w:val="227"/>
          <w:jc w:val="center"/>
        </w:trPr>
        <w:tc>
          <w:tcPr>
            <w:tcW w:w="719" w:type="pct"/>
            <w:tcBorders>
              <w:top w:val="nil"/>
              <w:bottom w:val="nil"/>
              <w:right w:val="nil"/>
            </w:tcBorders>
            <w:vAlign w:val="center"/>
          </w:tcPr>
          <w:p w:rsidR="00565FD5" w:rsidRPr="004B3DE4" w:rsidRDefault="00565FD5" w:rsidP="00AB62A3">
            <w:pPr>
              <w:rPr>
                <w:rFonts w:cs="Tahoma"/>
                <w:sz w:val="16"/>
                <w:szCs w:val="16"/>
              </w:rPr>
            </w:pPr>
            <w:r w:rsidRPr="004B3DE4">
              <w:rPr>
                <w:rFonts w:cs="Tahoma"/>
                <w:sz w:val="16"/>
                <w:szCs w:val="16"/>
              </w:rPr>
              <w:t>2010</w:t>
            </w:r>
          </w:p>
        </w:tc>
        <w:tc>
          <w:tcPr>
            <w:tcW w:w="1161" w:type="pct"/>
            <w:tcBorders>
              <w:top w:val="nil"/>
              <w:left w:val="nil"/>
              <w:bottom w:val="nil"/>
              <w:right w:val="nil"/>
            </w:tcBorders>
            <w:vAlign w:val="center"/>
          </w:tcPr>
          <w:p w:rsidR="00565FD5" w:rsidRPr="004B3DE4" w:rsidRDefault="00565FD5" w:rsidP="00AB62A3">
            <w:pPr>
              <w:ind w:right="113"/>
              <w:jc w:val="right"/>
              <w:rPr>
                <w:rFonts w:cs="Tahoma"/>
                <w:sz w:val="16"/>
              </w:rPr>
            </w:pPr>
            <w:r w:rsidRPr="004B3DE4">
              <w:rPr>
                <w:rFonts w:cs="Tahoma"/>
                <w:sz w:val="16"/>
              </w:rPr>
              <w:t>162</w:t>
            </w:r>
            <w:r>
              <w:rPr>
                <w:rFonts w:cs="Tahoma"/>
                <w:sz w:val="16"/>
              </w:rPr>
              <w:t xml:space="preserve"> </w:t>
            </w:r>
            <w:r w:rsidRPr="004B3DE4">
              <w:rPr>
                <w:rFonts w:cs="Tahoma"/>
                <w:sz w:val="16"/>
              </w:rPr>
              <w:t>340 (1)</w:t>
            </w:r>
          </w:p>
        </w:tc>
        <w:tc>
          <w:tcPr>
            <w:tcW w:w="899" w:type="pct"/>
            <w:tcBorders>
              <w:top w:val="nil"/>
              <w:left w:val="nil"/>
              <w:bottom w:val="nil"/>
              <w:right w:val="nil"/>
            </w:tcBorders>
            <w:vAlign w:val="center"/>
          </w:tcPr>
          <w:p w:rsidR="00565FD5" w:rsidRPr="004B3DE4" w:rsidDel="00651A2B" w:rsidRDefault="00565FD5" w:rsidP="00AB62A3">
            <w:pPr>
              <w:ind w:right="235"/>
              <w:jc w:val="right"/>
              <w:rPr>
                <w:rFonts w:cs="Tahoma"/>
                <w:sz w:val="16"/>
              </w:rPr>
            </w:pPr>
            <w:r w:rsidRPr="004B3DE4">
              <w:rPr>
                <w:rFonts w:cs="Tahoma"/>
                <w:sz w:val="16"/>
              </w:rPr>
              <w:t>42</w:t>
            </w:r>
            <w:r>
              <w:rPr>
                <w:rFonts w:cs="Tahoma"/>
                <w:sz w:val="16"/>
              </w:rPr>
              <w:t xml:space="preserve"> </w:t>
            </w:r>
            <w:r w:rsidRPr="004B3DE4">
              <w:rPr>
                <w:rFonts w:cs="Tahoma"/>
                <w:sz w:val="16"/>
              </w:rPr>
              <w:t>066</w:t>
            </w:r>
          </w:p>
        </w:tc>
        <w:tc>
          <w:tcPr>
            <w:tcW w:w="1037" w:type="pct"/>
            <w:tcBorders>
              <w:top w:val="nil"/>
              <w:left w:val="nil"/>
              <w:bottom w:val="nil"/>
              <w:right w:val="nil"/>
            </w:tcBorders>
            <w:vAlign w:val="center"/>
          </w:tcPr>
          <w:p w:rsidR="00565FD5" w:rsidRPr="004B3DE4" w:rsidRDefault="00565FD5" w:rsidP="00AB62A3">
            <w:pPr>
              <w:jc w:val="center"/>
              <w:rPr>
                <w:rFonts w:cs="Tahoma"/>
                <w:sz w:val="16"/>
              </w:rPr>
            </w:pPr>
            <w:r w:rsidRPr="004B3DE4">
              <w:rPr>
                <w:rFonts w:cs="Tahoma"/>
                <w:sz w:val="16"/>
              </w:rPr>
              <w:t>4</w:t>
            </w:r>
            <w:r>
              <w:rPr>
                <w:rFonts w:cs="Tahoma"/>
                <w:sz w:val="16"/>
              </w:rPr>
              <w:t xml:space="preserve"> </w:t>
            </w:r>
            <w:r w:rsidRPr="004B3DE4">
              <w:rPr>
                <w:rFonts w:cs="Tahoma"/>
                <w:sz w:val="16"/>
              </w:rPr>
              <w:t>671</w:t>
            </w:r>
          </w:p>
        </w:tc>
        <w:tc>
          <w:tcPr>
            <w:tcW w:w="551" w:type="pct"/>
            <w:tcBorders>
              <w:top w:val="nil"/>
              <w:left w:val="nil"/>
              <w:bottom w:val="nil"/>
              <w:right w:val="nil"/>
            </w:tcBorders>
            <w:vAlign w:val="center"/>
          </w:tcPr>
          <w:p w:rsidR="00565FD5" w:rsidRPr="004B3DE4" w:rsidRDefault="00565FD5" w:rsidP="00AB62A3">
            <w:pPr>
              <w:jc w:val="right"/>
              <w:rPr>
                <w:rFonts w:cs="Tahoma"/>
                <w:sz w:val="16"/>
              </w:rPr>
            </w:pPr>
            <w:r w:rsidRPr="004B3DE4">
              <w:rPr>
                <w:rFonts w:cs="Tahoma"/>
                <w:sz w:val="16"/>
              </w:rPr>
              <w:t>211</w:t>
            </w:r>
            <w:r>
              <w:rPr>
                <w:rFonts w:cs="Tahoma"/>
                <w:sz w:val="16"/>
              </w:rPr>
              <w:t xml:space="preserve"> </w:t>
            </w:r>
            <w:r w:rsidRPr="004B3DE4">
              <w:rPr>
                <w:rFonts w:cs="Tahoma"/>
                <w:sz w:val="16"/>
              </w:rPr>
              <w:t>627</w:t>
            </w:r>
          </w:p>
        </w:tc>
        <w:tc>
          <w:tcPr>
            <w:tcW w:w="633" w:type="pct"/>
            <w:tcBorders>
              <w:top w:val="nil"/>
              <w:left w:val="nil"/>
              <w:bottom w:val="nil"/>
            </w:tcBorders>
            <w:vAlign w:val="center"/>
          </w:tcPr>
          <w:p w:rsidR="00565FD5" w:rsidRPr="004B3DE4" w:rsidDel="00651A2B" w:rsidRDefault="00565FD5" w:rsidP="00AB62A3">
            <w:pPr>
              <w:jc w:val="right"/>
              <w:rPr>
                <w:rFonts w:cs="Tahoma"/>
                <w:sz w:val="16"/>
              </w:rPr>
            </w:pPr>
            <w:r w:rsidRPr="004B3DE4">
              <w:rPr>
                <w:rFonts w:cs="Tahoma"/>
                <w:sz w:val="16"/>
              </w:rPr>
              <w:t>392</w:t>
            </w:r>
            <w:r>
              <w:rPr>
                <w:rFonts w:cs="Tahoma"/>
                <w:sz w:val="16"/>
              </w:rPr>
              <w:t xml:space="preserve"> </w:t>
            </w:r>
            <w:r w:rsidRPr="004B3DE4">
              <w:rPr>
                <w:rFonts w:cs="Tahoma"/>
                <w:sz w:val="16"/>
              </w:rPr>
              <w:t>644</w:t>
            </w:r>
          </w:p>
        </w:tc>
      </w:tr>
      <w:tr w:rsidR="00565FD5" w:rsidRPr="004B3DE4" w:rsidTr="00AB62A3">
        <w:trPr>
          <w:trHeight w:val="227"/>
          <w:jc w:val="center"/>
        </w:trPr>
        <w:tc>
          <w:tcPr>
            <w:tcW w:w="719" w:type="pct"/>
            <w:tcBorders>
              <w:top w:val="nil"/>
              <w:bottom w:val="nil"/>
              <w:right w:val="nil"/>
            </w:tcBorders>
            <w:vAlign w:val="center"/>
          </w:tcPr>
          <w:p w:rsidR="00565FD5" w:rsidRPr="004B3DE4" w:rsidRDefault="00565FD5" w:rsidP="00AB62A3">
            <w:pPr>
              <w:rPr>
                <w:rFonts w:cs="Tahoma"/>
                <w:sz w:val="16"/>
                <w:szCs w:val="16"/>
              </w:rPr>
            </w:pPr>
            <w:r w:rsidRPr="004B3DE4">
              <w:rPr>
                <w:rFonts w:cs="Tahoma"/>
                <w:sz w:val="16"/>
                <w:szCs w:val="16"/>
              </w:rPr>
              <w:t xml:space="preserve">2011 </w:t>
            </w:r>
          </w:p>
        </w:tc>
        <w:tc>
          <w:tcPr>
            <w:tcW w:w="1161" w:type="pct"/>
            <w:tcBorders>
              <w:top w:val="nil"/>
              <w:left w:val="nil"/>
              <w:bottom w:val="nil"/>
              <w:right w:val="nil"/>
            </w:tcBorders>
            <w:vAlign w:val="bottom"/>
          </w:tcPr>
          <w:p w:rsidR="00565FD5" w:rsidRPr="004B3DE4" w:rsidRDefault="00565FD5" w:rsidP="00AB62A3">
            <w:pPr>
              <w:ind w:right="113"/>
              <w:jc w:val="right"/>
              <w:rPr>
                <w:rFonts w:cs="Tahoma"/>
                <w:sz w:val="16"/>
              </w:rPr>
            </w:pPr>
            <w:r w:rsidRPr="004B3DE4">
              <w:rPr>
                <w:rFonts w:cs="Tahoma"/>
                <w:sz w:val="16"/>
              </w:rPr>
              <w:t>169</w:t>
            </w:r>
            <w:r>
              <w:rPr>
                <w:rFonts w:cs="Tahoma"/>
                <w:sz w:val="16"/>
              </w:rPr>
              <w:t xml:space="preserve"> </w:t>
            </w:r>
            <w:r w:rsidRPr="004B3DE4">
              <w:rPr>
                <w:rFonts w:cs="Tahoma"/>
                <w:sz w:val="16"/>
              </w:rPr>
              <w:t>538 (1)</w:t>
            </w:r>
          </w:p>
        </w:tc>
        <w:tc>
          <w:tcPr>
            <w:tcW w:w="899" w:type="pct"/>
            <w:tcBorders>
              <w:top w:val="nil"/>
              <w:left w:val="nil"/>
              <w:bottom w:val="nil"/>
              <w:right w:val="nil"/>
            </w:tcBorders>
            <w:vAlign w:val="bottom"/>
          </w:tcPr>
          <w:p w:rsidR="00565FD5" w:rsidRPr="004B3DE4" w:rsidDel="00E556AF" w:rsidRDefault="00565FD5" w:rsidP="00AB62A3">
            <w:pPr>
              <w:ind w:right="235"/>
              <w:jc w:val="right"/>
              <w:rPr>
                <w:rFonts w:cs="Tahoma"/>
                <w:sz w:val="16"/>
              </w:rPr>
            </w:pPr>
            <w:r w:rsidRPr="004B3DE4">
              <w:rPr>
                <w:rFonts w:cs="Tahoma"/>
                <w:sz w:val="16"/>
              </w:rPr>
              <w:t>64</w:t>
            </w:r>
            <w:r>
              <w:rPr>
                <w:rFonts w:cs="Tahoma"/>
                <w:sz w:val="16"/>
              </w:rPr>
              <w:t xml:space="preserve"> </w:t>
            </w:r>
            <w:r w:rsidRPr="004B3DE4">
              <w:rPr>
                <w:rFonts w:cs="Tahoma"/>
                <w:sz w:val="16"/>
              </w:rPr>
              <w:t>085</w:t>
            </w:r>
          </w:p>
        </w:tc>
        <w:tc>
          <w:tcPr>
            <w:tcW w:w="1037" w:type="pct"/>
            <w:tcBorders>
              <w:top w:val="nil"/>
              <w:left w:val="nil"/>
              <w:bottom w:val="nil"/>
              <w:right w:val="nil"/>
            </w:tcBorders>
            <w:vAlign w:val="bottom"/>
          </w:tcPr>
          <w:p w:rsidR="00565FD5" w:rsidRPr="004B3DE4" w:rsidRDefault="00565FD5" w:rsidP="00AB62A3">
            <w:pPr>
              <w:jc w:val="center"/>
              <w:rPr>
                <w:rFonts w:cs="Tahoma"/>
                <w:sz w:val="16"/>
              </w:rPr>
            </w:pPr>
            <w:r w:rsidRPr="004B3DE4">
              <w:rPr>
                <w:rFonts w:cs="Tahoma"/>
                <w:sz w:val="16"/>
              </w:rPr>
              <w:t>16</w:t>
            </w:r>
            <w:r>
              <w:rPr>
                <w:rFonts w:cs="Tahoma"/>
                <w:sz w:val="16"/>
              </w:rPr>
              <w:t xml:space="preserve"> </w:t>
            </w:r>
            <w:r w:rsidRPr="004B3DE4">
              <w:rPr>
                <w:rFonts w:cs="Tahoma"/>
                <w:sz w:val="16"/>
              </w:rPr>
              <w:t>393</w:t>
            </w:r>
          </w:p>
        </w:tc>
        <w:tc>
          <w:tcPr>
            <w:tcW w:w="551" w:type="pct"/>
            <w:tcBorders>
              <w:top w:val="nil"/>
              <w:left w:val="nil"/>
              <w:bottom w:val="nil"/>
              <w:right w:val="nil"/>
            </w:tcBorders>
            <w:vAlign w:val="bottom"/>
          </w:tcPr>
          <w:p w:rsidR="00565FD5" w:rsidRPr="004B3DE4" w:rsidRDefault="00565FD5" w:rsidP="00AB62A3">
            <w:pPr>
              <w:jc w:val="right"/>
              <w:rPr>
                <w:rFonts w:cs="Tahoma"/>
                <w:sz w:val="16"/>
              </w:rPr>
            </w:pPr>
            <w:r w:rsidRPr="004B3DE4">
              <w:rPr>
                <w:rFonts w:cs="Tahoma"/>
                <w:sz w:val="16"/>
              </w:rPr>
              <w:t>250</w:t>
            </w:r>
            <w:r>
              <w:rPr>
                <w:rFonts w:cs="Tahoma"/>
                <w:sz w:val="16"/>
              </w:rPr>
              <w:t xml:space="preserve"> </w:t>
            </w:r>
            <w:r w:rsidRPr="004B3DE4">
              <w:rPr>
                <w:rFonts w:cs="Tahoma"/>
                <w:sz w:val="16"/>
              </w:rPr>
              <w:t>016</w:t>
            </w:r>
          </w:p>
        </w:tc>
        <w:tc>
          <w:tcPr>
            <w:tcW w:w="633" w:type="pct"/>
            <w:tcBorders>
              <w:top w:val="nil"/>
              <w:left w:val="nil"/>
              <w:bottom w:val="nil"/>
            </w:tcBorders>
            <w:vAlign w:val="center"/>
          </w:tcPr>
          <w:p w:rsidR="00565FD5" w:rsidRPr="004B3DE4" w:rsidRDefault="00565FD5" w:rsidP="00AB62A3">
            <w:pPr>
              <w:jc w:val="right"/>
              <w:rPr>
                <w:rFonts w:cs="Tahoma"/>
                <w:sz w:val="16"/>
              </w:rPr>
            </w:pPr>
            <w:r w:rsidRPr="004B3DE4">
              <w:rPr>
                <w:rFonts w:cs="Tahoma"/>
                <w:sz w:val="16"/>
              </w:rPr>
              <w:t>408</w:t>
            </w:r>
            <w:r>
              <w:rPr>
                <w:rFonts w:cs="Tahoma"/>
                <w:sz w:val="16"/>
              </w:rPr>
              <w:t xml:space="preserve"> </w:t>
            </w:r>
            <w:r w:rsidRPr="004B3DE4">
              <w:rPr>
                <w:rFonts w:cs="Tahoma"/>
                <w:sz w:val="16"/>
              </w:rPr>
              <w:t>597</w:t>
            </w:r>
          </w:p>
        </w:tc>
      </w:tr>
      <w:tr w:rsidR="00565FD5" w:rsidRPr="004B3DE4" w:rsidTr="00AB62A3">
        <w:trPr>
          <w:trHeight w:val="227"/>
          <w:jc w:val="center"/>
        </w:trPr>
        <w:tc>
          <w:tcPr>
            <w:tcW w:w="719" w:type="pct"/>
            <w:tcBorders>
              <w:top w:val="nil"/>
              <w:right w:val="nil"/>
            </w:tcBorders>
            <w:vAlign w:val="center"/>
          </w:tcPr>
          <w:p w:rsidR="00565FD5" w:rsidRPr="004B3DE4" w:rsidRDefault="00565FD5" w:rsidP="00AB62A3">
            <w:pPr>
              <w:rPr>
                <w:rFonts w:cs="Tahoma"/>
                <w:sz w:val="16"/>
                <w:szCs w:val="16"/>
              </w:rPr>
            </w:pPr>
            <w:r w:rsidRPr="004B3DE4">
              <w:rPr>
                <w:rFonts w:cs="Tahoma"/>
                <w:sz w:val="16"/>
                <w:szCs w:val="16"/>
              </w:rPr>
              <w:t>2012 (2)</w:t>
            </w:r>
          </w:p>
        </w:tc>
        <w:tc>
          <w:tcPr>
            <w:tcW w:w="1161" w:type="pct"/>
            <w:tcBorders>
              <w:top w:val="nil"/>
              <w:left w:val="nil"/>
              <w:right w:val="nil"/>
            </w:tcBorders>
            <w:vAlign w:val="center"/>
          </w:tcPr>
          <w:p w:rsidR="00565FD5" w:rsidRPr="004B3DE4" w:rsidRDefault="00565FD5" w:rsidP="00AB62A3">
            <w:pPr>
              <w:ind w:right="113"/>
              <w:jc w:val="right"/>
              <w:rPr>
                <w:rFonts w:cs="Tahoma"/>
                <w:sz w:val="16"/>
              </w:rPr>
            </w:pPr>
            <w:r w:rsidRPr="004B3DE4">
              <w:rPr>
                <w:rFonts w:cs="Tahoma"/>
                <w:sz w:val="16"/>
              </w:rPr>
              <w:t>160</w:t>
            </w:r>
            <w:r>
              <w:rPr>
                <w:rFonts w:cs="Tahoma"/>
                <w:sz w:val="16"/>
              </w:rPr>
              <w:t xml:space="preserve"> </w:t>
            </w:r>
            <w:r w:rsidRPr="004B3DE4">
              <w:rPr>
                <w:rFonts w:cs="Tahoma"/>
                <w:sz w:val="16"/>
              </w:rPr>
              <w:t>924</w:t>
            </w:r>
          </w:p>
        </w:tc>
        <w:tc>
          <w:tcPr>
            <w:tcW w:w="899" w:type="pct"/>
            <w:tcBorders>
              <w:top w:val="nil"/>
              <w:left w:val="nil"/>
              <w:right w:val="nil"/>
            </w:tcBorders>
            <w:vAlign w:val="bottom"/>
          </w:tcPr>
          <w:p w:rsidR="00565FD5" w:rsidRPr="004B3DE4" w:rsidRDefault="00565FD5" w:rsidP="00AB62A3">
            <w:pPr>
              <w:ind w:right="235"/>
              <w:jc w:val="right"/>
              <w:rPr>
                <w:rFonts w:cs="Tahoma"/>
                <w:sz w:val="16"/>
              </w:rPr>
            </w:pPr>
            <w:r w:rsidRPr="004B3DE4">
              <w:rPr>
                <w:rFonts w:cs="Tahoma"/>
                <w:sz w:val="16"/>
              </w:rPr>
              <w:t>107</w:t>
            </w:r>
            <w:r>
              <w:rPr>
                <w:rFonts w:cs="Tahoma"/>
                <w:sz w:val="16"/>
              </w:rPr>
              <w:t xml:space="preserve"> </w:t>
            </w:r>
            <w:r w:rsidRPr="004B3DE4">
              <w:rPr>
                <w:rFonts w:cs="Tahoma"/>
                <w:sz w:val="16"/>
              </w:rPr>
              <w:t>660</w:t>
            </w:r>
          </w:p>
        </w:tc>
        <w:tc>
          <w:tcPr>
            <w:tcW w:w="1037" w:type="pct"/>
            <w:tcBorders>
              <w:top w:val="nil"/>
              <w:left w:val="nil"/>
              <w:right w:val="nil"/>
            </w:tcBorders>
            <w:vAlign w:val="bottom"/>
          </w:tcPr>
          <w:p w:rsidR="00565FD5" w:rsidRPr="004B3DE4" w:rsidRDefault="00565FD5" w:rsidP="00AB62A3">
            <w:pPr>
              <w:jc w:val="center"/>
              <w:rPr>
                <w:rFonts w:cs="Tahoma"/>
                <w:sz w:val="16"/>
              </w:rPr>
            </w:pPr>
            <w:r w:rsidRPr="004B3DE4">
              <w:rPr>
                <w:rFonts w:cs="Tahoma"/>
                <w:sz w:val="16"/>
              </w:rPr>
              <w:t>15</w:t>
            </w:r>
            <w:r>
              <w:rPr>
                <w:rFonts w:cs="Tahoma"/>
                <w:sz w:val="16"/>
              </w:rPr>
              <w:t xml:space="preserve"> </w:t>
            </w:r>
            <w:r w:rsidRPr="004B3DE4">
              <w:rPr>
                <w:rFonts w:cs="Tahoma"/>
                <w:sz w:val="16"/>
              </w:rPr>
              <w:t>514</w:t>
            </w:r>
          </w:p>
        </w:tc>
        <w:tc>
          <w:tcPr>
            <w:tcW w:w="551" w:type="pct"/>
            <w:tcBorders>
              <w:top w:val="nil"/>
              <w:left w:val="nil"/>
              <w:right w:val="nil"/>
            </w:tcBorders>
            <w:vAlign w:val="bottom"/>
          </w:tcPr>
          <w:p w:rsidR="00565FD5" w:rsidRPr="004B3DE4" w:rsidRDefault="00565FD5" w:rsidP="00AB62A3">
            <w:pPr>
              <w:jc w:val="right"/>
              <w:rPr>
                <w:rFonts w:cs="Tahoma"/>
                <w:sz w:val="16"/>
              </w:rPr>
            </w:pPr>
            <w:r w:rsidRPr="004B3DE4">
              <w:rPr>
                <w:rFonts w:cs="Tahoma"/>
                <w:sz w:val="16"/>
              </w:rPr>
              <w:t>284</w:t>
            </w:r>
            <w:r>
              <w:rPr>
                <w:rFonts w:cs="Tahoma"/>
                <w:sz w:val="16"/>
              </w:rPr>
              <w:t xml:space="preserve"> </w:t>
            </w:r>
            <w:r w:rsidRPr="004B3DE4">
              <w:rPr>
                <w:rFonts w:cs="Tahoma"/>
                <w:sz w:val="16"/>
              </w:rPr>
              <w:t>098</w:t>
            </w:r>
          </w:p>
        </w:tc>
        <w:tc>
          <w:tcPr>
            <w:tcW w:w="633" w:type="pct"/>
            <w:tcBorders>
              <w:top w:val="nil"/>
              <w:left w:val="nil"/>
            </w:tcBorders>
            <w:vAlign w:val="center"/>
          </w:tcPr>
          <w:p w:rsidR="00565FD5" w:rsidRPr="004B3DE4" w:rsidRDefault="00565FD5" w:rsidP="00AB62A3">
            <w:pPr>
              <w:jc w:val="right"/>
              <w:rPr>
                <w:rFonts w:cs="Tahoma"/>
                <w:sz w:val="16"/>
              </w:rPr>
            </w:pPr>
            <w:r w:rsidRPr="004B3DE4">
              <w:rPr>
                <w:rFonts w:cs="Tahoma"/>
                <w:sz w:val="16"/>
              </w:rPr>
              <w:t>607</w:t>
            </w:r>
            <w:r>
              <w:rPr>
                <w:rFonts w:cs="Tahoma"/>
                <w:sz w:val="16"/>
              </w:rPr>
              <w:t xml:space="preserve"> </w:t>
            </w:r>
            <w:r w:rsidRPr="004B3DE4">
              <w:rPr>
                <w:rFonts w:cs="Tahoma"/>
                <w:sz w:val="16"/>
              </w:rPr>
              <w:t>903</w:t>
            </w:r>
          </w:p>
        </w:tc>
      </w:tr>
    </w:tbl>
    <w:p w:rsidR="00565FD5" w:rsidRPr="004B3DE4" w:rsidRDefault="00565FD5" w:rsidP="00565FD5">
      <w:pPr>
        <w:spacing w:line="240" w:lineRule="atLeast"/>
        <w:rPr>
          <w:rFonts w:cs="Tahoma"/>
          <w:sz w:val="14"/>
          <w:szCs w:val="14"/>
        </w:rPr>
      </w:pPr>
      <w:r w:rsidRPr="004B3DE4">
        <w:rPr>
          <w:rFonts w:cs="Tahoma"/>
          <w:sz w:val="14"/>
          <w:szCs w:val="14"/>
        </w:rPr>
        <w:t>Kaynak: İŞKUR</w:t>
      </w:r>
    </w:p>
    <w:p w:rsidR="00565FD5" w:rsidRPr="004B3DE4" w:rsidRDefault="00565FD5" w:rsidP="00565FD5">
      <w:pPr>
        <w:rPr>
          <w:rFonts w:cs="Tahoma"/>
          <w:sz w:val="14"/>
          <w:szCs w:val="14"/>
        </w:rPr>
      </w:pPr>
      <w:r w:rsidRPr="004B3DE4">
        <w:rPr>
          <w:rFonts w:cs="Tahoma"/>
          <w:sz w:val="14"/>
          <w:szCs w:val="14"/>
        </w:rPr>
        <w:t>(1) 2010-2011 ve 2012 Yıllarına ait Çalışanların Mesleki Eğitimi ve Girişimcilik Eğitim Programları kursiyer sayıları dahil edilmiştir.</w:t>
      </w:r>
    </w:p>
    <w:p w:rsidR="00565FD5" w:rsidRPr="004B3DE4" w:rsidRDefault="00565FD5" w:rsidP="00565FD5">
      <w:pPr>
        <w:rPr>
          <w:rFonts w:cs="Tahoma"/>
          <w:sz w:val="14"/>
          <w:szCs w:val="14"/>
        </w:rPr>
      </w:pPr>
      <w:r w:rsidRPr="004B3DE4">
        <w:rPr>
          <w:rFonts w:cs="Tahoma"/>
          <w:sz w:val="14"/>
          <w:szCs w:val="14"/>
        </w:rPr>
        <w:t>(2) 30 Ağustos 2012 itibarıyla</w:t>
      </w:r>
    </w:p>
    <w:p w:rsidR="00565FD5" w:rsidRPr="004B3DE4" w:rsidRDefault="00565FD5" w:rsidP="00565FD5">
      <w:pPr>
        <w:rPr>
          <w:rFonts w:cs="Tahoma"/>
          <w:sz w:val="14"/>
          <w:szCs w:val="14"/>
        </w:rPr>
      </w:pPr>
    </w:p>
    <w:p w:rsidR="00565FD5" w:rsidRPr="004B3DE4" w:rsidRDefault="00565FD5" w:rsidP="00565FD5">
      <w:pPr>
        <w:spacing w:after="120"/>
        <w:ind w:firstLine="425"/>
        <w:rPr>
          <w:rFonts w:cs="Tahoma"/>
          <w:szCs w:val="18"/>
        </w:rPr>
      </w:pPr>
      <w:r w:rsidRPr="004B3DE4">
        <w:rPr>
          <w:rFonts w:cs="Tahoma"/>
          <w:szCs w:val="18"/>
        </w:rPr>
        <w:t xml:space="preserve">Aktif işgücü programlarının öncelikli yürütücüsü olan İŞKUR’un bu hizmetleri daha etkin ve verimli olarak yürütebilmesine yönelik olarak iş ve meslek danışmanı alımına ilişkin süreç başlatılmış olup 2.799 sözleşmeli iş ve meslek danışmanı il müdürlüklerinde istihdam edilmiştir. 2012 yılında ise 1.201 </w:t>
      </w:r>
      <w:r w:rsidRPr="004B3DE4">
        <w:rPr>
          <w:rFonts w:cs="Tahoma"/>
          <w:szCs w:val="18"/>
        </w:rPr>
        <w:lastRenderedPageBreak/>
        <w:t>ilave iş ve meslek danışmanının istihdamı öngörülmektedir. Buna karşın, İŞKUR’un nitelikli eleman sayısının artırılmasının yanı sıra iş ve meslek danışmanlarının fiziki koşullarının iyileştirilmesi ihtiyacı devam etmektedir.</w:t>
      </w:r>
    </w:p>
    <w:p w:rsidR="00565FD5" w:rsidRPr="004B3DE4" w:rsidRDefault="00565FD5" w:rsidP="00565FD5">
      <w:pPr>
        <w:spacing w:after="120"/>
        <w:ind w:firstLine="425"/>
        <w:rPr>
          <w:rFonts w:cs="Tahoma"/>
          <w:szCs w:val="18"/>
        </w:rPr>
      </w:pPr>
      <w:r w:rsidRPr="004B3DE4">
        <w:rPr>
          <w:rFonts w:cs="Tahoma"/>
          <w:szCs w:val="18"/>
        </w:rPr>
        <w:t>Ülkemizde, aktif işgücü programları altında aracılık hizmetleri özel istihdam büroları tarafından da verilmektedir. 2004 yılında İŞKUR tarafından izin verilen büroların sayısı 23 iken, bu sayı 2011 yılı sonu itibarıyla 568’e yükselmiştir. Bürolara geçici iş ilişkisi kurma yetkisi verilmesine yönelik yasal düzenleme ihtiyacı önemini korumaktadır.</w:t>
      </w:r>
    </w:p>
    <w:p w:rsidR="00565FD5" w:rsidRPr="004B3DE4" w:rsidRDefault="00565FD5" w:rsidP="00565FD5">
      <w:pPr>
        <w:spacing w:after="120"/>
        <w:ind w:firstLine="425"/>
        <w:rPr>
          <w:rFonts w:cs="Tahoma"/>
          <w:szCs w:val="18"/>
        </w:rPr>
      </w:pPr>
      <w:r w:rsidRPr="004B3DE4">
        <w:rPr>
          <w:rFonts w:cs="Tahoma"/>
          <w:szCs w:val="18"/>
        </w:rPr>
        <w:t xml:space="preserve">Aktif işgücü programları altında, kendi işini kurmak isteyenlere yönelik olarak 2011 yılında 23.314, 2012 yılı Eylül ayı itibarıyla 48.529 kişiye girişimcilik eğitimi verilmiştir. Ayrıca en az lise düzeyindeki eğitim kurumlarından mezun olan işsizlere yönelik olarak 2011 yılında 6.393, 2012 yılı Eylül ayı itibarıyla ise 15.514 kişiye iş başı eğitimi verilmiştir. </w:t>
      </w:r>
    </w:p>
    <w:p w:rsidR="00565FD5" w:rsidRPr="004B3DE4" w:rsidRDefault="00565FD5" w:rsidP="00565FD5">
      <w:pPr>
        <w:spacing w:after="120"/>
        <w:ind w:firstLine="425"/>
        <w:rPr>
          <w:rFonts w:cs="Tahoma"/>
          <w:szCs w:val="18"/>
        </w:rPr>
      </w:pPr>
      <w:r w:rsidRPr="004B3DE4">
        <w:rPr>
          <w:rFonts w:cs="Tahoma"/>
          <w:szCs w:val="18"/>
        </w:rPr>
        <w:t xml:space="preserve">2007 yılından itibaren İŞKUR tarafından yapılan işgücü piyasası ihtiyaç analizlerinin aktif işgücü programlarının, piyasanın ihtiyaçlarına göre tasarlanmasına ve uygulanmasına ulusal ve yerel düzeyde katkı sağlamak üzere gözden geçirilerek geliştirilmesi ihtiyacı devam etmektedir. </w:t>
      </w:r>
    </w:p>
    <w:p w:rsidR="00565FD5" w:rsidRPr="004B3DE4" w:rsidRDefault="00565FD5" w:rsidP="00565FD5">
      <w:pPr>
        <w:spacing w:after="120"/>
        <w:ind w:firstLine="425"/>
        <w:rPr>
          <w:rFonts w:cs="Tahoma"/>
          <w:szCs w:val="18"/>
        </w:rPr>
      </w:pPr>
      <w:r w:rsidRPr="004B3DE4">
        <w:rPr>
          <w:rFonts w:cs="Tahoma"/>
          <w:szCs w:val="18"/>
        </w:rPr>
        <w:t xml:space="preserve">Katılım Öncesi Mali Yardım Aracı (IPA) İnsan Kaynaklarının Geliştirilmesi Operasyonel Programı çerçevesinde, 2008-2013 döneminde İŞKUR tarafından toplam bütçesi 68 milyon avro olan, Genç İşsizliğinin Azaltılması, Kamu İstihdam Hizmetlerinin Kalitesinin Artırılması ve Kadın İstihdamının Desteklenmesi Operasyonları yürütülmektedir. </w:t>
      </w:r>
    </w:p>
    <w:p w:rsidR="00565FD5" w:rsidRPr="004B3DE4" w:rsidRDefault="00565FD5" w:rsidP="00565FD5">
      <w:pPr>
        <w:pStyle w:val="Balk4"/>
      </w:pPr>
      <w:bookmarkStart w:id="2361" w:name="_Toc276076332"/>
      <w:bookmarkStart w:id="2362" w:name="_Toc244339653"/>
      <w:bookmarkStart w:id="2363" w:name="_Toc244315190"/>
      <w:bookmarkStart w:id="2364" w:name="_Toc244313713"/>
      <w:bookmarkStart w:id="2365" w:name="_Toc244254978"/>
      <w:bookmarkStart w:id="2366" w:name="_Toc244253728"/>
      <w:bookmarkStart w:id="2367" w:name="_Toc213065714"/>
      <w:bookmarkStart w:id="2368" w:name="_Toc181286078"/>
      <w:bookmarkStart w:id="2369" w:name="_Toc181284999"/>
      <w:bookmarkStart w:id="2370" w:name="_Toc149986862"/>
      <w:bookmarkStart w:id="2371" w:name="_Toc149968540"/>
      <w:bookmarkStart w:id="2372" w:name="_Toc307602052"/>
      <w:bookmarkStart w:id="2373" w:name="_Toc307670489"/>
      <w:bookmarkStart w:id="2374" w:name="_Toc307701715"/>
      <w:bookmarkStart w:id="2375" w:name="_Toc338505618"/>
      <w:bookmarkStart w:id="2376" w:name="_Toc338523849"/>
      <w:bookmarkStart w:id="2377" w:name="_Toc338524080"/>
      <w:bookmarkStart w:id="2378" w:name="_Toc338526306"/>
      <w:bookmarkStart w:id="2379" w:name="_Toc338673749"/>
      <w:bookmarkStart w:id="2380" w:name="_Toc338711628"/>
      <w:r w:rsidRPr="004B3DE4">
        <w:t>2. Temel Amaç ve Hedefler</w:t>
      </w:r>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p>
    <w:p w:rsidR="00565FD5" w:rsidRPr="004B3DE4" w:rsidRDefault="00565FD5" w:rsidP="00565FD5">
      <w:pPr>
        <w:spacing w:after="240"/>
        <w:ind w:firstLine="425"/>
        <w:rPr>
          <w:rFonts w:cs="Tahoma"/>
          <w:szCs w:val="18"/>
        </w:rPr>
      </w:pPr>
      <w:r w:rsidRPr="004B3DE4">
        <w:rPr>
          <w:rFonts w:cs="Tahoma"/>
          <w:szCs w:val="18"/>
        </w:rPr>
        <w:t>Aktif işgücü politikalarının işgücü piyasasının ihtiyaçları doğrultusunda geliştirilmesi, yaygınlaştırılması ve bu kapsamda sunulan hizmetlerin kalitesinin yükseltilmesi temel amaçtır.</w:t>
      </w:r>
    </w:p>
    <w:p w:rsidR="00565FD5" w:rsidRPr="004B3DE4" w:rsidRDefault="00565FD5" w:rsidP="00565FD5">
      <w:pPr>
        <w:pStyle w:val="Balk4"/>
      </w:pPr>
      <w:bookmarkStart w:id="2381" w:name="_Toc276076333"/>
      <w:bookmarkStart w:id="2382" w:name="_Toc244339654"/>
      <w:bookmarkStart w:id="2383" w:name="_Toc244315191"/>
      <w:bookmarkStart w:id="2384" w:name="_Toc244313714"/>
      <w:bookmarkStart w:id="2385" w:name="_Toc244254979"/>
      <w:bookmarkStart w:id="2386" w:name="_Toc244253729"/>
      <w:bookmarkStart w:id="2387" w:name="_Toc213065715"/>
      <w:bookmarkStart w:id="2388" w:name="_Toc181286079"/>
      <w:bookmarkStart w:id="2389" w:name="_Toc181285000"/>
      <w:bookmarkStart w:id="2390" w:name="_Toc149986863"/>
      <w:bookmarkStart w:id="2391" w:name="_Toc149968541"/>
      <w:bookmarkStart w:id="2392" w:name="_Toc118568087"/>
      <w:bookmarkStart w:id="2393" w:name="_Toc118567209"/>
      <w:bookmarkStart w:id="2394" w:name="_Toc118567104"/>
      <w:bookmarkStart w:id="2395" w:name="_Toc118560481"/>
      <w:bookmarkStart w:id="2396" w:name="_Toc118555878"/>
      <w:bookmarkStart w:id="2397" w:name="_Toc118526980"/>
      <w:bookmarkStart w:id="2398" w:name="_Toc118526765"/>
      <w:bookmarkStart w:id="2399" w:name="_Toc307602053"/>
      <w:bookmarkStart w:id="2400" w:name="_Toc307670490"/>
      <w:bookmarkStart w:id="2401" w:name="_Toc307701716"/>
      <w:bookmarkStart w:id="2402" w:name="_Toc338505619"/>
      <w:bookmarkStart w:id="2403" w:name="_Toc338523850"/>
      <w:bookmarkStart w:id="2404" w:name="_Toc338524081"/>
      <w:bookmarkStart w:id="2405" w:name="_Toc338526307"/>
      <w:bookmarkStart w:id="2406" w:name="_Toc338673750"/>
      <w:bookmarkStart w:id="2407" w:name="_Toc338711629"/>
      <w:r w:rsidRPr="004B3DE4">
        <w:t>3. Politika Öncelikleri ve Tedbirler</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r w:rsidRPr="004B3DE4">
        <w:t xml:space="preserve"> </w:t>
      </w: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830"/>
        <w:gridCol w:w="1904"/>
        <w:gridCol w:w="856"/>
        <w:gridCol w:w="2554"/>
      </w:tblGrid>
      <w:tr w:rsidR="00565FD5" w:rsidRPr="004B3DE4" w:rsidTr="00AB62A3">
        <w:trPr>
          <w:trHeight w:val="20"/>
          <w:jc w:val="center"/>
        </w:trPr>
        <w:tc>
          <w:tcPr>
            <w:tcW w:w="1817" w:type="dxa"/>
            <w:shd w:val="clear" w:color="auto" w:fill="FFFFFF"/>
            <w:vAlign w:val="bottom"/>
          </w:tcPr>
          <w:p w:rsidR="00565FD5" w:rsidRPr="004B3DE4" w:rsidRDefault="00565FD5" w:rsidP="00AB62A3">
            <w:pPr>
              <w:spacing w:before="80" w:after="80"/>
              <w:rPr>
                <w:rFonts w:cs="Tahoma"/>
                <w:b/>
                <w:bCs/>
                <w:color w:val="000000"/>
                <w:sz w:val="16"/>
                <w:szCs w:val="16"/>
                <w:lang w:eastAsia="tr-TR"/>
              </w:rPr>
            </w:pPr>
            <w:r w:rsidRPr="004B3DE4">
              <w:rPr>
                <w:rFonts w:cs="Tahoma"/>
                <w:b/>
                <w:bCs/>
                <w:color w:val="000000"/>
                <w:sz w:val="16"/>
                <w:szCs w:val="16"/>
                <w:lang w:eastAsia="tr-TR"/>
              </w:rPr>
              <w:t>Öncelik / Tedbir</w:t>
            </w:r>
          </w:p>
        </w:tc>
        <w:tc>
          <w:tcPr>
            <w:tcW w:w="1890" w:type="dxa"/>
            <w:shd w:val="clear" w:color="auto" w:fill="FFFFFF"/>
            <w:vAlign w:val="bottom"/>
          </w:tcPr>
          <w:p w:rsidR="00565FD5" w:rsidRPr="004B3DE4" w:rsidRDefault="00565FD5" w:rsidP="00AB62A3">
            <w:pPr>
              <w:spacing w:before="80" w:after="80"/>
              <w:rPr>
                <w:rFonts w:cs="Tahoma"/>
                <w:b/>
                <w:bCs/>
                <w:color w:val="000000"/>
                <w:sz w:val="16"/>
                <w:szCs w:val="16"/>
                <w:lang w:eastAsia="tr-TR"/>
              </w:rPr>
            </w:pPr>
            <w:r w:rsidRPr="004B3DE4">
              <w:rPr>
                <w:rFonts w:cs="Tahoma"/>
                <w:b/>
                <w:bCs/>
                <w:color w:val="000000"/>
                <w:sz w:val="16"/>
                <w:szCs w:val="16"/>
                <w:lang w:eastAsia="tr-TR"/>
              </w:rPr>
              <w:t>Sorumlu / İşbirliği Yapılacak Kuruluşlar</w:t>
            </w:r>
          </w:p>
        </w:tc>
        <w:tc>
          <w:tcPr>
            <w:tcW w:w="850" w:type="dxa"/>
            <w:shd w:val="clear" w:color="auto" w:fill="FFFFFF"/>
            <w:vAlign w:val="bottom"/>
          </w:tcPr>
          <w:p w:rsidR="00565FD5" w:rsidRPr="004B3DE4" w:rsidRDefault="00565FD5" w:rsidP="00AB62A3">
            <w:pPr>
              <w:spacing w:before="80" w:after="80"/>
              <w:rPr>
                <w:rFonts w:cs="Tahoma"/>
                <w:b/>
                <w:bCs/>
                <w:color w:val="000000"/>
                <w:sz w:val="16"/>
                <w:szCs w:val="16"/>
                <w:lang w:eastAsia="tr-TR"/>
              </w:rPr>
            </w:pPr>
            <w:r w:rsidRPr="004B3DE4">
              <w:rPr>
                <w:rFonts w:cs="Tahoma"/>
                <w:b/>
                <w:bCs/>
                <w:color w:val="000000"/>
                <w:sz w:val="16"/>
                <w:szCs w:val="16"/>
                <w:lang w:eastAsia="tr-TR"/>
              </w:rPr>
              <w:t>Süre</w:t>
            </w:r>
          </w:p>
        </w:tc>
        <w:tc>
          <w:tcPr>
            <w:tcW w:w="2535" w:type="dxa"/>
            <w:shd w:val="clear" w:color="auto" w:fill="FFFFFF"/>
            <w:vAlign w:val="bottom"/>
          </w:tcPr>
          <w:p w:rsidR="00565FD5" w:rsidRPr="004B3DE4" w:rsidRDefault="00565FD5" w:rsidP="00AB62A3">
            <w:pPr>
              <w:spacing w:before="80" w:after="80"/>
              <w:rPr>
                <w:rFonts w:cs="Tahoma"/>
                <w:b/>
                <w:bCs/>
                <w:color w:val="000000"/>
                <w:sz w:val="16"/>
                <w:szCs w:val="16"/>
                <w:lang w:eastAsia="tr-TR"/>
              </w:rPr>
            </w:pPr>
            <w:r w:rsidRPr="004B3DE4">
              <w:rPr>
                <w:rFonts w:cs="Tahoma"/>
                <w:b/>
                <w:bCs/>
                <w:color w:val="000000"/>
                <w:sz w:val="16"/>
                <w:szCs w:val="16"/>
                <w:lang w:eastAsia="tr-TR"/>
              </w:rPr>
              <w:t>Yapılacak İşlem ve Açıklama</w:t>
            </w:r>
          </w:p>
        </w:tc>
      </w:tr>
      <w:tr w:rsidR="00565FD5" w:rsidRPr="004B3DE4" w:rsidTr="00AB62A3">
        <w:trPr>
          <w:trHeight w:val="20"/>
          <w:jc w:val="center"/>
        </w:trPr>
        <w:tc>
          <w:tcPr>
            <w:tcW w:w="7092" w:type="dxa"/>
            <w:gridSpan w:val="4"/>
            <w:shd w:val="clear" w:color="auto" w:fill="FFFFFF"/>
          </w:tcPr>
          <w:p w:rsidR="00565FD5" w:rsidRPr="004B3DE4" w:rsidRDefault="00565FD5" w:rsidP="00EB1E69">
            <w:pPr>
              <w:numPr>
                <w:ilvl w:val="0"/>
                <w:numId w:val="15"/>
              </w:numPr>
              <w:tabs>
                <w:tab w:val="left" w:pos="425"/>
              </w:tabs>
              <w:spacing w:before="80" w:after="80" w:line="240" w:lineRule="auto"/>
              <w:jc w:val="both"/>
              <w:rPr>
                <w:rFonts w:cs="Tahoma"/>
                <w:color w:val="000000"/>
                <w:sz w:val="16"/>
                <w:szCs w:val="16"/>
                <w:lang w:eastAsia="tr-TR"/>
              </w:rPr>
            </w:pPr>
            <w:r w:rsidRPr="004B3DE4">
              <w:rPr>
                <w:rFonts w:cs="Tahoma"/>
                <w:b/>
                <w:bCs/>
                <w:color w:val="000000"/>
                <w:sz w:val="16"/>
                <w:szCs w:val="16"/>
                <w:lang w:eastAsia="tr-TR"/>
              </w:rPr>
              <w:t>Aktif işgücü programları, işgücü piyasası üzerindeki etkileri değerlendirilerek, ulusal, bölgesel ve sektörel düzeyde işgücü piyasası ihtiyaç analizleri doğrultusunda yaygınlaştırılacaktır.</w:t>
            </w:r>
          </w:p>
        </w:tc>
      </w:tr>
      <w:tr w:rsidR="00565FD5" w:rsidRPr="004B3DE4" w:rsidTr="00AB62A3">
        <w:trPr>
          <w:trHeight w:val="20"/>
          <w:jc w:val="center"/>
        </w:trPr>
        <w:tc>
          <w:tcPr>
            <w:tcW w:w="1817" w:type="dxa"/>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t xml:space="preserve">Başta işgücü piyasasına girişte </w:t>
            </w:r>
            <w:r w:rsidRPr="004B3DE4">
              <w:rPr>
                <w:rFonts w:cs="Tahoma"/>
                <w:color w:val="000000"/>
                <w:sz w:val="16"/>
                <w:szCs w:val="16"/>
                <w:lang w:eastAsia="tr-TR"/>
              </w:rPr>
              <w:lastRenderedPageBreak/>
              <w:t xml:space="preserve">zorlukla karşılaşanlar olmak üzere bireylerin aktif işgücü programlarına erişimleri artırılacaktır. </w:t>
            </w:r>
          </w:p>
        </w:tc>
        <w:tc>
          <w:tcPr>
            <w:tcW w:w="1890" w:type="dxa"/>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lastRenderedPageBreak/>
              <w:t xml:space="preserve">İŞKUR (S), Kalkınma </w:t>
            </w:r>
            <w:r w:rsidRPr="004B3DE4">
              <w:rPr>
                <w:rFonts w:cs="Tahoma"/>
                <w:color w:val="000000"/>
                <w:sz w:val="16"/>
                <w:szCs w:val="16"/>
                <w:lang w:eastAsia="tr-TR"/>
              </w:rPr>
              <w:lastRenderedPageBreak/>
              <w:t>Bakanlığı, Maliye Bakanlığı, Adalet Bakanlığı, ÇSGB, MEB, Aile ve Sosyal Politikalar Bakanlığı, Gençlik ve Spor Bakanlığı, Hazine Müsteşarlığı, SGK, YÖK, KOSGEB, Valilikler, Yerel Yönetimler, Kalkınma Ajansları,</w:t>
            </w:r>
            <w:r w:rsidRPr="004B3DE4">
              <w:rPr>
                <w:rFonts w:cs="Tahoma"/>
                <w:b/>
                <w:bCs/>
                <w:color w:val="000000"/>
                <w:sz w:val="16"/>
                <w:szCs w:val="16"/>
                <w:lang w:eastAsia="tr-TR"/>
              </w:rPr>
              <w:t xml:space="preserve"> </w:t>
            </w:r>
            <w:r w:rsidRPr="004B3DE4">
              <w:rPr>
                <w:rFonts w:cs="Tahoma"/>
                <w:color w:val="000000"/>
                <w:sz w:val="16"/>
                <w:szCs w:val="16"/>
                <w:lang w:eastAsia="tr-TR"/>
              </w:rPr>
              <w:t>İşçi ve İşveren Sendikaları Konfederasyonları, Meslek Kuruluşları, STK’lar</w:t>
            </w:r>
          </w:p>
        </w:tc>
        <w:tc>
          <w:tcPr>
            <w:tcW w:w="850" w:type="dxa"/>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lastRenderedPageBreak/>
              <w:t xml:space="preserve">Aralık </w:t>
            </w:r>
            <w:r w:rsidRPr="004B3DE4">
              <w:rPr>
                <w:rFonts w:cs="Tahoma"/>
                <w:color w:val="000000"/>
                <w:sz w:val="16"/>
                <w:szCs w:val="16"/>
                <w:lang w:eastAsia="tr-TR"/>
              </w:rPr>
              <w:lastRenderedPageBreak/>
              <w:t xml:space="preserve">Sonu </w:t>
            </w:r>
          </w:p>
        </w:tc>
        <w:tc>
          <w:tcPr>
            <w:tcW w:w="2535" w:type="dxa"/>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lastRenderedPageBreak/>
              <w:t xml:space="preserve">Bireylere niteliklerine uygun </w:t>
            </w:r>
            <w:r w:rsidRPr="004B3DE4">
              <w:rPr>
                <w:rFonts w:cs="Tahoma"/>
                <w:color w:val="000000"/>
                <w:sz w:val="16"/>
                <w:szCs w:val="16"/>
                <w:lang w:eastAsia="tr-TR"/>
              </w:rPr>
              <w:lastRenderedPageBreak/>
              <w:t xml:space="preserve">becerilerin kazandırılması, iş bulmalarının ve iş kurmalarının kolaylaştırılması amacıyla bu kesimlere iş arama ve mesleki yönlendirme hizmetleri ile teorik ve işbaşı eğitimlerinin bir arada verildiği aktif işgücü programları yaygınlaştırılacaktır. Bu kapsamda, iş ve meslek danışmanlığına, istihdam garantili kurslara, girişimcilik eğitimlerine ve </w:t>
            </w:r>
            <w:r>
              <w:rPr>
                <w:rFonts w:cs="Tahoma"/>
                <w:color w:val="000000"/>
                <w:sz w:val="16"/>
                <w:szCs w:val="16"/>
                <w:lang w:eastAsia="tr-TR"/>
              </w:rPr>
              <w:t>dezavantajlı</w:t>
            </w:r>
            <w:r w:rsidRPr="004B3DE4">
              <w:rPr>
                <w:rFonts w:cs="Tahoma"/>
                <w:color w:val="000000"/>
                <w:sz w:val="16"/>
                <w:szCs w:val="16"/>
                <w:lang w:eastAsia="tr-TR"/>
              </w:rPr>
              <w:t xml:space="preserve"> gruplara yönelik programlara öncelik verilecektir. Ayrıca, İŞKUR’un üniversite, meslek yüksekokulu ve lise son sınıf öğrencilerine yönelik tanıtım faaliyetlerine ağırlık verilecektir.</w:t>
            </w:r>
          </w:p>
        </w:tc>
      </w:tr>
      <w:tr w:rsidR="00565FD5" w:rsidRPr="004B3DE4" w:rsidTr="00AB62A3">
        <w:trPr>
          <w:trHeight w:val="20"/>
          <w:jc w:val="center"/>
        </w:trPr>
        <w:tc>
          <w:tcPr>
            <w:tcW w:w="1817" w:type="dxa"/>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lastRenderedPageBreak/>
              <w:t>İşgücü piyasası ihtiyaç analizleri ulusal ve yerel düzeyde periyodik olarak ve etkin bir biçimde yapılacaktır.</w:t>
            </w:r>
          </w:p>
        </w:tc>
        <w:tc>
          <w:tcPr>
            <w:tcW w:w="1890" w:type="dxa"/>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İŞKUR (S), TÜİK, Kalkınma Bakanlığı, ÇSGB, MEB, Hazine Müsteşarlığı, MYK, KOSGEB, Kalkınma Ajansları, Yerel Yönetimler, İşçi ve İşveren Sendikaları Konfederasyonları, Üniversiteler, Meslek Kuruluşları</w:t>
            </w:r>
          </w:p>
        </w:tc>
        <w:tc>
          <w:tcPr>
            <w:tcW w:w="850" w:type="dxa"/>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Aralık Sonu</w:t>
            </w:r>
          </w:p>
        </w:tc>
        <w:tc>
          <w:tcPr>
            <w:tcW w:w="2535" w:type="dxa"/>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 xml:space="preserve">İŞKUR tarafından söz konusu analizler ulusal düzeyde yılda en az iki kez ve yerel düzeyde ise İl İstihdam ve Mesleki Eğitim Kurulları aracılığıyla yılda en az bir kez yapılacaktır. Söz konusu ihtiyaç analizlerine göre hangi aktif işgücü programlarının açılacağına karar verilecektir. </w:t>
            </w:r>
          </w:p>
        </w:tc>
      </w:tr>
      <w:tr w:rsidR="00565FD5" w:rsidRPr="004B3DE4" w:rsidTr="00AB62A3">
        <w:trPr>
          <w:trHeight w:val="20"/>
          <w:jc w:val="center"/>
        </w:trPr>
        <w:tc>
          <w:tcPr>
            <w:tcW w:w="1817" w:type="dxa"/>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t xml:space="preserve">Aktif işgücü programları izleme ve değerlendirme sistemi oluşturulacaktır. </w:t>
            </w:r>
          </w:p>
        </w:tc>
        <w:tc>
          <w:tcPr>
            <w:tcW w:w="1890" w:type="dxa"/>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İŞKUR (S), Kalkınma Bakanlığı, ÇSGB, MEB, Hazine Müsteşarlığı, MYK, KOSGEB, Kalkınma Ajansları, Yerel Yönetimler, İşçi ve İşveren Sendikaları Konfederasyonları, Üniversiteler, Meslek Kuruluşları</w:t>
            </w:r>
          </w:p>
        </w:tc>
        <w:tc>
          <w:tcPr>
            <w:tcW w:w="850" w:type="dxa"/>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 xml:space="preserve">Aralık Sonu </w:t>
            </w:r>
          </w:p>
        </w:tc>
        <w:tc>
          <w:tcPr>
            <w:tcW w:w="2535" w:type="dxa"/>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 xml:space="preserve">Aktif işgücü programlarının amaçlarına ulaşıp ulaşmadığını ve bu programlara yapılan harcamaların etkin olup olmadığını düzenli bir şekilde, program türü ve il bazında izlemeye imkân veren çalışmalar tamamlanacaktır. Uygulanacak olan aktif işgücü programları söz konusu izleme ve değerlendirme çalışmalarının sonuçları dikkate alınarak tasarlanacaktır. </w:t>
            </w:r>
          </w:p>
        </w:tc>
      </w:tr>
      <w:tr w:rsidR="00565FD5" w:rsidRPr="004B3DE4" w:rsidTr="00AB62A3">
        <w:trPr>
          <w:trHeight w:val="20"/>
          <w:jc w:val="center"/>
        </w:trPr>
        <w:tc>
          <w:tcPr>
            <w:tcW w:w="7092" w:type="dxa"/>
            <w:gridSpan w:val="4"/>
            <w:shd w:val="clear" w:color="auto" w:fill="FFFFFF"/>
            <w:vAlign w:val="bottom"/>
          </w:tcPr>
          <w:p w:rsidR="00565FD5" w:rsidRPr="004B3DE4" w:rsidRDefault="00565FD5" w:rsidP="00EB1E69">
            <w:pPr>
              <w:numPr>
                <w:ilvl w:val="0"/>
                <w:numId w:val="15"/>
              </w:numPr>
              <w:tabs>
                <w:tab w:val="left" w:pos="425"/>
              </w:tabs>
              <w:spacing w:before="80" w:after="80" w:line="240" w:lineRule="auto"/>
              <w:jc w:val="both"/>
              <w:rPr>
                <w:rFonts w:cs="Tahoma"/>
                <w:b/>
                <w:bCs/>
                <w:color w:val="000000"/>
                <w:sz w:val="16"/>
                <w:szCs w:val="16"/>
                <w:lang w:eastAsia="tr-TR"/>
              </w:rPr>
            </w:pPr>
            <w:r w:rsidRPr="004B3DE4">
              <w:rPr>
                <w:rFonts w:cs="Tahoma"/>
                <w:b/>
                <w:bCs/>
                <w:color w:val="000000"/>
                <w:sz w:val="16"/>
                <w:szCs w:val="16"/>
                <w:lang w:eastAsia="tr-TR"/>
              </w:rPr>
              <w:t>Aktif işgücü programlarının etkin uygulanması amacıyla, İŞKUR’un kurumsal kapasitesi geliştir</w:t>
            </w:r>
            <w:r>
              <w:rPr>
                <w:rFonts w:cs="Tahoma"/>
                <w:b/>
                <w:bCs/>
                <w:color w:val="000000"/>
                <w:sz w:val="16"/>
                <w:szCs w:val="16"/>
                <w:lang w:eastAsia="tr-TR"/>
              </w:rPr>
              <w:t>me çalışmalarına devam edilecek</w:t>
            </w:r>
            <w:r w:rsidRPr="004B3DE4">
              <w:rPr>
                <w:rFonts w:cs="Tahoma"/>
                <w:b/>
                <w:bCs/>
                <w:color w:val="000000"/>
                <w:sz w:val="16"/>
                <w:szCs w:val="16"/>
                <w:lang w:eastAsia="tr-TR"/>
              </w:rPr>
              <w:t>, özel sektör ve ilgili meslek kuruluşlarıyla işbirliği artırılacaktır</w:t>
            </w:r>
          </w:p>
        </w:tc>
      </w:tr>
      <w:tr w:rsidR="00565FD5" w:rsidRPr="004B3DE4" w:rsidTr="00AB62A3">
        <w:trPr>
          <w:trHeight w:val="20"/>
          <w:jc w:val="center"/>
        </w:trPr>
        <w:tc>
          <w:tcPr>
            <w:tcW w:w="1817" w:type="dxa"/>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t>İŞKUR’un kurumsal kapasitesi güçlendirilecektir.</w:t>
            </w:r>
            <w:r w:rsidRPr="004B3DE4">
              <w:rPr>
                <w:rFonts w:cs="Tahoma"/>
                <w:b/>
                <w:bCs/>
                <w:color w:val="000000"/>
                <w:sz w:val="16"/>
                <w:szCs w:val="16"/>
                <w:lang w:eastAsia="tr-TR"/>
              </w:rPr>
              <w:t xml:space="preserve">  </w:t>
            </w:r>
          </w:p>
        </w:tc>
        <w:tc>
          <w:tcPr>
            <w:tcW w:w="1890" w:type="dxa"/>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İŞKUR (S), Kalkınma Bakanlığı, Maliye Bakanlığı, ÇSGB, Hazine Müsteşarlığı, Devlet Personel Başkanlığı</w:t>
            </w:r>
          </w:p>
        </w:tc>
        <w:tc>
          <w:tcPr>
            <w:tcW w:w="850" w:type="dxa"/>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Aralık Sonu</w:t>
            </w:r>
          </w:p>
        </w:tc>
        <w:tc>
          <w:tcPr>
            <w:tcW w:w="2535" w:type="dxa"/>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 xml:space="preserve">İŞKUR İl Müdürlüklerinin fiziki ortam ve nitelikli personel ihtiyaçları karşılanacaktır. Ayrıca, İŞKUR tarafından verilen iş ve meslek danışmanlığı hizmetleri yaygınlaştırılacak ve etkin hale </w:t>
            </w:r>
            <w:r w:rsidRPr="004B3DE4">
              <w:rPr>
                <w:rFonts w:cs="Tahoma"/>
                <w:color w:val="000000"/>
                <w:sz w:val="16"/>
                <w:szCs w:val="16"/>
                <w:lang w:eastAsia="tr-TR"/>
              </w:rPr>
              <w:lastRenderedPageBreak/>
              <w:t xml:space="preserve">getirilecektir. Bu kapsamda iş ve meslek danışmanı sayısı artırılmaya devam edilecektir.  </w:t>
            </w:r>
          </w:p>
        </w:tc>
      </w:tr>
      <w:tr w:rsidR="00565FD5" w:rsidRPr="004B3DE4" w:rsidTr="00AB62A3">
        <w:trPr>
          <w:trHeight w:val="20"/>
          <w:jc w:val="center"/>
        </w:trPr>
        <w:tc>
          <w:tcPr>
            <w:tcW w:w="1817" w:type="dxa"/>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lastRenderedPageBreak/>
              <w:t xml:space="preserve">İŞKUR’un uyguladığı işgücü eğitimlerinde özel sektör, meslek kuruluşları ile işçi ve işveren kuruluşlarının payı artırılacaktır. </w:t>
            </w:r>
          </w:p>
        </w:tc>
        <w:tc>
          <w:tcPr>
            <w:tcW w:w="1890" w:type="dxa"/>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İŞKUR (S), Maliye Bakanlığı, ÇSGB, MEB, Hazine Müsteşarlığı, MYK, İşçi ve İşveren Sendikaları Konfederasyonları, Meslek Kuruluşları</w:t>
            </w:r>
          </w:p>
        </w:tc>
        <w:tc>
          <w:tcPr>
            <w:tcW w:w="850" w:type="dxa"/>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 xml:space="preserve">Aralık Sonu </w:t>
            </w:r>
          </w:p>
        </w:tc>
        <w:tc>
          <w:tcPr>
            <w:tcW w:w="2535" w:type="dxa"/>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 xml:space="preserve">İŞKUR’un işgücü yetiştirme programlarındaki özel sektör, meslek kuruluşu ve işçi ve işveren kuruluşlarının paylarının artırılması özendirilecektir. Bu kapsamda İŞKUR tarafından, başta KOBİ’ler olmak üzere, söz konusu kuruluşlara yönelik bilgilendirme faaliyetleri yaygınlaştırılacak ve işbirlikleri etkin hale getirilecektir. </w:t>
            </w:r>
          </w:p>
        </w:tc>
      </w:tr>
      <w:tr w:rsidR="00565FD5" w:rsidRPr="004B3DE4" w:rsidTr="00AB62A3">
        <w:trPr>
          <w:trHeight w:val="20"/>
          <w:jc w:val="center"/>
        </w:trPr>
        <w:tc>
          <w:tcPr>
            <w:tcW w:w="1817" w:type="dxa"/>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t xml:space="preserve">Özel istihdam bürolarının işe yerleştirme sürecindeki etkinlikleri artırılacaktır. </w:t>
            </w:r>
          </w:p>
        </w:tc>
        <w:tc>
          <w:tcPr>
            <w:tcW w:w="1890" w:type="dxa"/>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ÇSGB (S), İŞKUR, MYK, Özel İstihdam Büroları, İşçi ve İşveren Sendikaları Konfederasyonları, Meslek Kuruluşları</w:t>
            </w:r>
          </w:p>
        </w:tc>
        <w:tc>
          <w:tcPr>
            <w:tcW w:w="850" w:type="dxa"/>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Aralık Sonu</w:t>
            </w:r>
          </w:p>
        </w:tc>
        <w:tc>
          <w:tcPr>
            <w:tcW w:w="2535" w:type="dxa"/>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 xml:space="preserve">Özel istihdam bürolarının faaliyetleri çeşitlendirilecektir. Bu kapsamda, Büroların geçici iş ilişkisi kurmasına yönelik gerekli mevzuat çalışmaları tamamlanacaktır. </w:t>
            </w:r>
          </w:p>
        </w:tc>
      </w:tr>
    </w:tbl>
    <w:p w:rsidR="00565FD5" w:rsidRDefault="00565FD5" w:rsidP="00565FD5">
      <w:pPr>
        <w:rPr>
          <w:rFonts w:cs="Tahoma"/>
        </w:rPr>
      </w:pPr>
    </w:p>
    <w:p w:rsidR="00565FD5" w:rsidRPr="004B3DE4" w:rsidRDefault="00565FD5" w:rsidP="00565FD5">
      <w:pPr>
        <w:rPr>
          <w:rFonts w:cs="Tahoma"/>
        </w:rPr>
      </w:pPr>
    </w:p>
    <w:p w:rsidR="00565FD5" w:rsidRPr="004B3DE4" w:rsidRDefault="00565FD5" w:rsidP="00565FD5">
      <w:pPr>
        <w:pStyle w:val="Balk2"/>
        <w:rPr>
          <w:lang w:val="en-US"/>
        </w:rPr>
      </w:pPr>
      <w:bookmarkStart w:id="2408" w:name="_Toc338494249"/>
      <w:bookmarkStart w:id="2409" w:name="_Toc338505620"/>
      <w:bookmarkStart w:id="2410" w:name="_Toc338523851"/>
      <w:bookmarkStart w:id="2411" w:name="_Toc338524082"/>
      <w:bookmarkStart w:id="2412" w:name="_Toc338526308"/>
      <w:bookmarkStart w:id="2413" w:name="_Toc338673751"/>
      <w:bookmarkStart w:id="2414" w:name="_Toc338711630"/>
      <w:bookmarkStart w:id="2415" w:name="_Toc149968547"/>
      <w:bookmarkStart w:id="2416" w:name="_Toc150099241"/>
      <w:bookmarkStart w:id="2417" w:name="_Toc213065721"/>
      <w:bookmarkStart w:id="2418" w:name="_Toc244253735"/>
      <w:bookmarkStart w:id="2419" w:name="_Toc244254985"/>
      <w:bookmarkStart w:id="2420" w:name="_Toc244313720"/>
      <w:bookmarkStart w:id="2421" w:name="_Toc244315197"/>
      <w:bookmarkStart w:id="2422" w:name="_Toc244339660"/>
      <w:bookmarkStart w:id="2423" w:name="_Toc276076339"/>
      <w:bookmarkStart w:id="2424" w:name="_Toc276076334"/>
      <w:bookmarkStart w:id="2425" w:name="_Toc307602054"/>
      <w:bookmarkStart w:id="2426" w:name="_Toc307670491"/>
      <w:bookmarkStart w:id="2427" w:name="_Toc307701717"/>
      <w:r w:rsidRPr="004B3DE4">
        <w:rPr>
          <w:lang w:val="en-US"/>
        </w:rPr>
        <w:t>III. BEŞERİ GELİŞME VE SOSYAL DAYANIŞMANIN GÜÇLENDİRİLMESİ</w:t>
      </w:r>
      <w:bookmarkEnd w:id="2408"/>
      <w:bookmarkEnd w:id="2409"/>
      <w:bookmarkEnd w:id="2410"/>
      <w:bookmarkEnd w:id="2411"/>
      <w:bookmarkEnd w:id="2412"/>
      <w:bookmarkEnd w:id="2413"/>
      <w:bookmarkEnd w:id="2414"/>
    </w:p>
    <w:p w:rsidR="00565FD5" w:rsidRPr="004B3DE4" w:rsidRDefault="00565FD5" w:rsidP="00565FD5">
      <w:pPr>
        <w:pStyle w:val="Balk3"/>
      </w:pPr>
      <w:bookmarkStart w:id="2428" w:name="_Toc338494250"/>
      <w:bookmarkStart w:id="2429" w:name="_Toc338505621"/>
      <w:bookmarkStart w:id="2430" w:name="_Toc338523852"/>
      <w:bookmarkStart w:id="2431" w:name="_Toc338524083"/>
      <w:bookmarkStart w:id="2432" w:name="_Toc338526309"/>
      <w:bookmarkStart w:id="2433" w:name="_Toc338673752"/>
      <w:bookmarkStart w:id="2434" w:name="_Toc338711631"/>
      <w:r w:rsidRPr="004B3DE4">
        <w:t>A. EĞİTİM SİSTEMİNİN GELİŞTİRİLMESİ</w:t>
      </w:r>
      <w:bookmarkEnd w:id="2428"/>
      <w:bookmarkEnd w:id="2429"/>
      <w:bookmarkEnd w:id="2430"/>
      <w:bookmarkEnd w:id="2431"/>
      <w:bookmarkEnd w:id="2432"/>
      <w:bookmarkEnd w:id="2433"/>
      <w:bookmarkEnd w:id="2434"/>
    </w:p>
    <w:p w:rsidR="00565FD5" w:rsidRPr="004B3DE4" w:rsidRDefault="00565FD5" w:rsidP="00565FD5">
      <w:pPr>
        <w:pStyle w:val="Balk4"/>
        <w:rPr>
          <w:noProof/>
          <w:lang w:val="en-US"/>
        </w:rPr>
      </w:pPr>
      <w:bookmarkStart w:id="2435" w:name="_Toc338494251"/>
      <w:bookmarkStart w:id="2436" w:name="_Toc338505622"/>
      <w:bookmarkStart w:id="2437" w:name="_Toc338523853"/>
      <w:bookmarkStart w:id="2438" w:name="_Toc338524084"/>
      <w:bookmarkStart w:id="2439" w:name="_Toc338526310"/>
      <w:bookmarkStart w:id="2440" w:name="_Toc338673753"/>
      <w:bookmarkStart w:id="2441" w:name="_Toc338711632"/>
      <w:r w:rsidRPr="004B3DE4">
        <w:rPr>
          <w:noProof/>
          <w:lang w:val="en-US"/>
        </w:rPr>
        <w:t>1. Mevcut Durum</w:t>
      </w:r>
      <w:bookmarkEnd w:id="2435"/>
      <w:bookmarkEnd w:id="2436"/>
      <w:bookmarkEnd w:id="2437"/>
      <w:bookmarkEnd w:id="2438"/>
      <w:bookmarkEnd w:id="2439"/>
      <w:bookmarkEnd w:id="2440"/>
      <w:bookmarkEnd w:id="2441"/>
    </w:p>
    <w:p w:rsidR="00565FD5" w:rsidRPr="004B3DE4" w:rsidRDefault="00565FD5" w:rsidP="00565FD5">
      <w:pPr>
        <w:spacing w:after="120"/>
        <w:ind w:firstLine="425"/>
        <w:rPr>
          <w:rFonts w:cs="Tahoma"/>
          <w:szCs w:val="18"/>
        </w:rPr>
      </w:pPr>
      <w:r w:rsidRPr="004B3DE4">
        <w:rPr>
          <w:rFonts w:cs="Tahoma"/>
          <w:szCs w:val="18"/>
        </w:rPr>
        <w:t xml:space="preserve">Eğitime erişim ve eğitimin kalitesi, eğitim sisteminin temel sorun alanlarıdır. Erişim sorunu kapsamında okullaşma oranları,  bölgeler, cinsiyetler arası fırsat eşitsizlikleri; kalite sorunu kapsamında ise fiziki altyapı yetersizlikleri, müfredatın güncellenmesi, öğretmen niteliklerinin geliştirilmesi ve eğitim materyallerinin müfredatla uyumu gibi hususlar öne çıkmaktadır. </w:t>
      </w:r>
    </w:p>
    <w:p w:rsidR="00565FD5" w:rsidRPr="004B3DE4" w:rsidRDefault="00565FD5" w:rsidP="00565FD5">
      <w:pPr>
        <w:spacing w:after="120"/>
        <w:ind w:firstLine="425"/>
        <w:rPr>
          <w:rFonts w:cs="Tahoma"/>
          <w:szCs w:val="18"/>
        </w:rPr>
      </w:pPr>
      <w:r w:rsidRPr="004B3DE4">
        <w:rPr>
          <w:rFonts w:cs="Tahoma"/>
          <w:szCs w:val="18"/>
        </w:rPr>
        <w:t>2011 yılı itibarıyla okuma yazma bilmeyenler, nüfusun yüzde 5,9’unu oluşturmakta olup kadınlarda bu oranın daha yüksek olduğu görülmektedir.</w:t>
      </w:r>
    </w:p>
    <w:p w:rsidR="00565FD5" w:rsidRPr="004B3DE4" w:rsidRDefault="00565FD5" w:rsidP="00565FD5">
      <w:pPr>
        <w:pStyle w:val="ResimYazs"/>
        <w:rPr>
          <w:rFonts w:cs="Tahoma"/>
          <w:b w:val="0"/>
        </w:rPr>
      </w:pPr>
      <w:bookmarkStart w:id="2442" w:name="_Toc338606048"/>
      <w:bookmarkStart w:id="2443" w:name="_Toc338711823"/>
      <w:r>
        <w:t xml:space="preserve">TABLO IV: </w:t>
      </w:r>
      <w:fldSimple w:instr=" SEQ TABLO_IV: \* ARABIC ">
        <w:r>
          <w:rPr>
            <w:noProof/>
          </w:rPr>
          <w:t>53</w:t>
        </w:r>
      </w:fldSimple>
      <w:r w:rsidRPr="00B24821">
        <w:rPr>
          <w:rFonts w:cs="Tahoma"/>
        </w:rPr>
        <w:t>- Cinsiyete Göre Okuma Yazma Oranı ( 15 +yaş )</w:t>
      </w:r>
      <w:bookmarkEnd w:id="2442"/>
      <w:bookmarkEnd w:id="2443"/>
    </w:p>
    <w:tbl>
      <w:tblPr>
        <w:tblW w:w="7144" w:type="dxa"/>
        <w:jc w:val="center"/>
        <w:tblLayout w:type="fixed"/>
        <w:tblCellMar>
          <w:left w:w="70" w:type="dxa"/>
          <w:right w:w="70" w:type="dxa"/>
        </w:tblCellMar>
        <w:tblLook w:val="00A0"/>
      </w:tblPr>
      <w:tblGrid>
        <w:gridCol w:w="2253"/>
        <w:gridCol w:w="900"/>
        <w:gridCol w:w="773"/>
        <w:gridCol w:w="772"/>
        <w:gridCol w:w="773"/>
        <w:gridCol w:w="900"/>
        <w:gridCol w:w="773"/>
      </w:tblGrid>
      <w:tr w:rsidR="00565FD5" w:rsidRPr="004B3DE4" w:rsidTr="00AB62A3">
        <w:trPr>
          <w:trHeight w:val="450"/>
          <w:jc w:val="center"/>
        </w:trPr>
        <w:tc>
          <w:tcPr>
            <w:tcW w:w="1577" w:type="pct"/>
            <w:tcBorders>
              <w:top w:val="single" w:sz="4" w:space="0" w:color="auto"/>
              <w:left w:val="single" w:sz="4" w:space="0" w:color="auto"/>
              <w:bottom w:val="single" w:sz="4" w:space="0" w:color="auto"/>
            </w:tcBorders>
            <w:shd w:val="clear" w:color="auto" w:fill="FFFFFF"/>
            <w:vAlign w:val="center"/>
          </w:tcPr>
          <w:p w:rsidR="00565FD5" w:rsidRPr="004B3DE4" w:rsidRDefault="00565FD5" w:rsidP="00AB62A3">
            <w:pPr>
              <w:ind w:left="57" w:right="57" w:firstLine="425"/>
              <w:rPr>
                <w:rFonts w:cs="Tahoma"/>
                <w:b/>
                <w:szCs w:val="18"/>
              </w:rPr>
            </w:pPr>
          </w:p>
        </w:tc>
        <w:tc>
          <w:tcPr>
            <w:tcW w:w="630" w:type="pct"/>
            <w:tcBorders>
              <w:top w:val="single" w:sz="4" w:space="0" w:color="auto"/>
              <w:bottom w:val="single" w:sz="4" w:space="0" w:color="auto"/>
            </w:tcBorders>
            <w:shd w:val="clear" w:color="auto" w:fill="FFFFFF"/>
            <w:vAlign w:val="center"/>
          </w:tcPr>
          <w:p w:rsidR="00565FD5" w:rsidRPr="003A6734" w:rsidRDefault="00565FD5" w:rsidP="00AB62A3">
            <w:pPr>
              <w:ind w:left="57" w:right="-45"/>
              <w:jc w:val="center"/>
              <w:rPr>
                <w:rFonts w:cs="Tahoma"/>
                <w:b/>
                <w:sz w:val="16"/>
                <w:szCs w:val="16"/>
              </w:rPr>
            </w:pPr>
            <w:r w:rsidRPr="003A6734">
              <w:rPr>
                <w:rFonts w:cs="Tahoma"/>
                <w:b/>
                <w:sz w:val="16"/>
                <w:szCs w:val="16"/>
              </w:rPr>
              <w:t>Toplam (Bin)</w:t>
            </w:r>
          </w:p>
        </w:tc>
        <w:tc>
          <w:tcPr>
            <w:tcW w:w="541" w:type="pct"/>
            <w:tcBorders>
              <w:top w:val="single" w:sz="4" w:space="0" w:color="auto"/>
              <w:bottom w:val="single" w:sz="4" w:space="0" w:color="auto"/>
            </w:tcBorders>
            <w:shd w:val="clear" w:color="auto" w:fill="FFFFFF"/>
            <w:vAlign w:val="center"/>
          </w:tcPr>
          <w:p w:rsidR="00565FD5" w:rsidRPr="003A6734" w:rsidRDefault="00565FD5" w:rsidP="00AB62A3">
            <w:pPr>
              <w:ind w:left="57" w:right="57"/>
              <w:jc w:val="center"/>
              <w:rPr>
                <w:rFonts w:cs="Tahoma"/>
                <w:b/>
                <w:sz w:val="16"/>
                <w:szCs w:val="16"/>
              </w:rPr>
            </w:pPr>
            <w:r w:rsidRPr="003A6734">
              <w:rPr>
                <w:rFonts w:cs="Tahoma"/>
                <w:b/>
                <w:sz w:val="16"/>
                <w:szCs w:val="16"/>
              </w:rPr>
              <w:t>Yüzde</w:t>
            </w:r>
          </w:p>
        </w:tc>
        <w:tc>
          <w:tcPr>
            <w:tcW w:w="540" w:type="pct"/>
            <w:tcBorders>
              <w:top w:val="single" w:sz="4" w:space="0" w:color="auto"/>
              <w:bottom w:val="single" w:sz="4" w:space="0" w:color="auto"/>
            </w:tcBorders>
            <w:shd w:val="clear" w:color="auto" w:fill="FFFFFF"/>
            <w:vAlign w:val="center"/>
          </w:tcPr>
          <w:p w:rsidR="00565FD5" w:rsidRPr="003A6734" w:rsidRDefault="00565FD5" w:rsidP="00AB62A3">
            <w:pPr>
              <w:ind w:left="57" w:right="57"/>
              <w:jc w:val="center"/>
              <w:rPr>
                <w:rFonts w:cs="Tahoma"/>
                <w:b/>
                <w:sz w:val="16"/>
                <w:szCs w:val="16"/>
              </w:rPr>
            </w:pPr>
            <w:r w:rsidRPr="003A6734">
              <w:rPr>
                <w:rFonts w:cs="Tahoma"/>
                <w:b/>
                <w:sz w:val="16"/>
                <w:szCs w:val="16"/>
              </w:rPr>
              <w:t>Erkek (Bin)</w:t>
            </w:r>
          </w:p>
        </w:tc>
        <w:tc>
          <w:tcPr>
            <w:tcW w:w="541" w:type="pct"/>
            <w:tcBorders>
              <w:top w:val="single" w:sz="4" w:space="0" w:color="auto"/>
              <w:bottom w:val="single" w:sz="4" w:space="0" w:color="auto"/>
            </w:tcBorders>
            <w:vAlign w:val="center"/>
          </w:tcPr>
          <w:p w:rsidR="00565FD5" w:rsidRPr="003A6734" w:rsidRDefault="00565FD5" w:rsidP="00AB62A3">
            <w:pPr>
              <w:ind w:left="57" w:right="57"/>
              <w:jc w:val="center"/>
              <w:rPr>
                <w:rFonts w:cs="Tahoma"/>
                <w:b/>
                <w:sz w:val="16"/>
                <w:szCs w:val="16"/>
              </w:rPr>
            </w:pPr>
            <w:r w:rsidRPr="003A6734">
              <w:rPr>
                <w:rFonts w:cs="Tahoma"/>
                <w:b/>
                <w:sz w:val="16"/>
                <w:szCs w:val="16"/>
              </w:rPr>
              <w:t>Yüzde</w:t>
            </w:r>
          </w:p>
        </w:tc>
        <w:tc>
          <w:tcPr>
            <w:tcW w:w="630" w:type="pct"/>
            <w:tcBorders>
              <w:top w:val="single" w:sz="4" w:space="0" w:color="auto"/>
              <w:bottom w:val="single" w:sz="4" w:space="0" w:color="auto"/>
            </w:tcBorders>
            <w:vAlign w:val="center"/>
          </w:tcPr>
          <w:p w:rsidR="00565FD5" w:rsidRPr="003A6734" w:rsidRDefault="00565FD5" w:rsidP="00AB62A3">
            <w:pPr>
              <w:ind w:left="57" w:right="57"/>
              <w:jc w:val="center"/>
              <w:rPr>
                <w:rFonts w:cs="Tahoma"/>
                <w:b/>
                <w:sz w:val="16"/>
                <w:szCs w:val="16"/>
              </w:rPr>
            </w:pPr>
            <w:r w:rsidRPr="003A6734">
              <w:rPr>
                <w:rFonts w:cs="Tahoma"/>
                <w:b/>
                <w:sz w:val="16"/>
                <w:szCs w:val="16"/>
              </w:rPr>
              <w:t>Kadın (Bin)</w:t>
            </w:r>
          </w:p>
        </w:tc>
        <w:tc>
          <w:tcPr>
            <w:tcW w:w="541" w:type="pct"/>
            <w:tcBorders>
              <w:top w:val="single" w:sz="4" w:space="0" w:color="auto"/>
              <w:bottom w:val="single" w:sz="4" w:space="0" w:color="auto"/>
              <w:right w:val="single" w:sz="4" w:space="0" w:color="auto"/>
            </w:tcBorders>
            <w:vAlign w:val="center"/>
          </w:tcPr>
          <w:p w:rsidR="00565FD5" w:rsidRPr="003A6734" w:rsidRDefault="00565FD5" w:rsidP="00AB62A3">
            <w:pPr>
              <w:ind w:left="57" w:right="57"/>
              <w:jc w:val="center"/>
              <w:rPr>
                <w:rFonts w:cs="Tahoma"/>
                <w:b/>
                <w:sz w:val="16"/>
                <w:szCs w:val="16"/>
              </w:rPr>
            </w:pPr>
            <w:r w:rsidRPr="003A6734">
              <w:rPr>
                <w:rFonts w:cs="Tahoma"/>
                <w:b/>
                <w:sz w:val="16"/>
                <w:szCs w:val="16"/>
              </w:rPr>
              <w:t>Yüzde</w:t>
            </w:r>
          </w:p>
        </w:tc>
      </w:tr>
      <w:tr w:rsidR="00565FD5" w:rsidRPr="004B3DE4" w:rsidTr="00AB62A3">
        <w:trPr>
          <w:trHeight w:val="227"/>
          <w:jc w:val="center"/>
        </w:trPr>
        <w:tc>
          <w:tcPr>
            <w:tcW w:w="1577" w:type="pct"/>
            <w:tcBorders>
              <w:top w:val="single" w:sz="4" w:space="0" w:color="auto"/>
              <w:left w:val="single" w:sz="4" w:space="0" w:color="auto"/>
            </w:tcBorders>
            <w:shd w:val="clear" w:color="auto" w:fill="FFFFFF"/>
            <w:vAlign w:val="center"/>
          </w:tcPr>
          <w:p w:rsidR="00565FD5" w:rsidRPr="003A6734" w:rsidRDefault="00565FD5" w:rsidP="00AB62A3">
            <w:pPr>
              <w:ind w:right="57"/>
              <w:rPr>
                <w:rFonts w:cs="Tahoma"/>
                <w:sz w:val="14"/>
                <w:szCs w:val="14"/>
              </w:rPr>
            </w:pPr>
            <w:r w:rsidRPr="003A6734">
              <w:rPr>
                <w:rFonts w:cs="Tahoma"/>
                <w:sz w:val="14"/>
                <w:szCs w:val="14"/>
              </w:rPr>
              <w:t>Okuma yazma bilmeyen</w:t>
            </w:r>
          </w:p>
        </w:tc>
        <w:tc>
          <w:tcPr>
            <w:tcW w:w="630" w:type="pct"/>
            <w:tcBorders>
              <w:top w:val="single" w:sz="4" w:space="0" w:color="auto"/>
            </w:tcBorders>
            <w:shd w:val="clear" w:color="auto" w:fill="FFFFFF"/>
            <w:vAlign w:val="bottom"/>
          </w:tcPr>
          <w:p w:rsidR="00565FD5" w:rsidRPr="003A6734" w:rsidRDefault="00565FD5" w:rsidP="00AB62A3">
            <w:pPr>
              <w:ind w:left="57" w:right="57"/>
              <w:jc w:val="right"/>
              <w:rPr>
                <w:rFonts w:cs="Tahoma"/>
                <w:sz w:val="14"/>
                <w:szCs w:val="14"/>
              </w:rPr>
            </w:pPr>
            <w:r w:rsidRPr="003A6734">
              <w:rPr>
                <w:rFonts w:cs="Tahoma"/>
                <w:sz w:val="14"/>
                <w:szCs w:val="14"/>
              </w:rPr>
              <w:t>3 163</w:t>
            </w:r>
          </w:p>
        </w:tc>
        <w:tc>
          <w:tcPr>
            <w:tcW w:w="541" w:type="pct"/>
            <w:tcBorders>
              <w:top w:val="single" w:sz="4" w:space="0" w:color="auto"/>
            </w:tcBorders>
            <w:shd w:val="clear" w:color="auto" w:fill="FFFFFF"/>
            <w:vAlign w:val="bottom"/>
          </w:tcPr>
          <w:p w:rsidR="00565FD5" w:rsidRPr="003A6734" w:rsidRDefault="00565FD5" w:rsidP="00AB62A3">
            <w:pPr>
              <w:ind w:left="57" w:right="57"/>
              <w:jc w:val="right"/>
              <w:rPr>
                <w:rFonts w:cs="Tahoma"/>
                <w:sz w:val="14"/>
                <w:szCs w:val="14"/>
              </w:rPr>
            </w:pPr>
            <w:r w:rsidRPr="003A6734">
              <w:rPr>
                <w:rFonts w:cs="Tahoma"/>
                <w:sz w:val="14"/>
                <w:szCs w:val="14"/>
              </w:rPr>
              <w:t>5,9</w:t>
            </w:r>
          </w:p>
        </w:tc>
        <w:tc>
          <w:tcPr>
            <w:tcW w:w="540" w:type="pct"/>
            <w:tcBorders>
              <w:top w:val="single" w:sz="4" w:space="0" w:color="auto"/>
            </w:tcBorders>
            <w:shd w:val="clear" w:color="auto" w:fill="FFFFFF"/>
            <w:vAlign w:val="bottom"/>
          </w:tcPr>
          <w:p w:rsidR="00565FD5" w:rsidRPr="003A6734" w:rsidRDefault="00565FD5" w:rsidP="00AB62A3">
            <w:pPr>
              <w:ind w:left="57" w:right="57"/>
              <w:jc w:val="right"/>
              <w:rPr>
                <w:rFonts w:cs="Tahoma"/>
                <w:sz w:val="14"/>
                <w:szCs w:val="14"/>
              </w:rPr>
            </w:pPr>
            <w:r w:rsidRPr="003A6734">
              <w:rPr>
                <w:rFonts w:cs="Tahoma"/>
                <w:sz w:val="14"/>
                <w:szCs w:val="14"/>
              </w:rPr>
              <w:t>552</w:t>
            </w:r>
          </w:p>
        </w:tc>
        <w:tc>
          <w:tcPr>
            <w:tcW w:w="541" w:type="pct"/>
            <w:tcBorders>
              <w:top w:val="single" w:sz="4" w:space="0" w:color="auto"/>
            </w:tcBorders>
            <w:shd w:val="clear" w:color="auto" w:fill="FFFFFF"/>
            <w:vAlign w:val="bottom"/>
          </w:tcPr>
          <w:p w:rsidR="00565FD5" w:rsidRPr="003A6734" w:rsidRDefault="00565FD5" w:rsidP="00AB62A3">
            <w:pPr>
              <w:ind w:right="57"/>
              <w:jc w:val="right"/>
              <w:rPr>
                <w:rFonts w:cs="Tahoma"/>
                <w:sz w:val="14"/>
                <w:szCs w:val="14"/>
              </w:rPr>
            </w:pPr>
            <w:r w:rsidRPr="003A6734">
              <w:rPr>
                <w:rFonts w:cs="Tahoma"/>
                <w:sz w:val="14"/>
                <w:szCs w:val="14"/>
              </w:rPr>
              <w:t>2,1</w:t>
            </w:r>
          </w:p>
        </w:tc>
        <w:tc>
          <w:tcPr>
            <w:tcW w:w="630" w:type="pct"/>
            <w:tcBorders>
              <w:top w:val="single" w:sz="4" w:space="0" w:color="auto"/>
            </w:tcBorders>
            <w:shd w:val="clear" w:color="auto" w:fill="FFFFFF"/>
            <w:vAlign w:val="bottom"/>
          </w:tcPr>
          <w:p w:rsidR="00565FD5" w:rsidRPr="003A6734" w:rsidRDefault="00565FD5" w:rsidP="00AB62A3">
            <w:pPr>
              <w:ind w:right="57"/>
              <w:jc w:val="right"/>
              <w:rPr>
                <w:rFonts w:cs="Tahoma"/>
                <w:sz w:val="14"/>
                <w:szCs w:val="14"/>
              </w:rPr>
            </w:pPr>
            <w:r w:rsidRPr="003A6734">
              <w:rPr>
                <w:rFonts w:cs="Tahoma"/>
                <w:sz w:val="14"/>
                <w:szCs w:val="14"/>
              </w:rPr>
              <w:t>2 612</w:t>
            </w:r>
          </w:p>
        </w:tc>
        <w:tc>
          <w:tcPr>
            <w:tcW w:w="541" w:type="pct"/>
            <w:tcBorders>
              <w:top w:val="single" w:sz="4" w:space="0" w:color="auto"/>
              <w:right w:val="single" w:sz="4" w:space="0" w:color="auto"/>
            </w:tcBorders>
            <w:shd w:val="clear" w:color="auto" w:fill="FFFFFF"/>
            <w:vAlign w:val="bottom"/>
          </w:tcPr>
          <w:p w:rsidR="00565FD5" w:rsidRPr="003A6734" w:rsidRDefault="00565FD5" w:rsidP="00AB62A3">
            <w:pPr>
              <w:ind w:right="57"/>
              <w:jc w:val="right"/>
              <w:rPr>
                <w:rFonts w:cs="Tahoma"/>
                <w:sz w:val="14"/>
                <w:szCs w:val="14"/>
              </w:rPr>
            </w:pPr>
            <w:r w:rsidRPr="003A6734">
              <w:rPr>
                <w:rFonts w:cs="Tahoma"/>
                <w:sz w:val="14"/>
                <w:szCs w:val="14"/>
              </w:rPr>
              <w:t>9,7</w:t>
            </w:r>
          </w:p>
        </w:tc>
      </w:tr>
      <w:tr w:rsidR="00565FD5" w:rsidRPr="004B3DE4" w:rsidTr="00AB62A3">
        <w:trPr>
          <w:trHeight w:val="227"/>
          <w:jc w:val="center"/>
        </w:trPr>
        <w:tc>
          <w:tcPr>
            <w:tcW w:w="1577" w:type="pct"/>
            <w:tcBorders>
              <w:top w:val="nil"/>
              <w:left w:val="single" w:sz="4" w:space="0" w:color="auto"/>
              <w:bottom w:val="single" w:sz="4" w:space="0" w:color="auto"/>
            </w:tcBorders>
            <w:shd w:val="clear" w:color="auto" w:fill="FFFFFF"/>
            <w:vAlign w:val="center"/>
          </w:tcPr>
          <w:p w:rsidR="00565FD5" w:rsidRPr="003A6734" w:rsidRDefault="00565FD5" w:rsidP="00AB62A3">
            <w:pPr>
              <w:ind w:right="57"/>
              <w:rPr>
                <w:rFonts w:cs="Tahoma"/>
                <w:sz w:val="14"/>
                <w:szCs w:val="14"/>
              </w:rPr>
            </w:pPr>
            <w:r w:rsidRPr="003A6734">
              <w:rPr>
                <w:rFonts w:cs="Tahoma"/>
                <w:sz w:val="14"/>
                <w:szCs w:val="14"/>
              </w:rPr>
              <w:lastRenderedPageBreak/>
              <w:t>Okuma yazma bilen</w:t>
            </w:r>
          </w:p>
        </w:tc>
        <w:tc>
          <w:tcPr>
            <w:tcW w:w="630" w:type="pct"/>
            <w:tcBorders>
              <w:top w:val="nil"/>
              <w:bottom w:val="single" w:sz="4" w:space="0" w:color="auto"/>
            </w:tcBorders>
            <w:shd w:val="clear" w:color="auto" w:fill="FFFFFF"/>
            <w:vAlign w:val="bottom"/>
          </w:tcPr>
          <w:p w:rsidR="00565FD5" w:rsidRPr="003A6734" w:rsidRDefault="00565FD5" w:rsidP="00AB62A3">
            <w:pPr>
              <w:ind w:left="57" w:right="57"/>
              <w:jc w:val="right"/>
              <w:rPr>
                <w:rFonts w:cs="Tahoma"/>
                <w:sz w:val="14"/>
                <w:szCs w:val="14"/>
              </w:rPr>
            </w:pPr>
            <w:r w:rsidRPr="003A6734">
              <w:rPr>
                <w:rFonts w:cs="Tahoma"/>
                <w:sz w:val="14"/>
                <w:szCs w:val="14"/>
              </w:rPr>
              <w:t>50 509</w:t>
            </w:r>
          </w:p>
        </w:tc>
        <w:tc>
          <w:tcPr>
            <w:tcW w:w="541" w:type="pct"/>
            <w:tcBorders>
              <w:top w:val="nil"/>
              <w:bottom w:val="single" w:sz="4" w:space="0" w:color="auto"/>
            </w:tcBorders>
            <w:shd w:val="clear" w:color="auto" w:fill="FFFFFF"/>
            <w:vAlign w:val="bottom"/>
          </w:tcPr>
          <w:p w:rsidR="00565FD5" w:rsidRPr="003A6734" w:rsidRDefault="00565FD5" w:rsidP="00AB62A3">
            <w:pPr>
              <w:ind w:left="57" w:right="57"/>
              <w:jc w:val="right"/>
              <w:rPr>
                <w:rFonts w:cs="Tahoma"/>
                <w:sz w:val="14"/>
                <w:szCs w:val="14"/>
              </w:rPr>
            </w:pPr>
            <w:r w:rsidRPr="003A6734">
              <w:rPr>
                <w:rFonts w:cs="Tahoma"/>
                <w:sz w:val="14"/>
                <w:szCs w:val="14"/>
              </w:rPr>
              <w:t>94,1</w:t>
            </w:r>
          </w:p>
        </w:tc>
        <w:tc>
          <w:tcPr>
            <w:tcW w:w="540" w:type="pct"/>
            <w:tcBorders>
              <w:top w:val="nil"/>
              <w:bottom w:val="single" w:sz="4" w:space="0" w:color="auto"/>
            </w:tcBorders>
            <w:shd w:val="clear" w:color="auto" w:fill="FFFFFF"/>
            <w:vAlign w:val="bottom"/>
          </w:tcPr>
          <w:p w:rsidR="00565FD5" w:rsidRPr="003A6734" w:rsidRDefault="00565FD5" w:rsidP="00AB62A3">
            <w:pPr>
              <w:ind w:right="57"/>
              <w:jc w:val="right"/>
              <w:rPr>
                <w:rFonts w:cs="Tahoma"/>
                <w:sz w:val="14"/>
                <w:szCs w:val="14"/>
              </w:rPr>
            </w:pPr>
            <w:r w:rsidRPr="003A6734">
              <w:rPr>
                <w:rFonts w:cs="Tahoma"/>
                <w:sz w:val="14"/>
                <w:szCs w:val="14"/>
              </w:rPr>
              <w:t>26 168</w:t>
            </w:r>
          </w:p>
        </w:tc>
        <w:tc>
          <w:tcPr>
            <w:tcW w:w="541" w:type="pct"/>
            <w:tcBorders>
              <w:top w:val="nil"/>
              <w:bottom w:val="single" w:sz="4" w:space="0" w:color="auto"/>
            </w:tcBorders>
            <w:shd w:val="clear" w:color="auto" w:fill="FFFFFF"/>
            <w:vAlign w:val="bottom"/>
          </w:tcPr>
          <w:p w:rsidR="00565FD5" w:rsidRPr="003A6734" w:rsidRDefault="00565FD5" w:rsidP="00AB62A3">
            <w:pPr>
              <w:ind w:right="57"/>
              <w:jc w:val="right"/>
              <w:rPr>
                <w:rFonts w:cs="Tahoma"/>
                <w:sz w:val="14"/>
                <w:szCs w:val="14"/>
              </w:rPr>
            </w:pPr>
            <w:r w:rsidRPr="003A6734">
              <w:rPr>
                <w:rFonts w:cs="Tahoma"/>
                <w:sz w:val="14"/>
                <w:szCs w:val="14"/>
              </w:rPr>
              <w:t>97,9</w:t>
            </w:r>
          </w:p>
        </w:tc>
        <w:tc>
          <w:tcPr>
            <w:tcW w:w="630" w:type="pct"/>
            <w:tcBorders>
              <w:top w:val="nil"/>
              <w:bottom w:val="single" w:sz="4" w:space="0" w:color="auto"/>
            </w:tcBorders>
            <w:shd w:val="clear" w:color="auto" w:fill="FFFFFF"/>
            <w:vAlign w:val="bottom"/>
          </w:tcPr>
          <w:p w:rsidR="00565FD5" w:rsidRPr="003A6734" w:rsidRDefault="00565FD5" w:rsidP="00AB62A3">
            <w:pPr>
              <w:ind w:right="57"/>
              <w:jc w:val="right"/>
              <w:rPr>
                <w:rFonts w:cs="Tahoma"/>
                <w:sz w:val="14"/>
                <w:szCs w:val="14"/>
              </w:rPr>
            </w:pPr>
            <w:r w:rsidRPr="003A6734">
              <w:rPr>
                <w:rFonts w:cs="Tahoma"/>
                <w:sz w:val="14"/>
                <w:szCs w:val="14"/>
              </w:rPr>
              <w:t>24 340</w:t>
            </w:r>
          </w:p>
        </w:tc>
        <w:tc>
          <w:tcPr>
            <w:tcW w:w="541" w:type="pct"/>
            <w:tcBorders>
              <w:top w:val="nil"/>
              <w:bottom w:val="single" w:sz="4" w:space="0" w:color="auto"/>
              <w:right w:val="single" w:sz="4" w:space="0" w:color="auto"/>
            </w:tcBorders>
            <w:shd w:val="clear" w:color="auto" w:fill="FFFFFF"/>
            <w:vAlign w:val="bottom"/>
          </w:tcPr>
          <w:p w:rsidR="00565FD5" w:rsidRPr="003A6734" w:rsidRDefault="00565FD5" w:rsidP="00AB62A3">
            <w:pPr>
              <w:ind w:right="57"/>
              <w:jc w:val="right"/>
              <w:rPr>
                <w:rFonts w:cs="Tahoma"/>
                <w:sz w:val="14"/>
                <w:szCs w:val="14"/>
              </w:rPr>
            </w:pPr>
            <w:r w:rsidRPr="003A6734">
              <w:rPr>
                <w:rFonts w:cs="Tahoma"/>
                <w:sz w:val="14"/>
                <w:szCs w:val="14"/>
              </w:rPr>
              <w:t>90,3</w:t>
            </w:r>
          </w:p>
        </w:tc>
      </w:tr>
    </w:tbl>
    <w:p w:rsidR="00565FD5" w:rsidRPr="00B24821" w:rsidRDefault="00565FD5" w:rsidP="00565FD5">
      <w:pPr>
        <w:spacing w:after="120"/>
        <w:rPr>
          <w:rFonts w:cs="Tahoma"/>
          <w:sz w:val="14"/>
          <w:szCs w:val="14"/>
        </w:rPr>
      </w:pPr>
      <w:r w:rsidRPr="00B24821">
        <w:rPr>
          <w:rFonts w:cs="Tahoma"/>
          <w:sz w:val="14"/>
          <w:szCs w:val="14"/>
        </w:rPr>
        <w:t>Not: ADNKS 2011 Nüfus Sayımına göre hesaplanmış olup okuma yazma durumu bilinmeyenler kapsanmamıştır.</w:t>
      </w:r>
    </w:p>
    <w:p w:rsidR="00565FD5" w:rsidRPr="004B3DE4" w:rsidRDefault="00565FD5" w:rsidP="00565FD5">
      <w:pPr>
        <w:spacing w:after="120"/>
        <w:ind w:firstLine="425"/>
        <w:rPr>
          <w:rFonts w:cs="Tahoma"/>
          <w:szCs w:val="18"/>
        </w:rPr>
      </w:pPr>
      <w:r w:rsidRPr="004B3DE4">
        <w:rPr>
          <w:rFonts w:cs="Tahoma"/>
          <w:szCs w:val="18"/>
        </w:rPr>
        <w:t>Okul öncesi eğitimde, okullaşma oranı yüzde 46,4’e ulaşmış olmakla birlikte, bu oran AB-27 ortalaması olan yüzde 92,4’ün (2010 yılı 4 yaş nüfusuna göre) altındadır. Ailelerin sosyoekonomik koşullarından kaynaklanan eşitsizliğin giderilmesinde önemli katkısı olan ve eğitimin ileri kademelerindeki başarıya olumlu etkisinin olduğu bilinen okul öncesi eğitimde farkındalığın artırılması ihtiyacı önemini korumaktadır. Okul öncesi eğitime erişimde bölgeler arası farklılıklar halen belirgin düzeydedir. Bu yaş grubundaki net okullaşma oranının en düşük olduğu il yüzde 20,9’la Hakkari iken en yüksek olduğu il yüzde 89,3’le Hatay’dır.</w:t>
      </w:r>
    </w:p>
    <w:p w:rsidR="00565FD5" w:rsidRPr="004B3DE4" w:rsidRDefault="00565FD5" w:rsidP="00565FD5">
      <w:pPr>
        <w:spacing w:after="120"/>
        <w:ind w:firstLine="425"/>
        <w:rPr>
          <w:rFonts w:cs="Tahoma"/>
          <w:szCs w:val="18"/>
        </w:rPr>
      </w:pPr>
      <w:r w:rsidRPr="004B3DE4">
        <w:rPr>
          <w:rFonts w:cs="Tahoma"/>
          <w:szCs w:val="18"/>
        </w:rPr>
        <w:t xml:space="preserve">İlköğretime geç kayıtlar, bitirmeden ayrılanlar ile başta kızlar olmak üzere kırsal kesimdeki çocukların eğitime erişimindeki sorunlar, okullaşma oranının istenilen düzeyde artmasını engelleyen başlıca faktörlerdir. 2010-2011 öğretim dönemi sonunda ilköğretimden mezun olanların içinde kızların oranı Türkiye genelinde yüzde 47,5 iken bu oranın en düşük olduğu il yüzde 39,8’le Şanlıurfa’dır. </w:t>
      </w:r>
    </w:p>
    <w:p w:rsidR="00565FD5" w:rsidRPr="004B3DE4" w:rsidRDefault="00565FD5" w:rsidP="00565FD5">
      <w:pPr>
        <w:spacing w:after="120"/>
        <w:ind w:firstLine="425"/>
        <w:rPr>
          <w:rFonts w:cs="Tahoma"/>
          <w:szCs w:val="18"/>
        </w:rPr>
      </w:pPr>
      <w:r w:rsidRPr="004B3DE4">
        <w:rPr>
          <w:rFonts w:cs="Tahoma"/>
          <w:szCs w:val="18"/>
        </w:rPr>
        <w:t>Ortaöğretimdeki brüt okullaşma oranı son on yılda yüzde 80,8’den yüzde 92,6’ya ulaşmakla beraber, bölgesel farklılıklar önemini korumaya devam etmektedir. 2011-2012 öğretim yılı verilerine göre okullaşma oranının en düşük olduğu il yüzde 47,4’le Van’dır. Türkiye genelinde yüzde 84,7 olan ilköğretimden ortaöğretime geçiş oranı, Van ilinde yüzde 54,7’yle en düşük düzeydedir. Ortaöğretime geçiş oranları erkeklerde yüzde 85,6 iken kızlarda bu oran yüzde 83,7’dir. İlköğretimden mezun olan ve ortaöğretime geçiş yapan kızların oranının düşük olması ortaöğretimde okullaşma oranlarında cinsiyetler arası fark yaratmaktadır. Bununla beraber zorunlu eğitim süresinin 12 yıla çıkarılması sonucunda ilköğretimden ortaöğretime geçişlerde ve dolayısıyla ortaöğretim okullaşma oranında artış beklenmektedir.</w:t>
      </w:r>
    </w:p>
    <w:p w:rsidR="00565FD5" w:rsidRPr="00B24821" w:rsidRDefault="00565FD5" w:rsidP="00565FD5">
      <w:pPr>
        <w:pStyle w:val="ResimYazs"/>
        <w:ind w:left="1416" w:hanging="1416"/>
        <w:rPr>
          <w:rFonts w:cs="Tahoma"/>
        </w:rPr>
      </w:pPr>
      <w:bookmarkStart w:id="2444" w:name="_Toc338606049"/>
      <w:bookmarkStart w:id="2445" w:name="_Toc338711824"/>
      <w:r>
        <w:t xml:space="preserve">TABLO IV: </w:t>
      </w:r>
      <w:fldSimple w:instr=" SEQ TABLO_IV: \* ARABIC ">
        <w:r>
          <w:rPr>
            <w:noProof/>
          </w:rPr>
          <w:t>54</w:t>
        </w:r>
      </w:fldSimple>
      <w:r w:rsidRPr="00B24821">
        <w:rPr>
          <w:rFonts w:cs="Tahoma"/>
        </w:rPr>
        <w:t>- Eğitim Kademeleri İtibarıyla Okullaşma Oranları</w:t>
      </w:r>
      <w:bookmarkEnd w:id="2444"/>
      <w:bookmarkEnd w:id="2445"/>
    </w:p>
    <w:tbl>
      <w:tblPr>
        <w:tblW w:w="714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tblPr>
      <w:tblGrid>
        <w:gridCol w:w="1947"/>
        <w:gridCol w:w="696"/>
        <w:gridCol w:w="973"/>
        <w:gridCol w:w="784"/>
        <w:gridCol w:w="1022"/>
        <w:gridCol w:w="819"/>
        <w:gridCol w:w="903"/>
      </w:tblGrid>
      <w:tr w:rsidR="00565FD5" w:rsidRPr="00932CE1" w:rsidTr="00AB62A3">
        <w:trPr>
          <w:trHeight w:val="284"/>
        </w:trPr>
        <w:tc>
          <w:tcPr>
            <w:tcW w:w="1363" w:type="pct"/>
            <w:tcBorders>
              <w:top w:val="single" w:sz="4" w:space="0" w:color="auto"/>
              <w:bottom w:val="nil"/>
              <w:right w:val="nil"/>
            </w:tcBorders>
            <w:shd w:val="clear" w:color="auto" w:fill="FFFFFF"/>
            <w:vAlign w:val="center"/>
          </w:tcPr>
          <w:p w:rsidR="00565FD5" w:rsidRPr="00932CE1" w:rsidRDefault="00565FD5" w:rsidP="00AB62A3">
            <w:pPr>
              <w:shd w:val="clear" w:color="auto" w:fill="FFFFFF"/>
              <w:ind w:right="57"/>
              <w:rPr>
                <w:rFonts w:cs="Tahoma"/>
                <w:sz w:val="14"/>
                <w:szCs w:val="14"/>
              </w:rPr>
            </w:pPr>
          </w:p>
        </w:tc>
        <w:tc>
          <w:tcPr>
            <w:tcW w:w="1168" w:type="pct"/>
            <w:gridSpan w:val="2"/>
            <w:tcBorders>
              <w:top w:val="single" w:sz="4" w:space="0" w:color="auto"/>
              <w:left w:val="nil"/>
              <w:bottom w:val="single" w:sz="4" w:space="0" w:color="auto"/>
              <w:right w:val="single" w:sz="4" w:space="0" w:color="auto"/>
            </w:tcBorders>
            <w:shd w:val="clear" w:color="auto" w:fill="FFFFFF"/>
            <w:vAlign w:val="center"/>
          </w:tcPr>
          <w:p w:rsidR="00565FD5" w:rsidRPr="00932CE1" w:rsidRDefault="00565FD5" w:rsidP="00AB62A3">
            <w:pPr>
              <w:ind w:right="57"/>
              <w:jc w:val="center"/>
              <w:rPr>
                <w:rFonts w:cs="Tahoma"/>
                <w:b/>
                <w:sz w:val="14"/>
                <w:szCs w:val="14"/>
              </w:rPr>
            </w:pPr>
            <w:r w:rsidRPr="00932CE1">
              <w:rPr>
                <w:rFonts w:cs="Tahoma"/>
                <w:b/>
                <w:sz w:val="14"/>
                <w:szCs w:val="14"/>
              </w:rPr>
              <w:t>2009</w:t>
            </w:r>
            <w:r w:rsidRPr="00932CE1">
              <w:rPr>
                <w:rFonts w:cs="Tahoma"/>
                <w:b/>
                <w:bCs/>
                <w:sz w:val="14"/>
                <w:szCs w:val="14"/>
              </w:rPr>
              <w:t>-2010</w:t>
            </w:r>
          </w:p>
        </w:tc>
        <w:tc>
          <w:tcPr>
            <w:tcW w:w="12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FD5" w:rsidRPr="00932CE1" w:rsidRDefault="00565FD5" w:rsidP="00AB62A3">
            <w:pPr>
              <w:ind w:right="57"/>
              <w:jc w:val="center"/>
              <w:rPr>
                <w:rFonts w:cs="Tahoma"/>
                <w:b/>
                <w:sz w:val="14"/>
                <w:szCs w:val="14"/>
              </w:rPr>
            </w:pPr>
            <w:r w:rsidRPr="00932CE1">
              <w:rPr>
                <w:rFonts w:cs="Tahoma"/>
                <w:b/>
                <w:sz w:val="14"/>
                <w:szCs w:val="14"/>
              </w:rPr>
              <w:t>2010</w:t>
            </w:r>
            <w:r w:rsidRPr="00932CE1">
              <w:rPr>
                <w:rFonts w:cs="Tahoma"/>
                <w:b/>
                <w:bCs/>
                <w:sz w:val="14"/>
                <w:szCs w:val="14"/>
              </w:rPr>
              <w:t>-2011</w:t>
            </w:r>
          </w:p>
        </w:tc>
        <w:tc>
          <w:tcPr>
            <w:tcW w:w="1205" w:type="pct"/>
            <w:gridSpan w:val="2"/>
            <w:tcBorders>
              <w:top w:val="single" w:sz="4" w:space="0" w:color="auto"/>
              <w:left w:val="single" w:sz="4" w:space="0" w:color="auto"/>
              <w:bottom w:val="single" w:sz="4" w:space="0" w:color="auto"/>
            </w:tcBorders>
            <w:shd w:val="clear" w:color="auto" w:fill="FFFFFF"/>
            <w:vAlign w:val="center"/>
          </w:tcPr>
          <w:p w:rsidR="00565FD5" w:rsidRPr="00932CE1" w:rsidRDefault="00565FD5" w:rsidP="00AB62A3">
            <w:pPr>
              <w:ind w:right="57"/>
              <w:jc w:val="center"/>
              <w:rPr>
                <w:rFonts w:cs="Tahoma"/>
                <w:b/>
                <w:sz w:val="14"/>
                <w:szCs w:val="14"/>
              </w:rPr>
            </w:pPr>
            <w:r w:rsidRPr="00932CE1">
              <w:rPr>
                <w:rFonts w:cs="Tahoma"/>
                <w:b/>
                <w:sz w:val="14"/>
                <w:szCs w:val="14"/>
              </w:rPr>
              <w:t>2011</w:t>
            </w:r>
            <w:r w:rsidRPr="00932CE1">
              <w:rPr>
                <w:rFonts w:cs="Tahoma"/>
                <w:b/>
                <w:bCs/>
                <w:sz w:val="14"/>
                <w:szCs w:val="14"/>
              </w:rPr>
              <w:t>-2012</w:t>
            </w:r>
          </w:p>
        </w:tc>
      </w:tr>
      <w:tr w:rsidR="00565FD5" w:rsidRPr="00932CE1" w:rsidTr="00AB62A3">
        <w:trPr>
          <w:trHeight w:val="408"/>
        </w:trPr>
        <w:tc>
          <w:tcPr>
            <w:tcW w:w="1363" w:type="pct"/>
            <w:tcBorders>
              <w:top w:val="nil"/>
              <w:bottom w:val="single" w:sz="4" w:space="0" w:color="auto"/>
              <w:right w:val="nil"/>
            </w:tcBorders>
            <w:shd w:val="clear" w:color="auto" w:fill="FFFFFF"/>
            <w:vAlign w:val="bottom"/>
          </w:tcPr>
          <w:p w:rsidR="00565FD5" w:rsidRPr="00932CE1" w:rsidRDefault="00565FD5" w:rsidP="00AB62A3">
            <w:pPr>
              <w:ind w:right="57"/>
              <w:rPr>
                <w:rFonts w:cs="Tahoma"/>
                <w:sz w:val="14"/>
                <w:szCs w:val="14"/>
              </w:rPr>
            </w:pPr>
          </w:p>
        </w:tc>
        <w:tc>
          <w:tcPr>
            <w:tcW w:w="487" w:type="pct"/>
            <w:tcBorders>
              <w:top w:val="single" w:sz="4" w:space="0" w:color="auto"/>
              <w:left w:val="nil"/>
              <w:bottom w:val="single" w:sz="4" w:space="0" w:color="auto"/>
              <w:right w:val="nil"/>
            </w:tcBorders>
            <w:shd w:val="clear" w:color="auto" w:fill="FFFFFF"/>
          </w:tcPr>
          <w:p w:rsidR="00565FD5" w:rsidRPr="00932CE1" w:rsidRDefault="00565FD5" w:rsidP="00AB62A3">
            <w:pPr>
              <w:shd w:val="clear" w:color="auto" w:fill="FFFFFF"/>
              <w:ind w:right="57"/>
              <w:jc w:val="right"/>
              <w:rPr>
                <w:rFonts w:cs="Tahoma"/>
                <w:b/>
                <w:spacing w:val="-5"/>
                <w:sz w:val="14"/>
                <w:szCs w:val="14"/>
              </w:rPr>
            </w:pPr>
            <w:r w:rsidRPr="00932CE1">
              <w:rPr>
                <w:rFonts w:cs="Tahoma"/>
                <w:b/>
                <w:spacing w:val="-5"/>
                <w:sz w:val="14"/>
                <w:szCs w:val="14"/>
              </w:rPr>
              <w:t xml:space="preserve">Öğrenci </w:t>
            </w:r>
          </w:p>
          <w:p w:rsidR="00565FD5" w:rsidRPr="00932CE1" w:rsidRDefault="00565FD5" w:rsidP="00AB62A3">
            <w:pPr>
              <w:shd w:val="clear" w:color="auto" w:fill="FFFFFF"/>
              <w:ind w:right="57"/>
              <w:jc w:val="right"/>
              <w:rPr>
                <w:rFonts w:cs="Tahoma"/>
                <w:b/>
                <w:spacing w:val="-4"/>
                <w:sz w:val="14"/>
                <w:szCs w:val="14"/>
              </w:rPr>
            </w:pPr>
            <w:r w:rsidRPr="00932CE1">
              <w:rPr>
                <w:rFonts w:cs="Tahoma"/>
                <w:b/>
                <w:spacing w:val="-4"/>
                <w:sz w:val="14"/>
                <w:szCs w:val="14"/>
              </w:rPr>
              <w:t xml:space="preserve">Sayısı </w:t>
            </w:r>
          </w:p>
          <w:p w:rsidR="00565FD5" w:rsidRPr="00932CE1" w:rsidRDefault="00565FD5" w:rsidP="00AB62A3">
            <w:pPr>
              <w:shd w:val="clear" w:color="auto" w:fill="FFFFFF"/>
              <w:ind w:right="57"/>
              <w:jc w:val="right"/>
              <w:rPr>
                <w:rFonts w:cs="Tahoma"/>
                <w:sz w:val="14"/>
                <w:szCs w:val="14"/>
              </w:rPr>
            </w:pPr>
            <w:r w:rsidRPr="00932CE1">
              <w:rPr>
                <w:rFonts w:cs="Tahoma"/>
                <w:b/>
                <w:sz w:val="14"/>
                <w:szCs w:val="14"/>
              </w:rPr>
              <w:lastRenderedPageBreak/>
              <w:t>(Bin)</w:t>
            </w:r>
          </w:p>
        </w:tc>
        <w:tc>
          <w:tcPr>
            <w:tcW w:w="681" w:type="pct"/>
            <w:tcBorders>
              <w:top w:val="single" w:sz="4" w:space="0" w:color="auto"/>
              <w:left w:val="nil"/>
              <w:bottom w:val="single" w:sz="4" w:space="0" w:color="auto"/>
              <w:right w:val="single" w:sz="4" w:space="0" w:color="auto"/>
            </w:tcBorders>
            <w:shd w:val="clear" w:color="auto" w:fill="FFFFFF"/>
            <w:vAlign w:val="bottom"/>
          </w:tcPr>
          <w:p w:rsidR="00565FD5" w:rsidRPr="00932CE1" w:rsidRDefault="00565FD5" w:rsidP="00AB62A3">
            <w:pPr>
              <w:shd w:val="clear" w:color="auto" w:fill="FFFFFF"/>
              <w:ind w:right="57"/>
              <w:jc w:val="right"/>
              <w:rPr>
                <w:rFonts w:cs="Tahoma"/>
                <w:b/>
                <w:spacing w:val="-4"/>
                <w:sz w:val="14"/>
                <w:szCs w:val="14"/>
              </w:rPr>
            </w:pPr>
            <w:r w:rsidRPr="00932CE1">
              <w:rPr>
                <w:rFonts w:cs="Tahoma"/>
                <w:b/>
                <w:spacing w:val="-4"/>
                <w:sz w:val="14"/>
                <w:szCs w:val="14"/>
              </w:rPr>
              <w:lastRenderedPageBreak/>
              <w:t>Brüt</w:t>
            </w:r>
          </w:p>
          <w:p w:rsidR="00565FD5" w:rsidRPr="00932CE1" w:rsidRDefault="00565FD5" w:rsidP="00AB62A3">
            <w:pPr>
              <w:shd w:val="clear" w:color="auto" w:fill="FFFFFF"/>
              <w:ind w:right="57"/>
              <w:jc w:val="right"/>
              <w:rPr>
                <w:rFonts w:cs="Tahoma"/>
                <w:sz w:val="14"/>
                <w:szCs w:val="14"/>
              </w:rPr>
            </w:pPr>
            <w:r w:rsidRPr="00932CE1">
              <w:rPr>
                <w:rFonts w:cs="Tahoma"/>
                <w:b/>
                <w:spacing w:val="-4"/>
                <w:sz w:val="14"/>
                <w:szCs w:val="14"/>
              </w:rPr>
              <w:t xml:space="preserve"> Okullaşma</w:t>
            </w:r>
          </w:p>
          <w:p w:rsidR="00565FD5" w:rsidRPr="00932CE1" w:rsidRDefault="00565FD5" w:rsidP="00AB62A3">
            <w:pPr>
              <w:shd w:val="clear" w:color="auto" w:fill="FFFFFF"/>
              <w:ind w:right="57"/>
              <w:jc w:val="right"/>
              <w:rPr>
                <w:rFonts w:cs="Tahoma"/>
                <w:sz w:val="14"/>
                <w:szCs w:val="14"/>
              </w:rPr>
            </w:pPr>
            <w:r w:rsidRPr="00932CE1">
              <w:rPr>
                <w:rFonts w:cs="Tahoma"/>
                <w:b/>
                <w:spacing w:val="-3"/>
                <w:sz w:val="14"/>
                <w:szCs w:val="14"/>
              </w:rPr>
              <w:lastRenderedPageBreak/>
              <w:t>Oranı</w:t>
            </w:r>
          </w:p>
          <w:p w:rsidR="00565FD5" w:rsidRPr="00932CE1" w:rsidRDefault="00565FD5" w:rsidP="00AB62A3">
            <w:pPr>
              <w:shd w:val="clear" w:color="auto" w:fill="FFFFFF"/>
              <w:ind w:right="57"/>
              <w:jc w:val="right"/>
              <w:rPr>
                <w:rFonts w:cs="Tahoma"/>
                <w:sz w:val="14"/>
                <w:szCs w:val="14"/>
              </w:rPr>
            </w:pPr>
            <w:r w:rsidRPr="00932CE1">
              <w:rPr>
                <w:rFonts w:cs="Tahoma"/>
                <w:b/>
                <w:sz w:val="14"/>
                <w:szCs w:val="14"/>
              </w:rPr>
              <w:t>(yüzde)</w:t>
            </w:r>
          </w:p>
        </w:tc>
        <w:tc>
          <w:tcPr>
            <w:tcW w:w="549" w:type="pct"/>
            <w:tcBorders>
              <w:top w:val="single" w:sz="4" w:space="0" w:color="auto"/>
              <w:left w:val="single" w:sz="4" w:space="0" w:color="auto"/>
              <w:bottom w:val="single" w:sz="4" w:space="0" w:color="auto"/>
              <w:right w:val="nil"/>
            </w:tcBorders>
            <w:shd w:val="clear" w:color="auto" w:fill="FFFFFF"/>
          </w:tcPr>
          <w:p w:rsidR="00565FD5" w:rsidRPr="00932CE1" w:rsidRDefault="00565FD5" w:rsidP="00AB62A3">
            <w:pPr>
              <w:shd w:val="clear" w:color="auto" w:fill="FFFFFF"/>
              <w:ind w:right="57"/>
              <w:jc w:val="right"/>
              <w:rPr>
                <w:rFonts w:cs="Tahoma"/>
                <w:sz w:val="14"/>
                <w:szCs w:val="14"/>
              </w:rPr>
            </w:pPr>
            <w:r w:rsidRPr="00932CE1">
              <w:rPr>
                <w:rFonts w:cs="Tahoma"/>
                <w:b/>
                <w:spacing w:val="-5"/>
                <w:sz w:val="14"/>
                <w:szCs w:val="14"/>
              </w:rPr>
              <w:lastRenderedPageBreak/>
              <w:t>Öğrenci Sayısı</w:t>
            </w:r>
            <w:r w:rsidRPr="00932CE1">
              <w:rPr>
                <w:rFonts w:cs="Tahoma"/>
                <w:b/>
                <w:sz w:val="14"/>
                <w:szCs w:val="14"/>
              </w:rPr>
              <w:t xml:space="preserve"> (Bin)</w:t>
            </w:r>
          </w:p>
        </w:tc>
        <w:tc>
          <w:tcPr>
            <w:tcW w:w="715" w:type="pct"/>
            <w:tcBorders>
              <w:top w:val="single" w:sz="4" w:space="0" w:color="auto"/>
              <w:left w:val="nil"/>
              <w:bottom w:val="single" w:sz="4" w:space="0" w:color="auto"/>
              <w:right w:val="single" w:sz="4" w:space="0" w:color="auto"/>
            </w:tcBorders>
            <w:shd w:val="clear" w:color="auto" w:fill="FFFFFF"/>
            <w:vAlign w:val="bottom"/>
          </w:tcPr>
          <w:p w:rsidR="00565FD5" w:rsidRPr="00932CE1" w:rsidRDefault="00565FD5" w:rsidP="00AB62A3">
            <w:pPr>
              <w:shd w:val="clear" w:color="auto" w:fill="FFFFFF"/>
              <w:ind w:right="57"/>
              <w:jc w:val="right"/>
              <w:rPr>
                <w:rFonts w:cs="Tahoma"/>
                <w:b/>
                <w:sz w:val="14"/>
                <w:szCs w:val="14"/>
              </w:rPr>
            </w:pPr>
            <w:r w:rsidRPr="00932CE1">
              <w:rPr>
                <w:rFonts w:cs="Tahoma"/>
                <w:b/>
                <w:sz w:val="14"/>
                <w:szCs w:val="14"/>
              </w:rPr>
              <w:t>Brüt</w:t>
            </w:r>
          </w:p>
          <w:p w:rsidR="00565FD5" w:rsidRPr="00932CE1" w:rsidRDefault="00565FD5" w:rsidP="00AB62A3">
            <w:pPr>
              <w:shd w:val="clear" w:color="auto" w:fill="FFFFFF"/>
              <w:ind w:right="57"/>
              <w:jc w:val="right"/>
              <w:rPr>
                <w:rFonts w:cs="Tahoma"/>
                <w:sz w:val="14"/>
                <w:szCs w:val="14"/>
              </w:rPr>
            </w:pPr>
            <w:r w:rsidRPr="00932CE1">
              <w:rPr>
                <w:rFonts w:cs="Tahoma"/>
                <w:b/>
                <w:spacing w:val="-4"/>
                <w:sz w:val="14"/>
                <w:szCs w:val="14"/>
              </w:rPr>
              <w:t>Okullaşma</w:t>
            </w:r>
          </w:p>
          <w:p w:rsidR="00565FD5" w:rsidRPr="00932CE1" w:rsidRDefault="00565FD5" w:rsidP="00AB62A3">
            <w:pPr>
              <w:shd w:val="clear" w:color="auto" w:fill="FFFFFF"/>
              <w:ind w:right="57"/>
              <w:jc w:val="right"/>
              <w:rPr>
                <w:rFonts w:cs="Tahoma"/>
                <w:sz w:val="14"/>
                <w:szCs w:val="14"/>
              </w:rPr>
            </w:pPr>
            <w:r w:rsidRPr="00932CE1">
              <w:rPr>
                <w:rFonts w:cs="Tahoma"/>
                <w:b/>
                <w:sz w:val="14"/>
                <w:szCs w:val="14"/>
              </w:rPr>
              <w:lastRenderedPageBreak/>
              <w:t>Oranı</w:t>
            </w:r>
          </w:p>
          <w:p w:rsidR="00565FD5" w:rsidRPr="00932CE1" w:rsidRDefault="00565FD5" w:rsidP="00AB62A3">
            <w:pPr>
              <w:shd w:val="clear" w:color="auto" w:fill="FFFFFF"/>
              <w:ind w:right="57"/>
              <w:jc w:val="right"/>
              <w:rPr>
                <w:rFonts w:cs="Tahoma"/>
                <w:sz w:val="14"/>
                <w:szCs w:val="14"/>
              </w:rPr>
            </w:pPr>
            <w:r w:rsidRPr="00932CE1">
              <w:rPr>
                <w:rFonts w:cs="Tahoma"/>
                <w:b/>
                <w:sz w:val="14"/>
                <w:szCs w:val="14"/>
              </w:rPr>
              <w:t>(yüzde)</w:t>
            </w:r>
          </w:p>
        </w:tc>
        <w:tc>
          <w:tcPr>
            <w:tcW w:w="573" w:type="pct"/>
            <w:tcBorders>
              <w:top w:val="single" w:sz="4" w:space="0" w:color="auto"/>
              <w:left w:val="single" w:sz="4" w:space="0" w:color="auto"/>
              <w:bottom w:val="single" w:sz="4" w:space="0" w:color="auto"/>
              <w:right w:val="nil"/>
            </w:tcBorders>
            <w:shd w:val="clear" w:color="auto" w:fill="FFFFFF"/>
          </w:tcPr>
          <w:p w:rsidR="00565FD5" w:rsidRPr="00932CE1" w:rsidRDefault="00565FD5" w:rsidP="00AB62A3">
            <w:pPr>
              <w:shd w:val="clear" w:color="auto" w:fill="FFFFFF"/>
              <w:ind w:right="57"/>
              <w:jc w:val="right"/>
              <w:rPr>
                <w:rFonts w:cs="Tahoma"/>
                <w:b/>
                <w:spacing w:val="-5"/>
                <w:sz w:val="14"/>
                <w:szCs w:val="14"/>
              </w:rPr>
            </w:pPr>
            <w:r w:rsidRPr="00932CE1">
              <w:rPr>
                <w:rFonts w:cs="Tahoma"/>
                <w:b/>
                <w:spacing w:val="-5"/>
                <w:sz w:val="14"/>
                <w:szCs w:val="14"/>
              </w:rPr>
              <w:lastRenderedPageBreak/>
              <w:t xml:space="preserve">Öğrenci </w:t>
            </w:r>
          </w:p>
          <w:p w:rsidR="00565FD5" w:rsidRPr="00932CE1" w:rsidRDefault="00565FD5" w:rsidP="00AB62A3">
            <w:pPr>
              <w:shd w:val="clear" w:color="auto" w:fill="FFFFFF"/>
              <w:ind w:right="57"/>
              <w:jc w:val="right"/>
              <w:rPr>
                <w:rFonts w:cs="Tahoma"/>
                <w:b/>
                <w:spacing w:val="-4"/>
                <w:sz w:val="14"/>
                <w:szCs w:val="14"/>
              </w:rPr>
            </w:pPr>
            <w:r w:rsidRPr="00932CE1">
              <w:rPr>
                <w:rFonts w:cs="Tahoma"/>
                <w:b/>
                <w:spacing w:val="-4"/>
                <w:sz w:val="14"/>
                <w:szCs w:val="14"/>
              </w:rPr>
              <w:t xml:space="preserve">Sayısı </w:t>
            </w:r>
          </w:p>
          <w:p w:rsidR="00565FD5" w:rsidRPr="00932CE1" w:rsidRDefault="00565FD5" w:rsidP="00AB62A3">
            <w:pPr>
              <w:shd w:val="clear" w:color="auto" w:fill="FFFFFF"/>
              <w:ind w:right="57"/>
              <w:jc w:val="right"/>
              <w:rPr>
                <w:rFonts w:cs="Tahoma"/>
                <w:sz w:val="14"/>
                <w:szCs w:val="14"/>
              </w:rPr>
            </w:pPr>
            <w:r w:rsidRPr="00932CE1">
              <w:rPr>
                <w:rFonts w:cs="Tahoma"/>
                <w:b/>
                <w:sz w:val="14"/>
                <w:szCs w:val="14"/>
              </w:rPr>
              <w:lastRenderedPageBreak/>
              <w:t>(Bin)</w:t>
            </w:r>
          </w:p>
        </w:tc>
        <w:tc>
          <w:tcPr>
            <w:tcW w:w="631" w:type="pct"/>
            <w:tcBorders>
              <w:top w:val="single" w:sz="4" w:space="0" w:color="auto"/>
              <w:left w:val="nil"/>
              <w:bottom w:val="single" w:sz="4" w:space="0" w:color="auto"/>
            </w:tcBorders>
            <w:shd w:val="clear" w:color="auto" w:fill="FFFFFF"/>
            <w:vAlign w:val="bottom"/>
          </w:tcPr>
          <w:p w:rsidR="00565FD5" w:rsidRPr="00932CE1" w:rsidRDefault="00565FD5" w:rsidP="00AB62A3">
            <w:pPr>
              <w:shd w:val="clear" w:color="auto" w:fill="FFFFFF"/>
              <w:ind w:right="57"/>
              <w:jc w:val="right"/>
              <w:rPr>
                <w:rFonts w:cs="Tahoma"/>
                <w:b/>
                <w:spacing w:val="-4"/>
                <w:sz w:val="14"/>
                <w:szCs w:val="14"/>
              </w:rPr>
            </w:pPr>
            <w:r w:rsidRPr="00932CE1">
              <w:rPr>
                <w:rFonts w:cs="Tahoma"/>
                <w:b/>
                <w:spacing w:val="-4"/>
                <w:sz w:val="14"/>
                <w:szCs w:val="14"/>
              </w:rPr>
              <w:lastRenderedPageBreak/>
              <w:t>Brüt</w:t>
            </w:r>
          </w:p>
          <w:p w:rsidR="00565FD5" w:rsidRPr="00932CE1" w:rsidRDefault="00565FD5" w:rsidP="00AB62A3">
            <w:pPr>
              <w:shd w:val="clear" w:color="auto" w:fill="FFFFFF"/>
              <w:ind w:right="57"/>
              <w:jc w:val="right"/>
              <w:rPr>
                <w:rFonts w:cs="Tahoma"/>
                <w:sz w:val="14"/>
                <w:szCs w:val="14"/>
              </w:rPr>
            </w:pPr>
            <w:r w:rsidRPr="00932CE1">
              <w:rPr>
                <w:rFonts w:cs="Tahoma"/>
                <w:b/>
                <w:spacing w:val="-4"/>
                <w:sz w:val="14"/>
                <w:szCs w:val="14"/>
              </w:rPr>
              <w:t xml:space="preserve"> Okullaşma</w:t>
            </w:r>
          </w:p>
          <w:p w:rsidR="00565FD5" w:rsidRPr="00932CE1" w:rsidRDefault="00565FD5" w:rsidP="00AB62A3">
            <w:pPr>
              <w:shd w:val="clear" w:color="auto" w:fill="FFFFFF"/>
              <w:ind w:right="57"/>
              <w:jc w:val="right"/>
              <w:rPr>
                <w:rFonts w:cs="Tahoma"/>
                <w:sz w:val="14"/>
                <w:szCs w:val="14"/>
              </w:rPr>
            </w:pPr>
            <w:r w:rsidRPr="00932CE1">
              <w:rPr>
                <w:rFonts w:cs="Tahoma"/>
                <w:b/>
                <w:spacing w:val="-3"/>
                <w:sz w:val="14"/>
                <w:szCs w:val="14"/>
              </w:rPr>
              <w:lastRenderedPageBreak/>
              <w:t>Oranı</w:t>
            </w:r>
          </w:p>
          <w:p w:rsidR="00565FD5" w:rsidRPr="00932CE1" w:rsidRDefault="00565FD5" w:rsidP="00AB62A3">
            <w:pPr>
              <w:shd w:val="clear" w:color="auto" w:fill="FFFFFF"/>
              <w:ind w:right="57"/>
              <w:jc w:val="right"/>
              <w:rPr>
                <w:rFonts w:cs="Tahoma"/>
                <w:sz w:val="14"/>
                <w:szCs w:val="14"/>
              </w:rPr>
            </w:pPr>
            <w:r w:rsidRPr="00932CE1">
              <w:rPr>
                <w:rFonts w:cs="Tahoma"/>
                <w:b/>
                <w:sz w:val="14"/>
                <w:szCs w:val="14"/>
              </w:rPr>
              <w:t>(yüzde)</w:t>
            </w:r>
          </w:p>
        </w:tc>
      </w:tr>
      <w:tr w:rsidR="00565FD5" w:rsidRPr="00932CE1" w:rsidTr="00AB62A3">
        <w:trPr>
          <w:trHeight w:val="227"/>
        </w:trPr>
        <w:tc>
          <w:tcPr>
            <w:tcW w:w="1363" w:type="pct"/>
            <w:tcBorders>
              <w:top w:val="single" w:sz="4" w:space="0" w:color="auto"/>
              <w:bottom w:val="nil"/>
              <w:right w:val="nil"/>
            </w:tcBorders>
            <w:shd w:val="clear" w:color="auto" w:fill="FFFFFF"/>
            <w:vAlign w:val="center"/>
          </w:tcPr>
          <w:p w:rsidR="00565FD5" w:rsidRPr="00932CE1" w:rsidRDefault="00565FD5" w:rsidP="00AB62A3">
            <w:pPr>
              <w:shd w:val="clear" w:color="auto" w:fill="FFFFFF"/>
              <w:ind w:left="57" w:right="57"/>
              <w:rPr>
                <w:rFonts w:cs="Tahoma"/>
                <w:sz w:val="15"/>
                <w:szCs w:val="15"/>
              </w:rPr>
            </w:pPr>
            <w:r w:rsidRPr="00932CE1">
              <w:rPr>
                <w:rFonts w:cs="Tahoma"/>
                <w:sz w:val="15"/>
                <w:szCs w:val="15"/>
              </w:rPr>
              <w:lastRenderedPageBreak/>
              <w:t>Okul Öncesi Eğitim (1)</w:t>
            </w:r>
          </w:p>
        </w:tc>
        <w:tc>
          <w:tcPr>
            <w:tcW w:w="487" w:type="pct"/>
            <w:tcBorders>
              <w:top w:val="single" w:sz="4" w:space="0" w:color="auto"/>
              <w:left w:val="nil"/>
              <w:bottom w:val="nil"/>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981</w:t>
            </w:r>
          </w:p>
        </w:tc>
        <w:tc>
          <w:tcPr>
            <w:tcW w:w="681" w:type="pct"/>
            <w:tcBorders>
              <w:top w:val="single" w:sz="4" w:space="0" w:color="auto"/>
              <w:left w:val="nil"/>
              <w:bottom w:val="nil"/>
              <w:right w:val="single" w:sz="4" w:space="0" w:color="auto"/>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40,7</w:t>
            </w:r>
          </w:p>
        </w:tc>
        <w:tc>
          <w:tcPr>
            <w:tcW w:w="549" w:type="pct"/>
            <w:tcBorders>
              <w:top w:val="single" w:sz="4" w:space="0" w:color="auto"/>
              <w:left w:val="single" w:sz="4" w:space="0" w:color="auto"/>
              <w:bottom w:val="nil"/>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1 116</w:t>
            </w:r>
          </w:p>
        </w:tc>
        <w:tc>
          <w:tcPr>
            <w:tcW w:w="715" w:type="pct"/>
            <w:tcBorders>
              <w:top w:val="single" w:sz="4" w:space="0" w:color="auto"/>
              <w:left w:val="nil"/>
              <w:bottom w:val="nil"/>
              <w:right w:val="single" w:sz="4" w:space="0" w:color="auto"/>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45,3</w:t>
            </w:r>
          </w:p>
        </w:tc>
        <w:tc>
          <w:tcPr>
            <w:tcW w:w="573" w:type="pct"/>
            <w:tcBorders>
              <w:top w:val="single" w:sz="4" w:space="0" w:color="auto"/>
              <w:left w:val="single" w:sz="4" w:space="0" w:color="auto"/>
              <w:bottom w:val="nil"/>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1 170</w:t>
            </w:r>
          </w:p>
        </w:tc>
        <w:tc>
          <w:tcPr>
            <w:tcW w:w="631" w:type="pct"/>
            <w:tcBorders>
              <w:top w:val="single" w:sz="4" w:space="0" w:color="auto"/>
              <w:left w:val="nil"/>
              <w:bottom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46,4</w:t>
            </w:r>
          </w:p>
        </w:tc>
      </w:tr>
      <w:tr w:rsidR="00565FD5" w:rsidRPr="00932CE1" w:rsidTr="00AB62A3">
        <w:trPr>
          <w:trHeight w:val="227"/>
        </w:trPr>
        <w:tc>
          <w:tcPr>
            <w:tcW w:w="1363" w:type="pct"/>
            <w:tcBorders>
              <w:top w:val="nil"/>
              <w:bottom w:val="nil"/>
              <w:right w:val="nil"/>
            </w:tcBorders>
            <w:shd w:val="clear" w:color="auto" w:fill="FFFFFF"/>
            <w:vAlign w:val="center"/>
          </w:tcPr>
          <w:p w:rsidR="00565FD5" w:rsidRPr="00932CE1" w:rsidRDefault="00565FD5" w:rsidP="00AB62A3">
            <w:pPr>
              <w:shd w:val="clear" w:color="auto" w:fill="FFFFFF"/>
              <w:ind w:left="57" w:right="57"/>
              <w:rPr>
                <w:rFonts w:cs="Tahoma"/>
                <w:sz w:val="15"/>
                <w:szCs w:val="15"/>
              </w:rPr>
            </w:pPr>
            <w:r w:rsidRPr="00932CE1">
              <w:rPr>
                <w:rFonts w:cs="Tahoma"/>
                <w:sz w:val="15"/>
                <w:szCs w:val="15"/>
              </w:rPr>
              <w:t>İlköğretim (2)</w:t>
            </w:r>
          </w:p>
        </w:tc>
        <w:tc>
          <w:tcPr>
            <w:tcW w:w="487" w:type="pct"/>
            <w:tcBorders>
              <w:top w:val="nil"/>
              <w:left w:val="nil"/>
              <w:bottom w:val="nil"/>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10 917</w:t>
            </w:r>
          </w:p>
        </w:tc>
        <w:tc>
          <w:tcPr>
            <w:tcW w:w="681" w:type="pct"/>
            <w:tcBorders>
              <w:top w:val="nil"/>
              <w:left w:val="nil"/>
              <w:bottom w:val="nil"/>
              <w:right w:val="single" w:sz="4" w:space="0" w:color="auto"/>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106,5</w:t>
            </w:r>
          </w:p>
        </w:tc>
        <w:tc>
          <w:tcPr>
            <w:tcW w:w="549" w:type="pct"/>
            <w:tcBorders>
              <w:top w:val="nil"/>
              <w:left w:val="single" w:sz="4" w:space="0" w:color="auto"/>
              <w:bottom w:val="nil"/>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10 981</w:t>
            </w:r>
          </w:p>
        </w:tc>
        <w:tc>
          <w:tcPr>
            <w:tcW w:w="715" w:type="pct"/>
            <w:tcBorders>
              <w:top w:val="nil"/>
              <w:left w:val="nil"/>
              <w:bottom w:val="nil"/>
              <w:right w:val="single" w:sz="4" w:space="0" w:color="auto"/>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107,6</w:t>
            </w:r>
          </w:p>
        </w:tc>
        <w:tc>
          <w:tcPr>
            <w:tcW w:w="573" w:type="pct"/>
            <w:tcBorders>
              <w:top w:val="nil"/>
              <w:left w:val="single" w:sz="4" w:space="0" w:color="auto"/>
              <w:bottom w:val="nil"/>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10 979</w:t>
            </w:r>
          </w:p>
        </w:tc>
        <w:tc>
          <w:tcPr>
            <w:tcW w:w="631" w:type="pct"/>
            <w:tcBorders>
              <w:top w:val="nil"/>
              <w:left w:val="nil"/>
              <w:bottom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108,4</w:t>
            </w:r>
          </w:p>
        </w:tc>
      </w:tr>
      <w:tr w:rsidR="00565FD5" w:rsidRPr="00932CE1" w:rsidTr="00AB62A3">
        <w:trPr>
          <w:trHeight w:val="227"/>
        </w:trPr>
        <w:tc>
          <w:tcPr>
            <w:tcW w:w="1363" w:type="pct"/>
            <w:tcBorders>
              <w:top w:val="nil"/>
              <w:bottom w:val="nil"/>
              <w:right w:val="nil"/>
            </w:tcBorders>
            <w:shd w:val="clear" w:color="auto" w:fill="FFFFFF"/>
            <w:vAlign w:val="center"/>
          </w:tcPr>
          <w:p w:rsidR="00565FD5" w:rsidRPr="00932CE1" w:rsidRDefault="00565FD5" w:rsidP="00AB62A3">
            <w:pPr>
              <w:shd w:val="clear" w:color="auto" w:fill="FFFFFF"/>
              <w:ind w:left="57" w:right="57"/>
              <w:rPr>
                <w:rFonts w:cs="Tahoma"/>
                <w:sz w:val="15"/>
                <w:szCs w:val="15"/>
              </w:rPr>
            </w:pPr>
            <w:r w:rsidRPr="00932CE1">
              <w:rPr>
                <w:rFonts w:cs="Tahoma"/>
                <w:sz w:val="15"/>
                <w:szCs w:val="15"/>
              </w:rPr>
              <w:t>Ortaöğretim (2)</w:t>
            </w:r>
          </w:p>
        </w:tc>
        <w:tc>
          <w:tcPr>
            <w:tcW w:w="487" w:type="pct"/>
            <w:tcBorders>
              <w:top w:val="nil"/>
              <w:left w:val="nil"/>
              <w:bottom w:val="nil"/>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4 240</w:t>
            </w:r>
          </w:p>
        </w:tc>
        <w:tc>
          <w:tcPr>
            <w:tcW w:w="681" w:type="pct"/>
            <w:tcBorders>
              <w:top w:val="nil"/>
              <w:left w:val="nil"/>
              <w:bottom w:val="nil"/>
              <w:right w:val="single" w:sz="4" w:space="0" w:color="auto"/>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84,2</w:t>
            </w:r>
          </w:p>
        </w:tc>
        <w:tc>
          <w:tcPr>
            <w:tcW w:w="549" w:type="pct"/>
            <w:tcBorders>
              <w:top w:val="nil"/>
              <w:left w:val="single" w:sz="4" w:space="0" w:color="auto"/>
              <w:bottom w:val="nil"/>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4 749</w:t>
            </w:r>
          </w:p>
        </w:tc>
        <w:tc>
          <w:tcPr>
            <w:tcW w:w="715" w:type="pct"/>
            <w:tcBorders>
              <w:top w:val="nil"/>
              <w:left w:val="nil"/>
              <w:bottom w:val="nil"/>
              <w:right w:val="single" w:sz="4" w:space="0" w:color="auto"/>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89,7</w:t>
            </w:r>
          </w:p>
        </w:tc>
        <w:tc>
          <w:tcPr>
            <w:tcW w:w="573" w:type="pct"/>
            <w:tcBorders>
              <w:top w:val="nil"/>
              <w:left w:val="single" w:sz="4" w:space="0" w:color="auto"/>
              <w:bottom w:val="nil"/>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4 756</w:t>
            </w:r>
          </w:p>
        </w:tc>
        <w:tc>
          <w:tcPr>
            <w:tcW w:w="631" w:type="pct"/>
            <w:tcBorders>
              <w:top w:val="nil"/>
              <w:left w:val="nil"/>
              <w:bottom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92,6</w:t>
            </w:r>
          </w:p>
        </w:tc>
      </w:tr>
      <w:tr w:rsidR="00565FD5" w:rsidRPr="00932CE1" w:rsidTr="00AB62A3">
        <w:trPr>
          <w:trHeight w:val="227"/>
        </w:trPr>
        <w:tc>
          <w:tcPr>
            <w:tcW w:w="1363" w:type="pct"/>
            <w:tcBorders>
              <w:top w:val="nil"/>
              <w:bottom w:val="nil"/>
              <w:right w:val="nil"/>
            </w:tcBorders>
            <w:shd w:val="clear" w:color="auto" w:fill="FFFFFF"/>
            <w:vAlign w:val="center"/>
          </w:tcPr>
          <w:p w:rsidR="00565FD5" w:rsidRPr="00932CE1" w:rsidRDefault="00565FD5" w:rsidP="00AB62A3">
            <w:pPr>
              <w:shd w:val="clear" w:color="auto" w:fill="FFFFFF"/>
              <w:ind w:left="57" w:right="57"/>
              <w:rPr>
                <w:rFonts w:cs="Tahoma"/>
                <w:sz w:val="15"/>
                <w:szCs w:val="15"/>
              </w:rPr>
            </w:pPr>
            <w:r w:rsidRPr="00932CE1">
              <w:rPr>
                <w:rFonts w:cs="Tahoma"/>
                <w:sz w:val="15"/>
                <w:szCs w:val="15"/>
              </w:rPr>
              <w:t xml:space="preserve">   a) Genel Lise</w:t>
            </w:r>
          </w:p>
        </w:tc>
        <w:tc>
          <w:tcPr>
            <w:tcW w:w="487" w:type="pct"/>
            <w:tcBorders>
              <w:top w:val="nil"/>
              <w:left w:val="nil"/>
              <w:bottom w:val="nil"/>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2 421</w:t>
            </w:r>
          </w:p>
        </w:tc>
        <w:tc>
          <w:tcPr>
            <w:tcW w:w="681" w:type="pct"/>
            <w:tcBorders>
              <w:top w:val="nil"/>
              <w:left w:val="nil"/>
              <w:bottom w:val="nil"/>
              <w:right w:val="single" w:sz="4" w:space="0" w:color="auto"/>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48,1</w:t>
            </w:r>
          </w:p>
        </w:tc>
        <w:tc>
          <w:tcPr>
            <w:tcW w:w="549" w:type="pct"/>
            <w:tcBorders>
              <w:top w:val="nil"/>
              <w:left w:val="single" w:sz="4" w:space="0" w:color="auto"/>
              <w:bottom w:val="nil"/>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2 676</w:t>
            </w:r>
          </w:p>
        </w:tc>
        <w:tc>
          <w:tcPr>
            <w:tcW w:w="715" w:type="pct"/>
            <w:tcBorders>
              <w:top w:val="nil"/>
              <w:left w:val="nil"/>
              <w:bottom w:val="nil"/>
              <w:right w:val="single" w:sz="4" w:space="0" w:color="auto"/>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50,6</w:t>
            </w:r>
          </w:p>
        </w:tc>
        <w:tc>
          <w:tcPr>
            <w:tcW w:w="573" w:type="pct"/>
            <w:tcBorders>
              <w:top w:val="nil"/>
              <w:left w:val="single" w:sz="4" w:space="0" w:color="auto"/>
              <w:bottom w:val="nil"/>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2 666</w:t>
            </w:r>
          </w:p>
        </w:tc>
        <w:tc>
          <w:tcPr>
            <w:tcW w:w="631" w:type="pct"/>
            <w:tcBorders>
              <w:top w:val="nil"/>
              <w:left w:val="nil"/>
              <w:bottom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51,9</w:t>
            </w:r>
          </w:p>
        </w:tc>
      </w:tr>
      <w:tr w:rsidR="00565FD5" w:rsidRPr="00932CE1" w:rsidTr="00AB62A3">
        <w:trPr>
          <w:trHeight w:val="227"/>
        </w:trPr>
        <w:tc>
          <w:tcPr>
            <w:tcW w:w="1363" w:type="pct"/>
            <w:tcBorders>
              <w:top w:val="nil"/>
              <w:bottom w:val="nil"/>
              <w:right w:val="nil"/>
            </w:tcBorders>
            <w:shd w:val="clear" w:color="auto" w:fill="FFFFFF"/>
            <w:vAlign w:val="center"/>
          </w:tcPr>
          <w:p w:rsidR="00565FD5" w:rsidRPr="00932CE1" w:rsidRDefault="00565FD5" w:rsidP="00AB62A3">
            <w:pPr>
              <w:shd w:val="clear" w:color="auto" w:fill="FFFFFF"/>
              <w:ind w:left="431" w:right="57" w:hanging="374"/>
              <w:rPr>
                <w:rFonts w:cs="Tahoma"/>
                <w:sz w:val="15"/>
                <w:szCs w:val="15"/>
              </w:rPr>
            </w:pPr>
            <w:r w:rsidRPr="00932CE1">
              <w:rPr>
                <w:rFonts w:cs="Tahoma"/>
                <w:sz w:val="15"/>
                <w:szCs w:val="15"/>
              </w:rPr>
              <w:t xml:space="preserve">   b) Mesleki ve Teknik Eğitim</w:t>
            </w:r>
          </w:p>
        </w:tc>
        <w:tc>
          <w:tcPr>
            <w:tcW w:w="487" w:type="pct"/>
            <w:tcBorders>
              <w:top w:val="nil"/>
              <w:left w:val="nil"/>
              <w:bottom w:val="nil"/>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1 819</w:t>
            </w:r>
          </w:p>
        </w:tc>
        <w:tc>
          <w:tcPr>
            <w:tcW w:w="681" w:type="pct"/>
            <w:tcBorders>
              <w:top w:val="nil"/>
              <w:left w:val="nil"/>
              <w:bottom w:val="nil"/>
              <w:right w:val="single" w:sz="4" w:space="0" w:color="auto"/>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36,1</w:t>
            </w:r>
          </w:p>
        </w:tc>
        <w:tc>
          <w:tcPr>
            <w:tcW w:w="549" w:type="pct"/>
            <w:tcBorders>
              <w:top w:val="nil"/>
              <w:left w:val="single" w:sz="4" w:space="0" w:color="auto"/>
              <w:bottom w:val="nil"/>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2 072</w:t>
            </w:r>
          </w:p>
        </w:tc>
        <w:tc>
          <w:tcPr>
            <w:tcW w:w="715" w:type="pct"/>
            <w:tcBorders>
              <w:top w:val="nil"/>
              <w:left w:val="nil"/>
              <w:bottom w:val="nil"/>
              <w:right w:val="single" w:sz="4" w:space="0" w:color="auto"/>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39,1</w:t>
            </w:r>
          </w:p>
        </w:tc>
        <w:tc>
          <w:tcPr>
            <w:tcW w:w="573" w:type="pct"/>
            <w:tcBorders>
              <w:top w:val="nil"/>
              <w:left w:val="single" w:sz="4" w:space="0" w:color="auto"/>
              <w:bottom w:val="nil"/>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2 090</w:t>
            </w:r>
          </w:p>
        </w:tc>
        <w:tc>
          <w:tcPr>
            <w:tcW w:w="631" w:type="pct"/>
            <w:tcBorders>
              <w:top w:val="nil"/>
              <w:left w:val="nil"/>
              <w:bottom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40,7</w:t>
            </w:r>
          </w:p>
        </w:tc>
      </w:tr>
      <w:tr w:rsidR="00565FD5" w:rsidRPr="00932CE1" w:rsidTr="00AB62A3">
        <w:trPr>
          <w:trHeight w:val="227"/>
        </w:trPr>
        <w:tc>
          <w:tcPr>
            <w:tcW w:w="1363" w:type="pct"/>
            <w:tcBorders>
              <w:top w:val="nil"/>
              <w:bottom w:val="nil"/>
              <w:right w:val="nil"/>
            </w:tcBorders>
            <w:shd w:val="clear" w:color="auto" w:fill="FFFFFF"/>
            <w:vAlign w:val="center"/>
          </w:tcPr>
          <w:p w:rsidR="00565FD5" w:rsidRPr="00932CE1" w:rsidRDefault="00565FD5" w:rsidP="00AB62A3">
            <w:pPr>
              <w:shd w:val="clear" w:color="auto" w:fill="FFFFFF"/>
              <w:ind w:left="57" w:right="57"/>
              <w:rPr>
                <w:rFonts w:cs="Tahoma"/>
                <w:sz w:val="15"/>
                <w:szCs w:val="15"/>
              </w:rPr>
            </w:pPr>
            <w:r w:rsidRPr="00932CE1">
              <w:rPr>
                <w:rFonts w:cs="Tahoma"/>
                <w:spacing w:val="-5"/>
                <w:sz w:val="15"/>
                <w:szCs w:val="15"/>
              </w:rPr>
              <w:t>Yükseköğretim Toplam (3)</w:t>
            </w:r>
          </w:p>
        </w:tc>
        <w:tc>
          <w:tcPr>
            <w:tcW w:w="487" w:type="pct"/>
            <w:tcBorders>
              <w:top w:val="nil"/>
              <w:left w:val="nil"/>
              <w:bottom w:val="nil"/>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3 322</w:t>
            </w:r>
          </w:p>
        </w:tc>
        <w:tc>
          <w:tcPr>
            <w:tcW w:w="681" w:type="pct"/>
            <w:tcBorders>
              <w:top w:val="nil"/>
              <w:left w:val="nil"/>
              <w:bottom w:val="nil"/>
              <w:right w:val="single" w:sz="4" w:space="0" w:color="auto"/>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67,0</w:t>
            </w:r>
          </w:p>
        </w:tc>
        <w:tc>
          <w:tcPr>
            <w:tcW w:w="549" w:type="pct"/>
            <w:tcBorders>
              <w:top w:val="nil"/>
              <w:left w:val="single" w:sz="4" w:space="0" w:color="auto"/>
              <w:bottom w:val="nil"/>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3 627</w:t>
            </w:r>
          </w:p>
        </w:tc>
        <w:tc>
          <w:tcPr>
            <w:tcW w:w="715" w:type="pct"/>
            <w:tcBorders>
              <w:top w:val="nil"/>
              <w:left w:val="nil"/>
              <w:bottom w:val="nil"/>
              <w:right w:val="single" w:sz="4" w:space="0" w:color="auto"/>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72,5</w:t>
            </w:r>
          </w:p>
        </w:tc>
        <w:tc>
          <w:tcPr>
            <w:tcW w:w="573" w:type="pct"/>
            <w:tcBorders>
              <w:top w:val="nil"/>
              <w:left w:val="single" w:sz="4" w:space="0" w:color="auto"/>
              <w:bottom w:val="nil"/>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4 113</w:t>
            </w:r>
          </w:p>
        </w:tc>
        <w:tc>
          <w:tcPr>
            <w:tcW w:w="631" w:type="pct"/>
            <w:tcBorders>
              <w:top w:val="nil"/>
              <w:left w:val="nil"/>
              <w:bottom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81,6</w:t>
            </w:r>
          </w:p>
        </w:tc>
      </w:tr>
      <w:tr w:rsidR="00565FD5" w:rsidRPr="00932CE1" w:rsidTr="00AB62A3">
        <w:trPr>
          <w:trHeight w:val="227"/>
        </w:trPr>
        <w:tc>
          <w:tcPr>
            <w:tcW w:w="1363" w:type="pct"/>
            <w:tcBorders>
              <w:top w:val="nil"/>
              <w:bottom w:val="nil"/>
              <w:right w:val="nil"/>
            </w:tcBorders>
            <w:shd w:val="clear" w:color="auto" w:fill="FFFFFF"/>
            <w:vAlign w:val="center"/>
          </w:tcPr>
          <w:p w:rsidR="00565FD5" w:rsidRPr="00932CE1" w:rsidRDefault="00565FD5" w:rsidP="00AB62A3">
            <w:pPr>
              <w:shd w:val="clear" w:color="auto" w:fill="FFFFFF"/>
              <w:ind w:left="57" w:right="57"/>
              <w:rPr>
                <w:rFonts w:cs="Tahoma"/>
                <w:sz w:val="15"/>
                <w:szCs w:val="15"/>
              </w:rPr>
            </w:pPr>
            <w:r w:rsidRPr="00932CE1">
              <w:rPr>
                <w:rFonts w:cs="Tahoma"/>
                <w:sz w:val="15"/>
                <w:szCs w:val="15"/>
              </w:rPr>
              <w:t xml:space="preserve">  Örgün</w:t>
            </w:r>
          </w:p>
        </w:tc>
        <w:tc>
          <w:tcPr>
            <w:tcW w:w="487" w:type="pct"/>
            <w:tcBorders>
              <w:top w:val="nil"/>
              <w:left w:val="nil"/>
              <w:bottom w:val="nil"/>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1 765</w:t>
            </w:r>
          </w:p>
        </w:tc>
        <w:tc>
          <w:tcPr>
            <w:tcW w:w="681" w:type="pct"/>
            <w:tcBorders>
              <w:top w:val="nil"/>
              <w:left w:val="nil"/>
              <w:bottom w:val="nil"/>
              <w:right w:val="single" w:sz="4" w:space="0" w:color="auto"/>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35,6</w:t>
            </w:r>
          </w:p>
        </w:tc>
        <w:tc>
          <w:tcPr>
            <w:tcW w:w="549" w:type="pct"/>
            <w:tcBorders>
              <w:top w:val="nil"/>
              <w:left w:val="single" w:sz="4" w:space="0" w:color="auto"/>
              <w:bottom w:val="nil"/>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1 913</w:t>
            </w:r>
          </w:p>
        </w:tc>
        <w:tc>
          <w:tcPr>
            <w:tcW w:w="715" w:type="pct"/>
            <w:tcBorders>
              <w:top w:val="nil"/>
              <w:left w:val="nil"/>
              <w:bottom w:val="nil"/>
              <w:right w:val="single" w:sz="4" w:space="0" w:color="auto"/>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38,2</w:t>
            </w:r>
          </w:p>
        </w:tc>
        <w:tc>
          <w:tcPr>
            <w:tcW w:w="573" w:type="pct"/>
            <w:tcBorders>
              <w:top w:val="nil"/>
              <w:left w:val="single" w:sz="4" w:space="0" w:color="auto"/>
              <w:bottom w:val="nil"/>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2 161</w:t>
            </w:r>
          </w:p>
        </w:tc>
        <w:tc>
          <w:tcPr>
            <w:tcW w:w="631" w:type="pct"/>
            <w:tcBorders>
              <w:top w:val="nil"/>
              <w:left w:val="nil"/>
              <w:bottom w:val="nil"/>
            </w:tcBorders>
            <w:shd w:val="clear" w:color="auto" w:fill="FFFFFF"/>
            <w:vAlign w:val="center"/>
          </w:tcPr>
          <w:p w:rsidR="00565FD5" w:rsidRPr="00932CE1" w:rsidRDefault="00565FD5" w:rsidP="00AB62A3">
            <w:pPr>
              <w:ind w:right="57"/>
              <w:jc w:val="right"/>
              <w:rPr>
                <w:rFonts w:cs="Tahoma"/>
                <w:color w:val="FF0000"/>
                <w:sz w:val="15"/>
                <w:szCs w:val="15"/>
              </w:rPr>
            </w:pPr>
            <w:r w:rsidRPr="00932CE1">
              <w:rPr>
                <w:rFonts w:cs="Tahoma"/>
                <w:sz w:val="15"/>
                <w:szCs w:val="15"/>
              </w:rPr>
              <w:t>42,9</w:t>
            </w:r>
          </w:p>
        </w:tc>
      </w:tr>
      <w:tr w:rsidR="00565FD5" w:rsidRPr="00932CE1" w:rsidTr="00AB62A3">
        <w:trPr>
          <w:trHeight w:val="227"/>
        </w:trPr>
        <w:tc>
          <w:tcPr>
            <w:tcW w:w="1363" w:type="pct"/>
            <w:tcBorders>
              <w:top w:val="nil"/>
              <w:bottom w:val="single" w:sz="4" w:space="0" w:color="auto"/>
              <w:right w:val="nil"/>
            </w:tcBorders>
            <w:shd w:val="clear" w:color="auto" w:fill="FFFFFF"/>
            <w:vAlign w:val="center"/>
          </w:tcPr>
          <w:p w:rsidR="00565FD5" w:rsidRPr="00932CE1" w:rsidRDefault="00565FD5" w:rsidP="00AB62A3">
            <w:pPr>
              <w:shd w:val="clear" w:color="auto" w:fill="FFFFFF"/>
              <w:ind w:left="57" w:right="57"/>
              <w:rPr>
                <w:rFonts w:cs="Tahoma"/>
                <w:sz w:val="15"/>
                <w:szCs w:val="15"/>
              </w:rPr>
            </w:pPr>
            <w:r w:rsidRPr="00932CE1">
              <w:rPr>
                <w:rFonts w:cs="Tahoma"/>
                <w:sz w:val="15"/>
                <w:szCs w:val="15"/>
              </w:rPr>
              <w:t>Yaygın Eğitim (4)</w:t>
            </w:r>
          </w:p>
        </w:tc>
        <w:tc>
          <w:tcPr>
            <w:tcW w:w="487" w:type="pct"/>
            <w:tcBorders>
              <w:top w:val="nil"/>
              <w:left w:val="nil"/>
              <w:bottom w:val="single" w:sz="4" w:space="0" w:color="auto"/>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7 062</w:t>
            </w:r>
          </w:p>
        </w:tc>
        <w:tc>
          <w:tcPr>
            <w:tcW w:w="681" w:type="pct"/>
            <w:tcBorders>
              <w:top w:val="nil"/>
              <w:left w:val="nil"/>
              <w:bottom w:val="single" w:sz="4" w:space="0" w:color="auto"/>
              <w:right w:val="single" w:sz="4" w:space="0" w:color="auto"/>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w:t>
            </w:r>
          </w:p>
        </w:tc>
        <w:tc>
          <w:tcPr>
            <w:tcW w:w="549" w:type="pct"/>
            <w:tcBorders>
              <w:top w:val="nil"/>
              <w:left w:val="single" w:sz="4" w:space="0" w:color="auto"/>
              <w:bottom w:val="single" w:sz="4" w:space="0" w:color="auto"/>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7 786</w:t>
            </w:r>
          </w:p>
        </w:tc>
        <w:tc>
          <w:tcPr>
            <w:tcW w:w="715" w:type="pct"/>
            <w:tcBorders>
              <w:top w:val="nil"/>
              <w:left w:val="nil"/>
              <w:bottom w:val="single" w:sz="4" w:space="0" w:color="auto"/>
              <w:right w:val="single" w:sz="4" w:space="0" w:color="auto"/>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w:t>
            </w:r>
          </w:p>
        </w:tc>
        <w:tc>
          <w:tcPr>
            <w:tcW w:w="573" w:type="pct"/>
            <w:tcBorders>
              <w:top w:val="nil"/>
              <w:left w:val="single" w:sz="4" w:space="0" w:color="auto"/>
              <w:bottom w:val="single" w:sz="4" w:space="0" w:color="auto"/>
              <w:right w:val="nil"/>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8 524</w:t>
            </w:r>
          </w:p>
        </w:tc>
        <w:tc>
          <w:tcPr>
            <w:tcW w:w="631" w:type="pct"/>
            <w:tcBorders>
              <w:top w:val="nil"/>
              <w:left w:val="nil"/>
              <w:bottom w:val="single" w:sz="4" w:space="0" w:color="auto"/>
            </w:tcBorders>
            <w:shd w:val="clear" w:color="auto" w:fill="FFFFFF"/>
            <w:vAlign w:val="center"/>
          </w:tcPr>
          <w:p w:rsidR="00565FD5" w:rsidRPr="00932CE1" w:rsidRDefault="00565FD5" w:rsidP="00AB62A3">
            <w:pPr>
              <w:ind w:right="57"/>
              <w:jc w:val="right"/>
              <w:rPr>
                <w:rFonts w:cs="Tahoma"/>
                <w:sz w:val="15"/>
                <w:szCs w:val="15"/>
              </w:rPr>
            </w:pPr>
            <w:r w:rsidRPr="00932CE1">
              <w:rPr>
                <w:rFonts w:cs="Tahoma"/>
                <w:sz w:val="15"/>
                <w:szCs w:val="15"/>
              </w:rPr>
              <w:t>-</w:t>
            </w:r>
          </w:p>
        </w:tc>
      </w:tr>
    </w:tbl>
    <w:p w:rsidR="00565FD5" w:rsidRPr="004B3DE4" w:rsidRDefault="00565FD5" w:rsidP="00565FD5">
      <w:pPr>
        <w:rPr>
          <w:rFonts w:cs="Tahoma"/>
          <w:sz w:val="14"/>
          <w:szCs w:val="14"/>
        </w:rPr>
      </w:pPr>
      <w:r w:rsidRPr="004B3DE4">
        <w:rPr>
          <w:rFonts w:cs="Tahoma"/>
          <w:sz w:val="14"/>
          <w:szCs w:val="14"/>
        </w:rPr>
        <w:t>Kaynak: MEB, ÖSYM</w:t>
      </w:r>
    </w:p>
    <w:p w:rsidR="00565FD5" w:rsidRPr="004B3DE4" w:rsidRDefault="00565FD5" w:rsidP="00565FD5">
      <w:pPr>
        <w:rPr>
          <w:rFonts w:cs="Tahoma"/>
          <w:sz w:val="14"/>
          <w:szCs w:val="14"/>
        </w:rPr>
      </w:pPr>
      <w:r w:rsidRPr="004B3DE4">
        <w:rPr>
          <w:rFonts w:cs="Tahoma"/>
          <w:sz w:val="14"/>
          <w:szCs w:val="14"/>
        </w:rPr>
        <w:t>(1) 4-5 yaş çağ nüfusuna göre hesaplanmıştır.</w:t>
      </w:r>
    </w:p>
    <w:p w:rsidR="00565FD5" w:rsidRPr="004B3DE4" w:rsidRDefault="00565FD5" w:rsidP="00565FD5">
      <w:pPr>
        <w:rPr>
          <w:rFonts w:cs="Tahoma"/>
          <w:sz w:val="14"/>
          <w:szCs w:val="14"/>
        </w:rPr>
      </w:pPr>
      <w:r w:rsidRPr="004B3DE4">
        <w:rPr>
          <w:rFonts w:cs="Tahoma"/>
          <w:sz w:val="14"/>
          <w:szCs w:val="14"/>
        </w:rPr>
        <w:t>(2) Açık ilköğretim ve açık lise öğrencileri dahildir.</w:t>
      </w:r>
    </w:p>
    <w:p w:rsidR="00565FD5" w:rsidRPr="004B3DE4" w:rsidRDefault="00565FD5" w:rsidP="00565FD5">
      <w:pPr>
        <w:rPr>
          <w:rFonts w:cs="Tahoma"/>
          <w:sz w:val="14"/>
          <w:szCs w:val="14"/>
        </w:rPr>
      </w:pPr>
      <w:r w:rsidRPr="004B3DE4">
        <w:rPr>
          <w:rFonts w:cs="Tahoma"/>
          <w:sz w:val="14"/>
          <w:szCs w:val="14"/>
        </w:rPr>
        <w:t>(3) Üniversiteler ve diğer eğitim kurumları dahil, lisansüstü öğrenciler hariçtir. 17-20 yaş grubu için hesaplanmıştır.</w:t>
      </w:r>
    </w:p>
    <w:p w:rsidR="00565FD5" w:rsidRPr="004B3DE4" w:rsidRDefault="00565FD5" w:rsidP="00565FD5">
      <w:pPr>
        <w:spacing w:after="240"/>
        <w:rPr>
          <w:rFonts w:cs="Tahoma"/>
          <w:sz w:val="14"/>
          <w:szCs w:val="14"/>
        </w:rPr>
      </w:pPr>
      <w:r w:rsidRPr="004B3DE4">
        <w:rPr>
          <w:rFonts w:cs="Tahoma"/>
          <w:sz w:val="14"/>
          <w:szCs w:val="14"/>
        </w:rPr>
        <w:t>(4) Yaygın Eğitim Kurumlarına ait öğrenci sayısı bilgileri bir önceki öğretim yılı sonu itibarıyla verilmiştir.</w:t>
      </w:r>
    </w:p>
    <w:p w:rsidR="00565FD5" w:rsidRPr="004B3DE4" w:rsidRDefault="00565FD5" w:rsidP="00565FD5">
      <w:pPr>
        <w:spacing w:after="120"/>
        <w:ind w:firstLine="425"/>
        <w:rPr>
          <w:rFonts w:cs="Tahoma"/>
          <w:szCs w:val="18"/>
        </w:rPr>
      </w:pPr>
      <w:r w:rsidRPr="004B3DE4">
        <w:rPr>
          <w:rFonts w:cs="Tahoma"/>
          <w:szCs w:val="18"/>
        </w:rPr>
        <w:t>2010 yılı OECD verilerine göre, eğitimde kalma beklentisi OECD’de yüzde 17,4, AB-21’de yüzde 17,7 iken Türkiye’de yüzde 15,2’dir. Ancak zorunlu eğitim çağının ortaöğretim seviyesini de kapsayacak biçimde 12 yıla genişletilmesi eğitimde kalma beklentisinde artış sağlayacaktır.</w:t>
      </w:r>
    </w:p>
    <w:p w:rsidR="00565FD5" w:rsidRPr="004B3DE4" w:rsidRDefault="00565FD5" w:rsidP="00565FD5">
      <w:pPr>
        <w:spacing w:after="120"/>
        <w:ind w:firstLine="425"/>
        <w:rPr>
          <w:rFonts w:cs="Tahoma"/>
          <w:szCs w:val="18"/>
        </w:rPr>
      </w:pPr>
      <w:r w:rsidRPr="004B3DE4">
        <w:rPr>
          <w:rFonts w:cs="Tahoma"/>
          <w:szCs w:val="18"/>
        </w:rPr>
        <w:t xml:space="preserve">Mesleki ve teknik ortaöğretimdeki fiziki altyapı, donanım ve laboratuvar gibi olanakların verimli kullanılabilmesi açısından açılacak yeni mesleki ve teknik liselerin kampüs şeklinde pansiyonlu olarak yapılandırılmasına yönelik planlama ihtiyacı bulunmaktadır. </w:t>
      </w:r>
    </w:p>
    <w:p w:rsidR="00565FD5" w:rsidRPr="004B3DE4" w:rsidRDefault="00565FD5" w:rsidP="00565FD5">
      <w:pPr>
        <w:spacing w:after="120"/>
        <w:ind w:firstLine="425"/>
        <w:rPr>
          <w:rFonts w:cs="Tahoma"/>
          <w:szCs w:val="18"/>
        </w:rPr>
      </w:pPr>
      <w:r w:rsidRPr="004B3DE4">
        <w:rPr>
          <w:rFonts w:cs="Tahoma"/>
          <w:szCs w:val="18"/>
        </w:rPr>
        <w:t xml:space="preserve">Eğitimin temel kademelerinde sağlanan gelişmelere paralel olarak yükseköğretim kademesinde de önemli gelişmeler yaşanmış ve iki önemli adım atılmıştır. Bunlardan ilki, 2006 yılından itibaren 50 yeni devlet üniversitesi ve 41 yeni vakıf üniversitesinin kurulmasıdır. Böylelikle, ülkemizde üniversiteler bütün illere yaygınlaştırılmış olup 103’ü devlet ve 65’i vakıf olmak üzere toplam üniversite sayısı 168’e ulaşmıştır. </w:t>
      </w:r>
    </w:p>
    <w:p w:rsidR="00565FD5" w:rsidRPr="004B3DE4" w:rsidRDefault="00565FD5" w:rsidP="00565FD5">
      <w:pPr>
        <w:spacing w:after="120"/>
        <w:ind w:firstLine="425"/>
        <w:rPr>
          <w:rFonts w:cs="Tahoma"/>
          <w:szCs w:val="18"/>
        </w:rPr>
      </w:pPr>
      <w:r w:rsidRPr="004B3DE4">
        <w:rPr>
          <w:rFonts w:cs="Tahoma"/>
          <w:szCs w:val="18"/>
        </w:rPr>
        <w:lastRenderedPageBreak/>
        <w:t xml:space="preserve">İkinci önemli adım ise 2006-2011 yılları arasında örgün yükseköğretim kontenjanlarının yüzde 63,3 oranında artırılmasıdır.  Ancak, yükseköğretimdeki bazı program ve alanlarda kontenjan doluluk oranlarının düşük kalması nedeniyle, bu programların kontenjanları 2011 yılında bir önceki yıla göre 9.500 kişi azaltılmıştır. </w:t>
      </w:r>
    </w:p>
    <w:p w:rsidR="00565FD5" w:rsidRPr="004B3DE4" w:rsidRDefault="00565FD5" w:rsidP="00565FD5">
      <w:pPr>
        <w:spacing w:after="120"/>
        <w:ind w:firstLine="425"/>
        <w:rPr>
          <w:rFonts w:cs="Tahoma"/>
          <w:szCs w:val="18"/>
        </w:rPr>
      </w:pPr>
      <w:r w:rsidRPr="004B3DE4">
        <w:rPr>
          <w:rFonts w:cs="Tahoma"/>
          <w:szCs w:val="18"/>
        </w:rPr>
        <w:t>2012 yılında üniversite giriş sınavına 1,9 milyon aday başvurmuştur. Başvuran adayların sadece yüzde 41,1’i  (781 bin kişi) ortaöğretim son sınıf öğrencilerinden, geri kalan kısmı ise önceki yıllarda yerleşememiş, bir yükseköğretim programına yerleşmiş ya da bir programdan mezun olmuş kişilerden oluşmaktadır.</w:t>
      </w:r>
    </w:p>
    <w:p w:rsidR="00565FD5" w:rsidRPr="004B3DE4" w:rsidRDefault="00565FD5" w:rsidP="00565FD5">
      <w:pPr>
        <w:spacing w:after="120"/>
        <w:ind w:firstLine="425"/>
        <w:rPr>
          <w:rFonts w:cs="Tahoma"/>
          <w:szCs w:val="18"/>
        </w:rPr>
      </w:pPr>
      <w:r w:rsidRPr="004B3DE4">
        <w:rPr>
          <w:rFonts w:cs="Tahoma"/>
          <w:szCs w:val="18"/>
        </w:rPr>
        <w:t xml:space="preserve">Ortaöğretim mezun sayısı ile örgün yükseköğretim kontenjanı karşılaştırıldığında yükseköğretim arzının ortaöğretimden yükseköğretime geçiş için yeterli olduğu göze çarpmaktadır. Bununla birlikte, örgün yükseköğretim programına yerleşen kişilerin sadece yüzde 53’ü (343 bin kişi) ortaöğretim son sınıf düzeyinde bulunmaktadır. </w:t>
      </w:r>
    </w:p>
    <w:p w:rsidR="00565FD5" w:rsidRPr="004B3DE4" w:rsidRDefault="00565FD5" w:rsidP="00565FD5">
      <w:pPr>
        <w:spacing w:after="120"/>
        <w:ind w:firstLine="425"/>
        <w:rPr>
          <w:rFonts w:cs="Tahoma"/>
          <w:szCs w:val="18"/>
        </w:rPr>
      </w:pPr>
      <w:r w:rsidRPr="004B3DE4">
        <w:rPr>
          <w:rFonts w:cs="Tahoma"/>
          <w:szCs w:val="18"/>
        </w:rPr>
        <w:t>Önceki yıllarda herhangi bir programa yerleştirildiği halde tekrar sınava girenler ile yerleşmemiş olanların üniversite giriş sınavına başvuran adaylar içindeki yoğunluğu, yükseköğretime giriş sisteminin etkinliği ile ortaöğretim kademesindeki yönlendirme ve mesleki rehberlik hizmetlerinin kalitesine ilişkin sorunları gündeme getirmektedir. Ortaöğretimden yükseköğretime geçiş sisteminin bütüncül bir bakış açısıyla yeniden ele alınması gerekmektedir.</w:t>
      </w:r>
    </w:p>
    <w:p w:rsidR="00565FD5" w:rsidRPr="004B3DE4" w:rsidRDefault="00565FD5" w:rsidP="00565FD5">
      <w:pPr>
        <w:spacing w:after="120"/>
        <w:ind w:firstLine="425"/>
        <w:rPr>
          <w:rFonts w:cs="Tahoma"/>
          <w:szCs w:val="18"/>
        </w:rPr>
      </w:pPr>
      <w:r w:rsidRPr="004B3DE4">
        <w:rPr>
          <w:rFonts w:cs="Tahoma"/>
          <w:szCs w:val="18"/>
        </w:rPr>
        <w:t>Eğitime erişimdeki sorunların yanı sıra, eğitimin kalitesine ilişkin sorunlar da önemini korumaktadır. Eğitimin kalitesinin artırılması açısından, müfredatın güncelleştirilmesi, ihtiyaç duyulan alanlarda yeterli sayıda ve nitelikte öğretmen istihdam edilmesi ve hizmet içi eğitim yoluyla niteliklerinin artırılması, derslik başına düşen öğrenci sayısının azaltılması, ilköğretimde ikili eğitimden tam gün eğitime geçilmesi, etkin bir rehberlik ve danışmanlık sisteminin kurulması, mesleki eğitimin işgücü piyasasıyla uyumunun sağlanması, okullarda bilgi ve iletişim teknolojilerinin etkin kullanılması alanlarında sorunlar bulunmaktadır. Bu kapsamda kaliteli eğitim imkanlarına erişim sağlanması açısından bireyler, okullar ve bölgeler arasındaki fırsat eşitsizliklerinin giderilmesi önem taşımaktadır.</w:t>
      </w:r>
    </w:p>
    <w:p w:rsidR="00565FD5" w:rsidRPr="004B3DE4" w:rsidRDefault="00565FD5" w:rsidP="00565FD5">
      <w:pPr>
        <w:spacing w:after="120"/>
        <w:ind w:firstLine="425"/>
        <w:rPr>
          <w:rFonts w:cs="Tahoma"/>
          <w:szCs w:val="18"/>
        </w:rPr>
      </w:pPr>
      <w:r w:rsidRPr="004B3DE4">
        <w:rPr>
          <w:rFonts w:cs="Tahoma"/>
          <w:szCs w:val="18"/>
        </w:rPr>
        <w:lastRenderedPageBreak/>
        <w:t>Kaydedilen iyileşmelere rağmen eğitimde fiziki altyapı sorunu önemini korumaktadır. Son yıllarda derslik sayısında artış sağlanmasına rağmen, yapılan dersliklerin bir bölümünün bilgi teknolojisi (BT) sınıfı, laboratuvar, kütüphane gibi eğitimin kalitesini artıran diğer eğitim birimleri için kullanılması, derslik başına düşen öğrenci sayısının istenilen oranda azaltılamamasına neden olmaktadır. Türkiye genelinde ilköğretimde derslik başına düşen öğrenci sayısı 30’a düşmekle birlikte, özellikle göç alan büyük şehirler ile Doğu ve Güneydoğu Anadolu bölgelerindeki illerde bu sayının yüksek olduğu görülmektedir. Söz konusu sorun bu illerin kent merkezlerinde daha belirgindir. Derslik başına düşen öğrenci sayısı 48 öğrenciyle en yüksek Şanlıurfa’dadır. Ayrıca mesleki ve teknik eğitime olan talebin artmasıyla bu kademedeki derslik ihtiyacı da artmaktadır. Türkiye genelinde mesleki ve teknik eğitimde derslik başına düşen öğrenci sayısı 35 olup bu sayının en yüksek olduğu il 54’le Batman’dır.</w:t>
      </w:r>
    </w:p>
    <w:p w:rsidR="00565FD5" w:rsidRPr="004B3DE4" w:rsidRDefault="00565FD5" w:rsidP="00565FD5">
      <w:pPr>
        <w:pStyle w:val="ResimYazs"/>
        <w:rPr>
          <w:rFonts w:cs="Tahoma"/>
          <w:b w:val="0"/>
        </w:rPr>
      </w:pPr>
      <w:bookmarkStart w:id="2446" w:name="_Toc338606050"/>
      <w:bookmarkStart w:id="2447" w:name="_Toc338711825"/>
      <w:r>
        <w:t xml:space="preserve">TABLO IV: </w:t>
      </w:r>
      <w:fldSimple w:instr=" SEQ TABLO_IV: \* ARABIC ">
        <w:r>
          <w:rPr>
            <w:noProof/>
          </w:rPr>
          <w:t>55</w:t>
        </w:r>
      </w:fldSimple>
      <w:r w:rsidRPr="00B24821">
        <w:rPr>
          <w:rFonts w:cs="Tahoma"/>
        </w:rPr>
        <w:t>- Eğitim Kademelerine Göre Öğrenci/Derslik ve Öğrenci/Öğretmen Sayıları</w:t>
      </w:r>
      <w:bookmarkEnd w:id="2446"/>
      <w:bookmarkEnd w:id="2447"/>
    </w:p>
    <w:tbl>
      <w:tblPr>
        <w:tblW w:w="4957"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tblPr>
      <w:tblGrid>
        <w:gridCol w:w="1850"/>
        <w:gridCol w:w="2313"/>
        <w:gridCol w:w="943"/>
        <w:gridCol w:w="993"/>
        <w:gridCol w:w="991"/>
      </w:tblGrid>
      <w:tr w:rsidR="00565FD5" w:rsidRPr="004B3DE4" w:rsidTr="00AB62A3">
        <w:trPr>
          <w:trHeight w:hRule="exact" w:val="388"/>
        </w:trPr>
        <w:tc>
          <w:tcPr>
            <w:tcW w:w="1305" w:type="pct"/>
            <w:tcBorders>
              <w:top w:val="single" w:sz="4" w:space="0" w:color="auto"/>
              <w:bottom w:val="single" w:sz="4" w:space="0" w:color="auto"/>
              <w:right w:val="single" w:sz="4" w:space="0" w:color="auto"/>
            </w:tcBorders>
            <w:shd w:val="clear" w:color="auto" w:fill="FFFFFF"/>
          </w:tcPr>
          <w:p w:rsidR="00565FD5" w:rsidRPr="004B3DE4" w:rsidRDefault="00565FD5" w:rsidP="00AB62A3">
            <w:pPr>
              <w:shd w:val="clear" w:color="auto" w:fill="FFFFFF"/>
              <w:ind w:left="57" w:right="57"/>
              <w:rPr>
                <w:rFonts w:cs="Tahoma"/>
                <w:sz w:val="16"/>
                <w:szCs w:val="16"/>
              </w:rPr>
            </w:pPr>
          </w:p>
        </w:tc>
        <w:tc>
          <w:tcPr>
            <w:tcW w:w="1631" w:type="pct"/>
            <w:tcBorders>
              <w:top w:val="single" w:sz="4" w:space="0" w:color="auto"/>
              <w:left w:val="single" w:sz="4" w:space="0" w:color="auto"/>
              <w:bottom w:val="single" w:sz="4" w:space="0" w:color="auto"/>
              <w:right w:val="single" w:sz="4" w:space="0" w:color="auto"/>
            </w:tcBorders>
            <w:shd w:val="clear" w:color="auto" w:fill="FFFFFF"/>
          </w:tcPr>
          <w:p w:rsidR="00565FD5" w:rsidRPr="004B3DE4" w:rsidRDefault="00565FD5" w:rsidP="00AB62A3">
            <w:pPr>
              <w:shd w:val="clear" w:color="auto" w:fill="FFFFFF"/>
              <w:ind w:left="57" w:right="57"/>
              <w:rPr>
                <w:rFonts w:cs="Tahoma"/>
                <w:sz w:val="16"/>
                <w:szCs w:val="16"/>
              </w:rPr>
            </w:pP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565FD5" w:rsidRPr="004B3DE4" w:rsidRDefault="00565FD5" w:rsidP="00AB62A3">
            <w:pPr>
              <w:ind w:left="57" w:right="57"/>
              <w:jc w:val="center"/>
              <w:rPr>
                <w:rFonts w:cs="Tahoma"/>
                <w:b/>
                <w:sz w:val="14"/>
                <w:szCs w:val="14"/>
              </w:rPr>
            </w:pPr>
            <w:r w:rsidRPr="004B3DE4">
              <w:rPr>
                <w:rFonts w:cs="Tahoma"/>
                <w:b/>
                <w:bCs/>
                <w:sz w:val="14"/>
                <w:szCs w:val="14"/>
              </w:rPr>
              <w:t>2009-2010</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rsidR="00565FD5" w:rsidRPr="004B3DE4" w:rsidRDefault="00565FD5" w:rsidP="00AB62A3">
            <w:pPr>
              <w:ind w:left="57" w:right="57"/>
              <w:jc w:val="center"/>
              <w:rPr>
                <w:rFonts w:cs="Tahoma"/>
                <w:b/>
                <w:bCs/>
                <w:sz w:val="14"/>
                <w:szCs w:val="14"/>
              </w:rPr>
            </w:pPr>
            <w:r w:rsidRPr="004B3DE4">
              <w:rPr>
                <w:rFonts w:cs="Tahoma"/>
                <w:b/>
                <w:bCs/>
                <w:sz w:val="14"/>
                <w:szCs w:val="14"/>
              </w:rPr>
              <w:t>2010-2011</w:t>
            </w:r>
          </w:p>
        </w:tc>
        <w:tc>
          <w:tcPr>
            <w:tcW w:w="699" w:type="pct"/>
            <w:tcBorders>
              <w:top w:val="single" w:sz="4" w:space="0" w:color="auto"/>
              <w:left w:val="single" w:sz="4" w:space="0" w:color="auto"/>
              <w:bottom w:val="single" w:sz="4" w:space="0" w:color="auto"/>
            </w:tcBorders>
            <w:shd w:val="clear" w:color="auto" w:fill="FFFFFF"/>
            <w:vAlign w:val="center"/>
          </w:tcPr>
          <w:p w:rsidR="00565FD5" w:rsidRPr="004B3DE4" w:rsidRDefault="00565FD5" w:rsidP="00AB62A3">
            <w:pPr>
              <w:ind w:left="57" w:right="57"/>
              <w:jc w:val="center"/>
              <w:rPr>
                <w:rFonts w:cs="Tahoma"/>
                <w:b/>
                <w:bCs/>
                <w:sz w:val="14"/>
                <w:szCs w:val="14"/>
              </w:rPr>
            </w:pPr>
            <w:r w:rsidRPr="004B3DE4">
              <w:rPr>
                <w:rFonts w:cs="Tahoma"/>
                <w:b/>
                <w:bCs/>
                <w:sz w:val="14"/>
                <w:szCs w:val="14"/>
              </w:rPr>
              <w:t>2011-2012</w:t>
            </w:r>
          </w:p>
        </w:tc>
      </w:tr>
      <w:tr w:rsidR="00565FD5" w:rsidRPr="004B3DE4" w:rsidTr="00AB62A3">
        <w:trPr>
          <w:trHeight w:val="23"/>
        </w:trPr>
        <w:tc>
          <w:tcPr>
            <w:tcW w:w="1305" w:type="pct"/>
            <w:vMerge w:val="restart"/>
            <w:tcBorders>
              <w:top w:val="single" w:sz="4" w:space="0" w:color="auto"/>
              <w:bottom w:val="nil"/>
              <w:right w:val="single" w:sz="4" w:space="0" w:color="auto"/>
            </w:tcBorders>
            <w:shd w:val="clear" w:color="auto" w:fill="FFFFFF"/>
            <w:vAlign w:val="center"/>
          </w:tcPr>
          <w:p w:rsidR="00565FD5" w:rsidRPr="004B3DE4" w:rsidRDefault="00565FD5" w:rsidP="00AB62A3">
            <w:pPr>
              <w:ind w:left="170"/>
              <w:rPr>
                <w:rFonts w:cs="Tahoma"/>
                <w:sz w:val="16"/>
                <w:szCs w:val="16"/>
              </w:rPr>
            </w:pPr>
            <w:r w:rsidRPr="004B3DE4">
              <w:rPr>
                <w:rFonts w:cs="Tahoma"/>
                <w:b/>
                <w:bCs/>
                <w:sz w:val="16"/>
                <w:szCs w:val="16"/>
              </w:rPr>
              <w:t>İlköğretim</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65FD5" w:rsidRPr="004B3DE4" w:rsidRDefault="00565FD5" w:rsidP="00AB62A3">
            <w:pPr>
              <w:shd w:val="clear" w:color="auto" w:fill="FFFFFF"/>
              <w:ind w:left="170" w:right="57"/>
              <w:rPr>
                <w:rFonts w:cs="Tahoma"/>
                <w:sz w:val="16"/>
                <w:szCs w:val="16"/>
              </w:rPr>
            </w:pPr>
            <w:r w:rsidRPr="004B3DE4">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32</w:t>
            </w:r>
          </w:p>
        </w:tc>
        <w:tc>
          <w:tcPr>
            <w:tcW w:w="700" w:type="pct"/>
            <w:tcBorders>
              <w:top w:val="single" w:sz="4" w:space="0" w:color="auto"/>
              <w:left w:val="single" w:sz="4" w:space="0" w:color="auto"/>
              <w:bottom w:val="nil"/>
              <w:right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31</w:t>
            </w:r>
          </w:p>
        </w:tc>
        <w:tc>
          <w:tcPr>
            <w:tcW w:w="699" w:type="pct"/>
            <w:tcBorders>
              <w:top w:val="single" w:sz="4" w:space="0" w:color="auto"/>
              <w:left w:val="single" w:sz="4" w:space="0" w:color="auto"/>
              <w:bottom w:val="nil"/>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30</w:t>
            </w:r>
          </w:p>
        </w:tc>
      </w:tr>
      <w:tr w:rsidR="00565FD5" w:rsidRPr="004B3DE4" w:rsidTr="00AB62A3">
        <w:trPr>
          <w:trHeight w:val="23"/>
        </w:trPr>
        <w:tc>
          <w:tcPr>
            <w:tcW w:w="1305" w:type="pct"/>
            <w:vMerge/>
            <w:tcBorders>
              <w:top w:val="single" w:sz="4" w:space="0" w:color="auto"/>
              <w:bottom w:val="nil"/>
              <w:right w:val="single" w:sz="4" w:space="0" w:color="auto"/>
            </w:tcBorders>
            <w:vAlign w:val="center"/>
          </w:tcPr>
          <w:p w:rsidR="00565FD5" w:rsidRPr="004B3DE4" w:rsidRDefault="00565FD5" w:rsidP="00AB62A3">
            <w:pPr>
              <w:ind w:left="170"/>
              <w:rPr>
                <w:rFonts w:cs="Tahoma"/>
                <w:sz w:val="16"/>
                <w:szCs w:val="16"/>
              </w:rPr>
            </w:pPr>
          </w:p>
        </w:tc>
        <w:tc>
          <w:tcPr>
            <w:tcW w:w="1631" w:type="pct"/>
            <w:tcBorders>
              <w:top w:val="nil"/>
              <w:left w:val="single" w:sz="4" w:space="0" w:color="auto"/>
              <w:bottom w:val="nil"/>
              <w:right w:val="single" w:sz="4" w:space="0" w:color="auto"/>
            </w:tcBorders>
            <w:shd w:val="clear" w:color="auto" w:fill="FFFFFF"/>
            <w:vAlign w:val="center"/>
          </w:tcPr>
          <w:p w:rsidR="00565FD5" w:rsidRPr="004B3DE4" w:rsidRDefault="00565FD5" w:rsidP="00AB62A3">
            <w:pPr>
              <w:shd w:val="clear" w:color="auto" w:fill="FFFFFF"/>
              <w:ind w:left="170" w:right="57"/>
              <w:rPr>
                <w:rFonts w:cs="Tahoma"/>
                <w:sz w:val="16"/>
                <w:szCs w:val="16"/>
              </w:rPr>
            </w:pPr>
            <w:r w:rsidRPr="004B3DE4">
              <w:rPr>
                <w:rFonts w:cs="Tahoma"/>
                <w:sz w:val="16"/>
                <w:szCs w:val="16"/>
              </w:rPr>
              <w:t xml:space="preserve">    Şehir</w:t>
            </w:r>
          </w:p>
        </w:tc>
        <w:tc>
          <w:tcPr>
            <w:tcW w:w="665" w:type="pct"/>
            <w:tcBorders>
              <w:top w:val="nil"/>
              <w:left w:val="single" w:sz="4" w:space="0" w:color="auto"/>
              <w:bottom w:val="nil"/>
              <w:right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37</w:t>
            </w:r>
          </w:p>
        </w:tc>
        <w:tc>
          <w:tcPr>
            <w:tcW w:w="700" w:type="pct"/>
            <w:tcBorders>
              <w:top w:val="nil"/>
              <w:left w:val="single" w:sz="4" w:space="0" w:color="auto"/>
              <w:bottom w:val="nil"/>
              <w:right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36</w:t>
            </w:r>
          </w:p>
        </w:tc>
        <w:tc>
          <w:tcPr>
            <w:tcW w:w="699" w:type="pct"/>
            <w:tcBorders>
              <w:top w:val="nil"/>
              <w:left w:val="single" w:sz="4" w:space="0" w:color="auto"/>
              <w:bottom w:val="nil"/>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35</w:t>
            </w:r>
          </w:p>
        </w:tc>
      </w:tr>
      <w:tr w:rsidR="00565FD5" w:rsidRPr="004B3DE4" w:rsidTr="00AB62A3">
        <w:trPr>
          <w:trHeight w:val="23"/>
        </w:trPr>
        <w:tc>
          <w:tcPr>
            <w:tcW w:w="1305" w:type="pct"/>
            <w:vMerge/>
            <w:tcBorders>
              <w:top w:val="single" w:sz="4" w:space="0" w:color="auto"/>
              <w:bottom w:val="nil"/>
              <w:right w:val="single" w:sz="4" w:space="0" w:color="auto"/>
            </w:tcBorders>
            <w:vAlign w:val="center"/>
          </w:tcPr>
          <w:p w:rsidR="00565FD5" w:rsidRPr="004B3DE4" w:rsidRDefault="00565FD5" w:rsidP="00AB62A3">
            <w:pPr>
              <w:ind w:left="170"/>
              <w:rPr>
                <w:rFonts w:cs="Tahoma"/>
                <w:sz w:val="16"/>
                <w:szCs w:val="16"/>
              </w:rPr>
            </w:pPr>
          </w:p>
        </w:tc>
        <w:tc>
          <w:tcPr>
            <w:tcW w:w="1631" w:type="pct"/>
            <w:tcBorders>
              <w:top w:val="nil"/>
              <w:left w:val="single" w:sz="4" w:space="0" w:color="auto"/>
              <w:bottom w:val="nil"/>
              <w:right w:val="single" w:sz="4" w:space="0" w:color="auto"/>
            </w:tcBorders>
            <w:shd w:val="clear" w:color="auto" w:fill="FFFFFF"/>
            <w:vAlign w:val="center"/>
          </w:tcPr>
          <w:p w:rsidR="00565FD5" w:rsidRPr="004B3DE4" w:rsidRDefault="00565FD5" w:rsidP="00AB62A3">
            <w:pPr>
              <w:shd w:val="clear" w:color="auto" w:fill="FFFFFF"/>
              <w:ind w:left="170" w:right="57"/>
              <w:rPr>
                <w:rFonts w:cs="Tahoma"/>
                <w:sz w:val="16"/>
                <w:szCs w:val="16"/>
              </w:rPr>
            </w:pPr>
            <w:r w:rsidRPr="004B3DE4">
              <w:rPr>
                <w:rFonts w:cs="Tahoma"/>
                <w:sz w:val="16"/>
                <w:szCs w:val="16"/>
              </w:rPr>
              <w:t xml:space="preserve">    Köy</w:t>
            </w:r>
          </w:p>
        </w:tc>
        <w:tc>
          <w:tcPr>
            <w:tcW w:w="665" w:type="pct"/>
            <w:tcBorders>
              <w:top w:val="nil"/>
              <w:left w:val="single" w:sz="4" w:space="0" w:color="auto"/>
              <w:bottom w:val="nil"/>
              <w:right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21</w:t>
            </w:r>
          </w:p>
        </w:tc>
        <w:tc>
          <w:tcPr>
            <w:tcW w:w="700" w:type="pct"/>
            <w:tcBorders>
              <w:top w:val="nil"/>
              <w:left w:val="single" w:sz="4" w:space="0" w:color="auto"/>
              <w:bottom w:val="nil"/>
              <w:right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21</w:t>
            </w:r>
          </w:p>
        </w:tc>
        <w:tc>
          <w:tcPr>
            <w:tcW w:w="699" w:type="pct"/>
            <w:tcBorders>
              <w:top w:val="nil"/>
              <w:left w:val="single" w:sz="4" w:space="0" w:color="auto"/>
              <w:bottom w:val="nil"/>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20</w:t>
            </w:r>
          </w:p>
        </w:tc>
      </w:tr>
      <w:tr w:rsidR="00565FD5" w:rsidRPr="004B3DE4" w:rsidTr="00AB62A3">
        <w:trPr>
          <w:trHeight w:val="23"/>
        </w:trPr>
        <w:tc>
          <w:tcPr>
            <w:tcW w:w="1305" w:type="pct"/>
            <w:tcBorders>
              <w:top w:val="nil"/>
              <w:bottom w:val="single" w:sz="4" w:space="0" w:color="auto"/>
              <w:right w:val="single" w:sz="4" w:space="0" w:color="auto"/>
            </w:tcBorders>
            <w:shd w:val="clear" w:color="auto" w:fill="FFFFFF"/>
            <w:vAlign w:val="center"/>
          </w:tcPr>
          <w:p w:rsidR="00565FD5" w:rsidRPr="004B3DE4" w:rsidRDefault="00565FD5" w:rsidP="00AB62A3">
            <w:pPr>
              <w:ind w:left="170"/>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565FD5" w:rsidRPr="004B3DE4" w:rsidRDefault="00565FD5" w:rsidP="00AB62A3">
            <w:pPr>
              <w:shd w:val="clear" w:color="auto" w:fill="FFFFFF"/>
              <w:ind w:left="170" w:right="57"/>
              <w:rPr>
                <w:rFonts w:cs="Tahoma"/>
                <w:sz w:val="16"/>
                <w:szCs w:val="16"/>
              </w:rPr>
            </w:pPr>
            <w:r w:rsidRPr="004B3DE4">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22</w:t>
            </w:r>
          </w:p>
        </w:tc>
        <w:tc>
          <w:tcPr>
            <w:tcW w:w="700" w:type="pct"/>
            <w:tcBorders>
              <w:top w:val="nil"/>
              <w:left w:val="single" w:sz="4" w:space="0" w:color="auto"/>
              <w:bottom w:val="single" w:sz="4" w:space="0" w:color="auto"/>
              <w:right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21</w:t>
            </w:r>
          </w:p>
        </w:tc>
        <w:tc>
          <w:tcPr>
            <w:tcW w:w="699" w:type="pct"/>
            <w:tcBorders>
              <w:top w:val="nil"/>
              <w:left w:val="single" w:sz="4" w:space="0" w:color="auto"/>
              <w:bottom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20</w:t>
            </w:r>
          </w:p>
        </w:tc>
      </w:tr>
      <w:tr w:rsidR="00565FD5" w:rsidRPr="004B3DE4" w:rsidTr="00AB62A3">
        <w:trPr>
          <w:trHeight w:val="23"/>
        </w:trPr>
        <w:tc>
          <w:tcPr>
            <w:tcW w:w="1305" w:type="pct"/>
            <w:tcBorders>
              <w:top w:val="single" w:sz="4" w:space="0" w:color="auto"/>
              <w:bottom w:val="nil"/>
              <w:right w:val="single" w:sz="4" w:space="0" w:color="auto"/>
            </w:tcBorders>
            <w:shd w:val="clear" w:color="auto" w:fill="FFFFFF"/>
            <w:vAlign w:val="center"/>
          </w:tcPr>
          <w:p w:rsidR="00565FD5" w:rsidRPr="004B3DE4" w:rsidRDefault="00565FD5" w:rsidP="00AB62A3">
            <w:pPr>
              <w:ind w:left="170"/>
              <w:rPr>
                <w:rFonts w:cs="Tahoma"/>
                <w:sz w:val="16"/>
                <w:szCs w:val="16"/>
              </w:rPr>
            </w:pPr>
            <w:r w:rsidRPr="004B3DE4">
              <w:rPr>
                <w:rFonts w:cs="Tahoma"/>
                <w:b/>
                <w:bCs/>
                <w:sz w:val="16"/>
                <w:szCs w:val="16"/>
              </w:rPr>
              <w:t>Ortaöğretim</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65FD5" w:rsidRPr="004B3DE4" w:rsidRDefault="00565FD5" w:rsidP="00AB62A3">
            <w:pPr>
              <w:shd w:val="clear" w:color="auto" w:fill="FFFFFF"/>
              <w:ind w:left="170" w:right="57"/>
              <w:rPr>
                <w:rFonts w:cs="Tahoma"/>
                <w:sz w:val="16"/>
                <w:szCs w:val="16"/>
              </w:rPr>
            </w:pPr>
            <w:r w:rsidRPr="004B3DE4">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33</w:t>
            </w:r>
          </w:p>
        </w:tc>
        <w:tc>
          <w:tcPr>
            <w:tcW w:w="700" w:type="pct"/>
            <w:tcBorders>
              <w:top w:val="single" w:sz="4" w:space="0" w:color="auto"/>
              <w:left w:val="single" w:sz="4" w:space="0" w:color="auto"/>
              <w:bottom w:val="nil"/>
              <w:right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34</w:t>
            </w:r>
          </w:p>
        </w:tc>
        <w:tc>
          <w:tcPr>
            <w:tcW w:w="699" w:type="pct"/>
            <w:tcBorders>
              <w:top w:val="single" w:sz="4" w:space="0" w:color="auto"/>
              <w:left w:val="single" w:sz="4" w:space="0" w:color="auto"/>
              <w:bottom w:val="nil"/>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31</w:t>
            </w:r>
          </w:p>
        </w:tc>
      </w:tr>
      <w:tr w:rsidR="00565FD5" w:rsidRPr="004B3DE4" w:rsidTr="00AB62A3">
        <w:trPr>
          <w:trHeight w:val="23"/>
        </w:trPr>
        <w:tc>
          <w:tcPr>
            <w:tcW w:w="1305" w:type="pct"/>
            <w:tcBorders>
              <w:top w:val="nil"/>
              <w:bottom w:val="single" w:sz="4" w:space="0" w:color="auto"/>
              <w:right w:val="single" w:sz="4" w:space="0" w:color="auto"/>
            </w:tcBorders>
            <w:shd w:val="clear" w:color="auto" w:fill="FFFFFF"/>
            <w:vAlign w:val="center"/>
          </w:tcPr>
          <w:p w:rsidR="00565FD5" w:rsidRPr="004B3DE4" w:rsidRDefault="00565FD5" w:rsidP="00AB62A3">
            <w:pPr>
              <w:ind w:left="170"/>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565FD5" w:rsidRPr="004B3DE4" w:rsidRDefault="00565FD5" w:rsidP="00AB62A3">
            <w:pPr>
              <w:shd w:val="clear" w:color="auto" w:fill="FFFFFF"/>
              <w:ind w:left="170" w:right="57"/>
              <w:rPr>
                <w:rFonts w:cs="Tahoma"/>
                <w:sz w:val="16"/>
                <w:szCs w:val="16"/>
              </w:rPr>
            </w:pPr>
            <w:r w:rsidRPr="004B3DE4">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18</w:t>
            </w:r>
          </w:p>
        </w:tc>
        <w:tc>
          <w:tcPr>
            <w:tcW w:w="699" w:type="pct"/>
            <w:tcBorders>
              <w:top w:val="nil"/>
              <w:left w:val="single" w:sz="4" w:space="0" w:color="auto"/>
              <w:bottom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16</w:t>
            </w:r>
          </w:p>
        </w:tc>
      </w:tr>
      <w:tr w:rsidR="00565FD5" w:rsidRPr="004B3DE4" w:rsidTr="00AB62A3">
        <w:trPr>
          <w:trHeight w:val="23"/>
        </w:trPr>
        <w:tc>
          <w:tcPr>
            <w:tcW w:w="1305" w:type="pct"/>
            <w:tcBorders>
              <w:top w:val="single" w:sz="4" w:space="0" w:color="auto"/>
              <w:bottom w:val="nil"/>
              <w:right w:val="single" w:sz="4" w:space="0" w:color="auto"/>
            </w:tcBorders>
            <w:shd w:val="clear" w:color="auto" w:fill="FFFFFF"/>
            <w:vAlign w:val="center"/>
          </w:tcPr>
          <w:p w:rsidR="00565FD5" w:rsidRPr="004B3DE4" w:rsidRDefault="00565FD5" w:rsidP="00AB62A3">
            <w:pPr>
              <w:ind w:left="170"/>
              <w:rPr>
                <w:rFonts w:cs="Tahoma"/>
                <w:sz w:val="16"/>
                <w:szCs w:val="16"/>
              </w:rPr>
            </w:pPr>
            <w:r w:rsidRPr="004B3DE4">
              <w:rPr>
                <w:rFonts w:cs="Tahoma"/>
                <w:b/>
                <w:bCs/>
                <w:sz w:val="16"/>
                <w:szCs w:val="16"/>
              </w:rPr>
              <w:t>Genel Lise</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65FD5" w:rsidRPr="004B3DE4" w:rsidRDefault="00565FD5" w:rsidP="00AB62A3">
            <w:pPr>
              <w:shd w:val="clear" w:color="auto" w:fill="FFFFFF"/>
              <w:ind w:left="170" w:right="57"/>
              <w:rPr>
                <w:rFonts w:cs="Tahoma"/>
                <w:sz w:val="16"/>
                <w:szCs w:val="16"/>
              </w:rPr>
            </w:pPr>
            <w:r w:rsidRPr="004B3DE4">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31</w:t>
            </w:r>
          </w:p>
        </w:tc>
        <w:tc>
          <w:tcPr>
            <w:tcW w:w="700" w:type="pct"/>
            <w:tcBorders>
              <w:top w:val="single" w:sz="4" w:space="0" w:color="auto"/>
              <w:left w:val="single" w:sz="4" w:space="0" w:color="auto"/>
              <w:bottom w:val="nil"/>
              <w:right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31</w:t>
            </w:r>
          </w:p>
        </w:tc>
        <w:tc>
          <w:tcPr>
            <w:tcW w:w="699" w:type="pct"/>
            <w:tcBorders>
              <w:top w:val="single" w:sz="4" w:space="0" w:color="auto"/>
              <w:left w:val="single" w:sz="4" w:space="0" w:color="auto"/>
              <w:bottom w:val="nil"/>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28</w:t>
            </w:r>
          </w:p>
        </w:tc>
      </w:tr>
      <w:tr w:rsidR="00565FD5" w:rsidRPr="004B3DE4" w:rsidTr="00AB62A3">
        <w:trPr>
          <w:trHeight w:val="23"/>
        </w:trPr>
        <w:tc>
          <w:tcPr>
            <w:tcW w:w="1305" w:type="pct"/>
            <w:tcBorders>
              <w:top w:val="nil"/>
              <w:bottom w:val="single" w:sz="4" w:space="0" w:color="auto"/>
              <w:right w:val="single" w:sz="4" w:space="0" w:color="auto"/>
            </w:tcBorders>
            <w:shd w:val="clear" w:color="auto" w:fill="FFFFFF"/>
            <w:vAlign w:val="center"/>
          </w:tcPr>
          <w:p w:rsidR="00565FD5" w:rsidRPr="004B3DE4" w:rsidRDefault="00565FD5" w:rsidP="00AB62A3">
            <w:pPr>
              <w:ind w:left="170"/>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565FD5" w:rsidRPr="004B3DE4" w:rsidRDefault="00565FD5" w:rsidP="00AB62A3">
            <w:pPr>
              <w:shd w:val="clear" w:color="auto" w:fill="FFFFFF"/>
              <w:ind w:left="170" w:right="57"/>
              <w:rPr>
                <w:rFonts w:cs="Tahoma"/>
                <w:sz w:val="16"/>
                <w:szCs w:val="16"/>
              </w:rPr>
            </w:pPr>
            <w:r w:rsidRPr="004B3DE4">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18</w:t>
            </w:r>
          </w:p>
        </w:tc>
        <w:tc>
          <w:tcPr>
            <w:tcW w:w="699" w:type="pct"/>
            <w:tcBorders>
              <w:top w:val="nil"/>
              <w:left w:val="single" w:sz="4" w:space="0" w:color="auto"/>
              <w:bottom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16</w:t>
            </w:r>
          </w:p>
        </w:tc>
      </w:tr>
      <w:tr w:rsidR="00565FD5" w:rsidRPr="004B3DE4" w:rsidTr="00AB62A3">
        <w:trPr>
          <w:trHeight w:val="23"/>
        </w:trPr>
        <w:tc>
          <w:tcPr>
            <w:tcW w:w="1305" w:type="pct"/>
            <w:vMerge w:val="restart"/>
            <w:tcBorders>
              <w:top w:val="single" w:sz="4" w:space="0" w:color="auto"/>
              <w:bottom w:val="single" w:sz="4" w:space="0" w:color="auto"/>
              <w:right w:val="single" w:sz="4" w:space="0" w:color="auto"/>
            </w:tcBorders>
            <w:shd w:val="clear" w:color="auto" w:fill="FFFFFF"/>
            <w:vAlign w:val="center"/>
          </w:tcPr>
          <w:p w:rsidR="00565FD5" w:rsidRPr="004B3DE4" w:rsidRDefault="00565FD5" w:rsidP="00AB62A3">
            <w:pPr>
              <w:ind w:left="170"/>
              <w:rPr>
                <w:rFonts w:cs="Tahoma"/>
                <w:sz w:val="16"/>
                <w:szCs w:val="16"/>
              </w:rPr>
            </w:pPr>
            <w:r w:rsidRPr="004B3DE4">
              <w:rPr>
                <w:rFonts w:cs="Tahoma"/>
                <w:b/>
                <w:bCs/>
                <w:sz w:val="16"/>
                <w:szCs w:val="16"/>
              </w:rPr>
              <w:t>Mesleki ve Teknik Lise</w:t>
            </w:r>
          </w:p>
        </w:tc>
        <w:tc>
          <w:tcPr>
            <w:tcW w:w="1631" w:type="pct"/>
            <w:tcBorders>
              <w:top w:val="single" w:sz="4" w:space="0" w:color="auto"/>
              <w:left w:val="single" w:sz="4" w:space="0" w:color="auto"/>
              <w:bottom w:val="nil"/>
              <w:right w:val="single" w:sz="4" w:space="0" w:color="auto"/>
            </w:tcBorders>
            <w:shd w:val="clear" w:color="auto" w:fill="FFFFFF"/>
            <w:vAlign w:val="center"/>
          </w:tcPr>
          <w:p w:rsidR="00565FD5" w:rsidRPr="004B3DE4" w:rsidRDefault="00565FD5" w:rsidP="00AB62A3">
            <w:pPr>
              <w:shd w:val="clear" w:color="auto" w:fill="FFFFFF"/>
              <w:ind w:left="170" w:right="57"/>
              <w:rPr>
                <w:rFonts w:cs="Tahoma"/>
                <w:sz w:val="16"/>
                <w:szCs w:val="16"/>
              </w:rPr>
            </w:pPr>
            <w:r w:rsidRPr="004B3DE4">
              <w:rPr>
                <w:rFonts w:cs="Tahoma"/>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36</w:t>
            </w:r>
          </w:p>
        </w:tc>
        <w:tc>
          <w:tcPr>
            <w:tcW w:w="700" w:type="pct"/>
            <w:tcBorders>
              <w:top w:val="single" w:sz="4" w:space="0" w:color="auto"/>
              <w:left w:val="single" w:sz="4" w:space="0" w:color="auto"/>
              <w:bottom w:val="nil"/>
              <w:right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38</w:t>
            </w:r>
          </w:p>
        </w:tc>
        <w:tc>
          <w:tcPr>
            <w:tcW w:w="699" w:type="pct"/>
            <w:tcBorders>
              <w:top w:val="single" w:sz="4" w:space="0" w:color="auto"/>
              <w:left w:val="single" w:sz="4" w:space="0" w:color="auto"/>
              <w:bottom w:val="nil"/>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35</w:t>
            </w:r>
          </w:p>
        </w:tc>
      </w:tr>
      <w:tr w:rsidR="00565FD5" w:rsidRPr="004B3DE4" w:rsidTr="00AB62A3">
        <w:trPr>
          <w:trHeight w:val="23"/>
        </w:trPr>
        <w:tc>
          <w:tcPr>
            <w:tcW w:w="1305" w:type="pct"/>
            <w:vMerge/>
            <w:tcBorders>
              <w:top w:val="single" w:sz="4" w:space="0" w:color="auto"/>
              <w:bottom w:val="single" w:sz="4" w:space="0" w:color="auto"/>
              <w:right w:val="single" w:sz="4" w:space="0" w:color="auto"/>
            </w:tcBorders>
            <w:vAlign w:val="center"/>
          </w:tcPr>
          <w:p w:rsidR="00565FD5" w:rsidRPr="004B3DE4" w:rsidRDefault="00565FD5" w:rsidP="00AB62A3">
            <w:pPr>
              <w:rPr>
                <w:rFonts w:cs="Tahoma"/>
                <w:sz w:val="16"/>
                <w:szCs w:val="16"/>
              </w:rPr>
            </w:pPr>
          </w:p>
        </w:tc>
        <w:tc>
          <w:tcPr>
            <w:tcW w:w="1631" w:type="pct"/>
            <w:tcBorders>
              <w:top w:val="nil"/>
              <w:left w:val="single" w:sz="4" w:space="0" w:color="auto"/>
              <w:bottom w:val="single" w:sz="4" w:space="0" w:color="auto"/>
              <w:right w:val="single" w:sz="4" w:space="0" w:color="auto"/>
            </w:tcBorders>
            <w:shd w:val="clear" w:color="auto" w:fill="FFFFFF"/>
          </w:tcPr>
          <w:p w:rsidR="00565FD5" w:rsidRPr="004B3DE4" w:rsidRDefault="00565FD5" w:rsidP="00AB62A3">
            <w:pPr>
              <w:shd w:val="clear" w:color="auto" w:fill="FFFFFF"/>
              <w:ind w:left="170" w:right="57"/>
              <w:rPr>
                <w:rFonts w:cs="Tahoma"/>
                <w:sz w:val="16"/>
                <w:szCs w:val="16"/>
              </w:rPr>
            </w:pPr>
            <w:r w:rsidRPr="004B3DE4">
              <w:rPr>
                <w:rFonts w:cs="Tahoma"/>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17</w:t>
            </w:r>
          </w:p>
        </w:tc>
        <w:tc>
          <w:tcPr>
            <w:tcW w:w="700" w:type="pct"/>
            <w:tcBorders>
              <w:top w:val="nil"/>
              <w:left w:val="single" w:sz="4" w:space="0" w:color="auto"/>
              <w:bottom w:val="single" w:sz="4" w:space="0" w:color="auto"/>
              <w:right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18</w:t>
            </w:r>
          </w:p>
        </w:tc>
        <w:tc>
          <w:tcPr>
            <w:tcW w:w="699" w:type="pct"/>
            <w:tcBorders>
              <w:top w:val="nil"/>
              <w:left w:val="single" w:sz="4" w:space="0" w:color="auto"/>
              <w:bottom w:val="single" w:sz="4" w:space="0" w:color="auto"/>
            </w:tcBorders>
            <w:shd w:val="clear" w:color="auto" w:fill="FFFFFF"/>
            <w:vAlign w:val="bottom"/>
          </w:tcPr>
          <w:p w:rsidR="00565FD5" w:rsidRPr="004B3DE4" w:rsidRDefault="00565FD5" w:rsidP="00AB62A3">
            <w:pPr>
              <w:ind w:left="57" w:right="57"/>
              <w:jc w:val="center"/>
              <w:rPr>
                <w:rFonts w:cs="Tahoma"/>
                <w:sz w:val="16"/>
                <w:szCs w:val="16"/>
              </w:rPr>
            </w:pPr>
            <w:r w:rsidRPr="004B3DE4">
              <w:rPr>
                <w:rFonts w:cs="Tahoma"/>
                <w:sz w:val="16"/>
                <w:szCs w:val="16"/>
              </w:rPr>
              <w:t>16</w:t>
            </w:r>
          </w:p>
        </w:tc>
      </w:tr>
    </w:tbl>
    <w:p w:rsidR="00565FD5" w:rsidRPr="004B3DE4" w:rsidRDefault="00565FD5" w:rsidP="00565FD5">
      <w:pPr>
        <w:spacing w:after="240"/>
        <w:rPr>
          <w:rFonts w:cs="Tahoma"/>
          <w:sz w:val="14"/>
          <w:szCs w:val="14"/>
        </w:rPr>
      </w:pPr>
      <w:r w:rsidRPr="004B3DE4">
        <w:rPr>
          <w:rFonts w:cs="Tahoma"/>
          <w:sz w:val="14"/>
          <w:szCs w:val="14"/>
        </w:rPr>
        <w:t>Kaynak: MEB</w:t>
      </w:r>
    </w:p>
    <w:p w:rsidR="00565FD5" w:rsidRPr="004B3DE4" w:rsidRDefault="00565FD5" w:rsidP="00565FD5">
      <w:pPr>
        <w:spacing w:after="120"/>
        <w:ind w:firstLine="425"/>
        <w:rPr>
          <w:rFonts w:cs="Tahoma"/>
          <w:szCs w:val="18"/>
        </w:rPr>
      </w:pPr>
      <w:r w:rsidRPr="004B3DE4">
        <w:rPr>
          <w:rFonts w:cs="Tahoma"/>
          <w:szCs w:val="18"/>
        </w:rPr>
        <w:t xml:space="preserve">İlköğretimde tam gün eğitime geçme yönündeki çalışmalara devam edilmesine rağmen, 2011-2012 öğretim dönemi itibarıyla tam gün eğitimde okuyan öğrencilerin oranı yüzde 49,7 düzeyinde kalmıştır. Şanlıurfa’da ise halen öğrencilerin yüzde 84,3’ü ikili eğitim yapmaktadır. Ayrıca, birleştirilmiş sınıflarda </w:t>
      </w:r>
      <w:r w:rsidRPr="004B3DE4">
        <w:rPr>
          <w:rFonts w:cs="Tahoma"/>
          <w:szCs w:val="18"/>
        </w:rPr>
        <w:lastRenderedPageBreak/>
        <w:t xml:space="preserve">öğrenim gören öğrenci sayısında azalma görülmekle birlikte, bu sınıflarda öğrenim gören öğrencilerin oranı ülke genelinde yüzde 2,9 iken bu oran Ardahan’da yüzde 17,4’tür. Öte yandan, 2010–2011 öğretim döneminde ülke genelinde ilköğretimdeki öğrencilerin yüzde 2,2’si sınıf tekrarı yaparken bu oran Ağrı’da yüzde 9,8’dir. </w:t>
      </w:r>
    </w:p>
    <w:p w:rsidR="00565FD5" w:rsidRPr="004B3DE4" w:rsidRDefault="00565FD5" w:rsidP="00565FD5">
      <w:pPr>
        <w:spacing w:after="120"/>
        <w:ind w:firstLine="425"/>
        <w:rPr>
          <w:rFonts w:cs="Tahoma"/>
          <w:szCs w:val="18"/>
        </w:rPr>
      </w:pPr>
      <w:r w:rsidRPr="004B3DE4">
        <w:rPr>
          <w:rFonts w:cs="Tahoma"/>
          <w:szCs w:val="18"/>
        </w:rPr>
        <w:t>Son yıllarda öğretmen sayısındaki artış oranı öğrenci sayısındaki artış oranına göre daha fazla olmakla birlikte öğretmen başına düşen öğrenci sayısı eğitimin tüm kademelerinde OECD ve AB ülke ortalamalarına göre yüksektir. Ayrıca öğretmenlerin ülke geneline dağılımında bölgeler arası farklılıklar önemini korumaktadır. Ülke genelinde ilköğretimde öğretmen başına düşen öğrenci sayısı 20 iken bu sayı Şanlıurfa’da 32’dir.</w:t>
      </w:r>
    </w:p>
    <w:p w:rsidR="00565FD5" w:rsidRPr="004B3DE4" w:rsidRDefault="00565FD5" w:rsidP="00565FD5">
      <w:pPr>
        <w:spacing w:after="120"/>
        <w:ind w:firstLine="425"/>
        <w:rPr>
          <w:rFonts w:cs="Tahoma"/>
          <w:szCs w:val="18"/>
        </w:rPr>
      </w:pPr>
      <w:r w:rsidRPr="004B3DE4">
        <w:rPr>
          <w:rFonts w:cs="Tahoma"/>
          <w:szCs w:val="18"/>
        </w:rPr>
        <w:t xml:space="preserve">Öğretmenlere yönelik hizmet içi eğitimin süresi ve niteliğinin yetersizliği ve performanslarının yeterince değerlendirilmemesi eğitimin kalitesini olumsuz yönde etkilemektedir. </w:t>
      </w:r>
    </w:p>
    <w:p w:rsidR="00565FD5" w:rsidRPr="004B3DE4" w:rsidRDefault="00565FD5" w:rsidP="00565FD5">
      <w:pPr>
        <w:spacing w:after="120"/>
        <w:ind w:firstLine="425"/>
        <w:rPr>
          <w:rFonts w:cs="Tahoma"/>
          <w:szCs w:val="18"/>
        </w:rPr>
      </w:pPr>
      <w:r w:rsidRPr="004B3DE4">
        <w:rPr>
          <w:rFonts w:cs="Tahoma"/>
          <w:szCs w:val="18"/>
        </w:rPr>
        <w:t xml:space="preserve">Eğitimin temel kademelerinde sağlanan nicel artışlara rağmen bölgeler arasındaki ve kır/kent ayrımındaki öğrencilerin sahip olduğu eğitim imkanları açısından farklılıklar önemini korumaktadır. Bilişim okur yazarlığı, yabancı dil hakimiyeti, eleştirel düşünme becerileri ve demokratik katılımın özellikle eğitimin temel kademelerinde geliştirilmesi ihtiyacı bulunmaktadır. Bu kapsamda eğitim ve öğretimde fırsat eşitliğini sağlamak ve okullardaki bilişim teknolojisini iyileştirmek amacıyla uygulamaya geçirilen Fırsatları Artırma ve Teknolojiyi İyileştirme Hareketi (FATİH) Projesinin ülke geneline yaygınlaştırılması çalışmaları devam etmektedir.  </w:t>
      </w:r>
    </w:p>
    <w:p w:rsidR="00565FD5" w:rsidRPr="004B3DE4" w:rsidRDefault="00565FD5" w:rsidP="00565FD5">
      <w:pPr>
        <w:spacing w:after="120"/>
        <w:ind w:firstLine="425"/>
        <w:rPr>
          <w:rFonts w:cs="Tahoma"/>
          <w:szCs w:val="18"/>
        </w:rPr>
      </w:pPr>
      <w:r w:rsidRPr="004B3DE4">
        <w:rPr>
          <w:rFonts w:cs="Tahoma"/>
          <w:szCs w:val="18"/>
        </w:rPr>
        <w:t>Ülkemizde son yıllarda eğitime ayrılan kamu kaynaklarında artış olmakla beraber, özellikle yükseköğretim öncesi eğitim kademelerindeki çağ nüfusunun yüksek olduğu göz önüne alındığında, bu kademelerdeki kamu harcamalarının AB ve OECD ortalamalarının altında kaldığı görülmektedir.</w:t>
      </w:r>
    </w:p>
    <w:p w:rsidR="00565FD5" w:rsidRPr="004B3DE4" w:rsidRDefault="00565FD5" w:rsidP="00565FD5">
      <w:pPr>
        <w:spacing w:after="120"/>
        <w:ind w:firstLine="425"/>
        <w:rPr>
          <w:rFonts w:cs="Tahoma"/>
          <w:szCs w:val="18"/>
        </w:rPr>
      </w:pPr>
      <w:r w:rsidRPr="004B3DE4">
        <w:rPr>
          <w:rFonts w:cs="Tahoma"/>
          <w:szCs w:val="18"/>
        </w:rPr>
        <w:t xml:space="preserve">Bununla beraber son dönemde yaşanan gelişmeler ışığında 30/03/2012 tarihli ve 6287 sayılı Kanunla eğitim sisteminde köklü değişiklikler yapılmıştır. Bu değişiklikler kapsamında mecburi ilköğretim çağı 6-13 yaş olarak belirlenmiş, ilköğretim kurumları; dört yıl süreli ve zorunlu ilkokullar ile dört yıl süreli, zorunlu ve farklı programlar arasında tercihe imkân veren ortaokullar ve imam-hatip ortaokulları, ortaöğretim kurumları ise dört yıllık zorunlu, örgün veya </w:t>
      </w:r>
      <w:r w:rsidRPr="004B3DE4">
        <w:rPr>
          <w:rFonts w:cs="Tahoma"/>
          <w:szCs w:val="18"/>
        </w:rPr>
        <w:lastRenderedPageBreak/>
        <w:t xml:space="preserve">yaygın öğrenim veren genel, mesleki ve teknik öğretim kurumları olarak yeniden düzenlenmiştir. Söz konusu değişikliklerle başta ortaöğretim kademesinde olmak üzere okullaşan öğrenci sayısında artış yaşanması beklenmektedir. Bununla beraber öğrenci sayısındaki artış daha fazla fiziki altyapı, donanım ve öğretmen ihtiyacına neden olacaktır. </w:t>
      </w:r>
    </w:p>
    <w:p w:rsidR="00565FD5" w:rsidRPr="004B3DE4" w:rsidRDefault="00565FD5" w:rsidP="00565FD5">
      <w:pPr>
        <w:spacing w:after="120"/>
        <w:ind w:firstLine="425"/>
        <w:rPr>
          <w:rFonts w:cs="Tahoma"/>
          <w:szCs w:val="18"/>
        </w:rPr>
      </w:pPr>
      <w:r w:rsidRPr="004B3DE4">
        <w:rPr>
          <w:rFonts w:cs="Tahoma"/>
          <w:szCs w:val="18"/>
        </w:rPr>
        <w:t>YÖK başta olmak üzere yükseköğretim yönetim sisteminin yeniden yapılandırılamaması ve buna bağlı olarak üniversitelerin idari ve mali özerkliklerinin tam anlamıyla sağlanamaması kaliteyi olumsuz yönde etkilemektedir. Bununla birlikte, kalite değerlendirme ve hesap verebilirlik sisteminin işlerlik kazanamaması, üniversitelerin gelir yaratma kapasitelerinin düşük olması, öğretim üyesi başına düşen öğrenci sayılarının yüksek olması ve fiziki altyapı yetersizlikleri kaliteyi etkileyen diğer önemli sorunlar olarak karşımıza çıkmaktadır.</w:t>
      </w:r>
    </w:p>
    <w:p w:rsidR="00565FD5" w:rsidRPr="004B3DE4" w:rsidRDefault="00565FD5" w:rsidP="00565FD5">
      <w:pPr>
        <w:spacing w:after="120"/>
        <w:ind w:firstLine="425"/>
        <w:rPr>
          <w:rFonts w:cs="Tahoma"/>
          <w:szCs w:val="18"/>
        </w:rPr>
      </w:pPr>
      <w:r w:rsidRPr="004B3DE4">
        <w:rPr>
          <w:rFonts w:cs="Tahoma"/>
          <w:szCs w:val="18"/>
        </w:rPr>
        <w:t xml:space="preserve">YÖK’ün, uzmanlık esasına dayalı planlama ve eşgüdümden sorumlu olacak şekilde yeniden yapılandırılması, üniversitelerin idari yönetiminde profesyonel yöneticilik anlayışına geçilmesi ve üniversitelerin performansa dayalı olarak esnek harcama yapabilmelerine imkan verecek torba bütçe benzeri modellerin uygulanması ihtiyacı önemini korumaktadır. </w:t>
      </w:r>
    </w:p>
    <w:p w:rsidR="00565FD5" w:rsidRPr="00B24821" w:rsidRDefault="00565FD5" w:rsidP="00565FD5">
      <w:pPr>
        <w:pStyle w:val="ResimYazs"/>
        <w:rPr>
          <w:rFonts w:cs="Tahoma"/>
        </w:rPr>
      </w:pPr>
      <w:bookmarkStart w:id="2448" w:name="_Toc338606051"/>
      <w:bookmarkStart w:id="2449" w:name="_Toc338711826"/>
      <w:r>
        <w:t xml:space="preserve">TABLO IV: </w:t>
      </w:r>
      <w:fldSimple w:instr=" SEQ TABLO_IV: \* ARABIC ">
        <w:r>
          <w:rPr>
            <w:noProof/>
          </w:rPr>
          <w:t>56</w:t>
        </w:r>
      </w:fldSimple>
      <w:r w:rsidRPr="00B24821">
        <w:rPr>
          <w:rFonts w:cs="Tahoma"/>
        </w:rPr>
        <w:t>- Yükseköğretimde Öğretim Elemanı ve Öğretim Üyesi Başına Düşen Öğrenci Sayısı, 2010-2011</w:t>
      </w:r>
      <w:bookmarkEnd w:id="2448"/>
      <w:bookmarkEnd w:id="2449"/>
      <w:r w:rsidRPr="00B24821">
        <w:rPr>
          <w:rFonts w:cs="Tahoma"/>
        </w:rPr>
        <w:t xml:space="preserve">  </w:t>
      </w:r>
    </w:p>
    <w:tbl>
      <w:tblPr>
        <w:tblW w:w="7144" w:type="dxa"/>
        <w:jc w:val="center"/>
        <w:tblLayout w:type="fixed"/>
        <w:tblCellMar>
          <w:left w:w="70" w:type="dxa"/>
          <w:right w:w="70" w:type="dxa"/>
        </w:tblCellMar>
        <w:tblLook w:val="00A0"/>
      </w:tblPr>
      <w:tblGrid>
        <w:gridCol w:w="1599"/>
        <w:gridCol w:w="2780"/>
        <w:gridCol w:w="2765"/>
      </w:tblGrid>
      <w:tr w:rsidR="00565FD5" w:rsidRPr="00932CE1" w:rsidTr="00AB62A3">
        <w:trPr>
          <w:trHeight w:val="325"/>
          <w:jc w:val="center"/>
        </w:trPr>
        <w:tc>
          <w:tcPr>
            <w:tcW w:w="1119" w:type="pct"/>
            <w:tcBorders>
              <w:top w:val="single" w:sz="4" w:space="0" w:color="auto"/>
              <w:left w:val="single" w:sz="4" w:space="0" w:color="auto"/>
              <w:bottom w:val="single" w:sz="4" w:space="0" w:color="auto"/>
              <w:right w:val="single" w:sz="4" w:space="0" w:color="auto"/>
            </w:tcBorders>
            <w:noWrap/>
          </w:tcPr>
          <w:p w:rsidR="00565FD5" w:rsidRPr="00932CE1" w:rsidRDefault="00565FD5" w:rsidP="00AB62A3">
            <w:pPr>
              <w:ind w:firstLine="425"/>
              <w:rPr>
                <w:rFonts w:cs="Tahoma"/>
                <w:b/>
                <w:sz w:val="16"/>
                <w:szCs w:val="16"/>
              </w:rPr>
            </w:pPr>
          </w:p>
        </w:tc>
        <w:tc>
          <w:tcPr>
            <w:tcW w:w="1946" w:type="pct"/>
            <w:tcBorders>
              <w:top w:val="single" w:sz="4" w:space="0" w:color="auto"/>
              <w:left w:val="nil"/>
              <w:bottom w:val="single" w:sz="4" w:space="0" w:color="auto"/>
              <w:right w:val="single" w:sz="4" w:space="0" w:color="auto"/>
            </w:tcBorders>
          </w:tcPr>
          <w:p w:rsidR="00565FD5" w:rsidRPr="00932CE1" w:rsidRDefault="00565FD5" w:rsidP="00AB62A3">
            <w:pPr>
              <w:jc w:val="center"/>
              <w:rPr>
                <w:rFonts w:cs="Tahoma"/>
                <w:b/>
                <w:sz w:val="16"/>
                <w:szCs w:val="16"/>
              </w:rPr>
            </w:pPr>
            <w:r w:rsidRPr="00932CE1">
              <w:rPr>
                <w:rFonts w:cs="Tahoma"/>
                <w:b/>
                <w:sz w:val="16"/>
                <w:szCs w:val="16"/>
              </w:rPr>
              <w:t>Öğretim Üyesi Başına</w:t>
            </w:r>
          </w:p>
          <w:p w:rsidR="00565FD5" w:rsidRPr="00932CE1" w:rsidRDefault="00565FD5" w:rsidP="00AB62A3">
            <w:pPr>
              <w:jc w:val="center"/>
              <w:rPr>
                <w:rFonts w:cs="Tahoma"/>
                <w:b/>
                <w:sz w:val="16"/>
                <w:szCs w:val="16"/>
              </w:rPr>
            </w:pPr>
            <w:r w:rsidRPr="00932CE1">
              <w:rPr>
                <w:rFonts w:cs="Tahoma"/>
                <w:b/>
                <w:sz w:val="16"/>
                <w:szCs w:val="16"/>
              </w:rPr>
              <w:t>Düşen Öğrenci Sayısı</w:t>
            </w:r>
          </w:p>
        </w:tc>
        <w:tc>
          <w:tcPr>
            <w:tcW w:w="1935" w:type="pct"/>
            <w:tcBorders>
              <w:top w:val="single" w:sz="4" w:space="0" w:color="auto"/>
              <w:left w:val="nil"/>
              <w:bottom w:val="single" w:sz="4" w:space="0" w:color="auto"/>
              <w:right w:val="single" w:sz="4" w:space="0" w:color="auto"/>
            </w:tcBorders>
          </w:tcPr>
          <w:p w:rsidR="00565FD5" w:rsidRPr="00932CE1" w:rsidRDefault="00565FD5" w:rsidP="00AB62A3">
            <w:pPr>
              <w:jc w:val="center"/>
              <w:rPr>
                <w:rFonts w:cs="Tahoma"/>
                <w:b/>
                <w:sz w:val="16"/>
                <w:szCs w:val="16"/>
              </w:rPr>
            </w:pPr>
            <w:r w:rsidRPr="00932CE1">
              <w:rPr>
                <w:rFonts w:cs="Tahoma"/>
                <w:b/>
                <w:sz w:val="16"/>
                <w:szCs w:val="16"/>
              </w:rPr>
              <w:t>Öğretim Elemanı Başına</w:t>
            </w:r>
          </w:p>
          <w:p w:rsidR="00565FD5" w:rsidRPr="00932CE1" w:rsidRDefault="00565FD5" w:rsidP="00AB62A3">
            <w:pPr>
              <w:jc w:val="center"/>
              <w:rPr>
                <w:rFonts w:cs="Tahoma"/>
                <w:b/>
                <w:sz w:val="16"/>
                <w:szCs w:val="16"/>
              </w:rPr>
            </w:pPr>
            <w:r w:rsidRPr="00932CE1">
              <w:rPr>
                <w:rFonts w:cs="Tahoma"/>
                <w:b/>
                <w:sz w:val="16"/>
                <w:szCs w:val="16"/>
              </w:rPr>
              <w:t>Düşen Öğrenci Sayısı</w:t>
            </w:r>
          </w:p>
        </w:tc>
      </w:tr>
      <w:tr w:rsidR="00565FD5" w:rsidRPr="00B24821" w:rsidTr="00AB62A3">
        <w:trPr>
          <w:trHeight w:val="289"/>
          <w:jc w:val="center"/>
        </w:trPr>
        <w:tc>
          <w:tcPr>
            <w:tcW w:w="1119" w:type="pct"/>
            <w:tcBorders>
              <w:top w:val="single" w:sz="4" w:space="0" w:color="auto"/>
              <w:left w:val="single" w:sz="4" w:space="0" w:color="auto"/>
              <w:right w:val="single" w:sz="4" w:space="0" w:color="auto"/>
            </w:tcBorders>
            <w:noWrap/>
            <w:vAlign w:val="center"/>
          </w:tcPr>
          <w:p w:rsidR="00565FD5" w:rsidRPr="00B24821" w:rsidRDefault="00565FD5" w:rsidP="00AB62A3">
            <w:pPr>
              <w:rPr>
                <w:rFonts w:cs="Tahoma"/>
                <w:sz w:val="16"/>
                <w:szCs w:val="16"/>
              </w:rPr>
            </w:pPr>
            <w:r w:rsidRPr="00B24821">
              <w:rPr>
                <w:rFonts w:cs="Tahoma"/>
                <w:sz w:val="16"/>
                <w:szCs w:val="16"/>
              </w:rPr>
              <w:t>Önlisans</w:t>
            </w:r>
          </w:p>
        </w:tc>
        <w:tc>
          <w:tcPr>
            <w:tcW w:w="1946" w:type="pct"/>
            <w:tcBorders>
              <w:top w:val="single" w:sz="4" w:space="0" w:color="auto"/>
              <w:left w:val="nil"/>
              <w:right w:val="single" w:sz="4" w:space="0" w:color="auto"/>
            </w:tcBorders>
            <w:noWrap/>
            <w:vAlign w:val="center"/>
          </w:tcPr>
          <w:p w:rsidR="00565FD5" w:rsidRPr="00B24821" w:rsidRDefault="00565FD5" w:rsidP="00AB62A3">
            <w:pPr>
              <w:ind w:firstLine="425"/>
              <w:jc w:val="center"/>
              <w:rPr>
                <w:rFonts w:cs="Tahoma"/>
                <w:sz w:val="16"/>
                <w:szCs w:val="16"/>
              </w:rPr>
            </w:pPr>
            <w:r w:rsidRPr="00B24821">
              <w:rPr>
                <w:rFonts w:cs="Tahoma"/>
                <w:sz w:val="16"/>
                <w:szCs w:val="16"/>
              </w:rPr>
              <w:t>372,0</w:t>
            </w:r>
          </w:p>
        </w:tc>
        <w:tc>
          <w:tcPr>
            <w:tcW w:w="1935" w:type="pct"/>
            <w:tcBorders>
              <w:top w:val="single" w:sz="4" w:space="0" w:color="auto"/>
              <w:left w:val="nil"/>
              <w:right w:val="single" w:sz="4" w:space="0" w:color="auto"/>
            </w:tcBorders>
            <w:noWrap/>
            <w:vAlign w:val="center"/>
          </w:tcPr>
          <w:p w:rsidR="00565FD5" w:rsidRPr="00B24821" w:rsidRDefault="00565FD5" w:rsidP="00AB62A3">
            <w:pPr>
              <w:ind w:firstLine="425"/>
              <w:jc w:val="center"/>
              <w:rPr>
                <w:rFonts w:cs="Tahoma"/>
                <w:sz w:val="16"/>
                <w:szCs w:val="16"/>
              </w:rPr>
            </w:pPr>
            <w:r w:rsidRPr="00B24821">
              <w:rPr>
                <w:rFonts w:cs="Tahoma"/>
                <w:sz w:val="16"/>
                <w:szCs w:val="16"/>
              </w:rPr>
              <w:t>51,6</w:t>
            </w:r>
          </w:p>
        </w:tc>
      </w:tr>
      <w:tr w:rsidR="00565FD5" w:rsidRPr="00B24821" w:rsidTr="00AB62A3">
        <w:trPr>
          <w:trHeight w:val="266"/>
          <w:jc w:val="center"/>
        </w:trPr>
        <w:tc>
          <w:tcPr>
            <w:tcW w:w="1119" w:type="pct"/>
            <w:tcBorders>
              <w:top w:val="nil"/>
              <w:left w:val="single" w:sz="4" w:space="0" w:color="auto"/>
              <w:right w:val="single" w:sz="4" w:space="0" w:color="auto"/>
            </w:tcBorders>
            <w:noWrap/>
            <w:vAlign w:val="center"/>
          </w:tcPr>
          <w:p w:rsidR="00565FD5" w:rsidRPr="00B24821" w:rsidRDefault="00565FD5" w:rsidP="00AB62A3">
            <w:pPr>
              <w:rPr>
                <w:rFonts w:cs="Tahoma"/>
                <w:sz w:val="16"/>
                <w:szCs w:val="16"/>
              </w:rPr>
            </w:pPr>
            <w:r w:rsidRPr="00B24821">
              <w:rPr>
                <w:rFonts w:cs="Tahoma"/>
                <w:sz w:val="16"/>
                <w:szCs w:val="16"/>
              </w:rPr>
              <w:t>Lisans</w:t>
            </w:r>
          </w:p>
        </w:tc>
        <w:tc>
          <w:tcPr>
            <w:tcW w:w="1946" w:type="pct"/>
            <w:tcBorders>
              <w:top w:val="nil"/>
              <w:left w:val="nil"/>
              <w:right w:val="single" w:sz="4" w:space="0" w:color="auto"/>
            </w:tcBorders>
            <w:noWrap/>
            <w:vAlign w:val="center"/>
          </w:tcPr>
          <w:p w:rsidR="00565FD5" w:rsidRPr="00B24821" w:rsidRDefault="00565FD5" w:rsidP="00AB62A3">
            <w:pPr>
              <w:ind w:firstLine="425"/>
              <w:jc w:val="center"/>
              <w:rPr>
                <w:rFonts w:cs="Tahoma"/>
                <w:sz w:val="16"/>
                <w:szCs w:val="16"/>
              </w:rPr>
            </w:pPr>
            <w:r w:rsidRPr="00B24821">
              <w:rPr>
                <w:rFonts w:cs="Tahoma"/>
                <w:sz w:val="16"/>
                <w:szCs w:val="16"/>
              </w:rPr>
              <w:t>30,5</w:t>
            </w:r>
          </w:p>
        </w:tc>
        <w:tc>
          <w:tcPr>
            <w:tcW w:w="1935" w:type="pct"/>
            <w:tcBorders>
              <w:top w:val="nil"/>
              <w:left w:val="nil"/>
              <w:right w:val="single" w:sz="4" w:space="0" w:color="auto"/>
            </w:tcBorders>
            <w:noWrap/>
            <w:vAlign w:val="center"/>
          </w:tcPr>
          <w:p w:rsidR="00565FD5" w:rsidRPr="00B24821" w:rsidRDefault="00565FD5" w:rsidP="00AB62A3">
            <w:pPr>
              <w:ind w:firstLine="425"/>
              <w:jc w:val="center"/>
              <w:rPr>
                <w:rFonts w:cs="Tahoma"/>
                <w:sz w:val="16"/>
                <w:szCs w:val="16"/>
              </w:rPr>
            </w:pPr>
            <w:r w:rsidRPr="00B24821">
              <w:rPr>
                <w:rFonts w:cs="Tahoma"/>
                <w:sz w:val="16"/>
                <w:szCs w:val="16"/>
              </w:rPr>
              <w:t>14,9</w:t>
            </w:r>
          </w:p>
        </w:tc>
      </w:tr>
      <w:tr w:rsidR="00565FD5" w:rsidRPr="00B24821" w:rsidTr="00AB62A3">
        <w:trPr>
          <w:trHeight w:val="270"/>
          <w:jc w:val="center"/>
        </w:trPr>
        <w:tc>
          <w:tcPr>
            <w:tcW w:w="1119" w:type="pct"/>
            <w:tcBorders>
              <w:top w:val="nil"/>
              <w:left w:val="single" w:sz="4" w:space="0" w:color="auto"/>
              <w:bottom w:val="single" w:sz="4" w:space="0" w:color="auto"/>
              <w:right w:val="single" w:sz="4" w:space="0" w:color="auto"/>
            </w:tcBorders>
            <w:noWrap/>
            <w:vAlign w:val="center"/>
          </w:tcPr>
          <w:p w:rsidR="00565FD5" w:rsidRPr="00B24821" w:rsidRDefault="00565FD5" w:rsidP="00AB62A3">
            <w:pPr>
              <w:rPr>
                <w:rFonts w:cs="Tahoma"/>
                <w:sz w:val="16"/>
                <w:szCs w:val="16"/>
              </w:rPr>
            </w:pPr>
            <w:r w:rsidRPr="00B24821">
              <w:rPr>
                <w:rFonts w:cs="Tahoma"/>
                <w:sz w:val="16"/>
                <w:szCs w:val="16"/>
              </w:rPr>
              <w:t>Toplam</w:t>
            </w:r>
          </w:p>
        </w:tc>
        <w:tc>
          <w:tcPr>
            <w:tcW w:w="1946" w:type="pct"/>
            <w:tcBorders>
              <w:top w:val="nil"/>
              <w:left w:val="nil"/>
              <w:bottom w:val="single" w:sz="4" w:space="0" w:color="auto"/>
              <w:right w:val="single" w:sz="4" w:space="0" w:color="auto"/>
            </w:tcBorders>
            <w:noWrap/>
            <w:vAlign w:val="center"/>
          </w:tcPr>
          <w:p w:rsidR="00565FD5" w:rsidRPr="00B24821" w:rsidRDefault="00565FD5" w:rsidP="00AB62A3">
            <w:pPr>
              <w:ind w:firstLine="425"/>
              <w:jc w:val="center"/>
              <w:rPr>
                <w:rFonts w:cs="Tahoma"/>
                <w:sz w:val="16"/>
                <w:szCs w:val="16"/>
              </w:rPr>
            </w:pPr>
            <w:r w:rsidRPr="00B24821">
              <w:rPr>
                <w:rFonts w:cs="Tahoma"/>
                <w:sz w:val="16"/>
                <w:szCs w:val="16"/>
              </w:rPr>
              <w:t>43,1</w:t>
            </w:r>
          </w:p>
        </w:tc>
        <w:tc>
          <w:tcPr>
            <w:tcW w:w="1935" w:type="pct"/>
            <w:tcBorders>
              <w:top w:val="nil"/>
              <w:left w:val="nil"/>
              <w:bottom w:val="single" w:sz="4" w:space="0" w:color="auto"/>
              <w:right w:val="single" w:sz="4" w:space="0" w:color="auto"/>
            </w:tcBorders>
            <w:noWrap/>
            <w:vAlign w:val="center"/>
          </w:tcPr>
          <w:p w:rsidR="00565FD5" w:rsidRPr="00B24821" w:rsidRDefault="00565FD5" w:rsidP="00AB62A3">
            <w:pPr>
              <w:ind w:firstLine="425"/>
              <w:jc w:val="center"/>
              <w:rPr>
                <w:rFonts w:cs="Tahoma"/>
                <w:sz w:val="16"/>
                <w:szCs w:val="16"/>
              </w:rPr>
            </w:pPr>
            <w:r w:rsidRPr="00B24821">
              <w:rPr>
                <w:rFonts w:cs="Tahoma"/>
                <w:sz w:val="16"/>
                <w:szCs w:val="16"/>
              </w:rPr>
              <w:t>19,2</w:t>
            </w:r>
          </w:p>
        </w:tc>
      </w:tr>
    </w:tbl>
    <w:p w:rsidR="00565FD5" w:rsidRPr="004B3DE4" w:rsidRDefault="00565FD5" w:rsidP="00565FD5">
      <w:pPr>
        <w:spacing w:after="180"/>
        <w:rPr>
          <w:rFonts w:cs="Tahoma"/>
          <w:sz w:val="16"/>
          <w:szCs w:val="16"/>
        </w:rPr>
      </w:pPr>
      <w:r w:rsidRPr="004B3DE4">
        <w:rPr>
          <w:rFonts w:cs="Tahoma"/>
          <w:sz w:val="16"/>
          <w:szCs w:val="16"/>
        </w:rPr>
        <w:t>Kaynak: ÖSYM</w:t>
      </w:r>
    </w:p>
    <w:p w:rsidR="00565FD5" w:rsidRPr="004B3DE4" w:rsidRDefault="00565FD5" w:rsidP="00565FD5">
      <w:pPr>
        <w:spacing w:after="120"/>
        <w:ind w:firstLine="425"/>
        <w:rPr>
          <w:rFonts w:cs="Tahoma"/>
          <w:szCs w:val="18"/>
        </w:rPr>
      </w:pPr>
      <w:r w:rsidRPr="004B3DE4">
        <w:rPr>
          <w:rFonts w:cs="Tahoma"/>
          <w:szCs w:val="18"/>
        </w:rPr>
        <w:t xml:space="preserve">Son dönemde yükseköğretim kontenjanlarının artması, öğrenci affı gibi nedenlerle öğrenci sayısının hızla artmış olması sonucunda zaten OECD ortalamasının üstünde olan öğretim üyesi başına öğrenci sayısı bir miktar daha yükselmiştir. Bu nedenle Öğretim Üyesi Yetiştirme Programının etkin olarak sürdürülmesi önem taşımaktadır. </w:t>
      </w:r>
    </w:p>
    <w:p w:rsidR="00565FD5" w:rsidRPr="004B3DE4" w:rsidRDefault="00565FD5" w:rsidP="00565FD5">
      <w:pPr>
        <w:spacing w:after="120"/>
        <w:ind w:firstLine="425"/>
        <w:rPr>
          <w:rFonts w:cs="Tahoma"/>
          <w:szCs w:val="18"/>
        </w:rPr>
      </w:pPr>
      <w:r w:rsidRPr="004B3DE4">
        <w:rPr>
          <w:rFonts w:cs="Tahoma"/>
          <w:szCs w:val="18"/>
        </w:rPr>
        <w:lastRenderedPageBreak/>
        <w:t xml:space="preserve">Öğretim üye ve elemanlarının üniversiteler ve bölgeler arasında dengesiz dağılımı da yükseköğretimin bir diğer sorunudur. 2011-2012 eğitim döneminde örgün öğretimdeki öğrencilerin yüzde 9,6’sı vakıf üniversitelerinde öğrenim görmekte iken öğretim elemanlarının yüzde 12,5’i, öğretim üyelerinin ise yüzde 12,9’u bu üniversitelerde görev yapmaktadır. Lisans ve önlisans programlarına kayıtlı örgün eğitimdeki öğrencilerin yüzde 28,9’unun, öğretim üyelerinin de yüzde 45’inin üç büyük ilde yoğunlaşması sonucunda, bu illerde öğretim üyesi başına 27,7 öğrenci düşmektedir. </w:t>
      </w:r>
    </w:p>
    <w:p w:rsidR="00565FD5" w:rsidRPr="00B24821" w:rsidRDefault="00565FD5" w:rsidP="00565FD5">
      <w:pPr>
        <w:pStyle w:val="ResimYazs"/>
        <w:rPr>
          <w:rFonts w:cs="Tahoma"/>
        </w:rPr>
      </w:pPr>
      <w:bookmarkStart w:id="2450" w:name="_Toc338606052"/>
      <w:bookmarkStart w:id="2451" w:name="_Toc338711827"/>
      <w:r>
        <w:t xml:space="preserve">TABLO IV: </w:t>
      </w:r>
      <w:fldSimple w:instr=" SEQ TABLO_IV: \* ARABIC ">
        <w:r>
          <w:rPr>
            <w:noProof/>
          </w:rPr>
          <w:t>57</w:t>
        </w:r>
      </w:fldSimple>
      <w:r w:rsidRPr="00B24821">
        <w:rPr>
          <w:rFonts w:cs="Tahoma"/>
        </w:rPr>
        <w:t>- Yükseköğretimde Örgün Öğrenci, Öğretim Üyesi ve Elemanlarının Dağılımı, 2010-2011 Eğitim Dönemi</w:t>
      </w:r>
      <w:bookmarkEnd w:id="2450"/>
      <w:bookmarkEnd w:id="2451"/>
      <w:r w:rsidRPr="00B24821">
        <w:rPr>
          <w:rFonts w:cs="Tahoma"/>
        </w:rPr>
        <w:t xml:space="preserve"> </w:t>
      </w:r>
    </w:p>
    <w:tbl>
      <w:tblPr>
        <w:tblW w:w="7144" w:type="dxa"/>
        <w:jc w:val="center"/>
        <w:tblLayout w:type="fixed"/>
        <w:tblCellMar>
          <w:left w:w="70" w:type="dxa"/>
          <w:right w:w="70" w:type="dxa"/>
        </w:tblCellMar>
        <w:tblLook w:val="00A0"/>
      </w:tblPr>
      <w:tblGrid>
        <w:gridCol w:w="1682"/>
        <w:gridCol w:w="1040"/>
        <w:gridCol w:w="806"/>
        <w:gridCol w:w="923"/>
        <w:gridCol w:w="924"/>
        <w:gridCol w:w="923"/>
        <w:gridCol w:w="846"/>
      </w:tblGrid>
      <w:tr w:rsidR="00565FD5" w:rsidRPr="00932CE1" w:rsidTr="00AB62A3">
        <w:trPr>
          <w:trHeight w:val="252"/>
          <w:jc w:val="center"/>
        </w:trPr>
        <w:tc>
          <w:tcPr>
            <w:tcW w:w="1177" w:type="pct"/>
            <w:tcBorders>
              <w:top w:val="single" w:sz="4" w:space="0" w:color="auto"/>
              <w:left w:val="single" w:sz="4" w:space="0" w:color="auto"/>
              <w:right w:val="single" w:sz="4" w:space="0" w:color="auto"/>
            </w:tcBorders>
            <w:noWrap/>
            <w:vAlign w:val="bottom"/>
          </w:tcPr>
          <w:p w:rsidR="00565FD5" w:rsidRPr="00932CE1" w:rsidRDefault="00565FD5" w:rsidP="00AB62A3">
            <w:pPr>
              <w:jc w:val="center"/>
              <w:rPr>
                <w:rFonts w:cs="Tahoma"/>
                <w:b/>
                <w:sz w:val="16"/>
                <w:szCs w:val="16"/>
              </w:rPr>
            </w:pPr>
          </w:p>
        </w:tc>
        <w:tc>
          <w:tcPr>
            <w:tcW w:w="1292" w:type="pct"/>
            <w:gridSpan w:val="2"/>
            <w:tcBorders>
              <w:top w:val="single" w:sz="4" w:space="0" w:color="auto"/>
              <w:left w:val="single" w:sz="4" w:space="0" w:color="auto"/>
              <w:right w:val="single" w:sz="4" w:space="0" w:color="auto"/>
            </w:tcBorders>
            <w:noWrap/>
            <w:vAlign w:val="bottom"/>
          </w:tcPr>
          <w:p w:rsidR="00565FD5" w:rsidRPr="00932CE1" w:rsidRDefault="00565FD5" w:rsidP="00AB62A3">
            <w:pPr>
              <w:jc w:val="center"/>
              <w:rPr>
                <w:rFonts w:cs="Tahoma"/>
                <w:b/>
                <w:sz w:val="16"/>
                <w:szCs w:val="16"/>
              </w:rPr>
            </w:pPr>
            <w:r w:rsidRPr="00932CE1">
              <w:rPr>
                <w:rFonts w:cs="Tahoma"/>
                <w:b/>
                <w:sz w:val="16"/>
                <w:szCs w:val="16"/>
              </w:rPr>
              <w:t>Öğrenciler</w:t>
            </w:r>
          </w:p>
        </w:tc>
        <w:tc>
          <w:tcPr>
            <w:tcW w:w="1293" w:type="pct"/>
            <w:gridSpan w:val="2"/>
            <w:tcBorders>
              <w:top w:val="single" w:sz="4" w:space="0" w:color="auto"/>
              <w:left w:val="nil"/>
              <w:right w:val="single" w:sz="4" w:space="0" w:color="auto"/>
            </w:tcBorders>
            <w:noWrap/>
            <w:vAlign w:val="bottom"/>
          </w:tcPr>
          <w:p w:rsidR="00565FD5" w:rsidRPr="00932CE1" w:rsidRDefault="00565FD5" w:rsidP="00AB62A3">
            <w:pPr>
              <w:jc w:val="center"/>
              <w:rPr>
                <w:rFonts w:cs="Tahoma"/>
                <w:b/>
                <w:sz w:val="16"/>
                <w:szCs w:val="16"/>
              </w:rPr>
            </w:pPr>
            <w:r w:rsidRPr="00932CE1">
              <w:rPr>
                <w:rFonts w:cs="Tahoma"/>
                <w:b/>
                <w:sz w:val="16"/>
                <w:szCs w:val="16"/>
              </w:rPr>
              <w:t>Öğretim Üyeleri</w:t>
            </w:r>
          </w:p>
        </w:tc>
        <w:tc>
          <w:tcPr>
            <w:tcW w:w="1238" w:type="pct"/>
            <w:gridSpan w:val="2"/>
            <w:tcBorders>
              <w:top w:val="single" w:sz="4" w:space="0" w:color="auto"/>
              <w:left w:val="nil"/>
              <w:right w:val="single" w:sz="4" w:space="0" w:color="auto"/>
            </w:tcBorders>
            <w:noWrap/>
            <w:vAlign w:val="bottom"/>
          </w:tcPr>
          <w:p w:rsidR="00565FD5" w:rsidRPr="00932CE1" w:rsidRDefault="00565FD5" w:rsidP="00AB62A3">
            <w:pPr>
              <w:jc w:val="center"/>
              <w:rPr>
                <w:rFonts w:cs="Tahoma"/>
                <w:b/>
                <w:sz w:val="16"/>
                <w:szCs w:val="16"/>
              </w:rPr>
            </w:pPr>
            <w:r w:rsidRPr="00932CE1">
              <w:rPr>
                <w:rFonts w:cs="Tahoma"/>
                <w:b/>
                <w:sz w:val="16"/>
                <w:szCs w:val="16"/>
              </w:rPr>
              <w:t>Öğretim Elemanları</w:t>
            </w:r>
          </w:p>
        </w:tc>
      </w:tr>
      <w:tr w:rsidR="00565FD5" w:rsidRPr="00932CE1" w:rsidTr="00AB62A3">
        <w:trPr>
          <w:trHeight w:val="252"/>
          <w:jc w:val="center"/>
        </w:trPr>
        <w:tc>
          <w:tcPr>
            <w:tcW w:w="1177" w:type="pct"/>
            <w:tcBorders>
              <w:left w:val="single" w:sz="4" w:space="0" w:color="auto"/>
              <w:bottom w:val="single" w:sz="4" w:space="0" w:color="auto"/>
              <w:right w:val="single" w:sz="4" w:space="0" w:color="auto"/>
            </w:tcBorders>
            <w:shd w:val="clear" w:color="auto" w:fill="FFFFFF"/>
            <w:vAlign w:val="center"/>
          </w:tcPr>
          <w:p w:rsidR="00565FD5" w:rsidRPr="00932CE1" w:rsidRDefault="00565FD5" w:rsidP="00AB62A3">
            <w:pPr>
              <w:jc w:val="center"/>
              <w:rPr>
                <w:rFonts w:cs="Tahoma"/>
                <w:b/>
                <w:sz w:val="16"/>
                <w:szCs w:val="16"/>
              </w:rPr>
            </w:pPr>
          </w:p>
        </w:tc>
        <w:tc>
          <w:tcPr>
            <w:tcW w:w="728" w:type="pct"/>
            <w:tcBorders>
              <w:left w:val="single" w:sz="4" w:space="0" w:color="auto"/>
              <w:bottom w:val="single" w:sz="4" w:space="0" w:color="auto"/>
              <w:right w:val="nil"/>
            </w:tcBorders>
            <w:noWrap/>
            <w:vAlign w:val="bottom"/>
          </w:tcPr>
          <w:p w:rsidR="00565FD5" w:rsidRPr="00932CE1" w:rsidRDefault="00565FD5" w:rsidP="00AB62A3">
            <w:pPr>
              <w:ind w:firstLine="425"/>
              <w:rPr>
                <w:rFonts w:cs="Tahoma"/>
                <w:b/>
                <w:sz w:val="16"/>
                <w:szCs w:val="16"/>
              </w:rPr>
            </w:pPr>
            <w:r w:rsidRPr="00932CE1">
              <w:rPr>
                <w:rFonts w:cs="Tahoma"/>
                <w:b/>
                <w:sz w:val="16"/>
                <w:szCs w:val="16"/>
              </w:rPr>
              <w:t>Sayı</w:t>
            </w:r>
          </w:p>
        </w:tc>
        <w:tc>
          <w:tcPr>
            <w:tcW w:w="564" w:type="pct"/>
            <w:tcBorders>
              <w:left w:val="nil"/>
              <w:bottom w:val="single" w:sz="4" w:space="0" w:color="auto"/>
              <w:right w:val="single" w:sz="4" w:space="0" w:color="auto"/>
            </w:tcBorders>
            <w:noWrap/>
            <w:vAlign w:val="bottom"/>
          </w:tcPr>
          <w:p w:rsidR="00565FD5" w:rsidRPr="00932CE1" w:rsidRDefault="00565FD5" w:rsidP="00AB62A3">
            <w:pPr>
              <w:jc w:val="center"/>
              <w:rPr>
                <w:rFonts w:cs="Tahoma"/>
                <w:b/>
                <w:sz w:val="16"/>
                <w:szCs w:val="16"/>
              </w:rPr>
            </w:pPr>
            <w:r w:rsidRPr="00932CE1">
              <w:rPr>
                <w:rFonts w:cs="Tahoma"/>
                <w:b/>
                <w:sz w:val="16"/>
                <w:szCs w:val="16"/>
              </w:rPr>
              <w:t>Yüzde</w:t>
            </w:r>
          </w:p>
        </w:tc>
        <w:tc>
          <w:tcPr>
            <w:tcW w:w="646" w:type="pct"/>
            <w:tcBorders>
              <w:left w:val="nil"/>
              <w:bottom w:val="single" w:sz="4" w:space="0" w:color="auto"/>
              <w:right w:val="nil"/>
            </w:tcBorders>
            <w:noWrap/>
            <w:vAlign w:val="bottom"/>
          </w:tcPr>
          <w:p w:rsidR="00565FD5" w:rsidRPr="00932CE1" w:rsidRDefault="00565FD5" w:rsidP="00AB62A3">
            <w:pPr>
              <w:ind w:firstLine="425"/>
              <w:jc w:val="center"/>
              <w:rPr>
                <w:rFonts w:cs="Tahoma"/>
                <w:b/>
                <w:sz w:val="16"/>
                <w:szCs w:val="16"/>
              </w:rPr>
            </w:pPr>
            <w:r w:rsidRPr="00932CE1">
              <w:rPr>
                <w:rFonts w:cs="Tahoma"/>
                <w:b/>
                <w:sz w:val="16"/>
                <w:szCs w:val="16"/>
              </w:rPr>
              <w:t>Sayı</w:t>
            </w:r>
          </w:p>
        </w:tc>
        <w:tc>
          <w:tcPr>
            <w:tcW w:w="646" w:type="pct"/>
            <w:tcBorders>
              <w:left w:val="nil"/>
              <w:bottom w:val="single" w:sz="4" w:space="0" w:color="auto"/>
              <w:right w:val="single" w:sz="4" w:space="0" w:color="auto"/>
            </w:tcBorders>
            <w:noWrap/>
            <w:vAlign w:val="bottom"/>
          </w:tcPr>
          <w:p w:rsidR="00565FD5" w:rsidRPr="00932CE1" w:rsidRDefault="00565FD5" w:rsidP="00AB62A3">
            <w:pPr>
              <w:jc w:val="center"/>
              <w:rPr>
                <w:rFonts w:cs="Tahoma"/>
                <w:b/>
                <w:sz w:val="16"/>
                <w:szCs w:val="16"/>
              </w:rPr>
            </w:pPr>
            <w:r w:rsidRPr="00932CE1">
              <w:rPr>
                <w:rFonts w:cs="Tahoma"/>
                <w:b/>
                <w:sz w:val="16"/>
                <w:szCs w:val="16"/>
              </w:rPr>
              <w:t>Yüzde</w:t>
            </w:r>
          </w:p>
        </w:tc>
        <w:tc>
          <w:tcPr>
            <w:tcW w:w="646" w:type="pct"/>
            <w:tcBorders>
              <w:left w:val="nil"/>
              <w:bottom w:val="single" w:sz="4" w:space="0" w:color="auto"/>
              <w:right w:val="nil"/>
            </w:tcBorders>
            <w:noWrap/>
            <w:vAlign w:val="bottom"/>
          </w:tcPr>
          <w:p w:rsidR="00565FD5" w:rsidRPr="00932CE1" w:rsidRDefault="00565FD5" w:rsidP="00AB62A3">
            <w:pPr>
              <w:ind w:firstLine="425"/>
              <w:jc w:val="center"/>
              <w:rPr>
                <w:rFonts w:cs="Tahoma"/>
                <w:b/>
                <w:sz w:val="16"/>
                <w:szCs w:val="16"/>
              </w:rPr>
            </w:pPr>
            <w:r w:rsidRPr="00932CE1">
              <w:rPr>
                <w:rFonts w:cs="Tahoma"/>
                <w:b/>
                <w:sz w:val="16"/>
                <w:szCs w:val="16"/>
              </w:rPr>
              <w:t>Sayı</w:t>
            </w:r>
          </w:p>
        </w:tc>
        <w:tc>
          <w:tcPr>
            <w:tcW w:w="592" w:type="pct"/>
            <w:tcBorders>
              <w:left w:val="nil"/>
              <w:bottom w:val="single" w:sz="4" w:space="0" w:color="auto"/>
              <w:right w:val="single" w:sz="4" w:space="0" w:color="auto"/>
            </w:tcBorders>
            <w:noWrap/>
            <w:vAlign w:val="bottom"/>
          </w:tcPr>
          <w:p w:rsidR="00565FD5" w:rsidRPr="00932CE1" w:rsidRDefault="00565FD5" w:rsidP="00AB62A3">
            <w:pPr>
              <w:jc w:val="center"/>
              <w:rPr>
                <w:rFonts w:cs="Tahoma"/>
                <w:b/>
                <w:sz w:val="16"/>
                <w:szCs w:val="16"/>
              </w:rPr>
            </w:pPr>
            <w:r w:rsidRPr="00932CE1">
              <w:rPr>
                <w:rFonts w:cs="Tahoma"/>
                <w:b/>
                <w:sz w:val="16"/>
                <w:szCs w:val="16"/>
              </w:rPr>
              <w:t>Yüzde</w:t>
            </w:r>
          </w:p>
        </w:tc>
      </w:tr>
      <w:tr w:rsidR="00565FD5" w:rsidRPr="00B24821" w:rsidTr="00AB62A3">
        <w:trPr>
          <w:trHeight w:val="312"/>
          <w:jc w:val="center"/>
        </w:trPr>
        <w:tc>
          <w:tcPr>
            <w:tcW w:w="1177" w:type="pct"/>
            <w:tcBorders>
              <w:top w:val="single" w:sz="4" w:space="0" w:color="auto"/>
              <w:left w:val="single" w:sz="4" w:space="0" w:color="auto"/>
              <w:right w:val="single" w:sz="4" w:space="0" w:color="auto"/>
            </w:tcBorders>
            <w:noWrap/>
            <w:vAlign w:val="center"/>
          </w:tcPr>
          <w:p w:rsidR="00565FD5" w:rsidRPr="00B24821" w:rsidRDefault="00565FD5" w:rsidP="00AB62A3">
            <w:pPr>
              <w:rPr>
                <w:rFonts w:cs="Tahoma"/>
                <w:sz w:val="16"/>
                <w:szCs w:val="16"/>
              </w:rPr>
            </w:pPr>
            <w:r w:rsidRPr="00B24821">
              <w:rPr>
                <w:rFonts w:cs="Tahoma"/>
                <w:sz w:val="16"/>
                <w:szCs w:val="16"/>
              </w:rPr>
              <w:t>Ankara</w:t>
            </w:r>
          </w:p>
        </w:tc>
        <w:tc>
          <w:tcPr>
            <w:tcW w:w="728" w:type="pct"/>
            <w:tcBorders>
              <w:top w:val="single" w:sz="4" w:space="0" w:color="auto"/>
              <w:left w:val="single" w:sz="4" w:space="0" w:color="auto"/>
              <w:right w:val="nil"/>
            </w:tcBorders>
            <w:noWrap/>
            <w:vAlign w:val="center"/>
          </w:tcPr>
          <w:p w:rsidR="00565FD5" w:rsidRPr="00B24821" w:rsidRDefault="00565FD5" w:rsidP="00AB62A3">
            <w:pPr>
              <w:jc w:val="right"/>
              <w:rPr>
                <w:rFonts w:cs="Tahoma"/>
                <w:sz w:val="16"/>
                <w:szCs w:val="16"/>
              </w:rPr>
            </w:pPr>
            <w:r w:rsidRPr="00B24821">
              <w:rPr>
                <w:rFonts w:cs="Tahoma"/>
                <w:sz w:val="16"/>
                <w:szCs w:val="16"/>
              </w:rPr>
              <w:t>180 289</w:t>
            </w:r>
          </w:p>
        </w:tc>
        <w:tc>
          <w:tcPr>
            <w:tcW w:w="564" w:type="pct"/>
            <w:tcBorders>
              <w:top w:val="single" w:sz="4" w:space="0" w:color="auto"/>
              <w:left w:val="nil"/>
              <w:right w:val="single" w:sz="4" w:space="0" w:color="auto"/>
            </w:tcBorders>
            <w:noWrap/>
            <w:vAlign w:val="center"/>
          </w:tcPr>
          <w:p w:rsidR="00565FD5" w:rsidRPr="00B24821" w:rsidRDefault="00565FD5" w:rsidP="00AB62A3">
            <w:pPr>
              <w:jc w:val="right"/>
              <w:rPr>
                <w:rFonts w:cs="Tahoma"/>
                <w:sz w:val="16"/>
                <w:szCs w:val="16"/>
              </w:rPr>
            </w:pPr>
            <w:r w:rsidRPr="00B24821">
              <w:rPr>
                <w:rFonts w:cs="Tahoma"/>
                <w:sz w:val="16"/>
                <w:szCs w:val="16"/>
              </w:rPr>
              <w:t>8,3</w:t>
            </w:r>
          </w:p>
        </w:tc>
        <w:tc>
          <w:tcPr>
            <w:tcW w:w="646" w:type="pct"/>
            <w:tcBorders>
              <w:top w:val="single" w:sz="4" w:space="0" w:color="auto"/>
              <w:left w:val="nil"/>
              <w:right w:val="nil"/>
            </w:tcBorders>
            <w:noWrap/>
            <w:vAlign w:val="center"/>
          </w:tcPr>
          <w:p w:rsidR="00565FD5" w:rsidRPr="00B24821" w:rsidRDefault="00565FD5" w:rsidP="00AB62A3">
            <w:pPr>
              <w:jc w:val="right"/>
              <w:rPr>
                <w:rFonts w:cs="Tahoma"/>
                <w:sz w:val="16"/>
                <w:szCs w:val="16"/>
              </w:rPr>
            </w:pPr>
            <w:r w:rsidRPr="00B24821">
              <w:rPr>
                <w:rFonts w:cs="Tahoma"/>
                <w:sz w:val="16"/>
                <w:szCs w:val="16"/>
              </w:rPr>
              <w:t>8 301</w:t>
            </w:r>
          </w:p>
        </w:tc>
        <w:tc>
          <w:tcPr>
            <w:tcW w:w="646" w:type="pct"/>
            <w:tcBorders>
              <w:top w:val="single" w:sz="4" w:space="0" w:color="auto"/>
              <w:left w:val="nil"/>
              <w:right w:val="single" w:sz="4" w:space="0" w:color="auto"/>
            </w:tcBorders>
            <w:noWrap/>
            <w:vAlign w:val="center"/>
          </w:tcPr>
          <w:p w:rsidR="00565FD5" w:rsidRPr="00B24821" w:rsidRDefault="00565FD5" w:rsidP="00AB62A3">
            <w:pPr>
              <w:ind w:firstLine="425"/>
              <w:jc w:val="right"/>
              <w:rPr>
                <w:rFonts w:cs="Tahoma"/>
                <w:sz w:val="16"/>
                <w:szCs w:val="16"/>
              </w:rPr>
            </w:pPr>
            <w:r w:rsidRPr="00B24821">
              <w:rPr>
                <w:rFonts w:cs="Tahoma"/>
                <w:sz w:val="16"/>
                <w:szCs w:val="16"/>
              </w:rPr>
              <w:t>16,5</w:t>
            </w:r>
          </w:p>
        </w:tc>
        <w:tc>
          <w:tcPr>
            <w:tcW w:w="646" w:type="pct"/>
            <w:tcBorders>
              <w:top w:val="single" w:sz="4" w:space="0" w:color="auto"/>
              <w:left w:val="nil"/>
              <w:right w:val="nil"/>
            </w:tcBorders>
            <w:noWrap/>
            <w:vAlign w:val="center"/>
          </w:tcPr>
          <w:p w:rsidR="00565FD5" w:rsidRPr="00B24821" w:rsidRDefault="00565FD5" w:rsidP="00AB62A3">
            <w:pPr>
              <w:jc w:val="right"/>
              <w:rPr>
                <w:rFonts w:cs="Tahoma"/>
                <w:sz w:val="16"/>
                <w:szCs w:val="16"/>
              </w:rPr>
            </w:pPr>
            <w:r w:rsidRPr="00B24821">
              <w:rPr>
                <w:rFonts w:cs="Tahoma"/>
                <w:sz w:val="16"/>
                <w:szCs w:val="16"/>
              </w:rPr>
              <w:t>19 404</w:t>
            </w:r>
          </w:p>
        </w:tc>
        <w:tc>
          <w:tcPr>
            <w:tcW w:w="592" w:type="pct"/>
            <w:tcBorders>
              <w:top w:val="single" w:sz="4" w:space="0" w:color="auto"/>
              <w:left w:val="nil"/>
              <w:right w:val="single" w:sz="4" w:space="0" w:color="auto"/>
            </w:tcBorders>
            <w:noWrap/>
            <w:vAlign w:val="center"/>
          </w:tcPr>
          <w:p w:rsidR="00565FD5" w:rsidRPr="00B24821" w:rsidRDefault="00565FD5" w:rsidP="00AB62A3">
            <w:pPr>
              <w:jc w:val="right"/>
              <w:rPr>
                <w:rFonts w:cs="Tahoma"/>
                <w:sz w:val="16"/>
                <w:szCs w:val="16"/>
              </w:rPr>
            </w:pPr>
            <w:r w:rsidRPr="00B24821">
              <w:rPr>
                <w:rFonts w:cs="Tahoma"/>
                <w:sz w:val="16"/>
                <w:szCs w:val="16"/>
              </w:rPr>
              <w:t>17,2</w:t>
            </w:r>
          </w:p>
        </w:tc>
      </w:tr>
      <w:tr w:rsidR="00565FD5" w:rsidRPr="00B24821" w:rsidTr="00AB62A3">
        <w:trPr>
          <w:trHeight w:val="312"/>
          <w:jc w:val="center"/>
        </w:trPr>
        <w:tc>
          <w:tcPr>
            <w:tcW w:w="1177" w:type="pct"/>
            <w:tcBorders>
              <w:left w:val="single" w:sz="4" w:space="0" w:color="auto"/>
              <w:right w:val="single" w:sz="4" w:space="0" w:color="auto"/>
            </w:tcBorders>
            <w:noWrap/>
            <w:vAlign w:val="center"/>
          </w:tcPr>
          <w:p w:rsidR="00565FD5" w:rsidRPr="00B24821" w:rsidRDefault="00565FD5" w:rsidP="00AB62A3">
            <w:pPr>
              <w:rPr>
                <w:rFonts w:cs="Tahoma"/>
                <w:sz w:val="16"/>
                <w:szCs w:val="16"/>
              </w:rPr>
            </w:pPr>
            <w:r w:rsidRPr="00B24821">
              <w:rPr>
                <w:rFonts w:cs="Tahoma"/>
                <w:sz w:val="16"/>
                <w:szCs w:val="16"/>
              </w:rPr>
              <w:t>İstanbul</w:t>
            </w:r>
          </w:p>
        </w:tc>
        <w:tc>
          <w:tcPr>
            <w:tcW w:w="728" w:type="pct"/>
            <w:tcBorders>
              <w:left w:val="single" w:sz="4" w:space="0" w:color="auto"/>
              <w:right w:val="nil"/>
            </w:tcBorders>
            <w:noWrap/>
            <w:vAlign w:val="center"/>
          </w:tcPr>
          <w:p w:rsidR="00565FD5" w:rsidRPr="00B24821" w:rsidRDefault="00565FD5" w:rsidP="00AB62A3">
            <w:pPr>
              <w:jc w:val="right"/>
              <w:rPr>
                <w:rFonts w:cs="Tahoma"/>
                <w:sz w:val="16"/>
                <w:szCs w:val="16"/>
              </w:rPr>
            </w:pPr>
            <w:r w:rsidRPr="00B24821">
              <w:rPr>
                <w:rFonts w:cs="Tahoma"/>
                <w:sz w:val="16"/>
                <w:szCs w:val="16"/>
              </w:rPr>
              <w:t>334 322</w:t>
            </w:r>
          </w:p>
        </w:tc>
        <w:tc>
          <w:tcPr>
            <w:tcW w:w="564" w:type="pct"/>
            <w:tcBorders>
              <w:left w:val="nil"/>
              <w:right w:val="single" w:sz="4" w:space="0" w:color="auto"/>
            </w:tcBorders>
            <w:noWrap/>
            <w:vAlign w:val="center"/>
          </w:tcPr>
          <w:p w:rsidR="00565FD5" w:rsidRPr="00B24821" w:rsidRDefault="00565FD5" w:rsidP="00AB62A3">
            <w:pPr>
              <w:jc w:val="right"/>
              <w:rPr>
                <w:rFonts w:cs="Tahoma"/>
                <w:sz w:val="16"/>
                <w:szCs w:val="16"/>
              </w:rPr>
            </w:pPr>
            <w:r w:rsidRPr="00B24821">
              <w:rPr>
                <w:rFonts w:cs="Tahoma"/>
                <w:sz w:val="16"/>
                <w:szCs w:val="16"/>
              </w:rPr>
              <w:t>15,4</w:t>
            </w:r>
          </w:p>
        </w:tc>
        <w:tc>
          <w:tcPr>
            <w:tcW w:w="646" w:type="pct"/>
            <w:tcBorders>
              <w:left w:val="nil"/>
              <w:right w:val="nil"/>
            </w:tcBorders>
            <w:noWrap/>
            <w:vAlign w:val="center"/>
          </w:tcPr>
          <w:p w:rsidR="00565FD5" w:rsidRPr="00B24821" w:rsidRDefault="00565FD5" w:rsidP="00AB62A3">
            <w:pPr>
              <w:jc w:val="right"/>
              <w:rPr>
                <w:rFonts w:cs="Tahoma"/>
                <w:sz w:val="16"/>
                <w:szCs w:val="16"/>
              </w:rPr>
            </w:pPr>
            <w:r w:rsidRPr="00B24821">
              <w:rPr>
                <w:rFonts w:cs="Tahoma"/>
                <w:sz w:val="16"/>
                <w:szCs w:val="16"/>
              </w:rPr>
              <w:t>10 661</w:t>
            </w:r>
          </w:p>
        </w:tc>
        <w:tc>
          <w:tcPr>
            <w:tcW w:w="646" w:type="pct"/>
            <w:tcBorders>
              <w:left w:val="nil"/>
              <w:right w:val="single" w:sz="4" w:space="0" w:color="auto"/>
            </w:tcBorders>
            <w:noWrap/>
            <w:vAlign w:val="center"/>
          </w:tcPr>
          <w:p w:rsidR="00565FD5" w:rsidRPr="00B24821" w:rsidRDefault="00565FD5" w:rsidP="00AB62A3">
            <w:pPr>
              <w:ind w:firstLine="425"/>
              <w:jc w:val="right"/>
              <w:rPr>
                <w:rFonts w:cs="Tahoma"/>
                <w:sz w:val="16"/>
                <w:szCs w:val="16"/>
              </w:rPr>
            </w:pPr>
            <w:r w:rsidRPr="00B24821">
              <w:rPr>
                <w:rFonts w:cs="Tahoma"/>
                <w:sz w:val="16"/>
                <w:szCs w:val="16"/>
              </w:rPr>
              <w:t>21,2</w:t>
            </w:r>
          </w:p>
        </w:tc>
        <w:tc>
          <w:tcPr>
            <w:tcW w:w="646" w:type="pct"/>
            <w:tcBorders>
              <w:left w:val="nil"/>
              <w:right w:val="nil"/>
            </w:tcBorders>
            <w:noWrap/>
            <w:vAlign w:val="center"/>
          </w:tcPr>
          <w:p w:rsidR="00565FD5" w:rsidRPr="00B24821" w:rsidRDefault="00565FD5" w:rsidP="00AB62A3">
            <w:pPr>
              <w:jc w:val="right"/>
              <w:rPr>
                <w:rFonts w:cs="Tahoma"/>
                <w:sz w:val="16"/>
                <w:szCs w:val="16"/>
              </w:rPr>
            </w:pPr>
            <w:r w:rsidRPr="00B24821">
              <w:rPr>
                <w:rFonts w:cs="Tahoma"/>
                <w:sz w:val="16"/>
                <w:szCs w:val="16"/>
              </w:rPr>
              <w:t>23 190</w:t>
            </w:r>
          </w:p>
        </w:tc>
        <w:tc>
          <w:tcPr>
            <w:tcW w:w="592" w:type="pct"/>
            <w:tcBorders>
              <w:left w:val="nil"/>
              <w:right w:val="single" w:sz="4" w:space="0" w:color="auto"/>
            </w:tcBorders>
            <w:noWrap/>
            <w:vAlign w:val="center"/>
          </w:tcPr>
          <w:p w:rsidR="00565FD5" w:rsidRPr="00B24821" w:rsidRDefault="00565FD5" w:rsidP="00AB62A3">
            <w:pPr>
              <w:jc w:val="right"/>
              <w:rPr>
                <w:rFonts w:cs="Tahoma"/>
                <w:sz w:val="16"/>
                <w:szCs w:val="16"/>
              </w:rPr>
            </w:pPr>
            <w:r w:rsidRPr="00B24821">
              <w:rPr>
                <w:rFonts w:cs="Tahoma"/>
                <w:sz w:val="16"/>
                <w:szCs w:val="16"/>
              </w:rPr>
              <w:t>20,6</w:t>
            </w:r>
          </w:p>
        </w:tc>
      </w:tr>
      <w:tr w:rsidR="00565FD5" w:rsidRPr="00B24821" w:rsidTr="00AB62A3">
        <w:trPr>
          <w:trHeight w:val="312"/>
          <w:jc w:val="center"/>
        </w:trPr>
        <w:tc>
          <w:tcPr>
            <w:tcW w:w="1177" w:type="pct"/>
            <w:tcBorders>
              <w:left w:val="single" w:sz="4" w:space="0" w:color="auto"/>
              <w:right w:val="single" w:sz="4" w:space="0" w:color="auto"/>
            </w:tcBorders>
            <w:noWrap/>
            <w:vAlign w:val="center"/>
          </w:tcPr>
          <w:p w:rsidR="00565FD5" w:rsidRPr="00B24821" w:rsidRDefault="00565FD5" w:rsidP="00AB62A3">
            <w:pPr>
              <w:rPr>
                <w:rFonts w:cs="Tahoma"/>
                <w:sz w:val="16"/>
                <w:szCs w:val="16"/>
              </w:rPr>
            </w:pPr>
            <w:r w:rsidRPr="00B24821">
              <w:rPr>
                <w:rFonts w:cs="Tahoma"/>
                <w:sz w:val="16"/>
                <w:szCs w:val="16"/>
              </w:rPr>
              <w:t>İzmir</w:t>
            </w:r>
          </w:p>
        </w:tc>
        <w:tc>
          <w:tcPr>
            <w:tcW w:w="728" w:type="pct"/>
            <w:tcBorders>
              <w:left w:val="single" w:sz="4" w:space="0" w:color="auto"/>
              <w:right w:val="nil"/>
            </w:tcBorders>
            <w:noWrap/>
            <w:vAlign w:val="center"/>
          </w:tcPr>
          <w:p w:rsidR="00565FD5" w:rsidRPr="00B24821" w:rsidRDefault="00565FD5" w:rsidP="00AB62A3">
            <w:pPr>
              <w:jc w:val="right"/>
              <w:rPr>
                <w:rFonts w:cs="Tahoma"/>
                <w:sz w:val="16"/>
                <w:szCs w:val="16"/>
              </w:rPr>
            </w:pPr>
            <w:r w:rsidRPr="00B24821">
              <w:rPr>
                <w:rFonts w:cs="Tahoma"/>
                <w:sz w:val="16"/>
                <w:szCs w:val="16"/>
              </w:rPr>
              <w:t>114 175</w:t>
            </w:r>
          </w:p>
        </w:tc>
        <w:tc>
          <w:tcPr>
            <w:tcW w:w="564" w:type="pct"/>
            <w:tcBorders>
              <w:left w:val="nil"/>
              <w:right w:val="single" w:sz="4" w:space="0" w:color="auto"/>
            </w:tcBorders>
            <w:noWrap/>
            <w:vAlign w:val="center"/>
          </w:tcPr>
          <w:p w:rsidR="00565FD5" w:rsidRPr="00B24821" w:rsidRDefault="00565FD5" w:rsidP="00AB62A3">
            <w:pPr>
              <w:jc w:val="right"/>
              <w:rPr>
                <w:rFonts w:cs="Tahoma"/>
                <w:sz w:val="16"/>
                <w:szCs w:val="16"/>
              </w:rPr>
            </w:pPr>
            <w:r w:rsidRPr="00B24821">
              <w:rPr>
                <w:rFonts w:cs="Tahoma"/>
                <w:sz w:val="16"/>
                <w:szCs w:val="16"/>
              </w:rPr>
              <w:t>5,2</w:t>
            </w:r>
          </w:p>
        </w:tc>
        <w:tc>
          <w:tcPr>
            <w:tcW w:w="646" w:type="pct"/>
            <w:tcBorders>
              <w:left w:val="nil"/>
              <w:right w:val="nil"/>
            </w:tcBorders>
            <w:noWrap/>
            <w:vAlign w:val="center"/>
          </w:tcPr>
          <w:p w:rsidR="00565FD5" w:rsidRPr="00B24821" w:rsidRDefault="00565FD5" w:rsidP="00AB62A3">
            <w:pPr>
              <w:jc w:val="right"/>
              <w:rPr>
                <w:rFonts w:cs="Tahoma"/>
                <w:sz w:val="16"/>
                <w:szCs w:val="16"/>
              </w:rPr>
            </w:pPr>
            <w:r w:rsidRPr="00B24821">
              <w:rPr>
                <w:rFonts w:cs="Tahoma"/>
                <w:sz w:val="16"/>
                <w:szCs w:val="16"/>
              </w:rPr>
              <w:t>3 691</w:t>
            </w:r>
          </w:p>
        </w:tc>
        <w:tc>
          <w:tcPr>
            <w:tcW w:w="646" w:type="pct"/>
            <w:tcBorders>
              <w:left w:val="nil"/>
              <w:right w:val="single" w:sz="4" w:space="0" w:color="auto"/>
            </w:tcBorders>
            <w:noWrap/>
            <w:vAlign w:val="center"/>
          </w:tcPr>
          <w:p w:rsidR="00565FD5" w:rsidRPr="00B24821" w:rsidRDefault="00565FD5" w:rsidP="00AB62A3">
            <w:pPr>
              <w:ind w:firstLine="425"/>
              <w:jc w:val="right"/>
              <w:rPr>
                <w:rFonts w:cs="Tahoma"/>
                <w:sz w:val="16"/>
                <w:szCs w:val="16"/>
              </w:rPr>
            </w:pPr>
            <w:r w:rsidRPr="00B24821">
              <w:rPr>
                <w:rFonts w:cs="Tahoma"/>
                <w:sz w:val="16"/>
                <w:szCs w:val="16"/>
              </w:rPr>
              <w:t>7,3</w:t>
            </w:r>
          </w:p>
        </w:tc>
        <w:tc>
          <w:tcPr>
            <w:tcW w:w="646" w:type="pct"/>
            <w:tcBorders>
              <w:left w:val="nil"/>
              <w:right w:val="nil"/>
            </w:tcBorders>
            <w:noWrap/>
            <w:vAlign w:val="center"/>
          </w:tcPr>
          <w:p w:rsidR="00565FD5" w:rsidRPr="00B24821" w:rsidRDefault="00565FD5" w:rsidP="00AB62A3">
            <w:pPr>
              <w:jc w:val="right"/>
              <w:rPr>
                <w:rFonts w:cs="Tahoma"/>
                <w:sz w:val="16"/>
                <w:szCs w:val="16"/>
              </w:rPr>
            </w:pPr>
            <w:r w:rsidRPr="00B24821">
              <w:rPr>
                <w:rFonts w:cs="Tahoma"/>
                <w:sz w:val="16"/>
                <w:szCs w:val="16"/>
              </w:rPr>
              <w:t>8 183</w:t>
            </w:r>
          </w:p>
        </w:tc>
        <w:tc>
          <w:tcPr>
            <w:tcW w:w="592" w:type="pct"/>
            <w:tcBorders>
              <w:left w:val="nil"/>
              <w:right w:val="single" w:sz="4" w:space="0" w:color="auto"/>
            </w:tcBorders>
            <w:noWrap/>
            <w:vAlign w:val="center"/>
          </w:tcPr>
          <w:p w:rsidR="00565FD5" w:rsidRPr="00B24821" w:rsidRDefault="00565FD5" w:rsidP="00AB62A3">
            <w:pPr>
              <w:jc w:val="right"/>
              <w:rPr>
                <w:rFonts w:cs="Tahoma"/>
                <w:sz w:val="16"/>
                <w:szCs w:val="16"/>
              </w:rPr>
            </w:pPr>
            <w:r w:rsidRPr="00B24821">
              <w:rPr>
                <w:rFonts w:cs="Tahoma"/>
                <w:sz w:val="16"/>
                <w:szCs w:val="16"/>
              </w:rPr>
              <w:t>7,2</w:t>
            </w:r>
          </w:p>
        </w:tc>
      </w:tr>
      <w:tr w:rsidR="00565FD5" w:rsidRPr="00B24821" w:rsidTr="00AB62A3">
        <w:trPr>
          <w:trHeight w:val="312"/>
          <w:jc w:val="center"/>
        </w:trPr>
        <w:tc>
          <w:tcPr>
            <w:tcW w:w="1177" w:type="pct"/>
            <w:tcBorders>
              <w:left w:val="single" w:sz="4" w:space="0" w:color="auto"/>
              <w:right w:val="single" w:sz="4" w:space="0" w:color="auto"/>
            </w:tcBorders>
            <w:noWrap/>
            <w:vAlign w:val="center"/>
          </w:tcPr>
          <w:p w:rsidR="00565FD5" w:rsidRPr="00B24821" w:rsidRDefault="00565FD5" w:rsidP="00AB62A3">
            <w:pPr>
              <w:rPr>
                <w:rFonts w:cs="Tahoma"/>
                <w:sz w:val="16"/>
                <w:szCs w:val="16"/>
              </w:rPr>
            </w:pPr>
            <w:r w:rsidRPr="00B24821">
              <w:rPr>
                <w:rFonts w:cs="Tahoma"/>
                <w:sz w:val="16"/>
                <w:szCs w:val="16"/>
              </w:rPr>
              <w:t>Ara Toplam</w:t>
            </w:r>
          </w:p>
        </w:tc>
        <w:tc>
          <w:tcPr>
            <w:tcW w:w="728" w:type="pct"/>
            <w:tcBorders>
              <w:left w:val="single" w:sz="4" w:space="0" w:color="auto"/>
              <w:right w:val="nil"/>
            </w:tcBorders>
            <w:noWrap/>
            <w:vAlign w:val="center"/>
          </w:tcPr>
          <w:p w:rsidR="00565FD5" w:rsidRPr="00B24821" w:rsidRDefault="00565FD5" w:rsidP="00AB62A3">
            <w:pPr>
              <w:jc w:val="right"/>
              <w:rPr>
                <w:rFonts w:cs="Tahoma"/>
                <w:sz w:val="16"/>
                <w:szCs w:val="16"/>
              </w:rPr>
            </w:pPr>
            <w:r w:rsidRPr="00B24821">
              <w:rPr>
                <w:rFonts w:cs="Tahoma"/>
                <w:sz w:val="16"/>
                <w:szCs w:val="16"/>
              </w:rPr>
              <w:t>628 786</w:t>
            </w:r>
          </w:p>
        </w:tc>
        <w:tc>
          <w:tcPr>
            <w:tcW w:w="564" w:type="pct"/>
            <w:tcBorders>
              <w:left w:val="nil"/>
              <w:right w:val="single" w:sz="4" w:space="0" w:color="auto"/>
            </w:tcBorders>
            <w:noWrap/>
            <w:vAlign w:val="center"/>
          </w:tcPr>
          <w:p w:rsidR="00565FD5" w:rsidRPr="00B24821" w:rsidRDefault="00565FD5" w:rsidP="00AB62A3">
            <w:pPr>
              <w:jc w:val="right"/>
              <w:rPr>
                <w:rFonts w:cs="Tahoma"/>
                <w:sz w:val="16"/>
                <w:szCs w:val="16"/>
              </w:rPr>
            </w:pPr>
            <w:r w:rsidRPr="00B24821">
              <w:rPr>
                <w:rFonts w:cs="Tahoma"/>
                <w:sz w:val="16"/>
                <w:szCs w:val="16"/>
              </w:rPr>
              <w:t>28,9</w:t>
            </w:r>
          </w:p>
        </w:tc>
        <w:tc>
          <w:tcPr>
            <w:tcW w:w="646" w:type="pct"/>
            <w:tcBorders>
              <w:left w:val="nil"/>
              <w:right w:val="nil"/>
            </w:tcBorders>
            <w:noWrap/>
            <w:vAlign w:val="center"/>
          </w:tcPr>
          <w:p w:rsidR="00565FD5" w:rsidRPr="00B24821" w:rsidRDefault="00565FD5" w:rsidP="00AB62A3">
            <w:pPr>
              <w:jc w:val="right"/>
              <w:rPr>
                <w:rFonts w:cs="Tahoma"/>
                <w:sz w:val="16"/>
                <w:szCs w:val="16"/>
              </w:rPr>
            </w:pPr>
            <w:r w:rsidRPr="00B24821">
              <w:rPr>
                <w:rFonts w:cs="Tahoma"/>
                <w:sz w:val="16"/>
                <w:szCs w:val="16"/>
              </w:rPr>
              <w:t>22 653</w:t>
            </w:r>
          </w:p>
        </w:tc>
        <w:tc>
          <w:tcPr>
            <w:tcW w:w="646" w:type="pct"/>
            <w:tcBorders>
              <w:left w:val="nil"/>
              <w:right w:val="single" w:sz="4" w:space="0" w:color="auto"/>
            </w:tcBorders>
            <w:noWrap/>
            <w:vAlign w:val="center"/>
          </w:tcPr>
          <w:p w:rsidR="00565FD5" w:rsidRPr="00B24821" w:rsidRDefault="00565FD5" w:rsidP="00AB62A3">
            <w:pPr>
              <w:ind w:firstLine="425"/>
              <w:jc w:val="right"/>
              <w:rPr>
                <w:rFonts w:cs="Tahoma"/>
                <w:sz w:val="16"/>
                <w:szCs w:val="16"/>
              </w:rPr>
            </w:pPr>
            <w:r w:rsidRPr="00B24821">
              <w:rPr>
                <w:rFonts w:cs="Tahoma"/>
                <w:sz w:val="16"/>
                <w:szCs w:val="16"/>
              </w:rPr>
              <w:t>45</w:t>
            </w:r>
          </w:p>
        </w:tc>
        <w:tc>
          <w:tcPr>
            <w:tcW w:w="646" w:type="pct"/>
            <w:tcBorders>
              <w:left w:val="nil"/>
              <w:right w:val="nil"/>
            </w:tcBorders>
            <w:noWrap/>
            <w:vAlign w:val="center"/>
          </w:tcPr>
          <w:p w:rsidR="00565FD5" w:rsidRPr="00B24821" w:rsidRDefault="00565FD5" w:rsidP="00AB62A3">
            <w:pPr>
              <w:jc w:val="right"/>
              <w:rPr>
                <w:rFonts w:cs="Tahoma"/>
                <w:sz w:val="16"/>
                <w:szCs w:val="16"/>
              </w:rPr>
            </w:pPr>
            <w:r w:rsidRPr="00B24821">
              <w:rPr>
                <w:rFonts w:cs="Tahoma"/>
                <w:sz w:val="16"/>
                <w:szCs w:val="16"/>
              </w:rPr>
              <w:t>50 777</w:t>
            </w:r>
          </w:p>
        </w:tc>
        <w:tc>
          <w:tcPr>
            <w:tcW w:w="592" w:type="pct"/>
            <w:tcBorders>
              <w:left w:val="nil"/>
              <w:right w:val="single" w:sz="4" w:space="0" w:color="auto"/>
            </w:tcBorders>
            <w:noWrap/>
            <w:vAlign w:val="center"/>
          </w:tcPr>
          <w:p w:rsidR="00565FD5" w:rsidRPr="00B24821" w:rsidRDefault="00565FD5" w:rsidP="00AB62A3">
            <w:pPr>
              <w:jc w:val="right"/>
              <w:rPr>
                <w:rFonts w:cs="Tahoma"/>
                <w:sz w:val="16"/>
                <w:szCs w:val="16"/>
              </w:rPr>
            </w:pPr>
            <w:r w:rsidRPr="00B24821">
              <w:rPr>
                <w:rFonts w:cs="Tahoma"/>
                <w:sz w:val="16"/>
                <w:szCs w:val="16"/>
              </w:rPr>
              <w:t>45</w:t>
            </w:r>
          </w:p>
        </w:tc>
      </w:tr>
      <w:tr w:rsidR="00565FD5" w:rsidRPr="00B24821" w:rsidTr="00AB62A3">
        <w:trPr>
          <w:trHeight w:val="312"/>
          <w:jc w:val="center"/>
        </w:trPr>
        <w:tc>
          <w:tcPr>
            <w:tcW w:w="1177" w:type="pct"/>
            <w:tcBorders>
              <w:left w:val="single" w:sz="4" w:space="0" w:color="auto"/>
              <w:right w:val="single" w:sz="4" w:space="0" w:color="auto"/>
            </w:tcBorders>
            <w:noWrap/>
            <w:vAlign w:val="center"/>
          </w:tcPr>
          <w:p w:rsidR="00565FD5" w:rsidRPr="00B24821" w:rsidRDefault="00565FD5" w:rsidP="00AB62A3">
            <w:pPr>
              <w:rPr>
                <w:rFonts w:cs="Tahoma"/>
                <w:sz w:val="16"/>
                <w:szCs w:val="16"/>
              </w:rPr>
            </w:pPr>
            <w:r w:rsidRPr="00B24821">
              <w:rPr>
                <w:rFonts w:cs="Tahoma"/>
                <w:sz w:val="16"/>
                <w:szCs w:val="16"/>
              </w:rPr>
              <w:t>Diğer İller</w:t>
            </w:r>
          </w:p>
        </w:tc>
        <w:tc>
          <w:tcPr>
            <w:tcW w:w="728" w:type="pct"/>
            <w:tcBorders>
              <w:left w:val="single" w:sz="4" w:space="0" w:color="auto"/>
              <w:right w:val="nil"/>
            </w:tcBorders>
            <w:noWrap/>
            <w:vAlign w:val="center"/>
          </w:tcPr>
          <w:p w:rsidR="00565FD5" w:rsidRPr="00B24821" w:rsidRDefault="00565FD5" w:rsidP="00AB62A3">
            <w:pPr>
              <w:jc w:val="right"/>
              <w:rPr>
                <w:rFonts w:cs="Tahoma"/>
                <w:sz w:val="16"/>
                <w:szCs w:val="16"/>
              </w:rPr>
            </w:pPr>
            <w:r w:rsidRPr="00B24821">
              <w:rPr>
                <w:rFonts w:cs="Tahoma"/>
                <w:sz w:val="16"/>
                <w:szCs w:val="16"/>
              </w:rPr>
              <w:t>1 532 407</w:t>
            </w:r>
          </w:p>
        </w:tc>
        <w:tc>
          <w:tcPr>
            <w:tcW w:w="564" w:type="pct"/>
            <w:tcBorders>
              <w:left w:val="nil"/>
              <w:right w:val="single" w:sz="4" w:space="0" w:color="auto"/>
            </w:tcBorders>
            <w:noWrap/>
            <w:vAlign w:val="center"/>
          </w:tcPr>
          <w:p w:rsidR="00565FD5" w:rsidRPr="00B24821" w:rsidRDefault="00565FD5" w:rsidP="00AB62A3">
            <w:pPr>
              <w:jc w:val="right"/>
              <w:rPr>
                <w:rFonts w:cs="Tahoma"/>
                <w:sz w:val="16"/>
                <w:szCs w:val="16"/>
              </w:rPr>
            </w:pPr>
            <w:r w:rsidRPr="00B24821">
              <w:rPr>
                <w:rFonts w:cs="Tahoma"/>
                <w:sz w:val="16"/>
                <w:szCs w:val="16"/>
              </w:rPr>
              <w:t>71,1</w:t>
            </w:r>
          </w:p>
        </w:tc>
        <w:tc>
          <w:tcPr>
            <w:tcW w:w="646" w:type="pct"/>
            <w:tcBorders>
              <w:left w:val="nil"/>
              <w:right w:val="nil"/>
            </w:tcBorders>
            <w:noWrap/>
            <w:vAlign w:val="center"/>
          </w:tcPr>
          <w:p w:rsidR="00565FD5" w:rsidRPr="00B24821" w:rsidRDefault="00565FD5" w:rsidP="00AB62A3">
            <w:pPr>
              <w:jc w:val="right"/>
              <w:rPr>
                <w:rFonts w:cs="Tahoma"/>
                <w:sz w:val="16"/>
                <w:szCs w:val="16"/>
              </w:rPr>
            </w:pPr>
            <w:r w:rsidRPr="00B24821">
              <w:rPr>
                <w:rFonts w:cs="Tahoma"/>
                <w:sz w:val="16"/>
                <w:szCs w:val="16"/>
              </w:rPr>
              <w:t>27 488</w:t>
            </w:r>
          </w:p>
        </w:tc>
        <w:tc>
          <w:tcPr>
            <w:tcW w:w="646" w:type="pct"/>
            <w:tcBorders>
              <w:left w:val="nil"/>
              <w:right w:val="single" w:sz="4" w:space="0" w:color="auto"/>
            </w:tcBorders>
            <w:noWrap/>
            <w:vAlign w:val="center"/>
          </w:tcPr>
          <w:p w:rsidR="00565FD5" w:rsidRPr="00B24821" w:rsidRDefault="00565FD5" w:rsidP="00AB62A3">
            <w:pPr>
              <w:ind w:firstLine="425"/>
              <w:jc w:val="right"/>
              <w:rPr>
                <w:rFonts w:cs="Tahoma"/>
                <w:sz w:val="16"/>
                <w:szCs w:val="16"/>
              </w:rPr>
            </w:pPr>
            <w:r w:rsidRPr="00B24821">
              <w:rPr>
                <w:rFonts w:cs="Tahoma"/>
                <w:sz w:val="16"/>
                <w:szCs w:val="16"/>
              </w:rPr>
              <w:t>55</w:t>
            </w:r>
          </w:p>
        </w:tc>
        <w:tc>
          <w:tcPr>
            <w:tcW w:w="646" w:type="pct"/>
            <w:tcBorders>
              <w:left w:val="nil"/>
              <w:right w:val="nil"/>
            </w:tcBorders>
            <w:noWrap/>
            <w:vAlign w:val="center"/>
          </w:tcPr>
          <w:p w:rsidR="00565FD5" w:rsidRPr="00B24821" w:rsidRDefault="00565FD5" w:rsidP="00AB62A3">
            <w:pPr>
              <w:jc w:val="right"/>
              <w:rPr>
                <w:rFonts w:cs="Tahoma"/>
                <w:sz w:val="16"/>
                <w:szCs w:val="16"/>
              </w:rPr>
            </w:pPr>
            <w:r w:rsidRPr="00B24821">
              <w:rPr>
                <w:rFonts w:cs="Tahoma"/>
                <w:sz w:val="16"/>
                <w:szCs w:val="16"/>
              </w:rPr>
              <w:t>61 477</w:t>
            </w:r>
          </w:p>
        </w:tc>
        <w:tc>
          <w:tcPr>
            <w:tcW w:w="592" w:type="pct"/>
            <w:tcBorders>
              <w:left w:val="nil"/>
              <w:right w:val="single" w:sz="4" w:space="0" w:color="auto"/>
            </w:tcBorders>
            <w:noWrap/>
            <w:vAlign w:val="center"/>
          </w:tcPr>
          <w:p w:rsidR="00565FD5" w:rsidRPr="00B24821" w:rsidRDefault="00565FD5" w:rsidP="00AB62A3">
            <w:pPr>
              <w:jc w:val="right"/>
              <w:rPr>
                <w:rFonts w:cs="Tahoma"/>
                <w:sz w:val="16"/>
                <w:szCs w:val="16"/>
              </w:rPr>
            </w:pPr>
            <w:r w:rsidRPr="00B24821">
              <w:rPr>
                <w:rFonts w:cs="Tahoma"/>
                <w:sz w:val="16"/>
                <w:szCs w:val="16"/>
              </w:rPr>
              <w:t>55</w:t>
            </w:r>
          </w:p>
        </w:tc>
      </w:tr>
      <w:tr w:rsidR="00565FD5" w:rsidRPr="00B24821" w:rsidTr="00AB62A3">
        <w:trPr>
          <w:trHeight w:val="312"/>
          <w:jc w:val="center"/>
        </w:trPr>
        <w:tc>
          <w:tcPr>
            <w:tcW w:w="1177" w:type="pct"/>
            <w:tcBorders>
              <w:left w:val="single" w:sz="4" w:space="0" w:color="auto"/>
              <w:bottom w:val="single" w:sz="4" w:space="0" w:color="auto"/>
              <w:right w:val="single" w:sz="4" w:space="0" w:color="auto"/>
            </w:tcBorders>
            <w:noWrap/>
            <w:vAlign w:val="center"/>
          </w:tcPr>
          <w:p w:rsidR="00565FD5" w:rsidRPr="00B24821" w:rsidRDefault="00565FD5" w:rsidP="00AB62A3">
            <w:pPr>
              <w:rPr>
                <w:rFonts w:cs="Tahoma"/>
                <w:sz w:val="16"/>
                <w:szCs w:val="16"/>
              </w:rPr>
            </w:pPr>
            <w:r w:rsidRPr="00B24821">
              <w:rPr>
                <w:rFonts w:cs="Tahoma"/>
                <w:sz w:val="16"/>
                <w:szCs w:val="16"/>
              </w:rPr>
              <w:t>Genel Toplam</w:t>
            </w:r>
          </w:p>
        </w:tc>
        <w:tc>
          <w:tcPr>
            <w:tcW w:w="728" w:type="pct"/>
            <w:tcBorders>
              <w:left w:val="single" w:sz="4" w:space="0" w:color="auto"/>
              <w:bottom w:val="single" w:sz="4" w:space="0" w:color="auto"/>
              <w:right w:val="nil"/>
            </w:tcBorders>
            <w:noWrap/>
            <w:vAlign w:val="center"/>
          </w:tcPr>
          <w:p w:rsidR="00565FD5" w:rsidRPr="00B24821" w:rsidRDefault="00565FD5" w:rsidP="00AB62A3">
            <w:pPr>
              <w:jc w:val="right"/>
              <w:rPr>
                <w:rFonts w:cs="Tahoma"/>
                <w:sz w:val="16"/>
                <w:szCs w:val="16"/>
              </w:rPr>
            </w:pPr>
            <w:r w:rsidRPr="00B24821">
              <w:rPr>
                <w:rFonts w:cs="Tahoma"/>
                <w:sz w:val="16"/>
                <w:szCs w:val="16"/>
              </w:rPr>
              <w:t>2 161 193</w:t>
            </w:r>
          </w:p>
        </w:tc>
        <w:tc>
          <w:tcPr>
            <w:tcW w:w="564" w:type="pct"/>
            <w:tcBorders>
              <w:left w:val="nil"/>
              <w:bottom w:val="single" w:sz="4" w:space="0" w:color="auto"/>
              <w:right w:val="single" w:sz="4" w:space="0" w:color="auto"/>
            </w:tcBorders>
            <w:noWrap/>
            <w:vAlign w:val="center"/>
          </w:tcPr>
          <w:p w:rsidR="00565FD5" w:rsidRPr="00B24821" w:rsidRDefault="00565FD5" w:rsidP="00AB62A3">
            <w:pPr>
              <w:jc w:val="right"/>
              <w:rPr>
                <w:rFonts w:cs="Tahoma"/>
                <w:sz w:val="16"/>
                <w:szCs w:val="16"/>
              </w:rPr>
            </w:pPr>
            <w:r w:rsidRPr="00B24821">
              <w:rPr>
                <w:rFonts w:cs="Tahoma"/>
                <w:sz w:val="16"/>
                <w:szCs w:val="16"/>
              </w:rPr>
              <w:t>100</w:t>
            </w:r>
          </w:p>
        </w:tc>
        <w:tc>
          <w:tcPr>
            <w:tcW w:w="646" w:type="pct"/>
            <w:tcBorders>
              <w:left w:val="nil"/>
              <w:bottom w:val="single" w:sz="4" w:space="0" w:color="auto"/>
              <w:right w:val="nil"/>
            </w:tcBorders>
            <w:noWrap/>
            <w:vAlign w:val="center"/>
          </w:tcPr>
          <w:p w:rsidR="00565FD5" w:rsidRPr="00B24821" w:rsidRDefault="00565FD5" w:rsidP="00AB62A3">
            <w:pPr>
              <w:jc w:val="right"/>
              <w:rPr>
                <w:rFonts w:cs="Tahoma"/>
                <w:sz w:val="16"/>
                <w:szCs w:val="16"/>
              </w:rPr>
            </w:pPr>
            <w:r w:rsidRPr="00B24821">
              <w:rPr>
                <w:rFonts w:cs="Tahoma"/>
                <w:sz w:val="16"/>
                <w:szCs w:val="16"/>
              </w:rPr>
              <w:t>50 141</w:t>
            </w:r>
          </w:p>
        </w:tc>
        <w:tc>
          <w:tcPr>
            <w:tcW w:w="646" w:type="pct"/>
            <w:tcBorders>
              <w:left w:val="nil"/>
              <w:bottom w:val="single" w:sz="4" w:space="0" w:color="auto"/>
              <w:right w:val="single" w:sz="4" w:space="0" w:color="auto"/>
            </w:tcBorders>
            <w:noWrap/>
            <w:vAlign w:val="center"/>
          </w:tcPr>
          <w:p w:rsidR="00565FD5" w:rsidRPr="00B24821" w:rsidRDefault="00565FD5" w:rsidP="00AB62A3">
            <w:pPr>
              <w:ind w:firstLine="425"/>
              <w:jc w:val="right"/>
              <w:rPr>
                <w:rFonts w:cs="Tahoma"/>
                <w:sz w:val="16"/>
                <w:szCs w:val="16"/>
              </w:rPr>
            </w:pPr>
            <w:r w:rsidRPr="00B24821">
              <w:rPr>
                <w:rFonts w:cs="Tahoma"/>
                <w:sz w:val="16"/>
                <w:szCs w:val="16"/>
              </w:rPr>
              <w:t>100</w:t>
            </w:r>
          </w:p>
        </w:tc>
        <w:tc>
          <w:tcPr>
            <w:tcW w:w="646" w:type="pct"/>
            <w:tcBorders>
              <w:left w:val="nil"/>
              <w:bottom w:val="single" w:sz="4" w:space="0" w:color="auto"/>
              <w:right w:val="nil"/>
            </w:tcBorders>
            <w:noWrap/>
            <w:vAlign w:val="center"/>
          </w:tcPr>
          <w:p w:rsidR="00565FD5" w:rsidRPr="00B24821" w:rsidRDefault="00565FD5" w:rsidP="00AB62A3">
            <w:pPr>
              <w:jc w:val="right"/>
              <w:rPr>
                <w:rFonts w:cs="Tahoma"/>
                <w:sz w:val="16"/>
                <w:szCs w:val="16"/>
              </w:rPr>
            </w:pPr>
            <w:r w:rsidRPr="00B24821">
              <w:rPr>
                <w:rFonts w:cs="Tahoma"/>
                <w:sz w:val="16"/>
                <w:szCs w:val="16"/>
              </w:rPr>
              <w:t>112 254</w:t>
            </w:r>
          </w:p>
        </w:tc>
        <w:tc>
          <w:tcPr>
            <w:tcW w:w="592" w:type="pct"/>
            <w:tcBorders>
              <w:left w:val="nil"/>
              <w:bottom w:val="single" w:sz="4" w:space="0" w:color="auto"/>
              <w:right w:val="single" w:sz="4" w:space="0" w:color="auto"/>
            </w:tcBorders>
            <w:noWrap/>
            <w:vAlign w:val="center"/>
          </w:tcPr>
          <w:p w:rsidR="00565FD5" w:rsidRPr="00B24821" w:rsidRDefault="00565FD5" w:rsidP="00AB62A3">
            <w:pPr>
              <w:jc w:val="right"/>
              <w:rPr>
                <w:rFonts w:cs="Tahoma"/>
                <w:sz w:val="16"/>
                <w:szCs w:val="16"/>
              </w:rPr>
            </w:pPr>
            <w:r w:rsidRPr="00B24821">
              <w:rPr>
                <w:rFonts w:cs="Tahoma"/>
                <w:sz w:val="16"/>
                <w:szCs w:val="16"/>
              </w:rPr>
              <w:t>100</w:t>
            </w:r>
          </w:p>
        </w:tc>
      </w:tr>
    </w:tbl>
    <w:p w:rsidR="00565FD5" w:rsidRPr="00B24821" w:rsidRDefault="00565FD5" w:rsidP="00565FD5">
      <w:pPr>
        <w:rPr>
          <w:rFonts w:cs="Tahoma"/>
          <w:sz w:val="14"/>
          <w:szCs w:val="14"/>
        </w:rPr>
      </w:pPr>
      <w:r w:rsidRPr="00B24821">
        <w:rPr>
          <w:rFonts w:cs="Tahoma"/>
          <w:sz w:val="14"/>
          <w:szCs w:val="14"/>
        </w:rPr>
        <w:t>Kaynak: ÖSYM</w:t>
      </w:r>
    </w:p>
    <w:p w:rsidR="00565FD5" w:rsidRPr="00B24821" w:rsidRDefault="00565FD5" w:rsidP="00565FD5">
      <w:pPr>
        <w:rPr>
          <w:rFonts w:cs="Tahoma"/>
          <w:sz w:val="14"/>
          <w:szCs w:val="14"/>
        </w:rPr>
      </w:pPr>
      <w:r w:rsidRPr="00B24821">
        <w:rPr>
          <w:rFonts w:cs="Tahoma"/>
          <w:sz w:val="14"/>
          <w:szCs w:val="14"/>
        </w:rPr>
        <w:t>Not: Diğer eğitim kurumları ve lisansüstü öğrenciler hariçtir.</w:t>
      </w:r>
    </w:p>
    <w:p w:rsidR="00565FD5" w:rsidRPr="004B3DE4" w:rsidRDefault="00565FD5" w:rsidP="00565FD5">
      <w:pPr>
        <w:spacing w:after="120"/>
        <w:ind w:firstLine="425"/>
        <w:rPr>
          <w:rFonts w:cs="Tahoma"/>
          <w:szCs w:val="18"/>
        </w:rPr>
      </w:pPr>
    </w:p>
    <w:p w:rsidR="00565FD5" w:rsidRPr="004B3DE4" w:rsidRDefault="00565FD5" w:rsidP="00565FD5">
      <w:pPr>
        <w:spacing w:after="120"/>
        <w:ind w:firstLine="425"/>
        <w:rPr>
          <w:rFonts w:cs="Tahoma"/>
          <w:szCs w:val="18"/>
        </w:rPr>
      </w:pPr>
      <w:r w:rsidRPr="004B3DE4">
        <w:rPr>
          <w:rFonts w:cs="Tahoma"/>
          <w:szCs w:val="18"/>
        </w:rPr>
        <w:t>Yeni kurulan üniversitelerle birlikte fiziki ihtiyaçlarda artış meydana gelmiştir. Yükseköğretim kurumlarında ilave kapalı alanlar yaratılması gereği bulunmakla birlikte mevcut kapalı alanların da daha etkin şekilde kullanılması önem arz etmektedir.</w:t>
      </w:r>
    </w:p>
    <w:p w:rsidR="00565FD5" w:rsidRPr="004B3DE4" w:rsidRDefault="00565FD5" w:rsidP="00565FD5">
      <w:pPr>
        <w:spacing w:after="120"/>
        <w:ind w:firstLine="425"/>
        <w:rPr>
          <w:rFonts w:cs="Tahoma"/>
          <w:szCs w:val="18"/>
        </w:rPr>
      </w:pPr>
      <w:r w:rsidRPr="004B3DE4">
        <w:rPr>
          <w:rFonts w:cs="Tahoma"/>
          <w:szCs w:val="18"/>
        </w:rPr>
        <w:t xml:space="preserve">Artan üniversite sayısı ve örgün yükseköğretim kontenjanlarına paralel olarak yurt ihtiyacı da artmaktadır. 2012-2013 eğitim öğretim döneminde yükseköğretim düzeyindeki yurt kapasitesi yaklaşık 561.529’dur. Bu kapasitenin yaklaşık 291.050’si YURT-KUR yurtlarından, 61.596’sı üniversite yurtlarından, 208.883’ü de özel yurtlardan oluşmaktadır. YURT-KUR yurtlarında başvuru yapılabilecek boş yatak kapasitesi 108.063 iken başvuran sayısı 338.129 olmuş </w:t>
      </w:r>
      <w:r w:rsidRPr="004B3DE4">
        <w:rPr>
          <w:rFonts w:cs="Tahoma"/>
          <w:szCs w:val="18"/>
        </w:rPr>
        <w:lastRenderedPageBreak/>
        <w:t>ve karşılama oranı yüzde 31,9 olarak gerçekleşmiştir. Öte yandan, YURT-KUR yurtlarının özellikle maliyet ve güvenlik açısından öncelikli olarak tercih edilmesi, son yıllarda yeni açılan yurtların kalite standartlarının yüksek olması ve eski yurtların yapılan iyileştirme çalışmaları neticesinde kalite standartlarının yükseltilmesi yurtların yaklaşık tam kapasiteyle hizmet vermesi sonucunu beraberinde getirmiştir. Önümüzdeki dönemde yükseköğretimdeki genişlemeyle beraber öğrencilerin barınma ve burs/kredi ihtiyaçlarının artacağı göz önünde bulundurulduğunda finansman kaynaklarının çeşitlendirilmesi ve buna bağlı olarak YURT-KUR’un kurumsal kapasitesinin geliştirilmesine ihtiyaç duyulmaktadır.</w:t>
      </w:r>
    </w:p>
    <w:p w:rsidR="00565FD5" w:rsidRPr="004B3DE4" w:rsidRDefault="00565FD5" w:rsidP="00565FD5">
      <w:pPr>
        <w:spacing w:after="120"/>
        <w:ind w:firstLine="425"/>
        <w:rPr>
          <w:rFonts w:cs="Tahoma"/>
          <w:szCs w:val="18"/>
        </w:rPr>
      </w:pPr>
      <w:r w:rsidRPr="004B3DE4">
        <w:rPr>
          <w:rFonts w:cs="Tahoma"/>
          <w:szCs w:val="18"/>
        </w:rPr>
        <w:t>Küreselleşme sürecinde bireylerin farklı ülkelerde yaşama, çalışma ve öğrenim fırsatlarını elde etmesi ve bilgi ekonomisi sürecinde küresel bilgi paylaşımının önem kazanmasıyla birlikte uluslararasılaşma, yükseköğretimde önemli bir eğilim haline gelmiştir.  Bu eğilime paralel olarak 2009 yılında dünyadaki toplam uluslararası öğrenci sayısı yaklaşık 3,7 milyona ulaşmış olup Türkiye’nin bu öğrencilerden aldığı pay yüzde 1’in altındadır. Yükseköğretimde uluslararasılaşma boyutu konusunda farkındalığın artırılması, Türkiye’nin bu alandaki ulusal politika eksikliğinin giderilmesi ve dünyadaki uluslararası öğrencilerden daha fazla pay alarak öğrenci çeken bir ülke konumuna gelmesi amacına yönelik olarak Yurtdışı Türkler ve Akraba Topluluklar Başkanlığı koordinasyonunda Yabancı Öğrenci Strateji Belgesi hazırlanmıştır. Bu belgede ortaya konulan hedeflerin hayata geçirilebilmesi açısından ilgili tüm kurumlar arasında etkin bir işbirliğinin sağlanması ihtiyacı önemini korumaktadır. Diğer yandan, bu kapsamda yapılan çalışmalar sonucunda yabancı öğrencilere yönelik verilen muhtelif burs programları Türkiye Bursları adı altında birleştirilmiştir.</w:t>
      </w:r>
    </w:p>
    <w:p w:rsidR="00565FD5" w:rsidRPr="004B3DE4" w:rsidRDefault="00565FD5" w:rsidP="00565FD5">
      <w:pPr>
        <w:pStyle w:val="Balk4"/>
        <w:rPr>
          <w:noProof/>
          <w:lang w:val="en-US"/>
        </w:rPr>
      </w:pPr>
      <w:bookmarkStart w:id="2452" w:name="_Toc338494252"/>
      <w:bookmarkStart w:id="2453" w:name="_Toc338505623"/>
      <w:bookmarkStart w:id="2454" w:name="_Toc338523854"/>
      <w:bookmarkStart w:id="2455" w:name="_Toc338524085"/>
      <w:bookmarkStart w:id="2456" w:name="_Toc338526311"/>
      <w:bookmarkStart w:id="2457" w:name="_Toc338673754"/>
      <w:bookmarkStart w:id="2458" w:name="_Toc338711633"/>
      <w:r w:rsidRPr="004B3DE4">
        <w:rPr>
          <w:noProof/>
          <w:lang w:val="en-US"/>
        </w:rPr>
        <w:t>2. Temel Amaç ve Hedefler</w:t>
      </w:r>
      <w:bookmarkEnd w:id="2452"/>
      <w:bookmarkEnd w:id="2453"/>
      <w:bookmarkEnd w:id="2454"/>
      <w:bookmarkEnd w:id="2455"/>
      <w:bookmarkEnd w:id="2456"/>
      <w:bookmarkEnd w:id="2457"/>
      <w:bookmarkEnd w:id="2458"/>
    </w:p>
    <w:p w:rsidR="00565FD5" w:rsidRPr="004B3DE4" w:rsidRDefault="00565FD5" w:rsidP="00565FD5">
      <w:pPr>
        <w:spacing w:after="120"/>
        <w:ind w:firstLine="425"/>
        <w:rPr>
          <w:rFonts w:cs="Tahoma"/>
          <w:szCs w:val="18"/>
        </w:rPr>
      </w:pPr>
      <w:r w:rsidRPr="004B3DE4">
        <w:rPr>
          <w:rFonts w:cs="Tahoma"/>
          <w:szCs w:val="18"/>
        </w:rPr>
        <w:t xml:space="preserve">Düşünme, algılama ve problem çözme yeteneği gelişmiş, yeni fikirlere açık, özgüven ve sorumluluk duygusuna sahip, demokratik değerleri ve milli kültürü özümsemiş, farklı kültürleri yorumlayabilen, paylaşıma ve iletişime açık, sanat ve estetik duyguları güçlü, bilgi toplumu gereklerini haiz bireyler yetiştirmek temel amaçtır. </w:t>
      </w:r>
    </w:p>
    <w:p w:rsidR="00565FD5" w:rsidRPr="004B3DE4" w:rsidRDefault="00565FD5" w:rsidP="00565FD5">
      <w:pPr>
        <w:spacing w:after="120"/>
        <w:ind w:firstLine="425"/>
        <w:rPr>
          <w:rFonts w:cs="Tahoma"/>
          <w:szCs w:val="18"/>
        </w:rPr>
      </w:pPr>
      <w:r w:rsidRPr="004B3DE4">
        <w:rPr>
          <w:rFonts w:cs="Tahoma"/>
          <w:szCs w:val="18"/>
        </w:rPr>
        <w:t xml:space="preserve">Eğitim sisteminde kaliteyi yükselten bir dönüşüm programı uygulanacaktır. Eğitim yönetimi, öğretmen yetiştirme süreçleri, müfredat, eğitim ortam ve araçları bu dönüşüm sürecini destekleyecek şekilde güçlendirilecektir. </w:t>
      </w:r>
    </w:p>
    <w:p w:rsidR="00565FD5" w:rsidRPr="004B3DE4" w:rsidRDefault="00565FD5" w:rsidP="00565FD5">
      <w:pPr>
        <w:pStyle w:val="Balk4"/>
        <w:rPr>
          <w:noProof/>
          <w:lang w:val="en-US"/>
        </w:rPr>
      </w:pPr>
      <w:bookmarkStart w:id="2459" w:name="_Toc338494253"/>
      <w:bookmarkStart w:id="2460" w:name="_Toc338505624"/>
      <w:bookmarkStart w:id="2461" w:name="_Toc338523855"/>
      <w:bookmarkStart w:id="2462" w:name="_Toc338524086"/>
      <w:bookmarkStart w:id="2463" w:name="_Toc338526312"/>
      <w:bookmarkStart w:id="2464" w:name="_Toc338673755"/>
      <w:bookmarkStart w:id="2465" w:name="_Toc338711634"/>
      <w:r w:rsidRPr="004B3DE4">
        <w:rPr>
          <w:noProof/>
          <w:lang w:val="en-US"/>
        </w:rPr>
        <w:lastRenderedPageBreak/>
        <w:t>3. Politika Öncelikleri ve Tedbirler</w:t>
      </w:r>
      <w:bookmarkEnd w:id="2459"/>
      <w:bookmarkEnd w:id="2460"/>
      <w:bookmarkEnd w:id="2461"/>
      <w:bookmarkEnd w:id="2462"/>
      <w:bookmarkEnd w:id="2463"/>
      <w:bookmarkEnd w:id="2464"/>
      <w:bookmarkEnd w:id="2465"/>
    </w:p>
    <w:tbl>
      <w:tblPr>
        <w:tblW w:w="7144" w:type="dxa"/>
        <w:jc w:val="center"/>
        <w:tblCellMar>
          <w:left w:w="70" w:type="dxa"/>
          <w:right w:w="70" w:type="dxa"/>
        </w:tblCellMar>
        <w:tblLook w:val="00A0"/>
      </w:tblPr>
      <w:tblGrid>
        <w:gridCol w:w="2089"/>
        <w:gridCol w:w="1740"/>
        <w:gridCol w:w="567"/>
        <w:gridCol w:w="2748"/>
      </w:tblGrid>
      <w:tr w:rsidR="00565FD5" w:rsidRPr="004B3DE4" w:rsidTr="00AB62A3">
        <w:trPr>
          <w:trHeight w:hRule="exact" w:val="567"/>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vAlign w:val="bottom"/>
          </w:tcPr>
          <w:p w:rsidR="00565FD5" w:rsidRPr="004B3DE4" w:rsidRDefault="00565FD5" w:rsidP="00AB62A3">
            <w:pPr>
              <w:spacing w:before="80" w:after="80"/>
              <w:rPr>
                <w:rFonts w:cs="Tahoma"/>
                <w:b/>
                <w:bCs/>
                <w:color w:val="000000"/>
                <w:sz w:val="16"/>
                <w:szCs w:val="16"/>
                <w:lang w:eastAsia="tr-TR"/>
              </w:rPr>
            </w:pPr>
            <w:r w:rsidRPr="004B3DE4">
              <w:rPr>
                <w:rFonts w:cs="Tahoma"/>
                <w:b/>
                <w:bCs/>
                <w:color w:val="000000"/>
                <w:sz w:val="16"/>
                <w:szCs w:val="16"/>
                <w:lang w:eastAsia="tr-TR"/>
              </w:rPr>
              <w:t>Öncelik / Tedbir</w:t>
            </w:r>
          </w:p>
        </w:tc>
        <w:tc>
          <w:tcPr>
            <w:tcW w:w="1218" w:type="pct"/>
            <w:tcBorders>
              <w:top w:val="single" w:sz="4" w:space="0" w:color="auto"/>
              <w:left w:val="nil"/>
              <w:bottom w:val="single" w:sz="4" w:space="0" w:color="auto"/>
              <w:right w:val="single" w:sz="4" w:space="0" w:color="auto"/>
            </w:tcBorders>
            <w:shd w:val="clear" w:color="auto" w:fill="FFFFFF"/>
            <w:vAlign w:val="bottom"/>
          </w:tcPr>
          <w:p w:rsidR="00565FD5" w:rsidRPr="004B3DE4" w:rsidRDefault="00565FD5" w:rsidP="00AB62A3">
            <w:pPr>
              <w:spacing w:before="80" w:after="80"/>
              <w:rPr>
                <w:rFonts w:cs="Tahoma"/>
                <w:b/>
                <w:bCs/>
                <w:color w:val="000000"/>
                <w:sz w:val="16"/>
                <w:szCs w:val="16"/>
                <w:lang w:eastAsia="tr-TR"/>
              </w:rPr>
            </w:pPr>
            <w:r w:rsidRPr="004B3DE4">
              <w:rPr>
                <w:rFonts w:cs="Tahoma"/>
                <w:b/>
                <w:bCs/>
                <w:color w:val="000000"/>
                <w:sz w:val="16"/>
                <w:szCs w:val="16"/>
                <w:lang w:eastAsia="tr-TR"/>
              </w:rPr>
              <w:t>Sorumlu / İşbirliği Yapılacak uruluşlar</w:t>
            </w:r>
          </w:p>
        </w:tc>
        <w:tc>
          <w:tcPr>
            <w:tcW w:w="397" w:type="pct"/>
            <w:tcBorders>
              <w:top w:val="single" w:sz="4" w:space="0" w:color="auto"/>
              <w:left w:val="nil"/>
              <w:bottom w:val="single" w:sz="4" w:space="0" w:color="auto"/>
              <w:right w:val="single" w:sz="4" w:space="0" w:color="auto"/>
            </w:tcBorders>
            <w:shd w:val="clear" w:color="auto" w:fill="FFFFFF"/>
            <w:vAlign w:val="bottom"/>
          </w:tcPr>
          <w:p w:rsidR="00565FD5" w:rsidRPr="004B3DE4" w:rsidRDefault="00565FD5" w:rsidP="00AB62A3">
            <w:pPr>
              <w:spacing w:before="80" w:after="80"/>
              <w:rPr>
                <w:rFonts w:cs="Tahoma"/>
                <w:b/>
                <w:bCs/>
                <w:color w:val="000000"/>
                <w:sz w:val="16"/>
                <w:szCs w:val="16"/>
                <w:lang w:eastAsia="tr-TR"/>
              </w:rPr>
            </w:pPr>
            <w:r w:rsidRPr="004B3DE4">
              <w:rPr>
                <w:rFonts w:cs="Tahoma"/>
                <w:b/>
                <w:bCs/>
                <w:color w:val="000000"/>
                <w:sz w:val="16"/>
                <w:szCs w:val="16"/>
                <w:lang w:eastAsia="tr-TR"/>
              </w:rPr>
              <w:t>Süre</w:t>
            </w:r>
          </w:p>
        </w:tc>
        <w:tc>
          <w:tcPr>
            <w:tcW w:w="1923" w:type="pct"/>
            <w:tcBorders>
              <w:top w:val="single" w:sz="4" w:space="0" w:color="auto"/>
              <w:left w:val="nil"/>
              <w:bottom w:val="single" w:sz="4" w:space="0" w:color="auto"/>
              <w:right w:val="single" w:sz="4" w:space="0" w:color="auto"/>
            </w:tcBorders>
            <w:shd w:val="clear" w:color="auto" w:fill="FFFFFF"/>
            <w:vAlign w:val="bottom"/>
          </w:tcPr>
          <w:p w:rsidR="00565FD5" w:rsidRPr="004B3DE4" w:rsidRDefault="00565FD5" w:rsidP="00AB62A3">
            <w:pPr>
              <w:spacing w:before="80" w:after="80"/>
              <w:rPr>
                <w:rFonts w:cs="Tahoma"/>
                <w:b/>
                <w:bCs/>
                <w:color w:val="000000"/>
                <w:sz w:val="16"/>
                <w:szCs w:val="16"/>
                <w:lang w:eastAsia="tr-TR"/>
              </w:rPr>
            </w:pPr>
            <w:r w:rsidRPr="004B3DE4">
              <w:rPr>
                <w:rFonts w:cs="Tahoma"/>
                <w:b/>
                <w:bCs/>
                <w:color w:val="000000"/>
                <w:sz w:val="16"/>
                <w:szCs w:val="16"/>
                <w:lang w:eastAsia="tr-TR"/>
              </w:rPr>
              <w:t>Yapılacak İşlem ve Açıklama</w:t>
            </w:r>
          </w:p>
        </w:tc>
      </w:tr>
      <w:tr w:rsidR="00565FD5" w:rsidRPr="004B3DE4" w:rsidTr="00AB62A3">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vAlign w:val="bottom"/>
          </w:tcPr>
          <w:p w:rsidR="00565FD5" w:rsidRPr="004B3DE4" w:rsidRDefault="00565FD5" w:rsidP="00EB1E69">
            <w:pPr>
              <w:numPr>
                <w:ilvl w:val="0"/>
                <w:numId w:val="15"/>
              </w:numPr>
              <w:tabs>
                <w:tab w:val="left" w:pos="425"/>
              </w:tabs>
              <w:spacing w:before="20" w:after="20" w:line="240" w:lineRule="auto"/>
              <w:jc w:val="both"/>
              <w:rPr>
                <w:rFonts w:cs="Tahoma"/>
                <w:b/>
                <w:bCs/>
                <w:color w:val="000000"/>
                <w:sz w:val="16"/>
                <w:szCs w:val="16"/>
                <w:lang w:eastAsia="tr-TR"/>
              </w:rPr>
            </w:pPr>
            <w:r w:rsidRPr="004B3DE4">
              <w:rPr>
                <w:rFonts w:cs="Tahoma"/>
                <w:b/>
                <w:bCs/>
                <w:color w:val="000000"/>
                <w:sz w:val="16"/>
                <w:szCs w:val="16"/>
                <w:lang w:eastAsia="tr-TR"/>
              </w:rPr>
              <w:t>Okul türlerinin azaltıldığı, programlar arası esnek geçişlerin olduğu, etkin bir rehberlik ve yönlendirme hizmeti sunan ve öğrencilerin ruhsal ve fiziksel gelişimleri ile becerilerini artırmaya yönelik sportif, sanatsal ve kültürel aktiviteleri daha fazla içeren ve sınav odaklı olmayan bir müfredat dönüşüm programı uygulanacaktır.</w:t>
            </w:r>
          </w:p>
        </w:tc>
      </w:tr>
      <w:tr w:rsidR="00565FD5" w:rsidRPr="00D22ACA" w:rsidTr="00AB62A3">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t>Ortaöğretimde okullar arasındaki başarı farklılığını asgari düzeye indirmek amacıyla okul türleri azaltılacaktır.</w:t>
            </w:r>
          </w:p>
        </w:tc>
        <w:tc>
          <w:tcPr>
            <w:tcW w:w="1218" w:type="pct"/>
            <w:tcBorders>
              <w:top w:val="nil"/>
              <w:left w:val="nil"/>
              <w:bottom w:val="single" w:sz="4" w:space="0" w:color="auto"/>
              <w:right w:val="single" w:sz="4" w:space="0" w:color="auto"/>
            </w:tcBorders>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MEB (S), Maliye Bakanlığı</w:t>
            </w:r>
            <w:r w:rsidRPr="004B3DE4">
              <w:rPr>
                <w:rFonts w:cs="Tahoma"/>
                <w:color w:val="000000"/>
                <w:sz w:val="16"/>
                <w:szCs w:val="16"/>
                <w:lang w:eastAsia="tr-TR"/>
              </w:rPr>
              <w:br/>
            </w:r>
          </w:p>
        </w:tc>
        <w:tc>
          <w:tcPr>
            <w:tcW w:w="397" w:type="pct"/>
            <w:tcBorders>
              <w:top w:val="nil"/>
              <w:left w:val="nil"/>
              <w:bottom w:val="single" w:sz="4" w:space="0" w:color="auto"/>
              <w:right w:val="single" w:sz="4" w:space="0" w:color="auto"/>
            </w:tcBorders>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Genel ortaöğretim ve mesleki ve teknik ortaöğretim, okul türü yerine program çeşitliliğine göre yeniden yapılandırılacaktır. Bu yapılandırmada öğrencilerin sistemin dışına çıkmasını azaltacak şekilde farklı eğitim kademeleri arasındaki geçişlerin kolaylaştırıldığı, başarısızlıkların telafi edilebildiği, anlaşılır ve özendirici bir sistem yaklaşımı benimsenecektir.</w:t>
            </w:r>
          </w:p>
        </w:tc>
      </w:tr>
      <w:tr w:rsidR="00565FD5" w:rsidRPr="00D22ACA" w:rsidTr="00AB62A3">
        <w:trPr>
          <w:trHeight w:val="20"/>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t xml:space="preserve">İlk ve ortaöğretimdeki öğrenciler için yönlendirme faaliyetleri ve sosyal aktiviteler artırılacak, etkinleştirilecektir. </w:t>
            </w:r>
          </w:p>
        </w:tc>
        <w:tc>
          <w:tcPr>
            <w:tcW w:w="1218" w:type="pct"/>
            <w:tcBorders>
              <w:top w:val="single" w:sz="4" w:space="0" w:color="auto"/>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MEB (S), İŞKUR, TOBB, İşçi ve İşveren Sendikaları Konfederasyonları</w:t>
            </w:r>
          </w:p>
        </w:tc>
        <w:tc>
          <w:tcPr>
            <w:tcW w:w="397" w:type="pct"/>
            <w:tcBorders>
              <w:top w:val="single" w:sz="4" w:space="0" w:color="auto"/>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single" w:sz="4" w:space="0" w:color="auto"/>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Öğrencilerin ruhsal ve fiziksel gelişimleri ile becerilerini artırmaya yönelik sportif, sanatsal ve kültürel aktivitelere katılımı artırılacaktır. Ayrıca mesleklerin tanıtımı amacıyla iş yeri gezileri, kendi alanında uzman kişilerin okullarda öğrencileri bilgilendirmesi ve kariyer günleri etkinlikleri geliştirilecektir. Okul binaları kolay erişilebilir, yeterli oyun, spor ve kültürel alanlara sahip fonksiyonel mekânlar olarak inşa edilecektir.</w:t>
            </w:r>
          </w:p>
        </w:tc>
      </w:tr>
      <w:tr w:rsidR="00565FD5" w:rsidRPr="00D22ACA" w:rsidTr="00AB62A3">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t>İçerik ve işlevselliğin ön plana alındığı, çağın şartlarıyla uyumlu müfredatların hazırlanması ve güncellemelerin yapılması sağlanacaktır.</w:t>
            </w:r>
          </w:p>
        </w:tc>
        <w:tc>
          <w:tcPr>
            <w:tcW w:w="1218" w:type="pct"/>
            <w:tcBorders>
              <w:top w:val="nil"/>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MEB (S), TÜBİTAK, YÖK, Üniversiteler, STK’lar</w:t>
            </w:r>
          </w:p>
        </w:tc>
        <w:tc>
          <w:tcPr>
            <w:tcW w:w="397" w:type="pct"/>
            <w:tcBorders>
              <w:top w:val="nil"/>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Yenilikçiliği ve araştırmacılığı esas alan müfredat programları geliştirilecek ve ülke geneline yaygınlaştırılacaktır. Mevcut öğretim ve rehberlik programlarının içerikleri yenilenecek ve yeni derslerin öğretim programları hazırlanacaktır. İlk ve ortaöğretimdeki derslerin öğretim programlarını değerlendirme çalışmaları yürütülecektir.</w:t>
            </w:r>
          </w:p>
        </w:tc>
      </w:tr>
      <w:tr w:rsidR="00565FD5" w:rsidRPr="00D22ACA" w:rsidTr="00AB62A3">
        <w:trPr>
          <w:trHeight w:val="20"/>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t xml:space="preserve">Eğitim sistemi bireyin yeterliliklerini, farklı öğrenme yetisini merkeze alan, ölçme ve değerlendirmeye dayalı etkin bir rehberlik ve yönlendirme hizmeti sunan bir yapıya dönüştürülecektir. </w:t>
            </w:r>
          </w:p>
        </w:tc>
        <w:tc>
          <w:tcPr>
            <w:tcW w:w="1218" w:type="pct"/>
            <w:tcBorders>
              <w:top w:val="single" w:sz="4" w:space="0" w:color="auto"/>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MEB (S), Aile ve Sosyal Politikalar Bakanlığı, MYK, İŞ-KUR, DPB, Üniversiteler, STK’lar</w:t>
            </w:r>
          </w:p>
        </w:tc>
        <w:tc>
          <w:tcPr>
            <w:tcW w:w="397" w:type="pct"/>
            <w:tcBorders>
              <w:top w:val="single" w:sz="4" w:space="0" w:color="auto"/>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single" w:sz="4" w:space="0" w:color="auto"/>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 xml:space="preserve">Rehberlik ve araştırma merkezlerinde eğitsel değerlendirme ve tanılama hizmetlerinin niteliğini artırmak amacıyla ölçme ve değerlendirme araçları güncellenecektir. Psikolojik ölçme araçlarını kullanacak uzmanların niteliğini artırmak amacıyla hizmetiçi </w:t>
            </w:r>
            <w:r w:rsidRPr="00432A69">
              <w:rPr>
                <w:rFonts w:cs="Tahoma"/>
                <w:color w:val="000000"/>
                <w:sz w:val="16"/>
                <w:szCs w:val="16"/>
                <w:lang w:eastAsia="tr-TR"/>
              </w:rPr>
              <w:lastRenderedPageBreak/>
              <w:t>eğitim faaliyetleri gerçekleştirilecektir. Engellilere yönelik mesleki eğitim programları hazırlanacaktır. Üstün yetenekli bireylerin eğitimlerine yönelik farklı eğitim modelleri geliştirilecek ve uygulamaya konulacaktır.</w:t>
            </w:r>
          </w:p>
        </w:tc>
      </w:tr>
      <w:tr w:rsidR="00565FD5" w:rsidRPr="00D22ACA" w:rsidTr="00AB62A3">
        <w:trPr>
          <w:trHeight w:val="20"/>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lastRenderedPageBreak/>
              <w:t xml:space="preserve">Başta şiddet olmak üzere eğitim kurumlarında disiplin sorunlarının giderilmesine yönelik tedbirler artırılacaktır. </w:t>
            </w:r>
          </w:p>
        </w:tc>
        <w:tc>
          <w:tcPr>
            <w:tcW w:w="1218" w:type="pct"/>
            <w:tcBorders>
              <w:top w:val="single" w:sz="4" w:space="0" w:color="auto"/>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MEB (S), İçişleri Bakanlığı, Yerel Yönetimler, STK’lar</w:t>
            </w:r>
          </w:p>
        </w:tc>
        <w:tc>
          <w:tcPr>
            <w:tcW w:w="397" w:type="pct"/>
            <w:tcBorders>
              <w:top w:val="single" w:sz="4" w:space="0" w:color="auto"/>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single" w:sz="4" w:space="0" w:color="auto"/>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Okullarda öğrenciler kültür, sanat ve spor faaliyetlerine yönlendirilecek ve seçtikleri sosyal etkinlikleri yürütmek üzere eğitim materyalleriyle donatılmış çalışma alanları oluşturulacaktır. Eğitim kurumları yönetici ve öğretmenleri şiddet ve şiddete kaynaklık eden hususlarda hizmet içi eğitimlerden geçirilecektir. Eğitim alanlarında güvenlik önlemleri artırılacaktır.</w:t>
            </w:r>
          </w:p>
        </w:tc>
      </w:tr>
      <w:tr w:rsidR="00565FD5" w:rsidRPr="004B3DE4" w:rsidTr="00AB62A3">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vAlign w:val="bottom"/>
          </w:tcPr>
          <w:p w:rsidR="00565FD5" w:rsidRPr="004B3DE4" w:rsidRDefault="00565FD5" w:rsidP="00EB1E69">
            <w:pPr>
              <w:numPr>
                <w:ilvl w:val="0"/>
                <w:numId w:val="15"/>
              </w:numPr>
              <w:tabs>
                <w:tab w:val="left" w:pos="425"/>
              </w:tabs>
              <w:spacing w:after="0" w:line="240" w:lineRule="auto"/>
              <w:jc w:val="both"/>
              <w:rPr>
                <w:rFonts w:cs="Tahoma"/>
                <w:b/>
                <w:color w:val="000000"/>
                <w:sz w:val="16"/>
                <w:szCs w:val="16"/>
                <w:lang w:eastAsia="tr-TR"/>
              </w:rPr>
            </w:pPr>
            <w:r w:rsidRPr="004B3DE4">
              <w:rPr>
                <w:rFonts w:cs="Tahoma"/>
                <w:b/>
                <w:color w:val="000000"/>
                <w:sz w:val="16"/>
                <w:szCs w:val="16"/>
                <w:lang w:eastAsia="tr-TR"/>
              </w:rPr>
              <w:t>Öğretmen yetiştirme ve geliştirme sistemi, öğretmen ve öğrenci yeterliliklerini esas alan bir performans sistemini de içerecek şekilde yeniden yapılandırılacaktır.</w:t>
            </w:r>
          </w:p>
        </w:tc>
      </w:tr>
      <w:tr w:rsidR="00565FD5" w:rsidRPr="00D22ACA" w:rsidTr="00AB62A3">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t>Öğretmen istihdamına ilişkin strateji ve politika belgesi hazırlanacak ve uygulanmaya başlanacaktır.</w:t>
            </w:r>
          </w:p>
        </w:tc>
        <w:tc>
          <w:tcPr>
            <w:tcW w:w="1218" w:type="pct"/>
            <w:tcBorders>
              <w:top w:val="nil"/>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MEB (S), Maliye Bakanlığı, Devlet Personel Başkanlığı, YÖK, Üniversiteler</w:t>
            </w:r>
          </w:p>
        </w:tc>
        <w:tc>
          <w:tcPr>
            <w:tcW w:w="397" w:type="pct"/>
            <w:tcBorders>
              <w:top w:val="nil"/>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Öğretmen istihdamına ilişkin strateji ve politika belgesi hazırlanacaktır. Eğitim fakültelerinin kontenjanları ülkenin gelecekte ihtiyaç duyacağı branşlara ve öğretmen sayısına göre belirlenecektir. Öğretmenlerin atamalarında bölgeler itibarıyla öğretmen ihtiyacının dikkate alındığı teşvik edici bir yaklaşım benimsenecektir.</w:t>
            </w:r>
          </w:p>
        </w:tc>
      </w:tr>
      <w:tr w:rsidR="00565FD5" w:rsidRPr="00D22ACA" w:rsidTr="00AB62A3">
        <w:trPr>
          <w:trHeight w:val="20"/>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t>Öğretmenlere ve okul yöneticilerine yönelik hizmet içi eğitimlerin sayısı ve etkinliği artırılacaktır.</w:t>
            </w:r>
          </w:p>
        </w:tc>
        <w:tc>
          <w:tcPr>
            <w:tcW w:w="1218" w:type="pct"/>
            <w:tcBorders>
              <w:top w:val="single" w:sz="4" w:space="0" w:color="auto"/>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MEB (S), Maliye Bakanlığı,</w:t>
            </w:r>
            <w:r w:rsidRPr="00432A69">
              <w:rPr>
                <w:rFonts w:cs="Tahoma"/>
                <w:color w:val="000000"/>
                <w:sz w:val="16"/>
                <w:szCs w:val="16"/>
                <w:lang w:eastAsia="tr-TR"/>
              </w:rPr>
              <w:br/>
              <w:t xml:space="preserve">Üniversiteler, İşçi ve İşveren Sendikaları Konfederasyonları </w:t>
            </w:r>
          </w:p>
        </w:tc>
        <w:tc>
          <w:tcPr>
            <w:tcW w:w="397" w:type="pct"/>
            <w:tcBorders>
              <w:top w:val="single" w:sz="4" w:space="0" w:color="auto"/>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single" w:sz="4" w:space="0" w:color="auto"/>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sidDel="00FA3586">
              <w:rPr>
                <w:rFonts w:cs="Tahoma"/>
                <w:color w:val="000000"/>
                <w:sz w:val="16"/>
                <w:szCs w:val="16"/>
                <w:lang w:eastAsia="tr-TR"/>
              </w:rPr>
              <w:t xml:space="preserve">Yenilenen müfredatlara uygun </w:t>
            </w:r>
            <w:r w:rsidRPr="00432A69">
              <w:rPr>
                <w:rFonts w:cs="Tahoma"/>
                <w:color w:val="000000"/>
                <w:sz w:val="16"/>
                <w:szCs w:val="16"/>
                <w:lang w:eastAsia="tr-TR"/>
              </w:rPr>
              <w:t>olacak şekilde yönetici, öğretmen ve diğer personelin yeterlik alanlarını esas alan ve sorumluluğuna verilecek görevleri en uygun şekliyle yapmasını sağlayacak bilgi ve beceriyi kazandıran etkin bir hizmetiçi eğitim sistemi kurulacak ve düzenlenen seminer ve kursların niteliği artırılacaktır. Bu modelin tasarımında eğitim ihtiyacının belirlenmesi, eğitim ve öğretim dönemi dışındaki zamanların etkin kullanımı, eğitimlere ait etki analizlerinin yapılması, öğretmen ve öğrenci yeterliliklerinin değerlendirilmesi temel ilkeler olacaktır.</w:t>
            </w:r>
          </w:p>
        </w:tc>
      </w:tr>
      <w:tr w:rsidR="00565FD5" w:rsidRPr="004B3DE4" w:rsidTr="00AB62A3">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vAlign w:val="bottom"/>
          </w:tcPr>
          <w:p w:rsidR="00565FD5" w:rsidRPr="004B3DE4" w:rsidRDefault="00565FD5" w:rsidP="00EB1E69">
            <w:pPr>
              <w:numPr>
                <w:ilvl w:val="0"/>
                <w:numId w:val="15"/>
              </w:numPr>
              <w:tabs>
                <w:tab w:val="left" w:pos="425"/>
              </w:tabs>
              <w:spacing w:after="0" w:line="240" w:lineRule="auto"/>
              <w:jc w:val="both"/>
              <w:rPr>
                <w:rFonts w:cs="Tahoma"/>
                <w:b/>
                <w:color w:val="000000"/>
                <w:sz w:val="16"/>
                <w:szCs w:val="16"/>
                <w:lang w:eastAsia="tr-TR"/>
              </w:rPr>
            </w:pPr>
            <w:r w:rsidRPr="004B3DE4">
              <w:rPr>
                <w:rFonts w:cs="Tahoma"/>
                <w:b/>
                <w:color w:val="000000"/>
                <w:sz w:val="16"/>
                <w:szCs w:val="16"/>
                <w:lang w:eastAsia="tr-TR"/>
              </w:rPr>
              <w:t>Eğitimde kalite, rekabet ve verimliliği artırmaya yönelik olarak okulları merkeze alan bir idari yapılanma ve bütçe sistemine geçilecektir.</w:t>
            </w:r>
          </w:p>
        </w:tc>
      </w:tr>
      <w:tr w:rsidR="00565FD5" w:rsidRPr="00441D58" w:rsidTr="00AB62A3">
        <w:trPr>
          <w:trHeight w:val="20"/>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tcPr>
          <w:p w:rsidR="00565FD5" w:rsidRPr="004B3DE4" w:rsidRDefault="00565FD5" w:rsidP="00EB1E69">
            <w:pPr>
              <w:numPr>
                <w:ilvl w:val="0"/>
                <w:numId w:val="14"/>
              </w:numPr>
              <w:tabs>
                <w:tab w:val="left" w:pos="425"/>
              </w:tabs>
              <w:spacing w:before="40" w:after="40" w:line="240" w:lineRule="auto"/>
              <w:rPr>
                <w:rFonts w:cs="Tahoma"/>
                <w:color w:val="000000"/>
                <w:sz w:val="16"/>
                <w:szCs w:val="16"/>
                <w:lang w:eastAsia="tr-TR"/>
              </w:rPr>
            </w:pPr>
            <w:r w:rsidRPr="004B3DE4">
              <w:rPr>
                <w:rFonts w:cs="Tahoma"/>
                <w:color w:val="000000"/>
                <w:sz w:val="16"/>
                <w:szCs w:val="16"/>
                <w:lang w:eastAsia="tr-TR"/>
              </w:rPr>
              <w:t xml:space="preserve">Eğitim </w:t>
            </w:r>
            <w:r w:rsidRPr="004B3DE4">
              <w:rPr>
                <w:rFonts w:cs="Tahoma"/>
                <w:color w:val="000000"/>
                <w:sz w:val="16"/>
                <w:szCs w:val="16"/>
                <w:lang w:eastAsia="tr-TR"/>
              </w:rPr>
              <w:lastRenderedPageBreak/>
              <w:t>hizmetlerinin sunumunda Bakanlık bünyesindeki il, ilçe ve okul yönetimlerinin yetki ve sorumlulukları artırılacaktır.</w:t>
            </w:r>
          </w:p>
        </w:tc>
        <w:tc>
          <w:tcPr>
            <w:tcW w:w="1218" w:type="pct"/>
            <w:tcBorders>
              <w:top w:val="single" w:sz="4" w:space="0" w:color="auto"/>
              <w:left w:val="nil"/>
              <w:bottom w:val="single" w:sz="4" w:space="0" w:color="auto"/>
              <w:right w:val="single" w:sz="4" w:space="0" w:color="auto"/>
            </w:tcBorders>
            <w:shd w:val="clear" w:color="auto" w:fill="FFFFFF"/>
          </w:tcPr>
          <w:p w:rsidR="00565FD5" w:rsidRPr="00432A69" w:rsidRDefault="00565FD5" w:rsidP="00AB62A3">
            <w:pPr>
              <w:spacing w:before="40" w:after="40"/>
              <w:rPr>
                <w:rFonts w:cs="Tahoma"/>
                <w:color w:val="000000"/>
                <w:sz w:val="16"/>
                <w:szCs w:val="16"/>
                <w:lang w:eastAsia="tr-TR"/>
              </w:rPr>
            </w:pPr>
            <w:r w:rsidRPr="00432A69">
              <w:rPr>
                <w:rFonts w:cs="Tahoma"/>
                <w:color w:val="000000"/>
                <w:sz w:val="16"/>
                <w:szCs w:val="16"/>
                <w:lang w:eastAsia="tr-TR"/>
              </w:rPr>
              <w:lastRenderedPageBreak/>
              <w:t xml:space="preserve">MEB (S), Maliye </w:t>
            </w:r>
            <w:r w:rsidRPr="00432A69">
              <w:rPr>
                <w:rFonts w:cs="Tahoma"/>
                <w:color w:val="000000"/>
                <w:sz w:val="16"/>
                <w:szCs w:val="16"/>
                <w:lang w:eastAsia="tr-TR"/>
              </w:rPr>
              <w:lastRenderedPageBreak/>
              <w:t>Bakanlığı, İçişleri Bakanlığı, Kalkınma Bakanlığı, Yerel Yönetimler</w:t>
            </w:r>
          </w:p>
        </w:tc>
        <w:tc>
          <w:tcPr>
            <w:tcW w:w="397" w:type="pct"/>
            <w:tcBorders>
              <w:top w:val="single" w:sz="4" w:space="0" w:color="auto"/>
              <w:left w:val="nil"/>
              <w:bottom w:val="single" w:sz="4" w:space="0" w:color="auto"/>
              <w:right w:val="single" w:sz="4" w:space="0" w:color="auto"/>
            </w:tcBorders>
            <w:shd w:val="clear" w:color="auto" w:fill="FFFFFF"/>
          </w:tcPr>
          <w:p w:rsidR="00565FD5" w:rsidRPr="00432A69" w:rsidRDefault="00565FD5" w:rsidP="00AB62A3">
            <w:pPr>
              <w:spacing w:before="40" w:after="40"/>
              <w:rPr>
                <w:rFonts w:cs="Tahoma"/>
                <w:color w:val="000000"/>
                <w:sz w:val="16"/>
                <w:szCs w:val="16"/>
                <w:lang w:eastAsia="tr-TR"/>
              </w:rPr>
            </w:pPr>
            <w:r w:rsidRPr="00432A69">
              <w:rPr>
                <w:rFonts w:cs="Tahoma"/>
                <w:color w:val="000000"/>
                <w:sz w:val="16"/>
                <w:szCs w:val="16"/>
                <w:lang w:eastAsia="tr-TR"/>
              </w:rPr>
              <w:lastRenderedPageBreak/>
              <w:t xml:space="preserve">Aralık </w:t>
            </w:r>
            <w:r w:rsidRPr="00432A69">
              <w:rPr>
                <w:rFonts w:cs="Tahoma"/>
                <w:color w:val="000000"/>
                <w:sz w:val="16"/>
                <w:szCs w:val="16"/>
                <w:lang w:eastAsia="tr-TR"/>
              </w:rPr>
              <w:lastRenderedPageBreak/>
              <w:t>Sonu</w:t>
            </w:r>
          </w:p>
        </w:tc>
        <w:tc>
          <w:tcPr>
            <w:tcW w:w="1923" w:type="pct"/>
            <w:tcBorders>
              <w:top w:val="single" w:sz="4" w:space="0" w:color="auto"/>
              <w:left w:val="nil"/>
              <w:bottom w:val="single" w:sz="4" w:space="0" w:color="auto"/>
              <w:right w:val="single" w:sz="4" w:space="0" w:color="auto"/>
            </w:tcBorders>
            <w:shd w:val="clear" w:color="auto" w:fill="FFFFFF"/>
          </w:tcPr>
          <w:p w:rsidR="00565FD5" w:rsidRPr="00432A69" w:rsidRDefault="00565FD5" w:rsidP="00AB62A3">
            <w:pPr>
              <w:spacing w:before="40" w:after="40"/>
              <w:rPr>
                <w:rFonts w:cs="Tahoma"/>
                <w:color w:val="000000"/>
                <w:sz w:val="16"/>
                <w:szCs w:val="16"/>
                <w:lang w:eastAsia="tr-TR"/>
              </w:rPr>
            </w:pPr>
            <w:r w:rsidRPr="00432A69">
              <w:rPr>
                <w:rFonts w:cs="Tahoma"/>
                <w:color w:val="000000"/>
                <w:sz w:val="16"/>
                <w:szCs w:val="16"/>
                <w:lang w:eastAsia="tr-TR"/>
              </w:rPr>
              <w:lastRenderedPageBreak/>
              <w:t xml:space="preserve">Bakanlık bünyesindeki il, ilçe ve okul </w:t>
            </w:r>
            <w:r w:rsidRPr="00432A69">
              <w:rPr>
                <w:rFonts w:cs="Tahoma"/>
                <w:color w:val="000000"/>
                <w:sz w:val="16"/>
                <w:szCs w:val="16"/>
                <w:lang w:eastAsia="tr-TR"/>
              </w:rPr>
              <w:lastRenderedPageBreak/>
              <w:t xml:space="preserve">yönetimlerinin mali ve idari konularda yetki ve sorumlulukları artırılarak verimlilik ilkeleri çerçevesinde, önceden belirlenmiş performans göstergeleriyle ölçülebilir bir yapı oluşturulacaktır. Gerekli denetim ve kontrol mekanizmaları tasarlanarak rekabetçi bir ortam sağlanacaktır. </w:t>
            </w:r>
          </w:p>
        </w:tc>
      </w:tr>
      <w:tr w:rsidR="00565FD5" w:rsidRPr="00441D58" w:rsidTr="00AB62A3">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565FD5" w:rsidRPr="004B3DE4" w:rsidRDefault="00565FD5" w:rsidP="00EB1E69">
            <w:pPr>
              <w:numPr>
                <w:ilvl w:val="0"/>
                <w:numId w:val="14"/>
              </w:numPr>
              <w:tabs>
                <w:tab w:val="left" w:pos="425"/>
              </w:tabs>
              <w:spacing w:before="40" w:after="40" w:line="240" w:lineRule="auto"/>
              <w:rPr>
                <w:rFonts w:cs="Tahoma"/>
                <w:color w:val="000000"/>
                <w:sz w:val="16"/>
                <w:szCs w:val="16"/>
                <w:lang w:eastAsia="tr-TR"/>
              </w:rPr>
            </w:pPr>
            <w:r w:rsidRPr="004B3DE4">
              <w:rPr>
                <w:rFonts w:cs="Tahoma"/>
                <w:color w:val="000000"/>
                <w:sz w:val="16"/>
                <w:szCs w:val="16"/>
                <w:lang w:eastAsia="tr-TR"/>
              </w:rPr>
              <w:lastRenderedPageBreak/>
              <w:t>Temel eğitim kademelerinde kalite güvence sistemi kurulacaktır.</w:t>
            </w:r>
          </w:p>
        </w:tc>
        <w:tc>
          <w:tcPr>
            <w:tcW w:w="1218" w:type="pct"/>
            <w:tcBorders>
              <w:top w:val="nil"/>
              <w:left w:val="nil"/>
              <w:bottom w:val="single" w:sz="4" w:space="0" w:color="auto"/>
              <w:right w:val="single" w:sz="4" w:space="0" w:color="auto"/>
            </w:tcBorders>
            <w:shd w:val="clear" w:color="auto" w:fill="FFFFFF"/>
          </w:tcPr>
          <w:p w:rsidR="00565FD5" w:rsidRPr="00432A69" w:rsidRDefault="00565FD5" w:rsidP="00AB62A3">
            <w:pPr>
              <w:spacing w:before="40" w:after="40"/>
              <w:rPr>
                <w:rFonts w:cs="Tahoma"/>
                <w:color w:val="000000"/>
                <w:sz w:val="16"/>
                <w:szCs w:val="16"/>
                <w:lang w:eastAsia="tr-TR"/>
              </w:rPr>
            </w:pPr>
            <w:r w:rsidRPr="00432A69">
              <w:rPr>
                <w:rFonts w:cs="Tahoma"/>
                <w:color w:val="000000"/>
                <w:sz w:val="16"/>
                <w:szCs w:val="16"/>
                <w:lang w:eastAsia="tr-TR"/>
              </w:rPr>
              <w:t>MEB (S), YÖK, Üniversiteler, MYK, TÜRKAK, STK’lar</w:t>
            </w:r>
          </w:p>
        </w:tc>
        <w:tc>
          <w:tcPr>
            <w:tcW w:w="397" w:type="pct"/>
            <w:tcBorders>
              <w:top w:val="nil"/>
              <w:left w:val="nil"/>
              <w:bottom w:val="single" w:sz="4" w:space="0" w:color="auto"/>
              <w:right w:val="single" w:sz="4" w:space="0" w:color="auto"/>
            </w:tcBorders>
            <w:shd w:val="clear" w:color="auto" w:fill="FFFFFF"/>
          </w:tcPr>
          <w:p w:rsidR="00565FD5" w:rsidRPr="00432A69" w:rsidRDefault="00565FD5" w:rsidP="00AB62A3">
            <w:pPr>
              <w:spacing w:before="40" w:after="40"/>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565FD5" w:rsidRPr="00432A69" w:rsidRDefault="00565FD5" w:rsidP="00AB62A3">
            <w:pPr>
              <w:spacing w:before="40" w:after="40"/>
              <w:rPr>
                <w:rFonts w:cs="Tahoma"/>
                <w:color w:val="000000"/>
                <w:sz w:val="16"/>
                <w:szCs w:val="16"/>
                <w:lang w:eastAsia="tr-TR"/>
              </w:rPr>
            </w:pPr>
            <w:r w:rsidRPr="00432A69">
              <w:rPr>
                <w:rFonts w:cs="Tahoma"/>
                <w:color w:val="000000"/>
                <w:sz w:val="16"/>
                <w:szCs w:val="16"/>
                <w:lang w:eastAsia="tr-TR"/>
              </w:rPr>
              <w:t>Eğitim sisteminde kalite güvence sisteminin temel kriterleri ve göstergeleri belirlenecek ve konuya ilişkin teknolojik altyapı geliştirilecektir. Sonuç ve performans odaklı, öğretmen, yönetici, müfettiş yeterlilikleri tanımlanacak, yeterlilikler artırılacaktır. Sistem konusunda merkez ve taşra teşkilatından belirlenecek personele eğitim verilecektir. Kalite Güvence Sisteminde belli puanı geçen okul/kurumlara Kalite Beratı verilecektir.</w:t>
            </w:r>
          </w:p>
        </w:tc>
      </w:tr>
      <w:tr w:rsidR="00565FD5" w:rsidRPr="00441D58" w:rsidTr="00AB62A3">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565FD5" w:rsidRPr="004B3DE4" w:rsidRDefault="00565FD5" w:rsidP="00EB1E69">
            <w:pPr>
              <w:numPr>
                <w:ilvl w:val="0"/>
                <w:numId w:val="14"/>
              </w:numPr>
              <w:tabs>
                <w:tab w:val="left" w:pos="425"/>
              </w:tabs>
              <w:spacing w:before="40" w:after="40" w:line="240" w:lineRule="auto"/>
              <w:rPr>
                <w:rFonts w:cs="Tahoma"/>
                <w:color w:val="000000"/>
                <w:sz w:val="16"/>
                <w:szCs w:val="16"/>
                <w:lang w:eastAsia="tr-TR"/>
              </w:rPr>
            </w:pPr>
            <w:r w:rsidRPr="004B3DE4">
              <w:rPr>
                <w:rFonts w:cs="Tahoma"/>
                <w:color w:val="000000"/>
                <w:sz w:val="16"/>
                <w:szCs w:val="16"/>
                <w:lang w:eastAsia="tr-TR"/>
              </w:rPr>
              <w:t>Okullara ve eğitim kurumlarına yönelik rehberlik ve denetim faaliyetleri yaygınlaştırılacak, okul ve kurumların performansları izlenecektir.</w:t>
            </w:r>
          </w:p>
        </w:tc>
        <w:tc>
          <w:tcPr>
            <w:tcW w:w="1218" w:type="pct"/>
            <w:tcBorders>
              <w:top w:val="nil"/>
              <w:left w:val="nil"/>
              <w:bottom w:val="single" w:sz="4" w:space="0" w:color="auto"/>
              <w:right w:val="single" w:sz="4" w:space="0" w:color="auto"/>
            </w:tcBorders>
            <w:shd w:val="clear" w:color="auto" w:fill="FFFFFF"/>
          </w:tcPr>
          <w:p w:rsidR="00565FD5" w:rsidRPr="00432A69" w:rsidRDefault="00565FD5" w:rsidP="00AB62A3">
            <w:pPr>
              <w:spacing w:before="40" w:after="40"/>
              <w:rPr>
                <w:rFonts w:cs="Tahoma"/>
                <w:color w:val="000000"/>
                <w:sz w:val="16"/>
                <w:szCs w:val="16"/>
                <w:lang w:eastAsia="tr-TR"/>
              </w:rPr>
            </w:pPr>
            <w:r w:rsidRPr="00432A69">
              <w:rPr>
                <w:rFonts w:cs="Tahoma"/>
                <w:color w:val="000000"/>
                <w:sz w:val="16"/>
                <w:szCs w:val="16"/>
                <w:lang w:eastAsia="tr-TR"/>
              </w:rPr>
              <w:t>MEB (S), Maliye Bakanlığı, TÜBİTAK</w:t>
            </w:r>
          </w:p>
        </w:tc>
        <w:tc>
          <w:tcPr>
            <w:tcW w:w="397" w:type="pct"/>
            <w:tcBorders>
              <w:top w:val="nil"/>
              <w:left w:val="nil"/>
              <w:bottom w:val="single" w:sz="4" w:space="0" w:color="auto"/>
              <w:right w:val="single" w:sz="4" w:space="0" w:color="auto"/>
            </w:tcBorders>
            <w:shd w:val="clear" w:color="auto" w:fill="FFFFFF"/>
          </w:tcPr>
          <w:p w:rsidR="00565FD5" w:rsidRPr="00432A69" w:rsidRDefault="00565FD5" w:rsidP="00AB62A3">
            <w:pPr>
              <w:spacing w:before="40" w:after="40"/>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565FD5" w:rsidRPr="00432A69" w:rsidRDefault="00565FD5" w:rsidP="00AB62A3">
            <w:pPr>
              <w:spacing w:before="40" w:after="40"/>
              <w:rPr>
                <w:rFonts w:cs="Tahoma"/>
                <w:color w:val="000000"/>
                <w:sz w:val="16"/>
                <w:szCs w:val="16"/>
                <w:lang w:eastAsia="tr-TR"/>
              </w:rPr>
            </w:pPr>
            <w:r w:rsidRPr="00432A69">
              <w:rPr>
                <w:rFonts w:cs="Tahoma"/>
                <w:color w:val="000000"/>
                <w:sz w:val="16"/>
                <w:szCs w:val="16"/>
                <w:lang w:eastAsia="tr-TR"/>
              </w:rPr>
              <w:t>Rehberlik ve denetim faaliyetleri çoklu veri kaynaklarının algılanmalarına dayalı ve e-denetim destekli yürütülecektir. Eğitimin kalitesinin artırılması amacıyla okul ve eğitim kurumlarının hizmet standartları belirlenecek, Performans Yönetim Sistemi kurulacaktır.</w:t>
            </w:r>
          </w:p>
        </w:tc>
      </w:tr>
      <w:tr w:rsidR="00565FD5" w:rsidRPr="00441D58" w:rsidTr="00AB62A3">
        <w:trPr>
          <w:trHeight w:val="20"/>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t>Türkiye'de Eğitimin Finansmanı ve Eğitim Harcamaları Bilgi Yönetim Sisteminin (TEFBİS) etkin şekilde kullanımı sağlanacaktır.</w:t>
            </w:r>
          </w:p>
        </w:tc>
        <w:tc>
          <w:tcPr>
            <w:tcW w:w="1218" w:type="pct"/>
            <w:tcBorders>
              <w:top w:val="single" w:sz="4" w:space="0" w:color="auto"/>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MEB (S), Maliye Bakanlığı, Kalkınma Bakanlığı, TÜİK</w:t>
            </w:r>
          </w:p>
        </w:tc>
        <w:tc>
          <w:tcPr>
            <w:tcW w:w="397" w:type="pct"/>
            <w:tcBorders>
              <w:top w:val="single" w:sz="4" w:space="0" w:color="auto"/>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single" w:sz="4" w:space="0" w:color="auto"/>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 xml:space="preserve">TEFBİS projesiyle ulusal ve uluslararası platformlarda kullanılabilecek eğitim kurumlarına yapılan eğitim harcamaları, öğrenci maliyetleri, eğitim kurumlarına ve öğrencilere yapılan yardımlar gibi ihtiyaç duyulan istatistikî bilgiler ile hanehalkı eğitim harcamaları sistematik olarak tespit edilecek ve yayınlanacaktır. Okullar arasındaki imkân farklılıklarının azaltılması için okulların toplam bütçelerinin öğrenci sayısı ve merkezi yönetim bütçesi dışındaki gelirler de dikkate alınarak yeniden düzenlenmesi sağlanacaktır. </w:t>
            </w:r>
          </w:p>
        </w:tc>
      </w:tr>
      <w:tr w:rsidR="00565FD5" w:rsidRPr="004B3DE4" w:rsidTr="00AB62A3">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vAlign w:val="bottom"/>
          </w:tcPr>
          <w:p w:rsidR="00565FD5" w:rsidRPr="004B3DE4" w:rsidRDefault="00565FD5" w:rsidP="00EB1E69">
            <w:pPr>
              <w:numPr>
                <w:ilvl w:val="0"/>
                <w:numId w:val="15"/>
              </w:numPr>
              <w:tabs>
                <w:tab w:val="left" w:pos="425"/>
              </w:tabs>
              <w:spacing w:before="80" w:after="80" w:line="240" w:lineRule="auto"/>
              <w:jc w:val="both"/>
              <w:rPr>
                <w:rFonts w:cs="Tahoma"/>
                <w:b/>
                <w:color w:val="000000"/>
                <w:sz w:val="16"/>
                <w:szCs w:val="16"/>
                <w:lang w:eastAsia="tr-TR"/>
              </w:rPr>
            </w:pPr>
            <w:r w:rsidRPr="004B3DE4">
              <w:rPr>
                <w:rFonts w:cs="Tahoma"/>
                <w:b/>
                <w:color w:val="000000"/>
                <w:sz w:val="16"/>
                <w:szCs w:val="16"/>
                <w:lang w:eastAsia="tr-TR"/>
              </w:rPr>
              <w:t>Eğitimin tüm kademelerinde okullaşma oranları artırılacak, donanım ve fiziki altyapı geliştirilecek, bilgi ve iletişim teknolojileri etkin bir şekilde kullanılacak, eğitime erişim bölgeler ve cinsiyet itibarıyla daha dengeli bir yapıya kavuşturulacaktır.</w:t>
            </w:r>
          </w:p>
        </w:tc>
      </w:tr>
      <w:tr w:rsidR="00565FD5" w:rsidRPr="00441D58" w:rsidTr="00AB62A3">
        <w:trPr>
          <w:trHeight w:val="20"/>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t xml:space="preserve">Okul öncesi </w:t>
            </w:r>
            <w:r w:rsidRPr="004B3DE4">
              <w:rPr>
                <w:rFonts w:cs="Tahoma"/>
                <w:color w:val="000000"/>
                <w:sz w:val="16"/>
                <w:szCs w:val="16"/>
                <w:lang w:eastAsia="tr-TR"/>
              </w:rPr>
              <w:lastRenderedPageBreak/>
              <w:t>eğitim kurumları yaygınlaştırılacaktır.</w:t>
            </w:r>
          </w:p>
        </w:tc>
        <w:tc>
          <w:tcPr>
            <w:tcW w:w="1218" w:type="pct"/>
            <w:tcBorders>
              <w:top w:val="single" w:sz="4" w:space="0" w:color="auto"/>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lastRenderedPageBreak/>
              <w:t xml:space="preserve">MEB (S), Aile ve Sosyal </w:t>
            </w:r>
            <w:r w:rsidRPr="00432A69">
              <w:rPr>
                <w:rFonts w:cs="Tahoma"/>
                <w:color w:val="000000"/>
                <w:sz w:val="16"/>
                <w:szCs w:val="16"/>
                <w:lang w:eastAsia="tr-TR"/>
              </w:rPr>
              <w:lastRenderedPageBreak/>
              <w:t>Politikalar Bakanlığı, Kalkınma Bakanlığı, Maliye Bakanlığı</w:t>
            </w:r>
          </w:p>
        </w:tc>
        <w:tc>
          <w:tcPr>
            <w:tcW w:w="397" w:type="pct"/>
            <w:tcBorders>
              <w:top w:val="single" w:sz="4" w:space="0" w:color="auto"/>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lastRenderedPageBreak/>
              <w:t xml:space="preserve">Aralık </w:t>
            </w:r>
            <w:r w:rsidRPr="00432A69">
              <w:rPr>
                <w:rFonts w:cs="Tahoma"/>
                <w:color w:val="000000"/>
                <w:sz w:val="16"/>
                <w:szCs w:val="16"/>
                <w:lang w:eastAsia="tr-TR"/>
              </w:rPr>
              <w:lastRenderedPageBreak/>
              <w:t>Sonu</w:t>
            </w:r>
          </w:p>
        </w:tc>
        <w:tc>
          <w:tcPr>
            <w:tcW w:w="1923" w:type="pct"/>
            <w:tcBorders>
              <w:top w:val="single" w:sz="4" w:space="0" w:color="auto"/>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lastRenderedPageBreak/>
              <w:t xml:space="preserve">36-60 aylık çocuklar ile ilkokula kayıt </w:t>
            </w:r>
            <w:r w:rsidRPr="00432A69">
              <w:rPr>
                <w:rFonts w:cs="Tahoma"/>
                <w:color w:val="000000"/>
                <w:sz w:val="16"/>
                <w:szCs w:val="16"/>
                <w:lang w:eastAsia="tr-TR"/>
              </w:rPr>
              <w:lastRenderedPageBreak/>
              <w:t>olmamış 60-72 aylık çocukların okul öncesi eğitime kazandırılması amacıyla bölgeler arasındaki farklar da dikkate alınarak gerekli fiziki altyapı sağlanacaktır.</w:t>
            </w:r>
          </w:p>
        </w:tc>
      </w:tr>
      <w:tr w:rsidR="00565FD5" w:rsidRPr="00441D58" w:rsidTr="00AB62A3">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lastRenderedPageBreak/>
              <w:t xml:space="preserve">Zorunlu eğitime devam etmeyen çocuklar eğitime kazandırılacak, kademeler arası geçiş oranları artırılacaktır. </w:t>
            </w:r>
          </w:p>
        </w:tc>
        <w:tc>
          <w:tcPr>
            <w:tcW w:w="1218" w:type="pct"/>
            <w:tcBorders>
              <w:top w:val="nil"/>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MEB (S), Maliye Bakanlığı, İçişleri Bakanlığı, Aile ve Sosyal Politikalar Bakanlığı, TÜİK, Yerel Yönetimler, STK’lar</w:t>
            </w:r>
          </w:p>
        </w:tc>
        <w:tc>
          <w:tcPr>
            <w:tcW w:w="397" w:type="pct"/>
            <w:tcBorders>
              <w:top w:val="nil"/>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565FD5" w:rsidRPr="00432A69" w:rsidRDefault="00565FD5" w:rsidP="00AB62A3">
            <w:pPr>
              <w:spacing w:before="80" w:after="80"/>
              <w:rPr>
                <w:rFonts w:cs="Tahoma"/>
                <w:color w:val="000000"/>
                <w:sz w:val="16"/>
                <w:szCs w:val="16"/>
                <w:lang w:eastAsia="tr-TR"/>
              </w:rPr>
            </w:pPr>
            <w:r w:rsidRPr="00432A69">
              <w:rPr>
                <w:rFonts w:cs="Tahoma"/>
                <w:color w:val="000000"/>
                <w:sz w:val="16"/>
                <w:szCs w:val="16"/>
                <w:lang w:eastAsia="tr-TR"/>
              </w:rPr>
              <w:t>Aşamalı Devamsızlık Yönetimi</w:t>
            </w:r>
            <w:r w:rsidRPr="00432A69" w:rsidDel="00AA6AB4">
              <w:rPr>
                <w:rFonts w:cs="Tahoma"/>
                <w:color w:val="000000"/>
                <w:sz w:val="16"/>
                <w:szCs w:val="16"/>
                <w:lang w:eastAsia="tr-TR"/>
              </w:rPr>
              <w:t xml:space="preserve"> </w:t>
            </w:r>
            <w:r w:rsidRPr="00432A69">
              <w:rPr>
                <w:rFonts w:cs="Tahoma"/>
                <w:color w:val="000000"/>
                <w:sz w:val="16"/>
                <w:szCs w:val="16"/>
                <w:lang w:eastAsia="tr-TR"/>
              </w:rPr>
              <w:t xml:space="preserve">Sistemi (ADEY) ortaöğretim kurumlarını da kapsayacak şekilde genişletilecek, bu doğrultuda okul yönetimlerinin kapasiteleri güçlendirilecektir. Devam ve erişim konusunda il durum raporları hazırlanarak analiz edilecektir. Ortaöğretimde derslik başına düşen öğrenci sayısının yüksek ve okullaşma oranlarının düşük olduğu illerde derslik yapımı için ayrılan kaynak artırılacaktır. Özellikle kız çocukları için pansiyon yapımına ağırlık verilerek kademeler arası geçiş oranları artırılacaktır. </w:t>
            </w:r>
          </w:p>
        </w:tc>
      </w:tr>
      <w:tr w:rsidR="00565FD5" w:rsidRPr="00441D58" w:rsidTr="00AB62A3">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t xml:space="preserve">Okul öncesi, ilköğretim ve ortaöğretimde yerleşim yerleri itibarıyla fiziki altyapı ve donanım dağılımının dengeli olmasına yönelik orta vadeli bir yatırım planı hazırlanacaktır.  </w:t>
            </w:r>
          </w:p>
        </w:tc>
        <w:tc>
          <w:tcPr>
            <w:tcW w:w="1218" w:type="pct"/>
            <w:tcBorders>
              <w:top w:val="nil"/>
              <w:left w:val="nil"/>
              <w:bottom w:val="single" w:sz="4" w:space="0" w:color="auto"/>
              <w:right w:val="single" w:sz="4" w:space="0" w:color="auto"/>
            </w:tcBorders>
            <w:shd w:val="clear" w:color="auto" w:fill="FFFFFF"/>
          </w:tcPr>
          <w:p w:rsidR="00565FD5" w:rsidRPr="00441D58" w:rsidRDefault="00565FD5" w:rsidP="00AB62A3">
            <w:pPr>
              <w:spacing w:before="80" w:after="80"/>
              <w:rPr>
                <w:rFonts w:cs="Tahoma"/>
                <w:color w:val="000000"/>
                <w:sz w:val="16"/>
                <w:szCs w:val="16"/>
                <w:lang w:eastAsia="tr-TR"/>
              </w:rPr>
            </w:pPr>
            <w:r w:rsidRPr="00441D58">
              <w:rPr>
                <w:rFonts w:cs="Tahoma"/>
                <w:color w:val="000000"/>
                <w:sz w:val="16"/>
                <w:szCs w:val="16"/>
                <w:lang w:eastAsia="tr-TR"/>
              </w:rPr>
              <w:t xml:space="preserve">MEB (S), Kalkınma Bakanlığı, Maliye Bakanlığı, Çevre ve Şehircilik Bakanlığı, İçişleri Bakanlığı, Yerel Yönetimler </w:t>
            </w:r>
          </w:p>
        </w:tc>
        <w:tc>
          <w:tcPr>
            <w:tcW w:w="397" w:type="pct"/>
            <w:tcBorders>
              <w:top w:val="nil"/>
              <w:left w:val="nil"/>
              <w:bottom w:val="single" w:sz="4" w:space="0" w:color="auto"/>
              <w:right w:val="single" w:sz="4" w:space="0" w:color="auto"/>
            </w:tcBorders>
            <w:shd w:val="clear" w:color="auto" w:fill="FFFFFF"/>
          </w:tcPr>
          <w:p w:rsidR="00565FD5" w:rsidRPr="00441D58" w:rsidRDefault="00565FD5" w:rsidP="00AB62A3">
            <w:pPr>
              <w:spacing w:before="80" w:after="80"/>
              <w:rPr>
                <w:rFonts w:cs="Tahoma"/>
                <w:color w:val="000000"/>
                <w:sz w:val="16"/>
                <w:szCs w:val="16"/>
                <w:lang w:eastAsia="tr-TR"/>
              </w:rPr>
            </w:pPr>
            <w:r w:rsidRPr="00441D58">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565FD5" w:rsidRPr="00441D58" w:rsidRDefault="00565FD5" w:rsidP="00AB62A3">
            <w:pPr>
              <w:spacing w:before="80" w:after="80"/>
              <w:rPr>
                <w:rFonts w:cs="Tahoma"/>
                <w:color w:val="000000"/>
                <w:sz w:val="16"/>
                <w:szCs w:val="16"/>
                <w:lang w:eastAsia="tr-TR"/>
              </w:rPr>
            </w:pPr>
            <w:r w:rsidRPr="00441D58">
              <w:rPr>
                <w:rFonts w:cs="Tahoma"/>
                <w:color w:val="000000"/>
                <w:sz w:val="16"/>
                <w:szCs w:val="16"/>
                <w:lang w:eastAsia="tr-TR"/>
              </w:rPr>
              <w:t xml:space="preserve">Derslik başına düşen öğrenci sayısı ve okullaşma oranları açısından Türkiye ortalamasının gerisinde olan illerin, Türkiye ortalamasına yaklaştırılması amacıyla kaynak kullanımına yön verecek beş yıllık orta vadeli yatırım planı hazırlanacaktır. Bu plan kapsamında yatırım ödeneklerinin dağılımında iller arasında önceliklendirme yapılacaktır. </w:t>
            </w:r>
          </w:p>
        </w:tc>
      </w:tr>
      <w:tr w:rsidR="00565FD5" w:rsidRPr="00441D58" w:rsidTr="00AB62A3">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t>FATİH projesi ülke geneline kademeli olarak yaygınlaştırılacaktır.</w:t>
            </w:r>
          </w:p>
        </w:tc>
        <w:tc>
          <w:tcPr>
            <w:tcW w:w="1218" w:type="pct"/>
            <w:tcBorders>
              <w:top w:val="nil"/>
              <w:left w:val="nil"/>
              <w:bottom w:val="single" w:sz="4" w:space="0" w:color="auto"/>
              <w:right w:val="single" w:sz="4" w:space="0" w:color="auto"/>
            </w:tcBorders>
            <w:shd w:val="clear" w:color="auto" w:fill="FFFFFF"/>
          </w:tcPr>
          <w:p w:rsidR="00565FD5" w:rsidRPr="00441D58" w:rsidRDefault="00565FD5" w:rsidP="00AB62A3">
            <w:pPr>
              <w:spacing w:before="80" w:after="80"/>
              <w:rPr>
                <w:rFonts w:cs="Tahoma"/>
                <w:color w:val="000000"/>
                <w:sz w:val="16"/>
                <w:szCs w:val="16"/>
                <w:lang w:eastAsia="tr-TR"/>
              </w:rPr>
            </w:pPr>
            <w:r w:rsidRPr="00441D58">
              <w:rPr>
                <w:rFonts w:cs="Tahoma"/>
                <w:color w:val="000000"/>
                <w:sz w:val="16"/>
                <w:szCs w:val="16"/>
                <w:lang w:eastAsia="tr-TR"/>
              </w:rPr>
              <w:t>MEB (S), Ulaştırma, Denizcilik ve Haberleşme Bakanlığı, Kalkınma Bakanlığı, Maliye Bakanlığı, Ekonomi Bakanlığı, Bilim, Sanayi ve Teknoloji Bakanlığı, TÜBİTAK</w:t>
            </w:r>
          </w:p>
        </w:tc>
        <w:tc>
          <w:tcPr>
            <w:tcW w:w="397" w:type="pct"/>
            <w:tcBorders>
              <w:top w:val="nil"/>
              <w:left w:val="nil"/>
              <w:bottom w:val="single" w:sz="4" w:space="0" w:color="auto"/>
              <w:right w:val="single" w:sz="4" w:space="0" w:color="auto"/>
            </w:tcBorders>
            <w:shd w:val="clear" w:color="auto" w:fill="FFFFFF"/>
          </w:tcPr>
          <w:p w:rsidR="00565FD5" w:rsidRPr="00441D58" w:rsidRDefault="00565FD5" w:rsidP="00AB62A3">
            <w:pPr>
              <w:spacing w:before="80" w:after="80"/>
              <w:rPr>
                <w:rFonts w:cs="Tahoma"/>
                <w:color w:val="000000"/>
                <w:sz w:val="16"/>
                <w:szCs w:val="16"/>
                <w:lang w:eastAsia="tr-TR"/>
              </w:rPr>
            </w:pPr>
            <w:r w:rsidRPr="00441D58">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565FD5" w:rsidRPr="00441D58" w:rsidRDefault="00565FD5" w:rsidP="00AB62A3">
            <w:pPr>
              <w:spacing w:before="80" w:after="80"/>
              <w:rPr>
                <w:rFonts w:cs="Tahoma"/>
                <w:color w:val="000000"/>
                <w:sz w:val="16"/>
                <w:szCs w:val="16"/>
                <w:lang w:eastAsia="tr-TR"/>
              </w:rPr>
            </w:pPr>
            <w:r w:rsidRPr="00441D58">
              <w:rPr>
                <w:rFonts w:cs="Tahoma"/>
                <w:color w:val="000000"/>
                <w:sz w:val="16"/>
                <w:szCs w:val="16"/>
                <w:lang w:eastAsia="tr-TR"/>
              </w:rPr>
              <w:t xml:space="preserve">BT destekli öğretimin gerçekleştirilmesi çerçevesinde donanım ve yazılım altyapısının iyileştirilmesi, eğitime yönelik </w:t>
            </w:r>
            <w:r>
              <w:rPr>
                <w:rFonts w:cs="Tahoma"/>
                <w:color w:val="000000"/>
                <w:sz w:val="16"/>
                <w:szCs w:val="16"/>
                <w:lang w:eastAsia="tr-TR"/>
              </w:rPr>
              <w:t xml:space="preserve">        </w:t>
            </w:r>
            <w:r w:rsidRPr="00441D58">
              <w:rPr>
                <w:rFonts w:cs="Tahoma"/>
                <w:color w:val="000000"/>
                <w:sz w:val="16"/>
                <w:szCs w:val="16"/>
                <w:lang w:eastAsia="tr-TR"/>
              </w:rPr>
              <w:t xml:space="preserve">e-içeriğin sağlanması ve yönetilmesi, öğretim programlarında etkin BT kullanımı, öğretmenlerin hizmet içi eğitimi, bilinçli ve güvenli BT kullanımı ülke geneline yaygınlaştırılacaktır. </w:t>
            </w:r>
          </w:p>
        </w:tc>
      </w:tr>
      <w:tr w:rsidR="00565FD5" w:rsidRPr="00441D58" w:rsidTr="00AB62A3">
        <w:trPr>
          <w:trHeight w:val="20"/>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t>Yurt ihtiyacının karşılanması ve kredi-burs imkânlarının iyileştirilmesine yönelik düzenlemeler yapılacaktır.</w:t>
            </w:r>
          </w:p>
        </w:tc>
        <w:tc>
          <w:tcPr>
            <w:tcW w:w="1218" w:type="pct"/>
            <w:tcBorders>
              <w:top w:val="single" w:sz="4" w:space="0" w:color="auto"/>
              <w:left w:val="nil"/>
              <w:bottom w:val="single" w:sz="4" w:space="0" w:color="auto"/>
              <w:right w:val="single" w:sz="4" w:space="0" w:color="auto"/>
            </w:tcBorders>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 xml:space="preserve">YURTKUR (S), Maliye Bakanlığı, Çevre ve Şehircilik Bakanlığı, Kalkınma Bakanlığı, Hazine Müsteşarlığı, YÖK, TOKİ </w:t>
            </w:r>
          </w:p>
        </w:tc>
        <w:tc>
          <w:tcPr>
            <w:tcW w:w="397" w:type="pct"/>
            <w:tcBorders>
              <w:top w:val="single" w:sz="4" w:space="0" w:color="auto"/>
              <w:left w:val="nil"/>
              <w:bottom w:val="single" w:sz="4" w:space="0" w:color="auto"/>
              <w:right w:val="single" w:sz="4" w:space="0" w:color="auto"/>
            </w:tcBorders>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Aralık Sonu</w:t>
            </w:r>
          </w:p>
        </w:tc>
        <w:tc>
          <w:tcPr>
            <w:tcW w:w="1923" w:type="pct"/>
            <w:tcBorders>
              <w:top w:val="single" w:sz="4" w:space="0" w:color="auto"/>
              <w:left w:val="nil"/>
              <w:bottom w:val="single" w:sz="4" w:space="0" w:color="auto"/>
              <w:right w:val="single" w:sz="4" w:space="0" w:color="auto"/>
            </w:tcBorders>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 xml:space="preserve">YURTKUR’un kurumsal kapasitesi güçlendirilerek; yurt yapım ve yönetiminde kamu-özel ortaklığı modelinin uygulanabilirliğine ve öğrencilere sağlanan kredi-burs imkanlarının finans sektörüyle yapılacak işbirliği çerçevesinde çeşitlendirilmesine </w:t>
            </w:r>
            <w:r w:rsidRPr="004B3DE4">
              <w:rPr>
                <w:rFonts w:cs="Tahoma"/>
                <w:color w:val="000000"/>
                <w:sz w:val="16"/>
                <w:szCs w:val="16"/>
                <w:lang w:eastAsia="tr-TR"/>
              </w:rPr>
              <w:lastRenderedPageBreak/>
              <w:t>yönelik düzenlemeler yapılacaktır.</w:t>
            </w:r>
          </w:p>
        </w:tc>
      </w:tr>
      <w:tr w:rsidR="00565FD5" w:rsidRPr="004B3DE4" w:rsidTr="00AB62A3">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vAlign w:val="bottom"/>
          </w:tcPr>
          <w:p w:rsidR="00565FD5" w:rsidRPr="004B3DE4" w:rsidRDefault="00565FD5" w:rsidP="00EB1E69">
            <w:pPr>
              <w:numPr>
                <w:ilvl w:val="0"/>
                <w:numId w:val="15"/>
              </w:numPr>
              <w:tabs>
                <w:tab w:val="left" w:pos="425"/>
              </w:tabs>
              <w:spacing w:before="80" w:after="80" w:line="240" w:lineRule="auto"/>
              <w:jc w:val="both"/>
              <w:rPr>
                <w:rFonts w:cs="Tahoma"/>
                <w:b/>
                <w:color w:val="000000"/>
                <w:sz w:val="16"/>
                <w:szCs w:val="16"/>
                <w:lang w:eastAsia="tr-TR"/>
              </w:rPr>
            </w:pPr>
            <w:r w:rsidRPr="004B3DE4">
              <w:rPr>
                <w:rFonts w:cs="Tahoma"/>
                <w:b/>
                <w:color w:val="000000"/>
                <w:sz w:val="16"/>
                <w:szCs w:val="16"/>
                <w:lang w:eastAsia="tr-TR"/>
              </w:rPr>
              <w:lastRenderedPageBreak/>
              <w:t>Eğitimin her kademesinde alternatif finansman modelleri geliştirilecek, özel sektörün eğitim yatırımları kalite odaklı bir anlayışla teşvik edilecektir.</w:t>
            </w:r>
          </w:p>
        </w:tc>
      </w:tr>
      <w:tr w:rsidR="00565FD5" w:rsidRPr="00441D58" w:rsidTr="00AB62A3">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t>Eğitimin yaygınlaştırılmasında merkezi idarenin yanı sıra mahalli idarelerin, gönüllü kuruluşların ve özel sektörün katkısı artırılacaktır.</w:t>
            </w:r>
          </w:p>
        </w:tc>
        <w:tc>
          <w:tcPr>
            <w:tcW w:w="1218" w:type="pct"/>
            <w:tcBorders>
              <w:top w:val="nil"/>
              <w:left w:val="nil"/>
              <w:bottom w:val="single" w:sz="4" w:space="0" w:color="auto"/>
              <w:right w:val="single" w:sz="4" w:space="0" w:color="auto"/>
            </w:tcBorders>
            <w:shd w:val="clear" w:color="auto" w:fill="FFFFFF"/>
          </w:tcPr>
          <w:p w:rsidR="00565FD5" w:rsidRPr="00441D58" w:rsidRDefault="00565FD5" w:rsidP="00AB62A3">
            <w:pPr>
              <w:spacing w:before="80" w:after="80"/>
              <w:rPr>
                <w:rFonts w:cs="Tahoma"/>
                <w:color w:val="000000"/>
                <w:sz w:val="16"/>
                <w:szCs w:val="16"/>
                <w:lang w:eastAsia="tr-TR"/>
              </w:rPr>
            </w:pPr>
            <w:r w:rsidRPr="00441D58">
              <w:rPr>
                <w:rFonts w:cs="Tahoma"/>
                <w:color w:val="000000"/>
                <w:sz w:val="16"/>
                <w:szCs w:val="16"/>
                <w:lang w:eastAsia="tr-TR"/>
              </w:rPr>
              <w:t>MEB (S), Maliye Bakanlığı, Kalkınma Bakanlığı, Hazine Müsteşarlığı, YÖK, SPK, YURTKUR, BDDK, Türkiye Bankalar Birliği, Finans Kuruluşları</w:t>
            </w:r>
          </w:p>
        </w:tc>
        <w:tc>
          <w:tcPr>
            <w:tcW w:w="397" w:type="pct"/>
            <w:tcBorders>
              <w:top w:val="nil"/>
              <w:left w:val="nil"/>
              <w:bottom w:val="single" w:sz="4" w:space="0" w:color="auto"/>
              <w:right w:val="single" w:sz="4" w:space="0" w:color="auto"/>
            </w:tcBorders>
            <w:shd w:val="clear" w:color="auto" w:fill="FFFFFF"/>
          </w:tcPr>
          <w:p w:rsidR="00565FD5" w:rsidRPr="00441D58" w:rsidRDefault="00565FD5" w:rsidP="00AB62A3">
            <w:pPr>
              <w:spacing w:before="80" w:after="80"/>
              <w:rPr>
                <w:rFonts w:cs="Tahoma"/>
                <w:color w:val="000000"/>
                <w:sz w:val="16"/>
                <w:szCs w:val="16"/>
                <w:lang w:eastAsia="tr-TR"/>
              </w:rPr>
            </w:pPr>
            <w:r w:rsidRPr="00441D58">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565FD5" w:rsidRPr="00441D58" w:rsidRDefault="00565FD5" w:rsidP="00AB62A3">
            <w:pPr>
              <w:spacing w:before="80" w:after="80"/>
              <w:rPr>
                <w:rFonts w:cs="Tahoma"/>
                <w:color w:val="000000"/>
                <w:sz w:val="16"/>
                <w:szCs w:val="16"/>
                <w:lang w:eastAsia="tr-TR"/>
              </w:rPr>
            </w:pPr>
            <w:r w:rsidRPr="00441D58">
              <w:rPr>
                <w:rFonts w:cs="Tahoma"/>
                <w:color w:val="000000"/>
                <w:sz w:val="16"/>
                <w:szCs w:val="16"/>
                <w:lang w:eastAsia="tr-TR"/>
              </w:rPr>
              <w:t xml:space="preserve">Özel okulların eğitim hizmetleri sunumundaki payı artırılacaktır. </w:t>
            </w:r>
          </w:p>
          <w:p w:rsidR="00565FD5" w:rsidRPr="00441D58" w:rsidRDefault="00565FD5" w:rsidP="00AB62A3">
            <w:pPr>
              <w:spacing w:before="80" w:after="80"/>
              <w:rPr>
                <w:rFonts w:cs="Tahoma"/>
                <w:color w:val="000000"/>
                <w:sz w:val="16"/>
                <w:szCs w:val="16"/>
                <w:lang w:eastAsia="tr-TR"/>
              </w:rPr>
            </w:pPr>
            <w:r w:rsidRPr="00441D58">
              <w:rPr>
                <w:rFonts w:cs="Tahoma"/>
                <w:color w:val="000000"/>
                <w:sz w:val="16"/>
                <w:szCs w:val="16"/>
                <w:lang w:eastAsia="tr-TR"/>
              </w:rPr>
              <w:t xml:space="preserve">Özel okullarda öğrenim gören öğrencilere devlet tarafından sağlanacak öğrenci başına eğitim-öğretim </w:t>
            </w:r>
            <w:r>
              <w:rPr>
                <w:rFonts w:cs="Tahoma"/>
                <w:color w:val="000000"/>
                <w:sz w:val="16"/>
                <w:szCs w:val="16"/>
                <w:lang w:eastAsia="tr-TR"/>
              </w:rPr>
              <w:t xml:space="preserve">desteğine yönelik çalışmalar yapılacaktır. </w:t>
            </w:r>
            <w:r w:rsidRPr="00441D58">
              <w:rPr>
                <w:rFonts w:cs="Tahoma"/>
                <w:color w:val="000000"/>
                <w:sz w:val="16"/>
                <w:szCs w:val="16"/>
                <w:lang w:eastAsia="tr-TR"/>
              </w:rPr>
              <w:t xml:space="preserve"> </w:t>
            </w:r>
          </w:p>
        </w:tc>
      </w:tr>
      <w:tr w:rsidR="00565FD5" w:rsidRPr="004B3DE4" w:rsidTr="00AB62A3">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vAlign w:val="bottom"/>
          </w:tcPr>
          <w:p w:rsidR="00565FD5" w:rsidRPr="004B3DE4" w:rsidRDefault="00565FD5" w:rsidP="00EB1E69">
            <w:pPr>
              <w:numPr>
                <w:ilvl w:val="0"/>
                <w:numId w:val="15"/>
              </w:numPr>
              <w:tabs>
                <w:tab w:val="left" w:pos="425"/>
              </w:tabs>
              <w:spacing w:before="80" w:after="80" w:line="240" w:lineRule="auto"/>
              <w:jc w:val="both"/>
              <w:rPr>
                <w:rFonts w:cs="Tahoma"/>
                <w:b/>
                <w:color w:val="000000"/>
                <w:sz w:val="16"/>
                <w:szCs w:val="16"/>
                <w:lang w:eastAsia="tr-TR"/>
              </w:rPr>
            </w:pPr>
            <w:r w:rsidRPr="004B3DE4">
              <w:rPr>
                <w:rFonts w:cs="Tahoma"/>
                <w:b/>
                <w:color w:val="000000"/>
                <w:sz w:val="16"/>
                <w:szCs w:val="16"/>
                <w:lang w:eastAsia="tr-TR"/>
              </w:rPr>
              <w:t>Orta ve yükseköğretimde öğrenci ve öğretim elemanı değişimi ve hareketliliğini yaygınlaştırıp artırmaya yönelik uluslararası programlar ile yabancı öğrenci ve bilim insanlarının ülkemizdeki eğitim ve öğretim faaliyetlerine katılımını artırmaya yönelik gerekli düzenlemeler yapılacaktır.</w:t>
            </w:r>
          </w:p>
        </w:tc>
      </w:tr>
      <w:tr w:rsidR="00565FD5" w:rsidRPr="00441D58" w:rsidTr="00AB62A3">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t>Avrupa Birliği Eğitim ve Gençlik Programları Başkanlığının (Ulusal Ajans) görev ve yetkileri yeniden düzenlenecektir.</w:t>
            </w:r>
          </w:p>
        </w:tc>
        <w:tc>
          <w:tcPr>
            <w:tcW w:w="1218" w:type="pct"/>
            <w:tcBorders>
              <w:top w:val="nil"/>
              <w:left w:val="nil"/>
              <w:bottom w:val="single" w:sz="4" w:space="0" w:color="auto"/>
              <w:right w:val="single" w:sz="4" w:space="0" w:color="auto"/>
            </w:tcBorders>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Avrupa Birliği Bakanlığı (S), MEB, Dışişleri Bakanlığı, YÖK, Üniversiteler</w:t>
            </w:r>
          </w:p>
        </w:tc>
        <w:tc>
          <w:tcPr>
            <w:tcW w:w="397" w:type="pct"/>
            <w:tcBorders>
              <w:top w:val="nil"/>
              <w:left w:val="nil"/>
              <w:bottom w:val="single" w:sz="4" w:space="0" w:color="auto"/>
              <w:right w:val="single" w:sz="4" w:space="0" w:color="auto"/>
            </w:tcBorders>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Ulusal Ajansın idari yapısının yeniden düzenlenerek AB ülkeleri haricindeki ülkelerle halen yürütülmekte olan eğitim ve gençlik programlarının benzerlerinin yürütmesine imkan tanıyan kanun tasarısının yasalaşmasına yönelik çalışmalar tamamlanacaktır.</w:t>
            </w:r>
          </w:p>
        </w:tc>
      </w:tr>
      <w:tr w:rsidR="00565FD5" w:rsidRPr="004B3DE4" w:rsidTr="00AB62A3">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vAlign w:val="bottom"/>
          </w:tcPr>
          <w:p w:rsidR="00565FD5" w:rsidRPr="004B3DE4" w:rsidRDefault="00565FD5" w:rsidP="00EB1E69">
            <w:pPr>
              <w:numPr>
                <w:ilvl w:val="0"/>
                <w:numId w:val="15"/>
              </w:numPr>
              <w:tabs>
                <w:tab w:val="left" w:pos="425"/>
              </w:tabs>
              <w:spacing w:before="80" w:after="80" w:line="240" w:lineRule="auto"/>
              <w:jc w:val="both"/>
              <w:rPr>
                <w:rFonts w:cs="Tahoma"/>
                <w:b/>
                <w:color w:val="000000"/>
                <w:sz w:val="16"/>
                <w:szCs w:val="16"/>
                <w:lang w:eastAsia="tr-TR"/>
              </w:rPr>
            </w:pPr>
            <w:r w:rsidRPr="004B3DE4">
              <w:rPr>
                <w:rFonts w:cs="Tahoma"/>
                <w:b/>
                <w:color w:val="000000"/>
                <w:sz w:val="16"/>
                <w:szCs w:val="16"/>
                <w:lang w:eastAsia="tr-TR"/>
              </w:rPr>
              <w:t>YÖK, üniversiteler arasında koordinasyon sağlayan ve kalite standartları belirleyerek denetleyen bir kurum haline dönüştürülecek, üniversitelerin şeffaflık ve hesap verebilirlik ilkeleri doğrultusunda idari ve mali özerklikleri artırılmak suretiyle yükseköğretim sisteminin rekabetçi bir yapıya kavuşması sağlanacaktır.</w:t>
            </w:r>
          </w:p>
        </w:tc>
      </w:tr>
      <w:tr w:rsidR="00565FD5" w:rsidRPr="00441D58" w:rsidTr="00AB62A3">
        <w:trPr>
          <w:trHeight w:val="20"/>
          <w:jc w:val="center"/>
        </w:trPr>
        <w:tc>
          <w:tcPr>
            <w:tcW w:w="1462" w:type="pct"/>
            <w:tcBorders>
              <w:top w:val="nil"/>
              <w:left w:val="single" w:sz="4" w:space="0" w:color="auto"/>
              <w:bottom w:val="single" w:sz="4" w:space="0" w:color="auto"/>
              <w:right w:val="single" w:sz="4" w:space="0" w:color="auto"/>
            </w:tcBorders>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t>Yükseköğretim sisteminin yeniden yapılandırılmasına yönelik hazırlık çalışmaları tamamlanacaktır.</w:t>
            </w:r>
          </w:p>
        </w:tc>
        <w:tc>
          <w:tcPr>
            <w:tcW w:w="1218" w:type="pct"/>
            <w:tcBorders>
              <w:top w:val="nil"/>
              <w:left w:val="nil"/>
              <w:bottom w:val="single" w:sz="4" w:space="0" w:color="auto"/>
              <w:right w:val="single" w:sz="4" w:space="0" w:color="auto"/>
            </w:tcBorders>
            <w:shd w:val="clear" w:color="auto" w:fill="FFFFFF"/>
          </w:tcPr>
          <w:p w:rsidR="00565FD5" w:rsidRPr="00441D58" w:rsidRDefault="00565FD5" w:rsidP="00AB62A3">
            <w:pPr>
              <w:spacing w:before="80" w:after="80"/>
              <w:rPr>
                <w:rFonts w:cs="Tahoma"/>
                <w:color w:val="000000"/>
                <w:sz w:val="16"/>
                <w:szCs w:val="16"/>
                <w:lang w:eastAsia="tr-TR"/>
              </w:rPr>
            </w:pPr>
            <w:r w:rsidRPr="00441D58">
              <w:rPr>
                <w:rFonts w:cs="Tahoma"/>
                <w:color w:val="000000"/>
                <w:sz w:val="16"/>
                <w:szCs w:val="16"/>
                <w:lang w:eastAsia="tr-TR"/>
              </w:rPr>
              <w:t>YÖK (S), MEB, Maliye Bakanlığı, Kalkınma Bakanlığı, TÜBİTAK, DPB, Üniversiteler, STK’lar</w:t>
            </w:r>
          </w:p>
        </w:tc>
        <w:tc>
          <w:tcPr>
            <w:tcW w:w="397" w:type="pct"/>
            <w:tcBorders>
              <w:top w:val="nil"/>
              <w:left w:val="nil"/>
              <w:bottom w:val="single" w:sz="4" w:space="0" w:color="auto"/>
              <w:right w:val="single" w:sz="4" w:space="0" w:color="auto"/>
            </w:tcBorders>
            <w:shd w:val="clear" w:color="auto" w:fill="FFFFFF"/>
          </w:tcPr>
          <w:p w:rsidR="00565FD5" w:rsidRPr="00441D58" w:rsidRDefault="00565FD5" w:rsidP="00AB62A3">
            <w:pPr>
              <w:spacing w:before="80" w:after="80"/>
              <w:rPr>
                <w:rFonts w:cs="Tahoma"/>
                <w:color w:val="000000"/>
                <w:sz w:val="16"/>
                <w:szCs w:val="16"/>
                <w:lang w:eastAsia="tr-TR"/>
              </w:rPr>
            </w:pPr>
            <w:r w:rsidRPr="00441D58">
              <w:rPr>
                <w:rFonts w:cs="Tahoma"/>
                <w:color w:val="000000"/>
                <w:sz w:val="16"/>
                <w:szCs w:val="16"/>
                <w:lang w:eastAsia="tr-TR"/>
              </w:rPr>
              <w:t>Aralık Sonu</w:t>
            </w:r>
          </w:p>
        </w:tc>
        <w:tc>
          <w:tcPr>
            <w:tcW w:w="1923" w:type="pct"/>
            <w:tcBorders>
              <w:top w:val="nil"/>
              <w:left w:val="nil"/>
              <w:bottom w:val="single" w:sz="4" w:space="0" w:color="auto"/>
              <w:right w:val="single" w:sz="4" w:space="0" w:color="auto"/>
            </w:tcBorders>
            <w:shd w:val="clear" w:color="auto" w:fill="FFFFFF"/>
          </w:tcPr>
          <w:p w:rsidR="00565FD5" w:rsidRPr="00441D58" w:rsidRDefault="00565FD5" w:rsidP="00AB62A3">
            <w:pPr>
              <w:spacing w:before="80" w:after="80"/>
              <w:rPr>
                <w:rFonts w:cs="Tahoma"/>
                <w:color w:val="000000"/>
                <w:sz w:val="16"/>
                <w:szCs w:val="16"/>
                <w:lang w:eastAsia="tr-TR"/>
              </w:rPr>
            </w:pPr>
            <w:r w:rsidRPr="00441D58">
              <w:rPr>
                <w:rFonts w:cs="Tahoma"/>
                <w:color w:val="000000"/>
                <w:sz w:val="16"/>
                <w:szCs w:val="16"/>
                <w:lang w:eastAsia="tr-TR"/>
              </w:rPr>
              <w:t>YÖK’ün düzenleme, yönlendirme, koordinasyon, planlama ve denetimden sorumlu bir yapıya dönüştürülmesine ve kurumsal kapasitesinin uzmanlığı esas alacak şekilde geliştirilmesine, üniversitelerin idari ve mali açıdan özerk ve hesap verebilir hale getirilmesine yönelik çalışmalar yapılacaktır.</w:t>
            </w:r>
          </w:p>
        </w:tc>
      </w:tr>
      <w:tr w:rsidR="00565FD5" w:rsidRPr="00441D58" w:rsidTr="00AB62A3">
        <w:trPr>
          <w:trHeight w:val="20"/>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t>Üniversitelerin uzmanlaşacakları alanları belirlemeye yönelik bir strateji hazırlanacaktır.</w:t>
            </w:r>
          </w:p>
        </w:tc>
        <w:tc>
          <w:tcPr>
            <w:tcW w:w="1218" w:type="pct"/>
            <w:tcBorders>
              <w:top w:val="single" w:sz="4" w:space="0" w:color="auto"/>
              <w:left w:val="nil"/>
              <w:bottom w:val="single" w:sz="4" w:space="0" w:color="auto"/>
              <w:right w:val="single" w:sz="4" w:space="0" w:color="auto"/>
            </w:tcBorders>
            <w:shd w:val="clear" w:color="auto" w:fill="FFFFFF"/>
          </w:tcPr>
          <w:p w:rsidR="00565FD5" w:rsidRPr="00441D58" w:rsidRDefault="00565FD5" w:rsidP="00AB62A3">
            <w:pPr>
              <w:spacing w:before="80" w:after="80"/>
              <w:rPr>
                <w:rFonts w:cs="Tahoma"/>
                <w:color w:val="000000"/>
                <w:sz w:val="16"/>
                <w:szCs w:val="16"/>
                <w:lang w:eastAsia="tr-TR"/>
              </w:rPr>
            </w:pPr>
            <w:r w:rsidRPr="00441D58">
              <w:rPr>
                <w:rFonts w:cs="Tahoma"/>
                <w:color w:val="000000"/>
                <w:sz w:val="16"/>
                <w:szCs w:val="16"/>
                <w:lang w:eastAsia="tr-TR"/>
              </w:rPr>
              <w:t>YÖK (S), MEB, Bilim, Sanayi ve Teknoloji Bakanlığı, Kalkınma Bakanlığı, TÜBİTAK, Üniversiteler, Kalkınma Ajansları, Yerel Yönetimler, Meslek Kuruluşları, STK’lar</w:t>
            </w:r>
          </w:p>
        </w:tc>
        <w:tc>
          <w:tcPr>
            <w:tcW w:w="397" w:type="pct"/>
            <w:tcBorders>
              <w:top w:val="single" w:sz="4" w:space="0" w:color="auto"/>
              <w:left w:val="nil"/>
              <w:bottom w:val="single" w:sz="4" w:space="0" w:color="auto"/>
              <w:right w:val="single" w:sz="4" w:space="0" w:color="auto"/>
            </w:tcBorders>
            <w:shd w:val="clear" w:color="auto" w:fill="FFFFFF"/>
          </w:tcPr>
          <w:p w:rsidR="00565FD5" w:rsidRPr="00441D58" w:rsidRDefault="00565FD5" w:rsidP="00AB62A3">
            <w:pPr>
              <w:spacing w:before="80" w:after="80"/>
              <w:rPr>
                <w:rFonts w:cs="Tahoma"/>
                <w:color w:val="000000"/>
                <w:sz w:val="16"/>
                <w:szCs w:val="16"/>
                <w:lang w:eastAsia="tr-TR"/>
              </w:rPr>
            </w:pPr>
            <w:r w:rsidRPr="00441D58">
              <w:rPr>
                <w:rFonts w:cs="Tahoma"/>
                <w:color w:val="000000"/>
                <w:sz w:val="16"/>
                <w:szCs w:val="16"/>
                <w:lang w:eastAsia="tr-TR"/>
              </w:rPr>
              <w:t>Aralık Sonu</w:t>
            </w:r>
          </w:p>
        </w:tc>
        <w:tc>
          <w:tcPr>
            <w:tcW w:w="1923" w:type="pct"/>
            <w:tcBorders>
              <w:top w:val="single" w:sz="4" w:space="0" w:color="auto"/>
              <w:left w:val="nil"/>
              <w:bottom w:val="single" w:sz="4" w:space="0" w:color="auto"/>
              <w:right w:val="single" w:sz="4" w:space="0" w:color="auto"/>
            </w:tcBorders>
            <w:shd w:val="clear" w:color="auto" w:fill="FFFFFF"/>
          </w:tcPr>
          <w:p w:rsidR="00565FD5" w:rsidRPr="00441D58" w:rsidRDefault="00565FD5" w:rsidP="00AB62A3">
            <w:pPr>
              <w:spacing w:before="80" w:after="80"/>
              <w:rPr>
                <w:rFonts w:cs="Tahoma"/>
                <w:color w:val="000000"/>
                <w:sz w:val="16"/>
                <w:szCs w:val="16"/>
                <w:lang w:eastAsia="tr-TR"/>
              </w:rPr>
            </w:pPr>
            <w:r w:rsidRPr="00441D58">
              <w:rPr>
                <w:rFonts w:cs="Tahoma"/>
                <w:color w:val="000000"/>
                <w:sz w:val="16"/>
                <w:szCs w:val="16"/>
                <w:lang w:eastAsia="tr-TR"/>
              </w:rPr>
              <w:t>Hazırlanacak araştırma altyapısı ve öğretim üyesi envanterine dayanarak üniversitelerin bulundukları yörelerin potansiyellerine de uygun şekilde uzmanlaşmaları gözetilecektir. Bu çerçevede, akademik personel ve harcama politikası etkili şekilde kullanılacaktır.</w:t>
            </w:r>
          </w:p>
        </w:tc>
      </w:tr>
      <w:tr w:rsidR="00565FD5" w:rsidRPr="00441D58" w:rsidTr="00AB62A3">
        <w:trPr>
          <w:trHeight w:val="20"/>
          <w:jc w:val="center"/>
        </w:trPr>
        <w:tc>
          <w:tcPr>
            <w:tcW w:w="1462" w:type="pct"/>
            <w:tcBorders>
              <w:top w:val="single" w:sz="4" w:space="0" w:color="auto"/>
              <w:left w:val="single" w:sz="4" w:space="0" w:color="auto"/>
              <w:bottom w:val="single" w:sz="4" w:space="0" w:color="auto"/>
              <w:right w:val="single" w:sz="4" w:space="0" w:color="auto"/>
            </w:tcBorders>
            <w:shd w:val="clear" w:color="auto" w:fill="FFFFFF"/>
          </w:tcPr>
          <w:p w:rsidR="00565FD5" w:rsidRPr="004B3DE4" w:rsidRDefault="00565FD5" w:rsidP="00EB1E69">
            <w:pPr>
              <w:numPr>
                <w:ilvl w:val="0"/>
                <w:numId w:val="14"/>
              </w:numPr>
              <w:tabs>
                <w:tab w:val="left" w:pos="425"/>
              </w:tabs>
              <w:spacing w:before="80" w:after="80" w:line="240" w:lineRule="auto"/>
              <w:rPr>
                <w:rFonts w:cs="Tahoma"/>
                <w:color w:val="000000"/>
                <w:sz w:val="16"/>
                <w:szCs w:val="16"/>
                <w:lang w:eastAsia="tr-TR"/>
              </w:rPr>
            </w:pPr>
            <w:r w:rsidRPr="004B3DE4">
              <w:rPr>
                <w:rFonts w:cs="Tahoma"/>
                <w:color w:val="000000"/>
                <w:sz w:val="16"/>
                <w:szCs w:val="16"/>
                <w:lang w:eastAsia="tr-TR"/>
              </w:rPr>
              <w:t xml:space="preserve">Öğretim </w:t>
            </w:r>
            <w:r w:rsidRPr="004B3DE4">
              <w:rPr>
                <w:rFonts w:cs="Tahoma"/>
                <w:color w:val="000000"/>
                <w:sz w:val="16"/>
                <w:szCs w:val="16"/>
                <w:lang w:eastAsia="tr-TR"/>
              </w:rPr>
              <w:lastRenderedPageBreak/>
              <w:t>elemanı açığı giderilecek ve yurt geneline daha dengeli dağılımı sağlanacaktır.</w:t>
            </w:r>
          </w:p>
        </w:tc>
        <w:tc>
          <w:tcPr>
            <w:tcW w:w="1218" w:type="pct"/>
            <w:tcBorders>
              <w:top w:val="single" w:sz="4" w:space="0" w:color="auto"/>
              <w:left w:val="nil"/>
              <w:bottom w:val="single" w:sz="4" w:space="0" w:color="auto"/>
              <w:right w:val="single" w:sz="4" w:space="0" w:color="auto"/>
            </w:tcBorders>
            <w:shd w:val="clear" w:color="auto" w:fill="FFFFFF"/>
          </w:tcPr>
          <w:p w:rsidR="00565FD5" w:rsidRPr="00441D58" w:rsidRDefault="00565FD5" w:rsidP="00AB62A3">
            <w:pPr>
              <w:spacing w:before="80" w:after="80"/>
              <w:rPr>
                <w:rFonts w:cs="Tahoma"/>
                <w:color w:val="000000"/>
                <w:sz w:val="16"/>
                <w:szCs w:val="16"/>
                <w:lang w:eastAsia="tr-TR"/>
              </w:rPr>
            </w:pPr>
            <w:r w:rsidRPr="00441D58">
              <w:rPr>
                <w:rFonts w:cs="Tahoma"/>
                <w:color w:val="000000"/>
                <w:sz w:val="16"/>
                <w:szCs w:val="16"/>
                <w:lang w:eastAsia="tr-TR"/>
              </w:rPr>
              <w:lastRenderedPageBreak/>
              <w:t xml:space="preserve">YÖK (S), Maliye </w:t>
            </w:r>
            <w:r w:rsidRPr="00441D58">
              <w:rPr>
                <w:rFonts w:cs="Tahoma"/>
                <w:color w:val="000000"/>
                <w:sz w:val="16"/>
                <w:szCs w:val="16"/>
                <w:lang w:eastAsia="tr-TR"/>
              </w:rPr>
              <w:lastRenderedPageBreak/>
              <w:t>Bakanlığı, Kalkınma Bakanlığı, TÜBİTAK, Üniversiteler</w:t>
            </w:r>
          </w:p>
        </w:tc>
        <w:tc>
          <w:tcPr>
            <w:tcW w:w="397" w:type="pct"/>
            <w:tcBorders>
              <w:top w:val="single" w:sz="4" w:space="0" w:color="auto"/>
              <w:left w:val="nil"/>
              <w:bottom w:val="single" w:sz="4" w:space="0" w:color="auto"/>
              <w:right w:val="single" w:sz="4" w:space="0" w:color="auto"/>
            </w:tcBorders>
            <w:shd w:val="clear" w:color="auto" w:fill="FFFFFF"/>
          </w:tcPr>
          <w:p w:rsidR="00565FD5" w:rsidRPr="00441D58" w:rsidRDefault="00565FD5" w:rsidP="00AB62A3">
            <w:pPr>
              <w:spacing w:before="80" w:after="80"/>
              <w:rPr>
                <w:rFonts w:cs="Tahoma"/>
                <w:color w:val="000000"/>
                <w:sz w:val="16"/>
                <w:szCs w:val="16"/>
                <w:lang w:eastAsia="tr-TR"/>
              </w:rPr>
            </w:pPr>
            <w:r w:rsidRPr="00441D58">
              <w:rPr>
                <w:rFonts w:cs="Tahoma"/>
                <w:color w:val="000000"/>
                <w:sz w:val="16"/>
                <w:szCs w:val="16"/>
                <w:lang w:eastAsia="tr-TR"/>
              </w:rPr>
              <w:lastRenderedPageBreak/>
              <w:t xml:space="preserve">Aralık </w:t>
            </w:r>
            <w:r w:rsidRPr="00441D58">
              <w:rPr>
                <w:rFonts w:cs="Tahoma"/>
                <w:color w:val="000000"/>
                <w:sz w:val="16"/>
                <w:szCs w:val="16"/>
                <w:lang w:eastAsia="tr-TR"/>
              </w:rPr>
              <w:lastRenderedPageBreak/>
              <w:t>Sonu</w:t>
            </w:r>
          </w:p>
        </w:tc>
        <w:tc>
          <w:tcPr>
            <w:tcW w:w="1923" w:type="pct"/>
            <w:tcBorders>
              <w:top w:val="single" w:sz="4" w:space="0" w:color="auto"/>
              <w:left w:val="nil"/>
              <w:bottom w:val="single" w:sz="4" w:space="0" w:color="auto"/>
              <w:right w:val="single" w:sz="4" w:space="0" w:color="auto"/>
            </w:tcBorders>
            <w:shd w:val="clear" w:color="auto" w:fill="FFFFFF"/>
          </w:tcPr>
          <w:p w:rsidR="00565FD5" w:rsidRPr="00441D58" w:rsidRDefault="00565FD5" w:rsidP="00AB62A3">
            <w:pPr>
              <w:spacing w:before="80" w:after="80"/>
              <w:rPr>
                <w:rFonts w:cs="Tahoma"/>
                <w:color w:val="000000"/>
                <w:sz w:val="16"/>
                <w:szCs w:val="16"/>
                <w:lang w:eastAsia="tr-TR"/>
              </w:rPr>
            </w:pPr>
            <w:r w:rsidRPr="00441D58">
              <w:rPr>
                <w:rFonts w:cs="Tahoma"/>
                <w:color w:val="000000"/>
                <w:sz w:val="16"/>
                <w:szCs w:val="16"/>
                <w:lang w:eastAsia="tr-TR"/>
              </w:rPr>
              <w:lastRenderedPageBreak/>
              <w:t xml:space="preserve">Öğretim Üyesi Yetiştirme Programı </w:t>
            </w:r>
            <w:r w:rsidRPr="00441D58">
              <w:rPr>
                <w:rFonts w:cs="Tahoma"/>
                <w:color w:val="000000"/>
                <w:sz w:val="16"/>
                <w:szCs w:val="16"/>
                <w:lang w:eastAsia="tr-TR"/>
              </w:rPr>
              <w:lastRenderedPageBreak/>
              <w:t xml:space="preserve">(ÖYP) etkin bir şekilde uygulanacaktır. Yeni kurulan üniversitelerde öğretim üyesi açığının yarattığı olumsuzlukları gidermek amacıyla uzaktan eğitim imkanları da kullanılarak gelişmiş üniversitelerin öğretim elemanı ve altyapısından yararlanılacaktır. Öğretim görevlisi, okutman ve uzman sayısını artırmak suretiyle yeni üniversitelerdeki öğretim elemanı açığı azaltılacaktır. Kısmi zamanlı ders verme özendirilecektir. Araştırma görevlilerinin özlük hakları iyileştirilecek ve özellikle yeni kurulan üniversitelerde öğretim üyeliğini teşvik edici düzenlemeler yapılacaktır. </w:t>
            </w:r>
          </w:p>
        </w:tc>
      </w:tr>
    </w:tbl>
    <w:p w:rsidR="00565FD5" w:rsidRDefault="00565FD5" w:rsidP="00565FD5">
      <w:pPr>
        <w:rPr>
          <w:rFonts w:cs="Tahoma"/>
        </w:rPr>
      </w:pPr>
    </w:p>
    <w:p w:rsidR="00565FD5" w:rsidRPr="00E65A90" w:rsidRDefault="00565FD5" w:rsidP="00565FD5">
      <w:pPr>
        <w:rPr>
          <w:rFonts w:cs="Tahoma"/>
          <w:sz w:val="10"/>
          <w:szCs w:val="10"/>
        </w:rPr>
      </w:pPr>
    </w:p>
    <w:p w:rsidR="00565FD5" w:rsidRPr="004B3DE4" w:rsidRDefault="00565FD5" w:rsidP="00565FD5">
      <w:pPr>
        <w:pStyle w:val="Balk3"/>
      </w:pPr>
      <w:bookmarkStart w:id="2466" w:name="_Toc338494254"/>
      <w:bookmarkStart w:id="2467" w:name="_Toc338505625"/>
      <w:bookmarkStart w:id="2468" w:name="_Toc338523856"/>
      <w:bookmarkStart w:id="2469" w:name="_Toc338524087"/>
      <w:bookmarkStart w:id="2470" w:name="_Toc338526313"/>
      <w:bookmarkStart w:id="2471" w:name="_Toc338673756"/>
      <w:bookmarkStart w:id="2472" w:name="_Toc338711635"/>
      <w:bookmarkEnd w:id="2415"/>
      <w:bookmarkEnd w:id="2416"/>
      <w:bookmarkEnd w:id="2417"/>
      <w:bookmarkEnd w:id="2418"/>
      <w:bookmarkEnd w:id="2419"/>
      <w:bookmarkEnd w:id="2420"/>
      <w:bookmarkEnd w:id="2421"/>
      <w:bookmarkEnd w:id="2422"/>
      <w:bookmarkEnd w:id="2423"/>
      <w:bookmarkEnd w:id="2424"/>
      <w:bookmarkEnd w:id="2425"/>
      <w:bookmarkEnd w:id="2426"/>
      <w:bookmarkEnd w:id="2427"/>
      <w:r w:rsidRPr="004B3DE4">
        <w:t>B. SAĞLIK SİSTEMİNİN ETKİNLEŞTİRİLMESİ</w:t>
      </w:r>
      <w:bookmarkEnd w:id="2466"/>
      <w:bookmarkEnd w:id="2467"/>
      <w:bookmarkEnd w:id="2468"/>
      <w:bookmarkEnd w:id="2469"/>
      <w:bookmarkEnd w:id="2470"/>
      <w:bookmarkEnd w:id="2471"/>
      <w:bookmarkEnd w:id="2472"/>
      <w:r w:rsidRPr="004B3DE4">
        <w:t xml:space="preserve"> </w:t>
      </w:r>
    </w:p>
    <w:p w:rsidR="00565FD5" w:rsidRPr="004B3DE4" w:rsidRDefault="00565FD5" w:rsidP="00565FD5">
      <w:pPr>
        <w:pStyle w:val="Balk4"/>
      </w:pPr>
      <w:bookmarkStart w:id="2473" w:name="_Toc338505626"/>
      <w:bookmarkStart w:id="2474" w:name="_Toc338523857"/>
      <w:bookmarkStart w:id="2475" w:name="_Toc338524088"/>
      <w:bookmarkStart w:id="2476" w:name="_Toc338526314"/>
      <w:bookmarkStart w:id="2477" w:name="_Toc338673757"/>
      <w:bookmarkStart w:id="2478" w:name="_Toc338711636"/>
      <w:r w:rsidRPr="004B3DE4">
        <w:t>1. Mevcut Durum</w:t>
      </w:r>
      <w:bookmarkEnd w:id="2473"/>
      <w:bookmarkEnd w:id="2474"/>
      <w:bookmarkEnd w:id="2475"/>
      <w:bookmarkEnd w:id="2476"/>
      <w:bookmarkEnd w:id="2477"/>
      <w:bookmarkEnd w:id="2478"/>
    </w:p>
    <w:p w:rsidR="00565FD5" w:rsidRPr="004B3DE4" w:rsidRDefault="00565FD5" w:rsidP="00565FD5">
      <w:pPr>
        <w:ind w:firstLine="425"/>
        <w:rPr>
          <w:rFonts w:cs="Tahoma"/>
          <w:szCs w:val="18"/>
        </w:rPr>
      </w:pPr>
      <w:r w:rsidRPr="004B3DE4">
        <w:rPr>
          <w:rFonts w:cs="Tahoma"/>
          <w:szCs w:val="18"/>
        </w:rPr>
        <w:t>Sağlık alanında son yıllarda yürütülen çalışmaların ve Sağlıkta Dönüşüm Programının etkisiyle hizmet sunumu, hizmete erişim, temel sağlık göstergeleri ve sağlık hizmetlerinden duyulan memnuniyet düzeyinde olumlu gelişmeler gerçekleşmiştir. Ancak, fiziki altyapı ve sağlık personelinin kent-kır ve bölgeler arası dağılımındaki farklılıklar ile sağlık hizmetlerinin finansmanın sürdürülebilirliğine ilişkin sorunlar önemini korumaktadır.</w:t>
      </w:r>
    </w:p>
    <w:p w:rsidR="00565FD5" w:rsidRPr="004B3DE4" w:rsidRDefault="00565FD5" w:rsidP="00565FD5">
      <w:pPr>
        <w:pStyle w:val="ResimYazs"/>
        <w:ind w:left="1416" w:hanging="1416"/>
        <w:rPr>
          <w:rFonts w:cs="Tahoma"/>
          <w:b w:val="0"/>
        </w:rPr>
      </w:pPr>
      <w:bookmarkStart w:id="2479" w:name="_Toc338606053"/>
      <w:bookmarkStart w:id="2480" w:name="_Toc338711828"/>
      <w:r>
        <w:t xml:space="preserve">TABLO IV: </w:t>
      </w:r>
      <w:fldSimple w:instr=" SEQ TABLO_IV: \* ARABIC ">
        <w:r>
          <w:rPr>
            <w:noProof/>
          </w:rPr>
          <w:t>58</w:t>
        </w:r>
      </w:fldSimple>
      <w:r w:rsidRPr="00B24821">
        <w:rPr>
          <w:rFonts w:cs="Tahoma"/>
        </w:rPr>
        <w:t>- Nüfusa İlişkin Temel Sağlık Göstergeleri</w:t>
      </w:r>
      <w:bookmarkEnd w:id="2479"/>
      <w:bookmarkEnd w:id="2480"/>
      <w:r w:rsidRPr="004B3DE4">
        <w:rPr>
          <w:rFonts w:cs="Tahoma"/>
          <w:b w:val="0"/>
        </w:rPr>
        <w:t xml:space="preserve"> </w:t>
      </w: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3"/>
        <w:gridCol w:w="656"/>
        <w:gridCol w:w="656"/>
        <w:gridCol w:w="656"/>
        <w:gridCol w:w="657"/>
        <w:gridCol w:w="656"/>
        <w:gridCol w:w="656"/>
        <w:gridCol w:w="604"/>
        <w:gridCol w:w="710"/>
      </w:tblGrid>
      <w:tr w:rsidR="00565FD5" w:rsidRPr="00E65A90" w:rsidTr="00AB62A3">
        <w:trPr>
          <w:trHeight w:val="21"/>
          <w:jc w:val="center"/>
        </w:trPr>
        <w:tc>
          <w:tcPr>
            <w:tcW w:w="1325" w:type="pct"/>
            <w:noWrap/>
            <w:vAlign w:val="center"/>
          </w:tcPr>
          <w:p w:rsidR="00565FD5" w:rsidRPr="00E65A90" w:rsidRDefault="00565FD5" w:rsidP="00AB62A3">
            <w:pPr>
              <w:ind w:firstLine="120"/>
              <w:rPr>
                <w:rFonts w:cs="Tahoma"/>
                <w:b/>
                <w:bCs/>
                <w:sz w:val="12"/>
                <w:szCs w:val="12"/>
              </w:rPr>
            </w:pPr>
          </w:p>
        </w:tc>
        <w:tc>
          <w:tcPr>
            <w:tcW w:w="459" w:type="pct"/>
            <w:vAlign w:val="center"/>
          </w:tcPr>
          <w:p w:rsidR="00565FD5" w:rsidRPr="00E65A90" w:rsidRDefault="00565FD5" w:rsidP="00AB62A3">
            <w:pPr>
              <w:jc w:val="center"/>
              <w:rPr>
                <w:rFonts w:cs="Tahoma"/>
                <w:b/>
                <w:bCs/>
                <w:sz w:val="12"/>
                <w:szCs w:val="12"/>
              </w:rPr>
            </w:pPr>
            <w:r w:rsidRPr="00E65A90">
              <w:rPr>
                <w:rFonts w:cs="Tahoma"/>
                <w:b/>
                <w:bCs/>
                <w:sz w:val="12"/>
                <w:szCs w:val="12"/>
              </w:rPr>
              <w:t>2007</w:t>
            </w:r>
          </w:p>
        </w:tc>
        <w:tc>
          <w:tcPr>
            <w:tcW w:w="459" w:type="pct"/>
            <w:vAlign w:val="center"/>
          </w:tcPr>
          <w:p w:rsidR="00565FD5" w:rsidRPr="00E65A90" w:rsidRDefault="00565FD5" w:rsidP="00AB62A3">
            <w:pPr>
              <w:jc w:val="center"/>
              <w:rPr>
                <w:rFonts w:cs="Tahoma"/>
                <w:b/>
                <w:bCs/>
                <w:sz w:val="12"/>
                <w:szCs w:val="12"/>
              </w:rPr>
            </w:pPr>
            <w:r w:rsidRPr="00E65A90">
              <w:rPr>
                <w:rFonts w:cs="Tahoma"/>
                <w:b/>
                <w:bCs/>
                <w:sz w:val="12"/>
                <w:szCs w:val="12"/>
              </w:rPr>
              <w:t>2008</w:t>
            </w:r>
          </w:p>
        </w:tc>
        <w:tc>
          <w:tcPr>
            <w:tcW w:w="459" w:type="pct"/>
            <w:vAlign w:val="center"/>
          </w:tcPr>
          <w:p w:rsidR="00565FD5" w:rsidRPr="00E65A90" w:rsidRDefault="00565FD5" w:rsidP="00AB62A3">
            <w:pPr>
              <w:jc w:val="center"/>
              <w:rPr>
                <w:rFonts w:cs="Tahoma"/>
                <w:b/>
                <w:bCs/>
                <w:sz w:val="12"/>
                <w:szCs w:val="12"/>
              </w:rPr>
            </w:pPr>
            <w:r w:rsidRPr="00E65A90">
              <w:rPr>
                <w:rFonts w:cs="Tahoma"/>
                <w:b/>
                <w:bCs/>
                <w:sz w:val="12"/>
                <w:szCs w:val="12"/>
              </w:rPr>
              <w:t>2009</w:t>
            </w:r>
          </w:p>
        </w:tc>
        <w:tc>
          <w:tcPr>
            <w:tcW w:w="460" w:type="pct"/>
            <w:vAlign w:val="center"/>
          </w:tcPr>
          <w:p w:rsidR="00565FD5" w:rsidRPr="00E65A90" w:rsidRDefault="00565FD5" w:rsidP="00AB62A3">
            <w:pPr>
              <w:jc w:val="center"/>
              <w:rPr>
                <w:rFonts w:cs="Tahoma"/>
                <w:b/>
                <w:bCs/>
                <w:sz w:val="12"/>
                <w:szCs w:val="12"/>
              </w:rPr>
            </w:pPr>
            <w:r w:rsidRPr="00E65A90">
              <w:rPr>
                <w:rFonts w:cs="Tahoma"/>
                <w:b/>
                <w:bCs/>
                <w:sz w:val="12"/>
                <w:szCs w:val="12"/>
              </w:rPr>
              <w:t>2010</w:t>
            </w:r>
          </w:p>
        </w:tc>
        <w:tc>
          <w:tcPr>
            <w:tcW w:w="459" w:type="pct"/>
            <w:vAlign w:val="center"/>
          </w:tcPr>
          <w:p w:rsidR="00565FD5" w:rsidRPr="00E65A90" w:rsidRDefault="00565FD5" w:rsidP="00AB62A3">
            <w:pPr>
              <w:jc w:val="center"/>
              <w:rPr>
                <w:rFonts w:cs="Tahoma"/>
                <w:b/>
                <w:bCs/>
                <w:sz w:val="12"/>
                <w:szCs w:val="12"/>
              </w:rPr>
            </w:pPr>
            <w:r w:rsidRPr="00E65A90">
              <w:rPr>
                <w:rFonts w:cs="Tahoma"/>
                <w:b/>
                <w:bCs/>
                <w:sz w:val="12"/>
                <w:szCs w:val="12"/>
              </w:rPr>
              <w:t>2011</w:t>
            </w:r>
          </w:p>
        </w:tc>
        <w:tc>
          <w:tcPr>
            <w:tcW w:w="459" w:type="pct"/>
            <w:vAlign w:val="center"/>
          </w:tcPr>
          <w:p w:rsidR="00565FD5" w:rsidRPr="00E65A90" w:rsidRDefault="00565FD5" w:rsidP="00AB62A3">
            <w:pPr>
              <w:jc w:val="center"/>
              <w:rPr>
                <w:rFonts w:cs="Tahoma"/>
                <w:b/>
                <w:bCs/>
                <w:sz w:val="12"/>
                <w:szCs w:val="12"/>
              </w:rPr>
            </w:pPr>
            <w:r w:rsidRPr="00E65A90">
              <w:rPr>
                <w:rFonts w:cs="Tahoma"/>
                <w:b/>
                <w:bCs/>
                <w:sz w:val="12"/>
                <w:szCs w:val="12"/>
              </w:rPr>
              <w:t>2012</w:t>
            </w:r>
          </w:p>
        </w:tc>
        <w:tc>
          <w:tcPr>
            <w:tcW w:w="423" w:type="pct"/>
            <w:vAlign w:val="center"/>
          </w:tcPr>
          <w:p w:rsidR="00565FD5" w:rsidRPr="00E65A90" w:rsidRDefault="00565FD5" w:rsidP="00AB62A3">
            <w:pPr>
              <w:jc w:val="center"/>
              <w:rPr>
                <w:rFonts w:cs="Tahoma"/>
                <w:b/>
                <w:bCs/>
                <w:sz w:val="12"/>
                <w:szCs w:val="12"/>
              </w:rPr>
            </w:pPr>
            <w:r w:rsidRPr="00E65A90">
              <w:rPr>
                <w:rFonts w:cs="Tahoma"/>
                <w:b/>
                <w:bCs/>
                <w:sz w:val="12"/>
                <w:szCs w:val="12"/>
              </w:rPr>
              <w:t>OECD</w:t>
            </w:r>
          </w:p>
          <w:p w:rsidR="00565FD5" w:rsidRPr="00E65A90" w:rsidRDefault="00565FD5" w:rsidP="00AB62A3">
            <w:pPr>
              <w:jc w:val="center"/>
              <w:rPr>
                <w:rFonts w:cs="Tahoma"/>
                <w:b/>
                <w:bCs/>
                <w:sz w:val="12"/>
                <w:szCs w:val="12"/>
              </w:rPr>
            </w:pPr>
            <w:r w:rsidRPr="00E65A90">
              <w:rPr>
                <w:rFonts w:cs="Tahoma"/>
                <w:b/>
                <w:bCs/>
                <w:sz w:val="12"/>
                <w:szCs w:val="12"/>
              </w:rPr>
              <w:t>(3)</w:t>
            </w:r>
          </w:p>
        </w:tc>
        <w:tc>
          <w:tcPr>
            <w:tcW w:w="497" w:type="pct"/>
            <w:noWrap/>
            <w:vAlign w:val="center"/>
          </w:tcPr>
          <w:p w:rsidR="00565FD5" w:rsidRPr="00E65A90" w:rsidRDefault="00565FD5" w:rsidP="00AB62A3">
            <w:pPr>
              <w:jc w:val="center"/>
              <w:rPr>
                <w:rFonts w:cs="Tahoma"/>
                <w:b/>
                <w:bCs/>
                <w:sz w:val="12"/>
                <w:szCs w:val="12"/>
              </w:rPr>
            </w:pPr>
            <w:r w:rsidRPr="00E65A90">
              <w:rPr>
                <w:rFonts w:cs="Tahoma"/>
                <w:b/>
                <w:bCs/>
                <w:sz w:val="12"/>
                <w:szCs w:val="12"/>
              </w:rPr>
              <w:t>AB-</w:t>
            </w:r>
            <w:r>
              <w:rPr>
                <w:rFonts w:cs="Tahoma"/>
                <w:b/>
                <w:bCs/>
                <w:sz w:val="12"/>
                <w:szCs w:val="12"/>
              </w:rPr>
              <w:t>2</w:t>
            </w:r>
            <w:r w:rsidRPr="00E65A90">
              <w:rPr>
                <w:rFonts w:cs="Tahoma"/>
                <w:b/>
                <w:bCs/>
                <w:sz w:val="12"/>
                <w:szCs w:val="12"/>
              </w:rPr>
              <w:t>7</w:t>
            </w:r>
          </w:p>
          <w:p w:rsidR="00565FD5" w:rsidRPr="00E65A90" w:rsidRDefault="00565FD5" w:rsidP="00AB62A3">
            <w:pPr>
              <w:jc w:val="center"/>
              <w:rPr>
                <w:rFonts w:cs="Tahoma"/>
                <w:b/>
                <w:bCs/>
                <w:sz w:val="12"/>
                <w:szCs w:val="12"/>
              </w:rPr>
            </w:pPr>
            <w:r w:rsidRPr="00E65A90">
              <w:rPr>
                <w:rFonts w:cs="Tahoma"/>
                <w:b/>
                <w:bCs/>
                <w:sz w:val="12"/>
                <w:szCs w:val="12"/>
              </w:rPr>
              <w:t>(4)</w:t>
            </w:r>
          </w:p>
        </w:tc>
      </w:tr>
      <w:tr w:rsidR="00565FD5" w:rsidRPr="00B24821" w:rsidTr="00AB62A3">
        <w:trPr>
          <w:trHeight w:val="295"/>
          <w:jc w:val="center"/>
        </w:trPr>
        <w:tc>
          <w:tcPr>
            <w:tcW w:w="1325" w:type="pct"/>
            <w:tcBorders>
              <w:bottom w:val="nil"/>
            </w:tcBorders>
            <w:noWrap/>
          </w:tcPr>
          <w:p w:rsidR="00565FD5" w:rsidRPr="00B24821" w:rsidRDefault="00565FD5" w:rsidP="00AB62A3">
            <w:pPr>
              <w:tabs>
                <w:tab w:val="left" w:pos="72"/>
              </w:tabs>
              <w:rPr>
                <w:rFonts w:eastAsia="PMingLiU" w:cs="Tahoma"/>
                <w:sz w:val="14"/>
                <w:szCs w:val="14"/>
              </w:rPr>
            </w:pPr>
            <w:r w:rsidRPr="00B24821">
              <w:rPr>
                <w:rFonts w:eastAsia="PMingLiU" w:cs="Tahoma"/>
                <w:sz w:val="14"/>
                <w:szCs w:val="14"/>
              </w:rPr>
              <w:t>Nüfus Artış Hızı (Binde)(1)</w:t>
            </w:r>
          </w:p>
        </w:tc>
        <w:tc>
          <w:tcPr>
            <w:tcW w:w="459" w:type="pct"/>
            <w:tcBorders>
              <w:bottom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11,8</w:t>
            </w:r>
          </w:p>
        </w:tc>
        <w:tc>
          <w:tcPr>
            <w:tcW w:w="459" w:type="pct"/>
            <w:tcBorders>
              <w:bottom w:val="nil"/>
            </w:tcBorders>
            <w:vAlign w:val="center"/>
          </w:tcPr>
          <w:p w:rsidR="00565FD5" w:rsidRPr="00B24821" w:rsidRDefault="00565FD5" w:rsidP="00AB62A3">
            <w:pPr>
              <w:tabs>
                <w:tab w:val="left" w:pos="359"/>
                <w:tab w:val="center" w:pos="4153"/>
                <w:tab w:val="right" w:pos="8306"/>
              </w:tabs>
              <w:jc w:val="center"/>
              <w:rPr>
                <w:rFonts w:cs="Tahoma"/>
                <w:sz w:val="14"/>
                <w:szCs w:val="14"/>
              </w:rPr>
            </w:pPr>
            <w:r w:rsidRPr="00B24821">
              <w:rPr>
                <w:rFonts w:cs="Tahoma"/>
                <w:sz w:val="14"/>
                <w:szCs w:val="14"/>
              </w:rPr>
              <w:t>11,5</w:t>
            </w:r>
          </w:p>
        </w:tc>
        <w:tc>
          <w:tcPr>
            <w:tcW w:w="459" w:type="pct"/>
            <w:tcBorders>
              <w:bottom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11,3</w:t>
            </w:r>
          </w:p>
        </w:tc>
        <w:tc>
          <w:tcPr>
            <w:tcW w:w="460" w:type="pct"/>
            <w:tcBorders>
              <w:bottom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11,0</w:t>
            </w:r>
          </w:p>
        </w:tc>
        <w:tc>
          <w:tcPr>
            <w:tcW w:w="459" w:type="pct"/>
            <w:tcBorders>
              <w:bottom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10,8</w:t>
            </w:r>
          </w:p>
        </w:tc>
        <w:tc>
          <w:tcPr>
            <w:tcW w:w="459" w:type="pct"/>
            <w:tcBorders>
              <w:bottom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12,5</w:t>
            </w:r>
          </w:p>
        </w:tc>
        <w:tc>
          <w:tcPr>
            <w:tcW w:w="423" w:type="pct"/>
            <w:tcBorders>
              <w:bottom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w:t>
            </w:r>
          </w:p>
        </w:tc>
        <w:tc>
          <w:tcPr>
            <w:tcW w:w="497" w:type="pct"/>
            <w:tcBorders>
              <w:bottom w:val="nil"/>
            </w:tcBorders>
            <w:noWrap/>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w:t>
            </w:r>
          </w:p>
        </w:tc>
      </w:tr>
      <w:tr w:rsidR="00565FD5" w:rsidRPr="00B24821" w:rsidTr="00AB62A3">
        <w:trPr>
          <w:trHeight w:val="295"/>
          <w:jc w:val="center"/>
        </w:trPr>
        <w:tc>
          <w:tcPr>
            <w:tcW w:w="1325" w:type="pct"/>
            <w:tcBorders>
              <w:top w:val="nil"/>
              <w:bottom w:val="nil"/>
            </w:tcBorders>
            <w:noWrap/>
          </w:tcPr>
          <w:p w:rsidR="00565FD5" w:rsidRPr="00B24821" w:rsidRDefault="00565FD5" w:rsidP="00AB62A3">
            <w:pPr>
              <w:tabs>
                <w:tab w:val="left" w:pos="72"/>
              </w:tabs>
              <w:rPr>
                <w:rFonts w:eastAsia="PMingLiU" w:cs="Tahoma"/>
                <w:sz w:val="14"/>
                <w:szCs w:val="14"/>
              </w:rPr>
            </w:pPr>
            <w:r w:rsidRPr="00B24821">
              <w:rPr>
                <w:rFonts w:eastAsia="PMingLiU" w:cs="Tahoma"/>
                <w:sz w:val="14"/>
                <w:szCs w:val="14"/>
              </w:rPr>
              <w:t>Toplam Doğurganlık Hızı(1)</w:t>
            </w:r>
          </w:p>
        </w:tc>
        <w:tc>
          <w:tcPr>
            <w:tcW w:w="459" w:type="pct"/>
            <w:tcBorders>
              <w:top w:val="nil"/>
              <w:bottom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2,15</w:t>
            </w:r>
          </w:p>
        </w:tc>
        <w:tc>
          <w:tcPr>
            <w:tcW w:w="459" w:type="pct"/>
            <w:tcBorders>
              <w:top w:val="nil"/>
              <w:bottom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2,14</w:t>
            </w:r>
          </w:p>
        </w:tc>
        <w:tc>
          <w:tcPr>
            <w:tcW w:w="459" w:type="pct"/>
            <w:tcBorders>
              <w:top w:val="nil"/>
              <w:bottom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2,12</w:t>
            </w:r>
          </w:p>
        </w:tc>
        <w:tc>
          <w:tcPr>
            <w:tcW w:w="460" w:type="pct"/>
            <w:tcBorders>
              <w:top w:val="nil"/>
              <w:bottom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2,11</w:t>
            </w:r>
          </w:p>
        </w:tc>
        <w:tc>
          <w:tcPr>
            <w:tcW w:w="459" w:type="pct"/>
            <w:tcBorders>
              <w:top w:val="nil"/>
              <w:bottom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2,09</w:t>
            </w:r>
          </w:p>
        </w:tc>
        <w:tc>
          <w:tcPr>
            <w:tcW w:w="459" w:type="pct"/>
            <w:tcBorders>
              <w:top w:val="nil"/>
              <w:bottom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2,08</w:t>
            </w:r>
          </w:p>
        </w:tc>
        <w:tc>
          <w:tcPr>
            <w:tcW w:w="423" w:type="pct"/>
            <w:tcBorders>
              <w:top w:val="nil"/>
              <w:bottom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1,74</w:t>
            </w:r>
          </w:p>
        </w:tc>
        <w:tc>
          <w:tcPr>
            <w:tcW w:w="497" w:type="pct"/>
            <w:tcBorders>
              <w:top w:val="nil"/>
              <w:bottom w:val="nil"/>
            </w:tcBorders>
            <w:noWrap/>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1,56</w:t>
            </w:r>
          </w:p>
        </w:tc>
      </w:tr>
      <w:tr w:rsidR="00565FD5" w:rsidRPr="00B24821" w:rsidTr="00AB62A3">
        <w:trPr>
          <w:trHeight w:val="295"/>
          <w:jc w:val="center"/>
        </w:trPr>
        <w:tc>
          <w:tcPr>
            <w:tcW w:w="1325" w:type="pct"/>
            <w:tcBorders>
              <w:top w:val="nil"/>
              <w:bottom w:val="nil"/>
            </w:tcBorders>
            <w:noWrap/>
          </w:tcPr>
          <w:p w:rsidR="00565FD5" w:rsidRPr="00B24821" w:rsidRDefault="00565FD5" w:rsidP="00AB62A3">
            <w:pPr>
              <w:tabs>
                <w:tab w:val="left" w:pos="72"/>
              </w:tabs>
              <w:rPr>
                <w:rFonts w:eastAsia="PMingLiU" w:cs="Tahoma"/>
                <w:sz w:val="14"/>
                <w:szCs w:val="14"/>
              </w:rPr>
            </w:pPr>
            <w:r w:rsidRPr="00B24821">
              <w:rPr>
                <w:rFonts w:eastAsia="PMingLiU" w:cs="Tahoma"/>
                <w:sz w:val="14"/>
                <w:szCs w:val="14"/>
              </w:rPr>
              <w:t>Doğuşta Beklenen Yaşam Süresi (Yıl)(1)</w:t>
            </w:r>
          </w:p>
        </w:tc>
        <w:tc>
          <w:tcPr>
            <w:tcW w:w="459" w:type="pct"/>
            <w:tcBorders>
              <w:top w:val="nil"/>
              <w:bottom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73,6</w:t>
            </w:r>
          </w:p>
        </w:tc>
        <w:tc>
          <w:tcPr>
            <w:tcW w:w="459" w:type="pct"/>
            <w:tcBorders>
              <w:top w:val="nil"/>
              <w:bottom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73,8</w:t>
            </w:r>
          </w:p>
        </w:tc>
        <w:tc>
          <w:tcPr>
            <w:tcW w:w="459" w:type="pct"/>
            <w:tcBorders>
              <w:top w:val="nil"/>
              <w:bottom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74,0</w:t>
            </w:r>
          </w:p>
        </w:tc>
        <w:tc>
          <w:tcPr>
            <w:tcW w:w="460" w:type="pct"/>
            <w:tcBorders>
              <w:top w:val="nil"/>
              <w:bottom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74,3</w:t>
            </w:r>
          </w:p>
        </w:tc>
        <w:tc>
          <w:tcPr>
            <w:tcW w:w="459" w:type="pct"/>
            <w:tcBorders>
              <w:top w:val="nil"/>
              <w:bottom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74,5</w:t>
            </w:r>
          </w:p>
        </w:tc>
        <w:tc>
          <w:tcPr>
            <w:tcW w:w="459" w:type="pct"/>
            <w:tcBorders>
              <w:top w:val="nil"/>
              <w:bottom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74,6</w:t>
            </w:r>
          </w:p>
        </w:tc>
        <w:tc>
          <w:tcPr>
            <w:tcW w:w="423" w:type="pct"/>
            <w:tcBorders>
              <w:top w:val="nil"/>
              <w:bottom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79,5</w:t>
            </w:r>
          </w:p>
        </w:tc>
        <w:tc>
          <w:tcPr>
            <w:tcW w:w="497" w:type="pct"/>
            <w:tcBorders>
              <w:top w:val="nil"/>
              <w:bottom w:val="nil"/>
            </w:tcBorders>
            <w:noWrap/>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80,0</w:t>
            </w:r>
          </w:p>
        </w:tc>
      </w:tr>
      <w:tr w:rsidR="00565FD5" w:rsidRPr="00B24821" w:rsidTr="00AB62A3">
        <w:trPr>
          <w:trHeight w:val="295"/>
          <w:jc w:val="center"/>
        </w:trPr>
        <w:tc>
          <w:tcPr>
            <w:tcW w:w="1325" w:type="pct"/>
            <w:tcBorders>
              <w:top w:val="nil"/>
            </w:tcBorders>
            <w:noWrap/>
          </w:tcPr>
          <w:p w:rsidR="00565FD5" w:rsidRPr="00B24821" w:rsidRDefault="00565FD5" w:rsidP="00AB62A3">
            <w:pPr>
              <w:tabs>
                <w:tab w:val="left" w:pos="72"/>
              </w:tabs>
              <w:rPr>
                <w:rFonts w:eastAsia="PMingLiU" w:cs="Tahoma"/>
                <w:sz w:val="14"/>
                <w:szCs w:val="14"/>
              </w:rPr>
            </w:pPr>
            <w:r w:rsidRPr="00B24821">
              <w:rPr>
                <w:rFonts w:eastAsia="PMingLiU" w:cs="Tahoma"/>
                <w:sz w:val="14"/>
                <w:szCs w:val="14"/>
              </w:rPr>
              <w:t>Anne Ölüm Oranı (100.000 canlı Doğum)(2)</w:t>
            </w:r>
          </w:p>
        </w:tc>
        <w:tc>
          <w:tcPr>
            <w:tcW w:w="459" w:type="pct"/>
            <w:tcBorders>
              <w:top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w:t>
            </w:r>
          </w:p>
        </w:tc>
        <w:tc>
          <w:tcPr>
            <w:tcW w:w="459" w:type="pct"/>
            <w:tcBorders>
              <w:top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19,4</w:t>
            </w:r>
          </w:p>
        </w:tc>
        <w:tc>
          <w:tcPr>
            <w:tcW w:w="459" w:type="pct"/>
            <w:tcBorders>
              <w:top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18,4</w:t>
            </w:r>
          </w:p>
        </w:tc>
        <w:tc>
          <w:tcPr>
            <w:tcW w:w="460" w:type="pct"/>
            <w:tcBorders>
              <w:top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16,4</w:t>
            </w:r>
          </w:p>
        </w:tc>
        <w:tc>
          <w:tcPr>
            <w:tcW w:w="459" w:type="pct"/>
            <w:tcBorders>
              <w:top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w:t>
            </w:r>
          </w:p>
        </w:tc>
        <w:tc>
          <w:tcPr>
            <w:tcW w:w="459" w:type="pct"/>
            <w:tcBorders>
              <w:top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w:t>
            </w:r>
          </w:p>
        </w:tc>
        <w:tc>
          <w:tcPr>
            <w:tcW w:w="423" w:type="pct"/>
            <w:tcBorders>
              <w:top w:val="nil"/>
            </w:tcBorders>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w:t>
            </w:r>
          </w:p>
        </w:tc>
        <w:tc>
          <w:tcPr>
            <w:tcW w:w="497" w:type="pct"/>
            <w:tcBorders>
              <w:top w:val="nil"/>
            </w:tcBorders>
            <w:noWrap/>
            <w:vAlign w:val="center"/>
          </w:tcPr>
          <w:p w:rsidR="00565FD5" w:rsidRPr="00B24821" w:rsidRDefault="00565FD5" w:rsidP="00AB62A3">
            <w:pPr>
              <w:tabs>
                <w:tab w:val="center" w:pos="4153"/>
                <w:tab w:val="right" w:pos="8306"/>
              </w:tabs>
              <w:jc w:val="center"/>
              <w:rPr>
                <w:rFonts w:cs="Tahoma"/>
                <w:sz w:val="14"/>
                <w:szCs w:val="14"/>
              </w:rPr>
            </w:pPr>
            <w:r w:rsidRPr="00B24821">
              <w:rPr>
                <w:rFonts w:cs="Tahoma"/>
                <w:sz w:val="14"/>
                <w:szCs w:val="14"/>
              </w:rPr>
              <w:t>6,1</w:t>
            </w:r>
          </w:p>
        </w:tc>
      </w:tr>
    </w:tbl>
    <w:p w:rsidR="00565FD5" w:rsidRPr="004B3DE4" w:rsidRDefault="00565FD5" w:rsidP="00565FD5">
      <w:pPr>
        <w:rPr>
          <w:rFonts w:cs="Tahoma"/>
          <w:sz w:val="14"/>
          <w:szCs w:val="14"/>
        </w:rPr>
      </w:pPr>
      <w:r w:rsidRPr="004B3DE4">
        <w:rPr>
          <w:rFonts w:cs="Tahoma"/>
          <w:sz w:val="14"/>
          <w:szCs w:val="14"/>
        </w:rPr>
        <w:t xml:space="preserve">Kaynak: Kalkınma Bakanlığı, Dünya Sağlık Örgütü (DSÖ) </w:t>
      </w:r>
    </w:p>
    <w:p w:rsidR="00565FD5" w:rsidRPr="004B3DE4" w:rsidRDefault="00565FD5" w:rsidP="00565FD5">
      <w:pPr>
        <w:rPr>
          <w:rFonts w:cs="Tahoma"/>
          <w:sz w:val="14"/>
          <w:szCs w:val="14"/>
        </w:rPr>
      </w:pPr>
      <w:r w:rsidRPr="004B3DE4">
        <w:rPr>
          <w:rFonts w:cs="Tahoma"/>
          <w:sz w:val="14"/>
          <w:szCs w:val="14"/>
        </w:rPr>
        <w:lastRenderedPageBreak/>
        <w:t>1) TNSA ve ADNKS sonuçlarına göre yapılmış TUİK tahminidir.</w:t>
      </w:r>
    </w:p>
    <w:p w:rsidR="00565FD5" w:rsidRPr="004B3DE4" w:rsidRDefault="00565FD5" w:rsidP="00565FD5">
      <w:pPr>
        <w:rPr>
          <w:rFonts w:cs="Tahoma"/>
          <w:sz w:val="14"/>
          <w:szCs w:val="14"/>
        </w:rPr>
      </w:pPr>
      <w:r w:rsidRPr="004B3DE4">
        <w:rPr>
          <w:rFonts w:cs="Tahoma"/>
          <w:sz w:val="14"/>
          <w:szCs w:val="14"/>
        </w:rPr>
        <w:t>2) 2008 yılı TNSA-2008, diğer yıllar Sağlık Bakanlığı verisidir.</w:t>
      </w:r>
    </w:p>
    <w:p w:rsidR="00565FD5" w:rsidRPr="004B3DE4" w:rsidRDefault="00565FD5" w:rsidP="00565FD5">
      <w:pPr>
        <w:rPr>
          <w:rFonts w:cs="Tahoma"/>
          <w:sz w:val="14"/>
          <w:szCs w:val="14"/>
        </w:rPr>
      </w:pPr>
      <w:r w:rsidRPr="004B3DE4">
        <w:rPr>
          <w:rFonts w:cs="Tahoma"/>
          <w:sz w:val="14"/>
          <w:szCs w:val="14"/>
        </w:rPr>
        <w:t>3) 2009 yılı verileridir (OECD Factbook 2011).</w:t>
      </w:r>
    </w:p>
    <w:p w:rsidR="00565FD5" w:rsidRPr="004B3DE4" w:rsidRDefault="00565FD5" w:rsidP="00565FD5">
      <w:pPr>
        <w:spacing w:after="240"/>
        <w:rPr>
          <w:rFonts w:cs="Tahoma"/>
          <w:sz w:val="16"/>
          <w:szCs w:val="16"/>
        </w:rPr>
      </w:pPr>
      <w:r w:rsidRPr="004B3DE4">
        <w:rPr>
          <w:rFonts w:cs="Tahoma"/>
          <w:sz w:val="14"/>
          <w:szCs w:val="14"/>
        </w:rPr>
        <w:t>4) Health for All Database, 2010 yılı verileridir</w:t>
      </w:r>
      <w:r w:rsidRPr="004B3DE4">
        <w:rPr>
          <w:rFonts w:cs="Tahoma"/>
          <w:sz w:val="16"/>
          <w:szCs w:val="16"/>
        </w:rPr>
        <w:t>.</w:t>
      </w:r>
    </w:p>
    <w:p w:rsidR="00565FD5" w:rsidRDefault="00565FD5" w:rsidP="00565FD5">
      <w:pPr>
        <w:spacing w:after="120"/>
        <w:ind w:firstLine="425"/>
        <w:rPr>
          <w:rFonts w:cs="Tahoma"/>
          <w:szCs w:val="18"/>
        </w:rPr>
      </w:pPr>
      <w:r w:rsidRPr="004B3DE4">
        <w:rPr>
          <w:rFonts w:cs="Tahoma"/>
          <w:szCs w:val="18"/>
        </w:rPr>
        <w:t>Bebek ölüm oranı, yıllar itibarıyla ciddi düşüş göstererek 2011 yılında bin canlı doğumda 7,7’ye gerilemiştir. Bu oran, 2009 yılında OECD’de binde 4,4, AB-27’de ise binde 4,2’dir. Bebek ölüm oranı, gelir seviyesi ve annenin eğitim düzeyiyle orantılı olarak azalmaktadır. Kırsaldaki ölüm oranları kentsele göre, doğu ve güney bölgelerdeki ölüm oranları ise diğer bölgelere göre daha yüksektir.</w:t>
      </w:r>
    </w:p>
    <w:p w:rsidR="00565FD5" w:rsidRPr="00E90071" w:rsidRDefault="00565FD5" w:rsidP="00565FD5">
      <w:pPr>
        <w:pStyle w:val="ResimYazs"/>
        <w:rPr>
          <w:rFonts w:cs="Tahoma"/>
        </w:rPr>
      </w:pPr>
      <w:bookmarkStart w:id="2481" w:name="_Toc338704792"/>
      <w:bookmarkStart w:id="2482" w:name="_Toc338711855"/>
      <w:r w:rsidRPr="00E90071">
        <w:t xml:space="preserve">GRAFİK: </w:t>
      </w:r>
      <w:fldSimple w:instr=" SEQ GRAFİK: \* ARABIC ">
        <w:r>
          <w:rPr>
            <w:noProof/>
          </w:rPr>
          <w:t>7</w:t>
        </w:r>
      </w:fldSimple>
      <w:r w:rsidRPr="00E90071">
        <w:rPr>
          <w:rFonts w:cs="Tahoma"/>
        </w:rPr>
        <w:t>- Bebek Ölüm Hızları (1.000 Canlı Doğumda)</w:t>
      </w:r>
      <w:bookmarkEnd w:id="2481"/>
      <w:bookmarkEnd w:id="2482"/>
    </w:p>
    <w:p w:rsidR="00565FD5" w:rsidRPr="004B3DE4" w:rsidRDefault="00565FD5" w:rsidP="00565FD5">
      <w:pPr>
        <w:spacing w:before="120" w:after="120"/>
        <w:rPr>
          <w:rFonts w:cs="Tahoma"/>
          <w:b/>
          <w:sz w:val="16"/>
          <w:szCs w:val="18"/>
        </w:rPr>
      </w:pPr>
      <w:r>
        <w:rPr>
          <w:rFonts w:cs="Tahoma"/>
          <w:noProof/>
          <w:szCs w:val="18"/>
          <w:lang w:eastAsia="tr-TR"/>
        </w:rPr>
        <w:drawing>
          <wp:inline distT="0" distB="0" distL="0" distR="0">
            <wp:extent cx="4467225" cy="2009775"/>
            <wp:effectExtent l="0" t="0" r="0" b="0"/>
            <wp:docPr id="9"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65FD5" w:rsidRPr="004B3DE4" w:rsidRDefault="00565FD5" w:rsidP="00565FD5">
      <w:pPr>
        <w:rPr>
          <w:rFonts w:cs="Tahoma"/>
          <w:sz w:val="14"/>
          <w:szCs w:val="14"/>
        </w:rPr>
      </w:pPr>
      <w:r w:rsidRPr="004B3DE4">
        <w:rPr>
          <w:rFonts w:cs="Tahoma"/>
          <w:sz w:val="14"/>
          <w:szCs w:val="14"/>
        </w:rPr>
        <w:t>Kaynak: 2011 yılı verisi İstanbul, Marmara ve Yıldırım Beyazıt Üniversitelerinin ortak çalışması olan Bebek ve Beş Yaş Altı Ölüm Araştırması 2012’den, diğer yıllara ait veriler Türkiye Halk Sağlığı Kurumundan temin edilmiştir.</w:t>
      </w:r>
    </w:p>
    <w:p w:rsidR="00565FD5" w:rsidRPr="004B3DE4" w:rsidRDefault="00565FD5" w:rsidP="00565FD5">
      <w:pPr>
        <w:spacing w:after="120"/>
        <w:ind w:firstLine="425"/>
        <w:rPr>
          <w:rFonts w:cs="Tahoma"/>
          <w:szCs w:val="18"/>
        </w:rPr>
      </w:pPr>
    </w:p>
    <w:p w:rsidR="00565FD5" w:rsidRPr="004B3DE4" w:rsidRDefault="00565FD5" w:rsidP="00565FD5">
      <w:pPr>
        <w:spacing w:after="120"/>
        <w:ind w:firstLine="425"/>
        <w:rPr>
          <w:rFonts w:cs="Tahoma"/>
          <w:szCs w:val="18"/>
        </w:rPr>
      </w:pPr>
      <w:r w:rsidRPr="004B3DE4">
        <w:rPr>
          <w:rFonts w:cs="Tahoma"/>
          <w:szCs w:val="18"/>
        </w:rPr>
        <w:t xml:space="preserve">Anne ve bebek sağlığı açısından önemli olan doğum öncesi bakım alma ve doğumun bir sağlık kuruluşunda yapılma oranlarında, yürütülen çalışmaların da etkisiyle iyileşmeler görülmektedir. 2003 ve 2011 yılları arasında doğum öncesi bakım alma oranı yüzde 81’den yüzde 95’e, doğumun sağlık kuruluşunda yapılma oranı ise yüzde 78’den yüzde 94’e yükselmiştir. </w:t>
      </w:r>
    </w:p>
    <w:p w:rsidR="00565FD5" w:rsidRPr="004B3DE4" w:rsidRDefault="00565FD5" w:rsidP="00565FD5">
      <w:pPr>
        <w:spacing w:after="120"/>
        <w:ind w:firstLine="425"/>
        <w:rPr>
          <w:rFonts w:cs="Tahoma"/>
          <w:szCs w:val="18"/>
        </w:rPr>
      </w:pPr>
      <w:r w:rsidRPr="004B3DE4">
        <w:rPr>
          <w:rFonts w:cs="Tahoma"/>
          <w:szCs w:val="18"/>
        </w:rPr>
        <w:t xml:space="preserve">Aşılamaya ilişkin en önemli göstergelerden olan KKK ve BCG aşılarının yapılma oranı sırasıyla 2003 yılında yüzde 75 ve yüzde 76 iken 2011 yılında yüzde 98 ve yüzde 95’e yükselmiş olup bağışıklık kazandırmaya yönelik </w:t>
      </w:r>
      <w:r w:rsidRPr="004B3DE4">
        <w:rPr>
          <w:rFonts w:cs="Tahoma"/>
          <w:szCs w:val="18"/>
        </w:rPr>
        <w:lastRenderedPageBreak/>
        <w:t xml:space="preserve">yürütülen çeşitli programların da etkisiyle son 5 yılda aşılanmayla ilgili önemli bir gelişme kaydedilmiştir. </w:t>
      </w:r>
    </w:p>
    <w:p w:rsidR="00565FD5" w:rsidRPr="004B3DE4" w:rsidRDefault="00565FD5" w:rsidP="00565FD5">
      <w:pPr>
        <w:spacing w:before="120" w:after="180"/>
        <w:ind w:firstLine="425"/>
        <w:rPr>
          <w:rFonts w:eastAsia="PMingLiU" w:cs="Tahoma"/>
          <w:szCs w:val="18"/>
        </w:rPr>
      </w:pPr>
      <w:r w:rsidRPr="004225DF">
        <w:rPr>
          <w:rFonts w:eastAsia="PMingLiU" w:cs="Tahoma"/>
          <w:szCs w:val="18"/>
        </w:rPr>
        <w:t>Dünya Sağlık Örgütüne göre bulaşıcı olmayan hastalıklar en önemli ölüm sebebi olup bu hastalıklardan kaynaklanan ölümlerin toplam ölümler içindeki oranı 2008 yılında dünyada yüzde 63 iken Türkiye’de yüzde 85 düzeyindedir. Kalp-damar hastalıkları ve kanser başta olmak üzere bulaşıcı olmayan hastalıklara neden olan</w:t>
      </w:r>
      <w:r w:rsidRPr="004B3DE4">
        <w:rPr>
          <w:rFonts w:eastAsia="PMingLiU" w:cs="Tahoma"/>
          <w:szCs w:val="18"/>
        </w:rPr>
        <w:t xml:space="preserve"> temel faktörler tütün kullanımı, fiziksel aktivite eksikliği, aşırı alkol kullanımı ve düzensiz beslenmedir. Ülkemizde yaşlı nüfus oranının giderek artacağı da dikkate alındığında bulaşıcı olmayan hastalıklara yönelik koruyucu sağlık hizmetlerinin çeşitlendirilmesi önem arz etmektedir. Bu kapsamda Sağlık Bakanlığı tarafından kronik hastalıklara bağlı olarak sağlığın bozulmasını ve erken ölümleri önlemek için sağlığın teşviki ve sağlıklı hayat programlarıyla entegre bir biçimde Türkiye Kalp ve Damar Hastalıklarını Önleme ve Kontrol Programı, Türkiye Diyabet Önleme ve Kontrol Programı, Türkiye Kronik Hava Yolu Hastalıklarını (Astım-KOAH) Önleme ve Kontrol Programı, Türkiye Obezite ile Mücadele Programı ve Ulusal Eylem Planı, Tütünle Mücadele, Ulusal Kanser Kontrol Programı ve Ulusal Ruh Sağlığı Eylem Planı gibi programlar uygulamaya konulmuştur.</w:t>
      </w:r>
    </w:p>
    <w:p w:rsidR="00565FD5" w:rsidRPr="004B3DE4" w:rsidRDefault="00565FD5" w:rsidP="00565FD5">
      <w:pPr>
        <w:spacing w:before="120" w:after="180"/>
        <w:ind w:firstLine="425"/>
        <w:rPr>
          <w:rFonts w:eastAsia="PMingLiU" w:cs="Tahoma"/>
          <w:szCs w:val="18"/>
        </w:rPr>
      </w:pPr>
      <w:r w:rsidRPr="004B3DE4">
        <w:rPr>
          <w:rFonts w:eastAsia="PMingLiU" w:cs="Tahoma"/>
          <w:szCs w:val="18"/>
        </w:rPr>
        <w:t xml:space="preserve">2010-2014 yıllarını kapsayan Türkiye Sağlıklı Beslenme ve Hareketli Hayat Programı kapsamında, çocuklarda dengesiz beslenmenin ve obezitenin engellenmesi amacıyla, okul kantinlerinde ve yatılı pansiyonların yemekhanelerinde enerji yoğunluğu yüksek ancak besin değeri düşük yiyecek ve içeceklerin bulundurulması yasaklanmıştır. Bunun yerine, süt, ayran, yoğurt, meyve suyu, taze sıkılmış meyve suyu ve tane ile satılabilecek meyvelerin bulundurulması zorunlu hale getirilmiştir. Ayrıca 2012 yılının Mart ayından itibaren anasınıfı dâhil beşinci sınıfa kadar olan sınıflar için her gün ortalama 7 milyon öğrenciye süt dağıtılmaya başlanmıştır. </w:t>
      </w:r>
    </w:p>
    <w:p w:rsidR="00565FD5" w:rsidRPr="004B3DE4" w:rsidRDefault="00565FD5" w:rsidP="00565FD5">
      <w:pPr>
        <w:spacing w:before="120" w:after="180"/>
        <w:ind w:firstLine="425"/>
        <w:rPr>
          <w:rFonts w:eastAsia="PMingLiU" w:cs="Tahoma"/>
          <w:szCs w:val="18"/>
        </w:rPr>
      </w:pPr>
      <w:r w:rsidRPr="004B3DE4">
        <w:rPr>
          <w:rFonts w:eastAsia="PMingLiU" w:cs="Tahoma"/>
          <w:szCs w:val="18"/>
        </w:rPr>
        <w:t xml:space="preserve">Sağlık hizmet altyapısında son yıllarda özellikle yatak kapasitesi açısından iyileşmeler görülmektedir. 2006-2011 döneminde yatak kapasitesinde yüzde 17,7 oranında artış olmuştur. 2011 yılında yoğun bakım yatakları hariç yatak kapasitesinin yüzde 57,6’sı Sağlık Bakanlığına, yüzde 16,5’i üniversitelere, yüzde 15’i özel sektöre ve yüzde 10,8’i MSB’ye ve diğer kamu kurumlarına aittir. Tüm hastanelerdeki hasta odalarının içerisinde banyosu ve tuvaleti bulunan en fazla ikişer kişilik odalara dönüştürülmesine yönelik çalışmalara devam edilmektedir. </w:t>
      </w:r>
      <w:r w:rsidRPr="004B3DE4">
        <w:rPr>
          <w:rFonts w:eastAsia="PMingLiU" w:cs="Tahoma"/>
          <w:szCs w:val="18"/>
        </w:rPr>
        <w:lastRenderedPageBreak/>
        <w:t xml:space="preserve">Bu dönüşüm neticesinde nitelikli yatak sayısı 2002-2011 yılları arasında Sağlık Bakanlığına ait hastanelerde 6.839’dan 38.272’ye, üniversitelerde 6.402’den 14.292’ye ve özel sektörde ise 5.693’ten 23.542’ye yükselmiştir. </w:t>
      </w:r>
    </w:p>
    <w:p w:rsidR="00565FD5" w:rsidRPr="00981B4F" w:rsidRDefault="00565FD5" w:rsidP="00565FD5">
      <w:pPr>
        <w:pStyle w:val="ResimYazs"/>
        <w:rPr>
          <w:rFonts w:cs="Tahoma"/>
          <w:b w:val="0"/>
        </w:rPr>
      </w:pPr>
      <w:bookmarkStart w:id="2483" w:name="_Toc338606054"/>
      <w:bookmarkStart w:id="2484" w:name="_Toc338711829"/>
      <w:r>
        <w:t xml:space="preserve">TABLO IV: </w:t>
      </w:r>
      <w:fldSimple w:instr=" SEQ TABLO_IV: \* ARABIC ">
        <w:r>
          <w:rPr>
            <w:noProof/>
          </w:rPr>
          <w:t>59</w:t>
        </w:r>
      </w:fldSimple>
      <w:r w:rsidRPr="00B24821">
        <w:rPr>
          <w:rFonts w:cs="Tahoma"/>
        </w:rPr>
        <w:t>- Yıllar İtibarıyla Toplam Hasta Yatağı Sayısı ve Doluluk Oranları</w:t>
      </w:r>
      <w:bookmarkEnd w:id="2483"/>
      <w:bookmarkEnd w:id="24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1"/>
        <w:gridCol w:w="520"/>
        <w:gridCol w:w="519"/>
        <w:gridCol w:w="519"/>
        <w:gridCol w:w="738"/>
        <w:gridCol w:w="738"/>
        <w:gridCol w:w="738"/>
        <w:gridCol w:w="697"/>
        <w:gridCol w:w="742"/>
      </w:tblGrid>
      <w:tr w:rsidR="00565FD5" w:rsidRPr="009101C9" w:rsidTr="00AB62A3">
        <w:trPr>
          <w:trHeight w:val="170"/>
        </w:trPr>
        <w:tc>
          <w:tcPr>
            <w:tcW w:w="1356" w:type="pct"/>
            <w:shd w:val="clear" w:color="auto" w:fill="FFFFFF"/>
            <w:vAlign w:val="center"/>
          </w:tcPr>
          <w:p w:rsidR="00565FD5" w:rsidRPr="009101C9" w:rsidRDefault="00565FD5" w:rsidP="00AB62A3">
            <w:pPr>
              <w:keepNext/>
              <w:ind w:left="57" w:right="57" w:firstLine="425"/>
              <w:outlineLvl w:val="3"/>
              <w:rPr>
                <w:rFonts w:cs="Tahoma"/>
                <w:b/>
                <w:sz w:val="14"/>
                <w:szCs w:val="14"/>
              </w:rPr>
            </w:pPr>
          </w:p>
        </w:tc>
        <w:tc>
          <w:tcPr>
            <w:tcW w:w="363" w:type="pct"/>
            <w:shd w:val="clear" w:color="auto" w:fill="FFFFFF"/>
            <w:vAlign w:val="center"/>
          </w:tcPr>
          <w:p w:rsidR="00565FD5" w:rsidRPr="009101C9" w:rsidRDefault="00565FD5" w:rsidP="00AB62A3">
            <w:pPr>
              <w:ind w:left="57" w:right="57"/>
              <w:jc w:val="center"/>
              <w:rPr>
                <w:rFonts w:cs="Tahoma"/>
                <w:b/>
                <w:sz w:val="14"/>
                <w:szCs w:val="14"/>
              </w:rPr>
            </w:pPr>
            <w:r w:rsidRPr="009101C9">
              <w:rPr>
                <w:rFonts w:cs="Tahoma"/>
                <w:b/>
                <w:sz w:val="14"/>
                <w:szCs w:val="14"/>
              </w:rPr>
              <w:t>2006</w:t>
            </w:r>
          </w:p>
        </w:tc>
        <w:tc>
          <w:tcPr>
            <w:tcW w:w="363" w:type="pct"/>
            <w:shd w:val="clear" w:color="auto" w:fill="FFFFFF"/>
            <w:vAlign w:val="center"/>
          </w:tcPr>
          <w:p w:rsidR="00565FD5" w:rsidRPr="009101C9" w:rsidRDefault="00565FD5" w:rsidP="00AB62A3">
            <w:pPr>
              <w:ind w:left="57" w:right="57"/>
              <w:jc w:val="center"/>
              <w:rPr>
                <w:rFonts w:cs="Tahoma"/>
                <w:b/>
                <w:sz w:val="14"/>
                <w:szCs w:val="14"/>
              </w:rPr>
            </w:pPr>
            <w:r w:rsidRPr="009101C9">
              <w:rPr>
                <w:rFonts w:cs="Tahoma"/>
                <w:b/>
                <w:sz w:val="14"/>
                <w:szCs w:val="14"/>
              </w:rPr>
              <w:t>2007</w:t>
            </w:r>
          </w:p>
        </w:tc>
        <w:tc>
          <w:tcPr>
            <w:tcW w:w="363" w:type="pct"/>
            <w:shd w:val="clear" w:color="auto" w:fill="FFFFFF"/>
            <w:vAlign w:val="center"/>
          </w:tcPr>
          <w:p w:rsidR="00565FD5" w:rsidRPr="009101C9" w:rsidRDefault="00565FD5" w:rsidP="00AB62A3">
            <w:pPr>
              <w:ind w:left="57" w:right="57"/>
              <w:jc w:val="center"/>
              <w:rPr>
                <w:rFonts w:cs="Tahoma"/>
                <w:b/>
                <w:sz w:val="14"/>
                <w:szCs w:val="14"/>
              </w:rPr>
            </w:pPr>
            <w:r w:rsidRPr="009101C9">
              <w:rPr>
                <w:rFonts w:cs="Tahoma"/>
                <w:b/>
                <w:sz w:val="14"/>
                <w:szCs w:val="14"/>
              </w:rPr>
              <w:t>2008</w:t>
            </w:r>
          </w:p>
        </w:tc>
        <w:tc>
          <w:tcPr>
            <w:tcW w:w="516" w:type="pct"/>
            <w:shd w:val="clear" w:color="auto" w:fill="FFFFFF"/>
            <w:vAlign w:val="center"/>
          </w:tcPr>
          <w:p w:rsidR="00565FD5" w:rsidRPr="009101C9" w:rsidRDefault="00565FD5" w:rsidP="00AB62A3">
            <w:pPr>
              <w:ind w:left="57" w:right="57"/>
              <w:jc w:val="center"/>
              <w:rPr>
                <w:rFonts w:cs="Tahoma"/>
                <w:b/>
                <w:sz w:val="14"/>
                <w:szCs w:val="14"/>
              </w:rPr>
            </w:pPr>
            <w:r w:rsidRPr="009101C9">
              <w:rPr>
                <w:rFonts w:cs="Tahoma"/>
                <w:b/>
                <w:sz w:val="14"/>
                <w:szCs w:val="14"/>
              </w:rPr>
              <w:t>2009(2)</w:t>
            </w:r>
          </w:p>
        </w:tc>
        <w:tc>
          <w:tcPr>
            <w:tcW w:w="516" w:type="pct"/>
            <w:shd w:val="clear" w:color="auto" w:fill="FFFFFF"/>
            <w:vAlign w:val="center"/>
          </w:tcPr>
          <w:p w:rsidR="00565FD5" w:rsidRPr="009101C9" w:rsidRDefault="00565FD5" w:rsidP="00AB62A3">
            <w:pPr>
              <w:ind w:left="57" w:right="57"/>
              <w:jc w:val="center"/>
              <w:rPr>
                <w:rFonts w:cs="Tahoma"/>
                <w:b/>
                <w:sz w:val="14"/>
                <w:szCs w:val="14"/>
              </w:rPr>
            </w:pPr>
            <w:r w:rsidRPr="009101C9">
              <w:rPr>
                <w:rFonts w:cs="Tahoma"/>
                <w:b/>
                <w:sz w:val="14"/>
                <w:szCs w:val="14"/>
              </w:rPr>
              <w:t>2010(3)</w:t>
            </w:r>
          </w:p>
        </w:tc>
        <w:tc>
          <w:tcPr>
            <w:tcW w:w="516" w:type="pct"/>
            <w:shd w:val="clear" w:color="auto" w:fill="FFFFFF"/>
            <w:vAlign w:val="center"/>
          </w:tcPr>
          <w:p w:rsidR="00565FD5" w:rsidRPr="009101C9" w:rsidRDefault="00565FD5" w:rsidP="00AB62A3">
            <w:pPr>
              <w:ind w:left="57" w:right="57"/>
              <w:jc w:val="center"/>
              <w:rPr>
                <w:rFonts w:cs="Tahoma"/>
                <w:b/>
                <w:sz w:val="14"/>
                <w:szCs w:val="14"/>
              </w:rPr>
            </w:pPr>
            <w:r w:rsidRPr="009101C9">
              <w:rPr>
                <w:rFonts w:cs="Tahoma"/>
                <w:b/>
                <w:sz w:val="14"/>
                <w:szCs w:val="14"/>
              </w:rPr>
              <w:t>2011(4)</w:t>
            </w:r>
          </w:p>
        </w:tc>
        <w:tc>
          <w:tcPr>
            <w:tcW w:w="487" w:type="pct"/>
            <w:shd w:val="clear" w:color="auto" w:fill="FFFFFF"/>
            <w:vAlign w:val="center"/>
          </w:tcPr>
          <w:p w:rsidR="00565FD5" w:rsidRPr="009101C9" w:rsidRDefault="00565FD5" w:rsidP="00AB62A3">
            <w:pPr>
              <w:ind w:left="57" w:right="57"/>
              <w:jc w:val="center"/>
              <w:rPr>
                <w:rFonts w:cs="Tahoma"/>
                <w:b/>
                <w:sz w:val="14"/>
                <w:szCs w:val="14"/>
              </w:rPr>
            </w:pPr>
            <w:r w:rsidRPr="009101C9">
              <w:rPr>
                <w:rFonts w:cs="Tahoma"/>
                <w:b/>
                <w:sz w:val="14"/>
                <w:szCs w:val="14"/>
              </w:rPr>
              <w:t>OECD  (5)</w:t>
            </w:r>
          </w:p>
        </w:tc>
        <w:tc>
          <w:tcPr>
            <w:tcW w:w="519" w:type="pct"/>
            <w:shd w:val="clear" w:color="auto" w:fill="FFFFFF"/>
            <w:vAlign w:val="center"/>
          </w:tcPr>
          <w:p w:rsidR="00565FD5" w:rsidRPr="009101C9" w:rsidRDefault="00565FD5" w:rsidP="00AB62A3">
            <w:pPr>
              <w:ind w:left="57" w:right="57"/>
              <w:jc w:val="center"/>
              <w:rPr>
                <w:rFonts w:cs="Tahoma"/>
                <w:b/>
                <w:sz w:val="14"/>
                <w:szCs w:val="14"/>
              </w:rPr>
            </w:pPr>
            <w:r w:rsidRPr="009101C9">
              <w:rPr>
                <w:rFonts w:cs="Tahoma"/>
                <w:b/>
                <w:sz w:val="14"/>
                <w:szCs w:val="14"/>
              </w:rPr>
              <w:t>AB-27 (6)</w:t>
            </w:r>
          </w:p>
        </w:tc>
      </w:tr>
      <w:tr w:rsidR="00565FD5" w:rsidRPr="009101C9" w:rsidTr="00AB62A3">
        <w:trPr>
          <w:trHeight w:val="340"/>
        </w:trPr>
        <w:tc>
          <w:tcPr>
            <w:tcW w:w="1356" w:type="pct"/>
            <w:tcBorders>
              <w:bottom w:val="nil"/>
            </w:tcBorders>
            <w:shd w:val="clear" w:color="auto" w:fill="FFFFFF"/>
            <w:vAlign w:val="center"/>
          </w:tcPr>
          <w:p w:rsidR="00565FD5" w:rsidRPr="009101C9" w:rsidRDefault="00565FD5" w:rsidP="00AB62A3">
            <w:pPr>
              <w:ind w:left="57" w:right="57"/>
              <w:rPr>
                <w:rFonts w:cs="Tahoma"/>
                <w:sz w:val="14"/>
                <w:szCs w:val="14"/>
              </w:rPr>
            </w:pPr>
            <w:r w:rsidRPr="009101C9">
              <w:rPr>
                <w:rFonts w:cs="Tahoma"/>
                <w:sz w:val="14"/>
                <w:szCs w:val="14"/>
              </w:rPr>
              <w:t>Yatak Sayısı (1) (Bin)</w:t>
            </w:r>
          </w:p>
        </w:tc>
        <w:tc>
          <w:tcPr>
            <w:tcW w:w="363" w:type="pct"/>
            <w:tcBorders>
              <w:bottom w:val="nil"/>
            </w:tcBorders>
            <w:shd w:val="clear" w:color="auto" w:fill="FFFFFF"/>
            <w:vAlign w:val="center"/>
          </w:tcPr>
          <w:p w:rsidR="00565FD5" w:rsidRPr="009101C9" w:rsidRDefault="00565FD5" w:rsidP="00AB62A3">
            <w:pPr>
              <w:tabs>
                <w:tab w:val="center" w:pos="4153"/>
                <w:tab w:val="right" w:pos="8306"/>
              </w:tabs>
              <w:ind w:left="57" w:right="57"/>
              <w:jc w:val="center"/>
              <w:rPr>
                <w:rFonts w:cs="Tahoma"/>
                <w:sz w:val="14"/>
                <w:szCs w:val="14"/>
              </w:rPr>
            </w:pPr>
            <w:r w:rsidRPr="009101C9">
              <w:rPr>
                <w:rFonts w:cs="Tahoma"/>
                <w:sz w:val="14"/>
                <w:szCs w:val="14"/>
              </w:rPr>
              <w:t>196,6</w:t>
            </w:r>
          </w:p>
        </w:tc>
        <w:tc>
          <w:tcPr>
            <w:tcW w:w="363" w:type="pct"/>
            <w:tcBorders>
              <w:bottom w:val="nil"/>
            </w:tcBorders>
            <w:shd w:val="clear" w:color="auto" w:fill="FFFFFF"/>
            <w:vAlign w:val="center"/>
          </w:tcPr>
          <w:p w:rsidR="00565FD5" w:rsidRPr="009101C9" w:rsidRDefault="00565FD5" w:rsidP="00AB62A3">
            <w:pPr>
              <w:tabs>
                <w:tab w:val="center" w:pos="4153"/>
                <w:tab w:val="right" w:pos="8306"/>
              </w:tabs>
              <w:ind w:left="57" w:right="57"/>
              <w:jc w:val="center"/>
              <w:rPr>
                <w:rFonts w:cs="Tahoma"/>
                <w:sz w:val="14"/>
                <w:szCs w:val="14"/>
              </w:rPr>
            </w:pPr>
            <w:r w:rsidRPr="009101C9">
              <w:rPr>
                <w:rFonts w:cs="Tahoma"/>
                <w:sz w:val="14"/>
                <w:szCs w:val="14"/>
              </w:rPr>
              <w:t>200,8</w:t>
            </w:r>
          </w:p>
        </w:tc>
        <w:tc>
          <w:tcPr>
            <w:tcW w:w="363" w:type="pct"/>
            <w:tcBorders>
              <w:bottom w:val="nil"/>
            </w:tcBorders>
            <w:shd w:val="clear" w:color="auto" w:fill="FFFFFF"/>
            <w:vAlign w:val="center"/>
          </w:tcPr>
          <w:p w:rsidR="00565FD5" w:rsidRPr="009101C9" w:rsidRDefault="00565FD5" w:rsidP="00AB62A3">
            <w:pPr>
              <w:tabs>
                <w:tab w:val="center" w:pos="4153"/>
                <w:tab w:val="right" w:pos="8306"/>
              </w:tabs>
              <w:ind w:left="57" w:right="57"/>
              <w:jc w:val="center"/>
              <w:rPr>
                <w:rFonts w:cs="Tahoma"/>
                <w:strike/>
                <w:sz w:val="14"/>
                <w:szCs w:val="14"/>
              </w:rPr>
            </w:pPr>
            <w:r w:rsidRPr="009101C9">
              <w:rPr>
                <w:rFonts w:cs="Tahoma"/>
                <w:sz w:val="14"/>
                <w:szCs w:val="14"/>
              </w:rPr>
              <w:t>204,1</w:t>
            </w:r>
          </w:p>
        </w:tc>
        <w:tc>
          <w:tcPr>
            <w:tcW w:w="516" w:type="pct"/>
            <w:tcBorders>
              <w:bottom w:val="nil"/>
            </w:tcBorders>
            <w:shd w:val="clear" w:color="auto" w:fill="FFFFFF"/>
            <w:vAlign w:val="center"/>
          </w:tcPr>
          <w:p w:rsidR="00565FD5" w:rsidRPr="009101C9" w:rsidRDefault="00565FD5" w:rsidP="00AB62A3">
            <w:pPr>
              <w:tabs>
                <w:tab w:val="center" w:pos="4153"/>
                <w:tab w:val="right" w:pos="8306"/>
              </w:tabs>
              <w:ind w:left="57" w:right="57"/>
              <w:jc w:val="center"/>
              <w:rPr>
                <w:rFonts w:cs="Tahoma"/>
                <w:sz w:val="14"/>
                <w:szCs w:val="14"/>
              </w:rPr>
            </w:pPr>
            <w:r w:rsidRPr="009101C9">
              <w:rPr>
                <w:rFonts w:cs="Tahoma"/>
                <w:sz w:val="14"/>
                <w:szCs w:val="14"/>
              </w:rPr>
              <w:t>211,6</w:t>
            </w:r>
          </w:p>
        </w:tc>
        <w:tc>
          <w:tcPr>
            <w:tcW w:w="516" w:type="pct"/>
            <w:tcBorders>
              <w:bottom w:val="nil"/>
            </w:tcBorders>
            <w:shd w:val="clear" w:color="auto" w:fill="FFFFFF"/>
            <w:vAlign w:val="center"/>
          </w:tcPr>
          <w:p w:rsidR="00565FD5" w:rsidRPr="009101C9" w:rsidRDefault="00565FD5" w:rsidP="00AB62A3">
            <w:pPr>
              <w:tabs>
                <w:tab w:val="center" w:pos="4153"/>
                <w:tab w:val="right" w:pos="8306"/>
              </w:tabs>
              <w:ind w:left="57" w:right="57"/>
              <w:jc w:val="center"/>
              <w:rPr>
                <w:rFonts w:cs="Tahoma"/>
                <w:sz w:val="14"/>
                <w:szCs w:val="14"/>
              </w:rPr>
            </w:pPr>
            <w:r w:rsidRPr="009101C9">
              <w:rPr>
                <w:rFonts w:cs="Tahoma"/>
                <w:sz w:val="14"/>
                <w:szCs w:val="14"/>
              </w:rPr>
              <w:t>218,9</w:t>
            </w:r>
          </w:p>
        </w:tc>
        <w:tc>
          <w:tcPr>
            <w:tcW w:w="516" w:type="pct"/>
            <w:tcBorders>
              <w:bottom w:val="nil"/>
            </w:tcBorders>
            <w:shd w:val="clear" w:color="auto" w:fill="FFFFFF"/>
            <w:vAlign w:val="center"/>
          </w:tcPr>
          <w:p w:rsidR="00565FD5" w:rsidRPr="009101C9" w:rsidRDefault="00565FD5" w:rsidP="00AB62A3">
            <w:pPr>
              <w:tabs>
                <w:tab w:val="center" w:pos="4153"/>
                <w:tab w:val="right" w:pos="8306"/>
              </w:tabs>
              <w:ind w:left="57" w:right="57"/>
              <w:jc w:val="center"/>
              <w:rPr>
                <w:rFonts w:cs="Tahoma"/>
                <w:sz w:val="14"/>
                <w:szCs w:val="14"/>
              </w:rPr>
            </w:pPr>
            <w:r w:rsidRPr="009101C9">
              <w:rPr>
                <w:rFonts w:cs="Tahoma"/>
                <w:sz w:val="14"/>
                <w:szCs w:val="14"/>
              </w:rPr>
              <w:t>231,4</w:t>
            </w:r>
          </w:p>
        </w:tc>
        <w:tc>
          <w:tcPr>
            <w:tcW w:w="487" w:type="pct"/>
            <w:tcBorders>
              <w:bottom w:val="nil"/>
            </w:tcBorders>
            <w:shd w:val="clear" w:color="auto" w:fill="FFFFFF"/>
            <w:vAlign w:val="center"/>
          </w:tcPr>
          <w:p w:rsidR="00565FD5" w:rsidRPr="009101C9" w:rsidRDefault="00565FD5" w:rsidP="00AB62A3">
            <w:pPr>
              <w:tabs>
                <w:tab w:val="center" w:pos="4153"/>
                <w:tab w:val="right" w:pos="8306"/>
              </w:tabs>
              <w:ind w:left="57" w:right="57"/>
              <w:jc w:val="center"/>
              <w:rPr>
                <w:rFonts w:cs="Tahoma"/>
                <w:sz w:val="14"/>
                <w:szCs w:val="14"/>
              </w:rPr>
            </w:pPr>
            <w:r w:rsidRPr="009101C9">
              <w:rPr>
                <w:rFonts w:cs="Tahoma"/>
                <w:sz w:val="14"/>
                <w:szCs w:val="14"/>
              </w:rPr>
              <w:t>-</w:t>
            </w:r>
          </w:p>
        </w:tc>
        <w:tc>
          <w:tcPr>
            <w:tcW w:w="519" w:type="pct"/>
            <w:tcBorders>
              <w:bottom w:val="nil"/>
            </w:tcBorders>
            <w:shd w:val="clear" w:color="auto" w:fill="FFFFFF"/>
            <w:vAlign w:val="center"/>
          </w:tcPr>
          <w:p w:rsidR="00565FD5" w:rsidRPr="009101C9" w:rsidRDefault="00565FD5" w:rsidP="00AB62A3">
            <w:pPr>
              <w:tabs>
                <w:tab w:val="center" w:pos="4153"/>
                <w:tab w:val="right" w:pos="8306"/>
              </w:tabs>
              <w:ind w:left="57" w:right="57"/>
              <w:jc w:val="center"/>
              <w:rPr>
                <w:rFonts w:cs="Tahoma"/>
                <w:sz w:val="14"/>
                <w:szCs w:val="14"/>
              </w:rPr>
            </w:pPr>
            <w:r w:rsidRPr="009101C9">
              <w:rPr>
                <w:rFonts w:cs="Tahoma"/>
                <w:sz w:val="14"/>
                <w:szCs w:val="14"/>
              </w:rPr>
              <w:t>-</w:t>
            </w:r>
          </w:p>
        </w:tc>
      </w:tr>
      <w:tr w:rsidR="00565FD5" w:rsidRPr="009101C9" w:rsidTr="00AB62A3">
        <w:trPr>
          <w:trHeight w:val="340"/>
        </w:trPr>
        <w:tc>
          <w:tcPr>
            <w:tcW w:w="1356" w:type="pct"/>
            <w:tcBorders>
              <w:top w:val="nil"/>
              <w:bottom w:val="nil"/>
            </w:tcBorders>
            <w:shd w:val="clear" w:color="auto" w:fill="FFFFFF"/>
            <w:vAlign w:val="center"/>
          </w:tcPr>
          <w:p w:rsidR="00565FD5" w:rsidRPr="009101C9" w:rsidRDefault="00565FD5" w:rsidP="00AB62A3">
            <w:pPr>
              <w:ind w:left="57" w:right="57"/>
              <w:rPr>
                <w:rFonts w:cs="Tahoma"/>
                <w:sz w:val="14"/>
                <w:szCs w:val="14"/>
              </w:rPr>
            </w:pPr>
            <w:r w:rsidRPr="009101C9">
              <w:rPr>
                <w:rFonts w:cs="Tahoma"/>
                <w:sz w:val="14"/>
                <w:szCs w:val="14"/>
              </w:rPr>
              <w:t>10.000 kişiye Düşen Yatak Sayısı</w:t>
            </w:r>
          </w:p>
        </w:tc>
        <w:tc>
          <w:tcPr>
            <w:tcW w:w="363" w:type="pct"/>
            <w:tcBorders>
              <w:top w:val="nil"/>
              <w:bottom w:val="nil"/>
            </w:tcBorders>
            <w:shd w:val="clear" w:color="auto" w:fill="FFFFFF"/>
            <w:vAlign w:val="center"/>
          </w:tcPr>
          <w:p w:rsidR="00565FD5" w:rsidRPr="009101C9" w:rsidRDefault="00565FD5" w:rsidP="00AB62A3">
            <w:pPr>
              <w:tabs>
                <w:tab w:val="center" w:pos="4153"/>
                <w:tab w:val="right" w:pos="8306"/>
              </w:tabs>
              <w:ind w:left="57" w:right="57"/>
              <w:jc w:val="center"/>
              <w:rPr>
                <w:rFonts w:cs="Tahoma"/>
                <w:sz w:val="14"/>
                <w:szCs w:val="14"/>
              </w:rPr>
            </w:pPr>
            <w:r w:rsidRPr="009101C9">
              <w:rPr>
                <w:rFonts w:cs="Tahoma"/>
                <w:sz w:val="14"/>
                <w:szCs w:val="14"/>
              </w:rPr>
              <w:t>28,3</w:t>
            </w:r>
          </w:p>
        </w:tc>
        <w:tc>
          <w:tcPr>
            <w:tcW w:w="363" w:type="pct"/>
            <w:tcBorders>
              <w:top w:val="nil"/>
              <w:bottom w:val="nil"/>
            </w:tcBorders>
            <w:shd w:val="clear" w:color="auto" w:fill="FFFFFF"/>
            <w:vAlign w:val="center"/>
          </w:tcPr>
          <w:p w:rsidR="00565FD5" w:rsidRPr="009101C9" w:rsidRDefault="00565FD5" w:rsidP="00AB62A3">
            <w:pPr>
              <w:tabs>
                <w:tab w:val="center" w:pos="4153"/>
                <w:tab w:val="right" w:pos="8306"/>
              </w:tabs>
              <w:ind w:left="57" w:right="57"/>
              <w:jc w:val="center"/>
              <w:rPr>
                <w:rFonts w:cs="Tahoma"/>
                <w:sz w:val="14"/>
                <w:szCs w:val="14"/>
              </w:rPr>
            </w:pPr>
            <w:r w:rsidRPr="009101C9">
              <w:rPr>
                <w:rFonts w:cs="Tahoma"/>
                <w:sz w:val="14"/>
                <w:szCs w:val="14"/>
              </w:rPr>
              <w:t>28,6</w:t>
            </w:r>
          </w:p>
        </w:tc>
        <w:tc>
          <w:tcPr>
            <w:tcW w:w="363" w:type="pct"/>
            <w:tcBorders>
              <w:top w:val="nil"/>
              <w:bottom w:val="nil"/>
            </w:tcBorders>
            <w:shd w:val="clear" w:color="auto" w:fill="FFFFFF"/>
            <w:vAlign w:val="center"/>
          </w:tcPr>
          <w:p w:rsidR="00565FD5" w:rsidRPr="009101C9" w:rsidRDefault="00565FD5" w:rsidP="00AB62A3">
            <w:pPr>
              <w:tabs>
                <w:tab w:val="center" w:pos="4153"/>
                <w:tab w:val="right" w:pos="8306"/>
              </w:tabs>
              <w:ind w:left="57" w:right="57"/>
              <w:jc w:val="center"/>
              <w:rPr>
                <w:rFonts w:cs="Tahoma"/>
                <w:strike/>
                <w:sz w:val="14"/>
                <w:szCs w:val="14"/>
              </w:rPr>
            </w:pPr>
            <w:r w:rsidRPr="009101C9">
              <w:rPr>
                <w:rFonts w:cs="Tahoma"/>
                <w:sz w:val="14"/>
                <w:szCs w:val="14"/>
              </w:rPr>
              <w:t>28,7</w:t>
            </w:r>
          </w:p>
        </w:tc>
        <w:tc>
          <w:tcPr>
            <w:tcW w:w="516" w:type="pct"/>
            <w:tcBorders>
              <w:top w:val="nil"/>
              <w:bottom w:val="nil"/>
            </w:tcBorders>
            <w:shd w:val="clear" w:color="auto" w:fill="FFFFFF"/>
            <w:vAlign w:val="center"/>
          </w:tcPr>
          <w:p w:rsidR="00565FD5" w:rsidRPr="009101C9" w:rsidRDefault="00565FD5" w:rsidP="00AB62A3">
            <w:pPr>
              <w:tabs>
                <w:tab w:val="center" w:pos="4153"/>
                <w:tab w:val="right" w:pos="8306"/>
              </w:tabs>
              <w:ind w:left="57" w:right="57"/>
              <w:jc w:val="center"/>
              <w:rPr>
                <w:rFonts w:cs="Tahoma"/>
                <w:sz w:val="14"/>
                <w:szCs w:val="14"/>
              </w:rPr>
            </w:pPr>
            <w:r w:rsidRPr="009101C9">
              <w:rPr>
                <w:rFonts w:cs="Tahoma"/>
                <w:sz w:val="14"/>
                <w:szCs w:val="14"/>
              </w:rPr>
              <w:t>29,2</w:t>
            </w:r>
          </w:p>
        </w:tc>
        <w:tc>
          <w:tcPr>
            <w:tcW w:w="516" w:type="pct"/>
            <w:tcBorders>
              <w:top w:val="nil"/>
              <w:bottom w:val="nil"/>
            </w:tcBorders>
            <w:shd w:val="clear" w:color="auto" w:fill="FFFFFF"/>
            <w:vAlign w:val="center"/>
          </w:tcPr>
          <w:p w:rsidR="00565FD5" w:rsidRPr="009101C9" w:rsidRDefault="00565FD5" w:rsidP="00AB62A3">
            <w:pPr>
              <w:tabs>
                <w:tab w:val="center" w:pos="4153"/>
                <w:tab w:val="right" w:pos="8306"/>
              </w:tabs>
              <w:ind w:right="57"/>
              <w:jc w:val="center"/>
              <w:rPr>
                <w:rFonts w:cs="Tahoma"/>
                <w:sz w:val="14"/>
                <w:szCs w:val="14"/>
              </w:rPr>
            </w:pPr>
            <w:r w:rsidRPr="009101C9">
              <w:rPr>
                <w:rFonts w:cs="Tahoma"/>
                <w:sz w:val="14"/>
                <w:szCs w:val="14"/>
              </w:rPr>
              <w:t>29,9</w:t>
            </w:r>
          </w:p>
        </w:tc>
        <w:tc>
          <w:tcPr>
            <w:tcW w:w="516" w:type="pct"/>
            <w:tcBorders>
              <w:top w:val="nil"/>
              <w:bottom w:val="nil"/>
            </w:tcBorders>
            <w:shd w:val="clear" w:color="auto" w:fill="FFFFFF"/>
            <w:vAlign w:val="center"/>
          </w:tcPr>
          <w:p w:rsidR="00565FD5" w:rsidRPr="009101C9" w:rsidRDefault="00565FD5" w:rsidP="00AB62A3">
            <w:pPr>
              <w:tabs>
                <w:tab w:val="center" w:pos="4153"/>
                <w:tab w:val="right" w:pos="8306"/>
              </w:tabs>
              <w:ind w:left="57" w:right="57"/>
              <w:jc w:val="center"/>
              <w:rPr>
                <w:rFonts w:cs="Tahoma"/>
                <w:sz w:val="14"/>
                <w:szCs w:val="14"/>
              </w:rPr>
            </w:pPr>
            <w:r w:rsidRPr="009101C9">
              <w:rPr>
                <w:rFonts w:cs="Tahoma"/>
                <w:sz w:val="14"/>
                <w:szCs w:val="14"/>
              </w:rPr>
              <w:t>31,3</w:t>
            </w:r>
          </w:p>
        </w:tc>
        <w:tc>
          <w:tcPr>
            <w:tcW w:w="487" w:type="pct"/>
            <w:tcBorders>
              <w:top w:val="nil"/>
              <w:bottom w:val="nil"/>
            </w:tcBorders>
            <w:shd w:val="clear" w:color="auto" w:fill="FFFFFF"/>
            <w:vAlign w:val="center"/>
          </w:tcPr>
          <w:p w:rsidR="00565FD5" w:rsidRPr="009101C9" w:rsidRDefault="00565FD5" w:rsidP="00AB62A3">
            <w:pPr>
              <w:tabs>
                <w:tab w:val="center" w:pos="4153"/>
                <w:tab w:val="right" w:pos="8306"/>
              </w:tabs>
              <w:ind w:left="57" w:right="57"/>
              <w:jc w:val="center"/>
              <w:rPr>
                <w:rFonts w:cs="Tahoma"/>
                <w:sz w:val="14"/>
                <w:szCs w:val="14"/>
              </w:rPr>
            </w:pPr>
            <w:r w:rsidRPr="009101C9">
              <w:rPr>
                <w:rFonts w:cs="Tahoma"/>
                <w:sz w:val="14"/>
                <w:szCs w:val="14"/>
              </w:rPr>
              <w:t>49</w:t>
            </w:r>
          </w:p>
        </w:tc>
        <w:tc>
          <w:tcPr>
            <w:tcW w:w="519" w:type="pct"/>
            <w:tcBorders>
              <w:top w:val="nil"/>
              <w:bottom w:val="nil"/>
            </w:tcBorders>
            <w:shd w:val="clear" w:color="auto" w:fill="FFFFFF"/>
            <w:vAlign w:val="center"/>
          </w:tcPr>
          <w:p w:rsidR="00565FD5" w:rsidRPr="009101C9" w:rsidRDefault="00565FD5" w:rsidP="00AB62A3">
            <w:pPr>
              <w:tabs>
                <w:tab w:val="center" w:pos="4153"/>
                <w:tab w:val="right" w:pos="8306"/>
              </w:tabs>
              <w:ind w:left="57" w:right="57"/>
              <w:jc w:val="center"/>
              <w:rPr>
                <w:rFonts w:cs="Tahoma"/>
                <w:sz w:val="14"/>
                <w:szCs w:val="14"/>
              </w:rPr>
            </w:pPr>
            <w:r w:rsidRPr="009101C9">
              <w:rPr>
                <w:rFonts w:cs="Tahoma"/>
                <w:sz w:val="14"/>
                <w:szCs w:val="14"/>
              </w:rPr>
              <w:t>54,5</w:t>
            </w:r>
          </w:p>
        </w:tc>
      </w:tr>
      <w:tr w:rsidR="00565FD5" w:rsidRPr="009101C9" w:rsidTr="00AB62A3">
        <w:trPr>
          <w:trHeight w:val="340"/>
        </w:trPr>
        <w:tc>
          <w:tcPr>
            <w:tcW w:w="1356" w:type="pct"/>
            <w:tcBorders>
              <w:top w:val="nil"/>
            </w:tcBorders>
            <w:shd w:val="clear" w:color="auto" w:fill="FFFFFF"/>
            <w:vAlign w:val="center"/>
          </w:tcPr>
          <w:p w:rsidR="00565FD5" w:rsidRPr="009101C9" w:rsidRDefault="00565FD5" w:rsidP="00AB62A3">
            <w:pPr>
              <w:ind w:left="57" w:right="57"/>
              <w:rPr>
                <w:rFonts w:cs="Tahoma"/>
                <w:sz w:val="14"/>
                <w:szCs w:val="14"/>
              </w:rPr>
            </w:pPr>
            <w:r w:rsidRPr="009101C9">
              <w:rPr>
                <w:rFonts w:cs="Tahoma"/>
                <w:sz w:val="14"/>
                <w:szCs w:val="14"/>
              </w:rPr>
              <w:t>Yatak Doluluk Oranı (Yüzde)</w:t>
            </w:r>
          </w:p>
        </w:tc>
        <w:tc>
          <w:tcPr>
            <w:tcW w:w="363" w:type="pct"/>
            <w:tcBorders>
              <w:top w:val="nil"/>
            </w:tcBorders>
            <w:shd w:val="clear" w:color="auto" w:fill="FFFFFF"/>
            <w:vAlign w:val="center"/>
          </w:tcPr>
          <w:p w:rsidR="00565FD5" w:rsidRPr="009101C9" w:rsidRDefault="00565FD5" w:rsidP="00AB62A3">
            <w:pPr>
              <w:tabs>
                <w:tab w:val="center" w:pos="4153"/>
                <w:tab w:val="right" w:pos="8306"/>
              </w:tabs>
              <w:ind w:left="57" w:right="57"/>
              <w:jc w:val="center"/>
              <w:rPr>
                <w:rFonts w:cs="Tahoma"/>
                <w:sz w:val="14"/>
                <w:szCs w:val="14"/>
              </w:rPr>
            </w:pPr>
            <w:r w:rsidRPr="009101C9">
              <w:rPr>
                <w:rFonts w:cs="Tahoma"/>
                <w:sz w:val="14"/>
                <w:szCs w:val="14"/>
              </w:rPr>
              <w:t>64,4</w:t>
            </w:r>
          </w:p>
        </w:tc>
        <w:tc>
          <w:tcPr>
            <w:tcW w:w="363" w:type="pct"/>
            <w:tcBorders>
              <w:top w:val="nil"/>
            </w:tcBorders>
            <w:shd w:val="clear" w:color="auto" w:fill="FFFFFF"/>
            <w:vAlign w:val="center"/>
          </w:tcPr>
          <w:p w:rsidR="00565FD5" w:rsidRPr="009101C9" w:rsidRDefault="00565FD5" w:rsidP="00AB62A3">
            <w:pPr>
              <w:tabs>
                <w:tab w:val="center" w:pos="4153"/>
                <w:tab w:val="right" w:pos="8306"/>
              </w:tabs>
              <w:ind w:left="57" w:right="57"/>
              <w:jc w:val="center"/>
              <w:rPr>
                <w:rFonts w:cs="Tahoma"/>
                <w:sz w:val="14"/>
                <w:szCs w:val="14"/>
              </w:rPr>
            </w:pPr>
            <w:r w:rsidRPr="009101C9">
              <w:rPr>
                <w:rFonts w:cs="Tahoma"/>
                <w:sz w:val="14"/>
                <w:szCs w:val="14"/>
              </w:rPr>
              <w:t>61,7</w:t>
            </w:r>
          </w:p>
        </w:tc>
        <w:tc>
          <w:tcPr>
            <w:tcW w:w="363" w:type="pct"/>
            <w:tcBorders>
              <w:top w:val="nil"/>
            </w:tcBorders>
            <w:shd w:val="clear" w:color="auto" w:fill="FFFFFF"/>
            <w:vAlign w:val="center"/>
          </w:tcPr>
          <w:p w:rsidR="00565FD5" w:rsidRPr="009101C9" w:rsidRDefault="00565FD5" w:rsidP="00AB62A3">
            <w:pPr>
              <w:tabs>
                <w:tab w:val="center" w:pos="4153"/>
                <w:tab w:val="right" w:pos="8306"/>
              </w:tabs>
              <w:ind w:left="57" w:right="57"/>
              <w:jc w:val="center"/>
              <w:rPr>
                <w:rFonts w:cs="Tahoma"/>
                <w:sz w:val="14"/>
                <w:szCs w:val="14"/>
              </w:rPr>
            </w:pPr>
            <w:r w:rsidRPr="009101C9">
              <w:rPr>
                <w:rFonts w:cs="Tahoma"/>
                <w:sz w:val="14"/>
                <w:szCs w:val="14"/>
              </w:rPr>
              <w:t>63,8</w:t>
            </w:r>
          </w:p>
        </w:tc>
        <w:tc>
          <w:tcPr>
            <w:tcW w:w="516" w:type="pct"/>
            <w:tcBorders>
              <w:top w:val="nil"/>
            </w:tcBorders>
            <w:shd w:val="clear" w:color="auto" w:fill="FFFFFF"/>
            <w:vAlign w:val="center"/>
          </w:tcPr>
          <w:p w:rsidR="00565FD5" w:rsidRPr="009101C9" w:rsidRDefault="00565FD5" w:rsidP="00AB62A3">
            <w:pPr>
              <w:tabs>
                <w:tab w:val="center" w:pos="4153"/>
                <w:tab w:val="right" w:pos="8306"/>
              </w:tabs>
              <w:ind w:right="57"/>
              <w:jc w:val="center"/>
              <w:rPr>
                <w:rFonts w:cs="Tahoma"/>
                <w:sz w:val="14"/>
                <w:szCs w:val="14"/>
              </w:rPr>
            </w:pPr>
            <w:r w:rsidRPr="009101C9">
              <w:rPr>
                <w:rFonts w:cs="Tahoma"/>
                <w:sz w:val="14"/>
                <w:szCs w:val="14"/>
              </w:rPr>
              <w:t>62,9</w:t>
            </w:r>
          </w:p>
        </w:tc>
        <w:tc>
          <w:tcPr>
            <w:tcW w:w="516" w:type="pct"/>
            <w:tcBorders>
              <w:top w:val="nil"/>
            </w:tcBorders>
            <w:shd w:val="clear" w:color="auto" w:fill="FFFFFF"/>
            <w:vAlign w:val="center"/>
          </w:tcPr>
          <w:p w:rsidR="00565FD5" w:rsidRPr="009101C9" w:rsidRDefault="00565FD5" w:rsidP="00AB62A3">
            <w:pPr>
              <w:tabs>
                <w:tab w:val="center" w:pos="4153"/>
                <w:tab w:val="right" w:pos="8306"/>
              </w:tabs>
              <w:ind w:left="57" w:right="57"/>
              <w:jc w:val="center"/>
              <w:rPr>
                <w:rFonts w:cs="Tahoma"/>
                <w:sz w:val="14"/>
                <w:szCs w:val="14"/>
              </w:rPr>
            </w:pPr>
            <w:r w:rsidRPr="009101C9">
              <w:rPr>
                <w:rFonts w:cs="Tahoma"/>
                <w:sz w:val="14"/>
                <w:szCs w:val="14"/>
              </w:rPr>
              <w:t>63,9</w:t>
            </w:r>
          </w:p>
        </w:tc>
        <w:tc>
          <w:tcPr>
            <w:tcW w:w="516" w:type="pct"/>
            <w:tcBorders>
              <w:top w:val="nil"/>
            </w:tcBorders>
            <w:shd w:val="clear" w:color="auto" w:fill="FFFFFF"/>
            <w:vAlign w:val="center"/>
          </w:tcPr>
          <w:p w:rsidR="00565FD5" w:rsidRPr="009101C9" w:rsidRDefault="00565FD5" w:rsidP="00AB62A3">
            <w:pPr>
              <w:tabs>
                <w:tab w:val="center" w:pos="4153"/>
                <w:tab w:val="right" w:pos="8306"/>
              </w:tabs>
              <w:ind w:right="57"/>
              <w:jc w:val="center"/>
              <w:rPr>
                <w:rFonts w:cs="Tahoma"/>
                <w:sz w:val="14"/>
                <w:szCs w:val="14"/>
              </w:rPr>
            </w:pPr>
            <w:r w:rsidRPr="009101C9">
              <w:rPr>
                <w:rFonts w:cs="Tahoma"/>
                <w:sz w:val="14"/>
                <w:szCs w:val="14"/>
              </w:rPr>
              <w:t>65,6</w:t>
            </w:r>
          </w:p>
        </w:tc>
        <w:tc>
          <w:tcPr>
            <w:tcW w:w="487" w:type="pct"/>
            <w:tcBorders>
              <w:top w:val="nil"/>
            </w:tcBorders>
            <w:shd w:val="clear" w:color="auto" w:fill="FFFFFF"/>
            <w:vAlign w:val="center"/>
          </w:tcPr>
          <w:p w:rsidR="00565FD5" w:rsidRPr="009101C9" w:rsidRDefault="00565FD5" w:rsidP="00AB62A3">
            <w:pPr>
              <w:tabs>
                <w:tab w:val="center" w:pos="4153"/>
                <w:tab w:val="right" w:pos="8306"/>
              </w:tabs>
              <w:ind w:right="57"/>
              <w:jc w:val="center"/>
              <w:rPr>
                <w:rFonts w:cs="Tahoma"/>
                <w:sz w:val="14"/>
                <w:szCs w:val="14"/>
              </w:rPr>
            </w:pPr>
            <w:r w:rsidRPr="009101C9">
              <w:rPr>
                <w:rFonts w:cs="Tahoma"/>
                <w:sz w:val="14"/>
                <w:szCs w:val="14"/>
              </w:rPr>
              <w:t>76</w:t>
            </w:r>
          </w:p>
        </w:tc>
        <w:tc>
          <w:tcPr>
            <w:tcW w:w="519" w:type="pct"/>
            <w:tcBorders>
              <w:top w:val="nil"/>
            </w:tcBorders>
            <w:shd w:val="clear" w:color="auto" w:fill="FFFFFF"/>
            <w:vAlign w:val="center"/>
          </w:tcPr>
          <w:p w:rsidR="00565FD5" w:rsidRPr="009101C9" w:rsidRDefault="00565FD5" w:rsidP="00AB62A3">
            <w:pPr>
              <w:tabs>
                <w:tab w:val="center" w:pos="4153"/>
                <w:tab w:val="right" w:pos="8306"/>
              </w:tabs>
              <w:ind w:left="57" w:right="57"/>
              <w:jc w:val="center"/>
              <w:rPr>
                <w:rFonts w:cs="Tahoma"/>
                <w:sz w:val="14"/>
                <w:szCs w:val="14"/>
              </w:rPr>
            </w:pPr>
            <w:r w:rsidRPr="009101C9">
              <w:rPr>
                <w:rFonts w:cs="Tahoma"/>
                <w:sz w:val="14"/>
                <w:szCs w:val="14"/>
              </w:rPr>
              <w:t>75,6</w:t>
            </w:r>
          </w:p>
        </w:tc>
      </w:tr>
    </w:tbl>
    <w:p w:rsidR="00565FD5" w:rsidRPr="004B3DE4" w:rsidRDefault="00565FD5" w:rsidP="00565FD5">
      <w:pPr>
        <w:rPr>
          <w:rFonts w:cs="Tahoma"/>
          <w:sz w:val="14"/>
          <w:szCs w:val="14"/>
        </w:rPr>
      </w:pPr>
      <w:r w:rsidRPr="004B3DE4">
        <w:rPr>
          <w:rFonts w:cs="Tahoma"/>
          <w:sz w:val="14"/>
          <w:szCs w:val="14"/>
        </w:rPr>
        <w:t>Kaynak: Sağlık Bakanlığı, Kalkınma Bakanlığı, DSÖ</w:t>
      </w:r>
    </w:p>
    <w:p w:rsidR="00565FD5" w:rsidRPr="004B3DE4" w:rsidRDefault="00565FD5" w:rsidP="00565FD5">
      <w:pPr>
        <w:rPr>
          <w:rFonts w:cs="Tahoma"/>
          <w:sz w:val="14"/>
          <w:szCs w:val="14"/>
        </w:rPr>
      </w:pPr>
      <w:r w:rsidRPr="004B3DE4">
        <w:rPr>
          <w:rFonts w:cs="Tahoma"/>
          <w:sz w:val="14"/>
          <w:szCs w:val="14"/>
        </w:rPr>
        <w:t>(1) Yoğun bakım ve Milli Savunma Bakanlığı  yatakları dahildir.</w:t>
      </w:r>
    </w:p>
    <w:p w:rsidR="00565FD5" w:rsidRPr="004B3DE4" w:rsidRDefault="00565FD5" w:rsidP="00565FD5">
      <w:pPr>
        <w:rPr>
          <w:rFonts w:cs="Tahoma"/>
          <w:sz w:val="14"/>
          <w:szCs w:val="14"/>
        </w:rPr>
      </w:pPr>
      <w:r w:rsidRPr="004B3DE4">
        <w:rPr>
          <w:rFonts w:cs="Tahoma"/>
          <w:sz w:val="14"/>
          <w:szCs w:val="14"/>
        </w:rPr>
        <w:t xml:space="preserve">(2) Sağlık Bakanlığı İstatistik Yıllığı 2009 </w:t>
      </w:r>
    </w:p>
    <w:p w:rsidR="00565FD5" w:rsidRPr="004B3DE4" w:rsidRDefault="00565FD5" w:rsidP="00565FD5">
      <w:pPr>
        <w:ind w:left="284" w:hanging="284"/>
        <w:rPr>
          <w:rFonts w:cs="Tahoma"/>
          <w:sz w:val="14"/>
          <w:szCs w:val="14"/>
        </w:rPr>
      </w:pPr>
      <w:r w:rsidRPr="004B3DE4">
        <w:rPr>
          <w:rFonts w:cs="Tahoma"/>
          <w:sz w:val="14"/>
          <w:szCs w:val="14"/>
        </w:rPr>
        <w:t>(3) Sağlık Bakanlığı,  Tedavi Hizmetleri Genel Müdürlüğü, Genel Bilgi Kitapçığı, Mart 2011 ve Sağlık Bakanlığı İstatistik Yıllığı 2010.</w:t>
      </w:r>
    </w:p>
    <w:p w:rsidR="00565FD5" w:rsidRPr="004B3DE4" w:rsidRDefault="00565FD5" w:rsidP="00565FD5">
      <w:pPr>
        <w:rPr>
          <w:rFonts w:cs="Tahoma"/>
          <w:sz w:val="14"/>
          <w:szCs w:val="14"/>
        </w:rPr>
      </w:pPr>
      <w:r w:rsidRPr="004B3DE4">
        <w:rPr>
          <w:rFonts w:cs="Tahoma"/>
          <w:sz w:val="14"/>
          <w:szCs w:val="14"/>
        </w:rPr>
        <w:t>(4) Sağlık Bakanlığı İstatistik Yıllığı 2011</w:t>
      </w:r>
    </w:p>
    <w:p w:rsidR="00565FD5" w:rsidRPr="004B3DE4" w:rsidRDefault="00565FD5" w:rsidP="00565FD5">
      <w:pPr>
        <w:rPr>
          <w:rFonts w:cs="Tahoma"/>
          <w:sz w:val="14"/>
          <w:szCs w:val="14"/>
        </w:rPr>
      </w:pPr>
      <w:r w:rsidRPr="004B3DE4">
        <w:rPr>
          <w:rFonts w:cs="Tahoma"/>
          <w:sz w:val="14"/>
          <w:szCs w:val="14"/>
        </w:rPr>
        <w:t xml:space="preserve">(5) OECD Health Data 2012 </w:t>
      </w:r>
    </w:p>
    <w:p w:rsidR="00565FD5" w:rsidRPr="004B3DE4" w:rsidRDefault="00565FD5" w:rsidP="00565FD5">
      <w:pPr>
        <w:spacing w:after="240"/>
        <w:rPr>
          <w:rFonts w:cs="Tahoma"/>
          <w:sz w:val="14"/>
          <w:szCs w:val="14"/>
        </w:rPr>
      </w:pPr>
      <w:r w:rsidRPr="004B3DE4">
        <w:rPr>
          <w:rFonts w:cs="Tahoma"/>
          <w:sz w:val="14"/>
          <w:szCs w:val="14"/>
        </w:rPr>
        <w:t>(6) DSÖ, Health for All Database, 2010</w:t>
      </w:r>
    </w:p>
    <w:p w:rsidR="00565FD5" w:rsidRPr="004B3DE4" w:rsidRDefault="00565FD5" w:rsidP="00565FD5">
      <w:pPr>
        <w:spacing w:before="120" w:after="180"/>
        <w:ind w:firstLine="425"/>
        <w:rPr>
          <w:rFonts w:eastAsia="PMingLiU" w:cs="Tahoma"/>
          <w:szCs w:val="18"/>
        </w:rPr>
      </w:pPr>
      <w:r w:rsidRPr="004B3DE4">
        <w:rPr>
          <w:rFonts w:eastAsia="PMingLiU" w:cs="Tahoma"/>
          <w:szCs w:val="18"/>
        </w:rPr>
        <w:t>Sağlık Bakanlığının düzenleme, denetleme ve planlama rollerini kuvvetlendirmek amacıyla, 02/11/2011 tarihli ve 663 sayılı Sağlık Bakanlığı ve Bağlı Kuruluşlarının Teşkilat ve Görevleri Hakkında Kanun Hükmünde Kararnameyle Sağlık Bakanlığının merkez ve taşra teşkilatı yeniden düzenlenmiştir. Söz konusu kararnameyle Sağlık Bakanlığının bağlı kuruluşları olarak, Birinci Basamak Sağlık Hizmetlerini, Bulaşıcı Hastalıklarla ve Bulaşıcı Olmayan Hastalıklarla Mücadele ve Kontrol Programlarını, Tüketici ve Çalışan Güvenliğine ilişkin çalışmaları yapmak amacıyla Türkiye Halk Sağlığı Kurumu; ilaç, biyolojik ürünler, tıbbi cihazlar ve kozmetik ürünler alanına ilişkin ruhsatlandırma, düzenleme ve denetleme işlerini yapmak, strateji ve proje geliştirmek amacıyla Türkiye İlaç ve Tıbbi Cihaz Kurumu; hastane, ağız ve diş sağlığı merkezi ve benzeri kuruluşların açılması, işletilmesi, birleştirilmesi ayrılması gibi işleri yürütmek, kurum bünyesinde kurulacak olan kamu hastane birliklerinin kurulmasını ve işletilmesini sağlamak, kendisine bağlı kuruluşların insangücü, yatırım ve mali planlamasını yapmak amacıyla ise Türkiye Kamu Hastaneleri Kurumu ihdas edilmiştir.</w:t>
      </w:r>
    </w:p>
    <w:p w:rsidR="00565FD5" w:rsidRPr="004B3DE4" w:rsidRDefault="00565FD5" w:rsidP="00565FD5">
      <w:pPr>
        <w:spacing w:before="120" w:after="180"/>
        <w:ind w:firstLine="425"/>
        <w:rPr>
          <w:rFonts w:eastAsia="PMingLiU" w:cs="Tahoma"/>
          <w:szCs w:val="18"/>
        </w:rPr>
      </w:pPr>
      <w:r w:rsidRPr="004B3DE4">
        <w:rPr>
          <w:rFonts w:eastAsia="PMingLiU" w:cs="Tahoma"/>
          <w:szCs w:val="18"/>
        </w:rPr>
        <w:lastRenderedPageBreak/>
        <w:t>Sağlık hizmetlerine olan talep her yıl artmakta olup 2006-2011 döneminde hastanelere yapılan toplam müracaat sayısı yüzde 55,3 artarken, özel sektörde bu artış yüzde 280</w:t>
      </w:r>
      <w:r>
        <w:rPr>
          <w:rFonts w:eastAsia="PMingLiU" w:cs="Tahoma"/>
          <w:szCs w:val="18"/>
        </w:rPr>
        <w:t>,4</w:t>
      </w:r>
      <w:r w:rsidRPr="004B3DE4">
        <w:rPr>
          <w:rFonts w:eastAsia="PMingLiU" w:cs="Tahoma"/>
          <w:szCs w:val="18"/>
        </w:rPr>
        <w:t xml:space="preserve"> olarak gerçekleşmiştir. Özel sektörün toplam müracaat içerisindeki payı 2002 yılında yüzde 4,6 iken 2011 yılında yüzde 17,5’e yükselmiştir. Toplam müracaat sayısının artışında sağlık altyapısının iyileştirilmesi ve hizmete erişimin kolaylaştırılması etkili olmuştur. </w:t>
      </w:r>
    </w:p>
    <w:p w:rsidR="00565FD5" w:rsidRPr="00B24821" w:rsidRDefault="00565FD5" w:rsidP="00565FD5">
      <w:pPr>
        <w:pStyle w:val="ResimYazs"/>
        <w:rPr>
          <w:rFonts w:cs="Tahoma"/>
        </w:rPr>
      </w:pPr>
      <w:bookmarkStart w:id="2485" w:name="_Toc338606055"/>
      <w:bookmarkStart w:id="2486" w:name="_Toc338711830"/>
      <w:r>
        <w:t xml:space="preserve">TABLO IV: </w:t>
      </w:r>
      <w:fldSimple w:instr=" SEQ TABLO_IV: \* ARABIC ">
        <w:r>
          <w:rPr>
            <w:noProof/>
          </w:rPr>
          <w:t>60</w:t>
        </w:r>
      </w:fldSimple>
      <w:r w:rsidRPr="00B24821">
        <w:rPr>
          <w:rFonts w:cs="Tahoma"/>
        </w:rPr>
        <w:t>- Yıllara ve Sektörlere Göre Toplam Hastane Müracaat Sayısı ve Dağılımı</w:t>
      </w:r>
      <w:bookmarkEnd w:id="2485"/>
      <w:bookmarkEnd w:id="2486"/>
    </w:p>
    <w:p w:rsidR="00565FD5" w:rsidRPr="004B3DE4" w:rsidRDefault="00565FD5" w:rsidP="00565FD5">
      <w:pPr>
        <w:tabs>
          <w:tab w:val="left" w:pos="921"/>
          <w:tab w:val="left" w:pos="1557"/>
          <w:tab w:val="left" w:pos="2194"/>
          <w:tab w:val="left" w:pos="2831"/>
          <w:tab w:val="left" w:pos="3467"/>
          <w:tab w:val="left" w:pos="4103"/>
          <w:tab w:val="left" w:pos="4739"/>
          <w:tab w:val="left" w:pos="5375"/>
          <w:tab w:val="left" w:pos="6011"/>
          <w:tab w:val="left" w:pos="6647"/>
        </w:tabs>
        <w:jc w:val="right"/>
        <w:rPr>
          <w:rFonts w:cs="Tahoma"/>
          <w:bCs/>
          <w:color w:val="000000"/>
          <w:sz w:val="14"/>
          <w:szCs w:val="14"/>
          <w:lang w:eastAsia="tr-TR"/>
        </w:rPr>
      </w:pPr>
      <w:r w:rsidRPr="004B3DE4">
        <w:rPr>
          <w:rFonts w:cs="Tahoma"/>
          <w:color w:val="000000"/>
          <w:sz w:val="14"/>
          <w:szCs w:val="14"/>
          <w:lang w:eastAsia="tr-TR"/>
        </w:rPr>
        <w:tab/>
      </w:r>
      <w:r w:rsidRPr="004B3DE4">
        <w:rPr>
          <w:rFonts w:cs="Tahoma"/>
          <w:b/>
          <w:bCs/>
          <w:color w:val="000000"/>
          <w:sz w:val="14"/>
          <w:szCs w:val="14"/>
          <w:lang w:eastAsia="tr-TR"/>
        </w:rPr>
        <w:tab/>
      </w:r>
      <w:r w:rsidRPr="004B3DE4">
        <w:rPr>
          <w:rFonts w:cs="Tahoma"/>
          <w:b/>
          <w:bCs/>
          <w:color w:val="000000"/>
          <w:sz w:val="14"/>
          <w:szCs w:val="14"/>
          <w:lang w:eastAsia="tr-TR"/>
        </w:rPr>
        <w:tab/>
      </w:r>
      <w:r w:rsidRPr="004B3DE4">
        <w:rPr>
          <w:rFonts w:cs="Tahoma"/>
          <w:b/>
          <w:bCs/>
          <w:color w:val="000000"/>
          <w:sz w:val="14"/>
          <w:szCs w:val="14"/>
          <w:lang w:eastAsia="tr-TR"/>
        </w:rPr>
        <w:tab/>
      </w:r>
      <w:r w:rsidRPr="004B3DE4">
        <w:rPr>
          <w:rFonts w:cs="Tahoma"/>
          <w:b/>
          <w:bCs/>
          <w:color w:val="000000"/>
          <w:sz w:val="14"/>
          <w:szCs w:val="14"/>
          <w:lang w:eastAsia="tr-TR"/>
        </w:rPr>
        <w:tab/>
      </w:r>
      <w:r w:rsidRPr="004B3DE4">
        <w:rPr>
          <w:rFonts w:cs="Tahoma"/>
          <w:b/>
          <w:bCs/>
          <w:color w:val="000000"/>
          <w:sz w:val="14"/>
          <w:szCs w:val="14"/>
          <w:lang w:eastAsia="tr-TR"/>
        </w:rPr>
        <w:tab/>
      </w:r>
      <w:r w:rsidRPr="004B3DE4">
        <w:rPr>
          <w:rFonts w:cs="Tahoma"/>
          <w:b/>
          <w:bCs/>
          <w:color w:val="000000"/>
          <w:sz w:val="14"/>
          <w:szCs w:val="14"/>
          <w:lang w:eastAsia="tr-TR"/>
        </w:rPr>
        <w:tab/>
      </w:r>
      <w:r w:rsidRPr="004B3DE4">
        <w:rPr>
          <w:rFonts w:cs="Tahoma"/>
          <w:b/>
          <w:bCs/>
          <w:color w:val="000000"/>
          <w:sz w:val="14"/>
          <w:szCs w:val="14"/>
          <w:lang w:eastAsia="tr-TR"/>
        </w:rPr>
        <w:tab/>
      </w:r>
      <w:r w:rsidRPr="004B3DE4">
        <w:rPr>
          <w:rFonts w:cs="Tahoma"/>
          <w:b/>
          <w:bCs/>
          <w:color w:val="000000"/>
          <w:sz w:val="14"/>
          <w:szCs w:val="14"/>
          <w:lang w:eastAsia="tr-TR"/>
        </w:rPr>
        <w:tab/>
      </w:r>
      <w:r w:rsidRPr="004B3DE4">
        <w:rPr>
          <w:rFonts w:cs="Tahoma"/>
          <w:b/>
          <w:bCs/>
          <w:color w:val="000000"/>
          <w:sz w:val="14"/>
          <w:szCs w:val="14"/>
          <w:lang w:eastAsia="tr-TR"/>
        </w:rPr>
        <w:tab/>
      </w:r>
      <w:r w:rsidRPr="004B3DE4">
        <w:rPr>
          <w:rFonts w:cs="Tahoma"/>
          <w:bCs/>
          <w:color w:val="000000"/>
          <w:sz w:val="14"/>
          <w:szCs w:val="14"/>
          <w:lang w:eastAsia="tr-TR"/>
        </w:rPr>
        <w:t>(Bin)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921"/>
        <w:gridCol w:w="636"/>
        <w:gridCol w:w="637"/>
        <w:gridCol w:w="637"/>
        <w:gridCol w:w="636"/>
        <w:gridCol w:w="636"/>
        <w:gridCol w:w="636"/>
        <w:gridCol w:w="636"/>
        <w:gridCol w:w="636"/>
        <w:gridCol w:w="636"/>
        <w:gridCol w:w="635"/>
      </w:tblGrid>
      <w:tr w:rsidR="00565FD5" w:rsidRPr="004B3DE4" w:rsidTr="00AB62A3">
        <w:trPr>
          <w:trHeight w:val="230"/>
        </w:trPr>
        <w:tc>
          <w:tcPr>
            <w:tcW w:w="632" w:type="pct"/>
            <w:noWrap/>
            <w:vAlign w:val="center"/>
          </w:tcPr>
          <w:p w:rsidR="00565FD5" w:rsidRPr="004B3DE4" w:rsidRDefault="00565FD5" w:rsidP="00AB62A3">
            <w:pPr>
              <w:rPr>
                <w:rFonts w:cs="Tahoma"/>
                <w:color w:val="000000"/>
                <w:sz w:val="14"/>
                <w:szCs w:val="14"/>
                <w:lang w:eastAsia="tr-TR"/>
              </w:rPr>
            </w:pPr>
          </w:p>
        </w:tc>
        <w:tc>
          <w:tcPr>
            <w:tcW w:w="436" w:type="pct"/>
            <w:noWrap/>
            <w:vAlign w:val="center"/>
          </w:tcPr>
          <w:p w:rsidR="00565FD5" w:rsidRPr="004B3DE4" w:rsidRDefault="00565FD5" w:rsidP="00AB62A3">
            <w:pPr>
              <w:jc w:val="right"/>
              <w:rPr>
                <w:rFonts w:cs="Tahoma"/>
                <w:b/>
                <w:bCs/>
                <w:color w:val="000000"/>
                <w:sz w:val="14"/>
                <w:szCs w:val="14"/>
                <w:lang w:eastAsia="tr-TR"/>
              </w:rPr>
            </w:pPr>
            <w:r w:rsidRPr="004B3DE4">
              <w:rPr>
                <w:rFonts w:cs="Tahoma"/>
                <w:b/>
                <w:bCs/>
                <w:color w:val="000000"/>
                <w:sz w:val="14"/>
                <w:szCs w:val="14"/>
                <w:lang w:eastAsia="tr-TR"/>
              </w:rPr>
              <w:t>2002</w:t>
            </w:r>
          </w:p>
        </w:tc>
        <w:tc>
          <w:tcPr>
            <w:tcW w:w="437" w:type="pct"/>
            <w:noWrap/>
            <w:vAlign w:val="center"/>
          </w:tcPr>
          <w:p w:rsidR="00565FD5" w:rsidRPr="004B3DE4" w:rsidRDefault="00565FD5" w:rsidP="00AB62A3">
            <w:pPr>
              <w:jc w:val="right"/>
              <w:rPr>
                <w:rFonts w:cs="Tahoma"/>
                <w:b/>
                <w:bCs/>
                <w:color w:val="000000"/>
                <w:sz w:val="14"/>
                <w:szCs w:val="14"/>
                <w:lang w:eastAsia="tr-TR"/>
              </w:rPr>
            </w:pPr>
            <w:r w:rsidRPr="004B3DE4">
              <w:rPr>
                <w:rFonts w:cs="Tahoma"/>
                <w:b/>
                <w:bCs/>
                <w:color w:val="000000"/>
                <w:sz w:val="14"/>
                <w:szCs w:val="14"/>
                <w:lang w:eastAsia="tr-TR"/>
              </w:rPr>
              <w:t>2003</w:t>
            </w:r>
          </w:p>
        </w:tc>
        <w:tc>
          <w:tcPr>
            <w:tcW w:w="437" w:type="pct"/>
            <w:noWrap/>
            <w:vAlign w:val="center"/>
          </w:tcPr>
          <w:p w:rsidR="00565FD5" w:rsidRPr="004B3DE4" w:rsidRDefault="00565FD5" w:rsidP="00AB62A3">
            <w:pPr>
              <w:jc w:val="right"/>
              <w:rPr>
                <w:rFonts w:cs="Tahoma"/>
                <w:b/>
                <w:bCs/>
                <w:color w:val="000000"/>
                <w:sz w:val="14"/>
                <w:szCs w:val="14"/>
                <w:lang w:eastAsia="tr-TR"/>
              </w:rPr>
            </w:pPr>
            <w:r w:rsidRPr="004B3DE4">
              <w:rPr>
                <w:rFonts w:cs="Tahoma"/>
                <w:b/>
                <w:bCs/>
                <w:color w:val="000000"/>
                <w:sz w:val="14"/>
                <w:szCs w:val="14"/>
                <w:lang w:eastAsia="tr-TR"/>
              </w:rPr>
              <w:t>2004</w:t>
            </w:r>
          </w:p>
        </w:tc>
        <w:tc>
          <w:tcPr>
            <w:tcW w:w="437" w:type="pct"/>
            <w:noWrap/>
            <w:vAlign w:val="center"/>
          </w:tcPr>
          <w:p w:rsidR="00565FD5" w:rsidRPr="004B3DE4" w:rsidRDefault="00565FD5" w:rsidP="00AB62A3">
            <w:pPr>
              <w:jc w:val="right"/>
              <w:rPr>
                <w:rFonts w:cs="Tahoma"/>
                <w:b/>
                <w:bCs/>
                <w:color w:val="000000"/>
                <w:sz w:val="14"/>
                <w:szCs w:val="14"/>
                <w:lang w:eastAsia="tr-TR"/>
              </w:rPr>
            </w:pPr>
            <w:r w:rsidRPr="004B3DE4">
              <w:rPr>
                <w:rFonts w:cs="Tahoma"/>
                <w:b/>
                <w:bCs/>
                <w:color w:val="000000"/>
                <w:sz w:val="14"/>
                <w:szCs w:val="14"/>
                <w:lang w:eastAsia="tr-TR"/>
              </w:rPr>
              <w:t>2005</w:t>
            </w:r>
          </w:p>
        </w:tc>
        <w:tc>
          <w:tcPr>
            <w:tcW w:w="437" w:type="pct"/>
            <w:noWrap/>
            <w:vAlign w:val="center"/>
          </w:tcPr>
          <w:p w:rsidR="00565FD5" w:rsidRPr="004B3DE4" w:rsidRDefault="00565FD5" w:rsidP="00AB62A3">
            <w:pPr>
              <w:jc w:val="right"/>
              <w:rPr>
                <w:rFonts w:cs="Tahoma"/>
                <w:b/>
                <w:bCs/>
                <w:color w:val="000000"/>
                <w:sz w:val="14"/>
                <w:szCs w:val="14"/>
                <w:lang w:eastAsia="tr-TR"/>
              </w:rPr>
            </w:pPr>
            <w:r w:rsidRPr="004B3DE4">
              <w:rPr>
                <w:rFonts w:cs="Tahoma"/>
                <w:b/>
                <w:bCs/>
                <w:color w:val="000000"/>
                <w:sz w:val="14"/>
                <w:szCs w:val="14"/>
                <w:lang w:eastAsia="tr-TR"/>
              </w:rPr>
              <w:t>2006</w:t>
            </w:r>
          </w:p>
        </w:tc>
        <w:tc>
          <w:tcPr>
            <w:tcW w:w="437" w:type="pct"/>
            <w:noWrap/>
            <w:vAlign w:val="center"/>
          </w:tcPr>
          <w:p w:rsidR="00565FD5" w:rsidRPr="004B3DE4" w:rsidRDefault="00565FD5" w:rsidP="00AB62A3">
            <w:pPr>
              <w:jc w:val="right"/>
              <w:rPr>
                <w:rFonts w:cs="Tahoma"/>
                <w:b/>
                <w:bCs/>
                <w:color w:val="000000"/>
                <w:sz w:val="14"/>
                <w:szCs w:val="14"/>
                <w:lang w:eastAsia="tr-TR"/>
              </w:rPr>
            </w:pPr>
            <w:r w:rsidRPr="004B3DE4">
              <w:rPr>
                <w:rFonts w:cs="Tahoma"/>
                <w:b/>
                <w:bCs/>
                <w:color w:val="000000"/>
                <w:sz w:val="14"/>
                <w:szCs w:val="14"/>
                <w:lang w:eastAsia="tr-TR"/>
              </w:rPr>
              <w:t>2007</w:t>
            </w:r>
          </w:p>
        </w:tc>
        <w:tc>
          <w:tcPr>
            <w:tcW w:w="437" w:type="pct"/>
            <w:noWrap/>
            <w:vAlign w:val="center"/>
          </w:tcPr>
          <w:p w:rsidR="00565FD5" w:rsidRPr="004B3DE4" w:rsidRDefault="00565FD5" w:rsidP="00AB62A3">
            <w:pPr>
              <w:jc w:val="right"/>
              <w:rPr>
                <w:rFonts w:cs="Tahoma"/>
                <w:b/>
                <w:bCs/>
                <w:color w:val="000000"/>
                <w:sz w:val="14"/>
                <w:szCs w:val="14"/>
                <w:lang w:eastAsia="tr-TR"/>
              </w:rPr>
            </w:pPr>
            <w:r w:rsidRPr="004B3DE4">
              <w:rPr>
                <w:rFonts w:cs="Tahoma"/>
                <w:b/>
                <w:bCs/>
                <w:color w:val="000000"/>
                <w:sz w:val="14"/>
                <w:szCs w:val="14"/>
                <w:lang w:eastAsia="tr-TR"/>
              </w:rPr>
              <w:t>2008</w:t>
            </w:r>
          </w:p>
        </w:tc>
        <w:tc>
          <w:tcPr>
            <w:tcW w:w="437" w:type="pct"/>
            <w:noWrap/>
            <w:vAlign w:val="center"/>
          </w:tcPr>
          <w:p w:rsidR="00565FD5" w:rsidRPr="004B3DE4" w:rsidRDefault="00565FD5" w:rsidP="00AB62A3">
            <w:pPr>
              <w:jc w:val="right"/>
              <w:rPr>
                <w:rFonts w:cs="Tahoma"/>
                <w:b/>
                <w:bCs/>
                <w:color w:val="000000"/>
                <w:sz w:val="14"/>
                <w:szCs w:val="14"/>
                <w:lang w:eastAsia="tr-TR"/>
              </w:rPr>
            </w:pPr>
            <w:r w:rsidRPr="004B3DE4">
              <w:rPr>
                <w:rFonts w:cs="Tahoma"/>
                <w:b/>
                <w:bCs/>
                <w:color w:val="000000"/>
                <w:sz w:val="14"/>
                <w:szCs w:val="14"/>
                <w:lang w:eastAsia="tr-TR"/>
              </w:rPr>
              <w:t>2009</w:t>
            </w:r>
          </w:p>
        </w:tc>
        <w:tc>
          <w:tcPr>
            <w:tcW w:w="437" w:type="pct"/>
            <w:vAlign w:val="center"/>
          </w:tcPr>
          <w:p w:rsidR="00565FD5" w:rsidRPr="004B3DE4" w:rsidRDefault="00565FD5" w:rsidP="00AB62A3">
            <w:pPr>
              <w:jc w:val="right"/>
              <w:rPr>
                <w:rFonts w:cs="Tahoma"/>
                <w:b/>
                <w:bCs/>
                <w:color w:val="000000"/>
                <w:sz w:val="14"/>
                <w:szCs w:val="14"/>
                <w:lang w:eastAsia="tr-TR"/>
              </w:rPr>
            </w:pPr>
            <w:r w:rsidRPr="004B3DE4">
              <w:rPr>
                <w:rFonts w:cs="Tahoma"/>
                <w:b/>
                <w:bCs/>
                <w:color w:val="000000"/>
                <w:sz w:val="14"/>
                <w:szCs w:val="14"/>
                <w:lang w:eastAsia="tr-TR"/>
              </w:rPr>
              <w:t>2010</w:t>
            </w:r>
          </w:p>
        </w:tc>
        <w:tc>
          <w:tcPr>
            <w:tcW w:w="436" w:type="pct"/>
            <w:vAlign w:val="center"/>
          </w:tcPr>
          <w:p w:rsidR="00565FD5" w:rsidRPr="004B3DE4" w:rsidRDefault="00565FD5" w:rsidP="00AB62A3">
            <w:pPr>
              <w:jc w:val="right"/>
              <w:rPr>
                <w:rFonts w:cs="Tahoma"/>
                <w:b/>
                <w:bCs/>
                <w:color w:val="000000"/>
                <w:sz w:val="14"/>
                <w:szCs w:val="14"/>
                <w:lang w:eastAsia="tr-TR"/>
              </w:rPr>
            </w:pPr>
            <w:r w:rsidRPr="004B3DE4">
              <w:rPr>
                <w:rFonts w:cs="Tahoma"/>
                <w:b/>
                <w:bCs/>
                <w:color w:val="000000"/>
                <w:sz w:val="14"/>
                <w:szCs w:val="14"/>
                <w:lang w:eastAsia="tr-TR"/>
              </w:rPr>
              <w:t>2011</w:t>
            </w:r>
          </w:p>
        </w:tc>
      </w:tr>
      <w:tr w:rsidR="00565FD5" w:rsidRPr="004B3DE4" w:rsidTr="00AB62A3">
        <w:trPr>
          <w:trHeight w:val="219"/>
        </w:trPr>
        <w:tc>
          <w:tcPr>
            <w:tcW w:w="632" w:type="pct"/>
            <w:tcBorders>
              <w:bottom w:val="nil"/>
            </w:tcBorders>
            <w:noWrap/>
            <w:vAlign w:val="center"/>
          </w:tcPr>
          <w:p w:rsidR="00565FD5" w:rsidRPr="004B3DE4" w:rsidRDefault="00565FD5" w:rsidP="00AB62A3">
            <w:pPr>
              <w:rPr>
                <w:rFonts w:cs="Tahoma"/>
                <w:color w:val="000000"/>
                <w:sz w:val="14"/>
                <w:szCs w:val="14"/>
                <w:lang w:eastAsia="tr-TR"/>
              </w:rPr>
            </w:pPr>
            <w:r w:rsidRPr="004B3DE4">
              <w:rPr>
                <w:rFonts w:cs="Tahoma"/>
                <w:color w:val="000000"/>
                <w:sz w:val="14"/>
                <w:szCs w:val="14"/>
                <w:lang w:eastAsia="tr-TR"/>
              </w:rPr>
              <w:t>Sağlık Bakanlığı</w:t>
            </w:r>
          </w:p>
        </w:tc>
        <w:tc>
          <w:tcPr>
            <w:tcW w:w="436" w:type="pct"/>
            <w:tcBorders>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109 737</w:t>
            </w:r>
          </w:p>
        </w:tc>
        <w:tc>
          <w:tcPr>
            <w:tcW w:w="437" w:type="pct"/>
            <w:tcBorders>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113 935</w:t>
            </w:r>
          </w:p>
        </w:tc>
        <w:tc>
          <w:tcPr>
            <w:tcW w:w="437" w:type="pct"/>
            <w:tcBorders>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135 169</w:t>
            </w:r>
          </w:p>
        </w:tc>
        <w:tc>
          <w:tcPr>
            <w:tcW w:w="437" w:type="pct"/>
            <w:tcBorders>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164 758</w:t>
            </w:r>
          </w:p>
        </w:tc>
        <w:tc>
          <w:tcPr>
            <w:tcW w:w="437" w:type="pct"/>
            <w:tcBorders>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189 422</w:t>
            </w:r>
          </w:p>
        </w:tc>
        <w:tc>
          <w:tcPr>
            <w:tcW w:w="437" w:type="pct"/>
            <w:tcBorders>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209 630</w:t>
            </w:r>
          </w:p>
        </w:tc>
        <w:tc>
          <w:tcPr>
            <w:tcW w:w="437" w:type="pct"/>
            <w:tcBorders>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216 724</w:t>
            </w:r>
          </w:p>
        </w:tc>
        <w:tc>
          <w:tcPr>
            <w:tcW w:w="437" w:type="pct"/>
            <w:tcBorders>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228 279</w:t>
            </w:r>
          </w:p>
        </w:tc>
        <w:tc>
          <w:tcPr>
            <w:tcW w:w="437" w:type="pct"/>
            <w:tcBorders>
              <w:bottom w:val="nil"/>
            </w:tcBorders>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235 173</w:t>
            </w:r>
          </w:p>
        </w:tc>
        <w:tc>
          <w:tcPr>
            <w:tcW w:w="436" w:type="pct"/>
            <w:tcBorders>
              <w:bottom w:val="nil"/>
            </w:tcBorders>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254 343</w:t>
            </w:r>
          </w:p>
        </w:tc>
      </w:tr>
      <w:tr w:rsidR="00565FD5" w:rsidRPr="004B3DE4" w:rsidTr="00AB62A3">
        <w:trPr>
          <w:trHeight w:val="219"/>
        </w:trPr>
        <w:tc>
          <w:tcPr>
            <w:tcW w:w="632" w:type="pct"/>
            <w:tcBorders>
              <w:top w:val="nil"/>
              <w:bottom w:val="nil"/>
            </w:tcBorders>
            <w:noWrap/>
            <w:vAlign w:val="center"/>
          </w:tcPr>
          <w:p w:rsidR="00565FD5" w:rsidRPr="004B3DE4" w:rsidRDefault="00565FD5" w:rsidP="00AB62A3">
            <w:pPr>
              <w:rPr>
                <w:rFonts w:cs="Tahoma"/>
                <w:color w:val="000000"/>
                <w:sz w:val="14"/>
                <w:szCs w:val="14"/>
                <w:lang w:eastAsia="tr-TR"/>
              </w:rPr>
            </w:pPr>
            <w:r w:rsidRPr="004B3DE4">
              <w:rPr>
                <w:rFonts w:cs="Tahoma"/>
                <w:color w:val="000000"/>
                <w:sz w:val="14"/>
                <w:szCs w:val="14"/>
                <w:lang w:eastAsia="tr-TR"/>
              </w:rPr>
              <w:t>Üniversite</w:t>
            </w:r>
          </w:p>
        </w:tc>
        <w:tc>
          <w:tcPr>
            <w:tcW w:w="436"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8 891</w:t>
            </w:r>
          </w:p>
        </w:tc>
        <w:tc>
          <w:tcPr>
            <w:tcW w:w="437"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9 638</w:t>
            </w:r>
          </w:p>
        </w:tc>
        <w:tc>
          <w:tcPr>
            <w:tcW w:w="437"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10 685</w:t>
            </w:r>
          </w:p>
        </w:tc>
        <w:tc>
          <w:tcPr>
            <w:tcW w:w="437"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11 494</w:t>
            </w:r>
          </w:p>
        </w:tc>
        <w:tc>
          <w:tcPr>
            <w:tcW w:w="437"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12 589</w:t>
            </w:r>
          </w:p>
        </w:tc>
        <w:tc>
          <w:tcPr>
            <w:tcW w:w="437"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15 025</w:t>
            </w:r>
          </w:p>
        </w:tc>
        <w:tc>
          <w:tcPr>
            <w:tcW w:w="437"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18 291</w:t>
            </w:r>
          </w:p>
        </w:tc>
        <w:tc>
          <w:tcPr>
            <w:tcW w:w="437"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19 365</w:t>
            </w:r>
          </w:p>
        </w:tc>
        <w:tc>
          <w:tcPr>
            <w:tcW w:w="437" w:type="pct"/>
            <w:tcBorders>
              <w:top w:val="nil"/>
              <w:bottom w:val="nil"/>
            </w:tcBorders>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20 099</w:t>
            </w:r>
          </w:p>
        </w:tc>
        <w:tc>
          <w:tcPr>
            <w:tcW w:w="436" w:type="pct"/>
            <w:tcBorders>
              <w:top w:val="nil"/>
              <w:bottom w:val="nil"/>
            </w:tcBorders>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24 437</w:t>
            </w:r>
          </w:p>
        </w:tc>
      </w:tr>
      <w:tr w:rsidR="00565FD5" w:rsidRPr="004B3DE4" w:rsidTr="00AB62A3">
        <w:trPr>
          <w:trHeight w:val="219"/>
        </w:trPr>
        <w:tc>
          <w:tcPr>
            <w:tcW w:w="632" w:type="pct"/>
            <w:tcBorders>
              <w:top w:val="nil"/>
              <w:bottom w:val="nil"/>
            </w:tcBorders>
            <w:noWrap/>
            <w:vAlign w:val="center"/>
          </w:tcPr>
          <w:p w:rsidR="00565FD5" w:rsidRPr="004B3DE4" w:rsidRDefault="00565FD5" w:rsidP="00AB62A3">
            <w:pPr>
              <w:rPr>
                <w:rFonts w:cs="Tahoma"/>
                <w:color w:val="000000"/>
                <w:sz w:val="14"/>
                <w:szCs w:val="14"/>
                <w:lang w:eastAsia="tr-TR"/>
              </w:rPr>
            </w:pPr>
            <w:r w:rsidRPr="004B3DE4">
              <w:rPr>
                <w:rFonts w:cs="Tahoma"/>
                <w:color w:val="000000"/>
                <w:sz w:val="14"/>
                <w:szCs w:val="14"/>
                <w:lang w:eastAsia="tr-TR"/>
              </w:rPr>
              <w:t>Özel</w:t>
            </w:r>
          </w:p>
        </w:tc>
        <w:tc>
          <w:tcPr>
            <w:tcW w:w="436"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5 681</w:t>
            </w:r>
          </w:p>
        </w:tc>
        <w:tc>
          <w:tcPr>
            <w:tcW w:w="437"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6 161</w:t>
            </w:r>
          </w:p>
        </w:tc>
        <w:tc>
          <w:tcPr>
            <w:tcW w:w="437"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6 997</w:t>
            </w:r>
          </w:p>
        </w:tc>
        <w:tc>
          <w:tcPr>
            <w:tcW w:w="437"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11 048</w:t>
            </w:r>
          </w:p>
        </w:tc>
        <w:tc>
          <w:tcPr>
            <w:tcW w:w="437"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15 529</w:t>
            </w:r>
          </w:p>
        </w:tc>
        <w:tc>
          <w:tcPr>
            <w:tcW w:w="437"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24 486</w:t>
            </w:r>
          </w:p>
        </w:tc>
        <w:tc>
          <w:tcPr>
            <w:tcW w:w="437"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38 688</w:t>
            </w:r>
          </w:p>
        </w:tc>
        <w:tc>
          <w:tcPr>
            <w:tcW w:w="437"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47 618</w:t>
            </w:r>
          </w:p>
        </w:tc>
        <w:tc>
          <w:tcPr>
            <w:tcW w:w="437" w:type="pct"/>
            <w:tcBorders>
              <w:top w:val="nil"/>
              <w:bottom w:val="nil"/>
            </w:tcBorders>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47 455</w:t>
            </w:r>
          </w:p>
        </w:tc>
        <w:tc>
          <w:tcPr>
            <w:tcW w:w="436" w:type="pct"/>
            <w:tcBorders>
              <w:top w:val="nil"/>
              <w:bottom w:val="nil"/>
            </w:tcBorders>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59 069</w:t>
            </w:r>
          </w:p>
        </w:tc>
      </w:tr>
      <w:tr w:rsidR="00565FD5" w:rsidRPr="004B3DE4" w:rsidTr="00AB62A3">
        <w:trPr>
          <w:trHeight w:val="230"/>
        </w:trPr>
        <w:tc>
          <w:tcPr>
            <w:tcW w:w="632" w:type="pct"/>
            <w:tcBorders>
              <w:top w:val="nil"/>
            </w:tcBorders>
            <w:noWrap/>
            <w:vAlign w:val="center"/>
          </w:tcPr>
          <w:p w:rsidR="00565FD5" w:rsidRPr="004B3DE4" w:rsidRDefault="00565FD5" w:rsidP="00AB62A3">
            <w:pPr>
              <w:rPr>
                <w:rFonts w:cs="Tahoma"/>
                <w:color w:val="000000"/>
                <w:sz w:val="14"/>
                <w:szCs w:val="14"/>
                <w:lang w:eastAsia="tr-TR"/>
              </w:rPr>
            </w:pPr>
            <w:r w:rsidRPr="004B3DE4">
              <w:rPr>
                <w:rFonts w:cs="Tahoma"/>
                <w:color w:val="000000"/>
                <w:sz w:val="14"/>
                <w:szCs w:val="14"/>
                <w:lang w:eastAsia="tr-TR"/>
              </w:rPr>
              <w:t>Toplam</w:t>
            </w:r>
          </w:p>
        </w:tc>
        <w:tc>
          <w:tcPr>
            <w:tcW w:w="436" w:type="pct"/>
            <w:tcBorders>
              <w:top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124 309</w:t>
            </w:r>
          </w:p>
        </w:tc>
        <w:tc>
          <w:tcPr>
            <w:tcW w:w="437" w:type="pct"/>
            <w:tcBorders>
              <w:top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129 733</w:t>
            </w:r>
          </w:p>
        </w:tc>
        <w:tc>
          <w:tcPr>
            <w:tcW w:w="437" w:type="pct"/>
            <w:tcBorders>
              <w:top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152 851</w:t>
            </w:r>
          </w:p>
        </w:tc>
        <w:tc>
          <w:tcPr>
            <w:tcW w:w="437" w:type="pct"/>
            <w:tcBorders>
              <w:top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187 300</w:t>
            </w:r>
          </w:p>
        </w:tc>
        <w:tc>
          <w:tcPr>
            <w:tcW w:w="437" w:type="pct"/>
            <w:tcBorders>
              <w:top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217 540</w:t>
            </w:r>
          </w:p>
        </w:tc>
        <w:tc>
          <w:tcPr>
            <w:tcW w:w="437" w:type="pct"/>
            <w:tcBorders>
              <w:top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249 141</w:t>
            </w:r>
          </w:p>
        </w:tc>
        <w:tc>
          <w:tcPr>
            <w:tcW w:w="437" w:type="pct"/>
            <w:tcBorders>
              <w:top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273 703</w:t>
            </w:r>
          </w:p>
        </w:tc>
        <w:tc>
          <w:tcPr>
            <w:tcW w:w="437" w:type="pct"/>
            <w:tcBorders>
              <w:top w:val="nil"/>
            </w:tcBorders>
            <w:noWrap/>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295 262</w:t>
            </w:r>
          </w:p>
        </w:tc>
        <w:tc>
          <w:tcPr>
            <w:tcW w:w="437" w:type="pct"/>
            <w:tcBorders>
              <w:top w:val="nil"/>
            </w:tcBorders>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302 984</w:t>
            </w:r>
          </w:p>
        </w:tc>
        <w:tc>
          <w:tcPr>
            <w:tcW w:w="436" w:type="pct"/>
            <w:tcBorders>
              <w:top w:val="nil"/>
            </w:tcBorders>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337 850</w:t>
            </w:r>
          </w:p>
        </w:tc>
      </w:tr>
      <w:tr w:rsidR="00565FD5" w:rsidRPr="004B3DE4" w:rsidTr="00AB62A3">
        <w:trPr>
          <w:trHeight w:val="227"/>
        </w:trPr>
        <w:tc>
          <w:tcPr>
            <w:tcW w:w="632" w:type="pct"/>
            <w:tcBorders>
              <w:right w:val="nil"/>
            </w:tcBorders>
            <w:noWrap/>
            <w:vAlign w:val="center"/>
          </w:tcPr>
          <w:p w:rsidR="00565FD5" w:rsidRPr="004B3DE4" w:rsidRDefault="00565FD5" w:rsidP="00AB62A3">
            <w:pPr>
              <w:rPr>
                <w:rFonts w:cs="Tahoma"/>
                <w:color w:val="000000"/>
                <w:sz w:val="14"/>
                <w:szCs w:val="14"/>
                <w:lang w:eastAsia="tr-TR"/>
              </w:rPr>
            </w:pPr>
          </w:p>
        </w:tc>
        <w:tc>
          <w:tcPr>
            <w:tcW w:w="436" w:type="pct"/>
            <w:tcBorders>
              <w:left w:val="nil"/>
              <w:right w:val="nil"/>
            </w:tcBorders>
            <w:noWrap/>
            <w:vAlign w:val="center"/>
          </w:tcPr>
          <w:p w:rsidR="00565FD5" w:rsidRPr="004B3DE4" w:rsidRDefault="00565FD5" w:rsidP="00AB62A3">
            <w:pPr>
              <w:tabs>
                <w:tab w:val="center" w:pos="4153"/>
                <w:tab w:val="right" w:pos="8306"/>
              </w:tabs>
              <w:jc w:val="right"/>
              <w:rPr>
                <w:rFonts w:cs="Tahoma"/>
                <w:color w:val="000000"/>
                <w:sz w:val="14"/>
                <w:szCs w:val="14"/>
                <w:lang w:eastAsia="tr-TR"/>
              </w:rPr>
            </w:pPr>
          </w:p>
        </w:tc>
        <w:tc>
          <w:tcPr>
            <w:tcW w:w="437" w:type="pct"/>
            <w:tcBorders>
              <w:left w:val="nil"/>
              <w:right w:val="nil"/>
            </w:tcBorders>
            <w:noWrap/>
            <w:vAlign w:val="center"/>
          </w:tcPr>
          <w:p w:rsidR="00565FD5" w:rsidRPr="004B3DE4" w:rsidRDefault="00565FD5" w:rsidP="00AB62A3">
            <w:pPr>
              <w:tabs>
                <w:tab w:val="center" w:pos="4153"/>
                <w:tab w:val="right" w:pos="8306"/>
              </w:tabs>
              <w:jc w:val="right"/>
              <w:rPr>
                <w:rFonts w:cs="Tahoma"/>
                <w:color w:val="000000"/>
                <w:sz w:val="14"/>
                <w:szCs w:val="14"/>
                <w:lang w:eastAsia="tr-TR"/>
              </w:rPr>
            </w:pPr>
          </w:p>
        </w:tc>
        <w:tc>
          <w:tcPr>
            <w:tcW w:w="437" w:type="pct"/>
            <w:tcBorders>
              <w:left w:val="nil"/>
              <w:right w:val="nil"/>
            </w:tcBorders>
            <w:noWrap/>
            <w:vAlign w:val="center"/>
          </w:tcPr>
          <w:p w:rsidR="00565FD5" w:rsidRPr="004B3DE4" w:rsidRDefault="00565FD5" w:rsidP="00AB62A3">
            <w:pPr>
              <w:tabs>
                <w:tab w:val="center" w:pos="4153"/>
                <w:tab w:val="right" w:pos="8306"/>
              </w:tabs>
              <w:jc w:val="right"/>
              <w:rPr>
                <w:rFonts w:cs="Tahoma"/>
                <w:color w:val="000000"/>
                <w:sz w:val="14"/>
                <w:szCs w:val="14"/>
                <w:lang w:eastAsia="tr-TR"/>
              </w:rPr>
            </w:pPr>
          </w:p>
        </w:tc>
        <w:tc>
          <w:tcPr>
            <w:tcW w:w="1311" w:type="pct"/>
            <w:gridSpan w:val="3"/>
            <w:tcBorders>
              <w:left w:val="nil"/>
              <w:right w:val="nil"/>
            </w:tcBorders>
            <w:noWrap/>
            <w:vAlign w:val="center"/>
          </w:tcPr>
          <w:p w:rsidR="00565FD5" w:rsidRPr="004B3DE4" w:rsidRDefault="00565FD5" w:rsidP="00AB62A3">
            <w:pPr>
              <w:tabs>
                <w:tab w:val="center" w:pos="4153"/>
                <w:tab w:val="right" w:pos="8306"/>
              </w:tabs>
              <w:jc w:val="right"/>
              <w:rPr>
                <w:rFonts w:cs="Tahoma"/>
                <w:color w:val="000000"/>
                <w:sz w:val="14"/>
                <w:szCs w:val="14"/>
                <w:lang w:eastAsia="tr-TR"/>
              </w:rPr>
            </w:pPr>
            <w:r w:rsidRPr="004B3DE4">
              <w:rPr>
                <w:rFonts w:cs="Tahoma"/>
                <w:b/>
                <w:color w:val="000000"/>
                <w:sz w:val="14"/>
                <w:szCs w:val="14"/>
              </w:rPr>
              <w:t>Toplam İçindeki Pay</w:t>
            </w:r>
          </w:p>
        </w:tc>
        <w:tc>
          <w:tcPr>
            <w:tcW w:w="437" w:type="pct"/>
            <w:tcBorders>
              <w:left w:val="nil"/>
              <w:right w:val="nil"/>
            </w:tcBorders>
            <w:noWrap/>
            <w:vAlign w:val="center"/>
          </w:tcPr>
          <w:p w:rsidR="00565FD5" w:rsidRPr="004B3DE4" w:rsidRDefault="00565FD5" w:rsidP="00AB62A3">
            <w:pPr>
              <w:tabs>
                <w:tab w:val="center" w:pos="4153"/>
                <w:tab w:val="right" w:pos="8306"/>
              </w:tabs>
              <w:jc w:val="right"/>
              <w:rPr>
                <w:rFonts w:cs="Tahoma"/>
                <w:color w:val="000000"/>
                <w:sz w:val="14"/>
                <w:szCs w:val="14"/>
                <w:lang w:eastAsia="tr-TR"/>
              </w:rPr>
            </w:pPr>
          </w:p>
        </w:tc>
        <w:tc>
          <w:tcPr>
            <w:tcW w:w="437" w:type="pct"/>
            <w:tcBorders>
              <w:left w:val="nil"/>
              <w:right w:val="nil"/>
            </w:tcBorders>
            <w:noWrap/>
            <w:vAlign w:val="center"/>
          </w:tcPr>
          <w:p w:rsidR="00565FD5" w:rsidRPr="004B3DE4" w:rsidRDefault="00565FD5" w:rsidP="00AB62A3">
            <w:pPr>
              <w:tabs>
                <w:tab w:val="center" w:pos="4153"/>
                <w:tab w:val="right" w:pos="8306"/>
              </w:tabs>
              <w:jc w:val="right"/>
              <w:rPr>
                <w:rFonts w:cs="Tahoma"/>
                <w:color w:val="000000"/>
                <w:sz w:val="14"/>
                <w:szCs w:val="14"/>
                <w:lang w:eastAsia="tr-TR"/>
              </w:rPr>
            </w:pPr>
          </w:p>
        </w:tc>
        <w:tc>
          <w:tcPr>
            <w:tcW w:w="437" w:type="pct"/>
            <w:tcBorders>
              <w:left w:val="nil"/>
              <w:right w:val="nil"/>
            </w:tcBorders>
            <w:vAlign w:val="center"/>
          </w:tcPr>
          <w:p w:rsidR="00565FD5" w:rsidRPr="004B3DE4" w:rsidRDefault="00565FD5" w:rsidP="00AB62A3">
            <w:pPr>
              <w:tabs>
                <w:tab w:val="center" w:pos="4153"/>
                <w:tab w:val="right" w:pos="8306"/>
              </w:tabs>
              <w:jc w:val="right"/>
              <w:rPr>
                <w:rFonts w:cs="Tahoma"/>
                <w:color w:val="000000"/>
                <w:sz w:val="14"/>
                <w:szCs w:val="14"/>
              </w:rPr>
            </w:pPr>
          </w:p>
        </w:tc>
        <w:tc>
          <w:tcPr>
            <w:tcW w:w="436" w:type="pct"/>
            <w:tcBorders>
              <w:left w:val="nil"/>
            </w:tcBorders>
            <w:vAlign w:val="center"/>
          </w:tcPr>
          <w:p w:rsidR="00565FD5" w:rsidRPr="004B3DE4" w:rsidRDefault="00565FD5" w:rsidP="00AB62A3">
            <w:pPr>
              <w:tabs>
                <w:tab w:val="center" w:pos="4153"/>
                <w:tab w:val="right" w:pos="8306"/>
              </w:tabs>
              <w:jc w:val="right"/>
              <w:rPr>
                <w:rFonts w:cs="Tahoma"/>
                <w:color w:val="000000"/>
                <w:sz w:val="14"/>
                <w:szCs w:val="14"/>
              </w:rPr>
            </w:pPr>
            <w:r w:rsidRPr="004B3DE4">
              <w:rPr>
                <w:rFonts w:cs="Tahoma"/>
                <w:color w:val="000000"/>
                <w:sz w:val="14"/>
                <w:szCs w:val="14"/>
              </w:rPr>
              <w:t>(Yüzde)</w:t>
            </w:r>
          </w:p>
        </w:tc>
      </w:tr>
      <w:tr w:rsidR="00565FD5" w:rsidRPr="004B3DE4" w:rsidTr="00AB62A3">
        <w:trPr>
          <w:trHeight w:val="219"/>
        </w:trPr>
        <w:tc>
          <w:tcPr>
            <w:tcW w:w="632" w:type="pct"/>
            <w:tcBorders>
              <w:bottom w:val="nil"/>
            </w:tcBorders>
            <w:noWrap/>
            <w:vAlign w:val="center"/>
          </w:tcPr>
          <w:p w:rsidR="00565FD5" w:rsidRPr="004B3DE4" w:rsidRDefault="00565FD5" w:rsidP="00AB62A3">
            <w:pPr>
              <w:rPr>
                <w:rFonts w:cs="Tahoma"/>
                <w:color w:val="000000"/>
                <w:sz w:val="14"/>
                <w:szCs w:val="14"/>
                <w:lang w:eastAsia="tr-TR"/>
              </w:rPr>
            </w:pPr>
            <w:r w:rsidRPr="004B3DE4">
              <w:rPr>
                <w:rFonts w:cs="Tahoma"/>
                <w:color w:val="000000"/>
                <w:sz w:val="14"/>
                <w:szCs w:val="14"/>
                <w:lang w:eastAsia="tr-TR"/>
              </w:rPr>
              <w:t>Sağlık Bakanlığı</w:t>
            </w:r>
          </w:p>
        </w:tc>
        <w:tc>
          <w:tcPr>
            <w:tcW w:w="436" w:type="pct"/>
            <w:tcBorders>
              <w:bottom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88,3</w:t>
            </w:r>
          </w:p>
        </w:tc>
        <w:tc>
          <w:tcPr>
            <w:tcW w:w="437" w:type="pct"/>
            <w:tcBorders>
              <w:bottom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87,8</w:t>
            </w:r>
          </w:p>
        </w:tc>
        <w:tc>
          <w:tcPr>
            <w:tcW w:w="437" w:type="pct"/>
            <w:tcBorders>
              <w:bottom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88,4</w:t>
            </w:r>
          </w:p>
        </w:tc>
        <w:tc>
          <w:tcPr>
            <w:tcW w:w="437" w:type="pct"/>
            <w:tcBorders>
              <w:bottom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88,0</w:t>
            </w:r>
          </w:p>
        </w:tc>
        <w:tc>
          <w:tcPr>
            <w:tcW w:w="437" w:type="pct"/>
            <w:tcBorders>
              <w:bottom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87,1</w:t>
            </w:r>
          </w:p>
        </w:tc>
        <w:tc>
          <w:tcPr>
            <w:tcW w:w="437" w:type="pct"/>
            <w:tcBorders>
              <w:bottom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84,1</w:t>
            </w:r>
          </w:p>
        </w:tc>
        <w:tc>
          <w:tcPr>
            <w:tcW w:w="437" w:type="pct"/>
            <w:tcBorders>
              <w:bottom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79,2</w:t>
            </w:r>
          </w:p>
        </w:tc>
        <w:tc>
          <w:tcPr>
            <w:tcW w:w="437" w:type="pct"/>
            <w:tcBorders>
              <w:bottom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77,3</w:t>
            </w:r>
          </w:p>
        </w:tc>
        <w:tc>
          <w:tcPr>
            <w:tcW w:w="437" w:type="pct"/>
            <w:tcBorders>
              <w:bottom w:val="nil"/>
            </w:tcBorders>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77,6</w:t>
            </w:r>
          </w:p>
        </w:tc>
        <w:tc>
          <w:tcPr>
            <w:tcW w:w="436" w:type="pct"/>
            <w:tcBorders>
              <w:bottom w:val="nil"/>
            </w:tcBorders>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75,3</w:t>
            </w:r>
          </w:p>
        </w:tc>
      </w:tr>
      <w:tr w:rsidR="00565FD5" w:rsidRPr="004B3DE4" w:rsidTr="00AB62A3">
        <w:trPr>
          <w:trHeight w:val="219"/>
        </w:trPr>
        <w:tc>
          <w:tcPr>
            <w:tcW w:w="632" w:type="pct"/>
            <w:tcBorders>
              <w:top w:val="nil"/>
              <w:bottom w:val="nil"/>
            </w:tcBorders>
            <w:noWrap/>
            <w:vAlign w:val="center"/>
          </w:tcPr>
          <w:p w:rsidR="00565FD5" w:rsidRPr="004B3DE4" w:rsidRDefault="00565FD5" w:rsidP="00AB62A3">
            <w:pPr>
              <w:rPr>
                <w:rFonts w:cs="Tahoma"/>
                <w:color w:val="000000"/>
                <w:sz w:val="14"/>
                <w:szCs w:val="14"/>
                <w:lang w:eastAsia="tr-TR"/>
              </w:rPr>
            </w:pPr>
            <w:r w:rsidRPr="004B3DE4">
              <w:rPr>
                <w:rFonts w:cs="Tahoma"/>
                <w:color w:val="000000"/>
                <w:sz w:val="14"/>
                <w:szCs w:val="14"/>
                <w:lang w:eastAsia="tr-TR"/>
              </w:rPr>
              <w:t>Üniversite</w:t>
            </w:r>
          </w:p>
        </w:tc>
        <w:tc>
          <w:tcPr>
            <w:tcW w:w="436"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7,2</w:t>
            </w:r>
          </w:p>
        </w:tc>
        <w:tc>
          <w:tcPr>
            <w:tcW w:w="437"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7,4</w:t>
            </w:r>
          </w:p>
        </w:tc>
        <w:tc>
          <w:tcPr>
            <w:tcW w:w="437"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7,0</w:t>
            </w:r>
          </w:p>
        </w:tc>
        <w:tc>
          <w:tcPr>
            <w:tcW w:w="437"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6,1</w:t>
            </w:r>
          </w:p>
        </w:tc>
        <w:tc>
          <w:tcPr>
            <w:tcW w:w="437"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5,8</w:t>
            </w:r>
          </w:p>
        </w:tc>
        <w:tc>
          <w:tcPr>
            <w:tcW w:w="437"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6,0</w:t>
            </w:r>
          </w:p>
        </w:tc>
        <w:tc>
          <w:tcPr>
            <w:tcW w:w="437"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6,7</w:t>
            </w:r>
          </w:p>
        </w:tc>
        <w:tc>
          <w:tcPr>
            <w:tcW w:w="437" w:type="pct"/>
            <w:tcBorders>
              <w:top w:val="nil"/>
              <w:bottom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6,6</w:t>
            </w:r>
          </w:p>
        </w:tc>
        <w:tc>
          <w:tcPr>
            <w:tcW w:w="437" w:type="pct"/>
            <w:tcBorders>
              <w:top w:val="nil"/>
              <w:bottom w:val="nil"/>
            </w:tcBorders>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6,6</w:t>
            </w:r>
          </w:p>
        </w:tc>
        <w:tc>
          <w:tcPr>
            <w:tcW w:w="436" w:type="pct"/>
            <w:tcBorders>
              <w:top w:val="nil"/>
              <w:bottom w:val="nil"/>
            </w:tcBorders>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7,2</w:t>
            </w:r>
          </w:p>
        </w:tc>
      </w:tr>
      <w:tr w:rsidR="00565FD5" w:rsidRPr="004B3DE4" w:rsidTr="00AB62A3">
        <w:trPr>
          <w:trHeight w:val="219"/>
        </w:trPr>
        <w:tc>
          <w:tcPr>
            <w:tcW w:w="632" w:type="pct"/>
            <w:tcBorders>
              <w:top w:val="nil"/>
            </w:tcBorders>
            <w:noWrap/>
            <w:vAlign w:val="center"/>
          </w:tcPr>
          <w:p w:rsidR="00565FD5" w:rsidRPr="004B3DE4" w:rsidRDefault="00565FD5" w:rsidP="00AB62A3">
            <w:pPr>
              <w:rPr>
                <w:rFonts w:cs="Tahoma"/>
                <w:color w:val="000000"/>
                <w:sz w:val="14"/>
                <w:szCs w:val="14"/>
                <w:lang w:eastAsia="tr-TR"/>
              </w:rPr>
            </w:pPr>
            <w:r w:rsidRPr="004B3DE4">
              <w:rPr>
                <w:rFonts w:cs="Tahoma"/>
                <w:color w:val="000000"/>
                <w:sz w:val="14"/>
                <w:szCs w:val="14"/>
                <w:lang w:eastAsia="tr-TR"/>
              </w:rPr>
              <w:t>Özel</w:t>
            </w:r>
          </w:p>
        </w:tc>
        <w:tc>
          <w:tcPr>
            <w:tcW w:w="436" w:type="pct"/>
            <w:tcBorders>
              <w:top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4,6</w:t>
            </w:r>
          </w:p>
        </w:tc>
        <w:tc>
          <w:tcPr>
            <w:tcW w:w="437" w:type="pct"/>
            <w:tcBorders>
              <w:top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4,7</w:t>
            </w:r>
          </w:p>
        </w:tc>
        <w:tc>
          <w:tcPr>
            <w:tcW w:w="437" w:type="pct"/>
            <w:tcBorders>
              <w:top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4,6</w:t>
            </w:r>
          </w:p>
        </w:tc>
        <w:tc>
          <w:tcPr>
            <w:tcW w:w="437" w:type="pct"/>
            <w:tcBorders>
              <w:top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5,9</w:t>
            </w:r>
          </w:p>
        </w:tc>
        <w:tc>
          <w:tcPr>
            <w:tcW w:w="437" w:type="pct"/>
            <w:tcBorders>
              <w:top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7,1</w:t>
            </w:r>
          </w:p>
        </w:tc>
        <w:tc>
          <w:tcPr>
            <w:tcW w:w="437" w:type="pct"/>
            <w:tcBorders>
              <w:top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9,8</w:t>
            </w:r>
          </w:p>
        </w:tc>
        <w:tc>
          <w:tcPr>
            <w:tcW w:w="437" w:type="pct"/>
            <w:tcBorders>
              <w:top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14,1</w:t>
            </w:r>
          </w:p>
        </w:tc>
        <w:tc>
          <w:tcPr>
            <w:tcW w:w="437" w:type="pct"/>
            <w:tcBorders>
              <w:top w:val="nil"/>
            </w:tcBorders>
            <w:noWrap/>
            <w:vAlign w:val="bottom"/>
          </w:tcPr>
          <w:p w:rsidR="00565FD5" w:rsidRPr="004B3DE4" w:rsidRDefault="00565FD5" w:rsidP="00AB62A3">
            <w:pPr>
              <w:tabs>
                <w:tab w:val="center" w:pos="4153"/>
                <w:tab w:val="right" w:pos="8306"/>
              </w:tabs>
              <w:jc w:val="right"/>
              <w:rPr>
                <w:rFonts w:cs="Tahoma"/>
                <w:color w:val="000000"/>
                <w:sz w:val="12"/>
                <w:szCs w:val="12"/>
                <w:lang w:eastAsia="tr-TR"/>
              </w:rPr>
            </w:pPr>
            <w:r w:rsidRPr="004B3DE4">
              <w:rPr>
                <w:rFonts w:cs="Tahoma"/>
                <w:color w:val="000000"/>
                <w:sz w:val="12"/>
                <w:szCs w:val="12"/>
                <w:lang w:eastAsia="tr-TR"/>
              </w:rPr>
              <w:t>16,1</w:t>
            </w:r>
          </w:p>
        </w:tc>
        <w:tc>
          <w:tcPr>
            <w:tcW w:w="437" w:type="pct"/>
            <w:tcBorders>
              <w:top w:val="nil"/>
            </w:tcBorders>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15,7</w:t>
            </w:r>
          </w:p>
        </w:tc>
        <w:tc>
          <w:tcPr>
            <w:tcW w:w="436" w:type="pct"/>
            <w:tcBorders>
              <w:top w:val="nil"/>
            </w:tcBorders>
            <w:vAlign w:val="bottom"/>
          </w:tcPr>
          <w:p w:rsidR="00565FD5" w:rsidRPr="004B3DE4" w:rsidRDefault="00565FD5" w:rsidP="00AB62A3">
            <w:pPr>
              <w:tabs>
                <w:tab w:val="center" w:pos="4153"/>
                <w:tab w:val="right" w:pos="8306"/>
              </w:tabs>
              <w:jc w:val="right"/>
              <w:rPr>
                <w:rFonts w:cs="Tahoma"/>
                <w:color w:val="000000"/>
                <w:sz w:val="12"/>
                <w:szCs w:val="12"/>
              </w:rPr>
            </w:pPr>
            <w:r w:rsidRPr="004B3DE4">
              <w:rPr>
                <w:rFonts w:cs="Tahoma"/>
                <w:color w:val="000000"/>
                <w:sz w:val="12"/>
                <w:szCs w:val="12"/>
              </w:rPr>
              <w:t>17,5</w:t>
            </w:r>
          </w:p>
        </w:tc>
      </w:tr>
    </w:tbl>
    <w:p w:rsidR="00565FD5" w:rsidRPr="00E65A90" w:rsidRDefault="00565FD5" w:rsidP="00565FD5">
      <w:pPr>
        <w:rPr>
          <w:rFonts w:cs="Tahoma"/>
          <w:sz w:val="13"/>
          <w:szCs w:val="13"/>
        </w:rPr>
      </w:pPr>
      <w:r w:rsidRPr="00E65A90">
        <w:rPr>
          <w:rFonts w:cs="Tahoma"/>
          <w:sz w:val="13"/>
          <w:szCs w:val="13"/>
        </w:rPr>
        <w:t>Not: MSB Hastaneleri dahil değildir.</w:t>
      </w:r>
    </w:p>
    <w:p w:rsidR="00565FD5" w:rsidRPr="00E65A90" w:rsidRDefault="00565FD5" w:rsidP="00565FD5">
      <w:pPr>
        <w:spacing w:after="120"/>
        <w:rPr>
          <w:rFonts w:cs="Tahoma"/>
          <w:sz w:val="13"/>
          <w:szCs w:val="13"/>
        </w:rPr>
      </w:pPr>
      <w:r w:rsidRPr="00E65A90">
        <w:rPr>
          <w:rFonts w:cs="Tahoma"/>
          <w:sz w:val="13"/>
          <w:szCs w:val="13"/>
        </w:rPr>
        <w:t>Kaynak: Sağlık Bakanlığı İstatistik Yıllığı, 2011</w:t>
      </w:r>
    </w:p>
    <w:p w:rsidR="00565FD5" w:rsidRPr="00B24821" w:rsidRDefault="00565FD5" w:rsidP="00565FD5">
      <w:pPr>
        <w:pStyle w:val="ResimYazs"/>
        <w:rPr>
          <w:rFonts w:cs="Tahoma"/>
        </w:rPr>
      </w:pPr>
      <w:bookmarkStart w:id="2487" w:name="_Toc338606056"/>
      <w:bookmarkStart w:id="2488" w:name="_Toc338711831"/>
      <w:r>
        <w:t xml:space="preserve">TABLO IV: </w:t>
      </w:r>
      <w:fldSimple w:instr=" SEQ TABLO_IV: \* ARABIC ">
        <w:r>
          <w:rPr>
            <w:noProof/>
          </w:rPr>
          <w:t>61</w:t>
        </w:r>
      </w:fldSimple>
      <w:r w:rsidRPr="00B24821">
        <w:rPr>
          <w:rFonts w:cs="Tahoma"/>
        </w:rPr>
        <w:t>- Sağlık Kuruluşlarının Durumu ve Hizmet Değerlendirmeleri, 2011</w:t>
      </w:r>
      <w:bookmarkEnd w:id="2487"/>
      <w:bookmarkEnd w:id="2488"/>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907"/>
        <w:gridCol w:w="551"/>
        <w:gridCol w:w="709"/>
        <w:gridCol w:w="493"/>
        <w:gridCol w:w="701"/>
        <w:gridCol w:w="917"/>
        <w:gridCol w:w="895"/>
        <w:gridCol w:w="776"/>
        <w:gridCol w:w="706"/>
        <w:gridCol w:w="598"/>
      </w:tblGrid>
      <w:tr w:rsidR="00565FD5" w:rsidRPr="004B3DE4" w:rsidTr="00AB62A3">
        <w:trPr>
          <w:trHeight w:val="510"/>
        </w:trPr>
        <w:tc>
          <w:tcPr>
            <w:tcW w:w="625" w:type="pct"/>
          </w:tcPr>
          <w:p w:rsidR="00565FD5" w:rsidRPr="004B3DE4" w:rsidRDefault="00565FD5" w:rsidP="00AB62A3">
            <w:pPr>
              <w:rPr>
                <w:rFonts w:cs="Tahoma"/>
                <w:sz w:val="14"/>
                <w:szCs w:val="14"/>
              </w:rPr>
            </w:pPr>
            <w:r w:rsidRPr="004B3DE4">
              <w:rPr>
                <w:rFonts w:cs="Tahoma"/>
                <w:sz w:val="14"/>
                <w:szCs w:val="14"/>
              </w:rPr>
              <w:t>Kurum</w:t>
            </w:r>
          </w:p>
        </w:tc>
        <w:tc>
          <w:tcPr>
            <w:tcW w:w="380" w:type="pct"/>
          </w:tcPr>
          <w:p w:rsidR="00565FD5" w:rsidRPr="004B3DE4" w:rsidRDefault="00565FD5" w:rsidP="00AB62A3">
            <w:pPr>
              <w:jc w:val="center"/>
              <w:rPr>
                <w:rFonts w:cs="Tahoma"/>
                <w:sz w:val="14"/>
                <w:szCs w:val="14"/>
              </w:rPr>
            </w:pPr>
            <w:r w:rsidRPr="004B3DE4">
              <w:rPr>
                <w:rFonts w:cs="Tahoma"/>
                <w:sz w:val="14"/>
                <w:szCs w:val="14"/>
              </w:rPr>
              <w:t>Yatak Sayısı (Bin)</w:t>
            </w:r>
          </w:p>
        </w:tc>
        <w:tc>
          <w:tcPr>
            <w:tcW w:w="489" w:type="pct"/>
          </w:tcPr>
          <w:p w:rsidR="00565FD5" w:rsidRPr="004B3DE4" w:rsidRDefault="00565FD5" w:rsidP="00AB62A3">
            <w:pPr>
              <w:jc w:val="center"/>
              <w:rPr>
                <w:rFonts w:cs="Tahoma"/>
                <w:sz w:val="14"/>
                <w:szCs w:val="14"/>
              </w:rPr>
            </w:pPr>
            <w:r w:rsidRPr="004B3DE4">
              <w:rPr>
                <w:rFonts w:cs="Tahoma"/>
                <w:sz w:val="14"/>
                <w:szCs w:val="14"/>
              </w:rPr>
              <w:t>Müracaat Sayısı</w:t>
            </w:r>
          </w:p>
          <w:p w:rsidR="00565FD5" w:rsidRPr="004B3DE4" w:rsidRDefault="00565FD5" w:rsidP="00AB62A3">
            <w:pPr>
              <w:jc w:val="center"/>
              <w:rPr>
                <w:rFonts w:cs="Tahoma"/>
                <w:sz w:val="14"/>
                <w:szCs w:val="14"/>
              </w:rPr>
            </w:pPr>
            <w:r w:rsidRPr="004B3DE4">
              <w:rPr>
                <w:rFonts w:cs="Tahoma"/>
                <w:sz w:val="14"/>
                <w:szCs w:val="14"/>
              </w:rPr>
              <w:t>(Bin)</w:t>
            </w:r>
          </w:p>
        </w:tc>
        <w:tc>
          <w:tcPr>
            <w:tcW w:w="340" w:type="pct"/>
          </w:tcPr>
          <w:p w:rsidR="00565FD5" w:rsidRPr="004B3DE4" w:rsidRDefault="00565FD5" w:rsidP="00AB62A3">
            <w:pPr>
              <w:jc w:val="center"/>
              <w:rPr>
                <w:rFonts w:cs="Tahoma"/>
                <w:sz w:val="14"/>
                <w:szCs w:val="14"/>
              </w:rPr>
            </w:pPr>
            <w:r w:rsidRPr="004B3DE4">
              <w:rPr>
                <w:rFonts w:cs="Tahoma"/>
                <w:sz w:val="14"/>
                <w:szCs w:val="14"/>
              </w:rPr>
              <w:t>Yatan Hasta Sayısı</w:t>
            </w:r>
          </w:p>
          <w:p w:rsidR="00565FD5" w:rsidRPr="004B3DE4" w:rsidRDefault="00565FD5" w:rsidP="00AB62A3">
            <w:pPr>
              <w:jc w:val="center"/>
              <w:rPr>
                <w:rFonts w:cs="Tahoma"/>
                <w:sz w:val="14"/>
                <w:szCs w:val="14"/>
              </w:rPr>
            </w:pPr>
            <w:r w:rsidRPr="004B3DE4">
              <w:rPr>
                <w:rFonts w:cs="Tahoma"/>
                <w:sz w:val="14"/>
                <w:szCs w:val="14"/>
              </w:rPr>
              <w:t>(Bin)</w:t>
            </w:r>
          </w:p>
        </w:tc>
        <w:tc>
          <w:tcPr>
            <w:tcW w:w="483" w:type="pct"/>
          </w:tcPr>
          <w:p w:rsidR="00565FD5" w:rsidRPr="004B3DE4" w:rsidRDefault="00565FD5" w:rsidP="00AB62A3">
            <w:pPr>
              <w:jc w:val="center"/>
              <w:rPr>
                <w:rFonts w:cs="Tahoma"/>
                <w:sz w:val="14"/>
                <w:szCs w:val="14"/>
              </w:rPr>
            </w:pPr>
            <w:r w:rsidRPr="004B3DE4">
              <w:rPr>
                <w:rFonts w:cs="Tahoma"/>
                <w:sz w:val="14"/>
                <w:szCs w:val="14"/>
              </w:rPr>
              <w:t>Ameliyat Sayısı</w:t>
            </w:r>
          </w:p>
          <w:p w:rsidR="00565FD5" w:rsidRPr="004B3DE4" w:rsidRDefault="00565FD5" w:rsidP="00AB62A3">
            <w:pPr>
              <w:jc w:val="center"/>
              <w:rPr>
                <w:rFonts w:cs="Tahoma"/>
                <w:sz w:val="14"/>
                <w:szCs w:val="14"/>
              </w:rPr>
            </w:pPr>
            <w:r w:rsidRPr="004B3DE4">
              <w:rPr>
                <w:rFonts w:cs="Tahoma"/>
                <w:sz w:val="14"/>
                <w:szCs w:val="14"/>
              </w:rPr>
              <w:t>(Bin)(1)</w:t>
            </w:r>
          </w:p>
        </w:tc>
        <w:tc>
          <w:tcPr>
            <w:tcW w:w="632" w:type="pct"/>
          </w:tcPr>
          <w:p w:rsidR="00565FD5" w:rsidRPr="004B3DE4" w:rsidRDefault="00565FD5" w:rsidP="00AB62A3">
            <w:pPr>
              <w:jc w:val="center"/>
              <w:rPr>
                <w:rFonts w:cs="Tahoma"/>
                <w:sz w:val="14"/>
                <w:szCs w:val="14"/>
              </w:rPr>
            </w:pPr>
            <w:r w:rsidRPr="004B3DE4">
              <w:rPr>
                <w:rFonts w:cs="Tahoma"/>
                <w:sz w:val="14"/>
                <w:szCs w:val="14"/>
              </w:rPr>
              <w:t>Ameliyat Sayısının Müracaat Sayısına Oranı (Yüzde)</w:t>
            </w:r>
          </w:p>
        </w:tc>
        <w:tc>
          <w:tcPr>
            <w:tcW w:w="617" w:type="pct"/>
          </w:tcPr>
          <w:p w:rsidR="00565FD5" w:rsidRPr="004B3DE4" w:rsidRDefault="00565FD5" w:rsidP="00AB62A3">
            <w:pPr>
              <w:jc w:val="center"/>
              <w:rPr>
                <w:rFonts w:cs="Tahoma"/>
                <w:sz w:val="14"/>
                <w:szCs w:val="14"/>
              </w:rPr>
            </w:pPr>
            <w:r w:rsidRPr="004B3DE4">
              <w:rPr>
                <w:rFonts w:cs="Tahoma"/>
                <w:sz w:val="14"/>
                <w:szCs w:val="14"/>
              </w:rPr>
              <w:t>Ameliyat Sayısının Yatak Sayısına Oranı</w:t>
            </w:r>
          </w:p>
        </w:tc>
        <w:tc>
          <w:tcPr>
            <w:tcW w:w="535" w:type="pct"/>
          </w:tcPr>
          <w:p w:rsidR="00565FD5" w:rsidRPr="004B3DE4" w:rsidRDefault="00565FD5" w:rsidP="00AB62A3">
            <w:pPr>
              <w:jc w:val="center"/>
              <w:rPr>
                <w:rFonts w:cs="Tahoma"/>
                <w:sz w:val="14"/>
                <w:szCs w:val="14"/>
              </w:rPr>
            </w:pPr>
            <w:r w:rsidRPr="004B3DE4">
              <w:rPr>
                <w:rFonts w:cs="Tahoma"/>
                <w:sz w:val="14"/>
                <w:szCs w:val="14"/>
              </w:rPr>
              <w:t>Yatak Doluluk Oranı (Yüzde)</w:t>
            </w:r>
          </w:p>
        </w:tc>
        <w:tc>
          <w:tcPr>
            <w:tcW w:w="487" w:type="pct"/>
          </w:tcPr>
          <w:p w:rsidR="00565FD5" w:rsidRPr="004B3DE4" w:rsidRDefault="00565FD5" w:rsidP="00AB62A3">
            <w:pPr>
              <w:jc w:val="center"/>
              <w:rPr>
                <w:rFonts w:cs="Tahoma"/>
                <w:sz w:val="14"/>
                <w:szCs w:val="14"/>
              </w:rPr>
            </w:pPr>
            <w:r w:rsidRPr="004B3DE4">
              <w:rPr>
                <w:rFonts w:cs="Tahoma"/>
                <w:sz w:val="14"/>
                <w:szCs w:val="14"/>
              </w:rPr>
              <w:t>Hastanın Ortalama Kalış Günü</w:t>
            </w:r>
          </w:p>
        </w:tc>
        <w:tc>
          <w:tcPr>
            <w:tcW w:w="413" w:type="pct"/>
          </w:tcPr>
          <w:p w:rsidR="00565FD5" w:rsidRPr="004B3DE4" w:rsidRDefault="00565FD5" w:rsidP="00AB62A3">
            <w:pPr>
              <w:ind w:left="-6" w:right="-117"/>
              <w:jc w:val="center"/>
              <w:rPr>
                <w:rFonts w:cs="Tahoma"/>
                <w:sz w:val="14"/>
                <w:szCs w:val="14"/>
              </w:rPr>
            </w:pPr>
            <w:r w:rsidRPr="004B3DE4">
              <w:rPr>
                <w:rFonts w:cs="Tahoma"/>
                <w:sz w:val="14"/>
                <w:szCs w:val="14"/>
              </w:rPr>
              <w:t>Yatak Devir Hızı (Hasta)</w:t>
            </w:r>
          </w:p>
        </w:tc>
      </w:tr>
      <w:tr w:rsidR="00565FD5" w:rsidRPr="004B3DE4" w:rsidTr="00AB62A3">
        <w:trPr>
          <w:trHeight w:val="262"/>
        </w:trPr>
        <w:tc>
          <w:tcPr>
            <w:tcW w:w="625" w:type="pct"/>
            <w:tcBorders>
              <w:bottom w:val="nil"/>
            </w:tcBorders>
            <w:vAlign w:val="center"/>
          </w:tcPr>
          <w:p w:rsidR="00565FD5" w:rsidRPr="004B3DE4" w:rsidRDefault="00565FD5" w:rsidP="00AB62A3">
            <w:pPr>
              <w:rPr>
                <w:rFonts w:cs="Tahoma"/>
                <w:sz w:val="14"/>
                <w:szCs w:val="14"/>
              </w:rPr>
            </w:pPr>
            <w:r w:rsidRPr="004B3DE4">
              <w:rPr>
                <w:rFonts w:cs="Tahoma"/>
                <w:sz w:val="14"/>
                <w:szCs w:val="14"/>
              </w:rPr>
              <w:t>Sağlık Bakanlığı</w:t>
            </w:r>
          </w:p>
        </w:tc>
        <w:tc>
          <w:tcPr>
            <w:tcW w:w="380" w:type="pct"/>
            <w:tcBorders>
              <w:bottom w:val="nil"/>
            </w:tcBorders>
            <w:vAlign w:val="bottom"/>
          </w:tcPr>
          <w:p w:rsidR="00565FD5" w:rsidRPr="004B3DE4" w:rsidRDefault="00565FD5" w:rsidP="00AB62A3">
            <w:pPr>
              <w:tabs>
                <w:tab w:val="center" w:pos="4153"/>
                <w:tab w:val="right" w:pos="8306"/>
              </w:tabs>
              <w:jc w:val="right"/>
              <w:rPr>
                <w:rFonts w:cs="Tahoma"/>
                <w:sz w:val="14"/>
                <w:szCs w:val="14"/>
                <w:lang w:val="en-US"/>
              </w:rPr>
            </w:pPr>
            <w:r w:rsidRPr="004B3DE4">
              <w:rPr>
                <w:rFonts w:cs="Tahoma"/>
                <w:sz w:val="14"/>
                <w:szCs w:val="14"/>
                <w:lang w:val="en-US"/>
              </w:rPr>
              <w:t>121</w:t>
            </w:r>
          </w:p>
        </w:tc>
        <w:tc>
          <w:tcPr>
            <w:tcW w:w="489" w:type="pct"/>
            <w:tcBorders>
              <w:bottom w:val="nil"/>
            </w:tcBorders>
            <w:vAlign w:val="bottom"/>
          </w:tcPr>
          <w:p w:rsidR="00565FD5" w:rsidRPr="004B3DE4" w:rsidRDefault="00565FD5" w:rsidP="00AB62A3">
            <w:pPr>
              <w:tabs>
                <w:tab w:val="center" w:pos="4153"/>
                <w:tab w:val="right" w:pos="8306"/>
              </w:tabs>
              <w:jc w:val="right"/>
              <w:rPr>
                <w:rFonts w:cs="Tahoma"/>
                <w:sz w:val="14"/>
                <w:szCs w:val="14"/>
              </w:rPr>
            </w:pPr>
            <w:r w:rsidRPr="004B3DE4">
              <w:rPr>
                <w:rFonts w:cs="Tahoma"/>
                <w:sz w:val="14"/>
                <w:szCs w:val="14"/>
                <w:lang w:val="en-US"/>
              </w:rPr>
              <w:t>254 343</w:t>
            </w:r>
          </w:p>
        </w:tc>
        <w:tc>
          <w:tcPr>
            <w:tcW w:w="340" w:type="pct"/>
            <w:tcBorders>
              <w:bottom w:val="nil"/>
            </w:tcBorders>
            <w:vAlign w:val="bottom"/>
          </w:tcPr>
          <w:p w:rsidR="00565FD5" w:rsidRPr="004B3DE4" w:rsidRDefault="00565FD5" w:rsidP="00AB62A3">
            <w:pPr>
              <w:tabs>
                <w:tab w:val="center" w:pos="4153"/>
                <w:tab w:val="right" w:pos="8306"/>
              </w:tabs>
              <w:jc w:val="right"/>
              <w:rPr>
                <w:rFonts w:cs="Tahoma"/>
                <w:sz w:val="14"/>
                <w:szCs w:val="14"/>
                <w:lang w:val="en-US"/>
              </w:rPr>
            </w:pPr>
            <w:r w:rsidRPr="004B3DE4">
              <w:rPr>
                <w:rFonts w:cs="Tahoma"/>
                <w:sz w:val="14"/>
                <w:szCs w:val="14"/>
                <w:lang w:val="en-US"/>
              </w:rPr>
              <w:t>6 775</w:t>
            </w:r>
          </w:p>
        </w:tc>
        <w:tc>
          <w:tcPr>
            <w:tcW w:w="483" w:type="pct"/>
            <w:tcBorders>
              <w:bottom w:val="nil"/>
            </w:tcBorders>
            <w:vAlign w:val="bottom"/>
          </w:tcPr>
          <w:p w:rsidR="00565FD5" w:rsidRPr="004B3DE4" w:rsidRDefault="00565FD5" w:rsidP="00AB62A3">
            <w:pPr>
              <w:tabs>
                <w:tab w:val="center" w:pos="4153"/>
                <w:tab w:val="right" w:pos="8306"/>
              </w:tabs>
              <w:jc w:val="right"/>
              <w:rPr>
                <w:rFonts w:cs="Tahoma"/>
                <w:sz w:val="14"/>
                <w:szCs w:val="14"/>
                <w:lang w:val="en-US"/>
              </w:rPr>
            </w:pPr>
            <w:r w:rsidRPr="004B3DE4">
              <w:rPr>
                <w:rFonts w:cs="Tahoma"/>
                <w:sz w:val="14"/>
                <w:szCs w:val="14"/>
                <w:lang w:val="en-US"/>
              </w:rPr>
              <w:t>2 209</w:t>
            </w:r>
          </w:p>
        </w:tc>
        <w:tc>
          <w:tcPr>
            <w:tcW w:w="632" w:type="pct"/>
            <w:tcBorders>
              <w:bottom w:val="nil"/>
            </w:tcBorders>
            <w:vAlign w:val="bottom"/>
          </w:tcPr>
          <w:p w:rsidR="00565FD5" w:rsidRPr="004B3DE4" w:rsidRDefault="00565FD5" w:rsidP="00AB62A3">
            <w:pPr>
              <w:tabs>
                <w:tab w:val="center" w:pos="4153"/>
                <w:tab w:val="right" w:pos="8306"/>
              </w:tabs>
              <w:jc w:val="right"/>
              <w:rPr>
                <w:rFonts w:cs="Tahoma"/>
                <w:sz w:val="14"/>
                <w:szCs w:val="14"/>
                <w:lang w:val="en-US"/>
              </w:rPr>
            </w:pPr>
            <w:r w:rsidRPr="004B3DE4">
              <w:rPr>
                <w:rFonts w:cs="Tahoma"/>
                <w:sz w:val="14"/>
                <w:szCs w:val="14"/>
                <w:lang w:val="en-US"/>
              </w:rPr>
              <w:t>0,9</w:t>
            </w:r>
          </w:p>
        </w:tc>
        <w:tc>
          <w:tcPr>
            <w:tcW w:w="617" w:type="pct"/>
            <w:tcBorders>
              <w:bottom w:val="nil"/>
            </w:tcBorders>
            <w:vAlign w:val="bottom"/>
          </w:tcPr>
          <w:p w:rsidR="00565FD5" w:rsidRPr="004B3DE4" w:rsidRDefault="00565FD5" w:rsidP="00AB62A3">
            <w:pPr>
              <w:tabs>
                <w:tab w:val="center" w:pos="4153"/>
                <w:tab w:val="right" w:pos="8306"/>
              </w:tabs>
              <w:jc w:val="right"/>
              <w:rPr>
                <w:rFonts w:cs="Tahoma"/>
                <w:sz w:val="14"/>
                <w:szCs w:val="14"/>
              </w:rPr>
            </w:pPr>
            <w:r w:rsidRPr="004B3DE4">
              <w:rPr>
                <w:rFonts w:cs="Tahoma"/>
                <w:sz w:val="14"/>
                <w:szCs w:val="14"/>
              </w:rPr>
              <w:t>18,3</w:t>
            </w:r>
          </w:p>
        </w:tc>
        <w:tc>
          <w:tcPr>
            <w:tcW w:w="535" w:type="pct"/>
            <w:tcBorders>
              <w:bottom w:val="nil"/>
            </w:tcBorders>
            <w:vAlign w:val="bottom"/>
          </w:tcPr>
          <w:p w:rsidR="00565FD5" w:rsidRPr="004B3DE4" w:rsidRDefault="00565FD5" w:rsidP="00AB62A3">
            <w:pPr>
              <w:tabs>
                <w:tab w:val="center" w:pos="4153"/>
                <w:tab w:val="right" w:pos="8306"/>
              </w:tabs>
              <w:jc w:val="right"/>
              <w:rPr>
                <w:rFonts w:cs="Tahoma"/>
                <w:sz w:val="14"/>
                <w:szCs w:val="14"/>
              </w:rPr>
            </w:pPr>
            <w:r w:rsidRPr="004B3DE4">
              <w:rPr>
                <w:rFonts w:cs="Tahoma"/>
                <w:sz w:val="14"/>
                <w:szCs w:val="14"/>
              </w:rPr>
              <w:t>66,4</w:t>
            </w:r>
          </w:p>
        </w:tc>
        <w:tc>
          <w:tcPr>
            <w:tcW w:w="487" w:type="pct"/>
            <w:tcBorders>
              <w:bottom w:val="nil"/>
            </w:tcBorders>
            <w:vAlign w:val="bottom"/>
          </w:tcPr>
          <w:p w:rsidR="00565FD5" w:rsidRPr="004B3DE4" w:rsidRDefault="00565FD5" w:rsidP="00AB62A3">
            <w:pPr>
              <w:tabs>
                <w:tab w:val="center" w:pos="4153"/>
                <w:tab w:val="right" w:pos="8306"/>
              </w:tabs>
              <w:jc w:val="right"/>
              <w:rPr>
                <w:rFonts w:cs="Tahoma"/>
                <w:sz w:val="14"/>
                <w:szCs w:val="14"/>
              </w:rPr>
            </w:pPr>
            <w:r w:rsidRPr="004B3DE4">
              <w:rPr>
                <w:rFonts w:cs="Tahoma"/>
                <w:sz w:val="14"/>
                <w:szCs w:val="14"/>
              </w:rPr>
              <w:t>4,3</w:t>
            </w:r>
          </w:p>
        </w:tc>
        <w:tc>
          <w:tcPr>
            <w:tcW w:w="413" w:type="pct"/>
            <w:tcBorders>
              <w:bottom w:val="nil"/>
            </w:tcBorders>
            <w:vAlign w:val="bottom"/>
          </w:tcPr>
          <w:p w:rsidR="00565FD5" w:rsidRPr="004B3DE4" w:rsidRDefault="00565FD5" w:rsidP="00AB62A3">
            <w:pPr>
              <w:tabs>
                <w:tab w:val="center" w:pos="4153"/>
                <w:tab w:val="right" w:pos="8306"/>
              </w:tabs>
              <w:jc w:val="right"/>
              <w:rPr>
                <w:rFonts w:cs="Tahoma"/>
                <w:sz w:val="14"/>
                <w:szCs w:val="14"/>
              </w:rPr>
            </w:pPr>
            <w:r w:rsidRPr="004B3DE4">
              <w:rPr>
                <w:rFonts w:cs="Tahoma"/>
                <w:sz w:val="14"/>
                <w:szCs w:val="14"/>
              </w:rPr>
              <w:t>55,9</w:t>
            </w:r>
          </w:p>
        </w:tc>
      </w:tr>
      <w:tr w:rsidR="00565FD5" w:rsidRPr="004B3DE4" w:rsidTr="00AB62A3">
        <w:trPr>
          <w:trHeight w:val="138"/>
        </w:trPr>
        <w:tc>
          <w:tcPr>
            <w:tcW w:w="625" w:type="pct"/>
            <w:tcBorders>
              <w:top w:val="nil"/>
              <w:bottom w:val="nil"/>
            </w:tcBorders>
            <w:vAlign w:val="center"/>
          </w:tcPr>
          <w:p w:rsidR="00565FD5" w:rsidRPr="004B3DE4" w:rsidRDefault="00565FD5" w:rsidP="00AB62A3">
            <w:pPr>
              <w:tabs>
                <w:tab w:val="center" w:pos="4153"/>
                <w:tab w:val="right" w:pos="8306"/>
              </w:tabs>
              <w:rPr>
                <w:rFonts w:cs="Tahoma"/>
                <w:sz w:val="14"/>
                <w:szCs w:val="14"/>
              </w:rPr>
            </w:pPr>
            <w:r w:rsidRPr="004B3DE4">
              <w:rPr>
                <w:rFonts w:cs="Tahoma"/>
                <w:sz w:val="14"/>
                <w:szCs w:val="14"/>
              </w:rPr>
              <w:t>Üniversiteler</w:t>
            </w:r>
          </w:p>
        </w:tc>
        <w:tc>
          <w:tcPr>
            <w:tcW w:w="380" w:type="pct"/>
            <w:tcBorders>
              <w:top w:val="nil"/>
              <w:bottom w:val="nil"/>
            </w:tcBorders>
            <w:vAlign w:val="bottom"/>
          </w:tcPr>
          <w:p w:rsidR="00565FD5" w:rsidRPr="004B3DE4" w:rsidRDefault="00565FD5" w:rsidP="00AB62A3">
            <w:pPr>
              <w:tabs>
                <w:tab w:val="center" w:pos="4153"/>
                <w:tab w:val="right" w:pos="8306"/>
              </w:tabs>
              <w:jc w:val="right"/>
              <w:rPr>
                <w:rFonts w:cs="Tahoma"/>
                <w:sz w:val="14"/>
                <w:szCs w:val="14"/>
                <w:lang w:val="en-US"/>
              </w:rPr>
            </w:pPr>
            <w:r w:rsidRPr="004B3DE4">
              <w:rPr>
                <w:rFonts w:cs="Tahoma"/>
                <w:sz w:val="14"/>
                <w:szCs w:val="14"/>
                <w:lang w:val="en-US"/>
              </w:rPr>
              <w:t>35</w:t>
            </w:r>
          </w:p>
        </w:tc>
        <w:tc>
          <w:tcPr>
            <w:tcW w:w="489" w:type="pct"/>
            <w:tcBorders>
              <w:top w:val="nil"/>
              <w:bottom w:val="nil"/>
            </w:tcBorders>
            <w:vAlign w:val="bottom"/>
          </w:tcPr>
          <w:p w:rsidR="00565FD5" w:rsidRPr="004B3DE4" w:rsidRDefault="00565FD5" w:rsidP="00AB62A3">
            <w:pPr>
              <w:tabs>
                <w:tab w:val="center" w:pos="4153"/>
                <w:tab w:val="right" w:pos="8306"/>
              </w:tabs>
              <w:jc w:val="right"/>
              <w:rPr>
                <w:rFonts w:cs="Tahoma"/>
                <w:sz w:val="14"/>
                <w:szCs w:val="14"/>
              </w:rPr>
            </w:pPr>
            <w:r w:rsidRPr="004B3DE4">
              <w:rPr>
                <w:rFonts w:cs="Tahoma"/>
                <w:sz w:val="14"/>
                <w:szCs w:val="14"/>
                <w:lang w:val="en-US"/>
              </w:rPr>
              <w:t>24 437</w:t>
            </w:r>
          </w:p>
        </w:tc>
        <w:tc>
          <w:tcPr>
            <w:tcW w:w="340" w:type="pct"/>
            <w:tcBorders>
              <w:top w:val="nil"/>
              <w:bottom w:val="nil"/>
            </w:tcBorders>
            <w:vAlign w:val="bottom"/>
          </w:tcPr>
          <w:p w:rsidR="00565FD5" w:rsidRPr="004B3DE4" w:rsidRDefault="00565FD5" w:rsidP="00AB62A3">
            <w:pPr>
              <w:tabs>
                <w:tab w:val="center" w:pos="4153"/>
                <w:tab w:val="right" w:pos="8306"/>
              </w:tabs>
              <w:jc w:val="right"/>
              <w:rPr>
                <w:rFonts w:cs="Tahoma"/>
                <w:sz w:val="14"/>
                <w:szCs w:val="14"/>
                <w:lang w:val="en-US"/>
              </w:rPr>
            </w:pPr>
            <w:r w:rsidRPr="004B3DE4">
              <w:rPr>
                <w:rFonts w:cs="Tahoma"/>
                <w:sz w:val="14"/>
                <w:szCs w:val="14"/>
                <w:lang w:val="en-US"/>
              </w:rPr>
              <w:t>1 607</w:t>
            </w:r>
          </w:p>
        </w:tc>
        <w:tc>
          <w:tcPr>
            <w:tcW w:w="483" w:type="pct"/>
            <w:tcBorders>
              <w:top w:val="nil"/>
              <w:bottom w:val="nil"/>
            </w:tcBorders>
            <w:vAlign w:val="bottom"/>
          </w:tcPr>
          <w:p w:rsidR="00565FD5" w:rsidRPr="004B3DE4" w:rsidRDefault="00565FD5" w:rsidP="00AB62A3">
            <w:pPr>
              <w:tabs>
                <w:tab w:val="center" w:pos="4153"/>
                <w:tab w:val="right" w:pos="8306"/>
              </w:tabs>
              <w:jc w:val="right"/>
              <w:rPr>
                <w:rFonts w:cs="Tahoma"/>
                <w:sz w:val="14"/>
                <w:szCs w:val="14"/>
                <w:lang w:val="en-US"/>
              </w:rPr>
            </w:pPr>
            <w:r w:rsidRPr="004B3DE4">
              <w:rPr>
                <w:rFonts w:cs="Tahoma"/>
                <w:sz w:val="14"/>
                <w:szCs w:val="14"/>
                <w:lang w:val="en-US"/>
              </w:rPr>
              <w:t>617</w:t>
            </w:r>
          </w:p>
        </w:tc>
        <w:tc>
          <w:tcPr>
            <w:tcW w:w="632" w:type="pct"/>
            <w:tcBorders>
              <w:top w:val="nil"/>
              <w:bottom w:val="nil"/>
            </w:tcBorders>
            <w:vAlign w:val="bottom"/>
          </w:tcPr>
          <w:p w:rsidR="00565FD5" w:rsidRPr="004B3DE4" w:rsidRDefault="00565FD5" w:rsidP="00AB62A3">
            <w:pPr>
              <w:tabs>
                <w:tab w:val="center" w:pos="4153"/>
                <w:tab w:val="right" w:pos="8306"/>
              </w:tabs>
              <w:jc w:val="right"/>
              <w:rPr>
                <w:rFonts w:cs="Tahoma"/>
                <w:sz w:val="14"/>
                <w:szCs w:val="14"/>
                <w:lang w:val="en-US"/>
              </w:rPr>
            </w:pPr>
            <w:r w:rsidRPr="004B3DE4">
              <w:rPr>
                <w:rFonts w:cs="Tahoma"/>
                <w:sz w:val="14"/>
                <w:szCs w:val="14"/>
                <w:lang w:val="en-US"/>
              </w:rPr>
              <w:t>2,5</w:t>
            </w:r>
          </w:p>
        </w:tc>
        <w:tc>
          <w:tcPr>
            <w:tcW w:w="617" w:type="pct"/>
            <w:tcBorders>
              <w:top w:val="nil"/>
              <w:bottom w:val="nil"/>
            </w:tcBorders>
            <w:vAlign w:val="bottom"/>
          </w:tcPr>
          <w:p w:rsidR="00565FD5" w:rsidRPr="004B3DE4" w:rsidRDefault="00565FD5" w:rsidP="00AB62A3">
            <w:pPr>
              <w:tabs>
                <w:tab w:val="center" w:pos="4153"/>
                <w:tab w:val="right" w:pos="8306"/>
              </w:tabs>
              <w:jc w:val="right"/>
              <w:rPr>
                <w:rFonts w:cs="Tahoma"/>
                <w:sz w:val="14"/>
                <w:szCs w:val="14"/>
              </w:rPr>
            </w:pPr>
            <w:r w:rsidRPr="004B3DE4">
              <w:rPr>
                <w:rFonts w:cs="Tahoma"/>
                <w:sz w:val="14"/>
                <w:szCs w:val="14"/>
              </w:rPr>
              <w:t>17,6</w:t>
            </w:r>
          </w:p>
        </w:tc>
        <w:tc>
          <w:tcPr>
            <w:tcW w:w="535" w:type="pct"/>
            <w:tcBorders>
              <w:top w:val="nil"/>
              <w:bottom w:val="nil"/>
            </w:tcBorders>
            <w:vAlign w:val="bottom"/>
          </w:tcPr>
          <w:p w:rsidR="00565FD5" w:rsidRPr="004B3DE4" w:rsidRDefault="00565FD5" w:rsidP="00AB62A3">
            <w:pPr>
              <w:tabs>
                <w:tab w:val="center" w:pos="4153"/>
                <w:tab w:val="right" w:pos="8306"/>
              </w:tabs>
              <w:jc w:val="right"/>
              <w:rPr>
                <w:rFonts w:cs="Tahoma"/>
                <w:sz w:val="14"/>
                <w:szCs w:val="14"/>
              </w:rPr>
            </w:pPr>
            <w:r w:rsidRPr="004B3DE4">
              <w:rPr>
                <w:rFonts w:cs="Tahoma"/>
                <w:sz w:val="14"/>
                <w:szCs w:val="14"/>
              </w:rPr>
              <w:t>73,6</w:t>
            </w:r>
          </w:p>
        </w:tc>
        <w:tc>
          <w:tcPr>
            <w:tcW w:w="487" w:type="pct"/>
            <w:tcBorders>
              <w:top w:val="nil"/>
              <w:bottom w:val="nil"/>
            </w:tcBorders>
            <w:vAlign w:val="bottom"/>
          </w:tcPr>
          <w:p w:rsidR="00565FD5" w:rsidRPr="004B3DE4" w:rsidRDefault="00565FD5" w:rsidP="00AB62A3">
            <w:pPr>
              <w:tabs>
                <w:tab w:val="center" w:pos="4153"/>
                <w:tab w:val="right" w:pos="8306"/>
              </w:tabs>
              <w:jc w:val="right"/>
              <w:rPr>
                <w:rFonts w:cs="Tahoma"/>
                <w:sz w:val="14"/>
                <w:szCs w:val="14"/>
              </w:rPr>
            </w:pPr>
            <w:r w:rsidRPr="004B3DE4">
              <w:rPr>
                <w:rFonts w:cs="Tahoma"/>
                <w:sz w:val="14"/>
                <w:szCs w:val="14"/>
              </w:rPr>
              <w:t>5,8</w:t>
            </w:r>
          </w:p>
        </w:tc>
        <w:tc>
          <w:tcPr>
            <w:tcW w:w="413" w:type="pct"/>
            <w:tcBorders>
              <w:top w:val="nil"/>
              <w:bottom w:val="nil"/>
            </w:tcBorders>
            <w:vAlign w:val="bottom"/>
          </w:tcPr>
          <w:p w:rsidR="00565FD5" w:rsidRPr="004B3DE4" w:rsidRDefault="00565FD5" w:rsidP="00AB62A3">
            <w:pPr>
              <w:tabs>
                <w:tab w:val="center" w:pos="4153"/>
                <w:tab w:val="right" w:pos="8306"/>
              </w:tabs>
              <w:jc w:val="right"/>
              <w:rPr>
                <w:rFonts w:cs="Tahoma"/>
                <w:sz w:val="14"/>
                <w:szCs w:val="14"/>
              </w:rPr>
            </w:pPr>
            <w:r w:rsidRPr="004B3DE4">
              <w:rPr>
                <w:rFonts w:cs="Tahoma"/>
                <w:sz w:val="14"/>
                <w:szCs w:val="14"/>
              </w:rPr>
              <w:t>46,2</w:t>
            </w:r>
          </w:p>
        </w:tc>
      </w:tr>
      <w:tr w:rsidR="00565FD5" w:rsidRPr="004B3DE4" w:rsidTr="00AB62A3">
        <w:trPr>
          <w:trHeight w:val="183"/>
        </w:trPr>
        <w:tc>
          <w:tcPr>
            <w:tcW w:w="625" w:type="pct"/>
            <w:tcBorders>
              <w:top w:val="nil"/>
            </w:tcBorders>
            <w:vAlign w:val="center"/>
          </w:tcPr>
          <w:p w:rsidR="00565FD5" w:rsidRPr="004B3DE4" w:rsidRDefault="00565FD5" w:rsidP="00AB62A3">
            <w:pPr>
              <w:tabs>
                <w:tab w:val="center" w:pos="4153"/>
                <w:tab w:val="right" w:pos="8306"/>
              </w:tabs>
              <w:rPr>
                <w:rFonts w:cs="Tahoma"/>
                <w:sz w:val="14"/>
                <w:szCs w:val="14"/>
              </w:rPr>
            </w:pPr>
            <w:r w:rsidRPr="004B3DE4">
              <w:rPr>
                <w:rFonts w:cs="Tahoma"/>
                <w:sz w:val="14"/>
                <w:szCs w:val="14"/>
              </w:rPr>
              <w:t>Özel Hastaneler</w:t>
            </w:r>
          </w:p>
        </w:tc>
        <w:tc>
          <w:tcPr>
            <w:tcW w:w="380" w:type="pct"/>
            <w:tcBorders>
              <w:top w:val="nil"/>
            </w:tcBorders>
            <w:vAlign w:val="bottom"/>
          </w:tcPr>
          <w:p w:rsidR="00565FD5" w:rsidRPr="004B3DE4" w:rsidRDefault="00565FD5" w:rsidP="00AB62A3">
            <w:pPr>
              <w:tabs>
                <w:tab w:val="center" w:pos="4153"/>
                <w:tab w:val="right" w:pos="8306"/>
              </w:tabs>
              <w:jc w:val="right"/>
              <w:rPr>
                <w:rFonts w:cs="Tahoma"/>
                <w:sz w:val="14"/>
                <w:szCs w:val="14"/>
                <w:lang w:val="en-US"/>
              </w:rPr>
            </w:pPr>
            <w:r w:rsidRPr="004B3DE4">
              <w:rPr>
                <w:rFonts w:cs="Tahoma"/>
                <w:sz w:val="14"/>
                <w:szCs w:val="14"/>
                <w:lang w:val="en-US"/>
              </w:rPr>
              <w:t>32</w:t>
            </w:r>
          </w:p>
        </w:tc>
        <w:tc>
          <w:tcPr>
            <w:tcW w:w="489" w:type="pct"/>
            <w:tcBorders>
              <w:top w:val="nil"/>
            </w:tcBorders>
            <w:vAlign w:val="bottom"/>
          </w:tcPr>
          <w:p w:rsidR="00565FD5" w:rsidRPr="004B3DE4" w:rsidRDefault="00565FD5" w:rsidP="00AB62A3">
            <w:pPr>
              <w:tabs>
                <w:tab w:val="center" w:pos="4153"/>
                <w:tab w:val="right" w:pos="8306"/>
              </w:tabs>
              <w:jc w:val="right"/>
              <w:rPr>
                <w:rFonts w:cs="Tahoma"/>
                <w:sz w:val="14"/>
                <w:szCs w:val="14"/>
              </w:rPr>
            </w:pPr>
            <w:r w:rsidRPr="004B3DE4">
              <w:rPr>
                <w:rFonts w:cs="Tahoma"/>
                <w:sz w:val="14"/>
                <w:szCs w:val="14"/>
                <w:lang w:val="en-US"/>
              </w:rPr>
              <w:t>59 069</w:t>
            </w:r>
          </w:p>
        </w:tc>
        <w:tc>
          <w:tcPr>
            <w:tcW w:w="340" w:type="pct"/>
            <w:tcBorders>
              <w:top w:val="nil"/>
            </w:tcBorders>
            <w:vAlign w:val="bottom"/>
          </w:tcPr>
          <w:p w:rsidR="00565FD5" w:rsidRPr="004B3DE4" w:rsidRDefault="00565FD5" w:rsidP="00AB62A3">
            <w:pPr>
              <w:tabs>
                <w:tab w:val="center" w:pos="4153"/>
                <w:tab w:val="right" w:pos="8306"/>
              </w:tabs>
              <w:jc w:val="right"/>
              <w:rPr>
                <w:rFonts w:cs="Tahoma"/>
                <w:sz w:val="14"/>
                <w:szCs w:val="14"/>
                <w:lang w:val="en-US"/>
              </w:rPr>
            </w:pPr>
            <w:r w:rsidRPr="004B3DE4">
              <w:rPr>
                <w:rFonts w:cs="Tahoma"/>
                <w:sz w:val="14"/>
                <w:szCs w:val="14"/>
                <w:lang w:val="en-US"/>
              </w:rPr>
              <w:t>3 054</w:t>
            </w:r>
          </w:p>
        </w:tc>
        <w:tc>
          <w:tcPr>
            <w:tcW w:w="483" w:type="pct"/>
            <w:tcBorders>
              <w:top w:val="nil"/>
            </w:tcBorders>
            <w:vAlign w:val="bottom"/>
          </w:tcPr>
          <w:p w:rsidR="00565FD5" w:rsidRPr="004B3DE4" w:rsidRDefault="00565FD5" w:rsidP="00AB62A3">
            <w:pPr>
              <w:tabs>
                <w:tab w:val="center" w:pos="4153"/>
                <w:tab w:val="right" w:pos="8306"/>
              </w:tabs>
              <w:jc w:val="right"/>
              <w:rPr>
                <w:rFonts w:cs="Tahoma"/>
                <w:sz w:val="14"/>
                <w:szCs w:val="14"/>
                <w:lang w:val="en-US"/>
              </w:rPr>
            </w:pPr>
            <w:r w:rsidRPr="004B3DE4">
              <w:rPr>
                <w:rFonts w:cs="Tahoma"/>
                <w:sz w:val="14"/>
                <w:szCs w:val="14"/>
                <w:lang w:val="en-US"/>
              </w:rPr>
              <w:t>1 374</w:t>
            </w:r>
          </w:p>
        </w:tc>
        <w:tc>
          <w:tcPr>
            <w:tcW w:w="632" w:type="pct"/>
            <w:tcBorders>
              <w:top w:val="nil"/>
            </w:tcBorders>
            <w:vAlign w:val="bottom"/>
          </w:tcPr>
          <w:p w:rsidR="00565FD5" w:rsidRPr="004B3DE4" w:rsidRDefault="00565FD5" w:rsidP="00AB62A3">
            <w:pPr>
              <w:tabs>
                <w:tab w:val="center" w:pos="4153"/>
                <w:tab w:val="right" w:pos="8306"/>
              </w:tabs>
              <w:jc w:val="right"/>
              <w:rPr>
                <w:rFonts w:cs="Tahoma"/>
                <w:sz w:val="14"/>
                <w:szCs w:val="14"/>
                <w:lang w:val="en-US"/>
              </w:rPr>
            </w:pPr>
            <w:r w:rsidRPr="004B3DE4">
              <w:rPr>
                <w:rFonts w:cs="Tahoma"/>
                <w:sz w:val="14"/>
                <w:szCs w:val="14"/>
                <w:lang w:val="en-US"/>
              </w:rPr>
              <w:t>2,3</w:t>
            </w:r>
          </w:p>
        </w:tc>
        <w:tc>
          <w:tcPr>
            <w:tcW w:w="617" w:type="pct"/>
            <w:tcBorders>
              <w:top w:val="nil"/>
            </w:tcBorders>
            <w:vAlign w:val="bottom"/>
          </w:tcPr>
          <w:p w:rsidR="00565FD5" w:rsidRPr="004B3DE4" w:rsidRDefault="00565FD5" w:rsidP="00AB62A3">
            <w:pPr>
              <w:tabs>
                <w:tab w:val="center" w:pos="4153"/>
                <w:tab w:val="right" w:pos="8306"/>
              </w:tabs>
              <w:jc w:val="right"/>
              <w:rPr>
                <w:rFonts w:cs="Tahoma"/>
                <w:sz w:val="14"/>
                <w:szCs w:val="14"/>
              </w:rPr>
            </w:pPr>
            <w:r w:rsidRPr="004B3DE4">
              <w:rPr>
                <w:rFonts w:cs="Tahoma"/>
                <w:sz w:val="14"/>
                <w:szCs w:val="14"/>
              </w:rPr>
              <w:t>42,9</w:t>
            </w:r>
          </w:p>
        </w:tc>
        <w:tc>
          <w:tcPr>
            <w:tcW w:w="535" w:type="pct"/>
            <w:tcBorders>
              <w:top w:val="nil"/>
            </w:tcBorders>
            <w:vAlign w:val="bottom"/>
          </w:tcPr>
          <w:p w:rsidR="00565FD5" w:rsidRPr="004B3DE4" w:rsidRDefault="00565FD5" w:rsidP="00AB62A3">
            <w:pPr>
              <w:tabs>
                <w:tab w:val="center" w:pos="4153"/>
                <w:tab w:val="right" w:pos="8306"/>
              </w:tabs>
              <w:jc w:val="right"/>
              <w:rPr>
                <w:rFonts w:cs="Tahoma"/>
                <w:sz w:val="14"/>
                <w:szCs w:val="14"/>
              </w:rPr>
            </w:pPr>
            <w:r w:rsidRPr="004B3DE4">
              <w:rPr>
                <w:rFonts w:cs="Tahoma"/>
                <w:sz w:val="14"/>
                <w:szCs w:val="14"/>
              </w:rPr>
              <w:t>53,6</w:t>
            </w:r>
          </w:p>
        </w:tc>
        <w:tc>
          <w:tcPr>
            <w:tcW w:w="487" w:type="pct"/>
            <w:tcBorders>
              <w:top w:val="nil"/>
            </w:tcBorders>
            <w:vAlign w:val="bottom"/>
          </w:tcPr>
          <w:p w:rsidR="00565FD5" w:rsidRPr="004B3DE4" w:rsidRDefault="00565FD5" w:rsidP="00AB62A3">
            <w:pPr>
              <w:tabs>
                <w:tab w:val="center" w:pos="4153"/>
                <w:tab w:val="right" w:pos="8306"/>
              </w:tabs>
              <w:jc w:val="right"/>
              <w:rPr>
                <w:rFonts w:cs="Tahoma"/>
                <w:sz w:val="14"/>
                <w:szCs w:val="14"/>
              </w:rPr>
            </w:pPr>
            <w:r w:rsidRPr="004B3DE4">
              <w:rPr>
                <w:rFonts w:cs="Tahoma"/>
                <w:sz w:val="14"/>
                <w:szCs w:val="14"/>
              </w:rPr>
              <w:t>2,0</w:t>
            </w:r>
          </w:p>
        </w:tc>
        <w:tc>
          <w:tcPr>
            <w:tcW w:w="413" w:type="pct"/>
            <w:tcBorders>
              <w:top w:val="nil"/>
            </w:tcBorders>
            <w:vAlign w:val="bottom"/>
          </w:tcPr>
          <w:p w:rsidR="00565FD5" w:rsidRPr="004B3DE4" w:rsidRDefault="00565FD5" w:rsidP="00AB62A3">
            <w:pPr>
              <w:tabs>
                <w:tab w:val="center" w:pos="4153"/>
                <w:tab w:val="right" w:pos="8306"/>
              </w:tabs>
              <w:jc w:val="right"/>
              <w:rPr>
                <w:rFonts w:cs="Tahoma"/>
                <w:sz w:val="14"/>
                <w:szCs w:val="14"/>
              </w:rPr>
            </w:pPr>
            <w:r w:rsidRPr="004B3DE4">
              <w:rPr>
                <w:rFonts w:cs="Tahoma"/>
                <w:sz w:val="14"/>
                <w:szCs w:val="14"/>
              </w:rPr>
              <w:t>95,6</w:t>
            </w:r>
          </w:p>
        </w:tc>
      </w:tr>
    </w:tbl>
    <w:p w:rsidR="00565FD5" w:rsidRPr="00474E4A" w:rsidRDefault="00565FD5" w:rsidP="00565FD5">
      <w:pPr>
        <w:rPr>
          <w:rFonts w:cs="Tahoma"/>
          <w:sz w:val="13"/>
          <w:szCs w:val="13"/>
        </w:rPr>
      </w:pPr>
      <w:r w:rsidRPr="00474E4A">
        <w:rPr>
          <w:rFonts w:cs="Tahoma"/>
          <w:sz w:val="13"/>
          <w:szCs w:val="13"/>
        </w:rPr>
        <w:t>Kaynak: Sağlık Bakanlığı İstatistik Yıllığı, 2011</w:t>
      </w:r>
    </w:p>
    <w:p w:rsidR="00565FD5" w:rsidRPr="00E65A90" w:rsidRDefault="00565FD5" w:rsidP="00565FD5">
      <w:pPr>
        <w:rPr>
          <w:rFonts w:cs="Tahoma"/>
          <w:sz w:val="13"/>
          <w:szCs w:val="13"/>
        </w:rPr>
      </w:pPr>
      <w:r w:rsidRPr="00E65A90">
        <w:rPr>
          <w:rFonts w:cs="Tahoma"/>
          <w:sz w:val="13"/>
          <w:szCs w:val="13"/>
        </w:rPr>
        <w:lastRenderedPageBreak/>
        <w:t>Not: MSB Hastaneleri dahil değildir.</w:t>
      </w:r>
    </w:p>
    <w:p w:rsidR="00565FD5" w:rsidRPr="00E65A90" w:rsidRDefault="00565FD5" w:rsidP="00565FD5">
      <w:pPr>
        <w:spacing w:after="360"/>
        <w:rPr>
          <w:rFonts w:cs="Tahoma"/>
          <w:sz w:val="13"/>
          <w:szCs w:val="13"/>
        </w:rPr>
      </w:pPr>
      <w:r w:rsidRPr="00E65A90">
        <w:rPr>
          <w:rFonts w:cs="Tahoma"/>
          <w:sz w:val="13"/>
          <w:szCs w:val="13"/>
        </w:rPr>
        <w:t>(1) Ameliyat sınıflandırmalarında, 2011 yılı itibarıyla Dünya Sağlık Örgütünün Uluslararası Sağlık Müdahalesi Sınıflamasının baz alınması ve söz konusu sınıflandırmaya göre teşhis amaçlı ve küçük cerrahi müdahalelerin ameliyat sayısı içerisinde yer almaması nedeniyle geçmiş yıllara göre ameliyat sayılarında belirgin bir düşüş gözlenmektedir.</w:t>
      </w:r>
    </w:p>
    <w:p w:rsidR="00565FD5" w:rsidRPr="004B3DE4" w:rsidRDefault="00565FD5" w:rsidP="00565FD5">
      <w:pPr>
        <w:spacing w:before="120" w:after="160"/>
        <w:ind w:firstLine="425"/>
        <w:rPr>
          <w:rFonts w:cs="Tahoma"/>
          <w:szCs w:val="18"/>
          <w:lang w:eastAsia="tr-TR"/>
        </w:rPr>
      </w:pPr>
      <w:r w:rsidRPr="004B3DE4">
        <w:rPr>
          <w:rFonts w:cs="Tahoma"/>
          <w:szCs w:val="18"/>
        </w:rPr>
        <w:t xml:space="preserve">2011 yılında toplam yatak kapasitesinin yüzde 16,3’üne, uzman hekim sayısının yüzde 23,6’sına sahip olan özel sektör, tüm ameliyatların yüzde 32,7’sini gerçekleştirirken, toplam yatak kapasitesinin yüzde 17,9’una ve uzman hekim sayısının (asistan hekimler dâhil) yüzde 30,2’sine sahip olan üniversite hastaneleri yapılan ameliyatların sadece yüzde 14,7’sini gerçekleştirmişlerdir. Özel sektördeki devir hızının yüksek olması da yapılan ameliyat sayıları ile bağlantılıdır. Hem müracaat sayılarının hem de hasta devir hızlarının üniversitelerde daha düşük olduğu görülmektedir. Kronik hastaların uzun süreli yatışları bunda etkili olabilmektedir. Ancak, </w:t>
      </w:r>
      <w:r w:rsidRPr="004B3DE4">
        <w:rPr>
          <w:rFonts w:cs="Tahoma"/>
          <w:szCs w:val="18"/>
          <w:lang w:eastAsia="tr-TR"/>
        </w:rPr>
        <w:t>üniversite hastanelerinin son yıllarda finansal açıdan sıkıntılarının arttığı ve birçok üniversite hastanesi döner sermaye işletmesinin zarar ettiği ve borçlarının giderek artan bir seyir izlediği gözlenmektedir. Bu nedenle, 2008-2011 döneminde yapılan düzenlemeler ve ek kaynak aktarımları ile üniversite hastanelerinin finansal zorlukları aşılmaya çalışılmakla beraber yapısal çözümlere yönelik ihtiyaç sürmektedir.</w:t>
      </w:r>
    </w:p>
    <w:p w:rsidR="00565FD5" w:rsidRDefault="00565FD5" w:rsidP="00565FD5">
      <w:pPr>
        <w:spacing w:before="120" w:after="160"/>
        <w:ind w:firstLine="425"/>
        <w:rPr>
          <w:rFonts w:cs="Tahoma"/>
          <w:szCs w:val="18"/>
        </w:rPr>
      </w:pPr>
      <w:r w:rsidRPr="004B3DE4">
        <w:rPr>
          <w:rFonts w:cs="Tahoma"/>
          <w:szCs w:val="18"/>
        </w:rPr>
        <w:t>Yatak kapasitesindeki iyileşmelere rağmen ülke genelindeki dağılım sorunları devam etmektedir. 2012 yılı verilerine göre 29 sağlık bölgesi incelendiğinde, on bin kişiye düşen yatak sayısı, en gelişmiş bölge olan Ankara Etlik Bölgesinde 39 iken en az gelişmiş bölge olan Urfa Bölgesinde ise 15’tir. Yatakların bölgeler arasında dengesiz dağılımı, sağlık personelinin de dengesiz dağılımına yol açan faktörlerden biridir.</w:t>
      </w:r>
    </w:p>
    <w:p w:rsidR="00565FD5" w:rsidRPr="004B3DE4" w:rsidRDefault="00565FD5" w:rsidP="00565FD5">
      <w:pPr>
        <w:spacing w:before="120" w:after="160"/>
        <w:ind w:firstLine="425"/>
        <w:rPr>
          <w:rFonts w:cs="Tahoma"/>
          <w:szCs w:val="18"/>
        </w:rPr>
      </w:pPr>
    </w:p>
    <w:p w:rsidR="00565FD5" w:rsidRPr="004B3DE4" w:rsidRDefault="00565FD5" w:rsidP="00565FD5">
      <w:pPr>
        <w:spacing w:before="120" w:after="160"/>
        <w:ind w:firstLine="425"/>
        <w:rPr>
          <w:rFonts w:eastAsia="PMingLiU" w:cs="Tahoma"/>
          <w:szCs w:val="18"/>
        </w:rPr>
      </w:pPr>
      <w:r w:rsidRPr="004B3DE4">
        <w:rPr>
          <w:rFonts w:eastAsia="PMingLiU" w:cs="Tahoma"/>
          <w:szCs w:val="18"/>
        </w:rPr>
        <w:t xml:space="preserve">2011 yılında toplam hekim sayısı 126.029, diş hekimi sayısı 21.099 ve hemşire sayısı ise 124.982’dir. Yüz bin kişiye düşen hekim sayısı 171 ve hemşire sayısı 170 iken AB-27’de bu sayılar sırasıyla 333 ve 834, OECD’de ise 310 ve 840’tır. Sağlık personeli ülke ortalaması, AB ve DSÖ ortalamasının gerisinde olup özellikle hemşire açığı daha belirgindir. </w:t>
      </w:r>
    </w:p>
    <w:p w:rsidR="00565FD5" w:rsidRPr="004B3DE4" w:rsidRDefault="00565FD5" w:rsidP="00565FD5">
      <w:pPr>
        <w:spacing w:before="120" w:after="160"/>
        <w:ind w:firstLine="425"/>
        <w:rPr>
          <w:rFonts w:eastAsia="PMingLiU" w:cs="Tahoma"/>
          <w:szCs w:val="18"/>
        </w:rPr>
      </w:pPr>
      <w:r w:rsidRPr="004B3DE4">
        <w:rPr>
          <w:rFonts w:eastAsia="PMingLiU" w:cs="Tahoma"/>
          <w:szCs w:val="18"/>
        </w:rPr>
        <w:t xml:space="preserve">Hekim açığını azaltmak amacıyla 2007-2008 döneminde 4.751 olan tıp fakültesi kontenjanı (GATA hariç) yüzde 92 oranında artırılarak 2012 yılında 9.100’e yükseltilmiştir. Aynı dönemde hemşire kontenjanı ise yüzde 101 </w:t>
      </w:r>
      <w:r w:rsidRPr="004B3DE4">
        <w:rPr>
          <w:rFonts w:eastAsia="PMingLiU" w:cs="Tahoma"/>
          <w:szCs w:val="18"/>
        </w:rPr>
        <w:lastRenderedPageBreak/>
        <w:t xml:space="preserve">artırılarak 5.674’ten 11.429’a çıkartılmıştır. Hemşireler temel olarak halk sağlığında ve klinik hizmetlerde görev alabildiklerinden, hemşire sayısının artırılması uzun vadede sağlık hizmetlerinde kaliteyi artırıcı ve maliyetleri düşürücü etkiye sahip olacaktır. AB-27’de 2,50, OECD’de ise 2,71 olan doktor başına hemşire oranı ülkemizde henüz 0,99 olup bu oranın artırılması için hemşire kontenjanlarının yükseltilmesi önem arz etmektedir. </w:t>
      </w:r>
    </w:p>
    <w:p w:rsidR="00565FD5" w:rsidRPr="004B3DE4" w:rsidRDefault="00565FD5" w:rsidP="00565FD5">
      <w:pPr>
        <w:spacing w:before="120" w:after="160"/>
        <w:ind w:firstLine="425"/>
        <w:rPr>
          <w:rFonts w:eastAsia="PMingLiU" w:cs="Tahoma"/>
          <w:szCs w:val="18"/>
        </w:rPr>
      </w:pPr>
      <w:r w:rsidRPr="004B3DE4">
        <w:rPr>
          <w:rFonts w:eastAsia="PMingLiU" w:cs="Tahoma"/>
          <w:szCs w:val="18"/>
        </w:rPr>
        <w:t xml:space="preserve">Acil sağlık hizmetlerinin güçlendirilmesi yönündeki çalışmalar sürdürülmekte olup bu kapsamda kar paletli ambulans, hasta kabinli kar aracı, özel donanımlı ambulans ve hava ambulans sistemi yaygınlaştırılarak kullanılmaktadır. </w:t>
      </w:r>
    </w:p>
    <w:p w:rsidR="00565FD5" w:rsidRPr="004B3DE4" w:rsidRDefault="00565FD5" w:rsidP="00565FD5">
      <w:pPr>
        <w:spacing w:before="120" w:after="160"/>
        <w:ind w:firstLine="425"/>
        <w:rPr>
          <w:rFonts w:eastAsia="PMingLiU" w:cs="Tahoma"/>
          <w:szCs w:val="18"/>
        </w:rPr>
      </w:pPr>
      <w:r w:rsidRPr="004B3DE4">
        <w:rPr>
          <w:rFonts w:eastAsia="PMingLiU" w:cs="Tahoma"/>
          <w:szCs w:val="18"/>
        </w:rPr>
        <w:t xml:space="preserve">Aile Hekimliği Bilgi Sistemi 81 ilin tamamında kullanılır hale gelmiş olup, bu sistem ile hastanelerden toplanan verilerin entegrasyonu büyük ölçüde tamamlanmıştır. Merkezi Hastane Randevu Sistemi (MHRS) tüm yurda yaygınlaştırılmıştır. Mevcut durumda günde ortalama 200.000 hasta MHRS aracılığıyla randevu almakta olup bu sayı tüm muayene randevularının yaklaşık yüzde 24’üne tekabül etmektedir. </w:t>
      </w:r>
    </w:p>
    <w:p w:rsidR="00565FD5" w:rsidRPr="004B3DE4" w:rsidRDefault="00565FD5" w:rsidP="00565FD5">
      <w:pPr>
        <w:spacing w:before="120" w:after="160"/>
        <w:ind w:firstLine="425"/>
        <w:rPr>
          <w:rFonts w:eastAsia="PMingLiU" w:cs="Tahoma"/>
          <w:szCs w:val="18"/>
        </w:rPr>
      </w:pPr>
      <w:r w:rsidRPr="004B3DE4">
        <w:rPr>
          <w:rFonts w:eastAsia="PMingLiU" w:cs="Tahoma"/>
          <w:szCs w:val="18"/>
        </w:rPr>
        <w:t>Evde Sağlık Hizmetleri uygulaması kapsamında şu ana kadar 124.085 hastaya ulaşılmış olup halen 80.388 hastanın aktif takibi yapılmaktadır. Bu uygulama kapsamında 150.000 hastaya ulaşılması beklenmektedir.</w:t>
      </w:r>
    </w:p>
    <w:p w:rsidR="00565FD5" w:rsidRPr="004B3DE4" w:rsidRDefault="00565FD5" w:rsidP="00565FD5">
      <w:pPr>
        <w:spacing w:before="120" w:after="180"/>
        <w:ind w:firstLine="425"/>
        <w:rPr>
          <w:rFonts w:eastAsia="PMingLiU" w:cs="Tahoma"/>
          <w:szCs w:val="18"/>
        </w:rPr>
      </w:pPr>
      <w:r w:rsidRPr="004B3DE4">
        <w:rPr>
          <w:rFonts w:eastAsia="PMingLiU" w:cs="Tahoma"/>
          <w:szCs w:val="18"/>
        </w:rPr>
        <w:t xml:space="preserve">Kamu sağlık harcamalarının GSYH’ya oranı </w:t>
      </w:r>
      <w:r>
        <w:rPr>
          <w:rFonts w:eastAsia="PMingLiU" w:cs="Tahoma"/>
          <w:szCs w:val="18"/>
        </w:rPr>
        <w:t>2001 yılında yüzde 3,2 iken 2011</w:t>
      </w:r>
      <w:r w:rsidRPr="004B3DE4">
        <w:rPr>
          <w:rFonts w:eastAsia="PMingLiU" w:cs="Tahoma"/>
          <w:szCs w:val="18"/>
        </w:rPr>
        <w:t xml:space="preserve"> yılında yüzde 4,5 olarak gerçekleşmiştir. Söz konusu oran AB-27’de yüzde 8,5, OECD’de yüzde 6,4’tür. </w:t>
      </w:r>
    </w:p>
    <w:p w:rsidR="00565FD5" w:rsidRPr="004B3DE4" w:rsidRDefault="00565FD5" w:rsidP="00565FD5">
      <w:pPr>
        <w:spacing w:before="120" w:after="180"/>
        <w:ind w:firstLine="425"/>
        <w:rPr>
          <w:rFonts w:eastAsia="PMingLiU" w:cs="Tahoma"/>
          <w:szCs w:val="18"/>
        </w:rPr>
      </w:pPr>
      <w:r w:rsidRPr="004B3DE4">
        <w:rPr>
          <w:rFonts w:eastAsia="PMingLiU" w:cs="Tahoma"/>
          <w:szCs w:val="18"/>
        </w:rPr>
        <w:t xml:space="preserve">Yaşam Memnuniyeti Araştırmasının sonuçlarına göre; 2011 yılında hastalanma durumunda tedavi masraflarının karşılanma yollarına bakıldığında, masrafların yüzde 76,4’ünün bir sosyal güvenlik kurumundan, yüzde 11,1’inin kişinin kendisi tarafından, yüzde 10,1’inin yeşil karttan, yüzde 0,8’inin ise özel sigortadan karşılandığı görülmektedir. 2004 yılında yüzde 28,2 olan tedavi masraflarını kendi karşılama oranı yeşil kart ve sağlık sigortası alanındaki gelişmelerin de etkisiyle 2011 yılında yüzde 11,1’e gerilemiştir. Aynı araştırmaya göre, son yıllarda sağlık alanında gerçekleştirilen iyileşmeler sonucunda genel olarak sağlık hizmetlerinden memnun olan kişilerin oranı 2003-2011 döneminde yüzde 39,5’ten yüzde 75,8’e yükselmiştir. </w:t>
      </w:r>
    </w:p>
    <w:p w:rsidR="00565FD5" w:rsidRPr="004B3DE4" w:rsidRDefault="00565FD5" w:rsidP="00565FD5">
      <w:pPr>
        <w:spacing w:before="120" w:after="180"/>
        <w:ind w:firstLine="425"/>
        <w:rPr>
          <w:rFonts w:eastAsia="PMingLiU" w:cs="Tahoma"/>
          <w:szCs w:val="18"/>
        </w:rPr>
      </w:pPr>
      <w:r w:rsidRPr="004B3DE4">
        <w:rPr>
          <w:rFonts w:eastAsia="PMingLiU" w:cs="Tahoma"/>
          <w:szCs w:val="18"/>
        </w:rPr>
        <w:lastRenderedPageBreak/>
        <w:t>2002 yılında 699 milyon olan tüketilen ilaç kutu sayısı yüzde 146 oranında artarak 2011 yılında 1,7 milyar kutuya çıkmış olup aynı dönemde kamu ilaç harcaması 2011 yılı fiyatlarıyla 13,4 milyar TL’den 15,9 milyar TL’ye yükselerek yüzde 18 oranında artış göstermiştir. 2010 yılında, karekod kullanımıyla ilacın her aşamasının izlenebildiği dünyadaki ilk yaygın uygulama olan İlaç Takip Sistemi (İTS) geliştirilmiştir. İTS’nin zorunlu olarak üreticilerden üretim bildirimi, eczanelerden ise tüketim bildirimini içeren birinci fazı 01/01/2012 tarihi itibarıyla tamamlanmış, tüm paydaşların ürünlere ait üretim, ithalat, satış, sarf, satış iadesi, deaktivasyon, alım onayı, ihracat ve satış iptal bildirimlerini yapmalarının zorunlu olduğu ikinci fazına geçilmiştir.</w:t>
      </w:r>
    </w:p>
    <w:p w:rsidR="00565FD5" w:rsidRPr="004B3DE4" w:rsidRDefault="00565FD5" w:rsidP="00565FD5">
      <w:pPr>
        <w:pStyle w:val="Balk4"/>
      </w:pPr>
      <w:bookmarkStart w:id="2489" w:name="_Toc338523858"/>
      <w:bookmarkStart w:id="2490" w:name="_Toc338524089"/>
      <w:bookmarkStart w:id="2491" w:name="_Toc338526315"/>
      <w:bookmarkStart w:id="2492" w:name="_Toc338673758"/>
      <w:bookmarkStart w:id="2493" w:name="_Toc338711637"/>
      <w:r w:rsidRPr="004B3DE4" w:rsidDel="00383FE1">
        <w:t>2. Temel Amaç ve Hedefler</w:t>
      </w:r>
      <w:bookmarkEnd w:id="2489"/>
      <w:bookmarkEnd w:id="2490"/>
      <w:bookmarkEnd w:id="2491"/>
      <w:bookmarkEnd w:id="2492"/>
      <w:bookmarkEnd w:id="2493"/>
    </w:p>
    <w:p w:rsidR="00565FD5" w:rsidRPr="004B3DE4" w:rsidRDefault="00565FD5" w:rsidP="00565FD5">
      <w:pPr>
        <w:spacing w:before="120" w:after="140"/>
        <w:ind w:firstLine="425"/>
        <w:rPr>
          <w:rFonts w:eastAsia="PMingLiU" w:cs="Tahoma"/>
          <w:szCs w:val="18"/>
        </w:rPr>
      </w:pPr>
      <w:r w:rsidRPr="004B3DE4">
        <w:rPr>
          <w:rFonts w:eastAsia="PMingLiU" w:cs="Tahoma"/>
          <w:szCs w:val="18"/>
        </w:rPr>
        <w:t xml:space="preserve">Vatandaşların ekonomik ve sosyal hayata sağlıklı bireyler olarak katılımını sağlamak ve yaşam kalitelerini yükseltmeye katkıda bulunmak sağlık politikasının temel amacıdır. </w:t>
      </w:r>
    </w:p>
    <w:p w:rsidR="00565FD5" w:rsidRPr="004B3DE4" w:rsidRDefault="00565FD5" w:rsidP="00565FD5">
      <w:pPr>
        <w:spacing w:after="140"/>
        <w:ind w:firstLine="425"/>
        <w:rPr>
          <w:rFonts w:eastAsia="PMingLiU" w:cs="Tahoma"/>
          <w:szCs w:val="18"/>
        </w:rPr>
      </w:pPr>
      <w:r w:rsidRPr="004B3DE4">
        <w:rPr>
          <w:rFonts w:eastAsia="PMingLiU" w:cs="Tahoma"/>
          <w:szCs w:val="18"/>
        </w:rPr>
        <w:t>Bu amaca ulaşmak için öncelikle koruyucu sağlık hizmetlerinin güçlendirilmesi, birinci basamak sağlık hizmetlerinin etkinleştirilmesi, altyapı ve sağlık personeli ihtiyacının karşılanması ve ülke genelindeki dağılımlarının dengelenerek bölgeler ve sosyo-ekonomik gruplar arasındaki farklılıkların azaltılması, sağlık hizmetlerinin eşitlik ve hakkaniyet ilkesiyle, hasta haklarına saygılı, erişilebilir, etkin ve kaliteli bir yapıya kavuşturulması, akılcı ilaç kullanım mekanizmalarının oluşturulması hedeflenmektedir.</w:t>
      </w:r>
    </w:p>
    <w:p w:rsidR="00565FD5" w:rsidRPr="004B3DE4" w:rsidRDefault="00565FD5" w:rsidP="00565FD5">
      <w:pPr>
        <w:pStyle w:val="Balk4"/>
        <w:rPr>
          <w:noProof/>
          <w:lang w:val="en-US"/>
        </w:rPr>
      </w:pPr>
      <w:bookmarkStart w:id="2494" w:name="_Toc276076342"/>
      <w:bookmarkStart w:id="2495" w:name="_Toc338494255"/>
      <w:bookmarkStart w:id="2496" w:name="_Toc338505627"/>
      <w:bookmarkStart w:id="2497" w:name="_Toc338523859"/>
      <w:bookmarkStart w:id="2498" w:name="_Toc338524090"/>
      <w:bookmarkStart w:id="2499" w:name="_Toc338526316"/>
      <w:bookmarkStart w:id="2500" w:name="_Toc338673759"/>
      <w:bookmarkStart w:id="2501" w:name="_Toc338711638"/>
      <w:r w:rsidRPr="004B3DE4">
        <w:rPr>
          <w:noProof/>
          <w:lang w:val="en-US"/>
        </w:rPr>
        <w:t>3. Politika Öncelikleri ve Tedbirler</w:t>
      </w:r>
      <w:bookmarkEnd w:id="2494"/>
      <w:bookmarkEnd w:id="2495"/>
      <w:bookmarkEnd w:id="2496"/>
      <w:bookmarkEnd w:id="2497"/>
      <w:bookmarkEnd w:id="2498"/>
      <w:bookmarkEnd w:id="2499"/>
      <w:bookmarkEnd w:id="2500"/>
      <w:bookmarkEnd w:id="2501"/>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154"/>
        <w:gridCol w:w="1947"/>
        <w:gridCol w:w="694"/>
        <w:gridCol w:w="2349"/>
      </w:tblGrid>
      <w:tr w:rsidR="00565FD5" w:rsidRPr="004B3DE4" w:rsidTr="00AB62A3">
        <w:trPr>
          <w:trHeight w:val="413"/>
          <w:jc w:val="center"/>
        </w:trPr>
        <w:tc>
          <w:tcPr>
            <w:tcW w:w="1507" w:type="pct"/>
            <w:shd w:val="clear" w:color="000000" w:fill="FFFFFF"/>
            <w:vAlign w:val="bottom"/>
          </w:tcPr>
          <w:p w:rsidR="00565FD5" w:rsidRPr="004B3DE4" w:rsidRDefault="00565FD5" w:rsidP="00AB62A3">
            <w:pPr>
              <w:rPr>
                <w:rFonts w:cs="Tahoma"/>
                <w:b/>
                <w:bCs/>
                <w:color w:val="000000"/>
                <w:sz w:val="16"/>
                <w:szCs w:val="16"/>
                <w:lang w:eastAsia="tr-TR"/>
              </w:rPr>
            </w:pPr>
            <w:r w:rsidRPr="004B3DE4">
              <w:rPr>
                <w:rFonts w:cs="Tahoma"/>
                <w:b/>
                <w:bCs/>
                <w:color w:val="000000"/>
                <w:sz w:val="16"/>
                <w:szCs w:val="16"/>
                <w:lang w:eastAsia="tr-TR"/>
              </w:rPr>
              <w:t>Öncelik / Tedbir</w:t>
            </w:r>
          </w:p>
        </w:tc>
        <w:tc>
          <w:tcPr>
            <w:tcW w:w="1363" w:type="pct"/>
            <w:shd w:val="clear" w:color="000000" w:fill="FFFFFF"/>
            <w:vAlign w:val="bottom"/>
          </w:tcPr>
          <w:p w:rsidR="00565FD5" w:rsidRPr="004B3DE4" w:rsidRDefault="00565FD5" w:rsidP="00AB62A3">
            <w:pPr>
              <w:rPr>
                <w:rFonts w:cs="Tahoma"/>
                <w:b/>
                <w:bCs/>
                <w:color w:val="000000"/>
                <w:sz w:val="16"/>
                <w:szCs w:val="16"/>
                <w:lang w:eastAsia="tr-TR"/>
              </w:rPr>
            </w:pPr>
            <w:r w:rsidRPr="004B3DE4">
              <w:rPr>
                <w:rFonts w:cs="Tahoma"/>
                <w:b/>
                <w:bCs/>
                <w:color w:val="000000"/>
                <w:sz w:val="16"/>
                <w:szCs w:val="16"/>
                <w:lang w:eastAsia="tr-TR"/>
              </w:rPr>
              <w:t>Sorumlu /İşbirliği Yapılacak Kuruluşlar</w:t>
            </w:r>
          </w:p>
        </w:tc>
        <w:tc>
          <w:tcPr>
            <w:tcW w:w="486" w:type="pct"/>
            <w:shd w:val="clear" w:color="000000" w:fill="FFFFFF"/>
            <w:vAlign w:val="bottom"/>
          </w:tcPr>
          <w:p w:rsidR="00565FD5" w:rsidRPr="004B3DE4" w:rsidRDefault="00565FD5" w:rsidP="00AB62A3">
            <w:pPr>
              <w:rPr>
                <w:rFonts w:cs="Tahoma"/>
                <w:b/>
                <w:bCs/>
                <w:color w:val="000000"/>
                <w:sz w:val="16"/>
                <w:szCs w:val="16"/>
                <w:lang w:eastAsia="tr-TR"/>
              </w:rPr>
            </w:pPr>
            <w:r w:rsidRPr="004B3DE4">
              <w:rPr>
                <w:rFonts w:cs="Tahoma"/>
                <w:b/>
                <w:bCs/>
                <w:color w:val="000000"/>
                <w:sz w:val="16"/>
                <w:szCs w:val="16"/>
                <w:lang w:eastAsia="tr-TR"/>
              </w:rPr>
              <w:t>Süre</w:t>
            </w:r>
          </w:p>
        </w:tc>
        <w:tc>
          <w:tcPr>
            <w:tcW w:w="1643" w:type="pct"/>
            <w:shd w:val="clear" w:color="000000" w:fill="FFFFFF"/>
            <w:vAlign w:val="bottom"/>
          </w:tcPr>
          <w:p w:rsidR="00565FD5" w:rsidRPr="004B3DE4" w:rsidRDefault="00565FD5" w:rsidP="00AB62A3">
            <w:pPr>
              <w:rPr>
                <w:rFonts w:cs="Tahoma"/>
                <w:b/>
                <w:bCs/>
                <w:color w:val="000000"/>
                <w:sz w:val="16"/>
                <w:szCs w:val="16"/>
                <w:lang w:eastAsia="tr-TR"/>
              </w:rPr>
            </w:pPr>
            <w:r w:rsidRPr="004B3DE4">
              <w:rPr>
                <w:rFonts w:cs="Tahoma"/>
                <w:b/>
                <w:bCs/>
                <w:color w:val="000000"/>
                <w:sz w:val="16"/>
                <w:szCs w:val="16"/>
                <w:lang w:eastAsia="tr-TR"/>
              </w:rPr>
              <w:t>Yapılacak İşlem ve Açıklama</w:t>
            </w:r>
          </w:p>
        </w:tc>
      </w:tr>
      <w:tr w:rsidR="00565FD5" w:rsidRPr="004B3DE4" w:rsidTr="00AB62A3">
        <w:trPr>
          <w:trHeight w:val="450"/>
          <w:jc w:val="center"/>
        </w:trPr>
        <w:tc>
          <w:tcPr>
            <w:tcW w:w="5000" w:type="pct"/>
            <w:gridSpan w:val="4"/>
            <w:shd w:val="clear" w:color="000000" w:fill="FFFFFF"/>
          </w:tcPr>
          <w:p w:rsidR="00565FD5" w:rsidRPr="004B3DE4" w:rsidRDefault="00565FD5" w:rsidP="00EB1E69">
            <w:pPr>
              <w:numPr>
                <w:ilvl w:val="0"/>
                <w:numId w:val="15"/>
              </w:numPr>
              <w:spacing w:before="20" w:after="20" w:line="240" w:lineRule="auto"/>
              <w:jc w:val="both"/>
              <w:rPr>
                <w:rFonts w:cs="Tahoma"/>
                <w:b/>
                <w:bCs/>
                <w:color w:val="000000"/>
                <w:sz w:val="16"/>
                <w:szCs w:val="16"/>
                <w:lang w:eastAsia="tr-TR"/>
              </w:rPr>
            </w:pPr>
            <w:r w:rsidRPr="004B3DE4">
              <w:rPr>
                <w:rFonts w:cs="Tahoma"/>
                <w:b/>
                <w:bCs/>
                <w:color w:val="000000"/>
                <w:sz w:val="16"/>
                <w:szCs w:val="16"/>
                <w:lang w:eastAsia="tr-TR"/>
              </w:rPr>
              <w:t>Sağlık hizmetlerinin erişilebilirliği, kalitesi ve etkinliği artırılmaya devam edilecektir.</w:t>
            </w:r>
          </w:p>
        </w:tc>
      </w:tr>
      <w:tr w:rsidR="00565FD5" w:rsidRPr="004B3DE4" w:rsidTr="00AB62A3">
        <w:trPr>
          <w:trHeight w:val="1905"/>
          <w:jc w:val="center"/>
        </w:trPr>
        <w:tc>
          <w:tcPr>
            <w:tcW w:w="1507" w:type="pct"/>
          </w:tcPr>
          <w:p w:rsidR="00565FD5" w:rsidRPr="004B3DE4" w:rsidRDefault="00565FD5" w:rsidP="00EB1E69">
            <w:pPr>
              <w:numPr>
                <w:ilvl w:val="0"/>
                <w:numId w:val="14"/>
              </w:numPr>
              <w:spacing w:before="60" w:after="60" w:line="240" w:lineRule="auto"/>
              <w:rPr>
                <w:rFonts w:cs="Tahoma"/>
                <w:color w:val="000000"/>
                <w:sz w:val="16"/>
                <w:szCs w:val="16"/>
                <w:lang w:eastAsia="tr-TR"/>
              </w:rPr>
            </w:pPr>
            <w:r w:rsidRPr="004B3DE4">
              <w:rPr>
                <w:rFonts w:cs="Tahoma"/>
                <w:color w:val="000000"/>
                <w:sz w:val="16"/>
                <w:szCs w:val="16"/>
                <w:lang w:eastAsia="tr-TR"/>
              </w:rPr>
              <w:t>Sağlık personeli sayısının artırılmasına ve yurt genelinde dengeli dağılımına ilişkin çalışmalara devam edilecektir.</w:t>
            </w:r>
          </w:p>
        </w:tc>
        <w:tc>
          <w:tcPr>
            <w:tcW w:w="136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Sağlık Bakanlığı (S), MEB, Maliye Bakanlığı, Kalkınma Bakanlığı, YÖK, DPB, Üniversiteler</w:t>
            </w:r>
          </w:p>
        </w:tc>
        <w:tc>
          <w:tcPr>
            <w:tcW w:w="486"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Öncelikle hemşireler olmak üzere personel açığı bulunan alanlarda sağlık personeli yetiştiren eğitim kurumlarının kontenjanları artırılacaktır. Sağlık kuruluşlarının hedef nüfus, hizmet bölgesi, fiziki yapı ve hizmet sunum özelliklerini esas alan ve somut hedefleri içeren personel dağılım planı çalışması güncellenecek ve Sağlık </w:t>
            </w:r>
            <w:r w:rsidRPr="004B3DE4">
              <w:rPr>
                <w:rFonts w:cs="Tahoma"/>
                <w:color w:val="000000"/>
                <w:sz w:val="16"/>
                <w:szCs w:val="16"/>
                <w:lang w:eastAsia="tr-TR"/>
              </w:rPr>
              <w:lastRenderedPageBreak/>
              <w:t>İnsan Kaynakları Stratejik Planı hazırlanacaktır.</w:t>
            </w:r>
          </w:p>
        </w:tc>
      </w:tr>
      <w:tr w:rsidR="00565FD5" w:rsidRPr="004B3DE4" w:rsidTr="00AB62A3">
        <w:trPr>
          <w:trHeight w:val="1275"/>
          <w:jc w:val="center"/>
        </w:trPr>
        <w:tc>
          <w:tcPr>
            <w:tcW w:w="1507" w:type="pct"/>
          </w:tcPr>
          <w:p w:rsidR="00565FD5" w:rsidRPr="004B3DE4" w:rsidRDefault="00565FD5" w:rsidP="00EB1E69">
            <w:pPr>
              <w:numPr>
                <w:ilvl w:val="0"/>
                <w:numId w:val="14"/>
              </w:numPr>
              <w:spacing w:before="60" w:after="60" w:line="240" w:lineRule="auto"/>
              <w:rPr>
                <w:rFonts w:cs="Tahoma"/>
                <w:color w:val="000000"/>
                <w:sz w:val="16"/>
                <w:szCs w:val="16"/>
                <w:lang w:eastAsia="tr-TR"/>
              </w:rPr>
            </w:pPr>
            <w:r w:rsidRPr="004B3DE4">
              <w:rPr>
                <w:rFonts w:cs="Tahoma"/>
                <w:color w:val="000000"/>
                <w:sz w:val="16"/>
                <w:szCs w:val="16"/>
                <w:lang w:eastAsia="tr-TR"/>
              </w:rPr>
              <w:lastRenderedPageBreak/>
              <w:t>Sağlık tesislerinde teşhise dayalı fiyatlandırma yaygınlaştırılacaktır.</w:t>
            </w:r>
          </w:p>
        </w:tc>
        <w:tc>
          <w:tcPr>
            <w:tcW w:w="1363" w:type="pct"/>
          </w:tcPr>
          <w:p w:rsidR="00565FD5" w:rsidRPr="004B3DE4" w:rsidRDefault="00565FD5" w:rsidP="00AB62A3">
            <w:pPr>
              <w:tabs>
                <w:tab w:val="center" w:pos="4153"/>
                <w:tab w:val="right" w:pos="8306"/>
              </w:tabs>
              <w:spacing w:before="60" w:after="60"/>
              <w:rPr>
                <w:rFonts w:cs="Tahoma"/>
                <w:color w:val="000000"/>
                <w:sz w:val="16"/>
                <w:szCs w:val="16"/>
                <w:lang w:eastAsia="tr-TR"/>
              </w:rPr>
            </w:pPr>
            <w:r w:rsidRPr="004B3DE4">
              <w:rPr>
                <w:rFonts w:cs="Tahoma"/>
                <w:color w:val="000000"/>
                <w:sz w:val="16"/>
                <w:szCs w:val="16"/>
                <w:lang w:eastAsia="tr-TR"/>
              </w:rPr>
              <w:t xml:space="preserve">SGK (S), Sağlık Bakanlığı, Maliye Bakanlığı, Üniversiteler, Özel Sağlık Kuruluşları </w:t>
            </w:r>
          </w:p>
        </w:tc>
        <w:tc>
          <w:tcPr>
            <w:tcW w:w="486" w:type="pct"/>
          </w:tcPr>
          <w:p w:rsidR="00565FD5" w:rsidRPr="004B3DE4" w:rsidRDefault="00565FD5" w:rsidP="00AB62A3">
            <w:pPr>
              <w:tabs>
                <w:tab w:val="center" w:pos="4153"/>
                <w:tab w:val="right" w:pos="8306"/>
              </w:tabs>
              <w:spacing w:before="60" w:after="6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565FD5" w:rsidRPr="004B3DE4" w:rsidRDefault="00565FD5" w:rsidP="00AB62A3">
            <w:pPr>
              <w:tabs>
                <w:tab w:val="center" w:pos="4153"/>
                <w:tab w:val="right" w:pos="8306"/>
              </w:tabs>
              <w:spacing w:before="60" w:after="60"/>
              <w:rPr>
                <w:rFonts w:cs="Tahoma"/>
                <w:color w:val="000000"/>
                <w:sz w:val="16"/>
                <w:szCs w:val="16"/>
                <w:lang w:eastAsia="tr-TR"/>
              </w:rPr>
            </w:pPr>
            <w:r w:rsidRPr="004B3DE4" w:rsidDel="00DE3BA7">
              <w:rPr>
                <w:rFonts w:cs="Tahoma"/>
                <w:color w:val="000000"/>
                <w:sz w:val="16"/>
                <w:szCs w:val="16"/>
                <w:lang w:eastAsia="tr-TR"/>
              </w:rPr>
              <w:t xml:space="preserve">Tüm sağlık kuruluşlarının geri ödeme işlemlerinin Teşhis </w:t>
            </w:r>
            <w:r w:rsidRPr="004B3DE4">
              <w:rPr>
                <w:rFonts w:cs="Tahoma"/>
                <w:color w:val="000000"/>
                <w:sz w:val="16"/>
                <w:szCs w:val="16"/>
                <w:lang w:eastAsia="tr-TR"/>
              </w:rPr>
              <w:t xml:space="preserve">İlintili </w:t>
            </w:r>
            <w:r w:rsidRPr="004B3DE4" w:rsidDel="00DE3BA7">
              <w:rPr>
                <w:rFonts w:cs="Tahoma"/>
                <w:color w:val="000000"/>
                <w:sz w:val="16"/>
                <w:szCs w:val="16"/>
                <w:lang w:eastAsia="tr-TR"/>
              </w:rPr>
              <w:t>Gruplara</w:t>
            </w:r>
            <w:r w:rsidRPr="004B3DE4">
              <w:rPr>
                <w:rFonts w:cs="Tahoma"/>
                <w:color w:val="000000"/>
                <w:sz w:val="16"/>
                <w:szCs w:val="16"/>
                <w:lang w:eastAsia="tr-TR"/>
              </w:rPr>
              <w:t xml:space="preserve"> (TİG)</w:t>
            </w:r>
            <w:r w:rsidRPr="004B3DE4" w:rsidDel="00DE3BA7">
              <w:rPr>
                <w:rFonts w:cs="Tahoma"/>
                <w:color w:val="000000"/>
                <w:sz w:val="16"/>
                <w:szCs w:val="16"/>
                <w:lang w:eastAsia="tr-TR"/>
              </w:rPr>
              <w:t xml:space="preserve"> dayalı olarak gerçekleştirilmesine ilişkin çalışmalar yapılacaktır</w:t>
            </w:r>
            <w:r w:rsidRPr="004B3DE4">
              <w:rPr>
                <w:rFonts w:cs="Tahoma"/>
                <w:color w:val="000000"/>
                <w:sz w:val="16"/>
                <w:szCs w:val="16"/>
                <w:lang w:eastAsia="tr-TR"/>
              </w:rPr>
              <w:t>.</w:t>
            </w:r>
            <w:r w:rsidRPr="004B3DE4">
              <w:t xml:space="preserve"> </w:t>
            </w:r>
            <w:r w:rsidRPr="004B3DE4">
              <w:rPr>
                <w:rFonts w:cs="Tahoma"/>
                <w:color w:val="000000"/>
                <w:sz w:val="16"/>
                <w:szCs w:val="16"/>
                <w:lang w:eastAsia="tr-TR"/>
              </w:rPr>
              <w:t xml:space="preserve">Türkiye'ye özgü TİG maliyetleri tespiti yapılacaktır. </w:t>
            </w:r>
          </w:p>
        </w:tc>
      </w:tr>
      <w:tr w:rsidR="00565FD5" w:rsidRPr="004B3DE4" w:rsidTr="00AB62A3">
        <w:trPr>
          <w:trHeight w:val="1040"/>
          <w:jc w:val="center"/>
        </w:trPr>
        <w:tc>
          <w:tcPr>
            <w:tcW w:w="1507" w:type="pct"/>
          </w:tcPr>
          <w:p w:rsidR="00565FD5" w:rsidRPr="004B3DE4" w:rsidRDefault="00565FD5" w:rsidP="00EB1E69">
            <w:pPr>
              <w:numPr>
                <w:ilvl w:val="0"/>
                <w:numId w:val="14"/>
              </w:numPr>
              <w:spacing w:before="60" w:after="60" w:line="240" w:lineRule="auto"/>
              <w:rPr>
                <w:rFonts w:cs="Tahoma"/>
                <w:color w:val="000000"/>
                <w:sz w:val="16"/>
                <w:szCs w:val="16"/>
                <w:lang w:eastAsia="tr-TR"/>
              </w:rPr>
            </w:pPr>
            <w:r w:rsidRPr="004B3DE4">
              <w:rPr>
                <w:rFonts w:cs="Tahoma"/>
                <w:color w:val="000000"/>
                <w:sz w:val="16"/>
                <w:szCs w:val="16"/>
                <w:lang w:eastAsia="tr-TR"/>
              </w:rPr>
              <w:t>Ulusal Sağlık Bilgi Sistemi güçlendirilmeye devam edilecektir.</w:t>
            </w:r>
          </w:p>
        </w:tc>
        <w:tc>
          <w:tcPr>
            <w:tcW w:w="136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Sağlık Bakanlığı (S), Kalkınma Bakanlığı,</w:t>
            </w:r>
            <w:r>
              <w:rPr>
                <w:rFonts w:cs="Tahoma"/>
                <w:color w:val="000000"/>
                <w:sz w:val="16"/>
                <w:szCs w:val="16"/>
                <w:lang w:eastAsia="tr-TR"/>
              </w:rPr>
              <w:t xml:space="preserve"> </w:t>
            </w:r>
            <w:r w:rsidRPr="004B3DE4">
              <w:rPr>
                <w:rFonts w:cs="Tahoma"/>
                <w:color w:val="000000"/>
                <w:sz w:val="16"/>
                <w:szCs w:val="16"/>
                <w:lang w:eastAsia="tr-TR"/>
              </w:rPr>
              <w:t>SGK, Üniversiteler, YÖK, İlgili Bakanlıklar, Özel Sağlık Kuruluşları</w:t>
            </w:r>
          </w:p>
        </w:tc>
        <w:tc>
          <w:tcPr>
            <w:tcW w:w="486"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565FD5" w:rsidRPr="004B3DE4" w:rsidDel="00DE3BA7"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Sağlık kayıtlarının tek veri tabanında toplanması ve sağlık kurumları arasında paylaşıma açık hale gelmesi sağlanacaktır. </w:t>
            </w:r>
          </w:p>
        </w:tc>
      </w:tr>
      <w:tr w:rsidR="00565FD5" w:rsidRPr="004B3DE4" w:rsidTr="00AB62A3">
        <w:trPr>
          <w:trHeight w:val="435"/>
          <w:jc w:val="center"/>
        </w:trPr>
        <w:tc>
          <w:tcPr>
            <w:tcW w:w="1507" w:type="pct"/>
          </w:tcPr>
          <w:p w:rsidR="00565FD5" w:rsidRPr="004225DF" w:rsidRDefault="00565FD5" w:rsidP="00EB1E69">
            <w:pPr>
              <w:numPr>
                <w:ilvl w:val="0"/>
                <w:numId w:val="14"/>
              </w:numPr>
              <w:spacing w:before="60" w:after="60" w:line="240" w:lineRule="auto"/>
              <w:rPr>
                <w:rFonts w:cs="Tahoma"/>
                <w:color w:val="000000"/>
                <w:sz w:val="16"/>
                <w:szCs w:val="16"/>
                <w:lang w:eastAsia="tr-TR"/>
              </w:rPr>
            </w:pPr>
            <w:r w:rsidRPr="004225DF">
              <w:rPr>
                <w:rFonts w:cs="Tahoma"/>
                <w:color w:val="000000"/>
                <w:sz w:val="16"/>
                <w:szCs w:val="16"/>
                <w:lang w:eastAsia="tr-TR"/>
              </w:rPr>
              <w:t>Evde sağlık hizmetleri</w:t>
            </w:r>
            <w:r>
              <w:rPr>
                <w:rFonts w:cs="Tahoma"/>
                <w:color w:val="000000"/>
                <w:sz w:val="16"/>
                <w:szCs w:val="16"/>
                <w:lang w:eastAsia="tr-TR"/>
              </w:rPr>
              <w:t xml:space="preserve"> güçlendirilecektir.</w:t>
            </w:r>
            <w:r w:rsidRPr="004225DF">
              <w:rPr>
                <w:rFonts w:cs="Tahoma"/>
                <w:color w:val="000000"/>
                <w:sz w:val="16"/>
                <w:szCs w:val="16"/>
                <w:lang w:eastAsia="tr-TR"/>
              </w:rPr>
              <w:t xml:space="preserve"> </w:t>
            </w:r>
          </w:p>
        </w:tc>
        <w:tc>
          <w:tcPr>
            <w:tcW w:w="1363" w:type="pct"/>
          </w:tcPr>
          <w:p w:rsidR="00565FD5" w:rsidRPr="004225DF" w:rsidRDefault="00565FD5" w:rsidP="00AB62A3">
            <w:pPr>
              <w:tabs>
                <w:tab w:val="center" w:pos="4153"/>
                <w:tab w:val="right" w:pos="8306"/>
              </w:tabs>
              <w:spacing w:before="60" w:after="60"/>
              <w:rPr>
                <w:rFonts w:cs="Tahoma"/>
                <w:color w:val="000000"/>
                <w:sz w:val="16"/>
                <w:szCs w:val="16"/>
                <w:lang w:eastAsia="tr-TR"/>
              </w:rPr>
            </w:pPr>
            <w:r w:rsidRPr="004225DF">
              <w:rPr>
                <w:rFonts w:cs="Tahoma"/>
                <w:color w:val="000000"/>
                <w:sz w:val="16"/>
                <w:szCs w:val="16"/>
                <w:lang w:eastAsia="tr-TR"/>
              </w:rPr>
              <w:t>Sağlık Bakanlığı (S), Maliye Bakanlığı</w:t>
            </w:r>
            <w:r>
              <w:rPr>
                <w:rFonts w:cs="Tahoma"/>
                <w:color w:val="000000"/>
                <w:sz w:val="16"/>
                <w:szCs w:val="16"/>
                <w:lang w:eastAsia="tr-TR"/>
              </w:rPr>
              <w:t xml:space="preserve">. </w:t>
            </w:r>
            <w:r w:rsidRPr="004225DF">
              <w:rPr>
                <w:rFonts w:cs="Tahoma"/>
                <w:color w:val="000000"/>
                <w:sz w:val="16"/>
                <w:szCs w:val="16"/>
                <w:lang w:eastAsia="tr-TR"/>
              </w:rPr>
              <w:t xml:space="preserve">SGK, </w:t>
            </w:r>
          </w:p>
        </w:tc>
        <w:tc>
          <w:tcPr>
            <w:tcW w:w="486" w:type="pct"/>
          </w:tcPr>
          <w:p w:rsidR="00565FD5" w:rsidRPr="004225DF" w:rsidRDefault="00565FD5" w:rsidP="00AB62A3">
            <w:pPr>
              <w:tabs>
                <w:tab w:val="center" w:pos="4153"/>
                <w:tab w:val="right" w:pos="8306"/>
              </w:tabs>
              <w:spacing w:before="60" w:after="60"/>
              <w:rPr>
                <w:rFonts w:cs="Tahoma"/>
                <w:color w:val="000000"/>
                <w:sz w:val="16"/>
                <w:szCs w:val="16"/>
                <w:lang w:eastAsia="tr-TR"/>
              </w:rPr>
            </w:pPr>
            <w:r w:rsidRPr="004225DF">
              <w:rPr>
                <w:rFonts w:cs="Tahoma"/>
                <w:color w:val="000000"/>
                <w:sz w:val="16"/>
                <w:szCs w:val="16"/>
                <w:lang w:eastAsia="tr-TR"/>
              </w:rPr>
              <w:t>Aralık Sonu</w:t>
            </w:r>
          </w:p>
        </w:tc>
        <w:tc>
          <w:tcPr>
            <w:tcW w:w="1643" w:type="pct"/>
          </w:tcPr>
          <w:p w:rsidR="00565FD5" w:rsidRPr="004225DF" w:rsidRDefault="00565FD5" w:rsidP="00AB62A3">
            <w:pPr>
              <w:spacing w:before="60" w:after="60"/>
              <w:rPr>
                <w:rFonts w:cs="Tahoma"/>
                <w:color w:val="000000"/>
                <w:sz w:val="16"/>
                <w:szCs w:val="16"/>
                <w:lang w:eastAsia="tr-TR"/>
              </w:rPr>
            </w:pPr>
            <w:r w:rsidRPr="004225DF">
              <w:rPr>
                <w:rFonts w:cs="Tahoma"/>
                <w:color w:val="000000"/>
                <w:sz w:val="16"/>
                <w:szCs w:val="16"/>
                <w:lang w:eastAsia="tr-TR"/>
              </w:rPr>
              <w:t>Evde sağlık hizmetlerinde hizmet sunumunun niceliği ve niteliği artırılarak sürdürülecektir.</w:t>
            </w:r>
          </w:p>
        </w:tc>
      </w:tr>
      <w:tr w:rsidR="00565FD5" w:rsidRPr="004B3DE4" w:rsidTr="00AB62A3">
        <w:trPr>
          <w:trHeight w:val="435"/>
          <w:jc w:val="center"/>
        </w:trPr>
        <w:tc>
          <w:tcPr>
            <w:tcW w:w="1507" w:type="pct"/>
          </w:tcPr>
          <w:p w:rsidR="00565FD5" w:rsidRPr="004B3DE4" w:rsidRDefault="00565FD5" w:rsidP="00EB1E69">
            <w:pPr>
              <w:numPr>
                <w:ilvl w:val="0"/>
                <w:numId w:val="14"/>
              </w:numPr>
              <w:spacing w:before="60" w:after="60" w:line="240" w:lineRule="auto"/>
              <w:rPr>
                <w:rFonts w:cs="Tahoma"/>
                <w:color w:val="000000"/>
                <w:sz w:val="16"/>
                <w:szCs w:val="16"/>
                <w:lang w:eastAsia="tr-TR"/>
              </w:rPr>
            </w:pPr>
            <w:r w:rsidRPr="004B3DE4">
              <w:rPr>
                <w:rFonts w:cs="Tahoma"/>
                <w:color w:val="000000"/>
                <w:sz w:val="16"/>
                <w:szCs w:val="16"/>
                <w:lang w:eastAsia="tr-TR"/>
              </w:rPr>
              <w:t xml:space="preserve">Klinik Kalite Programı </w:t>
            </w:r>
            <w:r>
              <w:rPr>
                <w:rFonts w:cs="Tahoma"/>
                <w:color w:val="000000"/>
                <w:sz w:val="16"/>
                <w:szCs w:val="16"/>
                <w:lang w:eastAsia="tr-TR"/>
              </w:rPr>
              <w:t>geliştirilecektir</w:t>
            </w:r>
            <w:r w:rsidRPr="004B3DE4">
              <w:rPr>
                <w:rFonts w:cs="Tahoma"/>
                <w:color w:val="000000"/>
                <w:sz w:val="16"/>
                <w:szCs w:val="16"/>
                <w:lang w:eastAsia="tr-TR"/>
              </w:rPr>
              <w:t>.</w:t>
            </w:r>
          </w:p>
        </w:tc>
        <w:tc>
          <w:tcPr>
            <w:tcW w:w="136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Sağlık Bakanlığı (S), SGK, Üniversiteler, YÖK,</w:t>
            </w:r>
            <w:r w:rsidRPr="004B3DE4">
              <w:t xml:space="preserve"> </w:t>
            </w:r>
            <w:r w:rsidRPr="004B3DE4">
              <w:rPr>
                <w:rFonts w:cs="Tahoma"/>
                <w:color w:val="000000"/>
                <w:sz w:val="16"/>
                <w:szCs w:val="16"/>
                <w:lang w:eastAsia="tr-TR"/>
              </w:rPr>
              <w:t>Özel Sağlık Kuruluşları</w:t>
            </w:r>
          </w:p>
        </w:tc>
        <w:tc>
          <w:tcPr>
            <w:tcW w:w="486" w:type="pct"/>
          </w:tcPr>
          <w:p w:rsidR="00565FD5" w:rsidRPr="004B3DE4" w:rsidRDefault="00565FD5" w:rsidP="00AB62A3">
            <w:pPr>
              <w:spacing w:before="60" w:after="60"/>
              <w:rPr>
                <w:rFonts w:cs="Tahoma"/>
                <w:color w:val="000000"/>
                <w:sz w:val="16"/>
                <w:szCs w:val="16"/>
                <w:highlight w:val="green"/>
                <w:lang w:eastAsia="tr-TR"/>
              </w:rPr>
            </w:pPr>
            <w:r w:rsidRPr="004B3DE4">
              <w:rPr>
                <w:rFonts w:cs="Tahoma"/>
                <w:color w:val="000000"/>
                <w:sz w:val="16"/>
                <w:szCs w:val="16"/>
                <w:lang w:eastAsia="tr-TR"/>
              </w:rPr>
              <w:t>Aralık Sonu</w:t>
            </w:r>
          </w:p>
        </w:tc>
        <w:tc>
          <w:tcPr>
            <w:tcW w:w="1643" w:type="pct"/>
          </w:tcPr>
          <w:p w:rsidR="00565FD5" w:rsidRPr="004B3DE4" w:rsidRDefault="00565FD5" w:rsidP="00AB62A3">
            <w:pPr>
              <w:spacing w:before="60"/>
              <w:rPr>
                <w:rFonts w:cs="Tahoma"/>
                <w:color w:val="000000"/>
                <w:sz w:val="16"/>
                <w:szCs w:val="16"/>
                <w:highlight w:val="green"/>
                <w:lang w:eastAsia="tr-TR"/>
              </w:rPr>
            </w:pPr>
            <w:r w:rsidRPr="004B3DE4">
              <w:rPr>
                <w:rFonts w:cs="Tahoma"/>
                <w:color w:val="000000"/>
                <w:sz w:val="16"/>
                <w:szCs w:val="16"/>
                <w:lang w:eastAsia="tr-TR"/>
              </w:rPr>
              <w:t>Klinik kalite göstergeleri geliştirilecek ve pilot olarak uygulamaya konacaktır. Bilgi yönetim sisteminde bu göstergelerle ilgili gerekli alt yapının oluşturulması için çalışmalar yapılacaktır.</w:t>
            </w:r>
          </w:p>
        </w:tc>
      </w:tr>
      <w:tr w:rsidR="00565FD5" w:rsidRPr="004B3DE4" w:rsidDel="000D4EB0" w:rsidTr="00AB62A3">
        <w:trPr>
          <w:trHeight w:val="891"/>
          <w:jc w:val="center"/>
        </w:trPr>
        <w:tc>
          <w:tcPr>
            <w:tcW w:w="1507" w:type="pct"/>
          </w:tcPr>
          <w:p w:rsidR="00565FD5" w:rsidRPr="004B3DE4" w:rsidRDefault="00565FD5" w:rsidP="00EB1E69">
            <w:pPr>
              <w:numPr>
                <w:ilvl w:val="0"/>
                <w:numId w:val="14"/>
              </w:numPr>
              <w:spacing w:before="60" w:after="60" w:line="240" w:lineRule="auto"/>
              <w:rPr>
                <w:rFonts w:cs="Tahoma"/>
                <w:color w:val="000000"/>
                <w:sz w:val="16"/>
                <w:szCs w:val="16"/>
                <w:lang w:eastAsia="tr-TR"/>
              </w:rPr>
            </w:pPr>
            <w:r w:rsidRPr="004B3DE4">
              <w:rPr>
                <w:rFonts w:cs="Tahoma"/>
                <w:color w:val="000000"/>
                <w:sz w:val="16"/>
                <w:szCs w:val="16"/>
                <w:lang w:eastAsia="tr-TR"/>
              </w:rPr>
              <w:t>Merkez ve taşradaki tüm yönetici kademeleri için performansa dayalı değerlendirme sistemi oluşturulacaktır.</w:t>
            </w:r>
          </w:p>
        </w:tc>
        <w:tc>
          <w:tcPr>
            <w:tcW w:w="136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Sağlık Bakanlığı</w:t>
            </w:r>
            <w:r>
              <w:rPr>
                <w:rFonts w:cs="Tahoma"/>
                <w:color w:val="000000"/>
                <w:sz w:val="16"/>
                <w:szCs w:val="16"/>
                <w:lang w:eastAsia="tr-TR"/>
              </w:rPr>
              <w:t xml:space="preserve"> (S)</w:t>
            </w:r>
          </w:p>
        </w:tc>
        <w:tc>
          <w:tcPr>
            <w:tcW w:w="486"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Yöneticileri değerlendirme kriterleri belirlenecek ve bu kriterlere göre yöneticiler belirli periyotlarda değerlendirilecektir.</w:t>
            </w:r>
          </w:p>
        </w:tc>
      </w:tr>
      <w:tr w:rsidR="00565FD5" w:rsidRPr="004B3DE4" w:rsidTr="00AB62A3">
        <w:trPr>
          <w:trHeight w:val="315"/>
          <w:jc w:val="center"/>
        </w:trPr>
        <w:tc>
          <w:tcPr>
            <w:tcW w:w="5000" w:type="pct"/>
            <w:gridSpan w:val="4"/>
          </w:tcPr>
          <w:p w:rsidR="00565FD5" w:rsidRPr="004B3DE4" w:rsidRDefault="00565FD5" w:rsidP="00EB1E69">
            <w:pPr>
              <w:numPr>
                <w:ilvl w:val="0"/>
                <w:numId w:val="15"/>
              </w:numPr>
              <w:spacing w:before="60" w:after="60" w:line="240" w:lineRule="auto"/>
              <w:jc w:val="both"/>
              <w:rPr>
                <w:rFonts w:cs="Tahoma"/>
                <w:b/>
                <w:bCs/>
                <w:color w:val="000000"/>
                <w:sz w:val="16"/>
                <w:szCs w:val="16"/>
                <w:lang w:eastAsia="tr-TR"/>
              </w:rPr>
            </w:pPr>
            <w:r w:rsidRPr="004B3DE4">
              <w:rPr>
                <w:rFonts w:cs="Tahoma"/>
                <w:b/>
                <w:bCs/>
                <w:color w:val="000000"/>
                <w:sz w:val="16"/>
                <w:szCs w:val="16"/>
                <w:lang w:eastAsia="tr-TR"/>
              </w:rPr>
              <w:t>Koruyucu sağlık hizmetleri güçlendirilerek yaygınlaştırılacaktır.</w:t>
            </w:r>
          </w:p>
        </w:tc>
      </w:tr>
      <w:tr w:rsidR="00565FD5" w:rsidRPr="004B3DE4" w:rsidTr="00AB62A3">
        <w:trPr>
          <w:trHeight w:val="1485"/>
          <w:jc w:val="center"/>
        </w:trPr>
        <w:tc>
          <w:tcPr>
            <w:tcW w:w="1507" w:type="pct"/>
          </w:tcPr>
          <w:p w:rsidR="00565FD5" w:rsidRPr="004B3DE4" w:rsidRDefault="00565FD5" w:rsidP="00EB1E69">
            <w:pPr>
              <w:numPr>
                <w:ilvl w:val="0"/>
                <w:numId w:val="14"/>
              </w:numPr>
              <w:spacing w:before="60" w:after="60" w:line="240" w:lineRule="auto"/>
              <w:rPr>
                <w:rFonts w:cs="Tahoma"/>
                <w:color w:val="000000"/>
                <w:sz w:val="16"/>
                <w:szCs w:val="16"/>
                <w:lang w:eastAsia="tr-TR"/>
              </w:rPr>
            </w:pPr>
            <w:r w:rsidRPr="004B3DE4">
              <w:rPr>
                <w:rFonts w:cs="Tahoma"/>
                <w:color w:val="000000"/>
                <w:sz w:val="16"/>
                <w:szCs w:val="16"/>
                <w:lang w:eastAsia="tr-TR"/>
              </w:rPr>
              <w:t>Koruyucu Sağlık Stratejisi ve Eylem Planı hazırlık çalışmaları sonuçlandırılarak hayata geçirilecektir.</w:t>
            </w:r>
          </w:p>
        </w:tc>
        <w:tc>
          <w:tcPr>
            <w:tcW w:w="136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Sağlık Bakanlığı (S), MEB, Gıda Tarım ve Hayvancılık Bakanlığı, Aile ve Sosyal Politikalar Bakanlığı, Üniversiteler, Yerel Yönetimler, STK’lar, SGK, TAPDK</w:t>
            </w:r>
          </w:p>
        </w:tc>
        <w:tc>
          <w:tcPr>
            <w:tcW w:w="486"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Vatandaşların bedenen ve ruhen tam iyilik halinde olması için sosyal, biyolojik ve fiziki çevreye yönelik eylemlerin bütüncül bir yaklaşımla planlanması ve uygulanması amacıyla Koruyucu Sağlık Stratejisi ve Eylem Planı tamamlanacaktır.</w:t>
            </w:r>
          </w:p>
        </w:tc>
      </w:tr>
      <w:tr w:rsidR="00565FD5" w:rsidRPr="004B3DE4" w:rsidTr="00AB62A3">
        <w:trPr>
          <w:trHeight w:val="1485"/>
          <w:jc w:val="center"/>
        </w:trPr>
        <w:tc>
          <w:tcPr>
            <w:tcW w:w="1507" w:type="pct"/>
          </w:tcPr>
          <w:p w:rsidR="00565FD5" w:rsidRPr="004225DF" w:rsidRDefault="00565FD5" w:rsidP="00EB1E69">
            <w:pPr>
              <w:numPr>
                <w:ilvl w:val="0"/>
                <w:numId w:val="14"/>
              </w:numPr>
              <w:spacing w:before="60" w:after="60" w:line="240" w:lineRule="auto"/>
              <w:rPr>
                <w:rFonts w:cs="Tahoma"/>
                <w:color w:val="000000"/>
                <w:sz w:val="16"/>
                <w:szCs w:val="16"/>
                <w:lang w:eastAsia="tr-TR"/>
              </w:rPr>
            </w:pPr>
            <w:r w:rsidRPr="004225DF">
              <w:rPr>
                <w:rFonts w:cs="Tahoma"/>
                <w:color w:val="000000"/>
                <w:sz w:val="16"/>
                <w:szCs w:val="16"/>
                <w:lang w:eastAsia="tr-TR"/>
              </w:rPr>
              <w:lastRenderedPageBreak/>
              <w:t>Bulaşıcı olmayan hastalıklara yönelik mevcut programlar sürdürülecek ve yeni programlar geliştirilecektir.</w:t>
            </w:r>
          </w:p>
        </w:tc>
        <w:tc>
          <w:tcPr>
            <w:tcW w:w="1363" w:type="pct"/>
          </w:tcPr>
          <w:p w:rsidR="00565FD5" w:rsidRPr="004225DF" w:rsidRDefault="00565FD5" w:rsidP="00AB62A3">
            <w:pPr>
              <w:tabs>
                <w:tab w:val="center" w:pos="4153"/>
                <w:tab w:val="right" w:pos="8306"/>
              </w:tabs>
              <w:spacing w:before="60" w:after="60"/>
              <w:rPr>
                <w:rFonts w:cs="Tahoma"/>
                <w:color w:val="000000"/>
                <w:sz w:val="16"/>
                <w:szCs w:val="16"/>
                <w:lang w:eastAsia="tr-TR"/>
              </w:rPr>
            </w:pPr>
            <w:r w:rsidRPr="004225DF">
              <w:rPr>
                <w:rFonts w:cs="Tahoma"/>
                <w:color w:val="000000"/>
                <w:sz w:val="16"/>
                <w:szCs w:val="16"/>
                <w:lang w:eastAsia="tr-TR"/>
              </w:rPr>
              <w:t>Sağlık Bakanlığı (S), MEB, Gıda, Tarım ve Hayvancılık Bakanlığı, Aile ve Sosyal Politikalar Bakanlığı, Üniversiteler, Yerel Yönetimler, STK’lar, SGK, TAPDK</w:t>
            </w:r>
          </w:p>
        </w:tc>
        <w:tc>
          <w:tcPr>
            <w:tcW w:w="486" w:type="pct"/>
          </w:tcPr>
          <w:p w:rsidR="00565FD5" w:rsidRPr="004225DF" w:rsidRDefault="00565FD5" w:rsidP="00AB62A3">
            <w:pPr>
              <w:tabs>
                <w:tab w:val="center" w:pos="4153"/>
                <w:tab w:val="right" w:pos="8306"/>
              </w:tabs>
              <w:spacing w:before="60" w:after="60"/>
              <w:rPr>
                <w:rFonts w:cs="Tahoma"/>
                <w:color w:val="000000"/>
                <w:sz w:val="16"/>
                <w:szCs w:val="16"/>
                <w:lang w:eastAsia="tr-TR"/>
              </w:rPr>
            </w:pPr>
            <w:r w:rsidRPr="004225DF">
              <w:rPr>
                <w:rFonts w:cs="Tahoma"/>
                <w:color w:val="000000"/>
                <w:sz w:val="16"/>
                <w:szCs w:val="16"/>
                <w:lang w:eastAsia="tr-TR"/>
              </w:rPr>
              <w:t>Aralık Sonu</w:t>
            </w:r>
          </w:p>
        </w:tc>
        <w:tc>
          <w:tcPr>
            <w:tcW w:w="1643" w:type="pct"/>
          </w:tcPr>
          <w:p w:rsidR="00565FD5" w:rsidRPr="004225DF" w:rsidRDefault="00565FD5" w:rsidP="00AB62A3">
            <w:pPr>
              <w:tabs>
                <w:tab w:val="center" w:pos="4153"/>
                <w:tab w:val="right" w:pos="8306"/>
              </w:tabs>
              <w:spacing w:before="60" w:after="60"/>
              <w:rPr>
                <w:rFonts w:cs="Tahoma"/>
                <w:color w:val="000000"/>
                <w:sz w:val="16"/>
                <w:szCs w:val="16"/>
                <w:lang w:eastAsia="tr-TR"/>
              </w:rPr>
            </w:pPr>
            <w:r w:rsidRPr="004225DF">
              <w:rPr>
                <w:rFonts w:cs="Tahoma"/>
                <w:color w:val="000000"/>
                <w:sz w:val="16"/>
                <w:szCs w:val="16"/>
                <w:lang w:eastAsia="tr-TR"/>
              </w:rPr>
              <w:t>Sağlığın geliştirilmesi ve teşviki kapsamında vatandaşın farkındalığı artırılacak, bulaşıcı olmayan hastalıklara yönelik koruyucu sağlık programlarının geliştirilmesine ve uygulanmasına devam edilecektir.</w:t>
            </w:r>
          </w:p>
        </w:tc>
      </w:tr>
      <w:tr w:rsidR="00565FD5" w:rsidRPr="004B3DE4" w:rsidTr="00AB62A3">
        <w:trPr>
          <w:trHeight w:val="809"/>
          <w:jc w:val="center"/>
        </w:trPr>
        <w:tc>
          <w:tcPr>
            <w:tcW w:w="1507" w:type="pct"/>
          </w:tcPr>
          <w:p w:rsidR="00565FD5" w:rsidRPr="004B3DE4" w:rsidRDefault="00565FD5" w:rsidP="00EB1E69">
            <w:pPr>
              <w:numPr>
                <w:ilvl w:val="0"/>
                <w:numId w:val="14"/>
              </w:numPr>
              <w:spacing w:before="80" w:after="80" w:line="240" w:lineRule="auto"/>
              <w:rPr>
                <w:rFonts w:cs="Tahoma"/>
                <w:color w:val="000000"/>
                <w:sz w:val="16"/>
                <w:szCs w:val="16"/>
                <w:lang w:eastAsia="tr-TR"/>
              </w:rPr>
            </w:pPr>
            <w:r w:rsidRPr="004B3DE4">
              <w:rPr>
                <w:rFonts w:cs="Tahoma"/>
                <w:color w:val="000000"/>
                <w:sz w:val="16"/>
                <w:szCs w:val="16"/>
                <w:lang w:eastAsia="tr-TR"/>
              </w:rPr>
              <w:t>Bulaşıcı olmayan hastalıklar sürveyans sistemi geliştirilecektir.</w:t>
            </w:r>
          </w:p>
        </w:tc>
        <w:tc>
          <w:tcPr>
            <w:tcW w:w="1363" w:type="pct"/>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Sağlık Bakanlığı (S), Üniversiteler ve Özel Sağlık Kuruluşları</w:t>
            </w:r>
          </w:p>
        </w:tc>
        <w:tc>
          <w:tcPr>
            <w:tcW w:w="486" w:type="pct"/>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Sağlık bilgi sistemlerinde kronik hastalıklarla ilgili mevcut raporlama sistemleri güncellenecektir.</w:t>
            </w:r>
          </w:p>
        </w:tc>
      </w:tr>
      <w:tr w:rsidR="00565FD5" w:rsidRPr="004B3DE4" w:rsidTr="00AB62A3">
        <w:trPr>
          <w:trHeight w:val="275"/>
          <w:jc w:val="center"/>
        </w:trPr>
        <w:tc>
          <w:tcPr>
            <w:tcW w:w="1507" w:type="pct"/>
          </w:tcPr>
          <w:p w:rsidR="00565FD5" w:rsidRPr="004B3DE4" w:rsidRDefault="00565FD5" w:rsidP="00EB1E69">
            <w:pPr>
              <w:numPr>
                <w:ilvl w:val="0"/>
                <w:numId w:val="14"/>
              </w:numPr>
              <w:spacing w:before="80" w:after="80" w:line="240" w:lineRule="auto"/>
              <w:rPr>
                <w:rFonts w:cs="Tahoma"/>
                <w:color w:val="000000"/>
                <w:sz w:val="16"/>
                <w:szCs w:val="16"/>
                <w:lang w:eastAsia="tr-TR"/>
              </w:rPr>
            </w:pPr>
            <w:r w:rsidRPr="004B3DE4">
              <w:rPr>
                <w:rFonts w:cs="Tahoma"/>
                <w:color w:val="000000"/>
                <w:sz w:val="16"/>
                <w:szCs w:val="16"/>
                <w:lang w:eastAsia="tr-TR"/>
              </w:rPr>
              <w:t>Bulaşıcı hastalıkların kontrolünü sağlamak amacıyla tanı koyma, bildirim ve izleme faaliyetleri güçlendirilecek; ihbar ve bildirim sistemi ile standart tanı ve sürveyans sisteminin güçlendirilmesi sağlanacaktır.</w:t>
            </w:r>
          </w:p>
        </w:tc>
        <w:tc>
          <w:tcPr>
            <w:tcW w:w="1363" w:type="pct"/>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Sağlık Bakanlığı (S), Üniversiteler, Özel Sağlık Kuruluşları, Yerel Yönetimler</w:t>
            </w:r>
          </w:p>
        </w:tc>
        <w:tc>
          <w:tcPr>
            <w:tcW w:w="486" w:type="pct"/>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Bulaşıcı hastalıkların tanısının geliştirilmesi için ülke genelinde laboratuvar altyapısı iyileştirilecektir. Standart vaka tanımları rehberleri güncellenecektir. Uluslararası sürveyans ağına katılım sağlanacaktır. Sürveyans sisteminin idari kapasitesi sistemin gerekliliklerini karşılar hale getirilerek antimikrobiyal direnç sürveyansı için bir sistem oluşturulacaktır. Hastane enfeksiyonları sürveyans sistemi geliştirilerek yaygınlaştırılacaktır.</w:t>
            </w:r>
            <w:r w:rsidRPr="004B3DE4">
              <w:t xml:space="preserve"> </w:t>
            </w:r>
            <w:r w:rsidRPr="004B3DE4">
              <w:rPr>
                <w:rFonts w:cs="Tahoma"/>
                <w:color w:val="000000"/>
                <w:sz w:val="16"/>
                <w:szCs w:val="16"/>
                <w:lang w:eastAsia="tr-TR"/>
              </w:rPr>
              <w:t xml:space="preserve">Bulaşıcı hastalıkların ihbarı ve bildirim sistemi rehberi güncellenecek, elektronik takibe yönelik sistem geliştirilecektir. </w:t>
            </w:r>
          </w:p>
        </w:tc>
      </w:tr>
      <w:tr w:rsidR="00565FD5" w:rsidRPr="004B3DE4" w:rsidTr="00AB62A3">
        <w:trPr>
          <w:trHeight w:val="770"/>
          <w:jc w:val="center"/>
        </w:trPr>
        <w:tc>
          <w:tcPr>
            <w:tcW w:w="1507" w:type="pct"/>
          </w:tcPr>
          <w:p w:rsidR="00565FD5" w:rsidRPr="004B3DE4" w:rsidRDefault="00565FD5" w:rsidP="00EB1E69">
            <w:pPr>
              <w:numPr>
                <w:ilvl w:val="0"/>
                <w:numId w:val="14"/>
              </w:numPr>
              <w:spacing w:before="80" w:after="80" w:line="240" w:lineRule="auto"/>
              <w:rPr>
                <w:rFonts w:cs="Tahoma"/>
                <w:color w:val="000000"/>
                <w:sz w:val="16"/>
                <w:szCs w:val="16"/>
                <w:lang w:eastAsia="tr-TR"/>
              </w:rPr>
            </w:pPr>
            <w:r w:rsidRPr="004B3DE4">
              <w:rPr>
                <w:rFonts w:cs="Tahoma"/>
                <w:color w:val="000000"/>
                <w:sz w:val="16"/>
                <w:szCs w:val="16"/>
                <w:lang w:eastAsia="tr-TR"/>
              </w:rPr>
              <w:t>Birinci basamak sağlık hizmetlerinde izleme ve değerlendirme sistemleri oluşturulacaktır.</w:t>
            </w:r>
          </w:p>
        </w:tc>
        <w:tc>
          <w:tcPr>
            <w:tcW w:w="1363" w:type="pct"/>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 xml:space="preserve">Sağlık Bakanlığı (S) </w:t>
            </w:r>
          </w:p>
        </w:tc>
        <w:tc>
          <w:tcPr>
            <w:tcW w:w="486" w:type="pct"/>
          </w:tcPr>
          <w:p w:rsidR="00565FD5" w:rsidRPr="004B3DE4" w:rsidRDefault="00565FD5" w:rsidP="00AB62A3">
            <w:pPr>
              <w:spacing w:before="80" w:after="80"/>
              <w:rPr>
                <w:rFonts w:cs="Tahoma"/>
                <w:color w:val="000000"/>
                <w:sz w:val="16"/>
                <w:szCs w:val="16"/>
                <w:lang w:eastAsia="tr-TR"/>
              </w:rPr>
            </w:pPr>
          </w:p>
        </w:tc>
        <w:tc>
          <w:tcPr>
            <w:tcW w:w="1643" w:type="pct"/>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 xml:space="preserve">Aile Hekimliği Bilgi Sistemi ile Sağlık-NET'in entegrasyonu tamamlanacaktır. Toplum Sağlığı Bilgi Sistemi güncellenecektir. </w:t>
            </w:r>
          </w:p>
        </w:tc>
      </w:tr>
      <w:tr w:rsidR="00565FD5" w:rsidRPr="004B3DE4" w:rsidTr="00AB62A3">
        <w:trPr>
          <w:trHeight w:val="394"/>
          <w:jc w:val="center"/>
        </w:trPr>
        <w:tc>
          <w:tcPr>
            <w:tcW w:w="5000" w:type="pct"/>
            <w:gridSpan w:val="4"/>
          </w:tcPr>
          <w:p w:rsidR="00565FD5" w:rsidRPr="004B3DE4" w:rsidRDefault="00565FD5" w:rsidP="00EB1E69">
            <w:pPr>
              <w:numPr>
                <w:ilvl w:val="0"/>
                <w:numId w:val="15"/>
              </w:numPr>
              <w:spacing w:before="80" w:after="80" w:line="240" w:lineRule="auto"/>
              <w:jc w:val="both"/>
              <w:rPr>
                <w:rFonts w:cs="Tahoma"/>
                <w:b/>
                <w:bCs/>
                <w:color w:val="000000"/>
                <w:sz w:val="16"/>
                <w:szCs w:val="16"/>
                <w:lang w:eastAsia="tr-TR"/>
              </w:rPr>
            </w:pPr>
            <w:r w:rsidRPr="004B3DE4">
              <w:rPr>
                <w:rFonts w:cs="Tahoma"/>
                <w:b/>
                <w:bCs/>
                <w:color w:val="000000"/>
                <w:sz w:val="16"/>
                <w:szCs w:val="16"/>
                <w:lang w:eastAsia="tr-TR"/>
              </w:rPr>
              <w:t xml:space="preserve">İlaçların etkin ve bilinçli kullanımını sağlamak amacıyla sağlık hizmet sunucularına ve vatandaşlara yönelik bilgilendirme faaliyetleri ve gerekli denetimler artırılacaktır. </w:t>
            </w:r>
          </w:p>
        </w:tc>
      </w:tr>
      <w:tr w:rsidR="00565FD5" w:rsidRPr="004B3DE4" w:rsidTr="00AB62A3">
        <w:trPr>
          <w:trHeight w:val="1695"/>
          <w:jc w:val="center"/>
        </w:trPr>
        <w:tc>
          <w:tcPr>
            <w:tcW w:w="1507" w:type="pct"/>
          </w:tcPr>
          <w:p w:rsidR="00565FD5" w:rsidRPr="004B3DE4" w:rsidRDefault="00565FD5" w:rsidP="00EB1E69">
            <w:pPr>
              <w:numPr>
                <w:ilvl w:val="0"/>
                <w:numId w:val="14"/>
              </w:numPr>
              <w:spacing w:before="80" w:after="80" w:line="240" w:lineRule="auto"/>
              <w:rPr>
                <w:rFonts w:cs="Tahoma"/>
                <w:color w:val="000000"/>
                <w:sz w:val="16"/>
                <w:szCs w:val="16"/>
                <w:lang w:eastAsia="tr-TR"/>
              </w:rPr>
            </w:pPr>
            <w:r w:rsidRPr="004B3DE4">
              <w:rPr>
                <w:rFonts w:cs="Tahoma"/>
                <w:color w:val="000000"/>
                <w:sz w:val="16"/>
                <w:szCs w:val="16"/>
                <w:lang w:eastAsia="tr-TR"/>
              </w:rPr>
              <w:t xml:space="preserve">Gereksiz ilaç tüketimini önlemek üzere doktor, eczane ve hastalara yönelik etkin denetimler ve yaptırımlar hayata geçirilecektir. </w:t>
            </w:r>
          </w:p>
        </w:tc>
        <w:tc>
          <w:tcPr>
            <w:tcW w:w="1363" w:type="pct"/>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SGK (S), Sağlık Bakanlığı, Maliye Bakanlığı, Kalkınma Bakanlığı, Üniversiteler, Özel Sağlık Kuruluşları</w:t>
            </w:r>
          </w:p>
        </w:tc>
        <w:tc>
          <w:tcPr>
            <w:tcW w:w="486" w:type="pct"/>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 xml:space="preserve">Gereksiz ilaç tüketimini önlemek üzere veri madenciliğini de içeren istatistiksel yöntemlerle hizmet sunucularının geçmiş davranışları dikkate alınarak doktor, eczane ve hastalara yönelik denetimler yapılacak ve yaptırımlar hayata geçirilecektir. </w:t>
            </w:r>
          </w:p>
        </w:tc>
      </w:tr>
      <w:tr w:rsidR="00565FD5" w:rsidRPr="004B3DE4" w:rsidTr="00AB62A3">
        <w:trPr>
          <w:trHeight w:val="1905"/>
          <w:jc w:val="center"/>
        </w:trPr>
        <w:tc>
          <w:tcPr>
            <w:tcW w:w="1507" w:type="pct"/>
          </w:tcPr>
          <w:p w:rsidR="00565FD5" w:rsidRPr="004B3DE4" w:rsidRDefault="00565FD5" w:rsidP="00EB1E69">
            <w:pPr>
              <w:numPr>
                <w:ilvl w:val="0"/>
                <w:numId w:val="14"/>
              </w:numPr>
              <w:spacing w:before="80" w:after="80" w:line="240" w:lineRule="auto"/>
              <w:rPr>
                <w:rFonts w:cs="Tahoma"/>
                <w:color w:val="000000"/>
                <w:sz w:val="16"/>
                <w:szCs w:val="16"/>
                <w:lang w:eastAsia="tr-TR"/>
              </w:rPr>
            </w:pPr>
            <w:r w:rsidRPr="004B3DE4">
              <w:rPr>
                <w:rFonts w:cs="Tahoma"/>
                <w:color w:val="000000"/>
                <w:sz w:val="16"/>
                <w:szCs w:val="16"/>
                <w:lang w:eastAsia="tr-TR"/>
              </w:rPr>
              <w:lastRenderedPageBreak/>
              <w:t>Akılcı ilaç kullanımı geliştirilecektir.</w:t>
            </w:r>
          </w:p>
        </w:tc>
        <w:tc>
          <w:tcPr>
            <w:tcW w:w="1363" w:type="pct"/>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 xml:space="preserve">Sağlık Bakanlığı (S), Maliye Bakanlığı, Kalkınma Bakanlığı, YÖK, SGK, Üniversiteler, Özel Sağlık Kuruluşları </w:t>
            </w:r>
          </w:p>
        </w:tc>
        <w:tc>
          <w:tcPr>
            <w:tcW w:w="486" w:type="pct"/>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565FD5" w:rsidRPr="004B3DE4" w:rsidRDefault="00565FD5" w:rsidP="00AB62A3">
            <w:pPr>
              <w:spacing w:before="80"/>
              <w:rPr>
                <w:rFonts w:cs="Tahoma"/>
                <w:color w:val="000000"/>
                <w:sz w:val="16"/>
                <w:szCs w:val="16"/>
                <w:lang w:eastAsia="tr-TR"/>
              </w:rPr>
            </w:pPr>
            <w:r w:rsidRPr="004B3DE4">
              <w:rPr>
                <w:rFonts w:cs="Tahoma"/>
                <w:color w:val="000000"/>
                <w:sz w:val="16"/>
                <w:szCs w:val="16"/>
                <w:lang w:eastAsia="tr-TR"/>
              </w:rPr>
              <w:t xml:space="preserve">Kanıta dayalı tıp uygulamalarına ait süreç başlatılacaktır. </w:t>
            </w:r>
          </w:p>
          <w:p w:rsidR="00565FD5" w:rsidRDefault="00565FD5" w:rsidP="00AB62A3">
            <w:r w:rsidRPr="004B3DE4">
              <w:rPr>
                <w:rFonts w:cs="Tahoma"/>
                <w:color w:val="000000"/>
                <w:sz w:val="16"/>
                <w:szCs w:val="16"/>
                <w:lang w:eastAsia="tr-TR"/>
              </w:rPr>
              <w:t>Başta hekimler olmak üzere sağlık çalışanlarının ve vatandaşların farkındalığını artırmaya yönelik çalışmalar yapılacaktır. Sağlık eğitimi müfredatlarına akılcı ilaç kullanımı eğitimlerinin dahil edilmesi yönünde çalışmalar yapılacak, SGK veri bankası da kullanılarak akılcı ilaç kullanımı davranışlarını teşvik etme ve izleme-değerlendirmeye yönelik bir sistem geliştirilecektir.</w:t>
            </w:r>
            <w:r w:rsidRPr="004B3DE4">
              <w:t xml:space="preserve"> </w:t>
            </w:r>
          </w:p>
          <w:p w:rsidR="00565FD5" w:rsidRPr="004B3DE4" w:rsidRDefault="00565FD5" w:rsidP="00AB62A3">
            <w:pPr>
              <w:spacing w:after="80"/>
              <w:rPr>
                <w:rFonts w:cs="Tahoma"/>
                <w:color w:val="000000"/>
                <w:sz w:val="16"/>
                <w:szCs w:val="16"/>
                <w:lang w:eastAsia="tr-TR"/>
              </w:rPr>
            </w:pPr>
            <w:r w:rsidRPr="004B3DE4">
              <w:rPr>
                <w:rFonts w:cs="Tahoma"/>
                <w:color w:val="000000"/>
                <w:sz w:val="16"/>
                <w:szCs w:val="16"/>
                <w:lang w:eastAsia="tr-TR"/>
              </w:rPr>
              <w:t>e-Reçete'nin yaygınlaşmasıyla beraber izleme, değerlendirme ve geri bildirim sisteminin tüm hekimleri kapsamasına yönelik çalışmalara devam edilecektir.</w:t>
            </w:r>
          </w:p>
        </w:tc>
      </w:tr>
      <w:tr w:rsidR="00565FD5" w:rsidRPr="004B3DE4" w:rsidTr="00AB62A3">
        <w:trPr>
          <w:trHeight w:val="275"/>
          <w:jc w:val="center"/>
        </w:trPr>
        <w:tc>
          <w:tcPr>
            <w:tcW w:w="1507" w:type="pct"/>
          </w:tcPr>
          <w:p w:rsidR="00565FD5" w:rsidRPr="004B3DE4" w:rsidRDefault="00565FD5" w:rsidP="00EB1E69">
            <w:pPr>
              <w:numPr>
                <w:ilvl w:val="0"/>
                <w:numId w:val="14"/>
              </w:numPr>
              <w:spacing w:before="80" w:after="80" w:line="240" w:lineRule="auto"/>
              <w:rPr>
                <w:rFonts w:cs="Tahoma"/>
                <w:color w:val="000000"/>
                <w:sz w:val="16"/>
                <w:szCs w:val="16"/>
                <w:lang w:eastAsia="tr-TR"/>
              </w:rPr>
            </w:pPr>
            <w:r w:rsidRPr="004B3DE4">
              <w:rPr>
                <w:rFonts w:cs="Tahoma"/>
                <w:color w:val="000000"/>
                <w:sz w:val="16"/>
                <w:szCs w:val="16"/>
                <w:lang w:eastAsia="tr-TR"/>
              </w:rPr>
              <w:t xml:space="preserve">Yerli ilaç geliştirilmesi amacıyla bilimsel çalışmalar desteklenecek ve bu kapsamda ilaç sanayii teşvik edilecektir. </w:t>
            </w:r>
          </w:p>
        </w:tc>
        <w:tc>
          <w:tcPr>
            <w:tcW w:w="1363" w:type="pct"/>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Sağlık Bakanlığı (S), Kalkınma Bakanlığı, Ekonomi Bakanlığı, Hazine Müsteşarlığı, TÜBİTAK, Üniversiteler, Sağlık Kuruluşları, Özel Sektör ve Meslek Kuruluşları</w:t>
            </w:r>
          </w:p>
        </w:tc>
        <w:tc>
          <w:tcPr>
            <w:tcW w:w="486" w:type="pct"/>
          </w:tcPr>
          <w:p w:rsidR="00565FD5" w:rsidRPr="004B3DE4" w:rsidRDefault="00565FD5" w:rsidP="00AB62A3">
            <w:pPr>
              <w:spacing w:before="80" w:after="80"/>
              <w:rPr>
                <w:rFonts w:cs="Tahoma"/>
                <w:color w:val="000000"/>
                <w:sz w:val="16"/>
                <w:szCs w:val="16"/>
                <w:lang w:eastAsia="tr-TR"/>
              </w:rPr>
            </w:pPr>
            <w:r w:rsidRPr="004B3DE4">
              <w:rPr>
                <w:rFonts w:cs="Tahoma"/>
                <w:color w:val="000000"/>
                <w:sz w:val="16"/>
                <w:szCs w:val="16"/>
                <w:lang w:eastAsia="tr-TR"/>
              </w:rPr>
              <w:t>Aralık Sonu</w:t>
            </w:r>
          </w:p>
        </w:tc>
        <w:tc>
          <w:tcPr>
            <w:tcW w:w="1643" w:type="pct"/>
          </w:tcPr>
          <w:p w:rsidR="00565FD5" w:rsidRPr="004B3DE4" w:rsidRDefault="00565FD5" w:rsidP="00AB62A3">
            <w:pPr>
              <w:spacing w:before="80" w:after="80"/>
              <w:rPr>
                <w:rFonts w:cs="Tahoma"/>
                <w:sz w:val="16"/>
                <w:szCs w:val="16"/>
                <w:lang w:eastAsia="tr-TR"/>
              </w:rPr>
            </w:pPr>
            <w:r w:rsidRPr="004B3DE4">
              <w:rPr>
                <w:rFonts w:cs="Tahoma"/>
                <w:sz w:val="16"/>
                <w:szCs w:val="16"/>
                <w:lang w:eastAsia="tr-TR"/>
              </w:rPr>
              <w:t xml:space="preserve">İyi Klinik Uygulamaları ile ilgili araştırma merkezleri kurulması desteklenecektir. Klinik Araştırmaların uluslararası standartlarda yürütülmesi amacıyla mevzuat değişikliği yapılacaktır. Yerli ilaç üretiminin teşvik edilmesi amacıyla ilgili mevzuat gözden geçirilerek ilave düzenlemeler yapılacaktır. </w:t>
            </w:r>
          </w:p>
        </w:tc>
      </w:tr>
      <w:tr w:rsidR="00565FD5" w:rsidRPr="004B3DE4" w:rsidTr="00AB62A3">
        <w:trPr>
          <w:trHeight w:val="1470"/>
          <w:jc w:val="center"/>
        </w:trPr>
        <w:tc>
          <w:tcPr>
            <w:tcW w:w="1507" w:type="pct"/>
          </w:tcPr>
          <w:p w:rsidR="00565FD5" w:rsidRPr="004B3DE4" w:rsidRDefault="00565FD5" w:rsidP="00EB1E69">
            <w:pPr>
              <w:numPr>
                <w:ilvl w:val="0"/>
                <w:numId w:val="14"/>
              </w:numPr>
              <w:spacing w:before="80" w:after="80" w:line="240" w:lineRule="auto"/>
              <w:rPr>
                <w:rFonts w:cs="Tahoma"/>
                <w:sz w:val="16"/>
                <w:szCs w:val="16"/>
                <w:lang w:eastAsia="tr-TR"/>
              </w:rPr>
            </w:pPr>
            <w:r w:rsidRPr="004B3DE4">
              <w:rPr>
                <w:rFonts w:cs="Tahoma"/>
                <w:sz w:val="16"/>
                <w:szCs w:val="16"/>
                <w:lang w:eastAsia="tr-TR"/>
              </w:rPr>
              <w:t>Tıbbi Cihaz Üretim Stratejisi ve Eylem Planı hazırlanacaktır.</w:t>
            </w:r>
          </w:p>
        </w:tc>
        <w:tc>
          <w:tcPr>
            <w:tcW w:w="1363" w:type="pct"/>
          </w:tcPr>
          <w:p w:rsidR="00565FD5" w:rsidRPr="004B3DE4" w:rsidRDefault="00565FD5" w:rsidP="00AB62A3">
            <w:pPr>
              <w:spacing w:before="80" w:after="80"/>
              <w:rPr>
                <w:rFonts w:cs="Tahoma"/>
                <w:sz w:val="16"/>
                <w:szCs w:val="16"/>
                <w:lang w:eastAsia="tr-TR"/>
              </w:rPr>
            </w:pPr>
            <w:r w:rsidRPr="004B3DE4">
              <w:rPr>
                <w:rFonts w:cs="Tahoma"/>
                <w:sz w:val="16"/>
                <w:szCs w:val="16"/>
                <w:lang w:eastAsia="tr-TR"/>
              </w:rPr>
              <w:t>Sağlık Bakanlığı (S), Ekonomi Bakanlığı, Kalkınma Bakanlığı, Bilim, Sanayi ve Teknoloji Bakanlığı, TÜBİTAK</w:t>
            </w:r>
          </w:p>
        </w:tc>
        <w:tc>
          <w:tcPr>
            <w:tcW w:w="486" w:type="pct"/>
          </w:tcPr>
          <w:p w:rsidR="00565FD5" w:rsidRPr="004B3DE4" w:rsidRDefault="00565FD5" w:rsidP="00AB62A3">
            <w:pPr>
              <w:spacing w:before="80" w:after="80"/>
              <w:rPr>
                <w:rFonts w:cs="Tahoma"/>
                <w:sz w:val="16"/>
                <w:szCs w:val="16"/>
                <w:lang w:eastAsia="tr-TR"/>
              </w:rPr>
            </w:pPr>
            <w:r w:rsidRPr="004B3DE4">
              <w:rPr>
                <w:rFonts w:cs="Tahoma"/>
                <w:sz w:val="16"/>
                <w:szCs w:val="16"/>
                <w:lang w:eastAsia="tr-TR"/>
              </w:rPr>
              <w:t>Aralık Sonu</w:t>
            </w:r>
          </w:p>
        </w:tc>
        <w:tc>
          <w:tcPr>
            <w:tcW w:w="1643" w:type="pct"/>
          </w:tcPr>
          <w:p w:rsidR="00565FD5" w:rsidRPr="004B3DE4" w:rsidRDefault="00565FD5" w:rsidP="00AB62A3">
            <w:pPr>
              <w:spacing w:before="80" w:after="80"/>
              <w:rPr>
                <w:rFonts w:cs="Tahoma"/>
                <w:sz w:val="16"/>
                <w:szCs w:val="16"/>
                <w:lang w:eastAsia="tr-TR"/>
              </w:rPr>
            </w:pPr>
            <w:r w:rsidRPr="004B3DE4">
              <w:rPr>
                <w:rFonts w:cs="Tahoma"/>
                <w:sz w:val="16"/>
                <w:szCs w:val="16"/>
                <w:lang w:eastAsia="tr-TR"/>
              </w:rPr>
              <w:t>Mevcut durumda ithal edilen tıbbî cihazların yurt içinde üretiminin önündeki sorunlar tespit edilecek, teşvik ve vergi mevzuatı incelenecek, Tıbbi Cihaz Üretim Stratejisi ve Eylem Planı hazırlanacaktır.</w:t>
            </w:r>
            <w:r w:rsidRPr="004B3DE4">
              <w:t xml:space="preserve"> </w:t>
            </w:r>
          </w:p>
        </w:tc>
      </w:tr>
    </w:tbl>
    <w:p w:rsidR="00565FD5" w:rsidRDefault="00565FD5" w:rsidP="00565FD5">
      <w:pPr>
        <w:spacing w:before="120"/>
        <w:rPr>
          <w:rFonts w:cs="Tahoma"/>
        </w:rPr>
      </w:pPr>
    </w:p>
    <w:p w:rsidR="00565FD5" w:rsidRDefault="00565FD5" w:rsidP="00565FD5">
      <w:pPr>
        <w:spacing w:before="120"/>
        <w:rPr>
          <w:rFonts w:cs="Tahoma"/>
        </w:rPr>
      </w:pPr>
    </w:p>
    <w:p w:rsidR="00565FD5" w:rsidRPr="004B3DE4" w:rsidRDefault="00565FD5" w:rsidP="00565FD5">
      <w:pPr>
        <w:pStyle w:val="Balk3"/>
        <w:jc w:val="left"/>
      </w:pPr>
      <w:bookmarkStart w:id="2502" w:name="_Toc276076343"/>
      <w:bookmarkStart w:id="2503" w:name="_Toc244339664"/>
      <w:bookmarkStart w:id="2504" w:name="_Toc244315201"/>
      <w:bookmarkStart w:id="2505" w:name="_Toc244313724"/>
      <w:bookmarkStart w:id="2506" w:name="_Toc244254989"/>
      <w:bookmarkStart w:id="2507" w:name="_Toc244253739"/>
      <w:bookmarkStart w:id="2508" w:name="_Toc213065725"/>
      <w:bookmarkStart w:id="2509" w:name="_Toc307602063"/>
      <w:bookmarkStart w:id="2510" w:name="_Toc307670500"/>
      <w:bookmarkStart w:id="2511" w:name="_Toc307701726"/>
      <w:bookmarkStart w:id="2512" w:name="_Toc338494256"/>
      <w:bookmarkStart w:id="2513" w:name="_Toc338505628"/>
      <w:bookmarkStart w:id="2514" w:name="_Toc338523860"/>
      <w:bookmarkStart w:id="2515" w:name="_Toc338524091"/>
      <w:bookmarkStart w:id="2516" w:name="_Toc338526317"/>
      <w:bookmarkStart w:id="2517" w:name="_Toc338673760"/>
      <w:bookmarkStart w:id="2518" w:name="_Toc338711639"/>
      <w:r w:rsidRPr="004B3DE4">
        <w:lastRenderedPageBreak/>
        <w:t>C. GELİR DAĞILIMININ İYİLEŞTİRİLMESİ, SOSYAL İÇERME VE YOKSULLUKLA MÜCADELE</w:t>
      </w:r>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r w:rsidRPr="004B3DE4">
        <w:t xml:space="preserve"> </w:t>
      </w:r>
    </w:p>
    <w:p w:rsidR="00565FD5" w:rsidRPr="004B3DE4" w:rsidRDefault="00565FD5" w:rsidP="00565FD5">
      <w:pPr>
        <w:pStyle w:val="Balk4"/>
      </w:pPr>
      <w:bookmarkStart w:id="2519" w:name="_Toc276076344"/>
      <w:bookmarkStart w:id="2520" w:name="_Toc213065726"/>
      <w:bookmarkStart w:id="2521" w:name="_Toc307602064"/>
      <w:bookmarkStart w:id="2522" w:name="_Toc307670501"/>
      <w:bookmarkStart w:id="2523" w:name="_Toc307701727"/>
      <w:bookmarkStart w:id="2524" w:name="_Toc338505629"/>
      <w:bookmarkStart w:id="2525" w:name="_Toc338523861"/>
      <w:bookmarkStart w:id="2526" w:name="_Toc338524092"/>
      <w:bookmarkStart w:id="2527" w:name="_Toc338526318"/>
      <w:bookmarkStart w:id="2528" w:name="_Toc338673761"/>
      <w:bookmarkStart w:id="2529" w:name="_Toc338711640"/>
      <w:r w:rsidRPr="004B3DE4">
        <w:t>1. Mevcut Durum</w:t>
      </w:r>
      <w:bookmarkEnd w:id="2519"/>
      <w:bookmarkEnd w:id="2520"/>
      <w:bookmarkEnd w:id="2521"/>
      <w:bookmarkEnd w:id="2522"/>
      <w:bookmarkEnd w:id="2523"/>
      <w:bookmarkEnd w:id="2524"/>
      <w:bookmarkEnd w:id="2525"/>
      <w:bookmarkEnd w:id="2526"/>
      <w:bookmarkEnd w:id="2527"/>
      <w:bookmarkEnd w:id="2528"/>
      <w:bookmarkEnd w:id="2529"/>
    </w:p>
    <w:p w:rsidR="00565FD5" w:rsidRDefault="00565FD5" w:rsidP="00565FD5">
      <w:pPr>
        <w:spacing w:after="180"/>
        <w:ind w:firstLine="425"/>
        <w:rPr>
          <w:rFonts w:cs="Tahoma"/>
          <w:szCs w:val="18"/>
        </w:rPr>
      </w:pPr>
      <w:r w:rsidRPr="004B3DE4">
        <w:rPr>
          <w:rFonts w:cs="Tahoma"/>
          <w:szCs w:val="18"/>
        </w:rPr>
        <w:t>Gelir dağılımındaki eşitsizlik, bazı kesimlerin gelirden daha az pay almalarının bir sonucu olup bu durum yoksulluğun görülme sıklığını da artırabilmektedir. Ancak, yoksulluğun parasal olduğu kadar parasal olmayan boyutları da önem taşımaktadır. Yoksulluğun parasal olmayan boyutları; temel insani faaliyetleri sürdürmek için gerekli olan başta sağlık ve eğitim olmak üzere temel hizmetlerden ve kültürel olanaklardan yararlanma, üretim etkinlikleri içinde yer alma ve karar alma süreçlerine katılma bakımından yaşanan yoksunluklar olup buna maruz kalan kesimler sosyal dışlanmayla da karşı karşıya kalabilmektedir. Gelir eşitsizliğinin ve yoksulluğun azaltılması sosyal içermeyi güçlendirmekte ve toplumda sosyal adalet ve dayanışma kültürünü geliştirmektedir.</w:t>
      </w:r>
    </w:p>
    <w:p w:rsidR="00565FD5" w:rsidRPr="0026379C" w:rsidRDefault="00565FD5" w:rsidP="00565FD5">
      <w:pPr>
        <w:pStyle w:val="ResimYazs"/>
        <w:rPr>
          <w:rFonts w:eastAsia="Arial Unicode MS" w:cs="Tahoma"/>
          <w:szCs w:val="16"/>
        </w:rPr>
      </w:pPr>
      <w:bookmarkStart w:id="2530" w:name="_Toc213071734"/>
      <w:bookmarkStart w:id="2531" w:name="_Toc212712826"/>
      <w:bookmarkStart w:id="2532" w:name="_Toc338606057"/>
      <w:bookmarkStart w:id="2533" w:name="_Toc338711832"/>
      <w:bookmarkStart w:id="2534" w:name="_Toc276076526"/>
      <w:bookmarkStart w:id="2535" w:name="_Toc275873980"/>
      <w:bookmarkStart w:id="2536" w:name="_Toc307601713"/>
      <w:bookmarkStart w:id="2537" w:name="_Toc307657933"/>
      <w:bookmarkStart w:id="2538" w:name="_Toc307702191"/>
      <w:r>
        <w:t xml:space="preserve">TABLO IV: </w:t>
      </w:r>
      <w:fldSimple w:instr=" SEQ TABLO_IV: \* ARABIC ">
        <w:r>
          <w:rPr>
            <w:noProof/>
          </w:rPr>
          <w:t>62</w:t>
        </w:r>
      </w:fldSimple>
      <w:r w:rsidRPr="0026379C">
        <w:rPr>
          <w:rFonts w:eastAsia="Arial Unicode MS" w:cs="Tahoma"/>
          <w:szCs w:val="16"/>
        </w:rPr>
        <w:t xml:space="preserve">- </w:t>
      </w:r>
      <w:bookmarkEnd w:id="2530"/>
      <w:bookmarkEnd w:id="2531"/>
      <w:r w:rsidRPr="0026379C">
        <w:rPr>
          <w:rFonts w:eastAsia="Arial Unicode MS" w:cs="Tahoma"/>
          <w:szCs w:val="16"/>
        </w:rPr>
        <w:t>Gelir Gruplarının Toplam Gelirden Aldıkları Paylar ve Gini Katsayısı, 2006-2011</w:t>
      </w:r>
      <w:bookmarkEnd w:id="2532"/>
      <w:bookmarkEnd w:id="2533"/>
      <w:r w:rsidRPr="0026379C">
        <w:rPr>
          <w:rFonts w:eastAsia="Arial Unicode MS" w:cs="Tahoma"/>
          <w:szCs w:val="16"/>
        </w:rPr>
        <w:t xml:space="preserve"> </w:t>
      </w:r>
      <w:bookmarkEnd w:id="2534"/>
      <w:bookmarkEnd w:id="2535"/>
      <w:bookmarkEnd w:id="2536"/>
      <w:bookmarkEnd w:id="2537"/>
      <w:bookmarkEnd w:id="2538"/>
    </w:p>
    <w:p w:rsidR="00565FD5" w:rsidRPr="004B3DE4" w:rsidRDefault="00565FD5" w:rsidP="00565FD5">
      <w:pPr>
        <w:jc w:val="right"/>
        <w:rPr>
          <w:rFonts w:cs="Tahoma"/>
          <w:sz w:val="16"/>
          <w:szCs w:val="16"/>
        </w:rPr>
      </w:pPr>
      <w:r w:rsidRPr="004B3DE4">
        <w:rPr>
          <w:rFonts w:cs="Tahoma"/>
          <w:sz w:val="16"/>
          <w:szCs w:val="16"/>
        </w:rPr>
        <w:t xml:space="preserve"> (Yüzde)</w:t>
      </w:r>
    </w:p>
    <w:tbl>
      <w:tblPr>
        <w:tblW w:w="5000" w:type="pct"/>
        <w:tblCellMar>
          <w:left w:w="0" w:type="dxa"/>
          <w:right w:w="0" w:type="dxa"/>
        </w:tblCellMar>
        <w:tblLook w:val="00A0"/>
      </w:tblPr>
      <w:tblGrid>
        <w:gridCol w:w="1879"/>
        <w:gridCol w:w="448"/>
        <w:gridCol w:w="531"/>
        <w:gridCol w:w="19"/>
        <w:gridCol w:w="716"/>
        <w:gridCol w:w="716"/>
        <w:gridCol w:w="716"/>
        <w:gridCol w:w="716"/>
        <w:gridCol w:w="716"/>
        <w:gridCol w:w="705"/>
      </w:tblGrid>
      <w:tr w:rsidR="00565FD5" w:rsidRPr="004B3DE4" w:rsidTr="00AB62A3">
        <w:trPr>
          <w:trHeight w:val="284"/>
        </w:trPr>
        <w:tc>
          <w:tcPr>
            <w:tcW w:w="1311" w:type="pct"/>
            <w:tcBorders>
              <w:top w:val="single" w:sz="4" w:space="0" w:color="auto"/>
              <w:left w:val="single" w:sz="4" w:space="0" w:color="auto"/>
              <w:bottom w:val="single" w:sz="4" w:space="0" w:color="auto"/>
              <w:right w:val="nil"/>
            </w:tcBorders>
            <w:tcMar>
              <w:top w:w="15" w:type="dxa"/>
              <w:left w:w="15" w:type="dxa"/>
              <w:bottom w:w="0" w:type="dxa"/>
              <w:right w:w="15" w:type="dxa"/>
            </w:tcMar>
            <w:vAlign w:val="center"/>
          </w:tcPr>
          <w:p w:rsidR="00565FD5" w:rsidRPr="004B3DE4" w:rsidRDefault="00565FD5" w:rsidP="00AB62A3">
            <w:pPr>
              <w:ind w:firstLine="120"/>
              <w:rPr>
                <w:rFonts w:eastAsia="Arial Unicode MS" w:cs="Tahoma"/>
                <w:b/>
                <w:sz w:val="16"/>
                <w:szCs w:val="16"/>
              </w:rPr>
            </w:pPr>
            <w:r w:rsidRPr="004B3DE4">
              <w:rPr>
                <w:rFonts w:cs="Tahoma"/>
                <w:b/>
                <w:sz w:val="16"/>
                <w:szCs w:val="16"/>
              </w:rPr>
              <w:t>Yüzde 20’lik Dilimler</w:t>
            </w:r>
          </w:p>
        </w:tc>
        <w:tc>
          <w:tcPr>
            <w:tcW w:w="313" w:type="pct"/>
            <w:tcBorders>
              <w:top w:val="single" w:sz="4" w:space="0" w:color="auto"/>
              <w:left w:val="nil"/>
              <w:bottom w:val="single" w:sz="4" w:space="0" w:color="auto"/>
              <w:right w:val="nil"/>
            </w:tcBorders>
            <w:tcMar>
              <w:top w:w="15" w:type="dxa"/>
              <w:left w:w="15" w:type="dxa"/>
              <w:bottom w:w="0" w:type="dxa"/>
              <w:right w:w="15" w:type="dxa"/>
            </w:tcMar>
            <w:vAlign w:val="center"/>
          </w:tcPr>
          <w:p w:rsidR="00565FD5" w:rsidRPr="004B3DE4" w:rsidRDefault="00565FD5" w:rsidP="00AB62A3">
            <w:pPr>
              <w:jc w:val="right"/>
              <w:rPr>
                <w:rFonts w:cs="Tahoma"/>
                <w:b/>
                <w:bCs/>
                <w:sz w:val="16"/>
                <w:szCs w:val="16"/>
              </w:rPr>
            </w:pPr>
          </w:p>
        </w:tc>
        <w:tc>
          <w:tcPr>
            <w:tcW w:w="371" w:type="pct"/>
            <w:tcBorders>
              <w:top w:val="single" w:sz="4" w:space="0" w:color="auto"/>
              <w:left w:val="nil"/>
              <w:bottom w:val="single" w:sz="4" w:space="0" w:color="auto"/>
              <w:right w:val="nil"/>
            </w:tcBorders>
            <w:tcMar>
              <w:top w:w="15" w:type="dxa"/>
              <w:left w:w="15" w:type="dxa"/>
              <w:bottom w:w="0" w:type="dxa"/>
              <w:right w:w="15" w:type="dxa"/>
            </w:tcMar>
            <w:vAlign w:val="center"/>
          </w:tcPr>
          <w:p w:rsidR="00565FD5" w:rsidRPr="004B3DE4" w:rsidRDefault="00565FD5" w:rsidP="00AB62A3">
            <w:pPr>
              <w:jc w:val="right"/>
              <w:rPr>
                <w:rFonts w:cs="Tahoma"/>
                <w:b/>
                <w:bCs/>
                <w:sz w:val="16"/>
                <w:szCs w:val="16"/>
              </w:rPr>
            </w:pPr>
          </w:p>
        </w:tc>
        <w:tc>
          <w:tcPr>
            <w:tcW w:w="13" w:type="pct"/>
            <w:tcBorders>
              <w:top w:val="single" w:sz="4" w:space="0" w:color="auto"/>
              <w:left w:val="nil"/>
              <w:bottom w:val="single" w:sz="4" w:space="0" w:color="auto"/>
              <w:right w:val="nil"/>
            </w:tcBorders>
            <w:vAlign w:val="center"/>
          </w:tcPr>
          <w:p w:rsidR="00565FD5" w:rsidRPr="004B3DE4" w:rsidRDefault="00565FD5" w:rsidP="00AB62A3">
            <w:pPr>
              <w:ind w:right="73"/>
              <w:jc w:val="right"/>
              <w:rPr>
                <w:rFonts w:cs="Tahoma"/>
                <w:b/>
                <w:bCs/>
                <w:sz w:val="16"/>
                <w:szCs w:val="16"/>
              </w:rPr>
            </w:pPr>
          </w:p>
        </w:tc>
        <w:tc>
          <w:tcPr>
            <w:tcW w:w="500" w:type="pct"/>
            <w:tcBorders>
              <w:top w:val="single" w:sz="4" w:space="0" w:color="auto"/>
              <w:left w:val="nil"/>
              <w:bottom w:val="single" w:sz="4" w:space="0" w:color="auto"/>
              <w:right w:val="nil"/>
            </w:tcBorders>
            <w:vAlign w:val="center"/>
          </w:tcPr>
          <w:p w:rsidR="00565FD5" w:rsidRPr="004B3DE4" w:rsidRDefault="00565FD5" w:rsidP="00AB62A3">
            <w:pPr>
              <w:jc w:val="right"/>
              <w:rPr>
                <w:rFonts w:cs="Tahoma"/>
                <w:b/>
                <w:bCs/>
                <w:sz w:val="16"/>
                <w:szCs w:val="16"/>
              </w:rPr>
            </w:pPr>
            <w:r w:rsidRPr="004B3DE4">
              <w:rPr>
                <w:rFonts w:cs="Tahoma"/>
                <w:b/>
                <w:bCs/>
                <w:sz w:val="16"/>
                <w:szCs w:val="16"/>
              </w:rPr>
              <w:t>2006</w:t>
            </w:r>
          </w:p>
        </w:tc>
        <w:tc>
          <w:tcPr>
            <w:tcW w:w="500" w:type="pct"/>
            <w:tcBorders>
              <w:top w:val="single" w:sz="4" w:space="0" w:color="auto"/>
              <w:left w:val="nil"/>
              <w:bottom w:val="single" w:sz="4" w:space="0" w:color="auto"/>
              <w:right w:val="nil"/>
            </w:tcBorders>
            <w:vAlign w:val="center"/>
          </w:tcPr>
          <w:p w:rsidR="00565FD5" w:rsidRPr="004B3DE4" w:rsidRDefault="00565FD5" w:rsidP="00AB62A3">
            <w:pPr>
              <w:jc w:val="right"/>
              <w:rPr>
                <w:rFonts w:cs="Tahoma"/>
                <w:b/>
                <w:bCs/>
                <w:sz w:val="16"/>
                <w:szCs w:val="16"/>
              </w:rPr>
            </w:pPr>
            <w:r w:rsidRPr="004B3DE4">
              <w:rPr>
                <w:rFonts w:cs="Tahoma"/>
                <w:b/>
                <w:bCs/>
                <w:sz w:val="16"/>
                <w:szCs w:val="16"/>
              </w:rPr>
              <w:t>2007</w:t>
            </w:r>
          </w:p>
        </w:tc>
        <w:tc>
          <w:tcPr>
            <w:tcW w:w="500" w:type="pct"/>
            <w:tcBorders>
              <w:top w:val="single" w:sz="4" w:space="0" w:color="auto"/>
              <w:left w:val="nil"/>
              <w:bottom w:val="single" w:sz="4" w:space="0" w:color="auto"/>
              <w:right w:val="nil"/>
            </w:tcBorders>
            <w:vAlign w:val="center"/>
          </w:tcPr>
          <w:p w:rsidR="00565FD5" w:rsidRPr="004B3DE4" w:rsidRDefault="00565FD5" w:rsidP="00AB62A3">
            <w:pPr>
              <w:jc w:val="right"/>
              <w:rPr>
                <w:rFonts w:cs="Tahoma"/>
                <w:b/>
                <w:bCs/>
                <w:sz w:val="16"/>
                <w:szCs w:val="16"/>
              </w:rPr>
            </w:pPr>
            <w:r w:rsidRPr="004B3DE4">
              <w:rPr>
                <w:rFonts w:cs="Tahoma"/>
                <w:b/>
                <w:bCs/>
                <w:sz w:val="16"/>
                <w:szCs w:val="16"/>
              </w:rPr>
              <w:t>2008</w:t>
            </w:r>
          </w:p>
        </w:tc>
        <w:tc>
          <w:tcPr>
            <w:tcW w:w="500" w:type="pct"/>
            <w:tcBorders>
              <w:top w:val="single" w:sz="4" w:space="0" w:color="auto"/>
              <w:left w:val="nil"/>
              <w:bottom w:val="single" w:sz="4" w:space="0" w:color="auto"/>
            </w:tcBorders>
            <w:vAlign w:val="center"/>
          </w:tcPr>
          <w:p w:rsidR="00565FD5" w:rsidRPr="004B3DE4" w:rsidRDefault="00565FD5" w:rsidP="00AB62A3">
            <w:pPr>
              <w:jc w:val="right"/>
              <w:rPr>
                <w:rFonts w:cs="Tahoma"/>
                <w:b/>
                <w:bCs/>
                <w:sz w:val="16"/>
                <w:szCs w:val="16"/>
              </w:rPr>
            </w:pPr>
            <w:r w:rsidRPr="004B3DE4">
              <w:rPr>
                <w:rFonts w:cs="Tahoma"/>
                <w:b/>
                <w:bCs/>
                <w:sz w:val="16"/>
                <w:szCs w:val="16"/>
              </w:rPr>
              <w:t>2009</w:t>
            </w:r>
          </w:p>
        </w:tc>
        <w:tc>
          <w:tcPr>
            <w:tcW w:w="500" w:type="pct"/>
            <w:tcBorders>
              <w:top w:val="single" w:sz="4" w:space="0" w:color="auto"/>
              <w:bottom w:val="single" w:sz="4" w:space="0" w:color="auto"/>
            </w:tcBorders>
            <w:vAlign w:val="center"/>
          </w:tcPr>
          <w:p w:rsidR="00565FD5" w:rsidRPr="004B3DE4" w:rsidRDefault="00565FD5" w:rsidP="00AB62A3">
            <w:pPr>
              <w:jc w:val="right"/>
              <w:rPr>
                <w:rFonts w:cs="Tahoma"/>
                <w:b/>
                <w:bCs/>
                <w:sz w:val="16"/>
                <w:szCs w:val="16"/>
              </w:rPr>
            </w:pPr>
            <w:r w:rsidRPr="004B3DE4">
              <w:rPr>
                <w:rFonts w:cs="Tahoma"/>
                <w:b/>
                <w:bCs/>
                <w:sz w:val="16"/>
                <w:szCs w:val="16"/>
              </w:rPr>
              <w:t>2010</w:t>
            </w:r>
          </w:p>
        </w:tc>
        <w:tc>
          <w:tcPr>
            <w:tcW w:w="493" w:type="pct"/>
            <w:tcBorders>
              <w:top w:val="single" w:sz="4" w:space="0" w:color="auto"/>
              <w:bottom w:val="single" w:sz="4" w:space="0" w:color="auto"/>
              <w:right w:val="single" w:sz="4" w:space="0" w:color="auto"/>
            </w:tcBorders>
            <w:vAlign w:val="center"/>
          </w:tcPr>
          <w:p w:rsidR="00565FD5" w:rsidRPr="004B3DE4" w:rsidRDefault="00565FD5" w:rsidP="00AB62A3">
            <w:pPr>
              <w:ind w:right="170"/>
              <w:jc w:val="right"/>
              <w:rPr>
                <w:rFonts w:cs="Tahoma"/>
                <w:b/>
                <w:bCs/>
                <w:sz w:val="16"/>
                <w:szCs w:val="16"/>
              </w:rPr>
            </w:pPr>
            <w:r w:rsidRPr="004B3DE4">
              <w:rPr>
                <w:rFonts w:cs="Tahoma"/>
                <w:b/>
                <w:bCs/>
                <w:sz w:val="16"/>
                <w:szCs w:val="16"/>
              </w:rPr>
              <w:t>2011</w:t>
            </w:r>
          </w:p>
        </w:tc>
      </w:tr>
      <w:tr w:rsidR="00565FD5" w:rsidRPr="004B3DE4" w:rsidTr="00AB62A3">
        <w:trPr>
          <w:trHeight w:val="284"/>
        </w:trPr>
        <w:tc>
          <w:tcPr>
            <w:tcW w:w="1995" w:type="pct"/>
            <w:gridSpan w:val="3"/>
            <w:tcBorders>
              <w:top w:val="nil"/>
              <w:left w:val="single" w:sz="4" w:space="0" w:color="auto"/>
              <w:bottom w:val="nil"/>
              <w:right w:val="nil"/>
            </w:tcBorders>
            <w:tcMar>
              <w:top w:w="15" w:type="dxa"/>
              <w:left w:w="15" w:type="dxa"/>
              <w:bottom w:w="0" w:type="dxa"/>
              <w:right w:w="15" w:type="dxa"/>
            </w:tcMar>
            <w:vAlign w:val="center"/>
          </w:tcPr>
          <w:p w:rsidR="00565FD5" w:rsidRPr="004B3DE4" w:rsidRDefault="00565FD5" w:rsidP="00AB62A3">
            <w:pPr>
              <w:ind w:firstLine="120"/>
              <w:rPr>
                <w:rFonts w:cs="Tahoma"/>
                <w:sz w:val="16"/>
                <w:szCs w:val="16"/>
              </w:rPr>
            </w:pPr>
            <w:r w:rsidRPr="004B3DE4">
              <w:rPr>
                <w:rFonts w:cs="Tahoma"/>
                <w:sz w:val="16"/>
                <w:szCs w:val="16"/>
              </w:rPr>
              <w:t>Birinci Yüzde 20 (En yoksul)</w:t>
            </w:r>
          </w:p>
        </w:tc>
        <w:tc>
          <w:tcPr>
            <w:tcW w:w="13" w:type="pct"/>
            <w:tcBorders>
              <w:top w:val="single" w:sz="4" w:space="0" w:color="auto"/>
              <w:left w:val="nil"/>
              <w:bottom w:val="nil"/>
              <w:right w:val="nil"/>
            </w:tcBorders>
            <w:vAlign w:val="center"/>
          </w:tcPr>
          <w:p w:rsidR="00565FD5" w:rsidRPr="004B3DE4" w:rsidRDefault="00565FD5" w:rsidP="00AB62A3">
            <w:pPr>
              <w:ind w:firstLine="120"/>
              <w:jc w:val="right"/>
              <w:rPr>
                <w:rFonts w:cs="Tahoma"/>
                <w:sz w:val="16"/>
                <w:szCs w:val="16"/>
              </w:rPr>
            </w:pPr>
          </w:p>
        </w:tc>
        <w:tc>
          <w:tcPr>
            <w:tcW w:w="500" w:type="pct"/>
            <w:tcBorders>
              <w:top w:val="single" w:sz="4" w:space="0" w:color="auto"/>
              <w:left w:val="nil"/>
              <w:bottom w:val="nil"/>
              <w:right w:val="nil"/>
            </w:tcBorders>
            <w:vAlign w:val="center"/>
          </w:tcPr>
          <w:p w:rsidR="00565FD5" w:rsidRPr="004B3DE4" w:rsidRDefault="00565FD5" w:rsidP="00AB62A3">
            <w:pPr>
              <w:ind w:firstLine="120"/>
              <w:jc w:val="right"/>
              <w:rPr>
                <w:rFonts w:cs="Tahoma"/>
                <w:sz w:val="16"/>
                <w:szCs w:val="16"/>
              </w:rPr>
            </w:pPr>
            <w:r w:rsidRPr="004B3DE4">
              <w:rPr>
                <w:rFonts w:cs="Tahoma"/>
                <w:sz w:val="16"/>
                <w:szCs w:val="16"/>
              </w:rPr>
              <w:t>5,8</w:t>
            </w:r>
          </w:p>
        </w:tc>
        <w:tc>
          <w:tcPr>
            <w:tcW w:w="500" w:type="pct"/>
            <w:tcBorders>
              <w:top w:val="single" w:sz="4" w:space="0" w:color="auto"/>
              <w:left w:val="nil"/>
              <w:bottom w:val="nil"/>
              <w:right w:val="nil"/>
            </w:tcBorders>
            <w:vAlign w:val="center"/>
          </w:tcPr>
          <w:p w:rsidR="00565FD5" w:rsidRPr="004B3DE4" w:rsidRDefault="00565FD5" w:rsidP="00AB62A3">
            <w:pPr>
              <w:ind w:firstLine="120"/>
              <w:jc w:val="right"/>
              <w:rPr>
                <w:rFonts w:cs="Tahoma"/>
                <w:sz w:val="16"/>
                <w:szCs w:val="16"/>
              </w:rPr>
            </w:pPr>
            <w:r w:rsidRPr="004B3DE4">
              <w:rPr>
                <w:rFonts w:cs="Tahoma"/>
                <w:sz w:val="16"/>
                <w:szCs w:val="16"/>
              </w:rPr>
              <w:t>6,4</w:t>
            </w:r>
          </w:p>
        </w:tc>
        <w:tc>
          <w:tcPr>
            <w:tcW w:w="500" w:type="pct"/>
            <w:tcBorders>
              <w:top w:val="single" w:sz="4" w:space="0" w:color="auto"/>
              <w:left w:val="nil"/>
              <w:bottom w:val="nil"/>
              <w:right w:val="nil"/>
            </w:tcBorders>
            <w:vAlign w:val="center"/>
          </w:tcPr>
          <w:p w:rsidR="00565FD5" w:rsidRPr="004B3DE4" w:rsidRDefault="00565FD5" w:rsidP="00AB62A3">
            <w:pPr>
              <w:ind w:firstLine="120"/>
              <w:jc w:val="right"/>
              <w:rPr>
                <w:rFonts w:cs="Tahoma"/>
                <w:sz w:val="16"/>
                <w:szCs w:val="16"/>
              </w:rPr>
            </w:pPr>
            <w:r w:rsidRPr="004B3DE4">
              <w:rPr>
                <w:rFonts w:cs="Tahoma"/>
                <w:sz w:val="16"/>
                <w:szCs w:val="16"/>
              </w:rPr>
              <w:t>6,4</w:t>
            </w:r>
          </w:p>
        </w:tc>
        <w:tc>
          <w:tcPr>
            <w:tcW w:w="500" w:type="pct"/>
            <w:tcBorders>
              <w:top w:val="single" w:sz="4" w:space="0" w:color="auto"/>
              <w:left w:val="nil"/>
              <w:bottom w:val="nil"/>
            </w:tcBorders>
            <w:vAlign w:val="center"/>
          </w:tcPr>
          <w:p w:rsidR="00565FD5" w:rsidRPr="004B3DE4" w:rsidRDefault="00565FD5" w:rsidP="00AB62A3">
            <w:pPr>
              <w:ind w:firstLine="120"/>
              <w:jc w:val="right"/>
              <w:rPr>
                <w:rFonts w:cs="Tahoma"/>
                <w:sz w:val="16"/>
                <w:szCs w:val="16"/>
              </w:rPr>
            </w:pPr>
            <w:r w:rsidRPr="004B3DE4">
              <w:rPr>
                <w:rFonts w:cs="Tahoma"/>
                <w:sz w:val="16"/>
                <w:szCs w:val="16"/>
              </w:rPr>
              <w:t>6,2</w:t>
            </w:r>
          </w:p>
        </w:tc>
        <w:tc>
          <w:tcPr>
            <w:tcW w:w="500" w:type="pct"/>
            <w:tcBorders>
              <w:top w:val="single" w:sz="4" w:space="0" w:color="auto"/>
            </w:tcBorders>
            <w:vAlign w:val="center"/>
          </w:tcPr>
          <w:p w:rsidR="00565FD5" w:rsidRPr="004B3DE4" w:rsidRDefault="00565FD5" w:rsidP="00AB62A3">
            <w:pPr>
              <w:ind w:firstLine="120"/>
              <w:jc w:val="right"/>
              <w:rPr>
                <w:rFonts w:cs="Tahoma"/>
                <w:sz w:val="16"/>
                <w:szCs w:val="16"/>
              </w:rPr>
            </w:pPr>
            <w:r w:rsidRPr="004B3DE4">
              <w:rPr>
                <w:rFonts w:cs="Tahoma"/>
                <w:sz w:val="16"/>
                <w:szCs w:val="16"/>
              </w:rPr>
              <w:t>6,5</w:t>
            </w:r>
          </w:p>
        </w:tc>
        <w:tc>
          <w:tcPr>
            <w:tcW w:w="493" w:type="pct"/>
            <w:tcBorders>
              <w:top w:val="single" w:sz="4" w:space="0" w:color="auto"/>
              <w:right w:val="single" w:sz="4" w:space="0" w:color="auto"/>
            </w:tcBorders>
            <w:vAlign w:val="center"/>
          </w:tcPr>
          <w:p w:rsidR="00565FD5" w:rsidRPr="004B3DE4" w:rsidRDefault="00565FD5" w:rsidP="00AB62A3">
            <w:pPr>
              <w:ind w:right="170" w:firstLine="120"/>
              <w:jc w:val="right"/>
              <w:rPr>
                <w:rFonts w:cs="Tahoma"/>
                <w:sz w:val="16"/>
                <w:szCs w:val="16"/>
              </w:rPr>
            </w:pPr>
            <w:r w:rsidRPr="004B3DE4">
              <w:rPr>
                <w:rFonts w:cs="Tahoma"/>
                <w:sz w:val="16"/>
                <w:szCs w:val="16"/>
              </w:rPr>
              <w:t>6,5</w:t>
            </w:r>
          </w:p>
        </w:tc>
      </w:tr>
      <w:tr w:rsidR="00565FD5" w:rsidRPr="004B3DE4" w:rsidTr="00AB62A3">
        <w:trPr>
          <w:trHeight w:val="284"/>
        </w:trPr>
        <w:tc>
          <w:tcPr>
            <w:tcW w:w="1995" w:type="pct"/>
            <w:gridSpan w:val="3"/>
            <w:tcBorders>
              <w:top w:val="nil"/>
              <w:left w:val="single" w:sz="4" w:space="0" w:color="auto"/>
              <w:bottom w:val="nil"/>
            </w:tcBorders>
            <w:tcMar>
              <w:top w:w="15" w:type="dxa"/>
              <w:left w:w="15" w:type="dxa"/>
              <w:bottom w:w="0" w:type="dxa"/>
              <w:right w:w="15" w:type="dxa"/>
            </w:tcMar>
            <w:vAlign w:val="center"/>
          </w:tcPr>
          <w:p w:rsidR="00565FD5" w:rsidRPr="004B3DE4" w:rsidRDefault="00565FD5" w:rsidP="00AB62A3">
            <w:pPr>
              <w:ind w:firstLine="120"/>
              <w:rPr>
                <w:rFonts w:cs="Tahoma"/>
                <w:sz w:val="16"/>
                <w:szCs w:val="16"/>
              </w:rPr>
            </w:pPr>
            <w:r w:rsidRPr="004B3DE4">
              <w:rPr>
                <w:rFonts w:cs="Tahoma"/>
                <w:sz w:val="16"/>
                <w:szCs w:val="16"/>
              </w:rPr>
              <w:t>İkinci Yüzde 20</w:t>
            </w:r>
          </w:p>
        </w:tc>
        <w:tc>
          <w:tcPr>
            <w:tcW w:w="13" w:type="pct"/>
            <w:vAlign w:val="center"/>
          </w:tcPr>
          <w:p w:rsidR="00565FD5" w:rsidRPr="004B3DE4" w:rsidRDefault="00565FD5" w:rsidP="00AB62A3">
            <w:pPr>
              <w:ind w:firstLine="120"/>
              <w:jc w:val="right"/>
              <w:rPr>
                <w:rFonts w:cs="Tahoma"/>
                <w:sz w:val="16"/>
                <w:szCs w:val="16"/>
              </w:rPr>
            </w:pPr>
          </w:p>
        </w:tc>
        <w:tc>
          <w:tcPr>
            <w:tcW w:w="500" w:type="pct"/>
            <w:vAlign w:val="center"/>
          </w:tcPr>
          <w:p w:rsidR="00565FD5" w:rsidRPr="004B3DE4" w:rsidRDefault="00565FD5" w:rsidP="00AB62A3">
            <w:pPr>
              <w:ind w:firstLine="120"/>
              <w:jc w:val="right"/>
              <w:rPr>
                <w:rFonts w:cs="Tahoma"/>
                <w:sz w:val="16"/>
                <w:szCs w:val="16"/>
              </w:rPr>
            </w:pPr>
            <w:r w:rsidRPr="004B3DE4">
              <w:rPr>
                <w:rFonts w:cs="Tahoma"/>
                <w:sz w:val="16"/>
                <w:szCs w:val="16"/>
              </w:rPr>
              <w:t>10,5</w:t>
            </w:r>
          </w:p>
        </w:tc>
        <w:tc>
          <w:tcPr>
            <w:tcW w:w="500" w:type="pct"/>
            <w:vAlign w:val="center"/>
          </w:tcPr>
          <w:p w:rsidR="00565FD5" w:rsidRPr="004B3DE4" w:rsidRDefault="00565FD5" w:rsidP="00AB62A3">
            <w:pPr>
              <w:ind w:firstLine="120"/>
              <w:jc w:val="right"/>
              <w:rPr>
                <w:rFonts w:cs="Tahoma"/>
                <w:sz w:val="16"/>
                <w:szCs w:val="16"/>
              </w:rPr>
            </w:pPr>
            <w:r w:rsidRPr="004B3DE4">
              <w:rPr>
                <w:rFonts w:cs="Tahoma"/>
                <w:sz w:val="16"/>
                <w:szCs w:val="16"/>
              </w:rPr>
              <w:t>10,9</w:t>
            </w:r>
          </w:p>
        </w:tc>
        <w:tc>
          <w:tcPr>
            <w:tcW w:w="500" w:type="pct"/>
            <w:vAlign w:val="center"/>
          </w:tcPr>
          <w:p w:rsidR="00565FD5" w:rsidRPr="004B3DE4" w:rsidRDefault="00565FD5" w:rsidP="00AB62A3">
            <w:pPr>
              <w:ind w:firstLine="120"/>
              <w:jc w:val="right"/>
              <w:rPr>
                <w:rFonts w:cs="Tahoma"/>
                <w:sz w:val="16"/>
                <w:szCs w:val="16"/>
              </w:rPr>
            </w:pPr>
            <w:r w:rsidRPr="004B3DE4">
              <w:rPr>
                <w:rFonts w:cs="Tahoma"/>
                <w:sz w:val="16"/>
                <w:szCs w:val="16"/>
              </w:rPr>
              <w:t>10,9</w:t>
            </w:r>
          </w:p>
        </w:tc>
        <w:tc>
          <w:tcPr>
            <w:tcW w:w="500" w:type="pct"/>
            <w:tcBorders>
              <w:top w:val="nil"/>
              <w:left w:val="nil"/>
              <w:bottom w:val="nil"/>
            </w:tcBorders>
            <w:vAlign w:val="center"/>
          </w:tcPr>
          <w:p w:rsidR="00565FD5" w:rsidRPr="004B3DE4" w:rsidRDefault="00565FD5" w:rsidP="00AB62A3">
            <w:pPr>
              <w:ind w:firstLine="120"/>
              <w:jc w:val="right"/>
              <w:rPr>
                <w:rFonts w:cs="Tahoma"/>
                <w:sz w:val="16"/>
                <w:szCs w:val="16"/>
              </w:rPr>
            </w:pPr>
            <w:r w:rsidRPr="004B3DE4">
              <w:rPr>
                <w:rFonts w:cs="Tahoma"/>
                <w:sz w:val="16"/>
                <w:szCs w:val="16"/>
              </w:rPr>
              <w:t>10,7</w:t>
            </w:r>
          </w:p>
        </w:tc>
        <w:tc>
          <w:tcPr>
            <w:tcW w:w="500" w:type="pct"/>
            <w:vAlign w:val="center"/>
          </w:tcPr>
          <w:p w:rsidR="00565FD5" w:rsidRPr="004B3DE4" w:rsidRDefault="00565FD5" w:rsidP="00AB62A3">
            <w:pPr>
              <w:ind w:firstLine="120"/>
              <w:jc w:val="right"/>
              <w:rPr>
                <w:rFonts w:cs="Tahoma"/>
                <w:sz w:val="16"/>
                <w:szCs w:val="16"/>
              </w:rPr>
            </w:pPr>
            <w:r w:rsidRPr="004B3DE4">
              <w:rPr>
                <w:rFonts w:cs="Tahoma"/>
                <w:sz w:val="16"/>
                <w:szCs w:val="16"/>
              </w:rPr>
              <w:t>11,1</w:t>
            </w:r>
          </w:p>
        </w:tc>
        <w:tc>
          <w:tcPr>
            <w:tcW w:w="493" w:type="pct"/>
            <w:tcBorders>
              <w:right w:val="single" w:sz="4" w:space="0" w:color="auto"/>
            </w:tcBorders>
            <w:vAlign w:val="center"/>
          </w:tcPr>
          <w:p w:rsidR="00565FD5" w:rsidRPr="004B3DE4" w:rsidRDefault="00565FD5" w:rsidP="00AB62A3">
            <w:pPr>
              <w:ind w:right="170" w:firstLine="120"/>
              <w:jc w:val="right"/>
              <w:rPr>
                <w:rFonts w:cs="Tahoma"/>
                <w:sz w:val="16"/>
                <w:szCs w:val="16"/>
              </w:rPr>
            </w:pPr>
            <w:r w:rsidRPr="004B3DE4">
              <w:rPr>
                <w:rFonts w:cs="Tahoma"/>
                <w:sz w:val="16"/>
                <w:szCs w:val="16"/>
              </w:rPr>
              <w:t>11,0</w:t>
            </w:r>
          </w:p>
        </w:tc>
      </w:tr>
      <w:tr w:rsidR="00565FD5" w:rsidRPr="004B3DE4" w:rsidTr="00AB62A3">
        <w:trPr>
          <w:trHeight w:val="284"/>
        </w:trPr>
        <w:tc>
          <w:tcPr>
            <w:tcW w:w="1995" w:type="pct"/>
            <w:gridSpan w:val="3"/>
            <w:tcBorders>
              <w:top w:val="nil"/>
              <w:left w:val="single" w:sz="4" w:space="0" w:color="auto"/>
              <w:bottom w:val="nil"/>
            </w:tcBorders>
            <w:tcMar>
              <w:top w:w="15" w:type="dxa"/>
              <w:left w:w="15" w:type="dxa"/>
              <w:bottom w:w="0" w:type="dxa"/>
              <w:right w:w="15" w:type="dxa"/>
            </w:tcMar>
            <w:vAlign w:val="center"/>
          </w:tcPr>
          <w:p w:rsidR="00565FD5" w:rsidRPr="004B3DE4" w:rsidRDefault="00565FD5" w:rsidP="00AB62A3">
            <w:pPr>
              <w:ind w:firstLine="120"/>
              <w:rPr>
                <w:rFonts w:cs="Tahoma"/>
                <w:sz w:val="16"/>
                <w:szCs w:val="16"/>
              </w:rPr>
            </w:pPr>
            <w:r w:rsidRPr="004B3DE4">
              <w:rPr>
                <w:rFonts w:cs="Tahoma"/>
                <w:sz w:val="16"/>
                <w:szCs w:val="16"/>
              </w:rPr>
              <w:t>Üçüncü Yüzde 20</w:t>
            </w:r>
          </w:p>
        </w:tc>
        <w:tc>
          <w:tcPr>
            <w:tcW w:w="13" w:type="pct"/>
            <w:vAlign w:val="center"/>
          </w:tcPr>
          <w:p w:rsidR="00565FD5" w:rsidRPr="004B3DE4" w:rsidRDefault="00565FD5" w:rsidP="00AB62A3">
            <w:pPr>
              <w:ind w:firstLine="120"/>
              <w:jc w:val="right"/>
              <w:rPr>
                <w:rFonts w:cs="Tahoma"/>
                <w:sz w:val="16"/>
                <w:szCs w:val="16"/>
              </w:rPr>
            </w:pPr>
          </w:p>
        </w:tc>
        <w:tc>
          <w:tcPr>
            <w:tcW w:w="500" w:type="pct"/>
            <w:vAlign w:val="center"/>
          </w:tcPr>
          <w:p w:rsidR="00565FD5" w:rsidRPr="004B3DE4" w:rsidRDefault="00565FD5" w:rsidP="00AB62A3">
            <w:pPr>
              <w:ind w:firstLine="120"/>
              <w:jc w:val="right"/>
              <w:rPr>
                <w:rFonts w:cs="Tahoma"/>
                <w:sz w:val="16"/>
                <w:szCs w:val="16"/>
              </w:rPr>
            </w:pPr>
            <w:r w:rsidRPr="004B3DE4">
              <w:rPr>
                <w:rFonts w:cs="Tahoma"/>
                <w:sz w:val="16"/>
                <w:szCs w:val="16"/>
              </w:rPr>
              <w:t>15,2</w:t>
            </w:r>
          </w:p>
        </w:tc>
        <w:tc>
          <w:tcPr>
            <w:tcW w:w="500" w:type="pct"/>
            <w:vAlign w:val="center"/>
          </w:tcPr>
          <w:p w:rsidR="00565FD5" w:rsidRPr="004B3DE4" w:rsidRDefault="00565FD5" w:rsidP="00AB62A3">
            <w:pPr>
              <w:ind w:firstLine="120"/>
              <w:jc w:val="right"/>
              <w:rPr>
                <w:rFonts w:cs="Tahoma"/>
                <w:sz w:val="16"/>
                <w:szCs w:val="16"/>
              </w:rPr>
            </w:pPr>
            <w:r w:rsidRPr="004B3DE4">
              <w:rPr>
                <w:rFonts w:cs="Tahoma"/>
                <w:sz w:val="16"/>
                <w:szCs w:val="16"/>
              </w:rPr>
              <w:t>15,4</w:t>
            </w:r>
          </w:p>
        </w:tc>
        <w:tc>
          <w:tcPr>
            <w:tcW w:w="500" w:type="pct"/>
            <w:vAlign w:val="center"/>
          </w:tcPr>
          <w:p w:rsidR="00565FD5" w:rsidRPr="004B3DE4" w:rsidRDefault="00565FD5" w:rsidP="00AB62A3">
            <w:pPr>
              <w:ind w:firstLine="120"/>
              <w:jc w:val="right"/>
              <w:rPr>
                <w:rFonts w:cs="Tahoma"/>
                <w:sz w:val="16"/>
                <w:szCs w:val="16"/>
              </w:rPr>
            </w:pPr>
            <w:r w:rsidRPr="004B3DE4">
              <w:rPr>
                <w:rFonts w:cs="Tahoma"/>
                <w:sz w:val="16"/>
                <w:szCs w:val="16"/>
              </w:rPr>
              <w:t>15,4</w:t>
            </w:r>
          </w:p>
        </w:tc>
        <w:tc>
          <w:tcPr>
            <w:tcW w:w="500" w:type="pct"/>
            <w:tcBorders>
              <w:top w:val="nil"/>
              <w:left w:val="nil"/>
              <w:bottom w:val="nil"/>
            </w:tcBorders>
            <w:vAlign w:val="center"/>
          </w:tcPr>
          <w:p w:rsidR="00565FD5" w:rsidRPr="004B3DE4" w:rsidRDefault="00565FD5" w:rsidP="00AB62A3">
            <w:pPr>
              <w:ind w:firstLine="120"/>
              <w:jc w:val="right"/>
              <w:rPr>
                <w:rFonts w:cs="Tahoma"/>
                <w:sz w:val="16"/>
                <w:szCs w:val="16"/>
              </w:rPr>
            </w:pPr>
            <w:r w:rsidRPr="004B3DE4">
              <w:rPr>
                <w:rFonts w:cs="Tahoma"/>
                <w:sz w:val="16"/>
                <w:szCs w:val="16"/>
              </w:rPr>
              <w:t>15,3</w:t>
            </w:r>
          </w:p>
        </w:tc>
        <w:tc>
          <w:tcPr>
            <w:tcW w:w="500" w:type="pct"/>
            <w:vAlign w:val="center"/>
          </w:tcPr>
          <w:p w:rsidR="00565FD5" w:rsidRPr="004B3DE4" w:rsidRDefault="00565FD5" w:rsidP="00AB62A3">
            <w:pPr>
              <w:ind w:firstLine="120"/>
              <w:jc w:val="right"/>
              <w:rPr>
                <w:rFonts w:cs="Tahoma"/>
                <w:sz w:val="16"/>
                <w:szCs w:val="16"/>
              </w:rPr>
            </w:pPr>
            <w:r w:rsidRPr="004B3DE4">
              <w:rPr>
                <w:rFonts w:cs="Tahoma"/>
                <w:sz w:val="16"/>
                <w:szCs w:val="16"/>
              </w:rPr>
              <w:t>15,6</w:t>
            </w:r>
          </w:p>
        </w:tc>
        <w:tc>
          <w:tcPr>
            <w:tcW w:w="493" w:type="pct"/>
            <w:tcBorders>
              <w:right w:val="single" w:sz="4" w:space="0" w:color="auto"/>
            </w:tcBorders>
            <w:vAlign w:val="center"/>
          </w:tcPr>
          <w:p w:rsidR="00565FD5" w:rsidRPr="004B3DE4" w:rsidRDefault="00565FD5" w:rsidP="00AB62A3">
            <w:pPr>
              <w:ind w:right="170" w:firstLine="120"/>
              <w:jc w:val="right"/>
              <w:rPr>
                <w:rFonts w:cs="Tahoma"/>
                <w:sz w:val="16"/>
                <w:szCs w:val="16"/>
              </w:rPr>
            </w:pPr>
            <w:r w:rsidRPr="004B3DE4">
              <w:rPr>
                <w:rFonts w:cs="Tahoma"/>
                <w:sz w:val="16"/>
                <w:szCs w:val="16"/>
              </w:rPr>
              <w:t>15,5</w:t>
            </w:r>
          </w:p>
        </w:tc>
      </w:tr>
      <w:tr w:rsidR="00565FD5" w:rsidRPr="004B3DE4" w:rsidTr="00AB62A3">
        <w:trPr>
          <w:trHeight w:val="284"/>
        </w:trPr>
        <w:tc>
          <w:tcPr>
            <w:tcW w:w="1995" w:type="pct"/>
            <w:gridSpan w:val="3"/>
            <w:tcBorders>
              <w:top w:val="nil"/>
              <w:left w:val="single" w:sz="4" w:space="0" w:color="auto"/>
              <w:bottom w:val="nil"/>
            </w:tcBorders>
            <w:tcMar>
              <w:top w:w="15" w:type="dxa"/>
              <w:left w:w="15" w:type="dxa"/>
              <w:bottom w:w="0" w:type="dxa"/>
              <w:right w:w="15" w:type="dxa"/>
            </w:tcMar>
            <w:vAlign w:val="center"/>
          </w:tcPr>
          <w:p w:rsidR="00565FD5" w:rsidRPr="004B3DE4" w:rsidRDefault="00565FD5" w:rsidP="00AB62A3">
            <w:pPr>
              <w:ind w:firstLine="120"/>
              <w:rPr>
                <w:rFonts w:cs="Tahoma"/>
                <w:sz w:val="16"/>
                <w:szCs w:val="16"/>
              </w:rPr>
            </w:pPr>
            <w:r w:rsidRPr="004B3DE4">
              <w:rPr>
                <w:rFonts w:cs="Tahoma"/>
                <w:sz w:val="16"/>
                <w:szCs w:val="16"/>
              </w:rPr>
              <w:t>Dördüncü Yüzde 20</w:t>
            </w:r>
          </w:p>
        </w:tc>
        <w:tc>
          <w:tcPr>
            <w:tcW w:w="13" w:type="pct"/>
            <w:vAlign w:val="center"/>
          </w:tcPr>
          <w:p w:rsidR="00565FD5" w:rsidRPr="004B3DE4" w:rsidRDefault="00565FD5" w:rsidP="00AB62A3">
            <w:pPr>
              <w:ind w:firstLine="120"/>
              <w:jc w:val="right"/>
              <w:rPr>
                <w:rFonts w:cs="Tahoma"/>
                <w:sz w:val="16"/>
                <w:szCs w:val="16"/>
              </w:rPr>
            </w:pPr>
          </w:p>
        </w:tc>
        <w:tc>
          <w:tcPr>
            <w:tcW w:w="500" w:type="pct"/>
            <w:vAlign w:val="center"/>
          </w:tcPr>
          <w:p w:rsidR="00565FD5" w:rsidRPr="004B3DE4" w:rsidRDefault="00565FD5" w:rsidP="00AB62A3">
            <w:pPr>
              <w:ind w:firstLine="120"/>
              <w:jc w:val="right"/>
              <w:rPr>
                <w:rFonts w:cs="Tahoma"/>
                <w:sz w:val="16"/>
                <w:szCs w:val="16"/>
              </w:rPr>
            </w:pPr>
            <w:r w:rsidRPr="004B3DE4">
              <w:rPr>
                <w:rFonts w:cs="Tahoma"/>
                <w:sz w:val="16"/>
                <w:szCs w:val="16"/>
              </w:rPr>
              <w:t>22,1</w:t>
            </w:r>
          </w:p>
        </w:tc>
        <w:tc>
          <w:tcPr>
            <w:tcW w:w="500" w:type="pct"/>
            <w:vAlign w:val="center"/>
          </w:tcPr>
          <w:p w:rsidR="00565FD5" w:rsidRPr="004B3DE4" w:rsidRDefault="00565FD5" w:rsidP="00AB62A3">
            <w:pPr>
              <w:ind w:firstLine="120"/>
              <w:jc w:val="right"/>
              <w:rPr>
                <w:rFonts w:cs="Tahoma"/>
                <w:sz w:val="16"/>
                <w:szCs w:val="16"/>
              </w:rPr>
            </w:pPr>
            <w:r w:rsidRPr="004B3DE4">
              <w:rPr>
                <w:rFonts w:cs="Tahoma"/>
                <w:sz w:val="16"/>
                <w:szCs w:val="16"/>
              </w:rPr>
              <w:t>21,8</w:t>
            </w:r>
          </w:p>
        </w:tc>
        <w:tc>
          <w:tcPr>
            <w:tcW w:w="500" w:type="pct"/>
            <w:vAlign w:val="center"/>
          </w:tcPr>
          <w:p w:rsidR="00565FD5" w:rsidRPr="004B3DE4" w:rsidRDefault="00565FD5" w:rsidP="00AB62A3">
            <w:pPr>
              <w:ind w:firstLine="120"/>
              <w:jc w:val="right"/>
              <w:rPr>
                <w:rFonts w:cs="Tahoma"/>
                <w:sz w:val="16"/>
                <w:szCs w:val="16"/>
              </w:rPr>
            </w:pPr>
            <w:r w:rsidRPr="004B3DE4">
              <w:rPr>
                <w:rFonts w:cs="Tahoma"/>
                <w:sz w:val="16"/>
                <w:szCs w:val="16"/>
              </w:rPr>
              <w:t>22,0</w:t>
            </w:r>
          </w:p>
        </w:tc>
        <w:tc>
          <w:tcPr>
            <w:tcW w:w="500" w:type="pct"/>
            <w:tcBorders>
              <w:top w:val="nil"/>
              <w:left w:val="nil"/>
              <w:bottom w:val="nil"/>
            </w:tcBorders>
            <w:vAlign w:val="center"/>
          </w:tcPr>
          <w:p w:rsidR="00565FD5" w:rsidRPr="004B3DE4" w:rsidRDefault="00565FD5" w:rsidP="00AB62A3">
            <w:pPr>
              <w:ind w:firstLine="120"/>
              <w:jc w:val="right"/>
              <w:rPr>
                <w:rFonts w:cs="Tahoma"/>
                <w:sz w:val="16"/>
                <w:szCs w:val="16"/>
              </w:rPr>
            </w:pPr>
            <w:r w:rsidRPr="004B3DE4">
              <w:rPr>
                <w:rFonts w:cs="Tahoma"/>
                <w:sz w:val="16"/>
                <w:szCs w:val="16"/>
              </w:rPr>
              <w:t>21,9</w:t>
            </w:r>
          </w:p>
        </w:tc>
        <w:tc>
          <w:tcPr>
            <w:tcW w:w="500" w:type="pct"/>
            <w:vAlign w:val="center"/>
          </w:tcPr>
          <w:p w:rsidR="00565FD5" w:rsidRPr="004B3DE4" w:rsidRDefault="00565FD5" w:rsidP="00AB62A3">
            <w:pPr>
              <w:ind w:firstLine="120"/>
              <w:jc w:val="right"/>
              <w:rPr>
                <w:rFonts w:cs="Tahoma"/>
                <w:sz w:val="16"/>
                <w:szCs w:val="16"/>
              </w:rPr>
            </w:pPr>
            <w:r w:rsidRPr="004B3DE4">
              <w:rPr>
                <w:rFonts w:cs="Tahoma"/>
                <w:sz w:val="16"/>
                <w:szCs w:val="16"/>
              </w:rPr>
              <w:t>21,9</w:t>
            </w:r>
          </w:p>
        </w:tc>
        <w:tc>
          <w:tcPr>
            <w:tcW w:w="493" w:type="pct"/>
            <w:tcBorders>
              <w:right w:val="single" w:sz="4" w:space="0" w:color="auto"/>
            </w:tcBorders>
            <w:vAlign w:val="center"/>
          </w:tcPr>
          <w:p w:rsidR="00565FD5" w:rsidRPr="004B3DE4" w:rsidRDefault="00565FD5" w:rsidP="00AB62A3">
            <w:pPr>
              <w:ind w:right="170" w:firstLine="120"/>
              <w:jc w:val="right"/>
              <w:rPr>
                <w:rFonts w:cs="Tahoma"/>
                <w:sz w:val="16"/>
                <w:szCs w:val="16"/>
              </w:rPr>
            </w:pPr>
            <w:r w:rsidRPr="004B3DE4">
              <w:rPr>
                <w:rFonts w:cs="Tahoma"/>
                <w:sz w:val="16"/>
                <w:szCs w:val="16"/>
              </w:rPr>
              <w:t>21,9</w:t>
            </w:r>
          </w:p>
        </w:tc>
      </w:tr>
      <w:tr w:rsidR="00565FD5" w:rsidRPr="004B3DE4" w:rsidTr="00AB62A3">
        <w:trPr>
          <w:trHeight w:val="284"/>
        </w:trPr>
        <w:tc>
          <w:tcPr>
            <w:tcW w:w="1995" w:type="pct"/>
            <w:gridSpan w:val="3"/>
            <w:tcBorders>
              <w:top w:val="nil"/>
              <w:left w:val="single" w:sz="4" w:space="0" w:color="auto"/>
              <w:bottom w:val="nil"/>
            </w:tcBorders>
            <w:tcMar>
              <w:top w:w="15" w:type="dxa"/>
              <w:left w:w="15" w:type="dxa"/>
              <w:bottom w:w="0" w:type="dxa"/>
              <w:right w:w="15" w:type="dxa"/>
            </w:tcMar>
            <w:vAlign w:val="center"/>
          </w:tcPr>
          <w:p w:rsidR="00565FD5" w:rsidRPr="004B3DE4" w:rsidRDefault="00565FD5" w:rsidP="00AB62A3">
            <w:pPr>
              <w:ind w:firstLine="120"/>
              <w:rPr>
                <w:rFonts w:cs="Tahoma"/>
                <w:sz w:val="16"/>
                <w:szCs w:val="16"/>
              </w:rPr>
            </w:pPr>
            <w:r w:rsidRPr="004B3DE4">
              <w:rPr>
                <w:rFonts w:cs="Tahoma"/>
                <w:sz w:val="16"/>
                <w:szCs w:val="16"/>
              </w:rPr>
              <w:t>Beşinci Yüzde 20 (En zengin)</w:t>
            </w:r>
          </w:p>
        </w:tc>
        <w:tc>
          <w:tcPr>
            <w:tcW w:w="13" w:type="pct"/>
            <w:vAlign w:val="center"/>
          </w:tcPr>
          <w:p w:rsidR="00565FD5" w:rsidRPr="004B3DE4" w:rsidRDefault="00565FD5" w:rsidP="00AB62A3">
            <w:pPr>
              <w:ind w:firstLine="120"/>
              <w:jc w:val="right"/>
              <w:rPr>
                <w:rFonts w:cs="Tahoma"/>
                <w:sz w:val="16"/>
                <w:szCs w:val="16"/>
              </w:rPr>
            </w:pPr>
          </w:p>
        </w:tc>
        <w:tc>
          <w:tcPr>
            <w:tcW w:w="500" w:type="pct"/>
            <w:vAlign w:val="center"/>
          </w:tcPr>
          <w:p w:rsidR="00565FD5" w:rsidRPr="004B3DE4" w:rsidRDefault="00565FD5" w:rsidP="00AB62A3">
            <w:pPr>
              <w:ind w:firstLine="120"/>
              <w:jc w:val="right"/>
              <w:rPr>
                <w:rFonts w:cs="Tahoma"/>
                <w:sz w:val="16"/>
                <w:szCs w:val="16"/>
              </w:rPr>
            </w:pPr>
            <w:r w:rsidRPr="004B3DE4">
              <w:rPr>
                <w:rFonts w:cs="Tahoma"/>
                <w:sz w:val="16"/>
                <w:szCs w:val="16"/>
              </w:rPr>
              <w:t>46,5</w:t>
            </w:r>
          </w:p>
        </w:tc>
        <w:tc>
          <w:tcPr>
            <w:tcW w:w="500" w:type="pct"/>
            <w:vAlign w:val="center"/>
          </w:tcPr>
          <w:p w:rsidR="00565FD5" w:rsidRPr="004B3DE4" w:rsidRDefault="00565FD5" w:rsidP="00AB62A3">
            <w:pPr>
              <w:ind w:firstLine="120"/>
              <w:jc w:val="right"/>
              <w:rPr>
                <w:rFonts w:cs="Tahoma"/>
                <w:sz w:val="16"/>
                <w:szCs w:val="16"/>
              </w:rPr>
            </w:pPr>
            <w:r w:rsidRPr="004B3DE4">
              <w:rPr>
                <w:rFonts w:cs="Tahoma"/>
                <w:sz w:val="16"/>
                <w:szCs w:val="16"/>
              </w:rPr>
              <w:t>45,5</w:t>
            </w:r>
          </w:p>
        </w:tc>
        <w:tc>
          <w:tcPr>
            <w:tcW w:w="500" w:type="pct"/>
            <w:vAlign w:val="center"/>
          </w:tcPr>
          <w:p w:rsidR="00565FD5" w:rsidRPr="004B3DE4" w:rsidRDefault="00565FD5" w:rsidP="00AB62A3">
            <w:pPr>
              <w:ind w:firstLine="120"/>
              <w:jc w:val="right"/>
              <w:rPr>
                <w:rFonts w:cs="Tahoma"/>
                <w:sz w:val="16"/>
                <w:szCs w:val="16"/>
              </w:rPr>
            </w:pPr>
            <w:r w:rsidRPr="004B3DE4">
              <w:rPr>
                <w:rFonts w:cs="Tahoma"/>
                <w:sz w:val="16"/>
                <w:szCs w:val="16"/>
              </w:rPr>
              <w:t>45,3</w:t>
            </w:r>
          </w:p>
        </w:tc>
        <w:tc>
          <w:tcPr>
            <w:tcW w:w="500" w:type="pct"/>
            <w:tcBorders>
              <w:top w:val="nil"/>
              <w:left w:val="nil"/>
              <w:bottom w:val="nil"/>
            </w:tcBorders>
            <w:vAlign w:val="center"/>
          </w:tcPr>
          <w:p w:rsidR="00565FD5" w:rsidRPr="004B3DE4" w:rsidRDefault="00565FD5" w:rsidP="00AB62A3">
            <w:pPr>
              <w:ind w:firstLine="120"/>
              <w:jc w:val="right"/>
              <w:rPr>
                <w:rFonts w:cs="Tahoma"/>
                <w:sz w:val="16"/>
                <w:szCs w:val="16"/>
              </w:rPr>
            </w:pPr>
            <w:r w:rsidRPr="004B3DE4">
              <w:rPr>
                <w:rFonts w:cs="Tahoma"/>
                <w:sz w:val="16"/>
                <w:szCs w:val="16"/>
              </w:rPr>
              <w:t>46,0</w:t>
            </w:r>
          </w:p>
        </w:tc>
        <w:tc>
          <w:tcPr>
            <w:tcW w:w="500" w:type="pct"/>
            <w:vAlign w:val="center"/>
          </w:tcPr>
          <w:p w:rsidR="00565FD5" w:rsidRPr="004B3DE4" w:rsidRDefault="00565FD5" w:rsidP="00AB62A3">
            <w:pPr>
              <w:ind w:firstLine="120"/>
              <w:jc w:val="right"/>
              <w:rPr>
                <w:rFonts w:cs="Tahoma"/>
                <w:sz w:val="16"/>
                <w:szCs w:val="16"/>
              </w:rPr>
            </w:pPr>
            <w:r w:rsidRPr="004B3DE4">
              <w:rPr>
                <w:rFonts w:cs="Tahoma"/>
                <w:sz w:val="16"/>
                <w:szCs w:val="16"/>
              </w:rPr>
              <w:t>44,9</w:t>
            </w:r>
          </w:p>
        </w:tc>
        <w:tc>
          <w:tcPr>
            <w:tcW w:w="493" w:type="pct"/>
            <w:tcBorders>
              <w:right w:val="single" w:sz="4" w:space="0" w:color="auto"/>
            </w:tcBorders>
            <w:vAlign w:val="center"/>
          </w:tcPr>
          <w:p w:rsidR="00565FD5" w:rsidRPr="004B3DE4" w:rsidRDefault="00565FD5" w:rsidP="00AB62A3">
            <w:pPr>
              <w:ind w:right="170" w:firstLine="120"/>
              <w:jc w:val="right"/>
              <w:rPr>
                <w:rFonts w:cs="Tahoma"/>
                <w:sz w:val="16"/>
                <w:szCs w:val="16"/>
              </w:rPr>
            </w:pPr>
            <w:r w:rsidRPr="004B3DE4">
              <w:rPr>
                <w:rFonts w:cs="Tahoma"/>
                <w:sz w:val="16"/>
                <w:szCs w:val="16"/>
              </w:rPr>
              <w:t>45,2</w:t>
            </w:r>
          </w:p>
        </w:tc>
      </w:tr>
      <w:tr w:rsidR="00565FD5" w:rsidRPr="004B3DE4" w:rsidTr="00AB62A3">
        <w:trPr>
          <w:trHeight w:val="284"/>
        </w:trPr>
        <w:tc>
          <w:tcPr>
            <w:tcW w:w="1995" w:type="pct"/>
            <w:gridSpan w:val="3"/>
            <w:tcBorders>
              <w:top w:val="nil"/>
              <w:left w:val="single" w:sz="4" w:space="0" w:color="auto"/>
              <w:bottom w:val="single" w:sz="4" w:space="0" w:color="auto"/>
              <w:right w:val="nil"/>
            </w:tcBorders>
            <w:tcMar>
              <w:top w:w="15" w:type="dxa"/>
              <w:left w:w="15" w:type="dxa"/>
              <w:bottom w:w="0" w:type="dxa"/>
              <w:right w:w="15" w:type="dxa"/>
            </w:tcMar>
            <w:vAlign w:val="center"/>
          </w:tcPr>
          <w:p w:rsidR="00565FD5" w:rsidRPr="004B3DE4" w:rsidRDefault="00565FD5" w:rsidP="00AB62A3">
            <w:pPr>
              <w:ind w:firstLine="120"/>
              <w:rPr>
                <w:rFonts w:cs="Tahoma"/>
                <w:sz w:val="16"/>
                <w:szCs w:val="16"/>
              </w:rPr>
            </w:pPr>
            <w:r w:rsidRPr="004B3DE4">
              <w:rPr>
                <w:rFonts w:cs="Tahoma"/>
                <w:sz w:val="16"/>
                <w:szCs w:val="16"/>
              </w:rPr>
              <w:t>Toplam</w:t>
            </w:r>
          </w:p>
        </w:tc>
        <w:tc>
          <w:tcPr>
            <w:tcW w:w="13" w:type="pct"/>
            <w:tcBorders>
              <w:top w:val="nil"/>
              <w:left w:val="nil"/>
              <w:bottom w:val="single" w:sz="4" w:space="0" w:color="auto"/>
              <w:right w:val="nil"/>
            </w:tcBorders>
            <w:vAlign w:val="center"/>
          </w:tcPr>
          <w:p w:rsidR="00565FD5" w:rsidRPr="004B3DE4" w:rsidRDefault="00565FD5" w:rsidP="00AB62A3">
            <w:pPr>
              <w:ind w:firstLine="120"/>
              <w:jc w:val="right"/>
              <w:rPr>
                <w:rFonts w:cs="Tahoma"/>
                <w:sz w:val="16"/>
                <w:szCs w:val="16"/>
              </w:rPr>
            </w:pPr>
          </w:p>
        </w:tc>
        <w:tc>
          <w:tcPr>
            <w:tcW w:w="500" w:type="pct"/>
            <w:tcBorders>
              <w:top w:val="nil"/>
              <w:left w:val="nil"/>
              <w:bottom w:val="single" w:sz="4" w:space="0" w:color="auto"/>
              <w:right w:val="nil"/>
            </w:tcBorders>
            <w:vAlign w:val="center"/>
          </w:tcPr>
          <w:p w:rsidR="00565FD5" w:rsidRPr="004B3DE4" w:rsidRDefault="00565FD5" w:rsidP="00AB62A3">
            <w:pPr>
              <w:ind w:firstLine="120"/>
              <w:jc w:val="right"/>
              <w:rPr>
                <w:rFonts w:cs="Tahoma"/>
                <w:sz w:val="16"/>
                <w:szCs w:val="16"/>
              </w:rPr>
            </w:pPr>
            <w:r w:rsidRPr="004B3DE4">
              <w:rPr>
                <w:rFonts w:cs="Tahoma"/>
                <w:sz w:val="16"/>
                <w:szCs w:val="16"/>
              </w:rPr>
              <w:t>100,0</w:t>
            </w:r>
          </w:p>
        </w:tc>
        <w:tc>
          <w:tcPr>
            <w:tcW w:w="500" w:type="pct"/>
            <w:tcBorders>
              <w:top w:val="nil"/>
              <w:left w:val="nil"/>
              <w:bottom w:val="single" w:sz="4" w:space="0" w:color="auto"/>
              <w:right w:val="nil"/>
            </w:tcBorders>
            <w:vAlign w:val="center"/>
          </w:tcPr>
          <w:p w:rsidR="00565FD5" w:rsidRPr="004B3DE4" w:rsidRDefault="00565FD5" w:rsidP="00AB62A3">
            <w:pPr>
              <w:ind w:firstLine="120"/>
              <w:jc w:val="right"/>
              <w:rPr>
                <w:rFonts w:cs="Tahoma"/>
                <w:sz w:val="16"/>
                <w:szCs w:val="16"/>
              </w:rPr>
            </w:pPr>
            <w:r w:rsidRPr="004B3DE4">
              <w:rPr>
                <w:rFonts w:cs="Tahoma"/>
                <w:sz w:val="16"/>
                <w:szCs w:val="16"/>
              </w:rPr>
              <w:t>100,0</w:t>
            </w:r>
          </w:p>
        </w:tc>
        <w:tc>
          <w:tcPr>
            <w:tcW w:w="500" w:type="pct"/>
            <w:tcBorders>
              <w:top w:val="nil"/>
              <w:left w:val="nil"/>
              <w:bottom w:val="single" w:sz="4" w:space="0" w:color="auto"/>
              <w:right w:val="nil"/>
            </w:tcBorders>
            <w:vAlign w:val="center"/>
          </w:tcPr>
          <w:p w:rsidR="00565FD5" w:rsidRPr="004B3DE4" w:rsidRDefault="00565FD5" w:rsidP="00AB62A3">
            <w:pPr>
              <w:ind w:firstLine="120"/>
              <w:jc w:val="right"/>
              <w:rPr>
                <w:rFonts w:cs="Tahoma"/>
                <w:sz w:val="16"/>
                <w:szCs w:val="16"/>
              </w:rPr>
            </w:pPr>
            <w:r w:rsidRPr="004B3DE4">
              <w:rPr>
                <w:rFonts w:cs="Tahoma"/>
                <w:sz w:val="16"/>
                <w:szCs w:val="16"/>
              </w:rPr>
              <w:t>100,0</w:t>
            </w:r>
          </w:p>
        </w:tc>
        <w:tc>
          <w:tcPr>
            <w:tcW w:w="500" w:type="pct"/>
            <w:tcBorders>
              <w:top w:val="nil"/>
              <w:left w:val="nil"/>
              <w:bottom w:val="single" w:sz="4" w:space="0" w:color="auto"/>
            </w:tcBorders>
            <w:vAlign w:val="center"/>
          </w:tcPr>
          <w:p w:rsidR="00565FD5" w:rsidRPr="004B3DE4" w:rsidRDefault="00565FD5" w:rsidP="00AB62A3">
            <w:pPr>
              <w:ind w:firstLine="120"/>
              <w:jc w:val="right"/>
              <w:rPr>
                <w:rFonts w:cs="Tahoma"/>
                <w:sz w:val="16"/>
                <w:szCs w:val="16"/>
              </w:rPr>
            </w:pPr>
            <w:r w:rsidRPr="004B3DE4">
              <w:rPr>
                <w:rFonts w:cs="Tahoma"/>
                <w:sz w:val="16"/>
                <w:szCs w:val="16"/>
              </w:rPr>
              <w:t>100,0</w:t>
            </w:r>
          </w:p>
        </w:tc>
        <w:tc>
          <w:tcPr>
            <w:tcW w:w="500" w:type="pct"/>
            <w:tcBorders>
              <w:bottom w:val="single" w:sz="4" w:space="0" w:color="auto"/>
            </w:tcBorders>
            <w:vAlign w:val="center"/>
          </w:tcPr>
          <w:p w:rsidR="00565FD5" w:rsidRPr="004B3DE4" w:rsidRDefault="00565FD5" w:rsidP="00AB62A3">
            <w:pPr>
              <w:ind w:firstLine="120"/>
              <w:jc w:val="right"/>
              <w:rPr>
                <w:rFonts w:cs="Tahoma"/>
                <w:sz w:val="16"/>
                <w:szCs w:val="16"/>
              </w:rPr>
            </w:pPr>
            <w:r w:rsidRPr="004B3DE4">
              <w:rPr>
                <w:rFonts w:cs="Tahoma"/>
                <w:sz w:val="16"/>
                <w:szCs w:val="16"/>
              </w:rPr>
              <w:t>100,0</w:t>
            </w:r>
          </w:p>
        </w:tc>
        <w:tc>
          <w:tcPr>
            <w:tcW w:w="493" w:type="pct"/>
            <w:tcBorders>
              <w:bottom w:val="single" w:sz="4" w:space="0" w:color="auto"/>
              <w:right w:val="single" w:sz="4" w:space="0" w:color="auto"/>
            </w:tcBorders>
            <w:vAlign w:val="center"/>
          </w:tcPr>
          <w:p w:rsidR="00565FD5" w:rsidRPr="004B3DE4" w:rsidRDefault="00565FD5" w:rsidP="00AB62A3">
            <w:pPr>
              <w:ind w:right="170" w:firstLine="120"/>
              <w:jc w:val="right"/>
              <w:rPr>
                <w:rFonts w:cs="Tahoma"/>
                <w:sz w:val="16"/>
                <w:szCs w:val="16"/>
              </w:rPr>
            </w:pPr>
            <w:r w:rsidRPr="004B3DE4">
              <w:rPr>
                <w:rFonts w:cs="Tahoma"/>
                <w:sz w:val="16"/>
                <w:szCs w:val="16"/>
              </w:rPr>
              <w:t>100,0</w:t>
            </w:r>
          </w:p>
        </w:tc>
      </w:tr>
      <w:tr w:rsidR="00565FD5" w:rsidRPr="004B3DE4" w:rsidTr="00AB62A3">
        <w:trPr>
          <w:trHeight w:val="284"/>
        </w:trPr>
        <w:tc>
          <w:tcPr>
            <w:tcW w:w="1311" w:type="pct"/>
            <w:tcBorders>
              <w:top w:val="single" w:sz="4" w:space="0" w:color="auto"/>
              <w:left w:val="single" w:sz="4" w:space="0" w:color="auto"/>
              <w:bottom w:val="single" w:sz="4" w:space="0" w:color="auto"/>
              <w:right w:val="nil"/>
            </w:tcBorders>
            <w:tcMar>
              <w:top w:w="15" w:type="dxa"/>
              <w:left w:w="15" w:type="dxa"/>
              <w:bottom w:w="0" w:type="dxa"/>
              <w:right w:w="15" w:type="dxa"/>
            </w:tcMar>
            <w:vAlign w:val="center"/>
          </w:tcPr>
          <w:p w:rsidR="00565FD5" w:rsidRPr="004B3DE4" w:rsidRDefault="00565FD5" w:rsidP="00AB62A3">
            <w:pPr>
              <w:ind w:firstLine="120"/>
              <w:rPr>
                <w:rFonts w:eastAsia="Arial Unicode MS" w:cs="Tahoma"/>
                <w:b/>
                <w:sz w:val="16"/>
                <w:szCs w:val="16"/>
              </w:rPr>
            </w:pPr>
            <w:r w:rsidRPr="004B3DE4">
              <w:rPr>
                <w:rFonts w:cs="Tahoma"/>
                <w:sz w:val="16"/>
                <w:szCs w:val="16"/>
              </w:rPr>
              <w:t>Gini Katsayısı</w:t>
            </w:r>
          </w:p>
        </w:tc>
        <w:tc>
          <w:tcPr>
            <w:tcW w:w="313" w:type="pct"/>
            <w:tcBorders>
              <w:top w:val="single" w:sz="4" w:space="0" w:color="auto"/>
              <w:left w:val="nil"/>
              <w:bottom w:val="single" w:sz="4" w:space="0" w:color="auto"/>
              <w:right w:val="nil"/>
            </w:tcBorders>
            <w:tcMar>
              <w:top w:w="15" w:type="dxa"/>
              <w:left w:w="15" w:type="dxa"/>
              <w:bottom w:w="0" w:type="dxa"/>
              <w:right w:w="15" w:type="dxa"/>
            </w:tcMar>
            <w:vAlign w:val="center"/>
          </w:tcPr>
          <w:p w:rsidR="00565FD5" w:rsidRPr="004B3DE4" w:rsidRDefault="00565FD5" w:rsidP="00AB62A3">
            <w:pPr>
              <w:ind w:firstLine="120"/>
              <w:jc w:val="right"/>
              <w:rPr>
                <w:rFonts w:cs="Tahoma"/>
                <w:sz w:val="16"/>
                <w:szCs w:val="16"/>
              </w:rPr>
            </w:pPr>
          </w:p>
        </w:tc>
        <w:tc>
          <w:tcPr>
            <w:tcW w:w="371" w:type="pct"/>
            <w:tcBorders>
              <w:top w:val="single" w:sz="4" w:space="0" w:color="auto"/>
              <w:left w:val="nil"/>
              <w:bottom w:val="single" w:sz="4" w:space="0" w:color="auto"/>
              <w:right w:val="nil"/>
            </w:tcBorders>
            <w:noWrap/>
            <w:tcMar>
              <w:top w:w="15" w:type="dxa"/>
              <w:left w:w="15" w:type="dxa"/>
              <w:bottom w:w="0" w:type="dxa"/>
              <w:right w:w="15" w:type="dxa"/>
            </w:tcMar>
            <w:vAlign w:val="center"/>
          </w:tcPr>
          <w:p w:rsidR="00565FD5" w:rsidRPr="004B3DE4" w:rsidRDefault="00565FD5" w:rsidP="00AB62A3">
            <w:pPr>
              <w:ind w:firstLine="120"/>
              <w:jc w:val="right"/>
              <w:rPr>
                <w:rFonts w:cs="Tahoma"/>
                <w:sz w:val="16"/>
                <w:szCs w:val="16"/>
              </w:rPr>
            </w:pPr>
          </w:p>
        </w:tc>
        <w:tc>
          <w:tcPr>
            <w:tcW w:w="13" w:type="pct"/>
            <w:tcBorders>
              <w:top w:val="single" w:sz="4" w:space="0" w:color="auto"/>
              <w:left w:val="nil"/>
              <w:bottom w:val="single" w:sz="4" w:space="0" w:color="auto"/>
              <w:right w:val="nil"/>
            </w:tcBorders>
            <w:vAlign w:val="center"/>
          </w:tcPr>
          <w:p w:rsidR="00565FD5" w:rsidRPr="004B3DE4" w:rsidRDefault="00565FD5" w:rsidP="00AB62A3">
            <w:pPr>
              <w:ind w:firstLine="120"/>
              <w:jc w:val="right"/>
              <w:rPr>
                <w:rFonts w:cs="Tahoma"/>
                <w:sz w:val="16"/>
                <w:szCs w:val="16"/>
              </w:rPr>
            </w:pPr>
          </w:p>
        </w:tc>
        <w:tc>
          <w:tcPr>
            <w:tcW w:w="500" w:type="pct"/>
            <w:tcBorders>
              <w:top w:val="single" w:sz="4" w:space="0" w:color="auto"/>
              <w:left w:val="nil"/>
              <w:bottom w:val="single" w:sz="4" w:space="0" w:color="auto"/>
              <w:right w:val="nil"/>
            </w:tcBorders>
            <w:vAlign w:val="center"/>
          </w:tcPr>
          <w:p w:rsidR="00565FD5" w:rsidRPr="004B3DE4" w:rsidRDefault="00565FD5" w:rsidP="00AB62A3">
            <w:pPr>
              <w:ind w:firstLine="120"/>
              <w:jc w:val="right"/>
              <w:rPr>
                <w:rFonts w:cs="Tahoma"/>
                <w:sz w:val="16"/>
                <w:szCs w:val="16"/>
              </w:rPr>
            </w:pPr>
            <w:r w:rsidRPr="004B3DE4">
              <w:rPr>
                <w:rFonts w:cs="Tahoma"/>
                <w:sz w:val="16"/>
                <w:szCs w:val="16"/>
              </w:rPr>
              <w:t>0,40</w:t>
            </w:r>
          </w:p>
        </w:tc>
        <w:tc>
          <w:tcPr>
            <w:tcW w:w="500" w:type="pct"/>
            <w:tcBorders>
              <w:top w:val="single" w:sz="4" w:space="0" w:color="auto"/>
              <w:left w:val="nil"/>
              <w:bottom w:val="single" w:sz="4" w:space="0" w:color="auto"/>
              <w:right w:val="nil"/>
            </w:tcBorders>
            <w:vAlign w:val="center"/>
          </w:tcPr>
          <w:p w:rsidR="00565FD5" w:rsidRPr="004B3DE4" w:rsidRDefault="00565FD5" w:rsidP="00AB62A3">
            <w:pPr>
              <w:ind w:firstLine="120"/>
              <w:jc w:val="right"/>
              <w:rPr>
                <w:rFonts w:cs="Tahoma"/>
                <w:sz w:val="16"/>
                <w:szCs w:val="16"/>
              </w:rPr>
            </w:pPr>
            <w:r w:rsidRPr="004B3DE4">
              <w:rPr>
                <w:rFonts w:cs="Tahoma"/>
                <w:sz w:val="16"/>
                <w:szCs w:val="16"/>
              </w:rPr>
              <w:t>0,39</w:t>
            </w:r>
          </w:p>
        </w:tc>
        <w:tc>
          <w:tcPr>
            <w:tcW w:w="500" w:type="pct"/>
            <w:tcBorders>
              <w:top w:val="single" w:sz="4" w:space="0" w:color="auto"/>
              <w:left w:val="nil"/>
              <w:bottom w:val="single" w:sz="4" w:space="0" w:color="auto"/>
              <w:right w:val="nil"/>
            </w:tcBorders>
            <w:vAlign w:val="center"/>
          </w:tcPr>
          <w:p w:rsidR="00565FD5" w:rsidRPr="004B3DE4" w:rsidRDefault="00565FD5" w:rsidP="00AB62A3">
            <w:pPr>
              <w:ind w:firstLine="120"/>
              <w:jc w:val="right"/>
              <w:rPr>
                <w:rFonts w:cs="Tahoma"/>
                <w:sz w:val="16"/>
                <w:szCs w:val="16"/>
              </w:rPr>
            </w:pPr>
            <w:r w:rsidRPr="004B3DE4">
              <w:rPr>
                <w:rFonts w:cs="Tahoma"/>
                <w:sz w:val="16"/>
                <w:szCs w:val="16"/>
              </w:rPr>
              <w:t>0,39</w:t>
            </w:r>
          </w:p>
        </w:tc>
        <w:tc>
          <w:tcPr>
            <w:tcW w:w="500" w:type="pct"/>
            <w:tcBorders>
              <w:top w:val="single" w:sz="4" w:space="0" w:color="auto"/>
              <w:left w:val="nil"/>
              <w:bottom w:val="single" w:sz="4" w:space="0" w:color="auto"/>
            </w:tcBorders>
            <w:vAlign w:val="center"/>
          </w:tcPr>
          <w:p w:rsidR="00565FD5" w:rsidRPr="004B3DE4" w:rsidRDefault="00565FD5" w:rsidP="00AB62A3">
            <w:pPr>
              <w:ind w:firstLine="120"/>
              <w:jc w:val="right"/>
              <w:rPr>
                <w:rFonts w:cs="Tahoma"/>
                <w:sz w:val="16"/>
                <w:szCs w:val="16"/>
              </w:rPr>
            </w:pPr>
            <w:r w:rsidRPr="004B3DE4">
              <w:rPr>
                <w:rFonts w:cs="Tahoma"/>
                <w:sz w:val="16"/>
                <w:szCs w:val="16"/>
              </w:rPr>
              <w:t>0,39</w:t>
            </w:r>
          </w:p>
        </w:tc>
        <w:tc>
          <w:tcPr>
            <w:tcW w:w="500" w:type="pct"/>
            <w:tcBorders>
              <w:top w:val="single" w:sz="4" w:space="0" w:color="auto"/>
              <w:bottom w:val="single" w:sz="4" w:space="0" w:color="auto"/>
            </w:tcBorders>
            <w:vAlign w:val="center"/>
          </w:tcPr>
          <w:p w:rsidR="00565FD5" w:rsidRPr="004B3DE4" w:rsidRDefault="00565FD5" w:rsidP="00AB62A3">
            <w:pPr>
              <w:ind w:firstLine="120"/>
              <w:jc w:val="right"/>
              <w:rPr>
                <w:rFonts w:cs="Tahoma"/>
                <w:sz w:val="16"/>
                <w:szCs w:val="16"/>
              </w:rPr>
            </w:pPr>
            <w:r w:rsidRPr="004B3DE4">
              <w:rPr>
                <w:rFonts w:cs="Tahoma"/>
                <w:sz w:val="16"/>
                <w:szCs w:val="16"/>
              </w:rPr>
              <w:t>0,38</w:t>
            </w:r>
          </w:p>
        </w:tc>
        <w:tc>
          <w:tcPr>
            <w:tcW w:w="493" w:type="pct"/>
            <w:tcBorders>
              <w:top w:val="single" w:sz="4" w:space="0" w:color="auto"/>
              <w:bottom w:val="single" w:sz="4" w:space="0" w:color="auto"/>
              <w:right w:val="single" w:sz="4" w:space="0" w:color="auto"/>
            </w:tcBorders>
            <w:vAlign w:val="center"/>
          </w:tcPr>
          <w:p w:rsidR="00565FD5" w:rsidRPr="004B3DE4" w:rsidRDefault="00565FD5" w:rsidP="00AB62A3">
            <w:pPr>
              <w:ind w:right="170" w:firstLine="120"/>
              <w:jc w:val="right"/>
              <w:rPr>
                <w:rFonts w:cs="Tahoma"/>
                <w:sz w:val="16"/>
                <w:szCs w:val="16"/>
              </w:rPr>
            </w:pPr>
            <w:r w:rsidRPr="004B3DE4">
              <w:rPr>
                <w:rFonts w:cs="Tahoma"/>
                <w:sz w:val="16"/>
                <w:szCs w:val="16"/>
              </w:rPr>
              <w:t>0,38</w:t>
            </w:r>
          </w:p>
        </w:tc>
      </w:tr>
    </w:tbl>
    <w:p w:rsidR="00565FD5" w:rsidRPr="004B3DE4" w:rsidRDefault="00565FD5" w:rsidP="00565FD5">
      <w:pPr>
        <w:spacing w:after="240"/>
        <w:rPr>
          <w:rFonts w:cs="Tahoma"/>
          <w:sz w:val="14"/>
          <w:szCs w:val="14"/>
        </w:rPr>
      </w:pPr>
      <w:r w:rsidRPr="004B3DE4">
        <w:rPr>
          <w:rFonts w:cs="Tahoma"/>
          <w:sz w:val="14"/>
          <w:szCs w:val="14"/>
        </w:rPr>
        <w:t>Kaynak: TÜİK, Gelir ve Yaşam Koşulları Araştırması Sonuçları</w:t>
      </w:r>
      <w:r>
        <w:rPr>
          <w:rFonts w:cs="Tahoma"/>
          <w:sz w:val="14"/>
          <w:szCs w:val="14"/>
        </w:rPr>
        <w:t>.</w:t>
      </w:r>
    </w:p>
    <w:p w:rsidR="00565FD5" w:rsidRDefault="00565FD5" w:rsidP="00565FD5">
      <w:pPr>
        <w:spacing w:after="180"/>
        <w:ind w:firstLine="425"/>
        <w:rPr>
          <w:rFonts w:cs="Tahoma"/>
          <w:szCs w:val="18"/>
        </w:rPr>
      </w:pPr>
      <w:r w:rsidRPr="004B3DE4">
        <w:rPr>
          <w:rFonts w:cs="Tahoma"/>
          <w:szCs w:val="18"/>
        </w:rPr>
        <w:t xml:space="preserve">Ülkemizin gelir dağılımına ilişkin göstergelerinde 2006 yılından bu yana önemli iyileşmeler görülmektedir. Gini katsayısı 2006 yılında 0,40 iken 2010 ve 2011 yıllarında 0,38’e gerilemiştir. Gelir paylaşımının daha adil hale gelmesi ve </w:t>
      </w:r>
      <w:r w:rsidRPr="004B3DE4">
        <w:rPr>
          <w:rFonts w:cs="Tahoma"/>
          <w:szCs w:val="18"/>
        </w:rPr>
        <w:lastRenderedPageBreak/>
        <w:t xml:space="preserve">ekonomik büyüme, yoksul kesimin ortaya çıkan refah artışından daha fazla yararlanmasını sağlamaktadır. </w:t>
      </w:r>
    </w:p>
    <w:p w:rsidR="00565FD5" w:rsidRDefault="00565FD5" w:rsidP="00565FD5">
      <w:pPr>
        <w:spacing w:after="180"/>
        <w:ind w:firstLine="425"/>
        <w:rPr>
          <w:rFonts w:cs="Tahoma"/>
          <w:szCs w:val="18"/>
        </w:rPr>
      </w:pPr>
    </w:p>
    <w:p w:rsidR="00565FD5" w:rsidRDefault="00565FD5" w:rsidP="00565FD5">
      <w:pPr>
        <w:spacing w:after="180"/>
        <w:ind w:firstLine="425"/>
        <w:rPr>
          <w:rFonts w:cs="Tahoma"/>
          <w:szCs w:val="18"/>
        </w:rPr>
      </w:pPr>
    </w:p>
    <w:p w:rsidR="00565FD5" w:rsidRPr="0026379C" w:rsidRDefault="00565FD5" w:rsidP="00565FD5">
      <w:pPr>
        <w:pStyle w:val="ResimYazs"/>
        <w:rPr>
          <w:rFonts w:cs="Tahoma"/>
          <w:sz w:val="14"/>
          <w:szCs w:val="14"/>
        </w:rPr>
      </w:pPr>
      <w:bookmarkStart w:id="2539" w:name="_Toc213071735"/>
      <w:bookmarkStart w:id="2540" w:name="_Toc212712827"/>
      <w:bookmarkStart w:id="2541" w:name="_Toc338606058"/>
      <w:bookmarkStart w:id="2542" w:name="_Toc338711833"/>
      <w:bookmarkStart w:id="2543" w:name="_Toc276076527"/>
      <w:bookmarkStart w:id="2544" w:name="_Toc275873981"/>
      <w:bookmarkStart w:id="2545" w:name="_Toc307601714"/>
      <w:bookmarkStart w:id="2546" w:name="_Toc307657934"/>
      <w:bookmarkStart w:id="2547" w:name="_Toc307702192"/>
      <w:r>
        <w:t xml:space="preserve">TABLO IV: </w:t>
      </w:r>
      <w:fldSimple w:instr=" SEQ TABLO_IV: \* ARABIC ">
        <w:r>
          <w:rPr>
            <w:noProof/>
          </w:rPr>
          <w:t>63</w:t>
        </w:r>
      </w:fldSimple>
      <w:r w:rsidRPr="0026379C">
        <w:rPr>
          <w:rFonts w:eastAsia="Arial Unicode MS" w:cs="Tahoma"/>
          <w:szCs w:val="16"/>
        </w:rPr>
        <w:t xml:space="preserve">- </w:t>
      </w:r>
      <w:bookmarkEnd w:id="2539"/>
      <w:bookmarkEnd w:id="2540"/>
      <w:r w:rsidRPr="0026379C">
        <w:rPr>
          <w:rFonts w:eastAsia="Arial Unicode MS" w:cs="Tahoma"/>
          <w:szCs w:val="16"/>
        </w:rPr>
        <w:t>Çeşitli Yoksulluk Sınırı Yöntemlerine Göre Fert Yoksulluk Oranları</w:t>
      </w:r>
      <w:bookmarkEnd w:id="2541"/>
      <w:bookmarkEnd w:id="2542"/>
      <w:r w:rsidRPr="0026379C">
        <w:rPr>
          <w:rFonts w:eastAsia="Arial Unicode MS" w:cs="Tahoma"/>
          <w:szCs w:val="16"/>
        </w:rPr>
        <w:t xml:space="preserve"> </w:t>
      </w:r>
      <w:bookmarkEnd w:id="2543"/>
      <w:bookmarkEnd w:id="2544"/>
      <w:bookmarkEnd w:id="2545"/>
      <w:bookmarkEnd w:id="2546"/>
      <w:bookmarkEnd w:id="2547"/>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1E0"/>
      </w:tblPr>
      <w:tblGrid>
        <w:gridCol w:w="1969"/>
        <w:gridCol w:w="427"/>
        <w:gridCol w:w="554"/>
        <w:gridCol w:w="554"/>
        <w:gridCol w:w="554"/>
        <w:gridCol w:w="554"/>
        <w:gridCol w:w="596"/>
        <w:gridCol w:w="577"/>
        <w:gridCol w:w="760"/>
        <w:gridCol w:w="597"/>
      </w:tblGrid>
      <w:tr w:rsidR="00565FD5" w:rsidRPr="004B3DE4" w:rsidTr="00AB62A3">
        <w:trPr>
          <w:trHeight w:val="170"/>
        </w:trPr>
        <w:tc>
          <w:tcPr>
            <w:tcW w:w="1378" w:type="pct"/>
            <w:tcBorders>
              <w:top w:val="nil"/>
              <w:left w:val="nil"/>
              <w:right w:val="nil"/>
            </w:tcBorders>
            <w:vAlign w:val="center"/>
          </w:tcPr>
          <w:p w:rsidR="00565FD5" w:rsidRPr="004B3DE4" w:rsidRDefault="00565FD5" w:rsidP="00AB62A3">
            <w:pPr>
              <w:jc w:val="right"/>
              <w:rPr>
                <w:rFonts w:cs="Tahoma"/>
                <w:sz w:val="14"/>
                <w:szCs w:val="14"/>
              </w:rPr>
            </w:pPr>
          </w:p>
        </w:tc>
        <w:tc>
          <w:tcPr>
            <w:tcW w:w="298" w:type="pct"/>
            <w:tcBorders>
              <w:top w:val="nil"/>
              <w:left w:val="nil"/>
              <w:right w:val="nil"/>
            </w:tcBorders>
            <w:vAlign w:val="center"/>
          </w:tcPr>
          <w:p w:rsidR="00565FD5" w:rsidRPr="004B3DE4" w:rsidRDefault="00565FD5" w:rsidP="00AB62A3">
            <w:pPr>
              <w:jc w:val="right"/>
              <w:rPr>
                <w:rFonts w:cs="Tahoma"/>
                <w:b/>
                <w:bCs/>
                <w:sz w:val="14"/>
                <w:szCs w:val="14"/>
              </w:rPr>
            </w:pPr>
          </w:p>
        </w:tc>
        <w:tc>
          <w:tcPr>
            <w:tcW w:w="388" w:type="pct"/>
            <w:tcBorders>
              <w:top w:val="nil"/>
              <w:left w:val="nil"/>
              <w:right w:val="nil"/>
            </w:tcBorders>
            <w:vAlign w:val="center"/>
          </w:tcPr>
          <w:p w:rsidR="00565FD5" w:rsidRPr="004B3DE4" w:rsidRDefault="00565FD5" w:rsidP="00AB62A3">
            <w:pPr>
              <w:jc w:val="right"/>
              <w:rPr>
                <w:rFonts w:cs="Tahoma"/>
                <w:b/>
                <w:bCs/>
                <w:sz w:val="14"/>
                <w:szCs w:val="14"/>
              </w:rPr>
            </w:pPr>
          </w:p>
        </w:tc>
        <w:tc>
          <w:tcPr>
            <w:tcW w:w="388" w:type="pct"/>
            <w:tcBorders>
              <w:top w:val="nil"/>
              <w:left w:val="nil"/>
              <w:right w:val="nil"/>
            </w:tcBorders>
            <w:vAlign w:val="center"/>
          </w:tcPr>
          <w:p w:rsidR="00565FD5" w:rsidRPr="004B3DE4" w:rsidRDefault="00565FD5" w:rsidP="00AB62A3">
            <w:pPr>
              <w:jc w:val="right"/>
              <w:rPr>
                <w:rFonts w:cs="Tahoma"/>
                <w:b/>
                <w:bCs/>
                <w:sz w:val="14"/>
                <w:szCs w:val="14"/>
              </w:rPr>
            </w:pPr>
          </w:p>
        </w:tc>
        <w:tc>
          <w:tcPr>
            <w:tcW w:w="388" w:type="pct"/>
            <w:tcBorders>
              <w:top w:val="nil"/>
              <w:left w:val="nil"/>
              <w:right w:val="nil"/>
            </w:tcBorders>
            <w:vAlign w:val="center"/>
          </w:tcPr>
          <w:p w:rsidR="00565FD5" w:rsidRPr="004B3DE4" w:rsidRDefault="00565FD5" w:rsidP="00AB62A3">
            <w:pPr>
              <w:jc w:val="right"/>
              <w:rPr>
                <w:rFonts w:cs="Tahoma"/>
                <w:b/>
                <w:bCs/>
                <w:sz w:val="14"/>
                <w:szCs w:val="14"/>
              </w:rPr>
            </w:pPr>
          </w:p>
        </w:tc>
        <w:tc>
          <w:tcPr>
            <w:tcW w:w="388" w:type="pct"/>
            <w:tcBorders>
              <w:top w:val="nil"/>
              <w:left w:val="nil"/>
              <w:right w:val="nil"/>
            </w:tcBorders>
            <w:vAlign w:val="center"/>
          </w:tcPr>
          <w:p w:rsidR="00565FD5" w:rsidRPr="004B3DE4" w:rsidRDefault="00565FD5" w:rsidP="00AB62A3">
            <w:pPr>
              <w:jc w:val="right"/>
              <w:rPr>
                <w:rFonts w:cs="Tahoma"/>
                <w:b/>
                <w:bCs/>
                <w:sz w:val="14"/>
                <w:szCs w:val="14"/>
              </w:rPr>
            </w:pPr>
          </w:p>
        </w:tc>
        <w:tc>
          <w:tcPr>
            <w:tcW w:w="417" w:type="pct"/>
            <w:tcBorders>
              <w:top w:val="nil"/>
              <w:left w:val="nil"/>
              <w:right w:val="nil"/>
            </w:tcBorders>
            <w:vAlign w:val="center"/>
          </w:tcPr>
          <w:p w:rsidR="00565FD5" w:rsidRPr="004B3DE4" w:rsidRDefault="00565FD5" w:rsidP="00AB62A3">
            <w:pPr>
              <w:jc w:val="right"/>
              <w:rPr>
                <w:rFonts w:cs="Tahoma"/>
                <w:b/>
                <w:bCs/>
                <w:sz w:val="14"/>
                <w:szCs w:val="14"/>
              </w:rPr>
            </w:pPr>
          </w:p>
        </w:tc>
        <w:tc>
          <w:tcPr>
            <w:tcW w:w="404" w:type="pct"/>
            <w:tcBorders>
              <w:top w:val="nil"/>
              <w:left w:val="nil"/>
              <w:right w:val="nil"/>
            </w:tcBorders>
            <w:vAlign w:val="center"/>
          </w:tcPr>
          <w:p w:rsidR="00565FD5" w:rsidRPr="004B3DE4" w:rsidRDefault="00565FD5" w:rsidP="00AB62A3">
            <w:pPr>
              <w:jc w:val="right"/>
              <w:rPr>
                <w:rFonts w:cs="Tahoma"/>
                <w:b/>
                <w:bCs/>
                <w:sz w:val="14"/>
                <w:szCs w:val="14"/>
              </w:rPr>
            </w:pPr>
          </w:p>
        </w:tc>
        <w:tc>
          <w:tcPr>
            <w:tcW w:w="532" w:type="pct"/>
            <w:tcBorders>
              <w:top w:val="nil"/>
              <w:left w:val="nil"/>
              <w:right w:val="nil"/>
            </w:tcBorders>
            <w:vAlign w:val="center"/>
          </w:tcPr>
          <w:p w:rsidR="00565FD5" w:rsidRPr="004B3DE4" w:rsidRDefault="00565FD5" w:rsidP="00AB62A3">
            <w:pPr>
              <w:jc w:val="right"/>
              <w:rPr>
                <w:rFonts w:cs="Tahoma"/>
                <w:b/>
                <w:bCs/>
                <w:sz w:val="14"/>
                <w:szCs w:val="14"/>
              </w:rPr>
            </w:pPr>
          </w:p>
        </w:tc>
        <w:tc>
          <w:tcPr>
            <w:tcW w:w="418" w:type="pct"/>
            <w:tcBorders>
              <w:top w:val="nil"/>
              <w:left w:val="nil"/>
              <w:right w:val="nil"/>
            </w:tcBorders>
            <w:vAlign w:val="center"/>
          </w:tcPr>
          <w:p w:rsidR="00565FD5" w:rsidRPr="004B3DE4" w:rsidRDefault="00565FD5" w:rsidP="00AB62A3">
            <w:pPr>
              <w:ind w:right="113"/>
              <w:jc w:val="right"/>
              <w:rPr>
                <w:rFonts w:cs="Tahoma"/>
                <w:bCs/>
                <w:sz w:val="14"/>
                <w:szCs w:val="14"/>
              </w:rPr>
            </w:pPr>
            <w:r w:rsidRPr="004B3DE4">
              <w:rPr>
                <w:rFonts w:cs="Tahoma"/>
                <w:bCs/>
                <w:sz w:val="14"/>
                <w:szCs w:val="14"/>
              </w:rPr>
              <w:t>(Yüzde)</w:t>
            </w:r>
          </w:p>
        </w:tc>
      </w:tr>
      <w:tr w:rsidR="00565FD5" w:rsidRPr="004B3DE4" w:rsidTr="00AB62A3">
        <w:trPr>
          <w:trHeight w:val="383"/>
        </w:trPr>
        <w:tc>
          <w:tcPr>
            <w:tcW w:w="1378" w:type="pct"/>
            <w:tcBorders>
              <w:right w:val="nil"/>
            </w:tcBorders>
            <w:vAlign w:val="center"/>
          </w:tcPr>
          <w:p w:rsidR="00565FD5" w:rsidRPr="004B3DE4" w:rsidRDefault="00565FD5" w:rsidP="00AB62A3">
            <w:pPr>
              <w:jc w:val="right"/>
              <w:rPr>
                <w:rFonts w:cs="Tahoma"/>
                <w:sz w:val="14"/>
                <w:szCs w:val="14"/>
              </w:rPr>
            </w:pPr>
          </w:p>
        </w:tc>
        <w:tc>
          <w:tcPr>
            <w:tcW w:w="298" w:type="pct"/>
            <w:tcBorders>
              <w:left w:val="nil"/>
              <w:right w:val="nil"/>
            </w:tcBorders>
            <w:vAlign w:val="center"/>
          </w:tcPr>
          <w:p w:rsidR="00565FD5" w:rsidRPr="004B3DE4" w:rsidRDefault="00565FD5" w:rsidP="00AB62A3">
            <w:pPr>
              <w:jc w:val="right"/>
              <w:rPr>
                <w:rFonts w:cs="Tahoma"/>
                <w:b/>
                <w:bCs/>
                <w:sz w:val="14"/>
                <w:szCs w:val="14"/>
              </w:rPr>
            </w:pPr>
            <w:r w:rsidRPr="004B3DE4">
              <w:rPr>
                <w:rFonts w:cs="Tahoma"/>
                <w:b/>
                <w:bCs/>
                <w:sz w:val="14"/>
                <w:szCs w:val="14"/>
              </w:rPr>
              <w:t>2003</w:t>
            </w:r>
          </w:p>
        </w:tc>
        <w:tc>
          <w:tcPr>
            <w:tcW w:w="388" w:type="pct"/>
            <w:tcBorders>
              <w:left w:val="nil"/>
              <w:right w:val="nil"/>
            </w:tcBorders>
            <w:vAlign w:val="center"/>
          </w:tcPr>
          <w:p w:rsidR="00565FD5" w:rsidRPr="004B3DE4" w:rsidRDefault="00565FD5" w:rsidP="00AB62A3">
            <w:pPr>
              <w:jc w:val="right"/>
              <w:rPr>
                <w:rFonts w:cs="Tahoma"/>
                <w:b/>
                <w:bCs/>
                <w:sz w:val="14"/>
                <w:szCs w:val="14"/>
              </w:rPr>
            </w:pPr>
            <w:r w:rsidRPr="004B3DE4">
              <w:rPr>
                <w:rFonts w:cs="Tahoma"/>
                <w:b/>
                <w:bCs/>
                <w:sz w:val="14"/>
                <w:szCs w:val="14"/>
              </w:rPr>
              <w:t>2004</w:t>
            </w:r>
          </w:p>
        </w:tc>
        <w:tc>
          <w:tcPr>
            <w:tcW w:w="388" w:type="pct"/>
            <w:tcBorders>
              <w:left w:val="nil"/>
              <w:right w:val="nil"/>
            </w:tcBorders>
            <w:vAlign w:val="center"/>
          </w:tcPr>
          <w:p w:rsidR="00565FD5" w:rsidRPr="004B3DE4" w:rsidRDefault="00565FD5" w:rsidP="00AB62A3">
            <w:pPr>
              <w:jc w:val="right"/>
              <w:rPr>
                <w:rFonts w:cs="Tahoma"/>
                <w:b/>
                <w:bCs/>
                <w:sz w:val="14"/>
                <w:szCs w:val="14"/>
              </w:rPr>
            </w:pPr>
            <w:r w:rsidRPr="004B3DE4">
              <w:rPr>
                <w:rFonts w:cs="Tahoma"/>
                <w:b/>
                <w:bCs/>
                <w:sz w:val="14"/>
                <w:szCs w:val="14"/>
              </w:rPr>
              <w:t>2005</w:t>
            </w:r>
          </w:p>
        </w:tc>
        <w:tc>
          <w:tcPr>
            <w:tcW w:w="388" w:type="pct"/>
            <w:tcBorders>
              <w:left w:val="nil"/>
              <w:right w:val="nil"/>
            </w:tcBorders>
            <w:vAlign w:val="center"/>
          </w:tcPr>
          <w:p w:rsidR="00565FD5" w:rsidRPr="004B3DE4" w:rsidRDefault="00565FD5" w:rsidP="00AB62A3">
            <w:pPr>
              <w:jc w:val="right"/>
              <w:rPr>
                <w:rFonts w:cs="Tahoma"/>
                <w:b/>
                <w:bCs/>
                <w:sz w:val="14"/>
                <w:szCs w:val="14"/>
              </w:rPr>
            </w:pPr>
            <w:r w:rsidRPr="004B3DE4">
              <w:rPr>
                <w:rFonts w:cs="Tahoma"/>
                <w:b/>
                <w:bCs/>
                <w:sz w:val="14"/>
                <w:szCs w:val="14"/>
              </w:rPr>
              <w:t>2006</w:t>
            </w:r>
          </w:p>
        </w:tc>
        <w:tc>
          <w:tcPr>
            <w:tcW w:w="388" w:type="pct"/>
            <w:tcBorders>
              <w:left w:val="nil"/>
              <w:right w:val="nil"/>
            </w:tcBorders>
            <w:vAlign w:val="center"/>
          </w:tcPr>
          <w:p w:rsidR="00565FD5" w:rsidRPr="004B3DE4" w:rsidRDefault="00565FD5" w:rsidP="00AB62A3">
            <w:pPr>
              <w:jc w:val="right"/>
              <w:rPr>
                <w:rFonts w:cs="Tahoma"/>
                <w:b/>
                <w:bCs/>
                <w:sz w:val="14"/>
                <w:szCs w:val="14"/>
              </w:rPr>
            </w:pPr>
            <w:r w:rsidRPr="004B3DE4">
              <w:rPr>
                <w:rFonts w:cs="Tahoma"/>
                <w:b/>
                <w:bCs/>
                <w:sz w:val="14"/>
                <w:szCs w:val="14"/>
              </w:rPr>
              <w:t>2007</w:t>
            </w:r>
          </w:p>
        </w:tc>
        <w:tc>
          <w:tcPr>
            <w:tcW w:w="417" w:type="pct"/>
            <w:tcBorders>
              <w:left w:val="nil"/>
              <w:right w:val="nil"/>
            </w:tcBorders>
            <w:vAlign w:val="center"/>
          </w:tcPr>
          <w:p w:rsidR="00565FD5" w:rsidRPr="004B3DE4" w:rsidRDefault="00565FD5" w:rsidP="00AB62A3">
            <w:pPr>
              <w:jc w:val="right"/>
              <w:rPr>
                <w:rFonts w:cs="Tahoma"/>
                <w:b/>
                <w:bCs/>
                <w:sz w:val="14"/>
                <w:szCs w:val="14"/>
              </w:rPr>
            </w:pPr>
            <w:r w:rsidRPr="004B3DE4">
              <w:rPr>
                <w:rFonts w:cs="Tahoma"/>
                <w:b/>
                <w:bCs/>
                <w:sz w:val="14"/>
                <w:szCs w:val="14"/>
              </w:rPr>
              <w:t>2008</w:t>
            </w:r>
          </w:p>
        </w:tc>
        <w:tc>
          <w:tcPr>
            <w:tcW w:w="404" w:type="pct"/>
            <w:tcBorders>
              <w:left w:val="nil"/>
              <w:right w:val="nil"/>
            </w:tcBorders>
            <w:vAlign w:val="center"/>
          </w:tcPr>
          <w:p w:rsidR="00565FD5" w:rsidRPr="004B3DE4" w:rsidRDefault="00565FD5" w:rsidP="00AB62A3">
            <w:pPr>
              <w:jc w:val="right"/>
              <w:rPr>
                <w:rFonts w:cs="Tahoma"/>
                <w:b/>
                <w:bCs/>
                <w:sz w:val="14"/>
                <w:szCs w:val="14"/>
              </w:rPr>
            </w:pPr>
            <w:r w:rsidRPr="004B3DE4">
              <w:rPr>
                <w:rFonts w:cs="Tahoma"/>
                <w:b/>
                <w:bCs/>
                <w:sz w:val="14"/>
                <w:szCs w:val="14"/>
              </w:rPr>
              <w:t>2009</w:t>
            </w:r>
          </w:p>
        </w:tc>
        <w:tc>
          <w:tcPr>
            <w:tcW w:w="532" w:type="pct"/>
            <w:tcBorders>
              <w:left w:val="nil"/>
              <w:right w:val="nil"/>
            </w:tcBorders>
            <w:vAlign w:val="center"/>
          </w:tcPr>
          <w:p w:rsidR="00565FD5" w:rsidRPr="004B3DE4" w:rsidRDefault="00565FD5" w:rsidP="00AB62A3">
            <w:pPr>
              <w:jc w:val="right"/>
              <w:rPr>
                <w:rFonts w:cs="Tahoma"/>
                <w:b/>
                <w:bCs/>
                <w:sz w:val="14"/>
                <w:szCs w:val="14"/>
              </w:rPr>
            </w:pPr>
            <w:r w:rsidRPr="004B3DE4">
              <w:rPr>
                <w:rFonts w:cs="Tahoma"/>
                <w:b/>
                <w:bCs/>
                <w:sz w:val="14"/>
                <w:szCs w:val="14"/>
              </w:rPr>
              <w:t>2010(1)</w:t>
            </w:r>
          </w:p>
        </w:tc>
        <w:tc>
          <w:tcPr>
            <w:tcW w:w="418" w:type="pct"/>
            <w:tcBorders>
              <w:left w:val="nil"/>
            </w:tcBorders>
            <w:vAlign w:val="center"/>
          </w:tcPr>
          <w:p w:rsidR="00565FD5" w:rsidRPr="004B3DE4" w:rsidRDefault="00565FD5" w:rsidP="00AB62A3">
            <w:pPr>
              <w:ind w:right="113"/>
              <w:jc w:val="right"/>
              <w:rPr>
                <w:rFonts w:cs="Tahoma"/>
                <w:b/>
                <w:bCs/>
                <w:sz w:val="14"/>
                <w:szCs w:val="14"/>
              </w:rPr>
            </w:pPr>
            <w:r w:rsidRPr="004B3DE4">
              <w:rPr>
                <w:rFonts w:cs="Tahoma"/>
                <w:b/>
                <w:bCs/>
                <w:sz w:val="14"/>
                <w:szCs w:val="14"/>
              </w:rPr>
              <w:t>2011(2)</w:t>
            </w:r>
          </w:p>
        </w:tc>
      </w:tr>
      <w:tr w:rsidR="00565FD5" w:rsidRPr="004B3DE4" w:rsidTr="00AB62A3">
        <w:trPr>
          <w:trHeight w:val="310"/>
        </w:trPr>
        <w:tc>
          <w:tcPr>
            <w:tcW w:w="1378" w:type="pct"/>
            <w:tcBorders>
              <w:bottom w:val="nil"/>
              <w:right w:val="nil"/>
            </w:tcBorders>
            <w:vAlign w:val="center"/>
          </w:tcPr>
          <w:p w:rsidR="00565FD5" w:rsidRPr="004B3DE4" w:rsidRDefault="00565FD5" w:rsidP="00AB62A3">
            <w:pPr>
              <w:rPr>
                <w:rFonts w:cs="Tahoma"/>
                <w:sz w:val="14"/>
                <w:szCs w:val="14"/>
              </w:rPr>
            </w:pPr>
            <w:r w:rsidRPr="004B3DE4">
              <w:rPr>
                <w:rFonts w:cs="Tahoma"/>
                <w:sz w:val="14"/>
                <w:szCs w:val="14"/>
              </w:rPr>
              <w:t xml:space="preserve">Gıda Yoksulluğu (Açlık) </w:t>
            </w:r>
          </w:p>
        </w:tc>
        <w:tc>
          <w:tcPr>
            <w:tcW w:w="298" w:type="pct"/>
            <w:tcBorders>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1,3</w:t>
            </w:r>
          </w:p>
        </w:tc>
        <w:tc>
          <w:tcPr>
            <w:tcW w:w="388" w:type="pct"/>
            <w:tcBorders>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1,3</w:t>
            </w:r>
          </w:p>
        </w:tc>
        <w:tc>
          <w:tcPr>
            <w:tcW w:w="388" w:type="pct"/>
            <w:tcBorders>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0,9</w:t>
            </w:r>
          </w:p>
        </w:tc>
        <w:tc>
          <w:tcPr>
            <w:tcW w:w="388" w:type="pct"/>
            <w:tcBorders>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0,7</w:t>
            </w:r>
          </w:p>
        </w:tc>
        <w:tc>
          <w:tcPr>
            <w:tcW w:w="388" w:type="pct"/>
            <w:tcBorders>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0,5</w:t>
            </w:r>
          </w:p>
        </w:tc>
        <w:tc>
          <w:tcPr>
            <w:tcW w:w="417" w:type="pct"/>
            <w:tcBorders>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0,5</w:t>
            </w:r>
          </w:p>
        </w:tc>
        <w:tc>
          <w:tcPr>
            <w:tcW w:w="404" w:type="pct"/>
            <w:tcBorders>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0,5</w:t>
            </w:r>
          </w:p>
        </w:tc>
        <w:tc>
          <w:tcPr>
            <w:tcW w:w="532" w:type="pct"/>
            <w:tcBorders>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w:t>
            </w:r>
          </w:p>
        </w:tc>
        <w:tc>
          <w:tcPr>
            <w:tcW w:w="418" w:type="pct"/>
            <w:tcBorders>
              <w:left w:val="nil"/>
              <w:bottom w:val="nil"/>
            </w:tcBorders>
            <w:vAlign w:val="center"/>
          </w:tcPr>
          <w:p w:rsidR="00565FD5" w:rsidRPr="004B3DE4" w:rsidRDefault="00565FD5" w:rsidP="00AB62A3">
            <w:pPr>
              <w:ind w:right="113"/>
              <w:jc w:val="right"/>
              <w:rPr>
                <w:rFonts w:cs="Tahoma"/>
                <w:sz w:val="14"/>
                <w:szCs w:val="14"/>
              </w:rPr>
            </w:pPr>
            <w:r w:rsidRPr="004B3DE4">
              <w:rPr>
                <w:rFonts w:cs="Tahoma"/>
                <w:sz w:val="14"/>
                <w:szCs w:val="14"/>
              </w:rPr>
              <w:t>-</w:t>
            </w:r>
          </w:p>
        </w:tc>
      </w:tr>
      <w:tr w:rsidR="00565FD5" w:rsidRPr="004B3DE4" w:rsidTr="00AB62A3">
        <w:trPr>
          <w:trHeight w:val="310"/>
        </w:trPr>
        <w:tc>
          <w:tcPr>
            <w:tcW w:w="1378" w:type="pct"/>
            <w:tcBorders>
              <w:top w:val="nil"/>
              <w:bottom w:val="nil"/>
              <w:right w:val="nil"/>
            </w:tcBorders>
            <w:vAlign w:val="center"/>
          </w:tcPr>
          <w:p w:rsidR="00565FD5" w:rsidRPr="004B3DE4" w:rsidRDefault="00565FD5" w:rsidP="00AB62A3">
            <w:pPr>
              <w:rPr>
                <w:rFonts w:cs="Tahoma"/>
                <w:sz w:val="14"/>
                <w:szCs w:val="14"/>
              </w:rPr>
            </w:pPr>
            <w:r w:rsidRPr="004B3DE4">
              <w:rPr>
                <w:rFonts w:cs="Tahoma"/>
                <w:sz w:val="14"/>
                <w:szCs w:val="14"/>
              </w:rPr>
              <w:t>Yoksulluk (Gıda ve Gıda Dışı)</w:t>
            </w:r>
          </w:p>
        </w:tc>
        <w:tc>
          <w:tcPr>
            <w:tcW w:w="298"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28,1</w:t>
            </w:r>
          </w:p>
        </w:tc>
        <w:tc>
          <w:tcPr>
            <w:tcW w:w="388"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25,6</w:t>
            </w:r>
          </w:p>
        </w:tc>
        <w:tc>
          <w:tcPr>
            <w:tcW w:w="388"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20,5</w:t>
            </w:r>
          </w:p>
        </w:tc>
        <w:tc>
          <w:tcPr>
            <w:tcW w:w="388"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17,8</w:t>
            </w:r>
          </w:p>
        </w:tc>
        <w:tc>
          <w:tcPr>
            <w:tcW w:w="388"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17,8</w:t>
            </w:r>
          </w:p>
        </w:tc>
        <w:tc>
          <w:tcPr>
            <w:tcW w:w="417"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17,1</w:t>
            </w:r>
          </w:p>
        </w:tc>
        <w:tc>
          <w:tcPr>
            <w:tcW w:w="404"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18,1</w:t>
            </w:r>
          </w:p>
        </w:tc>
        <w:tc>
          <w:tcPr>
            <w:tcW w:w="532"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w:t>
            </w:r>
          </w:p>
        </w:tc>
        <w:tc>
          <w:tcPr>
            <w:tcW w:w="418" w:type="pct"/>
            <w:tcBorders>
              <w:top w:val="nil"/>
              <w:left w:val="nil"/>
              <w:bottom w:val="nil"/>
            </w:tcBorders>
            <w:vAlign w:val="center"/>
          </w:tcPr>
          <w:p w:rsidR="00565FD5" w:rsidRPr="004B3DE4" w:rsidRDefault="00565FD5" w:rsidP="00AB62A3">
            <w:pPr>
              <w:ind w:right="113"/>
              <w:jc w:val="right"/>
              <w:rPr>
                <w:rFonts w:cs="Tahoma"/>
                <w:sz w:val="14"/>
                <w:szCs w:val="14"/>
              </w:rPr>
            </w:pPr>
            <w:r w:rsidRPr="004B3DE4">
              <w:rPr>
                <w:rFonts w:cs="Tahoma"/>
                <w:sz w:val="14"/>
                <w:szCs w:val="14"/>
              </w:rPr>
              <w:t>-</w:t>
            </w:r>
          </w:p>
        </w:tc>
      </w:tr>
      <w:tr w:rsidR="00565FD5" w:rsidRPr="004B3DE4" w:rsidTr="00AB62A3">
        <w:trPr>
          <w:trHeight w:val="310"/>
        </w:trPr>
        <w:tc>
          <w:tcPr>
            <w:tcW w:w="1378" w:type="pct"/>
            <w:tcBorders>
              <w:top w:val="nil"/>
              <w:bottom w:val="nil"/>
              <w:right w:val="nil"/>
            </w:tcBorders>
            <w:vAlign w:val="center"/>
          </w:tcPr>
          <w:p w:rsidR="00565FD5" w:rsidRPr="004B3DE4" w:rsidRDefault="00565FD5" w:rsidP="00AB62A3">
            <w:pPr>
              <w:rPr>
                <w:rFonts w:cs="Tahoma"/>
                <w:sz w:val="14"/>
                <w:szCs w:val="14"/>
              </w:rPr>
            </w:pPr>
            <w:r w:rsidRPr="004B3DE4">
              <w:rPr>
                <w:rFonts w:cs="Tahoma"/>
                <w:sz w:val="14"/>
                <w:szCs w:val="14"/>
              </w:rPr>
              <w:t>Göreli Yoksulluk (3)</w:t>
            </w:r>
          </w:p>
        </w:tc>
        <w:tc>
          <w:tcPr>
            <w:tcW w:w="298"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w:t>
            </w:r>
          </w:p>
        </w:tc>
        <w:tc>
          <w:tcPr>
            <w:tcW w:w="388"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w:t>
            </w:r>
          </w:p>
        </w:tc>
        <w:tc>
          <w:tcPr>
            <w:tcW w:w="388"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w:t>
            </w:r>
          </w:p>
        </w:tc>
        <w:tc>
          <w:tcPr>
            <w:tcW w:w="388"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25,4</w:t>
            </w:r>
          </w:p>
        </w:tc>
        <w:tc>
          <w:tcPr>
            <w:tcW w:w="388"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23,4</w:t>
            </w:r>
          </w:p>
        </w:tc>
        <w:tc>
          <w:tcPr>
            <w:tcW w:w="417"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24,1</w:t>
            </w:r>
          </w:p>
        </w:tc>
        <w:tc>
          <w:tcPr>
            <w:tcW w:w="404"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24,3</w:t>
            </w:r>
          </w:p>
        </w:tc>
        <w:tc>
          <w:tcPr>
            <w:tcW w:w="532"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23,8</w:t>
            </w:r>
          </w:p>
        </w:tc>
        <w:tc>
          <w:tcPr>
            <w:tcW w:w="418" w:type="pct"/>
            <w:tcBorders>
              <w:top w:val="nil"/>
              <w:left w:val="nil"/>
              <w:bottom w:val="nil"/>
            </w:tcBorders>
            <w:vAlign w:val="center"/>
          </w:tcPr>
          <w:p w:rsidR="00565FD5" w:rsidRPr="004B3DE4" w:rsidRDefault="00565FD5" w:rsidP="00AB62A3">
            <w:pPr>
              <w:ind w:right="113"/>
              <w:jc w:val="right"/>
              <w:rPr>
                <w:rFonts w:cs="Tahoma"/>
                <w:sz w:val="14"/>
                <w:szCs w:val="14"/>
              </w:rPr>
            </w:pPr>
            <w:r w:rsidRPr="004B3DE4">
              <w:rPr>
                <w:rFonts w:cs="Tahoma"/>
                <w:sz w:val="14"/>
                <w:szCs w:val="14"/>
              </w:rPr>
              <w:t>22,9</w:t>
            </w:r>
          </w:p>
        </w:tc>
      </w:tr>
      <w:tr w:rsidR="00565FD5" w:rsidRPr="004B3DE4" w:rsidTr="00AB62A3">
        <w:trPr>
          <w:trHeight w:val="310"/>
        </w:trPr>
        <w:tc>
          <w:tcPr>
            <w:tcW w:w="1378" w:type="pct"/>
            <w:tcBorders>
              <w:top w:val="nil"/>
              <w:bottom w:val="nil"/>
              <w:right w:val="nil"/>
            </w:tcBorders>
            <w:vAlign w:val="center"/>
          </w:tcPr>
          <w:p w:rsidR="00565FD5" w:rsidRPr="004B3DE4" w:rsidRDefault="00565FD5" w:rsidP="00AB62A3">
            <w:pPr>
              <w:rPr>
                <w:rFonts w:cs="Tahoma"/>
                <w:sz w:val="14"/>
                <w:szCs w:val="14"/>
              </w:rPr>
            </w:pPr>
            <w:r w:rsidRPr="004B3DE4">
              <w:rPr>
                <w:rFonts w:cs="Tahoma"/>
                <w:sz w:val="14"/>
                <w:szCs w:val="14"/>
              </w:rPr>
              <w:t>Kişi başı günl. 2.15 doların altı</w:t>
            </w:r>
          </w:p>
        </w:tc>
        <w:tc>
          <w:tcPr>
            <w:tcW w:w="298"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 xml:space="preserve">2,39   </w:t>
            </w:r>
          </w:p>
        </w:tc>
        <w:tc>
          <w:tcPr>
            <w:tcW w:w="388"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 xml:space="preserve"> 2,49</w:t>
            </w:r>
          </w:p>
        </w:tc>
        <w:tc>
          <w:tcPr>
            <w:tcW w:w="388"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1,55</w:t>
            </w:r>
          </w:p>
        </w:tc>
        <w:tc>
          <w:tcPr>
            <w:tcW w:w="388"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1,41</w:t>
            </w:r>
          </w:p>
        </w:tc>
        <w:tc>
          <w:tcPr>
            <w:tcW w:w="388"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0,52</w:t>
            </w:r>
          </w:p>
        </w:tc>
        <w:tc>
          <w:tcPr>
            <w:tcW w:w="417"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0,47</w:t>
            </w:r>
          </w:p>
        </w:tc>
        <w:tc>
          <w:tcPr>
            <w:tcW w:w="404"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0,22</w:t>
            </w:r>
          </w:p>
        </w:tc>
        <w:tc>
          <w:tcPr>
            <w:tcW w:w="532" w:type="pct"/>
            <w:tcBorders>
              <w:top w:val="nil"/>
              <w:left w:val="nil"/>
              <w:bottom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0,21</w:t>
            </w:r>
          </w:p>
        </w:tc>
        <w:tc>
          <w:tcPr>
            <w:tcW w:w="418" w:type="pct"/>
            <w:tcBorders>
              <w:top w:val="nil"/>
              <w:left w:val="nil"/>
              <w:bottom w:val="nil"/>
            </w:tcBorders>
            <w:vAlign w:val="center"/>
          </w:tcPr>
          <w:p w:rsidR="00565FD5" w:rsidRPr="004B3DE4" w:rsidRDefault="00565FD5" w:rsidP="00AB62A3">
            <w:pPr>
              <w:ind w:right="113"/>
              <w:jc w:val="right"/>
              <w:rPr>
                <w:rFonts w:cs="Tahoma"/>
                <w:sz w:val="14"/>
                <w:szCs w:val="14"/>
              </w:rPr>
            </w:pPr>
            <w:r w:rsidRPr="004B3DE4">
              <w:rPr>
                <w:rFonts w:cs="Tahoma"/>
                <w:sz w:val="14"/>
                <w:szCs w:val="14"/>
              </w:rPr>
              <w:t>-</w:t>
            </w:r>
          </w:p>
        </w:tc>
      </w:tr>
      <w:tr w:rsidR="00565FD5" w:rsidRPr="004B3DE4" w:rsidTr="00AB62A3">
        <w:trPr>
          <w:trHeight w:val="310"/>
        </w:trPr>
        <w:tc>
          <w:tcPr>
            <w:tcW w:w="1378" w:type="pct"/>
            <w:tcBorders>
              <w:top w:val="nil"/>
              <w:right w:val="nil"/>
            </w:tcBorders>
            <w:vAlign w:val="center"/>
          </w:tcPr>
          <w:p w:rsidR="00565FD5" w:rsidRPr="004B3DE4" w:rsidRDefault="00565FD5" w:rsidP="00AB62A3">
            <w:pPr>
              <w:rPr>
                <w:rFonts w:cs="Tahoma"/>
                <w:sz w:val="14"/>
                <w:szCs w:val="14"/>
              </w:rPr>
            </w:pPr>
            <w:r w:rsidRPr="004B3DE4">
              <w:rPr>
                <w:rFonts w:cs="Tahoma"/>
                <w:sz w:val="14"/>
                <w:szCs w:val="14"/>
              </w:rPr>
              <w:t>Kişi başı günl. 4.30 doların altı</w:t>
            </w:r>
          </w:p>
        </w:tc>
        <w:tc>
          <w:tcPr>
            <w:tcW w:w="298" w:type="pct"/>
            <w:tcBorders>
              <w:top w:val="nil"/>
              <w:left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23,75</w:t>
            </w:r>
          </w:p>
        </w:tc>
        <w:tc>
          <w:tcPr>
            <w:tcW w:w="388" w:type="pct"/>
            <w:tcBorders>
              <w:top w:val="nil"/>
              <w:left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20,89</w:t>
            </w:r>
          </w:p>
        </w:tc>
        <w:tc>
          <w:tcPr>
            <w:tcW w:w="388" w:type="pct"/>
            <w:tcBorders>
              <w:top w:val="nil"/>
              <w:left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16,36</w:t>
            </w:r>
          </w:p>
        </w:tc>
        <w:tc>
          <w:tcPr>
            <w:tcW w:w="388" w:type="pct"/>
            <w:tcBorders>
              <w:top w:val="nil"/>
              <w:left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13,33</w:t>
            </w:r>
          </w:p>
        </w:tc>
        <w:tc>
          <w:tcPr>
            <w:tcW w:w="388" w:type="pct"/>
            <w:tcBorders>
              <w:top w:val="nil"/>
              <w:left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8,41</w:t>
            </w:r>
          </w:p>
        </w:tc>
        <w:tc>
          <w:tcPr>
            <w:tcW w:w="417" w:type="pct"/>
            <w:tcBorders>
              <w:top w:val="nil"/>
              <w:left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6,83</w:t>
            </w:r>
          </w:p>
        </w:tc>
        <w:tc>
          <w:tcPr>
            <w:tcW w:w="404" w:type="pct"/>
            <w:tcBorders>
              <w:top w:val="nil"/>
              <w:left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4,35</w:t>
            </w:r>
          </w:p>
        </w:tc>
        <w:tc>
          <w:tcPr>
            <w:tcW w:w="532" w:type="pct"/>
            <w:tcBorders>
              <w:top w:val="nil"/>
              <w:left w:val="nil"/>
              <w:right w:val="nil"/>
            </w:tcBorders>
            <w:vAlign w:val="center"/>
          </w:tcPr>
          <w:p w:rsidR="00565FD5" w:rsidRPr="004B3DE4" w:rsidRDefault="00565FD5" w:rsidP="00AB62A3">
            <w:pPr>
              <w:jc w:val="right"/>
              <w:rPr>
                <w:rFonts w:cs="Tahoma"/>
                <w:sz w:val="14"/>
                <w:szCs w:val="14"/>
              </w:rPr>
            </w:pPr>
            <w:r w:rsidRPr="004B3DE4">
              <w:rPr>
                <w:rFonts w:cs="Tahoma"/>
                <w:sz w:val="14"/>
                <w:szCs w:val="14"/>
              </w:rPr>
              <w:t>3,66</w:t>
            </w:r>
          </w:p>
        </w:tc>
        <w:tc>
          <w:tcPr>
            <w:tcW w:w="418" w:type="pct"/>
            <w:tcBorders>
              <w:top w:val="nil"/>
              <w:left w:val="nil"/>
            </w:tcBorders>
            <w:vAlign w:val="center"/>
          </w:tcPr>
          <w:p w:rsidR="00565FD5" w:rsidRPr="004B3DE4" w:rsidRDefault="00565FD5" w:rsidP="00AB62A3">
            <w:pPr>
              <w:ind w:right="113"/>
              <w:jc w:val="right"/>
              <w:rPr>
                <w:rFonts w:cs="Tahoma"/>
                <w:sz w:val="14"/>
                <w:szCs w:val="14"/>
              </w:rPr>
            </w:pPr>
            <w:r w:rsidRPr="004B3DE4">
              <w:rPr>
                <w:rFonts w:cs="Tahoma"/>
                <w:sz w:val="14"/>
                <w:szCs w:val="14"/>
              </w:rPr>
              <w:t>-</w:t>
            </w:r>
          </w:p>
        </w:tc>
      </w:tr>
    </w:tbl>
    <w:p w:rsidR="00565FD5" w:rsidRPr="004B3DE4" w:rsidRDefault="00565FD5" w:rsidP="00565FD5">
      <w:pPr>
        <w:ind w:left="180" w:hanging="180"/>
        <w:rPr>
          <w:rFonts w:cs="Tahoma"/>
          <w:sz w:val="14"/>
          <w:szCs w:val="14"/>
        </w:rPr>
      </w:pPr>
      <w:r w:rsidRPr="004B3DE4">
        <w:rPr>
          <w:rFonts w:cs="Tahoma"/>
          <w:sz w:val="14"/>
          <w:szCs w:val="14"/>
        </w:rPr>
        <w:t>Kaynak: TÜİK</w:t>
      </w:r>
    </w:p>
    <w:p w:rsidR="00565FD5" w:rsidRPr="004B3DE4" w:rsidRDefault="00565FD5" w:rsidP="00565FD5">
      <w:pPr>
        <w:ind w:left="180" w:hanging="180"/>
        <w:rPr>
          <w:rFonts w:cs="Tahoma"/>
          <w:sz w:val="14"/>
          <w:szCs w:val="14"/>
        </w:rPr>
      </w:pPr>
      <w:r w:rsidRPr="004B3DE4">
        <w:rPr>
          <w:rFonts w:cs="Tahoma"/>
          <w:sz w:val="14"/>
          <w:szCs w:val="14"/>
        </w:rPr>
        <w:t xml:space="preserve">(1) TÜİK 2010 yoksulluk çalışmasında gıda yoksulluğu ile gıda ve gıda dışı yoksulluk rakamları verilmemiştir. </w:t>
      </w:r>
    </w:p>
    <w:p w:rsidR="00565FD5" w:rsidRPr="004B3DE4" w:rsidRDefault="00565FD5" w:rsidP="00565FD5">
      <w:pPr>
        <w:ind w:left="180" w:hanging="180"/>
        <w:rPr>
          <w:rFonts w:cs="Tahoma"/>
          <w:sz w:val="14"/>
          <w:szCs w:val="14"/>
        </w:rPr>
      </w:pPr>
      <w:r w:rsidRPr="004B3DE4">
        <w:rPr>
          <w:rFonts w:cs="Tahoma"/>
          <w:sz w:val="14"/>
          <w:szCs w:val="14"/>
        </w:rPr>
        <w:t>(2) 2011 yılı için yalnızca göreli yoksulluk rakamları açıklanmıştır.</w:t>
      </w:r>
    </w:p>
    <w:p w:rsidR="00565FD5" w:rsidRPr="004B3DE4" w:rsidRDefault="00565FD5" w:rsidP="00565FD5">
      <w:pPr>
        <w:spacing w:after="240"/>
        <w:rPr>
          <w:rFonts w:cs="Tahoma"/>
          <w:sz w:val="14"/>
          <w:szCs w:val="14"/>
        </w:rPr>
      </w:pPr>
      <w:r w:rsidRPr="004B3DE4">
        <w:rPr>
          <w:rFonts w:cs="Tahoma"/>
          <w:sz w:val="14"/>
          <w:szCs w:val="14"/>
        </w:rPr>
        <w:t xml:space="preserve">(3) 2006-2011 Gelir ve Yaşam Koşulları Araştırması verileri kullanılmıştır. Göreli yoksulluk hesaplanırken eşdeğer hanehalkı kullanılabilir geliri medyan değerinin yüzde 60’ı yoksulluk sınırı olarak alınmıştır. </w:t>
      </w:r>
    </w:p>
    <w:p w:rsidR="00565FD5" w:rsidRPr="004B3DE4" w:rsidRDefault="00565FD5" w:rsidP="00565FD5">
      <w:pPr>
        <w:spacing w:after="180"/>
        <w:ind w:firstLine="425"/>
        <w:rPr>
          <w:rFonts w:cs="Tahoma"/>
        </w:rPr>
      </w:pPr>
      <w:r w:rsidRPr="004B3DE4">
        <w:rPr>
          <w:rFonts w:cs="Tahoma"/>
        </w:rPr>
        <w:t>2003-2010 döneminde uluslararası karşılaştırılabilir yoksulluk sınırlarına göre fert yoksulluk oranlarının düşmekte olduğu görülmektedir.</w:t>
      </w:r>
      <w:r w:rsidRPr="004B3DE4">
        <w:rPr>
          <w:rFonts w:cs="Tahoma"/>
          <w:color w:val="000000"/>
          <w:sz w:val="20"/>
        </w:rPr>
        <w:t xml:space="preserve"> </w:t>
      </w:r>
      <w:r w:rsidRPr="004B3DE4">
        <w:rPr>
          <w:rFonts w:cs="Tahoma"/>
          <w:color w:val="000000"/>
        </w:rPr>
        <w:t>Kişi başı günlük harcaması, satın alma gücü paritesine göre 2,15 ABD dolarının altında kalan fert oranı 2003 yılında yüzde 2,4 iken, bu oran 2010 yılında yüzde 0,2 olarak gerçekleşmiştir. 4,3 ABD doları sınırına göre ise 2003 yılında yüzde 23,8 olan yoksulluk oranı 2010 yılında yüzde 3,7’ye düşmüştür.</w:t>
      </w:r>
    </w:p>
    <w:p w:rsidR="00565FD5" w:rsidRPr="004B3DE4" w:rsidRDefault="00565FD5" w:rsidP="00565FD5">
      <w:pPr>
        <w:spacing w:after="180"/>
        <w:ind w:firstLine="425"/>
        <w:rPr>
          <w:rFonts w:cs="Tahoma"/>
          <w:szCs w:val="18"/>
        </w:rPr>
      </w:pPr>
      <w:r w:rsidRPr="004B3DE4">
        <w:rPr>
          <w:rFonts w:cs="Tahoma"/>
          <w:szCs w:val="18"/>
        </w:rPr>
        <w:t xml:space="preserve">Yoksulluk oranları 2003 yılındaki oranlarla karşılaştırıldığında önemli bir düşüş gözlenmekle birlikte, halen AB ortalamasının üzerindedir. Ayrıca, sosyal transferlerin yoksulluk üzerindeki etkisi AB ortalamasına göre daha sınırlıdır. 2010 yılında transfer öncesi göreli yoksulluk oranı yüzde 29,3, transfer sonrası göreli yoksulluk oranı yüzde 23,8 iken, AB-27 için aynı oranlar sırasıyla yüzde 25,7 ve yüzde 16,4’tür. Bu durum, sosyal transferlerin büyük bir bölümünün primli sistem kapsamındaki transferlerden oluşmasından, yoksul kesimin </w:t>
      </w:r>
      <w:r w:rsidRPr="004B3DE4">
        <w:rPr>
          <w:rFonts w:cs="Tahoma"/>
          <w:szCs w:val="18"/>
        </w:rPr>
        <w:lastRenderedPageBreak/>
        <w:t xml:space="preserve">primsiz transferlerden yeterli düzeyde veya hiç yararlanamamasından kaynaklanmaktadır. </w:t>
      </w:r>
    </w:p>
    <w:p w:rsidR="00565FD5" w:rsidRDefault="00565FD5" w:rsidP="00565FD5">
      <w:pPr>
        <w:spacing w:after="180"/>
        <w:ind w:firstLine="425"/>
        <w:rPr>
          <w:rFonts w:cs="Tahoma"/>
          <w:szCs w:val="18"/>
        </w:rPr>
      </w:pPr>
      <w:r w:rsidRPr="004B3DE4">
        <w:rPr>
          <w:rFonts w:cs="Tahoma"/>
          <w:szCs w:val="18"/>
        </w:rPr>
        <w:t xml:space="preserve">Yoksulluk, özellikle eğitim seviyesi düşük olanlar, yevmiyeliler, ücretsiz aile işçileri, tarım sektöründe çalışanlar ile geniş aileler arasında yaygındır. Eğitim durumu, yoksulluğu en iyi açıklayan değişkenlerden biridir. 2009 yılında okur-yazar olmayan veya bir okul bitirmeyen fertlerde yoksulluk oranı yüzde 29,8 iken yüksekokul, fakülte ve üstü eğitimlilerde bu oran yüzde 0,7’ye düşmektedir. Eğitimde okullaşma oranları yıllar itibarıyla artmakla birlikte, kız çocuklarının okullaşma oranı erkek çocuklarının gerisindedir. Bu durum, kadınların yoksulluk riskiyle daha fazla karşı karşıya kalmasına zemin hazırlayan etkenlerden biridir. </w:t>
      </w:r>
    </w:p>
    <w:p w:rsidR="00565FD5" w:rsidRPr="004B3DE4" w:rsidRDefault="00565FD5" w:rsidP="00565FD5">
      <w:pPr>
        <w:spacing w:after="160"/>
        <w:ind w:firstLine="425"/>
        <w:rPr>
          <w:rFonts w:cs="Tahoma"/>
          <w:szCs w:val="18"/>
        </w:rPr>
      </w:pPr>
      <w:r w:rsidRPr="004B3DE4">
        <w:rPr>
          <w:rFonts w:cs="Tahoma"/>
          <w:szCs w:val="18"/>
        </w:rPr>
        <w:t>Kırsal alanda yaşayanların yoksulluk riski kentsel alanlarda yaşayanlara göre daha yüksek düzeydedir. 2009 yılında kırda yoksulluk oranı yüzde 38,7’dir. 2003-2009 döneminde yoksulluk oranındaki azalma büyük ölçüde kent yoksulluğundaki düşüşten kaynaklanmıştır. Kırsal alandaki işsizlik oranı genel işsizlik oranının gerisinde olmasına rağmen, kırsal alanda istihdamın çoğunlukla kişi başı katma değeri düşük olan tarım sektöründe olması ve kırda tarım dışı faaliyetlerin kısıtlılığı kırsal alanda yoksulluğun yüksek olmasında etkilidir. Nitekim 2011 yılında istihdamın yüzde 25,5’i tarım sektöründe iken bu sektörün GSYH’d</w:t>
      </w:r>
      <w:r>
        <w:rPr>
          <w:rFonts w:cs="Tahoma"/>
          <w:szCs w:val="18"/>
        </w:rPr>
        <w:t>a</w:t>
      </w:r>
      <w:r w:rsidRPr="004B3DE4">
        <w:rPr>
          <w:rFonts w:cs="Tahoma"/>
          <w:szCs w:val="18"/>
        </w:rPr>
        <w:t xml:space="preserve">ki payı sadece yüzde 9’dur. Tarım sektöründe çalışanlar arasındaki yoksulluk oranı da yüzde 33’le genel yoksulluk oranının 15 puan üzerindedir. </w:t>
      </w:r>
    </w:p>
    <w:p w:rsidR="00565FD5" w:rsidRPr="0026379C" w:rsidRDefault="00565FD5" w:rsidP="00565FD5">
      <w:pPr>
        <w:pStyle w:val="ResimYazs"/>
        <w:rPr>
          <w:rFonts w:cs="Tahoma"/>
          <w:szCs w:val="16"/>
        </w:rPr>
      </w:pPr>
      <w:bookmarkStart w:id="2548" w:name="_Toc276076528"/>
      <w:bookmarkStart w:id="2549" w:name="_Toc275873982"/>
      <w:bookmarkStart w:id="2550" w:name="_Toc307601715"/>
      <w:bookmarkStart w:id="2551" w:name="_Toc307657935"/>
      <w:bookmarkStart w:id="2552" w:name="_Toc307702193"/>
      <w:bookmarkStart w:id="2553" w:name="_Toc338606059"/>
      <w:bookmarkStart w:id="2554" w:name="_Toc338711834"/>
      <w:r>
        <w:t xml:space="preserve">TABLO IV: </w:t>
      </w:r>
      <w:fldSimple w:instr=" SEQ TABLO_IV: \* ARABIC ">
        <w:r>
          <w:rPr>
            <w:noProof/>
          </w:rPr>
          <w:t>64</w:t>
        </w:r>
      </w:fldSimple>
      <w:r w:rsidRPr="0026379C">
        <w:rPr>
          <w:rFonts w:eastAsia="Arial Unicode MS" w:cs="Tahoma"/>
          <w:szCs w:val="16"/>
        </w:rPr>
        <w:t>- Çeşitli Kriterlere Göre Gıda ve Gıda-Dışı Harcamalar Bakımından En Yoksul Kesimler</w:t>
      </w:r>
      <w:bookmarkEnd w:id="2548"/>
      <w:bookmarkEnd w:id="2549"/>
      <w:bookmarkEnd w:id="2550"/>
      <w:bookmarkEnd w:id="2551"/>
      <w:bookmarkEnd w:id="2552"/>
      <w:bookmarkEnd w:id="2553"/>
      <w:bookmarkEnd w:id="2554"/>
    </w:p>
    <w:tbl>
      <w:tblPr>
        <w:tblW w:w="5000" w:type="pct"/>
        <w:tblBorders>
          <w:top w:val="single" w:sz="4" w:space="0" w:color="auto"/>
          <w:left w:val="single" w:sz="4" w:space="0" w:color="auto"/>
          <w:bottom w:val="single" w:sz="4" w:space="0" w:color="auto"/>
          <w:right w:val="single" w:sz="4" w:space="0" w:color="auto"/>
        </w:tblBorders>
        <w:tblCellMar>
          <w:left w:w="0" w:type="dxa"/>
          <w:right w:w="57" w:type="dxa"/>
        </w:tblCellMar>
        <w:tblLook w:val="00A0"/>
      </w:tblPr>
      <w:tblGrid>
        <w:gridCol w:w="2977"/>
        <w:gridCol w:w="477"/>
        <w:gridCol w:w="623"/>
        <w:gridCol w:w="625"/>
        <w:gridCol w:w="623"/>
        <w:gridCol w:w="623"/>
        <w:gridCol w:w="628"/>
        <w:gridCol w:w="623"/>
      </w:tblGrid>
      <w:tr w:rsidR="00565FD5" w:rsidRPr="00981B4F" w:rsidTr="00AB62A3">
        <w:trPr>
          <w:trHeight w:val="170"/>
        </w:trPr>
        <w:tc>
          <w:tcPr>
            <w:tcW w:w="2067" w:type="pct"/>
            <w:tcBorders>
              <w:top w:val="nil"/>
              <w:left w:val="nil"/>
              <w:bottom w:val="single" w:sz="4" w:space="0" w:color="auto"/>
              <w:right w:val="nil"/>
            </w:tcBorders>
            <w:vAlign w:val="bottom"/>
          </w:tcPr>
          <w:p w:rsidR="00565FD5" w:rsidRPr="004B3DE4" w:rsidRDefault="00565FD5" w:rsidP="00AB62A3">
            <w:pPr>
              <w:ind w:left="125"/>
              <w:jc w:val="right"/>
              <w:rPr>
                <w:rFonts w:cs="Tahoma"/>
                <w:sz w:val="16"/>
                <w:szCs w:val="16"/>
              </w:rPr>
            </w:pPr>
          </w:p>
        </w:tc>
        <w:tc>
          <w:tcPr>
            <w:tcW w:w="2500" w:type="pct"/>
            <w:gridSpan w:val="6"/>
            <w:tcBorders>
              <w:top w:val="nil"/>
              <w:left w:val="nil"/>
              <w:bottom w:val="single" w:sz="4" w:space="0" w:color="auto"/>
              <w:right w:val="nil"/>
            </w:tcBorders>
            <w:vAlign w:val="bottom"/>
          </w:tcPr>
          <w:p w:rsidR="00565FD5" w:rsidRPr="004B3DE4" w:rsidRDefault="00565FD5" w:rsidP="00AB62A3">
            <w:pPr>
              <w:jc w:val="right"/>
              <w:rPr>
                <w:rFonts w:cs="Tahoma"/>
                <w:b/>
                <w:sz w:val="16"/>
                <w:szCs w:val="16"/>
              </w:rPr>
            </w:pPr>
          </w:p>
        </w:tc>
        <w:tc>
          <w:tcPr>
            <w:tcW w:w="433" w:type="pct"/>
            <w:tcBorders>
              <w:top w:val="nil"/>
              <w:left w:val="nil"/>
              <w:bottom w:val="single" w:sz="4" w:space="0" w:color="auto"/>
              <w:right w:val="nil"/>
            </w:tcBorders>
            <w:vAlign w:val="bottom"/>
          </w:tcPr>
          <w:p w:rsidR="00565FD5" w:rsidRPr="00981B4F" w:rsidRDefault="00565FD5" w:rsidP="00AB62A3">
            <w:pPr>
              <w:jc w:val="right"/>
              <w:rPr>
                <w:rFonts w:cs="Tahoma"/>
                <w:b/>
                <w:color w:val="000000"/>
                <w:sz w:val="16"/>
                <w:szCs w:val="16"/>
              </w:rPr>
            </w:pPr>
            <w:r w:rsidRPr="00981B4F">
              <w:rPr>
                <w:rFonts w:cs="Tahoma"/>
                <w:color w:val="000000"/>
                <w:sz w:val="16"/>
                <w:szCs w:val="16"/>
              </w:rPr>
              <w:t>(Yüzde)</w:t>
            </w:r>
          </w:p>
        </w:tc>
      </w:tr>
      <w:tr w:rsidR="00565FD5" w:rsidRPr="004B3DE4" w:rsidTr="00AB62A3">
        <w:trPr>
          <w:trHeight w:val="359"/>
        </w:trPr>
        <w:tc>
          <w:tcPr>
            <w:tcW w:w="2067" w:type="pct"/>
            <w:tcBorders>
              <w:top w:val="single" w:sz="4" w:space="0" w:color="auto"/>
              <w:bottom w:val="nil"/>
              <w:right w:val="single" w:sz="4" w:space="0" w:color="auto"/>
            </w:tcBorders>
            <w:vAlign w:val="center"/>
          </w:tcPr>
          <w:p w:rsidR="00565FD5" w:rsidRPr="004B3DE4" w:rsidRDefault="00565FD5" w:rsidP="00AB62A3">
            <w:pPr>
              <w:ind w:left="125"/>
              <w:jc w:val="center"/>
              <w:rPr>
                <w:rFonts w:cs="Tahoma"/>
                <w:sz w:val="16"/>
                <w:szCs w:val="16"/>
              </w:rPr>
            </w:pPr>
          </w:p>
        </w:tc>
        <w:tc>
          <w:tcPr>
            <w:tcW w:w="2933" w:type="pct"/>
            <w:gridSpan w:val="7"/>
            <w:tcBorders>
              <w:top w:val="single" w:sz="4" w:space="0" w:color="auto"/>
              <w:left w:val="nil"/>
              <w:bottom w:val="nil"/>
            </w:tcBorders>
            <w:vAlign w:val="center"/>
          </w:tcPr>
          <w:p w:rsidR="00565FD5" w:rsidRPr="004B3DE4" w:rsidRDefault="00565FD5" w:rsidP="00AB62A3">
            <w:pPr>
              <w:jc w:val="center"/>
              <w:rPr>
                <w:rFonts w:cs="Tahoma"/>
                <w:b/>
                <w:sz w:val="16"/>
                <w:szCs w:val="16"/>
              </w:rPr>
            </w:pPr>
            <w:r w:rsidRPr="004B3DE4">
              <w:rPr>
                <w:rFonts w:cs="Tahoma"/>
                <w:b/>
                <w:sz w:val="16"/>
                <w:szCs w:val="16"/>
              </w:rPr>
              <w:t>Yoksulluk Oranı</w:t>
            </w:r>
          </w:p>
        </w:tc>
      </w:tr>
      <w:tr w:rsidR="00565FD5" w:rsidRPr="004B3DE4" w:rsidTr="00AB62A3">
        <w:trPr>
          <w:trHeight w:val="359"/>
        </w:trPr>
        <w:tc>
          <w:tcPr>
            <w:tcW w:w="2067" w:type="pct"/>
            <w:tcBorders>
              <w:top w:val="nil"/>
              <w:bottom w:val="single" w:sz="4" w:space="0" w:color="auto"/>
              <w:right w:val="single" w:sz="4" w:space="0" w:color="auto"/>
            </w:tcBorders>
            <w:vAlign w:val="center"/>
          </w:tcPr>
          <w:p w:rsidR="00565FD5" w:rsidRPr="004B3DE4" w:rsidRDefault="00565FD5" w:rsidP="00AB62A3">
            <w:pPr>
              <w:ind w:left="125"/>
              <w:rPr>
                <w:rFonts w:cs="Tahoma"/>
                <w:b/>
                <w:sz w:val="16"/>
                <w:szCs w:val="16"/>
              </w:rPr>
            </w:pPr>
            <w:r w:rsidRPr="004B3DE4">
              <w:rPr>
                <w:rFonts w:cs="Tahoma"/>
                <w:b/>
                <w:sz w:val="16"/>
                <w:szCs w:val="16"/>
              </w:rPr>
              <w:t>Kesimler</w:t>
            </w:r>
          </w:p>
        </w:tc>
        <w:tc>
          <w:tcPr>
            <w:tcW w:w="331" w:type="pct"/>
            <w:tcBorders>
              <w:top w:val="single" w:sz="4" w:space="0" w:color="auto"/>
              <w:left w:val="nil"/>
              <w:bottom w:val="single" w:sz="4" w:space="0" w:color="auto"/>
              <w:right w:val="nil"/>
            </w:tcBorders>
            <w:noWrap/>
            <w:vAlign w:val="center"/>
          </w:tcPr>
          <w:p w:rsidR="00565FD5" w:rsidRPr="004B3DE4" w:rsidRDefault="00565FD5" w:rsidP="00AB62A3">
            <w:pPr>
              <w:jc w:val="right"/>
              <w:rPr>
                <w:rFonts w:cs="Tahoma"/>
                <w:b/>
                <w:sz w:val="16"/>
                <w:szCs w:val="16"/>
              </w:rPr>
            </w:pPr>
            <w:r w:rsidRPr="004B3DE4">
              <w:rPr>
                <w:rFonts w:cs="Tahoma"/>
                <w:b/>
                <w:bCs/>
                <w:sz w:val="16"/>
                <w:szCs w:val="16"/>
              </w:rPr>
              <w:t>2003</w:t>
            </w:r>
          </w:p>
        </w:tc>
        <w:tc>
          <w:tcPr>
            <w:tcW w:w="433" w:type="pct"/>
            <w:tcBorders>
              <w:top w:val="single" w:sz="4" w:space="0" w:color="auto"/>
              <w:left w:val="nil"/>
              <w:bottom w:val="single" w:sz="4" w:space="0" w:color="auto"/>
              <w:right w:val="nil"/>
            </w:tcBorders>
            <w:noWrap/>
            <w:vAlign w:val="center"/>
          </w:tcPr>
          <w:p w:rsidR="00565FD5" w:rsidRPr="004B3DE4" w:rsidRDefault="00565FD5" w:rsidP="00AB62A3">
            <w:pPr>
              <w:jc w:val="right"/>
              <w:rPr>
                <w:rFonts w:cs="Tahoma"/>
                <w:b/>
                <w:sz w:val="16"/>
                <w:szCs w:val="16"/>
              </w:rPr>
            </w:pPr>
            <w:r w:rsidRPr="004B3DE4">
              <w:rPr>
                <w:rFonts w:cs="Tahoma"/>
                <w:b/>
                <w:bCs/>
                <w:sz w:val="16"/>
                <w:szCs w:val="16"/>
              </w:rPr>
              <w:t>2004</w:t>
            </w:r>
          </w:p>
        </w:tc>
        <w:tc>
          <w:tcPr>
            <w:tcW w:w="434" w:type="pct"/>
            <w:tcBorders>
              <w:top w:val="single" w:sz="4" w:space="0" w:color="auto"/>
              <w:left w:val="nil"/>
              <w:bottom w:val="single" w:sz="4" w:space="0" w:color="auto"/>
              <w:right w:val="nil"/>
            </w:tcBorders>
            <w:vAlign w:val="center"/>
          </w:tcPr>
          <w:p w:rsidR="00565FD5" w:rsidRPr="004B3DE4" w:rsidRDefault="00565FD5" w:rsidP="00AB62A3">
            <w:pPr>
              <w:jc w:val="right"/>
              <w:rPr>
                <w:rFonts w:cs="Tahoma"/>
                <w:b/>
                <w:sz w:val="16"/>
                <w:szCs w:val="16"/>
              </w:rPr>
            </w:pPr>
            <w:r w:rsidRPr="004B3DE4">
              <w:rPr>
                <w:rFonts w:cs="Tahoma"/>
                <w:b/>
                <w:bCs/>
                <w:sz w:val="16"/>
                <w:szCs w:val="16"/>
              </w:rPr>
              <w:t>2005</w:t>
            </w:r>
          </w:p>
        </w:tc>
        <w:tc>
          <w:tcPr>
            <w:tcW w:w="433" w:type="pct"/>
            <w:tcBorders>
              <w:top w:val="single" w:sz="4" w:space="0" w:color="auto"/>
              <w:left w:val="nil"/>
              <w:bottom w:val="single" w:sz="4" w:space="0" w:color="auto"/>
              <w:right w:val="nil"/>
            </w:tcBorders>
            <w:vAlign w:val="center"/>
          </w:tcPr>
          <w:p w:rsidR="00565FD5" w:rsidRPr="004B3DE4" w:rsidRDefault="00565FD5" w:rsidP="00AB62A3">
            <w:pPr>
              <w:jc w:val="right"/>
              <w:rPr>
                <w:rFonts w:cs="Tahoma"/>
                <w:b/>
                <w:sz w:val="16"/>
                <w:szCs w:val="16"/>
              </w:rPr>
            </w:pPr>
            <w:r w:rsidRPr="004B3DE4">
              <w:rPr>
                <w:rFonts w:cs="Tahoma"/>
                <w:b/>
                <w:bCs/>
                <w:sz w:val="16"/>
                <w:szCs w:val="16"/>
              </w:rPr>
              <w:t>2006</w:t>
            </w:r>
          </w:p>
        </w:tc>
        <w:tc>
          <w:tcPr>
            <w:tcW w:w="433" w:type="pct"/>
            <w:tcBorders>
              <w:top w:val="single" w:sz="4" w:space="0" w:color="auto"/>
              <w:left w:val="nil"/>
              <w:bottom w:val="single" w:sz="4" w:space="0" w:color="auto"/>
              <w:right w:val="nil"/>
            </w:tcBorders>
            <w:vAlign w:val="center"/>
          </w:tcPr>
          <w:p w:rsidR="00565FD5" w:rsidRPr="004B3DE4" w:rsidRDefault="00565FD5" w:rsidP="00AB62A3">
            <w:pPr>
              <w:jc w:val="right"/>
              <w:rPr>
                <w:rFonts w:cs="Tahoma"/>
                <w:b/>
                <w:sz w:val="16"/>
                <w:szCs w:val="16"/>
              </w:rPr>
            </w:pPr>
            <w:r w:rsidRPr="004B3DE4">
              <w:rPr>
                <w:rFonts w:cs="Tahoma"/>
                <w:b/>
                <w:bCs/>
                <w:sz w:val="16"/>
                <w:szCs w:val="16"/>
              </w:rPr>
              <w:t>2007</w:t>
            </w:r>
          </w:p>
        </w:tc>
        <w:tc>
          <w:tcPr>
            <w:tcW w:w="435" w:type="pct"/>
            <w:tcBorders>
              <w:top w:val="single" w:sz="4" w:space="0" w:color="auto"/>
              <w:left w:val="nil"/>
              <w:bottom w:val="single" w:sz="4" w:space="0" w:color="auto"/>
              <w:right w:val="nil"/>
            </w:tcBorders>
            <w:vAlign w:val="center"/>
          </w:tcPr>
          <w:p w:rsidR="00565FD5" w:rsidRPr="004B3DE4" w:rsidRDefault="00565FD5" w:rsidP="00AB62A3">
            <w:pPr>
              <w:jc w:val="right"/>
              <w:rPr>
                <w:rFonts w:cs="Tahoma"/>
                <w:b/>
                <w:sz w:val="16"/>
                <w:szCs w:val="16"/>
              </w:rPr>
            </w:pPr>
            <w:r w:rsidRPr="004B3DE4">
              <w:rPr>
                <w:rFonts w:cs="Tahoma"/>
                <w:b/>
                <w:bCs/>
                <w:sz w:val="16"/>
                <w:szCs w:val="16"/>
              </w:rPr>
              <w:t>2008</w:t>
            </w:r>
          </w:p>
        </w:tc>
        <w:tc>
          <w:tcPr>
            <w:tcW w:w="433" w:type="pct"/>
            <w:tcBorders>
              <w:top w:val="single" w:sz="4" w:space="0" w:color="auto"/>
              <w:left w:val="nil"/>
              <w:bottom w:val="single" w:sz="4" w:space="0" w:color="auto"/>
            </w:tcBorders>
            <w:vAlign w:val="center"/>
          </w:tcPr>
          <w:p w:rsidR="00565FD5" w:rsidRPr="004B3DE4" w:rsidRDefault="00565FD5" w:rsidP="00AB62A3">
            <w:pPr>
              <w:jc w:val="right"/>
              <w:rPr>
                <w:rFonts w:cs="Tahoma"/>
                <w:b/>
                <w:bCs/>
                <w:sz w:val="16"/>
                <w:szCs w:val="16"/>
              </w:rPr>
            </w:pPr>
            <w:r w:rsidRPr="004B3DE4">
              <w:rPr>
                <w:rFonts w:cs="Tahoma"/>
                <w:b/>
                <w:bCs/>
                <w:sz w:val="16"/>
                <w:szCs w:val="16"/>
              </w:rPr>
              <w:t>2009</w:t>
            </w:r>
          </w:p>
        </w:tc>
      </w:tr>
      <w:tr w:rsidR="00565FD5" w:rsidRPr="004B3DE4" w:rsidTr="00AB62A3">
        <w:trPr>
          <w:trHeight w:val="454"/>
        </w:trPr>
        <w:tc>
          <w:tcPr>
            <w:tcW w:w="2067" w:type="pct"/>
            <w:tcBorders>
              <w:top w:val="single" w:sz="4" w:space="0" w:color="auto"/>
              <w:bottom w:val="nil"/>
              <w:right w:val="single" w:sz="4" w:space="0" w:color="auto"/>
            </w:tcBorders>
            <w:vAlign w:val="center"/>
          </w:tcPr>
          <w:p w:rsidR="00565FD5" w:rsidRPr="004B3DE4" w:rsidRDefault="00565FD5" w:rsidP="00AB62A3">
            <w:pPr>
              <w:ind w:left="125"/>
              <w:rPr>
                <w:rFonts w:eastAsia="Arial Unicode MS" w:cs="Tahoma"/>
                <w:sz w:val="16"/>
                <w:szCs w:val="16"/>
              </w:rPr>
            </w:pPr>
            <w:r w:rsidRPr="004B3DE4">
              <w:rPr>
                <w:rFonts w:eastAsia="Arial Unicode MS" w:cs="Tahoma"/>
                <w:sz w:val="16"/>
                <w:szCs w:val="16"/>
              </w:rPr>
              <w:t>Kırda Yaşayan</w:t>
            </w:r>
          </w:p>
        </w:tc>
        <w:tc>
          <w:tcPr>
            <w:tcW w:w="331" w:type="pct"/>
            <w:tcBorders>
              <w:top w:val="single" w:sz="4" w:space="0" w:color="auto"/>
              <w:left w:val="nil"/>
              <w:bottom w:val="nil"/>
              <w:right w:val="nil"/>
            </w:tcBorders>
            <w:noWrap/>
            <w:vAlign w:val="center"/>
          </w:tcPr>
          <w:p w:rsidR="00565FD5" w:rsidRPr="004B3DE4" w:rsidRDefault="00565FD5" w:rsidP="00AB62A3">
            <w:pPr>
              <w:jc w:val="right"/>
              <w:rPr>
                <w:rFonts w:cs="Tahoma"/>
                <w:sz w:val="16"/>
                <w:szCs w:val="16"/>
              </w:rPr>
            </w:pPr>
            <w:r w:rsidRPr="004B3DE4">
              <w:rPr>
                <w:rFonts w:cs="Tahoma"/>
                <w:sz w:val="16"/>
                <w:szCs w:val="16"/>
              </w:rPr>
              <w:t>37,1</w:t>
            </w:r>
          </w:p>
        </w:tc>
        <w:tc>
          <w:tcPr>
            <w:tcW w:w="433" w:type="pct"/>
            <w:tcBorders>
              <w:top w:val="single" w:sz="4" w:space="0" w:color="auto"/>
              <w:left w:val="nil"/>
              <w:bottom w:val="nil"/>
              <w:right w:val="nil"/>
            </w:tcBorders>
            <w:noWrap/>
            <w:vAlign w:val="center"/>
          </w:tcPr>
          <w:p w:rsidR="00565FD5" w:rsidRPr="004B3DE4" w:rsidRDefault="00565FD5" w:rsidP="00AB62A3">
            <w:pPr>
              <w:jc w:val="right"/>
              <w:rPr>
                <w:rFonts w:cs="Tahoma"/>
                <w:sz w:val="16"/>
                <w:szCs w:val="16"/>
              </w:rPr>
            </w:pPr>
            <w:r w:rsidRPr="004B3DE4">
              <w:rPr>
                <w:rFonts w:cs="Tahoma"/>
                <w:sz w:val="16"/>
                <w:szCs w:val="16"/>
              </w:rPr>
              <w:t>40,0</w:t>
            </w:r>
          </w:p>
        </w:tc>
        <w:tc>
          <w:tcPr>
            <w:tcW w:w="434" w:type="pct"/>
            <w:tcBorders>
              <w:top w:val="single" w:sz="4" w:space="0" w:color="auto"/>
              <w:left w:val="nil"/>
              <w:bottom w:val="nil"/>
              <w:right w:val="nil"/>
            </w:tcBorders>
            <w:vAlign w:val="center"/>
          </w:tcPr>
          <w:p w:rsidR="00565FD5" w:rsidRPr="004B3DE4" w:rsidRDefault="00565FD5" w:rsidP="00AB62A3">
            <w:pPr>
              <w:jc w:val="right"/>
              <w:rPr>
                <w:rFonts w:cs="Tahoma"/>
                <w:sz w:val="16"/>
                <w:szCs w:val="16"/>
              </w:rPr>
            </w:pPr>
            <w:r w:rsidRPr="004B3DE4">
              <w:rPr>
                <w:rFonts w:cs="Tahoma"/>
                <w:sz w:val="16"/>
                <w:szCs w:val="16"/>
              </w:rPr>
              <w:t>33,0</w:t>
            </w:r>
          </w:p>
        </w:tc>
        <w:tc>
          <w:tcPr>
            <w:tcW w:w="433" w:type="pct"/>
            <w:tcBorders>
              <w:top w:val="single" w:sz="4" w:space="0" w:color="auto"/>
              <w:left w:val="nil"/>
              <w:bottom w:val="nil"/>
              <w:right w:val="nil"/>
            </w:tcBorders>
            <w:vAlign w:val="center"/>
          </w:tcPr>
          <w:p w:rsidR="00565FD5" w:rsidRPr="004B3DE4" w:rsidRDefault="00565FD5" w:rsidP="00AB62A3">
            <w:pPr>
              <w:jc w:val="right"/>
              <w:rPr>
                <w:rFonts w:cs="Tahoma"/>
                <w:sz w:val="16"/>
                <w:szCs w:val="16"/>
              </w:rPr>
            </w:pPr>
            <w:r w:rsidRPr="004B3DE4">
              <w:rPr>
                <w:rFonts w:cs="Tahoma"/>
                <w:sz w:val="16"/>
                <w:szCs w:val="16"/>
              </w:rPr>
              <w:t>32,0</w:t>
            </w:r>
          </w:p>
        </w:tc>
        <w:tc>
          <w:tcPr>
            <w:tcW w:w="433" w:type="pct"/>
            <w:tcBorders>
              <w:top w:val="single" w:sz="4" w:space="0" w:color="auto"/>
              <w:left w:val="nil"/>
              <w:bottom w:val="nil"/>
              <w:right w:val="nil"/>
            </w:tcBorders>
            <w:vAlign w:val="center"/>
          </w:tcPr>
          <w:p w:rsidR="00565FD5" w:rsidRPr="004B3DE4" w:rsidRDefault="00565FD5" w:rsidP="00AB62A3">
            <w:pPr>
              <w:tabs>
                <w:tab w:val="left" w:pos="708"/>
              </w:tabs>
              <w:jc w:val="right"/>
              <w:rPr>
                <w:rFonts w:cs="Tahoma"/>
                <w:sz w:val="16"/>
                <w:szCs w:val="16"/>
              </w:rPr>
            </w:pPr>
            <w:r w:rsidRPr="004B3DE4">
              <w:rPr>
                <w:rFonts w:cs="Tahoma"/>
                <w:sz w:val="16"/>
                <w:szCs w:val="16"/>
                <w:lang w:eastAsia="tr-TR"/>
              </w:rPr>
              <w:t>34,8</w:t>
            </w:r>
          </w:p>
        </w:tc>
        <w:tc>
          <w:tcPr>
            <w:tcW w:w="435" w:type="pct"/>
            <w:tcBorders>
              <w:top w:val="single" w:sz="4" w:space="0" w:color="auto"/>
              <w:left w:val="nil"/>
              <w:bottom w:val="nil"/>
              <w:right w:val="nil"/>
            </w:tcBorders>
            <w:vAlign w:val="center"/>
          </w:tcPr>
          <w:p w:rsidR="00565FD5" w:rsidRPr="004B3DE4" w:rsidRDefault="00565FD5" w:rsidP="00AB62A3">
            <w:pPr>
              <w:tabs>
                <w:tab w:val="left" w:pos="708"/>
              </w:tabs>
              <w:jc w:val="right"/>
              <w:rPr>
                <w:rFonts w:cs="Tahoma"/>
                <w:sz w:val="16"/>
                <w:szCs w:val="16"/>
              </w:rPr>
            </w:pPr>
            <w:r w:rsidRPr="004B3DE4">
              <w:rPr>
                <w:rFonts w:cs="Tahoma"/>
                <w:sz w:val="16"/>
                <w:szCs w:val="16"/>
                <w:lang w:eastAsia="tr-TR"/>
              </w:rPr>
              <w:t>34,6</w:t>
            </w:r>
          </w:p>
        </w:tc>
        <w:tc>
          <w:tcPr>
            <w:tcW w:w="433" w:type="pct"/>
            <w:tcBorders>
              <w:top w:val="single" w:sz="4" w:space="0" w:color="auto"/>
              <w:left w:val="nil"/>
              <w:bottom w:val="nil"/>
            </w:tcBorders>
            <w:vAlign w:val="center"/>
          </w:tcPr>
          <w:p w:rsidR="00565FD5" w:rsidRPr="004B3DE4" w:rsidRDefault="00565FD5" w:rsidP="00AB62A3">
            <w:pPr>
              <w:tabs>
                <w:tab w:val="left" w:pos="708"/>
              </w:tabs>
              <w:jc w:val="right"/>
              <w:rPr>
                <w:rFonts w:cs="Tahoma"/>
                <w:sz w:val="16"/>
                <w:szCs w:val="16"/>
                <w:lang w:eastAsia="tr-TR"/>
              </w:rPr>
            </w:pPr>
            <w:r w:rsidRPr="004B3DE4">
              <w:rPr>
                <w:rFonts w:cs="Tahoma"/>
                <w:sz w:val="16"/>
                <w:szCs w:val="16"/>
                <w:lang w:eastAsia="tr-TR"/>
              </w:rPr>
              <w:t>38,7</w:t>
            </w:r>
          </w:p>
        </w:tc>
      </w:tr>
      <w:tr w:rsidR="00565FD5" w:rsidRPr="004B3DE4" w:rsidTr="00AB62A3">
        <w:trPr>
          <w:trHeight w:val="454"/>
        </w:trPr>
        <w:tc>
          <w:tcPr>
            <w:tcW w:w="2067" w:type="pct"/>
            <w:tcBorders>
              <w:top w:val="nil"/>
              <w:bottom w:val="nil"/>
              <w:right w:val="single" w:sz="4" w:space="0" w:color="auto"/>
            </w:tcBorders>
            <w:vAlign w:val="center"/>
          </w:tcPr>
          <w:p w:rsidR="00565FD5" w:rsidRPr="004B3DE4" w:rsidRDefault="00565FD5" w:rsidP="00AB62A3">
            <w:pPr>
              <w:ind w:left="125"/>
              <w:rPr>
                <w:rFonts w:eastAsia="Arial Unicode MS" w:cs="Tahoma"/>
                <w:sz w:val="16"/>
                <w:szCs w:val="16"/>
              </w:rPr>
            </w:pPr>
            <w:r w:rsidRPr="004B3DE4">
              <w:rPr>
                <w:rFonts w:eastAsia="Arial Unicode MS" w:cs="Tahoma"/>
                <w:sz w:val="16"/>
                <w:szCs w:val="16"/>
              </w:rPr>
              <w:t>Okur-yazar Olmayan veya Bir Okul Bitirmeyen</w:t>
            </w:r>
          </w:p>
        </w:tc>
        <w:tc>
          <w:tcPr>
            <w:tcW w:w="331" w:type="pct"/>
            <w:tcBorders>
              <w:top w:val="nil"/>
              <w:left w:val="nil"/>
              <w:bottom w:val="nil"/>
              <w:right w:val="nil"/>
            </w:tcBorders>
            <w:noWrap/>
            <w:vAlign w:val="center"/>
          </w:tcPr>
          <w:p w:rsidR="00565FD5" w:rsidRPr="004B3DE4" w:rsidRDefault="00565FD5" w:rsidP="00AB62A3">
            <w:pPr>
              <w:jc w:val="right"/>
              <w:rPr>
                <w:rFonts w:cs="Tahoma"/>
                <w:sz w:val="16"/>
                <w:szCs w:val="16"/>
              </w:rPr>
            </w:pPr>
            <w:r w:rsidRPr="004B3DE4">
              <w:rPr>
                <w:rFonts w:cs="Tahoma"/>
                <w:sz w:val="16"/>
                <w:szCs w:val="16"/>
              </w:rPr>
              <w:t>38,0</w:t>
            </w:r>
          </w:p>
        </w:tc>
        <w:tc>
          <w:tcPr>
            <w:tcW w:w="433" w:type="pct"/>
            <w:tcBorders>
              <w:top w:val="nil"/>
              <w:left w:val="nil"/>
              <w:bottom w:val="nil"/>
              <w:right w:val="nil"/>
            </w:tcBorders>
            <w:noWrap/>
            <w:vAlign w:val="center"/>
          </w:tcPr>
          <w:p w:rsidR="00565FD5" w:rsidRPr="004B3DE4" w:rsidRDefault="00565FD5" w:rsidP="00AB62A3">
            <w:pPr>
              <w:jc w:val="right"/>
              <w:rPr>
                <w:rFonts w:cs="Tahoma"/>
                <w:sz w:val="16"/>
                <w:szCs w:val="16"/>
              </w:rPr>
            </w:pPr>
            <w:r w:rsidRPr="004B3DE4">
              <w:rPr>
                <w:rFonts w:cs="Tahoma"/>
                <w:sz w:val="16"/>
                <w:szCs w:val="16"/>
              </w:rPr>
              <w:t xml:space="preserve">37,5 </w:t>
            </w:r>
          </w:p>
        </w:tc>
        <w:tc>
          <w:tcPr>
            <w:tcW w:w="434" w:type="pct"/>
            <w:tcBorders>
              <w:top w:val="nil"/>
              <w:left w:val="nil"/>
              <w:bottom w:val="nil"/>
              <w:right w:val="nil"/>
            </w:tcBorders>
            <w:vAlign w:val="center"/>
          </w:tcPr>
          <w:p w:rsidR="00565FD5" w:rsidRPr="004B3DE4" w:rsidRDefault="00565FD5" w:rsidP="00AB62A3">
            <w:pPr>
              <w:jc w:val="right"/>
              <w:rPr>
                <w:rFonts w:cs="Tahoma"/>
                <w:sz w:val="16"/>
                <w:szCs w:val="16"/>
              </w:rPr>
            </w:pPr>
            <w:r w:rsidRPr="004B3DE4">
              <w:rPr>
                <w:rFonts w:cs="Tahoma"/>
                <w:sz w:val="16"/>
                <w:szCs w:val="16"/>
              </w:rPr>
              <w:t>31,5</w:t>
            </w:r>
          </w:p>
        </w:tc>
        <w:tc>
          <w:tcPr>
            <w:tcW w:w="433" w:type="pct"/>
            <w:tcBorders>
              <w:top w:val="nil"/>
              <w:left w:val="nil"/>
              <w:bottom w:val="nil"/>
              <w:right w:val="nil"/>
            </w:tcBorders>
            <w:vAlign w:val="center"/>
          </w:tcPr>
          <w:p w:rsidR="00565FD5" w:rsidRPr="004B3DE4" w:rsidRDefault="00565FD5" w:rsidP="00AB62A3">
            <w:pPr>
              <w:jc w:val="right"/>
              <w:rPr>
                <w:rFonts w:cs="Tahoma"/>
                <w:sz w:val="16"/>
                <w:szCs w:val="16"/>
              </w:rPr>
            </w:pPr>
            <w:r w:rsidRPr="004B3DE4">
              <w:rPr>
                <w:rFonts w:cs="Tahoma"/>
                <w:sz w:val="16"/>
                <w:szCs w:val="16"/>
              </w:rPr>
              <w:t xml:space="preserve">28,1 </w:t>
            </w:r>
          </w:p>
        </w:tc>
        <w:tc>
          <w:tcPr>
            <w:tcW w:w="433" w:type="pct"/>
            <w:tcBorders>
              <w:top w:val="nil"/>
              <w:left w:val="nil"/>
              <w:bottom w:val="nil"/>
              <w:right w:val="nil"/>
            </w:tcBorders>
            <w:vAlign w:val="center"/>
          </w:tcPr>
          <w:p w:rsidR="00565FD5" w:rsidRPr="004B3DE4" w:rsidRDefault="00565FD5" w:rsidP="00AB62A3">
            <w:pPr>
              <w:jc w:val="right"/>
              <w:rPr>
                <w:rFonts w:cs="Tahoma"/>
                <w:sz w:val="16"/>
                <w:szCs w:val="16"/>
              </w:rPr>
            </w:pPr>
            <w:r w:rsidRPr="004B3DE4">
              <w:rPr>
                <w:rFonts w:cs="Tahoma"/>
                <w:sz w:val="16"/>
                <w:szCs w:val="16"/>
              </w:rPr>
              <w:t xml:space="preserve">29,0 </w:t>
            </w:r>
          </w:p>
        </w:tc>
        <w:tc>
          <w:tcPr>
            <w:tcW w:w="435" w:type="pct"/>
            <w:tcBorders>
              <w:top w:val="nil"/>
              <w:left w:val="nil"/>
              <w:bottom w:val="nil"/>
              <w:right w:val="nil"/>
            </w:tcBorders>
            <w:vAlign w:val="center"/>
          </w:tcPr>
          <w:p w:rsidR="00565FD5" w:rsidRPr="004B3DE4" w:rsidRDefault="00565FD5" w:rsidP="00AB62A3">
            <w:pPr>
              <w:jc w:val="right"/>
              <w:rPr>
                <w:rFonts w:cs="Tahoma"/>
                <w:sz w:val="16"/>
                <w:szCs w:val="16"/>
              </w:rPr>
            </w:pPr>
            <w:r w:rsidRPr="004B3DE4">
              <w:rPr>
                <w:rFonts w:cs="Tahoma"/>
                <w:sz w:val="16"/>
                <w:szCs w:val="16"/>
              </w:rPr>
              <w:t>30,5</w:t>
            </w:r>
          </w:p>
        </w:tc>
        <w:tc>
          <w:tcPr>
            <w:tcW w:w="433" w:type="pct"/>
            <w:tcBorders>
              <w:top w:val="nil"/>
              <w:left w:val="nil"/>
              <w:bottom w:val="nil"/>
            </w:tcBorders>
            <w:vAlign w:val="center"/>
          </w:tcPr>
          <w:p w:rsidR="00565FD5" w:rsidRPr="004B3DE4" w:rsidRDefault="00565FD5" w:rsidP="00AB62A3">
            <w:pPr>
              <w:jc w:val="right"/>
              <w:rPr>
                <w:rFonts w:cs="Tahoma"/>
                <w:sz w:val="16"/>
                <w:szCs w:val="16"/>
              </w:rPr>
            </w:pPr>
            <w:r w:rsidRPr="004B3DE4">
              <w:rPr>
                <w:rFonts w:cs="Tahoma"/>
                <w:sz w:val="16"/>
                <w:szCs w:val="16"/>
              </w:rPr>
              <w:t>29,8</w:t>
            </w:r>
          </w:p>
        </w:tc>
      </w:tr>
      <w:tr w:rsidR="00565FD5" w:rsidRPr="004B3DE4" w:rsidTr="00AB62A3">
        <w:trPr>
          <w:trHeight w:val="454"/>
        </w:trPr>
        <w:tc>
          <w:tcPr>
            <w:tcW w:w="2067" w:type="pct"/>
            <w:tcBorders>
              <w:top w:val="nil"/>
              <w:bottom w:val="nil"/>
              <w:right w:val="single" w:sz="4" w:space="0" w:color="auto"/>
            </w:tcBorders>
            <w:vAlign w:val="center"/>
          </w:tcPr>
          <w:p w:rsidR="00565FD5" w:rsidRPr="004B3DE4" w:rsidRDefault="00565FD5" w:rsidP="00AB62A3">
            <w:pPr>
              <w:ind w:left="125"/>
              <w:rPr>
                <w:rFonts w:eastAsia="Arial Unicode MS" w:cs="Tahoma"/>
                <w:sz w:val="16"/>
                <w:szCs w:val="16"/>
              </w:rPr>
            </w:pPr>
            <w:r w:rsidRPr="004B3DE4">
              <w:rPr>
                <w:rFonts w:eastAsia="Arial Unicode MS" w:cs="Tahoma"/>
                <w:sz w:val="16"/>
                <w:szCs w:val="16"/>
              </w:rPr>
              <w:t>Ataerkil veya Geniş Aile</w:t>
            </w:r>
          </w:p>
        </w:tc>
        <w:tc>
          <w:tcPr>
            <w:tcW w:w="331" w:type="pct"/>
            <w:tcBorders>
              <w:top w:val="nil"/>
              <w:left w:val="nil"/>
              <w:bottom w:val="nil"/>
              <w:right w:val="nil"/>
            </w:tcBorders>
            <w:noWrap/>
            <w:vAlign w:val="center"/>
          </w:tcPr>
          <w:p w:rsidR="00565FD5" w:rsidRPr="004B3DE4" w:rsidRDefault="00565FD5" w:rsidP="00AB62A3">
            <w:pPr>
              <w:jc w:val="right"/>
              <w:rPr>
                <w:rFonts w:cs="Tahoma"/>
                <w:sz w:val="16"/>
                <w:szCs w:val="16"/>
              </w:rPr>
            </w:pPr>
            <w:r w:rsidRPr="004B3DE4">
              <w:rPr>
                <w:rFonts w:cs="Tahoma"/>
                <w:sz w:val="16"/>
                <w:szCs w:val="16"/>
              </w:rPr>
              <w:t>32,7</w:t>
            </w:r>
          </w:p>
        </w:tc>
        <w:tc>
          <w:tcPr>
            <w:tcW w:w="433" w:type="pct"/>
            <w:tcBorders>
              <w:top w:val="nil"/>
              <w:left w:val="nil"/>
              <w:bottom w:val="nil"/>
              <w:right w:val="nil"/>
            </w:tcBorders>
            <w:noWrap/>
            <w:vAlign w:val="center"/>
          </w:tcPr>
          <w:p w:rsidR="00565FD5" w:rsidRPr="004B3DE4" w:rsidRDefault="00565FD5" w:rsidP="00AB62A3">
            <w:pPr>
              <w:jc w:val="right"/>
              <w:rPr>
                <w:rFonts w:cs="Tahoma"/>
                <w:sz w:val="16"/>
                <w:szCs w:val="16"/>
              </w:rPr>
            </w:pPr>
            <w:r w:rsidRPr="004B3DE4">
              <w:rPr>
                <w:rFonts w:cs="Tahoma"/>
                <w:sz w:val="16"/>
                <w:szCs w:val="16"/>
              </w:rPr>
              <w:t>32,0</w:t>
            </w:r>
          </w:p>
        </w:tc>
        <w:tc>
          <w:tcPr>
            <w:tcW w:w="434" w:type="pct"/>
            <w:tcBorders>
              <w:top w:val="nil"/>
              <w:left w:val="nil"/>
              <w:bottom w:val="nil"/>
              <w:right w:val="nil"/>
            </w:tcBorders>
            <w:vAlign w:val="center"/>
          </w:tcPr>
          <w:p w:rsidR="00565FD5" w:rsidRPr="004B3DE4" w:rsidRDefault="00565FD5" w:rsidP="00AB62A3">
            <w:pPr>
              <w:jc w:val="right"/>
              <w:rPr>
                <w:rFonts w:cs="Tahoma"/>
                <w:sz w:val="16"/>
                <w:szCs w:val="16"/>
              </w:rPr>
            </w:pPr>
            <w:r w:rsidRPr="004B3DE4">
              <w:rPr>
                <w:rFonts w:cs="Tahoma"/>
                <w:sz w:val="16"/>
                <w:szCs w:val="16"/>
              </w:rPr>
              <w:t>27,3</w:t>
            </w:r>
          </w:p>
        </w:tc>
        <w:tc>
          <w:tcPr>
            <w:tcW w:w="433" w:type="pct"/>
            <w:tcBorders>
              <w:top w:val="nil"/>
              <w:left w:val="nil"/>
              <w:bottom w:val="nil"/>
              <w:right w:val="nil"/>
            </w:tcBorders>
            <w:vAlign w:val="center"/>
          </w:tcPr>
          <w:p w:rsidR="00565FD5" w:rsidRPr="004B3DE4" w:rsidRDefault="00565FD5" w:rsidP="00AB62A3">
            <w:pPr>
              <w:jc w:val="right"/>
              <w:rPr>
                <w:rFonts w:cs="Tahoma"/>
                <w:sz w:val="16"/>
                <w:szCs w:val="16"/>
              </w:rPr>
            </w:pPr>
            <w:r w:rsidRPr="004B3DE4">
              <w:rPr>
                <w:rFonts w:cs="Tahoma"/>
                <w:sz w:val="16"/>
                <w:szCs w:val="16"/>
              </w:rPr>
              <w:t>20,2</w:t>
            </w:r>
          </w:p>
        </w:tc>
        <w:tc>
          <w:tcPr>
            <w:tcW w:w="433" w:type="pct"/>
            <w:tcBorders>
              <w:top w:val="nil"/>
              <w:left w:val="nil"/>
              <w:bottom w:val="nil"/>
              <w:right w:val="nil"/>
            </w:tcBorders>
            <w:vAlign w:val="center"/>
          </w:tcPr>
          <w:p w:rsidR="00565FD5" w:rsidRPr="004B3DE4" w:rsidRDefault="00565FD5" w:rsidP="00AB62A3">
            <w:pPr>
              <w:tabs>
                <w:tab w:val="left" w:pos="708"/>
              </w:tabs>
              <w:jc w:val="right"/>
              <w:rPr>
                <w:rFonts w:cs="Tahoma"/>
                <w:sz w:val="16"/>
                <w:szCs w:val="16"/>
              </w:rPr>
            </w:pPr>
            <w:r w:rsidRPr="004B3DE4">
              <w:rPr>
                <w:rFonts w:cs="Tahoma"/>
                <w:sz w:val="16"/>
                <w:szCs w:val="16"/>
                <w:lang w:eastAsia="tr-TR"/>
              </w:rPr>
              <w:t>23,9</w:t>
            </w:r>
          </w:p>
        </w:tc>
        <w:tc>
          <w:tcPr>
            <w:tcW w:w="435" w:type="pct"/>
            <w:tcBorders>
              <w:top w:val="nil"/>
              <w:left w:val="nil"/>
              <w:bottom w:val="nil"/>
              <w:right w:val="nil"/>
            </w:tcBorders>
            <w:vAlign w:val="center"/>
          </w:tcPr>
          <w:p w:rsidR="00565FD5" w:rsidRPr="004B3DE4" w:rsidRDefault="00565FD5" w:rsidP="00AB62A3">
            <w:pPr>
              <w:tabs>
                <w:tab w:val="left" w:pos="708"/>
              </w:tabs>
              <w:jc w:val="right"/>
              <w:rPr>
                <w:rFonts w:cs="Tahoma"/>
                <w:sz w:val="16"/>
                <w:szCs w:val="16"/>
              </w:rPr>
            </w:pPr>
            <w:r w:rsidRPr="004B3DE4">
              <w:rPr>
                <w:rFonts w:cs="Tahoma"/>
                <w:sz w:val="16"/>
                <w:szCs w:val="16"/>
                <w:lang w:eastAsia="tr-TR"/>
              </w:rPr>
              <w:t>21,8</w:t>
            </w:r>
          </w:p>
        </w:tc>
        <w:tc>
          <w:tcPr>
            <w:tcW w:w="433" w:type="pct"/>
            <w:tcBorders>
              <w:top w:val="nil"/>
              <w:left w:val="nil"/>
              <w:bottom w:val="nil"/>
            </w:tcBorders>
            <w:vAlign w:val="center"/>
          </w:tcPr>
          <w:p w:rsidR="00565FD5" w:rsidRPr="004B3DE4" w:rsidRDefault="00565FD5" w:rsidP="00AB62A3">
            <w:pPr>
              <w:tabs>
                <w:tab w:val="left" w:pos="708"/>
              </w:tabs>
              <w:jc w:val="right"/>
              <w:rPr>
                <w:rFonts w:cs="Tahoma"/>
                <w:sz w:val="16"/>
                <w:szCs w:val="16"/>
                <w:lang w:eastAsia="tr-TR"/>
              </w:rPr>
            </w:pPr>
            <w:r w:rsidRPr="004B3DE4">
              <w:rPr>
                <w:rFonts w:cs="Tahoma"/>
                <w:sz w:val="16"/>
                <w:szCs w:val="16"/>
                <w:lang w:eastAsia="tr-TR"/>
              </w:rPr>
              <w:t>24,5</w:t>
            </w:r>
          </w:p>
        </w:tc>
      </w:tr>
      <w:tr w:rsidR="00565FD5" w:rsidRPr="004B3DE4" w:rsidTr="00AB62A3">
        <w:trPr>
          <w:trHeight w:val="454"/>
        </w:trPr>
        <w:tc>
          <w:tcPr>
            <w:tcW w:w="2067" w:type="pct"/>
            <w:tcBorders>
              <w:top w:val="nil"/>
              <w:bottom w:val="nil"/>
              <w:right w:val="single" w:sz="4" w:space="0" w:color="auto"/>
            </w:tcBorders>
            <w:vAlign w:val="center"/>
          </w:tcPr>
          <w:p w:rsidR="00565FD5" w:rsidRPr="004B3DE4" w:rsidRDefault="00565FD5" w:rsidP="00AB62A3">
            <w:pPr>
              <w:ind w:left="125"/>
              <w:rPr>
                <w:rFonts w:eastAsia="Arial Unicode MS" w:cs="Tahoma"/>
                <w:sz w:val="16"/>
                <w:szCs w:val="16"/>
              </w:rPr>
            </w:pPr>
            <w:r w:rsidRPr="004B3DE4">
              <w:rPr>
                <w:rFonts w:eastAsia="Arial Unicode MS" w:cs="Tahoma"/>
                <w:sz w:val="16"/>
                <w:szCs w:val="16"/>
              </w:rPr>
              <w:t>Tarım Sektöründe Çalışanlar</w:t>
            </w:r>
          </w:p>
        </w:tc>
        <w:tc>
          <w:tcPr>
            <w:tcW w:w="331" w:type="pct"/>
            <w:tcBorders>
              <w:top w:val="nil"/>
              <w:left w:val="nil"/>
              <w:bottom w:val="nil"/>
              <w:right w:val="nil"/>
            </w:tcBorders>
            <w:noWrap/>
            <w:vAlign w:val="center"/>
          </w:tcPr>
          <w:p w:rsidR="00565FD5" w:rsidRPr="004B3DE4" w:rsidRDefault="00565FD5" w:rsidP="00AB62A3">
            <w:pPr>
              <w:jc w:val="right"/>
              <w:rPr>
                <w:rFonts w:cs="Tahoma"/>
                <w:sz w:val="16"/>
                <w:szCs w:val="16"/>
              </w:rPr>
            </w:pPr>
            <w:r w:rsidRPr="004B3DE4">
              <w:rPr>
                <w:rFonts w:cs="Tahoma"/>
                <w:sz w:val="16"/>
                <w:szCs w:val="16"/>
              </w:rPr>
              <w:t>39,9</w:t>
            </w:r>
          </w:p>
        </w:tc>
        <w:tc>
          <w:tcPr>
            <w:tcW w:w="433" w:type="pct"/>
            <w:tcBorders>
              <w:top w:val="nil"/>
              <w:left w:val="nil"/>
              <w:bottom w:val="nil"/>
              <w:right w:val="nil"/>
            </w:tcBorders>
            <w:noWrap/>
            <w:vAlign w:val="center"/>
          </w:tcPr>
          <w:p w:rsidR="00565FD5" w:rsidRPr="004B3DE4" w:rsidRDefault="00565FD5" w:rsidP="00AB62A3">
            <w:pPr>
              <w:jc w:val="right"/>
              <w:rPr>
                <w:rFonts w:cs="Tahoma"/>
                <w:sz w:val="16"/>
                <w:szCs w:val="16"/>
              </w:rPr>
            </w:pPr>
            <w:r w:rsidRPr="004B3DE4">
              <w:rPr>
                <w:rFonts w:cs="Tahoma"/>
                <w:sz w:val="16"/>
                <w:szCs w:val="16"/>
              </w:rPr>
              <w:t>40,9</w:t>
            </w:r>
          </w:p>
        </w:tc>
        <w:tc>
          <w:tcPr>
            <w:tcW w:w="434" w:type="pct"/>
            <w:tcBorders>
              <w:top w:val="nil"/>
              <w:left w:val="nil"/>
              <w:bottom w:val="nil"/>
              <w:right w:val="nil"/>
            </w:tcBorders>
            <w:vAlign w:val="center"/>
          </w:tcPr>
          <w:p w:rsidR="00565FD5" w:rsidRPr="004B3DE4" w:rsidRDefault="00565FD5" w:rsidP="00AB62A3">
            <w:pPr>
              <w:jc w:val="right"/>
              <w:rPr>
                <w:rFonts w:cs="Tahoma"/>
                <w:sz w:val="16"/>
                <w:szCs w:val="16"/>
              </w:rPr>
            </w:pPr>
            <w:r w:rsidRPr="004B3DE4">
              <w:rPr>
                <w:rFonts w:cs="Tahoma"/>
                <w:sz w:val="16"/>
                <w:szCs w:val="16"/>
              </w:rPr>
              <w:t>37,2</w:t>
            </w:r>
          </w:p>
        </w:tc>
        <w:tc>
          <w:tcPr>
            <w:tcW w:w="433" w:type="pct"/>
            <w:tcBorders>
              <w:top w:val="nil"/>
              <w:left w:val="nil"/>
              <w:bottom w:val="nil"/>
              <w:right w:val="nil"/>
            </w:tcBorders>
            <w:vAlign w:val="center"/>
          </w:tcPr>
          <w:p w:rsidR="00565FD5" w:rsidRPr="004B3DE4" w:rsidRDefault="00565FD5" w:rsidP="00AB62A3">
            <w:pPr>
              <w:jc w:val="right"/>
              <w:rPr>
                <w:rFonts w:cs="Tahoma"/>
                <w:sz w:val="16"/>
                <w:szCs w:val="16"/>
              </w:rPr>
            </w:pPr>
            <w:r w:rsidRPr="004B3DE4">
              <w:rPr>
                <w:rFonts w:cs="Tahoma"/>
                <w:sz w:val="16"/>
                <w:szCs w:val="16"/>
              </w:rPr>
              <w:t>33,9</w:t>
            </w:r>
          </w:p>
        </w:tc>
        <w:tc>
          <w:tcPr>
            <w:tcW w:w="433" w:type="pct"/>
            <w:tcBorders>
              <w:top w:val="nil"/>
              <w:left w:val="nil"/>
              <w:bottom w:val="nil"/>
              <w:right w:val="nil"/>
            </w:tcBorders>
            <w:vAlign w:val="center"/>
          </w:tcPr>
          <w:p w:rsidR="00565FD5" w:rsidRPr="004B3DE4" w:rsidRDefault="00565FD5" w:rsidP="00AB62A3">
            <w:pPr>
              <w:tabs>
                <w:tab w:val="left" w:pos="708"/>
              </w:tabs>
              <w:jc w:val="right"/>
              <w:rPr>
                <w:rFonts w:cs="Tahoma"/>
                <w:sz w:val="16"/>
                <w:szCs w:val="16"/>
              </w:rPr>
            </w:pPr>
            <w:r w:rsidRPr="004B3DE4">
              <w:rPr>
                <w:rFonts w:cs="Tahoma"/>
                <w:sz w:val="16"/>
                <w:szCs w:val="16"/>
                <w:lang w:eastAsia="tr-TR"/>
              </w:rPr>
              <w:t>32,1</w:t>
            </w:r>
          </w:p>
        </w:tc>
        <w:tc>
          <w:tcPr>
            <w:tcW w:w="435" w:type="pct"/>
            <w:tcBorders>
              <w:top w:val="nil"/>
              <w:left w:val="nil"/>
              <w:bottom w:val="nil"/>
              <w:right w:val="nil"/>
            </w:tcBorders>
            <w:vAlign w:val="center"/>
          </w:tcPr>
          <w:p w:rsidR="00565FD5" w:rsidRPr="004B3DE4" w:rsidRDefault="00565FD5" w:rsidP="00AB62A3">
            <w:pPr>
              <w:tabs>
                <w:tab w:val="left" w:pos="708"/>
              </w:tabs>
              <w:jc w:val="right"/>
              <w:rPr>
                <w:rFonts w:cs="Tahoma"/>
                <w:sz w:val="16"/>
                <w:szCs w:val="16"/>
              </w:rPr>
            </w:pPr>
            <w:r w:rsidRPr="004B3DE4">
              <w:rPr>
                <w:rFonts w:cs="Tahoma"/>
                <w:sz w:val="16"/>
                <w:szCs w:val="16"/>
                <w:lang w:eastAsia="tr-TR"/>
              </w:rPr>
              <w:t>38,0</w:t>
            </w:r>
          </w:p>
        </w:tc>
        <w:tc>
          <w:tcPr>
            <w:tcW w:w="433" w:type="pct"/>
            <w:tcBorders>
              <w:top w:val="nil"/>
              <w:left w:val="nil"/>
              <w:bottom w:val="nil"/>
            </w:tcBorders>
            <w:vAlign w:val="center"/>
          </w:tcPr>
          <w:p w:rsidR="00565FD5" w:rsidRPr="004B3DE4" w:rsidRDefault="00565FD5" w:rsidP="00AB62A3">
            <w:pPr>
              <w:tabs>
                <w:tab w:val="left" w:pos="708"/>
              </w:tabs>
              <w:jc w:val="right"/>
              <w:rPr>
                <w:rFonts w:cs="Tahoma"/>
                <w:sz w:val="16"/>
                <w:szCs w:val="16"/>
                <w:lang w:eastAsia="tr-TR"/>
              </w:rPr>
            </w:pPr>
            <w:r w:rsidRPr="004B3DE4">
              <w:rPr>
                <w:rFonts w:cs="Tahoma"/>
                <w:sz w:val="16"/>
                <w:szCs w:val="16"/>
                <w:lang w:eastAsia="tr-TR"/>
              </w:rPr>
              <w:t>33,0</w:t>
            </w:r>
          </w:p>
        </w:tc>
      </w:tr>
      <w:tr w:rsidR="00565FD5" w:rsidRPr="004B3DE4" w:rsidTr="00AB62A3">
        <w:trPr>
          <w:trHeight w:val="454"/>
        </w:trPr>
        <w:tc>
          <w:tcPr>
            <w:tcW w:w="2067" w:type="pct"/>
            <w:tcBorders>
              <w:top w:val="nil"/>
              <w:bottom w:val="nil"/>
              <w:right w:val="single" w:sz="4" w:space="0" w:color="auto"/>
            </w:tcBorders>
            <w:vAlign w:val="center"/>
          </w:tcPr>
          <w:p w:rsidR="00565FD5" w:rsidRPr="004B3DE4" w:rsidRDefault="00565FD5" w:rsidP="00AB62A3">
            <w:pPr>
              <w:ind w:left="125"/>
              <w:rPr>
                <w:rFonts w:eastAsia="Arial Unicode MS" w:cs="Tahoma"/>
                <w:sz w:val="16"/>
                <w:szCs w:val="16"/>
              </w:rPr>
            </w:pPr>
            <w:r w:rsidRPr="004B3DE4">
              <w:rPr>
                <w:rFonts w:eastAsia="Arial Unicode MS" w:cs="Tahoma"/>
                <w:sz w:val="16"/>
                <w:szCs w:val="16"/>
              </w:rPr>
              <w:lastRenderedPageBreak/>
              <w:t>Ücretsiz Aile İşçileri ve Yevmiyeliler (1)</w:t>
            </w:r>
          </w:p>
        </w:tc>
        <w:tc>
          <w:tcPr>
            <w:tcW w:w="331" w:type="pct"/>
            <w:tcBorders>
              <w:top w:val="nil"/>
              <w:left w:val="nil"/>
              <w:bottom w:val="nil"/>
              <w:right w:val="nil"/>
            </w:tcBorders>
            <w:noWrap/>
            <w:vAlign w:val="center"/>
          </w:tcPr>
          <w:p w:rsidR="00565FD5" w:rsidRPr="004B3DE4" w:rsidRDefault="00565FD5" w:rsidP="00AB62A3">
            <w:pPr>
              <w:jc w:val="right"/>
              <w:rPr>
                <w:rFonts w:cs="Tahoma"/>
                <w:sz w:val="16"/>
                <w:szCs w:val="16"/>
              </w:rPr>
            </w:pPr>
            <w:r w:rsidRPr="004B3DE4">
              <w:rPr>
                <w:rFonts w:cs="Tahoma"/>
                <w:sz w:val="16"/>
                <w:szCs w:val="16"/>
              </w:rPr>
              <w:t>43,1</w:t>
            </w:r>
          </w:p>
        </w:tc>
        <w:tc>
          <w:tcPr>
            <w:tcW w:w="433" w:type="pct"/>
            <w:tcBorders>
              <w:top w:val="nil"/>
              <w:left w:val="nil"/>
              <w:bottom w:val="nil"/>
              <w:right w:val="nil"/>
            </w:tcBorders>
            <w:noWrap/>
            <w:vAlign w:val="center"/>
          </w:tcPr>
          <w:p w:rsidR="00565FD5" w:rsidRPr="004B3DE4" w:rsidRDefault="00565FD5" w:rsidP="00AB62A3">
            <w:pPr>
              <w:jc w:val="right"/>
              <w:rPr>
                <w:rFonts w:cs="Tahoma"/>
                <w:sz w:val="16"/>
                <w:szCs w:val="16"/>
              </w:rPr>
            </w:pPr>
            <w:r w:rsidRPr="004B3DE4">
              <w:rPr>
                <w:rFonts w:cs="Tahoma"/>
                <w:sz w:val="16"/>
                <w:szCs w:val="16"/>
              </w:rPr>
              <w:t>38,7</w:t>
            </w:r>
          </w:p>
        </w:tc>
        <w:tc>
          <w:tcPr>
            <w:tcW w:w="434" w:type="pct"/>
            <w:tcBorders>
              <w:top w:val="nil"/>
              <w:left w:val="nil"/>
              <w:bottom w:val="nil"/>
              <w:right w:val="nil"/>
            </w:tcBorders>
            <w:vAlign w:val="center"/>
          </w:tcPr>
          <w:p w:rsidR="00565FD5" w:rsidRPr="004B3DE4" w:rsidRDefault="00565FD5" w:rsidP="00AB62A3">
            <w:pPr>
              <w:jc w:val="right"/>
              <w:rPr>
                <w:rFonts w:cs="Tahoma"/>
                <w:sz w:val="16"/>
                <w:szCs w:val="16"/>
              </w:rPr>
            </w:pPr>
            <w:r w:rsidRPr="004B3DE4">
              <w:rPr>
                <w:rFonts w:cs="Tahoma"/>
                <w:sz w:val="16"/>
                <w:szCs w:val="16"/>
              </w:rPr>
              <w:t>34,5</w:t>
            </w:r>
          </w:p>
        </w:tc>
        <w:tc>
          <w:tcPr>
            <w:tcW w:w="433" w:type="pct"/>
            <w:tcBorders>
              <w:top w:val="nil"/>
              <w:left w:val="nil"/>
              <w:bottom w:val="nil"/>
              <w:right w:val="nil"/>
            </w:tcBorders>
            <w:vAlign w:val="center"/>
          </w:tcPr>
          <w:p w:rsidR="00565FD5" w:rsidRPr="004B3DE4" w:rsidRDefault="00565FD5" w:rsidP="00AB62A3">
            <w:pPr>
              <w:jc w:val="right"/>
              <w:rPr>
                <w:rFonts w:cs="Tahoma"/>
                <w:sz w:val="16"/>
                <w:szCs w:val="16"/>
              </w:rPr>
            </w:pPr>
            <w:r w:rsidRPr="004B3DE4">
              <w:rPr>
                <w:rFonts w:cs="Tahoma"/>
                <w:sz w:val="16"/>
                <w:szCs w:val="16"/>
              </w:rPr>
              <w:t>32,0</w:t>
            </w:r>
          </w:p>
        </w:tc>
        <w:tc>
          <w:tcPr>
            <w:tcW w:w="433" w:type="pct"/>
            <w:tcBorders>
              <w:top w:val="nil"/>
              <w:left w:val="nil"/>
              <w:bottom w:val="nil"/>
              <w:right w:val="nil"/>
            </w:tcBorders>
            <w:vAlign w:val="center"/>
          </w:tcPr>
          <w:p w:rsidR="00565FD5" w:rsidRPr="004B3DE4" w:rsidRDefault="00565FD5" w:rsidP="00AB62A3">
            <w:pPr>
              <w:tabs>
                <w:tab w:val="left" w:pos="708"/>
              </w:tabs>
              <w:jc w:val="right"/>
              <w:rPr>
                <w:rFonts w:cs="Tahoma"/>
                <w:sz w:val="16"/>
                <w:szCs w:val="16"/>
              </w:rPr>
            </w:pPr>
            <w:r w:rsidRPr="004B3DE4">
              <w:rPr>
                <w:rFonts w:cs="Tahoma"/>
                <w:sz w:val="16"/>
                <w:szCs w:val="16"/>
                <w:lang w:eastAsia="tr-TR"/>
              </w:rPr>
              <w:t>28,6</w:t>
            </w:r>
          </w:p>
        </w:tc>
        <w:tc>
          <w:tcPr>
            <w:tcW w:w="435" w:type="pct"/>
            <w:tcBorders>
              <w:top w:val="nil"/>
              <w:left w:val="nil"/>
              <w:bottom w:val="nil"/>
              <w:right w:val="nil"/>
            </w:tcBorders>
            <w:vAlign w:val="center"/>
          </w:tcPr>
          <w:p w:rsidR="00565FD5" w:rsidRPr="004B3DE4" w:rsidRDefault="00565FD5" w:rsidP="00AB62A3">
            <w:pPr>
              <w:tabs>
                <w:tab w:val="left" w:pos="708"/>
              </w:tabs>
              <w:jc w:val="right"/>
              <w:rPr>
                <w:rFonts w:cs="Tahoma"/>
                <w:sz w:val="16"/>
                <w:szCs w:val="16"/>
              </w:rPr>
            </w:pPr>
            <w:r w:rsidRPr="004B3DE4">
              <w:rPr>
                <w:rFonts w:cs="Tahoma"/>
                <w:sz w:val="16"/>
                <w:szCs w:val="16"/>
                <w:lang w:eastAsia="tr-TR"/>
              </w:rPr>
              <w:t>32,0</w:t>
            </w:r>
          </w:p>
        </w:tc>
        <w:tc>
          <w:tcPr>
            <w:tcW w:w="433" w:type="pct"/>
            <w:tcBorders>
              <w:top w:val="nil"/>
              <w:left w:val="nil"/>
              <w:bottom w:val="nil"/>
            </w:tcBorders>
            <w:vAlign w:val="center"/>
          </w:tcPr>
          <w:p w:rsidR="00565FD5" w:rsidRPr="004B3DE4" w:rsidRDefault="00565FD5" w:rsidP="00AB62A3">
            <w:pPr>
              <w:tabs>
                <w:tab w:val="left" w:pos="708"/>
              </w:tabs>
              <w:jc w:val="right"/>
              <w:rPr>
                <w:rFonts w:cs="Tahoma"/>
                <w:sz w:val="16"/>
                <w:szCs w:val="16"/>
                <w:lang w:eastAsia="tr-TR"/>
              </w:rPr>
            </w:pPr>
            <w:r w:rsidRPr="004B3DE4">
              <w:rPr>
                <w:rFonts w:cs="Tahoma"/>
                <w:sz w:val="16"/>
                <w:szCs w:val="16"/>
                <w:lang w:eastAsia="tr-TR"/>
              </w:rPr>
              <w:t>29,6</w:t>
            </w:r>
          </w:p>
        </w:tc>
      </w:tr>
      <w:tr w:rsidR="00565FD5" w:rsidRPr="004B3DE4" w:rsidTr="00AB62A3">
        <w:trPr>
          <w:trHeight w:val="454"/>
        </w:trPr>
        <w:tc>
          <w:tcPr>
            <w:tcW w:w="2067" w:type="pct"/>
            <w:tcBorders>
              <w:top w:val="nil"/>
              <w:bottom w:val="single" w:sz="4" w:space="0" w:color="auto"/>
              <w:right w:val="single" w:sz="4" w:space="0" w:color="auto"/>
            </w:tcBorders>
            <w:noWrap/>
            <w:vAlign w:val="center"/>
          </w:tcPr>
          <w:p w:rsidR="00565FD5" w:rsidRPr="004B3DE4" w:rsidRDefault="00565FD5" w:rsidP="00AB62A3">
            <w:pPr>
              <w:ind w:left="125"/>
              <w:rPr>
                <w:rFonts w:eastAsia="Arial Unicode MS" w:cs="Tahoma"/>
                <w:sz w:val="16"/>
                <w:szCs w:val="16"/>
              </w:rPr>
            </w:pPr>
            <w:r w:rsidRPr="004B3DE4">
              <w:rPr>
                <w:rFonts w:eastAsia="Arial Unicode MS" w:cs="Tahoma"/>
                <w:sz w:val="16"/>
                <w:szCs w:val="16"/>
              </w:rPr>
              <w:t xml:space="preserve">Genel Yoksulluk Oranı </w:t>
            </w:r>
          </w:p>
          <w:p w:rsidR="00565FD5" w:rsidRPr="004B3DE4" w:rsidRDefault="00565FD5" w:rsidP="00AB62A3">
            <w:pPr>
              <w:ind w:left="125"/>
              <w:rPr>
                <w:rFonts w:eastAsia="Arial Unicode MS" w:cs="Tahoma"/>
                <w:sz w:val="16"/>
                <w:szCs w:val="16"/>
              </w:rPr>
            </w:pPr>
            <w:r w:rsidRPr="004B3DE4">
              <w:rPr>
                <w:rFonts w:eastAsia="Arial Unicode MS" w:cs="Tahoma"/>
                <w:sz w:val="16"/>
                <w:szCs w:val="16"/>
              </w:rPr>
              <w:t>(Gıda ve Gıda-Dışı Yoksulluk)</w:t>
            </w:r>
          </w:p>
        </w:tc>
        <w:tc>
          <w:tcPr>
            <w:tcW w:w="331" w:type="pct"/>
            <w:tcBorders>
              <w:top w:val="nil"/>
              <w:left w:val="nil"/>
              <w:bottom w:val="single" w:sz="4" w:space="0" w:color="auto"/>
              <w:right w:val="nil"/>
            </w:tcBorders>
            <w:noWrap/>
            <w:vAlign w:val="center"/>
          </w:tcPr>
          <w:p w:rsidR="00565FD5" w:rsidRPr="004B3DE4" w:rsidRDefault="00565FD5" w:rsidP="00AB62A3">
            <w:pPr>
              <w:jc w:val="right"/>
              <w:rPr>
                <w:rFonts w:eastAsia="Arial Unicode MS" w:cs="Tahoma"/>
                <w:sz w:val="16"/>
                <w:szCs w:val="16"/>
              </w:rPr>
            </w:pPr>
            <w:r w:rsidRPr="004B3DE4">
              <w:rPr>
                <w:rFonts w:eastAsia="Arial Unicode MS" w:cs="Tahoma"/>
                <w:sz w:val="16"/>
                <w:szCs w:val="16"/>
              </w:rPr>
              <w:t>28,1</w:t>
            </w:r>
          </w:p>
        </w:tc>
        <w:tc>
          <w:tcPr>
            <w:tcW w:w="433" w:type="pct"/>
            <w:tcBorders>
              <w:top w:val="nil"/>
              <w:left w:val="nil"/>
              <w:bottom w:val="single" w:sz="4" w:space="0" w:color="auto"/>
              <w:right w:val="nil"/>
            </w:tcBorders>
            <w:noWrap/>
            <w:vAlign w:val="center"/>
          </w:tcPr>
          <w:p w:rsidR="00565FD5" w:rsidRPr="004B3DE4" w:rsidRDefault="00565FD5" w:rsidP="00AB62A3">
            <w:pPr>
              <w:jc w:val="right"/>
              <w:rPr>
                <w:rFonts w:eastAsia="Arial Unicode MS" w:cs="Tahoma"/>
                <w:sz w:val="16"/>
                <w:szCs w:val="16"/>
              </w:rPr>
            </w:pPr>
            <w:r w:rsidRPr="004B3DE4">
              <w:rPr>
                <w:rFonts w:eastAsia="Arial Unicode MS" w:cs="Tahoma"/>
                <w:sz w:val="16"/>
                <w:szCs w:val="16"/>
              </w:rPr>
              <w:t>25,6</w:t>
            </w:r>
          </w:p>
        </w:tc>
        <w:tc>
          <w:tcPr>
            <w:tcW w:w="434" w:type="pct"/>
            <w:tcBorders>
              <w:top w:val="nil"/>
              <w:left w:val="nil"/>
              <w:bottom w:val="single" w:sz="4" w:space="0" w:color="auto"/>
              <w:right w:val="nil"/>
            </w:tcBorders>
            <w:vAlign w:val="center"/>
          </w:tcPr>
          <w:p w:rsidR="00565FD5" w:rsidRPr="004B3DE4" w:rsidRDefault="00565FD5" w:rsidP="00AB62A3">
            <w:pPr>
              <w:jc w:val="right"/>
              <w:rPr>
                <w:rFonts w:eastAsia="Arial Unicode MS" w:cs="Tahoma"/>
                <w:sz w:val="16"/>
                <w:szCs w:val="16"/>
              </w:rPr>
            </w:pPr>
            <w:r w:rsidRPr="004B3DE4">
              <w:rPr>
                <w:rFonts w:eastAsia="Arial Unicode MS" w:cs="Tahoma"/>
                <w:sz w:val="16"/>
                <w:szCs w:val="16"/>
              </w:rPr>
              <w:t>20,5</w:t>
            </w:r>
          </w:p>
        </w:tc>
        <w:tc>
          <w:tcPr>
            <w:tcW w:w="433" w:type="pct"/>
            <w:tcBorders>
              <w:top w:val="nil"/>
              <w:left w:val="nil"/>
              <w:bottom w:val="single" w:sz="4" w:space="0" w:color="auto"/>
              <w:right w:val="nil"/>
            </w:tcBorders>
            <w:vAlign w:val="center"/>
          </w:tcPr>
          <w:p w:rsidR="00565FD5" w:rsidRPr="004B3DE4" w:rsidRDefault="00565FD5" w:rsidP="00AB62A3">
            <w:pPr>
              <w:jc w:val="right"/>
              <w:rPr>
                <w:rFonts w:eastAsia="Arial Unicode MS" w:cs="Tahoma"/>
                <w:sz w:val="16"/>
                <w:szCs w:val="16"/>
              </w:rPr>
            </w:pPr>
            <w:r w:rsidRPr="004B3DE4">
              <w:rPr>
                <w:rFonts w:eastAsia="Arial Unicode MS" w:cs="Tahoma"/>
                <w:sz w:val="16"/>
                <w:szCs w:val="16"/>
              </w:rPr>
              <w:t>17,8</w:t>
            </w:r>
          </w:p>
        </w:tc>
        <w:tc>
          <w:tcPr>
            <w:tcW w:w="433" w:type="pct"/>
            <w:tcBorders>
              <w:top w:val="nil"/>
              <w:left w:val="nil"/>
              <w:bottom w:val="single" w:sz="4" w:space="0" w:color="auto"/>
              <w:right w:val="nil"/>
            </w:tcBorders>
            <w:vAlign w:val="center"/>
          </w:tcPr>
          <w:p w:rsidR="00565FD5" w:rsidRPr="004B3DE4" w:rsidRDefault="00565FD5" w:rsidP="00AB62A3">
            <w:pPr>
              <w:jc w:val="right"/>
              <w:rPr>
                <w:rFonts w:eastAsia="Arial Unicode MS" w:cs="Tahoma"/>
                <w:sz w:val="16"/>
                <w:szCs w:val="16"/>
              </w:rPr>
            </w:pPr>
            <w:r w:rsidRPr="004B3DE4">
              <w:rPr>
                <w:rFonts w:eastAsia="Arial Unicode MS" w:cs="Tahoma"/>
                <w:sz w:val="16"/>
                <w:szCs w:val="16"/>
              </w:rPr>
              <w:t>17,8</w:t>
            </w:r>
          </w:p>
        </w:tc>
        <w:tc>
          <w:tcPr>
            <w:tcW w:w="435" w:type="pct"/>
            <w:tcBorders>
              <w:top w:val="nil"/>
              <w:left w:val="nil"/>
              <w:bottom w:val="single" w:sz="4" w:space="0" w:color="auto"/>
              <w:right w:val="nil"/>
            </w:tcBorders>
            <w:vAlign w:val="center"/>
          </w:tcPr>
          <w:p w:rsidR="00565FD5" w:rsidRPr="004B3DE4" w:rsidRDefault="00565FD5" w:rsidP="00AB62A3">
            <w:pPr>
              <w:jc w:val="right"/>
              <w:rPr>
                <w:rFonts w:eastAsia="Arial Unicode MS" w:cs="Tahoma"/>
                <w:sz w:val="16"/>
                <w:szCs w:val="16"/>
              </w:rPr>
            </w:pPr>
            <w:r w:rsidRPr="004B3DE4">
              <w:rPr>
                <w:rFonts w:eastAsia="Arial Unicode MS" w:cs="Tahoma"/>
                <w:sz w:val="16"/>
                <w:szCs w:val="16"/>
              </w:rPr>
              <w:t>17,1</w:t>
            </w:r>
          </w:p>
        </w:tc>
        <w:tc>
          <w:tcPr>
            <w:tcW w:w="433" w:type="pct"/>
            <w:tcBorders>
              <w:top w:val="nil"/>
              <w:left w:val="nil"/>
              <w:bottom w:val="single" w:sz="4" w:space="0" w:color="auto"/>
            </w:tcBorders>
            <w:vAlign w:val="center"/>
          </w:tcPr>
          <w:p w:rsidR="00565FD5" w:rsidRPr="004B3DE4" w:rsidRDefault="00565FD5" w:rsidP="00AB62A3">
            <w:pPr>
              <w:jc w:val="right"/>
              <w:rPr>
                <w:rFonts w:eastAsia="Arial Unicode MS" w:cs="Tahoma"/>
                <w:sz w:val="16"/>
                <w:szCs w:val="16"/>
              </w:rPr>
            </w:pPr>
            <w:r w:rsidRPr="004B3DE4">
              <w:rPr>
                <w:rFonts w:eastAsia="Arial Unicode MS" w:cs="Tahoma"/>
                <w:sz w:val="16"/>
                <w:szCs w:val="16"/>
              </w:rPr>
              <w:t>18,1</w:t>
            </w:r>
          </w:p>
        </w:tc>
      </w:tr>
    </w:tbl>
    <w:p w:rsidR="00565FD5" w:rsidRPr="004B3DE4" w:rsidRDefault="00565FD5" w:rsidP="00565FD5">
      <w:pPr>
        <w:ind w:left="180" w:hanging="180"/>
        <w:rPr>
          <w:rFonts w:cs="Tahoma"/>
          <w:sz w:val="14"/>
          <w:szCs w:val="14"/>
        </w:rPr>
      </w:pPr>
      <w:r w:rsidRPr="004B3DE4">
        <w:rPr>
          <w:rFonts w:cs="Tahoma"/>
          <w:sz w:val="14"/>
          <w:szCs w:val="14"/>
        </w:rPr>
        <w:t xml:space="preserve">Kaynak: TÜİK  </w:t>
      </w:r>
    </w:p>
    <w:p w:rsidR="00565FD5" w:rsidRPr="004B3DE4" w:rsidRDefault="00565FD5" w:rsidP="00565FD5">
      <w:pPr>
        <w:spacing w:after="240"/>
        <w:ind w:left="181" w:hanging="181"/>
        <w:rPr>
          <w:rFonts w:cs="Tahoma"/>
          <w:sz w:val="14"/>
          <w:szCs w:val="14"/>
        </w:rPr>
      </w:pPr>
      <w:r w:rsidRPr="004B3DE4">
        <w:rPr>
          <w:rFonts w:cs="Tahoma"/>
          <w:sz w:val="14"/>
          <w:szCs w:val="14"/>
        </w:rPr>
        <w:t>(1) 2003 yıllına ait veriler yevmiyelilere,  2004–2009 yıllarına ait veriler ise ücretsiz aile işçilerine aittir.</w:t>
      </w:r>
    </w:p>
    <w:p w:rsidR="00565FD5" w:rsidRPr="004B3DE4" w:rsidRDefault="00565FD5" w:rsidP="00565FD5">
      <w:pPr>
        <w:ind w:firstLine="425"/>
        <w:rPr>
          <w:rFonts w:cs="Tahoma"/>
          <w:szCs w:val="18"/>
        </w:rPr>
      </w:pPr>
      <w:r w:rsidRPr="004B3DE4">
        <w:rPr>
          <w:rFonts w:cs="Tahoma"/>
          <w:szCs w:val="18"/>
        </w:rPr>
        <w:t>İstihdam edilen kadınların yüzde 41,6’sı ile önemli bir bölümü tarım sektöründe ve genellikle ücretsiz aile işçisi olarak çalışmaktadır. Dolayısıyla, bu kadınlar çoğunlukla sosyal güvenceden yoksun olarak istihdam edilmektedir. Kentteki kadınların büyük bir çoğunluğu ise niteliklerinin kentsel alanlardaki işlere göre yetersiz kalması, ailedeki çocuk, yaşlı ve özürlü bakımının sorun olması gibi nedenlerden dolayı işgücü piyasası dışında kalmaktadır. Kadınlarda işgücüne katılma oranı genel olarak erkeklerin gerisinde olmasına rağmen bu fark kentte daha belirgindir. 2011 yılında kadınlar arasında işgücüne katılma oranı kırda yüzde 37,5 iken, kentte yüzde 24,8’dir. Aynı oranlar erkekler için sırasıyla yüzde 71 ve yüzde 73,3’tür.</w:t>
      </w:r>
    </w:p>
    <w:p w:rsidR="00565FD5" w:rsidRDefault="00565FD5" w:rsidP="00565FD5">
      <w:pPr>
        <w:ind w:firstLine="425"/>
        <w:rPr>
          <w:rFonts w:cs="Tahoma"/>
          <w:szCs w:val="18"/>
        </w:rPr>
      </w:pPr>
      <w:r w:rsidRPr="004B3DE4">
        <w:rPr>
          <w:rFonts w:cs="Tahoma"/>
          <w:szCs w:val="18"/>
        </w:rPr>
        <w:t xml:space="preserve">Yoksul kesimdeki çalışanlar, gerek vasıf düzeylerinin düşük olması gerekse yoğunlukla çalıştıkları tarım sektörü ile kentlerdeki marjinal sektörlerin özellikleri itibarıyla, düşük ücretler elde etmekte, genellikle geçici ve güvencesiz olarak çalışmaktadır. 2009 yılında ücretsiz aile işçileri ile yevmiyeliler arasındaki yoksulluk oranları genel yoksulluk oranlarının sırasıyla 11,5 ve 8,9 puan üzerindedir. Söz konusu kesim çoğunlukla sosyal yardımlarla desteklenmektedir. </w:t>
      </w:r>
    </w:p>
    <w:p w:rsidR="00565FD5" w:rsidRDefault="00565FD5" w:rsidP="00565FD5">
      <w:pPr>
        <w:spacing w:after="160"/>
        <w:ind w:firstLine="425"/>
        <w:rPr>
          <w:rFonts w:cs="Tahoma"/>
          <w:szCs w:val="18"/>
        </w:rPr>
      </w:pPr>
      <w:r w:rsidRPr="004B3DE4">
        <w:rPr>
          <w:rFonts w:cs="Tahoma"/>
          <w:szCs w:val="18"/>
        </w:rPr>
        <w:t>Göç, kentleşme, aile yapısında meydana gelen değişim, nüfus artışı ve işsizlik gibi nedenlerle sosyal hizmet ve yardımlara olan ihtiyaç devam etmektedir. Bu kapsamda Aile ve Sosyal Politikalar Bakanlığı,</w:t>
      </w:r>
      <w:r w:rsidRPr="004B3DE4" w:rsidDel="00A35144">
        <w:rPr>
          <w:rFonts w:cs="Tahoma"/>
          <w:szCs w:val="18"/>
        </w:rPr>
        <w:t xml:space="preserve"> </w:t>
      </w:r>
      <w:r w:rsidRPr="004B3DE4">
        <w:rPr>
          <w:rFonts w:cs="Tahoma"/>
          <w:szCs w:val="18"/>
        </w:rPr>
        <w:t xml:space="preserve">Sağlık Bakanlığı, MEB, SGK, Vakıflar Genel Müdürlüğü, YURTKUR ve belediyeler gibi kuruluşlar tarafından 2011 yılında yapılan kamu sosyal yardım harcamaları bir önceki yıla göre yüzde 17,8 oranında artmış ve </w:t>
      </w:r>
      <w:r>
        <w:rPr>
          <w:rFonts w:cs="Tahoma"/>
          <w:szCs w:val="18"/>
        </w:rPr>
        <w:t>GSYH'ya</w:t>
      </w:r>
      <w:r w:rsidRPr="004B3DE4">
        <w:rPr>
          <w:rFonts w:cs="Tahoma"/>
          <w:szCs w:val="18"/>
        </w:rPr>
        <w:t xml:space="preserve"> oranı yüzde 1,18 olarak gerçekleşmiştir. </w:t>
      </w:r>
    </w:p>
    <w:p w:rsidR="00565FD5" w:rsidRDefault="00565FD5" w:rsidP="00565FD5">
      <w:pPr>
        <w:spacing w:after="160"/>
        <w:ind w:firstLine="425"/>
        <w:rPr>
          <w:rFonts w:cs="Tahoma"/>
          <w:szCs w:val="18"/>
        </w:rPr>
      </w:pPr>
    </w:p>
    <w:p w:rsidR="00565FD5" w:rsidRDefault="00565FD5" w:rsidP="00565FD5">
      <w:pPr>
        <w:spacing w:after="160"/>
        <w:ind w:firstLine="425"/>
        <w:rPr>
          <w:rFonts w:cs="Tahoma"/>
          <w:szCs w:val="18"/>
        </w:rPr>
      </w:pPr>
    </w:p>
    <w:p w:rsidR="00565FD5" w:rsidRPr="004B3DE4" w:rsidRDefault="00565FD5" w:rsidP="00565FD5">
      <w:pPr>
        <w:spacing w:after="160"/>
        <w:ind w:firstLine="425"/>
        <w:rPr>
          <w:rFonts w:cs="Tahoma"/>
          <w:szCs w:val="18"/>
        </w:rPr>
      </w:pPr>
    </w:p>
    <w:p w:rsidR="00565FD5" w:rsidRPr="0026379C" w:rsidRDefault="00565FD5" w:rsidP="00565FD5">
      <w:pPr>
        <w:pStyle w:val="ResimYazs"/>
        <w:rPr>
          <w:rFonts w:cs="Tahoma"/>
        </w:rPr>
      </w:pPr>
      <w:bookmarkStart w:id="2555" w:name="_Toc307713630"/>
      <w:bookmarkStart w:id="2556" w:name="_Toc338606060"/>
      <w:bookmarkStart w:id="2557" w:name="_Toc338711835"/>
      <w:r>
        <w:t xml:space="preserve">TABLO IV: </w:t>
      </w:r>
      <w:fldSimple w:instr=" SEQ TABLO_IV: \* ARABIC ">
        <w:r>
          <w:rPr>
            <w:noProof/>
          </w:rPr>
          <w:t>65</w:t>
        </w:r>
      </w:fldSimple>
      <w:r w:rsidRPr="0026379C">
        <w:rPr>
          <w:rFonts w:cs="Tahoma"/>
        </w:rPr>
        <w:t>- Sosyal Yardım Hizmeti Veren Kuruluşların Sosyal Yardım Harcamaları</w:t>
      </w:r>
      <w:bookmarkEnd w:id="2555"/>
      <w:bookmarkEnd w:id="2556"/>
      <w:bookmarkEnd w:id="2557"/>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tblPr>
      <w:tblGrid>
        <w:gridCol w:w="921"/>
        <w:gridCol w:w="884"/>
        <w:gridCol w:w="628"/>
        <w:gridCol w:w="696"/>
        <w:gridCol w:w="692"/>
        <w:gridCol w:w="693"/>
        <w:gridCol w:w="693"/>
        <w:gridCol w:w="693"/>
        <w:gridCol w:w="693"/>
        <w:gridCol w:w="689"/>
      </w:tblGrid>
      <w:tr w:rsidR="00565FD5" w:rsidRPr="0026379C" w:rsidTr="00AB62A3">
        <w:trPr>
          <w:trHeight w:val="227"/>
          <w:jc w:val="center"/>
        </w:trPr>
        <w:tc>
          <w:tcPr>
            <w:tcW w:w="632" w:type="pct"/>
            <w:vMerge w:val="restart"/>
            <w:noWrap/>
            <w:vAlign w:val="bottom"/>
          </w:tcPr>
          <w:p w:rsidR="00565FD5" w:rsidRPr="0026379C" w:rsidRDefault="00565FD5" w:rsidP="00AB62A3">
            <w:pPr>
              <w:tabs>
                <w:tab w:val="left" w:pos="708"/>
                <w:tab w:val="center" w:pos="4153"/>
                <w:tab w:val="right" w:pos="8306"/>
              </w:tabs>
              <w:jc w:val="center"/>
              <w:rPr>
                <w:rFonts w:cs="Tahoma"/>
                <w:b/>
                <w:bCs/>
                <w:sz w:val="10"/>
                <w:szCs w:val="10"/>
                <w:lang w:eastAsia="tr-TR"/>
              </w:rPr>
            </w:pPr>
            <w:r w:rsidRPr="0026379C">
              <w:rPr>
                <w:rFonts w:cs="Tahoma"/>
                <w:b/>
                <w:bCs/>
                <w:sz w:val="10"/>
                <w:szCs w:val="10"/>
                <w:lang w:eastAsia="tr-TR"/>
              </w:rPr>
              <w:t>Kurum</w:t>
            </w:r>
          </w:p>
        </w:tc>
        <w:tc>
          <w:tcPr>
            <w:tcW w:w="607" w:type="pct"/>
            <w:vMerge w:val="restart"/>
            <w:noWrap/>
            <w:vAlign w:val="bottom"/>
          </w:tcPr>
          <w:p w:rsidR="00565FD5" w:rsidRPr="0026379C" w:rsidRDefault="00565FD5" w:rsidP="00AB62A3">
            <w:pPr>
              <w:tabs>
                <w:tab w:val="left" w:pos="708"/>
              </w:tabs>
              <w:jc w:val="center"/>
              <w:rPr>
                <w:rFonts w:cs="Tahoma"/>
                <w:b/>
                <w:bCs/>
                <w:sz w:val="10"/>
                <w:szCs w:val="10"/>
                <w:lang w:eastAsia="tr-TR"/>
              </w:rPr>
            </w:pPr>
            <w:r w:rsidRPr="0026379C">
              <w:rPr>
                <w:rFonts w:cs="Tahoma"/>
                <w:b/>
                <w:bCs/>
                <w:sz w:val="10"/>
                <w:szCs w:val="10"/>
                <w:lang w:eastAsia="tr-TR"/>
              </w:rPr>
              <w:t>Yardım Türü</w:t>
            </w:r>
          </w:p>
        </w:tc>
        <w:tc>
          <w:tcPr>
            <w:tcW w:w="909" w:type="pct"/>
            <w:gridSpan w:val="2"/>
            <w:noWrap/>
            <w:vAlign w:val="center"/>
          </w:tcPr>
          <w:p w:rsidR="00565FD5" w:rsidRPr="0026379C" w:rsidRDefault="00565FD5" w:rsidP="00AB62A3">
            <w:pPr>
              <w:tabs>
                <w:tab w:val="left" w:pos="708"/>
              </w:tabs>
              <w:jc w:val="center"/>
              <w:rPr>
                <w:rFonts w:cs="Tahoma"/>
                <w:b/>
                <w:bCs/>
                <w:sz w:val="10"/>
                <w:szCs w:val="10"/>
                <w:lang w:eastAsia="tr-TR"/>
              </w:rPr>
            </w:pPr>
            <w:r w:rsidRPr="0026379C">
              <w:rPr>
                <w:rFonts w:cs="Tahoma"/>
                <w:b/>
                <w:bCs/>
                <w:sz w:val="10"/>
                <w:szCs w:val="10"/>
                <w:lang w:eastAsia="tr-TR"/>
              </w:rPr>
              <w:t>2008</w:t>
            </w:r>
          </w:p>
        </w:tc>
        <w:tc>
          <w:tcPr>
            <w:tcW w:w="951" w:type="pct"/>
            <w:gridSpan w:val="2"/>
            <w:noWrap/>
            <w:vAlign w:val="center"/>
          </w:tcPr>
          <w:p w:rsidR="00565FD5" w:rsidRPr="0026379C" w:rsidRDefault="00565FD5" w:rsidP="00AB62A3">
            <w:pPr>
              <w:tabs>
                <w:tab w:val="left" w:pos="708"/>
              </w:tabs>
              <w:jc w:val="center"/>
              <w:rPr>
                <w:rFonts w:cs="Tahoma"/>
                <w:b/>
                <w:bCs/>
                <w:sz w:val="10"/>
                <w:szCs w:val="10"/>
                <w:lang w:eastAsia="tr-TR"/>
              </w:rPr>
            </w:pPr>
            <w:r w:rsidRPr="0026379C">
              <w:rPr>
                <w:rFonts w:cs="Tahoma"/>
                <w:b/>
                <w:bCs/>
                <w:sz w:val="10"/>
                <w:szCs w:val="10"/>
                <w:lang w:eastAsia="tr-TR"/>
              </w:rPr>
              <w:t>2009</w:t>
            </w:r>
          </w:p>
        </w:tc>
        <w:tc>
          <w:tcPr>
            <w:tcW w:w="952" w:type="pct"/>
            <w:gridSpan w:val="2"/>
            <w:noWrap/>
            <w:vAlign w:val="center"/>
          </w:tcPr>
          <w:p w:rsidR="00565FD5" w:rsidRPr="0026379C" w:rsidRDefault="00565FD5" w:rsidP="00AB62A3">
            <w:pPr>
              <w:tabs>
                <w:tab w:val="left" w:pos="708"/>
              </w:tabs>
              <w:jc w:val="center"/>
              <w:rPr>
                <w:rFonts w:cs="Tahoma"/>
                <w:b/>
                <w:bCs/>
                <w:sz w:val="10"/>
                <w:szCs w:val="10"/>
                <w:lang w:eastAsia="tr-TR"/>
              </w:rPr>
            </w:pPr>
            <w:r w:rsidRPr="0026379C">
              <w:rPr>
                <w:rFonts w:cs="Tahoma"/>
                <w:b/>
                <w:bCs/>
                <w:sz w:val="10"/>
                <w:szCs w:val="10"/>
                <w:lang w:eastAsia="tr-TR"/>
              </w:rPr>
              <w:t>2010</w:t>
            </w:r>
          </w:p>
        </w:tc>
        <w:tc>
          <w:tcPr>
            <w:tcW w:w="949" w:type="pct"/>
            <w:gridSpan w:val="2"/>
            <w:vAlign w:val="center"/>
          </w:tcPr>
          <w:p w:rsidR="00565FD5" w:rsidRPr="0026379C" w:rsidRDefault="00565FD5" w:rsidP="00AB62A3">
            <w:pPr>
              <w:tabs>
                <w:tab w:val="left" w:pos="708"/>
              </w:tabs>
              <w:jc w:val="center"/>
              <w:rPr>
                <w:rFonts w:cs="Tahoma"/>
                <w:b/>
                <w:bCs/>
                <w:sz w:val="10"/>
                <w:szCs w:val="10"/>
                <w:lang w:eastAsia="tr-TR"/>
              </w:rPr>
            </w:pPr>
            <w:r w:rsidRPr="0026379C">
              <w:rPr>
                <w:rFonts w:cs="Tahoma"/>
                <w:b/>
                <w:bCs/>
                <w:sz w:val="10"/>
                <w:szCs w:val="10"/>
                <w:lang w:eastAsia="tr-TR"/>
              </w:rPr>
              <w:t>2011</w:t>
            </w:r>
          </w:p>
        </w:tc>
      </w:tr>
      <w:tr w:rsidR="00565FD5" w:rsidRPr="0026379C" w:rsidTr="00AB62A3">
        <w:trPr>
          <w:trHeight w:val="20"/>
          <w:jc w:val="center"/>
        </w:trPr>
        <w:tc>
          <w:tcPr>
            <w:tcW w:w="632" w:type="pct"/>
            <w:vMerge/>
            <w:vAlign w:val="center"/>
          </w:tcPr>
          <w:p w:rsidR="00565FD5" w:rsidRPr="0026379C" w:rsidRDefault="00565FD5" w:rsidP="00AB62A3">
            <w:pPr>
              <w:rPr>
                <w:rFonts w:cs="Tahoma"/>
                <w:b/>
                <w:bCs/>
                <w:sz w:val="10"/>
                <w:szCs w:val="10"/>
                <w:lang w:eastAsia="tr-TR"/>
              </w:rPr>
            </w:pPr>
          </w:p>
        </w:tc>
        <w:tc>
          <w:tcPr>
            <w:tcW w:w="607" w:type="pct"/>
            <w:vMerge/>
            <w:vAlign w:val="center"/>
          </w:tcPr>
          <w:p w:rsidR="00565FD5" w:rsidRPr="0026379C" w:rsidRDefault="00565FD5" w:rsidP="00AB62A3">
            <w:pPr>
              <w:rPr>
                <w:rFonts w:cs="Tahoma"/>
                <w:b/>
                <w:bCs/>
                <w:sz w:val="10"/>
                <w:szCs w:val="10"/>
                <w:lang w:eastAsia="tr-TR"/>
              </w:rPr>
            </w:pPr>
          </w:p>
        </w:tc>
        <w:tc>
          <w:tcPr>
            <w:tcW w:w="431" w:type="pct"/>
            <w:vAlign w:val="bottom"/>
          </w:tcPr>
          <w:p w:rsidR="00565FD5" w:rsidRPr="0026379C" w:rsidRDefault="00565FD5" w:rsidP="00AB62A3">
            <w:pPr>
              <w:tabs>
                <w:tab w:val="left" w:pos="708"/>
                <w:tab w:val="center" w:pos="4153"/>
                <w:tab w:val="right" w:pos="8306"/>
              </w:tabs>
              <w:jc w:val="center"/>
              <w:rPr>
                <w:rFonts w:cs="Tahoma"/>
                <w:b/>
                <w:bCs/>
                <w:sz w:val="10"/>
                <w:szCs w:val="10"/>
                <w:lang w:eastAsia="tr-TR"/>
              </w:rPr>
            </w:pPr>
            <w:r w:rsidRPr="0026379C">
              <w:rPr>
                <w:rFonts w:cs="Tahoma"/>
                <w:b/>
                <w:bCs/>
                <w:sz w:val="10"/>
                <w:szCs w:val="10"/>
                <w:lang w:eastAsia="tr-TR"/>
              </w:rPr>
              <w:t xml:space="preserve">Kişi Sayısı </w:t>
            </w:r>
          </w:p>
        </w:tc>
        <w:tc>
          <w:tcPr>
            <w:tcW w:w="478" w:type="pct"/>
            <w:vAlign w:val="bottom"/>
          </w:tcPr>
          <w:p w:rsidR="00565FD5" w:rsidRPr="0026379C" w:rsidRDefault="00565FD5" w:rsidP="00AB62A3">
            <w:pPr>
              <w:tabs>
                <w:tab w:val="left" w:pos="708"/>
                <w:tab w:val="center" w:pos="4153"/>
                <w:tab w:val="right" w:pos="8306"/>
              </w:tabs>
              <w:jc w:val="center"/>
              <w:rPr>
                <w:rFonts w:cs="Tahoma"/>
                <w:b/>
                <w:bCs/>
                <w:sz w:val="10"/>
                <w:szCs w:val="10"/>
                <w:lang w:eastAsia="tr-TR"/>
              </w:rPr>
            </w:pPr>
            <w:r w:rsidRPr="0026379C">
              <w:rPr>
                <w:rFonts w:cs="Tahoma"/>
                <w:b/>
                <w:bCs/>
                <w:sz w:val="10"/>
                <w:szCs w:val="10"/>
                <w:lang w:eastAsia="tr-TR"/>
              </w:rPr>
              <w:t xml:space="preserve">Gider </w:t>
            </w:r>
          </w:p>
          <w:p w:rsidR="00565FD5" w:rsidRPr="0026379C" w:rsidRDefault="00565FD5" w:rsidP="00AB62A3">
            <w:pPr>
              <w:tabs>
                <w:tab w:val="left" w:pos="708"/>
              </w:tabs>
              <w:jc w:val="center"/>
              <w:rPr>
                <w:rFonts w:cs="Tahoma"/>
                <w:b/>
                <w:bCs/>
                <w:sz w:val="10"/>
                <w:szCs w:val="10"/>
                <w:lang w:eastAsia="tr-TR"/>
              </w:rPr>
            </w:pPr>
            <w:r w:rsidRPr="0026379C">
              <w:rPr>
                <w:rFonts w:cs="Tahoma"/>
                <w:b/>
                <w:bCs/>
                <w:sz w:val="10"/>
                <w:szCs w:val="10"/>
                <w:lang w:eastAsia="tr-TR"/>
              </w:rPr>
              <w:t>(Bin TL)</w:t>
            </w:r>
          </w:p>
        </w:tc>
        <w:tc>
          <w:tcPr>
            <w:tcW w:w="475" w:type="pct"/>
            <w:vAlign w:val="bottom"/>
          </w:tcPr>
          <w:p w:rsidR="00565FD5" w:rsidRPr="0026379C" w:rsidRDefault="00565FD5" w:rsidP="00AB62A3">
            <w:pPr>
              <w:tabs>
                <w:tab w:val="left" w:pos="708"/>
              </w:tabs>
              <w:jc w:val="center"/>
              <w:rPr>
                <w:rFonts w:cs="Tahoma"/>
                <w:b/>
                <w:bCs/>
                <w:sz w:val="10"/>
                <w:szCs w:val="10"/>
                <w:lang w:eastAsia="tr-TR"/>
              </w:rPr>
            </w:pPr>
            <w:r w:rsidRPr="0026379C">
              <w:rPr>
                <w:rFonts w:cs="Tahoma"/>
                <w:b/>
                <w:bCs/>
                <w:sz w:val="10"/>
                <w:szCs w:val="10"/>
                <w:lang w:eastAsia="tr-TR"/>
              </w:rPr>
              <w:t xml:space="preserve">Kişi Sayısı </w:t>
            </w:r>
          </w:p>
        </w:tc>
        <w:tc>
          <w:tcPr>
            <w:tcW w:w="476" w:type="pct"/>
            <w:vAlign w:val="bottom"/>
          </w:tcPr>
          <w:p w:rsidR="00565FD5" w:rsidRPr="0026379C" w:rsidRDefault="00565FD5" w:rsidP="00AB62A3">
            <w:pPr>
              <w:tabs>
                <w:tab w:val="left" w:pos="708"/>
                <w:tab w:val="center" w:pos="4153"/>
                <w:tab w:val="right" w:pos="8306"/>
              </w:tabs>
              <w:jc w:val="center"/>
              <w:rPr>
                <w:rFonts w:cs="Tahoma"/>
                <w:b/>
                <w:bCs/>
                <w:sz w:val="10"/>
                <w:szCs w:val="10"/>
                <w:lang w:eastAsia="tr-TR"/>
              </w:rPr>
            </w:pPr>
            <w:r w:rsidRPr="0026379C">
              <w:rPr>
                <w:rFonts w:cs="Tahoma"/>
                <w:b/>
                <w:bCs/>
                <w:sz w:val="10"/>
                <w:szCs w:val="10"/>
                <w:lang w:eastAsia="tr-TR"/>
              </w:rPr>
              <w:t>Gider</w:t>
            </w:r>
          </w:p>
          <w:p w:rsidR="00565FD5" w:rsidRPr="0026379C" w:rsidRDefault="00565FD5" w:rsidP="00AB62A3">
            <w:pPr>
              <w:tabs>
                <w:tab w:val="left" w:pos="708"/>
              </w:tabs>
              <w:jc w:val="center"/>
              <w:rPr>
                <w:rFonts w:cs="Tahoma"/>
                <w:b/>
                <w:bCs/>
                <w:sz w:val="10"/>
                <w:szCs w:val="10"/>
                <w:lang w:eastAsia="tr-TR"/>
              </w:rPr>
            </w:pPr>
            <w:r w:rsidRPr="0026379C">
              <w:rPr>
                <w:rFonts w:cs="Tahoma"/>
                <w:b/>
                <w:bCs/>
                <w:sz w:val="10"/>
                <w:szCs w:val="10"/>
                <w:lang w:eastAsia="tr-TR"/>
              </w:rPr>
              <w:t xml:space="preserve"> (Bin TL) </w:t>
            </w:r>
          </w:p>
        </w:tc>
        <w:tc>
          <w:tcPr>
            <w:tcW w:w="476" w:type="pct"/>
            <w:vAlign w:val="bottom"/>
          </w:tcPr>
          <w:p w:rsidR="00565FD5" w:rsidRPr="0026379C" w:rsidRDefault="00565FD5" w:rsidP="00AB62A3">
            <w:pPr>
              <w:tabs>
                <w:tab w:val="left" w:pos="708"/>
                <w:tab w:val="center" w:pos="4153"/>
                <w:tab w:val="right" w:pos="8306"/>
              </w:tabs>
              <w:jc w:val="center"/>
              <w:rPr>
                <w:rFonts w:cs="Tahoma"/>
                <w:b/>
                <w:bCs/>
                <w:sz w:val="10"/>
                <w:szCs w:val="10"/>
                <w:lang w:eastAsia="tr-TR"/>
              </w:rPr>
            </w:pPr>
            <w:r w:rsidRPr="0026379C">
              <w:rPr>
                <w:rFonts w:cs="Tahoma"/>
                <w:b/>
                <w:bCs/>
                <w:sz w:val="10"/>
                <w:szCs w:val="10"/>
                <w:lang w:eastAsia="tr-TR"/>
              </w:rPr>
              <w:t xml:space="preserve">Kişi Sayısı </w:t>
            </w:r>
          </w:p>
        </w:tc>
        <w:tc>
          <w:tcPr>
            <w:tcW w:w="476" w:type="pct"/>
            <w:vAlign w:val="bottom"/>
          </w:tcPr>
          <w:p w:rsidR="00565FD5" w:rsidRPr="0026379C" w:rsidRDefault="00565FD5" w:rsidP="00AB62A3">
            <w:pPr>
              <w:tabs>
                <w:tab w:val="left" w:pos="708"/>
              </w:tabs>
              <w:jc w:val="center"/>
              <w:rPr>
                <w:rFonts w:cs="Tahoma"/>
                <w:b/>
                <w:bCs/>
                <w:sz w:val="10"/>
                <w:szCs w:val="10"/>
                <w:lang w:eastAsia="tr-TR"/>
              </w:rPr>
            </w:pPr>
            <w:r w:rsidRPr="0026379C">
              <w:rPr>
                <w:rFonts w:cs="Tahoma"/>
                <w:b/>
                <w:bCs/>
                <w:sz w:val="10"/>
                <w:szCs w:val="10"/>
                <w:lang w:eastAsia="tr-TR"/>
              </w:rPr>
              <w:t>Gider</w:t>
            </w:r>
          </w:p>
          <w:p w:rsidR="00565FD5" w:rsidRPr="0026379C" w:rsidRDefault="00565FD5" w:rsidP="00AB62A3">
            <w:pPr>
              <w:tabs>
                <w:tab w:val="left" w:pos="708"/>
              </w:tabs>
              <w:jc w:val="center"/>
              <w:rPr>
                <w:rFonts w:cs="Tahoma"/>
                <w:b/>
                <w:bCs/>
                <w:sz w:val="10"/>
                <w:szCs w:val="10"/>
                <w:lang w:eastAsia="tr-TR"/>
              </w:rPr>
            </w:pPr>
            <w:r w:rsidRPr="0026379C">
              <w:rPr>
                <w:rFonts w:cs="Tahoma"/>
                <w:b/>
                <w:bCs/>
                <w:sz w:val="10"/>
                <w:szCs w:val="10"/>
                <w:lang w:eastAsia="tr-TR"/>
              </w:rPr>
              <w:t xml:space="preserve"> (Bin TL)</w:t>
            </w:r>
          </w:p>
        </w:tc>
        <w:tc>
          <w:tcPr>
            <w:tcW w:w="476" w:type="pct"/>
            <w:vAlign w:val="bottom"/>
          </w:tcPr>
          <w:p w:rsidR="00565FD5" w:rsidRPr="0026379C" w:rsidRDefault="00565FD5" w:rsidP="00AB62A3">
            <w:pPr>
              <w:tabs>
                <w:tab w:val="left" w:pos="708"/>
              </w:tabs>
              <w:jc w:val="center"/>
              <w:rPr>
                <w:rFonts w:cs="Tahoma"/>
                <w:b/>
                <w:bCs/>
                <w:sz w:val="10"/>
                <w:szCs w:val="10"/>
                <w:lang w:eastAsia="tr-TR"/>
              </w:rPr>
            </w:pPr>
            <w:r w:rsidRPr="0026379C">
              <w:rPr>
                <w:rFonts w:cs="Tahoma"/>
                <w:b/>
                <w:bCs/>
                <w:sz w:val="10"/>
                <w:szCs w:val="10"/>
                <w:lang w:eastAsia="tr-TR"/>
              </w:rPr>
              <w:t xml:space="preserve">Kişi Sayısı </w:t>
            </w:r>
          </w:p>
        </w:tc>
        <w:tc>
          <w:tcPr>
            <w:tcW w:w="473" w:type="pct"/>
            <w:vAlign w:val="bottom"/>
          </w:tcPr>
          <w:p w:rsidR="00565FD5" w:rsidRPr="0026379C" w:rsidRDefault="00565FD5" w:rsidP="00AB62A3">
            <w:pPr>
              <w:tabs>
                <w:tab w:val="left" w:pos="708"/>
              </w:tabs>
              <w:jc w:val="center"/>
              <w:rPr>
                <w:rFonts w:cs="Tahoma"/>
                <w:b/>
                <w:bCs/>
                <w:sz w:val="10"/>
                <w:szCs w:val="10"/>
                <w:lang w:eastAsia="tr-TR"/>
              </w:rPr>
            </w:pPr>
            <w:r w:rsidRPr="0026379C">
              <w:rPr>
                <w:rFonts w:cs="Tahoma"/>
                <w:b/>
                <w:bCs/>
                <w:sz w:val="10"/>
                <w:szCs w:val="10"/>
                <w:lang w:eastAsia="tr-TR"/>
              </w:rPr>
              <w:t xml:space="preserve">Gider </w:t>
            </w:r>
          </w:p>
          <w:p w:rsidR="00565FD5" w:rsidRPr="0026379C" w:rsidRDefault="00565FD5" w:rsidP="00AB62A3">
            <w:pPr>
              <w:tabs>
                <w:tab w:val="left" w:pos="708"/>
              </w:tabs>
              <w:jc w:val="center"/>
              <w:rPr>
                <w:rFonts w:cs="Tahoma"/>
                <w:b/>
                <w:bCs/>
                <w:sz w:val="10"/>
                <w:szCs w:val="10"/>
                <w:lang w:eastAsia="tr-TR"/>
              </w:rPr>
            </w:pPr>
            <w:r w:rsidRPr="0026379C">
              <w:rPr>
                <w:rFonts w:cs="Tahoma"/>
                <w:b/>
                <w:bCs/>
                <w:sz w:val="10"/>
                <w:szCs w:val="10"/>
                <w:lang w:eastAsia="tr-TR"/>
              </w:rPr>
              <w:t xml:space="preserve">(Bin TL) </w:t>
            </w:r>
          </w:p>
        </w:tc>
      </w:tr>
      <w:tr w:rsidR="00565FD5" w:rsidRPr="0026379C" w:rsidTr="00AB62A3">
        <w:trPr>
          <w:trHeight w:val="20"/>
          <w:jc w:val="center"/>
        </w:trPr>
        <w:tc>
          <w:tcPr>
            <w:tcW w:w="632" w:type="pct"/>
            <w:vAlign w:val="center"/>
          </w:tcPr>
          <w:p w:rsidR="00565FD5" w:rsidRPr="0026379C" w:rsidRDefault="00565FD5" w:rsidP="00AB62A3">
            <w:pPr>
              <w:tabs>
                <w:tab w:val="left" w:pos="708"/>
              </w:tabs>
              <w:rPr>
                <w:rFonts w:cs="Tahoma"/>
                <w:sz w:val="10"/>
                <w:szCs w:val="10"/>
                <w:lang w:eastAsia="tr-TR"/>
              </w:rPr>
            </w:pPr>
            <w:r w:rsidRPr="0026379C">
              <w:rPr>
                <w:rFonts w:cs="Tahoma"/>
                <w:sz w:val="10"/>
                <w:szCs w:val="10"/>
                <w:lang w:eastAsia="tr-TR"/>
              </w:rPr>
              <w:t>SGK</w:t>
            </w:r>
          </w:p>
        </w:tc>
        <w:tc>
          <w:tcPr>
            <w:tcW w:w="607" w:type="pct"/>
            <w:vAlign w:val="center"/>
          </w:tcPr>
          <w:p w:rsidR="00565FD5" w:rsidRPr="0026379C" w:rsidRDefault="00565FD5" w:rsidP="00AB62A3">
            <w:pPr>
              <w:tabs>
                <w:tab w:val="left" w:pos="708"/>
                <w:tab w:val="center" w:pos="4153"/>
                <w:tab w:val="right" w:pos="8306"/>
              </w:tabs>
              <w:rPr>
                <w:rFonts w:cs="Tahoma"/>
                <w:sz w:val="10"/>
                <w:szCs w:val="10"/>
                <w:lang w:eastAsia="tr-TR"/>
              </w:rPr>
            </w:pPr>
            <w:r w:rsidRPr="0026379C">
              <w:rPr>
                <w:rFonts w:cs="Tahoma"/>
                <w:sz w:val="10"/>
                <w:szCs w:val="10"/>
                <w:lang w:eastAsia="tr-TR"/>
              </w:rPr>
              <w:t>Yaşlı ve Özürlü Aylığı</w:t>
            </w:r>
          </w:p>
        </w:tc>
        <w:tc>
          <w:tcPr>
            <w:tcW w:w="431"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1 266 174</w:t>
            </w:r>
          </w:p>
        </w:tc>
        <w:tc>
          <w:tcPr>
            <w:tcW w:w="478"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2 018 629</w:t>
            </w:r>
          </w:p>
        </w:tc>
        <w:tc>
          <w:tcPr>
            <w:tcW w:w="475"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1 321 373</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2 366 527</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1 363 670</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2 562 228</w:t>
            </w:r>
          </w:p>
        </w:tc>
        <w:tc>
          <w:tcPr>
            <w:tcW w:w="476"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1 337 989</w:t>
            </w:r>
          </w:p>
        </w:tc>
        <w:tc>
          <w:tcPr>
            <w:tcW w:w="473"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2 795 433</w:t>
            </w:r>
          </w:p>
        </w:tc>
      </w:tr>
      <w:tr w:rsidR="00565FD5" w:rsidRPr="0026379C" w:rsidTr="00AB62A3">
        <w:trPr>
          <w:trHeight w:val="20"/>
          <w:jc w:val="center"/>
        </w:trPr>
        <w:tc>
          <w:tcPr>
            <w:tcW w:w="632" w:type="pct"/>
            <w:vMerge w:val="restart"/>
            <w:vAlign w:val="center"/>
          </w:tcPr>
          <w:p w:rsidR="00565FD5" w:rsidRPr="0026379C" w:rsidRDefault="00565FD5" w:rsidP="00AB62A3">
            <w:pPr>
              <w:rPr>
                <w:rFonts w:cs="Tahoma"/>
                <w:sz w:val="10"/>
                <w:szCs w:val="10"/>
                <w:lang w:eastAsia="tr-TR"/>
              </w:rPr>
            </w:pPr>
            <w:r w:rsidRPr="0026379C">
              <w:rPr>
                <w:rFonts w:cs="Tahoma"/>
                <w:sz w:val="10"/>
                <w:szCs w:val="10"/>
                <w:lang w:eastAsia="tr-TR"/>
              </w:rPr>
              <w:t>Aile ve Sosyal Politikalar Bakanlığı</w:t>
            </w:r>
          </w:p>
        </w:tc>
        <w:tc>
          <w:tcPr>
            <w:tcW w:w="607" w:type="pct"/>
            <w:vAlign w:val="center"/>
          </w:tcPr>
          <w:p w:rsidR="00565FD5" w:rsidRPr="0026379C" w:rsidRDefault="00565FD5" w:rsidP="00AB62A3">
            <w:pPr>
              <w:tabs>
                <w:tab w:val="left" w:pos="708"/>
                <w:tab w:val="center" w:pos="4153"/>
                <w:tab w:val="right" w:pos="8306"/>
              </w:tabs>
              <w:rPr>
                <w:rFonts w:cs="Tahoma"/>
                <w:sz w:val="10"/>
                <w:szCs w:val="10"/>
                <w:lang w:eastAsia="tr-TR"/>
              </w:rPr>
            </w:pPr>
            <w:r w:rsidRPr="0026379C">
              <w:rPr>
                <w:rFonts w:cs="Tahoma"/>
                <w:sz w:val="10"/>
                <w:szCs w:val="10"/>
                <w:lang w:eastAsia="tr-TR"/>
              </w:rPr>
              <w:t>Muhtaç Aylığı (Çocukları Muhtaç Aileler)</w:t>
            </w:r>
          </w:p>
        </w:tc>
        <w:tc>
          <w:tcPr>
            <w:tcW w:w="431"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30 909</w:t>
            </w:r>
          </w:p>
        </w:tc>
        <w:tc>
          <w:tcPr>
            <w:tcW w:w="478"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59 300</w:t>
            </w:r>
          </w:p>
        </w:tc>
        <w:tc>
          <w:tcPr>
            <w:tcW w:w="475"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35 756</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78 266</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35 298</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94 842</w:t>
            </w:r>
          </w:p>
        </w:tc>
        <w:tc>
          <w:tcPr>
            <w:tcW w:w="476"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41 778</w:t>
            </w:r>
          </w:p>
        </w:tc>
        <w:tc>
          <w:tcPr>
            <w:tcW w:w="473"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140 736</w:t>
            </w:r>
          </w:p>
        </w:tc>
      </w:tr>
      <w:tr w:rsidR="00565FD5" w:rsidRPr="0026379C" w:rsidTr="00AB62A3">
        <w:trPr>
          <w:trHeight w:val="227"/>
          <w:jc w:val="center"/>
        </w:trPr>
        <w:tc>
          <w:tcPr>
            <w:tcW w:w="632" w:type="pct"/>
            <w:vMerge/>
            <w:vAlign w:val="center"/>
          </w:tcPr>
          <w:p w:rsidR="00565FD5" w:rsidRPr="0026379C" w:rsidRDefault="00565FD5" w:rsidP="00AB62A3">
            <w:pPr>
              <w:rPr>
                <w:rFonts w:cs="Tahoma"/>
                <w:sz w:val="10"/>
                <w:szCs w:val="10"/>
                <w:lang w:eastAsia="tr-TR"/>
              </w:rPr>
            </w:pPr>
          </w:p>
        </w:tc>
        <w:tc>
          <w:tcPr>
            <w:tcW w:w="607" w:type="pct"/>
            <w:vAlign w:val="center"/>
          </w:tcPr>
          <w:p w:rsidR="00565FD5" w:rsidRPr="0026379C" w:rsidRDefault="00565FD5" w:rsidP="00AB62A3">
            <w:pPr>
              <w:tabs>
                <w:tab w:val="left" w:pos="708"/>
                <w:tab w:val="center" w:pos="4153"/>
                <w:tab w:val="right" w:pos="8306"/>
              </w:tabs>
              <w:rPr>
                <w:rFonts w:cs="Tahoma"/>
                <w:sz w:val="10"/>
                <w:szCs w:val="10"/>
                <w:lang w:eastAsia="tr-TR"/>
              </w:rPr>
            </w:pPr>
            <w:r w:rsidRPr="0026379C">
              <w:rPr>
                <w:rFonts w:cs="Tahoma"/>
                <w:sz w:val="10"/>
                <w:szCs w:val="10"/>
                <w:lang w:eastAsia="tr-TR"/>
              </w:rPr>
              <w:t>Evde Bakım</w:t>
            </w:r>
          </w:p>
        </w:tc>
        <w:tc>
          <w:tcPr>
            <w:tcW w:w="431"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113 000</w:t>
            </w:r>
          </w:p>
        </w:tc>
        <w:tc>
          <w:tcPr>
            <w:tcW w:w="478"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399 899</w:t>
            </w:r>
          </w:p>
        </w:tc>
        <w:tc>
          <w:tcPr>
            <w:tcW w:w="475"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204 652</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959 303</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284 595 </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1 567 245</w:t>
            </w:r>
          </w:p>
        </w:tc>
        <w:tc>
          <w:tcPr>
            <w:tcW w:w="476"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352 859</w:t>
            </w:r>
          </w:p>
        </w:tc>
        <w:tc>
          <w:tcPr>
            <w:tcW w:w="473"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2 271 343</w:t>
            </w:r>
          </w:p>
        </w:tc>
      </w:tr>
      <w:tr w:rsidR="00565FD5" w:rsidRPr="0026379C" w:rsidTr="00AB62A3">
        <w:trPr>
          <w:trHeight w:val="20"/>
          <w:jc w:val="center"/>
        </w:trPr>
        <w:tc>
          <w:tcPr>
            <w:tcW w:w="632" w:type="pct"/>
            <w:vMerge/>
            <w:vAlign w:val="center"/>
          </w:tcPr>
          <w:p w:rsidR="00565FD5" w:rsidRPr="0026379C" w:rsidRDefault="00565FD5" w:rsidP="00AB62A3">
            <w:pPr>
              <w:tabs>
                <w:tab w:val="left" w:pos="708"/>
              </w:tabs>
              <w:rPr>
                <w:rFonts w:cs="Tahoma"/>
                <w:sz w:val="10"/>
                <w:szCs w:val="10"/>
                <w:lang w:eastAsia="tr-TR"/>
              </w:rPr>
            </w:pPr>
          </w:p>
        </w:tc>
        <w:tc>
          <w:tcPr>
            <w:tcW w:w="607" w:type="pct"/>
            <w:vAlign w:val="center"/>
          </w:tcPr>
          <w:p w:rsidR="00565FD5" w:rsidRPr="0026379C" w:rsidRDefault="00565FD5" w:rsidP="00AB62A3">
            <w:pPr>
              <w:tabs>
                <w:tab w:val="left" w:pos="708"/>
                <w:tab w:val="center" w:pos="4153"/>
                <w:tab w:val="right" w:pos="8306"/>
              </w:tabs>
              <w:rPr>
                <w:rFonts w:cs="Tahoma"/>
                <w:sz w:val="10"/>
                <w:szCs w:val="10"/>
                <w:lang w:eastAsia="tr-TR"/>
              </w:rPr>
            </w:pPr>
            <w:r w:rsidRPr="0026379C">
              <w:rPr>
                <w:rFonts w:cs="Tahoma"/>
                <w:sz w:val="10"/>
                <w:szCs w:val="10"/>
                <w:lang w:eastAsia="tr-TR"/>
              </w:rPr>
              <w:t>SYDV'ler (Fon) Tarafından Verilen Tüm Sosyal Yardımlar (1)</w:t>
            </w:r>
          </w:p>
        </w:tc>
        <w:tc>
          <w:tcPr>
            <w:tcW w:w="431"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w:t>
            </w:r>
          </w:p>
        </w:tc>
        <w:tc>
          <w:tcPr>
            <w:tcW w:w="478"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1 797 080</w:t>
            </w:r>
          </w:p>
        </w:tc>
        <w:tc>
          <w:tcPr>
            <w:tcW w:w="475"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3 084 062</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2 379 375</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2 394 088</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2 032 537</w:t>
            </w:r>
          </w:p>
        </w:tc>
        <w:tc>
          <w:tcPr>
            <w:tcW w:w="476"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3 722 018</w:t>
            </w:r>
          </w:p>
        </w:tc>
        <w:tc>
          <w:tcPr>
            <w:tcW w:w="473"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2 622 412</w:t>
            </w:r>
          </w:p>
        </w:tc>
      </w:tr>
      <w:tr w:rsidR="00565FD5" w:rsidRPr="0026379C" w:rsidTr="00AB62A3">
        <w:trPr>
          <w:trHeight w:val="20"/>
          <w:jc w:val="center"/>
        </w:trPr>
        <w:tc>
          <w:tcPr>
            <w:tcW w:w="632" w:type="pct"/>
            <w:vMerge w:val="restart"/>
            <w:vAlign w:val="center"/>
          </w:tcPr>
          <w:p w:rsidR="00565FD5" w:rsidRPr="0026379C" w:rsidRDefault="00565FD5" w:rsidP="00AB62A3">
            <w:pPr>
              <w:tabs>
                <w:tab w:val="left" w:pos="708"/>
              </w:tabs>
              <w:rPr>
                <w:rFonts w:cs="Tahoma"/>
                <w:sz w:val="10"/>
                <w:szCs w:val="10"/>
                <w:lang w:eastAsia="tr-TR"/>
              </w:rPr>
            </w:pPr>
            <w:r w:rsidRPr="0026379C">
              <w:rPr>
                <w:rFonts w:cs="Tahoma"/>
                <w:sz w:val="10"/>
                <w:szCs w:val="10"/>
                <w:lang w:eastAsia="tr-TR"/>
              </w:rPr>
              <w:t>Vakıflar Genel Müdürlüğü</w:t>
            </w:r>
          </w:p>
        </w:tc>
        <w:tc>
          <w:tcPr>
            <w:tcW w:w="607" w:type="pct"/>
            <w:vAlign w:val="center"/>
          </w:tcPr>
          <w:p w:rsidR="00565FD5" w:rsidRPr="0026379C" w:rsidRDefault="00565FD5" w:rsidP="00AB62A3">
            <w:pPr>
              <w:tabs>
                <w:tab w:val="left" w:pos="708"/>
                <w:tab w:val="center" w:pos="4153"/>
                <w:tab w:val="right" w:pos="8306"/>
              </w:tabs>
              <w:rPr>
                <w:rFonts w:cs="Tahoma"/>
                <w:sz w:val="10"/>
                <w:szCs w:val="10"/>
                <w:lang w:eastAsia="tr-TR"/>
              </w:rPr>
            </w:pPr>
            <w:r w:rsidRPr="0026379C">
              <w:rPr>
                <w:rFonts w:cs="Tahoma"/>
                <w:sz w:val="10"/>
                <w:szCs w:val="10"/>
                <w:lang w:eastAsia="tr-TR"/>
              </w:rPr>
              <w:t>Muhtaç Aylığı (yetim ve özürlüler)</w:t>
            </w:r>
          </w:p>
        </w:tc>
        <w:tc>
          <w:tcPr>
            <w:tcW w:w="431"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4 433</w:t>
            </w:r>
          </w:p>
        </w:tc>
        <w:tc>
          <w:tcPr>
            <w:tcW w:w="478"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13 728</w:t>
            </w:r>
          </w:p>
        </w:tc>
        <w:tc>
          <w:tcPr>
            <w:tcW w:w="475"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3 629</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13 425</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3 662</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13 362</w:t>
            </w:r>
          </w:p>
        </w:tc>
        <w:tc>
          <w:tcPr>
            <w:tcW w:w="476"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3 520</w:t>
            </w:r>
          </w:p>
        </w:tc>
        <w:tc>
          <w:tcPr>
            <w:tcW w:w="473"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14 681</w:t>
            </w:r>
          </w:p>
        </w:tc>
      </w:tr>
      <w:tr w:rsidR="00565FD5" w:rsidRPr="0026379C" w:rsidTr="00AB62A3">
        <w:trPr>
          <w:trHeight w:val="20"/>
          <w:jc w:val="center"/>
        </w:trPr>
        <w:tc>
          <w:tcPr>
            <w:tcW w:w="632" w:type="pct"/>
            <w:vMerge/>
            <w:vAlign w:val="center"/>
          </w:tcPr>
          <w:p w:rsidR="00565FD5" w:rsidRPr="0026379C" w:rsidRDefault="00565FD5" w:rsidP="00AB62A3">
            <w:pPr>
              <w:rPr>
                <w:rFonts w:cs="Tahoma"/>
                <w:sz w:val="10"/>
                <w:szCs w:val="10"/>
                <w:lang w:eastAsia="tr-TR"/>
              </w:rPr>
            </w:pPr>
          </w:p>
        </w:tc>
        <w:tc>
          <w:tcPr>
            <w:tcW w:w="607" w:type="pct"/>
            <w:vAlign w:val="center"/>
          </w:tcPr>
          <w:p w:rsidR="00565FD5" w:rsidRPr="0026379C" w:rsidRDefault="00565FD5" w:rsidP="00AB62A3">
            <w:pPr>
              <w:tabs>
                <w:tab w:val="left" w:pos="708"/>
                <w:tab w:val="center" w:pos="4153"/>
                <w:tab w:val="right" w:pos="8306"/>
              </w:tabs>
              <w:rPr>
                <w:rFonts w:cs="Tahoma"/>
                <w:sz w:val="10"/>
                <w:szCs w:val="10"/>
                <w:lang w:eastAsia="tr-TR"/>
              </w:rPr>
            </w:pPr>
            <w:r w:rsidRPr="0026379C">
              <w:rPr>
                <w:rFonts w:cs="Tahoma"/>
                <w:sz w:val="10"/>
                <w:szCs w:val="10"/>
                <w:lang w:eastAsia="tr-TR"/>
              </w:rPr>
              <w:t>İmaret Hizmetleri</w:t>
            </w:r>
          </w:p>
        </w:tc>
        <w:tc>
          <w:tcPr>
            <w:tcW w:w="431"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149 530</w:t>
            </w:r>
          </w:p>
        </w:tc>
        <w:tc>
          <w:tcPr>
            <w:tcW w:w="478"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98 005</w:t>
            </w:r>
          </w:p>
        </w:tc>
        <w:tc>
          <w:tcPr>
            <w:tcW w:w="475"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137 100</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88 909</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21 746</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17 074</w:t>
            </w:r>
          </w:p>
        </w:tc>
        <w:tc>
          <w:tcPr>
            <w:tcW w:w="476"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20 215</w:t>
            </w:r>
          </w:p>
        </w:tc>
        <w:tc>
          <w:tcPr>
            <w:tcW w:w="473"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20 716</w:t>
            </w:r>
          </w:p>
        </w:tc>
      </w:tr>
      <w:tr w:rsidR="00565FD5" w:rsidRPr="0026379C" w:rsidTr="00AB62A3">
        <w:trPr>
          <w:trHeight w:val="20"/>
          <w:jc w:val="center"/>
        </w:trPr>
        <w:tc>
          <w:tcPr>
            <w:tcW w:w="632" w:type="pct"/>
            <w:vMerge/>
            <w:vAlign w:val="center"/>
          </w:tcPr>
          <w:p w:rsidR="00565FD5" w:rsidRPr="0026379C" w:rsidRDefault="00565FD5" w:rsidP="00AB62A3">
            <w:pPr>
              <w:rPr>
                <w:rFonts w:cs="Tahoma"/>
                <w:sz w:val="10"/>
                <w:szCs w:val="10"/>
                <w:lang w:eastAsia="tr-TR"/>
              </w:rPr>
            </w:pPr>
          </w:p>
        </w:tc>
        <w:tc>
          <w:tcPr>
            <w:tcW w:w="607" w:type="pct"/>
            <w:vAlign w:val="center"/>
          </w:tcPr>
          <w:p w:rsidR="00565FD5" w:rsidRPr="0026379C" w:rsidRDefault="00565FD5" w:rsidP="00AB62A3">
            <w:pPr>
              <w:tabs>
                <w:tab w:val="left" w:pos="708"/>
                <w:tab w:val="center" w:pos="4153"/>
                <w:tab w:val="right" w:pos="8306"/>
              </w:tabs>
              <w:rPr>
                <w:rFonts w:cs="Tahoma"/>
                <w:sz w:val="10"/>
                <w:szCs w:val="10"/>
                <w:lang w:eastAsia="tr-TR"/>
              </w:rPr>
            </w:pPr>
            <w:r w:rsidRPr="0026379C">
              <w:rPr>
                <w:rFonts w:cs="Tahoma"/>
                <w:sz w:val="10"/>
                <w:szCs w:val="10"/>
                <w:lang w:eastAsia="tr-TR"/>
              </w:rPr>
              <w:t>Vakıf Gureba Hastanesi Fakir Hasta Tedavileri (2)</w:t>
            </w:r>
          </w:p>
        </w:tc>
        <w:tc>
          <w:tcPr>
            <w:tcW w:w="431"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4 935</w:t>
            </w:r>
          </w:p>
        </w:tc>
        <w:tc>
          <w:tcPr>
            <w:tcW w:w="478"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726</w:t>
            </w:r>
          </w:p>
        </w:tc>
        <w:tc>
          <w:tcPr>
            <w:tcW w:w="475"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6 975</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1 068</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7 414</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1 087</w:t>
            </w:r>
          </w:p>
        </w:tc>
        <w:tc>
          <w:tcPr>
            <w:tcW w:w="476"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w:t>
            </w:r>
          </w:p>
        </w:tc>
        <w:tc>
          <w:tcPr>
            <w:tcW w:w="473"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w:t>
            </w:r>
          </w:p>
        </w:tc>
      </w:tr>
      <w:tr w:rsidR="00565FD5" w:rsidRPr="0026379C" w:rsidTr="00AB62A3">
        <w:trPr>
          <w:trHeight w:val="20"/>
          <w:jc w:val="center"/>
        </w:trPr>
        <w:tc>
          <w:tcPr>
            <w:tcW w:w="632" w:type="pct"/>
            <w:vMerge/>
            <w:vAlign w:val="center"/>
          </w:tcPr>
          <w:p w:rsidR="00565FD5" w:rsidRPr="0026379C" w:rsidRDefault="00565FD5" w:rsidP="00AB62A3">
            <w:pPr>
              <w:rPr>
                <w:rFonts w:cs="Tahoma"/>
                <w:sz w:val="10"/>
                <w:szCs w:val="10"/>
                <w:lang w:eastAsia="tr-TR"/>
              </w:rPr>
            </w:pPr>
          </w:p>
        </w:tc>
        <w:tc>
          <w:tcPr>
            <w:tcW w:w="607" w:type="pct"/>
            <w:vAlign w:val="center"/>
          </w:tcPr>
          <w:p w:rsidR="00565FD5" w:rsidRPr="0026379C" w:rsidRDefault="00565FD5" w:rsidP="00AB62A3">
            <w:pPr>
              <w:tabs>
                <w:tab w:val="left" w:pos="708"/>
                <w:tab w:val="center" w:pos="4153"/>
                <w:tab w:val="right" w:pos="8306"/>
              </w:tabs>
              <w:rPr>
                <w:rFonts w:cs="Tahoma"/>
                <w:sz w:val="10"/>
                <w:szCs w:val="10"/>
                <w:lang w:eastAsia="tr-TR"/>
              </w:rPr>
            </w:pPr>
            <w:r w:rsidRPr="0026379C">
              <w:rPr>
                <w:rFonts w:cs="Tahoma"/>
                <w:sz w:val="10"/>
                <w:szCs w:val="10"/>
                <w:lang w:eastAsia="tr-TR"/>
              </w:rPr>
              <w:t>Burs (ilk ve ortaöğretimdeki muhtaç öğrenciler)</w:t>
            </w:r>
          </w:p>
        </w:tc>
        <w:tc>
          <w:tcPr>
            <w:tcW w:w="431"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10 000</w:t>
            </w:r>
          </w:p>
        </w:tc>
        <w:tc>
          <w:tcPr>
            <w:tcW w:w="478"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4 555</w:t>
            </w:r>
          </w:p>
        </w:tc>
        <w:tc>
          <w:tcPr>
            <w:tcW w:w="475"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10 000</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3 756</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10 000</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2 709</w:t>
            </w:r>
          </w:p>
        </w:tc>
        <w:tc>
          <w:tcPr>
            <w:tcW w:w="476"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15 000</w:t>
            </w:r>
          </w:p>
        </w:tc>
        <w:tc>
          <w:tcPr>
            <w:tcW w:w="473"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2 930</w:t>
            </w:r>
          </w:p>
        </w:tc>
      </w:tr>
      <w:tr w:rsidR="00565FD5" w:rsidRPr="0026379C" w:rsidTr="00AB62A3">
        <w:trPr>
          <w:trHeight w:val="20"/>
          <w:jc w:val="center"/>
        </w:trPr>
        <w:tc>
          <w:tcPr>
            <w:tcW w:w="632" w:type="pct"/>
            <w:vAlign w:val="center"/>
          </w:tcPr>
          <w:p w:rsidR="00565FD5" w:rsidRPr="0026379C" w:rsidRDefault="00565FD5" w:rsidP="00AB62A3">
            <w:pPr>
              <w:tabs>
                <w:tab w:val="left" w:pos="708"/>
              </w:tabs>
              <w:rPr>
                <w:rFonts w:cs="Tahoma"/>
                <w:sz w:val="10"/>
                <w:szCs w:val="10"/>
                <w:lang w:eastAsia="tr-TR"/>
              </w:rPr>
            </w:pPr>
            <w:r w:rsidRPr="0026379C">
              <w:rPr>
                <w:rFonts w:cs="Tahoma"/>
                <w:sz w:val="10"/>
                <w:szCs w:val="10"/>
                <w:lang w:eastAsia="tr-TR"/>
              </w:rPr>
              <w:t xml:space="preserve">Sağlık Bakanlığı  </w:t>
            </w:r>
          </w:p>
        </w:tc>
        <w:tc>
          <w:tcPr>
            <w:tcW w:w="607" w:type="pct"/>
            <w:vAlign w:val="center"/>
          </w:tcPr>
          <w:p w:rsidR="00565FD5" w:rsidRPr="0026379C" w:rsidRDefault="00565FD5" w:rsidP="00AB62A3">
            <w:pPr>
              <w:tabs>
                <w:tab w:val="left" w:pos="708"/>
                <w:tab w:val="center" w:pos="4153"/>
                <w:tab w:val="right" w:pos="8306"/>
              </w:tabs>
              <w:rPr>
                <w:rFonts w:cs="Tahoma"/>
                <w:sz w:val="10"/>
                <w:szCs w:val="10"/>
                <w:lang w:eastAsia="tr-TR"/>
              </w:rPr>
            </w:pPr>
            <w:r w:rsidRPr="0026379C">
              <w:rPr>
                <w:rFonts w:cs="Tahoma"/>
                <w:sz w:val="10"/>
                <w:szCs w:val="10"/>
                <w:lang w:eastAsia="tr-TR"/>
              </w:rPr>
              <w:t>Yeşil Kart Uygulaması (3)</w:t>
            </w:r>
          </w:p>
        </w:tc>
        <w:tc>
          <w:tcPr>
            <w:tcW w:w="431"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9 225 745</w:t>
            </w:r>
          </w:p>
        </w:tc>
        <w:tc>
          <w:tcPr>
            <w:tcW w:w="478"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4 031 000</w:t>
            </w:r>
          </w:p>
        </w:tc>
        <w:tc>
          <w:tcPr>
            <w:tcW w:w="475"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9 647 131</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5 506 000</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9 451 583</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4 951 034</w:t>
            </w:r>
          </w:p>
        </w:tc>
        <w:tc>
          <w:tcPr>
            <w:tcW w:w="476"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8 928 943</w:t>
            </w:r>
          </w:p>
        </w:tc>
        <w:tc>
          <w:tcPr>
            <w:tcW w:w="473"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5 164 328</w:t>
            </w:r>
          </w:p>
        </w:tc>
      </w:tr>
      <w:tr w:rsidR="00565FD5" w:rsidRPr="0026379C" w:rsidTr="00AB62A3">
        <w:trPr>
          <w:trHeight w:val="20"/>
          <w:jc w:val="center"/>
        </w:trPr>
        <w:tc>
          <w:tcPr>
            <w:tcW w:w="632" w:type="pct"/>
            <w:vAlign w:val="center"/>
          </w:tcPr>
          <w:p w:rsidR="00565FD5" w:rsidRPr="0026379C" w:rsidRDefault="00565FD5" w:rsidP="00AB62A3">
            <w:pPr>
              <w:tabs>
                <w:tab w:val="left" w:pos="708"/>
              </w:tabs>
              <w:rPr>
                <w:rFonts w:cs="Tahoma"/>
                <w:sz w:val="10"/>
                <w:szCs w:val="10"/>
                <w:lang w:eastAsia="tr-TR"/>
              </w:rPr>
            </w:pPr>
            <w:r w:rsidRPr="0026379C">
              <w:rPr>
                <w:rFonts w:cs="Tahoma"/>
                <w:sz w:val="10"/>
                <w:szCs w:val="10"/>
                <w:lang w:eastAsia="tr-TR"/>
              </w:rPr>
              <w:t>MEB</w:t>
            </w:r>
          </w:p>
        </w:tc>
        <w:tc>
          <w:tcPr>
            <w:tcW w:w="607" w:type="pct"/>
            <w:vAlign w:val="center"/>
          </w:tcPr>
          <w:p w:rsidR="00565FD5" w:rsidRPr="0026379C" w:rsidRDefault="00565FD5" w:rsidP="00AB62A3">
            <w:pPr>
              <w:tabs>
                <w:tab w:val="left" w:pos="708"/>
                <w:tab w:val="center" w:pos="4153"/>
                <w:tab w:val="right" w:pos="8306"/>
              </w:tabs>
              <w:rPr>
                <w:rFonts w:cs="Tahoma"/>
                <w:sz w:val="10"/>
                <w:szCs w:val="10"/>
                <w:lang w:eastAsia="tr-TR"/>
              </w:rPr>
            </w:pPr>
            <w:r w:rsidRPr="0026379C">
              <w:rPr>
                <w:rFonts w:cs="Tahoma"/>
                <w:sz w:val="10"/>
                <w:szCs w:val="10"/>
                <w:lang w:eastAsia="tr-TR"/>
              </w:rPr>
              <w:t>Burs (ilk ve ortaöğretimdeki muhtaç öğrenciler)</w:t>
            </w:r>
          </w:p>
        </w:tc>
        <w:tc>
          <w:tcPr>
            <w:tcW w:w="431"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172 940</w:t>
            </w:r>
          </w:p>
        </w:tc>
        <w:tc>
          <w:tcPr>
            <w:tcW w:w="478"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113 137</w:t>
            </w:r>
          </w:p>
        </w:tc>
        <w:tc>
          <w:tcPr>
            <w:tcW w:w="475"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184 295</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151 596</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211 911</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188 637</w:t>
            </w:r>
          </w:p>
        </w:tc>
        <w:tc>
          <w:tcPr>
            <w:tcW w:w="476"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234 188</w:t>
            </w:r>
          </w:p>
        </w:tc>
        <w:tc>
          <w:tcPr>
            <w:tcW w:w="473"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266 186</w:t>
            </w:r>
          </w:p>
        </w:tc>
      </w:tr>
      <w:tr w:rsidR="00565FD5" w:rsidRPr="0026379C" w:rsidTr="00AB62A3">
        <w:trPr>
          <w:trHeight w:val="20"/>
          <w:jc w:val="center"/>
        </w:trPr>
        <w:tc>
          <w:tcPr>
            <w:tcW w:w="632" w:type="pct"/>
            <w:vAlign w:val="center"/>
          </w:tcPr>
          <w:p w:rsidR="00565FD5" w:rsidRPr="0026379C" w:rsidRDefault="00565FD5" w:rsidP="00AB62A3">
            <w:pPr>
              <w:tabs>
                <w:tab w:val="left" w:pos="708"/>
              </w:tabs>
              <w:rPr>
                <w:rFonts w:cs="Tahoma"/>
                <w:sz w:val="10"/>
                <w:szCs w:val="10"/>
                <w:lang w:eastAsia="tr-TR"/>
              </w:rPr>
            </w:pPr>
            <w:r w:rsidRPr="0026379C">
              <w:rPr>
                <w:rFonts w:cs="Tahoma"/>
                <w:sz w:val="10"/>
                <w:szCs w:val="10"/>
                <w:lang w:eastAsia="tr-TR"/>
              </w:rPr>
              <w:t xml:space="preserve">YURTKUR </w:t>
            </w:r>
          </w:p>
        </w:tc>
        <w:tc>
          <w:tcPr>
            <w:tcW w:w="607" w:type="pct"/>
            <w:vAlign w:val="center"/>
          </w:tcPr>
          <w:p w:rsidR="00565FD5" w:rsidRPr="0026379C" w:rsidRDefault="00565FD5" w:rsidP="00AB62A3">
            <w:pPr>
              <w:tabs>
                <w:tab w:val="left" w:pos="708"/>
                <w:tab w:val="center" w:pos="4153"/>
                <w:tab w:val="right" w:pos="8306"/>
              </w:tabs>
              <w:rPr>
                <w:rFonts w:cs="Tahoma"/>
                <w:sz w:val="10"/>
                <w:szCs w:val="10"/>
                <w:lang w:eastAsia="tr-TR"/>
              </w:rPr>
            </w:pPr>
            <w:r w:rsidRPr="0026379C">
              <w:rPr>
                <w:rFonts w:cs="Tahoma"/>
                <w:sz w:val="10"/>
                <w:szCs w:val="10"/>
                <w:lang w:eastAsia="tr-TR"/>
              </w:rPr>
              <w:t>Burs (yüksek öğretimdeki muhtaç öğrenciler) (4)</w:t>
            </w:r>
          </w:p>
        </w:tc>
        <w:tc>
          <w:tcPr>
            <w:tcW w:w="431"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181 490</w:t>
            </w:r>
          </w:p>
        </w:tc>
        <w:tc>
          <w:tcPr>
            <w:tcW w:w="478"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320 823</w:t>
            </w:r>
          </w:p>
        </w:tc>
        <w:tc>
          <w:tcPr>
            <w:tcW w:w="475"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198 707</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375 601</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234 130</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535 108</w:t>
            </w:r>
          </w:p>
        </w:tc>
        <w:tc>
          <w:tcPr>
            <w:tcW w:w="476"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320 912</w:t>
            </w:r>
          </w:p>
        </w:tc>
        <w:tc>
          <w:tcPr>
            <w:tcW w:w="473"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804 125</w:t>
            </w:r>
          </w:p>
        </w:tc>
      </w:tr>
      <w:tr w:rsidR="00565FD5" w:rsidRPr="0026379C" w:rsidTr="00AB62A3">
        <w:trPr>
          <w:trHeight w:val="227"/>
          <w:jc w:val="center"/>
        </w:trPr>
        <w:tc>
          <w:tcPr>
            <w:tcW w:w="632" w:type="pct"/>
            <w:vAlign w:val="center"/>
          </w:tcPr>
          <w:p w:rsidR="00565FD5" w:rsidRPr="0026379C" w:rsidRDefault="00565FD5" w:rsidP="00AB62A3">
            <w:pPr>
              <w:tabs>
                <w:tab w:val="left" w:pos="708"/>
              </w:tabs>
              <w:rPr>
                <w:rFonts w:cs="Tahoma"/>
                <w:sz w:val="10"/>
                <w:szCs w:val="10"/>
                <w:lang w:eastAsia="tr-TR"/>
              </w:rPr>
            </w:pPr>
            <w:r w:rsidRPr="0026379C">
              <w:rPr>
                <w:rFonts w:cs="Tahoma"/>
                <w:sz w:val="10"/>
                <w:szCs w:val="10"/>
                <w:lang w:eastAsia="tr-TR"/>
              </w:rPr>
              <w:t>TKİ</w:t>
            </w:r>
          </w:p>
        </w:tc>
        <w:tc>
          <w:tcPr>
            <w:tcW w:w="607" w:type="pct"/>
            <w:vAlign w:val="center"/>
          </w:tcPr>
          <w:p w:rsidR="00565FD5" w:rsidRPr="0026379C" w:rsidRDefault="00565FD5" w:rsidP="00AB62A3">
            <w:pPr>
              <w:tabs>
                <w:tab w:val="left" w:pos="708"/>
                <w:tab w:val="center" w:pos="4153"/>
                <w:tab w:val="right" w:pos="8306"/>
              </w:tabs>
              <w:rPr>
                <w:rFonts w:cs="Tahoma"/>
                <w:sz w:val="10"/>
                <w:szCs w:val="10"/>
                <w:lang w:eastAsia="tr-TR"/>
              </w:rPr>
            </w:pPr>
            <w:r w:rsidRPr="0026379C">
              <w:rPr>
                <w:rFonts w:cs="Tahoma"/>
                <w:sz w:val="10"/>
                <w:szCs w:val="10"/>
                <w:lang w:eastAsia="tr-TR"/>
              </w:rPr>
              <w:t>Kömür Yardımı</w:t>
            </w:r>
          </w:p>
        </w:tc>
        <w:tc>
          <w:tcPr>
            <w:tcW w:w="431"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 </w:t>
            </w:r>
          </w:p>
        </w:tc>
        <w:tc>
          <w:tcPr>
            <w:tcW w:w="478"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433 283</w:t>
            </w:r>
          </w:p>
        </w:tc>
        <w:tc>
          <w:tcPr>
            <w:tcW w:w="475"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 </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594 500</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 </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557 798</w:t>
            </w:r>
          </w:p>
        </w:tc>
        <w:tc>
          <w:tcPr>
            <w:tcW w:w="476"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 </w:t>
            </w:r>
          </w:p>
        </w:tc>
        <w:tc>
          <w:tcPr>
            <w:tcW w:w="473"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654 306</w:t>
            </w:r>
          </w:p>
        </w:tc>
      </w:tr>
      <w:tr w:rsidR="00565FD5" w:rsidRPr="0026379C" w:rsidTr="00AB62A3">
        <w:trPr>
          <w:trHeight w:val="227"/>
          <w:jc w:val="center"/>
        </w:trPr>
        <w:tc>
          <w:tcPr>
            <w:tcW w:w="632" w:type="pct"/>
            <w:vAlign w:val="center"/>
          </w:tcPr>
          <w:p w:rsidR="00565FD5" w:rsidRPr="0026379C" w:rsidRDefault="00565FD5" w:rsidP="00AB62A3">
            <w:pPr>
              <w:tabs>
                <w:tab w:val="left" w:pos="708"/>
              </w:tabs>
              <w:rPr>
                <w:rFonts w:cs="Tahoma"/>
                <w:sz w:val="10"/>
                <w:szCs w:val="10"/>
                <w:lang w:eastAsia="tr-TR"/>
              </w:rPr>
            </w:pPr>
            <w:r w:rsidRPr="0026379C">
              <w:rPr>
                <w:rFonts w:cs="Tahoma"/>
                <w:sz w:val="10"/>
                <w:szCs w:val="10"/>
                <w:lang w:eastAsia="tr-TR"/>
              </w:rPr>
              <w:t>TTK</w:t>
            </w:r>
          </w:p>
        </w:tc>
        <w:tc>
          <w:tcPr>
            <w:tcW w:w="607" w:type="pct"/>
            <w:vAlign w:val="center"/>
          </w:tcPr>
          <w:p w:rsidR="00565FD5" w:rsidRPr="0026379C" w:rsidRDefault="00565FD5" w:rsidP="00AB62A3">
            <w:pPr>
              <w:tabs>
                <w:tab w:val="left" w:pos="708"/>
                <w:tab w:val="center" w:pos="4153"/>
                <w:tab w:val="right" w:pos="8306"/>
              </w:tabs>
              <w:rPr>
                <w:rFonts w:cs="Tahoma"/>
                <w:sz w:val="10"/>
                <w:szCs w:val="10"/>
                <w:lang w:eastAsia="tr-TR"/>
              </w:rPr>
            </w:pPr>
            <w:r w:rsidRPr="0026379C">
              <w:rPr>
                <w:rFonts w:cs="Tahoma"/>
                <w:sz w:val="10"/>
                <w:szCs w:val="10"/>
                <w:lang w:eastAsia="tr-TR"/>
              </w:rPr>
              <w:t>Kömür Yardımı</w:t>
            </w:r>
          </w:p>
        </w:tc>
        <w:tc>
          <w:tcPr>
            <w:tcW w:w="431"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 </w:t>
            </w:r>
          </w:p>
        </w:tc>
        <w:tc>
          <w:tcPr>
            <w:tcW w:w="478"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5 318</w:t>
            </w:r>
          </w:p>
        </w:tc>
        <w:tc>
          <w:tcPr>
            <w:tcW w:w="475"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 </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15 425</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 </w:t>
            </w:r>
          </w:p>
        </w:tc>
        <w:tc>
          <w:tcPr>
            <w:tcW w:w="476" w:type="pct"/>
            <w:noWrap/>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20 650</w:t>
            </w:r>
          </w:p>
        </w:tc>
        <w:tc>
          <w:tcPr>
            <w:tcW w:w="476"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 </w:t>
            </w:r>
          </w:p>
        </w:tc>
        <w:tc>
          <w:tcPr>
            <w:tcW w:w="473" w:type="pct"/>
            <w:vAlign w:val="center"/>
          </w:tcPr>
          <w:p w:rsidR="00565FD5" w:rsidRPr="0026379C" w:rsidRDefault="00565FD5" w:rsidP="00AB62A3">
            <w:pPr>
              <w:tabs>
                <w:tab w:val="left" w:pos="708"/>
                <w:tab w:val="center" w:pos="4153"/>
                <w:tab w:val="right" w:pos="8306"/>
              </w:tabs>
              <w:jc w:val="right"/>
              <w:rPr>
                <w:rFonts w:cs="Tahoma"/>
                <w:sz w:val="10"/>
                <w:szCs w:val="10"/>
                <w:lang w:eastAsia="tr-TR"/>
              </w:rPr>
            </w:pPr>
            <w:r w:rsidRPr="0026379C">
              <w:rPr>
                <w:rFonts w:cs="Tahoma"/>
                <w:sz w:val="10"/>
                <w:szCs w:val="10"/>
                <w:lang w:eastAsia="tr-TR"/>
              </w:rPr>
              <w:t>12 836</w:t>
            </w:r>
          </w:p>
        </w:tc>
      </w:tr>
      <w:tr w:rsidR="00565FD5" w:rsidRPr="0026379C" w:rsidTr="00AB62A3">
        <w:trPr>
          <w:trHeight w:val="20"/>
          <w:jc w:val="center"/>
        </w:trPr>
        <w:tc>
          <w:tcPr>
            <w:tcW w:w="632" w:type="pct"/>
            <w:vAlign w:val="center"/>
          </w:tcPr>
          <w:p w:rsidR="00565FD5" w:rsidRPr="0026379C" w:rsidRDefault="00565FD5" w:rsidP="00AB62A3">
            <w:pPr>
              <w:tabs>
                <w:tab w:val="left" w:pos="708"/>
              </w:tabs>
              <w:rPr>
                <w:rFonts w:cs="Tahoma"/>
                <w:sz w:val="10"/>
                <w:szCs w:val="10"/>
                <w:lang w:eastAsia="tr-TR"/>
              </w:rPr>
            </w:pPr>
            <w:r w:rsidRPr="0026379C">
              <w:rPr>
                <w:rFonts w:cs="Tahoma"/>
                <w:sz w:val="10"/>
                <w:szCs w:val="10"/>
                <w:lang w:eastAsia="tr-TR"/>
              </w:rPr>
              <w:t xml:space="preserve">Belediyeler </w:t>
            </w:r>
          </w:p>
        </w:tc>
        <w:tc>
          <w:tcPr>
            <w:tcW w:w="607" w:type="pct"/>
            <w:vAlign w:val="center"/>
          </w:tcPr>
          <w:p w:rsidR="00565FD5" w:rsidRPr="0026379C" w:rsidRDefault="00565FD5" w:rsidP="00AB62A3">
            <w:pPr>
              <w:tabs>
                <w:tab w:val="left" w:pos="708"/>
                <w:tab w:val="center" w:pos="4153"/>
                <w:tab w:val="right" w:pos="8306"/>
              </w:tabs>
              <w:rPr>
                <w:rFonts w:cs="Tahoma"/>
                <w:sz w:val="10"/>
                <w:szCs w:val="10"/>
                <w:lang w:eastAsia="tr-TR"/>
              </w:rPr>
            </w:pPr>
            <w:r w:rsidRPr="0026379C">
              <w:rPr>
                <w:rFonts w:cs="Tahoma"/>
                <w:sz w:val="10"/>
                <w:szCs w:val="10"/>
                <w:lang w:eastAsia="tr-TR"/>
              </w:rPr>
              <w:t>Tüm Sosyal Yardımlar (5)</w:t>
            </w:r>
          </w:p>
        </w:tc>
        <w:tc>
          <w:tcPr>
            <w:tcW w:w="431" w:type="pct"/>
            <w:noWrap/>
            <w:vAlign w:val="center"/>
          </w:tcPr>
          <w:p w:rsidR="00565FD5" w:rsidRPr="0026379C" w:rsidRDefault="00565FD5" w:rsidP="00AB62A3">
            <w:pPr>
              <w:tabs>
                <w:tab w:val="left" w:pos="708"/>
              </w:tabs>
              <w:jc w:val="right"/>
              <w:rPr>
                <w:rFonts w:cs="Tahoma"/>
                <w:sz w:val="10"/>
                <w:szCs w:val="10"/>
                <w:lang w:eastAsia="tr-TR"/>
              </w:rPr>
            </w:pPr>
            <w:r w:rsidRPr="0026379C">
              <w:rPr>
                <w:rFonts w:cs="Tahoma"/>
                <w:sz w:val="10"/>
                <w:szCs w:val="10"/>
                <w:lang w:eastAsia="tr-TR"/>
              </w:rPr>
              <w:t>-</w:t>
            </w:r>
          </w:p>
        </w:tc>
        <w:tc>
          <w:tcPr>
            <w:tcW w:w="478" w:type="pct"/>
            <w:noWrap/>
            <w:vAlign w:val="center"/>
          </w:tcPr>
          <w:p w:rsidR="00565FD5" w:rsidRPr="0026379C" w:rsidRDefault="00565FD5" w:rsidP="00AB62A3">
            <w:pPr>
              <w:tabs>
                <w:tab w:val="left" w:pos="708"/>
              </w:tabs>
              <w:jc w:val="right"/>
              <w:rPr>
                <w:rFonts w:cs="Tahoma"/>
                <w:sz w:val="10"/>
                <w:szCs w:val="10"/>
                <w:lang w:eastAsia="tr-TR"/>
              </w:rPr>
            </w:pPr>
            <w:r w:rsidRPr="0026379C">
              <w:rPr>
                <w:rFonts w:cs="Tahoma"/>
                <w:sz w:val="10"/>
                <w:szCs w:val="10"/>
                <w:lang w:eastAsia="tr-TR"/>
              </w:rPr>
              <w:t>519 034</w:t>
            </w:r>
          </w:p>
        </w:tc>
        <w:tc>
          <w:tcPr>
            <w:tcW w:w="475" w:type="pct"/>
            <w:noWrap/>
            <w:vAlign w:val="center"/>
          </w:tcPr>
          <w:p w:rsidR="00565FD5" w:rsidRPr="0026379C" w:rsidRDefault="00565FD5" w:rsidP="00AB62A3">
            <w:pPr>
              <w:tabs>
                <w:tab w:val="left" w:pos="708"/>
              </w:tabs>
              <w:jc w:val="right"/>
              <w:rPr>
                <w:rFonts w:cs="Tahoma"/>
                <w:sz w:val="10"/>
                <w:szCs w:val="10"/>
                <w:lang w:eastAsia="tr-TR"/>
              </w:rPr>
            </w:pPr>
            <w:r w:rsidRPr="0026379C">
              <w:rPr>
                <w:rFonts w:cs="Tahoma"/>
                <w:sz w:val="10"/>
                <w:szCs w:val="10"/>
                <w:lang w:eastAsia="tr-TR"/>
              </w:rPr>
              <w:t>-</w:t>
            </w:r>
          </w:p>
        </w:tc>
        <w:tc>
          <w:tcPr>
            <w:tcW w:w="476" w:type="pct"/>
            <w:noWrap/>
            <w:vAlign w:val="center"/>
          </w:tcPr>
          <w:p w:rsidR="00565FD5" w:rsidRPr="0026379C" w:rsidRDefault="00565FD5" w:rsidP="00AB62A3">
            <w:pPr>
              <w:tabs>
                <w:tab w:val="left" w:pos="708"/>
              </w:tabs>
              <w:jc w:val="right"/>
              <w:rPr>
                <w:rFonts w:cs="Tahoma"/>
                <w:sz w:val="10"/>
                <w:szCs w:val="10"/>
                <w:lang w:eastAsia="tr-TR"/>
              </w:rPr>
            </w:pPr>
            <w:r w:rsidRPr="0026379C">
              <w:rPr>
                <w:rFonts w:cs="Tahoma"/>
                <w:sz w:val="10"/>
                <w:szCs w:val="10"/>
                <w:lang w:eastAsia="tr-TR"/>
              </w:rPr>
              <w:t>484 860</w:t>
            </w:r>
          </w:p>
        </w:tc>
        <w:tc>
          <w:tcPr>
            <w:tcW w:w="476" w:type="pct"/>
            <w:noWrap/>
            <w:vAlign w:val="center"/>
          </w:tcPr>
          <w:p w:rsidR="00565FD5" w:rsidRPr="0026379C" w:rsidRDefault="00565FD5" w:rsidP="00AB62A3">
            <w:pPr>
              <w:tabs>
                <w:tab w:val="left" w:pos="708"/>
              </w:tabs>
              <w:jc w:val="right"/>
              <w:rPr>
                <w:rFonts w:cs="Tahoma"/>
                <w:sz w:val="10"/>
                <w:szCs w:val="10"/>
                <w:lang w:eastAsia="tr-TR"/>
              </w:rPr>
            </w:pPr>
            <w:r w:rsidRPr="0026379C">
              <w:rPr>
                <w:rFonts w:cs="Tahoma"/>
                <w:sz w:val="10"/>
                <w:szCs w:val="10"/>
                <w:lang w:eastAsia="tr-TR"/>
              </w:rPr>
              <w:t>-</w:t>
            </w:r>
          </w:p>
        </w:tc>
        <w:tc>
          <w:tcPr>
            <w:tcW w:w="476" w:type="pct"/>
            <w:noWrap/>
            <w:vAlign w:val="center"/>
          </w:tcPr>
          <w:p w:rsidR="00565FD5" w:rsidRPr="0026379C" w:rsidRDefault="00565FD5" w:rsidP="00AB62A3">
            <w:pPr>
              <w:tabs>
                <w:tab w:val="left" w:pos="708"/>
              </w:tabs>
              <w:jc w:val="right"/>
              <w:rPr>
                <w:rFonts w:cs="Tahoma"/>
                <w:sz w:val="10"/>
                <w:szCs w:val="10"/>
                <w:lang w:eastAsia="tr-TR"/>
              </w:rPr>
            </w:pPr>
            <w:r w:rsidRPr="0026379C">
              <w:rPr>
                <w:rFonts w:cs="Tahoma"/>
                <w:sz w:val="10"/>
                <w:szCs w:val="10"/>
                <w:lang w:eastAsia="tr-TR"/>
              </w:rPr>
              <w:t>452 813</w:t>
            </w:r>
          </w:p>
        </w:tc>
        <w:tc>
          <w:tcPr>
            <w:tcW w:w="476" w:type="pct"/>
            <w:vAlign w:val="center"/>
          </w:tcPr>
          <w:p w:rsidR="00565FD5" w:rsidRPr="0026379C" w:rsidRDefault="00565FD5" w:rsidP="00AB62A3">
            <w:pPr>
              <w:tabs>
                <w:tab w:val="left" w:pos="708"/>
              </w:tabs>
              <w:jc w:val="right"/>
              <w:rPr>
                <w:rFonts w:cs="Tahoma"/>
                <w:sz w:val="10"/>
                <w:szCs w:val="10"/>
                <w:lang w:eastAsia="tr-TR"/>
              </w:rPr>
            </w:pPr>
            <w:r w:rsidRPr="0026379C">
              <w:rPr>
                <w:rFonts w:cs="Tahoma"/>
                <w:sz w:val="10"/>
                <w:szCs w:val="10"/>
                <w:lang w:eastAsia="tr-TR"/>
              </w:rPr>
              <w:t>- </w:t>
            </w:r>
          </w:p>
        </w:tc>
        <w:tc>
          <w:tcPr>
            <w:tcW w:w="473" w:type="pct"/>
            <w:vAlign w:val="center"/>
          </w:tcPr>
          <w:p w:rsidR="00565FD5" w:rsidRPr="0026379C" w:rsidRDefault="00565FD5" w:rsidP="00AB62A3">
            <w:pPr>
              <w:tabs>
                <w:tab w:val="left" w:pos="708"/>
              </w:tabs>
              <w:jc w:val="right"/>
              <w:rPr>
                <w:rFonts w:cs="Tahoma"/>
                <w:sz w:val="10"/>
                <w:szCs w:val="10"/>
                <w:lang w:eastAsia="tr-TR"/>
              </w:rPr>
            </w:pPr>
            <w:r w:rsidRPr="0026379C">
              <w:rPr>
                <w:rFonts w:cs="Tahoma"/>
                <w:sz w:val="10"/>
                <w:szCs w:val="10"/>
                <w:lang w:eastAsia="tr-TR"/>
              </w:rPr>
              <w:t>543 685</w:t>
            </w:r>
          </w:p>
        </w:tc>
      </w:tr>
      <w:tr w:rsidR="00565FD5" w:rsidRPr="0026379C" w:rsidTr="00AB62A3">
        <w:trPr>
          <w:trHeight w:val="227"/>
          <w:jc w:val="center"/>
        </w:trPr>
        <w:tc>
          <w:tcPr>
            <w:tcW w:w="1239" w:type="pct"/>
            <w:gridSpan w:val="2"/>
            <w:noWrap/>
            <w:vAlign w:val="center"/>
          </w:tcPr>
          <w:p w:rsidR="00565FD5" w:rsidRPr="0026379C" w:rsidRDefault="00565FD5" w:rsidP="00AB62A3">
            <w:pPr>
              <w:tabs>
                <w:tab w:val="left" w:pos="708"/>
              </w:tabs>
              <w:rPr>
                <w:rFonts w:cs="Tahoma"/>
                <w:b/>
                <w:bCs/>
                <w:sz w:val="10"/>
                <w:szCs w:val="10"/>
                <w:lang w:eastAsia="tr-TR"/>
              </w:rPr>
            </w:pPr>
            <w:r w:rsidRPr="0026379C">
              <w:rPr>
                <w:rFonts w:cs="Tahoma"/>
                <w:b/>
                <w:bCs/>
                <w:sz w:val="10"/>
                <w:szCs w:val="10"/>
                <w:lang w:eastAsia="tr-TR"/>
              </w:rPr>
              <w:t>TOPLAM</w:t>
            </w:r>
          </w:p>
        </w:tc>
        <w:tc>
          <w:tcPr>
            <w:tcW w:w="431" w:type="pct"/>
            <w:noWrap/>
            <w:vAlign w:val="center"/>
          </w:tcPr>
          <w:p w:rsidR="00565FD5" w:rsidRPr="0026379C" w:rsidRDefault="00565FD5" w:rsidP="00AB62A3">
            <w:pPr>
              <w:tabs>
                <w:tab w:val="left" w:pos="708"/>
              </w:tabs>
              <w:jc w:val="right"/>
              <w:rPr>
                <w:rFonts w:cs="Tahoma"/>
                <w:sz w:val="10"/>
                <w:szCs w:val="10"/>
                <w:lang w:eastAsia="tr-TR"/>
              </w:rPr>
            </w:pPr>
            <w:r w:rsidRPr="0026379C">
              <w:rPr>
                <w:rFonts w:cs="Tahoma"/>
                <w:sz w:val="10"/>
                <w:szCs w:val="10"/>
                <w:lang w:eastAsia="tr-TR"/>
              </w:rPr>
              <w:t>-</w:t>
            </w:r>
          </w:p>
        </w:tc>
        <w:tc>
          <w:tcPr>
            <w:tcW w:w="478" w:type="pct"/>
            <w:noWrap/>
            <w:vAlign w:val="center"/>
          </w:tcPr>
          <w:p w:rsidR="00565FD5" w:rsidRPr="0026379C" w:rsidRDefault="00565FD5" w:rsidP="00AB62A3">
            <w:pPr>
              <w:tabs>
                <w:tab w:val="left" w:pos="708"/>
              </w:tabs>
              <w:jc w:val="right"/>
              <w:rPr>
                <w:rFonts w:cs="Tahoma"/>
                <w:sz w:val="10"/>
                <w:szCs w:val="10"/>
                <w:lang w:eastAsia="tr-TR"/>
              </w:rPr>
            </w:pPr>
            <w:r w:rsidRPr="0026379C">
              <w:rPr>
                <w:rFonts w:cs="Tahoma"/>
                <w:sz w:val="10"/>
                <w:szCs w:val="10"/>
                <w:lang w:eastAsia="tr-TR"/>
              </w:rPr>
              <w:t>9 814 517</w:t>
            </w:r>
          </w:p>
        </w:tc>
        <w:tc>
          <w:tcPr>
            <w:tcW w:w="475" w:type="pct"/>
            <w:noWrap/>
            <w:vAlign w:val="center"/>
          </w:tcPr>
          <w:p w:rsidR="00565FD5" w:rsidRPr="0026379C" w:rsidRDefault="00565FD5" w:rsidP="00AB62A3">
            <w:pPr>
              <w:tabs>
                <w:tab w:val="left" w:pos="708"/>
              </w:tabs>
              <w:jc w:val="right"/>
              <w:rPr>
                <w:rFonts w:cs="Tahoma"/>
                <w:sz w:val="10"/>
                <w:szCs w:val="10"/>
                <w:lang w:eastAsia="tr-TR"/>
              </w:rPr>
            </w:pPr>
            <w:r w:rsidRPr="0026379C">
              <w:rPr>
                <w:rFonts w:cs="Tahoma"/>
                <w:sz w:val="10"/>
                <w:szCs w:val="10"/>
                <w:lang w:eastAsia="tr-TR"/>
              </w:rPr>
              <w:t>- </w:t>
            </w:r>
          </w:p>
        </w:tc>
        <w:tc>
          <w:tcPr>
            <w:tcW w:w="476" w:type="pct"/>
            <w:noWrap/>
            <w:vAlign w:val="center"/>
          </w:tcPr>
          <w:p w:rsidR="00565FD5" w:rsidRPr="0026379C" w:rsidRDefault="00565FD5" w:rsidP="00AB62A3">
            <w:pPr>
              <w:tabs>
                <w:tab w:val="left" w:pos="708"/>
              </w:tabs>
              <w:jc w:val="right"/>
              <w:rPr>
                <w:rFonts w:cs="Tahoma"/>
                <w:sz w:val="10"/>
                <w:szCs w:val="10"/>
                <w:lang w:eastAsia="tr-TR"/>
              </w:rPr>
            </w:pPr>
            <w:r w:rsidRPr="0026379C">
              <w:rPr>
                <w:rFonts w:cs="Tahoma"/>
                <w:sz w:val="10"/>
                <w:szCs w:val="10"/>
                <w:lang w:eastAsia="tr-TR"/>
              </w:rPr>
              <w:t>13 018 611</w:t>
            </w:r>
          </w:p>
        </w:tc>
        <w:tc>
          <w:tcPr>
            <w:tcW w:w="476" w:type="pct"/>
            <w:noWrap/>
            <w:vAlign w:val="center"/>
          </w:tcPr>
          <w:p w:rsidR="00565FD5" w:rsidRPr="0026379C" w:rsidRDefault="00565FD5" w:rsidP="00AB62A3">
            <w:pPr>
              <w:tabs>
                <w:tab w:val="left" w:pos="708"/>
              </w:tabs>
              <w:jc w:val="right"/>
              <w:rPr>
                <w:rFonts w:cs="Tahoma"/>
                <w:sz w:val="10"/>
                <w:szCs w:val="10"/>
                <w:lang w:eastAsia="tr-TR"/>
              </w:rPr>
            </w:pPr>
            <w:r w:rsidRPr="0026379C">
              <w:rPr>
                <w:rFonts w:cs="Tahoma"/>
                <w:sz w:val="10"/>
                <w:szCs w:val="10"/>
                <w:lang w:eastAsia="tr-TR"/>
              </w:rPr>
              <w:t>- </w:t>
            </w:r>
          </w:p>
        </w:tc>
        <w:tc>
          <w:tcPr>
            <w:tcW w:w="476" w:type="pct"/>
            <w:noWrap/>
            <w:vAlign w:val="center"/>
          </w:tcPr>
          <w:p w:rsidR="00565FD5" w:rsidRPr="0026379C" w:rsidRDefault="00565FD5" w:rsidP="00AB62A3">
            <w:pPr>
              <w:tabs>
                <w:tab w:val="left" w:pos="708"/>
              </w:tabs>
              <w:jc w:val="right"/>
              <w:rPr>
                <w:rFonts w:cs="Tahoma"/>
                <w:sz w:val="10"/>
                <w:szCs w:val="10"/>
                <w:lang w:eastAsia="tr-TR"/>
              </w:rPr>
            </w:pPr>
            <w:r w:rsidRPr="0026379C">
              <w:rPr>
                <w:rFonts w:cs="Tahoma"/>
                <w:sz w:val="10"/>
                <w:szCs w:val="10"/>
                <w:lang w:eastAsia="tr-TR"/>
              </w:rPr>
              <w:t>12 997 124</w:t>
            </w:r>
          </w:p>
        </w:tc>
        <w:tc>
          <w:tcPr>
            <w:tcW w:w="476" w:type="pct"/>
            <w:vAlign w:val="center"/>
          </w:tcPr>
          <w:p w:rsidR="00565FD5" w:rsidRPr="0026379C" w:rsidRDefault="00565FD5" w:rsidP="00AB62A3">
            <w:pPr>
              <w:tabs>
                <w:tab w:val="left" w:pos="708"/>
              </w:tabs>
              <w:jc w:val="right"/>
              <w:rPr>
                <w:rFonts w:cs="Tahoma"/>
                <w:sz w:val="10"/>
                <w:szCs w:val="10"/>
                <w:lang w:eastAsia="tr-TR"/>
              </w:rPr>
            </w:pPr>
            <w:r w:rsidRPr="0026379C">
              <w:rPr>
                <w:rFonts w:cs="Tahoma"/>
                <w:sz w:val="10"/>
                <w:szCs w:val="10"/>
                <w:lang w:eastAsia="tr-TR"/>
              </w:rPr>
              <w:t>-</w:t>
            </w:r>
          </w:p>
        </w:tc>
        <w:tc>
          <w:tcPr>
            <w:tcW w:w="473" w:type="pct"/>
            <w:vAlign w:val="center"/>
          </w:tcPr>
          <w:p w:rsidR="00565FD5" w:rsidRPr="0026379C" w:rsidRDefault="00565FD5" w:rsidP="00AB62A3">
            <w:pPr>
              <w:jc w:val="right"/>
              <w:rPr>
                <w:rFonts w:cs="Tahoma"/>
                <w:sz w:val="10"/>
                <w:szCs w:val="10"/>
                <w:lang w:eastAsia="tr-TR"/>
              </w:rPr>
            </w:pPr>
            <w:r w:rsidRPr="0026379C">
              <w:rPr>
                <w:rFonts w:cs="Tahoma"/>
                <w:sz w:val="10"/>
                <w:szCs w:val="10"/>
                <w:lang w:eastAsia="tr-TR"/>
              </w:rPr>
              <w:t>15 313 717</w:t>
            </w:r>
          </w:p>
        </w:tc>
      </w:tr>
      <w:tr w:rsidR="00565FD5" w:rsidRPr="0026379C" w:rsidTr="00AB62A3">
        <w:trPr>
          <w:trHeight w:val="227"/>
          <w:jc w:val="center"/>
        </w:trPr>
        <w:tc>
          <w:tcPr>
            <w:tcW w:w="1239" w:type="pct"/>
            <w:gridSpan w:val="2"/>
            <w:noWrap/>
            <w:vAlign w:val="center"/>
          </w:tcPr>
          <w:p w:rsidR="00565FD5" w:rsidRPr="0026379C" w:rsidRDefault="00565FD5" w:rsidP="00AB62A3">
            <w:pPr>
              <w:tabs>
                <w:tab w:val="left" w:pos="708"/>
              </w:tabs>
              <w:rPr>
                <w:rFonts w:cs="Tahoma"/>
                <w:b/>
                <w:bCs/>
                <w:sz w:val="10"/>
                <w:szCs w:val="10"/>
                <w:lang w:eastAsia="tr-TR"/>
              </w:rPr>
            </w:pPr>
            <w:r w:rsidRPr="0026379C">
              <w:rPr>
                <w:rFonts w:cs="Tahoma"/>
                <w:b/>
                <w:bCs/>
                <w:sz w:val="10"/>
                <w:szCs w:val="10"/>
                <w:lang w:eastAsia="tr-TR"/>
              </w:rPr>
              <w:t>TOPLAM/GSYH (Yüzde)</w:t>
            </w:r>
          </w:p>
        </w:tc>
        <w:tc>
          <w:tcPr>
            <w:tcW w:w="431" w:type="pct"/>
            <w:noWrap/>
            <w:vAlign w:val="center"/>
          </w:tcPr>
          <w:p w:rsidR="00565FD5" w:rsidRPr="0026379C" w:rsidRDefault="00565FD5" w:rsidP="00AB62A3">
            <w:pPr>
              <w:tabs>
                <w:tab w:val="left" w:pos="708"/>
              </w:tabs>
              <w:jc w:val="right"/>
              <w:rPr>
                <w:rFonts w:cs="Tahoma"/>
                <w:sz w:val="10"/>
                <w:szCs w:val="10"/>
                <w:lang w:eastAsia="tr-TR"/>
              </w:rPr>
            </w:pPr>
            <w:r w:rsidRPr="0026379C">
              <w:rPr>
                <w:rFonts w:cs="Tahoma"/>
                <w:sz w:val="10"/>
                <w:szCs w:val="10"/>
                <w:lang w:eastAsia="tr-TR"/>
              </w:rPr>
              <w:t>-</w:t>
            </w:r>
          </w:p>
        </w:tc>
        <w:tc>
          <w:tcPr>
            <w:tcW w:w="478" w:type="pct"/>
            <w:noWrap/>
            <w:vAlign w:val="center"/>
          </w:tcPr>
          <w:p w:rsidR="00565FD5" w:rsidRPr="0026379C" w:rsidRDefault="00565FD5" w:rsidP="00AB62A3">
            <w:pPr>
              <w:tabs>
                <w:tab w:val="left" w:pos="708"/>
              </w:tabs>
              <w:jc w:val="right"/>
              <w:rPr>
                <w:rFonts w:cs="Tahoma"/>
                <w:b/>
                <w:bCs/>
                <w:sz w:val="10"/>
                <w:szCs w:val="10"/>
                <w:lang w:eastAsia="tr-TR"/>
              </w:rPr>
            </w:pPr>
            <w:r w:rsidRPr="0026379C">
              <w:rPr>
                <w:rFonts w:cs="Tahoma"/>
                <w:b/>
                <w:bCs/>
                <w:sz w:val="10"/>
                <w:szCs w:val="10"/>
                <w:lang w:eastAsia="tr-TR"/>
              </w:rPr>
              <w:t>1,03</w:t>
            </w:r>
          </w:p>
        </w:tc>
        <w:tc>
          <w:tcPr>
            <w:tcW w:w="475" w:type="pct"/>
            <w:noWrap/>
            <w:vAlign w:val="center"/>
          </w:tcPr>
          <w:p w:rsidR="00565FD5" w:rsidRPr="0026379C" w:rsidRDefault="00565FD5" w:rsidP="00AB62A3">
            <w:pPr>
              <w:tabs>
                <w:tab w:val="left" w:pos="708"/>
              </w:tabs>
              <w:jc w:val="right"/>
              <w:rPr>
                <w:rFonts w:cs="Tahoma"/>
                <w:b/>
                <w:bCs/>
                <w:sz w:val="10"/>
                <w:szCs w:val="10"/>
                <w:lang w:eastAsia="tr-TR"/>
              </w:rPr>
            </w:pPr>
            <w:r w:rsidRPr="0026379C">
              <w:rPr>
                <w:rFonts w:cs="Tahoma"/>
                <w:b/>
                <w:bCs/>
                <w:sz w:val="10"/>
                <w:szCs w:val="10"/>
                <w:lang w:eastAsia="tr-TR"/>
              </w:rPr>
              <w:t>-</w:t>
            </w:r>
          </w:p>
        </w:tc>
        <w:tc>
          <w:tcPr>
            <w:tcW w:w="476" w:type="pct"/>
            <w:noWrap/>
            <w:vAlign w:val="center"/>
          </w:tcPr>
          <w:p w:rsidR="00565FD5" w:rsidRPr="0026379C" w:rsidRDefault="00565FD5" w:rsidP="00AB62A3">
            <w:pPr>
              <w:tabs>
                <w:tab w:val="left" w:pos="708"/>
              </w:tabs>
              <w:jc w:val="right"/>
              <w:rPr>
                <w:rFonts w:cs="Tahoma"/>
                <w:b/>
                <w:bCs/>
                <w:sz w:val="10"/>
                <w:szCs w:val="10"/>
                <w:lang w:eastAsia="tr-TR"/>
              </w:rPr>
            </w:pPr>
            <w:r w:rsidRPr="0026379C">
              <w:rPr>
                <w:rFonts w:cs="Tahoma"/>
                <w:b/>
                <w:bCs/>
                <w:sz w:val="10"/>
                <w:szCs w:val="10"/>
                <w:lang w:eastAsia="tr-TR"/>
              </w:rPr>
              <w:t>1,37</w:t>
            </w:r>
          </w:p>
        </w:tc>
        <w:tc>
          <w:tcPr>
            <w:tcW w:w="476" w:type="pct"/>
            <w:noWrap/>
            <w:vAlign w:val="center"/>
          </w:tcPr>
          <w:p w:rsidR="00565FD5" w:rsidRPr="0026379C" w:rsidRDefault="00565FD5" w:rsidP="00AB62A3">
            <w:pPr>
              <w:tabs>
                <w:tab w:val="left" w:pos="708"/>
              </w:tabs>
              <w:jc w:val="right"/>
              <w:rPr>
                <w:rFonts w:cs="Tahoma"/>
                <w:b/>
                <w:bCs/>
                <w:sz w:val="10"/>
                <w:szCs w:val="10"/>
                <w:lang w:eastAsia="tr-TR"/>
              </w:rPr>
            </w:pPr>
            <w:r w:rsidRPr="0026379C">
              <w:rPr>
                <w:rFonts w:cs="Tahoma"/>
                <w:b/>
                <w:bCs/>
                <w:sz w:val="10"/>
                <w:szCs w:val="10"/>
                <w:lang w:eastAsia="tr-TR"/>
              </w:rPr>
              <w:t>-</w:t>
            </w:r>
          </w:p>
        </w:tc>
        <w:tc>
          <w:tcPr>
            <w:tcW w:w="476" w:type="pct"/>
            <w:noWrap/>
            <w:vAlign w:val="center"/>
          </w:tcPr>
          <w:p w:rsidR="00565FD5" w:rsidRPr="0026379C" w:rsidRDefault="00565FD5" w:rsidP="00AB62A3">
            <w:pPr>
              <w:tabs>
                <w:tab w:val="left" w:pos="708"/>
              </w:tabs>
              <w:jc w:val="right"/>
              <w:rPr>
                <w:rFonts w:cs="Tahoma"/>
                <w:b/>
                <w:bCs/>
                <w:sz w:val="10"/>
                <w:szCs w:val="10"/>
                <w:lang w:eastAsia="tr-TR"/>
              </w:rPr>
            </w:pPr>
            <w:r w:rsidRPr="0026379C">
              <w:rPr>
                <w:rFonts w:cs="Tahoma"/>
                <w:b/>
                <w:bCs/>
                <w:sz w:val="10"/>
                <w:szCs w:val="10"/>
                <w:lang w:eastAsia="tr-TR"/>
              </w:rPr>
              <w:t>1,18</w:t>
            </w:r>
          </w:p>
        </w:tc>
        <w:tc>
          <w:tcPr>
            <w:tcW w:w="476" w:type="pct"/>
            <w:vAlign w:val="center"/>
          </w:tcPr>
          <w:p w:rsidR="00565FD5" w:rsidRPr="0026379C" w:rsidRDefault="00565FD5" w:rsidP="00AB62A3">
            <w:pPr>
              <w:tabs>
                <w:tab w:val="left" w:pos="708"/>
              </w:tabs>
              <w:jc w:val="right"/>
              <w:rPr>
                <w:rFonts w:cs="Tahoma"/>
                <w:sz w:val="10"/>
                <w:szCs w:val="10"/>
                <w:lang w:eastAsia="tr-TR"/>
              </w:rPr>
            </w:pPr>
            <w:r w:rsidRPr="0026379C">
              <w:rPr>
                <w:rFonts w:cs="Tahoma"/>
                <w:sz w:val="10"/>
                <w:szCs w:val="10"/>
                <w:lang w:eastAsia="tr-TR"/>
              </w:rPr>
              <w:t>-</w:t>
            </w:r>
          </w:p>
        </w:tc>
        <w:tc>
          <w:tcPr>
            <w:tcW w:w="473" w:type="pct"/>
            <w:vAlign w:val="center"/>
          </w:tcPr>
          <w:p w:rsidR="00565FD5" w:rsidRPr="0026379C" w:rsidRDefault="00565FD5" w:rsidP="00AB62A3">
            <w:pPr>
              <w:tabs>
                <w:tab w:val="left" w:pos="708"/>
              </w:tabs>
              <w:jc w:val="right"/>
              <w:rPr>
                <w:rFonts w:cs="Tahoma"/>
                <w:sz w:val="10"/>
                <w:szCs w:val="10"/>
                <w:lang w:eastAsia="tr-TR"/>
              </w:rPr>
            </w:pPr>
            <w:r w:rsidRPr="0026379C">
              <w:rPr>
                <w:rFonts w:cs="Tahoma"/>
                <w:b/>
                <w:bCs/>
                <w:sz w:val="10"/>
                <w:szCs w:val="10"/>
                <w:lang w:eastAsia="tr-TR"/>
              </w:rPr>
              <w:t>1,18</w:t>
            </w:r>
          </w:p>
        </w:tc>
      </w:tr>
    </w:tbl>
    <w:p w:rsidR="00565FD5" w:rsidRPr="004B3DE4" w:rsidRDefault="00565FD5" w:rsidP="00565FD5">
      <w:pPr>
        <w:autoSpaceDE w:val="0"/>
        <w:autoSpaceDN w:val="0"/>
        <w:adjustRightInd w:val="0"/>
        <w:rPr>
          <w:rFonts w:cs="Tahoma"/>
          <w:sz w:val="14"/>
          <w:szCs w:val="14"/>
        </w:rPr>
      </w:pPr>
      <w:r w:rsidRPr="004B3DE4">
        <w:rPr>
          <w:rFonts w:cs="Tahoma"/>
          <w:sz w:val="14"/>
          <w:szCs w:val="14"/>
        </w:rPr>
        <w:lastRenderedPageBreak/>
        <w:t>Kaynak: Aile ve Sosyal Politikalar Bakanlığı, Sağlık Bakanlığı, MEB, Kalkınma Bakanlığı, SGK, Maliye Bakanlığı Muhasebat Genel Müdürlüğü, Vakıflar Genel Müdürlüğü, YURTKUR</w:t>
      </w:r>
    </w:p>
    <w:p w:rsidR="00565FD5" w:rsidRPr="004B3DE4" w:rsidRDefault="00565FD5" w:rsidP="00565FD5">
      <w:pPr>
        <w:autoSpaceDE w:val="0"/>
        <w:autoSpaceDN w:val="0"/>
        <w:adjustRightInd w:val="0"/>
        <w:rPr>
          <w:rFonts w:cs="Tahoma"/>
          <w:sz w:val="14"/>
          <w:szCs w:val="14"/>
        </w:rPr>
      </w:pPr>
      <w:r w:rsidRPr="004B3DE4">
        <w:rPr>
          <w:rFonts w:cs="Tahoma"/>
          <w:sz w:val="14"/>
          <w:szCs w:val="14"/>
        </w:rPr>
        <w:t>(1) 2009 ve 2010 yıllarında kullanılan Yardım Bilgi Bankasının kullanımdan kalkıp Bütünleşik Sosyal Yardım Hizmetleri Projesinin kullanıma geçildiği yıl olan 2011 yılında sosyal yardım alan kişi sayısı hakkında sağlıklı bilgi bulunmadığından, 2012 yılı ilk 9 aylık bölümü fayda sahibi kişilerin (3.787.462 kişi) 12 aya tamamlanarak 2010 yılı ile ortalaması alınması yoluyla 2011 yılı tahmin edilmiştir.</w:t>
      </w:r>
    </w:p>
    <w:p w:rsidR="00565FD5" w:rsidRPr="004B3DE4" w:rsidRDefault="00565FD5" w:rsidP="00565FD5">
      <w:pPr>
        <w:autoSpaceDE w:val="0"/>
        <w:autoSpaceDN w:val="0"/>
        <w:adjustRightInd w:val="0"/>
        <w:rPr>
          <w:rFonts w:cs="Tahoma"/>
          <w:sz w:val="14"/>
          <w:szCs w:val="14"/>
        </w:rPr>
      </w:pPr>
      <w:r w:rsidRPr="004B3DE4">
        <w:rPr>
          <w:rFonts w:cs="Tahoma"/>
          <w:sz w:val="14"/>
          <w:szCs w:val="14"/>
        </w:rPr>
        <w:t>(2) Vakıf Gureba Hastanesi tüm eklentileriyle birlikte 25 Ekim 2010 tarihinde Bezmialem Vakıf Üniversitesi Tıp Fakültesi Hastanesine devrolduğu için 2011 yılı rakamlarına yer verilmemiştir.</w:t>
      </w:r>
    </w:p>
    <w:p w:rsidR="00565FD5" w:rsidRPr="004B3DE4" w:rsidRDefault="00565FD5" w:rsidP="00565FD5">
      <w:pPr>
        <w:autoSpaceDE w:val="0"/>
        <w:autoSpaceDN w:val="0"/>
        <w:adjustRightInd w:val="0"/>
        <w:rPr>
          <w:rFonts w:cs="Tahoma"/>
          <w:sz w:val="14"/>
          <w:szCs w:val="14"/>
        </w:rPr>
      </w:pPr>
      <w:r w:rsidRPr="004B3DE4">
        <w:rPr>
          <w:rFonts w:cs="Tahoma"/>
          <w:sz w:val="14"/>
          <w:szCs w:val="14"/>
        </w:rPr>
        <w:t>(3) Kişi sayısı, Yeşil Kartı aktif olan kişi sayısını göstermektedir.</w:t>
      </w:r>
    </w:p>
    <w:p w:rsidR="00565FD5" w:rsidRPr="004B3DE4" w:rsidRDefault="00565FD5" w:rsidP="00565FD5">
      <w:pPr>
        <w:autoSpaceDE w:val="0"/>
        <w:autoSpaceDN w:val="0"/>
        <w:adjustRightInd w:val="0"/>
        <w:rPr>
          <w:rFonts w:cs="Tahoma"/>
          <w:sz w:val="14"/>
          <w:szCs w:val="14"/>
        </w:rPr>
      </w:pPr>
      <w:r w:rsidRPr="004B3DE4">
        <w:rPr>
          <w:rFonts w:cs="Tahoma"/>
          <w:sz w:val="14"/>
          <w:szCs w:val="14"/>
        </w:rPr>
        <w:t>(4) Üniversitelerin kendi bütçelerinden öğrencilerine verdikleri yardımlar bu rakama dahil değildir.</w:t>
      </w:r>
    </w:p>
    <w:p w:rsidR="00565FD5" w:rsidRPr="004B3DE4" w:rsidRDefault="00565FD5" w:rsidP="00565FD5">
      <w:pPr>
        <w:autoSpaceDE w:val="0"/>
        <w:autoSpaceDN w:val="0"/>
        <w:adjustRightInd w:val="0"/>
        <w:spacing w:after="240"/>
        <w:rPr>
          <w:rFonts w:cs="Tahoma"/>
          <w:sz w:val="14"/>
          <w:szCs w:val="14"/>
        </w:rPr>
      </w:pPr>
      <w:r w:rsidRPr="004B3DE4">
        <w:rPr>
          <w:rFonts w:cs="Tahoma"/>
          <w:sz w:val="14"/>
          <w:szCs w:val="14"/>
        </w:rPr>
        <w:t>(5) Maliye Bakanlığı Muhasebat Genel Müdürlüğü tarafından açıklanan Belediyelerin Bütçe Giderlerinin EKod 4’e göre tasnifindeki Hanehalkına Yapılan Transferler kalemindeki rakamlar alınmıştır. Yararlanan kişi sayısına ilişkin bilgi mevcut değildir.</w:t>
      </w:r>
    </w:p>
    <w:p w:rsidR="00565FD5" w:rsidRPr="004B3DE4" w:rsidRDefault="00565FD5" w:rsidP="00565FD5">
      <w:pPr>
        <w:spacing w:after="160"/>
        <w:ind w:firstLine="425"/>
        <w:rPr>
          <w:rFonts w:cs="Tahoma"/>
          <w:szCs w:val="18"/>
        </w:rPr>
      </w:pPr>
      <w:bookmarkStart w:id="2558" w:name="_Toc276076346"/>
      <w:bookmarkStart w:id="2559" w:name="_Toc307602066"/>
      <w:bookmarkStart w:id="2560" w:name="_Toc307670503"/>
      <w:bookmarkStart w:id="2561" w:name="_Toc307701729"/>
      <w:r w:rsidRPr="004B3DE4">
        <w:rPr>
          <w:rFonts w:cs="Tahoma"/>
          <w:szCs w:val="18"/>
        </w:rPr>
        <w:t xml:space="preserve">Kamu sosyal yardım harcamalarındaki önemli artışa paralel olarak sosyal yardım sisteminde etkinliğin artırılmasına yönelik çalışmalar yürütülmektedir. Sosyal yardım sisteminde gerçek ihtiyaç sahiplerine etkin ve yeterli hizmet sunulması hedefi doğrultusunda, sistemde nesnel ölçütlerin oluşturulmasına yönelik Puanlama Formülü Projesi ile sosyal yardım alanında faaliyet gösteren kurum ve kuruluşlar arasında iletişim ve işbirliğinin artırılmasına yönelik Bütünleşik Sosyal Yardım Hizmetleri Projesi, Aile ve Sosyal Politikalar Bakanlığı tarafından devam ettirilmektedir. Puanlama Formülü Projesi kapsamında 2012 yılı Haziran ayı itibarıyla Türkiye İstatistik Kurumu tarafından ana alan anket çalışması tamamlanmış olup 2012 yılı sonunda puanlama formülünün kullanılabilir hale getirilmesi planlanmaktadır. Bütünleşik Sosyal Yardım Hizmetleri Projesiyle hane yaklaşımına geçilerek yoksulluk envanteri oluşturulmuş, hane bazlı olarak kişilerin tüm sosyo-ekonomik verileri elektronik ortamda tutulmaya ve tüm süreç bu ortamda yürütülmeye başlanmış, kamu sosyal yardımlarında mükerrer yardımlar büyük ölçüde engellenmiştir. Söz konusu proje, sosyal yardım yapan belediyeler ve sivil toplum kuruluşlarının sisteme entegrasyonunun yapılmasıyla 2013 yılı Haziran ayı itibarıyla tamamlanacaktır. Ayrıca 2012 yılı Ocak ayı itibarıyla Genel Sağlık Sigortası gelir testi işlemleri söz konusu sistem üzerinden yürütülmeye başlanmış olup 2012 yılı Eylül ayı itibarıyla yaklaşık 12,5 milyon kişi, gelir testi sonucu sistem üzerinden çevrimiçi olarak SGK’ya iletilmiş ve söz konusu kişilerin sağlık hizmeti alması sağlanmıştır.  </w:t>
      </w:r>
    </w:p>
    <w:p w:rsidR="00565FD5" w:rsidRDefault="00565FD5" w:rsidP="00565FD5">
      <w:pPr>
        <w:spacing w:after="160"/>
        <w:ind w:firstLine="425"/>
        <w:rPr>
          <w:rFonts w:cs="Tahoma"/>
          <w:szCs w:val="18"/>
        </w:rPr>
      </w:pPr>
      <w:r w:rsidRPr="004B3DE4">
        <w:rPr>
          <w:rFonts w:cs="Tahoma"/>
          <w:szCs w:val="18"/>
        </w:rPr>
        <w:lastRenderedPageBreak/>
        <w:t xml:space="preserve">Sosyal yardım sisteminde yardımların genellikle sosyal güvenlik kaydı olmayanlara yapılmasının bireyleri kayıtlı çalışma yerine sosyal yardımlara bağımlı olarak yaşamlarını sürdürmeye teşvik eden bir yönü de bulunmaktadır. Bu durumun önüne geçmek ve çalışan yoksulluğunu gidermek için, 12/07/2012 tarihli ve 6353 sayılı Kanunla; 3294 sayılı Kanunda yapılan değişiklikle hane içindeki kişi başına düşen geliri aylık net asgari ücretin 1/3’ünden az olması durumunda sosyal güvenlik kaydı bulunan kişilerin de sosyal yardımlardan yararlanabilmesi sağlanmıştır.  Diğer taraftan yoksulluğun geçici bir durum olarak kabul edilmesi için sosyal yardım alan kesimin düzenli bir gelir elde edebilecekleri işlerde istihdam edilmesi önem arz etmektedir. Bu kapsamda sosyal yardım alan çalışabilir durumdaki yoksul kesimin yoksulluktan kalıcı bir şekilde kurtulabilmesi için işgücü piyasası ile bağlantılarının kurulması ve güçlendirilmesi amacıyla 2010 yılında Sosyal Yardım Sisteminin İstihdam ile Bağlantısının Kurulması ve Etkinleştirilmesi Eylem Planı hazırlanıp uygulamaya konulmuştur. Söz konusu eylem planıyla çalışabilir durumdaki sosyal yardım başvurusunda bulunan yoksul kesimin İŞKUR kayıtları Bütünleşik Sosyal Yardım Sistemi üzerinden otomatik olarak yapılmaya başlanmıştır. Eylem planının yürürlüğe girdiği tarihten 2012 yılı Ağustos ayına kadar Sosyal Yardımlaşma ve Dayanışma Vakıflarına başvuran ve sistem üzerinden İŞKUR’a yönlendirilen kişilerden yaklaşık 826 bin kişi İŞKUR hedef kitlesine girmiş olup bu kişilerden 313 binine randevu verilmiş ve 22 biniyle bireysel görüşme yapılmıştır. 54 bin kişi iş başvurusuna yönlendirilmiş, 10 bin kişi işe yerleştirilmiş, 35 bin kişi işgücü yetiştirme kurslarına başvurmuş ve başvuranlardan 9.500 kişi kursa katılmıştır. </w:t>
      </w:r>
    </w:p>
    <w:p w:rsidR="00565FD5" w:rsidRDefault="00565FD5" w:rsidP="00565FD5">
      <w:pPr>
        <w:spacing w:after="160"/>
        <w:ind w:firstLine="425"/>
        <w:rPr>
          <w:rFonts w:cs="Tahoma"/>
          <w:szCs w:val="18"/>
        </w:rPr>
      </w:pPr>
      <w:r w:rsidRPr="004B3DE4">
        <w:rPr>
          <w:rFonts w:cs="Tahoma"/>
          <w:szCs w:val="18"/>
        </w:rPr>
        <w:t>Aile ve Sosyal Politikalar Bakanlığı sosyal yardım ve hizmet alanında ailenin ihtiyaçlarına bütüncül olarak yaklaşan, aile ve bireylere arz odaklı hizmet sunan Aile Sosyal Destek Programı (ASDEP) modelini oluşturmak üzere çalışmalarına devam etmektedir. ASDEP, sosyal yardım ve hizmetlere ihtiyacı olan aile ve bireylerin nesnel ölçütlere göre tespiti, bilgilendirilmesi, sosyal yardım ve hizmetlerden yararlandırılması, diğer kamu hizmetlerinden yararlanmalarının sağlanması ve bu suretle yaşam koşullarının iyileştirilmesi ve refah seviyelerinin yükseltilmesini amaçlayan ve bu sürecin tüm aşamalarında kendilerine rehberlik edilmesini öngören bir programdır. ASDEP’in pilot uygulamaları Kırıkkale ve Karabük illerinde gerçekleştirilm</w:t>
      </w:r>
      <w:r>
        <w:rPr>
          <w:rFonts w:cs="Tahoma"/>
          <w:szCs w:val="18"/>
        </w:rPr>
        <w:t>işt</w:t>
      </w:r>
      <w:r w:rsidRPr="004B3DE4">
        <w:rPr>
          <w:rFonts w:cs="Tahoma"/>
          <w:szCs w:val="18"/>
        </w:rPr>
        <w:t>ir.</w:t>
      </w:r>
    </w:p>
    <w:p w:rsidR="00565FD5" w:rsidRDefault="00565FD5" w:rsidP="00565FD5">
      <w:pPr>
        <w:spacing w:after="160"/>
        <w:ind w:firstLine="425"/>
        <w:rPr>
          <w:rFonts w:cs="Tahoma"/>
          <w:szCs w:val="18"/>
        </w:rPr>
      </w:pPr>
      <w:r w:rsidRPr="004B3DE4">
        <w:rPr>
          <w:rFonts w:cs="Tahoma"/>
          <w:szCs w:val="18"/>
        </w:rPr>
        <w:lastRenderedPageBreak/>
        <w:t>Sosyal hizmet ve yardımlara olan ihtiyacın artmasına paralel olarak Aile ve Sosyal Politikalar Bakanlığına bağlı sosyal hizmet sunan birimlerin sayılarında da artış görülmektedir. 2012 yılı Ağustos ayı itibarıyla Bakanlığa bağlı kuruluşların genelinde toplam kapasite doluluk oranı yüzde 76 düzeyindedir.</w:t>
      </w:r>
      <w:r>
        <w:rPr>
          <w:rFonts w:cs="Tahoma"/>
          <w:szCs w:val="18"/>
        </w:rPr>
        <w:t xml:space="preserve"> </w:t>
      </w:r>
    </w:p>
    <w:p w:rsidR="00565FD5" w:rsidRDefault="00565FD5" w:rsidP="00565FD5">
      <w:pPr>
        <w:spacing w:after="160"/>
        <w:ind w:firstLine="425"/>
        <w:rPr>
          <w:rFonts w:cs="Tahoma"/>
          <w:szCs w:val="18"/>
        </w:rPr>
      </w:pPr>
    </w:p>
    <w:p w:rsidR="00565FD5" w:rsidRDefault="00565FD5" w:rsidP="00565FD5">
      <w:pPr>
        <w:spacing w:after="160"/>
        <w:ind w:firstLine="425"/>
        <w:rPr>
          <w:rFonts w:cs="Tahoma"/>
          <w:szCs w:val="18"/>
        </w:rPr>
      </w:pPr>
    </w:p>
    <w:p w:rsidR="00565FD5" w:rsidRPr="0026379C" w:rsidRDefault="00565FD5" w:rsidP="00565FD5">
      <w:pPr>
        <w:pStyle w:val="ResimYazs"/>
        <w:rPr>
          <w:rFonts w:cs="Tahoma"/>
          <w:bCs/>
        </w:rPr>
      </w:pPr>
      <w:bookmarkStart w:id="2562" w:name="_Toc307601717"/>
      <w:bookmarkStart w:id="2563" w:name="_Toc307657937"/>
      <w:bookmarkStart w:id="2564" w:name="_Toc307702195"/>
      <w:bookmarkStart w:id="2565" w:name="_Toc338606061"/>
      <w:bookmarkStart w:id="2566" w:name="_Toc338711836"/>
      <w:r>
        <w:t xml:space="preserve">TABL IV: </w:t>
      </w:r>
      <w:fldSimple w:instr=" SEQ TABLO_IV: \* ARABIC ">
        <w:r>
          <w:rPr>
            <w:noProof/>
          </w:rPr>
          <w:t>66</w:t>
        </w:r>
      </w:fldSimple>
      <w:r w:rsidRPr="0026379C">
        <w:rPr>
          <w:rFonts w:cs="Tahoma"/>
        </w:rPr>
        <w:t>-</w:t>
      </w:r>
      <w:r w:rsidRPr="0026379C">
        <w:rPr>
          <w:rFonts w:cs="Tahoma"/>
          <w:bCs/>
        </w:rPr>
        <w:t xml:space="preserve"> </w:t>
      </w:r>
      <w:r w:rsidRPr="0026379C">
        <w:t>Aile ve Sosyal Politikalar Bakanlığına Bağlı Sosyal Hizmet Kuruluş Sayıları ve Kapasiteleri</w:t>
      </w:r>
      <w:bookmarkEnd w:id="2562"/>
      <w:bookmarkEnd w:id="2563"/>
      <w:bookmarkEnd w:id="2564"/>
      <w:bookmarkEnd w:id="2565"/>
      <w:bookmarkEnd w:id="2566"/>
    </w:p>
    <w:tbl>
      <w:tblPr>
        <w:tblW w:w="5000" w:type="pct"/>
        <w:tblCellMar>
          <w:left w:w="70" w:type="dxa"/>
          <w:right w:w="70" w:type="dxa"/>
        </w:tblCellMar>
        <w:tblLook w:val="00A0"/>
      </w:tblPr>
      <w:tblGrid>
        <w:gridCol w:w="2310"/>
        <w:gridCol w:w="568"/>
        <w:gridCol w:w="684"/>
        <w:gridCol w:w="568"/>
        <w:gridCol w:w="640"/>
        <w:gridCol w:w="536"/>
        <w:gridCol w:w="640"/>
        <w:gridCol w:w="652"/>
        <w:gridCol w:w="684"/>
      </w:tblGrid>
      <w:tr w:rsidR="00565FD5" w:rsidRPr="004B3DE4" w:rsidTr="00AB62A3">
        <w:trPr>
          <w:trHeight w:val="495"/>
        </w:trPr>
        <w:tc>
          <w:tcPr>
            <w:tcW w:w="1592" w:type="pct"/>
            <w:vMerge w:val="restart"/>
            <w:tcBorders>
              <w:top w:val="single" w:sz="4" w:space="0" w:color="auto"/>
              <w:left w:val="single" w:sz="4" w:space="0" w:color="auto"/>
              <w:bottom w:val="single" w:sz="4" w:space="0" w:color="auto"/>
              <w:right w:val="single" w:sz="4" w:space="0" w:color="auto"/>
            </w:tcBorders>
            <w:noWrap/>
            <w:vAlign w:val="center"/>
          </w:tcPr>
          <w:p w:rsidR="00565FD5" w:rsidRPr="004B3DE4" w:rsidRDefault="00565FD5" w:rsidP="00AB62A3">
            <w:pPr>
              <w:rPr>
                <w:rFonts w:cs="Tahoma"/>
                <w:b/>
                <w:bCs/>
                <w:color w:val="000000"/>
                <w:sz w:val="14"/>
                <w:szCs w:val="14"/>
                <w:lang w:eastAsia="tr-TR"/>
              </w:rPr>
            </w:pPr>
            <w:r w:rsidRPr="004B3DE4">
              <w:rPr>
                <w:rFonts w:cs="Tahoma"/>
                <w:b/>
                <w:bCs/>
                <w:color w:val="000000"/>
                <w:sz w:val="14"/>
                <w:szCs w:val="14"/>
                <w:lang w:eastAsia="tr-TR"/>
              </w:rPr>
              <w:t>Kuruluş Türleri</w:t>
            </w:r>
          </w:p>
        </w:tc>
        <w:tc>
          <w:tcPr>
            <w:tcW w:w="872" w:type="pct"/>
            <w:gridSpan w:val="2"/>
            <w:tcBorders>
              <w:top w:val="single" w:sz="4" w:space="0" w:color="auto"/>
              <w:left w:val="nil"/>
              <w:bottom w:val="single" w:sz="4" w:space="0" w:color="auto"/>
              <w:right w:val="single" w:sz="4" w:space="0" w:color="auto"/>
            </w:tcBorders>
            <w:noWrap/>
            <w:vAlign w:val="center"/>
          </w:tcPr>
          <w:p w:rsidR="00565FD5" w:rsidRPr="004B3DE4" w:rsidRDefault="00565FD5" w:rsidP="00AB62A3">
            <w:pPr>
              <w:jc w:val="center"/>
              <w:rPr>
                <w:rFonts w:cs="Tahoma"/>
                <w:b/>
                <w:bCs/>
                <w:color w:val="000000"/>
                <w:sz w:val="14"/>
                <w:szCs w:val="14"/>
                <w:lang w:eastAsia="tr-TR"/>
              </w:rPr>
            </w:pPr>
            <w:r w:rsidRPr="004B3DE4">
              <w:rPr>
                <w:rFonts w:cs="Tahoma"/>
                <w:b/>
                <w:bCs/>
                <w:color w:val="000000"/>
                <w:sz w:val="14"/>
                <w:szCs w:val="14"/>
                <w:lang w:eastAsia="tr-TR"/>
              </w:rPr>
              <w:t>2009</w:t>
            </w:r>
          </w:p>
        </w:tc>
        <w:tc>
          <w:tcPr>
            <w:tcW w:w="815" w:type="pct"/>
            <w:gridSpan w:val="2"/>
            <w:tcBorders>
              <w:top w:val="single" w:sz="4" w:space="0" w:color="auto"/>
              <w:left w:val="nil"/>
              <w:bottom w:val="single" w:sz="4" w:space="0" w:color="auto"/>
              <w:right w:val="single" w:sz="4" w:space="0" w:color="auto"/>
            </w:tcBorders>
            <w:noWrap/>
            <w:vAlign w:val="center"/>
          </w:tcPr>
          <w:p w:rsidR="00565FD5" w:rsidRPr="004B3DE4" w:rsidRDefault="00565FD5" w:rsidP="00AB62A3">
            <w:pPr>
              <w:jc w:val="center"/>
              <w:rPr>
                <w:rFonts w:cs="Tahoma"/>
                <w:b/>
                <w:bCs/>
                <w:color w:val="000000"/>
                <w:sz w:val="14"/>
                <w:szCs w:val="14"/>
                <w:lang w:eastAsia="tr-TR"/>
              </w:rPr>
            </w:pPr>
            <w:r w:rsidRPr="004B3DE4">
              <w:rPr>
                <w:rFonts w:cs="Tahoma"/>
                <w:b/>
                <w:bCs/>
                <w:color w:val="000000"/>
                <w:sz w:val="14"/>
                <w:szCs w:val="14"/>
                <w:lang w:eastAsia="tr-TR"/>
              </w:rPr>
              <w:t>2010 (4)</w:t>
            </w:r>
          </w:p>
        </w:tc>
        <w:tc>
          <w:tcPr>
            <w:tcW w:w="793" w:type="pct"/>
            <w:gridSpan w:val="2"/>
            <w:tcBorders>
              <w:top w:val="single" w:sz="4" w:space="0" w:color="auto"/>
              <w:left w:val="nil"/>
              <w:bottom w:val="single" w:sz="4" w:space="0" w:color="auto"/>
              <w:right w:val="single" w:sz="4" w:space="0" w:color="auto"/>
            </w:tcBorders>
            <w:noWrap/>
            <w:vAlign w:val="center"/>
          </w:tcPr>
          <w:p w:rsidR="00565FD5" w:rsidRPr="004B3DE4" w:rsidRDefault="00565FD5" w:rsidP="00AB62A3">
            <w:pPr>
              <w:jc w:val="center"/>
              <w:rPr>
                <w:rFonts w:cs="Tahoma"/>
                <w:b/>
                <w:bCs/>
                <w:color w:val="000000"/>
                <w:sz w:val="14"/>
                <w:szCs w:val="14"/>
                <w:lang w:eastAsia="tr-TR"/>
              </w:rPr>
            </w:pPr>
            <w:r w:rsidRPr="004B3DE4">
              <w:rPr>
                <w:rFonts w:cs="Tahoma"/>
                <w:b/>
                <w:bCs/>
                <w:color w:val="000000"/>
                <w:sz w:val="14"/>
                <w:szCs w:val="14"/>
                <w:lang w:eastAsia="tr-TR"/>
              </w:rPr>
              <w:t>2011</w:t>
            </w:r>
          </w:p>
        </w:tc>
        <w:tc>
          <w:tcPr>
            <w:tcW w:w="929" w:type="pct"/>
            <w:gridSpan w:val="2"/>
            <w:tcBorders>
              <w:top w:val="single" w:sz="4" w:space="0" w:color="auto"/>
              <w:left w:val="nil"/>
              <w:bottom w:val="single" w:sz="4" w:space="0" w:color="auto"/>
              <w:right w:val="single" w:sz="4" w:space="0" w:color="auto"/>
            </w:tcBorders>
            <w:noWrap/>
            <w:vAlign w:val="center"/>
          </w:tcPr>
          <w:p w:rsidR="00565FD5" w:rsidRPr="004B3DE4" w:rsidRDefault="00565FD5" w:rsidP="00AB62A3">
            <w:pPr>
              <w:jc w:val="center"/>
              <w:rPr>
                <w:rFonts w:cs="Tahoma"/>
                <w:b/>
                <w:bCs/>
                <w:color w:val="000000"/>
                <w:sz w:val="14"/>
                <w:szCs w:val="14"/>
                <w:lang w:eastAsia="tr-TR"/>
              </w:rPr>
            </w:pPr>
            <w:r w:rsidRPr="004B3DE4">
              <w:rPr>
                <w:rFonts w:cs="Tahoma"/>
                <w:b/>
                <w:bCs/>
                <w:color w:val="000000"/>
                <w:sz w:val="14"/>
                <w:szCs w:val="14"/>
                <w:lang w:eastAsia="tr-TR"/>
              </w:rPr>
              <w:t>2012 (5)</w:t>
            </w:r>
          </w:p>
        </w:tc>
      </w:tr>
      <w:tr w:rsidR="00565FD5" w:rsidRPr="004B3DE4" w:rsidTr="00AB62A3">
        <w:trPr>
          <w:trHeight w:val="345"/>
        </w:trPr>
        <w:tc>
          <w:tcPr>
            <w:tcW w:w="1592" w:type="pct"/>
            <w:vMerge/>
            <w:tcBorders>
              <w:top w:val="single" w:sz="4" w:space="0" w:color="auto"/>
              <w:left w:val="single" w:sz="4" w:space="0" w:color="auto"/>
              <w:bottom w:val="single" w:sz="4" w:space="0" w:color="auto"/>
              <w:right w:val="single" w:sz="4" w:space="0" w:color="auto"/>
            </w:tcBorders>
            <w:vAlign w:val="center"/>
          </w:tcPr>
          <w:p w:rsidR="00565FD5" w:rsidRPr="004B3DE4" w:rsidRDefault="00565FD5" w:rsidP="00AB62A3">
            <w:pPr>
              <w:rPr>
                <w:rFonts w:cs="Tahoma"/>
                <w:b/>
                <w:bCs/>
                <w:color w:val="000000"/>
                <w:sz w:val="14"/>
                <w:szCs w:val="14"/>
                <w:lang w:eastAsia="tr-TR"/>
              </w:rPr>
            </w:pPr>
          </w:p>
        </w:tc>
        <w:tc>
          <w:tcPr>
            <w:tcW w:w="396" w:type="pct"/>
            <w:tcBorders>
              <w:top w:val="nil"/>
              <w:left w:val="nil"/>
              <w:bottom w:val="single" w:sz="4" w:space="0" w:color="auto"/>
              <w:right w:val="single" w:sz="4" w:space="0" w:color="auto"/>
            </w:tcBorders>
            <w:noWrap/>
            <w:vAlign w:val="center"/>
          </w:tcPr>
          <w:p w:rsidR="00565FD5" w:rsidRPr="004B3DE4" w:rsidRDefault="00565FD5" w:rsidP="00AB62A3">
            <w:pPr>
              <w:tabs>
                <w:tab w:val="center" w:pos="4153"/>
                <w:tab w:val="right" w:pos="8306"/>
              </w:tabs>
              <w:jc w:val="center"/>
              <w:rPr>
                <w:rFonts w:cs="Tahoma"/>
                <w:b/>
                <w:bCs/>
                <w:color w:val="000000"/>
                <w:sz w:val="14"/>
                <w:szCs w:val="14"/>
                <w:lang w:eastAsia="tr-TR"/>
              </w:rPr>
            </w:pPr>
            <w:r w:rsidRPr="004B3DE4">
              <w:rPr>
                <w:rFonts w:cs="Tahoma"/>
                <w:b/>
                <w:bCs/>
                <w:color w:val="000000"/>
                <w:sz w:val="14"/>
                <w:szCs w:val="14"/>
                <w:lang w:eastAsia="tr-TR"/>
              </w:rPr>
              <w:t>Sayı</w:t>
            </w:r>
          </w:p>
        </w:tc>
        <w:tc>
          <w:tcPr>
            <w:tcW w:w="476" w:type="pct"/>
            <w:tcBorders>
              <w:top w:val="nil"/>
              <w:left w:val="nil"/>
              <w:bottom w:val="single" w:sz="4" w:space="0" w:color="auto"/>
              <w:right w:val="single" w:sz="4" w:space="0" w:color="auto"/>
            </w:tcBorders>
            <w:noWrap/>
            <w:vAlign w:val="center"/>
          </w:tcPr>
          <w:p w:rsidR="00565FD5" w:rsidRPr="004B3DE4" w:rsidRDefault="00565FD5" w:rsidP="00AB62A3">
            <w:pPr>
              <w:tabs>
                <w:tab w:val="center" w:pos="4153"/>
                <w:tab w:val="right" w:pos="8306"/>
              </w:tabs>
              <w:jc w:val="center"/>
              <w:rPr>
                <w:rFonts w:cs="Tahoma"/>
                <w:b/>
                <w:bCs/>
                <w:color w:val="000000"/>
                <w:sz w:val="14"/>
                <w:szCs w:val="14"/>
                <w:lang w:eastAsia="tr-TR"/>
              </w:rPr>
            </w:pPr>
            <w:r w:rsidRPr="004B3DE4">
              <w:rPr>
                <w:rFonts w:cs="Tahoma"/>
                <w:b/>
                <w:bCs/>
                <w:color w:val="000000"/>
                <w:sz w:val="14"/>
                <w:szCs w:val="14"/>
                <w:lang w:eastAsia="tr-TR"/>
              </w:rPr>
              <w:t>Kapasite</w:t>
            </w:r>
          </w:p>
        </w:tc>
        <w:tc>
          <w:tcPr>
            <w:tcW w:w="396" w:type="pct"/>
            <w:tcBorders>
              <w:top w:val="nil"/>
              <w:left w:val="nil"/>
              <w:bottom w:val="single" w:sz="4" w:space="0" w:color="auto"/>
              <w:right w:val="single" w:sz="4" w:space="0" w:color="auto"/>
            </w:tcBorders>
            <w:noWrap/>
            <w:vAlign w:val="center"/>
          </w:tcPr>
          <w:p w:rsidR="00565FD5" w:rsidRPr="004B3DE4" w:rsidRDefault="00565FD5" w:rsidP="00AB62A3">
            <w:pPr>
              <w:tabs>
                <w:tab w:val="center" w:pos="4153"/>
                <w:tab w:val="right" w:pos="8306"/>
              </w:tabs>
              <w:jc w:val="center"/>
              <w:rPr>
                <w:rFonts w:cs="Tahoma"/>
                <w:b/>
                <w:bCs/>
                <w:color w:val="000000"/>
                <w:sz w:val="14"/>
                <w:szCs w:val="14"/>
                <w:lang w:eastAsia="tr-TR"/>
              </w:rPr>
            </w:pPr>
            <w:r w:rsidRPr="004B3DE4">
              <w:rPr>
                <w:rFonts w:cs="Tahoma"/>
                <w:b/>
                <w:bCs/>
                <w:color w:val="000000"/>
                <w:sz w:val="14"/>
                <w:szCs w:val="14"/>
                <w:lang w:eastAsia="tr-TR"/>
              </w:rPr>
              <w:t>Sayı</w:t>
            </w:r>
          </w:p>
        </w:tc>
        <w:tc>
          <w:tcPr>
            <w:tcW w:w="419" w:type="pct"/>
            <w:tcBorders>
              <w:top w:val="nil"/>
              <w:left w:val="nil"/>
              <w:bottom w:val="single" w:sz="4" w:space="0" w:color="auto"/>
              <w:right w:val="single" w:sz="4" w:space="0" w:color="auto"/>
            </w:tcBorders>
            <w:noWrap/>
            <w:vAlign w:val="center"/>
          </w:tcPr>
          <w:p w:rsidR="00565FD5" w:rsidRPr="004B3DE4" w:rsidRDefault="00565FD5" w:rsidP="00AB62A3">
            <w:pPr>
              <w:tabs>
                <w:tab w:val="center" w:pos="4153"/>
                <w:tab w:val="right" w:pos="8306"/>
              </w:tabs>
              <w:jc w:val="center"/>
              <w:rPr>
                <w:rFonts w:cs="Tahoma"/>
                <w:b/>
                <w:bCs/>
                <w:color w:val="000000"/>
                <w:sz w:val="14"/>
                <w:szCs w:val="14"/>
                <w:lang w:eastAsia="tr-TR"/>
              </w:rPr>
            </w:pPr>
            <w:r w:rsidRPr="004B3DE4">
              <w:rPr>
                <w:rFonts w:cs="Tahoma"/>
                <w:b/>
                <w:bCs/>
                <w:color w:val="000000"/>
                <w:sz w:val="14"/>
                <w:szCs w:val="14"/>
                <w:lang w:eastAsia="tr-TR"/>
              </w:rPr>
              <w:t>Kapasite</w:t>
            </w:r>
          </w:p>
        </w:tc>
        <w:tc>
          <w:tcPr>
            <w:tcW w:w="374" w:type="pct"/>
            <w:tcBorders>
              <w:top w:val="nil"/>
              <w:left w:val="nil"/>
              <w:bottom w:val="single" w:sz="4" w:space="0" w:color="auto"/>
              <w:right w:val="single" w:sz="4" w:space="0" w:color="auto"/>
            </w:tcBorders>
            <w:noWrap/>
            <w:vAlign w:val="center"/>
          </w:tcPr>
          <w:p w:rsidR="00565FD5" w:rsidRPr="004B3DE4" w:rsidRDefault="00565FD5" w:rsidP="00AB62A3">
            <w:pPr>
              <w:tabs>
                <w:tab w:val="center" w:pos="4153"/>
                <w:tab w:val="right" w:pos="8306"/>
              </w:tabs>
              <w:jc w:val="center"/>
              <w:rPr>
                <w:rFonts w:cs="Tahoma"/>
                <w:b/>
                <w:bCs/>
                <w:color w:val="000000"/>
                <w:sz w:val="14"/>
                <w:szCs w:val="14"/>
                <w:lang w:eastAsia="tr-TR"/>
              </w:rPr>
            </w:pPr>
            <w:r w:rsidRPr="004B3DE4">
              <w:rPr>
                <w:rFonts w:cs="Tahoma"/>
                <w:b/>
                <w:bCs/>
                <w:color w:val="000000"/>
                <w:sz w:val="14"/>
                <w:szCs w:val="14"/>
                <w:lang w:eastAsia="tr-TR"/>
              </w:rPr>
              <w:t>Sayı</w:t>
            </w:r>
          </w:p>
        </w:tc>
        <w:tc>
          <w:tcPr>
            <w:tcW w:w="419" w:type="pct"/>
            <w:tcBorders>
              <w:top w:val="nil"/>
              <w:left w:val="nil"/>
              <w:bottom w:val="single" w:sz="4" w:space="0" w:color="auto"/>
              <w:right w:val="single" w:sz="4" w:space="0" w:color="auto"/>
            </w:tcBorders>
            <w:noWrap/>
            <w:vAlign w:val="center"/>
          </w:tcPr>
          <w:p w:rsidR="00565FD5" w:rsidRPr="004B3DE4" w:rsidRDefault="00565FD5" w:rsidP="00AB62A3">
            <w:pPr>
              <w:jc w:val="center"/>
              <w:rPr>
                <w:rFonts w:cs="Tahoma"/>
                <w:b/>
                <w:bCs/>
                <w:color w:val="000000"/>
                <w:sz w:val="14"/>
                <w:szCs w:val="14"/>
                <w:lang w:eastAsia="tr-TR"/>
              </w:rPr>
            </w:pPr>
            <w:r w:rsidRPr="004B3DE4">
              <w:rPr>
                <w:rFonts w:cs="Tahoma"/>
                <w:b/>
                <w:bCs/>
                <w:color w:val="000000"/>
                <w:sz w:val="14"/>
                <w:szCs w:val="14"/>
                <w:lang w:eastAsia="tr-TR"/>
              </w:rPr>
              <w:t>Kapasite</w:t>
            </w:r>
          </w:p>
        </w:tc>
        <w:tc>
          <w:tcPr>
            <w:tcW w:w="453" w:type="pct"/>
            <w:tcBorders>
              <w:top w:val="nil"/>
              <w:left w:val="nil"/>
              <w:bottom w:val="single" w:sz="4" w:space="0" w:color="auto"/>
              <w:right w:val="single" w:sz="4" w:space="0" w:color="auto"/>
            </w:tcBorders>
            <w:noWrap/>
            <w:vAlign w:val="center"/>
          </w:tcPr>
          <w:p w:rsidR="00565FD5" w:rsidRPr="004B3DE4" w:rsidRDefault="00565FD5" w:rsidP="00AB62A3">
            <w:pPr>
              <w:jc w:val="center"/>
              <w:rPr>
                <w:rFonts w:cs="Tahoma"/>
                <w:b/>
                <w:bCs/>
                <w:color w:val="000000"/>
                <w:sz w:val="14"/>
                <w:szCs w:val="14"/>
                <w:lang w:eastAsia="tr-TR"/>
              </w:rPr>
            </w:pPr>
            <w:r w:rsidRPr="004B3DE4">
              <w:rPr>
                <w:rFonts w:cs="Tahoma"/>
                <w:b/>
                <w:bCs/>
                <w:color w:val="000000"/>
                <w:sz w:val="14"/>
                <w:szCs w:val="14"/>
                <w:lang w:eastAsia="tr-TR"/>
              </w:rPr>
              <w:t>Sayı</w:t>
            </w:r>
          </w:p>
        </w:tc>
        <w:tc>
          <w:tcPr>
            <w:tcW w:w="476" w:type="pct"/>
            <w:tcBorders>
              <w:top w:val="nil"/>
              <w:left w:val="nil"/>
              <w:bottom w:val="single" w:sz="4" w:space="0" w:color="auto"/>
              <w:right w:val="single" w:sz="4" w:space="0" w:color="auto"/>
            </w:tcBorders>
            <w:noWrap/>
            <w:vAlign w:val="center"/>
          </w:tcPr>
          <w:p w:rsidR="00565FD5" w:rsidRPr="004B3DE4" w:rsidRDefault="00565FD5" w:rsidP="00AB62A3">
            <w:pPr>
              <w:jc w:val="center"/>
              <w:rPr>
                <w:rFonts w:cs="Tahoma"/>
                <w:b/>
                <w:bCs/>
                <w:color w:val="000000"/>
                <w:sz w:val="14"/>
                <w:szCs w:val="14"/>
                <w:lang w:eastAsia="tr-TR"/>
              </w:rPr>
            </w:pPr>
            <w:r w:rsidRPr="004B3DE4">
              <w:rPr>
                <w:rFonts w:cs="Tahoma"/>
                <w:b/>
                <w:bCs/>
                <w:color w:val="000000"/>
                <w:sz w:val="14"/>
                <w:szCs w:val="14"/>
                <w:lang w:eastAsia="tr-TR"/>
              </w:rPr>
              <w:t>Kapasite</w:t>
            </w:r>
          </w:p>
        </w:tc>
      </w:tr>
      <w:tr w:rsidR="00565FD5" w:rsidRPr="004B3DE4" w:rsidTr="00AB62A3">
        <w:trPr>
          <w:trHeight w:val="227"/>
        </w:trPr>
        <w:tc>
          <w:tcPr>
            <w:tcW w:w="1592" w:type="pct"/>
            <w:tcBorders>
              <w:top w:val="single" w:sz="4" w:space="0" w:color="auto"/>
              <w:left w:val="single" w:sz="4" w:space="0" w:color="auto"/>
              <w:right w:val="single" w:sz="4" w:space="0" w:color="auto"/>
            </w:tcBorders>
            <w:vAlign w:val="center"/>
          </w:tcPr>
          <w:p w:rsidR="00565FD5" w:rsidRPr="004B3DE4" w:rsidRDefault="00565FD5" w:rsidP="00AB62A3">
            <w:pPr>
              <w:rPr>
                <w:rFonts w:cs="Tahoma"/>
                <w:color w:val="000000"/>
                <w:sz w:val="14"/>
                <w:szCs w:val="14"/>
                <w:lang w:eastAsia="tr-TR"/>
              </w:rPr>
            </w:pPr>
            <w:r w:rsidRPr="004B3DE4">
              <w:rPr>
                <w:rFonts w:cs="Tahoma"/>
                <w:color w:val="000000"/>
                <w:sz w:val="14"/>
                <w:szCs w:val="14"/>
                <w:lang w:eastAsia="tr-TR"/>
              </w:rPr>
              <w:t>Çocuk Yuvası (0-12 Yaş) (1)</w:t>
            </w:r>
          </w:p>
        </w:tc>
        <w:tc>
          <w:tcPr>
            <w:tcW w:w="396" w:type="pct"/>
            <w:tcBorders>
              <w:top w:val="single" w:sz="4" w:space="0" w:color="auto"/>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96</w:t>
            </w:r>
          </w:p>
        </w:tc>
        <w:tc>
          <w:tcPr>
            <w:tcW w:w="476" w:type="pct"/>
            <w:tcBorders>
              <w:top w:val="single" w:sz="4" w:space="0" w:color="auto"/>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8 445</w:t>
            </w:r>
          </w:p>
        </w:tc>
        <w:tc>
          <w:tcPr>
            <w:tcW w:w="396" w:type="pct"/>
            <w:tcBorders>
              <w:top w:val="single" w:sz="4" w:space="0" w:color="auto"/>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96</w:t>
            </w:r>
          </w:p>
        </w:tc>
        <w:tc>
          <w:tcPr>
            <w:tcW w:w="419" w:type="pct"/>
            <w:tcBorders>
              <w:top w:val="single" w:sz="4" w:space="0" w:color="auto"/>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7 776</w:t>
            </w:r>
          </w:p>
        </w:tc>
        <w:tc>
          <w:tcPr>
            <w:tcW w:w="374" w:type="pct"/>
            <w:tcBorders>
              <w:top w:val="single" w:sz="4" w:space="0" w:color="auto"/>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96</w:t>
            </w:r>
          </w:p>
        </w:tc>
        <w:tc>
          <w:tcPr>
            <w:tcW w:w="419" w:type="pct"/>
            <w:tcBorders>
              <w:top w:val="single" w:sz="4" w:space="0" w:color="auto"/>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7 998</w:t>
            </w:r>
          </w:p>
        </w:tc>
        <w:tc>
          <w:tcPr>
            <w:tcW w:w="453" w:type="pct"/>
            <w:tcBorders>
              <w:top w:val="single" w:sz="4" w:space="0" w:color="auto"/>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107</w:t>
            </w:r>
          </w:p>
        </w:tc>
        <w:tc>
          <w:tcPr>
            <w:tcW w:w="476" w:type="pct"/>
            <w:tcBorders>
              <w:top w:val="single" w:sz="4" w:space="0" w:color="auto"/>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14 923</w:t>
            </w:r>
          </w:p>
        </w:tc>
      </w:tr>
      <w:tr w:rsidR="00565FD5" w:rsidRPr="004B3DE4" w:rsidTr="00AB62A3">
        <w:trPr>
          <w:trHeight w:val="227"/>
        </w:trPr>
        <w:tc>
          <w:tcPr>
            <w:tcW w:w="1592" w:type="pct"/>
            <w:tcBorders>
              <w:top w:val="nil"/>
              <w:left w:val="single" w:sz="4" w:space="0" w:color="auto"/>
              <w:right w:val="single" w:sz="4" w:space="0" w:color="auto"/>
            </w:tcBorders>
            <w:vAlign w:val="center"/>
          </w:tcPr>
          <w:p w:rsidR="00565FD5" w:rsidRPr="004B3DE4" w:rsidRDefault="00565FD5" w:rsidP="00AB62A3">
            <w:pPr>
              <w:rPr>
                <w:rFonts w:cs="Tahoma"/>
                <w:color w:val="000000"/>
                <w:sz w:val="14"/>
                <w:szCs w:val="14"/>
                <w:lang w:eastAsia="tr-TR"/>
              </w:rPr>
            </w:pPr>
            <w:r w:rsidRPr="004B3DE4">
              <w:rPr>
                <w:rFonts w:cs="Tahoma"/>
                <w:color w:val="000000"/>
                <w:sz w:val="14"/>
                <w:szCs w:val="14"/>
                <w:lang w:eastAsia="tr-TR"/>
              </w:rPr>
              <w:t>Çocuk Evi  (0-18 Yaş) (2)</w:t>
            </w:r>
          </w:p>
        </w:tc>
        <w:tc>
          <w:tcPr>
            <w:tcW w:w="39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160</w:t>
            </w:r>
          </w:p>
        </w:tc>
        <w:tc>
          <w:tcPr>
            <w:tcW w:w="47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955</w:t>
            </w:r>
          </w:p>
        </w:tc>
        <w:tc>
          <w:tcPr>
            <w:tcW w:w="39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324</w:t>
            </w:r>
          </w:p>
        </w:tc>
        <w:tc>
          <w:tcPr>
            <w:tcW w:w="419"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1 968</w:t>
            </w:r>
          </w:p>
        </w:tc>
        <w:tc>
          <w:tcPr>
            <w:tcW w:w="374"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413</w:t>
            </w:r>
          </w:p>
        </w:tc>
        <w:tc>
          <w:tcPr>
            <w:tcW w:w="419"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2 456</w:t>
            </w:r>
          </w:p>
        </w:tc>
        <w:tc>
          <w:tcPr>
            <w:tcW w:w="453"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524</w:t>
            </w:r>
          </w:p>
        </w:tc>
        <w:tc>
          <w:tcPr>
            <w:tcW w:w="47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3 057</w:t>
            </w:r>
          </w:p>
        </w:tc>
      </w:tr>
      <w:tr w:rsidR="00565FD5" w:rsidRPr="004B3DE4" w:rsidTr="00AB62A3">
        <w:trPr>
          <w:trHeight w:val="227"/>
        </w:trPr>
        <w:tc>
          <w:tcPr>
            <w:tcW w:w="1592" w:type="pct"/>
            <w:tcBorders>
              <w:top w:val="nil"/>
              <w:left w:val="single" w:sz="4" w:space="0" w:color="auto"/>
              <w:right w:val="single" w:sz="4" w:space="0" w:color="auto"/>
            </w:tcBorders>
            <w:vAlign w:val="center"/>
          </w:tcPr>
          <w:p w:rsidR="00565FD5" w:rsidRPr="004B3DE4" w:rsidRDefault="00565FD5" w:rsidP="00AB62A3">
            <w:pPr>
              <w:rPr>
                <w:rFonts w:cs="Tahoma"/>
                <w:color w:val="000000"/>
                <w:sz w:val="14"/>
                <w:szCs w:val="14"/>
                <w:lang w:eastAsia="tr-TR"/>
              </w:rPr>
            </w:pPr>
            <w:r w:rsidRPr="004B3DE4">
              <w:rPr>
                <w:rFonts w:cs="Tahoma"/>
                <w:color w:val="000000"/>
                <w:sz w:val="14"/>
                <w:szCs w:val="14"/>
                <w:lang w:eastAsia="tr-TR"/>
              </w:rPr>
              <w:t>Yetiştirme Yurdu (13-18 Yaş) (3)</w:t>
            </w:r>
          </w:p>
        </w:tc>
        <w:tc>
          <w:tcPr>
            <w:tcW w:w="39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117</w:t>
            </w:r>
          </w:p>
        </w:tc>
        <w:tc>
          <w:tcPr>
            <w:tcW w:w="47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7 646</w:t>
            </w:r>
          </w:p>
        </w:tc>
        <w:tc>
          <w:tcPr>
            <w:tcW w:w="39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111</w:t>
            </w:r>
          </w:p>
        </w:tc>
        <w:tc>
          <w:tcPr>
            <w:tcW w:w="419"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6 922</w:t>
            </w:r>
          </w:p>
        </w:tc>
        <w:tc>
          <w:tcPr>
            <w:tcW w:w="374"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114</w:t>
            </w:r>
          </w:p>
        </w:tc>
        <w:tc>
          <w:tcPr>
            <w:tcW w:w="419"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6 868</w:t>
            </w:r>
          </w:p>
        </w:tc>
        <w:tc>
          <w:tcPr>
            <w:tcW w:w="453"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115</w:t>
            </w:r>
          </w:p>
        </w:tc>
        <w:tc>
          <w:tcPr>
            <w:tcW w:w="47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8 490</w:t>
            </w:r>
          </w:p>
        </w:tc>
      </w:tr>
      <w:tr w:rsidR="00565FD5" w:rsidRPr="004B3DE4" w:rsidTr="00AB62A3">
        <w:trPr>
          <w:trHeight w:val="227"/>
        </w:trPr>
        <w:tc>
          <w:tcPr>
            <w:tcW w:w="1592" w:type="pct"/>
            <w:tcBorders>
              <w:top w:val="nil"/>
              <w:left w:val="single" w:sz="4" w:space="0" w:color="auto"/>
              <w:right w:val="single" w:sz="4" w:space="0" w:color="auto"/>
            </w:tcBorders>
            <w:vAlign w:val="center"/>
          </w:tcPr>
          <w:p w:rsidR="00565FD5" w:rsidRPr="004B3DE4" w:rsidRDefault="00565FD5" w:rsidP="00AB62A3">
            <w:pPr>
              <w:rPr>
                <w:rFonts w:cs="Tahoma"/>
                <w:color w:val="000000"/>
                <w:sz w:val="14"/>
                <w:szCs w:val="14"/>
                <w:lang w:eastAsia="tr-TR"/>
              </w:rPr>
            </w:pPr>
            <w:r w:rsidRPr="004B3DE4">
              <w:rPr>
                <w:rFonts w:cs="Tahoma"/>
                <w:color w:val="000000"/>
                <w:sz w:val="14"/>
                <w:szCs w:val="14"/>
                <w:lang w:eastAsia="tr-TR"/>
              </w:rPr>
              <w:t xml:space="preserve">Bakım ve Sosyal Rehabilitasyon Merkezi </w:t>
            </w:r>
          </w:p>
        </w:tc>
        <w:tc>
          <w:tcPr>
            <w:tcW w:w="39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18</w:t>
            </w:r>
          </w:p>
        </w:tc>
        <w:tc>
          <w:tcPr>
            <w:tcW w:w="47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395</w:t>
            </w:r>
          </w:p>
        </w:tc>
        <w:tc>
          <w:tcPr>
            <w:tcW w:w="39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23</w:t>
            </w:r>
          </w:p>
        </w:tc>
        <w:tc>
          <w:tcPr>
            <w:tcW w:w="419"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490</w:t>
            </w:r>
          </w:p>
        </w:tc>
        <w:tc>
          <w:tcPr>
            <w:tcW w:w="374"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27</w:t>
            </w:r>
          </w:p>
        </w:tc>
        <w:tc>
          <w:tcPr>
            <w:tcW w:w="419"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628</w:t>
            </w:r>
          </w:p>
        </w:tc>
        <w:tc>
          <w:tcPr>
            <w:tcW w:w="453"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30</w:t>
            </w:r>
          </w:p>
        </w:tc>
        <w:tc>
          <w:tcPr>
            <w:tcW w:w="47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490</w:t>
            </w:r>
          </w:p>
        </w:tc>
      </w:tr>
      <w:tr w:rsidR="00565FD5" w:rsidRPr="004B3DE4" w:rsidTr="00AB62A3">
        <w:trPr>
          <w:trHeight w:val="227"/>
        </w:trPr>
        <w:tc>
          <w:tcPr>
            <w:tcW w:w="1592" w:type="pct"/>
            <w:tcBorders>
              <w:top w:val="nil"/>
              <w:left w:val="single" w:sz="4" w:space="0" w:color="auto"/>
              <w:right w:val="single" w:sz="4" w:space="0" w:color="auto"/>
            </w:tcBorders>
            <w:vAlign w:val="center"/>
          </w:tcPr>
          <w:p w:rsidR="00565FD5" w:rsidRPr="004B3DE4" w:rsidRDefault="00565FD5" w:rsidP="00AB62A3">
            <w:pPr>
              <w:rPr>
                <w:rFonts w:cs="Tahoma"/>
                <w:color w:val="000000"/>
                <w:sz w:val="14"/>
                <w:szCs w:val="14"/>
                <w:lang w:eastAsia="tr-TR"/>
              </w:rPr>
            </w:pPr>
            <w:r w:rsidRPr="004B3DE4">
              <w:rPr>
                <w:rFonts w:cs="Tahoma"/>
                <w:color w:val="000000"/>
                <w:sz w:val="14"/>
                <w:szCs w:val="14"/>
                <w:lang w:eastAsia="tr-TR"/>
              </w:rPr>
              <w:t xml:space="preserve">Koruma ve Bakım Rehabilitasyon Merkezi </w:t>
            </w:r>
          </w:p>
        </w:tc>
        <w:tc>
          <w:tcPr>
            <w:tcW w:w="39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6</w:t>
            </w:r>
          </w:p>
        </w:tc>
        <w:tc>
          <w:tcPr>
            <w:tcW w:w="47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200</w:t>
            </w:r>
          </w:p>
        </w:tc>
        <w:tc>
          <w:tcPr>
            <w:tcW w:w="39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7</w:t>
            </w:r>
          </w:p>
        </w:tc>
        <w:tc>
          <w:tcPr>
            <w:tcW w:w="419"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237</w:t>
            </w:r>
          </w:p>
        </w:tc>
        <w:tc>
          <w:tcPr>
            <w:tcW w:w="374"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9</w:t>
            </w:r>
          </w:p>
        </w:tc>
        <w:tc>
          <w:tcPr>
            <w:tcW w:w="419"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277</w:t>
            </w:r>
          </w:p>
        </w:tc>
        <w:tc>
          <w:tcPr>
            <w:tcW w:w="453"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10</w:t>
            </w:r>
          </w:p>
        </w:tc>
        <w:tc>
          <w:tcPr>
            <w:tcW w:w="47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115</w:t>
            </w:r>
          </w:p>
        </w:tc>
      </w:tr>
      <w:tr w:rsidR="00565FD5" w:rsidRPr="004B3DE4" w:rsidTr="00AB62A3">
        <w:trPr>
          <w:trHeight w:val="227"/>
        </w:trPr>
        <w:tc>
          <w:tcPr>
            <w:tcW w:w="1592" w:type="pct"/>
            <w:tcBorders>
              <w:top w:val="nil"/>
              <w:left w:val="single" w:sz="4" w:space="0" w:color="auto"/>
              <w:right w:val="single" w:sz="4" w:space="0" w:color="auto"/>
            </w:tcBorders>
            <w:vAlign w:val="center"/>
          </w:tcPr>
          <w:p w:rsidR="00565FD5" w:rsidRPr="004B3DE4" w:rsidRDefault="00565FD5" w:rsidP="00AB62A3">
            <w:pPr>
              <w:rPr>
                <w:rFonts w:cs="Tahoma"/>
                <w:color w:val="000000"/>
                <w:sz w:val="14"/>
                <w:szCs w:val="14"/>
                <w:lang w:eastAsia="tr-TR"/>
              </w:rPr>
            </w:pPr>
            <w:r w:rsidRPr="004B3DE4">
              <w:rPr>
                <w:rFonts w:cs="Tahoma"/>
                <w:color w:val="000000"/>
                <w:sz w:val="14"/>
                <w:szCs w:val="14"/>
                <w:lang w:eastAsia="tr-TR"/>
              </w:rPr>
              <w:t xml:space="preserve">Huzurevi </w:t>
            </w:r>
          </w:p>
        </w:tc>
        <w:tc>
          <w:tcPr>
            <w:tcW w:w="39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81</w:t>
            </w:r>
          </w:p>
        </w:tc>
        <w:tc>
          <w:tcPr>
            <w:tcW w:w="47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8 126</w:t>
            </w:r>
          </w:p>
        </w:tc>
        <w:tc>
          <w:tcPr>
            <w:tcW w:w="39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97</w:t>
            </w:r>
          </w:p>
        </w:tc>
        <w:tc>
          <w:tcPr>
            <w:tcW w:w="419"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9 260</w:t>
            </w:r>
          </w:p>
        </w:tc>
        <w:tc>
          <w:tcPr>
            <w:tcW w:w="374"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99</w:t>
            </w:r>
          </w:p>
        </w:tc>
        <w:tc>
          <w:tcPr>
            <w:tcW w:w="419"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9 608</w:t>
            </w:r>
          </w:p>
        </w:tc>
        <w:tc>
          <w:tcPr>
            <w:tcW w:w="453"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105</w:t>
            </w:r>
          </w:p>
        </w:tc>
        <w:tc>
          <w:tcPr>
            <w:tcW w:w="47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11 682</w:t>
            </w:r>
          </w:p>
        </w:tc>
      </w:tr>
      <w:tr w:rsidR="00565FD5" w:rsidRPr="004B3DE4" w:rsidTr="00AB62A3">
        <w:trPr>
          <w:trHeight w:val="227"/>
        </w:trPr>
        <w:tc>
          <w:tcPr>
            <w:tcW w:w="1592" w:type="pct"/>
            <w:tcBorders>
              <w:top w:val="nil"/>
              <w:left w:val="single" w:sz="4" w:space="0" w:color="auto"/>
              <w:right w:val="single" w:sz="4" w:space="0" w:color="auto"/>
            </w:tcBorders>
            <w:vAlign w:val="center"/>
          </w:tcPr>
          <w:p w:rsidR="00565FD5" w:rsidRPr="004B3DE4" w:rsidRDefault="00565FD5" w:rsidP="00AB62A3">
            <w:pPr>
              <w:rPr>
                <w:rFonts w:cs="Tahoma"/>
                <w:color w:val="000000"/>
                <w:sz w:val="14"/>
                <w:szCs w:val="14"/>
                <w:lang w:eastAsia="tr-TR"/>
              </w:rPr>
            </w:pPr>
            <w:r w:rsidRPr="004B3DE4">
              <w:rPr>
                <w:rFonts w:cs="Tahoma"/>
                <w:color w:val="000000"/>
                <w:sz w:val="14"/>
                <w:szCs w:val="14"/>
                <w:lang w:eastAsia="tr-TR"/>
              </w:rPr>
              <w:t xml:space="preserve">Özürlü Bakım ve Rehabilitasyon Merkezi </w:t>
            </w:r>
          </w:p>
        </w:tc>
        <w:tc>
          <w:tcPr>
            <w:tcW w:w="39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72</w:t>
            </w:r>
          </w:p>
        </w:tc>
        <w:tc>
          <w:tcPr>
            <w:tcW w:w="47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4 758</w:t>
            </w:r>
          </w:p>
        </w:tc>
        <w:tc>
          <w:tcPr>
            <w:tcW w:w="39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79</w:t>
            </w:r>
          </w:p>
        </w:tc>
        <w:tc>
          <w:tcPr>
            <w:tcW w:w="419"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5 468</w:t>
            </w:r>
          </w:p>
        </w:tc>
        <w:tc>
          <w:tcPr>
            <w:tcW w:w="374"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90</w:t>
            </w:r>
          </w:p>
        </w:tc>
        <w:tc>
          <w:tcPr>
            <w:tcW w:w="419"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5 807</w:t>
            </w:r>
          </w:p>
        </w:tc>
        <w:tc>
          <w:tcPr>
            <w:tcW w:w="453"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92</w:t>
            </w:r>
          </w:p>
        </w:tc>
        <w:tc>
          <w:tcPr>
            <w:tcW w:w="47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5 881</w:t>
            </w:r>
          </w:p>
        </w:tc>
      </w:tr>
      <w:tr w:rsidR="00565FD5" w:rsidRPr="004B3DE4" w:rsidTr="00AB62A3">
        <w:trPr>
          <w:trHeight w:val="227"/>
        </w:trPr>
        <w:tc>
          <w:tcPr>
            <w:tcW w:w="1592" w:type="pct"/>
            <w:tcBorders>
              <w:top w:val="nil"/>
              <w:left w:val="single" w:sz="4" w:space="0" w:color="auto"/>
              <w:right w:val="single" w:sz="4" w:space="0" w:color="auto"/>
            </w:tcBorders>
            <w:vAlign w:val="center"/>
          </w:tcPr>
          <w:p w:rsidR="00565FD5" w:rsidRPr="004B3DE4" w:rsidRDefault="00565FD5" w:rsidP="00AB62A3">
            <w:pPr>
              <w:rPr>
                <w:rFonts w:cs="Tahoma"/>
                <w:color w:val="000000"/>
                <w:sz w:val="14"/>
                <w:szCs w:val="14"/>
                <w:lang w:eastAsia="tr-TR"/>
              </w:rPr>
            </w:pPr>
            <w:r w:rsidRPr="004B3DE4">
              <w:rPr>
                <w:rFonts w:cs="Tahoma"/>
                <w:color w:val="000000"/>
                <w:sz w:val="14"/>
                <w:szCs w:val="14"/>
                <w:lang w:eastAsia="tr-TR"/>
              </w:rPr>
              <w:t xml:space="preserve">Toplum Merkezi </w:t>
            </w:r>
          </w:p>
        </w:tc>
        <w:tc>
          <w:tcPr>
            <w:tcW w:w="39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86</w:t>
            </w:r>
          </w:p>
        </w:tc>
        <w:tc>
          <w:tcPr>
            <w:tcW w:w="47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 </w:t>
            </w:r>
          </w:p>
        </w:tc>
        <w:tc>
          <w:tcPr>
            <w:tcW w:w="39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85</w:t>
            </w:r>
          </w:p>
        </w:tc>
        <w:tc>
          <w:tcPr>
            <w:tcW w:w="419"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 </w:t>
            </w:r>
          </w:p>
        </w:tc>
        <w:tc>
          <w:tcPr>
            <w:tcW w:w="374"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96</w:t>
            </w:r>
          </w:p>
        </w:tc>
        <w:tc>
          <w:tcPr>
            <w:tcW w:w="419"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 </w:t>
            </w:r>
          </w:p>
        </w:tc>
        <w:tc>
          <w:tcPr>
            <w:tcW w:w="453"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94</w:t>
            </w:r>
          </w:p>
        </w:tc>
        <w:tc>
          <w:tcPr>
            <w:tcW w:w="47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 </w:t>
            </w:r>
          </w:p>
        </w:tc>
      </w:tr>
      <w:tr w:rsidR="00565FD5" w:rsidRPr="004B3DE4" w:rsidTr="00AB62A3">
        <w:trPr>
          <w:trHeight w:val="227"/>
        </w:trPr>
        <w:tc>
          <w:tcPr>
            <w:tcW w:w="1592" w:type="pct"/>
            <w:tcBorders>
              <w:top w:val="nil"/>
              <w:left w:val="single" w:sz="4" w:space="0" w:color="auto"/>
              <w:right w:val="single" w:sz="4" w:space="0" w:color="auto"/>
            </w:tcBorders>
            <w:vAlign w:val="center"/>
          </w:tcPr>
          <w:p w:rsidR="00565FD5" w:rsidRPr="004B3DE4" w:rsidRDefault="00565FD5" w:rsidP="00AB62A3">
            <w:pPr>
              <w:rPr>
                <w:rFonts w:cs="Tahoma"/>
                <w:color w:val="000000"/>
                <w:sz w:val="14"/>
                <w:szCs w:val="14"/>
                <w:lang w:eastAsia="tr-TR"/>
              </w:rPr>
            </w:pPr>
            <w:r w:rsidRPr="004B3DE4">
              <w:rPr>
                <w:rFonts w:cs="Tahoma"/>
                <w:color w:val="000000"/>
                <w:sz w:val="14"/>
                <w:szCs w:val="14"/>
                <w:lang w:eastAsia="tr-TR"/>
              </w:rPr>
              <w:t>Aile Danışma Merkezi</w:t>
            </w:r>
          </w:p>
        </w:tc>
        <w:tc>
          <w:tcPr>
            <w:tcW w:w="39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45</w:t>
            </w:r>
          </w:p>
        </w:tc>
        <w:tc>
          <w:tcPr>
            <w:tcW w:w="47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 </w:t>
            </w:r>
          </w:p>
        </w:tc>
        <w:tc>
          <w:tcPr>
            <w:tcW w:w="39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48</w:t>
            </w:r>
          </w:p>
        </w:tc>
        <w:tc>
          <w:tcPr>
            <w:tcW w:w="419"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 </w:t>
            </w:r>
          </w:p>
        </w:tc>
        <w:tc>
          <w:tcPr>
            <w:tcW w:w="374"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48</w:t>
            </w:r>
          </w:p>
        </w:tc>
        <w:tc>
          <w:tcPr>
            <w:tcW w:w="419"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 </w:t>
            </w:r>
          </w:p>
        </w:tc>
        <w:tc>
          <w:tcPr>
            <w:tcW w:w="453"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51</w:t>
            </w:r>
          </w:p>
        </w:tc>
        <w:tc>
          <w:tcPr>
            <w:tcW w:w="47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 </w:t>
            </w:r>
          </w:p>
        </w:tc>
      </w:tr>
      <w:tr w:rsidR="00565FD5" w:rsidRPr="004B3DE4" w:rsidTr="00AB62A3">
        <w:trPr>
          <w:cantSplit/>
          <w:trHeight w:val="227"/>
        </w:trPr>
        <w:tc>
          <w:tcPr>
            <w:tcW w:w="1592" w:type="pct"/>
            <w:tcBorders>
              <w:top w:val="nil"/>
              <w:left w:val="single" w:sz="4" w:space="0" w:color="auto"/>
              <w:right w:val="single" w:sz="4" w:space="0" w:color="auto"/>
            </w:tcBorders>
            <w:vAlign w:val="center"/>
          </w:tcPr>
          <w:p w:rsidR="00565FD5" w:rsidRPr="004B3DE4" w:rsidRDefault="00565FD5" w:rsidP="00AB62A3">
            <w:pPr>
              <w:rPr>
                <w:rFonts w:cs="Tahoma"/>
                <w:color w:val="000000"/>
                <w:sz w:val="14"/>
                <w:szCs w:val="14"/>
                <w:lang w:eastAsia="tr-TR"/>
              </w:rPr>
            </w:pPr>
            <w:r w:rsidRPr="004B3DE4">
              <w:rPr>
                <w:rFonts w:cs="Tahoma"/>
                <w:color w:val="000000"/>
                <w:sz w:val="14"/>
                <w:szCs w:val="14"/>
                <w:lang w:eastAsia="tr-TR"/>
              </w:rPr>
              <w:t>Kadın Konuk Evi</w:t>
            </w:r>
          </w:p>
        </w:tc>
        <w:tc>
          <w:tcPr>
            <w:tcW w:w="39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29</w:t>
            </w:r>
          </w:p>
        </w:tc>
        <w:tc>
          <w:tcPr>
            <w:tcW w:w="47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680</w:t>
            </w:r>
          </w:p>
        </w:tc>
        <w:tc>
          <w:tcPr>
            <w:tcW w:w="39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43</w:t>
            </w:r>
          </w:p>
        </w:tc>
        <w:tc>
          <w:tcPr>
            <w:tcW w:w="419"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943</w:t>
            </w:r>
          </w:p>
        </w:tc>
        <w:tc>
          <w:tcPr>
            <w:tcW w:w="374"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51</w:t>
            </w:r>
          </w:p>
        </w:tc>
        <w:tc>
          <w:tcPr>
            <w:tcW w:w="419"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1 125</w:t>
            </w:r>
          </w:p>
        </w:tc>
        <w:tc>
          <w:tcPr>
            <w:tcW w:w="453"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69</w:t>
            </w:r>
          </w:p>
        </w:tc>
        <w:tc>
          <w:tcPr>
            <w:tcW w:w="476" w:type="pct"/>
            <w:tcBorders>
              <w:top w:val="nil"/>
              <w:left w:val="nil"/>
              <w:right w:val="single" w:sz="4" w:space="0" w:color="auto"/>
            </w:tcBorders>
            <w:noWrap/>
            <w:vAlign w:val="center"/>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1 676</w:t>
            </w:r>
          </w:p>
        </w:tc>
      </w:tr>
      <w:tr w:rsidR="00565FD5" w:rsidRPr="004B3DE4" w:rsidTr="00AB62A3">
        <w:trPr>
          <w:cantSplit/>
          <w:trHeight w:val="227"/>
        </w:trPr>
        <w:tc>
          <w:tcPr>
            <w:tcW w:w="1592" w:type="pct"/>
            <w:tcBorders>
              <w:top w:val="nil"/>
              <w:left w:val="single" w:sz="4" w:space="0" w:color="auto"/>
              <w:bottom w:val="single" w:sz="4" w:space="0" w:color="auto"/>
              <w:right w:val="single" w:sz="4" w:space="0" w:color="auto"/>
            </w:tcBorders>
            <w:noWrap/>
            <w:vAlign w:val="bottom"/>
          </w:tcPr>
          <w:p w:rsidR="00565FD5" w:rsidRPr="004B3DE4" w:rsidRDefault="00565FD5" w:rsidP="00AB62A3">
            <w:pPr>
              <w:rPr>
                <w:rFonts w:cs="Tahoma"/>
                <w:color w:val="000000"/>
                <w:sz w:val="14"/>
                <w:szCs w:val="14"/>
                <w:lang w:eastAsia="tr-TR"/>
              </w:rPr>
            </w:pPr>
            <w:r w:rsidRPr="004B3DE4">
              <w:rPr>
                <w:rFonts w:cs="Tahoma"/>
                <w:color w:val="000000"/>
                <w:sz w:val="14"/>
                <w:szCs w:val="14"/>
                <w:lang w:eastAsia="tr-TR"/>
              </w:rPr>
              <w:t>ŞÖNİM (6)</w:t>
            </w:r>
          </w:p>
        </w:tc>
        <w:tc>
          <w:tcPr>
            <w:tcW w:w="396" w:type="pct"/>
            <w:tcBorders>
              <w:top w:val="nil"/>
              <w:left w:val="nil"/>
              <w:bottom w:val="single" w:sz="4" w:space="0" w:color="auto"/>
              <w:right w:val="single" w:sz="4" w:space="0" w:color="auto"/>
            </w:tcBorders>
            <w:noWrap/>
            <w:vAlign w:val="bottom"/>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 </w:t>
            </w:r>
          </w:p>
        </w:tc>
        <w:tc>
          <w:tcPr>
            <w:tcW w:w="476" w:type="pct"/>
            <w:tcBorders>
              <w:top w:val="nil"/>
              <w:left w:val="nil"/>
              <w:bottom w:val="single" w:sz="4" w:space="0" w:color="auto"/>
              <w:right w:val="single" w:sz="4" w:space="0" w:color="auto"/>
            </w:tcBorders>
            <w:noWrap/>
            <w:vAlign w:val="bottom"/>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 </w:t>
            </w:r>
          </w:p>
        </w:tc>
        <w:tc>
          <w:tcPr>
            <w:tcW w:w="396" w:type="pct"/>
            <w:tcBorders>
              <w:top w:val="nil"/>
              <w:left w:val="nil"/>
              <w:bottom w:val="single" w:sz="4" w:space="0" w:color="auto"/>
              <w:right w:val="single" w:sz="4" w:space="0" w:color="auto"/>
            </w:tcBorders>
            <w:noWrap/>
            <w:vAlign w:val="bottom"/>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 </w:t>
            </w:r>
          </w:p>
        </w:tc>
        <w:tc>
          <w:tcPr>
            <w:tcW w:w="419" w:type="pct"/>
            <w:tcBorders>
              <w:top w:val="nil"/>
              <w:left w:val="nil"/>
              <w:bottom w:val="single" w:sz="4" w:space="0" w:color="auto"/>
              <w:right w:val="single" w:sz="4" w:space="0" w:color="auto"/>
            </w:tcBorders>
            <w:noWrap/>
            <w:vAlign w:val="bottom"/>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 </w:t>
            </w:r>
          </w:p>
        </w:tc>
        <w:tc>
          <w:tcPr>
            <w:tcW w:w="374" w:type="pct"/>
            <w:tcBorders>
              <w:top w:val="nil"/>
              <w:left w:val="nil"/>
              <w:bottom w:val="single" w:sz="4" w:space="0" w:color="auto"/>
              <w:right w:val="single" w:sz="4" w:space="0" w:color="auto"/>
            </w:tcBorders>
            <w:noWrap/>
            <w:vAlign w:val="bottom"/>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 </w:t>
            </w:r>
          </w:p>
        </w:tc>
        <w:tc>
          <w:tcPr>
            <w:tcW w:w="419" w:type="pct"/>
            <w:tcBorders>
              <w:top w:val="nil"/>
              <w:left w:val="nil"/>
              <w:bottom w:val="single" w:sz="4" w:space="0" w:color="auto"/>
              <w:right w:val="single" w:sz="4" w:space="0" w:color="auto"/>
            </w:tcBorders>
            <w:noWrap/>
            <w:vAlign w:val="bottom"/>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 </w:t>
            </w:r>
          </w:p>
        </w:tc>
        <w:tc>
          <w:tcPr>
            <w:tcW w:w="453" w:type="pct"/>
            <w:tcBorders>
              <w:top w:val="nil"/>
              <w:left w:val="nil"/>
              <w:bottom w:val="single" w:sz="4" w:space="0" w:color="auto"/>
              <w:right w:val="single" w:sz="4" w:space="0" w:color="auto"/>
            </w:tcBorders>
            <w:noWrap/>
            <w:vAlign w:val="bottom"/>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4</w:t>
            </w:r>
          </w:p>
        </w:tc>
        <w:tc>
          <w:tcPr>
            <w:tcW w:w="476" w:type="pct"/>
            <w:tcBorders>
              <w:top w:val="nil"/>
              <w:left w:val="nil"/>
              <w:bottom w:val="single" w:sz="4" w:space="0" w:color="auto"/>
              <w:right w:val="single" w:sz="4" w:space="0" w:color="auto"/>
            </w:tcBorders>
            <w:noWrap/>
            <w:vAlign w:val="bottom"/>
          </w:tcPr>
          <w:p w:rsidR="00565FD5" w:rsidRPr="004B3DE4" w:rsidRDefault="00565FD5" w:rsidP="00AB62A3">
            <w:pPr>
              <w:jc w:val="right"/>
              <w:rPr>
                <w:rFonts w:cs="Tahoma"/>
                <w:color w:val="000000"/>
                <w:sz w:val="14"/>
                <w:szCs w:val="14"/>
                <w:lang w:eastAsia="tr-TR"/>
              </w:rPr>
            </w:pPr>
            <w:r w:rsidRPr="004B3DE4">
              <w:rPr>
                <w:rFonts w:cs="Tahoma"/>
                <w:color w:val="000000"/>
                <w:sz w:val="14"/>
                <w:szCs w:val="14"/>
                <w:lang w:eastAsia="tr-TR"/>
              </w:rPr>
              <w:t> </w:t>
            </w:r>
          </w:p>
        </w:tc>
      </w:tr>
    </w:tbl>
    <w:p w:rsidR="00565FD5" w:rsidRPr="004B3DE4" w:rsidRDefault="00565FD5" w:rsidP="00565FD5">
      <w:pPr>
        <w:autoSpaceDE w:val="0"/>
        <w:autoSpaceDN w:val="0"/>
        <w:adjustRightInd w:val="0"/>
        <w:rPr>
          <w:rFonts w:cs="Tahoma"/>
          <w:sz w:val="14"/>
          <w:szCs w:val="14"/>
        </w:rPr>
      </w:pPr>
      <w:r w:rsidRPr="004B3DE4">
        <w:rPr>
          <w:rFonts w:cs="Tahoma"/>
          <w:sz w:val="14"/>
          <w:szCs w:val="14"/>
        </w:rPr>
        <w:t>Kaynak: Aile ve Sosyal Politikalar Bakanlığı</w:t>
      </w:r>
    </w:p>
    <w:p w:rsidR="00565FD5" w:rsidRPr="004B3DE4" w:rsidRDefault="00565FD5" w:rsidP="00565FD5">
      <w:pPr>
        <w:autoSpaceDE w:val="0"/>
        <w:autoSpaceDN w:val="0"/>
        <w:adjustRightInd w:val="0"/>
        <w:rPr>
          <w:rFonts w:cs="Tahoma"/>
          <w:sz w:val="14"/>
          <w:szCs w:val="14"/>
        </w:rPr>
      </w:pPr>
      <w:r w:rsidRPr="004B3DE4">
        <w:rPr>
          <w:rFonts w:cs="Tahoma"/>
          <w:sz w:val="14"/>
          <w:szCs w:val="14"/>
        </w:rPr>
        <w:t>(1) 0-12 yaşlarındaki çocuklara yönelik sevgi evleri bu rakama dahildir.</w:t>
      </w:r>
    </w:p>
    <w:p w:rsidR="00565FD5" w:rsidRPr="004B3DE4" w:rsidRDefault="00565FD5" w:rsidP="00565FD5">
      <w:pPr>
        <w:autoSpaceDE w:val="0"/>
        <w:autoSpaceDN w:val="0"/>
        <w:adjustRightInd w:val="0"/>
        <w:rPr>
          <w:rFonts w:cs="Tahoma"/>
          <w:sz w:val="14"/>
          <w:szCs w:val="14"/>
        </w:rPr>
      </w:pPr>
      <w:r w:rsidRPr="004B3DE4">
        <w:rPr>
          <w:rFonts w:cs="Tahoma"/>
          <w:sz w:val="14"/>
          <w:szCs w:val="14"/>
        </w:rPr>
        <w:t>(2) Çocuk evleri ayrı bir kuruluş statüsünde olmayıp müstakil apartman dairelerinden ibarettir.</w:t>
      </w:r>
    </w:p>
    <w:p w:rsidR="00565FD5" w:rsidRPr="004B3DE4" w:rsidRDefault="00565FD5" w:rsidP="00565FD5">
      <w:pPr>
        <w:autoSpaceDE w:val="0"/>
        <w:autoSpaceDN w:val="0"/>
        <w:adjustRightInd w:val="0"/>
        <w:rPr>
          <w:rFonts w:cs="Tahoma"/>
          <w:sz w:val="14"/>
          <w:szCs w:val="14"/>
        </w:rPr>
      </w:pPr>
      <w:r w:rsidRPr="004B3DE4">
        <w:rPr>
          <w:rFonts w:cs="Tahoma"/>
          <w:sz w:val="14"/>
          <w:szCs w:val="14"/>
        </w:rPr>
        <w:t>(3) 13-18 yaşlarındaki çocuklara yönelik sevgi evleri bu rakama dahildir.</w:t>
      </w:r>
    </w:p>
    <w:p w:rsidR="00565FD5" w:rsidRPr="004B3DE4" w:rsidRDefault="00565FD5" w:rsidP="00565FD5">
      <w:pPr>
        <w:autoSpaceDE w:val="0"/>
        <w:autoSpaceDN w:val="0"/>
        <w:adjustRightInd w:val="0"/>
        <w:rPr>
          <w:rFonts w:cs="Tahoma"/>
          <w:sz w:val="14"/>
          <w:szCs w:val="14"/>
        </w:rPr>
      </w:pPr>
      <w:r w:rsidRPr="004B3DE4">
        <w:rPr>
          <w:rFonts w:cs="Tahoma"/>
          <w:sz w:val="14"/>
          <w:szCs w:val="14"/>
        </w:rPr>
        <w:t>(4) 2010 yılı kuruluş sayıları ve kapasite yeniden düzenlenmiştir.</w:t>
      </w:r>
    </w:p>
    <w:p w:rsidR="00565FD5" w:rsidRPr="004B3DE4" w:rsidRDefault="00565FD5" w:rsidP="00565FD5">
      <w:pPr>
        <w:autoSpaceDE w:val="0"/>
        <w:autoSpaceDN w:val="0"/>
        <w:adjustRightInd w:val="0"/>
        <w:rPr>
          <w:rFonts w:cs="Tahoma"/>
          <w:sz w:val="14"/>
          <w:szCs w:val="14"/>
        </w:rPr>
      </w:pPr>
      <w:r w:rsidRPr="004B3DE4">
        <w:rPr>
          <w:rFonts w:cs="Tahoma"/>
          <w:sz w:val="14"/>
          <w:szCs w:val="14"/>
        </w:rPr>
        <w:t>(5) Ağustos 2012 itibarıyla</w:t>
      </w:r>
    </w:p>
    <w:p w:rsidR="00565FD5" w:rsidRPr="004B3DE4" w:rsidRDefault="00565FD5" w:rsidP="00565FD5">
      <w:pPr>
        <w:autoSpaceDE w:val="0"/>
        <w:autoSpaceDN w:val="0"/>
        <w:adjustRightInd w:val="0"/>
        <w:spacing w:after="240"/>
        <w:rPr>
          <w:rFonts w:cs="Tahoma"/>
          <w:sz w:val="14"/>
          <w:szCs w:val="14"/>
        </w:rPr>
      </w:pPr>
      <w:r w:rsidRPr="004B3DE4">
        <w:rPr>
          <w:rFonts w:cs="Tahoma"/>
          <w:sz w:val="14"/>
          <w:szCs w:val="14"/>
        </w:rPr>
        <w:lastRenderedPageBreak/>
        <w:t>(6) 6284 sayılı Kanun gereğince kurulan, şiddet önleme merkezleri şiddetin önlenmesi ile koruyucu ve önleyici tedbirlerin etkin olarak uygulanmasına yönelik destek ve izleme hizmetlerinin verildiği merkezlerdir.</w:t>
      </w:r>
    </w:p>
    <w:p w:rsidR="00565FD5" w:rsidRPr="004B3DE4" w:rsidRDefault="00565FD5" w:rsidP="00565FD5">
      <w:pPr>
        <w:spacing w:after="160"/>
        <w:ind w:firstLine="425"/>
        <w:rPr>
          <w:rFonts w:cs="Tahoma"/>
          <w:szCs w:val="18"/>
        </w:rPr>
      </w:pPr>
      <w:r w:rsidRPr="004B3DE4">
        <w:rPr>
          <w:rFonts w:cs="Tahoma"/>
          <w:szCs w:val="18"/>
        </w:rPr>
        <w:t xml:space="preserve">Toplumda dışlanmaya maruz kalan ve sosyal hizmet ve yardımlara ihtiyaç duyanlar özellikle kadınlar, çocuklar, özürlüler ve yaşlılardır. Beşeri sermayenin geliştirilmesi ve toplumsal bütünleşmenin sağlanması amacıyla 2008 yılında 9 GAP ilinde Kalkınma Bakanlığınca uygulanmaya başlanmış olan Sosyal Destek Programı (SODES); söz konusu nüfus kesimlerinin istihdam edilebilirliğini artırmayı, toplumun </w:t>
      </w:r>
      <w:r>
        <w:rPr>
          <w:rFonts w:cs="Tahoma"/>
          <w:szCs w:val="18"/>
        </w:rPr>
        <w:t>dezavantajlı</w:t>
      </w:r>
      <w:r w:rsidRPr="004B3DE4">
        <w:rPr>
          <w:rFonts w:cs="Tahoma"/>
          <w:szCs w:val="18"/>
        </w:rPr>
        <w:t xml:space="preserve"> kesimlerinin ekonomik ve sosyal hayata daha fazla katılmalarını sağlamayı; kültürel, sanatsal ve sportif faaliyetler yoluyla bölgedeki çocukların, gençlerin ve kadınların kendilerini daha iyi ifade etmelerine katkı vermeyi hedeflemektedir. Sosyal içerme, kültür-sanat-spor ve istihdam alanındaki projeleri destekleyen Program; 2010 yılında 16 DAP ilini, 2011 yılında ise pilot uygulama olarak Adana, Mersin, Hatay, Osmaniye ve Kahramanmaraş illerini içerecek şekilde 30 ile yaygınlaştırılmıştır. 2008-2012 döneminde valiliklerin koordinasyonunda yerel düzeyde hazırlanan ve uygulanan 5.792 SODES projesine toplam 674 milyon TL kaynak tahsis edilmiştir.</w:t>
      </w:r>
    </w:p>
    <w:p w:rsidR="00565FD5" w:rsidRPr="004B3DE4" w:rsidRDefault="00565FD5" w:rsidP="00565FD5">
      <w:pPr>
        <w:spacing w:after="160"/>
        <w:ind w:firstLine="425"/>
        <w:rPr>
          <w:rFonts w:cs="Tahoma"/>
          <w:szCs w:val="18"/>
        </w:rPr>
      </w:pPr>
      <w:r w:rsidRPr="004B3DE4">
        <w:rPr>
          <w:rFonts w:cs="Tahoma"/>
          <w:szCs w:val="18"/>
        </w:rPr>
        <w:t>Kadınların toplumsal konumlarının güçlendirilmesi ve eşit fırsatlardan yararlanmaları için ekonomik, sosyal ve kültürel etkinlik alanlarının genişletilmesine, kalkınma sürecine, iş hayatına ve karar alma mekanizmalarına daha fazla katılımlarının sağlanmasına ve kadınlara karşı şiddetin önlenmesine dair çalışmalara devam edilmektedir. Bu kapsamda, Ailenin Korunması ve Kadına Karşı Şiddetin Önlenmesine Dair Kanun 20/03/2012 tarihinde yürürlüğe girmiştir. Bu çerçevede, Kadın Konukevleri Yönetmeliği, Şiddet Önleme ve İzleme Merkezi Yönetmeliği ile Ailenin Korunması ve Kadına Karşı Şiddetin Önlenmesine Dair Kanunun Uygulama Yönetmeliği hazırlık çalışmaları devam etmektedir.</w:t>
      </w:r>
    </w:p>
    <w:p w:rsidR="00565FD5" w:rsidRPr="004B3DE4" w:rsidRDefault="00565FD5" w:rsidP="00565FD5">
      <w:pPr>
        <w:spacing w:after="160"/>
        <w:ind w:firstLine="425"/>
        <w:rPr>
          <w:rFonts w:cs="Tahoma"/>
          <w:szCs w:val="18"/>
        </w:rPr>
      </w:pPr>
      <w:r w:rsidRPr="004B3DE4">
        <w:rPr>
          <w:rFonts w:cs="Tahoma"/>
          <w:szCs w:val="18"/>
        </w:rPr>
        <w:t xml:space="preserve">Kültürel değişimin hızlanması, aile kavramının önemini daha da artırmaktadır. Ekonomik gelişmenin sosyal kalkınmayla tamamlanabilmesi için aile kurumunun güçlendirilmesi, statüsünün geliştirilmesi ve aile üyelerinin yaşam standartlarının yükseltilmesini amaçlayan politikalar, temel öncelikler haline gelmiştir. Ailenin bütünlüğünün korunmasına, güçlendirilmesine ve sosyal refahın artırılmasına yönelik aile eğitimi programları çalışmaları yaygınlaştırılarak devam ettirilmektedir. Aile danışma merkezlerinde sunulan </w:t>
      </w:r>
      <w:r w:rsidRPr="004B3DE4">
        <w:rPr>
          <w:rFonts w:cs="Tahoma"/>
          <w:szCs w:val="18"/>
        </w:rPr>
        <w:lastRenderedPageBreak/>
        <w:t>hizmetlerle, aile bireylerinin ekonomik ve sosyal yaşama katılımlarının artırılması amaçlanmaktadır. Aile destek hizmeti sunan aile danışma merkezi gibi kurum ve kuruluşların etkinliğinin artırılması ve koordinasyonunun sağlanmasına yönelik ihtiyaç devam etmektedir.</w:t>
      </w:r>
    </w:p>
    <w:p w:rsidR="00565FD5" w:rsidRPr="004B3DE4" w:rsidRDefault="00565FD5" w:rsidP="00565FD5">
      <w:pPr>
        <w:spacing w:after="160"/>
        <w:ind w:firstLine="425"/>
        <w:rPr>
          <w:rFonts w:cs="Tahoma"/>
          <w:szCs w:val="18"/>
        </w:rPr>
      </w:pPr>
      <w:r w:rsidRPr="004B3DE4">
        <w:rPr>
          <w:rFonts w:cs="Tahoma"/>
          <w:szCs w:val="18"/>
        </w:rPr>
        <w:t>Yoksulluk, göç, yetişkin aile bireylerinin işsizliği, ailelerin bilinç seviyeleri ve kültürel tutumları, aile içi sorunlar gibi nedenlerle zor koşullar altında yaşayan ve risk grubuna giren çocukların sayısı giderek artmaktadır. Yoksulluk geniş aileler ile tek ebeveynli aileler arasında daha yaygın olup ailenin yoksulluğu çocuğun birçok sosyal olanaktan yoksun olarak yetişmesine; eğitim hayatından uzaklaşma, şiddete yönelme, çalışma ve sokakta yaşama gibi birçok riske maruz kalmasına yol açabilmektedir. Yoksulluk oranı çocuklarda yetişkinlere göre yüksektir. 2009 yılında 0-15 yaş nüfusu için bu oran yüzde 25,8 olup Türkiye, OECD ülkeleri arasında çocuk yoksulluğunun en yüksek olduğu ülkedir. 2011 yılında 0-18 yaş nüfusun yüzde 10,9’u Şartlı Eğitim ve Sağlık Yardımı Programlarından yararlanmıştır. 2012 yılı Haziran ayı itibarıyla Aile ve Sosyal Politikalar Bakanlığı kuruluşlarında yatılı ve gündüzlü hizmetlerden yararlanan çocuk sayısı 23.209’dur. 2012 yılı Temmuz ayı itibarıyla 41.778 çocuğa sosyal ve ekonomik destek verilmektedir. 2012 yılı Eylül ayı itibarıyla tutuklu ve hükümlü olarak ceza infaz kurumlarında ve eğitim evlerinde bulunan toplam çocuk sayısı ise 1.878’dir.</w:t>
      </w:r>
    </w:p>
    <w:p w:rsidR="00565FD5" w:rsidRPr="004B3DE4" w:rsidRDefault="00565FD5" w:rsidP="00565FD5">
      <w:pPr>
        <w:spacing w:after="160"/>
        <w:ind w:firstLine="425"/>
        <w:rPr>
          <w:rFonts w:cs="Tahoma"/>
          <w:szCs w:val="18"/>
        </w:rPr>
      </w:pPr>
      <w:r w:rsidRPr="004B3DE4">
        <w:rPr>
          <w:rFonts w:cs="Tahoma"/>
          <w:szCs w:val="18"/>
        </w:rPr>
        <w:t xml:space="preserve">Çocuk ve gençlerin kişisel ve sosyal gelişimlerinin sağlanmasını, toplumsal açıdan korunmalarına ilişkin tedbirlerin yaşama geçirilmesini, kente göçle gelmiş, uyum sağlayamamış veya </w:t>
      </w:r>
      <w:r>
        <w:rPr>
          <w:rFonts w:cs="Tahoma"/>
          <w:szCs w:val="18"/>
        </w:rPr>
        <w:t>diğer dezavantajlı</w:t>
      </w:r>
      <w:r w:rsidRPr="004B3DE4">
        <w:rPr>
          <w:rFonts w:cs="Tahoma"/>
          <w:szCs w:val="18"/>
        </w:rPr>
        <w:t xml:space="preserve"> </w:t>
      </w:r>
      <w:r>
        <w:rPr>
          <w:rFonts w:cs="Tahoma"/>
          <w:szCs w:val="18"/>
        </w:rPr>
        <w:t xml:space="preserve">durumdaki </w:t>
      </w:r>
      <w:r w:rsidRPr="004B3DE4">
        <w:rPr>
          <w:rFonts w:cs="Tahoma"/>
          <w:szCs w:val="18"/>
        </w:rPr>
        <w:t>çocuk ve gençlerin şehir yaşamına dâhil edilmesini ve yoksunluklarının azaltılmasını amaçlayan ve Emniyet Genel Müdürlüğü tarafından yürütülen Güvenli Hayat ve Güvenli Gelecek için Çocuk ve Gençler Sosyal Koruma ve Destek Programı (ÇOGEP) 2012 yılında 17 ilde başlatılmış olup bu programın 2013 yılında 37 ile yaygınlaştırılması planlanmaktadır.</w:t>
      </w:r>
    </w:p>
    <w:p w:rsidR="00565FD5" w:rsidRPr="004B3DE4" w:rsidRDefault="00565FD5" w:rsidP="00565FD5">
      <w:pPr>
        <w:spacing w:after="160"/>
        <w:ind w:firstLine="425"/>
        <w:rPr>
          <w:rFonts w:cs="Tahoma"/>
          <w:szCs w:val="18"/>
        </w:rPr>
      </w:pPr>
      <w:r w:rsidRPr="004B3DE4">
        <w:rPr>
          <w:rFonts w:cs="Tahoma"/>
          <w:szCs w:val="18"/>
        </w:rPr>
        <w:t xml:space="preserve">Çocuk Koruma Sisteminin çocuk mağdur olmadan riski tespit ederek ihtiyaç duyulan destek hizmetlerine ulaşmasını sağlayan, koruyucu ve önleyici müdahaleleri içeren bir yapıya kavuşturulması önemini korumaktadır. Ayrıca bu alanda hizmet sunan kuruluşların kapasitelerinin artırılması, aralarındaki işbirliği ve eşgüdümün güçlendirilmesi ve mevzuattan kaynaklanan boşlukların giderilmesi ihtiyacı devam etmektedir. </w:t>
      </w:r>
    </w:p>
    <w:p w:rsidR="00565FD5" w:rsidRPr="004B3DE4" w:rsidRDefault="00565FD5" w:rsidP="00565FD5">
      <w:pPr>
        <w:spacing w:after="160"/>
        <w:ind w:firstLine="425"/>
        <w:rPr>
          <w:rFonts w:cs="Tahoma"/>
          <w:szCs w:val="18"/>
        </w:rPr>
      </w:pPr>
      <w:r w:rsidRPr="004B3DE4">
        <w:rPr>
          <w:rFonts w:cs="Tahoma"/>
          <w:szCs w:val="18"/>
        </w:rPr>
        <w:lastRenderedPageBreak/>
        <w:t>Uygulanan politikaların ve yürütülen projelerin katkısıyla önemli gelişmeler sağlanmasına rağmen çocuk işçiliğinin en kötü biçimleri olarak tanımlanan; sokakta, ağır ve tehlikeli işlerde, gezici ve geçici tarım işlerinde çocukların çalıştırılmasının önlenmesine yönelik faaliyetlerde program bazlı bir yaklaşım yerine proje bazlı bir yaklaşımın benimsenmesi bu faaliyetlerde sürekliliğin sağlanmasını engellemektedir. Sanatsal ve kültürel faaliyetlerde çalışan çocuklara yönelik yasal düzenleme bulunmaması ve çocukların yaygın olarak istihdam edildikleri küçük işletmeler, tarım ve sokakta yürütülen işlerle ev hizmetlerinin İş Kanunu kapsamı dışında olması, iş yerlerinin etkin olarak denetlenememesi ile cezai müeyyidelerin yetersizliği nedeniyle bu alanlarda çalışan çocuklar yeterince korunamamaktadır. Çocuk işgücüne ilişkin mevcut durumu gösteren güncel bilgilere ve istatistiklere ihtiyaç bulunmaktadır. Diğer yandan bizzat çalışmayan ancak mevsimlik tarım işleri nedeniyle aileleriyle birlikte göç eden çocukların eğitim, sağlık ve barınma koşullarının iyileştirilmesine yönelik faaliyetlerin geliştirilerek yaygınlaştırılması önem arz etmektedir. Kanunla ihtilaf halindeki çocukların yargılanma ve rehabilitasyon süreçlerinin iyileştirilmesine ilişkin ihtiyaçlar ise devam etmektedir.</w:t>
      </w:r>
    </w:p>
    <w:p w:rsidR="00565FD5" w:rsidRPr="004B3DE4" w:rsidRDefault="00565FD5" w:rsidP="00565FD5">
      <w:pPr>
        <w:spacing w:after="160"/>
        <w:ind w:firstLine="425"/>
        <w:rPr>
          <w:rFonts w:cs="Tahoma"/>
          <w:szCs w:val="18"/>
        </w:rPr>
      </w:pPr>
      <w:r w:rsidRPr="004B3DE4">
        <w:rPr>
          <w:rFonts w:cs="Tahoma"/>
          <w:szCs w:val="18"/>
        </w:rPr>
        <w:t>04/04/2012 tarihli ve 2012/9 sayılı Başbakanlık Genelgesi ile çocuk hakları konusunda kurumlar arası işbirliği ve koordinasyondan sorumlu olan Çocuk Hakları İzleme ve Değerlendirme Kuruluna etkinlik ve süreklilik sağlamaya yönelik düzenleme yapılmıştır. Diğer yandan Çocuk Haklarına Dair Sözleşme uygulamalarının izlenmesine ilişkin verilerin standart olmaması ve kurumlar arası koordinasyon eksikliği uygulamaların izlenmesine ilişkin güçlüklere yol açmaktadır.</w:t>
      </w:r>
    </w:p>
    <w:p w:rsidR="00565FD5" w:rsidRPr="004B3DE4" w:rsidRDefault="00565FD5" w:rsidP="00565FD5">
      <w:pPr>
        <w:spacing w:after="160"/>
        <w:ind w:firstLine="425"/>
        <w:rPr>
          <w:rFonts w:cs="Tahoma"/>
          <w:szCs w:val="18"/>
        </w:rPr>
      </w:pPr>
      <w:r w:rsidRPr="004B3DE4">
        <w:rPr>
          <w:rFonts w:cs="Tahoma"/>
          <w:szCs w:val="18"/>
        </w:rPr>
        <w:t xml:space="preserve">Çocuk haklarını koruma ve geliştirmeye ve çocukların yaşam kalitesini yükseltmeye yönelik tüm politika ve hizmetleri bütünsel bir yaklaşımla ele almak üzere ilgili paydaşlar ve çocuk temsilcilerinin katılımıyla  Çocuk Hakları Strateji Belgesi ve Ulusal Eylem Planı hazırlıkları devam etmektedir. </w:t>
      </w:r>
    </w:p>
    <w:p w:rsidR="00565FD5" w:rsidRDefault="00565FD5" w:rsidP="00565FD5">
      <w:pPr>
        <w:spacing w:after="160"/>
        <w:ind w:firstLine="425"/>
        <w:rPr>
          <w:rFonts w:cs="Tahoma"/>
          <w:szCs w:val="18"/>
        </w:rPr>
      </w:pPr>
      <w:r w:rsidRPr="004B3DE4">
        <w:rPr>
          <w:rFonts w:cs="Tahoma"/>
          <w:szCs w:val="18"/>
        </w:rPr>
        <w:t>Çocuk istismarının önlenmesi, istismara uğrayan çocuklara bilinçli ve etkin bir şekilde müdahale edilmesi ve çocukların ikincil örselenmesinin önlenmesi amacıyla Çocuk İzlem Merkezlerinin kurulmasına ilişkin 2012/20 sayılı Başbakanlık Genelgesi 04/10/2012 tarihli ve 28431 sayılı Resmi Gazete’de yayımlanmıştır.</w:t>
      </w:r>
    </w:p>
    <w:p w:rsidR="00565FD5" w:rsidRPr="004B3DE4" w:rsidRDefault="00565FD5" w:rsidP="00565FD5">
      <w:pPr>
        <w:spacing w:after="160"/>
        <w:ind w:firstLine="425"/>
        <w:rPr>
          <w:rFonts w:cs="Tahoma"/>
          <w:szCs w:val="18"/>
        </w:rPr>
      </w:pPr>
      <w:r w:rsidRPr="004B3DE4">
        <w:rPr>
          <w:rFonts w:cs="Tahoma"/>
          <w:szCs w:val="18"/>
        </w:rPr>
        <w:lastRenderedPageBreak/>
        <w:t xml:space="preserve">2012 yılında, Ağustos ayı itibarıyla, özel eğitim hizmeti alan yaklaşık 246 bin özürlü çocuk için 840 milyon TL ödeme yapılmıştır. Muhtaç özürlülere sunulan bakım hizmetleri kapsamında 2012 yılında, Ağustos ayı itibarıyla, yaklaşık 8 bin kişi özel bakım merkezlerinden, 383 bin kişi de evde bakım hizmetinden yararlanmıştır. Bu hizmetlerin karşılığı olarak 2012 yılında, Ağustos ayı itibarıyla, özel bakım merkezlerine 72,1 milyon TL, özürlülere bakım hizmeti veren kişilere de 1,6 milyar TL tutarında ödeme yapılmıştır. 2012 yılı Temmuz ayına kadar fiziki mekânların özürlülerin erişebilirliğine uygun duruma getirilmesini düzenleyen 5378 sayılı Kanunda, 12/07/2012 tarihli ve 6353 sayılı Kanunla değişiklik yapılarak, söz konusu sürenin 1 yıl ertelenmesi ve bu sürenin gerektiğinde iki yılı geçmemek üzere uzatılabileceği hüküm altına alınmıştır. Kurum ve kuruluşlara ulaşılabilirliğin sağlanması hususunda ek süre verilmesi, idari para cezası uygulaması gibi hususları düzenleyen yönetmeliğin anılan kanun gereğince 12/07/2013 tarihine kadar çıkarılması gerekmektedir. Toplumsal bütünleşmenin sağlanmasına ve özürlülüğün önlenmesine katkıda bulunmayı amaçlayan Özürlüler Destek Programının (ÖDES) uygulanmasına 2011 yılından bu yana devam edilmektedir. </w:t>
      </w:r>
    </w:p>
    <w:p w:rsidR="00565FD5" w:rsidRDefault="00565FD5" w:rsidP="00565FD5">
      <w:pPr>
        <w:spacing w:after="160"/>
        <w:ind w:firstLine="425"/>
        <w:rPr>
          <w:rFonts w:cs="Tahoma"/>
          <w:szCs w:val="18"/>
        </w:rPr>
      </w:pPr>
      <w:r w:rsidRPr="004B3DE4">
        <w:rPr>
          <w:rFonts w:cs="Tahoma"/>
          <w:szCs w:val="18"/>
        </w:rPr>
        <w:t xml:space="preserve">65 yaşın üstündeki nüfusun toplam nüfus içerisindeki payı son yıllarda artmaktadır. 65 yaşın üstündeki nüfusun toplam nüfusa oranı 2000 yılında yüzde 6,8 iken, 2012 yılında bu oran yüzde 7’dir. Söz konusu oranın artış eğilimini sürdürerek 2025 yılında yüzde 9,9’a yükseleceği tahmin edilmektedir. Bu durum, yaşlı nüfusun ihtiyaç duyduğu sosyal hizmetlerin de yaygınlaştırılmasını gerektirmektedir. Nitekim yaşlılara yönelik hizmetlerin sunulduğu kuruluşların sayısı, bu hizmetlerden faydalanan kişi sayısı ve bu kapsamda yapılan harcamalar giderek artmaktadır. </w:t>
      </w:r>
    </w:p>
    <w:p w:rsidR="00565FD5" w:rsidRDefault="00565FD5" w:rsidP="00565FD5">
      <w:pPr>
        <w:spacing w:after="160"/>
        <w:ind w:firstLine="425"/>
        <w:rPr>
          <w:rFonts w:cs="Tahoma"/>
          <w:szCs w:val="18"/>
        </w:rPr>
      </w:pPr>
    </w:p>
    <w:p w:rsidR="00565FD5" w:rsidRDefault="00565FD5" w:rsidP="00565FD5">
      <w:pPr>
        <w:spacing w:after="160"/>
        <w:ind w:firstLine="425"/>
        <w:rPr>
          <w:rFonts w:cs="Tahoma"/>
          <w:szCs w:val="18"/>
        </w:rPr>
      </w:pPr>
    </w:p>
    <w:p w:rsidR="00565FD5" w:rsidRDefault="00565FD5" w:rsidP="00565FD5">
      <w:pPr>
        <w:spacing w:after="160"/>
        <w:ind w:firstLine="425"/>
        <w:rPr>
          <w:rFonts w:cs="Tahoma"/>
          <w:szCs w:val="18"/>
        </w:rPr>
      </w:pPr>
    </w:p>
    <w:p w:rsidR="00565FD5" w:rsidRPr="0026379C" w:rsidRDefault="00565FD5" w:rsidP="00565FD5">
      <w:pPr>
        <w:pStyle w:val="ResimYazs"/>
        <w:rPr>
          <w:rFonts w:eastAsia="Arial Unicode MS"/>
        </w:rPr>
      </w:pPr>
      <w:bookmarkStart w:id="2567" w:name="_Toc307601718"/>
      <w:bookmarkStart w:id="2568" w:name="_Toc307657938"/>
      <w:bookmarkStart w:id="2569" w:name="_Toc307702196"/>
      <w:bookmarkStart w:id="2570" w:name="_Toc338606062"/>
      <w:bookmarkStart w:id="2571" w:name="_Toc338711837"/>
      <w:r>
        <w:t xml:space="preserve">TABLO IV: </w:t>
      </w:r>
      <w:fldSimple w:instr=" SEQ TABLO_IV: \* ARABIC ">
        <w:r>
          <w:rPr>
            <w:noProof/>
          </w:rPr>
          <w:t>67</w:t>
        </w:r>
      </w:fldSimple>
      <w:r w:rsidRPr="0026379C">
        <w:rPr>
          <w:rFonts w:eastAsia="Arial Unicode MS" w:cs="Tahoma"/>
          <w:szCs w:val="16"/>
        </w:rPr>
        <w:t>-</w:t>
      </w:r>
      <w:r w:rsidRPr="0026379C">
        <w:rPr>
          <w:rFonts w:eastAsia="Arial Unicode MS" w:cs="Tahoma"/>
          <w:bCs/>
          <w:szCs w:val="16"/>
        </w:rPr>
        <w:t xml:space="preserve"> </w:t>
      </w:r>
      <w:r w:rsidRPr="0026379C">
        <w:rPr>
          <w:rFonts w:eastAsia="Arial Unicode MS" w:cs="Tahoma"/>
          <w:szCs w:val="16"/>
        </w:rPr>
        <w:t>Sosyal Hizmet Sunan Kamu Kuruluşlarının Sosyal Hizmet Harcamaları</w:t>
      </w:r>
      <w:bookmarkEnd w:id="2567"/>
      <w:bookmarkEnd w:id="2568"/>
      <w:bookmarkEnd w:id="2569"/>
      <w:bookmarkEnd w:id="2570"/>
      <w:bookmarkEnd w:id="2571"/>
    </w:p>
    <w:tbl>
      <w:tblPr>
        <w:tblW w:w="5000" w:type="pct"/>
        <w:tblCellMar>
          <w:left w:w="70" w:type="dxa"/>
          <w:right w:w="70" w:type="dxa"/>
        </w:tblCellMar>
        <w:tblLook w:val="00A0"/>
      </w:tblPr>
      <w:tblGrid>
        <w:gridCol w:w="597"/>
        <w:gridCol w:w="1034"/>
        <w:gridCol w:w="849"/>
        <w:gridCol w:w="1417"/>
        <w:gridCol w:w="1257"/>
        <w:gridCol w:w="1082"/>
        <w:gridCol w:w="1046"/>
      </w:tblGrid>
      <w:tr w:rsidR="00565FD5" w:rsidRPr="004B3DE4" w:rsidTr="00AB62A3">
        <w:trPr>
          <w:trHeight w:val="227"/>
        </w:trPr>
        <w:tc>
          <w:tcPr>
            <w:tcW w:w="5000" w:type="pct"/>
            <w:gridSpan w:val="7"/>
            <w:tcBorders>
              <w:bottom w:val="single" w:sz="4" w:space="0" w:color="auto"/>
            </w:tcBorders>
            <w:vAlign w:val="center"/>
          </w:tcPr>
          <w:p w:rsidR="00565FD5" w:rsidRPr="004B3DE4" w:rsidRDefault="00565FD5" w:rsidP="00AB62A3">
            <w:pPr>
              <w:jc w:val="right"/>
              <w:rPr>
                <w:rFonts w:cs="Tahoma"/>
                <w:bCs/>
                <w:color w:val="000000"/>
                <w:sz w:val="16"/>
                <w:szCs w:val="16"/>
                <w:lang w:eastAsia="tr-TR"/>
              </w:rPr>
            </w:pPr>
            <w:r w:rsidRPr="004B3DE4">
              <w:rPr>
                <w:rFonts w:cs="Tahoma"/>
                <w:sz w:val="16"/>
                <w:szCs w:val="16"/>
              </w:rPr>
              <w:t>(Bin TL)</w:t>
            </w:r>
          </w:p>
        </w:tc>
      </w:tr>
      <w:tr w:rsidR="00565FD5" w:rsidRPr="004B3DE4" w:rsidTr="00AB62A3">
        <w:trPr>
          <w:trHeight w:val="20"/>
        </w:trPr>
        <w:tc>
          <w:tcPr>
            <w:tcW w:w="1120" w:type="pct"/>
            <w:gridSpan w:val="2"/>
            <w:tcBorders>
              <w:top w:val="single" w:sz="4" w:space="0" w:color="auto"/>
              <w:left w:val="single" w:sz="4" w:space="0" w:color="auto"/>
              <w:bottom w:val="single" w:sz="4" w:space="0" w:color="auto"/>
              <w:right w:val="single" w:sz="4" w:space="0" w:color="auto"/>
            </w:tcBorders>
            <w:vAlign w:val="center"/>
          </w:tcPr>
          <w:p w:rsidR="00565FD5" w:rsidRPr="004B3DE4" w:rsidRDefault="00565FD5" w:rsidP="00AB62A3">
            <w:pPr>
              <w:jc w:val="center"/>
              <w:rPr>
                <w:rFonts w:cs="Tahoma"/>
                <w:b/>
                <w:bCs/>
                <w:color w:val="000000"/>
                <w:sz w:val="16"/>
                <w:szCs w:val="16"/>
                <w:lang w:eastAsia="tr-TR"/>
              </w:rPr>
            </w:pPr>
            <w:r w:rsidRPr="004B3DE4">
              <w:rPr>
                <w:rFonts w:cs="Tahoma"/>
                <w:b/>
                <w:bCs/>
                <w:color w:val="000000"/>
                <w:sz w:val="16"/>
                <w:szCs w:val="16"/>
                <w:lang w:eastAsia="tr-TR"/>
              </w:rPr>
              <w:t>Harcama Yapılan Kesim</w:t>
            </w:r>
          </w:p>
        </w:tc>
        <w:tc>
          <w:tcPr>
            <w:tcW w:w="583" w:type="pct"/>
            <w:tcBorders>
              <w:top w:val="single" w:sz="4" w:space="0" w:color="auto"/>
              <w:left w:val="nil"/>
              <w:bottom w:val="single" w:sz="4" w:space="0" w:color="auto"/>
              <w:right w:val="single" w:sz="4" w:space="0" w:color="auto"/>
            </w:tcBorders>
            <w:vAlign w:val="center"/>
          </w:tcPr>
          <w:p w:rsidR="00565FD5" w:rsidRPr="004B3DE4" w:rsidRDefault="00565FD5" w:rsidP="00AB62A3">
            <w:pPr>
              <w:tabs>
                <w:tab w:val="center" w:pos="4153"/>
                <w:tab w:val="right" w:pos="8306"/>
              </w:tabs>
              <w:jc w:val="center"/>
              <w:rPr>
                <w:rFonts w:cs="Tahoma"/>
                <w:b/>
                <w:bCs/>
                <w:color w:val="000000"/>
                <w:sz w:val="16"/>
                <w:szCs w:val="16"/>
                <w:lang w:eastAsia="tr-TR"/>
              </w:rPr>
            </w:pPr>
            <w:r w:rsidRPr="004B3DE4">
              <w:rPr>
                <w:rFonts w:cs="Tahoma"/>
                <w:b/>
                <w:bCs/>
                <w:color w:val="000000"/>
                <w:sz w:val="16"/>
                <w:szCs w:val="16"/>
                <w:lang w:eastAsia="tr-TR"/>
              </w:rPr>
              <w:t>Kuruluş</w:t>
            </w:r>
          </w:p>
        </w:tc>
        <w:tc>
          <w:tcPr>
            <w:tcW w:w="973" w:type="pct"/>
            <w:tcBorders>
              <w:top w:val="single" w:sz="4" w:space="0" w:color="auto"/>
              <w:left w:val="nil"/>
              <w:bottom w:val="single" w:sz="4" w:space="0" w:color="auto"/>
              <w:right w:val="single" w:sz="4" w:space="0" w:color="auto"/>
            </w:tcBorders>
            <w:noWrap/>
            <w:vAlign w:val="center"/>
          </w:tcPr>
          <w:p w:rsidR="00565FD5" w:rsidRPr="004B3DE4" w:rsidRDefault="00565FD5" w:rsidP="00AB62A3">
            <w:pPr>
              <w:jc w:val="right"/>
              <w:rPr>
                <w:rFonts w:cs="Tahoma"/>
                <w:b/>
                <w:bCs/>
                <w:color w:val="000000"/>
                <w:sz w:val="16"/>
                <w:szCs w:val="16"/>
                <w:lang w:eastAsia="tr-TR"/>
              </w:rPr>
            </w:pPr>
            <w:r w:rsidRPr="004B3DE4">
              <w:rPr>
                <w:rFonts w:cs="Tahoma"/>
                <w:b/>
                <w:bCs/>
                <w:color w:val="000000"/>
                <w:sz w:val="16"/>
                <w:szCs w:val="16"/>
                <w:lang w:eastAsia="tr-TR"/>
              </w:rPr>
              <w:t>2009</w:t>
            </w:r>
          </w:p>
        </w:tc>
        <w:tc>
          <w:tcPr>
            <w:tcW w:w="863" w:type="pct"/>
            <w:tcBorders>
              <w:top w:val="single" w:sz="4" w:space="0" w:color="auto"/>
              <w:left w:val="nil"/>
              <w:bottom w:val="single" w:sz="4" w:space="0" w:color="auto"/>
              <w:right w:val="single" w:sz="4" w:space="0" w:color="auto"/>
            </w:tcBorders>
            <w:noWrap/>
            <w:vAlign w:val="center"/>
          </w:tcPr>
          <w:p w:rsidR="00565FD5" w:rsidRPr="004B3DE4" w:rsidRDefault="00565FD5" w:rsidP="00AB62A3">
            <w:pPr>
              <w:jc w:val="right"/>
              <w:rPr>
                <w:rFonts w:cs="Tahoma"/>
                <w:b/>
                <w:bCs/>
                <w:color w:val="000000"/>
                <w:sz w:val="16"/>
                <w:szCs w:val="16"/>
                <w:lang w:eastAsia="tr-TR"/>
              </w:rPr>
            </w:pPr>
            <w:r w:rsidRPr="004B3DE4">
              <w:rPr>
                <w:rFonts w:cs="Tahoma"/>
                <w:b/>
                <w:bCs/>
                <w:color w:val="000000"/>
                <w:sz w:val="16"/>
                <w:szCs w:val="16"/>
                <w:lang w:eastAsia="tr-TR"/>
              </w:rPr>
              <w:t>2010</w:t>
            </w:r>
          </w:p>
        </w:tc>
        <w:tc>
          <w:tcPr>
            <w:tcW w:w="743" w:type="pct"/>
            <w:tcBorders>
              <w:top w:val="single" w:sz="4" w:space="0" w:color="auto"/>
              <w:left w:val="nil"/>
              <w:bottom w:val="single" w:sz="4" w:space="0" w:color="auto"/>
              <w:right w:val="single" w:sz="4" w:space="0" w:color="auto"/>
            </w:tcBorders>
            <w:noWrap/>
            <w:vAlign w:val="center"/>
          </w:tcPr>
          <w:p w:rsidR="00565FD5" w:rsidRPr="004B3DE4" w:rsidRDefault="00565FD5" w:rsidP="00AB62A3">
            <w:pPr>
              <w:jc w:val="right"/>
              <w:rPr>
                <w:rFonts w:cs="Tahoma"/>
                <w:b/>
                <w:bCs/>
                <w:color w:val="000000"/>
                <w:sz w:val="16"/>
                <w:szCs w:val="16"/>
                <w:lang w:eastAsia="tr-TR"/>
              </w:rPr>
            </w:pPr>
            <w:r w:rsidRPr="004B3DE4">
              <w:rPr>
                <w:rFonts w:cs="Tahoma"/>
                <w:b/>
                <w:bCs/>
                <w:color w:val="000000"/>
                <w:sz w:val="16"/>
                <w:szCs w:val="16"/>
                <w:lang w:eastAsia="tr-TR"/>
              </w:rPr>
              <w:t>2011</w:t>
            </w:r>
          </w:p>
        </w:tc>
        <w:tc>
          <w:tcPr>
            <w:tcW w:w="719" w:type="pct"/>
            <w:tcBorders>
              <w:top w:val="single" w:sz="4" w:space="0" w:color="auto"/>
              <w:left w:val="nil"/>
              <w:bottom w:val="single" w:sz="4" w:space="0" w:color="auto"/>
              <w:right w:val="single" w:sz="4" w:space="0" w:color="auto"/>
            </w:tcBorders>
            <w:noWrap/>
            <w:vAlign w:val="center"/>
          </w:tcPr>
          <w:p w:rsidR="00565FD5" w:rsidRPr="004B3DE4" w:rsidRDefault="00565FD5" w:rsidP="00AB62A3">
            <w:pPr>
              <w:jc w:val="right"/>
              <w:rPr>
                <w:rFonts w:cs="Tahoma"/>
                <w:b/>
                <w:bCs/>
                <w:color w:val="000000"/>
                <w:sz w:val="16"/>
                <w:szCs w:val="16"/>
                <w:lang w:eastAsia="tr-TR"/>
              </w:rPr>
            </w:pPr>
            <w:r w:rsidRPr="004B3DE4">
              <w:rPr>
                <w:rFonts w:cs="Tahoma"/>
                <w:b/>
                <w:bCs/>
                <w:color w:val="000000"/>
                <w:sz w:val="16"/>
                <w:szCs w:val="16"/>
                <w:lang w:eastAsia="tr-TR"/>
              </w:rPr>
              <w:t>2012 (1)</w:t>
            </w:r>
          </w:p>
        </w:tc>
      </w:tr>
      <w:tr w:rsidR="00565FD5" w:rsidRPr="004B3DE4" w:rsidTr="00AB62A3">
        <w:trPr>
          <w:trHeight w:val="20"/>
        </w:trPr>
        <w:tc>
          <w:tcPr>
            <w:tcW w:w="1120" w:type="pct"/>
            <w:gridSpan w:val="2"/>
            <w:tcBorders>
              <w:top w:val="single" w:sz="4" w:space="0" w:color="auto"/>
              <w:left w:val="single" w:sz="4" w:space="0" w:color="auto"/>
              <w:bottom w:val="single" w:sz="4" w:space="0" w:color="auto"/>
              <w:right w:val="single" w:sz="4" w:space="0" w:color="auto"/>
            </w:tcBorders>
            <w:vAlign w:val="center"/>
          </w:tcPr>
          <w:p w:rsidR="00565FD5" w:rsidRPr="004B3DE4" w:rsidRDefault="00565FD5" w:rsidP="00AB62A3">
            <w:pPr>
              <w:rPr>
                <w:rFonts w:cs="Tahoma"/>
                <w:color w:val="000000"/>
                <w:sz w:val="16"/>
                <w:szCs w:val="16"/>
                <w:lang w:eastAsia="tr-TR"/>
              </w:rPr>
            </w:pPr>
            <w:r w:rsidRPr="004B3DE4">
              <w:rPr>
                <w:rFonts w:cs="Tahoma"/>
                <w:color w:val="000000"/>
                <w:sz w:val="16"/>
                <w:szCs w:val="16"/>
                <w:lang w:eastAsia="tr-TR"/>
              </w:rPr>
              <w:lastRenderedPageBreak/>
              <w:t>Çocuk-Genç</w:t>
            </w:r>
          </w:p>
        </w:tc>
        <w:tc>
          <w:tcPr>
            <w:tcW w:w="583" w:type="pct"/>
            <w:tcBorders>
              <w:top w:val="nil"/>
              <w:left w:val="nil"/>
              <w:bottom w:val="single" w:sz="4" w:space="0" w:color="auto"/>
              <w:right w:val="single" w:sz="4" w:space="0" w:color="auto"/>
            </w:tcBorders>
            <w:vAlign w:val="center"/>
          </w:tcPr>
          <w:p w:rsidR="00565FD5" w:rsidRPr="004B3DE4" w:rsidRDefault="00565FD5" w:rsidP="00AB62A3">
            <w:pPr>
              <w:tabs>
                <w:tab w:val="center" w:pos="4153"/>
                <w:tab w:val="right" w:pos="8306"/>
              </w:tabs>
              <w:jc w:val="center"/>
              <w:rPr>
                <w:rFonts w:cs="Tahoma"/>
                <w:color w:val="000000"/>
                <w:sz w:val="16"/>
                <w:szCs w:val="16"/>
                <w:lang w:eastAsia="tr-TR"/>
              </w:rPr>
            </w:pPr>
            <w:r w:rsidRPr="004B3DE4">
              <w:rPr>
                <w:rFonts w:cs="Tahoma"/>
                <w:color w:val="000000"/>
                <w:sz w:val="16"/>
                <w:szCs w:val="16"/>
                <w:lang w:eastAsia="tr-TR"/>
              </w:rPr>
              <w:t>ASPB</w:t>
            </w:r>
          </w:p>
        </w:tc>
        <w:tc>
          <w:tcPr>
            <w:tcW w:w="973"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321 517</w:t>
            </w:r>
          </w:p>
        </w:tc>
        <w:tc>
          <w:tcPr>
            <w:tcW w:w="863"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391 316</w:t>
            </w:r>
          </w:p>
        </w:tc>
        <w:tc>
          <w:tcPr>
            <w:tcW w:w="743"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429 983</w:t>
            </w:r>
          </w:p>
        </w:tc>
        <w:tc>
          <w:tcPr>
            <w:tcW w:w="719"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340 907</w:t>
            </w:r>
          </w:p>
        </w:tc>
      </w:tr>
      <w:tr w:rsidR="00565FD5" w:rsidRPr="004B3DE4" w:rsidTr="00AB62A3">
        <w:trPr>
          <w:trHeight w:val="20"/>
        </w:trPr>
        <w:tc>
          <w:tcPr>
            <w:tcW w:w="1120" w:type="pct"/>
            <w:gridSpan w:val="2"/>
            <w:tcBorders>
              <w:top w:val="single" w:sz="4" w:space="0" w:color="auto"/>
              <w:left w:val="single" w:sz="4" w:space="0" w:color="auto"/>
              <w:bottom w:val="single" w:sz="4" w:space="0" w:color="auto"/>
              <w:right w:val="single" w:sz="4" w:space="0" w:color="auto"/>
            </w:tcBorders>
            <w:vAlign w:val="center"/>
          </w:tcPr>
          <w:p w:rsidR="00565FD5" w:rsidRPr="004B3DE4" w:rsidRDefault="00565FD5" w:rsidP="00AB62A3">
            <w:pPr>
              <w:rPr>
                <w:rFonts w:cs="Tahoma"/>
                <w:color w:val="000000"/>
                <w:sz w:val="16"/>
                <w:szCs w:val="16"/>
                <w:lang w:eastAsia="tr-TR"/>
              </w:rPr>
            </w:pPr>
            <w:r w:rsidRPr="004B3DE4">
              <w:rPr>
                <w:rFonts w:cs="Tahoma"/>
                <w:color w:val="000000"/>
                <w:sz w:val="16"/>
                <w:szCs w:val="16"/>
                <w:lang w:eastAsia="tr-TR"/>
              </w:rPr>
              <w:t>Yaşlı (1)</w:t>
            </w:r>
          </w:p>
        </w:tc>
        <w:tc>
          <w:tcPr>
            <w:tcW w:w="583" w:type="pct"/>
            <w:tcBorders>
              <w:top w:val="nil"/>
              <w:left w:val="nil"/>
              <w:bottom w:val="single" w:sz="4" w:space="0" w:color="auto"/>
              <w:right w:val="single" w:sz="4" w:space="0" w:color="auto"/>
            </w:tcBorders>
            <w:vAlign w:val="center"/>
          </w:tcPr>
          <w:p w:rsidR="00565FD5" w:rsidRPr="004B3DE4" w:rsidRDefault="00565FD5" w:rsidP="00AB62A3">
            <w:pPr>
              <w:tabs>
                <w:tab w:val="center" w:pos="4153"/>
                <w:tab w:val="right" w:pos="8306"/>
              </w:tabs>
              <w:jc w:val="center"/>
              <w:rPr>
                <w:rFonts w:cs="Tahoma"/>
                <w:color w:val="000000"/>
                <w:sz w:val="16"/>
                <w:szCs w:val="16"/>
                <w:lang w:eastAsia="tr-TR"/>
              </w:rPr>
            </w:pPr>
            <w:r w:rsidRPr="004B3DE4">
              <w:rPr>
                <w:rFonts w:cs="Tahoma"/>
                <w:color w:val="000000"/>
                <w:sz w:val="16"/>
                <w:szCs w:val="16"/>
                <w:lang w:eastAsia="tr-TR"/>
              </w:rPr>
              <w:t>ASPB</w:t>
            </w:r>
          </w:p>
        </w:tc>
        <w:tc>
          <w:tcPr>
            <w:tcW w:w="973"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125 148</w:t>
            </w:r>
          </w:p>
        </w:tc>
        <w:tc>
          <w:tcPr>
            <w:tcW w:w="863"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154 299</w:t>
            </w:r>
          </w:p>
        </w:tc>
        <w:tc>
          <w:tcPr>
            <w:tcW w:w="743"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188 653</w:t>
            </w:r>
          </w:p>
        </w:tc>
        <w:tc>
          <w:tcPr>
            <w:tcW w:w="719"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183 304</w:t>
            </w:r>
          </w:p>
        </w:tc>
      </w:tr>
      <w:tr w:rsidR="00565FD5" w:rsidRPr="004B3DE4" w:rsidTr="00AB62A3">
        <w:trPr>
          <w:trHeight w:val="20"/>
        </w:trPr>
        <w:tc>
          <w:tcPr>
            <w:tcW w:w="410" w:type="pct"/>
            <w:vMerge w:val="restart"/>
            <w:tcBorders>
              <w:top w:val="nil"/>
              <w:left w:val="single" w:sz="4" w:space="0" w:color="auto"/>
              <w:bottom w:val="single" w:sz="4" w:space="0" w:color="auto"/>
              <w:right w:val="single" w:sz="4" w:space="0" w:color="auto"/>
            </w:tcBorders>
            <w:vAlign w:val="center"/>
          </w:tcPr>
          <w:p w:rsidR="00565FD5" w:rsidRPr="004B3DE4" w:rsidRDefault="00565FD5" w:rsidP="00AB62A3">
            <w:pPr>
              <w:rPr>
                <w:rFonts w:cs="Tahoma"/>
                <w:color w:val="000000"/>
                <w:sz w:val="16"/>
                <w:szCs w:val="16"/>
                <w:lang w:eastAsia="tr-TR"/>
              </w:rPr>
            </w:pPr>
            <w:r w:rsidRPr="004B3DE4">
              <w:rPr>
                <w:rFonts w:cs="Tahoma"/>
                <w:color w:val="000000"/>
                <w:sz w:val="16"/>
                <w:szCs w:val="16"/>
                <w:lang w:eastAsia="tr-TR"/>
              </w:rPr>
              <w:t>Özürlü</w:t>
            </w:r>
          </w:p>
        </w:tc>
        <w:tc>
          <w:tcPr>
            <w:tcW w:w="709" w:type="pct"/>
            <w:tcBorders>
              <w:top w:val="nil"/>
              <w:left w:val="nil"/>
              <w:bottom w:val="single" w:sz="4" w:space="0" w:color="auto"/>
              <w:right w:val="single" w:sz="4" w:space="0" w:color="auto"/>
            </w:tcBorders>
            <w:vAlign w:val="center"/>
          </w:tcPr>
          <w:p w:rsidR="00565FD5" w:rsidRPr="004B3DE4" w:rsidRDefault="00565FD5" w:rsidP="00AB62A3">
            <w:pPr>
              <w:tabs>
                <w:tab w:val="center" w:pos="4153"/>
                <w:tab w:val="right" w:pos="8306"/>
              </w:tabs>
              <w:rPr>
                <w:rFonts w:cs="Tahoma"/>
                <w:color w:val="000000"/>
                <w:sz w:val="16"/>
                <w:szCs w:val="16"/>
                <w:lang w:eastAsia="tr-TR"/>
              </w:rPr>
            </w:pPr>
            <w:r w:rsidRPr="004B3DE4">
              <w:rPr>
                <w:rFonts w:cs="Tahoma"/>
                <w:color w:val="000000"/>
                <w:sz w:val="16"/>
                <w:szCs w:val="16"/>
                <w:lang w:eastAsia="tr-TR"/>
              </w:rPr>
              <w:t>Kurum Bakımı</w:t>
            </w:r>
          </w:p>
        </w:tc>
        <w:tc>
          <w:tcPr>
            <w:tcW w:w="583" w:type="pct"/>
            <w:tcBorders>
              <w:top w:val="nil"/>
              <w:left w:val="nil"/>
              <w:bottom w:val="single" w:sz="4" w:space="0" w:color="auto"/>
              <w:right w:val="single" w:sz="4" w:space="0" w:color="auto"/>
            </w:tcBorders>
            <w:vAlign w:val="center"/>
          </w:tcPr>
          <w:p w:rsidR="00565FD5" w:rsidRPr="004B3DE4" w:rsidRDefault="00565FD5" w:rsidP="00AB62A3">
            <w:pPr>
              <w:tabs>
                <w:tab w:val="center" w:pos="4153"/>
                <w:tab w:val="right" w:pos="8306"/>
              </w:tabs>
              <w:jc w:val="center"/>
              <w:rPr>
                <w:rFonts w:cs="Tahoma"/>
                <w:color w:val="000000"/>
                <w:sz w:val="16"/>
                <w:szCs w:val="16"/>
                <w:lang w:eastAsia="tr-TR"/>
              </w:rPr>
            </w:pPr>
            <w:r w:rsidRPr="004B3DE4">
              <w:rPr>
                <w:rFonts w:cs="Tahoma"/>
                <w:color w:val="000000"/>
                <w:sz w:val="16"/>
                <w:szCs w:val="16"/>
                <w:lang w:eastAsia="tr-TR"/>
              </w:rPr>
              <w:t>ASPB</w:t>
            </w:r>
          </w:p>
        </w:tc>
        <w:tc>
          <w:tcPr>
            <w:tcW w:w="973"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152 134</w:t>
            </w:r>
          </w:p>
        </w:tc>
        <w:tc>
          <w:tcPr>
            <w:tcW w:w="863"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168 991</w:t>
            </w:r>
          </w:p>
        </w:tc>
        <w:tc>
          <w:tcPr>
            <w:tcW w:w="743"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197 393</w:t>
            </w:r>
          </w:p>
        </w:tc>
        <w:tc>
          <w:tcPr>
            <w:tcW w:w="719"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157 718</w:t>
            </w:r>
          </w:p>
        </w:tc>
      </w:tr>
      <w:tr w:rsidR="00565FD5" w:rsidRPr="004B3DE4" w:rsidTr="00AB62A3">
        <w:trPr>
          <w:trHeight w:val="20"/>
        </w:trPr>
        <w:tc>
          <w:tcPr>
            <w:tcW w:w="410" w:type="pct"/>
            <w:vMerge/>
            <w:tcBorders>
              <w:top w:val="nil"/>
              <w:left w:val="single" w:sz="4" w:space="0" w:color="auto"/>
              <w:bottom w:val="single" w:sz="4" w:space="0" w:color="auto"/>
              <w:right w:val="single" w:sz="4" w:space="0" w:color="auto"/>
            </w:tcBorders>
            <w:vAlign w:val="center"/>
          </w:tcPr>
          <w:p w:rsidR="00565FD5" w:rsidRPr="004B3DE4" w:rsidRDefault="00565FD5" w:rsidP="00AB62A3">
            <w:pPr>
              <w:rPr>
                <w:rFonts w:cs="Tahoma"/>
                <w:color w:val="000000"/>
                <w:sz w:val="16"/>
                <w:szCs w:val="16"/>
                <w:lang w:eastAsia="tr-TR"/>
              </w:rPr>
            </w:pPr>
          </w:p>
        </w:tc>
        <w:tc>
          <w:tcPr>
            <w:tcW w:w="709" w:type="pct"/>
            <w:tcBorders>
              <w:top w:val="nil"/>
              <w:left w:val="nil"/>
              <w:bottom w:val="single" w:sz="4" w:space="0" w:color="auto"/>
              <w:right w:val="single" w:sz="4" w:space="0" w:color="auto"/>
            </w:tcBorders>
            <w:vAlign w:val="center"/>
          </w:tcPr>
          <w:p w:rsidR="00565FD5" w:rsidRPr="004B3DE4" w:rsidRDefault="00565FD5" w:rsidP="00AB62A3">
            <w:pPr>
              <w:tabs>
                <w:tab w:val="center" w:pos="4153"/>
                <w:tab w:val="right" w:pos="8306"/>
              </w:tabs>
              <w:rPr>
                <w:rFonts w:cs="Tahoma"/>
                <w:color w:val="000000"/>
                <w:sz w:val="16"/>
                <w:szCs w:val="16"/>
                <w:lang w:eastAsia="tr-TR"/>
              </w:rPr>
            </w:pPr>
            <w:r w:rsidRPr="004B3DE4">
              <w:rPr>
                <w:rFonts w:cs="Tahoma"/>
                <w:color w:val="000000"/>
                <w:sz w:val="16"/>
                <w:szCs w:val="16"/>
                <w:lang w:eastAsia="tr-TR"/>
              </w:rPr>
              <w:t xml:space="preserve">Özel Kuruluşta Bakım </w:t>
            </w:r>
          </w:p>
        </w:tc>
        <w:tc>
          <w:tcPr>
            <w:tcW w:w="583" w:type="pct"/>
            <w:tcBorders>
              <w:top w:val="nil"/>
              <w:left w:val="nil"/>
              <w:bottom w:val="single" w:sz="4" w:space="0" w:color="auto"/>
              <w:right w:val="single" w:sz="4" w:space="0" w:color="auto"/>
            </w:tcBorders>
            <w:vAlign w:val="center"/>
          </w:tcPr>
          <w:p w:rsidR="00565FD5" w:rsidRPr="004B3DE4" w:rsidRDefault="00565FD5" w:rsidP="00AB62A3">
            <w:pPr>
              <w:tabs>
                <w:tab w:val="center" w:pos="4153"/>
                <w:tab w:val="right" w:pos="8306"/>
              </w:tabs>
              <w:jc w:val="center"/>
              <w:rPr>
                <w:rFonts w:cs="Tahoma"/>
                <w:color w:val="000000"/>
                <w:sz w:val="16"/>
                <w:szCs w:val="16"/>
                <w:lang w:eastAsia="tr-TR"/>
              </w:rPr>
            </w:pPr>
            <w:r w:rsidRPr="004B3DE4">
              <w:rPr>
                <w:rFonts w:cs="Tahoma"/>
                <w:color w:val="000000"/>
                <w:sz w:val="16"/>
                <w:szCs w:val="16"/>
                <w:lang w:eastAsia="tr-TR"/>
              </w:rPr>
              <w:t>ASPB</w:t>
            </w:r>
          </w:p>
        </w:tc>
        <w:tc>
          <w:tcPr>
            <w:tcW w:w="973"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16 872</w:t>
            </w:r>
          </w:p>
        </w:tc>
        <w:tc>
          <w:tcPr>
            <w:tcW w:w="863"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40 455</w:t>
            </w:r>
          </w:p>
        </w:tc>
        <w:tc>
          <w:tcPr>
            <w:tcW w:w="743"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79 082</w:t>
            </w:r>
          </w:p>
        </w:tc>
        <w:tc>
          <w:tcPr>
            <w:tcW w:w="719"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91 153</w:t>
            </w:r>
          </w:p>
        </w:tc>
      </w:tr>
      <w:tr w:rsidR="00565FD5" w:rsidRPr="004B3DE4" w:rsidTr="00AB62A3">
        <w:trPr>
          <w:trHeight w:val="20"/>
        </w:trPr>
        <w:tc>
          <w:tcPr>
            <w:tcW w:w="410" w:type="pct"/>
            <w:vMerge/>
            <w:tcBorders>
              <w:top w:val="nil"/>
              <w:left w:val="single" w:sz="4" w:space="0" w:color="auto"/>
              <w:bottom w:val="single" w:sz="4" w:space="0" w:color="auto"/>
              <w:right w:val="single" w:sz="4" w:space="0" w:color="auto"/>
            </w:tcBorders>
            <w:vAlign w:val="center"/>
          </w:tcPr>
          <w:p w:rsidR="00565FD5" w:rsidRPr="004B3DE4" w:rsidRDefault="00565FD5" w:rsidP="00AB62A3">
            <w:pPr>
              <w:rPr>
                <w:rFonts w:cs="Tahoma"/>
                <w:color w:val="000000"/>
                <w:sz w:val="16"/>
                <w:szCs w:val="16"/>
                <w:lang w:eastAsia="tr-TR"/>
              </w:rPr>
            </w:pPr>
          </w:p>
        </w:tc>
        <w:tc>
          <w:tcPr>
            <w:tcW w:w="709" w:type="pct"/>
            <w:tcBorders>
              <w:top w:val="nil"/>
              <w:left w:val="nil"/>
              <w:bottom w:val="single" w:sz="4" w:space="0" w:color="auto"/>
              <w:right w:val="single" w:sz="4" w:space="0" w:color="auto"/>
            </w:tcBorders>
            <w:vAlign w:val="center"/>
          </w:tcPr>
          <w:p w:rsidR="00565FD5" w:rsidRPr="004B3DE4" w:rsidRDefault="00565FD5" w:rsidP="00AB62A3">
            <w:pPr>
              <w:tabs>
                <w:tab w:val="center" w:pos="4153"/>
                <w:tab w:val="right" w:pos="8306"/>
              </w:tabs>
              <w:rPr>
                <w:rFonts w:cs="Tahoma"/>
                <w:color w:val="000000"/>
                <w:sz w:val="16"/>
                <w:szCs w:val="16"/>
                <w:lang w:eastAsia="tr-TR"/>
              </w:rPr>
            </w:pPr>
            <w:r w:rsidRPr="004B3DE4">
              <w:rPr>
                <w:rFonts w:cs="Tahoma"/>
                <w:color w:val="000000"/>
                <w:sz w:val="16"/>
                <w:szCs w:val="16"/>
                <w:lang w:eastAsia="tr-TR"/>
              </w:rPr>
              <w:t>Özel Eğitim</w:t>
            </w:r>
          </w:p>
        </w:tc>
        <w:tc>
          <w:tcPr>
            <w:tcW w:w="583" w:type="pct"/>
            <w:tcBorders>
              <w:top w:val="nil"/>
              <w:left w:val="nil"/>
              <w:bottom w:val="single" w:sz="4" w:space="0" w:color="auto"/>
              <w:right w:val="single" w:sz="4" w:space="0" w:color="auto"/>
            </w:tcBorders>
            <w:vAlign w:val="center"/>
          </w:tcPr>
          <w:p w:rsidR="00565FD5" w:rsidRPr="004B3DE4" w:rsidRDefault="00565FD5" w:rsidP="00AB62A3">
            <w:pPr>
              <w:tabs>
                <w:tab w:val="center" w:pos="4153"/>
                <w:tab w:val="right" w:pos="8306"/>
              </w:tabs>
              <w:jc w:val="center"/>
              <w:rPr>
                <w:rFonts w:cs="Tahoma"/>
                <w:color w:val="000000"/>
                <w:sz w:val="16"/>
                <w:szCs w:val="16"/>
                <w:lang w:eastAsia="tr-TR"/>
              </w:rPr>
            </w:pPr>
            <w:r w:rsidRPr="004B3DE4">
              <w:rPr>
                <w:rFonts w:cs="Tahoma"/>
                <w:color w:val="000000"/>
                <w:sz w:val="16"/>
                <w:szCs w:val="16"/>
                <w:lang w:eastAsia="tr-TR"/>
              </w:rPr>
              <w:t>MEB</w:t>
            </w:r>
          </w:p>
        </w:tc>
        <w:tc>
          <w:tcPr>
            <w:tcW w:w="973"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862 664</w:t>
            </w:r>
          </w:p>
        </w:tc>
        <w:tc>
          <w:tcPr>
            <w:tcW w:w="863"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906 720</w:t>
            </w:r>
          </w:p>
        </w:tc>
        <w:tc>
          <w:tcPr>
            <w:tcW w:w="743"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1 122 236</w:t>
            </w:r>
          </w:p>
        </w:tc>
        <w:tc>
          <w:tcPr>
            <w:tcW w:w="719"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840 073</w:t>
            </w:r>
          </w:p>
        </w:tc>
      </w:tr>
      <w:tr w:rsidR="00565FD5" w:rsidRPr="004B3DE4" w:rsidTr="00AB62A3">
        <w:trPr>
          <w:trHeight w:val="20"/>
        </w:trPr>
        <w:tc>
          <w:tcPr>
            <w:tcW w:w="1120" w:type="pct"/>
            <w:gridSpan w:val="2"/>
            <w:tcBorders>
              <w:top w:val="single" w:sz="4" w:space="0" w:color="auto"/>
              <w:left w:val="single" w:sz="4" w:space="0" w:color="auto"/>
              <w:bottom w:val="single" w:sz="4" w:space="0" w:color="auto"/>
              <w:right w:val="single" w:sz="4" w:space="0" w:color="auto"/>
            </w:tcBorders>
            <w:vAlign w:val="center"/>
          </w:tcPr>
          <w:p w:rsidR="00565FD5" w:rsidRPr="004B3DE4" w:rsidRDefault="00565FD5" w:rsidP="00AB62A3">
            <w:pPr>
              <w:rPr>
                <w:rFonts w:cs="Tahoma"/>
                <w:color w:val="000000"/>
                <w:sz w:val="16"/>
                <w:szCs w:val="16"/>
                <w:lang w:eastAsia="tr-TR"/>
              </w:rPr>
            </w:pPr>
            <w:r w:rsidRPr="004B3DE4">
              <w:rPr>
                <w:rFonts w:cs="Tahoma"/>
                <w:color w:val="000000"/>
                <w:sz w:val="16"/>
                <w:szCs w:val="16"/>
                <w:lang w:eastAsia="tr-TR"/>
              </w:rPr>
              <w:t>Toplum-Aile-Kadın</w:t>
            </w:r>
          </w:p>
        </w:tc>
        <w:tc>
          <w:tcPr>
            <w:tcW w:w="583" w:type="pct"/>
            <w:tcBorders>
              <w:top w:val="nil"/>
              <w:left w:val="nil"/>
              <w:bottom w:val="single" w:sz="4" w:space="0" w:color="auto"/>
              <w:right w:val="single" w:sz="4" w:space="0" w:color="auto"/>
            </w:tcBorders>
            <w:vAlign w:val="center"/>
          </w:tcPr>
          <w:p w:rsidR="00565FD5" w:rsidRPr="004B3DE4" w:rsidRDefault="00565FD5" w:rsidP="00AB62A3">
            <w:pPr>
              <w:tabs>
                <w:tab w:val="center" w:pos="4153"/>
                <w:tab w:val="right" w:pos="8306"/>
              </w:tabs>
              <w:jc w:val="center"/>
              <w:rPr>
                <w:rFonts w:cs="Tahoma"/>
                <w:color w:val="000000"/>
                <w:sz w:val="16"/>
                <w:szCs w:val="16"/>
                <w:lang w:eastAsia="tr-TR"/>
              </w:rPr>
            </w:pPr>
            <w:r w:rsidRPr="004B3DE4">
              <w:rPr>
                <w:rFonts w:cs="Tahoma"/>
                <w:color w:val="000000"/>
                <w:sz w:val="16"/>
                <w:szCs w:val="16"/>
                <w:lang w:eastAsia="tr-TR"/>
              </w:rPr>
              <w:t>ASPB</w:t>
            </w:r>
          </w:p>
        </w:tc>
        <w:tc>
          <w:tcPr>
            <w:tcW w:w="973"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17 408</w:t>
            </w:r>
          </w:p>
        </w:tc>
        <w:tc>
          <w:tcPr>
            <w:tcW w:w="863"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color w:val="000000"/>
                <w:sz w:val="16"/>
                <w:szCs w:val="16"/>
                <w:lang w:eastAsia="tr-TR"/>
              </w:rPr>
            </w:pPr>
            <w:r w:rsidRPr="004B3DE4">
              <w:rPr>
                <w:rFonts w:cs="Tahoma"/>
                <w:color w:val="000000"/>
                <w:sz w:val="16"/>
                <w:szCs w:val="16"/>
                <w:lang w:eastAsia="tr-TR"/>
              </w:rPr>
              <w:t>38 104</w:t>
            </w:r>
          </w:p>
        </w:tc>
        <w:tc>
          <w:tcPr>
            <w:tcW w:w="743"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sz w:val="16"/>
                <w:szCs w:val="16"/>
                <w:lang w:eastAsia="tr-TR"/>
              </w:rPr>
            </w:pPr>
            <w:r w:rsidRPr="004B3DE4">
              <w:rPr>
                <w:rFonts w:cs="Tahoma"/>
                <w:sz w:val="16"/>
                <w:szCs w:val="16"/>
                <w:lang w:eastAsia="tr-TR"/>
              </w:rPr>
              <w:t>740 703</w:t>
            </w:r>
          </w:p>
        </w:tc>
        <w:tc>
          <w:tcPr>
            <w:tcW w:w="719"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sz w:val="16"/>
                <w:szCs w:val="16"/>
                <w:lang w:eastAsia="tr-TR"/>
              </w:rPr>
            </w:pPr>
            <w:r w:rsidRPr="004B3DE4">
              <w:rPr>
                <w:rFonts w:cs="Tahoma"/>
                <w:sz w:val="16"/>
                <w:szCs w:val="16"/>
                <w:lang w:eastAsia="tr-TR"/>
              </w:rPr>
              <w:t>903 521</w:t>
            </w:r>
          </w:p>
        </w:tc>
      </w:tr>
      <w:tr w:rsidR="00565FD5" w:rsidRPr="004B3DE4" w:rsidTr="00AB62A3">
        <w:trPr>
          <w:trHeight w:val="20"/>
        </w:trPr>
        <w:tc>
          <w:tcPr>
            <w:tcW w:w="1120" w:type="pct"/>
            <w:gridSpan w:val="2"/>
            <w:tcBorders>
              <w:top w:val="single" w:sz="4" w:space="0" w:color="auto"/>
              <w:left w:val="single" w:sz="4" w:space="0" w:color="auto"/>
              <w:bottom w:val="single" w:sz="4" w:space="0" w:color="auto"/>
              <w:right w:val="single" w:sz="4" w:space="0" w:color="auto"/>
            </w:tcBorders>
            <w:vAlign w:val="center"/>
          </w:tcPr>
          <w:p w:rsidR="00565FD5" w:rsidRPr="004B3DE4" w:rsidRDefault="00565FD5" w:rsidP="00AB62A3">
            <w:pPr>
              <w:rPr>
                <w:rFonts w:cs="Tahoma"/>
                <w:b/>
                <w:bCs/>
                <w:color w:val="000000"/>
                <w:sz w:val="16"/>
                <w:szCs w:val="16"/>
                <w:lang w:eastAsia="tr-TR"/>
              </w:rPr>
            </w:pPr>
            <w:r w:rsidRPr="004B3DE4">
              <w:rPr>
                <w:rFonts w:cs="Tahoma"/>
                <w:b/>
                <w:bCs/>
                <w:color w:val="000000"/>
                <w:sz w:val="16"/>
                <w:szCs w:val="16"/>
                <w:lang w:eastAsia="tr-TR"/>
              </w:rPr>
              <w:t>Toplam</w:t>
            </w:r>
          </w:p>
        </w:tc>
        <w:tc>
          <w:tcPr>
            <w:tcW w:w="583" w:type="pct"/>
            <w:tcBorders>
              <w:top w:val="nil"/>
              <w:left w:val="nil"/>
              <w:bottom w:val="single" w:sz="4" w:space="0" w:color="auto"/>
              <w:right w:val="single" w:sz="4" w:space="0" w:color="auto"/>
            </w:tcBorders>
            <w:vAlign w:val="center"/>
          </w:tcPr>
          <w:p w:rsidR="00565FD5" w:rsidRPr="004B3DE4" w:rsidRDefault="00565FD5" w:rsidP="00AB62A3">
            <w:pPr>
              <w:tabs>
                <w:tab w:val="center" w:pos="4153"/>
                <w:tab w:val="right" w:pos="8306"/>
              </w:tabs>
              <w:jc w:val="right"/>
              <w:rPr>
                <w:rFonts w:cs="Tahoma"/>
                <w:b/>
                <w:bCs/>
                <w:color w:val="000000"/>
                <w:sz w:val="16"/>
                <w:szCs w:val="16"/>
                <w:lang w:eastAsia="tr-TR"/>
              </w:rPr>
            </w:pPr>
            <w:r w:rsidRPr="004B3DE4">
              <w:rPr>
                <w:rFonts w:cs="Tahoma"/>
                <w:b/>
                <w:bCs/>
                <w:color w:val="000000"/>
                <w:sz w:val="16"/>
                <w:szCs w:val="16"/>
                <w:lang w:eastAsia="tr-TR"/>
              </w:rPr>
              <w:t> </w:t>
            </w:r>
          </w:p>
        </w:tc>
        <w:tc>
          <w:tcPr>
            <w:tcW w:w="973"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b/>
                <w:bCs/>
                <w:color w:val="000000"/>
                <w:sz w:val="16"/>
                <w:szCs w:val="16"/>
                <w:lang w:eastAsia="tr-TR"/>
              </w:rPr>
            </w:pPr>
            <w:r w:rsidRPr="004B3DE4">
              <w:rPr>
                <w:rFonts w:cs="Tahoma"/>
                <w:b/>
                <w:bCs/>
                <w:color w:val="000000"/>
                <w:sz w:val="16"/>
                <w:szCs w:val="16"/>
                <w:lang w:eastAsia="tr-TR"/>
              </w:rPr>
              <w:t>1 495 743</w:t>
            </w:r>
          </w:p>
        </w:tc>
        <w:tc>
          <w:tcPr>
            <w:tcW w:w="863"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b/>
                <w:bCs/>
                <w:color w:val="000000"/>
                <w:sz w:val="16"/>
                <w:szCs w:val="16"/>
                <w:lang w:eastAsia="tr-TR"/>
              </w:rPr>
            </w:pPr>
            <w:r w:rsidRPr="004B3DE4">
              <w:rPr>
                <w:rFonts w:cs="Tahoma"/>
                <w:b/>
                <w:bCs/>
                <w:color w:val="000000"/>
                <w:sz w:val="16"/>
                <w:szCs w:val="16"/>
                <w:lang w:eastAsia="tr-TR"/>
              </w:rPr>
              <w:t>1 699 885</w:t>
            </w:r>
          </w:p>
        </w:tc>
        <w:tc>
          <w:tcPr>
            <w:tcW w:w="743"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b/>
                <w:bCs/>
                <w:color w:val="000000"/>
                <w:sz w:val="16"/>
                <w:szCs w:val="16"/>
                <w:lang w:eastAsia="tr-TR"/>
              </w:rPr>
            </w:pPr>
            <w:r w:rsidRPr="004B3DE4">
              <w:rPr>
                <w:rFonts w:cs="Tahoma"/>
                <w:b/>
                <w:bCs/>
                <w:color w:val="000000"/>
                <w:sz w:val="16"/>
                <w:szCs w:val="16"/>
                <w:lang w:eastAsia="tr-TR"/>
              </w:rPr>
              <w:t>2 758 050</w:t>
            </w:r>
          </w:p>
        </w:tc>
        <w:tc>
          <w:tcPr>
            <w:tcW w:w="719" w:type="pct"/>
            <w:tcBorders>
              <w:top w:val="nil"/>
              <w:left w:val="nil"/>
              <w:bottom w:val="single" w:sz="4" w:space="0" w:color="auto"/>
              <w:right w:val="single" w:sz="4" w:space="0" w:color="auto"/>
            </w:tcBorders>
            <w:noWrap/>
            <w:vAlign w:val="center"/>
          </w:tcPr>
          <w:p w:rsidR="00565FD5" w:rsidRPr="004B3DE4" w:rsidRDefault="00565FD5" w:rsidP="00AB62A3">
            <w:pPr>
              <w:jc w:val="right"/>
              <w:rPr>
                <w:rFonts w:cs="Tahoma"/>
                <w:b/>
                <w:bCs/>
                <w:color w:val="000000"/>
                <w:sz w:val="16"/>
                <w:szCs w:val="16"/>
                <w:lang w:eastAsia="tr-TR"/>
              </w:rPr>
            </w:pPr>
            <w:r w:rsidRPr="004B3DE4">
              <w:rPr>
                <w:rFonts w:cs="Tahoma"/>
                <w:b/>
                <w:bCs/>
                <w:color w:val="000000"/>
                <w:sz w:val="16"/>
                <w:szCs w:val="16"/>
                <w:lang w:eastAsia="tr-TR"/>
              </w:rPr>
              <w:t>2 516 676</w:t>
            </w:r>
          </w:p>
        </w:tc>
      </w:tr>
    </w:tbl>
    <w:p w:rsidR="00565FD5" w:rsidRPr="004B3DE4" w:rsidRDefault="00565FD5" w:rsidP="00565FD5">
      <w:pPr>
        <w:autoSpaceDE w:val="0"/>
        <w:autoSpaceDN w:val="0"/>
        <w:adjustRightInd w:val="0"/>
        <w:rPr>
          <w:rFonts w:cs="Tahoma"/>
          <w:sz w:val="14"/>
          <w:szCs w:val="14"/>
        </w:rPr>
      </w:pPr>
      <w:r w:rsidRPr="004B3DE4">
        <w:rPr>
          <w:rFonts w:cs="Tahoma"/>
          <w:sz w:val="14"/>
          <w:szCs w:val="14"/>
        </w:rPr>
        <w:t>Kaynak: Aile ve Sosyal Politikalar Bakanlığı (ASPB), MEB</w:t>
      </w:r>
    </w:p>
    <w:p w:rsidR="00565FD5" w:rsidRPr="004B3DE4" w:rsidRDefault="00565FD5" w:rsidP="00565FD5">
      <w:pPr>
        <w:autoSpaceDE w:val="0"/>
        <w:autoSpaceDN w:val="0"/>
        <w:adjustRightInd w:val="0"/>
        <w:rPr>
          <w:rFonts w:cs="Tahoma"/>
          <w:sz w:val="14"/>
          <w:szCs w:val="14"/>
        </w:rPr>
      </w:pPr>
      <w:bookmarkStart w:id="2572" w:name="_Toc338505630"/>
      <w:r w:rsidRPr="004B3DE4">
        <w:rPr>
          <w:rFonts w:cs="Tahoma"/>
          <w:sz w:val="14"/>
          <w:szCs w:val="14"/>
        </w:rPr>
        <w:t>(1) SGK’ya ait 4 adet huzurevi 02/11/2011 tarihinde Aile ve Sosyal Politikalar Bakanlığına devredilmiş olup harcama rakamının içinde bu huzurevlerinin harcamaları da yer almaktadır.</w:t>
      </w:r>
      <w:r>
        <w:rPr>
          <w:rFonts w:cs="Tahoma"/>
          <w:sz w:val="14"/>
          <w:szCs w:val="14"/>
        </w:rPr>
        <w:t xml:space="preserve"> 2012 yılı verileri Eylül ayı itibarıyladır.</w:t>
      </w:r>
      <w:bookmarkEnd w:id="2572"/>
    </w:p>
    <w:p w:rsidR="00565FD5" w:rsidRPr="004B3DE4" w:rsidRDefault="00565FD5" w:rsidP="00565FD5">
      <w:pPr>
        <w:pStyle w:val="Balk4"/>
      </w:pPr>
      <w:bookmarkStart w:id="2573" w:name="_Toc276076345"/>
      <w:bookmarkStart w:id="2574" w:name="_Toc307602065"/>
      <w:bookmarkStart w:id="2575" w:name="_Toc307670502"/>
      <w:bookmarkStart w:id="2576" w:name="_Toc307701728"/>
      <w:bookmarkStart w:id="2577" w:name="_Toc338505631"/>
      <w:bookmarkStart w:id="2578" w:name="_Toc338523862"/>
      <w:bookmarkStart w:id="2579" w:name="_Toc338524093"/>
      <w:bookmarkStart w:id="2580" w:name="_Toc338526319"/>
      <w:bookmarkStart w:id="2581" w:name="_Toc338673762"/>
      <w:bookmarkStart w:id="2582" w:name="_Toc338711641"/>
      <w:r w:rsidRPr="004B3DE4">
        <w:t>2. Temel Amaç ve Hedefler</w:t>
      </w:r>
      <w:bookmarkEnd w:id="2573"/>
      <w:bookmarkEnd w:id="2574"/>
      <w:bookmarkEnd w:id="2575"/>
      <w:bookmarkEnd w:id="2576"/>
      <w:bookmarkEnd w:id="2577"/>
      <w:bookmarkEnd w:id="2578"/>
      <w:bookmarkEnd w:id="2579"/>
      <w:bookmarkEnd w:id="2580"/>
      <w:bookmarkEnd w:id="2581"/>
      <w:bookmarkEnd w:id="2582"/>
    </w:p>
    <w:p w:rsidR="00565FD5" w:rsidRPr="004B3DE4" w:rsidRDefault="00565FD5" w:rsidP="00565FD5">
      <w:pPr>
        <w:spacing w:after="120"/>
        <w:ind w:firstLine="425"/>
        <w:rPr>
          <w:rFonts w:cs="Tahoma"/>
          <w:szCs w:val="18"/>
        </w:rPr>
      </w:pPr>
      <w:r w:rsidRPr="004B3DE4">
        <w:rPr>
          <w:rFonts w:cs="Tahoma"/>
          <w:szCs w:val="18"/>
        </w:rPr>
        <w:t>Gelir dağılımının iyileştirilmesi, yoksulluk ve sosyal dışlanma riski altında bulunan birey ve grupların ekonomik ve sosyal hayata katılımlarının artırılması, yaşam kalitelerinin yükseltilmesi ve toplumla bütünleşmelerinin sağlanması temel amaçtır.</w:t>
      </w:r>
    </w:p>
    <w:p w:rsidR="00565FD5" w:rsidRPr="004B3DE4" w:rsidRDefault="00565FD5" w:rsidP="00565FD5">
      <w:pPr>
        <w:spacing w:after="120"/>
        <w:ind w:firstLine="425"/>
        <w:rPr>
          <w:rFonts w:cs="Tahoma"/>
          <w:szCs w:val="18"/>
        </w:rPr>
      </w:pPr>
      <w:r w:rsidRPr="004B3DE4">
        <w:rPr>
          <w:rFonts w:cs="Tahoma"/>
          <w:szCs w:val="18"/>
        </w:rPr>
        <w:t xml:space="preserve">Sosyal koruma ağı sosyo-ekonomik ve yerel şartlar dikkate alınarak, nüfusun tümünü kapsayan, etkin, </w:t>
      </w:r>
      <w:r>
        <w:rPr>
          <w:rFonts w:cs="Tahoma"/>
          <w:szCs w:val="18"/>
        </w:rPr>
        <w:t>dezavantajlı kesimleri</w:t>
      </w:r>
      <w:r w:rsidRPr="004B3DE4">
        <w:rPr>
          <w:rFonts w:cs="Tahoma"/>
          <w:szCs w:val="18"/>
        </w:rPr>
        <w:t xml:space="preserve"> topluma entegre eden, toplumun her kesimine sorumluluk vererek sosyal dışlanma ve yoksulluk riskini en aza indiren bir yapıya kavuşturulacaktır.</w:t>
      </w:r>
    </w:p>
    <w:p w:rsidR="00565FD5" w:rsidRPr="004B3DE4" w:rsidRDefault="00565FD5" w:rsidP="00565FD5">
      <w:pPr>
        <w:pStyle w:val="Balk4"/>
      </w:pPr>
      <w:bookmarkStart w:id="2583" w:name="_Toc338523863"/>
      <w:bookmarkStart w:id="2584" w:name="_Toc338524094"/>
      <w:bookmarkStart w:id="2585" w:name="_Toc338526320"/>
      <w:bookmarkStart w:id="2586" w:name="_Toc338673763"/>
      <w:bookmarkStart w:id="2587" w:name="_Toc338711642"/>
      <w:bookmarkEnd w:id="2558"/>
      <w:bookmarkEnd w:id="2559"/>
      <w:bookmarkEnd w:id="2560"/>
      <w:bookmarkEnd w:id="2561"/>
      <w:r w:rsidRPr="004B3DE4">
        <w:t xml:space="preserve">3. </w:t>
      </w:r>
      <w:bookmarkStart w:id="2588" w:name="_Toc213065728"/>
      <w:bookmarkStart w:id="2589" w:name="_Toc149986876"/>
      <w:r w:rsidRPr="004B3DE4">
        <w:t>Politika Öncelikleri ve Tedbirler</w:t>
      </w:r>
      <w:bookmarkEnd w:id="2583"/>
      <w:bookmarkEnd w:id="2584"/>
      <w:bookmarkEnd w:id="2585"/>
      <w:bookmarkEnd w:id="2586"/>
      <w:bookmarkEnd w:id="2587"/>
      <w:bookmarkEnd w:id="2588"/>
      <w:bookmarkEnd w:id="2589"/>
      <w:r w:rsidRPr="004B3DE4">
        <w:t xml:space="preserve"> </w:t>
      </w: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049"/>
        <w:gridCol w:w="2139"/>
        <w:gridCol w:w="600"/>
        <w:gridCol w:w="2356"/>
      </w:tblGrid>
      <w:tr w:rsidR="00565FD5" w:rsidRPr="004B3DE4" w:rsidTr="00AB62A3">
        <w:trPr>
          <w:trHeight w:val="20"/>
          <w:jc w:val="center"/>
        </w:trPr>
        <w:tc>
          <w:tcPr>
            <w:tcW w:w="1434" w:type="pct"/>
            <w:shd w:val="clear" w:color="auto" w:fill="FFFFFF"/>
            <w:vAlign w:val="bottom"/>
          </w:tcPr>
          <w:p w:rsidR="00565FD5" w:rsidRPr="004B3DE4" w:rsidRDefault="00565FD5" w:rsidP="00AB62A3">
            <w:pPr>
              <w:rPr>
                <w:rFonts w:cs="Tahoma"/>
                <w:b/>
                <w:bCs/>
                <w:color w:val="000000"/>
                <w:sz w:val="16"/>
                <w:szCs w:val="16"/>
                <w:lang w:eastAsia="tr-TR"/>
              </w:rPr>
            </w:pPr>
            <w:r w:rsidRPr="004B3DE4">
              <w:rPr>
                <w:rFonts w:cs="Tahoma"/>
                <w:b/>
                <w:bCs/>
                <w:color w:val="000000"/>
                <w:sz w:val="16"/>
                <w:szCs w:val="16"/>
                <w:lang w:eastAsia="tr-TR"/>
              </w:rPr>
              <w:t>Öncelik / Tedbir</w:t>
            </w:r>
          </w:p>
        </w:tc>
        <w:tc>
          <w:tcPr>
            <w:tcW w:w="1497" w:type="pct"/>
            <w:shd w:val="clear" w:color="auto" w:fill="FFFFFF"/>
            <w:vAlign w:val="bottom"/>
          </w:tcPr>
          <w:p w:rsidR="00565FD5" w:rsidRPr="004B3DE4" w:rsidRDefault="00565FD5" w:rsidP="00AB62A3">
            <w:pPr>
              <w:rPr>
                <w:rFonts w:cs="Tahoma"/>
                <w:b/>
                <w:bCs/>
                <w:color w:val="000000"/>
                <w:sz w:val="16"/>
                <w:szCs w:val="16"/>
                <w:lang w:eastAsia="tr-TR"/>
              </w:rPr>
            </w:pPr>
            <w:r w:rsidRPr="004B3DE4">
              <w:rPr>
                <w:rFonts w:cs="Tahoma"/>
                <w:b/>
                <w:bCs/>
                <w:color w:val="000000"/>
                <w:sz w:val="16"/>
                <w:szCs w:val="16"/>
                <w:lang w:eastAsia="tr-TR"/>
              </w:rPr>
              <w:t>Sorumlu / İşbirliği Yapılacak Kuruluşlar</w:t>
            </w:r>
          </w:p>
        </w:tc>
        <w:tc>
          <w:tcPr>
            <w:tcW w:w="420" w:type="pct"/>
            <w:shd w:val="clear" w:color="auto" w:fill="FFFFFF"/>
            <w:vAlign w:val="bottom"/>
          </w:tcPr>
          <w:p w:rsidR="00565FD5" w:rsidRPr="004B3DE4" w:rsidRDefault="00565FD5" w:rsidP="00AB62A3">
            <w:pPr>
              <w:rPr>
                <w:rFonts w:cs="Tahoma"/>
                <w:b/>
                <w:bCs/>
                <w:color w:val="000000"/>
                <w:sz w:val="16"/>
                <w:szCs w:val="16"/>
                <w:lang w:eastAsia="tr-TR"/>
              </w:rPr>
            </w:pPr>
            <w:r w:rsidRPr="004B3DE4">
              <w:rPr>
                <w:rFonts w:cs="Tahoma"/>
                <w:b/>
                <w:bCs/>
                <w:color w:val="000000"/>
                <w:sz w:val="16"/>
                <w:szCs w:val="16"/>
                <w:lang w:eastAsia="tr-TR"/>
              </w:rPr>
              <w:t>Süre</w:t>
            </w:r>
          </w:p>
        </w:tc>
        <w:tc>
          <w:tcPr>
            <w:tcW w:w="1649" w:type="pct"/>
            <w:shd w:val="clear" w:color="auto" w:fill="FFFFFF"/>
            <w:vAlign w:val="bottom"/>
          </w:tcPr>
          <w:p w:rsidR="00565FD5" w:rsidRPr="004B3DE4" w:rsidRDefault="00565FD5" w:rsidP="00AB62A3">
            <w:pPr>
              <w:rPr>
                <w:rFonts w:cs="Tahoma"/>
                <w:b/>
                <w:bCs/>
                <w:color w:val="000000"/>
                <w:sz w:val="16"/>
                <w:szCs w:val="16"/>
                <w:lang w:eastAsia="tr-TR"/>
              </w:rPr>
            </w:pPr>
            <w:r w:rsidRPr="004B3DE4">
              <w:rPr>
                <w:rFonts w:cs="Tahoma"/>
                <w:b/>
                <w:bCs/>
                <w:color w:val="000000"/>
                <w:sz w:val="16"/>
                <w:szCs w:val="16"/>
                <w:lang w:eastAsia="tr-TR"/>
              </w:rPr>
              <w:t>Yapılacak İşlem ve Açıklama</w:t>
            </w:r>
          </w:p>
        </w:tc>
      </w:tr>
      <w:tr w:rsidR="00565FD5" w:rsidRPr="004B3DE4" w:rsidTr="00AB62A3">
        <w:trPr>
          <w:trHeight w:val="20"/>
          <w:jc w:val="center"/>
        </w:trPr>
        <w:tc>
          <w:tcPr>
            <w:tcW w:w="5000" w:type="pct"/>
            <w:gridSpan w:val="4"/>
            <w:shd w:val="clear" w:color="auto" w:fill="FFFFFF"/>
            <w:vAlign w:val="bottom"/>
          </w:tcPr>
          <w:p w:rsidR="00565FD5" w:rsidRPr="004B3DE4" w:rsidRDefault="00565FD5" w:rsidP="00EB1E69">
            <w:pPr>
              <w:numPr>
                <w:ilvl w:val="0"/>
                <w:numId w:val="15"/>
              </w:numPr>
              <w:tabs>
                <w:tab w:val="left" w:pos="425"/>
              </w:tabs>
              <w:spacing w:after="0" w:line="240" w:lineRule="auto"/>
              <w:jc w:val="both"/>
              <w:rPr>
                <w:rFonts w:cs="Tahoma"/>
                <w:b/>
                <w:bCs/>
                <w:color w:val="000000"/>
                <w:sz w:val="16"/>
                <w:szCs w:val="16"/>
                <w:lang w:eastAsia="tr-TR"/>
              </w:rPr>
            </w:pPr>
            <w:r w:rsidRPr="004B3DE4">
              <w:rPr>
                <w:rFonts w:cs="Tahoma"/>
                <w:b/>
                <w:bCs/>
                <w:color w:val="000000"/>
                <w:sz w:val="16"/>
                <w:szCs w:val="16"/>
                <w:lang w:eastAsia="tr-TR"/>
              </w:rPr>
              <w:t xml:space="preserve">Gelir dağılımı, sektörel politikalar ve transferler aracılığıyla iyileştirilecektir. </w:t>
            </w:r>
          </w:p>
        </w:tc>
      </w:tr>
      <w:tr w:rsidR="00565FD5" w:rsidRPr="004B3DE4" w:rsidTr="00AB62A3">
        <w:trPr>
          <w:trHeight w:val="20"/>
          <w:jc w:val="center"/>
        </w:trPr>
        <w:tc>
          <w:tcPr>
            <w:tcW w:w="1434" w:type="pct"/>
            <w:shd w:val="clear" w:color="auto" w:fill="FFFFFF"/>
          </w:tcPr>
          <w:p w:rsidR="00565FD5" w:rsidRPr="004225DF" w:rsidRDefault="00565FD5" w:rsidP="00EB1E69">
            <w:pPr>
              <w:numPr>
                <w:ilvl w:val="0"/>
                <w:numId w:val="14"/>
              </w:numPr>
              <w:tabs>
                <w:tab w:val="left" w:pos="425"/>
              </w:tabs>
              <w:spacing w:before="20" w:after="20" w:line="240" w:lineRule="auto"/>
              <w:rPr>
                <w:rFonts w:cs="Tahoma"/>
                <w:color w:val="000000"/>
                <w:sz w:val="16"/>
                <w:szCs w:val="16"/>
                <w:lang w:eastAsia="tr-TR"/>
              </w:rPr>
            </w:pPr>
            <w:r w:rsidRPr="004225DF">
              <w:rPr>
                <w:rFonts w:cs="Tahoma"/>
                <w:color w:val="000000"/>
                <w:sz w:val="16"/>
                <w:szCs w:val="16"/>
                <w:lang w:eastAsia="tr-TR"/>
              </w:rPr>
              <w:t xml:space="preserve">Gelir dağılımını iyileştirmeyi ve yoksulluğu azaltmayı hedefleyen sosyal transferlerin etkinliği artırılacaktır. </w:t>
            </w:r>
          </w:p>
        </w:tc>
        <w:tc>
          <w:tcPr>
            <w:tcW w:w="1497" w:type="pct"/>
            <w:shd w:val="clear" w:color="auto" w:fill="FFFFFF"/>
          </w:tcPr>
          <w:p w:rsidR="00565FD5" w:rsidRPr="004225DF" w:rsidRDefault="00565FD5" w:rsidP="00AB62A3">
            <w:pPr>
              <w:tabs>
                <w:tab w:val="center" w:pos="4153"/>
                <w:tab w:val="right" w:pos="8306"/>
              </w:tabs>
              <w:spacing w:before="20" w:after="20"/>
              <w:rPr>
                <w:rFonts w:cs="Tahoma"/>
                <w:color w:val="000000"/>
                <w:sz w:val="16"/>
                <w:szCs w:val="16"/>
                <w:lang w:eastAsia="tr-TR"/>
              </w:rPr>
            </w:pPr>
            <w:r w:rsidRPr="004225DF">
              <w:rPr>
                <w:rFonts w:cs="Tahoma"/>
                <w:color w:val="000000"/>
                <w:sz w:val="16"/>
                <w:szCs w:val="16"/>
                <w:lang w:eastAsia="tr-TR"/>
              </w:rPr>
              <w:t>Aile ve Sosyal Politikalar Bakanlığı (S), MEB, Kalkınma Bakanlığı, SGK, TÜİK, Vakıflar Genel Müdürlüğü, İŞKUR, Yerel Yönetimler</w:t>
            </w:r>
          </w:p>
        </w:tc>
        <w:tc>
          <w:tcPr>
            <w:tcW w:w="420" w:type="pct"/>
            <w:shd w:val="clear" w:color="auto" w:fill="FFFFFF"/>
          </w:tcPr>
          <w:p w:rsidR="00565FD5" w:rsidRPr="004225DF" w:rsidRDefault="00565FD5" w:rsidP="00AB62A3">
            <w:pPr>
              <w:tabs>
                <w:tab w:val="center" w:pos="4153"/>
                <w:tab w:val="right" w:pos="8306"/>
              </w:tabs>
              <w:spacing w:before="20" w:after="20"/>
              <w:rPr>
                <w:rFonts w:cs="Tahoma"/>
                <w:color w:val="000000"/>
                <w:sz w:val="16"/>
                <w:szCs w:val="16"/>
                <w:lang w:eastAsia="tr-TR"/>
              </w:rPr>
            </w:pPr>
            <w:r w:rsidRPr="004225DF">
              <w:rPr>
                <w:rFonts w:cs="Tahoma"/>
                <w:color w:val="000000"/>
                <w:sz w:val="16"/>
                <w:szCs w:val="16"/>
                <w:lang w:eastAsia="tr-TR"/>
              </w:rPr>
              <w:t xml:space="preserve">Aralık Sonu </w:t>
            </w:r>
          </w:p>
        </w:tc>
        <w:tc>
          <w:tcPr>
            <w:tcW w:w="1649" w:type="pct"/>
            <w:shd w:val="clear" w:color="auto" w:fill="FFFFFF"/>
          </w:tcPr>
          <w:p w:rsidR="00565FD5" w:rsidRPr="004225DF" w:rsidRDefault="00565FD5" w:rsidP="00AB62A3">
            <w:pPr>
              <w:tabs>
                <w:tab w:val="center" w:pos="4153"/>
                <w:tab w:val="right" w:pos="8306"/>
              </w:tabs>
              <w:spacing w:before="20" w:after="20"/>
              <w:rPr>
                <w:rFonts w:cs="Tahoma"/>
                <w:color w:val="000000"/>
                <w:sz w:val="16"/>
                <w:szCs w:val="16"/>
                <w:lang w:eastAsia="tr-TR"/>
              </w:rPr>
            </w:pPr>
            <w:r w:rsidRPr="004225DF">
              <w:rPr>
                <w:rFonts w:cs="Tahoma"/>
                <w:color w:val="000000"/>
                <w:sz w:val="16"/>
                <w:szCs w:val="16"/>
                <w:lang w:eastAsia="tr-TR"/>
              </w:rPr>
              <w:t xml:space="preserve">Sosyal transferlerin hedef kitleye ulaşması sağlanacak ve yoksulluk sınırının altındaki bireyin geliri yoksulluk sınırına yükseltilecektir. Söz konusu hususlara sosyal yardımlara ilişkin yapılacak yasal düzenlemede yer verilecektir. </w:t>
            </w:r>
          </w:p>
        </w:tc>
      </w:tr>
      <w:tr w:rsidR="00565FD5" w:rsidRPr="004B3DE4" w:rsidTr="00AB62A3">
        <w:trPr>
          <w:trHeight w:val="20"/>
          <w:jc w:val="center"/>
        </w:trPr>
        <w:tc>
          <w:tcPr>
            <w:tcW w:w="5000" w:type="pct"/>
            <w:gridSpan w:val="4"/>
            <w:shd w:val="clear" w:color="auto" w:fill="FFFFFF"/>
          </w:tcPr>
          <w:p w:rsidR="00565FD5" w:rsidRPr="004B3DE4" w:rsidRDefault="00565FD5" w:rsidP="00EB1E69">
            <w:pPr>
              <w:numPr>
                <w:ilvl w:val="0"/>
                <w:numId w:val="15"/>
              </w:numPr>
              <w:tabs>
                <w:tab w:val="left" w:pos="425"/>
              </w:tabs>
              <w:spacing w:after="0" w:line="240" w:lineRule="auto"/>
              <w:jc w:val="both"/>
              <w:rPr>
                <w:rFonts w:cs="Tahoma"/>
                <w:b/>
                <w:bCs/>
                <w:color w:val="000000"/>
                <w:sz w:val="16"/>
                <w:szCs w:val="16"/>
                <w:lang w:eastAsia="tr-TR"/>
              </w:rPr>
            </w:pPr>
            <w:r>
              <w:rPr>
                <w:rFonts w:cs="Tahoma"/>
                <w:b/>
                <w:bCs/>
                <w:color w:val="000000"/>
                <w:sz w:val="16"/>
                <w:szCs w:val="16"/>
                <w:lang w:eastAsia="tr-TR"/>
              </w:rPr>
              <w:t>Dezavantajlı kesimler</w:t>
            </w:r>
            <w:r w:rsidRPr="004B3DE4">
              <w:rPr>
                <w:rFonts w:cs="Tahoma"/>
                <w:b/>
                <w:bCs/>
                <w:color w:val="000000"/>
                <w:sz w:val="16"/>
                <w:szCs w:val="16"/>
                <w:lang w:eastAsia="tr-TR"/>
              </w:rPr>
              <w:t xml:space="preserve"> için eğitim, sağlık, istihdam ve sosyal güvenlik gibi temel hizmetlere </w:t>
            </w:r>
            <w:r w:rsidRPr="004B3DE4">
              <w:rPr>
                <w:rFonts w:cs="Tahoma"/>
                <w:b/>
                <w:bCs/>
                <w:color w:val="000000"/>
                <w:sz w:val="16"/>
                <w:szCs w:val="16"/>
                <w:lang w:eastAsia="tr-TR"/>
              </w:rPr>
              <w:lastRenderedPageBreak/>
              <w:t>erişilebilirlik artırılacak ve özürlülerin ekonomik ve sosyal hayata katılımlarının artırılması için sosyal ve fiziki çevre şartları iyileştirilmeye devam edilecektir.</w:t>
            </w:r>
          </w:p>
        </w:tc>
      </w:tr>
      <w:tr w:rsidR="00565FD5" w:rsidRPr="004B3DE4" w:rsidTr="00AB62A3">
        <w:trPr>
          <w:trHeight w:val="20"/>
          <w:jc w:val="center"/>
        </w:trPr>
        <w:tc>
          <w:tcPr>
            <w:tcW w:w="1434" w:type="pct"/>
            <w:shd w:val="clear" w:color="auto" w:fill="FFFFFF"/>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lastRenderedPageBreak/>
              <w:t>Özürlülere yönelik okul öncesi danışmanlık ve rehberlik hizmetleri geliştirilecek ve özel eğitim ve rehabilitasyon merkezleri etkin bir biçimde denetlenecektir.</w:t>
            </w:r>
          </w:p>
        </w:tc>
        <w:tc>
          <w:tcPr>
            <w:tcW w:w="1497" w:type="pct"/>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MEB (S), Aile ve Sosyal Politikalar Bakanlığı</w:t>
            </w:r>
          </w:p>
        </w:tc>
        <w:tc>
          <w:tcPr>
            <w:tcW w:w="420" w:type="pct"/>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Özürlülerin okula başlamadan önce almaları gereken eğitim konusunda verilen rehberlik ve danışmanlık hizmetleri geliştirilecektir. Özürlülere hizmet veren özel eğitim ve rehabilitasyon merkezlerinin denetimine ağırlık verilecektir.  </w:t>
            </w:r>
          </w:p>
        </w:tc>
      </w:tr>
      <w:tr w:rsidR="00565FD5" w:rsidRPr="004B3DE4" w:rsidTr="00AB62A3">
        <w:trPr>
          <w:trHeight w:val="20"/>
          <w:jc w:val="center"/>
        </w:trPr>
        <w:tc>
          <w:tcPr>
            <w:tcW w:w="1434" w:type="pct"/>
            <w:shd w:val="clear" w:color="auto" w:fill="FFFFFF"/>
          </w:tcPr>
          <w:p w:rsidR="00565FD5" w:rsidRPr="004225DF" w:rsidRDefault="00565FD5" w:rsidP="00EB1E69">
            <w:pPr>
              <w:numPr>
                <w:ilvl w:val="0"/>
                <w:numId w:val="14"/>
              </w:numPr>
              <w:tabs>
                <w:tab w:val="left" w:pos="425"/>
              </w:tabs>
              <w:spacing w:before="60" w:after="60" w:line="240" w:lineRule="auto"/>
              <w:rPr>
                <w:rFonts w:cs="Tahoma"/>
                <w:color w:val="000000"/>
                <w:sz w:val="16"/>
                <w:szCs w:val="16"/>
                <w:lang w:eastAsia="tr-TR"/>
              </w:rPr>
            </w:pPr>
            <w:r w:rsidRPr="004225DF">
              <w:rPr>
                <w:rFonts w:cs="Tahoma"/>
                <w:color w:val="000000"/>
                <w:sz w:val="16"/>
                <w:szCs w:val="16"/>
                <w:lang w:eastAsia="tr-TR"/>
              </w:rPr>
              <w:t>Özürlülerin ekonomik ve sosyal hayata katılımlarının artırılması için sosyal ve fiziki çevre şartlarının iyileştirilmesine yönelik çalışmalar hızlandırılacaktır.</w:t>
            </w:r>
          </w:p>
        </w:tc>
        <w:tc>
          <w:tcPr>
            <w:tcW w:w="1497" w:type="pct"/>
            <w:shd w:val="clear" w:color="auto" w:fill="FFFFFF"/>
          </w:tcPr>
          <w:p w:rsidR="00565FD5" w:rsidRPr="004225DF" w:rsidRDefault="00565FD5" w:rsidP="00AB62A3">
            <w:pPr>
              <w:tabs>
                <w:tab w:val="center" w:pos="4153"/>
                <w:tab w:val="right" w:pos="8306"/>
              </w:tabs>
              <w:spacing w:before="60" w:after="60"/>
              <w:rPr>
                <w:rFonts w:cs="Tahoma"/>
                <w:color w:val="000000"/>
                <w:sz w:val="16"/>
                <w:szCs w:val="16"/>
                <w:lang w:eastAsia="tr-TR"/>
              </w:rPr>
            </w:pPr>
            <w:r w:rsidRPr="004225DF">
              <w:rPr>
                <w:rFonts w:cs="Tahoma"/>
                <w:color w:val="000000"/>
                <w:sz w:val="16"/>
                <w:szCs w:val="16"/>
                <w:lang w:eastAsia="tr-TR"/>
              </w:rPr>
              <w:t>Aile ve Sosyal Politikalar Bakanlığı (S), Tüm Kamu Kurum ve Kuruluşları, Yerel Yönetimler</w:t>
            </w:r>
          </w:p>
        </w:tc>
        <w:tc>
          <w:tcPr>
            <w:tcW w:w="420" w:type="pct"/>
            <w:shd w:val="clear" w:color="auto" w:fill="FFFFFF"/>
          </w:tcPr>
          <w:p w:rsidR="00565FD5" w:rsidRPr="004225DF" w:rsidRDefault="00565FD5" w:rsidP="00AB62A3">
            <w:pPr>
              <w:tabs>
                <w:tab w:val="center" w:pos="4153"/>
                <w:tab w:val="right" w:pos="8306"/>
              </w:tabs>
              <w:spacing w:before="60" w:after="60"/>
              <w:rPr>
                <w:rFonts w:cs="Tahoma"/>
                <w:color w:val="000000"/>
                <w:sz w:val="16"/>
                <w:szCs w:val="16"/>
                <w:lang w:eastAsia="tr-TR"/>
              </w:rPr>
            </w:pPr>
            <w:r w:rsidRPr="004225DF">
              <w:rPr>
                <w:rFonts w:cs="Tahoma"/>
                <w:color w:val="000000"/>
                <w:sz w:val="16"/>
                <w:szCs w:val="16"/>
                <w:lang w:eastAsia="tr-TR"/>
              </w:rPr>
              <w:t>Aralık Sonu</w:t>
            </w:r>
          </w:p>
        </w:tc>
        <w:tc>
          <w:tcPr>
            <w:tcW w:w="1649" w:type="pct"/>
            <w:shd w:val="clear" w:color="auto" w:fill="FFFFFF"/>
          </w:tcPr>
          <w:p w:rsidR="00565FD5" w:rsidRPr="004225DF" w:rsidRDefault="00565FD5" w:rsidP="00AB62A3">
            <w:pPr>
              <w:spacing w:before="60" w:after="60"/>
              <w:rPr>
                <w:rFonts w:cs="Tahoma"/>
                <w:color w:val="000000"/>
                <w:sz w:val="16"/>
                <w:szCs w:val="16"/>
                <w:lang w:eastAsia="tr-TR"/>
              </w:rPr>
            </w:pPr>
            <w:r w:rsidRPr="004225DF">
              <w:rPr>
                <w:rFonts w:cs="Tahoma"/>
                <w:color w:val="000000"/>
                <w:sz w:val="16"/>
                <w:szCs w:val="16"/>
                <w:lang w:eastAsia="tr-TR"/>
              </w:rPr>
              <w:t xml:space="preserve">Fiziki çevre şartlarının özürlülere uygun hale getirilmesi hususunda 5378 sayılı Kanunda öngörülen yedi yıllık süre, </w:t>
            </w:r>
            <w:r w:rsidRPr="004225DF">
              <w:rPr>
                <w:color w:val="000000"/>
                <w:sz w:val="16"/>
                <w:szCs w:val="16"/>
                <w:lang w:eastAsia="tr-TR"/>
              </w:rPr>
              <w:t xml:space="preserve">6353 sayılı Kanunla sekiz yıla çıkarılmış olmakla birlikte söz konusu sürenin 2013 </w:t>
            </w:r>
            <w:r w:rsidRPr="004225DF">
              <w:rPr>
                <w:rFonts w:cs="Tahoma"/>
                <w:color w:val="000000"/>
                <w:sz w:val="16"/>
                <w:szCs w:val="16"/>
                <w:lang w:eastAsia="tr-TR"/>
              </w:rPr>
              <w:t xml:space="preserve">yılında sona erecek olması nedeniyle bu konudaki çalışmalara hız verilmesi ve oluşturulan Ulaşılabilirlik Eylem Planı kapsamındaki eylemlerin bir an önce hayata geçirilmesi gerekmektedir. </w:t>
            </w:r>
          </w:p>
        </w:tc>
      </w:tr>
      <w:tr w:rsidR="00565FD5" w:rsidRPr="004B3DE4" w:rsidTr="00AB62A3">
        <w:trPr>
          <w:trHeight w:val="20"/>
          <w:jc w:val="center"/>
        </w:trPr>
        <w:tc>
          <w:tcPr>
            <w:tcW w:w="1434" w:type="pct"/>
            <w:shd w:val="clear" w:color="auto" w:fill="FFFFFF"/>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t xml:space="preserve">Kırsal alanda yaşayan yoksul kesimin ekonomik kaynaklarının çeşitlendirilmesi için yerel düzeyde gelir getirici projeler desteklenecektir. </w:t>
            </w:r>
          </w:p>
        </w:tc>
        <w:tc>
          <w:tcPr>
            <w:tcW w:w="1497" w:type="pct"/>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Aile ve Sosyal Politikalar Bakanlığı (S), Maliye Bakanlığı, Gıda, Tarım ve Hayvancılık Bakanlığı, Kalkınma Bakanlığı, SGK, İŞKUR, Yerel Yönetimler, Kalkınma Ajansları </w:t>
            </w:r>
          </w:p>
        </w:tc>
        <w:tc>
          <w:tcPr>
            <w:tcW w:w="420" w:type="pct"/>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Aralık Sonu </w:t>
            </w:r>
          </w:p>
        </w:tc>
        <w:tc>
          <w:tcPr>
            <w:tcW w:w="1649" w:type="pct"/>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Tarımdaki yapısal dönüşüm sonucu ortaya çıkan vasıfsız ve yoksul işgücüne yönelik tarım dışı iş kollarında istihdam imkânlarını artıran programlar uygulanacaktır. Ayrıca, Sosyal Yardım Sisteminin İstihdam ile Bağlantısının Kurulması ve Etkinleştirilmesi Eylem Planı</w:t>
            </w:r>
            <w:r w:rsidRPr="004B3DE4">
              <w:rPr>
                <w:rFonts w:cs="Tahoma"/>
                <w:b/>
                <w:bCs/>
                <w:color w:val="000000"/>
                <w:sz w:val="16"/>
                <w:szCs w:val="16"/>
                <w:lang w:eastAsia="tr-TR"/>
              </w:rPr>
              <w:t xml:space="preserve"> </w:t>
            </w:r>
            <w:r w:rsidRPr="004B3DE4">
              <w:rPr>
                <w:rFonts w:cs="Tahoma"/>
                <w:color w:val="000000"/>
                <w:sz w:val="16"/>
                <w:szCs w:val="16"/>
                <w:lang w:eastAsia="tr-TR"/>
              </w:rPr>
              <w:t>kapsamında bu kesimin mesleki eğitim için İŞKUR’a yönlendirilmesine devam edilecektir. Kendi işini kurmak isteyen yoksul kişilere SYDV’ler aracılığıyla verilen proje destekleri sürdürülecektir. Bu kapsamda hedef kitlede proje destek programlarının bilinirliğini artırmaya yönelik çalışmalar yapılacaktır.</w:t>
            </w:r>
          </w:p>
        </w:tc>
      </w:tr>
      <w:tr w:rsidR="00565FD5" w:rsidRPr="004B3DE4" w:rsidTr="00AB62A3">
        <w:trPr>
          <w:trHeight w:val="20"/>
          <w:jc w:val="center"/>
        </w:trPr>
        <w:tc>
          <w:tcPr>
            <w:tcW w:w="1434" w:type="pct"/>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t xml:space="preserve">Gelir düzeyi düşük ailelerin çocuklarının kreş ve gündüz bakımevi hizmetlerinden yararlanma </w:t>
            </w:r>
            <w:r w:rsidRPr="004B3DE4">
              <w:rPr>
                <w:rFonts w:cs="Tahoma"/>
                <w:color w:val="000000"/>
                <w:sz w:val="16"/>
                <w:szCs w:val="16"/>
                <w:lang w:eastAsia="tr-TR"/>
              </w:rPr>
              <w:lastRenderedPageBreak/>
              <w:t>imkânları geliştirilecektir.</w:t>
            </w:r>
          </w:p>
        </w:tc>
        <w:tc>
          <w:tcPr>
            <w:tcW w:w="1497"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lastRenderedPageBreak/>
              <w:t>Aile ve Sosyal Politikalar Bakanlığı</w:t>
            </w:r>
            <w:r>
              <w:rPr>
                <w:rFonts w:cs="Tahoma"/>
                <w:color w:val="000000"/>
                <w:sz w:val="16"/>
                <w:szCs w:val="16"/>
                <w:lang w:eastAsia="tr-TR"/>
              </w:rPr>
              <w:t xml:space="preserve"> (S)</w:t>
            </w:r>
            <w:r w:rsidRPr="004B3DE4">
              <w:rPr>
                <w:rFonts w:cs="Tahoma"/>
                <w:color w:val="000000"/>
                <w:sz w:val="16"/>
                <w:szCs w:val="16"/>
                <w:lang w:eastAsia="tr-TR"/>
              </w:rPr>
              <w:t xml:space="preserve">, Maliye Bakanlığı, MEB, Kalkınma Bakanlığı, Yerel </w:t>
            </w:r>
            <w:r w:rsidRPr="004B3DE4">
              <w:rPr>
                <w:rFonts w:cs="Tahoma"/>
                <w:color w:val="000000"/>
                <w:sz w:val="16"/>
                <w:szCs w:val="16"/>
                <w:lang w:eastAsia="tr-TR"/>
              </w:rPr>
              <w:lastRenderedPageBreak/>
              <w:t>Yönetimler, STK’lar, Özel Sektör</w:t>
            </w:r>
          </w:p>
        </w:tc>
        <w:tc>
          <w:tcPr>
            <w:tcW w:w="420" w:type="pct"/>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lastRenderedPageBreak/>
              <w:t>Aralık Sonu</w:t>
            </w:r>
          </w:p>
        </w:tc>
        <w:tc>
          <w:tcPr>
            <w:tcW w:w="1649" w:type="pct"/>
          </w:tcPr>
          <w:p w:rsidR="00565FD5" w:rsidRPr="004B3DE4" w:rsidRDefault="00565FD5" w:rsidP="00AB62A3">
            <w:pPr>
              <w:spacing w:before="60" w:after="60"/>
              <w:rPr>
                <w:rFonts w:cs="Tahoma"/>
                <w:sz w:val="16"/>
                <w:szCs w:val="16"/>
                <w:lang w:eastAsia="tr-TR"/>
              </w:rPr>
            </w:pPr>
            <w:r w:rsidRPr="004B3DE4">
              <w:rPr>
                <w:rFonts w:cs="Tahoma"/>
                <w:color w:val="000000"/>
                <w:sz w:val="16"/>
                <w:szCs w:val="16"/>
                <w:lang w:eastAsia="tr-TR"/>
              </w:rPr>
              <w:t xml:space="preserve">Çocukların erken çocukluk döneminde ihtiyaç duydukları gelişim fırsatlarına erişim </w:t>
            </w:r>
            <w:r w:rsidRPr="004B3DE4">
              <w:rPr>
                <w:rFonts w:cs="Tahoma"/>
                <w:color w:val="000000"/>
                <w:sz w:val="16"/>
                <w:szCs w:val="16"/>
                <w:lang w:eastAsia="tr-TR"/>
              </w:rPr>
              <w:lastRenderedPageBreak/>
              <w:t>imkânlarının ve kadınların işgücüne katılımının artmasına katkıda bulunmak üzere gelir düzeyi düşük ailelerin çocuklarının kreş ve gündüz bakımevi hizmetlerinden yararlanmalarına yönelik model geliştirilecektir.</w:t>
            </w:r>
          </w:p>
        </w:tc>
      </w:tr>
      <w:tr w:rsidR="00565FD5" w:rsidRPr="004B3DE4" w:rsidTr="00AB62A3">
        <w:trPr>
          <w:trHeight w:val="20"/>
          <w:jc w:val="center"/>
        </w:trPr>
        <w:tc>
          <w:tcPr>
            <w:tcW w:w="5000" w:type="pct"/>
            <w:gridSpan w:val="4"/>
            <w:shd w:val="clear" w:color="auto" w:fill="FFFFFF"/>
          </w:tcPr>
          <w:p w:rsidR="00565FD5" w:rsidRPr="004B3DE4" w:rsidRDefault="00565FD5" w:rsidP="00EB1E69">
            <w:pPr>
              <w:numPr>
                <w:ilvl w:val="0"/>
                <w:numId w:val="15"/>
              </w:numPr>
              <w:tabs>
                <w:tab w:val="left" w:pos="425"/>
              </w:tabs>
              <w:spacing w:before="60" w:after="60" w:line="240" w:lineRule="auto"/>
              <w:jc w:val="both"/>
              <w:rPr>
                <w:rFonts w:cs="Tahoma"/>
                <w:b/>
                <w:bCs/>
                <w:color w:val="000000"/>
                <w:sz w:val="16"/>
                <w:szCs w:val="16"/>
                <w:lang w:eastAsia="tr-TR"/>
              </w:rPr>
            </w:pPr>
            <w:r w:rsidRPr="004B3DE4">
              <w:rPr>
                <w:rFonts w:cs="Tahoma"/>
                <w:b/>
                <w:bCs/>
                <w:color w:val="000000"/>
                <w:sz w:val="16"/>
                <w:szCs w:val="16"/>
                <w:lang w:eastAsia="tr-TR"/>
              </w:rPr>
              <w:lastRenderedPageBreak/>
              <w:t>Çalışabilecek durumda olan yoksullara yönelik sosyal yardımlar, yoksulluk kültürünün oluşmasını önleyici ve yoksul kesimin üretken duruma geçmesini sağlayıcı nitelikte olacak; çalışamayacak durumda olan yoksullar ise düzenli sosyal yardımlarla desteklenecektir.</w:t>
            </w:r>
          </w:p>
        </w:tc>
      </w:tr>
      <w:tr w:rsidR="00565FD5" w:rsidRPr="004B3DE4" w:rsidTr="00AB62A3">
        <w:trPr>
          <w:trHeight w:val="20"/>
          <w:jc w:val="center"/>
        </w:trPr>
        <w:tc>
          <w:tcPr>
            <w:tcW w:w="1434" w:type="pct"/>
            <w:shd w:val="clear" w:color="auto" w:fill="FFFFFF"/>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t>Çalışabilir durumdaki yoksul kişilerin işgücüne katılımını artırmaya yönelik çalışmalar sürdürülecektir.</w:t>
            </w:r>
          </w:p>
        </w:tc>
        <w:tc>
          <w:tcPr>
            <w:tcW w:w="1497" w:type="pct"/>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İŞKUR (S), Çalışma ve Sosyal Güvenlik Bakanlığı, Aile ve Sosyal Politikalar Bakanlığı, Sağlık Bakanlığı, SGK, KOSGEB, Yerel Yönetimler, STK’lar</w:t>
            </w:r>
          </w:p>
        </w:tc>
        <w:tc>
          <w:tcPr>
            <w:tcW w:w="420" w:type="pct"/>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 xml:space="preserve">Aralık Sonu </w:t>
            </w:r>
          </w:p>
        </w:tc>
        <w:tc>
          <w:tcPr>
            <w:tcW w:w="1649" w:type="pct"/>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Sosyal Yardım Sisteminin İstihdam ile Bağlantısının Kurulması ve Etkinleştirilmesi Eylem Planı</w:t>
            </w:r>
            <w:r w:rsidRPr="004B3DE4">
              <w:rPr>
                <w:rFonts w:cs="Tahoma"/>
                <w:b/>
                <w:bCs/>
                <w:color w:val="000000"/>
                <w:sz w:val="16"/>
                <w:szCs w:val="16"/>
                <w:lang w:eastAsia="tr-TR"/>
              </w:rPr>
              <w:t xml:space="preserve"> </w:t>
            </w:r>
            <w:r w:rsidRPr="004B3DE4">
              <w:rPr>
                <w:rFonts w:cs="Tahoma"/>
                <w:color w:val="000000"/>
                <w:sz w:val="16"/>
                <w:szCs w:val="16"/>
                <w:lang w:eastAsia="tr-TR"/>
              </w:rPr>
              <w:t xml:space="preserve">kapsamında sosyal yardım başvurusunda bulunan veya sosyal yardım alan çalışabilir durumdaki kişilerin İŞKUR’a kayıtlarının yapılmasına devam edilecektir. İŞKUR, kaydı yapılan sosyal yardım yararlanıcıları ile en kısa zamanda temasa geçecek ve bu kesime bunların özelliklerini de dikkate alarak, mesleki eğitim, işe yerleştirme, rehberlik-danışmanlık, toplum yararına çalışma gibi programları sunacaktır. Sosyal yardımlara ilişkin yapılacak yeni yasal düzenlemede çalışabilir durumdaki kişilerin sosyal yardımlardan yararlanabilmesi için İŞKUR’a kayıtları zorunlu hale getirilecektir. </w:t>
            </w:r>
          </w:p>
        </w:tc>
      </w:tr>
      <w:tr w:rsidR="00565FD5" w:rsidRPr="004B3DE4" w:rsidTr="00AB62A3">
        <w:trPr>
          <w:trHeight w:val="20"/>
          <w:jc w:val="center"/>
        </w:trPr>
        <w:tc>
          <w:tcPr>
            <w:tcW w:w="5000" w:type="pct"/>
            <w:gridSpan w:val="4"/>
            <w:shd w:val="clear" w:color="auto" w:fill="FFFFFF"/>
          </w:tcPr>
          <w:p w:rsidR="00565FD5" w:rsidRPr="004B3DE4" w:rsidRDefault="00565FD5" w:rsidP="00EB1E69">
            <w:pPr>
              <w:numPr>
                <w:ilvl w:val="0"/>
                <w:numId w:val="15"/>
              </w:numPr>
              <w:tabs>
                <w:tab w:val="left" w:pos="425"/>
              </w:tabs>
              <w:spacing w:before="60" w:after="60" w:line="240" w:lineRule="auto"/>
              <w:jc w:val="both"/>
              <w:rPr>
                <w:rFonts w:cs="Tahoma"/>
                <w:b/>
                <w:bCs/>
                <w:color w:val="000000"/>
                <w:sz w:val="16"/>
                <w:szCs w:val="16"/>
                <w:lang w:eastAsia="tr-TR"/>
              </w:rPr>
            </w:pPr>
            <w:r w:rsidRPr="004B3DE4">
              <w:rPr>
                <w:rFonts w:cs="Tahoma"/>
                <w:b/>
                <w:bCs/>
                <w:color w:val="000000"/>
                <w:sz w:val="16"/>
                <w:szCs w:val="16"/>
                <w:lang w:eastAsia="tr-TR"/>
              </w:rPr>
              <w:t>Aile eğitim programları ve destek hizmetleri yaygınlaştırılacak,</w:t>
            </w:r>
            <w:r>
              <w:rPr>
                <w:rFonts w:cs="Tahoma"/>
                <w:b/>
                <w:bCs/>
                <w:color w:val="000000"/>
                <w:sz w:val="16"/>
                <w:szCs w:val="16"/>
                <w:lang w:eastAsia="tr-TR"/>
              </w:rPr>
              <w:t xml:space="preserve"> kadınlar ekonomik, sosyal ve kültürel alanlarda güçlendirilecek,</w:t>
            </w:r>
            <w:r w:rsidRPr="004B3DE4">
              <w:rPr>
                <w:rFonts w:cs="Tahoma"/>
                <w:b/>
                <w:bCs/>
                <w:color w:val="000000"/>
                <w:sz w:val="16"/>
                <w:szCs w:val="16"/>
                <w:lang w:eastAsia="tr-TR"/>
              </w:rPr>
              <w:t xml:space="preserve"> kadınlara ve çocuklara yönelik şiddete karşı daha yoğun mücadele edilecek, </w:t>
            </w:r>
            <w:r>
              <w:rPr>
                <w:rFonts w:cs="Tahoma"/>
                <w:b/>
                <w:bCs/>
                <w:color w:val="000000"/>
                <w:sz w:val="16"/>
                <w:szCs w:val="16"/>
                <w:lang w:eastAsia="tr-TR"/>
              </w:rPr>
              <w:t>dezavantajlı durumdaki</w:t>
            </w:r>
            <w:r w:rsidRPr="004B3DE4">
              <w:rPr>
                <w:rFonts w:cs="Tahoma"/>
                <w:bCs/>
                <w:szCs w:val="23"/>
              </w:rPr>
              <w:t xml:space="preserve"> </w:t>
            </w:r>
            <w:r w:rsidRPr="004B3DE4">
              <w:rPr>
                <w:rFonts w:cs="Tahoma"/>
                <w:b/>
                <w:bCs/>
                <w:color w:val="000000"/>
                <w:sz w:val="16"/>
                <w:szCs w:val="16"/>
                <w:lang w:eastAsia="tr-TR"/>
              </w:rPr>
              <w:t>çocuklara yönelik önleyici, koruyucu ve rehabilite edici hizmetlerin kalitesi artırılacaktır.</w:t>
            </w:r>
            <w:r>
              <w:rPr>
                <w:rFonts w:cs="Tahoma"/>
                <w:b/>
                <w:bCs/>
                <w:color w:val="000000"/>
                <w:sz w:val="16"/>
                <w:szCs w:val="16"/>
                <w:lang w:eastAsia="tr-TR"/>
              </w:rPr>
              <w:t xml:space="preserve"> Sosyal yardım ve hizmet alanında ailenin ihtiyaçlarına bütünsel olarak yaklaşan bir sistem kurulacaktır.</w:t>
            </w:r>
            <w:r w:rsidRPr="004B3DE4">
              <w:rPr>
                <w:rFonts w:cs="Tahoma"/>
                <w:b/>
                <w:bCs/>
                <w:color w:val="000000"/>
                <w:sz w:val="16"/>
                <w:szCs w:val="16"/>
                <w:lang w:eastAsia="tr-TR"/>
              </w:rPr>
              <w:t xml:space="preserve">   </w:t>
            </w:r>
          </w:p>
        </w:tc>
      </w:tr>
      <w:tr w:rsidR="00565FD5" w:rsidRPr="004B3DE4" w:rsidTr="00AB62A3">
        <w:trPr>
          <w:trHeight w:val="20"/>
          <w:jc w:val="center"/>
        </w:trPr>
        <w:tc>
          <w:tcPr>
            <w:tcW w:w="1434" w:type="pct"/>
            <w:shd w:val="clear" w:color="auto" w:fill="FFFFFF"/>
          </w:tcPr>
          <w:p w:rsidR="00565FD5" w:rsidRPr="004B3DE4" w:rsidRDefault="00565FD5" w:rsidP="00EB1E69">
            <w:pPr>
              <w:numPr>
                <w:ilvl w:val="0"/>
                <w:numId w:val="14"/>
              </w:numPr>
              <w:tabs>
                <w:tab w:val="left" w:pos="708"/>
              </w:tabs>
              <w:autoSpaceDE w:val="0"/>
              <w:autoSpaceDN w:val="0"/>
              <w:adjustRightInd w:val="0"/>
              <w:spacing w:before="60" w:after="60" w:line="240" w:lineRule="auto"/>
              <w:rPr>
                <w:rFonts w:cs="Tahoma"/>
                <w:color w:val="000000"/>
                <w:sz w:val="16"/>
                <w:szCs w:val="16"/>
                <w:lang w:eastAsia="tr-TR"/>
              </w:rPr>
            </w:pPr>
            <w:r w:rsidRPr="004B3DE4">
              <w:rPr>
                <w:rFonts w:cs="Tahoma"/>
                <w:sz w:val="16"/>
                <w:szCs w:val="16"/>
              </w:rPr>
              <w:t>Kadınların, toplumsal yaşamdaki olanaklara erişimlerinin sağlanması için gerekli tedbirler alınacaktır.</w:t>
            </w:r>
          </w:p>
        </w:tc>
        <w:tc>
          <w:tcPr>
            <w:tcW w:w="1497" w:type="pct"/>
            <w:shd w:val="clear" w:color="auto" w:fill="FFFFFF"/>
          </w:tcPr>
          <w:p w:rsidR="00565FD5" w:rsidRPr="004B3DE4" w:rsidRDefault="00565FD5" w:rsidP="00AB62A3">
            <w:pPr>
              <w:spacing w:before="60"/>
              <w:rPr>
                <w:rFonts w:cs="Tahoma"/>
                <w:sz w:val="16"/>
                <w:szCs w:val="16"/>
              </w:rPr>
            </w:pPr>
            <w:r w:rsidRPr="004B3DE4">
              <w:rPr>
                <w:rFonts w:cs="Tahoma"/>
                <w:color w:val="000000"/>
                <w:sz w:val="16"/>
                <w:szCs w:val="16"/>
                <w:lang w:eastAsia="tr-TR"/>
              </w:rPr>
              <w:t xml:space="preserve">Aile ve Sosyal Politikalar Bakanlığı (S), </w:t>
            </w:r>
            <w:r w:rsidRPr="004B3DE4">
              <w:rPr>
                <w:rFonts w:cs="Tahoma"/>
                <w:sz w:val="16"/>
                <w:szCs w:val="16"/>
              </w:rPr>
              <w:t>Kamu Kurum ve Kuruluşları, Yerel Yönetimler, Üniversiteler,</w:t>
            </w:r>
          </w:p>
          <w:p w:rsidR="00565FD5" w:rsidRPr="004B3DE4" w:rsidRDefault="00565FD5" w:rsidP="00AB62A3">
            <w:pPr>
              <w:rPr>
                <w:rFonts w:cs="Tahoma"/>
                <w:color w:val="000000"/>
                <w:sz w:val="16"/>
                <w:szCs w:val="16"/>
                <w:lang w:eastAsia="tr-TR"/>
              </w:rPr>
            </w:pPr>
            <w:r w:rsidRPr="004B3DE4">
              <w:rPr>
                <w:rFonts w:cs="Tahoma"/>
                <w:sz w:val="16"/>
                <w:szCs w:val="16"/>
              </w:rPr>
              <w:t>STK’lar</w:t>
            </w:r>
          </w:p>
        </w:tc>
        <w:tc>
          <w:tcPr>
            <w:tcW w:w="420" w:type="pct"/>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565FD5" w:rsidRPr="004B3DE4" w:rsidRDefault="00565FD5" w:rsidP="00AB62A3">
            <w:pPr>
              <w:tabs>
                <w:tab w:val="left" w:pos="708"/>
              </w:tabs>
              <w:autoSpaceDE w:val="0"/>
              <w:autoSpaceDN w:val="0"/>
              <w:adjustRightInd w:val="0"/>
              <w:spacing w:before="60" w:after="60"/>
              <w:rPr>
                <w:rFonts w:cs="Tahoma"/>
                <w:color w:val="000000"/>
                <w:sz w:val="16"/>
                <w:szCs w:val="16"/>
                <w:lang w:eastAsia="tr-TR"/>
              </w:rPr>
            </w:pPr>
            <w:r w:rsidRPr="004B3DE4">
              <w:rPr>
                <w:rFonts w:cs="Tahoma"/>
                <w:sz w:val="16"/>
                <w:szCs w:val="16"/>
              </w:rPr>
              <w:t>Kadınların ekonomik ve sosyal yaşamdaki fırsatlardan</w:t>
            </w:r>
            <w:r>
              <w:rPr>
                <w:rFonts w:cs="Tahoma"/>
                <w:sz w:val="16"/>
                <w:szCs w:val="16"/>
              </w:rPr>
              <w:t xml:space="preserve"> </w:t>
            </w:r>
            <w:r w:rsidRPr="004B3DE4">
              <w:rPr>
                <w:rFonts w:cs="Tahoma"/>
                <w:sz w:val="16"/>
                <w:szCs w:val="16"/>
              </w:rPr>
              <w:t xml:space="preserve">eşit olarak yararlanabilmesi amacıyla, </w:t>
            </w:r>
            <w:r w:rsidRPr="004B3DE4">
              <w:rPr>
                <w:rFonts w:cs="Tahoma"/>
                <w:color w:val="000000"/>
                <w:sz w:val="16"/>
                <w:szCs w:val="16"/>
                <w:lang w:eastAsia="tr-TR"/>
              </w:rPr>
              <w:t xml:space="preserve">politika yapıcılara, karar vericilere, hizmet sunanlara ve topluma yönelik olarak eğitim programları ile eğitim materyalleri geliştirilecektir. İlgili </w:t>
            </w:r>
            <w:r w:rsidRPr="004B3DE4">
              <w:rPr>
                <w:rFonts w:cs="Tahoma"/>
                <w:color w:val="000000"/>
                <w:sz w:val="16"/>
                <w:szCs w:val="16"/>
                <w:lang w:eastAsia="tr-TR"/>
              </w:rPr>
              <w:lastRenderedPageBreak/>
              <w:t xml:space="preserve">materyaller kullanılarak seminerler düzenlenecek ve kamu politikalarına temel oluşturacak çalışmalar sürdürülecektir.  </w:t>
            </w:r>
          </w:p>
        </w:tc>
      </w:tr>
      <w:tr w:rsidR="00565FD5" w:rsidRPr="004B3DE4" w:rsidTr="00AB62A3">
        <w:trPr>
          <w:trHeight w:val="1338"/>
          <w:jc w:val="center"/>
        </w:trPr>
        <w:tc>
          <w:tcPr>
            <w:tcW w:w="1434" w:type="pct"/>
            <w:shd w:val="clear" w:color="auto" w:fill="FFFFFF"/>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lastRenderedPageBreak/>
              <w:t>Toplumsal cinsiyet eşitliğinin sağlanmasıyla kadının ve aile bireylerinin şiddetten korunmasına yönelik çalışmalar sürdürülecektir.</w:t>
            </w:r>
          </w:p>
        </w:tc>
        <w:tc>
          <w:tcPr>
            <w:tcW w:w="1497" w:type="pct"/>
            <w:shd w:val="clear" w:color="auto" w:fill="FFFFFF"/>
          </w:tcPr>
          <w:p w:rsidR="00565FD5" w:rsidRPr="004B3DE4" w:rsidRDefault="00565FD5" w:rsidP="00AB62A3">
            <w:pPr>
              <w:tabs>
                <w:tab w:val="left" w:pos="708"/>
              </w:tabs>
              <w:autoSpaceDE w:val="0"/>
              <w:autoSpaceDN w:val="0"/>
              <w:adjustRightInd w:val="0"/>
              <w:spacing w:before="60"/>
              <w:rPr>
                <w:rFonts w:cs="Tahoma"/>
                <w:sz w:val="16"/>
                <w:szCs w:val="16"/>
              </w:rPr>
            </w:pPr>
            <w:r w:rsidRPr="004B3DE4">
              <w:rPr>
                <w:rFonts w:cs="Tahoma"/>
                <w:color w:val="000000"/>
                <w:sz w:val="16"/>
                <w:szCs w:val="16"/>
                <w:lang w:eastAsia="tr-TR"/>
              </w:rPr>
              <w:t xml:space="preserve">Aile ve Sosyal Politikalar Bakanlığı (S), </w:t>
            </w:r>
            <w:r w:rsidRPr="004B3DE4">
              <w:rPr>
                <w:rFonts w:cs="Tahoma"/>
                <w:sz w:val="16"/>
                <w:szCs w:val="16"/>
              </w:rPr>
              <w:t>Kamu Kurum ve Kuruluşları, Yerel Yönetimler, Üniversiteler,</w:t>
            </w:r>
          </w:p>
          <w:p w:rsidR="00565FD5" w:rsidRPr="004B3DE4" w:rsidRDefault="00565FD5" w:rsidP="00AB62A3">
            <w:pPr>
              <w:rPr>
                <w:rFonts w:cs="Tahoma"/>
                <w:color w:val="000000"/>
                <w:sz w:val="16"/>
                <w:szCs w:val="16"/>
                <w:lang w:eastAsia="tr-TR"/>
              </w:rPr>
            </w:pPr>
            <w:r w:rsidRPr="004B3DE4">
              <w:rPr>
                <w:rFonts w:cs="Tahoma"/>
                <w:sz w:val="16"/>
                <w:szCs w:val="16"/>
              </w:rPr>
              <w:t>STK’lar</w:t>
            </w:r>
          </w:p>
        </w:tc>
        <w:tc>
          <w:tcPr>
            <w:tcW w:w="420" w:type="pct"/>
            <w:shd w:val="clear" w:color="auto" w:fill="FFFFFF"/>
          </w:tcPr>
          <w:p w:rsidR="00565FD5" w:rsidRPr="004B3DE4" w:rsidRDefault="00565FD5" w:rsidP="00AB62A3">
            <w:pPr>
              <w:spacing w:before="60" w:after="60"/>
              <w:rPr>
                <w:rFonts w:cs="Tahoma"/>
                <w:color w:val="000000"/>
                <w:sz w:val="16"/>
                <w:szCs w:val="16"/>
                <w:lang w:eastAsia="tr-TR"/>
              </w:rPr>
            </w:pPr>
            <w:r>
              <w:rPr>
                <w:rFonts w:cs="Tahoma"/>
                <w:color w:val="000000"/>
                <w:sz w:val="16"/>
                <w:szCs w:val="16"/>
                <w:lang w:eastAsia="tr-TR"/>
              </w:rPr>
              <w:t>Aralık Sonu</w:t>
            </w:r>
          </w:p>
        </w:tc>
        <w:tc>
          <w:tcPr>
            <w:tcW w:w="1649" w:type="pct"/>
            <w:shd w:val="clear" w:color="auto" w:fill="FFFFFF"/>
          </w:tcPr>
          <w:p w:rsidR="00565FD5" w:rsidRPr="004B3DE4" w:rsidRDefault="00565FD5" w:rsidP="00AB62A3">
            <w:pPr>
              <w:tabs>
                <w:tab w:val="left" w:pos="708"/>
              </w:tabs>
              <w:autoSpaceDE w:val="0"/>
              <w:autoSpaceDN w:val="0"/>
              <w:adjustRightInd w:val="0"/>
              <w:spacing w:before="60" w:after="60"/>
              <w:rPr>
                <w:rFonts w:cs="Tahoma"/>
                <w:color w:val="000000"/>
                <w:sz w:val="16"/>
                <w:szCs w:val="16"/>
                <w:lang w:eastAsia="tr-TR"/>
              </w:rPr>
            </w:pPr>
            <w:r w:rsidRPr="004B3DE4">
              <w:rPr>
                <w:rFonts w:cs="Tahoma"/>
                <w:color w:val="000000"/>
                <w:sz w:val="16"/>
                <w:szCs w:val="16"/>
                <w:lang w:eastAsia="tr-TR"/>
              </w:rPr>
              <w:t xml:space="preserve">Toplumsal cinsiyet eşitliği konusunda duyarlılığı artırmak amacıyla hazırlanan Toplumsal Cinsiyet Eşitliği Eylem Planının güncellenmesine yönelik çalışmalar tamamlanacaktır. Kadına Yönelik Aile İçi Şiddetle Mücadele Ulusal Eylem Planının (2012-2015) etkin bir şekilde uygulanmasına </w:t>
            </w:r>
            <w:r w:rsidRPr="004B3DE4">
              <w:rPr>
                <w:rFonts w:cs="Tahoma"/>
                <w:sz w:val="16"/>
                <w:szCs w:val="16"/>
              </w:rPr>
              <w:t>yönelik olarak</w:t>
            </w:r>
            <w:r w:rsidRPr="004B3DE4">
              <w:rPr>
                <w:rFonts w:cs="Tahoma"/>
                <w:color w:val="000000"/>
                <w:sz w:val="16"/>
                <w:szCs w:val="16"/>
                <w:lang w:eastAsia="tr-TR"/>
              </w:rPr>
              <w:t xml:space="preserve"> bilinçlendirme çalışmaları yapılacak, ilgili kuruluşların kapasiteleri güçlendirilecek ve hizmet sunum modelleri yaygınlaştırılacaktır. Aile ve Sosyal Politikalar Bakanlığı kadınlara yönelik aile içi şiddetin sebep ve sonuçları hakkında yapılan alan araştırmasından elde edilen sonuçların ilgili kurumların plan ve programlarına yansıtılmasına yönelik çalışmalar yapacaktır. Ayrıca, bu alandaki </w:t>
            </w:r>
            <w:r w:rsidRPr="004B3DE4">
              <w:rPr>
                <w:rFonts w:cs="Tahoma"/>
                <w:sz w:val="16"/>
                <w:szCs w:val="16"/>
              </w:rPr>
              <w:t>ikincil mevzuat çalışmaları tamamlanacaktır.</w:t>
            </w:r>
          </w:p>
        </w:tc>
      </w:tr>
      <w:tr w:rsidR="00565FD5" w:rsidRPr="004B3DE4" w:rsidTr="00AB62A3">
        <w:trPr>
          <w:trHeight w:val="20"/>
          <w:jc w:val="center"/>
        </w:trPr>
        <w:tc>
          <w:tcPr>
            <w:tcW w:w="1434" w:type="pct"/>
            <w:shd w:val="clear" w:color="auto" w:fill="FFFFFF"/>
          </w:tcPr>
          <w:p w:rsidR="00565FD5" w:rsidRPr="004B3DE4" w:rsidRDefault="00565FD5" w:rsidP="00EB1E69">
            <w:pPr>
              <w:numPr>
                <w:ilvl w:val="0"/>
                <w:numId w:val="14"/>
              </w:numPr>
              <w:tabs>
                <w:tab w:val="left" w:pos="425"/>
              </w:tabs>
              <w:spacing w:before="20" w:after="20" w:line="240" w:lineRule="auto"/>
              <w:rPr>
                <w:rFonts w:cs="Tahoma"/>
                <w:color w:val="000000"/>
                <w:sz w:val="16"/>
                <w:szCs w:val="16"/>
                <w:lang w:eastAsia="tr-TR"/>
              </w:rPr>
            </w:pPr>
            <w:r w:rsidRPr="004B3DE4">
              <w:rPr>
                <w:rFonts w:cs="Tahoma"/>
                <w:color w:val="000000"/>
                <w:sz w:val="16"/>
                <w:szCs w:val="16"/>
                <w:lang w:eastAsia="tr-TR"/>
              </w:rPr>
              <w:t>Ailenin bütünlüğünün korunması, bilinçlendirilmesi ve desteklenmesine yönelik olarak hazırlanan aile destek hizmetleri ve aile eğitimi çalışmalarının etkinliği artırılacaktır.</w:t>
            </w:r>
          </w:p>
        </w:tc>
        <w:tc>
          <w:tcPr>
            <w:tcW w:w="1497" w:type="pct"/>
            <w:shd w:val="clear" w:color="auto" w:fill="FFFFFF"/>
          </w:tcPr>
          <w:p w:rsidR="00565FD5" w:rsidRPr="004B3DE4" w:rsidRDefault="00565FD5" w:rsidP="00AB62A3">
            <w:pPr>
              <w:tabs>
                <w:tab w:val="left" w:pos="708"/>
              </w:tabs>
              <w:autoSpaceDE w:val="0"/>
              <w:autoSpaceDN w:val="0"/>
              <w:adjustRightInd w:val="0"/>
              <w:spacing w:before="20" w:after="20"/>
              <w:rPr>
                <w:rFonts w:cs="Tahoma"/>
                <w:color w:val="000000"/>
                <w:sz w:val="16"/>
                <w:szCs w:val="16"/>
                <w:lang w:eastAsia="tr-TR"/>
              </w:rPr>
            </w:pPr>
            <w:r w:rsidRPr="004B3DE4">
              <w:rPr>
                <w:rFonts w:cs="Tahoma"/>
                <w:color w:val="000000"/>
                <w:sz w:val="16"/>
                <w:szCs w:val="16"/>
                <w:lang w:eastAsia="tr-TR"/>
              </w:rPr>
              <w:t xml:space="preserve">Aile ve Sosyal Politikalar Bakanlığı (S), </w:t>
            </w:r>
            <w:r w:rsidRPr="004B3DE4">
              <w:rPr>
                <w:rFonts w:cs="Tahoma"/>
                <w:sz w:val="16"/>
                <w:szCs w:val="16"/>
              </w:rPr>
              <w:t>Milli Eğitim Bakanlığı, Kalkınma Bakanlığı, Sağlık Bakanlığı, Diyanet İşleri Başkanlığı, İçişleri Bakanlığı, Adalet Bakanlığı, Genel</w:t>
            </w:r>
            <w:r>
              <w:rPr>
                <w:rFonts w:cs="Tahoma"/>
                <w:sz w:val="16"/>
                <w:szCs w:val="16"/>
              </w:rPr>
              <w:t>k</w:t>
            </w:r>
            <w:r w:rsidRPr="004B3DE4">
              <w:rPr>
                <w:rFonts w:cs="Tahoma"/>
                <w:sz w:val="16"/>
                <w:szCs w:val="16"/>
              </w:rPr>
              <w:t>urmay Başkanlığı</w:t>
            </w:r>
          </w:p>
        </w:tc>
        <w:tc>
          <w:tcPr>
            <w:tcW w:w="420" w:type="pct"/>
            <w:shd w:val="clear" w:color="auto" w:fill="FFFFFF"/>
          </w:tcPr>
          <w:p w:rsidR="00565FD5" w:rsidRPr="004B3DE4" w:rsidRDefault="00565FD5" w:rsidP="00AB62A3">
            <w:pPr>
              <w:spacing w:before="20" w:after="20"/>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565FD5" w:rsidRPr="004B3DE4" w:rsidRDefault="00565FD5" w:rsidP="00AB62A3">
            <w:pPr>
              <w:spacing w:before="20" w:after="20"/>
              <w:rPr>
                <w:rFonts w:cs="Tahoma"/>
                <w:color w:val="000000"/>
                <w:sz w:val="16"/>
                <w:szCs w:val="16"/>
                <w:lang w:eastAsia="tr-TR"/>
              </w:rPr>
            </w:pPr>
            <w:r w:rsidRPr="004B3DE4">
              <w:rPr>
                <w:rFonts w:cs="Tahoma"/>
                <w:color w:val="000000"/>
                <w:sz w:val="16"/>
                <w:szCs w:val="16"/>
                <w:lang w:eastAsia="tr-TR"/>
              </w:rPr>
              <w:t>Aile kurumunun güçlendirilmesi amacıyla, aile eğitimi müfredatı geliştirilmiş olup, alana yönelik eğitim çalışmalarına öncelik verilecektir. Halihazırda bu eğitimi veren kurumların akreditasyonuna yönelik çalışmalar yapılacaktır. Aile bireylerinin korunması ve bilinçlendirilmesi amacıyla aile destek hizmetlerinin yaygınlaştırılması ve kalitesinin artırılması sağlanacaktır.</w:t>
            </w:r>
          </w:p>
        </w:tc>
      </w:tr>
      <w:tr w:rsidR="00565FD5" w:rsidRPr="004B3DE4" w:rsidTr="00AB62A3">
        <w:trPr>
          <w:trHeight w:val="20"/>
          <w:jc w:val="center"/>
        </w:trPr>
        <w:tc>
          <w:tcPr>
            <w:tcW w:w="1434" w:type="pct"/>
            <w:shd w:val="clear" w:color="auto" w:fill="FFFFFF"/>
          </w:tcPr>
          <w:p w:rsidR="00565FD5" w:rsidRPr="004B3DE4" w:rsidRDefault="00565FD5" w:rsidP="00EB1E69">
            <w:pPr>
              <w:numPr>
                <w:ilvl w:val="0"/>
                <w:numId w:val="14"/>
              </w:numPr>
              <w:tabs>
                <w:tab w:val="left" w:pos="708"/>
              </w:tabs>
              <w:autoSpaceDE w:val="0"/>
              <w:autoSpaceDN w:val="0"/>
              <w:adjustRightInd w:val="0"/>
              <w:spacing w:before="20" w:after="20" w:line="240" w:lineRule="auto"/>
              <w:rPr>
                <w:rFonts w:cs="Tahoma"/>
                <w:color w:val="000000"/>
                <w:sz w:val="16"/>
                <w:szCs w:val="16"/>
                <w:lang w:eastAsia="tr-TR"/>
              </w:rPr>
            </w:pPr>
            <w:r w:rsidRPr="004B3DE4">
              <w:rPr>
                <w:rFonts w:cs="Tahoma"/>
                <w:sz w:val="16"/>
                <w:szCs w:val="16"/>
              </w:rPr>
              <w:t>Evlilik öncesi eğitim, aile danışmanlığı ve aile eğitimi hizmet standartları oluşturulacaktır.</w:t>
            </w:r>
          </w:p>
        </w:tc>
        <w:tc>
          <w:tcPr>
            <w:tcW w:w="1497" w:type="pct"/>
            <w:shd w:val="clear" w:color="auto" w:fill="FFFFFF"/>
          </w:tcPr>
          <w:p w:rsidR="00565FD5" w:rsidRPr="004B3DE4" w:rsidRDefault="00565FD5" w:rsidP="00AB62A3">
            <w:pPr>
              <w:tabs>
                <w:tab w:val="left" w:pos="708"/>
              </w:tabs>
              <w:autoSpaceDE w:val="0"/>
              <w:autoSpaceDN w:val="0"/>
              <w:adjustRightInd w:val="0"/>
              <w:spacing w:before="20" w:after="20"/>
              <w:rPr>
                <w:rFonts w:cs="Tahoma"/>
                <w:color w:val="000000"/>
                <w:sz w:val="16"/>
                <w:szCs w:val="16"/>
                <w:lang w:eastAsia="tr-TR"/>
              </w:rPr>
            </w:pPr>
            <w:r w:rsidRPr="004B3DE4">
              <w:rPr>
                <w:rFonts w:cs="Tahoma"/>
                <w:color w:val="000000"/>
                <w:sz w:val="16"/>
                <w:szCs w:val="16"/>
                <w:lang w:eastAsia="tr-TR"/>
              </w:rPr>
              <w:t xml:space="preserve">Aile ve Sosyal Politikalar Bakanlığı (S), </w:t>
            </w:r>
            <w:r w:rsidRPr="004B3DE4">
              <w:rPr>
                <w:rFonts w:cs="Tahoma"/>
                <w:sz w:val="16"/>
                <w:szCs w:val="16"/>
              </w:rPr>
              <w:t>Milli Eğitim Bakanlığı, İçişleri Bakanlığı, Adalet Bakanlığı, Diyanet İşleri Başkanlığı</w:t>
            </w:r>
          </w:p>
        </w:tc>
        <w:tc>
          <w:tcPr>
            <w:tcW w:w="420" w:type="pct"/>
            <w:shd w:val="clear" w:color="auto" w:fill="FFFFFF"/>
          </w:tcPr>
          <w:p w:rsidR="00565FD5" w:rsidRPr="004B3DE4" w:rsidRDefault="00565FD5" w:rsidP="00AB62A3">
            <w:pPr>
              <w:spacing w:before="20" w:after="20"/>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565FD5" w:rsidRPr="004B3DE4" w:rsidRDefault="00565FD5" w:rsidP="00AB62A3">
            <w:pPr>
              <w:tabs>
                <w:tab w:val="left" w:pos="708"/>
              </w:tabs>
              <w:autoSpaceDE w:val="0"/>
              <w:autoSpaceDN w:val="0"/>
              <w:adjustRightInd w:val="0"/>
              <w:spacing w:before="20" w:after="20"/>
              <w:rPr>
                <w:rFonts w:cs="Tahoma"/>
                <w:sz w:val="16"/>
                <w:szCs w:val="16"/>
              </w:rPr>
            </w:pPr>
            <w:r w:rsidRPr="004B3DE4">
              <w:rPr>
                <w:rFonts w:cs="Tahoma"/>
                <w:sz w:val="16"/>
                <w:szCs w:val="16"/>
              </w:rPr>
              <w:t xml:space="preserve">Ülkemizdeki mevcut evlilik öncesi eğitim, aile danışmanlığı ve aile eğitimi hizmetlerinin belirli standartlara ulaştırılması için temel kriterler ve çalışma esasları </w:t>
            </w:r>
            <w:r w:rsidRPr="004B3DE4">
              <w:rPr>
                <w:rFonts w:cs="Tahoma"/>
                <w:sz w:val="16"/>
                <w:szCs w:val="16"/>
              </w:rPr>
              <w:lastRenderedPageBreak/>
              <w:t>belirlenecek ve bu esaslara uyulması sağlanacaktır.</w:t>
            </w:r>
          </w:p>
          <w:p w:rsidR="00565FD5" w:rsidRPr="004B3DE4" w:rsidRDefault="00565FD5" w:rsidP="00AB62A3">
            <w:pPr>
              <w:tabs>
                <w:tab w:val="left" w:pos="708"/>
              </w:tabs>
              <w:autoSpaceDE w:val="0"/>
              <w:autoSpaceDN w:val="0"/>
              <w:adjustRightInd w:val="0"/>
              <w:spacing w:before="20" w:after="20"/>
              <w:rPr>
                <w:rFonts w:cs="Tahoma"/>
                <w:color w:val="000000"/>
                <w:sz w:val="16"/>
                <w:szCs w:val="16"/>
                <w:lang w:eastAsia="tr-TR"/>
              </w:rPr>
            </w:pPr>
            <w:r w:rsidRPr="004B3DE4">
              <w:rPr>
                <w:rFonts w:cs="Tahoma"/>
                <w:sz w:val="16"/>
                <w:szCs w:val="16"/>
              </w:rPr>
              <w:t>Geliştirilen modüllerin yaygınlaştırılması çalışmaları sürdürülecektir.</w:t>
            </w:r>
          </w:p>
        </w:tc>
      </w:tr>
      <w:tr w:rsidR="00565FD5" w:rsidRPr="004B3DE4" w:rsidTr="00AB62A3">
        <w:trPr>
          <w:trHeight w:val="275"/>
          <w:jc w:val="center"/>
        </w:trPr>
        <w:tc>
          <w:tcPr>
            <w:tcW w:w="1434" w:type="pct"/>
            <w:shd w:val="clear" w:color="auto" w:fill="FFFFFF"/>
          </w:tcPr>
          <w:p w:rsidR="00565FD5" w:rsidRPr="004B3DE4" w:rsidRDefault="00565FD5" w:rsidP="00EB1E69">
            <w:pPr>
              <w:numPr>
                <w:ilvl w:val="0"/>
                <w:numId w:val="14"/>
              </w:numPr>
              <w:tabs>
                <w:tab w:val="left" w:pos="425"/>
              </w:tabs>
              <w:spacing w:before="20" w:after="20" w:line="240" w:lineRule="auto"/>
              <w:rPr>
                <w:rFonts w:cs="Tahoma"/>
                <w:color w:val="000000"/>
                <w:sz w:val="16"/>
                <w:szCs w:val="16"/>
                <w:lang w:eastAsia="tr-TR"/>
              </w:rPr>
            </w:pPr>
            <w:r w:rsidRPr="004B3DE4">
              <w:rPr>
                <w:rFonts w:cs="Tahoma"/>
                <w:color w:val="000000"/>
                <w:sz w:val="16"/>
                <w:szCs w:val="16"/>
                <w:lang w:eastAsia="tr-TR"/>
              </w:rPr>
              <w:lastRenderedPageBreak/>
              <w:t>Çocuk koruma sistemi daha etkin hale getirilecek ve bu alandaki kurumsal kapasite artırılacaktır.</w:t>
            </w:r>
          </w:p>
        </w:tc>
        <w:tc>
          <w:tcPr>
            <w:tcW w:w="1497" w:type="pct"/>
            <w:shd w:val="clear" w:color="auto" w:fill="FFFFFF"/>
          </w:tcPr>
          <w:p w:rsidR="00565FD5" w:rsidRPr="004B3DE4" w:rsidRDefault="00565FD5" w:rsidP="00AB62A3">
            <w:pPr>
              <w:spacing w:before="20" w:after="20"/>
              <w:rPr>
                <w:rFonts w:cs="Tahoma"/>
                <w:color w:val="000000"/>
                <w:sz w:val="16"/>
                <w:szCs w:val="16"/>
                <w:lang w:eastAsia="tr-TR"/>
              </w:rPr>
            </w:pPr>
            <w:r w:rsidRPr="004B3DE4">
              <w:rPr>
                <w:rFonts w:cs="Tahoma"/>
                <w:color w:val="000000"/>
                <w:sz w:val="16"/>
                <w:szCs w:val="16"/>
                <w:lang w:eastAsia="tr-TR"/>
              </w:rPr>
              <w:t xml:space="preserve">Adalet Bakanlığı (S), Aile ve Sosyal Politikalar Bakanlığı, Kalkınma Bakanlığı, MEB, Sağlık Bakanlığı, İçişleri Bakanlığı, Çalışma ve Sosyal Güvenlik Bakanlığı, STK’lar, Yerel Yönetimler </w:t>
            </w:r>
          </w:p>
        </w:tc>
        <w:tc>
          <w:tcPr>
            <w:tcW w:w="420" w:type="pct"/>
            <w:shd w:val="clear" w:color="auto" w:fill="FFFFFF"/>
          </w:tcPr>
          <w:p w:rsidR="00565FD5" w:rsidRPr="004B3DE4" w:rsidRDefault="00565FD5" w:rsidP="00AB62A3">
            <w:pPr>
              <w:spacing w:before="20" w:after="20"/>
              <w:rPr>
                <w:rFonts w:cs="Tahoma"/>
                <w:color w:val="000000"/>
                <w:sz w:val="16"/>
                <w:szCs w:val="16"/>
                <w:lang w:eastAsia="tr-TR"/>
              </w:rPr>
            </w:pPr>
            <w:r w:rsidRPr="004B3DE4">
              <w:rPr>
                <w:rFonts w:cs="Tahoma"/>
                <w:color w:val="000000"/>
                <w:sz w:val="16"/>
                <w:szCs w:val="16"/>
                <w:lang w:eastAsia="tr-TR"/>
              </w:rPr>
              <w:t xml:space="preserve">Aralık Sonu </w:t>
            </w:r>
          </w:p>
        </w:tc>
        <w:tc>
          <w:tcPr>
            <w:tcW w:w="1649" w:type="pct"/>
            <w:shd w:val="clear" w:color="auto" w:fill="FFFFFF"/>
          </w:tcPr>
          <w:p w:rsidR="00565FD5" w:rsidRPr="004B3DE4" w:rsidRDefault="00565FD5" w:rsidP="00AB62A3">
            <w:pPr>
              <w:autoSpaceDE w:val="0"/>
              <w:autoSpaceDN w:val="0"/>
              <w:spacing w:before="20" w:after="20"/>
              <w:rPr>
                <w:rFonts w:cs="Tahoma"/>
                <w:color w:val="000000"/>
                <w:sz w:val="16"/>
                <w:szCs w:val="16"/>
                <w:lang w:eastAsia="tr-TR"/>
              </w:rPr>
            </w:pPr>
            <w:r w:rsidRPr="004B3DE4">
              <w:rPr>
                <w:rFonts w:cs="Tahoma"/>
                <w:color w:val="000000"/>
                <w:sz w:val="16"/>
                <w:szCs w:val="16"/>
                <w:lang w:eastAsia="tr-TR"/>
              </w:rPr>
              <w:t>Merkezi Koordinasyon Kurulu ve İl Koordinasyon Kurullarının etkili çalışmasına yönelik düzenlemeler yapılacaktır. Çocuk mahkemelerinin sayısı ve personeli artırılacak; çocuk koruma alanında çalışan personelin bilgi ve duyarlılıkları geliştirilecek, mahkemelerce verilen tedbir kararlarının uygulanmasına yönelik kuruluşların kapasitesi güçlendirilecektir.</w:t>
            </w:r>
            <w:r w:rsidRPr="004B3DE4">
              <w:rPr>
                <w:rFonts w:cs="Tahoma"/>
                <w:sz w:val="16"/>
                <w:szCs w:val="16"/>
              </w:rPr>
              <w:t xml:space="preserve"> Suç mağduru ve suça sürüklenen çocuklara yönelik kuruluşlardaki hizmetlerin ayrıştırılarak modellenmesi ve ihtisaslaştırılması sağlanacaktır.</w:t>
            </w:r>
          </w:p>
        </w:tc>
      </w:tr>
      <w:tr w:rsidR="00565FD5" w:rsidRPr="004B3DE4" w:rsidTr="00AB62A3">
        <w:trPr>
          <w:trHeight w:val="1136"/>
          <w:jc w:val="center"/>
        </w:trPr>
        <w:tc>
          <w:tcPr>
            <w:tcW w:w="1434" w:type="pct"/>
            <w:shd w:val="clear" w:color="auto" w:fill="FFFFFF"/>
          </w:tcPr>
          <w:p w:rsidR="00565FD5" w:rsidRPr="004B3DE4" w:rsidRDefault="00565FD5" w:rsidP="00EB1E69">
            <w:pPr>
              <w:numPr>
                <w:ilvl w:val="0"/>
                <w:numId w:val="14"/>
              </w:numPr>
              <w:tabs>
                <w:tab w:val="left" w:pos="425"/>
              </w:tabs>
              <w:autoSpaceDE w:val="0"/>
              <w:autoSpaceDN w:val="0"/>
              <w:spacing w:before="20" w:after="20" w:line="240" w:lineRule="auto"/>
              <w:rPr>
                <w:rFonts w:cs="Tahoma"/>
                <w:color w:val="000000"/>
                <w:sz w:val="16"/>
                <w:szCs w:val="16"/>
                <w:lang w:eastAsia="tr-TR"/>
              </w:rPr>
            </w:pPr>
            <w:r w:rsidRPr="004B3DE4">
              <w:rPr>
                <w:rFonts w:cs="Tahoma"/>
                <w:color w:val="000000"/>
                <w:sz w:val="16"/>
                <w:szCs w:val="16"/>
                <w:lang w:eastAsia="tr-TR"/>
              </w:rPr>
              <w:t xml:space="preserve">Çocuk erken tanı ve uyarı modeli geliştirilecektir. </w:t>
            </w:r>
          </w:p>
        </w:tc>
        <w:tc>
          <w:tcPr>
            <w:tcW w:w="1497" w:type="pct"/>
            <w:shd w:val="clear" w:color="auto" w:fill="FFFFFF"/>
          </w:tcPr>
          <w:p w:rsidR="00565FD5" w:rsidRPr="004B3DE4" w:rsidRDefault="00565FD5" w:rsidP="00AB62A3">
            <w:pPr>
              <w:spacing w:before="20" w:after="20"/>
              <w:rPr>
                <w:rFonts w:cs="Tahoma"/>
                <w:color w:val="000000"/>
                <w:sz w:val="16"/>
                <w:szCs w:val="16"/>
                <w:lang w:eastAsia="tr-TR"/>
              </w:rPr>
            </w:pPr>
            <w:r w:rsidRPr="004B3DE4">
              <w:rPr>
                <w:rFonts w:cs="Tahoma"/>
                <w:color w:val="000000"/>
                <w:sz w:val="16"/>
                <w:szCs w:val="16"/>
                <w:lang w:eastAsia="tr-TR"/>
              </w:rPr>
              <w:t xml:space="preserve">Aile ve Sosyal Politikalar Bakanlığı  </w:t>
            </w:r>
          </w:p>
        </w:tc>
        <w:tc>
          <w:tcPr>
            <w:tcW w:w="420" w:type="pct"/>
            <w:shd w:val="clear" w:color="auto" w:fill="FFFFFF"/>
          </w:tcPr>
          <w:p w:rsidR="00565FD5" w:rsidRPr="004B3DE4" w:rsidRDefault="00565FD5" w:rsidP="00AB62A3">
            <w:pPr>
              <w:spacing w:before="20" w:after="20"/>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565FD5" w:rsidRPr="004B3DE4" w:rsidRDefault="00565FD5" w:rsidP="00AB62A3">
            <w:pPr>
              <w:autoSpaceDE w:val="0"/>
              <w:autoSpaceDN w:val="0"/>
              <w:spacing w:before="20" w:after="20"/>
              <w:rPr>
                <w:rFonts w:cs="Tahoma"/>
                <w:color w:val="000000"/>
                <w:sz w:val="16"/>
                <w:szCs w:val="16"/>
                <w:lang w:eastAsia="tr-TR"/>
              </w:rPr>
            </w:pPr>
            <w:r w:rsidRPr="004B3DE4">
              <w:rPr>
                <w:rFonts w:cs="Tahoma"/>
                <w:sz w:val="16"/>
                <w:szCs w:val="16"/>
              </w:rPr>
              <w:t>Ülkemizde risk grubundaki çocukların korunmaya muhtaç</w:t>
            </w:r>
            <w:r w:rsidRPr="004B3DE4">
              <w:rPr>
                <w:rFonts w:cs="Tahoma"/>
                <w:color w:val="1F497D"/>
                <w:sz w:val="16"/>
                <w:szCs w:val="16"/>
              </w:rPr>
              <w:t xml:space="preserve"> </w:t>
            </w:r>
            <w:r w:rsidRPr="004B3DE4">
              <w:rPr>
                <w:rFonts w:cs="Tahoma"/>
                <w:sz w:val="16"/>
                <w:szCs w:val="16"/>
              </w:rPr>
              <w:t>hale gelmeden tespit edilerek, koruyucu ve</w:t>
            </w:r>
            <w:r w:rsidRPr="004B3DE4">
              <w:rPr>
                <w:rFonts w:cs="Tahoma"/>
                <w:color w:val="1F497D"/>
                <w:sz w:val="16"/>
                <w:szCs w:val="16"/>
              </w:rPr>
              <w:t xml:space="preserve"> </w:t>
            </w:r>
            <w:r w:rsidRPr="004B3DE4">
              <w:rPr>
                <w:rFonts w:cs="Tahoma"/>
                <w:sz w:val="16"/>
                <w:szCs w:val="16"/>
              </w:rPr>
              <w:t xml:space="preserve">önleyici tedbirlerle desteklenmesi için çocuk erken tanı uyarı sistemi oluşturmaya yönelik araştırma yapılacaktır. </w:t>
            </w:r>
          </w:p>
        </w:tc>
      </w:tr>
      <w:tr w:rsidR="00565FD5" w:rsidRPr="004B3DE4" w:rsidTr="00AB62A3">
        <w:trPr>
          <w:trHeight w:val="1521"/>
          <w:jc w:val="center"/>
        </w:trPr>
        <w:tc>
          <w:tcPr>
            <w:tcW w:w="1434" w:type="pct"/>
            <w:shd w:val="clear" w:color="auto" w:fill="FFFFFF"/>
          </w:tcPr>
          <w:p w:rsidR="00565FD5" w:rsidRPr="004B3DE4" w:rsidRDefault="00565FD5" w:rsidP="00EB1E69">
            <w:pPr>
              <w:numPr>
                <w:ilvl w:val="0"/>
                <w:numId w:val="14"/>
              </w:numPr>
              <w:tabs>
                <w:tab w:val="left" w:pos="425"/>
              </w:tabs>
              <w:spacing w:before="20" w:after="20" w:line="240" w:lineRule="auto"/>
              <w:rPr>
                <w:rFonts w:cs="Tahoma"/>
                <w:color w:val="000000"/>
                <w:sz w:val="16"/>
                <w:szCs w:val="16"/>
                <w:lang w:eastAsia="tr-TR"/>
              </w:rPr>
            </w:pPr>
            <w:r w:rsidRPr="004B3DE4">
              <w:rPr>
                <w:rFonts w:cs="Tahoma"/>
                <w:color w:val="000000"/>
                <w:sz w:val="16"/>
                <w:szCs w:val="16"/>
                <w:lang w:eastAsia="tr-TR"/>
              </w:rPr>
              <w:t>Çocuk işçiliği ile mücadele çalışmalarına devam edilecektir.</w:t>
            </w:r>
          </w:p>
        </w:tc>
        <w:tc>
          <w:tcPr>
            <w:tcW w:w="1497" w:type="pct"/>
            <w:shd w:val="clear" w:color="auto" w:fill="FFFFFF"/>
          </w:tcPr>
          <w:p w:rsidR="00565FD5" w:rsidRPr="004B3DE4" w:rsidRDefault="00565FD5" w:rsidP="00AB62A3">
            <w:pPr>
              <w:spacing w:before="20" w:after="20"/>
              <w:rPr>
                <w:rFonts w:cs="Tahoma"/>
                <w:color w:val="000000"/>
                <w:sz w:val="16"/>
                <w:szCs w:val="16"/>
                <w:lang w:eastAsia="tr-TR"/>
              </w:rPr>
            </w:pPr>
            <w:r w:rsidRPr="004B3DE4">
              <w:rPr>
                <w:rFonts w:cs="Tahoma"/>
                <w:color w:val="000000"/>
                <w:sz w:val="16"/>
                <w:szCs w:val="16"/>
                <w:lang w:eastAsia="tr-TR"/>
              </w:rPr>
              <w:t xml:space="preserve">ÇSGB (S), Aile ve Sosyal Politikalar Bakanlığı, Kalkınma Bakanlığı, Sağlık Bakanlığı, İçişleri Bakanlığı, MEB, TÜİK, STK’lar </w:t>
            </w:r>
          </w:p>
        </w:tc>
        <w:tc>
          <w:tcPr>
            <w:tcW w:w="420" w:type="pct"/>
            <w:shd w:val="clear" w:color="auto" w:fill="FFFFFF"/>
          </w:tcPr>
          <w:p w:rsidR="00565FD5" w:rsidRPr="004B3DE4" w:rsidRDefault="00565FD5" w:rsidP="00AB62A3">
            <w:pPr>
              <w:spacing w:before="20" w:after="20"/>
              <w:rPr>
                <w:rFonts w:cs="Tahoma"/>
                <w:color w:val="000000"/>
                <w:sz w:val="16"/>
                <w:szCs w:val="16"/>
                <w:lang w:eastAsia="tr-TR"/>
              </w:rPr>
            </w:pPr>
            <w:r w:rsidRPr="004B3DE4">
              <w:rPr>
                <w:rFonts w:cs="Tahoma"/>
                <w:color w:val="000000"/>
                <w:sz w:val="16"/>
                <w:szCs w:val="16"/>
                <w:lang w:eastAsia="tr-TR"/>
              </w:rPr>
              <w:t xml:space="preserve">Aralık Sonu </w:t>
            </w:r>
          </w:p>
        </w:tc>
        <w:tc>
          <w:tcPr>
            <w:tcW w:w="1649" w:type="pct"/>
            <w:shd w:val="clear" w:color="auto" w:fill="FFFFFF"/>
          </w:tcPr>
          <w:p w:rsidR="00565FD5" w:rsidRPr="004B3DE4" w:rsidRDefault="00565FD5" w:rsidP="00AB62A3">
            <w:pPr>
              <w:spacing w:before="20" w:after="20"/>
              <w:rPr>
                <w:rFonts w:cs="Tahoma"/>
                <w:color w:val="000000"/>
                <w:sz w:val="16"/>
                <w:szCs w:val="16"/>
                <w:lang w:eastAsia="tr-TR"/>
              </w:rPr>
            </w:pPr>
            <w:r w:rsidRPr="004B3DE4">
              <w:rPr>
                <w:rFonts w:cs="Tahoma"/>
                <w:color w:val="000000"/>
                <w:sz w:val="16"/>
                <w:szCs w:val="16"/>
                <w:lang w:eastAsia="tr-TR"/>
              </w:rPr>
              <w:t xml:space="preserve">Çocuk İşçiliğinin Önlenmesi İçin Zamana Bağlı Politika ve Program Çerçevesinin etkin olarak uygulanması ve sürdürülebilirliğinin sağlanmasına yönelik faaliyetler devam ettirilecektir. Çocuk işçiliğine ilişkin mevcut durumu tespit etmek üzere Çocuk İşgücü Anketi yapılacaktır. </w:t>
            </w:r>
          </w:p>
        </w:tc>
      </w:tr>
      <w:tr w:rsidR="00565FD5" w:rsidRPr="004B3DE4" w:rsidTr="00AB62A3">
        <w:trPr>
          <w:trHeight w:val="1246"/>
          <w:jc w:val="center"/>
        </w:trPr>
        <w:tc>
          <w:tcPr>
            <w:tcW w:w="1434" w:type="pct"/>
            <w:shd w:val="clear" w:color="auto" w:fill="FFFFFF"/>
          </w:tcPr>
          <w:p w:rsidR="00565FD5" w:rsidRPr="004B3DE4" w:rsidRDefault="00565FD5" w:rsidP="00EB1E69">
            <w:pPr>
              <w:numPr>
                <w:ilvl w:val="0"/>
                <w:numId w:val="14"/>
              </w:numPr>
              <w:autoSpaceDE w:val="0"/>
              <w:autoSpaceDN w:val="0"/>
              <w:adjustRightInd w:val="0"/>
              <w:spacing w:before="20" w:after="20" w:line="240" w:lineRule="auto"/>
              <w:rPr>
                <w:rFonts w:cs="Tahoma"/>
                <w:color w:val="000000"/>
                <w:sz w:val="16"/>
                <w:szCs w:val="16"/>
                <w:lang w:eastAsia="tr-TR"/>
              </w:rPr>
            </w:pPr>
            <w:r w:rsidRPr="004B3DE4">
              <w:rPr>
                <w:rFonts w:cs="Tahoma"/>
                <w:color w:val="000000"/>
                <w:sz w:val="16"/>
                <w:szCs w:val="16"/>
                <w:lang w:eastAsia="tr-TR"/>
              </w:rPr>
              <w:t>Çocuklara yönelik veriler TÜİK tarafından tek bir sistemde toplanacaktır.</w:t>
            </w:r>
          </w:p>
        </w:tc>
        <w:tc>
          <w:tcPr>
            <w:tcW w:w="1497" w:type="pct"/>
            <w:shd w:val="clear" w:color="auto" w:fill="FFFFFF"/>
          </w:tcPr>
          <w:p w:rsidR="00565FD5" w:rsidRPr="004B3DE4" w:rsidRDefault="00565FD5" w:rsidP="00AB62A3">
            <w:pPr>
              <w:spacing w:before="20" w:after="20"/>
              <w:rPr>
                <w:rFonts w:cs="Tahoma"/>
                <w:color w:val="000000"/>
                <w:sz w:val="16"/>
                <w:szCs w:val="16"/>
                <w:lang w:eastAsia="tr-TR"/>
              </w:rPr>
            </w:pPr>
            <w:r w:rsidRPr="004B3DE4">
              <w:rPr>
                <w:rFonts w:cs="Tahoma"/>
                <w:color w:val="000000"/>
                <w:sz w:val="16"/>
                <w:szCs w:val="16"/>
                <w:lang w:eastAsia="tr-TR"/>
              </w:rPr>
              <w:t>TUİK (S), ilgili Kamu Kurum ve Kuruluşları</w:t>
            </w:r>
          </w:p>
        </w:tc>
        <w:tc>
          <w:tcPr>
            <w:tcW w:w="420" w:type="pct"/>
            <w:shd w:val="clear" w:color="auto" w:fill="FFFFFF"/>
          </w:tcPr>
          <w:p w:rsidR="00565FD5" w:rsidRPr="004B3DE4" w:rsidRDefault="00565FD5" w:rsidP="00AB62A3">
            <w:pPr>
              <w:spacing w:before="20" w:after="20"/>
              <w:rPr>
                <w:rFonts w:cs="Tahoma"/>
                <w:sz w:val="16"/>
                <w:szCs w:val="16"/>
                <w:lang w:eastAsia="tr-TR"/>
              </w:rPr>
            </w:pPr>
            <w:r w:rsidRPr="004B3DE4">
              <w:rPr>
                <w:rFonts w:cs="Tahoma"/>
                <w:sz w:val="16"/>
                <w:szCs w:val="16"/>
                <w:lang w:eastAsia="tr-TR"/>
              </w:rPr>
              <w:t>Aralık Sonu</w:t>
            </w:r>
          </w:p>
        </w:tc>
        <w:tc>
          <w:tcPr>
            <w:tcW w:w="1649" w:type="pct"/>
            <w:shd w:val="clear" w:color="auto" w:fill="FFFFFF"/>
          </w:tcPr>
          <w:p w:rsidR="00565FD5" w:rsidRPr="004B3DE4" w:rsidRDefault="00565FD5" w:rsidP="00AB62A3">
            <w:pPr>
              <w:autoSpaceDE w:val="0"/>
              <w:autoSpaceDN w:val="0"/>
              <w:adjustRightInd w:val="0"/>
              <w:spacing w:before="20" w:after="20"/>
              <w:rPr>
                <w:rFonts w:cs="Tahoma"/>
                <w:sz w:val="16"/>
                <w:szCs w:val="16"/>
                <w:lang w:eastAsia="tr-TR"/>
              </w:rPr>
            </w:pPr>
            <w:r w:rsidRPr="004B3DE4">
              <w:rPr>
                <w:rFonts w:cs="Tahoma"/>
                <w:sz w:val="16"/>
                <w:szCs w:val="16"/>
                <w:lang w:eastAsia="tr-TR"/>
              </w:rPr>
              <w:t>Farklı kurumlar tarafından çocuklara yönelik derlenen bilgiler ve istatistikler</w:t>
            </w:r>
            <w:r>
              <w:rPr>
                <w:rFonts w:cs="Tahoma"/>
                <w:sz w:val="16"/>
                <w:szCs w:val="16"/>
                <w:lang w:eastAsia="tr-TR"/>
              </w:rPr>
              <w:t>,</w:t>
            </w:r>
            <w:r w:rsidRPr="004B3DE4">
              <w:rPr>
                <w:rFonts w:cs="Tahoma"/>
                <w:sz w:val="16"/>
                <w:szCs w:val="16"/>
                <w:lang w:eastAsia="tr-TR"/>
              </w:rPr>
              <w:t xml:space="preserve"> araştırma, izleme ve değerlendirme metodolojileri karşılaştırılabilir hale getirilece</w:t>
            </w:r>
            <w:r w:rsidRPr="004B3DE4">
              <w:rPr>
                <w:rFonts w:cs="Tahoma"/>
                <w:sz w:val="16"/>
                <w:szCs w:val="16"/>
              </w:rPr>
              <w:t>k ve ortak bir veri tabanı oluşturulacaktır.</w:t>
            </w:r>
          </w:p>
        </w:tc>
      </w:tr>
      <w:tr w:rsidR="00565FD5" w:rsidRPr="004B3DE4" w:rsidTr="00AB62A3">
        <w:trPr>
          <w:trHeight w:val="20"/>
          <w:jc w:val="center"/>
        </w:trPr>
        <w:tc>
          <w:tcPr>
            <w:tcW w:w="1434" w:type="pct"/>
            <w:shd w:val="clear" w:color="auto" w:fill="FFFFFF"/>
          </w:tcPr>
          <w:p w:rsidR="00565FD5" w:rsidRPr="004B3DE4" w:rsidRDefault="00565FD5" w:rsidP="00EB1E69">
            <w:pPr>
              <w:numPr>
                <w:ilvl w:val="0"/>
                <w:numId w:val="14"/>
              </w:numPr>
              <w:tabs>
                <w:tab w:val="left" w:pos="425"/>
              </w:tabs>
              <w:spacing w:before="20" w:after="20" w:line="240" w:lineRule="auto"/>
              <w:rPr>
                <w:rFonts w:cs="Tahoma"/>
                <w:color w:val="000000"/>
                <w:sz w:val="16"/>
                <w:szCs w:val="16"/>
                <w:lang w:eastAsia="tr-TR"/>
              </w:rPr>
            </w:pPr>
            <w:r w:rsidRPr="004B3DE4">
              <w:rPr>
                <w:rFonts w:cs="Tahoma"/>
                <w:color w:val="000000"/>
                <w:sz w:val="16"/>
                <w:szCs w:val="16"/>
                <w:lang w:eastAsia="tr-TR"/>
              </w:rPr>
              <w:t xml:space="preserve">Çocuk ve </w:t>
            </w:r>
            <w:r w:rsidRPr="004B3DE4">
              <w:rPr>
                <w:rFonts w:cs="Tahoma"/>
                <w:color w:val="000000"/>
                <w:sz w:val="16"/>
                <w:szCs w:val="16"/>
                <w:lang w:eastAsia="tr-TR"/>
              </w:rPr>
              <w:lastRenderedPageBreak/>
              <w:t>gençlerin şiddete yönelmelerinin ve her türlü çocuk istismarının önlenmesine yönelik çalışmalar sürdürülecektir.</w:t>
            </w:r>
          </w:p>
        </w:tc>
        <w:tc>
          <w:tcPr>
            <w:tcW w:w="1497" w:type="pct"/>
            <w:shd w:val="clear" w:color="auto" w:fill="FFFFFF"/>
          </w:tcPr>
          <w:p w:rsidR="00565FD5" w:rsidRPr="004B3DE4" w:rsidRDefault="00565FD5" w:rsidP="00AB62A3">
            <w:pPr>
              <w:spacing w:before="20" w:after="20"/>
              <w:rPr>
                <w:rFonts w:cs="Tahoma"/>
                <w:color w:val="000000"/>
                <w:sz w:val="16"/>
                <w:szCs w:val="16"/>
                <w:lang w:eastAsia="tr-TR"/>
              </w:rPr>
            </w:pPr>
            <w:r w:rsidRPr="004B3DE4">
              <w:rPr>
                <w:rFonts w:cs="Tahoma"/>
                <w:color w:val="000000"/>
                <w:sz w:val="16"/>
                <w:szCs w:val="16"/>
                <w:lang w:eastAsia="tr-TR"/>
              </w:rPr>
              <w:lastRenderedPageBreak/>
              <w:t xml:space="preserve">Aile ve Sosyal Politikalar </w:t>
            </w:r>
            <w:r w:rsidRPr="004B3DE4">
              <w:rPr>
                <w:rFonts w:cs="Tahoma"/>
                <w:color w:val="000000"/>
                <w:sz w:val="16"/>
                <w:szCs w:val="16"/>
                <w:lang w:eastAsia="tr-TR"/>
              </w:rPr>
              <w:lastRenderedPageBreak/>
              <w:t>Bakanlığı (S), MEB, RTÜK, GSB, Reklam Özdenetim Kurulu, Televizyon İzleme Araştırma Kurulu, Medya Kuruluşları, STK’lar</w:t>
            </w:r>
          </w:p>
        </w:tc>
        <w:tc>
          <w:tcPr>
            <w:tcW w:w="420" w:type="pct"/>
            <w:shd w:val="clear" w:color="auto" w:fill="FFFFFF"/>
          </w:tcPr>
          <w:p w:rsidR="00565FD5" w:rsidRPr="004B3DE4" w:rsidRDefault="00565FD5" w:rsidP="00AB62A3">
            <w:pPr>
              <w:spacing w:before="20" w:after="20"/>
              <w:rPr>
                <w:rFonts w:cs="Tahoma"/>
                <w:color w:val="000000"/>
                <w:sz w:val="16"/>
                <w:szCs w:val="16"/>
                <w:lang w:eastAsia="tr-TR"/>
              </w:rPr>
            </w:pPr>
            <w:r w:rsidRPr="004B3DE4">
              <w:rPr>
                <w:rFonts w:cs="Tahoma"/>
                <w:color w:val="000000"/>
                <w:sz w:val="16"/>
                <w:szCs w:val="16"/>
                <w:lang w:eastAsia="tr-TR"/>
              </w:rPr>
              <w:lastRenderedPageBreak/>
              <w:t xml:space="preserve">Aralık </w:t>
            </w:r>
            <w:r w:rsidRPr="004B3DE4">
              <w:rPr>
                <w:rFonts w:cs="Tahoma"/>
                <w:color w:val="000000"/>
                <w:sz w:val="16"/>
                <w:szCs w:val="16"/>
                <w:lang w:eastAsia="tr-TR"/>
              </w:rPr>
              <w:lastRenderedPageBreak/>
              <w:t>Sonu</w:t>
            </w:r>
          </w:p>
        </w:tc>
        <w:tc>
          <w:tcPr>
            <w:tcW w:w="1649" w:type="pct"/>
            <w:shd w:val="clear" w:color="auto" w:fill="FFFFFF"/>
          </w:tcPr>
          <w:p w:rsidR="00565FD5" w:rsidRPr="004B3DE4" w:rsidRDefault="00565FD5" w:rsidP="00AB62A3">
            <w:pPr>
              <w:spacing w:before="20" w:after="20"/>
              <w:rPr>
                <w:rFonts w:cs="Tahoma"/>
                <w:color w:val="000000"/>
                <w:sz w:val="16"/>
                <w:szCs w:val="16"/>
                <w:lang w:eastAsia="tr-TR"/>
              </w:rPr>
            </w:pPr>
            <w:r w:rsidRPr="004B3DE4">
              <w:rPr>
                <w:rFonts w:cs="Tahoma"/>
                <w:color w:val="000000"/>
                <w:sz w:val="16"/>
                <w:szCs w:val="16"/>
                <w:lang w:eastAsia="tr-TR"/>
              </w:rPr>
              <w:lastRenderedPageBreak/>
              <w:t xml:space="preserve">Çocuk ve gençlerin kitle iletişim </w:t>
            </w:r>
            <w:r w:rsidRPr="004B3DE4">
              <w:rPr>
                <w:rFonts w:cs="Tahoma"/>
                <w:color w:val="000000"/>
                <w:sz w:val="16"/>
                <w:szCs w:val="16"/>
                <w:lang w:eastAsia="tr-TR"/>
              </w:rPr>
              <w:lastRenderedPageBreak/>
              <w:t>araçlarının zararlı etkilerinden korunmasına,  ailelerin medya okuryazarlığı ve internetin doğru kullanımına, çocukların ve gençlerin spora ve sanatsal aktivitelere yöneltilmesine, çocuk hakları ve çocuklara yönelik risklere ilişkin bilinç ve farkındalık artırıcı çalışmalara STK’lar ve yerel yönetimlerle işbirliği içinde devam edilecektir.</w:t>
            </w:r>
          </w:p>
        </w:tc>
      </w:tr>
      <w:tr w:rsidR="00565FD5" w:rsidRPr="004B3DE4" w:rsidTr="00AB62A3">
        <w:trPr>
          <w:trHeight w:val="20"/>
          <w:jc w:val="center"/>
        </w:trPr>
        <w:tc>
          <w:tcPr>
            <w:tcW w:w="1434" w:type="pct"/>
            <w:shd w:val="clear" w:color="auto" w:fill="FFFFFF"/>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lastRenderedPageBreak/>
              <w:t>Sosyal yardım ve hizmet alanında ihtiyaca en uygun destek ve hizmetin verileceği ASDEP modeli çerçevesinde aile odaklı bir sistem oluşturulacaktır.</w:t>
            </w:r>
          </w:p>
        </w:tc>
        <w:tc>
          <w:tcPr>
            <w:tcW w:w="1497" w:type="pct"/>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Aile ve Sosyal Politikalar Bakanlığı (S), Çalışma ve Sosyal Güvenlik Bakanlığı, Maliye Bakanlığı, Sağlık Bakanlığı, Kalkınma Bakanlığı, MEB, Yerel Yönetimler, STK’lar</w:t>
            </w:r>
          </w:p>
        </w:tc>
        <w:tc>
          <w:tcPr>
            <w:tcW w:w="420" w:type="pct"/>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ASDEP ile halen farklı kamu kurum ve kuruluşları tarafından verilmekte olan</w:t>
            </w:r>
            <w:r>
              <w:rPr>
                <w:rFonts w:cs="Tahoma"/>
                <w:color w:val="000000"/>
                <w:sz w:val="16"/>
                <w:szCs w:val="16"/>
                <w:lang w:eastAsia="tr-TR"/>
              </w:rPr>
              <w:t xml:space="preserve"> sosyal yardım, sosyal hizmet vb. kapsamındaki</w:t>
            </w:r>
            <w:r w:rsidRPr="004B3DE4">
              <w:rPr>
                <w:rFonts w:cs="Tahoma"/>
                <w:color w:val="000000"/>
                <w:sz w:val="16"/>
                <w:szCs w:val="16"/>
                <w:lang w:eastAsia="tr-TR"/>
              </w:rPr>
              <w:t xml:space="preserve"> sosyal destek hizmetlerinin ailelerin ya da bireylerin başvuru yapmalarına gerek olmadan arz odaklı bir yaklaşımla sunulması, bu alanlardaki boşluk ve dağınıklığın giderilerek ailelere danışmanlık ve rehberlik hizmetleri sunulan bir sistem kurulması ve ailelerin refahının artırılması sağlanacaktır.</w:t>
            </w:r>
          </w:p>
        </w:tc>
      </w:tr>
      <w:tr w:rsidR="00565FD5" w:rsidRPr="004B3DE4" w:rsidTr="00AB62A3">
        <w:trPr>
          <w:trHeight w:val="20"/>
          <w:jc w:val="center"/>
        </w:trPr>
        <w:tc>
          <w:tcPr>
            <w:tcW w:w="5000" w:type="pct"/>
            <w:gridSpan w:val="4"/>
            <w:shd w:val="clear" w:color="auto" w:fill="FFFFFF"/>
          </w:tcPr>
          <w:p w:rsidR="00565FD5" w:rsidRPr="004B3DE4" w:rsidRDefault="00565FD5" w:rsidP="00EB1E69">
            <w:pPr>
              <w:numPr>
                <w:ilvl w:val="0"/>
                <w:numId w:val="15"/>
              </w:numPr>
              <w:tabs>
                <w:tab w:val="left" w:pos="425"/>
              </w:tabs>
              <w:spacing w:before="60" w:after="60" w:line="240" w:lineRule="auto"/>
              <w:jc w:val="both"/>
              <w:rPr>
                <w:rFonts w:cs="Tahoma"/>
                <w:b/>
                <w:bCs/>
                <w:color w:val="000000"/>
                <w:sz w:val="16"/>
                <w:szCs w:val="16"/>
                <w:lang w:eastAsia="tr-TR"/>
              </w:rPr>
            </w:pPr>
            <w:r w:rsidRPr="004B3DE4">
              <w:rPr>
                <w:rFonts w:cs="Tahoma"/>
                <w:b/>
                <w:bCs/>
                <w:color w:val="000000"/>
                <w:sz w:val="16"/>
                <w:szCs w:val="16"/>
                <w:lang w:eastAsia="tr-TR"/>
              </w:rPr>
              <w:t>Sosyal hizmet sunumunda etkinliğin sağlanması amacıyla nitelikli personel ve ara eleman ihtiyacı giderilecek ve vatandaşların gönüllü katılımının artırılmasına yönelik mekanizmalar oluşturulacaktır.</w:t>
            </w:r>
          </w:p>
        </w:tc>
      </w:tr>
      <w:tr w:rsidR="00565FD5" w:rsidRPr="004B3DE4" w:rsidTr="00AB62A3">
        <w:trPr>
          <w:trHeight w:val="20"/>
          <w:jc w:val="center"/>
        </w:trPr>
        <w:tc>
          <w:tcPr>
            <w:tcW w:w="1434" w:type="pct"/>
            <w:shd w:val="clear" w:color="auto" w:fill="FFFFFF"/>
          </w:tcPr>
          <w:p w:rsidR="00565FD5" w:rsidRPr="004B3DE4" w:rsidRDefault="00565FD5" w:rsidP="00EB1E69">
            <w:pPr>
              <w:numPr>
                <w:ilvl w:val="0"/>
                <w:numId w:val="14"/>
              </w:numPr>
              <w:tabs>
                <w:tab w:val="left" w:pos="425"/>
              </w:tabs>
              <w:spacing w:before="80" w:after="60" w:line="240" w:lineRule="auto"/>
              <w:rPr>
                <w:rFonts w:cs="Tahoma"/>
                <w:color w:val="000000"/>
                <w:sz w:val="16"/>
                <w:szCs w:val="16"/>
                <w:lang w:eastAsia="tr-TR"/>
              </w:rPr>
            </w:pPr>
            <w:r w:rsidRPr="004B3DE4">
              <w:rPr>
                <w:rFonts w:cs="Tahoma"/>
                <w:color w:val="000000"/>
                <w:sz w:val="16"/>
                <w:szCs w:val="16"/>
                <w:lang w:eastAsia="tr-TR"/>
              </w:rPr>
              <w:t>Sosyal hizmetler alanında nitelikli personel ve ara eleman yetiştirilmesi çalışmaları hızlandırılacaktır.</w:t>
            </w:r>
          </w:p>
        </w:tc>
        <w:tc>
          <w:tcPr>
            <w:tcW w:w="1497" w:type="pct"/>
            <w:shd w:val="clear" w:color="auto" w:fill="FFFFFF"/>
          </w:tcPr>
          <w:p w:rsidR="00565FD5" w:rsidRPr="004B3DE4" w:rsidRDefault="00565FD5" w:rsidP="00AB62A3">
            <w:pPr>
              <w:spacing w:before="80" w:after="60"/>
              <w:rPr>
                <w:rFonts w:cs="Tahoma"/>
                <w:color w:val="000000"/>
                <w:sz w:val="16"/>
                <w:szCs w:val="16"/>
                <w:lang w:eastAsia="tr-TR"/>
              </w:rPr>
            </w:pPr>
            <w:r w:rsidRPr="004B3DE4">
              <w:rPr>
                <w:rFonts w:cs="Tahoma"/>
                <w:color w:val="000000"/>
                <w:sz w:val="16"/>
                <w:szCs w:val="16"/>
                <w:lang w:eastAsia="tr-TR"/>
              </w:rPr>
              <w:t>Aile ve Sosyal Politikalar Bakanlığı (S), MEB, YÖK, İŞKUR, Üniversiteler, Maliye Bakanlığı, Devlet Personel Başkanlığı</w:t>
            </w:r>
          </w:p>
        </w:tc>
        <w:tc>
          <w:tcPr>
            <w:tcW w:w="420" w:type="pct"/>
            <w:shd w:val="clear" w:color="auto" w:fill="FFFFFF"/>
          </w:tcPr>
          <w:p w:rsidR="00565FD5" w:rsidRPr="004B3DE4" w:rsidRDefault="00565FD5" w:rsidP="00AB62A3">
            <w:pPr>
              <w:spacing w:before="80" w:after="60"/>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565FD5" w:rsidRPr="004B3DE4" w:rsidRDefault="00565FD5" w:rsidP="00AB62A3">
            <w:pPr>
              <w:spacing w:before="80" w:after="60"/>
              <w:rPr>
                <w:rFonts w:cs="Tahoma"/>
                <w:color w:val="000000"/>
                <w:sz w:val="16"/>
                <w:szCs w:val="16"/>
                <w:lang w:eastAsia="tr-TR"/>
              </w:rPr>
            </w:pPr>
            <w:r w:rsidRPr="004B3DE4">
              <w:rPr>
                <w:rFonts w:cs="Tahoma"/>
                <w:color w:val="000000"/>
                <w:sz w:val="16"/>
                <w:szCs w:val="16"/>
                <w:lang w:eastAsia="tr-TR"/>
              </w:rPr>
              <w:t>Sosyal hizmetlerin sunumunda bakım elemanı ve meslek elemanı ihtiyacı bulunmakta olup bu eksiklik hizmet kalitesinin düşmesine neden olmaktadır. Sosyal hizmet alanında ihtiyaç duyulan nitelikli bakım elemanı yetiştirilmesi hususunda mesleki eğitimlere ağırlık verilmesi, sosyal çalışmacı yetiştirilmesi hususunda ise üniversitelerde açılan yeni bölümlerin öğretim görevlisi ve fiziki mekân ihtiyaçlarının giderilmesi sağlanacaktır.</w:t>
            </w:r>
          </w:p>
        </w:tc>
      </w:tr>
      <w:tr w:rsidR="00565FD5" w:rsidRPr="004B3DE4" w:rsidTr="00AB62A3">
        <w:trPr>
          <w:trHeight w:val="20"/>
          <w:jc w:val="center"/>
        </w:trPr>
        <w:tc>
          <w:tcPr>
            <w:tcW w:w="1434" w:type="pct"/>
            <w:shd w:val="clear" w:color="auto" w:fill="FFFFFF"/>
          </w:tcPr>
          <w:p w:rsidR="00565FD5" w:rsidRPr="004B3DE4" w:rsidRDefault="00565FD5" w:rsidP="00EB1E69">
            <w:pPr>
              <w:numPr>
                <w:ilvl w:val="0"/>
                <w:numId w:val="14"/>
              </w:numPr>
              <w:tabs>
                <w:tab w:val="left" w:pos="425"/>
              </w:tabs>
              <w:spacing w:before="80" w:after="60" w:line="240" w:lineRule="auto"/>
              <w:rPr>
                <w:rFonts w:cs="Tahoma"/>
                <w:color w:val="000000"/>
                <w:sz w:val="16"/>
                <w:szCs w:val="16"/>
                <w:lang w:eastAsia="tr-TR"/>
              </w:rPr>
            </w:pPr>
            <w:r w:rsidRPr="004B3DE4">
              <w:rPr>
                <w:rFonts w:cs="Tahoma"/>
                <w:color w:val="000000"/>
                <w:sz w:val="16"/>
                <w:szCs w:val="16"/>
                <w:lang w:eastAsia="tr-TR"/>
              </w:rPr>
              <w:t>Bireylerin sosyal hizmetlere gönüllü katılımının artırılmasına yönelik çalışmalar yapılacaktır.</w:t>
            </w:r>
          </w:p>
        </w:tc>
        <w:tc>
          <w:tcPr>
            <w:tcW w:w="1497" w:type="pct"/>
            <w:shd w:val="clear" w:color="auto" w:fill="FFFFFF"/>
          </w:tcPr>
          <w:p w:rsidR="00565FD5" w:rsidRPr="004B3DE4" w:rsidRDefault="00565FD5" w:rsidP="00AB62A3">
            <w:pPr>
              <w:spacing w:before="80" w:after="60"/>
              <w:rPr>
                <w:rFonts w:cs="Tahoma"/>
                <w:color w:val="000000"/>
                <w:sz w:val="16"/>
                <w:szCs w:val="16"/>
                <w:lang w:eastAsia="tr-TR"/>
              </w:rPr>
            </w:pPr>
            <w:r w:rsidRPr="004B3DE4">
              <w:rPr>
                <w:rFonts w:cs="Tahoma"/>
                <w:color w:val="000000"/>
                <w:sz w:val="16"/>
                <w:szCs w:val="16"/>
                <w:lang w:eastAsia="tr-TR"/>
              </w:rPr>
              <w:t>Aile ve Sosyal Politikalar Bakanlığı (S), RTÜK, Yerel Yönetimler, STK’lar</w:t>
            </w:r>
          </w:p>
        </w:tc>
        <w:tc>
          <w:tcPr>
            <w:tcW w:w="420" w:type="pct"/>
            <w:shd w:val="clear" w:color="auto" w:fill="FFFFFF"/>
          </w:tcPr>
          <w:p w:rsidR="00565FD5" w:rsidRPr="004B3DE4" w:rsidRDefault="00565FD5" w:rsidP="00AB62A3">
            <w:pPr>
              <w:spacing w:before="80" w:after="60"/>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565FD5" w:rsidRPr="004B3DE4" w:rsidRDefault="00565FD5" w:rsidP="00AB62A3">
            <w:pPr>
              <w:spacing w:before="80" w:after="60"/>
              <w:rPr>
                <w:rFonts w:cs="Tahoma"/>
                <w:color w:val="000000"/>
                <w:sz w:val="16"/>
                <w:szCs w:val="16"/>
                <w:lang w:eastAsia="tr-TR"/>
              </w:rPr>
            </w:pPr>
            <w:r w:rsidRPr="004B3DE4">
              <w:rPr>
                <w:rFonts w:cs="Tahoma"/>
                <w:color w:val="000000"/>
                <w:sz w:val="16"/>
                <w:szCs w:val="16"/>
                <w:lang w:eastAsia="tr-TR"/>
              </w:rPr>
              <w:t xml:space="preserve">Ülkemizde sosyal hizmetler alanında kamu kurumlarının sunmakta oldukları hizmetlere toplumun katılımının artırılmasına </w:t>
            </w:r>
            <w:r w:rsidRPr="004B3DE4">
              <w:rPr>
                <w:rFonts w:cs="Tahoma"/>
                <w:color w:val="000000"/>
                <w:sz w:val="16"/>
                <w:szCs w:val="16"/>
                <w:lang w:eastAsia="tr-TR"/>
              </w:rPr>
              <w:lastRenderedPageBreak/>
              <w:t>yönelik olarak gönüllülüğün geliştirilmesi ihtiyacı bulunmaktadır. Bununla ilgili olarak, başta koruyucu aile hizmetleri olmak üzere Aile ve Sosyal Politikalar Bakanlığı tarafından sunulan sosyal hizmetlerin tanıtımı yapılacak ve bu hizmetlerin geliştirilmesinde gönüllülüğün önemini vurgulayan bilgilendirici ve tanıtıcı faaliyetler yürütülecektir.</w:t>
            </w:r>
          </w:p>
        </w:tc>
      </w:tr>
      <w:tr w:rsidR="00565FD5" w:rsidRPr="004B3DE4" w:rsidTr="00AB62A3">
        <w:trPr>
          <w:trHeight w:val="20"/>
          <w:jc w:val="center"/>
        </w:trPr>
        <w:tc>
          <w:tcPr>
            <w:tcW w:w="1434" w:type="pct"/>
            <w:shd w:val="clear" w:color="auto" w:fill="FFFFFF"/>
          </w:tcPr>
          <w:p w:rsidR="00565FD5" w:rsidRPr="004B3DE4" w:rsidRDefault="00565FD5" w:rsidP="00EB1E69">
            <w:pPr>
              <w:numPr>
                <w:ilvl w:val="0"/>
                <w:numId w:val="14"/>
              </w:numPr>
              <w:tabs>
                <w:tab w:val="left" w:pos="425"/>
              </w:tabs>
              <w:spacing w:before="80" w:after="60" w:line="240" w:lineRule="auto"/>
              <w:rPr>
                <w:rFonts w:cs="Tahoma"/>
                <w:color w:val="000000"/>
                <w:sz w:val="16"/>
                <w:szCs w:val="16"/>
                <w:lang w:eastAsia="tr-TR"/>
              </w:rPr>
            </w:pPr>
            <w:r w:rsidRPr="004B3DE4">
              <w:rPr>
                <w:rFonts w:cs="Tahoma"/>
                <w:color w:val="000000"/>
                <w:sz w:val="16"/>
                <w:szCs w:val="16"/>
                <w:lang w:eastAsia="tr-TR"/>
              </w:rPr>
              <w:lastRenderedPageBreak/>
              <w:t xml:space="preserve">Korunmaya muhtaç çocuklar için alternatif bakım modelleri desteklenecektir. </w:t>
            </w:r>
          </w:p>
        </w:tc>
        <w:tc>
          <w:tcPr>
            <w:tcW w:w="1497" w:type="pct"/>
            <w:shd w:val="clear" w:color="auto" w:fill="FFFFFF"/>
          </w:tcPr>
          <w:p w:rsidR="00565FD5" w:rsidRPr="004B3DE4" w:rsidRDefault="00565FD5" w:rsidP="00AB62A3">
            <w:pPr>
              <w:spacing w:before="80" w:after="60"/>
              <w:rPr>
                <w:rFonts w:cs="Tahoma"/>
                <w:color w:val="000000"/>
                <w:sz w:val="16"/>
                <w:szCs w:val="16"/>
                <w:lang w:eastAsia="tr-TR"/>
              </w:rPr>
            </w:pPr>
            <w:r w:rsidRPr="004B3DE4">
              <w:rPr>
                <w:rFonts w:cs="Tahoma"/>
                <w:color w:val="000000"/>
                <w:sz w:val="16"/>
                <w:szCs w:val="16"/>
                <w:lang w:eastAsia="tr-TR"/>
              </w:rPr>
              <w:t>Aile ve Sosyal Politikalar Bakanlığı (S), Kamu Kurum ve Kuruluşları, İl Özel İdareleri, Belediyeler</w:t>
            </w:r>
          </w:p>
        </w:tc>
        <w:tc>
          <w:tcPr>
            <w:tcW w:w="420" w:type="pct"/>
            <w:shd w:val="clear" w:color="auto" w:fill="FFFFFF"/>
          </w:tcPr>
          <w:p w:rsidR="00565FD5" w:rsidRPr="004B3DE4" w:rsidRDefault="00565FD5" w:rsidP="00AB62A3">
            <w:pPr>
              <w:spacing w:before="80" w:after="60"/>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565FD5" w:rsidRPr="004B3DE4" w:rsidRDefault="00565FD5" w:rsidP="00AB62A3">
            <w:pPr>
              <w:spacing w:before="80" w:after="60"/>
              <w:rPr>
                <w:rFonts w:cs="Tahoma"/>
                <w:color w:val="000000"/>
                <w:sz w:val="16"/>
                <w:szCs w:val="16"/>
                <w:lang w:eastAsia="tr-TR"/>
              </w:rPr>
            </w:pPr>
            <w:r w:rsidRPr="004B3DE4">
              <w:rPr>
                <w:rFonts w:cs="Tahoma"/>
                <w:color w:val="000000"/>
                <w:sz w:val="16"/>
                <w:szCs w:val="16"/>
                <w:lang w:eastAsia="tr-TR"/>
              </w:rPr>
              <w:t>Çocuklara yönelik verilen hizmetlerin, aile yanında bakım, koruyucu aile, çocuk evi ve sevgi evi modelleri şeklinde verilmesine yönelik çalışmaların yaygınlaştırılmasına devam edilecektir.</w:t>
            </w:r>
          </w:p>
        </w:tc>
      </w:tr>
      <w:tr w:rsidR="00565FD5" w:rsidRPr="004B3DE4" w:rsidTr="00AB62A3">
        <w:trPr>
          <w:trHeight w:val="20"/>
          <w:jc w:val="center"/>
        </w:trPr>
        <w:tc>
          <w:tcPr>
            <w:tcW w:w="5000" w:type="pct"/>
            <w:gridSpan w:val="4"/>
            <w:shd w:val="clear" w:color="auto" w:fill="FFFFFF"/>
          </w:tcPr>
          <w:p w:rsidR="00565FD5" w:rsidRPr="004B3DE4" w:rsidRDefault="00565FD5" w:rsidP="00EB1E69">
            <w:pPr>
              <w:numPr>
                <w:ilvl w:val="0"/>
                <w:numId w:val="15"/>
              </w:numPr>
              <w:tabs>
                <w:tab w:val="left" w:pos="425"/>
              </w:tabs>
              <w:spacing w:before="80" w:after="60" w:line="240" w:lineRule="auto"/>
              <w:rPr>
                <w:rFonts w:cs="Tahoma"/>
                <w:b/>
                <w:bCs/>
                <w:color w:val="000000"/>
                <w:sz w:val="16"/>
                <w:szCs w:val="16"/>
                <w:lang w:eastAsia="tr-TR"/>
              </w:rPr>
            </w:pPr>
            <w:r w:rsidRPr="004B3DE4">
              <w:rPr>
                <w:rFonts w:cs="Tahoma"/>
                <w:b/>
                <w:bCs/>
                <w:color w:val="000000"/>
                <w:sz w:val="16"/>
                <w:szCs w:val="16"/>
                <w:lang w:eastAsia="tr-TR"/>
              </w:rPr>
              <w:t>Yaşlılara yönelik sosyal hizmetler çeşitlendirilecek ve geliştirilecektir.</w:t>
            </w:r>
          </w:p>
        </w:tc>
      </w:tr>
      <w:tr w:rsidR="00565FD5" w:rsidRPr="004B3DE4" w:rsidTr="00AB62A3">
        <w:trPr>
          <w:trHeight w:val="20"/>
          <w:jc w:val="center"/>
        </w:trPr>
        <w:tc>
          <w:tcPr>
            <w:tcW w:w="1434" w:type="pct"/>
            <w:shd w:val="clear" w:color="auto" w:fill="FFFFFF"/>
          </w:tcPr>
          <w:p w:rsidR="00565FD5" w:rsidRPr="004B3DE4" w:rsidRDefault="00565FD5" w:rsidP="00EB1E69">
            <w:pPr>
              <w:numPr>
                <w:ilvl w:val="0"/>
                <w:numId w:val="14"/>
              </w:numPr>
              <w:tabs>
                <w:tab w:val="left" w:pos="425"/>
              </w:tabs>
              <w:spacing w:before="80" w:after="60" w:line="240" w:lineRule="auto"/>
              <w:rPr>
                <w:rFonts w:cs="Tahoma"/>
                <w:color w:val="000000"/>
                <w:sz w:val="16"/>
                <w:szCs w:val="16"/>
                <w:lang w:eastAsia="tr-TR"/>
              </w:rPr>
            </w:pPr>
            <w:r w:rsidRPr="004B3DE4">
              <w:rPr>
                <w:rFonts w:cs="Tahoma"/>
                <w:color w:val="000000"/>
                <w:sz w:val="16"/>
                <w:szCs w:val="16"/>
                <w:lang w:eastAsia="tr-TR"/>
              </w:rPr>
              <w:t xml:space="preserve">Yaşlanma konusuna bütünsel olarak yaklaşan bir politika belgesi oluşturulacaktır. </w:t>
            </w:r>
          </w:p>
        </w:tc>
        <w:tc>
          <w:tcPr>
            <w:tcW w:w="1497" w:type="pct"/>
            <w:shd w:val="clear" w:color="auto" w:fill="FFFFFF"/>
          </w:tcPr>
          <w:p w:rsidR="00565FD5" w:rsidRPr="004B3DE4" w:rsidRDefault="00565FD5" w:rsidP="00AB62A3">
            <w:pPr>
              <w:spacing w:before="80" w:after="60"/>
              <w:rPr>
                <w:rFonts w:cs="Tahoma"/>
                <w:color w:val="000000"/>
                <w:sz w:val="16"/>
                <w:szCs w:val="16"/>
                <w:lang w:eastAsia="tr-TR"/>
              </w:rPr>
            </w:pPr>
            <w:r w:rsidRPr="004B3DE4">
              <w:rPr>
                <w:rFonts w:cs="Tahoma"/>
                <w:color w:val="000000"/>
                <w:sz w:val="16"/>
                <w:szCs w:val="16"/>
                <w:lang w:eastAsia="tr-TR"/>
              </w:rPr>
              <w:t>Aile ve Sosyal Politikalar Bakanlığı (S), Kalkınma Bakanlığı, Sağlık Bakanlığı, MEB, SGK, Yerel Yönetimler, STK’lar</w:t>
            </w:r>
          </w:p>
        </w:tc>
        <w:tc>
          <w:tcPr>
            <w:tcW w:w="420" w:type="pct"/>
            <w:shd w:val="clear" w:color="auto" w:fill="FFFFFF"/>
          </w:tcPr>
          <w:p w:rsidR="00565FD5" w:rsidRPr="004B3DE4" w:rsidRDefault="00565FD5" w:rsidP="00AB62A3">
            <w:pPr>
              <w:spacing w:before="80" w:after="60"/>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565FD5" w:rsidRPr="004B3DE4" w:rsidRDefault="00565FD5" w:rsidP="00AB62A3">
            <w:pPr>
              <w:spacing w:before="80" w:after="60"/>
              <w:rPr>
                <w:rFonts w:cs="Tahoma"/>
                <w:color w:val="000000"/>
                <w:sz w:val="16"/>
                <w:szCs w:val="16"/>
                <w:lang w:eastAsia="tr-TR"/>
              </w:rPr>
            </w:pPr>
            <w:r w:rsidRPr="004B3DE4">
              <w:rPr>
                <w:rFonts w:cs="Tahoma"/>
                <w:color w:val="000000"/>
                <w:sz w:val="16"/>
                <w:szCs w:val="16"/>
                <w:lang w:eastAsia="tr-TR"/>
              </w:rPr>
              <w:t>2007 yılında hazırlanan Yaşlanma Ulusal Eylem Planı bir uygulama programına dönüştürülecek ve program kapsamındaki eylemlerin hayata geçirilmesine yönelik çalışmalar yapılacaktır.</w:t>
            </w:r>
          </w:p>
        </w:tc>
      </w:tr>
      <w:tr w:rsidR="00565FD5" w:rsidRPr="004B3DE4" w:rsidTr="00AB62A3">
        <w:trPr>
          <w:trHeight w:val="20"/>
          <w:jc w:val="center"/>
        </w:trPr>
        <w:tc>
          <w:tcPr>
            <w:tcW w:w="1434" w:type="pct"/>
            <w:shd w:val="clear" w:color="auto" w:fill="FFFFFF"/>
          </w:tcPr>
          <w:p w:rsidR="00565FD5" w:rsidRPr="004B3DE4" w:rsidRDefault="00565FD5" w:rsidP="00EB1E69">
            <w:pPr>
              <w:numPr>
                <w:ilvl w:val="0"/>
                <w:numId w:val="14"/>
              </w:numPr>
              <w:tabs>
                <w:tab w:val="left" w:pos="425"/>
              </w:tabs>
              <w:spacing w:before="60" w:after="60" w:line="240" w:lineRule="auto"/>
              <w:rPr>
                <w:rFonts w:cs="Tahoma"/>
                <w:color w:val="000000"/>
                <w:sz w:val="16"/>
                <w:szCs w:val="16"/>
                <w:lang w:eastAsia="tr-TR"/>
              </w:rPr>
            </w:pPr>
            <w:r w:rsidRPr="004B3DE4">
              <w:rPr>
                <w:rFonts w:cs="Tahoma"/>
                <w:color w:val="000000"/>
                <w:sz w:val="16"/>
                <w:szCs w:val="16"/>
                <w:lang w:eastAsia="tr-TR"/>
              </w:rPr>
              <w:t>Yaşlılara yönelik kurumsal ve alternatif bakım hizmetleri geliştirilecektir.</w:t>
            </w:r>
          </w:p>
        </w:tc>
        <w:tc>
          <w:tcPr>
            <w:tcW w:w="1497" w:type="pct"/>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Aile ve Sosyal Politikalar Bakanlığı (S), Yerel Yönetimler</w:t>
            </w:r>
          </w:p>
        </w:tc>
        <w:tc>
          <w:tcPr>
            <w:tcW w:w="420" w:type="pct"/>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Aralık Sonu</w:t>
            </w:r>
          </w:p>
        </w:tc>
        <w:tc>
          <w:tcPr>
            <w:tcW w:w="1649" w:type="pct"/>
            <w:shd w:val="clear" w:color="auto" w:fill="FFFFFF"/>
          </w:tcPr>
          <w:p w:rsidR="00565FD5" w:rsidRPr="004B3DE4" w:rsidRDefault="00565FD5" w:rsidP="00AB62A3">
            <w:pPr>
              <w:spacing w:before="60" w:after="60"/>
              <w:rPr>
                <w:rFonts w:cs="Tahoma"/>
                <w:color w:val="000000"/>
                <w:sz w:val="16"/>
                <w:szCs w:val="16"/>
                <w:lang w:eastAsia="tr-TR"/>
              </w:rPr>
            </w:pPr>
            <w:r w:rsidRPr="004B3DE4">
              <w:rPr>
                <w:rFonts w:cs="Tahoma"/>
                <w:color w:val="000000"/>
                <w:sz w:val="16"/>
                <w:szCs w:val="16"/>
                <w:lang w:eastAsia="tr-TR"/>
              </w:rPr>
              <w:t>Yaşlılara yönelik yatılı ve gündüzlü bakım hizmetlerinin sunulduğu kuruluşların sayısı ve niteliği artırılacaktır. Ayrıca yerel yönetimlerin ve sivil toplum kuruluşlarının bu konudaki rolleri artırılacaktır.</w:t>
            </w:r>
          </w:p>
        </w:tc>
      </w:tr>
    </w:tbl>
    <w:p w:rsidR="00565FD5" w:rsidRPr="004B3DE4" w:rsidRDefault="00565FD5" w:rsidP="00565FD5"/>
    <w:p w:rsidR="00565FD5" w:rsidRPr="004B3DE4" w:rsidRDefault="00565FD5" w:rsidP="00565FD5">
      <w:pPr>
        <w:rPr>
          <w:rFonts w:cs="Tahoma"/>
        </w:rPr>
      </w:pPr>
    </w:p>
    <w:p w:rsidR="00565FD5" w:rsidRPr="004B3DE4" w:rsidRDefault="00565FD5" w:rsidP="00565FD5">
      <w:pPr>
        <w:pStyle w:val="Balk3"/>
      </w:pPr>
      <w:bookmarkStart w:id="2590" w:name="_Toc338494257"/>
      <w:bookmarkStart w:id="2591" w:name="_Toc338505632"/>
      <w:bookmarkStart w:id="2592" w:name="_Toc338523864"/>
      <w:bookmarkStart w:id="2593" w:name="_Toc338524095"/>
      <w:bookmarkStart w:id="2594" w:name="_Toc338526321"/>
      <w:bookmarkStart w:id="2595" w:name="_Toc338673764"/>
      <w:bookmarkStart w:id="2596" w:name="_Toc338711643"/>
      <w:bookmarkStart w:id="2597" w:name="_Toc244253740"/>
      <w:bookmarkStart w:id="2598" w:name="_Toc244254990"/>
      <w:bookmarkStart w:id="2599" w:name="_Toc244313725"/>
      <w:bookmarkStart w:id="2600" w:name="_Toc244315202"/>
      <w:bookmarkStart w:id="2601" w:name="_Toc244339665"/>
      <w:bookmarkStart w:id="2602" w:name="_Toc276076347"/>
      <w:r>
        <w:lastRenderedPageBreak/>
        <w:t>Ç</w:t>
      </w:r>
      <w:r w:rsidRPr="004B3DE4">
        <w:t>. SOSYAL GÜVENLİK SİSTEMİNİN ETKİNLİĞİNİN ARTIRILMASI</w:t>
      </w:r>
      <w:bookmarkEnd w:id="2590"/>
      <w:bookmarkEnd w:id="2591"/>
      <w:bookmarkEnd w:id="2592"/>
      <w:bookmarkEnd w:id="2593"/>
      <w:bookmarkEnd w:id="2594"/>
      <w:bookmarkEnd w:id="2595"/>
      <w:bookmarkEnd w:id="2596"/>
    </w:p>
    <w:p w:rsidR="00565FD5" w:rsidRPr="004B3DE4" w:rsidRDefault="00565FD5" w:rsidP="00565FD5">
      <w:pPr>
        <w:pStyle w:val="Balk4"/>
      </w:pPr>
      <w:bookmarkStart w:id="2603" w:name="_Toc338505633"/>
      <w:bookmarkStart w:id="2604" w:name="_Toc338523865"/>
      <w:bookmarkStart w:id="2605" w:name="_Toc338524096"/>
      <w:bookmarkStart w:id="2606" w:name="_Toc338526322"/>
      <w:bookmarkStart w:id="2607" w:name="_Toc338673765"/>
      <w:bookmarkStart w:id="2608" w:name="_Toc338711644"/>
      <w:r w:rsidRPr="004B3DE4">
        <w:t>1. Mevcut Durum</w:t>
      </w:r>
      <w:bookmarkEnd w:id="2603"/>
      <w:bookmarkEnd w:id="2604"/>
      <w:bookmarkEnd w:id="2605"/>
      <w:bookmarkEnd w:id="2606"/>
      <w:bookmarkEnd w:id="2607"/>
      <w:bookmarkEnd w:id="2608"/>
    </w:p>
    <w:p w:rsidR="00565FD5" w:rsidRPr="004B3DE4" w:rsidRDefault="00565FD5" w:rsidP="00565FD5">
      <w:pPr>
        <w:spacing w:after="160"/>
        <w:ind w:firstLine="425"/>
        <w:rPr>
          <w:rFonts w:cs="Tahoma"/>
          <w:szCs w:val="18"/>
        </w:rPr>
      </w:pPr>
      <w:r w:rsidRPr="004B3DE4">
        <w:rPr>
          <w:rFonts w:cs="Tahoma"/>
          <w:szCs w:val="18"/>
        </w:rPr>
        <w:t xml:space="preserve">2011 yılı sonu itibarıyla sosyal sigorta programlarının kapsadığı nüfusun oranı, kayıt dışı istihdamla mücadele çalışmalarının da etkisiyle, bir önceki yıla göre 2,4 puan artışla yüzde 85,4’e yükselmiştir. </w:t>
      </w:r>
    </w:p>
    <w:p w:rsidR="00565FD5" w:rsidRPr="004B3DE4" w:rsidRDefault="00565FD5" w:rsidP="00565FD5">
      <w:pPr>
        <w:spacing w:after="160"/>
        <w:ind w:firstLine="425"/>
        <w:rPr>
          <w:rFonts w:cs="Tahoma"/>
          <w:szCs w:val="18"/>
        </w:rPr>
      </w:pPr>
      <w:r w:rsidRPr="004B3DE4">
        <w:rPr>
          <w:rFonts w:cs="Tahoma"/>
          <w:szCs w:val="18"/>
        </w:rPr>
        <w:t>Sosyal sigorta sisteminin gelirleri giderlerini karşılayamamakta ve sistem açık vermeye devam etmektedir. Sistemde yaşanan finansman sorununun en önemli nedenleri; geçmişte uygulanan erken emeklilik, yüksek aylık bağlama oranları, sağlık harcamalarının giderek artması ve bilgi teknolojilerinin etkin kullanılamamasıdır. Finansman açığını kapatmak için sisteme bütçeden yapılan transfer tutarının GSYH’ya oranı 2010 yılında yüzde 2,46 iken, 2011 yılında yüzde 1,28’e gerilemiştir.</w:t>
      </w:r>
      <w:r w:rsidRPr="00D15749">
        <w:rPr>
          <w:rFonts w:cs="Tahoma"/>
          <w:szCs w:val="18"/>
          <w:vertAlign w:val="superscript"/>
        </w:rPr>
        <w:footnoteReference w:id="9"/>
      </w:r>
      <w:r w:rsidRPr="004B3DE4">
        <w:rPr>
          <w:rFonts w:cs="Tahoma"/>
          <w:szCs w:val="18"/>
        </w:rPr>
        <w:t xml:space="preserve"> Söz konusu düşüşte 6111 sayılı Kanunla prim borçlarının yeniden yapılandırılması etkili olmuştur. 2011 sonu itibarıyla yaklaşık 2,4 milyon kişi yapılandırmaya başvurmuş, 37,8 milyar TL tutarındaki Kurum alacağı yeniden yapılandırılmış ve yaklaşık 8,2 milyar TL tutarında tahsilat gerçekleştirilmiştir.</w:t>
      </w:r>
    </w:p>
    <w:p w:rsidR="00565FD5" w:rsidRPr="004B3DE4" w:rsidRDefault="00565FD5" w:rsidP="00565FD5">
      <w:pPr>
        <w:spacing w:after="160"/>
        <w:ind w:firstLine="425"/>
        <w:rPr>
          <w:rFonts w:cs="Tahoma"/>
          <w:szCs w:val="18"/>
        </w:rPr>
      </w:pPr>
      <w:r w:rsidRPr="004B3DE4">
        <w:rPr>
          <w:rFonts w:cs="Tahoma"/>
          <w:szCs w:val="18"/>
        </w:rPr>
        <w:t xml:space="preserve">Sosyal sigorta sisteminin finansal sürdürülebilirliğinin önemli göstergelerinden biri olan aktif/pasif oranı 2011 yılı sonu itibarıyla 1,70 olarak gerçekleşmiştir. 2010 yılında yüzde 43,3 olan kayıtdışı istihdam oranı 2011 yılında azalarak yüzde 42’ye düşmekle birlikte, söz konusu sorun sosyal sigorta sistemi gelirlerini olumsuz yönde etkilemeye devam etmektedir. Diğer taraftan sistem, gelirlerinin olması gereken düzeyin altında gerçekleşmesine neden olan asgari düzeyde prim yatırılması gibi suistimallerle de karşı karşıya kalmaktadır. 2012 yılı itibarıyla yüzde 7,1 olan 65 yaş üzeri nüfusun toplam nüfusa oranının 2025 yılında yüzde 9,9’a yükseleceği tahmin edilmektedir. Tüm bu faktörlerin yanı sıra, doğurganlık oranlarının azalması ile doğumda beklenen yaşam süresinin giderek artmasının da sistem üzerindeki mali yükü artırması beklenmektedir. </w:t>
      </w:r>
    </w:p>
    <w:p w:rsidR="00565FD5" w:rsidRPr="004B3DE4" w:rsidRDefault="00565FD5" w:rsidP="00565FD5">
      <w:pPr>
        <w:spacing w:after="160"/>
        <w:ind w:firstLine="425"/>
        <w:rPr>
          <w:rFonts w:cs="Tahoma"/>
          <w:szCs w:val="18"/>
        </w:rPr>
      </w:pPr>
      <w:r w:rsidRPr="004B3DE4">
        <w:rPr>
          <w:rFonts w:cs="Tahoma"/>
          <w:szCs w:val="18"/>
        </w:rPr>
        <w:t xml:space="preserve">Kayıtlı istihdam düzeyinin ve işgücüne katılım oranının düşük olması sebebiyle çalışan ve çalışabilir nüfusun bir bölümü sosyal yardım </w:t>
      </w:r>
      <w:r w:rsidRPr="004B3DE4">
        <w:rPr>
          <w:rFonts w:cs="Tahoma"/>
          <w:szCs w:val="18"/>
        </w:rPr>
        <w:lastRenderedPageBreak/>
        <w:t xml:space="preserve">programlarından yararlanmaktadır. SGK tarafından kayıtdışı istihdamla mücadele konusunda 2008 yılında başlatılan çalışmalarda veri paylaşımı, yapılan denetimler, gelen ihbar-şikayetler sonucunda 2008-2012 Temmuz döneminde 1 milyon 201 bin kişi ile 80.701 işyerinin tescilsiz olduğu tespit edilmiş olup konuya ilişkin çalışmalara devam edilmektedir. Kayıtdışı istihdam, prim gelirlerinde düşüklüğe, kişilerin emeklilik dönemlerinde emeklilik güvencesinden yoksun kalmalarına ve ekonomide öngörülebilirliğin kısıtlanmasına sebep olması gibi nedenlerle üzerinde hassasiyetle durulması gereken bir konu olarak ortaya çıkmaktadır. Bu nedenle söz konusu alanda denetim mekanizmalarının güçlendirilmesi önem arz etmektedir. </w:t>
      </w:r>
    </w:p>
    <w:p w:rsidR="00565FD5" w:rsidRPr="0026379C" w:rsidRDefault="00565FD5" w:rsidP="00565FD5">
      <w:pPr>
        <w:pStyle w:val="ResimYazs"/>
        <w:rPr>
          <w:rFonts w:cs="Tahoma"/>
        </w:rPr>
      </w:pPr>
      <w:bookmarkStart w:id="2609" w:name="_Toc338606063"/>
      <w:bookmarkStart w:id="2610" w:name="_Toc338711838"/>
      <w:r>
        <w:t xml:space="preserve">TABLO IV: </w:t>
      </w:r>
      <w:fldSimple w:instr=" SEQ TABLO_IV: \* ARABIC ">
        <w:r>
          <w:rPr>
            <w:noProof/>
          </w:rPr>
          <w:t>68</w:t>
        </w:r>
      </w:fldSimple>
      <w:r w:rsidRPr="0026379C">
        <w:rPr>
          <w:rFonts w:cs="Tahoma"/>
        </w:rPr>
        <w:t>- Sosyal Sigorta Programlarının Kapsadığı Nüfus</w:t>
      </w:r>
      <w:bookmarkEnd w:id="2609"/>
      <w:bookmarkEnd w:id="2610"/>
    </w:p>
    <w:tbl>
      <w:tblPr>
        <w:tblW w:w="7144" w:type="dxa"/>
        <w:jc w:val="center"/>
        <w:tblCellMar>
          <w:left w:w="70" w:type="dxa"/>
          <w:right w:w="70" w:type="dxa"/>
        </w:tblCellMar>
        <w:tblLook w:val="00A0"/>
      </w:tblPr>
      <w:tblGrid>
        <w:gridCol w:w="4241"/>
        <w:gridCol w:w="1029"/>
        <w:gridCol w:w="937"/>
        <w:gridCol w:w="937"/>
      </w:tblGrid>
      <w:tr w:rsidR="00565FD5" w:rsidRPr="0026379C" w:rsidTr="00AB62A3">
        <w:trPr>
          <w:trHeight w:val="227"/>
          <w:jc w:val="center"/>
        </w:trPr>
        <w:tc>
          <w:tcPr>
            <w:tcW w:w="2915" w:type="pct"/>
            <w:tcBorders>
              <w:top w:val="single" w:sz="4" w:space="0" w:color="auto"/>
              <w:left w:val="single" w:sz="4" w:space="0" w:color="auto"/>
              <w:bottom w:val="single" w:sz="4" w:space="0" w:color="auto"/>
              <w:right w:val="nil"/>
            </w:tcBorders>
            <w:noWrap/>
            <w:vAlign w:val="center"/>
          </w:tcPr>
          <w:p w:rsidR="00565FD5" w:rsidRPr="0026379C" w:rsidRDefault="00565FD5" w:rsidP="00AB62A3">
            <w:pPr>
              <w:rPr>
                <w:rFonts w:cs="Tahoma"/>
                <w:b/>
                <w:bCs/>
                <w:color w:val="010101"/>
                <w:sz w:val="14"/>
                <w:szCs w:val="14"/>
                <w:lang w:eastAsia="tr-TR"/>
              </w:rPr>
            </w:pPr>
          </w:p>
        </w:tc>
        <w:tc>
          <w:tcPr>
            <w:tcW w:w="707" w:type="pct"/>
            <w:tcBorders>
              <w:top w:val="single" w:sz="4" w:space="0" w:color="auto"/>
              <w:left w:val="nil"/>
              <w:bottom w:val="single" w:sz="4" w:space="0" w:color="auto"/>
              <w:right w:val="nil"/>
            </w:tcBorders>
            <w:vAlign w:val="center"/>
          </w:tcPr>
          <w:p w:rsidR="00565FD5" w:rsidRPr="0026379C" w:rsidRDefault="00565FD5" w:rsidP="00AB62A3">
            <w:pPr>
              <w:jc w:val="right"/>
              <w:rPr>
                <w:rFonts w:cs="Tahoma"/>
                <w:b/>
                <w:bCs/>
                <w:color w:val="010101"/>
                <w:sz w:val="14"/>
                <w:szCs w:val="14"/>
                <w:lang w:eastAsia="tr-TR"/>
              </w:rPr>
            </w:pPr>
            <w:r w:rsidRPr="0026379C">
              <w:rPr>
                <w:rFonts w:cs="Tahoma"/>
                <w:b/>
                <w:bCs/>
                <w:color w:val="010101"/>
                <w:sz w:val="14"/>
                <w:szCs w:val="14"/>
                <w:lang w:eastAsia="tr-TR"/>
              </w:rPr>
              <w:t>2009</w:t>
            </w:r>
          </w:p>
        </w:tc>
        <w:tc>
          <w:tcPr>
            <w:tcW w:w="644" w:type="pct"/>
            <w:tcBorders>
              <w:top w:val="single" w:sz="4" w:space="0" w:color="auto"/>
              <w:left w:val="nil"/>
              <w:bottom w:val="single" w:sz="4" w:space="0" w:color="auto"/>
              <w:right w:val="nil"/>
            </w:tcBorders>
            <w:noWrap/>
            <w:vAlign w:val="center"/>
          </w:tcPr>
          <w:p w:rsidR="00565FD5" w:rsidRPr="0026379C" w:rsidRDefault="00565FD5" w:rsidP="00AB62A3">
            <w:pPr>
              <w:jc w:val="right"/>
              <w:rPr>
                <w:rFonts w:cs="Tahoma"/>
                <w:b/>
                <w:bCs/>
                <w:color w:val="010101"/>
                <w:sz w:val="14"/>
                <w:szCs w:val="14"/>
                <w:lang w:eastAsia="tr-TR"/>
              </w:rPr>
            </w:pPr>
            <w:r w:rsidRPr="0026379C">
              <w:rPr>
                <w:rFonts w:cs="Tahoma"/>
                <w:b/>
                <w:bCs/>
                <w:color w:val="010101"/>
                <w:sz w:val="14"/>
                <w:szCs w:val="14"/>
                <w:lang w:eastAsia="tr-TR"/>
              </w:rPr>
              <w:t>2010</w:t>
            </w:r>
          </w:p>
        </w:tc>
        <w:tc>
          <w:tcPr>
            <w:tcW w:w="644" w:type="pct"/>
            <w:tcBorders>
              <w:top w:val="single" w:sz="4" w:space="0" w:color="auto"/>
              <w:left w:val="nil"/>
              <w:bottom w:val="single" w:sz="4" w:space="0" w:color="auto"/>
              <w:right w:val="single" w:sz="4" w:space="0" w:color="auto"/>
            </w:tcBorders>
            <w:noWrap/>
            <w:vAlign w:val="center"/>
          </w:tcPr>
          <w:p w:rsidR="00565FD5" w:rsidRPr="0026379C" w:rsidRDefault="00565FD5" w:rsidP="00AB62A3">
            <w:pPr>
              <w:jc w:val="right"/>
              <w:rPr>
                <w:rFonts w:cs="Tahoma"/>
                <w:b/>
                <w:bCs/>
                <w:color w:val="010101"/>
                <w:sz w:val="14"/>
                <w:szCs w:val="14"/>
                <w:lang w:eastAsia="tr-TR"/>
              </w:rPr>
            </w:pPr>
            <w:r w:rsidRPr="0026379C">
              <w:rPr>
                <w:rFonts w:cs="Tahoma"/>
                <w:b/>
                <w:bCs/>
                <w:color w:val="010101"/>
                <w:sz w:val="14"/>
                <w:szCs w:val="14"/>
                <w:lang w:eastAsia="tr-TR"/>
              </w:rPr>
              <w:t>2011</w:t>
            </w:r>
          </w:p>
        </w:tc>
      </w:tr>
      <w:tr w:rsidR="00565FD5" w:rsidRPr="0026379C" w:rsidTr="00AB62A3">
        <w:trPr>
          <w:trHeight w:val="198"/>
          <w:jc w:val="center"/>
        </w:trPr>
        <w:tc>
          <w:tcPr>
            <w:tcW w:w="2915" w:type="pct"/>
            <w:tcBorders>
              <w:top w:val="single" w:sz="4" w:space="0" w:color="auto"/>
              <w:left w:val="single" w:sz="4" w:space="0" w:color="auto"/>
              <w:bottom w:val="nil"/>
              <w:right w:val="nil"/>
            </w:tcBorders>
            <w:noWrap/>
            <w:vAlign w:val="bottom"/>
          </w:tcPr>
          <w:p w:rsidR="00565FD5" w:rsidRPr="0026379C" w:rsidRDefault="00565FD5" w:rsidP="00AB62A3">
            <w:pPr>
              <w:rPr>
                <w:rFonts w:cs="Tahoma"/>
                <w:b/>
                <w:bCs/>
                <w:color w:val="000000"/>
                <w:sz w:val="14"/>
                <w:szCs w:val="14"/>
                <w:lang w:eastAsia="tr-TR"/>
              </w:rPr>
            </w:pPr>
            <w:r w:rsidRPr="0026379C">
              <w:rPr>
                <w:rFonts w:cs="Tahoma"/>
                <w:b/>
                <w:bCs/>
                <w:color w:val="000000"/>
                <w:sz w:val="14"/>
                <w:szCs w:val="14"/>
                <w:lang w:eastAsia="tr-TR"/>
              </w:rPr>
              <w:t xml:space="preserve">I.   Kamu Çalışanlarının Sigortalı Sayıları  </w:t>
            </w:r>
          </w:p>
        </w:tc>
        <w:tc>
          <w:tcPr>
            <w:tcW w:w="707" w:type="pct"/>
            <w:tcBorders>
              <w:top w:val="single" w:sz="4" w:space="0" w:color="auto"/>
              <w:left w:val="nil"/>
              <w:bottom w:val="nil"/>
              <w:right w:val="nil"/>
            </w:tcBorders>
            <w:vAlign w:val="bottom"/>
          </w:tcPr>
          <w:p w:rsidR="00565FD5" w:rsidRPr="0026379C" w:rsidRDefault="00565FD5" w:rsidP="00AB62A3">
            <w:pPr>
              <w:jc w:val="right"/>
              <w:rPr>
                <w:rFonts w:cs="Tahoma"/>
                <w:b/>
                <w:bCs/>
                <w:color w:val="010101"/>
                <w:sz w:val="14"/>
                <w:szCs w:val="14"/>
                <w:lang w:eastAsia="tr-TR"/>
              </w:rPr>
            </w:pPr>
            <w:r w:rsidRPr="0026379C">
              <w:rPr>
                <w:rFonts w:cs="Tahoma"/>
                <w:b/>
                <w:bCs/>
                <w:color w:val="010101"/>
                <w:sz w:val="14"/>
                <w:szCs w:val="14"/>
                <w:lang w:eastAsia="tr-TR"/>
              </w:rPr>
              <w:t>9 028 211</w:t>
            </w:r>
          </w:p>
        </w:tc>
        <w:tc>
          <w:tcPr>
            <w:tcW w:w="644" w:type="pct"/>
            <w:tcBorders>
              <w:top w:val="single" w:sz="4" w:space="0" w:color="auto"/>
              <w:left w:val="nil"/>
              <w:bottom w:val="nil"/>
              <w:right w:val="nil"/>
            </w:tcBorders>
            <w:vAlign w:val="bottom"/>
          </w:tcPr>
          <w:p w:rsidR="00565FD5" w:rsidRPr="0026379C" w:rsidRDefault="00565FD5" w:rsidP="00AB62A3">
            <w:pPr>
              <w:jc w:val="right"/>
              <w:rPr>
                <w:rFonts w:cs="Tahoma"/>
                <w:b/>
                <w:bCs/>
                <w:color w:val="010101"/>
                <w:sz w:val="14"/>
                <w:szCs w:val="14"/>
                <w:lang w:eastAsia="tr-TR"/>
              </w:rPr>
            </w:pPr>
            <w:r w:rsidRPr="0026379C">
              <w:rPr>
                <w:rFonts w:cs="Tahoma"/>
                <w:b/>
                <w:bCs/>
                <w:color w:val="010101"/>
                <w:sz w:val="14"/>
                <w:szCs w:val="14"/>
                <w:lang w:eastAsia="tr-TR"/>
              </w:rPr>
              <w:t>9 191 803</w:t>
            </w:r>
          </w:p>
        </w:tc>
        <w:tc>
          <w:tcPr>
            <w:tcW w:w="644" w:type="pct"/>
            <w:tcBorders>
              <w:top w:val="single" w:sz="4" w:space="0" w:color="auto"/>
              <w:left w:val="nil"/>
              <w:bottom w:val="nil"/>
              <w:right w:val="single" w:sz="4" w:space="0" w:color="auto"/>
            </w:tcBorders>
            <w:vAlign w:val="bottom"/>
          </w:tcPr>
          <w:p w:rsidR="00565FD5" w:rsidRPr="0026379C" w:rsidRDefault="00565FD5" w:rsidP="00AB62A3">
            <w:pPr>
              <w:jc w:val="right"/>
              <w:rPr>
                <w:rFonts w:cs="Tahoma"/>
                <w:b/>
                <w:bCs/>
                <w:color w:val="010101"/>
                <w:sz w:val="14"/>
                <w:szCs w:val="14"/>
                <w:lang w:eastAsia="tr-TR"/>
              </w:rPr>
            </w:pPr>
            <w:r w:rsidRPr="0026379C">
              <w:rPr>
                <w:rFonts w:cs="Tahoma"/>
                <w:b/>
                <w:bCs/>
                <w:color w:val="010101"/>
                <w:sz w:val="14"/>
                <w:szCs w:val="14"/>
                <w:lang w:eastAsia="tr-TR"/>
              </w:rPr>
              <w:t>9 998 872</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1. Aktif Sigortalılar </w:t>
            </w:r>
            <w:r w:rsidRPr="0026379C">
              <w:rPr>
                <w:rFonts w:cs="Tahoma"/>
                <w:color w:val="000000"/>
                <w:sz w:val="14"/>
                <w:szCs w:val="14"/>
                <w:vertAlign w:val="superscript"/>
                <w:lang w:eastAsia="tr-TR"/>
              </w:rPr>
              <w:t>1</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2 241 418</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2 282 511</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2 554 200</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2. Aylık Alanlar (kişi)</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1 795 334</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1 822 730</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1 856 273</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3. Bağımlılar </w:t>
            </w:r>
            <w:r w:rsidRPr="0026379C">
              <w:rPr>
                <w:rFonts w:cs="Tahoma"/>
                <w:color w:val="000000"/>
                <w:sz w:val="14"/>
                <w:szCs w:val="14"/>
                <w:vertAlign w:val="superscript"/>
                <w:lang w:eastAsia="tr-TR"/>
              </w:rPr>
              <w:t>2</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4 991 459</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5 086 562</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5 588 399</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4. Aktif Sigortalı/Pasif Sigortalı (1)/(2)</w:t>
            </w:r>
          </w:p>
        </w:tc>
        <w:tc>
          <w:tcPr>
            <w:tcW w:w="707" w:type="pct"/>
            <w:tcBorders>
              <w:top w:val="nil"/>
              <w:left w:val="nil"/>
              <w:bottom w:val="nil"/>
              <w:right w:val="nil"/>
            </w:tcBorders>
            <w:vAlign w:val="bottom"/>
          </w:tcPr>
          <w:p w:rsidR="00565FD5" w:rsidRPr="0026379C" w:rsidRDefault="00565FD5" w:rsidP="00AB62A3">
            <w:pPr>
              <w:jc w:val="right"/>
              <w:rPr>
                <w:rFonts w:cs="Tahoma"/>
                <w:color w:val="010101"/>
                <w:sz w:val="14"/>
                <w:szCs w:val="14"/>
                <w:lang w:eastAsia="tr-TR"/>
              </w:rPr>
            </w:pPr>
            <w:r w:rsidRPr="0026379C">
              <w:rPr>
                <w:rFonts w:cs="Tahoma"/>
                <w:color w:val="010101"/>
                <w:sz w:val="14"/>
                <w:szCs w:val="14"/>
                <w:lang w:eastAsia="tr-TR"/>
              </w:rPr>
              <w:t>1,25</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1,25</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1,38</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5. Bağımlılık Oranı (3+2)/(1)</w:t>
            </w:r>
          </w:p>
        </w:tc>
        <w:tc>
          <w:tcPr>
            <w:tcW w:w="707" w:type="pct"/>
            <w:tcBorders>
              <w:top w:val="nil"/>
              <w:left w:val="nil"/>
              <w:bottom w:val="nil"/>
              <w:right w:val="nil"/>
            </w:tcBorders>
            <w:vAlign w:val="bottom"/>
          </w:tcPr>
          <w:p w:rsidR="00565FD5" w:rsidRPr="0026379C" w:rsidRDefault="00565FD5" w:rsidP="00AB62A3">
            <w:pPr>
              <w:jc w:val="right"/>
              <w:rPr>
                <w:rFonts w:cs="Tahoma"/>
                <w:color w:val="010101"/>
                <w:sz w:val="14"/>
                <w:szCs w:val="14"/>
                <w:lang w:eastAsia="tr-TR"/>
              </w:rPr>
            </w:pPr>
            <w:r w:rsidRPr="0026379C">
              <w:rPr>
                <w:rFonts w:cs="Tahoma"/>
                <w:color w:val="010101"/>
                <w:sz w:val="14"/>
                <w:szCs w:val="14"/>
                <w:lang w:eastAsia="tr-TR"/>
              </w:rPr>
              <w:t>3,03</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3,03</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2,91</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b/>
                <w:bCs/>
                <w:color w:val="000000"/>
                <w:sz w:val="14"/>
                <w:szCs w:val="14"/>
                <w:lang w:eastAsia="tr-TR"/>
              </w:rPr>
            </w:pPr>
            <w:r w:rsidRPr="0026379C">
              <w:rPr>
                <w:rFonts w:cs="Tahoma"/>
                <w:b/>
                <w:bCs/>
                <w:color w:val="000000"/>
                <w:sz w:val="14"/>
                <w:szCs w:val="14"/>
                <w:lang w:eastAsia="tr-TR"/>
              </w:rPr>
              <w:t>II.  Hizmet Akdi İle Çalışanların Sigortalı Sayıları</w:t>
            </w:r>
          </w:p>
        </w:tc>
        <w:tc>
          <w:tcPr>
            <w:tcW w:w="707" w:type="pct"/>
            <w:tcBorders>
              <w:top w:val="nil"/>
              <w:left w:val="nil"/>
              <w:bottom w:val="nil"/>
              <w:right w:val="nil"/>
            </w:tcBorders>
            <w:vAlign w:val="bottom"/>
          </w:tcPr>
          <w:p w:rsidR="00565FD5" w:rsidRPr="0026379C" w:rsidRDefault="00565FD5" w:rsidP="00AB62A3">
            <w:pPr>
              <w:jc w:val="right"/>
              <w:rPr>
                <w:rFonts w:cs="Tahoma"/>
                <w:b/>
                <w:bCs/>
                <w:color w:val="010101"/>
                <w:sz w:val="14"/>
                <w:szCs w:val="14"/>
                <w:lang w:eastAsia="tr-TR"/>
              </w:rPr>
            </w:pPr>
            <w:r w:rsidRPr="0026379C">
              <w:rPr>
                <w:rFonts w:cs="Tahoma"/>
                <w:b/>
                <w:bCs/>
                <w:color w:val="010101"/>
                <w:sz w:val="14"/>
                <w:szCs w:val="14"/>
                <w:lang w:eastAsia="tr-TR"/>
              </w:rPr>
              <w:t>34 204 574</w:t>
            </w:r>
          </w:p>
        </w:tc>
        <w:tc>
          <w:tcPr>
            <w:tcW w:w="644" w:type="pct"/>
            <w:tcBorders>
              <w:top w:val="nil"/>
              <w:left w:val="nil"/>
              <w:bottom w:val="nil"/>
              <w:right w:val="nil"/>
            </w:tcBorders>
            <w:vAlign w:val="bottom"/>
          </w:tcPr>
          <w:p w:rsidR="00565FD5" w:rsidRPr="0026379C" w:rsidRDefault="00565FD5" w:rsidP="00AB62A3">
            <w:pPr>
              <w:jc w:val="right"/>
              <w:rPr>
                <w:rFonts w:cs="Tahoma"/>
                <w:b/>
                <w:bCs/>
                <w:color w:val="010101"/>
                <w:sz w:val="14"/>
                <w:szCs w:val="14"/>
                <w:lang w:eastAsia="tr-TR"/>
              </w:rPr>
            </w:pPr>
            <w:r w:rsidRPr="0026379C">
              <w:rPr>
                <w:rFonts w:cs="Tahoma"/>
                <w:b/>
                <w:bCs/>
                <w:color w:val="010101"/>
                <w:sz w:val="14"/>
                <w:szCs w:val="14"/>
                <w:lang w:eastAsia="tr-TR"/>
              </w:rPr>
              <w:t>36 466 213</w:t>
            </w:r>
          </w:p>
        </w:tc>
        <w:tc>
          <w:tcPr>
            <w:tcW w:w="644" w:type="pct"/>
            <w:tcBorders>
              <w:top w:val="nil"/>
              <w:left w:val="nil"/>
              <w:bottom w:val="nil"/>
              <w:right w:val="single" w:sz="4" w:space="0" w:color="auto"/>
            </w:tcBorders>
            <w:vAlign w:val="bottom"/>
          </w:tcPr>
          <w:p w:rsidR="00565FD5" w:rsidRPr="0026379C" w:rsidRDefault="00565FD5" w:rsidP="00AB62A3">
            <w:pPr>
              <w:jc w:val="right"/>
              <w:rPr>
                <w:rFonts w:cs="Tahoma"/>
                <w:b/>
                <w:bCs/>
                <w:color w:val="010101"/>
                <w:sz w:val="14"/>
                <w:szCs w:val="14"/>
                <w:lang w:eastAsia="tr-TR"/>
              </w:rPr>
            </w:pPr>
            <w:r w:rsidRPr="0026379C">
              <w:rPr>
                <w:rFonts w:cs="Tahoma"/>
                <w:b/>
                <w:bCs/>
                <w:color w:val="010101"/>
                <w:sz w:val="14"/>
                <w:szCs w:val="14"/>
                <w:lang w:eastAsia="tr-TR"/>
              </w:rPr>
              <w:t>38 050 678</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1. Aktif Sigortalılar</w:t>
            </w:r>
            <w:r w:rsidRPr="0026379C">
              <w:rPr>
                <w:rFonts w:cs="Tahoma"/>
                <w:color w:val="000000"/>
                <w:sz w:val="14"/>
                <w:szCs w:val="14"/>
                <w:vertAlign w:val="superscript"/>
                <w:lang w:eastAsia="tr-TR"/>
              </w:rPr>
              <w:t>3</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9 066 132</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10 056 588</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11 063 806</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2. Kısmi Süreli Çalışan Sigortalılar</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52 116</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16 964</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60 237</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3. Tarımdaki Aktif Sigortalılar </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178 541</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152 802</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124 911</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4. Aylık Alanlar (kişi)</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5 290 270</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5 535 411</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5 777 300</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5. Bağımlılar </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19 617 515</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20 704 448</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21 024 424</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6. Aktif Sigortalı/Pasif Sigortalı (1+2+3)/(4)</w:t>
            </w:r>
          </w:p>
        </w:tc>
        <w:tc>
          <w:tcPr>
            <w:tcW w:w="707" w:type="pct"/>
            <w:tcBorders>
              <w:top w:val="nil"/>
              <w:left w:val="nil"/>
              <w:bottom w:val="nil"/>
              <w:right w:val="nil"/>
            </w:tcBorders>
            <w:vAlign w:val="bottom"/>
          </w:tcPr>
          <w:p w:rsidR="00565FD5" w:rsidRPr="0026379C" w:rsidRDefault="00565FD5" w:rsidP="00AB62A3">
            <w:pPr>
              <w:jc w:val="right"/>
              <w:rPr>
                <w:rFonts w:cs="Tahoma"/>
                <w:color w:val="010101"/>
                <w:sz w:val="14"/>
                <w:szCs w:val="14"/>
                <w:lang w:eastAsia="tr-TR"/>
              </w:rPr>
            </w:pPr>
            <w:r w:rsidRPr="0026379C">
              <w:rPr>
                <w:rFonts w:cs="Tahoma"/>
                <w:color w:val="010101"/>
                <w:sz w:val="14"/>
                <w:szCs w:val="14"/>
                <w:lang w:eastAsia="tr-TR"/>
              </w:rPr>
              <w:t>1,76</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1,85</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1,95</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7. Bağımlılık Oranı (5+4)/(3+2+1)</w:t>
            </w:r>
          </w:p>
        </w:tc>
        <w:tc>
          <w:tcPr>
            <w:tcW w:w="707" w:type="pct"/>
            <w:tcBorders>
              <w:top w:val="nil"/>
              <w:left w:val="nil"/>
              <w:bottom w:val="nil"/>
              <w:right w:val="nil"/>
            </w:tcBorders>
            <w:vAlign w:val="bottom"/>
          </w:tcPr>
          <w:p w:rsidR="00565FD5" w:rsidRPr="0026379C" w:rsidRDefault="00565FD5" w:rsidP="00AB62A3">
            <w:pPr>
              <w:jc w:val="right"/>
              <w:rPr>
                <w:rFonts w:cs="Tahoma"/>
                <w:color w:val="010101"/>
                <w:sz w:val="14"/>
                <w:szCs w:val="14"/>
                <w:lang w:eastAsia="tr-TR"/>
              </w:rPr>
            </w:pPr>
            <w:r w:rsidRPr="0026379C">
              <w:rPr>
                <w:rFonts w:cs="Tahoma"/>
                <w:color w:val="010101"/>
                <w:sz w:val="14"/>
                <w:szCs w:val="14"/>
                <w:lang w:eastAsia="tr-TR"/>
              </w:rPr>
              <w:t>2,68</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2,57</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2,38</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b/>
                <w:bCs/>
                <w:color w:val="000000"/>
                <w:sz w:val="14"/>
                <w:szCs w:val="14"/>
                <w:lang w:eastAsia="tr-TR"/>
              </w:rPr>
            </w:pPr>
            <w:r w:rsidRPr="0026379C">
              <w:rPr>
                <w:rFonts w:cs="Tahoma"/>
                <w:b/>
                <w:bCs/>
                <w:color w:val="000000"/>
                <w:sz w:val="14"/>
                <w:szCs w:val="14"/>
                <w:lang w:eastAsia="tr-TR"/>
              </w:rPr>
              <w:t>III. Bağımsız Çalışanların Sigortalı Sayıları</w:t>
            </w:r>
          </w:p>
        </w:tc>
        <w:tc>
          <w:tcPr>
            <w:tcW w:w="707" w:type="pct"/>
            <w:tcBorders>
              <w:top w:val="nil"/>
              <w:left w:val="nil"/>
              <w:bottom w:val="nil"/>
              <w:right w:val="nil"/>
            </w:tcBorders>
            <w:vAlign w:val="bottom"/>
          </w:tcPr>
          <w:p w:rsidR="00565FD5" w:rsidRPr="0026379C" w:rsidRDefault="00565FD5" w:rsidP="00AB62A3">
            <w:pPr>
              <w:jc w:val="right"/>
              <w:rPr>
                <w:rFonts w:cs="Tahoma"/>
                <w:b/>
                <w:bCs/>
                <w:color w:val="000000"/>
                <w:sz w:val="14"/>
                <w:szCs w:val="14"/>
                <w:lang w:eastAsia="tr-TR"/>
              </w:rPr>
            </w:pPr>
            <w:r w:rsidRPr="0026379C">
              <w:rPr>
                <w:rFonts w:cs="Tahoma"/>
                <w:b/>
                <w:bCs/>
                <w:color w:val="000000"/>
                <w:sz w:val="14"/>
                <w:szCs w:val="14"/>
                <w:lang w:eastAsia="tr-TR"/>
              </w:rPr>
              <w:t>14 705 935</w:t>
            </w:r>
          </w:p>
        </w:tc>
        <w:tc>
          <w:tcPr>
            <w:tcW w:w="644" w:type="pct"/>
            <w:tcBorders>
              <w:top w:val="nil"/>
              <w:left w:val="nil"/>
              <w:bottom w:val="nil"/>
              <w:right w:val="nil"/>
            </w:tcBorders>
            <w:vAlign w:val="bottom"/>
          </w:tcPr>
          <w:p w:rsidR="00565FD5" w:rsidRPr="0026379C" w:rsidRDefault="00565FD5" w:rsidP="00AB62A3">
            <w:pPr>
              <w:jc w:val="right"/>
              <w:rPr>
                <w:rFonts w:cs="Tahoma"/>
                <w:b/>
                <w:bCs/>
                <w:color w:val="000000"/>
                <w:sz w:val="14"/>
                <w:szCs w:val="14"/>
                <w:lang w:eastAsia="tr-TR"/>
              </w:rPr>
            </w:pPr>
            <w:r w:rsidRPr="0026379C">
              <w:rPr>
                <w:rFonts w:cs="Tahoma"/>
                <w:b/>
                <w:bCs/>
                <w:color w:val="000000"/>
                <w:sz w:val="14"/>
                <w:szCs w:val="14"/>
                <w:lang w:eastAsia="tr-TR"/>
              </w:rPr>
              <w:t>15 177 791</w:t>
            </w:r>
          </w:p>
        </w:tc>
        <w:tc>
          <w:tcPr>
            <w:tcW w:w="644" w:type="pct"/>
            <w:tcBorders>
              <w:top w:val="nil"/>
              <w:left w:val="nil"/>
              <w:bottom w:val="nil"/>
              <w:right w:val="single" w:sz="4" w:space="0" w:color="auto"/>
            </w:tcBorders>
            <w:vAlign w:val="bottom"/>
          </w:tcPr>
          <w:p w:rsidR="00565FD5" w:rsidRPr="0026379C" w:rsidRDefault="00565FD5" w:rsidP="00AB62A3">
            <w:pPr>
              <w:jc w:val="right"/>
              <w:rPr>
                <w:rFonts w:cs="Tahoma"/>
                <w:b/>
                <w:bCs/>
                <w:color w:val="000000"/>
                <w:sz w:val="14"/>
                <w:szCs w:val="14"/>
                <w:lang w:eastAsia="tr-TR"/>
              </w:rPr>
            </w:pPr>
            <w:r w:rsidRPr="0026379C">
              <w:rPr>
                <w:rFonts w:cs="Tahoma"/>
                <w:b/>
                <w:bCs/>
                <w:color w:val="000000"/>
                <w:sz w:val="14"/>
                <w:szCs w:val="14"/>
                <w:lang w:eastAsia="tr-TR"/>
              </w:rPr>
              <w:t>15 390 199</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1. Aktif Sigortalılar </w:t>
            </w:r>
            <w:r w:rsidRPr="0026379C">
              <w:rPr>
                <w:rFonts w:cs="Tahoma"/>
                <w:color w:val="000000"/>
                <w:sz w:val="14"/>
                <w:szCs w:val="14"/>
                <w:vertAlign w:val="superscript"/>
                <w:lang w:eastAsia="tr-TR"/>
              </w:rPr>
              <w:t>4</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1 832 133</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1 862 192</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1 880 740</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2. İsteğe Bağlı Aktif Sigortalılar</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389 791</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374 535</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270 780</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lastRenderedPageBreak/>
              <w:t xml:space="preserve">     3. Tarımdaki Aktif Sigortalılar </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1 014 948</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1 101 131</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1 121 777</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4. Aylık Alanlar (kişi)</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2 088 146</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2 160 507</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2 381 409</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5. Bağımlılar </w:t>
            </w:r>
            <w:r w:rsidRPr="0026379C">
              <w:rPr>
                <w:rFonts w:cs="Tahoma"/>
                <w:color w:val="000000"/>
                <w:sz w:val="14"/>
                <w:szCs w:val="14"/>
                <w:vertAlign w:val="superscript"/>
                <w:lang w:eastAsia="tr-TR"/>
              </w:rPr>
              <w:t>2</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9 380 917</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9 679 426</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9 735 493</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6. Aktif Sigortalı/Pasif Sigortalı (1+2+3)/(4)</w:t>
            </w:r>
          </w:p>
        </w:tc>
        <w:tc>
          <w:tcPr>
            <w:tcW w:w="707" w:type="pct"/>
            <w:tcBorders>
              <w:top w:val="nil"/>
              <w:left w:val="nil"/>
              <w:bottom w:val="nil"/>
              <w:right w:val="nil"/>
            </w:tcBorders>
            <w:vAlign w:val="bottom"/>
          </w:tcPr>
          <w:p w:rsidR="00565FD5" w:rsidRPr="0026379C" w:rsidRDefault="00565FD5" w:rsidP="00AB62A3">
            <w:pPr>
              <w:jc w:val="right"/>
              <w:rPr>
                <w:rFonts w:cs="Tahoma"/>
                <w:color w:val="010101"/>
                <w:sz w:val="14"/>
                <w:szCs w:val="14"/>
                <w:lang w:eastAsia="tr-TR"/>
              </w:rPr>
            </w:pPr>
            <w:r w:rsidRPr="0026379C">
              <w:rPr>
                <w:rFonts w:cs="Tahoma"/>
                <w:color w:val="010101"/>
                <w:sz w:val="14"/>
                <w:szCs w:val="14"/>
                <w:lang w:eastAsia="tr-TR"/>
              </w:rPr>
              <w:t>1,55</w:t>
            </w:r>
          </w:p>
        </w:tc>
        <w:tc>
          <w:tcPr>
            <w:tcW w:w="644" w:type="pct"/>
            <w:tcBorders>
              <w:top w:val="nil"/>
              <w:left w:val="nil"/>
              <w:bottom w:val="nil"/>
              <w:right w:val="nil"/>
            </w:tcBorders>
            <w:vAlign w:val="bottom"/>
          </w:tcPr>
          <w:p w:rsidR="00565FD5" w:rsidRPr="0026379C" w:rsidRDefault="00565FD5" w:rsidP="00AB62A3">
            <w:pPr>
              <w:jc w:val="right"/>
              <w:rPr>
                <w:rFonts w:cs="Tahoma"/>
                <w:color w:val="010101"/>
                <w:sz w:val="14"/>
                <w:szCs w:val="14"/>
                <w:lang w:eastAsia="tr-TR"/>
              </w:rPr>
            </w:pPr>
            <w:r w:rsidRPr="0026379C">
              <w:rPr>
                <w:rFonts w:cs="Tahoma"/>
                <w:color w:val="010101"/>
                <w:sz w:val="14"/>
                <w:szCs w:val="14"/>
                <w:lang w:eastAsia="tr-TR"/>
              </w:rPr>
              <w:t>1,54</w:t>
            </w:r>
          </w:p>
        </w:tc>
        <w:tc>
          <w:tcPr>
            <w:tcW w:w="644" w:type="pct"/>
            <w:tcBorders>
              <w:top w:val="nil"/>
              <w:left w:val="nil"/>
              <w:bottom w:val="nil"/>
              <w:right w:val="single" w:sz="4" w:space="0" w:color="auto"/>
            </w:tcBorders>
            <w:vAlign w:val="bottom"/>
          </w:tcPr>
          <w:p w:rsidR="00565FD5" w:rsidRPr="0026379C" w:rsidRDefault="00565FD5" w:rsidP="00AB62A3">
            <w:pPr>
              <w:jc w:val="right"/>
              <w:rPr>
                <w:rFonts w:cs="Tahoma"/>
                <w:color w:val="010101"/>
                <w:sz w:val="14"/>
                <w:szCs w:val="14"/>
                <w:lang w:eastAsia="tr-TR"/>
              </w:rPr>
            </w:pPr>
            <w:r w:rsidRPr="0026379C">
              <w:rPr>
                <w:rFonts w:cs="Tahoma"/>
                <w:color w:val="010101"/>
                <w:sz w:val="14"/>
                <w:szCs w:val="14"/>
                <w:lang w:eastAsia="tr-TR"/>
              </w:rPr>
              <w:t>1,37</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7. Bağımlılık Oranı (5+4)/(3+2+1)</w:t>
            </w:r>
          </w:p>
        </w:tc>
        <w:tc>
          <w:tcPr>
            <w:tcW w:w="707" w:type="pct"/>
            <w:tcBorders>
              <w:top w:val="nil"/>
              <w:left w:val="nil"/>
              <w:bottom w:val="nil"/>
              <w:right w:val="nil"/>
            </w:tcBorders>
            <w:vAlign w:val="bottom"/>
          </w:tcPr>
          <w:p w:rsidR="00565FD5" w:rsidRPr="0026379C" w:rsidRDefault="00565FD5" w:rsidP="00AB62A3">
            <w:pPr>
              <w:jc w:val="right"/>
              <w:rPr>
                <w:rFonts w:cs="Tahoma"/>
                <w:color w:val="010101"/>
                <w:sz w:val="14"/>
                <w:szCs w:val="14"/>
                <w:lang w:eastAsia="tr-TR"/>
              </w:rPr>
            </w:pPr>
            <w:r w:rsidRPr="0026379C">
              <w:rPr>
                <w:rFonts w:cs="Tahoma"/>
                <w:color w:val="010101"/>
                <w:sz w:val="14"/>
                <w:szCs w:val="14"/>
                <w:lang w:eastAsia="tr-TR"/>
              </w:rPr>
              <w:t>3,54</w:t>
            </w:r>
          </w:p>
        </w:tc>
        <w:tc>
          <w:tcPr>
            <w:tcW w:w="644" w:type="pct"/>
            <w:tcBorders>
              <w:top w:val="nil"/>
              <w:left w:val="nil"/>
              <w:bottom w:val="nil"/>
              <w:right w:val="nil"/>
            </w:tcBorders>
            <w:vAlign w:val="bottom"/>
          </w:tcPr>
          <w:p w:rsidR="00565FD5" w:rsidRPr="0026379C" w:rsidRDefault="00565FD5" w:rsidP="00AB62A3">
            <w:pPr>
              <w:jc w:val="right"/>
              <w:rPr>
                <w:rFonts w:cs="Tahoma"/>
                <w:color w:val="010101"/>
                <w:sz w:val="14"/>
                <w:szCs w:val="14"/>
                <w:lang w:eastAsia="tr-TR"/>
              </w:rPr>
            </w:pPr>
            <w:r w:rsidRPr="0026379C">
              <w:rPr>
                <w:rFonts w:cs="Tahoma"/>
                <w:color w:val="010101"/>
                <w:sz w:val="14"/>
                <w:szCs w:val="14"/>
                <w:lang w:eastAsia="tr-TR"/>
              </w:rPr>
              <w:t>3,55</w:t>
            </w:r>
          </w:p>
        </w:tc>
        <w:tc>
          <w:tcPr>
            <w:tcW w:w="644" w:type="pct"/>
            <w:tcBorders>
              <w:top w:val="nil"/>
              <w:left w:val="nil"/>
              <w:bottom w:val="nil"/>
              <w:right w:val="single" w:sz="4" w:space="0" w:color="auto"/>
            </w:tcBorders>
            <w:vAlign w:val="bottom"/>
          </w:tcPr>
          <w:p w:rsidR="00565FD5" w:rsidRPr="0026379C" w:rsidRDefault="00565FD5" w:rsidP="00AB62A3">
            <w:pPr>
              <w:jc w:val="right"/>
              <w:rPr>
                <w:rFonts w:cs="Tahoma"/>
                <w:color w:val="010101"/>
                <w:sz w:val="14"/>
                <w:szCs w:val="14"/>
                <w:lang w:eastAsia="tr-TR"/>
              </w:rPr>
            </w:pPr>
            <w:r w:rsidRPr="0026379C">
              <w:rPr>
                <w:rFonts w:cs="Tahoma"/>
                <w:color w:val="010101"/>
                <w:sz w:val="14"/>
                <w:szCs w:val="14"/>
                <w:lang w:eastAsia="tr-TR"/>
              </w:rPr>
              <w:t>3,70</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b/>
                <w:bCs/>
                <w:color w:val="000000"/>
                <w:sz w:val="14"/>
                <w:szCs w:val="14"/>
                <w:lang w:eastAsia="tr-TR"/>
              </w:rPr>
            </w:pPr>
            <w:r w:rsidRPr="0026379C">
              <w:rPr>
                <w:rFonts w:cs="Tahoma"/>
                <w:b/>
                <w:bCs/>
                <w:color w:val="000000"/>
                <w:sz w:val="14"/>
                <w:szCs w:val="14"/>
                <w:lang w:eastAsia="tr-TR"/>
              </w:rPr>
              <w:t>IV.  Özel Sandıklar Toplamı</w:t>
            </w:r>
          </w:p>
        </w:tc>
        <w:tc>
          <w:tcPr>
            <w:tcW w:w="707" w:type="pct"/>
            <w:tcBorders>
              <w:top w:val="nil"/>
              <w:left w:val="nil"/>
              <w:bottom w:val="nil"/>
              <w:right w:val="nil"/>
            </w:tcBorders>
            <w:vAlign w:val="bottom"/>
          </w:tcPr>
          <w:p w:rsidR="00565FD5" w:rsidRPr="0026379C" w:rsidRDefault="00565FD5" w:rsidP="00AB62A3">
            <w:pPr>
              <w:jc w:val="right"/>
              <w:rPr>
                <w:rFonts w:cs="Tahoma"/>
                <w:b/>
                <w:bCs/>
                <w:color w:val="010101"/>
                <w:sz w:val="14"/>
                <w:szCs w:val="14"/>
                <w:lang w:eastAsia="tr-TR"/>
              </w:rPr>
            </w:pPr>
            <w:r w:rsidRPr="0026379C">
              <w:rPr>
                <w:rFonts w:cs="Tahoma"/>
                <w:b/>
                <w:bCs/>
                <w:color w:val="010101"/>
                <w:sz w:val="14"/>
                <w:szCs w:val="14"/>
                <w:lang w:eastAsia="tr-TR"/>
              </w:rPr>
              <w:t>331 205</w:t>
            </w:r>
          </w:p>
        </w:tc>
        <w:tc>
          <w:tcPr>
            <w:tcW w:w="644" w:type="pct"/>
            <w:tcBorders>
              <w:top w:val="nil"/>
              <w:left w:val="nil"/>
              <w:bottom w:val="nil"/>
              <w:right w:val="nil"/>
            </w:tcBorders>
            <w:vAlign w:val="bottom"/>
          </w:tcPr>
          <w:p w:rsidR="00565FD5" w:rsidRPr="0026379C" w:rsidRDefault="00565FD5" w:rsidP="00AB62A3">
            <w:pPr>
              <w:jc w:val="right"/>
              <w:rPr>
                <w:rFonts w:cs="Tahoma"/>
                <w:b/>
                <w:bCs/>
                <w:color w:val="010101"/>
                <w:sz w:val="14"/>
                <w:szCs w:val="14"/>
                <w:lang w:eastAsia="tr-TR"/>
              </w:rPr>
            </w:pPr>
            <w:r w:rsidRPr="0026379C">
              <w:rPr>
                <w:rFonts w:cs="Tahoma"/>
                <w:b/>
                <w:bCs/>
                <w:color w:val="010101"/>
                <w:sz w:val="14"/>
                <w:szCs w:val="14"/>
                <w:lang w:eastAsia="tr-TR"/>
              </w:rPr>
              <w:t>341 103</w:t>
            </w:r>
          </w:p>
        </w:tc>
        <w:tc>
          <w:tcPr>
            <w:tcW w:w="644" w:type="pct"/>
            <w:tcBorders>
              <w:top w:val="nil"/>
              <w:left w:val="nil"/>
              <w:bottom w:val="nil"/>
              <w:right w:val="single" w:sz="4" w:space="0" w:color="auto"/>
            </w:tcBorders>
            <w:vAlign w:val="bottom"/>
          </w:tcPr>
          <w:p w:rsidR="00565FD5" w:rsidRPr="0026379C" w:rsidRDefault="00565FD5" w:rsidP="00AB62A3">
            <w:pPr>
              <w:jc w:val="right"/>
              <w:rPr>
                <w:rFonts w:cs="Tahoma"/>
                <w:b/>
                <w:bCs/>
                <w:color w:val="010101"/>
                <w:sz w:val="14"/>
                <w:szCs w:val="14"/>
                <w:lang w:eastAsia="tr-TR"/>
              </w:rPr>
            </w:pPr>
            <w:r w:rsidRPr="0026379C">
              <w:rPr>
                <w:rFonts w:cs="Tahoma"/>
                <w:b/>
                <w:bCs/>
                <w:color w:val="010101"/>
                <w:sz w:val="14"/>
                <w:szCs w:val="14"/>
                <w:lang w:eastAsia="tr-TR"/>
              </w:rPr>
              <w:t>350 890</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1. Aktif Sigortalılar</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109 668</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114 600</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119 682</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2. Aylık Alanlar </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82 459</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83 581</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84 890</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3. Bağımlılar </w:t>
            </w:r>
            <w:r w:rsidRPr="0026379C">
              <w:rPr>
                <w:rFonts w:cs="Tahoma"/>
                <w:color w:val="000000"/>
                <w:sz w:val="14"/>
                <w:szCs w:val="14"/>
                <w:vertAlign w:val="superscript"/>
                <w:lang w:eastAsia="tr-TR"/>
              </w:rPr>
              <w:t>2</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139 078</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142 922</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146 318</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4. Aktif Sigortalı/Pasif Sigortalı (1)/(2)</w:t>
            </w:r>
          </w:p>
        </w:tc>
        <w:tc>
          <w:tcPr>
            <w:tcW w:w="707" w:type="pct"/>
            <w:tcBorders>
              <w:top w:val="nil"/>
              <w:left w:val="nil"/>
              <w:bottom w:val="nil"/>
              <w:right w:val="nil"/>
            </w:tcBorders>
            <w:vAlign w:val="bottom"/>
          </w:tcPr>
          <w:p w:rsidR="00565FD5" w:rsidRPr="0026379C" w:rsidRDefault="00565FD5" w:rsidP="00AB62A3">
            <w:pPr>
              <w:jc w:val="right"/>
              <w:rPr>
                <w:rFonts w:cs="Tahoma"/>
                <w:color w:val="010101"/>
                <w:sz w:val="14"/>
                <w:szCs w:val="14"/>
                <w:lang w:eastAsia="tr-TR"/>
              </w:rPr>
            </w:pPr>
            <w:r w:rsidRPr="0026379C">
              <w:rPr>
                <w:rFonts w:cs="Tahoma"/>
                <w:color w:val="010101"/>
                <w:sz w:val="14"/>
                <w:szCs w:val="14"/>
                <w:lang w:eastAsia="tr-TR"/>
              </w:rPr>
              <w:t>1,33</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1,37</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1,41</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5. Bağımlılık Oranı (3+2)/(1)</w:t>
            </w:r>
          </w:p>
        </w:tc>
        <w:tc>
          <w:tcPr>
            <w:tcW w:w="707" w:type="pct"/>
            <w:tcBorders>
              <w:top w:val="nil"/>
              <w:left w:val="nil"/>
              <w:bottom w:val="nil"/>
              <w:right w:val="nil"/>
            </w:tcBorders>
            <w:vAlign w:val="bottom"/>
          </w:tcPr>
          <w:p w:rsidR="00565FD5" w:rsidRPr="0026379C" w:rsidRDefault="00565FD5" w:rsidP="00AB62A3">
            <w:pPr>
              <w:jc w:val="right"/>
              <w:rPr>
                <w:rFonts w:cs="Tahoma"/>
                <w:color w:val="010101"/>
                <w:sz w:val="14"/>
                <w:szCs w:val="14"/>
                <w:lang w:eastAsia="tr-TR"/>
              </w:rPr>
            </w:pPr>
            <w:r w:rsidRPr="0026379C">
              <w:rPr>
                <w:rFonts w:cs="Tahoma"/>
                <w:color w:val="010101"/>
                <w:sz w:val="14"/>
                <w:szCs w:val="14"/>
                <w:lang w:eastAsia="tr-TR"/>
              </w:rPr>
              <w:t>2,02</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1,98</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1,93</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b/>
                <w:bCs/>
                <w:color w:val="000000"/>
                <w:sz w:val="14"/>
                <w:szCs w:val="14"/>
                <w:lang w:eastAsia="tr-TR"/>
              </w:rPr>
            </w:pPr>
            <w:r w:rsidRPr="0026379C">
              <w:rPr>
                <w:rFonts w:cs="Tahoma"/>
                <w:b/>
                <w:bCs/>
                <w:color w:val="000000"/>
                <w:sz w:val="14"/>
                <w:szCs w:val="14"/>
                <w:lang w:eastAsia="tr-TR"/>
              </w:rPr>
              <w:t>V.  Genel Toplam</w:t>
            </w:r>
          </w:p>
        </w:tc>
        <w:tc>
          <w:tcPr>
            <w:tcW w:w="707" w:type="pct"/>
            <w:tcBorders>
              <w:top w:val="nil"/>
              <w:left w:val="nil"/>
              <w:bottom w:val="nil"/>
              <w:right w:val="nil"/>
            </w:tcBorders>
            <w:vAlign w:val="bottom"/>
          </w:tcPr>
          <w:p w:rsidR="00565FD5" w:rsidRPr="0026379C" w:rsidRDefault="00565FD5" w:rsidP="00AB62A3">
            <w:pPr>
              <w:jc w:val="right"/>
              <w:rPr>
                <w:rFonts w:cs="Tahoma"/>
                <w:b/>
                <w:bCs/>
                <w:color w:val="010101"/>
                <w:sz w:val="14"/>
                <w:szCs w:val="14"/>
                <w:lang w:eastAsia="tr-TR"/>
              </w:rPr>
            </w:pPr>
            <w:r w:rsidRPr="0026379C">
              <w:rPr>
                <w:rFonts w:cs="Tahoma"/>
                <w:b/>
                <w:bCs/>
                <w:color w:val="010101"/>
                <w:sz w:val="14"/>
                <w:szCs w:val="14"/>
                <w:lang w:eastAsia="tr-TR"/>
              </w:rPr>
              <w:t>58 217 809</w:t>
            </w:r>
          </w:p>
        </w:tc>
        <w:tc>
          <w:tcPr>
            <w:tcW w:w="644" w:type="pct"/>
            <w:tcBorders>
              <w:top w:val="nil"/>
              <w:left w:val="nil"/>
              <w:bottom w:val="nil"/>
              <w:right w:val="nil"/>
            </w:tcBorders>
            <w:noWrap/>
            <w:vAlign w:val="bottom"/>
          </w:tcPr>
          <w:p w:rsidR="00565FD5" w:rsidRPr="0026379C" w:rsidRDefault="00565FD5" w:rsidP="00AB62A3">
            <w:pPr>
              <w:jc w:val="right"/>
              <w:rPr>
                <w:rFonts w:cs="Tahoma"/>
                <w:b/>
                <w:bCs/>
                <w:color w:val="000000"/>
                <w:sz w:val="14"/>
                <w:szCs w:val="14"/>
                <w:lang w:eastAsia="tr-TR"/>
              </w:rPr>
            </w:pPr>
            <w:r w:rsidRPr="0026379C">
              <w:rPr>
                <w:rFonts w:cs="Tahoma"/>
                <w:b/>
                <w:bCs/>
                <w:color w:val="000000"/>
                <w:sz w:val="14"/>
                <w:szCs w:val="14"/>
                <w:lang w:eastAsia="tr-TR"/>
              </w:rPr>
              <w:t>61 176 910</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b/>
                <w:bCs/>
                <w:color w:val="000000"/>
                <w:sz w:val="14"/>
                <w:szCs w:val="14"/>
                <w:lang w:eastAsia="tr-TR"/>
              </w:rPr>
            </w:pPr>
            <w:r w:rsidRPr="0026379C">
              <w:rPr>
                <w:rFonts w:cs="Tahoma"/>
                <w:b/>
                <w:bCs/>
                <w:color w:val="000000"/>
                <w:sz w:val="14"/>
                <w:szCs w:val="14"/>
                <w:lang w:eastAsia="tr-TR"/>
              </w:rPr>
              <w:t>63 790 639</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1. Aktif Sigortalılar</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13 249 351</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14 315 891</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15 618 428</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2. İsteğe Bağlı Aktif Sigortalılar</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389 791</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374 535</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270 780</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3. Tarımdaki Aktif Sigortalılar </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1 193 489</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1 253 933</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1 246 688</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4. Kısmi Süreli Çalışan Sigortalılar</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52 116</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16 964</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60 237</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5. Aylık Alanlar </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9 256 209</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9 602 229</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10 099 872</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6. Bağımlılar </w:t>
            </w:r>
            <w:r w:rsidRPr="0026379C">
              <w:rPr>
                <w:rFonts w:cs="Tahoma"/>
                <w:color w:val="000000"/>
                <w:sz w:val="14"/>
                <w:szCs w:val="14"/>
                <w:vertAlign w:val="superscript"/>
                <w:lang w:eastAsia="tr-TR"/>
              </w:rPr>
              <w:t>2</w:t>
            </w:r>
          </w:p>
        </w:tc>
        <w:tc>
          <w:tcPr>
            <w:tcW w:w="707" w:type="pct"/>
            <w:tcBorders>
              <w:top w:val="nil"/>
              <w:left w:val="nil"/>
              <w:bottom w:val="nil"/>
              <w:right w:val="nil"/>
            </w:tcBorders>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34 128 969</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35 613 358</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36 494 634</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7. Aktif Sigortalı/Pasif Sigortalı (1+2+3+4)/(5)</w:t>
            </w:r>
          </w:p>
        </w:tc>
        <w:tc>
          <w:tcPr>
            <w:tcW w:w="707" w:type="pct"/>
            <w:tcBorders>
              <w:top w:val="nil"/>
              <w:left w:val="nil"/>
              <w:bottom w:val="nil"/>
              <w:right w:val="nil"/>
            </w:tcBorders>
            <w:vAlign w:val="bottom"/>
          </w:tcPr>
          <w:p w:rsidR="00565FD5" w:rsidRPr="0026379C" w:rsidRDefault="00565FD5" w:rsidP="00AB62A3">
            <w:pPr>
              <w:jc w:val="right"/>
              <w:rPr>
                <w:rFonts w:cs="Tahoma"/>
                <w:color w:val="010101"/>
                <w:sz w:val="14"/>
                <w:szCs w:val="14"/>
                <w:lang w:eastAsia="tr-TR"/>
              </w:rPr>
            </w:pPr>
            <w:r w:rsidRPr="0026379C">
              <w:rPr>
                <w:rFonts w:cs="Tahoma"/>
                <w:color w:val="010101"/>
                <w:sz w:val="14"/>
                <w:szCs w:val="14"/>
                <w:lang w:eastAsia="tr-TR"/>
              </w:rPr>
              <w:t>1,61</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1,66</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1,70</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color w:val="000000"/>
                <w:sz w:val="14"/>
                <w:szCs w:val="14"/>
                <w:lang w:eastAsia="tr-TR"/>
              </w:rPr>
            </w:pPr>
            <w:r w:rsidRPr="0026379C">
              <w:rPr>
                <w:rFonts w:cs="Tahoma"/>
                <w:color w:val="000000"/>
                <w:sz w:val="14"/>
                <w:szCs w:val="14"/>
                <w:lang w:eastAsia="tr-TR"/>
              </w:rPr>
              <w:t xml:space="preserve">     8. Bağımlılık Oranı (5+6)/(1+2+3+4)</w:t>
            </w:r>
          </w:p>
        </w:tc>
        <w:tc>
          <w:tcPr>
            <w:tcW w:w="707" w:type="pct"/>
            <w:tcBorders>
              <w:top w:val="nil"/>
              <w:left w:val="nil"/>
              <w:bottom w:val="nil"/>
              <w:right w:val="nil"/>
            </w:tcBorders>
            <w:vAlign w:val="bottom"/>
          </w:tcPr>
          <w:p w:rsidR="00565FD5" w:rsidRPr="0026379C" w:rsidRDefault="00565FD5" w:rsidP="00AB62A3">
            <w:pPr>
              <w:jc w:val="right"/>
              <w:rPr>
                <w:rFonts w:cs="Tahoma"/>
                <w:color w:val="010101"/>
                <w:sz w:val="14"/>
                <w:szCs w:val="14"/>
                <w:lang w:eastAsia="tr-TR"/>
              </w:rPr>
            </w:pPr>
            <w:r w:rsidRPr="0026379C">
              <w:rPr>
                <w:rFonts w:cs="Tahoma"/>
                <w:color w:val="010101"/>
                <w:sz w:val="14"/>
                <w:szCs w:val="14"/>
                <w:lang w:eastAsia="tr-TR"/>
              </w:rPr>
              <w:t>2,91</w:t>
            </w:r>
          </w:p>
        </w:tc>
        <w:tc>
          <w:tcPr>
            <w:tcW w:w="644" w:type="pct"/>
            <w:tcBorders>
              <w:top w:val="nil"/>
              <w:left w:val="nil"/>
              <w:bottom w:val="nil"/>
              <w:right w:val="nil"/>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2,83</w:t>
            </w:r>
          </w:p>
        </w:tc>
        <w:tc>
          <w:tcPr>
            <w:tcW w:w="644" w:type="pct"/>
            <w:tcBorders>
              <w:top w:val="nil"/>
              <w:left w:val="nil"/>
              <w:bottom w:val="nil"/>
              <w:right w:val="single" w:sz="4" w:space="0" w:color="auto"/>
            </w:tcBorders>
            <w:noWrap/>
            <w:vAlign w:val="bottom"/>
          </w:tcPr>
          <w:p w:rsidR="00565FD5" w:rsidRPr="0026379C" w:rsidRDefault="00565FD5" w:rsidP="00AB62A3">
            <w:pPr>
              <w:jc w:val="right"/>
              <w:rPr>
                <w:rFonts w:cs="Tahoma"/>
                <w:color w:val="000000"/>
                <w:sz w:val="14"/>
                <w:szCs w:val="14"/>
                <w:lang w:eastAsia="tr-TR"/>
              </w:rPr>
            </w:pPr>
            <w:r w:rsidRPr="0026379C">
              <w:rPr>
                <w:rFonts w:cs="Tahoma"/>
                <w:color w:val="000000"/>
                <w:sz w:val="14"/>
                <w:szCs w:val="14"/>
                <w:lang w:eastAsia="tr-TR"/>
              </w:rPr>
              <w:t>2,71</w:t>
            </w:r>
          </w:p>
        </w:tc>
      </w:tr>
      <w:tr w:rsidR="00565FD5" w:rsidRPr="0026379C" w:rsidTr="00AB62A3">
        <w:trPr>
          <w:trHeight w:val="198"/>
          <w:jc w:val="center"/>
        </w:trPr>
        <w:tc>
          <w:tcPr>
            <w:tcW w:w="2915" w:type="pct"/>
            <w:tcBorders>
              <w:top w:val="nil"/>
              <w:left w:val="single" w:sz="4" w:space="0" w:color="auto"/>
              <w:bottom w:val="nil"/>
              <w:right w:val="nil"/>
            </w:tcBorders>
            <w:noWrap/>
            <w:vAlign w:val="bottom"/>
          </w:tcPr>
          <w:p w:rsidR="00565FD5" w:rsidRPr="0026379C" w:rsidRDefault="00565FD5" w:rsidP="00AB62A3">
            <w:pPr>
              <w:rPr>
                <w:rFonts w:cs="Tahoma"/>
                <w:b/>
                <w:bCs/>
                <w:color w:val="000000"/>
                <w:sz w:val="14"/>
                <w:szCs w:val="14"/>
                <w:lang w:eastAsia="tr-TR"/>
              </w:rPr>
            </w:pPr>
            <w:r w:rsidRPr="0026379C">
              <w:rPr>
                <w:rFonts w:cs="Tahoma"/>
                <w:b/>
                <w:bCs/>
                <w:color w:val="000000"/>
                <w:sz w:val="14"/>
                <w:szCs w:val="14"/>
                <w:lang w:eastAsia="tr-TR"/>
              </w:rPr>
              <w:t xml:space="preserve">VI. Genel Nüfus Toplamı </w:t>
            </w:r>
          </w:p>
        </w:tc>
        <w:tc>
          <w:tcPr>
            <w:tcW w:w="707" w:type="pct"/>
            <w:tcBorders>
              <w:top w:val="nil"/>
              <w:left w:val="nil"/>
              <w:bottom w:val="nil"/>
              <w:right w:val="nil"/>
            </w:tcBorders>
            <w:vAlign w:val="bottom"/>
          </w:tcPr>
          <w:p w:rsidR="00565FD5" w:rsidRPr="0026379C" w:rsidRDefault="00565FD5" w:rsidP="00AB62A3">
            <w:pPr>
              <w:jc w:val="right"/>
              <w:rPr>
                <w:rFonts w:cs="Tahoma"/>
                <w:b/>
                <w:bCs/>
                <w:color w:val="000000"/>
                <w:sz w:val="14"/>
                <w:szCs w:val="14"/>
                <w:lang w:eastAsia="tr-TR"/>
              </w:rPr>
            </w:pPr>
            <w:r w:rsidRPr="0026379C">
              <w:rPr>
                <w:rFonts w:cs="Tahoma"/>
                <w:b/>
                <w:bCs/>
                <w:color w:val="000000"/>
                <w:sz w:val="14"/>
                <w:szCs w:val="14"/>
                <w:lang w:eastAsia="tr-TR"/>
              </w:rPr>
              <w:t>72 561 312</w:t>
            </w:r>
          </w:p>
        </w:tc>
        <w:tc>
          <w:tcPr>
            <w:tcW w:w="644" w:type="pct"/>
            <w:tcBorders>
              <w:top w:val="nil"/>
              <w:left w:val="nil"/>
              <w:bottom w:val="nil"/>
              <w:right w:val="nil"/>
            </w:tcBorders>
            <w:vAlign w:val="bottom"/>
          </w:tcPr>
          <w:p w:rsidR="00565FD5" w:rsidRPr="0026379C" w:rsidRDefault="00565FD5" w:rsidP="00AB62A3">
            <w:pPr>
              <w:jc w:val="right"/>
              <w:rPr>
                <w:rFonts w:cs="Tahoma"/>
                <w:b/>
                <w:bCs/>
                <w:color w:val="000000"/>
                <w:sz w:val="14"/>
                <w:szCs w:val="14"/>
                <w:lang w:eastAsia="tr-TR"/>
              </w:rPr>
            </w:pPr>
            <w:r w:rsidRPr="0026379C">
              <w:rPr>
                <w:rFonts w:cs="Tahoma"/>
                <w:b/>
                <w:bCs/>
                <w:color w:val="000000"/>
                <w:sz w:val="14"/>
                <w:szCs w:val="14"/>
                <w:lang w:eastAsia="tr-TR"/>
              </w:rPr>
              <w:t>73 722 988</w:t>
            </w:r>
          </w:p>
        </w:tc>
        <w:tc>
          <w:tcPr>
            <w:tcW w:w="644" w:type="pct"/>
            <w:tcBorders>
              <w:top w:val="nil"/>
              <w:left w:val="nil"/>
              <w:bottom w:val="nil"/>
              <w:right w:val="single" w:sz="4" w:space="0" w:color="auto"/>
            </w:tcBorders>
            <w:vAlign w:val="bottom"/>
          </w:tcPr>
          <w:p w:rsidR="00565FD5" w:rsidRPr="0026379C" w:rsidRDefault="00565FD5" w:rsidP="00AB62A3">
            <w:pPr>
              <w:jc w:val="right"/>
              <w:rPr>
                <w:rFonts w:cs="Tahoma"/>
                <w:b/>
                <w:bCs/>
                <w:color w:val="000000"/>
                <w:sz w:val="14"/>
                <w:szCs w:val="14"/>
                <w:lang w:eastAsia="tr-TR"/>
              </w:rPr>
            </w:pPr>
            <w:r w:rsidRPr="0026379C">
              <w:rPr>
                <w:rFonts w:cs="Tahoma"/>
                <w:b/>
                <w:bCs/>
                <w:color w:val="000000"/>
                <w:sz w:val="14"/>
                <w:szCs w:val="14"/>
                <w:lang w:eastAsia="tr-TR"/>
              </w:rPr>
              <w:t>74 724 269</w:t>
            </w:r>
          </w:p>
        </w:tc>
      </w:tr>
      <w:tr w:rsidR="00565FD5" w:rsidRPr="0026379C" w:rsidTr="00AB62A3">
        <w:trPr>
          <w:trHeight w:val="198"/>
          <w:jc w:val="center"/>
        </w:trPr>
        <w:tc>
          <w:tcPr>
            <w:tcW w:w="2915" w:type="pct"/>
            <w:tcBorders>
              <w:top w:val="nil"/>
              <w:left w:val="single" w:sz="4" w:space="0" w:color="auto"/>
              <w:bottom w:val="single" w:sz="4" w:space="0" w:color="auto"/>
              <w:right w:val="nil"/>
            </w:tcBorders>
            <w:noWrap/>
            <w:vAlign w:val="bottom"/>
          </w:tcPr>
          <w:p w:rsidR="00565FD5" w:rsidRPr="0026379C" w:rsidRDefault="00565FD5" w:rsidP="00AB62A3">
            <w:pPr>
              <w:rPr>
                <w:rFonts w:cs="Tahoma"/>
                <w:b/>
                <w:bCs/>
                <w:color w:val="000000"/>
                <w:sz w:val="14"/>
                <w:szCs w:val="14"/>
                <w:lang w:eastAsia="tr-TR"/>
              </w:rPr>
            </w:pPr>
            <w:r w:rsidRPr="0026379C">
              <w:rPr>
                <w:rFonts w:cs="Tahoma"/>
                <w:b/>
                <w:bCs/>
                <w:color w:val="000000"/>
                <w:sz w:val="14"/>
                <w:szCs w:val="14"/>
                <w:lang w:eastAsia="tr-TR"/>
              </w:rPr>
              <w:t>VIII. Sigortalı Nüfus Oranı (Yüzde)</w:t>
            </w:r>
          </w:p>
        </w:tc>
        <w:tc>
          <w:tcPr>
            <w:tcW w:w="707" w:type="pct"/>
            <w:tcBorders>
              <w:top w:val="nil"/>
              <w:left w:val="nil"/>
              <w:bottom w:val="single" w:sz="4" w:space="0" w:color="auto"/>
              <w:right w:val="nil"/>
            </w:tcBorders>
            <w:vAlign w:val="bottom"/>
          </w:tcPr>
          <w:p w:rsidR="00565FD5" w:rsidRPr="0026379C" w:rsidRDefault="00565FD5" w:rsidP="00AB62A3">
            <w:pPr>
              <w:jc w:val="right"/>
              <w:rPr>
                <w:rFonts w:cs="Tahoma"/>
                <w:b/>
                <w:bCs/>
                <w:color w:val="010101"/>
                <w:sz w:val="14"/>
                <w:szCs w:val="14"/>
                <w:lang w:eastAsia="tr-TR"/>
              </w:rPr>
            </w:pPr>
            <w:r w:rsidRPr="0026379C">
              <w:rPr>
                <w:rFonts w:cs="Tahoma"/>
                <w:b/>
                <w:bCs/>
                <w:color w:val="010101"/>
                <w:sz w:val="14"/>
                <w:szCs w:val="14"/>
                <w:lang w:eastAsia="tr-TR"/>
              </w:rPr>
              <w:t>80,2</w:t>
            </w:r>
          </w:p>
        </w:tc>
        <w:tc>
          <w:tcPr>
            <w:tcW w:w="644" w:type="pct"/>
            <w:tcBorders>
              <w:top w:val="nil"/>
              <w:left w:val="nil"/>
              <w:bottom w:val="single" w:sz="4" w:space="0" w:color="auto"/>
              <w:right w:val="nil"/>
            </w:tcBorders>
            <w:noWrap/>
            <w:vAlign w:val="bottom"/>
          </w:tcPr>
          <w:p w:rsidR="00565FD5" w:rsidRPr="0026379C" w:rsidRDefault="00565FD5" w:rsidP="00AB62A3">
            <w:pPr>
              <w:jc w:val="right"/>
              <w:rPr>
                <w:rFonts w:cs="Tahoma"/>
                <w:b/>
                <w:bCs/>
                <w:color w:val="000000"/>
                <w:sz w:val="14"/>
                <w:szCs w:val="14"/>
                <w:lang w:eastAsia="tr-TR"/>
              </w:rPr>
            </w:pPr>
            <w:r w:rsidRPr="0026379C">
              <w:rPr>
                <w:rFonts w:cs="Tahoma"/>
                <w:b/>
                <w:bCs/>
                <w:color w:val="000000"/>
                <w:sz w:val="14"/>
                <w:szCs w:val="14"/>
                <w:lang w:eastAsia="tr-TR"/>
              </w:rPr>
              <w:t>83,0</w:t>
            </w:r>
          </w:p>
        </w:tc>
        <w:tc>
          <w:tcPr>
            <w:tcW w:w="644" w:type="pct"/>
            <w:tcBorders>
              <w:top w:val="nil"/>
              <w:left w:val="nil"/>
              <w:bottom w:val="single" w:sz="4" w:space="0" w:color="auto"/>
              <w:right w:val="single" w:sz="4" w:space="0" w:color="auto"/>
            </w:tcBorders>
            <w:noWrap/>
            <w:vAlign w:val="bottom"/>
          </w:tcPr>
          <w:p w:rsidR="00565FD5" w:rsidRPr="0026379C" w:rsidRDefault="00565FD5" w:rsidP="00AB62A3">
            <w:pPr>
              <w:jc w:val="right"/>
              <w:rPr>
                <w:rFonts w:cs="Tahoma"/>
                <w:b/>
                <w:bCs/>
                <w:color w:val="000000"/>
                <w:sz w:val="14"/>
                <w:szCs w:val="14"/>
                <w:lang w:eastAsia="tr-TR"/>
              </w:rPr>
            </w:pPr>
            <w:r w:rsidRPr="0026379C">
              <w:rPr>
                <w:rFonts w:cs="Tahoma"/>
                <w:b/>
                <w:bCs/>
                <w:color w:val="000000"/>
                <w:sz w:val="14"/>
                <w:szCs w:val="14"/>
                <w:lang w:eastAsia="tr-TR"/>
              </w:rPr>
              <w:t>85,4</w:t>
            </w:r>
          </w:p>
        </w:tc>
      </w:tr>
    </w:tbl>
    <w:p w:rsidR="00565FD5" w:rsidRPr="0026379C" w:rsidRDefault="00565FD5" w:rsidP="00565FD5">
      <w:pPr>
        <w:tabs>
          <w:tab w:val="left" w:pos="4467"/>
          <w:tab w:val="left" w:pos="5456"/>
          <w:tab w:val="left" w:pos="6496"/>
        </w:tabs>
        <w:rPr>
          <w:rFonts w:cs="Tahoma"/>
          <w:color w:val="000000"/>
          <w:sz w:val="14"/>
          <w:szCs w:val="14"/>
          <w:lang w:eastAsia="tr-TR"/>
        </w:rPr>
      </w:pPr>
      <w:r w:rsidRPr="0026379C">
        <w:rPr>
          <w:rFonts w:cs="Tahoma"/>
          <w:color w:val="000000"/>
          <w:sz w:val="14"/>
          <w:szCs w:val="14"/>
          <w:lang w:eastAsia="tr-TR"/>
        </w:rPr>
        <w:t>Kaynak: SGK</w:t>
      </w:r>
      <w:r w:rsidRPr="0026379C">
        <w:rPr>
          <w:rFonts w:cs="Tahoma"/>
          <w:color w:val="000000"/>
          <w:sz w:val="14"/>
          <w:szCs w:val="14"/>
          <w:lang w:eastAsia="tr-TR"/>
        </w:rPr>
        <w:tab/>
      </w:r>
      <w:r w:rsidRPr="0026379C">
        <w:rPr>
          <w:rFonts w:cs="Tahoma"/>
          <w:color w:val="000000"/>
          <w:sz w:val="14"/>
          <w:szCs w:val="14"/>
          <w:lang w:eastAsia="tr-TR"/>
        </w:rPr>
        <w:tab/>
      </w:r>
      <w:r w:rsidRPr="0026379C">
        <w:rPr>
          <w:rFonts w:cs="Tahoma"/>
          <w:color w:val="000000"/>
          <w:sz w:val="14"/>
          <w:szCs w:val="14"/>
          <w:lang w:eastAsia="tr-TR"/>
        </w:rPr>
        <w:tab/>
      </w:r>
    </w:p>
    <w:p w:rsidR="00565FD5" w:rsidRPr="0026379C" w:rsidRDefault="00565FD5" w:rsidP="00565FD5">
      <w:pPr>
        <w:rPr>
          <w:rFonts w:cs="Tahoma"/>
          <w:color w:val="000000"/>
          <w:sz w:val="14"/>
          <w:szCs w:val="14"/>
          <w:lang w:eastAsia="tr-TR"/>
        </w:rPr>
      </w:pPr>
      <w:r w:rsidRPr="0026379C">
        <w:rPr>
          <w:rFonts w:cs="Tahoma"/>
          <w:color w:val="000000"/>
          <w:sz w:val="14"/>
          <w:szCs w:val="14"/>
          <w:vertAlign w:val="superscript"/>
          <w:lang w:eastAsia="tr-TR"/>
        </w:rPr>
        <w:t>1</w:t>
      </w:r>
      <w:r w:rsidRPr="0026379C">
        <w:rPr>
          <w:rFonts w:cs="Tahoma"/>
          <w:color w:val="000000"/>
          <w:sz w:val="14"/>
          <w:szCs w:val="14"/>
          <w:lang w:eastAsia="tr-TR"/>
        </w:rPr>
        <w:t xml:space="preserve"> Aktif sigortalı sayıları Nisan 2009 tarihinden itibaren kesenekleri Kuruma bildirilen kişi sayıları olarak verilmeye başlanmıştır. Nisan 2009 tarihinden önce ise aktif sigortalı sayıları katsayı sistemine göre verildiğinden, kesenekleri Kuruma bildirilen kişi sayıları 2009 yılı Aralık ayına göre geçmişe yönelik olarak revize edilmiştir.</w:t>
      </w:r>
    </w:p>
    <w:p w:rsidR="00565FD5" w:rsidRPr="0026379C" w:rsidRDefault="00565FD5" w:rsidP="00565FD5">
      <w:pPr>
        <w:rPr>
          <w:rFonts w:cs="Tahoma"/>
          <w:color w:val="000000"/>
          <w:sz w:val="14"/>
          <w:szCs w:val="14"/>
          <w:lang w:eastAsia="tr-TR"/>
        </w:rPr>
      </w:pPr>
      <w:r w:rsidRPr="0026379C">
        <w:rPr>
          <w:rFonts w:cs="Tahoma"/>
          <w:color w:val="000000"/>
          <w:sz w:val="14"/>
          <w:szCs w:val="14"/>
          <w:vertAlign w:val="superscript"/>
          <w:lang w:eastAsia="tr-TR"/>
        </w:rPr>
        <w:t>2</w:t>
      </w:r>
      <w:r w:rsidRPr="0026379C">
        <w:rPr>
          <w:rFonts w:cs="Tahoma"/>
          <w:color w:val="000000"/>
          <w:sz w:val="14"/>
          <w:szCs w:val="14"/>
          <w:lang w:eastAsia="tr-TR"/>
        </w:rPr>
        <w:t xml:space="preserve"> Bağımlıların hesaplanmasında yeni katsayılar dikkate alınarak veriler geçmişe yönelik olarak revize edilmiştir.</w:t>
      </w:r>
    </w:p>
    <w:p w:rsidR="00565FD5" w:rsidRPr="0026379C" w:rsidRDefault="00565FD5" w:rsidP="00565FD5">
      <w:pPr>
        <w:rPr>
          <w:rFonts w:cs="Tahoma"/>
          <w:color w:val="000000"/>
          <w:sz w:val="14"/>
          <w:szCs w:val="14"/>
          <w:lang w:eastAsia="tr-TR"/>
        </w:rPr>
      </w:pPr>
      <w:r w:rsidRPr="0026379C">
        <w:rPr>
          <w:rFonts w:cs="Tahoma"/>
          <w:color w:val="000000"/>
          <w:sz w:val="14"/>
          <w:szCs w:val="14"/>
          <w:vertAlign w:val="superscript"/>
          <w:lang w:eastAsia="tr-TR"/>
        </w:rPr>
        <w:t>3</w:t>
      </w:r>
      <w:r w:rsidRPr="0026379C">
        <w:rPr>
          <w:rFonts w:cs="Tahoma"/>
          <w:color w:val="000000"/>
          <w:sz w:val="14"/>
          <w:szCs w:val="14"/>
          <w:lang w:eastAsia="tr-TR"/>
        </w:rPr>
        <w:t xml:space="preserve"> Zorunlu sigorta ve yurt dışı topluluk sigortasını kapsamaktadır.</w:t>
      </w:r>
    </w:p>
    <w:p w:rsidR="00565FD5" w:rsidRDefault="00565FD5" w:rsidP="00565FD5">
      <w:pPr>
        <w:spacing w:after="120"/>
        <w:rPr>
          <w:rFonts w:cs="Tahoma"/>
          <w:color w:val="000000"/>
          <w:sz w:val="14"/>
          <w:szCs w:val="14"/>
          <w:lang w:eastAsia="tr-TR"/>
        </w:rPr>
      </w:pPr>
      <w:r w:rsidRPr="0026379C">
        <w:rPr>
          <w:rFonts w:cs="Tahoma"/>
          <w:color w:val="000000"/>
          <w:sz w:val="14"/>
          <w:szCs w:val="14"/>
          <w:vertAlign w:val="superscript"/>
          <w:lang w:eastAsia="tr-TR"/>
        </w:rPr>
        <w:t>4</w:t>
      </w:r>
      <w:r w:rsidRPr="0026379C">
        <w:rPr>
          <w:rFonts w:cs="Tahoma"/>
          <w:color w:val="000000"/>
          <w:sz w:val="14"/>
          <w:szCs w:val="14"/>
          <w:lang w:eastAsia="tr-TR"/>
        </w:rPr>
        <w:t xml:space="preserve"> Muhtarlık ve zorunlu sigortayı kapsamaktadır.</w:t>
      </w:r>
    </w:p>
    <w:p w:rsidR="00565FD5" w:rsidRPr="004B3DE4" w:rsidRDefault="00565FD5" w:rsidP="00565FD5">
      <w:pPr>
        <w:spacing w:after="160"/>
        <w:ind w:firstLine="425"/>
        <w:rPr>
          <w:rFonts w:cs="Tahoma"/>
          <w:szCs w:val="18"/>
        </w:rPr>
      </w:pPr>
      <w:r w:rsidRPr="004B3DE4">
        <w:rPr>
          <w:rFonts w:cs="Tahoma"/>
          <w:szCs w:val="18"/>
        </w:rPr>
        <w:lastRenderedPageBreak/>
        <w:t xml:space="preserve">2012 yılı içerisinde 6283 sayılı Kanunla Sosyal Sigortalar ve Genel Sağlık Sigortası Kanununda bazı değişiklikler gerçekleştirilmiş, 2000 öncesi SSK emeklileri ile 2002 Nisan-Haziran döneminde emekli olan Bağ-Kurluların aylıklarında intibak gerçekleştirilmesi kararlaştırılmıştır. Böylece 2000 yılı sonrası gösterge esaslı sistemden, gelişme hızından pay alınan bir sisteme geçilmesiyle gelişme hızından pay alamayan yaklaşık 1,9 milyon emeklinin intibakı düzenlenmiştir. </w:t>
      </w:r>
    </w:p>
    <w:p w:rsidR="00565FD5" w:rsidRPr="004B3DE4" w:rsidRDefault="00565FD5" w:rsidP="00565FD5">
      <w:pPr>
        <w:spacing w:after="160"/>
        <w:ind w:firstLine="425"/>
        <w:rPr>
          <w:rFonts w:cs="Tahoma"/>
          <w:szCs w:val="18"/>
        </w:rPr>
      </w:pPr>
      <w:r w:rsidRPr="004B3DE4">
        <w:rPr>
          <w:rFonts w:cs="Tahoma"/>
          <w:szCs w:val="18"/>
        </w:rPr>
        <w:t>Aynı Kanunla sağlık hizmetleri için yapılan usulsüz ve yersiz ödemelerin önlenmesi amacıyla biyometrik yöntemlerle kimlik doğrulaması yapılmasına imkân tanınmıştır. Yıl içerisinde Konya ilinde yürütülen pilot uygulamanın ardından yıl sonu itibarıyla Türkiye genelinde üniversite ve özel hastanelerde uygulamaya geçilmesi planlanmaktadır.</w:t>
      </w:r>
    </w:p>
    <w:p w:rsidR="00565FD5" w:rsidRPr="004B3DE4" w:rsidRDefault="00565FD5" w:rsidP="00565FD5">
      <w:pPr>
        <w:spacing w:after="160"/>
        <w:ind w:firstLine="425"/>
        <w:rPr>
          <w:rFonts w:cs="Tahoma"/>
          <w:szCs w:val="18"/>
        </w:rPr>
      </w:pPr>
      <w:r w:rsidRPr="004B3DE4">
        <w:rPr>
          <w:rFonts w:cs="Tahoma"/>
          <w:szCs w:val="18"/>
        </w:rPr>
        <w:t xml:space="preserve">2012 yılı içerisinde çıkan 6353 sayılı Kanunla Sosyal Yardımlaşma ve Dayanışmayı Teşvik Kanununda bazı değişiklikler yapılmış, sosyal güvenlik kuruluşlarına kayıtlı kişiler de Kanun kapsamına alınmıştır. Bu düzenlemeyle kişilerin sosyal yardımlardan yararlanabilmek için sosyal sigorta sistemi dışına çıkmalarının önlenmesi ve dolayısıyla kişilerin kayıtdışı çalışmalarının önüne geçilmesi yönünde önemli bir adım atılmıştır. </w:t>
      </w:r>
    </w:p>
    <w:p w:rsidR="00565FD5" w:rsidRPr="004B3DE4" w:rsidRDefault="00565FD5" w:rsidP="00565FD5">
      <w:pPr>
        <w:spacing w:after="160"/>
        <w:ind w:firstLine="425"/>
        <w:rPr>
          <w:rFonts w:cs="Tahoma"/>
          <w:szCs w:val="18"/>
        </w:rPr>
      </w:pPr>
      <w:r w:rsidRPr="004B3DE4">
        <w:rPr>
          <w:rFonts w:cs="Tahoma"/>
          <w:szCs w:val="18"/>
        </w:rPr>
        <w:t xml:space="preserve">2012 yılı başında yeşil kart sahipleri gelir testi sonuçlarına göre Genel Sağlık Sigortası (GSS) kapsamına alınmaya başlanmıştır. Ayrıca, 2012 yılı Haziran ayı itibarıyla GSS kapsamında 11,2 milyon kişinin gelir testi sonuçlanmıştır. Buna göre, bunlardan aylık gelirleri brüt asgari ücretin üçte birinin altında olan yaklaşık 7,7 milyon kişinin primleri devlet tarafından ödenecektir. </w:t>
      </w:r>
    </w:p>
    <w:p w:rsidR="00565FD5" w:rsidRPr="004B3DE4" w:rsidRDefault="00565FD5" w:rsidP="00565FD5">
      <w:pPr>
        <w:spacing w:after="160"/>
        <w:ind w:firstLine="425"/>
        <w:rPr>
          <w:rFonts w:cs="Tahoma"/>
          <w:szCs w:val="18"/>
        </w:rPr>
      </w:pPr>
      <w:r w:rsidRPr="004B3DE4">
        <w:rPr>
          <w:rFonts w:cs="Tahoma"/>
          <w:szCs w:val="18"/>
        </w:rPr>
        <w:t xml:space="preserve">Sigorta sisteminde finansal sürdürülebilirliğin sağlanabilmesi amacıyla 5510 sayılı Kanunla aylık bağlama oranları düşürülmüştür. Bu nedenle, bireylerin emeklilik döneminde de hayat standartlarının korunabilmesi için bireysel tasarrufların artırılması ve tamamlayıcı emeklilik ve sağlık sigortası modellerinin geliştirilmesi ihtiyacı devam etmektedir. </w:t>
      </w:r>
    </w:p>
    <w:p w:rsidR="00565FD5" w:rsidRDefault="00565FD5" w:rsidP="00565FD5">
      <w:pPr>
        <w:spacing w:after="160"/>
        <w:ind w:firstLine="425"/>
        <w:rPr>
          <w:rFonts w:cs="Tahoma"/>
          <w:szCs w:val="18"/>
        </w:rPr>
      </w:pPr>
      <w:r w:rsidRPr="004B3DE4">
        <w:rPr>
          <w:rFonts w:cs="Tahoma"/>
          <w:szCs w:val="18"/>
        </w:rPr>
        <w:t>Tüm sigorta işlemlerinin otomasyonla yapılması konusunda SGK tarafından başlatılan çalışmalar devam etmektedir.</w:t>
      </w:r>
    </w:p>
    <w:p w:rsidR="00565FD5" w:rsidRPr="004B3DE4" w:rsidRDefault="00565FD5" w:rsidP="00565FD5">
      <w:pPr>
        <w:pStyle w:val="Balk4"/>
      </w:pPr>
      <w:bookmarkStart w:id="2611" w:name="_Toc338505634"/>
      <w:bookmarkStart w:id="2612" w:name="_Toc338523866"/>
      <w:bookmarkStart w:id="2613" w:name="_Toc338524097"/>
      <w:bookmarkStart w:id="2614" w:name="_Toc338526323"/>
      <w:bookmarkStart w:id="2615" w:name="_Toc338673766"/>
      <w:bookmarkStart w:id="2616" w:name="_Toc338711645"/>
      <w:r w:rsidRPr="004B3DE4">
        <w:lastRenderedPageBreak/>
        <w:t>2. Temel Amaç ve Hedefler</w:t>
      </w:r>
      <w:bookmarkEnd w:id="2611"/>
      <w:bookmarkEnd w:id="2612"/>
      <w:bookmarkEnd w:id="2613"/>
      <w:bookmarkEnd w:id="2614"/>
      <w:bookmarkEnd w:id="2615"/>
      <w:bookmarkEnd w:id="2616"/>
    </w:p>
    <w:p w:rsidR="00565FD5" w:rsidRPr="004B3DE4" w:rsidRDefault="00565FD5" w:rsidP="00565FD5">
      <w:pPr>
        <w:spacing w:after="240"/>
        <w:ind w:firstLine="425"/>
        <w:rPr>
          <w:rFonts w:cs="Tahoma"/>
          <w:szCs w:val="18"/>
        </w:rPr>
      </w:pPr>
      <w:r w:rsidRPr="004B3DE4">
        <w:rPr>
          <w:rFonts w:cs="Tahoma"/>
          <w:szCs w:val="18"/>
        </w:rPr>
        <w:t>Sosyal güvenlik sisteminin; nüfusun tümünü kapsayan, toplumun değişen ihtiyaçlarını karşılayabilen, mali sürdürülebilirliğe ve etkin denetim mekanizmasına sahip, kaliteli hizmet sunan bir yapıya kavuşturulması temel amaçtır.</w:t>
      </w:r>
    </w:p>
    <w:p w:rsidR="00565FD5" w:rsidRPr="004B3DE4" w:rsidRDefault="00565FD5" w:rsidP="00565FD5">
      <w:pPr>
        <w:pStyle w:val="Balk4"/>
      </w:pPr>
      <w:bookmarkStart w:id="2617" w:name="_Toc338505635"/>
      <w:bookmarkStart w:id="2618" w:name="_Toc338523867"/>
      <w:bookmarkStart w:id="2619" w:name="_Toc338524098"/>
      <w:bookmarkStart w:id="2620" w:name="_Toc338526324"/>
      <w:bookmarkStart w:id="2621" w:name="_Toc338673767"/>
      <w:bookmarkStart w:id="2622" w:name="_Toc338711646"/>
      <w:r w:rsidRPr="004B3DE4">
        <w:t>3. Politika Öncelikleri ve Tedbirler</w:t>
      </w:r>
      <w:bookmarkEnd w:id="2617"/>
      <w:bookmarkEnd w:id="2618"/>
      <w:bookmarkEnd w:id="2619"/>
      <w:bookmarkEnd w:id="2620"/>
      <w:bookmarkEnd w:id="2621"/>
      <w:bookmarkEnd w:id="2622"/>
      <w:r w:rsidRPr="004B3DE4">
        <w:t xml:space="preserve"> </w:t>
      </w: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792"/>
        <w:gridCol w:w="2127"/>
        <w:gridCol w:w="831"/>
        <w:gridCol w:w="2394"/>
      </w:tblGrid>
      <w:tr w:rsidR="00565FD5" w:rsidRPr="004B3DE4" w:rsidTr="00AB62A3">
        <w:trPr>
          <w:trHeight w:val="383"/>
          <w:jc w:val="center"/>
        </w:trPr>
        <w:tc>
          <w:tcPr>
            <w:tcW w:w="1199" w:type="pct"/>
            <w:vAlign w:val="bottom"/>
          </w:tcPr>
          <w:p w:rsidR="00565FD5" w:rsidRPr="004B3DE4" w:rsidRDefault="00565FD5" w:rsidP="00AB62A3">
            <w:pPr>
              <w:spacing w:before="60" w:after="60"/>
              <w:ind w:left="57" w:right="57"/>
              <w:rPr>
                <w:rFonts w:cs="Tahoma"/>
                <w:b/>
                <w:sz w:val="16"/>
                <w:szCs w:val="16"/>
              </w:rPr>
            </w:pPr>
            <w:r w:rsidRPr="004B3DE4">
              <w:rPr>
                <w:rFonts w:cs="Tahoma"/>
                <w:b/>
                <w:sz w:val="16"/>
                <w:szCs w:val="16"/>
              </w:rPr>
              <w:t>Öncelik / Tedbir</w:t>
            </w:r>
          </w:p>
        </w:tc>
        <w:tc>
          <w:tcPr>
            <w:tcW w:w="1507" w:type="pct"/>
            <w:vAlign w:val="bottom"/>
          </w:tcPr>
          <w:p w:rsidR="00565FD5" w:rsidRPr="004B3DE4" w:rsidRDefault="00565FD5" w:rsidP="00AB62A3">
            <w:pPr>
              <w:spacing w:before="60" w:after="60"/>
              <w:ind w:left="57" w:right="57"/>
              <w:rPr>
                <w:rFonts w:cs="Tahoma"/>
                <w:b/>
                <w:sz w:val="16"/>
                <w:szCs w:val="16"/>
              </w:rPr>
            </w:pPr>
            <w:r w:rsidRPr="004B3DE4">
              <w:rPr>
                <w:rFonts w:cs="Tahoma"/>
                <w:b/>
                <w:sz w:val="16"/>
                <w:szCs w:val="16"/>
              </w:rPr>
              <w:t>Sorumlu /İşbirliği</w:t>
            </w:r>
          </w:p>
          <w:p w:rsidR="00565FD5" w:rsidRPr="004B3DE4" w:rsidRDefault="00565FD5" w:rsidP="00AB62A3">
            <w:pPr>
              <w:spacing w:before="60" w:after="60"/>
              <w:ind w:left="57" w:right="57"/>
              <w:rPr>
                <w:rFonts w:cs="Tahoma"/>
                <w:b/>
                <w:sz w:val="16"/>
                <w:szCs w:val="16"/>
              </w:rPr>
            </w:pPr>
            <w:r w:rsidRPr="004B3DE4">
              <w:rPr>
                <w:rFonts w:cs="Tahoma"/>
                <w:b/>
                <w:sz w:val="16"/>
                <w:szCs w:val="16"/>
              </w:rPr>
              <w:t>Yapılacak Kuruluşlar</w:t>
            </w:r>
          </w:p>
        </w:tc>
        <w:tc>
          <w:tcPr>
            <w:tcW w:w="600" w:type="pct"/>
            <w:vAlign w:val="bottom"/>
          </w:tcPr>
          <w:p w:rsidR="00565FD5" w:rsidRPr="004B3DE4" w:rsidRDefault="00565FD5" w:rsidP="00AB62A3">
            <w:pPr>
              <w:spacing w:before="60" w:after="60"/>
              <w:ind w:left="57" w:right="57"/>
              <w:rPr>
                <w:rFonts w:cs="Tahoma"/>
                <w:b/>
                <w:sz w:val="16"/>
                <w:szCs w:val="16"/>
              </w:rPr>
            </w:pPr>
            <w:r w:rsidRPr="004B3DE4">
              <w:rPr>
                <w:rFonts w:cs="Tahoma"/>
                <w:b/>
                <w:sz w:val="16"/>
                <w:szCs w:val="16"/>
              </w:rPr>
              <w:t>Süre</w:t>
            </w:r>
          </w:p>
        </w:tc>
        <w:tc>
          <w:tcPr>
            <w:tcW w:w="1694" w:type="pct"/>
            <w:vAlign w:val="bottom"/>
          </w:tcPr>
          <w:p w:rsidR="00565FD5" w:rsidRPr="004B3DE4" w:rsidRDefault="00565FD5" w:rsidP="00AB62A3">
            <w:pPr>
              <w:spacing w:before="60" w:after="60"/>
              <w:ind w:left="57" w:right="57"/>
              <w:rPr>
                <w:rFonts w:cs="Tahoma"/>
                <w:b/>
                <w:sz w:val="16"/>
                <w:szCs w:val="16"/>
              </w:rPr>
            </w:pPr>
            <w:r w:rsidRPr="004B3DE4">
              <w:rPr>
                <w:rFonts w:cs="Tahoma"/>
                <w:b/>
                <w:sz w:val="16"/>
                <w:szCs w:val="16"/>
              </w:rPr>
              <w:t>Yapılacak İşlem ve Açıklama</w:t>
            </w:r>
          </w:p>
        </w:tc>
      </w:tr>
      <w:tr w:rsidR="00565FD5" w:rsidRPr="004B3DE4" w:rsidTr="00AB62A3">
        <w:trPr>
          <w:trHeight w:val="22"/>
          <w:jc w:val="center"/>
        </w:trPr>
        <w:tc>
          <w:tcPr>
            <w:tcW w:w="5000" w:type="pct"/>
            <w:gridSpan w:val="4"/>
          </w:tcPr>
          <w:p w:rsidR="00565FD5" w:rsidRPr="004B3DE4" w:rsidRDefault="00565FD5" w:rsidP="00EB1E69">
            <w:pPr>
              <w:numPr>
                <w:ilvl w:val="0"/>
                <w:numId w:val="15"/>
              </w:numPr>
              <w:tabs>
                <w:tab w:val="left" w:pos="425"/>
              </w:tabs>
              <w:spacing w:before="60" w:after="60" w:line="240" w:lineRule="auto"/>
              <w:ind w:right="57"/>
              <w:jc w:val="both"/>
              <w:rPr>
                <w:rFonts w:cs="Tahoma"/>
                <w:b/>
                <w:sz w:val="16"/>
                <w:szCs w:val="16"/>
              </w:rPr>
            </w:pPr>
            <w:r w:rsidRPr="004B3DE4">
              <w:rPr>
                <w:rFonts w:cs="Tahoma"/>
                <w:b/>
                <w:sz w:val="16"/>
                <w:szCs w:val="16"/>
              </w:rPr>
              <w:t xml:space="preserve">Sosyal sigorta </w:t>
            </w:r>
            <w:r w:rsidRPr="004B3DE4">
              <w:rPr>
                <w:rFonts w:cs="Tahoma"/>
                <w:b/>
                <w:bCs/>
                <w:sz w:val="16"/>
                <w:szCs w:val="16"/>
              </w:rPr>
              <w:t>sisteminde bilgi işlem altyapısı güçlendirilecek, sistem etkili, erişilebilir</w:t>
            </w:r>
            <w:r w:rsidRPr="004B3DE4">
              <w:rPr>
                <w:rFonts w:cs="Tahoma"/>
                <w:b/>
                <w:sz w:val="16"/>
                <w:szCs w:val="16"/>
              </w:rPr>
              <w:t xml:space="preserve"> ve </w:t>
            </w:r>
            <w:r w:rsidRPr="004B3DE4">
              <w:rPr>
                <w:rFonts w:cs="Tahoma"/>
                <w:b/>
                <w:bCs/>
                <w:sz w:val="16"/>
                <w:szCs w:val="16"/>
              </w:rPr>
              <w:t>sürdürülebilir hizmet sunan bir yapıya kavuşturulacaktır.</w:t>
            </w:r>
          </w:p>
        </w:tc>
      </w:tr>
      <w:tr w:rsidR="00565FD5" w:rsidRPr="004B3DE4" w:rsidTr="00AB62A3">
        <w:trPr>
          <w:trHeight w:val="22"/>
          <w:jc w:val="center"/>
        </w:trPr>
        <w:tc>
          <w:tcPr>
            <w:tcW w:w="1199" w:type="pct"/>
          </w:tcPr>
          <w:p w:rsidR="00565FD5" w:rsidRPr="004B3DE4" w:rsidRDefault="00565FD5" w:rsidP="00EB1E69">
            <w:pPr>
              <w:numPr>
                <w:ilvl w:val="0"/>
                <w:numId w:val="14"/>
              </w:numPr>
              <w:tabs>
                <w:tab w:val="left" w:pos="425"/>
              </w:tabs>
              <w:spacing w:before="80" w:after="80" w:line="240" w:lineRule="auto"/>
              <w:ind w:right="57"/>
              <w:rPr>
                <w:rFonts w:cs="Tahoma"/>
                <w:b/>
                <w:sz w:val="16"/>
                <w:szCs w:val="16"/>
              </w:rPr>
            </w:pPr>
            <w:r w:rsidRPr="004B3DE4">
              <w:rPr>
                <w:rFonts w:cs="Tahoma"/>
                <w:sz w:val="16"/>
                <w:szCs w:val="16"/>
              </w:rPr>
              <w:t>Sosyal sigorta sisteminin bilgi işlem altyapısında kademeli olarak tam otomasyona geçilecektir.</w:t>
            </w:r>
            <w:r w:rsidRPr="004B3DE4">
              <w:rPr>
                <w:rFonts w:cs="Tahoma"/>
                <w:b/>
                <w:sz w:val="16"/>
                <w:szCs w:val="16"/>
              </w:rPr>
              <w:t xml:space="preserve"> </w:t>
            </w:r>
          </w:p>
        </w:tc>
        <w:tc>
          <w:tcPr>
            <w:tcW w:w="1507" w:type="pct"/>
          </w:tcPr>
          <w:p w:rsidR="00565FD5" w:rsidRPr="004B3DE4" w:rsidRDefault="00565FD5" w:rsidP="00AB62A3">
            <w:pPr>
              <w:spacing w:before="80"/>
              <w:ind w:left="57" w:right="57"/>
            </w:pPr>
            <w:r w:rsidRPr="004B3DE4">
              <w:rPr>
                <w:rFonts w:cs="Tahoma"/>
                <w:sz w:val="16"/>
                <w:szCs w:val="16"/>
              </w:rPr>
              <w:t>SGK (S), ÇSGB, Maliye Bakanlığı</w:t>
            </w:r>
            <w:r w:rsidRPr="004B3DE4">
              <w:t xml:space="preserve">, </w:t>
            </w:r>
          </w:p>
          <w:p w:rsidR="00565FD5" w:rsidRPr="004B3DE4" w:rsidRDefault="00565FD5" w:rsidP="00AB62A3">
            <w:pPr>
              <w:spacing w:after="80"/>
              <w:ind w:left="57" w:right="57"/>
              <w:rPr>
                <w:rFonts w:cs="Tahoma"/>
                <w:sz w:val="16"/>
                <w:szCs w:val="16"/>
              </w:rPr>
            </w:pPr>
            <w:r w:rsidRPr="004B3DE4">
              <w:rPr>
                <w:rFonts w:cs="Tahoma"/>
                <w:sz w:val="16"/>
                <w:szCs w:val="16"/>
              </w:rPr>
              <w:t>Sağlık Bakanlığı, Kalkınma Bakanlığı, Hazine Müsteşarlığı, İŞKUR</w:t>
            </w:r>
          </w:p>
        </w:tc>
        <w:tc>
          <w:tcPr>
            <w:tcW w:w="600" w:type="pct"/>
          </w:tcPr>
          <w:p w:rsidR="00565FD5" w:rsidRPr="004B3DE4" w:rsidRDefault="00565FD5" w:rsidP="00AB62A3">
            <w:pPr>
              <w:spacing w:before="80" w:after="80"/>
              <w:ind w:left="57" w:right="57"/>
              <w:rPr>
                <w:rFonts w:cs="Tahoma"/>
                <w:sz w:val="16"/>
                <w:szCs w:val="16"/>
              </w:rPr>
            </w:pPr>
            <w:r w:rsidRPr="004B3DE4">
              <w:rPr>
                <w:rFonts w:cs="Tahoma"/>
                <w:sz w:val="16"/>
                <w:szCs w:val="16"/>
              </w:rPr>
              <w:t>Aralık Sonu</w:t>
            </w:r>
          </w:p>
          <w:p w:rsidR="00565FD5" w:rsidRPr="004B3DE4" w:rsidRDefault="00565FD5" w:rsidP="00AB62A3">
            <w:pPr>
              <w:spacing w:before="80" w:after="80"/>
              <w:ind w:left="57" w:right="57"/>
              <w:rPr>
                <w:rFonts w:cs="Tahoma"/>
                <w:sz w:val="16"/>
                <w:szCs w:val="16"/>
              </w:rPr>
            </w:pPr>
          </w:p>
        </w:tc>
        <w:tc>
          <w:tcPr>
            <w:tcW w:w="1694" w:type="pct"/>
          </w:tcPr>
          <w:p w:rsidR="00565FD5" w:rsidRPr="004B3DE4" w:rsidRDefault="00565FD5" w:rsidP="00AB62A3">
            <w:pPr>
              <w:spacing w:before="80" w:after="80"/>
              <w:ind w:left="57" w:right="57"/>
              <w:rPr>
                <w:rFonts w:cs="Tahoma"/>
                <w:sz w:val="16"/>
                <w:szCs w:val="16"/>
              </w:rPr>
            </w:pPr>
            <w:r w:rsidRPr="004B3DE4">
              <w:rPr>
                <w:rFonts w:cs="Tahoma"/>
                <w:sz w:val="16"/>
                <w:szCs w:val="16"/>
              </w:rPr>
              <w:t>Sosyal sigorta sisteminin bilgi işlem altyapısında kademeli olarak tam otomasyona geçilerek etkili, erişilebilir ve sürdürülebilir hizmet sunan bir yapı oluşturulacaktır.</w:t>
            </w:r>
          </w:p>
        </w:tc>
      </w:tr>
      <w:tr w:rsidR="00565FD5" w:rsidRPr="004B3DE4" w:rsidTr="00AB62A3">
        <w:trPr>
          <w:trHeight w:val="22"/>
          <w:jc w:val="center"/>
        </w:trPr>
        <w:tc>
          <w:tcPr>
            <w:tcW w:w="1199" w:type="pct"/>
          </w:tcPr>
          <w:p w:rsidR="00565FD5" w:rsidRPr="004B3DE4" w:rsidRDefault="00565FD5" w:rsidP="00EB1E69">
            <w:pPr>
              <w:numPr>
                <w:ilvl w:val="0"/>
                <w:numId w:val="14"/>
              </w:numPr>
              <w:tabs>
                <w:tab w:val="left" w:pos="425"/>
              </w:tabs>
              <w:spacing w:before="80" w:after="80" w:line="240" w:lineRule="auto"/>
              <w:ind w:right="57"/>
              <w:rPr>
                <w:rFonts w:cs="Tahoma"/>
                <w:sz w:val="16"/>
                <w:szCs w:val="16"/>
              </w:rPr>
            </w:pPr>
            <w:r w:rsidRPr="004B3DE4">
              <w:rPr>
                <w:rFonts w:cs="Tahoma"/>
                <w:sz w:val="16"/>
                <w:szCs w:val="16"/>
              </w:rPr>
              <w:t>Kurum alacaklarının takibi kapsamında bankalarla protokol yapılarak, Kurum alacaklarının e-haciz ile takip ve tahsil edilmesi sağlanacaktır.</w:t>
            </w:r>
          </w:p>
        </w:tc>
        <w:tc>
          <w:tcPr>
            <w:tcW w:w="1507" w:type="pct"/>
          </w:tcPr>
          <w:p w:rsidR="00565FD5" w:rsidRPr="004B3DE4" w:rsidRDefault="00565FD5" w:rsidP="00AB62A3">
            <w:pPr>
              <w:spacing w:before="80" w:after="80"/>
              <w:ind w:left="57" w:right="57"/>
              <w:rPr>
                <w:rFonts w:cs="Tahoma"/>
                <w:sz w:val="16"/>
                <w:szCs w:val="16"/>
              </w:rPr>
            </w:pPr>
            <w:r w:rsidRPr="004B3DE4">
              <w:rPr>
                <w:rFonts w:cs="Tahoma"/>
                <w:sz w:val="16"/>
                <w:szCs w:val="16"/>
              </w:rPr>
              <w:t>SGK (S), Türkiye Bankalar Birliği, Türkiye Katılım Bankaları Birliği</w:t>
            </w:r>
          </w:p>
        </w:tc>
        <w:tc>
          <w:tcPr>
            <w:tcW w:w="600" w:type="pct"/>
          </w:tcPr>
          <w:p w:rsidR="00565FD5" w:rsidRPr="004B3DE4" w:rsidRDefault="00565FD5" w:rsidP="00AB62A3">
            <w:pPr>
              <w:spacing w:before="80" w:after="80"/>
              <w:ind w:left="57" w:right="57"/>
              <w:rPr>
                <w:rFonts w:cs="Tahoma"/>
                <w:sz w:val="16"/>
                <w:szCs w:val="16"/>
              </w:rPr>
            </w:pPr>
            <w:r w:rsidRPr="004B3DE4">
              <w:rPr>
                <w:rFonts w:cs="Tahoma"/>
                <w:sz w:val="16"/>
                <w:szCs w:val="16"/>
              </w:rPr>
              <w:t>Aralık Sonu</w:t>
            </w:r>
          </w:p>
        </w:tc>
        <w:tc>
          <w:tcPr>
            <w:tcW w:w="1694" w:type="pct"/>
          </w:tcPr>
          <w:p w:rsidR="00565FD5" w:rsidRPr="004B3DE4" w:rsidRDefault="00565FD5" w:rsidP="00AB62A3">
            <w:pPr>
              <w:spacing w:before="80" w:after="80"/>
              <w:ind w:left="57" w:right="57"/>
              <w:rPr>
                <w:rFonts w:cs="Tahoma"/>
                <w:sz w:val="16"/>
                <w:szCs w:val="16"/>
              </w:rPr>
            </w:pPr>
            <w:r w:rsidRPr="004B3DE4">
              <w:rPr>
                <w:rFonts w:cs="Tahoma"/>
                <w:color w:val="000000"/>
                <w:sz w:val="16"/>
                <w:szCs w:val="16"/>
              </w:rPr>
              <w:t>Bankalarla gerçekleştirilen protokoller çerçevesinde borçlunun banka mevduat hesabına elektronik ortamda haciz konulabilmesine yönelik bilgi işlem altyapısı oluşturulacaktır.</w:t>
            </w:r>
          </w:p>
        </w:tc>
      </w:tr>
      <w:tr w:rsidR="00565FD5" w:rsidRPr="004B3DE4" w:rsidTr="00AB62A3">
        <w:trPr>
          <w:trHeight w:val="22"/>
          <w:jc w:val="center"/>
        </w:trPr>
        <w:tc>
          <w:tcPr>
            <w:tcW w:w="5000" w:type="pct"/>
            <w:gridSpan w:val="4"/>
          </w:tcPr>
          <w:p w:rsidR="00565FD5" w:rsidRPr="004B3DE4" w:rsidRDefault="00565FD5" w:rsidP="00EB1E69">
            <w:pPr>
              <w:numPr>
                <w:ilvl w:val="0"/>
                <w:numId w:val="15"/>
              </w:numPr>
              <w:tabs>
                <w:tab w:val="left" w:pos="425"/>
              </w:tabs>
              <w:spacing w:before="80" w:after="80" w:line="240" w:lineRule="auto"/>
              <w:ind w:right="57"/>
              <w:jc w:val="both"/>
              <w:rPr>
                <w:rFonts w:cs="Tahoma"/>
                <w:b/>
                <w:sz w:val="16"/>
                <w:szCs w:val="16"/>
              </w:rPr>
            </w:pPr>
            <w:r w:rsidRPr="004B3DE4">
              <w:rPr>
                <w:rFonts w:cs="Tahoma"/>
                <w:b/>
                <w:sz w:val="16"/>
                <w:szCs w:val="16"/>
              </w:rPr>
              <w:t xml:space="preserve">Sosyal yardım ve istihdam bağlantısı geliştirilerek sosyal güvenlik sisteminin finansal sürdürülebilirliği iyileştirilecektir. </w:t>
            </w:r>
          </w:p>
        </w:tc>
      </w:tr>
      <w:tr w:rsidR="00565FD5" w:rsidRPr="004B3DE4" w:rsidTr="00AB62A3">
        <w:trPr>
          <w:trHeight w:val="22"/>
          <w:jc w:val="center"/>
        </w:trPr>
        <w:tc>
          <w:tcPr>
            <w:tcW w:w="1199" w:type="pct"/>
          </w:tcPr>
          <w:p w:rsidR="00565FD5" w:rsidRPr="004B3DE4" w:rsidRDefault="00565FD5" w:rsidP="00EB1E69">
            <w:pPr>
              <w:numPr>
                <w:ilvl w:val="0"/>
                <w:numId w:val="14"/>
              </w:numPr>
              <w:tabs>
                <w:tab w:val="left" w:pos="425"/>
              </w:tabs>
              <w:spacing w:before="100" w:after="100" w:line="240" w:lineRule="auto"/>
              <w:ind w:right="57"/>
              <w:rPr>
                <w:rFonts w:cs="Tahoma"/>
                <w:b/>
                <w:sz w:val="16"/>
                <w:szCs w:val="16"/>
              </w:rPr>
            </w:pPr>
            <w:r w:rsidRPr="004B3DE4">
              <w:rPr>
                <w:rFonts w:cs="Tahoma"/>
                <w:sz w:val="16"/>
                <w:szCs w:val="16"/>
              </w:rPr>
              <w:t>SGK denetim mekanizmaları güçlendirilerek, sosyal sigorta sistemi gelirlerindeki kaçaklar asgari düzeye indirilecektir.</w:t>
            </w:r>
          </w:p>
        </w:tc>
        <w:tc>
          <w:tcPr>
            <w:tcW w:w="1507" w:type="pct"/>
          </w:tcPr>
          <w:p w:rsidR="00565FD5" w:rsidRPr="004B3DE4" w:rsidRDefault="00565FD5" w:rsidP="00AB62A3">
            <w:pPr>
              <w:spacing w:before="100" w:after="100"/>
              <w:ind w:left="57" w:right="57"/>
              <w:rPr>
                <w:rFonts w:cs="Tahoma"/>
                <w:sz w:val="16"/>
                <w:szCs w:val="16"/>
              </w:rPr>
            </w:pPr>
            <w:r w:rsidRPr="004B3DE4">
              <w:rPr>
                <w:rFonts w:cs="Tahoma"/>
                <w:sz w:val="16"/>
                <w:szCs w:val="16"/>
              </w:rPr>
              <w:t>SGK (S), ÇSGB, Maliye Bakanlığı</w:t>
            </w:r>
            <w:r w:rsidRPr="004B3DE4">
              <w:t xml:space="preserve">, </w:t>
            </w:r>
            <w:r w:rsidRPr="004B3DE4">
              <w:rPr>
                <w:rFonts w:cs="Tahoma"/>
                <w:sz w:val="16"/>
                <w:szCs w:val="16"/>
              </w:rPr>
              <w:t>Sağlık Bakanlığı, Kalkınma Bakanlığı, Aile ve Sosyal Politikalar Bakanlığı, Hazine Müsteşarlığı, İŞKUR</w:t>
            </w:r>
          </w:p>
        </w:tc>
        <w:tc>
          <w:tcPr>
            <w:tcW w:w="600" w:type="pct"/>
          </w:tcPr>
          <w:p w:rsidR="00565FD5" w:rsidRPr="004B3DE4" w:rsidRDefault="00565FD5" w:rsidP="00AB62A3">
            <w:pPr>
              <w:spacing w:before="100" w:after="100"/>
              <w:ind w:left="57" w:right="57"/>
              <w:rPr>
                <w:rFonts w:cs="Tahoma"/>
                <w:sz w:val="16"/>
                <w:szCs w:val="16"/>
              </w:rPr>
            </w:pPr>
            <w:r w:rsidRPr="004B3DE4">
              <w:rPr>
                <w:rFonts w:cs="Tahoma"/>
                <w:sz w:val="16"/>
                <w:szCs w:val="16"/>
              </w:rPr>
              <w:t>Aralık Sonu</w:t>
            </w:r>
          </w:p>
          <w:p w:rsidR="00565FD5" w:rsidRPr="004B3DE4" w:rsidRDefault="00565FD5" w:rsidP="00AB62A3">
            <w:pPr>
              <w:spacing w:before="100" w:after="100"/>
              <w:ind w:left="57" w:right="57"/>
              <w:rPr>
                <w:rFonts w:cs="Tahoma"/>
                <w:sz w:val="16"/>
                <w:szCs w:val="16"/>
              </w:rPr>
            </w:pPr>
          </w:p>
        </w:tc>
        <w:tc>
          <w:tcPr>
            <w:tcW w:w="1694" w:type="pct"/>
          </w:tcPr>
          <w:p w:rsidR="00565FD5" w:rsidRPr="004B3DE4" w:rsidRDefault="00565FD5" w:rsidP="00AB62A3">
            <w:pPr>
              <w:spacing w:before="100" w:after="100"/>
              <w:ind w:left="57" w:right="57"/>
              <w:rPr>
                <w:rFonts w:cs="Tahoma"/>
                <w:sz w:val="16"/>
                <w:szCs w:val="16"/>
              </w:rPr>
            </w:pPr>
            <w:r w:rsidRPr="004B3DE4">
              <w:rPr>
                <w:rFonts w:cs="Tahoma"/>
                <w:sz w:val="16"/>
                <w:szCs w:val="16"/>
              </w:rPr>
              <w:t xml:space="preserve">Sosyal Yardım Sisteminin İstihdam ile Bağlantısının Kurulması ve Etkinleştirilmesi Eylem Planı çerçevesinde yürütülen çalışmalar kapsamındaki gelişmeler yakından izlenecek, sosyal yardım programlarından yararlanan çalışabilir durumdaki kişilerin istihdam içerisindeki payları artırılacaktır. Kayıtdışı çalışma ve asgari düzeyde prim yatırılması gibi kötüye kullanımların önlenmesi için SGK’nın fiili denetim kapasitesini güçlendirecek çalışmalar yapılacak, denetim mekanizmasının iyileştirilmesi için </w:t>
            </w:r>
            <w:r w:rsidRPr="004B3DE4">
              <w:rPr>
                <w:rFonts w:cs="Tahoma"/>
                <w:sz w:val="16"/>
                <w:szCs w:val="16"/>
              </w:rPr>
              <w:lastRenderedPageBreak/>
              <w:t>kurumlar arası veri paylaşımı artırılarak veri kontrolleri doğrultusunda elde edilecek sonuçlar denetim faaliyetlerinde kullanılacaktır.</w:t>
            </w:r>
          </w:p>
        </w:tc>
      </w:tr>
      <w:tr w:rsidR="00565FD5" w:rsidRPr="004B3DE4" w:rsidTr="00AB62A3">
        <w:trPr>
          <w:trHeight w:val="22"/>
          <w:jc w:val="center"/>
        </w:trPr>
        <w:tc>
          <w:tcPr>
            <w:tcW w:w="5000" w:type="pct"/>
            <w:gridSpan w:val="4"/>
          </w:tcPr>
          <w:p w:rsidR="00565FD5" w:rsidRPr="004B3DE4" w:rsidRDefault="00565FD5" w:rsidP="00EB1E69">
            <w:pPr>
              <w:numPr>
                <w:ilvl w:val="0"/>
                <w:numId w:val="15"/>
              </w:numPr>
              <w:tabs>
                <w:tab w:val="left" w:pos="425"/>
              </w:tabs>
              <w:spacing w:before="100" w:after="100" w:line="240" w:lineRule="auto"/>
              <w:ind w:right="57"/>
              <w:jc w:val="both"/>
              <w:rPr>
                <w:rFonts w:cs="Tahoma"/>
                <w:b/>
                <w:sz w:val="16"/>
                <w:szCs w:val="16"/>
              </w:rPr>
            </w:pPr>
            <w:r w:rsidRPr="004B3DE4">
              <w:rPr>
                <w:rFonts w:cs="Tahoma"/>
                <w:b/>
                <w:sz w:val="16"/>
                <w:szCs w:val="16"/>
              </w:rPr>
              <w:lastRenderedPageBreak/>
              <w:t xml:space="preserve">Tamamlayıcı emeklilik ve sağlık sigortası modelleri geliştirilecektir. </w:t>
            </w:r>
          </w:p>
        </w:tc>
      </w:tr>
      <w:tr w:rsidR="00565FD5" w:rsidRPr="004B3DE4" w:rsidTr="00AB62A3">
        <w:trPr>
          <w:trHeight w:val="22"/>
          <w:jc w:val="center"/>
        </w:trPr>
        <w:tc>
          <w:tcPr>
            <w:tcW w:w="1199" w:type="pct"/>
          </w:tcPr>
          <w:p w:rsidR="00565FD5" w:rsidRPr="004B3DE4" w:rsidRDefault="00565FD5" w:rsidP="00EB1E69">
            <w:pPr>
              <w:numPr>
                <w:ilvl w:val="0"/>
                <w:numId w:val="14"/>
              </w:numPr>
              <w:tabs>
                <w:tab w:val="left" w:pos="425"/>
              </w:tabs>
              <w:spacing w:before="100" w:after="100" w:line="240" w:lineRule="auto"/>
              <w:ind w:right="57"/>
              <w:rPr>
                <w:rFonts w:cs="Tahoma"/>
                <w:b/>
                <w:sz w:val="16"/>
                <w:szCs w:val="16"/>
              </w:rPr>
            </w:pPr>
            <w:r w:rsidRPr="004B3DE4">
              <w:rPr>
                <w:rFonts w:cs="Tahoma"/>
                <w:sz w:val="16"/>
                <w:szCs w:val="16"/>
              </w:rPr>
              <w:t>Tamamlayıcı emeklilik ve sağlık sigortası konularına ilişkin model çalışmaları yürütülecektir.</w:t>
            </w:r>
          </w:p>
        </w:tc>
        <w:tc>
          <w:tcPr>
            <w:tcW w:w="1507" w:type="pct"/>
          </w:tcPr>
          <w:p w:rsidR="00565FD5" w:rsidRPr="004B3DE4" w:rsidRDefault="00565FD5" w:rsidP="00AB62A3">
            <w:pPr>
              <w:spacing w:before="100" w:after="100"/>
              <w:ind w:left="57" w:right="57"/>
              <w:rPr>
                <w:rFonts w:cs="Tahoma"/>
                <w:sz w:val="16"/>
                <w:szCs w:val="16"/>
              </w:rPr>
            </w:pPr>
            <w:r w:rsidRPr="004B3DE4">
              <w:rPr>
                <w:rFonts w:cs="Tahoma"/>
                <w:sz w:val="16"/>
                <w:szCs w:val="16"/>
              </w:rPr>
              <w:t>Hazine Müsteşarlığı (S), ÇSGB, Maliye Bakanlığı</w:t>
            </w:r>
            <w:r w:rsidRPr="004B3DE4">
              <w:t xml:space="preserve">, </w:t>
            </w:r>
            <w:r w:rsidRPr="004B3DE4">
              <w:rPr>
                <w:rFonts w:cs="Tahoma"/>
                <w:sz w:val="16"/>
                <w:szCs w:val="16"/>
              </w:rPr>
              <w:t>Sağlık Bakanlığı, Kalkınma Bakanlığı</w:t>
            </w:r>
            <w:r>
              <w:rPr>
                <w:rFonts w:cs="Tahoma"/>
                <w:sz w:val="16"/>
                <w:szCs w:val="16"/>
              </w:rPr>
              <w:t>,</w:t>
            </w:r>
            <w:r w:rsidRPr="004B3DE4">
              <w:rPr>
                <w:rFonts w:cs="Tahoma"/>
                <w:sz w:val="16"/>
                <w:szCs w:val="16"/>
              </w:rPr>
              <w:t xml:space="preserve"> SGK</w:t>
            </w:r>
          </w:p>
        </w:tc>
        <w:tc>
          <w:tcPr>
            <w:tcW w:w="600" w:type="pct"/>
          </w:tcPr>
          <w:p w:rsidR="00565FD5" w:rsidRPr="004B3DE4" w:rsidRDefault="00565FD5" w:rsidP="00AB62A3">
            <w:pPr>
              <w:spacing w:before="100" w:after="100"/>
              <w:ind w:left="57" w:right="57"/>
              <w:rPr>
                <w:rFonts w:cs="Tahoma"/>
                <w:sz w:val="16"/>
                <w:szCs w:val="16"/>
              </w:rPr>
            </w:pPr>
            <w:r w:rsidRPr="004B3DE4">
              <w:rPr>
                <w:rFonts w:cs="Tahoma"/>
                <w:sz w:val="16"/>
                <w:szCs w:val="16"/>
              </w:rPr>
              <w:t>Aralık Sonu</w:t>
            </w:r>
          </w:p>
          <w:p w:rsidR="00565FD5" w:rsidRPr="004B3DE4" w:rsidRDefault="00565FD5" w:rsidP="00AB62A3">
            <w:pPr>
              <w:spacing w:before="100" w:after="100"/>
              <w:ind w:left="57" w:right="57"/>
              <w:rPr>
                <w:rFonts w:cs="Tahoma"/>
                <w:sz w:val="16"/>
                <w:szCs w:val="16"/>
              </w:rPr>
            </w:pPr>
          </w:p>
        </w:tc>
        <w:tc>
          <w:tcPr>
            <w:tcW w:w="1694" w:type="pct"/>
          </w:tcPr>
          <w:p w:rsidR="00565FD5" w:rsidRPr="004B3DE4" w:rsidRDefault="00565FD5" w:rsidP="00AB62A3">
            <w:pPr>
              <w:spacing w:before="100" w:after="100"/>
              <w:ind w:left="57" w:right="57"/>
              <w:rPr>
                <w:rFonts w:cs="Tahoma"/>
                <w:sz w:val="16"/>
                <w:szCs w:val="16"/>
              </w:rPr>
            </w:pPr>
            <w:r w:rsidRPr="004B3DE4">
              <w:rPr>
                <w:rFonts w:cs="Tahoma"/>
                <w:sz w:val="16"/>
                <w:szCs w:val="16"/>
              </w:rPr>
              <w:t xml:space="preserve">Sigorta şirketleri ile birlikte, verilecek sigorta korumasının kapsamı ve somut olarak verilecek sigorta ürünlerinin belirlenmesi sağlanacaktadır. İrad modelinin ana çerçevesini oluşturan parametrelerin yayımı 2012 yılı içinde gerçekleştirilecek ve yayımı müteakip, sigorta/emeklilik şirketlerinin bu hizmeti vermelerine izin verilecektir. </w:t>
            </w:r>
          </w:p>
        </w:tc>
      </w:tr>
    </w:tbl>
    <w:p w:rsidR="00565FD5" w:rsidRDefault="00565FD5" w:rsidP="00565FD5"/>
    <w:p w:rsidR="00565FD5" w:rsidRDefault="00565FD5" w:rsidP="00565FD5"/>
    <w:p w:rsidR="00565FD5" w:rsidRPr="004B3DE4" w:rsidRDefault="00565FD5" w:rsidP="00565FD5">
      <w:pPr>
        <w:pStyle w:val="Balk3"/>
      </w:pPr>
      <w:bookmarkStart w:id="2623" w:name="_Toc338494258"/>
      <w:bookmarkStart w:id="2624" w:name="_Toc338505636"/>
      <w:bookmarkStart w:id="2625" w:name="_Toc338523868"/>
      <w:bookmarkStart w:id="2626" w:name="_Toc338524099"/>
      <w:bookmarkStart w:id="2627" w:name="_Toc338526325"/>
      <w:bookmarkStart w:id="2628" w:name="_Toc338673768"/>
      <w:bookmarkStart w:id="2629" w:name="_Toc338711647"/>
      <w:bookmarkEnd w:id="2597"/>
      <w:bookmarkEnd w:id="2598"/>
      <w:bookmarkEnd w:id="2599"/>
      <w:bookmarkEnd w:id="2600"/>
      <w:bookmarkEnd w:id="2601"/>
      <w:bookmarkEnd w:id="2602"/>
      <w:r>
        <w:t>D</w:t>
      </w:r>
      <w:r w:rsidRPr="004B3DE4">
        <w:t>. KÜLTÜRÜN KORUNMASI, GELİŞTİRİLMESİ VE TOPLUMSAL DİYALOĞUN GÜÇLENDİRİLMESİ</w:t>
      </w:r>
      <w:bookmarkEnd w:id="2623"/>
      <w:bookmarkEnd w:id="2624"/>
      <w:bookmarkEnd w:id="2625"/>
      <w:bookmarkEnd w:id="2626"/>
      <w:bookmarkEnd w:id="2627"/>
      <w:bookmarkEnd w:id="2628"/>
      <w:bookmarkEnd w:id="2629"/>
    </w:p>
    <w:p w:rsidR="00565FD5" w:rsidRPr="004B3DE4" w:rsidRDefault="00565FD5" w:rsidP="00565FD5">
      <w:pPr>
        <w:pStyle w:val="Balk4"/>
        <w:rPr>
          <w:noProof/>
          <w:lang w:val="en-US"/>
        </w:rPr>
      </w:pPr>
      <w:bookmarkStart w:id="2630" w:name="_Toc244253745"/>
      <w:bookmarkStart w:id="2631" w:name="_Toc244254995"/>
      <w:bookmarkStart w:id="2632" w:name="_Toc244313730"/>
      <w:bookmarkStart w:id="2633" w:name="_Toc244315207"/>
      <w:bookmarkStart w:id="2634" w:name="_Toc244339670"/>
      <w:bookmarkStart w:id="2635" w:name="_Toc276076352"/>
      <w:bookmarkStart w:id="2636" w:name="_Toc338494259"/>
      <w:bookmarkStart w:id="2637" w:name="_Toc338505637"/>
      <w:bookmarkStart w:id="2638" w:name="_Toc338523869"/>
      <w:bookmarkStart w:id="2639" w:name="_Toc338524100"/>
      <w:bookmarkStart w:id="2640" w:name="_Toc338526326"/>
      <w:bookmarkStart w:id="2641" w:name="_Toc338673769"/>
      <w:bookmarkStart w:id="2642" w:name="_Toc338711648"/>
      <w:r w:rsidRPr="004B3DE4">
        <w:rPr>
          <w:noProof/>
        </w:rPr>
        <w:t>1. Mevcut Durum</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p>
    <w:p w:rsidR="00565FD5" w:rsidRPr="004B3DE4" w:rsidRDefault="00565FD5" w:rsidP="00565FD5">
      <w:pPr>
        <w:spacing w:after="160"/>
        <w:ind w:firstLine="425"/>
        <w:rPr>
          <w:rFonts w:cs="Tahoma"/>
          <w:szCs w:val="18"/>
        </w:rPr>
      </w:pPr>
      <w:r w:rsidRPr="004B3DE4">
        <w:rPr>
          <w:rFonts w:cs="Tahoma"/>
          <w:szCs w:val="18"/>
        </w:rPr>
        <w:t xml:space="preserve">Kültürel altyapının güçlendirilmesi, kültürel etkinliklerin yaygınlaştırılması, dünya ülkeleri ve özellikle Türk Cumhuriyetleri, soydaş ve akraba toplulukları ile kültürel ilişkilerimizin geliştirilmesi, </w:t>
      </w:r>
      <w:r>
        <w:rPr>
          <w:rFonts w:cs="Tahoma"/>
          <w:szCs w:val="18"/>
        </w:rPr>
        <w:t>yurtiçi</w:t>
      </w:r>
      <w:r w:rsidRPr="004B3DE4">
        <w:rPr>
          <w:rFonts w:cs="Tahoma"/>
          <w:szCs w:val="18"/>
        </w:rPr>
        <w:t xml:space="preserve"> ve yurt dışında bulunan kültür varlıklarımızın tespiti, araştırılması, bakım-onarım ve restorasyonu sektörel öncelikler olarak önemini korumaktadır.</w:t>
      </w:r>
    </w:p>
    <w:p w:rsidR="00565FD5" w:rsidRPr="004B3DE4" w:rsidRDefault="00565FD5" w:rsidP="00565FD5">
      <w:pPr>
        <w:spacing w:after="240"/>
        <w:ind w:firstLine="425"/>
        <w:rPr>
          <w:rFonts w:cs="Tahoma"/>
          <w:szCs w:val="18"/>
        </w:rPr>
      </w:pPr>
      <w:r w:rsidRPr="004B3DE4">
        <w:rPr>
          <w:rFonts w:cs="Tahoma"/>
          <w:szCs w:val="18"/>
        </w:rPr>
        <w:t>Türk kültür, sanat ve edebiyatının yurt dışında tanıtılması ve Türkçenin yazı dili birikiminin dünya dillerine kazandırılması amacıyla Kültür ve Turizm Bakanlığı tarafından 2005 yılından bu yana yürütülen Türk Edebiyatının Dışa Açılımı (TEDA) projesi kapsamında çeviri ve yayın destek çalışmaları devam etmektedir. Bu çerçevede desteklenen eser sayısı 2012 yılı itibarıyla 1.202’ye ulaşmış ve bunlardan 822’si çeşitli dillere çevrilerek yayımlanmıştır.</w:t>
      </w:r>
    </w:p>
    <w:p w:rsidR="00565FD5" w:rsidRPr="004B3DE4" w:rsidRDefault="00565FD5" w:rsidP="00565FD5">
      <w:pPr>
        <w:spacing w:after="240"/>
        <w:ind w:firstLine="425"/>
        <w:rPr>
          <w:rFonts w:cs="Tahoma"/>
          <w:szCs w:val="18"/>
        </w:rPr>
      </w:pPr>
      <w:r w:rsidRPr="004B3DE4">
        <w:rPr>
          <w:rFonts w:cs="Tahoma"/>
          <w:szCs w:val="18"/>
        </w:rPr>
        <w:t xml:space="preserve">Kültürel hayatın canlandırılması ve kültürel faaliyetlerin ülkenin bütününe yaygınlaştırılması amacıyla, yerel nitelikteki kültür hizmetlerinin yerel </w:t>
      </w:r>
      <w:r w:rsidRPr="004B3DE4">
        <w:rPr>
          <w:rFonts w:cs="Tahoma"/>
          <w:szCs w:val="18"/>
        </w:rPr>
        <w:lastRenderedPageBreak/>
        <w:t>yönetimlere devredilmesi ve kültür alanında kamu-özel sektör işbirliğinin geliştirilmesi gerekmektedir. 5225 sayılı Kültür Yatırımları ve Girişimlerini Teşvik Kanunu kültür alanında kamu-özel sektör işbirliği adına önemli bir açılım sağlamış olmakla birlikte, bu alanda sponsorluk uygulaması, henüz istenen seviyeye ulaşamamıştır. Bununla birlikte 2012 yılı içinde sponsorluk alanında Kültür ve Turizm Bakanlığı ile çeşitli özel sektör kuruluşları arasında imzalanan protokollere göre 2 adet müze yapımı ve İstanbul AKM onarımının önemli bir kısmının özel sektör kuruluşlarınca karşılanması yönünde önemli gelişmeler sağlanmıştır.  Bu ve benzeri gelişmeler, kültür-sanat faaliyetleri alanındaki sponsorluğun önümüzdeki yıllarda artarak devam etmesine yönelik güçlü bir beklenti oluşturmaktadır. Bunu sağlamak adına kültür ve sanata sponsor olmayı özendirici, tanıtıcı ve kolaylaştırıcı çalışmaların önümüzdeki dönemde de devam etmesi önem arz etmektedir. Kültür ve Turizm Bakanlığı tarafından kullanıcılarla etkileşime imkan veren Türkiye Kültür Portalı oluşturulması çalışmalarına devam edilmekte olup portal 2012 yılı içerisinde test yayınına başlamıştır. Ancak kültür portalı kapsamında yürütülen faaliyetlerin hızlandırılmasına, portalın içeriğinin nitelik ve nicelik olarak geliştirilmesine ihtiyaç duyulmaktadır.</w:t>
      </w:r>
    </w:p>
    <w:p w:rsidR="00565FD5" w:rsidRPr="004B3DE4" w:rsidRDefault="00565FD5" w:rsidP="00565FD5">
      <w:pPr>
        <w:spacing w:after="240"/>
        <w:ind w:firstLine="425"/>
        <w:rPr>
          <w:rFonts w:cs="Tahoma"/>
          <w:szCs w:val="18"/>
        </w:rPr>
      </w:pPr>
      <w:r w:rsidRPr="004B3DE4">
        <w:rPr>
          <w:rFonts w:cs="Tahoma"/>
          <w:szCs w:val="18"/>
        </w:rPr>
        <w:t xml:space="preserve">Toplumsal diyaloğu, dayanışmayı, uzlaşı ve hoşgörü kültürünü öne çıkartacak, toplumsal bağlarımızı güçlendirecek tedbirlerin tespit edilmesi amacıyla ilgili tüm kamu kurumlarının, STK’ların, akademisyen ve aydınların katılımlarının sağlanacağı bir Kültür </w:t>
      </w:r>
      <w:r>
        <w:rPr>
          <w:rFonts w:cs="Tahoma"/>
          <w:szCs w:val="18"/>
        </w:rPr>
        <w:t xml:space="preserve">Stratejisi ve </w:t>
      </w:r>
      <w:r w:rsidRPr="004B3DE4">
        <w:rPr>
          <w:rFonts w:cs="Tahoma"/>
          <w:szCs w:val="18"/>
        </w:rPr>
        <w:t xml:space="preserve">Eylem </w:t>
      </w:r>
      <w:r>
        <w:rPr>
          <w:rFonts w:cs="Tahoma"/>
          <w:szCs w:val="18"/>
        </w:rPr>
        <w:t>Planı</w:t>
      </w:r>
      <w:r w:rsidRPr="004B3DE4">
        <w:rPr>
          <w:rFonts w:cs="Tahoma"/>
          <w:szCs w:val="18"/>
        </w:rPr>
        <w:t xml:space="preserve"> hazırlanması için çalışmalar yapılması önem arz etmektedir.</w:t>
      </w:r>
    </w:p>
    <w:p w:rsidR="00565FD5" w:rsidRPr="004B3DE4" w:rsidRDefault="00565FD5" w:rsidP="00565FD5">
      <w:pPr>
        <w:spacing w:after="240"/>
        <w:ind w:firstLine="425"/>
        <w:rPr>
          <w:rFonts w:cs="Tahoma"/>
          <w:szCs w:val="18"/>
        </w:rPr>
      </w:pPr>
      <w:r w:rsidRPr="004B3DE4">
        <w:rPr>
          <w:rFonts w:cs="Tahoma"/>
          <w:szCs w:val="18"/>
        </w:rPr>
        <w:t>Yoğun göç ve çarpık kentleşmenin oluşturduğu sorunlar, toplumsal bütünlüğü ve uyumu zedeleyici ortamlar oluşturmaktadır. Bu kapsamda, yerel yönetimler ve STK’ların toplumsal dayanışma, yardımlaşma ve bir arada yaşama kültürünü geliştirecek faaliyetlere ağırlık vermeleri gerekmektedir. Diğer taraftan, kültürümüzde önemli yer teşkil eden vakıflar, geçmişte toplumsal kalkınmanın temininde aktif rol üstlenmişken günümüzde bu anlamda oldukça geri planda kalmış</w:t>
      </w:r>
      <w:r>
        <w:rPr>
          <w:rFonts w:cs="Tahoma"/>
          <w:szCs w:val="18"/>
        </w:rPr>
        <w:t>t</w:t>
      </w:r>
      <w:r w:rsidRPr="004B3DE4">
        <w:rPr>
          <w:rFonts w:cs="Tahoma"/>
          <w:szCs w:val="18"/>
        </w:rPr>
        <w:t>ır. Genel anlamıyla STK’ların, özelde ise vakıfların özellikle kültürel ve sosyal politikalar alanında katma değer oluşturma potansiyelleri oldukça yüksektir. Bu bağlamda vakıfların toplumsal kalkınmaya daha fazla katkı vermelerini sağlayacak önlemler alınması gerekmektedir.</w:t>
      </w:r>
    </w:p>
    <w:p w:rsidR="00565FD5" w:rsidRPr="004B3DE4" w:rsidRDefault="00565FD5" w:rsidP="00565FD5">
      <w:pPr>
        <w:pStyle w:val="Balk4"/>
        <w:spacing w:after="240"/>
        <w:rPr>
          <w:noProof/>
          <w:lang w:val="en-US"/>
        </w:rPr>
      </w:pPr>
      <w:bookmarkStart w:id="2643" w:name="_Toc338494260"/>
      <w:bookmarkStart w:id="2644" w:name="_Toc338505638"/>
      <w:bookmarkStart w:id="2645" w:name="_Toc338523870"/>
      <w:bookmarkStart w:id="2646" w:name="_Toc338524101"/>
      <w:bookmarkStart w:id="2647" w:name="_Toc338526327"/>
      <w:bookmarkStart w:id="2648" w:name="_Toc338673770"/>
      <w:bookmarkStart w:id="2649" w:name="_Toc338711649"/>
      <w:r w:rsidRPr="004B3DE4">
        <w:rPr>
          <w:noProof/>
        </w:rPr>
        <w:lastRenderedPageBreak/>
        <w:t>2. Temel Amaç ve Hedefler</w:t>
      </w:r>
      <w:bookmarkEnd w:id="2643"/>
      <w:bookmarkEnd w:id="2644"/>
      <w:bookmarkEnd w:id="2645"/>
      <w:bookmarkEnd w:id="2646"/>
      <w:bookmarkEnd w:id="2647"/>
      <w:bookmarkEnd w:id="2648"/>
      <w:bookmarkEnd w:id="2649"/>
    </w:p>
    <w:p w:rsidR="00565FD5" w:rsidRDefault="00565FD5" w:rsidP="00565FD5">
      <w:pPr>
        <w:spacing w:after="240"/>
        <w:ind w:firstLine="425"/>
        <w:rPr>
          <w:rFonts w:cs="Tahoma"/>
          <w:szCs w:val="18"/>
        </w:rPr>
      </w:pPr>
      <w:r w:rsidRPr="004B3DE4">
        <w:rPr>
          <w:rFonts w:cs="Tahoma"/>
          <w:szCs w:val="18"/>
        </w:rPr>
        <w:t xml:space="preserve">Toplumsal değişim sürecinde kültürel zenginliğimizin korunması ve geliştirilmesi, gelecek kuşaklara aktarılması, ortak kültürel değerlerimiz etrafında farklılıklara saygı çerçevesinde tüm bireylerin hoşgörü ve dayanışma içerisinde yaşaması temel amaçtır. </w:t>
      </w:r>
    </w:p>
    <w:p w:rsidR="00565FD5" w:rsidRDefault="00565FD5" w:rsidP="00565FD5">
      <w:pPr>
        <w:spacing w:after="240"/>
        <w:ind w:firstLine="425"/>
        <w:rPr>
          <w:rFonts w:cs="Tahoma"/>
          <w:szCs w:val="18"/>
        </w:rPr>
      </w:pPr>
    </w:p>
    <w:p w:rsidR="00565FD5" w:rsidRPr="004B3DE4" w:rsidRDefault="00565FD5" w:rsidP="00565FD5">
      <w:pPr>
        <w:spacing w:after="240"/>
        <w:ind w:firstLine="425"/>
        <w:rPr>
          <w:rFonts w:cs="Tahoma"/>
          <w:szCs w:val="18"/>
        </w:rPr>
      </w:pPr>
    </w:p>
    <w:p w:rsidR="00565FD5" w:rsidRPr="004B3DE4" w:rsidRDefault="00565FD5" w:rsidP="00565FD5">
      <w:pPr>
        <w:pStyle w:val="Balk4"/>
        <w:rPr>
          <w:noProof/>
          <w:lang w:val="en-US"/>
        </w:rPr>
      </w:pPr>
      <w:bookmarkStart w:id="2650" w:name="_Toc276076354"/>
      <w:bookmarkStart w:id="2651" w:name="_Toc338494261"/>
      <w:bookmarkStart w:id="2652" w:name="_Toc338505639"/>
      <w:bookmarkStart w:id="2653" w:name="_Toc338523871"/>
      <w:bookmarkStart w:id="2654" w:name="_Toc338524102"/>
      <w:bookmarkStart w:id="2655" w:name="_Toc338526328"/>
      <w:bookmarkStart w:id="2656" w:name="_Toc338673771"/>
      <w:bookmarkStart w:id="2657" w:name="_Toc338711650"/>
      <w:r w:rsidRPr="004B3DE4">
        <w:rPr>
          <w:noProof/>
        </w:rPr>
        <w:t xml:space="preserve">3. </w:t>
      </w:r>
      <w:bookmarkStart w:id="2658" w:name="_Toc213065736"/>
      <w:bookmarkStart w:id="2659" w:name="_Toc244253747"/>
      <w:bookmarkStart w:id="2660" w:name="_Toc244254997"/>
      <w:bookmarkStart w:id="2661" w:name="_Toc244313732"/>
      <w:bookmarkStart w:id="2662" w:name="_Toc244315209"/>
      <w:bookmarkStart w:id="2663" w:name="_Toc244339672"/>
      <w:r w:rsidRPr="004B3DE4">
        <w:rPr>
          <w:noProof/>
        </w:rPr>
        <w:t>Politika Öncelikleri ve Tedbirler</w:t>
      </w:r>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621"/>
        <w:gridCol w:w="2386"/>
        <w:gridCol w:w="829"/>
        <w:gridCol w:w="2308"/>
      </w:tblGrid>
      <w:tr w:rsidR="00565FD5" w:rsidRPr="002C6828" w:rsidTr="00AB62A3">
        <w:trPr>
          <w:trHeight w:val="567"/>
          <w:jc w:val="center"/>
        </w:trPr>
        <w:tc>
          <w:tcPr>
            <w:tcW w:w="1093" w:type="pct"/>
            <w:vAlign w:val="bottom"/>
          </w:tcPr>
          <w:p w:rsidR="00565FD5" w:rsidRPr="002C6828" w:rsidRDefault="00565FD5" w:rsidP="00AB62A3">
            <w:pPr>
              <w:spacing w:before="40" w:after="40"/>
              <w:ind w:left="57" w:right="57"/>
              <w:rPr>
                <w:rFonts w:cs="Tahoma"/>
                <w:b/>
                <w:sz w:val="16"/>
                <w:szCs w:val="16"/>
              </w:rPr>
            </w:pPr>
            <w:r w:rsidRPr="002C6828">
              <w:rPr>
                <w:rFonts w:cs="Tahoma"/>
                <w:b/>
                <w:sz w:val="16"/>
                <w:szCs w:val="16"/>
              </w:rPr>
              <w:t>Öncelik / Tedbir</w:t>
            </w:r>
          </w:p>
        </w:tc>
        <w:tc>
          <w:tcPr>
            <w:tcW w:w="1684" w:type="pct"/>
            <w:vAlign w:val="bottom"/>
          </w:tcPr>
          <w:p w:rsidR="00565FD5" w:rsidRPr="002C6828" w:rsidRDefault="00565FD5" w:rsidP="00AB62A3">
            <w:pPr>
              <w:spacing w:before="40" w:after="40"/>
              <w:ind w:left="57" w:right="57"/>
              <w:rPr>
                <w:rFonts w:cs="Tahoma"/>
                <w:b/>
                <w:sz w:val="16"/>
                <w:szCs w:val="16"/>
              </w:rPr>
            </w:pPr>
            <w:r w:rsidRPr="002C6828">
              <w:rPr>
                <w:rFonts w:cs="Tahoma"/>
                <w:b/>
                <w:sz w:val="16"/>
                <w:szCs w:val="16"/>
              </w:rPr>
              <w:t>Sorumlu /İşbirliği Yapılacak Kuruluş</w:t>
            </w:r>
          </w:p>
        </w:tc>
        <w:tc>
          <w:tcPr>
            <w:tcW w:w="594" w:type="pct"/>
            <w:vAlign w:val="bottom"/>
          </w:tcPr>
          <w:p w:rsidR="00565FD5" w:rsidRPr="002C6828" w:rsidRDefault="00565FD5" w:rsidP="00AB62A3">
            <w:pPr>
              <w:spacing w:before="40" w:after="40"/>
              <w:ind w:left="57" w:right="57"/>
              <w:rPr>
                <w:rFonts w:cs="Tahoma"/>
                <w:b/>
                <w:sz w:val="16"/>
                <w:szCs w:val="16"/>
              </w:rPr>
            </w:pPr>
            <w:r w:rsidRPr="002C6828">
              <w:rPr>
                <w:rFonts w:cs="Tahoma"/>
                <w:b/>
                <w:sz w:val="16"/>
                <w:szCs w:val="16"/>
              </w:rPr>
              <w:t>Süre</w:t>
            </w:r>
          </w:p>
        </w:tc>
        <w:tc>
          <w:tcPr>
            <w:tcW w:w="1628" w:type="pct"/>
            <w:vAlign w:val="bottom"/>
          </w:tcPr>
          <w:p w:rsidR="00565FD5" w:rsidRPr="002C6828" w:rsidRDefault="00565FD5" w:rsidP="00AB62A3">
            <w:pPr>
              <w:spacing w:before="40" w:after="40"/>
              <w:ind w:left="57" w:right="57"/>
              <w:rPr>
                <w:rFonts w:cs="Tahoma"/>
                <w:b/>
                <w:sz w:val="16"/>
                <w:szCs w:val="16"/>
              </w:rPr>
            </w:pPr>
            <w:r w:rsidRPr="002C6828">
              <w:rPr>
                <w:rFonts w:cs="Tahoma"/>
                <w:b/>
                <w:sz w:val="16"/>
                <w:szCs w:val="16"/>
              </w:rPr>
              <w:t>Yapılacak İşlem ve Açıklama</w:t>
            </w:r>
          </w:p>
        </w:tc>
      </w:tr>
      <w:tr w:rsidR="00565FD5" w:rsidRPr="002C6828" w:rsidTr="00AB62A3">
        <w:trPr>
          <w:trHeight w:val="567"/>
          <w:jc w:val="center"/>
        </w:trPr>
        <w:tc>
          <w:tcPr>
            <w:tcW w:w="5000" w:type="pct"/>
            <w:gridSpan w:val="4"/>
          </w:tcPr>
          <w:p w:rsidR="00565FD5" w:rsidRPr="002C6828" w:rsidRDefault="00565FD5" w:rsidP="00EB1E69">
            <w:pPr>
              <w:numPr>
                <w:ilvl w:val="0"/>
                <w:numId w:val="15"/>
              </w:numPr>
              <w:tabs>
                <w:tab w:val="left" w:pos="425"/>
              </w:tabs>
              <w:spacing w:before="40" w:after="40" w:line="240" w:lineRule="auto"/>
              <w:ind w:right="57"/>
              <w:jc w:val="both"/>
              <w:rPr>
                <w:rFonts w:cs="Tahoma"/>
                <w:b/>
                <w:sz w:val="16"/>
                <w:szCs w:val="16"/>
              </w:rPr>
            </w:pPr>
            <w:r>
              <w:rPr>
                <w:rFonts w:cs="Tahoma"/>
                <w:b/>
                <w:sz w:val="16"/>
                <w:szCs w:val="16"/>
              </w:rPr>
              <w:t>Yurtiçi</w:t>
            </w:r>
            <w:r w:rsidRPr="002C6828">
              <w:rPr>
                <w:rFonts w:cs="Tahoma"/>
                <w:b/>
                <w:sz w:val="16"/>
                <w:szCs w:val="16"/>
              </w:rPr>
              <w:t xml:space="preserve"> ve yurt dışı kültür mirasımızın envanterinin çıkarılarak dijital ortama aktarılması sağlanacak, bu mirasın korunmasına yönelik çalışmalar yapılacaktır.</w:t>
            </w:r>
          </w:p>
        </w:tc>
      </w:tr>
      <w:tr w:rsidR="00565FD5" w:rsidRPr="00CF339C" w:rsidTr="00AB62A3">
        <w:trPr>
          <w:trHeight w:val="488"/>
          <w:jc w:val="center"/>
        </w:trPr>
        <w:tc>
          <w:tcPr>
            <w:tcW w:w="1093" w:type="pct"/>
          </w:tcPr>
          <w:p w:rsidR="00565FD5" w:rsidRPr="00CF339C" w:rsidRDefault="00565FD5" w:rsidP="00EB1E69">
            <w:pPr>
              <w:numPr>
                <w:ilvl w:val="0"/>
                <w:numId w:val="14"/>
              </w:numPr>
              <w:tabs>
                <w:tab w:val="left" w:pos="425"/>
              </w:tabs>
              <w:spacing w:before="40" w:after="40" w:line="240" w:lineRule="auto"/>
              <w:ind w:right="57"/>
              <w:rPr>
                <w:rFonts w:cs="Tahoma"/>
                <w:sz w:val="16"/>
                <w:szCs w:val="16"/>
              </w:rPr>
            </w:pPr>
            <w:r w:rsidRPr="00CF339C">
              <w:rPr>
                <w:rFonts w:cs="Tahoma"/>
                <w:sz w:val="16"/>
                <w:szCs w:val="16"/>
              </w:rPr>
              <w:t>Kültürel mirasımızın korunması, tanıtılması ve bu konuda kamuoyu bilincinin artırılması sağlanacaktır.</w:t>
            </w:r>
          </w:p>
        </w:tc>
        <w:tc>
          <w:tcPr>
            <w:tcW w:w="1684" w:type="pct"/>
          </w:tcPr>
          <w:p w:rsidR="00565FD5" w:rsidRPr="00CF339C" w:rsidRDefault="00565FD5" w:rsidP="00AB62A3">
            <w:pPr>
              <w:spacing w:before="40" w:after="40"/>
              <w:ind w:left="57" w:right="57"/>
              <w:rPr>
                <w:rFonts w:cs="Tahoma"/>
                <w:sz w:val="16"/>
                <w:szCs w:val="16"/>
              </w:rPr>
            </w:pPr>
            <w:r w:rsidRPr="00CF339C">
              <w:rPr>
                <w:rFonts w:cs="Tahoma"/>
                <w:sz w:val="16"/>
                <w:szCs w:val="16"/>
              </w:rPr>
              <w:t>Kültür ve Turizm Bakanlığı (S), MEB, TİKA, Diyanet İşleri Başkanlığı,</w:t>
            </w:r>
            <w:r>
              <w:rPr>
                <w:rFonts w:cs="Tahoma"/>
                <w:sz w:val="16"/>
                <w:szCs w:val="16"/>
              </w:rPr>
              <w:t xml:space="preserve"> </w:t>
            </w:r>
            <w:r w:rsidRPr="00CF339C">
              <w:rPr>
                <w:rFonts w:cs="Tahoma"/>
                <w:sz w:val="16"/>
                <w:szCs w:val="16"/>
              </w:rPr>
              <w:t>Yunus Emre Vakfı, Devlet Arş. Gn.Md., Vakıflar Genel Müdürlüğü, Türkiye Yazma Eserler Kurumu Başkanlığı Üniversiteler, Yerel Yönetimler, STK’lar</w:t>
            </w:r>
          </w:p>
        </w:tc>
        <w:tc>
          <w:tcPr>
            <w:tcW w:w="594" w:type="pct"/>
          </w:tcPr>
          <w:p w:rsidR="00565FD5" w:rsidRPr="00CF339C" w:rsidRDefault="00565FD5" w:rsidP="00AB62A3">
            <w:pPr>
              <w:spacing w:before="40" w:after="40"/>
              <w:ind w:left="57" w:right="57"/>
              <w:rPr>
                <w:rFonts w:cs="Tahoma"/>
                <w:sz w:val="16"/>
                <w:szCs w:val="16"/>
              </w:rPr>
            </w:pPr>
            <w:r w:rsidRPr="00CF339C">
              <w:rPr>
                <w:rFonts w:cs="Tahoma"/>
                <w:sz w:val="16"/>
                <w:szCs w:val="16"/>
              </w:rPr>
              <w:t>Aralık Sonu</w:t>
            </w:r>
          </w:p>
        </w:tc>
        <w:tc>
          <w:tcPr>
            <w:tcW w:w="1628" w:type="pct"/>
          </w:tcPr>
          <w:p w:rsidR="00565FD5" w:rsidRPr="00CF339C" w:rsidRDefault="00565FD5" w:rsidP="00AB62A3">
            <w:pPr>
              <w:spacing w:before="40" w:after="40"/>
              <w:ind w:left="57" w:right="57"/>
              <w:rPr>
                <w:rFonts w:cs="Tahoma"/>
                <w:sz w:val="16"/>
                <w:szCs w:val="16"/>
              </w:rPr>
            </w:pPr>
            <w:r w:rsidRPr="00CF339C">
              <w:rPr>
                <w:rFonts w:cs="Tahoma"/>
                <w:sz w:val="16"/>
                <w:szCs w:val="16"/>
              </w:rPr>
              <w:t>Yurt içindeki ve dışındaki tarihi  eserlerimiz ve kültürel mirasımızın aslına uygun olarak korunması sağlanacak, yurt dışında restorasyonuna başlanan tarihi eserlerimiz öncelikli olarak tamamlanacaktır. Yazma eserlerin restorasyonu yapılarak, tıpkıbasımı ve günümüz Türkçesine çevirisi yapılacaktır. Yurt içindeki ve dışındaki yazma eserlerin tespiti yapılarak envanteri çıkarılacak, şahıs  elinde bulunan önemli yazma eserler satın alınacaktır. Süleymaniye ve Beyazıt Devlet Kütüphanelerindeki yazma eser koleksiyonlarının dijital ortama aktarılması tamamlanacaktır. Taşınmaz Ulusal Envanter Sistemi (TUES) projesi hayata geçirilecektir.</w:t>
            </w:r>
          </w:p>
        </w:tc>
      </w:tr>
      <w:tr w:rsidR="00565FD5" w:rsidRPr="00CF339C" w:rsidTr="00AB62A3">
        <w:trPr>
          <w:trHeight w:val="20"/>
          <w:jc w:val="center"/>
        </w:trPr>
        <w:tc>
          <w:tcPr>
            <w:tcW w:w="1093" w:type="pct"/>
          </w:tcPr>
          <w:p w:rsidR="00565FD5" w:rsidRPr="00CF339C" w:rsidRDefault="00565FD5" w:rsidP="00EB1E69">
            <w:pPr>
              <w:numPr>
                <w:ilvl w:val="0"/>
                <w:numId w:val="14"/>
              </w:numPr>
              <w:tabs>
                <w:tab w:val="left" w:pos="425"/>
              </w:tabs>
              <w:spacing w:before="40" w:after="40" w:line="240" w:lineRule="auto"/>
              <w:ind w:right="57"/>
              <w:rPr>
                <w:rFonts w:cs="Tahoma"/>
                <w:sz w:val="16"/>
                <w:szCs w:val="16"/>
              </w:rPr>
            </w:pPr>
            <w:r w:rsidRPr="00CF339C">
              <w:rPr>
                <w:rFonts w:cs="Tahoma"/>
                <w:sz w:val="16"/>
                <w:szCs w:val="16"/>
              </w:rPr>
              <w:t>Yeni Müzelerin kurulması sağlanacak, müzelerin ziyaretçi sayısının artmasına yönelik çalışmalar yapılacaktır.</w:t>
            </w:r>
          </w:p>
        </w:tc>
        <w:tc>
          <w:tcPr>
            <w:tcW w:w="1684" w:type="pct"/>
          </w:tcPr>
          <w:p w:rsidR="00565FD5" w:rsidRPr="00CF339C" w:rsidRDefault="00565FD5" w:rsidP="00AB62A3">
            <w:pPr>
              <w:spacing w:before="40" w:after="40"/>
              <w:ind w:left="57" w:right="57"/>
              <w:rPr>
                <w:rFonts w:cs="Tahoma"/>
                <w:sz w:val="16"/>
                <w:szCs w:val="16"/>
              </w:rPr>
            </w:pPr>
            <w:r w:rsidRPr="00CF339C">
              <w:rPr>
                <w:rFonts w:cs="Tahoma"/>
                <w:sz w:val="16"/>
                <w:szCs w:val="16"/>
              </w:rPr>
              <w:t>Kültür ve Turizm Bakanlığı (S), Vakıflar Genel Müdürlüğü, Üniversiteler, Yerel Yönetimler</w:t>
            </w:r>
          </w:p>
        </w:tc>
        <w:tc>
          <w:tcPr>
            <w:tcW w:w="594" w:type="pct"/>
          </w:tcPr>
          <w:p w:rsidR="00565FD5" w:rsidRPr="00CF339C" w:rsidRDefault="00565FD5" w:rsidP="00AB62A3">
            <w:pPr>
              <w:spacing w:before="40" w:after="40"/>
              <w:ind w:left="57" w:right="57"/>
              <w:rPr>
                <w:rFonts w:cs="Tahoma"/>
                <w:sz w:val="16"/>
                <w:szCs w:val="16"/>
              </w:rPr>
            </w:pPr>
            <w:r w:rsidRPr="00CF339C">
              <w:rPr>
                <w:rFonts w:cs="Tahoma"/>
                <w:sz w:val="16"/>
                <w:szCs w:val="16"/>
              </w:rPr>
              <w:t>Aralık Sonu</w:t>
            </w:r>
          </w:p>
        </w:tc>
        <w:tc>
          <w:tcPr>
            <w:tcW w:w="1628" w:type="pct"/>
          </w:tcPr>
          <w:p w:rsidR="00565FD5" w:rsidRPr="00CF339C" w:rsidRDefault="00565FD5" w:rsidP="00AB62A3">
            <w:pPr>
              <w:spacing w:before="40" w:after="40"/>
              <w:ind w:left="57" w:right="57"/>
              <w:rPr>
                <w:rFonts w:cs="Tahoma"/>
                <w:sz w:val="16"/>
                <w:szCs w:val="16"/>
              </w:rPr>
            </w:pPr>
            <w:r w:rsidRPr="00CF339C">
              <w:rPr>
                <w:rFonts w:cs="Tahoma"/>
                <w:sz w:val="16"/>
                <w:szCs w:val="16"/>
              </w:rPr>
              <w:t xml:space="preserve">Müzecilikte Algılama Teknikleri (MAT) projesinin tamamlanmasıyla oluşturulacak interaktif uygulamalarla müzecilikte sunum teknikleri </w:t>
            </w:r>
            <w:r w:rsidRPr="00CF339C">
              <w:rPr>
                <w:rFonts w:cs="Tahoma"/>
                <w:sz w:val="16"/>
                <w:szCs w:val="16"/>
              </w:rPr>
              <w:lastRenderedPageBreak/>
              <w:t>geliştirilecek ve bu suretle ziyaretçi sayısında artış sağlanacaktır. Başta tematik müzeler olmak üzere yeni müzeler kurulacak ve Müzeler Ulusal Envanter Sistemi (MUES) projesi  hayata geçirilecektir. Ulusal Film Arşivi ve Müzesinin uygulama projeleri hazırlanacak ve yapımına başlanacaktır.</w:t>
            </w:r>
          </w:p>
        </w:tc>
      </w:tr>
      <w:tr w:rsidR="00565FD5" w:rsidRPr="00CF339C" w:rsidTr="00AB62A3">
        <w:trPr>
          <w:trHeight w:val="20"/>
          <w:jc w:val="center"/>
        </w:trPr>
        <w:tc>
          <w:tcPr>
            <w:tcW w:w="1093" w:type="pct"/>
          </w:tcPr>
          <w:p w:rsidR="00565FD5" w:rsidRPr="00CF339C" w:rsidRDefault="00565FD5" w:rsidP="00EB1E69">
            <w:pPr>
              <w:numPr>
                <w:ilvl w:val="0"/>
                <w:numId w:val="14"/>
              </w:numPr>
              <w:tabs>
                <w:tab w:val="left" w:pos="425"/>
              </w:tabs>
              <w:spacing w:before="40" w:after="40" w:line="240" w:lineRule="auto"/>
              <w:ind w:right="57"/>
              <w:rPr>
                <w:rFonts w:cs="Tahoma"/>
                <w:sz w:val="16"/>
                <w:szCs w:val="16"/>
              </w:rPr>
            </w:pPr>
            <w:r w:rsidRPr="00CF339C">
              <w:rPr>
                <w:rFonts w:cs="Tahoma"/>
                <w:sz w:val="16"/>
                <w:szCs w:val="16"/>
              </w:rPr>
              <w:lastRenderedPageBreak/>
              <w:t>Soydaş ve akraba topluluklarla  ortak kültürel değerler temelinde ilişkilerin geliştirilmesine yönelik bir strateji belgesi hazırlanacaktır</w:t>
            </w:r>
          </w:p>
        </w:tc>
        <w:tc>
          <w:tcPr>
            <w:tcW w:w="1684" w:type="pct"/>
          </w:tcPr>
          <w:p w:rsidR="00565FD5" w:rsidRPr="00CF339C" w:rsidRDefault="00565FD5" w:rsidP="00AB62A3">
            <w:pPr>
              <w:spacing w:before="40" w:after="40"/>
              <w:ind w:left="57" w:right="57"/>
              <w:rPr>
                <w:rFonts w:cs="Tahoma"/>
                <w:sz w:val="16"/>
                <w:szCs w:val="16"/>
              </w:rPr>
            </w:pPr>
            <w:r w:rsidRPr="00CF339C">
              <w:rPr>
                <w:rFonts w:cs="Tahoma"/>
                <w:sz w:val="16"/>
                <w:szCs w:val="16"/>
              </w:rPr>
              <w:t>Yurtdışı Türkler ve Akraba Topluluklar Başkanlığı (S), Kültür ve Turizm Bakanlığı,  Dışişleri Bakanlığı, TİKA</w:t>
            </w:r>
          </w:p>
        </w:tc>
        <w:tc>
          <w:tcPr>
            <w:tcW w:w="594" w:type="pct"/>
          </w:tcPr>
          <w:p w:rsidR="00565FD5" w:rsidRPr="00CF339C" w:rsidRDefault="00565FD5" w:rsidP="00AB62A3">
            <w:pPr>
              <w:spacing w:before="40" w:after="40"/>
              <w:ind w:left="57" w:right="57"/>
              <w:rPr>
                <w:rFonts w:cs="Tahoma"/>
                <w:sz w:val="16"/>
                <w:szCs w:val="16"/>
              </w:rPr>
            </w:pPr>
            <w:r w:rsidRPr="00CF339C">
              <w:rPr>
                <w:rFonts w:cs="Tahoma"/>
                <w:sz w:val="16"/>
                <w:szCs w:val="16"/>
              </w:rPr>
              <w:t>Aralık Sonu</w:t>
            </w:r>
          </w:p>
        </w:tc>
        <w:tc>
          <w:tcPr>
            <w:tcW w:w="1628" w:type="pct"/>
          </w:tcPr>
          <w:p w:rsidR="00565FD5" w:rsidRPr="00CF339C" w:rsidRDefault="00565FD5" w:rsidP="00AB62A3">
            <w:pPr>
              <w:spacing w:before="40" w:after="40"/>
              <w:ind w:left="57" w:right="57"/>
              <w:rPr>
                <w:rFonts w:cs="Tahoma"/>
                <w:sz w:val="16"/>
                <w:szCs w:val="16"/>
              </w:rPr>
            </w:pPr>
            <w:r w:rsidRPr="00CF339C">
              <w:rPr>
                <w:rFonts w:cs="Tahoma"/>
                <w:sz w:val="16"/>
                <w:szCs w:val="16"/>
              </w:rPr>
              <w:t>5978 sayılı Kanun uyarınca oluşturulan Kültürel ve Sosyal Eşgüdüm Değerlendirme Kurulu aracılığıyla soydaş ve akraba topluluklara yönelik ortak kültürel değerler temelinde, sosyal ve ekonomik ilişkileri geliştirmeye dönük bir strateji belgesi oluşturulacak ve uygulamaya konulacaktır.</w:t>
            </w:r>
          </w:p>
        </w:tc>
      </w:tr>
      <w:tr w:rsidR="00565FD5" w:rsidRPr="003925B6" w:rsidTr="00AB62A3">
        <w:trPr>
          <w:trHeight w:val="20"/>
          <w:jc w:val="center"/>
        </w:trPr>
        <w:tc>
          <w:tcPr>
            <w:tcW w:w="5000" w:type="pct"/>
            <w:gridSpan w:val="4"/>
          </w:tcPr>
          <w:p w:rsidR="00565FD5" w:rsidRPr="003925B6" w:rsidRDefault="00565FD5" w:rsidP="00EB1E69">
            <w:pPr>
              <w:numPr>
                <w:ilvl w:val="0"/>
                <w:numId w:val="15"/>
              </w:numPr>
              <w:tabs>
                <w:tab w:val="left" w:pos="425"/>
              </w:tabs>
              <w:spacing w:before="40" w:after="40" w:line="240" w:lineRule="auto"/>
              <w:ind w:right="57"/>
              <w:jc w:val="both"/>
              <w:rPr>
                <w:rFonts w:cs="Tahoma"/>
                <w:b/>
                <w:sz w:val="16"/>
                <w:szCs w:val="16"/>
              </w:rPr>
            </w:pPr>
            <w:r w:rsidRPr="003925B6">
              <w:rPr>
                <w:rFonts w:cs="Tahoma"/>
                <w:b/>
                <w:sz w:val="16"/>
                <w:szCs w:val="16"/>
              </w:rPr>
              <w:t xml:space="preserve">Türkçenin dil birikimini ortaya çıkaracak; Türk tarihinin,  kültür, sanat ve edebiyatının bütün dünyada tanınmasını ve yaygınlaşmasını sağlayacak çalışmalar desteklenecektir. </w:t>
            </w:r>
          </w:p>
        </w:tc>
      </w:tr>
      <w:tr w:rsidR="00565FD5" w:rsidRPr="00CF339C" w:rsidTr="00AB62A3">
        <w:trPr>
          <w:trHeight w:val="20"/>
          <w:jc w:val="center"/>
        </w:trPr>
        <w:tc>
          <w:tcPr>
            <w:tcW w:w="1093" w:type="pct"/>
          </w:tcPr>
          <w:p w:rsidR="00565FD5" w:rsidRPr="00CF339C" w:rsidRDefault="00565FD5" w:rsidP="00EB1E69">
            <w:pPr>
              <w:numPr>
                <w:ilvl w:val="0"/>
                <w:numId w:val="14"/>
              </w:numPr>
              <w:tabs>
                <w:tab w:val="left" w:pos="425"/>
              </w:tabs>
              <w:spacing w:before="40" w:after="40" w:line="240" w:lineRule="auto"/>
              <w:ind w:right="57"/>
              <w:rPr>
                <w:rFonts w:cs="Tahoma"/>
                <w:sz w:val="16"/>
                <w:szCs w:val="16"/>
              </w:rPr>
            </w:pPr>
            <w:r w:rsidRPr="00CF339C">
              <w:rPr>
                <w:rFonts w:cs="Tahoma"/>
                <w:sz w:val="16"/>
                <w:szCs w:val="16"/>
              </w:rPr>
              <w:t>Türkçenin geliştirilmesi, doğru ve etkin kullanımı sağlanacaktır.</w:t>
            </w:r>
          </w:p>
        </w:tc>
        <w:tc>
          <w:tcPr>
            <w:tcW w:w="1684" w:type="pct"/>
          </w:tcPr>
          <w:p w:rsidR="00565FD5" w:rsidRPr="00CF339C" w:rsidRDefault="00565FD5" w:rsidP="00AB62A3">
            <w:pPr>
              <w:spacing w:before="40" w:after="40"/>
              <w:ind w:left="57" w:right="57"/>
              <w:rPr>
                <w:rFonts w:cs="Tahoma"/>
                <w:sz w:val="16"/>
                <w:szCs w:val="16"/>
              </w:rPr>
            </w:pPr>
            <w:r w:rsidRPr="00CF339C">
              <w:rPr>
                <w:rFonts w:cs="Tahoma"/>
                <w:sz w:val="16"/>
                <w:szCs w:val="16"/>
              </w:rPr>
              <w:t>Türk Dil Kurumu (S), Kültür ve Turizm Bakanlığı, Yunus Emre Vakfı, MEB, YÖK, TRT, TÜBİTAK, Özürlüler İdaresi Başkanlığı, Anadolu Ajansı</w:t>
            </w:r>
          </w:p>
        </w:tc>
        <w:tc>
          <w:tcPr>
            <w:tcW w:w="594" w:type="pct"/>
          </w:tcPr>
          <w:p w:rsidR="00565FD5" w:rsidRPr="00CF339C" w:rsidRDefault="00565FD5" w:rsidP="00AB62A3">
            <w:pPr>
              <w:spacing w:before="40" w:after="40"/>
              <w:ind w:left="57" w:right="57"/>
              <w:rPr>
                <w:rFonts w:cs="Tahoma"/>
                <w:sz w:val="16"/>
                <w:szCs w:val="16"/>
              </w:rPr>
            </w:pPr>
            <w:r w:rsidRPr="00CF339C">
              <w:rPr>
                <w:rFonts w:cs="Tahoma"/>
                <w:sz w:val="16"/>
                <w:szCs w:val="16"/>
              </w:rPr>
              <w:t>Aralık Sonu</w:t>
            </w:r>
          </w:p>
        </w:tc>
        <w:tc>
          <w:tcPr>
            <w:tcW w:w="1628" w:type="pct"/>
          </w:tcPr>
          <w:p w:rsidR="00565FD5" w:rsidRPr="00CF339C" w:rsidRDefault="00565FD5" w:rsidP="00AB62A3">
            <w:pPr>
              <w:spacing w:before="40" w:after="40"/>
              <w:ind w:left="57" w:right="57"/>
              <w:rPr>
                <w:rFonts w:cs="Tahoma"/>
                <w:sz w:val="16"/>
                <w:szCs w:val="16"/>
              </w:rPr>
            </w:pPr>
            <w:r w:rsidRPr="00CF339C">
              <w:rPr>
                <w:rFonts w:cs="Tahoma"/>
                <w:sz w:val="16"/>
                <w:szCs w:val="16"/>
              </w:rPr>
              <w:t xml:space="preserve">Bilim, eğitim, öğretim, yayın kuruluşlarında Türkçenin doğru ve etkin kullanımı sağlanacaktır. Yazılı ve görsel basında ve ticari alanda yabancı kelimeler yerine Türkçe kelimelerin kullanımının özendirilmesine çalışılacak, işyeri adlarındaki yabancılaşmaya karşı  yasal düzenlemeler yapılacaktır. Etimolojik sözlük hazırlanmasına ve yabancılara uzaktan Türkçe öğretimine yönelik çalışmalara başlanacaktır. Türk işaret dilinin oluşturulması, sözlüğünün ve dil bilgisinin hazırlanması sağlanacaktır. TDK’nın ikincil mevzuatının hazırlanmasına yönelik çalışmalara başlanacaktır.  </w:t>
            </w:r>
          </w:p>
        </w:tc>
      </w:tr>
      <w:tr w:rsidR="00565FD5" w:rsidRPr="00CF339C" w:rsidTr="00AB62A3">
        <w:trPr>
          <w:trHeight w:val="1940"/>
          <w:jc w:val="center"/>
        </w:trPr>
        <w:tc>
          <w:tcPr>
            <w:tcW w:w="1093" w:type="pct"/>
          </w:tcPr>
          <w:p w:rsidR="00565FD5" w:rsidRPr="00CF339C" w:rsidRDefault="00565FD5" w:rsidP="00EB1E69">
            <w:pPr>
              <w:numPr>
                <w:ilvl w:val="0"/>
                <w:numId w:val="14"/>
              </w:numPr>
              <w:tabs>
                <w:tab w:val="left" w:pos="425"/>
              </w:tabs>
              <w:spacing w:before="40" w:after="40" w:line="240" w:lineRule="auto"/>
              <w:ind w:right="57"/>
              <w:rPr>
                <w:rFonts w:cs="Tahoma"/>
                <w:sz w:val="16"/>
                <w:szCs w:val="16"/>
              </w:rPr>
            </w:pPr>
            <w:r w:rsidRPr="00CF339C">
              <w:rPr>
                <w:rFonts w:cs="Tahoma"/>
                <w:sz w:val="16"/>
                <w:szCs w:val="16"/>
              </w:rPr>
              <w:lastRenderedPageBreak/>
              <w:t>Türkçenin dil birikimine ve gelişimine katkıda bulunmuş tarihi şahsiyetler hakkında belgesel, film ve çizgi film gibi görsel içerikler hazırlanacaktır.</w:t>
            </w:r>
          </w:p>
        </w:tc>
        <w:tc>
          <w:tcPr>
            <w:tcW w:w="1684" w:type="pct"/>
          </w:tcPr>
          <w:p w:rsidR="00565FD5" w:rsidRPr="00CF339C" w:rsidRDefault="00565FD5" w:rsidP="00AB62A3">
            <w:pPr>
              <w:spacing w:before="40" w:after="40"/>
              <w:ind w:left="57" w:right="57"/>
              <w:rPr>
                <w:rFonts w:cs="Tahoma"/>
                <w:sz w:val="16"/>
                <w:szCs w:val="16"/>
              </w:rPr>
            </w:pPr>
            <w:r w:rsidRPr="00CF339C">
              <w:rPr>
                <w:rFonts w:cs="Tahoma"/>
                <w:sz w:val="16"/>
                <w:szCs w:val="16"/>
              </w:rPr>
              <w:t>Türk Dil Kurumu (S), Kültür ve Turizm Bakanlığı, Yunus Emre Vakfı, MEB, YÖK, TRT, TÜBİTAK, Özürlüler İdaresi Başkanlığı, Anadolu Ajansı</w:t>
            </w:r>
          </w:p>
          <w:p w:rsidR="00565FD5" w:rsidRPr="00CF339C" w:rsidRDefault="00565FD5" w:rsidP="00AB62A3">
            <w:pPr>
              <w:spacing w:before="40" w:after="40"/>
              <w:ind w:left="57" w:right="57"/>
              <w:rPr>
                <w:rFonts w:cs="Tahoma"/>
                <w:sz w:val="16"/>
                <w:szCs w:val="16"/>
              </w:rPr>
            </w:pPr>
          </w:p>
        </w:tc>
        <w:tc>
          <w:tcPr>
            <w:tcW w:w="594" w:type="pct"/>
          </w:tcPr>
          <w:p w:rsidR="00565FD5" w:rsidRPr="00CF339C" w:rsidRDefault="00565FD5" w:rsidP="00AB62A3">
            <w:pPr>
              <w:spacing w:before="40" w:after="40"/>
              <w:ind w:left="57" w:right="57"/>
              <w:rPr>
                <w:rFonts w:cs="Tahoma"/>
                <w:sz w:val="16"/>
                <w:szCs w:val="16"/>
              </w:rPr>
            </w:pPr>
            <w:r w:rsidRPr="00CF339C">
              <w:rPr>
                <w:rFonts w:cs="Tahoma"/>
                <w:sz w:val="16"/>
                <w:szCs w:val="16"/>
              </w:rPr>
              <w:t>Aralık Sonu</w:t>
            </w:r>
          </w:p>
        </w:tc>
        <w:tc>
          <w:tcPr>
            <w:tcW w:w="1628" w:type="pct"/>
          </w:tcPr>
          <w:p w:rsidR="00565FD5" w:rsidRPr="00CF339C" w:rsidRDefault="00565FD5" w:rsidP="00AB62A3">
            <w:pPr>
              <w:spacing w:before="40" w:after="40"/>
              <w:ind w:left="57" w:right="57"/>
              <w:rPr>
                <w:rFonts w:cs="Tahoma"/>
                <w:sz w:val="16"/>
                <w:szCs w:val="16"/>
              </w:rPr>
            </w:pPr>
            <w:r w:rsidRPr="00CF339C" w:rsidDel="00A42363">
              <w:rPr>
                <w:rFonts w:cs="Tahoma"/>
                <w:sz w:val="16"/>
                <w:szCs w:val="16"/>
              </w:rPr>
              <w:t>Evliya Çelebi Belgeselini</w:t>
            </w:r>
            <w:r w:rsidRPr="00CF339C">
              <w:rPr>
                <w:rFonts w:cs="Tahoma"/>
                <w:sz w:val="16"/>
                <w:szCs w:val="16"/>
              </w:rPr>
              <w:t>n</w:t>
            </w:r>
            <w:r w:rsidRPr="00CF339C" w:rsidDel="00A42363">
              <w:rPr>
                <w:rFonts w:cs="Tahoma"/>
                <w:sz w:val="16"/>
                <w:szCs w:val="16"/>
              </w:rPr>
              <w:t xml:space="preserve"> yapımı tamamlanacaktır</w:t>
            </w:r>
            <w:r w:rsidRPr="00CF339C">
              <w:rPr>
                <w:rFonts w:cs="Tahoma"/>
                <w:sz w:val="16"/>
                <w:szCs w:val="16"/>
              </w:rPr>
              <w:t>. Diğer belgesel ve film yapımlarına ilişkin 3 yıllık bir planlama yapılacak ve bu plan dahilinde 2013 yılı içerisinde en az bir isim hakkında görsel içerik hazırlanacaktır. TRT-TDK işbirliğiyle hazırlanan Türkçeyle Yarışıyoruz programının yeni bölümleri yayınlanacaktır.</w:t>
            </w:r>
          </w:p>
        </w:tc>
      </w:tr>
      <w:tr w:rsidR="00565FD5" w:rsidRPr="003925B6" w:rsidTr="00AB62A3">
        <w:trPr>
          <w:trHeight w:val="383"/>
          <w:jc w:val="center"/>
        </w:trPr>
        <w:tc>
          <w:tcPr>
            <w:tcW w:w="5000" w:type="pct"/>
            <w:gridSpan w:val="4"/>
          </w:tcPr>
          <w:p w:rsidR="00565FD5" w:rsidRPr="003925B6" w:rsidRDefault="00565FD5" w:rsidP="00EB1E69">
            <w:pPr>
              <w:numPr>
                <w:ilvl w:val="0"/>
                <w:numId w:val="15"/>
              </w:numPr>
              <w:tabs>
                <w:tab w:val="left" w:pos="425"/>
              </w:tabs>
              <w:spacing w:before="40" w:after="40" w:line="240" w:lineRule="auto"/>
              <w:ind w:right="57"/>
              <w:jc w:val="both"/>
              <w:rPr>
                <w:rFonts w:cs="Tahoma"/>
                <w:b/>
                <w:sz w:val="16"/>
                <w:szCs w:val="16"/>
              </w:rPr>
            </w:pPr>
            <w:r w:rsidRPr="003925B6">
              <w:rPr>
                <w:rFonts w:cs="Tahoma"/>
                <w:b/>
                <w:sz w:val="16"/>
                <w:szCs w:val="16"/>
              </w:rPr>
              <w:t>Toplumda dayanışma, uzlaşı ve hoşgörü kültürünü besleyen toplumsal kurum ve kaynakların tespiti ile bu kültürü zayıflatan etkenlerin ortaya çıkarılmasına yönelik sosyal araştırmalara  öncelik verilecektir.</w:t>
            </w:r>
          </w:p>
        </w:tc>
      </w:tr>
      <w:tr w:rsidR="00565FD5" w:rsidRPr="00CF339C" w:rsidTr="00AB62A3">
        <w:trPr>
          <w:trHeight w:val="275"/>
          <w:jc w:val="center"/>
        </w:trPr>
        <w:tc>
          <w:tcPr>
            <w:tcW w:w="1093" w:type="pct"/>
          </w:tcPr>
          <w:p w:rsidR="00565FD5" w:rsidRPr="00CF339C" w:rsidRDefault="00565FD5" w:rsidP="00EB1E69">
            <w:pPr>
              <w:numPr>
                <w:ilvl w:val="0"/>
                <w:numId w:val="14"/>
              </w:numPr>
              <w:tabs>
                <w:tab w:val="left" w:pos="425"/>
              </w:tabs>
              <w:spacing w:before="40" w:after="40" w:line="240" w:lineRule="auto"/>
              <w:ind w:right="-23"/>
              <w:rPr>
                <w:rFonts w:cs="Tahoma"/>
                <w:sz w:val="16"/>
                <w:szCs w:val="16"/>
              </w:rPr>
            </w:pPr>
            <w:r w:rsidRPr="00CF339C">
              <w:rPr>
                <w:rFonts w:cs="Tahoma"/>
                <w:sz w:val="16"/>
                <w:szCs w:val="16"/>
              </w:rPr>
              <w:t>Toplumda dayanışma, uzlaşı ve hoşgörü kültürünü besleyen toplumsal kurum ve kaynakların tespitine yönelik sosyal araştırmalar yapılacaktır.</w:t>
            </w:r>
          </w:p>
        </w:tc>
        <w:tc>
          <w:tcPr>
            <w:tcW w:w="1684" w:type="pct"/>
          </w:tcPr>
          <w:p w:rsidR="00565FD5" w:rsidRPr="00CF339C" w:rsidRDefault="00565FD5" w:rsidP="00AB62A3">
            <w:pPr>
              <w:spacing w:before="40" w:after="40"/>
              <w:ind w:left="57" w:right="57"/>
              <w:rPr>
                <w:rFonts w:cs="Tahoma"/>
                <w:sz w:val="16"/>
                <w:szCs w:val="16"/>
              </w:rPr>
            </w:pPr>
            <w:r w:rsidRPr="00CF339C">
              <w:rPr>
                <w:rFonts w:cs="Tahoma"/>
                <w:sz w:val="16"/>
                <w:szCs w:val="16"/>
              </w:rPr>
              <w:t>Kültür ve Turizm Bakanlığı (S), TÜİK, Vakıflar Genel Müdürlüğü, STK’lar, Diyanet İşleri Başkanlığı, Üniversiteler</w:t>
            </w:r>
          </w:p>
        </w:tc>
        <w:tc>
          <w:tcPr>
            <w:tcW w:w="594" w:type="pct"/>
          </w:tcPr>
          <w:p w:rsidR="00565FD5" w:rsidRPr="00CF339C" w:rsidRDefault="00565FD5" w:rsidP="00AB62A3">
            <w:pPr>
              <w:spacing w:before="40" w:after="40"/>
              <w:ind w:left="57" w:right="57"/>
              <w:rPr>
                <w:rFonts w:cs="Tahoma"/>
                <w:sz w:val="16"/>
                <w:szCs w:val="16"/>
              </w:rPr>
            </w:pPr>
            <w:r w:rsidRPr="00CF339C">
              <w:rPr>
                <w:rFonts w:cs="Tahoma"/>
                <w:sz w:val="16"/>
                <w:szCs w:val="16"/>
              </w:rPr>
              <w:t>Aralık Sonu</w:t>
            </w:r>
          </w:p>
        </w:tc>
        <w:tc>
          <w:tcPr>
            <w:tcW w:w="1628" w:type="pct"/>
          </w:tcPr>
          <w:p w:rsidR="00565FD5" w:rsidRPr="00CF339C" w:rsidRDefault="00565FD5" w:rsidP="00AB62A3">
            <w:pPr>
              <w:spacing w:before="40" w:after="40"/>
              <w:ind w:left="57" w:right="57"/>
              <w:rPr>
                <w:rFonts w:cs="Tahoma"/>
                <w:sz w:val="16"/>
                <w:szCs w:val="16"/>
              </w:rPr>
            </w:pPr>
            <w:r w:rsidRPr="00CF339C">
              <w:rPr>
                <w:rFonts w:cs="Tahoma"/>
                <w:sz w:val="16"/>
                <w:szCs w:val="16"/>
              </w:rPr>
              <w:t>Toplumdaki dayanışma, uzlaşı ve hoşgörü sorunlarının tespitinde ve çözümünde taraf olabilecek kurum ve kuruluşlar ile oluşturulacak bir platform marifetiyle araştırmanın içeriğine dair çalışmalar yürütülecektir.</w:t>
            </w:r>
          </w:p>
        </w:tc>
      </w:tr>
      <w:tr w:rsidR="00565FD5" w:rsidRPr="00CF339C" w:rsidTr="00AB62A3">
        <w:trPr>
          <w:trHeight w:val="20"/>
          <w:jc w:val="center"/>
        </w:trPr>
        <w:tc>
          <w:tcPr>
            <w:tcW w:w="1093" w:type="pct"/>
          </w:tcPr>
          <w:p w:rsidR="00565FD5" w:rsidRPr="00CF339C" w:rsidRDefault="00565FD5" w:rsidP="00EB1E69">
            <w:pPr>
              <w:numPr>
                <w:ilvl w:val="0"/>
                <w:numId w:val="14"/>
              </w:numPr>
              <w:tabs>
                <w:tab w:val="left" w:pos="425"/>
              </w:tabs>
              <w:spacing w:before="40" w:after="40" w:line="240" w:lineRule="auto"/>
              <w:ind w:right="57"/>
              <w:rPr>
                <w:rFonts w:cs="Tahoma"/>
                <w:sz w:val="16"/>
                <w:szCs w:val="16"/>
              </w:rPr>
            </w:pPr>
            <w:r w:rsidRPr="00CF339C">
              <w:rPr>
                <w:rFonts w:cs="Tahoma"/>
                <w:sz w:val="16"/>
                <w:szCs w:val="16"/>
              </w:rPr>
              <w:t>Görsel içeriklerde ailenin bütünlüğü ve öneminin vurgulanması teşvik edilecektir.</w:t>
            </w:r>
          </w:p>
        </w:tc>
        <w:tc>
          <w:tcPr>
            <w:tcW w:w="1684" w:type="pct"/>
          </w:tcPr>
          <w:p w:rsidR="00565FD5" w:rsidRPr="00CF339C" w:rsidRDefault="00565FD5" w:rsidP="00AB62A3">
            <w:pPr>
              <w:spacing w:before="40" w:after="40"/>
              <w:ind w:left="57" w:right="57"/>
              <w:rPr>
                <w:rFonts w:cs="Tahoma"/>
                <w:sz w:val="16"/>
                <w:szCs w:val="16"/>
              </w:rPr>
            </w:pPr>
            <w:r w:rsidRPr="00CF339C">
              <w:rPr>
                <w:rFonts w:cs="Tahoma"/>
                <w:sz w:val="16"/>
                <w:szCs w:val="16"/>
              </w:rPr>
              <w:t>Aile ve Sosyal Politikalar Bakanlığı (S), Kültür ve Turizm Bakanlığı, TRT, RTÜK, Üniversiteler</w:t>
            </w:r>
          </w:p>
        </w:tc>
        <w:tc>
          <w:tcPr>
            <w:tcW w:w="594" w:type="pct"/>
          </w:tcPr>
          <w:p w:rsidR="00565FD5" w:rsidRPr="00CF339C" w:rsidRDefault="00565FD5" w:rsidP="00AB62A3">
            <w:pPr>
              <w:spacing w:before="40" w:after="40"/>
              <w:ind w:left="57" w:right="57"/>
              <w:rPr>
                <w:rFonts w:cs="Tahoma"/>
                <w:sz w:val="16"/>
                <w:szCs w:val="16"/>
              </w:rPr>
            </w:pPr>
            <w:r w:rsidRPr="00CF339C">
              <w:rPr>
                <w:rFonts w:cs="Tahoma"/>
                <w:sz w:val="16"/>
                <w:szCs w:val="16"/>
              </w:rPr>
              <w:t>Aralık Sonu</w:t>
            </w:r>
          </w:p>
        </w:tc>
        <w:tc>
          <w:tcPr>
            <w:tcW w:w="1628" w:type="pct"/>
          </w:tcPr>
          <w:p w:rsidR="00565FD5" w:rsidRPr="00CF339C" w:rsidRDefault="00565FD5" w:rsidP="00AB62A3">
            <w:pPr>
              <w:spacing w:before="40" w:after="40"/>
              <w:ind w:left="57" w:right="57"/>
              <w:rPr>
                <w:rFonts w:cs="Tahoma"/>
                <w:sz w:val="16"/>
                <w:szCs w:val="16"/>
              </w:rPr>
            </w:pPr>
            <w:r w:rsidRPr="00CF339C">
              <w:rPr>
                <w:rFonts w:cs="Tahoma"/>
                <w:sz w:val="16"/>
                <w:szCs w:val="16"/>
              </w:rPr>
              <w:t xml:space="preserve">Aile içi ilişkileri güçlendiren, çocuk ve gençlerin aileleri ve toplumla sağlıklı ilişkiler kurmalarını sağlayan ve ortak değerlerimizi yücelten dizi, belgesel, çizgi film gibi yayınların yazılı ve görsel basında daha fazla yer alması teşvik edilecektir. </w:t>
            </w:r>
          </w:p>
        </w:tc>
      </w:tr>
      <w:tr w:rsidR="00565FD5" w:rsidRPr="003925B6" w:rsidTr="00AB62A3">
        <w:trPr>
          <w:trHeight w:val="401"/>
          <w:jc w:val="center"/>
        </w:trPr>
        <w:tc>
          <w:tcPr>
            <w:tcW w:w="5000" w:type="pct"/>
            <w:gridSpan w:val="4"/>
          </w:tcPr>
          <w:p w:rsidR="00565FD5" w:rsidRPr="003925B6" w:rsidRDefault="00565FD5" w:rsidP="00EB1E69">
            <w:pPr>
              <w:numPr>
                <w:ilvl w:val="0"/>
                <w:numId w:val="15"/>
              </w:numPr>
              <w:tabs>
                <w:tab w:val="left" w:pos="425"/>
              </w:tabs>
              <w:spacing w:before="40" w:after="40" w:line="240" w:lineRule="auto"/>
              <w:ind w:right="57"/>
              <w:jc w:val="both"/>
              <w:rPr>
                <w:rFonts w:cs="Tahoma"/>
                <w:b/>
                <w:sz w:val="16"/>
                <w:szCs w:val="16"/>
              </w:rPr>
            </w:pPr>
            <w:r w:rsidRPr="003925B6">
              <w:rPr>
                <w:rFonts w:cs="Tahoma"/>
                <w:b/>
                <w:sz w:val="16"/>
                <w:szCs w:val="16"/>
              </w:rPr>
              <w:t xml:space="preserve">Kültür turizminin geliştirilmesi ve sinema, belgesel film gibi kültür ürünleri üretiminin teşvik edilmesi suretiyle kültür sektörünün ekonomik boyutu güçlendirilecektir. </w:t>
            </w:r>
          </w:p>
        </w:tc>
      </w:tr>
      <w:tr w:rsidR="00565FD5" w:rsidRPr="00CF339C" w:rsidTr="00AB62A3">
        <w:trPr>
          <w:trHeight w:val="20"/>
          <w:jc w:val="center"/>
        </w:trPr>
        <w:tc>
          <w:tcPr>
            <w:tcW w:w="1093" w:type="pct"/>
          </w:tcPr>
          <w:p w:rsidR="00565FD5" w:rsidRPr="00CF339C" w:rsidRDefault="00565FD5" w:rsidP="00EB1E69">
            <w:pPr>
              <w:numPr>
                <w:ilvl w:val="0"/>
                <w:numId w:val="14"/>
              </w:numPr>
              <w:tabs>
                <w:tab w:val="left" w:pos="425"/>
              </w:tabs>
              <w:spacing w:before="40" w:after="40" w:line="240" w:lineRule="auto"/>
              <w:ind w:right="57"/>
              <w:rPr>
                <w:rFonts w:cs="Tahoma"/>
                <w:sz w:val="16"/>
                <w:szCs w:val="16"/>
              </w:rPr>
            </w:pPr>
            <w:r w:rsidRPr="00CF339C">
              <w:rPr>
                <w:rFonts w:cs="Tahoma"/>
                <w:sz w:val="16"/>
                <w:szCs w:val="16"/>
              </w:rPr>
              <w:t xml:space="preserve">Kültür turizmi için elverişli bölgelerin tanıtımına ve bu bölgelerdeki tarihi korumacılık çalışmalarına ağırlık verilecektir. </w:t>
            </w:r>
          </w:p>
        </w:tc>
        <w:tc>
          <w:tcPr>
            <w:tcW w:w="1684" w:type="pct"/>
          </w:tcPr>
          <w:p w:rsidR="00565FD5" w:rsidRPr="00CF339C" w:rsidRDefault="00565FD5" w:rsidP="00AB62A3">
            <w:pPr>
              <w:spacing w:before="40" w:after="40"/>
              <w:ind w:left="57" w:right="57"/>
              <w:rPr>
                <w:rFonts w:cs="Tahoma"/>
                <w:sz w:val="16"/>
                <w:szCs w:val="16"/>
              </w:rPr>
            </w:pPr>
            <w:r w:rsidRPr="00CF339C">
              <w:rPr>
                <w:rFonts w:cs="Tahoma"/>
                <w:sz w:val="16"/>
                <w:szCs w:val="16"/>
              </w:rPr>
              <w:t>Kültür ve Turizm Bakanlığı (S), Ekonomi Bakanlığı, TRT, Özel Sektör, Meslek  Odaları, Yerel Yönetimler</w:t>
            </w:r>
          </w:p>
        </w:tc>
        <w:tc>
          <w:tcPr>
            <w:tcW w:w="594" w:type="pct"/>
          </w:tcPr>
          <w:p w:rsidR="00565FD5" w:rsidRPr="00CF339C" w:rsidRDefault="00565FD5" w:rsidP="00AB62A3">
            <w:pPr>
              <w:spacing w:before="40" w:after="40"/>
              <w:ind w:left="57" w:right="57"/>
              <w:rPr>
                <w:rFonts w:cs="Tahoma"/>
                <w:sz w:val="16"/>
                <w:szCs w:val="16"/>
              </w:rPr>
            </w:pPr>
            <w:r w:rsidRPr="00CF339C">
              <w:rPr>
                <w:rFonts w:cs="Tahoma"/>
                <w:sz w:val="16"/>
                <w:szCs w:val="16"/>
              </w:rPr>
              <w:t>Aralık Sonu</w:t>
            </w:r>
          </w:p>
        </w:tc>
        <w:tc>
          <w:tcPr>
            <w:tcW w:w="1628" w:type="pct"/>
          </w:tcPr>
          <w:p w:rsidR="00565FD5" w:rsidRPr="00CF339C" w:rsidRDefault="00565FD5" w:rsidP="00AB62A3">
            <w:pPr>
              <w:spacing w:before="40" w:after="40"/>
              <w:ind w:left="57" w:right="57"/>
              <w:rPr>
                <w:rFonts w:cs="Tahoma"/>
                <w:sz w:val="16"/>
                <w:szCs w:val="16"/>
              </w:rPr>
            </w:pPr>
            <w:r w:rsidRPr="004B3DE4">
              <w:rPr>
                <w:rFonts w:cs="Tahoma"/>
                <w:sz w:val="16"/>
                <w:szCs w:val="16"/>
              </w:rPr>
              <w:t>Kültürel mekânlarımıza yönelik yapılan tanıtımların çeşitlendirilerek artırılması sağlanacaktır. Kültür turizmi açısından gelişme potansiyeli taşıyan bölgelere yönelik eylem planları oluşturulacak ve bu bölgelerdeki tarihi dokunun tüm unsurlarıyla korunmasına yönelik çalışmalar yapılacaktır</w:t>
            </w:r>
            <w:r w:rsidRPr="00CF339C">
              <w:rPr>
                <w:rFonts w:cs="Tahoma"/>
                <w:sz w:val="16"/>
                <w:szCs w:val="16"/>
              </w:rPr>
              <w:t xml:space="preserve">. </w:t>
            </w:r>
          </w:p>
        </w:tc>
      </w:tr>
      <w:tr w:rsidR="00565FD5" w:rsidRPr="00CF339C" w:rsidTr="00AB62A3">
        <w:trPr>
          <w:trHeight w:val="20"/>
          <w:jc w:val="center"/>
        </w:trPr>
        <w:tc>
          <w:tcPr>
            <w:tcW w:w="1093" w:type="pct"/>
          </w:tcPr>
          <w:p w:rsidR="00565FD5" w:rsidRPr="00CF339C" w:rsidRDefault="00565FD5" w:rsidP="00EB1E69">
            <w:pPr>
              <w:numPr>
                <w:ilvl w:val="0"/>
                <w:numId w:val="14"/>
              </w:numPr>
              <w:tabs>
                <w:tab w:val="left" w:pos="425"/>
              </w:tabs>
              <w:spacing w:before="40" w:after="40" w:line="240" w:lineRule="auto"/>
              <w:ind w:right="57"/>
              <w:rPr>
                <w:rFonts w:cs="Tahoma"/>
                <w:sz w:val="16"/>
                <w:szCs w:val="16"/>
              </w:rPr>
            </w:pPr>
            <w:r w:rsidRPr="00CF339C">
              <w:rPr>
                <w:rFonts w:cs="Tahoma"/>
                <w:sz w:val="16"/>
                <w:szCs w:val="16"/>
              </w:rPr>
              <w:t>Yerli film sektörüne yapılan destekler artırılacaktır.</w:t>
            </w:r>
          </w:p>
        </w:tc>
        <w:tc>
          <w:tcPr>
            <w:tcW w:w="1684" w:type="pct"/>
          </w:tcPr>
          <w:p w:rsidR="00565FD5" w:rsidRPr="00CF339C" w:rsidRDefault="00565FD5" w:rsidP="00AB62A3">
            <w:pPr>
              <w:spacing w:before="40" w:after="40"/>
              <w:ind w:left="57" w:right="57"/>
              <w:rPr>
                <w:rFonts w:cs="Tahoma"/>
                <w:sz w:val="16"/>
                <w:szCs w:val="16"/>
              </w:rPr>
            </w:pPr>
            <w:r w:rsidRPr="00CF339C">
              <w:rPr>
                <w:rFonts w:cs="Tahoma"/>
                <w:sz w:val="16"/>
                <w:szCs w:val="16"/>
              </w:rPr>
              <w:t>Kültür ve Turizm Bakanlığı (S), Ekonomi Bakanlığı, TRT, Özel Sektör, Meslek  Odaları, Yerel Yönetimler</w:t>
            </w:r>
          </w:p>
        </w:tc>
        <w:tc>
          <w:tcPr>
            <w:tcW w:w="594" w:type="pct"/>
          </w:tcPr>
          <w:p w:rsidR="00565FD5" w:rsidRPr="00CF339C" w:rsidRDefault="00565FD5" w:rsidP="00AB62A3">
            <w:pPr>
              <w:spacing w:before="40" w:after="40"/>
              <w:ind w:left="57" w:right="57"/>
              <w:rPr>
                <w:rFonts w:cs="Tahoma"/>
                <w:sz w:val="16"/>
                <w:szCs w:val="16"/>
              </w:rPr>
            </w:pPr>
            <w:r w:rsidRPr="00CF339C">
              <w:rPr>
                <w:rFonts w:cs="Tahoma"/>
                <w:sz w:val="16"/>
                <w:szCs w:val="16"/>
              </w:rPr>
              <w:t>Aralık Sonu</w:t>
            </w:r>
          </w:p>
        </w:tc>
        <w:tc>
          <w:tcPr>
            <w:tcW w:w="1628" w:type="pct"/>
          </w:tcPr>
          <w:p w:rsidR="00565FD5" w:rsidRPr="004B3DE4" w:rsidDel="004F53E4" w:rsidRDefault="00565FD5" w:rsidP="00AB62A3">
            <w:pPr>
              <w:spacing w:before="40" w:after="40"/>
              <w:ind w:left="57" w:right="57"/>
              <w:rPr>
                <w:rFonts w:cs="Tahoma"/>
                <w:sz w:val="16"/>
                <w:szCs w:val="16"/>
              </w:rPr>
            </w:pPr>
            <w:r w:rsidRPr="00CF339C">
              <w:rPr>
                <w:rFonts w:cs="Tahoma"/>
                <w:sz w:val="16"/>
                <w:szCs w:val="16"/>
              </w:rPr>
              <w:t>Kültür ve Turizm Bakanlığınca sağlanan sinema desteğinin artırılması ve çeşitli ödüllerle desteklenmesi yönünde çalışmalar yapılacaktır.</w:t>
            </w:r>
          </w:p>
        </w:tc>
      </w:tr>
      <w:tr w:rsidR="00565FD5" w:rsidRPr="00CF339C" w:rsidTr="00AB62A3">
        <w:trPr>
          <w:trHeight w:val="1040"/>
          <w:jc w:val="center"/>
        </w:trPr>
        <w:tc>
          <w:tcPr>
            <w:tcW w:w="1093" w:type="pct"/>
          </w:tcPr>
          <w:p w:rsidR="00565FD5" w:rsidRPr="00CF339C" w:rsidRDefault="00565FD5" w:rsidP="00EB1E69">
            <w:pPr>
              <w:numPr>
                <w:ilvl w:val="0"/>
                <w:numId w:val="14"/>
              </w:numPr>
              <w:tabs>
                <w:tab w:val="left" w:pos="425"/>
              </w:tabs>
              <w:spacing w:before="40" w:after="40" w:line="240" w:lineRule="auto"/>
              <w:ind w:right="57"/>
              <w:rPr>
                <w:rFonts w:cs="Tahoma"/>
                <w:sz w:val="16"/>
                <w:szCs w:val="16"/>
              </w:rPr>
            </w:pPr>
            <w:r w:rsidRPr="00CF339C">
              <w:rPr>
                <w:rFonts w:cs="Tahoma"/>
                <w:sz w:val="16"/>
                <w:szCs w:val="16"/>
              </w:rPr>
              <w:lastRenderedPageBreak/>
              <w:t xml:space="preserve">Kültürel tesis ve faaliyetler kademeli olarak yerel yönetimlere devredilecektir. </w:t>
            </w:r>
          </w:p>
        </w:tc>
        <w:tc>
          <w:tcPr>
            <w:tcW w:w="1684" w:type="pct"/>
          </w:tcPr>
          <w:p w:rsidR="00565FD5" w:rsidRPr="00CF339C" w:rsidRDefault="00565FD5" w:rsidP="00AB62A3">
            <w:pPr>
              <w:spacing w:before="40" w:after="40"/>
              <w:ind w:left="57" w:right="57"/>
              <w:rPr>
                <w:rFonts w:cs="Tahoma"/>
                <w:sz w:val="16"/>
                <w:szCs w:val="16"/>
              </w:rPr>
            </w:pPr>
            <w:r w:rsidRPr="00CF339C">
              <w:rPr>
                <w:rFonts w:cs="Tahoma"/>
                <w:sz w:val="16"/>
                <w:szCs w:val="16"/>
              </w:rPr>
              <w:t>Kültür ve Turizm Bakanlığı (S), Yerel Yönetimler, Üniversiteler, STK’lar</w:t>
            </w:r>
          </w:p>
        </w:tc>
        <w:tc>
          <w:tcPr>
            <w:tcW w:w="594" w:type="pct"/>
          </w:tcPr>
          <w:p w:rsidR="00565FD5" w:rsidRPr="00CF339C" w:rsidRDefault="00565FD5" w:rsidP="00AB62A3">
            <w:pPr>
              <w:spacing w:before="40" w:after="40"/>
              <w:ind w:left="57" w:right="57"/>
              <w:rPr>
                <w:rFonts w:cs="Tahoma"/>
                <w:sz w:val="16"/>
                <w:szCs w:val="16"/>
              </w:rPr>
            </w:pPr>
            <w:r w:rsidRPr="00CF339C">
              <w:rPr>
                <w:rFonts w:cs="Tahoma"/>
                <w:sz w:val="16"/>
                <w:szCs w:val="16"/>
              </w:rPr>
              <w:t>Aralık Sonu</w:t>
            </w:r>
          </w:p>
        </w:tc>
        <w:tc>
          <w:tcPr>
            <w:tcW w:w="1628" w:type="pct"/>
          </w:tcPr>
          <w:p w:rsidR="00565FD5" w:rsidRPr="00CF339C" w:rsidRDefault="00565FD5" w:rsidP="00AB62A3">
            <w:pPr>
              <w:spacing w:before="40" w:after="40"/>
              <w:ind w:left="57" w:right="57"/>
              <w:rPr>
                <w:rFonts w:cs="Tahoma"/>
                <w:sz w:val="16"/>
                <w:szCs w:val="16"/>
              </w:rPr>
            </w:pPr>
            <w:r w:rsidRPr="00CF339C">
              <w:rPr>
                <w:rFonts w:cs="Tahoma"/>
                <w:sz w:val="16"/>
                <w:szCs w:val="16"/>
              </w:rPr>
              <w:t>Kütüphane ve kültür merkezi gibi yapıların, yerel yönetimler ile üniversitelere devredilmesi sağlanacaktır.</w:t>
            </w:r>
          </w:p>
        </w:tc>
      </w:tr>
      <w:tr w:rsidR="00565FD5" w:rsidRPr="00CF339C" w:rsidTr="00AB62A3">
        <w:trPr>
          <w:trHeight w:val="20"/>
          <w:jc w:val="center"/>
        </w:trPr>
        <w:tc>
          <w:tcPr>
            <w:tcW w:w="1093" w:type="pct"/>
          </w:tcPr>
          <w:p w:rsidR="00565FD5" w:rsidRPr="00CF339C" w:rsidRDefault="00565FD5" w:rsidP="00EB1E69">
            <w:pPr>
              <w:numPr>
                <w:ilvl w:val="0"/>
                <w:numId w:val="14"/>
              </w:numPr>
              <w:tabs>
                <w:tab w:val="left" w:pos="425"/>
              </w:tabs>
              <w:spacing w:before="40" w:after="40" w:line="240" w:lineRule="auto"/>
              <w:ind w:right="57"/>
              <w:rPr>
                <w:rFonts w:cs="Tahoma"/>
                <w:sz w:val="16"/>
                <w:szCs w:val="16"/>
              </w:rPr>
            </w:pPr>
            <w:r w:rsidRPr="00CF339C">
              <w:rPr>
                <w:rFonts w:cs="Tahoma"/>
                <w:sz w:val="16"/>
                <w:szCs w:val="16"/>
              </w:rPr>
              <w:t>Kültürel hizmet ve faaliyetlerin toplumun tüm kesimlerine ulaşması sağlanacaktır.</w:t>
            </w:r>
          </w:p>
        </w:tc>
        <w:tc>
          <w:tcPr>
            <w:tcW w:w="1684" w:type="pct"/>
          </w:tcPr>
          <w:p w:rsidR="00565FD5" w:rsidRPr="00CF339C" w:rsidRDefault="00565FD5" w:rsidP="00AB62A3">
            <w:pPr>
              <w:spacing w:before="40" w:after="40"/>
              <w:ind w:left="57" w:right="57"/>
              <w:rPr>
                <w:rFonts w:cs="Tahoma"/>
                <w:sz w:val="16"/>
                <w:szCs w:val="16"/>
              </w:rPr>
            </w:pPr>
            <w:r w:rsidRPr="00CF339C">
              <w:rPr>
                <w:rFonts w:cs="Tahoma"/>
                <w:sz w:val="16"/>
                <w:szCs w:val="16"/>
              </w:rPr>
              <w:t>Kültür ve Turizm Bakanlığı (S), İçişleri Bakanlığı, TÜİK, Yerel Yönetimler, Devlet Tiyatroları Genel Müdürlüğü, Devlet Opera ve Balesi Genel Müdürlüğü</w:t>
            </w:r>
          </w:p>
        </w:tc>
        <w:tc>
          <w:tcPr>
            <w:tcW w:w="594" w:type="pct"/>
          </w:tcPr>
          <w:p w:rsidR="00565FD5" w:rsidRPr="00CF339C" w:rsidRDefault="00565FD5" w:rsidP="00AB62A3">
            <w:pPr>
              <w:spacing w:before="40" w:after="40"/>
              <w:ind w:left="57" w:right="57"/>
              <w:rPr>
                <w:rFonts w:cs="Tahoma"/>
                <w:sz w:val="16"/>
                <w:szCs w:val="16"/>
              </w:rPr>
            </w:pPr>
            <w:r w:rsidRPr="00CF339C">
              <w:rPr>
                <w:rFonts w:cs="Tahoma"/>
                <w:sz w:val="16"/>
                <w:szCs w:val="16"/>
              </w:rPr>
              <w:t>Aralık Sonu</w:t>
            </w:r>
          </w:p>
        </w:tc>
        <w:tc>
          <w:tcPr>
            <w:tcW w:w="1628" w:type="pct"/>
          </w:tcPr>
          <w:p w:rsidR="00565FD5" w:rsidRPr="00CF339C" w:rsidRDefault="00565FD5" w:rsidP="00AB62A3">
            <w:pPr>
              <w:spacing w:before="40" w:after="40"/>
              <w:ind w:left="57" w:right="57"/>
              <w:rPr>
                <w:rFonts w:cs="Tahoma"/>
                <w:sz w:val="16"/>
                <w:szCs w:val="16"/>
              </w:rPr>
            </w:pPr>
            <w:r w:rsidRPr="00CF339C">
              <w:rPr>
                <w:rFonts w:cs="Tahoma"/>
                <w:sz w:val="16"/>
                <w:szCs w:val="16"/>
              </w:rPr>
              <w:t xml:space="preserve">Sahne sanatları için uygun ortamlar oluşturulması sağlanacak ve bu alanlardaki özel girişimcilik desteklenecektir. Kültürel hizmetlerin verimliliğini ve etkinliğini tespit etmek amacıyla çalışmalar yapılacaktır. </w:t>
            </w:r>
          </w:p>
        </w:tc>
      </w:tr>
    </w:tbl>
    <w:p w:rsidR="00565FD5" w:rsidRPr="004B3DE4" w:rsidRDefault="00565FD5" w:rsidP="00565FD5">
      <w:pPr>
        <w:rPr>
          <w:rFonts w:cs="Tahoma"/>
        </w:rPr>
      </w:pPr>
    </w:p>
    <w:p w:rsidR="00565FD5" w:rsidRPr="004B3DE4" w:rsidRDefault="00565FD5" w:rsidP="00565FD5">
      <w:pPr>
        <w:pStyle w:val="Balk3"/>
        <w:jc w:val="left"/>
      </w:pPr>
      <w:bookmarkStart w:id="2664" w:name="_Toc307602075"/>
      <w:bookmarkStart w:id="2665" w:name="_Toc307670512"/>
      <w:bookmarkStart w:id="2666" w:name="_Toc307701738"/>
      <w:bookmarkStart w:id="2667" w:name="_Toc338494262"/>
      <w:bookmarkStart w:id="2668" w:name="_Toc338505640"/>
      <w:bookmarkStart w:id="2669" w:name="_Toc338523872"/>
      <w:bookmarkStart w:id="2670" w:name="_Toc338524103"/>
      <w:bookmarkStart w:id="2671" w:name="_Toc338526329"/>
      <w:bookmarkStart w:id="2672" w:name="_Toc338673772"/>
      <w:bookmarkStart w:id="2673" w:name="_Toc338711651"/>
      <w:r>
        <w:t>E</w:t>
      </w:r>
      <w:r w:rsidRPr="004B3DE4">
        <w:t>. GENÇLİK HİZMETLERİNİN VE SPOR FAALİYETLERİNİN GÜÇLENDİRİLMESİ</w:t>
      </w:r>
      <w:bookmarkEnd w:id="2664"/>
      <w:bookmarkEnd w:id="2665"/>
      <w:bookmarkEnd w:id="2666"/>
      <w:bookmarkEnd w:id="2667"/>
      <w:bookmarkEnd w:id="2668"/>
      <w:bookmarkEnd w:id="2669"/>
      <w:bookmarkEnd w:id="2670"/>
      <w:bookmarkEnd w:id="2671"/>
      <w:bookmarkEnd w:id="2672"/>
      <w:bookmarkEnd w:id="2673"/>
    </w:p>
    <w:p w:rsidR="00565FD5" w:rsidRPr="004B3DE4" w:rsidRDefault="00565FD5" w:rsidP="00565FD5">
      <w:pPr>
        <w:pStyle w:val="Balk4"/>
      </w:pPr>
      <w:bookmarkStart w:id="2674" w:name="_Toc307602076"/>
      <w:bookmarkStart w:id="2675" w:name="_Toc307670513"/>
      <w:bookmarkStart w:id="2676" w:name="_Toc307701739"/>
      <w:bookmarkStart w:id="2677" w:name="_Toc338505641"/>
      <w:bookmarkStart w:id="2678" w:name="_Toc338523873"/>
      <w:bookmarkStart w:id="2679" w:name="_Toc338524104"/>
      <w:bookmarkStart w:id="2680" w:name="_Toc338526330"/>
      <w:bookmarkStart w:id="2681" w:name="_Toc338673773"/>
      <w:bookmarkStart w:id="2682" w:name="_Toc338711652"/>
      <w:r w:rsidRPr="004B3DE4">
        <w:t>1. Mevcut Durum</w:t>
      </w:r>
      <w:bookmarkEnd w:id="2674"/>
      <w:bookmarkEnd w:id="2675"/>
      <w:bookmarkEnd w:id="2676"/>
      <w:bookmarkEnd w:id="2677"/>
      <w:bookmarkEnd w:id="2678"/>
      <w:bookmarkEnd w:id="2679"/>
      <w:bookmarkEnd w:id="2680"/>
      <w:bookmarkEnd w:id="2681"/>
      <w:bookmarkEnd w:id="2682"/>
    </w:p>
    <w:p w:rsidR="00565FD5" w:rsidRPr="004B3DE4" w:rsidRDefault="00565FD5" w:rsidP="00565FD5">
      <w:pPr>
        <w:spacing w:after="160"/>
        <w:ind w:firstLine="425"/>
        <w:rPr>
          <w:rFonts w:cs="Tahoma"/>
          <w:szCs w:val="18"/>
        </w:rPr>
      </w:pPr>
      <w:r w:rsidRPr="004B3DE4">
        <w:rPr>
          <w:rFonts w:cs="Tahoma"/>
          <w:szCs w:val="18"/>
        </w:rPr>
        <w:t xml:space="preserve">Türkiye’de 15-24 yaş grubundaki genç nüfus, 2011 yılı sonunda 12.542 bin olup toplam nüfusun yüzde 16,8’ini; 15-29 yaş grubunda ise 18.848 bin olup toplam nüfusun yüzde 25,2’sini oluşturmaktadır. Ülkemiz, Avrupa’da genç nüfusun toplam nüfusa oranının en yüksek olduğu ülkedir. Genç nüfus yapısı, ülkemize değerlendirilmesi gereken bir demografik fırsat penceresi sunmaktadır. </w:t>
      </w:r>
    </w:p>
    <w:p w:rsidR="00565FD5" w:rsidRPr="004B3DE4" w:rsidRDefault="00565FD5" w:rsidP="00565FD5">
      <w:pPr>
        <w:spacing w:after="160"/>
        <w:ind w:firstLine="425"/>
        <w:rPr>
          <w:rFonts w:cs="Tahoma"/>
          <w:szCs w:val="18"/>
        </w:rPr>
      </w:pPr>
      <w:r w:rsidRPr="004B3DE4">
        <w:rPr>
          <w:rFonts w:cs="Tahoma"/>
          <w:szCs w:val="18"/>
        </w:rPr>
        <w:t>2010 yılı OECD verilerine göre ülkemizdeki 15-29 yaş grubundaki gençlerin yüzde 31,4’ü eğitimde, yüzde 47,1’i işgücü piyasasında yer almakta ve bir şekilde toplumsal ve ekonomik hayata katılmakta iken gençlerimizin yüzde 28,1’i ne istihdamda ne de eğitimde</w:t>
      </w:r>
      <w:r>
        <w:rPr>
          <w:rFonts w:cs="Tahoma"/>
          <w:szCs w:val="18"/>
        </w:rPr>
        <w:t>dir.</w:t>
      </w:r>
      <w:r w:rsidRPr="004B3DE4">
        <w:rPr>
          <w:rFonts w:cs="Tahoma"/>
          <w:szCs w:val="18"/>
        </w:rPr>
        <w:t xml:space="preserve"> Türkiye </w:t>
      </w:r>
      <w:r>
        <w:rPr>
          <w:rFonts w:cs="Tahoma"/>
          <w:szCs w:val="18"/>
        </w:rPr>
        <w:t xml:space="preserve">bu </w:t>
      </w:r>
      <w:r w:rsidRPr="004B3DE4">
        <w:rPr>
          <w:rFonts w:cs="Tahoma"/>
          <w:szCs w:val="18"/>
        </w:rPr>
        <w:t>durumdaki gençler bakımından OECD ülkeleri arasında en yüksek orana sahiptir. Bu oran OECD’de yüzde 9,1; AB-21’de yüzde 7,2’dir. Bu durum genç kadınlar açısından daha da olumsuz bir görünüm sergilemekte olup ülkemizdeki 15-29 yaş grubundaki kadınların yüzde 52’si</w:t>
      </w:r>
      <w:r>
        <w:rPr>
          <w:rFonts w:cs="Tahoma"/>
          <w:szCs w:val="18"/>
        </w:rPr>
        <w:t xml:space="preserve"> ne istihdamda ne de eğitimde yer almaktadır.</w:t>
      </w:r>
      <w:r w:rsidRPr="004B3DE4">
        <w:rPr>
          <w:rFonts w:cs="Tahoma"/>
          <w:szCs w:val="18"/>
        </w:rPr>
        <w:t xml:space="preserve"> Bu durumdaki gençler ağırlıklı olarak ümidini kaybetmiş ve iş aramayanlar ile ev kadınlarından oluşmakta olup bu gruplara yönelik özel politika ve hizmetlerin geliştirilmesi önem arz etmektedir.   </w:t>
      </w:r>
    </w:p>
    <w:p w:rsidR="00565FD5" w:rsidRPr="004B3DE4" w:rsidRDefault="00565FD5" w:rsidP="00565FD5">
      <w:pPr>
        <w:spacing w:after="160"/>
        <w:ind w:firstLine="425"/>
        <w:rPr>
          <w:rFonts w:cs="Tahoma"/>
          <w:szCs w:val="18"/>
        </w:rPr>
      </w:pPr>
      <w:r w:rsidRPr="004B3DE4">
        <w:rPr>
          <w:rFonts w:cs="Tahoma"/>
          <w:szCs w:val="18"/>
        </w:rPr>
        <w:t xml:space="preserve">Hareketlilik, gençlerin sosyal ve kültürel gelişimleri, bilgi ve becerilerini artırmaları ve vizyon kazanmaları açısından önemli bir araçtır. Bu çerçevede, gençlerin hareketliliğini sağlayan programlar çeşitlendirilmeli, kapsam olarak </w:t>
      </w:r>
      <w:r w:rsidRPr="004B3DE4">
        <w:rPr>
          <w:rFonts w:cs="Tahoma"/>
          <w:szCs w:val="18"/>
        </w:rPr>
        <w:lastRenderedPageBreak/>
        <w:t xml:space="preserve">genişletilmeli ve başta özel politika geliştirilmesi gereken gençler için olmak üzere daha erişilebilir hale getirilmelidir. Bu kapsamda </w:t>
      </w:r>
      <w:hyperlink r:id="rId30" w:history="1">
        <w:r w:rsidRPr="004B3DE4">
          <w:rPr>
            <w:rFonts w:cs="Tahoma"/>
            <w:szCs w:val="18"/>
          </w:rPr>
          <w:t>Avrupa Birliği Eğitim ve Gençlik Programları Başkan</w:t>
        </w:r>
      </w:hyperlink>
      <w:r w:rsidRPr="004B3DE4">
        <w:rPr>
          <w:rFonts w:cs="Tahoma"/>
          <w:szCs w:val="18"/>
        </w:rPr>
        <w:t xml:space="preserve">lığınca başta gençler olmak üzere vatandaşların hareketliliğini Avrupa çapında geliştirmeye yönelik olarak yürütülen Hayatboyu Öğrenme ve Gençlik Programları önemli bir işlev görmektedir. 2012 yılı Temmuz ayı itibarıyla bu iki programdan yararlanan kişi sayısı 23.761’dir. Ayrıca yurtiçi hareketlilik kapsamında YÖK tarafından yürütülen Farabi Programı kapsamında 12.540 öğrenci ve öğretim üyesi üniversiteler arası değişim olanaklarından yararlanmıştır. Gençlik ve Spor Bakanlığının (GSB) gençlik kamplarının yanı sıra, 2012 yılında başlatılan Gençlik Treni, Seyyah ve Lider Gençlik Kampları projeleri ile toplam 104 bin gencin kültürel, sosyal ve eğitim amaçlı hareketliliği sağlanmıştır.  </w:t>
      </w:r>
    </w:p>
    <w:p w:rsidR="00565FD5" w:rsidRPr="004B3DE4" w:rsidRDefault="00565FD5" w:rsidP="00565FD5">
      <w:pPr>
        <w:spacing w:after="160"/>
        <w:ind w:firstLine="425"/>
        <w:rPr>
          <w:rFonts w:cs="Tahoma"/>
          <w:szCs w:val="18"/>
        </w:rPr>
      </w:pPr>
      <w:r w:rsidRPr="004B3DE4">
        <w:rPr>
          <w:rFonts w:cs="Tahoma"/>
          <w:szCs w:val="18"/>
        </w:rPr>
        <w:t xml:space="preserve">2011 yılı Hanehalkı İşgücü Anketine göre, genç nüfusta işsizlik oranı bir önceki yıla göre 3,3 puan azalarak yüzde 18,4’e gerilemesine rağmen genel işsizlik oranının yaklaşık iki katıdır. Toplam kayıt dışı istihdam oranı ise yüzde 42 iken gençlerde bu oran yüzde 56’dır. İşsizlik, işgücüne katılım, istihdam gibi konular gençlerin ekonomik hayata katılımları ile yakından ilgili olup gençler işgücü piyasasına girişte ve insana yakışır iş olanaklarına erişimde sorunlar yaşamaktadır. </w:t>
      </w:r>
    </w:p>
    <w:p w:rsidR="00565FD5" w:rsidRPr="004B3DE4" w:rsidRDefault="00565FD5" w:rsidP="00565FD5">
      <w:pPr>
        <w:spacing w:after="160"/>
        <w:ind w:firstLine="425"/>
        <w:rPr>
          <w:rFonts w:cs="Tahoma"/>
          <w:szCs w:val="18"/>
        </w:rPr>
      </w:pPr>
      <w:r w:rsidRPr="004B3DE4">
        <w:rPr>
          <w:rFonts w:cs="Tahoma"/>
          <w:szCs w:val="18"/>
        </w:rPr>
        <w:t>Toplumsal alanda yaşanan toplumsal aidiyet ve dayanışma duygusunun zayıflaması, ailelerin çözülmesi, kimlik çatışmaları gibi sorunlar en çok gençleri etkilemektedir. Sigara, alkol ve uyuşturucu gibi zararlı alışkanlıklar, şiddet eğilimi ve bilinçsiz internet kullanımı gençler için risk faktörü olmaya devam etmektedir.</w:t>
      </w:r>
    </w:p>
    <w:p w:rsidR="00565FD5" w:rsidRPr="004B3DE4" w:rsidRDefault="00565FD5" w:rsidP="00565FD5">
      <w:pPr>
        <w:spacing w:after="160"/>
        <w:ind w:firstLine="425"/>
        <w:rPr>
          <w:rFonts w:cs="Tahoma"/>
          <w:szCs w:val="18"/>
        </w:rPr>
      </w:pPr>
      <w:r w:rsidRPr="004B3DE4">
        <w:rPr>
          <w:rFonts w:cs="Tahoma"/>
          <w:szCs w:val="18"/>
        </w:rPr>
        <w:t xml:space="preserve">Gençliğe yönelik hizmetlerin, gençlerin toplumsal hayata aktif katılımlarını ve sağlıklı bireyler olarak yetişmelerini sağlayacak, özgüven ve toplumsal aidiyet duygularını güçlendirecek şekilde sunulması ve çeşitlendirilmesi gerekmektedir. Bu amaçla politika ve hizmetlerin geliştirilmesi, yürütülmesi ve ilgili kurumlar arası eşgüdümün artırılması ihtiyacı devam etmektedir. </w:t>
      </w:r>
    </w:p>
    <w:p w:rsidR="00565FD5" w:rsidRPr="004B3DE4" w:rsidRDefault="00565FD5" w:rsidP="00565FD5">
      <w:pPr>
        <w:spacing w:after="160"/>
        <w:ind w:firstLine="425"/>
        <w:rPr>
          <w:rFonts w:cs="Tahoma"/>
          <w:szCs w:val="18"/>
        </w:rPr>
      </w:pPr>
      <w:r w:rsidRPr="004B3DE4">
        <w:rPr>
          <w:rFonts w:cs="Tahoma"/>
          <w:szCs w:val="18"/>
        </w:rPr>
        <w:t>Gençlere yönelik politika oluşturma ve uygulama süreçlerinde gençlerin taleplerini ve katılımını dikkate alan ve gençlik STK’larıyla ortak çalışmaları ön plana çıkaran bir yaklaşımın geliştirilmesi önem taşımaktadı</w:t>
      </w:r>
      <w:r>
        <w:rPr>
          <w:rFonts w:cs="Tahoma"/>
          <w:szCs w:val="18"/>
        </w:rPr>
        <w:t xml:space="preserve">r. Bu kapsamda GSB tarafından; </w:t>
      </w:r>
      <w:r w:rsidRPr="004B3DE4">
        <w:rPr>
          <w:rFonts w:cs="Tahoma"/>
          <w:szCs w:val="18"/>
        </w:rPr>
        <w:t xml:space="preserve">gençliğin kişisel ve sosyal gelişimini desteklemeyi, gençlerin </w:t>
      </w:r>
      <w:r w:rsidRPr="004B3DE4">
        <w:rPr>
          <w:rFonts w:cs="Tahoma"/>
          <w:szCs w:val="18"/>
        </w:rPr>
        <w:lastRenderedPageBreak/>
        <w:t xml:space="preserve">potansiyellerini gerçekleştirebilmelerine imkân sağlamayı, karar alma ve uygulama süreçleri ile sosyal hayatın her alanına etkin katılımlarını artırmayı ve yenilikçi fikirlerini hayata geçirmeyi hedefleyen projeleri desteklemek amacıyla 2012 yılında Gençlik Projeleri Destek Programı uygulanmış ve 120 proje desteklenmiştir. Ayrıca GSB’nin STK’larla ilişkilerini yasal temellere dayandırma konusunda mevzuat hazırlama çalışmaları devam etmektedir. </w:t>
      </w:r>
    </w:p>
    <w:p w:rsidR="00565FD5" w:rsidRPr="004B3DE4" w:rsidRDefault="00565FD5" w:rsidP="00565FD5">
      <w:pPr>
        <w:spacing w:after="160"/>
        <w:ind w:firstLine="425"/>
        <w:rPr>
          <w:rFonts w:cs="Tahoma"/>
          <w:szCs w:val="18"/>
        </w:rPr>
      </w:pPr>
      <w:r w:rsidRPr="004B3DE4">
        <w:rPr>
          <w:rFonts w:cs="Tahoma"/>
          <w:szCs w:val="18"/>
        </w:rPr>
        <w:t xml:space="preserve">Gençler ile kamu kurum ve kuruluşları, sivil toplum kuruluşları, üniversiteler, yerel yönetimler ve gençlikle ilgili kişi ve kuruluşların katılımıyla 14-18 Mayıs 2012 tarihleri arasında Ankara'da Gençlik Şûrası düzenlenmiştir.  Şûrada gençlikle ilgili konulara ilişkin durum tespiti yapılmış, orta ve uzun vadeli stratejiler geliştirilerek uygulamadan kaynaklanan sorunlar ve buna ilişkin çözüm önerileri tartışılmıştır. </w:t>
      </w:r>
    </w:p>
    <w:p w:rsidR="00565FD5" w:rsidRPr="004B3DE4" w:rsidRDefault="00565FD5" w:rsidP="00565FD5">
      <w:pPr>
        <w:spacing w:after="160"/>
        <w:ind w:firstLine="425"/>
        <w:rPr>
          <w:rFonts w:cs="Tahoma"/>
          <w:szCs w:val="18"/>
        </w:rPr>
      </w:pPr>
      <w:r w:rsidRPr="004B3DE4">
        <w:rPr>
          <w:rFonts w:cs="Tahoma"/>
          <w:szCs w:val="18"/>
        </w:rPr>
        <w:t>Gençlik ve spor politikalarının eğitim, sağlık, barınma, istihdam, sosyal güvenlik, tanıtım gibi pek çok alanı ilgilendirdiği dikkate alındığında ilgili kurum ve kuruluşların etkin katılımıyla gençlik ve spor alanlarında bir strateji belgesinin hazırlanması gerekmektedir. Bu bağlamda, 2012 yılında GSB’nin koordinasyonunda Ulusal Gençlik ve Spor Politikası Belgesi hazırlık çalışmaları yürütülmüş</w:t>
      </w:r>
      <w:r>
        <w:rPr>
          <w:rFonts w:cs="Tahoma"/>
          <w:szCs w:val="18"/>
        </w:rPr>
        <w:t>tür.</w:t>
      </w:r>
      <w:r w:rsidRPr="004B3DE4">
        <w:rPr>
          <w:rFonts w:cs="Tahoma"/>
          <w:szCs w:val="18"/>
        </w:rPr>
        <w:t xml:space="preserve">  </w:t>
      </w:r>
    </w:p>
    <w:p w:rsidR="00565FD5" w:rsidRPr="004B3DE4" w:rsidRDefault="00565FD5" w:rsidP="00565FD5">
      <w:pPr>
        <w:spacing w:after="160"/>
        <w:ind w:firstLine="425"/>
        <w:rPr>
          <w:rFonts w:cs="Tahoma"/>
          <w:szCs w:val="18"/>
        </w:rPr>
      </w:pPr>
      <w:r w:rsidRPr="004B3DE4">
        <w:rPr>
          <w:rFonts w:cs="Tahoma"/>
          <w:szCs w:val="18"/>
        </w:rPr>
        <w:t>Türkiye’de 2010 yılında 2.763.619 olan lisanslı sporcu sayısı (SGM, TFF, MEB toplamı) 2011 yılında 2.901.095’e, 2012 yılı Eylül ayı itibarıyla 3.360.422’ye ulaşmıştır. Spor kulübü sayısı 2010 yılında 10.498 iken 2011 yılında 11.071’e, 2012 yılı Eylül ayı sonunda 11.424’e yükselmiştir. Son 2 yılda antrenör sayılarında da hızlı artış gerçekleşmiştir. 2010 yılında 103.651 olan antrenör sayısı 2011 yılında 135.821’e, 2012 yılı Ağustos ayı sonunda ise 137.124’e yükselmiştir. Özet olarak son iki yılda lisanslı sporcu sayısında yüzde 21,6, spor kulübü sayısında yüzde 8,8 ve antrenör sayısında yüzde 32,4’lük artış kaydedilmiştir.</w:t>
      </w:r>
    </w:p>
    <w:p w:rsidR="00565FD5" w:rsidRPr="004B3DE4" w:rsidRDefault="00565FD5" w:rsidP="00565FD5">
      <w:pPr>
        <w:spacing w:after="160"/>
        <w:ind w:firstLine="425"/>
        <w:rPr>
          <w:rFonts w:cs="Tahoma"/>
          <w:szCs w:val="18"/>
        </w:rPr>
      </w:pPr>
      <w:r w:rsidRPr="004B3DE4">
        <w:rPr>
          <w:rFonts w:cs="Tahoma"/>
          <w:szCs w:val="18"/>
        </w:rPr>
        <w:t xml:space="preserve">2012 Londra Olimpiyat Oyunları'na 114 sporcuyla katılan ülkemiz, oyunlarda 2 altın, 2 gümüş ve 1 bronz olmak üzere toplam 5 madalya elde etmiş ve 85 ülke içerisinde 32’inci olmuştur. Londra 2012 Paralimpik Oyunları’na ise 69 sporcu katılmış ve ülkemiz bu oyunlarda bireysel dallarda 8, takım oyunlarında ise 2 madalya kazanmıştır. </w:t>
      </w:r>
    </w:p>
    <w:p w:rsidR="00565FD5" w:rsidRPr="004B3DE4" w:rsidRDefault="00565FD5" w:rsidP="00565FD5">
      <w:pPr>
        <w:spacing w:after="160"/>
        <w:ind w:firstLine="425"/>
        <w:rPr>
          <w:rFonts w:cs="Tahoma"/>
          <w:szCs w:val="18"/>
        </w:rPr>
      </w:pPr>
      <w:r w:rsidRPr="004B3DE4">
        <w:rPr>
          <w:rFonts w:cs="Tahoma"/>
          <w:szCs w:val="18"/>
        </w:rPr>
        <w:lastRenderedPageBreak/>
        <w:t>Bu gelişmelere rağmen ülkemizde spor politikalarının hazırlık, uygulama ve takip süreçlerinin iyileştirilmesi, spor alanında hem fiziki hem de insan gücü altyapısının güçlendirilmesi, uluslararası müsabakalarda başarılı olacak daha fazla sayıda sporcu yetiştirilmesi ve sporun bir yaşam tarzı olarak halka benimsetilmesi ihtiyacı bulunmaktadır.</w:t>
      </w:r>
    </w:p>
    <w:p w:rsidR="00565FD5" w:rsidRPr="004B3DE4" w:rsidRDefault="00565FD5" w:rsidP="00565FD5">
      <w:pPr>
        <w:spacing w:after="160"/>
        <w:ind w:firstLine="425"/>
        <w:rPr>
          <w:rFonts w:cs="Tahoma"/>
          <w:szCs w:val="18"/>
        </w:rPr>
      </w:pPr>
      <w:r w:rsidRPr="004B3DE4">
        <w:rPr>
          <w:rFonts w:cs="Tahoma"/>
          <w:szCs w:val="18"/>
        </w:rPr>
        <w:t xml:space="preserve">Spor tesislerinin bölgeler ve branşlar bazındaki dağılımında dengesizlikler bulunmakta, tesislerin rasyonel ve ortaklaşa kullanımları sağlanamamaktadır. </w:t>
      </w:r>
    </w:p>
    <w:p w:rsidR="00565FD5" w:rsidRPr="004B3DE4" w:rsidRDefault="00565FD5" w:rsidP="00565FD5">
      <w:pPr>
        <w:spacing w:after="160"/>
        <w:ind w:firstLine="425"/>
        <w:rPr>
          <w:rFonts w:cs="Tahoma"/>
          <w:szCs w:val="18"/>
        </w:rPr>
      </w:pPr>
      <w:r w:rsidRPr="004B3DE4">
        <w:rPr>
          <w:rFonts w:cs="Tahoma"/>
          <w:szCs w:val="18"/>
        </w:rPr>
        <w:t xml:space="preserve">Halkın spora olan ilgisini artıracak ve spor yapmaya teşvik edecek proje ve kampanyalar gerektiği ölçüde hayata geçirilememekte, yazılı ve görsel medyada futbol ve basketbol gibi popüler spor branşları dışındaki branşlara yeterince yer verilmemektedir. </w:t>
      </w:r>
    </w:p>
    <w:p w:rsidR="00565FD5" w:rsidRPr="004B3DE4" w:rsidRDefault="00565FD5" w:rsidP="00565FD5">
      <w:pPr>
        <w:spacing w:after="160"/>
        <w:ind w:firstLine="425"/>
        <w:rPr>
          <w:rFonts w:cs="Tahoma"/>
          <w:szCs w:val="18"/>
        </w:rPr>
      </w:pPr>
      <w:r w:rsidRPr="004B3DE4">
        <w:rPr>
          <w:rFonts w:cs="Tahoma"/>
          <w:szCs w:val="18"/>
        </w:rPr>
        <w:t xml:space="preserve">Uluslararası düzeyde başarılı sporcular yetiştirmek için uygun fiziksel altyapının oluşturulması, yeterli donanıma sahip antrenörlerin yetiştirilmesi ve başarılı sporcuları teşvik edecek burs ve teşvik sistemlerinin geliştirilmesi önem taşımaktadır. </w:t>
      </w:r>
    </w:p>
    <w:p w:rsidR="00565FD5" w:rsidRPr="004B3DE4" w:rsidRDefault="00565FD5" w:rsidP="00565FD5">
      <w:pPr>
        <w:pStyle w:val="Balk4"/>
        <w:rPr>
          <w:szCs w:val="18"/>
        </w:rPr>
      </w:pPr>
      <w:bookmarkStart w:id="2683" w:name="_Toc307602077"/>
      <w:bookmarkStart w:id="2684" w:name="_Toc307670514"/>
      <w:bookmarkStart w:id="2685" w:name="_Toc307701740"/>
      <w:bookmarkStart w:id="2686" w:name="_Toc338505642"/>
      <w:bookmarkStart w:id="2687" w:name="_Toc338523874"/>
      <w:bookmarkStart w:id="2688" w:name="_Toc338524105"/>
      <w:bookmarkStart w:id="2689" w:name="_Toc338526331"/>
      <w:bookmarkStart w:id="2690" w:name="_Toc338673774"/>
      <w:bookmarkStart w:id="2691" w:name="_Toc338711653"/>
      <w:r w:rsidRPr="004B3DE4">
        <w:t>2. Temel Amaç ve Hedefler</w:t>
      </w:r>
      <w:bookmarkEnd w:id="2683"/>
      <w:bookmarkEnd w:id="2684"/>
      <w:bookmarkEnd w:id="2685"/>
      <w:bookmarkEnd w:id="2686"/>
      <w:bookmarkEnd w:id="2687"/>
      <w:bookmarkEnd w:id="2688"/>
      <w:bookmarkEnd w:id="2689"/>
      <w:bookmarkEnd w:id="2690"/>
      <w:bookmarkEnd w:id="2691"/>
    </w:p>
    <w:p w:rsidR="00565FD5" w:rsidRPr="004B3DE4" w:rsidRDefault="00565FD5" w:rsidP="00565FD5">
      <w:pPr>
        <w:spacing w:after="240"/>
        <w:ind w:firstLine="425"/>
        <w:rPr>
          <w:rFonts w:cs="Tahoma"/>
          <w:szCs w:val="18"/>
        </w:rPr>
      </w:pPr>
      <w:r w:rsidRPr="004B3DE4">
        <w:rPr>
          <w:rFonts w:cs="Tahoma"/>
          <w:szCs w:val="18"/>
        </w:rPr>
        <w:t xml:space="preserve">Gençlerin ekonomik ve sosyal hayat ile karar alma mekanizmalarına aktif katılımlarını sağlamak ve gençlere yönelik kaliteli hizmetler sunmak, bireylerin spora aktif katılımlarını teşvik etmek, sporu bir yaşam tarzı olarak benimsetmek ve uluslararası müsabakalarda daha fazla başarılı sporcular yetiştirmek için gerekli altyapı ve üstyapı imkanlarını sağlamak temel amaçtır.  </w:t>
      </w:r>
    </w:p>
    <w:p w:rsidR="00565FD5" w:rsidRPr="004B3DE4" w:rsidRDefault="00565FD5" w:rsidP="00565FD5">
      <w:pPr>
        <w:pStyle w:val="Balk4"/>
      </w:pPr>
      <w:bookmarkStart w:id="2692" w:name="_Toc307602078"/>
      <w:bookmarkStart w:id="2693" w:name="_Toc307670515"/>
      <w:bookmarkStart w:id="2694" w:name="_Toc307701741"/>
      <w:bookmarkStart w:id="2695" w:name="_Toc338505643"/>
      <w:bookmarkStart w:id="2696" w:name="_Toc338523875"/>
      <w:bookmarkStart w:id="2697" w:name="_Toc338524106"/>
      <w:bookmarkStart w:id="2698" w:name="_Toc338526332"/>
      <w:bookmarkStart w:id="2699" w:name="_Toc338673775"/>
      <w:bookmarkStart w:id="2700" w:name="_Toc338711654"/>
      <w:r w:rsidRPr="004B3DE4">
        <w:t>3. Politika Öncelikleri ve Tedbirler</w:t>
      </w:r>
      <w:bookmarkEnd w:id="2692"/>
      <w:bookmarkEnd w:id="2693"/>
      <w:bookmarkEnd w:id="2694"/>
      <w:bookmarkEnd w:id="2695"/>
      <w:bookmarkEnd w:id="2696"/>
      <w:bookmarkEnd w:id="2697"/>
      <w:bookmarkEnd w:id="2698"/>
      <w:bookmarkEnd w:id="2699"/>
      <w:bookmarkEnd w:id="2700"/>
      <w:r w:rsidRPr="004B3DE4">
        <w:t xml:space="preserve"> </w:t>
      </w: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715"/>
        <w:gridCol w:w="1935"/>
        <w:gridCol w:w="702"/>
        <w:gridCol w:w="2792"/>
      </w:tblGrid>
      <w:tr w:rsidR="00565FD5" w:rsidRPr="004B3DE4" w:rsidTr="00AB62A3">
        <w:trPr>
          <w:trHeight w:val="20"/>
          <w:jc w:val="center"/>
        </w:trPr>
        <w:tc>
          <w:tcPr>
            <w:tcW w:w="1201" w:type="pct"/>
            <w:vAlign w:val="bottom"/>
          </w:tcPr>
          <w:p w:rsidR="00565FD5" w:rsidRPr="004B3DE4" w:rsidRDefault="00565FD5" w:rsidP="00AB62A3">
            <w:pPr>
              <w:spacing w:before="120" w:after="120"/>
              <w:rPr>
                <w:rFonts w:cs="Tahoma"/>
                <w:b/>
                <w:bCs/>
                <w:color w:val="000000"/>
                <w:sz w:val="16"/>
                <w:szCs w:val="16"/>
                <w:lang w:eastAsia="tr-TR"/>
              </w:rPr>
            </w:pPr>
            <w:r w:rsidRPr="004B3DE4">
              <w:rPr>
                <w:rFonts w:cs="Tahoma"/>
                <w:b/>
                <w:bCs/>
                <w:color w:val="000000"/>
                <w:sz w:val="16"/>
                <w:szCs w:val="16"/>
                <w:lang w:eastAsia="tr-TR"/>
              </w:rPr>
              <w:t>Öncelik / Tedbir</w:t>
            </w:r>
          </w:p>
        </w:tc>
        <w:tc>
          <w:tcPr>
            <w:tcW w:w="1354" w:type="pct"/>
            <w:vAlign w:val="bottom"/>
          </w:tcPr>
          <w:p w:rsidR="00565FD5" w:rsidRPr="004B3DE4" w:rsidRDefault="00565FD5" w:rsidP="00AB62A3">
            <w:pPr>
              <w:spacing w:before="120" w:after="120"/>
              <w:rPr>
                <w:rFonts w:cs="Tahoma"/>
                <w:b/>
                <w:bCs/>
                <w:color w:val="000000"/>
                <w:sz w:val="16"/>
                <w:szCs w:val="16"/>
                <w:lang w:eastAsia="tr-TR"/>
              </w:rPr>
            </w:pPr>
            <w:r w:rsidRPr="004B3DE4">
              <w:rPr>
                <w:rFonts w:cs="Tahoma"/>
                <w:b/>
                <w:bCs/>
                <w:color w:val="000000"/>
                <w:sz w:val="16"/>
                <w:szCs w:val="16"/>
                <w:lang w:eastAsia="tr-TR"/>
              </w:rPr>
              <w:t>Sorumlu / İşbirliği Yapılacak Kuruluşlar</w:t>
            </w:r>
          </w:p>
        </w:tc>
        <w:tc>
          <w:tcPr>
            <w:tcW w:w="491" w:type="pct"/>
            <w:vAlign w:val="bottom"/>
          </w:tcPr>
          <w:p w:rsidR="00565FD5" w:rsidRPr="004B3DE4" w:rsidRDefault="00565FD5" w:rsidP="00AB62A3">
            <w:pPr>
              <w:spacing w:before="120" w:after="120"/>
              <w:rPr>
                <w:rFonts w:cs="Tahoma"/>
                <w:b/>
                <w:bCs/>
                <w:color w:val="000000"/>
                <w:sz w:val="16"/>
                <w:szCs w:val="16"/>
                <w:lang w:eastAsia="tr-TR"/>
              </w:rPr>
            </w:pPr>
            <w:r w:rsidRPr="004B3DE4">
              <w:rPr>
                <w:rFonts w:cs="Tahoma"/>
                <w:b/>
                <w:bCs/>
                <w:color w:val="000000"/>
                <w:sz w:val="16"/>
                <w:szCs w:val="16"/>
                <w:lang w:eastAsia="tr-TR"/>
              </w:rPr>
              <w:t>Süre</w:t>
            </w:r>
          </w:p>
        </w:tc>
        <w:tc>
          <w:tcPr>
            <w:tcW w:w="1955" w:type="pct"/>
            <w:vAlign w:val="bottom"/>
          </w:tcPr>
          <w:p w:rsidR="00565FD5" w:rsidRPr="004B3DE4" w:rsidRDefault="00565FD5" w:rsidP="00AB62A3">
            <w:pPr>
              <w:spacing w:before="120" w:after="120"/>
              <w:rPr>
                <w:rFonts w:cs="Tahoma"/>
                <w:b/>
                <w:bCs/>
                <w:color w:val="000000"/>
                <w:sz w:val="16"/>
                <w:szCs w:val="16"/>
                <w:lang w:eastAsia="tr-TR"/>
              </w:rPr>
            </w:pPr>
            <w:r w:rsidRPr="004B3DE4">
              <w:rPr>
                <w:rFonts w:cs="Tahoma"/>
                <w:b/>
                <w:bCs/>
                <w:color w:val="000000"/>
                <w:sz w:val="16"/>
                <w:szCs w:val="16"/>
                <w:lang w:eastAsia="tr-TR"/>
              </w:rPr>
              <w:t>Yapılacak İşlem ve Açıklama</w:t>
            </w:r>
          </w:p>
        </w:tc>
      </w:tr>
      <w:tr w:rsidR="00565FD5" w:rsidRPr="004B3DE4" w:rsidTr="00AB62A3">
        <w:trPr>
          <w:trHeight w:val="20"/>
          <w:jc w:val="center"/>
        </w:trPr>
        <w:tc>
          <w:tcPr>
            <w:tcW w:w="5000" w:type="pct"/>
            <w:gridSpan w:val="4"/>
            <w:vAlign w:val="bottom"/>
          </w:tcPr>
          <w:p w:rsidR="00565FD5" w:rsidRPr="004B3DE4" w:rsidRDefault="00565FD5" w:rsidP="00EB1E69">
            <w:pPr>
              <w:numPr>
                <w:ilvl w:val="0"/>
                <w:numId w:val="15"/>
              </w:numPr>
              <w:tabs>
                <w:tab w:val="left" w:pos="425"/>
              </w:tabs>
              <w:spacing w:before="120" w:after="120" w:line="240" w:lineRule="auto"/>
              <w:jc w:val="both"/>
              <w:rPr>
                <w:rFonts w:cs="Tahoma"/>
                <w:b/>
                <w:bCs/>
                <w:color w:val="000000"/>
                <w:sz w:val="16"/>
                <w:szCs w:val="16"/>
                <w:lang w:eastAsia="tr-TR"/>
              </w:rPr>
            </w:pPr>
            <w:r>
              <w:rPr>
                <w:rFonts w:cs="Tahoma"/>
                <w:b/>
                <w:bCs/>
                <w:color w:val="000000"/>
                <w:sz w:val="16"/>
                <w:szCs w:val="16"/>
                <w:lang w:eastAsia="tr-TR"/>
              </w:rPr>
              <w:t>Gençlerin talep ve ihtiyaçları dikkate alınarak gençliğe yönelik hizmetlerin kapsamı genişletilecek ve niteliği artırılacaktır.</w:t>
            </w:r>
            <w:r w:rsidRPr="004B3DE4">
              <w:rPr>
                <w:rFonts w:cs="Tahoma"/>
                <w:color w:val="000000"/>
                <w:sz w:val="16"/>
                <w:szCs w:val="16"/>
                <w:lang w:eastAsia="tr-TR"/>
              </w:rPr>
              <w:t xml:space="preserve"> </w:t>
            </w:r>
          </w:p>
        </w:tc>
      </w:tr>
      <w:tr w:rsidR="00565FD5" w:rsidRPr="004B3DE4" w:rsidTr="00AB62A3">
        <w:trPr>
          <w:trHeight w:val="20"/>
          <w:jc w:val="center"/>
        </w:trPr>
        <w:tc>
          <w:tcPr>
            <w:tcW w:w="1201" w:type="pct"/>
          </w:tcPr>
          <w:p w:rsidR="00565FD5" w:rsidRPr="004B3DE4" w:rsidRDefault="00565FD5" w:rsidP="00EB1E69">
            <w:pPr>
              <w:numPr>
                <w:ilvl w:val="0"/>
                <w:numId w:val="14"/>
              </w:numPr>
              <w:tabs>
                <w:tab w:val="left" w:pos="425"/>
              </w:tabs>
              <w:spacing w:before="120" w:after="120" w:line="240" w:lineRule="auto"/>
              <w:rPr>
                <w:rFonts w:cs="Tahoma"/>
                <w:color w:val="000000"/>
                <w:sz w:val="16"/>
                <w:szCs w:val="16"/>
                <w:lang w:eastAsia="tr-TR"/>
              </w:rPr>
            </w:pPr>
            <w:r w:rsidRPr="004B3DE4">
              <w:rPr>
                <w:rFonts w:cs="Tahoma"/>
                <w:color w:val="000000"/>
                <w:sz w:val="16"/>
                <w:szCs w:val="16"/>
                <w:lang w:eastAsia="tr-TR"/>
              </w:rPr>
              <w:t>Gençliğe yönelik hizmetler daha etkin ve koordineli sunulacaktır.</w:t>
            </w:r>
          </w:p>
        </w:tc>
        <w:tc>
          <w:tcPr>
            <w:tcW w:w="1354"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GSB (S), Kalkınma Bakanlığı, Aile ve Sosyal Politikalar Bakanlığı,  MEB, Sağlık Bakanlığı, Çalışma ve Sosyal Güvenlik Bakanlığı, Kültür ve Turizm Bakanlığı, Yerel Yönetimler ve STK’lar</w:t>
            </w:r>
          </w:p>
        </w:tc>
        <w:tc>
          <w:tcPr>
            <w:tcW w:w="491"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 xml:space="preserve">Gençliğe yönelik faaliyet ve hizmetlerin gerçekleştirilmesinde ilgili kamu kurum ve kuruluşları ile STK’lar arasında koordinasyon sağlanacak, yerel yönetim ve merkezi idare işbirliği artırılacaktır. </w:t>
            </w:r>
          </w:p>
        </w:tc>
      </w:tr>
      <w:tr w:rsidR="00565FD5" w:rsidRPr="004B3DE4" w:rsidTr="00AB62A3">
        <w:trPr>
          <w:trHeight w:val="20"/>
          <w:jc w:val="center"/>
        </w:trPr>
        <w:tc>
          <w:tcPr>
            <w:tcW w:w="1201" w:type="pct"/>
          </w:tcPr>
          <w:p w:rsidR="00565FD5" w:rsidRPr="004B3DE4" w:rsidRDefault="00565FD5" w:rsidP="00EB1E69">
            <w:pPr>
              <w:numPr>
                <w:ilvl w:val="0"/>
                <w:numId w:val="14"/>
              </w:numPr>
              <w:tabs>
                <w:tab w:val="left" w:pos="425"/>
              </w:tabs>
              <w:spacing w:before="120" w:after="120" w:line="240" w:lineRule="auto"/>
              <w:rPr>
                <w:rFonts w:cs="Tahoma"/>
                <w:color w:val="000000"/>
                <w:sz w:val="16"/>
                <w:szCs w:val="16"/>
                <w:lang w:eastAsia="tr-TR"/>
              </w:rPr>
            </w:pPr>
            <w:r w:rsidRPr="004B3DE4">
              <w:rPr>
                <w:rFonts w:cs="Tahoma"/>
                <w:color w:val="000000"/>
                <w:sz w:val="16"/>
                <w:szCs w:val="16"/>
                <w:lang w:eastAsia="tr-TR"/>
              </w:rPr>
              <w:lastRenderedPageBreak/>
              <w:t>Eğitimde ve istihdamda olmayan gençlere yönelik hizmetler geliştirilecektir.</w:t>
            </w:r>
          </w:p>
        </w:tc>
        <w:tc>
          <w:tcPr>
            <w:tcW w:w="1354"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GSB (S), Yerel Yönetimler, Üniversiteler, Meslek Kuruluşları, STK'lar, Sendikalar, Özel Sektör, Medya Kuruluşları</w:t>
            </w:r>
          </w:p>
        </w:tc>
        <w:tc>
          <w:tcPr>
            <w:tcW w:w="491"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Özellikle eğitimde ve istihdamda olmayan gençlere yönelik yaygın eğitim ve rehberlik başta olmak üzere nitelik artırmayı amaçlayan hizmetler güçlendirilecektir.</w:t>
            </w:r>
          </w:p>
        </w:tc>
      </w:tr>
      <w:tr w:rsidR="00565FD5" w:rsidRPr="004B3DE4" w:rsidTr="00AB62A3">
        <w:trPr>
          <w:trHeight w:val="20"/>
          <w:jc w:val="center"/>
        </w:trPr>
        <w:tc>
          <w:tcPr>
            <w:tcW w:w="1201" w:type="pct"/>
          </w:tcPr>
          <w:p w:rsidR="00565FD5" w:rsidRPr="004B3DE4" w:rsidRDefault="00565FD5" w:rsidP="00EB1E69">
            <w:pPr>
              <w:numPr>
                <w:ilvl w:val="0"/>
                <w:numId w:val="14"/>
              </w:numPr>
              <w:tabs>
                <w:tab w:val="left" w:pos="425"/>
              </w:tabs>
              <w:spacing w:before="120" w:after="120" w:line="240" w:lineRule="auto"/>
              <w:rPr>
                <w:rFonts w:cs="Tahoma"/>
                <w:color w:val="000000"/>
                <w:sz w:val="16"/>
                <w:szCs w:val="16"/>
                <w:lang w:eastAsia="tr-TR"/>
              </w:rPr>
            </w:pPr>
            <w:r w:rsidRPr="004B3DE4">
              <w:rPr>
                <w:rFonts w:cs="Tahoma"/>
                <w:color w:val="000000"/>
                <w:sz w:val="16"/>
                <w:szCs w:val="16"/>
                <w:lang w:eastAsia="tr-TR"/>
              </w:rPr>
              <w:t>Gençlik ve kültür merkezleri yeniden yapılandırılarak, sayıları ile faaliyet çeşitleri artırılacak ve desteklenecektir.</w:t>
            </w:r>
          </w:p>
        </w:tc>
        <w:tc>
          <w:tcPr>
            <w:tcW w:w="1354"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GSB (S), Çevre ve Şehircilik Bakanlığı, Kalkınma Bakanlığı, Kültür ve Turizm Bakanlığı, Maliye Bakanlığı, Yerel Yönetimler, TOKİ, STK’lar</w:t>
            </w:r>
          </w:p>
        </w:tc>
        <w:tc>
          <w:tcPr>
            <w:tcW w:w="491"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 xml:space="preserve">Gençlik merkezlerinin etkinliğine yönelik bir araştırma projesi yapılarak, geliştirilebilecek alanlar tespit edilecek, gençlik merkezleri yeniden yapılandırılıp, merkez ve personel sayıları artırılacak,  faaliyetlerinde çeşitliliğe gidilecektir. </w:t>
            </w:r>
          </w:p>
        </w:tc>
      </w:tr>
      <w:tr w:rsidR="00565FD5" w:rsidRPr="004B3DE4" w:rsidTr="00AB62A3">
        <w:trPr>
          <w:trHeight w:val="20"/>
          <w:jc w:val="center"/>
        </w:trPr>
        <w:tc>
          <w:tcPr>
            <w:tcW w:w="1201" w:type="pct"/>
          </w:tcPr>
          <w:p w:rsidR="00565FD5" w:rsidRPr="004B3DE4" w:rsidRDefault="00565FD5" w:rsidP="00EB1E69">
            <w:pPr>
              <w:numPr>
                <w:ilvl w:val="0"/>
                <w:numId w:val="14"/>
              </w:numPr>
              <w:tabs>
                <w:tab w:val="left" w:pos="425"/>
              </w:tabs>
              <w:spacing w:before="120" w:after="120" w:line="240" w:lineRule="auto"/>
              <w:rPr>
                <w:rFonts w:cs="Tahoma"/>
                <w:color w:val="000000"/>
                <w:sz w:val="16"/>
                <w:szCs w:val="16"/>
                <w:lang w:eastAsia="tr-TR"/>
              </w:rPr>
            </w:pPr>
            <w:r w:rsidRPr="004B3DE4">
              <w:rPr>
                <w:rFonts w:cs="Tahoma"/>
                <w:color w:val="000000"/>
                <w:sz w:val="16"/>
                <w:szCs w:val="16"/>
                <w:lang w:eastAsia="tr-TR"/>
              </w:rPr>
              <w:t xml:space="preserve">Gençliğe yönelik faaliyet gösteren STK’lar güçlendirilecektir. </w:t>
            </w:r>
          </w:p>
        </w:tc>
        <w:tc>
          <w:tcPr>
            <w:tcW w:w="1354"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GSB (S), Kalkınma Bakanlığı, STK’lar</w:t>
            </w:r>
          </w:p>
        </w:tc>
        <w:tc>
          <w:tcPr>
            <w:tcW w:w="491"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Gençlere yönelik faaliyet gösteren sivil toplum kuruluşlarının projeleri bir hibe programıyla desteklenecektir.</w:t>
            </w:r>
          </w:p>
        </w:tc>
      </w:tr>
      <w:tr w:rsidR="00565FD5" w:rsidRPr="004B3DE4" w:rsidTr="00AB62A3">
        <w:trPr>
          <w:trHeight w:val="20"/>
          <w:jc w:val="center"/>
        </w:trPr>
        <w:tc>
          <w:tcPr>
            <w:tcW w:w="1201" w:type="pct"/>
          </w:tcPr>
          <w:p w:rsidR="00565FD5" w:rsidRPr="004B3DE4" w:rsidRDefault="00565FD5" w:rsidP="00EB1E69">
            <w:pPr>
              <w:numPr>
                <w:ilvl w:val="0"/>
                <w:numId w:val="14"/>
              </w:numPr>
              <w:tabs>
                <w:tab w:val="left" w:pos="425"/>
              </w:tabs>
              <w:spacing w:before="120" w:after="120" w:line="240" w:lineRule="auto"/>
              <w:rPr>
                <w:rFonts w:cs="Tahoma"/>
                <w:color w:val="000000"/>
                <w:sz w:val="16"/>
                <w:szCs w:val="16"/>
                <w:lang w:eastAsia="tr-TR"/>
              </w:rPr>
            </w:pPr>
            <w:r w:rsidRPr="004B3DE4">
              <w:rPr>
                <w:rFonts w:cs="Tahoma"/>
                <w:color w:val="000000"/>
                <w:sz w:val="16"/>
                <w:szCs w:val="16"/>
                <w:lang w:eastAsia="tr-TR"/>
              </w:rPr>
              <w:t>Gençlerin toplumsal hayata aktif katılımlarının sağlanmasına, şiddete ve zararlı alışkanlıklara yönelmelerinin önlenmesine yönelik çalışmalar sürdürülecektir.</w:t>
            </w:r>
          </w:p>
        </w:tc>
        <w:tc>
          <w:tcPr>
            <w:tcW w:w="1354"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GSB (S), Kalkınma Bakanlığı, MEB, Yerel Yönetimler ve STK’lar</w:t>
            </w:r>
          </w:p>
        </w:tc>
        <w:tc>
          <w:tcPr>
            <w:tcW w:w="491"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Gençlerin yaygınlaşan şiddet ve zararlı alışkanlıklardan uzak durmalarını temin etmek amacıyla spor ve sanata yönlendirilmeleri sağlanacaktır. Bu bağlamda gençliği spora ve sanatsal aktivitelere yöneltecek programlar yaygınlaştırılacak, amatör spor branşlarının altyapısı güçlendirilecek, gençlerin, gençlik ve izcilik faaliyetlerine katılmaları özendirilecektir. Bu çerçevede gençlik ve izcilik kampları yeniden yapılandırılarak sayıları artırılacaktır.</w:t>
            </w:r>
          </w:p>
        </w:tc>
      </w:tr>
      <w:tr w:rsidR="00565FD5" w:rsidRPr="004B3DE4" w:rsidTr="00AB62A3">
        <w:trPr>
          <w:trHeight w:val="20"/>
          <w:jc w:val="center"/>
        </w:trPr>
        <w:tc>
          <w:tcPr>
            <w:tcW w:w="5000" w:type="pct"/>
            <w:gridSpan w:val="4"/>
            <w:vAlign w:val="bottom"/>
          </w:tcPr>
          <w:p w:rsidR="00565FD5" w:rsidRPr="004B3DE4" w:rsidRDefault="00565FD5" w:rsidP="00EB1E69">
            <w:pPr>
              <w:numPr>
                <w:ilvl w:val="0"/>
                <w:numId w:val="15"/>
              </w:numPr>
              <w:tabs>
                <w:tab w:val="left" w:pos="425"/>
              </w:tabs>
              <w:spacing w:before="120" w:after="120" w:line="240" w:lineRule="auto"/>
              <w:jc w:val="both"/>
              <w:rPr>
                <w:rFonts w:cs="Tahoma"/>
                <w:b/>
                <w:bCs/>
                <w:color w:val="000000"/>
                <w:sz w:val="16"/>
                <w:szCs w:val="16"/>
                <w:lang w:eastAsia="tr-TR"/>
              </w:rPr>
            </w:pPr>
            <w:r w:rsidRPr="004B3DE4">
              <w:rPr>
                <w:rFonts w:cs="Tahoma"/>
                <w:b/>
                <w:bCs/>
                <w:color w:val="000000"/>
                <w:sz w:val="16"/>
                <w:szCs w:val="16"/>
                <w:lang w:eastAsia="tr-TR"/>
              </w:rPr>
              <w:t>Spor tesislerinin erişilebilirliği, hizmet çeşitliliği ve sayısı artırılacaktır.</w:t>
            </w:r>
          </w:p>
        </w:tc>
      </w:tr>
      <w:tr w:rsidR="00565FD5" w:rsidRPr="004B3DE4" w:rsidTr="00AB62A3">
        <w:trPr>
          <w:trHeight w:val="20"/>
          <w:jc w:val="center"/>
        </w:trPr>
        <w:tc>
          <w:tcPr>
            <w:tcW w:w="1201" w:type="pct"/>
          </w:tcPr>
          <w:p w:rsidR="00565FD5" w:rsidRPr="004B3DE4" w:rsidRDefault="00565FD5" w:rsidP="00EB1E69">
            <w:pPr>
              <w:numPr>
                <w:ilvl w:val="0"/>
                <w:numId w:val="14"/>
              </w:numPr>
              <w:tabs>
                <w:tab w:val="left" w:pos="425"/>
              </w:tabs>
              <w:spacing w:before="120" w:after="120" w:line="240" w:lineRule="auto"/>
              <w:rPr>
                <w:rFonts w:cs="Tahoma"/>
                <w:color w:val="000000"/>
                <w:sz w:val="16"/>
                <w:szCs w:val="16"/>
                <w:lang w:eastAsia="tr-TR"/>
              </w:rPr>
            </w:pPr>
            <w:r w:rsidRPr="004B3DE4">
              <w:rPr>
                <w:rFonts w:cs="Tahoma"/>
                <w:color w:val="000000"/>
                <w:sz w:val="16"/>
                <w:szCs w:val="16"/>
                <w:lang w:eastAsia="tr-TR"/>
              </w:rPr>
              <w:t xml:space="preserve">İllerdeki spor tesisleri envanteri uzaktan erişime açılacaktır.  </w:t>
            </w:r>
          </w:p>
        </w:tc>
        <w:tc>
          <w:tcPr>
            <w:tcW w:w="1354"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 xml:space="preserve">GSB (S), Kalkınma Bakanlığı, MEB, Üniversiteler, TÜİK, Yerel Yönetimler </w:t>
            </w:r>
          </w:p>
        </w:tc>
        <w:tc>
          <w:tcPr>
            <w:tcW w:w="491"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 xml:space="preserve">Farklı kamu kurum ve kuruluşlarına, yerel yönetimlere ve özel sektöre ait spor tesislerinin envanteri ve kullanım imkanları, halkın rahatça erişebileceği ve kullanabileceği şekilde ortak bir veri tabanı aracılığıyla uzaktan erişime açılacaktır.  </w:t>
            </w:r>
          </w:p>
        </w:tc>
      </w:tr>
      <w:tr w:rsidR="00565FD5" w:rsidRPr="004B3DE4" w:rsidTr="00AB62A3">
        <w:trPr>
          <w:trHeight w:val="20"/>
          <w:jc w:val="center"/>
        </w:trPr>
        <w:tc>
          <w:tcPr>
            <w:tcW w:w="1201" w:type="pct"/>
          </w:tcPr>
          <w:p w:rsidR="00565FD5" w:rsidRPr="004B3DE4" w:rsidRDefault="00565FD5" w:rsidP="00EB1E69">
            <w:pPr>
              <w:numPr>
                <w:ilvl w:val="0"/>
                <w:numId w:val="14"/>
              </w:numPr>
              <w:tabs>
                <w:tab w:val="left" w:pos="425"/>
              </w:tabs>
              <w:spacing w:before="120" w:after="120" w:line="240" w:lineRule="auto"/>
              <w:rPr>
                <w:rFonts w:cs="Tahoma"/>
                <w:color w:val="000000"/>
                <w:sz w:val="16"/>
                <w:szCs w:val="16"/>
                <w:lang w:eastAsia="tr-TR"/>
              </w:rPr>
            </w:pPr>
            <w:r w:rsidRPr="004B3DE4">
              <w:rPr>
                <w:rFonts w:cs="Tahoma"/>
                <w:color w:val="000000"/>
                <w:sz w:val="16"/>
                <w:szCs w:val="16"/>
                <w:lang w:eastAsia="tr-TR"/>
              </w:rPr>
              <w:t>Mevcut spor tesislerinin etkin kullanımı sağlanacaktır.</w:t>
            </w:r>
          </w:p>
        </w:tc>
        <w:tc>
          <w:tcPr>
            <w:tcW w:w="1354"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GSB (S), MEB, Üniversiteler, Spor Tesisi Olan Kamu Kurum ve Kuruluşları, TÜİK, Yerel Yönetimler, STK’lar</w:t>
            </w:r>
          </w:p>
        </w:tc>
        <w:tc>
          <w:tcPr>
            <w:tcW w:w="491"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 xml:space="preserve">GSB’ye, MEB’e, üniversitelere, kamu kurum ve kuruluşlarına ait olan spor tesislerinin başta sporcular ve spor kulüpleri olmak üzere bütün vatandaşlar tarafından kullanılabilmesine ilişkin </w:t>
            </w:r>
            <w:r w:rsidRPr="004B3DE4">
              <w:rPr>
                <w:rFonts w:cs="Tahoma"/>
                <w:color w:val="000000"/>
                <w:sz w:val="16"/>
                <w:szCs w:val="16"/>
                <w:lang w:eastAsia="tr-TR"/>
              </w:rPr>
              <w:lastRenderedPageBreak/>
              <w:t>düzenlemeler ve tedbirler hayata geçirilecektir.</w:t>
            </w:r>
          </w:p>
        </w:tc>
      </w:tr>
      <w:tr w:rsidR="00565FD5" w:rsidRPr="004B3DE4" w:rsidTr="00AB62A3">
        <w:trPr>
          <w:trHeight w:val="20"/>
          <w:jc w:val="center"/>
        </w:trPr>
        <w:tc>
          <w:tcPr>
            <w:tcW w:w="1201" w:type="pct"/>
          </w:tcPr>
          <w:p w:rsidR="00565FD5" w:rsidRPr="004B3DE4" w:rsidRDefault="00565FD5" w:rsidP="00EB1E69">
            <w:pPr>
              <w:numPr>
                <w:ilvl w:val="0"/>
                <w:numId w:val="14"/>
              </w:numPr>
              <w:tabs>
                <w:tab w:val="left" w:pos="425"/>
              </w:tabs>
              <w:spacing w:before="120" w:after="120" w:line="240" w:lineRule="auto"/>
              <w:rPr>
                <w:rFonts w:cs="Tahoma"/>
                <w:color w:val="000000"/>
                <w:sz w:val="16"/>
                <w:szCs w:val="16"/>
                <w:lang w:eastAsia="tr-TR"/>
              </w:rPr>
            </w:pPr>
            <w:r w:rsidRPr="004B3DE4">
              <w:rPr>
                <w:rFonts w:cs="Tahoma"/>
                <w:color w:val="000000"/>
                <w:sz w:val="16"/>
                <w:szCs w:val="16"/>
                <w:lang w:eastAsia="tr-TR"/>
              </w:rPr>
              <w:lastRenderedPageBreak/>
              <w:t>Spor alt yapısını geliştirmek üzere, özel teşebbüsün bu alandaki katkısının artırılması sağlanacaktır.</w:t>
            </w:r>
          </w:p>
        </w:tc>
        <w:tc>
          <w:tcPr>
            <w:tcW w:w="1354"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GSB (S), Maliye Bakanlığı</w:t>
            </w:r>
            <w:r>
              <w:rPr>
                <w:rFonts w:cs="Tahoma"/>
                <w:color w:val="000000"/>
                <w:sz w:val="16"/>
                <w:szCs w:val="16"/>
                <w:lang w:eastAsia="tr-TR"/>
              </w:rPr>
              <w:t>,</w:t>
            </w:r>
            <w:r w:rsidRPr="004B3DE4">
              <w:rPr>
                <w:rFonts w:cs="Tahoma"/>
                <w:color w:val="000000"/>
                <w:sz w:val="16"/>
                <w:szCs w:val="16"/>
                <w:lang w:eastAsia="tr-TR"/>
              </w:rPr>
              <w:t xml:space="preserve"> Ekonomi Bakanlığı</w:t>
            </w:r>
          </w:p>
        </w:tc>
        <w:tc>
          <w:tcPr>
            <w:tcW w:w="491"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Spor alt yapısının geliştirilmesi amacıyla merkezi ve yerel yönetimlerin dışında, özel sektörün bu alandaki yatırımlarının artırılmasını teşvik edecek gerekli düzenlemeler yapılacaktır.</w:t>
            </w:r>
          </w:p>
        </w:tc>
      </w:tr>
      <w:tr w:rsidR="00565FD5" w:rsidRPr="004B3DE4" w:rsidTr="00AB62A3">
        <w:trPr>
          <w:trHeight w:val="20"/>
          <w:jc w:val="center"/>
        </w:trPr>
        <w:tc>
          <w:tcPr>
            <w:tcW w:w="5000" w:type="pct"/>
            <w:gridSpan w:val="4"/>
          </w:tcPr>
          <w:p w:rsidR="00565FD5" w:rsidRPr="004B3DE4" w:rsidRDefault="00565FD5" w:rsidP="00EB1E69">
            <w:pPr>
              <w:numPr>
                <w:ilvl w:val="0"/>
                <w:numId w:val="15"/>
              </w:numPr>
              <w:tabs>
                <w:tab w:val="left" w:pos="425"/>
              </w:tabs>
              <w:spacing w:before="120" w:after="120" w:line="240" w:lineRule="auto"/>
              <w:jc w:val="both"/>
              <w:rPr>
                <w:rFonts w:cs="Tahoma"/>
                <w:b/>
                <w:bCs/>
                <w:color w:val="000000"/>
                <w:sz w:val="16"/>
                <w:szCs w:val="16"/>
                <w:lang w:eastAsia="tr-TR"/>
              </w:rPr>
            </w:pPr>
            <w:r w:rsidRPr="004B3DE4">
              <w:rPr>
                <w:rFonts w:cs="Tahoma"/>
                <w:b/>
                <w:bCs/>
                <w:color w:val="000000"/>
                <w:sz w:val="16"/>
                <w:szCs w:val="16"/>
                <w:lang w:eastAsia="tr-TR"/>
              </w:rPr>
              <w:t>Aktif spor yapan kişi sayısının artması, farklı spor dallarının yaygınlaştırılması teşvik edilecek ve spor müsabakalarında ülkemizin daha fazla derece elde etmesine yönelik tedbirler alınacaktır.</w:t>
            </w:r>
          </w:p>
        </w:tc>
      </w:tr>
      <w:tr w:rsidR="00565FD5" w:rsidRPr="004B3DE4" w:rsidTr="00AB62A3">
        <w:trPr>
          <w:trHeight w:val="20"/>
          <w:jc w:val="center"/>
        </w:trPr>
        <w:tc>
          <w:tcPr>
            <w:tcW w:w="1201" w:type="pct"/>
          </w:tcPr>
          <w:p w:rsidR="00565FD5" w:rsidRPr="004B3DE4" w:rsidRDefault="00565FD5" w:rsidP="00EB1E69">
            <w:pPr>
              <w:numPr>
                <w:ilvl w:val="0"/>
                <w:numId w:val="14"/>
              </w:numPr>
              <w:tabs>
                <w:tab w:val="left" w:pos="425"/>
              </w:tabs>
              <w:spacing w:before="120" w:after="120" w:line="240" w:lineRule="auto"/>
              <w:rPr>
                <w:rFonts w:cs="Tahoma"/>
                <w:color w:val="000000"/>
                <w:sz w:val="16"/>
                <w:szCs w:val="16"/>
                <w:lang w:eastAsia="tr-TR"/>
              </w:rPr>
            </w:pPr>
            <w:r w:rsidRPr="004B3DE4">
              <w:rPr>
                <w:rFonts w:cs="Tahoma"/>
                <w:color w:val="000000"/>
                <w:sz w:val="16"/>
                <w:szCs w:val="16"/>
                <w:lang w:eastAsia="tr-TR"/>
              </w:rPr>
              <w:t>İlk ve orta öğretimdeki spor eğitimi okul öncesinden başlanarak iyileştirilecektir.</w:t>
            </w:r>
          </w:p>
        </w:tc>
        <w:tc>
          <w:tcPr>
            <w:tcW w:w="1354"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MEB (S), GSB, Federasyonlar, Üniversiteler, STK’lar</w:t>
            </w:r>
          </w:p>
        </w:tc>
        <w:tc>
          <w:tcPr>
            <w:tcW w:w="491"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Spor eğitimi okul öncesinden başlanarak eğitimin tüm kademelerinde yaygınlaştıracak, çocukların farklı spor branşlarıyla uğraşması sağlanacaktır. Okullara antrenör desteği verilecek ve mevcut spor liselerinin branşlaşması sağlanacaktır.</w:t>
            </w:r>
          </w:p>
        </w:tc>
      </w:tr>
      <w:tr w:rsidR="00565FD5" w:rsidRPr="004B3DE4" w:rsidTr="00AB62A3">
        <w:trPr>
          <w:trHeight w:val="20"/>
          <w:jc w:val="center"/>
        </w:trPr>
        <w:tc>
          <w:tcPr>
            <w:tcW w:w="1201" w:type="pct"/>
          </w:tcPr>
          <w:p w:rsidR="00565FD5" w:rsidRPr="004B3DE4" w:rsidRDefault="00565FD5" w:rsidP="00EB1E69">
            <w:pPr>
              <w:numPr>
                <w:ilvl w:val="0"/>
                <w:numId w:val="14"/>
              </w:numPr>
              <w:tabs>
                <w:tab w:val="left" w:pos="425"/>
              </w:tabs>
              <w:spacing w:before="120" w:after="120" w:line="240" w:lineRule="auto"/>
              <w:rPr>
                <w:rFonts w:cs="Tahoma"/>
                <w:color w:val="000000"/>
                <w:sz w:val="16"/>
                <w:szCs w:val="16"/>
                <w:lang w:eastAsia="tr-TR"/>
              </w:rPr>
            </w:pPr>
            <w:r w:rsidRPr="004B3DE4">
              <w:rPr>
                <w:rFonts w:cs="Tahoma"/>
                <w:color w:val="000000"/>
                <w:sz w:val="16"/>
                <w:szCs w:val="16"/>
                <w:lang w:eastAsia="tr-TR"/>
              </w:rPr>
              <w:t>Halkın spora olan ilgisini artıracak proje ve kampanyalar hayata geçirilecektir.</w:t>
            </w:r>
          </w:p>
        </w:tc>
        <w:tc>
          <w:tcPr>
            <w:tcW w:w="1354"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GSB (S), Kalkınma Bakanlığı, Maliye Bakanlığı, TRT, Basın Kuruluşları,</w:t>
            </w:r>
            <w:r>
              <w:rPr>
                <w:rFonts w:cs="Tahoma"/>
                <w:color w:val="000000"/>
                <w:sz w:val="16"/>
                <w:szCs w:val="16"/>
                <w:lang w:eastAsia="tr-TR"/>
              </w:rPr>
              <w:t xml:space="preserve"> </w:t>
            </w:r>
            <w:r w:rsidRPr="004B3DE4">
              <w:rPr>
                <w:rFonts w:cs="Tahoma"/>
                <w:color w:val="000000"/>
                <w:sz w:val="16"/>
                <w:szCs w:val="16"/>
                <w:lang w:eastAsia="tr-TR"/>
              </w:rPr>
              <w:t xml:space="preserve">Yerel Yönetimler, Üniversiteler, Federasyonlar, STK’lar </w:t>
            </w:r>
          </w:p>
        </w:tc>
        <w:tc>
          <w:tcPr>
            <w:tcW w:w="491"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Halkın spora ilgisini artıracak projeler desteklenecek, spor tesislerine erişim imkanları iyileştirilecek, kişilerin aktif olarak spor yapmasını teşvik edecek kampanyalar düzenlenecektir. Medyada, popüler spor branşları dışındaki spor branşlarına daha fazla yer verilmesi sağlanacaktır.</w:t>
            </w:r>
          </w:p>
        </w:tc>
      </w:tr>
      <w:tr w:rsidR="00565FD5" w:rsidRPr="004B3DE4" w:rsidTr="00AB62A3">
        <w:trPr>
          <w:trHeight w:val="20"/>
          <w:jc w:val="center"/>
        </w:trPr>
        <w:tc>
          <w:tcPr>
            <w:tcW w:w="1201" w:type="pct"/>
          </w:tcPr>
          <w:p w:rsidR="00565FD5" w:rsidRPr="004B3DE4" w:rsidRDefault="00565FD5" w:rsidP="00EB1E69">
            <w:pPr>
              <w:numPr>
                <w:ilvl w:val="0"/>
                <w:numId w:val="14"/>
              </w:numPr>
              <w:tabs>
                <w:tab w:val="left" w:pos="425"/>
              </w:tabs>
              <w:spacing w:before="120" w:after="120" w:line="240" w:lineRule="auto"/>
              <w:rPr>
                <w:rFonts w:cs="Tahoma"/>
                <w:color w:val="000000"/>
                <w:sz w:val="16"/>
                <w:szCs w:val="16"/>
                <w:lang w:eastAsia="tr-TR"/>
              </w:rPr>
            </w:pPr>
            <w:r w:rsidRPr="004B3DE4">
              <w:rPr>
                <w:rFonts w:cs="Tahoma"/>
                <w:color w:val="000000"/>
                <w:sz w:val="16"/>
                <w:szCs w:val="16"/>
                <w:lang w:eastAsia="tr-TR"/>
              </w:rPr>
              <w:t>Spor alanında yetenekli bireylerin erken yaşta tespit edilmesine yönelik düzenlemeler hayata geçirilecektir.</w:t>
            </w:r>
          </w:p>
        </w:tc>
        <w:tc>
          <w:tcPr>
            <w:tcW w:w="1354"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 xml:space="preserve">GSB (S), MEB, Federasyonlar, Üniversiteler </w:t>
            </w:r>
          </w:p>
        </w:tc>
        <w:tc>
          <w:tcPr>
            <w:tcW w:w="491"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Çocuklar, okul öncesinden başlayarak yetenek taramasından geçirilecek,  yetenekli olanlar uygun spor dallarına yönlendirilecek ve yeterli düzeyde spor eğitimi almaları sağlanacaktır.</w:t>
            </w:r>
          </w:p>
        </w:tc>
      </w:tr>
      <w:tr w:rsidR="00565FD5" w:rsidRPr="004B3DE4" w:rsidTr="00AB62A3">
        <w:trPr>
          <w:trHeight w:val="20"/>
          <w:jc w:val="center"/>
        </w:trPr>
        <w:tc>
          <w:tcPr>
            <w:tcW w:w="1201" w:type="pct"/>
          </w:tcPr>
          <w:p w:rsidR="00565FD5" w:rsidRPr="004B3DE4" w:rsidRDefault="00565FD5" w:rsidP="00EB1E69">
            <w:pPr>
              <w:numPr>
                <w:ilvl w:val="0"/>
                <w:numId w:val="14"/>
              </w:numPr>
              <w:tabs>
                <w:tab w:val="left" w:pos="425"/>
              </w:tabs>
              <w:spacing w:before="120" w:after="120" w:line="240" w:lineRule="auto"/>
              <w:rPr>
                <w:rFonts w:cs="Tahoma"/>
                <w:color w:val="000000"/>
                <w:sz w:val="16"/>
                <w:szCs w:val="16"/>
                <w:lang w:eastAsia="tr-TR"/>
              </w:rPr>
            </w:pPr>
            <w:r>
              <w:rPr>
                <w:rFonts w:cs="Tahoma"/>
                <w:color w:val="000000"/>
                <w:sz w:val="16"/>
                <w:szCs w:val="16"/>
                <w:lang w:eastAsia="tr-TR"/>
              </w:rPr>
              <w:t>Dezavan-tajlı kesimlerin</w:t>
            </w:r>
            <w:r w:rsidRPr="004B3DE4">
              <w:rPr>
                <w:rFonts w:cs="Tahoma"/>
                <w:color w:val="000000"/>
                <w:sz w:val="16"/>
                <w:szCs w:val="16"/>
                <w:lang w:eastAsia="tr-TR"/>
              </w:rPr>
              <w:t xml:space="preserve"> sportif faaliyetlere katılımlarını teşvik edecek özel projeler geliştirilecektir.</w:t>
            </w:r>
          </w:p>
        </w:tc>
        <w:tc>
          <w:tcPr>
            <w:tcW w:w="1354"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GSB (S), Aile ve Sosyal Politikalar Bakanlığı, Yerel Yönetimler, STK’lar</w:t>
            </w:r>
          </w:p>
        </w:tc>
        <w:tc>
          <w:tcPr>
            <w:tcW w:w="491"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565FD5" w:rsidRPr="004B3DE4" w:rsidRDefault="00565FD5" w:rsidP="00AB62A3">
            <w:pPr>
              <w:spacing w:before="120" w:after="120"/>
              <w:rPr>
                <w:rFonts w:cs="Tahoma"/>
                <w:color w:val="000000"/>
                <w:sz w:val="16"/>
                <w:szCs w:val="16"/>
                <w:lang w:eastAsia="tr-TR"/>
              </w:rPr>
            </w:pPr>
            <w:r>
              <w:rPr>
                <w:rFonts w:cs="Tahoma"/>
                <w:color w:val="000000"/>
                <w:sz w:val="16"/>
                <w:szCs w:val="16"/>
                <w:lang w:eastAsia="tr-TR"/>
              </w:rPr>
              <w:t>Dezavantajlı kesimlerin</w:t>
            </w:r>
            <w:r w:rsidRPr="004B3DE4">
              <w:rPr>
                <w:rFonts w:cs="Tahoma"/>
                <w:color w:val="000000"/>
                <w:sz w:val="16"/>
                <w:szCs w:val="16"/>
                <w:lang w:eastAsia="tr-TR"/>
              </w:rPr>
              <w:t xml:space="preserve"> sosyal yönden gelişimlerini ve sportif katılımlarını artırmak amacıyla spor tesislerine erişimleri sağlanacak ve bu tesislerde uzman antrenör istihdamı gerçekleştirilecektir.</w:t>
            </w:r>
          </w:p>
        </w:tc>
      </w:tr>
      <w:tr w:rsidR="00565FD5" w:rsidRPr="004B3DE4" w:rsidTr="00AB62A3">
        <w:trPr>
          <w:trHeight w:val="20"/>
          <w:jc w:val="center"/>
        </w:trPr>
        <w:tc>
          <w:tcPr>
            <w:tcW w:w="1201" w:type="pct"/>
          </w:tcPr>
          <w:p w:rsidR="00565FD5" w:rsidRPr="004B3DE4" w:rsidRDefault="00565FD5" w:rsidP="00EB1E69">
            <w:pPr>
              <w:numPr>
                <w:ilvl w:val="0"/>
                <w:numId w:val="14"/>
              </w:numPr>
              <w:tabs>
                <w:tab w:val="left" w:pos="425"/>
              </w:tabs>
              <w:spacing w:before="120" w:after="120" w:line="240" w:lineRule="auto"/>
              <w:rPr>
                <w:rFonts w:cs="Tahoma"/>
                <w:color w:val="000000"/>
                <w:sz w:val="16"/>
                <w:szCs w:val="16"/>
                <w:lang w:eastAsia="tr-TR"/>
              </w:rPr>
            </w:pPr>
            <w:r w:rsidRPr="004B3DE4">
              <w:rPr>
                <w:rFonts w:cs="Tahoma"/>
                <w:color w:val="000000"/>
                <w:sz w:val="16"/>
                <w:szCs w:val="16"/>
                <w:lang w:eastAsia="tr-TR"/>
              </w:rPr>
              <w:t>Başarılı sporculara sağlanan imkânlar artırılacaktır.</w:t>
            </w:r>
          </w:p>
        </w:tc>
        <w:tc>
          <w:tcPr>
            <w:tcW w:w="1354"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GSB (S), MEB, YÖK, Üniversiteler, Maliye Bakanlığı, Federasyonlar</w:t>
            </w:r>
          </w:p>
        </w:tc>
        <w:tc>
          <w:tcPr>
            <w:tcW w:w="491"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 xml:space="preserve">Başarılı sporculara sağlanan burslar artırılacak, kendilerine uygun antrenman ortamlarının ve kalifiye antrenörlerin tahsis edilmesi sağlanacak,  üniversiteye </w:t>
            </w:r>
            <w:r w:rsidRPr="004B3DE4">
              <w:rPr>
                <w:rFonts w:cs="Tahoma"/>
                <w:color w:val="000000"/>
                <w:sz w:val="16"/>
                <w:szCs w:val="16"/>
                <w:lang w:eastAsia="tr-TR"/>
              </w:rPr>
              <w:lastRenderedPageBreak/>
              <w:t>yerleşme süreçlerinde iyileştirmeler yapılacaktır. Sporcu Eğitim Merkezleri altyapı ve eğitimci açısından desteklenecek, yeterli sayı ve kalitede olimpiyat hazırlık merkezi oluşturulacaktır. Spor eğitmenlerinin eğitimi bir sistem dâhilinde yeniden düzenlenecektir.</w:t>
            </w:r>
          </w:p>
        </w:tc>
      </w:tr>
      <w:tr w:rsidR="00565FD5" w:rsidRPr="004B3DE4" w:rsidTr="00AB62A3">
        <w:trPr>
          <w:trHeight w:val="20"/>
          <w:jc w:val="center"/>
        </w:trPr>
        <w:tc>
          <w:tcPr>
            <w:tcW w:w="1201" w:type="pct"/>
          </w:tcPr>
          <w:p w:rsidR="00565FD5" w:rsidRPr="004B3DE4" w:rsidRDefault="00565FD5" w:rsidP="00EB1E69">
            <w:pPr>
              <w:numPr>
                <w:ilvl w:val="0"/>
                <w:numId w:val="14"/>
              </w:numPr>
              <w:spacing w:before="120" w:after="120" w:line="240" w:lineRule="auto"/>
              <w:ind w:left="0" w:right="-57"/>
              <w:rPr>
                <w:rFonts w:cs="Tahoma"/>
                <w:color w:val="000000"/>
                <w:sz w:val="16"/>
                <w:szCs w:val="16"/>
                <w:lang w:eastAsia="tr-TR"/>
              </w:rPr>
            </w:pPr>
            <w:r w:rsidRPr="004B3DE4">
              <w:rPr>
                <w:rFonts w:cs="Tahoma"/>
                <w:color w:val="000000"/>
                <w:sz w:val="16"/>
                <w:szCs w:val="16"/>
                <w:lang w:eastAsia="tr-TR"/>
              </w:rPr>
              <w:lastRenderedPageBreak/>
              <w:t>Türkiye’nin uluslararası spor müsabakalarına daha fazla ev sahipliği yapması sağlanacaktır.</w:t>
            </w:r>
          </w:p>
        </w:tc>
        <w:tc>
          <w:tcPr>
            <w:tcW w:w="1354"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GSB (S), Kalkınma Bakanlığı, Maliye Bakanlığı, Türkiye Milli Olimpiyat Komitesi, Federasyonlar</w:t>
            </w:r>
          </w:p>
        </w:tc>
        <w:tc>
          <w:tcPr>
            <w:tcW w:w="491"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Aralık Sonu</w:t>
            </w:r>
          </w:p>
        </w:tc>
        <w:tc>
          <w:tcPr>
            <w:tcW w:w="1955" w:type="pct"/>
          </w:tcPr>
          <w:p w:rsidR="00565FD5" w:rsidRPr="004B3DE4" w:rsidRDefault="00565FD5" w:rsidP="00AB62A3">
            <w:pPr>
              <w:spacing w:before="120" w:after="120"/>
              <w:rPr>
                <w:rFonts w:cs="Tahoma"/>
                <w:color w:val="000000"/>
                <w:sz w:val="16"/>
                <w:szCs w:val="16"/>
                <w:lang w:eastAsia="tr-TR"/>
              </w:rPr>
            </w:pPr>
            <w:r w:rsidRPr="004B3DE4">
              <w:rPr>
                <w:rFonts w:cs="Tahoma"/>
                <w:color w:val="000000"/>
                <w:sz w:val="16"/>
                <w:szCs w:val="16"/>
                <w:lang w:eastAsia="tr-TR"/>
              </w:rPr>
              <w:t>Ülkemizin dünya çapında tanınırlığını ve prestijini artıracak, olimpiyatlar başta olmak üzere,  önemli uluslararası yarışmalara ev sahipliği yapabilmesi için çalışmalara devam edilecektir.</w:t>
            </w:r>
          </w:p>
        </w:tc>
      </w:tr>
    </w:tbl>
    <w:p w:rsidR="00565FD5" w:rsidRDefault="00565FD5" w:rsidP="00565FD5">
      <w:pPr>
        <w:rPr>
          <w:rFonts w:cs="Tahoma"/>
        </w:rPr>
      </w:pPr>
    </w:p>
    <w:p w:rsidR="00565FD5" w:rsidRPr="004B3DE4" w:rsidRDefault="00565FD5" w:rsidP="00565FD5">
      <w:pPr>
        <w:rPr>
          <w:rFonts w:cs="Tahoma"/>
        </w:rPr>
      </w:pPr>
    </w:p>
    <w:p w:rsidR="00565FD5" w:rsidRPr="00064D56" w:rsidRDefault="00565FD5" w:rsidP="00565FD5">
      <w:pPr>
        <w:pStyle w:val="Balk3"/>
      </w:pPr>
      <w:bookmarkStart w:id="2701" w:name="_Toc244253748"/>
      <w:bookmarkStart w:id="2702" w:name="_Toc244254998"/>
      <w:bookmarkStart w:id="2703" w:name="_Toc244313733"/>
      <w:bookmarkStart w:id="2704" w:name="_Toc244315210"/>
      <w:bookmarkStart w:id="2705" w:name="_Toc244339673"/>
      <w:bookmarkStart w:id="2706" w:name="_Toc276076355"/>
      <w:bookmarkStart w:id="2707" w:name="_Toc307602079"/>
      <w:bookmarkStart w:id="2708" w:name="_Toc307670516"/>
      <w:bookmarkStart w:id="2709" w:name="_Toc307701742"/>
      <w:bookmarkStart w:id="2710" w:name="_Toc338494263"/>
      <w:bookmarkStart w:id="2711" w:name="_Toc338494383"/>
      <w:bookmarkStart w:id="2712" w:name="_Toc338505644"/>
      <w:bookmarkStart w:id="2713" w:name="_Toc338505746"/>
      <w:bookmarkStart w:id="2714" w:name="_Toc338505785"/>
      <w:bookmarkStart w:id="2715" w:name="_Toc338523876"/>
      <w:bookmarkStart w:id="2716" w:name="_Toc338524107"/>
      <w:bookmarkStart w:id="2717" w:name="_Toc338526333"/>
      <w:bookmarkStart w:id="2718" w:name="_Toc338673776"/>
      <w:bookmarkStart w:id="2719" w:name="_Toc338711655"/>
      <w:r>
        <w:t>F</w:t>
      </w:r>
      <w:r w:rsidRPr="00064D56">
        <w:t>. SOSYAL HARCAMALARDA ETKİNLİK VE KALİTENİN ARTIRILMASI</w:t>
      </w:r>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r w:rsidRPr="00064D56">
        <w:t xml:space="preserve"> </w:t>
      </w:r>
    </w:p>
    <w:p w:rsidR="00565FD5" w:rsidRPr="00981B4F" w:rsidRDefault="00565FD5" w:rsidP="00565FD5">
      <w:pPr>
        <w:pStyle w:val="Balk4"/>
      </w:pPr>
      <w:bookmarkStart w:id="2720" w:name="_Toc150099258"/>
      <w:bookmarkStart w:id="2721" w:name="_Toc276076356"/>
      <w:bookmarkStart w:id="2722" w:name="_Toc307602080"/>
      <w:bookmarkStart w:id="2723" w:name="_Toc307670517"/>
      <w:bookmarkStart w:id="2724" w:name="_Toc307701743"/>
      <w:bookmarkStart w:id="2725" w:name="_Toc338505645"/>
      <w:bookmarkStart w:id="2726" w:name="_Toc338523877"/>
      <w:bookmarkStart w:id="2727" w:name="_Toc338524108"/>
      <w:bookmarkStart w:id="2728" w:name="_Toc338526334"/>
      <w:bookmarkStart w:id="2729" w:name="_Toc338673777"/>
      <w:bookmarkStart w:id="2730" w:name="_Toc338711656"/>
      <w:r w:rsidRPr="00981B4F">
        <w:t>1. Mevcut Durum</w:t>
      </w:r>
      <w:bookmarkEnd w:id="2720"/>
      <w:bookmarkEnd w:id="2721"/>
      <w:bookmarkEnd w:id="2722"/>
      <w:bookmarkEnd w:id="2723"/>
      <w:bookmarkEnd w:id="2724"/>
      <w:bookmarkEnd w:id="2725"/>
      <w:bookmarkEnd w:id="2726"/>
      <w:bookmarkEnd w:id="2727"/>
      <w:bookmarkEnd w:id="2728"/>
      <w:bookmarkEnd w:id="2729"/>
      <w:bookmarkEnd w:id="2730"/>
    </w:p>
    <w:p w:rsidR="00565FD5" w:rsidRPr="00981B4F" w:rsidRDefault="00565FD5" w:rsidP="00565FD5">
      <w:pPr>
        <w:spacing w:after="160"/>
        <w:ind w:firstLine="425"/>
        <w:rPr>
          <w:rFonts w:cs="Tahoma"/>
          <w:szCs w:val="18"/>
        </w:rPr>
      </w:pPr>
      <w:r w:rsidRPr="00981B4F">
        <w:rPr>
          <w:rFonts w:cs="Tahoma"/>
          <w:szCs w:val="18"/>
        </w:rPr>
        <w:t>Eğitim, sağlık ve sosyal koruma harcamalarını içeren sosyal harcamaların GSYH içindeki oranının 2011 yılındaki yüzde 16,7 seviyesinden 2012 yılında yüzde 17,2 seviyesine yükselmesi beklenmektedir. Son dönemde eğitim harcamalarının GSYH’ya oranında artışlar yaşanmasına rağmen okullaşma oranının düşüklüğü ve bölgeler arası farklılıklar gibi erişim sorunlarını, fiziki altyapı yetersizliklerini, müfredatın güncellenmesini, öğretmen niteliklerinin geliştirilmesini ve eğitim materyallerinin müfredatla uyumunu içeren kalite sorunları önemini korumaktadır.</w:t>
      </w:r>
    </w:p>
    <w:p w:rsidR="00565FD5" w:rsidRPr="00981B4F" w:rsidRDefault="00565FD5" w:rsidP="00565FD5">
      <w:pPr>
        <w:spacing w:after="160"/>
        <w:ind w:firstLine="425"/>
        <w:rPr>
          <w:rFonts w:cs="Tahoma"/>
          <w:szCs w:val="18"/>
        </w:rPr>
      </w:pPr>
      <w:r w:rsidRPr="00981B4F">
        <w:rPr>
          <w:rFonts w:cs="Tahoma"/>
          <w:szCs w:val="18"/>
        </w:rPr>
        <w:t>Son yıllarda özellikle emekli aylığı ödemelerinin artmasıyla beraber sosyal korumaya ilişkin harcamalarda önemli artışlar yaşanmıştır. Emekli aylığı ödemelerindeki artışta, aylıklara yapılan seyyanen artışlar ve yüksek gerçekleşen TÜFE değişim oranlarının emekli aylıklarına yansıtılması etkili olmuştur. 2013 yılında da emekli sayısındaki artışın ve emekli aylıklarında yapılacak intibakın etkisiyle emekli aylık ödemelerinin GSYH içindeki oranının artması beklenmektedir. 2012 ve 2013 yıllarında</w:t>
      </w:r>
      <w:r>
        <w:rPr>
          <w:rFonts w:cs="Tahoma"/>
          <w:szCs w:val="18"/>
        </w:rPr>
        <w:t xml:space="preserve"> gerek</w:t>
      </w:r>
      <w:r w:rsidRPr="00981B4F">
        <w:rPr>
          <w:rFonts w:cs="Tahoma"/>
          <w:szCs w:val="18"/>
        </w:rPr>
        <w:t xml:space="preserve"> merkezi yönetim bütçesinden karşılanan özellikle özürlülere yönelik harcamaların artması, </w:t>
      </w:r>
      <w:r>
        <w:rPr>
          <w:rFonts w:cs="Tahoma"/>
          <w:szCs w:val="18"/>
        </w:rPr>
        <w:t xml:space="preserve">gerekse </w:t>
      </w:r>
      <w:r w:rsidRPr="00981B4F">
        <w:rPr>
          <w:rFonts w:cs="Tahoma"/>
          <w:szCs w:val="18"/>
        </w:rPr>
        <w:t xml:space="preserve">Sosyal Yardımlaşma ve Dayanışmayı Teşvik Fonundan karşılanan sosyal </w:t>
      </w:r>
      <w:r w:rsidRPr="00981B4F">
        <w:rPr>
          <w:rFonts w:cs="Tahoma"/>
          <w:szCs w:val="18"/>
        </w:rPr>
        <w:lastRenderedPageBreak/>
        <w:t xml:space="preserve">yardım harcamalarının artması </w:t>
      </w:r>
      <w:r>
        <w:rPr>
          <w:rFonts w:cs="Tahoma"/>
          <w:szCs w:val="18"/>
        </w:rPr>
        <w:t>sonucu</w:t>
      </w:r>
      <w:r w:rsidRPr="00981B4F">
        <w:rPr>
          <w:rFonts w:cs="Tahoma"/>
          <w:szCs w:val="18"/>
        </w:rPr>
        <w:t xml:space="preserve"> sosyal yardım ve primsiz ödemelerin GSYH içindeki oranının yükselmesi beklenmektedir. Her ne kadar sosyal koruma harcamalarında artışlar yaşansa da sosyal dışlanma, yoksulluk ve gelir dağılımı dengesizliği gibi sorunlar bu alanda öne çıkmaktadır.</w:t>
      </w:r>
    </w:p>
    <w:p w:rsidR="00565FD5" w:rsidRPr="00064D56" w:rsidRDefault="00565FD5" w:rsidP="00565FD5">
      <w:pPr>
        <w:pStyle w:val="ResimYazs"/>
        <w:rPr>
          <w:rFonts w:cs="Tahoma"/>
          <w:bCs/>
        </w:rPr>
      </w:pPr>
      <w:bookmarkStart w:id="2731" w:name="_Toc150099434"/>
      <w:bookmarkStart w:id="2732" w:name="_Toc275873988"/>
      <w:bookmarkStart w:id="2733" w:name="_Toc276076534"/>
      <w:bookmarkStart w:id="2734" w:name="_Toc307601720"/>
      <w:bookmarkStart w:id="2735" w:name="_Toc307657940"/>
      <w:bookmarkStart w:id="2736" w:name="_Toc307713634"/>
      <w:bookmarkStart w:id="2737" w:name="_Toc338606064"/>
      <w:bookmarkStart w:id="2738" w:name="_Toc338711839"/>
      <w:r>
        <w:t xml:space="preserve">TABLO IV: </w:t>
      </w:r>
      <w:fldSimple w:instr=" SEQ TABLO_IV: \* ARABIC ">
        <w:r>
          <w:rPr>
            <w:noProof/>
          </w:rPr>
          <w:t>69</w:t>
        </w:r>
      </w:fldSimple>
      <w:r w:rsidRPr="00064D56">
        <w:rPr>
          <w:rFonts w:cs="Tahoma"/>
        </w:rPr>
        <w:t>-</w:t>
      </w:r>
      <w:r w:rsidRPr="00064D56">
        <w:rPr>
          <w:rFonts w:cs="Tahoma"/>
          <w:bCs/>
        </w:rPr>
        <w:t xml:space="preserve"> Sosyal Harcamaların Gelişimi</w:t>
      </w:r>
      <w:bookmarkEnd w:id="2731"/>
      <w:bookmarkEnd w:id="2732"/>
      <w:bookmarkEnd w:id="2733"/>
      <w:bookmarkEnd w:id="2734"/>
      <w:bookmarkEnd w:id="2735"/>
      <w:bookmarkEnd w:id="2736"/>
      <w:bookmarkEnd w:id="2737"/>
      <w:bookmarkEnd w:id="2738"/>
    </w:p>
    <w:p w:rsidR="00565FD5" w:rsidRPr="00981B4F" w:rsidRDefault="00565FD5" w:rsidP="00565FD5">
      <w:pPr>
        <w:jc w:val="right"/>
        <w:rPr>
          <w:rFonts w:cs="Tahoma"/>
          <w:sz w:val="14"/>
          <w:szCs w:val="14"/>
        </w:rPr>
      </w:pPr>
      <w:r w:rsidRPr="00981B4F">
        <w:rPr>
          <w:rFonts w:cs="Tahoma"/>
          <w:sz w:val="14"/>
          <w:szCs w:val="14"/>
        </w:rPr>
        <w:t>(GSYH’ya Oranlar, Yüzde)</w:t>
      </w:r>
    </w:p>
    <w:tbl>
      <w:tblPr>
        <w:tblW w:w="7144" w:type="dxa"/>
        <w:tblInd w:w="10" w:type="dxa"/>
        <w:tblCellMar>
          <w:left w:w="0" w:type="dxa"/>
          <w:right w:w="113" w:type="dxa"/>
        </w:tblCellMar>
        <w:tblLook w:val="00A0"/>
      </w:tblPr>
      <w:tblGrid>
        <w:gridCol w:w="1763"/>
        <w:gridCol w:w="669"/>
        <w:gridCol w:w="669"/>
        <w:gridCol w:w="669"/>
        <w:gridCol w:w="670"/>
        <w:gridCol w:w="670"/>
        <w:gridCol w:w="672"/>
        <w:gridCol w:w="682"/>
        <w:gridCol w:w="680"/>
      </w:tblGrid>
      <w:tr w:rsidR="00565FD5" w:rsidRPr="00981B4F" w:rsidTr="00AB62A3">
        <w:trPr>
          <w:trHeight w:val="284"/>
        </w:trPr>
        <w:tc>
          <w:tcPr>
            <w:tcW w:w="1234" w:type="pct"/>
            <w:tcBorders>
              <w:top w:val="single" w:sz="8" w:space="0" w:color="auto"/>
              <w:left w:val="single" w:sz="8" w:space="0" w:color="auto"/>
              <w:bottom w:val="nil"/>
              <w:right w:val="nil"/>
            </w:tcBorders>
            <w:vAlign w:val="center"/>
          </w:tcPr>
          <w:p w:rsidR="00565FD5" w:rsidRPr="00981B4F" w:rsidRDefault="00565FD5" w:rsidP="00AB62A3">
            <w:pPr>
              <w:rPr>
                <w:rFonts w:cs="Tahoma"/>
                <w:b/>
                <w:bCs/>
                <w:sz w:val="14"/>
                <w:szCs w:val="14"/>
              </w:rPr>
            </w:pPr>
            <w:r w:rsidRPr="00981B4F">
              <w:rPr>
                <w:rFonts w:cs="Tahoma"/>
                <w:b/>
                <w:bCs/>
                <w:sz w:val="14"/>
                <w:szCs w:val="14"/>
              </w:rPr>
              <w:t> </w:t>
            </w:r>
          </w:p>
        </w:tc>
        <w:tc>
          <w:tcPr>
            <w:tcW w:w="468" w:type="pct"/>
            <w:tcBorders>
              <w:top w:val="single" w:sz="8" w:space="0" w:color="auto"/>
              <w:left w:val="nil"/>
              <w:bottom w:val="single" w:sz="8" w:space="0" w:color="auto"/>
              <w:right w:val="nil"/>
            </w:tcBorders>
            <w:vAlign w:val="center"/>
          </w:tcPr>
          <w:p w:rsidR="00565FD5" w:rsidRPr="00981B4F" w:rsidRDefault="00565FD5" w:rsidP="00AB62A3">
            <w:pPr>
              <w:jc w:val="right"/>
              <w:rPr>
                <w:rFonts w:cs="Tahoma"/>
                <w:b/>
                <w:bCs/>
                <w:sz w:val="14"/>
                <w:szCs w:val="14"/>
              </w:rPr>
            </w:pPr>
            <w:r w:rsidRPr="00981B4F">
              <w:rPr>
                <w:rFonts w:cs="Tahoma"/>
                <w:b/>
                <w:bCs/>
                <w:sz w:val="14"/>
                <w:szCs w:val="14"/>
              </w:rPr>
              <w:t>2006</w:t>
            </w:r>
          </w:p>
        </w:tc>
        <w:tc>
          <w:tcPr>
            <w:tcW w:w="468" w:type="pct"/>
            <w:tcBorders>
              <w:top w:val="single" w:sz="8" w:space="0" w:color="auto"/>
              <w:left w:val="nil"/>
              <w:bottom w:val="single" w:sz="8" w:space="0" w:color="auto"/>
              <w:right w:val="nil"/>
            </w:tcBorders>
            <w:vAlign w:val="center"/>
          </w:tcPr>
          <w:p w:rsidR="00565FD5" w:rsidRPr="00981B4F" w:rsidRDefault="00565FD5" w:rsidP="00AB62A3">
            <w:pPr>
              <w:jc w:val="right"/>
              <w:rPr>
                <w:rFonts w:cs="Tahoma"/>
                <w:b/>
                <w:bCs/>
                <w:sz w:val="14"/>
                <w:szCs w:val="14"/>
              </w:rPr>
            </w:pPr>
            <w:r w:rsidRPr="00981B4F">
              <w:rPr>
                <w:rFonts w:cs="Tahoma"/>
                <w:b/>
                <w:bCs/>
                <w:sz w:val="14"/>
                <w:szCs w:val="14"/>
              </w:rPr>
              <w:t>2007</w:t>
            </w:r>
          </w:p>
        </w:tc>
        <w:tc>
          <w:tcPr>
            <w:tcW w:w="468" w:type="pct"/>
            <w:tcBorders>
              <w:top w:val="single" w:sz="8" w:space="0" w:color="auto"/>
              <w:left w:val="nil"/>
              <w:bottom w:val="single" w:sz="8" w:space="0" w:color="auto"/>
              <w:right w:val="nil"/>
            </w:tcBorders>
            <w:vAlign w:val="center"/>
          </w:tcPr>
          <w:p w:rsidR="00565FD5" w:rsidRPr="00981B4F" w:rsidRDefault="00565FD5" w:rsidP="00AB62A3">
            <w:pPr>
              <w:jc w:val="right"/>
              <w:rPr>
                <w:rFonts w:cs="Tahoma"/>
                <w:b/>
                <w:bCs/>
                <w:sz w:val="14"/>
                <w:szCs w:val="14"/>
              </w:rPr>
            </w:pPr>
            <w:r w:rsidRPr="00981B4F">
              <w:rPr>
                <w:rFonts w:cs="Tahoma"/>
                <w:b/>
                <w:bCs/>
                <w:sz w:val="14"/>
                <w:szCs w:val="14"/>
              </w:rPr>
              <w:t>2008</w:t>
            </w:r>
          </w:p>
        </w:tc>
        <w:tc>
          <w:tcPr>
            <w:tcW w:w="469" w:type="pct"/>
            <w:tcBorders>
              <w:top w:val="single" w:sz="8" w:space="0" w:color="auto"/>
              <w:left w:val="nil"/>
              <w:bottom w:val="single" w:sz="8" w:space="0" w:color="auto"/>
              <w:right w:val="nil"/>
            </w:tcBorders>
            <w:vAlign w:val="center"/>
          </w:tcPr>
          <w:p w:rsidR="00565FD5" w:rsidRPr="00981B4F" w:rsidRDefault="00565FD5" w:rsidP="00AB62A3">
            <w:pPr>
              <w:jc w:val="right"/>
              <w:rPr>
                <w:rFonts w:cs="Tahoma"/>
                <w:b/>
                <w:bCs/>
                <w:sz w:val="14"/>
                <w:szCs w:val="14"/>
              </w:rPr>
            </w:pPr>
            <w:r w:rsidRPr="00981B4F">
              <w:rPr>
                <w:rFonts w:cs="Tahoma"/>
                <w:b/>
                <w:bCs/>
                <w:sz w:val="14"/>
                <w:szCs w:val="14"/>
              </w:rPr>
              <w:t>2009</w:t>
            </w:r>
          </w:p>
        </w:tc>
        <w:tc>
          <w:tcPr>
            <w:tcW w:w="469" w:type="pct"/>
            <w:tcBorders>
              <w:top w:val="single" w:sz="8" w:space="0" w:color="auto"/>
              <w:left w:val="nil"/>
              <w:bottom w:val="single" w:sz="8" w:space="0" w:color="auto"/>
              <w:right w:val="nil"/>
            </w:tcBorders>
            <w:vAlign w:val="center"/>
          </w:tcPr>
          <w:p w:rsidR="00565FD5" w:rsidRPr="00981B4F" w:rsidRDefault="00565FD5" w:rsidP="00AB62A3">
            <w:pPr>
              <w:jc w:val="right"/>
              <w:rPr>
                <w:rFonts w:cs="Tahoma"/>
                <w:b/>
                <w:bCs/>
                <w:sz w:val="14"/>
                <w:szCs w:val="14"/>
              </w:rPr>
            </w:pPr>
            <w:r w:rsidRPr="00981B4F">
              <w:rPr>
                <w:rFonts w:cs="Tahoma"/>
                <w:b/>
                <w:bCs/>
                <w:sz w:val="14"/>
                <w:szCs w:val="14"/>
              </w:rPr>
              <w:t>2010</w:t>
            </w:r>
          </w:p>
        </w:tc>
        <w:tc>
          <w:tcPr>
            <w:tcW w:w="470" w:type="pct"/>
            <w:tcBorders>
              <w:top w:val="single" w:sz="8" w:space="0" w:color="auto"/>
              <w:left w:val="nil"/>
              <w:bottom w:val="single" w:sz="8" w:space="0" w:color="auto"/>
              <w:right w:val="nil"/>
            </w:tcBorders>
            <w:vAlign w:val="center"/>
          </w:tcPr>
          <w:p w:rsidR="00565FD5" w:rsidRPr="00981B4F" w:rsidRDefault="00565FD5" w:rsidP="00AB62A3">
            <w:pPr>
              <w:jc w:val="right"/>
              <w:rPr>
                <w:rFonts w:cs="Tahoma"/>
                <w:b/>
                <w:bCs/>
                <w:sz w:val="14"/>
                <w:szCs w:val="14"/>
              </w:rPr>
            </w:pPr>
            <w:r w:rsidRPr="00981B4F">
              <w:rPr>
                <w:rFonts w:cs="Tahoma"/>
                <w:b/>
                <w:bCs/>
                <w:sz w:val="14"/>
                <w:szCs w:val="14"/>
              </w:rPr>
              <w:t>2011</w:t>
            </w:r>
          </w:p>
        </w:tc>
        <w:tc>
          <w:tcPr>
            <w:tcW w:w="477" w:type="pct"/>
            <w:tcBorders>
              <w:top w:val="single" w:sz="8" w:space="0" w:color="auto"/>
              <w:left w:val="nil"/>
              <w:bottom w:val="single" w:sz="8" w:space="0" w:color="auto"/>
              <w:right w:val="nil"/>
            </w:tcBorders>
            <w:vAlign w:val="center"/>
          </w:tcPr>
          <w:p w:rsidR="00565FD5" w:rsidRPr="00981B4F" w:rsidRDefault="00565FD5" w:rsidP="00AB62A3">
            <w:pPr>
              <w:jc w:val="right"/>
              <w:rPr>
                <w:rFonts w:cs="Tahoma"/>
                <w:b/>
                <w:bCs/>
                <w:sz w:val="14"/>
                <w:szCs w:val="14"/>
              </w:rPr>
            </w:pPr>
            <w:r w:rsidRPr="00981B4F">
              <w:rPr>
                <w:rFonts w:cs="Tahoma"/>
                <w:b/>
                <w:bCs/>
                <w:sz w:val="14"/>
                <w:szCs w:val="14"/>
              </w:rPr>
              <w:t>2012(1)</w:t>
            </w:r>
          </w:p>
        </w:tc>
        <w:tc>
          <w:tcPr>
            <w:tcW w:w="476" w:type="pct"/>
            <w:tcBorders>
              <w:top w:val="single" w:sz="8" w:space="0" w:color="auto"/>
              <w:left w:val="nil"/>
              <w:bottom w:val="single" w:sz="8" w:space="0" w:color="auto"/>
              <w:right w:val="single" w:sz="8" w:space="0" w:color="auto"/>
            </w:tcBorders>
            <w:vAlign w:val="center"/>
          </w:tcPr>
          <w:p w:rsidR="00565FD5" w:rsidRPr="00981B4F" w:rsidRDefault="00565FD5" w:rsidP="00AB62A3">
            <w:pPr>
              <w:jc w:val="right"/>
              <w:rPr>
                <w:rFonts w:cs="Tahoma"/>
                <w:b/>
                <w:bCs/>
                <w:sz w:val="14"/>
                <w:szCs w:val="14"/>
              </w:rPr>
            </w:pPr>
            <w:r w:rsidRPr="00981B4F">
              <w:rPr>
                <w:rFonts w:cs="Tahoma"/>
                <w:b/>
                <w:bCs/>
                <w:sz w:val="14"/>
                <w:szCs w:val="14"/>
              </w:rPr>
              <w:t>2013(2)</w:t>
            </w:r>
          </w:p>
        </w:tc>
      </w:tr>
      <w:tr w:rsidR="00565FD5" w:rsidRPr="00981B4F" w:rsidTr="00AB62A3">
        <w:trPr>
          <w:trHeight w:val="284"/>
        </w:trPr>
        <w:tc>
          <w:tcPr>
            <w:tcW w:w="1234" w:type="pct"/>
            <w:tcBorders>
              <w:top w:val="nil"/>
              <w:left w:val="single" w:sz="8" w:space="0" w:color="auto"/>
              <w:bottom w:val="nil"/>
              <w:right w:val="nil"/>
            </w:tcBorders>
            <w:noWrap/>
            <w:vAlign w:val="center"/>
          </w:tcPr>
          <w:p w:rsidR="00565FD5" w:rsidRPr="00981B4F" w:rsidRDefault="00565FD5" w:rsidP="00AB62A3">
            <w:pPr>
              <w:rPr>
                <w:rFonts w:cs="Tahoma"/>
                <w:b/>
                <w:bCs/>
                <w:sz w:val="14"/>
                <w:szCs w:val="14"/>
              </w:rPr>
            </w:pPr>
            <w:r w:rsidRPr="00981B4F">
              <w:rPr>
                <w:rFonts w:cs="Tahoma"/>
                <w:b/>
                <w:bCs/>
                <w:sz w:val="14"/>
                <w:szCs w:val="14"/>
              </w:rPr>
              <w:t xml:space="preserve"> EĞİTİM (3)</w:t>
            </w:r>
          </w:p>
        </w:tc>
        <w:tc>
          <w:tcPr>
            <w:tcW w:w="468" w:type="pct"/>
            <w:tcBorders>
              <w:top w:val="nil"/>
              <w:left w:val="nil"/>
              <w:bottom w:val="nil"/>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3,1</w:t>
            </w:r>
          </w:p>
        </w:tc>
        <w:tc>
          <w:tcPr>
            <w:tcW w:w="468" w:type="pct"/>
            <w:tcBorders>
              <w:top w:val="nil"/>
              <w:left w:val="nil"/>
              <w:bottom w:val="nil"/>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3,2</w:t>
            </w:r>
          </w:p>
        </w:tc>
        <w:tc>
          <w:tcPr>
            <w:tcW w:w="468" w:type="pct"/>
            <w:tcBorders>
              <w:top w:val="nil"/>
              <w:left w:val="nil"/>
              <w:bottom w:val="nil"/>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3,4</w:t>
            </w:r>
          </w:p>
        </w:tc>
        <w:tc>
          <w:tcPr>
            <w:tcW w:w="469" w:type="pct"/>
            <w:tcBorders>
              <w:top w:val="nil"/>
              <w:left w:val="nil"/>
              <w:bottom w:val="nil"/>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3,9</w:t>
            </w:r>
          </w:p>
        </w:tc>
        <w:tc>
          <w:tcPr>
            <w:tcW w:w="469" w:type="pct"/>
            <w:tcBorders>
              <w:top w:val="nil"/>
              <w:left w:val="nil"/>
              <w:bottom w:val="nil"/>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4,0</w:t>
            </w:r>
          </w:p>
        </w:tc>
        <w:tc>
          <w:tcPr>
            <w:tcW w:w="470" w:type="pct"/>
            <w:tcBorders>
              <w:top w:val="nil"/>
              <w:left w:val="nil"/>
              <w:bottom w:val="nil"/>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4,0</w:t>
            </w:r>
          </w:p>
        </w:tc>
        <w:tc>
          <w:tcPr>
            <w:tcW w:w="477" w:type="pct"/>
            <w:tcBorders>
              <w:top w:val="nil"/>
              <w:left w:val="nil"/>
              <w:bottom w:val="nil"/>
              <w:right w:val="nil"/>
            </w:tcBorders>
            <w:vAlign w:val="center"/>
          </w:tcPr>
          <w:p w:rsidR="00565FD5" w:rsidRPr="00981B4F" w:rsidRDefault="00565FD5" w:rsidP="00AB62A3">
            <w:pPr>
              <w:jc w:val="right"/>
              <w:rPr>
                <w:rFonts w:cs="Tahoma"/>
                <w:b/>
                <w:bCs/>
                <w:sz w:val="14"/>
                <w:szCs w:val="14"/>
              </w:rPr>
            </w:pPr>
            <w:r w:rsidRPr="00981B4F">
              <w:rPr>
                <w:rFonts w:cs="Tahoma"/>
                <w:b/>
                <w:bCs/>
                <w:sz w:val="14"/>
                <w:szCs w:val="14"/>
              </w:rPr>
              <w:t>4,1</w:t>
            </w:r>
          </w:p>
        </w:tc>
        <w:tc>
          <w:tcPr>
            <w:tcW w:w="476" w:type="pct"/>
            <w:tcBorders>
              <w:top w:val="nil"/>
              <w:left w:val="nil"/>
              <w:bottom w:val="nil"/>
              <w:right w:val="single" w:sz="8" w:space="0" w:color="auto"/>
            </w:tcBorders>
            <w:vAlign w:val="center"/>
          </w:tcPr>
          <w:p w:rsidR="00565FD5" w:rsidRPr="00981B4F" w:rsidRDefault="00565FD5" w:rsidP="00AB62A3">
            <w:pPr>
              <w:jc w:val="right"/>
              <w:rPr>
                <w:rFonts w:cs="Tahoma"/>
                <w:b/>
                <w:bCs/>
                <w:sz w:val="14"/>
                <w:szCs w:val="14"/>
              </w:rPr>
            </w:pPr>
            <w:r w:rsidRPr="00981B4F">
              <w:rPr>
                <w:rFonts w:cs="Tahoma"/>
                <w:b/>
                <w:bCs/>
                <w:sz w:val="14"/>
                <w:szCs w:val="14"/>
              </w:rPr>
              <w:t>4,3</w:t>
            </w:r>
          </w:p>
        </w:tc>
      </w:tr>
      <w:tr w:rsidR="00565FD5" w:rsidRPr="00981B4F" w:rsidTr="00AB62A3">
        <w:trPr>
          <w:trHeight w:val="284"/>
        </w:trPr>
        <w:tc>
          <w:tcPr>
            <w:tcW w:w="1234" w:type="pct"/>
            <w:tcBorders>
              <w:top w:val="nil"/>
              <w:left w:val="single" w:sz="8" w:space="0" w:color="auto"/>
              <w:bottom w:val="nil"/>
              <w:right w:val="nil"/>
            </w:tcBorders>
            <w:noWrap/>
            <w:vAlign w:val="center"/>
          </w:tcPr>
          <w:p w:rsidR="00565FD5" w:rsidRPr="00981B4F" w:rsidRDefault="00565FD5" w:rsidP="00AB62A3">
            <w:pPr>
              <w:rPr>
                <w:rFonts w:cs="Tahoma"/>
                <w:b/>
                <w:bCs/>
                <w:sz w:val="14"/>
                <w:szCs w:val="14"/>
              </w:rPr>
            </w:pPr>
            <w:r w:rsidRPr="00981B4F">
              <w:rPr>
                <w:rFonts w:cs="Tahoma"/>
                <w:b/>
                <w:bCs/>
                <w:sz w:val="14"/>
                <w:szCs w:val="14"/>
              </w:rPr>
              <w:t xml:space="preserve"> SAĞLIK (3)</w:t>
            </w:r>
          </w:p>
        </w:tc>
        <w:tc>
          <w:tcPr>
            <w:tcW w:w="468" w:type="pct"/>
            <w:tcBorders>
              <w:top w:val="nil"/>
              <w:left w:val="nil"/>
              <w:bottom w:val="nil"/>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4,1</w:t>
            </w:r>
          </w:p>
        </w:tc>
        <w:tc>
          <w:tcPr>
            <w:tcW w:w="468" w:type="pct"/>
            <w:tcBorders>
              <w:top w:val="nil"/>
              <w:left w:val="nil"/>
              <w:bottom w:val="nil"/>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4,0</w:t>
            </w:r>
          </w:p>
        </w:tc>
        <w:tc>
          <w:tcPr>
            <w:tcW w:w="468" w:type="pct"/>
            <w:tcBorders>
              <w:top w:val="nil"/>
              <w:left w:val="nil"/>
              <w:bottom w:val="nil"/>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4,3</w:t>
            </w:r>
          </w:p>
        </w:tc>
        <w:tc>
          <w:tcPr>
            <w:tcW w:w="469" w:type="pct"/>
            <w:tcBorders>
              <w:top w:val="nil"/>
              <w:left w:val="nil"/>
              <w:bottom w:val="nil"/>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5,0</w:t>
            </w:r>
          </w:p>
        </w:tc>
        <w:tc>
          <w:tcPr>
            <w:tcW w:w="469" w:type="pct"/>
            <w:tcBorders>
              <w:top w:val="nil"/>
              <w:left w:val="nil"/>
              <w:bottom w:val="nil"/>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4,6</w:t>
            </w:r>
          </w:p>
        </w:tc>
        <w:tc>
          <w:tcPr>
            <w:tcW w:w="470" w:type="pct"/>
            <w:tcBorders>
              <w:top w:val="nil"/>
              <w:left w:val="nil"/>
              <w:bottom w:val="nil"/>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4,5</w:t>
            </w:r>
          </w:p>
        </w:tc>
        <w:tc>
          <w:tcPr>
            <w:tcW w:w="477" w:type="pct"/>
            <w:tcBorders>
              <w:top w:val="nil"/>
              <w:left w:val="nil"/>
              <w:bottom w:val="nil"/>
              <w:right w:val="nil"/>
            </w:tcBorders>
            <w:vAlign w:val="center"/>
          </w:tcPr>
          <w:p w:rsidR="00565FD5" w:rsidRPr="00981B4F" w:rsidRDefault="00565FD5" w:rsidP="00AB62A3">
            <w:pPr>
              <w:jc w:val="right"/>
              <w:rPr>
                <w:rFonts w:cs="Tahoma"/>
                <w:b/>
                <w:bCs/>
                <w:sz w:val="14"/>
                <w:szCs w:val="14"/>
              </w:rPr>
            </w:pPr>
            <w:r w:rsidRPr="00981B4F">
              <w:rPr>
                <w:rFonts w:cs="Tahoma"/>
                <w:b/>
                <w:bCs/>
                <w:sz w:val="14"/>
                <w:szCs w:val="14"/>
              </w:rPr>
              <w:t>4,4</w:t>
            </w:r>
          </w:p>
        </w:tc>
        <w:tc>
          <w:tcPr>
            <w:tcW w:w="476" w:type="pct"/>
            <w:tcBorders>
              <w:top w:val="nil"/>
              <w:left w:val="nil"/>
              <w:bottom w:val="nil"/>
              <w:right w:val="single" w:sz="8" w:space="0" w:color="auto"/>
            </w:tcBorders>
            <w:vAlign w:val="center"/>
          </w:tcPr>
          <w:p w:rsidR="00565FD5" w:rsidRPr="00981B4F" w:rsidRDefault="00565FD5" w:rsidP="00AB62A3">
            <w:pPr>
              <w:jc w:val="right"/>
              <w:rPr>
                <w:rFonts w:cs="Tahoma"/>
                <w:b/>
                <w:bCs/>
                <w:sz w:val="14"/>
                <w:szCs w:val="14"/>
              </w:rPr>
            </w:pPr>
            <w:r w:rsidRPr="00981B4F">
              <w:rPr>
                <w:rFonts w:cs="Tahoma"/>
                <w:b/>
                <w:bCs/>
                <w:sz w:val="14"/>
                <w:szCs w:val="14"/>
              </w:rPr>
              <w:t>4,4</w:t>
            </w:r>
          </w:p>
        </w:tc>
      </w:tr>
      <w:tr w:rsidR="00565FD5" w:rsidRPr="00981B4F" w:rsidTr="00AB62A3">
        <w:trPr>
          <w:trHeight w:val="284"/>
        </w:trPr>
        <w:tc>
          <w:tcPr>
            <w:tcW w:w="1234" w:type="pct"/>
            <w:tcBorders>
              <w:top w:val="nil"/>
              <w:left w:val="single" w:sz="8" w:space="0" w:color="auto"/>
              <w:bottom w:val="nil"/>
              <w:right w:val="nil"/>
            </w:tcBorders>
            <w:noWrap/>
            <w:vAlign w:val="center"/>
          </w:tcPr>
          <w:p w:rsidR="00565FD5" w:rsidRPr="00981B4F" w:rsidRDefault="00565FD5" w:rsidP="00AB62A3">
            <w:pPr>
              <w:rPr>
                <w:rFonts w:cs="Tahoma"/>
                <w:b/>
                <w:bCs/>
                <w:sz w:val="14"/>
                <w:szCs w:val="14"/>
              </w:rPr>
            </w:pPr>
            <w:r w:rsidRPr="00981B4F">
              <w:rPr>
                <w:rFonts w:cs="Tahoma"/>
                <w:b/>
                <w:bCs/>
                <w:sz w:val="14"/>
                <w:szCs w:val="14"/>
              </w:rPr>
              <w:t xml:space="preserve"> SOSYAL KORUMA </w:t>
            </w:r>
          </w:p>
        </w:tc>
        <w:tc>
          <w:tcPr>
            <w:tcW w:w="468" w:type="pct"/>
            <w:tcBorders>
              <w:top w:val="nil"/>
              <w:left w:val="nil"/>
              <w:bottom w:val="nil"/>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7,1</w:t>
            </w:r>
          </w:p>
        </w:tc>
        <w:tc>
          <w:tcPr>
            <w:tcW w:w="468" w:type="pct"/>
            <w:tcBorders>
              <w:top w:val="nil"/>
              <w:left w:val="nil"/>
              <w:bottom w:val="nil"/>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7,4</w:t>
            </w:r>
          </w:p>
        </w:tc>
        <w:tc>
          <w:tcPr>
            <w:tcW w:w="468" w:type="pct"/>
            <w:tcBorders>
              <w:top w:val="nil"/>
              <w:left w:val="nil"/>
              <w:bottom w:val="nil"/>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7,2</w:t>
            </w:r>
          </w:p>
        </w:tc>
        <w:tc>
          <w:tcPr>
            <w:tcW w:w="469" w:type="pct"/>
            <w:tcBorders>
              <w:top w:val="nil"/>
              <w:left w:val="nil"/>
              <w:bottom w:val="nil"/>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8,2</w:t>
            </w:r>
          </w:p>
        </w:tc>
        <w:tc>
          <w:tcPr>
            <w:tcW w:w="469" w:type="pct"/>
            <w:tcBorders>
              <w:top w:val="nil"/>
              <w:left w:val="nil"/>
              <w:bottom w:val="nil"/>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8,3</w:t>
            </w:r>
          </w:p>
        </w:tc>
        <w:tc>
          <w:tcPr>
            <w:tcW w:w="470" w:type="pct"/>
            <w:tcBorders>
              <w:top w:val="nil"/>
              <w:left w:val="nil"/>
              <w:bottom w:val="nil"/>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8,2</w:t>
            </w:r>
          </w:p>
        </w:tc>
        <w:tc>
          <w:tcPr>
            <w:tcW w:w="477" w:type="pct"/>
            <w:tcBorders>
              <w:top w:val="nil"/>
              <w:left w:val="nil"/>
              <w:bottom w:val="nil"/>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8,7</w:t>
            </w:r>
          </w:p>
        </w:tc>
        <w:tc>
          <w:tcPr>
            <w:tcW w:w="476" w:type="pct"/>
            <w:tcBorders>
              <w:top w:val="nil"/>
              <w:left w:val="nil"/>
              <w:bottom w:val="nil"/>
              <w:right w:val="single" w:sz="8" w:space="0" w:color="auto"/>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9,2</w:t>
            </w:r>
          </w:p>
        </w:tc>
      </w:tr>
      <w:tr w:rsidR="00565FD5" w:rsidRPr="00981B4F" w:rsidTr="00AB62A3">
        <w:trPr>
          <w:trHeight w:val="284"/>
        </w:trPr>
        <w:tc>
          <w:tcPr>
            <w:tcW w:w="1234" w:type="pct"/>
            <w:tcBorders>
              <w:top w:val="nil"/>
              <w:left w:val="single" w:sz="8" w:space="0" w:color="auto"/>
              <w:bottom w:val="nil"/>
              <w:right w:val="nil"/>
            </w:tcBorders>
            <w:noWrap/>
            <w:vAlign w:val="center"/>
          </w:tcPr>
          <w:p w:rsidR="00565FD5" w:rsidRPr="00981B4F" w:rsidRDefault="00565FD5" w:rsidP="00AB62A3">
            <w:pPr>
              <w:rPr>
                <w:rFonts w:cs="Tahoma"/>
                <w:sz w:val="14"/>
                <w:szCs w:val="14"/>
              </w:rPr>
            </w:pPr>
            <w:r w:rsidRPr="00981B4F">
              <w:rPr>
                <w:rFonts w:cs="Tahoma"/>
                <w:sz w:val="14"/>
                <w:szCs w:val="14"/>
              </w:rPr>
              <w:t xml:space="preserve">   Emekli Aylıkları ve Diğer </w:t>
            </w:r>
          </w:p>
        </w:tc>
        <w:tc>
          <w:tcPr>
            <w:tcW w:w="468" w:type="pct"/>
            <w:vMerge w:val="restart"/>
            <w:tcBorders>
              <w:top w:val="nil"/>
              <w:left w:val="nil"/>
              <w:bottom w:val="nil"/>
              <w:right w:val="nil"/>
            </w:tcBorders>
            <w:noWrap/>
            <w:vAlign w:val="center"/>
          </w:tcPr>
          <w:p w:rsidR="00565FD5" w:rsidRPr="00981B4F" w:rsidRDefault="00565FD5" w:rsidP="00AB62A3">
            <w:pPr>
              <w:jc w:val="right"/>
              <w:rPr>
                <w:rFonts w:cs="Tahoma"/>
                <w:sz w:val="14"/>
                <w:szCs w:val="14"/>
              </w:rPr>
            </w:pPr>
            <w:r w:rsidRPr="00981B4F">
              <w:rPr>
                <w:rFonts w:cs="Tahoma"/>
                <w:sz w:val="14"/>
                <w:szCs w:val="14"/>
              </w:rPr>
              <w:t>6,4</w:t>
            </w:r>
          </w:p>
        </w:tc>
        <w:tc>
          <w:tcPr>
            <w:tcW w:w="468" w:type="pct"/>
            <w:vMerge w:val="restart"/>
            <w:tcBorders>
              <w:top w:val="nil"/>
              <w:left w:val="nil"/>
              <w:bottom w:val="nil"/>
              <w:right w:val="nil"/>
            </w:tcBorders>
            <w:noWrap/>
            <w:vAlign w:val="center"/>
          </w:tcPr>
          <w:p w:rsidR="00565FD5" w:rsidRPr="00981B4F" w:rsidRDefault="00565FD5" w:rsidP="00AB62A3">
            <w:pPr>
              <w:jc w:val="right"/>
              <w:rPr>
                <w:rFonts w:cs="Tahoma"/>
                <w:sz w:val="14"/>
                <w:szCs w:val="14"/>
              </w:rPr>
            </w:pPr>
            <w:r w:rsidRPr="00981B4F">
              <w:rPr>
                <w:rFonts w:cs="Tahoma"/>
                <w:sz w:val="14"/>
                <w:szCs w:val="14"/>
              </w:rPr>
              <w:t>6,7</w:t>
            </w:r>
          </w:p>
        </w:tc>
        <w:tc>
          <w:tcPr>
            <w:tcW w:w="468" w:type="pct"/>
            <w:vMerge w:val="restart"/>
            <w:tcBorders>
              <w:top w:val="nil"/>
              <w:left w:val="nil"/>
              <w:bottom w:val="nil"/>
              <w:right w:val="nil"/>
            </w:tcBorders>
            <w:noWrap/>
            <w:vAlign w:val="center"/>
          </w:tcPr>
          <w:p w:rsidR="00565FD5" w:rsidRPr="00981B4F" w:rsidRDefault="00565FD5" w:rsidP="00AB62A3">
            <w:pPr>
              <w:jc w:val="right"/>
              <w:rPr>
                <w:rFonts w:cs="Tahoma"/>
                <w:sz w:val="14"/>
                <w:szCs w:val="14"/>
              </w:rPr>
            </w:pPr>
            <w:r w:rsidRPr="00981B4F">
              <w:rPr>
                <w:rFonts w:cs="Tahoma"/>
                <w:sz w:val="14"/>
                <w:szCs w:val="14"/>
              </w:rPr>
              <w:t>6,6</w:t>
            </w:r>
          </w:p>
        </w:tc>
        <w:tc>
          <w:tcPr>
            <w:tcW w:w="469" w:type="pct"/>
            <w:vMerge w:val="restart"/>
            <w:tcBorders>
              <w:top w:val="nil"/>
              <w:left w:val="nil"/>
              <w:bottom w:val="nil"/>
              <w:right w:val="nil"/>
            </w:tcBorders>
            <w:noWrap/>
            <w:vAlign w:val="center"/>
          </w:tcPr>
          <w:p w:rsidR="00565FD5" w:rsidRPr="00981B4F" w:rsidRDefault="00565FD5" w:rsidP="00AB62A3">
            <w:pPr>
              <w:jc w:val="right"/>
              <w:rPr>
                <w:rFonts w:cs="Tahoma"/>
                <w:sz w:val="14"/>
                <w:szCs w:val="14"/>
              </w:rPr>
            </w:pPr>
            <w:r w:rsidRPr="00981B4F">
              <w:rPr>
                <w:rFonts w:cs="Tahoma"/>
                <w:sz w:val="14"/>
                <w:szCs w:val="14"/>
              </w:rPr>
              <w:t>7,6</w:t>
            </w:r>
          </w:p>
        </w:tc>
        <w:tc>
          <w:tcPr>
            <w:tcW w:w="469" w:type="pct"/>
            <w:vMerge w:val="restart"/>
            <w:tcBorders>
              <w:top w:val="nil"/>
              <w:left w:val="nil"/>
              <w:bottom w:val="nil"/>
              <w:right w:val="nil"/>
            </w:tcBorders>
            <w:noWrap/>
            <w:vAlign w:val="center"/>
          </w:tcPr>
          <w:p w:rsidR="00565FD5" w:rsidRPr="00981B4F" w:rsidRDefault="00565FD5" w:rsidP="00AB62A3">
            <w:pPr>
              <w:jc w:val="right"/>
              <w:rPr>
                <w:rFonts w:cs="Tahoma"/>
                <w:sz w:val="14"/>
                <w:szCs w:val="14"/>
              </w:rPr>
            </w:pPr>
            <w:r w:rsidRPr="00981B4F">
              <w:rPr>
                <w:rFonts w:cs="Tahoma"/>
                <w:sz w:val="14"/>
                <w:szCs w:val="14"/>
              </w:rPr>
              <w:t>7,6</w:t>
            </w:r>
          </w:p>
        </w:tc>
        <w:tc>
          <w:tcPr>
            <w:tcW w:w="470" w:type="pct"/>
            <w:vMerge w:val="restart"/>
            <w:tcBorders>
              <w:top w:val="nil"/>
              <w:left w:val="nil"/>
              <w:bottom w:val="nil"/>
              <w:right w:val="nil"/>
            </w:tcBorders>
            <w:noWrap/>
            <w:vAlign w:val="center"/>
          </w:tcPr>
          <w:p w:rsidR="00565FD5" w:rsidRPr="00981B4F" w:rsidRDefault="00565FD5" w:rsidP="00AB62A3">
            <w:pPr>
              <w:jc w:val="right"/>
              <w:rPr>
                <w:rFonts w:cs="Tahoma"/>
                <w:sz w:val="14"/>
                <w:szCs w:val="14"/>
              </w:rPr>
            </w:pPr>
            <w:r w:rsidRPr="00981B4F">
              <w:rPr>
                <w:rFonts w:cs="Tahoma"/>
                <w:sz w:val="14"/>
                <w:szCs w:val="14"/>
              </w:rPr>
              <w:t>7,5</w:t>
            </w:r>
          </w:p>
        </w:tc>
        <w:tc>
          <w:tcPr>
            <w:tcW w:w="477" w:type="pct"/>
            <w:vMerge w:val="restart"/>
            <w:tcBorders>
              <w:top w:val="nil"/>
              <w:left w:val="nil"/>
              <w:bottom w:val="nil"/>
              <w:right w:val="nil"/>
            </w:tcBorders>
            <w:noWrap/>
            <w:vAlign w:val="center"/>
          </w:tcPr>
          <w:p w:rsidR="00565FD5" w:rsidRPr="00981B4F" w:rsidRDefault="00565FD5" w:rsidP="00AB62A3">
            <w:pPr>
              <w:jc w:val="right"/>
              <w:rPr>
                <w:rFonts w:cs="Tahoma"/>
                <w:sz w:val="14"/>
                <w:szCs w:val="14"/>
              </w:rPr>
            </w:pPr>
            <w:r w:rsidRPr="00981B4F">
              <w:rPr>
                <w:rFonts w:cs="Tahoma"/>
                <w:sz w:val="14"/>
                <w:szCs w:val="14"/>
              </w:rPr>
              <w:t>7,8</w:t>
            </w:r>
          </w:p>
        </w:tc>
        <w:tc>
          <w:tcPr>
            <w:tcW w:w="476" w:type="pct"/>
            <w:vMerge w:val="restart"/>
            <w:tcBorders>
              <w:top w:val="nil"/>
              <w:left w:val="nil"/>
              <w:bottom w:val="nil"/>
              <w:right w:val="single" w:sz="8" w:space="0" w:color="auto"/>
            </w:tcBorders>
            <w:noWrap/>
            <w:vAlign w:val="center"/>
          </w:tcPr>
          <w:p w:rsidR="00565FD5" w:rsidRPr="00981B4F" w:rsidRDefault="00565FD5" w:rsidP="00AB62A3">
            <w:pPr>
              <w:jc w:val="right"/>
              <w:rPr>
                <w:rFonts w:cs="Tahoma"/>
                <w:sz w:val="14"/>
                <w:szCs w:val="14"/>
              </w:rPr>
            </w:pPr>
            <w:r w:rsidRPr="00981B4F">
              <w:rPr>
                <w:rFonts w:cs="Tahoma"/>
                <w:sz w:val="14"/>
                <w:szCs w:val="14"/>
              </w:rPr>
              <w:t>8,2</w:t>
            </w:r>
          </w:p>
        </w:tc>
      </w:tr>
      <w:tr w:rsidR="00565FD5" w:rsidRPr="00981B4F" w:rsidTr="00AB62A3">
        <w:trPr>
          <w:trHeight w:val="284"/>
        </w:trPr>
        <w:tc>
          <w:tcPr>
            <w:tcW w:w="1234" w:type="pct"/>
            <w:tcBorders>
              <w:top w:val="nil"/>
              <w:left w:val="single" w:sz="8" w:space="0" w:color="auto"/>
              <w:bottom w:val="nil"/>
              <w:right w:val="nil"/>
            </w:tcBorders>
            <w:noWrap/>
            <w:vAlign w:val="center"/>
          </w:tcPr>
          <w:p w:rsidR="00565FD5" w:rsidRPr="00981B4F" w:rsidRDefault="00565FD5" w:rsidP="00AB62A3">
            <w:pPr>
              <w:rPr>
                <w:rFonts w:cs="Tahoma"/>
                <w:sz w:val="14"/>
                <w:szCs w:val="14"/>
              </w:rPr>
            </w:pPr>
            <w:r w:rsidRPr="00981B4F">
              <w:rPr>
                <w:rFonts w:cs="Tahoma"/>
                <w:sz w:val="14"/>
                <w:szCs w:val="14"/>
              </w:rPr>
              <w:t xml:space="preserve">   Harcamalar (4)</w:t>
            </w:r>
          </w:p>
        </w:tc>
        <w:tc>
          <w:tcPr>
            <w:tcW w:w="468" w:type="pct"/>
            <w:vMerge/>
            <w:tcBorders>
              <w:top w:val="nil"/>
              <w:left w:val="nil"/>
              <w:bottom w:val="nil"/>
              <w:right w:val="nil"/>
            </w:tcBorders>
            <w:vAlign w:val="center"/>
          </w:tcPr>
          <w:p w:rsidR="00565FD5" w:rsidRPr="00981B4F" w:rsidRDefault="00565FD5" w:rsidP="00AB62A3">
            <w:pPr>
              <w:rPr>
                <w:rFonts w:cs="Tahoma"/>
                <w:sz w:val="14"/>
                <w:szCs w:val="14"/>
              </w:rPr>
            </w:pPr>
          </w:p>
        </w:tc>
        <w:tc>
          <w:tcPr>
            <w:tcW w:w="468" w:type="pct"/>
            <w:vMerge/>
            <w:tcBorders>
              <w:top w:val="nil"/>
              <w:left w:val="nil"/>
              <w:bottom w:val="nil"/>
              <w:right w:val="nil"/>
            </w:tcBorders>
            <w:vAlign w:val="center"/>
          </w:tcPr>
          <w:p w:rsidR="00565FD5" w:rsidRPr="00981B4F" w:rsidRDefault="00565FD5" w:rsidP="00AB62A3">
            <w:pPr>
              <w:rPr>
                <w:rFonts w:cs="Tahoma"/>
                <w:sz w:val="14"/>
                <w:szCs w:val="14"/>
              </w:rPr>
            </w:pPr>
          </w:p>
        </w:tc>
        <w:tc>
          <w:tcPr>
            <w:tcW w:w="468" w:type="pct"/>
            <w:vMerge/>
            <w:tcBorders>
              <w:top w:val="nil"/>
              <w:left w:val="nil"/>
              <w:bottom w:val="nil"/>
              <w:right w:val="nil"/>
            </w:tcBorders>
            <w:vAlign w:val="center"/>
          </w:tcPr>
          <w:p w:rsidR="00565FD5" w:rsidRPr="00981B4F" w:rsidRDefault="00565FD5" w:rsidP="00AB62A3">
            <w:pPr>
              <w:rPr>
                <w:rFonts w:cs="Tahoma"/>
                <w:sz w:val="14"/>
                <w:szCs w:val="14"/>
              </w:rPr>
            </w:pPr>
          </w:p>
        </w:tc>
        <w:tc>
          <w:tcPr>
            <w:tcW w:w="469" w:type="pct"/>
            <w:vMerge/>
            <w:tcBorders>
              <w:top w:val="nil"/>
              <w:left w:val="nil"/>
              <w:bottom w:val="nil"/>
              <w:right w:val="nil"/>
            </w:tcBorders>
            <w:vAlign w:val="center"/>
          </w:tcPr>
          <w:p w:rsidR="00565FD5" w:rsidRPr="00981B4F" w:rsidRDefault="00565FD5" w:rsidP="00AB62A3">
            <w:pPr>
              <w:rPr>
                <w:rFonts w:cs="Tahoma"/>
                <w:sz w:val="14"/>
                <w:szCs w:val="14"/>
              </w:rPr>
            </w:pPr>
          </w:p>
        </w:tc>
        <w:tc>
          <w:tcPr>
            <w:tcW w:w="469" w:type="pct"/>
            <w:vMerge/>
            <w:tcBorders>
              <w:top w:val="nil"/>
              <w:left w:val="nil"/>
              <w:bottom w:val="nil"/>
              <w:right w:val="nil"/>
            </w:tcBorders>
            <w:vAlign w:val="center"/>
          </w:tcPr>
          <w:p w:rsidR="00565FD5" w:rsidRPr="00981B4F" w:rsidRDefault="00565FD5" w:rsidP="00AB62A3">
            <w:pPr>
              <w:rPr>
                <w:rFonts w:cs="Tahoma"/>
                <w:sz w:val="14"/>
                <w:szCs w:val="14"/>
              </w:rPr>
            </w:pPr>
          </w:p>
        </w:tc>
        <w:tc>
          <w:tcPr>
            <w:tcW w:w="470" w:type="pct"/>
            <w:vMerge/>
            <w:tcBorders>
              <w:top w:val="nil"/>
              <w:left w:val="nil"/>
              <w:bottom w:val="nil"/>
              <w:right w:val="nil"/>
            </w:tcBorders>
            <w:vAlign w:val="center"/>
          </w:tcPr>
          <w:p w:rsidR="00565FD5" w:rsidRPr="00981B4F" w:rsidRDefault="00565FD5" w:rsidP="00AB62A3">
            <w:pPr>
              <w:rPr>
                <w:rFonts w:cs="Tahoma"/>
                <w:sz w:val="14"/>
                <w:szCs w:val="14"/>
              </w:rPr>
            </w:pPr>
          </w:p>
        </w:tc>
        <w:tc>
          <w:tcPr>
            <w:tcW w:w="477" w:type="pct"/>
            <w:vMerge/>
            <w:tcBorders>
              <w:top w:val="nil"/>
              <w:left w:val="nil"/>
              <w:bottom w:val="nil"/>
              <w:right w:val="nil"/>
            </w:tcBorders>
            <w:vAlign w:val="center"/>
          </w:tcPr>
          <w:p w:rsidR="00565FD5" w:rsidRPr="00981B4F" w:rsidRDefault="00565FD5" w:rsidP="00AB62A3">
            <w:pPr>
              <w:rPr>
                <w:rFonts w:cs="Tahoma"/>
                <w:sz w:val="14"/>
                <w:szCs w:val="14"/>
              </w:rPr>
            </w:pPr>
          </w:p>
        </w:tc>
        <w:tc>
          <w:tcPr>
            <w:tcW w:w="476" w:type="pct"/>
            <w:vMerge/>
            <w:tcBorders>
              <w:top w:val="nil"/>
              <w:left w:val="nil"/>
              <w:bottom w:val="nil"/>
              <w:right w:val="single" w:sz="8" w:space="0" w:color="auto"/>
            </w:tcBorders>
            <w:vAlign w:val="center"/>
          </w:tcPr>
          <w:p w:rsidR="00565FD5" w:rsidRPr="00981B4F" w:rsidRDefault="00565FD5" w:rsidP="00AB62A3">
            <w:pPr>
              <w:rPr>
                <w:rFonts w:cs="Tahoma"/>
                <w:sz w:val="14"/>
                <w:szCs w:val="14"/>
              </w:rPr>
            </w:pPr>
          </w:p>
        </w:tc>
      </w:tr>
      <w:tr w:rsidR="00565FD5" w:rsidRPr="00981B4F" w:rsidTr="00AB62A3">
        <w:trPr>
          <w:trHeight w:val="284"/>
        </w:trPr>
        <w:tc>
          <w:tcPr>
            <w:tcW w:w="1234" w:type="pct"/>
            <w:tcBorders>
              <w:top w:val="nil"/>
              <w:left w:val="single" w:sz="8" w:space="0" w:color="auto"/>
              <w:bottom w:val="nil"/>
              <w:right w:val="nil"/>
            </w:tcBorders>
            <w:noWrap/>
            <w:vAlign w:val="center"/>
          </w:tcPr>
          <w:p w:rsidR="00565FD5" w:rsidRPr="00981B4F" w:rsidRDefault="00565FD5" w:rsidP="00AB62A3">
            <w:pPr>
              <w:rPr>
                <w:rFonts w:cs="Tahoma"/>
                <w:sz w:val="14"/>
                <w:szCs w:val="14"/>
              </w:rPr>
            </w:pPr>
            <w:r w:rsidRPr="00981B4F">
              <w:rPr>
                <w:rFonts w:cs="Tahoma"/>
                <w:sz w:val="14"/>
                <w:szCs w:val="14"/>
              </w:rPr>
              <w:t xml:space="preserve">   Sosyal Yardım ve Primsiz </w:t>
            </w:r>
          </w:p>
        </w:tc>
        <w:tc>
          <w:tcPr>
            <w:tcW w:w="468" w:type="pct"/>
            <w:vMerge w:val="restart"/>
            <w:tcBorders>
              <w:top w:val="nil"/>
              <w:left w:val="nil"/>
              <w:bottom w:val="nil"/>
              <w:right w:val="nil"/>
            </w:tcBorders>
            <w:noWrap/>
            <w:vAlign w:val="center"/>
          </w:tcPr>
          <w:p w:rsidR="00565FD5" w:rsidRPr="00981B4F" w:rsidRDefault="00565FD5" w:rsidP="00AB62A3">
            <w:pPr>
              <w:jc w:val="right"/>
              <w:rPr>
                <w:rFonts w:cs="Tahoma"/>
                <w:sz w:val="14"/>
                <w:szCs w:val="14"/>
              </w:rPr>
            </w:pPr>
            <w:r w:rsidRPr="00981B4F">
              <w:rPr>
                <w:rFonts w:cs="Tahoma"/>
                <w:sz w:val="14"/>
                <w:szCs w:val="14"/>
              </w:rPr>
              <w:t>0,4</w:t>
            </w:r>
          </w:p>
        </w:tc>
        <w:tc>
          <w:tcPr>
            <w:tcW w:w="468" w:type="pct"/>
            <w:vMerge w:val="restart"/>
            <w:tcBorders>
              <w:top w:val="nil"/>
              <w:left w:val="nil"/>
              <w:bottom w:val="nil"/>
              <w:right w:val="nil"/>
            </w:tcBorders>
            <w:noWrap/>
            <w:vAlign w:val="center"/>
          </w:tcPr>
          <w:p w:rsidR="00565FD5" w:rsidRPr="00981B4F" w:rsidRDefault="00565FD5" w:rsidP="00AB62A3">
            <w:pPr>
              <w:jc w:val="right"/>
              <w:rPr>
                <w:rFonts w:cs="Tahoma"/>
                <w:sz w:val="14"/>
                <w:szCs w:val="14"/>
              </w:rPr>
            </w:pPr>
            <w:r w:rsidRPr="00981B4F">
              <w:rPr>
                <w:rFonts w:cs="Tahoma"/>
                <w:sz w:val="14"/>
                <w:szCs w:val="14"/>
              </w:rPr>
              <w:t>0,4</w:t>
            </w:r>
          </w:p>
        </w:tc>
        <w:tc>
          <w:tcPr>
            <w:tcW w:w="468" w:type="pct"/>
            <w:vMerge w:val="restart"/>
            <w:tcBorders>
              <w:top w:val="nil"/>
              <w:left w:val="nil"/>
              <w:bottom w:val="nil"/>
              <w:right w:val="nil"/>
            </w:tcBorders>
            <w:noWrap/>
            <w:vAlign w:val="center"/>
          </w:tcPr>
          <w:p w:rsidR="00565FD5" w:rsidRPr="00981B4F" w:rsidRDefault="00565FD5" w:rsidP="00AB62A3">
            <w:pPr>
              <w:jc w:val="right"/>
              <w:rPr>
                <w:rFonts w:cs="Tahoma"/>
                <w:sz w:val="14"/>
                <w:szCs w:val="14"/>
              </w:rPr>
            </w:pPr>
            <w:r w:rsidRPr="00981B4F">
              <w:rPr>
                <w:rFonts w:cs="Tahoma"/>
                <w:sz w:val="14"/>
                <w:szCs w:val="14"/>
              </w:rPr>
              <w:t>0,4</w:t>
            </w:r>
          </w:p>
        </w:tc>
        <w:tc>
          <w:tcPr>
            <w:tcW w:w="469" w:type="pct"/>
            <w:vMerge w:val="restart"/>
            <w:tcBorders>
              <w:top w:val="nil"/>
              <w:left w:val="nil"/>
              <w:bottom w:val="nil"/>
              <w:right w:val="nil"/>
            </w:tcBorders>
            <w:noWrap/>
            <w:vAlign w:val="center"/>
          </w:tcPr>
          <w:p w:rsidR="00565FD5" w:rsidRPr="00981B4F" w:rsidRDefault="00565FD5" w:rsidP="00AB62A3">
            <w:pPr>
              <w:jc w:val="right"/>
              <w:rPr>
                <w:rFonts w:cs="Tahoma"/>
                <w:sz w:val="14"/>
                <w:szCs w:val="14"/>
              </w:rPr>
            </w:pPr>
            <w:r w:rsidRPr="00981B4F">
              <w:rPr>
                <w:rFonts w:cs="Tahoma"/>
                <w:sz w:val="14"/>
                <w:szCs w:val="14"/>
              </w:rPr>
              <w:t>0,6</w:t>
            </w:r>
          </w:p>
        </w:tc>
        <w:tc>
          <w:tcPr>
            <w:tcW w:w="469" w:type="pct"/>
            <w:vMerge w:val="restart"/>
            <w:tcBorders>
              <w:top w:val="nil"/>
              <w:left w:val="nil"/>
              <w:bottom w:val="nil"/>
              <w:right w:val="nil"/>
            </w:tcBorders>
            <w:noWrap/>
            <w:vAlign w:val="center"/>
          </w:tcPr>
          <w:p w:rsidR="00565FD5" w:rsidRPr="00981B4F" w:rsidRDefault="00565FD5" w:rsidP="00AB62A3">
            <w:pPr>
              <w:jc w:val="right"/>
              <w:rPr>
                <w:rFonts w:cs="Tahoma"/>
                <w:sz w:val="14"/>
                <w:szCs w:val="14"/>
              </w:rPr>
            </w:pPr>
            <w:r w:rsidRPr="00981B4F">
              <w:rPr>
                <w:rFonts w:cs="Tahoma"/>
                <w:sz w:val="14"/>
                <w:szCs w:val="14"/>
              </w:rPr>
              <w:t>0,5</w:t>
            </w:r>
          </w:p>
        </w:tc>
        <w:tc>
          <w:tcPr>
            <w:tcW w:w="470" w:type="pct"/>
            <w:vMerge w:val="restart"/>
            <w:tcBorders>
              <w:top w:val="nil"/>
              <w:left w:val="nil"/>
              <w:bottom w:val="nil"/>
              <w:right w:val="nil"/>
            </w:tcBorders>
            <w:noWrap/>
            <w:vAlign w:val="center"/>
          </w:tcPr>
          <w:p w:rsidR="00565FD5" w:rsidRPr="00981B4F" w:rsidRDefault="00565FD5" w:rsidP="00AB62A3">
            <w:pPr>
              <w:jc w:val="right"/>
              <w:rPr>
                <w:rFonts w:cs="Tahoma"/>
                <w:sz w:val="14"/>
                <w:szCs w:val="14"/>
              </w:rPr>
            </w:pPr>
            <w:r w:rsidRPr="00981B4F">
              <w:rPr>
                <w:rFonts w:cs="Tahoma"/>
                <w:sz w:val="14"/>
                <w:szCs w:val="14"/>
              </w:rPr>
              <w:t>0,6</w:t>
            </w:r>
          </w:p>
        </w:tc>
        <w:tc>
          <w:tcPr>
            <w:tcW w:w="477" w:type="pct"/>
            <w:vMerge w:val="restart"/>
            <w:tcBorders>
              <w:top w:val="nil"/>
              <w:left w:val="nil"/>
              <w:bottom w:val="nil"/>
              <w:right w:val="nil"/>
            </w:tcBorders>
            <w:noWrap/>
            <w:vAlign w:val="center"/>
          </w:tcPr>
          <w:p w:rsidR="00565FD5" w:rsidRPr="00981B4F" w:rsidRDefault="00565FD5" w:rsidP="00AB62A3">
            <w:pPr>
              <w:jc w:val="right"/>
              <w:rPr>
                <w:rFonts w:cs="Tahoma"/>
                <w:sz w:val="14"/>
                <w:szCs w:val="14"/>
              </w:rPr>
            </w:pPr>
            <w:r w:rsidRPr="00981B4F">
              <w:rPr>
                <w:rFonts w:cs="Tahoma"/>
                <w:sz w:val="14"/>
                <w:szCs w:val="14"/>
              </w:rPr>
              <w:t>0,7</w:t>
            </w:r>
          </w:p>
        </w:tc>
        <w:tc>
          <w:tcPr>
            <w:tcW w:w="476" w:type="pct"/>
            <w:vMerge w:val="restart"/>
            <w:tcBorders>
              <w:top w:val="nil"/>
              <w:left w:val="nil"/>
              <w:bottom w:val="nil"/>
              <w:right w:val="single" w:sz="8" w:space="0" w:color="auto"/>
            </w:tcBorders>
            <w:noWrap/>
            <w:vAlign w:val="center"/>
          </w:tcPr>
          <w:p w:rsidR="00565FD5" w:rsidRPr="00981B4F" w:rsidRDefault="00565FD5" w:rsidP="00AB62A3">
            <w:pPr>
              <w:jc w:val="right"/>
              <w:rPr>
                <w:rFonts w:cs="Tahoma"/>
                <w:sz w:val="14"/>
                <w:szCs w:val="14"/>
              </w:rPr>
            </w:pPr>
            <w:r w:rsidRPr="00981B4F">
              <w:rPr>
                <w:rFonts w:cs="Tahoma"/>
                <w:sz w:val="14"/>
                <w:szCs w:val="14"/>
              </w:rPr>
              <w:t>0,9</w:t>
            </w:r>
          </w:p>
        </w:tc>
      </w:tr>
      <w:tr w:rsidR="00565FD5" w:rsidRPr="00981B4F" w:rsidTr="00AB62A3">
        <w:trPr>
          <w:trHeight w:val="284"/>
        </w:trPr>
        <w:tc>
          <w:tcPr>
            <w:tcW w:w="1234" w:type="pct"/>
            <w:tcBorders>
              <w:top w:val="nil"/>
              <w:left w:val="single" w:sz="8" w:space="0" w:color="auto"/>
              <w:bottom w:val="nil"/>
              <w:right w:val="nil"/>
            </w:tcBorders>
            <w:noWrap/>
            <w:vAlign w:val="center"/>
          </w:tcPr>
          <w:p w:rsidR="00565FD5" w:rsidRPr="00981B4F" w:rsidRDefault="00565FD5" w:rsidP="00AB62A3">
            <w:pPr>
              <w:rPr>
                <w:rFonts w:cs="Tahoma"/>
                <w:sz w:val="14"/>
                <w:szCs w:val="14"/>
              </w:rPr>
            </w:pPr>
            <w:r w:rsidRPr="00981B4F">
              <w:rPr>
                <w:rFonts w:cs="Tahoma"/>
                <w:sz w:val="14"/>
                <w:szCs w:val="14"/>
              </w:rPr>
              <w:t xml:space="preserve">   Ödemeler (5)</w:t>
            </w:r>
          </w:p>
        </w:tc>
        <w:tc>
          <w:tcPr>
            <w:tcW w:w="468" w:type="pct"/>
            <w:vMerge/>
            <w:tcBorders>
              <w:top w:val="nil"/>
              <w:left w:val="nil"/>
              <w:bottom w:val="nil"/>
              <w:right w:val="nil"/>
            </w:tcBorders>
            <w:vAlign w:val="center"/>
          </w:tcPr>
          <w:p w:rsidR="00565FD5" w:rsidRPr="00981B4F" w:rsidRDefault="00565FD5" w:rsidP="00AB62A3">
            <w:pPr>
              <w:rPr>
                <w:rFonts w:cs="Tahoma"/>
                <w:sz w:val="14"/>
                <w:szCs w:val="14"/>
              </w:rPr>
            </w:pPr>
          </w:p>
        </w:tc>
        <w:tc>
          <w:tcPr>
            <w:tcW w:w="468" w:type="pct"/>
            <w:vMerge/>
            <w:tcBorders>
              <w:top w:val="nil"/>
              <w:left w:val="nil"/>
              <w:bottom w:val="nil"/>
              <w:right w:val="nil"/>
            </w:tcBorders>
            <w:vAlign w:val="center"/>
          </w:tcPr>
          <w:p w:rsidR="00565FD5" w:rsidRPr="00981B4F" w:rsidRDefault="00565FD5" w:rsidP="00AB62A3">
            <w:pPr>
              <w:rPr>
                <w:rFonts w:cs="Tahoma"/>
                <w:sz w:val="14"/>
                <w:szCs w:val="14"/>
              </w:rPr>
            </w:pPr>
          </w:p>
        </w:tc>
        <w:tc>
          <w:tcPr>
            <w:tcW w:w="468" w:type="pct"/>
            <w:vMerge/>
            <w:tcBorders>
              <w:top w:val="nil"/>
              <w:left w:val="nil"/>
              <w:bottom w:val="nil"/>
              <w:right w:val="nil"/>
            </w:tcBorders>
            <w:vAlign w:val="center"/>
          </w:tcPr>
          <w:p w:rsidR="00565FD5" w:rsidRPr="00981B4F" w:rsidRDefault="00565FD5" w:rsidP="00AB62A3">
            <w:pPr>
              <w:rPr>
                <w:rFonts w:cs="Tahoma"/>
                <w:sz w:val="14"/>
                <w:szCs w:val="14"/>
              </w:rPr>
            </w:pPr>
          </w:p>
        </w:tc>
        <w:tc>
          <w:tcPr>
            <w:tcW w:w="469" w:type="pct"/>
            <w:vMerge/>
            <w:tcBorders>
              <w:top w:val="nil"/>
              <w:left w:val="nil"/>
              <w:bottom w:val="nil"/>
              <w:right w:val="nil"/>
            </w:tcBorders>
            <w:vAlign w:val="center"/>
          </w:tcPr>
          <w:p w:rsidR="00565FD5" w:rsidRPr="00981B4F" w:rsidRDefault="00565FD5" w:rsidP="00AB62A3">
            <w:pPr>
              <w:rPr>
                <w:rFonts w:cs="Tahoma"/>
                <w:sz w:val="14"/>
                <w:szCs w:val="14"/>
              </w:rPr>
            </w:pPr>
          </w:p>
        </w:tc>
        <w:tc>
          <w:tcPr>
            <w:tcW w:w="469" w:type="pct"/>
            <w:vMerge/>
            <w:tcBorders>
              <w:top w:val="nil"/>
              <w:left w:val="nil"/>
              <w:bottom w:val="nil"/>
              <w:right w:val="nil"/>
            </w:tcBorders>
            <w:vAlign w:val="center"/>
          </w:tcPr>
          <w:p w:rsidR="00565FD5" w:rsidRPr="00981B4F" w:rsidRDefault="00565FD5" w:rsidP="00AB62A3">
            <w:pPr>
              <w:rPr>
                <w:rFonts w:cs="Tahoma"/>
                <w:sz w:val="14"/>
                <w:szCs w:val="14"/>
              </w:rPr>
            </w:pPr>
          </w:p>
        </w:tc>
        <w:tc>
          <w:tcPr>
            <w:tcW w:w="470" w:type="pct"/>
            <w:vMerge/>
            <w:tcBorders>
              <w:top w:val="nil"/>
              <w:left w:val="nil"/>
              <w:bottom w:val="nil"/>
              <w:right w:val="nil"/>
            </w:tcBorders>
            <w:vAlign w:val="center"/>
          </w:tcPr>
          <w:p w:rsidR="00565FD5" w:rsidRPr="00981B4F" w:rsidRDefault="00565FD5" w:rsidP="00AB62A3">
            <w:pPr>
              <w:rPr>
                <w:rFonts w:cs="Tahoma"/>
                <w:sz w:val="14"/>
                <w:szCs w:val="14"/>
              </w:rPr>
            </w:pPr>
          </w:p>
        </w:tc>
        <w:tc>
          <w:tcPr>
            <w:tcW w:w="477" w:type="pct"/>
            <w:vMerge/>
            <w:tcBorders>
              <w:top w:val="nil"/>
              <w:left w:val="nil"/>
              <w:bottom w:val="nil"/>
              <w:right w:val="nil"/>
            </w:tcBorders>
            <w:vAlign w:val="center"/>
          </w:tcPr>
          <w:p w:rsidR="00565FD5" w:rsidRPr="00981B4F" w:rsidRDefault="00565FD5" w:rsidP="00AB62A3">
            <w:pPr>
              <w:rPr>
                <w:rFonts w:cs="Tahoma"/>
                <w:sz w:val="14"/>
                <w:szCs w:val="14"/>
              </w:rPr>
            </w:pPr>
          </w:p>
        </w:tc>
        <w:tc>
          <w:tcPr>
            <w:tcW w:w="476" w:type="pct"/>
            <w:vMerge/>
            <w:tcBorders>
              <w:top w:val="nil"/>
              <w:left w:val="nil"/>
              <w:bottom w:val="nil"/>
              <w:right w:val="single" w:sz="8" w:space="0" w:color="auto"/>
            </w:tcBorders>
            <w:vAlign w:val="center"/>
          </w:tcPr>
          <w:p w:rsidR="00565FD5" w:rsidRPr="00981B4F" w:rsidRDefault="00565FD5" w:rsidP="00AB62A3">
            <w:pPr>
              <w:rPr>
                <w:rFonts w:cs="Tahoma"/>
                <w:sz w:val="14"/>
                <w:szCs w:val="14"/>
              </w:rPr>
            </w:pPr>
          </w:p>
        </w:tc>
      </w:tr>
      <w:tr w:rsidR="00565FD5" w:rsidRPr="00981B4F" w:rsidTr="00AB62A3">
        <w:trPr>
          <w:trHeight w:val="284"/>
        </w:trPr>
        <w:tc>
          <w:tcPr>
            <w:tcW w:w="1234" w:type="pct"/>
            <w:tcBorders>
              <w:top w:val="nil"/>
              <w:left w:val="single" w:sz="8" w:space="0" w:color="auto"/>
              <w:bottom w:val="nil"/>
              <w:right w:val="nil"/>
            </w:tcBorders>
            <w:noWrap/>
            <w:vAlign w:val="center"/>
          </w:tcPr>
          <w:p w:rsidR="00565FD5" w:rsidRPr="00981B4F" w:rsidRDefault="00565FD5" w:rsidP="00AB62A3">
            <w:pPr>
              <w:rPr>
                <w:rFonts w:cs="Tahoma"/>
                <w:sz w:val="14"/>
                <w:szCs w:val="14"/>
              </w:rPr>
            </w:pPr>
            <w:r w:rsidRPr="00981B4F">
              <w:rPr>
                <w:rFonts w:cs="Tahoma"/>
                <w:sz w:val="14"/>
                <w:szCs w:val="14"/>
              </w:rPr>
              <w:t xml:space="preserve">   Doğrudan Gelir Desteği </w:t>
            </w:r>
          </w:p>
        </w:tc>
        <w:tc>
          <w:tcPr>
            <w:tcW w:w="468" w:type="pct"/>
            <w:vMerge w:val="restart"/>
            <w:tcBorders>
              <w:top w:val="nil"/>
              <w:left w:val="nil"/>
              <w:bottom w:val="nil"/>
              <w:right w:val="nil"/>
            </w:tcBorders>
            <w:noWrap/>
            <w:vAlign w:val="center"/>
          </w:tcPr>
          <w:p w:rsidR="00565FD5" w:rsidRPr="00981B4F" w:rsidRDefault="00565FD5" w:rsidP="00AB62A3">
            <w:pPr>
              <w:jc w:val="right"/>
              <w:rPr>
                <w:rFonts w:cs="Tahoma"/>
                <w:sz w:val="14"/>
                <w:szCs w:val="14"/>
              </w:rPr>
            </w:pPr>
            <w:r w:rsidRPr="00981B4F">
              <w:rPr>
                <w:rFonts w:cs="Tahoma"/>
                <w:sz w:val="14"/>
                <w:szCs w:val="14"/>
              </w:rPr>
              <w:t>0,4</w:t>
            </w:r>
          </w:p>
        </w:tc>
        <w:tc>
          <w:tcPr>
            <w:tcW w:w="468" w:type="pct"/>
            <w:vMerge w:val="restart"/>
            <w:tcBorders>
              <w:top w:val="nil"/>
              <w:left w:val="nil"/>
              <w:bottom w:val="nil"/>
              <w:right w:val="nil"/>
            </w:tcBorders>
            <w:noWrap/>
            <w:vAlign w:val="center"/>
          </w:tcPr>
          <w:p w:rsidR="00565FD5" w:rsidRPr="00981B4F" w:rsidRDefault="00565FD5" w:rsidP="00AB62A3">
            <w:pPr>
              <w:jc w:val="right"/>
              <w:rPr>
                <w:rFonts w:cs="Tahoma"/>
                <w:sz w:val="14"/>
                <w:szCs w:val="14"/>
              </w:rPr>
            </w:pPr>
            <w:r w:rsidRPr="00981B4F">
              <w:rPr>
                <w:rFonts w:cs="Tahoma"/>
                <w:sz w:val="14"/>
                <w:szCs w:val="14"/>
              </w:rPr>
              <w:t>0,3</w:t>
            </w:r>
          </w:p>
        </w:tc>
        <w:tc>
          <w:tcPr>
            <w:tcW w:w="468" w:type="pct"/>
            <w:vMerge w:val="restart"/>
            <w:tcBorders>
              <w:top w:val="nil"/>
              <w:left w:val="nil"/>
              <w:bottom w:val="nil"/>
              <w:right w:val="nil"/>
            </w:tcBorders>
            <w:noWrap/>
            <w:vAlign w:val="center"/>
          </w:tcPr>
          <w:p w:rsidR="00565FD5" w:rsidRPr="00981B4F" w:rsidRDefault="00565FD5" w:rsidP="00AB62A3">
            <w:pPr>
              <w:jc w:val="right"/>
              <w:rPr>
                <w:rFonts w:cs="Tahoma"/>
                <w:sz w:val="14"/>
                <w:szCs w:val="14"/>
              </w:rPr>
            </w:pPr>
            <w:r w:rsidRPr="00981B4F">
              <w:rPr>
                <w:rFonts w:cs="Tahoma"/>
                <w:sz w:val="14"/>
                <w:szCs w:val="14"/>
              </w:rPr>
              <w:t>0,2</w:t>
            </w:r>
          </w:p>
        </w:tc>
        <w:tc>
          <w:tcPr>
            <w:tcW w:w="469" w:type="pct"/>
            <w:vMerge w:val="restart"/>
            <w:tcBorders>
              <w:top w:val="nil"/>
              <w:left w:val="nil"/>
              <w:bottom w:val="nil"/>
              <w:right w:val="nil"/>
            </w:tcBorders>
            <w:noWrap/>
            <w:vAlign w:val="center"/>
          </w:tcPr>
          <w:p w:rsidR="00565FD5" w:rsidRPr="00981B4F" w:rsidRDefault="00565FD5" w:rsidP="00AB62A3">
            <w:pPr>
              <w:jc w:val="right"/>
              <w:rPr>
                <w:rFonts w:cs="Tahoma"/>
                <w:sz w:val="14"/>
                <w:szCs w:val="14"/>
              </w:rPr>
            </w:pPr>
            <w:r w:rsidRPr="00981B4F">
              <w:rPr>
                <w:rFonts w:cs="Tahoma"/>
                <w:sz w:val="14"/>
                <w:szCs w:val="14"/>
              </w:rPr>
              <w:t>0,1</w:t>
            </w:r>
          </w:p>
        </w:tc>
        <w:tc>
          <w:tcPr>
            <w:tcW w:w="469" w:type="pct"/>
            <w:vMerge w:val="restart"/>
            <w:tcBorders>
              <w:top w:val="nil"/>
              <w:left w:val="nil"/>
              <w:bottom w:val="nil"/>
              <w:right w:val="nil"/>
            </w:tcBorders>
            <w:noWrap/>
            <w:vAlign w:val="center"/>
          </w:tcPr>
          <w:p w:rsidR="00565FD5" w:rsidRPr="00981B4F" w:rsidRDefault="00565FD5" w:rsidP="00AB62A3">
            <w:pPr>
              <w:jc w:val="right"/>
              <w:rPr>
                <w:rFonts w:cs="Tahoma"/>
                <w:sz w:val="14"/>
                <w:szCs w:val="14"/>
              </w:rPr>
            </w:pPr>
            <w:r w:rsidRPr="00981B4F">
              <w:rPr>
                <w:rFonts w:cs="Tahoma"/>
                <w:sz w:val="14"/>
                <w:szCs w:val="14"/>
              </w:rPr>
              <w:t>0,2</w:t>
            </w:r>
          </w:p>
        </w:tc>
        <w:tc>
          <w:tcPr>
            <w:tcW w:w="470" w:type="pct"/>
            <w:vMerge w:val="restart"/>
            <w:tcBorders>
              <w:top w:val="nil"/>
              <w:left w:val="nil"/>
              <w:bottom w:val="nil"/>
              <w:right w:val="nil"/>
            </w:tcBorders>
            <w:noWrap/>
            <w:vAlign w:val="center"/>
          </w:tcPr>
          <w:p w:rsidR="00565FD5" w:rsidRPr="00981B4F" w:rsidRDefault="00565FD5" w:rsidP="00AB62A3">
            <w:pPr>
              <w:jc w:val="right"/>
              <w:rPr>
                <w:rFonts w:cs="Tahoma"/>
                <w:sz w:val="14"/>
                <w:szCs w:val="14"/>
              </w:rPr>
            </w:pPr>
            <w:r w:rsidRPr="00981B4F">
              <w:rPr>
                <w:rFonts w:cs="Tahoma"/>
                <w:sz w:val="14"/>
                <w:szCs w:val="14"/>
              </w:rPr>
              <w:t>0,2</w:t>
            </w:r>
          </w:p>
        </w:tc>
        <w:tc>
          <w:tcPr>
            <w:tcW w:w="477" w:type="pct"/>
            <w:vMerge w:val="restart"/>
            <w:tcBorders>
              <w:top w:val="nil"/>
              <w:left w:val="nil"/>
              <w:bottom w:val="nil"/>
              <w:right w:val="nil"/>
            </w:tcBorders>
            <w:noWrap/>
            <w:vAlign w:val="center"/>
          </w:tcPr>
          <w:p w:rsidR="00565FD5" w:rsidRPr="00981B4F" w:rsidRDefault="00565FD5" w:rsidP="00AB62A3">
            <w:pPr>
              <w:jc w:val="right"/>
              <w:rPr>
                <w:rFonts w:cs="Tahoma"/>
                <w:sz w:val="14"/>
                <w:szCs w:val="14"/>
              </w:rPr>
            </w:pPr>
            <w:r w:rsidRPr="00981B4F">
              <w:rPr>
                <w:rFonts w:cs="Tahoma"/>
                <w:sz w:val="14"/>
                <w:szCs w:val="14"/>
              </w:rPr>
              <w:t>0,2</w:t>
            </w:r>
          </w:p>
        </w:tc>
        <w:tc>
          <w:tcPr>
            <w:tcW w:w="476" w:type="pct"/>
            <w:vMerge w:val="restart"/>
            <w:tcBorders>
              <w:top w:val="nil"/>
              <w:left w:val="nil"/>
              <w:bottom w:val="nil"/>
              <w:right w:val="single" w:sz="8" w:space="0" w:color="auto"/>
            </w:tcBorders>
            <w:noWrap/>
            <w:vAlign w:val="center"/>
          </w:tcPr>
          <w:p w:rsidR="00565FD5" w:rsidRPr="00981B4F" w:rsidRDefault="00565FD5" w:rsidP="00AB62A3">
            <w:pPr>
              <w:jc w:val="right"/>
              <w:rPr>
                <w:rFonts w:cs="Tahoma"/>
                <w:sz w:val="14"/>
                <w:szCs w:val="14"/>
              </w:rPr>
            </w:pPr>
            <w:r w:rsidRPr="00981B4F">
              <w:rPr>
                <w:rFonts w:cs="Tahoma"/>
                <w:sz w:val="14"/>
                <w:szCs w:val="14"/>
              </w:rPr>
              <w:t>0,1</w:t>
            </w:r>
          </w:p>
        </w:tc>
      </w:tr>
      <w:tr w:rsidR="00565FD5" w:rsidRPr="00981B4F" w:rsidTr="00AB62A3">
        <w:trPr>
          <w:trHeight w:val="284"/>
        </w:trPr>
        <w:tc>
          <w:tcPr>
            <w:tcW w:w="1234" w:type="pct"/>
            <w:tcBorders>
              <w:top w:val="nil"/>
              <w:left w:val="single" w:sz="8" w:space="0" w:color="auto"/>
              <w:bottom w:val="nil"/>
              <w:right w:val="nil"/>
            </w:tcBorders>
            <w:noWrap/>
            <w:vAlign w:val="center"/>
          </w:tcPr>
          <w:p w:rsidR="00565FD5" w:rsidRPr="00981B4F" w:rsidRDefault="00565FD5" w:rsidP="00AB62A3">
            <w:pPr>
              <w:rPr>
                <w:rFonts w:cs="Tahoma"/>
                <w:sz w:val="14"/>
                <w:szCs w:val="14"/>
              </w:rPr>
            </w:pPr>
            <w:r w:rsidRPr="00981B4F">
              <w:rPr>
                <w:rFonts w:cs="Tahoma"/>
                <w:sz w:val="14"/>
                <w:szCs w:val="14"/>
              </w:rPr>
              <w:t xml:space="preserve">   Ödemeleri   </w:t>
            </w:r>
          </w:p>
        </w:tc>
        <w:tc>
          <w:tcPr>
            <w:tcW w:w="468" w:type="pct"/>
            <w:vMerge/>
            <w:tcBorders>
              <w:top w:val="nil"/>
              <w:left w:val="nil"/>
              <w:bottom w:val="nil"/>
              <w:right w:val="nil"/>
            </w:tcBorders>
            <w:vAlign w:val="center"/>
          </w:tcPr>
          <w:p w:rsidR="00565FD5" w:rsidRPr="00981B4F" w:rsidRDefault="00565FD5" w:rsidP="00AB62A3">
            <w:pPr>
              <w:rPr>
                <w:rFonts w:cs="Tahoma"/>
                <w:sz w:val="14"/>
                <w:szCs w:val="14"/>
              </w:rPr>
            </w:pPr>
          </w:p>
        </w:tc>
        <w:tc>
          <w:tcPr>
            <w:tcW w:w="468" w:type="pct"/>
            <w:vMerge/>
            <w:tcBorders>
              <w:top w:val="nil"/>
              <w:left w:val="nil"/>
              <w:bottom w:val="nil"/>
              <w:right w:val="nil"/>
            </w:tcBorders>
            <w:vAlign w:val="center"/>
          </w:tcPr>
          <w:p w:rsidR="00565FD5" w:rsidRPr="00981B4F" w:rsidRDefault="00565FD5" w:rsidP="00AB62A3">
            <w:pPr>
              <w:rPr>
                <w:rFonts w:cs="Tahoma"/>
                <w:sz w:val="14"/>
                <w:szCs w:val="14"/>
              </w:rPr>
            </w:pPr>
          </w:p>
        </w:tc>
        <w:tc>
          <w:tcPr>
            <w:tcW w:w="468" w:type="pct"/>
            <w:vMerge/>
            <w:tcBorders>
              <w:top w:val="nil"/>
              <w:left w:val="nil"/>
              <w:bottom w:val="nil"/>
              <w:right w:val="nil"/>
            </w:tcBorders>
            <w:vAlign w:val="center"/>
          </w:tcPr>
          <w:p w:rsidR="00565FD5" w:rsidRPr="00981B4F" w:rsidRDefault="00565FD5" w:rsidP="00AB62A3">
            <w:pPr>
              <w:rPr>
                <w:rFonts w:cs="Tahoma"/>
                <w:sz w:val="14"/>
                <w:szCs w:val="14"/>
              </w:rPr>
            </w:pPr>
          </w:p>
        </w:tc>
        <w:tc>
          <w:tcPr>
            <w:tcW w:w="469" w:type="pct"/>
            <w:vMerge/>
            <w:tcBorders>
              <w:top w:val="nil"/>
              <w:left w:val="nil"/>
              <w:bottom w:val="nil"/>
              <w:right w:val="nil"/>
            </w:tcBorders>
            <w:vAlign w:val="center"/>
          </w:tcPr>
          <w:p w:rsidR="00565FD5" w:rsidRPr="00981B4F" w:rsidRDefault="00565FD5" w:rsidP="00AB62A3">
            <w:pPr>
              <w:rPr>
                <w:rFonts w:cs="Tahoma"/>
                <w:sz w:val="14"/>
                <w:szCs w:val="14"/>
              </w:rPr>
            </w:pPr>
          </w:p>
        </w:tc>
        <w:tc>
          <w:tcPr>
            <w:tcW w:w="469" w:type="pct"/>
            <w:vMerge/>
            <w:tcBorders>
              <w:top w:val="nil"/>
              <w:left w:val="nil"/>
              <w:bottom w:val="nil"/>
              <w:right w:val="nil"/>
            </w:tcBorders>
            <w:vAlign w:val="center"/>
          </w:tcPr>
          <w:p w:rsidR="00565FD5" w:rsidRPr="00981B4F" w:rsidRDefault="00565FD5" w:rsidP="00AB62A3">
            <w:pPr>
              <w:rPr>
                <w:rFonts w:cs="Tahoma"/>
                <w:sz w:val="14"/>
                <w:szCs w:val="14"/>
              </w:rPr>
            </w:pPr>
          </w:p>
        </w:tc>
        <w:tc>
          <w:tcPr>
            <w:tcW w:w="470" w:type="pct"/>
            <w:vMerge/>
            <w:tcBorders>
              <w:top w:val="nil"/>
              <w:left w:val="nil"/>
              <w:bottom w:val="nil"/>
              <w:right w:val="nil"/>
            </w:tcBorders>
            <w:vAlign w:val="center"/>
          </w:tcPr>
          <w:p w:rsidR="00565FD5" w:rsidRPr="00981B4F" w:rsidRDefault="00565FD5" w:rsidP="00AB62A3">
            <w:pPr>
              <w:rPr>
                <w:rFonts w:cs="Tahoma"/>
                <w:sz w:val="14"/>
                <w:szCs w:val="14"/>
              </w:rPr>
            </w:pPr>
          </w:p>
        </w:tc>
        <w:tc>
          <w:tcPr>
            <w:tcW w:w="477" w:type="pct"/>
            <w:vMerge/>
            <w:tcBorders>
              <w:top w:val="nil"/>
              <w:left w:val="nil"/>
              <w:bottom w:val="nil"/>
              <w:right w:val="nil"/>
            </w:tcBorders>
            <w:vAlign w:val="center"/>
          </w:tcPr>
          <w:p w:rsidR="00565FD5" w:rsidRPr="00981B4F" w:rsidRDefault="00565FD5" w:rsidP="00AB62A3">
            <w:pPr>
              <w:rPr>
                <w:rFonts w:cs="Tahoma"/>
                <w:sz w:val="14"/>
                <w:szCs w:val="14"/>
              </w:rPr>
            </w:pPr>
          </w:p>
        </w:tc>
        <w:tc>
          <w:tcPr>
            <w:tcW w:w="476" w:type="pct"/>
            <w:vMerge/>
            <w:tcBorders>
              <w:top w:val="nil"/>
              <w:left w:val="nil"/>
              <w:bottom w:val="nil"/>
              <w:right w:val="single" w:sz="8" w:space="0" w:color="auto"/>
            </w:tcBorders>
            <w:vAlign w:val="center"/>
          </w:tcPr>
          <w:p w:rsidR="00565FD5" w:rsidRPr="00981B4F" w:rsidRDefault="00565FD5" w:rsidP="00AB62A3">
            <w:pPr>
              <w:rPr>
                <w:rFonts w:cs="Tahoma"/>
                <w:sz w:val="14"/>
                <w:szCs w:val="14"/>
              </w:rPr>
            </w:pPr>
          </w:p>
        </w:tc>
      </w:tr>
      <w:tr w:rsidR="00565FD5" w:rsidRPr="00981B4F" w:rsidTr="00AB62A3">
        <w:trPr>
          <w:trHeight w:val="284"/>
        </w:trPr>
        <w:tc>
          <w:tcPr>
            <w:tcW w:w="1234" w:type="pct"/>
            <w:tcBorders>
              <w:top w:val="nil"/>
              <w:left w:val="single" w:sz="8" w:space="0" w:color="auto"/>
              <w:bottom w:val="single" w:sz="8" w:space="0" w:color="auto"/>
              <w:right w:val="nil"/>
            </w:tcBorders>
            <w:noWrap/>
            <w:vAlign w:val="center"/>
          </w:tcPr>
          <w:p w:rsidR="00565FD5" w:rsidRPr="00981B4F" w:rsidRDefault="00565FD5" w:rsidP="00AB62A3">
            <w:pPr>
              <w:rPr>
                <w:rFonts w:cs="Tahoma"/>
                <w:b/>
                <w:bCs/>
                <w:sz w:val="14"/>
                <w:szCs w:val="14"/>
              </w:rPr>
            </w:pPr>
            <w:r w:rsidRPr="00981B4F">
              <w:rPr>
                <w:rFonts w:cs="Tahoma"/>
                <w:b/>
                <w:bCs/>
                <w:sz w:val="14"/>
                <w:szCs w:val="14"/>
              </w:rPr>
              <w:t xml:space="preserve"> TOPLAM</w:t>
            </w:r>
          </w:p>
        </w:tc>
        <w:tc>
          <w:tcPr>
            <w:tcW w:w="468" w:type="pct"/>
            <w:tcBorders>
              <w:top w:val="nil"/>
              <w:left w:val="nil"/>
              <w:bottom w:val="single" w:sz="8" w:space="0" w:color="auto"/>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14,3</w:t>
            </w:r>
          </w:p>
        </w:tc>
        <w:tc>
          <w:tcPr>
            <w:tcW w:w="468" w:type="pct"/>
            <w:tcBorders>
              <w:top w:val="nil"/>
              <w:left w:val="nil"/>
              <w:bottom w:val="single" w:sz="8" w:space="0" w:color="auto"/>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14,6</w:t>
            </w:r>
          </w:p>
        </w:tc>
        <w:tc>
          <w:tcPr>
            <w:tcW w:w="468" w:type="pct"/>
            <w:tcBorders>
              <w:top w:val="nil"/>
              <w:left w:val="nil"/>
              <w:bottom w:val="single" w:sz="8" w:space="0" w:color="auto"/>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14,8</w:t>
            </w:r>
          </w:p>
        </w:tc>
        <w:tc>
          <w:tcPr>
            <w:tcW w:w="469" w:type="pct"/>
            <w:tcBorders>
              <w:top w:val="nil"/>
              <w:left w:val="nil"/>
              <w:bottom w:val="single" w:sz="8" w:space="0" w:color="auto"/>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17,2</w:t>
            </w:r>
          </w:p>
        </w:tc>
        <w:tc>
          <w:tcPr>
            <w:tcW w:w="469" w:type="pct"/>
            <w:tcBorders>
              <w:top w:val="nil"/>
              <w:left w:val="nil"/>
              <w:bottom w:val="single" w:sz="8" w:space="0" w:color="auto"/>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16,9</w:t>
            </w:r>
          </w:p>
        </w:tc>
        <w:tc>
          <w:tcPr>
            <w:tcW w:w="470" w:type="pct"/>
            <w:tcBorders>
              <w:top w:val="nil"/>
              <w:left w:val="nil"/>
              <w:bottom w:val="single" w:sz="8" w:space="0" w:color="auto"/>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16,7</w:t>
            </w:r>
          </w:p>
        </w:tc>
        <w:tc>
          <w:tcPr>
            <w:tcW w:w="477" w:type="pct"/>
            <w:tcBorders>
              <w:top w:val="nil"/>
              <w:left w:val="nil"/>
              <w:bottom w:val="single" w:sz="8" w:space="0" w:color="auto"/>
              <w:right w:val="nil"/>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17,2</w:t>
            </w:r>
          </w:p>
        </w:tc>
        <w:tc>
          <w:tcPr>
            <w:tcW w:w="476" w:type="pct"/>
            <w:tcBorders>
              <w:top w:val="nil"/>
              <w:left w:val="nil"/>
              <w:bottom w:val="single" w:sz="8" w:space="0" w:color="auto"/>
              <w:right w:val="single" w:sz="8" w:space="0" w:color="auto"/>
            </w:tcBorders>
            <w:noWrap/>
            <w:vAlign w:val="center"/>
          </w:tcPr>
          <w:p w:rsidR="00565FD5" w:rsidRPr="00981B4F" w:rsidRDefault="00565FD5" w:rsidP="00AB62A3">
            <w:pPr>
              <w:jc w:val="right"/>
              <w:rPr>
                <w:rFonts w:cs="Tahoma"/>
                <w:b/>
                <w:bCs/>
                <w:sz w:val="14"/>
                <w:szCs w:val="14"/>
              </w:rPr>
            </w:pPr>
            <w:r w:rsidRPr="00981B4F">
              <w:rPr>
                <w:rFonts w:cs="Tahoma"/>
                <w:b/>
                <w:bCs/>
                <w:sz w:val="14"/>
                <w:szCs w:val="14"/>
              </w:rPr>
              <w:t>17,8</w:t>
            </w:r>
          </w:p>
        </w:tc>
      </w:tr>
    </w:tbl>
    <w:p w:rsidR="00565FD5" w:rsidRPr="00981B4F" w:rsidRDefault="00565FD5" w:rsidP="00565FD5">
      <w:pPr>
        <w:ind w:left="284" w:hanging="284"/>
        <w:rPr>
          <w:rFonts w:cs="Tahoma"/>
          <w:sz w:val="14"/>
          <w:szCs w:val="14"/>
        </w:rPr>
      </w:pPr>
      <w:bookmarkStart w:id="2739" w:name="_Toc150099259"/>
      <w:bookmarkStart w:id="2740" w:name="_Toc276076357"/>
      <w:r w:rsidRPr="00981B4F">
        <w:rPr>
          <w:rFonts w:cs="Tahoma"/>
          <w:sz w:val="14"/>
          <w:szCs w:val="14"/>
        </w:rPr>
        <w:t>(1) Gerçekleşme tahmini</w:t>
      </w:r>
    </w:p>
    <w:p w:rsidR="00565FD5" w:rsidRPr="00981B4F" w:rsidRDefault="00565FD5" w:rsidP="00565FD5">
      <w:pPr>
        <w:ind w:left="284" w:hanging="284"/>
        <w:rPr>
          <w:rFonts w:cs="Tahoma"/>
          <w:sz w:val="14"/>
          <w:szCs w:val="14"/>
        </w:rPr>
      </w:pPr>
      <w:r w:rsidRPr="00981B4F">
        <w:rPr>
          <w:rFonts w:cs="Tahoma"/>
          <w:sz w:val="14"/>
          <w:szCs w:val="14"/>
        </w:rPr>
        <w:t>(2) Program</w:t>
      </w:r>
    </w:p>
    <w:p w:rsidR="00565FD5" w:rsidRPr="00981B4F" w:rsidRDefault="00565FD5" w:rsidP="00565FD5">
      <w:pPr>
        <w:ind w:left="284" w:hanging="284"/>
        <w:rPr>
          <w:rFonts w:cs="Tahoma"/>
          <w:sz w:val="14"/>
          <w:szCs w:val="14"/>
        </w:rPr>
      </w:pPr>
      <w:r w:rsidRPr="00981B4F">
        <w:rPr>
          <w:rFonts w:cs="Tahoma"/>
          <w:sz w:val="14"/>
          <w:szCs w:val="14"/>
        </w:rPr>
        <w:t>(3) Merkezi yönetim kapsamındaki kuruluşlar, bütçe dışı fonlar, KİT’ler, sosyal güvenlik kuruluşları, döner sermayeli kuruluşlar ve mahalli idarelerin harcamalarını içermektedir. Ayrıca, sosyal yardım mahiyetinde olan yeşil kart harcamaları sağlık harcamaları kapsamında değerlendirilmiştir. 2007 yılından itibaren, Sağlık Harcamaları İzleme ve Değerlendirme Komisyonu tarafından oluşturulan yeni kamu sağlık harcaması tanımı kullanılmıştır.</w:t>
      </w:r>
    </w:p>
    <w:p w:rsidR="00565FD5" w:rsidRPr="00981B4F" w:rsidRDefault="00565FD5" w:rsidP="00565FD5">
      <w:pPr>
        <w:ind w:left="284" w:hanging="284"/>
        <w:rPr>
          <w:rFonts w:cs="Tahoma"/>
          <w:sz w:val="14"/>
          <w:szCs w:val="14"/>
        </w:rPr>
      </w:pPr>
      <w:r w:rsidRPr="00981B4F">
        <w:rPr>
          <w:rFonts w:cs="Tahoma"/>
          <w:sz w:val="14"/>
          <w:szCs w:val="14"/>
        </w:rPr>
        <w:t>(4) Sosyal güvenlik kuruluşlarınca ödenen emekli aylıklarının (ek ödeme hariç) yanı sıra, bu kuruluşların diğer giderlerini ve İşsizlik Sigortası Fonunun GAP kapsamındaki yatırımlar öncelikli olmak üzere ekonomik kalkınma ve sosyal gelişmeye yönelik altyapı yatırımlarının finansmanında kullanılmak üzere merkezi yönetim bütçesine aktardığı tutarlar dışındaki giderlerini içermektedir.</w:t>
      </w:r>
      <w:r>
        <w:rPr>
          <w:rFonts w:cs="Tahoma"/>
          <w:sz w:val="14"/>
          <w:szCs w:val="14"/>
        </w:rPr>
        <w:t xml:space="preserve"> İşsizlik Sigortası Fonu'na yapılan devlet katkısını içermemektedir. </w:t>
      </w:r>
    </w:p>
    <w:p w:rsidR="00565FD5" w:rsidRPr="00981B4F" w:rsidRDefault="00565FD5" w:rsidP="00565FD5">
      <w:pPr>
        <w:spacing w:after="240"/>
        <w:ind w:left="284" w:hanging="284"/>
        <w:rPr>
          <w:rFonts w:cs="Tahoma"/>
          <w:sz w:val="14"/>
          <w:szCs w:val="14"/>
        </w:rPr>
      </w:pPr>
      <w:r w:rsidRPr="00981B4F">
        <w:rPr>
          <w:rFonts w:cs="Tahoma"/>
          <w:sz w:val="14"/>
          <w:szCs w:val="14"/>
        </w:rPr>
        <w:t>(5) Merkezi yönetim kapsamındaki kuruluşların harcamaları, Sosyal Yardımlaşma ve Dayanışmayı Teşvik Fonunun sağlık ve eğitim dışı harcamaları ile merkezi yönetim bütçesinin faturalı ödemeler kaleminde yer alan primsiz ödemeler kapsamındaki harcamaları içermektedir.</w:t>
      </w:r>
      <w:r>
        <w:rPr>
          <w:rFonts w:cs="Tahoma"/>
          <w:sz w:val="14"/>
          <w:szCs w:val="14"/>
        </w:rPr>
        <w:t xml:space="preserve"> Prim ödeme gücü olmayanların GSS primleri dahil edilmemiştir. </w:t>
      </w:r>
    </w:p>
    <w:p w:rsidR="00565FD5" w:rsidRPr="00981B4F" w:rsidRDefault="00565FD5" w:rsidP="00565FD5">
      <w:pPr>
        <w:spacing w:after="160"/>
        <w:ind w:firstLine="425"/>
        <w:rPr>
          <w:rFonts w:cs="Tahoma"/>
          <w:szCs w:val="18"/>
        </w:rPr>
      </w:pPr>
      <w:r w:rsidRPr="00981B4F">
        <w:rPr>
          <w:rFonts w:cs="Tahoma"/>
          <w:szCs w:val="18"/>
        </w:rPr>
        <w:t xml:space="preserve">Geçmiş yıllarda daha fazla kişinin kapsam altına alınması ile erişimin kolaylaşmasına bağlı olarak sağlık hizmetlerinden yararlanma talebinin giderek </w:t>
      </w:r>
      <w:r w:rsidRPr="00981B4F">
        <w:rPr>
          <w:rFonts w:cs="Tahoma"/>
          <w:szCs w:val="18"/>
        </w:rPr>
        <w:lastRenderedPageBreak/>
        <w:t xml:space="preserve">artması ve sağlık teminat paketinin genişlemesi gibi nedenlerle artan sağlık harcamalarının milli gelir içindeki oranının, son yıllarda hayata geçirilen global bütçe uygulaması neticesinde 2012 yılında yüzde 4,4 seviyesine gerilemesi beklenmektedir. Sağlık hizmetlerinin etkinliğinin artırılması amacından ödün verilmeksizin sağlık harcamalarındaki gereksiz kullanımı önlemek üzere alınan tedbirlerle beraber 2013 yılında da sağlık harcamalarının GSYH içindeki oranını koruması beklenmektedir. </w:t>
      </w:r>
    </w:p>
    <w:p w:rsidR="00565FD5" w:rsidRPr="00064D56" w:rsidRDefault="00565FD5" w:rsidP="00565FD5">
      <w:pPr>
        <w:pStyle w:val="Balk4"/>
      </w:pPr>
      <w:bookmarkStart w:id="2741" w:name="_Toc307602081"/>
      <w:bookmarkStart w:id="2742" w:name="_Toc307670518"/>
      <w:bookmarkStart w:id="2743" w:name="_Toc307701744"/>
      <w:bookmarkStart w:id="2744" w:name="_Toc338505646"/>
      <w:bookmarkStart w:id="2745" w:name="_Toc338523878"/>
      <w:bookmarkStart w:id="2746" w:name="_Toc338524109"/>
      <w:bookmarkStart w:id="2747" w:name="_Toc338526335"/>
      <w:bookmarkStart w:id="2748" w:name="_Toc338673778"/>
      <w:bookmarkStart w:id="2749" w:name="_Toc338711657"/>
      <w:r w:rsidRPr="00064D56">
        <w:t>2. Temel Amaç ve Hedefler</w:t>
      </w:r>
      <w:bookmarkEnd w:id="2739"/>
      <w:bookmarkEnd w:id="2740"/>
      <w:bookmarkEnd w:id="2741"/>
      <w:bookmarkEnd w:id="2742"/>
      <w:bookmarkEnd w:id="2743"/>
      <w:bookmarkEnd w:id="2744"/>
      <w:bookmarkEnd w:id="2745"/>
      <w:bookmarkEnd w:id="2746"/>
      <w:bookmarkEnd w:id="2747"/>
      <w:bookmarkEnd w:id="2748"/>
      <w:bookmarkEnd w:id="2749"/>
    </w:p>
    <w:p w:rsidR="00565FD5" w:rsidRPr="00981B4F" w:rsidRDefault="00565FD5" w:rsidP="00565FD5">
      <w:pPr>
        <w:spacing w:after="180"/>
        <w:ind w:firstLine="425"/>
        <w:rPr>
          <w:rFonts w:cs="Tahoma"/>
          <w:szCs w:val="18"/>
        </w:rPr>
      </w:pPr>
      <w:r w:rsidRPr="00981B4F">
        <w:rPr>
          <w:rFonts w:cs="Tahoma"/>
          <w:szCs w:val="18"/>
        </w:rPr>
        <w:t xml:space="preserve">Önümüzdeki dönemde eğitim, sağlık ve sosyal koruma sisteminde maliyet etkin bir yönetim izlenerek erişim, etkinlik ve kalitenin artırılması amaçlanmaktadır. </w:t>
      </w:r>
    </w:p>
    <w:p w:rsidR="00565FD5" w:rsidRDefault="00565FD5" w:rsidP="00565FD5">
      <w:pPr>
        <w:spacing w:after="180"/>
        <w:ind w:firstLine="425"/>
        <w:rPr>
          <w:rFonts w:cs="Tahoma"/>
          <w:szCs w:val="18"/>
        </w:rPr>
      </w:pPr>
      <w:bookmarkStart w:id="2750" w:name="_Toc338494264"/>
      <w:bookmarkStart w:id="2751" w:name="_Toc338505647"/>
      <w:r w:rsidRPr="00981B4F">
        <w:rPr>
          <w:rFonts w:cs="Tahoma"/>
          <w:szCs w:val="18"/>
        </w:rPr>
        <w:t>Sosyal koruma harcamalarındaki artışa bağlı olarak, 2013 yılında toplam sosyal harcamaların GSYH’nın yüzde 17,8’i düzeyine yükseltilmesi hedeflenmektedir.</w:t>
      </w:r>
      <w:bookmarkEnd w:id="2750"/>
      <w:bookmarkEnd w:id="2751"/>
    </w:p>
    <w:p w:rsidR="00565FD5" w:rsidRPr="00064D56" w:rsidRDefault="00565FD5" w:rsidP="00565FD5">
      <w:pPr>
        <w:pStyle w:val="Balk4"/>
      </w:pPr>
      <w:bookmarkStart w:id="2752" w:name="_Toc338523879"/>
      <w:bookmarkStart w:id="2753" w:name="_Toc338524110"/>
      <w:bookmarkStart w:id="2754" w:name="_Toc338526336"/>
      <w:bookmarkStart w:id="2755" w:name="_Toc338673779"/>
      <w:bookmarkStart w:id="2756" w:name="_Toc338711658"/>
      <w:r w:rsidRPr="00064D56">
        <w:t>3. Politika Öncelikleri ve Tedbirler</w:t>
      </w:r>
      <w:bookmarkEnd w:id="2752"/>
      <w:bookmarkEnd w:id="2753"/>
      <w:bookmarkEnd w:id="2754"/>
      <w:bookmarkEnd w:id="2755"/>
      <w:bookmarkEnd w:id="2756"/>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76"/>
        <w:gridCol w:w="1910"/>
        <w:gridCol w:w="879"/>
        <w:gridCol w:w="2579"/>
      </w:tblGrid>
      <w:tr w:rsidR="00565FD5" w:rsidRPr="007F7B45" w:rsidTr="00AB62A3">
        <w:trPr>
          <w:trHeight w:val="567"/>
          <w:tblHeader/>
          <w:jc w:val="center"/>
        </w:trPr>
        <w:tc>
          <w:tcPr>
            <w:tcW w:w="1243" w:type="pct"/>
            <w:vAlign w:val="bottom"/>
          </w:tcPr>
          <w:p w:rsidR="00565FD5" w:rsidRPr="007F7B45" w:rsidRDefault="00565FD5" w:rsidP="00AB62A3">
            <w:pPr>
              <w:rPr>
                <w:rFonts w:cs="Tahoma"/>
                <w:b/>
                <w:sz w:val="16"/>
                <w:szCs w:val="16"/>
              </w:rPr>
            </w:pPr>
            <w:r w:rsidRPr="007F7B45">
              <w:rPr>
                <w:rFonts w:cs="Tahoma"/>
                <w:b/>
                <w:sz w:val="16"/>
                <w:szCs w:val="16"/>
              </w:rPr>
              <w:t>Öncelik / Tedbir</w:t>
            </w:r>
          </w:p>
        </w:tc>
        <w:tc>
          <w:tcPr>
            <w:tcW w:w="1337" w:type="pct"/>
            <w:vAlign w:val="bottom"/>
          </w:tcPr>
          <w:p w:rsidR="00565FD5" w:rsidRPr="007F7B45" w:rsidRDefault="00565FD5" w:rsidP="00AB62A3">
            <w:pPr>
              <w:rPr>
                <w:rFonts w:cs="Tahoma"/>
                <w:b/>
                <w:sz w:val="16"/>
                <w:szCs w:val="16"/>
              </w:rPr>
            </w:pPr>
            <w:r w:rsidRPr="007F7B45">
              <w:rPr>
                <w:rFonts w:cs="Tahoma"/>
                <w:b/>
                <w:sz w:val="16"/>
                <w:szCs w:val="16"/>
              </w:rPr>
              <w:t>Sorumlu / İşbirliği Yapılacak Kuruluşlar</w:t>
            </w:r>
          </w:p>
        </w:tc>
        <w:tc>
          <w:tcPr>
            <w:tcW w:w="615" w:type="pct"/>
            <w:vAlign w:val="bottom"/>
          </w:tcPr>
          <w:p w:rsidR="00565FD5" w:rsidRPr="007F7B45" w:rsidRDefault="00565FD5" w:rsidP="00AB62A3">
            <w:pPr>
              <w:rPr>
                <w:rFonts w:cs="Tahoma"/>
                <w:b/>
                <w:sz w:val="16"/>
                <w:szCs w:val="16"/>
              </w:rPr>
            </w:pPr>
            <w:r w:rsidRPr="007F7B45">
              <w:rPr>
                <w:rFonts w:cs="Tahoma"/>
                <w:b/>
                <w:sz w:val="16"/>
                <w:szCs w:val="16"/>
              </w:rPr>
              <w:t>Süre</w:t>
            </w:r>
          </w:p>
        </w:tc>
        <w:tc>
          <w:tcPr>
            <w:tcW w:w="1805" w:type="pct"/>
            <w:vAlign w:val="bottom"/>
          </w:tcPr>
          <w:p w:rsidR="00565FD5" w:rsidRPr="007F7B45" w:rsidRDefault="00565FD5" w:rsidP="00AB62A3">
            <w:pPr>
              <w:rPr>
                <w:rFonts w:cs="Tahoma"/>
                <w:b/>
                <w:sz w:val="16"/>
                <w:szCs w:val="16"/>
              </w:rPr>
            </w:pPr>
            <w:r w:rsidRPr="007F7B45">
              <w:rPr>
                <w:rFonts w:cs="Tahoma"/>
                <w:b/>
                <w:sz w:val="16"/>
                <w:szCs w:val="16"/>
              </w:rPr>
              <w:t>Yapılacak İşlem ve Açıklama</w:t>
            </w:r>
          </w:p>
        </w:tc>
      </w:tr>
      <w:tr w:rsidR="00565FD5" w:rsidRPr="00FE569C" w:rsidTr="00AB62A3">
        <w:trPr>
          <w:trHeight w:val="567"/>
          <w:jc w:val="center"/>
        </w:trPr>
        <w:tc>
          <w:tcPr>
            <w:tcW w:w="5000" w:type="pct"/>
            <w:gridSpan w:val="4"/>
            <w:vAlign w:val="center"/>
          </w:tcPr>
          <w:p w:rsidR="00565FD5" w:rsidRPr="008B2175" w:rsidRDefault="00565FD5" w:rsidP="00EB1E69">
            <w:pPr>
              <w:numPr>
                <w:ilvl w:val="0"/>
                <w:numId w:val="15"/>
              </w:numPr>
              <w:tabs>
                <w:tab w:val="left" w:pos="425"/>
              </w:tabs>
              <w:spacing w:after="0" w:line="240" w:lineRule="auto"/>
              <w:jc w:val="both"/>
              <w:rPr>
                <w:rFonts w:cs="Tahoma"/>
                <w:b/>
                <w:sz w:val="16"/>
                <w:szCs w:val="16"/>
              </w:rPr>
            </w:pPr>
            <w:r w:rsidRPr="008B2175">
              <w:rPr>
                <w:rFonts w:cs="Tahoma"/>
                <w:b/>
                <w:sz w:val="16"/>
                <w:szCs w:val="16"/>
              </w:rPr>
              <w:t>Sosyal amaçlı programlara yönelik transferlerin amaçlanan faydayı sağlayıp sağlamadıklarını değerlendirmek üzere çalışma yapılacaktır.</w:t>
            </w:r>
          </w:p>
        </w:tc>
      </w:tr>
      <w:tr w:rsidR="00565FD5" w:rsidRPr="00FE569C" w:rsidTr="00AB62A3">
        <w:trPr>
          <w:jc w:val="center"/>
        </w:trPr>
        <w:tc>
          <w:tcPr>
            <w:tcW w:w="1243" w:type="pct"/>
          </w:tcPr>
          <w:p w:rsidR="00565FD5" w:rsidRPr="008B2175" w:rsidRDefault="00565FD5" w:rsidP="00EB1E69">
            <w:pPr>
              <w:numPr>
                <w:ilvl w:val="0"/>
                <w:numId w:val="14"/>
              </w:numPr>
              <w:tabs>
                <w:tab w:val="left" w:pos="425"/>
              </w:tabs>
              <w:spacing w:before="80" w:after="80" w:line="240" w:lineRule="auto"/>
              <w:ind w:left="35"/>
              <w:rPr>
                <w:rFonts w:cs="Tahoma"/>
                <w:sz w:val="16"/>
                <w:szCs w:val="16"/>
              </w:rPr>
            </w:pPr>
            <w:r w:rsidRPr="008B2175">
              <w:rPr>
                <w:sz w:val="16"/>
                <w:szCs w:val="16"/>
              </w:rPr>
              <w:t>Sosyal amaçlı programların amaçlanan faydayı sağlayıp sağlamadıklarını değerlendirmek üzere çalışma yapılacaktır.</w:t>
            </w:r>
          </w:p>
        </w:tc>
        <w:tc>
          <w:tcPr>
            <w:tcW w:w="1337" w:type="pct"/>
          </w:tcPr>
          <w:p w:rsidR="00565FD5" w:rsidRPr="008B2175" w:rsidRDefault="00565FD5" w:rsidP="00AB62A3">
            <w:pPr>
              <w:spacing w:before="80"/>
              <w:rPr>
                <w:rFonts w:cs="Tahoma"/>
                <w:sz w:val="16"/>
                <w:szCs w:val="16"/>
              </w:rPr>
            </w:pPr>
            <w:r w:rsidRPr="008B2175">
              <w:rPr>
                <w:rFonts w:cs="Tahoma"/>
                <w:sz w:val="16"/>
                <w:szCs w:val="16"/>
              </w:rPr>
              <w:t xml:space="preserve">Aile ve Sosyal Politikalar Bakanlığı (S), Kalkınma Bakanlığı, Maliye Bakanlığı, </w:t>
            </w:r>
          </w:p>
          <w:p w:rsidR="00565FD5" w:rsidRPr="008B2175" w:rsidRDefault="00565FD5" w:rsidP="00AB62A3">
            <w:pPr>
              <w:rPr>
                <w:rFonts w:cs="Tahoma"/>
                <w:sz w:val="16"/>
                <w:szCs w:val="16"/>
              </w:rPr>
            </w:pPr>
            <w:r w:rsidRPr="008B2175">
              <w:rPr>
                <w:rFonts w:cs="Tahoma"/>
                <w:sz w:val="16"/>
                <w:szCs w:val="16"/>
              </w:rPr>
              <w:t>Hazine Müsteşarlığı</w:t>
            </w:r>
            <w:r>
              <w:rPr>
                <w:rFonts w:cs="Tahoma"/>
                <w:sz w:val="16"/>
                <w:szCs w:val="16"/>
              </w:rPr>
              <w:t>, Sosyal Güvenlik Kurumu</w:t>
            </w:r>
          </w:p>
        </w:tc>
        <w:tc>
          <w:tcPr>
            <w:tcW w:w="615" w:type="pct"/>
          </w:tcPr>
          <w:p w:rsidR="00565FD5" w:rsidRPr="008B2175" w:rsidRDefault="00565FD5" w:rsidP="00AB62A3">
            <w:pPr>
              <w:spacing w:before="80" w:after="80"/>
              <w:rPr>
                <w:rFonts w:cs="Tahoma"/>
                <w:sz w:val="16"/>
                <w:szCs w:val="16"/>
              </w:rPr>
            </w:pPr>
            <w:r w:rsidRPr="008B2175">
              <w:rPr>
                <w:rFonts w:cs="Tahoma"/>
                <w:sz w:val="16"/>
                <w:szCs w:val="16"/>
              </w:rPr>
              <w:t>Eylül Sonu</w:t>
            </w:r>
          </w:p>
        </w:tc>
        <w:tc>
          <w:tcPr>
            <w:tcW w:w="1805" w:type="pct"/>
          </w:tcPr>
          <w:p w:rsidR="00565FD5" w:rsidRPr="008B2175" w:rsidRDefault="00565FD5" w:rsidP="00AB62A3">
            <w:pPr>
              <w:spacing w:before="80" w:after="80"/>
              <w:rPr>
                <w:rFonts w:cs="Tahoma"/>
                <w:sz w:val="16"/>
                <w:szCs w:val="16"/>
              </w:rPr>
            </w:pPr>
            <w:r w:rsidRPr="008B2175">
              <w:rPr>
                <w:rFonts w:cs="Tahoma"/>
                <w:sz w:val="16"/>
                <w:szCs w:val="16"/>
              </w:rPr>
              <w:t>Her bir programın yararlanıcı havuzu</w:t>
            </w:r>
            <w:r>
              <w:rPr>
                <w:rFonts w:cs="Tahoma"/>
                <w:sz w:val="16"/>
                <w:szCs w:val="16"/>
              </w:rPr>
              <w:t>nu,</w:t>
            </w:r>
            <w:r w:rsidRPr="008B2175">
              <w:rPr>
                <w:rFonts w:cs="Tahoma"/>
                <w:sz w:val="16"/>
                <w:szCs w:val="16"/>
              </w:rPr>
              <w:t xml:space="preserve"> aktif yararlanıcı sayısını</w:t>
            </w:r>
            <w:r>
              <w:rPr>
                <w:rFonts w:cs="Tahoma"/>
                <w:sz w:val="16"/>
                <w:szCs w:val="16"/>
              </w:rPr>
              <w:t xml:space="preserve"> ve</w:t>
            </w:r>
            <w:r w:rsidRPr="008B2175">
              <w:rPr>
                <w:rFonts w:cs="Tahoma"/>
                <w:sz w:val="16"/>
                <w:szCs w:val="16"/>
              </w:rPr>
              <w:t xml:space="preserve"> programın başlatılma amacına göre uygulama sonuçlarını</w:t>
            </w:r>
            <w:r>
              <w:rPr>
                <w:rFonts w:cs="Tahoma"/>
                <w:sz w:val="16"/>
                <w:szCs w:val="16"/>
              </w:rPr>
              <w:t xml:space="preserve">n değerlendirilmesini içeren </w:t>
            </w:r>
            <w:r w:rsidRPr="008B2175">
              <w:rPr>
                <w:rFonts w:cs="Tahoma"/>
                <w:sz w:val="16"/>
                <w:szCs w:val="16"/>
              </w:rPr>
              <w:t>çeşitli programlar arasında koordinasyon sağlanarak amaçlarla uyumlu bütünleşik bir program yapısının tesis edilmesin</w:t>
            </w:r>
            <w:r>
              <w:rPr>
                <w:rFonts w:cs="Tahoma"/>
                <w:sz w:val="16"/>
                <w:szCs w:val="16"/>
              </w:rPr>
              <w:t>i hedefleyen</w:t>
            </w:r>
            <w:r w:rsidRPr="008B2175">
              <w:rPr>
                <w:rFonts w:cs="Tahoma"/>
                <w:sz w:val="16"/>
                <w:szCs w:val="16"/>
              </w:rPr>
              <w:t xml:space="preserve"> kapsamlı bir envanter çalışması yapılacak ve rapor hazırlanacaktır.</w:t>
            </w:r>
          </w:p>
        </w:tc>
      </w:tr>
    </w:tbl>
    <w:p w:rsidR="00565FD5" w:rsidRDefault="00565FD5" w:rsidP="00565FD5">
      <w:pPr>
        <w:spacing w:after="180"/>
        <w:ind w:firstLine="425"/>
        <w:rPr>
          <w:rFonts w:cs="Tahoma"/>
          <w:szCs w:val="18"/>
        </w:rPr>
      </w:pPr>
    </w:p>
    <w:p w:rsidR="00565FD5" w:rsidRPr="004439FC" w:rsidRDefault="00565FD5" w:rsidP="00565FD5">
      <w:pPr>
        <w:pStyle w:val="Balk2"/>
      </w:pPr>
      <w:bookmarkStart w:id="2757" w:name="_Toc338494265"/>
      <w:bookmarkStart w:id="2758" w:name="_Toc338505648"/>
      <w:bookmarkStart w:id="2759" w:name="_Toc338523880"/>
      <w:bookmarkStart w:id="2760" w:name="_Toc338524111"/>
      <w:bookmarkStart w:id="2761" w:name="_Toc338526337"/>
      <w:bookmarkStart w:id="2762" w:name="_Toc338673780"/>
      <w:bookmarkStart w:id="2763" w:name="_Toc338711659"/>
      <w:r w:rsidRPr="004439FC">
        <w:lastRenderedPageBreak/>
        <w:t>IV. BÖLGESEL GELİŞMENİN SAĞLANMASI</w:t>
      </w:r>
      <w:bookmarkEnd w:id="2757"/>
      <w:bookmarkEnd w:id="2758"/>
      <w:bookmarkEnd w:id="2759"/>
      <w:bookmarkEnd w:id="2760"/>
      <w:bookmarkEnd w:id="2761"/>
      <w:bookmarkEnd w:id="2762"/>
      <w:bookmarkEnd w:id="2763"/>
    </w:p>
    <w:p w:rsidR="00565FD5" w:rsidRPr="004439FC" w:rsidRDefault="00565FD5" w:rsidP="00565FD5">
      <w:pPr>
        <w:pStyle w:val="Balk3"/>
        <w:jc w:val="left"/>
      </w:pPr>
      <w:bookmarkStart w:id="2764" w:name="_Toc276076359"/>
      <w:bookmarkStart w:id="2765" w:name="_Toc244339675"/>
      <w:bookmarkStart w:id="2766" w:name="_Toc244315212"/>
      <w:bookmarkStart w:id="2767" w:name="_Toc244313735"/>
      <w:bookmarkStart w:id="2768" w:name="_Toc244255000"/>
      <w:bookmarkStart w:id="2769" w:name="_Toc244253750"/>
      <w:bookmarkStart w:id="2770" w:name="_Toc213065742"/>
      <w:bookmarkStart w:id="2771" w:name="_Toc212787614"/>
      <w:bookmarkStart w:id="2772" w:name="_Toc307602083"/>
      <w:bookmarkStart w:id="2773" w:name="_Toc307670520"/>
      <w:bookmarkStart w:id="2774" w:name="_Toc307701746"/>
      <w:bookmarkStart w:id="2775" w:name="_Toc338494266"/>
      <w:bookmarkStart w:id="2776" w:name="_Toc338505649"/>
      <w:bookmarkStart w:id="2777" w:name="_Toc338523881"/>
      <w:bookmarkStart w:id="2778" w:name="_Toc338524112"/>
      <w:bookmarkStart w:id="2779" w:name="_Toc338526338"/>
      <w:bookmarkStart w:id="2780" w:name="_Toc338673781"/>
      <w:bookmarkStart w:id="2781" w:name="_Toc338711660"/>
      <w:r w:rsidRPr="004439FC">
        <w:t>A. BÖLGESEL GELİŞME POLİTİKASININ MERKEZİ DÜZEYDE ETKİNLEŞTİRİLMESİ</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p>
    <w:p w:rsidR="00565FD5" w:rsidRPr="004439FC" w:rsidRDefault="00565FD5" w:rsidP="00565FD5">
      <w:pPr>
        <w:pStyle w:val="Balk4"/>
      </w:pPr>
      <w:bookmarkStart w:id="2782" w:name="_Toc276076360"/>
      <w:bookmarkStart w:id="2783" w:name="_Toc244339676"/>
      <w:bookmarkStart w:id="2784" w:name="_Toc244315213"/>
      <w:bookmarkStart w:id="2785" w:name="_Toc244313736"/>
      <w:bookmarkStart w:id="2786" w:name="_Toc244255001"/>
      <w:bookmarkStart w:id="2787" w:name="_Toc244253751"/>
      <w:bookmarkStart w:id="2788" w:name="_Toc213065743"/>
      <w:bookmarkStart w:id="2789" w:name="_Toc212787615"/>
      <w:bookmarkStart w:id="2790" w:name="_Toc307602084"/>
      <w:bookmarkStart w:id="2791" w:name="_Toc307670521"/>
      <w:bookmarkStart w:id="2792" w:name="_Toc307701747"/>
      <w:bookmarkStart w:id="2793" w:name="_Toc338505650"/>
      <w:bookmarkStart w:id="2794" w:name="_Toc338523882"/>
      <w:bookmarkStart w:id="2795" w:name="_Toc338524113"/>
      <w:bookmarkStart w:id="2796" w:name="_Toc338526339"/>
      <w:bookmarkStart w:id="2797" w:name="_Toc338673782"/>
      <w:bookmarkStart w:id="2798" w:name="_Toc338711661"/>
      <w:r w:rsidRPr="004439FC">
        <w:t>1. Mevcut Durum</w:t>
      </w:r>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p>
    <w:p w:rsidR="00565FD5" w:rsidRPr="004439FC" w:rsidRDefault="00565FD5" w:rsidP="00565FD5">
      <w:r w:rsidRPr="004439FC">
        <w:tab/>
      </w:r>
      <w:r>
        <w:t>Bölgesel gelişme politikaları kapsamında</w:t>
      </w:r>
      <w:r w:rsidRPr="004439FC">
        <w:t xml:space="preserve"> bölgeler arası ve bölge içi gelişmişlik farklarını azaltmak, kırsal alanda asgari yaşam standartlarını geliştirmek ve rekabet edebilirliklerini artırmak suretiyle bölgelerin ulusal kalkınmaya, rekabet gücüne ve istihdama katkılarını azami seviyeye çıkarmaya yönelik çalışmalar yapılmaktadır. </w:t>
      </w:r>
    </w:p>
    <w:p w:rsidR="00565FD5" w:rsidRPr="004439FC" w:rsidRDefault="00565FD5" w:rsidP="00565FD5">
      <w:pPr>
        <w:spacing w:before="100" w:beforeAutospacing="1" w:after="100" w:afterAutospacing="1"/>
        <w:ind w:firstLine="425"/>
        <w:rPr>
          <w:szCs w:val="18"/>
        </w:rPr>
      </w:pPr>
      <w:r w:rsidRPr="004439FC">
        <w:rPr>
          <w:szCs w:val="18"/>
        </w:rPr>
        <w:t>Görece geri kalmış yörelerde; gelir seviyesinin artırılması, ekonomik faaliyetlerin çeşitlendirilmesi, yerel yönetimlerin güçlendirilmesi, yerel potansiyeli harekete geçirecek girişimlerin desteklenmesi, kurumsal kapasitenin güçlendirilmesi ve işbirliğine dayalı rekabetin geliştirilmesi önemini korumaktadır.</w:t>
      </w:r>
    </w:p>
    <w:p w:rsidR="00565FD5" w:rsidRPr="004439FC" w:rsidRDefault="00565FD5" w:rsidP="00565FD5">
      <w:pPr>
        <w:spacing w:before="100" w:beforeAutospacing="1" w:after="100" w:afterAutospacing="1"/>
        <w:ind w:firstLine="425"/>
        <w:rPr>
          <w:szCs w:val="18"/>
        </w:rPr>
      </w:pPr>
      <w:r w:rsidRPr="004439FC">
        <w:rPr>
          <w:szCs w:val="18"/>
        </w:rPr>
        <w:t xml:space="preserve">Bölgesel gelişmenin hızlandırılabilmesi için ülke bütününü kapsayan, kalkınma ve yatırım dinamiklerini yönlendiren bölge planları, operasyonel nitelikli programlar </w:t>
      </w:r>
      <w:r>
        <w:rPr>
          <w:szCs w:val="18"/>
        </w:rPr>
        <w:t xml:space="preserve">hazırlama </w:t>
      </w:r>
      <w:r w:rsidRPr="004439FC">
        <w:rPr>
          <w:szCs w:val="18"/>
        </w:rPr>
        <w:t xml:space="preserve">ve </w:t>
      </w:r>
      <w:r>
        <w:rPr>
          <w:szCs w:val="18"/>
        </w:rPr>
        <w:t>bu kapsamda finansman</w:t>
      </w:r>
      <w:r w:rsidRPr="004439FC">
        <w:rPr>
          <w:szCs w:val="18"/>
        </w:rPr>
        <w:t xml:space="preserve"> ihtiyacını karşılamaya yönelik merkezi ve yerel düzeyde yönetişimi ve kurumsal kapasiteyi güçlendirme çalışmaları devam etmektedir.</w:t>
      </w:r>
    </w:p>
    <w:p w:rsidR="00565FD5" w:rsidRDefault="00565FD5" w:rsidP="00565FD5">
      <w:pPr>
        <w:spacing w:after="120"/>
        <w:ind w:firstLine="425"/>
        <w:rPr>
          <w:szCs w:val="18"/>
        </w:rPr>
      </w:pPr>
      <w:r w:rsidRPr="004439FC">
        <w:rPr>
          <w:szCs w:val="18"/>
        </w:rPr>
        <w:t>GAP Eylem Planı kapsamında 2008-2012 döneminde 20 milyar TL tutarında yatırım ödeneği tahsis edilmiştir. Bu dönem içerisinde gerçekleştirilmesi planlanan eylemler önemli ölçüde tamamlanmasına rağmen, bitirilemeyen eylemlere yönelik olarak Planın 2013-2017 dönemini içerecek şekilde revize edilmesi çalışmaları devam etmektedir.</w:t>
      </w:r>
    </w:p>
    <w:p w:rsidR="00565FD5" w:rsidRPr="004439FC" w:rsidRDefault="00565FD5" w:rsidP="00565FD5">
      <w:pPr>
        <w:ind w:firstLine="425"/>
        <w:rPr>
          <w:szCs w:val="18"/>
        </w:rPr>
      </w:pPr>
    </w:p>
    <w:p w:rsidR="00565FD5" w:rsidRPr="004439FC" w:rsidRDefault="00565FD5" w:rsidP="00565FD5">
      <w:pPr>
        <w:ind w:firstLine="425"/>
        <w:rPr>
          <w:szCs w:val="18"/>
        </w:rPr>
        <w:sectPr w:rsidR="00565FD5" w:rsidRPr="004439FC" w:rsidSect="0053504B">
          <w:pgSz w:w="11904" w:h="16838"/>
          <w:pgMar w:top="2948" w:right="2381" w:bottom="2948" w:left="2381" w:header="1985" w:footer="1985" w:gutter="0"/>
          <w:cols w:space="708"/>
          <w:docGrid w:linePitch="245"/>
        </w:sectPr>
      </w:pPr>
    </w:p>
    <w:p w:rsidR="00565FD5" w:rsidRPr="00064D56" w:rsidRDefault="00565FD5" w:rsidP="00565FD5">
      <w:pPr>
        <w:pStyle w:val="ResimYazs"/>
        <w:rPr>
          <w:rFonts w:eastAsia="Arial Unicode MS" w:cs="Tahoma"/>
          <w:szCs w:val="16"/>
        </w:rPr>
      </w:pPr>
      <w:bookmarkStart w:id="2799" w:name="_Toc276076535"/>
      <w:bookmarkStart w:id="2800" w:name="_Toc275873989"/>
      <w:bookmarkStart w:id="2801" w:name="_Toc244255304"/>
      <w:bookmarkStart w:id="2802" w:name="_Toc213071742"/>
      <w:bookmarkStart w:id="2803" w:name="_Toc212713136"/>
      <w:bookmarkStart w:id="2804" w:name="_Toc212712834"/>
      <w:bookmarkStart w:id="2805" w:name="_Toc307601721"/>
      <w:bookmarkStart w:id="2806" w:name="_Toc307657941"/>
      <w:bookmarkStart w:id="2807" w:name="_Toc307702199"/>
      <w:bookmarkStart w:id="2808" w:name="_Toc338606065"/>
      <w:bookmarkStart w:id="2809" w:name="_Toc338711840"/>
      <w:r>
        <w:lastRenderedPageBreak/>
        <w:t xml:space="preserve">TABLO IV: </w:t>
      </w:r>
      <w:fldSimple w:instr=" SEQ TABLO_IV: \* ARABIC ">
        <w:r>
          <w:rPr>
            <w:noProof/>
          </w:rPr>
          <w:t>70</w:t>
        </w:r>
      </w:fldSimple>
      <w:r w:rsidRPr="00064D56">
        <w:rPr>
          <w:rFonts w:eastAsia="Arial Unicode MS" w:cs="Tahoma"/>
          <w:szCs w:val="16"/>
        </w:rPr>
        <w:t>- Düzey 2 İstatistiki Bölge Birimleri (İBB) Bazında Çeşitli Göstergeler</w:t>
      </w:r>
      <w:bookmarkEnd w:id="2799"/>
      <w:bookmarkEnd w:id="2800"/>
      <w:bookmarkEnd w:id="2801"/>
      <w:bookmarkEnd w:id="2802"/>
      <w:bookmarkEnd w:id="2803"/>
      <w:bookmarkEnd w:id="2804"/>
      <w:bookmarkEnd w:id="2805"/>
      <w:bookmarkEnd w:id="2806"/>
      <w:bookmarkEnd w:id="2807"/>
      <w:bookmarkEnd w:id="2808"/>
      <w:bookmarkEnd w:id="2809"/>
    </w:p>
    <w:tbl>
      <w:tblPr>
        <w:tblW w:w="4844" w:type="pct"/>
        <w:tblLayout w:type="fixed"/>
        <w:tblCellMar>
          <w:left w:w="70" w:type="dxa"/>
          <w:right w:w="70" w:type="dxa"/>
        </w:tblCellMar>
        <w:tblLook w:val="00A0"/>
      </w:tblPr>
      <w:tblGrid>
        <w:gridCol w:w="4095"/>
        <w:gridCol w:w="596"/>
        <w:gridCol w:w="449"/>
        <w:gridCol w:w="594"/>
        <w:gridCol w:w="594"/>
        <w:gridCol w:w="596"/>
        <w:gridCol w:w="596"/>
        <w:gridCol w:w="449"/>
        <w:gridCol w:w="747"/>
        <w:gridCol w:w="677"/>
        <w:gridCol w:w="675"/>
        <w:gridCol w:w="542"/>
        <w:gridCol w:w="675"/>
      </w:tblGrid>
      <w:tr w:rsidR="00565FD5" w:rsidRPr="004439FC" w:rsidTr="00AB62A3">
        <w:trPr>
          <w:trHeight w:val="210"/>
        </w:trPr>
        <w:tc>
          <w:tcPr>
            <w:tcW w:w="1815" w:type="pct"/>
            <w:vMerge w:val="restart"/>
            <w:tcBorders>
              <w:top w:val="single" w:sz="8" w:space="0" w:color="auto"/>
              <w:left w:val="single" w:sz="8" w:space="0" w:color="auto"/>
              <w:bottom w:val="single" w:sz="8" w:space="0" w:color="000000"/>
              <w:right w:val="single" w:sz="8" w:space="0" w:color="auto"/>
            </w:tcBorders>
            <w:noWrap/>
            <w:vAlign w:val="bottom"/>
          </w:tcPr>
          <w:p w:rsidR="00565FD5" w:rsidRPr="004439FC" w:rsidRDefault="00565FD5" w:rsidP="00AB62A3">
            <w:pPr>
              <w:tabs>
                <w:tab w:val="left" w:pos="708"/>
              </w:tabs>
              <w:jc w:val="center"/>
              <w:rPr>
                <w:rFonts w:cs="Tahoma"/>
                <w:b/>
                <w:bCs/>
                <w:color w:val="000000"/>
                <w:sz w:val="12"/>
                <w:szCs w:val="12"/>
                <w:lang w:eastAsia="tr-TR"/>
              </w:rPr>
            </w:pPr>
            <w:r w:rsidRPr="004439FC">
              <w:rPr>
                <w:rFonts w:cs="Tahoma"/>
                <w:b/>
                <w:bCs/>
                <w:color w:val="000000"/>
                <w:sz w:val="12"/>
                <w:szCs w:val="12"/>
                <w:lang w:eastAsia="tr-TR"/>
              </w:rPr>
              <w:t>Bölgeler</w:t>
            </w:r>
          </w:p>
        </w:tc>
        <w:tc>
          <w:tcPr>
            <w:tcW w:w="264" w:type="pct"/>
            <w:vMerge w:val="restart"/>
            <w:tcBorders>
              <w:top w:val="single" w:sz="8" w:space="0" w:color="auto"/>
              <w:left w:val="single" w:sz="8" w:space="0" w:color="auto"/>
              <w:bottom w:val="single" w:sz="8" w:space="0" w:color="000000"/>
              <w:right w:val="single" w:sz="8" w:space="0" w:color="auto"/>
            </w:tcBorders>
            <w:textDirection w:val="btLr"/>
            <w:vAlign w:val="bottom"/>
          </w:tcPr>
          <w:p w:rsidR="00565FD5" w:rsidRPr="004439FC" w:rsidRDefault="00565FD5" w:rsidP="00AB62A3">
            <w:pPr>
              <w:tabs>
                <w:tab w:val="left" w:pos="708"/>
              </w:tabs>
              <w:jc w:val="center"/>
              <w:rPr>
                <w:rFonts w:cs="Tahoma"/>
                <w:b/>
                <w:bCs/>
                <w:color w:val="000000"/>
                <w:sz w:val="12"/>
                <w:szCs w:val="12"/>
                <w:lang w:eastAsia="tr-TR"/>
              </w:rPr>
            </w:pPr>
            <w:r w:rsidRPr="004439FC">
              <w:rPr>
                <w:rFonts w:cs="Tahoma"/>
                <w:b/>
                <w:bCs/>
                <w:color w:val="000000"/>
                <w:sz w:val="12"/>
                <w:szCs w:val="12"/>
                <w:lang w:eastAsia="tr-TR"/>
              </w:rPr>
              <w:t>Sosyo-Ekonomik Gelişmişlik Sırası (2011)</w:t>
            </w:r>
          </w:p>
        </w:tc>
        <w:tc>
          <w:tcPr>
            <w:tcW w:w="199" w:type="pct"/>
            <w:vMerge w:val="restart"/>
            <w:tcBorders>
              <w:top w:val="single" w:sz="8" w:space="0" w:color="auto"/>
              <w:left w:val="single" w:sz="8" w:space="0" w:color="auto"/>
              <w:bottom w:val="single" w:sz="8" w:space="0" w:color="000000"/>
              <w:right w:val="single" w:sz="8" w:space="0" w:color="auto"/>
            </w:tcBorders>
            <w:textDirection w:val="btLr"/>
            <w:vAlign w:val="bottom"/>
          </w:tcPr>
          <w:p w:rsidR="00565FD5" w:rsidRPr="004439FC" w:rsidRDefault="00565FD5" w:rsidP="00AB62A3">
            <w:pPr>
              <w:tabs>
                <w:tab w:val="left" w:pos="708"/>
              </w:tabs>
              <w:jc w:val="center"/>
              <w:rPr>
                <w:rFonts w:cs="Tahoma"/>
                <w:b/>
                <w:bCs/>
                <w:color w:val="000000"/>
                <w:sz w:val="12"/>
                <w:szCs w:val="12"/>
                <w:lang w:eastAsia="tr-TR"/>
              </w:rPr>
            </w:pPr>
            <w:r w:rsidRPr="004439FC">
              <w:rPr>
                <w:rFonts w:cs="Tahoma"/>
                <w:b/>
                <w:bCs/>
                <w:color w:val="000000"/>
                <w:sz w:val="12"/>
                <w:szCs w:val="12"/>
                <w:lang w:eastAsia="tr-TR"/>
              </w:rPr>
              <w:t>Nüfusun Payı (2011)  (Yüzde)</w:t>
            </w:r>
          </w:p>
        </w:tc>
        <w:tc>
          <w:tcPr>
            <w:tcW w:w="263" w:type="pct"/>
            <w:vMerge w:val="restart"/>
            <w:tcBorders>
              <w:top w:val="single" w:sz="8" w:space="0" w:color="auto"/>
              <w:left w:val="single" w:sz="8" w:space="0" w:color="auto"/>
              <w:bottom w:val="single" w:sz="8" w:space="0" w:color="000000"/>
              <w:right w:val="single" w:sz="8" w:space="0" w:color="auto"/>
            </w:tcBorders>
            <w:textDirection w:val="btLr"/>
            <w:vAlign w:val="bottom"/>
          </w:tcPr>
          <w:p w:rsidR="00565FD5" w:rsidRPr="004439FC" w:rsidRDefault="00565FD5" w:rsidP="00AB62A3">
            <w:pPr>
              <w:tabs>
                <w:tab w:val="left" w:pos="708"/>
              </w:tabs>
              <w:jc w:val="center"/>
              <w:rPr>
                <w:rFonts w:cs="Tahoma"/>
                <w:b/>
                <w:bCs/>
                <w:color w:val="000000"/>
                <w:sz w:val="12"/>
                <w:szCs w:val="12"/>
                <w:lang w:eastAsia="tr-TR"/>
              </w:rPr>
            </w:pPr>
            <w:r w:rsidRPr="004439FC">
              <w:rPr>
                <w:rFonts w:cs="Tahoma"/>
                <w:b/>
                <w:bCs/>
                <w:color w:val="000000"/>
                <w:sz w:val="12"/>
                <w:szCs w:val="12"/>
                <w:lang w:eastAsia="tr-TR"/>
              </w:rPr>
              <w:t>2010-2011</w:t>
            </w:r>
            <w:r>
              <w:rPr>
                <w:rFonts w:cs="Tahoma"/>
                <w:b/>
                <w:bCs/>
                <w:color w:val="000000"/>
                <w:sz w:val="12"/>
                <w:szCs w:val="12"/>
                <w:lang w:eastAsia="tr-TR"/>
              </w:rPr>
              <w:t xml:space="preserve"> </w:t>
            </w:r>
            <w:r w:rsidRPr="004439FC">
              <w:rPr>
                <w:rFonts w:cs="Tahoma"/>
                <w:b/>
                <w:bCs/>
                <w:color w:val="000000"/>
                <w:sz w:val="12"/>
                <w:szCs w:val="12"/>
                <w:lang w:eastAsia="tr-TR"/>
              </w:rPr>
              <w:t>Yıllık Nüfus Artış Hızı   (Yüzde)</w:t>
            </w:r>
          </w:p>
        </w:tc>
        <w:tc>
          <w:tcPr>
            <w:tcW w:w="263" w:type="pct"/>
            <w:vMerge w:val="restart"/>
            <w:tcBorders>
              <w:top w:val="single" w:sz="8" w:space="0" w:color="auto"/>
              <w:left w:val="single" w:sz="8" w:space="0" w:color="auto"/>
              <w:bottom w:val="single" w:sz="8" w:space="0" w:color="000000"/>
              <w:right w:val="single" w:sz="8" w:space="0" w:color="auto"/>
            </w:tcBorders>
            <w:textDirection w:val="btLr"/>
            <w:vAlign w:val="bottom"/>
          </w:tcPr>
          <w:p w:rsidR="00565FD5" w:rsidRPr="004439FC" w:rsidRDefault="00565FD5" w:rsidP="00AB62A3">
            <w:pPr>
              <w:tabs>
                <w:tab w:val="left" w:pos="708"/>
              </w:tabs>
              <w:jc w:val="center"/>
              <w:rPr>
                <w:rFonts w:cs="Tahoma"/>
                <w:b/>
                <w:bCs/>
                <w:color w:val="000000"/>
                <w:sz w:val="12"/>
                <w:szCs w:val="12"/>
                <w:lang w:eastAsia="tr-TR"/>
              </w:rPr>
            </w:pPr>
            <w:r w:rsidRPr="004439FC">
              <w:rPr>
                <w:rFonts w:cs="Tahoma"/>
                <w:b/>
                <w:bCs/>
                <w:color w:val="000000"/>
                <w:sz w:val="12"/>
                <w:szCs w:val="12"/>
                <w:lang w:eastAsia="tr-TR"/>
              </w:rPr>
              <w:t>Şehirleşme Oranı (2011)  (Yüzde) (1)</w:t>
            </w:r>
          </w:p>
        </w:tc>
        <w:tc>
          <w:tcPr>
            <w:tcW w:w="264" w:type="pct"/>
            <w:vMerge w:val="restart"/>
            <w:tcBorders>
              <w:top w:val="single" w:sz="8" w:space="0" w:color="auto"/>
              <w:left w:val="single" w:sz="8" w:space="0" w:color="auto"/>
              <w:bottom w:val="single" w:sz="8" w:space="0" w:color="000000"/>
              <w:right w:val="single" w:sz="8" w:space="0" w:color="auto"/>
            </w:tcBorders>
            <w:textDirection w:val="btLr"/>
            <w:vAlign w:val="bottom"/>
          </w:tcPr>
          <w:p w:rsidR="00565FD5" w:rsidRPr="004439FC" w:rsidRDefault="00565FD5" w:rsidP="00AB62A3">
            <w:pPr>
              <w:tabs>
                <w:tab w:val="left" w:pos="708"/>
              </w:tabs>
              <w:jc w:val="center"/>
              <w:rPr>
                <w:rFonts w:cs="Tahoma"/>
                <w:b/>
                <w:bCs/>
                <w:color w:val="000000"/>
                <w:sz w:val="12"/>
                <w:szCs w:val="12"/>
                <w:lang w:eastAsia="tr-TR"/>
              </w:rPr>
            </w:pPr>
            <w:r w:rsidRPr="004439FC">
              <w:rPr>
                <w:rFonts w:cs="Tahoma"/>
                <w:b/>
                <w:bCs/>
                <w:color w:val="000000"/>
                <w:sz w:val="12"/>
                <w:szCs w:val="12"/>
                <w:lang w:eastAsia="tr-TR"/>
              </w:rPr>
              <w:t>Bölgelerin GSKD'ye Katkısı (2008) (Yüzde)</w:t>
            </w:r>
          </w:p>
        </w:tc>
        <w:tc>
          <w:tcPr>
            <w:tcW w:w="264" w:type="pct"/>
            <w:vMerge w:val="restart"/>
            <w:tcBorders>
              <w:top w:val="single" w:sz="8" w:space="0" w:color="auto"/>
              <w:left w:val="single" w:sz="8" w:space="0" w:color="auto"/>
              <w:bottom w:val="single" w:sz="8" w:space="0" w:color="000000"/>
              <w:right w:val="single" w:sz="8" w:space="0" w:color="auto"/>
            </w:tcBorders>
            <w:textDirection w:val="btLr"/>
            <w:vAlign w:val="bottom"/>
          </w:tcPr>
          <w:p w:rsidR="00565FD5" w:rsidRPr="004439FC" w:rsidRDefault="00565FD5" w:rsidP="00AB62A3">
            <w:pPr>
              <w:tabs>
                <w:tab w:val="left" w:pos="708"/>
              </w:tabs>
              <w:jc w:val="center"/>
              <w:rPr>
                <w:rFonts w:cs="Tahoma"/>
                <w:b/>
                <w:bCs/>
                <w:color w:val="000000"/>
                <w:sz w:val="12"/>
                <w:szCs w:val="12"/>
                <w:lang w:eastAsia="tr-TR"/>
              </w:rPr>
            </w:pPr>
            <w:r w:rsidRPr="004439FC">
              <w:rPr>
                <w:rFonts w:cs="Tahoma"/>
                <w:b/>
                <w:bCs/>
                <w:color w:val="000000"/>
                <w:sz w:val="12"/>
                <w:szCs w:val="12"/>
                <w:lang w:eastAsia="tr-TR"/>
              </w:rPr>
              <w:t xml:space="preserve">  Kişi Başına GSKD  (2008)</w:t>
            </w:r>
          </w:p>
          <w:p w:rsidR="00565FD5" w:rsidRPr="004439FC" w:rsidRDefault="00565FD5" w:rsidP="00AB62A3">
            <w:pPr>
              <w:tabs>
                <w:tab w:val="left" w:pos="708"/>
              </w:tabs>
              <w:jc w:val="center"/>
              <w:rPr>
                <w:rFonts w:cs="Tahoma"/>
                <w:b/>
                <w:bCs/>
                <w:color w:val="000000"/>
                <w:sz w:val="12"/>
                <w:szCs w:val="12"/>
                <w:lang w:eastAsia="tr-TR"/>
              </w:rPr>
            </w:pPr>
            <w:r w:rsidRPr="004439FC">
              <w:rPr>
                <w:rFonts w:cs="Tahoma"/>
                <w:b/>
                <w:bCs/>
                <w:color w:val="000000"/>
                <w:sz w:val="12"/>
                <w:szCs w:val="12"/>
                <w:lang w:eastAsia="tr-TR"/>
              </w:rPr>
              <w:t xml:space="preserve"> (Endeks TR=100)</w:t>
            </w:r>
          </w:p>
        </w:tc>
        <w:tc>
          <w:tcPr>
            <w:tcW w:w="199" w:type="pct"/>
            <w:vMerge w:val="restart"/>
            <w:tcBorders>
              <w:top w:val="single" w:sz="8" w:space="0" w:color="auto"/>
              <w:left w:val="single" w:sz="8" w:space="0" w:color="auto"/>
              <w:bottom w:val="single" w:sz="8" w:space="0" w:color="000000"/>
              <w:right w:val="single" w:sz="8" w:space="0" w:color="auto"/>
            </w:tcBorders>
            <w:textDirection w:val="btLr"/>
            <w:vAlign w:val="bottom"/>
          </w:tcPr>
          <w:p w:rsidR="00565FD5" w:rsidRPr="004439FC" w:rsidRDefault="00565FD5" w:rsidP="00AB62A3">
            <w:pPr>
              <w:tabs>
                <w:tab w:val="left" w:pos="708"/>
              </w:tabs>
              <w:jc w:val="center"/>
              <w:rPr>
                <w:rFonts w:cs="Tahoma"/>
                <w:b/>
                <w:bCs/>
                <w:color w:val="000000"/>
                <w:sz w:val="12"/>
                <w:szCs w:val="12"/>
                <w:lang w:eastAsia="tr-TR"/>
              </w:rPr>
            </w:pPr>
            <w:r w:rsidRPr="004439FC">
              <w:rPr>
                <w:rFonts w:cs="Tahoma"/>
                <w:b/>
                <w:bCs/>
                <w:color w:val="000000"/>
                <w:sz w:val="12"/>
                <w:szCs w:val="12"/>
                <w:lang w:eastAsia="tr-TR"/>
              </w:rPr>
              <w:t>İşsizlik Oranı (2011) (Yüzde)</w:t>
            </w:r>
          </w:p>
        </w:tc>
        <w:tc>
          <w:tcPr>
            <w:tcW w:w="930" w:type="pct"/>
            <w:gridSpan w:val="3"/>
            <w:tcBorders>
              <w:top w:val="single" w:sz="8" w:space="0" w:color="auto"/>
              <w:left w:val="nil"/>
              <w:bottom w:val="single" w:sz="8" w:space="0" w:color="auto"/>
              <w:right w:val="single" w:sz="8" w:space="0" w:color="000000"/>
            </w:tcBorders>
            <w:noWrap/>
            <w:vAlign w:val="bottom"/>
          </w:tcPr>
          <w:p w:rsidR="00565FD5" w:rsidRPr="004439FC" w:rsidRDefault="00565FD5" w:rsidP="00AB62A3">
            <w:pPr>
              <w:tabs>
                <w:tab w:val="left" w:pos="708"/>
              </w:tabs>
              <w:jc w:val="center"/>
              <w:rPr>
                <w:rFonts w:cs="Tahoma"/>
                <w:b/>
                <w:bCs/>
                <w:color w:val="000000"/>
                <w:sz w:val="12"/>
                <w:szCs w:val="12"/>
                <w:lang w:eastAsia="tr-TR"/>
              </w:rPr>
            </w:pPr>
            <w:r w:rsidRPr="004439FC">
              <w:rPr>
                <w:rFonts w:cs="Tahoma"/>
                <w:b/>
                <w:bCs/>
                <w:color w:val="000000"/>
                <w:sz w:val="12"/>
                <w:szCs w:val="12"/>
                <w:lang w:eastAsia="tr-TR"/>
              </w:rPr>
              <w:t>İstihdamın Sektörel Yapısı (2011)</w:t>
            </w:r>
          </w:p>
        </w:tc>
        <w:tc>
          <w:tcPr>
            <w:tcW w:w="240" w:type="pct"/>
            <w:vMerge w:val="restart"/>
            <w:tcBorders>
              <w:top w:val="single" w:sz="8" w:space="0" w:color="auto"/>
              <w:left w:val="nil"/>
              <w:bottom w:val="single" w:sz="8" w:space="0" w:color="000000"/>
              <w:right w:val="single" w:sz="8" w:space="0" w:color="auto"/>
            </w:tcBorders>
            <w:textDirection w:val="btLr"/>
            <w:vAlign w:val="bottom"/>
          </w:tcPr>
          <w:p w:rsidR="00565FD5" w:rsidRPr="004439FC" w:rsidRDefault="00565FD5" w:rsidP="00AB62A3">
            <w:pPr>
              <w:tabs>
                <w:tab w:val="left" w:pos="708"/>
              </w:tabs>
              <w:jc w:val="center"/>
              <w:rPr>
                <w:rFonts w:cs="Tahoma"/>
                <w:b/>
                <w:bCs/>
                <w:color w:val="000000"/>
                <w:sz w:val="12"/>
                <w:szCs w:val="12"/>
                <w:lang w:eastAsia="tr-TR"/>
              </w:rPr>
            </w:pPr>
            <w:r w:rsidRPr="004439FC">
              <w:rPr>
                <w:rFonts w:cs="Tahoma"/>
                <w:b/>
                <w:bCs/>
                <w:color w:val="000000"/>
                <w:sz w:val="12"/>
                <w:szCs w:val="12"/>
                <w:lang w:eastAsia="tr-TR"/>
              </w:rPr>
              <w:t>Üniversite Sayısı  (2012)</w:t>
            </w:r>
          </w:p>
        </w:tc>
        <w:tc>
          <w:tcPr>
            <w:tcW w:w="299" w:type="pct"/>
            <w:vMerge w:val="restart"/>
            <w:tcBorders>
              <w:top w:val="single" w:sz="8" w:space="0" w:color="auto"/>
              <w:left w:val="single" w:sz="8" w:space="0" w:color="auto"/>
              <w:bottom w:val="single" w:sz="8" w:space="0" w:color="000000"/>
              <w:right w:val="single" w:sz="8" w:space="0" w:color="auto"/>
            </w:tcBorders>
            <w:textDirection w:val="btLr"/>
            <w:vAlign w:val="bottom"/>
          </w:tcPr>
          <w:p w:rsidR="00565FD5" w:rsidRPr="004439FC" w:rsidRDefault="00565FD5" w:rsidP="00AB62A3">
            <w:pPr>
              <w:tabs>
                <w:tab w:val="left" w:pos="708"/>
              </w:tabs>
              <w:jc w:val="center"/>
              <w:rPr>
                <w:rFonts w:cs="Tahoma"/>
                <w:b/>
                <w:bCs/>
                <w:color w:val="000000"/>
                <w:sz w:val="12"/>
                <w:szCs w:val="12"/>
                <w:lang w:eastAsia="tr-TR"/>
              </w:rPr>
            </w:pPr>
            <w:r w:rsidRPr="004439FC">
              <w:rPr>
                <w:rFonts w:cs="Tahoma"/>
                <w:b/>
                <w:bCs/>
                <w:color w:val="000000"/>
                <w:sz w:val="12"/>
                <w:szCs w:val="12"/>
                <w:lang w:eastAsia="tr-TR"/>
              </w:rPr>
              <w:t>Bütçe Gelirinin Giderlerini Karşılama Oranı (2011)</w:t>
            </w:r>
          </w:p>
        </w:tc>
      </w:tr>
      <w:tr w:rsidR="00565FD5" w:rsidRPr="004439FC" w:rsidTr="00AB62A3">
        <w:trPr>
          <w:trHeight w:val="967"/>
        </w:trPr>
        <w:tc>
          <w:tcPr>
            <w:tcW w:w="1815" w:type="pct"/>
            <w:vMerge/>
            <w:tcBorders>
              <w:top w:val="single" w:sz="8" w:space="0" w:color="auto"/>
              <w:left w:val="single" w:sz="8" w:space="0" w:color="auto"/>
              <w:bottom w:val="single" w:sz="8" w:space="0" w:color="000000"/>
              <w:right w:val="single" w:sz="8" w:space="0" w:color="auto"/>
            </w:tcBorders>
            <w:vAlign w:val="center"/>
          </w:tcPr>
          <w:p w:rsidR="00565FD5" w:rsidRPr="004439FC" w:rsidRDefault="00565FD5" w:rsidP="00AB62A3">
            <w:pPr>
              <w:rPr>
                <w:rFonts w:cs="Tahoma"/>
                <w:b/>
                <w:bCs/>
                <w:color w:val="000000"/>
                <w:sz w:val="12"/>
                <w:szCs w:val="12"/>
                <w:lang w:eastAsia="tr-TR"/>
              </w:rPr>
            </w:pPr>
          </w:p>
        </w:tc>
        <w:tc>
          <w:tcPr>
            <w:tcW w:w="264" w:type="pct"/>
            <w:vMerge/>
            <w:tcBorders>
              <w:top w:val="single" w:sz="8" w:space="0" w:color="auto"/>
              <w:left w:val="single" w:sz="8" w:space="0" w:color="auto"/>
              <w:bottom w:val="single" w:sz="8" w:space="0" w:color="000000"/>
              <w:right w:val="single" w:sz="8" w:space="0" w:color="auto"/>
            </w:tcBorders>
            <w:vAlign w:val="center"/>
          </w:tcPr>
          <w:p w:rsidR="00565FD5" w:rsidRPr="004439FC" w:rsidRDefault="00565FD5" w:rsidP="00AB62A3">
            <w:pPr>
              <w:rPr>
                <w:rFonts w:cs="Tahoma"/>
                <w:b/>
                <w:bCs/>
                <w:color w:val="000000"/>
                <w:sz w:val="12"/>
                <w:szCs w:val="12"/>
                <w:lang w:eastAsia="tr-TR"/>
              </w:rPr>
            </w:pPr>
          </w:p>
        </w:tc>
        <w:tc>
          <w:tcPr>
            <w:tcW w:w="199" w:type="pct"/>
            <w:vMerge/>
            <w:tcBorders>
              <w:top w:val="single" w:sz="8" w:space="0" w:color="auto"/>
              <w:left w:val="single" w:sz="8" w:space="0" w:color="auto"/>
              <w:bottom w:val="single" w:sz="8" w:space="0" w:color="000000"/>
              <w:right w:val="single" w:sz="8" w:space="0" w:color="auto"/>
            </w:tcBorders>
            <w:vAlign w:val="center"/>
          </w:tcPr>
          <w:p w:rsidR="00565FD5" w:rsidRPr="004439FC" w:rsidRDefault="00565FD5" w:rsidP="00AB62A3">
            <w:pPr>
              <w:rPr>
                <w:rFonts w:cs="Tahoma"/>
                <w:b/>
                <w:bCs/>
                <w:color w:val="000000"/>
                <w:sz w:val="12"/>
                <w:szCs w:val="12"/>
                <w:lang w:eastAsia="tr-TR"/>
              </w:rPr>
            </w:pPr>
          </w:p>
        </w:tc>
        <w:tc>
          <w:tcPr>
            <w:tcW w:w="263" w:type="pct"/>
            <w:vMerge/>
            <w:tcBorders>
              <w:top w:val="single" w:sz="8" w:space="0" w:color="auto"/>
              <w:left w:val="single" w:sz="8" w:space="0" w:color="auto"/>
              <w:bottom w:val="single" w:sz="8" w:space="0" w:color="000000"/>
              <w:right w:val="single" w:sz="8" w:space="0" w:color="auto"/>
            </w:tcBorders>
            <w:vAlign w:val="center"/>
          </w:tcPr>
          <w:p w:rsidR="00565FD5" w:rsidRPr="004439FC" w:rsidRDefault="00565FD5" w:rsidP="00AB62A3">
            <w:pPr>
              <w:rPr>
                <w:rFonts w:cs="Tahoma"/>
                <w:b/>
                <w:bCs/>
                <w:color w:val="000000"/>
                <w:sz w:val="12"/>
                <w:szCs w:val="12"/>
                <w:lang w:eastAsia="tr-TR"/>
              </w:rPr>
            </w:pPr>
          </w:p>
        </w:tc>
        <w:tc>
          <w:tcPr>
            <w:tcW w:w="263" w:type="pct"/>
            <w:vMerge/>
            <w:tcBorders>
              <w:top w:val="single" w:sz="8" w:space="0" w:color="auto"/>
              <w:left w:val="single" w:sz="8" w:space="0" w:color="auto"/>
              <w:bottom w:val="single" w:sz="8" w:space="0" w:color="000000"/>
              <w:right w:val="single" w:sz="8" w:space="0" w:color="auto"/>
            </w:tcBorders>
            <w:vAlign w:val="center"/>
          </w:tcPr>
          <w:p w:rsidR="00565FD5" w:rsidRPr="004439FC" w:rsidRDefault="00565FD5" w:rsidP="00AB62A3">
            <w:pPr>
              <w:rPr>
                <w:rFonts w:cs="Tahoma"/>
                <w:b/>
                <w:bCs/>
                <w:color w:val="000000"/>
                <w:sz w:val="12"/>
                <w:szCs w:val="12"/>
                <w:lang w:eastAsia="tr-TR"/>
              </w:rPr>
            </w:pPr>
          </w:p>
        </w:tc>
        <w:tc>
          <w:tcPr>
            <w:tcW w:w="264" w:type="pct"/>
            <w:vMerge/>
            <w:tcBorders>
              <w:top w:val="single" w:sz="8" w:space="0" w:color="auto"/>
              <w:left w:val="single" w:sz="8" w:space="0" w:color="auto"/>
              <w:bottom w:val="single" w:sz="8" w:space="0" w:color="000000"/>
              <w:right w:val="single" w:sz="8" w:space="0" w:color="auto"/>
            </w:tcBorders>
            <w:vAlign w:val="center"/>
          </w:tcPr>
          <w:p w:rsidR="00565FD5" w:rsidRPr="004439FC" w:rsidRDefault="00565FD5" w:rsidP="00AB62A3">
            <w:pPr>
              <w:rPr>
                <w:rFonts w:cs="Tahoma"/>
                <w:b/>
                <w:bCs/>
                <w:color w:val="000000"/>
                <w:sz w:val="12"/>
                <w:szCs w:val="12"/>
                <w:lang w:eastAsia="tr-TR"/>
              </w:rPr>
            </w:pPr>
          </w:p>
        </w:tc>
        <w:tc>
          <w:tcPr>
            <w:tcW w:w="264" w:type="pct"/>
            <w:vMerge/>
            <w:tcBorders>
              <w:top w:val="single" w:sz="8" w:space="0" w:color="auto"/>
              <w:left w:val="single" w:sz="8" w:space="0" w:color="auto"/>
              <w:bottom w:val="single" w:sz="8" w:space="0" w:color="000000"/>
              <w:right w:val="single" w:sz="8" w:space="0" w:color="auto"/>
            </w:tcBorders>
            <w:vAlign w:val="center"/>
          </w:tcPr>
          <w:p w:rsidR="00565FD5" w:rsidRPr="004439FC" w:rsidRDefault="00565FD5" w:rsidP="00AB62A3">
            <w:pPr>
              <w:rPr>
                <w:rFonts w:cs="Tahoma"/>
                <w:b/>
                <w:bCs/>
                <w:color w:val="000000"/>
                <w:sz w:val="12"/>
                <w:szCs w:val="12"/>
                <w:lang w:eastAsia="tr-TR"/>
              </w:rPr>
            </w:pPr>
          </w:p>
        </w:tc>
        <w:tc>
          <w:tcPr>
            <w:tcW w:w="199" w:type="pct"/>
            <w:vMerge/>
            <w:tcBorders>
              <w:top w:val="single" w:sz="8" w:space="0" w:color="auto"/>
              <w:left w:val="single" w:sz="8" w:space="0" w:color="auto"/>
              <w:bottom w:val="single" w:sz="8" w:space="0" w:color="000000"/>
              <w:right w:val="single" w:sz="8" w:space="0" w:color="auto"/>
            </w:tcBorders>
            <w:vAlign w:val="center"/>
          </w:tcPr>
          <w:p w:rsidR="00565FD5" w:rsidRPr="004439FC" w:rsidRDefault="00565FD5" w:rsidP="00AB62A3">
            <w:pPr>
              <w:rPr>
                <w:rFonts w:cs="Tahoma"/>
                <w:b/>
                <w:bCs/>
                <w:color w:val="000000"/>
                <w:sz w:val="12"/>
                <w:szCs w:val="12"/>
                <w:lang w:eastAsia="tr-TR"/>
              </w:rPr>
            </w:pPr>
          </w:p>
        </w:tc>
        <w:tc>
          <w:tcPr>
            <w:tcW w:w="331" w:type="pct"/>
            <w:tcBorders>
              <w:top w:val="nil"/>
              <w:left w:val="nil"/>
              <w:bottom w:val="single" w:sz="8" w:space="0" w:color="auto"/>
              <w:right w:val="single" w:sz="8" w:space="0" w:color="auto"/>
            </w:tcBorders>
            <w:textDirection w:val="btLr"/>
            <w:vAlign w:val="bottom"/>
          </w:tcPr>
          <w:p w:rsidR="00565FD5" w:rsidRPr="004439FC" w:rsidRDefault="00565FD5" w:rsidP="00AB62A3">
            <w:pPr>
              <w:tabs>
                <w:tab w:val="left" w:pos="708"/>
              </w:tabs>
              <w:jc w:val="center"/>
              <w:rPr>
                <w:rFonts w:cs="Tahoma"/>
                <w:b/>
                <w:bCs/>
                <w:color w:val="000000"/>
                <w:sz w:val="12"/>
                <w:szCs w:val="12"/>
                <w:lang w:eastAsia="tr-TR"/>
              </w:rPr>
            </w:pPr>
            <w:r w:rsidRPr="004439FC">
              <w:rPr>
                <w:rFonts w:cs="Tahoma"/>
                <w:b/>
                <w:bCs/>
                <w:color w:val="000000"/>
                <w:sz w:val="12"/>
                <w:szCs w:val="12"/>
                <w:lang w:eastAsia="tr-TR"/>
              </w:rPr>
              <w:t>Tarım Sektörü Payı                         (Yüzde)</w:t>
            </w:r>
          </w:p>
        </w:tc>
        <w:tc>
          <w:tcPr>
            <w:tcW w:w="300" w:type="pct"/>
            <w:tcBorders>
              <w:top w:val="nil"/>
              <w:left w:val="nil"/>
              <w:bottom w:val="single" w:sz="8" w:space="0" w:color="auto"/>
              <w:right w:val="single" w:sz="8" w:space="0" w:color="auto"/>
            </w:tcBorders>
            <w:textDirection w:val="btLr"/>
            <w:vAlign w:val="bottom"/>
          </w:tcPr>
          <w:p w:rsidR="00565FD5" w:rsidRPr="004439FC" w:rsidRDefault="00565FD5" w:rsidP="00AB62A3">
            <w:pPr>
              <w:tabs>
                <w:tab w:val="left" w:pos="708"/>
              </w:tabs>
              <w:jc w:val="center"/>
              <w:rPr>
                <w:rFonts w:cs="Tahoma"/>
                <w:b/>
                <w:bCs/>
                <w:color w:val="000000"/>
                <w:sz w:val="12"/>
                <w:szCs w:val="12"/>
                <w:lang w:eastAsia="tr-TR"/>
              </w:rPr>
            </w:pPr>
            <w:r w:rsidRPr="004439FC">
              <w:rPr>
                <w:rFonts w:cs="Tahoma"/>
                <w:b/>
                <w:bCs/>
                <w:color w:val="000000"/>
                <w:sz w:val="12"/>
                <w:szCs w:val="12"/>
                <w:lang w:eastAsia="tr-TR"/>
              </w:rPr>
              <w:t>Sanayi Sektörü Payı                   (Yüzde)</w:t>
            </w:r>
          </w:p>
        </w:tc>
        <w:tc>
          <w:tcPr>
            <w:tcW w:w="299" w:type="pct"/>
            <w:tcBorders>
              <w:top w:val="nil"/>
              <w:left w:val="nil"/>
              <w:bottom w:val="single" w:sz="8" w:space="0" w:color="auto"/>
              <w:right w:val="single" w:sz="8" w:space="0" w:color="auto"/>
            </w:tcBorders>
            <w:textDirection w:val="btLr"/>
            <w:vAlign w:val="bottom"/>
          </w:tcPr>
          <w:p w:rsidR="00565FD5" w:rsidRPr="004439FC" w:rsidRDefault="00565FD5" w:rsidP="00AB62A3">
            <w:pPr>
              <w:tabs>
                <w:tab w:val="left" w:pos="708"/>
              </w:tabs>
              <w:jc w:val="center"/>
              <w:rPr>
                <w:rFonts w:cs="Tahoma"/>
                <w:b/>
                <w:bCs/>
                <w:color w:val="000000"/>
                <w:sz w:val="12"/>
                <w:szCs w:val="12"/>
                <w:lang w:eastAsia="tr-TR"/>
              </w:rPr>
            </w:pPr>
            <w:r w:rsidRPr="004439FC">
              <w:rPr>
                <w:rFonts w:cs="Tahoma"/>
                <w:b/>
                <w:bCs/>
                <w:color w:val="000000"/>
                <w:sz w:val="12"/>
                <w:szCs w:val="12"/>
                <w:lang w:eastAsia="tr-TR"/>
              </w:rPr>
              <w:t>Hizmetler Sektörü Payı (Yüzde)</w:t>
            </w:r>
          </w:p>
        </w:tc>
        <w:tc>
          <w:tcPr>
            <w:tcW w:w="240" w:type="pct"/>
            <w:vMerge/>
            <w:tcBorders>
              <w:top w:val="single" w:sz="8" w:space="0" w:color="auto"/>
              <w:left w:val="nil"/>
              <w:bottom w:val="single" w:sz="8" w:space="0" w:color="000000"/>
              <w:right w:val="single" w:sz="8" w:space="0" w:color="auto"/>
            </w:tcBorders>
            <w:vAlign w:val="center"/>
          </w:tcPr>
          <w:p w:rsidR="00565FD5" w:rsidRPr="004439FC" w:rsidRDefault="00565FD5" w:rsidP="00AB62A3">
            <w:pPr>
              <w:rPr>
                <w:rFonts w:cs="Tahoma"/>
                <w:b/>
                <w:bCs/>
                <w:color w:val="000000"/>
                <w:sz w:val="12"/>
                <w:szCs w:val="12"/>
                <w:lang w:eastAsia="tr-TR"/>
              </w:rPr>
            </w:pPr>
          </w:p>
        </w:tc>
        <w:tc>
          <w:tcPr>
            <w:tcW w:w="299" w:type="pct"/>
            <w:vMerge/>
            <w:tcBorders>
              <w:top w:val="single" w:sz="8" w:space="0" w:color="auto"/>
              <w:left w:val="single" w:sz="8" w:space="0" w:color="auto"/>
              <w:bottom w:val="single" w:sz="8" w:space="0" w:color="000000"/>
              <w:right w:val="single" w:sz="8" w:space="0" w:color="auto"/>
            </w:tcBorders>
            <w:vAlign w:val="center"/>
          </w:tcPr>
          <w:p w:rsidR="00565FD5" w:rsidRPr="004439FC" w:rsidRDefault="00565FD5" w:rsidP="00AB62A3">
            <w:pPr>
              <w:rPr>
                <w:rFonts w:cs="Tahoma"/>
                <w:b/>
                <w:bCs/>
                <w:color w:val="000000"/>
                <w:sz w:val="12"/>
                <w:szCs w:val="12"/>
                <w:lang w:eastAsia="tr-TR"/>
              </w:rPr>
            </w:pP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noWrap/>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 xml:space="preserve">TR10 </w:t>
            </w:r>
            <w:r w:rsidRPr="00CA1C22">
              <w:rPr>
                <w:rFonts w:cs="Tahoma"/>
                <w:i/>
                <w:iCs/>
                <w:color w:val="000000"/>
                <w:sz w:val="14"/>
                <w:szCs w:val="14"/>
              </w:rPr>
              <w:t>(İstanbul)</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18,2</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2,7</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99,0</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27,7</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155</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11,8</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0,5</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39,8</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59,7</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45</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7,8</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noWrap/>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TR21</w:t>
            </w:r>
            <w:r w:rsidRPr="00CA1C22">
              <w:rPr>
                <w:rFonts w:cs="Tahoma"/>
                <w:i/>
                <w:iCs/>
                <w:color w:val="000000"/>
                <w:sz w:val="14"/>
                <w:szCs w:val="14"/>
              </w:rPr>
              <w:t>(Edirne, Kırklareli, Tekirdağ)</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8</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2,1</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3,1</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68,4</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2,7</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130</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8,8</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19,5</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38,6</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41,9</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1,5</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noWrap/>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TR22</w:t>
            </w:r>
            <w:r w:rsidRPr="00CA1C22">
              <w:rPr>
                <w:rFonts w:cs="Tahoma"/>
                <w:i/>
                <w:iCs/>
                <w:color w:val="000000"/>
                <w:sz w:val="14"/>
                <w:szCs w:val="14"/>
              </w:rPr>
              <w:t>(Balıkesir, Çanakkale)</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10</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2,2</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-0,1</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59,1</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2,2</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96</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5,3</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39,7</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18,6</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41,7</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0,7</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noWrap/>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TR31</w:t>
            </w:r>
            <w:r w:rsidRPr="00CA1C22">
              <w:rPr>
                <w:rFonts w:cs="Tahoma"/>
                <w:i/>
                <w:iCs/>
                <w:color w:val="000000"/>
                <w:sz w:val="14"/>
                <w:szCs w:val="14"/>
              </w:rPr>
              <w:t>(İzmir)</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5,3</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0,4</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91,4</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6,5</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123</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14,7</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12,6</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30,7</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56,7</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9</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4,0</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TR32</w:t>
            </w:r>
            <w:r w:rsidRPr="00CA1C22">
              <w:rPr>
                <w:rFonts w:cs="Tahoma"/>
                <w:i/>
                <w:iCs/>
                <w:color w:val="000000"/>
                <w:sz w:val="14"/>
                <w:szCs w:val="14"/>
              </w:rPr>
              <w:t>(Aydın, Denizli, Muğla)</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7</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3,7</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1,5</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58,2</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3,6</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97</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8,5</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36,8</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19,7</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43,6</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0,8</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noWrap/>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 xml:space="preserve">TR33 </w:t>
            </w:r>
            <w:r w:rsidRPr="00CA1C22">
              <w:rPr>
                <w:rFonts w:cs="Tahoma"/>
                <w:i/>
                <w:iCs/>
                <w:color w:val="000000"/>
                <w:sz w:val="14"/>
                <w:szCs w:val="14"/>
              </w:rPr>
              <w:t>(Afyon, Kütahya, Manisa, Uşak)</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12</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3,9</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-2,1</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63,0</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3,6</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88</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4,7</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44,7</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21,9</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33,4</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0,7</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noWrap/>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TR41</w:t>
            </w:r>
            <w:r w:rsidRPr="00CA1C22">
              <w:rPr>
                <w:rFonts w:cs="Tahoma"/>
                <w:i/>
                <w:iCs/>
                <w:color w:val="000000"/>
                <w:sz w:val="14"/>
                <w:szCs w:val="14"/>
              </w:rPr>
              <w:t>(Bilecik, Bursa, Eskişehir)</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4,9</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1,2</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88,3</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6,6</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138</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7,6</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12,1</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43,3</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44,5</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1,4</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noWrap/>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TR42</w:t>
            </w:r>
            <w:r w:rsidRPr="00CA1C22">
              <w:rPr>
                <w:rFonts w:cs="Tahoma"/>
                <w:i/>
                <w:iCs/>
                <w:color w:val="000000"/>
                <w:sz w:val="14"/>
                <w:szCs w:val="14"/>
              </w:rPr>
              <w:t>(Bolu, Düzce, Kocaeli, Sakarya, Yalova)</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4,4</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2,1</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80,9</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6,2</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141</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11,9</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21,6</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34,2</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44,3</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7</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6,7</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noWrap/>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TR51</w:t>
            </w:r>
            <w:r w:rsidRPr="00CA1C22">
              <w:rPr>
                <w:rFonts w:cs="Tahoma"/>
                <w:i/>
                <w:iCs/>
                <w:color w:val="000000"/>
                <w:sz w:val="14"/>
                <w:szCs w:val="14"/>
              </w:rPr>
              <w:t>(Ankara)</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6,5</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2,5</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97,4</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8,5</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134</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9,4</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5,0</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22,8</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72,2</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16</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1,3</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noWrap/>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TR52</w:t>
            </w:r>
            <w:r w:rsidRPr="00CA1C22">
              <w:rPr>
                <w:rFonts w:cs="Tahoma"/>
                <w:i/>
                <w:iCs/>
                <w:color w:val="000000"/>
                <w:sz w:val="14"/>
                <w:szCs w:val="14"/>
              </w:rPr>
              <w:t>(Karaman, Konya)</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11</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3,0</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1,2</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74,4</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2,4</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77</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6,8</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34,6</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24,1</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41,2</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0,6</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noWrap/>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TR61</w:t>
            </w:r>
            <w:r w:rsidRPr="00CA1C22">
              <w:rPr>
                <w:rFonts w:cs="Tahoma"/>
                <w:i/>
                <w:iCs/>
                <w:color w:val="000000"/>
                <w:sz w:val="14"/>
                <w:szCs w:val="14"/>
              </w:rPr>
              <w:t>(Antalya, Burdur, Isparta)</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3,6</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0,7</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69,5</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3,9</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110</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9,3</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33,6</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12,1</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54,3</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1,0</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TR62</w:t>
            </w:r>
            <w:r w:rsidRPr="00CA1C22">
              <w:rPr>
                <w:rFonts w:cs="Tahoma"/>
                <w:i/>
                <w:iCs/>
                <w:color w:val="000000"/>
                <w:sz w:val="14"/>
                <w:szCs w:val="14"/>
              </w:rPr>
              <w:t>(Adana, Mersin)</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9</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5,1</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1,2</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83,9</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78</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10,7</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30,2</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19,5</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50,3</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1,4</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noWrap/>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TR63</w:t>
            </w:r>
            <w:r w:rsidRPr="00CA1C22">
              <w:rPr>
                <w:rFonts w:cs="Tahoma"/>
                <w:i/>
                <w:iCs/>
                <w:color w:val="000000"/>
                <w:sz w:val="14"/>
                <w:szCs w:val="14"/>
              </w:rPr>
              <w:t>(Hatay, Kahramanmaraş, Osmaniye)</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21</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4,0</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0,3</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57,9</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2,6</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63</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12,0</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34,3</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23,6</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42,1</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1,0</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noWrap/>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lastRenderedPageBreak/>
              <w:t xml:space="preserve">TR71 </w:t>
            </w:r>
            <w:r w:rsidRPr="00CA1C22">
              <w:rPr>
                <w:rFonts w:cs="Tahoma"/>
                <w:i/>
                <w:iCs/>
                <w:color w:val="000000"/>
                <w:sz w:val="14"/>
                <w:szCs w:val="14"/>
              </w:rPr>
              <w:t>(Aksaray, Kırıkkale, Kırşehir, Nevşehir, Niğde)</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18</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2,0</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0,0</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63,6</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1,5</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72</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8,0</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35,9</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17,9</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46,2</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0,7</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TR72</w:t>
            </w:r>
            <w:r w:rsidRPr="00CA1C22">
              <w:rPr>
                <w:rFonts w:cs="Tahoma"/>
                <w:i/>
                <w:iCs/>
                <w:color w:val="000000"/>
                <w:sz w:val="14"/>
                <w:szCs w:val="14"/>
              </w:rPr>
              <w:t>(Kayseri, Sivas, Yozgat)</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14</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3,1</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-0,2</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76,0</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2,3</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73</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10,7</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40,1</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25,8</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34,1</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0,5</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noWrap/>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 xml:space="preserve">TR81 </w:t>
            </w:r>
            <w:r w:rsidRPr="00CA1C22">
              <w:rPr>
                <w:rFonts w:cs="Tahoma"/>
                <w:i/>
                <w:iCs/>
                <w:color w:val="000000"/>
                <w:sz w:val="14"/>
                <w:szCs w:val="14"/>
              </w:rPr>
              <w:t>(Bartın, Karabük, Zonguldak)</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13</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1,4</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-1,5</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51,2</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1,3</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93</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7,6</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43,2</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21,6</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35,5</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1,2</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 xml:space="preserve">TR82 </w:t>
            </w:r>
            <w:r w:rsidRPr="00CA1C22">
              <w:rPr>
                <w:rFonts w:cs="Tahoma"/>
                <w:i/>
                <w:iCs/>
                <w:color w:val="000000"/>
                <w:sz w:val="14"/>
                <w:szCs w:val="14"/>
              </w:rPr>
              <w:t>(Çankırı, Kastamonu, Sinop)</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19</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1,0</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-0,4</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56,9</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0,7</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71</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5,7</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53,7</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13,3</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33,0</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0,3</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TR83</w:t>
            </w:r>
            <w:r w:rsidRPr="00CA1C22">
              <w:rPr>
                <w:rFonts w:cs="Tahoma"/>
                <w:i/>
                <w:iCs/>
                <w:color w:val="000000"/>
                <w:sz w:val="14"/>
                <w:szCs w:val="14"/>
              </w:rPr>
              <w:t>(Amasya, Çorum, Samsun, Tokat)</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15</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3,6</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-0,8</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64,7</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2,8</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74</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5,3</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45,5</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17,6</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36,9</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0,5</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TR90</w:t>
            </w:r>
            <w:r w:rsidRPr="00CA1C22">
              <w:rPr>
                <w:rFonts w:cs="Tahoma"/>
                <w:i/>
                <w:iCs/>
                <w:color w:val="000000"/>
                <w:sz w:val="14"/>
                <w:szCs w:val="14"/>
              </w:rPr>
              <w:t>(Artvin, Giresun, Gümüşhane, Rize, Trabzon, Ordu)</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17</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3,4</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-0,1</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57,2</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2,6</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75</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6,4</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53,6</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14,8</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31,8</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0,5</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TRA1</w:t>
            </w:r>
            <w:r w:rsidRPr="00CA1C22">
              <w:rPr>
                <w:rFonts w:cs="Tahoma"/>
                <w:i/>
                <w:iCs/>
                <w:color w:val="000000"/>
                <w:sz w:val="14"/>
                <w:szCs w:val="14"/>
              </w:rPr>
              <w:t>(Bayburt, Erzincan, Erzurum)</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22</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1,4</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0,4</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62,5</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0,9</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59</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6,3</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48,5</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12,6</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38,7</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0,3</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noWrap/>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TRA2</w:t>
            </w:r>
            <w:r w:rsidRPr="00CA1C22">
              <w:rPr>
                <w:rFonts w:cs="Tahoma"/>
                <w:i/>
                <w:iCs/>
                <w:color w:val="000000"/>
                <w:sz w:val="14"/>
                <w:szCs w:val="14"/>
              </w:rPr>
              <w:t>(Ağrı, Ardahan, Iğdır, Kars)</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25</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1,5</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2,1</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48,1</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0,6</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38</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10,2</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55,8</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13,7</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30,5</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0,2</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noWrap/>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TRB1</w:t>
            </w:r>
            <w:r w:rsidRPr="00CA1C22">
              <w:rPr>
                <w:rFonts w:cs="Tahoma"/>
                <w:i/>
                <w:iCs/>
                <w:color w:val="000000"/>
                <w:sz w:val="14"/>
                <w:szCs w:val="14"/>
              </w:rPr>
              <w:t>(Bingöl, Elazığ, Malatya, Tunceli)</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20</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2,2</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2,4</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66,9</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1,3</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59</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10,2</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37,2</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19,7</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43,4</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0,3</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noWrap/>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 xml:space="preserve">TRB2 </w:t>
            </w:r>
            <w:r w:rsidRPr="00CA1C22">
              <w:rPr>
                <w:rFonts w:cs="Tahoma"/>
                <w:i/>
                <w:iCs/>
                <w:color w:val="000000"/>
                <w:sz w:val="14"/>
                <w:szCs w:val="14"/>
              </w:rPr>
              <w:t>(Bitlis, Hakkari, Muş, Van)</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26</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2,7</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1,2</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49,4</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36</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12,3</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42,3</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16,9</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40,6</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0,1</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TRC1</w:t>
            </w:r>
            <w:r w:rsidRPr="00CA1C22">
              <w:rPr>
                <w:rFonts w:cs="Tahoma"/>
                <w:i/>
                <w:iCs/>
                <w:color w:val="000000"/>
                <w:sz w:val="14"/>
                <w:szCs w:val="14"/>
              </w:rPr>
              <w:t>(Adıyaman, Gaziantep, Kilis)</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16</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3,3</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2,3</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80,9</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1,6</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49</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14,4</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22,2</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35,1</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42,7</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0,6</w:t>
            </w:r>
          </w:p>
        </w:tc>
      </w:tr>
      <w:tr w:rsidR="00565FD5" w:rsidRPr="004439FC" w:rsidTr="00AB62A3">
        <w:trPr>
          <w:trHeight w:val="184"/>
        </w:trPr>
        <w:tc>
          <w:tcPr>
            <w:tcW w:w="1815" w:type="pct"/>
            <w:tcBorders>
              <w:top w:val="nil"/>
              <w:left w:val="single" w:sz="8" w:space="0" w:color="auto"/>
              <w:bottom w:val="single" w:sz="8" w:space="0" w:color="auto"/>
              <w:right w:val="single" w:sz="8" w:space="0" w:color="auto"/>
            </w:tcBorders>
            <w:noWrap/>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TRC2</w:t>
            </w:r>
            <w:r w:rsidRPr="00CA1C22">
              <w:rPr>
                <w:rFonts w:cs="Tahoma"/>
                <w:i/>
                <w:iCs/>
                <w:color w:val="000000"/>
                <w:sz w:val="14"/>
                <w:szCs w:val="14"/>
              </w:rPr>
              <w:t>(Diyarbakır, Şanlıurfa)</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23</w:t>
            </w:r>
          </w:p>
        </w:tc>
        <w:tc>
          <w:tcPr>
            <w:tcW w:w="199"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4,4</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2,9</w:t>
            </w:r>
          </w:p>
        </w:tc>
        <w:tc>
          <w:tcPr>
            <w:tcW w:w="263"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63,4</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1,7</w:t>
            </w:r>
          </w:p>
        </w:tc>
        <w:tc>
          <w:tcPr>
            <w:tcW w:w="264"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40</w:t>
            </w:r>
          </w:p>
        </w:tc>
        <w:tc>
          <w:tcPr>
            <w:tcW w:w="1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8,4</w:t>
            </w:r>
          </w:p>
        </w:tc>
        <w:tc>
          <w:tcPr>
            <w:tcW w:w="331"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28,1</w:t>
            </w:r>
          </w:p>
        </w:tc>
        <w:tc>
          <w:tcPr>
            <w:tcW w:w="300"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18,6</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53,3</w:t>
            </w:r>
          </w:p>
        </w:tc>
        <w:tc>
          <w:tcPr>
            <w:tcW w:w="240" w:type="pct"/>
            <w:tcBorders>
              <w:top w:val="nil"/>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w:t>
            </w:r>
          </w:p>
        </w:tc>
        <w:tc>
          <w:tcPr>
            <w:tcW w:w="299" w:type="pct"/>
            <w:tcBorders>
              <w:top w:val="nil"/>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0,3</w:t>
            </w:r>
          </w:p>
        </w:tc>
      </w:tr>
      <w:tr w:rsidR="00565FD5" w:rsidRPr="004439FC" w:rsidTr="00AB62A3">
        <w:trPr>
          <w:trHeight w:val="184"/>
        </w:trPr>
        <w:tc>
          <w:tcPr>
            <w:tcW w:w="1815" w:type="pct"/>
            <w:tcBorders>
              <w:top w:val="nil"/>
              <w:left w:val="single" w:sz="8" w:space="0" w:color="auto"/>
              <w:bottom w:val="nil"/>
              <w:right w:val="single" w:sz="8" w:space="0" w:color="auto"/>
            </w:tcBorders>
            <w:noWrap/>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TRC3</w:t>
            </w:r>
            <w:r w:rsidRPr="00CA1C22">
              <w:rPr>
                <w:rFonts w:cs="Tahoma"/>
                <w:i/>
                <w:iCs/>
                <w:color w:val="000000"/>
                <w:sz w:val="14"/>
                <w:szCs w:val="14"/>
              </w:rPr>
              <w:t>(Batman, Mardin, Siirt, Şırnak)</w:t>
            </w:r>
          </w:p>
        </w:tc>
        <w:tc>
          <w:tcPr>
            <w:tcW w:w="264" w:type="pct"/>
            <w:tcBorders>
              <w:top w:val="nil"/>
              <w:left w:val="nil"/>
              <w:bottom w:val="nil"/>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24</w:t>
            </w:r>
          </w:p>
        </w:tc>
        <w:tc>
          <w:tcPr>
            <w:tcW w:w="199" w:type="pct"/>
            <w:tcBorders>
              <w:top w:val="nil"/>
              <w:left w:val="nil"/>
              <w:bottom w:val="nil"/>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2,8</w:t>
            </w:r>
          </w:p>
        </w:tc>
        <w:tc>
          <w:tcPr>
            <w:tcW w:w="263" w:type="pct"/>
            <w:tcBorders>
              <w:top w:val="nil"/>
              <w:left w:val="nil"/>
              <w:bottom w:val="nil"/>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3,5</w:t>
            </w:r>
          </w:p>
        </w:tc>
        <w:tc>
          <w:tcPr>
            <w:tcW w:w="263" w:type="pct"/>
            <w:tcBorders>
              <w:top w:val="nil"/>
              <w:left w:val="nil"/>
              <w:bottom w:val="nil"/>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63,9</w:t>
            </w:r>
          </w:p>
        </w:tc>
        <w:tc>
          <w:tcPr>
            <w:tcW w:w="264" w:type="pct"/>
            <w:tcBorders>
              <w:top w:val="nil"/>
              <w:left w:val="nil"/>
              <w:bottom w:val="nil"/>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1,1</w:t>
            </w:r>
          </w:p>
        </w:tc>
        <w:tc>
          <w:tcPr>
            <w:tcW w:w="264" w:type="pct"/>
            <w:tcBorders>
              <w:top w:val="nil"/>
              <w:left w:val="nil"/>
              <w:bottom w:val="nil"/>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41</w:t>
            </w:r>
          </w:p>
        </w:tc>
        <w:tc>
          <w:tcPr>
            <w:tcW w:w="199" w:type="pct"/>
            <w:tcBorders>
              <w:top w:val="nil"/>
              <w:left w:val="nil"/>
              <w:bottom w:val="nil"/>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12,7</w:t>
            </w:r>
          </w:p>
        </w:tc>
        <w:tc>
          <w:tcPr>
            <w:tcW w:w="331" w:type="pct"/>
            <w:tcBorders>
              <w:top w:val="nil"/>
              <w:left w:val="nil"/>
              <w:bottom w:val="nil"/>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17,0</w:t>
            </w:r>
          </w:p>
        </w:tc>
        <w:tc>
          <w:tcPr>
            <w:tcW w:w="300" w:type="pct"/>
            <w:tcBorders>
              <w:top w:val="nil"/>
              <w:left w:val="nil"/>
              <w:bottom w:val="nil"/>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22,5</w:t>
            </w:r>
          </w:p>
        </w:tc>
        <w:tc>
          <w:tcPr>
            <w:tcW w:w="299" w:type="pct"/>
            <w:tcBorders>
              <w:top w:val="nil"/>
              <w:left w:val="nil"/>
              <w:bottom w:val="nil"/>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60,5</w:t>
            </w:r>
          </w:p>
        </w:tc>
        <w:tc>
          <w:tcPr>
            <w:tcW w:w="240" w:type="pct"/>
            <w:tcBorders>
              <w:top w:val="nil"/>
              <w:left w:val="nil"/>
              <w:bottom w:val="nil"/>
              <w:right w:val="single" w:sz="8" w:space="0" w:color="auto"/>
            </w:tcBorders>
            <w:shd w:val="clear" w:color="auto" w:fill="FFFFFF"/>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4</w:t>
            </w:r>
          </w:p>
        </w:tc>
        <w:tc>
          <w:tcPr>
            <w:tcW w:w="299" w:type="pct"/>
            <w:tcBorders>
              <w:top w:val="nil"/>
              <w:left w:val="nil"/>
              <w:bottom w:val="nil"/>
              <w:right w:val="single" w:sz="8" w:space="0" w:color="auto"/>
            </w:tcBorders>
            <w:noWrap/>
            <w:vAlign w:val="center"/>
          </w:tcPr>
          <w:p w:rsidR="00565FD5" w:rsidRPr="00CA1C22" w:rsidRDefault="00565FD5" w:rsidP="00AB62A3">
            <w:pPr>
              <w:tabs>
                <w:tab w:val="left" w:pos="708"/>
              </w:tabs>
              <w:jc w:val="right"/>
              <w:rPr>
                <w:rFonts w:cs="Tahoma"/>
                <w:sz w:val="14"/>
                <w:szCs w:val="14"/>
              </w:rPr>
            </w:pPr>
            <w:r w:rsidRPr="00CA1C22">
              <w:rPr>
                <w:rFonts w:cs="Tahoma"/>
                <w:sz w:val="14"/>
                <w:szCs w:val="14"/>
              </w:rPr>
              <w:t>0,2</w:t>
            </w:r>
          </w:p>
        </w:tc>
      </w:tr>
      <w:tr w:rsidR="00565FD5" w:rsidRPr="004439FC" w:rsidTr="00AB62A3">
        <w:trPr>
          <w:trHeight w:val="184"/>
        </w:trPr>
        <w:tc>
          <w:tcPr>
            <w:tcW w:w="1815" w:type="pct"/>
            <w:tcBorders>
              <w:top w:val="single" w:sz="8" w:space="0" w:color="auto"/>
              <w:left w:val="single" w:sz="8" w:space="0" w:color="auto"/>
              <w:bottom w:val="single" w:sz="8" w:space="0" w:color="auto"/>
              <w:right w:val="single" w:sz="8" w:space="0" w:color="auto"/>
            </w:tcBorders>
            <w:noWrap/>
            <w:vAlign w:val="center"/>
          </w:tcPr>
          <w:p w:rsidR="00565FD5" w:rsidRPr="00CA1C22" w:rsidRDefault="00565FD5" w:rsidP="00AB62A3">
            <w:pPr>
              <w:rPr>
                <w:rFonts w:cs="Tahoma"/>
                <w:b/>
                <w:bCs/>
                <w:color w:val="000000"/>
                <w:sz w:val="14"/>
                <w:szCs w:val="14"/>
              </w:rPr>
            </w:pPr>
            <w:r w:rsidRPr="00CA1C22">
              <w:rPr>
                <w:rFonts w:cs="Tahoma"/>
                <w:b/>
                <w:bCs/>
                <w:color w:val="000000"/>
                <w:sz w:val="14"/>
                <w:szCs w:val="14"/>
              </w:rPr>
              <w:t>Türkiye</w:t>
            </w:r>
          </w:p>
        </w:tc>
        <w:tc>
          <w:tcPr>
            <w:tcW w:w="264" w:type="pct"/>
            <w:tcBorders>
              <w:top w:val="single" w:sz="8" w:space="0" w:color="auto"/>
              <w:left w:val="nil"/>
              <w:bottom w:val="single" w:sz="8" w:space="0" w:color="auto"/>
              <w:right w:val="single" w:sz="8" w:space="0" w:color="auto"/>
            </w:tcBorders>
            <w:shd w:val="clear" w:color="auto" w:fill="FFFFFF"/>
            <w:vAlign w:val="center"/>
          </w:tcPr>
          <w:p w:rsidR="00565FD5" w:rsidRDefault="00565FD5" w:rsidP="00AB62A3">
            <w:pPr>
              <w:jc w:val="right"/>
              <w:rPr>
                <w:rFonts w:cs="Tahoma"/>
                <w:b/>
                <w:bCs/>
                <w:szCs w:val="18"/>
              </w:rPr>
            </w:pPr>
            <w:r>
              <w:rPr>
                <w:rFonts w:cs="Tahoma"/>
                <w:b/>
                <w:bCs/>
                <w:szCs w:val="18"/>
              </w:rPr>
              <w:t> </w:t>
            </w:r>
          </w:p>
        </w:tc>
        <w:tc>
          <w:tcPr>
            <w:tcW w:w="199" w:type="pct"/>
            <w:tcBorders>
              <w:top w:val="single" w:sz="8" w:space="0" w:color="auto"/>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b/>
                <w:bCs/>
                <w:sz w:val="14"/>
                <w:szCs w:val="14"/>
              </w:rPr>
            </w:pPr>
            <w:r w:rsidRPr="00CA1C22">
              <w:rPr>
                <w:rFonts w:cs="Tahoma"/>
                <w:b/>
                <w:bCs/>
                <w:sz w:val="14"/>
                <w:szCs w:val="14"/>
              </w:rPr>
              <w:t>100</w:t>
            </w:r>
          </w:p>
        </w:tc>
        <w:tc>
          <w:tcPr>
            <w:tcW w:w="263" w:type="pct"/>
            <w:tcBorders>
              <w:top w:val="single" w:sz="8" w:space="0" w:color="auto"/>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b/>
                <w:bCs/>
                <w:sz w:val="14"/>
                <w:szCs w:val="14"/>
              </w:rPr>
            </w:pPr>
            <w:r w:rsidRPr="00CA1C22">
              <w:rPr>
                <w:rFonts w:cs="Tahoma"/>
                <w:b/>
                <w:bCs/>
                <w:sz w:val="14"/>
                <w:szCs w:val="14"/>
              </w:rPr>
              <w:t>1,3</w:t>
            </w:r>
          </w:p>
        </w:tc>
        <w:tc>
          <w:tcPr>
            <w:tcW w:w="263" w:type="pct"/>
            <w:tcBorders>
              <w:top w:val="single" w:sz="8" w:space="0" w:color="auto"/>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b/>
                <w:bCs/>
                <w:sz w:val="14"/>
                <w:szCs w:val="14"/>
              </w:rPr>
            </w:pPr>
            <w:r w:rsidRPr="00CA1C22">
              <w:rPr>
                <w:rFonts w:cs="Tahoma"/>
                <w:b/>
                <w:bCs/>
                <w:sz w:val="14"/>
                <w:szCs w:val="14"/>
              </w:rPr>
              <w:t>76,3</w:t>
            </w:r>
          </w:p>
        </w:tc>
        <w:tc>
          <w:tcPr>
            <w:tcW w:w="264" w:type="pct"/>
            <w:tcBorders>
              <w:top w:val="single" w:sz="8" w:space="0" w:color="auto"/>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b/>
                <w:bCs/>
                <w:sz w:val="14"/>
                <w:szCs w:val="14"/>
              </w:rPr>
            </w:pPr>
            <w:r w:rsidRPr="00CA1C22">
              <w:rPr>
                <w:rFonts w:cs="Tahoma"/>
                <w:b/>
                <w:bCs/>
                <w:sz w:val="14"/>
                <w:szCs w:val="14"/>
              </w:rPr>
              <w:t>100</w:t>
            </w:r>
          </w:p>
        </w:tc>
        <w:tc>
          <w:tcPr>
            <w:tcW w:w="264" w:type="pct"/>
            <w:tcBorders>
              <w:top w:val="single" w:sz="8" w:space="0" w:color="auto"/>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b/>
                <w:bCs/>
                <w:sz w:val="14"/>
                <w:szCs w:val="14"/>
              </w:rPr>
            </w:pPr>
            <w:r w:rsidRPr="00CA1C22">
              <w:rPr>
                <w:rFonts w:cs="Tahoma"/>
                <w:b/>
                <w:bCs/>
                <w:sz w:val="14"/>
                <w:szCs w:val="14"/>
              </w:rPr>
              <w:t>100</w:t>
            </w:r>
          </w:p>
        </w:tc>
        <w:tc>
          <w:tcPr>
            <w:tcW w:w="199" w:type="pct"/>
            <w:tcBorders>
              <w:top w:val="single" w:sz="8" w:space="0" w:color="auto"/>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b/>
                <w:bCs/>
                <w:sz w:val="14"/>
                <w:szCs w:val="14"/>
              </w:rPr>
            </w:pPr>
            <w:r w:rsidRPr="00CA1C22">
              <w:rPr>
                <w:rFonts w:cs="Tahoma"/>
                <w:b/>
                <w:bCs/>
                <w:sz w:val="14"/>
                <w:szCs w:val="14"/>
              </w:rPr>
              <w:t>9,8</w:t>
            </w:r>
          </w:p>
        </w:tc>
        <w:tc>
          <w:tcPr>
            <w:tcW w:w="331" w:type="pct"/>
            <w:tcBorders>
              <w:top w:val="single" w:sz="8" w:space="0" w:color="auto"/>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b/>
                <w:bCs/>
                <w:sz w:val="14"/>
                <w:szCs w:val="14"/>
              </w:rPr>
            </w:pPr>
            <w:r w:rsidRPr="00CA1C22">
              <w:rPr>
                <w:rFonts w:cs="Tahoma"/>
                <w:b/>
                <w:bCs/>
                <w:sz w:val="14"/>
                <w:szCs w:val="14"/>
              </w:rPr>
              <w:t>25,5</w:t>
            </w:r>
          </w:p>
        </w:tc>
        <w:tc>
          <w:tcPr>
            <w:tcW w:w="300" w:type="pct"/>
            <w:tcBorders>
              <w:top w:val="single" w:sz="8" w:space="0" w:color="auto"/>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b/>
                <w:bCs/>
                <w:sz w:val="14"/>
                <w:szCs w:val="14"/>
              </w:rPr>
            </w:pPr>
            <w:r w:rsidRPr="00CA1C22">
              <w:rPr>
                <w:rFonts w:cs="Tahoma"/>
                <w:b/>
                <w:bCs/>
                <w:sz w:val="14"/>
                <w:szCs w:val="14"/>
              </w:rPr>
              <w:t>26,5</w:t>
            </w:r>
          </w:p>
        </w:tc>
        <w:tc>
          <w:tcPr>
            <w:tcW w:w="299" w:type="pct"/>
            <w:tcBorders>
              <w:top w:val="single" w:sz="8" w:space="0" w:color="auto"/>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b/>
                <w:bCs/>
                <w:sz w:val="14"/>
                <w:szCs w:val="14"/>
              </w:rPr>
            </w:pPr>
            <w:r w:rsidRPr="00CA1C22">
              <w:rPr>
                <w:rFonts w:cs="Tahoma"/>
                <w:b/>
                <w:bCs/>
                <w:sz w:val="14"/>
                <w:szCs w:val="14"/>
              </w:rPr>
              <w:t>48,1</w:t>
            </w:r>
          </w:p>
        </w:tc>
        <w:tc>
          <w:tcPr>
            <w:tcW w:w="240" w:type="pct"/>
            <w:tcBorders>
              <w:top w:val="single" w:sz="8" w:space="0" w:color="auto"/>
              <w:left w:val="nil"/>
              <w:bottom w:val="single" w:sz="8" w:space="0" w:color="auto"/>
              <w:right w:val="single" w:sz="8" w:space="0" w:color="auto"/>
            </w:tcBorders>
            <w:shd w:val="clear" w:color="auto" w:fill="FFFFFF"/>
            <w:vAlign w:val="center"/>
          </w:tcPr>
          <w:p w:rsidR="00565FD5" w:rsidRPr="00CA1C22" w:rsidRDefault="00565FD5" w:rsidP="00AB62A3">
            <w:pPr>
              <w:tabs>
                <w:tab w:val="left" w:pos="708"/>
              </w:tabs>
              <w:jc w:val="right"/>
              <w:rPr>
                <w:rFonts w:cs="Tahoma"/>
                <w:b/>
                <w:bCs/>
                <w:sz w:val="14"/>
                <w:szCs w:val="14"/>
              </w:rPr>
            </w:pPr>
            <w:r w:rsidRPr="00CA1C22">
              <w:rPr>
                <w:rFonts w:cs="Tahoma"/>
                <w:b/>
                <w:bCs/>
                <w:sz w:val="14"/>
                <w:szCs w:val="14"/>
              </w:rPr>
              <w:t>168</w:t>
            </w:r>
          </w:p>
        </w:tc>
        <w:tc>
          <w:tcPr>
            <w:tcW w:w="299" w:type="pct"/>
            <w:tcBorders>
              <w:top w:val="single" w:sz="8" w:space="0" w:color="auto"/>
              <w:left w:val="nil"/>
              <w:bottom w:val="single" w:sz="8" w:space="0" w:color="auto"/>
              <w:right w:val="single" w:sz="8" w:space="0" w:color="auto"/>
            </w:tcBorders>
            <w:noWrap/>
            <w:vAlign w:val="center"/>
          </w:tcPr>
          <w:p w:rsidR="00565FD5" w:rsidRPr="00CA1C22" w:rsidRDefault="00565FD5" w:rsidP="00AB62A3">
            <w:pPr>
              <w:tabs>
                <w:tab w:val="left" w:pos="708"/>
              </w:tabs>
              <w:jc w:val="right"/>
              <w:rPr>
                <w:rFonts w:cs="Tahoma"/>
                <w:b/>
                <w:bCs/>
                <w:sz w:val="14"/>
                <w:szCs w:val="14"/>
              </w:rPr>
            </w:pPr>
            <w:r>
              <w:rPr>
                <w:rFonts w:cs="Tahoma"/>
                <w:b/>
                <w:bCs/>
                <w:sz w:val="14"/>
                <w:szCs w:val="14"/>
              </w:rPr>
              <w:t>0,9</w:t>
            </w:r>
          </w:p>
        </w:tc>
      </w:tr>
    </w:tbl>
    <w:p w:rsidR="00565FD5" w:rsidRPr="004439FC" w:rsidRDefault="00565FD5" w:rsidP="00565FD5">
      <w:pPr>
        <w:rPr>
          <w:rFonts w:cs="Tahoma"/>
          <w:bCs/>
          <w:sz w:val="12"/>
          <w:szCs w:val="12"/>
        </w:rPr>
      </w:pPr>
      <w:r w:rsidRPr="004439FC">
        <w:rPr>
          <w:rFonts w:cs="Tahoma"/>
          <w:bCs/>
          <w:sz w:val="12"/>
          <w:szCs w:val="12"/>
        </w:rPr>
        <w:t>Kaynak: Kalkınma Bakanlığı, TÜİK, Maliye Bakanlığı;</w:t>
      </w:r>
    </w:p>
    <w:p w:rsidR="00565FD5" w:rsidRPr="004439FC" w:rsidRDefault="00565FD5" w:rsidP="00565FD5">
      <w:pPr>
        <w:spacing w:after="240"/>
        <w:rPr>
          <w:rFonts w:cs="Tahoma"/>
          <w:sz w:val="12"/>
          <w:szCs w:val="12"/>
          <w:lang w:eastAsia="tr-TR"/>
        </w:rPr>
      </w:pPr>
      <w:r w:rsidRPr="004439FC">
        <w:rPr>
          <w:rFonts w:cs="Tahoma"/>
          <w:bCs/>
          <w:sz w:val="12"/>
          <w:szCs w:val="12"/>
        </w:rPr>
        <w:t xml:space="preserve">(1) </w:t>
      </w:r>
      <w:r w:rsidRPr="004439FC">
        <w:rPr>
          <w:rFonts w:cs="Tahoma"/>
          <w:sz w:val="12"/>
          <w:szCs w:val="12"/>
          <w:lang w:eastAsia="tr-TR"/>
        </w:rPr>
        <w:t>Şehir nüfusu il ve ilçe merkezleri nüfusunu kapsamaktadır.</w:t>
      </w:r>
    </w:p>
    <w:p w:rsidR="00565FD5" w:rsidRPr="004439FC" w:rsidRDefault="00565FD5" w:rsidP="00565FD5">
      <w:pPr>
        <w:rPr>
          <w:rFonts w:cs="Tahoma"/>
          <w:szCs w:val="18"/>
        </w:rPr>
        <w:sectPr w:rsidR="00565FD5" w:rsidRPr="004439FC" w:rsidSect="00064D56">
          <w:pgSz w:w="16838" w:h="11904" w:orient="landscape"/>
          <w:pgMar w:top="2155" w:right="2665" w:bottom="2155" w:left="2665" w:header="1985" w:footer="1985" w:gutter="0"/>
          <w:cols w:space="708"/>
          <w:docGrid w:linePitch="245"/>
        </w:sectPr>
      </w:pPr>
    </w:p>
    <w:p w:rsidR="00565FD5" w:rsidRPr="004439FC" w:rsidRDefault="00565FD5" w:rsidP="00565FD5">
      <w:pPr>
        <w:spacing w:before="100" w:beforeAutospacing="1" w:after="100" w:afterAutospacing="1"/>
        <w:ind w:firstLine="425"/>
        <w:rPr>
          <w:szCs w:val="18"/>
        </w:rPr>
      </w:pPr>
      <w:bookmarkStart w:id="2810" w:name="_Toc213065744"/>
      <w:bookmarkStart w:id="2811" w:name="_Toc212787616"/>
      <w:r w:rsidRPr="004439FC">
        <w:rPr>
          <w:szCs w:val="18"/>
        </w:rPr>
        <w:lastRenderedPageBreak/>
        <w:t xml:space="preserve">Ulusal düzeyde bölgesel gelişme politikalarının oluşturulmasında ve etkilerinin analiz edilmesinde Onuncu Kalkınma Planı ile bölge planlarının makroekonomik katmanda sektör-bölge ilişkisinin kurulmasında önemli bir altlık olacak bölgesel girdi-çıktı tablolarının 26 Düzey 2 bölgesi için oluşturulması öngörülmektedir. </w:t>
      </w:r>
    </w:p>
    <w:p w:rsidR="00565FD5" w:rsidRPr="004439FC" w:rsidRDefault="00565FD5" w:rsidP="00565FD5">
      <w:pPr>
        <w:spacing w:before="100" w:beforeAutospacing="1" w:after="100" w:afterAutospacing="1"/>
        <w:ind w:firstLine="425"/>
        <w:rPr>
          <w:szCs w:val="18"/>
        </w:rPr>
      </w:pPr>
      <w:r w:rsidRPr="004439FC">
        <w:rPr>
          <w:szCs w:val="18"/>
        </w:rPr>
        <w:t xml:space="preserve">19/06/2012 tarihli Resmi Gazete’de yayımlanan 2012/3305 sayılı Yatırımlarda Devlet Yardımları Hakkında Kararla yürürlüğe giren teşvik sistemiyle, 2011 Sosyo-Ekonomik Gelişmişlik Endeksine (SEGE) </w:t>
      </w:r>
      <w:r>
        <w:rPr>
          <w:szCs w:val="18"/>
        </w:rPr>
        <w:t xml:space="preserve">göre </w:t>
      </w:r>
      <w:r w:rsidRPr="004439FC">
        <w:rPr>
          <w:szCs w:val="18"/>
        </w:rPr>
        <w:t>belirlenen altı bölgede desteklenecek sektörler ayrı ayrı tespit edilmiş ve kademeli olarak artan teşvikler tanımlanmıştır. Bölgesel ve sektörel uygulama yanında, büyük ölçekli yatırımlar için daha fazla avantaj getiren ek destekler sunulmaktadır.</w:t>
      </w:r>
    </w:p>
    <w:p w:rsidR="00565FD5" w:rsidRPr="000F6904" w:rsidRDefault="00565FD5" w:rsidP="00565FD5">
      <w:pPr>
        <w:pStyle w:val="ResimYazs"/>
        <w:rPr>
          <w:rFonts w:eastAsia="Arial Unicode MS" w:cs="Tahoma"/>
          <w:szCs w:val="16"/>
        </w:rPr>
      </w:pPr>
      <w:bookmarkStart w:id="2812" w:name="_Toc276076536"/>
      <w:bookmarkStart w:id="2813" w:name="_Toc307601722"/>
      <w:bookmarkStart w:id="2814" w:name="_Toc307657942"/>
      <w:bookmarkStart w:id="2815" w:name="_Toc307702200"/>
      <w:bookmarkStart w:id="2816" w:name="_Toc338606066"/>
      <w:bookmarkStart w:id="2817" w:name="_Toc338711841"/>
      <w:r>
        <w:t xml:space="preserve">TABLO IV: </w:t>
      </w:r>
      <w:fldSimple w:instr=" SEQ TABLO_IV: \* ARABIC ">
        <w:r>
          <w:rPr>
            <w:noProof/>
          </w:rPr>
          <w:t>71</w:t>
        </w:r>
      </w:fldSimple>
      <w:r w:rsidRPr="000F6904">
        <w:rPr>
          <w:rFonts w:eastAsia="Arial Unicode MS" w:cs="Tahoma"/>
          <w:szCs w:val="16"/>
        </w:rPr>
        <w:t>- Teşvik Sistemi Kapsamında Düzenlenen Devlet Yardımlarının Bölgesel Dağılımı</w:t>
      </w:r>
      <w:bookmarkEnd w:id="2812"/>
      <w:bookmarkEnd w:id="2813"/>
      <w:bookmarkEnd w:id="2814"/>
      <w:bookmarkEnd w:id="2815"/>
      <w:bookmarkEnd w:id="2816"/>
      <w:bookmarkEnd w:id="2817"/>
    </w:p>
    <w:p w:rsidR="00565FD5" w:rsidRPr="00D50BE7" w:rsidRDefault="00565FD5" w:rsidP="00565FD5">
      <w:pPr>
        <w:jc w:val="right"/>
        <w:rPr>
          <w:rFonts w:cs="Tahoma"/>
          <w:sz w:val="14"/>
          <w:szCs w:val="14"/>
        </w:rPr>
      </w:pPr>
      <w:r w:rsidRPr="00D50BE7">
        <w:rPr>
          <w:sz w:val="14"/>
          <w:szCs w:val="14"/>
        </w:rPr>
        <w:t>(Cari fiyatlarla)</w:t>
      </w: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642"/>
        <w:gridCol w:w="519"/>
        <w:gridCol w:w="497"/>
        <w:gridCol w:w="494"/>
        <w:gridCol w:w="496"/>
        <w:gridCol w:w="479"/>
        <w:gridCol w:w="456"/>
        <w:gridCol w:w="517"/>
        <w:gridCol w:w="470"/>
        <w:gridCol w:w="640"/>
        <w:gridCol w:w="652"/>
        <w:gridCol w:w="646"/>
        <w:gridCol w:w="636"/>
      </w:tblGrid>
      <w:tr w:rsidR="00565FD5" w:rsidRPr="00A51D83" w:rsidTr="00AB62A3">
        <w:trPr>
          <w:trHeight w:val="625"/>
          <w:jc w:val="center"/>
        </w:trPr>
        <w:tc>
          <w:tcPr>
            <w:tcW w:w="450" w:type="pct"/>
            <w:vMerge w:val="restart"/>
            <w:vAlign w:val="center"/>
          </w:tcPr>
          <w:p w:rsidR="00565FD5" w:rsidRPr="00A51D83" w:rsidRDefault="00565FD5" w:rsidP="00AB62A3">
            <w:pPr>
              <w:tabs>
                <w:tab w:val="left" w:pos="708"/>
              </w:tabs>
              <w:jc w:val="center"/>
              <w:rPr>
                <w:rFonts w:cs="Tahoma"/>
                <w:b/>
                <w:bCs/>
                <w:color w:val="000000"/>
                <w:sz w:val="12"/>
                <w:szCs w:val="14"/>
                <w:lang w:eastAsia="tr-TR"/>
              </w:rPr>
            </w:pPr>
            <w:bookmarkStart w:id="2818" w:name="_Toc276076361"/>
            <w:bookmarkStart w:id="2819" w:name="_Toc244756749"/>
            <w:bookmarkStart w:id="2820" w:name="_Toc307602085"/>
            <w:bookmarkStart w:id="2821" w:name="_Toc307670522"/>
            <w:bookmarkStart w:id="2822" w:name="_Toc307701748"/>
            <w:bookmarkStart w:id="2823" w:name="_Toc338505651"/>
            <w:bookmarkStart w:id="2824" w:name="_Toc338523883"/>
            <w:bookmarkStart w:id="2825" w:name="_Toc338524114"/>
            <w:bookmarkStart w:id="2826" w:name="_Toc338526340"/>
            <w:bookmarkStart w:id="2827" w:name="_Toc338673783"/>
            <w:r w:rsidRPr="00A51D83">
              <w:rPr>
                <w:rFonts w:cs="Tahoma"/>
                <w:b/>
                <w:bCs/>
                <w:color w:val="000000"/>
                <w:sz w:val="12"/>
                <w:szCs w:val="14"/>
                <w:lang w:eastAsia="tr-TR"/>
              </w:rPr>
              <w:t>Teşvik Bölgesi</w:t>
            </w:r>
          </w:p>
        </w:tc>
        <w:tc>
          <w:tcPr>
            <w:tcW w:w="1404" w:type="pct"/>
            <w:gridSpan w:val="4"/>
            <w:noWrap/>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 xml:space="preserve">Düzenlenen Belge Sayısı </w:t>
            </w:r>
          </w:p>
        </w:tc>
        <w:tc>
          <w:tcPr>
            <w:tcW w:w="1345" w:type="pct"/>
            <w:gridSpan w:val="4"/>
            <w:noWrap/>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 xml:space="preserve"> Sabit Yatırım</w:t>
            </w:r>
          </w:p>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 xml:space="preserve"> (Milyar TL) </w:t>
            </w:r>
          </w:p>
        </w:tc>
        <w:tc>
          <w:tcPr>
            <w:tcW w:w="1801" w:type="pct"/>
            <w:gridSpan w:val="4"/>
            <w:noWrap/>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 xml:space="preserve"> İstihdam</w:t>
            </w:r>
          </w:p>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 xml:space="preserve"> (Kişi) </w:t>
            </w:r>
          </w:p>
        </w:tc>
      </w:tr>
      <w:tr w:rsidR="00565FD5" w:rsidRPr="00A51D83" w:rsidTr="00AB62A3">
        <w:trPr>
          <w:trHeight w:val="315"/>
          <w:jc w:val="center"/>
        </w:trPr>
        <w:tc>
          <w:tcPr>
            <w:tcW w:w="450" w:type="pct"/>
            <w:vMerge/>
            <w:vAlign w:val="center"/>
          </w:tcPr>
          <w:p w:rsidR="00565FD5" w:rsidRPr="00A51D83" w:rsidRDefault="00565FD5" w:rsidP="00AB62A3">
            <w:pPr>
              <w:rPr>
                <w:rFonts w:cs="Tahoma"/>
                <w:b/>
                <w:bCs/>
                <w:color w:val="000000"/>
                <w:sz w:val="12"/>
                <w:szCs w:val="14"/>
                <w:lang w:eastAsia="tr-TR"/>
              </w:rPr>
            </w:pPr>
          </w:p>
        </w:tc>
        <w:tc>
          <w:tcPr>
            <w:tcW w:w="363" w:type="pct"/>
            <w:noWrap/>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2009</w:t>
            </w:r>
          </w:p>
        </w:tc>
        <w:tc>
          <w:tcPr>
            <w:tcW w:w="348" w:type="pct"/>
            <w:noWrap/>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2010</w:t>
            </w:r>
          </w:p>
        </w:tc>
        <w:tc>
          <w:tcPr>
            <w:tcW w:w="346" w:type="pct"/>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2011</w:t>
            </w:r>
          </w:p>
        </w:tc>
        <w:tc>
          <w:tcPr>
            <w:tcW w:w="347" w:type="pct"/>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2012 (1)</w:t>
            </w:r>
          </w:p>
        </w:tc>
        <w:tc>
          <w:tcPr>
            <w:tcW w:w="335" w:type="pct"/>
            <w:noWrap/>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2009</w:t>
            </w:r>
          </w:p>
        </w:tc>
        <w:tc>
          <w:tcPr>
            <w:tcW w:w="319" w:type="pct"/>
            <w:noWrap/>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2010</w:t>
            </w:r>
          </w:p>
        </w:tc>
        <w:tc>
          <w:tcPr>
            <w:tcW w:w="362" w:type="pct"/>
            <w:noWrap/>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2011</w:t>
            </w:r>
          </w:p>
        </w:tc>
        <w:tc>
          <w:tcPr>
            <w:tcW w:w="329" w:type="pct"/>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2012 (1)</w:t>
            </w:r>
          </w:p>
        </w:tc>
        <w:tc>
          <w:tcPr>
            <w:tcW w:w="448" w:type="pct"/>
            <w:noWrap/>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2009</w:t>
            </w:r>
          </w:p>
        </w:tc>
        <w:tc>
          <w:tcPr>
            <w:tcW w:w="456" w:type="pct"/>
            <w:noWrap/>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2010</w:t>
            </w:r>
          </w:p>
        </w:tc>
        <w:tc>
          <w:tcPr>
            <w:tcW w:w="452" w:type="pct"/>
            <w:noWrap/>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2011</w:t>
            </w:r>
          </w:p>
        </w:tc>
        <w:tc>
          <w:tcPr>
            <w:tcW w:w="445" w:type="pct"/>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2012 (1)</w:t>
            </w:r>
          </w:p>
        </w:tc>
      </w:tr>
      <w:tr w:rsidR="00565FD5" w:rsidRPr="00A51D83" w:rsidTr="00AB62A3">
        <w:trPr>
          <w:trHeight w:val="315"/>
          <w:jc w:val="center"/>
        </w:trPr>
        <w:tc>
          <w:tcPr>
            <w:tcW w:w="450" w:type="pct"/>
            <w:noWrap/>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1</w:t>
            </w:r>
          </w:p>
        </w:tc>
        <w:tc>
          <w:tcPr>
            <w:tcW w:w="363"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954</w:t>
            </w:r>
          </w:p>
        </w:tc>
        <w:tc>
          <w:tcPr>
            <w:tcW w:w="348"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1.238</w:t>
            </w:r>
          </w:p>
        </w:tc>
        <w:tc>
          <w:tcPr>
            <w:tcW w:w="346"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1.497</w:t>
            </w:r>
          </w:p>
        </w:tc>
        <w:tc>
          <w:tcPr>
            <w:tcW w:w="347" w:type="pct"/>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957</w:t>
            </w:r>
          </w:p>
        </w:tc>
        <w:tc>
          <w:tcPr>
            <w:tcW w:w="335"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13,9</w:t>
            </w:r>
          </w:p>
        </w:tc>
        <w:tc>
          <w:tcPr>
            <w:tcW w:w="319"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26,6</w:t>
            </w:r>
          </w:p>
        </w:tc>
        <w:tc>
          <w:tcPr>
            <w:tcW w:w="362"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22,4</w:t>
            </w:r>
          </w:p>
        </w:tc>
        <w:tc>
          <w:tcPr>
            <w:tcW w:w="329" w:type="pct"/>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10,2</w:t>
            </w:r>
          </w:p>
        </w:tc>
        <w:tc>
          <w:tcPr>
            <w:tcW w:w="448"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41 933</w:t>
            </w:r>
          </w:p>
        </w:tc>
        <w:tc>
          <w:tcPr>
            <w:tcW w:w="456"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55 803</w:t>
            </w:r>
          </w:p>
        </w:tc>
        <w:tc>
          <w:tcPr>
            <w:tcW w:w="452"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51 918</w:t>
            </w:r>
          </w:p>
        </w:tc>
        <w:tc>
          <w:tcPr>
            <w:tcW w:w="445" w:type="pct"/>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 xml:space="preserve">33 </w:t>
            </w:r>
            <w:r w:rsidRPr="00A51D83">
              <w:rPr>
                <w:rFonts w:cs="Tahoma"/>
                <w:color w:val="000000"/>
                <w:sz w:val="12"/>
                <w:szCs w:val="14"/>
                <w:lang w:eastAsia="tr-TR"/>
              </w:rPr>
              <w:t>520</w:t>
            </w:r>
          </w:p>
        </w:tc>
      </w:tr>
      <w:tr w:rsidR="00565FD5" w:rsidRPr="00A51D83" w:rsidTr="00AB62A3">
        <w:trPr>
          <w:trHeight w:val="315"/>
          <w:jc w:val="center"/>
        </w:trPr>
        <w:tc>
          <w:tcPr>
            <w:tcW w:w="450" w:type="pct"/>
            <w:noWrap/>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2</w:t>
            </w:r>
          </w:p>
        </w:tc>
        <w:tc>
          <w:tcPr>
            <w:tcW w:w="363"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494</w:t>
            </w:r>
          </w:p>
        </w:tc>
        <w:tc>
          <w:tcPr>
            <w:tcW w:w="348"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818</w:t>
            </w:r>
          </w:p>
        </w:tc>
        <w:tc>
          <w:tcPr>
            <w:tcW w:w="346"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926</w:t>
            </w:r>
          </w:p>
        </w:tc>
        <w:tc>
          <w:tcPr>
            <w:tcW w:w="347" w:type="pct"/>
            <w:vAlign w:val="center"/>
          </w:tcPr>
          <w:p w:rsidR="00565FD5" w:rsidRPr="00A51D83" w:rsidRDefault="00565FD5" w:rsidP="00AB62A3">
            <w:pPr>
              <w:tabs>
                <w:tab w:val="left" w:pos="708"/>
              </w:tabs>
              <w:jc w:val="right"/>
              <w:rPr>
                <w:rFonts w:cs="Tahoma"/>
                <w:color w:val="000000"/>
                <w:sz w:val="12"/>
                <w:szCs w:val="14"/>
                <w:lang w:eastAsia="tr-TR"/>
              </w:rPr>
            </w:pPr>
            <w:r w:rsidRPr="00A51D83">
              <w:rPr>
                <w:rFonts w:cs="Tahoma"/>
                <w:color w:val="000000"/>
                <w:sz w:val="12"/>
                <w:szCs w:val="14"/>
                <w:lang w:eastAsia="tr-TR"/>
              </w:rPr>
              <w:t>499</w:t>
            </w:r>
          </w:p>
        </w:tc>
        <w:tc>
          <w:tcPr>
            <w:tcW w:w="335"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7,0</w:t>
            </w:r>
          </w:p>
        </w:tc>
        <w:tc>
          <w:tcPr>
            <w:tcW w:w="319"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24,1</w:t>
            </w:r>
          </w:p>
        </w:tc>
        <w:tc>
          <w:tcPr>
            <w:tcW w:w="362"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10,7</w:t>
            </w:r>
          </w:p>
        </w:tc>
        <w:tc>
          <w:tcPr>
            <w:tcW w:w="329" w:type="pct"/>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6,2</w:t>
            </w:r>
          </w:p>
        </w:tc>
        <w:tc>
          <w:tcPr>
            <w:tcW w:w="448"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16 328</w:t>
            </w:r>
          </w:p>
        </w:tc>
        <w:tc>
          <w:tcPr>
            <w:tcW w:w="456"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34 955</w:t>
            </w:r>
          </w:p>
        </w:tc>
        <w:tc>
          <w:tcPr>
            <w:tcW w:w="452"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26 535</w:t>
            </w:r>
          </w:p>
        </w:tc>
        <w:tc>
          <w:tcPr>
            <w:tcW w:w="445" w:type="pct"/>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 xml:space="preserve">12 </w:t>
            </w:r>
            <w:r w:rsidRPr="00A51D83">
              <w:rPr>
                <w:rFonts w:cs="Tahoma"/>
                <w:color w:val="000000"/>
                <w:sz w:val="12"/>
                <w:szCs w:val="14"/>
                <w:lang w:eastAsia="tr-TR"/>
              </w:rPr>
              <w:t>719</w:t>
            </w:r>
          </w:p>
        </w:tc>
      </w:tr>
      <w:tr w:rsidR="00565FD5" w:rsidRPr="00A51D83" w:rsidTr="00AB62A3">
        <w:trPr>
          <w:trHeight w:val="315"/>
          <w:jc w:val="center"/>
        </w:trPr>
        <w:tc>
          <w:tcPr>
            <w:tcW w:w="450" w:type="pct"/>
            <w:noWrap/>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3</w:t>
            </w:r>
          </w:p>
        </w:tc>
        <w:tc>
          <w:tcPr>
            <w:tcW w:w="363"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407</w:t>
            </w:r>
          </w:p>
        </w:tc>
        <w:tc>
          <w:tcPr>
            <w:tcW w:w="348"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736</w:t>
            </w:r>
          </w:p>
        </w:tc>
        <w:tc>
          <w:tcPr>
            <w:tcW w:w="346"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704</w:t>
            </w:r>
          </w:p>
        </w:tc>
        <w:tc>
          <w:tcPr>
            <w:tcW w:w="347" w:type="pct"/>
            <w:vAlign w:val="center"/>
          </w:tcPr>
          <w:p w:rsidR="00565FD5" w:rsidRPr="00A51D83" w:rsidRDefault="00565FD5" w:rsidP="00AB62A3">
            <w:pPr>
              <w:tabs>
                <w:tab w:val="left" w:pos="708"/>
              </w:tabs>
              <w:jc w:val="right"/>
              <w:rPr>
                <w:rFonts w:cs="Tahoma"/>
                <w:color w:val="000000"/>
                <w:sz w:val="12"/>
                <w:szCs w:val="14"/>
                <w:lang w:eastAsia="tr-TR"/>
              </w:rPr>
            </w:pPr>
            <w:r w:rsidRPr="00A51D83">
              <w:rPr>
                <w:rFonts w:cs="Tahoma"/>
                <w:color w:val="000000"/>
                <w:sz w:val="12"/>
                <w:szCs w:val="14"/>
                <w:lang w:eastAsia="tr-TR"/>
              </w:rPr>
              <w:t>454</w:t>
            </w:r>
          </w:p>
        </w:tc>
        <w:tc>
          <w:tcPr>
            <w:tcW w:w="335"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6,1</w:t>
            </w:r>
          </w:p>
        </w:tc>
        <w:tc>
          <w:tcPr>
            <w:tcW w:w="319"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6,2</w:t>
            </w:r>
          </w:p>
        </w:tc>
        <w:tc>
          <w:tcPr>
            <w:tcW w:w="362"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7,5</w:t>
            </w:r>
          </w:p>
        </w:tc>
        <w:tc>
          <w:tcPr>
            <w:tcW w:w="329" w:type="pct"/>
            <w:vAlign w:val="center"/>
          </w:tcPr>
          <w:p w:rsidR="00565FD5" w:rsidRPr="00A51D83" w:rsidRDefault="00565FD5" w:rsidP="00AB62A3">
            <w:pPr>
              <w:tabs>
                <w:tab w:val="left" w:pos="708"/>
              </w:tabs>
              <w:jc w:val="right"/>
              <w:rPr>
                <w:rFonts w:cs="Tahoma"/>
                <w:color w:val="000000"/>
                <w:sz w:val="12"/>
                <w:szCs w:val="14"/>
                <w:lang w:eastAsia="tr-TR"/>
              </w:rPr>
            </w:pPr>
            <w:r w:rsidRPr="00A51D83">
              <w:rPr>
                <w:rFonts w:cs="Tahoma"/>
                <w:color w:val="000000"/>
                <w:sz w:val="12"/>
                <w:szCs w:val="14"/>
                <w:lang w:eastAsia="tr-TR"/>
              </w:rPr>
              <w:t>4</w:t>
            </w:r>
            <w:r>
              <w:rPr>
                <w:rFonts w:cs="Tahoma"/>
                <w:color w:val="000000"/>
                <w:sz w:val="12"/>
                <w:szCs w:val="14"/>
                <w:lang w:eastAsia="tr-TR"/>
              </w:rPr>
              <w:t>,0</w:t>
            </w:r>
          </w:p>
        </w:tc>
        <w:tc>
          <w:tcPr>
            <w:tcW w:w="448"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16 203</w:t>
            </w:r>
          </w:p>
        </w:tc>
        <w:tc>
          <w:tcPr>
            <w:tcW w:w="456"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21 823</w:t>
            </w:r>
          </w:p>
        </w:tc>
        <w:tc>
          <w:tcPr>
            <w:tcW w:w="452"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17 112</w:t>
            </w:r>
          </w:p>
        </w:tc>
        <w:tc>
          <w:tcPr>
            <w:tcW w:w="445" w:type="pct"/>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 xml:space="preserve">9 </w:t>
            </w:r>
            <w:r w:rsidRPr="00A51D83">
              <w:rPr>
                <w:rFonts w:cs="Tahoma"/>
                <w:color w:val="000000"/>
                <w:sz w:val="12"/>
                <w:szCs w:val="14"/>
                <w:lang w:eastAsia="tr-TR"/>
              </w:rPr>
              <w:t>350</w:t>
            </w:r>
          </w:p>
        </w:tc>
      </w:tr>
      <w:tr w:rsidR="00565FD5" w:rsidRPr="00A51D83" w:rsidTr="00AB62A3">
        <w:trPr>
          <w:trHeight w:val="315"/>
          <w:jc w:val="center"/>
        </w:trPr>
        <w:tc>
          <w:tcPr>
            <w:tcW w:w="450" w:type="pct"/>
            <w:noWrap/>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4</w:t>
            </w:r>
          </w:p>
        </w:tc>
        <w:tc>
          <w:tcPr>
            <w:tcW w:w="363"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332</w:t>
            </w:r>
          </w:p>
        </w:tc>
        <w:tc>
          <w:tcPr>
            <w:tcW w:w="348"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635</w:t>
            </w:r>
          </w:p>
        </w:tc>
        <w:tc>
          <w:tcPr>
            <w:tcW w:w="346"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610</w:t>
            </w:r>
          </w:p>
        </w:tc>
        <w:tc>
          <w:tcPr>
            <w:tcW w:w="347" w:type="pct"/>
            <w:vAlign w:val="center"/>
          </w:tcPr>
          <w:p w:rsidR="00565FD5" w:rsidRPr="00A51D83" w:rsidRDefault="00565FD5" w:rsidP="00AB62A3">
            <w:pPr>
              <w:tabs>
                <w:tab w:val="left" w:pos="708"/>
              </w:tabs>
              <w:jc w:val="right"/>
              <w:rPr>
                <w:rFonts w:cs="Tahoma"/>
                <w:color w:val="000000"/>
                <w:sz w:val="12"/>
                <w:szCs w:val="14"/>
                <w:lang w:eastAsia="tr-TR"/>
              </w:rPr>
            </w:pPr>
            <w:r w:rsidRPr="00A51D83">
              <w:rPr>
                <w:rFonts w:cs="Tahoma"/>
                <w:color w:val="000000"/>
                <w:sz w:val="12"/>
                <w:szCs w:val="14"/>
                <w:lang w:eastAsia="tr-TR"/>
              </w:rPr>
              <w:t>324</w:t>
            </w:r>
          </w:p>
        </w:tc>
        <w:tc>
          <w:tcPr>
            <w:tcW w:w="335"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3,2</w:t>
            </w:r>
          </w:p>
        </w:tc>
        <w:tc>
          <w:tcPr>
            <w:tcW w:w="319"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6,2</w:t>
            </w:r>
          </w:p>
        </w:tc>
        <w:tc>
          <w:tcPr>
            <w:tcW w:w="362"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6,8</w:t>
            </w:r>
          </w:p>
        </w:tc>
        <w:tc>
          <w:tcPr>
            <w:tcW w:w="329" w:type="pct"/>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3,5</w:t>
            </w:r>
          </w:p>
        </w:tc>
        <w:tc>
          <w:tcPr>
            <w:tcW w:w="448"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11 306</w:t>
            </w:r>
          </w:p>
        </w:tc>
        <w:tc>
          <w:tcPr>
            <w:tcW w:w="456"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19 769</w:t>
            </w:r>
          </w:p>
        </w:tc>
        <w:tc>
          <w:tcPr>
            <w:tcW w:w="452"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15 252</w:t>
            </w:r>
          </w:p>
        </w:tc>
        <w:tc>
          <w:tcPr>
            <w:tcW w:w="445" w:type="pct"/>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 xml:space="preserve">10 </w:t>
            </w:r>
            <w:r w:rsidRPr="00A51D83">
              <w:rPr>
                <w:rFonts w:cs="Tahoma"/>
                <w:color w:val="000000"/>
                <w:sz w:val="12"/>
                <w:szCs w:val="14"/>
                <w:lang w:eastAsia="tr-TR"/>
              </w:rPr>
              <w:t>187</w:t>
            </w:r>
          </w:p>
        </w:tc>
      </w:tr>
      <w:tr w:rsidR="00565FD5" w:rsidRPr="00A51D83" w:rsidTr="00AB62A3">
        <w:trPr>
          <w:trHeight w:val="315"/>
          <w:jc w:val="center"/>
        </w:trPr>
        <w:tc>
          <w:tcPr>
            <w:tcW w:w="450" w:type="pct"/>
            <w:noWrap/>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5</w:t>
            </w:r>
          </w:p>
        </w:tc>
        <w:tc>
          <w:tcPr>
            <w:tcW w:w="363"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218</w:t>
            </w:r>
          </w:p>
        </w:tc>
        <w:tc>
          <w:tcPr>
            <w:tcW w:w="348"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548</w:t>
            </w:r>
          </w:p>
        </w:tc>
        <w:tc>
          <w:tcPr>
            <w:tcW w:w="346"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463</w:t>
            </w:r>
          </w:p>
        </w:tc>
        <w:tc>
          <w:tcPr>
            <w:tcW w:w="347" w:type="pct"/>
            <w:vAlign w:val="center"/>
          </w:tcPr>
          <w:p w:rsidR="00565FD5" w:rsidRPr="00A51D83" w:rsidRDefault="00565FD5" w:rsidP="00AB62A3">
            <w:pPr>
              <w:tabs>
                <w:tab w:val="left" w:pos="708"/>
              </w:tabs>
              <w:jc w:val="right"/>
              <w:rPr>
                <w:rFonts w:cs="Tahoma"/>
                <w:color w:val="000000"/>
                <w:sz w:val="12"/>
                <w:szCs w:val="14"/>
                <w:lang w:eastAsia="tr-TR"/>
              </w:rPr>
            </w:pPr>
            <w:r w:rsidRPr="00A51D83">
              <w:rPr>
                <w:rFonts w:cs="Tahoma"/>
                <w:color w:val="000000"/>
                <w:sz w:val="12"/>
                <w:szCs w:val="14"/>
                <w:lang w:eastAsia="tr-TR"/>
              </w:rPr>
              <w:t>213</w:t>
            </w:r>
          </w:p>
        </w:tc>
        <w:tc>
          <w:tcPr>
            <w:tcW w:w="335"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2,5</w:t>
            </w:r>
          </w:p>
        </w:tc>
        <w:tc>
          <w:tcPr>
            <w:tcW w:w="319"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5,4</w:t>
            </w:r>
          </w:p>
        </w:tc>
        <w:tc>
          <w:tcPr>
            <w:tcW w:w="362"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5,1</w:t>
            </w:r>
          </w:p>
        </w:tc>
        <w:tc>
          <w:tcPr>
            <w:tcW w:w="329" w:type="pct"/>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3,1</w:t>
            </w:r>
          </w:p>
        </w:tc>
        <w:tc>
          <w:tcPr>
            <w:tcW w:w="448"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7 874</w:t>
            </w:r>
          </w:p>
        </w:tc>
        <w:tc>
          <w:tcPr>
            <w:tcW w:w="456"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15 940</w:t>
            </w:r>
          </w:p>
        </w:tc>
        <w:tc>
          <w:tcPr>
            <w:tcW w:w="452"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12 722</w:t>
            </w:r>
          </w:p>
        </w:tc>
        <w:tc>
          <w:tcPr>
            <w:tcW w:w="445" w:type="pct"/>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 xml:space="preserve">8 </w:t>
            </w:r>
            <w:r w:rsidRPr="00A51D83">
              <w:rPr>
                <w:rFonts w:cs="Tahoma"/>
                <w:color w:val="000000"/>
                <w:sz w:val="12"/>
                <w:szCs w:val="14"/>
                <w:lang w:eastAsia="tr-TR"/>
              </w:rPr>
              <w:t>372</w:t>
            </w:r>
          </w:p>
        </w:tc>
      </w:tr>
      <w:tr w:rsidR="00565FD5" w:rsidRPr="00A51D83" w:rsidTr="00AB62A3">
        <w:trPr>
          <w:trHeight w:val="315"/>
          <w:jc w:val="center"/>
        </w:trPr>
        <w:tc>
          <w:tcPr>
            <w:tcW w:w="450" w:type="pct"/>
            <w:noWrap/>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6</w:t>
            </w:r>
          </w:p>
        </w:tc>
        <w:tc>
          <w:tcPr>
            <w:tcW w:w="363"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237</w:t>
            </w:r>
          </w:p>
        </w:tc>
        <w:tc>
          <w:tcPr>
            <w:tcW w:w="348"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528</w:t>
            </w:r>
          </w:p>
        </w:tc>
        <w:tc>
          <w:tcPr>
            <w:tcW w:w="346"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405</w:t>
            </w:r>
          </w:p>
        </w:tc>
        <w:tc>
          <w:tcPr>
            <w:tcW w:w="347" w:type="pct"/>
            <w:vAlign w:val="center"/>
          </w:tcPr>
          <w:p w:rsidR="00565FD5" w:rsidRPr="00A51D83" w:rsidRDefault="00565FD5" w:rsidP="00AB62A3">
            <w:pPr>
              <w:tabs>
                <w:tab w:val="left" w:pos="708"/>
              </w:tabs>
              <w:jc w:val="right"/>
              <w:rPr>
                <w:rFonts w:cs="Tahoma"/>
                <w:color w:val="000000"/>
                <w:sz w:val="12"/>
                <w:szCs w:val="14"/>
                <w:lang w:eastAsia="tr-TR"/>
              </w:rPr>
            </w:pPr>
            <w:r w:rsidRPr="00A51D83">
              <w:rPr>
                <w:rFonts w:cs="Tahoma"/>
                <w:color w:val="000000"/>
                <w:sz w:val="12"/>
                <w:szCs w:val="14"/>
                <w:lang w:eastAsia="tr-TR"/>
              </w:rPr>
              <w:t>277</w:t>
            </w:r>
          </w:p>
        </w:tc>
        <w:tc>
          <w:tcPr>
            <w:tcW w:w="335"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0,9</w:t>
            </w:r>
          </w:p>
        </w:tc>
        <w:tc>
          <w:tcPr>
            <w:tcW w:w="319"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2,0</w:t>
            </w:r>
          </w:p>
        </w:tc>
        <w:tc>
          <w:tcPr>
            <w:tcW w:w="362"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3,0</w:t>
            </w:r>
          </w:p>
        </w:tc>
        <w:tc>
          <w:tcPr>
            <w:tcW w:w="329" w:type="pct"/>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1,8</w:t>
            </w:r>
          </w:p>
        </w:tc>
        <w:tc>
          <w:tcPr>
            <w:tcW w:w="448"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7 553</w:t>
            </w:r>
          </w:p>
        </w:tc>
        <w:tc>
          <w:tcPr>
            <w:tcW w:w="456"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13 062</w:t>
            </w:r>
          </w:p>
        </w:tc>
        <w:tc>
          <w:tcPr>
            <w:tcW w:w="452"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9 243</w:t>
            </w:r>
          </w:p>
        </w:tc>
        <w:tc>
          <w:tcPr>
            <w:tcW w:w="445" w:type="pct"/>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 xml:space="preserve">11 </w:t>
            </w:r>
            <w:r w:rsidRPr="00A51D83">
              <w:rPr>
                <w:rFonts w:cs="Tahoma"/>
                <w:color w:val="000000"/>
                <w:sz w:val="12"/>
                <w:szCs w:val="14"/>
                <w:lang w:eastAsia="tr-TR"/>
              </w:rPr>
              <w:t>546</w:t>
            </w:r>
          </w:p>
        </w:tc>
      </w:tr>
      <w:tr w:rsidR="00565FD5" w:rsidRPr="00A51D83" w:rsidTr="00AB62A3">
        <w:trPr>
          <w:trHeight w:val="315"/>
          <w:jc w:val="center"/>
        </w:trPr>
        <w:tc>
          <w:tcPr>
            <w:tcW w:w="450" w:type="pct"/>
            <w:noWrap/>
            <w:vAlign w:val="center"/>
          </w:tcPr>
          <w:p w:rsidR="00565FD5" w:rsidRPr="00A51D83" w:rsidRDefault="00565FD5" w:rsidP="00AB62A3">
            <w:pPr>
              <w:tabs>
                <w:tab w:val="left" w:pos="708"/>
              </w:tabs>
              <w:jc w:val="center"/>
              <w:rPr>
                <w:rFonts w:cs="Tahoma"/>
                <w:b/>
                <w:bCs/>
                <w:color w:val="000000"/>
                <w:sz w:val="12"/>
                <w:szCs w:val="14"/>
                <w:lang w:eastAsia="tr-TR"/>
              </w:rPr>
            </w:pPr>
            <w:r>
              <w:rPr>
                <w:rFonts w:cs="Tahoma"/>
                <w:b/>
                <w:bCs/>
                <w:color w:val="000000"/>
                <w:sz w:val="12"/>
                <w:szCs w:val="14"/>
                <w:lang w:eastAsia="tr-TR"/>
              </w:rPr>
              <w:t>Muhtelif Bölgeler</w:t>
            </w:r>
          </w:p>
        </w:tc>
        <w:tc>
          <w:tcPr>
            <w:tcW w:w="363" w:type="pct"/>
            <w:noWrap/>
            <w:vAlign w:val="center"/>
          </w:tcPr>
          <w:p w:rsidR="00565FD5"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5</w:t>
            </w:r>
          </w:p>
        </w:tc>
        <w:tc>
          <w:tcPr>
            <w:tcW w:w="348"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2</w:t>
            </w:r>
          </w:p>
        </w:tc>
        <w:tc>
          <w:tcPr>
            <w:tcW w:w="346"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13</w:t>
            </w:r>
          </w:p>
        </w:tc>
        <w:tc>
          <w:tcPr>
            <w:tcW w:w="347" w:type="pct"/>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4</w:t>
            </w:r>
          </w:p>
        </w:tc>
        <w:tc>
          <w:tcPr>
            <w:tcW w:w="335" w:type="pct"/>
            <w:noWrap/>
            <w:vAlign w:val="center"/>
          </w:tcPr>
          <w:p w:rsidR="00565FD5"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1,7</w:t>
            </w:r>
          </w:p>
        </w:tc>
        <w:tc>
          <w:tcPr>
            <w:tcW w:w="319"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0,1</w:t>
            </w:r>
          </w:p>
        </w:tc>
        <w:tc>
          <w:tcPr>
            <w:tcW w:w="362"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2,8</w:t>
            </w:r>
          </w:p>
        </w:tc>
        <w:tc>
          <w:tcPr>
            <w:tcW w:w="329" w:type="pct"/>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1,2</w:t>
            </w:r>
          </w:p>
        </w:tc>
        <w:tc>
          <w:tcPr>
            <w:tcW w:w="448" w:type="pct"/>
            <w:noWrap/>
            <w:vAlign w:val="center"/>
          </w:tcPr>
          <w:p w:rsidR="00565FD5"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17</w:t>
            </w:r>
          </w:p>
        </w:tc>
        <w:tc>
          <w:tcPr>
            <w:tcW w:w="456"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300</w:t>
            </w:r>
          </w:p>
        </w:tc>
        <w:tc>
          <w:tcPr>
            <w:tcW w:w="452" w:type="pct"/>
            <w:noWrap/>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168</w:t>
            </w:r>
          </w:p>
        </w:tc>
        <w:tc>
          <w:tcPr>
            <w:tcW w:w="445" w:type="pct"/>
            <w:vAlign w:val="center"/>
          </w:tcPr>
          <w:p w:rsidR="00565FD5" w:rsidRPr="00A51D83" w:rsidRDefault="00565FD5" w:rsidP="00AB62A3">
            <w:pPr>
              <w:tabs>
                <w:tab w:val="left" w:pos="708"/>
              </w:tabs>
              <w:jc w:val="right"/>
              <w:rPr>
                <w:rFonts w:cs="Tahoma"/>
                <w:color w:val="000000"/>
                <w:sz w:val="12"/>
                <w:szCs w:val="14"/>
                <w:lang w:eastAsia="tr-TR"/>
              </w:rPr>
            </w:pPr>
            <w:r>
              <w:rPr>
                <w:rFonts w:cs="Tahoma"/>
                <w:color w:val="000000"/>
                <w:sz w:val="12"/>
                <w:szCs w:val="14"/>
                <w:lang w:eastAsia="tr-TR"/>
              </w:rPr>
              <w:t>87</w:t>
            </w:r>
          </w:p>
        </w:tc>
      </w:tr>
      <w:tr w:rsidR="00565FD5" w:rsidRPr="00A51D83" w:rsidTr="00AB62A3">
        <w:trPr>
          <w:trHeight w:val="315"/>
          <w:jc w:val="center"/>
        </w:trPr>
        <w:tc>
          <w:tcPr>
            <w:tcW w:w="450" w:type="pct"/>
            <w:noWrap/>
            <w:vAlign w:val="center"/>
          </w:tcPr>
          <w:p w:rsidR="00565FD5" w:rsidRPr="00A51D83" w:rsidRDefault="00565FD5" w:rsidP="00AB62A3">
            <w:pPr>
              <w:tabs>
                <w:tab w:val="left" w:pos="708"/>
              </w:tabs>
              <w:jc w:val="center"/>
              <w:rPr>
                <w:rFonts w:cs="Tahoma"/>
                <w:b/>
                <w:bCs/>
                <w:color w:val="000000"/>
                <w:sz w:val="12"/>
                <w:szCs w:val="14"/>
                <w:lang w:eastAsia="tr-TR"/>
              </w:rPr>
            </w:pPr>
            <w:r w:rsidRPr="00A51D83">
              <w:rPr>
                <w:rFonts w:cs="Tahoma"/>
                <w:b/>
                <w:bCs/>
                <w:color w:val="000000"/>
                <w:sz w:val="12"/>
                <w:szCs w:val="14"/>
                <w:lang w:eastAsia="tr-TR"/>
              </w:rPr>
              <w:t>Toplam</w:t>
            </w:r>
          </w:p>
        </w:tc>
        <w:tc>
          <w:tcPr>
            <w:tcW w:w="363" w:type="pct"/>
            <w:noWrap/>
            <w:vAlign w:val="center"/>
          </w:tcPr>
          <w:p w:rsidR="00565FD5" w:rsidRPr="00A51D83" w:rsidRDefault="00565FD5" w:rsidP="00AB62A3">
            <w:pPr>
              <w:tabs>
                <w:tab w:val="left" w:pos="708"/>
              </w:tabs>
              <w:jc w:val="right"/>
              <w:rPr>
                <w:rFonts w:cs="Tahoma"/>
                <w:b/>
                <w:bCs/>
                <w:color w:val="000000"/>
                <w:sz w:val="12"/>
                <w:szCs w:val="14"/>
                <w:lang w:eastAsia="tr-TR"/>
              </w:rPr>
            </w:pPr>
            <w:r>
              <w:rPr>
                <w:rFonts w:cs="Tahoma"/>
                <w:b/>
                <w:bCs/>
                <w:color w:val="000000"/>
                <w:sz w:val="12"/>
                <w:szCs w:val="14"/>
                <w:lang w:eastAsia="tr-TR"/>
              </w:rPr>
              <w:t>2 647</w:t>
            </w:r>
          </w:p>
        </w:tc>
        <w:tc>
          <w:tcPr>
            <w:tcW w:w="348" w:type="pct"/>
            <w:noWrap/>
            <w:vAlign w:val="center"/>
          </w:tcPr>
          <w:p w:rsidR="00565FD5" w:rsidRPr="00A51D83" w:rsidRDefault="00565FD5" w:rsidP="00AB62A3">
            <w:pPr>
              <w:tabs>
                <w:tab w:val="left" w:pos="708"/>
              </w:tabs>
              <w:jc w:val="right"/>
              <w:rPr>
                <w:rFonts w:cs="Tahoma"/>
                <w:b/>
                <w:bCs/>
                <w:color w:val="000000"/>
                <w:sz w:val="12"/>
                <w:szCs w:val="14"/>
                <w:lang w:eastAsia="tr-TR"/>
              </w:rPr>
            </w:pPr>
            <w:r>
              <w:rPr>
                <w:rFonts w:cs="Tahoma"/>
                <w:b/>
                <w:bCs/>
                <w:color w:val="000000"/>
                <w:sz w:val="12"/>
                <w:szCs w:val="14"/>
                <w:lang w:eastAsia="tr-TR"/>
              </w:rPr>
              <w:t>4 505</w:t>
            </w:r>
          </w:p>
        </w:tc>
        <w:tc>
          <w:tcPr>
            <w:tcW w:w="346" w:type="pct"/>
            <w:noWrap/>
            <w:vAlign w:val="center"/>
          </w:tcPr>
          <w:p w:rsidR="00565FD5" w:rsidRPr="00A51D83" w:rsidRDefault="00565FD5" w:rsidP="00AB62A3">
            <w:pPr>
              <w:tabs>
                <w:tab w:val="left" w:pos="708"/>
              </w:tabs>
              <w:jc w:val="right"/>
              <w:rPr>
                <w:rFonts w:cs="Tahoma"/>
                <w:b/>
                <w:bCs/>
                <w:color w:val="000000"/>
                <w:sz w:val="12"/>
                <w:szCs w:val="14"/>
                <w:lang w:eastAsia="tr-TR"/>
              </w:rPr>
            </w:pPr>
            <w:r>
              <w:rPr>
                <w:rFonts w:cs="Tahoma"/>
                <w:b/>
                <w:bCs/>
                <w:color w:val="000000"/>
                <w:sz w:val="12"/>
                <w:szCs w:val="14"/>
                <w:lang w:eastAsia="tr-TR"/>
              </w:rPr>
              <w:t>4 618</w:t>
            </w:r>
          </w:p>
        </w:tc>
        <w:tc>
          <w:tcPr>
            <w:tcW w:w="347" w:type="pct"/>
            <w:vAlign w:val="center"/>
          </w:tcPr>
          <w:p w:rsidR="00565FD5" w:rsidRPr="00A51D83" w:rsidRDefault="00565FD5" w:rsidP="00AB62A3">
            <w:pPr>
              <w:tabs>
                <w:tab w:val="left" w:pos="708"/>
              </w:tabs>
              <w:jc w:val="right"/>
              <w:rPr>
                <w:rFonts w:cs="Tahoma"/>
                <w:b/>
                <w:bCs/>
                <w:color w:val="000000"/>
                <w:sz w:val="12"/>
                <w:szCs w:val="14"/>
                <w:lang w:eastAsia="tr-TR"/>
              </w:rPr>
            </w:pPr>
            <w:r>
              <w:rPr>
                <w:rFonts w:cs="Tahoma"/>
                <w:b/>
                <w:bCs/>
                <w:color w:val="000000"/>
                <w:sz w:val="12"/>
                <w:szCs w:val="14"/>
                <w:lang w:eastAsia="tr-TR"/>
              </w:rPr>
              <w:t xml:space="preserve">2 </w:t>
            </w:r>
            <w:r w:rsidRPr="00A51D83">
              <w:rPr>
                <w:rFonts w:cs="Tahoma"/>
                <w:b/>
                <w:bCs/>
                <w:color w:val="000000"/>
                <w:sz w:val="12"/>
                <w:szCs w:val="14"/>
                <w:lang w:eastAsia="tr-TR"/>
              </w:rPr>
              <w:t>728</w:t>
            </w:r>
          </w:p>
        </w:tc>
        <w:tc>
          <w:tcPr>
            <w:tcW w:w="335" w:type="pct"/>
            <w:noWrap/>
            <w:vAlign w:val="center"/>
          </w:tcPr>
          <w:p w:rsidR="00565FD5" w:rsidRPr="00A51D83" w:rsidRDefault="00565FD5" w:rsidP="00AB62A3">
            <w:pPr>
              <w:tabs>
                <w:tab w:val="left" w:pos="708"/>
              </w:tabs>
              <w:jc w:val="right"/>
              <w:rPr>
                <w:rFonts w:cs="Tahoma"/>
                <w:b/>
                <w:bCs/>
                <w:color w:val="000000"/>
                <w:sz w:val="12"/>
                <w:szCs w:val="14"/>
                <w:lang w:eastAsia="tr-TR"/>
              </w:rPr>
            </w:pPr>
            <w:r>
              <w:rPr>
                <w:rFonts w:cs="Tahoma"/>
                <w:b/>
                <w:bCs/>
                <w:color w:val="000000"/>
                <w:sz w:val="12"/>
                <w:szCs w:val="14"/>
                <w:lang w:eastAsia="tr-TR"/>
              </w:rPr>
              <w:t>35,4</w:t>
            </w:r>
          </w:p>
        </w:tc>
        <w:tc>
          <w:tcPr>
            <w:tcW w:w="319" w:type="pct"/>
            <w:noWrap/>
            <w:vAlign w:val="center"/>
          </w:tcPr>
          <w:p w:rsidR="00565FD5" w:rsidRPr="00A51D83" w:rsidRDefault="00565FD5" w:rsidP="00AB62A3">
            <w:pPr>
              <w:tabs>
                <w:tab w:val="left" w:pos="708"/>
              </w:tabs>
              <w:jc w:val="right"/>
              <w:rPr>
                <w:rFonts w:cs="Tahoma"/>
                <w:b/>
                <w:bCs/>
                <w:color w:val="000000"/>
                <w:sz w:val="12"/>
                <w:szCs w:val="14"/>
                <w:lang w:eastAsia="tr-TR"/>
              </w:rPr>
            </w:pPr>
            <w:r>
              <w:rPr>
                <w:rFonts w:cs="Tahoma"/>
                <w:b/>
                <w:bCs/>
                <w:color w:val="000000"/>
                <w:sz w:val="12"/>
                <w:szCs w:val="14"/>
                <w:lang w:eastAsia="tr-TR"/>
              </w:rPr>
              <w:t>70,6</w:t>
            </w:r>
          </w:p>
        </w:tc>
        <w:tc>
          <w:tcPr>
            <w:tcW w:w="362" w:type="pct"/>
            <w:noWrap/>
            <w:vAlign w:val="center"/>
          </w:tcPr>
          <w:p w:rsidR="00565FD5" w:rsidRPr="00A51D83" w:rsidRDefault="00565FD5" w:rsidP="00AB62A3">
            <w:pPr>
              <w:tabs>
                <w:tab w:val="left" w:pos="708"/>
              </w:tabs>
              <w:jc w:val="right"/>
              <w:rPr>
                <w:rFonts w:cs="Tahoma"/>
                <w:b/>
                <w:bCs/>
                <w:color w:val="000000"/>
                <w:sz w:val="12"/>
                <w:szCs w:val="14"/>
                <w:lang w:eastAsia="tr-TR"/>
              </w:rPr>
            </w:pPr>
            <w:r>
              <w:rPr>
                <w:rFonts w:cs="Tahoma"/>
                <w:b/>
                <w:bCs/>
                <w:color w:val="000000"/>
                <w:sz w:val="12"/>
                <w:szCs w:val="14"/>
                <w:lang w:eastAsia="tr-TR"/>
              </w:rPr>
              <w:t>58,2</w:t>
            </w:r>
          </w:p>
        </w:tc>
        <w:tc>
          <w:tcPr>
            <w:tcW w:w="329" w:type="pct"/>
            <w:vAlign w:val="center"/>
          </w:tcPr>
          <w:p w:rsidR="00565FD5" w:rsidRPr="00A51D83" w:rsidRDefault="00565FD5" w:rsidP="00AB62A3">
            <w:pPr>
              <w:tabs>
                <w:tab w:val="left" w:pos="708"/>
              </w:tabs>
              <w:jc w:val="right"/>
              <w:rPr>
                <w:rFonts w:cs="Tahoma"/>
                <w:b/>
                <w:bCs/>
                <w:color w:val="000000"/>
                <w:sz w:val="12"/>
                <w:szCs w:val="14"/>
                <w:highlight w:val="yellow"/>
                <w:lang w:eastAsia="tr-TR"/>
              </w:rPr>
            </w:pPr>
            <w:r w:rsidRPr="00151FB4">
              <w:rPr>
                <w:rFonts w:cs="Tahoma"/>
                <w:b/>
                <w:bCs/>
                <w:color w:val="000000"/>
                <w:sz w:val="12"/>
                <w:szCs w:val="14"/>
                <w:lang w:eastAsia="tr-TR"/>
              </w:rPr>
              <w:t>30,0</w:t>
            </w:r>
          </w:p>
        </w:tc>
        <w:tc>
          <w:tcPr>
            <w:tcW w:w="448" w:type="pct"/>
            <w:noWrap/>
            <w:vAlign w:val="center"/>
          </w:tcPr>
          <w:p w:rsidR="00565FD5" w:rsidRPr="00A51D83" w:rsidRDefault="00565FD5" w:rsidP="00AB62A3">
            <w:pPr>
              <w:tabs>
                <w:tab w:val="left" w:pos="708"/>
              </w:tabs>
              <w:jc w:val="right"/>
              <w:rPr>
                <w:rFonts w:cs="Tahoma"/>
                <w:b/>
                <w:bCs/>
                <w:color w:val="000000"/>
                <w:sz w:val="12"/>
                <w:szCs w:val="14"/>
                <w:lang w:eastAsia="tr-TR"/>
              </w:rPr>
            </w:pPr>
            <w:r>
              <w:rPr>
                <w:rFonts w:cs="Tahoma"/>
                <w:b/>
                <w:bCs/>
                <w:color w:val="000000"/>
                <w:sz w:val="12"/>
                <w:szCs w:val="14"/>
                <w:lang w:eastAsia="tr-TR"/>
              </w:rPr>
              <w:t>101 214</w:t>
            </w:r>
          </w:p>
        </w:tc>
        <w:tc>
          <w:tcPr>
            <w:tcW w:w="456" w:type="pct"/>
            <w:noWrap/>
            <w:vAlign w:val="center"/>
          </w:tcPr>
          <w:p w:rsidR="00565FD5" w:rsidRPr="00A51D83" w:rsidRDefault="00565FD5" w:rsidP="00AB62A3">
            <w:pPr>
              <w:tabs>
                <w:tab w:val="left" w:pos="708"/>
              </w:tabs>
              <w:jc w:val="right"/>
              <w:rPr>
                <w:rFonts w:cs="Tahoma"/>
                <w:b/>
                <w:bCs/>
                <w:color w:val="000000"/>
                <w:sz w:val="12"/>
                <w:szCs w:val="14"/>
                <w:lang w:eastAsia="tr-TR"/>
              </w:rPr>
            </w:pPr>
            <w:r>
              <w:rPr>
                <w:rFonts w:cs="Tahoma"/>
                <w:b/>
                <w:bCs/>
                <w:color w:val="000000"/>
                <w:sz w:val="12"/>
                <w:szCs w:val="14"/>
                <w:lang w:eastAsia="tr-TR"/>
              </w:rPr>
              <w:t>161 652</w:t>
            </w:r>
          </w:p>
        </w:tc>
        <w:tc>
          <w:tcPr>
            <w:tcW w:w="452" w:type="pct"/>
            <w:noWrap/>
            <w:vAlign w:val="center"/>
          </w:tcPr>
          <w:p w:rsidR="00565FD5" w:rsidRPr="00A51D83" w:rsidRDefault="00565FD5" w:rsidP="00AB62A3">
            <w:pPr>
              <w:tabs>
                <w:tab w:val="left" w:pos="708"/>
              </w:tabs>
              <w:rPr>
                <w:rFonts w:cs="Tahoma"/>
                <w:b/>
                <w:bCs/>
                <w:color w:val="000000"/>
                <w:sz w:val="12"/>
                <w:szCs w:val="14"/>
                <w:lang w:eastAsia="tr-TR"/>
              </w:rPr>
            </w:pPr>
            <w:r>
              <w:rPr>
                <w:rFonts w:cs="Tahoma"/>
                <w:b/>
                <w:bCs/>
                <w:color w:val="000000"/>
                <w:sz w:val="12"/>
                <w:szCs w:val="14"/>
                <w:lang w:eastAsia="tr-TR"/>
              </w:rPr>
              <w:t>132 950</w:t>
            </w:r>
          </w:p>
        </w:tc>
        <w:tc>
          <w:tcPr>
            <w:tcW w:w="445" w:type="pct"/>
            <w:vAlign w:val="center"/>
          </w:tcPr>
          <w:p w:rsidR="00565FD5" w:rsidRPr="00A51D83" w:rsidRDefault="00565FD5" w:rsidP="00AB62A3">
            <w:pPr>
              <w:tabs>
                <w:tab w:val="left" w:pos="708"/>
              </w:tabs>
              <w:jc w:val="right"/>
              <w:rPr>
                <w:rFonts w:cs="Tahoma"/>
                <w:b/>
                <w:bCs/>
                <w:color w:val="000000"/>
                <w:sz w:val="12"/>
                <w:szCs w:val="14"/>
                <w:highlight w:val="yellow"/>
                <w:lang w:eastAsia="tr-TR"/>
              </w:rPr>
            </w:pPr>
            <w:r w:rsidRPr="00151FB4">
              <w:rPr>
                <w:rFonts w:cs="Tahoma"/>
                <w:b/>
                <w:bCs/>
                <w:color w:val="000000"/>
                <w:sz w:val="12"/>
                <w:szCs w:val="14"/>
                <w:lang w:eastAsia="tr-TR"/>
              </w:rPr>
              <w:t>85</w:t>
            </w:r>
            <w:r>
              <w:rPr>
                <w:rFonts w:cs="Tahoma"/>
                <w:b/>
                <w:bCs/>
                <w:color w:val="000000"/>
                <w:sz w:val="12"/>
                <w:szCs w:val="14"/>
                <w:lang w:eastAsia="tr-TR"/>
              </w:rPr>
              <w:t xml:space="preserve"> </w:t>
            </w:r>
            <w:r w:rsidRPr="00151FB4">
              <w:rPr>
                <w:rFonts w:cs="Tahoma"/>
                <w:b/>
                <w:bCs/>
                <w:color w:val="000000"/>
                <w:sz w:val="12"/>
                <w:szCs w:val="14"/>
                <w:lang w:eastAsia="tr-TR"/>
              </w:rPr>
              <w:t>781</w:t>
            </w:r>
          </w:p>
        </w:tc>
      </w:tr>
    </w:tbl>
    <w:p w:rsidR="00565FD5" w:rsidRPr="004439FC" w:rsidRDefault="00565FD5" w:rsidP="00565FD5">
      <w:pPr>
        <w:rPr>
          <w:rFonts w:cs="Tahoma"/>
          <w:sz w:val="14"/>
          <w:szCs w:val="14"/>
        </w:rPr>
      </w:pPr>
      <w:r w:rsidRPr="004439FC">
        <w:rPr>
          <w:rFonts w:cs="Tahoma"/>
          <w:sz w:val="14"/>
          <w:szCs w:val="14"/>
        </w:rPr>
        <w:t>Kaynak: Ekonomi Bakanlığı</w:t>
      </w:r>
      <w:r>
        <w:rPr>
          <w:rFonts w:cs="Tahoma"/>
          <w:sz w:val="14"/>
          <w:szCs w:val="14"/>
        </w:rPr>
        <w:t>, 2012</w:t>
      </w:r>
    </w:p>
    <w:p w:rsidR="00565FD5" w:rsidRPr="004439FC" w:rsidRDefault="00565FD5" w:rsidP="00565FD5">
      <w:pPr>
        <w:rPr>
          <w:rFonts w:cs="Tahoma"/>
          <w:sz w:val="14"/>
          <w:szCs w:val="14"/>
        </w:rPr>
      </w:pPr>
      <w:r w:rsidRPr="004439FC">
        <w:rPr>
          <w:rFonts w:cs="Tahoma"/>
          <w:sz w:val="14"/>
          <w:szCs w:val="14"/>
        </w:rPr>
        <w:t>(1) 2012 yılı Ocak-Ağustos aylarını kapsamaktadır</w:t>
      </w:r>
    </w:p>
    <w:p w:rsidR="00565FD5" w:rsidRPr="00D50BE7" w:rsidRDefault="00565FD5" w:rsidP="00565FD5"/>
    <w:p w:rsidR="00565FD5" w:rsidRPr="004439FC" w:rsidRDefault="00565FD5" w:rsidP="00565FD5">
      <w:pPr>
        <w:pStyle w:val="Balk4"/>
      </w:pPr>
      <w:bookmarkStart w:id="2828" w:name="_Toc338711662"/>
      <w:r w:rsidRPr="004439FC">
        <w:rPr>
          <w:spacing w:val="-1"/>
        </w:rPr>
        <w:t>2.</w:t>
      </w:r>
      <w:r w:rsidRPr="004439FC">
        <w:t xml:space="preserve"> Temel Amaç ve Hedefler</w:t>
      </w:r>
      <w:bookmarkEnd w:id="2818"/>
      <w:bookmarkEnd w:id="2819"/>
      <w:bookmarkEnd w:id="2820"/>
      <w:bookmarkEnd w:id="2821"/>
      <w:bookmarkEnd w:id="2822"/>
      <w:bookmarkEnd w:id="2823"/>
      <w:bookmarkEnd w:id="2824"/>
      <w:bookmarkEnd w:id="2825"/>
      <w:bookmarkEnd w:id="2826"/>
      <w:bookmarkEnd w:id="2827"/>
      <w:bookmarkEnd w:id="2828"/>
    </w:p>
    <w:p w:rsidR="00565FD5" w:rsidRPr="004439FC" w:rsidRDefault="00565FD5" w:rsidP="00565FD5">
      <w:pPr>
        <w:spacing w:before="100" w:beforeAutospacing="1" w:after="100" w:afterAutospacing="1"/>
        <w:ind w:firstLine="425"/>
        <w:rPr>
          <w:szCs w:val="18"/>
        </w:rPr>
      </w:pPr>
      <w:r w:rsidRPr="004439FC">
        <w:rPr>
          <w:szCs w:val="18"/>
        </w:rPr>
        <w:t xml:space="preserve">Bölgesel gelişme politikalarıyla, bir taraftan bölgelerin verimliliğini yükseltmek yoluyla ulusal kalkınmaya, rekabet gücüne ve istihdama katkı sağlamaya, diğer taraftan da bölgeler arası gelişmişlik farklarını azaltmaya hizmet edilecek; iç göç hareketlerinin sosyal, ekonomik ve kentsel gelişme bakımından uyumlu ve istikrarlı bir yapıya kavuşması ve refahın yurt sathına dengeli dağılması gözetilecektir. </w:t>
      </w:r>
    </w:p>
    <w:p w:rsidR="00565FD5" w:rsidRPr="004439FC" w:rsidRDefault="00565FD5" w:rsidP="00565FD5">
      <w:pPr>
        <w:spacing w:before="100" w:beforeAutospacing="1" w:after="100" w:afterAutospacing="1"/>
        <w:ind w:firstLine="425"/>
        <w:rPr>
          <w:szCs w:val="18"/>
        </w:rPr>
      </w:pPr>
      <w:r w:rsidRPr="004439FC">
        <w:rPr>
          <w:szCs w:val="18"/>
        </w:rPr>
        <w:t xml:space="preserve">Bölgesel Gelişme Yüksek Kurulu ve Bölgesel Gelişme Komitesi, merkezi politikalar ile bölgesel gelişme politikaları arasında planlama, uygulama ve izleme bakımından bağdaşıklığı ve koordinasyonu sağlayarak yönetişimi geliştirecektir. Bölgesel Gelişme Yüksek Kurulu tarım, sanayi, turizm, ulaştırma, mekânsal gelişme, kırsal kalkınma, girişimcilik, yenilik, küçük ve orta ölçekli işletmeler gibi ana politika alanlarıyla bölgesel gelişme politikalarının bütünlüğünü ve koordinasyonunu sağlayacak üst düzey </w:t>
      </w:r>
      <w:r w:rsidRPr="004439FC">
        <w:rPr>
          <w:szCs w:val="18"/>
        </w:rPr>
        <w:lastRenderedPageBreak/>
        <w:t xml:space="preserve">kararlar alacaktır. Bölgesel Gelişme Komitesi ise Yüksek Kurulun kararlarına arka plan oluşturacak, kümelenme ve bölgesel yenilik gibi bölgesel nitelikli işletme politikalarının ulusal koordinasyonunu gerçekleştirecek, mekânsal gelişme stratejileriyle kalkınma politikaları arasında bütünlük sağlamaya yönelik çalışmaları yönlendirecektir. </w:t>
      </w:r>
    </w:p>
    <w:p w:rsidR="00565FD5" w:rsidRPr="004439FC" w:rsidRDefault="00565FD5" w:rsidP="00565FD5">
      <w:pPr>
        <w:spacing w:before="100" w:beforeAutospacing="1" w:after="100" w:afterAutospacing="1"/>
        <w:ind w:firstLine="425"/>
        <w:rPr>
          <w:szCs w:val="18"/>
        </w:rPr>
      </w:pPr>
      <w:r w:rsidRPr="004439FC">
        <w:rPr>
          <w:szCs w:val="18"/>
        </w:rPr>
        <w:t>Bölgesel gelişme ve bölgesel rekabet edebilirlik açısından ulusal düzeyde koordinasyonu sağlamak, mekânsal gelişme ve sosyo-ekonomik kalkınma politikaları arasında uyumu güçlendirmek ve alt ölçekli (bölge ve il) plan ve stratejilere genel çerçeve oluşturmak üzere Bölgesel Gelişme Ulusal Stratejisi (BGUS) hazırlanarak Kurul onayını müteakip uygulamaya geçirilecektir.</w:t>
      </w:r>
    </w:p>
    <w:p w:rsidR="00565FD5" w:rsidRPr="004439FC" w:rsidRDefault="00565FD5" w:rsidP="00565FD5">
      <w:pPr>
        <w:spacing w:before="100" w:beforeAutospacing="1" w:after="100" w:afterAutospacing="1"/>
        <w:ind w:firstLine="425"/>
        <w:rPr>
          <w:szCs w:val="18"/>
        </w:rPr>
      </w:pPr>
      <w:r w:rsidRPr="004439FC">
        <w:rPr>
          <w:szCs w:val="18"/>
        </w:rPr>
        <w:t>Ulusal düzeyde mekânsal gelişmenin yasal ve teknik çerçevesi geliştirilecek, bölgesel gelişme stratejileri mahallinde hazırlanacak, alt ölçekli plan ve stratejilerin kapsamı, ilke ve standartları belirlenecektir. Onuncu Kalkınma Planı hazırlık çalışmalarına da katkı sağlayacak şekilde Düzey 2 Bölgelerine ilişkin bölge planlarının güncellenmesi çalışmaları yürütülecektir.</w:t>
      </w:r>
    </w:p>
    <w:p w:rsidR="00565FD5" w:rsidRPr="004439FC" w:rsidRDefault="00565FD5" w:rsidP="00565FD5">
      <w:pPr>
        <w:spacing w:before="100" w:beforeAutospacing="1" w:after="100" w:afterAutospacing="1"/>
        <w:ind w:firstLine="425"/>
        <w:rPr>
          <w:szCs w:val="18"/>
        </w:rPr>
      </w:pPr>
      <w:r w:rsidRPr="004439FC">
        <w:rPr>
          <w:szCs w:val="18"/>
        </w:rPr>
        <w:t>Bölgelerde yaşam kalitesinin artırılmasına, ulaşılabilirliğin ve bölge içi ve bölgeler arası etkileşimin geliştirilmesine yönelik olarak, kamu yatırım uygulamalarında ve hizmet arzında mekânsal önceliklendirme ve odaklanma sağlanacaktır. Başta potansiyeli yüksek kentler olmak üzere sosyal ve fiziki altyapı güçlendirilecektir.</w:t>
      </w:r>
    </w:p>
    <w:p w:rsidR="00565FD5" w:rsidRPr="004439FC" w:rsidRDefault="00565FD5" w:rsidP="00565FD5">
      <w:pPr>
        <w:spacing w:before="100" w:beforeAutospacing="1" w:after="100" w:afterAutospacing="1"/>
        <w:ind w:firstLine="425"/>
        <w:rPr>
          <w:szCs w:val="18"/>
        </w:rPr>
      </w:pPr>
      <w:r w:rsidRPr="004439FC">
        <w:rPr>
          <w:szCs w:val="18"/>
          <w:lang w:val="en-US"/>
        </w:rPr>
        <w:t xml:space="preserve">1982 yılında </w:t>
      </w:r>
      <w:r w:rsidRPr="004439FC">
        <w:rPr>
          <w:szCs w:val="18"/>
        </w:rPr>
        <w:t xml:space="preserve">Devlet Planlama Teşkilatı tarafından </w:t>
      </w:r>
      <w:r w:rsidRPr="004439FC">
        <w:rPr>
          <w:szCs w:val="18"/>
          <w:lang w:val="en-US"/>
        </w:rPr>
        <w:t>yayımlanan Yerleşme Merkezlerinin Kademelenmesi çalışması, yerleşme merkezlerinin ticaret, ekonomik ve sosyal faaliyetler ile haberleşme akım ve ilişkilerini ortaya koyarak bunlar arasındaki etkileşimi ve kademelenmeyi analiz etmektedir. Ancak, geçen 30 yıllık dönemde söz konusu yapının, bu akım ve ilişkilerin geçirdiği değişikliklerin ve yeni durumun tespiti önem arz etmektedir.</w:t>
      </w:r>
      <w:r w:rsidRPr="004439FC">
        <w:rPr>
          <w:szCs w:val="18"/>
        </w:rPr>
        <w:t xml:space="preserve"> Ülkemizin yerleşme merkezleri sisteminin günümüzdeki kademeli yapısının ve sosyal ve ekonomik ilişkilerin ortaya çıkarılması amacıyla mezkûr çalışma yenilenecektir. </w:t>
      </w:r>
    </w:p>
    <w:p w:rsidR="00565FD5" w:rsidRPr="004439FC" w:rsidRDefault="00565FD5" w:rsidP="00565FD5">
      <w:pPr>
        <w:spacing w:before="100" w:beforeAutospacing="1" w:after="100" w:afterAutospacing="1"/>
        <w:ind w:firstLine="425"/>
        <w:rPr>
          <w:szCs w:val="18"/>
        </w:rPr>
      </w:pPr>
      <w:r w:rsidRPr="004439FC">
        <w:rPr>
          <w:szCs w:val="18"/>
        </w:rPr>
        <w:t xml:space="preserve">İlçelerin sosyo-ekonomik gelişmişlik durumlarını karşılaştırmalı olarak tespit etmek amacıyla 2004 yılında yayımlanan İlçelerin Sosyo-Ekonomik Gelişmişlik Sıralaması Araştırması yenilenecektir. </w:t>
      </w:r>
    </w:p>
    <w:p w:rsidR="00565FD5" w:rsidRPr="004439FC" w:rsidRDefault="00565FD5" w:rsidP="00565FD5">
      <w:pPr>
        <w:spacing w:before="100" w:beforeAutospacing="1" w:after="100" w:afterAutospacing="1"/>
        <w:ind w:firstLine="425"/>
        <w:rPr>
          <w:szCs w:val="18"/>
        </w:rPr>
      </w:pPr>
      <w:r w:rsidRPr="004439FC">
        <w:rPr>
          <w:szCs w:val="18"/>
        </w:rPr>
        <w:t>Devlet yardımları, girişim sermayesi</w:t>
      </w:r>
      <w:r>
        <w:rPr>
          <w:szCs w:val="18"/>
        </w:rPr>
        <w:t xml:space="preserve"> ve</w:t>
      </w:r>
      <w:r w:rsidRPr="004439FC">
        <w:rPr>
          <w:szCs w:val="18"/>
        </w:rPr>
        <w:t xml:space="preserve"> kredi garanti fonları gibi yatırımı, üretimi ve istihdamı artırıcı araçlar seçici ve mekânsal odaklı olarak geliştirilecektir.</w:t>
      </w:r>
    </w:p>
    <w:p w:rsidR="00565FD5" w:rsidRDefault="00565FD5" w:rsidP="00565FD5">
      <w:pPr>
        <w:spacing w:before="100" w:beforeAutospacing="1" w:after="100" w:afterAutospacing="1"/>
        <w:ind w:firstLine="425"/>
        <w:rPr>
          <w:szCs w:val="18"/>
        </w:rPr>
      </w:pPr>
      <w:r w:rsidRPr="004439FC">
        <w:rPr>
          <w:szCs w:val="18"/>
        </w:rPr>
        <w:t>Yerindenlik ilkesi doğrultusunda kalkınma ajansları ile diğer kuruluşların verdiği teknik ve mali destekler arasında tamamlayıcılık ve koordinasyon gözetilecektir. Bu bağlamda Kalkınma Bakanlığı ve kalkınma ajansları ile ortak faaliyet alanlarına sahip diğer kurum ve kuruluşlarla protokollerin imzalanması öngörülmektedir.</w:t>
      </w:r>
    </w:p>
    <w:p w:rsidR="00565FD5" w:rsidRDefault="00565FD5" w:rsidP="00565FD5">
      <w:pPr>
        <w:spacing w:before="100" w:beforeAutospacing="1" w:after="100" w:afterAutospacing="1"/>
        <w:ind w:firstLine="425"/>
        <w:rPr>
          <w:szCs w:val="18"/>
        </w:rPr>
      </w:pPr>
    </w:p>
    <w:p w:rsidR="00565FD5" w:rsidRPr="004439FC" w:rsidRDefault="00565FD5" w:rsidP="00565FD5">
      <w:pPr>
        <w:spacing w:before="100" w:beforeAutospacing="1" w:after="100" w:afterAutospacing="1"/>
        <w:ind w:firstLine="425"/>
        <w:rPr>
          <w:szCs w:val="18"/>
        </w:rPr>
      </w:pPr>
    </w:p>
    <w:p w:rsidR="00565FD5" w:rsidRPr="004439FC" w:rsidRDefault="00565FD5" w:rsidP="00565FD5">
      <w:pPr>
        <w:pStyle w:val="Balk4"/>
      </w:pPr>
      <w:bookmarkStart w:id="2829" w:name="_Toc276076362"/>
      <w:bookmarkStart w:id="2830" w:name="_Toc244339678"/>
      <w:bookmarkStart w:id="2831" w:name="_Toc244315215"/>
      <w:bookmarkStart w:id="2832" w:name="_Toc244313738"/>
      <w:bookmarkStart w:id="2833" w:name="_Toc244255003"/>
      <w:bookmarkStart w:id="2834" w:name="_Toc244253753"/>
      <w:bookmarkStart w:id="2835" w:name="_Toc213065745"/>
      <w:bookmarkStart w:id="2836" w:name="_Toc307602086"/>
      <w:bookmarkStart w:id="2837" w:name="_Toc307670523"/>
      <w:bookmarkStart w:id="2838" w:name="_Toc307701749"/>
      <w:bookmarkStart w:id="2839" w:name="_Toc338505652"/>
      <w:bookmarkStart w:id="2840" w:name="_Toc338523884"/>
      <w:bookmarkStart w:id="2841" w:name="_Toc338524115"/>
      <w:bookmarkStart w:id="2842" w:name="_Toc338526341"/>
      <w:bookmarkStart w:id="2843" w:name="_Toc338673784"/>
      <w:bookmarkStart w:id="2844" w:name="_Toc338711663"/>
      <w:bookmarkEnd w:id="2810"/>
      <w:bookmarkEnd w:id="2811"/>
      <w:r w:rsidRPr="004439FC">
        <w:t>3. Politika Öncelikleri ve Tedbirler</w:t>
      </w:r>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6"/>
        <w:gridCol w:w="1855"/>
        <w:gridCol w:w="761"/>
        <w:gridCol w:w="2732"/>
      </w:tblGrid>
      <w:tr w:rsidR="00565FD5" w:rsidRPr="004439FC" w:rsidTr="00AB62A3">
        <w:trPr>
          <w:jc w:val="center"/>
        </w:trPr>
        <w:tc>
          <w:tcPr>
            <w:tcW w:w="1809" w:type="dxa"/>
            <w:vAlign w:val="bottom"/>
          </w:tcPr>
          <w:p w:rsidR="00565FD5" w:rsidRPr="00B5107F" w:rsidRDefault="00565FD5" w:rsidP="00AB62A3">
            <w:pPr>
              <w:autoSpaceDE w:val="0"/>
              <w:autoSpaceDN w:val="0"/>
              <w:adjustRightInd w:val="0"/>
              <w:spacing w:before="80" w:after="80"/>
              <w:rPr>
                <w:rFonts w:cs="Tahoma"/>
                <w:b/>
                <w:bCs/>
                <w:sz w:val="16"/>
                <w:szCs w:val="16"/>
                <w:lang w:eastAsia="tr-TR"/>
              </w:rPr>
            </w:pPr>
            <w:r w:rsidRPr="00B5107F">
              <w:rPr>
                <w:rFonts w:cs="Tahoma"/>
                <w:b/>
                <w:bCs/>
                <w:sz w:val="16"/>
                <w:szCs w:val="16"/>
                <w:lang w:eastAsia="tr-TR"/>
              </w:rPr>
              <w:t>Öncelik / Tedbir</w:t>
            </w:r>
          </w:p>
        </w:tc>
        <w:tc>
          <w:tcPr>
            <w:tcW w:w="1929" w:type="dxa"/>
            <w:vAlign w:val="bottom"/>
          </w:tcPr>
          <w:p w:rsidR="00565FD5" w:rsidRPr="00B5107F" w:rsidRDefault="00565FD5" w:rsidP="00AB62A3">
            <w:pPr>
              <w:autoSpaceDE w:val="0"/>
              <w:autoSpaceDN w:val="0"/>
              <w:adjustRightInd w:val="0"/>
              <w:spacing w:before="80" w:after="80"/>
              <w:rPr>
                <w:rFonts w:cs="Tahoma"/>
                <w:b/>
                <w:bCs/>
                <w:sz w:val="16"/>
                <w:szCs w:val="16"/>
                <w:lang w:eastAsia="tr-TR"/>
              </w:rPr>
            </w:pPr>
            <w:r w:rsidRPr="00B5107F">
              <w:rPr>
                <w:rFonts w:cs="Tahoma"/>
                <w:b/>
                <w:bCs/>
                <w:sz w:val="16"/>
                <w:szCs w:val="16"/>
                <w:lang w:eastAsia="tr-TR"/>
              </w:rPr>
              <w:t>Sorumlu / İşbirliği Yapılacak Kuruluşlar</w:t>
            </w:r>
          </w:p>
        </w:tc>
        <w:tc>
          <w:tcPr>
            <w:tcW w:w="765" w:type="dxa"/>
            <w:vAlign w:val="bottom"/>
          </w:tcPr>
          <w:p w:rsidR="00565FD5" w:rsidRPr="00B5107F" w:rsidRDefault="00565FD5" w:rsidP="00AB62A3">
            <w:pPr>
              <w:autoSpaceDE w:val="0"/>
              <w:autoSpaceDN w:val="0"/>
              <w:adjustRightInd w:val="0"/>
              <w:spacing w:before="80" w:after="80"/>
              <w:rPr>
                <w:rFonts w:cs="Tahoma"/>
                <w:b/>
                <w:bCs/>
                <w:sz w:val="16"/>
                <w:szCs w:val="16"/>
                <w:lang w:eastAsia="tr-TR"/>
              </w:rPr>
            </w:pPr>
            <w:r w:rsidRPr="00B5107F">
              <w:rPr>
                <w:rFonts w:cs="Tahoma"/>
                <w:b/>
                <w:bCs/>
                <w:sz w:val="16"/>
                <w:szCs w:val="16"/>
                <w:lang w:eastAsia="tr-TR"/>
              </w:rPr>
              <w:t xml:space="preserve">Süre </w:t>
            </w:r>
          </w:p>
        </w:tc>
        <w:tc>
          <w:tcPr>
            <w:tcW w:w="2857" w:type="dxa"/>
            <w:vAlign w:val="bottom"/>
          </w:tcPr>
          <w:p w:rsidR="00565FD5" w:rsidRPr="00B5107F" w:rsidRDefault="00565FD5" w:rsidP="00AB62A3">
            <w:pPr>
              <w:autoSpaceDE w:val="0"/>
              <w:autoSpaceDN w:val="0"/>
              <w:adjustRightInd w:val="0"/>
              <w:spacing w:before="80" w:after="80"/>
              <w:rPr>
                <w:rFonts w:cs="Tahoma"/>
                <w:b/>
                <w:bCs/>
                <w:sz w:val="16"/>
                <w:szCs w:val="16"/>
                <w:lang w:eastAsia="tr-TR"/>
              </w:rPr>
            </w:pPr>
            <w:r w:rsidRPr="00B5107F">
              <w:rPr>
                <w:rFonts w:cs="Tahoma"/>
                <w:b/>
                <w:bCs/>
                <w:sz w:val="16"/>
                <w:szCs w:val="16"/>
                <w:lang w:eastAsia="tr-TR"/>
              </w:rPr>
              <w:t>Yapılacak İşlem ve Açıklama</w:t>
            </w:r>
          </w:p>
        </w:tc>
      </w:tr>
      <w:tr w:rsidR="00565FD5" w:rsidRPr="004439FC" w:rsidTr="00AB62A3">
        <w:trPr>
          <w:jc w:val="center"/>
        </w:trPr>
        <w:tc>
          <w:tcPr>
            <w:tcW w:w="7360" w:type="dxa"/>
            <w:gridSpan w:val="4"/>
          </w:tcPr>
          <w:p w:rsidR="00565FD5" w:rsidRPr="00B5107F" w:rsidRDefault="00565FD5" w:rsidP="00EB1E69">
            <w:pPr>
              <w:numPr>
                <w:ilvl w:val="0"/>
                <w:numId w:val="15"/>
              </w:numPr>
              <w:tabs>
                <w:tab w:val="left" w:pos="425"/>
              </w:tabs>
              <w:spacing w:before="80" w:after="80" w:line="240" w:lineRule="auto"/>
              <w:jc w:val="both"/>
              <w:rPr>
                <w:rFonts w:cs="Tahoma"/>
                <w:b/>
                <w:sz w:val="16"/>
                <w:szCs w:val="16"/>
                <w:lang w:eastAsia="tr-TR"/>
              </w:rPr>
            </w:pPr>
            <w:r w:rsidRPr="00B5107F">
              <w:rPr>
                <w:rFonts w:cs="Tahoma"/>
                <w:b/>
                <w:sz w:val="16"/>
                <w:szCs w:val="16"/>
                <w:lang w:eastAsia="tr-TR"/>
              </w:rPr>
              <w:lastRenderedPageBreak/>
              <w:t>Ulusal düzeyde mekânsal ve bölgesel gelişme politika çerçevesi oluşturulacaktır.</w:t>
            </w:r>
          </w:p>
        </w:tc>
      </w:tr>
      <w:tr w:rsidR="00565FD5" w:rsidRPr="004439FC" w:rsidTr="00AB62A3">
        <w:trPr>
          <w:jc w:val="center"/>
        </w:trPr>
        <w:tc>
          <w:tcPr>
            <w:tcW w:w="1809" w:type="dxa"/>
          </w:tcPr>
          <w:p w:rsidR="00565FD5" w:rsidRPr="00B5107F" w:rsidRDefault="00565FD5" w:rsidP="00EB1E69">
            <w:pPr>
              <w:numPr>
                <w:ilvl w:val="0"/>
                <w:numId w:val="14"/>
              </w:numPr>
              <w:tabs>
                <w:tab w:val="left" w:pos="425"/>
              </w:tabs>
              <w:spacing w:before="80" w:after="80" w:line="240" w:lineRule="auto"/>
              <w:ind w:left="34"/>
              <w:rPr>
                <w:rFonts w:cs="Tahoma"/>
                <w:sz w:val="16"/>
                <w:szCs w:val="16"/>
                <w:lang w:eastAsia="tr-TR"/>
              </w:rPr>
            </w:pPr>
            <w:r w:rsidRPr="00B5107F">
              <w:rPr>
                <w:rFonts w:cs="Tahoma"/>
                <w:sz w:val="16"/>
                <w:szCs w:val="16"/>
                <w:lang w:eastAsia="tr-TR"/>
              </w:rPr>
              <w:t>Bölgesel Gelişme Ulusal Stratejisi hazırlıkları tamamlanarak uygulamaya geçirilecektir.</w:t>
            </w:r>
          </w:p>
        </w:tc>
        <w:tc>
          <w:tcPr>
            <w:tcW w:w="1929" w:type="dxa"/>
          </w:tcPr>
          <w:p w:rsidR="00565FD5" w:rsidRPr="00B5107F" w:rsidRDefault="00565FD5" w:rsidP="00AB62A3">
            <w:pPr>
              <w:spacing w:before="80" w:after="80"/>
              <w:rPr>
                <w:rFonts w:cs="Tahoma"/>
                <w:sz w:val="16"/>
                <w:szCs w:val="16"/>
                <w:lang w:eastAsia="tr-TR"/>
              </w:rPr>
            </w:pPr>
            <w:r w:rsidRPr="00B5107F">
              <w:rPr>
                <w:rFonts w:cs="Tahoma"/>
                <w:sz w:val="16"/>
                <w:szCs w:val="16"/>
                <w:lang w:eastAsia="tr-TR"/>
              </w:rPr>
              <w:t>Kalkınma Bakanlığı (S), Çevre ve Şehircilik Bakanlığı, Kalkınma Ajansları, Yerel Yönetimler</w:t>
            </w:r>
          </w:p>
        </w:tc>
        <w:tc>
          <w:tcPr>
            <w:tcW w:w="765" w:type="dxa"/>
          </w:tcPr>
          <w:p w:rsidR="00565FD5" w:rsidRPr="00B5107F" w:rsidRDefault="00565FD5" w:rsidP="00AB62A3">
            <w:pPr>
              <w:spacing w:before="80" w:after="80"/>
              <w:rPr>
                <w:rFonts w:cs="Tahoma"/>
                <w:sz w:val="16"/>
                <w:szCs w:val="16"/>
                <w:lang w:eastAsia="tr-TR"/>
              </w:rPr>
            </w:pPr>
            <w:r w:rsidRPr="00B5107F">
              <w:rPr>
                <w:rFonts w:cs="Tahoma"/>
                <w:sz w:val="16"/>
                <w:szCs w:val="16"/>
                <w:lang w:eastAsia="tr-TR"/>
              </w:rPr>
              <w:t>Haziran Sonu</w:t>
            </w:r>
          </w:p>
        </w:tc>
        <w:tc>
          <w:tcPr>
            <w:tcW w:w="2857" w:type="dxa"/>
          </w:tcPr>
          <w:p w:rsidR="00565FD5" w:rsidRPr="00B5107F" w:rsidRDefault="00565FD5" w:rsidP="00AB62A3">
            <w:pPr>
              <w:spacing w:before="80" w:after="80"/>
              <w:rPr>
                <w:rFonts w:cs="Tahoma"/>
                <w:sz w:val="16"/>
                <w:szCs w:val="16"/>
                <w:lang w:eastAsia="tr-TR"/>
              </w:rPr>
            </w:pPr>
            <w:r w:rsidRPr="00B5107F">
              <w:rPr>
                <w:rFonts w:cs="Tahoma"/>
                <w:sz w:val="16"/>
                <w:szCs w:val="16"/>
                <w:lang w:eastAsia="tr-TR"/>
              </w:rPr>
              <w:t xml:space="preserve">Bölgesel gelişme ve bölgesel rekabet edebilirlik açısından ulusal düzeyde koordinasyonu sağlamak, mekânsal gelişme ve sosyo-ekonomik kalkınma politikaları arasında uyumu güçlendirmek ve alt ölçekli plan ve stratejilere genel çerçeve oluşturmak üzere Bölgesel Gelişme Ulusal Stratejisi hazırlanacak ve uygulamaya geçirilecektir. </w:t>
            </w:r>
          </w:p>
        </w:tc>
      </w:tr>
    </w:tbl>
    <w:p w:rsidR="00565FD5" w:rsidRPr="004439FC" w:rsidRDefault="00565FD5" w:rsidP="00565FD5"/>
    <w:p w:rsidR="00565FD5" w:rsidRPr="004439FC" w:rsidRDefault="00565FD5" w:rsidP="00565FD5"/>
    <w:p w:rsidR="00565FD5" w:rsidRPr="004439FC" w:rsidRDefault="00565FD5" w:rsidP="00565FD5">
      <w:pPr>
        <w:pStyle w:val="Balk3"/>
      </w:pPr>
      <w:bookmarkStart w:id="2845" w:name="_Toc307602087"/>
      <w:bookmarkStart w:id="2846" w:name="_Toc307670524"/>
      <w:bookmarkStart w:id="2847" w:name="_Toc307701750"/>
      <w:bookmarkStart w:id="2848" w:name="_Toc338494267"/>
      <w:bookmarkStart w:id="2849" w:name="_Toc338505653"/>
      <w:bookmarkStart w:id="2850" w:name="_Toc338523885"/>
      <w:bookmarkStart w:id="2851" w:name="_Toc338524116"/>
      <w:bookmarkStart w:id="2852" w:name="_Toc338526342"/>
      <w:bookmarkStart w:id="2853" w:name="_Toc338673785"/>
      <w:bookmarkStart w:id="2854" w:name="_Toc338711664"/>
      <w:bookmarkStart w:id="2855" w:name="_Toc276076363"/>
      <w:bookmarkStart w:id="2856" w:name="_Toc244339679"/>
      <w:bookmarkStart w:id="2857" w:name="_Toc244315216"/>
      <w:bookmarkStart w:id="2858" w:name="_Toc244313739"/>
      <w:bookmarkStart w:id="2859" w:name="_Toc244255004"/>
      <w:bookmarkStart w:id="2860" w:name="_Toc244253754"/>
      <w:bookmarkStart w:id="2861" w:name="_Toc213065746"/>
      <w:bookmarkStart w:id="2862" w:name="_Toc212787618"/>
      <w:r w:rsidRPr="004439FC">
        <w:t>B. YEREL DİNAMİKLERE VE İÇSEL POTANSİYELLERE DAYALI GELİŞMENİN SAĞLANMASI</w:t>
      </w:r>
      <w:bookmarkEnd w:id="2845"/>
      <w:bookmarkEnd w:id="2846"/>
      <w:bookmarkEnd w:id="2847"/>
      <w:bookmarkEnd w:id="2848"/>
      <w:bookmarkEnd w:id="2849"/>
      <w:bookmarkEnd w:id="2850"/>
      <w:bookmarkEnd w:id="2851"/>
      <w:bookmarkEnd w:id="2852"/>
      <w:bookmarkEnd w:id="2853"/>
      <w:bookmarkEnd w:id="2854"/>
    </w:p>
    <w:p w:rsidR="00565FD5" w:rsidRPr="004439FC" w:rsidRDefault="00565FD5" w:rsidP="00565FD5">
      <w:pPr>
        <w:pStyle w:val="Balk4"/>
      </w:pPr>
      <w:bookmarkStart w:id="2863" w:name="_Toc307602088"/>
      <w:bookmarkStart w:id="2864" w:name="_Toc307670525"/>
      <w:bookmarkStart w:id="2865" w:name="_Toc307701751"/>
      <w:bookmarkStart w:id="2866" w:name="_Toc338505654"/>
      <w:bookmarkStart w:id="2867" w:name="_Toc338523886"/>
      <w:bookmarkStart w:id="2868" w:name="_Toc338524117"/>
      <w:bookmarkStart w:id="2869" w:name="_Toc338526343"/>
      <w:bookmarkStart w:id="2870" w:name="_Toc338673786"/>
      <w:bookmarkStart w:id="2871" w:name="_Toc338711665"/>
      <w:r w:rsidRPr="004439FC">
        <w:t>1. Mevcut Durum</w:t>
      </w:r>
      <w:bookmarkEnd w:id="2863"/>
      <w:bookmarkEnd w:id="2864"/>
      <w:bookmarkEnd w:id="2865"/>
      <w:bookmarkEnd w:id="2866"/>
      <w:bookmarkEnd w:id="2867"/>
      <w:bookmarkEnd w:id="2868"/>
      <w:bookmarkEnd w:id="2869"/>
      <w:bookmarkEnd w:id="2870"/>
      <w:bookmarkEnd w:id="2871"/>
    </w:p>
    <w:p w:rsidR="00565FD5" w:rsidRPr="004439FC" w:rsidRDefault="00565FD5" w:rsidP="00565FD5">
      <w:pPr>
        <w:spacing w:after="160"/>
        <w:ind w:firstLine="425"/>
        <w:rPr>
          <w:szCs w:val="18"/>
        </w:rPr>
      </w:pPr>
      <w:r w:rsidRPr="004439FC">
        <w:rPr>
          <w:szCs w:val="18"/>
        </w:rPr>
        <w:t>Merkezden tasarlanan ve uygulanan bölgesel gelişme ve yerel kalkınma politikalarının yanı sıra, son yıllarda, yerel dinamiklere ve potansiyele dayanan kalkınma girişimlerinin desteklenmesi önem kazanmıştır. Bu doğrultuda proje ve faaliyetlerin, katılımcı bir yaklaşımla, bölgesel gelişme öncelikleri kapsamında uygulanması yoluna gidilmiştir.</w:t>
      </w:r>
    </w:p>
    <w:p w:rsidR="00565FD5" w:rsidRPr="004439FC" w:rsidRDefault="00565FD5" w:rsidP="00565FD5">
      <w:pPr>
        <w:spacing w:after="160"/>
        <w:ind w:firstLine="425"/>
        <w:rPr>
          <w:szCs w:val="18"/>
        </w:rPr>
      </w:pPr>
      <w:r w:rsidRPr="004439FC">
        <w:rPr>
          <w:szCs w:val="18"/>
        </w:rPr>
        <w:t xml:space="preserve">Yerel kalkınma girişimlerini desteklemek, bölgelerinde kurumsal kapasiteyi artırmak, yerel kesimler arasında işbirliği ağlarını güçlendirmek ve kuruldukları bölgelerin rekabet güçlerini artırarak sürdürülebilir gelişmeyi sağlamak üzere, 26 Düzey 2 bölgesinin tamamında kalkınma ajansları faaliyetlerini sürdürmektedir. </w:t>
      </w:r>
    </w:p>
    <w:p w:rsidR="00565FD5" w:rsidRPr="004439FC" w:rsidRDefault="00565FD5" w:rsidP="00565FD5">
      <w:pPr>
        <w:spacing w:after="160"/>
        <w:ind w:firstLine="425"/>
        <w:rPr>
          <w:szCs w:val="18"/>
        </w:rPr>
      </w:pPr>
      <w:r w:rsidRPr="004439FC">
        <w:rPr>
          <w:szCs w:val="18"/>
        </w:rPr>
        <w:t>2008-2011 yıllarında kalkınma ajanslarına merkezi bütçeden aktarılan kaynak tutarı toplam 753,2 milyon TL’dir. Aynı dönemde kalkınma ajanslarına yerel pay olarak toplam 354 milyon TL ödenmiştir. 2012 yılı için merkezi bütçe payı 450 milyon TL olarak belirlenmiş olup yerel payların 154,8 milyon TL olması beklenmektedir.</w:t>
      </w:r>
    </w:p>
    <w:p w:rsidR="00565FD5" w:rsidRPr="004439FC" w:rsidRDefault="00565FD5" w:rsidP="00565FD5">
      <w:pPr>
        <w:spacing w:after="160"/>
        <w:ind w:firstLine="425"/>
        <w:rPr>
          <w:szCs w:val="18"/>
        </w:rPr>
      </w:pPr>
      <w:bookmarkStart w:id="2872" w:name="_Toc307601723"/>
      <w:bookmarkStart w:id="2873" w:name="_Toc307657943"/>
      <w:bookmarkStart w:id="2874" w:name="_Toc307702201"/>
      <w:bookmarkStart w:id="2875" w:name="_Toc338606067"/>
      <w:r w:rsidRPr="004439FC">
        <w:rPr>
          <w:szCs w:val="18"/>
        </w:rPr>
        <w:t xml:space="preserve">Kalkınma ajanslarınca 2008-2011 döneminde toplam 134 alanda mali destek programı uygulanmıştır. 2012 yılı Eylül ayı itibarıyla 8 öncelik alanında proje teklif çağrısı ilan edilmiştir. Mali destek programları kapsamında 2008-2011 döneminde </w:t>
      </w:r>
      <w:r>
        <w:rPr>
          <w:szCs w:val="18"/>
        </w:rPr>
        <w:t>758,8</w:t>
      </w:r>
      <w:r w:rsidRPr="004439FC">
        <w:rPr>
          <w:szCs w:val="18"/>
        </w:rPr>
        <w:t xml:space="preserve"> milyon TL kaynak tahsis edilmiştir.  </w:t>
      </w:r>
      <w:r w:rsidRPr="00A51D83">
        <w:rPr>
          <w:szCs w:val="18"/>
        </w:rPr>
        <w:t>2012 yılı Eylül ayına kadar ilan edilen proje teklif çağrılarının toplam bütçesi 118,6 milyon TL’dir. 2008 yılından 2012 yılı Ekim ayına kadar kalkınma ajanslarına toplam 19.</w:t>
      </w:r>
      <w:r>
        <w:rPr>
          <w:szCs w:val="18"/>
        </w:rPr>
        <w:t>941</w:t>
      </w:r>
      <w:r w:rsidRPr="00A51D83">
        <w:rPr>
          <w:szCs w:val="18"/>
        </w:rPr>
        <w:t xml:space="preserve"> proje başvurusu yapılmış, 4.0</w:t>
      </w:r>
      <w:r>
        <w:rPr>
          <w:szCs w:val="18"/>
        </w:rPr>
        <w:t>22</w:t>
      </w:r>
      <w:r w:rsidRPr="00A51D83">
        <w:rPr>
          <w:szCs w:val="18"/>
        </w:rPr>
        <w:t xml:space="preserve"> proje desteklenmiş ve </w:t>
      </w:r>
      <w:r>
        <w:rPr>
          <w:szCs w:val="18"/>
        </w:rPr>
        <w:t>877,4</w:t>
      </w:r>
      <w:r w:rsidRPr="00A51D83">
        <w:rPr>
          <w:szCs w:val="18"/>
        </w:rPr>
        <w:t xml:space="preserve"> milyon TL kaynak tahsis edilmiştir. Diğer taraftan 20</w:t>
      </w:r>
      <w:r>
        <w:rPr>
          <w:szCs w:val="18"/>
        </w:rPr>
        <w:t>09</w:t>
      </w:r>
      <w:r w:rsidRPr="00A51D83">
        <w:rPr>
          <w:szCs w:val="18"/>
        </w:rPr>
        <w:t xml:space="preserve"> yılından bu yana yürütülen doğrudan faaliyet destekleri kapsamında ajanslara 2.</w:t>
      </w:r>
      <w:r>
        <w:rPr>
          <w:szCs w:val="18"/>
        </w:rPr>
        <w:t>202</w:t>
      </w:r>
      <w:r w:rsidRPr="00A51D83">
        <w:rPr>
          <w:szCs w:val="18"/>
        </w:rPr>
        <w:t xml:space="preserve"> proje başvurusu yapılmış; bunlardan uygun görülen </w:t>
      </w:r>
      <w:r>
        <w:rPr>
          <w:szCs w:val="18"/>
        </w:rPr>
        <w:t>598</w:t>
      </w:r>
      <w:r w:rsidRPr="00A51D83">
        <w:rPr>
          <w:szCs w:val="18"/>
        </w:rPr>
        <w:t>’</w:t>
      </w:r>
      <w:r>
        <w:rPr>
          <w:szCs w:val="18"/>
        </w:rPr>
        <w:t>i</w:t>
      </w:r>
      <w:r w:rsidRPr="00A51D83">
        <w:rPr>
          <w:szCs w:val="18"/>
        </w:rPr>
        <w:t xml:space="preserve">ne </w:t>
      </w:r>
      <w:r>
        <w:rPr>
          <w:szCs w:val="18"/>
        </w:rPr>
        <w:t>36,9</w:t>
      </w:r>
      <w:r w:rsidRPr="00A51D83">
        <w:rPr>
          <w:szCs w:val="18"/>
        </w:rPr>
        <w:t xml:space="preserve"> milyon TL tutarında kaynak tahsis edilmiştir. Teknik destek kapsamında ise 2.7</w:t>
      </w:r>
      <w:r>
        <w:rPr>
          <w:szCs w:val="18"/>
        </w:rPr>
        <w:t>84</w:t>
      </w:r>
      <w:r w:rsidRPr="00A51D83">
        <w:rPr>
          <w:szCs w:val="18"/>
        </w:rPr>
        <w:t xml:space="preserve"> proje başvurusu yapılmış, bu projelerden 1.5</w:t>
      </w:r>
      <w:r>
        <w:rPr>
          <w:szCs w:val="18"/>
        </w:rPr>
        <w:t>89</w:t>
      </w:r>
      <w:r w:rsidRPr="00A51D83">
        <w:rPr>
          <w:szCs w:val="18"/>
        </w:rPr>
        <w:t>’</w:t>
      </w:r>
      <w:r>
        <w:rPr>
          <w:szCs w:val="18"/>
        </w:rPr>
        <w:t>u</w:t>
      </w:r>
      <w:r w:rsidRPr="00A51D83">
        <w:rPr>
          <w:szCs w:val="18"/>
        </w:rPr>
        <w:t xml:space="preserve"> desteklenmiş ve bunlara 15,</w:t>
      </w:r>
      <w:r>
        <w:rPr>
          <w:szCs w:val="18"/>
        </w:rPr>
        <w:t>9</w:t>
      </w:r>
      <w:r w:rsidRPr="00A51D83">
        <w:rPr>
          <w:szCs w:val="18"/>
        </w:rPr>
        <w:t xml:space="preserve"> milyon TL tutarında kaynak tahsis edilmiştir.</w:t>
      </w:r>
      <w:r w:rsidRPr="004439FC">
        <w:rPr>
          <w:szCs w:val="18"/>
        </w:rPr>
        <w:t xml:space="preserve"> </w:t>
      </w:r>
    </w:p>
    <w:p w:rsidR="00565FD5" w:rsidRDefault="00565FD5" w:rsidP="00565FD5">
      <w:pPr>
        <w:pStyle w:val="ResimYazs"/>
        <w:rPr>
          <w:rFonts w:eastAsia="Arial Unicode MS" w:cs="Tahoma"/>
          <w:szCs w:val="16"/>
        </w:rPr>
      </w:pPr>
      <w:bookmarkStart w:id="2876" w:name="_Toc338711842"/>
      <w:r>
        <w:t xml:space="preserve">TABLO IV: </w:t>
      </w:r>
      <w:fldSimple w:instr=" SEQ TABLO_IV: \* ARABIC ">
        <w:r>
          <w:rPr>
            <w:noProof/>
          </w:rPr>
          <w:t>72</w:t>
        </w:r>
      </w:fldSimple>
      <w:r w:rsidRPr="000F6904">
        <w:t xml:space="preserve">- </w:t>
      </w:r>
      <w:r w:rsidRPr="000F6904">
        <w:rPr>
          <w:rFonts w:eastAsia="Arial Unicode MS" w:cs="Tahoma"/>
          <w:szCs w:val="16"/>
        </w:rPr>
        <w:t>Kalkınma Ajanslarına İlişkin Bilgiler</w:t>
      </w:r>
      <w:bookmarkEnd w:id="2872"/>
      <w:bookmarkEnd w:id="2873"/>
      <w:bookmarkEnd w:id="2874"/>
      <w:bookmarkEnd w:id="2875"/>
      <w:bookmarkEnd w:id="2876"/>
    </w:p>
    <w:tbl>
      <w:tblPr>
        <w:tblW w:w="7144" w:type="dxa"/>
        <w:jc w:val="center"/>
        <w:tblCellMar>
          <w:left w:w="70" w:type="dxa"/>
          <w:right w:w="70" w:type="dxa"/>
        </w:tblCellMar>
        <w:tblLook w:val="00A0"/>
      </w:tblPr>
      <w:tblGrid>
        <w:gridCol w:w="1583"/>
        <w:gridCol w:w="1290"/>
        <w:gridCol w:w="1380"/>
        <w:gridCol w:w="1469"/>
        <w:gridCol w:w="1422"/>
      </w:tblGrid>
      <w:tr w:rsidR="00565FD5" w:rsidRPr="00D90F00" w:rsidTr="00AB62A3">
        <w:trPr>
          <w:trHeight w:val="187"/>
          <w:jc w:val="center"/>
        </w:trPr>
        <w:tc>
          <w:tcPr>
            <w:tcW w:w="5000" w:type="pct"/>
            <w:gridSpan w:val="5"/>
            <w:tcBorders>
              <w:bottom w:val="single" w:sz="4" w:space="0" w:color="auto"/>
            </w:tcBorders>
            <w:noWrap/>
            <w:vAlign w:val="bottom"/>
          </w:tcPr>
          <w:p w:rsidR="00565FD5" w:rsidRPr="00D90F00" w:rsidRDefault="00565FD5" w:rsidP="00AB62A3">
            <w:pPr>
              <w:tabs>
                <w:tab w:val="left" w:pos="708"/>
              </w:tabs>
              <w:jc w:val="right"/>
              <w:rPr>
                <w:rFonts w:cs="Tahoma"/>
                <w:bCs/>
                <w:color w:val="000000"/>
                <w:sz w:val="14"/>
                <w:szCs w:val="14"/>
                <w:lang w:eastAsia="tr-TR"/>
              </w:rPr>
            </w:pPr>
            <w:r w:rsidRPr="00D90F00">
              <w:rPr>
                <w:rFonts w:cs="Tahoma"/>
                <w:bCs/>
                <w:color w:val="000000"/>
                <w:sz w:val="14"/>
                <w:szCs w:val="14"/>
                <w:lang w:eastAsia="tr-TR"/>
              </w:rPr>
              <w:t>(Milyon TL)</w:t>
            </w:r>
          </w:p>
        </w:tc>
      </w:tr>
      <w:tr w:rsidR="00565FD5" w:rsidRPr="004439FC" w:rsidTr="00AB62A3">
        <w:trPr>
          <w:trHeight w:val="187"/>
          <w:jc w:val="center"/>
        </w:trPr>
        <w:tc>
          <w:tcPr>
            <w:tcW w:w="5000" w:type="pct"/>
            <w:gridSpan w:val="5"/>
            <w:tcBorders>
              <w:top w:val="single" w:sz="4" w:space="0" w:color="auto"/>
              <w:left w:val="single" w:sz="4" w:space="0" w:color="auto"/>
              <w:bottom w:val="single" w:sz="4" w:space="0" w:color="auto"/>
              <w:right w:val="single" w:sz="4" w:space="0" w:color="auto"/>
            </w:tcBorders>
            <w:noWrap/>
            <w:vAlign w:val="bottom"/>
          </w:tcPr>
          <w:p w:rsidR="00565FD5" w:rsidRPr="004439FC" w:rsidRDefault="00565FD5" w:rsidP="00AB62A3">
            <w:pPr>
              <w:tabs>
                <w:tab w:val="left" w:pos="708"/>
              </w:tabs>
              <w:jc w:val="center"/>
              <w:rPr>
                <w:rFonts w:cs="Tahoma"/>
                <w:b/>
                <w:bCs/>
                <w:color w:val="000000"/>
                <w:sz w:val="16"/>
                <w:szCs w:val="18"/>
                <w:lang w:eastAsia="tr-TR"/>
              </w:rPr>
            </w:pPr>
            <w:r w:rsidRPr="004439FC">
              <w:rPr>
                <w:rFonts w:cs="Tahoma"/>
                <w:b/>
                <w:bCs/>
                <w:color w:val="000000"/>
                <w:sz w:val="16"/>
                <w:szCs w:val="18"/>
                <w:lang w:eastAsia="tr-TR"/>
              </w:rPr>
              <w:t>Mali Destek Programları</w:t>
            </w:r>
          </w:p>
        </w:tc>
      </w:tr>
      <w:tr w:rsidR="00565FD5" w:rsidRPr="004439FC" w:rsidTr="00AB62A3">
        <w:trPr>
          <w:trHeight w:val="18"/>
          <w:jc w:val="center"/>
        </w:trPr>
        <w:tc>
          <w:tcPr>
            <w:tcW w:w="1108" w:type="pct"/>
            <w:tcBorders>
              <w:left w:val="single" w:sz="4" w:space="0" w:color="auto"/>
            </w:tcBorders>
            <w:vAlign w:val="center"/>
          </w:tcPr>
          <w:p w:rsidR="00565FD5" w:rsidRPr="004439FC" w:rsidRDefault="00565FD5" w:rsidP="00AB62A3">
            <w:pPr>
              <w:tabs>
                <w:tab w:val="left" w:pos="708"/>
              </w:tabs>
              <w:jc w:val="center"/>
              <w:rPr>
                <w:rFonts w:cs="Tahoma"/>
                <w:b/>
                <w:bCs/>
                <w:color w:val="000000"/>
                <w:sz w:val="16"/>
                <w:szCs w:val="18"/>
                <w:lang w:eastAsia="tr-TR"/>
              </w:rPr>
            </w:pPr>
            <w:r w:rsidRPr="004439FC">
              <w:rPr>
                <w:rFonts w:cs="Tahoma"/>
                <w:b/>
                <w:bCs/>
                <w:color w:val="000000"/>
                <w:sz w:val="16"/>
                <w:szCs w:val="18"/>
                <w:lang w:eastAsia="tr-TR"/>
              </w:rPr>
              <w:t>Uygulama Yılı</w:t>
            </w:r>
          </w:p>
        </w:tc>
        <w:tc>
          <w:tcPr>
            <w:tcW w:w="903" w:type="pct"/>
            <w:vAlign w:val="center"/>
          </w:tcPr>
          <w:p w:rsidR="00565FD5" w:rsidRPr="004439FC" w:rsidRDefault="00565FD5" w:rsidP="00AB62A3">
            <w:pPr>
              <w:tabs>
                <w:tab w:val="left" w:pos="708"/>
              </w:tabs>
              <w:jc w:val="center"/>
              <w:rPr>
                <w:rFonts w:cs="Tahoma"/>
                <w:b/>
                <w:bCs/>
                <w:color w:val="000000"/>
                <w:sz w:val="16"/>
                <w:szCs w:val="18"/>
                <w:lang w:eastAsia="tr-TR"/>
              </w:rPr>
            </w:pPr>
            <w:r w:rsidRPr="004439FC">
              <w:rPr>
                <w:rFonts w:cs="Tahoma"/>
                <w:b/>
                <w:bCs/>
                <w:color w:val="000000"/>
                <w:sz w:val="16"/>
                <w:szCs w:val="18"/>
                <w:lang w:eastAsia="tr-TR"/>
              </w:rPr>
              <w:t xml:space="preserve">Teklif Çağrısı </w:t>
            </w:r>
            <w:r w:rsidRPr="004439FC">
              <w:rPr>
                <w:rFonts w:cs="Tahoma"/>
                <w:b/>
                <w:bCs/>
                <w:color w:val="000000"/>
                <w:sz w:val="16"/>
                <w:szCs w:val="18"/>
                <w:lang w:eastAsia="tr-TR"/>
              </w:rPr>
              <w:lastRenderedPageBreak/>
              <w:t>Sayısı</w:t>
            </w:r>
          </w:p>
        </w:tc>
        <w:tc>
          <w:tcPr>
            <w:tcW w:w="966" w:type="pct"/>
            <w:vAlign w:val="center"/>
          </w:tcPr>
          <w:p w:rsidR="00565FD5" w:rsidRPr="004439FC" w:rsidRDefault="00565FD5" w:rsidP="00AB62A3">
            <w:pPr>
              <w:tabs>
                <w:tab w:val="left" w:pos="708"/>
              </w:tabs>
              <w:jc w:val="center"/>
              <w:rPr>
                <w:rFonts w:cs="Tahoma"/>
                <w:b/>
                <w:bCs/>
                <w:color w:val="000000"/>
                <w:sz w:val="16"/>
                <w:szCs w:val="18"/>
                <w:lang w:eastAsia="tr-TR"/>
              </w:rPr>
            </w:pPr>
            <w:r w:rsidRPr="004439FC">
              <w:rPr>
                <w:rFonts w:cs="Tahoma"/>
                <w:b/>
                <w:bCs/>
                <w:color w:val="000000"/>
                <w:sz w:val="16"/>
                <w:szCs w:val="18"/>
                <w:lang w:eastAsia="tr-TR"/>
              </w:rPr>
              <w:lastRenderedPageBreak/>
              <w:t>Destek Miktarı (1)</w:t>
            </w:r>
          </w:p>
        </w:tc>
        <w:tc>
          <w:tcPr>
            <w:tcW w:w="1028" w:type="pct"/>
            <w:vAlign w:val="center"/>
          </w:tcPr>
          <w:p w:rsidR="00565FD5" w:rsidRPr="004439FC" w:rsidRDefault="00565FD5" w:rsidP="00AB62A3">
            <w:pPr>
              <w:tabs>
                <w:tab w:val="left" w:pos="708"/>
              </w:tabs>
              <w:jc w:val="center"/>
              <w:rPr>
                <w:rFonts w:cs="Tahoma"/>
                <w:b/>
                <w:bCs/>
                <w:color w:val="000000"/>
                <w:sz w:val="16"/>
                <w:szCs w:val="18"/>
                <w:lang w:eastAsia="tr-TR"/>
              </w:rPr>
            </w:pPr>
            <w:r w:rsidRPr="004439FC">
              <w:rPr>
                <w:rFonts w:cs="Tahoma"/>
                <w:b/>
                <w:bCs/>
                <w:color w:val="000000"/>
                <w:sz w:val="16"/>
                <w:szCs w:val="18"/>
                <w:lang w:eastAsia="tr-TR"/>
              </w:rPr>
              <w:t xml:space="preserve">Proje Başvuru </w:t>
            </w:r>
            <w:r w:rsidRPr="004439FC">
              <w:rPr>
                <w:rFonts w:cs="Tahoma"/>
                <w:b/>
                <w:bCs/>
                <w:color w:val="000000"/>
                <w:sz w:val="16"/>
                <w:szCs w:val="18"/>
                <w:lang w:eastAsia="tr-TR"/>
              </w:rPr>
              <w:lastRenderedPageBreak/>
              <w:t>Sayısı</w:t>
            </w:r>
          </w:p>
        </w:tc>
        <w:tc>
          <w:tcPr>
            <w:tcW w:w="996" w:type="pct"/>
            <w:tcBorders>
              <w:right w:val="single" w:sz="4" w:space="0" w:color="auto"/>
            </w:tcBorders>
            <w:vAlign w:val="center"/>
          </w:tcPr>
          <w:p w:rsidR="00565FD5" w:rsidRPr="004439FC" w:rsidRDefault="00565FD5" w:rsidP="00AB62A3">
            <w:pPr>
              <w:tabs>
                <w:tab w:val="left" w:pos="708"/>
              </w:tabs>
              <w:jc w:val="center"/>
              <w:rPr>
                <w:rFonts w:cs="Tahoma"/>
                <w:b/>
                <w:bCs/>
                <w:color w:val="000000"/>
                <w:sz w:val="16"/>
                <w:szCs w:val="18"/>
                <w:lang w:eastAsia="tr-TR"/>
              </w:rPr>
            </w:pPr>
            <w:r w:rsidRPr="004439FC">
              <w:rPr>
                <w:rFonts w:cs="Tahoma"/>
                <w:b/>
                <w:bCs/>
                <w:color w:val="000000"/>
                <w:sz w:val="16"/>
                <w:szCs w:val="18"/>
                <w:lang w:eastAsia="tr-TR"/>
              </w:rPr>
              <w:lastRenderedPageBreak/>
              <w:t xml:space="preserve">Desteklenen Proje </w:t>
            </w:r>
            <w:r w:rsidRPr="004439FC">
              <w:rPr>
                <w:rFonts w:cs="Tahoma"/>
                <w:b/>
                <w:bCs/>
                <w:color w:val="000000"/>
                <w:sz w:val="16"/>
                <w:szCs w:val="18"/>
                <w:lang w:eastAsia="tr-TR"/>
              </w:rPr>
              <w:lastRenderedPageBreak/>
              <w:t>Sayısı</w:t>
            </w:r>
          </w:p>
        </w:tc>
      </w:tr>
      <w:tr w:rsidR="00565FD5" w:rsidRPr="004439FC" w:rsidTr="00AB62A3">
        <w:trPr>
          <w:trHeight w:val="263"/>
          <w:jc w:val="center"/>
        </w:trPr>
        <w:tc>
          <w:tcPr>
            <w:tcW w:w="1108" w:type="pct"/>
            <w:tcBorders>
              <w:left w:val="single" w:sz="4" w:space="0" w:color="auto"/>
            </w:tcBorders>
            <w:noWrap/>
            <w:vAlign w:val="bottom"/>
          </w:tcPr>
          <w:p w:rsidR="00565FD5" w:rsidRPr="004439FC" w:rsidRDefault="00565FD5" w:rsidP="00AB62A3">
            <w:pPr>
              <w:tabs>
                <w:tab w:val="left" w:pos="708"/>
              </w:tabs>
              <w:jc w:val="center"/>
              <w:rPr>
                <w:rFonts w:cs="Tahoma"/>
                <w:b/>
                <w:bCs/>
                <w:color w:val="000000"/>
                <w:sz w:val="16"/>
                <w:szCs w:val="18"/>
                <w:lang w:eastAsia="tr-TR"/>
              </w:rPr>
            </w:pPr>
            <w:r w:rsidRPr="004439FC">
              <w:rPr>
                <w:rFonts w:cs="Tahoma"/>
                <w:b/>
                <w:bCs/>
                <w:color w:val="000000"/>
                <w:sz w:val="16"/>
                <w:szCs w:val="18"/>
                <w:lang w:eastAsia="tr-TR"/>
              </w:rPr>
              <w:lastRenderedPageBreak/>
              <w:t>2008</w:t>
            </w:r>
          </w:p>
        </w:tc>
        <w:tc>
          <w:tcPr>
            <w:tcW w:w="903" w:type="pct"/>
            <w:noWrap/>
            <w:vAlign w:val="bottom"/>
          </w:tcPr>
          <w:p w:rsidR="00565FD5" w:rsidRPr="004439FC" w:rsidRDefault="00565FD5" w:rsidP="00AB62A3">
            <w:pPr>
              <w:tabs>
                <w:tab w:val="left" w:pos="708"/>
              </w:tabs>
              <w:jc w:val="center"/>
              <w:rPr>
                <w:rFonts w:cs="Tahoma"/>
                <w:color w:val="000000"/>
                <w:sz w:val="16"/>
                <w:szCs w:val="18"/>
                <w:lang w:eastAsia="tr-TR"/>
              </w:rPr>
            </w:pPr>
            <w:r w:rsidRPr="004439FC">
              <w:rPr>
                <w:rFonts w:cs="Tahoma"/>
                <w:color w:val="000000"/>
                <w:sz w:val="16"/>
                <w:szCs w:val="18"/>
                <w:lang w:eastAsia="tr-TR"/>
              </w:rPr>
              <w:t>6</w:t>
            </w:r>
          </w:p>
        </w:tc>
        <w:tc>
          <w:tcPr>
            <w:tcW w:w="966" w:type="pct"/>
            <w:noWrap/>
            <w:vAlign w:val="bottom"/>
          </w:tcPr>
          <w:p w:rsidR="00565FD5" w:rsidRPr="004439FC" w:rsidRDefault="00565FD5" w:rsidP="00AB62A3">
            <w:pPr>
              <w:tabs>
                <w:tab w:val="left" w:pos="708"/>
              </w:tabs>
              <w:jc w:val="center"/>
              <w:rPr>
                <w:rFonts w:cs="Tahoma"/>
                <w:color w:val="000000"/>
                <w:sz w:val="16"/>
                <w:szCs w:val="18"/>
                <w:lang w:eastAsia="tr-TR"/>
              </w:rPr>
            </w:pPr>
            <w:r w:rsidRPr="004439FC">
              <w:rPr>
                <w:rFonts w:cs="Tahoma"/>
                <w:color w:val="000000"/>
                <w:sz w:val="16"/>
                <w:szCs w:val="18"/>
                <w:lang w:eastAsia="tr-TR"/>
              </w:rPr>
              <w:t>42,2</w:t>
            </w:r>
          </w:p>
        </w:tc>
        <w:tc>
          <w:tcPr>
            <w:tcW w:w="1028" w:type="pct"/>
            <w:noWrap/>
            <w:vAlign w:val="bottom"/>
          </w:tcPr>
          <w:p w:rsidR="00565FD5" w:rsidRPr="004439FC" w:rsidRDefault="00565FD5" w:rsidP="00AB62A3">
            <w:pPr>
              <w:tabs>
                <w:tab w:val="left" w:pos="708"/>
              </w:tabs>
              <w:jc w:val="center"/>
              <w:rPr>
                <w:rFonts w:cs="Tahoma"/>
                <w:color w:val="000000"/>
                <w:sz w:val="16"/>
                <w:szCs w:val="18"/>
                <w:lang w:eastAsia="tr-TR"/>
              </w:rPr>
            </w:pPr>
            <w:r w:rsidRPr="004439FC">
              <w:rPr>
                <w:rFonts w:cs="Tahoma"/>
                <w:color w:val="000000"/>
                <w:sz w:val="16"/>
                <w:szCs w:val="18"/>
                <w:lang w:eastAsia="tr-TR"/>
              </w:rPr>
              <w:t>1</w:t>
            </w:r>
            <w:r>
              <w:rPr>
                <w:rFonts w:cs="Tahoma"/>
                <w:color w:val="000000"/>
                <w:sz w:val="16"/>
                <w:szCs w:val="18"/>
                <w:lang w:eastAsia="tr-TR"/>
              </w:rPr>
              <w:t xml:space="preserve"> </w:t>
            </w:r>
            <w:r w:rsidRPr="004439FC">
              <w:rPr>
                <w:rFonts w:cs="Tahoma"/>
                <w:color w:val="000000"/>
                <w:sz w:val="16"/>
                <w:szCs w:val="18"/>
                <w:lang w:eastAsia="tr-TR"/>
              </w:rPr>
              <w:t>129</w:t>
            </w:r>
          </w:p>
        </w:tc>
        <w:tc>
          <w:tcPr>
            <w:tcW w:w="996" w:type="pct"/>
            <w:tcBorders>
              <w:right w:val="single" w:sz="4" w:space="0" w:color="auto"/>
            </w:tcBorders>
            <w:noWrap/>
            <w:vAlign w:val="bottom"/>
          </w:tcPr>
          <w:p w:rsidR="00565FD5" w:rsidRPr="004439FC" w:rsidRDefault="00565FD5" w:rsidP="00AB62A3">
            <w:pPr>
              <w:tabs>
                <w:tab w:val="left" w:pos="708"/>
              </w:tabs>
              <w:jc w:val="center"/>
              <w:rPr>
                <w:rFonts w:cs="Tahoma"/>
                <w:color w:val="000000"/>
                <w:sz w:val="16"/>
                <w:szCs w:val="18"/>
                <w:lang w:eastAsia="tr-TR"/>
              </w:rPr>
            </w:pPr>
            <w:r w:rsidRPr="004439FC">
              <w:rPr>
                <w:rFonts w:cs="Tahoma"/>
                <w:color w:val="000000"/>
                <w:sz w:val="16"/>
                <w:szCs w:val="18"/>
                <w:lang w:eastAsia="tr-TR"/>
              </w:rPr>
              <w:t>240</w:t>
            </w:r>
          </w:p>
        </w:tc>
      </w:tr>
      <w:tr w:rsidR="00565FD5" w:rsidRPr="004439FC" w:rsidTr="00AB62A3">
        <w:trPr>
          <w:trHeight w:val="263"/>
          <w:jc w:val="center"/>
        </w:trPr>
        <w:tc>
          <w:tcPr>
            <w:tcW w:w="1108" w:type="pct"/>
            <w:tcBorders>
              <w:left w:val="single" w:sz="4" w:space="0" w:color="auto"/>
            </w:tcBorders>
            <w:noWrap/>
            <w:vAlign w:val="bottom"/>
          </w:tcPr>
          <w:p w:rsidR="00565FD5" w:rsidRPr="004439FC" w:rsidRDefault="00565FD5" w:rsidP="00AB62A3">
            <w:pPr>
              <w:tabs>
                <w:tab w:val="left" w:pos="708"/>
              </w:tabs>
              <w:jc w:val="center"/>
              <w:rPr>
                <w:rFonts w:cs="Tahoma"/>
                <w:b/>
                <w:bCs/>
                <w:color w:val="000000"/>
                <w:sz w:val="16"/>
                <w:szCs w:val="18"/>
                <w:lang w:eastAsia="tr-TR"/>
              </w:rPr>
            </w:pPr>
            <w:r w:rsidRPr="004439FC">
              <w:rPr>
                <w:rFonts w:cs="Tahoma"/>
                <w:b/>
                <w:bCs/>
                <w:color w:val="000000"/>
                <w:sz w:val="16"/>
                <w:szCs w:val="18"/>
                <w:lang w:eastAsia="tr-TR"/>
              </w:rPr>
              <w:t>2009</w:t>
            </w:r>
          </w:p>
        </w:tc>
        <w:tc>
          <w:tcPr>
            <w:tcW w:w="903" w:type="pct"/>
            <w:noWrap/>
            <w:vAlign w:val="bottom"/>
          </w:tcPr>
          <w:p w:rsidR="00565FD5" w:rsidRPr="004439FC" w:rsidRDefault="00565FD5" w:rsidP="00AB62A3">
            <w:pPr>
              <w:tabs>
                <w:tab w:val="left" w:pos="708"/>
              </w:tabs>
              <w:jc w:val="center"/>
              <w:rPr>
                <w:rFonts w:cs="Tahoma"/>
                <w:color w:val="000000"/>
                <w:sz w:val="16"/>
                <w:szCs w:val="18"/>
                <w:lang w:eastAsia="tr-TR"/>
              </w:rPr>
            </w:pPr>
            <w:r w:rsidRPr="004439FC">
              <w:rPr>
                <w:rFonts w:cs="Tahoma"/>
                <w:color w:val="000000"/>
                <w:sz w:val="16"/>
                <w:szCs w:val="18"/>
                <w:lang w:eastAsia="tr-TR"/>
              </w:rPr>
              <w:t>9</w:t>
            </w:r>
          </w:p>
        </w:tc>
        <w:tc>
          <w:tcPr>
            <w:tcW w:w="966" w:type="pct"/>
            <w:noWrap/>
            <w:vAlign w:val="bottom"/>
          </w:tcPr>
          <w:p w:rsidR="00565FD5" w:rsidRPr="004439FC" w:rsidRDefault="00565FD5" w:rsidP="00AB62A3">
            <w:pPr>
              <w:tabs>
                <w:tab w:val="left" w:pos="708"/>
              </w:tabs>
              <w:jc w:val="center"/>
              <w:rPr>
                <w:rFonts w:cs="Tahoma"/>
                <w:color w:val="000000"/>
                <w:sz w:val="16"/>
                <w:szCs w:val="18"/>
                <w:lang w:eastAsia="tr-TR"/>
              </w:rPr>
            </w:pPr>
            <w:r w:rsidRPr="004439FC">
              <w:rPr>
                <w:rFonts w:cs="Tahoma"/>
                <w:color w:val="000000"/>
                <w:sz w:val="16"/>
                <w:szCs w:val="18"/>
                <w:lang w:eastAsia="tr-TR"/>
              </w:rPr>
              <w:t>83,3</w:t>
            </w:r>
          </w:p>
        </w:tc>
        <w:tc>
          <w:tcPr>
            <w:tcW w:w="1028" w:type="pct"/>
            <w:noWrap/>
            <w:vAlign w:val="bottom"/>
          </w:tcPr>
          <w:p w:rsidR="00565FD5" w:rsidRPr="004439FC" w:rsidRDefault="00565FD5" w:rsidP="00AB62A3">
            <w:pPr>
              <w:tabs>
                <w:tab w:val="left" w:pos="708"/>
              </w:tabs>
              <w:jc w:val="center"/>
              <w:rPr>
                <w:rFonts w:cs="Tahoma"/>
                <w:color w:val="000000"/>
                <w:sz w:val="16"/>
                <w:szCs w:val="18"/>
                <w:lang w:eastAsia="tr-TR"/>
              </w:rPr>
            </w:pPr>
            <w:r w:rsidRPr="004439FC">
              <w:rPr>
                <w:rFonts w:cs="Tahoma"/>
                <w:color w:val="000000"/>
                <w:sz w:val="16"/>
                <w:szCs w:val="18"/>
                <w:lang w:eastAsia="tr-TR"/>
              </w:rPr>
              <w:t>2</w:t>
            </w:r>
            <w:r>
              <w:rPr>
                <w:rFonts w:cs="Tahoma"/>
                <w:color w:val="000000"/>
                <w:sz w:val="16"/>
                <w:szCs w:val="18"/>
                <w:lang w:eastAsia="tr-TR"/>
              </w:rPr>
              <w:t xml:space="preserve"> </w:t>
            </w:r>
            <w:r w:rsidRPr="004439FC">
              <w:rPr>
                <w:rFonts w:cs="Tahoma"/>
                <w:color w:val="000000"/>
                <w:sz w:val="16"/>
                <w:szCs w:val="18"/>
                <w:lang w:eastAsia="tr-TR"/>
              </w:rPr>
              <w:t>576</w:t>
            </w:r>
          </w:p>
        </w:tc>
        <w:tc>
          <w:tcPr>
            <w:tcW w:w="996" w:type="pct"/>
            <w:tcBorders>
              <w:right w:val="single" w:sz="4" w:space="0" w:color="auto"/>
            </w:tcBorders>
            <w:noWrap/>
            <w:vAlign w:val="bottom"/>
          </w:tcPr>
          <w:p w:rsidR="00565FD5" w:rsidRPr="004439FC" w:rsidRDefault="00565FD5" w:rsidP="00AB62A3">
            <w:pPr>
              <w:tabs>
                <w:tab w:val="left" w:pos="708"/>
              </w:tabs>
              <w:jc w:val="center"/>
              <w:rPr>
                <w:rFonts w:cs="Tahoma"/>
                <w:color w:val="000000"/>
                <w:sz w:val="16"/>
                <w:szCs w:val="18"/>
                <w:lang w:eastAsia="tr-TR"/>
              </w:rPr>
            </w:pPr>
            <w:r w:rsidRPr="004439FC">
              <w:rPr>
                <w:rFonts w:cs="Tahoma"/>
                <w:color w:val="000000"/>
                <w:sz w:val="16"/>
                <w:szCs w:val="18"/>
                <w:lang w:eastAsia="tr-TR"/>
              </w:rPr>
              <w:t>398</w:t>
            </w:r>
          </w:p>
        </w:tc>
      </w:tr>
      <w:tr w:rsidR="00565FD5" w:rsidRPr="004439FC" w:rsidTr="00AB62A3">
        <w:trPr>
          <w:trHeight w:val="263"/>
          <w:jc w:val="center"/>
        </w:trPr>
        <w:tc>
          <w:tcPr>
            <w:tcW w:w="1108" w:type="pct"/>
            <w:tcBorders>
              <w:left w:val="single" w:sz="4" w:space="0" w:color="auto"/>
            </w:tcBorders>
            <w:noWrap/>
            <w:vAlign w:val="bottom"/>
          </w:tcPr>
          <w:p w:rsidR="00565FD5" w:rsidRPr="004439FC" w:rsidRDefault="00565FD5" w:rsidP="00AB62A3">
            <w:pPr>
              <w:tabs>
                <w:tab w:val="left" w:pos="708"/>
              </w:tabs>
              <w:jc w:val="center"/>
              <w:rPr>
                <w:rFonts w:cs="Tahoma"/>
                <w:b/>
                <w:bCs/>
                <w:color w:val="000000"/>
                <w:sz w:val="16"/>
                <w:szCs w:val="18"/>
                <w:lang w:eastAsia="tr-TR"/>
              </w:rPr>
            </w:pPr>
            <w:r w:rsidRPr="004439FC">
              <w:rPr>
                <w:rFonts w:cs="Tahoma"/>
                <w:b/>
                <w:bCs/>
                <w:color w:val="000000"/>
                <w:sz w:val="16"/>
                <w:szCs w:val="18"/>
                <w:lang w:eastAsia="tr-TR"/>
              </w:rPr>
              <w:t>2010</w:t>
            </w:r>
          </w:p>
        </w:tc>
        <w:tc>
          <w:tcPr>
            <w:tcW w:w="903" w:type="pct"/>
            <w:noWrap/>
            <w:vAlign w:val="bottom"/>
          </w:tcPr>
          <w:p w:rsidR="00565FD5" w:rsidRPr="004439FC" w:rsidRDefault="00565FD5" w:rsidP="00AB62A3">
            <w:pPr>
              <w:tabs>
                <w:tab w:val="left" w:pos="708"/>
              </w:tabs>
              <w:jc w:val="center"/>
              <w:rPr>
                <w:rFonts w:cs="Tahoma"/>
                <w:color w:val="000000"/>
                <w:sz w:val="16"/>
                <w:szCs w:val="18"/>
                <w:lang w:eastAsia="tr-TR"/>
              </w:rPr>
            </w:pPr>
            <w:r w:rsidRPr="004439FC">
              <w:rPr>
                <w:rFonts w:cs="Tahoma"/>
                <w:color w:val="000000"/>
                <w:sz w:val="16"/>
                <w:szCs w:val="18"/>
                <w:lang w:eastAsia="tr-TR"/>
              </w:rPr>
              <w:t>55</w:t>
            </w:r>
          </w:p>
        </w:tc>
        <w:tc>
          <w:tcPr>
            <w:tcW w:w="966" w:type="pct"/>
            <w:noWrap/>
            <w:vAlign w:val="bottom"/>
          </w:tcPr>
          <w:p w:rsidR="00565FD5" w:rsidRPr="004439FC" w:rsidRDefault="00565FD5" w:rsidP="00AB62A3">
            <w:pPr>
              <w:tabs>
                <w:tab w:val="left" w:pos="708"/>
              </w:tabs>
              <w:jc w:val="center"/>
              <w:rPr>
                <w:rFonts w:cs="Tahoma"/>
                <w:color w:val="000000"/>
                <w:sz w:val="16"/>
                <w:szCs w:val="18"/>
                <w:lang w:eastAsia="tr-TR"/>
              </w:rPr>
            </w:pPr>
            <w:r w:rsidRPr="004439FC">
              <w:rPr>
                <w:rFonts w:cs="Tahoma"/>
                <w:color w:val="000000"/>
                <w:sz w:val="16"/>
                <w:szCs w:val="18"/>
                <w:lang w:eastAsia="tr-TR"/>
              </w:rPr>
              <w:t>34</w:t>
            </w:r>
            <w:r>
              <w:rPr>
                <w:rFonts w:cs="Tahoma"/>
                <w:color w:val="000000"/>
                <w:sz w:val="16"/>
                <w:szCs w:val="18"/>
                <w:lang w:eastAsia="tr-TR"/>
              </w:rPr>
              <w:t>4</w:t>
            </w:r>
            <w:r w:rsidRPr="004439FC">
              <w:rPr>
                <w:rFonts w:cs="Tahoma"/>
                <w:color w:val="000000"/>
                <w:sz w:val="16"/>
                <w:szCs w:val="18"/>
                <w:lang w:eastAsia="tr-TR"/>
              </w:rPr>
              <w:t>,2</w:t>
            </w:r>
          </w:p>
        </w:tc>
        <w:tc>
          <w:tcPr>
            <w:tcW w:w="1028" w:type="pct"/>
            <w:noWrap/>
            <w:vAlign w:val="bottom"/>
          </w:tcPr>
          <w:p w:rsidR="00565FD5" w:rsidRPr="004439FC" w:rsidRDefault="00565FD5" w:rsidP="00AB62A3">
            <w:pPr>
              <w:tabs>
                <w:tab w:val="left" w:pos="708"/>
              </w:tabs>
              <w:jc w:val="center"/>
              <w:rPr>
                <w:rFonts w:cs="Tahoma"/>
                <w:color w:val="000000"/>
                <w:sz w:val="16"/>
                <w:szCs w:val="18"/>
                <w:lang w:eastAsia="tr-TR"/>
              </w:rPr>
            </w:pPr>
            <w:r w:rsidRPr="004439FC">
              <w:rPr>
                <w:rFonts w:cs="Tahoma"/>
                <w:color w:val="000000"/>
                <w:sz w:val="16"/>
                <w:szCs w:val="18"/>
                <w:lang w:eastAsia="tr-TR"/>
              </w:rPr>
              <w:t>9</w:t>
            </w:r>
            <w:r>
              <w:rPr>
                <w:rFonts w:cs="Tahoma"/>
                <w:color w:val="000000"/>
                <w:sz w:val="16"/>
                <w:szCs w:val="18"/>
                <w:lang w:eastAsia="tr-TR"/>
              </w:rPr>
              <w:t xml:space="preserve"> </w:t>
            </w:r>
            <w:r w:rsidRPr="004439FC">
              <w:rPr>
                <w:rFonts w:cs="Tahoma"/>
                <w:color w:val="000000"/>
                <w:sz w:val="16"/>
                <w:szCs w:val="18"/>
                <w:lang w:eastAsia="tr-TR"/>
              </w:rPr>
              <w:t>471</w:t>
            </w:r>
          </w:p>
        </w:tc>
        <w:tc>
          <w:tcPr>
            <w:tcW w:w="996" w:type="pct"/>
            <w:tcBorders>
              <w:right w:val="single" w:sz="4" w:space="0" w:color="auto"/>
            </w:tcBorders>
            <w:noWrap/>
            <w:vAlign w:val="bottom"/>
          </w:tcPr>
          <w:p w:rsidR="00565FD5" w:rsidRPr="004439FC" w:rsidRDefault="00565FD5" w:rsidP="00AB62A3">
            <w:pPr>
              <w:tabs>
                <w:tab w:val="left" w:pos="708"/>
              </w:tabs>
              <w:jc w:val="center"/>
              <w:rPr>
                <w:rFonts w:cs="Tahoma"/>
                <w:color w:val="000000"/>
                <w:sz w:val="16"/>
                <w:szCs w:val="18"/>
                <w:lang w:eastAsia="tr-TR"/>
              </w:rPr>
            </w:pPr>
            <w:r w:rsidRPr="004439FC">
              <w:rPr>
                <w:rFonts w:cs="Tahoma"/>
                <w:color w:val="000000"/>
                <w:sz w:val="16"/>
                <w:szCs w:val="18"/>
                <w:lang w:eastAsia="tr-TR"/>
              </w:rPr>
              <w:t>1</w:t>
            </w:r>
            <w:r>
              <w:rPr>
                <w:rFonts w:cs="Tahoma"/>
                <w:color w:val="000000"/>
                <w:sz w:val="16"/>
                <w:szCs w:val="18"/>
                <w:lang w:eastAsia="tr-TR"/>
              </w:rPr>
              <w:t xml:space="preserve"> </w:t>
            </w:r>
            <w:r w:rsidRPr="004439FC">
              <w:rPr>
                <w:rFonts w:cs="Tahoma"/>
                <w:color w:val="000000"/>
                <w:sz w:val="16"/>
                <w:szCs w:val="18"/>
                <w:lang w:eastAsia="tr-TR"/>
              </w:rPr>
              <w:t>66</w:t>
            </w:r>
            <w:r>
              <w:rPr>
                <w:rFonts w:cs="Tahoma"/>
                <w:color w:val="000000"/>
                <w:sz w:val="16"/>
                <w:szCs w:val="18"/>
                <w:lang w:eastAsia="tr-TR"/>
              </w:rPr>
              <w:t>6</w:t>
            </w:r>
          </w:p>
        </w:tc>
      </w:tr>
      <w:tr w:rsidR="00565FD5" w:rsidRPr="004439FC" w:rsidTr="00AB62A3">
        <w:trPr>
          <w:trHeight w:val="263"/>
          <w:jc w:val="center"/>
        </w:trPr>
        <w:tc>
          <w:tcPr>
            <w:tcW w:w="1108" w:type="pct"/>
            <w:tcBorders>
              <w:left w:val="single" w:sz="4" w:space="0" w:color="auto"/>
            </w:tcBorders>
            <w:noWrap/>
            <w:vAlign w:val="bottom"/>
          </w:tcPr>
          <w:p w:rsidR="00565FD5" w:rsidRPr="004439FC" w:rsidRDefault="00565FD5" w:rsidP="00AB62A3">
            <w:pPr>
              <w:tabs>
                <w:tab w:val="left" w:pos="708"/>
              </w:tabs>
              <w:jc w:val="center"/>
              <w:rPr>
                <w:rFonts w:cs="Tahoma"/>
                <w:b/>
                <w:bCs/>
                <w:color w:val="000000"/>
                <w:sz w:val="16"/>
                <w:szCs w:val="18"/>
                <w:lang w:eastAsia="tr-TR"/>
              </w:rPr>
            </w:pPr>
            <w:r w:rsidRPr="004439FC">
              <w:rPr>
                <w:rFonts w:cs="Tahoma"/>
                <w:b/>
                <w:bCs/>
                <w:color w:val="000000"/>
                <w:sz w:val="16"/>
                <w:szCs w:val="18"/>
                <w:lang w:eastAsia="tr-TR"/>
              </w:rPr>
              <w:t>2011</w:t>
            </w:r>
          </w:p>
        </w:tc>
        <w:tc>
          <w:tcPr>
            <w:tcW w:w="903" w:type="pct"/>
            <w:noWrap/>
            <w:vAlign w:val="bottom"/>
          </w:tcPr>
          <w:p w:rsidR="00565FD5" w:rsidRPr="004439FC" w:rsidRDefault="00565FD5" w:rsidP="00AB62A3">
            <w:pPr>
              <w:tabs>
                <w:tab w:val="left" w:pos="708"/>
              </w:tabs>
              <w:jc w:val="center"/>
              <w:rPr>
                <w:rFonts w:cs="Tahoma"/>
                <w:color w:val="000000"/>
                <w:sz w:val="16"/>
                <w:szCs w:val="18"/>
                <w:lang w:eastAsia="tr-TR"/>
              </w:rPr>
            </w:pPr>
            <w:r w:rsidRPr="004439FC">
              <w:rPr>
                <w:rFonts w:cs="Tahoma"/>
                <w:color w:val="000000"/>
                <w:sz w:val="16"/>
                <w:szCs w:val="18"/>
                <w:lang w:eastAsia="tr-TR"/>
              </w:rPr>
              <w:t>64</w:t>
            </w:r>
          </w:p>
        </w:tc>
        <w:tc>
          <w:tcPr>
            <w:tcW w:w="966" w:type="pct"/>
            <w:noWrap/>
            <w:vAlign w:val="bottom"/>
          </w:tcPr>
          <w:p w:rsidR="00565FD5" w:rsidRPr="004439FC" w:rsidRDefault="00565FD5" w:rsidP="00AB62A3">
            <w:pPr>
              <w:tabs>
                <w:tab w:val="left" w:pos="708"/>
              </w:tabs>
              <w:jc w:val="center"/>
              <w:rPr>
                <w:rFonts w:cs="Tahoma"/>
                <w:color w:val="000000"/>
                <w:sz w:val="16"/>
                <w:szCs w:val="18"/>
                <w:lang w:eastAsia="tr-TR"/>
              </w:rPr>
            </w:pPr>
            <w:r>
              <w:rPr>
                <w:rFonts w:cs="Tahoma"/>
                <w:color w:val="000000"/>
                <w:sz w:val="16"/>
                <w:szCs w:val="18"/>
                <w:lang w:eastAsia="tr-TR"/>
              </w:rPr>
              <w:t>289,1</w:t>
            </w:r>
          </w:p>
        </w:tc>
        <w:tc>
          <w:tcPr>
            <w:tcW w:w="1028" w:type="pct"/>
            <w:noWrap/>
            <w:vAlign w:val="bottom"/>
          </w:tcPr>
          <w:p w:rsidR="00565FD5" w:rsidRPr="004439FC" w:rsidRDefault="00565FD5" w:rsidP="00AB62A3">
            <w:pPr>
              <w:tabs>
                <w:tab w:val="left" w:pos="708"/>
              </w:tabs>
              <w:jc w:val="center"/>
              <w:rPr>
                <w:rFonts w:cs="Tahoma"/>
                <w:color w:val="000000"/>
                <w:sz w:val="16"/>
                <w:szCs w:val="18"/>
                <w:lang w:eastAsia="tr-TR"/>
              </w:rPr>
            </w:pPr>
            <w:r w:rsidRPr="004439FC">
              <w:rPr>
                <w:rFonts w:cs="Tahoma"/>
                <w:color w:val="000000"/>
                <w:sz w:val="16"/>
                <w:szCs w:val="18"/>
                <w:lang w:eastAsia="tr-TR"/>
              </w:rPr>
              <w:t>6</w:t>
            </w:r>
            <w:r>
              <w:rPr>
                <w:rFonts w:cs="Tahoma"/>
                <w:color w:val="000000"/>
                <w:sz w:val="16"/>
                <w:szCs w:val="18"/>
                <w:lang w:eastAsia="tr-TR"/>
              </w:rPr>
              <w:t xml:space="preserve"> </w:t>
            </w:r>
            <w:r w:rsidRPr="004439FC">
              <w:rPr>
                <w:rFonts w:cs="Tahoma"/>
                <w:color w:val="000000"/>
                <w:sz w:val="16"/>
                <w:szCs w:val="18"/>
                <w:lang w:eastAsia="tr-TR"/>
              </w:rPr>
              <w:t>04</w:t>
            </w:r>
            <w:r>
              <w:rPr>
                <w:rFonts w:cs="Tahoma"/>
                <w:color w:val="000000"/>
                <w:sz w:val="16"/>
                <w:szCs w:val="18"/>
                <w:lang w:eastAsia="tr-TR"/>
              </w:rPr>
              <w:t>8</w:t>
            </w:r>
          </w:p>
        </w:tc>
        <w:tc>
          <w:tcPr>
            <w:tcW w:w="996" w:type="pct"/>
            <w:tcBorders>
              <w:right w:val="single" w:sz="4" w:space="0" w:color="auto"/>
            </w:tcBorders>
            <w:noWrap/>
            <w:vAlign w:val="bottom"/>
          </w:tcPr>
          <w:p w:rsidR="00565FD5" w:rsidRPr="004439FC" w:rsidRDefault="00565FD5" w:rsidP="00AB62A3">
            <w:pPr>
              <w:tabs>
                <w:tab w:val="left" w:pos="708"/>
              </w:tabs>
              <w:jc w:val="center"/>
              <w:rPr>
                <w:rFonts w:cs="Tahoma"/>
                <w:color w:val="000000"/>
                <w:sz w:val="16"/>
                <w:szCs w:val="18"/>
                <w:lang w:eastAsia="tr-TR"/>
              </w:rPr>
            </w:pPr>
            <w:r w:rsidRPr="004439FC">
              <w:rPr>
                <w:rFonts w:cs="Tahoma"/>
                <w:color w:val="000000"/>
                <w:sz w:val="16"/>
                <w:szCs w:val="18"/>
                <w:lang w:eastAsia="tr-TR"/>
              </w:rPr>
              <w:t>1</w:t>
            </w:r>
            <w:r>
              <w:rPr>
                <w:rFonts w:cs="Tahoma"/>
                <w:color w:val="000000"/>
                <w:sz w:val="16"/>
                <w:szCs w:val="18"/>
                <w:lang w:eastAsia="tr-TR"/>
              </w:rPr>
              <w:t xml:space="preserve"> </w:t>
            </w:r>
            <w:r w:rsidRPr="004439FC">
              <w:rPr>
                <w:rFonts w:cs="Tahoma"/>
                <w:color w:val="000000"/>
                <w:sz w:val="16"/>
                <w:szCs w:val="18"/>
                <w:lang w:eastAsia="tr-TR"/>
              </w:rPr>
              <w:t>6</w:t>
            </w:r>
            <w:r>
              <w:rPr>
                <w:rFonts w:cs="Tahoma"/>
                <w:color w:val="000000"/>
                <w:sz w:val="16"/>
                <w:szCs w:val="18"/>
                <w:lang w:eastAsia="tr-TR"/>
              </w:rPr>
              <w:t>39</w:t>
            </w:r>
          </w:p>
        </w:tc>
      </w:tr>
      <w:tr w:rsidR="00565FD5" w:rsidRPr="004439FC" w:rsidTr="00AB62A3">
        <w:trPr>
          <w:trHeight w:val="263"/>
          <w:jc w:val="center"/>
        </w:trPr>
        <w:tc>
          <w:tcPr>
            <w:tcW w:w="1108" w:type="pct"/>
            <w:tcBorders>
              <w:left w:val="single" w:sz="4" w:space="0" w:color="auto"/>
            </w:tcBorders>
            <w:noWrap/>
            <w:vAlign w:val="bottom"/>
          </w:tcPr>
          <w:p w:rsidR="00565FD5" w:rsidRPr="004439FC" w:rsidRDefault="00565FD5" w:rsidP="00AB62A3">
            <w:pPr>
              <w:tabs>
                <w:tab w:val="left" w:pos="708"/>
              </w:tabs>
              <w:jc w:val="center"/>
              <w:rPr>
                <w:rFonts w:cs="Tahoma"/>
                <w:b/>
                <w:bCs/>
                <w:color w:val="000000"/>
                <w:sz w:val="16"/>
                <w:szCs w:val="18"/>
                <w:lang w:eastAsia="tr-TR"/>
              </w:rPr>
            </w:pPr>
            <w:r w:rsidRPr="004439FC">
              <w:rPr>
                <w:rFonts w:cs="Tahoma"/>
                <w:b/>
                <w:bCs/>
                <w:color w:val="000000"/>
                <w:sz w:val="16"/>
                <w:szCs w:val="18"/>
                <w:lang w:eastAsia="tr-TR"/>
              </w:rPr>
              <w:t xml:space="preserve">     2012 (2)</w:t>
            </w:r>
          </w:p>
        </w:tc>
        <w:tc>
          <w:tcPr>
            <w:tcW w:w="903" w:type="pct"/>
            <w:noWrap/>
            <w:vAlign w:val="bottom"/>
          </w:tcPr>
          <w:p w:rsidR="00565FD5" w:rsidRPr="004439FC" w:rsidRDefault="00565FD5" w:rsidP="00AB62A3">
            <w:pPr>
              <w:tabs>
                <w:tab w:val="left" w:pos="708"/>
              </w:tabs>
              <w:jc w:val="center"/>
              <w:rPr>
                <w:rFonts w:cs="Tahoma"/>
                <w:color w:val="000000"/>
                <w:sz w:val="16"/>
                <w:szCs w:val="18"/>
                <w:lang w:eastAsia="tr-TR"/>
              </w:rPr>
            </w:pPr>
            <w:r w:rsidRPr="004439FC">
              <w:rPr>
                <w:rFonts w:cs="Tahoma"/>
                <w:color w:val="000000"/>
                <w:sz w:val="16"/>
                <w:szCs w:val="18"/>
                <w:lang w:eastAsia="tr-TR"/>
              </w:rPr>
              <w:t>8</w:t>
            </w:r>
          </w:p>
        </w:tc>
        <w:tc>
          <w:tcPr>
            <w:tcW w:w="966" w:type="pct"/>
            <w:noWrap/>
            <w:vAlign w:val="bottom"/>
          </w:tcPr>
          <w:p w:rsidR="00565FD5" w:rsidRPr="004439FC" w:rsidRDefault="00565FD5" w:rsidP="00AB62A3">
            <w:pPr>
              <w:tabs>
                <w:tab w:val="left" w:pos="708"/>
              </w:tabs>
              <w:jc w:val="center"/>
              <w:rPr>
                <w:rFonts w:cs="Tahoma"/>
                <w:color w:val="000000"/>
                <w:sz w:val="16"/>
                <w:szCs w:val="18"/>
                <w:lang w:eastAsia="tr-TR"/>
              </w:rPr>
            </w:pPr>
            <w:r w:rsidRPr="004439FC">
              <w:rPr>
                <w:rFonts w:cs="Tahoma"/>
                <w:color w:val="000000"/>
                <w:sz w:val="16"/>
                <w:szCs w:val="18"/>
                <w:lang w:eastAsia="tr-TR"/>
              </w:rPr>
              <w:t>118,6</w:t>
            </w:r>
          </w:p>
        </w:tc>
        <w:tc>
          <w:tcPr>
            <w:tcW w:w="1028" w:type="pct"/>
            <w:noWrap/>
            <w:vAlign w:val="bottom"/>
          </w:tcPr>
          <w:p w:rsidR="00565FD5" w:rsidRPr="004439FC" w:rsidRDefault="00565FD5" w:rsidP="00AB62A3">
            <w:pPr>
              <w:tabs>
                <w:tab w:val="left" w:pos="708"/>
              </w:tabs>
              <w:jc w:val="center"/>
              <w:rPr>
                <w:rFonts w:cs="Tahoma"/>
                <w:color w:val="000000"/>
                <w:sz w:val="16"/>
                <w:szCs w:val="18"/>
                <w:lang w:eastAsia="tr-TR"/>
              </w:rPr>
            </w:pPr>
            <w:r>
              <w:rPr>
                <w:rFonts w:cs="Tahoma"/>
                <w:color w:val="000000"/>
                <w:sz w:val="16"/>
                <w:szCs w:val="18"/>
                <w:lang w:eastAsia="tr-TR"/>
              </w:rPr>
              <w:t>717</w:t>
            </w:r>
          </w:p>
        </w:tc>
        <w:tc>
          <w:tcPr>
            <w:tcW w:w="996" w:type="pct"/>
            <w:tcBorders>
              <w:right w:val="single" w:sz="4" w:space="0" w:color="auto"/>
            </w:tcBorders>
            <w:noWrap/>
            <w:vAlign w:val="bottom"/>
          </w:tcPr>
          <w:p w:rsidR="00565FD5" w:rsidRPr="004439FC" w:rsidRDefault="00565FD5" w:rsidP="00AB62A3">
            <w:pPr>
              <w:tabs>
                <w:tab w:val="left" w:pos="708"/>
              </w:tabs>
              <w:jc w:val="center"/>
              <w:rPr>
                <w:rFonts w:cs="Tahoma"/>
                <w:color w:val="000000"/>
                <w:sz w:val="16"/>
                <w:szCs w:val="18"/>
                <w:lang w:eastAsia="tr-TR"/>
              </w:rPr>
            </w:pPr>
            <w:r w:rsidRPr="004439FC">
              <w:rPr>
                <w:rFonts w:cs="Tahoma"/>
                <w:color w:val="000000"/>
                <w:sz w:val="16"/>
                <w:szCs w:val="18"/>
                <w:lang w:eastAsia="tr-TR"/>
              </w:rPr>
              <w:t>79</w:t>
            </w:r>
          </w:p>
        </w:tc>
      </w:tr>
      <w:tr w:rsidR="00565FD5" w:rsidRPr="004439FC" w:rsidTr="00AB62A3">
        <w:trPr>
          <w:trHeight w:val="118"/>
          <w:jc w:val="center"/>
        </w:trPr>
        <w:tc>
          <w:tcPr>
            <w:tcW w:w="1108" w:type="pct"/>
            <w:tcBorders>
              <w:top w:val="single" w:sz="4" w:space="0" w:color="auto"/>
              <w:left w:val="single" w:sz="4" w:space="0" w:color="auto"/>
              <w:bottom w:val="single" w:sz="4" w:space="0" w:color="auto"/>
              <w:right w:val="nil"/>
            </w:tcBorders>
            <w:noWrap/>
            <w:vAlign w:val="bottom"/>
          </w:tcPr>
          <w:p w:rsidR="00565FD5" w:rsidRPr="004439FC" w:rsidRDefault="00565FD5" w:rsidP="00AB62A3">
            <w:pPr>
              <w:tabs>
                <w:tab w:val="left" w:pos="708"/>
              </w:tabs>
              <w:jc w:val="center"/>
              <w:rPr>
                <w:rFonts w:cs="Tahoma"/>
                <w:b/>
                <w:bCs/>
                <w:color w:val="000000"/>
                <w:sz w:val="16"/>
                <w:szCs w:val="18"/>
                <w:lang w:eastAsia="tr-TR"/>
              </w:rPr>
            </w:pPr>
            <w:r w:rsidRPr="004439FC">
              <w:rPr>
                <w:rFonts w:cs="Tahoma"/>
                <w:b/>
                <w:bCs/>
                <w:color w:val="000000"/>
                <w:sz w:val="16"/>
                <w:szCs w:val="18"/>
                <w:lang w:eastAsia="tr-TR"/>
              </w:rPr>
              <w:t>Toplam</w:t>
            </w:r>
          </w:p>
        </w:tc>
        <w:tc>
          <w:tcPr>
            <w:tcW w:w="903" w:type="pct"/>
            <w:tcBorders>
              <w:top w:val="single" w:sz="4" w:space="0" w:color="auto"/>
              <w:left w:val="nil"/>
              <w:bottom w:val="single" w:sz="4" w:space="0" w:color="auto"/>
              <w:right w:val="nil"/>
            </w:tcBorders>
            <w:noWrap/>
            <w:vAlign w:val="bottom"/>
          </w:tcPr>
          <w:p w:rsidR="00565FD5" w:rsidRPr="004439FC" w:rsidRDefault="00565FD5" w:rsidP="00AB62A3">
            <w:pPr>
              <w:tabs>
                <w:tab w:val="left" w:pos="708"/>
              </w:tabs>
              <w:jc w:val="center"/>
              <w:rPr>
                <w:rFonts w:cs="Tahoma"/>
                <w:b/>
                <w:bCs/>
                <w:color w:val="000000"/>
                <w:sz w:val="16"/>
                <w:szCs w:val="18"/>
                <w:lang w:eastAsia="tr-TR"/>
              </w:rPr>
            </w:pPr>
            <w:r w:rsidRPr="004439FC">
              <w:rPr>
                <w:rFonts w:cs="Tahoma"/>
                <w:b/>
                <w:bCs/>
                <w:color w:val="000000"/>
                <w:sz w:val="16"/>
                <w:szCs w:val="18"/>
                <w:lang w:eastAsia="tr-TR"/>
              </w:rPr>
              <w:t>142</w:t>
            </w:r>
          </w:p>
        </w:tc>
        <w:tc>
          <w:tcPr>
            <w:tcW w:w="966" w:type="pct"/>
            <w:tcBorders>
              <w:top w:val="single" w:sz="4" w:space="0" w:color="auto"/>
              <w:left w:val="nil"/>
              <w:bottom w:val="single" w:sz="4" w:space="0" w:color="auto"/>
              <w:right w:val="nil"/>
            </w:tcBorders>
            <w:noWrap/>
            <w:vAlign w:val="bottom"/>
          </w:tcPr>
          <w:p w:rsidR="00565FD5" w:rsidRPr="004439FC" w:rsidRDefault="00565FD5" w:rsidP="00AB62A3">
            <w:pPr>
              <w:tabs>
                <w:tab w:val="left" w:pos="708"/>
              </w:tabs>
              <w:jc w:val="center"/>
              <w:rPr>
                <w:rFonts w:cs="Tahoma"/>
                <w:b/>
                <w:bCs/>
                <w:color w:val="000000"/>
                <w:sz w:val="16"/>
                <w:szCs w:val="18"/>
                <w:lang w:eastAsia="tr-TR"/>
              </w:rPr>
            </w:pPr>
            <w:r>
              <w:rPr>
                <w:rFonts w:cs="Tahoma"/>
                <w:b/>
                <w:bCs/>
                <w:color w:val="000000"/>
                <w:sz w:val="16"/>
                <w:szCs w:val="18"/>
                <w:lang w:eastAsia="tr-TR"/>
              </w:rPr>
              <w:t>877,4</w:t>
            </w:r>
          </w:p>
        </w:tc>
        <w:tc>
          <w:tcPr>
            <w:tcW w:w="1028" w:type="pct"/>
            <w:tcBorders>
              <w:top w:val="single" w:sz="4" w:space="0" w:color="auto"/>
              <w:left w:val="nil"/>
              <w:bottom w:val="single" w:sz="4" w:space="0" w:color="auto"/>
              <w:right w:val="nil"/>
            </w:tcBorders>
            <w:noWrap/>
            <w:vAlign w:val="bottom"/>
          </w:tcPr>
          <w:p w:rsidR="00565FD5" w:rsidRPr="004439FC" w:rsidRDefault="00565FD5" w:rsidP="00AB62A3">
            <w:pPr>
              <w:tabs>
                <w:tab w:val="left" w:pos="708"/>
              </w:tabs>
              <w:jc w:val="center"/>
              <w:rPr>
                <w:rFonts w:cs="Tahoma"/>
                <w:b/>
                <w:bCs/>
                <w:color w:val="000000"/>
                <w:sz w:val="16"/>
                <w:szCs w:val="18"/>
                <w:lang w:eastAsia="tr-TR"/>
              </w:rPr>
            </w:pPr>
            <w:r w:rsidRPr="004439FC">
              <w:rPr>
                <w:rFonts w:cs="Tahoma"/>
                <w:b/>
                <w:bCs/>
                <w:color w:val="000000"/>
                <w:sz w:val="16"/>
                <w:szCs w:val="18"/>
                <w:lang w:eastAsia="tr-TR"/>
              </w:rPr>
              <w:t>19</w:t>
            </w:r>
            <w:r>
              <w:rPr>
                <w:rFonts w:cs="Tahoma"/>
                <w:b/>
                <w:bCs/>
                <w:color w:val="000000"/>
                <w:sz w:val="16"/>
                <w:szCs w:val="18"/>
                <w:lang w:eastAsia="tr-TR"/>
              </w:rPr>
              <w:t xml:space="preserve"> 941</w:t>
            </w:r>
          </w:p>
        </w:tc>
        <w:tc>
          <w:tcPr>
            <w:tcW w:w="996" w:type="pct"/>
            <w:tcBorders>
              <w:top w:val="single" w:sz="4" w:space="0" w:color="auto"/>
              <w:left w:val="nil"/>
              <w:bottom w:val="single" w:sz="4" w:space="0" w:color="auto"/>
              <w:right w:val="single" w:sz="4" w:space="0" w:color="auto"/>
            </w:tcBorders>
            <w:noWrap/>
            <w:vAlign w:val="bottom"/>
          </w:tcPr>
          <w:p w:rsidR="00565FD5" w:rsidRPr="004439FC" w:rsidRDefault="00565FD5" w:rsidP="00AB62A3">
            <w:pPr>
              <w:tabs>
                <w:tab w:val="left" w:pos="708"/>
              </w:tabs>
              <w:jc w:val="center"/>
              <w:rPr>
                <w:rFonts w:cs="Tahoma"/>
                <w:b/>
                <w:bCs/>
                <w:color w:val="000000"/>
                <w:sz w:val="16"/>
                <w:szCs w:val="18"/>
                <w:lang w:eastAsia="tr-TR"/>
              </w:rPr>
            </w:pPr>
            <w:r w:rsidRPr="004439FC">
              <w:rPr>
                <w:rFonts w:cs="Tahoma"/>
                <w:b/>
                <w:bCs/>
                <w:color w:val="000000"/>
                <w:sz w:val="16"/>
                <w:szCs w:val="18"/>
                <w:lang w:eastAsia="tr-TR"/>
              </w:rPr>
              <w:t>4</w:t>
            </w:r>
            <w:r>
              <w:rPr>
                <w:rFonts w:cs="Tahoma"/>
                <w:b/>
                <w:bCs/>
                <w:color w:val="000000"/>
                <w:sz w:val="16"/>
                <w:szCs w:val="18"/>
                <w:lang w:eastAsia="tr-TR"/>
              </w:rPr>
              <w:t xml:space="preserve"> </w:t>
            </w:r>
            <w:r w:rsidRPr="004439FC">
              <w:rPr>
                <w:rFonts w:cs="Tahoma"/>
                <w:b/>
                <w:bCs/>
                <w:color w:val="000000"/>
                <w:sz w:val="16"/>
                <w:szCs w:val="18"/>
                <w:lang w:eastAsia="tr-TR"/>
              </w:rPr>
              <w:t>0</w:t>
            </w:r>
            <w:r>
              <w:rPr>
                <w:rFonts w:cs="Tahoma"/>
                <w:b/>
                <w:bCs/>
                <w:color w:val="000000"/>
                <w:sz w:val="16"/>
                <w:szCs w:val="18"/>
                <w:lang w:eastAsia="tr-TR"/>
              </w:rPr>
              <w:t>22</w:t>
            </w:r>
          </w:p>
        </w:tc>
      </w:tr>
      <w:tr w:rsidR="00565FD5" w:rsidRPr="004439FC" w:rsidTr="00AB62A3">
        <w:trPr>
          <w:trHeight w:val="18"/>
          <w:jc w:val="center"/>
        </w:trPr>
        <w:tc>
          <w:tcPr>
            <w:tcW w:w="5000" w:type="pct"/>
            <w:gridSpan w:val="5"/>
            <w:tcBorders>
              <w:top w:val="single" w:sz="4" w:space="0" w:color="auto"/>
              <w:left w:val="single" w:sz="4" w:space="0" w:color="auto"/>
              <w:bottom w:val="single" w:sz="4" w:space="0" w:color="auto"/>
              <w:right w:val="single" w:sz="4" w:space="0" w:color="auto"/>
            </w:tcBorders>
            <w:noWrap/>
            <w:vAlign w:val="bottom"/>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Doğrudan Faaliyet Desteği Programları</w:t>
            </w:r>
          </w:p>
        </w:tc>
      </w:tr>
      <w:tr w:rsidR="00565FD5" w:rsidRPr="004439FC" w:rsidTr="00AB62A3">
        <w:trPr>
          <w:trHeight w:val="18"/>
          <w:jc w:val="center"/>
        </w:trPr>
        <w:tc>
          <w:tcPr>
            <w:tcW w:w="1108" w:type="pct"/>
            <w:tcBorders>
              <w:left w:val="single" w:sz="4" w:space="0" w:color="auto"/>
            </w:tcBorders>
            <w:vAlign w:val="center"/>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Uygulama Yılı</w:t>
            </w:r>
          </w:p>
        </w:tc>
        <w:tc>
          <w:tcPr>
            <w:tcW w:w="903" w:type="pct"/>
            <w:vAlign w:val="center"/>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Program Sayısı</w:t>
            </w:r>
          </w:p>
        </w:tc>
        <w:tc>
          <w:tcPr>
            <w:tcW w:w="966" w:type="pct"/>
            <w:vAlign w:val="center"/>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Destek Miktarı (1)</w:t>
            </w:r>
          </w:p>
        </w:tc>
        <w:tc>
          <w:tcPr>
            <w:tcW w:w="1028" w:type="pct"/>
            <w:vAlign w:val="center"/>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Proje Başvuru Sayısı</w:t>
            </w:r>
          </w:p>
        </w:tc>
        <w:tc>
          <w:tcPr>
            <w:tcW w:w="996" w:type="pct"/>
            <w:tcBorders>
              <w:right w:val="single" w:sz="4" w:space="0" w:color="auto"/>
            </w:tcBorders>
            <w:vAlign w:val="center"/>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Desteklenen Proje Sayısı</w:t>
            </w:r>
          </w:p>
        </w:tc>
      </w:tr>
      <w:tr w:rsidR="00565FD5" w:rsidRPr="004439FC" w:rsidTr="00AB62A3">
        <w:trPr>
          <w:trHeight w:val="263"/>
          <w:jc w:val="center"/>
        </w:trPr>
        <w:tc>
          <w:tcPr>
            <w:tcW w:w="1108" w:type="pct"/>
            <w:tcBorders>
              <w:left w:val="single" w:sz="4" w:space="0" w:color="auto"/>
            </w:tcBorders>
            <w:noWrap/>
            <w:vAlign w:val="bottom"/>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2009</w:t>
            </w:r>
          </w:p>
        </w:tc>
        <w:tc>
          <w:tcPr>
            <w:tcW w:w="903" w:type="pct"/>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1</w:t>
            </w:r>
          </w:p>
        </w:tc>
        <w:tc>
          <w:tcPr>
            <w:tcW w:w="966" w:type="pct"/>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0,3</w:t>
            </w:r>
          </w:p>
        </w:tc>
        <w:tc>
          <w:tcPr>
            <w:tcW w:w="1028" w:type="pct"/>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11</w:t>
            </w:r>
          </w:p>
        </w:tc>
        <w:tc>
          <w:tcPr>
            <w:tcW w:w="996" w:type="pct"/>
            <w:tcBorders>
              <w:right w:val="single" w:sz="4" w:space="0" w:color="auto"/>
            </w:tcBorders>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6</w:t>
            </w:r>
          </w:p>
        </w:tc>
      </w:tr>
      <w:tr w:rsidR="00565FD5" w:rsidRPr="004439FC" w:rsidTr="00AB62A3">
        <w:trPr>
          <w:trHeight w:val="263"/>
          <w:jc w:val="center"/>
        </w:trPr>
        <w:tc>
          <w:tcPr>
            <w:tcW w:w="1108" w:type="pct"/>
            <w:tcBorders>
              <w:left w:val="single" w:sz="4" w:space="0" w:color="auto"/>
            </w:tcBorders>
            <w:noWrap/>
            <w:vAlign w:val="bottom"/>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2010</w:t>
            </w:r>
          </w:p>
        </w:tc>
        <w:tc>
          <w:tcPr>
            <w:tcW w:w="903" w:type="pct"/>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8</w:t>
            </w:r>
          </w:p>
        </w:tc>
        <w:tc>
          <w:tcPr>
            <w:tcW w:w="966" w:type="pct"/>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4,4</w:t>
            </w:r>
          </w:p>
        </w:tc>
        <w:tc>
          <w:tcPr>
            <w:tcW w:w="1028" w:type="pct"/>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560</w:t>
            </w:r>
          </w:p>
        </w:tc>
        <w:tc>
          <w:tcPr>
            <w:tcW w:w="996" w:type="pct"/>
            <w:tcBorders>
              <w:right w:val="single" w:sz="4" w:space="0" w:color="auto"/>
            </w:tcBorders>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109</w:t>
            </w:r>
          </w:p>
        </w:tc>
      </w:tr>
      <w:tr w:rsidR="00565FD5" w:rsidRPr="004439FC" w:rsidTr="00AB62A3">
        <w:trPr>
          <w:trHeight w:val="263"/>
          <w:jc w:val="center"/>
        </w:trPr>
        <w:tc>
          <w:tcPr>
            <w:tcW w:w="1108" w:type="pct"/>
            <w:tcBorders>
              <w:left w:val="single" w:sz="4" w:space="0" w:color="auto"/>
            </w:tcBorders>
            <w:noWrap/>
            <w:vAlign w:val="bottom"/>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2011</w:t>
            </w:r>
          </w:p>
        </w:tc>
        <w:tc>
          <w:tcPr>
            <w:tcW w:w="903" w:type="pct"/>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2</w:t>
            </w:r>
            <w:r>
              <w:rPr>
                <w:rFonts w:cs="Tahoma"/>
                <w:color w:val="000000"/>
                <w:sz w:val="16"/>
                <w:szCs w:val="16"/>
                <w:lang w:eastAsia="tr-TR"/>
              </w:rPr>
              <w:t>3</w:t>
            </w:r>
          </w:p>
        </w:tc>
        <w:tc>
          <w:tcPr>
            <w:tcW w:w="966" w:type="pct"/>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18</w:t>
            </w:r>
          </w:p>
        </w:tc>
        <w:tc>
          <w:tcPr>
            <w:tcW w:w="1028" w:type="pct"/>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1</w:t>
            </w:r>
            <w:r>
              <w:rPr>
                <w:rFonts w:cs="Tahoma"/>
                <w:color w:val="000000"/>
                <w:sz w:val="16"/>
                <w:szCs w:val="16"/>
                <w:lang w:eastAsia="tr-TR"/>
              </w:rPr>
              <w:t xml:space="preserve"> </w:t>
            </w:r>
            <w:r w:rsidRPr="004439FC">
              <w:rPr>
                <w:rFonts w:cs="Tahoma"/>
                <w:color w:val="000000"/>
                <w:sz w:val="16"/>
                <w:szCs w:val="16"/>
                <w:lang w:eastAsia="tr-TR"/>
              </w:rPr>
              <w:t>302</w:t>
            </w:r>
          </w:p>
        </w:tc>
        <w:tc>
          <w:tcPr>
            <w:tcW w:w="996" w:type="pct"/>
            <w:tcBorders>
              <w:right w:val="single" w:sz="4" w:space="0" w:color="auto"/>
            </w:tcBorders>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39</w:t>
            </w:r>
            <w:r>
              <w:rPr>
                <w:rFonts w:cs="Tahoma"/>
                <w:color w:val="000000"/>
                <w:sz w:val="16"/>
                <w:szCs w:val="16"/>
                <w:lang w:eastAsia="tr-TR"/>
              </w:rPr>
              <w:t>4</w:t>
            </w:r>
          </w:p>
        </w:tc>
      </w:tr>
      <w:tr w:rsidR="00565FD5" w:rsidRPr="004439FC" w:rsidTr="00AB62A3">
        <w:trPr>
          <w:trHeight w:val="263"/>
          <w:jc w:val="center"/>
        </w:trPr>
        <w:tc>
          <w:tcPr>
            <w:tcW w:w="1108" w:type="pct"/>
            <w:tcBorders>
              <w:left w:val="single" w:sz="4" w:space="0" w:color="auto"/>
            </w:tcBorders>
            <w:noWrap/>
            <w:vAlign w:val="bottom"/>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 xml:space="preserve">     2012 (2)</w:t>
            </w:r>
          </w:p>
        </w:tc>
        <w:tc>
          <w:tcPr>
            <w:tcW w:w="903" w:type="pct"/>
            <w:noWrap/>
            <w:vAlign w:val="bottom"/>
          </w:tcPr>
          <w:p w:rsidR="00565FD5" w:rsidRPr="004439FC" w:rsidRDefault="00565FD5" w:rsidP="00AB62A3">
            <w:pPr>
              <w:tabs>
                <w:tab w:val="left" w:pos="708"/>
              </w:tabs>
              <w:jc w:val="center"/>
              <w:rPr>
                <w:rFonts w:cs="Tahoma"/>
                <w:color w:val="000000"/>
                <w:sz w:val="16"/>
                <w:szCs w:val="16"/>
                <w:lang w:eastAsia="tr-TR"/>
              </w:rPr>
            </w:pPr>
            <w:r>
              <w:rPr>
                <w:rFonts w:cs="Tahoma"/>
                <w:color w:val="000000"/>
                <w:sz w:val="16"/>
                <w:szCs w:val="16"/>
                <w:lang w:eastAsia="tr-TR"/>
              </w:rPr>
              <w:t>17</w:t>
            </w:r>
          </w:p>
        </w:tc>
        <w:tc>
          <w:tcPr>
            <w:tcW w:w="966" w:type="pct"/>
            <w:noWrap/>
            <w:vAlign w:val="bottom"/>
          </w:tcPr>
          <w:p w:rsidR="00565FD5" w:rsidRPr="004439FC" w:rsidRDefault="00565FD5" w:rsidP="00AB62A3">
            <w:pPr>
              <w:tabs>
                <w:tab w:val="left" w:pos="708"/>
              </w:tabs>
              <w:jc w:val="center"/>
              <w:rPr>
                <w:rFonts w:cs="Tahoma"/>
                <w:color w:val="000000"/>
                <w:sz w:val="16"/>
                <w:szCs w:val="16"/>
                <w:lang w:eastAsia="tr-TR"/>
              </w:rPr>
            </w:pPr>
            <w:r>
              <w:rPr>
                <w:rFonts w:cs="Tahoma"/>
                <w:color w:val="000000"/>
                <w:sz w:val="16"/>
                <w:szCs w:val="16"/>
                <w:lang w:eastAsia="tr-TR"/>
              </w:rPr>
              <w:t>14,2</w:t>
            </w:r>
          </w:p>
        </w:tc>
        <w:tc>
          <w:tcPr>
            <w:tcW w:w="1028" w:type="pct"/>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3</w:t>
            </w:r>
            <w:r>
              <w:rPr>
                <w:rFonts w:cs="Tahoma"/>
                <w:color w:val="000000"/>
                <w:sz w:val="16"/>
                <w:szCs w:val="16"/>
                <w:lang w:eastAsia="tr-TR"/>
              </w:rPr>
              <w:t>29</w:t>
            </w:r>
          </w:p>
        </w:tc>
        <w:tc>
          <w:tcPr>
            <w:tcW w:w="996" w:type="pct"/>
            <w:tcBorders>
              <w:right w:val="single" w:sz="4" w:space="0" w:color="auto"/>
            </w:tcBorders>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8</w:t>
            </w:r>
            <w:r>
              <w:rPr>
                <w:rFonts w:cs="Tahoma"/>
                <w:color w:val="000000"/>
                <w:sz w:val="16"/>
                <w:szCs w:val="16"/>
                <w:lang w:eastAsia="tr-TR"/>
              </w:rPr>
              <w:t>9</w:t>
            </w:r>
          </w:p>
        </w:tc>
      </w:tr>
      <w:tr w:rsidR="00565FD5" w:rsidRPr="004439FC" w:rsidTr="00AB62A3">
        <w:trPr>
          <w:trHeight w:val="170"/>
          <w:jc w:val="center"/>
        </w:trPr>
        <w:tc>
          <w:tcPr>
            <w:tcW w:w="1108" w:type="pct"/>
            <w:tcBorders>
              <w:top w:val="single" w:sz="4" w:space="0" w:color="auto"/>
              <w:left w:val="single" w:sz="4" w:space="0" w:color="auto"/>
              <w:bottom w:val="single" w:sz="4" w:space="0" w:color="auto"/>
              <w:right w:val="nil"/>
            </w:tcBorders>
            <w:noWrap/>
            <w:vAlign w:val="bottom"/>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Toplam</w:t>
            </w:r>
          </w:p>
        </w:tc>
        <w:tc>
          <w:tcPr>
            <w:tcW w:w="903" w:type="pct"/>
            <w:tcBorders>
              <w:top w:val="single" w:sz="4" w:space="0" w:color="auto"/>
              <w:left w:val="nil"/>
              <w:bottom w:val="single" w:sz="4" w:space="0" w:color="auto"/>
              <w:right w:val="nil"/>
            </w:tcBorders>
            <w:noWrap/>
            <w:vAlign w:val="bottom"/>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4</w:t>
            </w:r>
            <w:r>
              <w:rPr>
                <w:rFonts w:cs="Tahoma"/>
                <w:b/>
                <w:bCs/>
                <w:color w:val="000000"/>
                <w:sz w:val="16"/>
                <w:szCs w:val="16"/>
                <w:lang w:eastAsia="tr-TR"/>
              </w:rPr>
              <w:t>9</w:t>
            </w:r>
          </w:p>
        </w:tc>
        <w:tc>
          <w:tcPr>
            <w:tcW w:w="966" w:type="pct"/>
            <w:tcBorders>
              <w:top w:val="single" w:sz="4" w:space="0" w:color="auto"/>
              <w:left w:val="nil"/>
              <w:bottom w:val="single" w:sz="4" w:space="0" w:color="auto"/>
              <w:right w:val="nil"/>
            </w:tcBorders>
            <w:noWrap/>
            <w:vAlign w:val="bottom"/>
          </w:tcPr>
          <w:p w:rsidR="00565FD5" w:rsidRPr="004439FC" w:rsidRDefault="00565FD5" w:rsidP="00AB62A3">
            <w:pPr>
              <w:tabs>
                <w:tab w:val="left" w:pos="708"/>
              </w:tabs>
              <w:jc w:val="center"/>
              <w:rPr>
                <w:rFonts w:cs="Tahoma"/>
                <w:b/>
                <w:bCs/>
                <w:color w:val="000000"/>
                <w:sz w:val="16"/>
                <w:szCs w:val="16"/>
                <w:lang w:eastAsia="tr-TR"/>
              </w:rPr>
            </w:pPr>
            <w:r>
              <w:rPr>
                <w:rFonts w:cs="Tahoma"/>
                <w:b/>
                <w:bCs/>
                <w:color w:val="000000"/>
                <w:sz w:val="16"/>
                <w:szCs w:val="16"/>
                <w:lang w:eastAsia="tr-TR"/>
              </w:rPr>
              <w:t>36,9</w:t>
            </w:r>
          </w:p>
        </w:tc>
        <w:tc>
          <w:tcPr>
            <w:tcW w:w="1028" w:type="pct"/>
            <w:tcBorders>
              <w:top w:val="single" w:sz="4" w:space="0" w:color="auto"/>
              <w:left w:val="nil"/>
              <w:bottom w:val="single" w:sz="4" w:space="0" w:color="auto"/>
              <w:right w:val="nil"/>
            </w:tcBorders>
            <w:noWrap/>
            <w:vAlign w:val="bottom"/>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2</w:t>
            </w:r>
            <w:r>
              <w:rPr>
                <w:rFonts w:cs="Tahoma"/>
                <w:b/>
                <w:bCs/>
                <w:color w:val="000000"/>
                <w:sz w:val="16"/>
                <w:szCs w:val="16"/>
                <w:lang w:eastAsia="tr-TR"/>
              </w:rPr>
              <w:t xml:space="preserve"> 202</w:t>
            </w:r>
          </w:p>
        </w:tc>
        <w:tc>
          <w:tcPr>
            <w:tcW w:w="996" w:type="pct"/>
            <w:tcBorders>
              <w:top w:val="single" w:sz="4" w:space="0" w:color="auto"/>
              <w:left w:val="nil"/>
              <w:bottom w:val="single" w:sz="4" w:space="0" w:color="auto"/>
              <w:right w:val="single" w:sz="4" w:space="0" w:color="auto"/>
            </w:tcBorders>
            <w:noWrap/>
            <w:vAlign w:val="bottom"/>
          </w:tcPr>
          <w:p w:rsidR="00565FD5" w:rsidRPr="004439FC" w:rsidRDefault="00565FD5" w:rsidP="00AB62A3">
            <w:pPr>
              <w:tabs>
                <w:tab w:val="left" w:pos="708"/>
              </w:tabs>
              <w:jc w:val="center"/>
              <w:rPr>
                <w:rFonts w:cs="Tahoma"/>
                <w:b/>
                <w:bCs/>
                <w:color w:val="000000"/>
                <w:sz w:val="16"/>
                <w:szCs w:val="16"/>
                <w:lang w:eastAsia="tr-TR"/>
              </w:rPr>
            </w:pPr>
            <w:r>
              <w:rPr>
                <w:rFonts w:cs="Tahoma"/>
                <w:b/>
                <w:bCs/>
                <w:color w:val="000000"/>
                <w:sz w:val="16"/>
                <w:szCs w:val="16"/>
                <w:lang w:eastAsia="tr-TR"/>
              </w:rPr>
              <w:t>598</w:t>
            </w:r>
          </w:p>
        </w:tc>
      </w:tr>
      <w:tr w:rsidR="00565FD5" w:rsidRPr="004439FC" w:rsidTr="00AB62A3">
        <w:trPr>
          <w:trHeight w:val="18"/>
          <w:jc w:val="center"/>
        </w:trPr>
        <w:tc>
          <w:tcPr>
            <w:tcW w:w="5000" w:type="pct"/>
            <w:gridSpan w:val="5"/>
            <w:tcBorders>
              <w:top w:val="single" w:sz="4" w:space="0" w:color="auto"/>
              <w:left w:val="single" w:sz="4" w:space="0" w:color="auto"/>
              <w:bottom w:val="single" w:sz="4" w:space="0" w:color="auto"/>
              <w:right w:val="single" w:sz="4" w:space="0" w:color="auto"/>
            </w:tcBorders>
            <w:noWrap/>
            <w:vAlign w:val="bottom"/>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Teknik Destek Programları</w:t>
            </w:r>
          </w:p>
        </w:tc>
      </w:tr>
      <w:tr w:rsidR="00565FD5" w:rsidRPr="004439FC" w:rsidTr="00AB62A3">
        <w:trPr>
          <w:trHeight w:val="18"/>
          <w:jc w:val="center"/>
        </w:trPr>
        <w:tc>
          <w:tcPr>
            <w:tcW w:w="1108" w:type="pct"/>
            <w:tcBorders>
              <w:left w:val="single" w:sz="4" w:space="0" w:color="auto"/>
            </w:tcBorders>
            <w:vAlign w:val="center"/>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Uygulama Yılı</w:t>
            </w:r>
          </w:p>
        </w:tc>
        <w:tc>
          <w:tcPr>
            <w:tcW w:w="903" w:type="pct"/>
            <w:vAlign w:val="center"/>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Program Sayısı</w:t>
            </w:r>
          </w:p>
        </w:tc>
        <w:tc>
          <w:tcPr>
            <w:tcW w:w="966" w:type="pct"/>
            <w:vAlign w:val="center"/>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Destek Miktarı (1)</w:t>
            </w:r>
          </w:p>
        </w:tc>
        <w:tc>
          <w:tcPr>
            <w:tcW w:w="1028" w:type="pct"/>
            <w:vAlign w:val="center"/>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Proje Başvuru Sayısı</w:t>
            </w:r>
          </w:p>
        </w:tc>
        <w:tc>
          <w:tcPr>
            <w:tcW w:w="996" w:type="pct"/>
            <w:tcBorders>
              <w:right w:val="single" w:sz="4" w:space="0" w:color="auto"/>
            </w:tcBorders>
            <w:vAlign w:val="center"/>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Desteklenen Proje Sayısı</w:t>
            </w:r>
          </w:p>
        </w:tc>
      </w:tr>
      <w:tr w:rsidR="00565FD5" w:rsidRPr="004439FC" w:rsidTr="00AB62A3">
        <w:trPr>
          <w:trHeight w:val="263"/>
          <w:jc w:val="center"/>
        </w:trPr>
        <w:tc>
          <w:tcPr>
            <w:tcW w:w="1108" w:type="pct"/>
            <w:tcBorders>
              <w:left w:val="single" w:sz="4" w:space="0" w:color="auto"/>
            </w:tcBorders>
            <w:noWrap/>
            <w:vAlign w:val="bottom"/>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2010</w:t>
            </w:r>
          </w:p>
        </w:tc>
        <w:tc>
          <w:tcPr>
            <w:tcW w:w="903" w:type="pct"/>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8</w:t>
            </w:r>
          </w:p>
        </w:tc>
        <w:tc>
          <w:tcPr>
            <w:tcW w:w="966" w:type="pct"/>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3,</w:t>
            </w:r>
            <w:r>
              <w:rPr>
                <w:rFonts w:cs="Tahoma"/>
                <w:color w:val="000000"/>
                <w:sz w:val="16"/>
                <w:szCs w:val="16"/>
                <w:lang w:eastAsia="tr-TR"/>
              </w:rPr>
              <w:t>4</w:t>
            </w:r>
          </w:p>
        </w:tc>
        <w:tc>
          <w:tcPr>
            <w:tcW w:w="1028" w:type="pct"/>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783</w:t>
            </w:r>
          </w:p>
        </w:tc>
        <w:tc>
          <w:tcPr>
            <w:tcW w:w="996" w:type="pct"/>
            <w:tcBorders>
              <w:right w:val="single" w:sz="4" w:space="0" w:color="auto"/>
            </w:tcBorders>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513</w:t>
            </w:r>
          </w:p>
        </w:tc>
      </w:tr>
      <w:tr w:rsidR="00565FD5" w:rsidRPr="004439FC" w:rsidTr="00AB62A3">
        <w:trPr>
          <w:trHeight w:val="263"/>
          <w:jc w:val="center"/>
        </w:trPr>
        <w:tc>
          <w:tcPr>
            <w:tcW w:w="1108" w:type="pct"/>
            <w:tcBorders>
              <w:left w:val="single" w:sz="4" w:space="0" w:color="auto"/>
            </w:tcBorders>
            <w:noWrap/>
            <w:vAlign w:val="bottom"/>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2011</w:t>
            </w:r>
          </w:p>
        </w:tc>
        <w:tc>
          <w:tcPr>
            <w:tcW w:w="903" w:type="pct"/>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17</w:t>
            </w:r>
          </w:p>
        </w:tc>
        <w:tc>
          <w:tcPr>
            <w:tcW w:w="966" w:type="pct"/>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6,4</w:t>
            </w:r>
          </w:p>
        </w:tc>
        <w:tc>
          <w:tcPr>
            <w:tcW w:w="1028" w:type="pct"/>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1</w:t>
            </w:r>
            <w:r>
              <w:rPr>
                <w:rFonts w:cs="Tahoma"/>
                <w:color w:val="000000"/>
                <w:sz w:val="16"/>
                <w:szCs w:val="16"/>
                <w:lang w:eastAsia="tr-TR"/>
              </w:rPr>
              <w:t xml:space="preserve"> </w:t>
            </w:r>
            <w:r w:rsidRPr="004439FC">
              <w:rPr>
                <w:rFonts w:cs="Tahoma"/>
                <w:color w:val="000000"/>
                <w:sz w:val="16"/>
                <w:szCs w:val="16"/>
                <w:lang w:eastAsia="tr-TR"/>
              </w:rPr>
              <w:t>500</w:t>
            </w:r>
          </w:p>
        </w:tc>
        <w:tc>
          <w:tcPr>
            <w:tcW w:w="996" w:type="pct"/>
            <w:tcBorders>
              <w:right w:val="single" w:sz="4" w:space="0" w:color="auto"/>
            </w:tcBorders>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88</w:t>
            </w:r>
            <w:r>
              <w:rPr>
                <w:rFonts w:cs="Tahoma"/>
                <w:color w:val="000000"/>
                <w:sz w:val="16"/>
                <w:szCs w:val="16"/>
                <w:lang w:eastAsia="tr-TR"/>
              </w:rPr>
              <w:t>0</w:t>
            </w:r>
          </w:p>
        </w:tc>
      </w:tr>
      <w:tr w:rsidR="00565FD5" w:rsidRPr="004439FC" w:rsidTr="00AB62A3">
        <w:trPr>
          <w:trHeight w:val="263"/>
          <w:jc w:val="center"/>
        </w:trPr>
        <w:tc>
          <w:tcPr>
            <w:tcW w:w="1108" w:type="pct"/>
            <w:tcBorders>
              <w:left w:val="single" w:sz="4" w:space="0" w:color="auto"/>
            </w:tcBorders>
            <w:noWrap/>
            <w:vAlign w:val="bottom"/>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 xml:space="preserve">     2012 (2)</w:t>
            </w:r>
          </w:p>
        </w:tc>
        <w:tc>
          <w:tcPr>
            <w:tcW w:w="903" w:type="pct"/>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1</w:t>
            </w:r>
            <w:r>
              <w:rPr>
                <w:rFonts w:cs="Tahoma"/>
                <w:color w:val="000000"/>
                <w:sz w:val="16"/>
                <w:szCs w:val="16"/>
                <w:lang w:eastAsia="tr-TR"/>
              </w:rPr>
              <w:t>7</w:t>
            </w:r>
          </w:p>
        </w:tc>
        <w:tc>
          <w:tcPr>
            <w:tcW w:w="966" w:type="pct"/>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6,1</w:t>
            </w:r>
          </w:p>
        </w:tc>
        <w:tc>
          <w:tcPr>
            <w:tcW w:w="1028" w:type="pct"/>
            <w:noWrap/>
            <w:vAlign w:val="bottom"/>
          </w:tcPr>
          <w:p w:rsidR="00565FD5" w:rsidRPr="004439FC" w:rsidRDefault="00565FD5" w:rsidP="00AB62A3">
            <w:pPr>
              <w:tabs>
                <w:tab w:val="left" w:pos="708"/>
              </w:tabs>
              <w:jc w:val="center"/>
              <w:rPr>
                <w:rFonts w:cs="Tahoma"/>
                <w:color w:val="000000"/>
                <w:sz w:val="16"/>
                <w:szCs w:val="16"/>
                <w:lang w:eastAsia="tr-TR"/>
              </w:rPr>
            </w:pPr>
            <w:r>
              <w:rPr>
                <w:rFonts w:cs="Tahoma"/>
                <w:color w:val="000000"/>
                <w:sz w:val="16"/>
                <w:szCs w:val="16"/>
                <w:lang w:eastAsia="tr-TR"/>
              </w:rPr>
              <w:t>501</w:t>
            </w:r>
          </w:p>
        </w:tc>
        <w:tc>
          <w:tcPr>
            <w:tcW w:w="996" w:type="pct"/>
            <w:tcBorders>
              <w:right w:val="single" w:sz="4" w:space="0" w:color="auto"/>
            </w:tcBorders>
            <w:noWrap/>
            <w:vAlign w:val="bottom"/>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1</w:t>
            </w:r>
            <w:r>
              <w:rPr>
                <w:rFonts w:cs="Tahoma"/>
                <w:color w:val="000000"/>
                <w:sz w:val="16"/>
                <w:szCs w:val="16"/>
                <w:lang w:eastAsia="tr-TR"/>
              </w:rPr>
              <w:t>96</w:t>
            </w:r>
          </w:p>
        </w:tc>
      </w:tr>
      <w:tr w:rsidR="00565FD5" w:rsidRPr="004439FC" w:rsidTr="00AB62A3">
        <w:trPr>
          <w:trHeight w:val="63"/>
          <w:jc w:val="center"/>
        </w:trPr>
        <w:tc>
          <w:tcPr>
            <w:tcW w:w="1108" w:type="pct"/>
            <w:tcBorders>
              <w:top w:val="single" w:sz="4" w:space="0" w:color="auto"/>
              <w:left w:val="single" w:sz="4" w:space="0" w:color="auto"/>
              <w:bottom w:val="single" w:sz="4" w:space="0" w:color="auto"/>
              <w:right w:val="nil"/>
            </w:tcBorders>
            <w:noWrap/>
            <w:vAlign w:val="bottom"/>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Toplam</w:t>
            </w:r>
          </w:p>
        </w:tc>
        <w:tc>
          <w:tcPr>
            <w:tcW w:w="903" w:type="pct"/>
            <w:tcBorders>
              <w:top w:val="single" w:sz="4" w:space="0" w:color="auto"/>
              <w:left w:val="nil"/>
              <w:bottom w:val="single" w:sz="4" w:space="0" w:color="auto"/>
              <w:right w:val="nil"/>
            </w:tcBorders>
            <w:noWrap/>
            <w:vAlign w:val="bottom"/>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4</w:t>
            </w:r>
            <w:r>
              <w:rPr>
                <w:rFonts w:cs="Tahoma"/>
                <w:b/>
                <w:bCs/>
                <w:color w:val="000000"/>
                <w:sz w:val="16"/>
                <w:szCs w:val="16"/>
                <w:lang w:eastAsia="tr-TR"/>
              </w:rPr>
              <w:t>2</w:t>
            </w:r>
          </w:p>
        </w:tc>
        <w:tc>
          <w:tcPr>
            <w:tcW w:w="966" w:type="pct"/>
            <w:tcBorders>
              <w:top w:val="single" w:sz="4" w:space="0" w:color="auto"/>
              <w:left w:val="nil"/>
              <w:bottom w:val="single" w:sz="4" w:space="0" w:color="auto"/>
              <w:right w:val="nil"/>
            </w:tcBorders>
            <w:noWrap/>
            <w:vAlign w:val="bottom"/>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15,</w:t>
            </w:r>
            <w:r>
              <w:rPr>
                <w:rFonts w:cs="Tahoma"/>
                <w:b/>
                <w:bCs/>
                <w:color w:val="000000"/>
                <w:sz w:val="16"/>
                <w:szCs w:val="16"/>
                <w:lang w:eastAsia="tr-TR"/>
              </w:rPr>
              <w:t>9</w:t>
            </w:r>
          </w:p>
        </w:tc>
        <w:tc>
          <w:tcPr>
            <w:tcW w:w="1028" w:type="pct"/>
            <w:tcBorders>
              <w:top w:val="single" w:sz="4" w:space="0" w:color="auto"/>
              <w:left w:val="nil"/>
              <w:bottom w:val="single" w:sz="4" w:space="0" w:color="auto"/>
              <w:right w:val="nil"/>
            </w:tcBorders>
            <w:noWrap/>
            <w:vAlign w:val="bottom"/>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2</w:t>
            </w:r>
            <w:r>
              <w:rPr>
                <w:rFonts w:cs="Tahoma"/>
                <w:b/>
                <w:bCs/>
                <w:color w:val="000000"/>
                <w:sz w:val="16"/>
                <w:szCs w:val="16"/>
                <w:lang w:eastAsia="tr-TR"/>
              </w:rPr>
              <w:t xml:space="preserve"> </w:t>
            </w:r>
            <w:r w:rsidRPr="004439FC">
              <w:rPr>
                <w:rFonts w:cs="Tahoma"/>
                <w:b/>
                <w:bCs/>
                <w:color w:val="000000"/>
                <w:sz w:val="16"/>
                <w:szCs w:val="16"/>
                <w:lang w:eastAsia="tr-TR"/>
              </w:rPr>
              <w:t>7</w:t>
            </w:r>
            <w:r>
              <w:rPr>
                <w:rFonts w:cs="Tahoma"/>
                <w:b/>
                <w:bCs/>
                <w:color w:val="000000"/>
                <w:sz w:val="16"/>
                <w:szCs w:val="16"/>
                <w:lang w:eastAsia="tr-TR"/>
              </w:rPr>
              <w:t>84</w:t>
            </w:r>
          </w:p>
        </w:tc>
        <w:tc>
          <w:tcPr>
            <w:tcW w:w="996" w:type="pct"/>
            <w:tcBorders>
              <w:top w:val="single" w:sz="4" w:space="0" w:color="auto"/>
              <w:left w:val="nil"/>
              <w:bottom w:val="single" w:sz="4" w:space="0" w:color="auto"/>
              <w:right w:val="single" w:sz="4" w:space="0" w:color="auto"/>
            </w:tcBorders>
            <w:noWrap/>
            <w:vAlign w:val="bottom"/>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1</w:t>
            </w:r>
            <w:r>
              <w:rPr>
                <w:rFonts w:cs="Tahoma"/>
                <w:b/>
                <w:bCs/>
                <w:color w:val="000000"/>
                <w:sz w:val="16"/>
                <w:szCs w:val="16"/>
                <w:lang w:eastAsia="tr-TR"/>
              </w:rPr>
              <w:t xml:space="preserve"> </w:t>
            </w:r>
            <w:r w:rsidRPr="004439FC">
              <w:rPr>
                <w:rFonts w:cs="Tahoma"/>
                <w:b/>
                <w:bCs/>
                <w:color w:val="000000"/>
                <w:sz w:val="16"/>
                <w:szCs w:val="16"/>
                <w:lang w:eastAsia="tr-TR"/>
              </w:rPr>
              <w:t>5</w:t>
            </w:r>
            <w:r>
              <w:rPr>
                <w:rFonts w:cs="Tahoma"/>
                <w:b/>
                <w:bCs/>
                <w:color w:val="000000"/>
                <w:sz w:val="16"/>
                <w:szCs w:val="16"/>
                <w:lang w:eastAsia="tr-TR"/>
              </w:rPr>
              <w:t>89</w:t>
            </w:r>
          </w:p>
        </w:tc>
      </w:tr>
    </w:tbl>
    <w:p w:rsidR="00565FD5" w:rsidRPr="004439FC" w:rsidRDefault="00565FD5" w:rsidP="00565FD5">
      <w:pPr>
        <w:tabs>
          <w:tab w:val="left" w:pos="708"/>
        </w:tabs>
        <w:rPr>
          <w:rFonts w:cs="Tahoma"/>
          <w:color w:val="000000"/>
          <w:sz w:val="14"/>
          <w:szCs w:val="14"/>
          <w:lang w:eastAsia="tr-TR"/>
        </w:rPr>
      </w:pPr>
      <w:r w:rsidRPr="004439FC">
        <w:rPr>
          <w:rFonts w:cs="Tahoma"/>
          <w:color w:val="000000"/>
          <w:sz w:val="14"/>
          <w:szCs w:val="14"/>
          <w:lang w:eastAsia="tr-TR"/>
        </w:rPr>
        <w:t xml:space="preserve">(1) 2008-2011 yılları için </w:t>
      </w:r>
      <w:r>
        <w:rPr>
          <w:rFonts w:cs="Tahoma"/>
          <w:color w:val="000000"/>
          <w:sz w:val="14"/>
          <w:szCs w:val="14"/>
          <w:lang w:eastAsia="tr-TR"/>
        </w:rPr>
        <w:t>gerçekleşen</w:t>
      </w:r>
      <w:r w:rsidRPr="004439FC">
        <w:rPr>
          <w:rFonts w:cs="Tahoma"/>
          <w:color w:val="000000"/>
          <w:sz w:val="14"/>
          <w:szCs w:val="14"/>
          <w:lang w:eastAsia="tr-TR"/>
        </w:rPr>
        <w:t>, 2012 yılı için duyurulan tutardır.</w:t>
      </w:r>
    </w:p>
    <w:p w:rsidR="00565FD5" w:rsidRPr="004439FC" w:rsidRDefault="00565FD5" w:rsidP="00565FD5">
      <w:pPr>
        <w:tabs>
          <w:tab w:val="left" w:pos="708"/>
        </w:tabs>
        <w:spacing w:after="240"/>
        <w:rPr>
          <w:rFonts w:cs="Tahoma"/>
          <w:color w:val="000000"/>
          <w:sz w:val="14"/>
          <w:szCs w:val="14"/>
          <w:lang w:eastAsia="tr-TR"/>
        </w:rPr>
      </w:pPr>
      <w:r w:rsidRPr="004439FC">
        <w:rPr>
          <w:rFonts w:cs="Tahoma"/>
          <w:color w:val="000000"/>
          <w:sz w:val="14"/>
          <w:szCs w:val="14"/>
          <w:lang w:eastAsia="tr-TR"/>
        </w:rPr>
        <w:t>(2) Süreç devam etmektedir.</w:t>
      </w:r>
    </w:p>
    <w:p w:rsidR="00565FD5" w:rsidRPr="000F6904" w:rsidRDefault="00565FD5" w:rsidP="00565FD5">
      <w:pPr>
        <w:pStyle w:val="ResimYazs"/>
        <w:rPr>
          <w:rFonts w:cs="Tahoma"/>
          <w:szCs w:val="16"/>
          <w:lang w:eastAsia="tr-TR"/>
        </w:rPr>
      </w:pPr>
      <w:bookmarkStart w:id="2877" w:name="_Toc307601724"/>
      <w:bookmarkStart w:id="2878" w:name="_Toc307657944"/>
      <w:bookmarkStart w:id="2879" w:name="_Toc307702202"/>
      <w:bookmarkStart w:id="2880" w:name="_Toc338606068"/>
      <w:bookmarkStart w:id="2881" w:name="_Toc338711843"/>
      <w:r>
        <w:t xml:space="preserve">TABLO IV: </w:t>
      </w:r>
      <w:fldSimple w:instr=" SEQ TABLO_IV: \* ARABIC ">
        <w:r>
          <w:rPr>
            <w:noProof/>
          </w:rPr>
          <w:t>73</w:t>
        </w:r>
      </w:fldSimple>
      <w:r w:rsidRPr="000F6904">
        <w:rPr>
          <w:rFonts w:cs="Tahoma"/>
          <w:szCs w:val="16"/>
        </w:rPr>
        <w:t xml:space="preserve">- </w:t>
      </w:r>
      <w:r w:rsidRPr="000F6904">
        <w:rPr>
          <w:rFonts w:cs="Tahoma"/>
          <w:bCs/>
          <w:color w:val="000000"/>
          <w:szCs w:val="16"/>
          <w:lang w:eastAsia="tr-TR"/>
        </w:rPr>
        <w:t>Kalkınma Ajansı Gelirlerinin Merkezi - Yerel Dağılımı</w:t>
      </w:r>
      <w:bookmarkEnd w:id="2877"/>
      <w:bookmarkEnd w:id="2878"/>
      <w:bookmarkEnd w:id="2879"/>
      <w:bookmarkEnd w:id="2880"/>
      <w:bookmarkEnd w:id="2881"/>
    </w:p>
    <w:p w:rsidR="00565FD5" w:rsidRPr="00D90F00" w:rsidRDefault="00565FD5" w:rsidP="00565FD5">
      <w:pPr>
        <w:tabs>
          <w:tab w:val="left" w:pos="708"/>
        </w:tabs>
        <w:jc w:val="right"/>
        <w:rPr>
          <w:rFonts w:cs="Tahoma"/>
          <w:bCs/>
          <w:color w:val="000000"/>
          <w:sz w:val="14"/>
          <w:szCs w:val="14"/>
          <w:lang w:eastAsia="tr-TR"/>
        </w:rPr>
      </w:pPr>
      <w:r w:rsidRPr="00D90F00">
        <w:rPr>
          <w:rFonts w:cs="Tahoma"/>
          <w:bCs/>
          <w:color w:val="000000"/>
          <w:sz w:val="14"/>
          <w:szCs w:val="14"/>
          <w:lang w:eastAsia="tr-TR"/>
        </w:rPr>
        <w:t>(Milyon TL)</w:t>
      </w:r>
    </w:p>
    <w:tbl>
      <w:tblPr>
        <w:tblW w:w="7144" w:type="dxa"/>
        <w:jc w:val="center"/>
        <w:tblCellMar>
          <w:left w:w="70" w:type="dxa"/>
          <w:right w:w="70" w:type="dxa"/>
        </w:tblCellMar>
        <w:tblLook w:val="00A0"/>
      </w:tblPr>
      <w:tblGrid>
        <w:gridCol w:w="1392"/>
        <w:gridCol w:w="2695"/>
        <w:gridCol w:w="1933"/>
        <w:gridCol w:w="1124"/>
      </w:tblGrid>
      <w:tr w:rsidR="00565FD5" w:rsidRPr="004439FC" w:rsidTr="00AB62A3">
        <w:trPr>
          <w:trHeight w:val="300"/>
          <w:jc w:val="center"/>
        </w:trPr>
        <w:tc>
          <w:tcPr>
            <w:tcW w:w="974" w:type="pct"/>
            <w:tcBorders>
              <w:top w:val="single" w:sz="4" w:space="0" w:color="auto"/>
              <w:left w:val="single" w:sz="4" w:space="0" w:color="auto"/>
              <w:bottom w:val="single" w:sz="4" w:space="0" w:color="auto"/>
              <w:right w:val="nil"/>
            </w:tcBorders>
            <w:noWrap/>
            <w:vAlign w:val="center"/>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Yıl</w:t>
            </w:r>
          </w:p>
        </w:tc>
        <w:tc>
          <w:tcPr>
            <w:tcW w:w="1886" w:type="pct"/>
            <w:tcBorders>
              <w:top w:val="single" w:sz="4" w:space="0" w:color="auto"/>
              <w:left w:val="nil"/>
              <w:bottom w:val="single" w:sz="4" w:space="0" w:color="auto"/>
              <w:right w:val="nil"/>
            </w:tcBorders>
            <w:noWrap/>
            <w:vAlign w:val="center"/>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Merkezi Paylar</w:t>
            </w:r>
          </w:p>
        </w:tc>
        <w:tc>
          <w:tcPr>
            <w:tcW w:w="1353" w:type="pct"/>
            <w:tcBorders>
              <w:top w:val="single" w:sz="4" w:space="0" w:color="auto"/>
              <w:left w:val="nil"/>
              <w:bottom w:val="single" w:sz="4" w:space="0" w:color="auto"/>
              <w:right w:val="nil"/>
            </w:tcBorders>
            <w:noWrap/>
            <w:vAlign w:val="center"/>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Yerel Paylar</w:t>
            </w:r>
          </w:p>
        </w:tc>
        <w:tc>
          <w:tcPr>
            <w:tcW w:w="787" w:type="pct"/>
            <w:tcBorders>
              <w:top w:val="single" w:sz="4" w:space="0" w:color="auto"/>
              <w:left w:val="nil"/>
              <w:bottom w:val="single" w:sz="4" w:space="0" w:color="auto"/>
              <w:right w:val="single" w:sz="4" w:space="0" w:color="auto"/>
            </w:tcBorders>
            <w:noWrap/>
            <w:vAlign w:val="center"/>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Toplam</w:t>
            </w:r>
          </w:p>
        </w:tc>
      </w:tr>
      <w:tr w:rsidR="00565FD5" w:rsidRPr="004439FC" w:rsidTr="00AB62A3">
        <w:trPr>
          <w:trHeight w:val="300"/>
          <w:jc w:val="center"/>
        </w:trPr>
        <w:tc>
          <w:tcPr>
            <w:tcW w:w="974" w:type="pct"/>
            <w:tcBorders>
              <w:left w:val="single" w:sz="4" w:space="0" w:color="auto"/>
            </w:tcBorders>
            <w:noWrap/>
            <w:vAlign w:val="center"/>
          </w:tcPr>
          <w:p w:rsidR="00565FD5" w:rsidRPr="004439FC" w:rsidRDefault="00565FD5" w:rsidP="00AB62A3">
            <w:pPr>
              <w:tabs>
                <w:tab w:val="left" w:pos="708"/>
              </w:tabs>
              <w:ind w:left="356"/>
              <w:rPr>
                <w:rFonts w:cs="Tahoma"/>
                <w:b/>
                <w:bCs/>
                <w:color w:val="000000"/>
                <w:sz w:val="16"/>
                <w:szCs w:val="16"/>
                <w:lang w:eastAsia="tr-TR"/>
              </w:rPr>
            </w:pPr>
            <w:r w:rsidRPr="004439FC">
              <w:rPr>
                <w:rFonts w:cs="Tahoma"/>
                <w:b/>
                <w:bCs/>
                <w:color w:val="000000"/>
                <w:sz w:val="16"/>
                <w:szCs w:val="16"/>
                <w:lang w:eastAsia="tr-TR"/>
              </w:rPr>
              <w:t>2008 (1)</w:t>
            </w:r>
          </w:p>
        </w:tc>
        <w:tc>
          <w:tcPr>
            <w:tcW w:w="1886" w:type="pct"/>
            <w:noWrap/>
            <w:vAlign w:val="center"/>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39,6</w:t>
            </w:r>
          </w:p>
        </w:tc>
        <w:tc>
          <w:tcPr>
            <w:tcW w:w="1353" w:type="pct"/>
            <w:noWrap/>
            <w:vAlign w:val="center"/>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2,8</w:t>
            </w:r>
          </w:p>
        </w:tc>
        <w:tc>
          <w:tcPr>
            <w:tcW w:w="787" w:type="pct"/>
            <w:tcBorders>
              <w:right w:val="single" w:sz="4" w:space="0" w:color="auto"/>
            </w:tcBorders>
            <w:noWrap/>
            <w:vAlign w:val="center"/>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42,4</w:t>
            </w:r>
          </w:p>
        </w:tc>
      </w:tr>
      <w:tr w:rsidR="00565FD5" w:rsidRPr="004439FC" w:rsidTr="00AB62A3">
        <w:trPr>
          <w:trHeight w:val="300"/>
          <w:jc w:val="center"/>
        </w:trPr>
        <w:tc>
          <w:tcPr>
            <w:tcW w:w="974" w:type="pct"/>
            <w:tcBorders>
              <w:left w:val="single" w:sz="4" w:space="0" w:color="auto"/>
            </w:tcBorders>
            <w:noWrap/>
            <w:vAlign w:val="center"/>
          </w:tcPr>
          <w:p w:rsidR="00565FD5" w:rsidRPr="004439FC" w:rsidRDefault="00565FD5" w:rsidP="00AB62A3">
            <w:pPr>
              <w:tabs>
                <w:tab w:val="left" w:pos="708"/>
              </w:tabs>
              <w:ind w:left="356"/>
              <w:rPr>
                <w:rFonts w:cs="Tahoma"/>
                <w:b/>
                <w:bCs/>
                <w:color w:val="000000"/>
                <w:sz w:val="16"/>
                <w:szCs w:val="16"/>
                <w:lang w:eastAsia="tr-TR"/>
              </w:rPr>
            </w:pPr>
            <w:r w:rsidRPr="004439FC">
              <w:rPr>
                <w:rFonts w:cs="Tahoma"/>
                <w:b/>
                <w:bCs/>
                <w:color w:val="000000"/>
                <w:sz w:val="16"/>
                <w:szCs w:val="16"/>
                <w:lang w:eastAsia="tr-TR"/>
              </w:rPr>
              <w:t>2009</w:t>
            </w:r>
          </w:p>
        </w:tc>
        <w:tc>
          <w:tcPr>
            <w:tcW w:w="1886" w:type="pct"/>
            <w:noWrap/>
            <w:vAlign w:val="center"/>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171,0</w:t>
            </w:r>
          </w:p>
        </w:tc>
        <w:tc>
          <w:tcPr>
            <w:tcW w:w="1353" w:type="pct"/>
            <w:noWrap/>
            <w:vAlign w:val="center"/>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38,6</w:t>
            </w:r>
          </w:p>
        </w:tc>
        <w:tc>
          <w:tcPr>
            <w:tcW w:w="787" w:type="pct"/>
            <w:tcBorders>
              <w:right w:val="single" w:sz="4" w:space="0" w:color="auto"/>
            </w:tcBorders>
            <w:noWrap/>
            <w:vAlign w:val="center"/>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209,6</w:t>
            </w:r>
          </w:p>
        </w:tc>
      </w:tr>
      <w:tr w:rsidR="00565FD5" w:rsidRPr="004439FC" w:rsidTr="00AB62A3">
        <w:trPr>
          <w:trHeight w:val="300"/>
          <w:jc w:val="center"/>
        </w:trPr>
        <w:tc>
          <w:tcPr>
            <w:tcW w:w="974" w:type="pct"/>
            <w:tcBorders>
              <w:left w:val="single" w:sz="4" w:space="0" w:color="auto"/>
            </w:tcBorders>
            <w:noWrap/>
            <w:vAlign w:val="center"/>
          </w:tcPr>
          <w:p w:rsidR="00565FD5" w:rsidRPr="004439FC" w:rsidRDefault="00565FD5" w:rsidP="00AB62A3">
            <w:pPr>
              <w:tabs>
                <w:tab w:val="left" w:pos="708"/>
              </w:tabs>
              <w:ind w:left="356"/>
              <w:rPr>
                <w:rFonts w:cs="Tahoma"/>
                <w:b/>
                <w:bCs/>
                <w:color w:val="000000"/>
                <w:sz w:val="16"/>
                <w:szCs w:val="16"/>
                <w:lang w:eastAsia="tr-TR"/>
              </w:rPr>
            </w:pPr>
            <w:r w:rsidRPr="004439FC">
              <w:rPr>
                <w:rFonts w:cs="Tahoma"/>
                <w:b/>
                <w:bCs/>
                <w:color w:val="000000"/>
                <w:sz w:val="16"/>
                <w:szCs w:val="16"/>
                <w:lang w:eastAsia="tr-TR"/>
              </w:rPr>
              <w:t>2010</w:t>
            </w:r>
          </w:p>
        </w:tc>
        <w:tc>
          <w:tcPr>
            <w:tcW w:w="1886" w:type="pct"/>
            <w:noWrap/>
            <w:vAlign w:val="center"/>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442,6</w:t>
            </w:r>
          </w:p>
        </w:tc>
        <w:tc>
          <w:tcPr>
            <w:tcW w:w="1353" w:type="pct"/>
            <w:noWrap/>
            <w:vAlign w:val="center"/>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110,6</w:t>
            </w:r>
          </w:p>
        </w:tc>
        <w:tc>
          <w:tcPr>
            <w:tcW w:w="787" w:type="pct"/>
            <w:tcBorders>
              <w:right w:val="single" w:sz="4" w:space="0" w:color="auto"/>
            </w:tcBorders>
            <w:noWrap/>
            <w:vAlign w:val="center"/>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 xml:space="preserve"> 553,2</w:t>
            </w:r>
          </w:p>
        </w:tc>
      </w:tr>
      <w:tr w:rsidR="00565FD5" w:rsidRPr="004439FC" w:rsidTr="00AB62A3">
        <w:trPr>
          <w:trHeight w:val="300"/>
          <w:jc w:val="center"/>
        </w:trPr>
        <w:tc>
          <w:tcPr>
            <w:tcW w:w="974" w:type="pct"/>
            <w:tcBorders>
              <w:left w:val="single" w:sz="4" w:space="0" w:color="auto"/>
            </w:tcBorders>
            <w:noWrap/>
            <w:vAlign w:val="center"/>
          </w:tcPr>
          <w:p w:rsidR="00565FD5" w:rsidRPr="004439FC" w:rsidRDefault="00565FD5" w:rsidP="00AB62A3">
            <w:pPr>
              <w:tabs>
                <w:tab w:val="left" w:pos="708"/>
              </w:tabs>
              <w:ind w:left="356"/>
              <w:rPr>
                <w:rFonts w:cs="Tahoma"/>
                <w:b/>
                <w:bCs/>
                <w:color w:val="000000"/>
                <w:sz w:val="16"/>
                <w:szCs w:val="16"/>
                <w:lang w:eastAsia="tr-TR"/>
              </w:rPr>
            </w:pPr>
            <w:r w:rsidRPr="004439FC">
              <w:rPr>
                <w:rFonts w:cs="Tahoma"/>
                <w:b/>
                <w:bCs/>
                <w:color w:val="000000"/>
                <w:sz w:val="16"/>
                <w:szCs w:val="16"/>
                <w:lang w:eastAsia="tr-TR"/>
              </w:rPr>
              <w:t>2011</w:t>
            </w:r>
          </w:p>
        </w:tc>
        <w:tc>
          <w:tcPr>
            <w:tcW w:w="1886" w:type="pct"/>
            <w:noWrap/>
            <w:vAlign w:val="center"/>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100,0</w:t>
            </w:r>
          </w:p>
        </w:tc>
        <w:tc>
          <w:tcPr>
            <w:tcW w:w="1353" w:type="pct"/>
            <w:noWrap/>
            <w:vAlign w:val="center"/>
          </w:tcPr>
          <w:p w:rsidR="00565FD5" w:rsidRPr="004439FC"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202,0</w:t>
            </w:r>
          </w:p>
        </w:tc>
        <w:tc>
          <w:tcPr>
            <w:tcW w:w="787" w:type="pct"/>
            <w:tcBorders>
              <w:right w:val="single" w:sz="4" w:space="0" w:color="auto"/>
            </w:tcBorders>
            <w:noWrap/>
            <w:vAlign w:val="center"/>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302,0</w:t>
            </w:r>
          </w:p>
        </w:tc>
      </w:tr>
      <w:tr w:rsidR="00565FD5" w:rsidRPr="004439FC" w:rsidTr="00AB62A3">
        <w:trPr>
          <w:trHeight w:val="300"/>
          <w:jc w:val="center"/>
        </w:trPr>
        <w:tc>
          <w:tcPr>
            <w:tcW w:w="974" w:type="pct"/>
            <w:tcBorders>
              <w:left w:val="single" w:sz="4" w:space="0" w:color="auto"/>
              <w:bottom w:val="single" w:sz="4" w:space="0" w:color="auto"/>
            </w:tcBorders>
            <w:noWrap/>
            <w:vAlign w:val="center"/>
          </w:tcPr>
          <w:p w:rsidR="00565FD5" w:rsidRPr="004439FC" w:rsidRDefault="00565FD5" w:rsidP="00AB62A3">
            <w:pPr>
              <w:tabs>
                <w:tab w:val="left" w:pos="708"/>
              </w:tabs>
              <w:ind w:left="356"/>
              <w:rPr>
                <w:rFonts w:cs="Tahoma"/>
                <w:b/>
                <w:bCs/>
                <w:color w:val="000000"/>
                <w:sz w:val="16"/>
                <w:szCs w:val="16"/>
                <w:lang w:eastAsia="tr-TR"/>
              </w:rPr>
            </w:pPr>
            <w:r w:rsidRPr="004439FC">
              <w:rPr>
                <w:rFonts w:cs="Tahoma"/>
                <w:b/>
                <w:bCs/>
                <w:color w:val="000000"/>
                <w:sz w:val="16"/>
                <w:szCs w:val="16"/>
                <w:lang w:eastAsia="tr-TR"/>
              </w:rPr>
              <w:t>2012 (2)</w:t>
            </w:r>
          </w:p>
        </w:tc>
        <w:tc>
          <w:tcPr>
            <w:tcW w:w="1886" w:type="pct"/>
            <w:tcBorders>
              <w:bottom w:val="single" w:sz="4" w:space="0" w:color="auto"/>
            </w:tcBorders>
            <w:noWrap/>
            <w:vAlign w:val="center"/>
          </w:tcPr>
          <w:p w:rsidR="00565FD5" w:rsidRPr="004439FC" w:rsidDel="00023C7E"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450,0</w:t>
            </w:r>
          </w:p>
        </w:tc>
        <w:tc>
          <w:tcPr>
            <w:tcW w:w="1353" w:type="pct"/>
            <w:tcBorders>
              <w:bottom w:val="single" w:sz="4" w:space="0" w:color="auto"/>
            </w:tcBorders>
            <w:noWrap/>
            <w:vAlign w:val="center"/>
          </w:tcPr>
          <w:p w:rsidR="00565FD5" w:rsidRPr="004439FC" w:rsidDel="00023C7E" w:rsidRDefault="00565FD5" w:rsidP="00AB62A3">
            <w:pPr>
              <w:tabs>
                <w:tab w:val="left" w:pos="708"/>
              </w:tabs>
              <w:jc w:val="center"/>
              <w:rPr>
                <w:rFonts w:cs="Tahoma"/>
                <w:color w:val="000000"/>
                <w:sz w:val="16"/>
                <w:szCs w:val="16"/>
                <w:lang w:eastAsia="tr-TR"/>
              </w:rPr>
            </w:pPr>
            <w:r w:rsidRPr="004439FC">
              <w:rPr>
                <w:rFonts w:cs="Tahoma"/>
                <w:color w:val="000000"/>
                <w:sz w:val="16"/>
                <w:szCs w:val="16"/>
                <w:lang w:eastAsia="tr-TR"/>
              </w:rPr>
              <w:t>154,8</w:t>
            </w:r>
          </w:p>
        </w:tc>
        <w:tc>
          <w:tcPr>
            <w:tcW w:w="787" w:type="pct"/>
            <w:tcBorders>
              <w:bottom w:val="single" w:sz="4" w:space="0" w:color="auto"/>
              <w:right w:val="single" w:sz="4" w:space="0" w:color="auto"/>
            </w:tcBorders>
            <w:noWrap/>
            <w:vAlign w:val="center"/>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604,8</w:t>
            </w:r>
          </w:p>
        </w:tc>
      </w:tr>
      <w:tr w:rsidR="00565FD5" w:rsidRPr="004439FC" w:rsidTr="00AB62A3">
        <w:trPr>
          <w:trHeight w:val="300"/>
          <w:jc w:val="center"/>
        </w:trPr>
        <w:tc>
          <w:tcPr>
            <w:tcW w:w="974" w:type="pct"/>
            <w:tcBorders>
              <w:top w:val="single" w:sz="4" w:space="0" w:color="auto"/>
              <w:left w:val="single" w:sz="4" w:space="0" w:color="auto"/>
              <w:bottom w:val="single" w:sz="4" w:space="0" w:color="auto"/>
            </w:tcBorders>
            <w:noWrap/>
            <w:vAlign w:val="center"/>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Toplam</w:t>
            </w:r>
          </w:p>
        </w:tc>
        <w:tc>
          <w:tcPr>
            <w:tcW w:w="1886" w:type="pct"/>
            <w:tcBorders>
              <w:top w:val="single" w:sz="4" w:space="0" w:color="auto"/>
              <w:bottom w:val="single" w:sz="4" w:space="0" w:color="auto"/>
            </w:tcBorders>
            <w:noWrap/>
            <w:vAlign w:val="center"/>
          </w:tcPr>
          <w:p w:rsidR="00565FD5" w:rsidRPr="004439FC" w:rsidRDefault="00565FD5" w:rsidP="00AB62A3">
            <w:pPr>
              <w:tabs>
                <w:tab w:val="left" w:pos="708"/>
              </w:tabs>
              <w:jc w:val="center"/>
              <w:rPr>
                <w:rFonts w:cs="Tahoma"/>
                <w:b/>
                <w:color w:val="000000"/>
                <w:sz w:val="16"/>
                <w:szCs w:val="16"/>
                <w:lang w:eastAsia="tr-TR"/>
              </w:rPr>
            </w:pPr>
            <w:r w:rsidRPr="004439FC">
              <w:rPr>
                <w:rFonts w:cs="Tahoma"/>
                <w:b/>
                <w:color w:val="000000"/>
                <w:sz w:val="16"/>
                <w:szCs w:val="16"/>
                <w:lang w:eastAsia="tr-TR"/>
              </w:rPr>
              <w:t>1 203,2</w:t>
            </w:r>
          </w:p>
        </w:tc>
        <w:tc>
          <w:tcPr>
            <w:tcW w:w="1353" w:type="pct"/>
            <w:tcBorders>
              <w:top w:val="single" w:sz="4" w:space="0" w:color="auto"/>
              <w:bottom w:val="single" w:sz="4" w:space="0" w:color="auto"/>
            </w:tcBorders>
            <w:noWrap/>
            <w:vAlign w:val="center"/>
          </w:tcPr>
          <w:p w:rsidR="00565FD5" w:rsidRPr="004439FC" w:rsidRDefault="00565FD5" w:rsidP="00AB62A3">
            <w:pPr>
              <w:tabs>
                <w:tab w:val="left" w:pos="708"/>
              </w:tabs>
              <w:jc w:val="center"/>
              <w:rPr>
                <w:rFonts w:cs="Tahoma"/>
                <w:b/>
                <w:color w:val="000000"/>
                <w:sz w:val="16"/>
                <w:szCs w:val="16"/>
                <w:lang w:eastAsia="tr-TR"/>
              </w:rPr>
            </w:pPr>
            <w:r w:rsidRPr="004439FC">
              <w:rPr>
                <w:rFonts w:cs="Tahoma"/>
                <w:b/>
                <w:color w:val="000000"/>
                <w:sz w:val="16"/>
                <w:szCs w:val="16"/>
                <w:lang w:eastAsia="tr-TR"/>
              </w:rPr>
              <w:t>508,8</w:t>
            </w:r>
          </w:p>
        </w:tc>
        <w:tc>
          <w:tcPr>
            <w:tcW w:w="787" w:type="pct"/>
            <w:tcBorders>
              <w:top w:val="single" w:sz="4" w:space="0" w:color="auto"/>
              <w:bottom w:val="single" w:sz="4" w:space="0" w:color="auto"/>
              <w:right w:val="single" w:sz="4" w:space="0" w:color="auto"/>
            </w:tcBorders>
            <w:noWrap/>
            <w:vAlign w:val="center"/>
          </w:tcPr>
          <w:p w:rsidR="00565FD5" w:rsidRPr="004439FC" w:rsidRDefault="00565FD5" w:rsidP="00AB62A3">
            <w:pPr>
              <w:tabs>
                <w:tab w:val="left" w:pos="708"/>
              </w:tabs>
              <w:jc w:val="center"/>
              <w:rPr>
                <w:rFonts w:cs="Tahoma"/>
                <w:b/>
                <w:bCs/>
                <w:color w:val="000000"/>
                <w:sz w:val="16"/>
                <w:szCs w:val="16"/>
                <w:lang w:eastAsia="tr-TR"/>
              </w:rPr>
            </w:pPr>
            <w:r w:rsidRPr="004439FC">
              <w:rPr>
                <w:rFonts w:cs="Tahoma"/>
                <w:b/>
                <w:bCs/>
                <w:color w:val="000000"/>
                <w:sz w:val="16"/>
                <w:szCs w:val="16"/>
                <w:lang w:eastAsia="tr-TR"/>
              </w:rPr>
              <w:t>1 712</w:t>
            </w:r>
          </w:p>
        </w:tc>
      </w:tr>
    </w:tbl>
    <w:p w:rsidR="00565FD5" w:rsidRPr="004439FC" w:rsidRDefault="00565FD5" w:rsidP="00565FD5">
      <w:pPr>
        <w:tabs>
          <w:tab w:val="left" w:pos="708"/>
        </w:tabs>
        <w:rPr>
          <w:rFonts w:cs="Tahoma"/>
          <w:color w:val="000000"/>
          <w:sz w:val="14"/>
          <w:szCs w:val="14"/>
          <w:lang w:eastAsia="tr-TR"/>
        </w:rPr>
      </w:pPr>
      <w:r w:rsidRPr="004439FC">
        <w:rPr>
          <w:rFonts w:cs="Tahoma"/>
          <w:color w:val="000000"/>
          <w:sz w:val="14"/>
          <w:szCs w:val="14"/>
          <w:lang w:eastAsia="tr-TR"/>
        </w:rPr>
        <w:t xml:space="preserve">(1) Yalnızca Çukurova ve İzmir Kalkınma Ajansları faaliyette bulunmaktadır. </w:t>
      </w:r>
    </w:p>
    <w:p w:rsidR="00565FD5" w:rsidRPr="004439FC" w:rsidRDefault="00565FD5" w:rsidP="00565FD5">
      <w:pPr>
        <w:tabs>
          <w:tab w:val="left" w:pos="708"/>
        </w:tabs>
        <w:spacing w:after="240"/>
        <w:rPr>
          <w:rFonts w:cs="Tahoma"/>
          <w:color w:val="000000"/>
          <w:sz w:val="14"/>
          <w:szCs w:val="14"/>
          <w:lang w:eastAsia="tr-TR"/>
        </w:rPr>
      </w:pPr>
      <w:r w:rsidRPr="004439FC">
        <w:rPr>
          <w:rFonts w:cs="Tahoma"/>
          <w:color w:val="000000"/>
          <w:sz w:val="14"/>
          <w:szCs w:val="14"/>
          <w:lang w:eastAsia="tr-TR"/>
        </w:rPr>
        <w:lastRenderedPageBreak/>
        <w:t>(2) Öngörülen tutarlardır.</w:t>
      </w:r>
    </w:p>
    <w:p w:rsidR="00565FD5" w:rsidRPr="004439FC" w:rsidRDefault="00565FD5" w:rsidP="00565FD5">
      <w:pPr>
        <w:tabs>
          <w:tab w:val="left" w:pos="708"/>
        </w:tabs>
        <w:autoSpaceDE w:val="0"/>
        <w:autoSpaceDN w:val="0"/>
        <w:adjustRightInd w:val="0"/>
        <w:spacing w:after="160"/>
        <w:ind w:firstLine="425"/>
        <w:rPr>
          <w:szCs w:val="18"/>
        </w:rPr>
      </w:pPr>
      <w:r w:rsidRPr="004439FC">
        <w:rPr>
          <w:szCs w:val="18"/>
        </w:rPr>
        <w:t>2007 Yılı Programında Cazibe Merkezlerini Destekleme Programı kapsamında</w:t>
      </w:r>
      <w:r w:rsidRPr="004439FC" w:rsidDel="00BB4C2F">
        <w:rPr>
          <w:szCs w:val="18"/>
        </w:rPr>
        <w:t xml:space="preserve"> </w:t>
      </w:r>
      <w:r w:rsidRPr="004439FC">
        <w:rPr>
          <w:szCs w:val="18"/>
        </w:rPr>
        <w:t>belirlenen 12 cazibe merkezinden (Diyarbakır, Elazığ, Erzurum, Gaziantep, Kayseri, Konya, Malatya, Samsun, Sivas, Şanlıurfa, Trabzon ve Van) 4 ile (Diyarbakır, Erzurum, Şanlıurfa ve Van) 2011 yılında 79 milyon TL, 2012 yılında ise 80 milyon TL tutarında ödenek ayrılmıştır.</w:t>
      </w:r>
    </w:p>
    <w:p w:rsidR="00565FD5" w:rsidRPr="004439FC" w:rsidRDefault="00565FD5" w:rsidP="00565FD5">
      <w:pPr>
        <w:pStyle w:val="ResimYazs"/>
        <w:rPr>
          <w:b w:val="0"/>
        </w:rPr>
      </w:pPr>
      <w:bookmarkStart w:id="2882" w:name="_Toc338606069"/>
      <w:bookmarkStart w:id="2883" w:name="_Toc338711844"/>
      <w:r>
        <w:t xml:space="preserve">TABLO IV: </w:t>
      </w:r>
      <w:fldSimple w:instr=" SEQ TABLO_IV: \* ARABIC ">
        <w:r>
          <w:rPr>
            <w:noProof/>
          </w:rPr>
          <w:t>74</w:t>
        </w:r>
      </w:fldSimple>
      <w:r w:rsidRPr="000F6904">
        <w:t>- Cazibe Merkezlerini Destekleme Programı Kapsamında İllere Aktarılan Ödenek</w:t>
      </w:r>
      <w:bookmarkEnd w:id="2882"/>
      <w:bookmarkEnd w:id="2883"/>
    </w:p>
    <w:p w:rsidR="00565FD5" w:rsidRPr="00D90F00" w:rsidRDefault="00565FD5" w:rsidP="00565FD5">
      <w:pPr>
        <w:jc w:val="right"/>
        <w:rPr>
          <w:rFonts w:ascii="Calibri" w:hAnsi="Calibri" w:cs="Calibri"/>
          <w:bCs/>
          <w:color w:val="000000"/>
          <w:sz w:val="14"/>
          <w:szCs w:val="14"/>
          <w:lang w:eastAsia="tr-TR"/>
        </w:rPr>
      </w:pPr>
      <w:r w:rsidRPr="00D90F00">
        <w:rPr>
          <w:bCs/>
          <w:color w:val="000000"/>
          <w:sz w:val="14"/>
          <w:szCs w:val="14"/>
          <w:lang w:eastAsia="tr-TR"/>
        </w:rPr>
        <w:t>(Milyon TL)</w:t>
      </w:r>
    </w:p>
    <w:tbl>
      <w:tblPr>
        <w:tblW w:w="4905" w:type="pct"/>
        <w:jc w:val="center"/>
        <w:tblCellMar>
          <w:left w:w="0" w:type="dxa"/>
          <w:right w:w="0" w:type="dxa"/>
        </w:tblCellMar>
        <w:tblLook w:val="00A0"/>
      </w:tblPr>
      <w:tblGrid>
        <w:gridCol w:w="2001"/>
        <w:gridCol w:w="1744"/>
        <w:gridCol w:w="1630"/>
        <w:gridCol w:w="1858"/>
        <w:gridCol w:w="1804"/>
      </w:tblGrid>
      <w:tr w:rsidR="00565FD5" w:rsidRPr="004439FC" w:rsidTr="00AB62A3">
        <w:trPr>
          <w:trHeight w:val="296"/>
          <w:jc w:val="center"/>
        </w:trPr>
        <w:tc>
          <w:tcPr>
            <w:tcW w:w="1107" w:type="pct"/>
            <w:tcBorders>
              <w:top w:val="single" w:sz="8" w:space="0" w:color="auto"/>
              <w:left w:val="single" w:sz="8" w:space="0" w:color="auto"/>
              <w:bottom w:val="single" w:sz="4" w:space="0" w:color="auto"/>
            </w:tcBorders>
            <w:tcMar>
              <w:top w:w="0" w:type="dxa"/>
              <w:left w:w="70" w:type="dxa"/>
              <w:bottom w:w="0" w:type="dxa"/>
              <w:right w:w="70" w:type="dxa"/>
            </w:tcMar>
            <w:vAlign w:val="bottom"/>
          </w:tcPr>
          <w:p w:rsidR="00565FD5" w:rsidRPr="004439FC" w:rsidRDefault="00565FD5" w:rsidP="00AB62A3">
            <w:pPr>
              <w:jc w:val="center"/>
              <w:rPr>
                <w:rFonts w:ascii="Calibri" w:hAnsi="Calibri" w:cs="Calibri"/>
                <w:b/>
                <w:bCs/>
                <w:color w:val="000000"/>
                <w:sz w:val="16"/>
                <w:szCs w:val="18"/>
                <w:lang w:eastAsia="tr-TR"/>
              </w:rPr>
            </w:pPr>
            <w:r w:rsidRPr="004439FC">
              <w:rPr>
                <w:b/>
                <w:bCs/>
                <w:color w:val="000000"/>
                <w:sz w:val="16"/>
                <w:lang w:eastAsia="tr-TR"/>
              </w:rPr>
              <w:t>Uygulama Yılı</w:t>
            </w:r>
          </w:p>
        </w:tc>
        <w:tc>
          <w:tcPr>
            <w:tcW w:w="965" w:type="pct"/>
            <w:tcBorders>
              <w:top w:val="single" w:sz="8" w:space="0" w:color="auto"/>
              <w:bottom w:val="single" w:sz="4" w:space="0" w:color="auto"/>
            </w:tcBorders>
            <w:tcMar>
              <w:top w:w="0" w:type="dxa"/>
              <w:left w:w="70" w:type="dxa"/>
              <w:bottom w:w="0" w:type="dxa"/>
              <w:right w:w="70" w:type="dxa"/>
            </w:tcMar>
            <w:vAlign w:val="bottom"/>
          </w:tcPr>
          <w:p w:rsidR="00565FD5" w:rsidRPr="004439FC" w:rsidRDefault="00565FD5" w:rsidP="00AB62A3">
            <w:pPr>
              <w:jc w:val="center"/>
              <w:rPr>
                <w:rFonts w:ascii="Calibri" w:hAnsi="Calibri" w:cs="Calibri"/>
                <w:b/>
                <w:bCs/>
                <w:color w:val="000000"/>
                <w:sz w:val="16"/>
                <w:szCs w:val="18"/>
                <w:lang w:eastAsia="tr-TR"/>
              </w:rPr>
            </w:pPr>
            <w:r w:rsidRPr="004439FC">
              <w:rPr>
                <w:b/>
                <w:bCs/>
                <w:color w:val="000000"/>
                <w:sz w:val="16"/>
                <w:lang w:eastAsia="tr-TR"/>
              </w:rPr>
              <w:t>Diyarbakır</w:t>
            </w:r>
          </w:p>
        </w:tc>
        <w:tc>
          <w:tcPr>
            <w:tcW w:w="902" w:type="pct"/>
            <w:tcBorders>
              <w:top w:val="single" w:sz="8" w:space="0" w:color="auto"/>
              <w:bottom w:val="single" w:sz="4" w:space="0" w:color="auto"/>
            </w:tcBorders>
            <w:tcMar>
              <w:top w:w="0" w:type="dxa"/>
              <w:left w:w="70" w:type="dxa"/>
              <w:bottom w:w="0" w:type="dxa"/>
              <w:right w:w="70" w:type="dxa"/>
            </w:tcMar>
            <w:vAlign w:val="bottom"/>
          </w:tcPr>
          <w:p w:rsidR="00565FD5" w:rsidRPr="004439FC" w:rsidRDefault="00565FD5" w:rsidP="00AB62A3">
            <w:pPr>
              <w:jc w:val="center"/>
              <w:rPr>
                <w:rFonts w:ascii="Calibri" w:hAnsi="Calibri" w:cs="Calibri"/>
                <w:b/>
                <w:bCs/>
                <w:color w:val="000000"/>
                <w:sz w:val="16"/>
                <w:szCs w:val="18"/>
                <w:lang w:eastAsia="tr-TR"/>
              </w:rPr>
            </w:pPr>
            <w:r w:rsidRPr="004439FC">
              <w:rPr>
                <w:b/>
                <w:bCs/>
                <w:color w:val="000000"/>
                <w:sz w:val="16"/>
                <w:lang w:eastAsia="tr-TR"/>
              </w:rPr>
              <w:t xml:space="preserve">Şanlıurfa </w:t>
            </w:r>
          </w:p>
        </w:tc>
        <w:tc>
          <w:tcPr>
            <w:tcW w:w="1028" w:type="pct"/>
            <w:tcBorders>
              <w:top w:val="single" w:sz="8" w:space="0" w:color="auto"/>
              <w:bottom w:val="single" w:sz="4" w:space="0" w:color="auto"/>
            </w:tcBorders>
            <w:tcMar>
              <w:top w:w="0" w:type="dxa"/>
              <w:left w:w="70" w:type="dxa"/>
              <w:bottom w:w="0" w:type="dxa"/>
              <w:right w:w="70" w:type="dxa"/>
            </w:tcMar>
            <w:vAlign w:val="bottom"/>
          </w:tcPr>
          <w:p w:rsidR="00565FD5" w:rsidRPr="004439FC" w:rsidRDefault="00565FD5" w:rsidP="00AB62A3">
            <w:pPr>
              <w:jc w:val="center"/>
              <w:rPr>
                <w:rFonts w:ascii="Calibri" w:hAnsi="Calibri" w:cs="Calibri"/>
                <w:b/>
                <w:bCs/>
                <w:color w:val="000000"/>
                <w:sz w:val="16"/>
                <w:szCs w:val="18"/>
                <w:lang w:eastAsia="tr-TR"/>
              </w:rPr>
            </w:pPr>
            <w:r w:rsidRPr="004439FC">
              <w:rPr>
                <w:b/>
                <w:bCs/>
                <w:color w:val="000000"/>
                <w:sz w:val="16"/>
                <w:lang w:eastAsia="tr-TR"/>
              </w:rPr>
              <w:t>Van</w:t>
            </w:r>
          </w:p>
        </w:tc>
        <w:tc>
          <w:tcPr>
            <w:tcW w:w="998" w:type="pct"/>
            <w:tcBorders>
              <w:top w:val="single" w:sz="8" w:space="0" w:color="auto"/>
              <w:bottom w:val="single" w:sz="4" w:space="0" w:color="auto"/>
              <w:right w:val="single" w:sz="8" w:space="0" w:color="auto"/>
            </w:tcBorders>
            <w:tcMar>
              <w:top w:w="0" w:type="dxa"/>
              <w:left w:w="70" w:type="dxa"/>
              <w:bottom w:w="0" w:type="dxa"/>
              <w:right w:w="70" w:type="dxa"/>
            </w:tcMar>
            <w:vAlign w:val="bottom"/>
          </w:tcPr>
          <w:p w:rsidR="00565FD5" w:rsidRPr="004439FC" w:rsidRDefault="00565FD5" w:rsidP="00AB62A3">
            <w:pPr>
              <w:jc w:val="center"/>
              <w:rPr>
                <w:rFonts w:ascii="Calibri" w:hAnsi="Calibri" w:cs="Calibri"/>
                <w:b/>
                <w:bCs/>
                <w:color w:val="000000"/>
                <w:sz w:val="16"/>
                <w:szCs w:val="18"/>
                <w:lang w:eastAsia="tr-TR"/>
              </w:rPr>
            </w:pPr>
            <w:r w:rsidRPr="004439FC">
              <w:rPr>
                <w:b/>
                <w:bCs/>
                <w:color w:val="000000"/>
                <w:sz w:val="16"/>
                <w:lang w:eastAsia="tr-TR"/>
              </w:rPr>
              <w:t>Erzurum</w:t>
            </w:r>
          </w:p>
        </w:tc>
      </w:tr>
      <w:tr w:rsidR="00565FD5" w:rsidRPr="004439FC" w:rsidTr="00AB62A3">
        <w:trPr>
          <w:trHeight w:val="227"/>
          <w:jc w:val="center"/>
        </w:trPr>
        <w:tc>
          <w:tcPr>
            <w:tcW w:w="1107" w:type="pct"/>
            <w:tcBorders>
              <w:top w:val="single" w:sz="4" w:space="0" w:color="auto"/>
              <w:left w:val="single" w:sz="8" w:space="0" w:color="auto"/>
            </w:tcBorders>
            <w:noWrap/>
            <w:tcMar>
              <w:top w:w="0" w:type="dxa"/>
              <w:left w:w="70" w:type="dxa"/>
              <w:bottom w:w="0" w:type="dxa"/>
              <w:right w:w="70" w:type="dxa"/>
            </w:tcMar>
            <w:vAlign w:val="bottom"/>
          </w:tcPr>
          <w:p w:rsidR="00565FD5" w:rsidRPr="004439FC" w:rsidRDefault="00565FD5" w:rsidP="00AB62A3">
            <w:pPr>
              <w:ind w:left="357"/>
              <w:rPr>
                <w:rFonts w:ascii="Calibri" w:hAnsi="Calibri" w:cs="Calibri"/>
                <w:b/>
                <w:bCs/>
                <w:color w:val="000000"/>
                <w:sz w:val="16"/>
                <w:szCs w:val="18"/>
                <w:lang w:eastAsia="tr-TR"/>
              </w:rPr>
            </w:pPr>
            <w:r w:rsidRPr="004439FC">
              <w:rPr>
                <w:b/>
                <w:bCs/>
                <w:color w:val="000000"/>
                <w:sz w:val="16"/>
                <w:lang w:eastAsia="tr-TR"/>
              </w:rPr>
              <w:t>2008</w:t>
            </w:r>
          </w:p>
        </w:tc>
        <w:tc>
          <w:tcPr>
            <w:tcW w:w="965" w:type="pct"/>
            <w:tcBorders>
              <w:top w:val="single" w:sz="4" w:space="0" w:color="auto"/>
            </w:tcBorders>
            <w:noWrap/>
            <w:tcMar>
              <w:top w:w="0" w:type="dxa"/>
              <w:left w:w="70" w:type="dxa"/>
              <w:bottom w:w="0" w:type="dxa"/>
              <w:right w:w="70" w:type="dxa"/>
            </w:tcMar>
            <w:vAlign w:val="bottom"/>
          </w:tcPr>
          <w:p w:rsidR="00565FD5" w:rsidRPr="004439FC" w:rsidRDefault="00565FD5" w:rsidP="00AB62A3">
            <w:pPr>
              <w:jc w:val="center"/>
              <w:rPr>
                <w:rFonts w:ascii="Calibri" w:hAnsi="Calibri" w:cs="Calibri"/>
                <w:color w:val="000000"/>
                <w:sz w:val="20"/>
                <w:lang w:eastAsia="tr-TR"/>
              </w:rPr>
            </w:pPr>
            <w:r w:rsidRPr="004439FC">
              <w:rPr>
                <w:color w:val="000000"/>
                <w:sz w:val="16"/>
                <w:lang w:eastAsia="tr-TR"/>
              </w:rPr>
              <w:t>15,0</w:t>
            </w:r>
          </w:p>
        </w:tc>
        <w:tc>
          <w:tcPr>
            <w:tcW w:w="902" w:type="pct"/>
            <w:tcBorders>
              <w:top w:val="single" w:sz="4" w:space="0" w:color="auto"/>
            </w:tcBorders>
            <w:noWrap/>
            <w:tcMar>
              <w:top w:w="0" w:type="dxa"/>
              <w:left w:w="70" w:type="dxa"/>
              <w:bottom w:w="0" w:type="dxa"/>
              <w:right w:w="70" w:type="dxa"/>
            </w:tcMar>
            <w:vAlign w:val="bottom"/>
          </w:tcPr>
          <w:p w:rsidR="00565FD5" w:rsidRPr="004439FC" w:rsidRDefault="00565FD5" w:rsidP="00AB62A3">
            <w:pPr>
              <w:jc w:val="center"/>
              <w:rPr>
                <w:rFonts w:ascii="Calibri" w:hAnsi="Calibri" w:cs="Calibri"/>
                <w:color w:val="000000"/>
                <w:sz w:val="20"/>
                <w:lang w:eastAsia="tr-TR"/>
              </w:rPr>
            </w:pPr>
            <w:r w:rsidRPr="004439FC">
              <w:rPr>
                <w:color w:val="000000"/>
                <w:sz w:val="16"/>
                <w:lang w:eastAsia="tr-TR"/>
              </w:rPr>
              <w:t>-</w:t>
            </w:r>
          </w:p>
        </w:tc>
        <w:tc>
          <w:tcPr>
            <w:tcW w:w="1028" w:type="pct"/>
            <w:tcBorders>
              <w:top w:val="single" w:sz="4" w:space="0" w:color="auto"/>
            </w:tcBorders>
            <w:noWrap/>
            <w:tcMar>
              <w:top w:w="0" w:type="dxa"/>
              <w:left w:w="70" w:type="dxa"/>
              <w:bottom w:w="0" w:type="dxa"/>
              <w:right w:w="70" w:type="dxa"/>
            </w:tcMar>
            <w:vAlign w:val="bottom"/>
          </w:tcPr>
          <w:p w:rsidR="00565FD5" w:rsidRPr="004439FC" w:rsidRDefault="00565FD5" w:rsidP="00AB62A3">
            <w:pPr>
              <w:jc w:val="center"/>
              <w:rPr>
                <w:rFonts w:ascii="Calibri" w:hAnsi="Calibri" w:cs="Calibri"/>
                <w:color w:val="000000"/>
                <w:sz w:val="20"/>
                <w:lang w:eastAsia="tr-TR"/>
              </w:rPr>
            </w:pPr>
            <w:r w:rsidRPr="004439FC">
              <w:rPr>
                <w:color w:val="000000"/>
                <w:sz w:val="16"/>
                <w:lang w:eastAsia="tr-TR"/>
              </w:rPr>
              <w:t>-</w:t>
            </w:r>
          </w:p>
        </w:tc>
        <w:tc>
          <w:tcPr>
            <w:tcW w:w="998" w:type="pct"/>
            <w:tcBorders>
              <w:top w:val="single" w:sz="4" w:space="0" w:color="auto"/>
              <w:right w:val="single" w:sz="8" w:space="0" w:color="auto"/>
            </w:tcBorders>
            <w:noWrap/>
            <w:tcMar>
              <w:top w:w="0" w:type="dxa"/>
              <w:left w:w="70" w:type="dxa"/>
              <w:bottom w:w="0" w:type="dxa"/>
              <w:right w:w="70" w:type="dxa"/>
            </w:tcMar>
            <w:vAlign w:val="bottom"/>
          </w:tcPr>
          <w:p w:rsidR="00565FD5" w:rsidRPr="004439FC" w:rsidRDefault="00565FD5" w:rsidP="00AB62A3">
            <w:pPr>
              <w:jc w:val="center"/>
              <w:rPr>
                <w:rFonts w:ascii="Calibri" w:hAnsi="Calibri" w:cs="Calibri"/>
                <w:color w:val="000000"/>
                <w:sz w:val="20"/>
                <w:lang w:eastAsia="tr-TR"/>
              </w:rPr>
            </w:pPr>
            <w:r w:rsidRPr="004439FC">
              <w:rPr>
                <w:color w:val="000000"/>
                <w:sz w:val="16"/>
                <w:lang w:eastAsia="tr-TR"/>
              </w:rPr>
              <w:t>-</w:t>
            </w:r>
          </w:p>
        </w:tc>
      </w:tr>
      <w:tr w:rsidR="00565FD5" w:rsidRPr="004439FC" w:rsidTr="00AB62A3">
        <w:trPr>
          <w:trHeight w:val="227"/>
          <w:jc w:val="center"/>
        </w:trPr>
        <w:tc>
          <w:tcPr>
            <w:tcW w:w="1107" w:type="pct"/>
            <w:tcBorders>
              <w:left w:val="single" w:sz="8" w:space="0" w:color="auto"/>
            </w:tcBorders>
            <w:noWrap/>
            <w:tcMar>
              <w:top w:w="0" w:type="dxa"/>
              <w:left w:w="70" w:type="dxa"/>
              <w:bottom w:w="0" w:type="dxa"/>
              <w:right w:w="70" w:type="dxa"/>
            </w:tcMar>
            <w:vAlign w:val="bottom"/>
          </w:tcPr>
          <w:p w:rsidR="00565FD5" w:rsidRPr="004439FC" w:rsidRDefault="00565FD5" w:rsidP="00AB62A3">
            <w:pPr>
              <w:ind w:left="357"/>
              <w:rPr>
                <w:rFonts w:ascii="Calibri" w:hAnsi="Calibri" w:cs="Calibri"/>
                <w:b/>
                <w:bCs/>
                <w:color w:val="000000"/>
                <w:sz w:val="16"/>
                <w:szCs w:val="18"/>
                <w:lang w:eastAsia="tr-TR"/>
              </w:rPr>
            </w:pPr>
            <w:r w:rsidRPr="004439FC">
              <w:rPr>
                <w:b/>
                <w:bCs/>
                <w:color w:val="000000"/>
                <w:sz w:val="16"/>
                <w:lang w:eastAsia="tr-TR"/>
              </w:rPr>
              <w:t>2009</w:t>
            </w:r>
          </w:p>
        </w:tc>
        <w:tc>
          <w:tcPr>
            <w:tcW w:w="965" w:type="pct"/>
            <w:noWrap/>
            <w:tcMar>
              <w:top w:w="0" w:type="dxa"/>
              <w:left w:w="70" w:type="dxa"/>
              <w:bottom w:w="0" w:type="dxa"/>
              <w:right w:w="70" w:type="dxa"/>
            </w:tcMar>
            <w:vAlign w:val="bottom"/>
          </w:tcPr>
          <w:p w:rsidR="00565FD5" w:rsidRPr="004439FC" w:rsidRDefault="00565FD5" w:rsidP="00AB62A3">
            <w:pPr>
              <w:jc w:val="center"/>
              <w:rPr>
                <w:rFonts w:ascii="Calibri" w:hAnsi="Calibri" w:cs="Calibri"/>
                <w:color w:val="000000"/>
                <w:sz w:val="20"/>
                <w:lang w:eastAsia="tr-TR"/>
              </w:rPr>
            </w:pPr>
            <w:r w:rsidRPr="004439FC">
              <w:rPr>
                <w:color w:val="000000"/>
                <w:sz w:val="16"/>
                <w:lang w:eastAsia="tr-TR"/>
              </w:rPr>
              <w:t>18,2</w:t>
            </w:r>
          </w:p>
        </w:tc>
        <w:tc>
          <w:tcPr>
            <w:tcW w:w="902" w:type="pct"/>
            <w:noWrap/>
            <w:tcMar>
              <w:top w:w="0" w:type="dxa"/>
              <w:left w:w="70" w:type="dxa"/>
              <w:bottom w:w="0" w:type="dxa"/>
              <w:right w:w="70" w:type="dxa"/>
            </w:tcMar>
            <w:vAlign w:val="bottom"/>
          </w:tcPr>
          <w:p w:rsidR="00565FD5" w:rsidRPr="004439FC" w:rsidRDefault="00565FD5" w:rsidP="00AB62A3">
            <w:pPr>
              <w:jc w:val="center"/>
              <w:rPr>
                <w:rFonts w:ascii="Calibri" w:hAnsi="Calibri" w:cs="Calibri"/>
                <w:color w:val="000000"/>
                <w:sz w:val="20"/>
                <w:lang w:eastAsia="tr-TR"/>
              </w:rPr>
            </w:pPr>
            <w:r w:rsidRPr="004439FC">
              <w:rPr>
                <w:color w:val="000000"/>
                <w:sz w:val="16"/>
                <w:lang w:eastAsia="tr-TR"/>
              </w:rPr>
              <w:t>-</w:t>
            </w:r>
          </w:p>
        </w:tc>
        <w:tc>
          <w:tcPr>
            <w:tcW w:w="1028" w:type="pct"/>
            <w:noWrap/>
            <w:tcMar>
              <w:top w:w="0" w:type="dxa"/>
              <w:left w:w="70" w:type="dxa"/>
              <w:bottom w:w="0" w:type="dxa"/>
              <w:right w:w="70" w:type="dxa"/>
            </w:tcMar>
            <w:vAlign w:val="bottom"/>
          </w:tcPr>
          <w:p w:rsidR="00565FD5" w:rsidRPr="004439FC" w:rsidRDefault="00565FD5" w:rsidP="00AB62A3">
            <w:pPr>
              <w:jc w:val="center"/>
              <w:rPr>
                <w:rFonts w:ascii="Calibri" w:hAnsi="Calibri" w:cs="Calibri"/>
                <w:color w:val="000000"/>
                <w:sz w:val="20"/>
                <w:lang w:eastAsia="tr-TR"/>
              </w:rPr>
            </w:pPr>
            <w:r w:rsidRPr="004439FC">
              <w:rPr>
                <w:color w:val="000000"/>
                <w:sz w:val="16"/>
                <w:lang w:eastAsia="tr-TR"/>
              </w:rPr>
              <w:t>-</w:t>
            </w:r>
          </w:p>
        </w:tc>
        <w:tc>
          <w:tcPr>
            <w:tcW w:w="998" w:type="pct"/>
            <w:tcBorders>
              <w:right w:val="single" w:sz="8" w:space="0" w:color="auto"/>
            </w:tcBorders>
            <w:noWrap/>
            <w:tcMar>
              <w:top w:w="0" w:type="dxa"/>
              <w:left w:w="70" w:type="dxa"/>
              <w:bottom w:w="0" w:type="dxa"/>
              <w:right w:w="70" w:type="dxa"/>
            </w:tcMar>
            <w:vAlign w:val="bottom"/>
          </w:tcPr>
          <w:p w:rsidR="00565FD5" w:rsidRPr="004439FC" w:rsidRDefault="00565FD5" w:rsidP="00AB62A3">
            <w:pPr>
              <w:jc w:val="center"/>
              <w:rPr>
                <w:rFonts w:ascii="Calibri" w:hAnsi="Calibri" w:cs="Calibri"/>
                <w:color w:val="000000"/>
                <w:sz w:val="20"/>
                <w:lang w:eastAsia="tr-TR"/>
              </w:rPr>
            </w:pPr>
            <w:r w:rsidRPr="004439FC">
              <w:rPr>
                <w:color w:val="000000"/>
                <w:sz w:val="16"/>
                <w:lang w:eastAsia="tr-TR"/>
              </w:rPr>
              <w:t>-</w:t>
            </w:r>
          </w:p>
        </w:tc>
      </w:tr>
      <w:tr w:rsidR="00565FD5" w:rsidRPr="004439FC" w:rsidTr="00AB62A3">
        <w:trPr>
          <w:trHeight w:val="227"/>
          <w:jc w:val="center"/>
        </w:trPr>
        <w:tc>
          <w:tcPr>
            <w:tcW w:w="1107" w:type="pct"/>
            <w:tcBorders>
              <w:left w:val="single" w:sz="8" w:space="0" w:color="auto"/>
            </w:tcBorders>
            <w:noWrap/>
            <w:tcMar>
              <w:top w:w="0" w:type="dxa"/>
              <w:left w:w="70" w:type="dxa"/>
              <w:bottom w:w="0" w:type="dxa"/>
              <w:right w:w="70" w:type="dxa"/>
            </w:tcMar>
            <w:vAlign w:val="bottom"/>
          </w:tcPr>
          <w:p w:rsidR="00565FD5" w:rsidRPr="004439FC" w:rsidRDefault="00565FD5" w:rsidP="00AB62A3">
            <w:pPr>
              <w:ind w:left="357"/>
              <w:rPr>
                <w:rFonts w:ascii="Calibri" w:hAnsi="Calibri" w:cs="Calibri"/>
                <w:b/>
                <w:bCs/>
                <w:color w:val="000000"/>
                <w:sz w:val="16"/>
                <w:szCs w:val="18"/>
                <w:lang w:eastAsia="tr-TR"/>
              </w:rPr>
            </w:pPr>
            <w:r w:rsidRPr="004439FC">
              <w:rPr>
                <w:b/>
                <w:bCs/>
                <w:color w:val="000000"/>
                <w:sz w:val="16"/>
                <w:lang w:eastAsia="tr-TR"/>
              </w:rPr>
              <w:t>2010</w:t>
            </w:r>
          </w:p>
        </w:tc>
        <w:tc>
          <w:tcPr>
            <w:tcW w:w="965" w:type="pct"/>
            <w:noWrap/>
            <w:tcMar>
              <w:top w:w="0" w:type="dxa"/>
              <w:left w:w="70" w:type="dxa"/>
              <w:bottom w:w="0" w:type="dxa"/>
              <w:right w:w="70" w:type="dxa"/>
            </w:tcMar>
            <w:vAlign w:val="bottom"/>
          </w:tcPr>
          <w:p w:rsidR="00565FD5" w:rsidRPr="004439FC" w:rsidRDefault="00565FD5" w:rsidP="00AB62A3">
            <w:pPr>
              <w:jc w:val="center"/>
              <w:rPr>
                <w:rFonts w:ascii="Calibri" w:hAnsi="Calibri" w:cs="Calibri"/>
                <w:color w:val="000000"/>
                <w:sz w:val="20"/>
                <w:lang w:eastAsia="tr-TR"/>
              </w:rPr>
            </w:pPr>
            <w:r w:rsidRPr="004439FC">
              <w:rPr>
                <w:color w:val="000000"/>
                <w:sz w:val="16"/>
                <w:lang w:eastAsia="tr-TR"/>
              </w:rPr>
              <w:t>17,7</w:t>
            </w:r>
          </w:p>
        </w:tc>
        <w:tc>
          <w:tcPr>
            <w:tcW w:w="902" w:type="pct"/>
            <w:noWrap/>
            <w:tcMar>
              <w:top w:w="0" w:type="dxa"/>
              <w:left w:w="70" w:type="dxa"/>
              <w:bottom w:w="0" w:type="dxa"/>
              <w:right w:w="70" w:type="dxa"/>
            </w:tcMar>
            <w:vAlign w:val="bottom"/>
          </w:tcPr>
          <w:p w:rsidR="00565FD5" w:rsidRPr="004439FC" w:rsidRDefault="00565FD5" w:rsidP="00AB62A3">
            <w:pPr>
              <w:jc w:val="center"/>
              <w:rPr>
                <w:rFonts w:ascii="Calibri" w:hAnsi="Calibri" w:cs="Calibri"/>
                <w:color w:val="000000"/>
                <w:sz w:val="20"/>
                <w:lang w:eastAsia="tr-TR"/>
              </w:rPr>
            </w:pPr>
            <w:r w:rsidRPr="004439FC">
              <w:rPr>
                <w:color w:val="000000"/>
                <w:sz w:val="16"/>
                <w:lang w:eastAsia="tr-TR"/>
              </w:rPr>
              <w:t>28,2</w:t>
            </w:r>
          </w:p>
        </w:tc>
        <w:tc>
          <w:tcPr>
            <w:tcW w:w="1028" w:type="pct"/>
            <w:noWrap/>
            <w:tcMar>
              <w:top w:w="0" w:type="dxa"/>
              <w:left w:w="70" w:type="dxa"/>
              <w:bottom w:w="0" w:type="dxa"/>
              <w:right w:w="70" w:type="dxa"/>
            </w:tcMar>
            <w:vAlign w:val="bottom"/>
          </w:tcPr>
          <w:p w:rsidR="00565FD5" w:rsidRPr="004439FC" w:rsidRDefault="00565FD5" w:rsidP="00AB62A3">
            <w:pPr>
              <w:jc w:val="center"/>
              <w:rPr>
                <w:rFonts w:ascii="Calibri" w:hAnsi="Calibri" w:cs="Calibri"/>
                <w:color w:val="000000"/>
                <w:sz w:val="20"/>
                <w:lang w:eastAsia="tr-TR"/>
              </w:rPr>
            </w:pPr>
            <w:r w:rsidRPr="004439FC">
              <w:rPr>
                <w:color w:val="000000"/>
                <w:sz w:val="16"/>
                <w:lang w:eastAsia="tr-TR"/>
              </w:rPr>
              <w:t>14,9</w:t>
            </w:r>
          </w:p>
        </w:tc>
        <w:tc>
          <w:tcPr>
            <w:tcW w:w="998" w:type="pct"/>
            <w:tcBorders>
              <w:right w:val="single" w:sz="8" w:space="0" w:color="auto"/>
            </w:tcBorders>
            <w:noWrap/>
            <w:tcMar>
              <w:top w:w="0" w:type="dxa"/>
              <w:left w:w="70" w:type="dxa"/>
              <w:bottom w:w="0" w:type="dxa"/>
              <w:right w:w="70" w:type="dxa"/>
            </w:tcMar>
            <w:vAlign w:val="bottom"/>
          </w:tcPr>
          <w:p w:rsidR="00565FD5" w:rsidRPr="004439FC" w:rsidRDefault="00565FD5" w:rsidP="00AB62A3">
            <w:pPr>
              <w:jc w:val="center"/>
              <w:rPr>
                <w:rFonts w:ascii="Calibri" w:hAnsi="Calibri" w:cs="Calibri"/>
                <w:color w:val="000000"/>
                <w:sz w:val="20"/>
                <w:lang w:eastAsia="tr-TR"/>
              </w:rPr>
            </w:pPr>
            <w:r w:rsidRPr="004439FC">
              <w:rPr>
                <w:color w:val="000000"/>
                <w:sz w:val="16"/>
                <w:lang w:eastAsia="tr-TR"/>
              </w:rPr>
              <w:t>16,7</w:t>
            </w:r>
          </w:p>
        </w:tc>
      </w:tr>
      <w:tr w:rsidR="00565FD5" w:rsidRPr="004439FC" w:rsidTr="00AB62A3">
        <w:trPr>
          <w:trHeight w:val="227"/>
          <w:jc w:val="center"/>
        </w:trPr>
        <w:tc>
          <w:tcPr>
            <w:tcW w:w="1107" w:type="pct"/>
            <w:tcBorders>
              <w:left w:val="single" w:sz="8" w:space="0" w:color="auto"/>
            </w:tcBorders>
            <w:noWrap/>
            <w:tcMar>
              <w:top w:w="0" w:type="dxa"/>
              <w:left w:w="70" w:type="dxa"/>
              <w:bottom w:w="0" w:type="dxa"/>
              <w:right w:w="70" w:type="dxa"/>
            </w:tcMar>
            <w:vAlign w:val="bottom"/>
          </w:tcPr>
          <w:p w:rsidR="00565FD5" w:rsidRPr="004439FC" w:rsidRDefault="00565FD5" w:rsidP="00AB62A3">
            <w:pPr>
              <w:ind w:left="357"/>
              <w:rPr>
                <w:rFonts w:ascii="Calibri" w:hAnsi="Calibri" w:cs="Calibri"/>
                <w:b/>
                <w:bCs/>
                <w:color w:val="000000"/>
                <w:sz w:val="16"/>
                <w:szCs w:val="18"/>
                <w:lang w:eastAsia="tr-TR"/>
              </w:rPr>
            </w:pPr>
            <w:r w:rsidRPr="004439FC">
              <w:rPr>
                <w:b/>
                <w:bCs/>
                <w:color w:val="000000"/>
                <w:sz w:val="16"/>
                <w:lang w:eastAsia="tr-TR"/>
              </w:rPr>
              <w:t>2011</w:t>
            </w:r>
          </w:p>
        </w:tc>
        <w:tc>
          <w:tcPr>
            <w:tcW w:w="965" w:type="pct"/>
            <w:noWrap/>
            <w:tcMar>
              <w:top w:w="0" w:type="dxa"/>
              <w:left w:w="70" w:type="dxa"/>
              <w:bottom w:w="0" w:type="dxa"/>
              <w:right w:w="70" w:type="dxa"/>
            </w:tcMar>
            <w:vAlign w:val="bottom"/>
          </w:tcPr>
          <w:p w:rsidR="00565FD5" w:rsidRPr="004439FC" w:rsidRDefault="00565FD5" w:rsidP="00AB62A3">
            <w:pPr>
              <w:jc w:val="center"/>
              <w:rPr>
                <w:rFonts w:ascii="Calibri" w:hAnsi="Calibri" w:cs="Calibri"/>
                <w:color w:val="000000"/>
                <w:sz w:val="20"/>
                <w:lang w:eastAsia="tr-TR"/>
              </w:rPr>
            </w:pPr>
            <w:r w:rsidRPr="004439FC">
              <w:rPr>
                <w:color w:val="000000"/>
                <w:sz w:val="16"/>
                <w:lang w:eastAsia="tr-TR"/>
              </w:rPr>
              <w:t>17,8</w:t>
            </w:r>
          </w:p>
        </w:tc>
        <w:tc>
          <w:tcPr>
            <w:tcW w:w="902" w:type="pct"/>
            <w:noWrap/>
            <w:tcMar>
              <w:top w:w="0" w:type="dxa"/>
              <w:left w:w="70" w:type="dxa"/>
              <w:bottom w:w="0" w:type="dxa"/>
              <w:right w:w="70" w:type="dxa"/>
            </w:tcMar>
            <w:vAlign w:val="bottom"/>
          </w:tcPr>
          <w:p w:rsidR="00565FD5" w:rsidRPr="004439FC" w:rsidRDefault="00565FD5" w:rsidP="00AB62A3">
            <w:pPr>
              <w:jc w:val="center"/>
              <w:rPr>
                <w:rFonts w:ascii="Calibri" w:hAnsi="Calibri" w:cs="Calibri"/>
                <w:color w:val="000000"/>
                <w:sz w:val="20"/>
                <w:lang w:eastAsia="tr-TR"/>
              </w:rPr>
            </w:pPr>
            <w:r w:rsidRPr="004439FC">
              <w:rPr>
                <w:color w:val="000000"/>
                <w:sz w:val="16"/>
                <w:lang w:eastAsia="tr-TR"/>
              </w:rPr>
              <w:t>17,8</w:t>
            </w:r>
          </w:p>
        </w:tc>
        <w:tc>
          <w:tcPr>
            <w:tcW w:w="1028" w:type="pct"/>
            <w:noWrap/>
            <w:tcMar>
              <w:top w:w="0" w:type="dxa"/>
              <w:left w:w="70" w:type="dxa"/>
              <w:bottom w:w="0" w:type="dxa"/>
              <w:right w:w="70" w:type="dxa"/>
            </w:tcMar>
            <w:vAlign w:val="bottom"/>
          </w:tcPr>
          <w:p w:rsidR="00565FD5" w:rsidRPr="004439FC" w:rsidRDefault="00565FD5" w:rsidP="00AB62A3">
            <w:pPr>
              <w:jc w:val="center"/>
              <w:rPr>
                <w:rFonts w:ascii="Calibri" w:hAnsi="Calibri" w:cs="Calibri"/>
                <w:color w:val="000000"/>
                <w:sz w:val="20"/>
                <w:lang w:eastAsia="tr-TR"/>
              </w:rPr>
            </w:pPr>
            <w:r w:rsidRPr="004439FC">
              <w:rPr>
                <w:color w:val="000000"/>
                <w:sz w:val="16"/>
                <w:lang w:eastAsia="tr-TR"/>
              </w:rPr>
              <w:t>23,8</w:t>
            </w:r>
          </w:p>
        </w:tc>
        <w:tc>
          <w:tcPr>
            <w:tcW w:w="998" w:type="pct"/>
            <w:tcBorders>
              <w:right w:val="single" w:sz="8" w:space="0" w:color="auto"/>
            </w:tcBorders>
            <w:noWrap/>
            <w:tcMar>
              <w:top w:w="0" w:type="dxa"/>
              <w:left w:w="70" w:type="dxa"/>
              <w:bottom w:w="0" w:type="dxa"/>
              <w:right w:w="70" w:type="dxa"/>
            </w:tcMar>
            <w:vAlign w:val="bottom"/>
          </w:tcPr>
          <w:p w:rsidR="00565FD5" w:rsidRPr="004439FC" w:rsidRDefault="00565FD5" w:rsidP="00AB62A3">
            <w:pPr>
              <w:jc w:val="center"/>
              <w:rPr>
                <w:rFonts w:ascii="Calibri" w:hAnsi="Calibri" w:cs="Calibri"/>
                <w:color w:val="000000"/>
                <w:sz w:val="20"/>
                <w:lang w:eastAsia="tr-TR"/>
              </w:rPr>
            </w:pPr>
            <w:r w:rsidRPr="004439FC">
              <w:rPr>
                <w:color w:val="000000"/>
                <w:sz w:val="16"/>
                <w:lang w:eastAsia="tr-TR"/>
              </w:rPr>
              <w:t>19,8</w:t>
            </w:r>
          </w:p>
        </w:tc>
      </w:tr>
      <w:tr w:rsidR="00565FD5" w:rsidRPr="004439FC" w:rsidTr="00AB62A3">
        <w:trPr>
          <w:trHeight w:val="227"/>
          <w:jc w:val="center"/>
        </w:trPr>
        <w:tc>
          <w:tcPr>
            <w:tcW w:w="1107" w:type="pct"/>
            <w:tcBorders>
              <w:left w:val="single" w:sz="8" w:space="0" w:color="auto"/>
            </w:tcBorders>
            <w:noWrap/>
            <w:tcMar>
              <w:top w:w="0" w:type="dxa"/>
              <w:left w:w="70" w:type="dxa"/>
              <w:bottom w:w="0" w:type="dxa"/>
              <w:right w:w="70" w:type="dxa"/>
            </w:tcMar>
            <w:vAlign w:val="bottom"/>
          </w:tcPr>
          <w:p w:rsidR="00565FD5" w:rsidRPr="004439FC" w:rsidRDefault="00565FD5" w:rsidP="00AB62A3">
            <w:pPr>
              <w:ind w:left="357"/>
              <w:rPr>
                <w:rFonts w:ascii="Calibri" w:hAnsi="Calibri" w:cs="Calibri"/>
                <w:b/>
                <w:bCs/>
                <w:color w:val="000000"/>
                <w:sz w:val="16"/>
                <w:szCs w:val="18"/>
                <w:lang w:eastAsia="tr-TR"/>
              </w:rPr>
            </w:pPr>
            <w:r w:rsidRPr="004439FC">
              <w:rPr>
                <w:b/>
                <w:bCs/>
                <w:color w:val="000000"/>
                <w:sz w:val="16"/>
                <w:lang w:eastAsia="tr-TR"/>
              </w:rPr>
              <w:t>2012 (1)</w:t>
            </w:r>
          </w:p>
        </w:tc>
        <w:tc>
          <w:tcPr>
            <w:tcW w:w="965" w:type="pct"/>
            <w:noWrap/>
            <w:tcMar>
              <w:top w:w="0" w:type="dxa"/>
              <w:left w:w="70" w:type="dxa"/>
              <w:bottom w:w="0" w:type="dxa"/>
              <w:right w:w="70" w:type="dxa"/>
            </w:tcMar>
            <w:vAlign w:val="bottom"/>
          </w:tcPr>
          <w:p w:rsidR="00565FD5" w:rsidRPr="004439FC" w:rsidRDefault="00565FD5" w:rsidP="00AB62A3">
            <w:pPr>
              <w:jc w:val="center"/>
              <w:rPr>
                <w:rFonts w:ascii="Calibri" w:hAnsi="Calibri" w:cs="Calibri"/>
                <w:color w:val="000000"/>
                <w:sz w:val="20"/>
                <w:lang w:eastAsia="tr-TR"/>
              </w:rPr>
            </w:pPr>
            <w:r w:rsidRPr="004439FC">
              <w:rPr>
                <w:color w:val="000000"/>
                <w:sz w:val="16"/>
                <w:lang w:eastAsia="tr-TR"/>
              </w:rPr>
              <w:t>20,0</w:t>
            </w:r>
          </w:p>
        </w:tc>
        <w:tc>
          <w:tcPr>
            <w:tcW w:w="902" w:type="pct"/>
            <w:noWrap/>
            <w:tcMar>
              <w:top w:w="0" w:type="dxa"/>
              <w:left w:w="70" w:type="dxa"/>
              <w:bottom w:w="0" w:type="dxa"/>
              <w:right w:w="70" w:type="dxa"/>
            </w:tcMar>
            <w:vAlign w:val="bottom"/>
          </w:tcPr>
          <w:p w:rsidR="00565FD5" w:rsidRPr="004439FC" w:rsidRDefault="00565FD5" w:rsidP="00AB62A3">
            <w:pPr>
              <w:jc w:val="center"/>
              <w:rPr>
                <w:rFonts w:ascii="Calibri" w:hAnsi="Calibri" w:cs="Calibri"/>
                <w:color w:val="000000"/>
                <w:sz w:val="20"/>
                <w:lang w:eastAsia="tr-TR"/>
              </w:rPr>
            </w:pPr>
            <w:r w:rsidRPr="004439FC">
              <w:rPr>
                <w:color w:val="000000"/>
                <w:sz w:val="16"/>
                <w:lang w:eastAsia="tr-TR"/>
              </w:rPr>
              <w:t>20,0</w:t>
            </w:r>
          </w:p>
        </w:tc>
        <w:tc>
          <w:tcPr>
            <w:tcW w:w="1028" w:type="pct"/>
            <w:noWrap/>
            <w:tcMar>
              <w:top w:w="0" w:type="dxa"/>
              <w:left w:w="70" w:type="dxa"/>
              <w:bottom w:w="0" w:type="dxa"/>
              <w:right w:w="70" w:type="dxa"/>
            </w:tcMar>
            <w:vAlign w:val="bottom"/>
          </w:tcPr>
          <w:p w:rsidR="00565FD5" w:rsidRPr="004439FC" w:rsidRDefault="00565FD5" w:rsidP="00AB62A3">
            <w:pPr>
              <w:jc w:val="center"/>
              <w:rPr>
                <w:rFonts w:ascii="Calibri" w:hAnsi="Calibri" w:cs="Calibri"/>
                <w:color w:val="000000"/>
                <w:sz w:val="20"/>
                <w:lang w:eastAsia="tr-TR"/>
              </w:rPr>
            </w:pPr>
            <w:r w:rsidRPr="004439FC">
              <w:rPr>
                <w:color w:val="000000"/>
                <w:sz w:val="16"/>
                <w:lang w:eastAsia="tr-TR"/>
              </w:rPr>
              <w:t>20,0</w:t>
            </w:r>
          </w:p>
        </w:tc>
        <w:tc>
          <w:tcPr>
            <w:tcW w:w="998" w:type="pct"/>
            <w:tcBorders>
              <w:right w:val="single" w:sz="8" w:space="0" w:color="auto"/>
            </w:tcBorders>
            <w:noWrap/>
            <w:tcMar>
              <w:top w:w="0" w:type="dxa"/>
              <w:left w:w="70" w:type="dxa"/>
              <w:bottom w:w="0" w:type="dxa"/>
              <w:right w:w="70" w:type="dxa"/>
            </w:tcMar>
            <w:vAlign w:val="bottom"/>
          </w:tcPr>
          <w:p w:rsidR="00565FD5" w:rsidRPr="004439FC" w:rsidRDefault="00565FD5" w:rsidP="00AB62A3">
            <w:pPr>
              <w:jc w:val="center"/>
              <w:rPr>
                <w:rFonts w:ascii="Calibri" w:hAnsi="Calibri" w:cs="Calibri"/>
                <w:color w:val="000000"/>
                <w:sz w:val="20"/>
                <w:lang w:eastAsia="tr-TR"/>
              </w:rPr>
            </w:pPr>
            <w:r w:rsidRPr="004439FC">
              <w:rPr>
                <w:color w:val="000000"/>
                <w:sz w:val="16"/>
                <w:lang w:eastAsia="tr-TR"/>
              </w:rPr>
              <w:t>20,0</w:t>
            </w:r>
          </w:p>
        </w:tc>
      </w:tr>
      <w:tr w:rsidR="00565FD5" w:rsidRPr="004439FC" w:rsidTr="00AB62A3">
        <w:trPr>
          <w:trHeight w:val="296"/>
          <w:jc w:val="center"/>
        </w:trPr>
        <w:tc>
          <w:tcPr>
            <w:tcW w:w="1107" w:type="pct"/>
            <w:tcBorders>
              <w:top w:val="single" w:sz="8" w:space="0" w:color="auto"/>
              <w:left w:val="single" w:sz="8" w:space="0" w:color="auto"/>
              <w:bottom w:val="single" w:sz="8" w:space="0" w:color="auto"/>
              <w:right w:val="nil"/>
            </w:tcBorders>
            <w:noWrap/>
            <w:tcMar>
              <w:top w:w="0" w:type="dxa"/>
              <w:left w:w="70" w:type="dxa"/>
              <w:bottom w:w="0" w:type="dxa"/>
              <w:right w:w="70" w:type="dxa"/>
            </w:tcMar>
            <w:vAlign w:val="bottom"/>
          </w:tcPr>
          <w:p w:rsidR="00565FD5" w:rsidRPr="004439FC" w:rsidRDefault="00565FD5" w:rsidP="00AB62A3">
            <w:pPr>
              <w:ind w:left="357"/>
              <w:rPr>
                <w:rFonts w:ascii="Calibri" w:hAnsi="Calibri" w:cs="Calibri"/>
                <w:b/>
                <w:bCs/>
                <w:color w:val="000000"/>
                <w:sz w:val="16"/>
                <w:szCs w:val="18"/>
                <w:lang w:eastAsia="tr-TR"/>
              </w:rPr>
            </w:pPr>
            <w:r w:rsidRPr="004439FC">
              <w:rPr>
                <w:b/>
                <w:bCs/>
                <w:color w:val="000000"/>
                <w:sz w:val="16"/>
                <w:lang w:eastAsia="tr-TR"/>
              </w:rPr>
              <w:t>Toplam</w:t>
            </w:r>
          </w:p>
        </w:tc>
        <w:tc>
          <w:tcPr>
            <w:tcW w:w="965" w:type="pct"/>
            <w:tcBorders>
              <w:top w:val="single" w:sz="8" w:space="0" w:color="auto"/>
              <w:left w:val="nil"/>
              <w:bottom w:val="single" w:sz="8" w:space="0" w:color="auto"/>
              <w:right w:val="nil"/>
            </w:tcBorders>
            <w:noWrap/>
            <w:tcMar>
              <w:top w:w="0" w:type="dxa"/>
              <w:left w:w="70" w:type="dxa"/>
              <w:bottom w:w="0" w:type="dxa"/>
              <w:right w:w="70" w:type="dxa"/>
            </w:tcMar>
            <w:vAlign w:val="center"/>
          </w:tcPr>
          <w:p w:rsidR="00565FD5" w:rsidRPr="004439FC" w:rsidRDefault="00565FD5" w:rsidP="00AB62A3">
            <w:pPr>
              <w:jc w:val="center"/>
              <w:rPr>
                <w:rFonts w:ascii="Calibri" w:hAnsi="Calibri" w:cs="Calibri"/>
                <w:b/>
                <w:color w:val="000000"/>
                <w:sz w:val="20"/>
              </w:rPr>
            </w:pPr>
            <w:r w:rsidRPr="004439FC">
              <w:rPr>
                <w:b/>
                <w:color w:val="000000"/>
                <w:sz w:val="16"/>
              </w:rPr>
              <w:t>88,7</w:t>
            </w:r>
          </w:p>
        </w:tc>
        <w:tc>
          <w:tcPr>
            <w:tcW w:w="902" w:type="pct"/>
            <w:tcBorders>
              <w:top w:val="single" w:sz="8" w:space="0" w:color="auto"/>
              <w:left w:val="nil"/>
              <w:bottom w:val="single" w:sz="8" w:space="0" w:color="auto"/>
              <w:right w:val="nil"/>
            </w:tcBorders>
            <w:noWrap/>
            <w:tcMar>
              <w:top w:w="0" w:type="dxa"/>
              <w:left w:w="70" w:type="dxa"/>
              <w:bottom w:w="0" w:type="dxa"/>
              <w:right w:w="70" w:type="dxa"/>
            </w:tcMar>
            <w:vAlign w:val="center"/>
          </w:tcPr>
          <w:p w:rsidR="00565FD5" w:rsidRPr="004439FC" w:rsidRDefault="00565FD5" w:rsidP="00AB62A3">
            <w:pPr>
              <w:jc w:val="center"/>
              <w:rPr>
                <w:rFonts w:ascii="Calibri" w:hAnsi="Calibri" w:cs="Calibri"/>
                <w:b/>
                <w:color w:val="000000"/>
                <w:sz w:val="20"/>
              </w:rPr>
            </w:pPr>
            <w:r w:rsidRPr="004439FC">
              <w:rPr>
                <w:b/>
                <w:color w:val="000000"/>
                <w:sz w:val="16"/>
              </w:rPr>
              <w:t>66</w:t>
            </w:r>
            <w:r>
              <w:rPr>
                <w:b/>
                <w:color w:val="000000"/>
                <w:sz w:val="16"/>
              </w:rPr>
              <w:t>,0</w:t>
            </w:r>
          </w:p>
        </w:tc>
        <w:tc>
          <w:tcPr>
            <w:tcW w:w="1028" w:type="pct"/>
            <w:tcBorders>
              <w:top w:val="single" w:sz="8" w:space="0" w:color="auto"/>
              <w:left w:val="nil"/>
              <w:bottom w:val="single" w:sz="8" w:space="0" w:color="auto"/>
              <w:right w:val="nil"/>
            </w:tcBorders>
            <w:noWrap/>
            <w:tcMar>
              <w:top w:w="0" w:type="dxa"/>
              <w:left w:w="70" w:type="dxa"/>
              <w:bottom w:w="0" w:type="dxa"/>
              <w:right w:w="70" w:type="dxa"/>
            </w:tcMar>
            <w:vAlign w:val="center"/>
          </w:tcPr>
          <w:p w:rsidR="00565FD5" w:rsidRPr="004439FC" w:rsidRDefault="00565FD5" w:rsidP="00AB62A3">
            <w:pPr>
              <w:jc w:val="center"/>
              <w:rPr>
                <w:rFonts w:ascii="Calibri" w:hAnsi="Calibri" w:cs="Calibri"/>
                <w:b/>
                <w:color w:val="000000"/>
                <w:sz w:val="20"/>
              </w:rPr>
            </w:pPr>
            <w:r w:rsidRPr="004439FC">
              <w:rPr>
                <w:b/>
                <w:color w:val="000000"/>
                <w:sz w:val="16"/>
              </w:rPr>
              <w:t>58,7</w:t>
            </w:r>
          </w:p>
        </w:tc>
        <w:tc>
          <w:tcPr>
            <w:tcW w:w="998" w:type="pct"/>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tcPr>
          <w:p w:rsidR="00565FD5" w:rsidRPr="004439FC" w:rsidRDefault="00565FD5" w:rsidP="00AB62A3">
            <w:pPr>
              <w:jc w:val="center"/>
              <w:rPr>
                <w:rFonts w:ascii="Calibri" w:hAnsi="Calibri" w:cs="Calibri"/>
                <w:b/>
                <w:color w:val="000000"/>
                <w:sz w:val="20"/>
              </w:rPr>
            </w:pPr>
            <w:r w:rsidRPr="004439FC">
              <w:rPr>
                <w:b/>
                <w:color w:val="000000"/>
                <w:sz w:val="16"/>
              </w:rPr>
              <w:t>56,5</w:t>
            </w:r>
          </w:p>
        </w:tc>
      </w:tr>
    </w:tbl>
    <w:p w:rsidR="00565FD5" w:rsidRPr="004439FC" w:rsidRDefault="00565FD5" w:rsidP="00565FD5">
      <w:pPr>
        <w:spacing w:after="240"/>
        <w:rPr>
          <w:color w:val="1F497D"/>
          <w:sz w:val="14"/>
        </w:rPr>
      </w:pPr>
      <w:r w:rsidRPr="004439FC">
        <w:rPr>
          <w:sz w:val="14"/>
        </w:rPr>
        <w:t>(1) Tahsisi öngörülen ödenek dağılımını göstermektedir.</w:t>
      </w:r>
    </w:p>
    <w:p w:rsidR="00565FD5" w:rsidRPr="004439FC" w:rsidRDefault="00565FD5" w:rsidP="00565FD5">
      <w:pPr>
        <w:tabs>
          <w:tab w:val="left" w:pos="708"/>
        </w:tabs>
        <w:autoSpaceDE w:val="0"/>
        <w:autoSpaceDN w:val="0"/>
        <w:adjustRightInd w:val="0"/>
        <w:spacing w:after="160"/>
        <w:ind w:firstLine="425"/>
      </w:pPr>
      <w:r w:rsidRPr="004439FC">
        <w:t>Kalkınma ajanslarının kümelenme konusunda analiz ve destek kapasitelerini geliştirmeye yönelik çalışmalar Kalkınma Bakanlığı tarafından yürütülmektedir. Ajansların bölgelerindeki kümeleri tanılamasına, rekabetçilik ve sürdürülebilirlikleri açısından analiz etmesine imkan verecek ve böylece ne tür desteklere ihtiyaçları olduğunu belirleyerek ajanslar veya diğer kurumlar tarafından sağlanacak kümelenme desteklerine girdi oluşturacak bir kümelenme analizi metodolojisi rehberi oluşturulmuştur. Kümelenme konusunda yapılacak çalışmalarda ortak bir dil oluşturmak amacıyla hazırlanan bu rehbere ilişkin geniş kapsamlı eğitimler verilmektedir.</w:t>
      </w:r>
    </w:p>
    <w:p w:rsidR="00565FD5" w:rsidRPr="004439FC" w:rsidRDefault="00565FD5" w:rsidP="00565FD5">
      <w:pPr>
        <w:spacing w:after="160"/>
        <w:ind w:firstLine="425"/>
        <w:rPr>
          <w:szCs w:val="18"/>
        </w:rPr>
      </w:pPr>
      <w:r w:rsidRPr="004439FC">
        <w:rPr>
          <w:szCs w:val="18"/>
        </w:rPr>
        <w:t>Girişim sermayesi sisteminin ülke çapında yaygınlaşmasını teminen Kalkınma Bakanlığı, kalkınma ajansları ve Kalkınma Bankası ortak faaliyetler gerçekleştirmektedir. Bu kapsamda mevcut durumu tespit etmek amacıyla anket çalışmaları yürütülmüş, ülke örnekleri incelenmiş ve analiz çalışmaları yapılarak bir rapor oluşturulmuştur. Bu finansman aracının etkili bir şekilde kullanılması için gerekli teşvik unsurlarını da içeren modelin uygulanmasına yönelik gerekli mevzuat çalışmaları yürütülmektedir.</w:t>
      </w:r>
    </w:p>
    <w:p w:rsidR="00565FD5" w:rsidRPr="004439FC" w:rsidRDefault="00565FD5" w:rsidP="00565FD5">
      <w:pPr>
        <w:spacing w:after="160"/>
        <w:ind w:firstLine="425"/>
        <w:rPr>
          <w:szCs w:val="18"/>
        </w:rPr>
      </w:pPr>
      <w:r w:rsidRPr="004439FC">
        <w:rPr>
          <w:szCs w:val="18"/>
        </w:rPr>
        <w:t xml:space="preserve">  Kalkınma ajansları kendi bölgelerine yönelik olarak yenilik sistemlerinin geliştirilmesi ve yenilikçi uygulamalara mali ve teknik desteklerin verilmesi konusunda çalışmaları sürdürmektedir. Bu çerçevede, amacı İzmir’in yenilik potansiyelini belirleyerek elde edilen sonuçlara göre bu potansiyelin geliştirilmesine yönelik somut bir eylem planı hazırlamak olan </w:t>
      </w:r>
      <w:r w:rsidRPr="004439FC">
        <w:rPr>
          <w:bCs/>
          <w:szCs w:val="18"/>
        </w:rPr>
        <w:t>İzmir Bölgesel Yenilik Stratejisinin Oluşturulması</w:t>
      </w:r>
      <w:r w:rsidRPr="004439FC">
        <w:rPr>
          <w:szCs w:val="18"/>
        </w:rPr>
        <w:t xml:space="preserve"> Projesi, İzmir Kalkınma Ajansı, Ege Üniversitesi Bilim Teknoloji Araştırma ve Uygulama Merkezi ve TÜİK ile birlikte yürütülmüştür. Benzer şekilde Doğu Marmara Kalkınma Ajansı da TR4</w:t>
      </w:r>
      <w:r>
        <w:rPr>
          <w:szCs w:val="18"/>
        </w:rPr>
        <w:t>2</w:t>
      </w:r>
      <w:r w:rsidRPr="004439FC">
        <w:rPr>
          <w:szCs w:val="18"/>
        </w:rPr>
        <w:t xml:space="preserve"> bölgesinin yenilik stratejisini geliştirmek amacıyla çalışmalara başlamıştır. </w:t>
      </w:r>
    </w:p>
    <w:p w:rsidR="00565FD5" w:rsidRPr="004439FC" w:rsidRDefault="00565FD5" w:rsidP="00565FD5">
      <w:pPr>
        <w:pStyle w:val="Balk4"/>
      </w:pPr>
      <w:bookmarkStart w:id="2884" w:name="_Toc307701752"/>
      <w:bookmarkStart w:id="2885" w:name="_Toc338505655"/>
      <w:bookmarkStart w:id="2886" w:name="_Toc338523887"/>
      <w:bookmarkStart w:id="2887" w:name="_Toc338524118"/>
      <w:bookmarkStart w:id="2888" w:name="_Toc338526344"/>
      <w:bookmarkStart w:id="2889" w:name="_Toc338673787"/>
      <w:bookmarkStart w:id="2890" w:name="_Toc338711666"/>
      <w:r w:rsidRPr="004439FC">
        <w:t>2. Temel Amaç ve Hedefler</w:t>
      </w:r>
      <w:bookmarkEnd w:id="2884"/>
      <w:bookmarkEnd w:id="2885"/>
      <w:bookmarkEnd w:id="2886"/>
      <w:bookmarkEnd w:id="2887"/>
      <w:bookmarkEnd w:id="2888"/>
      <w:bookmarkEnd w:id="2889"/>
      <w:bookmarkEnd w:id="2890"/>
    </w:p>
    <w:p w:rsidR="00565FD5" w:rsidRPr="004439FC" w:rsidRDefault="00565FD5" w:rsidP="00565FD5">
      <w:pPr>
        <w:spacing w:after="160"/>
        <w:ind w:firstLine="425"/>
        <w:rPr>
          <w:szCs w:val="18"/>
        </w:rPr>
      </w:pPr>
      <w:r w:rsidRPr="004439FC">
        <w:rPr>
          <w:szCs w:val="18"/>
        </w:rPr>
        <w:t xml:space="preserve">Bölgesel gelişme politikalarının ve uygulama araçlarının geliştirilmesinde yerel dinamikler ve potansiyel esas alınacak, geliştirilen politikalar görece az gelişmiş bölgeler ve gelişme potansiyeli yüksek merkezler özelinde farklılaştırılacak, yenilikçi, çok boyutlu ve çeşitlendirilmiş araçlarla </w:t>
      </w:r>
      <w:r w:rsidRPr="004439FC">
        <w:rPr>
          <w:szCs w:val="18"/>
        </w:rPr>
        <w:lastRenderedPageBreak/>
        <w:t xml:space="preserve">desteklenecektir. Uygulama araçları; Kalkınma Bakanlığı koordinasyonunda, kalkınma ajanslarıyla işbirliği kurularak geliştirilecek ve yeterli finansmanla desteklenecektir. </w:t>
      </w:r>
    </w:p>
    <w:p w:rsidR="00565FD5" w:rsidRPr="004439FC" w:rsidRDefault="00565FD5" w:rsidP="00565FD5">
      <w:pPr>
        <w:spacing w:after="160"/>
        <w:ind w:firstLine="425"/>
        <w:rPr>
          <w:szCs w:val="18"/>
        </w:rPr>
      </w:pPr>
      <w:r w:rsidRPr="004439FC">
        <w:rPr>
          <w:szCs w:val="18"/>
        </w:rPr>
        <w:t>İstihdam, devlet yardımları, kümelenme, yatırım destek ve tanıtım, girişimcilik gibi temel rekabet ve kalkınma politikalarının belirlenmesinde ve uygulanmasında kalkınma ajanslarının rol ve işlevleri daha belirgin kılınacaktır. Özellikle az gelişmiş bölgelerde yerel düzeyde uzmanlaşmayı destekleyecek şekilde beşeri kaynaklar geliştirilecek, girişimcilik yaygınlaştırılacak, yerel istihdamı artırıcı tedbirler alınacaktır. Yörelere özgü ve yenilikçi politikalar yerel düzeydeki kuruluşlarla işbirliği kurularak belirlenip desteklenecektir. Özellikle potansiyeli yüksek bölgelerde bölgesel kalkınma finansmanı araçları geliştirilecektir. İşletmeler ve üniversitelerin birlikte çalışmalarını sağlayacak ortam oluşturulacaktır. Bölgesel potansiyeli ve yerel işgücü piyasası özelliklerini dikkate alan ve yerel düzeyde ekonomik dönüşümü destekleyen girişimcilik ve işletme modelleri oluşturulacak; bunun için kalkınma ajanslarının yerel düzeyde ihtiyaç duyulan koordinasyon ilişkilerini kurması ve uzmanlık kuruluşlarıyla işbirliği mekanizmaları oluşturması sağlanacaktır.</w:t>
      </w:r>
    </w:p>
    <w:p w:rsidR="00565FD5" w:rsidRPr="004439FC" w:rsidRDefault="00565FD5" w:rsidP="00565FD5">
      <w:pPr>
        <w:spacing w:after="160"/>
        <w:ind w:firstLine="425"/>
        <w:rPr>
          <w:szCs w:val="18"/>
        </w:rPr>
      </w:pPr>
      <w:r w:rsidRPr="004439FC">
        <w:t xml:space="preserve">Kümelenme politikasına ilişkin olarak; ülkemizdeki kümelerin tespiti, kümelenme potansiyeli olan yoğunlaşmaların yönlendirilmesi amacıyla müstakil projeler uygulanmış ve halen uygulanmakta olan söz konusu faaliyetlerin ülke bütününde ve sürekli olarak gerçekleştirilmesini sağlayacak, bölge planları, sanayi ve ihracat stratejileriyle uyumlu bir gelişmeyi izleyecek ve yönlendirecek daimi ve yerel bir kapasite geliştirilmesi amaçlanmaktadır. </w:t>
      </w:r>
      <w:r w:rsidRPr="004439FC">
        <w:rPr>
          <w:szCs w:val="18"/>
        </w:rPr>
        <w:t>Kümelere ve kümelenmeye yönelik destek sağlayacak kurum ve kuruluşların uygulamalarına temel teşkil etmek üzere, kalkınma ajanslarında bölgelerindeki kümeleri tespit edecek ve yönlendirecek bir kapasite oluşturulacaktır. Bu kapsamda, ajansların desteğiyle kümeler tarafından hazırlanacak ve güncellenecek yol haritalarıyla kümelerin kamu ile diyaloğu sürekli hale getirilecek, yol haritalarına dayanan ve kümelere ilişkin tüm bilgileri ilgili kurum ve kuruluşların kullanımına açan bir küme veri tabanı oluşturulacak, kümelere yönelik desteklerde koordinasyon sağlanacaktır. Söz konusu çalışmaların gerçekleştirilmesinde mevcut diğer çalışmalarla eşgüdüm sağlanarak mükerrerlikler önlenecektir.</w:t>
      </w:r>
    </w:p>
    <w:p w:rsidR="00565FD5" w:rsidRPr="004439FC" w:rsidRDefault="00565FD5" w:rsidP="00565FD5">
      <w:pPr>
        <w:spacing w:after="160"/>
        <w:ind w:firstLine="425"/>
        <w:rPr>
          <w:szCs w:val="18"/>
        </w:rPr>
      </w:pPr>
      <w:r w:rsidRPr="004439FC">
        <w:rPr>
          <w:szCs w:val="18"/>
        </w:rPr>
        <w:t>Ar-Ge faaliyetlerinin önemini kavramış, Ar-Ge sürecini yönetebilen, ticarileştirebilen, yenilikçi bir üretim/hizmet kapasitesi oluşturmak için bölge ölçeğinde uzun vadeli ve program düzeyinde müdahaleleri tasarlayabilecek, uygulayabilecek Bölgesel Yenilik Sistemi Modeli hazırlanacaktır. Bu Modelde kalkınma ajanslarını temel aktör olarak kabul eden bir yaklaşım benimsenecektir.</w:t>
      </w:r>
    </w:p>
    <w:p w:rsidR="00565FD5" w:rsidRPr="004439FC" w:rsidRDefault="00565FD5" w:rsidP="00565FD5">
      <w:pPr>
        <w:spacing w:after="240"/>
        <w:ind w:firstLine="425"/>
        <w:rPr>
          <w:szCs w:val="18"/>
        </w:rPr>
      </w:pPr>
      <w:r w:rsidRPr="004439FC">
        <w:rPr>
          <w:szCs w:val="18"/>
        </w:rPr>
        <w:t xml:space="preserve">Bölgesel gelişmede yönetişimin geliştirilmesi hedefine hizmet etmek üzere kalkınma ajanslarında ve merkezde katılımcı karar alma yöntemlerine dair kapasite geliştirilecektir. </w:t>
      </w:r>
    </w:p>
    <w:p w:rsidR="00565FD5" w:rsidRPr="004439FC" w:rsidRDefault="00565FD5" w:rsidP="00565FD5">
      <w:pPr>
        <w:pStyle w:val="Balk4"/>
      </w:pPr>
      <w:bookmarkStart w:id="2891" w:name="_Toc307602089"/>
      <w:bookmarkStart w:id="2892" w:name="_Toc307670526"/>
      <w:bookmarkStart w:id="2893" w:name="_Toc307701753"/>
      <w:bookmarkStart w:id="2894" w:name="_Toc338505656"/>
      <w:bookmarkStart w:id="2895" w:name="_Toc338523888"/>
      <w:bookmarkStart w:id="2896" w:name="_Toc338524119"/>
      <w:bookmarkStart w:id="2897" w:name="_Toc338526345"/>
      <w:bookmarkStart w:id="2898" w:name="_Toc338673788"/>
      <w:bookmarkStart w:id="2899" w:name="_Toc338711667"/>
      <w:r w:rsidRPr="004439FC">
        <w:t>3. Politika Öncelikleri ve Tedbirler</w:t>
      </w:r>
      <w:bookmarkEnd w:id="2891"/>
      <w:bookmarkEnd w:id="2892"/>
      <w:bookmarkEnd w:id="2893"/>
      <w:bookmarkEnd w:id="2894"/>
      <w:bookmarkEnd w:id="2895"/>
      <w:bookmarkEnd w:id="2896"/>
      <w:bookmarkEnd w:id="2897"/>
      <w:bookmarkEnd w:id="2898"/>
      <w:bookmarkEnd w:id="2899"/>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3"/>
        <w:gridCol w:w="1808"/>
        <w:gridCol w:w="919"/>
        <w:gridCol w:w="2354"/>
      </w:tblGrid>
      <w:tr w:rsidR="00565FD5" w:rsidRPr="004439FC" w:rsidTr="00AB62A3">
        <w:trPr>
          <w:trHeight w:val="624"/>
          <w:jc w:val="center"/>
        </w:trPr>
        <w:tc>
          <w:tcPr>
            <w:tcW w:w="2081" w:type="dxa"/>
            <w:vAlign w:val="bottom"/>
          </w:tcPr>
          <w:p w:rsidR="00565FD5" w:rsidRPr="00B5107F" w:rsidRDefault="00565FD5" w:rsidP="00AB62A3">
            <w:pPr>
              <w:autoSpaceDE w:val="0"/>
              <w:autoSpaceDN w:val="0"/>
              <w:adjustRightInd w:val="0"/>
              <w:spacing w:before="80" w:after="80"/>
              <w:rPr>
                <w:rFonts w:cs="Tahoma"/>
                <w:b/>
                <w:bCs/>
                <w:sz w:val="16"/>
                <w:szCs w:val="16"/>
                <w:lang w:eastAsia="tr-TR"/>
              </w:rPr>
            </w:pPr>
            <w:r w:rsidRPr="00B5107F">
              <w:rPr>
                <w:rFonts w:cs="Tahoma"/>
                <w:b/>
                <w:bCs/>
                <w:sz w:val="16"/>
                <w:szCs w:val="16"/>
                <w:lang w:eastAsia="tr-TR"/>
              </w:rPr>
              <w:t>Öncelik / Tedbir</w:t>
            </w:r>
          </w:p>
        </w:tc>
        <w:tc>
          <w:tcPr>
            <w:tcW w:w="1896" w:type="dxa"/>
            <w:vAlign w:val="bottom"/>
          </w:tcPr>
          <w:p w:rsidR="00565FD5" w:rsidRPr="00B5107F" w:rsidRDefault="00565FD5" w:rsidP="00AB62A3">
            <w:pPr>
              <w:autoSpaceDE w:val="0"/>
              <w:autoSpaceDN w:val="0"/>
              <w:adjustRightInd w:val="0"/>
              <w:spacing w:before="80" w:after="80"/>
              <w:rPr>
                <w:rFonts w:cs="Tahoma"/>
                <w:b/>
                <w:bCs/>
                <w:sz w:val="16"/>
                <w:szCs w:val="16"/>
                <w:lang w:eastAsia="tr-TR"/>
              </w:rPr>
            </w:pPr>
            <w:r w:rsidRPr="00B5107F">
              <w:rPr>
                <w:rFonts w:cs="Tahoma"/>
                <w:b/>
                <w:bCs/>
                <w:sz w:val="16"/>
                <w:szCs w:val="16"/>
                <w:lang w:eastAsia="tr-TR"/>
              </w:rPr>
              <w:t>Sorumlu / İşbirliği Yapılacak Kuruluşlar</w:t>
            </w:r>
          </w:p>
        </w:tc>
        <w:tc>
          <w:tcPr>
            <w:tcW w:w="944" w:type="dxa"/>
            <w:vAlign w:val="bottom"/>
          </w:tcPr>
          <w:p w:rsidR="00565FD5" w:rsidRPr="00B5107F" w:rsidRDefault="00565FD5" w:rsidP="00AB62A3">
            <w:pPr>
              <w:autoSpaceDE w:val="0"/>
              <w:autoSpaceDN w:val="0"/>
              <w:adjustRightInd w:val="0"/>
              <w:spacing w:before="80" w:after="80"/>
              <w:rPr>
                <w:rFonts w:cs="Tahoma"/>
                <w:b/>
                <w:bCs/>
                <w:sz w:val="16"/>
                <w:szCs w:val="16"/>
                <w:lang w:eastAsia="tr-TR"/>
              </w:rPr>
            </w:pPr>
            <w:r w:rsidRPr="00B5107F">
              <w:rPr>
                <w:rFonts w:cs="Tahoma"/>
                <w:b/>
                <w:bCs/>
                <w:sz w:val="16"/>
                <w:szCs w:val="16"/>
                <w:lang w:eastAsia="tr-TR"/>
              </w:rPr>
              <w:t xml:space="preserve">Süre </w:t>
            </w:r>
          </w:p>
        </w:tc>
        <w:tc>
          <w:tcPr>
            <w:tcW w:w="2450" w:type="dxa"/>
            <w:vAlign w:val="bottom"/>
          </w:tcPr>
          <w:p w:rsidR="00565FD5" w:rsidRPr="00B5107F" w:rsidRDefault="00565FD5" w:rsidP="00AB62A3">
            <w:pPr>
              <w:autoSpaceDE w:val="0"/>
              <w:autoSpaceDN w:val="0"/>
              <w:adjustRightInd w:val="0"/>
              <w:spacing w:before="80" w:after="80"/>
              <w:rPr>
                <w:rFonts w:cs="Tahoma"/>
                <w:b/>
                <w:bCs/>
                <w:sz w:val="16"/>
                <w:szCs w:val="16"/>
                <w:lang w:eastAsia="tr-TR"/>
              </w:rPr>
            </w:pPr>
            <w:r w:rsidRPr="00B5107F">
              <w:rPr>
                <w:rFonts w:cs="Tahoma"/>
                <w:b/>
                <w:bCs/>
                <w:sz w:val="16"/>
                <w:szCs w:val="16"/>
                <w:lang w:eastAsia="tr-TR"/>
              </w:rPr>
              <w:t>Yapılacak İşlem ve Açıklama</w:t>
            </w:r>
          </w:p>
        </w:tc>
      </w:tr>
      <w:tr w:rsidR="00565FD5" w:rsidRPr="004439FC" w:rsidTr="00AB62A3">
        <w:trPr>
          <w:trHeight w:val="440"/>
          <w:jc w:val="center"/>
        </w:trPr>
        <w:tc>
          <w:tcPr>
            <w:tcW w:w="7371" w:type="dxa"/>
            <w:gridSpan w:val="4"/>
            <w:vAlign w:val="center"/>
          </w:tcPr>
          <w:p w:rsidR="00565FD5" w:rsidRPr="00B5107F" w:rsidRDefault="00565FD5" w:rsidP="00EB1E69">
            <w:pPr>
              <w:numPr>
                <w:ilvl w:val="0"/>
                <w:numId w:val="15"/>
              </w:numPr>
              <w:tabs>
                <w:tab w:val="left" w:pos="425"/>
              </w:tabs>
              <w:spacing w:before="80" w:after="80" w:line="240" w:lineRule="auto"/>
              <w:jc w:val="both"/>
              <w:rPr>
                <w:rFonts w:cs="Tahoma"/>
                <w:sz w:val="16"/>
                <w:szCs w:val="16"/>
                <w:lang w:eastAsia="tr-TR"/>
              </w:rPr>
            </w:pPr>
            <w:r w:rsidRPr="00B5107F">
              <w:rPr>
                <w:rFonts w:cs="Tahoma"/>
                <w:b/>
                <w:bCs/>
                <w:sz w:val="16"/>
                <w:szCs w:val="16"/>
                <w:lang w:eastAsia="tr-TR"/>
              </w:rPr>
              <w:t>Kredi garanti sistemi, girişim sermayesi gibi mali araçların yerel düzeyde yaygınlaştırılması sağlanacaktır.</w:t>
            </w:r>
          </w:p>
        </w:tc>
      </w:tr>
      <w:tr w:rsidR="00565FD5" w:rsidRPr="004439FC" w:rsidTr="00AB62A3">
        <w:trPr>
          <w:jc w:val="center"/>
        </w:trPr>
        <w:tc>
          <w:tcPr>
            <w:tcW w:w="2081" w:type="dxa"/>
          </w:tcPr>
          <w:p w:rsidR="00565FD5" w:rsidRPr="00B5107F" w:rsidRDefault="00565FD5" w:rsidP="00EB1E69">
            <w:pPr>
              <w:numPr>
                <w:ilvl w:val="0"/>
                <w:numId w:val="14"/>
              </w:numPr>
              <w:tabs>
                <w:tab w:val="left" w:pos="425"/>
              </w:tabs>
              <w:autoSpaceDE w:val="0"/>
              <w:autoSpaceDN w:val="0"/>
              <w:adjustRightInd w:val="0"/>
              <w:spacing w:before="120" w:after="120" w:line="240" w:lineRule="auto"/>
              <w:rPr>
                <w:rFonts w:cs="Tahoma"/>
                <w:bCs/>
                <w:sz w:val="16"/>
                <w:szCs w:val="16"/>
                <w:lang w:eastAsia="tr-TR"/>
              </w:rPr>
            </w:pPr>
            <w:r w:rsidRPr="00B5107F">
              <w:rPr>
                <w:rFonts w:cs="Tahoma"/>
                <w:bCs/>
                <w:sz w:val="16"/>
                <w:szCs w:val="16"/>
                <w:lang w:eastAsia="tr-TR"/>
              </w:rPr>
              <w:t>Kredi garanti sistemi ve girişim sermayesi gibi finansman araçlarının bölgesel ve yerel düzeyde yaygınlaştırılması için gerekli mevzuat çalışmaları yapılacaktır.</w:t>
            </w:r>
          </w:p>
        </w:tc>
        <w:tc>
          <w:tcPr>
            <w:tcW w:w="1896" w:type="dxa"/>
          </w:tcPr>
          <w:p w:rsidR="00565FD5" w:rsidRPr="00B5107F" w:rsidRDefault="00565FD5" w:rsidP="00AB62A3">
            <w:pPr>
              <w:autoSpaceDE w:val="0"/>
              <w:autoSpaceDN w:val="0"/>
              <w:adjustRightInd w:val="0"/>
              <w:spacing w:before="120" w:after="120"/>
              <w:rPr>
                <w:rFonts w:cs="Tahoma"/>
                <w:bCs/>
                <w:sz w:val="16"/>
                <w:szCs w:val="16"/>
                <w:lang w:eastAsia="tr-TR"/>
              </w:rPr>
            </w:pPr>
            <w:r w:rsidRPr="00B5107F">
              <w:rPr>
                <w:rFonts w:cs="Tahoma"/>
                <w:bCs/>
                <w:sz w:val="16"/>
                <w:szCs w:val="16"/>
                <w:lang w:eastAsia="tr-TR"/>
              </w:rPr>
              <w:t xml:space="preserve">Kalkınma Bakanlığı (S), Bilim, Sanayi ve Teknoloji Bakanlığı, Ekonomi Bakanlığı, Hazine Müsteşarlığı, TOBB, BDDK, SPK, Kalkınma Ajansları, </w:t>
            </w:r>
            <w:r w:rsidRPr="00B5107F">
              <w:rPr>
                <w:rFonts w:cs="Tahoma"/>
                <w:bCs/>
                <w:sz w:val="16"/>
                <w:szCs w:val="16"/>
                <w:lang w:eastAsia="tr-TR"/>
              </w:rPr>
              <w:lastRenderedPageBreak/>
              <w:t>Kalkınma Bankası</w:t>
            </w:r>
          </w:p>
        </w:tc>
        <w:tc>
          <w:tcPr>
            <w:tcW w:w="944" w:type="dxa"/>
          </w:tcPr>
          <w:p w:rsidR="00565FD5" w:rsidRPr="00B5107F" w:rsidRDefault="00565FD5" w:rsidP="00AB62A3">
            <w:pPr>
              <w:autoSpaceDE w:val="0"/>
              <w:autoSpaceDN w:val="0"/>
              <w:adjustRightInd w:val="0"/>
              <w:spacing w:before="120" w:after="120"/>
              <w:rPr>
                <w:rFonts w:cs="Tahoma"/>
                <w:bCs/>
                <w:sz w:val="16"/>
                <w:szCs w:val="16"/>
                <w:lang w:eastAsia="tr-TR"/>
              </w:rPr>
            </w:pPr>
            <w:r w:rsidRPr="00B5107F">
              <w:rPr>
                <w:rFonts w:cs="Tahoma"/>
                <w:bCs/>
                <w:sz w:val="16"/>
                <w:szCs w:val="16"/>
                <w:lang w:eastAsia="tr-TR"/>
              </w:rPr>
              <w:lastRenderedPageBreak/>
              <w:t>Haziran Sonu</w:t>
            </w:r>
          </w:p>
        </w:tc>
        <w:tc>
          <w:tcPr>
            <w:tcW w:w="2450" w:type="dxa"/>
          </w:tcPr>
          <w:p w:rsidR="00565FD5" w:rsidRPr="00B5107F" w:rsidRDefault="00565FD5" w:rsidP="00AB62A3">
            <w:pPr>
              <w:autoSpaceDE w:val="0"/>
              <w:autoSpaceDN w:val="0"/>
              <w:adjustRightInd w:val="0"/>
              <w:spacing w:before="120" w:after="120"/>
              <w:rPr>
                <w:rFonts w:cs="Tahoma"/>
                <w:bCs/>
                <w:sz w:val="16"/>
                <w:szCs w:val="16"/>
                <w:lang w:eastAsia="tr-TR"/>
              </w:rPr>
            </w:pPr>
            <w:r w:rsidRPr="00B5107F">
              <w:rPr>
                <w:rFonts w:cs="Tahoma"/>
                <w:bCs/>
                <w:sz w:val="16"/>
                <w:szCs w:val="16"/>
                <w:lang w:eastAsia="tr-TR"/>
              </w:rPr>
              <w:t xml:space="preserve">Kalkınma Bakanlığı, Kalkınma Ajansları, Kalkınma Bankası ve Kredi Garanti Fonu tarafından ortaklaşa yürütülen analiz çalışmalarına dayalı olarak oluşturulan ve kredi garanti sistemi ile girişim sermayesi gibi finansman araçlarının </w:t>
            </w:r>
            <w:r w:rsidRPr="00B5107F">
              <w:rPr>
                <w:rFonts w:cs="Tahoma"/>
                <w:bCs/>
                <w:sz w:val="16"/>
                <w:szCs w:val="16"/>
                <w:lang w:eastAsia="tr-TR"/>
              </w:rPr>
              <w:lastRenderedPageBreak/>
              <w:t>geliştirildiği modelin uygulanması için gerekli mevzuat düzenlemeleri yapılacaktır.</w:t>
            </w:r>
          </w:p>
        </w:tc>
      </w:tr>
      <w:tr w:rsidR="00565FD5" w:rsidRPr="004439FC" w:rsidTr="00AB62A3">
        <w:trPr>
          <w:jc w:val="center"/>
        </w:trPr>
        <w:tc>
          <w:tcPr>
            <w:tcW w:w="7371" w:type="dxa"/>
            <w:gridSpan w:val="4"/>
          </w:tcPr>
          <w:p w:rsidR="00565FD5" w:rsidRPr="00B5107F" w:rsidRDefault="00565FD5" w:rsidP="00EB1E69">
            <w:pPr>
              <w:numPr>
                <w:ilvl w:val="0"/>
                <w:numId w:val="15"/>
              </w:numPr>
              <w:tabs>
                <w:tab w:val="left" w:pos="425"/>
              </w:tabs>
              <w:spacing w:before="80" w:after="80" w:line="240" w:lineRule="auto"/>
              <w:jc w:val="both"/>
              <w:rPr>
                <w:rFonts w:cs="Tahoma"/>
                <w:sz w:val="16"/>
                <w:szCs w:val="16"/>
                <w:lang w:eastAsia="tr-TR"/>
              </w:rPr>
            </w:pPr>
            <w:r w:rsidRPr="00B5107F">
              <w:rPr>
                <w:rFonts w:cs="Tahoma"/>
                <w:b/>
                <w:bCs/>
                <w:sz w:val="16"/>
                <w:szCs w:val="16"/>
                <w:lang w:eastAsia="tr-TR"/>
              </w:rPr>
              <w:lastRenderedPageBreak/>
              <w:t>KOBİ ağırlıklı bölgesel kümelenmeler desteklenerek Ar-Ge ve yenilik kültürü tabana yayılacak, yenilikçi girişimciler ve işletmeler için yerel düzeyde işlev görecek destek modelleri tesis edilecektir.</w:t>
            </w:r>
          </w:p>
        </w:tc>
      </w:tr>
      <w:tr w:rsidR="00565FD5" w:rsidRPr="004439FC" w:rsidTr="00AB62A3">
        <w:trPr>
          <w:jc w:val="center"/>
        </w:trPr>
        <w:tc>
          <w:tcPr>
            <w:tcW w:w="2081" w:type="dxa"/>
          </w:tcPr>
          <w:p w:rsidR="00565FD5" w:rsidRPr="00B5107F" w:rsidRDefault="00565FD5" w:rsidP="00EB1E69">
            <w:pPr>
              <w:numPr>
                <w:ilvl w:val="0"/>
                <w:numId w:val="14"/>
              </w:numPr>
              <w:tabs>
                <w:tab w:val="left" w:pos="425"/>
              </w:tabs>
              <w:spacing w:before="120" w:after="120" w:line="240" w:lineRule="auto"/>
              <w:rPr>
                <w:rFonts w:cs="Tahoma"/>
                <w:bCs/>
                <w:sz w:val="16"/>
                <w:szCs w:val="16"/>
                <w:lang w:eastAsia="tr-TR"/>
              </w:rPr>
            </w:pPr>
            <w:r w:rsidRPr="00B5107F">
              <w:rPr>
                <w:rFonts w:cs="Tahoma"/>
                <w:bCs/>
                <w:sz w:val="16"/>
                <w:szCs w:val="16"/>
                <w:lang w:eastAsia="tr-TR"/>
              </w:rPr>
              <w:t>Kümelenme uygulamaları için genel politika çerçevesi oluşturulacak, kümelenme yönetişim ve destekleme mekanizması kurulacaktır.</w:t>
            </w:r>
          </w:p>
        </w:tc>
        <w:tc>
          <w:tcPr>
            <w:tcW w:w="1896" w:type="dxa"/>
          </w:tcPr>
          <w:p w:rsidR="00565FD5" w:rsidRPr="00B5107F" w:rsidRDefault="00565FD5" w:rsidP="00AB62A3">
            <w:pPr>
              <w:spacing w:before="120" w:after="120"/>
              <w:rPr>
                <w:rFonts w:cs="Tahoma"/>
                <w:bCs/>
                <w:sz w:val="16"/>
                <w:szCs w:val="16"/>
                <w:lang w:eastAsia="tr-TR"/>
              </w:rPr>
            </w:pPr>
            <w:r w:rsidRPr="00B5107F">
              <w:rPr>
                <w:rFonts w:cs="Tahoma"/>
                <w:bCs/>
                <w:sz w:val="16"/>
                <w:szCs w:val="16"/>
                <w:lang w:eastAsia="tr-TR"/>
              </w:rPr>
              <w:t>Kalkınma Bakanlığı (S), Bilim Sanayi ve Teknoloji Bakanlığı, Ekonomi Bakanlığı, Kalkınma Ajansları</w:t>
            </w:r>
          </w:p>
        </w:tc>
        <w:tc>
          <w:tcPr>
            <w:tcW w:w="944" w:type="dxa"/>
          </w:tcPr>
          <w:p w:rsidR="00565FD5" w:rsidRPr="00B5107F" w:rsidRDefault="00565FD5" w:rsidP="00AB62A3">
            <w:pPr>
              <w:spacing w:before="120" w:after="120"/>
              <w:rPr>
                <w:rFonts w:cs="Tahoma"/>
                <w:bCs/>
                <w:sz w:val="16"/>
                <w:szCs w:val="16"/>
                <w:lang w:eastAsia="tr-TR"/>
              </w:rPr>
            </w:pPr>
            <w:r w:rsidRPr="00B5107F">
              <w:rPr>
                <w:rFonts w:cs="Tahoma"/>
                <w:bCs/>
                <w:sz w:val="16"/>
                <w:szCs w:val="16"/>
                <w:lang w:eastAsia="tr-TR"/>
              </w:rPr>
              <w:t>Aralık Sonu</w:t>
            </w:r>
          </w:p>
        </w:tc>
        <w:tc>
          <w:tcPr>
            <w:tcW w:w="2450" w:type="dxa"/>
          </w:tcPr>
          <w:p w:rsidR="00565FD5" w:rsidRPr="00B5107F" w:rsidRDefault="00565FD5" w:rsidP="00AB62A3">
            <w:pPr>
              <w:spacing w:before="120" w:after="120"/>
              <w:rPr>
                <w:rFonts w:cs="Tahoma"/>
                <w:bCs/>
                <w:sz w:val="16"/>
                <w:szCs w:val="16"/>
                <w:lang w:eastAsia="tr-TR"/>
              </w:rPr>
            </w:pPr>
            <w:r w:rsidRPr="00B5107F">
              <w:rPr>
                <w:rFonts w:cs="Tahoma"/>
                <w:bCs/>
                <w:sz w:val="16"/>
                <w:szCs w:val="16"/>
                <w:lang w:eastAsia="tr-TR"/>
              </w:rPr>
              <w:t xml:space="preserve">Kümelenme bir üretim organizasyonu ve bir politika aracı olarak geliştirilecektir. Rekabetçi sektörlere odaklanan ve yerel girişimleri öne çıkaran kümelenme politikaları için bir çerçeve geliştirilecektir. Kümelenme uygulamaları ve yerel/merkezi düzeyde destekler bu genel çerçeveye ve modelin ilkelerine uygun olarak ilgili kuruluşlar tarafından gerçekleştirilecektir. Bölgesel Gelişme Komitesinde Küme Yönlendirme Komisyonu oluşturulacaktır. </w:t>
            </w:r>
          </w:p>
        </w:tc>
      </w:tr>
      <w:tr w:rsidR="00565FD5" w:rsidRPr="004439FC" w:rsidTr="00AB62A3">
        <w:trPr>
          <w:jc w:val="center"/>
        </w:trPr>
        <w:tc>
          <w:tcPr>
            <w:tcW w:w="7371" w:type="dxa"/>
            <w:gridSpan w:val="4"/>
          </w:tcPr>
          <w:p w:rsidR="00565FD5" w:rsidRPr="00B5107F" w:rsidRDefault="00565FD5" w:rsidP="00EB1E69">
            <w:pPr>
              <w:numPr>
                <w:ilvl w:val="0"/>
                <w:numId w:val="15"/>
              </w:numPr>
              <w:tabs>
                <w:tab w:val="left" w:pos="425"/>
              </w:tabs>
              <w:spacing w:before="120" w:after="120" w:line="240" w:lineRule="auto"/>
              <w:jc w:val="both"/>
              <w:rPr>
                <w:rFonts w:cs="Tahoma"/>
                <w:bCs/>
                <w:sz w:val="16"/>
                <w:szCs w:val="16"/>
                <w:lang w:eastAsia="tr-TR"/>
              </w:rPr>
            </w:pPr>
            <w:r w:rsidRPr="00B5107F">
              <w:rPr>
                <w:rFonts w:cs="Tahoma"/>
                <w:b/>
                <w:bCs/>
                <w:sz w:val="16"/>
                <w:szCs w:val="16"/>
                <w:lang w:eastAsia="tr-TR"/>
              </w:rPr>
              <w:t xml:space="preserve"> Bölgesel yenilik sistemlerine yönelik model çalışması gerçekleştirilecektir.</w:t>
            </w:r>
          </w:p>
        </w:tc>
      </w:tr>
      <w:tr w:rsidR="00565FD5" w:rsidRPr="004439FC" w:rsidTr="00AB62A3">
        <w:trPr>
          <w:jc w:val="center"/>
        </w:trPr>
        <w:tc>
          <w:tcPr>
            <w:tcW w:w="2081" w:type="dxa"/>
          </w:tcPr>
          <w:p w:rsidR="00565FD5" w:rsidRPr="00B5107F" w:rsidRDefault="00565FD5" w:rsidP="00EB1E69">
            <w:pPr>
              <w:numPr>
                <w:ilvl w:val="0"/>
                <w:numId w:val="14"/>
              </w:numPr>
              <w:tabs>
                <w:tab w:val="left" w:pos="425"/>
              </w:tabs>
              <w:spacing w:before="120" w:after="120" w:line="240" w:lineRule="auto"/>
              <w:rPr>
                <w:rFonts w:cs="Tahoma"/>
                <w:bCs/>
                <w:sz w:val="16"/>
                <w:szCs w:val="16"/>
                <w:lang w:eastAsia="tr-TR"/>
              </w:rPr>
            </w:pPr>
            <w:r w:rsidRPr="00B5107F">
              <w:rPr>
                <w:rFonts w:cs="Tahoma"/>
                <w:bCs/>
                <w:sz w:val="16"/>
                <w:szCs w:val="16"/>
                <w:lang w:eastAsia="tr-TR"/>
              </w:rPr>
              <w:t>Bölgesel yenilik sistemlerine yönelik bir model geliştirilecektir.</w:t>
            </w:r>
          </w:p>
        </w:tc>
        <w:tc>
          <w:tcPr>
            <w:tcW w:w="1896" w:type="dxa"/>
          </w:tcPr>
          <w:p w:rsidR="00565FD5" w:rsidRPr="00B5107F" w:rsidRDefault="00565FD5" w:rsidP="00AB62A3">
            <w:pPr>
              <w:spacing w:before="120" w:after="120"/>
              <w:rPr>
                <w:rFonts w:cs="Tahoma"/>
                <w:bCs/>
                <w:sz w:val="16"/>
                <w:szCs w:val="16"/>
                <w:lang w:eastAsia="tr-TR"/>
              </w:rPr>
            </w:pPr>
            <w:r w:rsidRPr="00B5107F">
              <w:rPr>
                <w:rFonts w:cs="Tahoma"/>
                <w:bCs/>
                <w:sz w:val="16"/>
                <w:szCs w:val="16"/>
                <w:lang w:eastAsia="tr-TR"/>
              </w:rPr>
              <w:t>Kalkınma Bakanlığı (S), Bilim Sanayi ve Teknoloji Bakanlığı, TÜBİTAK, Kalkınma Ajansları</w:t>
            </w:r>
          </w:p>
        </w:tc>
        <w:tc>
          <w:tcPr>
            <w:tcW w:w="944" w:type="dxa"/>
          </w:tcPr>
          <w:p w:rsidR="00565FD5" w:rsidRPr="00B5107F" w:rsidRDefault="00565FD5" w:rsidP="00AB62A3">
            <w:pPr>
              <w:spacing w:before="120" w:after="120"/>
              <w:rPr>
                <w:rFonts w:cs="Tahoma"/>
                <w:bCs/>
                <w:sz w:val="16"/>
                <w:szCs w:val="16"/>
                <w:lang w:eastAsia="tr-TR"/>
              </w:rPr>
            </w:pPr>
            <w:r w:rsidRPr="00B5107F">
              <w:rPr>
                <w:rFonts w:cs="Tahoma"/>
                <w:bCs/>
                <w:sz w:val="16"/>
                <w:szCs w:val="16"/>
                <w:lang w:eastAsia="tr-TR"/>
              </w:rPr>
              <w:t>Aralık Sonu</w:t>
            </w:r>
          </w:p>
        </w:tc>
        <w:tc>
          <w:tcPr>
            <w:tcW w:w="2450" w:type="dxa"/>
          </w:tcPr>
          <w:p w:rsidR="00565FD5" w:rsidRPr="00B5107F" w:rsidRDefault="00565FD5" w:rsidP="00AB62A3">
            <w:pPr>
              <w:spacing w:before="120" w:after="120"/>
              <w:rPr>
                <w:rFonts w:cs="Tahoma"/>
                <w:bCs/>
                <w:sz w:val="16"/>
                <w:szCs w:val="16"/>
                <w:lang w:eastAsia="tr-TR"/>
              </w:rPr>
            </w:pPr>
            <w:r w:rsidRPr="00B5107F">
              <w:rPr>
                <w:rFonts w:cs="Tahoma"/>
                <w:bCs/>
                <w:sz w:val="16"/>
                <w:szCs w:val="16"/>
                <w:lang w:eastAsia="tr-TR"/>
              </w:rPr>
              <w:t>Yeniliği yerel ve bölgesel düzeyde ele alarak ilişkili olduğu unsurlarla birlikte bir bağlama oturtan bölgesel yenilik sistemleri geliştirilecektir. Bölgesel özellikler ve öncelikler çerçevesinde uygulama esnekliği olan, yeniliği destekleyen ve tüm kesimlerce benimsenmesini sağlayacak bir yönetişim modeli geliştirilecektir. Bir Düzey 2 bölgesinde pilot uygulama yapılacaktır.</w:t>
            </w:r>
          </w:p>
        </w:tc>
      </w:tr>
    </w:tbl>
    <w:p w:rsidR="00565FD5" w:rsidRPr="004439FC" w:rsidRDefault="00565FD5" w:rsidP="00565FD5"/>
    <w:p w:rsidR="00565FD5" w:rsidRPr="004439FC" w:rsidRDefault="00565FD5" w:rsidP="00565FD5"/>
    <w:p w:rsidR="00565FD5" w:rsidRPr="004439FC" w:rsidRDefault="00565FD5" w:rsidP="00565FD5">
      <w:pPr>
        <w:pStyle w:val="Balk3"/>
      </w:pPr>
      <w:bookmarkStart w:id="2900" w:name="_Toc276076367"/>
      <w:bookmarkStart w:id="2901" w:name="_Toc244339683"/>
      <w:bookmarkStart w:id="2902" w:name="_Toc244315220"/>
      <w:bookmarkStart w:id="2903" w:name="_Toc244313743"/>
      <w:bookmarkStart w:id="2904" w:name="_Toc244255008"/>
      <w:bookmarkStart w:id="2905" w:name="_Toc244253758"/>
      <w:bookmarkStart w:id="2906" w:name="_Toc307602090"/>
      <w:bookmarkStart w:id="2907" w:name="_Toc307670527"/>
      <w:bookmarkStart w:id="2908" w:name="_Toc307701754"/>
      <w:bookmarkStart w:id="2909" w:name="_Toc338494268"/>
      <w:bookmarkStart w:id="2910" w:name="_Toc338505657"/>
      <w:bookmarkStart w:id="2911" w:name="_Toc338523889"/>
      <w:bookmarkStart w:id="2912" w:name="_Toc338524120"/>
      <w:bookmarkStart w:id="2913" w:name="_Toc338526346"/>
      <w:bookmarkStart w:id="2914" w:name="_Toc338673789"/>
      <w:bookmarkStart w:id="2915" w:name="_Toc338711668"/>
      <w:bookmarkEnd w:id="2855"/>
      <w:bookmarkEnd w:id="2856"/>
      <w:bookmarkEnd w:id="2857"/>
      <w:bookmarkEnd w:id="2858"/>
      <w:bookmarkEnd w:id="2859"/>
      <w:bookmarkEnd w:id="2860"/>
      <w:r w:rsidRPr="004439FC">
        <w:t>C. YEREL DÜZEYDE KURUMSAL KAPASİTENİN ARTIRILMASI</w:t>
      </w:r>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p>
    <w:p w:rsidR="00565FD5" w:rsidRPr="004439FC" w:rsidRDefault="00565FD5" w:rsidP="00565FD5">
      <w:pPr>
        <w:pStyle w:val="Balk4"/>
      </w:pPr>
      <w:bookmarkStart w:id="2916" w:name="_Toc276076368"/>
      <w:bookmarkStart w:id="2917" w:name="_Toc307602091"/>
      <w:bookmarkStart w:id="2918" w:name="_Toc307670528"/>
      <w:bookmarkStart w:id="2919" w:name="_Toc307701755"/>
      <w:bookmarkStart w:id="2920" w:name="_Toc338505658"/>
      <w:bookmarkStart w:id="2921" w:name="_Toc338523890"/>
      <w:bookmarkStart w:id="2922" w:name="_Toc338524121"/>
      <w:bookmarkStart w:id="2923" w:name="_Toc338526347"/>
      <w:bookmarkStart w:id="2924" w:name="_Toc338673790"/>
      <w:bookmarkStart w:id="2925" w:name="_Toc338711669"/>
      <w:r w:rsidRPr="004439FC">
        <w:t>1. Mevcut Durum</w:t>
      </w:r>
      <w:bookmarkEnd w:id="2916"/>
      <w:bookmarkEnd w:id="2917"/>
      <w:bookmarkEnd w:id="2918"/>
      <w:bookmarkEnd w:id="2919"/>
      <w:bookmarkEnd w:id="2920"/>
      <w:bookmarkEnd w:id="2921"/>
      <w:bookmarkEnd w:id="2922"/>
      <w:bookmarkEnd w:id="2923"/>
      <w:bookmarkEnd w:id="2924"/>
      <w:bookmarkEnd w:id="2925"/>
    </w:p>
    <w:p w:rsidR="00565FD5" w:rsidRPr="004439FC" w:rsidRDefault="00565FD5" w:rsidP="00565FD5">
      <w:pPr>
        <w:spacing w:after="240"/>
        <w:rPr>
          <w:szCs w:val="18"/>
        </w:rPr>
      </w:pPr>
      <w:r w:rsidRPr="004439FC">
        <w:rPr>
          <w:szCs w:val="18"/>
        </w:rPr>
        <w:tab/>
        <w:t xml:space="preserve">Kalkınma ajansları 2012 yılı Ekim ayı itibarıyla 23 genel sekreter, 749 uzman ve iç denetçi, 149 destek personeli olmak üzere toplam 921 personelle 26 Düzey 2 bölgesinde hizmet vermektedir. Ajanslarda, kurumsal kapasitesinin gelişimine katkı sağlamak üzere Kalkınma Bakanlığınca bölgesel gelişme politika ve araçları ile mevzuat konularında eğitimler düzenlenmiştir. </w:t>
      </w:r>
    </w:p>
    <w:p w:rsidR="00565FD5" w:rsidRDefault="00565FD5" w:rsidP="00565FD5">
      <w:pPr>
        <w:spacing w:after="160"/>
        <w:ind w:firstLine="425"/>
        <w:rPr>
          <w:szCs w:val="18"/>
        </w:rPr>
      </w:pPr>
      <w:r w:rsidRPr="004439FC">
        <w:rPr>
          <w:szCs w:val="18"/>
        </w:rPr>
        <w:t xml:space="preserve">İl düzeyindeki yatırımların sistemli ve düzenli olarak izlenebilmesi, sorunların belirlenmesi, çözüm önerilerinin geliştirilerek uygulanabilirliğinin sağlanması amacıyla başlatılan İl Koordinasyon ve İzleme Sistemi (İKİS) uygulamaya geçmiştir. Sistem geliştirme faaliyetleri TÜBİTAK Kamu Kurumları Araştırma ve Geliştirme Projelerini Destekleme Programı çerçevesinde yürütülen proje kapsamında </w:t>
      </w:r>
      <w:r w:rsidRPr="004439FC">
        <w:rPr>
          <w:szCs w:val="18"/>
        </w:rPr>
        <w:lastRenderedPageBreak/>
        <w:t>tamamlanmıştır. İKİS Projesinin ve genel olarak il düzeyindeki planlama ve koordinasyon faaliyetlerinin etkili olarak yürütülebilmesi için il planlama ve koordinasyon müdürlüklerinin beşeri kaynak ve teknik kapasitelerinin artırılması ihtiyacı devam etmektedir.</w:t>
      </w:r>
    </w:p>
    <w:p w:rsidR="00565FD5" w:rsidRPr="004439FC" w:rsidRDefault="00565FD5" w:rsidP="00565FD5">
      <w:pPr>
        <w:spacing w:after="160"/>
        <w:ind w:firstLine="425"/>
        <w:rPr>
          <w:szCs w:val="18"/>
        </w:rPr>
      </w:pPr>
      <w:r>
        <w:rPr>
          <w:szCs w:val="18"/>
        </w:rPr>
        <w:t xml:space="preserve">Büyükşehir Belediyesi Kanunu ile Bazı Kanun ve KHK'larda Değişiklik Yapılması Hakkındaki Kanun Tasarısı TBMM'ye sunulmuştur. Tasarıyla nüfusu 750.000'in üzerinde olan 13 yeni ilde büyükşehir belediyesi kurulması planlanmaktadır. Böylece büyükşehirlerin sayısının 16'dan 29'a çıkması sağlanacaktır. Ayrıca bu Tasarı ile büyükşehir olan illerde kurumsal yapının değiştirilmesi öngörülmektedir. Bu çerçevede büyükşehir belediyeleri ve ilçe belediyelerinin görev alanının mülki sınırlar ile birleştirilmesi ve il özel idareleri ile köylerin tüzel kişiliklerinin kaldırılması düşünülmektedir. Bunun yanı sıra yerelde kamu hizmetlerinin daha etkin ve verimli sürdürülebilmesi amacıyla illerde Valilik bünyesinde Yatırım İzleme ve Koordinasyon birimlerinin kurulması planlanmaktadır. </w:t>
      </w:r>
    </w:p>
    <w:p w:rsidR="00565FD5" w:rsidRPr="004439FC" w:rsidRDefault="00565FD5" w:rsidP="00565FD5">
      <w:pPr>
        <w:spacing w:after="160"/>
        <w:ind w:firstLine="425"/>
        <w:rPr>
          <w:szCs w:val="18"/>
        </w:rPr>
      </w:pPr>
      <w:r w:rsidRPr="004439FC">
        <w:rPr>
          <w:szCs w:val="18"/>
        </w:rPr>
        <w:t>Kalkınma Ajanslarının Kuruluşu, Koordinasyonu ve Görevleri Hakkında Kanun hükümleri çerçevesinde faaliyetlerini sürdüren yatırım destek ofislerinin; görev tanımlarının netleştirilmesi, yatırım destek ve tanıtım alanında faaliyet gösteren diğer kurum ve kuruluşlarla işbirliği ve işbölümü esaslarının belirlenmesi, nicelik ve nitelik olarak beşeri kaynak ihtiyacının tanımlanması ve bugüne kadar yürütülen faaliyetlerden edinilen tecrübenin değerlendirilmesi amacıyla farklı platformlarda çalışmalar yürütülmektedir.</w:t>
      </w:r>
    </w:p>
    <w:p w:rsidR="00565FD5" w:rsidRPr="004439FC" w:rsidRDefault="00565FD5" w:rsidP="00565FD5">
      <w:pPr>
        <w:spacing w:after="160"/>
        <w:ind w:firstLine="425"/>
        <w:rPr>
          <w:szCs w:val="18"/>
        </w:rPr>
      </w:pPr>
      <w:r w:rsidRPr="004439FC">
        <w:rPr>
          <w:szCs w:val="18"/>
        </w:rPr>
        <w:t xml:space="preserve">Dünya Bankası tarafından yatırım destek ofislerini odak noktaya alan ve Türkiye’de yatırım destek ve tanıtım hizmeti sağlayan yapıların ve kurumların görevleri ve yapılanmaları konularında analiz ve değerlendirmeleri ihtiva eden Yatırım Destek Hizmetleri Raporu hazırlanmıştır. </w:t>
      </w:r>
      <w:r>
        <w:rPr>
          <w:szCs w:val="18"/>
        </w:rPr>
        <w:t xml:space="preserve">Kalkınma Bakanlığı tarafından, </w:t>
      </w:r>
      <w:r w:rsidRPr="004439FC">
        <w:rPr>
          <w:szCs w:val="18"/>
        </w:rPr>
        <w:t>Türkiye Yatırım Destek ve Tanıtım Ajansı, Dışişleri Bakanlığı</w:t>
      </w:r>
      <w:r>
        <w:rPr>
          <w:szCs w:val="18"/>
        </w:rPr>
        <w:t>,</w:t>
      </w:r>
      <w:r w:rsidRPr="004439FC">
        <w:rPr>
          <w:szCs w:val="18"/>
        </w:rPr>
        <w:t xml:space="preserve"> Ekonomi Bakanlığı </w:t>
      </w:r>
      <w:r>
        <w:rPr>
          <w:szCs w:val="18"/>
        </w:rPr>
        <w:t xml:space="preserve">ve kalkınma ajansları ile </w:t>
      </w:r>
      <w:r w:rsidRPr="004439FC">
        <w:rPr>
          <w:szCs w:val="18"/>
        </w:rPr>
        <w:t>sürdürülen işbirliklerinin daha sistemli ve takip edilebilir hale getirilebilmesi için sistem tasarımı süreci başlatılmıştır. Ayrıca yatırım destek ofislerinin görevlerinin netleştirilmesi ve sorunlarının giderilmesi için mevzuat değişikliği hazırlıklarına başlanmıştır.</w:t>
      </w:r>
    </w:p>
    <w:p w:rsidR="00565FD5" w:rsidRPr="004439FC" w:rsidRDefault="00565FD5" w:rsidP="00565FD5">
      <w:pPr>
        <w:spacing w:after="160"/>
        <w:ind w:firstLine="425"/>
        <w:rPr>
          <w:szCs w:val="18"/>
        </w:rPr>
      </w:pPr>
      <w:r w:rsidRPr="004439FC">
        <w:rPr>
          <w:szCs w:val="18"/>
        </w:rPr>
        <w:t>Kalkınma Bakanlığının ajanslara ilişkin genel koordinasyon görevinin etkili olarak yürütülmesine de katkı sağlayacak olan Kalkınma Ajansları Yönetim Sisteminin (KAYS) kurulum çalışmalarına devam edilmekte olup proje ve faaliyet destekleme</w:t>
      </w:r>
      <w:r w:rsidRPr="004439FC" w:rsidDel="00176E5A">
        <w:rPr>
          <w:szCs w:val="18"/>
        </w:rPr>
        <w:t xml:space="preserve"> </w:t>
      </w:r>
      <w:r w:rsidRPr="004439FC">
        <w:rPr>
          <w:szCs w:val="18"/>
        </w:rPr>
        <w:t>modülü 2012 yılında devreye alınmıştır.</w:t>
      </w:r>
    </w:p>
    <w:p w:rsidR="00565FD5" w:rsidRPr="004439FC" w:rsidRDefault="00565FD5" w:rsidP="00565FD5">
      <w:pPr>
        <w:spacing w:after="140"/>
        <w:ind w:firstLine="425"/>
        <w:rPr>
          <w:szCs w:val="18"/>
        </w:rPr>
      </w:pPr>
      <w:r w:rsidRPr="004439FC">
        <w:rPr>
          <w:szCs w:val="18"/>
        </w:rPr>
        <w:t>Kalkınma Bakanlığına bağlı ve tüzel kişiliğe sahip olarak kurulan Doğu Anadolu Projesi (DAP) Bölge Kalkınma İdaresi, Doğu Karadeniz Projesi (DOKAP) Bölge Kalkınma İdaresi ve Konya Ovası Projesi (KOP) Bölge Kalkınma İdaresinin kurumsallaşma ve eylem planı hazırlık çalışmaları yürütülmektedir.</w:t>
      </w:r>
    </w:p>
    <w:p w:rsidR="00565FD5" w:rsidRPr="004439FC" w:rsidRDefault="00565FD5" w:rsidP="00565FD5">
      <w:pPr>
        <w:pStyle w:val="Balk4"/>
      </w:pPr>
      <w:bookmarkStart w:id="2926" w:name="_Toc276076369"/>
      <w:bookmarkStart w:id="2927" w:name="_Toc244756757"/>
      <w:bookmarkStart w:id="2928" w:name="_Toc244339685"/>
      <w:bookmarkStart w:id="2929" w:name="_Toc244315222"/>
      <w:bookmarkStart w:id="2930" w:name="_Toc244313745"/>
      <w:bookmarkStart w:id="2931" w:name="_Toc244255010"/>
      <w:bookmarkStart w:id="2932" w:name="_Toc244253760"/>
      <w:bookmarkStart w:id="2933" w:name="_Toc307602092"/>
      <w:bookmarkStart w:id="2934" w:name="_Toc307670529"/>
      <w:bookmarkStart w:id="2935" w:name="_Toc307701756"/>
      <w:bookmarkStart w:id="2936" w:name="_Toc338505659"/>
      <w:bookmarkStart w:id="2937" w:name="_Toc338523891"/>
      <w:bookmarkStart w:id="2938" w:name="_Toc338524122"/>
      <w:bookmarkStart w:id="2939" w:name="_Toc338526348"/>
      <w:bookmarkStart w:id="2940" w:name="_Toc338673791"/>
      <w:bookmarkStart w:id="2941" w:name="_Toc338711670"/>
      <w:r w:rsidRPr="004439FC">
        <w:t>2. Temel Amaç ve Hedefler</w:t>
      </w:r>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p>
    <w:p w:rsidR="00565FD5" w:rsidRPr="004439FC" w:rsidRDefault="00565FD5" w:rsidP="00565FD5">
      <w:pPr>
        <w:spacing w:after="140"/>
        <w:ind w:firstLine="425"/>
        <w:rPr>
          <w:szCs w:val="18"/>
        </w:rPr>
      </w:pPr>
      <w:r w:rsidRPr="004439FC">
        <w:rPr>
          <w:szCs w:val="18"/>
        </w:rPr>
        <w:t xml:space="preserve">Bölgesel gelişme politikalarının oluşturulmasında ve hayata geçirilmesinde, başta kalkınma ajansları ve yerel yönetimler olmak üzere yerel düzeyde bölgesel gelişmede rolü olan kuruluşların uzmanlaşma düzeyi, proje hazırlama, uygulama, izleme, değerlendirme ve koordinasyon kapasitesi artırılacak ve beşeri kaynakları geliştirilecektir. </w:t>
      </w:r>
    </w:p>
    <w:p w:rsidR="00565FD5" w:rsidRPr="004439FC" w:rsidRDefault="00565FD5" w:rsidP="00565FD5">
      <w:pPr>
        <w:spacing w:after="140"/>
        <w:ind w:firstLine="425"/>
        <w:rPr>
          <w:szCs w:val="18"/>
        </w:rPr>
      </w:pPr>
      <w:r w:rsidRPr="004439FC">
        <w:rPr>
          <w:szCs w:val="18"/>
        </w:rPr>
        <w:t xml:space="preserve">Kamu, özel kesim ve sivil toplum kuruluşları arasındaki yerel işbirliği ve ortaklıklar, kalkınma ajansları aracılığıyla desteklenecek; işbirliği ağlarının oluşturulması ve bu ağlar vasıtasıyla iyi uygulama örnekleri başta olmak üzere bilgi alışverişi ve tecrübe özendirilecektir. </w:t>
      </w:r>
    </w:p>
    <w:p w:rsidR="00565FD5" w:rsidRPr="004439FC" w:rsidRDefault="00565FD5" w:rsidP="00565FD5">
      <w:pPr>
        <w:spacing w:after="140"/>
      </w:pPr>
      <w:r w:rsidRPr="004439FC">
        <w:tab/>
        <w:t>KAYS çalışmaları kapsamında mali yönetim, izleme, performans ve insan kaynakları</w:t>
      </w:r>
      <w:r w:rsidRPr="004439FC">
        <w:rPr>
          <w:rFonts w:cs="Tahoma"/>
          <w:bCs/>
          <w:sz w:val="16"/>
          <w:szCs w:val="16"/>
        </w:rPr>
        <w:t xml:space="preserve"> </w:t>
      </w:r>
      <w:r w:rsidRPr="004439FC">
        <w:t xml:space="preserve">modüllerinin yazılım geliştirme süreci tamamlanacaktır. Merkezi ve yerel kurumlar arasında </w:t>
      </w:r>
      <w:r w:rsidRPr="004439FC">
        <w:lastRenderedPageBreak/>
        <w:t>planlama, uygulama, izleme ve değerlendirme aşamalarında bilgi akışı ve işbirliği etkili kılınacaktır. Diğer yandan, kamu yatırımlarının ve yerel düzeydeki sosyo-ekonomik kalkınma girişimlerinin planlanması, uygulanması, izlenmesi ve değerlendirilmesinde yerel kuruluşların koordinasyonu ve etkinliği güçlendirilecektir.</w:t>
      </w:r>
    </w:p>
    <w:p w:rsidR="00565FD5" w:rsidRPr="004439FC" w:rsidRDefault="00565FD5" w:rsidP="00565FD5">
      <w:pPr>
        <w:spacing w:after="140"/>
      </w:pPr>
      <w:r w:rsidRPr="004439FC">
        <w:tab/>
        <w:t xml:space="preserve">Kalkınma Ajansları Entegre Coğrafi Bilgi Sistemi Projesiyle (KA eCBS Projesi), Kalkınma Bakanlığında internet tabanlı, üst ve orta ölçekte analizler yapılmasına, ajanslarda alt ve orta düzeyde faaliyetlerin gerçekleştirilmesine imkan verecek şekilde entegre bir sistem kurulacaktır. </w:t>
      </w:r>
    </w:p>
    <w:p w:rsidR="00565FD5" w:rsidRPr="004439FC" w:rsidRDefault="00565FD5" w:rsidP="00565FD5">
      <w:pPr>
        <w:pStyle w:val="Balk4"/>
      </w:pPr>
      <w:bookmarkStart w:id="2942" w:name="_Toc276076370"/>
      <w:bookmarkStart w:id="2943" w:name="_Toc244756758"/>
      <w:bookmarkStart w:id="2944" w:name="_Toc244339686"/>
      <w:bookmarkStart w:id="2945" w:name="_Toc244315223"/>
      <w:bookmarkStart w:id="2946" w:name="_Toc244313746"/>
      <w:bookmarkStart w:id="2947" w:name="_Toc244255011"/>
      <w:bookmarkStart w:id="2948" w:name="_Toc244253761"/>
      <w:bookmarkStart w:id="2949" w:name="_Toc213065753"/>
      <w:bookmarkStart w:id="2950" w:name="_Toc307602093"/>
      <w:bookmarkStart w:id="2951" w:name="_Toc307670530"/>
      <w:bookmarkStart w:id="2952" w:name="_Toc307701757"/>
      <w:bookmarkStart w:id="2953" w:name="_Toc338505660"/>
      <w:bookmarkStart w:id="2954" w:name="_Toc338523892"/>
      <w:bookmarkStart w:id="2955" w:name="_Toc338524123"/>
      <w:bookmarkStart w:id="2956" w:name="_Toc338526349"/>
      <w:bookmarkStart w:id="2957" w:name="_Toc338673792"/>
      <w:bookmarkStart w:id="2958" w:name="_Toc338711671"/>
      <w:r w:rsidRPr="004439FC">
        <w:t>3. Politika Öncelikleri ve Tedbirler</w:t>
      </w:r>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9"/>
        <w:gridCol w:w="1888"/>
        <w:gridCol w:w="867"/>
        <w:gridCol w:w="2600"/>
      </w:tblGrid>
      <w:tr w:rsidR="00565FD5" w:rsidRPr="004439FC" w:rsidTr="00AB62A3">
        <w:trPr>
          <w:jc w:val="center"/>
        </w:trPr>
        <w:tc>
          <w:tcPr>
            <w:tcW w:w="1775" w:type="dxa"/>
            <w:vAlign w:val="bottom"/>
          </w:tcPr>
          <w:p w:rsidR="00565FD5" w:rsidRPr="00B5107F" w:rsidRDefault="00565FD5" w:rsidP="00AB62A3">
            <w:pPr>
              <w:autoSpaceDE w:val="0"/>
              <w:autoSpaceDN w:val="0"/>
              <w:adjustRightInd w:val="0"/>
              <w:spacing w:before="60" w:after="60"/>
              <w:rPr>
                <w:rFonts w:cs="Tahoma"/>
                <w:b/>
                <w:bCs/>
                <w:sz w:val="16"/>
                <w:szCs w:val="16"/>
                <w:lang w:eastAsia="tr-TR"/>
              </w:rPr>
            </w:pPr>
            <w:r w:rsidRPr="00B5107F">
              <w:rPr>
                <w:rFonts w:cs="Tahoma"/>
                <w:b/>
                <w:bCs/>
                <w:sz w:val="16"/>
                <w:szCs w:val="16"/>
                <w:lang w:eastAsia="tr-TR"/>
              </w:rPr>
              <w:t>Öncelik / Tedbir</w:t>
            </w:r>
          </w:p>
        </w:tc>
        <w:tc>
          <w:tcPr>
            <w:tcW w:w="1873" w:type="dxa"/>
            <w:vAlign w:val="bottom"/>
          </w:tcPr>
          <w:p w:rsidR="00565FD5" w:rsidRPr="00B5107F" w:rsidRDefault="00565FD5" w:rsidP="00AB62A3">
            <w:pPr>
              <w:autoSpaceDE w:val="0"/>
              <w:autoSpaceDN w:val="0"/>
              <w:adjustRightInd w:val="0"/>
              <w:spacing w:before="60" w:after="60"/>
              <w:rPr>
                <w:rFonts w:cs="Tahoma"/>
                <w:b/>
                <w:bCs/>
                <w:sz w:val="16"/>
                <w:szCs w:val="16"/>
                <w:lang w:eastAsia="tr-TR"/>
              </w:rPr>
            </w:pPr>
            <w:r w:rsidRPr="00B5107F">
              <w:rPr>
                <w:rFonts w:cs="Tahoma"/>
                <w:b/>
                <w:bCs/>
                <w:sz w:val="16"/>
                <w:szCs w:val="16"/>
                <w:lang w:eastAsia="tr-TR"/>
              </w:rPr>
              <w:t>Sorumlu / İşbirliği Yapılacak Kuruluşlar</w:t>
            </w:r>
          </w:p>
        </w:tc>
        <w:tc>
          <w:tcPr>
            <w:tcW w:w="860" w:type="dxa"/>
            <w:vAlign w:val="bottom"/>
          </w:tcPr>
          <w:p w:rsidR="00565FD5" w:rsidRPr="00B5107F" w:rsidRDefault="00565FD5" w:rsidP="00AB62A3">
            <w:pPr>
              <w:autoSpaceDE w:val="0"/>
              <w:autoSpaceDN w:val="0"/>
              <w:adjustRightInd w:val="0"/>
              <w:spacing w:before="60" w:after="60"/>
              <w:rPr>
                <w:rFonts w:cs="Tahoma"/>
                <w:b/>
                <w:bCs/>
                <w:sz w:val="16"/>
                <w:szCs w:val="16"/>
                <w:lang w:eastAsia="tr-TR"/>
              </w:rPr>
            </w:pPr>
            <w:r w:rsidRPr="00B5107F">
              <w:rPr>
                <w:rFonts w:cs="Tahoma"/>
                <w:b/>
                <w:bCs/>
                <w:sz w:val="16"/>
                <w:szCs w:val="16"/>
                <w:lang w:eastAsia="tr-TR"/>
              </w:rPr>
              <w:t xml:space="preserve">Süre </w:t>
            </w:r>
          </w:p>
        </w:tc>
        <w:tc>
          <w:tcPr>
            <w:tcW w:w="2580" w:type="dxa"/>
            <w:vAlign w:val="bottom"/>
          </w:tcPr>
          <w:p w:rsidR="00565FD5" w:rsidRPr="00B5107F" w:rsidRDefault="00565FD5" w:rsidP="00AB62A3">
            <w:pPr>
              <w:autoSpaceDE w:val="0"/>
              <w:autoSpaceDN w:val="0"/>
              <w:adjustRightInd w:val="0"/>
              <w:spacing w:before="60" w:after="60"/>
              <w:rPr>
                <w:rFonts w:cs="Tahoma"/>
                <w:b/>
                <w:bCs/>
                <w:sz w:val="16"/>
                <w:szCs w:val="16"/>
                <w:lang w:eastAsia="tr-TR"/>
              </w:rPr>
            </w:pPr>
            <w:r w:rsidRPr="00B5107F">
              <w:rPr>
                <w:rFonts w:cs="Tahoma"/>
                <w:b/>
                <w:bCs/>
                <w:sz w:val="16"/>
                <w:szCs w:val="16"/>
                <w:lang w:eastAsia="tr-TR"/>
              </w:rPr>
              <w:t>Yapılacak İşlem ve Açıklama</w:t>
            </w:r>
          </w:p>
        </w:tc>
      </w:tr>
      <w:tr w:rsidR="00565FD5" w:rsidRPr="004439FC" w:rsidTr="00AB62A3">
        <w:trPr>
          <w:jc w:val="center"/>
        </w:trPr>
        <w:tc>
          <w:tcPr>
            <w:tcW w:w="7088" w:type="dxa"/>
            <w:gridSpan w:val="4"/>
          </w:tcPr>
          <w:p w:rsidR="00565FD5" w:rsidRPr="00B5107F" w:rsidRDefault="00565FD5" w:rsidP="00EB1E69">
            <w:pPr>
              <w:numPr>
                <w:ilvl w:val="0"/>
                <w:numId w:val="15"/>
              </w:numPr>
              <w:tabs>
                <w:tab w:val="left" w:pos="425"/>
              </w:tabs>
              <w:spacing w:before="60" w:after="60" w:line="240" w:lineRule="auto"/>
              <w:jc w:val="both"/>
              <w:rPr>
                <w:rFonts w:cs="Tahoma"/>
                <w:sz w:val="16"/>
                <w:szCs w:val="16"/>
                <w:lang w:eastAsia="tr-TR"/>
              </w:rPr>
            </w:pPr>
            <w:r w:rsidRPr="00B5107F">
              <w:rPr>
                <w:rFonts w:cs="Tahoma"/>
                <w:b/>
                <w:bCs/>
                <w:sz w:val="16"/>
                <w:szCs w:val="16"/>
                <w:lang w:eastAsia="tr-TR"/>
              </w:rPr>
              <w:t>Merkezi ve yerel düzeyde izleme, politika geliştirme ve uygulama kapasitesi gelişimi desteklenecek, merkezi ve yerel kurumlar arasındaki işbirliği geliştirilecektir.</w:t>
            </w:r>
          </w:p>
        </w:tc>
      </w:tr>
      <w:tr w:rsidR="00565FD5" w:rsidRPr="004439FC" w:rsidTr="00AB62A3">
        <w:trPr>
          <w:jc w:val="center"/>
        </w:trPr>
        <w:tc>
          <w:tcPr>
            <w:tcW w:w="1775" w:type="dxa"/>
          </w:tcPr>
          <w:p w:rsidR="00565FD5" w:rsidRPr="00B5107F" w:rsidRDefault="00565FD5" w:rsidP="00EB1E69">
            <w:pPr>
              <w:numPr>
                <w:ilvl w:val="0"/>
                <w:numId w:val="14"/>
              </w:numPr>
              <w:tabs>
                <w:tab w:val="left" w:pos="425"/>
              </w:tabs>
              <w:autoSpaceDE w:val="0"/>
              <w:autoSpaceDN w:val="0"/>
              <w:adjustRightInd w:val="0"/>
              <w:spacing w:before="60" w:after="60" w:line="240" w:lineRule="auto"/>
              <w:ind w:left="0"/>
              <w:rPr>
                <w:rFonts w:cs="Tahoma"/>
                <w:bCs/>
                <w:sz w:val="16"/>
                <w:szCs w:val="16"/>
                <w:lang w:eastAsia="tr-TR"/>
              </w:rPr>
            </w:pPr>
            <w:r w:rsidRPr="00B5107F">
              <w:rPr>
                <w:rFonts w:cs="Tahoma"/>
                <w:bCs/>
                <w:sz w:val="16"/>
                <w:szCs w:val="16"/>
                <w:lang w:eastAsia="tr-TR"/>
              </w:rPr>
              <w:t xml:space="preserve">DAP, DOKAP, KOP Bölge Kalkınma İdarelerinin kurumsallaşma çalışmaları tamamlanacaktır. </w:t>
            </w:r>
          </w:p>
        </w:tc>
        <w:tc>
          <w:tcPr>
            <w:tcW w:w="1873" w:type="dxa"/>
          </w:tcPr>
          <w:p w:rsidR="00565FD5" w:rsidRPr="00B5107F" w:rsidRDefault="00565FD5" w:rsidP="00AB62A3">
            <w:pPr>
              <w:spacing w:before="60" w:after="60"/>
              <w:rPr>
                <w:rFonts w:cs="Tahoma"/>
                <w:bCs/>
                <w:sz w:val="16"/>
                <w:szCs w:val="16"/>
                <w:lang w:eastAsia="tr-TR"/>
              </w:rPr>
            </w:pPr>
            <w:r w:rsidRPr="00B5107F">
              <w:rPr>
                <w:rFonts w:cs="Tahoma"/>
                <w:bCs/>
                <w:sz w:val="16"/>
                <w:szCs w:val="16"/>
                <w:lang w:eastAsia="tr-TR"/>
              </w:rPr>
              <w:t xml:space="preserve">Kalkınma Bakanlığı (S), DAP, DOKAP, KOP Bölge Kalkınma İdareleri </w:t>
            </w:r>
          </w:p>
          <w:p w:rsidR="00565FD5" w:rsidRPr="00B5107F" w:rsidRDefault="00565FD5" w:rsidP="00AB62A3">
            <w:pPr>
              <w:autoSpaceDE w:val="0"/>
              <w:autoSpaceDN w:val="0"/>
              <w:adjustRightInd w:val="0"/>
              <w:spacing w:before="60" w:after="60"/>
              <w:rPr>
                <w:rFonts w:cs="Tahoma"/>
                <w:bCs/>
                <w:sz w:val="16"/>
                <w:szCs w:val="16"/>
                <w:lang w:eastAsia="tr-TR"/>
              </w:rPr>
            </w:pPr>
          </w:p>
        </w:tc>
        <w:tc>
          <w:tcPr>
            <w:tcW w:w="860" w:type="dxa"/>
          </w:tcPr>
          <w:p w:rsidR="00565FD5" w:rsidRPr="00B5107F" w:rsidRDefault="00565FD5" w:rsidP="00AB62A3">
            <w:pPr>
              <w:spacing w:before="60" w:after="60"/>
              <w:rPr>
                <w:rFonts w:cs="Tahoma"/>
                <w:bCs/>
                <w:sz w:val="16"/>
                <w:szCs w:val="16"/>
                <w:lang w:eastAsia="tr-TR"/>
              </w:rPr>
            </w:pPr>
            <w:r w:rsidRPr="00B5107F">
              <w:rPr>
                <w:rFonts w:cs="Tahoma"/>
                <w:bCs/>
                <w:sz w:val="16"/>
                <w:szCs w:val="16"/>
                <w:lang w:eastAsia="tr-TR"/>
              </w:rPr>
              <w:t>Aralık Sonu</w:t>
            </w:r>
          </w:p>
          <w:p w:rsidR="00565FD5" w:rsidRPr="00B5107F" w:rsidRDefault="00565FD5" w:rsidP="00AB62A3">
            <w:pPr>
              <w:autoSpaceDE w:val="0"/>
              <w:autoSpaceDN w:val="0"/>
              <w:adjustRightInd w:val="0"/>
              <w:spacing w:before="60" w:after="60"/>
              <w:rPr>
                <w:rFonts w:cs="Tahoma"/>
                <w:bCs/>
                <w:sz w:val="16"/>
                <w:szCs w:val="16"/>
                <w:lang w:eastAsia="tr-TR"/>
              </w:rPr>
            </w:pPr>
          </w:p>
        </w:tc>
        <w:tc>
          <w:tcPr>
            <w:tcW w:w="2580" w:type="dxa"/>
          </w:tcPr>
          <w:p w:rsidR="00565FD5" w:rsidRPr="00B5107F" w:rsidRDefault="00565FD5" w:rsidP="00AB62A3">
            <w:pPr>
              <w:spacing w:before="60" w:after="60"/>
              <w:rPr>
                <w:rFonts w:cs="Tahoma"/>
                <w:bCs/>
                <w:sz w:val="16"/>
                <w:szCs w:val="16"/>
                <w:lang w:eastAsia="tr-TR"/>
              </w:rPr>
            </w:pPr>
            <w:r w:rsidRPr="00B5107F">
              <w:rPr>
                <w:rFonts w:cs="Tahoma"/>
                <w:bCs/>
                <w:sz w:val="16"/>
                <w:szCs w:val="16"/>
                <w:lang w:eastAsia="tr-TR"/>
              </w:rPr>
              <w:t>Bölge Kalkınma İdareleri faaliyete geçirilecek ve bu bölgelerde eylem planları hazırlanarak uygulamaya konulacaktır.</w:t>
            </w:r>
          </w:p>
          <w:p w:rsidR="00565FD5" w:rsidRPr="00B5107F" w:rsidRDefault="00565FD5" w:rsidP="00AB62A3">
            <w:pPr>
              <w:autoSpaceDE w:val="0"/>
              <w:autoSpaceDN w:val="0"/>
              <w:adjustRightInd w:val="0"/>
              <w:spacing w:before="60" w:after="60"/>
              <w:rPr>
                <w:rFonts w:cs="Tahoma"/>
                <w:bCs/>
                <w:sz w:val="16"/>
                <w:szCs w:val="16"/>
                <w:lang w:eastAsia="tr-TR"/>
              </w:rPr>
            </w:pPr>
          </w:p>
        </w:tc>
      </w:tr>
      <w:tr w:rsidR="00565FD5" w:rsidRPr="004439FC" w:rsidTr="00AB62A3">
        <w:trPr>
          <w:jc w:val="center"/>
        </w:trPr>
        <w:tc>
          <w:tcPr>
            <w:tcW w:w="1775" w:type="dxa"/>
          </w:tcPr>
          <w:p w:rsidR="00565FD5" w:rsidRPr="00B5107F" w:rsidRDefault="00565FD5" w:rsidP="00EB1E69">
            <w:pPr>
              <w:numPr>
                <w:ilvl w:val="0"/>
                <w:numId w:val="14"/>
              </w:numPr>
              <w:tabs>
                <w:tab w:val="left" w:pos="425"/>
              </w:tabs>
              <w:autoSpaceDE w:val="0"/>
              <w:autoSpaceDN w:val="0"/>
              <w:adjustRightInd w:val="0"/>
              <w:spacing w:before="60" w:after="60" w:line="240" w:lineRule="auto"/>
              <w:ind w:left="0"/>
              <w:rPr>
                <w:rFonts w:cs="Tahoma"/>
                <w:bCs/>
                <w:sz w:val="16"/>
                <w:szCs w:val="16"/>
                <w:lang w:eastAsia="tr-TR"/>
              </w:rPr>
            </w:pPr>
            <w:r w:rsidRPr="00B5107F">
              <w:rPr>
                <w:rFonts w:cs="Tahoma"/>
                <w:bCs/>
                <w:sz w:val="16"/>
                <w:szCs w:val="16"/>
                <w:lang w:eastAsia="tr-TR"/>
              </w:rPr>
              <w:t xml:space="preserve">İl Planlama ve Koordinasyon Müdürlüklerinin (İPKM) yetki ve kapasiteleri artırılacaktır. </w:t>
            </w:r>
          </w:p>
        </w:tc>
        <w:tc>
          <w:tcPr>
            <w:tcW w:w="1873" w:type="dxa"/>
          </w:tcPr>
          <w:p w:rsidR="00565FD5" w:rsidRPr="00B5107F" w:rsidRDefault="00565FD5" w:rsidP="00AB62A3">
            <w:pPr>
              <w:autoSpaceDE w:val="0"/>
              <w:autoSpaceDN w:val="0"/>
              <w:adjustRightInd w:val="0"/>
              <w:spacing w:before="60" w:after="60"/>
              <w:rPr>
                <w:rFonts w:cs="Tahoma"/>
                <w:bCs/>
                <w:sz w:val="16"/>
                <w:szCs w:val="16"/>
                <w:lang w:eastAsia="tr-TR"/>
              </w:rPr>
            </w:pPr>
            <w:r w:rsidRPr="00B5107F">
              <w:rPr>
                <w:rFonts w:cs="Tahoma"/>
                <w:bCs/>
                <w:sz w:val="16"/>
                <w:szCs w:val="16"/>
                <w:lang w:eastAsia="tr-TR"/>
              </w:rPr>
              <w:t>İçişleri Bakanlığı (S), Kalkınma Bakanlığı, Devlet Personel Başkanlığı, Maliye Bakanlığı</w:t>
            </w:r>
          </w:p>
        </w:tc>
        <w:tc>
          <w:tcPr>
            <w:tcW w:w="860" w:type="dxa"/>
          </w:tcPr>
          <w:p w:rsidR="00565FD5" w:rsidRPr="00B5107F" w:rsidRDefault="00565FD5" w:rsidP="00AB62A3">
            <w:pPr>
              <w:autoSpaceDE w:val="0"/>
              <w:autoSpaceDN w:val="0"/>
              <w:adjustRightInd w:val="0"/>
              <w:spacing w:before="60" w:after="60"/>
              <w:rPr>
                <w:rFonts w:cs="Tahoma"/>
                <w:bCs/>
                <w:sz w:val="16"/>
                <w:szCs w:val="16"/>
                <w:lang w:eastAsia="tr-TR"/>
              </w:rPr>
            </w:pPr>
            <w:r w:rsidRPr="00B5107F">
              <w:rPr>
                <w:rFonts w:cs="Tahoma"/>
                <w:bCs/>
                <w:sz w:val="16"/>
                <w:szCs w:val="16"/>
                <w:lang w:eastAsia="tr-TR"/>
              </w:rPr>
              <w:t>Aralık Sonu</w:t>
            </w:r>
          </w:p>
        </w:tc>
        <w:tc>
          <w:tcPr>
            <w:tcW w:w="2580" w:type="dxa"/>
          </w:tcPr>
          <w:p w:rsidR="00565FD5" w:rsidRPr="00B5107F" w:rsidRDefault="00565FD5" w:rsidP="00AB62A3">
            <w:pPr>
              <w:autoSpaceDE w:val="0"/>
              <w:autoSpaceDN w:val="0"/>
              <w:adjustRightInd w:val="0"/>
              <w:spacing w:before="60" w:after="60"/>
              <w:rPr>
                <w:rFonts w:cs="Tahoma"/>
                <w:bCs/>
                <w:sz w:val="16"/>
                <w:szCs w:val="16"/>
                <w:lang w:eastAsia="tr-TR"/>
              </w:rPr>
            </w:pPr>
            <w:r w:rsidRPr="00B5107F">
              <w:rPr>
                <w:rFonts w:cs="Tahoma"/>
                <w:bCs/>
                <w:sz w:val="16"/>
                <w:szCs w:val="16"/>
                <w:lang w:eastAsia="tr-TR"/>
              </w:rPr>
              <w:t>İl koordinasyon ve izleme sisteminin geliştirilmesi kapsamında İPKM'lerin teknik ve analitik kapasiteleri yükseltilecek; niteliği ve niceliği artırılan personelin özlük hakları iyileştirilecektir.</w:t>
            </w:r>
          </w:p>
        </w:tc>
      </w:tr>
      <w:tr w:rsidR="00565FD5" w:rsidRPr="004439FC" w:rsidTr="00AB62A3">
        <w:trPr>
          <w:jc w:val="center"/>
        </w:trPr>
        <w:tc>
          <w:tcPr>
            <w:tcW w:w="1775" w:type="dxa"/>
          </w:tcPr>
          <w:p w:rsidR="00565FD5" w:rsidRPr="00B5107F" w:rsidRDefault="00565FD5" w:rsidP="00EB1E69">
            <w:pPr>
              <w:numPr>
                <w:ilvl w:val="0"/>
                <w:numId w:val="14"/>
              </w:numPr>
              <w:tabs>
                <w:tab w:val="left" w:pos="425"/>
              </w:tabs>
              <w:autoSpaceDE w:val="0"/>
              <w:autoSpaceDN w:val="0"/>
              <w:adjustRightInd w:val="0"/>
              <w:spacing w:before="60" w:after="60" w:line="240" w:lineRule="auto"/>
              <w:ind w:left="0"/>
              <w:rPr>
                <w:rFonts w:cs="Tahoma"/>
                <w:bCs/>
                <w:sz w:val="16"/>
                <w:szCs w:val="16"/>
                <w:lang w:eastAsia="tr-TR"/>
              </w:rPr>
            </w:pPr>
            <w:r w:rsidRPr="00B5107F">
              <w:rPr>
                <w:rFonts w:cs="Tahoma"/>
                <w:bCs/>
                <w:sz w:val="16"/>
                <w:szCs w:val="16"/>
                <w:lang w:eastAsia="tr-TR"/>
              </w:rPr>
              <w:t>İl Koordinasyon ve İzleme Sistemi (İKİS) geliştirilecektir.</w:t>
            </w:r>
          </w:p>
        </w:tc>
        <w:tc>
          <w:tcPr>
            <w:tcW w:w="1873" w:type="dxa"/>
          </w:tcPr>
          <w:p w:rsidR="00565FD5" w:rsidRPr="00B5107F" w:rsidRDefault="00565FD5" w:rsidP="00AB62A3">
            <w:pPr>
              <w:autoSpaceDE w:val="0"/>
              <w:autoSpaceDN w:val="0"/>
              <w:adjustRightInd w:val="0"/>
              <w:spacing w:before="60" w:after="60"/>
              <w:rPr>
                <w:rFonts w:cs="Tahoma"/>
                <w:bCs/>
                <w:sz w:val="16"/>
                <w:szCs w:val="16"/>
                <w:lang w:eastAsia="tr-TR"/>
              </w:rPr>
            </w:pPr>
            <w:r w:rsidRPr="00B5107F">
              <w:rPr>
                <w:rFonts w:cs="Tahoma"/>
                <w:bCs/>
                <w:sz w:val="16"/>
                <w:szCs w:val="16"/>
                <w:lang w:eastAsia="tr-TR"/>
              </w:rPr>
              <w:t>Kalkınma Bakanlığı (S),  İçişleri Bakanlığı, TÜBİTAK, Valilikler, Kalkınma Ajansları, Yerel Yönetimler</w:t>
            </w:r>
          </w:p>
        </w:tc>
        <w:tc>
          <w:tcPr>
            <w:tcW w:w="860" w:type="dxa"/>
          </w:tcPr>
          <w:p w:rsidR="00565FD5" w:rsidRPr="00B5107F" w:rsidRDefault="00565FD5" w:rsidP="00AB62A3">
            <w:pPr>
              <w:autoSpaceDE w:val="0"/>
              <w:autoSpaceDN w:val="0"/>
              <w:adjustRightInd w:val="0"/>
              <w:spacing w:before="60" w:after="60"/>
              <w:rPr>
                <w:rFonts w:cs="Tahoma"/>
                <w:bCs/>
                <w:sz w:val="16"/>
                <w:szCs w:val="16"/>
                <w:lang w:eastAsia="tr-TR"/>
              </w:rPr>
            </w:pPr>
            <w:r w:rsidRPr="00B5107F">
              <w:rPr>
                <w:rFonts w:cs="Tahoma"/>
                <w:bCs/>
                <w:sz w:val="16"/>
                <w:szCs w:val="16"/>
                <w:lang w:eastAsia="tr-TR"/>
              </w:rPr>
              <w:t>Aralık Sonu</w:t>
            </w:r>
          </w:p>
        </w:tc>
        <w:tc>
          <w:tcPr>
            <w:tcW w:w="2580" w:type="dxa"/>
          </w:tcPr>
          <w:p w:rsidR="00565FD5" w:rsidRPr="00B5107F" w:rsidRDefault="00565FD5" w:rsidP="00AB62A3">
            <w:pPr>
              <w:autoSpaceDE w:val="0"/>
              <w:autoSpaceDN w:val="0"/>
              <w:adjustRightInd w:val="0"/>
              <w:spacing w:before="60" w:after="60"/>
              <w:rPr>
                <w:rFonts w:cs="Tahoma"/>
                <w:bCs/>
                <w:sz w:val="16"/>
                <w:szCs w:val="16"/>
                <w:lang w:eastAsia="tr-TR"/>
              </w:rPr>
            </w:pPr>
            <w:r w:rsidRPr="00B5107F">
              <w:rPr>
                <w:rFonts w:cs="Tahoma"/>
                <w:bCs/>
                <w:sz w:val="16"/>
                <w:szCs w:val="16"/>
                <w:lang w:eastAsia="tr-TR"/>
              </w:rPr>
              <w:t>İKİS projesinin geliştirilmesi ve koordinasyonuna devam edilecek; merkezi kurumlarla veri entegrasyonu sağlanacaktır.</w:t>
            </w:r>
          </w:p>
        </w:tc>
      </w:tr>
      <w:tr w:rsidR="00565FD5" w:rsidRPr="004439FC" w:rsidTr="00AB62A3">
        <w:trPr>
          <w:jc w:val="center"/>
        </w:trPr>
        <w:tc>
          <w:tcPr>
            <w:tcW w:w="1775" w:type="dxa"/>
          </w:tcPr>
          <w:p w:rsidR="00565FD5" w:rsidRPr="00B5107F" w:rsidRDefault="00565FD5" w:rsidP="00EB1E69">
            <w:pPr>
              <w:numPr>
                <w:ilvl w:val="0"/>
                <w:numId w:val="14"/>
              </w:numPr>
              <w:tabs>
                <w:tab w:val="left" w:pos="425"/>
              </w:tabs>
              <w:autoSpaceDE w:val="0"/>
              <w:autoSpaceDN w:val="0"/>
              <w:adjustRightInd w:val="0"/>
              <w:spacing w:before="60" w:after="60" w:line="240" w:lineRule="auto"/>
              <w:ind w:left="0"/>
              <w:rPr>
                <w:rFonts w:cs="Tahoma"/>
                <w:bCs/>
                <w:sz w:val="16"/>
                <w:szCs w:val="16"/>
                <w:lang w:eastAsia="tr-TR"/>
              </w:rPr>
            </w:pPr>
            <w:r w:rsidRPr="00B5107F">
              <w:rPr>
                <w:rFonts w:cs="Tahoma"/>
                <w:bCs/>
                <w:sz w:val="16"/>
                <w:szCs w:val="16"/>
                <w:lang w:eastAsia="tr-TR"/>
              </w:rPr>
              <w:t>Yerleşme Merkezlerinin Kademelenmesi çalışması yenilenecektir.</w:t>
            </w:r>
          </w:p>
        </w:tc>
        <w:tc>
          <w:tcPr>
            <w:tcW w:w="1873" w:type="dxa"/>
          </w:tcPr>
          <w:p w:rsidR="00565FD5" w:rsidRPr="00B5107F" w:rsidRDefault="00565FD5" w:rsidP="00AB62A3">
            <w:pPr>
              <w:autoSpaceDE w:val="0"/>
              <w:autoSpaceDN w:val="0"/>
              <w:adjustRightInd w:val="0"/>
              <w:spacing w:before="60" w:after="60"/>
              <w:rPr>
                <w:rFonts w:cs="Tahoma"/>
                <w:bCs/>
                <w:sz w:val="16"/>
                <w:szCs w:val="16"/>
                <w:lang w:eastAsia="tr-TR"/>
              </w:rPr>
            </w:pPr>
            <w:r w:rsidRPr="00B5107F">
              <w:rPr>
                <w:rFonts w:cs="Tahoma"/>
                <w:bCs/>
                <w:sz w:val="16"/>
                <w:szCs w:val="16"/>
                <w:lang w:eastAsia="tr-TR"/>
              </w:rPr>
              <w:t>Kalkınma Bakanlığı (S), TÜİK, Kalkınma Ajansları</w:t>
            </w:r>
          </w:p>
        </w:tc>
        <w:tc>
          <w:tcPr>
            <w:tcW w:w="860" w:type="dxa"/>
          </w:tcPr>
          <w:p w:rsidR="00565FD5" w:rsidRPr="00B5107F" w:rsidRDefault="00565FD5" w:rsidP="00AB62A3">
            <w:pPr>
              <w:autoSpaceDE w:val="0"/>
              <w:autoSpaceDN w:val="0"/>
              <w:adjustRightInd w:val="0"/>
              <w:spacing w:before="60" w:after="60"/>
              <w:rPr>
                <w:rFonts w:cs="Tahoma"/>
                <w:bCs/>
                <w:sz w:val="16"/>
                <w:szCs w:val="16"/>
                <w:lang w:eastAsia="tr-TR"/>
              </w:rPr>
            </w:pPr>
            <w:r w:rsidRPr="00B5107F">
              <w:rPr>
                <w:rFonts w:cs="Tahoma"/>
                <w:bCs/>
                <w:sz w:val="16"/>
                <w:szCs w:val="16"/>
                <w:lang w:eastAsia="tr-TR"/>
              </w:rPr>
              <w:t>Aralık Sonu</w:t>
            </w:r>
          </w:p>
        </w:tc>
        <w:tc>
          <w:tcPr>
            <w:tcW w:w="2580" w:type="dxa"/>
          </w:tcPr>
          <w:p w:rsidR="00565FD5" w:rsidRPr="00B5107F" w:rsidRDefault="00565FD5" w:rsidP="00AB62A3">
            <w:pPr>
              <w:autoSpaceDE w:val="0"/>
              <w:autoSpaceDN w:val="0"/>
              <w:adjustRightInd w:val="0"/>
              <w:spacing w:before="60" w:after="60"/>
              <w:rPr>
                <w:rFonts w:cs="Tahoma"/>
                <w:bCs/>
                <w:sz w:val="16"/>
                <w:szCs w:val="16"/>
                <w:lang w:eastAsia="tr-TR"/>
              </w:rPr>
            </w:pPr>
            <w:r w:rsidRPr="00B5107F">
              <w:rPr>
                <w:rFonts w:cs="Tahoma"/>
                <w:bCs/>
                <w:sz w:val="16"/>
                <w:szCs w:val="16"/>
                <w:lang w:eastAsia="tr-TR"/>
              </w:rPr>
              <w:t>Türkiye yerleşme merkezleri sisteminin günümüzdeki kademeli yapısıyla sosyal ve ekonomik ilişkileri ortaya çıkarmak amacıyla Türkiye'de Yerleşme Merkezlerinin Kademelenmesi Araştırması çalışması yapılacaktır.</w:t>
            </w:r>
          </w:p>
        </w:tc>
      </w:tr>
      <w:tr w:rsidR="00565FD5" w:rsidRPr="004439FC" w:rsidTr="00AB62A3">
        <w:trPr>
          <w:jc w:val="center"/>
        </w:trPr>
        <w:tc>
          <w:tcPr>
            <w:tcW w:w="1775" w:type="dxa"/>
          </w:tcPr>
          <w:p w:rsidR="00565FD5" w:rsidRPr="00B5107F" w:rsidRDefault="00565FD5" w:rsidP="00EB1E69">
            <w:pPr>
              <w:numPr>
                <w:ilvl w:val="0"/>
                <w:numId w:val="14"/>
              </w:numPr>
              <w:tabs>
                <w:tab w:val="left" w:pos="425"/>
              </w:tabs>
              <w:autoSpaceDE w:val="0"/>
              <w:autoSpaceDN w:val="0"/>
              <w:adjustRightInd w:val="0"/>
              <w:spacing w:before="60" w:after="60" w:line="240" w:lineRule="auto"/>
              <w:ind w:left="0"/>
              <w:rPr>
                <w:rFonts w:cs="Tahoma"/>
                <w:bCs/>
                <w:sz w:val="16"/>
                <w:szCs w:val="16"/>
                <w:lang w:eastAsia="tr-TR"/>
              </w:rPr>
            </w:pPr>
            <w:r w:rsidRPr="00B5107F">
              <w:rPr>
                <w:rFonts w:cs="Tahoma"/>
                <w:bCs/>
                <w:sz w:val="16"/>
                <w:szCs w:val="16"/>
                <w:lang w:eastAsia="tr-TR"/>
              </w:rPr>
              <w:t>İlçelerin Sosyo-Ekonomik Gelişmişlik Sıralaması Araştırması güncellenecektir.</w:t>
            </w:r>
          </w:p>
        </w:tc>
        <w:tc>
          <w:tcPr>
            <w:tcW w:w="1873" w:type="dxa"/>
          </w:tcPr>
          <w:p w:rsidR="00565FD5" w:rsidRPr="00B5107F" w:rsidRDefault="00565FD5" w:rsidP="00AB62A3">
            <w:pPr>
              <w:autoSpaceDE w:val="0"/>
              <w:autoSpaceDN w:val="0"/>
              <w:adjustRightInd w:val="0"/>
              <w:spacing w:before="60" w:after="60"/>
              <w:rPr>
                <w:rFonts w:cs="Tahoma"/>
                <w:bCs/>
                <w:sz w:val="16"/>
                <w:szCs w:val="16"/>
                <w:lang w:eastAsia="tr-TR"/>
              </w:rPr>
            </w:pPr>
            <w:r w:rsidRPr="00B5107F">
              <w:rPr>
                <w:rFonts w:cs="Tahoma"/>
                <w:bCs/>
                <w:sz w:val="16"/>
                <w:szCs w:val="16"/>
                <w:lang w:eastAsia="tr-TR"/>
              </w:rPr>
              <w:t>Kalkınma Bakanlığı (S), TÜİK</w:t>
            </w:r>
          </w:p>
        </w:tc>
        <w:tc>
          <w:tcPr>
            <w:tcW w:w="860" w:type="dxa"/>
          </w:tcPr>
          <w:p w:rsidR="00565FD5" w:rsidRPr="00B5107F" w:rsidRDefault="00565FD5" w:rsidP="00AB62A3">
            <w:pPr>
              <w:autoSpaceDE w:val="0"/>
              <w:autoSpaceDN w:val="0"/>
              <w:adjustRightInd w:val="0"/>
              <w:spacing w:before="60" w:after="60"/>
              <w:rPr>
                <w:rFonts w:cs="Tahoma"/>
                <w:bCs/>
                <w:sz w:val="16"/>
                <w:szCs w:val="16"/>
                <w:lang w:eastAsia="tr-TR"/>
              </w:rPr>
            </w:pPr>
            <w:r w:rsidRPr="00B5107F">
              <w:rPr>
                <w:rFonts w:cs="Tahoma"/>
                <w:bCs/>
                <w:sz w:val="16"/>
                <w:szCs w:val="16"/>
                <w:lang w:eastAsia="tr-TR"/>
              </w:rPr>
              <w:t>Aralık Sonu</w:t>
            </w:r>
          </w:p>
        </w:tc>
        <w:tc>
          <w:tcPr>
            <w:tcW w:w="2580" w:type="dxa"/>
          </w:tcPr>
          <w:p w:rsidR="00565FD5" w:rsidRPr="00B5107F" w:rsidRDefault="00565FD5" w:rsidP="00AB62A3">
            <w:pPr>
              <w:autoSpaceDE w:val="0"/>
              <w:autoSpaceDN w:val="0"/>
              <w:adjustRightInd w:val="0"/>
              <w:spacing w:before="60" w:after="60"/>
              <w:rPr>
                <w:rFonts w:cs="Tahoma"/>
                <w:bCs/>
                <w:sz w:val="16"/>
                <w:szCs w:val="16"/>
                <w:lang w:eastAsia="tr-TR"/>
              </w:rPr>
            </w:pPr>
            <w:r w:rsidRPr="00B5107F">
              <w:rPr>
                <w:rFonts w:cs="Tahoma"/>
                <w:bCs/>
                <w:sz w:val="16"/>
                <w:szCs w:val="16"/>
                <w:lang w:eastAsia="tr-TR"/>
              </w:rPr>
              <w:t>İlçelerin durum tespiti ve bölgesel gelişme odaklı politikalara katkı sağlamak amacıyla İlçelerin Sosyo-Ekonomik Gelişmişlik Sıralaması Araştırması güncellenecektir.</w:t>
            </w:r>
          </w:p>
        </w:tc>
      </w:tr>
      <w:tr w:rsidR="00565FD5" w:rsidRPr="004439FC" w:rsidTr="00AB62A3">
        <w:trPr>
          <w:jc w:val="center"/>
        </w:trPr>
        <w:tc>
          <w:tcPr>
            <w:tcW w:w="1775" w:type="dxa"/>
          </w:tcPr>
          <w:p w:rsidR="00565FD5" w:rsidRPr="00B5107F" w:rsidRDefault="00565FD5" w:rsidP="00EB1E69">
            <w:pPr>
              <w:numPr>
                <w:ilvl w:val="0"/>
                <w:numId w:val="14"/>
              </w:numPr>
              <w:tabs>
                <w:tab w:val="left" w:pos="425"/>
              </w:tabs>
              <w:autoSpaceDE w:val="0"/>
              <w:autoSpaceDN w:val="0"/>
              <w:adjustRightInd w:val="0"/>
              <w:spacing w:before="60" w:after="60" w:line="240" w:lineRule="auto"/>
              <w:ind w:left="0"/>
              <w:rPr>
                <w:rFonts w:cs="Tahoma"/>
                <w:bCs/>
                <w:sz w:val="16"/>
                <w:szCs w:val="16"/>
                <w:lang w:eastAsia="tr-TR"/>
              </w:rPr>
            </w:pPr>
            <w:r w:rsidRPr="00B5107F">
              <w:rPr>
                <w:rFonts w:cs="Tahoma"/>
                <w:bCs/>
                <w:sz w:val="16"/>
                <w:szCs w:val="16"/>
                <w:lang w:eastAsia="tr-TR"/>
              </w:rPr>
              <w:t>Düzey 2 bölgeleri itibarıyla girdi-çıktı tablolarının hazırlanmasına yönelik çalışma yürütülecektir.</w:t>
            </w:r>
          </w:p>
        </w:tc>
        <w:tc>
          <w:tcPr>
            <w:tcW w:w="1873" w:type="dxa"/>
          </w:tcPr>
          <w:p w:rsidR="00565FD5" w:rsidRPr="00B5107F" w:rsidRDefault="00565FD5" w:rsidP="00AB62A3">
            <w:pPr>
              <w:autoSpaceDE w:val="0"/>
              <w:autoSpaceDN w:val="0"/>
              <w:adjustRightInd w:val="0"/>
              <w:spacing w:before="60" w:after="60"/>
              <w:rPr>
                <w:rFonts w:cs="Tahoma"/>
                <w:bCs/>
                <w:sz w:val="16"/>
                <w:szCs w:val="16"/>
                <w:lang w:eastAsia="tr-TR"/>
              </w:rPr>
            </w:pPr>
            <w:r w:rsidRPr="00B5107F">
              <w:rPr>
                <w:rFonts w:cs="Tahoma"/>
                <w:bCs/>
                <w:sz w:val="16"/>
                <w:szCs w:val="16"/>
                <w:lang w:eastAsia="tr-TR"/>
              </w:rPr>
              <w:t xml:space="preserve">Kalkınma Bakanlığı (S), Maliye Bakanlığı, Gıda Tarım ve Hayvancılık Bakanlığı, Bilim, Sanayi ve Teknoloji Bakanlığı, Kalkınma Ajansları, TÜİK, Yerel Yönetimler, SGK, KOSGEB </w:t>
            </w:r>
          </w:p>
        </w:tc>
        <w:tc>
          <w:tcPr>
            <w:tcW w:w="860" w:type="dxa"/>
          </w:tcPr>
          <w:p w:rsidR="00565FD5" w:rsidRPr="00B5107F" w:rsidRDefault="00565FD5" w:rsidP="00AB62A3">
            <w:pPr>
              <w:autoSpaceDE w:val="0"/>
              <w:autoSpaceDN w:val="0"/>
              <w:adjustRightInd w:val="0"/>
              <w:spacing w:before="60" w:after="60"/>
              <w:rPr>
                <w:rFonts w:cs="Tahoma"/>
                <w:bCs/>
                <w:sz w:val="16"/>
                <w:szCs w:val="16"/>
                <w:lang w:eastAsia="tr-TR"/>
              </w:rPr>
            </w:pPr>
            <w:r w:rsidRPr="00B5107F">
              <w:rPr>
                <w:rFonts w:cs="Tahoma"/>
                <w:bCs/>
                <w:sz w:val="16"/>
                <w:szCs w:val="16"/>
                <w:lang w:eastAsia="tr-TR"/>
              </w:rPr>
              <w:t>Aralık Sonu</w:t>
            </w:r>
          </w:p>
        </w:tc>
        <w:tc>
          <w:tcPr>
            <w:tcW w:w="2580" w:type="dxa"/>
          </w:tcPr>
          <w:p w:rsidR="00565FD5" w:rsidRPr="00B5107F" w:rsidRDefault="00565FD5" w:rsidP="00AB62A3">
            <w:pPr>
              <w:autoSpaceDE w:val="0"/>
              <w:autoSpaceDN w:val="0"/>
              <w:adjustRightInd w:val="0"/>
              <w:spacing w:before="60" w:after="60"/>
              <w:rPr>
                <w:rFonts w:cs="Tahoma"/>
                <w:bCs/>
                <w:sz w:val="16"/>
                <w:szCs w:val="16"/>
                <w:lang w:eastAsia="tr-TR"/>
              </w:rPr>
            </w:pPr>
            <w:r w:rsidRPr="00B5107F">
              <w:rPr>
                <w:rFonts w:cs="Tahoma"/>
                <w:bCs/>
                <w:sz w:val="16"/>
                <w:szCs w:val="16"/>
                <w:lang w:eastAsia="tr-TR"/>
              </w:rPr>
              <w:t xml:space="preserve">Kalkınma ajanslarının merkezi ve yerel düzeydeki kamu kuruluşlarıyla işbirliği içerisinde girdi-çıktı tabloları hazırlanacaktır. </w:t>
            </w:r>
          </w:p>
        </w:tc>
      </w:tr>
      <w:tr w:rsidR="00565FD5" w:rsidRPr="004439FC" w:rsidTr="00AB62A3">
        <w:trPr>
          <w:jc w:val="center"/>
        </w:trPr>
        <w:tc>
          <w:tcPr>
            <w:tcW w:w="1775" w:type="dxa"/>
          </w:tcPr>
          <w:p w:rsidR="00565FD5" w:rsidRPr="00B5107F" w:rsidRDefault="00565FD5" w:rsidP="00EB1E69">
            <w:pPr>
              <w:numPr>
                <w:ilvl w:val="0"/>
                <w:numId w:val="14"/>
              </w:numPr>
              <w:tabs>
                <w:tab w:val="left" w:pos="425"/>
              </w:tabs>
              <w:autoSpaceDE w:val="0"/>
              <w:autoSpaceDN w:val="0"/>
              <w:adjustRightInd w:val="0"/>
              <w:spacing w:before="80" w:after="80" w:line="240" w:lineRule="auto"/>
              <w:ind w:left="34"/>
              <w:rPr>
                <w:rFonts w:cs="Tahoma"/>
                <w:bCs/>
                <w:sz w:val="16"/>
                <w:szCs w:val="16"/>
                <w:lang w:eastAsia="tr-TR"/>
              </w:rPr>
            </w:pPr>
            <w:r w:rsidRPr="00B5107F">
              <w:rPr>
                <w:rFonts w:cs="Tahoma"/>
                <w:bCs/>
                <w:sz w:val="16"/>
                <w:szCs w:val="16"/>
                <w:lang w:eastAsia="tr-TR"/>
              </w:rPr>
              <w:t xml:space="preserve">Kalkınma Ajansları Yönetim Sistemi (KAYS) geliştirilecektir. </w:t>
            </w:r>
          </w:p>
        </w:tc>
        <w:tc>
          <w:tcPr>
            <w:tcW w:w="1873" w:type="dxa"/>
          </w:tcPr>
          <w:p w:rsidR="00565FD5" w:rsidRPr="00B5107F" w:rsidRDefault="00565FD5" w:rsidP="00AB62A3">
            <w:pPr>
              <w:spacing w:before="80" w:after="80"/>
              <w:rPr>
                <w:rFonts w:cs="Tahoma"/>
                <w:bCs/>
                <w:sz w:val="16"/>
                <w:szCs w:val="16"/>
                <w:lang w:eastAsia="tr-TR"/>
              </w:rPr>
            </w:pPr>
            <w:r w:rsidRPr="00B5107F">
              <w:rPr>
                <w:rFonts w:cs="Tahoma"/>
                <w:bCs/>
                <w:sz w:val="16"/>
                <w:szCs w:val="16"/>
                <w:lang w:eastAsia="tr-TR"/>
              </w:rPr>
              <w:t>Kalkınma Bakanlığı (S), TÜBİTAK, Kalkınma Ajansları</w:t>
            </w:r>
          </w:p>
          <w:p w:rsidR="00565FD5" w:rsidRPr="00B5107F" w:rsidRDefault="00565FD5" w:rsidP="00AB62A3">
            <w:pPr>
              <w:autoSpaceDE w:val="0"/>
              <w:autoSpaceDN w:val="0"/>
              <w:adjustRightInd w:val="0"/>
              <w:spacing w:before="80" w:after="80"/>
              <w:rPr>
                <w:rFonts w:cs="Tahoma"/>
                <w:bCs/>
                <w:sz w:val="16"/>
                <w:szCs w:val="16"/>
                <w:lang w:eastAsia="tr-TR"/>
              </w:rPr>
            </w:pPr>
          </w:p>
        </w:tc>
        <w:tc>
          <w:tcPr>
            <w:tcW w:w="860" w:type="dxa"/>
          </w:tcPr>
          <w:p w:rsidR="00565FD5" w:rsidRPr="00B5107F" w:rsidRDefault="00565FD5" w:rsidP="00AB62A3">
            <w:pPr>
              <w:spacing w:before="80" w:after="80"/>
              <w:rPr>
                <w:rFonts w:cs="Tahoma"/>
                <w:bCs/>
                <w:sz w:val="16"/>
                <w:szCs w:val="16"/>
                <w:lang w:eastAsia="tr-TR"/>
              </w:rPr>
            </w:pPr>
            <w:r w:rsidRPr="00B5107F">
              <w:rPr>
                <w:rFonts w:cs="Tahoma"/>
                <w:bCs/>
                <w:sz w:val="16"/>
                <w:szCs w:val="16"/>
                <w:lang w:eastAsia="tr-TR"/>
              </w:rPr>
              <w:t>Aralık Sonu</w:t>
            </w:r>
          </w:p>
          <w:p w:rsidR="00565FD5" w:rsidRPr="00B5107F" w:rsidRDefault="00565FD5" w:rsidP="00AB62A3">
            <w:pPr>
              <w:autoSpaceDE w:val="0"/>
              <w:autoSpaceDN w:val="0"/>
              <w:adjustRightInd w:val="0"/>
              <w:spacing w:before="80" w:after="80"/>
              <w:rPr>
                <w:rFonts w:cs="Tahoma"/>
                <w:bCs/>
                <w:sz w:val="16"/>
                <w:szCs w:val="16"/>
                <w:lang w:eastAsia="tr-TR"/>
              </w:rPr>
            </w:pPr>
          </w:p>
        </w:tc>
        <w:tc>
          <w:tcPr>
            <w:tcW w:w="2580" w:type="dxa"/>
          </w:tcPr>
          <w:p w:rsidR="00565FD5" w:rsidRPr="00B5107F" w:rsidRDefault="00565FD5" w:rsidP="00AB62A3">
            <w:pPr>
              <w:autoSpaceDE w:val="0"/>
              <w:autoSpaceDN w:val="0"/>
              <w:adjustRightInd w:val="0"/>
              <w:spacing w:before="80" w:after="80"/>
              <w:rPr>
                <w:rFonts w:cs="Tahoma"/>
                <w:bCs/>
                <w:sz w:val="16"/>
                <w:szCs w:val="16"/>
                <w:lang w:eastAsia="tr-TR"/>
              </w:rPr>
            </w:pPr>
            <w:r w:rsidRPr="00B5107F">
              <w:rPr>
                <w:rFonts w:cs="Tahoma"/>
                <w:bCs/>
                <w:sz w:val="16"/>
                <w:szCs w:val="16"/>
                <w:lang w:eastAsia="tr-TR"/>
              </w:rPr>
              <w:t xml:space="preserve">Kalkınma Ajanslarınca yürütülen faaliyetler ile sağlanan mali desteklerin etkin koordinasyonunu sağlamak üzere KAYS Projesi </w:t>
            </w:r>
            <w:r w:rsidRPr="00B5107F">
              <w:rPr>
                <w:rFonts w:cs="Tahoma"/>
                <w:bCs/>
                <w:sz w:val="16"/>
                <w:szCs w:val="16"/>
                <w:lang w:eastAsia="tr-TR"/>
              </w:rPr>
              <w:lastRenderedPageBreak/>
              <w:t>kapsamında mali yönetim, izleme, performans ve insan kaynakları modülleri geliştirilecektir.</w:t>
            </w:r>
          </w:p>
        </w:tc>
      </w:tr>
      <w:tr w:rsidR="00565FD5" w:rsidRPr="004439FC" w:rsidTr="00AB62A3">
        <w:trPr>
          <w:jc w:val="center"/>
        </w:trPr>
        <w:tc>
          <w:tcPr>
            <w:tcW w:w="1775" w:type="dxa"/>
          </w:tcPr>
          <w:p w:rsidR="00565FD5" w:rsidRPr="00B5107F" w:rsidRDefault="00565FD5" w:rsidP="00EB1E69">
            <w:pPr>
              <w:numPr>
                <w:ilvl w:val="0"/>
                <w:numId w:val="14"/>
              </w:numPr>
              <w:tabs>
                <w:tab w:val="left" w:pos="425"/>
              </w:tabs>
              <w:autoSpaceDE w:val="0"/>
              <w:autoSpaceDN w:val="0"/>
              <w:adjustRightInd w:val="0"/>
              <w:spacing w:before="80" w:after="80" w:line="240" w:lineRule="auto"/>
              <w:ind w:left="34"/>
              <w:rPr>
                <w:rFonts w:cs="Tahoma"/>
                <w:bCs/>
                <w:sz w:val="16"/>
                <w:szCs w:val="16"/>
                <w:lang w:eastAsia="tr-TR"/>
              </w:rPr>
            </w:pPr>
            <w:r w:rsidRPr="00B5107F">
              <w:rPr>
                <w:rFonts w:cs="Tahoma"/>
                <w:bCs/>
                <w:sz w:val="16"/>
                <w:szCs w:val="16"/>
                <w:lang w:eastAsia="tr-TR"/>
              </w:rPr>
              <w:lastRenderedPageBreak/>
              <w:t>Kalkınma ajanslarının planlama, koordinasyon, mali destek faaliyetleri ve buna ilişkin izleme, değerlendirme ve analiz görevleri ile yatırım destek faaliyetlerinde kullanılmak üzere coğrafi bilgi sistemleri kurulacaktır.</w:t>
            </w:r>
          </w:p>
        </w:tc>
        <w:tc>
          <w:tcPr>
            <w:tcW w:w="1873" w:type="dxa"/>
          </w:tcPr>
          <w:p w:rsidR="00565FD5" w:rsidRPr="00B5107F" w:rsidRDefault="00565FD5" w:rsidP="00AB62A3">
            <w:pPr>
              <w:autoSpaceDE w:val="0"/>
              <w:autoSpaceDN w:val="0"/>
              <w:adjustRightInd w:val="0"/>
              <w:spacing w:before="80" w:after="80"/>
              <w:rPr>
                <w:rFonts w:cs="Tahoma"/>
                <w:bCs/>
                <w:sz w:val="16"/>
                <w:szCs w:val="16"/>
                <w:lang w:eastAsia="tr-TR"/>
              </w:rPr>
            </w:pPr>
            <w:r w:rsidRPr="00B5107F">
              <w:rPr>
                <w:rFonts w:cs="Tahoma"/>
                <w:bCs/>
                <w:sz w:val="16"/>
                <w:szCs w:val="16"/>
                <w:lang w:eastAsia="tr-TR"/>
              </w:rPr>
              <w:t>Kalkınma Bakanlığı (S), Çevre ve Şehircilik Bakanlığı, TÜİK</w:t>
            </w:r>
          </w:p>
        </w:tc>
        <w:tc>
          <w:tcPr>
            <w:tcW w:w="860" w:type="dxa"/>
          </w:tcPr>
          <w:p w:rsidR="00565FD5" w:rsidRPr="00B5107F" w:rsidRDefault="00565FD5" w:rsidP="00AB62A3">
            <w:pPr>
              <w:spacing w:before="80" w:after="80"/>
              <w:rPr>
                <w:rFonts w:cs="Tahoma"/>
                <w:bCs/>
                <w:sz w:val="16"/>
                <w:szCs w:val="16"/>
                <w:lang w:eastAsia="tr-TR"/>
              </w:rPr>
            </w:pPr>
            <w:r w:rsidRPr="00B5107F">
              <w:rPr>
                <w:rFonts w:cs="Tahoma"/>
                <w:bCs/>
                <w:sz w:val="16"/>
                <w:szCs w:val="16"/>
                <w:lang w:eastAsia="tr-TR"/>
              </w:rPr>
              <w:t>Aralık Sonu</w:t>
            </w:r>
          </w:p>
          <w:p w:rsidR="00565FD5" w:rsidRPr="00B5107F" w:rsidRDefault="00565FD5" w:rsidP="00AB62A3">
            <w:pPr>
              <w:autoSpaceDE w:val="0"/>
              <w:autoSpaceDN w:val="0"/>
              <w:adjustRightInd w:val="0"/>
              <w:spacing w:before="80" w:after="80"/>
              <w:rPr>
                <w:rFonts w:cs="Tahoma"/>
                <w:bCs/>
                <w:sz w:val="16"/>
                <w:szCs w:val="16"/>
                <w:lang w:eastAsia="tr-TR"/>
              </w:rPr>
            </w:pPr>
          </w:p>
        </w:tc>
        <w:tc>
          <w:tcPr>
            <w:tcW w:w="2580" w:type="dxa"/>
          </w:tcPr>
          <w:p w:rsidR="00565FD5" w:rsidRPr="00B5107F" w:rsidRDefault="00565FD5" w:rsidP="00AB62A3">
            <w:pPr>
              <w:autoSpaceDE w:val="0"/>
              <w:autoSpaceDN w:val="0"/>
              <w:adjustRightInd w:val="0"/>
              <w:spacing w:before="80" w:after="80"/>
              <w:rPr>
                <w:rFonts w:cs="Tahoma"/>
                <w:bCs/>
                <w:sz w:val="16"/>
                <w:szCs w:val="16"/>
                <w:lang w:eastAsia="tr-TR"/>
              </w:rPr>
            </w:pPr>
            <w:r w:rsidRPr="00B5107F">
              <w:rPr>
                <w:rFonts w:cs="Tahoma"/>
                <w:bCs/>
                <w:sz w:val="16"/>
                <w:szCs w:val="16"/>
                <w:lang w:eastAsia="tr-TR"/>
              </w:rPr>
              <w:t>Kalkınma Bakanlığında internet tabanlı, üst ve orta ölçekte analizler yapmaya imkan verecek bir merkezi sistem ile ajanslarda alt ve orta düzeyde faaliyetlerin gerçekleştirilmesini sağlayacak bir entegre Coğrafi Bilgi Sistemi kurulması amacıyla pilot ajanslarda teknik çalışma başlatılacaktır.</w:t>
            </w:r>
          </w:p>
          <w:p w:rsidR="00565FD5" w:rsidRPr="00B5107F" w:rsidRDefault="00565FD5" w:rsidP="00AB62A3">
            <w:pPr>
              <w:autoSpaceDE w:val="0"/>
              <w:autoSpaceDN w:val="0"/>
              <w:adjustRightInd w:val="0"/>
              <w:spacing w:before="80" w:after="80"/>
              <w:rPr>
                <w:rFonts w:cs="Tahoma"/>
                <w:bCs/>
                <w:sz w:val="16"/>
                <w:szCs w:val="16"/>
                <w:lang w:eastAsia="tr-TR"/>
              </w:rPr>
            </w:pPr>
          </w:p>
        </w:tc>
      </w:tr>
    </w:tbl>
    <w:p w:rsidR="00565FD5" w:rsidRPr="004439FC" w:rsidRDefault="00565FD5" w:rsidP="00565FD5"/>
    <w:p w:rsidR="00565FD5" w:rsidRPr="004439FC" w:rsidRDefault="00565FD5" w:rsidP="00565FD5"/>
    <w:p w:rsidR="00565FD5" w:rsidRPr="004439FC" w:rsidRDefault="00565FD5" w:rsidP="00565FD5">
      <w:pPr>
        <w:pStyle w:val="Balk3"/>
      </w:pPr>
      <w:bookmarkStart w:id="2959" w:name="_Toc276076371"/>
      <w:bookmarkStart w:id="2960" w:name="_Toc244339687"/>
      <w:bookmarkStart w:id="2961" w:name="_Toc244315224"/>
      <w:bookmarkStart w:id="2962" w:name="_Toc244313747"/>
      <w:bookmarkStart w:id="2963" w:name="_Toc244255012"/>
      <w:bookmarkStart w:id="2964" w:name="_Toc244253762"/>
      <w:bookmarkStart w:id="2965" w:name="_Toc213065754"/>
      <w:bookmarkStart w:id="2966" w:name="_Toc212787626"/>
      <w:bookmarkStart w:id="2967" w:name="_Toc307602094"/>
      <w:bookmarkStart w:id="2968" w:name="_Toc307670531"/>
      <w:bookmarkStart w:id="2969" w:name="_Toc307701758"/>
      <w:bookmarkStart w:id="2970" w:name="_Toc338494269"/>
      <w:bookmarkStart w:id="2971" w:name="_Toc338505661"/>
      <w:bookmarkStart w:id="2972" w:name="_Toc338523893"/>
      <w:bookmarkStart w:id="2973" w:name="_Toc338524124"/>
      <w:bookmarkStart w:id="2974" w:name="_Toc338526350"/>
      <w:bookmarkStart w:id="2975" w:name="_Toc338673793"/>
      <w:bookmarkStart w:id="2976" w:name="_Toc338711672"/>
      <w:bookmarkEnd w:id="2861"/>
      <w:bookmarkEnd w:id="2862"/>
      <w:r>
        <w:t>Ç</w:t>
      </w:r>
      <w:r w:rsidRPr="004439FC">
        <w:t>. KIRSAL KESİMDE KALKINMANIN SAĞLANMASI</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p>
    <w:p w:rsidR="00565FD5" w:rsidRPr="004439FC" w:rsidRDefault="00565FD5" w:rsidP="00565FD5">
      <w:pPr>
        <w:pStyle w:val="Balk4"/>
      </w:pPr>
      <w:bookmarkStart w:id="2977" w:name="_Toc276076372"/>
      <w:bookmarkStart w:id="2978" w:name="_Toc307602095"/>
      <w:bookmarkStart w:id="2979" w:name="_Toc307670532"/>
      <w:bookmarkStart w:id="2980" w:name="_Toc307701759"/>
      <w:bookmarkStart w:id="2981" w:name="_Toc338505662"/>
      <w:bookmarkStart w:id="2982" w:name="_Toc338523894"/>
      <w:bookmarkStart w:id="2983" w:name="_Toc338524125"/>
      <w:bookmarkStart w:id="2984" w:name="_Toc338526351"/>
      <w:bookmarkStart w:id="2985" w:name="_Toc338673794"/>
      <w:bookmarkStart w:id="2986" w:name="_Toc338711673"/>
      <w:r w:rsidRPr="004439FC">
        <w:t>1. Mevcut Durum</w:t>
      </w:r>
      <w:bookmarkEnd w:id="2977"/>
      <w:bookmarkEnd w:id="2978"/>
      <w:bookmarkEnd w:id="2979"/>
      <w:bookmarkEnd w:id="2980"/>
      <w:bookmarkEnd w:id="2981"/>
      <w:bookmarkEnd w:id="2982"/>
      <w:bookmarkEnd w:id="2983"/>
      <w:bookmarkEnd w:id="2984"/>
      <w:bookmarkEnd w:id="2985"/>
      <w:bookmarkEnd w:id="2986"/>
    </w:p>
    <w:p w:rsidR="00565FD5" w:rsidRPr="004439FC" w:rsidRDefault="00565FD5" w:rsidP="00565FD5">
      <w:pPr>
        <w:spacing w:after="160"/>
        <w:ind w:firstLine="425"/>
        <w:rPr>
          <w:szCs w:val="18"/>
        </w:rPr>
      </w:pPr>
      <w:bookmarkStart w:id="2987" w:name="_Toc276076539"/>
      <w:bookmarkStart w:id="2988" w:name="_Toc275873990"/>
      <w:bookmarkStart w:id="2989" w:name="_Toc275870477"/>
      <w:bookmarkStart w:id="2990" w:name="_Toc244418913"/>
      <w:r w:rsidRPr="004439FC">
        <w:rPr>
          <w:szCs w:val="18"/>
        </w:rPr>
        <w:t xml:space="preserve">Kırsal Kalkınma Planının uygulama, koordinasyon, izleme ve değerlendirme yapısının kurumlar arası işbirliği temelinde tesis edilmesi ve yönetilmesi amacına hizmet edecek mevzuat taslağı, Plan hazırlıklarında görev alan kurumların katkısıyla hazırlanmaktadır.  </w:t>
      </w:r>
    </w:p>
    <w:bookmarkEnd w:id="2987"/>
    <w:bookmarkEnd w:id="2988"/>
    <w:bookmarkEnd w:id="2989"/>
    <w:bookmarkEnd w:id="2990"/>
    <w:p w:rsidR="00565FD5" w:rsidRPr="004439FC" w:rsidRDefault="00565FD5" w:rsidP="00565FD5">
      <w:pPr>
        <w:spacing w:after="160"/>
        <w:ind w:firstLine="425"/>
        <w:rPr>
          <w:szCs w:val="18"/>
        </w:rPr>
      </w:pPr>
      <w:r w:rsidRPr="00A51D83">
        <w:rPr>
          <w:szCs w:val="18"/>
        </w:rPr>
        <w:t>Tarım sektörünün kırsal istihdam içindeki payı 2011 yılında oransal olarak düşüş gösterse de mutlak olarak artmıştır. Kırsal kesimde tarımsal istihdam 2010 yılında yüzde 62,9 iken 2011 yılında yüzde 62,3’e gerilemiştir. Bu dönemdeki mutlak artış ise yaklaşık 380 bin kişidir. Tarımın kırsal istihdam içindeki payının 2008 yılından itibaren tekrar artmaya başlamasında, kırsal kesimde tarım dışı istihdam olanaklarının yetersiz kalmasının payı bulunmaktadır. 2011 yılı itibarıyla kırsal kesimde yaklaşık halen 5,4 milyon kişinin istihdam edildiği tarım sektöründeki olası çözülmenin kırsal ve kentsel işgücü piyasaları üzerinde oluşturacağı işsizlik tehdidine karşı kırsal kalkınma politikaları çerçevesinde özel tedbirler alınması ihtiyacı devam etmektedir. Tarımdaki işgücü fazlasının kırsal kesimde tarım dışı sektörlere geçişini teşvik edecek desteklerin artırılması gerekmektedir.</w:t>
      </w:r>
    </w:p>
    <w:p w:rsidR="00565FD5" w:rsidRPr="004439FC" w:rsidRDefault="00565FD5" w:rsidP="00565FD5">
      <w:pPr>
        <w:spacing w:after="160"/>
        <w:ind w:firstLine="425"/>
        <w:rPr>
          <w:szCs w:val="18"/>
        </w:rPr>
      </w:pPr>
      <w:r w:rsidRPr="004439FC">
        <w:rPr>
          <w:szCs w:val="18"/>
        </w:rPr>
        <w:t>Ülkemizde kırsal kalkınmanın hızlandırılmasına katkı sağlayan projelerden; Sivas-Erzincan Kalkınma Projesi, Anadolu Su Havzaları Rehabilitasyon Projesi, Diyarbakır-Batman-Siirt Kalkınma Projesi, Doğu Karadeniz Bölgesinde Küçük Ölçekli Çiftçilerin Yaşam Koşullarının İyileştirilmesi Projesi, Çoruh Nehri Havza Rehabilitasyon Projesi, Ardahan-Kars-Artvin Kalkınma Projesi,  GAP Entegre Kırsal Kalkınma Projesi ile Kırsal Alanlarda Yöresel Doku ve Mimari Özelliklerin Belirlenmesi ve Yaygınlaştırılması Projesi gibi projelerin uygulamaları devam etmektedir.</w:t>
      </w:r>
    </w:p>
    <w:p w:rsidR="00565FD5" w:rsidRPr="004439FC" w:rsidRDefault="00565FD5" w:rsidP="00565FD5">
      <w:pPr>
        <w:spacing w:after="180"/>
        <w:ind w:firstLine="425"/>
        <w:rPr>
          <w:szCs w:val="18"/>
        </w:rPr>
      </w:pPr>
      <w:r w:rsidRPr="004439FC">
        <w:rPr>
          <w:szCs w:val="18"/>
        </w:rPr>
        <w:t xml:space="preserve">Kırsal Kalkınma Yatırımlarının Desteklenmesi Programı (KKYDP), IPARD Programı destekleri ve kalkınma ajansları başta olmak üzere tarım ve kırsal kalkınma mali destek programları sürdürülmektedir. </w:t>
      </w:r>
    </w:p>
    <w:p w:rsidR="00565FD5" w:rsidRPr="004439FC" w:rsidRDefault="00565FD5" w:rsidP="00565FD5">
      <w:pPr>
        <w:spacing w:after="180"/>
        <w:ind w:firstLine="425"/>
        <w:rPr>
          <w:szCs w:val="18"/>
        </w:rPr>
      </w:pPr>
      <w:r w:rsidRPr="004439FC">
        <w:rPr>
          <w:szCs w:val="18"/>
        </w:rPr>
        <w:t>Kır ve kent ayrımına esas teşkil eden 20 bin nüfus eşiği baz alındığında ADNKS sonuçlarına göre nüfusun 2010 yılında yüzde 29’u, 2011 yılında ise yüzde 28,2’si kırsal alanda yaşamaktadır. Şehir nüfusunun il ve ilçe merkezleri nüfusunu kapsadığı durumda ise nüfusun 2010 yılında yüzde 23,7’si, 2011 yılında ise yüzde 23,2’si kırsal alanda yaşamaktadır.</w:t>
      </w:r>
    </w:p>
    <w:p w:rsidR="00565FD5" w:rsidRPr="004439FC" w:rsidRDefault="00565FD5" w:rsidP="00565FD5">
      <w:pPr>
        <w:spacing w:after="180"/>
        <w:ind w:firstLine="425"/>
        <w:rPr>
          <w:szCs w:val="18"/>
        </w:rPr>
      </w:pPr>
      <w:r w:rsidRPr="004439FC">
        <w:rPr>
          <w:szCs w:val="18"/>
        </w:rPr>
        <w:lastRenderedPageBreak/>
        <w:t>İçişleri Bakanlığı verilerine göre, 2012 yılı Eylül ayı itibarıyla 34.386</w:t>
      </w:r>
      <w:r w:rsidRPr="004439FC" w:rsidDel="005C3F84">
        <w:rPr>
          <w:szCs w:val="18"/>
        </w:rPr>
        <w:t xml:space="preserve"> </w:t>
      </w:r>
      <w:r w:rsidRPr="004439FC">
        <w:rPr>
          <w:szCs w:val="18"/>
        </w:rPr>
        <w:t>köy, 47.215 köy bağlısı ve 1.975</w:t>
      </w:r>
      <w:r w:rsidRPr="004439FC" w:rsidDel="005C3F84">
        <w:rPr>
          <w:szCs w:val="18"/>
        </w:rPr>
        <w:t xml:space="preserve"> </w:t>
      </w:r>
      <w:r w:rsidRPr="004439FC">
        <w:rPr>
          <w:szCs w:val="18"/>
        </w:rPr>
        <w:t>köy belediyesi (belde) statüsünde yerleşim yeri bulunmaktadır.</w:t>
      </w:r>
    </w:p>
    <w:p w:rsidR="00565FD5" w:rsidRPr="004439FC" w:rsidRDefault="00565FD5" w:rsidP="00565FD5">
      <w:pPr>
        <w:spacing w:after="180"/>
        <w:ind w:firstLine="425"/>
        <w:rPr>
          <w:szCs w:val="18"/>
        </w:rPr>
      </w:pPr>
      <w:r w:rsidRPr="004439FC">
        <w:rPr>
          <w:szCs w:val="18"/>
        </w:rPr>
        <w:t xml:space="preserve">2005 yılında, İstanbul ve Kocaeli illeri hariç olmak üzere 79 ilde uygulamasına başlanan KÖYDES Projesine  2011 ve 2012 yıllarında 550’şer milyon TL tahsis edilmiştir. Bu kapsamda ülke genelinde köy yolu, köy içme suyu, küçük ölçekli sulama işleri ve atık su konularında alt yapı yatırımlarına destek sağlanmıştır. </w:t>
      </w:r>
    </w:p>
    <w:p w:rsidR="00565FD5" w:rsidRPr="004439FC" w:rsidRDefault="00565FD5" w:rsidP="00565FD5">
      <w:pPr>
        <w:spacing w:after="180"/>
        <w:ind w:firstLine="425"/>
        <w:rPr>
          <w:szCs w:val="18"/>
        </w:rPr>
      </w:pPr>
      <w:r w:rsidRPr="004439FC">
        <w:rPr>
          <w:szCs w:val="18"/>
        </w:rPr>
        <w:t>Geçmiş yıllarda terör olaylarının yoğun olarak yaşandığı illerde güvenlik kaygısıyla yaşadıkları yerleşim yerlerinden ayrılan ailelerden geri dönmek isteyenlerin geri dönüşlerinin sağlanmasına, dönülen yerleşim yerlerine sosyal ve ekonomik altyapı tesislerinin yapılmasına, dönmek istemeyenlerin ise halen yaşadıkları yerlerde geçimlerini sürdürebilmesine yönelik Köye Dönüş ve Rehabilitasyon Projesi (KDRP) kapsamındaki çalışmalar çerçevesinde ilgili valiliklerce teklif edilip İçişleri Bakanlığınca uygun bulunan 38 proje 2012 yılında programa alınmıştır.</w:t>
      </w:r>
    </w:p>
    <w:p w:rsidR="00565FD5" w:rsidRPr="004439FC" w:rsidRDefault="00565FD5" w:rsidP="00565FD5">
      <w:pPr>
        <w:spacing w:after="180"/>
        <w:ind w:firstLine="425"/>
        <w:rPr>
          <w:szCs w:val="18"/>
        </w:rPr>
      </w:pPr>
      <w:r w:rsidRPr="004439FC">
        <w:rPr>
          <w:szCs w:val="18"/>
        </w:rPr>
        <w:t xml:space="preserve">Katılım Öncesi Yardım Aracı Kırsal Kalkınma Bileşeni (IPARD) kapsamında Tarımsal İşletmelerin Yeniden Yapılandırılması ve Topluluk Standartlarına Ulaştırılmasına Yönelik Yatırımlar, Tarım ve Balıkçılık Ürünlerinin İşlenmesi ve Pazarlanmasının Yeniden Yapılandırılması ve Topluluk Standartlarına Ulaştırılmasına Yönelik Yatırımlar, Kırsal Ekonomik Faaliyetlerin Çeşitlendirilmesi ve Geliştirilmesini kapsayan birinci faz (2007-2009) tedbirlerinin uygulamasına 2011 yılının son çeyreği itibarıyla başlanmıştır. Bu tedbirler kurumsal yapılanmasını tamamlayıp AB’den </w:t>
      </w:r>
      <w:r w:rsidRPr="00A51D83">
        <w:rPr>
          <w:szCs w:val="18"/>
        </w:rPr>
        <w:t>yetki devri alabilen ilk 20 ilde</w:t>
      </w:r>
      <w:r w:rsidRPr="004439FC">
        <w:rPr>
          <w:szCs w:val="18"/>
        </w:rPr>
        <w:t xml:space="preserve"> (Afyon, Isparta, Çorum, Amasya, Samsun, Tokat, Konya, Sivas, Yozgat, Diyarbakır, Kahramanmaraş, Malatya, Şanlıurfa, Hatay, Balıkesir, Kars, Trabzon, Erzurum, Ordu, Van) uygulanmıştır. 2012 yılının son çeyreği itibarıyla toplam 7 proje başvuru çağrısına çıkılmış ve bu çağrılardan 5 tanesi sonuçlanmıştır. İlk 5 çağrıda 646 proje başvurusu alınmış olup yatırımı uygun bulunan 252 başvuru sahibi ile toplam destek miktarı yaklaşık 186 milyon TL olan hibe sözleşmesi imzalanmıştır. 6. başvuru çağrı ilanı kapsamında yapılan proje başvuruları inceleme aşamasında olup 7. başvuru çağrı ilanı süreci devam etmektedir. </w:t>
      </w:r>
    </w:p>
    <w:p w:rsidR="00565FD5" w:rsidRPr="004439FC" w:rsidRDefault="00565FD5" w:rsidP="00565FD5">
      <w:pPr>
        <w:spacing w:after="180"/>
        <w:ind w:firstLine="425"/>
        <w:rPr>
          <w:szCs w:val="18"/>
        </w:rPr>
      </w:pPr>
      <w:r w:rsidRPr="004439FC">
        <w:rPr>
          <w:szCs w:val="18"/>
        </w:rPr>
        <w:t xml:space="preserve">IPARD Programı kapsamında ikinci fazda (2010-2013) faaliyet gösterecek 22 il (Ağrı, Aksaray, Ankara, Ardahan, Aydın, Burdur, Bursa, Çanakkale, Çankırı, Denizli, Elazığ, Erzincan, Giresun, Karaman, Kastamonu, Kütahya, Manisa, Mardin, Mersin, Muş, Nevşehir ve Uşak) için fiziki alt yapı ve personel istihdamı süreci tamamlanmıştır. İkinci fazda ağırlıklı olarak tarım-çevre tedbirleri desteklenecektir. </w:t>
      </w:r>
    </w:p>
    <w:p w:rsidR="00565FD5" w:rsidRPr="004439FC" w:rsidRDefault="00565FD5" w:rsidP="00565FD5">
      <w:pPr>
        <w:pStyle w:val="Balk4"/>
      </w:pPr>
      <w:bookmarkStart w:id="2991" w:name="_Toc276076373"/>
      <w:bookmarkStart w:id="2992" w:name="_Toc244494715"/>
      <w:bookmarkStart w:id="2993" w:name="_Toc307602096"/>
      <w:bookmarkStart w:id="2994" w:name="_Toc307670533"/>
      <w:bookmarkStart w:id="2995" w:name="_Toc307701760"/>
      <w:bookmarkStart w:id="2996" w:name="_Toc338505663"/>
      <w:bookmarkStart w:id="2997" w:name="_Toc338523895"/>
      <w:bookmarkStart w:id="2998" w:name="_Toc338524126"/>
      <w:bookmarkStart w:id="2999" w:name="_Toc338526352"/>
      <w:bookmarkStart w:id="3000" w:name="_Toc338673795"/>
      <w:bookmarkStart w:id="3001" w:name="_Toc338711674"/>
      <w:r w:rsidRPr="004439FC">
        <w:t>2. Temel Amaç ve Hedefler</w:t>
      </w:r>
      <w:bookmarkEnd w:id="2991"/>
      <w:bookmarkEnd w:id="2992"/>
      <w:bookmarkEnd w:id="2993"/>
      <w:bookmarkEnd w:id="2994"/>
      <w:bookmarkEnd w:id="2995"/>
      <w:bookmarkEnd w:id="2996"/>
      <w:bookmarkEnd w:id="2997"/>
      <w:bookmarkEnd w:id="2998"/>
      <w:bookmarkEnd w:id="2999"/>
      <w:bookmarkEnd w:id="3000"/>
      <w:bookmarkEnd w:id="3001"/>
    </w:p>
    <w:p w:rsidR="00565FD5" w:rsidRPr="004439FC" w:rsidRDefault="00565FD5" w:rsidP="00565FD5">
      <w:pPr>
        <w:ind w:firstLine="425"/>
        <w:rPr>
          <w:szCs w:val="18"/>
        </w:rPr>
      </w:pPr>
      <w:r w:rsidRPr="004439FC">
        <w:rPr>
          <w:szCs w:val="18"/>
        </w:rPr>
        <w:t>Kırsal kalkınmada temel amaç yerel potansiyelin değerlendirilmesini, doğal ve kültürel varlıkların korunmasını esas alarak, kırsal toplumun iş ve yaşam koşullarının kentsel alanlarla uyumlu olarak yöresinde geliştirilmesi ve sürdürülebilir kılınmasıdır.</w:t>
      </w:r>
    </w:p>
    <w:p w:rsidR="00565FD5" w:rsidRPr="004439FC" w:rsidRDefault="00565FD5" w:rsidP="00565FD5">
      <w:pPr>
        <w:ind w:firstLine="425"/>
        <w:rPr>
          <w:szCs w:val="18"/>
        </w:rPr>
      </w:pPr>
      <w:r w:rsidRPr="004439FC">
        <w:rPr>
          <w:szCs w:val="18"/>
        </w:rPr>
        <w:t>Bu kapsamda, kırsal kalkınma politikaları; tarım sektöründeki yeniden yapılanma sürecinde ortaya çıkan işsizlik ve yoksulluk başta olmak üzere, göçten kaynaklanan sosyo-ekonomik olumsuzlukların azaltılması amacıyla tarım politikalarını tamamlayıcı bir şekilde uygulanacaktır.</w:t>
      </w:r>
    </w:p>
    <w:p w:rsidR="00565FD5" w:rsidRPr="004439FC" w:rsidRDefault="00565FD5" w:rsidP="00565FD5">
      <w:pPr>
        <w:ind w:firstLine="425"/>
        <w:rPr>
          <w:szCs w:val="18"/>
        </w:rPr>
      </w:pPr>
      <w:r w:rsidRPr="004439FC">
        <w:rPr>
          <w:szCs w:val="18"/>
        </w:rPr>
        <w:t>Kırsal nüfusun gelirlerinin çeşitlendirilmesi, istikrara kavuşturulması ve artırılmasına yönelik olarak; tarımsal işletmelerin rekabet güçlerinin artırılması, üretici örgütlenmelerinin güçlendirilmesi, toprak ve su kaynaklarının etkin kullanılması, tarım dışı ekonomik faaliyetlerin çeşitlendirilmesi ile yerel yönetimler ve birliklerin kırsal kalkınmadaki etkinliğinin artırılması sağlanacaktır.</w:t>
      </w:r>
    </w:p>
    <w:p w:rsidR="00565FD5" w:rsidRPr="004439FC" w:rsidRDefault="00565FD5" w:rsidP="00565FD5">
      <w:pPr>
        <w:ind w:firstLine="425"/>
        <w:rPr>
          <w:szCs w:val="18"/>
        </w:rPr>
      </w:pPr>
      <w:r w:rsidRPr="004439FC">
        <w:rPr>
          <w:szCs w:val="18"/>
        </w:rPr>
        <w:lastRenderedPageBreak/>
        <w:t>Kırsal kalkınma destekleme programlarının istihdam odaklı ve yerel yönetişimi güçlendirecek şekilde tasarlanması sağlanacak, destekleme programları arasında uyum ve tamamlayıcılık gözetilecek ve tarım havzalarına yönelik çalışmalar da dâhil olmak üzere uygulama ölçekleri bölgesel gelişme politikalarıyla uyumlu olarak belirlenecektir.</w:t>
      </w:r>
    </w:p>
    <w:p w:rsidR="00565FD5" w:rsidRPr="004439FC" w:rsidRDefault="00565FD5" w:rsidP="00565FD5">
      <w:pPr>
        <w:ind w:firstLine="425"/>
        <w:rPr>
          <w:szCs w:val="18"/>
        </w:rPr>
      </w:pPr>
      <w:r w:rsidRPr="004439FC">
        <w:rPr>
          <w:szCs w:val="18"/>
        </w:rPr>
        <w:t>IPARD Programının uygulanacağı illerde kalkınma ajansları ile diğer kuruluşların verdiği teknik ve mali desteklerin koordinasyonu gözetilecektir.</w:t>
      </w:r>
    </w:p>
    <w:p w:rsidR="00565FD5" w:rsidRPr="004439FC" w:rsidRDefault="00565FD5" w:rsidP="00565FD5">
      <w:pPr>
        <w:ind w:firstLine="425"/>
        <w:rPr>
          <w:szCs w:val="18"/>
        </w:rPr>
      </w:pPr>
      <w:r w:rsidRPr="004439FC">
        <w:rPr>
          <w:szCs w:val="18"/>
        </w:rPr>
        <w:t>Göçer aileler ile yerleri kamulaştırılan ailelerin iskânının sağlanmasına devam edilecektir. Toplu iskânda, hak sahipleriyle işbirliği yapılarak, yeni finansman modelleri aracılığıyla iskân hizmeti etkinleştirilecektir.</w:t>
      </w:r>
    </w:p>
    <w:p w:rsidR="00565FD5" w:rsidRDefault="00565FD5" w:rsidP="00565FD5">
      <w:pPr>
        <w:ind w:firstLine="425"/>
        <w:rPr>
          <w:szCs w:val="18"/>
        </w:rPr>
      </w:pPr>
      <w:r w:rsidRPr="004439FC">
        <w:rPr>
          <w:szCs w:val="18"/>
        </w:rPr>
        <w:t>Zorunlu nedenlerle yaşadıkları yerlerden ayrılan vatandaşlara yönelik olarak yürütülmekte olan KDRP kapsamındaki hak sahiplerinin kendi istekleri doğrultusunda eski veya yeni yerleşim yerlerinde refah seviyelerinin iyileştirilmesi çalışmalarına devam edilecektir.</w:t>
      </w:r>
    </w:p>
    <w:p w:rsidR="00565FD5" w:rsidRDefault="00565FD5" w:rsidP="00565FD5">
      <w:pPr>
        <w:ind w:firstLine="425"/>
        <w:rPr>
          <w:szCs w:val="18"/>
        </w:rPr>
      </w:pPr>
    </w:p>
    <w:p w:rsidR="00565FD5" w:rsidRPr="004439FC" w:rsidRDefault="00565FD5" w:rsidP="00565FD5">
      <w:pPr>
        <w:pStyle w:val="Balk4"/>
      </w:pPr>
      <w:bookmarkStart w:id="3002" w:name="_Toc276076374"/>
      <w:bookmarkStart w:id="3003" w:name="_Toc244494716"/>
      <w:bookmarkStart w:id="3004" w:name="_Toc307602097"/>
      <w:bookmarkStart w:id="3005" w:name="_Toc307670534"/>
      <w:bookmarkStart w:id="3006" w:name="_Toc307701761"/>
      <w:bookmarkStart w:id="3007" w:name="_Toc338505664"/>
      <w:bookmarkStart w:id="3008" w:name="_Toc338523896"/>
      <w:bookmarkStart w:id="3009" w:name="_Toc338524127"/>
      <w:bookmarkStart w:id="3010" w:name="_Toc338526353"/>
      <w:bookmarkStart w:id="3011" w:name="_Toc338673796"/>
      <w:bookmarkStart w:id="3012" w:name="_Toc338711675"/>
      <w:r w:rsidRPr="004439FC">
        <w:t>3. Politika Öncelikleri ve Tedbirler</w:t>
      </w:r>
      <w:bookmarkEnd w:id="3002"/>
      <w:bookmarkEnd w:id="3003"/>
      <w:bookmarkEnd w:id="3004"/>
      <w:bookmarkEnd w:id="3005"/>
      <w:bookmarkEnd w:id="3006"/>
      <w:bookmarkEnd w:id="3007"/>
      <w:bookmarkEnd w:id="3008"/>
      <w:bookmarkEnd w:id="3009"/>
      <w:bookmarkEnd w:id="3010"/>
      <w:bookmarkEnd w:id="3011"/>
      <w:bookmarkEnd w:id="3012"/>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9"/>
        <w:gridCol w:w="1746"/>
        <w:gridCol w:w="969"/>
        <w:gridCol w:w="2580"/>
      </w:tblGrid>
      <w:tr w:rsidR="00565FD5" w:rsidRPr="004439FC" w:rsidTr="00AB62A3">
        <w:trPr>
          <w:jc w:val="center"/>
        </w:trPr>
        <w:tc>
          <w:tcPr>
            <w:tcW w:w="1294" w:type="pct"/>
            <w:vAlign w:val="bottom"/>
          </w:tcPr>
          <w:p w:rsidR="00565FD5" w:rsidRPr="00B5107F" w:rsidRDefault="00565FD5" w:rsidP="00AB62A3">
            <w:pPr>
              <w:autoSpaceDE w:val="0"/>
              <w:autoSpaceDN w:val="0"/>
              <w:adjustRightInd w:val="0"/>
              <w:rPr>
                <w:rFonts w:cs="Tahoma"/>
                <w:b/>
                <w:bCs/>
                <w:sz w:val="16"/>
                <w:szCs w:val="16"/>
                <w:lang w:eastAsia="tr-TR"/>
              </w:rPr>
            </w:pPr>
            <w:r w:rsidRPr="00B5107F">
              <w:rPr>
                <w:rFonts w:cs="Tahoma"/>
                <w:b/>
                <w:bCs/>
                <w:sz w:val="16"/>
                <w:szCs w:val="16"/>
                <w:lang w:eastAsia="tr-TR"/>
              </w:rPr>
              <w:t>Öncelik / Tedbir</w:t>
            </w:r>
          </w:p>
        </w:tc>
        <w:tc>
          <w:tcPr>
            <w:tcW w:w="1222" w:type="pct"/>
            <w:vAlign w:val="bottom"/>
          </w:tcPr>
          <w:p w:rsidR="00565FD5" w:rsidRPr="00B5107F" w:rsidRDefault="00565FD5" w:rsidP="00AB62A3">
            <w:pPr>
              <w:autoSpaceDE w:val="0"/>
              <w:autoSpaceDN w:val="0"/>
              <w:adjustRightInd w:val="0"/>
              <w:rPr>
                <w:rFonts w:cs="Tahoma"/>
                <w:b/>
                <w:bCs/>
                <w:sz w:val="16"/>
                <w:szCs w:val="16"/>
                <w:lang w:eastAsia="tr-TR"/>
              </w:rPr>
            </w:pPr>
            <w:r w:rsidRPr="00B5107F">
              <w:rPr>
                <w:rFonts w:cs="Tahoma"/>
                <w:b/>
                <w:bCs/>
                <w:sz w:val="16"/>
                <w:szCs w:val="16"/>
                <w:lang w:eastAsia="tr-TR"/>
              </w:rPr>
              <w:t>Sorumlu / İşbirliği Yapılacak Kuruluşlar</w:t>
            </w:r>
          </w:p>
        </w:tc>
        <w:tc>
          <w:tcPr>
            <w:tcW w:w="678" w:type="pct"/>
            <w:vAlign w:val="bottom"/>
          </w:tcPr>
          <w:p w:rsidR="00565FD5" w:rsidRPr="00B5107F" w:rsidRDefault="00565FD5" w:rsidP="00AB62A3">
            <w:pPr>
              <w:autoSpaceDE w:val="0"/>
              <w:autoSpaceDN w:val="0"/>
              <w:adjustRightInd w:val="0"/>
              <w:rPr>
                <w:rFonts w:cs="Tahoma"/>
                <w:b/>
                <w:bCs/>
                <w:sz w:val="16"/>
                <w:szCs w:val="16"/>
                <w:lang w:eastAsia="tr-TR"/>
              </w:rPr>
            </w:pPr>
            <w:r w:rsidRPr="00B5107F">
              <w:rPr>
                <w:rFonts w:cs="Tahoma"/>
                <w:b/>
                <w:bCs/>
                <w:sz w:val="16"/>
                <w:szCs w:val="16"/>
                <w:lang w:eastAsia="tr-TR"/>
              </w:rPr>
              <w:t xml:space="preserve">Süre </w:t>
            </w:r>
          </w:p>
        </w:tc>
        <w:tc>
          <w:tcPr>
            <w:tcW w:w="1806" w:type="pct"/>
            <w:vAlign w:val="bottom"/>
          </w:tcPr>
          <w:p w:rsidR="00565FD5" w:rsidRPr="00B5107F" w:rsidRDefault="00565FD5" w:rsidP="00AB62A3">
            <w:pPr>
              <w:autoSpaceDE w:val="0"/>
              <w:autoSpaceDN w:val="0"/>
              <w:adjustRightInd w:val="0"/>
              <w:rPr>
                <w:rFonts w:cs="Tahoma"/>
                <w:b/>
                <w:bCs/>
                <w:sz w:val="16"/>
                <w:szCs w:val="16"/>
                <w:lang w:eastAsia="tr-TR"/>
              </w:rPr>
            </w:pPr>
            <w:r w:rsidRPr="00B5107F">
              <w:rPr>
                <w:rFonts w:cs="Tahoma"/>
                <w:b/>
                <w:bCs/>
                <w:sz w:val="16"/>
                <w:szCs w:val="16"/>
                <w:lang w:eastAsia="tr-TR"/>
              </w:rPr>
              <w:t>Yapılacak İşlem ve Açıklama</w:t>
            </w:r>
          </w:p>
        </w:tc>
      </w:tr>
      <w:tr w:rsidR="00565FD5" w:rsidRPr="004439FC" w:rsidTr="00AB62A3">
        <w:trPr>
          <w:jc w:val="center"/>
        </w:trPr>
        <w:tc>
          <w:tcPr>
            <w:tcW w:w="5000" w:type="pct"/>
            <w:gridSpan w:val="4"/>
          </w:tcPr>
          <w:p w:rsidR="00565FD5" w:rsidRPr="00B5107F" w:rsidRDefault="00565FD5" w:rsidP="00EB1E69">
            <w:pPr>
              <w:numPr>
                <w:ilvl w:val="0"/>
                <w:numId w:val="15"/>
              </w:numPr>
              <w:tabs>
                <w:tab w:val="left" w:pos="425"/>
              </w:tabs>
              <w:spacing w:after="0" w:line="240" w:lineRule="auto"/>
              <w:jc w:val="both"/>
              <w:rPr>
                <w:rFonts w:cs="Tahoma"/>
                <w:sz w:val="16"/>
                <w:szCs w:val="16"/>
                <w:lang w:eastAsia="tr-TR"/>
              </w:rPr>
            </w:pPr>
            <w:r w:rsidRPr="00B5107F">
              <w:rPr>
                <w:rFonts w:cs="Tahoma"/>
                <w:b/>
                <w:bCs/>
                <w:sz w:val="16"/>
                <w:szCs w:val="16"/>
                <w:lang w:eastAsia="tr-TR"/>
              </w:rPr>
              <w:t>Kırsal kalkınmaya yönelik uygulamaların Kırsal Kalkınma Planı (2010-2013) ile uyumlu olması sağlanacak ve tahsis edilecek kamu kaynaklarının etkinliğini artırmak amacıyla gerekli yasal ve kurumsal altyapı kırsal kesimde yaşanan dönüşüme ve ihtiyaçlara uygun olarak belirlenecektir.</w:t>
            </w:r>
          </w:p>
        </w:tc>
      </w:tr>
      <w:tr w:rsidR="00565FD5" w:rsidRPr="004439FC" w:rsidTr="00AB62A3">
        <w:trPr>
          <w:jc w:val="center"/>
        </w:trPr>
        <w:tc>
          <w:tcPr>
            <w:tcW w:w="1294" w:type="pct"/>
          </w:tcPr>
          <w:p w:rsidR="00565FD5" w:rsidRPr="00B5107F" w:rsidRDefault="00565FD5" w:rsidP="00EB1E69">
            <w:pPr>
              <w:numPr>
                <w:ilvl w:val="0"/>
                <w:numId w:val="14"/>
              </w:numPr>
              <w:tabs>
                <w:tab w:val="left" w:pos="425"/>
              </w:tabs>
              <w:autoSpaceDE w:val="0"/>
              <w:autoSpaceDN w:val="0"/>
              <w:adjustRightInd w:val="0"/>
              <w:spacing w:before="40" w:after="40" w:line="240" w:lineRule="auto"/>
              <w:rPr>
                <w:rFonts w:cs="Tahoma"/>
                <w:bCs/>
                <w:sz w:val="16"/>
                <w:szCs w:val="16"/>
                <w:lang w:eastAsia="tr-TR"/>
              </w:rPr>
            </w:pPr>
            <w:r w:rsidRPr="00B5107F">
              <w:rPr>
                <w:rFonts w:cs="Tahoma"/>
                <w:bCs/>
                <w:sz w:val="16"/>
                <w:szCs w:val="16"/>
                <w:lang w:eastAsia="tr-TR"/>
              </w:rPr>
              <w:t>Kırsal Kalkınma Planının uygulanması, koordinasyonu, izlenmesi ve değerlendirilmesine ilişkin yapılar oluşturulacaktır.</w:t>
            </w:r>
          </w:p>
        </w:tc>
        <w:tc>
          <w:tcPr>
            <w:tcW w:w="1222" w:type="pct"/>
          </w:tcPr>
          <w:p w:rsidR="00565FD5" w:rsidRPr="00B5107F" w:rsidRDefault="00565FD5" w:rsidP="00AB62A3">
            <w:pPr>
              <w:autoSpaceDE w:val="0"/>
              <w:autoSpaceDN w:val="0"/>
              <w:adjustRightInd w:val="0"/>
              <w:spacing w:before="40" w:after="40"/>
              <w:rPr>
                <w:rFonts w:cs="Tahoma"/>
                <w:bCs/>
                <w:sz w:val="16"/>
                <w:szCs w:val="16"/>
                <w:lang w:eastAsia="tr-TR"/>
              </w:rPr>
            </w:pPr>
            <w:r w:rsidRPr="00B5107F">
              <w:rPr>
                <w:rFonts w:cs="Tahoma"/>
                <w:bCs/>
                <w:sz w:val="16"/>
                <w:szCs w:val="16"/>
                <w:lang w:eastAsia="tr-TR"/>
              </w:rPr>
              <w:t>Gıda, Tarım ve Hayvancılık Bakanlığı (S), Çevre ve Şehircilik Bakanlığı, Orman ve Su İşleri Bakanlığı, Kalkınma Bakanlığı, Aile ve Sosyal Politikalar Bakanlığı, TÜİK, Kalkınma Ajansları, STK’lar, Yerel Yönetimler</w:t>
            </w:r>
          </w:p>
        </w:tc>
        <w:tc>
          <w:tcPr>
            <w:tcW w:w="678" w:type="pct"/>
          </w:tcPr>
          <w:p w:rsidR="00565FD5" w:rsidRPr="00B5107F" w:rsidRDefault="00565FD5" w:rsidP="00AB62A3">
            <w:pPr>
              <w:autoSpaceDE w:val="0"/>
              <w:autoSpaceDN w:val="0"/>
              <w:adjustRightInd w:val="0"/>
              <w:spacing w:before="40" w:after="40"/>
              <w:rPr>
                <w:rFonts w:cs="Tahoma"/>
                <w:bCs/>
                <w:sz w:val="16"/>
                <w:szCs w:val="16"/>
                <w:lang w:eastAsia="tr-TR"/>
              </w:rPr>
            </w:pPr>
            <w:r w:rsidRPr="00B5107F">
              <w:rPr>
                <w:rFonts w:cs="Tahoma"/>
                <w:bCs/>
                <w:sz w:val="16"/>
                <w:szCs w:val="16"/>
                <w:lang w:eastAsia="tr-TR"/>
              </w:rPr>
              <w:t>Aralık Sonu</w:t>
            </w:r>
          </w:p>
        </w:tc>
        <w:tc>
          <w:tcPr>
            <w:tcW w:w="1806" w:type="pct"/>
          </w:tcPr>
          <w:p w:rsidR="00565FD5" w:rsidRPr="00B5107F" w:rsidRDefault="00565FD5" w:rsidP="00AB62A3">
            <w:pPr>
              <w:autoSpaceDE w:val="0"/>
              <w:autoSpaceDN w:val="0"/>
              <w:adjustRightInd w:val="0"/>
              <w:spacing w:before="40" w:after="40"/>
              <w:rPr>
                <w:rFonts w:cs="Tahoma"/>
                <w:bCs/>
                <w:sz w:val="16"/>
                <w:szCs w:val="16"/>
                <w:lang w:eastAsia="tr-TR"/>
              </w:rPr>
            </w:pPr>
            <w:r w:rsidRPr="00B5107F">
              <w:rPr>
                <w:rFonts w:cs="Tahoma"/>
                <w:bCs/>
                <w:sz w:val="16"/>
                <w:szCs w:val="16"/>
                <w:lang w:eastAsia="tr-TR"/>
              </w:rPr>
              <w:t>Kırsal Kalkınma Planında belirtilen temel çerçeve ile uyumlu olarak Planın izleme ve değerlendirme yapısının esas ve usullerini düzenlemek üzere hazırlanan taslak rehber ilgili kurumların işbirliğiyle sonuçlandırılacaktır. Rehber çerçevesinde derlenecek Plan izleme göstergelerinin Resmi İstatistik Programına uyumu ve entegrasyonu sağlanacaktır.</w:t>
            </w:r>
          </w:p>
        </w:tc>
      </w:tr>
      <w:tr w:rsidR="00565FD5" w:rsidRPr="004439FC" w:rsidTr="00AB62A3">
        <w:trPr>
          <w:jc w:val="center"/>
        </w:trPr>
        <w:tc>
          <w:tcPr>
            <w:tcW w:w="1294" w:type="pct"/>
          </w:tcPr>
          <w:p w:rsidR="00565FD5" w:rsidRPr="00B5107F" w:rsidRDefault="00565FD5" w:rsidP="00EB1E69">
            <w:pPr>
              <w:numPr>
                <w:ilvl w:val="0"/>
                <w:numId w:val="14"/>
              </w:numPr>
              <w:tabs>
                <w:tab w:val="left" w:pos="425"/>
              </w:tabs>
              <w:autoSpaceDE w:val="0"/>
              <w:autoSpaceDN w:val="0"/>
              <w:adjustRightInd w:val="0"/>
              <w:spacing w:before="40" w:after="40" w:line="240" w:lineRule="auto"/>
              <w:ind w:left="34"/>
              <w:rPr>
                <w:rFonts w:cs="Tahoma"/>
                <w:bCs/>
                <w:sz w:val="16"/>
                <w:szCs w:val="16"/>
                <w:lang w:eastAsia="tr-TR"/>
              </w:rPr>
            </w:pPr>
            <w:r w:rsidRPr="00B5107F">
              <w:rPr>
                <w:rFonts w:cs="Tahoma"/>
                <w:bCs/>
                <w:sz w:val="16"/>
                <w:szCs w:val="16"/>
                <w:lang w:eastAsia="tr-TR"/>
              </w:rPr>
              <w:t xml:space="preserve">Köy Kanununun yenilenmesine yönelik tasarı hazırlanarak TBMM’ye sevk edilecektir. </w:t>
            </w:r>
          </w:p>
        </w:tc>
        <w:tc>
          <w:tcPr>
            <w:tcW w:w="1222" w:type="pct"/>
          </w:tcPr>
          <w:p w:rsidR="00565FD5" w:rsidRPr="00B5107F" w:rsidRDefault="00565FD5" w:rsidP="00AB62A3">
            <w:pPr>
              <w:autoSpaceDE w:val="0"/>
              <w:autoSpaceDN w:val="0"/>
              <w:adjustRightInd w:val="0"/>
              <w:spacing w:before="40" w:after="40"/>
              <w:rPr>
                <w:rFonts w:cs="Tahoma"/>
                <w:bCs/>
                <w:sz w:val="16"/>
                <w:szCs w:val="16"/>
                <w:lang w:eastAsia="tr-TR"/>
              </w:rPr>
            </w:pPr>
            <w:r w:rsidRPr="00B5107F">
              <w:rPr>
                <w:rFonts w:cs="Tahoma"/>
                <w:bCs/>
                <w:sz w:val="16"/>
                <w:szCs w:val="16"/>
                <w:lang w:eastAsia="tr-TR"/>
              </w:rPr>
              <w:t>İçişleri Bakanlığı (S), Kalkınma Bakanlığı, Maliye Bakanlığı, Gıda, Tarım ve Hayvancılık Bakanlığı, Çevre ve Şehircilik Bakanlığı, Yerel Yönetimler</w:t>
            </w:r>
          </w:p>
        </w:tc>
        <w:tc>
          <w:tcPr>
            <w:tcW w:w="678" w:type="pct"/>
          </w:tcPr>
          <w:p w:rsidR="00565FD5" w:rsidRPr="00B5107F" w:rsidRDefault="00565FD5" w:rsidP="00AB62A3">
            <w:pPr>
              <w:autoSpaceDE w:val="0"/>
              <w:autoSpaceDN w:val="0"/>
              <w:adjustRightInd w:val="0"/>
              <w:spacing w:before="40" w:after="40"/>
              <w:rPr>
                <w:rFonts w:cs="Tahoma"/>
                <w:bCs/>
                <w:sz w:val="16"/>
                <w:szCs w:val="16"/>
                <w:lang w:eastAsia="tr-TR"/>
              </w:rPr>
            </w:pPr>
            <w:r w:rsidRPr="00B5107F">
              <w:rPr>
                <w:rFonts w:cs="Tahoma"/>
                <w:bCs/>
                <w:sz w:val="16"/>
                <w:szCs w:val="16"/>
                <w:lang w:eastAsia="tr-TR"/>
              </w:rPr>
              <w:t>Aralık Sonu</w:t>
            </w:r>
          </w:p>
        </w:tc>
        <w:tc>
          <w:tcPr>
            <w:tcW w:w="1806" w:type="pct"/>
          </w:tcPr>
          <w:p w:rsidR="00565FD5" w:rsidRPr="00B5107F" w:rsidRDefault="00565FD5" w:rsidP="00AB62A3">
            <w:pPr>
              <w:autoSpaceDE w:val="0"/>
              <w:autoSpaceDN w:val="0"/>
              <w:adjustRightInd w:val="0"/>
              <w:spacing w:before="40" w:after="40"/>
              <w:rPr>
                <w:rFonts w:cs="Tahoma"/>
                <w:bCs/>
                <w:sz w:val="16"/>
                <w:szCs w:val="16"/>
                <w:lang w:eastAsia="tr-TR"/>
              </w:rPr>
            </w:pPr>
            <w:r w:rsidRPr="00B5107F">
              <w:rPr>
                <w:rFonts w:cs="Tahoma"/>
                <w:bCs/>
                <w:sz w:val="16"/>
                <w:szCs w:val="16"/>
                <w:lang w:eastAsia="tr-TR"/>
              </w:rPr>
              <w:t>Köylerin yönetimi ve statüsü ile ilgili gelişmeler ışığında ilgili kesimlerin de katkısıyla Köy Kanununun yenilenmesi çalışmaları tamamlanacaktır.</w:t>
            </w:r>
          </w:p>
        </w:tc>
      </w:tr>
      <w:tr w:rsidR="00565FD5" w:rsidRPr="004439FC" w:rsidTr="00AB62A3">
        <w:trPr>
          <w:jc w:val="center"/>
        </w:trPr>
        <w:tc>
          <w:tcPr>
            <w:tcW w:w="5000" w:type="pct"/>
            <w:gridSpan w:val="4"/>
          </w:tcPr>
          <w:p w:rsidR="00565FD5" w:rsidRPr="00B5107F" w:rsidRDefault="00565FD5" w:rsidP="00EB1E69">
            <w:pPr>
              <w:numPr>
                <w:ilvl w:val="0"/>
                <w:numId w:val="15"/>
              </w:numPr>
              <w:tabs>
                <w:tab w:val="left" w:pos="425"/>
              </w:tabs>
              <w:spacing w:before="40" w:after="40" w:line="240" w:lineRule="auto"/>
              <w:jc w:val="both"/>
              <w:rPr>
                <w:rFonts w:cs="Tahoma"/>
                <w:sz w:val="16"/>
                <w:szCs w:val="16"/>
                <w:lang w:eastAsia="tr-TR"/>
              </w:rPr>
            </w:pPr>
            <w:r w:rsidRPr="00B5107F">
              <w:rPr>
                <w:rFonts w:cs="Tahoma"/>
                <w:b/>
                <w:bCs/>
                <w:sz w:val="16"/>
                <w:szCs w:val="16"/>
                <w:lang w:eastAsia="tr-TR"/>
              </w:rPr>
              <w:t>IPARD Programının (2007-2013) programlama ve uygulama süreçlerinin etkinliği artırılacaktır.</w:t>
            </w:r>
          </w:p>
        </w:tc>
      </w:tr>
      <w:tr w:rsidR="00565FD5" w:rsidRPr="004439FC" w:rsidTr="00AB62A3">
        <w:trPr>
          <w:jc w:val="center"/>
        </w:trPr>
        <w:tc>
          <w:tcPr>
            <w:tcW w:w="1294" w:type="pct"/>
          </w:tcPr>
          <w:p w:rsidR="00565FD5" w:rsidRPr="00B5107F" w:rsidRDefault="00565FD5" w:rsidP="00EB1E69">
            <w:pPr>
              <w:numPr>
                <w:ilvl w:val="0"/>
                <w:numId w:val="14"/>
              </w:numPr>
              <w:tabs>
                <w:tab w:val="left" w:pos="425"/>
              </w:tabs>
              <w:autoSpaceDE w:val="0"/>
              <w:autoSpaceDN w:val="0"/>
              <w:adjustRightInd w:val="0"/>
              <w:spacing w:before="40" w:after="40" w:line="240" w:lineRule="auto"/>
              <w:ind w:left="34"/>
              <w:rPr>
                <w:rFonts w:cs="Tahoma"/>
                <w:bCs/>
                <w:sz w:val="16"/>
                <w:szCs w:val="16"/>
                <w:lang w:eastAsia="tr-TR"/>
              </w:rPr>
            </w:pPr>
            <w:r w:rsidRPr="00B5107F">
              <w:rPr>
                <w:rFonts w:cs="Tahoma"/>
                <w:bCs/>
                <w:sz w:val="16"/>
                <w:szCs w:val="16"/>
                <w:lang w:eastAsia="tr-TR"/>
              </w:rPr>
              <w:t>IPARD Programı çerçevesinde merkez, belirlenen il koordinatörlükleri ve tedbirlerde ulusal akreditasyon ve yetki devri alınacak ve sürekliliği sağlanacaktır.</w:t>
            </w:r>
          </w:p>
        </w:tc>
        <w:tc>
          <w:tcPr>
            <w:tcW w:w="1222" w:type="pct"/>
          </w:tcPr>
          <w:p w:rsidR="00565FD5" w:rsidRPr="00B5107F" w:rsidRDefault="00565FD5" w:rsidP="00AB62A3">
            <w:pPr>
              <w:spacing w:before="40" w:after="40"/>
              <w:rPr>
                <w:rFonts w:cs="Tahoma"/>
                <w:bCs/>
                <w:sz w:val="16"/>
                <w:szCs w:val="16"/>
                <w:lang w:eastAsia="tr-TR"/>
              </w:rPr>
            </w:pPr>
            <w:r w:rsidRPr="00B5107F">
              <w:rPr>
                <w:rFonts w:cs="Tahoma"/>
                <w:bCs/>
                <w:sz w:val="16"/>
                <w:szCs w:val="16"/>
                <w:lang w:eastAsia="tr-TR"/>
              </w:rPr>
              <w:t>TKDK (S), Gıda Tarım ve Hayvancılık Bakanlığı, Hazine Müsteşarlığı</w:t>
            </w:r>
          </w:p>
        </w:tc>
        <w:tc>
          <w:tcPr>
            <w:tcW w:w="678" w:type="pct"/>
          </w:tcPr>
          <w:p w:rsidR="00565FD5" w:rsidRPr="00B5107F" w:rsidRDefault="00565FD5" w:rsidP="00AB62A3">
            <w:pPr>
              <w:spacing w:before="40" w:after="40"/>
              <w:rPr>
                <w:rFonts w:cs="Tahoma"/>
                <w:bCs/>
                <w:sz w:val="16"/>
                <w:szCs w:val="16"/>
                <w:lang w:eastAsia="tr-TR"/>
              </w:rPr>
            </w:pPr>
            <w:r w:rsidRPr="00B5107F">
              <w:rPr>
                <w:rFonts w:cs="Tahoma"/>
                <w:bCs/>
                <w:sz w:val="16"/>
                <w:szCs w:val="16"/>
                <w:lang w:eastAsia="tr-TR"/>
              </w:rPr>
              <w:t>Aralık Sonu</w:t>
            </w:r>
          </w:p>
        </w:tc>
        <w:tc>
          <w:tcPr>
            <w:tcW w:w="1806" w:type="pct"/>
          </w:tcPr>
          <w:p w:rsidR="00565FD5" w:rsidRPr="00B5107F" w:rsidRDefault="00565FD5" w:rsidP="00AB62A3">
            <w:pPr>
              <w:spacing w:before="40" w:after="40"/>
              <w:rPr>
                <w:rFonts w:cs="Tahoma"/>
                <w:bCs/>
                <w:sz w:val="16"/>
                <w:szCs w:val="16"/>
                <w:lang w:eastAsia="tr-TR"/>
              </w:rPr>
            </w:pPr>
            <w:r w:rsidRPr="00B5107F">
              <w:rPr>
                <w:rFonts w:cs="Tahoma"/>
                <w:bCs/>
                <w:sz w:val="16"/>
                <w:szCs w:val="16"/>
                <w:lang w:eastAsia="tr-TR"/>
              </w:rPr>
              <w:t>Denetim faaliyetleri, eğitim faaliyetleri ve kurumsal sürecin tamamlanması için gerekli çalışmalar devam edecektir.</w:t>
            </w:r>
          </w:p>
        </w:tc>
      </w:tr>
      <w:tr w:rsidR="00565FD5" w:rsidRPr="004439FC" w:rsidTr="00AB62A3">
        <w:trPr>
          <w:jc w:val="center"/>
        </w:trPr>
        <w:tc>
          <w:tcPr>
            <w:tcW w:w="5000" w:type="pct"/>
            <w:gridSpan w:val="4"/>
          </w:tcPr>
          <w:p w:rsidR="00565FD5" w:rsidRPr="00B5107F" w:rsidRDefault="00565FD5" w:rsidP="00EB1E69">
            <w:pPr>
              <w:numPr>
                <w:ilvl w:val="0"/>
                <w:numId w:val="15"/>
              </w:numPr>
              <w:tabs>
                <w:tab w:val="left" w:pos="425"/>
              </w:tabs>
              <w:spacing w:before="40" w:after="40" w:line="240" w:lineRule="auto"/>
              <w:jc w:val="both"/>
              <w:rPr>
                <w:rFonts w:cs="Tahoma"/>
                <w:bCs/>
                <w:sz w:val="16"/>
                <w:szCs w:val="16"/>
                <w:lang w:eastAsia="tr-TR"/>
              </w:rPr>
            </w:pPr>
            <w:r w:rsidRPr="00B5107F">
              <w:rPr>
                <w:rFonts w:cs="Tahoma"/>
                <w:b/>
                <w:bCs/>
                <w:sz w:val="16"/>
                <w:szCs w:val="16"/>
                <w:lang w:eastAsia="tr-TR"/>
              </w:rPr>
              <w:t>Kırsal alanda yerleşme ve yapılaşmaya ilişkin mevzuat çalışmaları tamamlanacak ve uygulama projeleri hayata geçirilecektir.</w:t>
            </w:r>
          </w:p>
        </w:tc>
      </w:tr>
      <w:tr w:rsidR="00565FD5" w:rsidRPr="004439FC" w:rsidTr="00AB62A3">
        <w:trPr>
          <w:jc w:val="center"/>
        </w:trPr>
        <w:tc>
          <w:tcPr>
            <w:tcW w:w="1294" w:type="pct"/>
          </w:tcPr>
          <w:p w:rsidR="00565FD5" w:rsidRPr="00B5107F" w:rsidRDefault="00565FD5" w:rsidP="00EB1E69">
            <w:pPr>
              <w:numPr>
                <w:ilvl w:val="0"/>
                <w:numId w:val="14"/>
              </w:numPr>
              <w:tabs>
                <w:tab w:val="left" w:pos="425"/>
              </w:tabs>
              <w:autoSpaceDE w:val="0"/>
              <w:autoSpaceDN w:val="0"/>
              <w:adjustRightInd w:val="0"/>
              <w:spacing w:before="40" w:after="40" w:line="240" w:lineRule="auto"/>
              <w:ind w:left="34"/>
              <w:rPr>
                <w:rFonts w:cs="Tahoma"/>
                <w:bCs/>
                <w:sz w:val="16"/>
                <w:szCs w:val="16"/>
                <w:lang w:eastAsia="tr-TR"/>
              </w:rPr>
            </w:pPr>
            <w:r w:rsidRPr="00B5107F">
              <w:rPr>
                <w:rFonts w:cs="Tahoma"/>
                <w:bCs/>
                <w:sz w:val="16"/>
                <w:szCs w:val="16"/>
                <w:lang w:eastAsia="tr-TR"/>
              </w:rPr>
              <w:t xml:space="preserve">Kırsal alanlarda yöresel doku </w:t>
            </w:r>
            <w:r w:rsidRPr="00B5107F">
              <w:rPr>
                <w:rFonts w:cs="Tahoma"/>
                <w:bCs/>
                <w:sz w:val="16"/>
                <w:szCs w:val="16"/>
                <w:lang w:eastAsia="tr-TR"/>
              </w:rPr>
              <w:lastRenderedPageBreak/>
              <w:t>ve mimari özelliklere uygun yapılaşma çalışmaları yaygınlaştırılacaktır.</w:t>
            </w:r>
          </w:p>
        </w:tc>
        <w:tc>
          <w:tcPr>
            <w:tcW w:w="1222" w:type="pct"/>
          </w:tcPr>
          <w:p w:rsidR="00565FD5" w:rsidRPr="00B5107F" w:rsidRDefault="00565FD5" w:rsidP="00AB62A3">
            <w:pPr>
              <w:autoSpaceDE w:val="0"/>
              <w:autoSpaceDN w:val="0"/>
              <w:adjustRightInd w:val="0"/>
              <w:spacing w:before="40" w:after="40"/>
              <w:rPr>
                <w:rFonts w:cs="Tahoma"/>
                <w:bCs/>
                <w:sz w:val="16"/>
                <w:szCs w:val="16"/>
                <w:lang w:eastAsia="tr-TR"/>
              </w:rPr>
            </w:pPr>
            <w:r w:rsidRPr="00B5107F">
              <w:rPr>
                <w:rFonts w:cs="Tahoma"/>
                <w:bCs/>
                <w:sz w:val="16"/>
                <w:szCs w:val="16"/>
                <w:lang w:eastAsia="tr-TR"/>
              </w:rPr>
              <w:lastRenderedPageBreak/>
              <w:t xml:space="preserve">Çevre ve Şehircilik Bakanlığı (S), İçişleri </w:t>
            </w:r>
            <w:r w:rsidRPr="00B5107F">
              <w:rPr>
                <w:rFonts w:cs="Tahoma"/>
                <w:bCs/>
                <w:sz w:val="16"/>
                <w:szCs w:val="16"/>
                <w:lang w:eastAsia="tr-TR"/>
              </w:rPr>
              <w:lastRenderedPageBreak/>
              <w:t>Bakanlığı,  Kalkınma Bakanlığı, Üniversiteler, İl Özel İdareleri, Belediyeler, STK’lar</w:t>
            </w:r>
          </w:p>
        </w:tc>
        <w:tc>
          <w:tcPr>
            <w:tcW w:w="678" w:type="pct"/>
          </w:tcPr>
          <w:p w:rsidR="00565FD5" w:rsidRPr="00B5107F" w:rsidRDefault="00565FD5" w:rsidP="00AB62A3">
            <w:pPr>
              <w:autoSpaceDE w:val="0"/>
              <w:autoSpaceDN w:val="0"/>
              <w:adjustRightInd w:val="0"/>
              <w:spacing w:before="40" w:after="40"/>
              <w:rPr>
                <w:rFonts w:cs="Tahoma"/>
                <w:bCs/>
                <w:sz w:val="16"/>
                <w:szCs w:val="16"/>
                <w:lang w:eastAsia="tr-TR"/>
              </w:rPr>
            </w:pPr>
            <w:r w:rsidRPr="00B5107F">
              <w:rPr>
                <w:rFonts w:cs="Tahoma"/>
                <w:bCs/>
                <w:sz w:val="16"/>
                <w:szCs w:val="16"/>
                <w:lang w:eastAsia="tr-TR"/>
              </w:rPr>
              <w:lastRenderedPageBreak/>
              <w:t>Aralık Sonu</w:t>
            </w:r>
          </w:p>
        </w:tc>
        <w:tc>
          <w:tcPr>
            <w:tcW w:w="1806" w:type="pct"/>
          </w:tcPr>
          <w:p w:rsidR="00565FD5" w:rsidRPr="00B5107F" w:rsidRDefault="00565FD5" w:rsidP="00AB62A3">
            <w:pPr>
              <w:autoSpaceDE w:val="0"/>
              <w:autoSpaceDN w:val="0"/>
              <w:adjustRightInd w:val="0"/>
              <w:spacing w:before="40" w:after="40"/>
              <w:rPr>
                <w:rFonts w:cs="Tahoma"/>
                <w:bCs/>
                <w:sz w:val="16"/>
                <w:szCs w:val="16"/>
                <w:lang w:eastAsia="tr-TR"/>
              </w:rPr>
            </w:pPr>
            <w:r w:rsidRPr="00B5107F">
              <w:rPr>
                <w:rFonts w:cs="Tahoma"/>
                <w:bCs/>
                <w:sz w:val="16"/>
                <w:szCs w:val="16"/>
                <w:lang w:eastAsia="tr-TR"/>
              </w:rPr>
              <w:t xml:space="preserve">Yöresel doku ve mimari özelliklere uygun yapılaşma, pilot olarak </w:t>
            </w:r>
            <w:r w:rsidRPr="00B5107F">
              <w:rPr>
                <w:rFonts w:cs="Tahoma"/>
                <w:bCs/>
                <w:sz w:val="16"/>
                <w:szCs w:val="16"/>
                <w:lang w:eastAsia="tr-TR"/>
              </w:rPr>
              <w:lastRenderedPageBreak/>
              <w:t>yürütülen çalışmalardan edinilen tecrübelere bağlı olarak deprem kuşağında yer alan ve yapılaşma baskısının yoğun olduğu illere öncelik verilerek yurt sathına yaygınlaştırılacaktır.</w:t>
            </w:r>
          </w:p>
        </w:tc>
      </w:tr>
      <w:tr w:rsidR="00565FD5" w:rsidRPr="004439FC" w:rsidTr="00AB62A3">
        <w:trPr>
          <w:jc w:val="center"/>
        </w:trPr>
        <w:tc>
          <w:tcPr>
            <w:tcW w:w="1294" w:type="pct"/>
          </w:tcPr>
          <w:p w:rsidR="00565FD5" w:rsidRPr="00B5107F" w:rsidRDefault="00565FD5" w:rsidP="00EB1E69">
            <w:pPr>
              <w:numPr>
                <w:ilvl w:val="0"/>
                <w:numId w:val="14"/>
              </w:numPr>
              <w:tabs>
                <w:tab w:val="left" w:pos="425"/>
              </w:tabs>
              <w:autoSpaceDE w:val="0"/>
              <w:autoSpaceDN w:val="0"/>
              <w:adjustRightInd w:val="0"/>
              <w:spacing w:before="40" w:after="40" w:line="240" w:lineRule="auto"/>
              <w:ind w:left="34"/>
              <w:rPr>
                <w:rFonts w:cs="Tahoma"/>
                <w:bCs/>
                <w:sz w:val="16"/>
                <w:szCs w:val="16"/>
                <w:lang w:eastAsia="tr-TR"/>
              </w:rPr>
            </w:pPr>
            <w:r w:rsidRPr="00B5107F">
              <w:rPr>
                <w:rFonts w:cs="Tahoma"/>
                <w:bCs/>
                <w:sz w:val="16"/>
                <w:szCs w:val="16"/>
                <w:lang w:eastAsia="tr-TR"/>
              </w:rPr>
              <w:lastRenderedPageBreak/>
              <w:t>Kırsal alanda imarlı yapılaşmayı desteklemek üzere gerekli usul ve esaslar belirlenecektir.</w:t>
            </w:r>
          </w:p>
        </w:tc>
        <w:tc>
          <w:tcPr>
            <w:tcW w:w="1222" w:type="pct"/>
          </w:tcPr>
          <w:p w:rsidR="00565FD5" w:rsidRPr="00B5107F" w:rsidRDefault="00565FD5" w:rsidP="00AB62A3">
            <w:pPr>
              <w:autoSpaceDE w:val="0"/>
              <w:autoSpaceDN w:val="0"/>
              <w:adjustRightInd w:val="0"/>
              <w:spacing w:before="40" w:after="40"/>
              <w:rPr>
                <w:rFonts w:cs="Tahoma"/>
                <w:bCs/>
                <w:sz w:val="16"/>
                <w:szCs w:val="16"/>
                <w:lang w:eastAsia="tr-TR"/>
              </w:rPr>
            </w:pPr>
            <w:r w:rsidRPr="00B5107F">
              <w:rPr>
                <w:rFonts w:cs="Tahoma"/>
                <w:bCs/>
                <w:sz w:val="16"/>
                <w:szCs w:val="16"/>
                <w:lang w:eastAsia="tr-TR"/>
              </w:rPr>
              <w:t>Çevre ve Şehircilik Bakanlığı (S), İçişleri Bakanlığı, Kalkınma Bakanlığı, İl Özel İdareleri, Belediyeler, Üniversiteler, STK’lar</w:t>
            </w:r>
          </w:p>
        </w:tc>
        <w:tc>
          <w:tcPr>
            <w:tcW w:w="678" w:type="pct"/>
          </w:tcPr>
          <w:p w:rsidR="00565FD5" w:rsidRPr="00B5107F" w:rsidRDefault="00565FD5" w:rsidP="00AB62A3">
            <w:pPr>
              <w:autoSpaceDE w:val="0"/>
              <w:autoSpaceDN w:val="0"/>
              <w:adjustRightInd w:val="0"/>
              <w:spacing w:before="40" w:after="40"/>
              <w:rPr>
                <w:rFonts w:cs="Tahoma"/>
                <w:bCs/>
                <w:sz w:val="16"/>
                <w:szCs w:val="16"/>
                <w:lang w:eastAsia="tr-TR"/>
              </w:rPr>
            </w:pPr>
            <w:r w:rsidRPr="00B5107F">
              <w:rPr>
                <w:rFonts w:cs="Tahoma"/>
                <w:bCs/>
                <w:sz w:val="16"/>
                <w:szCs w:val="16"/>
                <w:lang w:eastAsia="tr-TR"/>
              </w:rPr>
              <w:t>Aralık Sonu</w:t>
            </w:r>
          </w:p>
        </w:tc>
        <w:tc>
          <w:tcPr>
            <w:tcW w:w="1806" w:type="pct"/>
          </w:tcPr>
          <w:p w:rsidR="00565FD5" w:rsidRPr="00B5107F" w:rsidRDefault="00565FD5" w:rsidP="00AB62A3">
            <w:pPr>
              <w:autoSpaceDE w:val="0"/>
              <w:autoSpaceDN w:val="0"/>
              <w:adjustRightInd w:val="0"/>
              <w:spacing w:before="40" w:after="40"/>
              <w:rPr>
                <w:rFonts w:cs="Tahoma"/>
                <w:bCs/>
                <w:sz w:val="16"/>
                <w:szCs w:val="16"/>
                <w:lang w:eastAsia="tr-TR"/>
              </w:rPr>
            </w:pPr>
            <w:r w:rsidRPr="00B5107F">
              <w:rPr>
                <w:rFonts w:cs="Tahoma"/>
                <w:bCs/>
                <w:sz w:val="16"/>
                <w:szCs w:val="16"/>
                <w:lang w:eastAsia="tr-TR"/>
              </w:rPr>
              <w:t>Kırsal alan planlama çerçeve mevzuatı oluşturulmasına yönelik çalışmalar yapılacaktır. Kırsal nitelikli alanlarda yerleşme ve yapılaşmayı düzenleyen yeni bir kırsal alan yönetmeliği de hazırlanacaktır.</w:t>
            </w:r>
          </w:p>
        </w:tc>
      </w:tr>
      <w:tr w:rsidR="00565FD5" w:rsidRPr="004439FC" w:rsidTr="00AB62A3">
        <w:trPr>
          <w:jc w:val="center"/>
        </w:trPr>
        <w:tc>
          <w:tcPr>
            <w:tcW w:w="5000" w:type="pct"/>
            <w:gridSpan w:val="4"/>
          </w:tcPr>
          <w:p w:rsidR="00565FD5" w:rsidRPr="00B5107F" w:rsidRDefault="00565FD5" w:rsidP="00EB1E69">
            <w:pPr>
              <w:numPr>
                <w:ilvl w:val="0"/>
                <w:numId w:val="15"/>
              </w:numPr>
              <w:tabs>
                <w:tab w:val="left" w:pos="425"/>
              </w:tabs>
              <w:autoSpaceDE w:val="0"/>
              <w:autoSpaceDN w:val="0"/>
              <w:adjustRightInd w:val="0"/>
              <w:spacing w:before="40" w:after="40" w:line="240" w:lineRule="auto"/>
              <w:jc w:val="both"/>
              <w:rPr>
                <w:rFonts w:cs="Tahoma"/>
                <w:bCs/>
                <w:sz w:val="16"/>
                <w:szCs w:val="16"/>
                <w:lang w:eastAsia="tr-TR"/>
              </w:rPr>
            </w:pPr>
            <w:r w:rsidRPr="00B5107F">
              <w:rPr>
                <w:rFonts w:cs="Tahoma"/>
                <w:b/>
                <w:bCs/>
                <w:sz w:val="16"/>
                <w:szCs w:val="16"/>
                <w:lang w:eastAsia="tr-TR"/>
              </w:rPr>
              <w:t>Zorunlu nedenlerle yaşadıkları yerlerden ayrılan vatandaşlara yönelik, kendi istekleri doğrultusunda, eski veya yeni yerleşim yerlerinde sürdürülebilir yaşam koşullarının oluşturulması için gerekli tedbirler alınacaktır.</w:t>
            </w:r>
          </w:p>
        </w:tc>
      </w:tr>
      <w:tr w:rsidR="00565FD5" w:rsidRPr="004439FC" w:rsidTr="00AB62A3">
        <w:trPr>
          <w:jc w:val="center"/>
        </w:trPr>
        <w:tc>
          <w:tcPr>
            <w:tcW w:w="1294" w:type="pct"/>
          </w:tcPr>
          <w:p w:rsidR="00565FD5" w:rsidRPr="00B5107F" w:rsidRDefault="00565FD5" w:rsidP="00EB1E69">
            <w:pPr>
              <w:numPr>
                <w:ilvl w:val="0"/>
                <w:numId w:val="14"/>
              </w:numPr>
              <w:tabs>
                <w:tab w:val="left" w:pos="425"/>
              </w:tabs>
              <w:autoSpaceDE w:val="0"/>
              <w:autoSpaceDN w:val="0"/>
              <w:adjustRightInd w:val="0"/>
              <w:spacing w:before="40" w:after="40" w:line="240" w:lineRule="auto"/>
              <w:ind w:left="34"/>
              <w:rPr>
                <w:rFonts w:cs="Tahoma"/>
                <w:bCs/>
                <w:sz w:val="16"/>
                <w:szCs w:val="16"/>
                <w:lang w:eastAsia="tr-TR"/>
              </w:rPr>
            </w:pPr>
            <w:r w:rsidRPr="00B5107F">
              <w:rPr>
                <w:rFonts w:cs="Tahoma"/>
                <w:bCs/>
                <w:sz w:val="16"/>
                <w:szCs w:val="16"/>
                <w:lang w:eastAsia="tr-TR"/>
              </w:rPr>
              <w:t>Baraj inşaatları nedeniyle mülkleri kamulaştırılan ailelerin iskân süreci hızlandırılacaktır.</w:t>
            </w:r>
          </w:p>
        </w:tc>
        <w:tc>
          <w:tcPr>
            <w:tcW w:w="1222" w:type="pct"/>
          </w:tcPr>
          <w:p w:rsidR="00565FD5" w:rsidRPr="00B5107F" w:rsidRDefault="00565FD5" w:rsidP="00AB62A3">
            <w:pPr>
              <w:autoSpaceDE w:val="0"/>
              <w:autoSpaceDN w:val="0"/>
              <w:adjustRightInd w:val="0"/>
              <w:spacing w:before="40" w:after="40"/>
              <w:rPr>
                <w:rFonts w:cs="Tahoma"/>
                <w:bCs/>
                <w:sz w:val="16"/>
                <w:szCs w:val="16"/>
                <w:lang w:eastAsia="tr-TR"/>
              </w:rPr>
            </w:pPr>
            <w:r w:rsidRPr="00B5107F">
              <w:rPr>
                <w:rFonts w:cs="Tahoma"/>
                <w:bCs/>
                <w:sz w:val="16"/>
                <w:szCs w:val="16"/>
                <w:lang w:eastAsia="tr-TR"/>
              </w:rPr>
              <w:t>Çevre ve Şehircilik Bakanlığı (S), İçişleri Bakanlığı, DSİ</w:t>
            </w:r>
          </w:p>
        </w:tc>
        <w:tc>
          <w:tcPr>
            <w:tcW w:w="678" w:type="pct"/>
          </w:tcPr>
          <w:p w:rsidR="00565FD5" w:rsidRPr="00B5107F" w:rsidRDefault="00565FD5" w:rsidP="00AB62A3">
            <w:pPr>
              <w:autoSpaceDE w:val="0"/>
              <w:autoSpaceDN w:val="0"/>
              <w:adjustRightInd w:val="0"/>
              <w:spacing w:before="40" w:after="40"/>
              <w:rPr>
                <w:rFonts w:cs="Tahoma"/>
                <w:bCs/>
                <w:sz w:val="16"/>
                <w:szCs w:val="16"/>
                <w:lang w:eastAsia="tr-TR"/>
              </w:rPr>
            </w:pPr>
            <w:r w:rsidRPr="00B5107F">
              <w:rPr>
                <w:rFonts w:cs="Tahoma"/>
                <w:bCs/>
                <w:sz w:val="16"/>
                <w:szCs w:val="16"/>
                <w:lang w:eastAsia="tr-TR"/>
              </w:rPr>
              <w:t>Aralık Sonu</w:t>
            </w:r>
          </w:p>
        </w:tc>
        <w:tc>
          <w:tcPr>
            <w:tcW w:w="1806" w:type="pct"/>
          </w:tcPr>
          <w:p w:rsidR="00565FD5" w:rsidRPr="00B5107F" w:rsidRDefault="00565FD5" w:rsidP="00AB62A3">
            <w:pPr>
              <w:autoSpaceDE w:val="0"/>
              <w:autoSpaceDN w:val="0"/>
              <w:adjustRightInd w:val="0"/>
              <w:spacing w:before="40" w:after="40"/>
              <w:rPr>
                <w:rFonts w:cs="Tahoma"/>
                <w:bCs/>
                <w:sz w:val="16"/>
                <w:szCs w:val="16"/>
                <w:lang w:eastAsia="tr-TR"/>
              </w:rPr>
            </w:pPr>
            <w:r w:rsidRPr="00B5107F">
              <w:rPr>
                <w:rFonts w:cs="Tahoma"/>
                <w:bCs/>
                <w:sz w:val="16"/>
                <w:szCs w:val="16"/>
                <w:lang w:eastAsia="tr-TR"/>
              </w:rPr>
              <w:t>Arazi temininin zor olduğu ve mülkleri kamulaştırılan ailelerin toplu iskânının sağlanamadığı durumlarda hak sahipleriyle işbirliği yapılarak kredi usulüyle hizmetin daha etkin olarak gerçekleştirilmesi sağlanacaktır.</w:t>
            </w:r>
          </w:p>
        </w:tc>
      </w:tr>
    </w:tbl>
    <w:p w:rsidR="00565FD5" w:rsidRDefault="00565FD5" w:rsidP="00565FD5"/>
    <w:p w:rsidR="00565FD5" w:rsidRDefault="00565FD5" w:rsidP="00565FD5"/>
    <w:p w:rsidR="00565FD5" w:rsidRPr="007B2BC3" w:rsidRDefault="00565FD5" w:rsidP="00565FD5">
      <w:pPr>
        <w:pStyle w:val="Balk2"/>
      </w:pPr>
      <w:bookmarkStart w:id="3013" w:name="_Toc307602098"/>
      <w:bookmarkStart w:id="3014" w:name="_Toc307670535"/>
      <w:bookmarkStart w:id="3015" w:name="_Toc307701762"/>
      <w:bookmarkStart w:id="3016" w:name="_Toc338494270"/>
      <w:bookmarkStart w:id="3017" w:name="_Toc338505665"/>
      <w:bookmarkStart w:id="3018" w:name="_Toc338523897"/>
      <w:bookmarkStart w:id="3019" w:name="_Toc338524128"/>
      <w:bookmarkStart w:id="3020" w:name="_Toc338526354"/>
      <w:bookmarkStart w:id="3021" w:name="_Toc338673797"/>
      <w:bookmarkStart w:id="3022" w:name="_Toc338711676"/>
      <w:r w:rsidRPr="007B2BC3">
        <w:t>V. KAMU HİZMETLERİNDE KALİTE VE ETKİNLİĞİN ARTIRILMASI</w:t>
      </w:r>
      <w:bookmarkEnd w:id="3013"/>
      <w:bookmarkEnd w:id="3014"/>
      <w:bookmarkEnd w:id="3015"/>
      <w:bookmarkEnd w:id="3016"/>
      <w:bookmarkEnd w:id="3017"/>
      <w:bookmarkEnd w:id="3018"/>
      <w:bookmarkEnd w:id="3019"/>
      <w:bookmarkEnd w:id="3020"/>
      <w:bookmarkEnd w:id="3021"/>
      <w:bookmarkEnd w:id="3022"/>
    </w:p>
    <w:p w:rsidR="00565FD5" w:rsidRPr="007B2BC3" w:rsidRDefault="00565FD5" w:rsidP="00565FD5">
      <w:pPr>
        <w:pStyle w:val="Balk3"/>
        <w:jc w:val="left"/>
      </w:pPr>
      <w:bookmarkStart w:id="3023" w:name="_Toc338494271"/>
      <w:bookmarkStart w:id="3024" w:name="_Toc338505666"/>
      <w:bookmarkStart w:id="3025" w:name="_Toc338523898"/>
      <w:bookmarkStart w:id="3026" w:name="_Toc338524129"/>
      <w:bookmarkStart w:id="3027" w:name="_Toc338526355"/>
      <w:bookmarkStart w:id="3028" w:name="_Toc338673798"/>
      <w:bookmarkStart w:id="3029" w:name="_Toc338711677"/>
      <w:bookmarkStart w:id="3030" w:name="_Toc307602101"/>
      <w:bookmarkStart w:id="3031" w:name="_Toc307670538"/>
      <w:bookmarkStart w:id="3032" w:name="_Toc307701765"/>
      <w:r>
        <w:t xml:space="preserve">A. </w:t>
      </w:r>
      <w:r w:rsidRPr="007B2BC3">
        <w:t>KURUMLAR ARASI YETKİ VE SORUMLULUKLARIN RASYONELLEŞTİRİLMESİ</w:t>
      </w:r>
      <w:bookmarkEnd w:id="3023"/>
      <w:bookmarkEnd w:id="3024"/>
      <w:bookmarkEnd w:id="3025"/>
      <w:bookmarkEnd w:id="3026"/>
      <w:bookmarkEnd w:id="3027"/>
      <w:bookmarkEnd w:id="3028"/>
      <w:bookmarkEnd w:id="3029"/>
    </w:p>
    <w:p w:rsidR="00565FD5" w:rsidRPr="007B2BC3" w:rsidRDefault="00565FD5" w:rsidP="00565FD5">
      <w:pPr>
        <w:pStyle w:val="Balk4"/>
      </w:pPr>
      <w:bookmarkStart w:id="3033" w:name="_Toc338505667"/>
      <w:bookmarkStart w:id="3034" w:name="_Toc338523899"/>
      <w:bookmarkStart w:id="3035" w:name="_Toc338524130"/>
      <w:bookmarkStart w:id="3036" w:name="_Toc338526356"/>
      <w:bookmarkStart w:id="3037" w:name="_Toc338673799"/>
      <w:bookmarkStart w:id="3038" w:name="_Toc338711678"/>
      <w:r w:rsidRPr="007B2BC3">
        <w:t>1. Mevcut Durum</w:t>
      </w:r>
      <w:bookmarkEnd w:id="3033"/>
      <w:bookmarkEnd w:id="3034"/>
      <w:bookmarkEnd w:id="3035"/>
      <w:bookmarkEnd w:id="3036"/>
      <w:bookmarkEnd w:id="3037"/>
      <w:bookmarkEnd w:id="3038"/>
    </w:p>
    <w:p w:rsidR="00565FD5" w:rsidRPr="007B2BC3" w:rsidRDefault="00565FD5" w:rsidP="00565FD5">
      <w:pPr>
        <w:spacing w:after="160"/>
        <w:ind w:firstLine="425"/>
        <w:rPr>
          <w:rFonts w:cs="Tahoma"/>
          <w:szCs w:val="18"/>
        </w:rPr>
      </w:pPr>
      <w:r w:rsidRPr="007B2BC3">
        <w:rPr>
          <w:rFonts w:cs="Tahoma"/>
          <w:szCs w:val="18"/>
        </w:rPr>
        <w:t xml:space="preserve">Son yıllarda devletin kurumsal yapısının iyileştirilmesi yönünde önemli düzenlemeler gerçekleştirilmiştir. Bu çerçevede, Başbakanlığın yüklenmiş olduğu icrai fonksiyonlarının azaltılarak asli görevine döndürülmesi ve örgütsel yapısının küçültülmesi amacıyla Başbakanlığa bağlı olan ve Başbakanlıkla ilgili bulunan kurum ve kuruluşların sayısı azaltılmıştır. </w:t>
      </w:r>
    </w:p>
    <w:p w:rsidR="00565FD5" w:rsidRPr="007B2BC3" w:rsidRDefault="00565FD5" w:rsidP="00565FD5">
      <w:pPr>
        <w:spacing w:after="160"/>
        <w:ind w:firstLine="425"/>
        <w:rPr>
          <w:rFonts w:cs="Tahoma"/>
          <w:szCs w:val="18"/>
        </w:rPr>
      </w:pPr>
      <w:r w:rsidRPr="007B2BC3">
        <w:rPr>
          <w:rFonts w:cs="Tahoma"/>
          <w:szCs w:val="18"/>
        </w:rPr>
        <w:t>Ancak, bazı sektörel ve tematik alanlarda kamu kurum ve kuruluşları arasında görev ve yetki karmaşası bulunmaktadır. Bağımsız düzenleyici kurumlar kurulurken, bu kurumlara verilen görevleri daha önce yerine getiren bakanlıkların ilgili birim ve görevlerinde gerekli değişiklikler yapılamamış, birden fazla kurum ve kuruluşun faaliyet gösterdiği sektörlerde koordinasyon sorunu giderilememiştir.</w:t>
      </w:r>
    </w:p>
    <w:p w:rsidR="00565FD5" w:rsidRPr="007B2BC3" w:rsidRDefault="00565FD5" w:rsidP="00565FD5">
      <w:pPr>
        <w:spacing w:after="160"/>
        <w:ind w:firstLine="425"/>
        <w:rPr>
          <w:rFonts w:cs="Tahoma"/>
          <w:szCs w:val="18"/>
        </w:rPr>
      </w:pPr>
      <w:r w:rsidRPr="007B2BC3">
        <w:rPr>
          <w:rFonts w:cs="Tahoma"/>
          <w:szCs w:val="18"/>
        </w:rPr>
        <w:t>2011 yılı itibarıyla, 81 il özel idaresi, 2.950 belediye, 34.395 köy bulunmaktadır. 2011 yılı ADNKS sonuçlarına göre belediyelerde 62.678.751 kişi yaşamaktadır. Bu nüfusun toplam nüfusa oranı ise yüzde 83,9’dur.</w:t>
      </w:r>
    </w:p>
    <w:p w:rsidR="00565FD5" w:rsidRPr="007B2BC3" w:rsidRDefault="00565FD5" w:rsidP="00565FD5">
      <w:pPr>
        <w:spacing w:after="160"/>
        <w:ind w:firstLine="425"/>
        <w:rPr>
          <w:rFonts w:cs="Tahoma"/>
          <w:szCs w:val="18"/>
        </w:rPr>
      </w:pPr>
      <w:r w:rsidRPr="007B2BC3">
        <w:rPr>
          <w:rFonts w:cs="Tahoma"/>
          <w:szCs w:val="18"/>
        </w:rPr>
        <w:t xml:space="preserve">Merkezi idare ile mahalli idareler arasında görev, yetki, kaynak paylaşımı ve hizmet ilişkilerinin esaslarına yönelik yasal düzenlemeler çerçevesinde ülke düzeyinde belirli hizmet seviyesine ulaşmak için merkezi idarece gerekli standartların belirlenmesi ve bunlara uyumun sağlanmasına ilişkin denetim ihtiyacı devam etmektedir. </w:t>
      </w:r>
    </w:p>
    <w:p w:rsidR="00565FD5" w:rsidRPr="007B2BC3" w:rsidRDefault="00565FD5" w:rsidP="00565FD5">
      <w:pPr>
        <w:spacing w:after="160"/>
        <w:ind w:firstLine="425"/>
        <w:rPr>
          <w:rFonts w:cs="Tahoma"/>
          <w:szCs w:val="18"/>
        </w:rPr>
      </w:pPr>
      <w:r w:rsidRPr="007B2BC3">
        <w:rPr>
          <w:rFonts w:cs="Tahoma"/>
          <w:szCs w:val="18"/>
        </w:rPr>
        <w:t xml:space="preserve">Mahalli idarelerde yeni yasal düzenlemelerle artan görev ve sorumlulukları yerine getirecek idari, mali ve teknik kapasitenin oluşturulmasına yönelik çalışmalar devam etmektedir. </w:t>
      </w:r>
    </w:p>
    <w:p w:rsidR="00565FD5" w:rsidRDefault="00565FD5" w:rsidP="00565FD5">
      <w:pPr>
        <w:spacing w:after="160"/>
        <w:ind w:firstLine="425"/>
        <w:rPr>
          <w:rFonts w:cs="Tahoma"/>
          <w:szCs w:val="18"/>
        </w:rPr>
      </w:pPr>
      <w:r w:rsidRPr="007B2BC3">
        <w:rPr>
          <w:rFonts w:cs="Tahoma"/>
          <w:szCs w:val="18"/>
        </w:rPr>
        <w:lastRenderedPageBreak/>
        <w:t>Mahalli idarelerin hizmet önceliklerini ve finansman imkânlarını belirleyememeleri, bu idareleri teknoloji transferi ve büyük finansman gerektiren yatırım projelerinin yanı sıra diğer projeleri için de borçlanmaya yöneltmektedir.</w:t>
      </w:r>
    </w:p>
    <w:p w:rsidR="00565FD5" w:rsidRPr="007B2BC3" w:rsidRDefault="00565FD5" w:rsidP="00565FD5">
      <w:pPr>
        <w:spacing w:after="160"/>
        <w:ind w:firstLine="425"/>
        <w:rPr>
          <w:rFonts w:cs="Tahoma"/>
          <w:szCs w:val="18"/>
        </w:rPr>
      </w:pPr>
    </w:p>
    <w:p w:rsidR="00565FD5" w:rsidRPr="007B2BC3" w:rsidRDefault="00565FD5" w:rsidP="00565FD5">
      <w:pPr>
        <w:pStyle w:val="Balk4"/>
      </w:pPr>
      <w:bookmarkStart w:id="3039" w:name="_Toc338505668"/>
      <w:bookmarkStart w:id="3040" w:name="_Toc338523900"/>
      <w:bookmarkStart w:id="3041" w:name="_Toc338524131"/>
      <w:bookmarkStart w:id="3042" w:name="_Toc338526357"/>
      <w:bookmarkStart w:id="3043" w:name="_Toc338673800"/>
      <w:bookmarkStart w:id="3044" w:name="_Toc338711679"/>
      <w:r>
        <w:t>2</w:t>
      </w:r>
      <w:r w:rsidRPr="007B2BC3">
        <w:t>. Politika Öncelikleri ve Tedbirler</w:t>
      </w:r>
      <w:bookmarkEnd w:id="3030"/>
      <w:bookmarkEnd w:id="3031"/>
      <w:bookmarkEnd w:id="3032"/>
      <w:bookmarkEnd w:id="3039"/>
      <w:bookmarkEnd w:id="3040"/>
      <w:bookmarkEnd w:id="3041"/>
      <w:bookmarkEnd w:id="3042"/>
      <w:bookmarkEnd w:id="3043"/>
      <w:bookmarkEnd w:id="3044"/>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9"/>
        <w:gridCol w:w="2366"/>
        <w:gridCol w:w="853"/>
        <w:gridCol w:w="2266"/>
      </w:tblGrid>
      <w:tr w:rsidR="00565FD5" w:rsidRPr="007B2BC3" w:rsidTr="00AB62A3">
        <w:trPr>
          <w:trHeight w:val="20"/>
          <w:jc w:val="center"/>
        </w:trPr>
        <w:tc>
          <w:tcPr>
            <w:tcW w:w="1161" w:type="pct"/>
            <w:vAlign w:val="bottom"/>
          </w:tcPr>
          <w:p w:rsidR="00565FD5" w:rsidRPr="007B2BC3" w:rsidRDefault="00565FD5" w:rsidP="00AB62A3">
            <w:pPr>
              <w:spacing w:before="60" w:after="60"/>
              <w:rPr>
                <w:rFonts w:cs="Tahoma"/>
                <w:b/>
                <w:sz w:val="16"/>
                <w:szCs w:val="16"/>
              </w:rPr>
            </w:pPr>
            <w:r w:rsidRPr="007B2BC3">
              <w:rPr>
                <w:rFonts w:cs="Tahoma"/>
                <w:b/>
                <w:sz w:val="16"/>
                <w:szCs w:val="16"/>
              </w:rPr>
              <w:t>Öncelik / Tedbir</w:t>
            </w:r>
          </w:p>
        </w:tc>
        <w:tc>
          <w:tcPr>
            <w:tcW w:w="1656" w:type="pct"/>
          </w:tcPr>
          <w:p w:rsidR="00565FD5" w:rsidRPr="007B2BC3" w:rsidRDefault="00565FD5" w:rsidP="00AB62A3">
            <w:pPr>
              <w:spacing w:before="60" w:after="60"/>
              <w:rPr>
                <w:rFonts w:cs="Tahoma"/>
                <w:b/>
                <w:sz w:val="16"/>
                <w:szCs w:val="16"/>
              </w:rPr>
            </w:pPr>
            <w:r w:rsidRPr="007B2BC3">
              <w:rPr>
                <w:rFonts w:cs="Tahoma"/>
                <w:b/>
                <w:sz w:val="16"/>
                <w:szCs w:val="16"/>
              </w:rPr>
              <w:t>Sorumlu /İşbirliği Yapılacak Kuruluşlar</w:t>
            </w:r>
          </w:p>
        </w:tc>
        <w:tc>
          <w:tcPr>
            <w:tcW w:w="597" w:type="pct"/>
            <w:vAlign w:val="bottom"/>
          </w:tcPr>
          <w:p w:rsidR="00565FD5" w:rsidRPr="007B2BC3" w:rsidRDefault="00565FD5" w:rsidP="00AB62A3">
            <w:pPr>
              <w:spacing w:before="60" w:after="60"/>
              <w:rPr>
                <w:rFonts w:cs="Tahoma"/>
                <w:b/>
                <w:sz w:val="16"/>
                <w:szCs w:val="16"/>
              </w:rPr>
            </w:pPr>
            <w:r w:rsidRPr="007B2BC3">
              <w:rPr>
                <w:rFonts w:cs="Tahoma"/>
                <w:b/>
                <w:sz w:val="16"/>
                <w:szCs w:val="16"/>
              </w:rPr>
              <w:t>Süre</w:t>
            </w:r>
          </w:p>
        </w:tc>
        <w:tc>
          <w:tcPr>
            <w:tcW w:w="1586" w:type="pct"/>
            <w:vAlign w:val="bottom"/>
          </w:tcPr>
          <w:p w:rsidR="00565FD5" w:rsidRPr="007B2BC3" w:rsidRDefault="00565FD5" w:rsidP="00AB62A3">
            <w:pPr>
              <w:spacing w:before="60" w:after="60"/>
              <w:rPr>
                <w:rFonts w:cs="Tahoma"/>
                <w:b/>
                <w:sz w:val="16"/>
                <w:szCs w:val="16"/>
              </w:rPr>
            </w:pPr>
            <w:r w:rsidRPr="007B2BC3">
              <w:rPr>
                <w:rFonts w:cs="Tahoma"/>
                <w:b/>
                <w:sz w:val="16"/>
                <w:szCs w:val="16"/>
              </w:rPr>
              <w:t>Yapılacak İşlem ve Açıklama</w:t>
            </w:r>
          </w:p>
        </w:tc>
      </w:tr>
      <w:tr w:rsidR="00565FD5" w:rsidRPr="007B2BC3" w:rsidTr="00AB62A3">
        <w:trPr>
          <w:trHeight w:val="20"/>
          <w:jc w:val="center"/>
        </w:trPr>
        <w:tc>
          <w:tcPr>
            <w:tcW w:w="5000" w:type="pct"/>
            <w:gridSpan w:val="4"/>
            <w:vAlign w:val="bottom"/>
          </w:tcPr>
          <w:p w:rsidR="00565FD5" w:rsidRPr="007B2BC3" w:rsidRDefault="00565FD5" w:rsidP="00EB1E69">
            <w:pPr>
              <w:numPr>
                <w:ilvl w:val="0"/>
                <w:numId w:val="15"/>
              </w:numPr>
              <w:tabs>
                <w:tab w:val="left" w:pos="425"/>
              </w:tabs>
              <w:spacing w:before="60" w:after="60" w:line="240" w:lineRule="auto"/>
              <w:jc w:val="both"/>
              <w:rPr>
                <w:rFonts w:cs="Tahoma"/>
                <w:b/>
                <w:sz w:val="16"/>
                <w:szCs w:val="16"/>
              </w:rPr>
            </w:pPr>
            <w:r w:rsidRPr="007B2BC3">
              <w:rPr>
                <w:rFonts w:cs="Tahoma"/>
                <w:b/>
                <w:bCs/>
                <w:sz w:val="16"/>
                <w:szCs w:val="16"/>
              </w:rPr>
              <w:t>Yerel yönetimlerin hizmet kapasitesi geliştirilecek, sundukları hizmetler için ülke çapında asgari hizmet standartları belirlenecek, standartlara uygunluk denetimi merkezi idare tarafından yapılacaktır.</w:t>
            </w:r>
          </w:p>
        </w:tc>
      </w:tr>
      <w:tr w:rsidR="00565FD5" w:rsidRPr="007B2BC3" w:rsidTr="00AB62A3">
        <w:trPr>
          <w:trHeight w:val="20"/>
          <w:jc w:val="center"/>
        </w:trPr>
        <w:tc>
          <w:tcPr>
            <w:tcW w:w="1161" w:type="pct"/>
          </w:tcPr>
          <w:p w:rsidR="00565FD5" w:rsidRPr="007B2BC3" w:rsidRDefault="00565FD5" w:rsidP="00EB1E69">
            <w:pPr>
              <w:numPr>
                <w:ilvl w:val="0"/>
                <w:numId w:val="14"/>
              </w:numPr>
              <w:tabs>
                <w:tab w:val="left" w:pos="425"/>
              </w:tabs>
              <w:spacing w:before="60" w:after="60" w:line="240" w:lineRule="auto"/>
              <w:ind w:left="34"/>
              <w:rPr>
                <w:rFonts w:cs="Tahoma"/>
                <w:sz w:val="16"/>
                <w:szCs w:val="16"/>
              </w:rPr>
            </w:pPr>
            <w:r w:rsidRPr="007B2BC3">
              <w:rPr>
                <w:rFonts w:cs="Tahoma"/>
                <w:sz w:val="16"/>
                <w:szCs w:val="16"/>
              </w:rPr>
              <w:t>Yerel yönetimlerin asgari hizmet standartlarını belirlemeye yönelik düzenlemeler yapılacaktır.</w:t>
            </w:r>
          </w:p>
        </w:tc>
        <w:tc>
          <w:tcPr>
            <w:tcW w:w="1656" w:type="pct"/>
          </w:tcPr>
          <w:p w:rsidR="00565FD5" w:rsidRPr="007B2BC3" w:rsidRDefault="00565FD5" w:rsidP="00AB62A3">
            <w:pPr>
              <w:spacing w:before="60" w:after="60"/>
              <w:rPr>
                <w:rFonts w:cs="Tahoma"/>
                <w:sz w:val="16"/>
                <w:szCs w:val="16"/>
              </w:rPr>
            </w:pPr>
            <w:r w:rsidRPr="007B2BC3">
              <w:rPr>
                <w:rFonts w:cs="Tahoma"/>
                <w:sz w:val="16"/>
                <w:szCs w:val="16"/>
              </w:rPr>
              <w:t>İçişleri Bakanlığı (S), Yerel Yönetimler, Meslek Odaları</w:t>
            </w:r>
          </w:p>
        </w:tc>
        <w:tc>
          <w:tcPr>
            <w:tcW w:w="597" w:type="pct"/>
          </w:tcPr>
          <w:p w:rsidR="00565FD5" w:rsidRPr="007B2BC3" w:rsidRDefault="00565FD5" w:rsidP="00AB62A3">
            <w:pPr>
              <w:spacing w:before="60" w:after="60"/>
              <w:rPr>
                <w:rFonts w:cs="Tahoma"/>
                <w:sz w:val="16"/>
                <w:szCs w:val="16"/>
              </w:rPr>
            </w:pPr>
            <w:r w:rsidRPr="007B2BC3">
              <w:rPr>
                <w:rFonts w:cs="Tahoma"/>
                <w:sz w:val="16"/>
                <w:szCs w:val="16"/>
              </w:rPr>
              <w:t>Aralık</w:t>
            </w:r>
            <w:r>
              <w:rPr>
                <w:rFonts w:cs="Tahoma"/>
                <w:sz w:val="16"/>
                <w:szCs w:val="16"/>
              </w:rPr>
              <w:t xml:space="preserve"> </w:t>
            </w:r>
            <w:r w:rsidRPr="007B2BC3">
              <w:rPr>
                <w:rFonts w:cs="Tahoma"/>
                <w:sz w:val="16"/>
                <w:szCs w:val="16"/>
              </w:rPr>
              <w:t>Sonu</w:t>
            </w:r>
          </w:p>
        </w:tc>
        <w:tc>
          <w:tcPr>
            <w:tcW w:w="1586" w:type="pct"/>
          </w:tcPr>
          <w:p w:rsidR="00565FD5" w:rsidRPr="007B2BC3" w:rsidRDefault="00565FD5" w:rsidP="00AB62A3">
            <w:pPr>
              <w:spacing w:before="60" w:after="60"/>
              <w:rPr>
                <w:rFonts w:cs="Tahoma"/>
                <w:sz w:val="16"/>
                <w:szCs w:val="16"/>
              </w:rPr>
            </w:pPr>
            <w:r w:rsidRPr="007B2BC3">
              <w:rPr>
                <w:rFonts w:cs="Tahoma"/>
                <w:sz w:val="16"/>
                <w:szCs w:val="16"/>
              </w:rPr>
              <w:t>Ülke genelinde hizmet kalite ve standartlarının sağlanabilmesi amacıyla gerekli ilke ve kriterlerin ilgili bakanlıklarca belirlenmesi ve yerel yönetimlerin bu standartlara uygun hizmet vermesi için gerekli düzenlemeler yapılacaktır.</w:t>
            </w:r>
          </w:p>
        </w:tc>
      </w:tr>
    </w:tbl>
    <w:p w:rsidR="00565FD5" w:rsidRDefault="00565FD5" w:rsidP="00565FD5">
      <w:pPr>
        <w:pStyle w:val="Balk3"/>
      </w:pPr>
      <w:bookmarkStart w:id="3045" w:name="_Toc338494272"/>
      <w:bookmarkStart w:id="3046" w:name="_Toc338505669"/>
      <w:bookmarkStart w:id="3047" w:name="_Toc338523901"/>
      <w:bookmarkStart w:id="3048" w:name="_Toc338524132"/>
      <w:bookmarkStart w:id="3049" w:name="_Toc338526358"/>
      <w:bookmarkStart w:id="3050" w:name="_Toc338673801"/>
    </w:p>
    <w:p w:rsidR="00565FD5" w:rsidRPr="007B2BC3" w:rsidRDefault="00565FD5" w:rsidP="00565FD5">
      <w:pPr>
        <w:pStyle w:val="Balk3"/>
      </w:pPr>
      <w:bookmarkStart w:id="3051" w:name="_Toc338711680"/>
      <w:r w:rsidRPr="007B2BC3">
        <w:t>B. POLİTİKA OLUŞTURMA VE UYGULAMA KAPASİTESİNİN ARTIRILMASI</w:t>
      </w:r>
      <w:bookmarkEnd w:id="3045"/>
      <w:bookmarkEnd w:id="3046"/>
      <w:bookmarkEnd w:id="3047"/>
      <w:bookmarkEnd w:id="3048"/>
      <w:bookmarkEnd w:id="3049"/>
      <w:bookmarkEnd w:id="3050"/>
      <w:bookmarkEnd w:id="3051"/>
    </w:p>
    <w:p w:rsidR="00565FD5" w:rsidRPr="00A51D83" w:rsidRDefault="00565FD5" w:rsidP="00565FD5">
      <w:pPr>
        <w:pStyle w:val="Balk4"/>
      </w:pPr>
      <w:bookmarkStart w:id="3052" w:name="_Toc244253772"/>
      <w:bookmarkStart w:id="3053" w:name="_Toc244255022"/>
      <w:bookmarkStart w:id="3054" w:name="_Toc244313757"/>
      <w:bookmarkStart w:id="3055" w:name="_Toc244315234"/>
      <w:bookmarkStart w:id="3056" w:name="_Toc244339697"/>
      <w:bookmarkStart w:id="3057" w:name="_Toc276076381"/>
      <w:bookmarkStart w:id="3058" w:name="_Toc338523902"/>
      <w:bookmarkStart w:id="3059" w:name="_Toc338524133"/>
      <w:bookmarkStart w:id="3060" w:name="_Toc338526359"/>
      <w:bookmarkStart w:id="3061" w:name="_Toc338673802"/>
      <w:bookmarkStart w:id="3062" w:name="_Toc338711681"/>
      <w:r w:rsidRPr="00A51D83">
        <w:t>1. Mevcut Durum</w:t>
      </w:r>
      <w:bookmarkEnd w:id="3052"/>
      <w:bookmarkEnd w:id="3053"/>
      <w:bookmarkEnd w:id="3054"/>
      <w:bookmarkEnd w:id="3055"/>
      <w:bookmarkEnd w:id="3056"/>
      <w:bookmarkEnd w:id="3057"/>
      <w:bookmarkEnd w:id="3058"/>
      <w:bookmarkEnd w:id="3059"/>
      <w:bookmarkEnd w:id="3060"/>
      <w:bookmarkEnd w:id="3061"/>
      <w:bookmarkEnd w:id="3062"/>
    </w:p>
    <w:p w:rsidR="00565FD5" w:rsidRPr="007B2BC3" w:rsidRDefault="00565FD5" w:rsidP="00565FD5">
      <w:pPr>
        <w:spacing w:after="160"/>
        <w:ind w:firstLine="425"/>
        <w:rPr>
          <w:rFonts w:cs="Tahoma"/>
          <w:szCs w:val="18"/>
        </w:rPr>
      </w:pPr>
      <w:r w:rsidRPr="007B2BC3">
        <w:rPr>
          <w:rFonts w:cs="Tahoma"/>
          <w:szCs w:val="18"/>
        </w:rPr>
        <w:t>Kamu İdarelerinde Stratejik Planlamaya İlişkin Usul ve Esaslar Hakkında Yönetmelikte belirlenen geçiş programı kapsamında kamu idareleri, beşi hariç olmak üzere, ilk stratejik planlarını hazırlamıştır. Bu idarelerde performans programı çalışmaları da sürdürülmektedir. Yeni kurulan kamu idarelerinde de stratejik plan hazırlanması çalışmaları devam etmektedir.</w:t>
      </w:r>
    </w:p>
    <w:p w:rsidR="00565FD5" w:rsidRPr="007B2BC3" w:rsidRDefault="00565FD5" w:rsidP="00565FD5">
      <w:pPr>
        <w:spacing w:after="160"/>
        <w:ind w:firstLine="425"/>
        <w:rPr>
          <w:rFonts w:cs="Tahoma"/>
          <w:szCs w:val="18"/>
        </w:rPr>
      </w:pPr>
      <w:r w:rsidRPr="007B2BC3">
        <w:rPr>
          <w:rFonts w:cs="Tahoma"/>
          <w:szCs w:val="18"/>
        </w:rPr>
        <w:t xml:space="preserve">KİT’lerin stratejik plan hazırlamaları 2008 ve 2009 yıllarına ait Genel Yatırım ve Finansman Programlarında Bakanlar Kurulu kararlarıyla hükme bağlanmıştır. Bu kapsamda, 2012 yılı Ekim ayı itibarıyla 19 KİT’ten 15’i stratejik planlarını tamamlamış olup 4’ü ise çalışmalarını sürdürmektedir. </w:t>
      </w:r>
    </w:p>
    <w:p w:rsidR="00565FD5" w:rsidRPr="007B2BC3" w:rsidRDefault="00565FD5" w:rsidP="00565FD5">
      <w:pPr>
        <w:spacing w:after="160"/>
        <w:ind w:firstLine="425"/>
        <w:rPr>
          <w:rFonts w:cs="Tahoma"/>
          <w:szCs w:val="18"/>
        </w:rPr>
      </w:pPr>
      <w:r w:rsidRPr="007B2BC3">
        <w:rPr>
          <w:rFonts w:cs="Tahoma"/>
          <w:szCs w:val="18"/>
        </w:rPr>
        <w:t xml:space="preserve">Stratejik planlamanın daha işlevsel hale getirilmesi için gerek stratejik plan yapmakla yükümlü kamu idareleri gerek Kalkınma Bakanlığınca elde edilen deneyimler ışığında Kamu İdarelerinde Stratejik Planlamaya İlişkin Usul ve Esaslar Hakkında Yönetmeliğin güncellenmesine yönelik çalışmalar yürütülmektedir. </w:t>
      </w:r>
    </w:p>
    <w:p w:rsidR="00565FD5" w:rsidRPr="007B2BC3" w:rsidRDefault="00565FD5" w:rsidP="00565FD5">
      <w:pPr>
        <w:spacing w:after="160"/>
        <w:ind w:firstLine="425"/>
        <w:rPr>
          <w:rFonts w:cs="Tahoma"/>
          <w:szCs w:val="18"/>
        </w:rPr>
      </w:pPr>
      <w:r w:rsidRPr="007B2BC3">
        <w:rPr>
          <w:rFonts w:cs="Tahoma"/>
          <w:szCs w:val="18"/>
        </w:rPr>
        <w:t>Stratejik yönetimin etkili biçimde uygulanabilmesi ve katılımcılığın güçlendirilmesi amacıyla başlatılan</w:t>
      </w:r>
      <w:r w:rsidRPr="00A51D83">
        <w:rPr>
          <w:rFonts w:cs="Tahoma"/>
          <w:szCs w:val="18"/>
        </w:rPr>
        <w:t xml:space="preserve"> Stratejik Planlama ve Politika Geliştirmede Katılımcılık Projesi</w:t>
      </w:r>
      <w:r w:rsidRPr="007B2BC3">
        <w:rPr>
          <w:rFonts w:cs="Tahoma"/>
          <w:szCs w:val="18"/>
        </w:rPr>
        <w:t xml:space="preserve"> tamamlanmıştır.</w:t>
      </w:r>
    </w:p>
    <w:p w:rsidR="00565FD5" w:rsidRPr="00A51D83" w:rsidRDefault="00565FD5" w:rsidP="00565FD5">
      <w:pPr>
        <w:spacing w:after="160"/>
        <w:ind w:firstLine="425"/>
        <w:rPr>
          <w:rFonts w:cs="Tahoma"/>
          <w:szCs w:val="18"/>
        </w:rPr>
      </w:pPr>
      <w:r w:rsidRPr="00A51D83">
        <w:rPr>
          <w:rFonts w:cs="Tahoma"/>
          <w:szCs w:val="18"/>
        </w:rPr>
        <w:t>Merkezi kamu kurumlarının stratejik planlama süreçlerini daha etkin ve etkili hale getirmeyi amaçlayan Stratejik Yönetimde Kapasite Geliştirme Projesi uygulamaları 2012 yılı sonuna doğru başlayacaktır.</w:t>
      </w:r>
    </w:p>
    <w:p w:rsidR="00565FD5" w:rsidRPr="007B2BC3" w:rsidRDefault="00565FD5" w:rsidP="00565FD5">
      <w:pPr>
        <w:pStyle w:val="Balk4"/>
      </w:pPr>
      <w:bookmarkStart w:id="3063" w:name="_Toc276076382"/>
      <w:bookmarkStart w:id="3064" w:name="_Toc338523903"/>
      <w:bookmarkStart w:id="3065" w:name="_Toc338524134"/>
      <w:bookmarkStart w:id="3066" w:name="_Toc338526360"/>
      <w:bookmarkStart w:id="3067" w:name="_Toc338673803"/>
      <w:bookmarkStart w:id="3068" w:name="_Toc338711682"/>
      <w:r w:rsidRPr="007B2BC3">
        <w:t>2. Temel Amaç ve Hedefler</w:t>
      </w:r>
      <w:bookmarkEnd w:id="3063"/>
      <w:bookmarkEnd w:id="3064"/>
      <w:bookmarkEnd w:id="3065"/>
      <w:bookmarkEnd w:id="3066"/>
      <w:bookmarkEnd w:id="3067"/>
      <w:bookmarkEnd w:id="3068"/>
    </w:p>
    <w:p w:rsidR="00565FD5" w:rsidRPr="00A51D83" w:rsidRDefault="00565FD5" w:rsidP="00565FD5">
      <w:pPr>
        <w:spacing w:after="160"/>
        <w:ind w:firstLine="425"/>
        <w:rPr>
          <w:rFonts w:cs="Tahoma"/>
          <w:szCs w:val="18"/>
        </w:rPr>
      </w:pPr>
      <w:r w:rsidRPr="007B2BC3">
        <w:rPr>
          <w:rFonts w:cs="Tahoma"/>
          <w:szCs w:val="18"/>
        </w:rPr>
        <w:t xml:space="preserve">Kamu idarelerinde stratejik yönetimin gerektirdiği dönüşümün sürdürülmesi, yönetsel kararların stratejik planlara dayanan, orta ve uzun vadeli bakış açısıyla şekillendirilmesi, uygulanacak politikaların maliyeti, etkilediği kesimler ve fırsat maliyeti de göz önüne alınarak, bütçenin, kamu idarelerinin performansını gösterecek bir yapıya kavuşturulması sağlanacaktır. Kamu idarelerinde mevcut idari ve beşeri kapasite, nitelik ve nicelik olarak stratejik yönetim anlayışı doğrultusunda </w:t>
      </w:r>
      <w:r w:rsidRPr="007B2BC3">
        <w:rPr>
          <w:rFonts w:cs="Tahoma"/>
          <w:szCs w:val="18"/>
        </w:rPr>
        <w:lastRenderedPageBreak/>
        <w:t>geliştirilecek, yönetim kültürünün yeni yapıya uyarlanmasına yönelik programlar düzenlenecektir. Kamu İdarelerinde Stratejik Planlamaya İlişkin Usul ve Esaslar Hakkında Yönetmeliğin yayımlanmasından sonra kurulan ve stratejik plan yapmakla yükümlü olan kamu idareleri de sisteme dâhil edilecektir.</w:t>
      </w:r>
    </w:p>
    <w:p w:rsidR="00565FD5" w:rsidRPr="007B2BC3" w:rsidRDefault="00565FD5" w:rsidP="00565FD5">
      <w:pPr>
        <w:pStyle w:val="Balk4"/>
      </w:pPr>
      <w:bookmarkStart w:id="3069" w:name="_Toc244253774"/>
      <w:bookmarkStart w:id="3070" w:name="_Toc244255024"/>
      <w:bookmarkStart w:id="3071" w:name="_Toc244313759"/>
      <w:bookmarkStart w:id="3072" w:name="_Toc244315236"/>
      <w:bookmarkStart w:id="3073" w:name="_Toc244339699"/>
      <w:bookmarkStart w:id="3074" w:name="_Toc276076383"/>
      <w:bookmarkStart w:id="3075" w:name="_Toc338505670"/>
      <w:bookmarkStart w:id="3076" w:name="_Toc338523904"/>
      <w:bookmarkStart w:id="3077" w:name="_Toc338524135"/>
      <w:bookmarkStart w:id="3078" w:name="_Toc338526361"/>
      <w:bookmarkStart w:id="3079" w:name="_Toc338673804"/>
      <w:bookmarkStart w:id="3080" w:name="_Toc338711683"/>
      <w:r w:rsidRPr="007B2BC3">
        <w:t>3. Politika Öncelikleri ve Tedbirler</w:t>
      </w:r>
      <w:bookmarkEnd w:id="3069"/>
      <w:bookmarkEnd w:id="3070"/>
      <w:bookmarkEnd w:id="3071"/>
      <w:bookmarkEnd w:id="3072"/>
      <w:bookmarkEnd w:id="3073"/>
      <w:bookmarkEnd w:id="3074"/>
      <w:bookmarkEnd w:id="3075"/>
      <w:bookmarkEnd w:id="3076"/>
      <w:bookmarkEnd w:id="3077"/>
      <w:bookmarkEnd w:id="3078"/>
      <w:bookmarkEnd w:id="3079"/>
      <w:bookmarkEnd w:id="30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349"/>
        <w:gridCol w:w="2755"/>
        <w:gridCol w:w="1059"/>
        <w:gridCol w:w="2919"/>
      </w:tblGrid>
      <w:tr w:rsidR="00565FD5" w:rsidRPr="007B2BC3" w:rsidTr="00AB62A3">
        <w:trPr>
          <w:trHeight w:val="579"/>
        </w:trPr>
        <w:tc>
          <w:tcPr>
            <w:tcW w:w="1293" w:type="pct"/>
            <w:vAlign w:val="bottom"/>
          </w:tcPr>
          <w:p w:rsidR="00565FD5" w:rsidRPr="007B2BC3" w:rsidRDefault="00565FD5" w:rsidP="00AB62A3">
            <w:pPr>
              <w:spacing w:before="100" w:after="100"/>
              <w:ind w:left="57" w:right="57"/>
              <w:rPr>
                <w:rFonts w:cs="Tahoma"/>
                <w:b/>
                <w:sz w:val="16"/>
                <w:szCs w:val="16"/>
              </w:rPr>
            </w:pPr>
            <w:r w:rsidRPr="007B2BC3">
              <w:rPr>
                <w:rFonts w:cs="Tahoma"/>
                <w:b/>
                <w:sz w:val="16"/>
                <w:szCs w:val="16"/>
              </w:rPr>
              <w:t>Öncelik / Tedbir</w:t>
            </w:r>
          </w:p>
        </w:tc>
        <w:tc>
          <w:tcPr>
            <w:tcW w:w="1517" w:type="pct"/>
            <w:vAlign w:val="bottom"/>
          </w:tcPr>
          <w:p w:rsidR="00565FD5" w:rsidRPr="007B2BC3" w:rsidRDefault="00565FD5" w:rsidP="00AB62A3">
            <w:pPr>
              <w:spacing w:before="100" w:after="100"/>
              <w:ind w:left="57" w:right="57"/>
              <w:rPr>
                <w:rFonts w:cs="Tahoma"/>
                <w:b/>
                <w:sz w:val="16"/>
                <w:szCs w:val="16"/>
              </w:rPr>
            </w:pPr>
            <w:r w:rsidRPr="007B2BC3">
              <w:rPr>
                <w:rFonts w:cs="Tahoma"/>
                <w:b/>
                <w:sz w:val="16"/>
                <w:szCs w:val="16"/>
              </w:rPr>
              <w:t>Sorumlu /İşbirliği Yapılacak Kuruluşlar</w:t>
            </w:r>
          </w:p>
        </w:tc>
        <w:tc>
          <w:tcPr>
            <w:tcW w:w="583" w:type="pct"/>
            <w:vAlign w:val="bottom"/>
          </w:tcPr>
          <w:p w:rsidR="00565FD5" w:rsidRPr="007B2BC3" w:rsidRDefault="00565FD5" w:rsidP="00AB62A3">
            <w:pPr>
              <w:spacing w:before="100" w:after="100"/>
              <w:ind w:left="57" w:right="57"/>
              <w:rPr>
                <w:rFonts w:cs="Tahoma"/>
                <w:b/>
                <w:sz w:val="16"/>
                <w:szCs w:val="16"/>
              </w:rPr>
            </w:pPr>
            <w:r w:rsidRPr="007B2BC3">
              <w:rPr>
                <w:rFonts w:cs="Tahoma"/>
                <w:b/>
                <w:sz w:val="16"/>
                <w:szCs w:val="16"/>
              </w:rPr>
              <w:t>Süre</w:t>
            </w:r>
          </w:p>
        </w:tc>
        <w:tc>
          <w:tcPr>
            <w:tcW w:w="1607" w:type="pct"/>
            <w:vAlign w:val="bottom"/>
          </w:tcPr>
          <w:p w:rsidR="00565FD5" w:rsidRPr="007B2BC3" w:rsidRDefault="00565FD5" w:rsidP="00AB62A3">
            <w:pPr>
              <w:spacing w:before="100" w:after="100"/>
              <w:ind w:left="57" w:right="57"/>
              <w:rPr>
                <w:rFonts w:cs="Tahoma"/>
                <w:b/>
                <w:sz w:val="16"/>
                <w:szCs w:val="16"/>
              </w:rPr>
            </w:pPr>
            <w:r w:rsidRPr="007B2BC3">
              <w:rPr>
                <w:rFonts w:cs="Tahoma"/>
                <w:b/>
                <w:sz w:val="16"/>
                <w:szCs w:val="16"/>
              </w:rPr>
              <w:t>Yapılacak İşlem ve Açıklama</w:t>
            </w:r>
          </w:p>
        </w:tc>
      </w:tr>
      <w:tr w:rsidR="00565FD5" w:rsidRPr="007B2BC3" w:rsidTr="00AB62A3">
        <w:trPr>
          <w:trHeight w:val="340"/>
        </w:trPr>
        <w:tc>
          <w:tcPr>
            <w:tcW w:w="5000" w:type="pct"/>
            <w:gridSpan w:val="4"/>
          </w:tcPr>
          <w:p w:rsidR="00565FD5" w:rsidRPr="007B2BC3" w:rsidRDefault="00565FD5" w:rsidP="00EB1E69">
            <w:pPr>
              <w:numPr>
                <w:ilvl w:val="0"/>
                <w:numId w:val="15"/>
              </w:numPr>
              <w:tabs>
                <w:tab w:val="left" w:pos="425"/>
              </w:tabs>
              <w:spacing w:before="100" w:after="100" w:line="240" w:lineRule="auto"/>
              <w:ind w:right="57"/>
              <w:jc w:val="both"/>
              <w:rPr>
                <w:rFonts w:cs="Tahoma"/>
                <w:b/>
                <w:sz w:val="16"/>
                <w:szCs w:val="16"/>
              </w:rPr>
            </w:pPr>
            <w:r w:rsidRPr="007B2BC3">
              <w:rPr>
                <w:rFonts w:cs="Tahoma"/>
                <w:b/>
                <w:sz w:val="16"/>
                <w:szCs w:val="16"/>
              </w:rPr>
              <w:t>Kamu idarelerinde daha verimli, etkili ve uygulanabilir stratejik planların hazırlanmasına yönelik çalışmalar yapılacak, katılımcılık mekanizmaları güçlendirilecektir.</w:t>
            </w:r>
          </w:p>
        </w:tc>
      </w:tr>
      <w:tr w:rsidR="00565FD5" w:rsidRPr="007B2BC3" w:rsidTr="00AB62A3">
        <w:trPr>
          <w:trHeight w:val="558"/>
        </w:trPr>
        <w:tc>
          <w:tcPr>
            <w:tcW w:w="1293" w:type="pct"/>
          </w:tcPr>
          <w:p w:rsidR="00565FD5" w:rsidRPr="007B2BC3" w:rsidRDefault="00565FD5" w:rsidP="00EB1E69">
            <w:pPr>
              <w:numPr>
                <w:ilvl w:val="0"/>
                <w:numId w:val="14"/>
              </w:numPr>
              <w:tabs>
                <w:tab w:val="left" w:pos="425"/>
              </w:tabs>
              <w:autoSpaceDE w:val="0"/>
              <w:autoSpaceDN w:val="0"/>
              <w:adjustRightInd w:val="0"/>
              <w:spacing w:before="100" w:after="100" w:line="240" w:lineRule="auto"/>
              <w:ind w:right="57"/>
              <w:rPr>
                <w:rFonts w:cs="Tahoma"/>
                <w:sz w:val="16"/>
                <w:szCs w:val="16"/>
              </w:rPr>
            </w:pPr>
            <w:r w:rsidRPr="007B2BC3">
              <w:rPr>
                <w:rFonts w:cs="Tahoma"/>
                <w:sz w:val="16"/>
                <w:szCs w:val="16"/>
              </w:rPr>
              <w:t>Kamu İdareleri İçin Stratejik Planlama Kılavuzu yenilenerek yayımlanacaktır.</w:t>
            </w:r>
          </w:p>
        </w:tc>
        <w:tc>
          <w:tcPr>
            <w:tcW w:w="1517" w:type="pct"/>
          </w:tcPr>
          <w:p w:rsidR="00565FD5" w:rsidRPr="007B2BC3" w:rsidRDefault="00565FD5" w:rsidP="00AB62A3">
            <w:pPr>
              <w:autoSpaceDE w:val="0"/>
              <w:autoSpaceDN w:val="0"/>
              <w:adjustRightInd w:val="0"/>
              <w:spacing w:before="120"/>
              <w:ind w:left="57" w:right="57"/>
              <w:rPr>
                <w:rFonts w:cs="Tahoma"/>
                <w:sz w:val="16"/>
                <w:szCs w:val="16"/>
              </w:rPr>
            </w:pPr>
            <w:r w:rsidRPr="007B2BC3">
              <w:rPr>
                <w:rFonts w:cs="Tahoma"/>
                <w:sz w:val="16"/>
                <w:szCs w:val="16"/>
              </w:rPr>
              <w:t>Kalkınma Bakanlığı (S),</w:t>
            </w:r>
          </w:p>
          <w:p w:rsidR="00565FD5" w:rsidRPr="007B2BC3" w:rsidRDefault="00565FD5" w:rsidP="00AB62A3">
            <w:pPr>
              <w:autoSpaceDE w:val="0"/>
              <w:autoSpaceDN w:val="0"/>
              <w:adjustRightInd w:val="0"/>
              <w:ind w:left="57" w:right="57"/>
              <w:rPr>
                <w:rFonts w:cs="Tahoma"/>
                <w:sz w:val="16"/>
                <w:szCs w:val="16"/>
              </w:rPr>
            </w:pPr>
            <w:r w:rsidRPr="007B2BC3">
              <w:rPr>
                <w:rFonts w:cs="Tahoma"/>
                <w:sz w:val="16"/>
                <w:szCs w:val="16"/>
              </w:rPr>
              <w:t>Maliye Bakanlığı,</w:t>
            </w:r>
          </w:p>
          <w:p w:rsidR="00565FD5" w:rsidRPr="007B2BC3" w:rsidRDefault="00565FD5" w:rsidP="00AB62A3">
            <w:pPr>
              <w:autoSpaceDE w:val="0"/>
              <w:autoSpaceDN w:val="0"/>
              <w:adjustRightInd w:val="0"/>
              <w:ind w:left="57" w:right="57"/>
              <w:rPr>
                <w:rFonts w:cs="Tahoma"/>
                <w:sz w:val="16"/>
                <w:szCs w:val="16"/>
              </w:rPr>
            </w:pPr>
            <w:r w:rsidRPr="007B2BC3">
              <w:rPr>
                <w:rFonts w:cs="Tahoma"/>
                <w:sz w:val="16"/>
                <w:szCs w:val="16"/>
              </w:rPr>
              <w:t>İlgili Kamu Kurum ve</w:t>
            </w:r>
          </w:p>
          <w:p w:rsidR="00565FD5" w:rsidRPr="007B2BC3" w:rsidRDefault="00565FD5" w:rsidP="00AB62A3">
            <w:pPr>
              <w:autoSpaceDE w:val="0"/>
              <w:autoSpaceDN w:val="0"/>
              <w:adjustRightInd w:val="0"/>
              <w:ind w:left="57" w:right="57"/>
              <w:rPr>
                <w:rFonts w:cs="Tahoma"/>
                <w:sz w:val="16"/>
                <w:szCs w:val="16"/>
              </w:rPr>
            </w:pPr>
            <w:r w:rsidRPr="007B2BC3">
              <w:rPr>
                <w:rFonts w:cs="Tahoma"/>
                <w:sz w:val="16"/>
                <w:szCs w:val="16"/>
              </w:rPr>
              <w:t>Kuruluşları</w:t>
            </w:r>
          </w:p>
        </w:tc>
        <w:tc>
          <w:tcPr>
            <w:tcW w:w="583" w:type="pct"/>
          </w:tcPr>
          <w:p w:rsidR="00565FD5" w:rsidRPr="007B2BC3" w:rsidRDefault="00565FD5" w:rsidP="00AB62A3">
            <w:pPr>
              <w:autoSpaceDE w:val="0"/>
              <w:autoSpaceDN w:val="0"/>
              <w:adjustRightInd w:val="0"/>
              <w:spacing w:before="100" w:after="100"/>
              <w:ind w:left="57" w:right="57"/>
              <w:rPr>
                <w:rFonts w:cs="Tahoma"/>
                <w:sz w:val="16"/>
                <w:szCs w:val="16"/>
              </w:rPr>
            </w:pPr>
            <w:r w:rsidRPr="007B2BC3">
              <w:rPr>
                <w:rFonts w:cs="Tahoma"/>
                <w:sz w:val="16"/>
                <w:szCs w:val="16"/>
              </w:rPr>
              <w:t>Mart Sonu</w:t>
            </w:r>
          </w:p>
        </w:tc>
        <w:tc>
          <w:tcPr>
            <w:tcW w:w="1607" w:type="pct"/>
          </w:tcPr>
          <w:p w:rsidR="00565FD5" w:rsidRPr="007B2BC3" w:rsidRDefault="00565FD5" w:rsidP="00AB62A3">
            <w:pPr>
              <w:autoSpaceDE w:val="0"/>
              <w:autoSpaceDN w:val="0"/>
              <w:adjustRightInd w:val="0"/>
              <w:spacing w:before="100" w:after="100"/>
              <w:ind w:left="57" w:right="57"/>
              <w:rPr>
                <w:rFonts w:cs="Tahoma"/>
                <w:sz w:val="16"/>
                <w:szCs w:val="16"/>
              </w:rPr>
            </w:pPr>
            <w:r w:rsidRPr="007B2BC3">
              <w:rPr>
                <w:rFonts w:cs="Tahoma"/>
                <w:sz w:val="16"/>
                <w:szCs w:val="16"/>
              </w:rPr>
              <w:t>Bugüne kadar yapılan çalışmalar ve elde edilen deneyimler ışığında Kamu İdareleri İçin Stratejik Planlama Kılavuzu gözden geçirilerek sistemin daha etkili çalışması için gerekli değişiklikler yapılacaktır.</w:t>
            </w:r>
          </w:p>
        </w:tc>
      </w:tr>
      <w:tr w:rsidR="00565FD5" w:rsidRPr="007B2BC3" w:rsidTr="00AB62A3">
        <w:trPr>
          <w:trHeight w:val="301"/>
        </w:trPr>
        <w:tc>
          <w:tcPr>
            <w:tcW w:w="1293" w:type="pct"/>
          </w:tcPr>
          <w:p w:rsidR="00565FD5" w:rsidRPr="007B2BC3" w:rsidRDefault="00565FD5" w:rsidP="00EB1E69">
            <w:pPr>
              <w:numPr>
                <w:ilvl w:val="0"/>
                <w:numId w:val="14"/>
              </w:numPr>
              <w:tabs>
                <w:tab w:val="left" w:pos="425"/>
              </w:tabs>
              <w:autoSpaceDE w:val="0"/>
              <w:autoSpaceDN w:val="0"/>
              <w:adjustRightInd w:val="0"/>
              <w:spacing w:before="100" w:after="100" w:line="240" w:lineRule="auto"/>
              <w:ind w:right="57"/>
              <w:rPr>
                <w:rFonts w:cs="Tahoma"/>
                <w:sz w:val="16"/>
                <w:szCs w:val="16"/>
              </w:rPr>
            </w:pPr>
            <w:r w:rsidRPr="007B2BC3">
              <w:rPr>
                <w:rFonts w:cs="Tahoma"/>
                <w:sz w:val="16"/>
                <w:szCs w:val="16"/>
              </w:rPr>
              <w:t>Merkezi kamu kurumlarının stratejik planlama süreçlerinin daha etkin ve etkili hale getirilmesi için gerekli mevzuat değişikliği yapılacaktır.</w:t>
            </w:r>
          </w:p>
        </w:tc>
        <w:tc>
          <w:tcPr>
            <w:tcW w:w="1517" w:type="pct"/>
          </w:tcPr>
          <w:p w:rsidR="00565FD5" w:rsidRPr="007B2BC3" w:rsidRDefault="00565FD5" w:rsidP="00AB62A3">
            <w:pPr>
              <w:spacing w:before="120"/>
              <w:ind w:left="57" w:right="57"/>
              <w:rPr>
                <w:rFonts w:cs="Tahoma"/>
                <w:sz w:val="16"/>
                <w:szCs w:val="16"/>
              </w:rPr>
            </w:pPr>
            <w:r w:rsidRPr="007B2BC3">
              <w:rPr>
                <w:rFonts w:cs="Tahoma"/>
                <w:sz w:val="16"/>
                <w:szCs w:val="16"/>
              </w:rPr>
              <w:t>Kalkınma Bakanlığı (S),</w:t>
            </w:r>
          </w:p>
          <w:p w:rsidR="00565FD5" w:rsidRPr="007B2BC3" w:rsidRDefault="00565FD5" w:rsidP="00AB62A3">
            <w:pPr>
              <w:ind w:left="57" w:right="57"/>
              <w:rPr>
                <w:rFonts w:cs="Tahoma"/>
                <w:sz w:val="16"/>
                <w:szCs w:val="16"/>
              </w:rPr>
            </w:pPr>
            <w:r w:rsidRPr="007B2BC3">
              <w:rPr>
                <w:rFonts w:cs="Tahoma"/>
                <w:sz w:val="16"/>
                <w:szCs w:val="16"/>
              </w:rPr>
              <w:t>İçişleri Bakanlığı,</w:t>
            </w:r>
          </w:p>
          <w:p w:rsidR="00565FD5" w:rsidRPr="007B2BC3" w:rsidRDefault="00565FD5" w:rsidP="00AB62A3">
            <w:pPr>
              <w:autoSpaceDE w:val="0"/>
              <w:autoSpaceDN w:val="0"/>
              <w:adjustRightInd w:val="0"/>
              <w:ind w:left="57" w:right="57"/>
              <w:rPr>
                <w:rFonts w:cs="Tahoma"/>
                <w:sz w:val="16"/>
                <w:szCs w:val="16"/>
              </w:rPr>
            </w:pPr>
            <w:r w:rsidRPr="007B2BC3">
              <w:rPr>
                <w:rFonts w:cs="Tahoma"/>
                <w:sz w:val="16"/>
                <w:szCs w:val="16"/>
              </w:rPr>
              <w:t>Maliye Bakanlığı,</w:t>
            </w:r>
          </w:p>
          <w:p w:rsidR="00565FD5" w:rsidRPr="007B2BC3" w:rsidRDefault="00565FD5" w:rsidP="00AB62A3">
            <w:pPr>
              <w:autoSpaceDE w:val="0"/>
              <w:autoSpaceDN w:val="0"/>
              <w:adjustRightInd w:val="0"/>
              <w:ind w:left="57" w:right="57"/>
              <w:rPr>
                <w:rFonts w:cs="Tahoma"/>
                <w:sz w:val="16"/>
                <w:szCs w:val="16"/>
              </w:rPr>
            </w:pPr>
            <w:r w:rsidRPr="007B2BC3">
              <w:rPr>
                <w:rFonts w:cs="Tahoma"/>
                <w:sz w:val="16"/>
                <w:szCs w:val="16"/>
              </w:rPr>
              <w:t>Yükseköğretim Kurulu</w:t>
            </w:r>
          </w:p>
          <w:p w:rsidR="00565FD5" w:rsidRPr="007B2BC3" w:rsidRDefault="00565FD5" w:rsidP="00AB62A3">
            <w:pPr>
              <w:autoSpaceDE w:val="0"/>
              <w:autoSpaceDN w:val="0"/>
              <w:adjustRightInd w:val="0"/>
              <w:ind w:left="57" w:right="57"/>
              <w:rPr>
                <w:rFonts w:cs="Tahoma"/>
                <w:sz w:val="16"/>
                <w:szCs w:val="16"/>
              </w:rPr>
            </w:pPr>
          </w:p>
        </w:tc>
        <w:tc>
          <w:tcPr>
            <w:tcW w:w="583" w:type="pct"/>
          </w:tcPr>
          <w:p w:rsidR="00565FD5" w:rsidRPr="007B2BC3" w:rsidRDefault="00565FD5" w:rsidP="00AB62A3">
            <w:pPr>
              <w:spacing w:before="100" w:after="100"/>
              <w:ind w:left="57" w:right="57"/>
              <w:rPr>
                <w:rFonts w:cs="Tahoma"/>
                <w:sz w:val="16"/>
                <w:szCs w:val="16"/>
              </w:rPr>
            </w:pPr>
            <w:r>
              <w:rPr>
                <w:rFonts w:cs="Tahoma"/>
                <w:sz w:val="16"/>
                <w:szCs w:val="16"/>
              </w:rPr>
              <w:t>Mart</w:t>
            </w:r>
            <w:r w:rsidRPr="007B2BC3">
              <w:rPr>
                <w:rFonts w:cs="Tahoma"/>
                <w:sz w:val="16"/>
                <w:szCs w:val="16"/>
              </w:rPr>
              <w:t xml:space="preserve"> Sonu</w:t>
            </w:r>
          </w:p>
        </w:tc>
        <w:tc>
          <w:tcPr>
            <w:tcW w:w="1607" w:type="pct"/>
          </w:tcPr>
          <w:p w:rsidR="00565FD5" w:rsidRPr="007B2BC3" w:rsidRDefault="00565FD5" w:rsidP="00AB62A3">
            <w:pPr>
              <w:autoSpaceDE w:val="0"/>
              <w:autoSpaceDN w:val="0"/>
              <w:adjustRightInd w:val="0"/>
              <w:spacing w:before="100" w:after="100"/>
              <w:ind w:left="57" w:right="57"/>
              <w:rPr>
                <w:rFonts w:cs="Tahoma"/>
                <w:sz w:val="16"/>
                <w:szCs w:val="16"/>
              </w:rPr>
            </w:pPr>
            <w:r w:rsidRPr="007B2BC3">
              <w:rPr>
                <w:rFonts w:cs="Tahoma"/>
                <w:sz w:val="16"/>
                <w:szCs w:val="16"/>
              </w:rPr>
              <w:t xml:space="preserve">Türk kamu yönetiminde stratejik yönetim uygulamasının mevcut durum değerlendirmesi yapılıp politika önerileri geliştirilecek, bu öneriler sonucunda yapılması gerekli görülen değişiklikler Kamu İdarelerinde Stratejik Planlamaya İlişkin Usul ve Esaslar Hakkında Yönetmeliğe yansıtılacaktır. </w:t>
            </w:r>
          </w:p>
        </w:tc>
      </w:tr>
      <w:tr w:rsidR="00565FD5" w:rsidRPr="007B2BC3" w:rsidTr="00AB62A3">
        <w:trPr>
          <w:trHeight w:val="395"/>
        </w:trPr>
        <w:tc>
          <w:tcPr>
            <w:tcW w:w="5000" w:type="pct"/>
            <w:gridSpan w:val="4"/>
          </w:tcPr>
          <w:p w:rsidR="00565FD5" w:rsidRPr="007B2BC3" w:rsidRDefault="00565FD5" w:rsidP="00EB1E69">
            <w:pPr>
              <w:numPr>
                <w:ilvl w:val="0"/>
                <w:numId w:val="15"/>
              </w:numPr>
              <w:tabs>
                <w:tab w:val="left" w:pos="425"/>
              </w:tabs>
              <w:spacing w:before="100" w:after="100" w:line="240" w:lineRule="auto"/>
              <w:ind w:right="57"/>
              <w:jc w:val="both"/>
              <w:rPr>
                <w:rFonts w:cs="Tahoma"/>
                <w:b/>
                <w:sz w:val="16"/>
                <w:szCs w:val="16"/>
              </w:rPr>
            </w:pPr>
            <w:r w:rsidRPr="007B2BC3">
              <w:rPr>
                <w:rFonts w:cs="Tahoma"/>
                <w:b/>
                <w:bCs/>
                <w:sz w:val="16"/>
                <w:szCs w:val="16"/>
              </w:rPr>
              <w:t>Kamu idarelerinde mevcut idari ve beşeri kapasite, nitelik ve nicelik olarak stratejik yönetim anlayışı doğrultusunda geliştirilecek, yönetim kültürünün yeni yapıya uyarlanmasına dönük programlar düzenlenecektir.</w:t>
            </w:r>
          </w:p>
        </w:tc>
      </w:tr>
      <w:tr w:rsidR="00565FD5" w:rsidRPr="007B2BC3" w:rsidTr="00AB62A3">
        <w:trPr>
          <w:trHeight w:val="1812"/>
        </w:trPr>
        <w:tc>
          <w:tcPr>
            <w:tcW w:w="1293" w:type="pct"/>
          </w:tcPr>
          <w:p w:rsidR="00565FD5" w:rsidRPr="007B2BC3" w:rsidRDefault="00565FD5" w:rsidP="00EB1E69">
            <w:pPr>
              <w:numPr>
                <w:ilvl w:val="0"/>
                <w:numId w:val="14"/>
              </w:numPr>
              <w:tabs>
                <w:tab w:val="left" w:pos="425"/>
              </w:tabs>
              <w:autoSpaceDE w:val="0"/>
              <w:autoSpaceDN w:val="0"/>
              <w:adjustRightInd w:val="0"/>
              <w:spacing w:before="100" w:after="100" w:line="240" w:lineRule="auto"/>
              <w:ind w:right="57"/>
              <w:rPr>
                <w:rFonts w:cs="Tahoma"/>
                <w:sz w:val="16"/>
                <w:szCs w:val="16"/>
              </w:rPr>
            </w:pPr>
            <w:r w:rsidRPr="007B2BC3">
              <w:rPr>
                <w:rFonts w:cs="Tahoma"/>
                <w:sz w:val="16"/>
                <w:szCs w:val="16"/>
              </w:rPr>
              <w:t>Kamu idarelerinde stratejik yönetime ilişkin idari kapasiteyi geliştirmeye yönelik modelin tanıtımı yapılacak ve uygulanması sağlanacaktır.</w:t>
            </w:r>
          </w:p>
        </w:tc>
        <w:tc>
          <w:tcPr>
            <w:tcW w:w="1517" w:type="pct"/>
          </w:tcPr>
          <w:p w:rsidR="00565FD5" w:rsidRPr="007B2BC3" w:rsidRDefault="00565FD5" w:rsidP="00AB62A3">
            <w:pPr>
              <w:spacing w:before="120"/>
              <w:ind w:left="57" w:right="57"/>
              <w:rPr>
                <w:rFonts w:cs="Tahoma"/>
                <w:sz w:val="16"/>
                <w:szCs w:val="16"/>
              </w:rPr>
            </w:pPr>
            <w:r w:rsidRPr="007B2BC3">
              <w:rPr>
                <w:rFonts w:cs="Tahoma"/>
                <w:sz w:val="16"/>
                <w:szCs w:val="16"/>
              </w:rPr>
              <w:t>Kalkınma Bakanlığı (S),</w:t>
            </w:r>
          </w:p>
          <w:p w:rsidR="00565FD5" w:rsidRPr="007B2BC3" w:rsidRDefault="00565FD5" w:rsidP="00AB62A3">
            <w:pPr>
              <w:autoSpaceDE w:val="0"/>
              <w:autoSpaceDN w:val="0"/>
              <w:adjustRightInd w:val="0"/>
              <w:ind w:left="57" w:right="57"/>
              <w:rPr>
                <w:rFonts w:cs="Tahoma"/>
                <w:sz w:val="16"/>
                <w:szCs w:val="16"/>
              </w:rPr>
            </w:pPr>
            <w:r w:rsidRPr="007B2BC3">
              <w:rPr>
                <w:rFonts w:cs="Tahoma"/>
                <w:sz w:val="16"/>
                <w:szCs w:val="16"/>
              </w:rPr>
              <w:t>Maliye Bakanlığı,</w:t>
            </w:r>
          </w:p>
          <w:p w:rsidR="00565FD5" w:rsidRPr="007B2BC3" w:rsidRDefault="00565FD5" w:rsidP="00AB62A3">
            <w:pPr>
              <w:autoSpaceDE w:val="0"/>
              <w:autoSpaceDN w:val="0"/>
              <w:adjustRightInd w:val="0"/>
              <w:ind w:left="57" w:right="57"/>
              <w:rPr>
                <w:rFonts w:cs="Tahoma"/>
                <w:sz w:val="16"/>
                <w:szCs w:val="16"/>
              </w:rPr>
            </w:pPr>
            <w:r w:rsidRPr="007B2BC3">
              <w:rPr>
                <w:rFonts w:cs="Tahoma"/>
                <w:sz w:val="16"/>
                <w:szCs w:val="16"/>
              </w:rPr>
              <w:t>TODAİE, Devlet Personel Başkanlığı, TÜSSİDE,</w:t>
            </w:r>
          </w:p>
          <w:p w:rsidR="00565FD5" w:rsidRPr="007B2BC3" w:rsidRDefault="00565FD5" w:rsidP="00AB62A3">
            <w:pPr>
              <w:autoSpaceDE w:val="0"/>
              <w:autoSpaceDN w:val="0"/>
              <w:adjustRightInd w:val="0"/>
              <w:ind w:left="57" w:right="57"/>
              <w:rPr>
                <w:rFonts w:cs="Tahoma"/>
                <w:sz w:val="16"/>
                <w:szCs w:val="16"/>
              </w:rPr>
            </w:pPr>
            <w:r w:rsidRPr="007B2BC3">
              <w:rPr>
                <w:rFonts w:cs="Tahoma"/>
                <w:sz w:val="16"/>
                <w:szCs w:val="16"/>
              </w:rPr>
              <w:t>Üniversiteler,</w:t>
            </w:r>
          </w:p>
          <w:p w:rsidR="00565FD5" w:rsidRPr="007B2BC3" w:rsidRDefault="00565FD5" w:rsidP="00AB62A3">
            <w:pPr>
              <w:autoSpaceDE w:val="0"/>
              <w:autoSpaceDN w:val="0"/>
              <w:adjustRightInd w:val="0"/>
              <w:ind w:left="57" w:right="57"/>
              <w:rPr>
                <w:rFonts w:cs="Tahoma"/>
                <w:sz w:val="16"/>
                <w:szCs w:val="16"/>
              </w:rPr>
            </w:pPr>
            <w:r w:rsidRPr="007B2BC3">
              <w:rPr>
                <w:rFonts w:cs="Tahoma"/>
                <w:sz w:val="16"/>
                <w:szCs w:val="16"/>
              </w:rPr>
              <w:t>Sivil Toplum Kuruluşları</w:t>
            </w:r>
          </w:p>
        </w:tc>
        <w:tc>
          <w:tcPr>
            <w:tcW w:w="583" w:type="pct"/>
          </w:tcPr>
          <w:p w:rsidR="00565FD5" w:rsidRPr="007B2BC3" w:rsidRDefault="00565FD5" w:rsidP="00AB62A3">
            <w:pPr>
              <w:spacing w:before="100" w:after="100"/>
              <w:ind w:left="57" w:right="57"/>
              <w:rPr>
                <w:rFonts w:cs="Tahoma"/>
                <w:sz w:val="16"/>
                <w:szCs w:val="16"/>
              </w:rPr>
            </w:pPr>
            <w:r w:rsidRPr="007B2BC3">
              <w:rPr>
                <w:rFonts w:cs="Tahoma"/>
                <w:sz w:val="16"/>
                <w:szCs w:val="16"/>
              </w:rPr>
              <w:t>Aralık Sonu</w:t>
            </w:r>
          </w:p>
        </w:tc>
        <w:tc>
          <w:tcPr>
            <w:tcW w:w="1607" w:type="pct"/>
          </w:tcPr>
          <w:p w:rsidR="00565FD5" w:rsidRPr="007B2BC3" w:rsidRDefault="00565FD5" w:rsidP="00AB62A3">
            <w:pPr>
              <w:autoSpaceDE w:val="0"/>
              <w:autoSpaceDN w:val="0"/>
              <w:adjustRightInd w:val="0"/>
              <w:spacing w:before="100" w:after="100"/>
              <w:ind w:left="57" w:right="57"/>
              <w:rPr>
                <w:rFonts w:cs="Tahoma"/>
                <w:sz w:val="16"/>
                <w:szCs w:val="16"/>
              </w:rPr>
            </w:pPr>
            <w:r w:rsidRPr="007B2BC3">
              <w:rPr>
                <w:rFonts w:cs="Tahoma"/>
                <w:sz w:val="16"/>
                <w:szCs w:val="16"/>
              </w:rPr>
              <w:t>Kalkınma Bakanlığı tarafından oluşturulan kamu idarelerinde stratejik yönetime ilişkin idari kapasitenin geliştirilmesi modelinin paydaşlara tanıtımı yapılarak model doğrultusunda kamu yöneticilerine yönelik eğitim programlarının uygulanması sağlanacaktır.</w:t>
            </w:r>
          </w:p>
        </w:tc>
      </w:tr>
    </w:tbl>
    <w:p w:rsidR="00565FD5" w:rsidRDefault="00565FD5" w:rsidP="00565FD5">
      <w:pPr>
        <w:ind w:left="510" w:right="510"/>
      </w:pPr>
    </w:p>
    <w:p w:rsidR="00565FD5" w:rsidRPr="007B2BC3" w:rsidRDefault="00565FD5" w:rsidP="00565FD5">
      <w:pPr>
        <w:ind w:left="510" w:right="510"/>
      </w:pPr>
    </w:p>
    <w:p w:rsidR="00565FD5" w:rsidRPr="007B2BC3" w:rsidRDefault="00565FD5" w:rsidP="00565FD5">
      <w:pPr>
        <w:pStyle w:val="Balk3"/>
      </w:pPr>
      <w:bookmarkStart w:id="3081" w:name="_Toc338494273"/>
      <w:bookmarkStart w:id="3082" w:name="_Toc338505671"/>
      <w:bookmarkStart w:id="3083" w:name="_Toc338523905"/>
      <w:bookmarkStart w:id="3084" w:name="_Toc338524136"/>
      <w:bookmarkStart w:id="3085" w:name="_Toc338526362"/>
      <w:bookmarkStart w:id="3086" w:name="_Toc338673805"/>
      <w:bookmarkStart w:id="3087" w:name="_Toc338711684"/>
      <w:r w:rsidRPr="007B2BC3">
        <w:t>C. KAMU KESİMİNDE İNSAN KAYNAKLARININ GELİŞTİRİLMESİ</w:t>
      </w:r>
      <w:bookmarkEnd w:id="3081"/>
      <w:bookmarkEnd w:id="3082"/>
      <w:bookmarkEnd w:id="3083"/>
      <w:bookmarkEnd w:id="3084"/>
      <w:bookmarkEnd w:id="3085"/>
      <w:bookmarkEnd w:id="3086"/>
      <w:bookmarkEnd w:id="3087"/>
    </w:p>
    <w:p w:rsidR="00565FD5" w:rsidRPr="007B2BC3" w:rsidRDefault="00565FD5" w:rsidP="00565FD5">
      <w:pPr>
        <w:pStyle w:val="Balk4"/>
      </w:pPr>
      <w:bookmarkStart w:id="3088" w:name="_Toc276076385"/>
      <w:bookmarkStart w:id="3089" w:name="_Toc244339701"/>
      <w:bookmarkStart w:id="3090" w:name="_Toc244315238"/>
      <w:bookmarkStart w:id="3091" w:name="_Toc244313761"/>
      <w:bookmarkStart w:id="3092" w:name="_Toc244255026"/>
      <w:bookmarkStart w:id="3093" w:name="_Toc244253776"/>
      <w:bookmarkStart w:id="3094" w:name="_Toc213065768"/>
      <w:bookmarkStart w:id="3095" w:name="_Toc181286131"/>
      <w:bookmarkStart w:id="3096" w:name="_Toc181285052"/>
      <w:bookmarkStart w:id="3097" w:name="_Toc307602107"/>
      <w:bookmarkStart w:id="3098" w:name="_Toc307670544"/>
      <w:bookmarkStart w:id="3099" w:name="_Toc307701771"/>
      <w:bookmarkStart w:id="3100" w:name="_Toc338505672"/>
      <w:bookmarkStart w:id="3101" w:name="_Toc338523906"/>
      <w:bookmarkStart w:id="3102" w:name="_Toc338524137"/>
      <w:bookmarkStart w:id="3103" w:name="_Toc338526363"/>
      <w:bookmarkStart w:id="3104" w:name="_Toc338673806"/>
      <w:bookmarkStart w:id="3105" w:name="_Toc338711685"/>
      <w:r w:rsidRPr="007B2BC3">
        <w:t>1. Mevcut Durum</w:t>
      </w:r>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p>
    <w:p w:rsidR="00565FD5" w:rsidRPr="007B2BC3" w:rsidRDefault="00565FD5" w:rsidP="00565FD5">
      <w:pPr>
        <w:ind w:firstLine="425"/>
        <w:rPr>
          <w:rFonts w:cs="Tahoma"/>
          <w:szCs w:val="18"/>
        </w:rPr>
      </w:pPr>
      <w:r w:rsidRPr="007B2BC3">
        <w:rPr>
          <w:rFonts w:cs="Tahoma"/>
          <w:szCs w:val="18"/>
        </w:rPr>
        <w:t xml:space="preserve">Kamu kesiminde etkili bir insan kaynağı geliştirme politikası uygulanması ve kamu personel sisteminde şeffaf, anlaşılır ve yeknesak kurallara dayanan mesleki yeterliliği, performansı ve hizmetin gereklerini esas alan bir düzenlemeye gidilmesi, kamuda etkinlik ve verimliliği önemli ölçüde artıracaktır. Bu çerçevede, kamu hizmetleri ile personel sayı ve yapısının analiz edilmesi, mevcut insan kaynaklarının etkin bir şekilde kullanılması ve niteliğinin artırılması ile hizmet-personel-ücret ilişkisinin sağlıklı bir şekilde kurulması ihtiyacı önemini korumaktadır. </w:t>
      </w:r>
    </w:p>
    <w:p w:rsidR="00565FD5" w:rsidRPr="007B2BC3" w:rsidRDefault="00565FD5" w:rsidP="00565FD5">
      <w:pPr>
        <w:ind w:firstLine="425"/>
        <w:rPr>
          <w:rFonts w:cs="Tahoma"/>
          <w:szCs w:val="18"/>
        </w:rPr>
      </w:pPr>
      <w:r w:rsidRPr="007B2BC3">
        <w:rPr>
          <w:rFonts w:cs="Tahoma"/>
          <w:szCs w:val="18"/>
        </w:rPr>
        <w:lastRenderedPageBreak/>
        <w:t>Kamu personelinin yeterli hizmet içi eğitime tabi tutulamaması, işlerini etkin ve verimli bir şekilde yürütecek bilgi ve beceriye kavuşmalarını engellemektedir. Sayısı ve içeriği yetersiz olan hizmet içi eğitim programları, belirli bir insan kaynağı geliştirme politikası çerçevesinde yürütülememektedir. Kamuda verimlilik kültürünü geliştirmek için hizmet içi eğitim programlarının yeni bir anlayış doğrultusunda ele alınma ihtiyacı bulunmaktadır.</w:t>
      </w:r>
    </w:p>
    <w:p w:rsidR="00565FD5" w:rsidRPr="007B2BC3" w:rsidRDefault="00565FD5" w:rsidP="00565FD5">
      <w:pPr>
        <w:spacing w:after="240"/>
        <w:ind w:firstLine="425"/>
        <w:rPr>
          <w:rFonts w:cs="Tahoma"/>
          <w:szCs w:val="18"/>
        </w:rPr>
      </w:pPr>
      <w:r w:rsidRPr="007B2BC3">
        <w:rPr>
          <w:rFonts w:cs="Tahoma"/>
          <w:szCs w:val="18"/>
        </w:rPr>
        <w:t>Personel değerlendirme sisteminin gözden geçirilerek, personelin performansının ölçülmesinde nesnel ve açık standartların geliştirilmesi önem arz etmektedir. Sicil sistemini kaldırarak yerine personel bilgi sistemini getiren 6111 sayılı Kanun, kurumlara personelin başarı ve verimliliğini ölçebilmeleri için değerlendirme ölçütleri belirleme imkanı getirmiştir. Devlet Personel Başkanlığı bu amaçla kurumlara rehberlik etmek üzere Performans Değerlendirme Kılavuzu hazırlanması çalışmalarını yürütmektedir.</w:t>
      </w:r>
    </w:p>
    <w:p w:rsidR="00565FD5" w:rsidRPr="007B2BC3" w:rsidRDefault="00565FD5" w:rsidP="00565FD5">
      <w:pPr>
        <w:spacing w:after="240"/>
        <w:ind w:firstLine="425"/>
        <w:rPr>
          <w:rFonts w:cs="Tahoma"/>
          <w:szCs w:val="18"/>
        </w:rPr>
      </w:pPr>
      <w:r w:rsidRPr="007B2BC3">
        <w:rPr>
          <w:rFonts w:cs="Tahoma"/>
          <w:szCs w:val="18"/>
        </w:rPr>
        <w:t xml:space="preserve">Görevde yükselme konusunun mevzuatta açık ve yeterli bir şekilde tanımlanmamış olması, kamu personelinin kurum ve kuruluşlar arasında dengesiz dağılımı, personel ve ücret düzeyinin hizmet gerekleri ile uyumsuzluğu kamu personel sisteminde göze çarpan diğer sorunlardır. </w:t>
      </w:r>
    </w:p>
    <w:p w:rsidR="00565FD5" w:rsidRPr="007B2BC3" w:rsidRDefault="00565FD5" w:rsidP="00565FD5">
      <w:pPr>
        <w:spacing w:after="240"/>
        <w:ind w:firstLine="425"/>
        <w:rPr>
          <w:rFonts w:cs="Tahoma"/>
          <w:szCs w:val="18"/>
        </w:rPr>
      </w:pPr>
      <w:r w:rsidRPr="007B2BC3">
        <w:rPr>
          <w:rFonts w:cs="Tahoma"/>
          <w:szCs w:val="18"/>
        </w:rPr>
        <w:t xml:space="preserve">Devletin genel kurumsal yapısının gözden geçirilmesi ve kamu yönetiminin temel ilkeleri ve yeniden yapılandırılması çalışmaları ile uyumlu personel rejimi reformu hazırlıkları Devlet Personel Başkanlığınca sürdürülmektedir.  </w:t>
      </w:r>
    </w:p>
    <w:p w:rsidR="00565FD5" w:rsidRPr="007B2BC3" w:rsidRDefault="00565FD5" w:rsidP="00565FD5">
      <w:pPr>
        <w:spacing w:after="240"/>
        <w:ind w:firstLine="425"/>
        <w:rPr>
          <w:rFonts w:cs="Tahoma"/>
          <w:szCs w:val="18"/>
        </w:rPr>
      </w:pPr>
      <w:r w:rsidRPr="007B2BC3">
        <w:rPr>
          <w:rFonts w:cs="Tahoma"/>
          <w:szCs w:val="18"/>
        </w:rPr>
        <w:t>6111 sayılı Kanun ile kamu sektöründe esnek çalışmaya imkan tanıyan bazı düzenlemeler yapılmış, söz konusu düzenlemelerin uygulamaya aktarılmasına yönelik çalışmalar sürdürülmektedir.</w:t>
      </w:r>
    </w:p>
    <w:p w:rsidR="00565FD5" w:rsidRPr="007B2BC3" w:rsidRDefault="00565FD5" w:rsidP="00565FD5">
      <w:pPr>
        <w:spacing w:after="240"/>
        <w:ind w:firstLine="425"/>
        <w:rPr>
          <w:rFonts w:cs="Tahoma"/>
          <w:szCs w:val="18"/>
        </w:rPr>
      </w:pPr>
      <w:r w:rsidRPr="007B2BC3">
        <w:rPr>
          <w:rFonts w:cs="Tahoma"/>
          <w:szCs w:val="18"/>
        </w:rPr>
        <w:t xml:space="preserve">Kamu personeli kayıt sisteminin tek bir veri tabanında toplanması amacına yönelik PER-NET projesinin altyapı çalışmaları Devlet Personel Başkanlığınca tamamlanmış olup uygulama veri girişine henüz açılmamıştır. Ancak kamuda çalışanlara ilişkin kadro bilgileri, yurtdışı eğitime gönderilenlere ilişkin bilgiler, özürlü istihdamına dair veriler gibi projeye bağlı uygulamalar farklı sistemler üzerinden kullanıma açılmıştır.  </w:t>
      </w:r>
    </w:p>
    <w:p w:rsidR="00565FD5" w:rsidRPr="007B2BC3" w:rsidRDefault="00565FD5" w:rsidP="00565FD5">
      <w:pPr>
        <w:pStyle w:val="Balk4"/>
      </w:pPr>
      <w:bookmarkStart w:id="3106" w:name="_Toc276076386"/>
      <w:bookmarkStart w:id="3107" w:name="_Toc244339702"/>
      <w:bookmarkStart w:id="3108" w:name="_Toc244315239"/>
      <w:bookmarkStart w:id="3109" w:name="_Toc244313762"/>
      <w:bookmarkStart w:id="3110" w:name="_Toc244255027"/>
      <w:bookmarkStart w:id="3111" w:name="_Toc244253777"/>
      <w:bookmarkStart w:id="3112" w:name="_Toc213065769"/>
      <w:bookmarkStart w:id="3113" w:name="_Toc181286132"/>
      <w:bookmarkStart w:id="3114" w:name="_Toc181285053"/>
      <w:bookmarkStart w:id="3115" w:name="_Toc307602108"/>
      <w:bookmarkStart w:id="3116" w:name="_Toc307670545"/>
      <w:bookmarkStart w:id="3117" w:name="_Toc307701772"/>
      <w:bookmarkStart w:id="3118" w:name="_Toc338505673"/>
      <w:bookmarkStart w:id="3119" w:name="_Toc338523907"/>
      <w:bookmarkStart w:id="3120" w:name="_Toc338524138"/>
      <w:bookmarkStart w:id="3121" w:name="_Toc338526364"/>
      <w:bookmarkStart w:id="3122" w:name="_Toc338673807"/>
      <w:bookmarkStart w:id="3123" w:name="_Toc338711686"/>
      <w:r w:rsidRPr="007B2BC3">
        <w:t>2. Temel Amaç ve Hedefler</w:t>
      </w:r>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p>
    <w:p w:rsidR="00565FD5" w:rsidRPr="007B2BC3" w:rsidRDefault="00565FD5" w:rsidP="00565FD5">
      <w:pPr>
        <w:spacing w:after="240"/>
        <w:ind w:firstLine="425"/>
        <w:rPr>
          <w:rFonts w:cs="Tahoma"/>
          <w:szCs w:val="18"/>
        </w:rPr>
      </w:pPr>
      <w:r w:rsidRPr="007B2BC3">
        <w:rPr>
          <w:rFonts w:cs="Tahoma"/>
          <w:szCs w:val="18"/>
        </w:rPr>
        <w:t>Kamu kurum ve kuruluşlarında etkili bir insan kaynakları planlamasının yapılması, hizmet gereklerine uygun sayı ve nitelikte personel istihdamı, kamu görevlilerinin yönetsel karar alma süreçlerine katılım düzeylerinin artırılması ve kamu personel sisteminin iyileştirilmesi temel amaçtır.</w:t>
      </w:r>
    </w:p>
    <w:p w:rsidR="00565FD5" w:rsidRPr="007B2BC3" w:rsidRDefault="00565FD5" w:rsidP="00565FD5">
      <w:pPr>
        <w:pStyle w:val="Balk4"/>
      </w:pPr>
      <w:bookmarkStart w:id="3124" w:name="_Toc276076387"/>
      <w:bookmarkStart w:id="3125" w:name="_Toc244339703"/>
      <w:bookmarkStart w:id="3126" w:name="_Toc244315240"/>
      <w:bookmarkStart w:id="3127" w:name="_Toc244313763"/>
      <w:bookmarkStart w:id="3128" w:name="_Toc244255028"/>
      <w:bookmarkStart w:id="3129" w:name="_Toc244253778"/>
      <w:bookmarkStart w:id="3130" w:name="_Toc213065770"/>
      <w:bookmarkStart w:id="3131" w:name="_Toc307602109"/>
      <w:bookmarkStart w:id="3132" w:name="_Toc307670546"/>
      <w:bookmarkStart w:id="3133" w:name="_Toc307701773"/>
      <w:bookmarkStart w:id="3134" w:name="_Toc338505674"/>
      <w:bookmarkStart w:id="3135" w:name="_Toc338523908"/>
      <w:bookmarkStart w:id="3136" w:name="_Toc338524139"/>
      <w:bookmarkStart w:id="3137" w:name="_Toc338526365"/>
      <w:bookmarkStart w:id="3138" w:name="_Toc338673808"/>
      <w:bookmarkStart w:id="3139" w:name="_Toc338711687"/>
      <w:r w:rsidRPr="007B2BC3">
        <w:t>3. Politika Öncelikleri ve Tedbirler</w:t>
      </w:r>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728"/>
        <w:gridCol w:w="2348"/>
        <w:gridCol w:w="653"/>
        <w:gridCol w:w="2415"/>
      </w:tblGrid>
      <w:tr w:rsidR="00565FD5" w:rsidRPr="007B2BC3" w:rsidTr="00AB62A3">
        <w:trPr>
          <w:trHeight w:val="567"/>
          <w:jc w:val="center"/>
        </w:trPr>
        <w:tc>
          <w:tcPr>
            <w:tcW w:w="1210" w:type="pct"/>
            <w:shd w:val="clear" w:color="auto" w:fill="FFFFFF"/>
            <w:vAlign w:val="bottom"/>
          </w:tcPr>
          <w:p w:rsidR="00565FD5" w:rsidRPr="007B2BC3" w:rsidRDefault="00565FD5" w:rsidP="00AB62A3">
            <w:pPr>
              <w:spacing w:before="120" w:after="120"/>
              <w:rPr>
                <w:rFonts w:cs="Tahoma"/>
                <w:b/>
                <w:bCs/>
                <w:color w:val="000000"/>
                <w:sz w:val="16"/>
                <w:szCs w:val="16"/>
                <w:lang w:eastAsia="tr-TR"/>
              </w:rPr>
            </w:pPr>
            <w:r w:rsidRPr="007B2BC3">
              <w:rPr>
                <w:rFonts w:cs="Tahoma"/>
                <w:b/>
                <w:bCs/>
                <w:color w:val="000000"/>
                <w:sz w:val="16"/>
                <w:szCs w:val="16"/>
                <w:lang w:eastAsia="tr-TR"/>
              </w:rPr>
              <w:t>Öncelik / Tedbir</w:t>
            </w:r>
          </w:p>
        </w:tc>
        <w:tc>
          <w:tcPr>
            <w:tcW w:w="1643" w:type="pct"/>
            <w:shd w:val="clear" w:color="auto" w:fill="FFFFFF"/>
          </w:tcPr>
          <w:p w:rsidR="00565FD5" w:rsidRPr="007B2BC3" w:rsidRDefault="00565FD5" w:rsidP="00AB62A3">
            <w:pPr>
              <w:spacing w:before="120" w:after="120"/>
              <w:rPr>
                <w:rFonts w:cs="Tahoma"/>
                <w:b/>
                <w:bCs/>
                <w:color w:val="000000"/>
                <w:sz w:val="16"/>
                <w:szCs w:val="16"/>
                <w:lang w:eastAsia="tr-TR"/>
              </w:rPr>
            </w:pPr>
            <w:r w:rsidRPr="007B2BC3">
              <w:rPr>
                <w:rFonts w:cs="Tahoma"/>
                <w:b/>
                <w:bCs/>
                <w:color w:val="000000"/>
                <w:sz w:val="16"/>
                <w:szCs w:val="16"/>
                <w:lang w:eastAsia="tr-TR"/>
              </w:rPr>
              <w:t>Sorumlu /İşbirliği Yapılacak Kuruluşlar</w:t>
            </w:r>
          </w:p>
        </w:tc>
        <w:tc>
          <w:tcPr>
            <w:tcW w:w="457" w:type="pct"/>
            <w:shd w:val="clear" w:color="auto" w:fill="FFFFFF"/>
            <w:vAlign w:val="bottom"/>
          </w:tcPr>
          <w:p w:rsidR="00565FD5" w:rsidRPr="007B2BC3" w:rsidRDefault="00565FD5" w:rsidP="00AB62A3">
            <w:pPr>
              <w:spacing w:before="120" w:after="120"/>
              <w:rPr>
                <w:rFonts w:cs="Tahoma"/>
                <w:b/>
                <w:bCs/>
                <w:color w:val="000000"/>
                <w:sz w:val="16"/>
                <w:szCs w:val="16"/>
                <w:lang w:eastAsia="tr-TR"/>
              </w:rPr>
            </w:pPr>
            <w:r w:rsidRPr="007B2BC3">
              <w:rPr>
                <w:rFonts w:cs="Tahoma"/>
                <w:b/>
                <w:bCs/>
                <w:color w:val="000000"/>
                <w:sz w:val="16"/>
                <w:szCs w:val="16"/>
                <w:lang w:eastAsia="tr-TR"/>
              </w:rPr>
              <w:t>Süre</w:t>
            </w:r>
          </w:p>
        </w:tc>
        <w:tc>
          <w:tcPr>
            <w:tcW w:w="1689" w:type="pct"/>
            <w:shd w:val="clear" w:color="auto" w:fill="FFFFFF"/>
            <w:vAlign w:val="bottom"/>
          </w:tcPr>
          <w:p w:rsidR="00565FD5" w:rsidRPr="007B2BC3" w:rsidRDefault="00565FD5" w:rsidP="00AB62A3">
            <w:pPr>
              <w:spacing w:before="120" w:after="120"/>
              <w:rPr>
                <w:rFonts w:cs="Tahoma"/>
                <w:b/>
                <w:bCs/>
                <w:color w:val="000000"/>
                <w:sz w:val="16"/>
                <w:szCs w:val="16"/>
                <w:lang w:eastAsia="tr-TR"/>
              </w:rPr>
            </w:pPr>
            <w:r w:rsidRPr="007B2BC3">
              <w:rPr>
                <w:rFonts w:cs="Tahoma"/>
                <w:b/>
                <w:bCs/>
                <w:color w:val="000000"/>
                <w:sz w:val="16"/>
                <w:szCs w:val="16"/>
                <w:lang w:eastAsia="tr-TR"/>
              </w:rPr>
              <w:t>Yapılacak İşlem ve Açıklama</w:t>
            </w:r>
          </w:p>
        </w:tc>
      </w:tr>
      <w:tr w:rsidR="00565FD5" w:rsidRPr="007B2BC3" w:rsidTr="00AB62A3">
        <w:trPr>
          <w:trHeight w:val="20"/>
          <w:jc w:val="center"/>
        </w:trPr>
        <w:tc>
          <w:tcPr>
            <w:tcW w:w="5000" w:type="pct"/>
            <w:gridSpan w:val="4"/>
            <w:shd w:val="clear" w:color="auto" w:fill="FFFFFF"/>
          </w:tcPr>
          <w:p w:rsidR="00565FD5" w:rsidRPr="007B2BC3" w:rsidRDefault="00565FD5" w:rsidP="00EB1E69">
            <w:pPr>
              <w:numPr>
                <w:ilvl w:val="0"/>
                <w:numId w:val="15"/>
              </w:numPr>
              <w:spacing w:before="120" w:after="120" w:line="240" w:lineRule="auto"/>
              <w:rPr>
                <w:rFonts w:cs="Tahoma"/>
                <w:b/>
                <w:bCs/>
                <w:color w:val="000000"/>
                <w:sz w:val="16"/>
                <w:szCs w:val="16"/>
                <w:lang w:eastAsia="tr-TR"/>
              </w:rPr>
            </w:pPr>
            <w:r w:rsidRPr="007B2BC3">
              <w:rPr>
                <w:rFonts w:cs="Tahoma"/>
                <w:b/>
                <w:bCs/>
                <w:color w:val="000000"/>
                <w:sz w:val="16"/>
                <w:szCs w:val="16"/>
                <w:lang w:eastAsia="tr-TR"/>
              </w:rPr>
              <w:t>Kamu personeli bilgi sisteminin oluşturulmasına yönelik çalışmalar yürütülecektir.</w:t>
            </w:r>
          </w:p>
        </w:tc>
      </w:tr>
      <w:tr w:rsidR="00565FD5" w:rsidRPr="007B2BC3" w:rsidTr="00AB62A3">
        <w:trPr>
          <w:trHeight w:val="20"/>
          <w:jc w:val="center"/>
        </w:trPr>
        <w:tc>
          <w:tcPr>
            <w:tcW w:w="1210" w:type="pct"/>
            <w:shd w:val="clear" w:color="auto" w:fill="FFFFFF"/>
          </w:tcPr>
          <w:p w:rsidR="00565FD5" w:rsidRPr="007B2BC3" w:rsidRDefault="00565FD5" w:rsidP="00EB1E69">
            <w:pPr>
              <w:numPr>
                <w:ilvl w:val="0"/>
                <w:numId w:val="14"/>
              </w:numPr>
              <w:spacing w:before="120" w:after="120" w:line="240" w:lineRule="auto"/>
              <w:ind w:left="0"/>
              <w:rPr>
                <w:rFonts w:cs="Tahoma"/>
                <w:color w:val="000000"/>
                <w:sz w:val="16"/>
                <w:szCs w:val="16"/>
                <w:lang w:eastAsia="tr-TR"/>
              </w:rPr>
            </w:pPr>
            <w:r w:rsidRPr="007B2BC3">
              <w:rPr>
                <w:rFonts w:cs="Tahoma"/>
                <w:color w:val="000000"/>
                <w:sz w:val="16"/>
                <w:szCs w:val="16"/>
                <w:lang w:eastAsia="tr-TR"/>
              </w:rPr>
              <w:t>Kamu personeli bilgi sistemi tamamlanacaktır.</w:t>
            </w:r>
          </w:p>
        </w:tc>
        <w:tc>
          <w:tcPr>
            <w:tcW w:w="1643" w:type="pct"/>
            <w:shd w:val="clear" w:color="auto" w:fill="FFFFFF"/>
          </w:tcPr>
          <w:p w:rsidR="00565FD5" w:rsidRPr="007B2BC3" w:rsidRDefault="00565FD5" w:rsidP="00AB62A3">
            <w:pPr>
              <w:spacing w:before="120" w:after="120"/>
              <w:rPr>
                <w:rFonts w:cs="Tahoma"/>
                <w:color w:val="000000"/>
                <w:sz w:val="16"/>
                <w:szCs w:val="16"/>
                <w:lang w:eastAsia="tr-TR"/>
              </w:rPr>
            </w:pPr>
            <w:r w:rsidRPr="007B2BC3">
              <w:rPr>
                <w:rFonts w:cs="Tahoma"/>
                <w:color w:val="000000"/>
                <w:sz w:val="16"/>
                <w:szCs w:val="16"/>
                <w:lang w:eastAsia="tr-TR"/>
              </w:rPr>
              <w:t>Devlet Personel Başkanlığı (S), Maliye Bakanlığı, Kalkınma Bakanlığı, ÇSGB, TODAİE, Diğer Kamu Kurum ve Kuruluşları</w:t>
            </w:r>
          </w:p>
        </w:tc>
        <w:tc>
          <w:tcPr>
            <w:tcW w:w="457" w:type="pct"/>
            <w:shd w:val="clear" w:color="auto" w:fill="FFFFFF"/>
          </w:tcPr>
          <w:p w:rsidR="00565FD5" w:rsidRPr="007B2BC3" w:rsidRDefault="00565FD5" w:rsidP="00AB62A3">
            <w:pPr>
              <w:spacing w:before="120" w:after="120"/>
              <w:rPr>
                <w:rFonts w:cs="Tahoma"/>
                <w:color w:val="000000"/>
                <w:sz w:val="16"/>
                <w:szCs w:val="16"/>
                <w:lang w:eastAsia="tr-TR"/>
              </w:rPr>
            </w:pPr>
            <w:r w:rsidRPr="007B2BC3">
              <w:rPr>
                <w:rFonts w:cs="Tahoma"/>
                <w:color w:val="000000"/>
                <w:sz w:val="16"/>
                <w:szCs w:val="16"/>
                <w:lang w:eastAsia="tr-TR"/>
              </w:rPr>
              <w:t>Aralık Sonu</w:t>
            </w:r>
          </w:p>
        </w:tc>
        <w:tc>
          <w:tcPr>
            <w:tcW w:w="1689" w:type="pct"/>
            <w:shd w:val="clear" w:color="auto" w:fill="FFFFFF"/>
          </w:tcPr>
          <w:p w:rsidR="00565FD5" w:rsidRDefault="00565FD5" w:rsidP="00AB62A3">
            <w:pPr>
              <w:spacing w:before="120" w:after="120"/>
              <w:rPr>
                <w:rFonts w:cs="Tahoma"/>
                <w:color w:val="000000"/>
                <w:sz w:val="16"/>
                <w:szCs w:val="16"/>
                <w:lang w:eastAsia="tr-TR"/>
              </w:rPr>
            </w:pPr>
            <w:r w:rsidRPr="007B2BC3">
              <w:rPr>
                <w:rFonts w:cs="Tahoma"/>
                <w:color w:val="000000"/>
                <w:sz w:val="16"/>
                <w:szCs w:val="16"/>
                <w:lang w:eastAsia="tr-TR"/>
              </w:rPr>
              <w:t xml:space="preserve">Kamu kurum ve kuruluşlarında etkili bir insan kaynakları planlaması yapabilmek ve kamu personeline ilişkin ihtiyaç duyulan izlemeleri, değerlendirmeleri ve görevlendirmeleri sağlıklı bir şeklide yürütebilmek amacıyla Devlet Personel Başkanlığı bünyesinde oluşturulmakta olan </w:t>
            </w:r>
            <w:r w:rsidRPr="007B2BC3">
              <w:rPr>
                <w:rFonts w:cs="Tahoma"/>
                <w:color w:val="000000"/>
                <w:sz w:val="16"/>
                <w:szCs w:val="16"/>
                <w:lang w:eastAsia="tr-TR"/>
              </w:rPr>
              <w:lastRenderedPageBreak/>
              <w:t>kamu personeli bilgi sistemi tamamlanacaktır.</w:t>
            </w:r>
          </w:p>
          <w:p w:rsidR="00565FD5" w:rsidRPr="007B2BC3" w:rsidRDefault="00565FD5" w:rsidP="00AB62A3">
            <w:pPr>
              <w:spacing w:before="120" w:after="120"/>
              <w:rPr>
                <w:rFonts w:cs="Tahoma"/>
                <w:color w:val="000000"/>
                <w:sz w:val="16"/>
                <w:szCs w:val="16"/>
                <w:lang w:eastAsia="tr-TR"/>
              </w:rPr>
            </w:pPr>
          </w:p>
        </w:tc>
      </w:tr>
      <w:tr w:rsidR="00565FD5" w:rsidRPr="007B2BC3" w:rsidTr="00AB62A3">
        <w:trPr>
          <w:trHeight w:val="20"/>
          <w:jc w:val="center"/>
        </w:trPr>
        <w:tc>
          <w:tcPr>
            <w:tcW w:w="5000" w:type="pct"/>
            <w:gridSpan w:val="4"/>
            <w:shd w:val="clear" w:color="auto" w:fill="FFFFFF"/>
          </w:tcPr>
          <w:p w:rsidR="00565FD5" w:rsidRPr="007B2BC3" w:rsidRDefault="00565FD5" w:rsidP="00EB1E69">
            <w:pPr>
              <w:numPr>
                <w:ilvl w:val="0"/>
                <w:numId w:val="15"/>
              </w:numPr>
              <w:spacing w:before="120" w:after="120" w:line="240" w:lineRule="auto"/>
              <w:jc w:val="both"/>
              <w:rPr>
                <w:rFonts w:cs="Tahoma"/>
                <w:b/>
                <w:bCs/>
                <w:color w:val="000000"/>
                <w:sz w:val="16"/>
                <w:szCs w:val="16"/>
                <w:lang w:eastAsia="tr-TR"/>
              </w:rPr>
            </w:pPr>
            <w:r w:rsidRPr="007B2BC3">
              <w:rPr>
                <w:rFonts w:cs="Tahoma"/>
                <w:b/>
                <w:bCs/>
                <w:color w:val="000000"/>
                <w:sz w:val="16"/>
                <w:szCs w:val="16"/>
                <w:lang w:eastAsia="tr-TR"/>
              </w:rPr>
              <w:lastRenderedPageBreak/>
              <w:t>Kamuda insan kaynakları yönetiminin etkinleştirilmesi, performans sisteminin oluşturulması ve hizmet içi eğitimin yaygınlaştırılması amacıyla düzenlemeler yapılacaktır.</w:t>
            </w:r>
          </w:p>
        </w:tc>
      </w:tr>
      <w:tr w:rsidR="00565FD5" w:rsidRPr="007B2BC3" w:rsidTr="00AB62A3">
        <w:trPr>
          <w:trHeight w:val="1837"/>
          <w:jc w:val="center"/>
        </w:trPr>
        <w:tc>
          <w:tcPr>
            <w:tcW w:w="1210" w:type="pct"/>
            <w:shd w:val="clear" w:color="auto" w:fill="FFFFFF"/>
          </w:tcPr>
          <w:p w:rsidR="00565FD5" w:rsidRPr="007B2BC3" w:rsidRDefault="00565FD5" w:rsidP="00EB1E69">
            <w:pPr>
              <w:numPr>
                <w:ilvl w:val="0"/>
                <w:numId w:val="14"/>
              </w:numPr>
              <w:spacing w:before="120" w:after="120" w:line="240" w:lineRule="auto"/>
              <w:ind w:left="0"/>
              <w:rPr>
                <w:rFonts w:cs="Tahoma"/>
                <w:color w:val="000000"/>
                <w:sz w:val="16"/>
                <w:szCs w:val="16"/>
                <w:lang w:eastAsia="tr-TR"/>
              </w:rPr>
            </w:pPr>
            <w:r w:rsidRPr="007B2BC3">
              <w:rPr>
                <w:rFonts w:cs="Tahoma"/>
                <w:color w:val="000000"/>
                <w:sz w:val="16"/>
                <w:szCs w:val="16"/>
                <w:lang w:eastAsia="tr-TR"/>
              </w:rPr>
              <w:t>Kamu personel sisteminin kurumsal yönetim yapısı gözden geçirilecektir.</w:t>
            </w:r>
          </w:p>
        </w:tc>
        <w:tc>
          <w:tcPr>
            <w:tcW w:w="1643" w:type="pct"/>
            <w:shd w:val="clear" w:color="auto" w:fill="FFFFFF"/>
          </w:tcPr>
          <w:p w:rsidR="00565FD5" w:rsidRPr="007B2BC3" w:rsidRDefault="00565FD5" w:rsidP="00AB62A3">
            <w:pPr>
              <w:spacing w:before="120" w:after="120"/>
              <w:rPr>
                <w:rFonts w:cs="Tahoma"/>
                <w:color w:val="000000"/>
                <w:sz w:val="16"/>
                <w:szCs w:val="16"/>
                <w:lang w:eastAsia="tr-TR"/>
              </w:rPr>
            </w:pPr>
            <w:r w:rsidRPr="007B2BC3">
              <w:rPr>
                <w:rFonts w:cs="Tahoma"/>
                <w:color w:val="000000"/>
                <w:sz w:val="16"/>
                <w:szCs w:val="16"/>
                <w:lang w:eastAsia="tr-TR"/>
              </w:rPr>
              <w:t xml:space="preserve">Devlet Personel Başkanlığı (S), Maliye Bakanlığı, Kalkınma Bakanlığı, </w:t>
            </w:r>
            <w:r w:rsidRPr="0080051C">
              <w:rPr>
                <w:rFonts w:cs="Tahoma"/>
                <w:sz w:val="16"/>
                <w:szCs w:val="16"/>
                <w:lang w:eastAsia="tr-TR"/>
              </w:rPr>
              <w:t>Ulaştırma</w:t>
            </w:r>
            <w:r>
              <w:rPr>
                <w:rFonts w:cs="Tahoma"/>
                <w:sz w:val="16"/>
                <w:szCs w:val="16"/>
                <w:lang w:eastAsia="tr-TR"/>
              </w:rPr>
              <w:t>, Denizcilik ve Haberleşme</w:t>
            </w:r>
            <w:r w:rsidRPr="0080051C">
              <w:rPr>
                <w:rFonts w:cs="Tahoma"/>
                <w:sz w:val="16"/>
                <w:szCs w:val="16"/>
                <w:lang w:eastAsia="tr-TR"/>
              </w:rPr>
              <w:t xml:space="preserve"> Bakanlığı,</w:t>
            </w:r>
          </w:p>
        </w:tc>
        <w:tc>
          <w:tcPr>
            <w:tcW w:w="457" w:type="pct"/>
            <w:shd w:val="clear" w:color="auto" w:fill="FFFFFF"/>
          </w:tcPr>
          <w:p w:rsidR="00565FD5" w:rsidRPr="007B2BC3" w:rsidRDefault="00565FD5" w:rsidP="00AB62A3">
            <w:pPr>
              <w:spacing w:before="120" w:after="120"/>
              <w:rPr>
                <w:rFonts w:cs="Tahoma"/>
                <w:color w:val="000000"/>
                <w:sz w:val="16"/>
                <w:szCs w:val="16"/>
                <w:lang w:eastAsia="tr-TR"/>
              </w:rPr>
            </w:pPr>
            <w:r w:rsidRPr="007B2BC3">
              <w:rPr>
                <w:rFonts w:cs="Tahoma"/>
                <w:color w:val="000000"/>
                <w:sz w:val="16"/>
                <w:szCs w:val="16"/>
                <w:lang w:eastAsia="tr-TR"/>
              </w:rPr>
              <w:t>Aralık Sonu</w:t>
            </w:r>
          </w:p>
        </w:tc>
        <w:tc>
          <w:tcPr>
            <w:tcW w:w="1689" w:type="pct"/>
            <w:shd w:val="clear" w:color="auto" w:fill="FFFFFF"/>
          </w:tcPr>
          <w:p w:rsidR="00565FD5" w:rsidRPr="007B2BC3" w:rsidRDefault="00565FD5" w:rsidP="00AB62A3">
            <w:pPr>
              <w:spacing w:before="120" w:after="120"/>
              <w:rPr>
                <w:rFonts w:cs="Tahoma"/>
                <w:color w:val="000000"/>
                <w:sz w:val="16"/>
                <w:szCs w:val="16"/>
                <w:lang w:eastAsia="tr-TR"/>
              </w:rPr>
            </w:pPr>
            <w:r w:rsidRPr="007B2BC3">
              <w:rPr>
                <w:rFonts w:cs="Tahoma"/>
                <w:color w:val="000000"/>
                <w:sz w:val="16"/>
                <w:szCs w:val="16"/>
                <w:lang w:eastAsia="tr-TR"/>
              </w:rPr>
              <w:t>Tüm kamu kurum ve kuruluşlarında personel sistemi, işe alımdan emeklilik sonrasına kadarki süreçleri kapsayan bir insan kaynakları yönetimi anlayışıyla ele alınarak düzenlenecektir. Merkezi kamu personeli yerleştirme sistemi gözden geçirilerek daha etkin bir hale getirilecektir.</w:t>
            </w:r>
          </w:p>
        </w:tc>
      </w:tr>
      <w:tr w:rsidR="00565FD5" w:rsidRPr="007B2BC3" w:rsidTr="00AB62A3">
        <w:trPr>
          <w:trHeight w:val="20"/>
          <w:jc w:val="center"/>
        </w:trPr>
        <w:tc>
          <w:tcPr>
            <w:tcW w:w="1210" w:type="pct"/>
            <w:shd w:val="clear" w:color="auto" w:fill="FFFFFF"/>
          </w:tcPr>
          <w:p w:rsidR="00565FD5" w:rsidRPr="007B2BC3" w:rsidRDefault="00565FD5" w:rsidP="00EB1E69">
            <w:pPr>
              <w:numPr>
                <w:ilvl w:val="0"/>
                <w:numId w:val="14"/>
              </w:numPr>
              <w:spacing w:before="120" w:after="120" w:line="240" w:lineRule="auto"/>
              <w:ind w:left="0"/>
              <w:rPr>
                <w:rFonts w:cs="Tahoma"/>
                <w:color w:val="000000"/>
                <w:sz w:val="16"/>
                <w:szCs w:val="16"/>
                <w:lang w:eastAsia="tr-TR"/>
              </w:rPr>
            </w:pPr>
            <w:r w:rsidRPr="007B2BC3">
              <w:rPr>
                <w:rFonts w:cs="Tahoma"/>
                <w:color w:val="000000"/>
                <w:sz w:val="16"/>
                <w:szCs w:val="16"/>
                <w:lang w:eastAsia="tr-TR"/>
              </w:rPr>
              <w:t>Kamu personelinin, sürekli ve etkin bir hizmet içi eğitim programına tabi tutulması sağlanacaktır.</w:t>
            </w:r>
          </w:p>
        </w:tc>
        <w:tc>
          <w:tcPr>
            <w:tcW w:w="1643" w:type="pct"/>
            <w:shd w:val="clear" w:color="auto" w:fill="FFFFFF"/>
          </w:tcPr>
          <w:p w:rsidR="00565FD5" w:rsidRPr="007B2BC3" w:rsidRDefault="00565FD5" w:rsidP="00AB62A3">
            <w:pPr>
              <w:spacing w:before="120" w:after="120"/>
              <w:rPr>
                <w:rFonts w:cs="Tahoma"/>
                <w:color w:val="000000"/>
                <w:sz w:val="16"/>
                <w:szCs w:val="16"/>
                <w:lang w:eastAsia="tr-TR"/>
              </w:rPr>
            </w:pPr>
            <w:r w:rsidRPr="007B2BC3">
              <w:rPr>
                <w:rFonts w:cs="Tahoma"/>
                <w:color w:val="000000"/>
                <w:sz w:val="16"/>
                <w:szCs w:val="16"/>
                <w:lang w:eastAsia="tr-TR"/>
              </w:rPr>
              <w:t>Devlet Personel Başkanlığı (S), TODAİE</w:t>
            </w:r>
          </w:p>
        </w:tc>
        <w:tc>
          <w:tcPr>
            <w:tcW w:w="457" w:type="pct"/>
            <w:shd w:val="clear" w:color="auto" w:fill="FFFFFF"/>
          </w:tcPr>
          <w:p w:rsidR="00565FD5" w:rsidRPr="007B2BC3" w:rsidRDefault="00565FD5" w:rsidP="00AB62A3">
            <w:pPr>
              <w:spacing w:before="120" w:after="120"/>
              <w:rPr>
                <w:rFonts w:cs="Tahoma"/>
                <w:color w:val="000000"/>
                <w:sz w:val="16"/>
                <w:szCs w:val="16"/>
                <w:lang w:eastAsia="tr-TR"/>
              </w:rPr>
            </w:pPr>
            <w:r w:rsidRPr="007B2BC3">
              <w:rPr>
                <w:rFonts w:cs="Tahoma"/>
                <w:color w:val="000000"/>
                <w:sz w:val="16"/>
                <w:szCs w:val="16"/>
                <w:lang w:eastAsia="tr-TR"/>
              </w:rPr>
              <w:t>Aralık Sonu</w:t>
            </w:r>
          </w:p>
        </w:tc>
        <w:tc>
          <w:tcPr>
            <w:tcW w:w="1689" w:type="pct"/>
            <w:shd w:val="clear" w:color="auto" w:fill="FFFFFF"/>
          </w:tcPr>
          <w:p w:rsidR="00565FD5" w:rsidRPr="007B2BC3" w:rsidRDefault="00565FD5" w:rsidP="00AB62A3">
            <w:pPr>
              <w:spacing w:before="120" w:after="120"/>
              <w:rPr>
                <w:rFonts w:cs="Tahoma"/>
                <w:color w:val="000000"/>
                <w:sz w:val="16"/>
                <w:szCs w:val="16"/>
                <w:lang w:eastAsia="tr-TR"/>
              </w:rPr>
            </w:pPr>
            <w:r w:rsidRPr="007B2BC3">
              <w:rPr>
                <w:rFonts w:cs="Tahoma"/>
                <w:color w:val="000000"/>
                <w:sz w:val="16"/>
                <w:szCs w:val="16"/>
                <w:lang w:eastAsia="tr-TR"/>
              </w:rPr>
              <w:t>Kamu çalışanlarının verimliliğini artırmak ve insan kaynaklarında verimlilik kültürü oluşturmak amacıyla personel, yönetici ve hizmet açısından verimliliğe etki eden faktörlerin tespitine ilişkin araştırmalar yapılacak ve yapılan çalışma sonucunda gerekli idari ve yasal düzenlemeler yapılacaktır. TODAİE’nin de katkısıyla yönetici ve diğer personelin hizmet içi eğitim programları aracılığıyla niteliklerinin artırılmasına katkıda bulunulacaktır.</w:t>
            </w:r>
          </w:p>
        </w:tc>
      </w:tr>
      <w:tr w:rsidR="00565FD5" w:rsidRPr="007B2BC3" w:rsidTr="00AB62A3">
        <w:trPr>
          <w:trHeight w:val="20"/>
          <w:jc w:val="center"/>
        </w:trPr>
        <w:tc>
          <w:tcPr>
            <w:tcW w:w="1210" w:type="pct"/>
            <w:shd w:val="clear" w:color="auto" w:fill="FFFFFF"/>
          </w:tcPr>
          <w:p w:rsidR="00565FD5" w:rsidRPr="007B2BC3" w:rsidRDefault="00565FD5" w:rsidP="00EB1E69">
            <w:pPr>
              <w:numPr>
                <w:ilvl w:val="0"/>
                <w:numId w:val="14"/>
              </w:numPr>
              <w:spacing w:before="20" w:after="20" w:line="240" w:lineRule="auto"/>
              <w:ind w:left="0"/>
              <w:rPr>
                <w:rFonts w:cs="Tahoma"/>
                <w:color w:val="000000"/>
                <w:sz w:val="16"/>
                <w:szCs w:val="16"/>
                <w:lang w:eastAsia="tr-TR"/>
              </w:rPr>
            </w:pPr>
            <w:r w:rsidRPr="007B2BC3">
              <w:rPr>
                <w:rFonts w:cs="Tahoma"/>
                <w:color w:val="000000"/>
                <w:sz w:val="16"/>
                <w:szCs w:val="16"/>
                <w:lang w:eastAsia="tr-TR"/>
              </w:rPr>
              <w:t>Kamu kurum ve kuruluşlarında tüm çalışanların performansını objektif ve saydam biçimde ölçen standartlar geliştirilecek, başarılı çalışanlar desteklenecek, ücretlendirmede performans da esas alınacaktır.</w:t>
            </w:r>
          </w:p>
        </w:tc>
        <w:tc>
          <w:tcPr>
            <w:tcW w:w="1643" w:type="pct"/>
            <w:shd w:val="clear" w:color="auto" w:fill="FFFFFF"/>
          </w:tcPr>
          <w:p w:rsidR="00565FD5" w:rsidRPr="007B2BC3" w:rsidRDefault="00565FD5" w:rsidP="00AB62A3">
            <w:pPr>
              <w:spacing w:before="20" w:after="20"/>
              <w:rPr>
                <w:rFonts w:cs="Tahoma"/>
                <w:color w:val="000000"/>
                <w:sz w:val="16"/>
                <w:szCs w:val="16"/>
                <w:lang w:eastAsia="tr-TR"/>
              </w:rPr>
            </w:pPr>
            <w:r w:rsidRPr="007B2BC3">
              <w:rPr>
                <w:rFonts w:cs="Tahoma"/>
                <w:color w:val="000000"/>
                <w:sz w:val="16"/>
                <w:szCs w:val="16"/>
                <w:lang w:eastAsia="tr-TR"/>
              </w:rPr>
              <w:t>Devlet Personel Başkanlığı (S), Kalkınma Bakanlığı, Maliye Bakanlığı</w:t>
            </w:r>
          </w:p>
        </w:tc>
        <w:tc>
          <w:tcPr>
            <w:tcW w:w="457" w:type="pct"/>
            <w:shd w:val="clear" w:color="auto" w:fill="FFFFFF"/>
          </w:tcPr>
          <w:p w:rsidR="00565FD5" w:rsidRPr="007B2BC3" w:rsidRDefault="00565FD5" w:rsidP="00AB62A3">
            <w:pPr>
              <w:spacing w:before="20" w:after="20"/>
              <w:rPr>
                <w:rFonts w:cs="Tahoma"/>
                <w:color w:val="000000"/>
                <w:sz w:val="16"/>
                <w:szCs w:val="16"/>
                <w:lang w:eastAsia="tr-TR"/>
              </w:rPr>
            </w:pPr>
            <w:r w:rsidRPr="007B2BC3">
              <w:rPr>
                <w:rFonts w:cs="Tahoma"/>
                <w:color w:val="000000"/>
                <w:sz w:val="16"/>
                <w:szCs w:val="16"/>
                <w:lang w:eastAsia="tr-TR"/>
              </w:rPr>
              <w:t>Aralık Sonu</w:t>
            </w:r>
          </w:p>
        </w:tc>
        <w:tc>
          <w:tcPr>
            <w:tcW w:w="1689" w:type="pct"/>
            <w:shd w:val="clear" w:color="auto" w:fill="FFFFFF"/>
          </w:tcPr>
          <w:p w:rsidR="00565FD5" w:rsidRPr="007B2BC3" w:rsidRDefault="00565FD5" w:rsidP="00AB62A3">
            <w:pPr>
              <w:spacing w:before="20" w:after="20"/>
              <w:rPr>
                <w:rFonts w:cs="Tahoma"/>
                <w:color w:val="000000"/>
                <w:sz w:val="16"/>
                <w:szCs w:val="16"/>
                <w:lang w:eastAsia="tr-TR"/>
              </w:rPr>
            </w:pPr>
            <w:r w:rsidRPr="007B2BC3">
              <w:rPr>
                <w:rFonts w:cs="Tahoma"/>
                <w:color w:val="000000"/>
                <w:sz w:val="16"/>
                <w:szCs w:val="16"/>
                <w:lang w:eastAsia="tr-TR"/>
              </w:rPr>
              <w:t>Kaldırılan sicil sisteminin yerine etkinlik ve verimlilik analizini de içeren yeni bir sistem oluşturulacak, kamuda performansı da dikkate alan bir değerlendirme sistemi teşkil etmek amacıyla Performans Değerlendirme Kılavuzu hazırlanacak ve uygulamaya örnek teşkil etmesi açısından pilot uygulama gerçekleştirilecektir.</w:t>
            </w:r>
          </w:p>
        </w:tc>
      </w:tr>
      <w:tr w:rsidR="00565FD5" w:rsidRPr="007B2BC3" w:rsidTr="00AB62A3">
        <w:trPr>
          <w:trHeight w:val="20"/>
          <w:jc w:val="center"/>
        </w:trPr>
        <w:tc>
          <w:tcPr>
            <w:tcW w:w="1210" w:type="pct"/>
            <w:shd w:val="clear" w:color="auto" w:fill="FFFFFF"/>
          </w:tcPr>
          <w:p w:rsidR="00565FD5" w:rsidRPr="007B2BC3" w:rsidRDefault="00565FD5" w:rsidP="00EB1E69">
            <w:pPr>
              <w:numPr>
                <w:ilvl w:val="0"/>
                <w:numId w:val="14"/>
              </w:numPr>
              <w:spacing w:before="20" w:after="20" w:line="240" w:lineRule="auto"/>
              <w:ind w:left="0"/>
              <w:rPr>
                <w:rFonts w:cs="Tahoma"/>
                <w:color w:val="000000"/>
                <w:sz w:val="16"/>
                <w:szCs w:val="16"/>
                <w:lang w:eastAsia="tr-TR"/>
              </w:rPr>
            </w:pPr>
            <w:r w:rsidRPr="007B2BC3">
              <w:rPr>
                <w:rFonts w:cs="Tahoma"/>
                <w:color w:val="000000"/>
                <w:sz w:val="16"/>
                <w:szCs w:val="16"/>
                <w:lang w:eastAsia="tr-TR"/>
              </w:rPr>
              <w:t>Kamu personel sisteminde esnek çalışma yöntemleri modeli geliştirilecek ve pilot olarak uygulanacaktır.</w:t>
            </w:r>
          </w:p>
        </w:tc>
        <w:tc>
          <w:tcPr>
            <w:tcW w:w="1643" w:type="pct"/>
            <w:shd w:val="clear" w:color="auto" w:fill="FFFFFF"/>
          </w:tcPr>
          <w:p w:rsidR="00565FD5" w:rsidRPr="007B2BC3" w:rsidRDefault="00565FD5" w:rsidP="00AB62A3">
            <w:pPr>
              <w:spacing w:before="20" w:after="20"/>
              <w:rPr>
                <w:rFonts w:cs="Tahoma"/>
                <w:color w:val="000000"/>
                <w:sz w:val="16"/>
                <w:szCs w:val="16"/>
                <w:lang w:eastAsia="tr-TR"/>
              </w:rPr>
            </w:pPr>
            <w:r w:rsidRPr="007B2BC3">
              <w:rPr>
                <w:rFonts w:cs="Tahoma"/>
                <w:color w:val="000000"/>
                <w:sz w:val="16"/>
                <w:szCs w:val="16"/>
                <w:lang w:eastAsia="tr-TR"/>
              </w:rPr>
              <w:t>Devlet Personel Başkanlığı (S), Başbakanlık, Çalışma ve Sosyal Güvenlik Bakanlığı, Maliye Bakanlığı, Kalkınma Bakanlığı</w:t>
            </w:r>
          </w:p>
        </w:tc>
        <w:tc>
          <w:tcPr>
            <w:tcW w:w="457" w:type="pct"/>
            <w:shd w:val="clear" w:color="auto" w:fill="FFFFFF"/>
          </w:tcPr>
          <w:p w:rsidR="00565FD5" w:rsidRPr="007B2BC3" w:rsidRDefault="00565FD5" w:rsidP="00AB62A3">
            <w:pPr>
              <w:spacing w:before="20" w:after="20"/>
              <w:rPr>
                <w:rFonts w:cs="Tahoma"/>
                <w:color w:val="000000"/>
                <w:sz w:val="16"/>
                <w:szCs w:val="16"/>
                <w:lang w:eastAsia="tr-TR"/>
              </w:rPr>
            </w:pPr>
            <w:r w:rsidRPr="007B2BC3">
              <w:rPr>
                <w:rFonts w:cs="Tahoma"/>
                <w:color w:val="000000"/>
                <w:sz w:val="16"/>
                <w:szCs w:val="16"/>
                <w:lang w:eastAsia="tr-TR"/>
              </w:rPr>
              <w:t>Aralık Sonu</w:t>
            </w:r>
          </w:p>
        </w:tc>
        <w:tc>
          <w:tcPr>
            <w:tcW w:w="1689" w:type="pct"/>
            <w:shd w:val="clear" w:color="auto" w:fill="FFFFFF"/>
          </w:tcPr>
          <w:p w:rsidR="00565FD5" w:rsidRPr="007B2BC3" w:rsidRDefault="00565FD5" w:rsidP="00AB62A3">
            <w:pPr>
              <w:spacing w:before="20" w:after="20"/>
              <w:rPr>
                <w:rFonts w:cs="Tahoma"/>
                <w:color w:val="000000"/>
                <w:sz w:val="16"/>
                <w:szCs w:val="16"/>
                <w:lang w:eastAsia="tr-TR"/>
              </w:rPr>
            </w:pPr>
            <w:r w:rsidRPr="007B2BC3">
              <w:rPr>
                <w:rFonts w:cs="Tahoma"/>
                <w:color w:val="000000"/>
                <w:sz w:val="16"/>
                <w:szCs w:val="16"/>
                <w:lang w:eastAsia="tr-TR"/>
              </w:rPr>
              <w:t>Konuya ilişkin usul ve esaslar hazırlanarak Bakanlar Kuruluna sunulacak ve seçilen kamu kurumlarında pilot uygulamalar yapılarak elde edilecek sonuçlar değerlendirilecek ve diğer kamu kuruluşlarında yaygınlaştırılmasına yönelik planlama yapılacaktır.</w:t>
            </w:r>
          </w:p>
        </w:tc>
      </w:tr>
    </w:tbl>
    <w:p w:rsidR="00565FD5" w:rsidRDefault="00565FD5" w:rsidP="00565FD5"/>
    <w:p w:rsidR="00565FD5" w:rsidRPr="007B2BC3" w:rsidRDefault="00565FD5" w:rsidP="00565FD5">
      <w:pPr>
        <w:pStyle w:val="Balk3"/>
        <w:jc w:val="left"/>
      </w:pPr>
      <w:bookmarkStart w:id="3140" w:name="_Toc213065771"/>
      <w:bookmarkStart w:id="3141" w:name="_Toc244253779"/>
      <w:bookmarkStart w:id="3142" w:name="_Toc244255029"/>
      <w:bookmarkStart w:id="3143" w:name="_Toc244313764"/>
      <w:bookmarkStart w:id="3144" w:name="_Toc244315241"/>
      <w:bookmarkStart w:id="3145" w:name="_Toc244339704"/>
      <w:bookmarkStart w:id="3146" w:name="_Toc275873293"/>
      <w:bookmarkStart w:id="3147" w:name="_Toc338494274"/>
      <w:bookmarkStart w:id="3148" w:name="_Toc338505675"/>
      <w:bookmarkStart w:id="3149" w:name="_Toc338523909"/>
      <w:bookmarkStart w:id="3150" w:name="_Toc338524140"/>
      <w:bookmarkStart w:id="3151" w:name="_Toc338526366"/>
      <w:bookmarkStart w:id="3152" w:name="_Toc338673809"/>
      <w:bookmarkStart w:id="3153" w:name="_Toc338711688"/>
      <w:r>
        <w:t>Ç</w:t>
      </w:r>
      <w:r w:rsidRPr="007B2BC3">
        <w:t>. e-DEVLET UYGULAMALARININ YAYGINLAŞTIRILMASI VE ETKİNLEŞTİRİLMESİ</w:t>
      </w:r>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p>
    <w:p w:rsidR="00565FD5" w:rsidRPr="007B2BC3" w:rsidRDefault="00565FD5" w:rsidP="00565FD5">
      <w:pPr>
        <w:pStyle w:val="Balk4"/>
      </w:pPr>
      <w:bookmarkStart w:id="3154" w:name="_Toc244253780"/>
      <w:bookmarkStart w:id="3155" w:name="_Toc244255030"/>
      <w:bookmarkStart w:id="3156" w:name="_Toc244313765"/>
      <w:bookmarkStart w:id="3157" w:name="_Toc244315242"/>
      <w:bookmarkStart w:id="3158" w:name="_Toc244339705"/>
      <w:bookmarkStart w:id="3159" w:name="_Toc275873294"/>
      <w:bookmarkStart w:id="3160" w:name="_Toc338505676"/>
      <w:bookmarkStart w:id="3161" w:name="_Toc338523910"/>
      <w:bookmarkStart w:id="3162" w:name="_Toc338524141"/>
      <w:bookmarkStart w:id="3163" w:name="_Toc338526367"/>
      <w:bookmarkStart w:id="3164" w:name="_Toc338673810"/>
      <w:bookmarkStart w:id="3165" w:name="_Toc338711689"/>
      <w:r w:rsidRPr="007B2BC3">
        <w:t>1. Mevcut Durum</w:t>
      </w:r>
      <w:bookmarkEnd w:id="3154"/>
      <w:bookmarkEnd w:id="3155"/>
      <w:bookmarkEnd w:id="3156"/>
      <w:bookmarkEnd w:id="3157"/>
      <w:bookmarkEnd w:id="3158"/>
      <w:bookmarkEnd w:id="3159"/>
      <w:bookmarkEnd w:id="3160"/>
      <w:bookmarkEnd w:id="3161"/>
      <w:bookmarkEnd w:id="3162"/>
      <w:bookmarkEnd w:id="3163"/>
      <w:bookmarkEnd w:id="3164"/>
      <w:bookmarkEnd w:id="3165"/>
    </w:p>
    <w:p w:rsidR="00565FD5" w:rsidRPr="007B2BC3" w:rsidRDefault="00565FD5" w:rsidP="00565FD5">
      <w:pPr>
        <w:spacing w:after="120"/>
        <w:ind w:firstLine="425"/>
        <w:rPr>
          <w:rFonts w:cs="Tahoma"/>
          <w:szCs w:val="18"/>
        </w:rPr>
      </w:pPr>
      <w:r w:rsidRPr="007B2BC3">
        <w:rPr>
          <w:rFonts w:cs="Tahoma"/>
          <w:szCs w:val="18"/>
        </w:rPr>
        <w:t xml:space="preserve">e-Devlet, kamu hizmet sunumunda kalite ve etkinliğin artırılmasına yönelik çalışmaların odağında yer almaktadır. Ülkemizde e-devlet çalışmalarıyla kullanıcıların elektronik ortamda </w:t>
      </w:r>
      <w:r w:rsidRPr="007B2BC3">
        <w:rPr>
          <w:rFonts w:cs="Tahoma"/>
          <w:szCs w:val="18"/>
        </w:rPr>
        <w:lastRenderedPageBreak/>
        <w:t>sunulacak kamu hizmetlerine farklı platformlardan, güvenilir şekilde ve tek noktadan erişebilecekleri, vatandaş ve iş dünyasının ihtiyaçlarına odaklanmış, birlikte işler ve bütünleşik hizmetlerin sunulacağı, katılımcı, şeffaf ve hesap verebilir bir devlet yapısının oluşturulması amaçlanmıştır.</w:t>
      </w:r>
    </w:p>
    <w:p w:rsidR="00565FD5" w:rsidRPr="007B2BC3" w:rsidRDefault="00565FD5" w:rsidP="00565FD5">
      <w:pPr>
        <w:spacing w:after="140"/>
        <w:ind w:firstLine="425"/>
        <w:rPr>
          <w:rFonts w:cs="Tahoma"/>
          <w:szCs w:val="18"/>
          <w:lang w:val="en-US"/>
        </w:rPr>
      </w:pPr>
      <w:r w:rsidRPr="007B2BC3">
        <w:rPr>
          <w:rFonts w:cs="Tahoma"/>
          <w:szCs w:val="18"/>
        </w:rPr>
        <w:t xml:space="preserve">2012 yılında, kamu kurumlarının sunmuş oldukları hizmetlerden; yeni şirket kaydı ve ticaret sicili işlemlerinin elektronik ortamda gerçekleştirilmesine imkân tanıyacak Merkezi Sicil Kayıt Sistemi Projesinin yaygınlaştırma çalışmalarına devam edilmiştir. Metin tabanlı Ulusal Adres Veri Tabanının coğrafi bilgi sistemleri teknolojisi kullanılarak mekânsal bir veri tabanına dönüştürülmesini amaçlayan Mekânsal Adres Kayıt Sistemi ve Çevrimiçi Emlak ve İnşaat İzinleri Projesine ilişkin çalışmalar sürdürülmüştür. Devlet tarafından verilen tüm sosyal yardımların tek çatı altında toplanmasını amaçlayan Bütünleşik Sosyal Yardım Hizmetleri Projesi bir modülü hariç tamamlanmıştır. T.C. Kimlik Kartı Projesini yaygınlaştırmaya yönelik çalışmalar gerekli hukuki altyapının oluşturulması çalışmalarını da içerecek şekilde sürdürülmüş, kart dağıtımının 2013 yılında başlatılması aşamasına gelinmiştir. Kamu kurumları arasındaki resmi yazışmaların elektronik ortamda yürütülmesini amaçlayan e-Yazışma Projesinin, kayıtlı elektronik posta altyapısıyla entegrasyonuna ve hukuki altyapısına ilişkin çalışmalar yürütülmüştür. Tüm tapu kayıtlarının TAKBİS merkezi veritabanına aktarımı tamamlanmış; taşınmaz alım ve satımı ile ipotek işlemleri taşınmazın bağlı bulunduğu tapu sicil müdürlüğü dışında da yapılabilir hale gelmiştir. Öte yandan, </w:t>
      </w:r>
      <w:r w:rsidRPr="007B2BC3">
        <w:rPr>
          <w:rFonts w:cs="Tahoma"/>
          <w:szCs w:val="18"/>
          <w:lang w:val="en-US"/>
        </w:rPr>
        <w:t>ulusal coğrafi bilgi sistemi altyapısı, kamu güvenli ağı, ortak çağrı merkezi ve bilgi sistemleri olağanüstü durum yönetim merkezi gibi alanlarda sınırlı düzeyde aşama kaydedilebilmiştir.</w:t>
      </w:r>
      <w:r w:rsidRPr="007B2BC3">
        <w:rPr>
          <w:rFonts w:cs="Tahoma"/>
          <w:szCs w:val="18"/>
        </w:rPr>
        <w:t xml:space="preserve"> </w:t>
      </w:r>
    </w:p>
    <w:p w:rsidR="00565FD5" w:rsidRPr="007B2BC3" w:rsidRDefault="00565FD5" w:rsidP="00565FD5">
      <w:pPr>
        <w:spacing w:after="140"/>
        <w:ind w:firstLine="425"/>
        <w:rPr>
          <w:rFonts w:cs="Tahoma"/>
          <w:szCs w:val="18"/>
        </w:rPr>
      </w:pPr>
      <w:r w:rsidRPr="007B2BC3">
        <w:rPr>
          <w:rFonts w:cs="Tahoma"/>
          <w:szCs w:val="18"/>
        </w:rPr>
        <w:t xml:space="preserve">2008 yılı Aralık ayından bu yana hizmet veren e-Devlet Kapısına yeni hizmetlerin entegre edilmesine devam edilmiştir. 2012 yılı Eylül ayı itibarıyla 43 kamu kurumunun 364 hizmeti e-Devlet Kapısına entegre edilmiştir. </w:t>
      </w:r>
      <w:r w:rsidRPr="007B2BC3">
        <w:rPr>
          <w:rFonts w:cs="Tahoma"/>
          <w:szCs w:val="18"/>
          <w:lang w:val="en-US"/>
        </w:rPr>
        <w:t>2011 yılı Ekim ayı itibarıyla 10 milyon civarında bulunan kayıtlı kullanıcı sayısı, 2012 yılı Eylül ayı sonunda 13,5 milyona ulaşmıştır.</w:t>
      </w:r>
      <w:r w:rsidRPr="007B2BC3">
        <w:rPr>
          <w:rFonts w:cs="Tahoma"/>
          <w:b/>
          <w:szCs w:val="18"/>
        </w:rPr>
        <w:t xml:space="preserve"> </w:t>
      </w:r>
      <w:r w:rsidRPr="007B2BC3">
        <w:rPr>
          <w:rFonts w:cs="Tahoma"/>
          <w:szCs w:val="18"/>
        </w:rPr>
        <w:t>Ülkemizde, 2012 yılı Eylül ayı itibarıyla kamu kurumlarına ait 25.599 adet internet sitesi bulunmaktadır.</w:t>
      </w:r>
    </w:p>
    <w:p w:rsidR="00565FD5" w:rsidRPr="007B2BC3" w:rsidRDefault="00565FD5" w:rsidP="00565FD5">
      <w:pPr>
        <w:spacing w:after="140"/>
        <w:ind w:firstLine="425"/>
        <w:rPr>
          <w:rFonts w:cs="Tahoma"/>
          <w:szCs w:val="18"/>
        </w:rPr>
      </w:pPr>
      <w:r w:rsidRPr="007B2BC3">
        <w:rPr>
          <w:rFonts w:cs="Tahoma"/>
          <w:szCs w:val="18"/>
        </w:rPr>
        <w:t>TÜİK Hanehalkı Bilişim Teknolojileri Kullanım Araştırması 2012 yılı sonuçlarına göre; 16-74 yaş arası toplam nüfusun yüzde 20,3’</w:t>
      </w:r>
      <w:r>
        <w:rPr>
          <w:rFonts w:cs="Tahoma"/>
          <w:szCs w:val="18"/>
        </w:rPr>
        <w:t>ün</w:t>
      </w:r>
      <w:r w:rsidRPr="007B2BC3">
        <w:rPr>
          <w:rFonts w:cs="Tahoma"/>
          <w:szCs w:val="18"/>
        </w:rPr>
        <w:t>ü</w:t>
      </w:r>
      <w:r>
        <w:rPr>
          <w:rFonts w:cs="Tahoma"/>
          <w:szCs w:val="18"/>
        </w:rPr>
        <w:t>n</w:t>
      </w:r>
      <w:r w:rsidRPr="007B2BC3">
        <w:rPr>
          <w:rFonts w:cs="Tahoma"/>
          <w:szCs w:val="18"/>
        </w:rPr>
        <w:t>, internet kullanan bireylerin ise yüzde 45,1’inin e-devlet hizmetlerini kullandıkları görülmektedir. TÜİK Girişimlerde Bilişim Teknolojileri Kullanım Araştırması 2011 yılı sonuçlarına göre; 2010 yılında 10 ve daha fazla çalışanı bulunan tüm girişimlerin yüzde 76,8’i, internet kullanan girişimlerin ise yüzde 83’ü e-devlet hizmetlerini kullanmaktadır. Hem bireylerde hem de işletmelerde e-devlet hizmetlerinin kullanımı artmaktadır. Diğer taraftan, iş dünyasına yönelik e-devlet hizmetlerinin bireylere yönelik e-devlet uygulamalarına nazaran daha fazla kullanıldığı dikkat çekmektedir. TÜİK tarafından yapılan Yaşam Memnuniyeti Araştırması sonuçlarına göre elektronik ortamda sunulan kamu hizmetlerinden memnuniyet oranı 2011 yılında geçmiş yıllardaki düzeyini koruyarak yüzde 97,1 olarak gerçekleşmiştir. Bununla birlikte, bu hizmetlerden memnun olanların kendi içindeki dağılımında farklılık ortaya çıkmış; çok memnun ve memnun olanların düzeyinde azalma olurken, orta düzeyde memnuniyette artış görülmüştür.</w:t>
      </w:r>
    </w:p>
    <w:p w:rsidR="00565FD5" w:rsidRDefault="00565FD5" w:rsidP="00565FD5">
      <w:pPr>
        <w:spacing w:after="180"/>
        <w:ind w:firstLine="425"/>
        <w:rPr>
          <w:rFonts w:cs="Tahoma"/>
          <w:szCs w:val="18"/>
        </w:rPr>
      </w:pPr>
      <w:r w:rsidRPr="007B2BC3">
        <w:rPr>
          <w:rFonts w:cs="Tahoma"/>
          <w:szCs w:val="18"/>
        </w:rPr>
        <w:t xml:space="preserve">2012 yılı Yatırım Programında kamu kurumlarının 212 adet BİT yatırım projesi için yaklaşık 2,5 milyar TL ödenek ayrılmıştır. </w:t>
      </w:r>
      <w:r w:rsidRPr="007B2BC3">
        <w:rPr>
          <w:rFonts w:cs="Tahoma"/>
          <w:szCs w:val="18"/>
          <w:lang w:val="en-US"/>
        </w:rPr>
        <w:t xml:space="preserve">2012 yılı BİT yatırım ödeneklerinden en fazla payı eğitim sektörü almıştır. Eğitim sektörünün toplam BİT yatırımları içerisindeki payı 2011 yılında yüzde 43 iken, 2012 yılında yüzde 46’ya yükselmiştir.  </w:t>
      </w:r>
      <w:r w:rsidRPr="007B2BC3">
        <w:rPr>
          <w:rFonts w:cs="Tahoma"/>
          <w:szCs w:val="18"/>
        </w:rPr>
        <w:t xml:space="preserve">Fırsatları Artırma ve Teknolojiyi İyileştirme Hareketi (FATİH) Projesini yürüten Milli Eğitim Bakanlığı 2012 yılında en fazla BİT yatırım ödeneği tahsis edilen kamu kurumudur. İçişleri Bakanlığı, Sosyal Güvenlik Kurumu ve Emniyet Genel Müdürlüğü yüksek miktarda BİT yatırımı yapan diğer kurumlar olarak ön plana çıkmaktadır. </w:t>
      </w:r>
    </w:p>
    <w:p w:rsidR="00565FD5" w:rsidRDefault="00565FD5" w:rsidP="00565FD5">
      <w:pPr>
        <w:pStyle w:val="ResimYazs"/>
      </w:pPr>
      <w:bookmarkStart w:id="3166" w:name="_Toc307601725"/>
      <w:bookmarkStart w:id="3167" w:name="_Toc307657945"/>
      <w:bookmarkStart w:id="3168" w:name="_Toc307702203"/>
      <w:bookmarkStart w:id="3169" w:name="_Toc338711845"/>
      <w:r>
        <w:lastRenderedPageBreak/>
        <w:t xml:space="preserve">TABLO IV: </w:t>
      </w:r>
      <w:fldSimple w:instr=" SEQ TABLO_IV: \* ARABIC ">
        <w:r>
          <w:rPr>
            <w:noProof/>
          </w:rPr>
          <w:t>75</w:t>
        </w:r>
      </w:fldSimple>
      <w:r w:rsidRPr="00B21813">
        <w:t>-</w:t>
      </w:r>
      <w:r w:rsidRPr="00CA2765">
        <w:t xml:space="preserve"> Kamu BİT Yatırım Ödenekl</w:t>
      </w:r>
      <w:r>
        <w:t>eri Sektörel Dağılımı, 2010</w:t>
      </w:r>
      <w:r w:rsidRPr="00CA2765">
        <w:t>-201</w:t>
      </w:r>
      <w:bookmarkEnd w:id="3166"/>
      <w:bookmarkEnd w:id="3167"/>
      <w:bookmarkEnd w:id="3168"/>
      <w:r>
        <w:t>2</w:t>
      </w:r>
      <w:bookmarkEnd w:id="3169"/>
      <w:r>
        <w:t xml:space="preserve"> </w:t>
      </w:r>
    </w:p>
    <w:p w:rsidR="00565FD5" w:rsidRPr="00230C0F" w:rsidRDefault="00565FD5" w:rsidP="00565FD5">
      <w:pPr>
        <w:jc w:val="right"/>
        <w:rPr>
          <w:sz w:val="14"/>
          <w:szCs w:val="14"/>
        </w:rPr>
      </w:pPr>
      <w:r w:rsidRPr="00230C0F">
        <w:rPr>
          <w:sz w:val="14"/>
          <w:szCs w:val="14"/>
        </w:rPr>
        <w:t>(2012 Yılı Fiyatlarıyla)</w:t>
      </w:r>
    </w:p>
    <w:tbl>
      <w:tblPr>
        <w:tblW w:w="7144" w:type="dxa"/>
        <w:jc w:val="center"/>
        <w:tblBorders>
          <w:top w:val="single" w:sz="4" w:space="0" w:color="auto"/>
          <w:bottom w:val="single" w:sz="4" w:space="0" w:color="auto"/>
        </w:tblBorders>
        <w:tblLook w:val="00A0"/>
      </w:tblPr>
      <w:tblGrid>
        <w:gridCol w:w="1928"/>
        <w:gridCol w:w="224"/>
        <w:gridCol w:w="857"/>
        <w:gridCol w:w="709"/>
        <w:gridCol w:w="964"/>
        <w:gridCol w:w="749"/>
        <w:gridCol w:w="1004"/>
        <w:gridCol w:w="709"/>
      </w:tblGrid>
      <w:tr w:rsidR="00565FD5" w:rsidRPr="00CA2765" w:rsidTr="00AB62A3">
        <w:trPr>
          <w:trHeight w:hRule="exact" w:val="227"/>
          <w:jc w:val="center"/>
        </w:trPr>
        <w:tc>
          <w:tcPr>
            <w:tcW w:w="1506" w:type="pct"/>
            <w:gridSpan w:val="2"/>
            <w:tcBorders>
              <w:top w:val="single" w:sz="4" w:space="0" w:color="auto"/>
              <w:left w:val="single" w:sz="4" w:space="0" w:color="auto"/>
              <w:bottom w:val="nil"/>
              <w:right w:val="nil"/>
            </w:tcBorders>
            <w:vAlign w:val="center"/>
          </w:tcPr>
          <w:p w:rsidR="00565FD5" w:rsidRPr="00CA2765" w:rsidRDefault="00565FD5" w:rsidP="00AB62A3">
            <w:pPr>
              <w:rPr>
                <w:rFonts w:cs="Tahoma"/>
                <w:b/>
                <w:bCs/>
                <w:sz w:val="16"/>
                <w:szCs w:val="16"/>
              </w:rPr>
            </w:pPr>
            <w:r w:rsidRPr="00CA2765">
              <w:rPr>
                <w:rFonts w:cs="Tahoma"/>
                <w:b/>
                <w:bCs/>
                <w:sz w:val="16"/>
                <w:szCs w:val="16"/>
              </w:rPr>
              <w:t>Sektör</w:t>
            </w:r>
          </w:p>
        </w:tc>
        <w:tc>
          <w:tcPr>
            <w:tcW w:w="1096" w:type="pct"/>
            <w:gridSpan w:val="2"/>
            <w:tcBorders>
              <w:top w:val="single" w:sz="4" w:space="0" w:color="auto"/>
              <w:left w:val="nil"/>
              <w:bottom w:val="single" w:sz="4" w:space="0" w:color="auto"/>
              <w:right w:val="single" w:sz="4" w:space="0" w:color="auto"/>
            </w:tcBorders>
            <w:vAlign w:val="center"/>
          </w:tcPr>
          <w:p w:rsidR="00565FD5" w:rsidRPr="00CA2765" w:rsidRDefault="00565FD5" w:rsidP="00AB62A3">
            <w:pPr>
              <w:jc w:val="center"/>
              <w:rPr>
                <w:rFonts w:cs="Tahoma"/>
                <w:b/>
                <w:bCs/>
                <w:sz w:val="16"/>
                <w:szCs w:val="16"/>
              </w:rPr>
            </w:pPr>
            <w:r w:rsidRPr="00CA2765">
              <w:rPr>
                <w:rFonts w:cs="Tahoma"/>
                <w:b/>
                <w:bCs/>
                <w:sz w:val="16"/>
                <w:szCs w:val="16"/>
              </w:rPr>
              <w:t>2010</w:t>
            </w:r>
          </w:p>
        </w:tc>
        <w:tc>
          <w:tcPr>
            <w:tcW w:w="1199" w:type="pct"/>
            <w:gridSpan w:val="2"/>
            <w:tcBorders>
              <w:top w:val="single" w:sz="4" w:space="0" w:color="auto"/>
              <w:left w:val="nil"/>
              <w:bottom w:val="single" w:sz="4" w:space="0" w:color="auto"/>
              <w:right w:val="single" w:sz="4" w:space="0" w:color="auto"/>
            </w:tcBorders>
            <w:vAlign w:val="center"/>
          </w:tcPr>
          <w:p w:rsidR="00565FD5" w:rsidRPr="00CA2765" w:rsidRDefault="00565FD5" w:rsidP="00AB62A3">
            <w:pPr>
              <w:jc w:val="center"/>
              <w:rPr>
                <w:rFonts w:cs="Tahoma"/>
                <w:b/>
                <w:bCs/>
                <w:sz w:val="16"/>
                <w:szCs w:val="16"/>
              </w:rPr>
            </w:pPr>
            <w:r>
              <w:rPr>
                <w:rFonts w:cs="Tahoma"/>
                <w:b/>
                <w:bCs/>
                <w:sz w:val="16"/>
                <w:szCs w:val="16"/>
              </w:rPr>
              <w:t>2011</w:t>
            </w:r>
          </w:p>
        </w:tc>
        <w:tc>
          <w:tcPr>
            <w:tcW w:w="1199" w:type="pct"/>
            <w:gridSpan w:val="2"/>
            <w:tcBorders>
              <w:top w:val="single" w:sz="4" w:space="0" w:color="auto"/>
              <w:left w:val="nil"/>
              <w:bottom w:val="single" w:sz="4" w:space="0" w:color="auto"/>
              <w:right w:val="single" w:sz="4" w:space="0" w:color="auto"/>
            </w:tcBorders>
            <w:vAlign w:val="center"/>
          </w:tcPr>
          <w:p w:rsidR="00565FD5" w:rsidRPr="00CA2765" w:rsidRDefault="00565FD5" w:rsidP="00AB62A3">
            <w:pPr>
              <w:jc w:val="center"/>
              <w:rPr>
                <w:rFonts w:cs="Tahoma"/>
                <w:b/>
                <w:bCs/>
                <w:sz w:val="16"/>
                <w:szCs w:val="16"/>
              </w:rPr>
            </w:pPr>
            <w:r>
              <w:rPr>
                <w:rFonts w:cs="Tahoma"/>
                <w:b/>
                <w:bCs/>
                <w:sz w:val="16"/>
                <w:szCs w:val="16"/>
              </w:rPr>
              <w:t>2012</w:t>
            </w:r>
          </w:p>
        </w:tc>
      </w:tr>
      <w:tr w:rsidR="00565FD5" w:rsidRPr="00CA2765" w:rsidTr="00AB62A3">
        <w:trPr>
          <w:trHeight w:hRule="exact" w:val="312"/>
          <w:jc w:val="center"/>
        </w:trPr>
        <w:tc>
          <w:tcPr>
            <w:tcW w:w="1349" w:type="pct"/>
            <w:tcBorders>
              <w:top w:val="nil"/>
              <w:left w:val="single" w:sz="4" w:space="0" w:color="auto"/>
              <w:bottom w:val="single" w:sz="4" w:space="0" w:color="auto"/>
              <w:right w:val="nil"/>
            </w:tcBorders>
          </w:tcPr>
          <w:p w:rsidR="00565FD5" w:rsidRPr="00CA2765" w:rsidRDefault="00565FD5" w:rsidP="00AB62A3">
            <w:pPr>
              <w:rPr>
                <w:rFonts w:cs="Tahoma"/>
                <w:b/>
                <w:bCs/>
                <w:sz w:val="16"/>
                <w:szCs w:val="16"/>
              </w:rPr>
            </w:pPr>
          </w:p>
        </w:tc>
        <w:tc>
          <w:tcPr>
            <w:tcW w:w="757" w:type="pct"/>
            <w:gridSpan w:val="2"/>
            <w:tcBorders>
              <w:top w:val="single" w:sz="4" w:space="0" w:color="auto"/>
              <w:left w:val="nil"/>
              <w:bottom w:val="single" w:sz="4" w:space="0" w:color="auto"/>
              <w:right w:val="nil"/>
            </w:tcBorders>
          </w:tcPr>
          <w:p w:rsidR="00565FD5" w:rsidRPr="008E6B90" w:rsidRDefault="00565FD5" w:rsidP="00AB62A3">
            <w:pPr>
              <w:jc w:val="right"/>
              <w:rPr>
                <w:rFonts w:cs="Tahoma"/>
                <w:b/>
                <w:bCs/>
                <w:sz w:val="15"/>
                <w:szCs w:val="15"/>
              </w:rPr>
            </w:pPr>
            <w:r w:rsidRPr="008E6B90">
              <w:rPr>
                <w:rFonts w:cs="Tahoma"/>
                <w:b/>
                <w:bCs/>
                <w:sz w:val="15"/>
                <w:szCs w:val="15"/>
              </w:rPr>
              <w:t>Milyon TL</w:t>
            </w:r>
          </w:p>
        </w:tc>
        <w:tc>
          <w:tcPr>
            <w:tcW w:w="496" w:type="pct"/>
            <w:tcBorders>
              <w:top w:val="single" w:sz="4" w:space="0" w:color="auto"/>
              <w:left w:val="nil"/>
              <w:bottom w:val="single" w:sz="4" w:space="0" w:color="auto"/>
              <w:right w:val="single" w:sz="4" w:space="0" w:color="auto"/>
            </w:tcBorders>
          </w:tcPr>
          <w:p w:rsidR="00565FD5" w:rsidRPr="008E6B90" w:rsidRDefault="00565FD5" w:rsidP="00AB62A3">
            <w:pPr>
              <w:jc w:val="right"/>
              <w:rPr>
                <w:rFonts w:cs="Tahoma"/>
                <w:b/>
                <w:bCs/>
                <w:sz w:val="15"/>
                <w:szCs w:val="15"/>
              </w:rPr>
            </w:pPr>
            <w:r w:rsidRPr="008E6B90">
              <w:rPr>
                <w:rFonts w:cs="Tahoma"/>
                <w:b/>
                <w:bCs/>
                <w:sz w:val="15"/>
                <w:szCs w:val="15"/>
              </w:rPr>
              <w:t>Yüzde</w:t>
            </w:r>
          </w:p>
        </w:tc>
        <w:tc>
          <w:tcPr>
            <w:tcW w:w="675" w:type="pct"/>
            <w:tcBorders>
              <w:top w:val="single" w:sz="4" w:space="0" w:color="auto"/>
              <w:left w:val="nil"/>
              <w:bottom w:val="single" w:sz="4" w:space="0" w:color="auto"/>
              <w:right w:val="nil"/>
            </w:tcBorders>
          </w:tcPr>
          <w:p w:rsidR="00565FD5" w:rsidRPr="008E6B90" w:rsidRDefault="00565FD5" w:rsidP="00AB62A3">
            <w:pPr>
              <w:jc w:val="right"/>
              <w:rPr>
                <w:rFonts w:cs="Tahoma"/>
                <w:b/>
                <w:bCs/>
                <w:sz w:val="15"/>
                <w:szCs w:val="15"/>
              </w:rPr>
            </w:pPr>
            <w:r w:rsidRPr="008E6B90">
              <w:rPr>
                <w:rFonts w:cs="Tahoma"/>
                <w:b/>
                <w:bCs/>
                <w:sz w:val="15"/>
                <w:szCs w:val="15"/>
              </w:rPr>
              <w:t>Milyon TL</w:t>
            </w:r>
          </w:p>
        </w:tc>
        <w:tc>
          <w:tcPr>
            <w:tcW w:w="524" w:type="pct"/>
            <w:tcBorders>
              <w:top w:val="single" w:sz="4" w:space="0" w:color="auto"/>
              <w:left w:val="nil"/>
              <w:bottom w:val="single" w:sz="4" w:space="0" w:color="auto"/>
              <w:right w:val="single" w:sz="4" w:space="0" w:color="auto"/>
            </w:tcBorders>
          </w:tcPr>
          <w:p w:rsidR="00565FD5" w:rsidRPr="008E6B90" w:rsidRDefault="00565FD5" w:rsidP="00AB62A3">
            <w:pPr>
              <w:jc w:val="right"/>
              <w:rPr>
                <w:rFonts w:cs="Tahoma"/>
                <w:b/>
                <w:bCs/>
                <w:sz w:val="15"/>
                <w:szCs w:val="15"/>
              </w:rPr>
            </w:pPr>
            <w:r w:rsidRPr="008E6B90">
              <w:rPr>
                <w:rFonts w:cs="Tahoma"/>
                <w:b/>
                <w:bCs/>
                <w:sz w:val="15"/>
                <w:szCs w:val="15"/>
              </w:rPr>
              <w:t>Yüzde</w:t>
            </w:r>
          </w:p>
        </w:tc>
        <w:tc>
          <w:tcPr>
            <w:tcW w:w="703" w:type="pct"/>
            <w:tcBorders>
              <w:top w:val="single" w:sz="4" w:space="0" w:color="auto"/>
              <w:left w:val="nil"/>
              <w:bottom w:val="single" w:sz="4" w:space="0" w:color="auto"/>
              <w:right w:val="nil"/>
            </w:tcBorders>
          </w:tcPr>
          <w:p w:rsidR="00565FD5" w:rsidRPr="008E6B90" w:rsidRDefault="00565FD5" w:rsidP="00AB62A3">
            <w:pPr>
              <w:jc w:val="right"/>
              <w:rPr>
                <w:rFonts w:cs="Tahoma"/>
                <w:b/>
                <w:bCs/>
                <w:sz w:val="15"/>
                <w:szCs w:val="15"/>
              </w:rPr>
            </w:pPr>
            <w:r w:rsidRPr="008E6B90">
              <w:rPr>
                <w:rFonts w:cs="Tahoma"/>
                <w:b/>
                <w:bCs/>
                <w:sz w:val="15"/>
                <w:szCs w:val="15"/>
              </w:rPr>
              <w:t>Milyon TL</w:t>
            </w:r>
          </w:p>
        </w:tc>
        <w:tc>
          <w:tcPr>
            <w:tcW w:w="496" w:type="pct"/>
            <w:tcBorders>
              <w:top w:val="single" w:sz="4" w:space="0" w:color="auto"/>
              <w:left w:val="nil"/>
              <w:bottom w:val="single" w:sz="4" w:space="0" w:color="auto"/>
              <w:right w:val="single" w:sz="4" w:space="0" w:color="auto"/>
            </w:tcBorders>
          </w:tcPr>
          <w:p w:rsidR="00565FD5" w:rsidRPr="008E6B90" w:rsidRDefault="00565FD5" w:rsidP="00AB62A3">
            <w:pPr>
              <w:jc w:val="right"/>
              <w:rPr>
                <w:rFonts w:cs="Tahoma"/>
                <w:b/>
                <w:bCs/>
                <w:sz w:val="15"/>
                <w:szCs w:val="15"/>
              </w:rPr>
            </w:pPr>
            <w:r w:rsidRPr="008E6B90">
              <w:rPr>
                <w:rFonts w:cs="Tahoma"/>
                <w:b/>
                <w:bCs/>
                <w:sz w:val="15"/>
                <w:szCs w:val="15"/>
              </w:rPr>
              <w:t>Yüzde</w:t>
            </w:r>
          </w:p>
        </w:tc>
      </w:tr>
      <w:tr w:rsidR="00565FD5" w:rsidRPr="00376AAD" w:rsidTr="00AB62A3">
        <w:trPr>
          <w:trHeight w:hRule="exact" w:val="284"/>
          <w:jc w:val="center"/>
        </w:trPr>
        <w:tc>
          <w:tcPr>
            <w:tcW w:w="1506" w:type="pct"/>
            <w:gridSpan w:val="2"/>
            <w:tcBorders>
              <w:top w:val="nil"/>
              <w:left w:val="single" w:sz="4" w:space="0" w:color="auto"/>
              <w:bottom w:val="nil"/>
              <w:right w:val="nil"/>
            </w:tcBorders>
            <w:vAlign w:val="center"/>
          </w:tcPr>
          <w:p w:rsidR="00565FD5" w:rsidRPr="00376AAD" w:rsidRDefault="00565FD5" w:rsidP="00AB62A3">
            <w:pPr>
              <w:rPr>
                <w:rFonts w:cs="Tahoma"/>
                <w:sz w:val="16"/>
                <w:szCs w:val="16"/>
              </w:rPr>
            </w:pPr>
            <w:r w:rsidRPr="00376AAD">
              <w:rPr>
                <w:rFonts w:cs="Tahoma"/>
                <w:sz w:val="16"/>
                <w:szCs w:val="16"/>
              </w:rPr>
              <w:t>Eğitim</w:t>
            </w:r>
          </w:p>
        </w:tc>
        <w:tc>
          <w:tcPr>
            <w:tcW w:w="600"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300</w:t>
            </w:r>
          </w:p>
        </w:tc>
        <w:tc>
          <w:tcPr>
            <w:tcW w:w="496"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23,2</w:t>
            </w:r>
          </w:p>
        </w:tc>
        <w:tc>
          <w:tcPr>
            <w:tcW w:w="675"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946,5</w:t>
            </w:r>
          </w:p>
        </w:tc>
        <w:tc>
          <w:tcPr>
            <w:tcW w:w="524"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42,9</w:t>
            </w:r>
          </w:p>
        </w:tc>
        <w:tc>
          <w:tcPr>
            <w:tcW w:w="703"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1152,5</w:t>
            </w:r>
          </w:p>
        </w:tc>
        <w:tc>
          <w:tcPr>
            <w:tcW w:w="496"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46,4</w:t>
            </w:r>
          </w:p>
        </w:tc>
      </w:tr>
      <w:tr w:rsidR="00565FD5" w:rsidRPr="00376AAD" w:rsidTr="00AB62A3">
        <w:trPr>
          <w:trHeight w:hRule="exact" w:val="284"/>
          <w:jc w:val="center"/>
        </w:trPr>
        <w:tc>
          <w:tcPr>
            <w:tcW w:w="1506" w:type="pct"/>
            <w:gridSpan w:val="2"/>
            <w:tcBorders>
              <w:top w:val="nil"/>
              <w:left w:val="single" w:sz="4" w:space="0" w:color="auto"/>
              <w:bottom w:val="nil"/>
              <w:right w:val="nil"/>
            </w:tcBorders>
            <w:vAlign w:val="center"/>
          </w:tcPr>
          <w:p w:rsidR="00565FD5" w:rsidRPr="00376AAD" w:rsidRDefault="00565FD5" w:rsidP="00AB62A3">
            <w:pPr>
              <w:rPr>
                <w:rFonts w:cs="Tahoma"/>
                <w:sz w:val="16"/>
                <w:szCs w:val="16"/>
              </w:rPr>
            </w:pPr>
            <w:r w:rsidRPr="00376AAD">
              <w:rPr>
                <w:rFonts w:cs="Tahoma"/>
                <w:sz w:val="16"/>
                <w:szCs w:val="16"/>
              </w:rPr>
              <w:t>Diğer Kamu Hizmetleri</w:t>
            </w:r>
          </w:p>
        </w:tc>
        <w:tc>
          <w:tcPr>
            <w:tcW w:w="600"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555,2</w:t>
            </w:r>
          </w:p>
        </w:tc>
        <w:tc>
          <w:tcPr>
            <w:tcW w:w="496"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42,9</w:t>
            </w:r>
          </w:p>
        </w:tc>
        <w:tc>
          <w:tcPr>
            <w:tcW w:w="675"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895,7</w:t>
            </w:r>
          </w:p>
        </w:tc>
        <w:tc>
          <w:tcPr>
            <w:tcW w:w="524"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40,6</w:t>
            </w:r>
          </w:p>
        </w:tc>
        <w:tc>
          <w:tcPr>
            <w:tcW w:w="703"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981,7</w:t>
            </w:r>
          </w:p>
        </w:tc>
        <w:tc>
          <w:tcPr>
            <w:tcW w:w="496"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39,5</w:t>
            </w:r>
          </w:p>
        </w:tc>
      </w:tr>
      <w:tr w:rsidR="00565FD5" w:rsidRPr="00376AAD" w:rsidTr="00AB62A3">
        <w:trPr>
          <w:trHeight w:hRule="exact" w:val="284"/>
          <w:jc w:val="center"/>
        </w:trPr>
        <w:tc>
          <w:tcPr>
            <w:tcW w:w="1506" w:type="pct"/>
            <w:gridSpan w:val="2"/>
            <w:tcBorders>
              <w:top w:val="nil"/>
              <w:left w:val="single" w:sz="4" w:space="0" w:color="auto"/>
              <w:bottom w:val="nil"/>
              <w:right w:val="nil"/>
            </w:tcBorders>
            <w:vAlign w:val="center"/>
          </w:tcPr>
          <w:p w:rsidR="00565FD5" w:rsidRPr="00376AAD" w:rsidRDefault="00565FD5" w:rsidP="00AB62A3">
            <w:pPr>
              <w:rPr>
                <w:rFonts w:cs="Tahoma"/>
                <w:sz w:val="16"/>
                <w:szCs w:val="16"/>
              </w:rPr>
            </w:pPr>
            <w:r w:rsidRPr="00376AAD">
              <w:rPr>
                <w:rFonts w:cs="Tahoma"/>
                <w:sz w:val="16"/>
                <w:szCs w:val="16"/>
              </w:rPr>
              <w:t>Ulaştırma</w:t>
            </w:r>
            <w:r w:rsidRPr="00376AAD">
              <w:rPr>
                <w:rFonts w:cs="Tahoma"/>
                <w:sz w:val="14"/>
                <w:szCs w:val="14"/>
              </w:rPr>
              <w:t xml:space="preserve"> ve</w:t>
            </w:r>
            <w:r w:rsidRPr="00376AAD">
              <w:rPr>
                <w:rFonts w:cs="Tahoma"/>
                <w:sz w:val="16"/>
                <w:szCs w:val="16"/>
              </w:rPr>
              <w:t xml:space="preserve"> Haberleşme</w:t>
            </w:r>
          </w:p>
        </w:tc>
        <w:tc>
          <w:tcPr>
            <w:tcW w:w="600"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163,8</w:t>
            </w:r>
          </w:p>
        </w:tc>
        <w:tc>
          <w:tcPr>
            <w:tcW w:w="496"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12,7</w:t>
            </w:r>
          </w:p>
        </w:tc>
        <w:tc>
          <w:tcPr>
            <w:tcW w:w="675"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195,1</w:t>
            </w:r>
          </w:p>
        </w:tc>
        <w:tc>
          <w:tcPr>
            <w:tcW w:w="524"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8,8</w:t>
            </w:r>
          </w:p>
        </w:tc>
        <w:tc>
          <w:tcPr>
            <w:tcW w:w="703"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139,5</w:t>
            </w:r>
          </w:p>
        </w:tc>
        <w:tc>
          <w:tcPr>
            <w:tcW w:w="496"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5,6</w:t>
            </w:r>
          </w:p>
        </w:tc>
      </w:tr>
      <w:tr w:rsidR="00565FD5" w:rsidRPr="00376AAD" w:rsidTr="00AB62A3">
        <w:trPr>
          <w:trHeight w:hRule="exact" w:val="284"/>
          <w:jc w:val="center"/>
        </w:trPr>
        <w:tc>
          <w:tcPr>
            <w:tcW w:w="1506" w:type="pct"/>
            <w:gridSpan w:val="2"/>
            <w:tcBorders>
              <w:top w:val="nil"/>
              <w:left w:val="single" w:sz="4" w:space="0" w:color="auto"/>
              <w:bottom w:val="nil"/>
              <w:right w:val="nil"/>
            </w:tcBorders>
            <w:vAlign w:val="center"/>
          </w:tcPr>
          <w:p w:rsidR="00565FD5" w:rsidRPr="00376AAD" w:rsidRDefault="00565FD5" w:rsidP="00AB62A3">
            <w:pPr>
              <w:rPr>
                <w:rFonts w:cs="Tahoma"/>
                <w:sz w:val="16"/>
                <w:szCs w:val="16"/>
              </w:rPr>
            </w:pPr>
            <w:r w:rsidRPr="00376AAD">
              <w:rPr>
                <w:rFonts w:cs="Tahoma"/>
                <w:sz w:val="16"/>
                <w:szCs w:val="16"/>
              </w:rPr>
              <w:t>Tarım</w:t>
            </w:r>
          </w:p>
        </w:tc>
        <w:tc>
          <w:tcPr>
            <w:tcW w:w="600"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27,4</w:t>
            </w:r>
          </w:p>
        </w:tc>
        <w:tc>
          <w:tcPr>
            <w:tcW w:w="496"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2,1</w:t>
            </w:r>
          </w:p>
        </w:tc>
        <w:tc>
          <w:tcPr>
            <w:tcW w:w="675"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36,8</w:t>
            </w:r>
          </w:p>
        </w:tc>
        <w:tc>
          <w:tcPr>
            <w:tcW w:w="524"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1,7</w:t>
            </w:r>
          </w:p>
        </w:tc>
        <w:tc>
          <w:tcPr>
            <w:tcW w:w="703"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63,5</w:t>
            </w:r>
          </w:p>
        </w:tc>
        <w:tc>
          <w:tcPr>
            <w:tcW w:w="496"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2,6</w:t>
            </w:r>
          </w:p>
        </w:tc>
      </w:tr>
      <w:tr w:rsidR="00565FD5" w:rsidRPr="00376AAD" w:rsidTr="00AB62A3">
        <w:trPr>
          <w:trHeight w:hRule="exact" w:val="284"/>
          <w:jc w:val="center"/>
        </w:trPr>
        <w:tc>
          <w:tcPr>
            <w:tcW w:w="1506" w:type="pct"/>
            <w:gridSpan w:val="2"/>
            <w:tcBorders>
              <w:top w:val="nil"/>
              <w:left w:val="single" w:sz="4" w:space="0" w:color="auto"/>
              <w:bottom w:val="nil"/>
              <w:right w:val="nil"/>
            </w:tcBorders>
            <w:vAlign w:val="center"/>
          </w:tcPr>
          <w:p w:rsidR="00565FD5" w:rsidRPr="00376AAD" w:rsidRDefault="00565FD5" w:rsidP="00AB62A3">
            <w:pPr>
              <w:rPr>
                <w:rFonts w:cs="Tahoma"/>
                <w:sz w:val="16"/>
                <w:szCs w:val="16"/>
              </w:rPr>
            </w:pPr>
            <w:r w:rsidRPr="00376AAD">
              <w:rPr>
                <w:rFonts w:cs="Tahoma"/>
                <w:sz w:val="16"/>
                <w:szCs w:val="16"/>
              </w:rPr>
              <w:t>Enerji</w:t>
            </w:r>
          </w:p>
        </w:tc>
        <w:tc>
          <w:tcPr>
            <w:tcW w:w="600"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73,8</w:t>
            </w:r>
          </w:p>
        </w:tc>
        <w:tc>
          <w:tcPr>
            <w:tcW w:w="496"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5,7</w:t>
            </w:r>
          </w:p>
        </w:tc>
        <w:tc>
          <w:tcPr>
            <w:tcW w:w="675"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26,9</w:t>
            </w:r>
          </w:p>
        </w:tc>
        <w:tc>
          <w:tcPr>
            <w:tcW w:w="524"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1,2</w:t>
            </w:r>
          </w:p>
        </w:tc>
        <w:tc>
          <w:tcPr>
            <w:tcW w:w="703"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61,4</w:t>
            </w:r>
          </w:p>
        </w:tc>
        <w:tc>
          <w:tcPr>
            <w:tcW w:w="496"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2,5</w:t>
            </w:r>
          </w:p>
        </w:tc>
      </w:tr>
      <w:tr w:rsidR="00565FD5" w:rsidRPr="00376AAD" w:rsidTr="00AB62A3">
        <w:trPr>
          <w:trHeight w:hRule="exact" w:val="284"/>
          <w:jc w:val="center"/>
        </w:trPr>
        <w:tc>
          <w:tcPr>
            <w:tcW w:w="1506" w:type="pct"/>
            <w:gridSpan w:val="2"/>
            <w:tcBorders>
              <w:top w:val="nil"/>
              <w:left w:val="single" w:sz="4" w:space="0" w:color="auto"/>
              <w:bottom w:val="nil"/>
              <w:right w:val="nil"/>
            </w:tcBorders>
            <w:vAlign w:val="center"/>
          </w:tcPr>
          <w:p w:rsidR="00565FD5" w:rsidRPr="00376AAD" w:rsidRDefault="00565FD5" w:rsidP="00AB62A3">
            <w:pPr>
              <w:rPr>
                <w:rFonts w:cs="Tahoma"/>
                <w:sz w:val="16"/>
                <w:szCs w:val="16"/>
              </w:rPr>
            </w:pPr>
            <w:r w:rsidRPr="00376AAD">
              <w:rPr>
                <w:rFonts w:cs="Tahoma"/>
                <w:sz w:val="16"/>
                <w:szCs w:val="16"/>
              </w:rPr>
              <w:t>Sağlık</w:t>
            </w:r>
          </w:p>
        </w:tc>
        <w:tc>
          <w:tcPr>
            <w:tcW w:w="600"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120,2</w:t>
            </w:r>
          </w:p>
        </w:tc>
        <w:tc>
          <w:tcPr>
            <w:tcW w:w="496"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9,3</w:t>
            </w:r>
          </w:p>
        </w:tc>
        <w:tc>
          <w:tcPr>
            <w:tcW w:w="675"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55,6</w:t>
            </w:r>
          </w:p>
        </w:tc>
        <w:tc>
          <w:tcPr>
            <w:tcW w:w="524"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2,5</w:t>
            </w:r>
          </w:p>
        </w:tc>
        <w:tc>
          <w:tcPr>
            <w:tcW w:w="703"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43,3</w:t>
            </w:r>
          </w:p>
        </w:tc>
        <w:tc>
          <w:tcPr>
            <w:tcW w:w="496"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1,7</w:t>
            </w:r>
          </w:p>
        </w:tc>
      </w:tr>
      <w:tr w:rsidR="00565FD5" w:rsidRPr="00376AAD" w:rsidTr="00AB62A3">
        <w:trPr>
          <w:trHeight w:hRule="exact" w:val="284"/>
          <w:jc w:val="center"/>
        </w:trPr>
        <w:tc>
          <w:tcPr>
            <w:tcW w:w="1506" w:type="pct"/>
            <w:gridSpan w:val="2"/>
            <w:tcBorders>
              <w:top w:val="nil"/>
              <w:left w:val="single" w:sz="4" w:space="0" w:color="auto"/>
              <w:bottom w:val="nil"/>
              <w:right w:val="nil"/>
            </w:tcBorders>
            <w:vAlign w:val="center"/>
          </w:tcPr>
          <w:p w:rsidR="00565FD5" w:rsidRPr="00376AAD" w:rsidRDefault="00565FD5" w:rsidP="00AB62A3">
            <w:pPr>
              <w:rPr>
                <w:rFonts w:cs="Tahoma"/>
                <w:sz w:val="16"/>
                <w:szCs w:val="16"/>
              </w:rPr>
            </w:pPr>
            <w:r w:rsidRPr="00376AAD">
              <w:rPr>
                <w:rFonts w:cs="Tahoma"/>
                <w:sz w:val="16"/>
                <w:szCs w:val="16"/>
              </w:rPr>
              <w:t>Madencilik</w:t>
            </w:r>
          </w:p>
        </w:tc>
        <w:tc>
          <w:tcPr>
            <w:tcW w:w="600"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27,8</w:t>
            </w:r>
          </w:p>
        </w:tc>
        <w:tc>
          <w:tcPr>
            <w:tcW w:w="496"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2,1</w:t>
            </w:r>
          </w:p>
        </w:tc>
        <w:tc>
          <w:tcPr>
            <w:tcW w:w="675"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25,7</w:t>
            </w:r>
          </w:p>
        </w:tc>
        <w:tc>
          <w:tcPr>
            <w:tcW w:w="524"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1,2</w:t>
            </w:r>
          </w:p>
        </w:tc>
        <w:tc>
          <w:tcPr>
            <w:tcW w:w="703"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26,6</w:t>
            </w:r>
          </w:p>
        </w:tc>
        <w:tc>
          <w:tcPr>
            <w:tcW w:w="496"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1,1</w:t>
            </w:r>
          </w:p>
        </w:tc>
      </w:tr>
      <w:tr w:rsidR="00565FD5" w:rsidRPr="00376AAD" w:rsidTr="00AB62A3">
        <w:trPr>
          <w:trHeight w:hRule="exact" w:val="284"/>
          <w:jc w:val="center"/>
        </w:trPr>
        <w:tc>
          <w:tcPr>
            <w:tcW w:w="1506" w:type="pct"/>
            <w:gridSpan w:val="2"/>
            <w:tcBorders>
              <w:top w:val="nil"/>
              <w:left w:val="single" w:sz="4" w:space="0" w:color="auto"/>
              <w:bottom w:val="nil"/>
              <w:right w:val="nil"/>
            </w:tcBorders>
            <w:vAlign w:val="center"/>
          </w:tcPr>
          <w:p w:rsidR="00565FD5" w:rsidRPr="00376AAD" w:rsidRDefault="00565FD5" w:rsidP="00AB62A3">
            <w:pPr>
              <w:rPr>
                <w:rFonts w:cs="Tahoma"/>
                <w:sz w:val="16"/>
                <w:szCs w:val="16"/>
              </w:rPr>
            </w:pPr>
            <w:r w:rsidRPr="00376AAD">
              <w:rPr>
                <w:rFonts w:cs="Tahoma"/>
                <w:sz w:val="16"/>
                <w:szCs w:val="16"/>
              </w:rPr>
              <w:t>İmalat</w:t>
            </w:r>
          </w:p>
        </w:tc>
        <w:tc>
          <w:tcPr>
            <w:tcW w:w="600"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22,5</w:t>
            </w:r>
          </w:p>
        </w:tc>
        <w:tc>
          <w:tcPr>
            <w:tcW w:w="496"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1,7</w:t>
            </w:r>
          </w:p>
        </w:tc>
        <w:tc>
          <w:tcPr>
            <w:tcW w:w="675"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22,3</w:t>
            </w:r>
          </w:p>
        </w:tc>
        <w:tc>
          <w:tcPr>
            <w:tcW w:w="524"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1,0</w:t>
            </w:r>
          </w:p>
        </w:tc>
        <w:tc>
          <w:tcPr>
            <w:tcW w:w="703" w:type="pct"/>
            <w:tcBorders>
              <w:top w:val="nil"/>
              <w:left w:val="nil"/>
              <w:bottom w:val="nil"/>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15</w:t>
            </w:r>
          </w:p>
        </w:tc>
        <w:tc>
          <w:tcPr>
            <w:tcW w:w="496" w:type="pct"/>
            <w:tcBorders>
              <w:top w:val="nil"/>
              <w:left w:val="nil"/>
              <w:bottom w:val="nil"/>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0,6</w:t>
            </w:r>
          </w:p>
        </w:tc>
      </w:tr>
      <w:tr w:rsidR="00565FD5" w:rsidRPr="00376AAD" w:rsidTr="00AB62A3">
        <w:trPr>
          <w:trHeight w:hRule="exact" w:val="284"/>
          <w:jc w:val="center"/>
        </w:trPr>
        <w:tc>
          <w:tcPr>
            <w:tcW w:w="1506" w:type="pct"/>
            <w:gridSpan w:val="2"/>
            <w:tcBorders>
              <w:top w:val="nil"/>
              <w:left w:val="single" w:sz="4" w:space="0" w:color="auto"/>
              <w:bottom w:val="single" w:sz="4" w:space="0" w:color="auto"/>
              <w:right w:val="nil"/>
            </w:tcBorders>
            <w:vAlign w:val="center"/>
          </w:tcPr>
          <w:p w:rsidR="00565FD5" w:rsidRPr="00376AAD" w:rsidRDefault="00565FD5" w:rsidP="00AB62A3">
            <w:pPr>
              <w:rPr>
                <w:rFonts w:cs="Tahoma"/>
                <w:sz w:val="16"/>
                <w:szCs w:val="16"/>
              </w:rPr>
            </w:pPr>
            <w:r w:rsidRPr="00376AAD">
              <w:rPr>
                <w:rFonts w:cs="Tahoma"/>
                <w:sz w:val="16"/>
                <w:szCs w:val="16"/>
              </w:rPr>
              <w:t>Turizm</w:t>
            </w:r>
          </w:p>
        </w:tc>
        <w:tc>
          <w:tcPr>
            <w:tcW w:w="600" w:type="pct"/>
            <w:tcBorders>
              <w:top w:val="nil"/>
              <w:left w:val="nil"/>
              <w:bottom w:val="single" w:sz="4" w:space="0" w:color="auto"/>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2,8</w:t>
            </w:r>
          </w:p>
        </w:tc>
        <w:tc>
          <w:tcPr>
            <w:tcW w:w="496" w:type="pct"/>
            <w:tcBorders>
              <w:top w:val="nil"/>
              <w:left w:val="nil"/>
              <w:bottom w:val="single" w:sz="4" w:space="0" w:color="auto"/>
              <w:right w:val="single" w:sz="4" w:space="0" w:color="auto"/>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0,2</w:t>
            </w:r>
          </w:p>
        </w:tc>
        <w:tc>
          <w:tcPr>
            <w:tcW w:w="675" w:type="pct"/>
            <w:tcBorders>
              <w:top w:val="nil"/>
              <w:left w:val="nil"/>
              <w:bottom w:val="single" w:sz="4" w:space="0" w:color="auto"/>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0,9</w:t>
            </w:r>
          </w:p>
        </w:tc>
        <w:tc>
          <w:tcPr>
            <w:tcW w:w="524" w:type="pct"/>
            <w:tcBorders>
              <w:top w:val="nil"/>
              <w:left w:val="nil"/>
              <w:bottom w:val="single" w:sz="4" w:space="0" w:color="auto"/>
              <w:right w:val="single" w:sz="4" w:space="0" w:color="auto"/>
            </w:tcBorders>
            <w:vAlign w:val="center"/>
          </w:tcPr>
          <w:p w:rsidR="00565FD5" w:rsidRPr="00F65F7F" w:rsidRDefault="00565FD5" w:rsidP="00AB62A3">
            <w:pPr>
              <w:jc w:val="right"/>
              <w:rPr>
                <w:rFonts w:cs="Tahoma"/>
                <w:color w:val="000000"/>
                <w:sz w:val="16"/>
                <w:szCs w:val="16"/>
                <w:lang w:eastAsia="tr-TR"/>
              </w:rPr>
            </w:pPr>
            <w:r>
              <w:rPr>
                <w:rFonts w:cs="Tahoma"/>
                <w:color w:val="000000"/>
                <w:sz w:val="16"/>
                <w:szCs w:val="16"/>
                <w:lang w:eastAsia="tr-TR"/>
              </w:rPr>
              <w:t>0,1</w:t>
            </w:r>
          </w:p>
        </w:tc>
        <w:tc>
          <w:tcPr>
            <w:tcW w:w="703" w:type="pct"/>
            <w:tcBorders>
              <w:top w:val="nil"/>
              <w:left w:val="nil"/>
              <w:bottom w:val="single" w:sz="4" w:space="0" w:color="auto"/>
              <w:right w:val="nil"/>
            </w:tcBorders>
            <w:vAlign w:val="center"/>
          </w:tcPr>
          <w:p w:rsidR="00565FD5" w:rsidRPr="00F65F7F" w:rsidRDefault="00565FD5" w:rsidP="00AB62A3">
            <w:pPr>
              <w:jc w:val="right"/>
              <w:rPr>
                <w:rFonts w:cs="Tahoma"/>
                <w:color w:val="000000"/>
                <w:sz w:val="16"/>
                <w:szCs w:val="16"/>
                <w:lang w:eastAsia="tr-TR"/>
              </w:rPr>
            </w:pPr>
            <w:r w:rsidRPr="00F65F7F">
              <w:rPr>
                <w:rFonts w:cs="Tahoma"/>
                <w:color w:val="000000"/>
                <w:sz w:val="16"/>
                <w:szCs w:val="16"/>
                <w:lang w:eastAsia="tr-TR"/>
              </w:rPr>
              <w:t>0,9</w:t>
            </w:r>
          </w:p>
        </w:tc>
        <w:tc>
          <w:tcPr>
            <w:tcW w:w="496" w:type="pct"/>
            <w:tcBorders>
              <w:top w:val="nil"/>
              <w:left w:val="nil"/>
              <w:bottom w:val="single" w:sz="4" w:space="0" w:color="auto"/>
              <w:right w:val="single" w:sz="4" w:space="0" w:color="auto"/>
            </w:tcBorders>
            <w:vAlign w:val="center"/>
          </w:tcPr>
          <w:p w:rsidR="00565FD5" w:rsidRPr="00F65F7F" w:rsidRDefault="00565FD5" w:rsidP="00AB62A3">
            <w:pPr>
              <w:jc w:val="right"/>
              <w:rPr>
                <w:rFonts w:cs="Tahoma"/>
                <w:color w:val="000000"/>
                <w:sz w:val="16"/>
                <w:szCs w:val="16"/>
                <w:lang w:eastAsia="tr-TR"/>
              </w:rPr>
            </w:pPr>
            <w:r>
              <w:rPr>
                <w:rFonts w:cs="Tahoma"/>
                <w:color w:val="000000"/>
                <w:sz w:val="16"/>
                <w:szCs w:val="16"/>
                <w:lang w:eastAsia="tr-TR"/>
              </w:rPr>
              <w:t>0,1</w:t>
            </w:r>
          </w:p>
        </w:tc>
      </w:tr>
      <w:tr w:rsidR="00565FD5" w:rsidRPr="00CA2765" w:rsidTr="00AB62A3">
        <w:trPr>
          <w:trHeight w:hRule="exact" w:val="227"/>
          <w:jc w:val="center"/>
        </w:trPr>
        <w:tc>
          <w:tcPr>
            <w:tcW w:w="1506" w:type="pct"/>
            <w:gridSpan w:val="2"/>
            <w:tcBorders>
              <w:top w:val="single" w:sz="4" w:space="0" w:color="auto"/>
              <w:left w:val="single" w:sz="4" w:space="0" w:color="auto"/>
              <w:bottom w:val="single" w:sz="4" w:space="0" w:color="auto"/>
              <w:right w:val="nil"/>
            </w:tcBorders>
            <w:vAlign w:val="bottom"/>
          </w:tcPr>
          <w:p w:rsidR="00565FD5" w:rsidRPr="00CA2765" w:rsidRDefault="00565FD5" w:rsidP="00AB62A3">
            <w:pPr>
              <w:rPr>
                <w:rFonts w:cs="Tahoma"/>
                <w:b/>
                <w:sz w:val="16"/>
                <w:szCs w:val="16"/>
              </w:rPr>
            </w:pPr>
            <w:r w:rsidRPr="00CA2765">
              <w:rPr>
                <w:rFonts w:cs="Tahoma"/>
                <w:b/>
                <w:sz w:val="16"/>
                <w:szCs w:val="16"/>
              </w:rPr>
              <w:t>Toplam</w:t>
            </w:r>
          </w:p>
        </w:tc>
        <w:tc>
          <w:tcPr>
            <w:tcW w:w="600" w:type="pct"/>
            <w:tcBorders>
              <w:top w:val="single" w:sz="4" w:space="0" w:color="auto"/>
              <w:left w:val="nil"/>
              <w:bottom w:val="single" w:sz="4" w:space="0" w:color="auto"/>
              <w:right w:val="nil"/>
            </w:tcBorders>
            <w:vAlign w:val="center"/>
          </w:tcPr>
          <w:p w:rsidR="00565FD5" w:rsidRPr="00CA2765" w:rsidRDefault="00565FD5" w:rsidP="00AB62A3">
            <w:pPr>
              <w:jc w:val="right"/>
              <w:rPr>
                <w:rFonts w:cs="Tahoma"/>
                <w:b/>
                <w:sz w:val="16"/>
                <w:szCs w:val="16"/>
              </w:rPr>
            </w:pPr>
            <w:r>
              <w:rPr>
                <w:rFonts w:cs="Tahoma"/>
                <w:b/>
                <w:sz w:val="16"/>
                <w:szCs w:val="16"/>
              </w:rPr>
              <w:t>1 293,4</w:t>
            </w:r>
          </w:p>
        </w:tc>
        <w:tc>
          <w:tcPr>
            <w:tcW w:w="496" w:type="pct"/>
            <w:tcBorders>
              <w:top w:val="single" w:sz="4" w:space="0" w:color="auto"/>
              <w:left w:val="nil"/>
              <w:bottom w:val="single" w:sz="4" w:space="0" w:color="auto"/>
              <w:right w:val="single" w:sz="4" w:space="0" w:color="auto"/>
            </w:tcBorders>
            <w:vAlign w:val="bottom"/>
          </w:tcPr>
          <w:p w:rsidR="00565FD5" w:rsidRPr="00CA2765" w:rsidRDefault="00565FD5" w:rsidP="00AB62A3">
            <w:pPr>
              <w:jc w:val="right"/>
              <w:rPr>
                <w:rFonts w:cs="Tahoma"/>
                <w:b/>
                <w:sz w:val="16"/>
                <w:szCs w:val="16"/>
              </w:rPr>
            </w:pPr>
            <w:r w:rsidRPr="00CA2765">
              <w:rPr>
                <w:rFonts w:cs="Tahoma"/>
                <w:b/>
                <w:sz w:val="16"/>
                <w:szCs w:val="16"/>
              </w:rPr>
              <w:t>100</w:t>
            </w:r>
          </w:p>
        </w:tc>
        <w:tc>
          <w:tcPr>
            <w:tcW w:w="675" w:type="pct"/>
            <w:tcBorders>
              <w:top w:val="single" w:sz="4" w:space="0" w:color="auto"/>
              <w:left w:val="nil"/>
              <w:bottom w:val="single" w:sz="4" w:space="0" w:color="auto"/>
              <w:right w:val="nil"/>
            </w:tcBorders>
            <w:vAlign w:val="center"/>
          </w:tcPr>
          <w:p w:rsidR="00565FD5" w:rsidRPr="00CA2765" w:rsidRDefault="00565FD5" w:rsidP="00AB62A3">
            <w:pPr>
              <w:jc w:val="right"/>
              <w:rPr>
                <w:rFonts w:cs="Tahoma"/>
                <w:b/>
                <w:sz w:val="16"/>
                <w:szCs w:val="16"/>
              </w:rPr>
            </w:pPr>
            <w:r>
              <w:rPr>
                <w:rFonts w:cs="Tahoma"/>
                <w:b/>
                <w:sz w:val="16"/>
                <w:szCs w:val="16"/>
              </w:rPr>
              <w:t>2 205,4</w:t>
            </w:r>
          </w:p>
        </w:tc>
        <w:tc>
          <w:tcPr>
            <w:tcW w:w="524" w:type="pct"/>
            <w:tcBorders>
              <w:top w:val="single" w:sz="4" w:space="0" w:color="auto"/>
              <w:left w:val="nil"/>
              <w:bottom w:val="single" w:sz="4" w:space="0" w:color="auto"/>
              <w:right w:val="single" w:sz="4" w:space="0" w:color="auto"/>
            </w:tcBorders>
            <w:vAlign w:val="bottom"/>
          </w:tcPr>
          <w:p w:rsidR="00565FD5" w:rsidRPr="00CA2765" w:rsidRDefault="00565FD5" w:rsidP="00AB62A3">
            <w:pPr>
              <w:jc w:val="right"/>
              <w:rPr>
                <w:rFonts w:cs="Tahoma"/>
                <w:b/>
                <w:sz w:val="16"/>
                <w:szCs w:val="16"/>
              </w:rPr>
            </w:pPr>
            <w:r w:rsidRPr="00CA2765">
              <w:rPr>
                <w:rFonts w:cs="Tahoma"/>
                <w:b/>
                <w:sz w:val="16"/>
                <w:szCs w:val="16"/>
              </w:rPr>
              <w:t>100</w:t>
            </w:r>
          </w:p>
        </w:tc>
        <w:tc>
          <w:tcPr>
            <w:tcW w:w="703" w:type="pct"/>
            <w:tcBorders>
              <w:top w:val="single" w:sz="4" w:space="0" w:color="auto"/>
              <w:left w:val="nil"/>
              <w:bottom w:val="single" w:sz="4" w:space="0" w:color="auto"/>
              <w:right w:val="nil"/>
            </w:tcBorders>
            <w:vAlign w:val="center"/>
          </w:tcPr>
          <w:p w:rsidR="00565FD5" w:rsidRPr="00CA2765" w:rsidRDefault="00565FD5" w:rsidP="00AB62A3">
            <w:pPr>
              <w:jc w:val="right"/>
              <w:rPr>
                <w:rFonts w:cs="Tahoma"/>
                <w:b/>
                <w:sz w:val="16"/>
                <w:szCs w:val="16"/>
              </w:rPr>
            </w:pPr>
            <w:r>
              <w:rPr>
                <w:rFonts w:cs="Tahoma"/>
                <w:b/>
                <w:sz w:val="16"/>
                <w:szCs w:val="16"/>
              </w:rPr>
              <w:t>2 484,4</w:t>
            </w:r>
          </w:p>
        </w:tc>
        <w:tc>
          <w:tcPr>
            <w:tcW w:w="496" w:type="pct"/>
            <w:tcBorders>
              <w:top w:val="single" w:sz="4" w:space="0" w:color="auto"/>
              <w:left w:val="nil"/>
              <w:bottom w:val="single" w:sz="4" w:space="0" w:color="auto"/>
              <w:right w:val="single" w:sz="4" w:space="0" w:color="auto"/>
            </w:tcBorders>
            <w:vAlign w:val="bottom"/>
          </w:tcPr>
          <w:p w:rsidR="00565FD5" w:rsidRPr="00CA2765" w:rsidRDefault="00565FD5" w:rsidP="00AB62A3">
            <w:pPr>
              <w:jc w:val="right"/>
              <w:rPr>
                <w:rFonts w:cs="Tahoma"/>
                <w:b/>
                <w:sz w:val="16"/>
                <w:szCs w:val="16"/>
              </w:rPr>
            </w:pPr>
            <w:r>
              <w:rPr>
                <w:rFonts w:cs="Tahoma"/>
                <w:b/>
                <w:sz w:val="16"/>
                <w:szCs w:val="16"/>
              </w:rPr>
              <w:t>100</w:t>
            </w:r>
          </w:p>
        </w:tc>
      </w:tr>
    </w:tbl>
    <w:p w:rsidR="00565FD5" w:rsidRPr="007B2BC3" w:rsidRDefault="00565FD5" w:rsidP="00565FD5">
      <w:pPr>
        <w:spacing w:after="240"/>
        <w:rPr>
          <w:rFonts w:cs="Tahoma"/>
          <w:b/>
          <w:szCs w:val="18"/>
        </w:rPr>
      </w:pPr>
      <w:r w:rsidRPr="007B2BC3">
        <w:rPr>
          <w:rFonts w:cs="Tahoma"/>
          <w:sz w:val="14"/>
          <w:szCs w:val="14"/>
        </w:rPr>
        <w:t>Kaynak: Kalkınma Bakanlığı</w:t>
      </w:r>
    </w:p>
    <w:p w:rsidR="00565FD5" w:rsidRPr="007B2BC3" w:rsidRDefault="00565FD5" w:rsidP="00565FD5">
      <w:pPr>
        <w:spacing w:after="180"/>
        <w:ind w:firstLine="425"/>
        <w:rPr>
          <w:rFonts w:cs="Tahoma"/>
          <w:szCs w:val="18"/>
          <w:lang w:val="en-US"/>
        </w:rPr>
      </w:pPr>
      <w:r w:rsidRPr="007B2BC3">
        <w:rPr>
          <w:rFonts w:cs="Tahoma"/>
          <w:szCs w:val="18"/>
          <w:lang w:val="en-US"/>
        </w:rPr>
        <w:t>e-Devlet proje ve uygulamalarının yaygınlaşması ve olgunlaşmasıyla BİT yatırım projeleri çoğunlukla mevcut bilgi sistemlerini idameye yönelik yazılım ve donanım teminini kapsar hale gelmiştir. Bu doğrultuda, yıllar itibarıyla BİT yatırım proje sayısında önemli bir değişiklik olmamasına rağmen, yeni proje ve uygulamaların sayısında azalma gözlenmektedir. Bununla birlikte, BİT alanında</w:t>
      </w:r>
      <w:r w:rsidRPr="007B2BC3">
        <w:rPr>
          <w:rFonts w:cs="Tahoma"/>
          <w:szCs w:val="18"/>
        </w:rPr>
        <w:t xml:space="preserve"> son dönemde gözlenen gelişmelere bağlı olarak kamuda sanallaştırma uygulamaları yaygınlaşmakta, bulut bilişim ve yeşil bilişime yönelik ilgi artmakta ve mobil uygulamaların geliştirilmesine devam edilmektedir. </w:t>
      </w:r>
    </w:p>
    <w:p w:rsidR="00565FD5" w:rsidRPr="007B2BC3" w:rsidRDefault="00565FD5" w:rsidP="00565FD5">
      <w:pPr>
        <w:spacing w:after="180"/>
        <w:ind w:firstLine="425"/>
        <w:rPr>
          <w:rFonts w:cs="Tahoma"/>
          <w:szCs w:val="18"/>
          <w:lang w:val="en-US"/>
        </w:rPr>
      </w:pPr>
      <w:r w:rsidRPr="007B2BC3">
        <w:rPr>
          <w:rFonts w:cs="Tahoma"/>
          <w:szCs w:val="18"/>
          <w:lang w:val="en-US"/>
        </w:rPr>
        <w:t xml:space="preserve">Kamu kurumları, Türksat A.Ş.’den doğrudan yapacakları e-devletle ilgili hizmet alımlarında Kamu İhale Kanunundan muaf tutulmaları sonrasında, büyük oranda Türksat A.Ş.’ye yönelmiştir. Bu durum, Türksat A.Ş.’nin e-Devlet Kapısı ve e-devlete ilişkin ortak hizmet ve altyapılardaki yükümlülüklerini yerine getirmesinde ilave zorluklar ortaya çıkarmaktadır. Benzer şekilde, kamu kurumlarının ihale mevzuatından muaf olarak hizmet alımı gerçekleştirmeleri, kurumsal ihtiyaçların tanımlanmasında ve proje yönetiminde </w:t>
      </w:r>
      <w:r>
        <w:rPr>
          <w:rFonts w:cs="Tahoma"/>
          <w:szCs w:val="18"/>
          <w:lang w:val="en-US"/>
        </w:rPr>
        <w:t>etkinliğin sağlanamamasına yol açmaktadır.</w:t>
      </w:r>
    </w:p>
    <w:p w:rsidR="00565FD5" w:rsidRPr="007B2BC3" w:rsidRDefault="00565FD5" w:rsidP="00565FD5">
      <w:pPr>
        <w:spacing w:after="180"/>
        <w:ind w:firstLine="425"/>
        <w:rPr>
          <w:rFonts w:cs="Tahoma"/>
          <w:szCs w:val="18"/>
          <w:lang w:val="en-US"/>
        </w:rPr>
      </w:pPr>
      <w:r w:rsidRPr="007B2BC3">
        <w:rPr>
          <w:rFonts w:cs="Tahoma"/>
          <w:szCs w:val="18"/>
        </w:rPr>
        <w:t>Kişisel verilerin korunması ve mahremiyete yönelik hukuki ve teknik altyapı ihtiyacı devam etmekte olup buna ilişkin</w:t>
      </w:r>
      <w:r>
        <w:rPr>
          <w:rFonts w:cs="Tahoma"/>
          <w:szCs w:val="18"/>
        </w:rPr>
        <w:t xml:space="preserve"> </w:t>
      </w:r>
      <w:r w:rsidRPr="007B2BC3">
        <w:rPr>
          <w:rFonts w:cs="Tahoma"/>
          <w:szCs w:val="18"/>
        </w:rPr>
        <w:t>kanun tasarısının 2012 yılı sonuna kadar TBMM'ye sevk edilmesi çalışmaları sürdürülmektedir. Söz konusu yasal düzenleme,  kamu kurumlarına ait bilgi sistemlerinin ve e-devlet uygulamalarının da gözden geçirilmesi ihtiyacını gündeme getirecektir. Diğer yandan, ulusal bilgi güvenliğinin sağlanmasına ilişkin mevzuat çalışmaları, ilgili kurum ve kuruluşların katılımıyla yürütülmektedir.</w:t>
      </w:r>
    </w:p>
    <w:p w:rsidR="00565FD5" w:rsidRPr="007B2BC3" w:rsidRDefault="00565FD5" w:rsidP="00565FD5">
      <w:pPr>
        <w:pStyle w:val="Balk4"/>
      </w:pPr>
      <w:bookmarkStart w:id="3170" w:name="_Toc244253781"/>
      <w:bookmarkStart w:id="3171" w:name="_Toc244255031"/>
      <w:bookmarkStart w:id="3172" w:name="_Toc244313766"/>
      <w:bookmarkStart w:id="3173" w:name="_Toc244315243"/>
      <w:bookmarkStart w:id="3174" w:name="_Toc244339706"/>
      <w:bookmarkStart w:id="3175" w:name="_Toc244661522"/>
      <w:bookmarkStart w:id="3176" w:name="_Toc275873295"/>
      <w:bookmarkStart w:id="3177" w:name="_Toc338505677"/>
      <w:bookmarkStart w:id="3178" w:name="_Toc338523911"/>
      <w:bookmarkStart w:id="3179" w:name="_Toc338524142"/>
      <w:bookmarkStart w:id="3180" w:name="_Toc338526368"/>
      <w:bookmarkStart w:id="3181" w:name="_Toc338673811"/>
      <w:bookmarkStart w:id="3182" w:name="_Toc338711690"/>
      <w:r w:rsidRPr="007B2BC3">
        <w:t>2. Temel Amaç ve Hedefler</w:t>
      </w:r>
      <w:bookmarkEnd w:id="3170"/>
      <w:bookmarkEnd w:id="3171"/>
      <w:bookmarkEnd w:id="3172"/>
      <w:bookmarkEnd w:id="3173"/>
      <w:bookmarkEnd w:id="3174"/>
      <w:bookmarkEnd w:id="3175"/>
      <w:bookmarkEnd w:id="3176"/>
      <w:bookmarkEnd w:id="3177"/>
      <w:bookmarkEnd w:id="3178"/>
      <w:bookmarkEnd w:id="3179"/>
      <w:bookmarkEnd w:id="3180"/>
      <w:bookmarkEnd w:id="3181"/>
      <w:bookmarkEnd w:id="3182"/>
    </w:p>
    <w:p w:rsidR="00565FD5" w:rsidRPr="007B2BC3" w:rsidRDefault="00565FD5" w:rsidP="00565FD5">
      <w:pPr>
        <w:spacing w:after="180"/>
        <w:ind w:firstLine="425"/>
        <w:rPr>
          <w:rFonts w:cs="Tahoma"/>
          <w:szCs w:val="18"/>
        </w:rPr>
      </w:pPr>
      <w:r w:rsidRPr="007B2BC3">
        <w:rPr>
          <w:rFonts w:cs="Tahoma"/>
          <w:szCs w:val="18"/>
        </w:rPr>
        <w:t xml:space="preserve">Vatandaşların ve iş dünyasının ihtiyaçları doğrultusunda, çeşitli kanallardan bütünleşik hizmet sunumunun sağlanacağı bir e-devlet yapısının oluşturulması ve e-devlet hizmetlerinin kullanımının artırılması temel amaçtır. </w:t>
      </w:r>
    </w:p>
    <w:p w:rsidR="00565FD5" w:rsidRPr="007B2BC3" w:rsidRDefault="00565FD5" w:rsidP="00565FD5">
      <w:pPr>
        <w:spacing w:after="180"/>
        <w:ind w:firstLine="425"/>
        <w:rPr>
          <w:rFonts w:cs="Tahoma"/>
          <w:szCs w:val="18"/>
        </w:rPr>
      </w:pPr>
      <w:r w:rsidRPr="007B2BC3">
        <w:rPr>
          <w:rFonts w:cs="Tahoma"/>
          <w:szCs w:val="18"/>
        </w:rPr>
        <w:t>Bu kapsamda, e-devlete ilişkin politika ve stratejiler, yenilenecek bilgi toplumu politika ve stratejileri çerçevesinde yeniden ele alınacaktır.</w:t>
      </w:r>
    </w:p>
    <w:p w:rsidR="00565FD5" w:rsidRPr="007B2BC3" w:rsidRDefault="00565FD5" w:rsidP="00565FD5">
      <w:pPr>
        <w:spacing w:after="180"/>
        <w:ind w:firstLine="425"/>
        <w:rPr>
          <w:rFonts w:cs="Tahoma"/>
          <w:szCs w:val="18"/>
        </w:rPr>
      </w:pPr>
      <w:r w:rsidRPr="007B2BC3">
        <w:rPr>
          <w:rFonts w:cs="Tahoma"/>
          <w:szCs w:val="18"/>
        </w:rPr>
        <w:t xml:space="preserve">e-Devlet proje ve uygulamaları bütünsel bir yaklaşımla ele alınacak, kamuya ait BİT yatırım projeleri kurumlararası koordinasyon ve güvenli elektronik ortamlarda bilgi paylaşımını esas alan bir </w:t>
      </w:r>
      <w:r w:rsidRPr="007B2BC3">
        <w:rPr>
          <w:rFonts w:cs="Tahoma"/>
          <w:szCs w:val="18"/>
        </w:rPr>
        <w:lastRenderedPageBreak/>
        <w:t>anlayışla; sanallaştırma, bulut bilişim, yeşil bilişim ve mobil uygulama eğilimleri dikkate alınarak yürütülecektir.</w:t>
      </w:r>
    </w:p>
    <w:p w:rsidR="00565FD5" w:rsidRPr="007B2BC3" w:rsidRDefault="00565FD5" w:rsidP="00565FD5">
      <w:pPr>
        <w:spacing w:after="180"/>
        <w:ind w:firstLine="425"/>
        <w:rPr>
          <w:rFonts w:cs="Tahoma"/>
          <w:szCs w:val="18"/>
        </w:rPr>
      </w:pPr>
      <w:r w:rsidRPr="007B2BC3">
        <w:rPr>
          <w:rFonts w:cs="Tahoma"/>
          <w:szCs w:val="18"/>
        </w:rPr>
        <w:t>e-Devlet proje ve uygulamalarında hizmet verimliliğinin artırılması esas olacak, ortak altyapı ve hizmetler ile temel bilgi sistemlerinden henüz tamamlanamayanlara öncelik verilecek, mükerrerliklerin giderilmesi ve birlikte çalışabilirliğin sağlanması yönünde çalışmalara devam edilecektir.</w:t>
      </w:r>
    </w:p>
    <w:p w:rsidR="00565FD5" w:rsidRPr="007B2BC3" w:rsidRDefault="00565FD5" w:rsidP="00565FD5">
      <w:pPr>
        <w:spacing w:after="180"/>
        <w:ind w:firstLine="425"/>
        <w:rPr>
          <w:rFonts w:cs="Tahoma"/>
          <w:szCs w:val="18"/>
        </w:rPr>
      </w:pPr>
      <w:r w:rsidRPr="007B2BC3">
        <w:rPr>
          <w:rFonts w:cs="Tahoma"/>
          <w:szCs w:val="18"/>
        </w:rPr>
        <w:t xml:space="preserve">Kamu hizmetlerinin elektronik ortamda sunumunda; vatandaş ve iş dünyasının ihtiyaçları temel alınacak, kamu iş süreçleri bu anlayış çerçevesinde basitleştirilecek ve iyileştirilecek, kamuda karar alma süreçleri BİT aracılığıyla etkinleştirilecektir. </w:t>
      </w:r>
    </w:p>
    <w:p w:rsidR="00565FD5" w:rsidRPr="007B2BC3" w:rsidRDefault="00565FD5" w:rsidP="00565FD5">
      <w:pPr>
        <w:spacing w:after="180"/>
        <w:ind w:firstLine="425"/>
        <w:rPr>
          <w:rFonts w:cs="Tahoma"/>
          <w:szCs w:val="18"/>
        </w:rPr>
      </w:pPr>
      <w:r w:rsidRPr="007B2BC3">
        <w:rPr>
          <w:rFonts w:cs="Tahoma"/>
          <w:szCs w:val="18"/>
        </w:rPr>
        <w:t>e-Devlet uygulamaları ile kamu hizmetlerinde vatandaş beyanı esas olacak, mükerrer bilgi talep edilmeyecek, kullanıcı odaklılık, kullanıcı memnuniyeti, kişisel bilgi mahremiyeti, bilgi güvenliği, katılımcılık ve şeffaflık gözetilecektir.</w:t>
      </w:r>
    </w:p>
    <w:p w:rsidR="00565FD5" w:rsidRPr="007B2BC3" w:rsidRDefault="00565FD5" w:rsidP="00565FD5">
      <w:pPr>
        <w:spacing w:after="180"/>
        <w:ind w:firstLine="425"/>
        <w:rPr>
          <w:rFonts w:cs="Tahoma"/>
          <w:szCs w:val="18"/>
        </w:rPr>
      </w:pPr>
      <w:r w:rsidRPr="007B2BC3">
        <w:rPr>
          <w:rFonts w:cs="Tahoma"/>
          <w:szCs w:val="18"/>
        </w:rPr>
        <w:t>Kamu kaynağı kullanılarak üretilen kamu bilgisinin kamu kuruluşları, işletmeler ve vatandaşlar tarafından ticari veya ticari amaç dışında katma değer sağlayacak şekilde tekrar kullanılmasına yönelik politikalar geliştirilecektir.</w:t>
      </w:r>
    </w:p>
    <w:p w:rsidR="00565FD5" w:rsidRDefault="00565FD5" w:rsidP="00565FD5">
      <w:pPr>
        <w:spacing w:after="180"/>
        <w:ind w:firstLine="425"/>
        <w:rPr>
          <w:rFonts w:cs="Tahoma"/>
          <w:szCs w:val="18"/>
        </w:rPr>
      </w:pPr>
      <w:r w:rsidRPr="007B2BC3">
        <w:rPr>
          <w:rFonts w:cs="Tahoma"/>
          <w:szCs w:val="18"/>
        </w:rPr>
        <w:t>e-Devlet uygulamalarında etkinliğin sağlanması için gerekli mevzuat düzenlemeleri gerçekleştirilecektir. Ayrıca, kamu kurumlarının BİT projelerine ilişkin hizmet alımlarının çerçevesi gözden geçirilecek, tespit edilen aksaklıklar ve ihtiyaçlar çerçevesinde gerekli tedbirler alınacaktır.</w:t>
      </w:r>
    </w:p>
    <w:p w:rsidR="00565FD5" w:rsidRPr="007B2BC3" w:rsidRDefault="00565FD5" w:rsidP="00565FD5">
      <w:pPr>
        <w:pStyle w:val="Balk4"/>
      </w:pPr>
      <w:bookmarkStart w:id="3183" w:name="_Toc338505678"/>
      <w:bookmarkStart w:id="3184" w:name="_Toc338523912"/>
      <w:bookmarkStart w:id="3185" w:name="_Toc338524143"/>
      <w:bookmarkStart w:id="3186" w:name="_Toc338526369"/>
      <w:bookmarkStart w:id="3187" w:name="_Toc338673812"/>
      <w:bookmarkStart w:id="3188" w:name="_Toc338711691"/>
      <w:r w:rsidRPr="007B2BC3">
        <w:t>3. Politika Öncelikleri ve Tedbirler</w:t>
      </w:r>
      <w:bookmarkEnd w:id="3183"/>
      <w:bookmarkEnd w:id="3184"/>
      <w:bookmarkEnd w:id="3185"/>
      <w:bookmarkEnd w:id="3186"/>
      <w:bookmarkEnd w:id="3187"/>
      <w:bookmarkEnd w:id="3188"/>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8"/>
        <w:gridCol w:w="2030"/>
        <w:gridCol w:w="643"/>
        <w:gridCol w:w="2533"/>
      </w:tblGrid>
      <w:tr w:rsidR="00565FD5" w:rsidRPr="007B2BC3" w:rsidTr="00AB62A3">
        <w:trPr>
          <w:trHeight w:val="20"/>
          <w:jc w:val="center"/>
        </w:trPr>
        <w:tc>
          <w:tcPr>
            <w:tcW w:w="1356" w:type="pct"/>
            <w:vAlign w:val="bottom"/>
          </w:tcPr>
          <w:p w:rsidR="00565FD5" w:rsidRPr="00D47C68" w:rsidRDefault="00565FD5" w:rsidP="00AB62A3">
            <w:pPr>
              <w:autoSpaceDE w:val="0"/>
              <w:autoSpaceDN w:val="0"/>
              <w:adjustRightInd w:val="0"/>
              <w:spacing w:before="60" w:after="60"/>
              <w:rPr>
                <w:rFonts w:cs="Tahoma"/>
                <w:b/>
                <w:bCs/>
                <w:sz w:val="16"/>
                <w:szCs w:val="16"/>
              </w:rPr>
            </w:pPr>
            <w:r w:rsidRPr="00D47C68">
              <w:rPr>
                <w:rFonts w:cs="Tahoma"/>
                <w:b/>
                <w:bCs/>
                <w:sz w:val="16"/>
                <w:szCs w:val="16"/>
              </w:rPr>
              <w:t>Öncelik/Tedbir</w:t>
            </w:r>
          </w:p>
        </w:tc>
        <w:tc>
          <w:tcPr>
            <w:tcW w:w="1421" w:type="pct"/>
            <w:vAlign w:val="bottom"/>
          </w:tcPr>
          <w:p w:rsidR="00565FD5" w:rsidRPr="00D47C68" w:rsidRDefault="00565FD5" w:rsidP="00AB62A3">
            <w:pPr>
              <w:autoSpaceDE w:val="0"/>
              <w:autoSpaceDN w:val="0"/>
              <w:adjustRightInd w:val="0"/>
              <w:spacing w:before="60" w:after="60"/>
              <w:jc w:val="center"/>
              <w:rPr>
                <w:rFonts w:cs="Tahoma"/>
                <w:b/>
                <w:sz w:val="16"/>
                <w:szCs w:val="16"/>
              </w:rPr>
            </w:pPr>
            <w:r w:rsidRPr="00D47C68">
              <w:rPr>
                <w:rFonts w:cs="Tahoma"/>
                <w:b/>
                <w:sz w:val="16"/>
                <w:szCs w:val="16"/>
              </w:rPr>
              <w:t>Sorumlu / İşbirliği Yapılacak Kuruluşlar</w:t>
            </w:r>
          </w:p>
        </w:tc>
        <w:tc>
          <w:tcPr>
            <w:tcW w:w="449" w:type="pct"/>
            <w:vAlign w:val="bottom"/>
          </w:tcPr>
          <w:p w:rsidR="00565FD5" w:rsidRPr="00D47C68" w:rsidRDefault="00565FD5" w:rsidP="00AB62A3">
            <w:pPr>
              <w:spacing w:before="60" w:after="60"/>
              <w:jc w:val="center"/>
              <w:rPr>
                <w:rFonts w:cs="Tahoma"/>
                <w:b/>
                <w:sz w:val="16"/>
                <w:szCs w:val="16"/>
              </w:rPr>
            </w:pPr>
            <w:r w:rsidRPr="00D47C68">
              <w:rPr>
                <w:rFonts w:cs="Tahoma"/>
                <w:b/>
                <w:sz w:val="16"/>
                <w:szCs w:val="16"/>
              </w:rPr>
              <w:t>Süre</w:t>
            </w:r>
          </w:p>
        </w:tc>
        <w:tc>
          <w:tcPr>
            <w:tcW w:w="1773" w:type="pct"/>
            <w:vAlign w:val="bottom"/>
          </w:tcPr>
          <w:p w:rsidR="00565FD5" w:rsidRPr="00D47C68" w:rsidRDefault="00565FD5" w:rsidP="00AB62A3">
            <w:pPr>
              <w:autoSpaceDE w:val="0"/>
              <w:autoSpaceDN w:val="0"/>
              <w:adjustRightInd w:val="0"/>
              <w:spacing w:before="60" w:after="60"/>
              <w:jc w:val="center"/>
              <w:rPr>
                <w:rFonts w:cs="Tahoma"/>
                <w:b/>
                <w:sz w:val="16"/>
                <w:szCs w:val="16"/>
              </w:rPr>
            </w:pPr>
            <w:r w:rsidRPr="00D47C68">
              <w:rPr>
                <w:rFonts w:cs="Tahoma"/>
                <w:b/>
                <w:sz w:val="16"/>
                <w:szCs w:val="16"/>
              </w:rPr>
              <w:t>Yapılacak İşlem ve Açıklama</w:t>
            </w:r>
          </w:p>
        </w:tc>
      </w:tr>
      <w:tr w:rsidR="00565FD5" w:rsidRPr="007B2BC3" w:rsidTr="00AB62A3">
        <w:trPr>
          <w:trHeight w:val="20"/>
          <w:jc w:val="center"/>
        </w:trPr>
        <w:tc>
          <w:tcPr>
            <w:tcW w:w="5000" w:type="pct"/>
            <w:gridSpan w:val="4"/>
            <w:vAlign w:val="center"/>
          </w:tcPr>
          <w:p w:rsidR="00565FD5" w:rsidRPr="00D47C68" w:rsidRDefault="00565FD5" w:rsidP="00EB1E69">
            <w:pPr>
              <w:numPr>
                <w:ilvl w:val="0"/>
                <w:numId w:val="15"/>
              </w:numPr>
              <w:spacing w:before="60" w:after="60" w:line="240" w:lineRule="auto"/>
              <w:rPr>
                <w:rFonts w:cs="Tahoma"/>
                <w:b/>
                <w:bCs/>
                <w:sz w:val="16"/>
                <w:szCs w:val="16"/>
              </w:rPr>
            </w:pPr>
            <w:r w:rsidRPr="00D47C68">
              <w:rPr>
                <w:rFonts w:cs="Tahoma"/>
                <w:b/>
                <w:bCs/>
                <w:color w:val="000000"/>
                <w:sz w:val="16"/>
                <w:szCs w:val="16"/>
                <w:lang w:eastAsia="tr-TR"/>
              </w:rPr>
              <w:t>e-Devlet politika ve stratejileri, yenilenecek Bilgi Toplumu Stratejisi çerçevesinde şekillendirilecektir.</w:t>
            </w:r>
          </w:p>
        </w:tc>
      </w:tr>
      <w:tr w:rsidR="00565FD5" w:rsidRPr="007B2BC3" w:rsidTr="00AB62A3">
        <w:trPr>
          <w:trHeight w:val="20"/>
          <w:jc w:val="center"/>
        </w:trPr>
        <w:tc>
          <w:tcPr>
            <w:tcW w:w="1356" w:type="pct"/>
          </w:tcPr>
          <w:p w:rsidR="00565FD5" w:rsidRPr="00D47C68" w:rsidRDefault="00565FD5" w:rsidP="00EB1E69">
            <w:pPr>
              <w:numPr>
                <w:ilvl w:val="0"/>
                <w:numId w:val="14"/>
              </w:numPr>
              <w:tabs>
                <w:tab w:val="left" w:pos="425"/>
              </w:tabs>
              <w:spacing w:before="60" w:after="60" w:line="240" w:lineRule="auto"/>
              <w:rPr>
                <w:rFonts w:cs="Tahoma"/>
                <w:sz w:val="16"/>
                <w:szCs w:val="16"/>
              </w:rPr>
            </w:pPr>
            <w:r w:rsidRPr="00D47C68">
              <w:rPr>
                <w:rFonts w:cs="Tahoma"/>
                <w:sz w:val="16"/>
                <w:szCs w:val="16"/>
              </w:rPr>
              <w:t>Bilgi toplumu stratejileri çerçevesinde; e-devlet hizmetlerinin yürütülmesine ilişkin usul ve esaslar belirlenecektir.</w:t>
            </w:r>
          </w:p>
        </w:tc>
        <w:tc>
          <w:tcPr>
            <w:tcW w:w="1421" w:type="pct"/>
          </w:tcPr>
          <w:p w:rsidR="00565FD5" w:rsidRPr="00D47C68" w:rsidRDefault="00565FD5" w:rsidP="00AB62A3">
            <w:pPr>
              <w:autoSpaceDE w:val="0"/>
              <w:autoSpaceDN w:val="0"/>
              <w:adjustRightInd w:val="0"/>
              <w:spacing w:before="60" w:after="60"/>
              <w:rPr>
                <w:rFonts w:cs="Tahoma"/>
                <w:sz w:val="16"/>
                <w:szCs w:val="16"/>
              </w:rPr>
            </w:pPr>
            <w:r w:rsidRPr="00D47C68">
              <w:rPr>
                <w:rFonts w:cs="Tahoma"/>
                <w:sz w:val="16"/>
                <w:szCs w:val="16"/>
              </w:rPr>
              <w:t>Ulaştırma, Denizcilik ve Haberleşme Bakanlığı (S), Başbakanlık, Kalkınma Bakanlığı, İlgili Kamu Kurum ve Kuruluşları</w:t>
            </w:r>
          </w:p>
        </w:tc>
        <w:tc>
          <w:tcPr>
            <w:tcW w:w="449" w:type="pct"/>
          </w:tcPr>
          <w:p w:rsidR="00565FD5" w:rsidRPr="00D47C68" w:rsidRDefault="00565FD5" w:rsidP="00AB62A3">
            <w:pPr>
              <w:spacing w:before="60" w:after="60"/>
              <w:rPr>
                <w:rFonts w:cs="Tahoma"/>
                <w:sz w:val="16"/>
                <w:szCs w:val="16"/>
              </w:rPr>
            </w:pPr>
            <w:r w:rsidRPr="00D47C68">
              <w:rPr>
                <w:rFonts w:cs="Tahoma"/>
                <w:sz w:val="16"/>
                <w:szCs w:val="16"/>
              </w:rPr>
              <w:t>Aralık Sonu</w:t>
            </w:r>
          </w:p>
        </w:tc>
        <w:tc>
          <w:tcPr>
            <w:tcW w:w="1773" w:type="pct"/>
          </w:tcPr>
          <w:p w:rsidR="00565FD5" w:rsidRPr="00D47C68" w:rsidRDefault="00565FD5" w:rsidP="00AB62A3">
            <w:pPr>
              <w:autoSpaceDE w:val="0"/>
              <w:autoSpaceDN w:val="0"/>
              <w:adjustRightInd w:val="0"/>
              <w:spacing w:before="60" w:after="60"/>
              <w:rPr>
                <w:rFonts w:cs="Tahoma"/>
                <w:sz w:val="16"/>
                <w:szCs w:val="16"/>
              </w:rPr>
            </w:pPr>
            <w:r w:rsidRPr="00D47C68">
              <w:rPr>
                <w:rFonts w:cs="Tahoma"/>
                <w:sz w:val="16"/>
                <w:szCs w:val="16"/>
              </w:rPr>
              <w:t>Yenilenecek bilgi toplumu politika, hedef ve stratejileri çerçevesinde; e-devlet hizmetlerinin kapsamı ve yürütülmesine ilişkin usul ve esaslar belirlenecek, bu hizmetlere ilişkin eylem planları hazırlanacak ve gerekli koordinasyon faaliyetleri yürütülecektir.</w:t>
            </w:r>
          </w:p>
        </w:tc>
      </w:tr>
      <w:tr w:rsidR="00565FD5" w:rsidRPr="007B2BC3" w:rsidTr="00AB62A3">
        <w:trPr>
          <w:trHeight w:val="20"/>
          <w:jc w:val="center"/>
        </w:trPr>
        <w:tc>
          <w:tcPr>
            <w:tcW w:w="5000" w:type="pct"/>
            <w:gridSpan w:val="4"/>
            <w:vAlign w:val="center"/>
          </w:tcPr>
          <w:p w:rsidR="00565FD5" w:rsidRPr="00D47C68" w:rsidRDefault="00565FD5" w:rsidP="00EB1E69">
            <w:pPr>
              <w:numPr>
                <w:ilvl w:val="0"/>
                <w:numId w:val="15"/>
              </w:numPr>
              <w:tabs>
                <w:tab w:val="left" w:pos="425"/>
              </w:tabs>
              <w:autoSpaceDE w:val="0"/>
              <w:autoSpaceDN w:val="0"/>
              <w:adjustRightInd w:val="0"/>
              <w:spacing w:before="60" w:after="60" w:line="240" w:lineRule="auto"/>
              <w:rPr>
                <w:rFonts w:cs="Tahoma"/>
                <w:b/>
                <w:bCs/>
                <w:sz w:val="16"/>
                <w:szCs w:val="16"/>
              </w:rPr>
            </w:pPr>
            <w:r w:rsidRPr="00D47C68">
              <w:rPr>
                <w:rFonts w:cs="Tahoma"/>
                <w:b/>
                <w:bCs/>
                <w:sz w:val="16"/>
                <w:szCs w:val="16"/>
              </w:rPr>
              <w:t>e-Devlet proje ve uygulamaları bütünsel ve bilgi paylaşımını esas alan bir anlayışla koordine edilecektir.</w:t>
            </w:r>
          </w:p>
        </w:tc>
      </w:tr>
      <w:tr w:rsidR="00565FD5" w:rsidRPr="007B2BC3" w:rsidTr="00AB62A3">
        <w:trPr>
          <w:trHeight w:val="20"/>
          <w:jc w:val="center"/>
        </w:trPr>
        <w:tc>
          <w:tcPr>
            <w:tcW w:w="1356" w:type="pct"/>
          </w:tcPr>
          <w:p w:rsidR="00565FD5" w:rsidRPr="00D47C68" w:rsidRDefault="00565FD5" w:rsidP="00EB1E69">
            <w:pPr>
              <w:numPr>
                <w:ilvl w:val="0"/>
                <w:numId w:val="14"/>
              </w:numPr>
              <w:tabs>
                <w:tab w:val="left" w:pos="425"/>
              </w:tabs>
              <w:spacing w:before="60" w:after="60" w:line="240" w:lineRule="auto"/>
              <w:ind w:left="34"/>
              <w:rPr>
                <w:rFonts w:cs="Tahoma"/>
                <w:b/>
                <w:bCs/>
                <w:sz w:val="16"/>
                <w:szCs w:val="16"/>
              </w:rPr>
            </w:pPr>
            <w:r w:rsidRPr="00D47C68">
              <w:rPr>
                <w:rFonts w:cs="Tahoma"/>
                <w:sz w:val="16"/>
                <w:szCs w:val="16"/>
              </w:rPr>
              <w:t>e-Yazışma Projesi hayata geçirilecektir.</w:t>
            </w:r>
          </w:p>
        </w:tc>
        <w:tc>
          <w:tcPr>
            <w:tcW w:w="1421" w:type="pct"/>
          </w:tcPr>
          <w:p w:rsidR="00565FD5" w:rsidRPr="00D47C68" w:rsidRDefault="00565FD5" w:rsidP="00AB62A3">
            <w:pPr>
              <w:autoSpaceDE w:val="0"/>
              <w:autoSpaceDN w:val="0"/>
              <w:adjustRightInd w:val="0"/>
              <w:spacing w:before="60" w:after="60"/>
              <w:ind w:right="-108"/>
              <w:rPr>
                <w:rFonts w:cs="Tahoma"/>
                <w:sz w:val="16"/>
                <w:szCs w:val="16"/>
              </w:rPr>
            </w:pPr>
            <w:r w:rsidRPr="00D47C68">
              <w:rPr>
                <w:rFonts w:cs="Tahoma"/>
                <w:sz w:val="16"/>
                <w:szCs w:val="16"/>
              </w:rPr>
              <w:t>Kalkınma Bakanlığı (S), Başbakanlık, TÜBİTAK, PTT, İlgili Kamu Kurum ve Kuruluşları</w:t>
            </w:r>
          </w:p>
        </w:tc>
        <w:tc>
          <w:tcPr>
            <w:tcW w:w="450" w:type="pct"/>
          </w:tcPr>
          <w:p w:rsidR="00565FD5" w:rsidRPr="00D47C68" w:rsidRDefault="00565FD5" w:rsidP="00AB62A3">
            <w:pPr>
              <w:autoSpaceDE w:val="0"/>
              <w:autoSpaceDN w:val="0"/>
              <w:adjustRightInd w:val="0"/>
              <w:spacing w:before="60" w:after="60"/>
              <w:rPr>
                <w:rFonts w:cs="Tahoma"/>
                <w:sz w:val="16"/>
                <w:szCs w:val="16"/>
              </w:rPr>
            </w:pPr>
            <w:r w:rsidRPr="00D47C68">
              <w:rPr>
                <w:rFonts w:cs="Tahoma"/>
                <w:sz w:val="16"/>
                <w:szCs w:val="16"/>
              </w:rPr>
              <w:t>Aralık Sonu</w:t>
            </w:r>
          </w:p>
        </w:tc>
        <w:tc>
          <w:tcPr>
            <w:tcW w:w="1773" w:type="pct"/>
          </w:tcPr>
          <w:p w:rsidR="00565FD5" w:rsidRPr="00D47C68" w:rsidRDefault="00565FD5" w:rsidP="00AB62A3">
            <w:pPr>
              <w:autoSpaceDE w:val="0"/>
              <w:autoSpaceDN w:val="0"/>
              <w:adjustRightInd w:val="0"/>
              <w:spacing w:before="60" w:after="60"/>
              <w:rPr>
                <w:rFonts w:cs="Tahoma"/>
                <w:sz w:val="16"/>
                <w:szCs w:val="16"/>
              </w:rPr>
            </w:pPr>
            <w:r w:rsidRPr="00D47C68">
              <w:rPr>
                <w:rFonts w:cs="Tahoma"/>
                <w:sz w:val="16"/>
                <w:szCs w:val="16"/>
              </w:rPr>
              <w:t>Kamu kurumları arasındaki resmi yazışmaların elektronik ortamda yürütülmesini amaçlayan e-Yazışma Projesi tamamlanacaktır.</w:t>
            </w:r>
          </w:p>
        </w:tc>
      </w:tr>
      <w:tr w:rsidR="00565FD5" w:rsidRPr="007B2BC3" w:rsidTr="00AB62A3">
        <w:trPr>
          <w:trHeight w:val="20"/>
          <w:jc w:val="center"/>
        </w:trPr>
        <w:tc>
          <w:tcPr>
            <w:tcW w:w="5000" w:type="pct"/>
            <w:gridSpan w:val="4"/>
            <w:vAlign w:val="center"/>
          </w:tcPr>
          <w:p w:rsidR="00565FD5" w:rsidRPr="00D47C68" w:rsidRDefault="00565FD5" w:rsidP="00EB1E69">
            <w:pPr>
              <w:numPr>
                <w:ilvl w:val="0"/>
                <w:numId w:val="15"/>
              </w:numPr>
              <w:tabs>
                <w:tab w:val="left" w:pos="425"/>
              </w:tabs>
              <w:autoSpaceDE w:val="0"/>
              <w:autoSpaceDN w:val="0"/>
              <w:adjustRightInd w:val="0"/>
              <w:spacing w:before="60" w:after="60" w:line="240" w:lineRule="auto"/>
              <w:rPr>
                <w:rFonts w:cs="Tahoma"/>
                <w:b/>
                <w:bCs/>
                <w:sz w:val="16"/>
                <w:szCs w:val="16"/>
              </w:rPr>
            </w:pPr>
            <w:r w:rsidRPr="00D47C68">
              <w:rPr>
                <w:rFonts w:cs="Tahoma"/>
                <w:b/>
                <w:bCs/>
                <w:sz w:val="16"/>
                <w:szCs w:val="16"/>
              </w:rPr>
              <w:t>e-Devlet uygulamalarının hayata geçirilmesi için gerekli temel bilgi sistemleri ile ortak altyapı ve hizmetler geliştirilecektir.</w:t>
            </w:r>
          </w:p>
        </w:tc>
      </w:tr>
      <w:tr w:rsidR="00565FD5" w:rsidRPr="007B2BC3" w:rsidTr="00AB62A3">
        <w:trPr>
          <w:trHeight w:val="20"/>
          <w:jc w:val="center"/>
        </w:trPr>
        <w:tc>
          <w:tcPr>
            <w:tcW w:w="1356" w:type="pct"/>
          </w:tcPr>
          <w:p w:rsidR="00565FD5" w:rsidRPr="00D47C68" w:rsidRDefault="00565FD5" w:rsidP="00EB1E69">
            <w:pPr>
              <w:numPr>
                <w:ilvl w:val="0"/>
                <w:numId w:val="14"/>
              </w:numPr>
              <w:spacing w:before="60" w:after="60" w:line="240" w:lineRule="auto"/>
              <w:ind w:left="34"/>
              <w:rPr>
                <w:rFonts w:cs="Tahoma"/>
                <w:sz w:val="16"/>
                <w:szCs w:val="16"/>
              </w:rPr>
            </w:pPr>
            <w:r w:rsidRPr="00D47C68">
              <w:rPr>
                <w:rFonts w:cs="Tahoma"/>
                <w:sz w:val="16"/>
                <w:szCs w:val="16"/>
              </w:rPr>
              <w:t xml:space="preserve">e-Devlet Kapısı üzerinden sunulan hizmet sayısı </w:t>
            </w:r>
            <w:r>
              <w:rPr>
                <w:rFonts w:cs="Tahoma"/>
                <w:sz w:val="16"/>
                <w:szCs w:val="16"/>
              </w:rPr>
              <w:t>artırılacaktır</w:t>
            </w:r>
            <w:r w:rsidRPr="00D47C68">
              <w:rPr>
                <w:rFonts w:cs="Tahoma"/>
                <w:sz w:val="16"/>
                <w:szCs w:val="16"/>
              </w:rPr>
              <w:t>.</w:t>
            </w:r>
          </w:p>
        </w:tc>
        <w:tc>
          <w:tcPr>
            <w:tcW w:w="1421" w:type="pct"/>
          </w:tcPr>
          <w:p w:rsidR="00565FD5" w:rsidRDefault="00565FD5" w:rsidP="00AB62A3">
            <w:pPr>
              <w:spacing w:before="60" w:after="60"/>
              <w:ind w:right="-108"/>
              <w:rPr>
                <w:rFonts w:cs="Tahoma"/>
                <w:sz w:val="16"/>
                <w:szCs w:val="16"/>
              </w:rPr>
            </w:pPr>
            <w:r w:rsidRPr="00D47C68">
              <w:rPr>
                <w:rFonts w:cs="Tahoma"/>
                <w:sz w:val="16"/>
                <w:szCs w:val="16"/>
              </w:rPr>
              <w:t>TÜRKSAT (S), Ulaştırma, Denizcilik ve Haberleşme Bakanlığı, İçişleri Bakanlığı, Kalkınma Bakanlığı, İlgili Kamu Kurum ve Kuruluşları</w:t>
            </w:r>
          </w:p>
          <w:p w:rsidR="00565FD5" w:rsidRPr="00D47C68" w:rsidRDefault="00565FD5" w:rsidP="00AB62A3">
            <w:pPr>
              <w:spacing w:before="60" w:after="60"/>
              <w:ind w:right="-108"/>
              <w:rPr>
                <w:rFonts w:cs="Tahoma"/>
                <w:sz w:val="16"/>
                <w:szCs w:val="16"/>
              </w:rPr>
            </w:pPr>
          </w:p>
        </w:tc>
        <w:tc>
          <w:tcPr>
            <w:tcW w:w="450" w:type="pct"/>
          </w:tcPr>
          <w:p w:rsidR="00565FD5" w:rsidRPr="00D47C68" w:rsidRDefault="00565FD5" w:rsidP="00AB62A3">
            <w:pPr>
              <w:autoSpaceDE w:val="0"/>
              <w:autoSpaceDN w:val="0"/>
              <w:adjustRightInd w:val="0"/>
              <w:spacing w:before="60" w:after="60"/>
              <w:rPr>
                <w:rFonts w:cs="Tahoma"/>
                <w:sz w:val="16"/>
                <w:szCs w:val="16"/>
              </w:rPr>
            </w:pPr>
            <w:r w:rsidRPr="00D47C68">
              <w:rPr>
                <w:rFonts w:cs="Tahoma"/>
                <w:sz w:val="16"/>
                <w:szCs w:val="16"/>
              </w:rPr>
              <w:t>Aralık Sonu</w:t>
            </w:r>
          </w:p>
        </w:tc>
        <w:tc>
          <w:tcPr>
            <w:tcW w:w="1773" w:type="pct"/>
          </w:tcPr>
          <w:p w:rsidR="00565FD5" w:rsidRPr="00D47C68" w:rsidRDefault="00565FD5" w:rsidP="00AB62A3">
            <w:pPr>
              <w:autoSpaceDE w:val="0"/>
              <w:autoSpaceDN w:val="0"/>
              <w:adjustRightInd w:val="0"/>
              <w:spacing w:before="60" w:after="60"/>
              <w:rPr>
                <w:rFonts w:cs="Tahoma"/>
                <w:sz w:val="16"/>
                <w:szCs w:val="16"/>
              </w:rPr>
            </w:pPr>
            <w:r w:rsidRPr="00D47C68">
              <w:rPr>
                <w:rFonts w:cs="Tahoma"/>
                <w:sz w:val="16"/>
                <w:szCs w:val="16"/>
              </w:rPr>
              <w:t>Yerel yönetim hizmetleri de dahil, kamu hizmetlerinin e-Devlet Kapısına entegrasyonuna devam edilecektir.</w:t>
            </w:r>
          </w:p>
        </w:tc>
      </w:tr>
      <w:tr w:rsidR="00565FD5" w:rsidRPr="007B2BC3" w:rsidTr="00AB62A3">
        <w:trPr>
          <w:trHeight w:val="20"/>
          <w:jc w:val="center"/>
        </w:trPr>
        <w:tc>
          <w:tcPr>
            <w:tcW w:w="1356" w:type="pct"/>
          </w:tcPr>
          <w:p w:rsidR="00565FD5" w:rsidRPr="00D47C68" w:rsidRDefault="00565FD5" w:rsidP="00EB1E69">
            <w:pPr>
              <w:numPr>
                <w:ilvl w:val="0"/>
                <w:numId w:val="14"/>
              </w:numPr>
              <w:spacing w:before="60" w:after="60" w:line="240" w:lineRule="auto"/>
              <w:ind w:left="34"/>
              <w:rPr>
                <w:rFonts w:cs="Tahoma"/>
                <w:bCs/>
                <w:sz w:val="16"/>
                <w:szCs w:val="16"/>
              </w:rPr>
            </w:pPr>
            <w:r w:rsidRPr="00D47C68">
              <w:rPr>
                <w:rFonts w:cs="Tahoma"/>
                <w:sz w:val="16"/>
                <w:szCs w:val="16"/>
              </w:rPr>
              <w:t xml:space="preserve">T.C. Kimlik </w:t>
            </w:r>
            <w:r w:rsidRPr="00D47C68">
              <w:rPr>
                <w:rFonts w:cs="Tahoma"/>
                <w:sz w:val="16"/>
                <w:szCs w:val="16"/>
              </w:rPr>
              <w:lastRenderedPageBreak/>
              <w:t xml:space="preserve">Kartı Projesinin yaygınlaştırılması </w:t>
            </w:r>
            <w:r>
              <w:rPr>
                <w:rFonts w:cs="Tahoma"/>
                <w:sz w:val="16"/>
                <w:szCs w:val="16"/>
              </w:rPr>
              <w:t>çalışmalarına devam edilecek, 2013 yılı sonuna kadar yaklaşık 10 milyon vatandaşa T.C. Kimlik Kartı dağıtılacaktır.</w:t>
            </w:r>
            <w:r w:rsidRPr="00D47C68">
              <w:rPr>
                <w:rFonts w:cs="Tahoma"/>
                <w:sz w:val="16"/>
                <w:szCs w:val="16"/>
              </w:rPr>
              <w:t xml:space="preserve"> </w:t>
            </w:r>
          </w:p>
        </w:tc>
        <w:tc>
          <w:tcPr>
            <w:tcW w:w="1421" w:type="pct"/>
          </w:tcPr>
          <w:p w:rsidR="00565FD5" w:rsidRPr="00D47C68" w:rsidRDefault="00565FD5" w:rsidP="00AB62A3">
            <w:pPr>
              <w:spacing w:before="60" w:after="60"/>
              <w:rPr>
                <w:rFonts w:cs="Tahoma"/>
                <w:bCs/>
                <w:sz w:val="16"/>
                <w:szCs w:val="16"/>
              </w:rPr>
            </w:pPr>
            <w:r w:rsidRPr="00D47C68">
              <w:rPr>
                <w:rFonts w:cs="Tahoma"/>
                <w:sz w:val="16"/>
                <w:szCs w:val="16"/>
              </w:rPr>
              <w:lastRenderedPageBreak/>
              <w:t>İçişleri Bakanlığı</w:t>
            </w:r>
            <w:r w:rsidRPr="00D47C68">
              <w:rPr>
                <w:rFonts w:cs="Tahoma"/>
                <w:bCs/>
                <w:sz w:val="16"/>
                <w:szCs w:val="16"/>
              </w:rPr>
              <w:t xml:space="preserve"> (S), </w:t>
            </w:r>
            <w:r w:rsidRPr="00D47C68">
              <w:rPr>
                <w:rFonts w:cs="Tahoma"/>
                <w:bCs/>
                <w:sz w:val="16"/>
                <w:szCs w:val="16"/>
              </w:rPr>
              <w:lastRenderedPageBreak/>
              <w:t>Kalkınma Bakanlığı, TÜB</w:t>
            </w:r>
            <w:r w:rsidRPr="00D47C68">
              <w:rPr>
                <w:rFonts w:cs="Tahoma"/>
                <w:sz w:val="16"/>
                <w:szCs w:val="16"/>
              </w:rPr>
              <w:t>İTAK, İlgili Kamu Kurum ve Kuruluşları</w:t>
            </w:r>
          </w:p>
        </w:tc>
        <w:tc>
          <w:tcPr>
            <w:tcW w:w="450" w:type="pct"/>
          </w:tcPr>
          <w:p w:rsidR="00565FD5" w:rsidRPr="00D47C68" w:rsidRDefault="00565FD5" w:rsidP="00AB62A3">
            <w:pPr>
              <w:spacing w:before="60" w:after="60"/>
              <w:rPr>
                <w:rFonts w:cs="Tahoma"/>
                <w:bCs/>
                <w:sz w:val="16"/>
                <w:szCs w:val="16"/>
              </w:rPr>
            </w:pPr>
            <w:r w:rsidRPr="00D47C68">
              <w:rPr>
                <w:rFonts w:cs="Tahoma"/>
                <w:sz w:val="16"/>
                <w:szCs w:val="16"/>
              </w:rPr>
              <w:lastRenderedPageBreak/>
              <w:t xml:space="preserve">Aralık </w:t>
            </w:r>
            <w:r w:rsidRPr="00D47C68">
              <w:rPr>
                <w:rFonts w:cs="Tahoma"/>
                <w:sz w:val="16"/>
                <w:szCs w:val="16"/>
              </w:rPr>
              <w:lastRenderedPageBreak/>
              <w:t>Sonu</w:t>
            </w:r>
          </w:p>
        </w:tc>
        <w:tc>
          <w:tcPr>
            <w:tcW w:w="1773" w:type="pct"/>
          </w:tcPr>
          <w:p w:rsidR="00565FD5" w:rsidRPr="00D47C68" w:rsidRDefault="00565FD5" w:rsidP="00AB62A3">
            <w:pPr>
              <w:spacing w:before="60" w:after="60"/>
              <w:rPr>
                <w:rFonts w:cs="Tahoma"/>
                <w:bCs/>
                <w:sz w:val="16"/>
                <w:szCs w:val="16"/>
              </w:rPr>
            </w:pPr>
            <w:r w:rsidRPr="00D47C68">
              <w:rPr>
                <w:rFonts w:cs="Tahoma"/>
                <w:sz w:val="16"/>
                <w:szCs w:val="16"/>
              </w:rPr>
              <w:lastRenderedPageBreak/>
              <w:t xml:space="preserve">Kamu hizmetlerine erişimde kimlik </w:t>
            </w:r>
            <w:r w:rsidRPr="00D47C68">
              <w:rPr>
                <w:rFonts w:cs="Tahoma"/>
                <w:sz w:val="16"/>
                <w:szCs w:val="16"/>
              </w:rPr>
              <w:lastRenderedPageBreak/>
              <w:t>doğrulama amacıyla kullanılacak, temel kimlik bilgilerini ve biyometrik unsurları da içeren elektronik kimlik kartının yaygınlaştırılması çalışmalarına devam edilecektir.</w:t>
            </w:r>
          </w:p>
        </w:tc>
      </w:tr>
      <w:tr w:rsidR="00565FD5" w:rsidRPr="007B2BC3" w:rsidTr="00AB62A3">
        <w:trPr>
          <w:trHeight w:val="20"/>
          <w:jc w:val="center"/>
        </w:trPr>
        <w:tc>
          <w:tcPr>
            <w:tcW w:w="1356" w:type="pct"/>
          </w:tcPr>
          <w:p w:rsidR="00565FD5" w:rsidRPr="00D47C68" w:rsidRDefault="00565FD5" w:rsidP="00EB1E69">
            <w:pPr>
              <w:numPr>
                <w:ilvl w:val="0"/>
                <w:numId w:val="14"/>
              </w:numPr>
              <w:spacing w:before="80" w:after="80" w:line="240" w:lineRule="auto"/>
              <w:ind w:left="34"/>
              <w:rPr>
                <w:rFonts w:cs="Tahoma"/>
                <w:bCs/>
                <w:sz w:val="16"/>
                <w:szCs w:val="16"/>
              </w:rPr>
            </w:pPr>
            <w:r w:rsidRPr="00D47C68">
              <w:rPr>
                <w:rFonts w:cs="Tahoma"/>
                <w:sz w:val="16"/>
                <w:szCs w:val="16"/>
              </w:rPr>
              <w:lastRenderedPageBreak/>
              <w:t>Tapu ve Kadastro Bilgi Sistemi (TAKBİS) tamamlanacaktır.</w:t>
            </w:r>
          </w:p>
        </w:tc>
        <w:tc>
          <w:tcPr>
            <w:tcW w:w="1421" w:type="pct"/>
          </w:tcPr>
          <w:p w:rsidR="00565FD5" w:rsidRPr="00D47C68" w:rsidRDefault="00565FD5" w:rsidP="00AB62A3">
            <w:pPr>
              <w:spacing w:before="80" w:after="80"/>
              <w:rPr>
                <w:rFonts w:cs="Tahoma"/>
                <w:b/>
                <w:bCs/>
                <w:sz w:val="16"/>
                <w:szCs w:val="16"/>
              </w:rPr>
            </w:pPr>
            <w:r w:rsidRPr="00D47C68">
              <w:rPr>
                <w:rFonts w:cs="Tahoma"/>
                <w:sz w:val="16"/>
                <w:szCs w:val="16"/>
              </w:rPr>
              <w:t>Tapu ve Kadastro Genel Müdürlüğü</w:t>
            </w:r>
            <w:r w:rsidRPr="00D47C68">
              <w:rPr>
                <w:rFonts w:cs="Tahoma"/>
                <w:bCs/>
                <w:sz w:val="16"/>
                <w:szCs w:val="16"/>
              </w:rPr>
              <w:t xml:space="preserve"> (S), </w:t>
            </w:r>
            <w:r w:rsidRPr="00D47C68">
              <w:rPr>
                <w:rFonts w:cs="Tahoma"/>
                <w:sz w:val="16"/>
                <w:szCs w:val="16"/>
              </w:rPr>
              <w:t>İlgili Kamu Kurum ve Kuruluşları</w:t>
            </w:r>
          </w:p>
        </w:tc>
        <w:tc>
          <w:tcPr>
            <w:tcW w:w="450" w:type="pct"/>
          </w:tcPr>
          <w:p w:rsidR="00565FD5" w:rsidRPr="00D47C68" w:rsidRDefault="00565FD5" w:rsidP="00AB62A3">
            <w:pPr>
              <w:spacing w:before="80" w:after="80"/>
              <w:rPr>
                <w:rFonts w:cs="Tahoma"/>
                <w:b/>
                <w:bCs/>
                <w:sz w:val="16"/>
                <w:szCs w:val="16"/>
              </w:rPr>
            </w:pPr>
            <w:r w:rsidRPr="00D47C68">
              <w:rPr>
                <w:rFonts w:cs="Tahoma"/>
                <w:sz w:val="16"/>
                <w:szCs w:val="16"/>
              </w:rPr>
              <w:t>Aralık Sonu</w:t>
            </w:r>
          </w:p>
        </w:tc>
        <w:tc>
          <w:tcPr>
            <w:tcW w:w="1773" w:type="pct"/>
          </w:tcPr>
          <w:p w:rsidR="00565FD5" w:rsidRPr="00D47C68" w:rsidRDefault="00565FD5" w:rsidP="00AB62A3">
            <w:pPr>
              <w:spacing w:before="80" w:after="80"/>
              <w:rPr>
                <w:rFonts w:cs="Tahoma"/>
                <w:b/>
                <w:bCs/>
                <w:sz w:val="16"/>
                <w:szCs w:val="16"/>
              </w:rPr>
            </w:pPr>
            <w:r w:rsidRPr="00D47C68">
              <w:rPr>
                <w:rFonts w:cs="Tahoma"/>
                <w:sz w:val="16"/>
                <w:szCs w:val="16"/>
              </w:rPr>
              <w:t>TAKBİS kapsamında, kadastro bileşeni tamamlanacak ve yaygınlaştırılacak,  tapu ve kadastro kayıtlarının diğer bilgi sistemleriyle entegrasyonu sağlanacaktır.</w:t>
            </w:r>
          </w:p>
        </w:tc>
      </w:tr>
      <w:tr w:rsidR="00565FD5" w:rsidRPr="007B2BC3" w:rsidTr="00AB62A3">
        <w:trPr>
          <w:trHeight w:val="20"/>
          <w:jc w:val="center"/>
        </w:trPr>
        <w:tc>
          <w:tcPr>
            <w:tcW w:w="1356" w:type="pct"/>
          </w:tcPr>
          <w:p w:rsidR="00565FD5" w:rsidRPr="00D47C68" w:rsidRDefault="00565FD5" w:rsidP="00EB1E69">
            <w:pPr>
              <w:numPr>
                <w:ilvl w:val="0"/>
                <w:numId w:val="14"/>
              </w:numPr>
              <w:spacing w:before="80" w:after="80" w:line="240" w:lineRule="auto"/>
              <w:ind w:left="34"/>
              <w:rPr>
                <w:rFonts w:cs="Tahoma"/>
                <w:bCs/>
                <w:sz w:val="16"/>
                <w:szCs w:val="16"/>
              </w:rPr>
            </w:pPr>
            <w:r w:rsidRPr="00D47C68">
              <w:rPr>
                <w:rFonts w:cs="Tahoma"/>
                <w:sz w:val="16"/>
                <w:szCs w:val="16"/>
              </w:rPr>
              <w:t xml:space="preserve">Çerçeve anlaşmalar yoluyla yapılan kamu alımlarının Elektronik Kamu Alımları Platformu üzerinden gerçekleştirilmesi sağlanacaktır. </w:t>
            </w:r>
          </w:p>
        </w:tc>
        <w:tc>
          <w:tcPr>
            <w:tcW w:w="1421" w:type="pct"/>
          </w:tcPr>
          <w:p w:rsidR="00565FD5" w:rsidRPr="00D47C68" w:rsidRDefault="00565FD5" w:rsidP="00AB62A3">
            <w:pPr>
              <w:spacing w:before="80" w:after="80"/>
              <w:rPr>
                <w:rFonts w:cs="Tahoma"/>
                <w:b/>
                <w:bCs/>
                <w:sz w:val="16"/>
                <w:szCs w:val="16"/>
              </w:rPr>
            </w:pPr>
            <w:r w:rsidRPr="00D47C68">
              <w:rPr>
                <w:rFonts w:cs="Tahoma"/>
                <w:sz w:val="16"/>
                <w:szCs w:val="16"/>
              </w:rPr>
              <w:t>Kamu İhale Kurumu</w:t>
            </w:r>
            <w:r w:rsidRPr="00D47C68">
              <w:rPr>
                <w:rFonts w:cs="Tahoma"/>
                <w:bCs/>
                <w:sz w:val="16"/>
                <w:szCs w:val="16"/>
              </w:rPr>
              <w:t xml:space="preserve"> (S), </w:t>
            </w:r>
            <w:r w:rsidRPr="00D47C68">
              <w:rPr>
                <w:rFonts w:cs="Tahoma"/>
                <w:sz w:val="16"/>
                <w:szCs w:val="16"/>
              </w:rPr>
              <w:t>İlgili Kamu Kurum ve Kuruluşları</w:t>
            </w:r>
          </w:p>
        </w:tc>
        <w:tc>
          <w:tcPr>
            <w:tcW w:w="450" w:type="pct"/>
          </w:tcPr>
          <w:p w:rsidR="00565FD5" w:rsidRPr="00D47C68" w:rsidRDefault="00565FD5" w:rsidP="00AB62A3">
            <w:pPr>
              <w:spacing w:before="80" w:after="80"/>
              <w:rPr>
                <w:rFonts w:cs="Tahoma"/>
                <w:b/>
                <w:bCs/>
                <w:sz w:val="16"/>
                <w:szCs w:val="16"/>
              </w:rPr>
            </w:pPr>
            <w:r w:rsidRPr="00D47C68">
              <w:rPr>
                <w:rFonts w:cs="Tahoma"/>
                <w:sz w:val="16"/>
                <w:szCs w:val="16"/>
              </w:rPr>
              <w:t>Aralık Sonu</w:t>
            </w:r>
          </w:p>
        </w:tc>
        <w:tc>
          <w:tcPr>
            <w:tcW w:w="1773" w:type="pct"/>
          </w:tcPr>
          <w:p w:rsidR="00565FD5" w:rsidRPr="00D47C68" w:rsidRDefault="00565FD5" w:rsidP="00AB62A3">
            <w:pPr>
              <w:spacing w:before="80" w:after="80"/>
              <w:rPr>
                <w:rFonts w:cs="Tahoma"/>
                <w:b/>
                <w:bCs/>
                <w:sz w:val="16"/>
                <w:szCs w:val="16"/>
              </w:rPr>
            </w:pPr>
            <w:r w:rsidRPr="00D47C68">
              <w:rPr>
                <w:rFonts w:cs="Tahoma"/>
                <w:sz w:val="16"/>
                <w:szCs w:val="16"/>
              </w:rPr>
              <w:t>Çerçeve anlaşmalar yoluyla yapılan kamu alımlarının münferit alım süreçleri, tekliflerin gönderilmesi ve değerlendirilmesi de dahil olmak üzere, tamamen Elektronik Kamu Alımları Platformu üzerinden gerçekleştirilecektir.</w:t>
            </w:r>
          </w:p>
        </w:tc>
      </w:tr>
      <w:tr w:rsidR="00565FD5" w:rsidRPr="007B2BC3" w:rsidTr="00AB62A3">
        <w:trPr>
          <w:trHeight w:val="20"/>
          <w:jc w:val="center"/>
        </w:trPr>
        <w:tc>
          <w:tcPr>
            <w:tcW w:w="5000" w:type="pct"/>
            <w:gridSpan w:val="4"/>
            <w:vAlign w:val="center"/>
          </w:tcPr>
          <w:p w:rsidR="00565FD5" w:rsidRPr="00D47C68" w:rsidRDefault="00565FD5" w:rsidP="00EB1E69">
            <w:pPr>
              <w:numPr>
                <w:ilvl w:val="0"/>
                <w:numId w:val="15"/>
              </w:numPr>
              <w:tabs>
                <w:tab w:val="left" w:pos="425"/>
              </w:tabs>
              <w:autoSpaceDE w:val="0"/>
              <w:autoSpaceDN w:val="0"/>
              <w:adjustRightInd w:val="0"/>
              <w:spacing w:before="80" w:after="80" w:line="240" w:lineRule="auto"/>
              <w:jc w:val="both"/>
              <w:rPr>
                <w:rFonts w:cs="Tahoma"/>
                <w:b/>
                <w:bCs/>
                <w:sz w:val="16"/>
                <w:szCs w:val="16"/>
              </w:rPr>
            </w:pPr>
            <w:r w:rsidRPr="00D47C68">
              <w:rPr>
                <w:rFonts w:cs="Tahoma"/>
                <w:b/>
                <w:bCs/>
                <w:sz w:val="16"/>
                <w:szCs w:val="16"/>
              </w:rPr>
              <w:t>e-Devlet uygulamalarında kullanıcı odaklılık, kullanıcı memnuniyeti, kişisel bilgi mahremiyeti, bilgi güvenliği, katılımcılık ve şeffaflık gözetilecektir.</w:t>
            </w:r>
          </w:p>
        </w:tc>
      </w:tr>
      <w:tr w:rsidR="00565FD5" w:rsidRPr="007B2BC3" w:rsidTr="00AB62A3">
        <w:trPr>
          <w:trHeight w:val="20"/>
          <w:jc w:val="center"/>
        </w:trPr>
        <w:tc>
          <w:tcPr>
            <w:tcW w:w="1356" w:type="pct"/>
          </w:tcPr>
          <w:p w:rsidR="00565FD5" w:rsidRPr="00D47C68" w:rsidRDefault="00565FD5" w:rsidP="00EB1E69">
            <w:pPr>
              <w:numPr>
                <w:ilvl w:val="0"/>
                <w:numId w:val="14"/>
              </w:numPr>
              <w:spacing w:before="80" w:after="80" w:line="240" w:lineRule="auto"/>
              <w:rPr>
                <w:rFonts w:cs="Tahoma"/>
                <w:bCs/>
                <w:sz w:val="16"/>
                <w:szCs w:val="16"/>
              </w:rPr>
            </w:pPr>
            <w:r w:rsidRPr="00D47C68">
              <w:rPr>
                <w:rFonts w:cs="Tahoma"/>
                <w:sz w:val="16"/>
                <w:szCs w:val="16"/>
              </w:rPr>
              <w:t>Ulusal bilgi güvenliğinin sağlanmasına ilişkin yasal düzenleme yapılacaktır.</w:t>
            </w:r>
          </w:p>
        </w:tc>
        <w:tc>
          <w:tcPr>
            <w:tcW w:w="1421" w:type="pct"/>
          </w:tcPr>
          <w:p w:rsidR="00565FD5" w:rsidRPr="00D47C68" w:rsidRDefault="00565FD5" w:rsidP="00AB62A3">
            <w:pPr>
              <w:spacing w:before="80" w:after="80"/>
              <w:rPr>
                <w:rFonts w:cs="Tahoma"/>
                <w:b/>
                <w:bCs/>
                <w:sz w:val="16"/>
                <w:szCs w:val="16"/>
              </w:rPr>
            </w:pPr>
            <w:r w:rsidRPr="00D47C68">
              <w:rPr>
                <w:rFonts w:cs="Tahoma"/>
                <w:sz w:val="16"/>
                <w:szCs w:val="16"/>
              </w:rPr>
              <w:t>Adalet Bakanlığı</w:t>
            </w:r>
            <w:r w:rsidRPr="00D47C68">
              <w:rPr>
                <w:rFonts w:cs="Tahoma"/>
                <w:bCs/>
                <w:sz w:val="16"/>
                <w:szCs w:val="16"/>
              </w:rPr>
              <w:t xml:space="preserve"> (S), </w:t>
            </w:r>
            <w:r w:rsidRPr="00D47C68">
              <w:rPr>
                <w:rFonts w:cs="Tahoma"/>
                <w:sz w:val="16"/>
                <w:szCs w:val="16"/>
              </w:rPr>
              <w:t xml:space="preserve">Milli Savunma Bakanlığı, İçişleri Bakanlığı, Kalkınma Bakanlığı, </w:t>
            </w:r>
            <w:r w:rsidRPr="00D47C68">
              <w:rPr>
                <w:rFonts w:cs="Tahoma"/>
                <w:bCs/>
                <w:sz w:val="16"/>
                <w:szCs w:val="16"/>
              </w:rPr>
              <w:t xml:space="preserve">Ulaştırma, Denizcilik ve Haberleşme Bakanlığı, </w:t>
            </w:r>
            <w:r w:rsidRPr="00D47C68">
              <w:rPr>
                <w:rFonts w:cs="Tahoma"/>
                <w:sz w:val="16"/>
                <w:szCs w:val="16"/>
              </w:rPr>
              <w:t>TÜBİTAK, BTK, İlgili Kamu Kurum ve Kuruluşları</w:t>
            </w:r>
          </w:p>
        </w:tc>
        <w:tc>
          <w:tcPr>
            <w:tcW w:w="450" w:type="pct"/>
          </w:tcPr>
          <w:p w:rsidR="00565FD5" w:rsidRPr="00D47C68" w:rsidRDefault="00565FD5" w:rsidP="00AB62A3">
            <w:pPr>
              <w:spacing w:before="80" w:after="80"/>
              <w:rPr>
                <w:rFonts w:cs="Tahoma"/>
                <w:b/>
                <w:bCs/>
                <w:sz w:val="16"/>
                <w:szCs w:val="16"/>
              </w:rPr>
            </w:pPr>
            <w:r w:rsidRPr="00D47C68">
              <w:rPr>
                <w:rFonts w:cs="Tahoma"/>
                <w:sz w:val="16"/>
                <w:szCs w:val="16"/>
              </w:rPr>
              <w:t>Aralık Sonu</w:t>
            </w:r>
          </w:p>
        </w:tc>
        <w:tc>
          <w:tcPr>
            <w:tcW w:w="1773" w:type="pct"/>
          </w:tcPr>
          <w:p w:rsidR="00565FD5" w:rsidRPr="00D47C68" w:rsidRDefault="00565FD5" w:rsidP="00AB62A3">
            <w:pPr>
              <w:spacing w:before="80" w:after="80"/>
              <w:rPr>
                <w:rFonts w:cs="Tahoma"/>
                <w:b/>
                <w:bCs/>
                <w:sz w:val="16"/>
                <w:szCs w:val="16"/>
              </w:rPr>
            </w:pPr>
            <w:r w:rsidRPr="00D47C68">
              <w:rPr>
                <w:rFonts w:cs="Tahoma"/>
                <w:sz w:val="16"/>
                <w:szCs w:val="16"/>
              </w:rPr>
              <w:t>Ulusal bilgi güvenliğinin sağlanması ve korunması amacına yönelik yasal düzenleme yapılacaktır.</w:t>
            </w:r>
          </w:p>
        </w:tc>
      </w:tr>
      <w:tr w:rsidR="00565FD5" w:rsidRPr="007B2BC3" w:rsidTr="00AB62A3">
        <w:trPr>
          <w:trHeight w:val="20"/>
          <w:jc w:val="center"/>
        </w:trPr>
        <w:tc>
          <w:tcPr>
            <w:tcW w:w="1356" w:type="pct"/>
          </w:tcPr>
          <w:p w:rsidR="00565FD5" w:rsidRPr="00D47C68" w:rsidRDefault="00565FD5" w:rsidP="00EB1E69">
            <w:pPr>
              <w:numPr>
                <w:ilvl w:val="0"/>
                <w:numId w:val="14"/>
              </w:numPr>
              <w:spacing w:before="80" w:after="80" w:line="240" w:lineRule="auto"/>
              <w:ind w:left="0"/>
              <w:rPr>
                <w:rFonts w:cs="Tahoma"/>
                <w:b/>
                <w:bCs/>
                <w:sz w:val="16"/>
                <w:szCs w:val="16"/>
              </w:rPr>
            </w:pPr>
            <w:r w:rsidRPr="00D47C68">
              <w:rPr>
                <w:rFonts w:cs="Tahoma"/>
                <w:sz w:val="16"/>
                <w:szCs w:val="16"/>
              </w:rPr>
              <w:t>Kişisel verilerin korunmasına yönelik yasal düzenleme yapılacaktır.</w:t>
            </w:r>
          </w:p>
        </w:tc>
        <w:tc>
          <w:tcPr>
            <w:tcW w:w="1421" w:type="pct"/>
          </w:tcPr>
          <w:p w:rsidR="00565FD5" w:rsidRPr="00D47C68" w:rsidRDefault="00565FD5" w:rsidP="00AB62A3">
            <w:pPr>
              <w:spacing w:before="80" w:after="80"/>
              <w:rPr>
                <w:rFonts w:cs="Tahoma"/>
                <w:b/>
                <w:bCs/>
                <w:sz w:val="16"/>
                <w:szCs w:val="16"/>
              </w:rPr>
            </w:pPr>
            <w:r w:rsidRPr="00D47C68">
              <w:rPr>
                <w:rFonts w:cs="Tahoma"/>
                <w:sz w:val="16"/>
                <w:szCs w:val="16"/>
              </w:rPr>
              <w:t>Adalet Bakanlığı</w:t>
            </w:r>
            <w:r w:rsidRPr="00D47C68">
              <w:rPr>
                <w:rFonts w:cs="Tahoma"/>
                <w:bCs/>
                <w:sz w:val="16"/>
                <w:szCs w:val="16"/>
              </w:rPr>
              <w:t xml:space="preserve"> (S); </w:t>
            </w:r>
            <w:r w:rsidRPr="00D47C68">
              <w:rPr>
                <w:rFonts w:cs="Tahoma"/>
                <w:sz w:val="16"/>
                <w:szCs w:val="16"/>
              </w:rPr>
              <w:t>İlgili Kamu Kurum ve Kuruluşları</w:t>
            </w:r>
          </w:p>
        </w:tc>
        <w:tc>
          <w:tcPr>
            <w:tcW w:w="450" w:type="pct"/>
          </w:tcPr>
          <w:p w:rsidR="00565FD5" w:rsidRPr="00D47C68" w:rsidRDefault="00565FD5" w:rsidP="00AB62A3">
            <w:pPr>
              <w:spacing w:before="80" w:after="80"/>
              <w:rPr>
                <w:rFonts w:cs="Tahoma"/>
                <w:b/>
                <w:bCs/>
                <w:sz w:val="16"/>
                <w:szCs w:val="16"/>
              </w:rPr>
            </w:pPr>
            <w:r w:rsidRPr="00D47C68">
              <w:rPr>
                <w:rFonts w:cs="Tahoma"/>
                <w:sz w:val="16"/>
                <w:szCs w:val="16"/>
              </w:rPr>
              <w:t>Aralık Sonu</w:t>
            </w:r>
          </w:p>
        </w:tc>
        <w:tc>
          <w:tcPr>
            <w:tcW w:w="1773" w:type="pct"/>
          </w:tcPr>
          <w:p w:rsidR="00565FD5" w:rsidRPr="00D47C68" w:rsidRDefault="00565FD5" w:rsidP="00AB62A3">
            <w:pPr>
              <w:spacing w:before="80" w:after="80"/>
              <w:rPr>
                <w:rFonts w:cs="Tahoma"/>
                <w:b/>
                <w:bCs/>
                <w:sz w:val="16"/>
                <w:szCs w:val="16"/>
              </w:rPr>
            </w:pPr>
            <w:r w:rsidRPr="00D47C68">
              <w:rPr>
                <w:rFonts w:cs="Tahoma"/>
                <w:bCs/>
                <w:sz w:val="16"/>
                <w:szCs w:val="16"/>
              </w:rPr>
              <w:t>Anayasada kişisel verilerin korunmasına ilişkin getirilen düzenleme çerçevesinde, kişilerin dokunulmazlığı,</w:t>
            </w:r>
            <w:r w:rsidRPr="00D47C68">
              <w:rPr>
                <w:rFonts w:cs="Tahoma"/>
                <w:sz w:val="16"/>
                <w:szCs w:val="16"/>
              </w:rPr>
              <w:t xml:space="preserve"> </w:t>
            </w:r>
            <w:r w:rsidRPr="00D47C68">
              <w:rPr>
                <w:rFonts w:cs="Tahoma"/>
                <w:bCs/>
                <w:sz w:val="16"/>
                <w:szCs w:val="16"/>
              </w:rPr>
              <w:t>maddi ve manevi varlığı ile temel hak ve</w:t>
            </w:r>
            <w:r w:rsidRPr="00D47C68">
              <w:rPr>
                <w:rFonts w:cs="Tahoma"/>
                <w:sz w:val="16"/>
                <w:szCs w:val="16"/>
              </w:rPr>
              <w:t xml:space="preserve"> </w:t>
            </w:r>
            <w:r w:rsidRPr="00D47C68">
              <w:rPr>
                <w:rFonts w:cs="Tahoma"/>
                <w:bCs/>
                <w:sz w:val="16"/>
                <w:szCs w:val="16"/>
              </w:rPr>
              <w:t>özgürlüklerinin korunması temin ed</w:t>
            </w:r>
            <w:r>
              <w:rPr>
                <w:rFonts w:cs="Tahoma"/>
                <w:bCs/>
                <w:sz w:val="16"/>
                <w:szCs w:val="16"/>
              </w:rPr>
              <w:t>ile</w:t>
            </w:r>
            <w:r w:rsidRPr="00D47C68">
              <w:rPr>
                <w:rFonts w:cs="Tahoma"/>
                <w:bCs/>
                <w:sz w:val="16"/>
                <w:szCs w:val="16"/>
              </w:rPr>
              <w:t>rek, elektronik sistemler aracılığıyla veya diğer</w:t>
            </w:r>
            <w:r w:rsidRPr="00D47C68">
              <w:rPr>
                <w:rFonts w:cs="Tahoma"/>
                <w:sz w:val="16"/>
                <w:szCs w:val="16"/>
              </w:rPr>
              <w:t xml:space="preserve"> yollarla </w:t>
            </w:r>
            <w:r>
              <w:rPr>
                <w:rFonts w:cs="Tahoma"/>
                <w:sz w:val="16"/>
                <w:szCs w:val="16"/>
              </w:rPr>
              <w:t>yollarla işlenen kişisel verilerin korunmasına yönelik yasal düzenleme yapılacaktır.</w:t>
            </w:r>
          </w:p>
        </w:tc>
      </w:tr>
      <w:tr w:rsidR="00565FD5" w:rsidRPr="007B2BC3" w:rsidTr="00AB62A3">
        <w:trPr>
          <w:trHeight w:val="20"/>
          <w:jc w:val="center"/>
        </w:trPr>
        <w:tc>
          <w:tcPr>
            <w:tcW w:w="1356" w:type="pct"/>
          </w:tcPr>
          <w:p w:rsidR="00565FD5" w:rsidRPr="00D47C68" w:rsidRDefault="00565FD5" w:rsidP="00EB1E69">
            <w:pPr>
              <w:numPr>
                <w:ilvl w:val="0"/>
                <w:numId w:val="14"/>
              </w:numPr>
              <w:tabs>
                <w:tab w:val="left" w:pos="425"/>
              </w:tabs>
              <w:autoSpaceDE w:val="0"/>
              <w:autoSpaceDN w:val="0"/>
              <w:adjustRightInd w:val="0"/>
              <w:spacing w:before="80" w:after="80" w:line="240" w:lineRule="auto"/>
              <w:ind w:left="0"/>
              <w:rPr>
                <w:rFonts w:cs="Tahoma"/>
                <w:sz w:val="16"/>
                <w:szCs w:val="16"/>
              </w:rPr>
            </w:pPr>
            <w:r w:rsidRPr="00D47C68">
              <w:rPr>
                <w:rFonts w:cs="Tahoma"/>
                <w:sz w:val="16"/>
                <w:szCs w:val="16"/>
              </w:rPr>
              <w:t>Avrupa Konseyinin 185 sayılı Siber Suç Sözleşmesi ile kişisel verilerin korunmasına ilişkin 108 ve 181 sayılı sözleşmelerinin onaylanması çalışmaları başlatılacaktır.</w:t>
            </w:r>
          </w:p>
        </w:tc>
        <w:tc>
          <w:tcPr>
            <w:tcW w:w="1421" w:type="pct"/>
          </w:tcPr>
          <w:p w:rsidR="00565FD5" w:rsidRPr="00D47C68" w:rsidRDefault="00565FD5" w:rsidP="00AB62A3">
            <w:pPr>
              <w:spacing w:before="80" w:after="80"/>
              <w:ind w:right="-108"/>
              <w:rPr>
                <w:rFonts w:cs="Tahoma"/>
                <w:sz w:val="16"/>
                <w:szCs w:val="16"/>
              </w:rPr>
            </w:pPr>
            <w:r w:rsidRPr="00D47C68">
              <w:rPr>
                <w:rFonts w:cs="Tahoma"/>
                <w:sz w:val="16"/>
                <w:szCs w:val="16"/>
              </w:rPr>
              <w:t>Adalet Bakanlığı (S), Dışişleri Bakanlığı, Emniyet Genel Müdürlüğü</w:t>
            </w:r>
          </w:p>
        </w:tc>
        <w:tc>
          <w:tcPr>
            <w:tcW w:w="450" w:type="pct"/>
          </w:tcPr>
          <w:p w:rsidR="00565FD5" w:rsidRPr="00D47C68" w:rsidRDefault="00565FD5" w:rsidP="00AB62A3">
            <w:pPr>
              <w:autoSpaceDE w:val="0"/>
              <w:autoSpaceDN w:val="0"/>
              <w:adjustRightInd w:val="0"/>
              <w:spacing w:before="80" w:after="80"/>
              <w:rPr>
                <w:rFonts w:cs="Tahoma"/>
                <w:sz w:val="16"/>
                <w:szCs w:val="16"/>
              </w:rPr>
            </w:pPr>
            <w:r w:rsidRPr="00D47C68">
              <w:rPr>
                <w:rFonts w:cs="Tahoma"/>
                <w:sz w:val="16"/>
                <w:szCs w:val="16"/>
              </w:rPr>
              <w:t>Aralık Sonu</w:t>
            </w:r>
          </w:p>
        </w:tc>
        <w:tc>
          <w:tcPr>
            <w:tcW w:w="1773" w:type="pct"/>
          </w:tcPr>
          <w:p w:rsidR="00565FD5" w:rsidRPr="00D47C68" w:rsidRDefault="00565FD5" w:rsidP="00AB62A3">
            <w:pPr>
              <w:autoSpaceDE w:val="0"/>
              <w:autoSpaceDN w:val="0"/>
              <w:adjustRightInd w:val="0"/>
              <w:spacing w:before="80" w:after="80"/>
              <w:rPr>
                <w:rFonts w:cs="Tahoma"/>
                <w:sz w:val="16"/>
                <w:szCs w:val="16"/>
              </w:rPr>
            </w:pPr>
            <w:r w:rsidRPr="00D47C68">
              <w:rPr>
                <w:rFonts w:cs="Tahoma"/>
                <w:sz w:val="16"/>
                <w:szCs w:val="16"/>
              </w:rPr>
              <w:t xml:space="preserve">2010 yılında taraf olunan siber suçla etkili mücadelede uluslararası işbirliğini sağlamaya yönelik olarak Avrupa Konseyinin 185 sayılı Siber Suç Sözleşmesi ile kişisel verilerin korunmasına yönelik yasal düzenleme yapılmasını müteakip, bu verilerin otomatik işleme tabi tutulması durumunda kişilerin korunmasına ilişkin 108 ve 181 sayılı </w:t>
            </w:r>
            <w:r>
              <w:rPr>
                <w:rFonts w:cs="Tahoma"/>
                <w:sz w:val="16"/>
                <w:szCs w:val="16"/>
              </w:rPr>
              <w:t>s</w:t>
            </w:r>
            <w:r w:rsidRPr="00D47C68">
              <w:rPr>
                <w:rFonts w:cs="Tahoma"/>
                <w:sz w:val="16"/>
                <w:szCs w:val="16"/>
              </w:rPr>
              <w:t>özleşmelerin onay çalışmaları başlatılacaktır.</w:t>
            </w:r>
          </w:p>
        </w:tc>
      </w:tr>
      <w:tr w:rsidR="00565FD5" w:rsidRPr="007B2BC3" w:rsidTr="00AB62A3">
        <w:trPr>
          <w:trHeight w:val="20"/>
          <w:jc w:val="center"/>
        </w:trPr>
        <w:tc>
          <w:tcPr>
            <w:tcW w:w="5000" w:type="pct"/>
            <w:gridSpan w:val="4"/>
            <w:vAlign w:val="center"/>
          </w:tcPr>
          <w:p w:rsidR="00565FD5" w:rsidRPr="00D47C68" w:rsidRDefault="00565FD5" w:rsidP="00EB1E69">
            <w:pPr>
              <w:numPr>
                <w:ilvl w:val="0"/>
                <w:numId w:val="15"/>
              </w:numPr>
              <w:tabs>
                <w:tab w:val="left" w:pos="425"/>
              </w:tabs>
              <w:autoSpaceDE w:val="0"/>
              <w:autoSpaceDN w:val="0"/>
              <w:adjustRightInd w:val="0"/>
              <w:spacing w:before="60" w:after="60" w:line="240" w:lineRule="auto"/>
              <w:jc w:val="both"/>
              <w:rPr>
                <w:rFonts w:cs="Tahoma"/>
                <w:bCs/>
                <w:sz w:val="16"/>
                <w:szCs w:val="16"/>
              </w:rPr>
            </w:pPr>
            <w:r w:rsidRPr="00D47C68">
              <w:rPr>
                <w:rFonts w:cs="Tahoma"/>
                <w:b/>
                <w:bCs/>
                <w:sz w:val="16"/>
                <w:szCs w:val="16"/>
              </w:rPr>
              <w:t>Kamu bilgisinin paylaşımı ve yeniden kullanımına ilişkin politikalar geliştirilecektir.</w:t>
            </w:r>
          </w:p>
        </w:tc>
      </w:tr>
      <w:tr w:rsidR="00565FD5" w:rsidRPr="007B2BC3" w:rsidTr="00AB62A3">
        <w:trPr>
          <w:trHeight w:val="20"/>
          <w:jc w:val="center"/>
        </w:trPr>
        <w:tc>
          <w:tcPr>
            <w:tcW w:w="1356" w:type="pct"/>
          </w:tcPr>
          <w:p w:rsidR="00565FD5" w:rsidRPr="00D47C68" w:rsidRDefault="00565FD5" w:rsidP="00EB1E69">
            <w:pPr>
              <w:numPr>
                <w:ilvl w:val="0"/>
                <w:numId w:val="14"/>
              </w:numPr>
              <w:spacing w:before="60" w:after="60" w:line="240" w:lineRule="auto"/>
              <w:ind w:left="34"/>
              <w:rPr>
                <w:rFonts w:cs="Tahoma"/>
                <w:b/>
                <w:bCs/>
                <w:sz w:val="16"/>
                <w:szCs w:val="16"/>
              </w:rPr>
            </w:pPr>
            <w:r w:rsidRPr="00D47C68">
              <w:rPr>
                <w:rFonts w:cs="Tahoma"/>
                <w:sz w:val="16"/>
                <w:szCs w:val="16"/>
              </w:rPr>
              <w:t>Yenilenecek Bilgi Toplumu Stratejisi kapsamında,</w:t>
            </w:r>
            <w:r w:rsidRPr="00D47C68">
              <w:rPr>
                <w:rFonts w:cs="Tahoma"/>
                <w:b/>
                <w:bCs/>
                <w:sz w:val="16"/>
                <w:szCs w:val="16"/>
              </w:rPr>
              <w:t xml:space="preserve"> </w:t>
            </w:r>
            <w:r w:rsidRPr="00D47C68">
              <w:rPr>
                <w:rFonts w:cs="Tahoma"/>
                <w:sz w:val="16"/>
                <w:szCs w:val="16"/>
              </w:rPr>
              <w:t xml:space="preserve">kamu bilgisinin paylaşımı ve yeniden kullanımına </w:t>
            </w:r>
            <w:r w:rsidRPr="00D47C68">
              <w:rPr>
                <w:rFonts w:cs="Tahoma"/>
                <w:sz w:val="16"/>
                <w:szCs w:val="16"/>
              </w:rPr>
              <w:lastRenderedPageBreak/>
              <w:t>ilişkin yeni politikalar geliştirilecektir.</w:t>
            </w:r>
          </w:p>
        </w:tc>
        <w:tc>
          <w:tcPr>
            <w:tcW w:w="1421" w:type="pct"/>
          </w:tcPr>
          <w:p w:rsidR="00565FD5" w:rsidRPr="00D47C68" w:rsidRDefault="00565FD5" w:rsidP="00AB62A3">
            <w:pPr>
              <w:spacing w:before="60" w:after="60"/>
              <w:rPr>
                <w:rFonts w:cs="Tahoma"/>
                <w:bCs/>
                <w:sz w:val="16"/>
                <w:szCs w:val="16"/>
              </w:rPr>
            </w:pPr>
            <w:r w:rsidRPr="00D47C68">
              <w:rPr>
                <w:rFonts w:cs="Tahoma"/>
                <w:sz w:val="16"/>
                <w:szCs w:val="16"/>
              </w:rPr>
              <w:lastRenderedPageBreak/>
              <w:t>Kalkınma Bakanlığı</w:t>
            </w:r>
            <w:r w:rsidRPr="00D47C68">
              <w:rPr>
                <w:rFonts w:cs="Tahoma"/>
                <w:bCs/>
                <w:sz w:val="16"/>
                <w:szCs w:val="16"/>
              </w:rPr>
              <w:t xml:space="preserve"> (S), </w:t>
            </w:r>
            <w:r w:rsidRPr="00D47C68">
              <w:rPr>
                <w:rFonts w:cs="Tahoma"/>
                <w:sz w:val="16"/>
                <w:szCs w:val="16"/>
              </w:rPr>
              <w:t>Başbakanlık, İlgili Kamu Kurum ve Kuruluşları</w:t>
            </w:r>
          </w:p>
        </w:tc>
        <w:tc>
          <w:tcPr>
            <w:tcW w:w="450" w:type="pct"/>
          </w:tcPr>
          <w:p w:rsidR="00565FD5" w:rsidRPr="00D47C68" w:rsidRDefault="00565FD5" w:rsidP="00AB62A3">
            <w:pPr>
              <w:spacing w:before="60" w:after="60"/>
              <w:rPr>
                <w:rFonts w:cs="Tahoma"/>
                <w:bCs/>
                <w:sz w:val="16"/>
                <w:szCs w:val="16"/>
              </w:rPr>
            </w:pPr>
            <w:r w:rsidRPr="00D47C68">
              <w:rPr>
                <w:rFonts w:cs="Tahoma"/>
                <w:sz w:val="16"/>
                <w:szCs w:val="16"/>
              </w:rPr>
              <w:t>Aralık Sonu</w:t>
            </w:r>
          </w:p>
        </w:tc>
        <w:tc>
          <w:tcPr>
            <w:tcW w:w="1773" w:type="pct"/>
          </w:tcPr>
          <w:p w:rsidR="00565FD5" w:rsidRPr="00D47C68" w:rsidRDefault="00565FD5" w:rsidP="00AB62A3">
            <w:pPr>
              <w:spacing w:before="60" w:after="60"/>
              <w:rPr>
                <w:rFonts w:cs="Tahoma"/>
                <w:bCs/>
                <w:sz w:val="16"/>
                <w:szCs w:val="16"/>
              </w:rPr>
            </w:pPr>
            <w:r w:rsidRPr="00D47C68">
              <w:rPr>
                <w:rFonts w:cs="Tahoma"/>
                <w:sz w:val="16"/>
                <w:szCs w:val="16"/>
              </w:rPr>
              <w:t xml:space="preserve">Kamu bilgisinin kamu kurumları, işletmeler ve vatandaşlar tarafından ticari veya ticari amaç dışında katma değer sağlayacak </w:t>
            </w:r>
            <w:r w:rsidRPr="00D47C68">
              <w:rPr>
                <w:rFonts w:cs="Tahoma"/>
                <w:sz w:val="16"/>
                <w:szCs w:val="16"/>
              </w:rPr>
              <w:lastRenderedPageBreak/>
              <w:t>şekilde paylaşılmasına ve tekrar kullanılmasına yönelik stratejiler belirlenecektir.</w:t>
            </w:r>
          </w:p>
        </w:tc>
      </w:tr>
    </w:tbl>
    <w:p w:rsidR="00565FD5" w:rsidRPr="007B2BC3" w:rsidRDefault="00565FD5" w:rsidP="00565FD5">
      <w:pPr>
        <w:rPr>
          <w:rFonts w:cs="Tahoma"/>
          <w:szCs w:val="18"/>
        </w:rPr>
      </w:pPr>
    </w:p>
    <w:p w:rsidR="00565FD5" w:rsidRDefault="00565FD5" w:rsidP="00565FD5"/>
    <w:p w:rsidR="00565FD5" w:rsidRPr="00B868E2" w:rsidRDefault="00565FD5" w:rsidP="00565FD5">
      <w:pPr>
        <w:pStyle w:val="Balk3"/>
      </w:pPr>
      <w:bookmarkStart w:id="3189" w:name="_Toc213065775"/>
      <w:bookmarkStart w:id="3190" w:name="_Toc244253783"/>
      <w:bookmarkStart w:id="3191" w:name="_Toc244255033"/>
      <w:bookmarkStart w:id="3192" w:name="_Toc244313768"/>
      <w:bookmarkStart w:id="3193" w:name="_Toc244315245"/>
      <w:bookmarkStart w:id="3194" w:name="_Toc244339708"/>
      <w:bookmarkStart w:id="3195" w:name="_Toc244756780"/>
      <w:bookmarkStart w:id="3196" w:name="_Toc338494275"/>
      <w:bookmarkStart w:id="3197" w:name="_Toc338505679"/>
      <w:bookmarkStart w:id="3198" w:name="_Toc338523913"/>
      <w:bookmarkStart w:id="3199" w:name="_Toc338524144"/>
      <w:bookmarkStart w:id="3200" w:name="_Toc338526370"/>
      <w:bookmarkStart w:id="3201" w:name="_Toc338673813"/>
      <w:bookmarkStart w:id="3202" w:name="_Toc338711692"/>
      <w:r>
        <w:t>D</w:t>
      </w:r>
      <w:r w:rsidRPr="00B868E2">
        <w:t>. ADALET SİSTEMİNİN İYİLEŞTİRİLMESİ</w:t>
      </w:r>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p>
    <w:p w:rsidR="00565FD5" w:rsidRPr="00B868E2" w:rsidRDefault="00565FD5" w:rsidP="00565FD5">
      <w:pPr>
        <w:pStyle w:val="Balk4"/>
        <w:rPr>
          <w:lang w:eastAsia="tr-TR"/>
        </w:rPr>
      </w:pPr>
      <w:bookmarkStart w:id="3203" w:name="_Toc213065776"/>
      <w:bookmarkStart w:id="3204" w:name="_Toc244253784"/>
      <w:bookmarkStart w:id="3205" w:name="_Toc244255034"/>
      <w:bookmarkStart w:id="3206" w:name="_Toc244313769"/>
      <w:bookmarkStart w:id="3207" w:name="_Toc244315246"/>
      <w:bookmarkStart w:id="3208" w:name="_Toc244339709"/>
      <w:bookmarkStart w:id="3209" w:name="_Toc244756781"/>
      <w:bookmarkStart w:id="3210" w:name="_Toc338505680"/>
      <w:bookmarkStart w:id="3211" w:name="_Toc338523914"/>
      <w:bookmarkStart w:id="3212" w:name="_Toc338524145"/>
      <w:bookmarkStart w:id="3213" w:name="_Toc338526371"/>
      <w:bookmarkStart w:id="3214" w:name="_Toc338673814"/>
      <w:bookmarkStart w:id="3215" w:name="_Toc338711693"/>
      <w:r w:rsidRPr="00B868E2">
        <w:rPr>
          <w:lang w:eastAsia="tr-TR"/>
        </w:rPr>
        <w:t>1. Mevcut Durum</w:t>
      </w:r>
      <w:bookmarkEnd w:id="3203"/>
      <w:bookmarkEnd w:id="3204"/>
      <w:bookmarkEnd w:id="3205"/>
      <w:bookmarkEnd w:id="3206"/>
      <w:bookmarkEnd w:id="3207"/>
      <w:bookmarkEnd w:id="3208"/>
      <w:bookmarkEnd w:id="3209"/>
      <w:bookmarkEnd w:id="3210"/>
      <w:bookmarkEnd w:id="3211"/>
      <w:bookmarkEnd w:id="3212"/>
      <w:bookmarkEnd w:id="3213"/>
      <w:bookmarkEnd w:id="3214"/>
      <w:bookmarkEnd w:id="3215"/>
    </w:p>
    <w:p w:rsidR="00565FD5" w:rsidRPr="00B868E2" w:rsidRDefault="00565FD5" w:rsidP="00565FD5">
      <w:pPr>
        <w:spacing w:before="120"/>
        <w:ind w:firstLine="425"/>
        <w:rPr>
          <w:rFonts w:cs="Tahoma"/>
          <w:szCs w:val="18"/>
          <w:lang w:eastAsia="tr-TR"/>
        </w:rPr>
      </w:pPr>
      <w:bookmarkStart w:id="3216" w:name="_Toc212712836"/>
      <w:bookmarkStart w:id="3217" w:name="_Toc213071744"/>
      <w:r w:rsidRPr="00B868E2">
        <w:rPr>
          <w:rFonts w:cs="Tahoma"/>
          <w:szCs w:val="18"/>
          <w:lang w:eastAsia="tr-TR"/>
        </w:rPr>
        <w:t xml:space="preserve">2012 yılı Haziran ayında, Hukuk Uyuşmazlıklarında Arabuluculuk Kanunu çıkarılarak yabancılık unsuru taşıyanlar da dâhil olmak üzere, tarafların üzerinde serbestçe tasarruf edebilecekleri iş veya işlemlerden doğan özel hukuk uyuşmazlıklarının arabuluculuk yoluyla çözümlenmesinin yolu açılmıştır. Ayrıca, idari yargıda uyuşmazlıkların alternatif çözüm yolarından olan kamu denetçiliği (ombudsmanlık) konusunda Anayasal düzenlemeye paralel olarak yasal düzenleme yapılarak Kamu Denetçiliği Kurumu Kanunu çıkartılmış, böylelikle vatandaşlarla idare arasındaki uyuşmazlıkların yargı yoluna başvurmadan çözümlenmesi yöntemi getirilmiştir. Yine 2012 yılı Haziran ayında Türkiye İnsan Hakları Kurumu Kanunu çıkarılarak Kurumun insan haklarının korunması ve geliştirilmesi konusunda çalışmalar yapması esası benimsenmiştir.   </w:t>
      </w:r>
    </w:p>
    <w:p w:rsidR="00565FD5" w:rsidRPr="00B868E2" w:rsidRDefault="00565FD5" w:rsidP="00565FD5">
      <w:pPr>
        <w:spacing w:before="120" w:after="240"/>
        <w:ind w:firstLine="425"/>
        <w:rPr>
          <w:rFonts w:cs="Tahoma"/>
          <w:szCs w:val="18"/>
          <w:lang w:eastAsia="tr-TR"/>
        </w:rPr>
      </w:pPr>
      <w:r w:rsidRPr="00B868E2">
        <w:rPr>
          <w:rFonts w:cs="Tahoma"/>
          <w:szCs w:val="18"/>
          <w:lang w:eastAsia="tr-TR"/>
        </w:rPr>
        <w:t>Türkiye’de 2012 yılı Eylül ayı sonu itibarıyla hâkim ve cumhuriyet savcısı sayısı 12.050, mahkemelerde çalışan adalet personeli sayısı ise 40.449’dur. Cumhuriyet savcısı sayısı AB ülkeleri seviyesinde iken hâkim sayısı ile diğer adalet personeli sayısı genel olarak AB üyesi ülkelerin altında kalmaktadır.</w:t>
      </w:r>
    </w:p>
    <w:p w:rsidR="00565FD5" w:rsidRPr="00645C02" w:rsidRDefault="00565FD5" w:rsidP="00565FD5">
      <w:pPr>
        <w:pStyle w:val="ResimYazs"/>
        <w:rPr>
          <w:rFonts w:cs="Tahoma"/>
          <w:szCs w:val="16"/>
        </w:rPr>
      </w:pPr>
      <w:bookmarkStart w:id="3218" w:name="_Toc244255307"/>
      <w:bookmarkStart w:id="3219" w:name="_Toc244756927"/>
      <w:bookmarkStart w:id="3220" w:name="_Toc338606070"/>
      <w:bookmarkStart w:id="3221" w:name="_Toc338711846"/>
      <w:r>
        <w:t xml:space="preserve">TABLO IV: </w:t>
      </w:r>
      <w:fldSimple w:instr=" SEQ TABLO_IV: \* ARABIC ">
        <w:r>
          <w:rPr>
            <w:noProof/>
          </w:rPr>
          <w:t>76</w:t>
        </w:r>
      </w:fldSimple>
      <w:r w:rsidRPr="00645C02">
        <w:rPr>
          <w:rFonts w:cs="Tahoma"/>
          <w:szCs w:val="16"/>
        </w:rPr>
        <w:t>- 100.000 Kişiye Düşen Hâkim ve Savcı Sayısı ile Mahkemede Çalışan Adalet Personeli Yüzdesi (2010)</w:t>
      </w:r>
      <w:bookmarkEnd w:id="3218"/>
      <w:bookmarkEnd w:id="3219"/>
      <w:bookmarkEnd w:id="3220"/>
      <w:bookmarkEnd w:id="3221"/>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1741"/>
        <w:gridCol w:w="1779"/>
        <w:gridCol w:w="1442"/>
        <w:gridCol w:w="2177"/>
      </w:tblGrid>
      <w:tr w:rsidR="00565FD5" w:rsidRPr="00B868E2" w:rsidTr="00AB62A3">
        <w:tc>
          <w:tcPr>
            <w:tcW w:w="1741" w:type="dxa"/>
            <w:tcBorders>
              <w:top w:val="single" w:sz="4" w:space="0" w:color="auto"/>
              <w:bottom w:val="single" w:sz="4" w:space="0" w:color="auto"/>
            </w:tcBorders>
            <w:vAlign w:val="center"/>
          </w:tcPr>
          <w:p w:rsidR="00565FD5" w:rsidRPr="00B868E2" w:rsidRDefault="00565FD5" w:rsidP="00AB62A3">
            <w:pPr>
              <w:rPr>
                <w:rFonts w:cs="Tahoma"/>
                <w:b/>
                <w:sz w:val="16"/>
                <w:szCs w:val="16"/>
                <w:lang w:eastAsia="tr-TR"/>
              </w:rPr>
            </w:pPr>
            <w:r w:rsidRPr="00B868E2">
              <w:rPr>
                <w:rFonts w:cs="Tahoma"/>
                <w:b/>
                <w:sz w:val="16"/>
                <w:szCs w:val="16"/>
                <w:lang w:eastAsia="tr-TR"/>
              </w:rPr>
              <w:t>Ülkeler</w:t>
            </w:r>
          </w:p>
        </w:tc>
        <w:tc>
          <w:tcPr>
            <w:tcW w:w="1779" w:type="dxa"/>
            <w:tcBorders>
              <w:top w:val="single" w:sz="4" w:space="0" w:color="auto"/>
              <w:bottom w:val="single" w:sz="4" w:space="0" w:color="auto"/>
            </w:tcBorders>
            <w:vAlign w:val="center"/>
          </w:tcPr>
          <w:p w:rsidR="00565FD5" w:rsidRPr="00B868E2" w:rsidRDefault="00565FD5" w:rsidP="00AB62A3">
            <w:pPr>
              <w:ind w:firstLine="425"/>
              <w:jc w:val="right"/>
              <w:rPr>
                <w:rFonts w:cs="Tahoma"/>
                <w:b/>
                <w:sz w:val="16"/>
                <w:szCs w:val="16"/>
                <w:lang w:eastAsia="tr-TR"/>
              </w:rPr>
            </w:pPr>
            <w:r w:rsidRPr="00B868E2">
              <w:rPr>
                <w:rFonts w:cs="Tahoma"/>
                <w:b/>
                <w:sz w:val="16"/>
                <w:szCs w:val="16"/>
                <w:lang w:eastAsia="tr-TR"/>
              </w:rPr>
              <w:t>Hâkim</w:t>
            </w:r>
          </w:p>
        </w:tc>
        <w:tc>
          <w:tcPr>
            <w:tcW w:w="1442" w:type="dxa"/>
            <w:tcBorders>
              <w:top w:val="single" w:sz="4" w:space="0" w:color="auto"/>
              <w:bottom w:val="single" w:sz="4" w:space="0" w:color="auto"/>
            </w:tcBorders>
            <w:vAlign w:val="center"/>
          </w:tcPr>
          <w:p w:rsidR="00565FD5" w:rsidRPr="00B868E2" w:rsidRDefault="00565FD5" w:rsidP="00AB62A3">
            <w:pPr>
              <w:jc w:val="right"/>
              <w:rPr>
                <w:rFonts w:cs="Tahoma"/>
                <w:b/>
                <w:sz w:val="16"/>
                <w:szCs w:val="16"/>
                <w:lang w:eastAsia="tr-TR"/>
              </w:rPr>
            </w:pPr>
            <w:r w:rsidRPr="00B868E2">
              <w:rPr>
                <w:rFonts w:cs="Tahoma"/>
                <w:b/>
                <w:sz w:val="16"/>
                <w:szCs w:val="16"/>
                <w:lang w:eastAsia="tr-TR"/>
              </w:rPr>
              <w:t xml:space="preserve">   Savcı</w:t>
            </w:r>
          </w:p>
        </w:tc>
        <w:tc>
          <w:tcPr>
            <w:tcW w:w="2177" w:type="dxa"/>
            <w:tcBorders>
              <w:top w:val="single" w:sz="4" w:space="0" w:color="auto"/>
              <w:bottom w:val="single" w:sz="4" w:space="0" w:color="auto"/>
            </w:tcBorders>
            <w:vAlign w:val="center"/>
          </w:tcPr>
          <w:p w:rsidR="00565FD5" w:rsidRPr="00B868E2" w:rsidRDefault="00565FD5" w:rsidP="00AB62A3">
            <w:pPr>
              <w:jc w:val="right"/>
              <w:rPr>
                <w:rFonts w:cs="Tahoma"/>
                <w:b/>
                <w:sz w:val="16"/>
                <w:szCs w:val="16"/>
                <w:lang w:eastAsia="tr-TR"/>
              </w:rPr>
            </w:pPr>
            <w:r w:rsidRPr="00B868E2">
              <w:rPr>
                <w:rFonts w:cs="Tahoma"/>
                <w:b/>
                <w:sz w:val="16"/>
                <w:szCs w:val="16"/>
                <w:lang w:eastAsia="tr-TR"/>
              </w:rPr>
              <w:t xml:space="preserve">Mahkemede Çalışan Adalet Personeli </w:t>
            </w:r>
          </w:p>
        </w:tc>
      </w:tr>
      <w:tr w:rsidR="00565FD5" w:rsidRPr="00B868E2" w:rsidTr="00AB62A3">
        <w:trPr>
          <w:cantSplit/>
          <w:trHeight w:val="340"/>
        </w:trPr>
        <w:tc>
          <w:tcPr>
            <w:tcW w:w="1741" w:type="dxa"/>
            <w:tcBorders>
              <w:top w:val="single" w:sz="4" w:space="0" w:color="auto"/>
            </w:tcBorders>
            <w:vAlign w:val="center"/>
          </w:tcPr>
          <w:p w:rsidR="00565FD5" w:rsidRPr="00B868E2" w:rsidRDefault="00565FD5" w:rsidP="00AB62A3">
            <w:pPr>
              <w:rPr>
                <w:rFonts w:cs="Tahoma"/>
                <w:b/>
                <w:bCs/>
                <w:sz w:val="16"/>
                <w:szCs w:val="16"/>
                <w:lang w:eastAsia="tr-TR"/>
              </w:rPr>
            </w:pPr>
            <w:r w:rsidRPr="00B868E2">
              <w:rPr>
                <w:rFonts w:cs="Tahoma"/>
                <w:bCs/>
                <w:sz w:val="16"/>
                <w:szCs w:val="16"/>
                <w:lang w:eastAsia="tr-TR"/>
              </w:rPr>
              <w:t>Almanya</w:t>
            </w:r>
          </w:p>
        </w:tc>
        <w:tc>
          <w:tcPr>
            <w:tcW w:w="1779" w:type="dxa"/>
            <w:tcBorders>
              <w:top w:val="single" w:sz="4" w:space="0" w:color="auto"/>
            </w:tcBorders>
            <w:vAlign w:val="center"/>
          </w:tcPr>
          <w:p w:rsidR="00565FD5" w:rsidRPr="00B868E2" w:rsidRDefault="00565FD5" w:rsidP="00AB62A3">
            <w:pPr>
              <w:ind w:firstLine="425"/>
              <w:jc w:val="right"/>
              <w:rPr>
                <w:rFonts w:cs="Tahoma"/>
                <w:b/>
                <w:sz w:val="16"/>
                <w:szCs w:val="16"/>
                <w:lang w:eastAsia="tr-TR"/>
              </w:rPr>
            </w:pPr>
            <w:r w:rsidRPr="00B868E2">
              <w:rPr>
                <w:rFonts w:cs="Tahoma"/>
                <w:bCs/>
                <w:sz w:val="16"/>
                <w:szCs w:val="16"/>
                <w:lang w:eastAsia="tr-TR"/>
              </w:rPr>
              <w:t>24,3</w:t>
            </w:r>
          </w:p>
        </w:tc>
        <w:tc>
          <w:tcPr>
            <w:tcW w:w="1442" w:type="dxa"/>
            <w:tcBorders>
              <w:top w:val="single" w:sz="4" w:space="0" w:color="auto"/>
            </w:tcBorders>
            <w:vAlign w:val="center"/>
          </w:tcPr>
          <w:p w:rsidR="00565FD5" w:rsidRPr="00B868E2" w:rsidRDefault="00565FD5" w:rsidP="00AB62A3">
            <w:pPr>
              <w:jc w:val="right"/>
              <w:rPr>
                <w:rFonts w:cs="Tahoma"/>
                <w:b/>
                <w:sz w:val="16"/>
                <w:szCs w:val="16"/>
                <w:lang w:eastAsia="tr-TR"/>
              </w:rPr>
            </w:pPr>
            <w:r w:rsidRPr="00B868E2">
              <w:rPr>
                <w:rFonts w:cs="Tahoma"/>
                <w:bCs/>
                <w:sz w:val="16"/>
                <w:szCs w:val="16"/>
                <w:lang w:eastAsia="tr-TR"/>
              </w:rPr>
              <w:t>6,4</w:t>
            </w:r>
          </w:p>
        </w:tc>
        <w:tc>
          <w:tcPr>
            <w:tcW w:w="2177" w:type="dxa"/>
            <w:tcBorders>
              <w:top w:val="single" w:sz="4" w:space="0" w:color="auto"/>
            </w:tcBorders>
            <w:vAlign w:val="center"/>
          </w:tcPr>
          <w:p w:rsidR="00565FD5" w:rsidRPr="00B868E2" w:rsidRDefault="00565FD5" w:rsidP="00AB62A3">
            <w:pPr>
              <w:jc w:val="right"/>
              <w:rPr>
                <w:rFonts w:cs="Tahoma"/>
                <w:b/>
                <w:sz w:val="16"/>
                <w:szCs w:val="16"/>
                <w:lang w:eastAsia="tr-TR"/>
              </w:rPr>
            </w:pPr>
            <w:r w:rsidRPr="00B868E2">
              <w:rPr>
                <w:rFonts w:cs="Tahoma"/>
                <w:bCs/>
                <w:sz w:val="16"/>
                <w:szCs w:val="16"/>
                <w:lang w:eastAsia="tr-TR"/>
              </w:rPr>
              <w:t>65,6</w:t>
            </w:r>
          </w:p>
        </w:tc>
      </w:tr>
      <w:tr w:rsidR="00565FD5" w:rsidRPr="00B868E2" w:rsidTr="00AB62A3">
        <w:trPr>
          <w:cantSplit/>
          <w:trHeight w:val="340"/>
        </w:trPr>
        <w:tc>
          <w:tcPr>
            <w:tcW w:w="1741" w:type="dxa"/>
            <w:vAlign w:val="center"/>
          </w:tcPr>
          <w:p w:rsidR="00565FD5" w:rsidRPr="00B868E2" w:rsidRDefault="00565FD5" w:rsidP="00AB62A3">
            <w:pPr>
              <w:rPr>
                <w:rFonts w:cs="Tahoma"/>
                <w:bCs/>
                <w:sz w:val="16"/>
                <w:szCs w:val="16"/>
                <w:lang w:eastAsia="tr-TR"/>
              </w:rPr>
            </w:pPr>
            <w:r w:rsidRPr="00B868E2">
              <w:rPr>
                <w:rFonts w:cs="Tahoma"/>
                <w:bCs/>
                <w:sz w:val="16"/>
                <w:szCs w:val="16"/>
                <w:lang w:eastAsia="tr-TR"/>
              </w:rPr>
              <w:t>Fransa</w:t>
            </w:r>
          </w:p>
        </w:tc>
        <w:tc>
          <w:tcPr>
            <w:tcW w:w="1779" w:type="dxa"/>
            <w:vAlign w:val="center"/>
          </w:tcPr>
          <w:p w:rsidR="00565FD5" w:rsidRPr="00B868E2" w:rsidRDefault="00565FD5" w:rsidP="00AB62A3">
            <w:pPr>
              <w:ind w:firstLine="425"/>
              <w:jc w:val="right"/>
              <w:rPr>
                <w:rFonts w:cs="Tahoma"/>
                <w:bCs/>
                <w:sz w:val="16"/>
                <w:szCs w:val="16"/>
                <w:lang w:eastAsia="tr-TR"/>
              </w:rPr>
            </w:pPr>
            <w:r w:rsidRPr="00B868E2">
              <w:rPr>
                <w:rFonts w:cs="Tahoma"/>
                <w:bCs/>
                <w:sz w:val="16"/>
                <w:szCs w:val="16"/>
                <w:lang w:eastAsia="tr-TR"/>
              </w:rPr>
              <w:t>10,7</w:t>
            </w:r>
          </w:p>
        </w:tc>
        <w:tc>
          <w:tcPr>
            <w:tcW w:w="1442" w:type="dxa"/>
            <w:vAlign w:val="center"/>
          </w:tcPr>
          <w:p w:rsidR="00565FD5" w:rsidRPr="00B868E2" w:rsidRDefault="00565FD5" w:rsidP="00AB62A3">
            <w:pPr>
              <w:jc w:val="right"/>
              <w:rPr>
                <w:rFonts w:cs="Tahoma"/>
                <w:bCs/>
                <w:sz w:val="16"/>
                <w:szCs w:val="16"/>
                <w:lang w:eastAsia="tr-TR"/>
              </w:rPr>
            </w:pPr>
            <w:r w:rsidRPr="00B868E2">
              <w:rPr>
                <w:rFonts w:cs="Tahoma"/>
                <w:bCs/>
                <w:sz w:val="16"/>
                <w:szCs w:val="16"/>
                <w:lang w:eastAsia="tr-TR"/>
              </w:rPr>
              <w:t>3,0</w:t>
            </w:r>
          </w:p>
        </w:tc>
        <w:tc>
          <w:tcPr>
            <w:tcW w:w="2177" w:type="dxa"/>
            <w:vAlign w:val="center"/>
          </w:tcPr>
          <w:p w:rsidR="00565FD5" w:rsidRPr="00B868E2" w:rsidRDefault="00565FD5" w:rsidP="00AB62A3">
            <w:pPr>
              <w:jc w:val="right"/>
              <w:rPr>
                <w:rFonts w:cs="Tahoma"/>
                <w:bCs/>
                <w:sz w:val="16"/>
                <w:szCs w:val="16"/>
                <w:lang w:eastAsia="tr-TR"/>
              </w:rPr>
            </w:pPr>
            <w:r w:rsidRPr="00B868E2">
              <w:rPr>
                <w:rFonts w:cs="Tahoma"/>
                <w:bCs/>
                <w:sz w:val="16"/>
                <w:szCs w:val="16"/>
                <w:lang w:eastAsia="tr-TR"/>
              </w:rPr>
              <w:t>32,5</w:t>
            </w:r>
          </w:p>
        </w:tc>
      </w:tr>
      <w:tr w:rsidR="00565FD5" w:rsidRPr="00B868E2" w:rsidTr="00AB62A3">
        <w:trPr>
          <w:cantSplit/>
          <w:trHeight w:val="340"/>
        </w:trPr>
        <w:tc>
          <w:tcPr>
            <w:tcW w:w="1741" w:type="dxa"/>
            <w:vAlign w:val="center"/>
          </w:tcPr>
          <w:p w:rsidR="00565FD5" w:rsidRPr="00B868E2" w:rsidRDefault="00565FD5" w:rsidP="00AB62A3">
            <w:pPr>
              <w:rPr>
                <w:rFonts w:cs="Tahoma"/>
                <w:bCs/>
                <w:sz w:val="16"/>
                <w:szCs w:val="16"/>
                <w:lang w:eastAsia="tr-TR"/>
              </w:rPr>
            </w:pPr>
            <w:r w:rsidRPr="00B868E2">
              <w:rPr>
                <w:rFonts w:cs="Tahoma"/>
                <w:bCs/>
                <w:sz w:val="16"/>
                <w:szCs w:val="16"/>
                <w:lang w:eastAsia="tr-TR"/>
              </w:rPr>
              <w:t>Hollanda</w:t>
            </w:r>
          </w:p>
        </w:tc>
        <w:tc>
          <w:tcPr>
            <w:tcW w:w="1779" w:type="dxa"/>
            <w:vAlign w:val="center"/>
          </w:tcPr>
          <w:p w:rsidR="00565FD5" w:rsidRPr="00B868E2" w:rsidRDefault="00565FD5" w:rsidP="00AB62A3">
            <w:pPr>
              <w:ind w:firstLine="425"/>
              <w:jc w:val="right"/>
              <w:rPr>
                <w:rFonts w:cs="Tahoma"/>
                <w:bCs/>
                <w:sz w:val="16"/>
                <w:szCs w:val="16"/>
                <w:lang w:eastAsia="tr-TR"/>
              </w:rPr>
            </w:pPr>
            <w:r w:rsidRPr="00B868E2">
              <w:rPr>
                <w:rFonts w:cs="Tahoma"/>
                <w:bCs/>
                <w:sz w:val="16"/>
                <w:szCs w:val="16"/>
                <w:lang w:eastAsia="tr-TR"/>
              </w:rPr>
              <w:t>15,2</w:t>
            </w:r>
          </w:p>
        </w:tc>
        <w:tc>
          <w:tcPr>
            <w:tcW w:w="1442" w:type="dxa"/>
            <w:vAlign w:val="center"/>
          </w:tcPr>
          <w:p w:rsidR="00565FD5" w:rsidRPr="00B868E2" w:rsidRDefault="00565FD5" w:rsidP="00AB62A3">
            <w:pPr>
              <w:jc w:val="right"/>
              <w:rPr>
                <w:rFonts w:cs="Tahoma"/>
                <w:bCs/>
                <w:sz w:val="16"/>
                <w:szCs w:val="16"/>
                <w:lang w:eastAsia="tr-TR"/>
              </w:rPr>
            </w:pPr>
            <w:r w:rsidRPr="00B868E2">
              <w:rPr>
                <w:rFonts w:cs="Tahoma"/>
                <w:bCs/>
                <w:sz w:val="16"/>
                <w:szCs w:val="16"/>
                <w:lang w:eastAsia="tr-TR"/>
              </w:rPr>
              <w:t>4,7</w:t>
            </w:r>
          </w:p>
        </w:tc>
        <w:tc>
          <w:tcPr>
            <w:tcW w:w="2177" w:type="dxa"/>
            <w:vAlign w:val="center"/>
          </w:tcPr>
          <w:p w:rsidR="00565FD5" w:rsidRPr="00B868E2" w:rsidRDefault="00565FD5" w:rsidP="00AB62A3">
            <w:pPr>
              <w:jc w:val="right"/>
              <w:rPr>
                <w:rFonts w:cs="Tahoma"/>
                <w:bCs/>
                <w:sz w:val="16"/>
                <w:szCs w:val="16"/>
                <w:lang w:eastAsia="tr-TR"/>
              </w:rPr>
            </w:pPr>
            <w:r w:rsidRPr="00B868E2">
              <w:rPr>
                <w:rFonts w:cs="Tahoma"/>
                <w:bCs/>
                <w:sz w:val="16"/>
                <w:szCs w:val="16"/>
                <w:lang w:eastAsia="tr-TR"/>
              </w:rPr>
              <w:t>40,1</w:t>
            </w:r>
          </w:p>
        </w:tc>
      </w:tr>
      <w:tr w:rsidR="00565FD5" w:rsidRPr="00B868E2" w:rsidTr="00AB62A3">
        <w:trPr>
          <w:cantSplit/>
          <w:trHeight w:val="340"/>
        </w:trPr>
        <w:tc>
          <w:tcPr>
            <w:tcW w:w="1741" w:type="dxa"/>
            <w:vAlign w:val="center"/>
          </w:tcPr>
          <w:p w:rsidR="00565FD5" w:rsidRPr="00B868E2" w:rsidRDefault="00565FD5" w:rsidP="00AB62A3">
            <w:pPr>
              <w:rPr>
                <w:rFonts w:cs="Tahoma"/>
                <w:bCs/>
                <w:sz w:val="16"/>
                <w:szCs w:val="16"/>
                <w:lang w:eastAsia="tr-TR"/>
              </w:rPr>
            </w:pPr>
            <w:r w:rsidRPr="00B868E2">
              <w:rPr>
                <w:rFonts w:cs="Tahoma"/>
                <w:bCs/>
                <w:sz w:val="16"/>
                <w:szCs w:val="16"/>
                <w:lang w:eastAsia="tr-TR"/>
              </w:rPr>
              <w:t>İsviçre</w:t>
            </w:r>
          </w:p>
        </w:tc>
        <w:tc>
          <w:tcPr>
            <w:tcW w:w="1779" w:type="dxa"/>
            <w:vAlign w:val="center"/>
          </w:tcPr>
          <w:p w:rsidR="00565FD5" w:rsidRPr="00B868E2" w:rsidRDefault="00565FD5" w:rsidP="00AB62A3">
            <w:pPr>
              <w:ind w:firstLine="425"/>
              <w:jc w:val="right"/>
              <w:rPr>
                <w:rFonts w:cs="Tahoma"/>
                <w:bCs/>
                <w:sz w:val="16"/>
                <w:szCs w:val="16"/>
                <w:lang w:eastAsia="tr-TR"/>
              </w:rPr>
            </w:pPr>
            <w:r w:rsidRPr="00B868E2">
              <w:rPr>
                <w:rFonts w:cs="Tahoma"/>
                <w:bCs/>
                <w:sz w:val="16"/>
                <w:szCs w:val="16"/>
                <w:lang w:eastAsia="tr-TR"/>
              </w:rPr>
              <w:t>11,5</w:t>
            </w:r>
          </w:p>
        </w:tc>
        <w:tc>
          <w:tcPr>
            <w:tcW w:w="1442" w:type="dxa"/>
            <w:vAlign w:val="center"/>
          </w:tcPr>
          <w:p w:rsidR="00565FD5" w:rsidRPr="00B868E2" w:rsidRDefault="00565FD5" w:rsidP="00AB62A3">
            <w:pPr>
              <w:jc w:val="right"/>
              <w:rPr>
                <w:rFonts w:cs="Tahoma"/>
                <w:bCs/>
                <w:sz w:val="16"/>
                <w:szCs w:val="16"/>
                <w:lang w:eastAsia="tr-TR"/>
              </w:rPr>
            </w:pPr>
            <w:r w:rsidRPr="00B868E2">
              <w:rPr>
                <w:rFonts w:cs="Tahoma"/>
                <w:bCs/>
                <w:sz w:val="16"/>
                <w:szCs w:val="16"/>
                <w:lang w:eastAsia="tr-TR"/>
              </w:rPr>
              <w:t>5,5</w:t>
            </w:r>
          </w:p>
        </w:tc>
        <w:tc>
          <w:tcPr>
            <w:tcW w:w="2177" w:type="dxa"/>
            <w:vAlign w:val="center"/>
          </w:tcPr>
          <w:p w:rsidR="00565FD5" w:rsidRPr="00B868E2" w:rsidRDefault="00565FD5" w:rsidP="00AB62A3">
            <w:pPr>
              <w:jc w:val="right"/>
              <w:rPr>
                <w:rFonts w:cs="Tahoma"/>
                <w:bCs/>
                <w:sz w:val="16"/>
                <w:szCs w:val="16"/>
                <w:lang w:eastAsia="tr-TR"/>
              </w:rPr>
            </w:pPr>
            <w:r w:rsidRPr="00B868E2">
              <w:rPr>
                <w:rFonts w:cs="Tahoma"/>
                <w:bCs/>
                <w:sz w:val="16"/>
                <w:szCs w:val="16"/>
                <w:lang w:eastAsia="tr-TR"/>
              </w:rPr>
              <w:t>55,5</w:t>
            </w:r>
          </w:p>
        </w:tc>
      </w:tr>
      <w:tr w:rsidR="00565FD5" w:rsidRPr="00B868E2" w:rsidTr="00AB62A3">
        <w:trPr>
          <w:cantSplit/>
          <w:trHeight w:val="340"/>
        </w:trPr>
        <w:tc>
          <w:tcPr>
            <w:tcW w:w="1741" w:type="dxa"/>
            <w:vAlign w:val="center"/>
          </w:tcPr>
          <w:p w:rsidR="00565FD5" w:rsidRPr="00B868E2" w:rsidRDefault="00565FD5" w:rsidP="00AB62A3">
            <w:pPr>
              <w:rPr>
                <w:rFonts w:cs="Tahoma"/>
                <w:bCs/>
                <w:sz w:val="16"/>
                <w:szCs w:val="16"/>
                <w:lang w:eastAsia="tr-TR"/>
              </w:rPr>
            </w:pPr>
            <w:r w:rsidRPr="00B868E2">
              <w:rPr>
                <w:rFonts w:cs="Tahoma"/>
                <w:bCs/>
                <w:sz w:val="16"/>
                <w:szCs w:val="16"/>
                <w:lang w:eastAsia="tr-TR"/>
              </w:rPr>
              <w:t>Portekiz</w:t>
            </w:r>
          </w:p>
        </w:tc>
        <w:tc>
          <w:tcPr>
            <w:tcW w:w="1779" w:type="dxa"/>
            <w:vAlign w:val="center"/>
          </w:tcPr>
          <w:p w:rsidR="00565FD5" w:rsidRPr="00B868E2" w:rsidRDefault="00565FD5" w:rsidP="00AB62A3">
            <w:pPr>
              <w:ind w:firstLine="425"/>
              <w:jc w:val="right"/>
              <w:rPr>
                <w:rFonts w:cs="Tahoma"/>
                <w:bCs/>
                <w:sz w:val="16"/>
                <w:szCs w:val="16"/>
                <w:lang w:eastAsia="tr-TR"/>
              </w:rPr>
            </w:pPr>
            <w:r w:rsidRPr="00B868E2">
              <w:rPr>
                <w:rFonts w:cs="Tahoma"/>
                <w:bCs/>
                <w:sz w:val="16"/>
                <w:szCs w:val="16"/>
                <w:lang w:eastAsia="tr-TR"/>
              </w:rPr>
              <w:t>18,4</w:t>
            </w:r>
          </w:p>
        </w:tc>
        <w:tc>
          <w:tcPr>
            <w:tcW w:w="1442" w:type="dxa"/>
            <w:vAlign w:val="center"/>
          </w:tcPr>
          <w:p w:rsidR="00565FD5" w:rsidRPr="00B868E2" w:rsidRDefault="00565FD5" w:rsidP="00AB62A3">
            <w:pPr>
              <w:jc w:val="right"/>
              <w:rPr>
                <w:rFonts w:cs="Tahoma"/>
                <w:bCs/>
                <w:sz w:val="16"/>
                <w:szCs w:val="16"/>
                <w:lang w:eastAsia="tr-TR"/>
              </w:rPr>
            </w:pPr>
            <w:r w:rsidRPr="00B868E2">
              <w:rPr>
                <w:rFonts w:cs="Tahoma"/>
                <w:bCs/>
                <w:sz w:val="16"/>
                <w:szCs w:val="16"/>
                <w:lang w:eastAsia="tr-TR"/>
              </w:rPr>
              <w:t>13,9</w:t>
            </w:r>
          </w:p>
        </w:tc>
        <w:tc>
          <w:tcPr>
            <w:tcW w:w="2177" w:type="dxa"/>
            <w:vAlign w:val="center"/>
          </w:tcPr>
          <w:p w:rsidR="00565FD5" w:rsidRPr="00B868E2" w:rsidRDefault="00565FD5" w:rsidP="00AB62A3">
            <w:pPr>
              <w:jc w:val="right"/>
              <w:rPr>
                <w:rFonts w:cs="Tahoma"/>
                <w:bCs/>
                <w:sz w:val="16"/>
                <w:szCs w:val="16"/>
                <w:lang w:eastAsia="tr-TR"/>
              </w:rPr>
            </w:pPr>
            <w:r w:rsidRPr="00B868E2">
              <w:rPr>
                <w:rFonts w:cs="Tahoma"/>
                <w:bCs/>
                <w:sz w:val="16"/>
                <w:szCs w:val="16"/>
                <w:lang w:eastAsia="tr-TR"/>
              </w:rPr>
              <w:t>62,3</w:t>
            </w:r>
          </w:p>
        </w:tc>
      </w:tr>
      <w:tr w:rsidR="00565FD5" w:rsidRPr="00B868E2" w:rsidTr="00AB62A3">
        <w:trPr>
          <w:cantSplit/>
          <w:trHeight w:val="340"/>
        </w:trPr>
        <w:tc>
          <w:tcPr>
            <w:tcW w:w="1741" w:type="dxa"/>
            <w:vAlign w:val="center"/>
          </w:tcPr>
          <w:p w:rsidR="00565FD5" w:rsidRPr="00B868E2" w:rsidRDefault="00565FD5" w:rsidP="00AB62A3">
            <w:pPr>
              <w:rPr>
                <w:rFonts w:cs="Tahoma"/>
                <w:bCs/>
                <w:sz w:val="16"/>
                <w:szCs w:val="16"/>
                <w:lang w:eastAsia="tr-TR"/>
              </w:rPr>
            </w:pPr>
            <w:r w:rsidRPr="00B868E2">
              <w:rPr>
                <w:rFonts w:cs="Tahoma"/>
                <w:bCs/>
                <w:sz w:val="16"/>
                <w:szCs w:val="16"/>
                <w:lang w:eastAsia="tr-TR"/>
              </w:rPr>
              <w:t>İtalya</w:t>
            </w:r>
          </w:p>
        </w:tc>
        <w:tc>
          <w:tcPr>
            <w:tcW w:w="1779" w:type="dxa"/>
            <w:vAlign w:val="center"/>
          </w:tcPr>
          <w:p w:rsidR="00565FD5" w:rsidRPr="00B868E2" w:rsidRDefault="00565FD5" w:rsidP="00AB62A3">
            <w:pPr>
              <w:ind w:firstLine="425"/>
              <w:jc w:val="right"/>
              <w:rPr>
                <w:rFonts w:cs="Tahoma"/>
                <w:bCs/>
                <w:sz w:val="16"/>
                <w:szCs w:val="16"/>
                <w:lang w:eastAsia="tr-TR"/>
              </w:rPr>
            </w:pPr>
            <w:r w:rsidRPr="00B868E2">
              <w:rPr>
                <w:rFonts w:cs="Tahoma"/>
                <w:bCs/>
                <w:sz w:val="16"/>
                <w:szCs w:val="16"/>
                <w:lang w:eastAsia="tr-TR"/>
              </w:rPr>
              <w:t>11,0</w:t>
            </w:r>
          </w:p>
        </w:tc>
        <w:tc>
          <w:tcPr>
            <w:tcW w:w="1442" w:type="dxa"/>
            <w:vAlign w:val="center"/>
          </w:tcPr>
          <w:p w:rsidR="00565FD5" w:rsidRPr="00B868E2" w:rsidRDefault="00565FD5" w:rsidP="00AB62A3">
            <w:pPr>
              <w:jc w:val="right"/>
              <w:rPr>
                <w:rFonts w:cs="Tahoma"/>
                <w:bCs/>
                <w:sz w:val="16"/>
                <w:szCs w:val="16"/>
                <w:lang w:eastAsia="tr-TR"/>
              </w:rPr>
            </w:pPr>
            <w:r w:rsidRPr="00B868E2">
              <w:rPr>
                <w:rFonts w:cs="Tahoma"/>
                <w:bCs/>
                <w:sz w:val="16"/>
                <w:szCs w:val="16"/>
                <w:lang w:eastAsia="tr-TR"/>
              </w:rPr>
              <w:t>3,3</w:t>
            </w:r>
          </w:p>
        </w:tc>
        <w:tc>
          <w:tcPr>
            <w:tcW w:w="2177" w:type="dxa"/>
            <w:vAlign w:val="center"/>
          </w:tcPr>
          <w:p w:rsidR="00565FD5" w:rsidRPr="00B868E2" w:rsidRDefault="00565FD5" w:rsidP="00AB62A3">
            <w:pPr>
              <w:jc w:val="right"/>
              <w:rPr>
                <w:rFonts w:cs="Tahoma"/>
                <w:bCs/>
                <w:sz w:val="16"/>
                <w:szCs w:val="16"/>
                <w:lang w:eastAsia="tr-TR"/>
              </w:rPr>
            </w:pPr>
            <w:r w:rsidRPr="00B868E2">
              <w:rPr>
                <w:rFonts w:cs="Tahoma"/>
                <w:bCs/>
                <w:sz w:val="16"/>
                <w:szCs w:val="16"/>
                <w:lang w:eastAsia="tr-TR"/>
              </w:rPr>
              <w:t>40,7</w:t>
            </w:r>
          </w:p>
        </w:tc>
      </w:tr>
      <w:tr w:rsidR="00565FD5" w:rsidRPr="00B868E2" w:rsidTr="00AB62A3">
        <w:trPr>
          <w:cantSplit/>
          <w:trHeight w:val="340"/>
        </w:trPr>
        <w:tc>
          <w:tcPr>
            <w:tcW w:w="1741" w:type="dxa"/>
            <w:tcBorders>
              <w:bottom w:val="single" w:sz="4" w:space="0" w:color="auto"/>
            </w:tcBorders>
            <w:vAlign w:val="center"/>
          </w:tcPr>
          <w:p w:rsidR="00565FD5" w:rsidRPr="00B868E2" w:rsidRDefault="00565FD5" w:rsidP="00AB62A3">
            <w:pPr>
              <w:rPr>
                <w:rFonts w:cs="Tahoma"/>
                <w:bCs/>
                <w:sz w:val="16"/>
                <w:szCs w:val="16"/>
                <w:lang w:eastAsia="tr-TR"/>
              </w:rPr>
            </w:pPr>
            <w:r w:rsidRPr="00B868E2">
              <w:rPr>
                <w:rFonts w:cs="Tahoma"/>
                <w:b/>
                <w:sz w:val="16"/>
                <w:szCs w:val="16"/>
                <w:lang w:eastAsia="tr-TR"/>
              </w:rPr>
              <w:t xml:space="preserve">Türkiye </w:t>
            </w:r>
          </w:p>
        </w:tc>
        <w:tc>
          <w:tcPr>
            <w:tcW w:w="1779" w:type="dxa"/>
            <w:tcBorders>
              <w:bottom w:val="single" w:sz="4" w:space="0" w:color="auto"/>
            </w:tcBorders>
            <w:vAlign w:val="center"/>
          </w:tcPr>
          <w:p w:rsidR="00565FD5" w:rsidRPr="00B868E2" w:rsidRDefault="00565FD5" w:rsidP="00AB62A3">
            <w:pPr>
              <w:ind w:firstLine="425"/>
              <w:jc w:val="right"/>
              <w:rPr>
                <w:rFonts w:cs="Tahoma"/>
                <w:bCs/>
                <w:sz w:val="16"/>
                <w:szCs w:val="16"/>
                <w:lang w:eastAsia="tr-TR"/>
              </w:rPr>
            </w:pPr>
            <w:r w:rsidRPr="00B868E2">
              <w:rPr>
                <w:rFonts w:cs="Tahoma"/>
                <w:b/>
                <w:sz w:val="16"/>
                <w:szCs w:val="16"/>
                <w:lang w:eastAsia="tr-TR"/>
              </w:rPr>
              <w:t>10,6</w:t>
            </w:r>
          </w:p>
        </w:tc>
        <w:tc>
          <w:tcPr>
            <w:tcW w:w="1442" w:type="dxa"/>
            <w:tcBorders>
              <w:bottom w:val="single" w:sz="4" w:space="0" w:color="auto"/>
            </w:tcBorders>
            <w:vAlign w:val="center"/>
          </w:tcPr>
          <w:p w:rsidR="00565FD5" w:rsidRPr="00B868E2" w:rsidRDefault="00565FD5" w:rsidP="00AB62A3">
            <w:pPr>
              <w:jc w:val="right"/>
              <w:rPr>
                <w:rFonts w:cs="Tahoma"/>
                <w:bCs/>
                <w:sz w:val="16"/>
                <w:szCs w:val="16"/>
                <w:lang w:eastAsia="tr-TR"/>
              </w:rPr>
            </w:pPr>
            <w:r w:rsidRPr="00B868E2">
              <w:rPr>
                <w:rFonts w:cs="Tahoma"/>
                <w:b/>
                <w:sz w:val="16"/>
                <w:szCs w:val="16"/>
                <w:lang w:eastAsia="tr-TR"/>
              </w:rPr>
              <w:t>5,8</w:t>
            </w:r>
          </w:p>
        </w:tc>
        <w:tc>
          <w:tcPr>
            <w:tcW w:w="2177" w:type="dxa"/>
            <w:tcBorders>
              <w:bottom w:val="single" w:sz="4" w:space="0" w:color="auto"/>
            </w:tcBorders>
            <w:vAlign w:val="center"/>
          </w:tcPr>
          <w:p w:rsidR="00565FD5" w:rsidRPr="00B868E2" w:rsidRDefault="00565FD5" w:rsidP="00AB62A3">
            <w:pPr>
              <w:jc w:val="right"/>
              <w:rPr>
                <w:rFonts w:cs="Tahoma"/>
                <w:bCs/>
                <w:sz w:val="16"/>
                <w:szCs w:val="16"/>
                <w:lang w:eastAsia="tr-TR"/>
              </w:rPr>
            </w:pPr>
            <w:r w:rsidRPr="00B868E2">
              <w:rPr>
                <w:rFonts w:cs="Tahoma"/>
                <w:b/>
                <w:sz w:val="16"/>
                <w:szCs w:val="16"/>
                <w:lang w:eastAsia="tr-TR"/>
              </w:rPr>
              <w:t>30,3</w:t>
            </w:r>
          </w:p>
        </w:tc>
      </w:tr>
    </w:tbl>
    <w:p w:rsidR="00565FD5" w:rsidRPr="00B868E2" w:rsidRDefault="00565FD5" w:rsidP="00565FD5">
      <w:pPr>
        <w:spacing w:before="40" w:after="240"/>
        <w:rPr>
          <w:rFonts w:cs="Tahoma"/>
          <w:sz w:val="14"/>
          <w:szCs w:val="14"/>
          <w:lang w:eastAsia="tr-TR"/>
        </w:rPr>
      </w:pPr>
      <w:r w:rsidRPr="00B868E2">
        <w:rPr>
          <w:rFonts w:cs="Tahoma"/>
          <w:sz w:val="14"/>
          <w:szCs w:val="14"/>
          <w:lang w:eastAsia="tr-TR"/>
        </w:rPr>
        <w:t>Kaynak: Avrupa Etkin Yargı Komisyonunun (CEPEJ) 2012 yılında yayımladığı Avrupa Yargı Sistemleri Raporu.</w:t>
      </w:r>
    </w:p>
    <w:p w:rsidR="00565FD5" w:rsidRPr="00B868E2" w:rsidRDefault="00565FD5" w:rsidP="00565FD5">
      <w:pPr>
        <w:spacing w:before="120" w:after="120"/>
        <w:ind w:firstLine="425"/>
        <w:rPr>
          <w:rFonts w:cs="Tahoma"/>
          <w:szCs w:val="18"/>
          <w:lang w:eastAsia="tr-TR"/>
        </w:rPr>
      </w:pPr>
      <w:r w:rsidRPr="00B868E2">
        <w:rPr>
          <w:rFonts w:cs="Tahoma"/>
          <w:szCs w:val="18"/>
          <w:lang w:eastAsia="tr-TR"/>
        </w:rPr>
        <w:t>Ülkemizde adlî yardıma kamu bütçesinden kişi başına ayrılan pay AB ülkelerine kıyasla çok düşük kalmaktadır.</w:t>
      </w:r>
    </w:p>
    <w:p w:rsidR="00565FD5" w:rsidRPr="00B868E2" w:rsidRDefault="00565FD5" w:rsidP="00565FD5">
      <w:pPr>
        <w:pStyle w:val="ResimYazs"/>
        <w:rPr>
          <w:rFonts w:cs="Tahoma"/>
          <w:b w:val="0"/>
        </w:rPr>
      </w:pPr>
      <w:bookmarkStart w:id="3222" w:name="_Toc338606071"/>
      <w:bookmarkStart w:id="3223" w:name="_Toc338711847"/>
      <w:r>
        <w:t xml:space="preserve">TABLO IV: </w:t>
      </w:r>
      <w:fldSimple w:instr=" SEQ TABLO_IV: \* ARABIC ">
        <w:r>
          <w:rPr>
            <w:noProof/>
          </w:rPr>
          <w:t>77</w:t>
        </w:r>
      </w:fldSimple>
      <w:r w:rsidRPr="00645C02">
        <w:rPr>
          <w:rFonts w:cs="Tahoma"/>
        </w:rPr>
        <w:t>- Adlî Yardıma Kişi Başına Kamu Bütçesinden Ayrılan Pay (2010)</w:t>
      </w:r>
      <w:bookmarkEnd w:id="3222"/>
      <w:bookmarkEnd w:id="3223"/>
    </w:p>
    <w:tbl>
      <w:tblPr>
        <w:tblW w:w="0" w:type="auto"/>
        <w:tblInd w:w="150" w:type="dxa"/>
        <w:tblBorders>
          <w:top w:val="single" w:sz="4" w:space="0" w:color="auto"/>
          <w:left w:val="single" w:sz="4" w:space="0" w:color="auto"/>
          <w:bottom w:val="single" w:sz="4" w:space="0" w:color="auto"/>
          <w:right w:val="single" w:sz="4" w:space="0" w:color="auto"/>
        </w:tblBorders>
        <w:tblLook w:val="0000"/>
      </w:tblPr>
      <w:tblGrid>
        <w:gridCol w:w="2935"/>
        <w:gridCol w:w="3827"/>
      </w:tblGrid>
      <w:tr w:rsidR="00565FD5" w:rsidRPr="003A1544" w:rsidTr="00AB62A3">
        <w:tc>
          <w:tcPr>
            <w:tcW w:w="2935" w:type="dxa"/>
            <w:tcBorders>
              <w:top w:val="single" w:sz="4" w:space="0" w:color="auto"/>
              <w:bottom w:val="single" w:sz="4" w:space="0" w:color="auto"/>
            </w:tcBorders>
            <w:vAlign w:val="center"/>
          </w:tcPr>
          <w:p w:rsidR="00565FD5" w:rsidRPr="003A1544" w:rsidRDefault="00565FD5" w:rsidP="00AB62A3">
            <w:pPr>
              <w:tabs>
                <w:tab w:val="left" w:pos="109"/>
              </w:tabs>
              <w:ind w:firstLine="109"/>
              <w:rPr>
                <w:rFonts w:cs="Tahoma"/>
                <w:b/>
                <w:sz w:val="16"/>
                <w:szCs w:val="18"/>
                <w:lang w:eastAsia="tr-TR"/>
              </w:rPr>
            </w:pPr>
            <w:r w:rsidRPr="003A1544">
              <w:rPr>
                <w:rFonts w:cs="Tahoma"/>
                <w:b/>
                <w:sz w:val="16"/>
                <w:szCs w:val="18"/>
                <w:lang w:eastAsia="tr-TR"/>
              </w:rPr>
              <w:t>Ülkeler</w:t>
            </w:r>
          </w:p>
        </w:tc>
        <w:tc>
          <w:tcPr>
            <w:tcW w:w="3827" w:type="dxa"/>
            <w:tcBorders>
              <w:top w:val="single" w:sz="4" w:space="0" w:color="auto"/>
              <w:bottom w:val="single" w:sz="4" w:space="0" w:color="auto"/>
            </w:tcBorders>
            <w:vAlign w:val="center"/>
          </w:tcPr>
          <w:p w:rsidR="00565FD5" w:rsidRPr="003A1544" w:rsidRDefault="00565FD5" w:rsidP="00AB62A3">
            <w:pPr>
              <w:ind w:firstLine="425"/>
              <w:jc w:val="center"/>
              <w:rPr>
                <w:rFonts w:cs="Tahoma"/>
                <w:b/>
                <w:sz w:val="16"/>
                <w:szCs w:val="18"/>
                <w:lang w:eastAsia="tr-TR"/>
              </w:rPr>
            </w:pPr>
            <w:r w:rsidRPr="003A1544">
              <w:rPr>
                <w:rFonts w:cs="Tahoma"/>
                <w:b/>
                <w:sz w:val="16"/>
                <w:szCs w:val="18"/>
                <w:lang w:eastAsia="tr-TR"/>
              </w:rPr>
              <w:t>Kişi Başına Ayrılan Ortalama Miktar (Avro)</w:t>
            </w:r>
          </w:p>
        </w:tc>
      </w:tr>
      <w:tr w:rsidR="00565FD5" w:rsidRPr="00B868E2" w:rsidTr="00AB62A3">
        <w:trPr>
          <w:cantSplit/>
          <w:trHeight w:val="227"/>
        </w:trPr>
        <w:tc>
          <w:tcPr>
            <w:tcW w:w="2935" w:type="dxa"/>
            <w:tcBorders>
              <w:top w:val="single" w:sz="4" w:space="0" w:color="auto"/>
            </w:tcBorders>
            <w:vAlign w:val="center"/>
          </w:tcPr>
          <w:p w:rsidR="00565FD5" w:rsidRPr="00B868E2" w:rsidRDefault="00565FD5" w:rsidP="00AB62A3">
            <w:pPr>
              <w:tabs>
                <w:tab w:val="left" w:pos="109"/>
              </w:tabs>
              <w:ind w:firstLine="109"/>
              <w:rPr>
                <w:rFonts w:cs="Tahoma"/>
                <w:sz w:val="16"/>
                <w:szCs w:val="18"/>
                <w:lang w:eastAsia="tr-TR"/>
              </w:rPr>
            </w:pPr>
            <w:r w:rsidRPr="00B868E2">
              <w:rPr>
                <w:rFonts w:cs="Tahoma"/>
                <w:sz w:val="16"/>
                <w:szCs w:val="18"/>
                <w:lang w:eastAsia="tr-TR"/>
              </w:rPr>
              <w:t>İngiltere</w:t>
            </w:r>
          </w:p>
        </w:tc>
        <w:tc>
          <w:tcPr>
            <w:tcW w:w="3827" w:type="dxa"/>
            <w:tcBorders>
              <w:top w:val="single" w:sz="4" w:space="0" w:color="auto"/>
            </w:tcBorders>
            <w:vAlign w:val="center"/>
          </w:tcPr>
          <w:p w:rsidR="00565FD5" w:rsidRPr="00B868E2" w:rsidRDefault="00565FD5" w:rsidP="00AB62A3">
            <w:pPr>
              <w:ind w:right="485" w:firstLine="425"/>
              <w:jc w:val="center"/>
              <w:rPr>
                <w:rFonts w:cs="Tahoma"/>
                <w:sz w:val="16"/>
                <w:szCs w:val="18"/>
                <w:lang w:eastAsia="tr-TR"/>
              </w:rPr>
            </w:pPr>
            <w:r w:rsidRPr="00B868E2">
              <w:rPr>
                <w:rFonts w:cs="Tahoma"/>
                <w:sz w:val="16"/>
                <w:szCs w:val="18"/>
                <w:lang w:eastAsia="tr-TR"/>
              </w:rPr>
              <w:t>45,7</w:t>
            </w:r>
          </w:p>
        </w:tc>
      </w:tr>
      <w:tr w:rsidR="00565FD5" w:rsidRPr="00B868E2" w:rsidTr="00AB62A3">
        <w:trPr>
          <w:cantSplit/>
          <w:trHeight w:val="227"/>
        </w:trPr>
        <w:tc>
          <w:tcPr>
            <w:tcW w:w="2935" w:type="dxa"/>
            <w:vAlign w:val="center"/>
          </w:tcPr>
          <w:p w:rsidR="00565FD5" w:rsidRPr="00B868E2" w:rsidRDefault="00565FD5" w:rsidP="00AB62A3">
            <w:pPr>
              <w:tabs>
                <w:tab w:val="left" w:pos="109"/>
              </w:tabs>
              <w:ind w:firstLine="109"/>
              <w:rPr>
                <w:rFonts w:cs="Tahoma"/>
                <w:sz w:val="16"/>
                <w:szCs w:val="18"/>
                <w:lang w:eastAsia="tr-TR"/>
              </w:rPr>
            </w:pPr>
            <w:r w:rsidRPr="00B868E2">
              <w:rPr>
                <w:rFonts w:cs="Tahoma"/>
                <w:sz w:val="16"/>
                <w:szCs w:val="18"/>
                <w:lang w:eastAsia="tr-TR"/>
              </w:rPr>
              <w:lastRenderedPageBreak/>
              <w:t>Fransa</w:t>
            </w:r>
          </w:p>
        </w:tc>
        <w:tc>
          <w:tcPr>
            <w:tcW w:w="3827" w:type="dxa"/>
            <w:vAlign w:val="center"/>
          </w:tcPr>
          <w:p w:rsidR="00565FD5" w:rsidRPr="00B868E2" w:rsidRDefault="00565FD5" w:rsidP="00AB62A3">
            <w:pPr>
              <w:ind w:right="485" w:firstLine="425"/>
              <w:jc w:val="center"/>
              <w:rPr>
                <w:rFonts w:cs="Tahoma"/>
                <w:sz w:val="16"/>
                <w:szCs w:val="18"/>
                <w:lang w:eastAsia="tr-TR"/>
              </w:rPr>
            </w:pPr>
            <w:r w:rsidRPr="00B868E2">
              <w:rPr>
                <w:rFonts w:cs="Tahoma"/>
                <w:sz w:val="16"/>
                <w:szCs w:val="18"/>
                <w:lang w:eastAsia="tr-TR"/>
              </w:rPr>
              <w:t>5,6</w:t>
            </w:r>
          </w:p>
        </w:tc>
      </w:tr>
      <w:tr w:rsidR="00565FD5" w:rsidRPr="00B868E2" w:rsidTr="00AB62A3">
        <w:trPr>
          <w:cantSplit/>
          <w:trHeight w:val="227"/>
        </w:trPr>
        <w:tc>
          <w:tcPr>
            <w:tcW w:w="2935" w:type="dxa"/>
            <w:vAlign w:val="center"/>
          </w:tcPr>
          <w:p w:rsidR="00565FD5" w:rsidRPr="00B868E2" w:rsidRDefault="00565FD5" w:rsidP="00AB62A3">
            <w:pPr>
              <w:tabs>
                <w:tab w:val="left" w:pos="109"/>
              </w:tabs>
              <w:ind w:firstLine="109"/>
              <w:rPr>
                <w:rFonts w:cs="Tahoma"/>
                <w:sz w:val="16"/>
                <w:szCs w:val="18"/>
                <w:lang w:eastAsia="tr-TR"/>
              </w:rPr>
            </w:pPr>
            <w:r w:rsidRPr="00B868E2">
              <w:rPr>
                <w:rFonts w:cs="Tahoma"/>
                <w:sz w:val="16"/>
                <w:szCs w:val="18"/>
                <w:lang w:eastAsia="tr-TR"/>
              </w:rPr>
              <w:t>Hollanda</w:t>
            </w:r>
          </w:p>
        </w:tc>
        <w:tc>
          <w:tcPr>
            <w:tcW w:w="3827" w:type="dxa"/>
            <w:vAlign w:val="center"/>
          </w:tcPr>
          <w:p w:rsidR="00565FD5" w:rsidRPr="00B868E2" w:rsidRDefault="00565FD5" w:rsidP="00AB62A3">
            <w:pPr>
              <w:ind w:right="485" w:firstLine="425"/>
              <w:jc w:val="center"/>
              <w:rPr>
                <w:rFonts w:cs="Tahoma"/>
                <w:sz w:val="16"/>
                <w:szCs w:val="18"/>
                <w:lang w:eastAsia="tr-TR"/>
              </w:rPr>
            </w:pPr>
            <w:r w:rsidRPr="00B868E2">
              <w:rPr>
                <w:rFonts w:cs="Tahoma"/>
                <w:sz w:val="16"/>
                <w:szCs w:val="18"/>
                <w:lang w:eastAsia="tr-TR"/>
              </w:rPr>
              <w:t>21,6</w:t>
            </w:r>
          </w:p>
        </w:tc>
      </w:tr>
      <w:tr w:rsidR="00565FD5" w:rsidRPr="00B868E2" w:rsidTr="00AB62A3">
        <w:trPr>
          <w:cantSplit/>
          <w:trHeight w:val="227"/>
        </w:trPr>
        <w:tc>
          <w:tcPr>
            <w:tcW w:w="2935" w:type="dxa"/>
            <w:vAlign w:val="center"/>
          </w:tcPr>
          <w:p w:rsidR="00565FD5" w:rsidRPr="00B868E2" w:rsidRDefault="00565FD5" w:rsidP="00AB62A3">
            <w:pPr>
              <w:tabs>
                <w:tab w:val="left" w:pos="109"/>
              </w:tabs>
              <w:ind w:firstLine="109"/>
              <w:rPr>
                <w:rFonts w:cs="Tahoma"/>
                <w:sz w:val="16"/>
                <w:szCs w:val="18"/>
                <w:lang w:eastAsia="tr-TR"/>
              </w:rPr>
            </w:pPr>
            <w:r w:rsidRPr="00B868E2">
              <w:rPr>
                <w:rFonts w:cs="Tahoma"/>
                <w:sz w:val="16"/>
                <w:szCs w:val="18"/>
                <w:lang w:eastAsia="tr-TR"/>
              </w:rPr>
              <w:t>İspanya</w:t>
            </w:r>
          </w:p>
        </w:tc>
        <w:tc>
          <w:tcPr>
            <w:tcW w:w="3827" w:type="dxa"/>
            <w:vAlign w:val="center"/>
          </w:tcPr>
          <w:p w:rsidR="00565FD5" w:rsidRPr="00B868E2" w:rsidRDefault="00565FD5" w:rsidP="00AB62A3">
            <w:pPr>
              <w:ind w:right="485" w:firstLine="425"/>
              <w:jc w:val="center"/>
              <w:rPr>
                <w:rFonts w:cs="Tahoma"/>
                <w:sz w:val="16"/>
                <w:szCs w:val="18"/>
                <w:lang w:eastAsia="tr-TR"/>
              </w:rPr>
            </w:pPr>
            <w:r w:rsidRPr="00B868E2">
              <w:rPr>
                <w:rFonts w:cs="Tahoma"/>
                <w:sz w:val="16"/>
                <w:szCs w:val="18"/>
                <w:lang w:eastAsia="tr-TR"/>
              </w:rPr>
              <w:t>5,2</w:t>
            </w:r>
          </w:p>
        </w:tc>
      </w:tr>
      <w:tr w:rsidR="00565FD5" w:rsidRPr="00B868E2" w:rsidTr="00AB62A3">
        <w:trPr>
          <w:cantSplit/>
          <w:trHeight w:val="227"/>
        </w:trPr>
        <w:tc>
          <w:tcPr>
            <w:tcW w:w="2935" w:type="dxa"/>
            <w:vAlign w:val="center"/>
          </w:tcPr>
          <w:p w:rsidR="00565FD5" w:rsidRPr="00B868E2" w:rsidRDefault="00565FD5" w:rsidP="00AB62A3">
            <w:pPr>
              <w:tabs>
                <w:tab w:val="left" w:pos="109"/>
              </w:tabs>
              <w:ind w:firstLine="109"/>
              <w:rPr>
                <w:rFonts w:cs="Tahoma"/>
                <w:sz w:val="16"/>
                <w:szCs w:val="18"/>
                <w:lang w:eastAsia="tr-TR"/>
              </w:rPr>
            </w:pPr>
            <w:r w:rsidRPr="00B868E2">
              <w:rPr>
                <w:rFonts w:cs="Tahoma"/>
                <w:sz w:val="16"/>
                <w:szCs w:val="18"/>
                <w:lang w:eastAsia="tr-TR"/>
              </w:rPr>
              <w:t>Portekiz</w:t>
            </w:r>
          </w:p>
        </w:tc>
        <w:tc>
          <w:tcPr>
            <w:tcW w:w="3827" w:type="dxa"/>
            <w:vAlign w:val="center"/>
          </w:tcPr>
          <w:p w:rsidR="00565FD5" w:rsidRPr="00B868E2" w:rsidRDefault="00565FD5" w:rsidP="00AB62A3">
            <w:pPr>
              <w:ind w:right="485" w:firstLine="425"/>
              <w:jc w:val="center"/>
              <w:rPr>
                <w:rFonts w:cs="Tahoma"/>
                <w:sz w:val="16"/>
                <w:szCs w:val="18"/>
                <w:lang w:eastAsia="tr-TR"/>
              </w:rPr>
            </w:pPr>
            <w:r w:rsidRPr="00B868E2">
              <w:rPr>
                <w:rFonts w:cs="Tahoma"/>
                <w:sz w:val="16"/>
                <w:szCs w:val="18"/>
                <w:lang w:eastAsia="tr-TR"/>
              </w:rPr>
              <w:t>4,9</w:t>
            </w:r>
          </w:p>
        </w:tc>
      </w:tr>
      <w:tr w:rsidR="00565FD5" w:rsidRPr="00B868E2" w:rsidTr="00AB62A3">
        <w:trPr>
          <w:cantSplit/>
          <w:trHeight w:val="227"/>
        </w:trPr>
        <w:tc>
          <w:tcPr>
            <w:tcW w:w="2935" w:type="dxa"/>
            <w:vAlign w:val="center"/>
          </w:tcPr>
          <w:p w:rsidR="00565FD5" w:rsidRPr="00B868E2" w:rsidRDefault="00565FD5" w:rsidP="00AB62A3">
            <w:pPr>
              <w:tabs>
                <w:tab w:val="left" w:pos="109"/>
              </w:tabs>
              <w:ind w:firstLine="109"/>
              <w:rPr>
                <w:rFonts w:cs="Tahoma"/>
                <w:sz w:val="16"/>
                <w:szCs w:val="18"/>
                <w:lang w:eastAsia="tr-TR"/>
              </w:rPr>
            </w:pPr>
            <w:r w:rsidRPr="00B868E2">
              <w:rPr>
                <w:rFonts w:cs="Tahoma"/>
                <w:sz w:val="16"/>
                <w:szCs w:val="18"/>
                <w:lang w:eastAsia="tr-TR"/>
              </w:rPr>
              <w:t>İtalya</w:t>
            </w:r>
          </w:p>
        </w:tc>
        <w:tc>
          <w:tcPr>
            <w:tcW w:w="3827" w:type="dxa"/>
            <w:vAlign w:val="center"/>
          </w:tcPr>
          <w:p w:rsidR="00565FD5" w:rsidRPr="00B868E2" w:rsidRDefault="00565FD5" w:rsidP="00AB62A3">
            <w:pPr>
              <w:ind w:right="485" w:firstLine="425"/>
              <w:jc w:val="center"/>
              <w:rPr>
                <w:rFonts w:cs="Tahoma"/>
                <w:sz w:val="16"/>
                <w:szCs w:val="18"/>
                <w:lang w:eastAsia="tr-TR"/>
              </w:rPr>
            </w:pPr>
            <w:r w:rsidRPr="00B868E2">
              <w:rPr>
                <w:rFonts w:cs="Tahoma"/>
                <w:sz w:val="16"/>
                <w:szCs w:val="18"/>
                <w:lang w:eastAsia="tr-TR"/>
              </w:rPr>
              <w:t>2,1</w:t>
            </w:r>
          </w:p>
        </w:tc>
      </w:tr>
      <w:tr w:rsidR="00565FD5" w:rsidRPr="00B868E2" w:rsidTr="00AB62A3">
        <w:trPr>
          <w:cantSplit/>
          <w:trHeight w:val="227"/>
        </w:trPr>
        <w:tc>
          <w:tcPr>
            <w:tcW w:w="2935" w:type="dxa"/>
            <w:tcBorders>
              <w:bottom w:val="single" w:sz="4" w:space="0" w:color="auto"/>
            </w:tcBorders>
            <w:vAlign w:val="center"/>
          </w:tcPr>
          <w:p w:rsidR="00565FD5" w:rsidRPr="00B868E2" w:rsidRDefault="00565FD5" w:rsidP="00AB62A3">
            <w:pPr>
              <w:tabs>
                <w:tab w:val="left" w:pos="109"/>
              </w:tabs>
              <w:ind w:firstLine="109"/>
              <w:rPr>
                <w:rFonts w:cs="Tahoma"/>
                <w:b/>
                <w:sz w:val="16"/>
                <w:szCs w:val="18"/>
                <w:lang w:eastAsia="tr-TR"/>
              </w:rPr>
            </w:pPr>
            <w:r w:rsidRPr="00B868E2">
              <w:rPr>
                <w:rFonts w:cs="Tahoma"/>
                <w:b/>
                <w:sz w:val="16"/>
                <w:szCs w:val="18"/>
                <w:lang w:eastAsia="tr-TR"/>
              </w:rPr>
              <w:t xml:space="preserve">Türkiye </w:t>
            </w:r>
          </w:p>
        </w:tc>
        <w:tc>
          <w:tcPr>
            <w:tcW w:w="3827" w:type="dxa"/>
            <w:tcBorders>
              <w:bottom w:val="single" w:sz="4" w:space="0" w:color="auto"/>
            </w:tcBorders>
            <w:vAlign w:val="center"/>
          </w:tcPr>
          <w:p w:rsidR="00565FD5" w:rsidRPr="00B868E2" w:rsidRDefault="00565FD5" w:rsidP="00AB62A3">
            <w:pPr>
              <w:ind w:right="485" w:firstLine="425"/>
              <w:jc w:val="center"/>
              <w:rPr>
                <w:rFonts w:cs="Tahoma"/>
                <w:b/>
                <w:sz w:val="16"/>
                <w:szCs w:val="18"/>
                <w:lang w:eastAsia="tr-TR"/>
              </w:rPr>
            </w:pPr>
            <w:r w:rsidRPr="00B868E2">
              <w:rPr>
                <w:rFonts w:cs="Tahoma"/>
                <w:b/>
                <w:sz w:val="16"/>
                <w:szCs w:val="18"/>
                <w:lang w:eastAsia="tr-TR"/>
              </w:rPr>
              <w:t>1,1</w:t>
            </w:r>
          </w:p>
        </w:tc>
      </w:tr>
    </w:tbl>
    <w:p w:rsidR="00565FD5" w:rsidRPr="00B868E2" w:rsidRDefault="00565FD5" w:rsidP="00565FD5">
      <w:pPr>
        <w:spacing w:before="40" w:after="240"/>
        <w:rPr>
          <w:rFonts w:cs="Tahoma"/>
          <w:sz w:val="14"/>
          <w:szCs w:val="14"/>
          <w:lang w:eastAsia="tr-TR"/>
        </w:rPr>
      </w:pPr>
      <w:r w:rsidRPr="00B868E2">
        <w:rPr>
          <w:rFonts w:cs="Tahoma"/>
          <w:sz w:val="14"/>
          <w:szCs w:val="14"/>
          <w:lang w:eastAsia="tr-TR"/>
        </w:rPr>
        <w:t>Kaynak: Avrupa Etkin Yargı Komisyonunun (CEPEJ) 2012 yılında yayımladığı Avrupa Yargı Sistemleri Raporu.</w:t>
      </w:r>
    </w:p>
    <w:p w:rsidR="00565FD5" w:rsidRPr="00B868E2" w:rsidRDefault="00565FD5" w:rsidP="00565FD5">
      <w:pPr>
        <w:spacing w:before="120" w:after="120"/>
        <w:ind w:firstLine="425"/>
        <w:rPr>
          <w:rFonts w:cs="Tahoma"/>
          <w:szCs w:val="18"/>
          <w:lang w:eastAsia="tr-TR"/>
        </w:rPr>
      </w:pPr>
      <w:r w:rsidRPr="00B868E2">
        <w:rPr>
          <w:rFonts w:cs="Tahoma"/>
          <w:szCs w:val="18"/>
          <w:lang w:eastAsia="tr-TR"/>
        </w:rPr>
        <w:t xml:space="preserve">Öte yandan, son dönemde ceza infaz kurumları ile tutukevlerinin sayısında ve kapasitesinde iyileştirmeler sağlanmıştır. Küçük ve etkin kullanılamayan ceza infaz kurumları ve tutukevleri kapatılmış, buna karşılık modern ve kapasite olarak daha geniş ceza infaz kurumları ve tutukevleri inşa edilerek kapasite yükseltilmiştir. 2012 yılı Eylül ayı sonu itibarıyla ceza infaz kurumları ve tutukevlerinin toplamı 374, toplam kapasitesi 140.931 kişi olmuş, bu kurum ve tutukevlerinde 123.497 hükümlü ve tutuklu kalmıştır. 2012 yılı Nisan ayında kabul edilen 6291 sayılı Kanun ve 2012 yılı Temmuz ayında kabul edilen 6352 sayılı Kanunla yaklaşık 30.000 hükümlü ve tutuklu denetimli serbestlik hükümlerinden yararlanarak ceza ve tutukevlerinden salıverilmiştir. </w:t>
      </w:r>
    </w:p>
    <w:p w:rsidR="00565FD5" w:rsidRPr="00B868E2" w:rsidRDefault="00565FD5" w:rsidP="00565FD5">
      <w:pPr>
        <w:spacing w:before="120" w:after="120"/>
        <w:ind w:firstLine="425"/>
        <w:rPr>
          <w:rFonts w:cs="Tahoma"/>
          <w:szCs w:val="18"/>
          <w:lang w:eastAsia="tr-TR"/>
        </w:rPr>
      </w:pPr>
      <w:r w:rsidRPr="00B868E2">
        <w:rPr>
          <w:rFonts w:cs="Tahoma"/>
          <w:szCs w:val="18"/>
          <w:lang w:eastAsia="tr-TR"/>
        </w:rPr>
        <w:t>Adalet hizmetlerinin çağdaş, etkili ve verimli olarak sunulabilmesi için modern adliye binalarının yapılması ve yenilenmesi çalışmalarına devam edilmiştir. 2003 yılı başından 2012 yılı Eylül sonuna kadar İstanbul Avrupa Yakası ve Anadolu Yakası Adalet Binalarının da olduğu toplam 157 adalet hizmet binası inşaatı tamamlanmıştır. Yatırım Programında yer alan adalet binası işlerinden 39’unun inşaatı devam etmektedir.</w:t>
      </w:r>
    </w:p>
    <w:p w:rsidR="00565FD5" w:rsidRPr="00B868E2" w:rsidRDefault="00565FD5" w:rsidP="00565FD5">
      <w:pPr>
        <w:spacing w:before="120" w:after="120"/>
        <w:ind w:firstLine="425"/>
        <w:rPr>
          <w:rFonts w:cs="Tahoma"/>
          <w:szCs w:val="18"/>
          <w:lang w:eastAsia="tr-TR"/>
        </w:rPr>
      </w:pPr>
      <w:r w:rsidRPr="00B868E2">
        <w:rPr>
          <w:rFonts w:cs="Tahoma"/>
          <w:szCs w:val="18"/>
          <w:lang w:eastAsia="tr-TR"/>
        </w:rPr>
        <w:t>Bu gelişmelere rağmen, yargılama sürecinin etkin ve hızlı işlememesi, yargıya erişimde sorunlar yaşanması, adil yargılanma hakkının tam olarak yaşama geçirilememesi, hukuk kurallarının oluşturulmasında çağdaş gelişmelerin yeterince takip edilememesi, hukuk eğitimi ve öğretiminin öğrencilere yeterli metodolojik ve analitik düşünme yeteneğini kazandıramaması, yargının insan kaynaklarına ilişkin nicelik ve nitelik sorunları ile fiziki ve teknik altyapı eksikliklerinin giderilememesi, yargının etkili ve hakkaniyete uygun işlemesini aksatmaktadır.</w:t>
      </w:r>
    </w:p>
    <w:p w:rsidR="00565FD5" w:rsidRPr="00B868E2" w:rsidRDefault="00565FD5" w:rsidP="00565FD5">
      <w:pPr>
        <w:pStyle w:val="Balk4"/>
        <w:rPr>
          <w:lang w:eastAsia="tr-TR"/>
        </w:rPr>
      </w:pPr>
      <w:bookmarkStart w:id="3224" w:name="_Toc213065777"/>
      <w:bookmarkStart w:id="3225" w:name="_Toc244253785"/>
      <w:bookmarkStart w:id="3226" w:name="_Toc244255035"/>
      <w:bookmarkStart w:id="3227" w:name="_Toc244313770"/>
      <w:bookmarkStart w:id="3228" w:name="_Toc244315247"/>
      <w:bookmarkStart w:id="3229" w:name="_Toc244339710"/>
      <w:bookmarkStart w:id="3230" w:name="_Toc244756782"/>
      <w:bookmarkStart w:id="3231" w:name="_Toc338505681"/>
      <w:bookmarkStart w:id="3232" w:name="_Toc338523915"/>
      <w:bookmarkStart w:id="3233" w:name="_Toc338524146"/>
      <w:bookmarkStart w:id="3234" w:name="_Toc338526372"/>
      <w:bookmarkStart w:id="3235" w:name="_Toc338673815"/>
      <w:bookmarkStart w:id="3236" w:name="_Toc338711694"/>
      <w:bookmarkEnd w:id="3216"/>
      <w:bookmarkEnd w:id="3217"/>
      <w:r w:rsidRPr="00B868E2">
        <w:rPr>
          <w:lang w:eastAsia="tr-TR"/>
        </w:rPr>
        <w:t>2. Temel Amaç ve Hedefler</w:t>
      </w:r>
      <w:bookmarkEnd w:id="3224"/>
      <w:bookmarkEnd w:id="3225"/>
      <w:bookmarkEnd w:id="3226"/>
      <w:bookmarkEnd w:id="3227"/>
      <w:bookmarkEnd w:id="3228"/>
      <w:bookmarkEnd w:id="3229"/>
      <w:bookmarkEnd w:id="3230"/>
      <w:bookmarkEnd w:id="3231"/>
      <w:bookmarkEnd w:id="3232"/>
      <w:bookmarkEnd w:id="3233"/>
      <w:bookmarkEnd w:id="3234"/>
      <w:bookmarkEnd w:id="3235"/>
      <w:bookmarkEnd w:id="3236"/>
    </w:p>
    <w:p w:rsidR="00565FD5" w:rsidRPr="00B868E2" w:rsidRDefault="00565FD5" w:rsidP="00565FD5">
      <w:pPr>
        <w:spacing w:before="120" w:after="120"/>
        <w:ind w:firstLine="425"/>
        <w:rPr>
          <w:rFonts w:cs="Tahoma"/>
          <w:sz w:val="24"/>
          <w:szCs w:val="24"/>
          <w:lang w:eastAsia="tr-TR"/>
        </w:rPr>
      </w:pPr>
      <w:bookmarkStart w:id="3237" w:name="_Toc213065778"/>
      <w:r w:rsidRPr="00B868E2">
        <w:rPr>
          <w:rFonts w:cs="Tahoma"/>
          <w:szCs w:val="18"/>
          <w:lang w:eastAsia="tr-TR"/>
        </w:rPr>
        <w:t>Hukuk devleti ve hukukun üstünlüğü ilkeleri çerçevesinde adalet hizmetlerinin daha adil, hızlı, etkin, güvenli ve isabetli şekilde sunulması, yargılamanın işleyişinde ve temel unsurlarında hizmet kalitesini artırıcı çabaların sürdürülmesi, ekonomik ve sosyal düzenin korunması, iyileştirilmesi ve geliştirilmesinde hukuk kurallarının araç olarak kullanılması temel amaçtır. Bu çerçevede; hâkim, savcı ve yardımcı adalet personeli sayısının artırılması, yargı mensuplarının mesleki ahlak ve davranış kurallarının uluslararası ölçütlere göre belirlenmesi, mağdur haklarının çağdaş ölçütler çerçevesinde korunması, adli yardımın yaygınlaştırılması, idari yargıda alternatif uyuşmazlık çözüm yöntemlerinin geliştirilmesi ve yaygınlaştırılması ve bilirkişiliği iyileştirici yeni bir sistemin getirilmesine yönelik çalışmalar yapılacaktır.</w:t>
      </w:r>
      <w:bookmarkStart w:id="3238" w:name="_Toc244253786"/>
      <w:bookmarkStart w:id="3239" w:name="_Toc244255036"/>
      <w:bookmarkStart w:id="3240" w:name="_Toc244313771"/>
      <w:bookmarkStart w:id="3241" w:name="_Toc244315248"/>
      <w:bookmarkStart w:id="3242" w:name="_Toc244339711"/>
      <w:bookmarkStart w:id="3243" w:name="_Toc244756783"/>
    </w:p>
    <w:p w:rsidR="00565FD5" w:rsidRPr="00B868E2" w:rsidRDefault="00565FD5" w:rsidP="00565FD5">
      <w:pPr>
        <w:pStyle w:val="Balk4"/>
        <w:rPr>
          <w:lang w:eastAsia="tr-TR"/>
        </w:rPr>
      </w:pPr>
      <w:bookmarkStart w:id="3244" w:name="_Toc338505682"/>
      <w:bookmarkStart w:id="3245" w:name="_Toc338523916"/>
      <w:bookmarkStart w:id="3246" w:name="_Toc338524147"/>
      <w:bookmarkStart w:id="3247" w:name="_Toc338526373"/>
      <w:bookmarkStart w:id="3248" w:name="_Toc338673816"/>
      <w:bookmarkStart w:id="3249" w:name="_Toc338711695"/>
      <w:r w:rsidRPr="00B868E2">
        <w:rPr>
          <w:lang w:eastAsia="tr-TR"/>
        </w:rPr>
        <w:t>3. Politika Öncelikleri ve Tedbirler</w:t>
      </w:r>
      <w:bookmarkEnd w:id="3237"/>
      <w:bookmarkEnd w:id="3238"/>
      <w:bookmarkEnd w:id="3239"/>
      <w:bookmarkEnd w:id="3240"/>
      <w:bookmarkEnd w:id="3241"/>
      <w:bookmarkEnd w:id="3242"/>
      <w:bookmarkEnd w:id="3243"/>
      <w:bookmarkEnd w:id="3244"/>
      <w:bookmarkEnd w:id="3245"/>
      <w:bookmarkEnd w:id="3246"/>
      <w:bookmarkEnd w:id="3247"/>
      <w:bookmarkEnd w:id="3248"/>
      <w:bookmarkEnd w:id="3249"/>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3"/>
        <w:gridCol w:w="1892"/>
        <w:gridCol w:w="817"/>
        <w:gridCol w:w="2652"/>
      </w:tblGrid>
      <w:tr w:rsidR="00565FD5" w:rsidRPr="00B868E2" w:rsidTr="00AB62A3">
        <w:trPr>
          <w:trHeight w:val="20"/>
          <w:jc w:val="center"/>
        </w:trPr>
        <w:tc>
          <w:tcPr>
            <w:tcW w:w="1248" w:type="pct"/>
            <w:vAlign w:val="bottom"/>
          </w:tcPr>
          <w:p w:rsidR="00565FD5" w:rsidRPr="00B868E2" w:rsidRDefault="00565FD5" w:rsidP="00AB62A3">
            <w:pPr>
              <w:spacing w:before="60" w:after="60"/>
              <w:rPr>
                <w:rFonts w:cs="Tahoma"/>
                <w:b/>
                <w:sz w:val="16"/>
                <w:szCs w:val="16"/>
                <w:lang w:eastAsia="tr-TR"/>
              </w:rPr>
            </w:pPr>
            <w:r w:rsidRPr="00B868E2">
              <w:rPr>
                <w:rFonts w:cs="Tahoma"/>
                <w:b/>
                <w:sz w:val="16"/>
                <w:szCs w:val="16"/>
                <w:lang w:eastAsia="tr-TR"/>
              </w:rPr>
              <w:t xml:space="preserve">Öncelik / Tedbir </w:t>
            </w:r>
          </w:p>
        </w:tc>
        <w:tc>
          <w:tcPr>
            <w:tcW w:w="1324" w:type="pct"/>
            <w:vAlign w:val="bottom"/>
          </w:tcPr>
          <w:p w:rsidR="00565FD5" w:rsidRPr="00B868E2" w:rsidRDefault="00565FD5" w:rsidP="00AB62A3">
            <w:pPr>
              <w:spacing w:before="60" w:after="60"/>
              <w:rPr>
                <w:rFonts w:cs="Tahoma"/>
                <w:b/>
                <w:sz w:val="16"/>
                <w:szCs w:val="16"/>
                <w:lang w:eastAsia="tr-TR"/>
              </w:rPr>
            </w:pPr>
            <w:r w:rsidRPr="00B868E2">
              <w:rPr>
                <w:rFonts w:cs="Tahoma"/>
                <w:b/>
                <w:sz w:val="16"/>
                <w:szCs w:val="16"/>
                <w:lang w:eastAsia="tr-TR"/>
              </w:rPr>
              <w:t>Sorumlu/ İşbirliği Yapılacak Kuruluşlar</w:t>
            </w:r>
          </w:p>
        </w:tc>
        <w:tc>
          <w:tcPr>
            <w:tcW w:w="572" w:type="pct"/>
            <w:vAlign w:val="bottom"/>
          </w:tcPr>
          <w:p w:rsidR="00565FD5" w:rsidRPr="00B868E2" w:rsidRDefault="00565FD5" w:rsidP="00AB62A3">
            <w:pPr>
              <w:spacing w:before="60" w:after="60"/>
              <w:rPr>
                <w:rFonts w:cs="Tahoma"/>
                <w:b/>
                <w:sz w:val="16"/>
                <w:szCs w:val="16"/>
                <w:lang w:eastAsia="tr-TR"/>
              </w:rPr>
            </w:pPr>
            <w:r w:rsidRPr="00B868E2">
              <w:rPr>
                <w:rFonts w:cs="Tahoma"/>
                <w:b/>
                <w:sz w:val="16"/>
                <w:szCs w:val="16"/>
                <w:lang w:eastAsia="tr-TR"/>
              </w:rPr>
              <w:t>Süre</w:t>
            </w:r>
          </w:p>
        </w:tc>
        <w:tc>
          <w:tcPr>
            <w:tcW w:w="1856" w:type="pct"/>
            <w:vAlign w:val="bottom"/>
          </w:tcPr>
          <w:p w:rsidR="00565FD5" w:rsidRPr="00B868E2" w:rsidRDefault="00565FD5" w:rsidP="00AB62A3">
            <w:pPr>
              <w:spacing w:before="60" w:after="60"/>
              <w:rPr>
                <w:rFonts w:cs="Tahoma"/>
                <w:b/>
                <w:sz w:val="16"/>
                <w:szCs w:val="16"/>
                <w:lang w:eastAsia="tr-TR"/>
              </w:rPr>
            </w:pPr>
            <w:r w:rsidRPr="00B868E2">
              <w:rPr>
                <w:rFonts w:cs="Tahoma"/>
                <w:b/>
                <w:sz w:val="16"/>
                <w:szCs w:val="16"/>
                <w:lang w:eastAsia="tr-TR"/>
              </w:rPr>
              <w:t xml:space="preserve">Yapılacak İşlem ve Açıklama </w:t>
            </w:r>
          </w:p>
        </w:tc>
      </w:tr>
      <w:tr w:rsidR="00565FD5" w:rsidRPr="00B868E2" w:rsidTr="00AB62A3">
        <w:trPr>
          <w:trHeight w:val="20"/>
          <w:jc w:val="center"/>
        </w:trPr>
        <w:tc>
          <w:tcPr>
            <w:tcW w:w="5000" w:type="pct"/>
            <w:gridSpan w:val="4"/>
          </w:tcPr>
          <w:p w:rsidR="00565FD5" w:rsidRPr="00B868E2" w:rsidRDefault="00565FD5" w:rsidP="00EB1E69">
            <w:pPr>
              <w:numPr>
                <w:ilvl w:val="0"/>
                <w:numId w:val="15"/>
              </w:numPr>
              <w:spacing w:before="60" w:after="60" w:line="240" w:lineRule="auto"/>
              <w:jc w:val="both"/>
              <w:rPr>
                <w:rFonts w:cs="Tahoma"/>
                <w:b/>
                <w:sz w:val="16"/>
                <w:szCs w:val="16"/>
                <w:lang w:eastAsia="tr-TR"/>
              </w:rPr>
            </w:pPr>
            <w:r w:rsidRPr="00B868E2">
              <w:rPr>
                <w:rFonts w:cs="Tahoma"/>
                <w:b/>
                <w:bCs/>
                <w:sz w:val="16"/>
                <w:szCs w:val="16"/>
                <w:lang w:eastAsia="tr-TR"/>
              </w:rPr>
              <w:t xml:space="preserve">Adalet hizmetlerinin daha hızlı, adil, güvenli ve isabetli şekilde sunulmasını sağlamak </w:t>
            </w:r>
            <w:r w:rsidRPr="00B868E2">
              <w:rPr>
                <w:rFonts w:cs="Tahoma"/>
                <w:b/>
                <w:bCs/>
                <w:sz w:val="16"/>
                <w:szCs w:val="16"/>
                <w:lang w:eastAsia="tr-TR"/>
              </w:rPr>
              <w:lastRenderedPageBreak/>
              <w:t xml:space="preserve">üzere, AB uygulamaları da dikkate alınarak, hukuki ve kurumsal düzenlemeler yapılacak, beşeri ve fiziki altyapı güçlendirilecektir. </w:t>
            </w:r>
          </w:p>
        </w:tc>
      </w:tr>
      <w:tr w:rsidR="00565FD5" w:rsidRPr="00B868E2" w:rsidTr="00AB62A3">
        <w:trPr>
          <w:trHeight w:val="20"/>
          <w:jc w:val="center"/>
        </w:trPr>
        <w:tc>
          <w:tcPr>
            <w:tcW w:w="1248" w:type="pct"/>
          </w:tcPr>
          <w:p w:rsidR="00565FD5" w:rsidRPr="00B868E2" w:rsidRDefault="00565FD5" w:rsidP="00EB1E69">
            <w:pPr>
              <w:numPr>
                <w:ilvl w:val="0"/>
                <w:numId w:val="14"/>
              </w:numPr>
              <w:tabs>
                <w:tab w:val="left" w:pos="563"/>
              </w:tabs>
              <w:spacing w:before="60" w:after="60" w:line="240" w:lineRule="auto"/>
              <w:rPr>
                <w:rFonts w:cs="Tahoma"/>
                <w:sz w:val="16"/>
                <w:szCs w:val="16"/>
                <w:lang w:eastAsia="tr-TR"/>
              </w:rPr>
            </w:pPr>
            <w:r w:rsidRPr="00B868E2">
              <w:rPr>
                <w:rFonts w:cs="Tahoma"/>
                <w:sz w:val="16"/>
                <w:szCs w:val="16"/>
                <w:lang w:eastAsia="tr-TR"/>
              </w:rPr>
              <w:lastRenderedPageBreak/>
              <w:t>Yargı mensuplarının mesleki ahlak ve davranış kuralları, uluslararası ölçütlere göre belirlenecektir.</w:t>
            </w:r>
          </w:p>
        </w:tc>
        <w:tc>
          <w:tcPr>
            <w:tcW w:w="1324"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Adalet Bakanlığı (S), HSYK, Türkiye Adalet Akademisi</w:t>
            </w:r>
          </w:p>
        </w:tc>
        <w:tc>
          <w:tcPr>
            <w:tcW w:w="572"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Aralık Sonu</w:t>
            </w:r>
          </w:p>
        </w:tc>
        <w:tc>
          <w:tcPr>
            <w:tcW w:w="1856"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 xml:space="preserve">Hâkim ve cumhuriyet savcılarının uymaları gereken etik ve davranış kurallarını belirleyen yasal düzenleme HSYK ve Türkiye Adalet Akademisi ile işbirliği içinde tamamlanacaktır. </w:t>
            </w:r>
          </w:p>
        </w:tc>
      </w:tr>
      <w:tr w:rsidR="00565FD5" w:rsidRPr="00B868E2" w:rsidTr="00AB62A3">
        <w:tblPrEx>
          <w:tblCellMar>
            <w:left w:w="70" w:type="dxa"/>
            <w:right w:w="70" w:type="dxa"/>
          </w:tblCellMar>
        </w:tblPrEx>
        <w:trPr>
          <w:trHeight w:val="20"/>
          <w:jc w:val="center"/>
        </w:trPr>
        <w:tc>
          <w:tcPr>
            <w:tcW w:w="1248" w:type="pct"/>
          </w:tcPr>
          <w:p w:rsidR="00565FD5" w:rsidRPr="00B868E2" w:rsidRDefault="00565FD5" w:rsidP="00EB1E69">
            <w:pPr>
              <w:numPr>
                <w:ilvl w:val="0"/>
                <w:numId w:val="14"/>
              </w:numPr>
              <w:tabs>
                <w:tab w:val="left" w:pos="563"/>
              </w:tabs>
              <w:spacing w:before="60" w:after="60" w:line="240" w:lineRule="auto"/>
              <w:rPr>
                <w:rFonts w:cs="Tahoma"/>
                <w:sz w:val="16"/>
                <w:szCs w:val="16"/>
                <w:lang w:eastAsia="tr-TR"/>
              </w:rPr>
            </w:pPr>
            <w:r w:rsidRPr="00B868E2">
              <w:rPr>
                <w:rFonts w:cs="Tahoma"/>
                <w:sz w:val="16"/>
                <w:szCs w:val="16"/>
                <w:lang w:eastAsia="tr-TR"/>
              </w:rPr>
              <w:t xml:space="preserve">Adli süreç ile hizmetlerin elektronik ortama taşınması ve yargı organları arasında kurulan bilgi ağının geliştirilmesi için altyapı ve yasal çalışmalar tamamlanacaktır. </w:t>
            </w:r>
          </w:p>
        </w:tc>
        <w:tc>
          <w:tcPr>
            <w:tcW w:w="1324"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Adalet Bakanlığı (S), Kalkınma Bakanlığı</w:t>
            </w:r>
          </w:p>
        </w:tc>
        <w:tc>
          <w:tcPr>
            <w:tcW w:w="572"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Aralık Sonu</w:t>
            </w:r>
          </w:p>
        </w:tc>
        <w:tc>
          <w:tcPr>
            <w:tcW w:w="1856"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 xml:space="preserve">Adli süreç ve hizmetleri elektronik ortama taşıyacak ve öncelikle yargı organları arasında bilgi ağını sağlayacak olan e-adalet sisteminin kurulması için Adalet Bakanlığı tarafından hazırlanan ve donanım altyapısı önemli ölçüde bitirilmiş olan Ulusal Yargı Ağı Projesinin (UYAP) donanım altyapısı yenilenecek, projenin e-devlet uygulamaları ve yargılama makamlarının sıklıkla yazışma gereği duyduğu kurumlarla entegrasyon çalışmaları sürdürülecek ve bu sistemin işleyişi için ihtiyaçları karşılayacak şekilde yeni yasal düzenlemeler yapılacaktır. Hükümlülerin topluma kazandırılması ve sosyal hayata katılımını sağlamak, yeniden suç işlemesini önlemek amacıyla elektronik kelepçe uygulaması yaygınlaştırılarak etkinleştirilecektir.   </w:t>
            </w:r>
          </w:p>
        </w:tc>
      </w:tr>
      <w:tr w:rsidR="00565FD5" w:rsidRPr="00B868E2" w:rsidTr="00AB62A3">
        <w:tblPrEx>
          <w:tblCellMar>
            <w:left w:w="70" w:type="dxa"/>
            <w:right w:w="70" w:type="dxa"/>
          </w:tblCellMar>
        </w:tblPrEx>
        <w:trPr>
          <w:trHeight w:val="20"/>
          <w:jc w:val="center"/>
        </w:trPr>
        <w:tc>
          <w:tcPr>
            <w:tcW w:w="1248" w:type="pct"/>
          </w:tcPr>
          <w:p w:rsidR="00565FD5" w:rsidRPr="00B868E2" w:rsidRDefault="00565FD5" w:rsidP="00EB1E69">
            <w:pPr>
              <w:numPr>
                <w:ilvl w:val="0"/>
                <w:numId w:val="14"/>
              </w:numPr>
              <w:tabs>
                <w:tab w:val="left" w:pos="563"/>
              </w:tabs>
              <w:spacing w:before="60" w:after="60" w:line="240" w:lineRule="auto"/>
              <w:rPr>
                <w:rFonts w:cs="Tahoma"/>
                <w:sz w:val="16"/>
                <w:szCs w:val="16"/>
                <w:lang w:eastAsia="tr-TR"/>
              </w:rPr>
            </w:pPr>
            <w:r w:rsidRPr="00B868E2">
              <w:rPr>
                <w:rFonts w:cs="Tahoma"/>
                <w:sz w:val="16"/>
                <w:szCs w:val="16"/>
                <w:lang w:eastAsia="tr-TR"/>
              </w:rPr>
              <w:t xml:space="preserve">Hâkim, </w:t>
            </w:r>
            <w:r>
              <w:rPr>
                <w:rFonts w:cs="Tahoma"/>
                <w:sz w:val="16"/>
                <w:szCs w:val="16"/>
                <w:lang w:eastAsia="tr-TR"/>
              </w:rPr>
              <w:t>C</w:t>
            </w:r>
            <w:r w:rsidRPr="00B868E2">
              <w:rPr>
                <w:rFonts w:cs="Tahoma"/>
                <w:sz w:val="16"/>
                <w:szCs w:val="16"/>
                <w:lang w:eastAsia="tr-TR"/>
              </w:rPr>
              <w:t xml:space="preserve">umhuriyet </w:t>
            </w:r>
            <w:r>
              <w:rPr>
                <w:rFonts w:cs="Tahoma"/>
                <w:sz w:val="16"/>
                <w:szCs w:val="16"/>
                <w:lang w:eastAsia="tr-TR"/>
              </w:rPr>
              <w:t>S</w:t>
            </w:r>
            <w:r w:rsidRPr="00B868E2">
              <w:rPr>
                <w:rFonts w:cs="Tahoma"/>
                <w:sz w:val="16"/>
                <w:szCs w:val="16"/>
                <w:lang w:eastAsia="tr-TR"/>
              </w:rPr>
              <w:t xml:space="preserve">avcısı ve yardımcı adalet personelinin sayısı artırılacaktır.  </w:t>
            </w:r>
          </w:p>
        </w:tc>
        <w:tc>
          <w:tcPr>
            <w:tcW w:w="1324"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Adalet Bakanlığı (S), Maliye Bakanlığı, Devlet Personel Başkanlığı</w:t>
            </w:r>
          </w:p>
        </w:tc>
        <w:tc>
          <w:tcPr>
            <w:tcW w:w="572"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Aralık Sonu</w:t>
            </w:r>
          </w:p>
        </w:tc>
        <w:tc>
          <w:tcPr>
            <w:tcW w:w="1856"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 xml:space="preserve">Hâkim, cumhuriyet savcısı ve yardımcı adalet personeli sayısı, Avrupa ülkelerindeki standartlara göre yargı organlarının iş yükü gözetilerek artırılacaktır.  </w:t>
            </w:r>
          </w:p>
        </w:tc>
      </w:tr>
      <w:tr w:rsidR="00565FD5" w:rsidRPr="00B868E2" w:rsidTr="00AB62A3">
        <w:tblPrEx>
          <w:tblCellMar>
            <w:left w:w="70" w:type="dxa"/>
            <w:right w:w="70" w:type="dxa"/>
          </w:tblCellMar>
        </w:tblPrEx>
        <w:trPr>
          <w:trHeight w:val="20"/>
          <w:jc w:val="center"/>
        </w:trPr>
        <w:tc>
          <w:tcPr>
            <w:tcW w:w="1248" w:type="pct"/>
          </w:tcPr>
          <w:p w:rsidR="00565FD5" w:rsidRPr="00B868E2" w:rsidRDefault="00565FD5" w:rsidP="00EB1E69">
            <w:pPr>
              <w:numPr>
                <w:ilvl w:val="0"/>
                <w:numId w:val="14"/>
              </w:numPr>
              <w:tabs>
                <w:tab w:val="left" w:pos="563"/>
              </w:tabs>
              <w:spacing w:before="60" w:after="60" w:line="240" w:lineRule="auto"/>
              <w:rPr>
                <w:rFonts w:cs="Tahoma"/>
                <w:sz w:val="16"/>
                <w:szCs w:val="16"/>
                <w:lang w:eastAsia="tr-TR"/>
              </w:rPr>
            </w:pPr>
            <w:r w:rsidRPr="00B868E2">
              <w:rPr>
                <w:rFonts w:cs="Tahoma"/>
                <w:sz w:val="16"/>
                <w:szCs w:val="16"/>
                <w:lang w:eastAsia="tr-TR"/>
              </w:rPr>
              <w:t xml:space="preserve">Hukuk yargılamasında adli yardım müessesesinin daha etkin bir şekilde uygulanması sağlanacak ve adli yardıma ulaşım kolaylaştırılacaktır. </w:t>
            </w:r>
          </w:p>
        </w:tc>
        <w:tc>
          <w:tcPr>
            <w:tcW w:w="1324"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Adalet Bakanlığı (S), Maliye Bakanlığı, Türkiye Barolar Birliği</w:t>
            </w:r>
          </w:p>
        </w:tc>
        <w:tc>
          <w:tcPr>
            <w:tcW w:w="572"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Aralık Sonu</w:t>
            </w:r>
          </w:p>
        </w:tc>
        <w:tc>
          <w:tcPr>
            <w:tcW w:w="1856"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 xml:space="preserve">Hukuk yargılamasında adli yardımın etkinleştirilmesi için;  adli yardım usulünü tanıtan açık, anlaşılır ve yol gösterici dokümanlar hazırlanacak ve yararlanıcıların erişimine sunulacaktır. Adalet Bakanlığı ve adliyelerin internet sitelerine adli yardım usulünü anlatan pratik bilgilerin konulması sağlanacaktır. Adli yardım sisteminin sadeleştirilerek etkinleştirilmesi amacıyla gerekli mevzuat değişiklikleri tamamlanacaktır. </w:t>
            </w:r>
          </w:p>
        </w:tc>
      </w:tr>
      <w:tr w:rsidR="00565FD5" w:rsidRPr="00B868E2" w:rsidTr="00AB62A3">
        <w:tblPrEx>
          <w:tblCellMar>
            <w:left w:w="70" w:type="dxa"/>
            <w:right w:w="70" w:type="dxa"/>
          </w:tblCellMar>
        </w:tblPrEx>
        <w:trPr>
          <w:trHeight w:val="20"/>
          <w:jc w:val="center"/>
        </w:trPr>
        <w:tc>
          <w:tcPr>
            <w:tcW w:w="1248" w:type="pct"/>
          </w:tcPr>
          <w:p w:rsidR="00565FD5" w:rsidRPr="00B868E2" w:rsidRDefault="00565FD5" w:rsidP="00EB1E69">
            <w:pPr>
              <w:numPr>
                <w:ilvl w:val="0"/>
                <w:numId w:val="14"/>
              </w:numPr>
              <w:spacing w:before="60" w:after="60" w:line="240" w:lineRule="auto"/>
              <w:rPr>
                <w:rFonts w:cs="Tahoma"/>
                <w:sz w:val="16"/>
                <w:szCs w:val="16"/>
                <w:lang w:eastAsia="tr-TR"/>
              </w:rPr>
            </w:pPr>
            <w:r w:rsidRPr="00B868E2">
              <w:rPr>
                <w:rFonts w:cs="Tahoma"/>
                <w:sz w:val="16"/>
                <w:szCs w:val="16"/>
                <w:lang w:eastAsia="tr-TR"/>
              </w:rPr>
              <w:t xml:space="preserve">Adli Tıp Kurumunun kapasitesi güçlendirilecektir.  </w:t>
            </w:r>
          </w:p>
        </w:tc>
        <w:tc>
          <w:tcPr>
            <w:tcW w:w="1324"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Adalet Bakanlığı (S), Maliye Bakanlığı, Kalkınma Bakanlığı, Sağlık Bakanlığı, Üniversiteler</w:t>
            </w:r>
          </w:p>
        </w:tc>
        <w:tc>
          <w:tcPr>
            <w:tcW w:w="572"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Aralık Sonu</w:t>
            </w:r>
          </w:p>
        </w:tc>
        <w:tc>
          <w:tcPr>
            <w:tcW w:w="1856"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 xml:space="preserve">Adli Tıp Kurumunun uluslararası kalite standartlarına uygun laboratuvarlarının sayısı artırılacak, ihtiyaç duyulan il merkezleri ve diğer ağır ceza merkezlerinde adli tıp birimlerinin faaliyete geçirilmesi sağlanacaktır.  Kurumun insan kaynakları ve teknolojik kapasitesi geliştirilecek, adli bilimler alanında üniversitelerle yapılan işbirliği çalışmaları artırılacaktır.   </w:t>
            </w:r>
          </w:p>
        </w:tc>
      </w:tr>
      <w:tr w:rsidR="00565FD5" w:rsidRPr="00B868E2" w:rsidTr="00AB62A3">
        <w:tblPrEx>
          <w:tblCellMar>
            <w:left w:w="70" w:type="dxa"/>
            <w:right w:w="70" w:type="dxa"/>
          </w:tblCellMar>
        </w:tblPrEx>
        <w:trPr>
          <w:trHeight w:val="20"/>
          <w:jc w:val="center"/>
        </w:trPr>
        <w:tc>
          <w:tcPr>
            <w:tcW w:w="1248" w:type="pct"/>
          </w:tcPr>
          <w:p w:rsidR="00565FD5" w:rsidRPr="00B868E2" w:rsidRDefault="00565FD5" w:rsidP="00EB1E69">
            <w:pPr>
              <w:numPr>
                <w:ilvl w:val="0"/>
                <w:numId w:val="14"/>
              </w:numPr>
              <w:tabs>
                <w:tab w:val="left" w:pos="563"/>
              </w:tabs>
              <w:spacing w:before="60" w:after="60" w:line="240" w:lineRule="auto"/>
              <w:rPr>
                <w:rFonts w:cs="Tahoma"/>
                <w:sz w:val="16"/>
                <w:szCs w:val="16"/>
                <w:lang w:eastAsia="tr-TR"/>
              </w:rPr>
            </w:pPr>
            <w:r w:rsidRPr="00B868E2">
              <w:rPr>
                <w:rFonts w:cs="Tahoma"/>
                <w:sz w:val="16"/>
                <w:szCs w:val="16"/>
                <w:lang w:eastAsia="tr-TR"/>
              </w:rPr>
              <w:lastRenderedPageBreak/>
              <w:t>Bilirkişilik konusunda mevcut aksaklıkları giderecek yeni bir sistem getirilecektir.</w:t>
            </w:r>
          </w:p>
        </w:tc>
        <w:tc>
          <w:tcPr>
            <w:tcW w:w="1324"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Adalet Bakanlığı (S)</w:t>
            </w:r>
          </w:p>
        </w:tc>
        <w:tc>
          <w:tcPr>
            <w:tcW w:w="572"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Aralık Sonu</w:t>
            </w:r>
          </w:p>
        </w:tc>
        <w:tc>
          <w:tcPr>
            <w:tcW w:w="1856"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 xml:space="preserve">Bilirkişilik mekanizması gözden geçirilerek ve çağdaş ülkelerdeki örnekler dikkate alınarak etkin işleyen bir sistemin getirilmesi yönünde çalışmalar yapılacaktır.      </w:t>
            </w:r>
          </w:p>
        </w:tc>
      </w:tr>
      <w:tr w:rsidR="00565FD5" w:rsidRPr="00B868E2" w:rsidTr="00AB62A3">
        <w:tblPrEx>
          <w:tblCellMar>
            <w:left w:w="70" w:type="dxa"/>
            <w:right w:w="70" w:type="dxa"/>
          </w:tblCellMar>
        </w:tblPrEx>
        <w:trPr>
          <w:trHeight w:val="20"/>
          <w:jc w:val="center"/>
        </w:trPr>
        <w:tc>
          <w:tcPr>
            <w:tcW w:w="1248" w:type="pct"/>
          </w:tcPr>
          <w:p w:rsidR="00565FD5" w:rsidRPr="00B868E2" w:rsidRDefault="00565FD5" w:rsidP="00EB1E69">
            <w:pPr>
              <w:numPr>
                <w:ilvl w:val="0"/>
                <w:numId w:val="14"/>
              </w:numPr>
              <w:tabs>
                <w:tab w:val="left" w:pos="563"/>
              </w:tabs>
              <w:spacing w:before="60" w:after="60" w:line="240" w:lineRule="auto"/>
              <w:rPr>
                <w:rFonts w:cs="Tahoma"/>
                <w:sz w:val="16"/>
                <w:szCs w:val="16"/>
                <w:lang w:eastAsia="tr-TR"/>
              </w:rPr>
            </w:pPr>
            <w:r w:rsidRPr="00B868E2">
              <w:rPr>
                <w:rFonts w:cs="Tahoma"/>
                <w:sz w:val="16"/>
                <w:szCs w:val="16"/>
                <w:lang w:eastAsia="tr-TR"/>
              </w:rPr>
              <w:t xml:space="preserve">Adliyelerin fiziki kapasitelerinin iyileştirilmesi çalışmaları sürdürülecektir. </w:t>
            </w:r>
          </w:p>
        </w:tc>
        <w:tc>
          <w:tcPr>
            <w:tcW w:w="1324"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Adalet Bakanlığı (S)</w:t>
            </w:r>
          </w:p>
        </w:tc>
        <w:tc>
          <w:tcPr>
            <w:tcW w:w="572"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Aralık Sonu</w:t>
            </w:r>
          </w:p>
        </w:tc>
        <w:tc>
          <w:tcPr>
            <w:tcW w:w="1856"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 xml:space="preserve">Adalet Bakanlığınca belirlenen ilkeler ve yatırım programı çerçevesinde adalet teşkilatının fiziki kapasitesi geliştirilmeye devam edilecektir. Adalete erişim ilkesi doğrultusunda yeni hizmet binaları yapılacaktır. Hizmet binalarında avukatlık hizmetlerinin daha rahat yerine getirilmesi için yeterli fiziki imkânlar sağlanacaktır.   </w:t>
            </w:r>
          </w:p>
        </w:tc>
      </w:tr>
      <w:tr w:rsidR="00565FD5" w:rsidRPr="00B868E2" w:rsidTr="00AB62A3">
        <w:tblPrEx>
          <w:tblCellMar>
            <w:left w:w="70" w:type="dxa"/>
            <w:right w:w="70" w:type="dxa"/>
          </w:tblCellMar>
        </w:tblPrEx>
        <w:trPr>
          <w:trHeight w:val="20"/>
          <w:jc w:val="center"/>
        </w:trPr>
        <w:tc>
          <w:tcPr>
            <w:tcW w:w="1248" w:type="pct"/>
          </w:tcPr>
          <w:p w:rsidR="00565FD5" w:rsidRPr="00B868E2" w:rsidRDefault="00565FD5" w:rsidP="00EB1E69">
            <w:pPr>
              <w:numPr>
                <w:ilvl w:val="0"/>
                <w:numId w:val="14"/>
              </w:numPr>
              <w:tabs>
                <w:tab w:val="left" w:pos="563"/>
              </w:tabs>
              <w:spacing w:before="60" w:after="60" w:line="240" w:lineRule="auto"/>
              <w:rPr>
                <w:rFonts w:cs="Tahoma"/>
                <w:sz w:val="16"/>
                <w:szCs w:val="16"/>
                <w:lang w:eastAsia="tr-TR"/>
              </w:rPr>
            </w:pPr>
            <w:r w:rsidRPr="00B868E2">
              <w:rPr>
                <w:rFonts w:cs="Tahoma"/>
                <w:sz w:val="16"/>
                <w:szCs w:val="16"/>
                <w:lang w:eastAsia="tr-TR"/>
              </w:rPr>
              <w:t xml:space="preserve">Ceza infaz kurumlarının kapasiteleri geliştirilecektir. </w:t>
            </w:r>
          </w:p>
        </w:tc>
        <w:tc>
          <w:tcPr>
            <w:tcW w:w="1324"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Adalet Bakanlığı (S)</w:t>
            </w:r>
          </w:p>
        </w:tc>
        <w:tc>
          <w:tcPr>
            <w:tcW w:w="572"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Aralık Sonu</w:t>
            </w:r>
          </w:p>
        </w:tc>
        <w:tc>
          <w:tcPr>
            <w:tcW w:w="1856"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 xml:space="preserve">Ceza infaz kurumlarının kapasitelerinin geliştirilmesi için yeni kurum inşaatları ve ek bina inşası yapılacak, yetersiz kurumlar kapatılacaktır. </w:t>
            </w:r>
          </w:p>
        </w:tc>
      </w:tr>
      <w:tr w:rsidR="00565FD5" w:rsidRPr="00B868E2" w:rsidTr="00AB62A3">
        <w:tblPrEx>
          <w:tblCellMar>
            <w:left w:w="70" w:type="dxa"/>
            <w:right w:w="70" w:type="dxa"/>
          </w:tblCellMar>
        </w:tblPrEx>
        <w:trPr>
          <w:trHeight w:val="20"/>
          <w:jc w:val="center"/>
        </w:trPr>
        <w:tc>
          <w:tcPr>
            <w:tcW w:w="5000" w:type="pct"/>
            <w:gridSpan w:val="4"/>
          </w:tcPr>
          <w:p w:rsidR="00565FD5" w:rsidRPr="00B868E2" w:rsidRDefault="00565FD5" w:rsidP="00EB1E69">
            <w:pPr>
              <w:numPr>
                <w:ilvl w:val="0"/>
                <w:numId w:val="15"/>
              </w:numPr>
              <w:spacing w:before="60" w:after="60" w:line="240" w:lineRule="auto"/>
              <w:jc w:val="both"/>
              <w:rPr>
                <w:rFonts w:cs="Tahoma"/>
                <w:sz w:val="16"/>
                <w:szCs w:val="16"/>
                <w:lang w:eastAsia="tr-TR"/>
              </w:rPr>
            </w:pPr>
            <w:r w:rsidRPr="00B868E2">
              <w:rPr>
                <w:rFonts w:cs="Tahoma"/>
                <w:b/>
                <w:bCs/>
                <w:sz w:val="16"/>
                <w:szCs w:val="16"/>
                <w:lang w:eastAsia="tr-TR"/>
              </w:rPr>
              <w:t xml:space="preserve">Yargı Reformu Stratejisi ve Eylem Planı güncellenecek, bu çerçevede gerekli yasal ve kurumsal düzenlemeler hayata geçirilecektir. </w:t>
            </w:r>
          </w:p>
        </w:tc>
      </w:tr>
      <w:tr w:rsidR="00565FD5" w:rsidRPr="00B868E2" w:rsidTr="00AB62A3">
        <w:tblPrEx>
          <w:tblCellMar>
            <w:left w:w="70" w:type="dxa"/>
            <w:right w:w="70" w:type="dxa"/>
          </w:tblCellMar>
        </w:tblPrEx>
        <w:trPr>
          <w:trHeight w:val="20"/>
          <w:jc w:val="center"/>
        </w:trPr>
        <w:tc>
          <w:tcPr>
            <w:tcW w:w="1248" w:type="pct"/>
          </w:tcPr>
          <w:p w:rsidR="00565FD5" w:rsidRPr="00B868E2" w:rsidRDefault="00565FD5" w:rsidP="00EB1E69">
            <w:pPr>
              <w:numPr>
                <w:ilvl w:val="0"/>
                <w:numId w:val="14"/>
              </w:numPr>
              <w:tabs>
                <w:tab w:val="left" w:pos="563"/>
              </w:tabs>
              <w:spacing w:before="60" w:after="60" w:line="240" w:lineRule="auto"/>
              <w:rPr>
                <w:rFonts w:cs="Tahoma"/>
                <w:sz w:val="16"/>
                <w:szCs w:val="16"/>
                <w:lang w:eastAsia="tr-TR"/>
              </w:rPr>
            </w:pPr>
            <w:r w:rsidRPr="00B868E2">
              <w:rPr>
                <w:rFonts w:cs="Tahoma"/>
                <w:sz w:val="16"/>
                <w:szCs w:val="16"/>
                <w:lang w:eastAsia="tr-TR"/>
              </w:rPr>
              <w:t xml:space="preserve">Yargı Reformu Stratejisi güncellenecektir. </w:t>
            </w:r>
          </w:p>
        </w:tc>
        <w:tc>
          <w:tcPr>
            <w:tcW w:w="1324" w:type="pct"/>
          </w:tcPr>
          <w:p w:rsidR="00565FD5" w:rsidRPr="00B868E2" w:rsidRDefault="00565FD5" w:rsidP="00AB62A3">
            <w:pPr>
              <w:spacing w:before="60"/>
              <w:rPr>
                <w:rFonts w:cs="Tahoma"/>
                <w:sz w:val="16"/>
                <w:szCs w:val="16"/>
                <w:lang w:eastAsia="tr-TR"/>
              </w:rPr>
            </w:pPr>
            <w:r w:rsidRPr="00B868E2">
              <w:rPr>
                <w:rFonts w:cs="Tahoma"/>
                <w:sz w:val="16"/>
                <w:szCs w:val="16"/>
                <w:lang w:eastAsia="tr-TR"/>
              </w:rPr>
              <w:t>Adalet Bakanlığı (S), Yüksek Yargı Organları,</w:t>
            </w:r>
          </w:p>
          <w:p w:rsidR="00565FD5" w:rsidRPr="00B868E2" w:rsidRDefault="00565FD5" w:rsidP="00AB62A3">
            <w:pPr>
              <w:rPr>
                <w:rFonts w:cs="Tahoma"/>
                <w:sz w:val="16"/>
                <w:szCs w:val="16"/>
                <w:lang w:eastAsia="tr-TR"/>
              </w:rPr>
            </w:pPr>
            <w:r w:rsidRPr="00B868E2">
              <w:rPr>
                <w:rFonts w:cs="Tahoma"/>
                <w:sz w:val="16"/>
                <w:szCs w:val="16"/>
                <w:lang w:eastAsia="tr-TR"/>
              </w:rPr>
              <w:t>Türkiye Barolar Birliği</w:t>
            </w:r>
          </w:p>
        </w:tc>
        <w:tc>
          <w:tcPr>
            <w:tcW w:w="572"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Aralık Sonu</w:t>
            </w:r>
          </w:p>
        </w:tc>
        <w:tc>
          <w:tcPr>
            <w:tcW w:w="1856" w:type="pct"/>
          </w:tcPr>
          <w:p w:rsidR="00565FD5" w:rsidRPr="00B868E2" w:rsidRDefault="00565FD5" w:rsidP="00AB62A3">
            <w:pPr>
              <w:spacing w:before="60" w:after="60"/>
              <w:rPr>
                <w:rFonts w:cs="Tahoma"/>
                <w:sz w:val="16"/>
                <w:szCs w:val="16"/>
                <w:lang w:eastAsia="tr-TR"/>
              </w:rPr>
            </w:pPr>
            <w:r w:rsidRPr="00B868E2">
              <w:rPr>
                <w:rFonts w:cs="Tahoma"/>
                <w:sz w:val="16"/>
                <w:szCs w:val="16"/>
                <w:lang w:eastAsia="tr-TR"/>
              </w:rPr>
              <w:t xml:space="preserve">2009 yılında Bakanlar Kuruluna sunulan Yargı Reformu Stratejisi günümüz gerekliliklerine uygun şekilde güncellenecek ve bu doğrultuda yeni bir Eylem Planı hazırlanacaktır.  </w:t>
            </w:r>
          </w:p>
        </w:tc>
      </w:tr>
    </w:tbl>
    <w:p w:rsidR="00565FD5" w:rsidRPr="00B868E2" w:rsidRDefault="00565FD5" w:rsidP="00565FD5">
      <w:pPr>
        <w:keepNext/>
        <w:spacing w:after="180"/>
        <w:ind w:firstLine="425"/>
        <w:outlineLvl w:val="2"/>
        <w:rPr>
          <w:rFonts w:cs="Tahoma"/>
          <w:b/>
          <w:bCs/>
          <w:lang w:eastAsia="tr-TR"/>
        </w:rPr>
      </w:pPr>
    </w:p>
    <w:p w:rsidR="00565FD5" w:rsidRPr="00B868E2" w:rsidRDefault="00565FD5" w:rsidP="00565FD5">
      <w:pPr>
        <w:pStyle w:val="Balk3"/>
      </w:pPr>
      <w:bookmarkStart w:id="3250" w:name="_Toc338494276"/>
      <w:bookmarkStart w:id="3251" w:name="_Toc338505683"/>
      <w:bookmarkStart w:id="3252" w:name="_Toc338523917"/>
      <w:bookmarkStart w:id="3253" w:name="_Toc338524148"/>
      <w:bookmarkStart w:id="3254" w:name="_Toc338526374"/>
      <w:bookmarkStart w:id="3255" w:name="_Toc338673817"/>
      <w:bookmarkStart w:id="3256" w:name="_Toc338711696"/>
      <w:r>
        <w:t>E</w:t>
      </w:r>
      <w:r w:rsidRPr="00B868E2">
        <w:t>. GÜVENLİK HİZMETLERİNİN ETKİNLEŞTİRİLMESİ</w:t>
      </w:r>
      <w:bookmarkEnd w:id="3250"/>
      <w:bookmarkEnd w:id="3251"/>
      <w:bookmarkEnd w:id="3252"/>
      <w:bookmarkEnd w:id="3253"/>
      <w:bookmarkEnd w:id="3254"/>
      <w:bookmarkEnd w:id="3255"/>
      <w:bookmarkEnd w:id="3256"/>
    </w:p>
    <w:p w:rsidR="00565FD5" w:rsidRPr="00B868E2" w:rsidRDefault="00565FD5" w:rsidP="00565FD5">
      <w:pPr>
        <w:pStyle w:val="Balk4"/>
        <w:rPr>
          <w:lang w:eastAsia="tr-TR"/>
        </w:rPr>
      </w:pPr>
      <w:bookmarkStart w:id="3257" w:name="_Toc338505684"/>
      <w:bookmarkStart w:id="3258" w:name="_Toc338523918"/>
      <w:bookmarkStart w:id="3259" w:name="_Toc338524149"/>
      <w:bookmarkStart w:id="3260" w:name="_Toc338526375"/>
      <w:bookmarkStart w:id="3261" w:name="_Toc338673818"/>
      <w:bookmarkStart w:id="3262" w:name="_Toc338711697"/>
      <w:r w:rsidRPr="00B868E2">
        <w:rPr>
          <w:lang w:eastAsia="tr-TR"/>
        </w:rPr>
        <w:t>1. Mevcut Durum</w:t>
      </w:r>
      <w:bookmarkEnd w:id="3257"/>
      <w:bookmarkEnd w:id="3258"/>
      <w:bookmarkEnd w:id="3259"/>
      <w:bookmarkEnd w:id="3260"/>
      <w:bookmarkEnd w:id="3261"/>
      <w:bookmarkEnd w:id="3262"/>
    </w:p>
    <w:p w:rsidR="00565FD5" w:rsidRPr="00B868E2" w:rsidRDefault="00565FD5" w:rsidP="00565FD5">
      <w:pPr>
        <w:spacing w:after="120"/>
        <w:ind w:firstLine="425"/>
        <w:rPr>
          <w:rFonts w:cs="Tahoma"/>
          <w:szCs w:val="18"/>
          <w:lang w:eastAsia="tr-TR"/>
        </w:rPr>
      </w:pPr>
      <w:r w:rsidRPr="00B868E2">
        <w:rPr>
          <w:rFonts w:cs="Tahoma"/>
          <w:szCs w:val="18"/>
          <w:lang w:eastAsia="tr-TR"/>
        </w:rPr>
        <w:t xml:space="preserve">2012 yılında güvenlik konusunda yapılan uluslararası antlaşmalara katılım konusunda önemli adımlar atılmıştır. Avrupa Konseyi Terörizmin Önlenmesi Sözleşmesi Bakanlar Kurulunca onaylanarak sözleşme metni 13/01/2012 tarihli </w:t>
      </w:r>
      <w:r>
        <w:rPr>
          <w:rFonts w:cs="Tahoma"/>
          <w:szCs w:val="18"/>
          <w:lang w:eastAsia="tr-TR"/>
        </w:rPr>
        <w:t>Resmi Gazete'de</w:t>
      </w:r>
      <w:r w:rsidRPr="00B868E2">
        <w:rPr>
          <w:rFonts w:cs="Tahoma"/>
          <w:szCs w:val="18"/>
          <w:lang w:eastAsia="tr-TR"/>
        </w:rPr>
        <w:t xml:space="preserve"> yayımlanmıştır. Nükleer Terörizmin Önlenmesine İlişkin Uluslararası Sözleşme ise Bakanlar Kurulunca onaylanarak 08/05/2012 tarihli </w:t>
      </w:r>
      <w:r>
        <w:rPr>
          <w:rFonts w:cs="Tahoma"/>
          <w:szCs w:val="18"/>
          <w:lang w:eastAsia="tr-TR"/>
        </w:rPr>
        <w:t>Resmi Gazete'de</w:t>
      </w:r>
      <w:r w:rsidRPr="00B868E2">
        <w:rPr>
          <w:rFonts w:cs="Tahoma"/>
          <w:szCs w:val="18"/>
          <w:lang w:eastAsia="tr-TR"/>
        </w:rPr>
        <w:t xml:space="preserve"> yayımlanmıştır. </w:t>
      </w:r>
    </w:p>
    <w:p w:rsidR="00565FD5" w:rsidRPr="00B868E2" w:rsidRDefault="00565FD5" w:rsidP="00565FD5">
      <w:pPr>
        <w:spacing w:after="120"/>
        <w:ind w:firstLine="425"/>
        <w:rPr>
          <w:rFonts w:cs="Tahoma"/>
          <w:szCs w:val="18"/>
          <w:lang w:eastAsia="tr-TR"/>
        </w:rPr>
      </w:pPr>
      <w:r w:rsidRPr="00B868E2">
        <w:rPr>
          <w:rFonts w:cs="Tahoma"/>
          <w:szCs w:val="18"/>
          <w:lang w:eastAsia="tr-TR"/>
        </w:rPr>
        <w:t xml:space="preserve">2012 yılı Temmuz ayında çıkartılan bir kanunla, 30/10/2007 tarihinde Brüksel’de imzalanan Avrupa Uyuşturucu ve Uyuşturucu Bağımlılığını İzleme Merkezinin Çalışmalarına Türkiye Cumhuriyeti’nin Katılımı ile İlgili Olarak Avrupa Topluluğu ve Türkiye Cumhuriyeti Arasında Yapılan Anlaşmanın onaylanması uygun bulunmuştur.       </w:t>
      </w:r>
    </w:p>
    <w:p w:rsidR="00565FD5" w:rsidRPr="00B868E2" w:rsidRDefault="00565FD5" w:rsidP="00565FD5">
      <w:pPr>
        <w:spacing w:after="120"/>
        <w:ind w:firstLine="425"/>
        <w:rPr>
          <w:rFonts w:cs="Tahoma"/>
          <w:szCs w:val="18"/>
          <w:lang w:eastAsia="tr-TR"/>
        </w:rPr>
      </w:pPr>
      <w:r w:rsidRPr="00B868E2">
        <w:rPr>
          <w:rFonts w:cs="Tahoma"/>
          <w:szCs w:val="18"/>
          <w:lang w:eastAsia="tr-TR"/>
        </w:rPr>
        <w:t xml:space="preserve">Uluslararası terörizmle mücadelede önemli rol oynayacak olan Terörün Finansmanının Önlenmesi Hakkındaki Kanun Tasarısı TBMM’ye sunulmuştur. Terör örgütlerinin finans kaynaklarıyla mücadele amacıyla Terörün Finansmanıyla Mücadele Eylem Planı 23/03/2012 tarihli Başbakanlık Oluruyla yürürlüğe girmiştir.    </w:t>
      </w:r>
    </w:p>
    <w:p w:rsidR="00565FD5" w:rsidRPr="00B868E2" w:rsidRDefault="00565FD5" w:rsidP="00565FD5">
      <w:pPr>
        <w:spacing w:after="120"/>
        <w:ind w:firstLine="425"/>
        <w:rPr>
          <w:rFonts w:cs="Tahoma"/>
          <w:szCs w:val="18"/>
          <w:lang w:eastAsia="tr-TR"/>
        </w:rPr>
      </w:pPr>
      <w:r w:rsidRPr="00B868E2">
        <w:rPr>
          <w:rFonts w:cs="Tahoma"/>
          <w:szCs w:val="18"/>
          <w:lang w:eastAsia="tr-TR"/>
        </w:rPr>
        <w:t xml:space="preserve">Suç işlenmesinin önlenmesi ve işlenen suçların faillerinin yakalanması konusunda büyük yararları olan MOBESE sistemi Ekim 2012 itibarıyla 80 il merkezinde faaliyete geçmiş olup Kocaeli ilinde kurulum aşamasındadır. Sistem 64 ilçede kurulmuş olup </w:t>
      </w:r>
      <w:r>
        <w:rPr>
          <w:rFonts w:cs="Tahoma"/>
          <w:szCs w:val="18"/>
          <w:lang w:eastAsia="tr-TR"/>
        </w:rPr>
        <w:t xml:space="preserve">46 </w:t>
      </w:r>
      <w:r w:rsidRPr="00B868E2">
        <w:rPr>
          <w:rFonts w:cs="Tahoma"/>
          <w:szCs w:val="18"/>
          <w:lang w:eastAsia="tr-TR"/>
        </w:rPr>
        <w:t>ilçede kurul</w:t>
      </w:r>
      <w:r>
        <w:rPr>
          <w:rFonts w:cs="Tahoma"/>
          <w:szCs w:val="18"/>
          <w:lang w:eastAsia="tr-TR"/>
        </w:rPr>
        <w:t>umu devam etmekte, 14 ilçede ise sözleşme aşamasındadır</w:t>
      </w:r>
      <w:r w:rsidRPr="00B868E2">
        <w:rPr>
          <w:rFonts w:cs="Tahoma"/>
          <w:szCs w:val="18"/>
          <w:lang w:eastAsia="tr-TR"/>
        </w:rPr>
        <w:t xml:space="preserve">. </w:t>
      </w:r>
    </w:p>
    <w:p w:rsidR="00565FD5" w:rsidRPr="00B868E2" w:rsidRDefault="00565FD5" w:rsidP="00565FD5">
      <w:pPr>
        <w:spacing w:after="120"/>
        <w:ind w:firstLine="425"/>
        <w:rPr>
          <w:rFonts w:cs="Tahoma"/>
          <w:szCs w:val="18"/>
          <w:lang w:eastAsia="tr-TR"/>
        </w:rPr>
      </w:pPr>
      <w:r w:rsidRPr="00B868E2">
        <w:rPr>
          <w:rFonts w:cs="Tahoma"/>
          <w:szCs w:val="18"/>
          <w:lang w:eastAsia="tr-TR"/>
        </w:rPr>
        <w:lastRenderedPageBreak/>
        <w:t>Birden fazla olan acil çağrı numaralarının, Avrupa ülkelerinde olduğu gibi tek numara (112) altında toplanması için İçişleri Bakanlığının koordinatörlüğünde yürütülen Acil Çağrı Merkezleri Projesinde önemli mesafeler alınmıştır. Ekim 2012 itibarıyla bu proje, pilot iller olan Antalya ve Isparta’da tamamlanmıştır. 10 il (Afyonkarahisar, Aksaray, Burdur, Denizli, Karaman, Kırıkkale, Kırşehir, Konya, Mersin ve Niğde) için teknik altyapı kurulum işi 2012 yılı Temmuz ayında başlatılmış olup 2013 yılı Mayıs ayına kadar faaliyete geçirilmesi planlanmaktadır.</w:t>
      </w:r>
    </w:p>
    <w:p w:rsidR="00565FD5" w:rsidRPr="00B868E2" w:rsidRDefault="00565FD5" w:rsidP="00565FD5">
      <w:pPr>
        <w:spacing w:after="120"/>
        <w:ind w:firstLine="425"/>
        <w:rPr>
          <w:rFonts w:cs="Tahoma"/>
          <w:szCs w:val="18"/>
          <w:lang w:eastAsia="tr-TR"/>
        </w:rPr>
      </w:pPr>
      <w:r w:rsidRPr="00B868E2">
        <w:rPr>
          <w:rFonts w:cs="Tahoma"/>
          <w:szCs w:val="18"/>
          <w:lang w:eastAsia="tr-TR"/>
        </w:rPr>
        <w:t xml:space="preserve">Toplumun huzurunu bozan, korku ve endişeye neden olan suçların başında gelen asayiş suçlarıyla mücadele için 81 ilde Güven Timleri ve Yıldırım Ekipleri kurulmuş olup kapkaç suçu toplumun gündeminden çıkartılmıştır. </w:t>
      </w:r>
      <w:r w:rsidRPr="00B868E2">
        <w:rPr>
          <w:rFonts w:cs="Tahoma"/>
          <w:szCs w:val="18"/>
          <w:lang w:eastAsia="tr-TR"/>
        </w:rPr>
        <w:tab/>
        <w:t xml:space="preserve">   </w:t>
      </w:r>
    </w:p>
    <w:p w:rsidR="00565FD5" w:rsidRPr="00B868E2" w:rsidRDefault="00565FD5" w:rsidP="00565FD5">
      <w:pPr>
        <w:pStyle w:val="Balk4"/>
        <w:rPr>
          <w:lang w:eastAsia="tr-TR"/>
        </w:rPr>
      </w:pPr>
      <w:bookmarkStart w:id="3263" w:name="_Toc338505685"/>
      <w:bookmarkStart w:id="3264" w:name="_Toc338523919"/>
      <w:bookmarkStart w:id="3265" w:name="_Toc338524150"/>
      <w:bookmarkStart w:id="3266" w:name="_Toc338526376"/>
      <w:bookmarkStart w:id="3267" w:name="_Toc338673819"/>
      <w:bookmarkStart w:id="3268" w:name="_Toc338711698"/>
      <w:r w:rsidRPr="00B868E2">
        <w:rPr>
          <w:lang w:eastAsia="tr-TR"/>
        </w:rPr>
        <w:t>2. Temel Amaç ve Hedefler</w:t>
      </w:r>
      <w:bookmarkEnd w:id="3263"/>
      <w:bookmarkEnd w:id="3264"/>
      <w:bookmarkEnd w:id="3265"/>
      <w:bookmarkEnd w:id="3266"/>
      <w:bookmarkEnd w:id="3267"/>
      <w:bookmarkEnd w:id="3268"/>
    </w:p>
    <w:p w:rsidR="00565FD5" w:rsidRDefault="00565FD5" w:rsidP="00565FD5">
      <w:pPr>
        <w:spacing w:after="120"/>
        <w:ind w:firstLine="425"/>
        <w:rPr>
          <w:rFonts w:cs="Tahoma"/>
          <w:szCs w:val="18"/>
          <w:lang w:eastAsia="tr-TR"/>
        </w:rPr>
      </w:pPr>
      <w:r w:rsidRPr="00B868E2">
        <w:rPr>
          <w:rFonts w:cs="Tahoma"/>
          <w:szCs w:val="18"/>
          <w:lang w:eastAsia="tr-TR"/>
        </w:rPr>
        <w:t>Demokratik değerleri ve insan haklarını koruyucu, özgürlük için güvenlik yaklaşımıyla toplumun desteğini ve katılımını sağlayan bir güvenlik hizmetinin sunulması temel amaçtır. Bu kapsamda; başta terör ve terörizmin finansmanı olmak üzere, yasa dışı göç hareketleri, organize ve mali suçlar, bilişim suçları, uyuşturucu kullanımı ve ticaretiyle etkin bir şekilde mücadele edilmesine ve sınır güvenliğinin yeniden yapılandırılmasına yönelik çalışmalara devam edilecektir.</w:t>
      </w:r>
    </w:p>
    <w:p w:rsidR="00565FD5" w:rsidRPr="00B868E2" w:rsidRDefault="00565FD5" w:rsidP="00565FD5">
      <w:pPr>
        <w:pStyle w:val="Balk4"/>
        <w:rPr>
          <w:lang w:eastAsia="tr-TR"/>
        </w:rPr>
      </w:pPr>
      <w:bookmarkStart w:id="3269" w:name="_Toc338505686"/>
      <w:bookmarkStart w:id="3270" w:name="_Toc338523920"/>
      <w:bookmarkStart w:id="3271" w:name="_Toc338524151"/>
      <w:bookmarkStart w:id="3272" w:name="_Toc338526377"/>
      <w:bookmarkStart w:id="3273" w:name="_Toc338673820"/>
      <w:bookmarkStart w:id="3274" w:name="_Toc338711699"/>
      <w:r w:rsidRPr="00B868E2">
        <w:rPr>
          <w:lang w:eastAsia="tr-TR"/>
        </w:rPr>
        <w:t>3. Politika Öncelikleri ve Tedbirler</w:t>
      </w:r>
      <w:bookmarkEnd w:id="3269"/>
      <w:bookmarkEnd w:id="3270"/>
      <w:bookmarkEnd w:id="3271"/>
      <w:bookmarkEnd w:id="3272"/>
      <w:bookmarkEnd w:id="3273"/>
      <w:bookmarkEnd w:id="3274"/>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2"/>
        <w:gridCol w:w="1896"/>
        <w:gridCol w:w="623"/>
        <w:gridCol w:w="2823"/>
      </w:tblGrid>
      <w:tr w:rsidR="00565FD5" w:rsidRPr="00B868E2" w:rsidTr="00AB62A3">
        <w:trPr>
          <w:trHeight w:val="567"/>
          <w:jc w:val="center"/>
        </w:trPr>
        <w:tc>
          <w:tcPr>
            <w:tcW w:w="1164" w:type="pct"/>
            <w:vAlign w:val="bottom"/>
          </w:tcPr>
          <w:p w:rsidR="00565FD5" w:rsidRPr="00B868E2" w:rsidRDefault="00565FD5" w:rsidP="00AB62A3">
            <w:pPr>
              <w:spacing w:before="20" w:after="20"/>
              <w:rPr>
                <w:rFonts w:cs="Tahoma"/>
                <w:b/>
                <w:sz w:val="16"/>
                <w:szCs w:val="16"/>
                <w:lang w:eastAsia="tr-TR"/>
              </w:rPr>
            </w:pPr>
            <w:r w:rsidRPr="00B868E2">
              <w:rPr>
                <w:rFonts w:cs="Tahoma"/>
                <w:b/>
                <w:sz w:val="16"/>
                <w:szCs w:val="16"/>
                <w:lang w:eastAsia="tr-TR"/>
              </w:rPr>
              <w:t xml:space="preserve">Öncelik / Tedbir </w:t>
            </w:r>
          </w:p>
        </w:tc>
        <w:tc>
          <w:tcPr>
            <w:tcW w:w="1360" w:type="pct"/>
            <w:vAlign w:val="bottom"/>
          </w:tcPr>
          <w:p w:rsidR="00565FD5" w:rsidRPr="00B868E2" w:rsidRDefault="00565FD5" w:rsidP="00AB62A3">
            <w:pPr>
              <w:spacing w:before="20" w:after="20"/>
              <w:rPr>
                <w:rFonts w:cs="Tahoma"/>
                <w:b/>
                <w:sz w:val="16"/>
                <w:szCs w:val="16"/>
                <w:lang w:eastAsia="tr-TR"/>
              </w:rPr>
            </w:pPr>
            <w:r w:rsidRPr="00B868E2">
              <w:rPr>
                <w:rFonts w:cs="Tahoma"/>
                <w:b/>
                <w:sz w:val="16"/>
                <w:szCs w:val="16"/>
                <w:lang w:eastAsia="tr-TR"/>
              </w:rPr>
              <w:t>Sorumlu/ İşbirliği Yapılacak Kuruluşlar</w:t>
            </w:r>
          </w:p>
        </w:tc>
        <w:tc>
          <w:tcPr>
            <w:tcW w:w="468" w:type="pct"/>
            <w:vAlign w:val="bottom"/>
          </w:tcPr>
          <w:p w:rsidR="00565FD5" w:rsidRPr="00B868E2" w:rsidRDefault="00565FD5" w:rsidP="00AB62A3">
            <w:pPr>
              <w:spacing w:before="20" w:after="20"/>
              <w:rPr>
                <w:rFonts w:cs="Tahoma"/>
                <w:b/>
                <w:sz w:val="16"/>
                <w:szCs w:val="16"/>
                <w:lang w:eastAsia="tr-TR"/>
              </w:rPr>
            </w:pPr>
            <w:r w:rsidRPr="00B868E2">
              <w:rPr>
                <w:rFonts w:cs="Tahoma"/>
                <w:b/>
                <w:sz w:val="16"/>
                <w:szCs w:val="16"/>
                <w:lang w:eastAsia="tr-TR"/>
              </w:rPr>
              <w:t>Süre</w:t>
            </w:r>
          </w:p>
        </w:tc>
        <w:tc>
          <w:tcPr>
            <w:tcW w:w="2008" w:type="pct"/>
            <w:vAlign w:val="bottom"/>
          </w:tcPr>
          <w:p w:rsidR="00565FD5" w:rsidRPr="00B868E2" w:rsidRDefault="00565FD5" w:rsidP="00AB62A3">
            <w:pPr>
              <w:spacing w:before="20" w:after="20"/>
              <w:rPr>
                <w:rFonts w:cs="Tahoma"/>
                <w:b/>
                <w:sz w:val="16"/>
                <w:szCs w:val="16"/>
                <w:lang w:eastAsia="tr-TR"/>
              </w:rPr>
            </w:pPr>
            <w:r w:rsidRPr="00B868E2">
              <w:rPr>
                <w:rFonts w:cs="Tahoma"/>
                <w:b/>
                <w:sz w:val="16"/>
                <w:szCs w:val="16"/>
                <w:lang w:eastAsia="tr-TR"/>
              </w:rPr>
              <w:t xml:space="preserve">Yapılacak İşlem ve Açıklama </w:t>
            </w:r>
          </w:p>
        </w:tc>
      </w:tr>
      <w:tr w:rsidR="00565FD5" w:rsidRPr="00B868E2" w:rsidTr="00AB62A3">
        <w:trPr>
          <w:trHeight w:val="20"/>
          <w:jc w:val="center"/>
        </w:trPr>
        <w:tc>
          <w:tcPr>
            <w:tcW w:w="5000" w:type="pct"/>
            <w:gridSpan w:val="4"/>
          </w:tcPr>
          <w:p w:rsidR="00565FD5" w:rsidRPr="00B868E2" w:rsidRDefault="00565FD5" w:rsidP="00EB1E69">
            <w:pPr>
              <w:numPr>
                <w:ilvl w:val="0"/>
                <w:numId w:val="15"/>
              </w:numPr>
              <w:spacing w:before="20" w:after="20" w:line="240" w:lineRule="auto"/>
              <w:jc w:val="both"/>
              <w:rPr>
                <w:rFonts w:cs="Tahoma"/>
                <w:sz w:val="16"/>
                <w:szCs w:val="16"/>
                <w:lang w:eastAsia="tr-TR"/>
              </w:rPr>
            </w:pPr>
            <w:r w:rsidRPr="00B868E2">
              <w:rPr>
                <w:rFonts w:cs="Tahoma"/>
                <w:b/>
                <w:sz w:val="16"/>
                <w:szCs w:val="16"/>
                <w:lang w:eastAsia="tr-TR"/>
              </w:rPr>
              <w:t xml:space="preserve">Koruyucu ve önleyici kolluk hizmetleri ile istihbarat faaliyetleri güçlendirilecek, güvenlik amaçlı haberleşme imkânları ve </w:t>
            </w:r>
            <w:r>
              <w:rPr>
                <w:rFonts w:cs="Tahoma"/>
                <w:b/>
                <w:sz w:val="16"/>
                <w:szCs w:val="16"/>
                <w:lang w:eastAsia="tr-TR"/>
              </w:rPr>
              <w:t>kriminal altyapı geliştirilecek</w:t>
            </w:r>
            <w:r w:rsidRPr="00B868E2">
              <w:rPr>
                <w:rFonts w:cs="Tahoma"/>
                <w:b/>
                <w:sz w:val="16"/>
                <w:szCs w:val="16"/>
                <w:lang w:eastAsia="tr-TR"/>
              </w:rPr>
              <w:t xml:space="preserve"> </w:t>
            </w:r>
            <w:r>
              <w:rPr>
                <w:rFonts w:cs="Tahoma"/>
                <w:b/>
                <w:sz w:val="16"/>
                <w:szCs w:val="16"/>
                <w:lang w:eastAsia="tr-TR"/>
              </w:rPr>
              <w:t xml:space="preserve">ve </w:t>
            </w:r>
            <w:r w:rsidRPr="00B868E2">
              <w:rPr>
                <w:rFonts w:cs="Tahoma"/>
                <w:b/>
                <w:sz w:val="16"/>
                <w:szCs w:val="16"/>
                <w:lang w:eastAsia="tr-TR"/>
              </w:rPr>
              <w:t>güvenlik güçleri arasında koordinasyon etkin bir şekilde sağlanacaktır.</w:t>
            </w:r>
          </w:p>
        </w:tc>
      </w:tr>
      <w:tr w:rsidR="00565FD5" w:rsidRPr="00B868E2" w:rsidTr="00AB62A3">
        <w:trPr>
          <w:trHeight w:val="20"/>
          <w:jc w:val="center"/>
        </w:trPr>
        <w:tc>
          <w:tcPr>
            <w:tcW w:w="1164" w:type="pct"/>
          </w:tcPr>
          <w:p w:rsidR="00565FD5" w:rsidRPr="00B868E2" w:rsidRDefault="00565FD5" w:rsidP="00EB1E69">
            <w:pPr>
              <w:numPr>
                <w:ilvl w:val="0"/>
                <w:numId w:val="14"/>
              </w:numPr>
              <w:spacing w:before="20" w:after="20" w:line="240" w:lineRule="auto"/>
              <w:rPr>
                <w:rFonts w:cs="Tahoma"/>
                <w:sz w:val="16"/>
                <w:szCs w:val="16"/>
                <w:lang w:eastAsia="tr-TR"/>
              </w:rPr>
            </w:pPr>
            <w:r w:rsidRPr="00B868E2">
              <w:rPr>
                <w:rFonts w:cs="Tahoma"/>
                <w:sz w:val="16"/>
                <w:szCs w:val="16"/>
                <w:lang w:eastAsia="tr-TR"/>
              </w:rPr>
              <w:t>Toplum destekli asayiş hizmeti sunumu için ihtiyaç duyulan hukuki ve kurumsal altyapının oluşturulması çalışmalarına devam edilecektir.</w:t>
            </w:r>
          </w:p>
          <w:p w:rsidR="00565FD5" w:rsidRPr="00B868E2" w:rsidRDefault="00565FD5" w:rsidP="00AB62A3">
            <w:pPr>
              <w:tabs>
                <w:tab w:val="left" w:pos="563"/>
              </w:tabs>
              <w:spacing w:before="20" w:after="20"/>
              <w:ind w:firstLine="425"/>
              <w:rPr>
                <w:rFonts w:cs="Tahoma"/>
                <w:sz w:val="16"/>
                <w:szCs w:val="16"/>
                <w:lang w:eastAsia="tr-TR"/>
              </w:rPr>
            </w:pPr>
          </w:p>
        </w:tc>
        <w:tc>
          <w:tcPr>
            <w:tcW w:w="1360" w:type="pct"/>
          </w:tcPr>
          <w:p w:rsidR="00565FD5" w:rsidRPr="00B868E2" w:rsidRDefault="00565FD5" w:rsidP="00AB62A3">
            <w:pPr>
              <w:spacing w:before="20" w:after="20"/>
              <w:rPr>
                <w:rFonts w:cs="Tahoma"/>
                <w:sz w:val="16"/>
                <w:szCs w:val="16"/>
                <w:lang w:eastAsia="tr-TR"/>
              </w:rPr>
            </w:pPr>
            <w:r w:rsidRPr="00B868E2">
              <w:rPr>
                <w:rFonts w:cs="Tahoma"/>
                <w:sz w:val="16"/>
                <w:szCs w:val="16"/>
                <w:lang w:eastAsia="tr-TR"/>
              </w:rPr>
              <w:t>İçişleri Bakanlığı (S),</w:t>
            </w:r>
            <w:r>
              <w:rPr>
                <w:rFonts w:cs="Tahoma"/>
                <w:sz w:val="16"/>
                <w:szCs w:val="16"/>
                <w:lang w:eastAsia="tr-TR"/>
              </w:rPr>
              <w:t xml:space="preserve"> </w:t>
            </w:r>
            <w:r w:rsidRPr="00B868E2">
              <w:rPr>
                <w:rFonts w:cs="Tahoma"/>
                <w:sz w:val="16"/>
                <w:szCs w:val="16"/>
                <w:lang w:eastAsia="tr-TR"/>
              </w:rPr>
              <w:t>Emniyet Genel Müdürlüğü, Jandarma Genel Komutanlığı, İlgili İl Özel İdareleri</w:t>
            </w:r>
          </w:p>
        </w:tc>
        <w:tc>
          <w:tcPr>
            <w:tcW w:w="468" w:type="pct"/>
          </w:tcPr>
          <w:p w:rsidR="00565FD5" w:rsidRPr="00B868E2" w:rsidRDefault="00565FD5" w:rsidP="00AB62A3">
            <w:pPr>
              <w:spacing w:before="20" w:after="20"/>
              <w:rPr>
                <w:rFonts w:cs="Tahoma"/>
                <w:sz w:val="16"/>
                <w:szCs w:val="16"/>
                <w:lang w:eastAsia="tr-TR"/>
              </w:rPr>
            </w:pPr>
            <w:r w:rsidRPr="00B868E2">
              <w:rPr>
                <w:rFonts w:cs="Tahoma"/>
                <w:sz w:val="16"/>
                <w:szCs w:val="16"/>
                <w:lang w:eastAsia="tr-TR"/>
              </w:rPr>
              <w:t>Aralık Sonu</w:t>
            </w:r>
          </w:p>
        </w:tc>
        <w:tc>
          <w:tcPr>
            <w:tcW w:w="2008" w:type="pct"/>
          </w:tcPr>
          <w:p w:rsidR="00565FD5" w:rsidRPr="00B868E2" w:rsidRDefault="00565FD5" w:rsidP="00AB62A3">
            <w:pPr>
              <w:spacing w:before="20" w:after="20"/>
              <w:rPr>
                <w:rFonts w:cs="Tahoma"/>
                <w:sz w:val="16"/>
                <w:szCs w:val="16"/>
                <w:lang w:eastAsia="tr-TR"/>
              </w:rPr>
            </w:pPr>
            <w:r w:rsidRPr="00B868E2">
              <w:rPr>
                <w:rFonts w:cs="Tahoma"/>
                <w:sz w:val="16"/>
                <w:szCs w:val="16"/>
                <w:lang w:eastAsia="tr-TR"/>
              </w:rPr>
              <w:t xml:space="preserve">Kentlerde kurulumu tamamlanan MOBESE sisteminin turizm potansiyeline sahip ilçelerle terör olaylarının yaşandığı ilçelere öncelik verilmek üzere ülke geneline yaygınlaştırılmasına yönelik çalışmalara, valilikler ve il özel idareleriyle koordineli olarak devam edilecektir. Kadın, çocuk, engelli ve yaşlıların güvenlik sistemine erişiminin kolaylaştırılmasına devam edilecektir. Toplum Destekli Güvenlik Hizmeti kapsamında, İl Jandarma Komutanlıkları Çocuk ve Kadın Kısım Amirlikleri tarafından, kadına yönelik şiddetin önlenmesi ve çocukların suçtan korunması amacıyla, belde, köy ve mahallelerde bilgilendirme ve bilinçlendirme çalışmalarına devam edilecektir. 2013 yılında, 10 ile ilaveten, Acil Çağrı Sisteminin (112) 15 ilde daha hizmete alınması için gerekli olan teknolojik ve kurumsal altyapı çalışmalarına devam edilecektir. Bu alanda gerekli hukuki altyapı oluşturulacaktır.      </w:t>
            </w:r>
          </w:p>
        </w:tc>
      </w:tr>
      <w:tr w:rsidR="00565FD5" w:rsidRPr="00B868E2" w:rsidTr="00AB62A3">
        <w:tblPrEx>
          <w:tblCellMar>
            <w:left w:w="70" w:type="dxa"/>
            <w:right w:w="70" w:type="dxa"/>
          </w:tblCellMar>
        </w:tblPrEx>
        <w:trPr>
          <w:trHeight w:val="20"/>
          <w:jc w:val="center"/>
        </w:trPr>
        <w:tc>
          <w:tcPr>
            <w:tcW w:w="1164" w:type="pct"/>
          </w:tcPr>
          <w:p w:rsidR="00565FD5" w:rsidRPr="00B868E2" w:rsidRDefault="00565FD5" w:rsidP="00EB1E69">
            <w:pPr>
              <w:numPr>
                <w:ilvl w:val="0"/>
                <w:numId w:val="14"/>
              </w:numPr>
              <w:tabs>
                <w:tab w:val="left" w:pos="563"/>
              </w:tabs>
              <w:spacing w:before="20" w:after="20" w:line="240" w:lineRule="auto"/>
              <w:rPr>
                <w:rFonts w:cs="Tahoma"/>
                <w:sz w:val="16"/>
                <w:szCs w:val="16"/>
              </w:rPr>
            </w:pPr>
            <w:r w:rsidRPr="00B868E2">
              <w:rPr>
                <w:rFonts w:cs="Tahoma"/>
                <w:sz w:val="16"/>
                <w:szCs w:val="16"/>
              </w:rPr>
              <w:t>Önleyici kolluk güçlerinin teknolojik altyapısının güçlendirilmesi çalışmalarına devam edilecektir.</w:t>
            </w:r>
          </w:p>
        </w:tc>
        <w:tc>
          <w:tcPr>
            <w:tcW w:w="1360" w:type="pct"/>
          </w:tcPr>
          <w:p w:rsidR="00565FD5" w:rsidRPr="00B868E2" w:rsidRDefault="00565FD5" w:rsidP="00AB62A3">
            <w:pPr>
              <w:spacing w:before="20" w:after="20"/>
              <w:rPr>
                <w:rFonts w:cs="Tahoma"/>
                <w:sz w:val="16"/>
                <w:szCs w:val="16"/>
                <w:lang w:eastAsia="tr-TR"/>
              </w:rPr>
            </w:pPr>
            <w:r w:rsidRPr="00B868E2">
              <w:rPr>
                <w:rFonts w:cs="Tahoma"/>
                <w:sz w:val="16"/>
                <w:szCs w:val="16"/>
                <w:lang w:eastAsia="tr-TR"/>
              </w:rPr>
              <w:t>İçişleri Bakanlığı (S), MİT Müsteşarlığı, Kamu Düzeni ve Güvenliği Müsteşarlığı, Emniyet Genel Müdürlüğü, Jandarma Genel Komutanlığı</w:t>
            </w:r>
          </w:p>
        </w:tc>
        <w:tc>
          <w:tcPr>
            <w:tcW w:w="468" w:type="pct"/>
          </w:tcPr>
          <w:p w:rsidR="00565FD5" w:rsidRPr="00B868E2" w:rsidRDefault="00565FD5" w:rsidP="00AB62A3">
            <w:pPr>
              <w:spacing w:before="20" w:after="20"/>
              <w:rPr>
                <w:rFonts w:cs="Tahoma"/>
                <w:sz w:val="16"/>
                <w:szCs w:val="16"/>
                <w:lang w:eastAsia="tr-TR"/>
              </w:rPr>
            </w:pPr>
            <w:r w:rsidRPr="00B868E2">
              <w:rPr>
                <w:rFonts w:cs="Tahoma"/>
                <w:sz w:val="16"/>
                <w:szCs w:val="16"/>
                <w:lang w:eastAsia="tr-TR"/>
              </w:rPr>
              <w:t>Aralık Sonu</w:t>
            </w:r>
          </w:p>
        </w:tc>
        <w:tc>
          <w:tcPr>
            <w:tcW w:w="2008" w:type="pct"/>
          </w:tcPr>
          <w:p w:rsidR="00565FD5" w:rsidRPr="00B868E2" w:rsidRDefault="00565FD5" w:rsidP="00AB62A3">
            <w:pPr>
              <w:spacing w:before="20" w:after="20"/>
              <w:rPr>
                <w:rFonts w:cs="Tahoma"/>
                <w:sz w:val="16"/>
                <w:szCs w:val="16"/>
                <w:lang w:eastAsia="tr-TR"/>
              </w:rPr>
            </w:pPr>
            <w:r w:rsidRPr="00B868E2">
              <w:rPr>
                <w:rFonts w:cs="Tahoma"/>
                <w:sz w:val="16"/>
                <w:szCs w:val="16"/>
                <w:lang w:eastAsia="tr-TR"/>
              </w:rPr>
              <w:t xml:space="preserve">İstihbarat birimlerinin teknolojik altyapısının güçlendirilmesi amacıyla ihtiyaç duyulan sistemlerin tedarikine devam edilecektir.      </w:t>
            </w:r>
          </w:p>
        </w:tc>
      </w:tr>
      <w:tr w:rsidR="00565FD5" w:rsidRPr="00B868E2" w:rsidTr="00AB62A3">
        <w:tblPrEx>
          <w:tblCellMar>
            <w:left w:w="70" w:type="dxa"/>
            <w:right w:w="70" w:type="dxa"/>
          </w:tblCellMar>
        </w:tblPrEx>
        <w:trPr>
          <w:trHeight w:val="20"/>
          <w:jc w:val="center"/>
        </w:trPr>
        <w:tc>
          <w:tcPr>
            <w:tcW w:w="1164" w:type="pct"/>
          </w:tcPr>
          <w:p w:rsidR="00565FD5" w:rsidRPr="00B868E2" w:rsidRDefault="00565FD5" w:rsidP="00EB1E69">
            <w:pPr>
              <w:numPr>
                <w:ilvl w:val="0"/>
                <w:numId w:val="14"/>
              </w:numPr>
              <w:spacing w:before="20" w:after="20" w:line="240" w:lineRule="auto"/>
              <w:rPr>
                <w:rFonts w:cs="Tahoma"/>
                <w:sz w:val="16"/>
                <w:szCs w:val="16"/>
                <w:lang w:eastAsia="tr-TR"/>
              </w:rPr>
            </w:pPr>
            <w:r w:rsidRPr="00B868E2">
              <w:rPr>
                <w:rFonts w:cs="Tahoma"/>
                <w:sz w:val="16"/>
                <w:szCs w:val="16"/>
                <w:lang w:eastAsia="tr-TR"/>
              </w:rPr>
              <w:t xml:space="preserve">Kriminal </w:t>
            </w:r>
            <w:r w:rsidRPr="00B868E2">
              <w:rPr>
                <w:rFonts w:cs="Tahoma"/>
                <w:sz w:val="16"/>
                <w:szCs w:val="16"/>
                <w:lang w:eastAsia="tr-TR"/>
              </w:rPr>
              <w:lastRenderedPageBreak/>
              <w:t>altyapının modernleştirilmesi çalışmalarına devam edilecektir.</w:t>
            </w:r>
          </w:p>
          <w:p w:rsidR="00565FD5" w:rsidRPr="00B868E2" w:rsidRDefault="00565FD5" w:rsidP="00AB62A3">
            <w:pPr>
              <w:tabs>
                <w:tab w:val="left" w:pos="563"/>
              </w:tabs>
              <w:spacing w:before="20" w:after="20"/>
              <w:ind w:firstLine="425"/>
              <w:rPr>
                <w:rFonts w:cs="Tahoma"/>
                <w:sz w:val="16"/>
                <w:szCs w:val="16"/>
                <w:lang w:eastAsia="tr-TR"/>
              </w:rPr>
            </w:pPr>
            <w:r w:rsidRPr="00B868E2">
              <w:rPr>
                <w:rFonts w:cs="Tahoma"/>
                <w:sz w:val="16"/>
                <w:szCs w:val="16"/>
                <w:lang w:eastAsia="tr-TR"/>
              </w:rPr>
              <w:t xml:space="preserve">   </w:t>
            </w:r>
          </w:p>
        </w:tc>
        <w:tc>
          <w:tcPr>
            <w:tcW w:w="1360" w:type="pct"/>
          </w:tcPr>
          <w:p w:rsidR="00565FD5" w:rsidRPr="00B868E2" w:rsidRDefault="00565FD5" w:rsidP="00AB62A3">
            <w:pPr>
              <w:spacing w:before="20" w:after="20"/>
              <w:rPr>
                <w:rFonts w:cs="Tahoma"/>
                <w:sz w:val="16"/>
                <w:szCs w:val="16"/>
                <w:lang w:eastAsia="tr-TR"/>
              </w:rPr>
            </w:pPr>
            <w:r w:rsidRPr="00B868E2">
              <w:rPr>
                <w:rFonts w:cs="Tahoma"/>
                <w:sz w:val="16"/>
                <w:szCs w:val="16"/>
                <w:lang w:eastAsia="tr-TR"/>
              </w:rPr>
              <w:lastRenderedPageBreak/>
              <w:t xml:space="preserve">İçişleri Bakanlığı (S), </w:t>
            </w:r>
            <w:r w:rsidRPr="00B868E2">
              <w:rPr>
                <w:rFonts w:cs="Tahoma"/>
                <w:sz w:val="16"/>
                <w:szCs w:val="16"/>
                <w:lang w:eastAsia="tr-TR"/>
              </w:rPr>
              <w:lastRenderedPageBreak/>
              <w:t>Emniyet Genel Müdürlüğü, Jandarma Genel Komutanlığı</w:t>
            </w:r>
          </w:p>
        </w:tc>
        <w:tc>
          <w:tcPr>
            <w:tcW w:w="468" w:type="pct"/>
          </w:tcPr>
          <w:p w:rsidR="00565FD5" w:rsidRPr="00B868E2" w:rsidRDefault="00565FD5" w:rsidP="00AB62A3">
            <w:pPr>
              <w:spacing w:before="20" w:after="20"/>
              <w:rPr>
                <w:rFonts w:cs="Tahoma"/>
                <w:sz w:val="16"/>
                <w:szCs w:val="16"/>
                <w:lang w:eastAsia="tr-TR"/>
              </w:rPr>
            </w:pPr>
            <w:r w:rsidRPr="00B868E2">
              <w:rPr>
                <w:rFonts w:cs="Tahoma"/>
                <w:sz w:val="16"/>
                <w:szCs w:val="16"/>
                <w:lang w:eastAsia="tr-TR"/>
              </w:rPr>
              <w:lastRenderedPageBreak/>
              <w:t xml:space="preserve">Aralık </w:t>
            </w:r>
            <w:r w:rsidRPr="00B868E2">
              <w:rPr>
                <w:rFonts w:cs="Tahoma"/>
                <w:sz w:val="16"/>
                <w:szCs w:val="16"/>
                <w:lang w:eastAsia="tr-TR"/>
              </w:rPr>
              <w:lastRenderedPageBreak/>
              <w:t>Sonu</w:t>
            </w:r>
          </w:p>
        </w:tc>
        <w:tc>
          <w:tcPr>
            <w:tcW w:w="2008" w:type="pct"/>
          </w:tcPr>
          <w:p w:rsidR="00565FD5" w:rsidRPr="00B868E2" w:rsidRDefault="00565FD5" w:rsidP="00AB62A3">
            <w:pPr>
              <w:spacing w:before="20" w:after="20"/>
              <w:rPr>
                <w:rFonts w:cs="Tahoma"/>
                <w:sz w:val="16"/>
                <w:szCs w:val="16"/>
                <w:lang w:eastAsia="tr-TR"/>
              </w:rPr>
            </w:pPr>
            <w:r w:rsidRPr="00B868E2">
              <w:rPr>
                <w:rFonts w:cs="Tahoma"/>
                <w:sz w:val="16"/>
                <w:szCs w:val="16"/>
                <w:lang w:eastAsia="tr-TR"/>
              </w:rPr>
              <w:lastRenderedPageBreak/>
              <w:t xml:space="preserve">Olay Yeri İnceleme Timleri ve Kriminal </w:t>
            </w:r>
            <w:r w:rsidRPr="00B868E2">
              <w:rPr>
                <w:rFonts w:cs="Tahoma"/>
                <w:sz w:val="16"/>
                <w:szCs w:val="16"/>
                <w:lang w:eastAsia="tr-TR"/>
              </w:rPr>
              <w:lastRenderedPageBreak/>
              <w:t xml:space="preserve">Laboratuvarlar için ihtiyaç duyulan malzeme, cihaz ve donanımların öncelikle karşılanmasına devam edilecek ve her türlü teknolojik olanağa sahip yeni modern laboratuvarlar oluşturulacaktır.   </w:t>
            </w:r>
          </w:p>
        </w:tc>
      </w:tr>
      <w:tr w:rsidR="00565FD5" w:rsidRPr="00B868E2" w:rsidTr="00AB62A3">
        <w:tblPrEx>
          <w:tblCellMar>
            <w:left w:w="70" w:type="dxa"/>
            <w:right w:w="70" w:type="dxa"/>
          </w:tblCellMar>
        </w:tblPrEx>
        <w:trPr>
          <w:trHeight w:val="20"/>
          <w:jc w:val="center"/>
        </w:trPr>
        <w:tc>
          <w:tcPr>
            <w:tcW w:w="5000" w:type="pct"/>
            <w:gridSpan w:val="4"/>
          </w:tcPr>
          <w:p w:rsidR="00565FD5" w:rsidRPr="00B868E2" w:rsidRDefault="00565FD5" w:rsidP="00EB1E69">
            <w:pPr>
              <w:numPr>
                <w:ilvl w:val="0"/>
                <w:numId w:val="15"/>
              </w:numPr>
              <w:spacing w:before="20" w:after="20" w:line="240" w:lineRule="auto"/>
              <w:jc w:val="both"/>
              <w:rPr>
                <w:rFonts w:cs="Tahoma"/>
                <w:sz w:val="16"/>
                <w:szCs w:val="16"/>
                <w:lang w:eastAsia="tr-TR"/>
              </w:rPr>
            </w:pPr>
            <w:r w:rsidRPr="00B868E2">
              <w:rPr>
                <w:rFonts w:cs="Tahoma"/>
                <w:b/>
                <w:sz w:val="16"/>
                <w:szCs w:val="16"/>
                <w:lang w:eastAsia="tr-TR"/>
              </w:rPr>
              <w:lastRenderedPageBreak/>
              <w:t>Başta terör ve terörizmin finansmanı olmak üzere, yasa dışı göç hareketleri, organize ve mali suçlar, bilişim suçları, uyuşturucu kullanımı ve ticaretiyle etkin bir şekilde mücadele edilmesine ve</w:t>
            </w:r>
            <w:r>
              <w:rPr>
                <w:rFonts w:cs="Tahoma"/>
                <w:b/>
                <w:sz w:val="16"/>
                <w:szCs w:val="16"/>
                <w:lang w:eastAsia="tr-TR"/>
              </w:rPr>
              <w:t xml:space="preserve"> </w:t>
            </w:r>
            <w:r w:rsidRPr="00D47C68">
              <w:rPr>
                <w:rFonts w:cs="Tahoma"/>
                <w:b/>
                <w:sz w:val="16"/>
                <w:szCs w:val="16"/>
                <w:lang w:eastAsia="tr-TR"/>
              </w:rPr>
              <w:t>sınır güvenliğinin yeniden yapılandırılması çalışmalar</w:t>
            </w:r>
            <w:r>
              <w:rPr>
                <w:rFonts w:cs="Tahoma"/>
                <w:b/>
                <w:sz w:val="16"/>
                <w:szCs w:val="16"/>
                <w:lang w:eastAsia="tr-TR"/>
              </w:rPr>
              <w:t>ına</w:t>
            </w:r>
            <w:r w:rsidRPr="00D47C68">
              <w:rPr>
                <w:rFonts w:cs="Tahoma"/>
                <w:b/>
                <w:sz w:val="16"/>
                <w:szCs w:val="16"/>
                <w:lang w:eastAsia="tr-TR"/>
              </w:rPr>
              <w:t xml:space="preserve"> </w:t>
            </w:r>
            <w:r w:rsidRPr="00B868E2">
              <w:rPr>
                <w:rFonts w:cs="Tahoma"/>
                <w:b/>
                <w:sz w:val="16"/>
                <w:szCs w:val="16"/>
                <w:lang w:eastAsia="tr-TR"/>
              </w:rPr>
              <w:t>devam edilecektir.</w:t>
            </w:r>
          </w:p>
        </w:tc>
      </w:tr>
      <w:tr w:rsidR="00565FD5" w:rsidRPr="00B868E2" w:rsidTr="00AB62A3">
        <w:tblPrEx>
          <w:tblCellMar>
            <w:left w:w="70" w:type="dxa"/>
            <w:right w:w="70" w:type="dxa"/>
          </w:tblCellMar>
        </w:tblPrEx>
        <w:trPr>
          <w:trHeight w:val="1763"/>
          <w:jc w:val="center"/>
        </w:trPr>
        <w:tc>
          <w:tcPr>
            <w:tcW w:w="1164" w:type="pct"/>
          </w:tcPr>
          <w:p w:rsidR="00565FD5" w:rsidRPr="00B868E2" w:rsidRDefault="00565FD5" w:rsidP="00EB1E69">
            <w:pPr>
              <w:numPr>
                <w:ilvl w:val="0"/>
                <w:numId w:val="14"/>
              </w:numPr>
              <w:tabs>
                <w:tab w:val="left" w:pos="563"/>
              </w:tabs>
              <w:spacing w:before="20" w:after="20" w:line="240" w:lineRule="auto"/>
              <w:rPr>
                <w:rFonts w:cs="Tahoma"/>
                <w:sz w:val="16"/>
                <w:szCs w:val="16"/>
                <w:lang w:eastAsia="tr-TR"/>
              </w:rPr>
            </w:pPr>
            <w:r w:rsidRPr="00B868E2">
              <w:rPr>
                <w:rFonts w:cs="Tahoma"/>
                <w:sz w:val="16"/>
                <w:szCs w:val="16"/>
                <w:lang w:eastAsia="tr-TR"/>
              </w:rPr>
              <w:t>Yasadışı göç hareketleriyle mücadele kapsamında ihtiyaç duyulan kurumsal ve hukuki altyapının oluşturulması çalışmaları tamamlanacaktır.</w:t>
            </w:r>
          </w:p>
        </w:tc>
        <w:tc>
          <w:tcPr>
            <w:tcW w:w="1360" w:type="pct"/>
          </w:tcPr>
          <w:p w:rsidR="00565FD5" w:rsidRPr="00B868E2" w:rsidRDefault="00565FD5" w:rsidP="00AB62A3">
            <w:pPr>
              <w:spacing w:before="20" w:after="20"/>
              <w:rPr>
                <w:rFonts w:cs="Tahoma"/>
                <w:sz w:val="16"/>
                <w:szCs w:val="16"/>
                <w:lang w:eastAsia="tr-TR"/>
              </w:rPr>
            </w:pPr>
            <w:r w:rsidRPr="00B868E2">
              <w:rPr>
                <w:rFonts w:cs="Tahoma"/>
                <w:sz w:val="16"/>
                <w:szCs w:val="16"/>
                <w:lang w:eastAsia="tr-TR"/>
              </w:rPr>
              <w:t>İçişleri Bakanlığı (S), Dışişleri Bakanlığı, Adalet Bakanlığı, Maliye Bakanlığı, Sağlık Bakanlığı, Kalkınma Bakanlığı, MİT Müsteşarlığı, Kamu Düzeni ve Güvenliği Müsteşarlığı, Emniyet Genel Müdürlüğü, Jandarma Genel Komutanlığı, Sahil Güvenlik Komutanlığı, Kızılay</w:t>
            </w:r>
          </w:p>
        </w:tc>
        <w:tc>
          <w:tcPr>
            <w:tcW w:w="468" w:type="pct"/>
          </w:tcPr>
          <w:p w:rsidR="00565FD5" w:rsidRPr="00B868E2" w:rsidRDefault="00565FD5" w:rsidP="00AB62A3">
            <w:pPr>
              <w:spacing w:before="20" w:after="20"/>
              <w:rPr>
                <w:rFonts w:cs="Tahoma"/>
                <w:sz w:val="16"/>
                <w:szCs w:val="16"/>
                <w:lang w:eastAsia="tr-TR"/>
              </w:rPr>
            </w:pPr>
            <w:r w:rsidRPr="00B868E2">
              <w:rPr>
                <w:rFonts w:cs="Tahoma"/>
                <w:sz w:val="16"/>
                <w:szCs w:val="16"/>
                <w:lang w:eastAsia="tr-TR"/>
              </w:rPr>
              <w:t>Aralık Sonu</w:t>
            </w:r>
          </w:p>
        </w:tc>
        <w:tc>
          <w:tcPr>
            <w:tcW w:w="2008" w:type="pct"/>
          </w:tcPr>
          <w:p w:rsidR="00565FD5" w:rsidRPr="00B868E2" w:rsidRDefault="00565FD5" w:rsidP="00AB62A3">
            <w:pPr>
              <w:spacing w:before="20" w:after="20"/>
              <w:rPr>
                <w:rFonts w:cs="Tahoma"/>
                <w:sz w:val="16"/>
                <w:szCs w:val="16"/>
                <w:lang w:eastAsia="tr-TR"/>
              </w:rPr>
            </w:pPr>
            <w:r w:rsidRPr="00B868E2">
              <w:rPr>
                <w:rFonts w:cs="Tahoma"/>
                <w:sz w:val="16"/>
                <w:szCs w:val="16"/>
                <w:lang w:eastAsia="tr-TR"/>
              </w:rPr>
              <w:t xml:space="preserve">İnsan Ticareti ile Mücadele ve Mağdurlarının Korunması Hakkında Kanun Tasarısı hazırlanacaktır. Yasadışı göç ile mücadelede önemli araçlardan olan geri gönderme merkezlerinin yapım çalışmaları hızlandırılacaktır.  </w:t>
            </w:r>
          </w:p>
          <w:p w:rsidR="00565FD5" w:rsidRPr="00B868E2" w:rsidRDefault="00565FD5" w:rsidP="00AB62A3">
            <w:pPr>
              <w:spacing w:before="20" w:after="20"/>
              <w:ind w:firstLine="425"/>
              <w:rPr>
                <w:rFonts w:cs="Tahoma"/>
                <w:sz w:val="16"/>
                <w:szCs w:val="16"/>
                <w:lang w:eastAsia="tr-TR"/>
              </w:rPr>
            </w:pPr>
          </w:p>
        </w:tc>
      </w:tr>
      <w:tr w:rsidR="00565FD5" w:rsidRPr="00B868E2" w:rsidTr="00AB62A3">
        <w:tblPrEx>
          <w:tblCellMar>
            <w:left w:w="70" w:type="dxa"/>
            <w:right w:w="70" w:type="dxa"/>
          </w:tblCellMar>
        </w:tblPrEx>
        <w:trPr>
          <w:trHeight w:val="20"/>
          <w:jc w:val="center"/>
        </w:trPr>
        <w:tc>
          <w:tcPr>
            <w:tcW w:w="1164" w:type="pct"/>
          </w:tcPr>
          <w:p w:rsidR="00565FD5" w:rsidRPr="00B868E2" w:rsidRDefault="00565FD5" w:rsidP="00EB1E69">
            <w:pPr>
              <w:numPr>
                <w:ilvl w:val="0"/>
                <w:numId w:val="14"/>
              </w:numPr>
              <w:tabs>
                <w:tab w:val="left" w:pos="563"/>
              </w:tabs>
              <w:spacing w:before="20" w:after="20" w:line="240" w:lineRule="auto"/>
              <w:rPr>
                <w:rFonts w:cs="Tahoma"/>
                <w:sz w:val="16"/>
                <w:szCs w:val="16"/>
                <w:lang w:eastAsia="tr-TR"/>
              </w:rPr>
            </w:pPr>
            <w:r w:rsidRPr="00B868E2">
              <w:rPr>
                <w:rFonts w:cs="Tahoma"/>
                <w:sz w:val="16"/>
                <w:szCs w:val="16"/>
                <w:lang w:eastAsia="tr-TR"/>
              </w:rPr>
              <w:t xml:space="preserve">Uyuşturucu kullanımı ve ticaretiyle mücadelede Ulusal </w:t>
            </w:r>
            <w:r>
              <w:rPr>
                <w:rFonts w:cs="Tahoma"/>
                <w:sz w:val="16"/>
                <w:szCs w:val="16"/>
                <w:lang w:eastAsia="tr-TR"/>
              </w:rPr>
              <w:t xml:space="preserve">Uyuşturucu </w:t>
            </w:r>
            <w:r w:rsidRPr="00B868E2">
              <w:rPr>
                <w:rFonts w:cs="Tahoma"/>
                <w:sz w:val="16"/>
                <w:szCs w:val="16"/>
                <w:lang w:eastAsia="tr-TR"/>
              </w:rPr>
              <w:t xml:space="preserve">Strateji Belgesi (2013-2018) ve Ulusal </w:t>
            </w:r>
            <w:r>
              <w:rPr>
                <w:rFonts w:cs="Tahoma"/>
                <w:sz w:val="16"/>
                <w:szCs w:val="16"/>
                <w:lang w:eastAsia="tr-TR"/>
              </w:rPr>
              <w:t xml:space="preserve">Uyuşturucu </w:t>
            </w:r>
            <w:r w:rsidRPr="00B868E2">
              <w:rPr>
                <w:rFonts w:cs="Tahoma"/>
                <w:sz w:val="16"/>
                <w:szCs w:val="16"/>
                <w:lang w:eastAsia="tr-TR"/>
              </w:rPr>
              <w:t>Eylem Planı (2013-2015) hazırlanacaktır.</w:t>
            </w:r>
          </w:p>
        </w:tc>
        <w:tc>
          <w:tcPr>
            <w:tcW w:w="1360" w:type="pct"/>
          </w:tcPr>
          <w:p w:rsidR="00565FD5" w:rsidRPr="00B868E2" w:rsidRDefault="00565FD5" w:rsidP="00AB62A3">
            <w:pPr>
              <w:spacing w:before="20" w:after="20"/>
              <w:rPr>
                <w:rFonts w:cs="Tahoma"/>
                <w:sz w:val="16"/>
                <w:szCs w:val="16"/>
                <w:lang w:eastAsia="tr-TR"/>
              </w:rPr>
            </w:pPr>
            <w:r w:rsidRPr="00B868E2">
              <w:rPr>
                <w:rFonts w:cs="Tahoma"/>
                <w:sz w:val="16"/>
                <w:szCs w:val="16"/>
                <w:lang w:eastAsia="tr-TR"/>
              </w:rPr>
              <w:t>Emniyet Genel Müdürlüğü (S), İçişleri Bakanlığı, Dışişleri Bakanlığı, Adalet Bakanlığı, MEB, Maliye Bakanlığı, Sağlık Bakanlığı, Çalışma ve Sosyal Güvenlik Bakanlığı, Gıda</w:t>
            </w:r>
            <w:r>
              <w:rPr>
                <w:rFonts w:cs="Tahoma"/>
                <w:sz w:val="16"/>
                <w:szCs w:val="16"/>
                <w:lang w:eastAsia="tr-TR"/>
              </w:rPr>
              <w:t>,</w:t>
            </w:r>
            <w:r w:rsidRPr="00B868E2">
              <w:rPr>
                <w:rFonts w:cs="Tahoma"/>
                <w:sz w:val="16"/>
                <w:szCs w:val="16"/>
                <w:lang w:eastAsia="tr-TR"/>
              </w:rPr>
              <w:t xml:space="preserve"> Tarım ve Hayvancılık Bakanlığı, Gümrük ve Ticaret Bakanlığı, Aile ve Sosyal Politikalar Bakanlığı, </w:t>
            </w:r>
            <w:r>
              <w:rPr>
                <w:rFonts w:cs="Tahoma"/>
                <w:sz w:val="16"/>
                <w:szCs w:val="16"/>
                <w:lang w:eastAsia="tr-TR"/>
              </w:rPr>
              <w:t xml:space="preserve">Ulaştırma Denizcilik ve Haberleşme Bakanlığı, </w:t>
            </w:r>
            <w:r w:rsidRPr="00B868E2">
              <w:rPr>
                <w:rFonts w:cs="Tahoma"/>
                <w:sz w:val="16"/>
                <w:szCs w:val="16"/>
                <w:lang w:eastAsia="tr-TR"/>
              </w:rPr>
              <w:t>Jandarma Genel Komutanlığı, Sahil Güvenlik Komutanlığı, Diyanet İşleri Başkanlığı,</w:t>
            </w:r>
          </w:p>
          <w:p w:rsidR="00565FD5" w:rsidRPr="00B868E2" w:rsidRDefault="00565FD5" w:rsidP="00AB62A3">
            <w:pPr>
              <w:spacing w:before="20" w:after="20"/>
              <w:rPr>
                <w:rFonts w:cs="Tahoma"/>
                <w:sz w:val="16"/>
                <w:szCs w:val="16"/>
                <w:lang w:eastAsia="tr-TR"/>
              </w:rPr>
            </w:pPr>
            <w:r w:rsidRPr="00B868E2">
              <w:rPr>
                <w:rFonts w:cs="Tahoma"/>
                <w:sz w:val="16"/>
                <w:szCs w:val="16"/>
                <w:lang w:eastAsia="tr-TR"/>
              </w:rPr>
              <w:t>RTÜK, TRT, TAPDK</w:t>
            </w:r>
          </w:p>
        </w:tc>
        <w:tc>
          <w:tcPr>
            <w:tcW w:w="468" w:type="pct"/>
          </w:tcPr>
          <w:p w:rsidR="00565FD5" w:rsidRPr="00B868E2" w:rsidRDefault="00565FD5" w:rsidP="00AB62A3">
            <w:pPr>
              <w:spacing w:before="20" w:after="20"/>
              <w:rPr>
                <w:rFonts w:cs="Tahoma"/>
                <w:sz w:val="16"/>
                <w:szCs w:val="16"/>
                <w:lang w:eastAsia="tr-TR"/>
              </w:rPr>
            </w:pPr>
            <w:r w:rsidRPr="00B868E2">
              <w:rPr>
                <w:rFonts w:cs="Tahoma"/>
                <w:sz w:val="16"/>
                <w:szCs w:val="16"/>
                <w:lang w:eastAsia="tr-TR"/>
              </w:rPr>
              <w:t>Aralık Sonu</w:t>
            </w:r>
          </w:p>
        </w:tc>
        <w:tc>
          <w:tcPr>
            <w:tcW w:w="2008" w:type="pct"/>
          </w:tcPr>
          <w:p w:rsidR="00565FD5" w:rsidRPr="00B868E2" w:rsidRDefault="00565FD5" w:rsidP="00AB62A3">
            <w:pPr>
              <w:spacing w:before="20" w:after="20"/>
              <w:rPr>
                <w:rFonts w:cs="Tahoma"/>
                <w:sz w:val="16"/>
                <w:szCs w:val="16"/>
                <w:lang w:eastAsia="tr-TR"/>
              </w:rPr>
            </w:pPr>
            <w:r w:rsidRPr="00B868E2">
              <w:rPr>
                <w:rFonts w:cs="Tahoma"/>
                <w:sz w:val="16"/>
                <w:szCs w:val="16"/>
                <w:lang w:eastAsia="tr-TR"/>
              </w:rPr>
              <w:t xml:space="preserve">Uyuşturucuyla mücadele alanında çalışan ilgili kurum ve kuruluşların katılımıyla Ulusal </w:t>
            </w:r>
            <w:r>
              <w:rPr>
                <w:rFonts w:cs="Tahoma"/>
                <w:sz w:val="16"/>
                <w:szCs w:val="16"/>
                <w:lang w:eastAsia="tr-TR"/>
              </w:rPr>
              <w:t xml:space="preserve">Uyuşturucu Strateji Belgesi (2013-2018) ve </w:t>
            </w:r>
            <w:r w:rsidRPr="00B868E2">
              <w:rPr>
                <w:rFonts w:cs="Tahoma"/>
                <w:sz w:val="16"/>
                <w:szCs w:val="16"/>
                <w:lang w:eastAsia="tr-TR"/>
              </w:rPr>
              <w:t>Ulusal</w:t>
            </w:r>
            <w:r>
              <w:rPr>
                <w:rFonts w:cs="Tahoma"/>
                <w:sz w:val="16"/>
                <w:szCs w:val="16"/>
                <w:lang w:eastAsia="tr-TR"/>
              </w:rPr>
              <w:t xml:space="preserve"> Uyuşturucu</w:t>
            </w:r>
            <w:r w:rsidRPr="00B868E2">
              <w:rPr>
                <w:rFonts w:cs="Tahoma"/>
                <w:sz w:val="16"/>
                <w:szCs w:val="16"/>
                <w:lang w:eastAsia="tr-TR"/>
              </w:rPr>
              <w:t xml:space="preserve"> Eylem Planı (2013-2015) hazırlanacaktır. </w:t>
            </w:r>
          </w:p>
        </w:tc>
      </w:tr>
      <w:tr w:rsidR="00565FD5" w:rsidRPr="00B868E2" w:rsidTr="00AB62A3">
        <w:tblPrEx>
          <w:tblCellMar>
            <w:left w:w="70" w:type="dxa"/>
            <w:right w:w="70" w:type="dxa"/>
          </w:tblCellMar>
        </w:tblPrEx>
        <w:trPr>
          <w:trHeight w:val="20"/>
          <w:jc w:val="center"/>
        </w:trPr>
        <w:tc>
          <w:tcPr>
            <w:tcW w:w="1164" w:type="pct"/>
          </w:tcPr>
          <w:p w:rsidR="00565FD5" w:rsidRPr="00B868E2" w:rsidRDefault="00565FD5" w:rsidP="00EB1E69">
            <w:pPr>
              <w:numPr>
                <w:ilvl w:val="0"/>
                <w:numId w:val="14"/>
              </w:numPr>
              <w:tabs>
                <w:tab w:val="left" w:pos="563"/>
              </w:tabs>
              <w:spacing w:before="20" w:after="20" w:line="240" w:lineRule="auto"/>
              <w:ind w:left="72"/>
              <w:rPr>
                <w:rFonts w:cs="Tahoma"/>
                <w:sz w:val="16"/>
                <w:szCs w:val="16"/>
                <w:lang w:eastAsia="tr-TR"/>
              </w:rPr>
            </w:pPr>
            <w:r>
              <w:rPr>
                <w:rFonts w:cs="Tahoma"/>
                <w:sz w:val="16"/>
                <w:szCs w:val="16"/>
                <w:lang w:eastAsia="tr-TR"/>
              </w:rPr>
              <w:t>Entegre Sınır Güvenlik Sistemi kurularak, kara sınırlarındaki güvenlik artırılacaktır.</w:t>
            </w:r>
          </w:p>
        </w:tc>
        <w:tc>
          <w:tcPr>
            <w:tcW w:w="1360" w:type="pct"/>
          </w:tcPr>
          <w:p w:rsidR="00565FD5" w:rsidRPr="00B868E2" w:rsidRDefault="00565FD5" w:rsidP="00AB62A3">
            <w:pPr>
              <w:spacing w:before="20" w:after="20"/>
              <w:rPr>
                <w:rFonts w:cs="Tahoma"/>
                <w:sz w:val="16"/>
                <w:szCs w:val="16"/>
                <w:lang w:eastAsia="tr-TR"/>
              </w:rPr>
            </w:pPr>
            <w:r>
              <w:rPr>
                <w:rFonts w:cs="Tahoma"/>
                <w:sz w:val="16"/>
                <w:szCs w:val="16"/>
                <w:lang w:eastAsia="tr-TR"/>
              </w:rPr>
              <w:t>İçişleri Bakanlığı (S), Genelkurmay Başkanlığı, Milli Savunma Bakanlığı, Valilikler</w:t>
            </w:r>
          </w:p>
        </w:tc>
        <w:tc>
          <w:tcPr>
            <w:tcW w:w="468" w:type="pct"/>
          </w:tcPr>
          <w:p w:rsidR="00565FD5" w:rsidRPr="00B868E2" w:rsidRDefault="00565FD5" w:rsidP="00AB62A3">
            <w:pPr>
              <w:spacing w:before="20" w:after="20"/>
              <w:rPr>
                <w:rFonts w:cs="Tahoma"/>
                <w:sz w:val="16"/>
                <w:szCs w:val="16"/>
                <w:lang w:eastAsia="tr-TR"/>
              </w:rPr>
            </w:pPr>
            <w:r>
              <w:rPr>
                <w:rFonts w:cs="Tahoma"/>
                <w:sz w:val="16"/>
                <w:szCs w:val="16"/>
                <w:lang w:eastAsia="tr-TR"/>
              </w:rPr>
              <w:t>Aralık Sonu</w:t>
            </w:r>
          </w:p>
        </w:tc>
        <w:tc>
          <w:tcPr>
            <w:tcW w:w="2008" w:type="pct"/>
          </w:tcPr>
          <w:p w:rsidR="00565FD5" w:rsidRPr="00B868E2" w:rsidRDefault="00565FD5" w:rsidP="00AB62A3">
            <w:pPr>
              <w:spacing w:before="20" w:after="20"/>
              <w:rPr>
                <w:rFonts w:cs="Tahoma"/>
                <w:sz w:val="16"/>
                <w:szCs w:val="16"/>
                <w:lang w:eastAsia="tr-TR"/>
              </w:rPr>
            </w:pPr>
            <w:r>
              <w:rPr>
                <w:rFonts w:cs="Tahoma"/>
                <w:sz w:val="16"/>
                <w:szCs w:val="16"/>
                <w:lang w:eastAsia="tr-TR"/>
              </w:rPr>
              <w:t xml:space="preserve">Entegre Sınır Güvenlik Sisteminin kurulması konusunda ilgili kuruluşlarla hazırlık çalışmaları sürdürülecektir. </w:t>
            </w:r>
          </w:p>
        </w:tc>
      </w:tr>
    </w:tbl>
    <w:p w:rsidR="00565FD5" w:rsidRPr="00645C02" w:rsidRDefault="00565FD5" w:rsidP="00565FD5">
      <w:pPr>
        <w:ind w:firstLine="425"/>
        <w:rPr>
          <w:rFonts w:cs="Tahoma"/>
          <w:szCs w:val="18"/>
        </w:rPr>
      </w:pPr>
      <w:bookmarkStart w:id="3275" w:name="_Toc307602122"/>
      <w:bookmarkStart w:id="3276" w:name="_Toc307670559"/>
      <w:bookmarkStart w:id="3277" w:name="_Toc307701786"/>
    </w:p>
    <w:p w:rsidR="00565FD5" w:rsidRPr="007647DA" w:rsidRDefault="00565FD5" w:rsidP="00565FD5">
      <w:pPr>
        <w:pStyle w:val="Balk3"/>
      </w:pPr>
      <w:bookmarkStart w:id="3278" w:name="_Toc338494277"/>
      <w:bookmarkStart w:id="3279" w:name="_Toc338505687"/>
      <w:bookmarkStart w:id="3280" w:name="_Toc338523921"/>
      <w:bookmarkStart w:id="3281" w:name="_Toc338524152"/>
      <w:bookmarkStart w:id="3282" w:name="_Toc338526378"/>
      <w:bookmarkStart w:id="3283" w:name="_Toc338673821"/>
      <w:bookmarkStart w:id="3284" w:name="_Toc338711700"/>
      <w:r>
        <w:t>F</w:t>
      </w:r>
      <w:r w:rsidRPr="007647DA">
        <w:t>. AFETLER</w:t>
      </w:r>
      <w:bookmarkEnd w:id="3278"/>
      <w:bookmarkEnd w:id="3279"/>
      <w:bookmarkEnd w:id="3280"/>
      <w:bookmarkEnd w:id="3281"/>
      <w:bookmarkEnd w:id="3282"/>
      <w:bookmarkEnd w:id="3283"/>
      <w:bookmarkEnd w:id="3284"/>
    </w:p>
    <w:p w:rsidR="00565FD5" w:rsidRPr="007647DA" w:rsidRDefault="00565FD5" w:rsidP="00565FD5">
      <w:pPr>
        <w:pStyle w:val="Balk4"/>
      </w:pPr>
      <w:bookmarkStart w:id="3285" w:name="_Toc276076401"/>
      <w:bookmarkStart w:id="3286" w:name="_Toc244339717"/>
      <w:bookmarkStart w:id="3287" w:name="_Toc244315254"/>
      <w:bookmarkStart w:id="3288" w:name="_Toc244313777"/>
      <w:bookmarkStart w:id="3289" w:name="_Toc244255042"/>
      <w:bookmarkStart w:id="3290" w:name="_Toc244253792"/>
      <w:bookmarkStart w:id="3291" w:name="_Toc307602123"/>
      <w:bookmarkStart w:id="3292" w:name="_Toc307670560"/>
      <w:bookmarkStart w:id="3293" w:name="_Toc307701787"/>
      <w:bookmarkStart w:id="3294" w:name="_Toc338505688"/>
      <w:bookmarkStart w:id="3295" w:name="_Toc338523922"/>
      <w:bookmarkStart w:id="3296" w:name="_Toc338524153"/>
      <w:bookmarkStart w:id="3297" w:name="_Toc338526379"/>
      <w:bookmarkStart w:id="3298" w:name="_Toc338673822"/>
      <w:bookmarkStart w:id="3299" w:name="_Toc338711701"/>
      <w:bookmarkEnd w:id="3275"/>
      <w:bookmarkEnd w:id="3276"/>
      <w:bookmarkEnd w:id="3277"/>
      <w:r w:rsidRPr="007647DA">
        <w:t>1. Mevcut Durum</w:t>
      </w:r>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p>
    <w:p w:rsidR="00565FD5" w:rsidRPr="007647DA" w:rsidRDefault="00565FD5" w:rsidP="00565FD5">
      <w:pPr>
        <w:spacing w:after="160"/>
        <w:ind w:firstLine="425"/>
        <w:rPr>
          <w:rFonts w:cs="Tahoma"/>
          <w:szCs w:val="18"/>
        </w:rPr>
      </w:pPr>
      <w:r w:rsidRPr="007647DA">
        <w:rPr>
          <w:rFonts w:cs="Tahoma"/>
          <w:szCs w:val="18"/>
        </w:rPr>
        <w:t xml:space="preserve">İklim ve çevre koşullarındaki bozulmanın etkisiyle dünyada ve ülkemizde doğal afetlerin şiddeti ve sıklığı artmıştır. Arazi kullanım kararlarındaki ve yapılaşmadaki hatalar afetlerin olumsuz etkilerini ağırlaştırmıştır. Yaşanan afetler bütüncül bir risk yönetiminin gerekliliğini göstermiştir. Afetlerde can ve mal kaybının en aza indirilebilmesi için risk azaltma faaliyetleri, risk yönetiminin önemli bir bileşeni haline gelmiştir. </w:t>
      </w:r>
    </w:p>
    <w:p w:rsidR="00565FD5" w:rsidRPr="007647DA" w:rsidRDefault="00565FD5" w:rsidP="00565FD5">
      <w:pPr>
        <w:spacing w:after="160"/>
        <w:ind w:firstLine="425"/>
        <w:rPr>
          <w:rFonts w:cs="Tahoma"/>
          <w:szCs w:val="18"/>
        </w:rPr>
      </w:pPr>
      <w:r w:rsidRPr="007647DA">
        <w:rPr>
          <w:rFonts w:cs="Tahoma"/>
          <w:szCs w:val="18"/>
        </w:rPr>
        <w:t xml:space="preserve">23 Ekim ve 9 Kasım 2011 tarihlerinde Van’da meydana gelen depremlerde toplam 644 kişi hayatını kaybetmiş, 1.966 kişi yaralanmış, 252 kişi enkazdan sağ olarak kurtarılmıştır. Deprem sebebiyle yaklaşık 31.000 konut hasar görmüş olup mağdur olan yaklaşık 175.000 kişinin geçici barınması için 29.500 konteyner, 76.802 çadır ve 11 seyyar hastane kurulmuştur. 2012 yılı sonu </w:t>
      </w:r>
      <w:r w:rsidRPr="007647DA">
        <w:rPr>
          <w:rFonts w:cs="Tahoma"/>
          <w:szCs w:val="18"/>
        </w:rPr>
        <w:lastRenderedPageBreak/>
        <w:t xml:space="preserve">itibarıyla Van ve çevresinde yaklaşık 18.000 kalıcı konutun tamamlanarak hak sahiplerine teslim edilmesi planlanmıştır. Deprem bölgesinde hayatın normale dönmesi için yapılan yardım ve harcamalar Ekim 2012 itibarıyla yaklaşık 3,4 milyar TL’ye ulaşmıştır. </w:t>
      </w:r>
    </w:p>
    <w:p w:rsidR="00565FD5" w:rsidRPr="007647DA" w:rsidRDefault="00565FD5" w:rsidP="00565FD5">
      <w:pPr>
        <w:spacing w:after="160"/>
        <w:ind w:firstLine="425"/>
        <w:rPr>
          <w:rFonts w:cs="Tahoma"/>
          <w:szCs w:val="18"/>
        </w:rPr>
      </w:pPr>
      <w:r w:rsidRPr="007647DA">
        <w:rPr>
          <w:rFonts w:cs="Tahoma"/>
          <w:szCs w:val="18"/>
        </w:rPr>
        <w:t xml:space="preserve">Afet yönetimi ile ilgili merkez-yerel ilişkisinin güçlendirilmesine yönelik düzenleme ihtiyacı önemini korumaktadır.  </w:t>
      </w:r>
    </w:p>
    <w:p w:rsidR="00565FD5" w:rsidRPr="007647DA" w:rsidRDefault="00565FD5" w:rsidP="00565FD5">
      <w:pPr>
        <w:spacing w:after="160"/>
        <w:ind w:firstLine="425"/>
        <w:rPr>
          <w:rFonts w:cs="Tahoma"/>
          <w:szCs w:val="18"/>
        </w:rPr>
      </w:pPr>
      <w:r w:rsidRPr="007647DA">
        <w:rPr>
          <w:rFonts w:cs="Tahoma"/>
          <w:szCs w:val="18"/>
        </w:rPr>
        <w:t>7269 sayılı Umumi Hayata Müessir Afetler Dolayısıyla Alınacak Tedbirlerle Yapılacak Yardımlara Dair Kanunun risk yönetimini de içerecek şekilde yeniden ele alınması gerekmektedir.</w:t>
      </w:r>
    </w:p>
    <w:p w:rsidR="00565FD5" w:rsidRPr="007647DA" w:rsidRDefault="00565FD5" w:rsidP="00565FD5">
      <w:pPr>
        <w:spacing w:after="160"/>
        <w:ind w:firstLine="425"/>
        <w:rPr>
          <w:rFonts w:cs="Tahoma"/>
          <w:szCs w:val="18"/>
        </w:rPr>
      </w:pPr>
      <w:r w:rsidRPr="007647DA">
        <w:rPr>
          <w:rFonts w:cs="Tahoma"/>
          <w:szCs w:val="18"/>
        </w:rPr>
        <w:t>6305 sayılı Afet Sigortaları Kanunu 18/05/2012 tarihinde yürürlüğe girmiştir. Söz konusu kanunda yer alan zorunlu deprem sigortası kapsamında binalarda depremin doğrudan neden olduğu maddi zararlar ile deprem nedeniyle ortaya çıkan yangın, infilak, dev dalga (tsunami) ve yer kayması sonucu oluşan maddi zararlar teminat altına alınmış olup tapu işlemlerinin yanı sıra elektrik ve su abonelik işlemlerinde de sigorta kontrolünün zorunlu tutulması nedeniyle sigortalı konut sayısında artış sağlanmıştır. Nitekim 2011 yılı Ekim ayında 3,5 milyon olan sigortalı konut sayısı 2012 yılı Ekim ayı itibarıyla 4,2 milyona ulaşmıştır. Bu rakam ülke genelinde yaklaşık yüzde 26’lık bir sigortalılık oranına karşılık gelmektedir.</w:t>
      </w:r>
    </w:p>
    <w:p w:rsidR="00565FD5" w:rsidRPr="007647DA" w:rsidRDefault="00565FD5" w:rsidP="00565FD5">
      <w:pPr>
        <w:spacing w:after="160"/>
        <w:ind w:firstLine="425"/>
        <w:rPr>
          <w:rFonts w:cs="Tahoma"/>
          <w:szCs w:val="18"/>
        </w:rPr>
      </w:pPr>
      <w:r w:rsidRPr="007647DA">
        <w:rPr>
          <w:rFonts w:cs="Tahoma"/>
          <w:szCs w:val="18"/>
        </w:rPr>
        <w:t xml:space="preserve">Afet riski altındaki alanlar ile bu alanlar dışındaki riskli yapıların bulunduğu arsa ve arazilerde, fen ve sanat norm ve standartlarına uygun, sağlıklı ve güvenli yaşama çevrelerini teşkil etmek üzere iyileştirme, tasfiye ve yenilemelere dair usul ve esasları belirleyen 6306 sayılı Afet Riski Altındaki Alanların Dönüştürülmesi Hakkında Kanun 31/05/2012 tarihinde yürürlüğe girmiştir. Söz konusu kanun çerçevesinde dönüşüme tabi tutulacak yerleşim yerlerinin afet risklerine göre önceliklendirilmesine ihtiyaç duyulmaktadır.  </w:t>
      </w:r>
    </w:p>
    <w:p w:rsidR="00565FD5" w:rsidRPr="007647DA" w:rsidRDefault="00565FD5" w:rsidP="00565FD5">
      <w:pPr>
        <w:spacing w:after="160"/>
        <w:ind w:firstLine="425"/>
        <w:rPr>
          <w:rFonts w:cs="Tahoma"/>
          <w:szCs w:val="18"/>
        </w:rPr>
      </w:pPr>
      <w:r w:rsidRPr="007647DA">
        <w:rPr>
          <w:rFonts w:cs="Tahoma"/>
          <w:szCs w:val="18"/>
        </w:rPr>
        <w:t>Ülkemizdeki yerleşim yerlerini etkileyebilecek tüm tehlikeleri birlikte ele alan bütünleşik afet tehlike ve risk haritaları ile buna yönelik standart ve kılavuzların geliştirilmesine ilişkin çalışmalara başlanmıştır.</w:t>
      </w:r>
    </w:p>
    <w:p w:rsidR="00565FD5" w:rsidRPr="007647DA" w:rsidRDefault="00565FD5" w:rsidP="00565FD5">
      <w:pPr>
        <w:spacing w:after="160"/>
        <w:ind w:firstLine="425"/>
        <w:rPr>
          <w:rFonts w:cs="Tahoma"/>
          <w:szCs w:val="18"/>
        </w:rPr>
      </w:pPr>
      <w:r w:rsidRPr="007647DA">
        <w:rPr>
          <w:rFonts w:cs="Tahoma"/>
          <w:szCs w:val="18"/>
        </w:rPr>
        <w:t xml:space="preserve">Yeniden yapım ve iyileştirme planlarının hazırlanması, uygulanması, izlenmesi ve değerlendirilmesini sağlayacak gösterge ve yöntemlerin geliştirilmesi önemini korumaktadır. </w:t>
      </w:r>
    </w:p>
    <w:p w:rsidR="00565FD5" w:rsidRPr="007647DA" w:rsidRDefault="00565FD5" w:rsidP="00565FD5">
      <w:pPr>
        <w:spacing w:after="160"/>
        <w:ind w:firstLine="425"/>
        <w:rPr>
          <w:rFonts w:cs="Tahoma"/>
          <w:szCs w:val="18"/>
        </w:rPr>
      </w:pPr>
      <w:r w:rsidRPr="007647DA">
        <w:rPr>
          <w:rFonts w:cs="Tahoma"/>
          <w:szCs w:val="18"/>
        </w:rPr>
        <w:t xml:space="preserve">Afet durumunda kurum ve kuruluşlar arasında hızlı, etkin ve güvenli bir bilgi iletişim ve koordinasyon sisteminin kurulması ihtiyacı devam etmektedir. </w:t>
      </w:r>
    </w:p>
    <w:p w:rsidR="00565FD5" w:rsidRPr="007647DA" w:rsidRDefault="00565FD5" w:rsidP="00565FD5">
      <w:pPr>
        <w:spacing w:after="160"/>
        <w:ind w:firstLine="425"/>
        <w:rPr>
          <w:rFonts w:cs="Tahoma"/>
          <w:szCs w:val="18"/>
        </w:rPr>
      </w:pPr>
      <w:r w:rsidRPr="007647DA">
        <w:rPr>
          <w:rFonts w:cs="Tahoma"/>
          <w:szCs w:val="18"/>
        </w:rPr>
        <w:t xml:space="preserve">Tehlike haritalarına dayanan afet risklerini doğru bir şekilde tespit etmek, değerlendirmek ve devamında risk azaltma planlarını rasyonel bir şekilde hazırlayabilmek için yapı stoku kalitesi, zemin karakteristiği ve afet senaryolarına ilişkin analizlere ihtiyaç duyulmaktadır. </w:t>
      </w:r>
    </w:p>
    <w:p w:rsidR="00565FD5" w:rsidRPr="007647DA" w:rsidRDefault="00565FD5" w:rsidP="00565FD5">
      <w:pPr>
        <w:spacing w:after="160"/>
        <w:ind w:firstLine="425"/>
        <w:rPr>
          <w:rFonts w:cs="Tahoma"/>
          <w:szCs w:val="18"/>
        </w:rPr>
      </w:pPr>
      <w:r w:rsidRPr="007647DA">
        <w:rPr>
          <w:rFonts w:cs="Tahoma"/>
          <w:szCs w:val="18"/>
        </w:rPr>
        <w:t>Afet risklerinin azaltılması yönündeki faaliyetlerin etkinliğinin artırılması için halkın bütün süreçlere katılımının sağlanmasına, tehlike ve risk azaltma konusunda bilinçlendirilmesine ihtiyaç duyulmaktadır.</w:t>
      </w:r>
    </w:p>
    <w:p w:rsidR="00565FD5" w:rsidRPr="007647DA" w:rsidRDefault="00565FD5" w:rsidP="00565FD5">
      <w:pPr>
        <w:pStyle w:val="Balk4"/>
        <w:rPr>
          <w:szCs w:val="18"/>
        </w:rPr>
      </w:pPr>
      <w:bookmarkStart w:id="3300" w:name="_Toc276076402"/>
      <w:bookmarkStart w:id="3301" w:name="_Toc244339718"/>
      <w:bookmarkStart w:id="3302" w:name="_Toc244315255"/>
      <w:bookmarkStart w:id="3303" w:name="_Toc244313778"/>
      <w:bookmarkStart w:id="3304" w:name="_Toc244255043"/>
      <w:bookmarkStart w:id="3305" w:name="_Toc244253793"/>
      <w:bookmarkStart w:id="3306" w:name="_Toc307602124"/>
      <w:bookmarkStart w:id="3307" w:name="_Toc307670561"/>
      <w:bookmarkStart w:id="3308" w:name="_Toc307701788"/>
      <w:bookmarkStart w:id="3309" w:name="_Toc338505689"/>
      <w:bookmarkStart w:id="3310" w:name="_Toc338523923"/>
      <w:bookmarkStart w:id="3311" w:name="_Toc338524154"/>
      <w:bookmarkStart w:id="3312" w:name="_Toc338526380"/>
      <w:bookmarkStart w:id="3313" w:name="_Toc338673823"/>
      <w:bookmarkStart w:id="3314" w:name="_Toc338711702"/>
      <w:r w:rsidRPr="007647DA">
        <w:t>2. Temel Amaç ve Hedefler</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p>
    <w:p w:rsidR="00565FD5" w:rsidRDefault="00565FD5" w:rsidP="00565FD5">
      <w:pPr>
        <w:spacing w:after="160"/>
        <w:ind w:firstLine="425"/>
        <w:rPr>
          <w:rFonts w:cs="Tahoma"/>
          <w:szCs w:val="18"/>
        </w:rPr>
      </w:pPr>
      <w:r w:rsidRPr="007647DA">
        <w:rPr>
          <w:rFonts w:cs="Tahoma"/>
          <w:szCs w:val="18"/>
        </w:rPr>
        <w:t>Toplumun afetler karşısında zarar görebilirliğinin azaltılmasında ve afetlerin olumsuz etkilerinin önlenmesinde can ve mal kaybının en aza indirilmesi temel amaçtır.</w:t>
      </w:r>
    </w:p>
    <w:p w:rsidR="00565FD5" w:rsidRPr="007647DA" w:rsidRDefault="00565FD5" w:rsidP="00565FD5">
      <w:pPr>
        <w:pStyle w:val="Balk4"/>
      </w:pPr>
      <w:bookmarkStart w:id="3315" w:name="_Toc276076403"/>
      <w:bookmarkStart w:id="3316" w:name="_Toc244339719"/>
      <w:bookmarkStart w:id="3317" w:name="_Toc244315256"/>
      <w:bookmarkStart w:id="3318" w:name="_Toc244313779"/>
      <w:bookmarkStart w:id="3319" w:name="_Toc244255044"/>
      <w:bookmarkStart w:id="3320" w:name="_Toc244253794"/>
      <w:bookmarkStart w:id="3321" w:name="_Toc213065786"/>
      <w:bookmarkStart w:id="3322" w:name="_Toc307602125"/>
      <w:bookmarkStart w:id="3323" w:name="_Toc307670562"/>
      <w:bookmarkStart w:id="3324" w:name="_Toc307701789"/>
      <w:bookmarkStart w:id="3325" w:name="_Toc338505690"/>
      <w:bookmarkStart w:id="3326" w:name="_Toc338523924"/>
      <w:bookmarkStart w:id="3327" w:name="_Toc338524155"/>
      <w:bookmarkStart w:id="3328" w:name="_Toc338526381"/>
      <w:bookmarkStart w:id="3329" w:name="_Toc338673824"/>
      <w:bookmarkStart w:id="3330" w:name="_Toc338711703"/>
      <w:r w:rsidRPr="007647DA">
        <w:t>3. Politika Öncelikleri ve Tedbirler</w:t>
      </w:r>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016"/>
        <w:gridCol w:w="1967"/>
        <w:gridCol w:w="756"/>
        <w:gridCol w:w="2405"/>
      </w:tblGrid>
      <w:tr w:rsidR="00565FD5" w:rsidRPr="007647DA" w:rsidTr="00AB62A3">
        <w:trPr>
          <w:trHeight w:val="20"/>
          <w:jc w:val="center"/>
        </w:trPr>
        <w:tc>
          <w:tcPr>
            <w:tcW w:w="1411" w:type="pct"/>
            <w:vAlign w:val="bottom"/>
          </w:tcPr>
          <w:p w:rsidR="00565FD5" w:rsidRPr="007647DA" w:rsidRDefault="00565FD5" w:rsidP="00AB62A3">
            <w:pPr>
              <w:spacing w:before="20" w:after="20"/>
              <w:rPr>
                <w:rFonts w:cs="Tahoma"/>
                <w:b/>
                <w:bCs/>
                <w:color w:val="000000"/>
                <w:sz w:val="16"/>
                <w:szCs w:val="16"/>
                <w:lang w:eastAsia="tr-TR"/>
              </w:rPr>
            </w:pPr>
            <w:r w:rsidRPr="007647DA">
              <w:rPr>
                <w:rFonts w:cs="Tahoma"/>
                <w:b/>
                <w:bCs/>
                <w:color w:val="000000"/>
                <w:sz w:val="16"/>
                <w:szCs w:val="16"/>
                <w:lang w:eastAsia="tr-TR"/>
              </w:rPr>
              <w:t xml:space="preserve">Öncelik/Tedbir </w:t>
            </w:r>
          </w:p>
        </w:tc>
        <w:tc>
          <w:tcPr>
            <w:tcW w:w="1377" w:type="pct"/>
            <w:vAlign w:val="bottom"/>
          </w:tcPr>
          <w:p w:rsidR="00565FD5" w:rsidRPr="007647DA" w:rsidRDefault="00565FD5" w:rsidP="00AB62A3">
            <w:pPr>
              <w:spacing w:before="20" w:after="20"/>
              <w:rPr>
                <w:rFonts w:cs="Tahoma"/>
                <w:b/>
                <w:bCs/>
                <w:color w:val="000000"/>
                <w:sz w:val="16"/>
                <w:szCs w:val="16"/>
                <w:lang w:eastAsia="tr-TR"/>
              </w:rPr>
            </w:pPr>
            <w:r w:rsidRPr="007647DA">
              <w:rPr>
                <w:rFonts w:cs="Tahoma"/>
                <w:b/>
                <w:bCs/>
                <w:color w:val="000000"/>
                <w:sz w:val="16"/>
                <w:szCs w:val="16"/>
                <w:lang w:eastAsia="tr-TR"/>
              </w:rPr>
              <w:t xml:space="preserve">Sorumlu / İşbirliği </w:t>
            </w:r>
            <w:r w:rsidRPr="007647DA">
              <w:rPr>
                <w:rFonts w:cs="Tahoma"/>
                <w:b/>
                <w:bCs/>
                <w:color w:val="000000"/>
                <w:sz w:val="16"/>
                <w:szCs w:val="16"/>
                <w:lang w:eastAsia="tr-TR"/>
              </w:rPr>
              <w:lastRenderedPageBreak/>
              <w:t>Yapılacak Kuruluşlar</w:t>
            </w:r>
          </w:p>
        </w:tc>
        <w:tc>
          <w:tcPr>
            <w:tcW w:w="529" w:type="pct"/>
            <w:vAlign w:val="bottom"/>
          </w:tcPr>
          <w:p w:rsidR="00565FD5" w:rsidRPr="007647DA" w:rsidRDefault="00565FD5" w:rsidP="00AB62A3">
            <w:pPr>
              <w:spacing w:before="20" w:after="20"/>
              <w:rPr>
                <w:rFonts w:cs="Tahoma"/>
                <w:b/>
                <w:bCs/>
                <w:color w:val="000000"/>
                <w:sz w:val="16"/>
                <w:szCs w:val="16"/>
                <w:lang w:eastAsia="tr-TR"/>
              </w:rPr>
            </w:pPr>
            <w:r w:rsidRPr="007647DA">
              <w:rPr>
                <w:rFonts w:cs="Tahoma"/>
                <w:b/>
                <w:bCs/>
                <w:color w:val="000000"/>
                <w:sz w:val="16"/>
                <w:szCs w:val="16"/>
                <w:lang w:eastAsia="tr-TR"/>
              </w:rPr>
              <w:lastRenderedPageBreak/>
              <w:t>Süre</w:t>
            </w:r>
          </w:p>
        </w:tc>
        <w:tc>
          <w:tcPr>
            <w:tcW w:w="1683" w:type="pct"/>
            <w:vAlign w:val="bottom"/>
          </w:tcPr>
          <w:p w:rsidR="00565FD5" w:rsidRPr="007647DA" w:rsidRDefault="00565FD5" w:rsidP="00AB62A3">
            <w:pPr>
              <w:spacing w:before="20" w:after="20"/>
              <w:rPr>
                <w:rFonts w:cs="Tahoma"/>
                <w:b/>
                <w:bCs/>
                <w:color w:val="000000"/>
                <w:sz w:val="16"/>
                <w:szCs w:val="16"/>
                <w:lang w:eastAsia="tr-TR"/>
              </w:rPr>
            </w:pPr>
            <w:r w:rsidRPr="007647DA">
              <w:rPr>
                <w:rFonts w:cs="Tahoma"/>
                <w:b/>
                <w:bCs/>
                <w:color w:val="000000"/>
                <w:sz w:val="16"/>
                <w:szCs w:val="16"/>
                <w:lang w:eastAsia="tr-TR"/>
              </w:rPr>
              <w:t xml:space="preserve">Yapılacak İşlem ve Açıklama </w:t>
            </w:r>
          </w:p>
        </w:tc>
      </w:tr>
      <w:tr w:rsidR="00565FD5" w:rsidRPr="007647DA" w:rsidTr="00AB62A3">
        <w:trPr>
          <w:trHeight w:val="20"/>
          <w:jc w:val="center"/>
        </w:trPr>
        <w:tc>
          <w:tcPr>
            <w:tcW w:w="5000" w:type="pct"/>
            <w:gridSpan w:val="4"/>
          </w:tcPr>
          <w:p w:rsidR="00565FD5" w:rsidRPr="007647DA" w:rsidRDefault="00565FD5" w:rsidP="00EB1E69">
            <w:pPr>
              <w:numPr>
                <w:ilvl w:val="0"/>
                <w:numId w:val="15"/>
              </w:numPr>
              <w:tabs>
                <w:tab w:val="left" w:pos="425"/>
              </w:tabs>
              <w:spacing w:before="20" w:after="20" w:line="240" w:lineRule="auto"/>
              <w:jc w:val="both"/>
              <w:rPr>
                <w:rFonts w:cs="Tahoma"/>
                <w:b/>
                <w:bCs/>
                <w:color w:val="000000"/>
                <w:sz w:val="16"/>
                <w:szCs w:val="16"/>
                <w:lang w:eastAsia="tr-TR"/>
              </w:rPr>
            </w:pPr>
            <w:r w:rsidRPr="007647DA">
              <w:rPr>
                <w:rFonts w:cs="Tahoma"/>
                <w:b/>
                <w:bCs/>
                <w:color w:val="000000"/>
                <w:sz w:val="16"/>
                <w:szCs w:val="16"/>
                <w:lang w:eastAsia="tr-TR"/>
              </w:rPr>
              <w:lastRenderedPageBreak/>
              <w:t>Ulusal afet yönetimi ile ilgili kurumsal ve yasal çalışmalar yapılacaktır.</w:t>
            </w:r>
          </w:p>
        </w:tc>
      </w:tr>
      <w:tr w:rsidR="00565FD5" w:rsidRPr="007647DA" w:rsidTr="00AB62A3">
        <w:trPr>
          <w:trHeight w:val="20"/>
          <w:jc w:val="center"/>
        </w:trPr>
        <w:tc>
          <w:tcPr>
            <w:tcW w:w="1411" w:type="pct"/>
          </w:tcPr>
          <w:p w:rsidR="00565FD5" w:rsidRPr="007647DA" w:rsidRDefault="00565FD5" w:rsidP="00EB1E69">
            <w:pPr>
              <w:numPr>
                <w:ilvl w:val="0"/>
                <w:numId w:val="14"/>
              </w:numPr>
              <w:tabs>
                <w:tab w:val="left" w:pos="425"/>
              </w:tabs>
              <w:spacing w:before="20" w:after="20" w:line="240" w:lineRule="auto"/>
              <w:rPr>
                <w:rFonts w:cs="Tahoma"/>
                <w:color w:val="000000"/>
                <w:sz w:val="16"/>
                <w:szCs w:val="16"/>
                <w:lang w:eastAsia="tr-TR"/>
              </w:rPr>
            </w:pPr>
            <w:r w:rsidRPr="007647DA">
              <w:rPr>
                <w:rFonts w:cs="Tahoma"/>
                <w:color w:val="000000"/>
                <w:sz w:val="16"/>
                <w:szCs w:val="16"/>
                <w:lang w:eastAsia="tr-TR"/>
              </w:rPr>
              <w:t>Afetlerle ilgili mevzuat tüm yönleriyle yeniden ele alınacaktır.</w:t>
            </w:r>
          </w:p>
        </w:tc>
        <w:tc>
          <w:tcPr>
            <w:tcW w:w="1377" w:type="pct"/>
          </w:tcPr>
          <w:p w:rsidR="00565FD5" w:rsidRPr="007647DA" w:rsidRDefault="00565FD5" w:rsidP="00AB62A3">
            <w:pPr>
              <w:spacing w:before="20" w:after="20"/>
              <w:rPr>
                <w:rFonts w:cs="Tahoma"/>
                <w:color w:val="000000"/>
                <w:sz w:val="16"/>
                <w:szCs w:val="16"/>
                <w:lang w:eastAsia="tr-TR"/>
              </w:rPr>
            </w:pPr>
            <w:r>
              <w:rPr>
                <w:rFonts w:cs="Tahoma"/>
                <w:color w:val="000000"/>
                <w:sz w:val="16"/>
                <w:szCs w:val="16"/>
                <w:lang w:eastAsia="tr-TR"/>
              </w:rPr>
              <w:t>AFAD</w:t>
            </w:r>
            <w:r w:rsidRPr="007647DA">
              <w:rPr>
                <w:rFonts w:cs="Tahoma"/>
                <w:color w:val="000000"/>
                <w:sz w:val="16"/>
                <w:szCs w:val="16"/>
                <w:lang w:eastAsia="tr-TR"/>
              </w:rPr>
              <w:t xml:space="preserve"> (S)</w:t>
            </w:r>
            <w:r>
              <w:rPr>
                <w:rFonts w:cs="Tahoma"/>
                <w:color w:val="000000"/>
                <w:sz w:val="16"/>
                <w:szCs w:val="16"/>
                <w:lang w:eastAsia="tr-TR"/>
              </w:rPr>
              <w:t>, İlgili Kurum ve Kuruluşlar</w:t>
            </w:r>
          </w:p>
        </w:tc>
        <w:tc>
          <w:tcPr>
            <w:tcW w:w="529" w:type="pct"/>
          </w:tcPr>
          <w:p w:rsidR="00565FD5" w:rsidRPr="007647DA" w:rsidRDefault="00565FD5" w:rsidP="00AB62A3">
            <w:pPr>
              <w:spacing w:before="20" w:after="20"/>
              <w:rPr>
                <w:rFonts w:cs="Tahoma"/>
                <w:color w:val="000000"/>
                <w:sz w:val="16"/>
                <w:szCs w:val="16"/>
                <w:lang w:eastAsia="tr-TR"/>
              </w:rPr>
            </w:pPr>
            <w:r w:rsidRPr="007647DA" w:rsidDel="00E41A18">
              <w:rPr>
                <w:rFonts w:cs="Tahoma"/>
                <w:color w:val="000000"/>
                <w:sz w:val="16"/>
                <w:szCs w:val="16"/>
                <w:lang w:eastAsia="tr-TR"/>
              </w:rPr>
              <w:t xml:space="preserve">Aralık </w:t>
            </w:r>
            <w:r w:rsidRPr="007647DA">
              <w:rPr>
                <w:rFonts w:cs="Tahoma"/>
                <w:color w:val="000000"/>
                <w:sz w:val="16"/>
                <w:szCs w:val="16"/>
                <w:lang w:eastAsia="tr-TR"/>
              </w:rPr>
              <w:t>Sonu</w:t>
            </w:r>
          </w:p>
        </w:tc>
        <w:tc>
          <w:tcPr>
            <w:tcW w:w="1683" w:type="pct"/>
          </w:tcPr>
          <w:p w:rsidR="00565FD5" w:rsidRPr="007647DA" w:rsidRDefault="00565FD5" w:rsidP="00AB62A3">
            <w:pPr>
              <w:spacing w:before="20" w:after="20"/>
              <w:rPr>
                <w:rFonts w:cs="Tahoma"/>
                <w:color w:val="000000"/>
                <w:sz w:val="16"/>
                <w:szCs w:val="16"/>
                <w:lang w:eastAsia="tr-TR"/>
              </w:rPr>
            </w:pPr>
            <w:r w:rsidRPr="007647DA">
              <w:rPr>
                <w:rFonts w:cs="Tahoma"/>
                <w:color w:val="000000"/>
                <w:sz w:val="16"/>
                <w:szCs w:val="16"/>
                <w:lang w:eastAsia="tr-TR"/>
              </w:rPr>
              <w:t xml:space="preserve">Başta 7269 sayılı Umumi Hayata Müessir Afetler Dolayısıyla Alınacak Tedbirlerle Yapılacak Yardımlara Dair Kanun ve ilgili yönetmelikleri olmak üzere afetlerle ilgili mevzuat risk yönetimine ağırlık verilerek ve imar mevzuatıyla bağlantısı kurularak yeniden ele alınacaktır. </w:t>
            </w:r>
          </w:p>
        </w:tc>
      </w:tr>
      <w:tr w:rsidR="00565FD5" w:rsidRPr="007647DA" w:rsidTr="00AB62A3">
        <w:trPr>
          <w:trHeight w:val="313"/>
          <w:jc w:val="center"/>
        </w:trPr>
        <w:tc>
          <w:tcPr>
            <w:tcW w:w="1411" w:type="pct"/>
            <w:vMerge w:val="restart"/>
          </w:tcPr>
          <w:p w:rsidR="00565FD5" w:rsidRPr="007647DA" w:rsidRDefault="00565FD5" w:rsidP="00EB1E69">
            <w:pPr>
              <w:numPr>
                <w:ilvl w:val="0"/>
                <w:numId w:val="14"/>
              </w:numPr>
              <w:tabs>
                <w:tab w:val="left" w:pos="425"/>
              </w:tabs>
              <w:spacing w:before="20" w:after="20" w:line="240" w:lineRule="auto"/>
              <w:rPr>
                <w:rFonts w:cs="Tahoma"/>
                <w:color w:val="000000"/>
                <w:sz w:val="16"/>
                <w:szCs w:val="16"/>
                <w:lang w:eastAsia="tr-TR"/>
              </w:rPr>
            </w:pPr>
            <w:r w:rsidRPr="007647DA">
              <w:rPr>
                <w:rFonts w:cs="Tahoma"/>
                <w:color w:val="000000"/>
                <w:sz w:val="16"/>
                <w:szCs w:val="16"/>
                <w:lang w:eastAsia="tr-TR"/>
              </w:rPr>
              <w:t>Ulusal Afet Yönetim Stratejisi ve Eylem Planı tamamlanacaktır.</w:t>
            </w:r>
          </w:p>
        </w:tc>
        <w:tc>
          <w:tcPr>
            <w:tcW w:w="1377" w:type="pct"/>
            <w:vMerge w:val="restart"/>
          </w:tcPr>
          <w:p w:rsidR="00565FD5" w:rsidRPr="007647DA" w:rsidRDefault="00565FD5" w:rsidP="00AB62A3">
            <w:pPr>
              <w:spacing w:before="20" w:after="20"/>
              <w:rPr>
                <w:rFonts w:cs="Tahoma"/>
                <w:color w:val="000000"/>
                <w:sz w:val="16"/>
                <w:szCs w:val="16"/>
                <w:lang w:eastAsia="tr-TR"/>
              </w:rPr>
            </w:pPr>
            <w:r w:rsidRPr="007647DA">
              <w:rPr>
                <w:rFonts w:cs="Tahoma"/>
                <w:color w:val="000000"/>
                <w:sz w:val="16"/>
                <w:szCs w:val="16"/>
                <w:lang w:eastAsia="tr-TR"/>
              </w:rPr>
              <w:t>Afet ve Acil Durum Yönetimi Başkanlığı (S), İçişleri Bakanlığı, Çevre ve Şehircilik Bakanlığı, Yerel Yönetimler, İlgili STK’lar</w:t>
            </w:r>
          </w:p>
        </w:tc>
        <w:tc>
          <w:tcPr>
            <w:tcW w:w="529" w:type="pct"/>
            <w:vMerge w:val="restart"/>
          </w:tcPr>
          <w:p w:rsidR="00565FD5" w:rsidRPr="007647DA" w:rsidRDefault="00565FD5" w:rsidP="00AB62A3">
            <w:pPr>
              <w:spacing w:before="20" w:after="20"/>
              <w:rPr>
                <w:rFonts w:cs="Tahoma"/>
                <w:color w:val="000000"/>
                <w:sz w:val="16"/>
                <w:szCs w:val="16"/>
                <w:lang w:eastAsia="tr-TR"/>
              </w:rPr>
            </w:pPr>
            <w:r w:rsidRPr="007647DA">
              <w:rPr>
                <w:rFonts w:cs="Tahoma"/>
                <w:color w:val="000000"/>
                <w:sz w:val="16"/>
                <w:szCs w:val="16"/>
                <w:lang w:eastAsia="tr-TR"/>
              </w:rPr>
              <w:t>Haziran Sonu</w:t>
            </w:r>
          </w:p>
        </w:tc>
        <w:tc>
          <w:tcPr>
            <w:tcW w:w="1683" w:type="pct"/>
            <w:vMerge w:val="restart"/>
          </w:tcPr>
          <w:p w:rsidR="00565FD5" w:rsidRPr="007647DA" w:rsidRDefault="00565FD5" w:rsidP="00AB62A3">
            <w:pPr>
              <w:spacing w:before="20" w:after="20"/>
              <w:rPr>
                <w:rFonts w:cs="Tahoma"/>
                <w:color w:val="000000"/>
                <w:sz w:val="16"/>
                <w:szCs w:val="16"/>
                <w:lang w:eastAsia="tr-TR"/>
              </w:rPr>
            </w:pPr>
            <w:r w:rsidRPr="007647DA">
              <w:rPr>
                <w:rFonts w:cs="Tahoma"/>
                <w:color w:val="000000"/>
                <w:sz w:val="16"/>
                <w:szCs w:val="16"/>
                <w:lang w:eastAsia="tr-TR"/>
              </w:rPr>
              <w:t>Risk azaltma, hazırlık, müdahale ve yeniden yapım süreçlerinde gerçekleştirilecek faaliyetler, sorumlu kuruluş-faaliyet-bütçe ilişkisi içinde değerlendirilerek afet yönetiminin etkinliğinin artması sağlanacaktır. Ulusal Afet Yönetim Stratejisinin Ulusal Deprem Stratejisiyle bütünlüğü kurulacaktır.</w:t>
            </w:r>
          </w:p>
        </w:tc>
      </w:tr>
      <w:tr w:rsidR="00565FD5" w:rsidRPr="007647DA" w:rsidTr="00AB62A3">
        <w:trPr>
          <w:trHeight w:val="433"/>
          <w:jc w:val="center"/>
        </w:trPr>
        <w:tc>
          <w:tcPr>
            <w:tcW w:w="1411" w:type="pct"/>
            <w:vMerge/>
            <w:vAlign w:val="center"/>
          </w:tcPr>
          <w:p w:rsidR="00565FD5" w:rsidRPr="007647DA" w:rsidRDefault="00565FD5" w:rsidP="00AB62A3">
            <w:pPr>
              <w:spacing w:before="20" w:after="20"/>
              <w:rPr>
                <w:rFonts w:cs="Tahoma"/>
                <w:color w:val="000000"/>
                <w:sz w:val="16"/>
                <w:szCs w:val="16"/>
                <w:lang w:eastAsia="tr-TR"/>
              </w:rPr>
            </w:pPr>
          </w:p>
        </w:tc>
        <w:tc>
          <w:tcPr>
            <w:tcW w:w="1377" w:type="pct"/>
            <w:vMerge/>
            <w:vAlign w:val="center"/>
          </w:tcPr>
          <w:p w:rsidR="00565FD5" w:rsidRPr="007647DA" w:rsidRDefault="00565FD5" w:rsidP="00AB62A3">
            <w:pPr>
              <w:spacing w:before="20" w:after="20"/>
              <w:rPr>
                <w:rFonts w:cs="Tahoma"/>
                <w:color w:val="000000"/>
                <w:sz w:val="16"/>
                <w:szCs w:val="16"/>
                <w:lang w:eastAsia="tr-TR"/>
              </w:rPr>
            </w:pPr>
          </w:p>
        </w:tc>
        <w:tc>
          <w:tcPr>
            <w:tcW w:w="529" w:type="pct"/>
            <w:vMerge/>
            <w:vAlign w:val="center"/>
          </w:tcPr>
          <w:p w:rsidR="00565FD5" w:rsidRPr="007647DA" w:rsidRDefault="00565FD5" w:rsidP="00AB62A3">
            <w:pPr>
              <w:spacing w:before="20" w:after="20"/>
              <w:rPr>
                <w:rFonts w:cs="Tahoma"/>
                <w:color w:val="000000"/>
                <w:sz w:val="16"/>
                <w:szCs w:val="16"/>
                <w:lang w:eastAsia="tr-TR"/>
              </w:rPr>
            </w:pPr>
          </w:p>
        </w:tc>
        <w:tc>
          <w:tcPr>
            <w:tcW w:w="1683" w:type="pct"/>
            <w:vMerge/>
            <w:vAlign w:val="center"/>
          </w:tcPr>
          <w:p w:rsidR="00565FD5" w:rsidRPr="007647DA" w:rsidRDefault="00565FD5" w:rsidP="00AB62A3">
            <w:pPr>
              <w:spacing w:before="20" w:after="20"/>
              <w:rPr>
                <w:rFonts w:cs="Tahoma"/>
                <w:color w:val="000000"/>
                <w:sz w:val="16"/>
                <w:szCs w:val="16"/>
                <w:lang w:eastAsia="tr-TR"/>
              </w:rPr>
            </w:pPr>
          </w:p>
        </w:tc>
      </w:tr>
      <w:tr w:rsidR="00565FD5" w:rsidRPr="007647DA" w:rsidTr="00AB62A3">
        <w:trPr>
          <w:trHeight w:val="313"/>
          <w:jc w:val="center"/>
        </w:trPr>
        <w:tc>
          <w:tcPr>
            <w:tcW w:w="1411" w:type="pct"/>
            <w:vMerge w:val="restart"/>
          </w:tcPr>
          <w:p w:rsidR="00565FD5" w:rsidRPr="007647DA" w:rsidRDefault="00565FD5" w:rsidP="00EB1E69">
            <w:pPr>
              <w:numPr>
                <w:ilvl w:val="0"/>
                <w:numId w:val="14"/>
              </w:numPr>
              <w:tabs>
                <w:tab w:val="left" w:pos="425"/>
              </w:tabs>
              <w:spacing w:before="20" w:after="20" w:line="240" w:lineRule="auto"/>
              <w:rPr>
                <w:rFonts w:cs="Tahoma"/>
                <w:color w:val="000000"/>
                <w:sz w:val="16"/>
                <w:szCs w:val="16"/>
                <w:lang w:eastAsia="tr-TR"/>
              </w:rPr>
            </w:pPr>
            <w:r w:rsidRPr="007647DA">
              <w:rPr>
                <w:rFonts w:cs="Tahoma"/>
                <w:color w:val="000000"/>
                <w:sz w:val="16"/>
                <w:szCs w:val="16"/>
                <w:lang w:eastAsia="tr-TR"/>
              </w:rPr>
              <w:t xml:space="preserve">Ulusal Afet ve Acil Durum Bilgi Yönetim Sistemi kurulacaktır. </w:t>
            </w:r>
          </w:p>
        </w:tc>
        <w:tc>
          <w:tcPr>
            <w:tcW w:w="1377" w:type="pct"/>
            <w:vMerge w:val="restart"/>
          </w:tcPr>
          <w:p w:rsidR="00565FD5" w:rsidRPr="007647DA" w:rsidRDefault="00565FD5" w:rsidP="00AB62A3">
            <w:pPr>
              <w:spacing w:before="20" w:after="20"/>
              <w:rPr>
                <w:rFonts w:cs="Tahoma"/>
                <w:color w:val="000000"/>
                <w:sz w:val="16"/>
                <w:szCs w:val="16"/>
                <w:lang w:eastAsia="tr-TR"/>
              </w:rPr>
            </w:pPr>
            <w:r w:rsidRPr="007647DA">
              <w:rPr>
                <w:rFonts w:cs="Tahoma"/>
                <w:color w:val="000000"/>
                <w:sz w:val="16"/>
                <w:szCs w:val="16"/>
                <w:lang w:eastAsia="tr-TR"/>
              </w:rPr>
              <w:t>Afet ve Acil Durum Yönetimi Başkanlığı (S), Yerel Yönetimler, İl Afet Acil Durum Müdürlükleri</w:t>
            </w:r>
          </w:p>
        </w:tc>
        <w:tc>
          <w:tcPr>
            <w:tcW w:w="529" w:type="pct"/>
            <w:vMerge w:val="restart"/>
          </w:tcPr>
          <w:p w:rsidR="00565FD5" w:rsidRPr="007647DA" w:rsidRDefault="00565FD5" w:rsidP="00AB62A3">
            <w:pPr>
              <w:spacing w:before="20" w:after="20"/>
              <w:rPr>
                <w:rFonts w:cs="Tahoma"/>
                <w:color w:val="000000"/>
                <w:sz w:val="16"/>
                <w:szCs w:val="16"/>
                <w:lang w:eastAsia="tr-TR"/>
              </w:rPr>
            </w:pPr>
            <w:r w:rsidRPr="007647DA">
              <w:rPr>
                <w:rFonts w:cs="Tahoma"/>
                <w:color w:val="000000"/>
                <w:sz w:val="16"/>
                <w:szCs w:val="16"/>
                <w:lang w:eastAsia="tr-TR"/>
              </w:rPr>
              <w:t>Aralık Sonu</w:t>
            </w:r>
          </w:p>
        </w:tc>
        <w:tc>
          <w:tcPr>
            <w:tcW w:w="1683" w:type="pct"/>
            <w:vMerge w:val="restart"/>
          </w:tcPr>
          <w:p w:rsidR="00565FD5" w:rsidRPr="007647DA" w:rsidRDefault="00565FD5" w:rsidP="00AB62A3">
            <w:pPr>
              <w:spacing w:before="20" w:after="20"/>
              <w:rPr>
                <w:rFonts w:cs="Tahoma"/>
                <w:color w:val="000000"/>
                <w:sz w:val="16"/>
                <w:szCs w:val="16"/>
                <w:lang w:eastAsia="tr-TR"/>
              </w:rPr>
            </w:pPr>
            <w:r w:rsidRPr="007647DA">
              <w:rPr>
                <w:rFonts w:cs="Tahoma"/>
                <w:color w:val="000000"/>
                <w:sz w:val="16"/>
                <w:szCs w:val="16"/>
                <w:lang w:eastAsia="tr-TR"/>
              </w:rPr>
              <w:t>Afetlerle ilgili coğrafi, sosyal, beşeri özellikler ile donanım, makine-teçhizat ve insan kaynağı gibi bilgilerin yer alacağı ve altlık afet bilgilerini içeren mevcut Afet Bilgi Sistemi ile entegre çalışacak olan Ulusal Afet ve Acil Durum Bilgi Yönetim Sistemi, afet ve acil durum yönetiminde yer alan diğer kamu kurum ve kuruluşlarının mevcut uygulamalarının da entegrasyonu sağlanmış şekilde tasarlanacaktır.</w:t>
            </w:r>
          </w:p>
        </w:tc>
      </w:tr>
      <w:tr w:rsidR="00565FD5" w:rsidRPr="007647DA" w:rsidTr="00AB62A3">
        <w:trPr>
          <w:trHeight w:val="353"/>
          <w:jc w:val="center"/>
        </w:trPr>
        <w:tc>
          <w:tcPr>
            <w:tcW w:w="1411" w:type="pct"/>
            <w:vMerge/>
            <w:vAlign w:val="center"/>
          </w:tcPr>
          <w:p w:rsidR="00565FD5" w:rsidRPr="007647DA" w:rsidRDefault="00565FD5" w:rsidP="00AB62A3">
            <w:pPr>
              <w:spacing w:before="20" w:after="20"/>
              <w:rPr>
                <w:rFonts w:cs="Tahoma"/>
                <w:color w:val="000000"/>
                <w:sz w:val="16"/>
                <w:szCs w:val="16"/>
                <w:lang w:eastAsia="tr-TR"/>
              </w:rPr>
            </w:pPr>
          </w:p>
        </w:tc>
        <w:tc>
          <w:tcPr>
            <w:tcW w:w="1377" w:type="pct"/>
            <w:vMerge/>
            <w:vAlign w:val="center"/>
          </w:tcPr>
          <w:p w:rsidR="00565FD5" w:rsidRPr="007647DA" w:rsidRDefault="00565FD5" w:rsidP="00AB62A3">
            <w:pPr>
              <w:spacing w:before="20" w:after="20"/>
              <w:rPr>
                <w:rFonts w:cs="Tahoma"/>
                <w:color w:val="000000"/>
                <w:sz w:val="16"/>
                <w:szCs w:val="16"/>
                <w:lang w:eastAsia="tr-TR"/>
              </w:rPr>
            </w:pPr>
          </w:p>
        </w:tc>
        <w:tc>
          <w:tcPr>
            <w:tcW w:w="529" w:type="pct"/>
            <w:vMerge/>
            <w:vAlign w:val="center"/>
          </w:tcPr>
          <w:p w:rsidR="00565FD5" w:rsidRPr="007647DA" w:rsidRDefault="00565FD5" w:rsidP="00AB62A3">
            <w:pPr>
              <w:spacing w:before="20" w:after="20"/>
              <w:rPr>
                <w:rFonts w:cs="Tahoma"/>
                <w:color w:val="000000"/>
                <w:sz w:val="16"/>
                <w:szCs w:val="16"/>
                <w:lang w:eastAsia="tr-TR"/>
              </w:rPr>
            </w:pPr>
          </w:p>
        </w:tc>
        <w:tc>
          <w:tcPr>
            <w:tcW w:w="1683" w:type="pct"/>
            <w:vMerge/>
            <w:vAlign w:val="center"/>
          </w:tcPr>
          <w:p w:rsidR="00565FD5" w:rsidRPr="007647DA" w:rsidRDefault="00565FD5" w:rsidP="00AB62A3">
            <w:pPr>
              <w:spacing w:before="20" w:after="20"/>
              <w:rPr>
                <w:rFonts w:cs="Tahoma"/>
                <w:color w:val="000000"/>
                <w:sz w:val="16"/>
                <w:szCs w:val="16"/>
                <w:lang w:eastAsia="tr-TR"/>
              </w:rPr>
            </w:pPr>
          </w:p>
        </w:tc>
      </w:tr>
      <w:tr w:rsidR="00565FD5" w:rsidRPr="007647DA" w:rsidTr="00AB62A3">
        <w:trPr>
          <w:trHeight w:val="20"/>
          <w:jc w:val="center"/>
        </w:trPr>
        <w:tc>
          <w:tcPr>
            <w:tcW w:w="5000" w:type="pct"/>
            <w:gridSpan w:val="4"/>
          </w:tcPr>
          <w:p w:rsidR="00565FD5" w:rsidRPr="007647DA" w:rsidRDefault="00565FD5" w:rsidP="00EB1E69">
            <w:pPr>
              <w:numPr>
                <w:ilvl w:val="0"/>
                <w:numId w:val="15"/>
              </w:numPr>
              <w:tabs>
                <w:tab w:val="left" w:pos="425"/>
              </w:tabs>
              <w:spacing w:before="20" w:after="20" w:line="240" w:lineRule="auto"/>
              <w:jc w:val="both"/>
              <w:rPr>
                <w:rFonts w:cs="Tahoma"/>
                <w:b/>
                <w:bCs/>
                <w:color w:val="000000"/>
                <w:sz w:val="16"/>
                <w:szCs w:val="16"/>
                <w:lang w:eastAsia="tr-TR"/>
              </w:rPr>
            </w:pPr>
            <w:r w:rsidRPr="007647DA">
              <w:rPr>
                <w:rFonts w:cs="Tahoma"/>
                <w:b/>
                <w:bCs/>
                <w:color w:val="000000"/>
                <w:sz w:val="16"/>
                <w:szCs w:val="16"/>
                <w:lang w:eastAsia="tr-TR"/>
              </w:rPr>
              <w:t>Ülke genelinde doğal afet riski taşıyan yerleşim yerleri afet risk düzeyine göre önceliklendirilecek, riskin planlı bir şekilde azaltılmasına yönelik teknik ve mali çalışmalar sonuçlandırılacak, halkın bilinçlendirilmesine yönelik faaliyetler yürütülecektir.</w:t>
            </w:r>
          </w:p>
        </w:tc>
      </w:tr>
      <w:tr w:rsidR="00565FD5" w:rsidRPr="007647DA" w:rsidTr="00AB62A3">
        <w:trPr>
          <w:trHeight w:val="20"/>
          <w:jc w:val="center"/>
        </w:trPr>
        <w:tc>
          <w:tcPr>
            <w:tcW w:w="1411" w:type="pct"/>
          </w:tcPr>
          <w:p w:rsidR="00565FD5" w:rsidRPr="007647DA" w:rsidRDefault="00565FD5" w:rsidP="00EB1E69">
            <w:pPr>
              <w:numPr>
                <w:ilvl w:val="0"/>
                <w:numId w:val="14"/>
              </w:numPr>
              <w:tabs>
                <w:tab w:val="left" w:pos="425"/>
              </w:tabs>
              <w:spacing w:before="20" w:after="20" w:line="240" w:lineRule="auto"/>
              <w:rPr>
                <w:rFonts w:cs="Tahoma"/>
                <w:color w:val="000000"/>
                <w:sz w:val="16"/>
                <w:szCs w:val="16"/>
                <w:lang w:eastAsia="tr-TR"/>
              </w:rPr>
            </w:pPr>
            <w:r w:rsidRPr="007647DA">
              <w:rPr>
                <w:rFonts w:cs="Tahoma"/>
                <w:color w:val="000000"/>
                <w:sz w:val="16"/>
                <w:szCs w:val="16"/>
                <w:lang w:eastAsia="tr-TR"/>
              </w:rPr>
              <w:t>Bütünleşik afet tehlike haritalarının hazırlanma esasları belirlenecektir.</w:t>
            </w:r>
          </w:p>
        </w:tc>
        <w:tc>
          <w:tcPr>
            <w:tcW w:w="1377" w:type="pct"/>
          </w:tcPr>
          <w:p w:rsidR="00565FD5" w:rsidRPr="007647DA" w:rsidRDefault="00565FD5" w:rsidP="00AB62A3">
            <w:pPr>
              <w:spacing w:before="20" w:after="20"/>
              <w:rPr>
                <w:rFonts w:cs="Tahoma"/>
                <w:color w:val="000000"/>
                <w:sz w:val="16"/>
                <w:szCs w:val="16"/>
                <w:lang w:eastAsia="tr-TR"/>
              </w:rPr>
            </w:pPr>
            <w:r w:rsidRPr="007647DA">
              <w:rPr>
                <w:rFonts w:cs="Tahoma"/>
                <w:color w:val="000000"/>
                <w:sz w:val="16"/>
                <w:szCs w:val="16"/>
                <w:lang w:eastAsia="tr-TR"/>
              </w:rPr>
              <w:t>Afet ve Acil Durum Yönetimi Başkanlığı (S), Yerel Yönetimler</w:t>
            </w:r>
          </w:p>
        </w:tc>
        <w:tc>
          <w:tcPr>
            <w:tcW w:w="529" w:type="pct"/>
          </w:tcPr>
          <w:p w:rsidR="00565FD5" w:rsidRPr="007647DA" w:rsidRDefault="00565FD5" w:rsidP="00AB62A3">
            <w:pPr>
              <w:spacing w:before="20" w:after="20"/>
              <w:rPr>
                <w:rFonts w:cs="Tahoma"/>
                <w:color w:val="000000"/>
                <w:sz w:val="16"/>
                <w:szCs w:val="16"/>
                <w:lang w:eastAsia="tr-TR"/>
              </w:rPr>
            </w:pPr>
            <w:r w:rsidRPr="007647DA">
              <w:rPr>
                <w:rFonts w:cs="Tahoma"/>
                <w:color w:val="000000"/>
                <w:sz w:val="16"/>
                <w:szCs w:val="16"/>
                <w:lang w:eastAsia="tr-TR"/>
              </w:rPr>
              <w:t>Haziran Sonu</w:t>
            </w:r>
          </w:p>
        </w:tc>
        <w:tc>
          <w:tcPr>
            <w:tcW w:w="1683" w:type="pct"/>
          </w:tcPr>
          <w:p w:rsidR="00565FD5" w:rsidRPr="007647DA" w:rsidRDefault="00565FD5" w:rsidP="00AB62A3">
            <w:pPr>
              <w:spacing w:before="20" w:after="20"/>
              <w:rPr>
                <w:rFonts w:cs="Tahoma"/>
                <w:color w:val="000000"/>
                <w:sz w:val="16"/>
                <w:szCs w:val="16"/>
                <w:lang w:eastAsia="tr-TR"/>
              </w:rPr>
            </w:pPr>
            <w:r w:rsidRPr="007647DA">
              <w:rPr>
                <w:rFonts w:cs="Tahoma"/>
                <w:color w:val="000000"/>
                <w:sz w:val="16"/>
                <w:szCs w:val="16"/>
                <w:lang w:eastAsia="tr-TR"/>
              </w:rPr>
              <w:t>Bütünleşik afet tehlike haritalarının hazırlanmasına yönelik standartlar belirlenecek ve kılavuzlar hazırlanacaktır.</w:t>
            </w:r>
          </w:p>
        </w:tc>
      </w:tr>
      <w:tr w:rsidR="00565FD5" w:rsidRPr="007647DA" w:rsidTr="00AB62A3">
        <w:trPr>
          <w:trHeight w:val="20"/>
          <w:jc w:val="center"/>
        </w:trPr>
        <w:tc>
          <w:tcPr>
            <w:tcW w:w="1411" w:type="pct"/>
          </w:tcPr>
          <w:p w:rsidR="00565FD5" w:rsidRPr="007647DA" w:rsidRDefault="00565FD5" w:rsidP="00EB1E69">
            <w:pPr>
              <w:numPr>
                <w:ilvl w:val="0"/>
                <w:numId w:val="14"/>
              </w:numPr>
              <w:tabs>
                <w:tab w:val="left" w:pos="425"/>
              </w:tabs>
              <w:spacing w:before="20" w:after="20" w:line="240" w:lineRule="auto"/>
              <w:rPr>
                <w:rFonts w:cs="Tahoma"/>
                <w:color w:val="000000"/>
                <w:sz w:val="16"/>
                <w:szCs w:val="16"/>
                <w:lang w:eastAsia="tr-TR"/>
              </w:rPr>
            </w:pPr>
            <w:r w:rsidRPr="007647DA">
              <w:rPr>
                <w:rFonts w:cs="Tahoma"/>
                <w:color w:val="000000"/>
                <w:sz w:val="16"/>
                <w:szCs w:val="16"/>
                <w:lang w:eastAsia="tr-TR"/>
              </w:rPr>
              <w:t>Ülke genelinde doğal afet riski taşıyan yerleşim yerleri afet risk düzeyine göre önceliklendirilecektir</w:t>
            </w:r>
          </w:p>
        </w:tc>
        <w:tc>
          <w:tcPr>
            <w:tcW w:w="1377" w:type="pct"/>
          </w:tcPr>
          <w:p w:rsidR="00565FD5" w:rsidRPr="007647DA" w:rsidRDefault="00565FD5" w:rsidP="00AB62A3">
            <w:pPr>
              <w:spacing w:before="20" w:after="20"/>
              <w:rPr>
                <w:rFonts w:cs="Tahoma"/>
                <w:color w:val="000000"/>
                <w:sz w:val="16"/>
                <w:szCs w:val="16"/>
                <w:lang w:eastAsia="tr-TR"/>
              </w:rPr>
            </w:pPr>
            <w:r w:rsidRPr="007647DA">
              <w:rPr>
                <w:rFonts w:cs="Tahoma"/>
                <w:color w:val="000000"/>
                <w:sz w:val="16"/>
                <w:szCs w:val="16"/>
                <w:lang w:eastAsia="tr-TR"/>
              </w:rPr>
              <w:t>Çevre ve Şehircilik Bakanlığı (S), Afet ve Acil Durum Yönetimi Başkanlığı, Yerel Yönetimler</w:t>
            </w:r>
          </w:p>
        </w:tc>
        <w:tc>
          <w:tcPr>
            <w:tcW w:w="529" w:type="pct"/>
          </w:tcPr>
          <w:p w:rsidR="00565FD5" w:rsidRPr="007647DA" w:rsidRDefault="00565FD5" w:rsidP="00AB62A3">
            <w:pPr>
              <w:spacing w:before="20" w:after="20"/>
              <w:rPr>
                <w:rFonts w:cs="Tahoma"/>
                <w:color w:val="000000"/>
                <w:sz w:val="16"/>
                <w:szCs w:val="16"/>
                <w:lang w:eastAsia="tr-TR"/>
              </w:rPr>
            </w:pPr>
            <w:r w:rsidRPr="007647DA">
              <w:rPr>
                <w:rFonts w:cs="Tahoma"/>
                <w:color w:val="000000"/>
                <w:sz w:val="16"/>
                <w:szCs w:val="16"/>
                <w:lang w:eastAsia="tr-TR"/>
              </w:rPr>
              <w:t>Aralık Sonu</w:t>
            </w:r>
          </w:p>
        </w:tc>
        <w:tc>
          <w:tcPr>
            <w:tcW w:w="1683" w:type="pct"/>
          </w:tcPr>
          <w:p w:rsidR="00565FD5" w:rsidRPr="007647DA" w:rsidRDefault="00565FD5" w:rsidP="00AB62A3">
            <w:pPr>
              <w:spacing w:before="20" w:after="20"/>
              <w:rPr>
                <w:rFonts w:cs="Tahoma"/>
                <w:color w:val="000000"/>
                <w:sz w:val="16"/>
                <w:szCs w:val="16"/>
                <w:lang w:eastAsia="tr-TR"/>
              </w:rPr>
            </w:pPr>
            <w:r w:rsidRPr="007647DA">
              <w:rPr>
                <w:rFonts w:cs="Tahoma"/>
                <w:color w:val="000000"/>
                <w:sz w:val="16"/>
                <w:szCs w:val="16"/>
                <w:lang w:eastAsia="tr-TR"/>
              </w:rPr>
              <w:t>Yerleşim yerlerinin afet risk düzeylerine göre önceliklendirilmesine yönelik bir envanter hazırlanacak ve bu doğrultuda, başta bina stoku ve sismik riskin değerlendirilmesi olmak üzere yöntem ve standartlar geliştirilecek ve risklerle ilgili bilinçlendirme faaliyetleri yürütülecektir.</w:t>
            </w:r>
          </w:p>
        </w:tc>
      </w:tr>
      <w:tr w:rsidR="00565FD5" w:rsidRPr="007647DA" w:rsidTr="00AB62A3">
        <w:trPr>
          <w:trHeight w:val="20"/>
          <w:jc w:val="center"/>
        </w:trPr>
        <w:tc>
          <w:tcPr>
            <w:tcW w:w="5000" w:type="pct"/>
            <w:gridSpan w:val="4"/>
          </w:tcPr>
          <w:p w:rsidR="00565FD5" w:rsidRPr="007647DA" w:rsidRDefault="00565FD5" w:rsidP="00EB1E69">
            <w:pPr>
              <w:numPr>
                <w:ilvl w:val="0"/>
                <w:numId w:val="15"/>
              </w:numPr>
              <w:tabs>
                <w:tab w:val="left" w:pos="425"/>
              </w:tabs>
              <w:spacing w:before="20" w:after="20" w:line="240" w:lineRule="auto"/>
              <w:jc w:val="both"/>
              <w:rPr>
                <w:rFonts w:cs="Tahoma"/>
                <w:b/>
                <w:bCs/>
                <w:sz w:val="16"/>
                <w:szCs w:val="16"/>
                <w:lang w:eastAsia="tr-TR"/>
              </w:rPr>
            </w:pPr>
            <w:r w:rsidRPr="007647DA">
              <w:rPr>
                <w:rFonts w:cs="Tahoma"/>
                <w:b/>
                <w:sz w:val="16"/>
                <w:szCs w:val="16"/>
              </w:rPr>
              <w:t>Merkezi ve yerel düzeyde gerçekleştirilecek afet riski azaltma çalışmaları bir bütünlük içinde yürütülecektir.</w:t>
            </w:r>
          </w:p>
        </w:tc>
      </w:tr>
      <w:tr w:rsidR="00565FD5" w:rsidRPr="007647DA" w:rsidTr="00AB62A3">
        <w:trPr>
          <w:trHeight w:val="297"/>
          <w:jc w:val="center"/>
        </w:trPr>
        <w:tc>
          <w:tcPr>
            <w:tcW w:w="1411" w:type="pct"/>
            <w:vMerge w:val="restart"/>
          </w:tcPr>
          <w:p w:rsidR="00565FD5" w:rsidRPr="007647DA" w:rsidRDefault="00565FD5" w:rsidP="00EB1E69">
            <w:pPr>
              <w:numPr>
                <w:ilvl w:val="0"/>
                <w:numId w:val="14"/>
              </w:numPr>
              <w:tabs>
                <w:tab w:val="left" w:pos="425"/>
              </w:tabs>
              <w:spacing w:before="20" w:after="20" w:line="240" w:lineRule="auto"/>
              <w:rPr>
                <w:rFonts w:cs="Tahoma"/>
                <w:color w:val="000000"/>
                <w:sz w:val="16"/>
                <w:szCs w:val="16"/>
                <w:lang w:eastAsia="tr-TR"/>
              </w:rPr>
            </w:pPr>
            <w:r w:rsidRPr="007647DA">
              <w:rPr>
                <w:rFonts w:cs="Tahoma"/>
                <w:color w:val="000000"/>
                <w:sz w:val="16"/>
                <w:szCs w:val="16"/>
                <w:lang w:eastAsia="tr-TR"/>
              </w:rPr>
              <w:t>Afetlere karşı dayanıklı yerleşim yerlerini oluşturmak üzere mikrobölgeleme çalışmalarına başlanacaktır.</w:t>
            </w:r>
          </w:p>
        </w:tc>
        <w:tc>
          <w:tcPr>
            <w:tcW w:w="1377" w:type="pct"/>
            <w:vMerge w:val="restart"/>
          </w:tcPr>
          <w:p w:rsidR="00565FD5" w:rsidRPr="007647DA" w:rsidRDefault="00565FD5" w:rsidP="00AB62A3">
            <w:pPr>
              <w:spacing w:before="20" w:after="20"/>
              <w:rPr>
                <w:rFonts w:cs="Tahoma"/>
                <w:color w:val="000000"/>
                <w:sz w:val="16"/>
                <w:szCs w:val="16"/>
                <w:lang w:eastAsia="tr-TR"/>
              </w:rPr>
            </w:pPr>
            <w:r w:rsidRPr="007647DA">
              <w:rPr>
                <w:rFonts w:cs="Tahoma"/>
                <w:color w:val="000000"/>
                <w:sz w:val="16"/>
                <w:szCs w:val="16"/>
                <w:lang w:eastAsia="tr-TR"/>
              </w:rPr>
              <w:t>Afet ve Acil Durum Yönetimi Başkanlığı (S), Çevre ve Şehircilik Bakanlığı, İçişleri Bakanlığı, Yerel Yönetimler</w:t>
            </w:r>
          </w:p>
        </w:tc>
        <w:tc>
          <w:tcPr>
            <w:tcW w:w="529" w:type="pct"/>
            <w:vMerge w:val="restart"/>
          </w:tcPr>
          <w:p w:rsidR="00565FD5" w:rsidRPr="007647DA" w:rsidRDefault="00565FD5" w:rsidP="00AB62A3">
            <w:pPr>
              <w:spacing w:before="20" w:after="20"/>
              <w:rPr>
                <w:rFonts w:cs="Tahoma"/>
                <w:color w:val="000000"/>
                <w:sz w:val="16"/>
                <w:szCs w:val="16"/>
                <w:lang w:eastAsia="tr-TR"/>
              </w:rPr>
            </w:pPr>
            <w:r w:rsidRPr="007647DA">
              <w:rPr>
                <w:rFonts w:cs="Tahoma"/>
                <w:color w:val="000000"/>
                <w:sz w:val="16"/>
                <w:szCs w:val="16"/>
                <w:lang w:eastAsia="tr-TR"/>
              </w:rPr>
              <w:t>Aralık Sonu</w:t>
            </w:r>
          </w:p>
        </w:tc>
        <w:tc>
          <w:tcPr>
            <w:tcW w:w="1683" w:type="pct"/>
            <w:vMerge w:val="restart"/>
          </w:tcPr>
          <w:p w:rsidR="00565FD5" w:rsidRPr="007647DA" w:rsidRDefault="00565FD5" w:rsidP="00AB62A3">
            <w:pPr>
              <w:spacing w:before="20" w:after="20"/>
              <w:rPr>
                <w:rFonts w:cs="Tahoma"/>
                <w:color w:val="000000"/>
                <w:sz w:val="16"/>
                <w:szCs w:val="16"/>
                <w:lang w:eastAsia="tr-TR"/>
              </w:rPr>
            </w:pPr>
            <w:r w:rsidRPr="007647DA">
              <w:rPr>
                <w:rFonts w:cs="Tahoma"/>
                <w:color w:val="000000"/>
                <w:sz w:val="16"/>
                <w:szCs w:val="16"/>
                <w:lang w:eastAsia="tr-TR"/>
              </w:rPr>
              <w:t xml:space="preserve">Mikrobölgeleme usul ve esaslarının belirlenmesine yönelik ikincil mevzuat </w:t>
            </w:r>
            <w:r w:rsidRPr="007647DA">
              <w:rPr>
                <w:color w:val="000000"/>
                <w:sz w:val="16"/>
              </w:rPr>
              <w:t>hazırlanarak yerel yönetimlerin mikrobölgeleme çalışmalarına başlamaları sağlanacaktır.</w:t>
            </w:r>
            <w:r w:rsidRPr="007647DA">
              <w:rPr>
                <w:rFonts w:cs="Tahoma"/>
                <w:color w:val="000000"/>
                <w:sz w:val="16"/>
                <w:szCs w:val="16"/>
                <w:lang w:eastAsia="tr-TR"/>
              </w:rPr>
              <w:t xml:space="preserve"> </w:t>
            </w:r>
          </w:p>
        </w:tc>
      </w:tr>
      <w:tr w:rsidR="00565FD5" w:rsidRPr="007647DA" w:rsidTr="00AB62A3">
        <w:trPr>
          <w:trHeight w:val="353"/>
          <w:jc w:val="center"/>
        </w:trPr>
        <w:tc>
          <w:tcPr>
            <w:tcW w:w="1411" w:type="pct"/>
            <w:vMerge/>
            <w:vAlign w:val="center"/>
          </w:tcPr>
          <w:p w:rsidR="00565FD5" w:rsidRPr="007647DA" w:rsidRDefault="00565FD5" w:rsidP="00AB62A3">
            <w:pPr>
              <w:spacing w:before="20" w:after="20"/>
              <w:rPr>
                <w:rFonts w:cs="Tahoma"/>
                <w:color w:val="000000"/>
                <w:sz w:val="16"/>
                <w:szCs w:val="16"/>
                <w:lang w:eastAsia="tr-TR"/>
              </w:rPr>
            </w:pPr>
          </w:p>
        </w:tc>
        <w:tc>
          <w:tcPr>
            <w:tcW w:w="1377" w:type="pct"/>
            <w:vMerge/>
            <w:vAlign w:val="center"/>
          </w:tcPr>
          <w:p w:rsidR="00565FD5" w:rsidRPr="007647DA" w:rsidRDefault="00565FD5" w:rsidP="00AB62A3">
            <w:pPr>
              <w:spacing w:before="20" w:after="20"/>
              <w:rPr>
                <w:rFonts w:cs="Tahoma"/>
                <w:color w:val="000000"/>
                <w:sz w:val="16"/>
                <w:szCs w:val="16"/>
                <w:lang w:eastAsia="tr-TR"/>
              </w:rPr>
            </w:pPr>
          </w:p>
        </w:tc>
        <w:tc>
          <w:tcPr>
            <w:tcW w:w="529" w:type="pct"/>
            <w:vMerge/>
            <w:vAlign w:val="center"/>
          </w:tcPr>
          <w:p w:rsidR="00565FD5" w:rsidRPr="007647DA" w:rsidRDefault="00565FD5" w:rsidP="00AB62A3">
            <w:pPr>
              <w:spacing w:before="20" w:after="20"/>
              <w:rPr>
                <w:rFonts w:cs="Tahoma"/>
                <w:color w:val="000000"/>
                <w:sz w:val="16"/>
                <w:szCs w:val="16"/>
                <w:lang w:eastAsia="tr-TR"/>
              </w:rPr>
            </w:pPr>
          </w:p>
        </w:tc>
        <w:tc>
          <w:tcPr>
            <w:tcW w:w="1683" w:type="pct"/>
            <w:vMerge/>
            <w:vAlign w:val="center"/>
          </w:tcPr>
          <w:p w:rsidR="00565FD5" w:rsidRPr="007647DA" w:rsidRDefault="00565FD5" w:rsidP="00AB62A3">
            <w:pPr>
              <w:spacing w:before="20" w:after="20"/>
              <w:rPr>
                <w:rFonts w:cs="Tahoma"/>
                <w:color w:val="000000"/>
                <w:sz w:val="16"/>
                <w:szCs w:val="16"/>
                <w:lang w:eastAsia="tr-TR"/>
              </w:rPr>
            </w:pPr>
          </w:p>
        </w:tc>
      </w:tr>
      <w:tr w:rsidR="00565FD5" w:rsidRPr="007647DA" w:rsidTr="00AB62A3">
        <w:trPr>
          <w:trHeight w:val="353"/>
          <w:jc w:val="center"/>
        </w:trPr>
        <w:tc>
          <w:tcPr>
            <w:tcW w:w="1411" w:type="pct"/>
            <w:vMerge/>
            <w:vAlign w:val="center"/>
          </w:tcPr>
          <w:p w:rsidR="00565FD5" w:rsidRPr="007647DA" w:rsidRDefault="00565FD5" w:rsidP="00AB62A3">
            <w:pPr>
              <w:spacing w:before="20" w:after="20"/>
              <w:rPr>
                <w:rFonts w:cs="Tahoma"/>
                <w:color w:val="000000"/>
                <w:sz w:val="16"/>
                <w:szCs w:val="16"/>
                <w:lang w:eastAsia="tr-TR"/>
              </w:rPr>
            </w:pPr>
          </w:p>
        </w:tc>
        <w:tc>
          <w:tcPr>
            <w:tcW w:w="1377" w:type="pct"/>
            <w:vMerge/>
            <w:vAlign w:val="center"/>
          </w:tcPr>
          <w:p w:rsidR="00565FD5" w:rsidRPr="007647DA" w:rsidRDefault="00565FD5" w:rsidP="00AB62A3">
            <w:pPr>
              <w:spacing w:before="20" w:after="20"/>
              <w:rPr>
                <w:rFonts w:cs="Tahoma"/>
                <w:color w:val="000000"/>
                <w:sz w:val="16"/>
                <w:szCs w:val="16"/>
                <w:lang w:eastAsia="tr-TR"/>
              </w:rPr>
            </w:pPr>
          </w:p>
        </w:tc>
        <w:tc>
          <w:tcPr>
            <w:tcW w:w="529" w:type="pct"/>
            <w:vMerge/>
            <w:vAlign w:val="center"/>
          </w:tcPr>
          <w:p w:rsidR="00565FD5" w:rsidRPr="007647DA" w:rsidRDefault="00565FD5" w:rsidP="00AB62A3">
            <w:pPr>
              <w:spacing w:before="20" w:after="20"/>
              <w:rPr>
                <w:rFonts w:cs="Tahoma"/>
                <w:color w:val="000000"/>
                <w:sz w:val="16"/>
                <w:szCs w:val="16"/>
                <w:lang w:eastAsia="tr-TR"/>
              </w:rPr>
            </w:pPr>
          </w:p>
        </w:tc>
        <w:tc>
          <w:tcPr>
            <w:tcW w:w="1683" w:type="pct"/>
            <w:vMerge/>
            <w:vAlign w:val="center"/>
          </w:tcPr>
          <w:p w:rsidR="00565FD5" w:rsidRPr="007647DA" w:rsidRDefault="00565FD5" w:rsidP="00AB62A3">
            <w:pPr>
              <w:spacing w:before="20" w:after="20"/>
              <w:rPr>
                <w:rFonts w:cs="Tahoma"/>
                <w:color w:val="000000"/>
                <w:sz w:val="16"/>
                <w:szCs w:val="16"/>
                <w:lang w:eastAsia="tr-TR"/>
              </w:rPr>
            </w:pPr>
          </w:p>
        </w:tc>
      </w:tr>
    </w:tbl>
    <w:p w:rsidR="00565FD5" w:rsidRDefault="00565FD5" w:rsidP="00565FD5">
      <w:pPr>
        <w:spacing w:after="120"/>
        <w:rPr>
          <w:rFonts w:cs="Tahoma"/>
        </w:rPr>
      </w:pPr>
    </w:p>
    <w:p w:rsidR="00565FD5" w:rsidRPr="007647DA" w:rsidRDefault="00565FD5" w:rsidP="00565FD5">
      <w:pPr>
        <w:spacing w:after="120"/>
        <w:rPr>
          <w:rFonts w:cs="Tahoma"/>
        </w:rPr>
      </w:pPr>
    </w:p>
    <w:p w:rsidR="00565FD5" w:rsidRPr="005620E6" w:rsidRDefault="00565FD5" w:rsidP="00565FD5">
      <w:pPr>
        <w:pStyle w:val="Balk1"/>
        <w:jc w:val="center"/>
      </w:pPr>
      <w:bookmarkStart w:id="3331" w:name="_Toc338494278"/>
      <w:bookmarkStart w:id="3332" w:name="_Toc338505691"/>
      <w:bookmarkStart w:id="3333" w:name="_Toc338523925"/>
      <w:bookmarkStart w:id="3334" w:name="_Toc338524156"/>
      <w:bookmarkStart w:id="3335" w:name="_Toc338526382"/>
      <w:bookmarkStart w:id="3336" w:name="_Toc338673825"/>
      <w:bookmarkStart w:id="3337" w:name="_Toc338711704"/>
      <w:bookmarkStart w:id="3338" w:name="TOC276076418"/>
      <w:bookmarkStart w:id="3339" w:name="_Toc307602139"/>
      <w:bookmarkStart w:id="3340" w:name="_Toc307670577"/>
      <w:bookmarkStart w:id="3341" w:name="_Toc307701804"/>
      <w:r w:rsidRPr="005620E6">
        <w:t>BEŞİNCİ BÖLÜM</w:t>
      </w:r>
      <w:bookmarkEnd w:id="3331"/>
      <w:bookmarkEnd w:id="3332"/>
      <w:bookmarkEnd w:id="3333"/>
      <w:bookmarkEnd w:id="3334"/>
      <w:bookmarkEnd w:id="3335"/>
      <w:bookmarkEnd w:id="3336"/>
      <w:bookmarkEnd w:id="3337"/>
    </w:p>
    <w:p w:rsidR="00565FD5" w:rsidRPr="005620E6" w:rsidRDefault="00565FD5" w:rsidP="00565FD5">
      <w:pPr>
        <w:pStyle w:val="Balk1"/>
        <w:jc w:val="center"/>
      </w:pPr>
      <w:bookmarkStart w:id="3342" w:name="_Toc276076405"/>
      <w:bookmarkStart w:id="3343" w:name="_Toc244339721"/>
      <w:bookmarkStart w:id="3344" w:name="_Toc244315258"/>
      <w:bookmarkStart w:id="3345" w:name="_Toc244313781"/>
      <w:bookmarkStart w:id="3346" w:name="_Toc244255046"/>
      <w:bookmarkStart w:id="3347" w:name="_Toc244253796"/>
      <w:bookmarkStart w:id="3348" w:name="_Toc307602127"/>
      <w:bookmarkStart w:id="3349" w:name="_Toc307670564"/>
      <w:bookmarkStart w:id="3350" w:name="_Toc307701791"/>
      <w:bookmarkStart w:id="3351" w:name="_Toc338494279"/>
      <w:bookmarkStart w:id="3352" w:name="_Toc338505692"/>
      <w:bookmarkStart w:id="3353" w:name="_Toc338523926"/>
      <w:bookmarkStart w:id="3354" w:name="_Toc338524157"/>
      <w:bookmarkStart w:id="3355" w:name="_Toc338526383"/>
      <w:bookmarkStart w:id="3356" w:name="_Toc338673826"/>
      <w:bookmarkStart w:id="3357" w:name="_Toc338711705"/>
      <w:r w:rsidRPr="005620E6">
        <w:t>DIŞ EKONOMİK İLİŞKİLER</w:t>
      </w:r>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p>
    <w:p w:rsidR="00565FD5" w:rsidRPr="005620E6" w:rsidRDefault="00565FD5" w:rsidP="00565FD5">
      <w:pPr>
        <w:pStyle w:val="Balk2"/>
      </w:pPr>
      <w:bookmarkStart w:id="3358" w:name="_Toc276076406"/>
      <w:bookmarkStart w:id="3359" w:name="_Toc307602128"/>
      <w:bookmarkStart w:id="3360" w:name="_Toc307670565"/>
      <w:bookmarkStart w:id="3361" w:name="_Toc307701792"/>
      <w:bookmarkStart w:id="3362" w:name="_Toc338494280"/>
      <w:bookmarkStart w:id="3363" w:name="_Toc338505693"/>
      <w:bookmarkStart w:id="3364" w:name="_Toc338523927"/>
      <w:bookmarkStart w:id="3365" w:name="_Toc338524158"/>
      <w:bookmarkStart w:id="3366" w:name="_Toc338526384"/>
      <w:bookmarkStart w:id="3367" w:name="_Toc338673827"/>
      <w:bookmarkStart w:id="3368" w:name="_Toc338711706"/>
      <w:bookmarkStart w:id="3369" w:name="_Toc244339722"/>
      <w:bookmarkStart w:id="3370" w:name="_Toc244315259"/>
      <w:bookmarkStart w:id="3371" w:name="_Toc244313782"/>
      <w:bookmarkStart w:id="3372" w:name="_Toc244255047"/>
      <w:bookmarkStart w:id="3373" w:name="_Toc244253797"/>
      <w:r w:rsidRPr="005620E6">
        <w:t>I. ÇOK TARAFLI EKONOMİK İLİŞKİLER</w:t>
      </w:r>
      <w:bookmarkEnd w:id="3358"/>
      <w:bookmarkEnd w:id="3359"/>
      <w:bookmarkEnd w:id="3360"/>
      <w:bookmarkEnd w:id="3361"/>
      <w:bookmarkEnd w:id="3362"/>
      <w:bookmarkEnd w:id="3363"/>
      <w:bookmarkEnd w:id="3364"/>
      <w:bookmarkEnd w:id="3365"/>
      <w:bookmarkEnd w:id="3366"/>
      <w:bookmarkEnd w:id="3367"/>
      <w:bookmarkEnd w:id="3368"/>
    </w:p>
    <w:p w:rsidR="00565FD5" w:rsidRPr="005620E6" w:rsidRDefault="00565FD5" w:rsidP="00565FD5">
      <w:pPr>
        <w:pStyle w:val="Balk3"/>
      </w:pPr>
      <w:bookmarkStart w:id="3374" w:name="_Toc276076407"/>
      <w:bookmarkStart w:id="3375" w:name="_Toc307602129"/>
      <w:bookmarkStart w:id="3376" w:name="_Toc307670566"/>
      <w:bookmarkStart w:id="3377" w:name="_Toc307701793"/>
      <w:bookmarkStart w:id="3378" w:name="_Toc338494281"/>
      <w:bookmarkStart w:id="3379" w:name="_Toc338505694"/>
      <w:bookmarkStart w:id="3380" w:name="_Toc338523928"/>
      <w:bookmarkStart w:id="3381" w:name="_Toc338524159"/>
      <w:bookmarkStart w:id="3382" w:name="_Toc338526385"/>
      <w:bookmarkStart w:id="3383" w:name="_Toc338673828"/>
      <w:bookmarkStart w:id="3384" w:name="_Toc338711707"/>
      <w:r w:rsidRPr="005620E6">
        <w:t xml:space="preserve">A. </w:t>
      </w:r>
      <w:bookmarkEnd w:id="3369"/>
      <w:bookmarkEnd w:id="3370"/>
      <w:bookmarkEnd w:id="3371"/>
      <w:bookmarkEnd w:id="3372"/>
      <w:bookmarkEnd w:id="3373"/>
      <w:r w:rsidRPr="005620E6">
        <w:t>TÜRKİYE- AVRUPA BİRLİĞİ İLİŞKİLERİ</w:t>
      </w:r>
      <w:bookmarkEnd w:id="3374"/>
      <w:bookmarkEnd w:id="3375"/>
      <w:bookmarkEnd w:id="3376"/>
      <w:bookmarkEnd w:id="3377"/>
      <w:bookmarkEnd w:id="3378"/>
      <w:bookmarkEnd w:id="3379"/>
      <w:bookmarkEnd w:id="3380"/>
      <w:bookmarkEnd w:id="3381"/>
      <w:bookmarkEnd w:id="3382"/>
      <w:bookmarkEnd w:id="3383"/>
      <w:bookmarkEnd w:id="3384"/>
    </w:p>
    <w:p w:rsidR="00565FD5" w:rsidRPr="005620E6" w:rsidRDefault="00565FD5" w:rsidP="00565FD5">
      <w:pPr>
        <w:pStyle w:val="Balk4"/>
      </w:pPr>
      <w:bookmarkStart w:id="3385" w:name="_Toc276076408"/>
      <w:bookmarkStart w:id="3386" w:name="_Toc244339723"/>
      <w:bookmarkStart w:id="3387" w:name="_Toc244315260"/>
      <w:bookmarkStart w:id="3388" w:name="_Toc244313783"/>
      <w:bookmarkStart w:id="3389" w:name="_Toc244255048"/>
      <w:bookmarkStart w:id="3390" w:name="_Toc244253798"/>
      <w:bookmarkStart w:id="3391" w:name="_Toc307602130"/>
      <w:bookmarkStart w:id="3392" w:name="_Toc307670567"/>
      <w:bookmarkStart w:id="3393" w:name="_Toc307701794"/>
      <w:bookmarkStart w:id="3394" w:name="_Toc338505695"/>
      <w:bookmarkStart w:id="3395" w:name="_Toc338523929"/>
      <w:bookmarkStart w:id="3396" w:name="_Toc338524160"/>
      <w:bookmarkStart w:id="3397" w:name="_Toc338526386"/>
      <w:bookmarkStart w:id="3398" w:name="_Toc338673829"/>
      <w:bookmarkStart w:id="3399" w:name="_Toc338711708"/>
      <w:r w:rsidRPr="005620E6">
        <w:t>1. Mevcut Durum</w:t>
      </w:r>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p>
    <w:p w:rsidR="00565FD5" w:rsidRPr="00D47C68" w:rsidRDefault="00565FD5" w:rsidP="00565FD5">
      <w:pPr>
        <w:spacing w:after="160"/>
        <w:ind w:firstLine="425"/>
        <w:rPr>
          <w:szCs w:val="18"/>
        </w:rPr>
      </w:pPr>
      <w:r w:rsidRPr="005620E6">
        <w:rPr>
          <w:szCs w:val="18"/>
        </w:rPr>
        <w:t>2007-2013 döneminde AB’nin aday ve potansiyel aday ülkelere sağlayacağı mali yardımlar, Katılım Öncesi Mali İşbirliği Aracı (IPA) çerçevesinde; Geçiş Dönemi Desteği ve Kurumsal Yapılanma, Sınır Ötesi İşbirliği, Bölgesel Kalkınma, İnsan Kaynaklarının Geliştirilmesi ile Kırsal Kalkınma bileşenleri altında kullandırılmaktadır</w:t>
      </w:r>
      <w:r w:rsidRPr="00D47C68">
        <w:rPr>
          <w:szCs w:val="18"/>
        </w:rPr>
        <w:t xml:space="preserve">. Bu kapsamda, 2013 yılı içinde aktarılması öngörülen 903 milyon Avro ile birlikte 2007-2013 döneminde Türkiye’ye tahsis edilen toplam kaynak tutarı yaklaşık olarak 4,8 milyar Avroya ulaşacaktır. </w:t>
      </w:r>
    </w:p>
    <w:p w:rsidR="00565FD5" w:rsidRPr="00D47C68" w:rsidRDefault="00565FD5" w:rsidP="00565FD5">
      <w:pPr>
        <w:spacing w:after="160"/>
        <w:ind w:firstLine="425"/>
        <w:rPr>
          <w:szCs w:val="18"/>
        </w:rPr>
      </w:pPr>
      <w:r w:rsidRPr="00D47C68">
        <w:rPr>
          <w:szCs w:val="18"/>
        </w:rPr>
        <w:t>IPA’nın Geçiş Dönemi Desteği ve Kurumsal Yapılanma bileşeni kapsamında, 2012 yılı programlama çalışmaları tamamlanarak, proje paketi Avrupa Komisyonuna gönderilmiştir. Proje paketinde bulunan 14 projeye yaklaşık 226 milyon Avro AB kaynağı tahsis edilecektir.</w:t>
      </w:r>
    </w:p>
    <w:p w:rsidR="00565FD5" w:rsidRPr="005620E6" w:rsidRDefault="00565FD5" w:rsidP="00565FD5">
      <w:pPr>
        <w:spacing w:after="160"/>
        <w:ind w:firstLine="425"/>
        <w:rPr>
          <w:noProof/>
          <w:szCs w:val="18"/>
        </w:rPr>
      </w:pPr>
      <w:r w:rsidRPr="00D47C68">
        <w:rPr>
          <w:szCs w:val="18"/>
        </w:rPr>
        <w:t>IPA’nın Sınır Ötesi İşbirliği bileşeni altında yer alan Karadeniz Havzası Sınır Ötesi İşbirliği ve Türkiye-Bulgaristan Sınır Ötesi İşbirliği Programları kapsamında ikinci teklif çağrıları 2012 yılında yayınlanmış olup proje değerlendirme süreci devam etmektedir. 2010 yılında ilan edilen birinci teklif çağrıları çerçevesinde onaylanan toplam 10,2 milyon Avro bütçeli 56 projenin uygulama süreci devam etmektedir.</w:t>
      </w:r>
    </w:p>
    <w:p w:rsidR="00565FD5" w:rsidRPr="005620E6" w:rsidRDefault="00565FD5" w:rsidP="00565FD5">
      <w:pPr>
        <w:spacing w:after="160"/>
        <w:ind w:firstLine="425"/>
        <w:rPr>
          <w:szCs w:val="18"/>
        </w:rPr>
      </w:pPr>
      <w:bookmarkStart w:id="3400" w:name="bookmark1"/>
      <w:r w:rsidRPr="005620E6">
        <w:rPr>
          <w:szCs w:val="18"/>
        </w:rPr>
        <w:t>B</w:t>
      </w:r>
      <w:bookmarkEnd w:id="3400"/>
      <w:r w:rsidRPr="005620E6">
        <w:rPr>
          <w:szCs w:val="18"/>
        </w:rPr>
        <w:t xml:space="preserve">ölgesel Kalkınma ve İnsan Kaynaklarının Geliştirilmesi bileşenleri altında yer alan Operasyonel Programlar kapsamında proje geliştirme çalışmaları yürütülmüş, Avrupa Komisyonuyla üzerinde mutabakata varılan ve programlama çalışmaları tamamlanmış projelerin uygulaması sürdürülmüştür. Ayrıca </w:t>
      </w:r>
      <w:r>
        <w:rPr>
          <w:szCs w:val="18"/>
        </w:rPr>
        <w:t xml:space="preserve">Eylül 2012 tarihi </w:t>
      </w:r>
      <w:r w:rsidRPr="005620E6">
        <w:rPr>
          <w:szCs w:val="18"/>
        </w:rPr>
        <w:t>itibarıyla</w:t>
      </w:r>
      <w:r>
        <w:rPr>
          <w:szCs w:val="18"/>
        </w:rPr>
        <w:t xml:space="preserve"> Ulaştırma Operasyonel Programından sorumlu Ulaştırma, Denizcilik ve Haberleşme Bakanlığı haricindeki </w:t>
      </w:r>
      <w:r w:rsidRPr="005620E6">
        <w:rPr>
          <w:szCs w:val="18"/>
        </w:rPr>
        <w:t>Program Otoritesi Bakanlıkların, ilgili Operasyonel Programlar kapsamındaki ihale ve finans işlevlerine ilişkin akreditasyonları Avrupa Komisyonunun Kararıyla tamamlanmıştır.</w:t>
      </w:r>
    </w:p>
    <w:p w:rsidR="00565FD5" w:rsidRPr="005620E6" w:rsidRDefault="00565FD5" w:rsidP="00565FD5">
      <w:pPr>
        <w:spacing w:after="160"/>
        <w:ind w:firstLine="425"/>
        <w:rPr>
          <w:szCs w:val="18"/>
        </w:rPr>
      </w:pPr>
      <w:r w:rsidRPr="005620E6">
        <w:rPr>
          <w:szCs w:val="18"/>
        </w:rPr>
        <w:t>2012-2013 yıllarına ilişkin olarak, Bölgesel Kalkınma bileşeni altında yer alan Bölgesel Rekabet Edebilirlik, Çevre ve Ulaştırma Operasyonel Programları ile İnsan Kaynaklarının Geliştirilmesi bileşeni altında yer alan İnsan Kaynaklarının Geliştirilmesi Operasyonel Programının revizyonlarına ilişkin resmi talep Avrupa Komisyonuna iletilmiştir.</w:t>
      </w:r>
    </w:p>
    <w:p w:rsidR="00565FD5" w:rsidRPr="005620E6" w:rsidRDefault="00565FD5" w:rsidP="00565FD5">
      <w:pPr>
        <w:spacing w:after="160"/>
        <w:ind w:firstLine="425"/>
        <w:rPr>
          <w:szCs w:val="18"/>
        </w:rPr>
      </w:pPr>
      <w:r w:rsidRPr="005620E6">
        <w:rPr>
          <w:szCs w:val="18"/>
        </w:rPr>
        <w:t>Bölgesel Kalkınma ve İnsan Kaynaklarının Geliştirilmesi bileşenleri</w:t>
      </w:r>
      <w:r>
        <w:rPr>
          <w:szCs w:val="18"/>
        </w:rPr>
        <w:t xml:space="preserve"> </w:t>
      </w:r>
      <w:r w:rsidRPr="005620E6">
        <w:t>altında uygulanan Operasyonel Progra</w:t>
      </w:r>
      <w:r>
        <w:t>mlar kapsamında finanse edilen</w:t>
      </w:r>
      <w:r w:rsidRPr="005620E6">
        <w:t xml:space="preserve"> projelerin izlenmesine yönelik</w:t>
      </w:r>
      <w:r>
        <w:rPr>
          <w:szCs w:val="18"/>
        </w:rPr>
        <w:t xml:space="preserve"> oluşturulan </w:t>
      </w:r>
      <w:r w:rsidRPr="005620E6">
        <w:rPr>
          <w:szCs w:val="18"/>
        </w:rPr>
        <w:t xml:space="preserve">Ortak İzleme Bilgi Sistemi (IMIS) işler hale getirilmiş olup projelere ilişkin bilgiler sisteme girilmektedir. Diğer taraftan, çıkan ihtiyaçlar doğrultusunda bakım, iyileştirme ve eğitim faaliyetleri yürütülmektedir. </w:t>
      </w:r>
    </w:p>
    <w:p w:rsidR="00565FD5" w:rsidRPr="005620E6" w:rsidRDefault="00565FD5" w:rsidP="00565FD5">
      <w:pPr>
        <w:spacing w:after="160"/>
        <w:ind w:firstLine="425"/>
        <w:rPr>
          <w:szCs w:val="18"/>
        </w:rPr>
      </w:pPr>
      <w:r w:rsidRPr="005620E6">
        <w:rPr>
          <w:szCs w:val="18"/>
        </w:rPr>
        <w:t xml:space="preserve">Kırsal Kalkınma bileşeni altında sağlanacak mali yardımların kullandırılması çerçevesinde, 5648 sayılı Kanunla kurulan Tarım ve Kırsal Kalkınmayı Destekleme Kurumu 2012 yılı başında 20 ilde yapılanmasını tamamlamış ve faaliyete geçmiştir. Eylül 2012 itibarıyla, IPARD Programı kapsamında 20 ilde yürütülmekte olan birinci faz uygulamaları çerçevesinde toplam 7 kez proje teklif çağrısına </w:t>
      </w:r>
      <w:r w:rsidRPr="005620E6">
        <w:rPr>
          <w:szCs w:val="18"/>
        </w:rPr>
        <w:lastRenderedPageBreak/>
        <w:t xml:space="preserve">çıkılmıştır. Programın ikinci fazı toplam 42 ilde uygulanacak olup kalan 22 il koordinatörlüğünün örgütlenme ve akreditasyon çalışmaları devam etmektedir. </w:t>
      </w:r>
    </w:p>
    <w:p w:rsidR="00565FD5" w:rsidRPr="005620E6" w:rsidRDefault="00565FD5" w:rsidP="00565FD5">
      <w:pPr>
        <w:spacing w:after="160"/>
        <w:ind w:firstLine="425"/>
        <w:rPr>
          <w:szCs w:val="18"/>
        </w:rPr>
      </w:pPr>
      <w:r w:rsidRPr="005620E6">
        <w:rPr>
          <w:szCs w:val="18"/>
        </w:rPr>
        <w:t>AB bölgesel gelişme politikalarına uyum kapsamında, üyelik sonrası yapısal fonlar ve uyum fonu kullanımına imkân sağlayacak Bölgesel Politika ve Yapısal Araçların Koordinasyonu faslına ilişkin hazırlık çalışmaları Kalkınma Bakanlığı koordinasyonunda devam etmektedir. Gerek bu hazırlıklara katkı sağlamak gerekse IPA sisteminin etkin, verimli, şeffaf ve hesap verebilir bir biçimde işlemesini sağlamak amacıyla IPA’nın Geçiş Dönemi Desteği ve Kurumsal Yapılanma bileşeni kapsamında finanse edilen ve Kalkınma Bakanlığının faydalanıcısı olduğu Ekonomik ve Sosyal Uyum Politikasında Kapasitenin Geliştirilmesi Projesi kapsamındaki faaliyetler devam etmektedir.</w:t>
      </w:r>
    </w:p>
    <w:p w:rsidR="00565FD5" w:rsidRPr="005620E6" w:rsidRDefault="00565FD5" w:rsidP="00565FD5">
      <w:pPr>
        <w:pStyle w:val="Balk4"/>
      </w:pPr>
      <w:bookmarkStart w:id="3401" w:name="_Toc276076409"/>
      <w:bookmarkStart w:id="3402" w:name="_Toc307602131"/>
      <w:bookmarkStart w:id="3403" w:name="_Toc307670568"/>
      <w:bookmarkStart w:id="3404" w:name="_Toc307701795"/>
      <w:bookmarkStart w:id="3405" w:name="_Toc338505696"/>
      <w:bookmarkStart w:id="3406" w:name="_Toc338523930"/>
      <w:bookmarkStart w:id="3407" w:name="_Toc338524161"/>
      <w:bookmarkStart w:id="3408" w:name="_Toc338526387"/>
      <w:bookmarkStart w:id="3409" w:name="_Toc338673830"/>
      <w:bookmarkStart w:id="3410" w:name="_Toc338711709"/>
      <w:r w:rsidRPr="005620E6">
        <w:t>2. Temel Amaç ve Hedefler</w:t>
      </w:r>
      <w:bookmarkEnd w:id="3401"/>
      <w:bookmarkEnd w:id="3402"/>
      <w:bookmarkEnd w:id="3403"/>
      <w:bookmarkEnd w:id="3404"/>
      <w:bookmarkEnd w:id="3405"/>
      <w:bookmarkEnd w:id="3406"/>
      <w:bookmarkEnd w:id="3407"/>
      <w:bookmarkEnd w:id="3408"/>
      <w:bookmarkEnd w:id="3409"/>
      <w:bookmarkEnd w:id="3410"/>
    </w:p>
    <w:p w:rsidR="00565FD5" w:rsidRPr="005620E6" w:rsidRDefault="00565FD5" w:rsidP="00565FD5">
      <w:pPr>
        <w:spacing w:after="120"/>
        <w:ind w:firstLine="425"/>
        <w:rPr>
          <w:rFonts w:cs="Tahoma"/>
          <w:szCs w:val="18"/>
        </w:rPr>
      </w:pPr>
      <w:r w:rsidRPr="005620E6">
        <w:rPr>
          <w:rFonts w:cs="Tahoma"/>
          <w:szCs w:val="18"/>
        </w:rPr>
        <w:t xml:space="preserve">AB’ye tam üyelik hedefi doğrultusunda, Kopenhag siyasi ve ekonomik kriterlerine uyum düzeyinin yükseltilmesi ve 35 fasıl altında toplanan AB Müktesebatına uyum sağlanması yönündeki çalışmalar sürdürülecektir. AB’ye uyum süreci, 2008 Katılım Ortaklığı Belgesi temelinde ve ülkemizin öncelikleri dikkate alınarak yürütülecektir. </w:t>
      </w:r>
    </w:p>
    <w:p w:rsidR="00565FD5" w:rsidRPr="005620E6" w:rsidRDefault="00565FD5" w:rsidP="00565FD5">
      <w:pPr>
        <w:spacing w:after="120"/>
        <w:ind w:firstLine="425"/>
        <w:rPr>
          <w:szCs w:val="18"/>
        </w:rPr>
      </w:pPr>
      <w:r w:rsidRPr="005620E6">
        <w:rPr>
          <w:szCs w:val="18"/>
        </w:rPr>
        <w:t>AB’den sağlanacak mali yardımların Türkiye’nin AB’ye üyelik sürecine azami katkı sağlaması temel hedeftir. Bu doğrultuda, aday ülkelerin üyelik sonrasında kullanılacak yapısal fonlara hazırlanmasını amaçlayan Bölgesel Kalkınma ve İnsan Kaynaklarının Geliştirilmesi bileşenleri kapsamında tahsis edilen kaynaklar, oluşturulan koordinasyon ve izleme mekanizmasıyla etkili bir şekilde yönetilecektir.  Bölgesel Kalkınma ve İnsan Kaynaklarının Geliştirilmesi bileşenleri kapsamındaki faaliyetlerin koordinasyonu Kalkınma Bakanlığınca sağlanacaktır. Bu amaçla oluşturulan Bölgesel Kalkınma ve İnsan Kaynaklarının Geliştirilmesi Komitesi, Stratejik Koordinatör başkanlığında çalışmalarını sürdürecektir.</w:t>
      </w:r>
    </w:p>
    <w:p w:rsidR="00565FD5" w:rsidRPr="005620E6" w:rsidRDefault="00565FD5" w:rsidP="00565FD5">
      <w:pPr>
        <w:spacing w:after="120"/>
        <w:ind w:firstLine="425"/>
      </w:pPr>
      <w:r>
        <w:t>IMIS’e</w:t>
      </w:r>
      <w:r w:rsidRPr="005620E6">
        <w:t xml:space="preserve"> yönelik bakım, iyileştirme ve eğitim faaliyetlerine devam edilecektir. </w:t>
      </w:r>
    </w:p>
    <w:p w:rsidR="00565FD5" w:rsidRPr="005620E6" w:rsidRDefault="00565FD5" w:rsidP="00565FD5">
      <w:pPr>
        <w:spacing w:after="120"/>
        <w:ind w:firstLine="425"/>
        <w:rPr>
          <w:szCs w:val="18"/>
        </w:rPr>
      </w:pPr>
      <w:r w:rsidRPr="005620E6">
        <w:rPr>
          <w:szCs w:val="18"/>
        </w:rPr>
        <w:t>Müzakere sürecinin ilerlemesine bağlı olarak, Kalkınma Bakanlığının koordinasyonunda AB bölgesel gelişme politikalarına uyum ve yapısal fonların kullanımına hazırlık için stratejik bir çerçeve oluşturulacaktır. Ayrıca, Bölgesel Politika ve Yapısal Araçların Koordinasyonu faslına ilişkin hazırlık çalışmaları kapsamında üyelik sonrası fonların etkili kullanımını sağlamak ve kurumsal kapasiteyi geliştirmek üzere IPA kapsamında finanse edilen Ekonomik ve Sosyal Uyum Politikasında Kapasitenin Geliştirilmesi Projesinin uygulaması sürdürülecektir.</w:t>
      </w:r>
    </w:p>
    <w:p w:rsidR="00565FD5" w:rsidRPr="005620E6" w:rsidRDefault="00565FD5" w:rsidP="00565FD5">
      <w:pPr>
        <w:spacing w:after="120"/>
        <w:ind w:firstLine="425"/>
        <w:rPr>
          <w:szCs w:val="18"/>
        </w:rPr>
      </w:pPr>
      <w:r w:rsidRPr="005620E6">
        <w:rPr>
          <w:szCs w:val="18"/>
        </w:rPr>
        <w:t>Ayrıca, kalkınma ajanslarının AB ile mali işbirliği kapsamında sağlanacak fonların kullanımındaki etkinliği artırılacak, bu doğrultuda, ajansların kurumsal kapasiteleri geliştirilecek ve bölgelerinde AB fonlarının kullanımında aracı kurum rolü üstlenmelerine yönelik hazırlık çalışmaları yürütülecektir.</w:t>
      </w:r>
    </w:p>
    <w:p w:rsidR="00565FD5" w:rsidRPr="005620E6" w:rsidRDefault="00565FD5" w:rsidP="00565FD5">
      <w:pPr>
        <w:pStyle w:val="Balk3"/>
      </w:pPr>
      <w:bookmarkStart w:id="3411" w:name="_Toc307602132"/>
      <w:bookmarkStart w:id="3412" w:name="_Toc307670569"/>
      <w:bookmarkStart w:id="3413" w:name="_Toc307701796"/>
      <w:bookmarkStart w:id="3414" w:name="_Toc338523931"/>
      <w:bookmarkStart w:id="3415" w:name="_Toc338524162"/>
      <w:bookmarkStart w:id="3416" w:name="_Toc338526388"/>
      <w:bookmarkStart w:id="3417" w:name="_Toc338673831"/>
      <w:bookmarkStart w:id="3418" w:name="_Toc338711710"/>
      <w:r w:rsidRPr="005620E6">
        <w:t xml:space="preserve">B. İSLAM </w:t>
      </w:r>
      <w:r>
        <w:t xml:space="preserve">İŞBİRLİĞİ </w:t>
      </w:r>
      <w:r w:rsidRPr="005620E6">
        <w:t>TEŞKİLATI EKONOMİK VE TİCARİ İŞBİRLİĞİ DAİMİ KOMİTESİ</w:t>
      </w:r>
      <w:bookmarkEnd w:id="3411"/>
      <w:bookmarkEnd w:id="3412"/>
      <w:bookmarkEnd w:id="3413"/>
      <w:bookmarkEnd w:id="3414"/>
      <w:bookmarkEnd w:id="3415"/>
      <w:bookmarkEnd w:id="3416"/>
      <w:bookmarkEnd w:id="3417"/>
      <w:bookmarkEnd w:id="3418"/>
    </w:p>
    <w:p w:rsidR="00565FD5" w:rsidRPr="005620E6" w:rsidRDefault="00565FD5" w:rsidP="00565FD5">
      <w:pPr>
        <w:pStyle w:val="Balk4"/>
        <w:rPr>
          <w:lang w:eastAsia="tr-TR"/>
        </w:rPr>
      </w:pPr>
      <w:bookmarkStart w:id="3419" w:name="_Toc276076412"/>
      <w:bookmarkStart w:id="3420" w:name="_Toc307602133"/>
      <w:bookmarkStart w:id="3421" w:name="_Toc307670570"/>
      <w:bookmarkStart w:id="3422" w:name="_Toc307701797"/>
      <w:bookmarkStart w:id="3423" w:name="_Toc338523932"/>
      <w:bookmarkStart w:id="3424" w:name="_Toc338524163"/>
      <w:bookmarkStart w:id="3425" w:name="_Toc338526389"/>
      <w:bookmarkStart w:id="3426" w:name="_Toc338673832"/>
      <w:bookmarkStart w:id="3427" w:name="_Toc338711711"/>
      <w:r w:rsidRPr="005620E6">
        <w:rPr>
          <w:lang w:eastAsia="tr-TR"/>
        </w:rPr>
        <w:t>1. Mevcut Durum</w:t>
      </w:r>
      <w:bookmarkEnd w:id="3419"/>
      <w:bookmarkEnd w:id="3420"/>
      <w:bookmarkEnd w:id="3421"/>
      <w:bookmarkEnd w:id="3422"/>
      <w:bookmarkEnd w:id="3423"/>
      <w:bookmarkEnd w:id="3424"/>
      <w:bookmarkEnd w:id="3425"/>
      <w:bookmarkEnd w:id="3426"/>
      <w:bookmarkEnd w:id="3427"/>
    </w:p>
    <w:p w:rsidR="00565FD5"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16" w:lineRule="exact"/>
        <w:ind w:firstLine="420"/>
        <w:rPr>
          <w:lang w:eastAsia="tr-TR"/>
        </w:rPr>
      </w:pPr>
      <w:r w:rsidRPr="005620E6">
        <w:rPr>
          <w:lang w:eastAsia="tr-TR"/>
        </w:rPr>
        <w:t>Ülkemiz, İslam ülkeleriyle</w:t>
      </w:r>
      <w:r>
        <w:rPr>
          <w:lang w:eastAsia="tr-TR"/>
        </w:rPr>
        <w:t xml:space="preserve"> ekonomik</w:t>
      </w:r>
      <w:r w:rsidRPr="005620E6">
        <w:rPr>
          <w:lang w:eastAsia="tr-TR"/>
        </w:rPr>
        <w:t xml:space="preserve"> işbirliğini geliştirmek için İslam İşbirliği Teşkilatı (İİT)  Ekonomik ve Ticari İşbirliği Daimi Komitesi (İSEDAK) platformunu etkin bir şekilde kullanmaya devam etmektedir. İSEDAK</w:t>
      </w:r>
      <w:r>
        <w:rPr>
          <w:lang w:eastAsia="tr-TR"/>
        </w:rPr>
        <w:t>’ın gündeminde yer alan</w:t>
      </w:r>
      <w:r w:rsidRPr="005620E6">
        <w:rPr>
          <w:lang w:eastAsia="tr-TR"/>
        </w:rPr>
        <w:t>,</w:t>
      </w:r>
      <w:r>
        <w:rPr>
          <w:lang w:eastAsia="tr-TR"/>
        </w:rPr>
        <w:t xml:space="preserve"> </w:t>
      </w:r>
      <w:r w:rsidRPr="005620E6">
        <w:rPr>
          <w:lang w:eastAsia="tr-TR"/>
        </w:rPr>
        <w:t xml:space="preserve">üye ülkeler arasında ticaretin artırılması, tarım, turizm ve ulaştırma alanlarında işbirliğinin canlandırılması, mali işbirliği, fakirlikle mücadele ve özel sektörle ilişkilerin geliştirilmesi konularında </w:t>
      </w:r>
      <w:r>
        <w:rPr>
          <w:lang w:eastAsia="tr-TR"/>
        </w:rPr>
        <w:t xml:space="preserve">çeşitli faaliyetler yürütülmektedir. </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16" w:lineRule="exact"/>
        <w:ind w:firstLine="420"/>
        <w:rPr>
          <w:lang w:eastAsia="tr-TR"/>
        </w:rPr>
      </w:pPr>
      <w:r w:rsidRPr="005620E6">
        <w:rPr>
          <w:lang w:eastAsia="tr-TR"/>
        </w:rPr>
        <w:t xml:space="preserve">2011 yılında Türkiye’nin İİT üyesi ülkelere ihracatı bir önceki yıla göre yüzde 14 oranında artarak 37,3 milyar ABD doları düzeyinde gerçekleşmiştir. Bunun toplam ihracatımız içindeki payı yüzde </w:t>
      </w:r>
      <w:r w:rsidRPr="005620E6">
        <w:rPr>
          <w:lang w:eastAsia="tr-TR"/>
        </w:rPr>
        <w:lastRenderedPageBreak/>
        <w:t>27,7’dir. 2012 yılının ilk sekiz ayında İİT ülkelerine yapılan ihracat 31,7 milyar ABD doları olarak gerçekleşmiştir.</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16" w:lineRule="exact"/>
        <w:ind w:firstLine="420"/>
        <w:rPr>
          <w:lang w:eastAsia="tr-TR"/>
        </w:rPr>
      </w:pPr>
      <w:r w:rsidRPr="005620E6">
        <w:rPr>
          <w:lang w:eastAsia="tr-TR"/>
        </w:rPr>
        <w:t xml:space="preserve">2011 yılında Türkiye’nin İİT üyesi ülkelerden ithalatı 2010 yılına göre yüzde 12 oranında artarak 31,4 milyar ABD doları olarak gerçekleşmiştir. 2012 yılının ilk sekiz ayında İİT ülkelerinden yapılan ithalat 19,5 milyar ABD dolarına ulaşmıştır. </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16" w:lineRule="exact"/>
        <w:ind w:firstLine="420"/>
        <w:rPr>
          <w:lang w:eastAsia="tr-TR"/>
        </w:rPr>
      </w:pPr>
      <w:r w:rsidRPr="005620E6">
        <w:rPr>
          <w:lang w:eastAsia="tr-TR"/>
        </w:rPr>
        <w:t>İİT üyesi ülkeler arasında ekonomik ve ticari işbirliğinin geliştirilmesi temel hedefi doğrultusunda, İSEDAK’ın görevlerinden biri olan İİT içi ticaretin artırılmasına yönelik çalışmalara devam edilmiş, İİT içi ticaret oransal olarak 2010 yılında yüzde 17, 2011 yılında ise yüzde 17,7 olarak gerçekleşmiştir.</w:t>
      </w:r>
    </w:p>
    <w:p w:rsidR="00565FD5" w:rsidRPr="00540115"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16" w:lineRule="exact"/>
        <w:ind w:firstLine="420"/>
        <w:rPr>
          <w:lang w:eastAsia="tr-TR"/>
        </w:rPr>
      </w:pPr>
      <w:r w:rsidRPr="008C49F4">
        <w:rPr>
          <w:lang w:eastAsia="tr-TR"/>
        </w:rPr>
        <w:t>İİT Üyesi Ülkeler Arasında Tercihli Ticaret Sistemi (TPS-OIC)</w:t>
      </w:r>
      <w:r>
        <w:rPr>
          <w:lang w:eastAsia="tr-TR"/>
        </w:rPr>
        <w:t xml:space="preserve">, </w:t>
      </w:r>
      <w:r w:rsidRPr="008C49F4">
        <w:rPr>
          <w:lang w:eastAsia="tr-TR"/>
        </w:rPr>
        <w:t xml:space="preserve">İSEDAK’ın </w:t>
      </w:r>
      <w:r>
        <w:rPr>
          <w:lang w:eastAsia="tr-TR"/>
        </w:rPr>
        <w:t xml:space="preserve">ticaret alanında </w:t>
      </w:r>
      <w:r w:rsidRPr="008C49F4">
        <w:rPr>
          <w:lang w:eastAsia="tr-TR"/>
        </w:rPr>
        <w:t>en önemli projesi</w:t>
      </w:r>
      <w:r>
        <w:rPr>
          <w:lang w:eastAsia="tr-TR"/>
        </w:rPr>
        <w:t>dir.</w:t>
      </w:r>
      <w:r w:rsidRPr="008C49F4">
        <w:rPr>
          <w:lang w:eastAsia="tr-TR"/>
        </w:rPr>
        <w:t xml:space="preserve"> </w:t>
      </w:r>
      <w:r>
        <w:rPr>
          <w:lang w:eastAsia="tr-TR"/>
        </w:rPr>
        <w:t>H</w:t>
      </w:r>
      <w:r w:rsidRPr="008C49F4">
        <w:rPr>
          <w:lang w:eastAsia="tr-TR"/>
        </w:rPr>
        <w:t xml:space="preserve">ukuki zemini Ağustos 2011 tarihi </w:t>
      </w:r>
      <w:r>
        <w:rPr>
          <w:lang w:eastAsia="tr-TR"/>
        </w:rPr>
        <w:t>itibarıyla</w:t>
      </w:r>
      <w:r w:rsidRPr="008C49F4">
        <w:rPr>
          <w:lang w:eastAsia="tr-TR"/>
        </w:rPr>
        <w:t xml:space="preserve"> </w:t>
      </w:r>
      <w:r>
        <w:rPr>
          <w:lang w:eastAsia="tr-TR"/>
        </w:rPr>
        <w:t xml:space="preserve">tamamlanan TPS-OIC’in </w:t>
      </w:r>
      <w:r w:rsidRPr="008C49F4">
        <w:rPr>
          <w:lang w:eastAsia="tr-TR"/>
        </w:rPr>
        <w:t xml:space="preserve">fiili olarak işlerlik kazanmasına ilişkin hazırlıklar </w:t>
      </w:r>
      <w:r>
        <w:rPr>
          <w:lang w:eastAsia="tr-TR"/>
        </w:rPr>
        <w:t>sürdürülmektedir.</w:t>
      </w:r>
      <w:r w:rsidRPr="008C49F4">
        <w:rPr>
          <w:lang w:eastAsia="tr-TR"/>
        </w:rPr>
        <w:t xml:space="preserve"> </w:t>
      </w:r>
      <w:r>
        <w:rPr>
          <w:lang w:eastAsia="tr-TR"/>
        </w:rPr>
        <w:t>Ayrıca,</w:t>
      </w:r>
      <w:r w:rsidRPr="008C49F4">
        <w:rPr>
          <w:lang w:eastAsia="tr-TR"/>
        </w:rPr>
        <w:t xml:space="preserve"> </w:t>
      </w:r>
      <w:r>
        <w:rPr>
          <w:lang w:eastAsia="tr-TR"/>
        </w:rPr>
        <w:t xml:space="preserve">İİT içi ticaretin artırılmasına dönük İSEDAK’ın bir diğer önemli projesi olan ve İstanbul’da yerleşik </w:t>
      </w:r>
      <w:r w:rsidRPr="008C49F4">
        <w:rPr>
          <w:lang w:eastAsia="tr-TR"/>
        </w:rPr>
        <w:t>İslam Ülkeleri Standartlar ve Metroloji Enstitüsü (SMIIC)</w:t>
      </w:r>
      <w:r>
        <w:rPr>
          <w:lang w:eastAsia="tr-TR"/>
        </w:rPr>
        <w:t xml:space="preserve"> kurumsallaşmasını tamamlayarak, faaliyetlerini sürdürmektedir. </w:t>
      </w:r>
    </w:p>
    <w:p w:rsidR="00565FD5" w:rsidRPr="008C49F4"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16" w:lineRule="exact"/>
        <w:ind w:firstLine="420"/>
        <w:rPr>
          <w:lang w:eastAsia="tr-TR"/>
        </w:rPr>
      </w:pPr>
      <w:r>
        <w:rPr>
          <w:lang w:eastAsia="tr-TR"/>
        </w:rPr>
        <w:t xml:space="preserve">İSEDAK’ın öncelikli sektörleri olan </w:t>
      </w:r>
      <w:r w:rsidRPr="008C49F4">
        <w:rPr>
          <w:lang w:eastAsia="tr-TR"/>
        </w:rPr>
        <w:t xml:space="preserve">tarım, turizm ve ulaştırma alanlarında üye ülkeler arasında işbirliğinin canlandırılmasına yönelik çalışmalar ivme kazanmıştır.  Tarım ve gıda güvenliği alanında bir işbirliği çerçevesi oluşturulması amacıyla </w:t>
      </w:r>
      <w:r>
        <w:rPr>
          <w:lang w:eastAsia="tr-TR"/>
        </w:rPr>
        <w:t>oluşturulan İSEDAK Görev Gücü çalışmalarını tamamlamıştır.</w:t>
      </w:r>
      <w:r w:rsidRPr="008C49F4">
        <w:rPr>
          <w:lang w:eastAsia="tr-TR"/>
        </w:rPr>
        <w:t xml:space="preserve"> </w:t>
      </w:r>
      <w:r>
        <w:rPr>
          <w:lang w:eastAsia="tr-TR"/>
        </w:rPr>
        <w:t>T</w:t>
      </w:r>
      <w:r w:rsidRPr="008C49F4">
        <w:rPr>
          <w:lang w:eastAsia="tr-TR"/>
        </w:rPr>
        <w:t>urizm alanında, Türkiye’nin öncülüğünde bir İİT/İSEDAK Özel Sektör Turizm Forumu oluşturulmuştur. Forumun ilk toplantısı 7-8 Aralık 2012 tarihlerinde İzmir’de gerçekleştiril</w:t>
      </w:r>
      <w:r>
        <w:rPr>
          <w:lang w:eastAsia="tr-TR"/>
        </w:rPr>
        <w:t>ecektir</w:t>
      </w:r>
      <w:r w:rsidRPr="008C49F4">
        <w:rPr>
          <w:lang w:eastAsia="tr-TR"/>
        </w:rPr>
        <w:t xml:space="preserve">. Ulaştırma alanında </w:t>
      </w:r>
      <w:r>
        <w:rPr>
          <w:lang w:eastAsia="tr-TR"/>
        </w:rPr>
        <w:t xml:space="preserve">27. İSEDAK’ta kabul edilen </w:t>
      </w:r>
      <w:r w:rsidRPr="008C49F4">
        <w:rPr>
          <w:lang w:eastAsia="tr-TR"/>
        </w:rPr>
        <w:t xml:space="preserve">İİT Üyesi Ülkeler Arasında Ulaştırma İşbirliği Çerçevesi (İzmir Belgesi) </w:t>
      </w:r>
      <w:r>
        <w:rPr>
          <w:lang w:eastAsia="tr-TR"/>
        </w:rPr>
        <w:t>kapsamında oluşturulması öngörülen u</w:t>
      </w:r>
      <w:r w:rsidRPr="008C49F4">
        <w:rPr>
          <w:lang w:eastAsia="tr-TR"/>
        </w:rPr>
        <w:t xml:space="preserve">laştırma </w:t>
      </w:r>
      <w:r>
        <w:rPr>
          <w:lang w:eastAsia="tr-TR"/>
        </w:rPr>
        <w:t>ç</w:t>
      </w:r>
      <w:r w:rsidRPr="008C49F4">
        <w:rPr>
          <w:lang w:eastAsia="tr-TR"/>
        </w:rPr>
        <w:t xml:space="preserve">alışma </w:t>
      </w:r>
      <w:r>
        <w:rPr>
          <w:lang w:eastAsia="tr-TR"/>
        </w:rPr>
        <w:t>g</w:t>
      </w:r>
      <w:r w:rsidRPr="008C49F4">
        <w:rPr>
          <w:lang w:eastAsia="tr-TR"/>
        </w:rPr>
        <w:t>rubu</w:t>
      </w:r>
      <w:r>
        <w:rPr>
          <w:lang w:eastAsia="tr-TR"/>
        </w:rPr>
        <w:t>nun</w:t>
      </w:r>
      <w:r w:rsidRPr="008C49F4">
        <w:rPr>
          <w:lang w:eastAsia="tr-TR"/>
        </w:rPr>
        <w:t xml:space="preserve"> işleyiş kurallarına ilişkin </w:t>
      </w:r>
      <w:r>
        <w:rPr>
          <w:lang w:eastAsia="tr-TR"/>
        </w:rPr>
        <w:t xml:space="preserve">çalışma </w:t>
      </w:r>
      <w:r w:rsidRPr="008C49F4">
        <w:rPr>
          <w:lang w:eastAsia="tr-TR"/>
        </w:rPr>
        <w:t>İSEDAK Koordinasyon Ofisi</w:t>
      </w:r>
      <w:r>
        <w:rPr>
          <w:lang w:eastAsia="tr-TR"/>
        </w:rPr>
        <w:t xml:space="preserve"> tarafından sürdürülmektedir.</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16" w:lineRule="exact"/>
        <w:ind w:firstLine="420"/>
        <w:rPr>
          <w:lang w:eastAsia="tr-TR"/>
        </w:rPr>
      </w:pPr>
      <w:r w:rsidRPr="005620E6">
        <w:rPr>
          <w:lang w:eastAsia="tr-TR"/>
        </w:rPr>
        <w:t>Dünya ekonomisinde son yıllarda yaşanan dalgalanmalar nedeniyle İSEDAK bünyesinde mali işbirliği önem kazanmıştır. İstanbul Menkul Kıymetler Borsası öncülüğünde yürütülen İİT Menkul Kıymet Borsaları Forumu çalışmaları kapsamında S&amp;P İİT-İSEDAK Endeksine ilişkin çalışmalar tamamlanmış ve endeksin resmi lansmanı 28. İSEDAK Toplantısında yapılmıştır. İSEDAK kapsamında Merkez Bankaları arasında işbirliği çalışmaları üye ülkelerin kurumsal ve beşeri kapasitelerinin artırılmasına odaklanmıştır. Ayrıca,</w:t>
      </w:r>
      <w:r w:rsidRPr="00720324">
        <w:rPr>
          <w:lang w:eastAsia="tr-TR"/>
        </w:rPr>
        <w:t xml:space="preserve"> </w:t>
      </w:r>
      <w:r>
        <w:rPr>
          <w:lang w:eastAsia="tr-TR"/>
        </w:rPr>
        <w:t>25. İSEDAK Toplantısının ilgili kararı doğrultusunda</w:t>
      </w:r>
      <w:r w:rsidRPr="005620E6">
        <w:rPr>
          <w:lang w:eastAsia="tr-TR"/>
        </w:rPr>
        <w:t xml:space="preserve"> 2011 yılı Eylül ayında kurulan İSEDAK Sermaye Piyasaları Düzenleyicileri Forumunun ilk toplantısı 26-27 Eylül 2012 tarihlerinde İstanbul’da gerçekleştirilmiştir. </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16" w:lineRule="exact"/>
        <w:ind w:firstLine="420"/>
        <w:rPr>
          <w:lang w:eastAsia="tr-TR"/>
        </w:rPr>
      </w:pPr>
      <w:r w:rsidRPr="00D47C68">
        <w:rPr>
          <w:lang w:eastAsia="tr-TR"/>
        </w:rPr>
        <w:t>Üye ülkelerde fakirliğin önlenmesine yönelik çalışmalar, bu amaçla geliştirilmiş programlarla yürütülmektedir. İİT Pamuk Programı ve Mesleki ve Teknik Eğitim Programı ile İslam Kalkınma Bankası bünyesinde oluşturulmuş olan fon ve programlar aracılığıyla bu yönde çalışmalara devam edilmektedir.</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16" w:lineRule="exact"/>
        <w:ind w:firstLine="420"/>
        <w:rPr>
          <w:lang w:eastAsia="tr-TR"/>
        </w:rPr>
      </w:pPr>
      <w:r w:rsidRPr="005620E6">
        <w:rPr>
          <w:lang w:eastAsia="tr-TR"/>
        </w:rPr>
        <w:t xml:space="preserve">İİT’nin Orta Asya ile İşbirliği Eylem Planı kapsamında, üye ülkeler arasında işbirliğinin geliştirilmesinde uygulanabilecek </w:t>
      </w:r>
      <w:r>
        <w:rPr>
          <w:lang w:eastAsia="tr-TR"/>
        </w:rPr>
        <w:t>teknik işbirliği programları</w:t>
      </w:r>
      <w:r w:rsidRPr="005620E6">
        <w:rPr>
          <w:lang w:eastAsia="tr-TR"/>
        </w:rPr>
        <w:t xml:space="preserve"> konusunda 22-23 Şubat 2012 tarihlerinde Ankara’da Orta Asya’ya Dönük Ülke Ortaklık Deneyimleri konulu bir çalıştay düzenlenmiştir. Çalıştay sırasında Orta Asya ülkelerindeki teknik işbirliğinin mevcut durumu, iyi örnekler ve gelecek dönemde uygulanabilecek potansiyel ortaklıklar konularında görüş alışverişinde bulunulmuştur. </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16" w:lineRule="exact"/>
        <w:ind w:firstLine="420"/>
        <w:rPr>
          <w:lang w:eastAsia="tr-TR"/>
        </w:rPr>
      </w:pPr>
      <w:r w:rsidRPr="005620E6">
        <w:rPr>
          <w:lang w:eastAsia="tr-TR"/>
        </w:rPr>
        <w:t xml:space="preserve">Ayrıca, İSEDAK Ekonomi Zirvesi ile 25. ve 26. İSEDAK Toplantıları kararları ışığında, İSEDAK’ın mevcut eylem planının eksikliklerini dikkate alan, önümüzdeki dönemde İSEDAK çalışmalarına yön verecek, daha kapsamlı, güncel ve etkin bir uygulama mekanizmasına sahip bir </w:t>
      </w:r>
      <w:r>
        <w:rPr>
          <w:lang w:eastAsia="tr-TR"/>
        </w:rPr>
        <w:t xml:space="preserve">Strateji Belgesi </w:t>
      </w:r>
      <w:r w:rsidRPr="005620E6">
        <w:rPr>
          <w:lang w:eastAsia="tr-TR"/>
        </w:rPr>
        <w:t xml:space="preserve">hazırlanmıştır. Söz konusu </w:t>
      </w:r>
      <w:r>
        <w:rPr>
          <w:lang w:eastAsia="tr-TR"/>
        </w:rPr>
        <w:t xml:space="preserve">Strateji </w:t>
      </w:r>
      <w:r w:rsidRPr="005620E6">
        <w:rPr>
          <w:lang w:eastAsia="tr-TR"/>
        </w:rPr>
        <w:t xml:space="preserve">14-15 Ağustos 2012 tarihlerinde Mekke’de gerçekleştirilen 4. Olağanüstü İslam Zirvesinde kabul edilmiştir. Yeni İSEDAK Stratejisi </w:t>
      </w:r>
      <w:r>
        <w:rPr>
          <w:lang w:eastAsia="tr-TR"/>
        </w:rPr>
        <w:t xml:space="preserve">kapsamında </w:t>
      </w:r>
      <w:r w:rsidRPr="005620E6">
        <w:rPr>
          <w:lang w:eastAsia="tr-TR"/>
        </w:rPr>
        <w:t xml:space="preserve">uygulamaya dönük olarak oluşturulacak çalışma grupları ve proje döngüsü yönetimi sistemine ilişkin hazırlık çalışmaları sürdürülmektedir. </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16" w:lineRule="exact"/>
        <w:ind w:firstLine="420"/>
        <w:rPr>
          <w:lang w:eastAsia="tr-TR"/>
        </w:rPr>
      </w:pPr>
      <w:r w:rsidRPr="005620E6">
        <w:rPr>
          <w:lang w:eastAsia="tr-TR"/>
        </w:rPr>
        <w:t>İSEDAK İzleme Komitesi’nin 28. Toplantısı 9-10 Mayıs 2012 tarihlerinde Ankara’da, İSEDAK’ın 28. Toplantısı ise 8-11 Ekim 2012 tarihlerinde İstanbul’da gerçekleştirilmiştir.</w:t>
      </w:r>
    </w:p>
    <w:p w:rsidR="00565FD5" w:rsidRPr="005620E6" w:rsidRDefault="00565FD5" w:rsidP="00565FD5">
      <w:pPr>
        <w:pStyle w:val="Balk4"/>
        <w:rPr>
          <w:lang w:eastAsia="tr-TR"/>
        </w:rPr>
      </w:pPr>
      <w:bookmarkStart w:id="3428" w:name="_Toc276076413"/>
      <w:bookmarkStart w:id="3429" w:name="_Toc307602134"/>
      <w:bookmarkStart w:id="3430" w:name="_Toc307670571"/>
      <w:bookmarkStart w:id="3431" w:name="_Toc307701798"/>
      <w:bookmarkStart w:id="3432" w:name="_Toc338523933"/>
      <w:bookmarkStart w:id="3433" w:name="_Toc338524164"/>
      <w:bookmarkStart w:id="3434" w:name="_Toc338526390"/>
      <w:bookmarkStart w:id="3435" w:name="_Toc338673833"/>
      <w:bookmarkStart w:id="3436" w:name="_Toc338711712"/>
      <w:r w:rsidRPr="005620E6">
        <w:rPr>
          <w:lang w:eastAsia="tr-TR"/>
        </w:rPr>
        <w:t>2. Temel Amaçlar ve Hedefler</w:t>
      </w:r>
      <w:bookmarkEnd w:id="3428"/>
      <w:bookmarkEnd w:id="3429"/>
      <w:bookmarkEnd w:id="3430"/>
      <w:bookmarkEnd w:id="3431"/>
      <w:bookmarkEnd w:id="3432"/>
      <w:bookmarkEnd w:id="3433"/>
      <w:bookmarkEnd w:id="3434"/>
      <w:bookmarkEnd w:id="3435"/>
      <w:bookmarkEnd w:id="3436"/>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16" w:lineRule="exact"/>
        <w:ind w:firstLine="420"/>
        <w:rPr>
          <w:lang w:eastAsia="tr-TR"/>
        </w:rPr>
      </w:pPr>
      <w:r w:rsidRPr="005620E6">
        <w:rPr>
          <w:lang w:eastAsia="tr-TR"/>
        </w:rPr>
        <w:t xml:space="preserve">İİT üyesi ülkelerle ekonomik ve ticari işbirliğini geliştirmeye yönelik  mevcut proje ve programların başarılı bir biçimde uygulanması için çalışmalara devam edilecektir. Bu doğrultuda üye ülkeler, İİT’nin ilgili kuruluşları ve Türkiye’deki ilgili kurum ve kuruluşlarla etkin koordinasyon sürdürülecektir.  </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16" w:lineRule="exact"/>
        <w:ind w:firstLine="420"/>
        <w:rPr>
          <w:lang w:eastAsia="tr-TR"/>
        </w:rPr>
      </w:pPr>
      <w:r w:rsidRPr="005620E6">
        <w:rPr>
          <w:lang w:eastAsia="tr-TR"/>
        </w:rPr>
        <w:lastRenderedPageBreak/>
        <w:t xml:space="preserve">İİT Üyesi Ülkelerle Tercihli Ticaret Sisteminin yürürlüğe konulması için ilgili ülkeler tarafından taviz listelerinin Ticaret Müzakereleri Komitesine iletilmesi ve uygulamaya dönük gerekli hazırlıkların tamamlanmasına ilişkin çalışmalar sürdürülecektir. </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16" w:lineRule="exact"/>
        <w:ind w:firstLine="420"/>
        <w:rPr>
          <w:lang w:eastAsia="tr-TR"/>
        </w:rPr>
      </w:pPr>
      <w:r w:rsidRPr="005620E6">
        <w:rPr>
          <w:lang w:eastAsia="tr-TR"/>
        </w:rPr>
        <w:t xml:space="preserve">İSEDAK’ın öncelikli sektörleri olan tarım, turizm ve ulaştırma alanlarında işbirliğinin aktif şekilde sürdürülebilmesi için Türkiye’nin birikimleri etkin bir şekilde kullanılacak, diğer ülkelerin de işbirliği çabalarına katılımı hususunda gerekli girişimlerde bulunulacaktır. </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16" w:lineRule="exact"/>
        <w:ind w:firstLine="420"/>
        <w:rPr>
          <w:lang w:eastAsia="tr-TR"/>
        </w:rPr>
      </w:pPr>
      <w:r w:rsidRPr="005620E6">
        <w:rPr>
          <w:lang w:eastAsia="tr-TR"/>
        </w:rPr>
        <w:t xml:space="preserve">İİT üyesi ülkelerde standartların geliştirilmesi konusunda, SMIIC’in çalışmalarına destek verilecektir. Türkiye’nin İİT üyesi ülkelerde fakirlikle mücadele programlarına desteği sürecek, bu çerçevede İSEDAK gündeminde yer alan pamuk programı desteklenecektir. Bunun yanı sıra, mali işbirliği konusunda menkul kıymetler borsaları, merkez bankaları ve sermaye piyasaları düzenleme kurumları arasındaki işbirliği çalışmalarına hız verilecektir. </w:t>
      </w:r>
    </w:p>
    <w:p w:rsidR="00565FD5"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20" w:line="216" w:lineRule="exact"/>
        <w:ind w:firstLine="420"/>
        <w:rPr>
          <w:lang w:eastAsia="tr-TR"/>
        </w:rPr>
      </w:pPr>
      <w:r w:rsidRPr="005620E6">
        <w:rPr>
          <w:lang w:eastAsia="tr-TR"/>
        </w:rPr>
        <w:t xml:space="preserve">Ayrıca, Yeni İSEDAK Stratejisini uygulamaya dönük hazırlıklar tamamlanarak, işbirliği alanlarına yönelik Çalışma Grubu Toplantılarının 2013 yılının ilk çeyreğinde düzenlenmesi öngörülmektedir. İlaveten, İSEDAK Stratejisi kapsamında ülkemiz tarafından finanse edilecek İSEDAK projeleri için 2013 yılında proje teklif çağrısına çıkılması hedeflenmektedir. </w:t>
      </w:r>
    </w:p>
    <w:p w:rsidR="00565FD5"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20" w:line="216" w:lineRule="exact"/>
        <w:ind w:firstLine="420"/>
        <w:rPr>
          <w:lang w:eastAsia="tr-TR"/>
        </w:rPr>
      </w:pPr>
    </w:p>
    <w:p w:rsidR="00565FD5"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20" w:line="216" w:lineRule="exact"/>
        <w:ind w:firstLine="420"/>
        <w:rPr>
          <w:lang w:eastAsia="tr-TR"/>
        </w:rPr>
      </w:pP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20" w:line="216" w:lineRule="exact"/>
        <w:ind w:firstLine="420"/>
        <w:rPr>
          <w:lang w:eastAsia="tr-TR"/>
        </w:rPr>
      </w:pPr>
    </w:p>
    <w:p w:rsidR="00565FD5" w:rsidRPr="005620E6" w:rsidRDefault="00565FD5" w:rsidP="00565FD5">
      <w:pPr>
        <w:pStyle w:val="Balk4"/>
        <w:rPr>
          <w:lang w:eastAsia="tr-TR"/>
        </w:rPr>
      </w:pPr>
      <w:bookmarkStart w:id="3437" w:name="_Toc307670572"/>
      <w:bookmarkStart w:id="3438" w:name="_Toc307701799"/>
      <w:bookmarkStart w:id="3439" w:name="_Toc338523934"/>
      <w:bookmarkStart w:id="3440" w:name="_Toc338524165"/>
      <w:bookmarkStart w:id="3441" w:name="_Toc338526391"/>
      <w:bookmarkStart w:id="3442" w:name="_Toc338673834"/>
      <w:bookmarkStart w:id="3443" w:name="_Toc338711713"/>
      <w:r w:rsidRPr="005620E6">
        <w:rPr>
          <w:lang w:eastAsia="tr-TR"/>
        </w:rPr>
        <w:t>3. Politika Öncelikleri ve Tedbirler</w:t>
      </w:r>
      <w:bookmarkEnd w:id="3437"/>
      <w:bookmarkEnd w:id="3438"/>
      <w:bookmarkEnd w:id="3439"/>
      <w:bookmarkEnd w:id="3440"/>
      <w:bookmarkEnd w:id="3441"/>
      <w:bookmarkEnd w:id="3442"/>
      <w:bookmarkEnd w:id="3443"/>
    </w:p>
    <w:tbl>
      <w:tblPr>
        <w:tblW w:w="7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2023"/>
        <w:gridCol w:w="713"/>
        <w:gridCol w:w="2599"/>
      </w:tblGrid>
      <w:tr w:rsidR="00565FD5" w:rsidRPr="005620E6" w:rsidTr="00AB62A3">
        <w:trPr>
          <w:trHeight w:val="20"/>
          <w:jc w:val="center"/>
        </w:trPr>
        <w:tc>
          <w:tcPr>
            <w:tcW w:w="1266" w:type="pct"/>
            <w:vAlign w:val="bottom"/>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rPr>
                <w:b/>
                <w:sz w:val="16"/>
                <w:lang w:eastAsia="tr-TR"/>
              </w:rPr>
            </w:pPr>
            <w:r w:rsidRPr="00D47C68">
              <w:rPr>
                <w:b/>
                <w:sz w:val="16"/>
                <w:lang w:eastAsia="tr-TR"/>
              </w:rPr>
              <w:t>Öncelik/Tedbir</w:t>
            </w:r>
          </w:p>
        </w:tc>
        <w:tc>
          <w:tcPr>
            <w:tcW w:w="1416" w:type="pct"/>
            <w:vAlign w:val="bottom"/>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rPr>
                <w:b/>
                <w:sz w:val="16"/>
                <w:lang w:eastAsia="tr-TR"/>
              </w:rPr>
            </w:pPr>
            <w:r w:rsidRPr="00D47C68">
              <w:rPr>
                <w:b/>
                <w:sz w:val="16"/>
                <w:lang w:eastAsia="tr-TR"/>
              </w:rPr>
              <w:t>Sorumlu/İşbirliği Yapılacak Kuruluşlar</w:t>
            </w:r>
          </w:p>
        </w:tc>
        <w:tc>
          <w:tcPr>
            <w:tcW w:w="499" w:type="pct"/>
            <w:vAlign w:val="bottom"/>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rPr>
                <w:b/>
                <w:sz w:val="16"/>
                <w:lang w:eastAsia="tr-TR"/>
              </w:rPr>
            </w:pPr>
            <w:r w:rsidRPr="00D47C68">
              <w:rPr>
                <w:b/>
                <w:sz w:val="16"/>
                <w:lang w:eastAsia="tr-TR"/>
              </w:rPr>
              <w:t>Süre</w:t>
            </w:r>
          </w:p>
        </w:tc>
        <w:tc>
          <w:tcPr>
            <w:tcW w:w="1820" w:type="pct"/>
            <w:vAlign w:val="bottom"/>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rPr>
                <w:b/>
                <w:sz w:val="16"/>
                <w:lang w:eastAsia="tr-TR"/>
              </w:rPr>
            </w:pPr>
            <w:r w:rsidRPr="00D47C68">
              <w:rPr>
                <w:b/>
                <w:sz w:val="16"/>
                <w:lang w:eastAsia="tr-TR"/>
              </w:rPr>
              <w:t>Yapılacak İşlem ve Açıklama</w:t>
            </w:r>
          </w:p>
        </w:tc>
      </w:tr>
      <w:tr w:rsidR="00565FD5" w:rsidRPr="005620E6" w:rsidTr="00AB62A3">
        <w:trPr>
          <w:trHeight w:val="20"/>
          <w:jc w:val="center"/>
        </w:trPr>
        <w:tc>
          <w:tcPr>
            <w:tcW w:w="5000" w:type="pct"/>
            <w:gridSpan w:val="4"/>
          </w:tcPr>
          <w:p w:rsidR="00565FD5" w:rsidRPr="00D47C68" w:rsidRDefault="00565FD5" w:rsidP="00EB1E69">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line="240" w:lineRule="auto"/>
              <w:jc w:val="both"/>
              <w:rPr>
                <w:b/>
                <w:sz w:val="16"/>
                <w:lang w:eastAsia="tr-TR"/>
              </w:rPr>
            </w:pPr>
            <w:r w:rsidRPr="00D47C68">
              <w:rPr>
                <w:b/>
                <w:sz w:val="16"/>
                <w:lang w:eastAsia="tr-TR"/>
              </w:rPr>
              <w:t>İSEDAK Stratejisi hayata geçirilecektir.</w:t>
            </w:r>
          </w:p>
        </w:tc>
      </w:tr>
      <w:tr w:rsidR="00565FD5" w:rsidRPr="005620E6" w:rsidTr="00AB62A3">
        <w:trPr>
          <w:trHeight w:val="1561"/>
          <w:jc w:val="center"/>
        </w:trPr>
        <w:tc>
          <w:tcPr>
            <w:tcW w:w="1266" w:type="pct"/>
          </w:tcPr>
          <w:p w:rsidR="00565FD5" w:rsidRPr="00D47C68" w:rsidRDefault="00565FD5" w:rsidP="00EB1E69">
            <w:pPr>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line="240" w:lineRule="auto"/>
              <w:ind w:left="0"/>
              <w:rPr>
                <w:sz w:val="16"/>
                <w:lang w:eastAsia="tr-TR"/>
              </w:rPr>
            </w:pPr>
            <w:r w:rsidRPr="00D47C68">
              <w:rPr>
                <w:sz w:val="16"/>
                <w:lang w:eastAsia="tr-TR"/>
              </w:rPr>
              <w:t xml:space="preserve">İSEDAK Stratejisi kapsamında işbirliği alanlarına yönelik olarak Çalışma Grubu Toplantıları düzenlenecektir. </w:t>
            </w:r>
          </w:p>
        </w:tc>
        <w:tc>
          <w:tcPr>
            <w:tcW w:w="1416"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rPr>
                <w:sz w:val="16"/>
                <w:lang w:eastAsia="tr-TR"/>
              </w:rPr>
            </w:pPr>
            <w:r w:rsidRPr="00D47C68">
              <w:rPr>
                <w:sz w:val="16"/>
                <w:lang w:eastAsia="tr-TR"/>
              </w:rPr>
              <w:t>Kalkınma Bakanlığı (S), Dışişleri Bakanlığı</w:t>
            </w:r>
            <w:r>
              <w:rPr>
                <w:sz w:val="16"/>
                <w:lang w:eastAsia="tr-TR"/>
              </w:rPr>
              <w:t>, İlgili Kurumlar</w:t>
            </w:r>
          </w:p>
        </w:tc>
        <w:tc>
          <w:tcPr>
            <w:tcW w:w="499"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rPr>
                <w:sz w:val="16"/>
                <w:lang w:eastAsia="tr-TR"/>
              </w:rPr>
            </w:pPr>
            <w:r w:rsidRPr="00D47C68">
              <w:rPr>
                <w:sz w:val="16"/>
                <w:lang w:eastAsia="tr-TR"/>
              </w:rPr>
              <w:t>Aralık Sonu</w:t>
            </w:r>
          </w:p>
        </w:tc>
        <w:tc>
          <w:tcPr>
            <w:tcW w:w="1820"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rPr>
                <w:sz w:val="16"/>
                <w:lang w:eastAsia="tr-TR"/>
              </w:rPr>
            </w:pPr>
            <w:r w:rsidRPr="00D47C68">
              <w:rPr>
                <w:sz w:val="16"/>
                <w:lang w:eastAsia="tr-TR"/>
              </w:rPr>
              <w:t xml:space="preserve">İSEDAK Stratejisinin uygulama mekanizmalarından olan Çalışma Grupları toplantıları düzenlenecektir. </w:t>
            </w:r>
          </w:p>
        </w:tc>
      </w:tr>
      <w:tr w:rsidR="00565FD5" w:rsidRPr="005620E6" w:rsidTr="00AB62A3">
        <w:trPr>
          <w:trHeight w:val="20"/>
          <w:jc w:val="center"/>
        </w:trPr>
        <w:tc>
          <w:tcPr>
            <w:tcW w:w="1266" w:type="pct"/>
          </w:tcPr>
          <w:p w:rsidR="00565FD5" w:rsidRPr="00D47C68" w:rsidRDefault="00565FD5" w:rsidP="00EB1E69">
            <w:pPr>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line="240" w:lineRule="auto"/>
              <w:ind w:left="0"/>
              <w:rPr>
                <w:sz w:val="16"/>
                <w:lang w:eastAsia="tr-TR"/>
              </w:rPr>
            </w:pPr>
            <w:r w:rsidRPr="00D47C68">
              <w:rPr>
                <w:sz w:val="16"/>
                <w:lang w:eastAsia="tr-TR"/>
              </w:rPr>
              <w:t xml:space="preserve">İSEDAK Stratejisinin uygulanmasına dönük üye ülkelerin teknik işbirliği ve kapasite geliştirme alanındaki projelerine ülkemiz tarafından finansal destek sağlanmak üzere proje teklif çağrısına çıkılacaktır. </w:t>
            </w:r>
          </w:p>
        </w:tc>
        <w:tc>
          <w:tcPr>
            <w:tcW w:w="1416"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rPr>
                <w:sz w:val="16"/>
                <w:lang w:eastAsia="tr-TR"/>
              </w:rPr>
            </w:pPr>
            <w:r w:rsidRPr="00D47C68">
              <w:rPr>
                <w:sz w:val="16"/>
                <w:lang w:eastAsia="tr-TR"/>
              </w:rPr>
              <w:t>Kalkınma Bakanlığı (S), Dışişleri Bakanlığı</w:t>
            </w:r>
            <w:r>
              <w:rPr>
                <w:sz w:val="16"/>
                <w:lang w:eastAsia="tr-TR"/>
              </w:rPr>
              <w:t>, Kalkınma Bankası</w:t>
            </w:r>
          </w:p>
        </w:tc>
        <w:tc>
          <w:tcPr>
            <w:tcW w:w="499"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rPr>
                <w:sz w:val="16"/>
                <w:lang w:eastAsia="tr-TR"/>
              </w:rPr>
            </w:pPr>
            <w:r w:rsidRPr="00D47C68">
              <w:rPr>
                <w:sz w:val="16"/>
                <w:lang w:eastAsia="tr-TR"/>
              </w:rPr>
              <w:t>Aralık Sonu</w:t>
            </w:r>
          </w:p>
        </w:tc>
        <w:tc>
          <w:tcPr>
            <w:tcW w:w="1820"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rPr>
                <w:sz w:val="16"/>
                <w:lang w:eastAsia="tr-TR"/>
              </w:rPr>
            </w:pPr>
            <w:r w:rsidRPr="00D47C68">
              <w:rPr>
                <w:sz w:val="16"/>
                <w:lang w:eastAsia="tr-TR"/>
              </w:rPr>
              <w:t>Ülkemiz tarafından finansman sağlanacak projeler için gerekli dokümanların hazırlanması ve mevzuat çalışmaları tamamlanarak teklif çağrısına çıkılacaktır.</w:t>
            </w:r>
          </w:p>
        </w:tc>
      </w:tr>
      <w:tr w:rsidR="00565FD5" w:rsidRPr="005620E6" w:rsidTr="00AB62A3">
        <w:trPr>
          <w:trHeight w:val="20"/>
          <w:jc w:val="center"/>
        </w:trPr>
        <w:tc>
          <w:tcPr>
            <w:tcW w:w="1266" w:type="pct"/>
          </w:tcPr>
          <w:p w:rsidR="00565FD5" w:rsidRPr="00D47C68" w:rsidRDefault="00565FD5" w:rsidP="00EB1E69">
            <w:pPr>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line="240" w:lineRule="auto"/>
              <w:ind w:left="0"/>
              <w:rPr>
                <w:sz w:val="16"/>
                <w:lang w:eastAsia="tr-TR"/>
              </w:rPr>
            </w:pPr>
            <w:r w:rsidRPr="007D277F">
              <w:rPr>
                <w:sz w:val="16"/>
                <w:lang w:eastAsia="tr-TR"/>
              </w:rPr>
              <w:t>İİT üyesi ülkeler arasında Tercihli Ticaret Sisteminin fiili işlerlik kazanmasına yönelik çalışmalar sürdürülecektir.</w:t>
            </w:r>
          </w:p>
        </w:tc>
        <w:tc>
          <w:tcPr>
            <w:tcW w:w="1416"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rPr>
                <w:sz w:val="16"/>
                <w:lang w:eastAsia="tr-TR"/>
              </w:rPr>
            </w:pPr>
            <w:r w:rsidRPr="00D47C68">
              <w:rPr>
                <w:sz w:val="16"/>
                <w:lang w:eastAsia="tr-TR"/>
              </w:rPr>
              <w:t>Ekonomi Bakanlığı (S), Başbakanlık, Dışişleri Bakanlığı, Kalkınma Bakanlığı, Gümrük ve Ticaret Bakanlığı</w:t>
            </w:r>
          </w:p>
        </w:tc>
        <w:tc>
          <w:tcPr>
            <w:tcW w:w="499"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rPr>
                <w:sz w:val="16"/>
                <w:lang w:eastAsia="tr-TR"/>
              </w:rPr>
            </w:pPr>
            <w:r w:rsidRPr="00D47C68">
              <w:rPr>
                <w:sz w:val="16"/>
                <w:lang w:eastAsia="tr-TR"/>
              </w:rPr>
              <w:t>Aralık Sonu</w:t>
            </w:r>
          </w:p>
        </w:tc>
        <w:tc>
          <w:tcPr>
            <w:tcW w:w="1820"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rPr>
                <w:sz w:val="16"/>
                <w:lang w:eastAsia="tr-TR"/>
              </w:rPr>
            </w:pPr>
            <w:r w:rsidRPr="00D47C68">
              <w:rPr>
                <w:sz w:val="16"/>
                <w:lang w:eastAsia="tr-TR"/>
              </w:rPr>
              <w:t>İlgili ülkelerin taviz listelerini Ticaret Müzakereleri Komitesi Sekreteryasına iletmelerine ve ülkelerin iç mevzuatlarında gerekli düzenlemeleri yapmalarına yönelik çabalar sürdürülecektir.</w:t>
            </w:r>
          </w:p>
        </w:tc>
      </w:tr>
      <w:tr w:rsidR="00565FD5" w:rsidRPr="005620E6" w:rsidTr="00AB62A3">
        <w:trPr>
          <w:trHeight w:val="20"/>
          <w:jc w:val="center"/>
        </w:trPr>
        <w:tc>
          <w:tcPr>
            <w:tcW w:w="1266" w:type="pct"/>
          </w:tcPr>
          <w:p w:rsidR="00565FD5" w:rsidRPr="00D47C68" w:rsidRDefault="00565FD5" w:rsidP="00EB1E69">
            <w:pPr>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line="240" w:lineRule="auto"/>
              <w:ind w:left="0"/>
              <w:rPr>
                <w:sz w:val="16"/>
                <w:lang w:eastAsia="tr-TR"/>
              </w:rPr>
            </w:pPr>
            <w:r w:rsidRPr="00D47C68">
              <w:rPr>
                <w:sz w:val="16"/>
                <w:lang w:eastAsia="tr-TR"/>
              </w:rPr>
              <w:t xml:space="preserve">S&amp;P İİT/İSEDAK Endeksinin tanıtımına yönelik faaliyetlere ağırlık verilecektir. </w:t>
            </w:r>
          </w:p>
        </w:tc>
        <w:tc>
          <w:tcPr>
            <w:tcW w:w="1416"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rPr>
                <w:sz w:val="16"/>
                <w:lang w:eastAsia="tr-TR"/>
              </w:rPr>
            </w:pPr>
            <w:r w:rsidRPr="00D47C68">
              <w:rPr>
                <w:sz w:val="16"/>
                <w:lang w:eastAsia="tr-TR"/>
              </w:rPr>
              <w:t>İMKB (S), Kalkınma Bakanlığı</w:t>
            </w:r>
          </w:p>
        </w:tc>
        <w:tc>
          <w:tcPr>
            <w:tcW w:w="499"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rPr>
                <w:sz w:val="16"/>
                <w:lang w:eastAsia="tr-TR"/>
              </w:rPr>
            </w:pPr>
            <w:r w:rsidRPr="00D47C68">
              <w:rPr>
                <w:sz w:val="16"/>
                <w:lang w:eastAsia="tr-TR"/>
              </w:rPr>
              <w:t>Aralık Sonu</w:t>
            </w:r>
          </w:p>
        </w:tc>
        <w:tc>
          <w:tcPr>
            <w:tcW w:w="1820"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rPr>
                <w:sz w:val="16"/>
                <w:lang w:eastAsia="tr-TR"/>
              </w:rPr>
            </w:pPr>
            <w:r w:rsidRPr="00D47C68">
              <w:rPr>
                <w:sz w:val="16"/>
                <w:lang w:eastAsia="tr-TR"/>
              </w:rPr>
              <w:t xml:space="preserve">İİT üyesi ülkelerin borsalarında işlem gören bazı firmaların hisselerinden oluşan S&amp;P İİT/İSEDAK Endeksine katılımı artırmaya yönelik olarak çalışmalara devam edilecektir.  </w:t>
            </w:r>
          </w:p>
        </w:tc>
      </w:tr>
      <w:tr w:rsidR="00565FD5" w:rsidRPr="005620E6" w:rsidTr="00AB62A3">
        <w:trPr>
          <w:trHeight w:val="20"/>
          <w:jc w:val="center"/>
        </w:trPr>
        <w:tc>
          <w:tcPr>
            <w:tcW w:w="1266" w:type="pct"/>
          </w:tcPr>
          <w:p w:rsidR="00565FD5" w:rsidRPr="00D47C68" w:rsidRDefault="00565FD5" w:rsidP="00EB1E69">
            <w:pPr>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line="240" w:lineRule="auto"/>
              <w:ind w:left="0"/>
              <w:rPr>
                <w:sz w:val="16"/>
                <w:lang w:eastAsia="tr-TR"/>
              </w:rPr>
            </w:pPr>
            <w:r w:rsidRPr="00D47C68">
              <w:rPr>
                <w:sz w:val="16"/>
                <w:lang w:eastAsia="tr-TR"/>
              </w:rPr>
              <w:t xml:space="preserve">İİT/İSEDAK Özel Sektör Turizm Forumu çalışmalarını </w:t>
            </w:r>
            <w:r w:rsidRPr="00D47C68">
              <w:rPr>
                <w:sz w:val="16"/>
                <w:lang w:eastAsia="tr-TR"/>
              </w:rPr>
              <w:lastRenderedPageBreak/>
              <w:t xml:space="preserve">içerik yönünden zenginleştirme çalışmaları sürdürülecektir.  </w:t>
            </w:r>
          </w:p>
        </w:tc>
        <w:tc>
          <w:tcPr>
            <w:tcW w:w="1416"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rPr>
                <w:sz w:val="16"/>
                <w:lang w:eastAsia="tr-TR"/>
              </w:rPr>
            </w:pPr>
            <w:r w:rsidRPr="00D47C68">
              <w:rPr>
                <w:sz w:val="16"/>
                <w:lang w:eastAsia="tr-TR"/>
              </w:rPr>
              <w:lastRenderedPageBreak/>
              <w:t xml:space="preserve">Kültür ve Turizm Bakanlığı (S), Kalkınma Bakanlığı, özel </w:t>
            </w:r>
            <w:r w:rsidRPr="00D47C68">
              <w:rPr>
                <w:sz w:val="16"/>
                <w:lang w:eastAsia="tr-TR"/>
              </w:rPr>
              <w:lastRenderedPageBreak/>
              <w:t>sektör kuruluşları</w:t>
            </w:r>
          </w:p>
        </w:tc>
        <w:tc>
          <w:tcPr>
            <w:tcW w:w="499"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rPr>
                <w:sz w:val="16"/>
                <w:lang w:eastAsia="tr-TR"/>
              </w:rPr>
            </w:pPr>
            <w:r w:rsidRPr="00D47C68">
              <w:rPr>
                <w:sz w:val="16"/>
                <w:lang w:eastAsia="tr-TR"/>
              </w:rPr>
              <w:lastRenderedPageBreak/>
              <w:t>Aralık Sonu</w:t>
            </w:r>
          </w:p>
        </w:tc>
        <w:tc>
          <w:tcPr>
            <w:tcW w:w="1820"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120" w:after="120"/>
              <w:rPr>
                <w:sz w:val="16"/>
                <w:lang w:eastAsia="tr-TR"/>
              </w:rPr>
            </w:pPr>
            <w:r w:rsidRPr="00D47C68">
              <w:rPr>
                <w:sz w:val="16"/>
                <w:lang w:eastAsia="tr-TR"/>
              </w:rPr>
              <w:t xml:space="preserve">İİT/İSEDAK Özel Sektör Turizm Forumu çalışmalarının içeriğinin zenginleştirilmesine yönelik </w:t>
            </w:r>
            <w:r w:rsidRPr="00D47C68">
              <w:rPr>
                <w:sz w:val="16"/>
                <w:lang w:eastAsia="tr-TR"/>
              </w:rPr>
              <w:lastRenderedPageBreak/>
              <w:t>çalışmalar sürdürülecektir.</w:t>
            </w:r>
          </w:p>
        </w:tc>
      </w:tr>
    </w:tbl>
    <w:p w:rsidR="00565FD5" w:rsidRPr="00F743BF"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b/>
          <w:lang w:eastAsia="tr-TR"/>
        </w:rPr>
      </w:pPr>
      <w:bookmarkStart w:id="3444" w:name="_Toc276076414"/>
      <w:bookmarkStart w:id="3445" w:name="_Toc307602135"/>
      <w:bookmarkStart w:id="3446" w:name="_Toc307670573"/>
      <w:bookmarkStart w:id="3447" w:name="_Toc307701800"/>
      <w:bookmarkStart w:id="3448" w:name="_Toc338523935"/>
      <w:bookmarkStart w:id="3449" w:name="_Toc338524166"/>
      <w:bookmarkStart w:id="3450" w:name="_Toc338526392"/>
      <w:bookmarkStart w:id="3451" w:name="_Toc338673835"/>
    </w:p>
    <w:p w:rsidR="00565FD5" w:rsidRPr="005620E6" w:rsidRDefault="00565FD5" w:rsidP="00565FD5">
      <w:pPr>
        <w:pStyle w:val="Balk3"/>
      </w:pPr>
      <w:bookmarkStart w:id="3452" w:name="_Toc338711714"/>
      <w:r w:rsidRPr="005620E6">
        <w:t>C. EKONOMİK İŞBİRLİĞİ TEŞKİLATI, KARADENİZ EKONOMİK</w:t>
      </w:r>
      <w:r w:rsidRPr="005620E6">
        <w:rPr>
          <w:szCs w:val="22"/>
        </w:rPr>
        <w:t xml:space="preserve"> </w:t>
      </w:r>
      <w:r w:rsidRPr="005620E6">
        <w:t>İŞBİRLİĞİ VE GELİŞMEKTE OLAN SEKİZ ÜLKE</w:t>
      </w:r>
      <w:bookmarkEnd w:id="3444"/>
      <w:bookmarkEnd w:id="3445"/>
      <w:bookmarkEnd w:id="3446"/>
      <w:bookmarkEnd w:id="3447"/>
      <w:bookmarkEnd w:id="3448"/>
      <w:bookmarkEnd w:id="3449"/>
      <w:bookmarkEnd w:id="3450"/>
      <w:bookmarkEnd w:id="3451"/>
      <w:bookmarkEnd w:id="3452"/>
    </w:p>
    <w:p w:rsidR="00565FD5" w:rsidRPr="005620E6" w:rsidRDefault="00565FD5" w:rsidP="00565FD5">
      <w:pPr>
        <w:pStyle w:val="Balk4"/>
        <w:rPr>
          <w:lang w:eastAsia="tr-TR"/>
        </w:rPr>
      </w:pPr>
      <w:bookmarkStart w:id="3453" w:name="_Toc276076415"/>
      <w:bookmarkStart w:id="3454" w:name="_Toc307602136"/>
      <w:bookmarkStart w:id="3455" w:name="_Toc307670574"/>
      <w:bookmarkStart w:id="3456" w:name="_Toc307701801"/>
      <w:bookmarkStart w:id="3457" w:name="_Toc338523936"/>
      <w:bookmarkStart w:id="3458" w:name="_Toc338524167"/>
      <w:bookmarkStart w:id="3459" w:name="_Toc338526393"/>
      <w:bookmarkStart w:id="3460" w:name="_Toc338673836"/>
      <w:bookmarkStart w:id="3461" w:name="_Toc338711715"/>
      <w:r w:rsidRPr="005620E6">
        <w:rPr>
          <w:lang w:eastAsia="tr-TR"/>
        </w:rPr>
        <w:t>1. Mevcut Durum</w:t>
      </w:r>
      <w:bookmarkEnd w:id="3453"/>
      <w:bookmarkEnd w:id="3454"/>
      <w:bookmarkEnd w:id="3455"/>
      <w:bookmarkEnd w:id="3456"/>
      <w:bookmarkEnd w:id="3457"/>
      <w:bookmarkEnd w:id="3458"/>
      <w:bookmarkEnd w:id="3459"/>
      <w:bookmarkEnd w:id="3460"/>
      <w:bookmarkEnd w:id="3461"/>
    </w:p>
    <w:p w:rsidR="00565FD5" w:rsidRPr="00D47C68"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b/>
          <w:lang w:eastAsia="tr-TR"/>
        </w:rPr>
      </w:pPr>
      <w:r w:rsidRPr="005620E6">
        <w:rPr>
          <w:b/>
          <w:lang w:eastAsia="tr-TR"/>
        </w:rPr>
        <w:t xml:space="preserve">a. </w:t>
      </w:r>
      <w:r w:rsidRPr="00D47C68">
        <w:rPr>
          <w:b/>
          <w:lang w:eastAsia="tr-TR"/>
        </w:rPr>
        <w:t xml:space="preserve">Ekonomik İşbirliği Teşkilatı </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lang w:eastAsia="tr-TR"/>
        </w:rPr>
      </w:pPr>
      <w:r w:rsidRPr="005620E6">
        <w:rPr>
          <w:lang w:eastAsia="tr-TR"/>
        </w:rPr>
        <w:t xml:space="preserve">Ekonomik İşbirliği Teşkilatı (EİT) bünyesinde, ticaretten ulaştırmaya, tarımdan enerjiye çeşitli alanlarda </w:t>
      </w:r>
      <w:r>
        <w:rPr>
          <w:lang w:eastAsia="tr-TR"/>
        </w:rPr>
        <w:t>faaliyetler</w:t>
      </w:r>
      <w:r w:rsidRPr="005620E6">
        <w:rPr>
          <w:lang w:eastAsia="tr-TR"/>
        </w:rPr>
        <w:t xml:space="preserve"> yürütülmektedir. </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lang w:eastAsia="tr-TR"/>
        </w:rPr>
      </w:pPr>
      <w:r w:rsidRPr="005620E6">
        <w:rPr>
          <w:lang w:eastAsia="tr-TR"/>
        </w:rPr>
        <w:t>Türkiye'nin 2011 yılında EİT ülkelerine olan ihracatı 9,3 milyar ABD doları olarak gerçekleşmiş olup bunun toplam ihracatımız içindeki payı yüzde 6,9'dur. 2012 yılının ilk sekiz aylık döneminde ihracatımız 11,7 milyar ABD doları seviyesine ulaşmıştır.</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lang w:eastAsia="tr-TR"/>
        </w:rPr>
      </w:pPr>
      <w:r w:rsidRPr="005620E6">
        <w:rPr>
          <w:lang w:eastAsia="tr-TR"/>
        </w:rPr>
        <w:t xml:space="preserve">2011 yılında Türkiye'nin EİT ülkelerinden ithalatı 17,3 milyar ABD doları olarak gerçekleşmiş olup bunun toplam ithalatımız içindeki payı yüzde 7,2'dir. 2012 yılının ilk sekiz ayında ithalat 10,4 milyar ABD doları olarak gerçekleşmiştir. </w:t>
      </w:r>
    </w:p>
    <w:p w:rsidR="00565FD5" w:rsidRPr="00D47C68"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lang w:eastAsia="tr-TR"/>
        </w:rPr>
      </w:pPr>
      <w:r w:rsidRPr="00D47C68">
        <w:rPr>
          <w:lang w:eastAsia="tr-TR"/>
        </w:rPr>
        <w:t>EİT Bölgesel Planlama Konseyi (BPK) 22. Toplantısı 9-11 Temmuz 2012 tarihlerinde Tahran’da gerçekleştirilmiştir. 12. EİT Zirvesi ve 20. Bakanlar Konseyi Toplantıları 13-16 Ekim 2012 tarihlerinde Bakü'de düzenlenmiştir.</w:t>
      </w:r>
    </w:p>
    <w:p w:rsidR="00565FD5"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lang w:eastAsia="tr-TR"/>
        </w:rPr>
      </w:pPr>
      <w:r w:rsidRPr="00D47C68">
        <w:rPr>
          <w:lang w:eastAsia="tr-TR"/>
        </w:rPr>
        <w:t>EİT’</w:t>
      </w:r>
      <w:r>
        <w:rPr>
          <w:lang w:eastAsia="tr-TR"/>
        </w:rPr>
        <w:t>n</w:t>
      </w:r>
      <w:r w:rsidRPr="00D47C68">
        <w:rPr>
          <w:lang w:eastAsia="tr-TR"/>
        </w:rPr>
        <w:t>in daha etkin, dinamik ve görünürlüğü yüksek bir teşkilat haline getirilmesi amacıyla 11. EİT Zirvesi’nce kurulan EİT Akil Adamlar Grubu çalışmalarını tamamlayarak hazırladıkları raporu 12. EİT Zirvesi ve 20. Bakanlar Konseyine sunmuşlardır.</w:t>
      </w:r>
      <w:r w:rsidRPr="005620E6">
        <w:rPr>
          <w:lang w:eastAsia="tr-TR"/>
        </w:rPr>
        <w:t xml:space="preserve"> </w:t>
      </w:r>
    </w:p>
    <w:p w:rsidR="00565FD5"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lang w:eastAsia="tr-TR"/>
        </w:rPr>
      </w:pPr>
      <w:r w:rsidRPr="008C49F4">
        <w:rPr>
          <w:lang w:eastAsia="tr-TR"/>
        </w:rPr>
        <w:t>EİT</w:t>
      </w:r>
      <w:r>
        <w:rPr>
          <w:lang w:eastAsia="tr-TR"/>
        </w:rPr>
        <w:t xml:space="preserve">’nin işbirliğine dönük en önemli projelerinden biri olan EİT Ticaret Anlaşması (ECOTA)’na fiili işlerlik kazandırılmasına dönük çalışmalar sürdürülmüştür. Bu kapsamda, ECOTA İşbirliği Konseyi 3. Toplantısı 2-3 Ekim 2012 tarihlerinde Ankara’da yapılmış ve bu Toplantıda ECOTA’nın 1 Ocak 2013 tarihi itibarıyla taviz listelerini ileten ülkeler arasında </w:t>
      </w:r>
      <w:r w:rsidRPr="008C49F4">
        <w:rPr>
          <w:lang w:eastAsia="tr-TR"/>
        </w:rPr>
        <w:t xml:space="preserve">yürürlüğe girmesi </w:t>
      </w:r>
      <w:r>
        <w:rPr>
          <w:lang w:eastAsia="tr-TR"/>
        </w:rPr>
        <w:t xml:space="preserve">kararlaştırılmıştır. </w:t>
      </w:r>
    </w:p>
    <w:p w:rsidR="00565FD5" w:rsidRPr="008C49F4"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lang w:eastAsia="tr-TR"/>
        </w:rPr>
      </w:pPr>
      <w:r w:rsidRPr="008C49F4">
        <w:rPr>
          <w:lang w:eastAsia="tr-TR"/>
        </w:rPr>
        <w:t xml:space="preserve">EİT Ekoturizm Uzmanlar Grubu 3. Toplantısı 21 Eylül 2012 tarihinde Antalya’da gerçekleştirilmiştir. Ayrıca Kültür ve Turizm Bakanlığı ve Orman ve Su işleri Bakanlığı ev sahipliğinde EİT üyelerine yönelik ekoturizm alanında 17-21 Eylül </w:t>
      </w:r>
      <w:r>
        <w:rPr>
          <w:lang w:eastAsia="tr-TR"/>
        </w:rPr>
        <w:t xml:space="preserve">2012 </w:t>
      </w:r>
      <w:r w:rsidRPr="008C49F4">
        <w:rPr>
          <w:lang w:eastAsia="tr-TR"/>
        </w:rPr>
        <w:t>tarihlerinde bir eğitim programı düzenlenmiştir.</w:t>
      </w:r>
    </w:p>
    <w:p w:rsidR="00565FD5" w:rsidRPr="008C49F4"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lang w:eastAsia="tr-TR"/>
        </w:rPr>
      </w:pPr>
      <w:r w:rsidRPr="008C49F4">
        <w:rPr>
          <w:lang w:eastAsia="tr-TR"/>
        </w:rPr>
        <w:t xml:space="preserve">EİT Dışişleri Bakanları 19. Toplantısında </w:t>
      </w:r>
      <w:r>
        <w:rPr>
          <w:lang w:eastAsia="tr-TR"/>
        </w:rPr>
        <w:t xml:space="preserve">alınan karar doğrultusunda </w:t>
      </w:r>
      <w:r w:rsidRPr="008C49F4">
        <w:rPr>
          <w:lang w:eastAsia="tr-TR"/>
        </w:rPr>
        <w:t>EİT Bölgesel Gıda Güvenliği Programı Bölgesel Koordinasyon Merkezi</w:t>
      </w:r>
      <w:r>
        <w:rPr>
          <w:lang w:eastAsia="tr-TR"/>
        </w:rPr>
        <w:t>’</w:t>
      </w:r>
      <w:r w:rsidRPr="008C49F4">
        <w:rPr>
          <w:lang w:eastAsia="tr-TR"/>
        </w:rPr>
        <w:t xml:space="preserve">nin </w:t>
      </w:r>
      <w:r>
        <w:rPr>
          <w:lang w:eastAsia="tr-TR"/>
        </w:rPr>
        <w:t xml:space="preserve">Ankara’da </w:t>
      </w:r>
      <w:r w:rsidRPr="008C49F4">
        <w:rPr>
          <w:lang w:eastAsia="tr-TR"/>
        </w:rPr>
        <w:t xml:space="preserve">kurulmasına yönelik çalışmalar </w:t>
      </w:r>
      <w:r>
        <w:rPr>
          <w:lang w:eastAsia="tr-TR"/>
        </w:rPr>
        <w:t>sürdürülmüştür.</w:t>
      </w:r>
      <w:r w:rsidRPr="008C49F4">
        <w:rPr>
          <w:lang w:eastAsia="tr-TR"/>
        </w:rPr>
        <w:t xml:space="preserve"> </w:t>
      </w:r>
    </w:p>
    <w:p w:rsidR="00565FD5" w:rsidRPr="00720324"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lang w:eastAsia="tr-TR"/>
        </w:rPr>
      </w:pPr>
      <w:r w:rsidRPr="008C49F4">
        <w:rPr>
          <w:lang w:eastAsia="tr-TR"/>
        </w:rPr>
        <w:t>EİT Tarım Bakanları 5. Toplantısının 13-16 Kasım 2012 tarihlerinde Antalya’da yapılması öngörülmektedir.</w:t>
      </w:r>
      <w:r w:rsidRPr="005620E6">
        <w:rPr>
          <w:lang w:eastAsia="tr-TR"/>
        </w:rPr>
        <w:t xml:space="preserve"> </w:t>
      </w:r>
    </w:p>
    <w:p w:rsidR="00565FD5" w:rsidRPr="00D47C68" w:rsidRDefault="00565FD5" w:rsidP="00565FD5">
      <w:pPr>
        <w:autoSpaceDE w:val="0"/>
        <w:autoSpaceDN w:val="0"/>
        <w:adjustRightInd w:val="0"/>
        <w:spacing w:after="140"/>
        <w:ind w:firstLine="425"/>
        <w:rPr>
          <w:rFonts w:cs="Tahoma"/>
          <w:b/>
          <w:bCs/>
          <w:szCs w:val="18"/>
        </w:rPr>
      </w:pPr>
      <w:r w:rsidRPr="005620E6">
        <w:rPr>
          <w:rFonts w:cs="Tahoma"/>
          <w:b/>
          <w:bCs/>
          <w:szCs w:val="18"/>
        </w:rPr>
        <w:t xml:space="preserve">b. </w:t>
      </w:r>
      <w:r w:rsidRPr="00D47C68">
        <w:rPr>
          <w:rFonts w:cs="Tahoma"/>
          <w:b/>
          <w:szCs w:val="18"/>
        </w:rPr>
        <w:t xml:space="preserve">Karadeniz Ekonomik İşbirliği Örgütü </w:t>
      </w:r>
    </w:p>
    <w:p w:rsidR="00565FD5" w:rsidRPr="005620E6" w:rsidRDefault="00565FD5" w:rsidP="00565FD5">
      <w:pPr>
        <w:autoSpaceDE w:val="0"/>
        <w:autoSpaceDN w:val="0"/>
        <w:adjustRightInd w:val="0"/>
        <w:spacing w:after="140"/>
        <w:ind w:firstLine="425"/>
        <w:rPr>
          <w:rFonts w:cs="Tahoma"/>
          <w:szCs w:val="18"/>
        </w:rPr>
      </w:pPr>
      <w:r w:rsidRPr="005620E6">
        <w:rPr>
          <w:rFonts w:cs="Tahoma"/>
          <w:szCs w:val="18"/>
        </w:rPr>
        <w:t>Karadeniz Ekonomik İşbirliği Örgütü (KEİ) dönem başkanlığı 01/07/2012 tarihinden itibaren Sırbistan’dan ülkemize geçmiş bulunmaktadır. İlk kez akademisyenler ve sivil toplum kuruluşlarının da katılımının sağlandığı ve 26/06/2012 tarihinde yapılan KEİ’nin 20. Yıldönümü Zirvesinde 2008 yılından beri ilk defa ortak bir bildiri yayımlanmıştır.</w:t>
      </w:r>
      <w:r w:rsidRPr="005620E6" w:rsidDel="003264CE">
        <w:rPr>
          <w:rFonts w:cs="Tahoma"/>
          <w:szCs w:val="18"/>
        </w:rPr>
        <w:t xml:space="preserve"> </w:t>
      </w:r>
    </w:p>
    <w:p w:rsidR="00565FD5" w:rsidRPr="005620E6" w:rsidRDefault="00565FD5" w:rsidP="00565FD5">
      <w:pPr>
        <w:autoSpaceDE w:val="0"/>
        <w:autoSpaceDN w:val="0"/>
        <w:adjustRightInd w:val="0"/>
        <w:spacing w:after="140"/>
        <w:ind w:firstLine="425"/>
        <w:rPr>
          <w:rFonts w:cs="Tahoma"/>
          <w:szCs w:val="18"/>
        </w:rPr>
      </w:pPr>
      <w:r w:rsidRPr="005620E6">
        <w:rPr>
          <w:rFonts w:cs="Tahoma"/>
          <w:szCs w:val="18"/>
        </w:rPr>
        <w:t>11/06/2012 tarihli Belgrad Dışişleri Bakanlar Konseyi Toplantısında kabul edilen ve KEİ’nin on yıllık hedeflerini belirleyen Gelişmiş Ortaklık İçin Ekonomik Gündem Belgesi Zirvede en üst düzeyde kabul görmüştür. Ticaret, ulaştırma, enerji, haberleşme, bilim ve teknoloji, turizm ve eğitim başta olmak üzere birçok alanda KEİ’nin 2020 yılına yönelik vizyonunu ortaya koyan söz konusu Belge, KEİ’ye üye ülkeler arasındaki işbirliğinin daha işlevsel hale getirilmesi ve sürdürülebilir kalkınma temelinde bölgenin doğal ve beşeri kaynaklarının daha etkin kullanımına yardımcı olması açısından önem taşımaktadır.</w:t>
      </w:r>
    </w:p>
    <w:p w:rsidR="00565FD5" w:rsidRPr="005620E6" w:rsidRDefault="00565FD5" w:rsidP="00565FD5">
      <w:pPr>
        <w:autoSpaceDE w:val="0"/>
        <w:autoSpaceDN w:val="0"/>
        <w:adjustRightInd w:val="0"/>
        <w:spacing w:after="140"/>
        <w:ind w:firstLine="425"/>
        <w:rPr>
          <w:rFonts w:cs="Tahoma"/>
          <w:szCs w:val="18"/>
        </w:rPr>
      </w:pPr>
      <w:r w:rsidRPr="005620E6">
        <w:rPr>
          <w:rFonts w:cs="Tahoma"/>
          <w:szCs w:val="18"/>
        </w:rPr>
        <w:lastRenderedPageBreak/>
        <w:t xml:space="preserve">Türkiye’nin KEİ ülkelerine ihracatı 2011 yılında 17,8 milyar ABD doları olarak gerçekleşmiş olup, bunun toplam ihracatımız içindeki payı yüzde 13,2’dir. 2012 yılının ilk yedi ayında ihracat, bir önceki yılın aynı dönemine göre yüzde 5,4 oranında artarak, 10,4 milyar ABD doları seviyesinde gerçekleşmiştir. </w:t>
      </w:r>
    </w:p>
    <w:p w:rsidR="00565FD5" w:rsidRDefault="00565FD5" w:rsidP="00565FD5">
      <w:pPr>
        <w:autoSpaceDE w:val="0"/>
        <w:autoSpaceDN w:val="0"/>
        <w:adjustRightInd w:val="0"/>
        <w:spacing w:after="140"/>
        <w:ind w:firstLine="425"/>
        <w:rPr>
          <w:rFonts w:cs="Tahoma"/>
          <w:szCs w:val="18"/>
        </w:rPr>
      </w:pPr>
      <w:r w:rsidRPr="005620E6">
        <w:rPr>
          <w:rFonts w:cs="Tahoma"/>
          <w:szCs w:val="18"/>
        </w:rPr>
        <w:t>Türkiye’nin KEİ ülkelerinden ithalatı 2011 yılında 38,8 milyar ABD doları olarak gerçekleşmiş olup, bunun toplam ithalatımız içindeki payı yüzde 16,1’dir. 2012 yılının ilk yedi ayında ithalat, bir önceki yılın aynı dönemine göre yüzde 8,5 oranında artarak, 23,7 milyar ABD doları olmuştur.</w:t>
      </w:r>
    </w:p>
    <w:p w:rsidR="00565FD5" w:rsidRDefault="00565FD5" w:rsidP="00565FD5">
      <w:pPr>
        <w:autoSpaceDE w:val="0"/>
        <w:autoSpaceDN w:val="0"/>
        <w:adjustRightInd w:val="0"/>
        <w:spacing w:after="140"/>
        <w:ind w:firstLine="425"/>
        <w:rPr>
          <w:rFonts w:cs="Tahoma"/>
          <w:b/>
          <w:bCs/>
          <w:szCs w:val="18"/>
        </w:rPr>
      </w:pPr>
      <w:r w:rsidRPr="005620E6">
        <w:rPr>
          <w:rFonts w:cs="Tahoma"/>
          <w:b/>
          <w:bCs/>
          <w:szCs w:val="18"/>
        </w:rPr>
        <w:t>c. Gelişmekte Olan Sekiz Ülke</w:t>
      </w:r>
    </w:p>
    <w:p w:rsidR="00565FD5" w:rsidRPr="005620E6" w:rsidRDefault="00565FD5" w:rsidP="00565FD5">
      <w:pPr>
        <w:autoSpaceDE w:val="0"/>
        <w:autoSpaceDN w:val="0"/>
        <w:adjustRightInd w:val="0"/>
        <w:spacing w:after="140"/>
        <w:ind w:firstLine="425"/>
        <w:rPr>
          <w:rFonts w:cs="Tahoma"/>
          <w:szCs w:val="18"/>
        </w:rPr>
      </w:pPr>
      <w:r w:rsidRPr="005620E6">
        <w:rPr>
          <w:rFonts w:cs="Tahoma"/>
          <w:szCs w:val="18"/>
        </w:rPr>
        <w:t xml:space="preserve">Gelişmekte Olan Sekiz Ülke (D-8) Üyesi Ülkeleri Arasında Tercihli Ticaret Anlaşması taviz listelerini sunan altı ülke (Türkiye, Malezya, Nijerya, Endonezya, Pakistan ve İran) arasında hukuken yürürlüğe girmiştir. </w:t>
      </w:r>
    </w:p>
    <w:p w:rsidR="00565FD5" w:rsidRPr="005620E6" w:rsidRDefault="00565FD5" w:rsidP="00565FD5">
      <w:pPr>
        <w:autoSpaceDE w:val="0"/>
        <w:autoSpaceDN w:val="0"/>
        <w:adjustRightInd w:val="0"/>
        <w:spacing w:after="140"/>
        <w:ind w:firstLine="425"/>
        <w:rPr>
          <w:rFonts w:cs="Tahoma"/>
          <w:szCs w:val="18"/>
        </w:rPr>
      </w:pPr>
      <w:r w:rsidRPr="005620E6">
        <w:rPr>
          <w:rFonts w:cs="Tahoma"/>
          <w:szCs w:val="18"/>
        </w:rPr>
        <w:t>D-8 Üyesi Ülkeler Gümrük İdareleri Arasında Çok Taraflı İdari İşbirliği Anlaşması 24/10/2011 tarihinde beş üyenin onayıyla yürürlüğe girmiştir. Ekim 2012 itibarıyla Mısır hariç tüm üye ülkeler onay belgelerini D-8 Sekreteryası’na sunmuşlardır.</w:t>
      </w:r>
    </w:p>
    <w:p w:rsidR="00565FD5" w:rsidRPr="005620E6" w:rsidRDefault="00565FD5" w:rsidP="00565FD5">
      <w:pPr>
        <w:autoSpaceDE w:val="0"/>
        <w:autoSpaceDN w:val="0"/>
        <w:adjustRightInd w:val="0"/>
        <w:spacing w:after="140"/>
        <w:ind w:firstLine="425"/>
        <w:rPr>
          <w:rFonts w:cs="Tahoma"/>
          <w:szCs w:val="18"/>
        </w:rPr>
      </w:pPr>
      <w:r w:rsidRPr="005620E6">
        <w:rPr>
          <w:rFonts w:cs="Tahoma"/>
          <w:szCs w:val="18"/>
        </w:rPr>
        <w:t xml:space="preserve">Türkiye’nin D-8 ülkelerine ihracatı 2011 yılında 7,6 milyar ABD doları olarak gerçekleşmiş olup bunun toplam ihracatımız içindeki payı yüzde 5,6’dır. 2012 yılının ilk yedi ayında ihracat, bir önceki yılın aynı dönemine göre yüzde 161,7 oranında artarak 11,1 milyar ABD doları seviyesinde gerçekleşmiştir. </w:t>
      </w:r>
    </w:p>
    <w:p w:rsidR="00565FD5" w:rsidRPr="005620E6" w:rsidRDefault="00565FD5" w:rsidP="00565FD5">
      <w:pPr>
        <w:autoSpaceDE w:val="0"/>
        <w:autoSpaceDN w:val="0"/>
        <w:adjustRightInd w:val="0"/>
        <w:spacing w:after="140"/>
        <w:ind w:firstLine="425"/>
        <w:rPr>
          <w:rFonts w:cs="Tahoma"/>
          <w:szCs w:val="18"/>
        </w:rPr>
      </w:pPr>
      <w:r w:rsidRPr="005620E6">
        <w:rPr>
          <w:rFonts w:cs="Tahoma"/>
          <w:szCs w:val="18"/>
        </w:rPr>
        <w:t>Türkiye’nin D-8 ülkelerinden ithalatı 2011 yılında 19,5 milyar ABD doları olarak gerçekleşmiş olup bunun toplam ithalatımız içindeki payı yüzde 8,1’dir. 2012 yılının ilk yedi ayında ithalat, bir önceki yılın aynı dönemine göre yüzde 6,3 oranında azalarak 11,2 milyar ABD doları olmuştur.</w:t>
      </w:r>
    </w:p>
    <w:p w:rsidR="00565FD5" w:rsidRPr="005620E6" w:rsidRDefault="00565FD5" w:rsidP="00565FD5">
      <w:pPr>
        <w:pStyle w:val="Balk4"/>
        <w:rPr>
          <w:lang w:eastAsia="tr-TR"/>
        </w:rPr>
      </w:pPr>
      <w:bookmarkStart w:id="3462" w:name="_Toc276076416"/>
      <w:bookmarkStart w:id="3463" w:name="_Toc276059357"/>
      <w:bookmarkStart w:id="3464" w:name="_Toc307602137"/>
      <w:bookmarkStart w:id="3465" w:name="_Toc307670575"/>
      <w:bookmarkStart w:id="3466" w:name="_Toc307701802"/>
      <w:bookmarkStart w:id="3467" w:name="_Toc338523937"/>
      <w:bookmarkStart w:id="3468" w:name="_Toc338524168"/>
      <w:bookmarkStart w:id="3469" w:name="_Toc338526394"/>
      <w:bookmarkStart w:id="3470" w:name="_Toc338673837"/>
      <w:bookmarkStart w:id="3471" w:name="_Toc338711716"/>
      <w:r w:rsidRPr="005620E6">
        <w:rPr>
          <w:lang w:eastAsia="tr-TR"/>
        </w:rPr>
        <w:t>2. Temel Amaç ve Hedefler</w:t>
      </w:r>
      <w:bookmarkEnd w:id="3462"/>
      <w:bookmarkEnd w:id="3463"/>
      <w:bookmarkEnd w:id="3464"/>
      <w:bookmarkEnd w:id="3465"/>
      <w:bookmarkEnd w:id="3466"/>
      <w:bookmarkEnd w:id="3467"/>
      <w:bookmarkEnd w:id="3468"/>
      <w:bookmarkEnd w:id="3469"/>
      <w:bookmarkEnd w:id="3470"/>
      <w:bookmarkEnd w:id="3471"/>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b/>
          <w:lang w:eastAsia="tr-TR"/>
        </w:rPr>
      </w:pPr>
      <w:r w:rsidRPr="005620E6">
        <w:rPr>
          <w:b/>
          <w:lang w:eastAsia="tr-TR"/>
        </w:rPr>
        <w:t>a. Ekonomik İşbirliği Teşkilatı</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lang w:eastAsia="tr-TR"/>
        </w:rPr>
      </w:pPr>
      <w:r w:rsidRPr="005620E6">
        <w:rPr>
          <w:lang w:eastAsia="tr-TR"/>
        </w:rPr>
        <w:t xml:space="preserve">EİT Bölgesinde bölge içi ticaretin artırılması için tarife ve tarife dışı engellerin azaltılmasına, ulaştırmanın ve taşımacılığın kolaylaştırılmasına, tarım alanında işbirliğinin geliştirilmesine ve gıda güvenliğinin iyileştirilmesine öncelik verilecektir. </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lang w:eastAsia="tr-TR"/>
        </w:rPr>
      </w:pPr>
      <w:r w:rsidRPr="005620E6">
        <w:rPr>
          <w:lang w:eastAsia="tr-TR"/>
        </w:rPr>
        <w:t xml:space="preserve">Ayrıca, özel sektör işbirliğinin güçlendirilmesine ve güvenli ve sürdürülebilir bir işbirliği altyapısının kurulması için mevcut projelerin etkin bir şekilde uygulanmasına yönelik çalışmalara devam edilecektir. </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lang w:eastAsia="tr-TR"/>
        </w:rPr>
      </w:pPr>
      <w:r w:rsidRPr="005620E6">
        <w:rPr>
          <w:lang w:eastAsia="tr-TR"/>
        </w:rPr>
        <w:t>EİT’</w:t>
      </w:r>
      <w:r>
        <w:rPr>
          <w:lang w:eastAsia="tr-TR"/>
        </w:rPr>
        <w:t>n</w:t>
      </w:r>
      <w:r w:rsidRPr="005620E6">
        <w:rPr>
          <w:lang w:eastAsia="tr-TR"/>
        </w:rPr>
        <w:t xml:space="preserve">in daha etkin, dinamik ve görünürlüğü yüksek bir teşkilat haline getirilmesi amacına dönük çalışmalar sürdürülecektir. </w:t>
      </w:r>
    </w:p>
    <w:p w:rsidR="00565FD5" w:rsidRPr="005620E6" w:rsidRDefault="00565FD5" w:rsidP="00565FD5">
      <w:pPr>
        <w:autoSpaceDE w:val="0"/>
        <w:autoSpaceDN w:val="0"/>
        <w:adjustRightInd w:val="0"/>
        <w:spacing w:after="140"/>
        <w:ind w:firstLine="425"/>
        <w:rPr>
          <w:rFonts w:cs="Tahoma"/>
          <w:b/>
          <w:bCs/>
          <w:szCs w:val="18"/>
        </w:rPr>
      </w:pPr>
      <w:r w:rsidRPr="005620E6">
        <w:rPr>
          <w:rFonts w:cs="Tahoma"/>
          <w:b/>
          <w:bCs/>
          <w:szCs w:val="18"/>
        </w:rPr>
        <w:t>b. Karadeniz Ekonomik İşbirliği Örgütü</w:t>
      </w:r>
    </w:p>
    <w:p w:rsidR="00565FD5" w:rsidRPr="005620E6" w:rsidRDefault="00565FD5" w:rsidP="00565FD5">
      <w:pPr>
        <w:spacing w:after="140"/>
        <w:rPr>
          <w:rFonts w:cs="Tahoma"/>
          <w:szCs w:val="18"/>
        </w:rPr>
      </w:pPr>
      <w:r w:rsidRPr="005620E6">
        <w:rPr>
          <w:rFonts w:cs="Tahoma"/>
          <w:szCs w:val="18"/>
        </w:rPr>
        <w:tab/>
        <w:t>Türkiye’nin KEİ Dönem Başkanlığı sırasında Gelişmiş Ortaklık için Ekonomik Gündem belgesinin uygulanmasına yönelik eylem planının hazırlanması çalışmaları sürdürülecektir.</w:t>
      </w:r>
    </w:p>
    <w:p w:rsidR="00565FD5" w:rsidRPr="005620E6" w:rsidRDefault="00565FD5" w:rsidP="00565FD5">
      <w:pPr>
        <w:spacing w:after="140"/>
        <w:ind w:firstLine="425"/>
        <w:rPr>
          <w:rFonts w:cs="Tahoma"/>
          <w:szCs w:val="18"/>
        </w:rPr>
      </w:pPr>
      <w:r w:rsidRPr="005620E6">
        <w:rPr>
          <w:rFonts w:cs="Tahoma"/>
          <w:szCs w:val="18"/>
        </w:rPr>
        <w:t>KEİ Bursa Ticaret Merkezi’nin kurulması çalışmaları sonuçlandırılacaktır.</w:t>
      </w:r>
    </w:p>
    <w:p w:rsidR="00565FD5" w:rsidRPr="005620E6" w:rsidRDefault="00565FD5" w:rsidP="00565FD5">
      <w:pPr>
        <w:spacing w:after="140"/>
        <w:ind w:firstLine="425"/>
        <w:rPr>
          <w:rFonts w:cs="Tahoma"/>
          <w:szCs w:val="18"/>
        </w:rPr>
      </w:pPr>
      <w:r w:rsidRPr="005620E6">
        <w:rPr>
          <w:rFonts w:cs="Tahoma"/>
          <w:szCs w:val="18"/>
        </w:rPr>
        <w:t>KEİ üyesi ülkeler arasında mesleki ve teknik eğitim sistemlerinin karşılıklı olarak geliştirilmesine yönelik işbirliği mekanizmalarının oluşturulması desteklenecektir.</w:t>
      </w:r>
    </w:p>
    <w:p w:rsidR="00565FD5" w:rsidRPr="005620E6" w:rsidRDefault="00565FD5" w:rsidP="00565FD5">
      <w:pPr>
        <w:spacing w:after="140"/>
        <w:ind w:firstLine="425"/>
        <w:rPr>
          <w:rFonts w:cs="Tahoma"/>
          <w:szCs w:val="18"/>
        </w:rPr>
      </w:pPr>
      <w:r w:rsidRPr="005620E6">
        <w:rPr>
          <w:rFonts w:cs="Tahoma"/>
          <w:szCs w:val="18"/>
        </w:rPr>
        <w:t>KEİ’yi proje üreten bir örgüte dönüştürmek amacıyla oluşturulan Proje Geliştirme Fonuna destek verilmeye devam edilecek ve bu çerçevede KOSGEB’in bölgedeki etkinliği artırılacaktır.</w:t>
      </w:r>
    </w:p>
    <w:p w:rsidR="00565FD5" w:rsidRPr="005620E6" w:rsidRDefault="00565FD5" w:rsidP="00565FD5">
      <w:pPr>
        <w:spacing w:after="140"/>
        <w:ind w:firstLine="425"/>
        <w:rPr>
          <w:rFonts w:cs="Tahoma"/>
          <w:szCs w:val="18"/>
        </w:rPr>
      </w:pPr>
      <w:r w:rsidRPr="005620E6">
        <w:rPr>
          <w:rFonts w:cs="Tahoma"/>
          <w:szCs w:val="18"/>
        </w:rPr>
        <w:lastRenderedPageBreak/>
        <w:t xml:space="preserve">KEİ’ye üye ülkeler arasında, KOBİ’lerde enerji verimliliğinin ve yeşil yatırımların desteklenmesi konusunda bilgi paylaşımı çalışmaları sürdürülecektir. </w:t>
      </w:r>
    </w:p>
    <w:p w:rsidR="00565FD5" w:rsidRPr="005620E6" w:rsidRDefault="00565FD5" w:rsidP="00565FD5">
      <w:pPr>
        <w:spacing w:after="140"/>
        <w:ind w:firstLine="425"/>
        <w:rPr>
          <w:rFonts w:cs="Tahoma"/>
          <w:szCs w:val="18"/>
        </w:rPr>
      </w:pPr>
      <w:r w:rsidRPr="005620E6">
        <w:rPr>
          <w:rFonts w:cs="Tahoma"/>
          <w:szCs w:val="18"/>
        </w:rPr>
        <w:t>KEİ bölgesinde vergi politikası uygulamaları konusunda işbirliği çalışmaları sürdürülecektir.</w:t>
      </w:r>
    </w:p>
    <w:p w:rsidR="00565FD5" w:rsidRPr="005620E6" w:rsidRDefault="00565FD5" w:rsidP="00565FD5">
      <w:pPr>
        <w:spacing w:after="140"/>
        <w:ind w:firstLine="425"/>
        <w:rPr>
          <w:rFonts w:cs="Tahoma"/>
          <w:szCs w:val="18"/>
        </w:rPr>
      </w:pPr>
      <w:r w:rsidRPr="005620E6">
        <w:rPr>
          <w:rFonts w:cs="Tahoma"/>
          <w:szCs w:val="18"/>
        </w:rPr>
        <w:t xml:space="preserve">KEİ ülkeleriyle ilişkilerimizde özel sektöre önem verilmeye devam edilecektir. </w:t>
      </w:r>
    </w:p>
    <w:p w:rsidR="00565FD5" w:rsidRPr="005620E6" w:rsidRDefault="00565FD5" w:rsidP="00565FD5">
      <w:pPr>
        <w:autoSpaceDE w:val="0"/>
        <w:autoSpaceDN w:val="0"/>
        <w:adjustRightInd w:val="0"/>
        <w:spacing w:after="140"/>
        <w:ind w:firstLine="425"/>
        <w:rPr>
          <w:rFonts w:cs="Tahoma"/>
          <w:szCs w:val="18"/>
        </w:rPr>
      </w:pPr>
      <w:r w:rsidRPr="005620E6">
        <w:rPr>
          <w:rFonts w:cs="Tahoma"/>
          <w:szCs w:val="18"/>
        </w:rPr>
        <w:t xml:space="preserve">KEİ bölgesinde karayolu taşımacılığının önündeki engellerin kaldırılması ve taşımacılığın aşamalı olarak serbestleştirilmesi amacıyla sürdürülen çalışmalar desteklenecektir. </w:t>
      </w:r>
    </w:p>
    <w:p w:rsidR="00565FD5" w:rsidRPr="005620E6" w:rsidRDefault="00565FD5" w:rsidP="00565FD5">
      <w:pPr>
        <w:autoSpaceDE w:val="0"/>
        <w:autoSpaceDN w:val="0"/>
        <w:adjustRightInd w:val="0"/>
        <w:spacing w:after="140"/>
        <w:ind w:firstLine="425"/>
        <w:rPr>
          <w:rFonts w:cs="Tahoma"/>
          <w:szCs w:val="18"/>
        </w:rPr>
      </w:pPr>
      <w:r w:rsidRPr="005620E6">
        <w:rPr>
          <w:rFonts w:cs="Tahoma"/>
          <w:szCs w:val="18"/>
        </w:rPr>
        <w:t>Göçmen kaçakçılığı ve insan ticareti konusunda işbirliği sürdürülecektir. Bu kapsamda, KEİ ülkeleri arasında bilgi paylaşımı ve operasyonel işbirliği geliştirilecektir.</w:t>
      </w:r>
    </w:p>
    <w:p w:rsidR="00565FD5" w:rsidRPr="005620E6" w:rsidRDefault="00565FD5" w:rsidP="00565FD5">
      <w:pPr>
        <w:autoSpaceDE w:val="0"/>
        <w:autoSpaceDN w:val="0"/>
        <w:adjustRightInd w:val="0"/>
        <w:spacing w:after="140"/>
        <w:ind w:firstLine="425"/>
        <w:rPr>
          <w:rFonts w:cs="Tahoma"/>
          <w:szCs w:val="18"/>
        </w:rPr>
      </w:pPr>
      <w:r w:rsidRPr="005620E6">
        <w:rPr>
          <w:rFonts w:cs="Tahoma"/>
          <w:szCs w:val="18"/>
        </w:rPr>
        <w:t>Kaçakçılık ve terörle mücadele konusunda işbirliği çalışmaları sürdürülecektir.</w:t>
      </w:r>
    </w:p>
    <w:p w:rsidR="00565FD5" w:rsidRPr="005620E6" w:rsidRDefault="00565FD5" w:rsidP="00565FD5">
      <w:pPr>
        <w:autoSpaceDE w:val="0"/>
        <w:autoSpaceDN w:val="0"/>
        <w:adjustRightInd w:val="0"/>
        <w:spacing w:after="140"/>
        <w:ind w:firstLine="425"/>
        <w:rPr>
          <w:rFonts w:cs="Tahoma"/>
          <w:szCs w:val="18"/>
        </w:rPr>
      </w:pPr>
      <w:r w:rsidRPr="005620E6">
        <w:rPr>
          <w:rFonts w:cs="Tahoma"/>
          <w:szCs w:val="18"/>
        </w:rPr>
        <w:t>Bitki genetik kaynaklarını korumak ve depolamak amacıyla KEİ’ye üye ülkelerin ulusal gen bankaları arasında işbirliği çalışmaları yapılacaktır.</w:t>
      </w:r>
    </w:p>
    <w:p w:rsidR="00565FD5" w:rsidRPr="005620E6" w:rsidRDefault="00565FD5" w:rsidP="00565FD5">
      <w:pPr>
        <w:autoSpaceDE w:val="0"/>
        <w:autoSpaceDN w:val="0"/>
        <w:adjustRightInd w:val="0"/>
        <w:spacing w:after="140"/>
        <w:ind w:firstLine="425"/>
        <w:rPr>
          <w:rFonts w:cs="Tahoma"/>
          <w:szCs w:val="18"/>
        </w:rPr>
      </w:pPr>
      <w:r w:rsidRPr="005620E6">
        <w:rPr>
          <w:rFonts w:cs="Tahoma"/>
          <w:szCs w:val="18"/>
        </w:rPr>
        <w:t>KEİ’ye üye ülkeler arasında gıda güvenliği ve güvenilirliği konularında bilgi ve tecrübe paylaşımının geliştirilmesi çalışmaları sürdürülecektir. Bu kapsamda, etiketleme standartlarının uyumlaştırılması çalışmalarına devam edilecektir.</w:t>
      </w:r>
    </w:p>
    <w:p w:rsidR="00565FD5" w:rsidRPr="005620E6" w:rsidRDefault="00565FD5" w:rsidP="00565FD5">
      <w:pPr>
        <w:autoSpaceDE w:val="0"/>
        <w:autoSpaceDN w:val="0"/>
        <w:adjustRightInd w:val="0"/>
        <w:spacing w:after="140"/>
        <w:rPr>
          <w:rFonts w:cs="Tahoma"/>
          <w:szCs w:val="18"/>
        </w:rPr>
      </w:pPr>
      <w:r w:rsidRPr="005620E6">
        <w:rPr>
          <w:rFonts w:cs="Tahoma"/>
          <w:szCs w:val="18"/>
        </w:rPr>
        <w:tab/>
        <w:t>Karadeniz’de sürdürülebilir balıkçılık politika ve uygulamalarının geliştirilmesi yönünde işbirliği çalışmaları desteklenecektir. Bu kapsamda, uluslararası kuruluşlarla işbirliği çalışmaları yapılacaktır.</w:t>
      </w:r>
    </w:p>
    <w:p w:rsidR="00565FD5" w:rsidRPr="005620E6" w:rsidRDefault="00565FD5" w:rsidP="00565FD5">
      <w:pPr>
        <w:spacing w:after="140"/>
        <w:rPr>
          <w:rFonts w:cs="Tahoma"/>
          <w:szCs w:val="18"/>
        </w:rPr>
      </w:pPr>
      <w:r w:rsidRPr="005620E6">
        <w:rPr>
          <w:rFonts w:cs="Tahoma"/>
          <w:szCs w:val="18"/>
        </w:rPr>
        <w:tab/>
        <w:t>KEİ üyesi ülkeler arasında sağlık, posta hizmetleri, sivil havacılık, sahil güvenlik ve yayın düzenleyici kuruluşlar arasında var olan işbirliğinin geliştirilmesi çalışmaları sürdürülecektir.</w:t>
      </w:r>
    </w:p>
    <w:p w:rsidR="00565FD5" w:rsidRPr="005620E6" w:rsidRDefault="00565FD5" w:rsidP="00565FD5">
      <w:pPr>
        <w:autoSpaceDE w:val="0"/>
        <w:autoSpaceDN w:val="0"/>
        <w:adjustRightInd w:val="0"/>
        <w:spacing w:after="140"/>
        <w:ind w:firstLine="425"/>
        <w:rPr>
          <w:rFonts w:cs="Tahoma"/>
          <w:b/>
          <w:bCs/>
          <w:szCs w:val="18"/>
        </w:rPr>
      </w:pPr>
      <w:r w:rsidRPr="005620E6">
        <w:rPr>
          <w:rFonts w:cs="Tahoma"/>
          <w:b/>
          <w:bCs/>
          <w:szCs w:val="18"/>
        </w:rPr>
        <w:t>c. Gelişmekte Olan Sekiz Ülke</w:t>
      </w:r>
    </w:p>
    <w:p w:rsidR="00565FD5" w:rsidRPr="005620E6" w:rsidRDefault="00565FD5" w:rsidP="00565FD5">
      <w:pPr>
        <w:autoSpaceDE w:val="0"/>
        <w:autoSpaceDN w:val="0"/>
        <w:adjustRightInd w:val="0"/>
        <w:spacing w:after="140"/>
        <w:ind w:firstLine="425"/>
        <w:rPr>
          <w:rFonts w:cs="Tahoma"/>
          <w:szCs w:val="18"/>
        </w:rPr>
      </w:pPr>
      <w:r w:rsidRPr="005620E6">
        <w:rPr>
          <w:rFonts w:cs="Tahoma"/>
          <w:szCs w:val="18"/>
        </w:rPr>
        <w:t>Türkiye, D-8 kapsamındaki işbirliği çalışmalarını desteklemeye devam edecektir. Bu kapsamda, D-8 Üyesi Ülkeleri Arasında Tercihli Ticaret Anlaşmasının fiilen yürürlüğe girmesine yönelik çalışmalar sürdürülecektir.</w:t>
      </w:r>
    </w:p>
    <w:p w:rsidR="00565FD5" w:rsidRPr="005620E6" w:rsidRDefault="00565FD5" w:rsidP="00565FD5">
      <w:pPr>
        <w:autoSpaceDE w:val="0"/>
        <w:autoSpaceDN w:val="0"/>
        <w:adjustRightInd w:val="0"/>
        <w:spacing w:after="140"/>
        <w:ind w:firstLine="425"/>
        <w:rPr>
          <w:rFonts w:cs="Tahoma"/>
          <w:szCs w:val="18"/>
        </w:rPr>
      </w:pPr>
      <w:r w:rsidRPr="005620E6">
        <w:rPr>
          <w:rFonts w:cs="Tahoma"/>
          <w:szCs w:val="18"/>
        </w:rPr>
        <w:t>D-8 Üyesi Ülkeler Gümrük İdareleri Arasında Çok Taraflı İdari İşbirliği Anlaşmasının onay işlemlerini tamamlamamış tek ülke olan Mısır’ın onay işlemlerini tamamlaması konusunda işbirliği çalışmaları sürdürülecektir.</w:t>
      </w:r>
    </w:p>
    <w:p w:rsidR="00565FD5" w:rsidRPr="005620E6" w:rsidRDefault="00565FD5" w:rsidP="00565FD5">
      <w:pPr>
        <w:autoSpaceDE w:val="0"/>
        <w:autoSpaceDN w:val="0"/>
        <w:adjustRightInd w:val="0"/>
        <w:spacing w:after="140"/>
        <w:ind w:firstLine="425"/>
        <w:rPr>
          <w:rFonts w:cs="Tahoma"/>
          <w:szCs w:val="18"/>
        </w:rPr>
      </w:pPr>
      <w:r w:rsidRPr="005620E6">
        <w:rPr>
          <w:rFonts w:cs="Tahoma"/>
          <w:szCs w:val="18"/>
        </w:rPr>
        <w:t>Mısır ile Türkiye arasında doğrudan bankacılık sistemi olmaması ve para transferlerinin Avrupa ve ABD bankaları kanalıyla yapılması maliyet artırıcı bir faktördür. Bu sorunun çözümüne yönelik çalışmalar sürdürülecektir.</w:t>
      </w:r>
    </w:p>
    <w:p w:rsidR="00565FD5" w:rsidRPr="005620E6" w:rsidRDefault="00565FD5" w:rsidP="00565FD5">
      <w:pPr>
        <w:autoSpaceDE w:val="0"/>
        <w:autoSpaceDN w:val="0"/>
        <w:adjustRightInd w:val="0"/>
        <w:spacing w:after="140"/>
        <w:ind w:firstLine="425"/>
        <w:rPr>
          <w:rFonts w:cs="Tahoma"/>
          <w:szCs w:val="18"/>
        </w:rPr>
      </w:pPr>
      <w:r w:rsidRPr="005620E6">
        <w:rPr>
          <w:rFonts w:cs="Tahoma"/>
          <w:szCs w:val="18"/>
        </w:rPr>
        <w:t>KOSGEB tarafından gerçekleştirilen  Sanayi Kümeleri En İyi Uygulama Çalıştayı, D-8 Uzman Değişimi projeleri gibi çalışmalar desteklenerek bilgi paylaşımı artırılacaktır.</w:t>
      </w:r>
    </w:p>
    <w:p w:rsidR="00565FD5" w:rsidRDefault="00565FD5" w:rsidP="00565FD5">
      <w:pPr>
        <w:autoSpaceDE w:val="0"/>
        <w:autoSpaceDN w:val="0"/>
        <w:adjustRightInd w:val="0"/>
        <w:spacing w:after="140"/>
        <w:ind w:firstLine="425"/>
        <w:rPr>
          <w:rFonts w:cs="Tahoma"/>
          <w:szCs w:val="18"/>
        </w:rPr>
      </w:pPr>
      <w:r w:rsidRPr="005620E6">
        <w:rPr>
          <w:rFonts w:cs="Tahoma"/>
          <w:szCs w:val="18"/>
        </w:rPr>
        <w:t>D-8 üye ülkelerince Yeşil Dünya ve Yeşil KOBİ’ler konusunda eylem planı hazırlama çalışmaları sürdürülecektir.</w:t>
      </w:r>
    </w:p>
    <w:p w:rsidR="00565FD5" w:rsidRPr="005620E6" w:rsidRDefault="00565FD5" w:rsidP="00565FD5">
      <w:pPr>
        <w:pStyle w:val="Balk4"/>
        <w:rPr>
          <w:lang w:eastAsia="tr-TR"/>
        </w:rPr>
      </w:pPr>
      <w:bookmarkStart w:id="3472" w:name="_Toc307602138"/>
      <w:bookmarkStart w:id="3473" w:name="_Toc307670576"/>
      <w:bookmarkStart w:id="3474" w:name="_Toc307701803"/>
      <w:bookmarkStart w:id="3475" w:name="_Toc338523938"/>
      <w:bookmarkStart w:id="3476" w:name="_Toc338524169"/>
      <w:bookmarkStart w:id="3477" w:name="_Toc338526395"/>
      <w:bookmarkStart w:id="3478" w:name="_Toc338673838"/>
      <w:bookmarkStart w:id="3479" w:name="_Toc338711717"/>
      <w:r w:rsidRPr="005620E6">
        <w:rPr>
          <w:lang w:eastAsia="tr-TR"/>
        </w:rPr>
        <w:t>3. Politika Öncelikleri ve Tedbirler</w:t>
      </w:r>
      <w:bookmarkEnd w:id="3472"/>
      <w:bookmarkEnd w:id="3473"/>
      <w:bookmarkEnd w:id="3474"/>
      <w:bookmarkEnd w:id="3475"/>
      <w:bookmarkEnd w:id="3476"/>
      <w:bookmarkEnd w:id="3477"/>
      <w:bookmarkEnd w:id="3478"/>
      <w:bookmarkEnd w:id="3479"/>
    </w:p>
    <w:tbl>
      <w:tblPr>
        <w:tblW w:w="7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12"/>
        <w:gridCol w:w="1957"/>
        <w:gridCol w:w="683"/>
        <w:gridCol w:w="2673"/>
      </w:tblGrid>
      <w:tr w:rsidR="00565FD5" w:rsidRPr="005620E6" w:rsidTr="00AB62A3">
        <w:trPr>
          <w:trHeight w:val="20"/>
          <w:jc w:val="center"/>
        </w:trPr>
        <w:tc>
          <w:tcPr>
            <w:tcW w:w="1178" w:type="pct"/>
            <w:vAlign w:val="bottom"/>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rPr>
                <w:b/>
                <w:sz w:val="16"/>
                <w:lang w:eastAsia="tr-TR"/>
              </w:rPr>
            </w:pPr>
            <w:r w:rsidRPr="00D47C68">
              <w:rPr>
                <w:b/>
                <w:sz w:val="16"/>
                <w:lang w:eastAsia="tr-TR"/>
              </w:rPr>
              <w:t>Öncelik / Tedbir</w:t>
            </w:r>
          </w:p>
        </w:tc>
        <w:tc>
          <w:tcPr>
            <w:tcW w:w="1405" w:type="pct"/>
            <w:vAlign w:val="bottom"/>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rPr>
                <w:b/>
                <w:bCs/>
                <w:sz w:val="16"/>
                <w:lang w:val="en-US" w:eastAsia="tr-TR"/>
              </w:rPr>
            </w:pPr>
            <w:r w:rsidRPr="00D47C68">
              <w:rPr>
                <w:b/>
                <w:sz w:val="16"/>
                <w:lang w:eastAsia="tr-TR"/>
              </w:rPr>
              <w:t>Sorumlu / İşbirliği Yapılacak Kuruluşlar</w:t>
            </w:r>
          </w:p>
        </w:tc>
        <w:tc>
          <w:tcPr>
            <w:tcW w:w="510" w:type="pct"/>
            <w:vAlign w:val="bottom"/>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rPr>
                <w:b/>
                <w:bCs/>
                <w:sz w:val="16"/>
                <w:lang w:val="en-US" w:eastAsia="tr-TR"/>
              </w:rPr>
            </w:pPr>
            <w:r w:rsidRPr="00D47C68">
              <w:rPr>
                <w:b/>
                <w:sz w:val="16"/>
                <w:lang w:eastAsia="tr-TR"/>
              </w:rPr>
              <w:t xml:space="preserve">Süre </w:t>
            </w:r>
          </w:p>
        </w:tc>
        <w:tc>
          <w:tcPr>
            <w:tcW w:w="1907" w:type="pct"/>
            <w:vAlign w:val="bottom"/>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rPr>
                <w:b/>
                <w:bCs/>
                <w:sz w:val="16"/>
                <w:lang w:val="en-US" w:eastAsia="tr-TR"/>
              </w:rPr>
            </w:pPr>
            <w:r w:rsidRPr="00D47C68">
              <w:rPr>
                <w:b/>
                <w:sz w:val="16"/>
                <w:lang w:eastAsia="tr-TR"/>
              </w:rPr>
              <w:t>Yapılacak İşlem ve Açıklama</w:t>
            </w:r>
          </w:p>
        </w:tc>
      </w:tr>
      <w:tr w:rsidR="00565FD5" w:rsidRPr="005620E6" w:rsidTr="00AB62A3">
        <w:trPr>
          <w:trHeight w:val="20"/>
          <w:jc w:val="center"/>
        </w:trPr>
        <w:tc>
          <w:tcPr>
            <w:tcW w:w="5000" w:type="pct"/>
            <w:gridSpan w:val="4"/>
            <w:vAlign w:val="center"/>
          </w:tcPr>
          <w:p w:rsidR="00565FD5" w:rsidRPr="00D47C68" w:rsidRDefault="00565FD5" w:rsidP="00EB1E69">
            <w:pPr>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line="240" w:lineRule="auto"/>
              <w:rPr>
                <w:b/>
                <w:bCs/>
                <w:sz w:val="16"/>
                <w:lang w:val="en-US" w:eastAsia="tr-TR"/>
              </w:rPr>
            </w:pPr>
            <w:r w:rsidRPr="00D47C68">
              <w:rPr>
                <w:b/>
                <w:sz w:val="16"/>
                <w:lang w:eastAsia="tr-TR"/>
              </w:rPr>
              <w:t xml:space="preserve">EİT, KEİ ve D-8 platformlarında işbirliği geliştirilecektir.  </w:t>
            </w:r>
          </w:p>
        </w:tc>
      </w:tr>
      <w:tr w:rsidR="00565FD5" w:rsidRPr="005620E6" w:rsidTr="00AB62A3">
        <w:trPr>
          <w:trHeight w:val="20"/>
          <w:jc w:val="center"/>
        </w:trPr>
        <w:tc>
          <w:tcPr>
            <w:tcW w:w="1178" w:type="pct"/>
          </w:tcPr>
          <w:p w:rsidR="00565FD5" w:rsidRPr="00D47C68" w:rsidRDefault="00565FD5" w:rsidP="00EB1E69">
            <w:pPr>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line="240" w:lineRule="auto"/>
              <w:rPr>
                <w:sz w:val="16"/>
                <w:lang w:eastAsia="tr-TR"/>
              </w:rPr>
            </w:pPr>
            <w:r w:rsidRPr="00D47C68">
              <w:rPr>
                <w:sz w:val="16"/>
                <w:lang w:eastAsia="tr-TR"/>
              </w:rPr>
              <w:t xml:space="preserve">Ülkemizin </w:t>
            </w:r>
            <w:r w:rsidRPr="00D47C68">
              <w:rPr>
                <w:sz w:val="16"/>
                <w:lang w:eastAsia="tr-TR"/>
              </w:rPr>
              <w:lastRenderedPageBreak/>
              <w:t>EİT kapsamındaki işbirliği faaliyetlerinde etkinliği artırılacaktır.</w:t>
            </w:r>
          </w:p>
        </w:tc>
        <w:tc>
          <w:tcPr>
            <w:tcW w:w="1405"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rPr>
                <w:sz w:val="16"/>
                <w:lang w:eastAsia="tr-TR"/>
              </w:rPr>
            </w:pPr>
            <w:r w:rsidRPr="00D47C68">
              <w:rPr>
                <w:sz w:val="16"/>
                <w:lang w:eastAsia="tr-TR"/>
              </w:rPr>
              <w:lastRenderedPageBreak/>
              <w:t xml:space="preserve">Dışişleri Bakanlığı (S), </w:t>
            </w:r>
            <w:r w:rsidRPr="00D47C68">
              <w:rPr>
                <w:sz w:val="16"/>
                <w:lang w:eastAsia="tr-TR"/>
              </w:rPr>
              <w:lastRenderedPageBreak/>
              <w:t>Kalkınma Bakanlığı</w:t>
            </w:r>
          </w:p>
        </w:tc>
        <w:tc>
          <w:tcPr>
            <w:tcW w:w="510"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rPr>
                <w:sz w:val="16"/>
                <w:lang w:eastAsia="tr-TR"/>
              </w:rPr>
            </w:pPr>
            <w:r w:rsidRPr="00D47C68">
              <w:rPr>
                <w:sz w:val="16"/>
                <w:lang w:eastAsia="tr-TR"/>
              </w:rPr>
              <w:lastRenderedPageBreak/>
              <w:t xml:space="preserve">Aralık </w:t>
            </w:r>
            <w:r w:rsidRPr="00D47C68">
              <w:rPr>
                <w:sz w:val="16"/>
                <w:lang w:eastAsia="tr-TR"/>
              </w:rPr>
              <w:lastRenderedPageBreak/>
              <w:t>Sonu</w:t>
            </w:r>
          </w:p>
        </w:tc>
        <w:tc>
          <w:tcPr>
            <w:tcW w:w="1907"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rPr>
                <w:sz w:val="16"/>
                <w:lang w:eastAsia="tr-TR"/>
              </w:rPr>
            </w:pPr>
            <w:r w:rsidRPr="00D47C68">
              <w:rPr>
                <w:sz w:val="16"/>
                <w:lang w:eastAsia="tr-TR"/>
              </w:rPr>
              <w:lastRenderedPageBreak/>
              <w:t xml:space="preserve">EİT’in etkinliğinin artırılmasına </w:t>
            </w:r>
            <w:r w:rsidRPr="00D47C68">
              <w:rPr>
                <w:sz w:val="16"/>
                <w:lang w:eastAsia="tr-TR"/>
              </w:rPr>
              <w:lastRenderedPageBreak/>
              <w:t>yönelik olarak çalışmalar yürütülecektir.</w:t>
            </w:r>
          </w:p>
        </w:tc>
      </w:tr>
      <w:tr w:rsidR="00565FD5" w:rsidRPr="005620E6" w:rsidTr="00AB62A3">
        <w:trPr>
          <w:trHeight w:val="20"/>
          <w:jc w:val="center"/>
        </w:trPr>
        <w:tc>
          <w:tcPr>
            <w:tcW w:w="1178" w:type="pct"/>
          </w:tcPr>
          <w:p w:rsidR="00565FD5" w:rsidRPr="00D47C68" w:rsidRDefault="00565FD5" w:rsidP="00EB1E69">
            <w:pPr>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line="240" w:lineRule="auto"/>
              <w:rPr>
                <w:sz w:val="16"/>
                <w:lang w:eastAsia="tr-TR"/>
              </w:rPr>
            </w:pPr>
            <w:r w:rsidRPr="00D47C68">
              <w:rPr>
                <w:sz w:val="16"/>
                <w:lang w:eastAsia="tr-TR"/>
              </w:rPr>
              <w:lastRenderedPageBreak/>
              <w:t>ECOTA’nın hayata geçirilmesine yönelik çalışmalar sürdürülecektir.</w:t>
            </w:r>
          </w:p>
        </w:tc>
        <w:tc>
          <w:tcPr>
            <w:tcW w:w="1405"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rPr>
                <w:sz w:val="16"/>
                <w:lang w:eastAsia="tr-TR"/>
              </w:rPr>
            </w:pPr>
            <w:r w:rsidRPr="00D47C68">
              <w:rPr>
                <w:sz w:val="16"/>
                <w:lang w:eastAsia="tr-TR"/>
              </w:rPr>
              <w:t>Ekonomi Bakanlığı (S), Başbakanlık, Dışişleri Bakanlığı, Kalkınma Bakanlığı, Gümrük ve Ticaret Bakanlığı</w:t>
            </w:r>
          </w:p>
        </w:tc>
        <w:tc>
          <w:tcPr>
            <w:tcW w:w="510"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rPr>
                <w:sz w:val="16"/>
                <w:lang w:eastAsia="tr-TR"/>
              </w:rPr>
            </w:pPr>
            <w:r w:rsidRPr="00D47C68">
              <w:rPr>
                <w:sz w:val="16"/>
                <w:lang w:eastAsia="tr-TR"/>
              </w:rPr>
              <w:t>Aralık Sonu</w:t>
            </w:r>
          </w:p>
        </w:tc>
        <w:tc>
          <w:tcPr>
            <w:tcW w:w="1907"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rPr>
                <w:sz w:val="16"/>
                <w:lang w:eastAsia="tr-TR"/>
              </w:rPr>
            </w:pPr>
            <w:r w:rsidRPr="00D47C68">
              <w:rPr>
                <w:sz w:val="16"/>
                <w:lang w:eastAsia="tr-TR"/>
              </w:rPr>
              <w:t>EİT Ticaret Anlaşması'nın ek belgelerinin ilgili ülkelerce imzalanıp onaylanması ve ilgili üye ülkelerin taviz listelerini EİT Yazmanlığına iletmeleri yönündeki çabalar sürdürülecektir.</w:t>
            </w:r>
          </w:p>
        </w:tc>
      </w:tr>
      <w:tr w:rsidR="00565FD5" w:rsidRPr="005620E6" w:rsidTr="00AB62A3">
        <w:trPr>
          <w:trHeight w:val="20"/>
          <w:jc w:val="center"/>
        </w:trPr>
        <w:tc>
          <w:tcPr>
            <w:tcW w:w="1178" w:type="pct"/>
          </w:tcPr>
          <w:p w:rsidR="00565FD5" w:rsidRPr="00D47C68" w:rsidRDefault="00565FD5" w:rsidP="00EB1E69">
            <w:pPr>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line="240" w:lineRule="auto"/>
              <w:rPr>
                <w:sz w:val="16"/>
                <w:lang w:eastAsia="tr-TR"/>
              </w:rPr>
            </w:pPr>
            <w:r w:rsidRPr="00D47C68">
              <w:rPr>
                <w:sz w:val="16"/>
                <w:lang w:eastAsia="tr-TR"/>
              </w:rPr>
              <w:t>Ülkemizde kurulacak olan EİT Bölgesel Gıda Güvenliği Programı Bölgesel Koordinasyon Merkezine yönelik çalışmalar tamamlanarak Merkeze fiili işlerlik kazandırılacaktır.</w:t>
            </w:r>
          </w:p>
        </w:tc>
        <w:tc>
          <w:tcPr>
            <w:tcW w:w="1405"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rPr>
                <w:sz w:val="16"/>
                <w:lang w:eastAsia="tr-TR"/>
              </w:rPr>
            </w:pPr>
            <w:r w:rsidRPr="00D47C68">
              <w:rPr>
                <w:sz w:val="16"/>
                <w:lang w:eastAsia="tr-TR"/>
              </w:rPr>
              <w:t>Gıda, Tarım ve Hayvancılık Bakanlığı (S), Kalkınma Bakanlığı</w:t>
            </w:r>
          </w:p>
        </w:tc>
        <w:tc>
          <w:tcPr>
            <w:tcW w:w="510"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rPr>
                <w:sz w:val="16"/>
                <w:lang w:eastAsia="tr-TR"/>
              </w:rPr>
            </w:pPr>
            <w:r w:rsidRPr="00D47C68">
              <w:rPr>
                <w:sz w:val="16"/>
                <w:lang w:eastAsia="tr-TR"/>
              </w:rPr>
              <w:t>Aralık Sonu</w:t>
            </w:r>
          </w:p>
        </w:tc>
        <w:tc>
          <w:tcPr>
            <w:tcW w:w="1907"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rPr>
                <w:sz w:val="16"/>
                <w:lang w:eastAsia="tr-TR"/>
              </w:rPr>
            </w:pPr>
            <w:r w:rsidRPr="00D47C68">
              <w:rPr>
                <w:sz w:val="16"/>
                <w:lang w:eastAsia="tr-TR"/>
              </w:rPr>
              <w:t>EİT Bölgesel Gıda Güvenliği Programı Bölgesel Koordinasyon Merkezinin kurulmasına yönelik mevzuat çalışmaları tamamlanarak Merkez işler konuma getirilecektir.</w:t>
            </w:r>
          </w:p>
        </w:tc>
      </w:tr>
      <w:tr w:rsidR="00565FD5" w:rsidRPr="005620E6" w:rsidTr="00AB62A3">
        <w:trPr>
          <w:trHeight w:val="20"/>
          <w:jc w:val="center"/>
        </w:trPr>
        <w:tc>
          <w:tcPr>
            <w:tcW w:w="1178" w:type="pct"/>
          </w:tcPr>
          <w:p w:rsidR="00565FD5" w:rsidRPr="00D47C68" w:rsidRDefault="00565FD5" w:rsidP="00EB1E69">
            <w:pPr>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line="240" w:lineRule="auto"/>
              <w:rPr>
                <w:sz w:val="16"/>
                <w:lang w:eastAsia="tr-TR"/>
              </w:rPr>
            </w:pPr>
            <w:r w:rsidRPr="00D47C68">
              <w:rPr>
                <w:sz w:val="16"/>
                <w:lang w:eastAsia="tr-TR"/>
              </w:rPr>
              <w:t>D-8 Tercihli Ticaret Anlaşmasının fiili işlerlik kazanmasına yönelik çalışmalar sonuçlandırılacaktır.</w:t>
            </w:r>
          </w:p>
        </w:tc>
        <w:tc>
          <w:tcPr>
            <w:tcW w:w="1405"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rPr>
                <w:sz w:val="16"/>
                <w:lang w:eastAsia="tr-TR"/>
              </w:rPr>
            </w:pPr>
            <w:r w:rsidRPr="00D47C68">
              <w:rPr>
                <w:sz w:val="16"/>
                <w:lang w:eastAsia="tr-TR"/>
              </w:rPr>
              <w:t>Ekonomi Bakanlığı (S), Başbakanlık, Dışişleri Bakanlığı, Kalkınma Bakanlığı, Gümrük ve Ticaret Bakanlığı</w:t>
            </w:r>
          </w:p>
        </w:tc>
        <w:tc>
          <w:tcPr>
            <w:tcW w:w="510"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rPr>
                <w:sz w:val="16"/>
                <w:lang w:eastAsia="tr-TR"/>
              </w:rPr>
            </w:pPr>
            <w:r w:rsidRPr="00D47C68">
              <w:rPr>
                <w:sz w:val="16"/>
                <w:lang w:eastAsia="tr-TR"/>
              </w:rPr>
              <w:t>Aralık Sonu</w:t>
            </w:r>
          </w:p>
        </w:tc>
        <w:tc>
          <w:tcPr>
            <w:tcW w:w="1907" w:type="pct"/>
          </w:tcPr>
          <w:p w:rsidR="00565FD5" w:rsidRPr="00D47C68" w:rsidRDefault="00565FD5" w:rsidP="00AB62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40" w:after="40"/>
              <w:rPr>
                <w:sz w:val="16"/>
                <w:lang w:eastAsia="tr-TR"/>
              </w:rPr>
            </w:pPr>
            <w:r w:rsidRPr="00D47C68">
              <w:rPr>
                <w:sz w:val="16"/>
                <w:lang w:eastAsia="tr-TR"/>
              </w:rPr>
              <w:t>D-8 Tercihli Ticaret Anlaşmasının fiili işlerlik kazanmasına yönelik çalışmalar sonuçlandırılacaktır.</w:t>
            </w:r>
          </w:p>
        </w:tc>
      </w:tr>
    </w:tbl>
    <w:p w:rsidR="00565FD5" w:rsidRPr="00645C02"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rPr>
          <w:sz w:val="16"/>
          <w:lang w:eastAsia="tr-TR"/>
        </w:rPr>
      </w:pPr>
    </w:p>
    <w:p w:rsidR="00565FD5" w:rsidRPr="005620E6" w:rsidRDefault="00565FD5" w:rsidP="00565FD5">
      <w:pPr>
        <w:pStyle w:val="Balk2"/>
      </w:pPr>
      <w:bookmarkStart w:id="3480" w:name="_Toc338494282"/>
      <w:bookmarkStart w:id="3481" w:name="_Toc338505697"/>
      <w:bookmarkStart w:id="3482" w:name="_Toc338523939"/>
      <w:bookmarkStart w:id="3483" w:name="_Toc338524170"/>
      <w:bookmarkStart w:id="3484" w:name="_Toc338526396"/>
      <w:bookmarkStart w:id="3485" w:name="_Toc338673839"/>
      <w:bookmarkStart w:id="3486" w:name="_Toc338711718"/>
      <w:r w:rsidRPr="005620E6">
        <w:t>II. İKİLİ EKONOMİK İŞBİRLİĞİ</w:t>
      </w:r>
      <w:bookmarkEnd w:id="796"/>
      <w:bookmarkEnd w:id="3338"/>
      <w:bookmarkEnd w:id="3339"/>
      <w:bookmarkEnd w:id="3340"/>
      <w:bookmarkEnd w:id="3341"/>
      <w:bookmarkEnd w:id="3480"/>
      <w:bookmarkEnd w:id="3481"/>
      <w:bookmarkEnd w:id="3482"/>
      <w:bookmarkEnd w:id="3483"/>
      <w:bookmarkEnd w:id="3484"/>
      <w:bookmarkEnd w:id="3485"/>
      <w:bookmarkEnd w:id="3486"/>
      <w:r w:rsidRPr="005620E6">
        <w:t xml:space="preserve"> </w:t>
      </w:r>
    </w:p>
    <w:p w:rsidR="00565FD5" w:rsidRPr="005620E6" w:rsidRDefault="00565FD5" w:rsidP="00565FD5">
      <w:pPr>
        <w:pStyle w:val="Balk4"/>
      </w:pPr>
      <w:bookmarkStart w:id="3487" w:name="TOC276076419"/>
      <w:bookmarkStart w:id="3488" w:name="_Toc307602140"/>
      <w:bookmarkStart w:id="3489" w:name="_Toc307670578"/>
      <w:bookmarkStart w:id="3490" w:name="_Toc307701805"/>
      <w:bookmarkStart w:id="3491" w:name="_Toc338505698"/>
      <w:bookmarkStart w:id="3492" w:name="_Toc338523940"/>
      <w:bookmarkStart w:id="3493" w:name="_Toc338524171"/>
      <w:bookmarkStart w:id="3494" w:name="_Toc338526397"/>
      <w:bookmarkStart w:id="3495" w:name="_Toc338673840"/>
      <w:bookmarkStart w:id="3496" w:name="_Toc338711719"/>
      <w:r w:rsidRPr="005620E6">
        <w:t>1. Mevcut Durum</w:t>
      </w:r>
      <w:bookmarkEnd w:id="3487"/>
      <w:bookmarkEnd w:id="3488"/>
      <w:bookmarkEnd w:id="3489"/>
      <w:bookmarkEnd w:id="3490"/>
      <w:bookmarkEnd w:id="3491"/>
      <w:bookmarkEnd w:id="3492"/>
      <w:bookmarkEnd w:id="3493"/>
      <w:bookmarkEnd w:id="3494"/>
      <w:bookmarkEnd w:id="3495"/>
      <w:bookmarkEnd w:id="3496"/>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0"/>
        <w:rPr>
          <w:szCs w:val="18"/>
          <w:lang w:eastAsia="tr-TR"/>
        </w:rPr>
      </w:pPr>
      <w:r w:rsidRPr="005620E6">
        <w:rPr>
          <w:rFonts w:cs="Tahoma"/>
          <w:szCs w:val="18"/>
          <w:lang w:eastAsia="tr-TR"/>
        </w:rPr>
        <w:t xml:space="preserve">Türkiye güçlü bir ekonomik ve finansal yapıya sahip olması ve krizlere karşı sağlam duruşu sayesinde bölgesinde güvenli liman olarak algılanarak önemli bir ekonomik güç ve küresel bir aktör olmuş ve yükselen profiliyle komşu ve bölge ülkelerinin yanı sıra komşu olmayan ülkelerin de ekonomik, ticari ve diğer alanlarda ilişkilerini güçlendirmek için taleplerde bulunduğu bir ülke haline gelmiştir. Bu çerçevede Türkiye belirli ülkelere ve bölgelere yoğunlaşmak yerine, komşu olan ve olmayan pek çok ülkeyle ikili ekonomik ve ticari ilişkilerini güçlendirerek dengeli bir politika izlemektedir. </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2"/>
        <w:rPr>
          <w:rFonts w:cs="Tahoma"/>
          <w:szCs w:val="18"/>
          <w:lang w:eastAsia="tr-TR"/>
        </w:rPr>
      </w:pPr>
      <w:r w:rsidRPr="005620E6">
        <w:rPr>
          <w:rFonts w:cs="Tahoma"/>
          <w:szCs w:val="18"/>
          <w:lang w:eastAsia="tr-TR"/>
        </w:rPr>
        <w:t>Türkiye’nin izlediği politikaların ve ülkelerle ikili ilişkilere verdiği önemin etkisi ülkelere ve ülke gruplarına göre dış ticaret hacimlerinde kendini göstermektedir. Nitekim 2012 yılının ilk yedi ayında bir önceki yılın aynı dönemine göre ülke gruplarına göre dış ticaretin önemli ölçüde arttığı; en büyük artışın ise yüzde 56,6’yla Yakın ve Ortadoğu Ülkeleri, yüzde 46,1’le Kuzey Afrika Ülkeleri ve yüzde 32,2’yle Orta Amerika ve Karayip Ülkeleri ile yapılan ticarette gerçekleştiği görülmektedir.</w:t>
      </w:r>
    </w:p>
    <w:p w:rsidR="00565FD5" w:rsidRPr="00E1678D"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32"/>
        <w:rPr>
          <w:rFonts w:cs="Tahoma"/>
          <w:szCs w:val="18"/>
          <w:lang w:eastAsia="tr-TR"/>
        </w:rPr>
      </w:pPr>
      <w:r w:rsidRPr="005620E6">
        <w:rPr>
          <w:rFonts w:cs="Tahoma"/>
          <w:szCs w:val="18"/>
          <w:lang w:eastAsia="tr-TR"/>
        </w:rPr>
        <w:t xml:space="preserve">2012 yılının ilk yedi ayında Türkiye'nin kara sınırı olan komşu ülkelere ihracatı bir önceki yılın aynı dönemine göre yüzde 69,7 oranında artarak 16,7 milyar ABD dolarına; ithalatı ise yüzde 2,3 oranında artarak 11,3 milyar ABD dolarına ulaşmıştır. İhracatta Irak'ın yüzde 44 payla, ithalatta ise İran’ın yüzde 68,5 payla Türkiye’nin komşu ülkeleri arasında en önemli ticaret ortakları konumunda oldukları görülmektedir. Aynı dönemde, Türkiye’den komşu ülkelere yönelen doğrudan yatırımlar yüzde 26,8 oranında azalarak 41 milyon ABD doları; komşu ülkelerden Türkiye’ye yönelik doğrudan yatırımlar ise yüzde 5,7 oranında artarak 37 milyon ABD doları olmuştur. Bu dönemde Irak, Gürcistan ve Suriye’ye yapılan yatırımlar azalırken Yunanistan’a yapılan yatırımlardaki artış dikkat çekmektedir. </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22"/>
        <w:rPr>
          <w:rFonts w:cs="Tahoma"/>
          <w:szCs w:val="18"/>
          <w:lang w:eastAsia="tr-TR"/>
        </w:rPr>
      </w:pPr>
      <w:r w:rsidRPr="005620E6">
        <w:rPr>
          <w:rFonts w:cs="Tahoma"/>
          <w:szCs w:val="18"/>
          <w:lang w:eastAsia="tr-TR"/>
        </w:rPr>
        <w:t>Türkiye’nin ülkelere göre ihracatı 2012 yılının ilk yedi aylık verilerine göre incelendiğinde, İran, Almanya, Irak, İngiltere ve Rusya’nın en fazla ihracat yapılan beş ülke olduğu ve söz konusu 5 ülkenin toplam ihracat içindeki payının yüzde 34,6 olarak gerçekleştiği görülmektedir. Rusya, Çin, Almanya, ABD ve İtalya ise en fazla ithalat gerçekleştirilen beş ülke olmuştur. Söz konusu 5 ülkenin toplam ithalat içindeki payı yüzde 40,6’dır. İthalatta ilk sırada yer alan Rusya’dan yapılan ithalatın önemli bir bölümünü doğalgaz ve petrol ithalatı oluşturmaktadır. Aynı dönemde Türkiye’ye en fazla doğrudan yatırım yapan ülkeler İngiltere, Avusturya, Hollanda, Lüksemburg ve Lübnan olmuştur. Türkiye’den diğer ülkelere yapılan doğrudan yatırımlarda ise en büyük payı sırasıyla Hollanda, Azerbaycan ve Hırvatistan almıştır.</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37"/>
        <w:rPr>
          <w:rFonts w:cs="Tahoma"/>
          <w:szCs w:val="18"/>
          <w:lang w:eastAsia="tr-TR"/>
        </w:rPr>
      </w:pPr>
      <w:r w:rsidRPr="005620E6">
        <w:rPr>
          <w:rFonts w:cs="Tahoma"/>
          <w:szCs w:val="18"/>
          <w:lang w:eastAsia="tr-TR"/>
        </w:rPr>
        <w:t xml:space="preserve">2012 yılında Türkiye ile diğer ülkeler arasında hali hazırda oluşturulmuş olan Yüksek Düzeyli Stratejik İşbirliği Konseyi (YDSK) mekanizmalarının uygulanmasına yönelik çalışmalar sürdürülmüş ve </w:t>
      </w:r>
      <w:r w:rsidRPr="005620E6">
        <w:rPr>
          <w:rFonts w:cs="Tahoma"/>
          <w:szCs w:val="18"/>
          <w:lang w:eastAsia="tr-TR"/>
        </w:rPr>
        <w:lastRenderedPageBreak/>
        <w:t xml:space="preserve">söz konusu mekanizmaların olmadığı ülkelerle de benzer mekanizmaların oluşturulması yönünde çalışmalara devam edilmiştir. 2012 yılında ayrıca, Türkiye ile çeşitli ülkeler arasında Karma Ekonomik Komisyon (KEK) toplantılarının düzenlenmesine, KEK protokolleri imzalanmasına ve Yatırımların Karşılıklı Teşviki ve Korunması (YKTK) Anlaşmaları yapılmasına devam edilmiştir. </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firstLine="437"/>
        <w:rPr>
          <w:rFonts w:cs="Tahoma"/>
          <w:szCs w:val="18"/>
          <w:lang w:eastAsia="tr-TR"/>
        </w:rPr>
      </w:pPr>
      <w:r w:rsidRPr="005620E6">
        <w:rPr>
          <w:rFonts w:cs="Tahoma"/>
          <w:szCs w:val="18"/>
          <w:lang w:eastAsia="tr-TR"/>
        </w:rPr>
        <w:t xml:space="preserve">Türkiye’nin kalkınma alanında sahip olduğu bilgi ve tecrübenin diğer ülkelerle paylaşılması kapsamında Tunus’un yeniden yapılanma ve reform çalışmalarına destek vermek üzere makroekonomi, yatırım teşvik sistemi, bölgesel kalkınma, bölgelerarası işbirliği, sosyal destekler vb. alanlarda işbirliği faaliyetleri 2012 yılı Ağustos ayında başlatılmıştır. Bazı komşu ülkeler ve yakın çevre ülkeleriyle de benzer programların başlatılmasına yönelik çalışmalar sürdürülmektedir. </w:t>
      </w:r>
    </w:p>
    <w:p w:rsidR="00565FD5" w:rsidRPr="005620E6" w:rsidRDefault="00565FD5" w:rsidP="00565FD5">
      <w:pPr>
        <w:pStyle w:val="Balk4"/>
      </w:pPr>
      <w:bookmarkStart w:id="3497" w:name="TOC276076420"/>
      <w:bookmarkStart w:id="3498" w:name="_Toc307602141"/>
      <w:bookmarkStart w:id="3499" w:name="_Toc307670579"/>
      <w:bookmarkStart w:id="3500" w:name="_Toc307701806"/>
      <w:bookmarkStart w:id="3501" w:name="_Toc338505699"/>
      <w:bookmarkStart w:id="3502" w:name="_Toc338523941"/>
      <w:bookmarkStart w:id="3503" w:name="_Toc338524172"/>
      <w:bookmarkStart w:id="3504" w:name="_Toc338526398"/>
      <w:bookmarkStart w:id="3505" w:name="_Toc338673841"/>
      <w:bookmarkStart w:id="3506" w:name="_Toc338711720"/>
      <w:r w:rsidRPr="005620E6">
        <w:t>2. Temel Amaç ve Hedefler</w:t>
      </w:r>
      <w:bookmarkEnd w:id="3497"/>
      <w:bookmarkEnd w:id="3498"/>
      <w:bookmarkEnd w:id="3499"/>
      <w:bookmarkEnd w:id="3500"/>
      <w:bookmarkEnd w:id="3501"/>
      <w:bookmarkEnd w:id="3502"/>
      <w:bookmarkEnd w:id="3503"/>
      <w:bookmarkEnd w:id="3504"/>
      <w:bookmarkEnd w:id="3505"/>
      <w:bookmarkEnd w:id="3506"/>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right="5" w:firstLine="432"/>
        <w:rPr>
          <w:szCs w:val="18"/>
          <w:lang w:eastAsia="tr-TR"/>
        </w:rPr>
      </w:pPr>
      <w:r w:rsidRPr="005620E6">
        <w:rPr>
          <w:rFonts w:cs="Tahoma"/>
          <w:szCs w:val="18"/>
          <w:lang w:eastAsia="tr-TR"/>
        </w:rPr>
        <w:t>Komşu ülkeler ve yakın çevre ülkeleriyle Kalkınma İşbirliği Programları ve Bölgelerarası İşbirliği Programlarının geliştirilmesine ağırlık verilecektir. Türkiye’nin yakın çevresinde yer almamakla birlikte içinde Brezilya, Rusya, Hindistan, Çin ve Güney Afrika’nın (BRICS) da yer aldığı kalkınma alanında önemli tecrübelere sahip ülkelerle bilgi ve tecrübe paylaşım programları başlatılması yönünde faaliyetler yürütülecektir.</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right="5" w:firstLine="432"/>
        <w:rPr>
          <w:rFonts w:cs="Tahoma"/>
          <w:szCs w:val="18"/>
          <w:lang w:eastAsia="tr-TR"/>
        </w:rPr>
      </w:pPr>
      <w:r w:rsidRPr="005620E6">
        <w:rPr>
          <w:rFonts w:cs="Tahoma"/>
          <w:szCs w:val="18"/>
          <w:lang w:eastAsia="tr-TR"/>
        </w:rPr>
        <w:t>İkili düzeyde; komşu ülkeler ve komşu olmayan diğer ülkelerle Türkiye’nin ulusal stratejilerine, dış politika hedeflerine ve bölgesel önceliklerine uygun şekilde teknik işbirliği çalışmaları artırılarak sürdürülecektir.</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right="10" w:firstLine="422"/>
        <w:rPr>
          <w:rFonts w:cs="Tahoma"/>
          <w:szCs w:val="18"/>
          <w:lang w:eastAsia="tr-TR"/>
        </w:rPr>
      </w:pPr>
      <w:r w:rsidRPr="005620E6">
        <w:rPr>
          <w:rFonts w:cs="Tahoma"/>
          <w:szCs w:val="18"/>
          <w:lang w:eastAsia="tr-TR"/>
        </w:rPr>
        <w:t>Türkiye ile diğer ülkeler arasında KEK toplantılarının gerçekleştirilmesi, YDSK mekanizmalarının kurulması, YKTK Anlaşmalarının ve Gümrük Birliği yükümlülüklerimizle uyumlu bir şekilde Serbest Ticaret Anlaşmalarının (STA) imzalanması için gerekli çalışmalar yapılacaktır.</w:t>
      </w:r>
    </w:p>
    <w:p w:rsidR="00565FD5" w:rsidRPr="005620E6"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right="11" w:firstLine="420"/>
        <w:rPr>
          <w:rFonts w:cs="Tahoma"/>
          <w:szCs w:val="18"/>
          <w:lang w:eastAsia="tr-TR"/>
        </w:rPr>
      </w:pPr>
      <w:r w:rsidRPr="005620E6">
        <w:rPr>
          <w:rFonts w:cs="Tahoma"/>
          <w:szCs w:val="18"/>
          <w:lang w:eastAsia="tr-TR"/>
        </w:rPr>
        <w:t>Kalkınma alanında komşu ülkelerle ve bölge ülkeleriyle ikili ve çok taraflı işbirliğini geliştirmeye dönük bir strateji belgesi oluşturma çalışmaları için yol haritası çıkarılacak ve bu yol haritası doğrultusunda çalışmalar yapılacaktır.</w:t>
      </w:r>
    </w:p>
    <w:p w:rsidR="00565FD5" w:rsidRPr="005620E6" w:rsidRDefault="00565FD5" w:rsidP="00565FD5">
      <w:pPr>
        <w:pStyle w:val="Balk4"/>
      </w:pPr>
      <w:bookmarkStart w:id="3507" w:name="TOC276076421"/>
      <w:bookmarkStart w:id="3508" w:name="_Toc307602142"/>
      <w:bookmarkStart w:id="3509" w:name="_Toc307670580"/>
      <w:bookmarkStart w:id="3510" w:name="_Toc307701807"/>
      <w:bookmarkStart w:id="3511" w:name="_Toc338505700"/>
      <w:bookmarkStart w:id="3512" w:name="_Toc338523942"/>
      <w:bookmarkStart w:id="3513" w:name="_Toc338524173"/>
      <w:bookmarkStart w:id="3514" w:name="_Toc338526399"/>
      <w:bookmarkStart w:id="3515" w:name="_Toc338673842"/>
      <w:bookmarkStart w:id="3516" w:name="_Toc338711721"/>
      <w:r w:rsidRPr="005620E6">
        <w:t>3. Politika Öncelikleri ve Tedbirler</w:t>
      </w:r>
      <w:bookmarkEnd w:id="3507"/>
      <w:bookmarkEnd w:id="3508"/>
      <w:bookmarkEnd w:id="3509"/>
      <w:bookmarkEnd w:id="3510"/>
      <w:bookmarkEnd w:id="3511"/>
      <w:bookmarkEnd w:id="3512"/>
      <w:bookmarkEnd w:id="3513"/>
      <w:bookmarkEnd w:id="3514"/>
      <w:bookmarkEnd w:id="3515"/>
      <w:bookmarkEnd w:id="3516"/>
    </w:p>
    <w:tbl>
      <w:tblPr>
        <w:tblW w:w="7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7"/>
        <w:gridCol w:w="2255"/>
        <w:gridCol w:w="842"/>
        <w:gridCol w:w="2240"/>
      </w:tblGrid>
      <w:tr w:rsidR="00565FD5" w:rsidRPr="005620E6" w:rsidTr="00AB62A3">
        <w:trPr>
          <w:jc w:val="center"/>
        </w:trPr>
        <w:tc>
          <w:tcPr>
            <w:tcW w:w="1265" w:type="pct"/>
            <w:vAlign w:val="bottom"/>
          </w:tcPr>
          <w:p w:rsidR="00565FD5" w:rsidRPr="005620E6" w:rsidRDefault="00565FD5" w:rsidP="00AB62A3">
            <w:pPr>
              <w:autoSpaceDE w:val="0"/>
              <w:autoSpaceDN w:val="0"/>
              <w:adjustRightInd w:val="0"/>
              <w:spacing w:before="60" w:after="60"/>
              <w:rPr>
                <w:rFonts w:cs="Tahoma"/>
                <w:b/>
                <w:bCs/>
                <w:sz w:val="16"/>
                <w:szCs w:val="16"/>
              </w:rPr>
            </w:pPr>
            <w:r w:rsidRPr="005620E6">
              <w:rPr>
                <w:rFonts w:cs="Tahoma"/>
                <w:b/>
                <w:bCs/>
                <w:sz w:val="16"/>
                <w:szCs w:val="16"/>
              </w:rPr>
              <w:t>Öncelik / Tedbir</w:t>
            </w:r>
          </w:p>
        </w:tc>
        <w:tc>
          <w:tcPr>
            <w:tcW w:w="1578" w:type="pct"/>
            <w:vAlign w:val="bottom"/>
          </w:tcPr>
          <w:p w:rsidR="00565FD5" w:rsidRPr="005620E6" w:rsidRDefault="00565FD5" w:rsidP="00AB62A3">
            <w:pPr>
              <w:autoSpaceDE w:val="0"/>
              <w:autoSpaceDN w:val="0"/>
              <w:adjustRightInd w:val="0"/>
              <w:spacing w:before="60" w:after="60"/>
              <w:rPr>
                <w:rFonts w:cs="Tahoma"/>
                <w:b/>
                <w:bCs/>
                <w:sz w:val="16"/>
                <w:szCs w:val="16"/>
              </w:rPr>
            </w:pPr>
            <w:r w:rsidRPr="005620E6">
              <w:rPr>
                <w:rFonts w:cs="Tahoma"/>
                <w:b/>
                <w:bCs/>
                <w:sz w:val="16"/>
                <w:szCs w:val="16"/>
              </w:rPr>
              <w:t>Sorumlu / İşbirliği Yapılacak Kuruluşlar</w:t>
            </w:r>
          </w:p>
        </w:tc>
        <w:tc>
          <w:tcPr>
            <w:tcW w:w="589" w:type="pct"/>
            <w:vAlign w:val="bottom"/>
          </w:tcPr>
          <w:p w:rsidR="00565FD5" w:rsidRPr="005620E6" w:rsidRDefault="00565FD5" w:rsidP="00AB62A3">
            <w:pPr>
              <w:autoSpaceDE w:val="0"/>
              <w:autoSpaceDN w:val="0"/>
              <w:adjustRightInd w:val="0"/>
              <w:spacing w:before="60" w:after="60"/>
              <w:rPr>
                <w:rFonts w:cs="Tahoma"/>
                <w:b/>
                <w:bCs/>
                <w:sz w:val="16"/>
                <w:szCs w:val="16"/>
              </w:rPr>
            </w:pPr>
            <w:r w:rsidRPr="005620E6">
              <w:rPr>
                <w:rFonts w:cs="Tahoma"/>
                <w:b/>
                <w:bCs/>
                <w:sz w:val="16"/>
                <w:szCs w:val="16"/>
              </w:rPr>
              <w:t xml:space="preserve">Süre </w:t>
            </w:r>
          </w:p>
        </w:tc>
        <w:tc>
          <w:tcPr>
            <w:tcW w:w="1568" w:type="pct"/>
            <w:vAlign w:val="bottom"/>
          </w:tcPr>
          <w:p w:rsidR="00565FD5" w:rsidRPr="005620E6" w:rsidRDefault="00565FD5" w:rsidP="00AB62A3">
            <w:pPr>
              <w:autoSpaceDE w:val="0"/>
              <w:autoSpaceDN w:val="0"/>
              <w:adjustRightInd w:val="0"/>
              <w:spacing w:before="60" w:after="60"/>
              <w:rPr>
                <w:rFonts w:cs="Tahoma"/>
                <w:b/>
                <w:bCs/>
                <w:sz w:val="16"/>
                <w:szCs w:val="16"/>
              </w:rPr>
            </w:pPr>
            <w:r w:rsidRPr="005620E6">
              <w:rPr>
                <w:rFonts w:cs="Tahoma"/>
                <w:b/>
                <w:bCs/>
                <w:sz w:val="16"/>
                <w:szCs w:val="16"/>
              </w:rPr>
              <w:t>Yapılacak İşlem ve Açıklama</w:t>
            </w:r>
          </w:p>
        </w:tc>
      </w:tr>
      <w:tr w:rsidR="00565FD5" w:rsidRPr="005620E6" w:rsidTr="00AB62A3">
        <w:trPr>
          <w:trHeight w:val="429"/>
          <w:jc w:val="center"/>
        </w:trPr>
        <w:tc>
          <w:tcPr>
            <w:tcW w:w="5000" w:type="pct"/>
            <w:gridSpan w:val="4"/>
          </w:tcPr>
          <w:p w:rsidR="00565FD5" w:rsidRPr="005620E6" w:rsidRDefault="00565FD5" w:rsidP="00EB1E69">
            <w:pPr>
              <w:numPr>
                <w:ilvl w:val="0"/>
                <w:numId w:val="15"/>
              </w:numPr>
              <w:tabs>
                <w:tab w:val="left" w:pos="425"/>
              </w:tabs>
              <w:autoSpaceDE w:val="0"/>
              <w:autoSpaceDN w:val="0"/>
              <w:adjustRightInd w:val="0"/>
              <w:spacing w:before="60" w:after="60" w:line="240" w:lineRule="auto"/>
              <w:jc w:val="both"/>
              <w:rPr>
                <w:rFonts w:cs="Tahoma"/>
                <w:bCs/>
                <w:sz w:val="16"/>
                <w:szCs w:val="16"/>
              </w:rPr>
            </w:pPr>
            <w:r w:rsidRPr="005620E6">
              <w:rPr>
                <w:rFonts w:cs="Tahoma"/>
                <w:b/>
                <w:bCs/>
                <w:sz w:val="16"/>
                <w:szCs w:val="16"/>
              </w:rPr>
              <w:t>Türkiye’nin yakın çevresinde yer almamakla birlikte işbirliği açısından Türkiye için önem arz eden BRICS ülkeleri gibi yükselen pazar ekonomileriyle bilgi ve tecrübe paylaşım programları başlatılması yönünde çalışmalar yapılacaktır.</w:t>
            </w:r>
          </w:p>
        </w:tc>
      </w:tr>
      <w:tr w:rsidR="00565FD5" w:rsidRPr="005620E6" w:rsidTr="00AB62A3">
        <w:trPr>
          <w:trHeight w:val="1401"/>
          <w:jc w:val="center"/>
        </w:trPr>
        <w:tc>
          <w:tcPr>
            <w:tcW w:w="1265" w:type="pct"/>
          </w:tcPr>
          <w:p w:rsidR="00565FD5" w:rsidRPr="005620E6" w:rsidRDefault="00565FD5" w:rsidP="00EB1E69">
            <w:pPr>
              <w:numPr>
                <w:ilvl w:val="0"/>
                <w:numId w:val="14"/>
              </w:numPr>
              <w:tabs>
                <w:tab w:val="left" w:pos="425"/>
              </w:tabs>
              <w:spacing w:before="60" w:after="60" w:line="240" w:lineRule="auto"/>
              <w:rPr>
                <w:rFonts w:cs="Tahoma"/>
                <w:bCs/>
                <w:sz w:val="16"/>
                <w:szCs w:val="16"/>
              </w:rPr>
            </w:pPr>
            <w:r w:rsidRPr="005620E6">
              <w:rPr>
                <w:rFonts w:cs="Tahoma"/>
                <w:bCs/>
                <w:sz w:val="16"/>
                <w:szCs w:val="16"/>
              </w:rPr>
              <w:t xml:space="preserve">BRICS ülkeleri başta olmak üzere kalkınma alanında birikim sahibi ülkelerle bilgi ve tecrübe paylaşım programları başlatılacaktır. </w:t>
            </w:r>
          </w:p>
        </w:tc>
        <w:tc>
          <w:tcPr>
            <w:tcW w:w="1578" w:type="pct"/>
          </w:tcPr>
          <w:p w:rsidR="00565FD5" w:rsidRPr="005620E6" w:rsidRDefault="00565FD5" w:rsidP="00AB62A3">
            <w:pPr>
              <w:spacing w:before="60" w:after="60"/>
              <w:rPr>
                <w:rFonts w:cs="Tahoma"/>
                <w:bCs/>
                <w:sz w:val="16"/>
                <w:szCs w:val="16"/>
              </w:rPr>
            </w:pPr>
            <w:r w:rsidRPr="005620E6">
              <w:rPr>
                <w:rFonts w:cs="Tahoma"/>
                <w:bCs/>
                <w:sz w:val="16"/>
                <w:szCs w:val="16"/>
              </w:rPr>
              <w:t>Kalkınma Bakanlığı (S), Dışişleri Bakanlığı, Ekonomi Bakanlığı, İlgili Diğer Kuruluşlar</w:t>
            </w:r>
          </w:p>
        </w:tc>
        <w:tc>
          <w:tcPr>
            <w:tcW w:w="589" w:type="pct"/>
          </w:tcPr>
          <w:p w:rsidR="00565FD5" w:rsidRPr="005620E6" w:rsidRDefault="00565FD5" w:rsidP="00AB62A3">
            <w:pPr>
              <w:autoSpaceDE w:val="0"/>
              <w:autoSpaceDN w:val="0"/>
              <w:adjustRightInd w:val="0"/>
              <w:spacing w:before="60" w:after="60"/>
              <w:rPr>
                <w:rFonts w:cs="Tahoma"/>
                <w:bCs/>
                <w:sz w:val="16"/>
                <w:szCs w:val="16"/>
              </w:rPr>
            </w:pPr>
            <w:r w:rsidRPr="005620E6">
              <w:rPr>
                <w:rFonts w:cs="Tahoma"/>
                <w:bCs/>
                <w:sz w:val="16"/>
                <w:szCs w:val="16"/>
              </w:rPr>
              <w:t>Aralık Sonu</w:t>
            </w:r>
          </w:p>
        </w:tc>
        <w:tc>
          <w:tcPr>
            <w:tcW w:w="1568" w:type="pct"/>
          </w:tcPr>
          <w:p w:rsidR="00565FD5" w:rsidRPr="005620E6" w:rsidRDefault="00565FD5" w:rsidP="00AB62A3">
            <w:pPr>
              <w:autoSpaceDE w:val="0"/>
              <w:autoSpaceDN w:val="0"/>
              <w:adjustRightInd w:val="0"/>
              <w:spacing w:before="60" w:after="60"/>
              <w:rPr>
                <w:rFonts w:cs="Tahoma"/>
                <w:bCs/>
                <w:sz w:val="16"/>
                <w:szCs w:val="16"/>
              </w:rPr>
            </w:pPr>
            <w:r w:rsidRPr="005620E6">
              <w:rPr>
                <w:rFonts w:cs="Tahoma"/>
                <w:bCs/>
                <w:sz w:val="16"/>
                <w:szCs w:val="16"/>
              </w:rPr>
              <w:t xml:space="preserve">Gelişmekte olan ülkelerle ve özelde BRICS ülkeleriyle kalkınma alanında ikili ve çok taraflı işbirliğini geliştirmeye dönük imkânların araştırılması için çalışmalar yapılacaktır. </w:t>
            </w:r>
          </w:p>
        </w:tc>
      </w:tr>
    </w:tbl>
    <w:p w:rsidR="00565FD5" w:rsidRPr="004A545B" w:rsidRDefault="00565FD5" w:rsidP="00565F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140" w:line="216" w:lineRule="exact"/>
        <w:ind w:right="11" w:firstLine="420"/>
        <w:rPr>
          <w:rFonts w:cs="Tahoma"/>
          <w:szCs w:val="18"/>
          <w:lang w:eastAsia="tr-TR"/>
        </w:rPr>
      </w:pPr>
    </w:p>
    <w:p w:rsidR="00565FD5" w:rsidRPr="00286717" w:rsidRDefault="00565FD5" w:rsidP="00565FD5">
      <w:pPr>
        <w:pStyle w:val="Balk2"/>
      </w:pPr>
      <w:bookmarkStart w:id="3517" w:name="_Toc338523943"/>
      <w:bookmarkStart w:id="3518" w:name="_Toc338524174"/>
      <w:bookmarkStart w:id="3519" w:name="_Toc338526400"/>
      <w:bookmarkStart w:id="3520" w:name="_Toc338673843"/>
      <w:bookmarkStart w:id="3521" w:name="_Toc338711722"/>
      <w:r w:rsidRPr="00286717">
        <w:t>III. TEKNİK İŞBİRLİĞİ</w:t>
      </w:r>
      <w:bookmarkEnd w:id="3517"/>
      <w:bookmarkEnd w:id="3518"/>
      <w:bookmarkEnd w:id="3519"/>
      <w:bookmarkEnd w:id="3520"/>
      <w:bookmarkEnd w:id="3521"/>
    </w:p>
    <w:p w:rsidR="00565FD5" w:rsidRPr="00286717" w:rsidRDefault="00565FD5" w:rsidP="00565FD5">
      <w:pPr>
        <w:pStyle w:val="Balk4"/>
      </w:pPr>
      <w:bookmarkStart w:id="3522" w:name="_Toc276076423"/>
      <w:bookmarkStart w:id="3523" w:name="_Toc276059364"/>
      <w:bookmarkStart w:id="3524" w:name="_Toc244339736"/>
      <w:bookmarkStart w:id="3525" w:name="_Toc244315273"/>
      <w:bookmarkStart w:id="3526" w:name="_Toc244313796"/>
      <w:bookmarkStart w:id="3527" w:name="_Toc244255058"/>
      <w:bookmarkStart w:id="3528" w:name="_Toc244253808"/>
      <w:bookmarkStart w:id="3529" w:name="_Toc213065803"/>
      <w:bookmarkStart w:id="3530" w:name="_Toc338505701"/>
      <w:bookmarkStart w:id="3531" w:name="_Toc338523944"/>
      <w:bookmarkStart w:id="3532" w:name="_Toc338524175"/>
      <w:bookmarkStart w:id="3533" w:name="_Toc338526401"/>
      <w:bookmarkStart w:id="3534" w:name="_Toc338673844"/>
      <w:bookmarkStart w:id="3535" w:name="_Toc338711723"/>
      <w:r w:rsidRPr="00286717">
        <w:t>1. Mevcut Durum</w:t>
      </w:r>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p>
    <w:p w:rsidR="00565FD5" w:rsidRPr="00286717" w:rsidRDefault="00565FD5" w:rsidP="00565FD5">
      <w:pPr>
        <w:spacing w:after="160"/>
        <w:ind w:firstLine="425"/>
        <w:rPr>
          <w:rFonts w:cs="Tahoma"/>
          <w:szCs w:val="18"/>
        </w:rPr>
      </w:pPr>
      <w:r w:rsidRPr="00286717">
        <w:rPr>
          <w:rFonts w:cs="Tahoma"/>
          <w:szCs w:val="18"/>
        </w:rPr>
        <w:t xml:space="preserve">Türkiye’nin OECD bünyesinde yer alan ve 23 üye ülkeden oluşan Kalkınma Yardımları Komitesindeki (DAC) gözlemci statüsü devam etmektedir. Türkiye devam eden küresel kriz ve olumsuz ekonomik koşulların yarattığı bütün zorluklara rağmen kalkınma yardımlarını artırmayı sürdürmüştür. 2010 yılında 967 milyon ABD doları olarak gerçekleşen Türkiye’nin Resmi Kalkınma Yardımları (RKY), 2011 yılında yüzde 31,6 artışla 1 milyar 273 milyon ABD doları seviyesine yükselmiştir. Türkiye, bu anlamda 2011 yılında OECD ülkeleri arasında RKY miktarında en yüksek artış kaydeden ülke konumundadır. Benzer şekilde, Türkiye’nin 2010 yılında yüzde 0,13 olan RKY/GSYH oranı, 2011 yılında önemli bir artış kaydederek yüzde 0,17 olarak gerçekleşmiştir. </w:t>
      </w:r>
    </w:p>
    <w:p w:rsidR="00565FD5" w:rsidRPr="00645C02" w:rsidRDefault="00565FD5" w:rsidP="00565FD5">
      <w:pPr>
        <w:pStyle w:val="ResimYazs"/>
        <w:rPr>
          <w:rFonts w:cs="Tahoma"/>
        </w:rPr>
      </w:pPr>
      <w:bookmarkStart w:id="3536" w:name="_Toc276076545"/>
      <w:bookmarkStart w:id="3537" w:name="_Toc276059484"/>
      <w:bookmarkStart w:id="3538" w:name="_Toc275874453"/>
      <w:bookmarkStart w:id="3539" w:name="_Toc213072119"/>
      <w:bookmarkStart w:id="3540" w:name="_Toc338606072"/>
      <w:bookmarkStart w:id="3541" w:name="_Toc338711848"/>
      <w:r>
        <w:lastRenderedPageBreak/>
        <w:t xml:space="preserve">TABLO V: </w:t>
      </w:r>
      <w:fldSimple w:instr=" SEQ TABLO_V:_ \* ARABIC ">
        <w:r>
          <w:rPr>
            <w:noProof/>
          </w:rPr>
          <w:t>1</w:t>
        </w:r>
      </w:fldSimple>
      <w:r w:rsidRPr="00645C02">
        <w:t>-</w:t>
      </w:r>
      <w:r w:rsidRPr="00645C02">
        <w:rPr>
          <w:rFonts w:cs="Tahoma"/>
        </w:rPr>
        <w:t xml:space="preserve"> Türkiye'nin Resmi Kalkınma Yardımları</w:t>
      </w:r>
      <w:bookmarkEnd w:id="3536"/>
      <w:bookmarkEnd w:id="3537"/>
      <w:bookmarkEnd w:id="3538"/>
      <w:bookmarkEnd w:id="3539"/>
      <w:bookmarkEnd w:id="3540"/>
      <w:bookmarkEnd w:id="3541"/>
    </w:p>
    <w:tbl>
      <w:tblPr>
        <w:tblW w:w="4850" w:type="pct"/>
        <w:tblInd w:w="108" w:type="dxa"/>
        <w:tblBorders>
          <w:top w:val="single" w:sz="4" w:space="0" w:color="auto"/>
          <w:left w:val="single" w:sz="4" w:space="0" w:color="auto"/>
          <w:bottom w:val="single" w:sz="4" w:space="0" w:color="auto"/>
          <w:right w:val="single" w:sz="4" w:space="0" w:color="auto"/>
        </w:tblBorders>
        <w:tblLook w:val="00A0"/>
      </w:tblPr>
      <w:tblGrid>
        <w:gridCol w:w="3224"/>
        <w:gridCol w:w="1050"/>
        <w:gridCol w:w="1049"/>
        <w:gridCol w:w="1049"/>
        <w:gridCol w:w="883"/>
        <w:gridCol w:w="877"/>
        <w:gridCol w:w="877"/>
      </w:tblGrid>
      <w:tr w:rsidR="00565FD5" w:rsidRPr="004A545B" w:rsidTr="00AB62A3">
        <w:trPr>
          <w:trHeight w:val="331"/>
        </w:trPr>
        <w:tc>
          <w:tcPr>
            <w:tcW w:w="1789" w:type="pct"/>
            <w:tcBorders>
              <w:top w:val="single" w:sz="4" w:space="0" w:color="auto"/>
              <w:bottom w:val="single" w:sz="4" w:space="0" w:color="auto"/>
              <w:right w:val="nil"/>
            </w:tcBorders>
            <w:vAlign w:val="center"/>
          </w:tcPr>
          <w:p w:rsidR="00565FD5" w:rsidRPr="004A545B" w:rsidRDefault="00565FD5" w:rsidP="00AB62A3">
            <w:pPr>
              <w:rPr>
                <w:rFonts w:cs="Tahoma"/>
                <w:b/>
                <w:sz w:val="16"/>
                <w:szCs w:val="16"/>
              </w:rPr>
            </w:pPr>
          </w:p>
        </w:tc>
        <w:tc>
          <w:tcPr>
            <w:tcW w:w="583" w:type="pct"/>
            <w:tcBorders>
              <w:top w:val="single" w:sz="4" w:space="0" w:color="auto"/>
              <w:left w:val="nil"/>
              <w:bottom w:val="single" w:sz="4" w:space="0" w:color="auto"/>
              <w:right w:val="nil"/>
            </w:tcBorders>
            <w:vAlign w:val="center"/>
          </w:tcPr>
          <w:p w:rsidR="00565FD5" w:rsidRPr="004A545B" w:rsidRDefault="00565FD5" w:rsidP="00AB62A3">
            <w:pPr>
              <w:jc w:val="center"/>
              <w:rPr>
                <w:rFonts w:cs="Tahoma"/>
                <w:b/>
                <w:sz w:val="16"/>
                <w:szCs w:val="16"/>
              </w:rPr>
            </w:pPr>
            <w:r w:rsidRPr="004A545B">
              <w:rPr>
                <w:rFonts w:cs="Tahoma"/>
                <w:b/>
                <w:sz w:val="16"/>
                <w:szCs w:val="16"/>
              </w:rPr>
              <w:t>2006</w:t>
            </w:r>
          </w:p>
        </w:tc>
        <w:tc>
          <w:tcPr>
            <w:tcW w:w="582" w:type="pct"/>
            <w:tcBorders>
              <w:top w:val="single" w:sz="4" w:space="0" w:color="auto"/>
              <w:left w:val="nil"/>
              <w:bottom w:val="single" w:sz="4" w:space="0" w:color="auto"/>
              <w:right w:val="nil"/>
            </w:tcBorders>
            <w:vAlign w:val="center"/>
          </w:tcPr>
          <w:p w:rsidR="00565FD5" w:rsidRPr="004A545B" w:rsidRDefault="00565FD5" w:rsidP="00AB62A3">
            <w:pPr>
              <w:jc w:val="center"/>
              <w:rPr>
                <w:rFonts w:cs="Tahoma"/>
                <w:b/>
                <w:sz w:val="16"/>
                <w:szCs w:val="16"/>
              </w:rPr>
            </w:pPr>
            <w:r w:rsidRPr="004A545B">
              <w:rPr>
                <w:rFonts w:cs="Tahoma"/>
                <w:b/>
                <w:sz w:val="16"/>
                <w:szCs w:val="16"/>
              </w:rPr>
              <w:t>2007</w:t>
            </w:r>
          </w:p>
        </w:tc>
        <w:tc>
          <w:tcPr>
            <w:tcW w:w="582" w:type="pct"/>
            <w:tcBorders>
              <w:top w:val="single" w:sz="4" w:space="0" w:color="auto"/>
              <w:left w:val="nil"/>
              <w:bottom w:val="single" w:sz="4" w:space="0" w:color="auto"/>
              <w:right w:val="nil"/>
            </w:tcBorders>
            <w:vAlign w:val="center"/>
          </w:tcPr>
          <w:p w:rsidR="00565FD5" w:rsidRPr="004A545B" w:rsidRDefault="00565FD5" w:rsidP="00AB62A3">
            <w:pPr>
              <w:jc w:val="center"/>
              <w:rPr>
                <w:rFonts w:cs="Tahoma"/>
                <w:b/>
                <w:sz w:val="16"/>
                <w:szCs w:val="16"/>
              </w:rPr>
            </w:pPr>
            <w:r w:rsidRPr="004A545B">
              <w:rPr>
                <w:rFonts w:cs="Tahoma"/>
                <w:b/>
                <w:sz w:val="16"/>
                <w:szCs w:val="16"/>
              </w:rPr>
              <w:t>2008</w:t>
            </w:r>
          </w:p>
        </w:tc>
        <w:tc>
          <w:tcPr>
            <w:tcW w:w="490" w:type="pct"/>
            <w:tcBorders>
              <w:top w:val="single" w:sz="4" w:space="0" w:color="auto"/>
              <w:left w:val="nil"/>
              <w:bottom w:val="single" w:sz="4" w:space="0" w:color="auto"/>
              <w:right w:val="nil"/>
            </w:tcBorders>
            <w:vAlign w:val="center"/>
          </w:tcPr>
          <w:p w:rsidR="00565FD5" w:rsidRPr="004A545B" w:rsidRDefault="00565FD5" w:rsidP="00AB62A3">
            <w:pPr>
              <w:jc w:val="center"/>
              <w:rPr>
                <w:rFonts w:cs="Tahoma"/>
                <w:b/>
                <w:sz w:val="16"/>
                <w:szCs w:val="16"/>
              </w:rPr>
            </w:pPr>
            <w:r w:rsidRPr="004A545B">
              <w:rPr>
                <w:rFonts w:cs="Tahoma"/>
                <w:b/>
                <w:sz w:val="16"/>
                <w:szCs w:val="16"/>
              </w:rPr>
              <w:t>2009</w:t>
            </w:r>
          </w:p>
        </w:tc>
        <w:tc>
          <w:tcPr>
            <w:tcW w:w="487" w:type="pct"/>
            <w:tcBorders>
              <w:top w:val="single" w:sz="4" w:space="0" w:color="auto"/>
              <w:left w:val="nil"/>
              <w:bottom w:val="single" w:sz="4" w:space="0" w:color="auto"/>
              <w:right w:val="nil"/>
            </w:tcBorders>
            <w:vAlign w:val="center"/>
          </w:tcPr>
          <w:p w:rsidR="00565FD5" w:rsidRPr="004A545B" w:rsidRDefault="00565FD5" w:rsidP="00AB62A3">
            <w:pPr>
              <w:jc w:val="center"/>
              <w:rPr>
                <w:rFonts w:cs="Tahoma"/>
                <w:b/>
                <w:sz w:val="16"/>
                <w:szCs w:val="16"/>
              </w:rPr>
            </w:pPr>
            <w:r w:rsidRPr="004A545B">
              <w:rPr>
                <w:rFonts w:cs="Tahoma"/>
                <w:b/>
                <w:sz w:val="16"/>
                <w:szCs w:val="16"/>
              </w:rPr>
              <w:t>2010</w:t>
            </w:r>
          </w:p>
        </w:tc>
        <w:tc>
          <w:tcPr>
            <w:tcW w:w="487" w:type="pct"/>
            <w:tcBorders>
              <w:top w:val="single" w:sz="4" w:space="0" w:color="auto"/>
              <w:left w:val="nil"/>
              <w:bottom w:val="single" w:sz="4" w:space="0" w:color="auto"/>
            </w:tcBorders>
            <w:vAlign w:val="center"/>
          </w:tcPr>
          <w:p w:rsidR="00565FD5" w:rsidRPr="004A545B" w:rsidRDefault="00565FD5" w:rsidP="00AB62A3">
            <w:pPr>
              <w:jc w:val="center"/>
              <w:rPr>
                <w:rFonts w:cs="Tahoma"/>
                <w:b/>
                <w:sz w:val="16"/>
                <w:szCs w:val="16"/>
              </w:rPr>
            </w:pPr>
            <w:r w:rsidRPr="004A545B">
              <w:rPr>
                <w:rFonts w:cs="Tahoma"/>
                <w:b/>
                <w:sz w:val="16"/>
                <w:szCs w:val="16"/>
              </w:rPr>
              <w:t>2011</w:t>
            </w:r>
          </w:p>
        </w:tc>
      </w:tr>
      <w:tr w:rsidR="00565FD5" w:rsidRPr="004A545B" w:rsidTr="00AB62A3">
        <w:trPr>
          <w:trHeight w:val="152"/>
        </w:trPr>
        <w:tc>
          <w:tcPr>
            <w:tcW w:w="1789" w:type="pct"/>
            <w:tcBorders>
              <w:top w:val="single" w:sz="4" w:space="0" w:color="auto"/>
              <w:bottom w:val="nil"/>
              <w:right w:val="nil"/>
            </w:tcBorders>
          </w:tcPr>
          <w:p w:rsidR="00565FD5" w:rsidRPr="004A545B" w:rsidRDefault="00565FD5" w:rsidP="00AB62A3">
            <w:pPr>
              <w:rPr>
                <w:rFonts w:cs="Tahoma"/>
                <w:sz w:val="16"/>
                <w:szCs w:val="16"/>
              </w:rPr>
            </w:pPr>
            <w:r w:rsidRPr="004A545B">
              <w:rPr>
                <w:rFonts w:cs="Tahoma"/>
                <w:sz w:val="16"/>
                <w:szCs w:val="16"/>
              </w:rPr>
              <w:t>RKY (Milyon ABD Doları)</w:t>
            </w:r>
          </w:p>
        </w:tc>
        <w:tc>
          <w:tcPr>
            <w:tcW w:w="583" w:type="pct"/>
            <w:tcBorders>
              <w:top w:val="single" w:sz="4" w:space="0" w:color="auto"/>
              <w:left w:val="nil"/>
              <w:bottom w:val="nil"/>
              <w:right w:val="nil"/>
            </w:tcBorders>
          </w:tcPr>
          <w:p w:rsidR="00565FD5" w:rsidRPr="004A545B" w:rsidRDefault="00565FD5" w:rsidP="00AB62A3">
            <w:pPr>
              <w:jc w:val="center"/>
              <w:rPr>
                <w:rFonts w:cs="Tahoma"/>
                <w:sz w:val="16"/>
                <w:szCs w:val="16"/>
              </w:rPr>
            </w:pPr>
            <w:r w:rsidRPr="004A545B">
              <w:rPr>
                <w:rFonts w:cs="Tahoma"/>
                <w:sz w:val="16"/>
                <w:szCs w:val="16"/>
              </w:rPr>
              <w:t>714</w:t>
            </w:r>
          </w:p>
        </w:tc>
        <w:tc>
          <w:tcPr>
            <w:tcW w:w="582" w:type="pct"/>
            <w:tcBorders>
              <w:top w:val="single" w:sz="4" w:space="0" w:color="auto"/>
              <w:left w:val="nil"/>
              <w:bottom w:val="nil"/>
              <w:right w:val="nil"/>
            </w:tcBorders>
          </w:tcPr>
          <w:p w:rsidR="00565FD5" w:rsidRPr="004A545B" w:rsidRDefault="00565FD5" w:rsidP="00AB62A3">
            <w:pPr>
              <w:jc w:val="center"/>
              <w:rPr>
                <w:rFonts w:cs="Tahoma"/>
                <w:sz w:val="16"/>
                <w:szCs w:val="16"/>
              </w:rPr>
            </w:pPr>
            <w:r w:rsidRPr="004A545B">
              <w:rPr>
                <w:rFonts w:cs="Tahoma"/>
                <w:sz w:val="16"/>
                <w:szCs w:val="16"/>
              </w:rPr>
              <w:t>602</w:t>
            </w:r>
          </w:p>
        </w:tc>
        <w:tc>
          <w:tcPr>
            <w:tcW w:w="582" w:type="pct"/>
            <w:tcBorders>
              <w:top w:val="single" w:sz="4" w:space="0" w:color="auto"/>
              <w:left w:val="nil"/>
              <w:bottom w:val="nil"/>
              <w:right w:val="nil"/>
            </w:tcBorders>
          </w:tcPr>
          <w:p w:rsidR="00565FD5" w:rsidRPr="004A545B" w:rsidRDefault="00565FD5" w:rsidP="00AB62A3">
            <w:pPr>
              <w:jc w:val="center"/>
              <w:rPr>
                <w:rFonts w:cs="Tahoma"/>
                <w:sz w:val="16"/>
                <w:szCs w:val="16"/>
              </w:rPr>
            </w:pPr>
            <w:r w:rsidRPr="004A545B">
              <w:rPr>
                <w:rFonts w:cs="Tahoma"/>
                <w:sz w:val="16"/>
                <w:szCs w:val="16"/>
              </w:rPr>
              <w:t>780</w:t>
            </w:r>
          </w:p>
        </w:tc>
        <w:tc>
          <w:tcPr>
            <w:tcW w:w="490" w:type="pct"/>
            <w:tcBorders>
              <w:top w:val="single" w:sz="4" w:space="0" w:color="auto"/>
              <w:left w:val="nil"/>
              <w:bottom w:val="nil"/>
              <w:right w:val="nil"/>
            </w:tcBorders>
          </w:tcPr>
          <w:p w:rsidR="00565FD5" w:rsidRPr="004A545B" w:rsidRDefault="00565FD5" w:rsidP="00AB62A3">
            <w:pPr>
              <w:jc w:val="center"/>
              <w:rPr>
                <w:rFonts w:cs="Tahoma"/>
                <w:sz w:val="16"/>
                <w:szCs w:val="16"/>
              </w:rPr>
            </w:pPr>
            <w:r w:rsidRPr="004A545B">
              <w:rPr>
                <w:rFonts w:cs="Tahoma"/>
                <w:sz w:val="16"/>
                <w:szCs w:val="16"/>
              </w:rPr>
              <w:t>707</w:t>
            </w:r>
          </w:p>
        </w:tc>
        <w:tc>
          <w:tcPr>
            <w:tcW w:w="487" w:type="pct"/>
            <w:tcBorders>
              <w:top w:val="single" w:sz="4" w:space="0" w:color="auto"/>
              <w:left w:val="nil"/>
              <w:bottom w:val="nil"/>
              <w:right w:val="nil"/>
            </w:tcBorders>
          </w:tcPr>
          <w:p w:rsidR="00565FD5" w:rsidRPr="004A545B" w:rsidRDefault="00565FD5" w:rsidP="00AB62A3">
            <w:pPr>
              <w:jc w:val="center"/>
              <w:rPr>
                <w:rFonts w:cs="Tahoma"/>
                <w:sz w:val="16"/>
                <w:szCs w:val="16"/>
              </w:rPr>
            </w:pPr>
            <w:r w:rsidRPr="004A545B">
              <w:rPr>
                <w:rFonts w:cs="Tahoma"/>
                <w:sz w:val="16"/>
                <w:szCs w:val="16"/>
              </w:rPr>
              <w:t>967</w:t>
            </w:r>
          </w:p>
        </w:tc>
        <w:tc>
          <w:tcPr>
            <w:tcW w:w="487" w:type="pct"/>
            <w:tcBorders>
              <w:top w:val="single" w:sz="4" w:space="0" w:color="auto"/>
              <w:left w:val="nil"/>
              <w:bottom w:val="nil"/>
            </w:tcBorders>
          </w:tcPr>
          <w:p w:rsidR="00565FD5" w:rsidRPr="004A545B" w:rsidRDefault="00565FD5" w:rsidP="00AB62A3">
            <w:pPr>
              <w:jc w:val="center"/>
              <w:rPr>
                <w:rFonts w:cs="Tahoma"/>
                <w:sz w:val="16"/>
                <w:szCs w:val="16"/>
              </w:rPr>
            </w:pPr>
            <w:r w:rsidRPr="004A545B">
              <w:rPr>
                <w:rFonts w:cs="Tahoma"/>
                <w:sz w:val="16"/>
                <w:szCs w:val="16"/>
              </w:rPr>
              <w:t>1 273</w:t>
            </w:r>
          </w:p>
        </w:tc>
      </w:tr>
      <w:tr w:rsidR="00565FD5" w:rsidRPr="004A545B" w:rsidTr="00AB62A3">
        <w:trPr>
          <w:trHeight w:val="192"/>
        </w:trPr>
        <w:tc>
          <w:tcPr>
            <w:tcW w:w="1789" w:type="pct"/>
            <w:tcBorders>
              <w:top w:val="nil"/>
              <w:bottom w:val="single" w:sz="4" w:space="0" w:color="auto"/>
              <w:right w:val="nil"/>
            </w:tcBorders>
          </w:tcPr>
          <w:p w:rsidR="00565FD5" w:rsidRPr="004A545B" w:rsidRDefault="00565FD5" w:rsidP="00AB62A3">
            <w:pPr>
              <w:rPr>
                <w:rFonts w:cs="Tahoma"/>
                <w:sz w:val="16"/>
                <w:szCs w:val="16"/>
              </w:rPr>
            </w:pPr>
            <w:r w:rsidRPr="004A545B">
              <w:rPr>
                <w:rFonts w:cs="Tahoma"/>
                <w:sz w:val="16"/>
                <w:szCs w:val="16"/>
              </w:rPr>
              <w:t>RKY / GSYH (Yüzde)</w:t>
            </w:r>
          </w:p>
        </w:tc>
        <w:tc>
          <w:tcPr>
            <w:tcW w:w="583" w:type="pct"/>
            <w:tcBorders>
              <w:top w:val="nil"/>
              <w:left w:val="nil"/>
              <w:bottom w:val="single" w:sz="4" w:space="0" w:color="auto"/>
              <w:right w:val="nil"/>
            </w:tcBorders>
          </w:tcPr>
          <w:p w:rsidR="00565FD5" w:rsidRPr="004A545B" w:rsidRDefault="00565FD5" w:rsidP="00AB62A3">
            <w:pPr>
              <w:jc w:val="center"/>
              <w:rPr>
                <w:rFonts w:cs="Tahoma"/>
                <w:sz w:val="16"/>
                <w:szCs w:val="16"/>
              </w:rPr>
            </w:pPr>
            <w:r w:rsidRPr="004A545B">
              <w:rPr>
                <w:rFonts w:cs="Tahoma"/>
                <w:sz w:val="16"/>
                <w:szCs w:val="16"/>
              </w:rPr>
              <w:t>0,13</w:t>
            </w:r>
          </w:p>
        </w:tc>
        <w:tc>
          <w:tcPr>
            <w:tcW w:w="582" w:type="pct"/>
            <w:tcBorders>
              <w:top w:val="nil"/>
              <w:left w:val="nil"/>
              <w:bottom w:val="single" w:sz="4" w:space="0" w:color="auto"/>
              <w:right w:val="nil"/>
            </w:tcBorders>
          </w:tcPr>
          <w:p w:rsidR="00565FD5" w:rsidRPr="004A545B" w:rsidRDefault="00565FD5" w:rsidP="00AB62A3">
            <w:pPr>
              <w:jc w:val="center"/>
              <w:rPr>
                <w:rFonts w:cs="Tahoma"/>
                <w:sz w:val="16"/>
                <w:szCs w:val="16"/>
              </w:rPr>
            </w:pPr>
            <w:r w:rsidRPr="004A545B">
              <w:rPr>
                <w:rFonts w:cs="Tahoma"/>
                <w:sz w:val="16"/>
                <w:szCs w:val="16"/>
              </w:rPr>
              <w:t>0,09</w:t>
            </w:r>
          </w:p>
        </w:tc>
        <w:tc>
          <w:tcPr>
            <w:tcW w:w="582" w:type="pct"/>
            <w:tcBorders>
              <w:top w:val="nil"/>
              <w:left w:val="nil"/>
              <w:bottom w:val="single" w:sz="4" w:space="0" w:color="auto"/>
              <w:right w:val="nil"/>
            </w:tcBorders>
          </w:tcPr>
          <w:p w:rsidR="00565FD5" w:rsidRPr="004A545B" w:rsidRDefault="00565FD5" w:rsidP="00AB62A3">
            <w:pPr>
              <w:jc w:val="center"/>
              <w:rPr>
                <w:rFonts w:cs="Tahoma"/>
                <w:sz w:val="16"/>
                <w:szCs w:val="16"/>
              </w:rPr>
            </w:pPr>
            <w:r w:rsidRPr="004A545B">
              <w:rPr>
                <w:rFonts w:cs="Tahoma"/>
                <w:sz w:val="16"/>
                <w:szCs w:val="16"/>
              </w:rPr>
              <w:t>0,10</w:t>
            </w:r>
          </w:p>
        </w:tc>
        <w:tc>
          <w:tcPr>
            <w:tcW w:w="490" w:type="pct"/>
            <w:tcBorders>
              <w:top w:val="nil"/>
              <w:left w:val="nil"/>
              <w:bottom w:val="single" w:sz="4" w:space="0" w:color="auto"/>
              <w:right w:val="nil"/>
            </w:tcBorders>
          </w:tcPr>
          <w:p w:rsidR="00565FD5" w:rsidRPr="004A545B" w:rsidRDefault="00565FD5" w:rsidP="00AB62A3">
            <w:pPr>
              <w:jc w:val="center"/>
              <w:rPr>
                <w:rFonts w:cs="Tahoma"/>
                <w:sz w:val="16"/>
                <w:szCs w:val="16"/>
              </w:rPr>
            </w:pPr>
            <w:r w:rsidRPr="004A545B">
              <w:rPr>
                <w:rFonts w:cs="Tahoma"/>
                <w:sz w:val="16"/>
                <w:szCs w:val="16"/>
              </w:rPr>
              <w:t>0,11</w:t>
            </w:r>
          </w:p>
        </w:tc>
        <w:tc>
          <w:tcPr>
            <w:tcW w:w="487" w:type="pct"/>
            <w:tcBorders>
              <w:top w:val="nil"/>
              <w:left w:val="nil"/>
              <w:bottom w:val="single" w:sz="4" w:space="0" w:color="auto"/>
              <w:right w:val="nil"/>
            </w:tcBorders>
          </w:tcPr>
          <w:p w:rsidR="00565FD5" w:rsidRPr="004A545B" w:rsidRDefault="00565FD5" w:rsidP="00AB62A3">
            <w:pPr>
              <w:jc w:val="center"/>
              <w:rPr>
                <w:rFonts w:cs="Tahoma"/>
                <w:sz w:val="16"/>
                <w:szCs w:val="16"/>
              </w:rPr>
            </w:pPr>
            <w:r w:rsidRPr="004A545B">
              <w:rPr>
                <w:rFonts w:cs="Tahoma"/>
                <w:sz w:val="16"/>
                <w:szCs w:val="16"/>
              </w:rPr>
              <w:t>0,13</w:t>
            </w:r>
          </w:p>
        </w:tc>
        <w:tc>
          <w:tcPr>
            <w:tcW w:w="487" w:type="pct"/>
            <w:tcBorders>
              <w:top w:val="nil"/>
              <w:left w:val="nil"/>
              <w:bottom w:val="single" w:sz="4" w:space="0" w:color="auto"/>
            </w:tcBorders>
          </w:tcPr>
          <w:p w:rsidR="00565FD5" w:rsidRPr="004A545B" w:rsidRDefault="00565FD5" w:rsidP="00AB62A3">
            <w:pPr>
              <w:jc w:val="center"/>
              <w:rPr>
                <w:rFonts w:cs="Tahoma"/>
                <w:sz w:val="16"/>
                <w:szCs w:val="16"/>
              </w:rPr>
            </w:pPr>
            <w:r w:rsidRPr="004A545B">
              <w:rPr>
                <w:rFonts w:cs="Tahoma"/>
                <w:sz w:val="16"/>
                <w:szCs w:val="16"/>
              </w:rPr>
              <w:t>0,17</w:t>
            </w:r>
          </w:p>
        </w:tc>
      </w:tr>
    </w:tbl>
    <w:p w:rsidR="00565FD5" w:rsidRPr="00286717" w:rsidRDefault="00565FD5" w:rsidP="00565FD5">
      <w:pPr>
        <w:spacing w:after="120"/>
        <w:rPr>
          <w:rFonts w:cs="Tahoma"/>
          <w:sz w:val="16"/>
          <w:szCs w:val="16"/>
        </w:rPr>
      </w:pPr>
      <w:r w:rsidRPr="00286717">
        <w:rPr>
          <w:rFonts w:cs="Tahoma"/>
          <w:sz w:val="16"/>
          <w:szCs w:val="16"/>
        </w:rPr>
        <w:t>Kaynak: TİKA</w:t>
      </w:r>
    </w:p>
    <w:p w:rsidR="00565FD5" w:rsidRPr="00286717" w:rsidRDefault="00565FD5" w:rsidP="00565FD5">
      <w:pPr>
        <w:spacing w:after="140"/>
        <w:ind w:firstLine="425"/>
        <w:rPr>
          <w:rFonts w:cs="Tahoma"/>
          <w:szCs w:val="18"/>
        </w:rPr>
      </w:pPr>
      <w:r w:rsidRPr="00286717">
        <w:rPr>
          <w:rFonts w:cs="Tahoma"/>
          <w:szCs w:val="18"/>
        </w:rPr>
        <w:t xml:space="preserve">Uluslararası kalkınma işbirliği platformlarında yükselen donör ülke olarak nitelendirilen Türkiye’nin RKY miktarı devam eden küresel krize rağmen beklentilerin üzerinde artmıştır. 2011 yılı içerisinde Resmi Kalkınma Yardımlarının yanı sıra Türk özel sektörü tarafından bu kapsamda diğer ülkelerde gerçekleştirilen doğrudan yatırımlar 879 milyon ABD doları, sivil toplum kuruluşları tarafından yapılan yardımlar ise 199 milyon ABD doları büyüklüğündedir. Bu doğrultuda Türkiye’nin 2010 yılında 1.718 milyon ABD doları olarak gerçekleşen Toplam Kalkınma Yardımlarının 2011 yılında 2.363 milyon ABD doları seviyesine yükseldiği görülmektedir. </w:t>
      </w:r>
    </w:p>
    <w:p w:rsidR="00565FD5" w:rsidRPr="00286717" w:rsidRDefault="00565FD5" w:rsidP="00565FD5">
      <w:pPr>
        <w:spacing w:after="140"/>
        <w:ind w:firstLine="425"/>
        <w:rPr>
          <w:rFonts w:cs="Tahoma"/>
          <w:szCs w:val="18"/>
        </w:rPr>
      </w:pPr>
      <w:r w:rsidRPr="00286717">
        <w:rPr>
          <w:rFonts w:cs="Tahoma"/>
          <w:szCs w:val="18"/>
        </w:rPr>
        <w:t xml:space="preserve">Diğer taraftan, Türkiye’nin az gelişmiş ve gelişmekte olan ülkelere yaptığı RKY’nin orta ve uzun vadeli stratejilere dayanması ve program bazlı gerçekleştirilmesi gerekliliği sürmektedir. Türk İşbirliği ve Koordinasyon Ajansı (TİKA) Başkanlığının kapasitesinin geliştirilmesi çalışmalarına devam edilmesinin Türkiye’nin resmi kalkınma yardımlarının etkililiğini ve verimliliğini artıracağı düşünülmektedir. </w:t>
      </w:r>
    </w:p>
    <w:p w:rsidR="00565FD5" w:rsidRPr="00286717" w:rsidRDefault="00565FD5" w:rsidP="00565FD5">
      <w:pPr>
        <w:spacing w:after="140"/>
        <w:ind w:firstLine="425"/>
        <w:rPr>
          <w:rFonts w:cs="Tahoma"/>
          <w:szCs w:val="18"/>
        </w:rPr>
      </w:pPr>
      <w:r w:rsidRPr="00286717">
        <w:rPr>
          <w:rFonts w:cs="Tahoma"/>
          <w:szCs w:val="18"/>
        </w:rPr>
        <w:t xml:space="preserve">Türkiye’nin yardım sağladığı ülkelerdeki ihtiyaçların ve taleplerin, tarihi ve kültürel nedenlerin de etkisiyle farklılık göstermesi, Türkiye’nin kalkınma yardımlarının diğer OECD ülkeleriyle mukayese edildiğinde sektörel olarak daha fazla çeşitlilik göstermesine neden olmaktadır. Bu doğrultuda, kalkınma yardımları alanında coğrafi ve tematik önceliklendirme yapılmasına ihtiyaç bulunmaktadır. </w:t>
      </w:r>
    </w:p>
    <w:p w:rsidR="00565FD5" w:rsidRPr="00286717" w:rsidRDefault="00565FD5" w:rsidP="00565FD5">
      <w:pPr>
        <w:spacing w:after="140"/>
        <w:ind w:firstLine="425"/>
        <w:rPr>
          <w:rFonts w:cs="Tahoma"/>
          <w:szCs w:val="18"/>
        </w:rPr>
      </w:pPr>
      <w:r w:rsidRPr="00286717">
        <w:rPr>
          <w:rFonts w:cs="Tahoma"/>
          <w:szCs w:val="18"/>
        </w:rPr>
        <w:t>Türkiye’nin 2011 yılı resmi kalkınma yardımlarının yüzde 46,6’sı Güney ve Orta Asya, yüzde 23,</w:t>
      </w:r>
      <w:r>
        <w:rPr>
          <w:rFonts w:cs="Tahoma"/>
          <w:szCs w:val="18"/>
        </w:rPr>
        <w:t>9</w:t>
      </w:r>
      <w:r w:rsidRPr="00286717">
        <w:rPr>
          <w:rFonts w:cs="Tahoma"/>
          <w:szCs w:val="18"/>
        </w:rPr>
        <w:t>’</w:t>
      </w:r>
      <w:r>
        <w:rPr>
          <w:rFonts w:cs="Tahoma"/>
          <w:szCs w:val="18"/>
        </w:rPr>
        <w:t>u</w:t>
      </w:r>
      <w:r w:rsidRPr="00286717">
        <w:rPr>
          <w:rFonts w:cs="Tahoma"/>
          <w:szCs w:val="18"/>
        </w:rPr>
        <w:t xml:space="preserve"> Orta Doğu, yüzde 22’si Afrika ve yüzde 6,3’ü Balkan ülkelerine yönelik olarak gerçekleşmiştir. 2011 yılında Türkiye’nin resmi kalkınma yardımlarından en çok yararlanan ilk 10 ülke sırasıyla Pakistan, Suriye, Afganistan, Somali, Kırgızistan, Libya, Kazakistan, Irak, Azerbaycan ve Filistin şeklindedir. </w:t>
      </w:r>
    </w:p>
    <w:p w:rsidR="00565FD5" w:rsidRPr="00286717" w:rsidRDefault="00565FD5" w:rsidP="00565FD5">
      <w:pPr>
        <w:spacing w:after="140"/>
        <w:ind w:firstLine="425"/>
        <w:rPr>
          <w:rFonts w:cs="Tahoma"/>
          <w:szCs w:val="18"/>
        </w:rPr>
      </w:pPr>
      <w:r w:rsidRPr="00286717">
        <w:rPr>
          <w:rFonts w:cs="Tahoma"/>
          <w:szCs w:val="18"/>
        </w:rPr>
        <w:t>2011 yılında İstanbul’da düzenlenen Birleşmiş Milletler 4. En Az Gelişmiş Ülkeler (EAGÜ) Konferansında ülkemiz tarafından açıklanan Ekonomik ve Teknik İşbirliği Paketinin uygulanmasına yönelik olarak 2012 yılında yayımlanan 2012/1 sayılı Başbakanlık Genelgesiyle siyasi öncelikler ve öncelikli işbirliği alanlarının belirlenmesinde Dışişleri Bakanlığı, teknik koordinasyon alanında TİKA sorumlu kuruluş olarak belirlenmiştir. Türkiye tarafından EAGÜ’lere yapılan yardımlar, 2010 yılında 156,5 milyon ABD doları seviyesinden 2011 yılında, yüzde 79’luk bir artışla 279 milyon ABD doları seviyesine yükselmiştir.</w:t>
      </w:r>
    </w:p>
    <w:p w:rsidR="00565FD5" w:rsidRPr="00286717" w:rsidRDefault="00565FD5" w:rsidP="00565FD5">
      <w:pPr>
        <w:spacing w:after="140"/>
        <w:ind w:firstLine="425"/>
        <w:rPr>
          <w:rFonts w:cs="Tahoma"/>
          <w:szCs w:val="18"/>
        </w:rPr>
      </w:pPr>
      <w:r w:rsidRPr="00286717">
        <w:rPr>
          <w:rFonts w:cs="Tahoma"/>
          <w:szCs w:val="18"/>
        </w:rPr>
        <w:t xml:space="preserve">Türkiye’nin kalkınma işbirliği alanında bölgesel ve küresel düzeyde etkinliğini artırmasına paralel olarak, Birleşmiş Milletler Kalkınma Programının (UNDP) uluslararası bir birimi olarak İstanbul’da kurulan ve özel sektörün tüm dünyada kalkınma çalışmalarına dâhil edilmesi misyonunu taşıyan UNDP İstanbul Uluslararası Kalkınmada Özel Sektör Merkezi (IICPSD) idari yapılanma sürecini tamamlamış olup faaliyetlerine başlamıştır. </w:t>
      </w:r>
    </w:p>
    <w:p w:rsidR="00565FD5" w:rsidRPr="00286717" w:rsidRDefault="00565FD5" w:rsidP="00565FD5">
      <w:pPr>
        <w:spacing w:after="140"/>
        <w:ind w:firstLine="425"/>
        <w:rPr>
          <w:rFonts w:cs="Tahoma"/>
          <w:szCs w:val="18"/>
        </w:rPr>
      </w:pPr>
      <w:r w:rsidRPr="00286717">
        <w:rPr>
          <w:rFonts w:cs="Tahoma"/>
          <w:szCs w:val="18"/>
        </w:rPr>
        <w:t xml:space="preserve">2011-2015 dönemini kapsayan ve Birleşmiş Milletler kuruluşlarının ülkemizdeki faaliyetlerinin çerçevesini belirleyen Birleşmiş Milletler Türkiye Kalkınma İşbirliği Strateji Belgesi (UNDCS), orta gelirli ülkeler için bir pilot uygulama özelliği taşır nitelikte, Türkiye tarafından hazırlanmıştır. Söz konusu </w:t>
      </w:r>
      <w:r w:rsidRPr="00286717">
        <w:rPr>
          <w:rFonts w:cs="Tahoma"/>
          <w:szCs w:val="18"/>
        </w:rPr>
        <w:lastRenderedPageBreak/>
        <w:t>belgenin izleme ve değerlendirme çalışmaları da benzer şekilde Türkiye tarafından yürütülmektedir. Bu doğrultuda ülkemizde faaliyet gösteren Birleşmiş Milletler kuruluşları, Kalkınma Bakanlığı ve ilgili bakanlıkların temsilcilerinin katılımıyla oluşturulan çalışma grupları 2012 yılında izleme ve değerlendirme faaliyetlerine başlamıştır.</w:t>
      </w:r>
    </w:p>
    <w:p w:rsidR="00565FD5" w:rsidRPr="00286717" w:rsidRDefault="00565FD5" w:rsidP="00565FD5">
      <w:pPr>
        <w:spacing w:after="160"/>
        <w:ind w:firstLine="425"/>
        <w:rPr>
          <w:rFonts w:cs="Tahoma"/>
          <w:szCs w:val="18"/>
        </w:rPr>
      </w:pPr>
      <w:r w:rsidRPr="00286717">
        <w:rPr>
          <w:rFonts w:cs="Tahoma"/>
          <w:szCs w:val="18"/>
        </w:rPr>
        <w:t xml:space="preserve">2012 yılı Eylül ayı sonu itibarıyla UNDP teknik desteğiyle, Türkiye’de 54 adet teknik işbirliği projesi yürütülmektedir. Bu projelerde yoksulluk azaltımı, cinsiyet eşitliği, iyi yönetişimin sağlanması, çevre ve sürdürülebilir kalkınma, çocukların ve gençlerin konumunun güçlendirilmesi ve program uygulama kapasitesinin geliştirilmesi gibi faaliyet alanlarına odaklanılmıştır. 2012 yılı Eylül ayı sonu itibarıyla Türkiye’de Japon Uluslararası İşbirliği Ajansı (JICA) desteğiyle 8,  Alman Uluslararası İşbirliği Kurumu (GIZ) desteği ile 7 teknik işbirliği projesi yürütülmektedir. </w:t>
      </w:r>
    </w:p>
    <w:p w:rsidR="00565FD5" w:rsidRPr="00286717" w:rsidRDefault="00565FD5" w:rsidP="00565FD5">
      <w:pPr>
        <w:pStyle w:val="Balk4"/>
      </w:pPr>
      <w:bookmarkStart w:id="3542" w:name="_Toc244339737"/>
      <w:bookmarkStart w:id="3543" w:name="_Toc244315274"/>
      <w:bookmarkStart w:id="3544" w:name="_Toc244313797"/>
      <w:bookmarkStart w:id="3545" w:name="_Toc244255059"/>
      <w:bookmarkStart w:id="3546" w:name="_Toc244253809"/>
      <w:bookmarkStart w:id="3547" w:name="_Toc213065804"/>
      <w:bookmarkStart w:id="3548" w:name="_Toc276076424"/>
      <w:bookmarkStart w:id="3549" w:name="_Toc276059365"/>
      <w:bookmarkStart w:id="3550" w:name="_Toc338505702"/>
      <w:bookmarkStart w:id="3551" w:name="_Toc338523945"/>
      <w:bookmarkStart w:id="3552" w:name="_Toc338524176"/>
      <w:bookmarkStart w:id="3553" w:name="_Toc338526402"/>
      <w:bookmarkStart w:id="3554" w:name="_Toc338673845"/>
      <w:bookmarkStart w:id="3555" w:name="_Toc338711724"/>
      <w:r w:rsidRPr="00286717">
        <w:t>2. Temel Amaç ve Hedefler</w:t>
      </w:r>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p>
    <w:p w:rsidR="00565FD5" w:rsidRPr="00286717" w:rsidRDefault="00565FD5" w:rsidP="00565FD5">
      <w:pPr>
        <w:spacing w:after="140"/>
        <w:ind w:firstLine="425"/>
        <w:rPr>
          <w:rFonts w:cs="Tahoma"/>
          <w:szCs w:val="18"/>
        </w:rPr>
      </w:pPr>
      <w:r w:rsidRPr="00286717">
        <w:rPr>
          <w:rFonts w:cs="Tahoma"/>
          <w:szCs w:val="18"/>
        </w:rPr>
        <w:t xml:space="preserve">Türkiye tarafından, Orta Asya, Balkanlar, Afrika ve Orta Doğuda yer alan ülkeler başta olmak üzere en az gelişmiş ve gelişmekte olan ülkelerin kalkınma çalışmalarına, bu ülkelerin ihtiyaçları, ülkemizin uzmanlaştığı alanlar ve dış politika önceliklerini gözeten bir anlayışla katkı sağlanmaya devam edilecektir. </w:t>
      </w:r>
    </w:p>
    <w:p w:rsidR="00565FD5" w:rsidRPr="00286717" w:rsidRDefault="00565FD5" w:rsidP="00565FD5">
      <w:pPr>
        <w:spacing w:after="140"/>
        <w:ind w:firstLine="425"/>
        <w:rPr>
          <w:rFonts w:cs="Tahoma"/>
          <w:szCs w:val="18"/>
        </w:rPr>
      </w:pPr>
      <w:r w:rsidRPr="00286717">
        <w:rPr>
          <w:rFonts w:cs="Tahoma"/>
          <w:szCs w:val="18"/>
        </w:rPr>
        <w:t>Uluslararası teknik işbirliği faaliyetlerine gönüllü kuruluşların ve özel sektörün katılımı teşvik edilecektir. Çok taraflı uluslararası kalkınma işbirliği kuruluşları ile bölgesel ve küresel düzeyde işbirlikleri ulusal önceliklerle uyumlu şekilde artırılacaktır. Bu doğrultuda, bu kuruluşların bölgesel ve küresel birim ve merkezlerinin ülkemizde kurulması için gerekli çalışmalar yapılacaktır.</w:t>
      </w:r>
    </w:p>
    <w:p w:rsidR="00565FD5" w:rsidRPr="00286717" w:rsidRDefault="00565FD5" w:rsidP="00565FD5">
      <w:pPr>
        <w:pStyle w:val="Balk4"/>
      </w:pPr>
      <w:bookmarkStart w:id="3556" w:name="_Toc276076425"/>
      <w:bookmarkStart w:id="3557" w:name="_Toc276059366"/>
      <w:bookmarkStart w:id="3558" w:name="_Toc244339738"/>
      <w:bookmarkStart w:id="3559" w:name="_Toc244315275"/>
      <w:bookmarkStart w:id="3560" w:name="_Toc244313798"/>
      <w:bookmarkStart w:id="3561" w:name="_Toc244255060"/>
      <w:bookmarkStart w:id="3562" w:name="_Toc244253810"/>
      <w:bookmarkStart w:id="3563" w:name="_Toc213065805"/>
      <w:bookmarkStart w:id="3564" w:name="_Toc338505703"/>
      <w:bookmarkStart w:id="3565" w:name="_Toc338523946"/>
      <w:bookmarkStart w:id="3566" w:name="_Toc338524177"/>
      <w:bookmarkStart w:id="3567" w:name="_Toc338526403"/>
      <w:bookmarkStart w:id="3568" w:name="_Toc338673846"/>
      <w:bookmarkStart w:id="3569" w:name="_Toc338711725"/>
      <w:r w:rsidRPr="00286717">
        <w:t>3. Politika Öncelikleri ve Tedbirler</w:t>
      </w:r>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p>
    <w:tbl>
      <w:tblPr>
        <w:tblW w:w="7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right w:w="0" w:type="dxa"/>
        </w:tblCellMar>
        <w:tblLook w:val="00A0"/>
      </w:tblPr>
      <w:tblGrid>
        <w:gridCol w:w="1919"/>
        <w:gridCol w:w="1915"/>
        <w:gridCol w:w="752"/>
        <w:gridCol w:w="2558"/>
      </w:tblGrid>
      <w:tr w:rsidR="00565FD5" w:rsidRPr="00286717" w:rsidTr="00AB62A3">
        <w:trPr>
          <w:trHeight w:val="20"/>
          <w:jc w:val="center"/>
        </w:trPr>
        <w:tc>
          <w:tcPr>
            <w:tcW w:w="1344" w:type="pct"/>
            <w:vAlign w:val="bottom"/>
          </w:tcPr>
          <w:p w:rsidR="00565FD5" w:rsidRPr="00286717" w:rsidRDefault="00565FD5" w:rsidP="00AB62A3">
            <w:pPr>
              <w:ind w:left="57" w:right="57"/>
              <w:rPr>
                <w:rFonts w:cs="Tahoma"/>
                <w:b/>
                <w:sz w:val="16"/>
                <w:szCs w:val="16"/>
              </w:rPr>
            </w:pPr>
            <w:r w:rsidRPr="00286717">
              <w:rPr>
                <w:rFonts w:cs="Tahoma"/>
                <w:b/>
                <w:sz w:val="16"/>
                <w:szCs w:val="16"/>
              </w:rPr>
              <w:t>Öncelik/Tedbir</w:t>
            </w:r>
          </w:p>
        </w:tc>
        <w:tc>
          <w:tcPr>
            <w:tcW w:w="1340" w:type="pct"/>
            <w:vAlign w:val="bottom"/>
          </w:tcPr>
          <w:p w:rsidR="00565FD5" w:rsidRPr="00286717" w:rsidRDefault="00565FD5" w:rsidP="00AB62A3">
            <w:pPr>
              <w:autoSpaceDE w:val="0"/>
              <w:autoSpaceDN w:val="0"/>
              <w:adjustRightInd w:val="0"/>
              <w:ind w:left="57" w:right="57"/>
              <w:rPr>
                <w:rFonts w:cs="Tahoma"/>
                <w:b/>
                <w:sz w:val="16"/>
                <w:szCs w:val="16"/>
              </w:rPr>
            </w:pPr>
            <w:r w:rsidRPr="00286717">
              <w:rPr>
                <w:rFonts w:cs="Tahoma"/>
                <w:b/>
                <w:sz w:val="16"/>
                <w:szCs w:val="16"/>
              </w:rPr>
              <w:t>Sorumlu / İşbirliği Yapılacak Kuruluşlar</w:t>
            </w:r>
          </w:p>
        </w:tc>
        <w:tc>
          <w:tcPr>
            <w:tcW w:w="526" w:type="pct"/>
            <w:vAlign w:val="bottom"/>
          </w:tcPr>
          <w:p w:rsidR="00565FD5" w:rsidRPr="00286717" w:rsidRDefault="00565FD5" w:rsidP="00AB62A3">
            <w:pPr>
              <w:ind w:left="57" w:right="57"/>
              <w:rPr>
                <w:rFonts w:cs="Tahoma"/>
                <w:b/>
                <w:sz w:val="16"/>
                <w:szCs w:val="16"/>
              </w:rPr>
            </w:pPr>
            <w:r w:rsidRPr="00286717">
              <w:rPr>
                <w:rFonts w:cs="Tahoma"/>
                <w:b/>
                <w:sz w:val="16"/>
                <w:szCs w:val="16"/>
              </w:rPr>
              <w:t>Süre</w:t>
            </w:r>
          </w:p>
        </w:tc>
        <w:tc>
          <w:tcPr>
            <w:tcW w:w="1790" w:type="pct"/>
            <w:vAlign w:val="bottom"/>
          </w:tcPr>
          <w:p w:rsidR="00565FD5" w:rsidRPr="00286717" w:rsidRDefault="00565FD5" w:rsidP="00AB62A3">
            <w:pPr>
              <w:ind w:left="57" w:right="57"/>
              <w:rPr>
                <w:rFonts w:cs="Tahoma"/>
                <w:b/>
                <w:sz w:val="16"/>
                <w:szCs w:val="16"/>
              </w:rPr>
            </w:pPr>
            <w:r w:rsidRPr="00286717">
              <w:rPr>
                <w:rFonts w:cs="Tahoma"/>
                <w:b/>
                <w:sz w:val="16"/>
                <w:szCs w:val="16"/>
              </w:rPr>
              <w:t>Yapılacak İşlem ve Açıklama</w:t>
            </w:r>
          </w:p>
        </w:tc>
      </w:tr>
      <w:tr w:rsidR="00565FD5" w:rsidRPr="00286717" w:rsidTr="00AB62A3">
        <w:trPr>
          <w:trHeight w:val="20"/>
          <w:jc w:val="center"/>
        </w:trPr>
        <w:tc>
          <w:tcPr>
            <w:tcW w:w="5000" w:type="pct"/>
            <w:gridSpan w:val="4"/>
            <w:vAlign w:val="bottom"/>
          </w:tcPr>
          <w:p w:rsidR="00565FD5" w:rsidRPr="00286717" w:rsidRDefault="00565FD5" w:rsidP="00EB1E69">
            <w:pPr>
              <w:numPr>
                <w:ilvl w:val="0"/>
                <w:numId w:val="15"/>
              </w:numPr>
              <w:spacing w:after="0" w:line="240" w:lineRule="auto"/>
              <w:ind w:right="57"/>
              <w:jc w:val="both"/>
              <w:rPr>
                <w:rFonts w:cs="Tahoma"/>
                <w:b/>
                <w:bCs/>
                <w:sz w:val="16"/>
                <w:szCs w:val="16"/>
              </w:rPr>
            </w:pPr>
            <w:bookmarkStart w:id="3570" w:name="_Toc338505704"/>
            <w:r w:rsidRPr="00286717">
              <w:rPr>
                <w:rFonts w:cs="Tahoma"/>
                <w:b/>
                <w:sz w:val="16"/>
                <w:szCs w:val="16"/>
              </w:rPr>
              <w:t xml:space="preserve">Türkiye’nin yaptığı kalkınma yardımlarının </w:t>
            </w:r>
            <w:r w:rsidRPr="00263E34">
              <w:rPr>
                <w:rFonts w:cs="Tahoma"/>
                <w:b/>
                <w:sz w:val="16"/>
                <w:szCs w:val="16"/>
              </w:rPr>
              <w:t>niteliğinin artırılması</w:t>
            </w:r>
            <w:r w:rsidRPr="00286717">
              <w:rPr>
                <w:rFonts w:cs="Tahoma"/>
                <w:b/>
                <w:sz w:val="16"/>
                <w:szCs w:val="16"/>
              </w:rPr>
              <w:t xml:space="preserve"> ve kurumlar arası </w:t>
            </w:r>
            <w:r w:rsidRPr="00263E34">
              <w:rPr>
                <w:rFonts w:cs="Tahoma"/>
                <w:b/>
                <w:sz w:val="16"/>
                <w:szCs w:val="16"/>
              </w:rPr>
              <w:t>koordinasyonun iyileştirilmesi çalışmaları sürdürülecektir.</w:t>
            </w:r>
            <w:bookmarkEnd w:id="3570"/>
          </w:p>
        </w:tc>
      </w:tr>
      <w:tr w:rsidR="00565FD5" w:rsidRPr="00286717" w:rsidTr="00AB62A3">
        <w:trPr>
          <w:trHeight w:val="20"/>
          <w:jc w:val="center"/>
        </w:trPr>
        <w:tc>
          <w:tcPr>
            <w:tcW w:w="1344" w:type="pct"/>
          </w:tcPr>
          <w:p w:rsidR="00565FD5" w:rsidRPr="00286717" w:rsidRDefault="00565FD5" w:rsidP="00EB1E69">
            <w:pPr>
              <w:numPr>
                <w:ilvl w:val="0"/>
                <w:numId w:val="14"/>
              </w:numPr>
              <w:spacing w:after="0" w:line="240" w:lineRule="auto"/>
              <w:ind w:right="57"/>
              <w:rPr>
                <w:rFonts w:cs="Tahoma"/>
                <w:sz w:val="16"/>
                <w:szCs w:val="16"/>
              </w:rPr>
            </w:pPr>
            <w:r w:rsidRPr="00286717">
              <w:rPr>
                <w:rFonts w:cs="Tahoma"/>
                <w:sz w:val="16"/>
                <w:szCs w:val="16"/>
              </w:rPr>
              <w:t>Türkiye’nin</w:t>
            </w:r>
            <w:r w:rsidRPr="00286717">
              <w:rPr>
                <w:rFonts w:cs="Tahoma"/>
                <w:bCs/>
                <w:sz w:val="16"/>
                <w:szCs w:val="16"/>
              </w:rPr>
              <w:t xml:space="preserve"> EAGÜ’ler, diğer az gelişmiş ve</w:t>
            </w:r>
            <w:r w:rsidRPr="00286717">
              <w:rPr>
                <w:rFonts w:cs="Tahoma"/>
                <w:sz w:val="16"/>
                <w:szCs w:val="16"/>
              </w:rPr>
              <w:t xml:space="preserve"> gelişmekte olan ülkelere yaptığı yardımlar için ulusal öncelikler ve ülkelerin ihtiyaçları dikkate alınarak orta ve uzun vadeli stratejiler geliştirilecektir.</w:t>
            </w:r>
          </w:p>
        </w:tc>
        <w:tc>
          <w:tcPr>
            <w:tcW w:w="1340" w:type="pct"/>
          </w:tcPr>
          <w:p w:rsidR="00565FD5" w:rsidRPr="00286717" w:rsidRDefault="00565FD5" w:rsidP="00AB62A3">
            <w:pPr>
              <w:ind w:left="57" w:right="57"/>
              <w:rPr>
                <w:rFonts w:cs="Tahoma"/>
                <w:sz w:val="16"/>
                <w:szCs w:val="16"/>
              </w:rPr>
            </w:pPr>
            <w:r w:rsidRPr="00286717">
              <w:rPr>
                <w:rFonts w:cs="Tahoma"/>
                <w:sz w:val="16"/>
                <w:szCs w:val="16"/>
              </w:rPr>
              <w:t>TİKA (S), Dışişleri Bakanlığı, Kalkınma Bakanlığı, Hazine Müsteşarlığı</w:t>
            </w:r>
          </w:p>
        </w:tc>
        <w:tc>
          <w:tcPr>
            <w:tcW w:w="526" w:type="pct"/>
          </w:tcPr>
          <w:p w:rsidR="00565FD5" w:rsidRPr="00286717" w:rsidRDefault="00565FD5" w:rsidP="00AB62A3">
            <w:pPr>
              <w:autoSpaceDE w:val="0"/>
              <w:autoSpaceDN w:val="0"/>
              <w:adjustRightInd w:val="0"/>
              <w:ind w:left="57" w:right="57"/>
              <w:rPr>
                <w:rFonts w:cs="Tahoma"/>
                <w:sz w:val="16"/>
                <w:szCs w:val="16"/>
              </w:rPr>
            </w:pPr>
            <w:r w:rsidRPr="00286717">
              <w:rPr>
                <w:rFonts w:cs="Tahoma"/>
                <w:sz w:val="16"/>
                <w:szCs w:val="16"/>
              </w:rPr>
              <w:t>Aralık Sonu</w:t>
            </w:r>
          </w:p>
        </w:tc>
        <w:tc>
          <w:tcPr>
            <w:tcW w:w="1790" w:type="pct"/>
          </w:tcPr>
          <w:p w:rsidR="00565FD5" w:rsidRPr="00286717" w:rsidRDefault="00565FD5" w:rsidP="00AB62A3">
            <w:pPr>
              <w:autoSpaceDE w:val="0"/>
              <w:autoSpaceDN w:val="0"/>
              <w:adjustRightInd w:val="0"/>
              <w:ind w:left="57" w:right="57"/>
              <w:rPr>
                <w:rFonts w:cs="Tahoma"/>
                <w:sz w:val="16"/>
                <w:szCs w:val="16"/>
              </w:rPr>
            </w:pPr>
            <w:r w:rsidRPr="00286717">
              <w:rPr>
                <w:rFonts w:cs="Tahoma"/>
                <w:sz w:val="16"/>
                <w:szCs w:val="16"/>
              </w:rPr>
              <w:t>EAGÜ’lere yönelik olarak 2020 yılına kadar yıllık yapılacak 200 milyon ABD doları büyüklüğündeki yardımlar dâhil olmak üzere kalkınma yardımları; yararlanıcı ülke özelinde program bazlı olarak ulusal dış politika öncelikleri dikkate alınarak gerçekleştirilecektir. Türkiye’nin kalkınma yardımlarının Paris Bildirgesi</w:t>
            </w:r>
            <w:r w:rsidRPr="00286717">
              <w:rPr>
                <w:rFonts w:cs="Tahoma"/>
                <w:bCs/>
                <w:sz w:val="16"/>
                <w:szCs w:val="16"/>
              </w:rPr>
              <w:t xml:space="preserve">, </w:t>
            </w:r>
            <w:r w:rsidRPr="00286717">
              <w:rPr>
                <w:rFonts w:cs="Tahoma"/>
                <w:sz w:val="16"/>
                <w:szCs w:val="16"/>
              </w:rPr>
              <w:t xml:space="preserve">Binyıl Kalkınma Hedefleri </w:t>
            </w:r>
            <w:r w:rsidRPr="00286717">
              <w:rPr>
                <w:rFonts w:cs="Tahoma"/>
                <w:bCs/>
                <w:sz w:val="16"/>
                <w:szCs w:val="16"/>
              </w:rPr>
              <w:t xml:space="preserve">ve benzeri uluslararası kabul görmüş kalkınma ilkeleri </w:t>
            </w:r>
            <w:r w:rsidRPr="00286717">
              <w:rPr>
                <w:rFonts w:cs="Tahoma"/>
                <w:sz w:val="16"/>
                <w:szCs w:val="16"/>
              </w:rPr>
              <w:t xml:space="preserve">ile uyumu geliştirilecektir. </w:t>
            </w:r>
            <w:r w:rsidRPr="00286717">
              <w:rPr>
                <w:rFonts w:cs="Tahoma"/>
                <w:bCs/>
                <w:sz w:val="16"/>
                <w:szCs w:val="16"/>
              </w:rPr>
              <w:t xml:space="preserve">  </w:t>
            </w:r>
          </w:p>
        </w:tc>
      </w:tr>
      <w:tr w:rsidR="00565FD5" w:rsidRPr="00286717" w:rsidTr="00AB62A3">
        <w:trPr>
          <w:trHeight w:val="1214"/>
          <w:jc w:val="center"/>
        </w:trPr>
        <w:tc>
          <w:tcPr>
            <w:tcW w:w="1344" w:type="pct"/>
          </w:tcPr>
          <w:p w:rsidR="00565FD5" w:rsidRPr="00286717" w:rsidRDefault="00565FD5" w:rsidP="00EB1E69">
            <w:pPr>
              <w:numPr>
                <w:ilvl w:val="0"/>
                <w:numId w:val="14"/>
              </w:numPr>
              <w:autoSpaceDE w:val="0"/>
              <w:autoSpaceDN w:val="0"/>
              <w:adjustRightInd w:val="0"/>
              <w:spacing w:after="0" w:line="240" w:lineRule="auto"/>
              <w:ind w:left="34" w:right="57"/>
              <w:rPr>
                <w:rFonts w:cs="Tahoma"/>
                <w:bCs/>
                <w:sz w:val="16"/>
                <w:szCs w:val="16"/>
              </w:rPr>
            </w:pPr>
            <w:r w:rsidRPr="00286717">
              <w:rPr>
                <w:rFonts w:cs="Tahoma"/>
                <w:bCs/>
                <w:sz w:val="16"/>
                <w:szCs w:val="16"/>
              </w:rPr>
              <w:t>Dış Yardımlarla ilgili bir çerçeve kanun tasarısı taslağı hazırlanacaktır.</w:t>
            </w:r>
          </w:p>
        </w:tc>
        <w:tc>
          <w:tcPr>
            <w:tcW w:w="1340" w:type="pct"/>
          </w:tcPr>
          <w:p w:rsidR="00565FD5" w:rsidRPr="00286717" w:rsidRDefault="00565FD5" w:rsidP="00AB62A3">
            <w:pPr>
              <w:ind w:left="57" w:right="57"/>
              <w:rPr>
                <w:rFonts w:cs="Tahoma"/>
                <w:sz w:val="16"/>
                <w:szCs w:val="16"/>
              </w:rPr>
            </w:pPr>
            <w:r>
              <w:rPr>
                <w:rFonts w:cs="Tahoma"/>
                <w:sz w:val="16"/>
                <w:szCs w:val="16"/>
              </w:rPr>
              <w:t>TİKA</w:t>
            </w:r>
            <w:r w:rsidRPr="00286717">
              <w:rPr>
                <w:rFonts w:cs="Tahoma"/>
                <w:sz w:val="16"/>
                <w:szCs w:val="16"/>
              </w:rPr>
              <w:t xml:space="preserve"> (S), Maliye Bakanlığı, Kalkınma Bakanlığı, Hazine Müsteşarlığı, </w:t>
            </w:r>
            <w:r>
              <w:rPr>
                <w:rFonts w:cs="Tahoma"/>
                <w:sz w:val="16"/>
                <w:szCs w:val="16"/>
              </w:rPr>
              <w:t>Dışişleri Bakanlığı</w:t>
            </w:r>
          </w:p>
        </w:tc>
        <w:tc>
          <w:tcPr>
            <w:tcW w:w="526" w:type="pct"/>
          </w:tcPr>
          <w:p w:rsidR="00565FD5" w:rsidRPr="00286717" w:rsidRDefault="00565FD5" w:rsidP="00AB62A3">
            <w:pPr>
              <w:autoSpaceDE w:val="0"/>
              <w:autoSpaceDN w:val="0"/>
              <w:adjustRightInd w:val="0"/>
              <w:ind w:left="57" w:right="57"/>
              <w:rPr>
                <w:rFonts w:cs="Tahoma"/>
                <w:sz w:val="16"/>
                <w:szCs w:val="16"/>
              </w:rPr>
            </w:pPr>
            <w:r w:rsidRPr="00286717">
              <w:rPr>
                <w:rFonts w:cs="Tahoma"/>
                <w:sz w:val="16"/>
                <w:szCs w:val="16"/>
              </w:rPr>
              <w:t>Aralık Sonu</w:t>
            </w:r>
          </w:p>
        </w:tc>
        <w:tc>
          <w:tcPr>
            <w:tcW w:w="1790" w:type="pct"/>
          </w:tcPr>
          <w:p w:rsidR="00565FD5" w:rsidRPr="00286717" w:rsidRDefault="00565FD5" w:rsidP="00AB62A3">
            <w:pPr>
              <w:autoSpaceDE w:val="0"/>
              <w:autoSpaceDN w:val="0"/>
              <w:adjustRightInd w:val="0"/>
              <w:ind w:left="57" w:right="57"/>
              <w:rPr>
                <w:rFonts w:cs="Tahoma"/>
                <w:sz w:val="16"/>
                <w:szCs w:val="16"/>
              </w:rPr>
            </w:pPr>
            <w:r w:rsidRPr="00286717">
              <w:rPr>
                <w:rFonts w:cs="Tahoma"/>
                <w:sz w:val="16"/>
                <w:szCs w:val="16"/>
              </w:rPr>
              <w:t xml:space="preserve">Kalkınma yardımları alanındaki yasal sorunları gidermeye ve kurumlar arası koordinasyonu iyileştirmeye yönelik dış yardım kanun tasarısı taslağı hazırlanacaktır. </w:t>
            </w:r>
          </w:p>
        </w:tc>
      </w:tr>
      <w:tr w:rsidR="00565FD5" w:rsidRPr="00286717" w:rsidTr="00AB62A3">
        <w:trPr>
          <w:trHeight w:val="20"/>
          <w:jc w:val="center"/>
        </w:trPr>
        <w:tc>
          <w:tcPr>
            <w:tcW w:w="5000" w:type="pct"/>
            <w:gridSpan w:val="4"/>
          </w:tcPr>
          <w:p w:rsidR="00565FD5" w:rsidRPr="00286717" w:rsidRDefault="00565FD5" w:rsidP="00EB1E69">
            <w:pPr>
              <w:numPr>
                <w:ilvl w:val="0"/>
                <w:numId w:val="15"/>
              </w:numPr>
              <w:autoSpaceDE w:val="0"/>
              <w:autoSpaceDN w:val="0"/>
              <w:adjustRightInd w:val="0"/>
              <w:spacing w:after="0" w:line="240" w:lineRule="auto"/>
              <w:ind w:right="57"/>
              <w:jc w:val="both"/>
              <w:rPr>
                <w:rFonts w:cs="Tahoma"/>
                <w:b/>
                <w:sz w:val="16"/>
                <w:szCs w:val="16"/>
              </w:rPr>
            </w:pPr>
            <w:r w:rsidRPr="00286717">
              <w:rPr>
                <w:rFonts w:cs="Tahoma"/>
                <w:b/>
                <w:sz w:val="16"/>
                <w:szCs w:val="16"/>
              </w:rPr>
              <w:t xml:space="preserve">Türkiye’nin </w:t>
            </w:r>
            <w:r w:rsidRPr="00286717">
              <w:rPr>
                <w:rFonts w:cs="Tahoma"/>
                <w:b/>
                <w:bCs/>
                <w:sz w:val="16"/>
                <w:szCs w:val="16"/>
              </w:rPr>
              <w:t>çok taraflı uluslararası</w:t>
            </w:r>
            <w:r w:rsidRPr="00286717">
              <w:rPr>
                <w:rFonts w:cs="Tahoma"/>
                <w:b/>
                <w:sz w:val="16"/>
                <w:szCs w:val="16"/>
              </w:rPr>
              <w:t xml:space="preserve"> kalkınma işbirliği </w:t>
            </w:r>
            <w:r w:rsidRPr="00286717">
              <w:rPr>
                <w:rFonts w:cs="Tahoma"/>
                <w:b/>
                <w:bCs/>
                <w:sz w:val="16"/>
                <w:szCs w:val="16"/>
              </w:rPr>
              <w:t>kuruluşlarıyla işbirliği artırılacaktır.</w:t>
            </w:r>
          </w:p>
        </w:tc>
      </w:tr>
      <w:tr w:rsidR="00565FD5" w:rsidRPr="00286717" w:rsidTr="00AB62A3">
        <w:trPr>
          <w:trHeight w:val="2302"/>
          <w:jc w:val="center"/>
        </w:trPr>
        <w:tc>
          <w:tcPr>
            <w:tcW w:w="1344" w:type="pct"/>
          </w:tcPr>
          <w:p w:rsidR="00565FD5" w:rsidRPr="00286717" w:rsidRDefault="00565FD5" w:rsidP="00EB1E69">
            <w:pPr>
              <w:numPr>
                <w:ilvl w:val="0"/>
                <w:numId w:val="14"/>
              </w:numPr>
              <w:spacing w:after="0" w:line="240" w:lineRule="auto"/>
              <w:ind w:left="34" w:right="57"/>
              <w:rPr>
                <w:rFonts w:cs="Tahoma"/>
                <w:sz w:val="16"/>
                <w:szCs w:val="16"/>
              </w:rPr>
            </w:pPr>
            <w:r w:rsidRPr="00286717">
              <w:rPr>
                <w:rFonts w:cs="Tahoma"/>
                <w:bCs/>
                <w:sz w:val="16"/>
                <w:szCs w:val="16"/>
              </w:rPr>
              <w:lastRenderedPageBreak/>
              <w:t xml:space="preserve">Ulusal öncelikler doğrultusunda Birleşmiş Milletler ve diğer çok taraflı uluslararası kalkınma işbirliği kuruluşlarıyla yapılan işbirlikleri geliştirilerek, uluslararası kalkınma çalışmalarına etkin katılım sağlanacak ve görünürlük artırılacaktır. </w:t>
            </w:r>
          </w:p>
        </w:tc>
        <w:tc>
          <w:tcPr>
            <w:tcW w:w="1340" w:type="pct"/>
          </w:tcPr>
          <w:p w:rsidR="00565FD5" w:rsidRPr="00286717" w:rsidRDefault="00565FD5" w:rsidP="00AB62A3">
            <w:pPr>
              <w:ind w:left="57" w:right="57"/>
              <w:rPr>
                <w:rFonts w:cs="Tahoma"/>
                <w:sz w:val="16"/>
                <w:szCs w:val="16"/>
              </w:rPr>
            </w:pPr>
            <w:r w:rsidRPr="00286717">
              <w:rPr>
                <w:rFonts w:cs="Tahoma"/>
                <w:sz w:val="16"/>
                <w:szCs w:val="16"/>
              </w:rPr>
              <w:t>Dışişleri Bakanlığı (S), Kalkınma Bakanlığı, TİKA, İlgili Kamu Kurum ve Kuruluşları</w:t>
            </w:r>
          </w:p>
        </w:tc>
        <w:tc>
          <w:tcPr>
            <w:tcW w:w="526" w:type="pct"/>
          </w:tcPr>
          <w:p w:rsidR="00565FD5" w:rsidRPr="00286717" w:rsidRDefault="00565FD5" w:rsidP="00AB62A3">
            <w:pPr>
              <w:autoSpaceDE w:val="0"/>
              <w:autoSpaceDN w:val="0"/>
              <w:adjustRightInd w:val="0"/>
              <w:ind w:left="57" w:right="57"/>
              <w:rPr>
                <w:rFonts w:cs="Tahoma"/>
                <w:sz w:val="16"/>
                <w:szCs w:val="16"/>
              </w:rPr>
            </w:pPr>
            <w:r w:rsidRPr="00286717">
              <w:rPr>
                <w:rFonts w:cs="Tahoma"/>
                <w:sz w:val="16"/>
                <w:szCs w:val="16"/>
              </w:rPr>
              <w:t>Aralık Sonu</w:t>
            </w:r>
          </w:p>
        </w:tc>
        <w:tc>
          <w:tcPr>
            <w:tcW w:w="1790" w:type="pct"/>
          </w:tcPr>
          <w:p w:rsidR="00565FD5" w:rsidRPr="00286717" w:rsidRDefault="00565FD5" w:rsidP="00AB62A3">
            <w:pPr>
              <w:autoSpaceDE w:val="0"/>
              <w:autoSpaceDN w:val="0"/>
              <w:adjustRightInd w:val="0"/>
              <w:ind w:left="57" w:right="57"/>
              <w:rPr>
                <w:rFonts w:cs="Tahoma"/>
                <w:sz w:val="16"/>
                <w:szCs w:val="16"/>
              </w:rPr>
            </w:pPr>
            <w:r w:rsidRPr="00286717">
              <w:rPr>
                <w:rFonts w:cs="Tahoma"/>
                <w:sz w:val="16"/>
                <w:szCs w:val="16"/>
              </w:rPr>
              <w:t>Bölgesel ve küresel işbirliklerini artırmak amacıyla BM kuruluşlarının bölgesel ofislerinin ülkemizde açılması için çalışmalar sürdürülecektir. Ayrıca OECD gibi diğer uluslararası kuruluşlarla işbirliklerinin artırılmasına,  belirlenen alanlarda ulusal, bölgesel ve uluslararası düzeyde kapasitenin iyileştirilmesine ve insan kaynaklarının geliştirilmesine yoğunlaşılacaktır.</w:t>
            </w:r>
          </w:p>
        </w:tc>
      </w:tr>
    </w:tbl>
    <w:p w:rsidR="00565FD5" w:rsidRPr="00B868E2" w:rsidRDefault="00565FD5" w:rsidP="00565FD5">
      <w:pPr>
        <w:ind w:firstLine="425"/>
        <w:rPr>
          <w:rFonts w:cs="Tahoma"/>
          <w:sz w:val="24"/>
          <w:szCs w:val="24"/>
          <w:lang w:eastAsia="tr-TR"/>
        </w:rPr>
      </w:pPr>
      <w:bookmarkStart w:id="3571" w:name="_GoBack"/>
      <w:bookmarkEnd w:id="3571"/>
    </w:p>
    <w:p w:rsidR="00565FD5" w:rsidRPr="00F804AF" w:rsidRDefault="00565FD5" w:rsidP="00F804AF">
      <w:pPr>
        <w:spacing w:after="0" w:line="280" w:lineRule="atLeast"/>
        <w:jc w:val="right"/>
        <w:rPr>
          <w:rFonts w:ascii="Times New Roman" w:eastAsia="Times New Roman" w:hAnsi="Times New Roman" w:cs="Times New Roman"/>
          <w:sz w:val="20"/>
          <w:szCs w:val="20"/>
          <w:lang w:eastAsia="tr-TR"/>
        </w:rPr>
      </w:pPr>
    </w:p>
    <w:sectPr w:rsidR="00565FD5" w:rsidRPr="00F804AF" w:rsidSect="0062762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E69" w:rsidRDefault="00EB1E69" w:rsidP="00565FD5">
      <w:pPr>
        <w:spacing w:after="0" w:line="240" w:lineRule="auto"/>
      </w:pPr>
      <w:r>
        <w:separator/>
      </w:r>
    </w:p>
  </w:endnote>
  <w:endnote w:type="continuationSeparator" w:id="0">
    <w:p w:rsidR="00EB1E69" w:rsidRDefault="00EB1E69" w:rsidP="00565F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80000000" w:usb2="00000008" w:usb3="00000000" w:csb0="000001FF" w:csb1="00000000"/>
  </w:font>
  <w:font w:name="Tahoma">
    <w:panose1 w:val="020B0604030504040204"/>
    <w:charset w:val="A2"/>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Arial">
    <w:panose1 w:val="020B0604020202020204"/>
    <w:charset w:val="A2"/>
    <w:family w:val="swiss"/>
    <w:pitch w:val="variable"/>
    <w:sig w:usb0="20002A87" w:usb1="80000000" w:usb2="00000008" w:usb3="00000000" w:csb0="000001FF" w:csb1="00000000"/>
  </w:font>
  <w:font w:name="Cambria">
    <w:panose1 w:val="02040503050406030204"/>
    <w:charset w:val="A2"/>
    <w:family w:val="roman"/>
    <w:pitch w:val="variable"/>
    <w:sig w:usb0="A00002EF" w:usb1="4000004B" w:usb2="00000000" w:usb3="00000000" w:csb0="0000009F" w:csb1="00000000"/>
  </w:font>
  <w:font w:name="ヒラギノ明朝 Pro W3">
    <w:altName w:val="MS Mincho"/>
    <w:charset w:val="80"/>
    <w:family w:val="auto"/>
    <w:pitch w:val="variable"/>
    <w:sig w:usb0="00000001" w:usb1="00000000" w:usb2="01000407" w:usb3="00000000" w:csb0="00020000" w:csb1="00000000"/>
  </w:font>
  <w:font w:name="Century Schoolbook">
    <w:panose1 w:val="02040604050505020304"/>
    <w:charset w:val="A2"/>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Arial TUR">
    <w:panose1 w:val="020B0604020202020204"/>
    <w:charset w:val="A2"/>
    <w:family w:val="swiss"/>
    <w:pitch w:val="variable"/>
    <w:sig w:usb0="E0002AFF" w:usb1="C0007843" w:usb2="00000009" w:usb3="00000000" w:csb0="000001FF" w:csb1="00000000"/>
  </w:font>
  <w:font w:name="Times New Roman TUR">
    <w:panose1 w:val="02020603050405020304"/>
    <w:charset w:val="A2"/>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A2"/>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FD5" w:rsidRDefault="00565FD5" w:rsidP="00315199">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FD5" w:rsidRDefault="00565FD5" w:rsidP="001131FC">
    <w:pPr>
      <w:pStyle w:val="Altbilgi"/>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FD5" w:rsidRDefault="00565FD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565FD5" w:rsidRDefault="00565FD5">
    <w:pPr>
      <w:pStyle w:val="Altbilgi"/>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FD5" w:rsidRDefault="00565FD5">
    <w:pPr>
      <w:pStyle w:val="Altbilgi"/>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FD5" w:rsidRDefault="00565FD5">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565FD5" w:rsidRDefault="00565FD5">
    <w:pPr>
      <w:pStyle w:val="Altbilgi"/>
      <w:ind w:right="360"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FD5" w:rsidRDefault="00565FD5">
    <w:pPr>
      <w:pStyle w:val="Altbilgi"/>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FD5" w:rsidRDefault="00565FD5" w:rsidP="00432A6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565FD5" w:rsidRDefault="00565FD5">
    <w:pPr>
      <w:pStyle w:val="Altbilgi"/>
      <w:ind w:right="360"/>
    </w:pPr>
  </w:p>
  <w:p w:rsidR="00565FD5" w:rsidRDefault="00565FD5"/>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FD5" w:rsidRDefault="00565FD5">
    <w:pPr>
      <w:pStyle w:val="Altbilgi"/>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FD5" w:rsidRDefault="00565FD5">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E69" w:rsidRDefault="00EB1E69" w:rsidP="00565FD5">
      <w:pPr>
        <w:spacing w:after="0" w:line="240" w:lineRule="auto"/>
      </w:pPr>
      <w:r>
        <w:separator/>
      </w:r>
    </w:p>
  </w:footnote>
  <w:footnote w:type="continuationSeparator" w:id="0">
    <w:p w:rsidR="00EB1E69" w:rsidRDefault="00EB1E69" w:rsidP="00565FD5">
      <w:pPr>
        <w:spacing w:after="0" w:line="240" w:lineRule="auto"/>
      </w:pPr>
      <w:r>
        <w:continuationSeparator/>
      </w:r>
    </w:p>
  </w:footnote>
  <w:footnote w:id="1">
    <w:p w:rsidR="00565FD5" w:rsidRDefault="00565FD5" w:rsidP="00565FD5">
      <w:pPr>
        <w:pStyle w:val="DipnotMetni"/>
      </w:pPr>
      <w:r w:rsidRPr="00E2647A">
        <w:rPr>
          <w:rStyle w:val="DipnotBavurusu"/>
          <w:rFonts w:ascii="Tahoma" w:hAnsi="Tahoma" w:cs="Tahoma"/>
          <w:sz w:val="16"/>
          <w:szCs w:val="16"/>
        </w:rPr>
        <w:footnoteRef/>
      </w:r>
      <w:r>
        <w:rPr>
          <w:rFonts w:ascii="Tahoma" w:hAnsi="Tahoma" w:cs="Tahoma"/>
          <w:sz w:val="16"/>
          <w:szCs w:val="16"/>
        </w:rPr>
        <w:t xml:space="preserve"> </w:t>
      </w:r>
      <w:r w:rsidRPr="00127363">
        <w:rPr>
          <w:rFonts w:ascii="Tahoma" w:hAnsi="Tahoma" w:cs="Tahoma"/>
          <w:sz w:val="14"/>
          <w:szCs w:val="14"/>
        </w:rPr>
        <w:t>IMF Küresel Ekonomik Görünüm Raporu, Ekim 2012</w:t>
      </w:r>
    </w:p>
  </w:footnote>
  <w:footnote w:id="2">
    <w:p w:rsidR="00565FD5" w:rsidRDefault="00565FD5" w:rsidP="00565FD5">
      <w:pPr>
        <w:pStyle w:val="DipnotMetni"/>
      </w:pPr>
      <w:r w:rsidRPr="00E2647A">
        <w:rPr>
          <w:rStyle w:val="DipnotBavurusu"/>
          <w:rFonts w:ascii="Tahoma" w:hAnsi="Tahoma" w:cs="Tahoma"/>
          <w:sz w:val="16"/>
          <w:szCs w:val="16"/>
        </w:rPr>
        <w:footnoteRef/>
      </w:r>
      <w:r>
        <w:rPr>
          <w:rFonts w:ascii="Tahoma" w:hAnsi="Tahoma" w:cs="Tahoma"/>
          <w:sz w:val="16"/>
          <w:szCs w:val="16"/>
        </w:rPr>
        <w:t xml:space="preserve"> </w:t>
      </w:r>
      <w:r w:rsidRPr="00127363">
        <w:rPr>
          <w:rFonts w:ascii="Tahoma" w:hAnsi="Tahoma" w:cs="Tahoma"/>
          <w:sz w:val="14"/>
          <w:szCs w:val="14"/>
        </w:rPr>
        <w:t>OECD Bileşik Öncü Göstergeler Bülteni, Ekim 2012</w:t>
      </w:r>
    </w:p>
  </w:footnote>
  <w:footnote w:id="3">
    <w:p w:rsidR="00565FD5" w:rsidRDefault="00565FD5" w:rsidP="00565FD5">
      <w:pPr>
        <w:pStyle w:val="DipnotMetni"/>
      </w:pPr>
      <w:r w:rsidRPr="00E2647A">
        <w:rPr>
          <w:rStyle w:val="DipnotBavurusu"/>
          <w:rFonts w:ascii="Tahoma" w:hAnsi="Tahoma" w:cs="Tahoma"/>
          <w:sz w:val="16"/>
          <w:szCs w:val="16"/>
        </w:rPr>
        <w:footnoteRef/>
      </w:r>
      <w:r>
        <w:rPr>
          <w:rFonts w:ascii="Tahoma" w:hAnsi="Tahoma" w:cs="Tahoma"/>
          <w:sz w:val="16"/>
          <w:szCs w:val="16"/>
        </w:rPr>
        <w:t xml:space="preserve"> </w:t>
      </w:r>
      <w:r w:rsidRPr="00127363">
        <w:rPr>
          <w:rFonts w:ascii="Tahoma" w:hAnsi="Tahoma" w:cs="Tahoma"/>
          <w:sz w:val="14"/>
          <w:szCs w:val="14"/>
        </w:rPr>
        <w:t xml:space="preserve">OECD, Uyumlaştırılmış İşsizlik Oranları Basın Duyurusu, Ekim 2012 </w:t>
      </w:r>
    </w:p>
  </w:footnote>
  <w:footnote w:id="4">
    <w:p w:rsidR="00565FD5" w:rsidRDefault="00565FD5" w:rsidP="00565FD5">
      <w:pPr>
        <w:pStyle w:val="DipnotMetni"/>
      </w:pPr>
      <w:r w:rsidRPr="00ED3A6D">
        <w:rPr>
          <w:rStyle w:val="DipnotBavurusu"/>
          <w:rFonts w:cs="Tahoma"/>
          <w:sz w:val="16"/>
          <w:szCs w:val="16"/>
        </w:rPr>
        <w:footnoteRef/>
      </w:r>
      <w:r w:rsidRPr="00ED3A6D">
        <w:rPr>
          <w:rFonts w:cs="Tahoma"/>
          <w:sz w:val="16"/>
          <w:szCs w:val="16"/>
        </w:rPr>
        <w:t xml:space="preserve"> </w:t>
      </w:r>
      <w:r w:rsidRPr="00DB1374">
        <w:rPr>
          <w:rFonts w:cs="Tahoma"/>
          <w:sz w:val="16"/>
          <w:szCs w:val="16"/>
        </w:rPr>
        <w:t xml:space="preserve">IMF, Dünya Ekonomik Görünümü Raporu, Ekim 2012 </w:t>
      </w:r>
    </w:p>
  </w:footnote>
  <w:footnote w:id="5">
    <w:p w:rsidR="00565FD5" w:rsidRDefault="00565FD5" w:rsidP="00565FD5">
      <w:pPr>
        <w:pStyle w:val="DipnotMetni"/>
      </w:pPr>
      <w:r w:rsidRPr="00DC543D">
        <w:rPr>
          <w:rStyle w:val="DipnotBavurusu"/>
          <w:sz w:val="16"/>
          <w:szCs w:val="16"/>
        </w:rPr>
        <w:footnoteRef/>
      </w:r>
      <w:r w:rsidRPr="00DC543D">
        <w:rPr>
          <w:sz w:val="16"/>
          <w:szCs w:val="16"/>
        </w:rPr>
        <w:t xml:space="preserve"> </w:t>
      </w:r>
      <w:r w:rsidRPr="00DC543D">
        <w:rPr>
          <w:rFonts w:cs="Tahoma"/>
          <w:sz w:val="16"/>
          <w:szCs w:val="16"/>
        </w:rPr>
        <w:t>IMF, Dünya Ekonomik Görünümü Raporu, Ekim 2012</w:t>
      </w:r>
    </w:p>
  </w:footnote>
  <w:footnote w:id="6">
    <w:p w:rsidR="00565FD5" w:rsidRDefault="00565FD5" w:rsidP="00565FD5">
      <w:pPr>
        <w:pStyle w:val="DipnotMetni"/>
      </w:pPr>
      <w:r w:rsidRPr="00ED3A6D">
        <w:rPr>
          <w:rStyle w:val="DipnotBavurusu"/>
          <w:sz w:val="16"/>
          <w:szCs w:val="16"/>
        </w:rPr>
        <w:footnoteRef/>
      </w:r>
      <w:r>
        <w:t xml:space="preserve"> </w:t>
      </w:r>
      <w:r w:rsidRPr="00DC543D">
        <w:rPr>
          <w:sz w:val="16"/>
          <w:szCs w:val="16"/>
        </w:rPr>
        <w:t>Uluslararası Doğrudan Yatırımlar 2011 Yılı Raporu</w:t>
      </w:r>
    </w:p>
  </w:footnote>
  <w:footnote w:id="7">
    <w:p w:rsidR="00565FD5" w:rsidRDefault="00565FD5" w:rsidP="00565FD5">
      <w:pPr>
        <w:pStyle w:val="DipnotMetni"/>
      </w:pPr>
      <w:r>
        <w:rPr>
          <w:rStyle w:val="DipnotBavurusu"/>
        </w:rPr>
        <w:footnoteRef/>
      </w:r>
      <w:r>
        <w:t xml:space="preserve"> </w:t>
      </w:r>
      <w:r>
        <w:rPr>
          <w:sz w:val="14"/>
          <w:szCs w:val="14"/>
        </w:rPr>
        <w:t>AB Komisyonu</w:t>
      </w:r>
      <w:r w:rsidRPr="00250B7F">
        <w:rPr>
          <w:sz w:val="14"/>
          <w:szCs w:val="14"/>
        </w:rPr>
        <w:t xml:space="preserve">, EU Transport in Figures, 2012, s.34. </w:t>
      </w:r>
    </w:p>
  </w:footnote>
  <w:footnote w:id="8">
    <w:p w:rsidR="00565FD5" w:rsidRDefault="00565FD5" w:rsidP="00565FD5">
      <w:pPr>
        <w:pStyle w:val="DipnotMetni"/>
      </w:pPr>
      <w:r>
        <w:rPr>
          <w:rStyle w:val="DipnotBavurusu"/>
        </w:rPr>
        <w:footnoteRef/>
      </w:r>
      <w:r w:rsidRPr="00231152">
        <w:rPr>
          <w:rFonts w:cs="Calibri"/>
          <w:sz w:val="14"/>
          <w:szCs w:val="14"/>
        </w:rPr>
        <w:t xml:space="preserve">OECD Factbook 2011-2012 </w:t>
      </w:r>
      <w:r>
        <w:rPr>
          <w:rFonts w:cs="Calibri"/>
          <w:sz w:val="14"/>
          <w:szCs w:val="14"/>
        </w:rPr>
        <w:t>“</w:t>
      </w:r>
      <w:r w:rsidRPr="00231152">
        <w:rPr>
          <w:rFonts w:cs="Calibri"/>
          <w:sz w:val="14"/>
          <w:szCs w:val="14"/>
        </w:rPr>
        <w:t>Economic, Environmental and Social Statistics</w:t>
      </w:r>
      <w:r>
        <w:rPr>
          <w:rFonts w:cs="Calibri"/>
          <w:sz w:val="14"/>
          <w:szCs w:val="14"/>
        </w:rPr>
        <w:t>”.</w:t>
      </w:r>
    </w:p>
  </w:footnote>
  <w:footnote w:id="9">
    <w:p w:rsidR="00565FD5" w:rsidRDefault="00565FD5" w:rsidP="00565FD5">
      <w:pPr>
        <w:pStyle w:val="DipnotMetni"/>
        <w:jc w:val="both"/>
      </w:pPr>
      <w:r w:rsidRPr="00434FDD">
        <w:rPr>
          <w:rStyle w:val="DipnotBavurusu"/>
          <w:szCs w:val="18"/>
        </w:rPr>
        <w:footnoteRef/>
      </w:r>
      <w:r w:rsidRPr="00434FDD">
        <w:rPr>
          <w:sz w:val="18"/>
          <w:szCs w:val="18"/>
        </w:rPr>
        <w:t xml:space="preserve"> </w:t>
      </w:r>
      <w:r w:rsidRPr="00283A3B">
        <w:rPr>
          <w:rFonts w:ascii="Tahoma" w:hAnsi="Tahoma" w:cs="Tahoma"/>
          <w:sz w:val="14"/>
          <w:szCs w:val="14"/>
        </w:rPr>
        <w:t>Sosyal sigorta primlerine devlet katkısı, ek ödemeler, faturalı ödemeler, ek karşılıklar ve sosyal sigorta primleriyle ilgili teşvik tutarları hariçtir.</w:t>
      </w:r>
      <w:r>
        <w:rPr>
          <w:rFonts w:ascii="Tahoma" w:hAnsi="Tahoma" w:cs="Tahoma"/>
          <w:sz w:val="14"/>
          <w:szCs w:val="14"/>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FD5" w:rsidRDefault="00565FD5" w:rsidP="00315199">
    <w:pPr>
      <w:pStyle w:val="s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end"/>
    </w:r>
  </w:p>
  <w:p w:rsidR="00565FD5" w:rsidRDefault="00565FD5">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FD5" w:rsidRDefault="00565FD5" w:rsidP="00315199">
    <w:pPr>
      <w:pStyle w:val="stbilgi"/>
      <w:framePr w:wrap="around" w:vAnchor="text" w:hAnchor="margin" w:xAlign="center" w:y="1"/>
      <w:rPr>
        <w:rStyle w:val="SayfaNumaras"/>
        <w:rFonts w:eastAsia="Batang"/>
      </w:rPr>
    </w:pPr>
    <w:r>
      <w:rPr>
        <w:rStyle w:val="SayfaNumaras"/>
        <w:rFonts w:eastAsia="Batang"/>
      </w:rPr>
      <w:t xml:space="preserve">- </w:t>
    </w: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noProof/>
      </w:rPr>
      <w:t>3</w:t>
    </w:r>
    <w:r>
      <w:rPr>
        <w:rStyle w:val="SayfaNumaras"/>
        <w:rFonts w:eastAsia="Batang"/>
      </w:rPr>
      <w:fldChar w:fldCharType="end"/>
    </w:r>
    <w:r>
      <w:rPr>
        <w:rStyle w:val="SayfaNumaras"/>
        <w:rFonts w:eastAsia="Batang"/>
      </w:rPr>
      <w:t xml:space="preserve"> -</w:t>
    </w:r>
  </w:p>
  <w:p w:rsidR="00565FD5" w:rsidRDefault="00565FD5">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FD5" w:rsidRDefault="00565FD5" w:rsidP="001131FC">
    <w:pPr>
      <w:pStyle w:val="s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565FD5" w:rsidRDefault="00565FD5">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FD5" w:rsidRDefault="00565FD5" w:rsidP="001131FC">
    <w:pPr>
      <w:pStyle w:val="stbilgi"/>
      <w:jc w:val="center"/>
    </w:pPr>
    <w:r>
      <w:t xml:space="preserve">- </w:t>
    </w:r>
    <w:fldSimple w:instr="PAGE   \* MERGEFORMAT">
      <w:r>
        <w:rPr>
          <w:noProof/>
        </w:rPr>
        <w:t>417</w:t>
      </w:r>
    </w:fldSimple>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FD5" w:rsidRDefault="00565FD5" w:rsidP="00432A69">
    <w:pPr>
      <w:pStyle w:val="s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565FD5" w:rsidRDefault="00565FD5">
    <w:pPr>
      <w:pStyle w:val="stbilgi"/>
    </w:pPr>
  </w:p>
  <w:p w:rsidR="00565FD5" w:rsidRDefault="00565FD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5304D"/>
    <w:multiLevelType w:val="hybridMultilevel"/>
    <w:tmpl w:val="8BC0E95E"/>
    <w:lvl w:ilvl="0" w:tplc="6910F1AC">
      <w:start w:val="1"/>
      <w:numFmt w:val="lowerRoman"/>
      <w:lvlText w:val="%1."/>
      <w:lvlJc w:val="right"/>
      <w:pPr>
        <w:tabs>
          <w:tab w:val="num" w:pos="804"/>
        </w:tabs>
        <w:ind w:left="804" w:hanging="180"/>
      </w:pPr>
      <w:rPr>
        <w:rFonts w:cs="Times New Roman" w:hint="default"/>
        <w:b w:val="0"/>
        <w:i w:val="0"/>
        <w:sz w:val="18"/>
        <w:szCs w:val="18"/>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nsid w:val="02A52C31"/>
    <w:multiLevelType w:val="hybridMultilevel"/>
    <w:tmpl w:val="39DC174C"/>
    <w:lvl w:ilvl="0" w:tplc="8EC6D8D2">
      <w:start w:val="1"/>
      <w:numFmt w:val="decimal"/>
      <w:lvlText w:val="(%1)"/>
      <w:lvlJc w:val="left"/>
      <w:pPr>
        <w:tabs>
          <w:tab w:val="num" w:pos="284"/>
        </w:tabs>
      </w:pPr>
      <w:rPr>
        <w:rFonts w:ascii="Tahoma" w:hAnsi="Tahoma"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
    <w:nsid w:val="088A44E2"/>
    <w:multiLevelType w:val="hybridMultilevel"/>
    <w:tmpl w:val="653E8836"/>
    <w:lvl w:ilvl="0" w:tplc="A00EA96E">
      <w:start w:val="1"/>
      <w:numFmt w:val="decimal"/>
      <w:suff w:val="space"/>
      <w:lvlText w:val="Öncelik %1."/>
      <w:lvlJc w:val="left"/>
      <w:rPr>
        <w:rFonts w:ascii="Tahoma" w:hAnsi="Tahoma" w:cs="Times New Roman" w:hint="default"/>
        <w:b/>
        <w:i w:val="0"/>
        <w:sz w:val="16"/>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12B145E5"/>
    <w:multiLevelType w:val="hybridMultilevel"/>
    <w:tmpl w:val="1F6E305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
    <w:nsid w:val="22734D07"/>
    <w:multiLevelType w:val="hybridMultilevel"/>
    <w:tmpl w:val="F0CEC2B4"/>
    <w:lvl w:ilvl="0" w:tplc="4428430E">
      <w:start w:val="1"/>
      <w:numFmt w:val="lowerRoman"/>
      <w:lvlText w:val="%1."/>
      <w:lvlJc w:val="right"/>
      <w:pPr>
        <w:tabs>
          <w:tab w:val="num" w:pos="805"/>
        </w:tabs>
        <w:ind w:left="805" w:hanging="181"/>
      </w:pPr>
      <w:rPr>
        <w:rFonts w:cs="Times New Roman" w:hint="default"/>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5">
    <w:nsid w:val="3A6C10B8"/>
    <w:multiLevelType w:val="hybridMultilevel"/>
    <w:tmpl w:val="39DC174C"/>
    <w:lvl w:ilvl="0" w:tplc="8EC6D8D2">
      <w:start w:val="1"/>
      <w:numFmt w:val="decimal"/>
      <w:lvlText w:val="(%1)"/>
      <w:lvlJc w:val="left"/>
      <w:pPr>
        <w:tabs>
          <w:tab w:val="num" w:pos="284"/>
        </w:tabs>
      </w:pPr>
      <w:rPr>
        <w:rFonts w:ascii="Tahoma" w:hAnsi="Tahoma"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6">
    <w:nsid w:val="431F4C7A"/>
    <w:multiLevelType w:val="hybridMultilevel"/>
    <w:tmpl w:val="77FC682C"/>
    <w:lvl w:ilvl="0" w:tplc="92DEC914">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49DD613B"/>
    <w:multiLevelType w:val="hybridMultilevel"/>
    <w:tmpl w:val="A4865078"/>
    <w:lvl w:ilvl="0" w:tplc="37D0AB00">
      <w:start w:val="1"/>
      <w:numFmt w:val="lowerRoman"/>
      <w:lvlText w:val="%1."/>
      <w:lvlJc w:val="right"/>
      <w:pPr>
        <w:tabs>
          <w:tab w:val="num" w:pos="804"/>
        </w:tabs>
        <w:ind w:left="804" w:hanging="180"/>
      </w:pPr>
      <w:rPr>
        <w:rFonts w:cs="Times New Roman" w:hint="default"/>
        <w:b w:val="0"/>
        <w:i w:val="0"/>
        <w:sz w:val="18"/>
        <w:szCs w:val="18"/>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8">
    <w:nsid w:val="54225A25"/>
    <w:multiLevelType w:val="hybridMultilevel"/>
    <w:tmpl w:val="E9BA2102"/>
    <w:lvl w:ilvl="0" w:tplc="36BE815E">
      <w:start w:val="1"/>
      <w:numFmt w:val="lowerRoman"/>
      <w:lvlText w:val="%1."/>
      <w:lvlJc w:val="right"/>
      <w:pPr>
        <w:tabs>
          <w:tab w:val="num" w:pos="804"/>
        </w:tabs>
        <w:ind w:left="804" w:hanging="180"/>
      </w:pPr>
      <w:rPr>
        <w:rFonts w:cs="Times New Roman" w:hint="default"/>
        <w:b w:val="0"/>
        <w:i w:val="0"/>
        <w:sz w:val="18"/>
        <w:szCs w:val="18"/>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
    <w:nsid w:val="547C6597"/>
    <w:multiLevelType w:val="hybridMultilevel"/>
    <w:tmpl w:val="2F32F3DE"/>
    <w:lvl w:ilvl="0" w:tplc="36BE815E">
      <w:start w:val="1"/>
      <w:numFmt w:val="lowerRoman"/>
      <w:lvlText w:val="%1."/>
      <w:lvlJc w:val="right"/>
      <w:pPr>
        <w:tabs>
          <w:tab w:val="num" w:pos="804"/>
        </w:tabs>
        <w:ind w:left="804" w:hanging="180"/>
      </w:pPr>
      <w:rPr>
        <w:rFonts w:cs="Times New Roman" w:hint="default"/>
        <w:b w:val="0"/>
        <w:i w:val="0"/>
        <w:sz w:val="18"/>
        <w:szCs w:val="18"/>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0">
    <w:nsid w:val="58282C1D"/>
    <w:multiLevelType w:val="hybridMultilevel"/>
    <w:tmpl w:val="0BC85244"/>
    <w:lvl w:ilvl="0" w:tplc="3556889A">
      <w:start w:val="1"/>
      <w:numFmt w:val="bullet"/>
      <w:lvlText w:val="-"/>
      <w:lvlJc w:val="left"/>
      <w:pPr>
        <w:ind w:left="720" w:hanging="360"/>
      </w:pPr>
      <w:rPr>
        <w:rFonts w:ascii="Tahoma" w:eastAsia="Times New Roman" w:hAnsi="Tahoma"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1122CE2"/>
    <w:multiLevelType w:val="hybridMultilevel"/>
    <w:tmpl w:val="B8D8D2E2"/>
    <w:lvl w:ilvl="0" w:tplc="FCF4BBB2">
      <w:start w:val="1"/>
      <w:numFmt w:val="lowerRoman"/>
      <w:lvlText w:val="%1."/>
      <w:lvlJc w:val="right"/>
      <w:pPr>
        <w:tabs>
          <w:tab w:val="num" w:pos="804"/>
        </w:tabs>
        <w:ind w:left="804" w:hanging="180"/>
      </w:pPr>
      <w:rPr>
        <w:rFonts w:cs="Times New Roman" w:hint="default"/>
        <w:b w:val="0"/>
        <w:i w:val="0"/>
        <w:sz w:val="18"/>
        <w:szCs w:val="18"/>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2">
    <w:nsid w:val="701B0CF9"/>
    <w:multiLevelType w:val="hybridMultilevel"/>
    <w:tmpl w:val="B8D8D2E2"/>
    <w:lvl w:ilvl="0" w:tplc="FCF4BBB2">
      <w:start w:val="1"/>
      <w:numFmt w:val="lowerRoman"/>
      <w:lvlText w:val="%1."/>
      <w:lvlJc w:val="right"/>
      <w:pPr>
        <w:tabs>
          <w:tab w:val="num" w:pos="804"/>
        </w:tabs>
        <w:ind w:left="804" w:hanging="180"/>
      </w:pPr>
      <w:rPr>
        <w:rFonts w:cs="Times New Roman" w:hint="default"/>
        <w:b w:val="0"/>
        <w:i w:val="0"/>
        <w:sz w:val="18"/>
        <w:szCs w:val="18"/>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3">
    <w:nsid w:val="7508022D"/>
    <w:multiLevelType w:val="hybridMultilevel"/>
    <w:tmpl w:val="C8C8386C"/>
    <w:lvl w:ilvl="0" w:tplc="36BE815E">
      <w:start w:val="1"/>
      <w:numFmt w:val="lowerRoman"/>
      <w:lvlText w:val="%1."/>
      <w:lvlJc w:val="right"/>
      <w:pPr>
        <w:tabs>
          <w:tab w:val="num" w:pos="804"/>
        </w:tabs>
        <w:ind w:left="804" w:hanging="180"/>
      </w:pPr>
      <w:rPr>
        <w:rFonts w:cs="Times New Roman" w:hint="default"/>
        <w:b w:val="0"/>
        <w:i w:val="0"/>
        <w:sz w:val="18"/>
        <w:szCs w:val="18"/>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4">
    <w:nsid w:val="77D319EE"/>
    <w:multiLevelType w:val="hybridMultilevel"/>
    <w:tmpl w:val="2F32F3DE"/>
    <w:lvl w:ilvl="0" w:tplc="36BE815E">
      <w:start w:val="1"/>
      <w:numFmt w:val="lowerRoman"/>
      <w:lvlText w:val="%1."/>
      <w:lvlJc w:val="right"/>
      <w:pPr>
        <w:tabs>
          <w:tab w:val="num" w:pos="804"/>
        </w:tabs>
        <w:ind w:left="804" w:hanging="180"/>
      </w:pPr>
      <w:rPr>
        <w:rFonts w:cs="Times New Roman" w:hint="default"/>
        <w:b w:val="0"/>
        <w:i w:val="0"/>
        <w:sz w:val="18"/>
        <w:szCs w:val="18"/>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5">
    <w:nsid w:val="7DF90D9E"/>
    <w:multiLevelType w:val="hybridMultilevel"/>
    <w:tmpl w:val="176270C6"/>
    <w:lvl w:ilvl="0" w:tplc="817E463C">
      <w:start w:val="1"/>
      <w:numFmt w:val="decimal"/>
      <w:suff w:val="space"/>
      <w:lvlText w:val="Tedbir %1."/>
      <w:lvlJc w:val="left"/>
      <w:pPr>
        <w:ind w:left="57"/>
      </w:pPr>
      <w:rPr>
        <w:rFonts w:ascii="Tahoma" w:hAnsi="Tahoma" w:cs="Times New Roman" w:hint="default"/>
        <w:b w:val="0"/>
        <w:i w:val="0"/>
        <w:sz w:val="16"/>
        <w:szCs w:val="16"/>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3"/>
  </w:num>
  <w:num w:numId="2">
    <w:abstractNumId w:val="10"/>
  </w:num>
  <w:num w:numId="3">
    <w:abstractNumId w:val="12"/>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5"/>
  </w:num>
  <w:num w:numId="8">
    <w:abstractNumId w:val="9"/>
  </w:num>
  <w:num w:numId="9">
    <w:abstractNumId w:val="7"/>
  </w:num>
  <w:num w:numId="10">
    <w:abstractNumId w:val="1"/>
  </w:num>
  <w:num w:numId="11">
    <w:abstractNumId w:val="11"/>
  </w:num>
  <w:num w:numId="12">
    <w:abstractNumId w:val="14"/>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2"/>
  </w:num>
  <w:num w:numId="16">
    <w:abstractNumId w:val="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1"/>
    <w:footnote w:id="0"/>
  </w:footnotePr>
  <w:endnotePr>
    <w:endnote w:id="-1"/>
    <w:endnote w:id="0"/>
  </w:endnotePr>
  <w:compat/>
  <w:rsids>
    <w:rsidRoot w:val="00553DD2"/>
    <w:rsid w:val="00002675"/>
    <w:rsid w:val="00005E2C"/>
    <w:rsid w:val="000125E0"/>
    <w:rsid w:val="00016B90"/>
    <w:rsid w:val="00023441"/>
    <w:rsid w:val="00027FCC"/>
    <w:rsid w:val="000369A2"/>
    <w:rsid w:val="00066CA7"/>
    <w:rsid w:val="00070783"/>
    <w:rsid w:val="00072B43"/>
    <w:rsid w:val="000A177A"/>
    <w:rsid w:val="000A58F2"/>
    <w:rsid w:val="000B01CF"/>
    <w:rsid w:val="000B0671"/>
    <w:rsid w:val="000B3665"/>
    <w:rsid w:val="000B62A2"/>
    <w:rsid w:val="000B6EF9"/>
    <w:rsid w:val="000C0282"/>
    <w:rsid w:val="000C1744"/>
    <w:rsid w:val="000C2CC9"/>
    <w:rsid w:val="000C3900"/>
    <w:rsid w:val="000D551C"/>
    <w:rsid w:val="000E29B2"/>
    <w:rsid w:val="000E7387"/>
    <w:rsid w:val="000F4B5F"/>
    <w:rsid w:val="000F4D1C"/>
    <w:rsid w:val="000F59E0"/>
    <w:rsid w:val="00107244"/>
    <w:rsid w:val="001320F3"/>
    <w:rsid w:val="00140F37"/>
    <w:rsid w:val="00171D07"/>
    <w:rsid w:val="00174AD4"/>
    <w:rsid w:val="00191281"/>
    <w:rsid w:val="00193638"/>
    <w:rsid w:val="00193B5D"/>
    <w:rsid w:val="001C67A3"/>
    <w:rsid w:val="001D4159"/>
    <w:rsid w:val="001E2606"/>
    <w:rsid w:val="001E3552"/>
    <w:rsid w:val="001E4BA4"/>
    <w:rsid w:val="001F58A4"/>
    <w:rsid w:val="0020778F"/>
    <w:rsid w:val="00214DE6"/>
    <w:rsid w:val="00227AB8"/>
    <w:rsid w:val="00227D8A"/>
    <w:rsid w:val="00265949"/>
    <w:rsid w:val="002673F0"/>
    <w:rsid w:val="00276593"/>
    <w:rsid w:val="00287F1D"/>
    <w:rsid w:val="002B0ACC"/>
    <w:rsid w:val="002E291B"/>
    <w:rsid w:val="002E3193"/>
    <w:rsid w:val="002E3D4D"/>
    <w:rsid w:val="00301E05"/>
    <w:rsid w:val="003061B0"/>
    <w:rsid w:val="003108D2"/>
    <w:rsid w:val="00321F59"/>
    <w:rsid w:val="00347E76"/>
    <w:rsid w:val="003604BD"/>
    <w:rsid w:val="00360556"/>
    <w:rsid w:val="00367DC3"/>
    <w:rsid w:val="003706E5"/>
    <w:rsid w:val="003802F6"/>
    <w:rsid w:val="003C0428"/>
    <w:rsid w:val="003D5847"/>
    <w:rsid w:val="003D78AE"/>
    <w:rsid w:val="003D7D78"/>
    <w:rsid w:val="003E7516"/>
    <w:rsid w:val="00430027"/>
    <w:rsid w:val="00433266"/>
    <w:rsid w:val="00433650"/>
    <w:rsid w:val="0044301A"/>
    <w:rsid w:val="00454390"/>
    <w:rsid w:val="00464C00"/>
    <w:rsid w:val="00470FC3"/>
    <w:rsid w:val="004756C6"/>
    <w:rsid w:val="0048152B"/>
    <w:rsid w:val="004A0E72"/>
    <w:rsid w:val="004C4E87"/>
    <w:rsid w:val="004D205D"/>
    <w:rsid w:val="004E34EC"/>
    <w:rsid w:val="004F0B37"/>
    <w:rsid w:val="005048DF"/>
    <w:rsid w:val="005204A6"/>
    <w:rsid w:val="00543B62"/>
    <w:rsid w:val="00553DD2"/>
    <w:rsid w:val="00560B90"/>
    <w:rsid w:val="00562290"/>
    <w:rsid w:val="005659EC"/>
    <w:rsid w:val="00565FD5"/>
    <w:rsid w:val="00583EB9"/>
    <w:rsid w:val="005E3BA2"/>
    <w:rsid w:val="005F2257"/>
    <w:rsid w:val="005F3296"/>
    <w:rsid w:val="005F432F"/>
    <w:rsid w:val="005F7C7A"/>
    <w:rsid w:val="00600440"/>
    <w:rsid w:val="0060198D"/>
    <w:rsid w:val="00602475"/>
    <w:rsid w:val="006044C1"/>
    <w:rsid w:val="00614312"/>
    <w:rsid w:val="006241F8"/>
    <w:rsid w:val="00627628"/>
    <w:rsid w:val="00635DD5"/>
    <w:rsid w:val="006415B4"/>
    <w:rsid w:val="006477EE"/>
    <w:rsid w:val="00653C6B"/>
    <w:rsid w:val="00696AEB"/>
    <w:rsid w:val="006A2899"/>
    <w:rsid w:val="006B1197"/>
    <w:rsid w:val="006D1349"/>
    <w:rsid w:val="006D3365"/>
    <w:rsid w:val="006E2913"/>
    <w:rsid w:val="006E69E8"/>
    <w:rsid w:val="006F4FCB"/>
    <w:rsid w:val="007124C5"/>
    <w:rsid w:val="00716CA8"/>
    <w:rsid w:val="00723DE2"/>
    <w:rsid w:val="00736ACD"/>
    <w:rsid w:val="00746DB5"/>
    <w:rsid w:val="00756AE6"/>
    <w:rsid w:val="00757B0B"/>
    <w:rsid w:val="007616B2"/>
    <w:rsid w:val="007735F2"/>
    <w:rsid w:val="00780E1E"/>
    <w:rsid w:val="00786031"/>
    <w:rsid w:val="007B2A83"/>
    <w:rsid w:val="007D05A8"/>
    <w:rsid w:val="007D3A13"/>
    <w:rsid w:val="007D49FC"/>
    <w:rsid w:val="007D5AEE"/>
    <w:rsid w:val="007F3656"/>
    <w:rsid w:val="00801527"/>
    <w:rsid w:val="008323BF"/>
    <w:rsid w:val="008339D6"/>
    <w:rsid w:val="008459A1"/>
    <w:rsid w:val="008628D5"/>
    <w:rsid w:val="00871579"/>
    <w:rsid w:val="008A02E9"/>
    <w:rsid w:val="008A2F1C"/>
    <w:rsid w:val="008A355A"/>
    <w:rsid w:val="008B1207"/>
    <w:rsid w:val="008C1EF5"/>
    <w:rsid w:val="008D5F14"/>
    <w:rsid w:val="008D6E95"/>
    <w:rsid w:val="008F147E"/>
    <w:rsid w:val="00910531"/>
    <w:rsid w:val="00910ABC"/>
    <w:rsid w:val="00913002"/>
    <w:rsid w:val="00921161"/>
    <w:rsid w:val="00935012"/>
    <w:rsid w:val="009357F0"/>
    <w:rsid w:val="00946D0D"/>
    <w:rsid w:val="00951574"/>
    <w:rsid w:val="00960BDA"/>
    <w:rsid w:val="009729EE"/>
    <w:rsid w:val="00973BD5"/>
    <w:rsid w:val="00984D22"/>
    <w:rsid w:val="00985F05"/>
    <w:rsid w:val="009A3F85"/>
    <w:rsid w:val="009A6044"/>
    <w:rsid w:val="009B11DF"/>
    <w:rsid w:val="009B4354"/>
    <w:rsid w:val="009C7909"/>
    <w:rsid w:val="009E07FA"/>
    <w:rsid w:val="009F4A7B"/>
    <w:rsid w:val="00A34026"/>
    <w:rsid w:val="00A36600"/>
    <w:rsid w:val="00A402CF"/>
    <w:rsid w:val="00A61EC0"/>
    <w:rsid w:val="00A724C5"/>
    <w:rsid w:val="00A73CD3"/>
    <w:rsid w:val="00A77DDB"/>
    <w:rsid w:val="00A8408E"/>
    <w:rsid w:val="00A924C1"/>
    <w:rsid w:val="00AA3AED"/>
    <w:rsid w:val="00AC66E2"/>
    <w:rsid w:val="00AD42C3"/>
    <w:rsid w:val="00AE44C4"/>
    <w:rsid w:val="00AF0ED2"/>
    <w:rsid w:val="00B0678C"/>
    <w:rsid w:val="00B14E0E"/>
    <w:rsid w:val="00B15A16"/>
    <w:rsid w:val="00B164B0"/>
    <w:rsid w:val="00B34093"/>
    <w:rsid w:val="00B35E9D"/>
    <w:rsid w:val="00B3603A"/>
    <w:rsid w:val="00B60D3F"/>
    <w:rsid w:val="00B861C0"/>
    <w:rsid w:val="00BA33FB"/>
    <w:rsid w:val="00BA73C0"/>
    <w:rsid w:val="00BB5601"/>
    <w:rsid w:val="00BB7BD5"/>
    <w:rsid w:val="00BC2896"/>
    <w:rsid w:val="00BD075F"/>
    <w:rsid w:val="00BD25BC"/>
    <w:rsid w:val="00BD6D9D"/>
    <w:rsid w:val="00BE0641"/>
    <w:rsid w:val="00BE27F2"/>
    <w:rsid w:val="00BE7426"/>
    <w:rsid w:val="00BF0554"/>
    <w:rsid w:val="00BF368F"/>
    <w:rsid w:val="00C11232"/>
    <w:rsid w:val="00C21E41"/>
    <w:rsid w:val="00C32A52"/>
    <w:rsid w:val="00C5467E"/>
    <w:rsid w:val="00C907F5"/>
    <w:rsid w:val="00CA33F0"/>
    <w:rsid w:val="00CA5EAC"/>
    <w:rsid w:val="00CB2A21"/>
    <w:rsid w:val="00CB5187"/>
    <w:rsid w:val="00CD1C13"/>
    <w:rsid w:val="00CD3904"/>
    <w:rsid w:val="00CE21BA"/>
    <w:rsid w:val="00CF07CA"/>
    <w:rsid w:val="00CF2D7A"/>
    <w:rsid w:val="00D13A87"/>
    <w:rsid w:val="00D20AC6"/>
    <w:rsid w:val="00D20FC8"/>
    <w:rsid w:val="00D31912"/>
    <w:rsid w:val="00D439D6"/>
    <w:rsid w:val="00D60BF5"/>
    <w:rsid w:val="00D65D15"/>
    <w:rsid w:val="00D736B6"/>
    <w:rsid w:val="00D8137C"/>
    <w:rsid w:val="00D81860"/>
    <w:rsid w:val="00D81C58"/>
    <w:rsid w:val="00D83281"/>
    <w:rsid w:val="00D97A3C"/>
    <w:rsid w:val="00DB4F85"/>
    <w:rsid w:val="00DB51D0"/>
    <w:rsid w:val="00DB6A3C"/>
    <w:rsid w:val="00DC00AC"/>
    <w:rsid w:val="00DC33CA"/>
    <w:rsid w:val="00DD3631"/>
    <w:rsid w:val="00E0054F"/>
    <w:rsid w:val="00E04371"/>
    <w:rsid w:val="00E15B50"/>
    <w:rsid w:val="00E27B2A"/>
    <w:rsid w:val="00E30BEE"/>
    <w:rsid w:val="00E43105"/>
    <w:rsid w:val="00E471B6"/>
    <w:rsid w:val="00E52155"/>
    <w:rsid w:val="00E55223"/>
    <w:rsid w:val="00E618AB"/>
    <w:rsid w:val="00E7795B"/>
    <w:rsid w:val="00EB1E69"/>
    <w:rsid w:val="00EB3A44"/>
    <w:rsid w:val="00ED35F8"/>
    <w:rsid w:val="00ED3CF3"/>
    <w:rsid w:val="00ED523B"/>
    <w:rsid w:val="00EE7054"/>
    <w:rsid w:val="00EE77AB"/>
    <w:rsid w:val="00F01175"/>
    <w:rsid w:val="00F02AC3"/>
    <w:rsid w:val="00F03A55"/>
    <w:rsid w:val="00F14607"/>
    <w:rsid w:val="00F17BB7"/>
    <w:rsid w:val="00F43558"/>
    <w:rsid w:val="00F51D60"/>
    <w:rsid w:val="00F60837"/>
    <w:rsid w:val="00F77306"/>
    <w:rsid w:val="00F804AF"/>
    <w:rsid w:val="00F840B6"/>
    <w:rsid w:val="00F91DDC"/>
    <w:rsid w:val="00F966C0"/>
    <w:rsid w:val="00FB4A80"/>
    <w:rsid w:val="00FB6AA4"/>
    <w:rsid w:val="00FC3C02"/>
    <w:rsid w:val="00FF13B7"/>
    <w:rsid w:val="00FF1ABD"/>
    <w:rsid w:val="00FF407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9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627628"/>
  </w:style>
  <w:style w:type="paragraph" w:styleId="Balk1">
    <w:name w:val="heading 1"/>
    <w:basedOn w:val="Normal"/>
    <w:next w:val="Normal"/>
    <w:link w:val="Balk1Char"/>
    <w:uiPriority w:val="99"/>
    <w:qFormat/>
    <w:rsid w:val="00E471B6"/>
    <w:pPr>
      <w:keepNext/>
      <w:spacing w:before="240" w:after="60" w:line="240" w:lineRule="auto"/>
      <w:outlineLvl w:val="0"/>
    </w:pPr>
    <w:rPr>
      <w:rFonts w:ascii="Arial" w:eastAsiaTheme="minorEastAsia" w:hAnsi="Arial" w:cs="Arial"/>
      <w:b/>
      <w:bCs/>
      <w:kern w:val="32"/>
      <w:sz w:val="32"/>
      <w:szCs w:val="32"/>
      <w:lang w:eastAsia="tr-TR"/>
    </w:rPr>
  </w:style>
  <w:style w:type="paragraph" w:styleId="Balk2">
    <w:name w:val="heading 2"/>
    <w:basedOn w:val="Normal"/>
    <w:next w:val="Normal"/>
    <w:link w:val="Balk2Char"/>
    <w:uiPriority w:val="99"/>
    <w:unhideWhenUsed/>
    <w:qFormat/>
    <w:rsid w:val="000A17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9"/>
    <w:qFormat/>
    <w:rsid w:val="000E7387"/>
    <w:pPr>
      <w:keepNext/>
      <w:spacing w:after="0" w:line="240" w:lineRule="auto"/>
      <w:jc w:val="center"/>
      <w:outlineLvl w:val="2"/>
    </w:pPr>
    <w:rPr>
      <w:rFonts w:ascii="Times New Roman" w:eastAsia="Times New Roman" w:hAnsi="Times New Roman" w:cs="Times New Roman"/>
      <w:b/>
      <w:sz w:val="24"/>
      <w:szCs w:val="24"/>
      <w:lang w:eastAsia="tr-TR"/>
    </w:rPr>
  </w:style>
  <w:style w:type="paragraph" w:styleId="Balk4">
    <w:name w:val="heading 4"/>
    <w:basedOn w:val="Normal"/>
    <w:next w:val="Normal"/>
    <w:link w:val="Balk4Char"/>
    <w:uiPriority w:val="99"/>
    <w:unhideWhenUsed/>
    <w:qFormat/>
    <w:rsid w:val="000A177A"/>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9"/>
    <w:unhideWhenUsed/>
    <w:qFormat/>
    <w:rsid w:val="000A177A"/>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9"/>
    <w:qFormat/>
    <w:rsid w:val="000E7387"/>
    <w:pPr>
      <w:keepNext/>
      <w:spacing w:after="0" w:line="240" w:lineRule="auto"/>
      <w:ind w:firstLine="720"/>
      <w:jc w:val="both"/>
      <w:outlineLvl w:val="5"/>
    </w:pPr>
    <w:rPr>
      <w:rFonts w:ascii="Times New Roman" w:eastAsia="Times New Roman" w:hAnsi="Times New Roman" w:cs="Times New Roman"/>
      <w:b/>
      <w:bCs/>
      <w:sz w:val="24"/>
      <w:szCs w:val="24"/>
      <w:lang w:eastAsia="tr-TR"/>
    </w:rPr>
  </w:style>
  <w:style w:type="paragraph" w:styleId="Balk7">
    <w:name w:val="heading 7"/>
    <w:basedOn w:val="Normal"/>
    <w:next w:val="Normal"/>
    <w:link w:val="Balk7Char"/>
    <w:uiPriority w:val="99"/>
    <w:unhideWhenUsed/>
    <w:qFormat/>
    <w:rsid w:val="00EE705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9"/>
    <w:qFormat/>
    <w:rsid w:val="00565FD5"/>
    <w:pPr>
      <w:tabs>
        <w:tab w:val="left" w:pos="425"/>
      </w:tabs>
      <w:spacing w:after="240" w:line="240" w:lineRule="auto"/>
      <w:ind w:firstLine="567"/>
      <w:jc w:val="both"/>
      <w:outlineLvl w:val="7"/>
    </w:pPr>
    <w:rPr>
      <w:rFonts w:ascii="Tahoma" w:eastAsia="Times New Roman" w:hAnsi="Tahoma" w:cs="Times New Roman"/>
      <w:b/>
      <w:szCs w:val="20"/>
    </w:rPr>
  </w:style>
  <w:style w:type="paragraph" w:styleId="Balk9">
    <w:name w:val="heading 9"/>
    <w:basedOn w:val="Normal"/>
    <w:next w:val="Normal"/>
    <w:link w:val="Balk9Char"/>
    <w:uiPriority w:val="99"/>
    <w:unhideWhenUsed/>
    <w:qFormat/>
    <w:rsid w:val="000A177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link w:val="NormalWebChar"/>
    <w:uiPriority w:val="99"/>
    <w:unhideWhenUsed/>
    <w:rsid w:val="00553DD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2-OrtaBaslk">
    <w:name w:val="2-Orta Baslık"/>
    <w:rsid w:val="00553DD2"/>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uiPriority w:val="99"/>
    <w:rsid w:val="00553DD2"/>
    <w:pPr>
      <w:tabs>
        <w:tab w:val="left" w:pos="566"/>
      </w:tabs>
      <w:spacing w:after="0" w:line="240" w:lineRule="auto"/>
      <w:jc w:val="both"/>
    </w:pPr>
    <w:rPr>
      <w:rFonts w:ascii="Times New Roman" w:eastAsia="Times New Roman" w:hAnsi="Times New Roman" w:cs="Times New Roman"/>
      <w:sz w:val="19"/>
      <w:szCs w:val="20"/>
    </w:rPr>
  </w:style>
  <w:style w:type="paragraph" w:customStyle="1" w:styleId="1-Baslk">
    <w:name w:val="1-Baslık"/>
    <w:rsid w:val="00553DD2"/>
    <w:pPr>
      <w:tabs>
        <w:tab w:val="left" w:pos="566"/>
      </w:tabs>
      <w:spacing w:after="0" w:line="240" w:lineRule="auto"/>
    </w:pPr>
    <w:rPr>
      <w:rFonts w:ascii="Times New Roman" w:eastAsia="Times New Roman" w:hAnsi="Times New Roman" w:cs="Times New Roman"/>
      <w:szCs w:val="20"/>
      <w:u w:val="single"/>
    </w:rPr>
  </w:style>
  <w:style w:type="character" w:customStyle="1" w:styleId="Balk3Char">
    <w:name w:val="Başlık 3 Char"/>
    <w:basedOn w:val="VarsaylanParagrafYazTipi"/>
    <w:link w:val="Balk3"/>
    <w:uiPriority w:val="99"/>
    <w:rsid w:val="000E7387"/>
    <w:rPr>
      <w:rFonts w:ascii="Times New Roman" w:eastAsia="Times New Roman" w:hAnsi="Times New Roman" w:cs="Times New Roman"/>
      <w:b/>
      <w:sz w:val="24"/>
      <w:szCs w:val="24"/>
      <w:lang w:eastAsia="tr-TR"/>
    </w:rPr>
  </w:style>
  <w:style w:type="character" w:customStyle="1" w:styleId="Balk6Char">
    <w:name w:val="Başlık 6 Char"/>
    <w:basedOn w:val="VarsaylanParagrafYazTipi"/>
    <w:link w:val="Balk6"/>
    <w:uiPriority w:val="99"/>
    <w:rsid w:val="000E7387"/>
    <w:rPr>
      <w:rFonts w:ascii="Times New Roman" w:eastAsia="Times New Roman" w:hAnsi="Times New Roman" w:cs="Times New Roman"/>
      <w:b/>
      <w:bCs/>
      <w:sz w:val="24"/>
      <w:szCs w:val="24"/>
      <w:lang w:eastAsia="tr-TR"/>
    </w:rPr>
  </w:style>
  <w:style w:type="character" w:styleId="Kpr">
    <w:name w:val="Hyperlink"/>
    <w:basedOn w:val="VarsaylanParagrafYazTipi"/>
    <w:uiPriority w:val="99"/>
    <w:unhideWhenUsed/>
    <w:rsid w:val="000E7387"/>
    <w:rPr>
      <w:color w:val="0000FF"/>
      <w:u w:val="single"/>
    </w:rPr>
  </w:style>
  <w:style w:type="paragraph" w:styleId="Altbilgi">
    <w:name w:val="footer"/>
    <w:basedOn w:val="Normal"/>
    <w:link w:val="AltbilgiChar"/>
    <w:uiPriority w:val="99"/>
    <w:unhideWhenUsed/>
    <w:rsid w:val="000E7387"/>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0E7387"/>
    <w:rPr>
      <w:rFonts w:ascii="Times New Roman" w:eastAsia="Times New Roman" w:hAnsi="Times New Roman" w:cs="Times New Roman"/>
      <w:sz w:val="24"/>
      <w:szCs w:val="24"/>
      <w:lang w:eastAsia="tr-TR"/>
    </w:rPr>
  </w:style>
  <w:style w:type="paragraph" w:styleId="GvdeMetni">
    <w:name w:val="Body Text"/>
    <w:aliases w:val="bt Char Char Char Char Char,bt,Body Text Char2,Body Text Char1 Char,Body Text Char Char1 Char,Body Text Char Char2,Body Text Char Char2 Char Char,Body Text Char2 Char,Body Text Char1 Char Char,Body Text Char Char1 Char Char Char Char Char"/>
    <w:basedOn w:val="Normal"/>
    <w:link w:val="GvdeMetniChar"/>
    <w:uiPriority w:val="99"/>
    <w:unhideWhenUsed/>
    <w:rsid w:val="000E7387"/>
    <w:pPr>
      <w:spacing w:after="0" w:line="240" w:lineRule="auto"/>
      <w:jc w:val="both"/>
    </w:pPr>
    <w:rPr>
      <w:rFonts w:ascii="Tahoma" w:eastAsia="Times New Roman" w:hAnsi="Tahoma" w:cs="Times New Roman"/>
      <w:szCs w:val="20"/>
      <w:lang w:eastAsia="tr-TR"/>
    </w:rPr>
  </w:style>
  <w:style w:type="character" w:customStyle="1" w:styleId="GvdeMetniChar">
    <w:name w:val="Gövde Metni Char"/>
    <w:aliases w:val="bt Char Char Char Char Char Char,bt Char,Body Text Char2 Char1,Body Text Char1 Char Char1,Body Text Char Char1 Char Char,Body Text Char Char2 Char,Body Text Char Char2 Char Char Char,Body Text Char2 Char Char"/>
    <w:basedOn w:val="VarsaylanParagrafYazTipi"/>
    <w:link w:val="GvdeMetni"/>
    <w:uiPriority w:val="99"/>
    <w:rsid w:val="000E7387"/>
    <w:rPr>
      <w:rFonts w:ascii="Tahoma" w:eastAsia="Times New Roman" w:hAnsi="Tahoma" w:cs="Times New Roman"/>
      <w:szCs w:val="20"/>
      <w:lang w:eastAsia="tr-TR"/>
    </w:rPr>
  </w:style>
  <w:style w:type="character" w:customStyle="1" w:styleId="Normal1">
    <w:name w:val="Normal1"/>
    <w:uiPriority w:val="99"/>
    <w:rsid w:val="00140F37"/>
    <w:rPr>
      <w:rFonts w:ascii="Times New Roman" w:eastAsia="Times New Roman" w:hAnsi="Times New Roman" w:cs="Times New Roman" w:hint="default"/>
      <w:noProof w:val="0"/>
      <w:sz w:val="24"/>
      <w:lang w:val="en-GB"/>
    </w:rPr>
  </w:style>
  <w:style w:type="character" w:customStyle="1" w:styleId="gvdemetni0">
    <w:name w:val="gvdemetni"/>
    <w:basedOn w:val="VarsaylanParagrafYazTipi"/>
    <w:rsid w:val="001F58A4"/>
  </w:style>
  <w:style w:type="character" w:customStyle="1" w:styleId="Balk1Char">
    <w:name w:val="Başlık 1 Char"/>
    <w:basedOn w:val="VarsaylanParagrafYazTipi"/>
    <w:link w:val="Balk1"/>
    <w:uiPriority w:val="99"/>
    <w:rsid w:val="00E471B6"/>
    <w:rPr>
      <w:rFonts w:ascii="Arial" w:eastAsiaTheme="minorEastAsia" w:hAnsi="Arial" w:cs="Arial"/>
      <w:b/>
      <w:bCs/>
      <w:kern w:val="32"/>
      <w:sz w:val="32"/>
      <w:szCs w:val="32"/>
      <w:lang w:eastAsia="tr-TR"/>
    </w:rPr>
  </w:style>
  <w:style w:type="character" w:styleId="zlenenKpr">
    <w:name w:val="FollowedHyperlink"/>
    <w:basedOn w:val="VarsaylanParagrafYazTipi"/>
    <w:uiPriority w:val="99"/>
    <w:semiHidden/>
    <w:unhideWhenUsed/>
    <w:rsid w:val="00E471B6"/>
    <w:rPr>
      <w:color w:val="800080"/>
      <w:u w:val="single"/>
    </w:rPr>
  </w:style>
  <w:style w:type="paragraph" w:customStyle="1" w:styleId="msoplantext">
    <w:name w:val="msoplaıntext"/>
    <w:basedOn w:val="Normal"/>
    <w:rsid w:val="00E471B6"/>
    <w:pPr>
      <w:spacing w:after="0" w:line="240" w:lineRule="auto"/>
    </w:pPr>
    <w:rPr>
      <w:rFonts w:ascii="Courier New" w:eastAsia="Times New Roman" w:hAnsi="Courier New" w:cs="Times New Roman"/>
      <w:sz w:val="20"/>
      <w:szCs w:val="20"/>
      <w:lang w:eastAsia="tr-TR"/>
    </w:rPr>
  </w:style>
  <w:style w:type="character" w:customStyle="1" w:styleId="msohyperlnk">
    <w:name w:val="msohyperlınk"/>
    <w:basedOn w:val="VarsaylanParagrafYazTipi"/>
    <w:rsid w:val="00E471B6"/>
    <w:rPr>
      <w:color w:val="0000FF"/>
      <w:u w:val="single"/>
    </w:rPr>
  </w:style>
  <w:style w:type="character" w:customStyle="1" w:styleId="msohyperlnkfollowed">
    <w:name w:val="msohyperlınkfollowed"/>
    <w:basedOn w:val="VarsaylanParagrafYazTipi"/>
    <w:rsid w:val="00E471B6"/>
    <w:rPr>
      <w:color w:val="800080"/>
      <w:u w:val="single"/>
    </w:rPr>
  </w:style>
  <w:style w:type="paragraph" w:styleId="BalonMetni">
    <w:name w:val="Balloon Text"/>
    <w:basedOn w:val="Normal"/>
    <w:link w:val="BalonMetniChar"/>
    <w:uiPriority w:val="99"/>
    <w:unhideWhenUsed/>
    <w:rsid w:val="009F4A7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9F4A7B"/>
    <w:rPr>
      <w:rFonts w:ascii="Tahoma" w:hAnsi="Tahoma" w:cs="Tahoma"/>
      <w:sz w:val="16"/>
      <w:szCs w:val="16"/>
    </w:rPr>
  </w:style>
  <w:style w:type="character" w:customStyle="1" w:styleId="Balk2Char">
    <w:name w:val="Başlık 2 Char"/>
    <w:basedOn w:val="VarsaylanParagrafYazTipi"/>
    <w:link w:val="Balk2"/>
    <w:uiPriority w:val="99"/>
    <w:rsid w:val="000A177A"/>
    <w:rPr>
      <w:rFonts w:asciiTheme="majorHAnsi" w:eastAsiaTheme="majorEastAsia" w:hAnsiTheme="majorHAnsi" w:cstheme="majorBidi"/>
      <w:b/>
      <w:bCs/>
      <w:color w:val="4F81BD" w:themeColor="accent1"/>
      <w:sz w:val="26"/>
      <w:szCs w:val="26"/>
    </w:rPr>
  </w:style>
  <w:style w:type="character" w:customStyle="1" w:styleId="Balk4Char">
    <w:name w:val="Başlık 4 Char"/>
    <w:basedOn w:val="VarsaylanParagrafYazTipi"/>
    <w:link w:val="Balk4"/>
    <w:uiPriority w:val="99"/>
    <w:rsid w:val="000A177A"/>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9"/>
    <w:rsid w:val="000A177A"/>
    <w:rPr>
      <w:rFonts w:asciiTheme="majorHAnsi" w:eastAsiaTheme="majorEastAsia" w:hAnsiTheme="majorHAnsi" w:cstheme="majorBidi"/>
      <w:color w:val="243F60" w:themeColor="accent1" w:themeShade="7F"/>
    </w:rPr>
  </w:style>
  <w:style w:type="character" w:customStyle="1" w:styleId="Balk9Char">
    <w:name w:val="Başlık 9 Char"/>
    <w:basedOn w:val="VarsaylanParagrafYazTipi"/>
    <w:link w:val="Balk9"/>
    <w:uiPriority w:val="99"/>
    <w:rsid w:val="000A177A"/>
    <w:rPr>
      <w:rFonts w:asciiTheme="majorHAnsi" w:eastAsiaTheme="majorEastAsia" w:hAnsiTheme="majorHAnsi" w:cstheme="majorBidi"/>
      <w:i/>
      <w:iCs/>
      <w:color w:val="404040" w:themeColor="text1" w:themeTint="BF"/>
      <w:sz w:val="20"/>
      <w:szCs w:val="20"/>
    </w:rPr>
  </w:style>
  <w:style w:type="paragraph" w:styleId="GvdeMetniGirintisi">
    <w:name w:val="Body Text Indent"/>
    <w:aliases w:val="Char"/>
    <w:basedOn w:val="Normal"/>
    <w:link w:val="GvdeMetniGirintisiChar"/>
    <w:uiPriority w:val="99"/>
    <w:unhideWhenUsed/>
    <w:rsid w:val="000A177A"/>
    <w:pPr>
      <w:spacing w:after="120" w:line="240" w:lineRule="auto"/>
      <w:ind w:left="283"/>
    </w:pPr>
    <w:rPr>
      <w:rFonts w:ascii="Times New Roman" w:eastAsia="Times New Roman" w:hAnsi="Times New Roman" w:cs="Times New Roman"/>
      <w:sz w:val="24"/>
      <w:szCs w:val="24"/>
      <w:lang w:eastAsia="tr-TR"/>
    </w:rPr>
  </w:style>
  <w:style w:type="character" w:customStyle="1" w:styleId="GvdeMetniGirintisiChar">
    <w:name w:val="Gövde Metni Girintisi Char"/>
    <w:aliases w:val="Char Char"/>
    <w:basedOn w:val="VarsaylanParagrafYazTipi"/>
    <w:link w:val="GvdeMetniGirintisi"/>
    <w:uiPriority w:val="99"/>
    <w:rsid w:val="000A177A"/>
    <w:rPr>
      <w:rFonts w:ascii="Times New Roman" w:eastAsia="Times New Roman" w:hAnsi="Times New Roman" w:cs="Times New Roman"/>
      <w:sz w:val="24"/>
      <w:szCs w:val="24"/>
      <w:lang w:eastAsia="tr-TR"/>
    </w:rPr>
  </w:style>
  <w:style w:type="paragraph" w:styleId="GvdeMetni3">
    <w:name w:val="Body Text 3"/>
    <w:basedOn w:val="Normal"/>
    <w:link w:val="GvdeMetni3Char"/>
    <w:uiPriority w:val="99"/>
    <w:semiHidden/>
    <w:unhideWhenUsed/>
    <w:rsid w:val="000A177A"/>
    <w:pPr>
      <w:spacing w:after="120" w:line="240" w:lineRule="auto"/>
    </w:pPr>
    <w:rPr>
      <w:rFonts w:ascii="Times New Roman" w:eastAsia="Times New Roman" w:hAnsi="Times New Roman" w:cs="Times New Roman"/>
      <w:sz w:val="16"/>
      <w:szCs w:val="16"/>
      <w:lang w:eastAsia="tr-TR"/>
    </w:rPr>
  </w:style>
  <w:style w:type="character" w:customStyle="1" w:styleId="GvdeMetni3Char">
    <w:name w:val="Gövde Metni 3 Char"/>
    <w:basedOn w:val="VarsaylanParagrafYazTipi"/>
    <w:link w:val="GvdeMetni3"/>
    <w:uiPriority w:val="99"/>
    <w:semiHidden/>
    <w:rsid w:val="000A177A"/>
    <w:rPr>
      <w:rFonts w:ascii="Times New Roman" w:eastAsia="Times New Roman" w:hAnsi="Times New Roman" w:cs="Times New Roman"/>
      <w:sz w:val="16"/>
      <w:szCs w:val="16"/>
      <w:lang w:eastAsia="tr-TR"/>
    </w:rPr>
  </w:style>
  <w:style w:type="paragraph" w:styleId="GvdeMetniGirintisi3">
    <w:name w:val="Body Text Indent 3"/>
    <w:basedOn w:val="Normal"/>
    <w:link w:val="GvdeMetniGirintisi3Char"/>
    <w:uiPriority w:val="99"/>
    <w:semiHidden/>
    <w:unhideWhenUsed/>
    <w:rsid w:val="000A177A"/>
    <w:pPr>
      <w:spacing w:after="120" w:line="240" w:lineRule="auto"/>
      <w:ind w:left="283"/>
    </w:pPr>
    <w:rPr>
      <w:rFonts w:ascii="Times New Roman" w:eastAsia="Times New Roman" w:hAnsi="Times New Roman" w:cs="Times New Roman"/>
      <w:sz w:val="16"/>
      <w:szCs w:val="16"/>
      <w:lang w:eastAsia="tr-TR"/>
    </w:rPr>
  </w:style>
  <w:style w:type="character" w:customStyle="1" w:styleId="GvdeMetniGirintisi3Char">
    <w:name w:val="Gövde Metni Girintisi 3 Char"/>
    <w:basedOn w:val="VarsaylanParagrafYazTipi"/>
    <w:link w:val="GvdeMetniGirintisi3"/>
    <w:uiPriority w:val="99"/>
    <w:semiHidden/>
    <w:rsid w:val="000A177A"/>
    <w:rPr>
      <w:rFonts w:ascii="Times New Roman" w:eastAsia="Times New Roman" w:hAnsi="Times New Roman" w:cs="Times New Roman"/>
      <w:sz w:val="16"/>
      <w:szCs w:val="16"/>
      <w:lang w:eastAsia="tr-TR"/>
    </w:rPr>
  </w:style>
  <w:style w:type="table" w:styleId="TabloKlavuzu">
    <w:name w:val="Table Grid"/>
    <w:basedOn w:val="NormalTablo"/>
    <w:uiPriority w:val="99"/>
    <w:rsid w:val="000B6EF9"/>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1"/>
    <w:uiPriority w:val="99"/>
    <w:unhideWhenUsed/>
    <w:rsid w:val="00470FC3"/>
    <w:pPr>
      <w:tabs>
        <w:tab w:val="center" w:pos="4536"/>
        <w:tab w:val="right" w:pos="9072"/>
      </w:tabs>
    </w:pPr>
    <w:rPr>
      <w:rFonts w:ascii="Times New Roman" w:eastAsia="Times New Roman" w:hAnsi="Times New Roman" w:cs="Times New Roman"/>
      <w:sz w:val="24"/>
    </w:rPr>
  </w:style>
  <w:style w:type="character" w:customStyle="1" w:styleId="stbilgiChar">
    <w:name w:val="Üstbilgi Char"/>
    <w:basedOn w:val="VarsaylanParagrafYazTipi"/>
    <w:link w:val="stbilgi"/>
    <w:uiPriority w:val="99"/>
    <w:rsid w:val="00470FC3"/>
  </w:style>
  <w:style w:type="paragraph" w:customStyle="1" w:styleId="Default">
    <w:name w:val="Default"/>
    <w:uiPriority w:val="99"/>
    <w:rsid w:val="00470FC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3">
    <w:name w:val="Char Char3"/>
    <w:basedOn w:val="Normal"/>
    <w:rsid w:val="00470FC3"/>
    <w:pPr>
      <w:spacing w:after="160" w:line="240" w:lineRule="exact"/>
    </w:pPr>
    <w:rPr>
      <w:rFonts w:ascii="Arial" w:eastAsia="Times New Roman" w:hAnsi="Arial" w:cs="Times New Roman"/>
      <w:kern w:val="16"/>
      <w:sz w:val="20"/>
      <w:szCs w:val="20"/>
      <w:lang w:val="en-US"/>
    </w:rPr>
  </w:style>
  <w:style w:type="paragraph" w:styleId="AralkYok">
    <w:name w:val="No Spacing"/>
    <w:uiPriority w:val="99"/>
    <w:qFormat/>
    <w:rsid w:val="00470FC3"/>
    <w:pPr>
      <w:spacing w:after="0" w:line="240" w:lineRule="auto"/>
    </w:pPr>
    <w:rPr>
      <w:rFonts w:ascii="Calibri" w:eastAsia="Calibri" w:hAnsi="Calibri" w:cs="Times New Roman"/>
    </w:rPr>
  </w:style>
  <w:style w:type="paragraph" w:styleId="ListeParagraf">
    <w:name w:val="List Paragraph"/>
    <w:basedOn w:val="Normal"/>
    <w:uiPriority w:val="99"/>
    <w:qFormat/>
    <w:rsid w:val="00470FC3"/>
    <w:pPr>
      <w:ind w:left="720"/>
      <w:contextualSpacing/>
    </w:pPr>
    <w:rPr>
      <w:rFonts w:ascii="Calibri" w:eastAsia="Calibri" w:hAnsi="Calibri" w:cs="Times New Roman"/>
    </w:rPr>
  </w:style>
  <w:style w:type="character" w:customStyle="1" w:styleId="stbilgiChar1">
    <w:name w:val="Üstbilgi Char1"/>
    <w:link w:val="stbilgi"/>
    <w:uiPriority w:val="99"/>
    <w:semiHidden/>
    <w:locked/>
    <w:rsid w:val="00470FC3"/>
    <w:rPr>
      <w:rFonts w:ascii="Times New Roman" w:eastAsia="Times New Roman" w:hAnsi="Times New Roman" w:cs="Times New Roman"/>
      <w:sz w:val="24"/>
    </w:rPr>
  </w:style>
  <w:style w:type="character" w:customStyle="1" w:styleId="AltbilgiChar1">
    <w:name w:val="Altbilgi Char1"/>
    <w:uiPriority w:val="99"/>
    <w:semiHidden/>
    <w:locked/>
    <w:rsid w:val="00470FC3"/>
    <w:rPr>
      <w:rFonts w:ascii="Times New Roman" w:eastAsia="Times New Roman" w:hAnsi="Times New Roman" w:cs="Times New Roman"/>
      <w:sz w:val="24"/>
    </w:rPr>
  </w:style>
  <w:style w:type="character" w:customStyle="1" w:styleId="GvdeMetniGirintisiChar1">
    <w:name w:val="Gövde Metni Girintisi Char1"/>
    <w:aliases w:val="Char Char6"/>
    <w:uiPriority w:val="99"/>
    <w:semiHidden/>
    <w:locked/>
    <w:rsid w:val="00470FC3"/>
    <w:rPr>
      <w:rFonts w:ascii="Times New Roman" w:eastAsia="Times New Roman" w:hAnsi="Times New Roman" w:cs="Times New Roman"/>
      <w:sz w:val="24"/>
      <w:szCs w:val="24"/>
      <w:lang w:eastAsia="tr-TR"/>
    </w:rPr>
  </w:style>
  <w:style w:type="character" w:customStyle="1" w:styleId="Balk7Char">
    <w:name w:val="Başlık 7 Char"/>
    <w:basedOn w:val="VarsaylanParagrafYazTipi"/>
    <w:link w:val="Balk7"/>
    <w:uiPriority w:val="99"/>
    <w:rsid w:val="00EE7054"/>
    <w:rPr>
      <w:rFonts w:asciiTheme="majorHAnsi" w:eastAsiaTheme="majorEastAsia" w:hAnsiTheme="majorHAnsi" w:cstheme="majorBidi"/>
      <w:i/>
      <w:iCs/>
      <w:color w:val="404040" w:themeColor="text1" w:themeTint="BF"/>
    </w:rPr>
  </w:style>
  <w:style w:type="paragraph" w:styleId="T1">
    <w:name w:val="toc 1"/>
    <w:basedOn w:val="Normal"/>
    <w:next w:val="Normal"/>
    <w:autoRedefine/>
    <w:uiPriority w:val="99"/>
    <w:unhideWhenUsed/>
    <w:rsid w:val="008A355A"/>
    <w:rPr>
      <w:rFonts w:ascii="Calibri" w:eastAsia="Calibri" w:hAnsi="Calibri" w:cs="Times New Roman"/>
    </w:rPr>
  </w:style>
  <w:style w:type="paragraph" w:styleId="AklamaMetni">
    <w:name w:val="annotation text"/>
    <w:aliases w:val="Body Text Indent Char2,Char Char1,Char Char2 Char Char"/>
    <w:basedOn w:val="Normal"/>
    <w:link w:val="AklamaMetniChar1"/>
    <w:uiPriority w:val="99"/>
    <w:unhideWhenUsed/>
    <w:rsid w:val="008A355A"/>
    <w:rPr>
      <w:rFonts w:ascii="Calibri" w:eastAsia="Calibri" w:hAnsi="Calibri" w:cs="Times New Roman"/>
      <w:sz w:val="20"/>
      <w:szCs w:val="20"/>
    </w:rPr>
  </w:style>
  <w:style w:type="character" w:customStyle="1" w:styleId="AklamaMetniChar">
    <w:name w:val="Açıklama Metni Char"/>
    <w:aliases w:val="Body Text Indent Char2 Char,Char Char1 Char,Char Char2 Char Char Char"/>
    <w:basedOn w:val="VarsaylanParagrafYazTipi"/>
    <w:link w:val="AklamaMetni"/>
    <w:uiPriority w:val="99"/>
    <w:semiHidden/>
    <w:rsid w:val="008A355A"/>
    <w:rPr>
      <w:sz w:val="20"/>
      <w:szCs w:val="20"/>
    </w:rPr>
  </w:style>
  <w:style w:type="paragraph" w:styleId="AklamaKonusu">
    <w:name w:val="annotation subject"/>
    <w:basedOn w:val="AklamaMetni"/>
    <w:next w:val="AklamaMetni"/>
    <w:link w:val="AklamaKonusuChar1"/>
    <w:uiPriority w:val="99"/>
    <w:unhideWhenUsed/>
    <w:rsid w:val="008A355A"/>
    <w:pPr>
      <w:spacing w:line="240" w:lineRule="auto"/>
    </w:pPr>
    <w:rPr>
      <w:b/>
      <w:bCs/>
    </w:rPr>
  </w:style>
  <w:style w:type="character" w:customStyle="1" w:styleId="AklamaKonusuChar">
    <w:name w:val="Açıklama Konusu Char"/>
    <w:basedOn w:val="AklamaMetniChar"/>
    <w:link w:val="AklamaKonusu"/>
    <w:uiPriority w:val="99"/>
    <w:rsid w:val="008A355A"/>
    <w:rPr>
      <w:b/>
      <w:bCs/>
    </w:rPr>
  </w:style>
  <w:style w:type="paragraph" w:customStyle="1" w:styleId="miniblockheader">
    <w:name w:val="miniblockheader"/>
    <w:basedOn w:val="Normal"/>
    <w:rsid w:val="008A355A"/>
    <w:pPr>
      <w:shd w:val="clear" w:color="auto" w:fill="009933"/>
      <w:spacing w:before="100" w:beforeAutospacing="1" w:after="100" w:afterAutospacing="1" w:line="240" w:lineRule="auto"/>
      <w:ind w:firstLine="75"/>
    </w:pPr>
    <w:rPr>
      <w:rFonts w:ascii="Times New Roman" w:eastAsia="Times New Roman" w:hAnsi="Times New Roman" w:cs="Times New Roman"/>
      <w:sz w:val="24"/>
      <w:szCs w:val="24"/>
      <w:lang w:eastAsia="tr-TR"/>
    </w:rPr>
  </w:style>
  <w:style w:type="paragraph" w:customStyle="1" w:styleId="miniblock">
    <w:name w:val="miniblock"/>
    <w:basedOn w:val="Normal"/>
    <w:rsid w:val="008A355A"/>
    <w:pPr>
      <w:shd w:val="clear" w:color="auto" w:fill="33CC33"/>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miniblockheader2">
    <w:name w:val="miniblockheader2"/>
    <w:basedOn w:val="Normal"/>
    <w:rsid w:val="008A355A"/>
    <w:pPr>
      <w:shd w:val="clear" w:color="auto" w:fill="006699"/>
      <w:spacing w:before="100" w:beforeAutospacing="1" w:after="100" w:afterAutospacing="1" w:line="240" w:lineRule="auto"/>
      <w:ind w:firstLine="75"/>
    </w:pPr>
    <w:rPr>
      <w:rFonts w:ascii="Times New Roman" w:eastAsia="Times New Roman" w:hAnsi="Times New Roman" w:cs="Times New Roman"/>
      <w:sz w:val="24"/>
      <w:szCs w:val="24"/>
      <w:lang w:eastAsia="tr-TR"/>
    </w:rPr>
  </w:style>
  <w:style w:type="paragraph" w:customStyle="1" w:styleId="miniblock2">
    <w:name w:val="miniblock2"/>
    <w:basedOn w:val="Normal"/>
    <w:rsid w:val="008A355A"/>
    <w:pPr>
      <w:shd w:val="clear" w:color="auto" w:fill="0099FF"/>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earchblock">
    <w:name w:val="searchblock"/>
    <w:basedOn w:val="Normal"/>
    <w:rsid w:val="008A355A"/>
    <w:pPr>
      <w:spacing w:before="75" w:after="75" w:line="240" w:lineRule="auto"/>
      <w:ind w:left="75" w:right="75"/>
    </w:pPr>
    <w:rPr>
      <w:rFonts w:ascii="Arial" w:eastAsia="Times New Roman" w:hAnsi="Arial" w:cs="Arial"/>
      <w:b/>
      <w:bCs/>
      <w:color w:val="FFFFFF"/>
      <w:sz w:val="15"/>
      <w:szCs w:val="15"/>
      <w:lang w:eastAsia="tr-TR"/>
    </w:rPr>
  </w:style>
  <w:style w:type="paragraph" w:customStyle="1" w:styleId="birimturleri">
    <w:name w:val="birimturleri"/>
    <w:basedOn w:val="Normal"/>
    <w:rsid w:val="008A355A"/>
    <w:pPr>
      <w:spacing w:before="100" w:beforeAutospacing="1" w:after="100" w:afterAutospacing="1" w:line="240" w:lineRule="auto"/>
      <w:ind w:left="-150"/>
    </w:pPr>
    <w:rPr>
      <w:rFonts w:ascii="Arial" w:eastAsia="Times New Roman" w:hAnsi="Arial" w:cs="Arial"/>
      <w:b/>
      <w:bCs/>
      <w:color w:val="FF3300"/>
      <w:sz w:val="17"/>
      <w:szCs w:val="17"/>
      <w:lang w:eastAsia="tr-TR"/>
    </w:rPr>
  </w:style>
  <w:style w:type="paragraph" w:customStyle="1" w:styleId="birimblock">
    <w:name w:val="birimblock"/>
    <w:basedOn w:val="Normal"/>
    <w:rsid w:val="008A355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birim">
    <w:name w:val="birim"/>
    <w:basedOn w:val="Normal"/>
    <w:rsid w:val="008A355A"/>
    <w:pPr>
      <w:spacing w:before="100" w:beforeAutospacing="1" w:after="100" w:afterAutospacing="1" w:line="240" w:lineRule="auto"/>
      <w:ind w:left="-150"/>
    </w:pPr>
    <w:rPr>
      <w:rFonts w:ascii="Arial" w:eastAsia="Times New Roman" w:hAnsi="Arial" w:cs="Arial"/>
      <w:color w:val="666666"/>
      <w:sz w:val="17"/>
      <w:szCs w:val="17"/>
      <w:lang w:eastAsia="tr-TR"/>
    </w:rPr>
  </w:style>
  <w:style w:type="paragraph" w:customStyle="1" w:styleId="birimlink">
    <w:name w:val="birimlink"/>
    <w:basedOn w:val="Normal"/>
    <w:rsid w:val="008A355A"/>
    <w:pPr>
      <w:spacing w:before="100" w:beforeAutospacing="1" w:after="100" w:afterAutospacing="1" w:line="240" w:lineRule="auto"/>
    </w:pPr>
    <w:rPr>
      <w:rFonts w:ascii="Arial" w:eastAsia="Times New Roman" w:hAnsi="Arial" w:cs="Arial"/>
      <w:color w:val="666666"/>
      <w:sz w:val="17"/>
      <w:szCs w:val="17"/>
      <w:lang w:eastAsia="tr-TR"/>
    </w:rPr>
  </w:style>
  <w:style w:type="paragraph" w:customStyle="1" w:styleId="newslistitem">
    <w:name w:val="newslistitem"/>
    <w:basedOn w:val="Normal"/>
    <w:rsid w:val="008A355A"/>
    <w:pPr>
      <w:spacing w:before="100" w:beforeAutospacing="1" w:after="100" w:afterAutospacing="1" w:line="240" w:lineRule="auto"/>
      <w:ind w:left="-150"/>
    </w:pPr>
    <w:rPr>
      <w:rFonts w:ascii="Times New Roman" w:eastAsia="Times New Roman" w:hAnsi="Times New Roman" w:cs="Times New Roman"/>
      <w:color w:val="666666"/>
      <w:sz w:val="24"/>
      <w:szCs w:val="24"/>
      <w:lang w:eastAsia="tr-TR"/>
    </w:rPr>
  </w:style>
  <w:style w:type="paragraph" w:customStyle="1" w:styleId="newsbottomblock">
    <w:name w:val="newsbottomblock"/>
    <w:basedOn w:val="Normal"/>
    <w:rsid w:val="008A355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newsblock">
    <w:name w:val="newsblock"/>
    <w:basedOn w:val="Normal"/>
    <w:rsid w:val="008A355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newsheader">
    <w:name w:val="newsheader"/>
    <w:basedOn w:val="Normal"/>
    <w:rsid w:val="008A355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newsitem1">
    <w:name w:val="newsitem1"/>
    <w:basedOn w:val="Normal"/>
    <w:rsid w:val="008A355A"/>
    <w:pPr>
      <w:shd w:val="clear" w:color="auto" w:fill="FBFBFB"/>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newsitem0">
    <w:name w:val="newsitem0"/>
    <w:basedOn w:val="Normal"/>
    <w:rsid w:val="008A355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newscontent">
    <w:name w:val="newscontent"/>
    <w:basedOn w:val="Normal"/>
    <w:rsid w:val="008A355A"/>
    <w:pPr>
      <w:spacing w:before="100" w:beforeAutospacing="1" w:after="100" w:afterAutospacing="1" w:line="240" w:lineRule="auto"/>
    </w:pPr>
    <w:rPr>
      <w:rFonts w:ascii="Arial" w:eastAsia="Times New Roman" w:hAnsi="Arial" w:cs="Arial"/>
      <w:sz w:val="17"/>
      <w:szCs w:val="17"/>
      <w:lang w:eastAsia="tr-TR"/>
    </w:rPr>
  </w:style>
  <w:style w:type="paragraph" w:customStyle="1" w:styleId="newslink">
    <w:name w:val="newslink"/>
    <w:basedOn w:val="Normal"/>
    <w:rsid w:val="008A355A"/>
    <w:pPr>
      <w:spacing w:before="100" w:beforeAutospacing="1" w:after="100" w:afterAutospacing="1" w:line="240" w:lineRule="auto"/>
    </w:pPr>
    <w:rPr>
      <w:rFonts w:ascii="Arial" w:eastAsia="Times New Roman" w:hAnsi="Arial" w:cs="Arial"/>
      <w:color w:val="FF3300"/>
      <w:sz w:val="17"/>
      <w:szCs w:val="17"/>
      <w:lang w:eastAsia="tr-TR"/>
    </w:rPr>
  </w:style>
  <w:style w:type="paragraph" w:customStyle="1" w:styleId="news2bottomblock">
    <w:name w:val="news2bottomblock"/>
    <w:basedOn w:val="Normal"/>
    <w:rsid w:val="008A355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news2listitem">
    <w:name w:val="news2listitem"/>
    <w:basedOn w:val="Normal"/>
    <w:rsid w:val="008A355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news2block">
    <w:name w:val="news2block"/>
    <w:basedOn w:val="Normal"/>
    <w:rsid w:val="008A355A"/>
    <w:pPr>
      <w:shd w:val="clear" w:color="auto" w:fill="99999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news2header">
    <w:name w:val="news2header"/>
    <w:basedOn w:val="Normal"/>
    <w:rsid w:val="008A355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news2item0">
    <w:name w:val="news2item0"/>
    <w:basedOn w:val="Normal"/>
    <w:rsid w:val="008A355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news2item1">
    <w:name w:val="news2item1"/>
    <w:basedOn w:val="Normal"/>
    <w:rsid w:val="008A355A"/>
    <w:pPr>
      <w:shd w:val="clear" w:color="auto" w:fill="999999"/>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news2content">
    <w:name w:val="news2content"/>
    <w:basedOn w:val="Normal"/>
    <w:rsid w:val="008A355A"/>
    <w:pPr>
      <w:spacing w:before="100" w:beforeAutospacing="1" w:after="100" w:afterAutospacing="1" w:line="240" w:lineRule="auto"/>
      <w:jc w:val="both"/>
    </w:pPr>
    <w:rPr>
      <w:rFonts w:ascii="Arial" w:eastAsia="Times New Roman" w:hAnsi="Arial" w:cs="Arial"/>
      <w:sz w:val="13"/>
      <w:szCs w:val="13"/>
      <w:lang w:eastAsia="tr-TR"/>
    </w:rPr>
  </w:style>
  <w:style w:type="paragraph" w:customStyle="1" w:styleId="news2link">
    <w:name w:val="news2link"/>
    <w:basedOn w:val="Normal"/>
    <w:rsid w:val="008A355A"/>
    <w:pPr>
      <w:spacing w:before="100" w:beforeAutospacing="1" w:after="100" w:afterAutospacing="1" w:line="240" w:lineRule="auto"/>
    </w:pPr>
    <w:rPr>
      <w:rFonts w:ascii="Arial" w:eastAsia="Times New Roman" w:hAnsi="Arial" w:cs="Arial"/>
      <w:color w:val="FFFFFF"/>
      <w:sz w:val="17"/>
      <w:szCs w:val="17"/>
      <w:lang w:eastAsia="tr-TR"/>
    </w:rPr>
  </w:style>
  <w:style w:type="paragraph" w:customStyle="1" w:styleId="newsdetailexp">
    <w:name w:val="newsdetailexp"/>
    <w:basedOn w:val="Normal"/>
    <w:rsid w:val="008A355A"/>
    <w:pPr>
      <w:spacing w:before="100" w:beforeAutospacing="1" w:after="100" w:afterAutospacing="1" w:line="240" w:lineRule="auto"/>
    </w:pPr>
    <w:rPr>
      <w:rFonts w:ascii="Arial" w:eastAsia="Times New Roman" w:hAnsi="Arial" w:cs="Arial"/>
      <w:b/>
      <w:bCs/>
      <w:color w:val="FF3300"/>
      <w:sz w:val="20"/>
      <w:szCs w:val="20"/>
      <w:lang w:eastAsia="tr-TR"/>
    </w:rPr>
  </w:style>
  <w:style w:type="paragraph" w:customStyle="1" w:styleId="kanuntasarilariblock">
    <w:name w:val="kanuntasarilariblock"/>
    <w:basedOn w:val="Normal"/>
    <w:rsid w:val="008A355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kanuntasarilariheader">
    <w:name w:val="kanuntasarilariheader"/>
    <w:basedOn w:val="Normal"/>
    <w:rsid w:val="008A355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kanuntasarilaritopheader">
    <w:name w:val="kanuntasarilaritopheader"/>
    <w:basedOn w:val="Normal"/>
    <w:rsid w:val="008A355A"/>
    <w:pPr>
      <w:shd w:val="clear" w:color="auto" w:fill="999999"/>
      <w:spacing w:before="100" w:beforeAutospacing="1" w:after="100" w:afterAutospacing="1" w:line="240" w:lineRule="auto"/>
    </w:pPr>
    <w:rPr>
      <w:rFonts w:ascii="Arial" w:eastAsia="Times New Roman" w:hAnsi="Arial" w:cs="Arial"/>
      <w:b/>
      <w:bCs/>
      <w:color w:val="FFFFFF"/>
      <w:sz w:val="15"/>
      <w:szCs w:val="15"/>
      <w:lang w:eastAsia="tr-TR"/>
    </w:rPr>
  </w:style>
  <w:style w:type="paragraph" w:customStyle="1" w:styleId="kanuntasarilariitem">
    <w:name w:val="kanuntasarilariitem"/>
    <w:basedOn w:val="Normal"/>
    <w:rsid w:val="008A355A"/>
    <w:pPr>
      <w:pBdr>
        <w:top w:val="single" w:sz="6" w:space="8" w:color="FFFFFF"/>
        <w:left w:val="single" w:sz="6" w:space="8" w:color="FFFFFF"/>
        <w:bottom w:val="single" w:sz="6" w:space="8" w:color="FFFFFF"/>
        <w:right w:val="single" w:sz="6" w:space="8" w:color="FFFFFF"/>
      </w:pBdr>
      <w:shd w:val="clear" w:color="auto" w:fill="FFFFFF"/>
      <w:spacing w:before="100" w:beforeAutospacing="1" w:after="100" w:afterAutospacing="1" w:line="240" w:lineRule="auto"/>
    </w:pPr>
    <w:rPr>
      <w:rFonts w:ascii="Arial" w:eastAsia="Times New Roman" w:hAnsi="Arial" w:cs="Arial"/>
      <w:sz w:val="17"/>
      <w:szCs w:val="17"/>
      <w:lang w:eastAsia="tr-TR"/>
    </w:rPr>
  </w:style>
  <w:style w:type="paragraph" w:customStyle="1" w:styleId="kanuntasarilariexp">
    <w:name w:val="kanuntasarilariexp"/>
    <w:basedOn w:val="Normal"/>
    <w:rsid w:val="008A355A"/>
    <w:pPr>
      <w:spacing w:before="100" w:beforeAutospacing="1" w:after="100" w:afterAutospacing="1" w:line="240" w:lineRule="auto"/>
    </w:pPr>
    <w:rPr>
      <w:rFonts w:ascii="Arial" w:eastAsia="Times New Roman" w:hAnsi="Arial" w:cs="Arial"/>
      <w:sz w:val="17"/>
      <w:szCs w:val="17"/>
      <w:lang w:eastAsia="tr-TR"/>
    </w:rPr>
  </w:style>
  <w:style w:type="paragraph" w:customStyle="1" w:styleId="kanuntasarilarilink">
    <w:name w:val="kanuntasarilarilink"/>
    <w:basedOn w:val="Normal"/>
    <w:rsid w:val="008A355A"/>
    <w:pPr>
      <w:spacing w:before="100" w:beforeAutospacing="1" w:after="100" w:afterAutospacing="1" w:line="240" w:lineRule="auto"/>
    </w:pPr>
    <w:rPr>
      <w:rFonts w:ascii="Arial" w:eastAsia="Times New Roman" w:hAnsi="Arial" w:cs="Arial"/>
      <w:color w:val="FF3300"/>
      <w:sz w:val="17"/>
      <w:szCs w:val="17"/>
      <w:lang w:eastAsia="tr-TR"/>
    </w:rPr>
  </w:style>
  <w:style w:type="paragraph" w:customStyle="1" w:styleId="topmenulink">
    <w:name w:val="topmenulink"/>
    <w:basedOn w:val="Normal"/>
    <w:rsid w:val="008A355A"/>
    <w:pPr>
      <w:spacing w:before="100" w:beforeAutospacing="1" w:after="100" w:afterAutospacing="1" w:line="240" w:lineRule="auto"/>
    </w:pPr>
    <w:rPr>
      <w:rFonts w:ascii="Arial" w:eastAsia="Times New Roman" w:hAnsi="Arial" w:cs="Arial"/>
      <w:color w:val="FFFFFF"/>
      <w:sz w:val="15"/>
      <w:szCs w:val="15"/>
      <w:lang w:eastAsia="tr-TR"/>
    </w:rPr>
  </w:style>
  <w:style w:type="paragraph" w:customStyle="1" w:styleId="contentlabel">
    <w:name w:val="contentlabel"/>
    <w:basedOn w:val="Normal"/>
    <w:rsid w:val="008A355A"/>
    <w:pPr>
      <w:spacing w:before="100" w:beforeAutospacing="1" w:after="100" w:afterAutospacing="1" w:line="240" w:lineRule="auto"/>
    </w:pPr>
    <w:rPr>
      <w:rFonts w:ascii="Arial" w:eastAsia="Times New Roman" w:hAnsi="Arial" w:cs="Arial"/>
      <w:color w:val="FF3300"/>
      <w:sz w:val="17"/>
      <w:szCs w:val="17"/>
      <w:lang w:eastAsia="tr-TR"/>
    </w:rPr>
  </w:style>
  <w:style w:type="paragraph" w:customStyle="1" w:styleId="content">
    <w:name w:val="content"/>
    <w:basedOn w:val="Normal"/>
    <w:rsid w:val="008A355A"/>
    <w:pPr>
      <w:spacing w:before="100" w:beforeAutospacing="1" w:after="100" w:afterAutospacing="1" w:line="240" w:lineRule="auto"/>
    </w:pPr>
    <w:rPr>
      <w:rFonts w:ascii="Arial" w:eastAsia="Times New Roman" w:hAnsi="Arial" w:cs="Arial"/>
      <w:color w:val="333333"/>
      <w:sz w:val="17"/>
      <w:szCs w:val="17"/>
      <w:lang w:eastAsia="tr-TR"/>
    </w:rPr>
  </w:style>
  <w:style w:type="paragraph" w:customStyle="1" w:styleId="verticalmenublock">
    <w:name w:val="verticalmenublock"/>
    <w:basedOn w:val="Normal"/>
    <w:rsid w:val="008A355A"/>
    <w:pPr>
      <w:pBdr>
        <w:top w:val="single" w:sz="6" w:space="0" w:color="FFFFFF"/>
        <w:left w:val="single" w:sz="6" w:space="0" w:color="FFFFFF"/>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verticalmenulink">
    <w:name w:val="verticalmenulink"/>
    <w:basedOn w:val="Normal"/>
    <w:rsid w:val="008A355A"/>
    <w:pPr>
      <w:pBdr>
        <w:bottom w:val="single" w:sz="6" w:space="0" w:color="FFFFFF"/>
        <w:right w:val="single" w:sz="6" w:space="0" w:color="FFFFFF"/>
      </w:pBdr>
      <w:spacing w:before="100" w:beforeAutospacing="1" w:after="100" w:afterAutospacing="1" w:line="240" w:lineRule="atLeast"/>
      <w:jc w:val="center"/>
    </w:pPr>
    <w:rPr>
      <w:rFonts w:ascii="Arial" w:eastAsia="Times New Roman" w:hAnsi="Arial" w:cs="Arial"/>
      <w:b/>
      <w:bCs/>
      <w:color w:val="666666"/>
      <w:sz w:val="15"/>
      <w:szCs w:val="15"/>
      <w:lang w:eastAsia="tr-TR"/>
    </w:rPr>
  </w:style>
  <w:style w:type="paragraph" w:customStyle="1" w:styleId="verticalselectedmenulink">
    <w:name w:val="verticalselectedmenulink"/>
    <w:basedOn w:val="Normal"/>
    <w:rsid w:val="008A355A"/>
    <w:pPr>
      <w:pBdr>
        <w:bottom w:val="single" w:sz="6" w:space="0" w:color="336699"/>
        <w:right w:val="single" w:sz="6" w:space="0" w:color="FFFFFF"/>
      </w:pBdr>
      <w:spacing w:before="100" w:beforeAutospacing="1" w:after="100" w:afterAutospacing="1" w:line="240" w:lineRule="auto"/>
      <w:jc w:val="center"/>
    </w:pPr>
    <w:rPr>
      <w:rFonts w:ascii="Arial" w:eastAsia="Times New Roman" w:hAnsi="Arial" w:cs="Arial"/>
      <w:b/>
      <w:bCs/>
      <w:color w:val="666666"/>
      <w:sz w:val="15"/>
      <w:szCs w:val="15"/>
      <w:lang w:eastAsia="tr-TR"/>
    </w:rPr>
  </w:style>
  <w:style w:type="paragraph" w:customStyle="1" w:styleId="pagebarblock">
    <w:name w:val="pagebarblock"/>
    <w:basedOn w:val="Normal"/>
    <w:rsid w:val="008A355A"/>
    <w:pPr>
      <w:spacing w:before="100" w:beforeAutospacing="1" w:after="100" w:afterAutospacing="1" w:line="240" w:lineRule="auto"/>
      <w:jc w:val="right"/>
    </w:pPr>
    <w:rPr>
      <w:rFonts w:ascii="Times New Roman" w:eastAsia="Times New Roman" w:hAnsi="Times New Roman" w:cs="Times New Roman"/>
      <w:sz w:val="24"/>
      <w:szCs w:val="24"/>
      <w:lang w:eastAsia="tr-TR"/>
    </w:rPr>
  </w:style>
  <w:style w:type="paragraph" w:customStyle="1" w:styleId="pagebarselected">
    <w:name w:val="pagebarselected"/>
    <w:basedOn w:val="Normal"/>
    <w:rsid w:val="008A355A"/>
    <w:pPr>
      <w:shd w:val="clear" w:color="auto" w:fill="FF3300"/>
      <w:spacing w:before="100" w:beforeAutospacing="1" w:after="100" w:afterAutospacing="1" w:line="240" w:lineRule="auto"/>
    </w:pPr>
    <w:rPr>
      <w:rFonts w:ascii="Arial" w:eastAsia="Times New Roman" w:hAnsi="Arial" w:cs="Arial"/>
      <w:b/>
      <w:bCs/>
      <w:color w:val="FFFFFF"/>
      <w:sz w:val="17"/>
      <w:szCs w:val="17"/>
      <w:lang w:eastAsia="tr-TR"/>
    </w:rPr>
  </w:style>
  <w:style w:type="paragraph" w:customStyle="1" w:styleId="pagebaritem">
    <w:name w:val="pagebaritem"/>
    <w:basedOn w:val="Normal"/>
    <w:rsid w:val="008A355A"/>
    <w:pPr>
      <w:spacing w:before="100" w:beforeAutospacing="1" w:after="100" w:afterAutospacing="1" w:line="240" w:lineRule="auto"/>
    </w:pPr>
    <w:rPr>
      <w:rFonts w:ascii="Arial" w:eastAsia="Times New Roman" w:hAnsi="Arial" w:cs="Arial"/>
      <w:color w:val="666666"/>
      <w:sz w:val="17"/>
      <w:szCs w:val="17"/>
      <w:lang w:eastAsia="tr-TR"/>
    </w:rPr>
  </w:style>
  <w:style w:type="paragraph" w:customStyle="1" w:styleId="textbox">
    <w:name w:val="textbox"/>
    <w:basedOn w:val="Normal"/>
    <w:rsid w:val="008A355A"/>
    <w:pPr>
      <w:spacing w:before="100" w:beforeAutospacing="1" w:after="100" w:afterAutospacing="1" w:line="240" w:lineRule="auto"/>
    </w:pPr>
    <w:rPr>
      <w:rFonts w:ascii="Arial" w:eastAsia="Times New Roman" w:hAnsi="Arial" w:cs="Arial"/>
      <w:sz w:val="17"/>
      <w:szCs w:val="17"/>
      <w:lang w:eastAsia="tr-TR"/>
    </w:rPr>
  </w:style>
  <w:style w:type="paragraph" w:customStyle="1" w:styleId="text">
    <w:name w:val="text"/>
    <w:basedOn w:val="Normal"/>
    <w:rsid w:val="008A355A"/>
    <w:pPr>
      <w:spacing w:before="100" w:beforeAutospacing="1" w:after="100" w:afterAutospacing="1" w:line="240" w:lineRule="auto"/>
    </w:pPr>
    <w:rPr>
      <w:rFonts w:ascii="Arial" w:eastAsia="Times New Roman" w:hAnsi="Arial" w:cs="Arial"/>
      <w:color w:val="FFFFFF"/>
      <w:sz w:val="17"/>
      <w:szCs w:val="17"/>
      <w:lang w:eastAsia="tr-TR"/>
    </w:rPr>
  </w:style>
  <w:style w:type="paragraph" w:customStyle="1" w:styleId="button">
    <w:name w:val="button"/>
    <w:basedOn w:val="Normal"/>
    <w:rsid w:val="008A355A"/>
    <w:pPr>
      <w:spacing w:before="100" w:beforeAutospacing="1" w:after="100" w:afterAutospacing="1" w:line="240" w:lineRule="auto"/>
    </w:pPr>
    <w:rPr>
      <w:rFonts w:ascii="Arial" w:eastAsia="Times New Roman" w:hAnsi="Arial" w:cs="Arial"/>
      <w:sz w:val="15"/>
      <w:szCs w:val="15"/>
      <w:lang w:eastAsia="tr-TR"/>
    </w:rPr>
  </w:style>
  <w:style w:type="paragraph" w:customStyle="1" w:styleId="searchitem">
    <w:name w:val="searchitem"/>
    <w:basedOn w:val="Normal"/>
    <w:rsid w:val="008A355A"/>
    <w:pPr>
      <w:spacing w:before="100" w:beforeAutospacing="1" w:after="100" w:afterAutospacing="1" w:line="240" w:lineRule="auto"/>
    </w:pPr>
    <w:rPr>
      <w:rFonts w:ascii="Arial" w:eastAsia="Times New Roman" w:hAnsi="Arial" w:cs="Arial"/>
      <w:b/>
      <w:bCs/>
      <w:color w:val="FFFFFF"/>
      <w:sz w:val="15"/>
      <w:szCs w:val="15"/>
      <w:lang w:eastAsia="tr-TR"/>
    </w:rPr>
  </w:style>
  <w:style w:type="paragraph" w:customStyle="1" w:styleId="topblock">
    <w:name w:val="topblock"/>
    <w:basedOn w:val="Normal"/>
    <w:rsid w:val="008A355A"/>
    <w:pPr>
      <w:shd w:val="clear" w:color="auto" w:fill="336699"/>
      <w:spacing w:before="100" w:beforeAutospacing="1" w:after="100" w:afterAutospacing="1" w:line="240" w:lineRule="auto"/>
    </w:pPr>
    <w:rPr>
      <w:rFonts w:ascii="Arial" w:eastAsia="Times New Roman" w:hAnsi="Arial" w:cs="Arial"/>
      <w:b/>
      <w:bCs/>
      <w:color w:val="FFFFFF"/>
      <w:sz w:val="8"/>
      <w:szCs w:val="8"/>
      <w:lang w:eastAsia="tr-TR"/>
    </w:rPr>
  </w:style>
  <w:style w:type="paragraph" w:customStyle="1" w:styleId="listeciblock">
    <w:name w:val="listeciblock"/>
    <w:basedOn w:val="Normal"/>
    <w:rsid w:val="008A355A"/>
    <w:pPr>
      <w:shd w:val="clear" w:color="auto" w:fill="00CC66"/>
      <w:spacing w:before="100" w:beforeAutospacing="1" w:after="100" w:afterAutospacing="1" w:line="240" w:lineRule="auto"/>
    </w:pPr>
    <w:rPr>
      <w:rFonts w:ascii="Arial" w:eastAsia="Times New Roman" w:hAnsi="Arial" w:cs="Arial"/>
      <w:b/>
      <w:bCs/>
      <w:color w:val="FFFFFF"/>
      <w:sz w:val="15"/>
      <w:szCs w:val="15"/>
      <w:lang w:eastAsia="tr-TR"/>
    </w:rPr>
  </w:style>
  <w:style w:type="paragraph" w:customStyle="1" w:styleId="mbsmenuitem">
    <w:name w:val="mbsmenuitem"/>
    <w:basedOn w:val="Normal"/>
    <w:rsid w:val="008A355A"/>
    <w:pPr>
      <w:spacing w:before="100" w:beforeAutospacing="1" w:after="100" w:afterAutospacing="1" w:line="240" w:lineRule="auto"/>
    </w:pPr>
    <w:rPr>
      <w:rFonts w:ascii="Arial" w:eastAsia="Times New Roman" w:hAnsi="Arial" w:cs="Arial"/>
      <w:color w:val="666666"/>
      <w:sz w:val="17"/>
      <w:szCs w:val="17"/>
      <w:lang w:eastAsia="tr-TR"/>
    </w:rPr>
  </w:style>
  <w:style w:type="paragraph" w:customStyle="1" w:styleId="mbsparagraf">
    <w:name w:val="mbsparagraf"/>
    <w:basedOn w:val="Normal"/>
    <w:rsid w:val="008A355A"/>
    <w:pPr>
      <w:spacing w:before="100" w:beforeAutospacing="1" w:after="100" w:afterAutospacing="1" w:line="240" w:lineRule="auto"/>
    </w:pPr>
    <w:rPr>
      <w:rFonts w:ascii="Arial" w:eastAsia="Times New Roman" w:hAnsi="Arial" w:cs="Arial"/>
      <w:color w:val="000000"/>
      <w:sz w:val="17"/>
      <w:szCs w:val="17"/>
      <w:lang w:eastAsia="tr-TR"/>
    </w:rPr>
  </w:style>
  <w:style w:type="paragraph" w:customStyle="1" w:styleId="highlight">
    <w:name w:val="highlight"/>
    <w:basedOn w:val="Normal"/>
    <w:rsid w:val="008A355A"/>
    <w:pPr>
      <w:shd w:val="clear" w:color="auto" w:fill="0082BF"/>
      <w:spacing w:before="100" w:beforeAutospacing="1" w:after="100" w:afterAutospacing="1" w:line="240" w:lineRule="auto"/>
    </w:pPr>
    <w:rPr>
      <w:rFonts w:ascii="Times New Roman" w:eastAsia="Times New Roman" w:hAnsi="Times New Roman" w:cs="Times New Roman"/>
      <w:color w:val="FFFFFF"/>
      <w:sz w:val="24"/>
      <w:szCs w:val="24"/>
      <w:lang w:eastAsia="tr-TR"/>
    </w:rPr>
  </w:style>
  <w:style w:type="paragraph" w:customStyle="1" w:styleId="textgrid">
    <w:name w:val="textgrid"/>
    <w:basedOn w:val="Normal"/>
    <w:rsid w:val="008A355A"/>
    <w:pPr>
      <w:spacing w:before="100" w:beforeAutospacing="1" w:after="100" w:afterAutospacing="1" w:line="240" w:lineRule="auto"/>
    </w:pPr>
    <w:rPr>
      <w:rFonts w:ascii="Arial" w:eastAsia="Times New Roman" w:hAnsi="Arial" w:cs="Arial"/>
      <w:color w:val="000000"/>
      <w:sz w:val="17"/>
      <w:szCs w:val="17"/>
      <w:lang w:eastAsia="tr-TR"/>
    </w:rPr>
  </w:style>
  <w:style w:type="paragraph" w:customStyle="1" w:styleId="ctl00menu10">
    <w:name w:val="ctl00_menu1_0"/>
    <w:basedOn w:val="Normal"/>
    <w:rsid w:val="008A355A"/>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tr-TR"/>
    </w:rPr>
  </w:style>
  <w:style w:type="paragraph" w:customStyle="1" w:styleId="ctl00menu11">
    <w:name w:val="ctl00_menu1_1"/>
    <w:basedOn w:val="Normal"/>
    <w:rsid w:val="008A355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ctl00menu13">
    <w:name w:val="ctl00_menu1_3"/>
    <w:basedOn w:val="Normal"/>
    <w:rsid w:val="008A355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ctl00menu14">
    <w:name w:val="ctl00_menu1_4"/>
    <w:basedOn w:val="Normal"/>
    <w:rsid w:val="008A355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ctl00menu15">
    <w:name w:val="ctl00_menu1_5"/>
    <w:basedOn w:val="Normal"/>
    <w:rsid w:val="008A355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0">
    <w:name w:val="3-normalyaz"/>
    <w:basedOn w:val="Normal"/>
    <w:rsid w:val="008A355A"/>
    <w:pPr>
      <w:spacing w:after="0" w:line="240" w:lineRule="auto"/>
      <w:jc w:val="both"/>
    </w:pPr>
    <w:rPr>
      <w:rFonts w:ascii="Times New Roman" w:eastAsia="Times New Roman" w:hAnsi="Times New Roman" w:cs="Times New Roman"/>
      <w:sz w:val="19"/>
      <w:szCs w:val="19"/>
      <w:lang w:eastAsia="tr-TR"/>
    </w:rPr>
  </w:style>
  <w:style w:type="character" w:customStyle="1" w:styleId="krmzChar">
    <w:name w:val="kırmızı Char"/>
    <w:link w:val="krmz"/>
    <w:locked/>
    <w:rsid w:val="008A355A"/>
    <w:rPr>
      <w:rFonts w:ascii="ヒラギノ明朝 Pro W3" w:eastAsia="ヒラギノ明朝 Pro W3" w:hAnsi="ヒラギノ明朝 Pro W3" w:cs="ヒラギノ明朝 Pro W3"/>
      <w:strike/>
      <w:color w:val="FF0000"/>
    </w:rPr>
  </w:style>
  <w:style w:type="paragraph" w:customStyle="1" w:styleId="krmz">
    <w:name w:val="kırmızı"/>
    <w:basedOn w:val="Normal"/>
    <w:link w:val="krmzChar"/>
    <w:rsid w:val="008A355A"/>
    <w:pPr>
      <w:tabs>
        <w:tab w:val="left" w:pos="566"/>
      </w:tabs>
      <w:spacing w:after="0" w:line="240" w:lineRule="exact"/>
      <w:ind w:firstLine="566"/>
      <w:jc w:val="both"/>
    </w:pPr>
    <w:rPr>
      <w:rFonts w:ascii="ヒラギノ明朝 Pro W3" w:eastAsia="ヒラギノ明朝 Pro W3" w:hAnsi="ヒラギノ明朝 Pro W3" w:cs="ヒラギノ明朝 Pro W3"/>
      <w:strike/>
      <w:color w:val="FF0000"/>
    </w:rPr>
  </w:style>
  <w:style w:type="paragraph" w:styleId="TBal">
    <w:name w:val="TOC Heading"/>
    <w:basedOn w:val="Balk1"/>
    <w:next w:val="Normal"/>
    <w:uiPriority w:val="99"/>
    <w:qFormat/>
    <w:rsid w:val="008A355A"/>
    <w:pPr>
      <w:keepLines/>
      <w:spacing w:before="480" w:after="0" w:line="276" w:lineRule="auto"/>
      <w:outlineLvl w:val="9"/>
    </w:pPr>
    <w:rPr>
      <w:rFonts w:ascii="Cambria" w:eastAsia="Times New Roman" w:hAnsi="Cambria" w:cs="Times New Roman"/>
      <w:color w:val="365F91"/>
      <w:kern w:val="0"/>
      <w:sz w:val="28"/>
      <w:szCs w:val="28"/>
    </w:rPr>
  </w:style>
  <w:style w:type="character" w:styleId="AklamaBavurusu">
    <w:name w:val="annotation reference"/>
    <w:uiPriority w:val="99"/>
    <w:semiHidden/>
    <w:unhideWhenUsed/>
    <w:rsid w:val="008A355A"/>
    <w:rPr>
      <w:sz w:val="16"/>
      <w:szCs w:val="16"/>
    </w:rPr>
  </w:style>
  <w:style w:type="character" w:customStyle="1" w:styleId="AklamaMetniChar1">
    <w:name w:val="Açıklama Metni Char1"/>
    <w:aliases w:val="Char Char Char Char1,Char Char1 Char1,Char Char1 Char Char Char Char Char Char Char Char1,Char Char Char2"/>
    <w:link w:val="AklamaMetni"/>
    <w:uiPriority w:val="99"/>
    <w:semiHidden/>
    <w:locked/>
    <w:rsid w:val="008A355A"/>
    <w:rPr>
      <w:rFonts w:ascii="Calibri" w:eastAsia="Calibri" w:hAnsi="Calibri" w:cs="Times New Roman"/>
      <w:sz w:val="20"/>
      <w:szCs w:val="20"/>
    </w:rPr>
  </w:style>
  <w:style w:type="character" w:customStyle="1" w:styleId="AklamaKonusuChar1">
    <w:name w:val="Açıklama Konusu Char1"/>
    <w:link w:val="AklamaKonusu"/>
    <w:uiPriority w:val="99"/>
    <w:semiHidden/>
    <w:locked/>
    <w:rsid w:val="008A355A"/>
    <w:rPr>
      <w:rFonts w:ascii="Calibri" w:eastAsia="Calibri" w:hAnsi="Calibri" w:cs="Times New Roman"/>
      <w:b/>
      <w:bCs/>
      <w:sz w:val="20"/>
      <w:szCs w:val="20"/>
    </w:rPr>
  </w:style>
  <w:style w:type="character" w:customStyle="1" w:styleId="BalonMetniChar1">
    <w:name w:val="Balon Metni Char1"/>
    <w:uiPriority w:val="99"/>
    <w:semiHidden/>
    <w:locked/>
    <w:rsid w:val="008A355A"/>
    <w:rPr>
      <w:rFonts w:ascii="Tahoma" w:eastAsia="Calibri" w:hAnsi="Tahoma" w:cs="Tahoma"/>
      <w:sz w:val="16"/>
      <w:szCs w:val="16"/>
    </w:rPr>
  </w:style>
  <w:style w:type="character" w:customStyle="1" w:styleId="searchword">
    <w:name w:val="searchword"/>
    <w:rsid w:val="008A355A"/>
    <w:rPr>
      <w:color w:val="FFFFFF"/>
      <w:shd w:val="clear" w:color="auto" w:fill="0082BF"/>
    </w:rPr>
  </w:style>
  <w:style w:type="paragraph" w:styleId="z-Formunst">
    <w:name w:val="HTML Top of Form"/>
    <w:basedOn w:val="Normal"/>
    <w:next w:val="Normal"/>
    <w:link w:val="z-FormunstChar1"/>
    <w:hidden/>
    <w:uiPriority w:val="99"/>
    <w:semiHidden/>
    <w:unhideWhenUsed/>
    <w:rsid w:val="008A355A"/>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stChar">
    <w:name w:val="z-Formun Üstü Char"/>
    <w:basedOn w:val="VarsaylanParagrafYazTipi"/>
    <w:link w:val="z-Formunst"/>
    <w:uiPriority w:val="99"/>
    <w:semiHidden/>
    <w:rsid w:val="008A355A"/>
    <w:rPr>
      <w:rFonts w:ascii="Arial" w:hAnsi="Arial" w:cs="Arial"/>
      <w:vanish/>
      <w:sz w:val="16"/>
      <w:szCs w:val="16"/>
    </w:rPr>
  </w:style>
  <w:style w:type="character" w:customStyle="1" w:styleId="z-FormunstChar1">
    <w:name w:val="z-Formun Üstü Char1"/>
    <w:link w:val="z-Formunst"/>
    <w:uiPriority w:val="99"/>
    <w:semiHidden/>
    <w:locked/>
    <w:rsid w:val="008A355A"/>
    <w:rPr>
      <w:rFonts w:ascii="Arial" w:eastAsia="Times New Roman" w:hAnsi="Arial" w:cs="Arial"/>
      <w:vanish/>
      <w:sz w:val="16"/>
      <w:szCs w:val="16"/>
      <w:lang w:eastAsia="tr-TR"/>
    </w:rPr>
  </w:style>
  <w:style w:type="paragraph" w:styleId="z-FormunAlt">
    <w:name w:val="HTML Bottom of Form"/>
    <w:basedOn w:val="Normal"/>
    <w:next w:val="Normal"/>
    <w:link w:val="z-FormunAltChar1"/>
    <w:hidden/>
    <w:uiPriority w:val="99"/>
    <w:semiHidden/>
    <w:unhideWhenUsed/>
    <w:rsid w:val="008A355A"/>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AltChar">
    <w:name w:val="z-Formun Altı Char"/>
    <w:basedOn w:val="VarsaylanParagrafYazTipi"/>
    <w:link w:val="z-FormunAlt"/>
    <w:uiPriority w:val="99"/>
    <w:semiHidden/>
    <w:rsid w:val="008A355A"/>
    <w:rPr>
      <w:rFonts w:ascii="Arial" w:hAnsi="Arial" w:cs="Arial"/>
      <w:vanish/>
      <w:sz w:val="16"/>
      <w:szCs w:val="16"/>
    </w:rPr>
  </w:style>
  <w:style w:type="character" w:customStyle="1" w:styleId="z-FormunAltChar1">
    <w:name w:val="z-Formun Altı Char1"/>
    <w:link w:val="z-FormunAlt"/>
    <w:uiPriority w:val="99"/>
    <w:semiHidden/>
    <w:locked/>
    <w:rsid w:val="008A355A"/>
    <w:rPr>
      <w:rFonts w:ascii="Arial" w:eastAsia="Times New Roman" w:hAnsi="Arial" w:cs="Arial"/>
      <w:vanish/>
      <w:sz w:val="16"/>
      <w:szCs w:val="16"/>
      <w:lang w:eastAsia="tr-TR"/>
    </w:rPr>
  </w:style>
  <w:style w:type="character" w:customStyle="1" w:styleId="CharChar7">
    <w:name w:val="Char Char7"/>
    <w:rsid w:val="008A355A"/>
    <w:rPr>
      <w:rFonts w:ascii="Cambria" w:eastAsia="Times New Roman" w:hAnsi="Cambria" w:cs="Times New Roman" w:hint="default"/>
      <w:b/>
      <w:bCs/>
      <w:kern w:val="32"/>
      <w:sz w:val="32"/>
      <w:szCs w:val="32"/>
      <w:lang w:eastAsia="en-US"/>
    </w:rPr>
  </w:style>
  <w:style w:type="paragraph" w:customStyle="1" w:styleId="listeparagraf0">
    <w:name w:val="listeparagraf"/>
    <w:basedOn w:val="Normal"/>
    <w:rsid w:val="008A355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AralkYok1">
    <w:name w:val="Aralık Yok1"/>
    <w:uiPriority w:val="99"/>
    <w:rsid w:val="008F147E"/>
    <w:pPr>
      <w:spacing w:after="0" w:line="240" w:lineRule="auto"/>
    </w:pPr>
    <w:rPr>
      <w:rFonts w:ascii="Calibri" w:eastAsia="Calibri" w:hAnsi="Calibri" w:cs="Times New Roman"/>
    </w:rPr>
  </w:style>
  <w:style w:type="paragraph" w:customStyle="1" w:styleId="nospacing">
    <w:name w:val="nospacing"/>
    <w:basedOn w:val="Normal"/>
    <w:rsid w:val="008F147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99"/>
    <w:qFormat/>
    <w:rsid w:val="003C0428"/>
    <w:rPr>
      <w:b/>
      <w:bCs/>
    </w:rPr>
  </w:style>
  <w:style w:type="paragraph" w:styleId="DipnotMetni">
    <w:name w:val="footnote text"/>
    <w:basedOn w:val="Normal"/>
    <w:link w:val="DipnotMetniChar1"/>
    <w:uiPriority w:val="99"/>
    <w:unhideWhenUsed/>
    <w:rsid w:val="00CA33F0"/>
    <w:pPr>
      <w:spacing w:after="0" w:line="240" w:lineRule="auto"/>
    </w:pPr>
    <w:rPr>
      <w:rFonts w:ascii="Times New Roman" w:eastAsia="Calibri" w:hAnsi="Times New Roman" w:cs="Times New Roman"/>
      <w:sz w:val="20"/>
      <w:szCs w:val="20"/>
      <w:lang w:eastAsia="tr-TR"/>
    </w:rPr>
  </w:style>
  <w:style w:type="character" w:customStyle="1" w:styleId="DipnotMetniChar">
    <w:name w:val="Dipnot Metni Char"/>
    <w:basedOn w:val="VarsaylanParagrafYazTipi"/>
    <w:link w:val="DipnotMetni"/>
    <w:uiPriority w:val="99"/>
    <w:rsid w:val="00CA33F0"/>
    <w:rPr>
      <w:sz w:val="20"/>
      <w:szCs w:val="20"/>
    </w:rPr>
  </w:style>
  <w:style w:type="character" w:styleId="DipnotBavurusu">
    <w:name w:val="footnote reference"/>
    <w:basedOn w:val="VarsaylanParagrafYazTipi"/>
    <w:uiPriority w:val="99"/>
    <w:semiHidden/>
    <w:unhideWhenUsed/>
    <w:rsid w:val="00CA33F0"/>
    <w:rPr>
      <w:vertAlign w:val="superscript"/>
    </w:rPr>
  </w:style>
  <w:style w:type="character" w:customStyle="1" w:styleId="DipnotMetniChar1">
    <w:name w:val="Dipnot Metni Char1"/>
    <w:basedOn w:val="VarsaylanParagrafYazTipi"/>
    <w:link w:val="DipnotMetni"/>
    <w:uiPriority w:val="99"/>
    <w:semiHidden/>
    <w:locked/>
    <w:rsid w:val="00CA33F0"/>
    <w:rPr>
      <w:rFonts w:ascii="Times New Roman" w:eastAsia="Calibri" w:hAnsi="Times New Roman" w:cs="Times New Roman"/>
      <w:sz w:val="20"/>
      <w:szCs w:val="20"/>
      <w:lang w:eastAsia="tr-TR"/>
    </w:rPr>
  </w:style>
  <w:style w:type="character" w:customStyle="1" w:styleId="KonuBalChar">
    <w:name w:val="Konu Başlığı Char"/>
    <w:basedOn w:val="VarsaylanParagrafYazTipi"/>
    <w:link w:val="KonuBal"/>
    <w:uiPriority w:val="99"/>
    <w:locked/>
    <w:rsid w:val="002B0ACC"/>
    <w:rPr>
      <w:sz w:val="24"/>
      <w:lang w:eastAsia="tr-TR"/>
    </w:rPr>
  </w:style>
  <w:style w:type="paragraph" w:customStyle="1" w:styleId="western">
    <w:name w:val="western"/>
    <w:basedOn w:val="Normal"/>
    <w:rsid w:val="002B0ACC"/>
    <w:pPr>
      <w:spacing w:before="100" w:beforeAutospacing="1" w:after="119" w:line="240" w:lineRule="auto"/>
    </w:pPr>
    <w:rPr>
      <w:rFonts w:ascii="Times New Roman" w:eastAsia="Times New Roman" w:hAnsi="Times New Roman" w:cs="Times New Roman"/>
      <w:color w:val="000000"/>
      <w:sz w:val="20"/>
      <w:szCs w:val="20"/>
      <w:lang w:eastAsia="tr-TR"/>
    </w:rPr>
  </w:style>
  <w:style w:type="paragraph" w:customStyle="1" w:styleId="nor4">
    <w:name w:val="nor4"/>
    <w:basedOn w:val="Normal"/>
    <w:rsid w:val="002B0AC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KonuBal">
    <w:name w:val="Title"/>
    <w:basedOn w:val="Normal"/>
    <w:link w:val="KonuBalChar"/>
    <w:uiPriority w:val="99"/>
    <w:qFormat/>
    <w:rsid w:val="002B0ACC"/>
    <w:pPr>
      <w:spacing w:before="100" w:beforeAutospacing="1" w:after="100" w:afterAutospacing="1" w:line="240" w:lineRule="auto"/>
    </w:pPr>
    <w:rPr>
      <w:sz w:val="24"/>
      <w:lang w:eastAsia="tr-TR"/>
    </w:rPr>
  </w:style>
  <w:style w:type="character" w:customStyle="1" w:styleId="KonuBalChar1">
    <w:name w:val="Konu Başlığı Char1"/>
    <w:basedOn w:val="VarsaylanParagrafYazTipi"/>
    <w:link w:val="KonuBal"/>
    <w:uiPriority w:val="99"/>
    <w:rsid w:val="002B0ACC"/>
    <w:rPr>
      <w:rFonts w:asciiTheme="majorHAnsi" w:eastAsiaTheme="majorEastAsia" w:hAnsiTheme="majorHAnsi" w:cstheme="majorBidi"/>
      <w:color w:val="17365D" w:themeColor="text2" w:themeShade="BF"/>
      <w:spacing w:val="5"/>
      <w:kern w:val="28"/>
      <w:sz w:val="52"/>
      <w:szCs w:val="52"/>
    </w:rPr>
  </w:style>
  <w:style w:type="character" w:customStyle="1" w:styleId="normal0">
    <w:name w:val="normal"/>
    <w:basedOn w:val="VarsaylanParagrafYazTipi"/>
    <w:rsid w:val="002B0ACC"/>
  </w:style>
  <w:style w:type="character" w:customStyle="1" w:styleId="apple-converted-space">
    <w:name w:val="apple-converted-space"/>
    <w:basedOn w:val="VarsaylanParagrafYazTipi"/>
    <w:uiPriority w:val="99"/>
    <w:rsid w:val="002B0ACC"/>
  </w:style>
  <w:style w:type="paragraph" w:customStyle="1" w:styleId="gvdemetni00">
    <w:name w:val="gvdemetni0"/>
    <w:basedOn w:val="Normal"/>
    <w:rsid w:val="002B0AC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3">
    <w:name w:val="Başlık #13"/>
    <w:basedOn w:val="VarsaylanParagrafYazTipi"/>
    <w:rsid w:val="00E52155"/>
    <w:rPr>
      <w:rFonts w:ascii="Times New Roman" w:hAnsi="Times New Roman" w:cs="Times New Roman" w:hint="default"/>
      <w:b/>
      <w:bCs/>
      <w:spacing w:val="10"/>
      <w:sz w:val="21"/>
      <w:szCs w:val="21"/>
      <w:u w:val="single"/>
      <w:lang w:bidi="ar-SA"/>
    </w:rPr>
  </w:style>
  <w:style w:type="character" w:customStyle="1" w:styleId="Balk12">
    <w:name w:val="Başlık #12"/>
    <w:basedOn w:val="VarsaylanParagrafYazTipi"/>
    <w:rsid w:val="00E52155"/>
    <w:rPr>
      <w:rFonts w:ascii="Times New Roman" w:hAnsi="Times New Roman" w:cs="Times New Roman" w:hint="default"/>
      <w:b/>
      <w:bCs/>
      <w:spacing w:val="10"/>
      <w:sz w:val="21"/>
      <w:szCs w:val="21"/>
      <w:u w:val="single"/>
      <w:lang w:bidi="ar-SA"/>
    </w:rPr>
  </w:style>
  <w:style w:type="paragraph" w:customStyle="1" w:styleId="gvdemetni1">
    <w:name w:val="gvdemetni1"/>
    <w:basedOn w:val="Normal"/>
    <w:rsid w:val="00E5215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vdemetnikaln">
    <w:name w:val="gvdemetnikaln"/>
    <w:basedOn w:val="VarsaylanParagrafYazTipi"/>
    <w:rsid w:val="00E52155"/>
  </w:style>
  <w:style w:type="character" w:customStyle="1" w:styleId="gvdemetnikaln2">
    <w:name w:val="gvdemetnikaln2"/>
    <w:basedOn w:val="VarsaylanParagrafYazTipi"/>
    <w:rsid w:val="00E52155"/>
  </w:style>
  <w:style w:type="character" w:customStyle="1" w:styleId="gvdemetni2">
    <w:name w:val="gvdemetni2"/>
    <w:basedOn w:val="VarsaylanParagrafYazTipi"/>
    <w:rsid w:val="00E52155"/>
  </w:style>
  <w:style w:type="character" w:customStyle="1" w:styleId="gvdemetnikaln1">
    <w:name w:val="gvdemetnikaln1"/>
    <w:basedOn w:val="VarsaylanParagrafYazTipi"/>
    <w:rsid w:val="00E52155"/>
  </w:style>
  <w:style w:type="character" w:customStyle="1" w:styleId="NormalWebChar">
    <w:name w:val="Normal (Web) Char"/>
    <w:basedOn w:val="VarsaylanParagrafYazTipi"/>
    <w:link w:val="NormalWeb"/>
    <w:locked/>
    <w:rsid w:val="004F0B37"/>
    <w:rPr>
      <w:rFonts w:ascii="Times New Roman" w:eastAsia="Times New Roman" w:hAnsi="Times New Roman" w:cs="Times New Roman"/>
      <w:sz w:val="24"/>
      <w:szCs w:val="24"/>
      <w:lang w:eastAsia="tr-TR"/>
    </w:rPr>
  </w:style>
  <w:style w:type="character" w:customStyle="1" w:styleId="CharCharCharCharCharCharCharCharCharCharCharCharCharChar">
    <w:name w:val="Char Char Char Char Char Char Char Char Char Char Char Char Char Char"/>
    <w:basedOn w:val="VarsaylanParagrafYazTipi"/>
    <w:link w:val="CharCharCharCharCharCharCharCharCharCharCharCharChar"/>
    <w:locked/>
    <w:rsid w:val="004F0B37"/>
    <w:rPr>
      <w:sz w:val="24"/>
      <w:szCs w:val="24"/>
      <w:lang w:val="pl-PL" w:eastAsia="pl-PL"/>
    </w:rPr>
  </w:style>
  <w:style w:type="paragraph" w:customStyle="1" w:styleId="CharCharCharCharCharCharCharCharCharCharCharCharChar">
    <w:name w:val="Char Char Char Char Char Char Char Char Char Char Char Char Char"/>
    <w:basedOn w:val="Normal"/>
    <w:link w:val="CharCharCharCharCharCharCharCharCharCharCharCharCharChar"/>
    <w:rsid w:val="004F0B37"/>
    <w:pPr>
      <w:spacing w:after="0" w:line="240" w:lineRule="auto"/>
    </w:pPr>
    <w:rPr>
      <w:sz w:val="24"/>
      <w:szCs w:val="24"/>
      <w:lang w:val="pl-PL" w:eastAsia="pl-PL"/>
    </w:rPr>
  </w:style>
  <w:style w:type="character" w:customStyle="1" w:styleId="Balk20">
    <w:name w:val="Başlık #2_"/>
    <w:basedOn w:val="VarsaylanParagrafYazTipi"/>
    <w:link w:val="Balk21"/>
    <w:locked/>
    <w:rsid w:val="004F0B37"/>
    <w:rPr>
      <w:b/>
      <w:bCs/>
      <w:sz w:val="21"/>
      <w:szCs w:val="21"/>
    </w:rPr>
  </w:style>
  <w:style w:type="paragraph" w:customStyle="1" w:styleId="Balk21">
    <w:name w:val="Başlık #2"/>
    <w:basedOn w:val="Normal"/>
    <w:link w:val="Balk20"/>
    <w:rsid w:val="004F0B37"/>
    <w:pPr>
      <w:spacing w:before="660" w:after="300" w:line="240" w:lineRule="atLeast"/>
      <w:jc w:val="both"/>
      <w:outlineLvl w:val="1"/>
    </w:pPr>
    <w:rPr>
      <w:b/>
      <w:bCs/>
      <w:sz w:val="21"/>
      <w:szCs w:val="21"/>
    </w:rPr>
  </w:style>
  <w:style w:type="paragraph" w:customStyle="1" w:styleId="biem">
    <w:name w:val="biem"/>
    <w:basedOn w:val="Normal"/>
    <w:rsid w:val="004F0B3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gvdemetni20">
    <w:name w:val="gvdemetni20"/>
    <w:basedOn w:val="Normal"/>
    <w:rsid w:val="004F0B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vdemetni2talikdeil">
    <w:name w:val="gvdemetni2talikdeil"/>
    <w:basedOn w:val="VarsaylanParagrafYazTipi"/>
    <w:rsid w:val="004F0B37"/>
  </w:style>
  <w:style w:type="character" w:customStyle="1" w:styleId="gvdemetnitalik">
    <w:name w:val="gvdemetnitalik"/>
    <w:basedOn w:val="VarsaylanParagrafYazTipi"/>
    <w:rsid w:val="004F0B37"/>
  </w:style>
  <w:style w:type="character" w:customStyle="1" w:styleId="gvdemetnitalik1">
    <w:name w:val="gvdemetnitalik1"/>
    <w:basedOn w:val="VarsaylanParagrafYazTipi"/>
    <w:rsid w:val="004F0B37"/>
  </w:style>
  <w:style w:type="character" w:customStyle="1" w:styleId="gvdemetni4timesnewroman2">
    <w:name w:val="gvdemetni4timesnewroman2"/>
    <w:basedOn w:val="VarsaylanParagrafYazTipi"/>
    <w:rsid w:val="004F0B37"/>
  </w:style>
  <w:style w:type="character" w:customStyle="1" w:styleId="Balk10">
    <w:name w:val="Başlık #1_"/>
    <w:basedOn w:val="VarsaylanParagrafYazTipi"/>
    <w:link w:val="Balk11"/>
    <w:locked/>
    <w:rsid w:val="00F14607"/>
    <w:rPr>
      <w:rFonts w:ascii="Century Schoolbook" w:hAnsi="Century Schoolbook"/>
      <w:b/>
      <w:bCs/>
      <w:sz w:val="19"/>
      <w:szCs w:val="19"/>
    </w:rPr>
  </w:style>
  <w:style w:type="paragraph" w:customStyle="1" w:styleId="Balk11">
    <w:name w:val="Başlık #1"/>
    <w:basedOn w:val="Normal"/>
    <w:link w:val="Balk10"/>
    <w:rsid w:val="00F14607"/>
    <w:pPr>
      <w:spacing w:after="240" w:line="317" w:lineRule="exact"/>
      <w:jc w:val="center"/>
      <w:outlineLvl w:val="0"/>
    </w:pPr>
    <w:rPr>
      <w:rFonts w:ascii="Century Schoolbook" w:hAnsi="Century Schoolbook"/>
      <w:b/>
      <w:bCs/>
      <w:sz w:val="19"/>
      <w:szCs w:val="19"/>
    </w:rPr>
  </w:style>
  <w:style w:type="character" w:customStyle="1" w:styleId="Balk8Char">
    <w:name w:val="Başlık 8 Char"/>
    <w:basedOn w:val="VarsaylanParagrafYazTipi"/>
    <w:link w:val="Balk8"/>
    <w:uiPriority w:val="99"/>
    <w:rsid w:val="00565FD5"/>
    <w:rPr>
      <w:rFonts w:ascii="Tahoma" w:eastAsia="Times New Roman" w:hAnsi="Tahoma" w:cs="Times New Roman"/>
      <w:b/>
      <w:szCs w:val="20"/>
    </w:rPr>
  </w:style>
  <w:style w:type="character" w:customStyle="1" w:styleId="Heading3Char">
    <w:name w:val="Heading 3 Char"/>
    <w:basedOn w:val="VarsaylanParagrafYazTipi"/>
    <w:uiPriority w:val="99"/>
    <w:semiHidden/>
    <w:rsid w:val="00565FD5"/>
    <w:rPr>
      <w:rFonts w:ascii="Cambria" w:hAnsi="Cambria" w:cs="Times New Roman"/>
      <w:b/>
      <w:bCs/>
      <w:color w:val="4F81BD"/>
      <w:sz w:val="20"/>
      <w:szCs w:val="20"/>
    </w:rPr>
  </w:style>
  <w:style w:type="paragraph" w:customStyle="1" w:styleId="BodyText2">
    <w:name w:val="Body Text2"/>
    <w:basedOn w:val="GvdeMetni21"/>
    <w:link w:val="BodyText2Char"/>
    <w:uiPriority w:val="99"/>
    <w:rsid w:val="00565FD5"/>
    <w:pPr>
      <w:spacing w:after="180" w:line="240" w:lineRule="auto"/>
      <w:ind w:firstLine="425"/>
    </w:pPr>
    <w:rPr>
      <w:szCs w:val="18"/>
    </w:rPr>
  </w:style>
  <w:style w:type="character" w:customStyle="1" w:styleId="BodyText2Char">
    <w:name w:val="Body Text2 Char"/>
    <w:basedOn w:val="GvdeMetni2Char"/>
    <w:link w:val="BodyText2"/>
    <w:uiPriority w:val="99"/>
    <w:locked/>
    <w:rsid w:val="00565FD5"/>
    <w:rPr>
      <w:rFonts w:ascii="Tahoma" w:eastAsia="Times New Roman" w:hAnsi="Tahoma" w:cs="Times New Roman"/>
      <w:sz w:val="18"/>
      <w:szCs w:val="18"/>
    </w:rPr>
  </w:style>
  <w:style w:type="character" w:customStyle="1" w:styleId="normal10">
    <w:name w:val="normal1"/>
    <w:basedOn w:val="VarsaylanParagrafYazTipi"/>
    <w:uiPriority w:val="99"/>
    <w:rsid w:val="00565FD5"/>
    <w:rPr>
      <w:rFonts w:cs="Times New Roman"/>
    </w:rPr>
  </w:style>
  <w:style w:type="paragraph" w:styleId="GvdeMetni21">
    <w:name w:val="Body Text 2"/>
    <w:basedOn w:val="Normal"/>
    <w:link w:val="GvdeMetni2Char"/>
    <w:uiPriority w:val="99"/>
    <w:rsid w:val="00565FD5"/>
    <w:pPr>
      <w:tabs>
        <w:tab w:val="left" w:pos="425"/>
      </w:tabs>
      <w:spacing w:after="120" w:line="480" w:lineRule="auto"/>
      <w:jc w:val="both"/>
    </w:pPr>
    <w:rPr>
      <w:rFonts w:ascii="Tahoma" w:eastAsia="Times New Roman" w:hAnsi="Tahoma" w:cs="Times New Roman"/>
      <w:sz w:val="18"/>
      <w:szCs w:val="20"/>
    </w:rPr>
  </w:style>
  <w:style w:type="character" w:customStyle="1" w:styleId="GvdeMetni2Char">
    <w:name w:val="Gövde Metni 2 Char"/>
    <w:basedOn w:val="VarsaylanParagrafYazTipi"/>
    <w:link w:val="GvdeMetni21"/>
    <w:uiPriority w:val="99"/>
    <w:rsid w:val="00565FD5"/>
    <w:rPr>
      <w:rFonts w:ascii="Tahoma" w:eastAsia="Times New Roman" w:hAnsi="Tahoma" w:cs="Times New Roman"/>
      <w:sz w:val="18"/>
      <w:szCs w:val="20"/>
    </w:rPr>
  </w:style>
  <w:style w:type="paragraph" w:styleId="T2">
    <w:name w:val="toc 2"/>
    <w:basedOn w:val="Normal"/>
    <w:next w:val="Normal"/>
    <w:autoRedefine/>
    <w:uiPriority w:val="99"/>
    <w:rsid w:val="00565FD5"/>
    <w:pPr>
      <w:tabs>
        <w:tab w:val="right" w:leader="dot" w:pos="7134"/>
      </w:tabs>
      <w:spacing w:after="100" w:line="240" w:lineRule="auto"/>
      <w:ind w:left="180"/>
    </w:pPr>
    <w:rPr>
      <w:rFonts w:ascii="Tahoma" w:eastAsia="Times New Roman" w:hAnsi="Tahoma" w:cs="Times New Roman"/>
      <w:b/>
      <w:noProof/>
      <w:sz w:val="18"/>
      <w:szCs w:val="20"/>
    </w:rPr>
  </w:style>
  <w:style w:type="paragraph" w:styleId="T3">
    <w:name w:val="toc 3"/>
    <w:basedOn w:val="Normal"/>
    <w:next w:val="Normal"/>
    <w:autoRedefine/>
    <w:uiPriority w:val="99"/>
    <w:rsid w:val="00565FD5"/>
    <w:pPr>
      <w:tabs>
        <w:tab w:val="right" w:leader="dot" w:pos="7134"/>
      </w:tabs>
      <w:spacing w:after="100" w:line="240" w:lineRule="auto"/>
      <w:ind w:left="360"/>
    </w:pPr>
    <w:rPr>
      <w:rFonts w:ascii="Tahoma" w:eastAsia="Times New Roman" w:hAnsi="Tahoma" w:cs="Times New Roman"/>
      <w:sz w:val="18"/>
      <w:szCs w:val="20"/>
    </w:rPr>
  </w:style>
  <w:style w:type="paragraph" w:styleId="ResimYazs">
    <w:name w:val="caption"/>
    <w:basedOn w:val="Normal"/>
    <w:next w:val="Normal"/>
    <w:uiPriority w:val="99"/>
    <w:qFormat/>
    <w:rsid w:val="00565FD5"/>
    <w:pPr>
      <w:keepNext/>
      <w:tabs>
        <w:tab w:val="left" w:pos="1170"/>
      </w:tabs>
      <w:spacing w:after="80" w:line="240" w:lineRule="auto"/>
      <w:ind w:left="1168" w:hanging="1168"/>
    </w:pPr>
    <w:rPr>
      <w:rFonts w:ascii="Tahoma" w:eastAsia="Times New Roman" w:hAnsi="Tahoma" w:cs="Times New Roman"/>
      <w:b/>
      <w:sz w:val="16"/>
      <w:szCs w:val="18"/>
    </w:rPr>
  </w:style>
  <w:style w:type="paragraph" w:styleId="GvdeMetniGirintisi2">
    <w:name w:val="Body Text Indent 2"/>
    <w:basedOn w:val="Normal"/>
    <w:link w:val="GvdeMetniGirintisi2Char"/>
    <w:uiPriority w:val="99"/>
    <w:semiHidden/>
    <w:rsid w:val="00565FD5"/>
    <w:pPr>
      <w:tabs>
        <w:tab w:val="left" w:pos="425"/>
      </w:tabs>
      <w:spacing w:after="120" w:line="480" w:lineRule="auto"/>
      <w:ind w:left="283"/>
      <w:jc w:val="both"/>
    </w:pPr>
    <w:rPr>
      <w:rFonts w:ascii="Tahoma" w:eastAsia="Times New Roman" w:hAnsi="Tahoma" w:cs="Times New Roman"/>
      <w:sz w:val="18"/>
      <w:szCs w:val="20"/>
    </w:rPr>
  </w:style>
  <w:style w:type="character" w:customStyle="1" w:styleId="GvdeMetniGirintisi2Char">
    <w:name w:val="Gövde Metni Girintisi 2 Char"/>
    <w:basedOn w:val="VarsaylanParagrafYazTipi"/>
    <w:link w:val="GvdeMetniGirintisi2"/>
    <w:uiPriority w:val="99"/>
    <w:semiHidden/>
    <w:rsid w:val="00565FD5"/>
    <w:rPr>
      <w:rFonts w:ascii="Tahoma" w:eastAsia="Times New Roman" w:hAnsi="Tahoma" w:cs="Times New Roman"/>
      <w:sz w:val="18"/>
      <w:szCs w:val="20"/>
    </w:rPr>
  </w:style>
  <w:style w:type="character" w:customStyle="1" w:styleId="Heading3CharCharChar">
    <w:name w:val="Heading 3 Char Char Char"/>
    <w:aliases w:val="Heading 3 Char Char Char Char Char Char"/>
    <w:uiPriority w:val="99"/>
    <w:rsid w:val="00565FD5"/>
    <w:rPr>
      <w:rFonts w:ascii="Tahoma" w:hAnsi="Tahoma"/>
      <w:b/>
      <w:noProof/>
      <w:sz w:val="18"/>
      <w:lang w:val="en-US" w:eastAsia="en-US"/>
    </w:rPr>
  </w:style>
  <w:style w:type="character" w:customStyle="1" w:styleId="spelle">
    <w:name w:val="spelle"/>
    <w:basedOn w:val="VarsaylanParagrafYazTipi"/>
    <w:uiPriority w:val="99"/>
    <w:rsid w:val="00565FD5"/>
    <w:rPr>
      <w:rFonts w:cs="Times New Roman"/>
    </w:rPr>
  </w:style>
  <w:style w:type="character" w:customStyle="1" w:styleId="grame">
    <w:name w:val="grame"/>
    <w:basedOn w:val="VarsaylanParagrafYazTipi"/>
    <w:uiPriority w:val="99"/>
    <w:rsid w:val="00565FD5"/>
    <w:rPr>
      <w:rFonts w:cs="Times New Roman"/>
    </w:rPr>
  </w:style>
  <w:style w:type="paragraph" w:styleId="T4">
    <w:name w:val="toc 4"/>
    <w:basedOn w:val="Normal"/>
    <w:next w:val="Normal"/>
    <w:autoRedefine/>
    <w:uiPriority w:val="99"/>
    <w:rsid w:val="00565FD5"/>
    <w:pPr>
      <w:tabs>
        <w:tab w:val="right" w:leader="dot" w:pos="6930"/>
      </w:tabs>
      <w:spacing w:after="0" w:line="240" w:lineRule="auto"/>
      <w:ind w:left="540" w:right="66"/>
    </w:pPr>
    <w:rPr>
      <w:rFonts w:ascii="Tahoma" w:eastAsia="Times New Roman" w:hAnsi="Tahoma" w:cs="Tahoma"/>
      <w:noProof/>
      <w:sz w:val="18"/>
      <w:szCs w:val="18"/>
    </w:rPr>
  </w:style>
  <w:style w:type="paragraph" w:styleId="T5">
    <w:name w:val="toc 5"/>
    <w:basedOn w:val="Normal"/>
    <w:next w:val="Normal"/>
    <w:autoRedefine/>
    <w:uiPriority w:val="99"/>
    <w:rsid w:val="00565FD5"/>
    <w:pPr>
      <w:spacing w:after="0" w:line="240" w:lineRule="auto"/>
      <w:ind w:left="720"/>
    </w:pPr>
    <w:rPr>
      <w:rFonts w:ascii="Times New Roman" w:eastAsia="Times New Roman" w:hAnsi="Times New Roman" w:cs="Times New Roman"/>
      <w:sz w:val="18"/>
      <w:szCs w:val="18"/>
    </w:rPr>
  </w:style>
  <w:style w:type="paragraph" w:styleId="T6">
    <w:name w:val="toc 6"/>
    <w:basedOn w:val="Normal"/>
    <w:next w:val="Normal"/>
    <w:autoRedefine/>
    <w:uiPriority w:val="99"/>
    <w:rsid w:val="00565FD5"/>
    <w:pPr>
      <w:spacing w:after="0" w:line="240" w:lineRule="auto"/>
      <w:ind w:left="900"/>
    </w:pPr>
    <w:rPr>
      <w:rFonts w:ascii="Times New Roman" w:eastAsia="Times New Roman" w:hAnsi="Times New Roman" w:cs="Times New Roman"/>
      <w:sz w:val="18"/>
      <w:szCs w:val="18"/>
    </w:rPr>
  </w:style>
  <w:style w:type="paragraph" w:styleId="T7">
    <w:name w:val="toc 7"/>
    <w:basedOn w:val="Normal"/>
    <w:next w:val="Normal"/>
    <w:autoRedefine/>
    <w:uiPriority w:val="99"/>
    <w:rsid w:val="00565FD5"/>
    <w:pPr>
      <w:spacing w:after="0" w:line="240" w:lineRule="auto"/>
      <w:ind w:left="1080"/>
    </w:pPr>
    <w:rPr>
      <w:rFonts w:ascii="Times New Roman" w:eastAsia="Times New Roman" w:hAnsi="Times New Roman" w:cs="Times New Roman"/>
      <w:sz w:val="18"/>
      <w:szCs w:val="18"/>
    </w:rPr>
  </w:style>
  <w:style w:type="paragraph" w:styleId="T8">
    <w:name w:val="toc 8"/>
    <w:basedOn w:val="Normal"/>
    <w:next w:val="Normal"/>
    <w:autoRedefine/>
    <w:uiPriority w:val="99"/>
    <w:rsid w:val="00565FD5"/>
    <w:pPr>
      <w:spacing w:after="0" w:line="240" w:lineRule="auto"/>
      <w:ind w:left="1260"/>
    </w:pPr>
    <w:rPr>
      <w:rFonts w:ascii="Times New Roman" w:eastAsia="Times New Roman" w:hAnsi="Times New Roman" w:cs="Times New Roman"/>
      <w:sz w:val="18"/>
      <w:szCs w:val="18"/>
    </w:rPr>
  </w:style>
  <w:style w:type="paragraph" w:styleId="T9">
    <w:name w:val="toc 9"/>
    <w:basedOn w:val="Normal"/>
    <w:next w:val="Normal"/>
    <w:autoRedefine/>
    <w:uiPriority w:val="99"/>
    <w:rsid w:val="00565FD5"/>
    <w:pPr>
      <w:spacing w:after="0" w:line="240" w:lineRule="auto"/>
      <w:ind w:left="1440"/>
    </w:pPr>
    <w:rPr>
      <w:rFonts w:ascii="Times New Roman" w:eastAsia="Times New Roman" w:hAnsi="Times New Roman" w:cs="Times New Roman"/>
      <w:sz w:val="18"/>
      <w:szCs w:val="18"/>
    </w:rPr>
  </w:style>
  <w:style w:type="paragraph" w:styleId="Liste">
    <w:name w:val="List"/>
    <w:basedOn w:val="Normal"/>
    <w:uiPriority w:val="99"/>
    <w:semiHidden/>
    <w:rsid w:val="00565FD5"/>
    <w:pPr>
      <w:tabs>
        <w:tab w:val="left" w:pos="425"/>
      </w:tabs>
      <w:spacing w:after="240" w:line="240" w:lineRule="auto"/>
      <w:ind w:firstLine="567"/>
      <w:jc w:val="both"/>
    </w:pPr>
    <w:rPr>
      <w:rFonts w:ascii="Tahoma" w:eastAsia="Times New Roman" w:hAnsi="Tahoma" w:cs="Times New Roman"/>
      <w:b/>
      <w:sz w:val="18"/>
      <w:szCs w:val="20"/>
    </w:rPr>
  </w:style>
  <w:style w:type="paragraph" w:styleId="Liste2">
    <w:name w:val="List 2"/>
    <w:basedOn w:val="Normal"/>
    <w:uiPriority w:val="99"/>
    <w:semiHidden/>
    <w:rsid w:val="00565FD5"/>
    <w:pPr>
      <w:tabs>
        <w:tab w:val="left" w:pos="425"/>
      </w:tabs>
      <w:spacing w:after="240" w:line="240" w:lineRule="auto"/>
      <w:ind w:firstLine="567"/>
      <w:jc w:val="both"/>
    </w:pPr>
    <w:rPr>
      <w:rFonts w:ascii="Tahoma" w:eastAsia="Times New Roman" w:hAnsi="Tahoma" w:cs="Times New Roman"/>
      <w:sz w:val="18"/>
      <w:szCs w:val="20"/>
    </w:rPr>
  </w:style>
  <w:style w:type="paragraph" w:styleId="Liste3">
    <w:name w:val="List 3"/>
    <w:basedOn w:val="Normal"/>
    <w:uiPriority w:val="99"/>
    <w:semiHidden/>
    <w:rsid w:val="00565FD5"/>
    <w:pPr>
      <w:tabs>
        <w:tab w:val="left" w:pos="425"/>
      </w:tabs>
      <w:spacing w:after="240" w:line="240" w:lineRule="auto"/>
      <w:ind w:firstLine="567"/>
      <w:jc w:val="both"/>
    </w:pPr>
    <w:rPr>
      <w:rFonts w:ascii="Tahoma" w:eastAsia="Times New Roman" w:hAnsi="Tahoma" w:cs="Times New Roman"/>
      <w:sz w:val="18"/>
      <w:szCs w:val="20"/>
    </w:rPr>
  </w:style>
  <w:style w:type="paragraph" w:styleId="Liste4">
    <w:name w:val="List 4"/>
    <w:basedOn w:val="Normal"/>
    <w:uiPriority w:val="99"/>
    <w:semiHidden/>
    <w:rsid w:val="00565FD5"/>
    <w:pPr>
      <w:tabs>
        <w:tab w:val="left" w:pos="425"/>
      </w:tabs>
      <w:spacing w:after="240" w:line="240" w:lineRule="auto"/>
      <w:ind w:left="567" w:hanging="567"/>
      <w:jc w:val="both"/>
    </w:pPr>
    <w:rPr>
      <w:rFonts w:ascii="Tahoma" w:eastAsia="Times New Roman" w:hAnsi="Tahoma" w:cs="Times New Roman"/>
      <w:sz w:val="18"/>
      <w:szCs w:val="20"/>
    </w:rPr>
  </w:style>
  <w:style w:type="paragraph" w:styleId="Liste5">
    <w:name w:val="List 5"/>
    <w:basedOn w:val="Normal"/>
    <w:uiPriority w:val="99"/>
    <w:semiHidden/>
    <w:rsid w:val="00565FD5"/>
    <w:pPr>
      <w:tabs>
        <w:tab w:val="left" w:pos="425"/>
      </w:tabs>
      <w:spacing w:after="0" w:line="240" w:lineRule="auto"/>
      <w:ind w:firstLine="567"/>
      <w:jc w:val="both"/>
    </w:pPr>
    <w:rPr>
      <w:rFonts w:ascii="Tahoma" w:eastAsia="Times New Roman" w:hAnsi="Tahoma" w:cs="Times New Roman"/>
      <w:sz w:val="18"/>
      <w:szCs w:val="20"/>
    </w:rPr>
  </w:style>
  <w:style w:type="paragraph" w:styleId="BelgeBalantlar">
    <w:name w:val="Document Map"/>
    <w:basedOn w:val="Normal"/>
    <w:link w:val="BelgeBalantlarChar"/>
    <w:uiPriority w:val="99"/>
    <w:semiHidden/>
    <w:rsid w:val="00565FD5"/>
    <w:pPr>
      <w:shd w:val="clear" w:color="auto" w:fill="000080"/>
      <w:tabs>
        <w:tab w:val="left" w:pos="425"/>
        <w:tab w:val="left" w:pos="567"/>
      </w:tabs>
      <w:spacing w:after="0" w:line="240" w:lineRule="auto"/>
    </w:pPr>
    <w:rPr>
      <w:rFonts w:ascii="Tahoma" w:eastAsia="Times New Roman" w:hAnsi="Tahoma" w:cs="Times New Roman"/>
      <w:b/>
      <w:sz w:val="16"/>
      <w:szCs w:val="20"/>
    </w:rPr>
  </w:style>
  <w:style w:type="character" w:customStyle="1" w:styleId="BelgeBalantlarChar">
    <w:name w:val="Belge Bağlantıları Char"/>
    <w:basedOn w:val="VarsaylanParagrafYazTipi"/>
    <w:link w:val="BelgeBalantlar"/>
    <w:uiPriority w:val="99"/>
    <w:semiHidden/>
    <w:rsid w:val="00565FD5"/>
    <w:rPr>
      <w:rFonts w:ascii="Tahoma" w:eastAsia="Times New Roman" w:hAnsi="Tahoma" w:cs="Times New Roman"/>
      <w:b/>
      <w:sz w:val="16"/>
      <w:szCs w:val="20"/>
      <w:shd w:val="clear" w:color="auto" w:fill="000080"/>
    </w:rPr>
  </w:style>
  <w:style w:type="paragraph" w:styleId="ListeMaddemi">
    <w:name w:val="List Bullet"/>
    <w:basedOn w:val="Normal"/>
    <w:autoRedefine/>
    <w:uiPriority w:val="99"/>
    <w:semiHidden/>
    <w:rsid w:val="00565FD5"/>
    <w:pPr>
      <w:tabs>
        <w:tab w:val="num" w:pos="360"/>
        <w:tab w:val="left" w:pos="425"/>
        <w:tab w:val="left" w:pos="567"/>
        <w:tab w:val="left" w:pos="737"/>
      </w:tabs>
      <w:spacing w:after="0" w:line="240" w:lineRule="auto"/>
      <w:jc w:val="both"/>
    </w:pPr>
    <w:rPr>
      <w:rFonts w:ascii="Tahoma" w:eastAsia="Times New Roman" w:hAnsi="Tahoma" w:cs="Times New Roman"/>
      <w:sz w:val="18"/>
      <w:szCs w:val="20"/>
    </w:rPr>
  </w:style>
  <w:style w:type="paragraph" w:styleId="ListeMaddemi2">
    <w:name w:val="List Bullet 2"/>
    <w:basedOn w:val="Normal"/>
    <w:autoRedefine/>
    <w:uiPriority w:val="99"/>
    <w:semiHidden/>
    <w:rsid w:val="00565FD5"/>
    <w:pPr>
      <w:tabs>
        <w:tab w:val="num" w:pos="360"/>
        <w:tab w:val="left" w:pos="425"/>
        <w:tab w:val="left" w:pos="737"/>
      </w:tabs>
      <w:spacing w:after="0" w:line="240" w:lineRule="auto"/>
      <w:ind w:left="360" w:hanging="360"/>
      <w:jc w:val="both"/>
    </w:pPr>
    <w:rPr>
      <w:rFonts w:ascii="Tahoma" w:eastAsia="Times New Roman" w:hAnsi="Tahoma" w:cs="Times New Roman"/>
      <w:sz w:val="18"/>
      <w:szCs w:val="20"/>
    </w:rPr>
  </w:style>
  <w:style w:type="character" w:customStyle="1" w:styleId="FooterChar">
    <w:name w:val="Footer Char"/>
    <w:basedOn w:val="VarsaylanParagrafYazTipi"/>
    <w:uiPriority w:val="99"/>
    <w:rsid w:val="00565FD5"/>
    <w:rPr>
      <w:rFonts w:ascii="Tahoma" w:hAnsi="Tahoma" w:cs="Times New Roman"/>
      <w:sz w:val="20"/>
      <w:szCs w:val="20"/>
    </w:rPr>
  </w:style>
  <w:style w:type="character" w:styleId="SayfaNumaras">
    <w:name w:val="page number"/>
    <w:basedOn w:val="VarsaylanParagrafYazTipi"/>
    <w:uiPriority w:val="99"/>
    <w:semiHidden/>
    <w:rsid w:val="00565FD5"/>
    <w:rPr>
      <w:rFonts w:cs="Times New Roman"/>
    </w:rPr>
  </w:style>
  <w:style w:type="paragraph" w:customStyle="1" w:styleId="StyleCaption12ptNotBold">
    <w:name w:val="Style Caption + 12 pt Not Bold"/>
    <w:basedOn w:val="ResimYazs"/>
    <w:uiPriority w:val="99"/>
    <w:semiHidden/>
    <w:rsid w:val="00565FD5"/>
    <w:pPr>
      <w:keepNext w:val="0"/>
      <w:spacing w:before="120"/>
    </w:pPr>
    <w:rPr>
      <w:b w:val="0"/>
      <w:noProof/>
      <w:lang w:val="en-US"/>
    </w:rPr>
  </w:style>
  <w:style w:type="paragraph" w:customStyle="1" w:styleId="Style1">
    <w:name w:val="Style1"/>
    <w:basedOn w:val="GvdeMetni"/>
    <w:next w:val="GvdeMetni21"/>
    <w:uiPriority w:val="99"/>
    <w:semiHidden/>
    <w:rsid w:val="00565FD5"/>
    <w:pPr>
      <w:tabs>
        <w:tab w:val="left" w:pos="425"/>
      </w:tabs>
      <w:spacing w:after="180"/>
    </w:pPr>
    <w:rPr>
      <w:sz w:val="18"/>
      <w:szCs w:val="18"/>
      <w:lang w:eastAsia="en-US"/>
    </w:rPr>
  </w:style>
  <w:style w:type="paragraph" w:customStyle="1" w:styleId="StyleCaptionAfter0pt">
    <w:name w:val="Style Caption + After:  0 pt"/>
    <w:basedOn w:val="ResimYazs"/>
    <w:uiPriority w:val="99"/>
    <w:semiHidden/>
    <w:rsid w:val="00565FD5"/>
    <w:pPr>
      <w:spacing w:after="0"/>
    </w:pPr>
    <w:rPr>
      <w:bCs/>
    </w:rPr>
  </w:style>
  <w:style w:type="paragraph" w:styleId="ListeMaddemi4">
    <w:name w:val="List Bullet 4"/>
    <w:basedOn w:val="Normal"/>
    <w:autoRedefine/>
    <w:uiPriority w:val="99"/>
    <w:semiHidden/>
    <w:rsid w:val="00565FD5"/>
    <w:pPr>
      <w:tabs>
        <w:tab w:val="num" w:pos="851"/>
      </w:tabs>
      <w:spacing w:after="0" w:line="240" w:lineRule="auto"/>
      <w:ind w:left="851" w:hanging="426"/>
    </w:pPr>
    <w:rPr>
      <w:rFonts w:ascii="Times New Roman" w:eastAsia="Times New Roman" w:hAnsi="Times New Roman" w:cs="Times New Roman"/>
      <w:sz w:val="24"/>
      <w:szCs w:val="24"/>
      <w:lang w:val="en-US"/>
    </w:rPr>
  </w:style>
  <w:style w:type="paragraph" w:styleId="ListeNumaras">
    <w:name w:val="List Number"/>
    <w:basedOn w:val="Normal"/>
    <w:uiPriority w:val="99"/>
    <w:semiHidden/>
    <w:rsid w:val="00565FD5"/>
    <w:pPr>
      <w:tabs>
        <w:tab w:val="num" w:pos="851"/>
      </w:tabs>
      <w:spacing w:after="0" w:line="240" w:lineRule="auto"/>
      <w:ind w:left="851" w:hanging="426"/>
    </w:pPr>
    <w:rPr>
      <w:rFonts w:ascii="Times New Roman" w:eastAsia="Times New Roman" w:hAnsi="Times New Roman" w:cs="Times New Roman"/>
      <w:sz w:val="24"/>
      <w:szCs w:val="24"/>
      <w:lang w:val="en-US"/>
    </w:rPr>
  </w:style>
  <w:style w:type="paragraph" w:styleId="ListeNumaras2">
    <w:name w:val="List Number 2"/>
    <w:basedOn w:val="Normal"/>
    <w:uiPriority w:val="99"/>
    <w:semiHidden/>
    <w:rsid w:val="00565FD5"/>
    <w:pPr>
      <w:tabs>
        <w:tab w:val="num" w:pos="851"/>
      </w:tabs>
      <w:spacing w:after="0" w:line="240" w:lineRule="auto"/>
      <w:ind w:left="851" w:hanging="426"/>
    </w:pPr>
    <w:rPr>
      <w:rFonts w:ascii="Times New Roman" w:eastAsia="Times New Roman" w:hAnsi="Times New Roman" w:cs="Times New Roman"/>
      <w:sz w:val="24"/>
      <w:szCs w:val="24"/>
      <w:lang w:val="en-US"/>
    </w:rPr>
  </w:style>
  <w:style w:type="paragraph" w:styleId="ListeNumaras3">
    <w:name w:val="List Number 3"/>
    <w:basedOn w:val="Normal"/>
    <w:uiPriority w:val="99"/>
    <w:semiHidden/>
    <w:rsid w:val="00565FD5"/>
    <w:pPr>
      <w:tabs>
        <w:tab w:val="num" w:pos="1080"/>
      </w:tabs>
      <w:spacing w:after="0" w:line="240" w:lineRule="auto"/>
      <w:ind w:left="1080" w:hanging="360"/>
    </w:pPr>
    <w:rPr>
      <w:rFonts w:ascii="Times New Roman" w:eastAsia="Times New Roman" w:hAnsi="Times New Roman" w:cs="Times New Roman"/>
      <w:sz w:val="24"/>
      <w:szCs w:val="24"/>
      <w:lang w:val="en-US"/>
    </w:rPr>
  </w:style>
  <w:style w:type="paragraph" w:styleId="ListeNumaras4">
    <w:name w:val="List Number 4"/>
    <w:basedOn w:val="Normal"/>
    <w:uiPriority w:val="99"/>
    <w:semiHidden/>
    <w:rsid w:val="00565FD5"/>
    <w:pPr>
      <w:tabs>
        <w:tab w:val="num" w:pos="360"/>
      </w:tabs>
      <w:spacing w:after="0" w:line="240" w:lineRule="auto"/>
      <w:ind w:left="360" w:hanging="360"/>
    </w:pPr>
    <w:rPr>
      <w:rFonts w:ascii="Times New Roman" w:eastAsia="Times New Roman" w:hAnsi="Times New Roman" w:cs="Times New Roman"/>
      <w:sz w:val="24"/>
      <w:szCs w:val="24"/>
      <w:lang w:val="en-US"/>
    </w:rPr>
  </w:style>
  <w:style w:type="paragraph" w:styleId="ListeNumaras5">
    <w:name w:val="List Number 5"/>
    <w:basedOn w:val="Normal"/>
    <w:uiPriority w:val="99"/>
    <w:semiHidden/>
    <w:rsid w:val="00565FD5"/>
    <w:pPr>
      <w:tabs>
        <w:tab w:val="num" w:pos="992"/>
      </w:tabs>
      <w:spacing w:after="0" w:line="240" w:lineRule="auto"/>
      <w:ind w:left="992" w:hanging="368"/>
    </w:pPr>
    <w:rPr>
      <w:rFonts w:ascii="Times New Roman" w:eastAsia="Times New Roman" w:hAnsi="Times New Roman" w:cs="Times New Roman"/>
      <w:sz w:val="24"/>
      <w:szCs w:val="24"/>
      <w:lang w:val="en-US"/>
    </w:rPr>
  </w:style>
  <w:style w:type="paragraph" w:customStyle="1" w:styleId="xl26">
    <w:name w:val="xl26"/>
    <w:basedOn w:val="Normal"/>
    <w:uiPriority w:val="99"/>
    <w:semiHidden/>
    <w:rsid w:val="00565FD5"/>
    <w:pPr>
      <w:spacing w:before="100" w:beforeAutospacing="1" w:after="100" w:afterAutospacing="1" w:line="240" w:lineRule="auto"/>
    </w:pPr>
    <w:rPr>
      <w:rFonts w:ascii="Arial" w:eastAsia="Arial Unicode MS" w:hAnsi="Arial" w:cs="Arial"/>
      <w:b/>
      <w:bCs/>
      <w:sz w:val="24"/>
      <w:szCs w:val="24"/>
      <w:lang w:val="en-US"/>
    </w:rPr>
  </w:style>
  <w:style w:type="paragraph" w:customStyle="1" w:styleId="BalonMetni2">
    <w:name w:val="Balon Metni2"/>
    <w:basedOn w:val="Normal"/>
    <w:uiPriority w:val="99"/>
    <w:semiHidden/>
    <w:rsid w:val="00565FD5"/>
    <w:pPr>
      <w:spacing w:after="0" w:line="240" w:lineRule="auto"/>
    </w:pPr>
    <w:rPr>
      <w:rFonts w:ascii="Tahoma" w:eastAsia="Times New Roman" w:hAnsi="Tahoma" w:cs="Tahoma"/>
      <w:sz w:val="16"/>
      <w:szCs w:val="16"/>
      <w:lang w:val="en-US"/>
    </w:rPr>
  </w:style>
  <w:style w:type="paragraph" w:styleId="NormalGirinti">
    <w:name w:val="Normal Indent"/>
    <w:basedOn w:val="Normal"/>
    <w:uiPriority w:val="99"/>
    <w:semiHidden/>
    <w:rsid w:val="00565FD5"/>
    <w:pPr>
      <w:spacing w:after="0" w:line="240" w:lineRule="auto"/>
      <w:ind w:left="720"/>
    </w:pPr>
    <w:rPr>
      <w:rFonts w:ascii="Times New Roman" w:eastAsia="Times New Roman" w:hAnsi="Times New Roman" w:cs="Times New Roman"/>
      <w:sz w:val="24"/>
      <w:szCs w:val="24"/>
      <w:lang w:val="en-US"/>
    </w:rPr>
  </w:style>
  <w:style w:type="paragraph" w:customStyle="1" w:styleId="xl25">
    <w:name w:val="xl25"/>
    <w:basedOn w:val="Normal"/>
    <w:uiPriority w:val="99"/>
    <w:semiHidden/>
    <w:rsid w:val="00565FD5"/>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8"/>
      <w:szCs w:val="18"/>
      <w:lang w:val="en-US"/>
    </w:rPr>
  </w:style>
  <w:style w:type="paragraph" w:styleId="ekillerTablosu">
    <w:name w:val="table of figures"/>
    <w:aliases w:val="şekiller"/>
    <w:basedOn w:val="Normal"/>
    <w:next w:val="Normal"/>
    <w:uiPriority w:val="99"/>
    <w:rsid w:val="00565FD5"/>
    <w:pPr>
      <w:spacing w:after="0" w:line="240" w:lineRule="auto"/>
      <w:ind w:left="360" w:hanging="360"/>
      <w:jc w:val="both"/>
    </w:pPr>
    <w:rPr>
      <w:rFonts w:ascii="Tahoma" w:eastAsia="Times New Roman" w:hAnsi="Tahoma" w:cs="Times New Roman"/>
      <w:sz w:val="18"/>
      <w:szCs w:val="20"/>
    </w:rPr>
  </w:style>
  <w:style w:type="paragraph" w:styleId="SonnotMetni">
    <w:name w:val="endnote text"/>
    <w:basedOn w:val="Normal"/>
    <w:link w:val="SonnotMetniChar"/>
    <w:uiPriority w:val="99"/>
    <w:semiHidden/>
    <w:rsid w:val="00565FD5"/>
    <w:pPr>
      <w:spacing w:after="0" w:line="240" w:lineRule="auto"/>
    </w:pPr>
    <w:rPr>
      <w:rFonts w:ascii="Times New Roman" w:eastAsia="Times New Roman" w:hAnsi="Times New Roman" w:cs="Times New Roman"/>
      <w:sz w:val="20"/>
      <w:szCs w:val="20"/>
    </w:rPr>
  </w:style>
  <w:style w:type="character" w:customStyle="1" w:styleId="SonnotMetniChar">
    <w:name w:val="Sonnot Metni Char"/>
    <w:basedOn w:val="VarsaylanParagrafYazTipi"/>
    <w:link w:val="SonnotMetni"/>
    <w:uiPriority w:val="99"/>
    <w:semiHidden/>
    <w:rsid w:val="00565FD5"/>
    <w:rPr>
      <w:rFonts w:ascii="Times New Roman" w:eastAsia="Times New Roman" w:hAnsi="Times New Roman" w:cs="Times New Roman"/>
      <w:sz w:val="20"/>
      <w:szCs w:val="20"/>
    </w:rPr>
  </w:style>
  <w:style w:type="paragraph" w:customStyle="1" w:styleId="xl44">
    <w:name w:val="xl44"/>
    <w:basedOn w:val="Normal"/>
    <w:uiPriority w:val="99"/>
    <w:semiHidden/>
    <w:rsid w:val="00565FD5"/>
    <w:pPr>
      <w:pBdr>
        <w:left w:val="single" w:sz="8" w:space="0" w:color="auto"/>
      </w:pBdr>
      <w:spacing w:before="100" w:beforeAutospacing="1" w:after="100" w:afterAutospacing="1" w:line="240" w:lineRule="auto"/>
    </w:pPr>
    <w:rPr>
      <w:rFonts w:ascii="Tahoma" w:eastAsia="Arial Unicode MS" w:hAnsi="Tahoma" w:cs="Tahoma"/>
      <w:color w:val="000000"/>
      <w:sz w:val="18"/>
      <w:szCs w:val="18"/>
    </w:rPr>
  </w:style>
  <w:style w:type="paragraph" w:customStyle="1" w:styleId="xl45">
    <w:name w:val="xl45"/>
    <w:basedOn w:val="Normal"/>
    <w:uiPriority w:val="99"/>
    <w:semiHidden/>
    <w:rsid w:val="00565FD5"/>
    <w:pPr>
      <w:pBdr>
        <w:right w:val="single" w:sz="8" w:space="0" w:color="auto"/>
      </w:pBdr>
      <w:spacing w:before="100" w:beforeAutospacing="1" w:after="100" w:afterAutospacing="1" w:line="240" w:lineRule="auto"/>
      <w:jc w:val="right"/>
    </w:pPr>
    <w:rPr>
      <w:rFonts w:ascii="Tahoma" w:eastAsia="Arial Unicode MS" w:hAnsi="Tahoma" w:cs="Tahoma"/>
      <w:color w:val="000000"/>
      <w:sz w:val="18"/>
      <w:szCs w:val="18"/>
    </w:rPr>
  </w:style>
  <w:style w:type="paragraph" w:customStyle="1" w:styleId="koyu">
    <w:name w:val="koyu"/>
    <w:basedOn w:val="Normal"/>
    <w:uiPriority w:val="99"/>
    <w:semiHidden/>
    <w:rsid w:val="00565FD5"/>
    <w:pPr>
      <w:spacing w:before="100" w:beforeAutospacing="1" w:after="100" w:afterAutospacing="1" w:line="240" w:lineRule="auto"/>
      <w:jc w:val="center"/>
    </w:pPr>
    <w:rPr>
      <w:rFonts w:ascii="Verdana" w:eastAsia="Arial Unicode MS" w:hAnsi="Verdana" w:cs="Arial Unicode MS"/>
      <w:b/>
      <w:bCs/>
      <w:sz w:val="16"/>
      <w:szCs w:val="16"/>
      <w:lang w:val="en-US"/>
    </w:rPr>
  </w:style>
  <w:style w:type="paragraph" w:customStyle="1" w:styleId="xl27">
    <w:name w:val="xl27"/>
    <w:basedOn w:val="Normal"/>
    <w:uiPriority w:val="99"/>
    <w:semiHidden/>
    <w:rsid w:val="00565F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18"/>
      <w:szCs w:val="18"/>
      <w:lang w:val="en-US"/>
    </w:rPr>
  </w:style>
  <w:style w:type="paragraph" w:styleId="AltKonuBal">
    <w:name w:val="Subtitle"/>
    <w:basedOn w:val="Normal"/>
    <w:link w:val="AltKonuBalChar"/>
    <w:uiPriority w:val="99"/>
    <w:qFormat/>
    <w:rsid w:val="00565FD5"/>
    <w:pPr>
      <w:tabs>
        <w:tab w:val="num" w:pos="426"/>
        <w:tab w:val="num" w:pos="1440"/>
      </w:tabs>
      <w:spacing w:after="0" w:line="240" w:lineRule="auto"/>
      <w:ind w:left="426" w:hanging="426"/>
    </w:pPr>
    <w:rPr>
      <w:rFonts w:ascii="Arial" w:eastAsia="Times New Roman" w:hAnsi="Arial" w:cs="Times New Roman"/>
      <w:b/>
      <w:szCs w:val="20"/>
    </w:rPr>
  </w:style>
  <w:style w:type="character" w:customStyle="1" w:styleId="AltKonuBalChar">
    <w:name w:val="Alt Konu Başlığı Char"/>
    <w:basedOn w:val="VarsaylanParagrafYazTipi"/>
    <w:link w:val="AltKonuBal"/>
    <w:uiPriority w:val="99"/>
    <w:rsid w:val="00565FD5"/>
    <w:rPr>
      <w:rFonts w:ascii="Arial" w:eastAsia="Times New Roman" w:hAnsi="Arial" w:cs="Times New Roman"/>
      <w:b/>
      <w:szCs w:val="20"/>
    </w:rPr>
  </w:style>
  <w:style w:type="paragraph" w:customStyle="1" w:styleId="xl50">
    <w:name w:val="xl50"/>
    <w:basedOn w:val="Normal"/>
    <w:uiPriority w:val="99"/>
    <w:semiHidden/>
    <w:rsid w:val="00565FD5"/>
    <w:pPr>
      <w:pBdr>
        <w:left w:val="single" w:sz="4" w:space="0" w:color="auto"/>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val="en-US"/>
    </w:rPr>
  </w:style>
  <w:style w:type="paragraph" w:customStyle="1" w:styleId="xl30">
    <w:name w:val="xl30"/>
    <w:basedOn w:val="Normal"/>
    <w:uiPriority w:val="99"/>
    <w:semiHidden/>
    <w:rsid w:val="00565FD5"/>
    <w:pPr>
      <w:pBdr>
        <w:right w:val="single" w:sz="4" w:space="0" w:color="auto"/>
      </w:pBdr>
      <w:spacing w:before="100" w:beforeAutospacing="1" w:after="100" w:afterAutospacing="1" w:line="240" w:lineRule="auto"/>
      <w:jc w:val="center"/>
    </w:pPr>
    <w:rPr>
      <w:rFonts w:ascii="Tahoma" w:eastAsia="Arial Unicode MS" w:hAnsi="Tahoma" w:cs="Tahoma"/>
      <w:b/>
      <w:bCs/>
      <w:sz w:val="24"/>
      <w:szCs w:val="24"/>
    </w:rPr>
  </w:style>
  <w:style w:type="paragraph" w:customStyle="1" w:styleId="AylkNormal">
    <w:name w:val="AylıkNormal"/>
    <w:basedOn w:val="Normal"/>
    <w:uiPriority w:val="99"/>
    <w:semiHidden/>
    <w:rsid w:val="00565FD5"/>
    <w:pPr>
      <w:spacing w:after="0" w:line="360" w:lineRule="auto"/>
      <w:ind w:firstLine="567"/>
      <w:jc w:val="both"/>
    </w:pPr>
    <w:rPr>
      <w:rFonts w:ascii="Tahoma" w:eastAsia="Times New Roman" w:hAnsi="Tahoma" w:cs="Times New Roman"/>
      <w:szCs w:val="20"/>
    </w:rPr>
  </w:style>
  <w:style w:type="paragraph" w:customStyle="1" w:styleId="xl29">
    <w:name w:val="xl29"/>
    <w:basedOn w:val="Normal"/>
    <w:uiPriority w:val="99"/>
    <w:semiHidden/>
    <w:rsid w:val="00565FD5"/>
    <w:pPr>
      <w:spacing w:before="100" w:beforeAutospacing="1" w:after="100" w:afterAutospacing="1" w:line="240" w:lineRule="auto"/>
    </w:pPr>
    <w:rPr>
      <w:rFonts w:ascii="Arial" w:eastAsia="Arial Unicode MS" w:hAnsi="Arial" w:cs="Arial"/>
      <w:b/>
      <w:bCs/>
      <w:sz w:val="16"/>
      <w:szCs w:val="16"/>
    </w:rPr>
  </w:style>
  <w:style w:type="paragraph" w:customStyle="1" w:styleId="xl31">
    <w:name w:val="xl31"/>
    <w:basedOn w:val="Normal"/>
    <w:uiPriority w:val="99"/>
    <w:semiHidden/>
    <w:rsid w:val="00565FD5"/>
    <w:pPr>
      <w:spacing w:before="100" w:beforeAutospacing="1" w:after="100" w:afterAutospacing="1" w:line="240" w:lineRule="auto"/>
    </w:pPr>
    <w:rPr>
      <w:rFonts w:ascii="Arial" w:eastAsia="Arial Unicode MS" w:hAnsi="Arial" w:cs="Arial"/>
      <w:b/>
      <w:bCs/>
      <w:sz w:val="16"/>
      <w:szCs w:val="16"/>
    </w:rPr>
  </w:style>
  <w:style w:type="paragraph" w:customStyle="1" w:styleId="xl33">
    <w:name w:val="xl33"/>
    <w:basedOn w:val="Normal"/>
    <w:uiPriority w:val="99"/>
    <w:semiHidden/>
    <w:rsid w:val="00565FD5"/>
    <w:pPr>
      <w:pBdr>
        <w:bottom w:val="single" w:sz="4" w:space="0" w:color="auto"/>
      </w:pBdr>
      <w:spacing w:before="100" w:beforeAutospacing="1" w:after="100" w:afterAutospacing="1" w:line="240" w:lineRule="auto"/>
    </w:pPr>
    <w:rPr>
      <w:rFonts w:ascii="Arial" w:eastAsia="Arial Unicode MS" w:hAnsi="Arial" w:cs="Arial"/>
      <w:b/>
      <w:bCs/>
      <w:sz w:val="16"/>
      <w:szCs w:val="16"/>
    </w:rPr>
  </w:style>
  <w:style w:type="paragraph" w:customStyle="1" w:styleId="xl34">
    <w:name w:val="xl34"/>
    <w:basedOn w:val="Normal"/>
    <w:uiPriority w:val="99"/>
    <w:semiHidden/>
    <w:rsid w:val="00565FD5"/>
    <w:pPr>
      <w:pBdr>
        <w:right w:val="single" w:sz="4" w:space="0" w:color="auto"/>
      </w:pBdr>
      <w:spacing w:before="100" w:beforeAutospacing="1" w:after="100" w:afterAutospacing="1" w:line="240" w:lineRule="auto"/>
    </w:pPr>
    <w:rPr>
      <w:rFonts w:ascii="Arial" w:eastAsia="Arial Unicode MS" w:hAnsi="Arial" w:cs="Arial"/>
      <w:sz w:val="16"/>
      <w:szCs w:val="16"/>
    </w:rPr>
  </w:style>
  <w:style w:type="paragraph" w:customStyle="1" w:styleId="xl35">
    <w:name w:val="xl35"/>
    <w:basedOn w:val="Normal"/>
    <w:uiPriority w:val="99"/>
    <w:semiHidden/>
    <w:rsid w:val="00565FD5"/>
    <w:pPr>
      <w:spacing w:before="100" w:beforeAutospacing="1" w:after="100" w:afterAutospacing="1" w:line="240" w:lineRule="auto"/>
    </w:pPr>
    <w:rPr>
      <w:rFonts w:ascii="Courier" w:eastAsia="Arial Unicode MS" w:hAnsi="Courier" w:cs="Arial Unicode MS"/>
      <w:sz w:val="24"/>
      <w:szCs w:val="24"/>
    </w:rPr>
  </w:style>
  <w:style w:type="paragraph" w:customStyle="1" w:styleId="xl36">
    <w:name w:val="xl36"/>
    <w:basedOn w:val="Normal"/>
    <w:uiPriority w:val="99"/>
    <w:semiHidden/>
    <w:rsid w:val="00565FD5"/>
    <w:pPr>
      <w:pBdr>
        <w:right w:val="single" w:sz="4" w:space="0" w:color="auto"/>
      </w:pBdr>
      <w:spacing w:before="100" w:beforeAutospacing="1" w:after="100" w:afterAutospacing="1" w:line="240" w:lineRule="auto"/>
    </w:pPr>
    <w:rPr>
      <w:rFonts w:ascii="Courier" w:eastAsia="Arial Unicode MS" w:hAnsi="Courier" w:cs="Arial Unicode MS"/>
      <w:sz w:val="24"/>
      <w:szCs w:val="24"/>
    </w:rPr>
  </w:style>
  <w:style w:type="paragraph" w:customStyle="1" w:styleId="xl38">
    <w:name w:val="xl38"/>
    <w:basedOn w:val="Normal"/>
    <w:uiPriority w:val="99"/>
    <w:semiHidden/>
    <w:rsid w:val="00565FD5"/>
    <w:pPr>
      <w:pBdr>
        <w:right w:val="single" w:sz="4" w:space="0" w:color="auto"/>
      </w:pBdr>
      <w:spacing w:before="100" w:beforeAutospacing="1" w:after="100" w:afterAutospacing="1" w:line="240" w:lineRule="auto"/>
    </w:pPr>
    <w:rPr>
      <w:rFonts w:ascii="Arial" w:eastAsia="Arial Unicode MS" w:hAnsi="Arial" w:cs="Arial"/>
      <w:b/>
      <w:bCs/>
      <w:sz w:val="16"/>
      <w:szCs w:val="16"/>
    </w:rPr>
  </w:style>
  <w:style w:type="paragraph" w:customStyle="1" w:styleId="xl39">
    <w:name w:val="xl39"/>
    <w:basedOn w:val="Normal"/>
    <w:uiPriority w:val="99"/>
    <w:semiHidden/>
    <w:rsid w:val="00565FD5"/>
    <w:pPr>
      <w:pBdr>
        <w:bottom w:val="single" w:sz="4" w:space="0" w:color="auto"/>
      </w:pBdr>
      <w:spacing w:before="100" w:beforeAutospacing="1" w:after="100" w:afterAutospacing="1" w:line="240" w:lineRule="auto"/>
    </w:pPr>
    <w:rPr>
      <w:rFonts w:ascii="Arial" w:eastAsia="Arial Unicode MS" w:hAnsi="Arial" w:cs="Arial"/>
      <w:sz w:val="16"/>
      <w:szCs w:val="16"/>
    </w:rPr>
  </w:style>
  <w:style w:type="paragraph" w:customStyle="1" w:styleId="xl40">
    <w:name w:val="xl40"/>
    <w:basedOn w:val="Normal"/>
    <w:uiPriority w:val="99"/>
    <w:semiHidden/>
    <w:rsid w:val="00565FD5"/>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w:b/>
      <w:bCs/>
      <w:sz w:val="16"/>
      <w:szCs w:val="16"/>
    </w:rPr>
  </w:style>
  <w:style w:type="paragraph" w:customStyle="1" w:styleId="xl41">
    <w:name w:val="xl41"/>
    <w:basedOn w:val="Normal"/>
    <w:uiPriority w:val="99"/>
    <w:semiHidden/>
    <w:rsid w:val="00565FD5"/>
    <w:pPr>
      <w:pBdr>
        <w:top w:val="single" w:sz="4" w:space="0" w:color="auto"/>
        <w:bottom w:val="single" w:sz="4" w:space="0" w:color="auto"/>
      </w:pBdr>
      <w:spacing w:before="100" w:beforeAutospacing="1" w:after="100" w:afterAutospacing="1" w:line="240" w:lineRule="auto"/>
    </w:pPr>
    <w:rPr>
      <w:rFonts w:ascii="Arial" w:eastAsia="Arial Unicode MS" w:hAnsi="Arial" w:cs="Arial"/>
      <w:b/>
      <w:bCs/>
      <w:sz w:val="16"/>
      <w:szCs w:val="16"/>
    </w:rPr>
  </w:style>
  <w:style w:type="paragraph" w:customStyle="1" w:styleId="xl42">
    <w:name w:val="xl42"/>
    <w:basedOn w:val="Normal"/>
    <w:uiPriority w:val="99"/>
    <w:semiHidden/>
    <w:rsid w:val="00565FD5"/>
    <w:pPr>
      <w:pBdr>
        <w:top w:val="single" w:sz="4" w:space="0" w:color="auto"/>
        <w:bottom w:val="single" w:sz="4" w:space="0" w:color="auto"/>
      </w:pBdr>
      <w:spacing w:before="100" w:beforeAutospacing="1" w:after="100" w:afterAutospacing="1" w:line="240" w:lineRule="auto"/>
    </w:pPr>
    <w:rPr>
      <w:rFonts w:ascii="Arial" w:eastAsia="Arial Unicode MS" w:hAnsi="Arial" w:cs="Arial"/>
      <w:b/>
      <w:bCs/>
      <w:sz w:val="16"/>
      <w:szCs w:val="16"/>
    </w:rPr>
  </w:style>
  <w:style w:type="paragraph" w:customStyle="1" w:styleId="xl43">
    <w:name w:val="xl43"/>
    <w:basedOn w:val="Normal"/>
    <w:uiPriority w:val="99"/>
    <w:semiHidden/>
    <w:rsid w:val="00565FD5"/>
    <w:pPr>
      <w:pBdr>
        <w:top w:val="single" w:sz="4" w:space="0" w:color="auto"/>
        <w:bottom w:val="single" w:sz="4" w:space="0" w:color="auto"/>
      </w:pBdr>
      <w:spacing w:before="100" w:beforeAutospacing="1" w:after="100" w:afterAutospacing="1" w:line="240" w:lineRule="auto"/>
      <w:jc w:val="right"/>
    </w:pPr>
    <w:rPr>
      <w:rFonts w:ascii="Arial" w:eastAsia="Arial Unicode MS" w:hAnsi="Arial" w:cs="Arial"/>
      <w:b/>
      <w:bCs/>
      <w:sz w:val="16"/>
      <w:szCs w:val="16"/>
    </w:rPr>
  </w:style>
  <w:style w:type="paragraph" w:customStyle="1" w:styleId="xl46">
    <w:name w:val="xl46"/>
    <w:basedOn w:val="Normal"/>
    <w:uiPriority w:val="99"/>
    <w:semiHidden/>
    <w:rsid w:val="00565FD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Arial Unicode MS" w:hAnsi="Arial" w:cs="Arial"/>
      <w:b/>
      <w:bCs/>
      <w:sz w:val="16"/>
      <w:szCs w:val="16"/>
    </w:rPr>
  </w:style>
  <w:style w:type="paragraph" w:styleId="ListeMaddemi3">
    <w:name w:val="List Bullet 3"/>
    <w:basedOn w:val="Normal"/>
    <w:autoRedefine/>
    <w:uiPriority w:val="99"/>
    <w:semiHidden/>
    <w:rsid w:val="00565FD5"/>
    <w:pPr>
      <w:tabs>
        <w:tab w:val="num" w:pos="360"/>
      </w:tabs>
      <w:spacing w:after="0" w:line="240" w:lineRule="auto"/>
      <w:ind w:left="360" w:hanging="360"/>
    </w:pPr>
    <w:rPr>
      <w:rFonts w:ascii="Times New Roman" w:eastAsia="Times New Roman" w:hAnsi="Times New Roman" w:cs="Times New Roman"/>
      <w:sz w:val="24"/>
      <w:szCs w:val="24"/>
      <w:lang w:val="en-US"/>
    </w:rPr>
  </w:style>
  <w:style w:type="paragraph" w:customStyle="1" w:styleId="BalonMetni1">
    <w:name w:val="Balon Metni1"/>
    <w:basedOn w:val="Normal"/>
    <w:uiPriority w:val="99"/>
    <w:semiHidden/>
    <w:rsid w:val="00565FD5"/>
    <w:pPr>
      <w:spacing w:after="0" w:line="240" w:lineRule="auto"/>
    </w:pPr>
    <w:rPr>
      <w:rFonts w:ascii="Tahoma" w:eastAsia="PMingLiU" w:hAnsi="Tahoma" w:cs="Tahoma"/>
      <w:sz w:val="16"/>
      <w:szCs w:val="16"/>
      <w:lang w:eastAsia="zh-TW"/>
    </w:rPr>
  </w:style>
  <w:style w:type="paragraph" w:styleId="ListeDevam3">
    <w:name w:val="List Continue 3"/>
    <w:basedOn w:val="Normal"/>
    <w:uiPriority w:val="99"/>
    <w:semiHidden/>
    <w:rsid w:val="00565FD5"/>
    <w:pPr>
      <w:tabs>
        <w:tab w:val="left" w:pos="425"/>
      </w:tabs>
      <w:spacing w:after="120" w:line="240" w:lineRule="auto"/>
      <w:ind w:left="849"/>
      <w:jc w:val="both"/>
    </w:pPr>
    <w:rPr>
      <w:rFonts w:ascii="Tahoma" w:eastAsia="Times New Roman" w:hAnsi="Tahoma" w:cs="Times New Roman"/>
      <w:sz w:val="18"/>
      <w:szCs w:val="20"/>
    </w:rPr>
  </w:style>
  <w:style w:type="paragraph" w:customStyle="1" w:styleId="meb">
    <w:name w:val="meb"/>
    <w:basedOn w:val="Normal"/>
    <w:uiPriority w:val="99"/>
    <w:semiHidden/>
    <w:rsid w:val="00565FD5"/>
    <w:pPr>
      <w:spacing w:before="100" w:after="100" w:line="240" w:lineRule="auto"/>
    </w:pPr>
    <w:rPr>
      <w:rFonts w:ascii="Verdana" w:eastAsia="Arial Unicode MS" w:hAnsi="Verdana" w:cs="Times New Roman"/>
      <w:color w:val="000000"/>
      <w:sz w:val="16"/>
      <w:szCs w:val="20"/>
    </w:rPr>
  </w:style>
  <w:style w:type="paragraph" w:customStyle="1" w:styleId="xl37">
    <w:name w:val="xl37"/>
    <w:basedOn w:val="Normal"/>
    <w:uiPriority w:val="99"/>
    <w:semiHidden/>
    <w:rsid w:val="00565FD5"/>
    <w:pPr>
      <w:pBdr>
        <w:right w:val="single" w:sz="4" w:space="0" w:color="auto"/>
      </w:pBdr>
      <w:spacing w:before="100" w:beforeAutospacing="1" w:after="100" w:afterAutospacing="1" w:line="240" w:lineRule="auto"/>
    </w:pPr>
    <w:rPr>
      <w:rFonts w:ascii="Arial" w:eastAsia="Arial Unicode MS" w:hAnsi="Arial" w:cs="Arial"/>
      <w:sz w:val="24"/>
      <w:szCs w:val="24"/>
      <w:lang w:val="en-US"/>
    </w:rPr>
  </w:style>
  <w:style w:type="paragraph" w:customStyle="1" w:styleId="xl47">
    <w:name w:val="xl47"/>
    <w:basedOn w:val="Normal"/>
    <w:uiPriority w:val="99"/>
    <w:semiHidden/>
    <w:rsid w:val="00565FD5"/>
    <w:pPr>
      <w:pBdr>
        <w:top w:val="single" w:sz="4" w:space="0" w:color="auto"/>
      </w:pBdr>
      <w:spacing w:before="100" w:beforeAutospacing="1" w:after="100" w:afterAutospacing="1" w:line="240" w:lineRule="auto"/>
      <w:jc w:val="center"/>
    </w:pPr>
    <w:rPr>
      <w:rFonts w:ascii="Arial TUR" w:eastAsia="Arial Unicode MS" w:hAnsi="Arial TUR" w:cs="Arial TUR"/>
      <w:b/>
      <w:bCs/>
      <w:sz w:val="24"/>
      <w:szCs w:val="24"/>
      <w:lang w:val="en-US"/>
    </w:rPr>
  </w:style>
  <w:style w:type="paragraph" w:customStyle="1" w:styleId="xl48">
    <w:name w:val="xl48"/>
    <w:basedOn w:val="Normal"/>
    <w:uiPriority w:val="99"/>
    <w:semiHidden/>
    <w:rsid w:val="00565FD5"/>
    <w:pPr>
      <w:pBdr>
        <w:top w:val="single" w:sz="4" w:space="0" w:color="auto"/>
        <w:bottom w:val="single" w:sz="4" w:space="0" w:color="auto"/>
      </w:pBdr>
      <w:spacing w:before="100" w:beforeAutospacing="1" w:after="100" w:afterAutospacing="1" w:line="240" w:lineRule="auto"/>
    </w:pPr>
    <w:rPr>
      <w:rFonts w:ascii="Arial TUR" w:eastAsia="Arial Unicode MS" w:hAnsi="Arial TUR" w:cs="Arial TUR"/>
      <w:b/>
      <w:bCs/>
      <w:sz w:val="24"/>
      <w:szCs w:val="24"/>
      <w:lang w:val="en-US"/>
    </w:rPr>
  </w:style>
  <w:style w:type="paragraph" w:customStyle="1" w:styleId="xl49">
    <w:name w:val="xl49"/>
    <w:basedOn w:val="Normal"/>
    <w:uiPriority w:val="99"/>
    <w:semiHidden/>
    <w:rsid w:val="00565FD5"/>
    <w:pPr>
      <w:spacing w:before="100" w:beforeAutospacing="1" w:after="100" w:afterAutospacing="1" w:line="240" w:lineRule="auto"/>
    </w:pPr>
    <w:rPr>
      <w:rFonts w:ascii="Arial TUR" w:eastAsia="Arial Unicode MS" w:hAnsi="Arial TUR" w:cs="Arial TUR"/>
      <w:b/>
      <w:bCs/>
      <w:sz w:val="24"/>
      <w:szCs w:val="24"/>
      <w:lang w:val="en-US"/>
    </w:rPr>
  </w:style>
  <w:style w:type="paragraph" w:customStyle="1" w:styleId="xl51">
    <w:name w:val="xl51"/>
    <w:basedOn w:val="Normal"/>
    <w:uiPriority w:val="99"/>
    <w:semiHidden/>
    <w:rsid w:val="00565FD5"/>
    <w:pPr>
      <w:pBdr>
        <w:top w:val="single" w:sz="4" w:space="0" w:color="auto"/>
        <w:bottom w:val="single" w:sz="4" w:space="0" w:color="auto"/>
        <w:right w:val="single" w:sz="4" w:space="0" w:color="auto"/>
      </w:pBdr>
      <w:spacing w:before="100" w:beforeAutospacing="1" w:after="100" w:afterAutospacing="1" w:line="240" w:lineRule="auto"/>
      <w:jc w:val="right"/>
    </w:pPr>
    <w:rPr>
      <w:rFonts w:ascii="Arial TUR" w:eastAsia="Arial Unicode MS" w:hAnsi="Arial TUR" w:cs="Arial TUR"/>
      <w:b/>
      <w:bCs/>
      <w:sz w:val="24"/>
      <w:szCs w:val="24"/>
      <w:lang w:val="en-US"/>
    </w:rPr>
  </w:style>
  <w:style w:type="paragraph" w:customStyle="1" w:styleId="xl52">
    <w:name w:val="xl52"/>
    <w:basedOn w:val="Normal"/>
    <w:uiPriority w:val="99"/>
    <w:semiHidden/>
    <w:rsid w:val="00565FD5"/>
    <w:pPr>
      <w:pBdr>
        <w:right w:val="single" w:sz="4" w:space="0" w:color="auto"/>
      </w:pBdr>
      <w:spacing w:before="100" w:beforeAutospacing="1" w:after="100" w:afterAutospacing="1" w:line="240" w:lineRule="auto"/>
    </w:pPr>
    <w:rPr>
      <w:rFonts w:ascii="Arial TUR" w:eastAsia="Arial Unicode MS" w:hAnsi="Arial TUR" w:cs="Arial TUR"/>
      <w:b/>
      <w:bCs/>
      <w:sz w:val="24"/>
      <w:szCs w:val="24"/>
      <w:lang w:val="en-US"/>
    </w:rPr>
  </w:style>
  <w:style w:type="paragraph" w:customStyle="1" w:styleId="xl53">
    <w:name w:val="xl53"/>
    <w:basedOn w:val="Normal"/>
    <w:uiPriority w:val="99"/>
    <w:semiHidden/>
    <w:rsid w:val="00565FD5"/>
    <w:pPr>
      <w:spacing w:before="100" w:beforeAutospacing="1" w:after="100" w:afterAutospacing="1" w:line="240" w:lineRule="auto"/>
    </w:pPr>
    <w:rPr>
      <w:rFonts w:ascii="Arial" w:eastAsia="Arial Unicode MS" w:hAnsi="Arial" w:cs="Arial"/>
      <w:sz w:val="24"/>
      <w:szCs w:val="24"/>
      <w:lang w:val="en-US"/>
    </w:rPr>
  </w:style>
  <w:style w:type="paragraph" w:customStyle="1" w:styleId="xl54">
    <w:name w:val="xl54"/>
    <w:basedOn w:val="Normal"/>
    <w:uiPriority w:val="99"/>
    <w:semiHidden/>
    <w:rsid w:val="00565FD5"/>
    <w:pPr>
      <w:pBdr>
        <w:top w:val="single" w:sz="4" w:space="0" w:color="auto"/>
        <w:bottom w:val="single" w:sz="4" w:space="0" w:color="auto"/>
      </w:pBdr>
      <w:spacing w:before="100" w:beforeAutospacing="1" w:after="100" w:afterAutospacing="1" w:line="240" w:lineRule="auto"/>
      <w:jc w:val="center"/>
    </w:pPr>
    <w:rPr>
      <w:rFonts w:ascii="Arial TUR" w:eastAsia="Arial Unicode MS" w:hAnsi="Arial TUR" w:cs="Arial TUR"/>
      <w:b/>
      <w:bCs/>
      <w:sz w:val="24"/>
      <w:szCs w:val="24"/>
      <w:lang w:val="en-US"/>
    </w:rPr>
  </w:style>
  <w:style w:type="paragraph" w:customStyle="1" w:styleId="xl55">
    <w:name w:val="xl55"/>
    <w:basedOn w:val="Normal"/>
    <w:uiPriority w:val="99"/>
    <w:semiHidden/>
    <w:rsid w:val="00565FD5"/>
    <w:pPr>
      <w:pBdr>
        <w:top w:val="single" w:sz="4" w:space="0" w:color="auto"/>
        <w:bottom w:val="single" w:sz="4" w:space="0" w:color="auto"/>
      </w:pBdr>
      <w:spacing w:before="100" w:beforeAutospacing="1" w:after="100" w:afterAutospacing="1" w:line="240" w:lineRule="auto"/>
      <w:jc w:val="center"/>
    </w:pPr>
    <w:rPr>
      <w:rFonts w:ascii="Arial TUR" w:eastAsia="Arial Unicode MS" w:hAnsi="Arial TUR" w:cs="Arial TUR"/>
      <w:b/>
      <w:bCs/>
      <w:sz w:val="24"/>
      <w:szCs w:val="24"/>
      <w:lang w:val="en-US"/>
    </w:rPr>
  </w:style>
  <w:style w:type="paragraph" w:customStyle="1" w:styleId="xl56">
    <w:name w:val="xl56"/>
    <w:basedOn w:val="Normal"/>
    <w:uiPriority w:val="99"/>
    <w:semiHidden/>
    <w:rsid w:val="00565FD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TUR" w:eastAsia="Arial Unicode MS" w:hAnsi="Arial TUR" w:cs="Arial TUR"/>
      <w:b/>
      <w:bCs/>
      <w:sz w:val="24"/>
      <w:szCs w:val="24"/>
      <w:lang w:val="en-US"/>
    </w:rPr>
  </w:style>
  <w:style w:type="paragraph" w:customStyle="1" w:styleId="xl24">
    <w:name w:val="xl24"/>
    <w:basedOn w:val="Normal"/>
    <w:uiPriority w:val="99"/>
    <w:semiHidden/>
    <w:rsid w:val="00565FD5"/>
    <w:pPr>
      <w:pBdr>
        <w:bottom w:val="single" w:sz="8" w:space="0" w:color="auto"/>
      </w:pBdr>
      <w:spacing w:before="100" w:after="100" w:line="240" w:lineRule="auto"/>
    </w:pPr>
    <w:rPr>
      <w:rFonts w:ascii="Arial Unicode MS" w:eastAsia="Arial Unicode MS" w:hAnsi="Arial Unicode MS" w:cs="Times New Roman"/>
      <w:sz w:val="24"/>
      <w:szCs w:val="20"/>
      <w:lang w:val="en-US"/>
    </w:rPr>
  </w:style>
  <w:style w:type="paragraph" w:customStyle="1" w:styleId="font5">
    <w:name w:val="font5"/>
    <w:basedOn w:val="Normal"/>
    <w:uiPriority w:val="99"/>
    <w:semiHidden/>
    <w:rsid w:val="00565FD5"/>
    <w:pPr>
      <w:spacing w:before="100" w:beforeAutospacing="1" w:after="100" w:afterAutospacing="1" w:line="240" w:lineRule="auto"/>
    </w:pPr>
    <w:rPr>
      <w:rFonts w:ascii="Arial TUR" w:eastAsia="Arial Unicode MS" w:hAnsi="Arial TUR" w:cs="Arial TUR"/>
      <w:sz w:val="18"/>
      <w:szCs w:val="18"/>
      <w:lang w:val="en-US"/>
    </w:rPr>
  </w:style>
  <w:style w:type="character" w:customStyle="1" w:styleId="yayin1">
    <w:name w:val="yayin1"/>
    <w:uiPriority w:val="99"/>
    <w:semiHidden/>
    <w:rsid w:val="00565FD5"/>
    <w:rPr>
      <w:rFonts w:ascii="Verdana" w:hAnsi="Verdana"/>
      <w:b/>
      <w:sz w:val="16"/>
    </w:rPr>
  </w:style>
  <w:style w:type="paragraph" w:customStyle="1" w:styleId="xl28">
    <w:name w:val="xl28"/>
    <w:basedOn w:val="Normal"/>
    <w:uiPriority w:val="99"/>
    <w:semiHidden/>
    <w:rsid w:val="00565F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sz w:val="18"/>
      <w:szCs w:val="18"/>
      <w:lang w:val="en-US"/>
    </w:rPr>
  </w:style>
  <w:style w:type="character" w:styleId="Vurgu">
    <w:name w:val="Emphasis"/>
    <w:basedOn w:val="VarsaylanParagrafYazTipi"/>
    <w:uiPriority w:val="99"/>
    <w:qFormat/>
    <w:rsid w:val="00565FD5"/>
    <w:rPr>
      <w:rFonts w:cs="Times New Roman"/>
      <w:i/>
    </w:rPr>
  </w:style>
  <w:style w:type="paragraph" w:customStyle="1" w:styleId="NormalParagraph">
    <w:name w:val="Normal Paragraph"/>
    <w:basedOn w:val="Normal"/>
    <w:uiPriority w:val="99"/>
    <w:semiHidden/>
    <w:rsid w:val="00565FD5"/>
    <w:pPr>
      <w:spacing w:after="240" w:line="240" w:lineRule="auto"/>
      <w:jc w:val="both"/>
    </w:pPr>
    <w:rPr>
      <w:rFonts w:ascii="Tahoma" w:eastAsia="Times New Roman" w:hAnsi="Tahoma" w:cs="Tahoma"/>
      <w:sz w:val="24"/>
      <w:szCs w:val="24"/>
      <w:lang w:eastAsia="tr-TR"/>
    </w:rPr>
  </w:style>
  <w:style w:type="paragraph" w:customStyle="1" w:styleId="TableCaption">
    <w:name w:val="Table Caption"/>
    <w:basedOn w:val="ResimYazs"/>
    <w:uiPriority w:val="99"/>
    <w:semiHidden/>
    <w:rsid w:val="00565FD5"/>
    <w:pPr>
      <w:spacing w:after="0"/>
    </w:pPr>
    <w:rPr>
      <w:rFonts w:cs="Tahoma"/>
      <w:bCs/>
      <w:noProof/>
      <w:sz w:val="24"/>
      <w:szCs w:val="24"/>
      <w:lang w:eastAsia="tr-TR"/>
    </w:rPr>
  </w:style>
  <w:style w:type="paragraph" w:customStyle="1" w:styleId="balkbaz">
    <w:name w:val="başlıkbaz"/>
    <w:basedOn w:val="Normal"/>
    <w:uiPriority w:val="99"/>
    <w:semiHidden/>
    <w:rsid w:val="00565FD5"/>
    <w:pPr>
      <w:spacing w:after="0" w:line="360" w:lineRule="auto"/>
      <w:jc w:val="both"/>
    </w:pPr>
    <w:rPr>
      <w:rFonts w:ascii="Arial" w:eastAsia="Times New Roman" w:hAnsi="Arial" w:cs="Times New Roman"/>
      <w:sz w:val="24"/>
      <w:szCs w:val="24"/>
    </w:rPr>
  </w:style>
  <w:style w:type="paragraph" w:customStyle="1" w:styleId="BodyText21">
    <w:name w:val="Body Text 21"/>
    <w:basedOn w:val="Normal"/>
    <w:uiPriority w:val="99"/>
    <w:semiHidden/>
    <w:rsid w:val="00565FD5"/>
    <w:pPr>
      <w:spacing w:after="0" w:line="240" w:lineRule="auto"/>
      <w:jc w:val="both"/>
    </w:pPr>
    <w:rPr>
      <w:rFonts w:ascii="Times New Roman" w:eastAsia="Times New Roman" w:hAnsi="Times New Roman" w:cs="Times New Roman"/>
      <w:sz w:val="24"/>
      <w:szCs w:val="20"/>
      <w:lang w:val="en-AU"/>
    </w:rPr>
  </w:style>
  <w:style w:type="paragraph" w:customStyle="1" w:styleId="xl32">
    <w:name w:val="xl32"/>
    <w:basedOn w:val="Normal"/>
    <w:uiPriority w:val="99"/>
    <w:semiHidden/>
    <w:rsid w:val="00565FD5"/>
    <w:pPr>
      <w:spacing w:before="100" w:beforeAutospacing="1" w:after="100" w:afterAutospacing="1" w:line="240" w:lineRule="auto"/>
      <w:jc w:val="right"/>
    </w:pPr>
    <w:rPr>
      <w:rFonts w:ascii="Arial" w:eastAsia="Arial Unicode MS" w:hAnsi="Arial" w:cs="Arial"/>
      <w:b/>
      <w:bCs/>
      <w:sz w:val="16"/>
      <w:szCs w:val="16"/>
    </w:rPr>
  </w:style>
  <w:style w:type="paragraph" w:styleId="Tarih">
    <w:name w:val="Date"/>
    <w:basedOn w:val="Normal"/>
    <w:next w:val="Normal"/>
    <w:link w:val="TarihChar"/>
    <w:uiPriority w:val="99"/>
    <w:semiHidden/>
    <w:rsid w:val="00565FD5"/>
    <w:pPr>
      <w:spacing w:after="0" w:line="240" w:lineRule="auto"/>
    </w:pPr>
    <w:rPr>
      <w:rFonts w:ascii="Times New Roman" w:eastAsia="Times New Roman" w:hAnsi="Times New Roman" w:cs="Times New Roman"/>
      <w:sz w:val="24"/>
      <w:szCs w:val="24"/>
    </w:rPr>
  </w:style>
  <w:style w:type="character" w:customStyle="1" w:styleId="TarihChar">
    <w:name w:val="Tarih Char"/>
    <w:basedOn w:val="VarsaylanParagrafYazTipi"/>
    <w:link w:val="Tarih"/>
    <w:uiPriority w:val="99"/>
    <w:semiHidden/>
    <w:rsid w:val="00565FD5"/>
    <w:rPr>
      <w:rFonts w:ascii="Times New Roman" w:eastAsia="Times New Roman" w:hAnsi="Times New Roman" w:cs="Times New Roman"/>
      <w:sz w:val="24"/>
      <w:szCs w:val="24"/>
    </w:rPr>
  </w:style>
  <w:style w:type="paragraph" w:customStyle="1" w:styleId="CommentSubject1">
    <w:name w:val="Comment Subject1"/>
    <w:basedOn w:val="AklamaMetni"/>
    <w:next w:val="AklamaMetni"/>
    <w:uiPriority w:val="99"/>
    <w:semiHidden/>
    <w:rsid w:val="00565FD5"/>
    <w:pPr>
      <w:spacing w:after="0" w:line="240" w:lineRule="auto"/>
    </w:pPr>
    <w:rPr>
      <w:rFonts w:ascii="Times New Roman" w:eastAsia="Times New Roman" w:hAnsi="Times New Roman"/>
      <w:b/>
      <w:bCs/>
    </w:rPr>
  </w:style>
  <w:style w:type="paragraph" w:customStyle="1" w:styleId="xl57">
    <w:name w:val="xl57"/>
    <w:basedOn w:val="Normal"/>
    <w:uiPriority w:val="99"/>
    <w:semiHidden/>
    <w:rsid w:val="00565FD5"/>
    <w:pPr>
      <w:spacing w:before="100" w:beforeAutospacing="1" w:after="100" w:afterAutospacing="1" w:line="240" w:lineRule="auto"/>
      <w:jc w:val="right"/>
    </w:pPr>
    <w:rPr>
      <w:rFonts w:ascii="Times New Roman TUR" w:eastAsia="Arial Unicode MS" w:hAnsi="Times New Roman TUR" w:cs="Times New Roman TUR"/>
      <w:color w:val="000000"/>
      <w:lang w:val="en-US"/>
    </w:rPr>
  </w:style>
  <w:style w:type="paragraph" w:customStyle="1" w:styleId="xl61">
    <w:name w:val="xl61"/>
    <w:basedOn w:val="Normal"/>
    <w:uiPriority w:val="99"/>
    <w:semiHidden/>
    <w:rsid w:val="00565FD5"/>
    <w:pPr>
      <w:spacing w:before="100" w:beforeAutospacing="1" w:after="100" w:afterAutospacing="1" w:line="240" w:lineRule="auto"/>
    </w:pPr>
    <w:rPr>
      <w:rFonts w:ascii="Times New Roman TUR" w:eastAsia="Arial Unicode MS" w:hAnsi="Times New Roman TUR" w:cs="Times New Roman TUR"/>
      <w:lang w:val="en-US"/>
    </w:rPr>
  </w:style>
  <w:style w:type="paragraph" w:customStyle="1" w:styleId="xl19">
    <w:name w:val="xl19"/>
    <w:basedOn w:val="Normal"/>
    <w:uiPriority w:val="99"/>
    <w:semiHidden/>
    <w:rsid w:val="00565FD5"/>
    <w:pPr>
      <w:pBdr>
        <w:top w:val="single" w:sz="8" w:space="0" w:color="auto"/>
        <w:left w:val="single" w:sz="8" w:space="0" w:color="auto"/>
      </w:pBdr>
      <w:spacing w:before="100" w:beforeAutospacing="1" w:after="100" w:afterAutospacing="1" w:line="240" w:lineRule="auto"/>
    </w:pPr>
    <w:rPr>
      <w:rFonts w:ascii="Tahoma" w:eastAsia="Arial Unicode MS" w:hAnsi="Tahoma" w:cs="Tahoma"/>
      <w:lang w:val="en-US"/>
    </w:rPr>
  </w:style>
  <w:style w:type="paragraph" w:customStyle="1" w:styleId="xl20">
    <w:name w:val="xl20"/>
    <w:basedOn w:val="Normal"/>
    <w:uiPriority w:val="99"/>
    <w:semiHidden/>
    <w:rsid w:val="00565FD5"/>
    <w:pPr>
      <w:pBdr>
        <w:left w:val="single" w:sz="8" w:space="0" w:color="auto"/>
      </w:pBdr>
      <w:spacing w:before="100" w:beforeAutospacing="1" w:after="100" w:afterAutospacing="1" w:line="240" w:lineRule="auto"/>
    </w:pPr>
    <w:rPr>
      <w:rFonts w:ascii="Tahoma" w:eastAsia="Arial Unicode MS" w:hAnsi="Tahoma" w:cs="Tahoma"/>
      <w:lang w:val="en-US"/>
    </w:rPr>
  </w:style>
  <w:style w:type="paragraph" w:customStyle="1" w:styleId="xl21">
    <w:name w:val="xl21"/>
    <w:basedOn w:val="Normal"/>
    <w:uiPriority w:val="99"/>
    <w:semiHidden/>
    <w:rsid w:val="00565FD5"/>
    <w:pPr>
      <w:pBdr>
        <w:left w:val="single" w:sz="8" w:space="0" w:color="auto"/>
        <w:bottom w:val="single" w:sz="8" w:space="0" w:color="auto"/>
      </w:pBdr>
      <w:spacing w:before="100" w:beforeAutospacing="1" w:after="100" w:afterAutospacing="1" w:line="240" w:lineRule="auto"/>
    </w:pPr>
    <w:rPr>
      <w:rFonts w:ascii="Tahoma" w:eastAsia="Arial Unicode MS" w:hAnsi="Tahoma" w:cs="Tahoma"/>
      <w:lang w:val="en-US"/>
    </w:rPr>
  </w:style>
  <w:style w:type="paragraph" w:customStyle="1" w:styleId="xl22">
    <w:name w:val="xl22"/>
    <w:basedOn w:val="Normal"/>
    <w:uiPriority w:val="99"/>
    <w:semiHidden/>
    <w:rsid w:val="00565FD5"/>
    <w:pPr>
      <w:pBdr>
        <w:top w:val="single" w:sz="8" w:space="0" w:color="auto"/>
      </w:pBdr>
      <w:spacing w:before="100" w:beforeAutospacing="1" w:after="100" w:afterAutospacing="1" w:line="240" w:lineRule="auto"/>
    </w:pPr>
    <w:rPr>
      <w:rFonts w:ascii="Tahoma" w:eastAsia="Arial Unicode MS" w:hAnsi="Tahoma" w:cs="Tahoma"/>
      <w:lang w:val="en-US"/>
    </w:rPr>
  </w:style>
  <w:style w:type="paragraph" w:customStyle="1" w:styleId="xl23">
    <w:name w:val="xl23"/>
    <w:basedOn w:val="Normal"/>
    <w:uiPriority w:val="99"/>
    <w:semiHidden/>
    <w:rsid w:val="00565FD5"/>
    <w:pPr>
      <w:pBdr>
        <w:top w:val="single" w:sz="8" w:space="0" w:color="auto"/>
        <w:right w:val="single" w:sz="8" w:space="0" w:color="auto"/>
      </w:pBdr>
      <w:spacing w:before="100" w:beforeAutospacing="1" w:after="100" w:afterAutospacing="1" w:line="240" w:lineRule="auto"/>
    </w:pPr>
    <w:rPr>
      <w:rFonts w:ascii="Tahoma" w:eastAsia="Arial Unicode MS" w:hAnsi="Tahoma" w:cs="Tahoma"/>
      <w:lang w:val="en-US"/>
    </w:rPr>
  </w:style>
  <w:style w:type="paragraph" w:styleId="bekMetni">
    <w:name w:val="Block Text"/>
    <w:basedOn w:val="Normal"/>
    <w:uiPriority w:val="99"/>
    <w:semiHidden/>
    <w:rsid w:val="00565FD5"/>
    <w:pPr>
      <w:shd w:val="clear" w:color="auto" w:fill="FFFFFF"/>
      <w:spacing w:before="120" w:after="0" w:line="360" w:lineRule="auto"/>
      <w:ind w:left="48" w:right="24" w:firstLine="427"/>
      <w:jc w:val="both"/>
    </w:pPr>
    <w:rPr>
      <w:rFonts w:ascii="Arial" w:eastAsia="Times New Roman" w:hAnsi="Arial" w:cs="Arial"/>
      <w:sz w:val="20"/>
      <w:szCs w:val="24"/>
    </w:rPr>
  </w:style>
  <w:style w:type="paragraph" w:customStyle="1" w:styleId="bodytext20">
    <w:name w:val="bodytext2"/>
    <w:basedOn w:val="Normal"/>
    <w:uiPriority w:val="99"/>
    <w:rsid w:val="00565FD5"/>
    <w:pPr>
      <w:spacing w:before="100" w:beforeAutospacing="1" w:after="100" w:afterAutospacing="1" w:line="240" w:lineRule="auto"/>
    </w:pPr>
    <w:rPr>
      <w:rFonts w:ascii="Arial Unicode MS" w:eastAsia="Arial Unicode MS" w:hAnsi="Arial Unicode MS" w:cs="Arial Unicode MS"/>
      <w:sz w:val="24"/>
      <w:szCs w:val="24"/>
      <w:lang w:val="en-US"/>
    </w:rPr>
  </w:style>
  <w:style w:type="paragraph" w:customStyle="1" w:styleId="boldtext">
    <w:name w:val="boldtext"/>
    <w:basedOn w:val="Normal"/>
    <w:uiPriority w:val="99"/>
    <w:rsid w:val="00565FD5"/>
    <w:pPr>
      <w:spacing w:before="100" w:beforeAutospacing="1" w:after="100" w:afterAutospacing="1" w:line="240" w:lineRule="auto"/>
    </w:pPr>
    <w:rPr>
      <w:rFonts w:ascii="Arial Unicode MS" w:eastAsia="Arial Unicode MS" w:hAnsi="Arial Unicode MS" w:cs="Arial Unicode MS"/>
      <w:b/>
      <w:bCs/>
      <w:sz w:val="24"/>
      <w:szCs w:val="24"/>
      <w:lang w:val="en-US"/>
    </w:rPr>
  </w:style>
  <w:style w:type="character" w:customStyle="1" w:styleId="BodyTextCharChar1CharCharCharCharCharChar">
    <w:name w:val="Body Text Char Char1 Char Char Char Char Char Char"/>
    <w:uiPriority w:val="99"/>
    <w:rsid w:val="00565FD5"/>
    <w:rPr>
      <w:rFonts w:ascii="Tahoma" w:hAnsi="Tahoma"/>
      <w:sz w:val="16"/>
      <w:lang w:val="tr-TR" w:eastAsia="en-US"/>
    </w:rPr>
  </w:style>
  <w:style w:type="character" w:customStyle="1" w:styleId="Normal11">
    <w:name w:val="Normal11"/>
    <w:uiPriority w:val="99"/>
    <w:rsid w:val="00565FD5"/>
    <w:rPr>
      <w:rFonts w:ascii="Times New Roman" w:hAnsi="Times New Roman"/>
      <w:sz w:val="24"/>
      <w:lang w:val="en-GB"/>
    </w:rPr>
  </w:style>
  <w:style w:type="character" w:customStyle="1" w:styleId="Heading3CharCharCharChar">
    <w:name w:val="Heading 3 Char Char Char Char"/>
    <w:uiPriority w:val="99"/>
    <w:rsid w:val="00565FD5"/>
    <w:rPr>
      <w:rFonts w:ascii="Tahoma" w:hAnsi="Tahoma"/>
      <w:b/>
      <w:noProof/>
      <w:sz w:val="18"/>
      <w:lang w:val="en-US" w:eastAsia="en-US"/>
    </w:rPr>
  </w:style>
  <w:style w:type="character" w:customStyle="1" w:styleId="Style9pt">
    <w:name w:val="Style 9 pt"/>
    <w:uiPriority w:val="99"/>
    <w:rsid w:val="00565FD5"/>
    <w:rPr>
      <w:sz w:val="16"/>
    </w:rPr>
  </w:style>
  <w:style w:type="paragraph" w:customStyle="1" w:styleId="StyleTOC1Left">
    <w:name w:val="Style TOC 1 + Left"/>
    <w:basedOn w:val="T1"/>
    <w:autoRedefine/>
    <w:uiPriority w:val="99"/>
    <w:rsid w:val="00565FD5"/>
    <w:pPr>
      <w:tabs>
        <w:tab w:val="left" w:pos="425"/>
        <w:tab w:val="right" w:leader="dot" w:pos="6930"/>
        <w:tab w:val="right" w:leader="dot" w:pos="7134"/>
        <w:tab w:val="right" w:leader="dot" w:pos="8778"/>
      </w:tabs>
      <w:spacing w:before="120" w:after="0" w:line="240" w:lineRule="auto"/>
      <w:ind w:right="156"/>
    </w:pPr>
    <w:rPr>
      <w:rFonts w:ascii="Tahoma" w:eastAsia="Times New Roman" w:hAnsi="Tahoma"/>
      <w:bCs/>
      <w:noProof/>
      <w:szCs w:val="20"/>
    </w:rPr>
  </w:style>
  <w:style w:type="character" w:customStyle="1" w:styleId="CharChar4">
    <w:name w:val="Char Char4"/>
    <w:uiPriority w:val="99"/>
    <w:rsid w:val="00565FD5"/>
    <w:rPr>
      <w:rFonts w:ascii="Tahoma" w:hAnsi="Tahoma"/>
      <w:b/>
      <w:noProof/>
      <w:sz w:val="18"/>
      <w:lang w:val="tr-TR" w:eastAsia="en-US"/>
    </w:rPr>
  </w:style>
  <w:style w:type="paragraph" w:customStyle="1" w:styleId="CharChar1CharCharChar">
    <w:name w:val="Char Char1 Char Char Char"/>
    <w:basedOn w:val="Normal"/>
    <w:uiPriority w:val="99"/>
    <w:rsid w:val="00565FD5"/>
    <w:pPr>
      <w:tabs>
        <w:tab w:val="left" w:pos="425"/>
      </w:tabs>
      <w:spacing w:after="160" w:line="240" w:lineRule="exact"/>
      <w:jc w:val="both"/>
    </w:pPr>
    <w:rPr>
      <w:rFonts w:ascii="Verdana" w:eastAsia="Times New Roman" w:hAnsi="Verdana" w:cs="Times New Roman"/>
      <w:sz w:val="20"/>
      <w:szCs w:val="20"/>
      <w:lang w:val="en-GB"/>
    </w:rPr>
  </w:style>
  <w:style w:type="paragraph" w:customStyle="1" w:styleId="GvdeMetniGirintisi31">
    <w:name w:val="Gövde Metni Girintisi 31"/>
    <w:basedOn w:val="Normal"/>
    <w:uiPriority w:val="99"/>
    <w:rsid w:val="00565FD5"/>
    <w:pPr>
      <w:tabs>
        <w:tab w:val="left" w:pos="567"/>
      </w:tabs>
      <w:suppressAutoHyphens/>
      <w:spacing w:after="0" w:line="240" w:lineRule="auto"/>
      <w:ind w:firstLine="709"/>
      <w:jc w:val="both"/>
    </w:pPr>
    <w:rPr>
      <w:rFonts w:ascii="Arial" w:eastAsia="Times New Roman" w:hAnsi="Arial" w:cs="Times New Roman"/>
      <w:sz w:val="24"/>
      <w:szCs w:val="20"/>
      <w:lang w:eastAsia="ar-SA"/>
    </w:rPr>
  </w:style>
  <w:style w:type="paragraph" w:customStyle="1" w:styleId="GvdeMetni210">
    <w:name w:val="Gövde Metni 21"/>
    <w:basedOn w:val="Normal"/>
    <w:uiPriority w:val="99"/>
    <w:rsid w:val="00565FD5"/>
    <w:pPr>
      <w:tabs>
        <w:tab w:val="left" w:pos="567"/>
      </w:tabs>
      <w:suppressAutoHyphens/>
      <w:spacing w:after="0" w:line="240" w:lineRule="auto"/>
      <w:ind w:right="-142"/>
      <w:jc w:val="both"/>
    </w:pPr>
    <w:rPr>
      <w:rFonts w:ascii="Arial" w:eastAsia="Times New Roman" w:hAnsi="Arial" w:cs="Arial"/>
      <w:bCs/>
      <w:sz w:val="24"/>
      <w:szCs w:val="20"/>
      <w:lang w:val="en-AU" w:eastAsia="ar-SA"/>
    </w:rPr>
  </w:style>
  <w:style w:type="paragraph" w:customStyle="1" w:styleId="GvdeMetniGirintisi21">
    <w:name w:val="Gövde Metni Girintisi 21"/>
    <w:basedOn w:val="Normal"/>
    <w:uiPriority w:val="99"/>
    <w:rsid w:val="00565FD5"/>
    <w:pPr>
      <w:tabs>
        <w:tab w:val="left" w:pos="567"/>
      </w:tabs>
      <w:suppressAutoHyphens/>
      <w:spacing w:after="0" w:line="240" w:lineRule="auto"/>
      <w:ind w:left="742" w:hanging="742"/>
      <w:jc w:val="both"/>
    </w:pPr>
    <w:rPr>
      <w:rFonts w:ascii="Arial" w:eastAsia="Times New Roman" w:hAnsi="Arial" w:cs="Times New Roman"/>
      <w:b/>
      <w:szCs w:val="20"/>
      <w:lang w:eastAsia="ar-SA"/>
    </w:rPr>
  </w:style>
  <w:style w:type="paragraph" w:customStyle="1" w:styleId="AklamaMetni1">
    <w:name w:val="Açıklama Metni1"/>
    <w:basedOn w:val="Normal"/>
    <w:uiPriority w:val="99"/>
    <w:rsid w:val="00565FD5"/>
    <w:pPr>
      <w:tabs>
        <w:tab w:val="left" w:pos="567"/>
      </w:tabs>
      <w:suppressAutoHyphens/>
      <w:spacing w:after="0" w:line="240" w:lineRule="auto"/>
    </w:pPr>
    <w:rPr>
      <w:rFonts w:ascii="Times New Roman" w:eastAsia="Times New Roman" w:hAnsi="Times New Roman" w:cs="Times New Roman"/>
      <w:sz w:val="24"/>
      <w:szCs w:val="24"/>
      <w:lang w:val="en-US" w:eastAsia="ar-SA"/>
    </w:rPr>
  </w:style>
  <w:style w:type="paragraph" w:customStyle="1" w:styleId="ListeParagraf1">
    <w:name w:val="Liste Paragraf1"/>
    <w:basedOn w:val="Normal"/>
    <w:uiPriority w:val="99"/>
    <w:rsid w:val="00565FD5"/>
    <w:pPr>
      <w:tabs>
        <w:tab w:val="left" w:pos="425"/>
      </w:tabs>
      <w:spacing w:after="0" w:line="240" w:lineRule="auto"/>
      <w:ind w:left="720"/>
      <w:jc w:val="both"/>
    </w:pPr>
    <w:rPr>
      <w:rFonts w:ascii="Tahoma" w:eastAsia="Batang" w:hAnsi="Tahoma" w:cs="Times New Roman"/>
      <w:sz w:val="18"/>
      <w:szCs w:val="20"/>
    </w:rPr>
  </w:style>
  <w:style w:type="character" w:customStyle="1" w:styleId="CharChar5">
    <w:name w:val="Char Char5"/>
    <w:uiPriority w:val="99"/>
    <w:rsid w:val="00565FD5"/>
    <w:rPr>
      <w:rFonts w:ascii="Tahoma" w:hAnsi="Tahoma"/>
      <w:b/>
      <w:noProof/>
      <w:sz w:val="18"/>
      <w:lang w:val="en-US" w:eastAsia="en-US"/>
    </w:rPr>
  </w:style>
  <w:style w:type="paragraph" w:customStyle="1" w:styleId="CharCharCarCharCharCar1CharCharCarCharCharCharCharChar">
    <w:name w:val="Char Char Car Char Char Car1 Char Char Car Char Char Char Char Char"/>
    <w:basedOn w:val="Normal"/>
    <w:uiPriority w:val="99"/>
    <w:rsid w:val="00565FD5"/>
    <w:pPr>
      <w:spacing w:after="160" w:line="240" w:lineRule="exact"/>
    </w:pPr>
    <w:rPr>
      <w:rFonts w:ascii="Tahoma" w:eastAsia="Times New Roman" w:hAnsi="Tahoma" w:cs="Times New Roman"/>
      <w:sz w:val="20"/>
      <w:szCs w:val="20"/>
      <w:lang w:val="en-US"/>
    </w:rPr>
  </w:style>
  <w:style w:type="paragraph" w:customStyle="1" w:styleId="Style91">
    <w:name w:val="Style91"/>
    <w:basedOn w:val="Normal"/>
    <w:uiPriority w:val="99"/>
    <w:rsid w:val="00565FD5"/>
    <w:pPr>
      <w:widowControl w:val="0"/>
      <w:autoSpaceDE w:val="0"/>
      <w:autoSpaceDN w:val="0"/>
      <w:adjustRightInd w:val="0"/>
      <w:spacing w:after="0" w:line="403" w:lineRule="exact"/>
      <w:jc w:val="both"/>
    </w:pPr>
    <w:rPr>
      <w:rFonts w:ascii="Tahoma" w:eastAsia="Times New Roman" w:hAnsi="Tahoma" w:cs="Tahoma"/>
      <w:sz w:val="24"/>
      <w:szCs w:val="24"/>
      <w:lang w:eastAsia="tr-TR"/>
    </w:rPr>
  </w:style>
  <w:style w:type="character" w:customStyle="1" w:styleId="FontStyle207">
    <w:name w:val="Font Style207"/>
    <w:uiPriority w:val="99"/>
    <w:rsid w:val="00565FD5"/>
    <w:rPr>
      <w:rFonts w:ascii="Tahoma" w:hAnsi="Tahoma"/>
      <w:b/>
      <w:sz w:val="16"/>
    </w:rPr>
  </w:style>
  <w:style w:type="character" w:customStyle="1" w:styleId="FontStyle208">
    <w:name w:val="Font Style208"/>
    <w:uiPriority w:val="99"/>
    <w:rsid w:val="00565FD5"/>
    <w:rPr>
      <w:rFonts w:ascii="Tahoma" w:hAnsi="Tahoma"/>
      <w:sz w:val="16"/>
    </w:rPr>
  </w:style>
  <w:style w:type="paragraph" w:customStyle="1" w:styleId="Style34">
    <w:name w:val="Style34"/>
    <w:basedOn w:val="Normal"/>
    <w:uiPriority w:val="99"/>
    <w:rsid w:val="00565FD5"/>
    <w:pPr>
      <w:widowControl w:val="0"/>
      <w:autoSpaceDE w:val="0"/>
      <w:autoSpaceDN w:val="0"/>
      <w:adjustRightInd w:val="0"/>
      <w:spacing w:after="0" w:line="192" w:lineRule="exact"/>
    </w:pPr>
    <w:rPr>
      <w:rFonts w:ascii="Tahoma" w:eastAsia="Times New Roman" w:hAnsi="Tahoma" w:cs="Tahoma"/>
      <w:sz w:val="24"/>
      <w:szCs w:val="24"/>
      <w:lang w:eastAsia="tr-TR"/>
    </w:rPr>
  </w:style>
  <w:style w:type="paragraph" w:customStyle="1" w:styleId="Style66">
    <w:name w:val="Style66"/>
    <w:basedOn w:val="Normal"/>
    <w:uiPriority w:val="99"/>
    <w:rsid w:val="00565FD5"/>
    <w:pPr>
      <w:widowControl w:val="0"/>
      <w:autoSpaceDE w:val="0"/>
      <w:autoSpaceDN w:val="0"/>
      <w:adjustRightInd w:val="0"/>
      <w:spacing w:after="0" w:line="182" w:lineRule="exact"/>
    </w:pPr>
    <w:rPr>
      <w:rFonts w:ascii="Tahoma" w:eastAsia="Times New Roman" w:hAnsi="Tahoma" w:cs="Tahoma"/>
      <w:sz w:val="24"/>
      <w:szCs w:val="24"/>
      <w:lang w:eastAsia="tr-TR"/>
    </w:rPr>
  </w:style>
  <w:style w:type="character" w:customStyle="1" w:styleId="FontStyle216">
    <w:name w:val="Font Style216"/>
    <w:uiPriority w:val="99"/>
    <w:rsid w:val="00565FD5"/>
    <w:rPr>
      <w:rFonts w:ascii="Tahoma" w:hAnsi="Tahoma"/>
      <w:sz w:val="14"/>
    </w:rPr>
  </w:style>
  <w:style w:type="character" w:customStyle="1" w:styleId="FontStyle217">
    <w:name w:val="Font Style217"/>
    <w:uiPriority w:val="99"/>
    <w:rsid w:val="00565FD5"/>
    <w:rPr>
      <w:rFonts w:ascii="Tahoma" w:hAnsi="Tahoma"/>
      <w:b/>
      <w:sz w:val="16"/>
    </w:rPr>
  </w:style>
  <w:style w:type="character" w:customStyle="1" w:styleId="CharChar11">
    <w:name w:val="Char Char11"/>
    <w:uiPriority w:val="99"/>
    <w:semiHidden/>
    <w:rsid w:val="00565FD5"/>
    <w:rPr>
      <w:noProof/>
      <w:sz w:val="24"/>
      <w:lang w:val="tr-TR" w:eastAsia="en-US"/>
    </w:rPr>
  </w:style>
  <w:style w:type="character" w:customStyle="1" w:styleId="Char8">
    <w:name w:val="Char8"/>
    <w:uiPriority w:val="99"/>
    <w:locked/>
    <w:rsid w:val="00565FD5"/>
    <w:rPr>
      <w:rFonts w:ascii="Tahoma" w:hAnsi="Tahoma"/>
      <w:b/>
      <w:sz w:val="18"/>
      <w:lang w:eastAsia="en-US"/>
    </w:rPr>
  </w:style>
  <w:style w:type="character" w:customStyle="1" w:styleId="CharChar12">
    <w:name w:val="Char Char12"/>
    <w:aliases w:val="Body Text Indent Char1"/>
    <w:uiPriority w:val="99"/>
    <w:rsid w:val="00565FD5"/>
    <w:rPr>
      <w:noProof/>
      <w:sz w:val="24"/>
      <w:lang w:eastAsia="en-US"/>
    </w:rPr>
  </w:style>
  <w:style w:type="paragraph" w:customStyle="1" w:styleId="BodyText2CharChar">
    <w:name w:val="Body Text2 Char Char"/>
    <w:basedOn w:val="GvdeMetni21"/>
    <w:link w:val="BodyText2CharCharChar"/>
    <w:uiPriority w:val="99"/>
    <w:rsid w:val="00565FD5"/>
    <w:pPr>
      <w:spacing w:after="180" w:line="240" w:lineRule="auto"/>
      <w:ind w:firstLine="425"/>
    </w:pPr>
    <w:rPr>
      <w:b/>
      <w:szCs w:val="18"/>
      <w:lang w:eastAsia="tr-TR"/>
    </w:rPr>
  </w:style>
  <w:style w:type="character" w:customStyle="1" w:styleId="BodyText2CharCharChar">
    <w:name w:val="Body Text2 Char Char Char"/>
    <w:link w:val="BodyText2CharChar"/>
    <w:uiPriority w:val="99"/>
    <w:locked/>
    <w:rsid w:val="00565FD5"/>
    <w:rPr>
      <w:rFonts w:ascii="Tahoma" w:eastAsia="Times New Roman" w:hAnsi="Tahoma" w:cs="Times New Roman"/>
      <w:b/>
      <w:sz w:val="18"/>
      <w:szCs w:val="18"/>
      <w:lang w:eastAsia="tr-TR"/>
    </w:rPr>
  </w:style>
  <w:style w:type="paragraph" w:customStyle="1" w:styleId="Style2">
    <w:name w:val="Style2"/>
    <w:basedOn w:val="Normal"/>
    <w:uiPriority w:val="99"/>
    <w:rsid w:val="00565FD5"/>
    <w:pPr>
      <w:widowControl w:val="0"/>
      <w:autoSpaceDE w:val="0"/>
      <w:autoSpaceDN w:val="0"/>
      <w:adjustRightInd w:val="0"/>
      <w:spacing w:after="0" w:line="216" w:lineRule="exact"/>
      <w:ind w:firstLine="422"/>
      <w:jc w:val="both"/>
    </w:pPr>
    <w:rPr>
      <w:rFonts w:ascii="Tahoma" w:eastAsia="Times New Roman" w:hAnsi="Tahoma" w:cs="Tahoma"/>
      <w:sz w:val="24"/>
      <w:szCs w:val="24"/>
      <w:lang w:eastAsia="tr-TR"/>
    </w:rPr>
  </w:style>
  <w:style w:type="paragraph" w:customStyle="1" w:styleId="Style3">
    <w:name w:val="Style3"/>
    <w:basedOn w:val="Normal"/>
    <w:uiPriority w:val="99"/>
    <w:rsid w:val="00565FD5"/>
    <w:pPr>
      <w:widowControl w:val="0"/>
      <w:autoSpaceDE w:val="0"/>
      <w:autoSpaceDN w:val="0"/>
      <w:adjustRightInd w:val="0"/>
      <w:spacing w:after="0" w:line="394" w:lineRule="exact"/>
      <w:jc w:val="both"/>
    </w:pPr>
    <w:rPr>
      <w:rFonts w:ascii="Tahoma" w:eastAsia="Times New Roman" w:hAnsi="Tahoma" w:cs="Tahoma"/>
      <w:sz w:val="24"/>
      <w:szCs w:val="24"/>
      <w:lang w:eastAsia="tr-TR"/>
    </w:rPr>
  </w:style>
  <w:style w:type="paragraph" w:customStyle="1" w:styleId="Style4">
    <w:name w:val="Style4"/>
    <w:basedOn w:val="Normal"/>
    <w:uiPriority w:val="99"/>
    <w:rsid w:val="00565FD5"/>
    <w:pPr>
      <w:widowControl w:val="0"/>
      <w:autoSpaceDE w:val="0"/>
      <w:autoSpaceDN w:val="0"/>
      <w:adjustRightInd w:val="0"/>
      <w:spacing w:after="0" w:line="192" w:lineRule="exact"/>
    </w:pPr>
    <w:rPr>
      <w:rFonts w:ascii="Tahoma" w:eastAsia="Times New Roman" w:hAnsi="Tahoma" w:cs="Tahoma"/>
      <w:sz w:val="24"/>
      <w:szCs w:val="24"/>
      <w:lang w:eastAsia="tr-TR"/>
    </w:rPr>
  </w:style>
  <w:style w:type="paragraph" w:customStyle="1" w:styleId="Style5">
    <w:name w:val="Style5"/>
    <w:basedOn w:val="Normal"/>
    <w:uiPriority w:val="99"/>
    <w:rsid w:val="00565FD5"/>
    <w:pPr>
      <w:widowControl w:val="0"/>
      <w:autoSpaceDE w:val="0"/>
      <w:autoSpaceDN w:val="0"/>
      <w:adjustRightInd w:val="0"/>
      <w:spacing w:after="0" w:line="194" w:lineRule="exact"/>
    </w:pPr>
    <w:rPr>
      <w:rFonts w:ascii="Tahoma" w:eastAsia="Times New Roman" w:hAnsi="Tahoma" w:cs="Tahoma"/>
      <w:sz w:val="24"/>
      <w:szCs w:val="24"/>
      <w:lang w:eastAsia="tr-TR"/>
    </w:rPr>
  </w:style>
  <w:style w:type="paragraph" w:customStyle="1" w:styleId="Style7">
    <w:name w:val="Style7"/>
    <w:basedOn w:val="Normal"/>
    <w:uiPriority w:val="99"/>
    <w:rsid w:val="00565FD5"/>
    <w:pPr>
      <w:widowControl w:val="0"/>
      <w:autoSpaceDE w:val="0"/>
      <w:autoSpaceDN w:val="0"/>
      <w:adjustRightInd w:val="0"/>
      <w:spacing w:after="0" w:line="197" w:lineRule="exact"/>
      <w:ind w:hanging="1090"/>
    </w:pPr>
    <w:rPr>
      <w:rFonts w:ascii="Tahoma" w:eastAsia="Times New Roman" w:hAnsi="Tahoma" w:cs="Tahoma"/>
      <w:sz w:val="24"/>
      <w:szCs w:val="24"/>
      <w:lang w:eastAsia="tr-TR"/>
    </w:rPr>
  </w:style>
  <w:style w:type="paragraph" w:customStyle="1" w:styleId="Style10">
    <w:name w:val="Style10"/>
    <w:basedOn w:val="Normal"/>
    <w:uiPriority w:val="99"/>
    <w:rsid w:val="00565FD5"/>
    <w:pPr>
      <w:widowControl w:val="0"/>
      <w:autoSpaceDE w:val="0"/>
      <w:autoSpaceDN w:val="0"/>
      <w:adjustRightInd w:val="0"/>
      <w:spacing w:after="0" w:line="240" w:lineRule="auto"/>
    </w:pPr>
    <w:rPr>
      <w:rFonts w:ascii="Tahoma" w:eastAsia="Times New Roman" w:hAnsi="Tahoma" w:cs="Tahoma"/>
      <w:sz w:val="24"/>
      <w:szCs w:val="24"/>
      <w:lang w:eastAsia="tr-TR"/>
    </w:rPr>
  </w:style>
  <w:style w:type="character" w:customStyle="1" w:styleId="FontStyle15">
    <w:name w:val="Font Style15"/>
    <w:uiPriority w:val="99"/>
    <w:rsid w:val="00565FD5"/>
    <w:rPr>
      <w:rFonts w:ascii="Tahoma" w:hAnsi="Tahoma"/>
      <w:sz w:val="18"/>
    </w:rPr>
  </w:style>
  <w:style w:type="character" w:customStyle="1" w:styleId="FontStyle16">
    <w:name w:val="Font Style16"/>
    <w:uiPriority w:val="99"/>
    <w:rsid w:val="00565FD5"/>
    <w:rPr>
      <w:rFonts w:ascii="Tahoma" w:hAnsi="Tahoma"/>
      <w:b/>
      <w:sz w:val="18"/>
    </w:rPr>
  </w:style>
  <w:style w:type="character" w:customStyle="1" w:styleId="FontStyle18">
    <w:name w:val="Font Style18"/>
    <w:uiPriority w:val="99"/>
    <w:rsid w:val="00565FD5"/>
    <w:rPr>
      <w:rFonts w:ascii="Tahoma" w:hAnsi="Tahoma"/>
      <w:b/>
      <w:sz w:val="14"/>
    </w:rPr>
  </w:style>
  <w:style w:type="character" w:customStyle="1" w:styleId="FontStyle19">
    <w:name w:val="Font Style19"/>
    <w:uiPriority w:val="99"/>
    <w:rsid w:val="00565FD5"/>
    <w:rPr>
      <w:rFonts w:ascii="Tahoma" w:hAnsi="Tahoma"/>
      <w:sz w:val="14"/>
    </w:rPr>
  </w:style>
  <w:style w:type="character" w:customStyle="1" w:styleId="Heading3CharChar2">
    <w:name w:val="Heading 3 Char Char2"/>
    <w:uiPriority w:val="99"/>
    <w:rsid w:val="00565FD5"/>
    <w:rPr>
      <w:rFonts w:ascii="Tahoma" w:hAnsi="Tahoma"/>
      <w:b/>
      <w:noProof/>
      <w:sz w:val="18"/>
      <w:lang w:val="en-US" w:eastAsia="en-US"/>
    </w:rPr>
  </w:style>
  <w:style w:type="paragraph" w:customStyle="1" w:styleId="ListParagraph1">
    <w:name w:val="List Paragraph1"/>
    <w:basedOn w:val="Normal"/>
    <w:uiPriority w:val="99"/>
    <w:rsid w:val="00565FD5"/>
    <w:pPr>
      <w:spacing w:after="0" w:line="240" w:lineRule="auto"/>
      <w:ind w:left="720"/>
      <w:jc w:val="both"/>
    </w:pPr>
    <w:rPr>
      <w:rFonts w:ascii="Times New Roman" w:eastAsia="Times New Roman" w:hAnsi="Times New Roman" w:cs="Times New Roman"/>
      <w:sz w:val="24"/>
      <w:szCs w:val="24"/>
    </w:rPr>
  </w:style>
  <w:style w:type="character" w:customStyle="1" w:styleId="Normal2">
    <w:name w:val="Normal2"/>
    <w:basedOn w:val="VarsaylanParagrafYazTipi"/>
    <w:uiPriority w:val="99"/>
    <w:rsid w:val="00565FD5"/>
    <w:rPr>
      <w:rFonts w:cs="Times New Roman"/>
    </w:rPr>
  </w:style>
  <w:style w:type="character" w:customStyle="1" w:styleId="Char83">
    <w:name w:val="Char83"/>
    <w:uiPriority w:val="99"/>
    <w:locked/>
    <w:rsid w:val="00565FD5"/>
    <w:rPr>
      <w:rFonts w:ascii="Tahoma" w:hAnsi="Tahoma"/>
      <w:b/>
      <w:sz w:val="18"/>
      <w:lang w:eastAsia="en-US"/>
    </w:rPr>
  </w:style>
  <w:style w:type="character" w:customStyle="1" w:styleId="displayonly">
    <w:name w:val="display_only"/>
    <w:basedOn w:val="VarsaylanParagrafYazTipi"/>
    <w:uiPriority w:val="99"/>
    <w:rsid w:val="00565FD5"/>
    <w:rPr>
      <w:rFonts w:cs="Times New Roman"/>
    </w:rPr>
  </w:style>
  <w:style w:type="paragraph" w:customStyle="1" w:styleId="CharChar1CharCharChar2">
    <w:name w:val="Char Char1 Char Char Char2"/>
    <w:basedOn w:val="Normal"/>
    <w:uiPriority w:val="99"/>
    <w:rsid w:val="00565FD5"/>
    <w:pPr>
      <w:tabs>
        <w:tab w:val="left" w:pos="425"/>
      </w:tabs>
      <w:spacing w:after="160" w:line="240" w:lineRule="exact"/>
      <w:jc w:val="both"/>
    </w:pPr>
    <w:rPr>
      <w:rFonts w:ascii="Verdana" w:eastAsia="Times New Roman" w:hAnsi="Verdana" w:cs="Times New Roman"/>
      <w:sz w:val="20"/>
      <w:szCs w:val="20"/>
      <w:lang w:val="en-GB"/>
    </w:rPr>
  </w:style>
  <w:style w:type="paragraph" w:customStyle="1" w:styleId="ListeParagraf2">
    <w:name w:val="Liste Paragraf2"/>
    <w:basedOn w:val="Normal"/>
    <w:uiPriority w:val="99"/>
    <w:rsid w:val="00565FD5"/>
    <w:pPr>
      <w:spacing w:after="0" w:line="240" w:lineRule="auto"/>
      <w:ind w:left="720"/>
      <w:jc w:val="both"/>
    </w:pPr>
    <w:rPr>
      <w:rFonts w:ascii="Times New Roman" w:eastAsia="Times New Roman" w:hAnsi="Times New Roman" w:cs="Times New Roman"/>
      <w:sz w:val="24"/>
      <w:szCs w:val="24"/>
    </w:rPr>
  </w:style>
  <w:style w:type="character" w:customStyle="1" w:styleId="AltKonuBalChar1">
    <w:name w:val="Alt Konu Başlığı Char1"/>
    <w:uiPriority w:val="99"/>
    <w:rsid w:val="00565FD5"/>
    <w:rPr>
      <w:rFonts w:ascii="Cambria" w:hAnsi="Cambria"/>
      <w:i/>
      <w:color w:val="4F81BD"/>
      <w:spacing w:val="15"/>
      <w:sz w:val="24"/>
    </w:rPr>
  </w:style>
  <w:style w:type="character" w:customStyle="1" w:styleId="Normal3">
    <w:name w:val="Normal3"/>
    <w:basedOn w:val="VarsaylanParagrafYazTipi"/>
    <w:uiPriority w:val="99"/>
    <w:rsid w:val="00565FD5"/>
    <w:rPr>
      <w:rFonts w:cs="Times New Roman"/>
    </w:rPr>
  </w:style>
  <w:style w:type="paragraph" w:customStyle="1" w:styleId="Varsaylan">
    <w:name w:val="Varsayılan"/>
    <w:uiPriority w:val="99"/>
    <w:rsid w:val="00565FD5"/>
    <w:pPr>
      <w:tabs>
        <w:tab w:val="left" w:pos="708"/>
      </w:tabs>
      <w:suppressAutoHyphens/>
      <w:spacing w:after="0" w:line="100" w:lineRule="atLeast"/>
      <w:jc w:val="both"/>
    </w:pPr>
    <w:rPr>
      <w:rFonts w:ascii="Arial" w:eastAsia="Times New Roman" w:hAnsi="Arial" w:cs="Arial"/>
      <w:color w:val="000000"/>
      <w:sz w:val="24"/>
      <w:szCs w:val="24"/>
      <w:lang w:eastAsia="tr-TR"/>
    </w:rPr>
  </w:style>
  <w:style w:type="character" w:customStyle="1" w:styleId="DzMetinChar">
    <w:name w:val="Düz Metin Char"/>
    <w:link w:val="DzMetin"/>
    <w:uiPriority w:val="99"/>
    <w:semiHidden/>
    <w:locked/>
    <w:rsid w:val="00565FD5"/>
    <w:rPr>
      <w:rFonts w:ascii="Consolas" w:hAnsi="Consolas"/>
      <w:sz w:val="21"/>
    </w:rPr>
  </w:style>
  <w:style w:type="paragraph" w:styleId="DzMetin">
    <w:name w:val="Plain Text"/>
    <w:basedOn w:val="Normal"/>
    <w:link w:val="DzMetinChar"/>
    <w:uiPriority w:val="99"/>
    <w:semiHidden/>
    <w:rsid w:val="00565FD5"/>
    <w:pPr>
      <w:tabs>
        <w:tab w:val="left" w:pos="425"/>
      </w:tabs>
      <w:spacing w:after="0" w:line="240" w:lineRule="auto"/>
      <w:jc w:val="both"/>
    </w:pPr>
    <w:rPr>
      <w:rFonts w:ascii="Consolas" w:hAnsi="Consolas"/>
      <w:sz w:val="21"/>
    </w:rPr>
  </w:style>
  <w:style w:type="character" w:customStyle="1" w:styleId="DzMetinChar1">
    <w:name w:val="Düz Metin Char1"/>
    <w:basedOn w:val="VarsaylanParagrafYazTipi"/>
    <w:link w:val="DzMetin"/>
    <w:uiPriority w:val="99"/>
    <w:semiHidden/>
    <w:rsid w:val="00565FD5"/>
    <w:rPr>
      <w:rFonts w:ascii="Consolas" w:hAnsi="Consolas" w:cs="Consolas"/>
      <w:sz w:val="21"/>
      <w:szCs w:val="21"/>
    </w:rPr>
  </w:style>
  <w:style w:type="character" w:customStyle="1" w:styleId="PlainTextChar1">
    <w:name w:val="Plain Text Char1"/>
    <w:basedOn w:val="VarsaylanParagrafYazTipi"/>
    <w:uiPriority w:val="99"/>
    <w:semiHidden/>
    <w:rsid w:val="00565FD5"/>
    <w:rPr>
      <w:rFonts w:ascii="Consolas" w:hAnsi="Consolas" w:cs="Consolas"/>
      <w:sz w:val="21"/>
      <w:szCs w:val="21"/>
    </w:rPr>
  </w:style>
  <w:style w:type="character" w:customStyle="1" w:styleId="GvdeMetni2Char1">
    <w:name w:val="Gövde Metni 2 Char1"/>
    <w:uiPriority w:val="99"/>
    <w:rsid w:val="00565FD5"/>
    <w:rPr>
      <w:rFonts w:ascii="Tahoma" w:hAnsi="Tahoma"/>
      <w:sz w:val="20"/>
    </w:rPr>
  </w:style>
  <w:style w:type="paragraph" w:customStyle="1" w:styleId="tabloici">
    <w:name w:val="tabloici"/>
    <w:basedOn w:val="Normal"/>
    <w:uiPriority w:val="99"/>
    <w:rsid w:val="00565FD5"/>
    <w:pPr>
      <w:spacing w:before="60" w:after="0" w:line="240" w:lineRule="auto"/>
    </w:pPr>
    <w:rPr>
      <w:rFonts w:ascii="Times New Roman" w:eastAsia="Times New Roman" w:hAnsi="Times New Roman" w:cs="Times New Roman"/>
      <w:sz w:val="20"/>
      <w:szCs w:val="24"/>
      <w:lang w:val="en-US"/>
    </w:rPr>
  </w:style>
  <w:style w:type="table" w:customStyle="1" w:styleId="TableGrid1">
    <w:name w:val="Table Grid1"/>
    <w:uiPriority w:val="99"/>
    <w:rsid w:val="00565FD5"/>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4">
    <w:name w:val="Normal4"/>
    <w:basedOn w:val="VarsaylanParagrafYazTipi"/>
    <w:uiPriority w:val="99"/>
    <w:rsid w:val="00565FD5"/>
    <w:rPr>
      <w:rFonts w:cs="Times New Roman"/>
    </w:rPr>
  </w:style>
  <w:style w:type="character" w:customStyle="1" w:styleId="CharChar32">
    <w:name w:val="Char Char32"/>
    <w:uiPriority w:val="99"/>
    <w:semiHidden/>
    <w:rsid w:val="00565FD5"/>
    <w:rPr>
      <w:noProof/>
      <w:sz w:val="24"/>
      <w:lang w:eastAsia="en-US"/>
    </w:rPr>
  </w:style>
  <w:style w:type="character" w:customStyle="1" w:styleId="Normal5">
    <w:name w:val="Normal5"/>
    <w:basedOn w:val="VarsaylanParagrafYazTipi"/>
    <w:uiPriority w:val="99"/>
    <w:rsid w:val="00565FD5"/>
    <w:rPr>
      <w:rFonts w:cs="Times New Roman"/>
    </w:rPr>
  </w:style>
  <w:style w:type="paragraph" w:customStyle="1" w:styleId="ListeParagraf3">
    <w:name w:val="Liste Paragraf3"/>
    <w:basedOn w:val="Normal"/>
    <w:uiPriority w:val="99"/>
    <w:rsid w:val="00565FD5"/>
    <w:pPr>
      <w:spacing w:after="0" w:line="240" w:lineRule="auto"/>
      <w:ind w:left="720"/>
      <w:jc w:val="both"/>
    </w:pPr>
    <w:rPr>
      <w:rFonts w:ascii="Times New Roman" w:eastAsia="Times New Roman" w:hAnsi="Times New Roman" w:cs="Times New Roman"/>
      <w:sz w:val="24"/>
      <w:szCs w:val="24"/>
    </w:rPr>
  </w:style>
  <w:style w:type="table" w:customStyle="1" w:styleId="TableGrid2">
    <w:name w:val="Table Grid2"/>
    <w:uiPriority w:val="99"/>
    <w:rsid w:val="00565FD5"/>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zeltme">
    <w:name w:val="Revision"/>
    <w:hidden/>
    <w:uiPriority w:val="99"/>
    <w:semiHidden/>
    <w:rsid w:val="00565FD5"/>
    <w:pPr>
      <w:spacing w:after="0" w:line="240" w:lineRule="auto"/>
    </w:pPr>
    <w:rPr>
      <w:rFonts w:ascii="Calibri" w:eastAsia="Times New Roman" w:hAnsi="Calibri" w:cs="Times New Roman"/>
      <w:lang w:eastAsia="tr-TR"/>
    </w:rPr>
  </w:style>
  <w:style w:type="character" w:customStyle="1" w:styleId="BelgeBalantlarChar1">
    <w:name w:val="Belge Bağlantıları Char1"/>
    <w:uiPriority w:val="99"/>
    <w:semiHidden/>
    <w:rsid w:val="00565FD5"/>
    <w:rPr>
      <w:rFonts w:ascii="Tahoma" w:hAnsi="Tahoma"/>
      <w:sz w:val="16"/>
    </w:rPr>
  </w:style>
  <w:style w:type="character" w:customStyle="1" w:styleId="GvdeMetniGirintisi3Char1">
    <w:name w:val="Gövde Metni Girintisi 3 Char1"/>
    <w:uiPriority w:val="99"/>
    <w:semiHidden/>
    <w:rsid w:val="00565FD5"/>
    <w:rPr>
      <w:rFonts w:ascii="Tahoma" w:hAnsi="Tahoma"/>
      <w:sz w:val="16"/>
    </w:rPr>
  </w:style>
  <w:style w:type="character" w:customStyle="1" w:styleId="SonnotMetniChar1">
    <w:name w:val="Sonnot Metni Char1"/>
    <w:uiPriority w:val="99"/>
    <w:semiHidden/>
    <w:rsid w:val="00565FD5"/>
    <w:rPr>
      <w:rFonts w:ascii="Tahoma" w:hAnsi="Tahoma"/>
      <w:sz w:val="20"/>
    </w:rPr>
  </w:style>
  <w:style w:type="character" w:customStyle="1" w:styleId="TarihChar1">
    <w:name w:val="Tarih Char1"/>
    <w:uiPriority w:val="99"/>
    <w:semiHidden/>
    <w:rsid w:val="00565FD5"/>
    <w:rPr>
      <w:rFonts w:ascii="Tahoma" w:hAnsi="Tahoma"/>
      <w:sz w:val="20"/>
    </w:rPr>
  </w:style>
  <w:style w:type="table" w:customStyle="1" w:styleId="TabloKlavuzu1">
    <w:name w:val="Tablo Kılavuzu1"/>
    <w:uiPriority w:val="99"/>
    <w:rsid w:val="00565FD5"/>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umentMapChar1">
    <w:name w:val="Document Map Char1"/>
    <w:uiPriority w:val="99"/>
    <w:semiHidden/>
    <w:rsid w:val="00565FD5"/>
    <w:rPr>
      <w:rFonts w:ascii="Times New Roman" w:hAnsi="Times New Roman"/>
      <w:sz w:val="2"/>
      <w:lang w:eastAsia="en-US"/>
    </w:rPr>
  </w:style>
  <w:style w:type="character" w:customStyle="1" w:styleId="BodyTextIndent3Char1">
    <w:name w:val="Body Text Indent 3 Char1"/>
    <w:uiPriority w:val="99"/>
    <w:semiHidden/>
    <w:rsid w:val="00565FD5"/>
    <w:rPr>
      <w:rFonts w:ascii="Tahoma" w:hAnsi="Tahoma"/>
      <w:sz w:val="16"/>
      <w:lang w:eastAsia="en-US"/>
    </w:rPr>
  </w:style>
  <w:style w:type="character" w:customStyle="1" w:styleId="EndnoteTextChar1">
    <w:name w:val="Endnote Text Char1"/>
    <w:uiPriority w:val="99"/>
    <w:semiHidden/>
    <w:rsid w:val="00565FD5"/>
    <w:rPr>
      <w:rFonts w:ascii="Tahoma" w:hAnsi="Tahoma"/>
      <w:sz w:val="20"/>
      <w:lang w:eastAsia="en-US"/>
    </w:rPr>
  </w:style>
  <w:style w:type="character" w:customStyle="1" w:styleId="DateChar1">
    <w:name w:val="Date Char1"/>
    <w:uiPriority w:val="99"/>
    <w:semiHidden/>
    <w:rsid w:val="00565FD5"/>
    <w:rPr>
      <w:rFonts w:ascii="Tahoma" w:hAnsi="Tahoma"/>
      <w:sz w:val="20"/>
      <w:lang w:eastAsia="en-US"/>
    </w:rPr>
  </w:style>
  <w:style w:type="paragraph" w:customStyle="1" w:styleId="ListeParagraf21">
    <w:name w:val="Liste Paragraf21"/>
    <w:basedOn w:val="Normal"/>
    <w:uiPriority w:val="99"/>
    <w:rsid w:val="00565FD5"/>
    <w:pPr>
      <w:spacing w:after="0" w:line="240" w:lineRule="auto"/>
      <w:ind w:left="720"/>
      <w:jc w:val="both"/>
    </w:pPr>
    <w:rPr>
      <w:rFonts w:ascii="Times New Roman" w:eastAsia="Times New Roman" w:hAnsi="Times New Roman" w:cs="Times New Roman"/>
      <w:sz w:val="24"/>
      <w:szCs w:val="24"/>
    </w:rPr>
  </w:style>
  <w:style w:type="table" w:customStyle="1" w:styleId="TabloKlavuzu2">
    <w:name w:val="Tablo Kılavuzu2"/>
    <w:uiPriority w:val="99"/>
    <w:rsid w:val="00565FD5"/>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2">
    <w:name w:val="Char82"/>
    <w:uiPriority w:val="99"/>
    <w:locked/>
    <w:rsid w:val="00565FD5"/>
    <w:rPr>
      <w:rFonts w:ascii="Tahoma" w:hAnsi="Tahoma"/>
      <w:b/>
      <w:sz w:val="18"/>
      <w:lang w:eastAsia="en-US"/>
    </w:rPr>
  </w:style>
  <w:style w:type="character" w:customStyle="1" w:styleId="CharChar31">
    <w:name w:val="Char Char31"/>
    <w:uiPriority w:val="99"/>
    <w:semiHidden/>
    <w:rsid w:val="00565FD5"/>
    <w:rPr>
      <w:noProof/>
      <w:sz w:val="24"/>
      <w:lang w:eastAsia="en-US"/>
    </w:rPr>
  </w:style>
  <w:style w:type="character" w:customStyle="1" w:styleId="Char81">
    <w:name w:val="Char81"/>
    <w:uiPriority w:val="99"/>
    <w:locked/>
    <w:rsid w:val="00565FD5"/>
    <w:rPr>
      <w:rFonts w:ascii="Tahoma" w:hAnsi="Tahoma"/>
      <w:b/>
      <w:sz w:val="18"/>
      <w:lang w:eastAsia="en-US"/>
    </w:rPr>
  </w:style>
  <w:style w:type="table" w:customStyle="1" w:styleId="TableGrid3">
    <w:name w:val="Table Grid3"/>
    <w:uiPriority w:val="99"/>
    <w:rsid w:val="00565FD5"/>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565FD5"/>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565FD5"/>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1">
    <w:name w:val="Tablo Kılavuzu11"/>
    <w:uiPriority w:val="99"/>
    <w:rsid w:val="00565FD5"/>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uiPriority w:val="99"/>
    <w:rsid w:val="00565FD5"/>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565FD5"/>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6">
    <w:name w:val="Normal6"/>
    <w:basedOn w:val="VarsaylanParagrafYazTipi"/>
    <w:uiPriority w:val="99"/>
    <w:rsid w:val="00565FD5"/>
    <w:rPr>
      <w:rFonts w:cs="Times New Roman"/>
    </w:rPr>
  </w:style>
  <w:style w:type="character" w:customStyle="1" w:styleId="CharChar33">
    <w:name w:val="Char Char33"/>
    <w:uiPriority w:val="99"/>
    <w:semiHidden/>
    <w:rsid w:val="00565FD5"/>
    <w:rPr>
      <w:noProof/>
      <w:sz w:val="24"/>
      <w:lang w:eastAsia="en-US"/>
    </w:rPr>
  </w:style>
  <w:style w:type="character" w:customStyle="1" w:styleId="Char84">
    <w:name w:val="Char84"/>
    <w:uiPriority w:val="99"/>
    <w:locked/>
    <w:rsid w:val="00565FD5"/>
    <w:rPr>
      <w:rFonts w:ascii="Tahoma" w:hAnsi="Tahoma"/>
      <w:b/>
      <w:sz w:val="18"/>
      <w:lang w:eastAsia="en-US"/>
    </w:rPr>
  </w:style>
</w:styles>
</file>

<file path=word/webSettings.xml><?xml version="1.0" encoding="utf-8"?>
<w:webSettings xmlns:r="http://schemas.openxmlformats.org/officeDocument/2006/relationships" xmlns:w="http://schemas.openxmlformats.org/wordprocessingml/2006/main">
  <w:divs>
    <w:div w:id="221645183">
      <w:bodyDiv w:val="1"/>
      <w:marLeft w:val="0"/>
      <w:marRight w:val="0"/>
      <w:marTop w:val="0"/>
      <w:marBottom w:val="0"/>
      <w:divBdr>
        <w:top w:val="none" w:sz="0" w:space="0" w:color="auto"/>
        <w:left w:val="none" w:sz="0" w:space="0" w:color="auto"/>
        <w:bottom w:val="none" w:sz="0" w:space="0" w:color="auto"/>
        <w:right w:val="none" w:sz="0" w:space="0" w:color="auto"/>
      </w:divBdr>
      <w:divsChild>
        <w:div w:id="1162963612">
          <w:marLeft w:val="0"/>
          <w:marRight w:val="0"/>
          <w:marTop w:val="0"/>
          <w:marBottom w:val="0"/>
          <w:divBdr>
            <w:top w:val="none" w:sz="0" w:space="0" w:color="auto"/>
            <w:left w:val="none" w:sz="0" w:space="0" w:color="auto"/>
            <w:bottom w:val="none" w:sz="0" w:space="0" w:color="auto"/>
            <w:right w:val="none" w:sz="0" w:space="0" w:color="auto"/>
          </w:divBdr>
          <w:divsChild>
            <w:div w:id="1501583288">
              <w:marLeft w:val="0"/>
              <w:marRight w:val="0"/>
              <w:marTop w:val="0"/>
              <w:marBottom w:val="0"/>
              <w:divBdr>
                <w:top w:val="none" w:sz="0" w:space="0" w:color="auto"/>
                <w:left w:val="none" w:sz="0" w:space="0" w:color="auto"/>
                <w:bottom w:val="none" w:sz="0" w:space="0" w:color="auto"/>
                <w:right w:val="none" w:sz="0" w:space="0" w:color="auto"/>
              </w:divBdr>
              <w:divsChild>
                <w:div w:id="132632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66769">
      <w:bodyDiv w:val="1"/>
      <w:marLeft w:val="0"/>
      <w:marRight w:val="0"/>
      <w:marTop w:val="0"/>
      <w:marBottom w:val="0"/>
      <w:divBdr>
        <w:top w:val="none" w:sz="0" w:space="0" w:color="auto"/>
        <w:left w:val="none" w:sz="0" w:space="0" w:color="auto"/>
        <w:bottom w:val="none" w:sz="0" w:space="0" w:color="auto"/>
        <w:right w:val="none" w:sz="0" w:space="0" w:color="auto"/>
      </w:divBdr>
      <w:divsChild>
        <w:div w:id="1325624092">
          <w:marLeft w:val="0"/>
          <w:marRight w:val="0"/>
          <w:marTop w:val="0"/>
          <w:marBottom w:val="0"/>
          <w:divBdr>
            <w:top w:val="none" w:sz="0" w:space="0" w:color="auto"/>
            <w:left w:val="none" w:sz="0" w:space="0" w:color="auto"/>
            <w:bottom w:val="none" w:sz="0" w:space="0" w:color="auto"/>
            <w:right w:val="none" w:sz="0" w:space="0" w:color="auto"/>
          </w:divBdr>
          <w:divsChild>
            <w:div w:id="2103255898">
              <w:marLeft w:val="0"/>
              <w:marRight w:val="0"/>
              <w:marTop w:val="0"/>
              <w:marBottom w:val="0"/>
              <w:divBdr>
                <w:top w:val="none" w:sz="0" w:space="0" w:color="auto"/>
                <w:left w:val="none" w:sz="0" w:space="0" w:color="auto"/>
                <w:bottom w:val="none" w:sz="0" w:space="0" w:color="auto"/>
                <w:right w:val="none" w:sz="0" w:space="0" w:color="auto"/>
              </w:divBdr>
              <w:divsChild>
                <w:div w:id="13844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57257">
      <w:bodyDiv w:val="1"/>
      <w:marLeft w:val="0"/>
      <w:marRight w:val="0"/>
      <w:marTop w:val="0"/>
      <w:marBottom w:val="0"/>
      <w:divBdr>
        <w:top w:val="none" w:sz="0" w:space="0" w:color="auto"/>
        <w:left w:val="none" w:sz="0" w:space="0" w:color="auto"/>
        <w:bottom w:val="none" w:sz="0" w:space="0" w:color="auto"/>
        <w:right w:val="none" w:sz="0" w:space="0" w:color="auto"/>
      </w:divBdr>
      <w:divsChild>
        <w:div w:id="786851482">
          <w:marLeft w:val="0"/>
          <w:marRight w:val="0"/>
          <w:marTop w:val="0"/>
          <w:marBottom w:val="0"/>
          <w:divBdr>
            <w:top w:val="none" w:sz="0" w:space="0" w:color="auto"/>
            <w:left w:val="none" w:sz="0" w:space="0" w:color="auto"/>
            <w:bottom w:val="none" w:sz="0" w:space="0" w:color="auto"/>
            <w:right w:val="none" w:sz="0" w:space="0" w:color="auto"/>
          </w:divBdr>
          <w:divsChild>
            <w:div w:id="654263125">
              <w:marLeft w:val="0"/>
              <w:marRight w:val="0"/>
              <w:marTop w:val="0"/>
              <w:marBottom w:val="0"/>
              <w:divBdr>
                <w:top w:val="none" w:sz="0" w:space="0" w:color="auto"/>
                <w:left w:val="none" w:sz="0" w:space="0" w:color="auto"/>
                <w:bottom w:val="none" w:sz="0" w:space="0" w:color="auto"/>
                <w:right w:val="none" w:sz="0" w:space="0" w:color="auto"/>
              </w:divBdr>
              <w:divsChild>
                <w:div w:id="212881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7472">
      <w:bodyDiv w:val="1"/>
      <w:marLeft w:val="0"/>
      <w:marRight w:val="0"/>
      <w:marTop w:val="0"/>
      <w:marBottom w:val="0"/>
      <w:divBdr>
        <w:top w:val="none" w:sz="0" w:space="0" w:color="auto"/>
        <w:left w:val="none" w:sz="0" w:space="0" w:color="auto"/>
        <w:bottom w:val="none" w:sz="0" w:space="0" w:color="auto"/>
        <w:right w:val="none" w:sz="0" w:space="0" w:color="auto"/>
      </w:divBdr>
      <w:divsChild>
        <w:div w:id="1661689868">
          <w:marLeft w:val="0"/>
          <w:marRight w:val="0"/>
          <w:marTop w:val="0"/>
          <w:marBottom w:val="0"/>
          <w:divBdr>
            <w:top w:val="none" w:sz="0" w:space="0" w:color="auto"/>
            <w:left w:val="none" w:sz="0" w:space="0" w:color="auto"/>
            <w:bottom w:val="none" w:sz="0" w:space="0" w:color="auto"/>
            <w:right w:val="none" w:sz="0" w:space="0" w:color="auto"/>
          </w:divBdr>
          <w:divsChild>
            <w:div w:id="1798451409">
              <w:marLeft w:val="0"/>
              <w:marRight w:val="0"/>
              <w:marTop w:val="0"/>
              <w:marBottom w:val="0"/>
              <w:divBdr>
                <w:top w:val="none" w:sz="0" w:space="0" w:color="auto"/>
                <w:left w:val="none" w:sz="0" w:space="0" w:color="auto"/>
                <w:bottom w:val="none" w:sz="0" w:space="0" w:color="auto"/>
                <w:right w:val="none" w:sz="0" w:space="0" w:color="auto"/>
              </w:divBdr>
              <w:divsChild>
                <w:div w:id="6325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footer" Target="footer5.xml"/><Relationship Id="rId28" Type="http://schemas.openxmlformats.org/officeDocument/2006/relationships/footer" Target="footer9.xml"/><Relationship Id="rId10" Type="http://schemas.openxmlformats.org/officeDocument/2006/relationships/header" Target="header3.xml"/><Relationship Id="rId19" Type="http://schemas.openxmlformats.org/officeDocument/2006/relationships/chart" Target="charts/chart7.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footer" Target="footer4.xml"/><Relationship Id="rId27" Type="http://schemas.openxmlformats.org/officeDocument/2006/relationships/footer" Target="footer8.xml"/><Relationship Id="rId30" Type="http://schemas.openxmlformats.org/officeDocument/2006/relationships/hyperlink" Target="http://www.google.com.tr/url?sa=t&amp;rct=j&amp;q=ulusal%20ajans&amp;source=web&amp;cd=1&amp;cad=rja&amp;sqi=2&amp;ved=0CB0QFjAA&amp;url=http%3A%2F%2Fwww.ua.gov.tr%2F&amp;ei=l9tiUKe5AsbotQbgrIGADQ&amp;usg=AFQjCNEoTcAH0M4HXr9GEOjQfwFhLdVte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_al__ma_Sayfas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_al__ma_Sayfas_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_al__ma_Sayfas_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9.9378881987577647E-2"/>
          <c:y val="6.7340067340067394E-2"/>
          <c:w val="0.90436014555271016"/>
          <c:h val="0.71003374198089308"/>
        </c:manualLayout>
      </c:layout>
      <c:barChart>
        <c:barDir val="col"/>
        <c:grouping val="clustered"/>
        <c:ser>
          <c:idx val="0"/>
          <c:order val="0"/>
          <c:tx>
            <c:strRef>
              <c:f>Sheet1!$A$2</c:f>
              <c:strCache>
                <c:ptCount val="1"/>
                <c:pt idx="0">
                  <c:v>Tarım</c:v>
                </c:pt>
              </c:strCache>
            </c:strRef>
          </c:tx>
          <c:spPr>
            <a:pattFill prst="diagBrick">
              <a:fgClr>
                <a:srgbClr val="000000"/>
              </a:fgClr>
              <a:bgClr>
                <a:srgbClr val="FFFFFF"/>
              </a:bgClr>
            </a:pattFill>
            <a:ln w="12661">
              <a:solidFill>
                <a:srgbClr val="000000"/>
              </a:solidFill>
              <a:prstDash val="solid"/>
            </a:ln>
          </c:spPr>
          <c:cat>
            <c:strRef>
              <c:f>Sheet1!$B$1:$F$1</c:f>
              <c:strCache>
                <c:ptCount val="5"/>
                <c:pt idx="0">
                  <c:v>2009</c:v>
                </c:pt>
                <c:pt idx="1">
                  <c:v>2010</c:v>
                </c:pt>
                <c:pt idx="2">
                  <c:v>2011</c:v>
                </c:pt>
                <c:pt idx="3">
                  <c:v>2012(1)</c:v>
                </c:pt>
                <c:pt idx="4">
                  <c:v>2013(2)</c:v>
                </c:pt>
              </c:strCache>
            </c:strRef>
          </c:cat>
          <c:val>
            <c:numRef>
              <c:f>Sheet1!$B$2:$F$2</c:f>
              <c:numCache>
                <c:formatCode>0.0</c:formatCode>
                <c:ptCount val="5"/>
                <c:pt idx="0">
                  <c:v>3.6</c:v>
                </c:pt>
                <c:pt idx="1">
                  <c:v>2.4</c:v>
                </c:pt>
                <c:pt idx="2">
                  <c:v>5.6</c:v>
                </c:pt>
                <c:pt idx="3">
                  <c:v>3.7</c:v>
                </c:pt>
                <c:pt idx="4">
                  <c:v>3</c:v>
                </c:pt>
              </c:numCache>
            </c:numRef>
          </c:val>
        </c:ser>
        <c:ser>
          <c:idx val="1"/>
          <c:order val="1"/>
          <c:tx>
            <c:strRef>
              <c:f>Sheet1!$A$3</c:f>
              <c:strCache>
                <c:ptCount val="1"/>
                <c:pt idx="0">
                  <c:v>Sanayi</c:v>
                </c:pt>
              </c:strCache>
            </c:strRef>
          </c:tx>
          <c:spPr>
            <a:pattFill prst="dashVert">
              <a:fgClr>
                <a:srgbClr val="000000"/>
              </a:fgClr>
              <a:bgClr>
                <a:srgbClr val="FFFFFF"/>
              </a:bgClr>
            </a:pattFill>
            <a:ln w="12661">
              <a:solidFill>
                <a:srgbClr val="000000"/>
              </a:solidFill>
              <a:prstDash val="solid"/>
            </a:ln>
          </c:spPr>
          <c:cat>
            <c:strRef>
              <c:f>Sheet1!$B$1:$F$1</c:f>
              <c:strCache>
                <c:ptCount val="5"/>
                <c:pt idx="0">
                  <c:v>2009</c:v>
                </c:pt>
                <c:pt idx="1">
                  <c:v>2010</c:v>
                </c:pt>
                <c:pt idx="2">
                  <c:v>2011</c:v>
                </c:pt>
                <c:pt idx="3">
                  <c:v>2012(1)</c:v>
                </c:pt>
                <c:pt idx="4">
                  <c:v>2013(2)</c:v>
                </c:pt>
              </c:strCache>
            </c:strRef>
          </c:cat>
          <c:val>
            <c:numRef>
              <c:f>Sheet1!$B$3:$F$3</c:f>
              <c:numCache>
                <c:formatCode>0.0</c:formatCode>
                <c:ptCount val="5"/>
                <c:pt idx="0">
                  <c:v>-6.9</c:v>
                </c:pt>
                <c:pt idx="1">
                  <c:v>12.8</c:v>
                </c:pt>
                <c:pt idx="2">
                  <c:v>9.4</c:v>
                </c:pt>
                <c:pt idx="3">
                  <c:v>3.1</c:v>
                </c:pt>
                <c:pt idx="4">
                  <c:v>4</c:v>
                </c:pt>
              </c:numCache>
            </c:numRef>
          </c:val>
        </c:ser>
        <c:ser>
          <c:idx val="2"/>
          <c:order val="2"/>
          <c:tx>
            <c:strRef>
              <c:f>Sheet1!$A$4</c:f>
              <c:strCache>
                <c:ptCount val="1"/>
                <c:pt idx="0">
                  <c:v>Hizmetler</c:v>
                </c:pt>
              </c:strCache>
            </c:strRef>
          </c:tx>
          <c:spPr>
            <a:pattFill prst="pct60">
              <a:fgClr>
                <a:srgbClr val="000000"/>
              </a:fgClr>
              <a:bgClr>
                <a:srgbClr val="FFFFFF"/>
              </a:bgClr>
            </a:pattFill>
            <a:ln w="12661">
              <a:solidFill>
                <a:srgbClr val="000000"/>
              </a:solidFill>
              <a:prstDash val="solid"/>
            </a:ln>
          </c:spPr>
          <c:cat>
            <c:strRef>
              <c:f>Sheet1!$B$1:$F$1</c:f>
              <c:strCache>
                <c:ptCount val="5"/>
                <c:pt idx="0">
                  <c:v>2009</c:v>
                </c:pt>
                <c:pt idx="1">
                  <c:v>2010</c:v>
                </c:pt>
                <c:pt idx="2">
                  <c:v>2011</c:v>
                </c:pt>
                <c:pt idx="3">
                  <c:v>2012(1)</c:v>
                </c:pt>
                <c:pt idx="4">
                  <c:v>2013(2)</c:v>
                </c:pt>
              </c:strCache>
            </c:strRef>
          </c:cat>
          <c:val>
            <c:numRef>
              <c:f>Sheet1!$B$4:$F$4</c:f>
              <c:numCache>
                <c:formatCode>0.0</c:formatCode>
                <c:ptCount val="5"/>
                <c:pt idx="0">
                  <c:v>-3.2</c:v>
                </c:pt>
                <c:pt idx="1">
                  <c:v>8.6</c:v>
                </c:pt>
                <c:pt idx="2">
                  <c:v>8.9</c:v>
                </c:pt>
                <c:pt idx="3">
                  <c:v>3.2</c:v>
                </c:pt>
                <c:pt idx="4">
                  <c:v>4.2</c:v>
                </c:pt>
              </c:numCache>
            </c:numRef>
          </c:val>
        </c:ser>
        <c:gapWidth val="100"/>
        <c:axId val="227864960"/>
        <c:axId val="227866496"/>
      </c:barChart>
      <c:lineChart>
        <c:grouping val="standard"/>
        <c:ser>
          <c:idx val="4"/>
          <c:order val="3"/>
          <c:tx>
            <c:strRef>
              <c:f>Sheet1!$A$5</c:f>
              <c:strCache>
                <c:ptCount val="1"/>
                <c:pt idx="0">
                  <c:v>GSYH</c:v>
                </c:pt>
              </c:strCache>
            </c:strRef>
          </c:tx>
          <c:spPr>
            <a:ln w="25346">
              <a:solidFill>
                <a:srgbClr val="800080"/>
              </a:solidFill>
              <a:prstDash val="lgDashDot"/>
            </a:ln>
          </c:spPr>
          <c:marker>
            <c:symbol val="circle"/>
            <c:size val="3"/>
            <c:spPr>
              <a:noFill/>
              <a:ln>
                <a:solidFill>
                  <a:srgbClr val="000000"/>
                </a:solidFill>
                <a:prstDash val="solid"/>
              </a:ln>
            </c:spPr>
          </c:marker>
          <c:dLbls>
            <c:dLbl>
              <c:idx val="0"/>
              <c:layout>
                <c:manualLayout>
                  <c:x val="-9.2815372635913745E-2"/>
                  <c:y val="7.4217953790631144E-3"/>
                </c:manualLayout>
              </c:layout>
              <c:dLblPos val="r"/>
              <c:showVal val="1"/>
            </c:dLbl>
            <c:dLbl>
              <c:idx val="1"/>
              <c:layout>
                <c:manualLayout>
                  <c:x val="-8.4757185237057706E-2"/>
                  <c:y val="-3.8297316776508224E-2"/>
                </c:manualLayout>
              </c:layout>
              <c:dLblPos val="r"/>
              <c:showVal val="1"/>
            </c:dLbl>
            <c:dLbl>
              <c:idx val="2"/>
              <c:layout>
                <c:manualLayout>
                  <c:x val="-6.6436550946853939E-2"/>
                  <c:y val="-4.8623794951864724E-2"/>
                </c:manualLayout>
              </c:layout>
              <c:dLblPos val="r"/>
              <c:showVal val="1"/>
            </c:dLbl>
            <c:dLbl>
              <c:idx val="3"/>
              <c:layout>
                <c:manualLayout>
                  <c:x val="-4.2808317611952786E-2"/>
                  <c:y val="-5.4689834853618016E-2"/>
                </c:manualLayout>
              </c:layout>
              <c:dLblPos val="r"/>
              <c:showVal val="1"/>
            </c:dLbl>
            <c:dLbl>
              <c:idx val="4"/>
              <c:layout>
                <c:manualLayout>
                  <c:x val="-3.9015509424958274E-2"/>
                  <c:y val="-6.323002939319633E-2"/>
                </c:manualLayout>
              </c:layout>
              <c:dLblPos val="r"/>
              <c:showVal val="1"/>
            </c:dLbl>
            <c:dLbl>
              <c:idx val="5"/>
              <c:numFmt formatCode="#,##0.0" sourceLinked="0"/>
              <c:spPr>
                <a:noFill/>
                <a:ln w="25361">
                  <a:noFill/>
                </a:ln>
              </c:spPr>
              <c:txPr>
                <a:bodyPr/>
                <a:lstStyle/>
                <a:p>
                  <a:pPr>
                    <a:defRPr sz="799" b="1" i="0" u="none" strike="noStrike" baseline="0">
                      <a:solidFill>
                        <a:srgbClr val="000000"/>
                      </a:solidFill>
                      <a:latin typeface="Arial"/>
                      <a:ea typeface="Arial"/>
                      <a:cs typeface="Arial"/>
                    </a:defRPr>
                  </a:pPr>
                  <a:endParaRPr lang="tr-TR"/>
                </a:p>
              </c:txPr>
              <c:dLblPos val="r"/>
              <c:showVal val="1"/>
            </c:dLbl>
            <c:numFmt formatCode="#,##0.0" sourceLinked="0"/>
            <c:spPr>
              <a:noFill/>
              <a:ln w="25361">
                <a:noFill/>
              </a:ln>
            </c:spPr>
            <c:txPr>
              <a:bodyPr/>
              <a:lstStyle/>
              <a:p>
                <a:pPr>
                  <a:defRPr sz="899" b="1" i="0" u="none" strike="noStrike" baseline="0">
                    <a:solidFill>
                      <a:srgbClr val="000000"/>
                    </a:solidFill>
                    <a:latin typeface="Arial"/>
                    <a:ea typeface="Arial"/>
                    <a:cs typeface="Arial"/>
                  </a:defRPr>
                </a:pPr>
                <a:endParaRPr lang="tr-TR"/>
              </a:p>
            </c:txPr>
            <c:showVal val="1"/>
          </c:dLbls>
          <c:cat>
            <c:strRef>
              <c:f>Sheet1!$B$1:$F$1</c:f>
              <c:strCache>
                <c:ptCount val="5"/>
                <c:pt idx="0">
                  <c:v>2009</c:v>
                </c:pt>
                <c:pt idx="1">
                  <c:v>2010</c:v>
                </c:pt>
                <c:pt idx="2">
                  <c:v>2011</c:v>
                </c:pt>
                <c:pt idx="3">
                  <c:v>2012(1)</c:v>
                </c:pt>
                <c:pt idx="4">
                  <c:v>2013(2)</c:v>
                </c:pt>
              </c:strCache>
            </c:strRef>
          </c:cat>
          <c:val>
            <c:numRef>
              <c:f>Sheet1!$B$5:$F$5</c:f>
              <c:numCache>
                <c:formatCode>0.0</c:formatCode>
                <c:ptCount val="5"/>
                <c:pt idx="0">
                  <c:v>-4.8</c:v>
                </c:pt>
                <c:pt idx="1">
                  <c:v>9.2000000000000011</c:v>
                </c:pt>
                <c:pt idx="2">
                  <c:v>8.5</c:v>
                </c:pt>
                <c:pt idx="3">
                  <c:v>3.2</c:v>
                </c:pt>
                <c:pt idx="4">
                  <c:v>4</c:v>
                </c:pt>
              </c:numCache>
            </c:numRef>
          </c:val>
        </c:ser>
        <c:marker val="1"/>
        <c:axId val="227864960"/>
        <c:axId val="227866496"/>
      </c:lineChart>
      <c:catAx>
        <c:axId val="227864960"/>
        <c:scaling>
          <c:orientation val="minMax"/>
        </c:scaling>
        <c:axPos val="b"/>
        <c:numFmt formatCode="General" sourceLinked="1"/>
        <c:majorTickMark val="in"/>
        <c:minorTickMark val="in"/>
        <c:tickLblPos val="low"/>
        <c:spPr>
          <a:ln w="3165">
            <a:solidFill>
              <a:srgbClr val="000000"/>
            </a:solidFill>
            <a:prstDash val="solid"/>
          </a:ln>
        </c:spPr>
        <c:txPr>
          <a:bodyPr rot="0" vert="horz"/>
          <a:lstStyle/>
          <a:p>
            <a:pPr>
              <a:defRPr sz="799" b="1" i="0" u="none" strike="noStrike" baseline="0">
                <a:solidFill>
                  <a:srgbClr val="000000"/>
                </a:solidFill>
                <a:latin typeface="Tahoma"/>
                <a:ea typeface="Tahoma"/>
                <a:cs typeface="Tahoma"/>
              </a:defRPr>
            </a:pPr>
            <a:endParaRPr lang="tr-TR"/>
          </a:p>
        </c:txPr>
        <c:crossAx val="227866496"/>
        <c:crosses val="autoZero"/>
        <c:auto val="1"/>
        <c:lblAlgn val="ctr"/>
        <c:lblOffset val="100"/>
        <c:tickLblSkip val="1"/>
        <c:tickMarkSkip val="1"/>
      </c:catAx>
      <c:valAx>
        <c:axId val="227866496"/>
        <c:scaling>
          <c:orientation val="minMax"/>
          <c:min val="-12"/>
        </c:scaling>
        <c:axPos val="l"/>
        <c:numFmt formatCode="#,##0" sourceLinked="0"/>
        <c:tickLblPos val="nextTo"/>
        <c:spPr>
          <a:ln w="3165">
            <a:solidFill>
              <a:srgbClr val="000000"/>
            </a:solidFill>
            <a:prstDash val="solid"/>
          </a:ln>
        </c:spPr>
        <c:txPr>
          <a:bodyPr rot="0" vert="horz"/>
          <a:lstStyle/>
          <a:p>
            <a:pPr>
              <a:defRPr sz="799" b="1" i="0" u="none" strike="noStrike" baseline="0">
                <a:solidFill>
                  <a:srgbClr val="000000"/>
                </a:solidFill>
                <a:latin typeface="Tahoma"/>
                <a:ea typeface="Tahoma"/>
                <a:cs typeface="Tahoma"/>
              </a:defRPr>
            </a:pPr>
            <a:endParaRPr lang="tr-TR"/>
          </a:p>
        </c:txPr>
        <c:crossAx val="227864960"/>
        <c:crosses val="autoZero"/>
        <c:crossBetween val="between"/>
        <c:majorUnit val="4"/>
      </c:valAx>
      <c:spPr>
        <a:solidFill>
          <a:srgbClr val="FFFFFF"/>
        </a:solidFill>
        <a:ln w="12661">
          <a:solidFill>
            <a:srgbClr val="000000"/>
          </a:solidFill>
          <a:prstDash val="solid"/>
        </a:ln>
      </c:spPr>
    </c:plotArea>
    <c:legend>
      <c:legendPos val="r"/>
      <c:layout>
        <c:manualLayout>
          <c:xMode val="edge"/>
          <c:yMode val="edge"/>
          <c:wMode val="edge"/>
          <c:hMode val="edge"/>
          <c:x val="0.24516140027951053"/>
          <c:y val="0.93361005132090469"/>
          <c:w val="1"/>
          <c:h val="1"/>
        </c:manualLayout>
      </c:layout>
      <c:spPr>
        <a:solidFill>
          <a:srgbClr val="FFFFFF"/>
        </a:solidFill>
        <a:ln w="3165">
          <a:solidFill>
            <a:srgbClr val="000000"/>
          </a:solidFill>
          <a:prstDash val="solid"/>
        </a:ln>
      </c:spPr>
      <c:txPr>
        <a:bodyPr/>
        <a:lstStyle/>
        <a:p>
          <a:pPr>
            <a:defRPr sz="800" b="0" i="0" u="none" strike="noStrike" baseline="0">
              <a:solidFill>
                <a:srgbClr val="000000"/>
              </a:solidFill>
              <a:latin typeface="Tahoma"/>
              <a:ea typeface="Tahoma"/>
              <a:cs typeface="Tahoma"/>
            </a:defRPr>
          </a:pPr>
          <a:endParaRPr lang="tr-TR"/>
        </a:p>
      </c:txPr>
    </c:legend>
    <c:plotVisOnly val="1"/>
    <c:dispBlanksAs val="gap"/>
  </c:chart>
  <c:spPr>
    <a:solidFill>
      <a:srgbClr val="FFFFFF"/>
    </a:solidFill>
    <a:ln w="6336"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Arial"/>
          <a:ea typeface="Arial"/>
          <a:cs typeface="Arial"/>
        </a:defRPr>
      </a:pPr>
      <a:endParaRPr lang="tr-T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1974248927038629"/>
          <c:y val="0.15068493150684972"/>
          <c:w val="0.75751072961373389"/>
          <c:h val="0.61095890410959186"/>
        </c:manualLayout>
      </c:layout>
      <c:barChart>
        <c:barDir val="col"/>
        <c:grouping val="stacked"/>
        <c:ser>
          <c:idx val="0"/>
          <c:order val="1"/>
          <c:tx>
            <c:strRef>
              <c:f>Sheet1!$A$3</c:f>
              <c:strCache>
                <c:ptCount val="1"/>
                <c:pt idx="0">
                  <c:v>Tüketim</c:v>
                </c:pt>
              </c:strCache>
            </c:strRef>
          </c:tx>
          <c:spPr>
            <a:pattFill prst="pct70">
              <a:fgClr>
                <a:srgbClr val="000000"/>
              </a:fgClr>
              <a:bgClr>
                <a:srgbClr val="FFFFFF"/>
              </a:bgClr>
            </a:pattFill>
            <a:ln w="3265">
              <a:solidFill>
                <a:srgbClr val="000000"/>
              </a:solidFill>
              <a:prstDash val="solid"/>
            </a:ln>
          </c:spPr>
          <c:cat>
            <c:strRef>
              <c:f>Sheet1!$B$1:$E$1</c:f>
              <c:strCache>
                <c:ptCount val="4"/>
                <c:pt idx="0">
                  <c:v>2010</c:v>
                </c:pt>
                <c:pt idx="1">
                  <c:v>2011</c:v>
                </c:pt>
                <c:pt idx="2">
                  <c:v>2012 (1)</c:v>
                </c:pt>
                <c:pt idx="3">
                  <c:v>2013 (2)</c:v>
                </c:pt>
              </c:strCache>
            </c:strRef>
          </c:cat>
          <c:val>
            <c:numRef>
              <c:f>Sheet1!$B$3:$E$3</c:f>
              <c:numCache>
                <c:formatCode>#,##0.0</c:formatCode>
                <c:ptCount val="4"/>
                <c:pt idx="0">
                  <c:v>4.6730831446196595</c:v>
                </c:pt>
                <c:pt idx="1">
                  <c:v>5.9593364845712014</c:v>
                </c:pt>
                <c:pt idx="2">
                  <c:v>0.75507216861840032</c:v>
                </c:pt>
                <c:pt idx="3">
                  <c:v>2.3967348200241565</c:v>
                </c:pt>
              </c:numCache>
            </c:numRef>
          </c:val>
        </c:ser>
        <c:ser>
          <c:idx val="3"/>
          <c:order val="2"/>
          <c:tx>
            <c:strRef>
              <c:f>Sheet1!$A$4</c:f>
              <c:strCache>
                <c:ptCount val="1"/>
                <c:pt idx="0">
                  <c:v>Yatırım</c:v>
                </c:pt>
              </c:strCache>
            </c:strRef>
          </c:tx>
          <c:spPr>
            <a:pattFill prst="wdUpDiag">
              <a:fgClr>
                <a:srgbClr val="000000"/>
              </a:fgClr>
              <a:bgClr>
                <a:srgbClr val="FFFFFF"/>
              </a:bgClr>
            </a:pattFill>
            <a:ln w="13062">
              <a:solidFill>
                <a:srgbClr val="000000"/>
              </a:solidFill>
              <a:prstDash val="solid"/>
            </a:ln>
          </c:spPr>
          <c:cat>
            <c:strRef>
              <c:f>Sheet1!$B$1:$E$1</c:f>
              <c:strCache>
                <c:ptCount val="4"/>
                <c:pt idx="0">
                  <c:v>2010</c:v>
                </c:pt>
                <c:pt idx="1">
                  <c:v>2011</c:v>
                </c:pt>
                <c:pt idx="2">
                  <c:v>2012 (1)</c:v>
                </c:pt>
                <c:pt idx="3">
                  <c:v>2013 (2)</c:v>
                </c:pt>
              </c:strCache>
            </c:strRef>
          </c:cat>
          <c:val>
            <c:numRef>
              <c:f>Sheet1!$B$4:$E$4</c:f>
              <c:numCache>
                <c:formatCode>#,##0.0</c:formatCode>
                <c:ptCount val="4"/>
                <c:pt idx="0">
                  <c:v>8.9</c:v>
                </c:pt>
                <c:pt idx="1">
                  <c:v>4</c:v>
                </c:pt>
                <c:pt idx="2">
                  <c:v>-0.90314197460300571</c:v>
                </c:pt>
                <c:pt idx="3">
                  <c:v>1.6020006382658201</c:v>
                </c:pt>
              </c:numCache>
            </c:numRef>
          </c:val>
        </c:ser>
        <c:ser>
          <c:idx val="1"/>
          <c:order val="3"/>
          <c:tx>
            <c:strRef>
              <c:f>Sheet1!$A$5</c:f>
              <c:strCache>
                <c:ptCount val="1"/>
                <c:pt idx="0">
                  <c:v>Net İhracat</c:v>
                </c:pt>
              </c:strCache>
            </c:strRef>
          </c:tx>
          <c:spPr>
            <a:pattFill prst="pct5">
              <a:fgClr>
                <a:srgbClr val="000000"/>
              </a:fgClr>
              <a:bgClr>
                <a:srgbClr val="FFFFFF"/>
              </a:bgClr>
            </a:pattFill>
            <a:ln w="3265">
              <a:solidFill>
                <a:srgbClr val="000000"/>
              </a:solidFill>
              <a:prstDash val="solid"/>
            </a:ln>
          </c:spPr>
          <c:cat>
            <c:strRef>
              <c:f>Sheet1!$B$1:$E$1</c:f>
              <c:strCache>
                <c:ptCount val="4"/>
                <c:pt idx="0">
                  <c:v>2010</c:v>
                </c:pt>
                <c:pt idx="1">
                  <c:v>2011</c:v>
                </c:pt>
                <c:pt idx="2">
                  <c:v>2012 (1)</c:v>
                </c:pt>
                <c:pt idx="3">
                  <c:v>2013 (2)</c:v>
                </c:pt>
              </c:strCache>
            </c:strRef>
          </c:cat>
          <c:val>
            <c:numRef>
              <c:f>Sheet1!$B$5:$E$5</c:f>
              <c:numCache>
                <c:formatCode>#,##0.0</c:formatCode>
                <c:ptCount val="4"/>
                <c:pt idx="0">
                  <c:v>-4.3792426684755332</c:v>
                </c:pt>
                <c:pt idx="1">
                  <c:v>-1.4912831692190653</c:v>
                </c:pt>
                <c:pt idx="2">
                  <c:v>3.3480698059846028</c:v>
                </c:pt>
                <c:pt idx="3">
                  <c:v>1.2645417100422011E-3</c:v>
                </c:pt>
              </c:numCache>
            </c:numRef>
          </c:val>
        </c:ser>
        <c:gapWidth val="20"/>
        <c:overlap val="100"/>
        <c:axId val="230260096"/>
        <c:axId val="230262272"/>
      </c:barChart>
      <c:lineChart>
        <c:grouping val="standard"/>
        <c:ser>
          <c:idx val="4"/>
          <c:order val="0"/>
          <c:tx>
            <c:strRef>
              <c:f>Sheet1!$A$2</c:f>
              <c:strCache>
                <c:ptCount val="1"/>
                <c:pt idx="0">
                  <c:v>GSYH</c:v>
                </c:pt>
              </c:strCache>
            </c:strRef>
          </c:tx>
          <c:spPr>
            <a:ln w="13062">
              <a:solidFill>
                <a:srgbClr val="000000"/>
              </a:solidFill>
              <a:prstDash val="solid"/>
            </a:ln>
          </c:spPr>
          <c:marker>
            <c:symbol val="plus"/>
            <c:size val="2"/>
            <c:spPr>
              <a:noFill/>
              <a:ln>
                <a:solidFill>
                  <a:srgbClr val="000000"/>
                </a:solidFill>
                <a:prstDash val="solid"/>
              </a:ln>
            </c:spPr>
          </c:marker>
          <c:cat>
            <c:strRef>
              <c:f>Sheet1!$B$1:$E$1</c:f>
              <c:strCache>
                <c:ptCount val="4"/>
                <c:pt idx="0">
                  <c:v>2010</c:v>
                </c:pt>
                <c:pt idx="1">
                  <c:v>2011</c:v>
                </c:pt>
                <c:pt idx="2">
                  <c:v>2012 (1)</c:v>
                </c:pt>
                <c:pt idx="3">
                  <c:v>2013 (2)</c:v>
                </c:pt>
              </c:strCache>
            </c:strRef>
          </c:cat>
          <c:val>
            <c:numRef>
              <c:f>Sheet1!$B$2:$E$2</c:f>
              <c:numCache>
                <c:formatCode>#,##0.0</c:formatCode>
                <c:ptCount val="4"/>
                <c:pt idx="0">
                  <c:v>9.1569529292685701</c:v>
                </c:pt>
                <c:pt idx="1">
                  <c:v>8.5031902828110759</c:v>
                </c:pt>
                <c:pt idx="2">
                  <c:v>3.2000000000000037</c:v>
                </c:pt>
                <c:pt idx="3">
                  <c:v>4</c:v>
                </c:pt>
              </c:numCache>
            </c:numRef>
          </c:val>
        </c:ser>
        <c:marker val="1"/>
        <c:axId val="230260096"/>
        <c:axId val="230262272"/>
      </c:lineChart>
      <c:catAx>
        <c:axId val="230260096"/>
        <c:scaling>
          <c:orientation val="minMax"/>
        </c:scaling>
        <c:axPos val="b"/>
        <c:numFmt formatCode="General" sourceLinked="1"/>
        <c:tickLblPos val="nextTo"/>
        <c:spPr>
          <a:ln w="3265">
            <a:solidFill>
              <a:srgbClr val="000000"/>
            </a:solidFill>
            <a:prstDash val="solid"/>
          </a:ln>
        </c:spPr>
        <c:txPr>
          <a:bodyPr rot="0" vert="horz"/>
          <a:lstStyle/>
          <a:p>
            <a:pPr>
              <a:defRPr sz="820" b="0" i="0" u="none" strike="noStrike" baseline="0">
                <a:solidFill>
                  <a:srgbClr val="000000"/>
                </a:solidFill>
                <a:latin typeface="Arial"/>
                <a:ea typeface="Arial"/>
                <a:cs typeface="Arial"/>
              </a:defRPr>
            </a:pPr>
            <a:endParaRPr lang="tr-TR"/>
          </a:p>
        </c:txPr>
        <c:crossAx val="230262272"/>
        <c:crosses val="autoZero"/>
        <c:lblAlgn val="ctr"/>
        <c:lblOffset val="100"/>
        <c:tickMarkSkip val="1"/>
      </c:catAx>
      <c:valAx>
        <c:axId val="230262272"/>
        <c:scaling>
          <c:orientation val="minMax"/>
          <c:max val="14"/>
          <c:min val="-8"/>
        </c:scaling>
        <c:axPos val="l"/>
        <c:majorGridlines>
          <c:spPr>
            <a:ln w="3265">
              <a:solidFill>
                <a:srgbClr val="FFFFFF"/>
              </a:solidFill>
              <a:prstDash val="solid"/>
            </a:ln>
          </c:spPr>
        </c:majorGridlines>
        <c:numFmt formatCode="0.0" sourceLinked="0"/>
        <c:tickLblPos val="nextTo"/>
        <c:spPr>
          <a:ln w="3265">
            <a:solidFill>
              <a:srgbClr val="000000"/>
            </a:solidFill>
            <a:prstDash val="solid"/>
          </a:ln>
        </c:spPr>
        <c:txPr>
          <a:bodyPr rot="0" vert="horz"/>
          <a:lstStyle/>
          <a:p>
            <a:pPr>
              <a:defRPr sz="820" b="0" i="0" u="none" strike="noStrike" baseline="0">
                <a:solidFill>
                  <a:srgbClr val="000000"/>
                </a:solidFill>
                <a:latin typeface="Tahoma"/>
                <a:ea typeface="Tahoma"/>
                <a:cs typeface="Tahoma"/>
              </a:defRPr>
            </a:pPr>
            <a:endParaRPr lang="tr-TR"/>
          </a:p>
        </c:txPr>
        <c:crossAx val="230260096"/>
        <c:crosses val="autoZero"/>
        <c:crossBetween val="between"/>
        <c:majorUnit val="2"/>
        <c:minorUnit val="1"/>
      </c:valAx>
      <c:dTable>
        <c:showHorzBorder val="1"/>
        <c:showVertBorder val="1"/>
        <c:showOutline val="1"/>
        <c:showKeys val="1"/>
        <c:spPr>
          <a:ln w="13062">
            <a:solidFill>
              <a:srgbClr val="000000"/>
            </a:solidFill>
            <a:prstDash val="solid"/>
          </a:ln>
        </c:spPr>
        <c:txPr>
          <a:bodyPr/>
          <a:lstStyle/>
          <a:p>
            <a:pPr>
              <a:defRPr sz="820" b="0" i="0" u="none" strike="noStrike" baseline="0">
                <a:solidFill>
                  <a:srgbClr val="000000"/>
                </a:solidFill>
                <a:latin typeface="Tahoma"/>
                <a:ea typeface="Tahoma"/>
                <a:cs typeface="Tahoma"/>
              </a:defRPr>
            </a:pPr>
            <a:endParaRPr lang="tr-TR"/>
          </a:p>
        </c:txPr>
      </c:dTable>
      <c:spPr>
        <a:noFill/>
        <a:ln w="3265">
          <a:solidFill>
            <a:srgbClr val="000000"/>
          </a:solidFill>
          <a:prstDash val="solid"/>
        </a:ln>
      </c:spPr>
    </c:plotArea>
    <c:plotVisOnly val="1"/>
    <c:dispBlanksAs val="gap"/>
  </c:chart>
  <c:spPr>
    <a:noFill/>
    <a:ln w="9529" cap="flat" cmpd="sng" algn="ctr">
      <a:solidFill>
        <a:srgbClr val="000000"/>
      </a:solidFill>
      <a:prstDash val="solid"/>
      <a:miter lim="800000"/>
      <a:headEnd type="none" w="med" len="med"/>
      <a:tailEnd type="none" w="med" len="med"/>
    </a:ln>
  </c:spPr>
  <c:txPr>
    <a:bodyPr/>
    <a:lstStyle/>
    <a:p>
      <a:pPr>
        <a:defRPr sz="820" b="1" i="0" u="none" strike="noStrike" baseline="0">
          <a:solidFill>
            <a:srgbClr val="000000"/>
          </a:solidFill>
          <a:latin typeface="Arial"/>
          <a:ea typeface="Arial"/>
          <a:cs typeface="Arial"/>
        </a:defRPr>
      </a:pPr>
      <a:endParaRPr lang="tr-T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6.70643693531775E-2"/>
          <c:y val="0.11633720127089377"/>
          <c:w val="0.89734912472505057"/>
          <c:h val="0.68397914076529909"/>
        </c:manualLayout>
      </c:layout>
      <c:lineChart>
        <c:grouping val="standard"/>
        <c:ser>
          <c:idx val="0"/>
          <c:order val="0"/>
          <c:tx>
            <c:strRef>
              <c:f>tufe!$B$2</c:f>
              <c:strCache>
                <c:ptCount val="1"/>
                <c:pt idx="0">
                  <c:v>TÜFE</c:v>
                </c:pt>
              </c:strCache>
            </c:strRef>
          </c:tx>
          <c:marker>
            <c:symbol val="none"/>
          </c:marker>
          <c:cat>
            <c:numRef>
              <c:f>tufe!$A$3:$A$35</c:f>
              <c:numCache>
                <c:formatCode>mmm/yy</c:formatCode>
                <c:ptCount val="3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numCache>
            </c:numRef>
          </c:cat>
          <c:val>
            <c:numRef>
              <c:f>tufe!$B$3:$B$35</c:f>
              <c:numCache>
                <c:formatCode>0.00</c:formatCode>
                <c:ptCount val="33"/>
                <c:pt idx="0">
                  <c:v>8.1852082038533069</c:v>
                </c:pt>
                <c:pt idx="1">
                  <c:v>10.12784533832243</c:v>
                </c:pt>
                <c:pt idx="2">
                  <c:v>9.5608191463113705</c:v>
                </c:pt>
                <c:pt idx="3">
                  <c:v>10.1942645698427</c:v>
                </c:pt>
                <c:pt idx="4">
                  <c:v>9.0998222930326591</c:v>
                </c:pt>
                <c:pt idx="5">
                  <c:v>8.3675093346391556</c:v>
                </c:pt>
                <c:pt idx="6">
                  <c:v>7.577237757968021</c:v>
                </c:pt>
                <c:pt idx="7">
                  <c:v>8.3348643517667966</c:v>
                </c:pt>
                <c:pt idx="8">
                  <c:v>9.2356493625327829</c:v>
                </c:pt>
                <c:pt idx="9">
                  <c:v>8.6192518465570735</c:v>
                </c:pt>
                <c:pt idx="10">
                  <c:v>7.287806599611784</c:v>
                </c:pt>
                <c:pt idx="11">
                  <c:v>6.4010297817564803</c:v>
                </c:pt>
                <c:pt idx="12">
                  <c:v>4.9003274544723361</c:v>
                </c:pt>
                <c:pt idx="13">
                  <c:v>4.1565207542896019</c:v>
                </c:pt>
                <c:pt idx="14">
                  <c:v>3.9860376083774312</c:v>
                </c:pt>
                <c:pt idx="15">
                  <c:v>4.2646071188717372</c:v>
                </c:pt>
                <c:pt idx="16">
                  <c:v>7.1725454953943046</c:v>
                </c:pt>
                <c:pt idx="17">
                  <c:v>6.2358788974243158</c:v>
                </c:pt>
                <c:pt idx="18">
                  <c:v>6.3113684091038103</c:v>
                </c:pt>
                <c:pt idx="19">
                  <c:v>6.6534765404182963</c:v>
                </c:pt>
                <c:pt idx="20">
                  <c:v>6.1540179817948228</c:v>
                </c:pt>
                <c:pt idx="21" formatCode="General">
                  <c:v>7.6556073485056384</c:v>
                </c:pt>
                <c:pt idx="22" formatCode="General">
                  <c:v>9.4846491228070029</c:v>
                </c:pt>
                <c:pt idx="23" formatCode="General">
                  <c:v>10.448171569975255</c:v>
                </c:pt>
                <c:pt idx="24" formatCode="General">
                  <c:v>10.613362541073382</c:v>
                </c:pt>
                <c:pt idx="25" formatCode="General">
                  <c:v>10.433317022780415</c:v>
                </c:pt>
                <c:pt idx="26" formatCode="General">
                  <c:v>10.427720628045492</c:v>
                </c:pt>
                <c:pt idx="27" formatCode="General">
                  <c:v>11.137949543746657</c:v>
                </c:pt>
                <c:pt idx="28" formatCode="General">
                  <c:v>8.280488444001886</c:v>
                </c:pt>
                <c:pt idx="29" formatCode="General">
                  <c:v>8.8685665674181031</c:v>
                </c:pt>
                <c:pt idx="30" formatCode="General">
                  <c:v>9.0651860552025951</c:v>
                </c:pt>
                <c:pt idx="31" formatCode="General">
                  <c:v>8.8832352785286659</c:v>
                </c:pt>
                <c:pt idx="32" formatCode="General">
                  <c:v>9.19</c:v>
                </c:pt>
              </c:numCache>
            </c:numRef>
          </c:val>
        </c:ser>
        <c:ser>
          <c:idx val="1"/>
          <c:order val="1"/>
          <c:tx>
            <c:strRef>
              <c:f>tufe!$C$2</c:f>
              <c:strCache>
                <c:ptCount val="1"/>
                <c:pt idx="0">
                  <c:v>ÖKTG-I</c:v>
                </c:pt>
              </c:strCache>
            </c:strRef>
          </c:tx>
          <c:spPr>
            <a:ln>
              <a:prstDash val="sysDash"/>
            </a:ln>
          </c:spPr>
          <c:marker>
            <c:symbol val="none"/>
          </c:marker>
          <c:cat>
            <c:numRef>
              <c:f>tufe!$A$3:$A$35</c:f>
              <c:numCache>
                <c:formatCode>mmm/yy</c:formatCode>
                <c:ptCount val="3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numCache>
            </c:numRef>
          </c:cat>
          <c:val>
            <c:numRef>
              <c:f>tufe!$C$3:$C$35</c:f>
              <c:numCache>
                <c:formatCode>0.00</c:formatCode>
                <c:ptCount val="33"/>
                <c:pt idx="0">
                  <c:v>3.8338445126016722</c:v>
                </c:pt>
                <c:pt idx="1">
                  <c:v>4.0483383685800476</c:v>
                </c:pt>
                <c:pt idx="2">
                  <c:v>5.408694476370755</c:v>
                </c:pt>
                <c:pt idx="3">
                  <c:v>5.6482412060301659</c:v>
                </c:pt>
                <c:pt idx="4">
                  <c:v>5.4568193786203505</c:v>
                </c:pt>
                <c:pt idx="5">
                  <c:v>4.9473202015574875</c:v>
                </c:pt>
                <c:pt idx="6">
                  <c:v>4.4993123321763022</c:v>
                </c:pt>
                <c:pt idx="7">
                  <c:v>4.2225730071034056</c:v>
                </c:pt>
                <c:pt idx="8">
                  <c:v>3.6964215493511432</c:v>
                </c:pt>
                <c:pt idx="9">
                  <c:v>2.5043233203099939</c:v>
                </c:pt>
                <c:pt idx="10">
                  <c:v>2.5370382145354995</c:v>
                </c:pt>
                <c:pt idx="11">
                  <c:v>2.9888874696640637</c:v>
                </c:pt>
                <c:pt idx="12">
                  <c:v>3.1785783086110801</c:v>
                </c:pt>
                <c:pt idx="13">
                  <c:v>3.7811330494257347</c:v>
                </c:pt>
                <c:pt idx="14">
                  <c:v>3.771406580719642</c:v>
                </c:pt>
                <c:pt idx="15">
                  <c:v>4.4203450025367905</c:v>
                </c:pt>
                <c:pt idx="16">
                  <c:v>4.7188065663816143</c:v>
                </c:pt>
                <c:pt idx="17">
                  <c:v>5.2690652865249064</c:v>
                </c:pt>
                <c:pt idx="18">
                  <c:v>5.4336926548006979</c:v>
                </c:pt>
                <c:pt idx="19">
                  <c:v>6.1908368042408153</c:v>
                </c:pt>
                <c:pt idx="20">
                  <c:v>6.9649854632789889</c:v>
                </c:pt>
                <c:pt idx="21" formatCode="General">
                  <c:v>7.6668332916770785</c:v>
                </c:pt>
                <c:pt idx="22" formatCode="General">
                  <c:v>8.1793377154905009</c:v>
                </c:pt>
                <c:pt idx="23" formatCode="General">
                  <c:v>8.1173260572987829</c:v>
                </c:pt>
                <c:pt idx="24" formatCode="General">
                  <c:v>8.420463032113517</c:v>
                </c:pt>
                <c:pt idx="25" formatCode="General">
                  <c:v>8.1198706789355839</c:v>
                </c:pt>
                <c:pt idx="26" formatCode="General">
                  <c:v>7.9114902033500289</c:v>
                </c:pt>
                <c:pt idx="27" formatCode="General">
                  <c:v>8.2417248709383539</c:v>
                </c:pt>
                <c:pt idx="28" formatCode="General">
                  <c:v>7.6652560052452516</c:v>
                </c:pt>
                <c:pt idx="29" formatCode="General">
                  <c:v>7.4280298542826859</c:v>
                </c:pt>
                <c:pt idx="30" formatCode="General">
                  <c:v>7.4956904238245432</c:v>
                </c:pt>
                <c:pt idx="31" formatCode="General">
                  <c:v>7.1670529506150835</c:v>
                </c:pt>
                <c:pt idx="32" formatCode="General">
                  <c:v>6.68</c:v>
                </c:pt>
              </c:numCache>
            </c:numRef>
          </c:val>
        </c:ser>
        <c:marker val="1"/>
        <c:axId val="228637312"/>
        <c:axId val="228643200"/>
      </c:lineChart>
      <c:dateAx>
        <c:axId val="228637312"/>
        <c:scaling>
          <c:orientation val="minMax"/>
        </c:scaling>
        <c:axPos val="b"/>
        <c:numFmt formatCode="mmm/yy" sourceLinked="0"/>
        <c:tickLblPos val="nextTo"/>
        <c:txPr>
          <a:bodyPr rot="-2700000"/>
          <a:lstStyle/>
          <a:p>
            <a:pPr>
              <a:defRPr sz="530">
                <a:latin typeface="Tahoma" pitchFamily="34" charset="0"/>
                <a:ea typeface="Tahoma" pitchFamily="34" charset="0"/>
                <a:cs typeface="Tahoma" pitchFamily="34" charset="0"/>
              </a:defRPr>
            </a:pPr>
            <a:endParaRPr lang="tr-TR"/>
          </a:p>
        </c:txPr>
        <c:crossAx val="228643200"/>
        <c:crosses val="autoZero"/>
        <c:auto val="1"/>
        <c:lblOffset val="100"/>
        <c:baseTimeUnit val="months"/>
      </c:dateAx>
      <c:valAx>
        <c:axId val="228643200"/>
        <c:scaling>
          <c:orientation val="minMax"/>
          <c:max val="16"/>
          <c:min val="0"/>
        </c:scaling>
        <c:axPos val="l"/>
        <c:numFmt formatCode="0" sourceLinked="0"/>
        <c:tickLblPos val="nextTo"/>
        <c:txPr>
          <a:bodyPr/>
          <a:lstStyle/>
          <a:p>
            <a:pPr>
              <a:defRPr sz="618">
                <a:latin typeface="Tahoma" pitchFamily="34" charset="0"/>
                <a:ea typeface="Tahoma" pitchFamily="34" charset="0"/>
                <a:cs typeface="Tahoma" pitchFamily="34" charset="0"/>
              </a:defRPr>
            </a:pPr>
            <a:endParaRPr lang="tr-TR"/>
          </a:p>
        </c:txPr>
        <c:crossAx val="228637312"/>
        <c:crosses val="autoZero"/>
        <c:crossBetween val="between"/>
        <c:majorUnit val="4"/>
      </c:valAx>
      <c:spPr>
        <a:ln>
          <a:noFill/>
        </a:ln>
      </c:spPr>
    </c:plotArea>
    <c:legend>
      <c:legendPos val="r"/>
      <c:layout>
        <c:manualLayout>
          <c:xMode val="edge"/>
          <c:yMode val="edge"/>
          <c:wMode val="edge"/>
          <c:hMode val="edge"/>
          <c:x val="1.0563371521687759E-2"/>
          <c:y val="3.4090833582511061E-2"/>
          <c:w val="0.98239454665323234"/>
          <c:h val="0.1250001661184757"/>
        </c:manualLayout>
      </c:layout>
      <c:txPr>
        <a:bodyPr/>
        <a:lstStyle/>
        <a:p>
          <a:pPr>
            <a:defRPr sz="707">
              <a:latin typeface="Tahoma" pitchFamily="34" charset="0"/>
              <a:ea typeface="Tahoma" pitchFamily="34" charset="0"/>
              <a:cs typeface="Tahoma" pitchFamily="34" charset="0"/>
            </a:defRPr>
          </a:pPr>
          <a:endParaRPr lang="tr-TR"/>
        </a:p>
      </c:txPr>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7.3881956873013174E-2"/>
          <c:y val="9.5385826771653651E-2"/>
          <c:w val="0.88656195391588266"/>
          <c:h val="0.70661482939632569"/>
        </c:manualLayout>
      </c:layout>
      <c:lineChart>
        <c:grouping val="standard"/>
        <c:ser>
          <c:idx val="0"/>
          <c:order val="0"/>
          <c:tx>
            <c:strRef>
              <c:f>ufe!$B$1</c:f>
              <c:strCache>
                <c:ptCount val="1"/>
                <c:pt idx="0">
                  <c:v>ÜFE</c:v>
                </c:pt>
              </c:strCache>
            </c:strRef>
          </c:tx>
          <c:marker>
            <c:symbol val="none"/>
          </c:marker>
          <c:cat>
            <c:numRef>
              <c:f>ufe!$A$2:$A$34</c:f>
              <c:numCache>
                <c:formatCode>mmm/yy</c:formatCode>
                <c:ptCount val="3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numCache>
            </c:numRef>
          </c:cat>
          <c:val>
            <c:numRef>
              <c:f>ufe!$B$2:$B$34</c:f>
              <c:numCache>
                <c:formatCode>0.00</c:formatCode>
                <c:ptCount val="33"/>
                <c:pt idx="0">
                  <c:v>6.3006702840727815</c:v>
                </c:pt>
                <c:pt idx="1">
                  <c:v>6.8210499747602293</c:v>
                </c:pt>
                <c:pt idx="2">
                  <c:v>8.5818547879703129</c:v>
                </c:pt>
                <c:pt idx="3" formatCode="General">
                  <c:v>10.420703881977868</c:v>
                </c:pt>
                <c:pt idx="4" formatCode="General">
                  <c:v>9.2063293514291331</c:v>
                </c:pt>
                <c:pt idx="5" formatCode="General">
                  <c:v>7.6394052044609566</c:v>
                </c:pt>
                <c:pt idx="6" formatCode="General">
                  <c:v>8.2366154998127961</c:v>
                </c:pt>
                <c:pt idx="7" formatCode="General">
                  <c:v>9.0287702727894157</c:v>
                </c:pt>
                <c:pt idx="8" formatCode="General">
                  <c:v>8.9118083003952631</c:v>
                </c:pt>
                <c:pt idx="9" formatCode="General">
                  <c:v>9.9150141643059335</c:v>
                </c:pt>
                <c:pt idx="10" formatCode="General">
                  <c:v>8.1712062256809368</c:v>
                </c:pt>
                <c:pt idx="11" formatCode="General">
                  <c:v>8.8729161633244651</c:v>
                </c:pt>
                <c:pt idx="12" formatCode="General">
                  <c:v>10.80350708623587</c:v>
                </c:pt>
                <c:pt idx="13" formatCode="General">
                  <c:v>10.868923149624905</c:v>
                </c:pt>
                <c:pt idx="14" formatCode="General">
                  <c:v>10.0822806814231</c:v>
                </c:pt>
                <c:pt idx="15" formatCode="General">
                  <c:v>8.2087862318840674</c:v>
                </c:pt>
                <c:pt idx="16" formatCode="General">
                  <c:v>9.6328961686043204</c:v>
                </c:pt>
                <c:pt idx="17" formatCode="General">
                  <c:v>10.193979163069145</c:v>
                </c:pt>
                <c:pt idx="18" formatCode="General">
                  <c:v>10.336677043698828</c:v>
                </c:pt>
                <c:pt idx="19" formatCode="General">
                  <c:v>10.999658041718902</c:v>
                </c:pt>
                <c:pt idx="20" formatCode="General">
                  <c:v>12.146299971647309</c:v>
                </c:pt>
                <c:pt idx="21" formatCode="General">
                  <c:v>12.584043030031381</c:v>
                </c:pt>
                <c:pt idx="22" formatCode="General">
                  <c:v>13.669064748201436</c:v>
                </c:pt>
                <c:pt idx="23" formatCode="General">
                  <c:v>13.325936199722626</c:v>
                </c:pt>
                <c:pt idx="24" formatCode="General">
                  <c:v>11.132187957292292</c:v>
                </c:pt>
                <c:pt idx="25" formatCode="General">
                  <c:v>9.1480632958601937</c:v>
                </c:pt>
                <c:pt idx="26" formatCode="General">
                  <c:v>8.2219180966417404</c:v>
                </c:pt>
                <c:pt idx="27" formatCode="General">
                  <c:v>7.6540755467196782</c:v>
                </c:pt>
                <c:pt idx="28" formatCode="General">
                  <c:v>8.0603876090477122</c:v>
                </c:pt>
                <c:pt idx="29" formatCode="General">
                  <c:v>6.4406602590890305</c:v>
                </c:pt>
                <c:pt idx="30" formatCode="General">
                  <c:v>6.134071790584672</c:v>
                </c:pt>
                <c:pt idx="31" formatCode="General">
                  <c:v>4.5645923187512789</c:v>
                </c:pt>
                <c:pt idx="32" formatCode="General">
                  <c:v>4.03</c:v>
                </c:pt>
              </c:numCache>
            </c:numRef>
          </c:val>
        </c:ser>
        <c:ser>
          <c:idx val="1"/>
          <c:order val="1"/>
          <c:tx>
            <c:strRef>
              <c:f>ufe!$C$1</c:f>
              <c:strCache>
                <c:ptCount val="1"/>
                <c:pt idx="0">
                  <c:v>İmalat Sanayi</c:v>
                </c:pt>
              </c:strCache>
            </c:strRef>
          </c:tx>
          <c:spPr>
            <a:ln>
              <a:prstDash val="sysDash"/>
            </a:ln>
          </c:spPr>
          <c:marker>
            <c:symbol val="none"/>
          </c:marker>
          <c:cat>
            <c:numRef>
              <c:f>ufe!$A$2:$A$34</c:f>
              <c:numCache>
                <c:formatCode>mmm/yy</c:formatCode>
                <c:ptCount val="3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numCache>
            </c:numRef>
          </c:cat>
          <c:val>
            <c:numRef>
              <c:f>ufe!$C$2:$C$34</c:f>
              <c:numCache>
                <c:formatCode>0.00</c:formatCode>
                <c:ptCount val="33"/>
                <c:pt idx="0">
                  <c:v>5.460504752540146</c:v>
                </c:pt>
                <c:pt idx="1">
                  <c:v>5.5207108323533305</c:v>
                </c:pt>
                <c:pt idx="2">
                  <c:v>7.3221620916737322</c:v>
                </c:pt>
                <c:pt idx="3" formatCode="General">
                  <c:v>7.7936404931862482</c:v>
                </c:pt>
                <c:pt idx="4" formatCode="General">
                  <c:v>7.5329566854990464</c:v>
                </c:pt>
                <c:pt idx="5" formatCode="General">
                  <c:v>5.4325569490657957</c:v>
                </c:pt>
                <c:pt idx="6" formatCode="General">
                  <c:v>6.0504849380178714</c:v>
                </c:pt>
                <c:pt idx="7" formatCode="General">
                  <c:v>5.3341820496499075</c:v>
                </c:pt>
                <c:pt idx="8" formatCode="General">
                  <c:v>5.2365292183152103</c:v>
                </c:pt>
                <c:pt idx="9" formatCode="General">
                  <c:v>5.1521656774845308</c:v>
                </c:pt>
                <c:pt idx="10" formatCode="General">
                  <c:v>4.866316841579204</c:v>
                </c:pt>
                <c:pt idx="11" formatCode="General">
                  <c:v>6.6218152370273309</c:v>
                </c:pt>
                <c:pt idx="12" formatCode="General">
                  <c:v>8.8948284435604119</c:v>
                </c:pt>
                <c:pt idx="13" formatCode="General">
                  <c:v>10.983840009906519</c:v>
                </c:pt>
                <c:pt idx="14" formatCode="General">
                  <c:v>10.510328068043748</c:v>
                </c:pt>
                <c:pt idx="15" formatCode="General">
                  <c:v>9.6502317741255581</c:v>
                </c:pt>
                <c:pt idx="16" formatCode="General">
                  <c:v>11.268796424904878</c:v>
                </c:pt>
                <c:pt idx="17" formatCode="General">
                  <c:v>12.581173757358741</c:v>
                </c:pt>
                <c:pt idx="18" formatCode="General">
                  <c:v>13.851371812730886</c:v>
                </c:pt>
                <c:pt idx="19" formatCode="General">
                  <c:v>15.856901136088954</c:v>
                </c:pt>
                <c:pt idx="20" formatCode="General">
                  <c:v>17.025240384615365</c:v>
                </c:pt>
                <c:pt idx="21" formatCode="General">
                  <c:v>17.929626516152275</c:v>
                </c:pt>
                <c:pt idx="22" formatCode="General">
                  <c:v>16.405551915172452</c:v>
                </c:pt>
                <c:pt idx="23" formatCode="General">
                  <c:v>14.588688946015408</c:v>
                </c:pt>
                <c:pt idx="24" formatCode="General">
                  <c:v>12.078314972315781</c:v>
                </c:pt>
                <c:pt idx="25" formatCode="General">
                  <c:v>9.5397489539748932</c:v>
                </c:pt>
                <c:pt idx="26" formatCode="General">
                  <c:v>8.9719626168224238</c:v>
                </c:pt>
                <c:pt idx="27" formatCode="General">
                  <c:v>9.0205336554299063</c:v>
                </c:pt>
                <c:pt idx="28" formatCode="General">
                  <c:v>7.4898236092266073</c:v>
                </c:pt>
                <c:pt idx="29" formatCode="General">
                  <c:v>5.9676549865229003</c:v>
                </c:pt>
                <c:pt idx="30" formatCode="General">
                  <c:v>4.4632407702947194</c:v>
                </c:pt>
                <c:pt idx="31" formatCode="General">
                  <c:v>2.8166075526810062</c:v>
                </c:pt>
                <c:pt idx="32" formatCode="General">
                  <c:v>2.1800000000000002</c:v>
                </c:pt>
              </c:numCache>
            </c:numRef>
          </c:val>
        </c:ser>
        <c:marker val="1"/>
        <c:axId val="227799424"/>
        <c:axId val="227800960"/>
      </c:lineChart>
      <c:dateAx>
        <c:axId val="227799424"/>
        <c:scaling>
          <c:orientation val="minMax"/>
        </c:scaling>
        <c:axPos val="b"/>
        <c:numFmt formatCode="mmm/yy" sourceLinked="0"/>
        <c:tickLblPos val="nextTo"/>
        <c:txPr>
          <a:bodyPr rot="-2700000"/>
          <a:lstStyle/>
          <a:p>
            <a:pPr>
              <a:defRPr sz="507">
                <a:latin typeface="Tahoma" pitchFamily="34" charset="0"/>
                <a:ea typeface="Tahoma" pitchFamily="34" charset="0"/>
                <a:cs typeface="Tahoma" pitchFamily="34" charset="0"/>
              </a:defRPr>
            </a:pPr>
            <a:endParaRPr lang="tr-TR"/>
          </a:p>
        </c:txPr>
        <c:crossAx val="227800960"/>
        <c:crosses val="autoZero"/>
        <c:auto val="1"/>
        <c:lblOffset val="100"/>
        <c:baseTimeUnit val="months"/>
        <c:majorUnit val="3"/>
        <c:majorTimeUnit val="months"/>
      </c:dateAx>
      <c:valAx>
        <c:axId val="227800960"/>
        <c:scaling>
          <c:orientation val="minMax"/>
        </c:scaling>
        <c:axPos val="l"/>
        <c:numFmt formatCode="0" sourceLinked="0"/>
        <c:tickLblPos val="nextTo"/>
        <c:txPr>
          <a:bodyPr/>
          <a:lstStyle/>
          <a:p>
            <a:pPr>
              <a:defRPr sz="591">
                <a:latin typeface="Tahoma" pitchFamily="34" charset="0"/>
                <a:ea typeface="Tahoma" pitchFamily="34" charset="0"/>
                <a:cs typeface="Tahoma" pitchFamily="34" charset="0"/>
              </a:defRPr>
            </a:pPr>
            <a:endParaRPr lang="tr-TR"/>
          </a:p>
        </c:txPr>
        <c:crossAx val="227799424"/>
        <c:crosses val="autoZero"/>
        <c:crossBetween val="between"/>
        <c:majorUnit val="4"/>
      </c:valAx>
      <c:spPr>
        <a:ln>
          <a:noFill/>
        </a:ln>
      </c:spPr>
    </c:plotArea>
    <c:legend>
      <c:legendPos val="r"/>
      <c:layout>
        <c:manualLayout>
          <c:xMode val="edge"/>
          <c:yMode val="edge"/>
          <c:wMode val="edge"/>
          <c:hMode val="edge"/>
          <c:x val="3.7176512356245348E-3"/>
          <c:y val="0"/>
          <c:w val="0.996282855947354"/>
          <c:h val="0.10227250074753318"/>
        </c:manualLayout>
      </c:layout>
      <c:txPr>
        <a:bodyPr/>
        <a:lstStyle/>
        <a:p>
          <a:pPr>
            <a:defRPr sz="675">
              <a:latin typeface="Tahoma" pitchFamily="34" charset="0"/>
              <a:ea typeface="Tahoma" pitchFamily="34" charset="0"/>
              <a:cs typeface="Tahoma" pitchFamily="34" charset="0"/>
            </a:defRPr>
          </a:pPr>
          <a:endParaRPr lang="tr-TR"/>
        </a:p>
      </c:txPr>
    </c:legend>
    <c:plotVisOnly val="1"/>
    <c:dispBlanksAs val="gap"/>
  </c:chart>
  <c:spPr>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5.5131129442153072E-2"/>
          <c:y val="0.14545450077167321"/>
          <c:w val="0.9206184296407397"/>
          <c:h val="0.6441671350734528"/>
        </c:manualLayout>
      </c:layout>
      <c:barChart>
        <c:barDir val="col"/>
        <c:grouping val="clustered"/>
        <c:ser>
          <c:idx val="1"/>
          <c:order val="1"/>
          <c:tx>
            <c:strRef>
              <c:f>Sayfa1!$C$1</c:f>
              <c:strCache>
                <c:ptCount val="1"/>
                <c:pt idx="0">
                  <c:v>Temel Mal</c:v>
                </c:pt>
              </c:strCache>
            </c:strRef>
          </c:tx>
          <c:spPr>
            <a:solidFill>
              <a:srgbClr val="F79646">
                <a:lumMod val="40000"/>
                <a:lumOff val="60000"/>
              </a:srgbClr>
            </a:solidFill>
          </c:spPr>
          <c:cat>
            <c:numRef>
              <c:f>Sayfa1!$A$2:$A$34</c:f>
              <c:numCache>
                <c:formatCode>mmm/yy</c:formatCode>
                <c:ptCount val="3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numCache>
            </c:numRef>
          </c:cat>
          <c:val>
            <c:numRef>
              <c:f>Sayfa1!$C$2:$C$34</c:f>
              <c:numCache>
                <c:formatCode>0.00</c:formatCode>
                <c:ptCount val="33"/>
                <c:pt idx="0">
                  <c:v>2.2943448188679856</c:v>
                </c:pt>
                <c:pt idx="1">
                  <c:v>2.1657763346967869</c:v>
                </c:pt>
                <c:pt idx="2">
                  <c:v>3.793070101613651</c:v>
                </c:pt>
                <c:pt idx="3">
                  <c:v>5.0580682978115732</c:v>
                </c:pt>
                <c:pt idx="4">
                  <c:v>4.8403737056345797</c:v>
                </c:pt>
                <c:pt idx="5">
                  <c:v>4.3841976390526005</c:v>
                </c:pt>
                <c:pt idx="6">
                  <c:v>3.7367066711545505</c:v>
                </c:pt>
                <c:pt idx="7">
                  <c:v>3.6004139368665022</c:v>
                </c:pt>
                <c:pt idx="8">
                  <c:v>3.1791545104476748</c:v>
                </c:pt>
                <c:pt idx="9">
                  <c:v>1.2524850119437765</c:v>
                </c:pt>
                <c:pt idx="10">
                  <c:v>1.0415490523822082</c:v>
                </c:pt>
                <c:pt idx="11">
                  <c:v>1.7041750290792663</c:v>
                </c:pt>
                <c:pt idx="12">
                  <c:v>1.9963995639246552</c:v>
                </c:pt>
                <c:pt idx="13">
                  <c:v>3.3138038601451845</c:v>
                </c:pt>
                <c:pt idx="14">
                  <c:v>4.0124721129000864</c:v>
                </c:pt>
                <c:pt idx="15">
                  <c:v>4.7682654159868783</c:v>
                </c:pt>
                <c:pt idx="16">
                  <c:v>5.0485438585675393</c:v>
                </c:pt>
                <c:pt idx="17">
                  <c:v>5.5580484343058476</c:v>
                </c:pt>
                <c:pt idx="18">
                  <c:v>5.5034246891299716</c:v>
                </c:pt>
                <c:pt idx="19">
                  <c:v>6.7637900166364346</c:v>
                </c:pt>
                <c:pt idx="20">
                  <c:v>7.6410829931649724</c:v>
                </c:pt>
                <c:pt idx="21">
                  <c:v>8.770576401424222</c:v>
                </c:pt>
                <c:pt idx="22">
                  <c:v>9.7989485864893009</c:v>
                </c:pt>
                <c:pt idx="23">
                  <c:v>10.091179409442798</c:v>
                </c:pt>
                <c:pt idx="24">
                  <c:v>10.696080046645951</c:v>
                </c:pt>
                <c:pt idx="25">
                  <c:v>10.150890467773621</c:v>
                </c:pt>
                <c:pt idx="26">
                  <c:v>9.8162343088338275</c:v>
                </c:pt>
                <c:pt idx="27">
                  <c:v>9.8428289871359986</c:v>
                </c:pt>
                <c:pt idx="28">
                  <c:v>8.4224840770248708</c:v>
                </c:pt>
                <c:pt idx="29">
                  <c:v>7.9348884427783464</c:v>
                </c:pt>
                <c:pt idx="30">
                  <c:v>8.1149976659046672</c:v>
                </c:pt>
                <c:pt idx="31">
                  <c:v>7.4145127394667556</c:v>
                </c:pt>
                <c:pt idx="32">
                  <c:v>6.41</c:v>
                </c:pt>
              </c:numCache>
            </c:numRef>
          </c:val>
        </c:ser>
        <c:axId val="229439744"/>
        <c:axId val="229445632"/>
      </c:barChart>
      <c:lineChart>
        <c:grouping val="standard"/>
        <c:ser>
          <c:idx val="0"/>
          <c:order val="0"/>
          <c:tx>
            <c:strRef>
              <c:f>Sayfa1!$B$1</c:f>
              <c:strCache>
                <c:ptCount val="1"/>
                <c:pt idx="0">
                  <c:v>Hizmet</c:v>
                </c:pt>
              </c:strCache>
            </c:strRef>
          </c:tx>
          <c:spPr>
            <a:ln>
              <a:solidFill>
                <a:sysClr val="windowText" lastClr="000000"/>
              </a:solidFill>
            </a:ln>
          </c:spPr>
          <c:marker>
            <c:symbol val="none"/>
          </c:marker>
          <c:cat>
            <c:numRef>
              <c:f>Sayfa1!$A$2:$A$34</c:f>
              <c:numCache>
                <c:formatCode>mmm/yy</c:formatCode>
                <c:ptCount val="33"/>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numCache>
            </c:numRef>
          </c:cat>
          <c:val>
            <c:numRef>
              <c:f>Sayfa1!$B$2:$B$34</c:f>
              <c:numCache>
                <c:formatCode>0.00</c:formatCode>
                <c:ptCount val="33"/>
                <c:pt idx="0">
                  <c:v>5.3488286991968579</c:v>
                </c:pt>
                <c:pt idx="1">
                  <c:v>5.9066172730149304</c:v>
                </c:pt>
                <c:pt idx="2">
                  <c:v>7.0071462304922374</c:v>
                </c:pt>
                <c:pt idx="3">
                  <c:v>6.2436013395333303</c:v>
                </c:pt>
                <c:pt idx="4">
                  <c:v>6.0468486691025021</c:v>
                </c:pt>
                <c:pt idx="5">
                  <c:v>5.4800645943797974</c:v>
                </c:pt>
                <c:pt idx="6">
                  <c:v>5.2443485755664341</c:v>
                </c:pt>
                <c:pt idx="7">
                  <c:v>4.8459597059220982</c:v>
                </c:pt>
                <c:pt idx="8">
                  <c:v>4.2020270333844962</c:v>
                </c:pt>
                <c:pt idx="9">
                  <c:v>3.7272270199653565</c:v>
                </c:pt>
                <c:pt idx="10">
                  <c:v>3.9813238542678846</c:v>
                </c:pt>
                <c:pt idx="11">
                  <c:v>4.2361186142325682</c:v>
                </c:pt>
                <c:pt idx="12">
                  <c:v>4.3226004095440675</c:v>
                </c:pt>
                <c:pt idx="13">
                  <c:v>4.2160527060305526</c:v>
                </c:pt>
                <c:pt idx="14">
                  <c:v>3.567016946973383</c:v>
                </c:pt>
                <c:pt idx="15">
                  <c:v>4.109383110420751</c:v>
                </c:pt>
                <c:pt idx="16">
                  <c:v>4.4369112180833685</c:v>
                </c:pt>
                <c:pt idx="17">
                  <c:v>5.0165207842574091</c:v>
                </c:pt>
                <c:pt idx="18">
                  <c:v>5.3860383475586389</c:v>
                </c:pt>
                <c:pt idx="19">
                  <c:v>5.6751931977507581</c:v>
                </c:pt>
                <c:pt idx="20">
                  <c:v>6.3617113271256454</c:v>
                </c:pt>
                <c:pt idx="21">
                  <c:v>6.633115833510784</c:v>
                </c:pt>
                <c:pt idx="22">
                  <c:v>6.6538835360617945</c:v>
                </c:pt>
                <c:pt idx="23">
                  <c:v>6.2703705508803722</c:v>
                </c:pt>
                <c:pt idx="24">
                  <c:v>6.3325723893834436</c:v>
                </c:pt>
                <c:pt idx="25">
                  <c:v>6.2679040932662087</c:v>
                </c:pt>
                <c:pt idx="26">
                  <c:v>6.1672379961322976</c:v>
                </c:pt>
                <c:pt idx="27">
                  <c:v>6.731798294019729</c:v>
                </c:pt>
                <c:pt idx="28">
                  <c:v>6.9161617860670503</c:v>
                </c:pt>
                <c:pt idx="29">
                  <c:v>6.9418623686134726</c:v>
                </c:pt>
                <c:pt idx="30">
                  <c:v>6.9078768387412293</c:v>
                </c:pt>
                <c:pt idx="31">
                  <c:v>6.943163255690866</c:v>
                </c:pt>
                <c:pt idx="32">
                  <c:v>6.9300000000000015</c:v>
                </c:pt>
              </c:numCache>
            </c:numRef>
          </c:val>
        </c:ser>
        <c:marker val="1"/>
        <c:axId val="229439744"/>
        <c:axId val="229445632"/>
      </c:lineChart>
      <c:dateAx>
        <c:axId val="229439744"/>
        <c:scaling>
          <c:orientation val="minMax"/>
        </c:scaling>
        <c:axPos val="b"/>
        <c:numFmt formatCode="mmm/yy" sourceLinked="0"/>
        <c:tickLblPos val="nextTo"/>
        <c:txPr>
          <a:bodyPr rot="-2700000"/>
          <a:lstStyle/>
          <a:p>
            <a:pPr>
              <a:defRPr sz="598"/>
            </a:pPr>
            <a:endParaRPr lang="tr-TR"/>
          </a:p>
        </c:txPr>
        <c:crossAx val="229445632"/>
        <c:crosses val="autoZero"/>
        <c:auto val="1"/>
        <c:lblOffset val="100"/>
        <c:baseTimeUnit val="months"/>
      </c:dateAx>
      <c:valAx>
        <c:axId val="229445632"/>
        <c:scaling>
          <c:orientation val="minMax"/>
        </c:scaling>
        <c:axPos val="l"/>
        <c:numFmt formatCode="0" sourceLinked="0"/>
        <c:tickLblPos val="nextTo"/>
        <c:crossAx val="229439744"/>
        <c:crosses val="autoZero"/>
        <c:crossBetween val="between"/>
      </c:valAx>
    </c:plotArea>
    <c:legend>
      <c:legendPos val="r"/>
      <c:layout>
        <c:manualLayout>
          <c:xMode val="edge"/>
          <c:yMode val="edge"/>
          <c:wMode val="edge"/>
          <c:hMode val="edge"/>
          <c:x val="0.23271503965230161"/>
          <c:y val="4.1025741347548952E-2"/>
          <c:w val="0.71332215731098125"/>
          <c:h val="0.15384620400710791"/>
        </c:manualLayout>
      </c:layout>
    </c:legend>
    <c:plotVisOnly val="1"/>
    <c:dispBlanksAs val="gap"/>
  </c:chart>
  <c:spPr>
    <a:ln>
      <a:solidFill>
        <a:srgbClr val="000000"/>
      </a:solidFill>
    </a:ln>
  </c:spPr>
  <c:txPr>
    <a:bodyPr/>
    <a:lstStyle/>
    <a:p>
      <a:pPr>
        <a:defRPr sz="698">
          <a:latin typeface="Tahoma" pitchFamily="34" charset="0"/>
          <a:ea typeface="Tahoma" pitchFamily="34" charset="0"/>
          <a:cs typeface="Tahoma" pitchFamily="34" charset="0"/>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7.7676613952667756E-2"/>
          <c:y val="6.1452513966480514E-2"/>
          <c:w val="0.88330834274246306"/>
          <c:h val="0.62155881046460781"/>
        </c:manualLayout>
      </c:layout>
      <c:lineChart>
        <c:grouping val="standard"/>
        <c:ser>
          <c:idx val="0"/>
          <c:order val="0"/>
          <c:tx>
            <c:strRef>
              <c:f>Sheet1!$B$1</c:f>
              <c:strCache>
                <c:ptCount val="1"/>
                <c:pt idx="0">
                  <c:v>Yıllık Enflasyon</c:v>
                </c:pt>
              </c:strCache>
            </c:strRef>
          </c:tx>
          <c:spPr>
            <a:ln w="28501">
              <a:solidFill>
                <a:sysClr val="windowText" lastClr="000000"/>
              </a:solidFill>
              <a:prstDash val="solid"/>
            </a:ln>
          </c:spPr>
          <c:marker>
            <c:symbol val="none"/>
          </c:marker>
          <c:cat>
            <c:numRef>
              <c:f>Sheet1!$A$2:$A$58</c:f>
              <c:numCache>
                <c:formatCode>mmm/yy</c:formatCode>
                <c:ptCount val="57"/>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numCache>
            </c:numRef>
          </c:cat>
          <c:val>
            <c:numRef>
              <c:f>Sheet1!$B$2:$B$58</c:f>
              <c:numCache>
                <c:formatCode>General</c:formatCode>
                <c:ptCount val="57"/>
                <c:pt idx="0">
                  <c:v>8.171378091872775</c:v>
                </c:pt>
                <c:pt idx="1">
                  <c:v>9.1042369154083111</c:v>
                </c:pt>
                <c:pt idx="2">
                  <c:v>9.1523207670516609</c:v>
                </c:pt>
                <c:pt idx="3">
                  <c:v>9.6605181942151539</c:v>
                </c:pt>
                <c:pt idx="4">
                  <c:v>10.740555595229594</c:v>
                </c:pt>
                <c:pt idx="5">
                  <c:v>10.609206099219696</c:v>
                </c:pt>
                <c:pt idx="6">
                  <c:v>12.064613831398294</c:v>
                </c:pt>
                <c:pt idx="7">
                  <c:v>11.766402307137724</c:v>
                </c:pt>
                <c:pt idx="8">
                  <c:v>11.125383572397055</c:v>
                </c:pt>
                <c:pt idx="9">
                  <c:v>11.985701268661973</c:v>
                </c:pt>
                <c:pt idx="10">
                  <c:v>10.759711240976273</c:v>
                </c:pt>
                <c:pt idx="11">
                  <c:v>10.063799135624611</c:v>
                </c:pt>
                <c:pt idx="12">
                  <c:v>9.5004763849190255</c:v>
                </c:pt>
                <c:pt idx="13">
                  <c:v>7.7331362536952195</c:v>
                </c:pt>
                <c:pt idx="14">
                  <c:v>7.8858055500099749</c:v>
                </c:pt>
                <c:pt idx="15">
                  <c:v>6.1260553701158615</c:v>
                </c:pt>
                <c:pt idx="16">
                  <c:v>5.2363448765073866</c:v>
                </c:pt>
                <c:pt idx="17">
                  <c:v>5.7342566824153796</c:v>
                </c:pt>
                <c:pt idx="18">
                  <c:v>5.3925353925353896</c:v>
                </c:pt>
                <c:pt idx="19">
                  <c:v>5.3347955102567255</c:v>
                </c:pt>
                <c:pt idx="20">
                  <c:v>5.2722835859234642</c:v>
                </c:pt>
                <c:pt idx="21">
                  <c:v>5.0760468172998543</c:v>
                </c:pt>
                <c:pt idx="22">
                  <c:v>5.530726256983229</c:v>
                </c:pt>
                <c:pt idx="23">
                  <c:v>6.5258040388930407</c:v>
                </c:pt>
                <c:pt idx="24">
                  <c:v>8.1852082038533069</c:v>
                </c:pt>
                <c:pt idx="25">
                  <c:v>10.12784533832243</c:v>
                </c:pt>
                <c:pt idx="26">
                  <c:v>9.5608191463113705</c:v>
                </c:pt>
                <c:pt idx="27">
                  <c:v>10.194264569842744</c:v>
                </c:pt>
                <c:pt idx="28">
                  <c:v>9.0998222930326591</c:v>
                </c:pt>
                <c:pt idx="29">
                  <c:v>8.3675093346391556</c:v>
                </c:pt>
                <c:pt idx="30">
                  <c:v>7.577237757968021</c:v>
                </c:pt>
                <c:pt idx="31">
                  <c:v>8.3348643517667966</c:v>
                </c:pt>
                <c:pt idx="32">
                  <c:v>9.2356493625327829</c:v>
                </c:pt>
                <c:pt idx="33">
                  <c:v>8.6192518465570735</c:v>
                </c:pt>
                <c:pt idx="34">
                  <c:v>7.287806599611784</c:v>
                </c:pt>
                <c:pt idx="35">
                  <c:v>6.4010297817564803</c:v>
                </c:pt>
                <c:pt idx="36">
                  <c:v>4.9003274544723361</c:v>
                </c:pt>
                <c:pt idx="37">
                  <c:v>4.1565207542896019</c:v>
                </c:pt>
                <c:pt idx="38">
                  <c:v>3.9860376083774312</c:v>
                </c:pt>
                <c:pt idx="39">
                  <c:v>4.2646071188717372</c:v>
                </c:pt>
                <c:pt idx="40">
                  <c:v>7.1725454953943046</c:v>
                </c:pt>
                <c:pt idx="41">
                  <c:v>6.2358788974243158</c:v>
                </c:pt>
                <c:pt idx="42">
                  <c:v>6.3113684091038103</c:v>
                </c:pt>
                <c:pt idx="43">
                  <c:v>6.6534765404182936</c:v>
                </c:pt>
                <c:pt idx="44">
                  <c:v>6.1540179817948228</c:v>
                </c:pt>
                <c:pt idx="45">
                  <c:v>7.6556073485056384</c:v>
                </c:pt>
                <c:pt idx="46">
                  <c:v>9.4846491228070029</c:v>
                </c:pt>
                <c:pt idx="47" formatCode="0.00_)">
                  <c:v>10.448171569975255</c:v>
                </c:pt>
                <c:pt idx="48" formatCode="0.00_)">
                  <c:v>10.613362541073382</c:v>
                </c:pt>
                <c:pt idx="49">
                  <c:v>10.433317022780415</c:v>
                </c:pt>
                <c:pt idx="50">
                  <c:v>10.427720628045492</c:v>
                </c:pt>
                <c:pt idx="51">
                  <c:v>11.137949543746657</c:v>
                </c:pt>
                <c:pt idx="52">
                  <c:v>8.280488444001886</c:v>
                </c:pt>
                <c:pt idx="53">
                  <c:v>8.8685665674181031</c:v>
                </c:pt>
                <c:pt idx="54">
                  <c:v>9.0651860552025951</c:v>
                </c:pt>
                <c:pt idx="55">
                  <c:v>8.8832352785286659</c:v>
                </c:pt>
                <c:pt idx="56">
                  <c:v>9.19</c:v>
                </c:pt>
              </c:numCache>
            </c:numRef>
          </c:val>
        </c:ser>
        <c:ser>
          <c:idx val="2"/>
          <c:order val="1"/>
          <c:tx>
            <c:strRef>
              <c:f>Sheet1!$C$1</c:f>
              <c:strCache>
                <c:ptCount val="1"/>
                <c:pt idx="0">
                  <c:v>Hedefle Uyumlu Patika</c:v>
                </c:pt>
              </c:strCache>
            </c:strRef>
          </c:tx>
          <c:spPr>
            <a:ln w="28517">
              <a:noFill/>
            </a:ln>
          </c:spPr>
          <c:marker>
            <c:symbol val="square"/>
            <c:size val="3"/>
            <c:spPr>
              <a:solidFill>
                <a:srgbClr val="FF0000"/>
              </a:solidFill>
              <a:ln>
                <a:solidFill>
                  <a:srgbClr val="000000"/>
                </a:solidFill>
                <a:prstDash val="solid"/>
              </a:ln>
            </c:spPr>
          </c:marker>
          <c:cat>
            <c:numRef>
              <c:f>Sheet1!$A$2:$A$58</c:f>
              <c:numCache>
                <c:formatCode>mmm/yy</c:formatCode>
                <c:ptCount val="57"/>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numCache>
            </c:numRef>
          </c:cat>
          <c:val>
            <c:numRef>
              <c:f>Sheet1!$C$2:$C$58</c:f>
              <c:numCache>
                <c:formatCode>General</c:formatCode>
                <c:ptCount val="57"/>
                <c:pt idx="35">
                  <c:v>6.5</c:v>
                </c:pt>
                <c:pt idx="38">
                  <c:v>5.5</c:v>
                </c:pt>
                <c:pt idx="41">
                  <c:v>5.5</c:v>
                </c:pt>
                <c:pt idx="44">
                  <c:v>5.5</c:v>
                </c:pt>
                <c:pt idx="47">
                  <c:v>5.5</c:v>
                </c:pt>
                <c:pt idx="50">
                  <c:v>5</c:v>
                </c:pt>
                <c:pt idx="53">
                  <c:v>5</c:v>
                </c:pt>
                <c:pt idx="56">
                  <c:v>5</c:v>
                </c:pt>
              </c:numCache>
            </c:numRef>
          </c:val>
        </c:ser>
        <c:ser>
          <c:idx val="3"/>
          <c:order val="2"/>
          <c:tx>
            <c:strRef>
              <c:f>Sheet1!$D$1</c:f>
              <c:strCache>
                <c:ptCount val="1"/>
                <c:pt idx="0">
                  <c:v>Belirsizlik Aralığı</c:v>
                </c:pt>
              </c:strCache>
            </c:strRef>
          </c:tx>
          <c:spPr>
            <a:ln w="28517">
              <a:noFill/>
            </a:ln>
          </c:spPr>
          <c:marker>
            <c:symbol val="dash"/>
            <c:size val="3"/>
            <c:spPr>
              <a:solidFill>
                <a:schemeClr val="tx2"/>
              </a:solidFill>
              <a:ln>
                <a:solidFill>
                  <a:srgbClr val="0000FF"/>
                </a:solidFill>
                <a:prstDash val="solid"/>
              </a:ln>
            </c:spPr>
          </c:marker>
          <c:cat>
            <c:numRef>
              <c:f>Sheet1!$A$2:$A$58</c:f>
              <c:numCache>
                <c:formatCode>mmm/yy</c:formatCode>
                <c:ptCount val="57"/>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numCache>
            </c:numRef>
          </c:cat>
          <c:val>
            <c:numRef>
              <c:f>Sheet1!$D$2:$D$58</c:f>
              <c:numCache>
                <c:formatCode>General</c:formatCode>
                <c:ptCount val="57"/>
                <c:pt idx="35" formatCode="0.00_)">
                  <c:v>8.5</c:v>
                </c:pt>
                <c:pt idx="38" formatCode="0.00_)">
                  <c:v>7.5</c:v>
                </c:pt>
                <c:pt idx="41" formatCode="0.00_)">
                  <c:v>7.5</c:v>
                </c:pt>
                <c:pt idx="44" formatCode="0.00_)">
                  <c:v>7.5</c:v>
                </c:pt>
                <c:pt idx="47" formatCode="0.00_)">
                  <c:v>7.5</c:v>
                </c:pt>
                <c:pt idx="50" formatCode="0.00_)">
                  <c:v>7</c:v>
                </c:pt>
                <c:pt idx="53" formatCode="0.00_)">
                  <c:v>7</c:v>
                </c:pt>
                <c:pt idx="56" formatCode="0.00_)">
                  <c:v>7</c:v>
                </c:pt>
              </c:numCache>
            </c:numRef>
          </c:val>
        </c:ser>
        <c:ser>
          <c:idx val="5"/>
          <c:order val="3"/>
          <c:tx>
            <c:strRef>
              <c:f>Sheet1!$E$1</c:f>
              <c:strCache>
                <c:ptCount val="1"/>
                <c:pt idx="0">
                  <c:v>Belirsizlik Aralığı</c:v>
                </c:pt>
              </c:strCache>
            </c:strRef>
          </c:tx>
          <c:spPr>
            <a:ln w="12674">
              <a:solidFill>
                <a:srgbClr val="800000"/>
              </a:solidFill>
              <a:prstDash val="solid"/>
            </a:ln>
          </c:spPr>
          <c:marker>
            <c:symbol val="dash"/>
            <c:size val="3"/>
            <c:spPr>
              <a:solidFill>
                <a:schemeClr val="tx2"/>
              </a:solidFill>
              <a:ln>
                <a:solidFill>
                  <a:schemeClr val="tx2"/>
                </a:solidFill>
                <a:prstDash val="solid"/>
              </a:ln>
            </c:spPr>
          </c:marker>
          <c:cat>
            <c:numRef>
              <c:f>Sheet1!$A$2:$A$58</c:f>
              <c:numCache>
                <c:formatCode>mmm/yy</c:formatCode>
                <c:ptCount val="57"/>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numCache>
            </c:numRef>
          </c:cat>
          <c:val>
            <c:numRef>
              <c:f>Sheet1!$E$2:$E$58</c:f>
              <c:numCache>
                <c:formatCode>General</c:formatCode>
                <c:ptCount val="57"/>
                <c:pt idx="35" formatCode="0.00_)">
                  <c:v>4.5</c:v>
                </c:pt>
                <c:pt idx="38" formatCode="0.00_)">
                  <c:v>3.5</c:v>
                </c:pt>
                <c:pt idx="41" formatCode="0.00_)">
                  <c:v>3.5</c:v>
                </c:pt>
                <c:pt idx="44" formatCode="0.00_)">
                  <c:v>3.5</c:v>
                </c:pt>
                <c:pt idx="47" formatCode="0.00_)">
                  <c:v>3.5</c:v>
                </c:pt>
                <c:pt idx="50" formatCode="0.00_)">
                  <c:v>3</c:v>
                </c:pt>
                <c:pt idx="53" formatCode="0.00_)">
                  <c:v>3</c:v>
                </c:pt>
                <c:pt idx="56" formatCode="0.00_)">
                  <c:v>3</c:v>
                </c:pt>
              </c:numCache>
            </c:numRef>
          </c:val>
        </c:ser>
        <c:ser>
          <c:idx val="1"/>
          <c:order val="4"/>
          <c:marker>
            <c:symbol val="none"/>
          </c:marker>
          <c:cat>
            <c:numRef>
              <c:f>Sheet1!$A$2:$A$58</c:f>
              <c:numCache>
                <c:formatCode>mmm/yy</c:formatCode>
                <c:ptCount val="57"/>
                <c:pt idx="0">
                  <c:v>39448</c:v>
                </c:pt>
                <c:pt idx="1">
                  <c:v>39479</c:v>
                </c:pt>
                <c:pt idx="2">
                  <c:v>39508</c:v>
                </c:pt>
                <c:pt idx="3">
                  <c:v>39539</c:v>
                </c:pt>
                <c:pt idx="4">
                  <c:v>39569</c:v>
                </c:pt>
                <c:pt idx="5">
                  <c:v>39600</c:v>
                </c:pt>
                <c:pt idx="6">
                  <c:v>39630</c:v>
                </c:pt>
                <c:pt idx="7">
                  <c:v>39661</c:v>
                </c:pt>
                <c:pt idx="8">
                  <c:v>39692</c:v>
                </c:pt>
                <c:pt idx="9">
                  <c:v>39722</c:v>
                </c:pt>
                <c:pt idx="10">
                  <c:v>39753</c:v>
                </c:pt>
                <c:pt idx="11">
                  <c:v>39783</c:v>
                </c:pt>
                <c:pt idx="12">
                  <c:v>39814</c:v>
                </c:pt>
                <c:pt idx="13">
                  <c:v>39845</c:v>
                </c:pt>
                <c:pt idx="14">
                  <c:v>39873</c:v>
                </c:pt>
                <c:pt idx="15">
                  <c:v>39904</c:v>
                </c:pt>
                <c:pt idx="16">
                  <c:v>39934</c:v>
                </c:pt>
                <c:pt idx="17">
                  <c:v>39965</c:v>
                </c:pt>
                <c:pt idx="18">
                  <c:v>39995</c:v>
                </c:pt>
                <c:pt idx="19">
                  <c:v>40026</c:v>
                </c:pt>
                <c:pt idx="20">
                  <c:v>40057</c:v>
                </c:pt>
                <c:pt idx="21">
                  <c:v>40087</c:v>
                </c:pt>
                <c:pt idx="22">
                  <c:v>40118</c:v>
                </c:pt>
                <c:pt idx="23">
                  <c:v>40148</c:v>
                </c:pt>
                <c:pt idx="24">
                  <c:v>40179</c:v>
                </c:pt>
                <c:pt idx="25">
                  <c:v>40210</c:v>
                </c:pt>
                <c:pt idx="26">
                  <c:v>40238</c:v>
                </c:pt>
                <c:pt idx="27">
                  <c:v>40269</c:v>
                </c:pt>
                <c:pt idx="28">
                  <c:v>40299</c:v>
                </c:pt>
                <c:pt idx="29">
                  <c:v>40330</c:v>
                </c:pt>
                <c:pt idx="30">
                  <c:v>40360</c:v>
                </c:pt>
                <c:pt idx="31">
                  <c:v>40391</c:v>
                </c:pt>
                <c:pt idx="32">
                  <c:v>40422</c:v>
                </c:pt>
                <c:pt idx="33">
                  <c:v>40452</c:v>
                </c:pt>
                <c:pt idx="34">
                  <c:v>40483</c:v>
                </c:pt>
                <c:pt idx="35">
                  <c:v>40513</c:v>
                </c:pt>
                <c:pt idx="36">
                  <c:v>40544</c:v>
                </c:pt>
                <c:pt idx="37">
                  <c:v>40575</c:v>
                </c:pt>
                <c:pt idx="38">
                  <c:v>40603</c:v>
                </c:pt>
                <c:pt idx="39">
                  <c:v>40634</c:v>
                </c:pt>
                <c:pt idx="40">
                  <c:v>40664</c:v>
                </c:pt>
                <c:pt idx="41">
                  <c:v>40695</c:v>
                </c:pt>
                <c:pt idx="42">
                  <c:v>40725</c:v>
                </c:pt>
                <c:pt idx="43">
                  <c:v>40756</c:v>
                </c:pt>
                <c:pt idx="44">
                  <c:v>40787</c:v>
                </c:pt>
                <c:pt idx="45">
                  <c:v>40817</c:v>
                </c:pt>
                <c:pt idx="46">
                  <c:v>40848</c:v>
                </c:pt>
                <c:pt idx="47">
                  <c:v>40878</c:v>
                </c:pt>
                <c:pt idx="48">
                  <c:v>40909</c:v>
                </c:pt>
                <c:pt idx="49">
                  <c:v>40940</c:v>
                </c:pt>
                <c:pt idx="50">
                  <c:v>40969</c:v>
                </c:pt>
                <c:pt idx="51">
                  <c:v>41000</c:v>
                </c:pt>
                <c:pt idx="52">
                  <c:v>41030</c:v>
                </c:pt>
                <c:pt idx="53">
                  <c:v>41061</c:v>
                </c:pt>
                <c:pt idx="54">
                  <c:v>41091</c:v>
                </c:pt>
                <c:pt idx="55">
                  <c:v>41122</c:v>
                </c:pt>
                <c:pt idx="56">
                  <c:v>41153</c:v>
                </c:pt>
              </c:numCache>
            </c:numRef>
          </c:cat>
          <c:val>
            <c:numLit>
              <c:formatCode>General</c:formatCode>
              <c:ptCount val="1"/>
              <c:pt idx="0">
                <c:v>0</c:v>
              </c:pt>
            </c:numLit>
          </c:val>
        </c:ser>
        <c:marker val="1"/>
        <c:axId val="229505664"/>
        <c:axId val="229572992"/>
      </c:lineChart>
      <c:dateAx>
        <c:axId val="229505664"/>
        <c:scaling>
          <c:orientation val="minMax"/>
        </c:scaling>
        <c:axPos val="b"/>
        <c:numFmt formatCode="mmm/yy" sourceLinked="0"/>
        <c:tickLblPos val="nextTo"/>
        <c:spPr>
          <a:ln w="3169">
            <a:solidFill>
              <a:srgbClr val="000000"/>
            </a:solidFill>
            <a:prstDash val="solid"/>
          </a:ln>
        </c:spPr>
        <c:txPr>
          <a:bodyPr rot="-2700000" vert="horz"/>
          <a:lstStyle/>
          <a:p>
            <a:pPr>
              <a:defRPr sz="699" b="0" i="0" u="none" strike="noStrike" baseline="0">
                <a:solidFill>
                  <a:srgbClr val="000000"/>
                </a:solidFill>
                <a:latin typeface="Tahoma"/>
                <a:ea typeface="Tahoma"/>
                <a:cs typeface="Tahoma"/>
              </a:defRPr>
            </a:pPr>
            <a:endParaRPr lang="tr-TR"/>
          </a:p>
        </c:txPr>
        <c:crossAx val="229572992"/>
        <c:crossesAt val="-2"/>
        <c:auto val="1"/>
        <c:lblOffset val="100"/>
        <c:baseTimeUnit val="months"/>
        <c:majorUnit val="3"/>
        <c:majorTimeUnit val="months"/>
        <c:minorUnit val="1"/>
        <c:minorTimeUnit val="months"/>
      </c:dateAx>
      <c:valAx>
        <c:axId val="229572992"/>
        <c:scaling>
          <c:orientation val="minMax"/>
          <c:max val="13"/>
          <c:min val="2"/>
        </c:scaling>
        <c:axPos val="l"/>
        <c:title>
          <c:tx>
            <c:rich>
              <a:bodyPr/>
              <a:lstStyle/>
              <a:p>
                <a:pPr>
                  <a:defRPr sz="794" b="1" i="0" u="none" strike="noStrike" baseline="0">
                    <a:solidFill>
                      <a:srgbClr val="000000"/>
                    </a:solidFill>
                    <a:latin typeface="Arial"/>
                    <a:ea typeface="Arial"/>
                    <a:cs typeface="Arial"/>
                  </a:defRPr>
                </a:pPr>
                <a:r>
                  <a:t>%</a:t>
                </a:r>
              </a:p>
            </c:rich>
          </c:tx>
          <c:layout>
            <c:manualLayout>
              <c:xMode val="edge"/>
              <c:yMode val="edge"/>
              <c:x val="0"/>
              <c:y val="0.38559302728668365"/>
            </c:manualLayout>
          </c:layout>
          <c:spPr>
            <a:noFill/>
            <a:ln w="25374">
              <a:noFill/>
            </a:ln>
          </c:spPr>
        </c:title>
        <c:numFmt formatCode="0" sourceLinked="0"/>
        <c:tickLblPos val="nextTo"/>
        <c:spPr>
          <a:ln w="3169">
            <a:solidFill>
              <a:srgbClr val="000000"/>
            </a:solidFill>
            <a:prstDash val="solid"/>
          </a:ln>
        </c:spPr>
        <c:txPr>
          <a:bodyPr rot="0" vert="horz"/>
          <a:lstStyle/>
          <a:p>
            <a:pPr>
              <a:defRPr sz="699" b="0" i="0" u="none" strike="noStrike" baseline="0">
                <a:solidFill>
                  <a:srgbClr val="000000"/>
                </a:solidFill>
                <a:latin typeface="Tahoma"/>
                <a:ea typeface="Tahoma"/>
                <a:cs typeface="Tahoma"/>
              </a:defRPr>
            </a:pPr>
            <a:endParaRPr lang="tr-TR"/>
          </a:p>
        </c:txPr>
        <c:crossAx val="229505664"/>
        <c:crosses val="autoZero"/>
        <c:crossBetween val="between"/>
        <c:majorUnit val="1"/>
        <c:minorUnit val="0.5"/>
      </c:valAx>
      <c:spPr>
        <a:noFill/>
        <a:ln w="25374">
          <a:noFill/>
        </a:ln>
      </c:spPr>
    </c:plotArea>
    <c:legend>
      <c:legendPos val="r"/>
      <c:legendEntry>
        <c:idx val="3"/>
        <c:delete val="1"/>
      </c:legendEntry>
      <c:legendEntry>
        <c:idx val="4"/>
        <c:delete val="1"/>
      </c:legendEntry>
      <c:layout>
        <c:manualLayout>
          <c:xMode val="edge"/>
          <c:yMode val="edge"/>
          <c:wMode val="edge"/>
          <c:hMode val="edge"/>
          <c:x val="1.6836200196005547E-3"/>
          <c:y val="0.87000049522111655"/>
          <c:w val="0.94444436934653553"/>
          <c:h val="0.97000016507370568"/>
        </c:manualLayout>
      </c:layout>
      <c:spPr>
        <a:solidFill>
          <a:srgbClr val="FFFFFF"/>
        </a:solidFill>
        <a:ln w="3169">
          <a:noFill/>
          <a:prstDash val="solid"/>
        </a:ln>
      </c:spPr>
      <c:txPr>
        <a:bodyPr/>
        <a:lstStyle/>
        <a:p>
          <a:pPr>
            <a:defRPr sz="638" b="0" i="0" u="none" strike="noStrike" baseline="0">
              <a:solidFill>
                <a:srgbClr val="000000"/>
              </a:solidFill>
              <a:latin typeface="Tahoma"/>
              <a:ea typeface="Tahoma"/>
              <a:cs typeface="Tahoma"/>
            </a:defRPr>
          </a:pPr>
          <a:endParaRPr lang="tr-TR"/>
        </a:p>
      </c:txPr>
    </c:legend>
    <c:plotVisOnly val="1"/>
    <c:dispBlanksAs val="gap"/>
  </c:chart>
  <c:spPr>
    <a:solidFill>
      <a:srgbClr val="FFFFFF"/>
    </a:solidFill>
    <a:ln w="3169">
      <a:solidFill>
        <a:srgbClr val="000000"/>
      </a:solidFill>
      <a:prstDash val="solid"/>
    </a:ln>
  </c:spPr>
  <c:txPr>
    <a:bodyPr/>
    <a:lstStyle/>
    <a:p>
      <a:pPr>
        <a:defRPr sz="1199" b="0" i="0" u="none" strike="noStrike" baseline="0">
          <a:solidFill>
            <a:srgbClr val="000000"/>
          </a:solidFill>
          <a:latin typeface="Arial"/>
          <a:ea typeface="Arial"/>
          <a:cs typeface="Arial"/>
        </a:defRPr>
      </a:pPr>
      <a:endParaRPr lang="tr-TR"/>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plotArea>
      <c:layout>
        <c:manualLayout>
          <c:layoutTarget val="inner"/>
          <c:xMode val="edge"/>
          <c:yMode val="edge"/>
          <c:x val="0.11290732889158087"/>
          <c:y val="0.11491490757804211"/>
          <c:w val="0.83149438051012869"/>
          <c:h val="0.73145669291338622"/>
        </c:manualLayout>
      </c:layout>
      <c:areaChart>
        <c:grouping val="stacked"/>
        <c:ser>
          <c:idx val="0"/>
          <c:order val="0"/>
          <c:tx>
            <c:strRef>
              <c:f>'Faiz Koridoru Veri'!$B$2</c:f>
              <c:strCache>
                <c:ptCount val="1"/>
                <c:pt idx="0">
                  <c:v>TCMB Faiz Koridoru</c:v>
                </c:pt>
              </c:strCache>
            </c:strRef>
          </c:tx>
          <c:spPr>
            <a:noFill/>
            <a:ln w="40395"/>
          </c:spPr>
          <c:cat>
            <c:numRef>
              <c:f>'Faiz Koridoru Veri'!$A$3:$A$694</c:f>
              <c:numCache>
                <c:formatCode>dd/mm/yyyy</c:formatCode>
                <c:ptCount val="692"/>
                <c:pt idx="0">
                  <c:v>40182</c:v>
                </c:pt>
                <c:pt idx="1">
                  <c:v>40183</c:v>
                </c:pt>
                <c:pt idx="2">
                  <c:v>40184</c:v>
                </c:pt>
                <c:pt idx="3">
                  <c:v>40185</c:v>
                </c:pt>
                <c:pt idx="4">
                  <c:v>40186</c:v>
                </c:pt>
                <c:pt idx="5">
                  <c:v>40189</c:v>
                </c:pt>
                <c:pt idx="6">
                  <c:v>40190</c:v>
                </c:pt>
                <c:pt idx="7">
                  <c:v>40191</c:v>
                </c:pt>
                <c:pt idx="8">
                  <c:v>40192</c:v>
                </c:pt>
                <c:pt idx="9">
                  <c:v>40193</c:v>
                </c:pt>
                <c:pt idx="10">
                  <c:v>40196</c:v>
                </c:pt>
                <c:pt idx="11">
                  <c:v>40197</c:v>
                </c:pt>
                <c:pt idx="12">
                  <c:v>40198</c:v>
                </c:pt>
                <c:pt idx="13">
                  <c:v>40199</c:v>
                </c:pt>
                <c:pt idx="14">
                  <c:v>40200</c:v>
                </c:pt>
                <c:pt idx="15">
                  <c:v>40203</c:v>
                </c:pt>
                <c:pt idx="16">
                  <c:v>40204</c:v>
                </c:pt>
                <c:pt idx="17">
                  <c:v>40205</c:v>
                </c:pt>
                <c:pt idx="18">
                  <c:v>40206</c:v>
                </c:pt>
                <c:pt idx="19">
                  <c:v>40207</c:v>
                </c:pt>
                <c:pt idx="20">
                  <c:v>40210</c:v>
                </c:pt>
                <c:pt idx="21">
                  <c:v>40211</c:v>
                </c:pt>
                <c:pt idx="22">
                  <c:v>40212</c:v>
                </c:pt>
                <c:pt idx="23">
                  <c:v>40213</c:v>
                </c:pt>
                <c:pt idx="24">
                  <c:v>40214</c:v>
                </c:pt>
                <c:pt idx="25">
                  <c:v>40217</c:v>
                </c:pt>
                <c:pt idx="26">
                  <c:v>40218</c:v>
                </c:pt>
                <c:pt idx="27">
                  <c:v>40219</c:v>
                </c:pt>
                <c:pt idx="28">
                  <c:v>40220</c:v>
                </c:pt>
                <c:pt idx="29">
                  <c:v>40221</c:v>
                </c:pt>
                <c:pt idx="30">
                  <c:v>40224</c:v>
                </c:pt>
                <c:pt idx="31">
                  <c:v>40225</c:v>
                </c:pt>
                <c:pt idx="32">
                  <c:v>40226</c:v>
                </c:pt>
                <c:pt idx="33">
                  <c:v>40227</c:v>
                </c:pt>
                <c:pt idx="34">
                  <c:v>40228</c:v>
                </c:pt>
                <c:pt idx="35">
                  <c:v>40231</c:v>
                </c:pt>
                <c:pt idx="36">
                  <c:v>40232</c:v>
                </c:pt>
                <c:pt idx="37">
                  <c:v>40233</c:v>
                </c:pt>
                <c:pt idx="38">
                  <c:v>40234</c:v>
                </c:pt>
                <c:pt idx="39">
                  <c:v>40235</c:v>
                </c:pt>
                <c:pt idx="40">
                  <c:v>40238</c:v>
                </c:pt>
                <c:pt idx="41">
                  <c:v>40239</c:v>
                </c:pt>
                <c:pt idx="42">
                  <c:v>40240</c:v>
                </c:pt>
                <c:pt idx="43">
                  <c:v>40241</c:v>
                </c:pt>
                <c:pt idx="44">
                  <c:v>40242</c:v>
                </c:pt>
                <c:pt idx="45">
                  <c:v>40245</c:v>
                </c:pt>
                <c:pt idx="46">
                  <c:v>40246</c:v>
                </c:pt>
                <c:pt idx="47">
                  <c:v>40247</c:v>
                </c:pt>
                <c:pt idx="48">
                  <c:v>40248</c:v>
                </c:pt>
                <c:pt idx="49">
                  <c:v>40249</c:v>
                </c:pt>
                <c:pt idx="50">
                  <c:v>40252</c:v>
                </c:pt>
                <c:pt idx="51">
                  <c:v>40253</c:v>
                </c:pt>
                <c:pt idx="52">
                  <c:v>40254</c:v>
                </c:pt>
                <c:pt idx="53">
                  <c:v>40255</c:v>
                </c:pt>
                <c:pt idx="54">
                  <c:v>40256</c:v>
                </c:pt>
                <c:pt idx="55">
                  <c:v>40259</c:v>
                </c:pt>
                <c:pt idx="56">
                  <c:v>40260</c:v>
                </c:pt>
                <c:pt idx="57">
                  <c:v>40261</c:v>
                </c:pt>
                <c:pt idx="58">
                  <c:v>40262</c:v>
                </c:pt>
                <c:pt idx="59">
                  <c:v>40263</c:v>
                </c:pt>
                <c:pt idx="60">
                  <c:v>40266</c:v>
                </c:pt>
                <c:pt idx="61">
                  <c:v>40267</c:v>
                </c:pt>
                <c:pt idx="62">
                  <c:v>40268</c:v>
                </c:pt>
                <c:pt idx="63">
                  <c:v>40269</c:v>
                </c:pt>
                <c:pt idx="64">
                  <c:v>40270</c:v>
                </c:pt>
                <c:pt idx="65">
                  <c:v>40273</c:v>
                </c:pt>
                <c:pt idx="66">
                  <c:v>40274</c:v>
                </c:pt>
                <c:pt idx="67">
                  <c:v>40275</c:v>
                </c:pt>
                <c:pt idx="68">
                  <c:v>40276</c:v>
                </c:pt>
                <c:pt idx="69">
                  <c:v>40277</c:v>
                </c:pt>
                <c:pt idx="70">
                  <c:v>40280</c:v>
                </c:pt>
                <c:pt idx="71">
                  <c:v>40281</c:v>
                </c:pt>
                <c:pt idx="72">
                  <c:v>40282</c:v>
                </c:pt>
                <c:pt idx="73">
                  <c:v>40283</c:v>
                </c:pt>
                <c:pt idx="74">
                  <c:v>40284</c:v>
                </c:pt>
                <c:pt idx="75">
                  <c:v>40287</c:v>
                </c:pt>
                <c:pt idx="76">
                  <c:v>40288</c:v>
                </c:pt>
                <c:pt idx="77">
                  <c:v>40289</c:v>
                </c:pt>
                <c:pt idx="78">
                  <c:v>40290</c:v>
                </c:pt>
                <c:pt idx="79">
                  <c:v>40294</c:v>
                </c:pt>
                <c:pt idx="80">
                  <c:v>40295</c:v>
                </c:pt>
                <c:pt idx="81">
                  <c:v>40296</c:v>
                </c:pt>
                <c:pt idx="82">
                  <c:v>40297</c:v>
                </c:pt>
                <c:pt idx="83">
                  <c:v>40298</c:v>
                </c:pt>
                <c:pt idx="84">
                  <c:v>40301</c:v>
                </c:pt>
                <c:pt idx="85">
                  <c:v>40302</c:v>
                </c:pt>
                <c:pt idx="86">
                  <c:v>40303</c:v>
                </c:pt>
                <c:pt idx="87">
                  <c:v>40304</c:v>
                </c:pt>
                <c:pt idx="88">
                  <c:v>40305</c:v>
                </c:pt>
                <c:pt idx="89">
                  <c:v>40308</c:v>
                </c:pt>
                <c:pt idx="90">
                  <c:v>40309</c:v>
                </c:pt>
                <c:pt idx="91">
                  <c:v>40310</c:v>
                </c:pt>
                <c:pt idx="92">
                  <c:v>40311</c:v>
                </c:pt>
                <c:pt idx="93">
                  <c:v>40312</c:v>
                </c:pt>
                <c:pt idx="94">
                  <c:v>40315</c:v>
                </c:pt>
                <c:pt idx="95">
                  <c:v>40316</c:v>
                </c:pt>
                <c:pt idx="96">
                  <c:v>40318</c:v>
                </c:pt>
                <c:pt idx="97">
                  <c:v>40319</c:v>
                </c:pt>
                <c:pt idx="98">
                  <c:v>40322</c:v>
                </c:pt>
                <c:pt idx="99">
                  <c:v>40323</c:v>
                </c:pt>
                <c:pt idx="100">
                  <c:v>40324</c:v>
                </c:pt>
                <c:pt idx="101">
                  <c:v>40325</c:v>
                </c:pt>
                <c:pt idx="102">
                  <c:v>40326</c:v>
                </c:pt>
                <c:pt idx="103">
                  <c:v>40329</c:v>
                </c:pt>
                <c:pt idx="104">
                  <c:v>40331</c:v>
                </c:pt>
                <c:pt idx="105">
                  <c:v>40332</c:v>
                </c:pt>
                <c:pt idx="106">
                  <c:v>40333</c:v>
                </c:pt>
                <c:pt idx="107">
                  <c:v>40336</c:v>
                </c:pt>
                <c:pt idx="108">
                  <c:v>40337</c:v>
                </c:pt>
                <c:pt idx="109">
                  <c:v>40338</c:v>
                </c:pt>
                <c:pt idx="110">
                  <c:v>40339</c:v>
                </c:pt>
                <c:pt idx="111">
                  <c:v>40340</c:v>
                </c:pt>
                <c:pt idx="112">
                  <c:v>40343</c:v>
                </c:pt>
                <c:pt idx="113">
                  <c:v>40344</c:v>
                </c:pt>
                <c:pt idx="114">
                  <c:v>40345</c:v>
                </c:pt>
                <c:pt idx="115">
                  <c:v>40346</c:v>
                </c:pt>
                <c:pt idx="116">
                  <c:v>40347</c:v>
                </c:pt>
                <c:pt idx="117">
                  <c:v>40350</c:v>
                </c:pt>
                <c:pt idx="118">
                  <c:v>40351</c:v>
                </c:pt>
                <c:pt idx="119">
                  <c:v>40352</c:v>
                </c:pt>
                <c:pt idx="120">
                  <c:v>40353</c:v>
                </c:pt>
                <c:pt idx="121">
                  <c:v>40354</c:v>
                </c:pt>
                <c:pt idx="122">
                  <c:v>40357</c:v>
                </c:pt>
                <c:pt idx="123">
                  <c:v>40358</c:v>
                </c:pt>
                <c:pt idx="124">
                  <c:v>40359</c:v>
                </c:pt>
                <c:pt idx="125">
                  <c:v>40360</c:v>
                </c:pt>
                <c:pt idx="126">
                  <c:v>40361</c:v>
                </c:pt>
                <c:pt idx="127">
                  <c:v>40364</c:v>
                </c:pt>
                <c:pt idx="128">
                  <c:v>40365</c:v>
                </c:pt>
                <c:pt idx="129">
                  <c:v>40366</c:v>
                </c:pt>
                <c:pt idx="130">
                  <c:v>40367</c:v>
                </c:pt>
                <c:pt idx="131">
                  <c:v>40368</c:v>
                </c:pt>
                <c:pt idx="132">
                  <c:v>40371</c:v>
                </c:pt>
                <c:pt idx="133">
                  <c:v>40372</c:v>
                </c:pt>
                <c:pt idx="134">
                  <c:v>40373</c:v>
                </c:pt>
                <c:pt idx="135">
                  <c:v>40374</c:v>
                </c:pt>
                <c:pt idx="136">
                  <c:v>40375</c:v>
                </c:pt>
                <c:pt idx="137">
                  <c:v>40378</c:v>
                </c:pt>
                <c:pt idx="138">
                  <c:v>40379</c:v>
                </c:pt>
                <c:pt idx="139">
                  <c:v>40380</c:v>
                </c:pt>
                <c:pt idx="140">
                  <c:v>40381</c:v>
                </c:pt>
                <c:pt idx="141">
                  <c:v>40382</c:v>
                </c:pt>
                <c:pt idx="142">
                  <c:v>40385</c:v>
                </c:pt>
                <c:pt idx="143">
                  <c:v>40386</c:v>
                </c:pt>
                <c:pt idx="144">
                  <c:v>40387</c:v>
                </c:pt>
                <c:pt idx="145">
                  <c:v>40388</c:v>
                </c:pt>
                <c:pt idx="146">
                  <c:v>40389</c:v>
                </c:pt>
                <c:pt idx="147">
                  <c:v>40392</c:v>
                </c:pt>
                <c:pt idx="148">
                  <c:v>40393</c:v>
                </c:pt>
                <c:pt idx="149">
                  <c:v>40394</c:v>
                </c:pt>
                <c:pt idx="150">
                  <c:v>40395</c:v>
                </c:pt>
                <c:pt idx="151">
                  <c:v>40396</c:v>
                </c:pt>
                <c:pt idx="152">
                  <c:v>40399</c:v>
                </c:pt>
                <c:pt idx="153">
                  <c:v>40400</c:v>
                </c:pt>
                <c:pt idx="154">
                  <c:v>40401</c:v>
                </c:pt>
                <c:pt idx="155">
                  <c:v>40402</c:v>
                </c:pt>
                <c:pt idx="156">
                  <c:v>40403</c:v>
                </c:pt>
                <c:pt idx="157">
                  <c:v>40406</c:v>
                </c:pt>
                <c:pt idx="158">
                  <c:v>40407</c:v>
                </c:pt>
                <c:pt idx="159">
                  <c:v>40408</c:v>
                </c:pt>
                <c:pt idx="160">
                  <c:v>40409</c:v>
                </c:pt>
                <c:pt idx="161">
                  <c:v>40410</c:v>
                </c:pt>
                <c:pt idx="162">
                  <c:v>40413</c:v>
                </c:pt>
                <c:pt idx="163">
                  <c:v>40414</c:v>
                </c:pt>
                <c:pt idx="164">
                  <c:v>40415</c:v>
                </c:pt>
                <c:pt idx="165">
                  <c:v>40416</c:v>
                </c:pt>
                <c:pt idx="166">
                  <c:v>40417</c:v>
                </c:pt>
                <c:pt idx="167">
                  <c:v>40421</c:v>
                </c:pt>
                <c:pt idx="168">
                  <c:v>40422</c:v>
                </c:pt>
                <c:pt idx="169">
                  <c:v>40423</c:v>
                </c:pt>
                <c:pt idx="170">
                  <c:v>40424</c:v>
                </c:pt>
                <c:pt idx="171">
                  <c:v>40427</c:v>
                </c:pt>
                <c:pt idx="172">
                  <c:v>40428</c:v>
                </c:pt>
                <c:pt idx="173">
                  <c:v>40429</c:v>
                </c:pt>
                <c:pt idx="174">
                  <c:v>40434</c:v>
                </c:pt>
                <c:pt idx="175">
                  <c:v>40435</c:v>
                </c:pt>
                <c:pt idx="176">
                  <c:v>40436</c:v>
                </c:pt>
                <c:pt idx="177">
                  <c:v>40437</c:v>
                </c:pt>
                <c:pt idx="178">
                  <c:v>40438</c:v>
                </c:pt>
                <c:pt idx="179">
                  <c:v>40441</c:v>
                </c:pt>
                <c:pt idx="180">
                  <c:v>40442</c:v>
                </c:pt>
                <c:pt idx="181">
                  <c:v>40443</c:v>
                </c:pt>
                <c:pt idx="182">
                  <c:v>40444</c:v>
                </c:pt>
                <c:pt idx="183">
                  <c:v>40445</c:v>
                </c:pt>
                <c:pt idx="184">
                  <c:v>40448</c:v>
                </c:pt>
                <c:pt idx="185">
                  <c:v>40449</c:v>
                </c:pt>
                <c:pt idx="186">
                  <c:v>40450</c:v>
                </c:pt>
                <c:pt idx="187">
                  <c:v>40451</c:v>
                </c:pt>
                <c:pt idx="188">
                  <c:v>40452</c:v>
                </c:pt>
                <c:pt idx="189">
                  <c:v>40455</c:v>
                </c:pt>
                <c:pt idx="190">
                  <c:v>40456</c:v>
                </c:pt>
                <c:pt idx="191">
                  <c:v>40457</c:v>
                </c:pt>
                <c:pt idx="192">
                  <c:v>40458</c:v>
                </c:pt>
                <c:pt idx="193">
                  <c:v>40459</c:v>
                </c:pt>
                <c:pt idx="194">
                  <c:v>40462</c:v>
                </c:pt>
                <c:pt idx="195">
                  <c:v>40463</c:v>
                </c:pt>
                <c:pt idx="196">
                  <c:v>40464</c:v>
                </c:pt>
                <c:pt idx="197">
                  <c:v>40465</c:v>
                </c:pt>
                <c:pt idx="198">
                  <c:v>40466</c:v>
                </c:pt>
                <c:pt idx="199">
                  <c:v>40469</c:v>
                </c:pt>
                <c:pt idx="200">
                  <c:v>40470</c:v>
                </c:pt>
                <c:pt idx="201">
                  <c:v>40471</c:v>
                </c:pt>
                <c:pt idx="202">
                  <c:v>40472</c:v>
                </c:pt>
                <c:pt idx="203">
                  <c:v>40473</c:v>
                </c:pt>
                <c:pt idx="204">
                  <c:v>40476</c:v>
                </c:pt>
                <c:pt idx="205">
                  <c:v>40477</c:v>
                </c:pt>
                <c:pt idx="206">
                  <c:v>40478</c:v>
                </c:pt>
                <c:pt idx="207">
                  <c:v>40479</c:v>
                </c:pt>
                <c:pt idx="208">
                  <c:v>40483</c:v>
                </c:pt>
                <c:pt idx="209">
                  <c:v>40484</c:v>
                </c:pt>
                <c:pt idx="210">
                  <c:v>40485</c:v>
                </c:pt>
                <c:pt idx="211">
                  <c:v>40486</c:v>
                </c:pt>
                <c:pt idx="212">
                  <c:v>40487</c:v>
                </c:pt>
                <c:pt idx="213">
                  <c:v>40490</c:v>
                </c:pt>
                <c:pt idx="214">
                  <c:v>40491</c:v>
                </c:pt>
                <c:pt idx="215">
                  <c:v>40492</c:v>
                </c:pt>
                <c:pt idx="216">
                  <c:v>40493</c:v>
                </c:pt>
                <c:pt idx="217">
                  <c:v>40494</c:v>
                </c:pt>
                <c:pt idx="218">
                  <c:v>40497</c:v>
                </c:pt>
                <c:pt idx="219">
                  <c:v>40504</c:v>
                </c:pt>
                <c:pt idx="220">
                  <c:v>40505</c:v>
                </c:pt>
                <c:pt idx="221">
                  <c:v>40506</c:v>
                </c:pt>
                <c:pt idx="222">
                  <c:v>40507</c:v>
                </c:pt>
                <c:pt idx="223">
                  <c:v>40508</c:v>
                </c:pt>
                <c:pt idx="224">
                  <c:v>40511</c:v>
                </c:pt>
                <c:pt idx="225">
                  <c:v>40512</c:v>
                </c:pt>
                <c:pt idx="226">
                  <c:v>40513</c:v>
                </c:pt>
                <c:pt idx="227">
                  <c:v>40514</c:v>
                </c:pt>
                <c:pt idx="228">
                  <c:v>40515</c:v>
                </c:pt>
                <c:pt idx="229">
                  <c:v>40518</c:v>
                </c:pt>
                <c:pt idx="230">
                  <c:v>40519</c:v>
                </c:pt>
                <c:pt idx="231">
                  <c:v>40520</c:v>
                </c:pt>
                <c:pt idx="232">
                  <c:v>40521</c:v>
                </c:pt>
                <c:pt idx="233">
                  <c:v>40522</c:v>
                </c:pt>
                <c:pt idx="234">
                  <c:v>40525</c:v>
                </c:pt>
                <c:pt idx="235">
                  <c:v>40526</c:v>
                </c:pt>
                <c:pt idx="236">
                  <c:v>40527</c:v>
                </c:pt>
                <c:pt idx="237">
                  <c:v>40528</c:v>
                </c:pt>
                <c:pt idx="238">
                  <c:v>40529</c:v>
                </c:pt>
                <c:pt idx="239">
                  <c:v>40532</c:v>
                </c:pt>
                <c:pt idx="240">
                  <c:v>40533</c:v>
                </c:pt>
                <c:pt idx="241">
                  <c:v>40534</c:v>
                </c:pt>
                <c:pt idx="242">
                  <c:v>40535</c:v>
                </c:pt>
                <c:pt idx="243">
                  <c:v>40536</c:v>
                </c:pt>
                <c:pt idx="244">
                  <c:v>40539</c:v>
                </c:pt>
                <c:pt idx="245">
                  <c:v>40540</c:v>
                </c:pt>
                <c:pt idx="246">
                  <c:v>40541</c:v>
                </c:pt>
                <c:pt idx="247">
                  <c:v>40542</c:v>
                </c:pt>
                <c:pt idx="248">
                  <c:v>40543</c:v>
                </c:pt>
                <c:pt idx="249">
                  <c:v>40546</c:v>
                </c:pt>
                <c:pt idx="250">
                  <c:v>40547</c:v>
                </c:pt>
                <c:pt idx="251">
                  <c:v>40548</c:v>
                </c:pt>
                <c:pt idx="252">
                  <c:v>40549</c:v>
                </c:pt>
                <c:pt idx="253">
                  <c:v>40550</c:v>
                </c:pt>
                <c:pt idx="254">
                  <c:v>40553</c:v>
                </c:pt>
                <c:pt idx="255">
                  <c:v>40554</c:v>
                </c:pt>
                <c:pt idx="256">
                  <c:v>40555</c:v>
                </c:pt>
                <c:pt idx="257">
                  <c:v>40556</c:v>
                </c:pt>
                <c:pt idx="258">
                  <c:v>40557</c:v>
                </c:pt>
                <c:pt idx="259">
                  <c:v>40560</c:v>
                </c:pt>
                <c:pt idx="260">
                  <c:v>40561</c:v>
                </c:pt>
                <c:pt idx="261">
                  <c:v>40562</c:v>
                </c:pt>
                <c:pt idx="262">
                  <c:v>40563</c:v>
                </c:pt>
                <c:pt idx="263">
                  <c:v>40564</c:v>
                </c:pt>
                <c:pt idx="264">
                  <c:v>40567</c:v>
                </c:pt>
                <c:pt idx="265">
                  <c:v>40568</c:v>
                </c:pt>
                <c:pt idx="266">
                  <c:v>40569</c:v>
                </c:pt>
                <c:pt idx="267">
                  <c:v>40570</c:v>
                </c:pt>
                <c:pt idx="268">
                  <c:v>40571</c:v>
                </c:pt>
                <c:pt idx="269">
                  <c:v>40574</c:v>
                </c:pt>
                <c:pt idx="270">
                  <c:v>40575</c:v>
                </c:pt>
                <c:pt idx="271">
                  <c:v>40576</c:v>
                </c:pt>
                <c:pt idx="272">
                  <c:v>40577</c:v>
                </c:pt>
                <c:pt idx="273">
                  <c:v>40578</c:v>
                </c:pt>
                <c:pt idx="274">
                  <c:v>40581</c:v>
                </c:pt>
                <c:pt idx="275">
                  <c:v>40582</c:v>
                </c:pt>
                <c:pt idx="276">
                  <c:v>40583</c:v>
                </c:pt>
                <c:pt idx="277">
                  <c:v>40584</c:v>
                </c:pt>
                <c:pt idx="278">
                  <c:v>40585</c:v>
                </c:pt>
                <c:pt idx="279">
                  <c:v>40588</c:v>
                </c:pt>
                <c:pt idx="280">
                  <c:v>40589</c:v>
                </c:pt>
                <c:pt idx="281">
                  <c:v>40590</c:v>
                </c:pt>
                <c:pt idx="282">
                  <c:v>40591</c:v>
                </c:pt>
                <c:pt idx="283">
                  <c:v>40592</c:v>
                </c:pt>
                <c:pt idx="284">
                  <c:v>40595</c:v>
                </c:pt>
                <c:pt idx="285">
                  <c:v>40596</c:v>
                </c:pt>
                <c:pt idx="286">
                  <c:v>40597</c:v>
                </c:pt>
                <c:pt idx="287">
                  <c:v>40598</c:v>
                </c:pt>
                <c:pt idx="288">
                  <c:v>40599</c:v>
                </c:pt>
                <c:pt idx="289">
                  <c:v>40602</c:v>
                </c:pt>
                <c:pt idx="290">
                  <c:v>40603</c:v>
                </c:pt>
                <c:pt idx="291">
                  <c:v>40604</c:v>
                </c:pt>
                <c:pt idx="292">
                  <c:v>40605</c:v>
                </c:pt>
                <c:pt idx="293">
                  <c:v>40606</c:v>
                </c:pt>
                <c:pt idx="294">
                  <c:v>40609</c:v>
                </c:pt>
                <c:pt idx="295">
                  <c:v>40610</c:v>
                </c:pt>
                <c:pt idx="296">
                  <c:v>40611</c:v>
                </c:pt>
                <c:pt idx="297">
                  <c:v>40612</c:v>
                </c:pt>
                <c:pt idx="298">
                  <c:v>40613</c:v>
                </c:pt>
                <c:pt idx="299">
                  <c:v>40616</c:v>
                </c:pt>
                <c:pt idx="300">
                  <c:v>40617</c:v>
                </c:pt>
                <c:pt idx="301">
                  <c:v>40618</c:v>
                </c:pt>
                <c:pt idx="302">
                  <c:v>40619</c:v>
                </c:pt>
                <c:pt idx="303">
                  <c:v>40620</c:v>
                </c:pt>
                <c:pt idx="304">
                  <c:v>40623</c:v>
                </c:pt>
                <c:pt idx="305">
                  <c:v>40624</c:v>
                </c:pt>
                <c:pt idx="306">
                  <c:v>40625</c:v>
                </c:pt>
                <c:pt idx="307">
                  <c:v>40626</c:v>
                </c:pt>
                <c:pt idx="308">
                  <c:v>40627</c:v>
                </c:pt>
                <c:pt idx="309">
                  <c:v>40630</c:v>
                </c:pt>
                <c:pt idx="310">
                  <c:v>40631</c:v>
                </c:pt>
                <c:pt idx="311">
                  <c:v>40632</c:v>
                </c:pt>
                <c:pt idx="312">
                  <c:v>40633</c:v>
                </c:pt>
                <c:pt idx="313">
                  <c:v>40634</c:v>
                </c:pt>
                <c:pt idx="314">
                  <c:v>40637</c:v>
                </c:pt>
                <c:pt idx="315">
                  <c:v>40638</c:v>
                </c:pt>
                <c:pt idx="316">
                  <c:v>40639</c:v>
                </c:pt>
                <c:pt idx="317">
                  <c:v>40640</c:v>
                </c:pt>
                <c:pt idx="318">
                  <c:v>40641</c:v>
                </c:pt>
                <c:pt idx="319">
                  <c:v>40644</c:v>
                </c:pt>
                <c:pt idx="320">
                  <c:v>40645</c:v>
                </c:pt>
                <c:pt idx="321">
                  <c:v>40646</c:v>
                </c:pt>
                <c:pt idx="322">
                  <c:v>40647</c:v>
                </c:pt>
                <c:pt idx="323">
                  <c:v>40648</c:v>
                </c:pt>
                <c:pt idx="324">
                  <c:v>40651</c:v>
                </c:pt>
                <c:pt idx="325">
                  <c:v>40652</c:v>
                </c:pt>
                <c:pt idx="326">
                  <c:v>40653</c:v>
                </c:pt>
                <c:pt idx="327">
                  <c:v>40654</c:v>
                </c:pt>
                <c:pt idx="328">
                  <c:v>40655</c:v>
                </c:pt>
                <c:pt idx="329">
                  <c:v>40658</c:v>
                </c:pt>
                <c:pt idx="330">
                  <c:v>40659</c:v>
                </c:pt>
                <c:pt idx="331">
                  <c:v>40660</c:v>
                </c:pt>
                <c:pt idx="332">
                  <c:v>40661</c:v>
                </c:pt>
                <c:pt idx="333">
                  <c:v>40662</c:v>
                </c:pt>
                <c:pt idx="334">
                  <c:v>40665</c:v>
                </c:pt>
                <c:pt idx="335">
                  <c:v>40666</c:v>
                </c:pt>
                <c:pt idx="336">
                  <c:v>40667</c:v>
                </c:pt>
                <c:pt idx="337">
                  <c:v>40668</c:v>
                </c:pt>
                <c:pt idx="338">
                  <c:v>40669</c:v>
                </c:pt>
                <c:pt idx="339">
                  <c:v>40672</c:v>
                </c:pt>
                <c:pt idx="340">
                  <c:v>40673</c:v>
                </c:pt>
                <c:pt idx="341">
                  <c:v>40674</c:v>
                </c:pt>
                <c:pt idx="342">
                  <c:v>40675</c:v>
                </c:pt>
                <c:pt idx="343">
                  <c:v>40676</c:v>
                </c:pt>
                <c:pt idx="344">
                  <c:v>40679</c:v>
                </c:pt>
                <c:pt idx="345">
                  <c:v>40680</c:v>
                </c:pt>
                <c:pt idx="346">
                  <c:v>40681</c:v>
                </c:pt>
                <c:pt idx="347">
                  <c:v>40683</c:v>
                </c:pt>
                <c:pt idx="348">
                  <c:v>40686</c:v>
                </c:pt>
                <c:pt idx="349">
                  <c:v>40687</c:v>
                </c:pt>
                <c:pt idx="350">
                  <c:v>40688</c:v>
                </c:pt>
                <c:pt idx="351">
                  <c:v>40689</c:v>
                </c:pt>
                <c:pt idx="352">
                  <c:v>40690</c:v>
                </c:pt>
                <c:pt idx="353">
                  <c:v>40693</c:v>
                </c:pt>
                <c:pt idx="354">
                  <c:v>40694</c:v>
                </c:pt>
                <c:pt idx="355">
                  <c:v>40695</c:v>
                </c:pt>
                <c:pt idx="356">
                  <c:v>40696</c:v>
                </c:pt>
                <c:pt idx="357">
                  <c:v>40697</c:v>
                </c:pt>
                <c:pt idx="358">
                  <c:v>40700</c:v>
                </c:pt>
                <c:pt idx="359">
                  <c:v>40701</c:v>
                </c:pt>
                <c:pt idx="360">
                  <c:v>40702</c:v>
                </c:pt>
                <c:pt idx="361">
                  <c:v>40703</c:v>
                </c:pt>
                <c:pt idx="362">
                  <c:v>40704</c:v>
                </c:pt>
                <c:pt idx="363">
                  <c:v>40707</c:v>
                </c:pt>
                <c:pt idx="364">
                  <c:v>40708</c:v>
                </c:pt>
                <c:pt idx="365">
                  <c:v>40709</c:v>
                </c:pt>
                <c:pt idx="366">
                  <c:v>40710</c:v>
                </c:pt>
                <c:pt idx="367">
                  <c:v>40711</c:v>
                </c:pt>
                <c:pt idx="368">
                  <c:v>40714</c:v>
                </c:pt>
                <c:pt idx="369">
                  <c:v>40715</c:v>
                </c:pt>
                <c:pt idx="370">
                  <c:v>40716</c:v>
                </c:pt>
                <c:pt idx="371">
                  <c:v>40717</c:v>
                </c:pt>
                <c:pt idx="372">
                  <c:v>40718</c:v>
                </c:pt>
                <c:pt idx="373">
                  <c:v>40721</c:v>
                </c:pt>
                <c:pt idx="374">
                  <c:v>40722</c:v>
                </c:pt>
                <c:pt idx="375">
                  <c:v>40723</c:v>
                </c:pt>
                <c:pt idx="376">
                  <c:v>40724</c:v>
                </c:pt>
                <c:pt idx="377">
                  <c:v>40725</c:v>
                </c:pt>
                <c:pt idx="378">
                  <c:v>40728</c:v>
                </c:pt>
                <c:pt idx="379">
                  <c:v>40729</c:v>
                </c:pt>
                <c:pt idx="380">
                  <c:v>40730</c:v>
                </c:pt>
                <c:pt idx="381">
                  <c:v>40731</c:v>
                </c:pt>
                <c:pt idx="382">
                  <c:v>40732</c:v>
                </c:pt>
                <c:pt idx="383">
                  <c:v>40735</c:v>
                </c:pt>
                <c:pt idx="384">
                  <c:v>40736</c:v>
                </c:pt>
                <c:pt idx="385">
                  <c:v>40737</c:v>
                </c:pt>
                <c:pt idx="386">
                  <c:v>40738</c:v>
                </c:pt>
                <c:pt idx="387">
                  <c:v>40739</c:v>
                </c:pt>
                <c:pt idx="388">
                  <c:v>40742</c:v>
                </c:pt>
                <c:pt idx="389">
                  <c:v>40743</c:v>
                </c:pt>
                <c:pt idx="390">
                  <c:v>40744</c:v>
                </c:pt>
                <c:pt idx="391">
                  <c:v>40745</c:v>
                </c:pt>
                <c:pt idx="392">
                  <c:v>40746</c:v>
                </c:pt>
                <c:pt idx="393">
                  <c:v>40749</c:v>
                </c:pt>
                <c:pt idx="394">
                  <c:v>40750</c:v>
                </c:pt>
                <c:pt idx="395">
                  <c:v>40751</c:v>
                </c:pt>
                <c:pt idx="396">
                  <c:v>40752</c:v>
                </c:pt>
                <c:pt idx="397">
                  <c:v>40753</c:v>
                </c:pt>
                <c:pt idx="398">
                  <c:v>40756</c:v>
                </c:pt>
                <c:pt idx="399">
                  <c:v>40757</c:v>
                </c:pt>
                <c:pt idx="400">
                  <c:v>40758</c:v>
                </c:pt>
                <c:pt idx="401">
                  <c:v>40759</c:v>
                </c:pt>
                <c:pt idx="402">
                  <c:v>40760</c:v>
                </c:pt>
                <c:pt idx="403">
                  <c:v>40763</c:v>
                </c:pt>
                <c:pt idx="404">
                  <c:v>40764</c:v>
                </c:pt>
                <c:pt idx="405">
                  <c:v>40765</c:v>
                </c:pt>
                <c:pt idx="406">
                  <c:v>40766</c:v>
                </c:pt>
                <c:pt idx="407">
                  <c:v>40767</c:v>
                </c:pt>
                <c:pt idx="408">
                  <c:v>40770</c:v>
                </c:pt>
                <c:pt idx="409">
                  <c:v>40771</c:v>
                </c:pt>
                <c:pt idx="410">
                  <c:v>40772</c:v>
                </c:pt>
                <c:pt idx="411">
                  <c:v>40773</c:v>
                </c:pt>
                <c:pt idx="412">
                  <c:v>40774</c:v>
                </c:pt>
                <c:pt idx="413">
                  <c:v>40777</c:v>
                </c:pt>
                <c:pt idx="414">
                  <c:v>40778</c:v>
                </c:pt>
                <c:pt idx="415">
                  <c:v>40779</c:v>
                </c:pt>
                <c:pt idx="416">
                  <c:v>40780</c:v>
                </c:pt>
                <c:pt idx="417">
                  <c:v>40781</c:v>
                </c:pt>
                <c:pt idx="418">
                  <c:v>40784</c:v>
                </c:pt>
                <c:pt idx="419">
                  <c:v>40788</c:v>
                </c:pt>
                <c:pt idx="420">
                  <c:v>40791</c:v>
                </c:pt>
                <c:pt idx="421">
                  <c:v>40792</c:v>
                </c:pt>
                <c:pt idx="422">
                  <c:v>40793</c:v>
                </c:pt>
                <c:pt idx="423">
                  <c:v>40794</c:v>
                </c:pt>
                <c:pt idx="424">
                  <c:v>40795</c:v>
                </c:pt>
                <c:pt idx="425">
                  <c:v>40798</c:v>
                </c:pt>
                <c:pt idx="426">
                  <c:v>40799</c:v>
                </c:pt>
                <c:pt idx="427">
                  <c:v>40800</c:v>
                </c:pt>
                <c:pt idx="428">
                  <c:v>40801</c:v>
                </c:pt>
                <c:pt idx="429">
                  <c:v>40802</c:v>
                </c:pt>
                <c:pt idx="430">
                  <c:v>40805</c:v>
                </c:pt>
                <c:pt idx="431">
                  <c:v>40806</c:v>
                </c:pt>
                <c:pt idx="432">
                  <c:v>40807</c:v>
                </c:pt>
                <c:pt idx="433">
                  <c:v>40808</c:v>
                </c:pt>
                <c:pt idx="434">
                  <c:v>40809</c:v>
                </c:pt>
                <c:pt idx="435">
                  <c:v>40812</c:v>
                </c:pt>
                <c:pt idx="436">
                  <c:v>40813</c:v>
                </c:pt>
                <c:pt idx="437">
                  <c:v>40814</c:v>
                </c:pt>
                <c:pt idx="438">
                  <c:v>40815</c:v>
                </c:pt>
                <c:pt idx="439">
                  <c:v>40816</c:v>
                </c:pt>
                <c:pt idx="440">
                  <c:v>40819</c:v>
                </c:pt>
                <c:pt idx="441">
                  <c:v>40820</c:v>
                </c:pt>
                <c:pt idx="442">
                  <c:v>40821</c:v>
                </c:pt>
                <c:pt idx="443">
                  <c:v>40822</c:v>
                </c:pt>
                <c:pt idx="444">
                  <c:v>40823</c:v>
                </c:pt>
                <c:pt idx="445">
                  <c:v>40826</c:v>
                </c:pt>
                <c:pt idx="446">
                  <c:v>40827</c:v>
                </c:pt>
                <c:pt idx="447">
                  <c:v>40828</c:v>
                </c:pt>
                <c:pt idx="448">
                  <c:v>40829</c:v>
                </c:pt>
                <c:pt idx="449">
                  <c:v>40830</c:v>
                </c:pt>
                <c:pt idx="450">
                  <c:v>40833</c:v>
                </c:pt>
                <c:pt idx="451">
                  <c:v>40834</c:v>
                </c:pt>
                <c:pt idx="452">
                  <c:v>40835</c:v>
                </c:pt>
                <c:pt idx="453">
                  <c:v>40836</c:v>
                </c:pt>
                <c:pt idx="454">
                  <c:v>40837</c:v>
                </c:pt>
                <c:pt idx="455">
                  <c:v>40840</c:v>
                </c:pt>
                <c:pt idx="456">
                  <c:v>40841</c:v>
                </c:pt>
                <c:pt idx="457">
                  <c:v>40842</c:v>
                </c:pt>
                <c:pt idx="458">
                  <c:v>40843</c:v>
                </c:pt>
                <c:pt idx="459">
                  <c:v>40844</c:v>
                </c:pt>
                <c:pt idx="460">
                  <c:v>40847</c:v>
                </c:pt>
                <c:pt idx="461">
                  <c:v>40848</c:v>
                </c:pt>
                <c:pt idx="462">
                  <c:v>40849</c:v>
                </c:pt>
                <c:pt idx="463">
                  <c:v>40850</c:v>
                </c:pt>
                <c:pt idx="464">
                  <c:v>40851</c:v>
                </c:pt>
                <c:pt idx="465">
                  <c:v>40857</c:v>
                </c:pt>
                <c:pt idx="466">
                  <c:v>40858</c:v>
                </c:pt>
                <c:pt idx="467">
                  <c:v>40861</c:v>
                </c:pt>
                <c:pt idx="468">
                  <c:v>40862</c:v>
                </c:pt>
                <c:pt idx="469">
                  <c:v>40863</c:v>
                </c:pt>
                <c:pt idx="470">
                  <c:v>40864</c:v>
                </c:pt>
                <c:pt idx="471">
                  <c:v>40865</c:v>
                </c:pt>
                <c:pt idx="472">
                  <c:v>40868</c:v>
                </c:pt>
                <c:pt idx="473">
                  <c:v>40869</c:v>
                </c:pt>
                <c:pt idx="474">
                  <c:v>40870</c:v>
                </c:pt>
                <c:pt idx="475">
                  <c:v>40871</c:v>
                </c:pt>
                <c:pt idx="476">
                  <c:v>40872</c:v>
                </c:pt>
                <c:pt idx="477">
                  <c:v>40875</c:v>
                </c:pt>
                <c:pt idx="478">
                  <c:v>40876</c:v>
                </c:pt>
                <c:pt idx="479">
                  <c:v>40877</c:v>
                </c:pt>
                <c:pt idx="480">
                  <c:v>40878</c:v>
                </c:pt>
                <c:pt idx="481">
                  <c:v>40879</c:v>
                </c:pt>
                <c:pt idx="482">
                  <c:v>40882</c:v>
                </c:pt>
                <c:pt idx="483">
                  <c:v>40883</c:v>
                </c:pt>
                <c:pt idx="484">
                  <c:v>40884</c:v>
                </c:pt>
                <c:pt idx="485">
                  <c:v>40885</c:v>
                </c:pt>
                <c:pt idx="486">
                  <c:v>40886</c:v>
                </c:pt>
                <c:pt idx="487">
                  <c:v>40889</c:v>
                </c:pt>
                <c:pt idx="488">
                  <c:v>40890</c:v>
                </c:pt>
                <c:pt idx="489">
                  <c:v>40891</c:v>
                </c:pt>
                <c:pt idx="490">
                  <c:v>40892</c:v>
                </c:pt>
                <c:pt idx="491">
                  <c:v>40893</c:v>
                </c:pt>
                <c:pt idx="492">
                  <c:v>40896</c:v>
                </c:pt>
                <c:pt idx="493">
                  <c:v>40897</c:v>
                </c:pt>
                <c:pt idx="494">
                  <c:v>40898</c:v>
                </c:pt>
                <c:pt idx="495">
                  <c:v>40899</c:v>
                </c:pt>
                <c:pt idx="496">
                  <c:v>40900</c:v>
                </c:pt>
                <c:pt idx="497">
                  <c:v>40903</c:v>
                </c:pt>
                <c:pt idx="498">
                  <c:v>40904</c:v>
                </c:pt>
                <c:pt idx="499">
                  <c:v>40905</c:v>
                </c:pt>
                <c:pt idx="500">
                  <c:v>40906</c:v>
                </c:pt>
                <c:pt idx="501">
                  <c:v>40907</c:v>
                </c:pt>
                <c:pt idx="502">
                  <c:v>40910</c:v>
                </c:pt>
                <c:pt idx="503">
                  <c:v>40911</c:v>
                </c:pt>
                <c:pt idx="504">
                  <c:v>40912</c:v>
                </c:pt>
                <c:pt idx="505">
                  <c:v>40913</c:v>
                </c:pt>
                <c:pt idx="506">
                  <c:v>40914</c:v>
                </c:pt>
                <c:pt idx="507">
                  <c:v>40917</c:v>
                </c:pt>
                <c:pt idx="508">
                  <c:v>40918</c:v>
                </c:pt>
                <c:pt idx="509">
                  <c:v>40919</c:v>
                </c:pt>
                <c:pt idx="510">
                  <c:v>40920</c:v>
                </c:pt>
                <c:pt idx="511">
                  <c:v>40921</c:v>
                </c:pt>
                <c:pt idx="512">
                  <c:v>40924</c:v>
                </c:pt>
                <c:pt idx="513">
                  <c:v>40925</c:v>
                </c:pt>
                <c:pt idx="514">
                  <c:v>40926</c:v>
                </c:pt>
                <c:pt idx="515">
                  <c:v>40927</c:v>
                </c:pt>
                <c:pt idx="516">
                  <c:v>40928</c:v>
                </c:pt>
                <c:pt idx="517">
                  <c:v>40931</c:v>
                </c:pt>
                <c:pt idx="518">
                  <c:v>40932</c:v>
                </c:pt>
                <c:pt idx="519">
                  <c:v>40933</c:v>
                </c:pt>
                <c:pt idx="520">
                  <c:v>40934</c:v>
                </c:pt>
                <c:pt idx="521">
                  <c:v>40935</c:v>
                </c:pt>
                <c:pt idx="522">
                  <c:v>40938</c:v>
                </c:pt>
                <c:pt idx="523">
                  <c:v>40939</c:v>
                </c:pt>
                <c:pt idx="524">
                  <c:v>40940</c:v>
                </c:pt>
                <c:pt idx="525">
                  <c:v>40941</c:v>
                </c:pt>
                <c:pt idx="526">
                  <c:v>40942</c:v>
                </c:pt>
                <c:pt idx="527">
                  <c:v>40945</c:v>
                </c:pt>
                <c:pt idx="528">
                  <c:v>40946</c:v>
                </c:pt>
                <c:pt idx="529">
                  <c:v>40947</c:v>
                </c:pt>
                <c:pt idx="530">
                  <c:v>40948</c:v>
                </c:pt>
                <c:pt idx="531">
                  <c:v>40949</c:v>
                </c:pt>
                <c:pt idx="532">
                  <c:v>40952</c:v>
                </c:pt>
                <c:pt idx="533">
                  <c:v>40953</c:v>
                </c:pt>
                <c:pt idx="534">
                  <c:v>40954</c:v>
                </c:pt>
                <c:pt idx="535">
                  <c:v>40955</c:v>
                </c:pt>
                <c:pt idx="536">
                  <c:v>40956</c:v>
                </c:pt>
                <c:pt idx="537">
                  <c:v>40959</c:v>
                </c:pt>
                <c:pt idx="538">
                  <c:v>40960</c:v>
                </c:pt>
                <c:pt idx="539">
                  <c:v>40961</c:v>
                </c:pt>
                <c:pt idx="540">
                  <c:v>40962</c:v>
                </c:pt>
                <c:pt idx="541">
                  <c:v>40963</c:v>
                </c:pt>
                <c:pt idx="542">
                  <c:v>40966</c:v>
                </c:pt>
                <c:pt idx="543">
                  <c:v>40967</c:v>
                </c:pt>
                <c:pt idx="544">
                  <c:v>40968</c:v>
                </c:pt>
                <c:pt idx="545">
                  <c:v>40969</c:v>
                </c:pt>
                <c:pt idx="546">
                  <c:v>40970</c:v>
                </c:pt>
                <c:pt idx="547">
                  <c:v>40973</c:v>
                </c:pt>
                <c:pt idx="548">
                  <c:v>40974</c:v>
                </c:pt>
                <c:pt idx="549">
                  <c:v>40975</c:v>
                </c:pt>
                <c:pt idx="550">
                  <c:v>40976</c:v>
                </c:pt>
                <c:pt idx="551">
                  <c:v>40977</c:v>
                </c:pt>
                <c:pt idx="552">
                  <c:v>40980</c:v>
                </c:pt>
                <c:pt idx="553">
                  <c:v>40981</c:v>
                </c:pt>
                <c:pt idx="554">
                  <c:v>40982</c:v>
                </c:pt>
                <c:pt idx="555">
                  <c:v>40983</c:v>
                </c:pt>
                <c:pt idx="556">
                  <c:v>40984</c:v>
                </c:pt>
                <c:pt idx="557">
                  <c:v>40987</c:v>
                </c:pt>
                <c:pt idx="558">
                  <c:v>40988</c:v>
                </c:pt>
                <c:pt idx="559">
                  <c:v>40989</c:v>
                </c:pt>
                <c:pt idx="560">
                  <c:v>40990</c:v>
                </c:pt>
                <c:pt idx="561">
                  <c:v>40991</c:v>
                </c:pt>
                <c:pt idx="562">
                  <c:v>40994</c:v>
                </c:pt>
                <c:pt idx="563">
                  <c:v>40995</c:v>
                </c:pt>
                <c:pt idx="564">
                  <c:v>40996</c:v>
                </c:pt>
                <c:pt idx="565">
                  <c:v>40997</c:v>
                </c:pt>
                <c:pt idx="566">
                  <c:v>40998</c:v>
                </c:pt>
                <c:pt idx="567">
                  <c:v>41001</c:v>
                </c:pt>
                <c:pt idx="568">
                  <c:v>41002</c:v>
                </c:pt>
                <c:pt idx="569">
                  <c:v>41003</c:v>
                </c:pt>
                <c:pt idx="570">
                  <c:v>41004</c:v>
                </c:pt>
                <c:pt idx="571">
                  <c:v>41005</c:v>
                </c:pt>
                <c:pt idx="572">
                  <c:v>41008</c:v>
                </c:pt>
                <c:pt idx="573">
                  <c:v>41009</c:v>
                </c:pt>
                <c:pt idx="574">
                  <c:v>41010</c:v>
                </c:pt>
                <c:pt idx="575">
                  <c:v>41011</c:v>
                </c:pt>
                <c:pt idx="576">
                  <c:v>41012</c:v>
                </c:pt>
                <c:pt idx="577">
                  <c:v>41015</c:v>
                </c:pt>
                <c:pt idx="578">
                  <c:v>41016</c:v>
                </c:pt>
                <c:pt idx="579">
                  <c:v>41017</c:v>
                </c:pt>
                <c:pt idx="580">
                  <c:v>41018</c:v>
                </c:pt>
                <c:pt idx="581">
                  <c:v>41019</c:v>
                </c:pt>
                <c:pt idx="582">
                  <c:v>41023</c:v>
                </c:pt>
                <c:pt idx="583">
                  <c:v>41024</c:v>
                </c:pt>
                <c:pt idx="584">
                  <c:v>41025</c:v>
                </c:pt>
                <c:pt idx="585">
                  <c:v>41026</c:v>
                </c:pt>
                <c:pt idx="586">
                  <c:v>41029</c:v>
                </c:pt>
                <c:pt idx="587">
                  <c:v>41031</c:v>
                </c:pt>
                <c:pt idx="588">
                  <c:v>41032</c:v>
                </c:pt>
                <c:pt idx="589">
                  <c:v>41033</c:v>
                </c:pt>
                <c:pt idx="590">
                  <c:v>41036</c:v>
                </c:pt>
                <c:pt idx="591">
                  <c:v>41037</c:v>
                </c:pt>
                <c:pt idx="592">
                  <c:v>41038</c:v>
                </c:pt>
                <c:pt idx="593">
                  <c:v>41039</c:v>
                </c:pt>
                <c:pt idx="594">
                  <c:v>41040</c:v>
                </c:pt>
                <c:pt idx="595">
                  <c:v>41043</c:v>
                </c:pt>
                <c:pt idx="596">
                  <c:v>41044</c:v>
                </c:pt>
                <c:pt idx="597">
                  <c:v>41045</c:v>
                </c:pt>
                <c:pt idx="598">
                  <c:v>41046</c:v>
                </c:pt>
                <c:pt idx="599">
                  <c:v>41047</c:v>
                </c:pt>
                <c:pt idx="600">
                  <c:v>41050</c:v>
                </c:pt>
                <c:pt idx="601">
                  <c:v>41051</c:v>
                </c:pt>
                <c:pt idx="602">
                  <c:v>41052</c:v>
                </c:pt>
                <c:pt idx="603">
                  <c:v>41053</c:v>
                </c:pt>
                <c:pt idx="604">
                  <c:v>41054</c:v>
                </c:pt>
                <c:pt idx="605">
                  <c:v>41057</c:v>
                </c:pt>
                <c:pt idx="606">
                  <c:v>41058</c:v>
                </c:pt>
                <c:pt idx="607">
                  <c:v>41059</c:v>
                </c:pt>
                <c:pt idx="608">
                  <c:v>41060</c:v>
                </c:pt>
                <c:pt idx="609">
                  <c:v>41061</c:v>
                </c:pt>
                <c:pt idx="610">
                  <c:v>41064</c:v>
                </c:pt>
                <c:pt idx="611">
                  <c:v>41065</c:v>
                </c:pt>
                <c:pt idx="612">
                  <c:v>41066</c:v>
                </c:pt>
                <c:pt idx="613">
                  <c:v>41067</c:v>
                </c:pt>
                <c:pt idx="614">
                  <c:v>41068</c:v>
                </c:pt>
                <c:pt idx="615">
                  <c:v>41071</c:v>
                </c:pt>
                <c:pt idx="616">
                  <c:v>41072</c:v>
                </c:pt>
                <c:pt idx="617">
                  <c:v>41073</c:v>
                </c:pt>
                <c:pt idx="618">
                  <c:v>41074</c:v>
                </c:pt>
                <c:pt idx="619">
                  <c:v>41075</c:v>
                </c:pt>
                <c:pt idx="620">
                  <c:v>41078</c:v>
                </c:pt>
                <c:pt idx="621">
                  <c:v>41079</c:v>
                </c:pt>
                <c:pt idx="622">
                  <c:v>41080</c:v>
                </c:pt>
                <c:pt idx="623">
                  <c:v>41081</c:v>
                </c:pt>
                <c:pt idx="624">
                  <c:v>41082</c:v>
                </c:pt>
                <c:pt idx="625">
                  <c:v>41085</c:v>
                </c:pt>
                <c:pt idx="626">
                  <c:v>41086</c:v>
                </c:pt>
                <c:pt idx="627">
                  <c:v>41087</c:v>
                </c:pt>
                <c:pt idx="628">
                  <c:v>41088</c:v>
                </c:pt>
                <c:pt idx="629">
                  <c:v>41089</c:v>
                </c:pt>
                <c:pt idx="630">
                  <c:v>41092</c:v>
                </c:pt>
                <c:pt idx="631">
                  <c:v>41093</c:v>
                </c:pt>
                <c:pt idx="632">
                  <c:v>41094</c:v>
                </c:pt>
                <c:pt idx="633">
                  <c:v>41095</c:v>
                </c:pt>
                <c:pt idx="634">
                  <c:v>41096</c:v>
                </c:pt>
                <c:pt idx="635">
                  <c:v>41099</c:v>
                </c:pt>
                <c:pt idx="636">
                  <c:v>41100</c:v>
                </c:pt>
                <c:pt idx="637">
                  <c:v>41101</c:v>
                </c:pt>
                <c:pt idx="638">
                  <c:v>41102</c:v>
                </c:pt>
                <c:pt idx="639">
                  <c:v>41103</c:v>
                </c:pt>
                <c:pt idx="640">
                  <c:v>41106</c:v>
                </c:pt>
                <c:pt idx="641">
                  <c:v>41107</c:v>
                </c:pt>
                <c:pt idx="642">
                  <c:v>41108</c:v>
                </c:pt>
                <c:pt idx="643">
                  <c:v>41109</c:v>
                </c:pt>
                <c:pt idx="644">
                  <c:v>41110</c:v>
                </c:pt>
                <c:pt idx="645">
                  <c:v>41113</c:v>
                </c:pt>
                <c:pt idx="646">
                  <c:v>41114</c:v>
                </c:pt>
                <c:pt idx="647">
                  <c:v>41115</c:v>
                </c:pt>
                <c:pt idx="648">
                  <c:v>41116</c:v>
                </c:pt>
                <c:pt idx="649">
                  <c:v>41117</c:v>
                </c:pt>
                <c:pt idx="650">
                  <c:v>41120</c:v>
                </c:pt>
                <c:pt idx="651">
                  <c:v>41121</c:v>
                </c:pt>
                <c:pt idx="652">
                  <c:v>41122</c:v>
                </c:pt>
                <c:pt idx="653">
                  <c:v>41123</c:v>
                </c:pt>
                <c:pt idx="654">
                  <c:v>41124</c:v>
                </c:pt>
                <c:pt idx="655">
                  <c:v>41127</c:v>
                </c:pt>
                <c:pt idx="656">
                  <c:v>41128</c:v>
                </c:pt>
                <c:pt idx="657">
                  <c:v>41129</c:v>
                </c:pt>
                <c:pt idx="658">
                  <c:v>41130</c:v>
                </c:pt>
                <c:pt idx="659">
                  <c:v>41131</c:v>
                </c:pt>
                <c:pt idx="660">
                  <c:v>41134</c:v>
                </c:pt>
                <c:pt idx="661">
                  <c:v>41135</c:v>
                </c:pt>
                <c:pt idx="662">
                  <c:v>41136</c:v>
                </c:pt>
                <c:pt idx="663">
                  <c:v>41137</c:v>
                </c:pt>
                <c:pt idx="664">
                  <c:v>41138</c:v>
                </c:pt>
                <c:pt idx="665">
                  <c:v>41143</c:v>
                </c:pt>
                <c:pt idx="666">
                  <c:v>41144</c:v>
                </c:pt>
                <c:pt idx="667">
                  <c:v>41145</c:v>
                </c:pt>
                <c:pt idx="668">
                  <c:v>41148</c:v>
                </c:pt>
                <c:pt idx="669">
                  <c:v>41149</c:v>
                </c:pt>
                <c:pt idx="670">
                  <c:v>41150</c:v>
                </c:pt>
                <c:pt idx="671">
                  <c:v>41152</c:v>
                </c:pt>
                <c:pt idx="672">
                  <c:v>41155</c:v>
                </c:pt>
                <c:pt idx="673">
                  <c:v>41156</c:v>
                </c:pt>
                <c:pt idx="674">
                  <c:v>41157</c:v>
                </c:pt>
                <c:pt idx="675">
                  <c:v>41158</c:v>
                </c:pt>
                <c:pt idx="676">
                  <c:v>41159</c:v>
                </c:pt>
                <c:pt idx="677">
                  <c:v>41162</c:v>
                </c:pt>
                <c:pt idx="678">
                  <c:v>41163</c:v>
                </c:pt>
                <c:pt idx="679">
                  <c:v>41164</c:v>
                </c:pt>
                <c:pt idx="680">
                  <c:v>41165</c:v>
                </c:pt>
                <c:pt idx="681">
                  <c:v>41166</c:v>
                </c:pt>
                <c:pt idx="682">
                  <c:v>41169</c:v>
                </c:pt>
                <c:pt idx="683">
                  <c:v>41170</c:v>
                </c:pt>
                <c:pt idx="684">
                  <c:v>41171</c:v>
                </c:pt>
                <c:pt idx="685">
                  <c:v>41172</c:v>
                </c:pt>
                <c:pt idx="686">
                  <c:v>41173</c:v>
                </c:pt>
                <c:pt idx="687">
                  <c:v>41176</c:v>
                </c:pt>
                <c:pt idx="688">
                  <c:v>41177</c:v>
                </c:pt>
                <c:pt idx="689">
                  <c:v>41178</c:v>
                </c:pt>
                <c:pt idx="690">
                  <c:v>41179</c:v>
                </c:pt>
                <c:pt idx="691">
                  <c:v>41180</c:v>
                </c:pt>
              </c:numCache>
            </c:numRef>
          </c:cat>
          <c:val>
            <c:numRef>
              <c:f>'Faiz Koridoru Veri'!$B$3:$B$694</c:f>
              <c:numCache>
                <c:formatCode>0.00</c:formatCode>
                <c:ptCount val="692"/>
                <c:pt idx="0">
                  <c:v>6.5</c:v>
                </c:pt>
                <c:pt idx="1">
                  <c:v>6.5</c:v>
                </c:pt>
                <c:pt idx="2">
                  <c:v>6.5</c:v>
                </c:pt>
                <c:pt idx="3">
                  <c:v>6.5</c:v>
                </c:pt>
                <c:pt idx="4">
                  <c:v>6.5</c:v>
                </c:pt>
                <c:pt idx="5">
                  <c:v>6.5</c:v>
                </c:pt>
                <c:pt idx="6">
                  <c:v>6.5</c:v>
                </c:pt>
                <c:pt idx="7">
                  <c:v>6.5</c:v>
                </c:pt>
                <c:pt idx="8">
                  <c:v>6.5</c:v>
                </c:pt>
                <c:pt idx="9">
                  <c:v>6.5</c:v>
                </c:pt>
                <c:pt idx="10">
                  <c:v>6.5</c:v>
                </c:pt>
                <c:pt idx="11">
                  <c:v>6.5</c:v>
                </c:pt>
                <c:pt idx="12">
                  <c:v>6.5</c:v>
                </c:pt>
                <c:pt idx="13">
                  <c:v>6.5</c:v>
                </c:pt>
                <c:pt idx="14">
                  <c:v>6.5</c:v>
                </c:pt>
                <c:pt idx="15">
                  <c:v>6.5</c:v>
                </c:pt>
                <c:pt idx="16">
                  <c:v>6.5</c:v>
                </c:pt>
                <c:pt idx="17">
                  <c:v>6.5</c:v>
                </c:pt>
                <c:pt idx="18">
                  <c:v>6.5</c:v>
                </c:pt>
                <c:pt idx="19">
                  <c:v>6.5</c:v>
                </c:pt>
                <c:pt idx="20">
                  <c:v>6.5</c:v>
                </c:pt>
                <c:pt idx="21">
                  <c:v>6.5</c:v>
                </c:pt>
                <c:pt idx="22">
                  <c:v>6.5</c:v>
                </c:pt>
                <c:pt idx="23">
                  <c:v>6.5</c:v>
                </c:pt>
                <c:pt idx="24">
                  <c:v>6.5</c:v>
                </c:pt>
                <c:pt idx="25">
                  <c:v>6.5</c:v>
                </c:pt>
                <c:pt idx="26">
                  <c:v>6.5</c:v>
                </c:pt>
                <c:pt idx="27">
                  <c:v>6.5</c:v>
                </c:pt>
                <c:pt idx="28">
                  <c:v>6.5</c:v>
                </c:pt>
                <c:pt idx="29">
                  <c:v>6.5</c:v>
                </c:pt>
                <c:pt idx="30">
                  <c:v>6.5</c:v>
                </c:pt>
                <c:pt idx="31">
                  <c:v>6.5</c:v>
                </c:pt>
                <c:pt idx="32">
                  <c:v>6.5</c:v>
                </c:pt>
                <c:pt idx="33">
                  <c:v>6.5</c:v>
                </c:pt>
                <c:pt idx="34">
                  <c:v>6.5</c:v>
                </c:pt>
                <c:pt idx="35">
                  <c:v>6.5</c:v>
                </c:pt>
                <c:pt idx="36">
                  <c:v>6.5</c:v>
                </c:pt>
                <c:pt idx="37">
                  <c:v>6.5</c:v>
                </c:pt>
                <c:pt idx="38">
                  <c:v>6.5</c:v>
                </c:pt>
                <c:pt idx="39">
                  <c:v>6.5</c:v>
                </c:pt>
                <c:pt idx="40">
                  <c:v>6.5</c:v>
                </c:pt>
                <c:pt idx="41">
                  <c:v>6.5</c:v>
                </c:pt>
                <c:pt idx="42">
                  <c:v>6.5</c:v>
                </c:pt>
                <c:pt idx="43">
                  <c:v>6.5</c:v>
                </c:pt>
                <c:pt idx="44">
                  <c:v>6.5</c:v>
                </c:pt>
                <c:pt idx="45">
                  <c:v>6.5</c:v>
                </c:pt>
                <c:pt idx="46">
                  <c:v>6.5</c:v>
                </c:pt>
                <c:pt idx="47">
                  <c:v>6.5</c:v>
                </c:pt>
                <c:pt idx="48">
                  <c:v>6.5</c:v>
                </c:pt>
                <c:pt idx="49">
                  <c:v>6.5</c:v>
                </c:pt>
                <c:pt idx="50">
                  <c:v>6.5</c:v>
                </c:pt>
                <c:pt idx="51">
                  <c:v>6.5</c:v>
                </c:pt>
                <c:pt idx="52">
                  <c:v>6.5</c:v>
                </c:pt>
                <c:pt idx="53">
                  <c:v>6.5</c:v>
                </c:pt>
                <c:pt idx="54">
                  <c:v>6.5</c:v>
                </c:pt>
                <c:pt idx="55">
                  <c:v>6.5</c:v>
                </c:pt>
                <c:pt idx="56">
                  <c:v>6.5</c:v>
                </c:pt>
                <c:pt idx="57">
                  <c:v>6.5</c:v>
                </c:pt>
                <c:pt idx="58">
                  <c:v>6.5</c:v>
                </c:pt>
                <c:pt idx="59">
                  <c:v>6.5</c:v>
                </c:pt>
                <c:pt idx="60">
                  <c:v>6.5</c:v>
                </c:pt>
                <c:pt idx="61">
                  <c:v>6.5</c:v>
                </c:pt>
                <c:pt idx="62">
                  <c:v>6.5</c:v>
                </c:pt>
                <c:pt idx="63">
                  <c:v>6.5</c:v>
                </c:pt>
                <c:pt idx="64">
                  <c:v>6.5</c:v>
                </c:pt>
                <c:pt idx="65">
                  <c:v>6.5</c:v>
                </c:pt>
                <c:pt idx="66">
                  <c:v>6.5</c:v>
                </c:pt>
                <c:pt idx="67">
                  <c:v>6.5</c:v>
                </c:pt>
                <c:pt idx="68">
                  <c:v>6.5</c:v>
                </c:pt>
                <c:pt idx="69">
                  <c:v>6.5</c:v>
                </c:pt>
                <c:pt idx="70">
                  <c:v>6.5</c:v>
                </c:pt>
                <c:pt idx="71">
                  <c:v>6.5</c:v>
                </c:pt>
                <c:pt idx="72">
                  <c:v>6.5</c:v>
                </c:pt>
                <c:pt idx="73">
                  <c:v>6.5</c:v>
                </c:pt>
                <c:pt idx="74">
                  <c:v>6.5</c:v>
                </c:pt>
                <c:pt idx="75">
                  <c:v>6.5</c:v>
                </c:pt>
                <c:pt idx="76">
                  <c:v>6.5</c:v>
                </c:pt>
                <c:pt idx="77">
                  <c:v>6.5</c:v>
                </c:pt>
                <c:pt idx="78">
                  <c:v>6.5</c:v>
                </c:pt>
                <c:pt idx="79">
                  <c:v>6.5</c:v>
                </c:pt>
                <c:pt idx="80">
                  <c:v>6.5</c:v>
                </c:pt>
                <c:pt idx="81">
                  <c:v>6.5</c:v>
                </c:pt>
                <c:pt idx="82">
                  <c:v>6.5</c:v>
                </c:pt>
                <c:pt idx="83">
                  <c:v>6.5</c:v>
                </c:pt>
                <c:pt idx="84">
                  <c:v>6.5</c:v>
                </c:pt>
                <c:pt idx="85">
                  <c:v>6.5</c:v>
                </c:pt>
                <c:pt idx="86">
                  <c:v>6.5</c:v>
                </c:pt>
                <c:pt idx="87">
                  <c:v>6.5</c:v>
                </c:pt>
                <c:pt idx="88">
                  <c:v>6.5</c:v>
                </c:pt>
                <c:pt idx="89">
                  <c:v>6.5</c:v>
                </c:pt>
                <c:pt idx="90">
                  <c:v>6.5</c:v>
                </c:pt>
                <c:pt idx="91">
                  <c:v>6.5</c:v>
                </c:pt>
                <c:pt idx="92">
                  <c:v>6.5</c:v>
                </c:pt>
                <c:pt idx="93">
                  <c:v>6.5</c:v>
                </c:pt>
                <c:pt idx="94">
                  <c:v>6.5</c:v>
                </c:pt>
                <c:pt idx="95">
                  <c:v>6.5</c:v>
                </c:pt>
                <c:pt idx="96">
                  <c:v>6.5</c:v>
                </c:pt>
                <c:pt idx="97">
                  <c:v>6.5</c:v>
                </c:pt>
                <c:pt idx="98">
                  <c:v>6.5</c:v>
                </c:pt>
                <c:pt idx="99">
                  <c:v>6.5</c:v>
                </c:pt>
                <c:pt idx="100">
                  <c:v>6.5</c:v>
                </c:pt>
                <c:pt idx="101">
                  <c:v>6.5</c:v>
                </c:pt>
                <c:pt idx="102">
                  <c:v>6.5</c:v>
                </c:pt>
                <c:pt idx="103">
                  <c:v>6.5</c:v>
                </c:pt>
                <c:pt idx="104">
                  <c:v>6.5</c:v>
                </c:pt>
                <c:pt idx="105">
                  <c:v>6.5</c:v>
                </c:pt>
                <c:pt idx="106">
                  <c:v>6.5</c:v>
                </c:pt>
                <c:pt idx="107">
                  <c:v>6.5</c:v>
                </c:pt>
                <c:pt idx="108">
                  <c:v>6.5</c:v>
                </c:pt>
                <c:pt idx="109">
                  <c:v>6.5</c:v>
                </c:pt>
                <c:pt idx="110">
                  <c:v>6.5</c:v>
                </c:pt>
                <c:pt idx="111">
                  <c:v>6.5</c:v>
                </c:pt>
                <c:pt idx="112">
                  <c:v>6.5</c:v>
                </c:pt>
                <c:pt idx="113">
                  <c:v>6.5</c:v>
                </c:pt>
                <c:pt idx="114">
                  <c:v>6.5</c:v>
                </c:pt>
                <c:pt idx="115">
                  <c:v>6.5</c:v>
                </c:pt>
                <c:pt idx="116">
                  <c:v>6.5</c:v>
                </c:pt>
                <c:pt idx="117">
                  <c:v>6.5</c:v>
                </c:pt>
                <c:pt idx="118">
                  <c:v>6.5</c:v>
                </c:pt>
                <c:pt idx="119">
                  <c:v>6.5</c:v>
                </c:pt>
                <c:pt idx="120">
                  <c:v>6.5</c:v>
                </c:pt>
                <c:pt idx="121">
                  <c:v>6.5</c:v>
                </c:pt>
                <c:pt idx="122">
                  <c:v>6.5</c:v>
                </c:pt>
                <c:pt idx="123">
                  <c:v>6.5</c:v>
                </c:pt>
                <c:pt idx="124">
                  <c:v>6.5</c:v>
                </c:pt>
                <c:pt idx="125">
                  <c:v>6.5</c:v>
                </c:pt>
                <c:pt idx="126">
                  <c:v>6.5</c:v>
                </c:pt>
                <c:pt idx="127">
                  <c:v>6.5</c:v>
                </c:pt>
                <c:pt idx="128">
                  <c:v>6.5</c:v>
                </c:pt>
                <c:pt idx="129">
                  <c:v>6.5</c:v>
                </c:pt>
                <c:pt idx="130">
                  <c:v>6.5</c:v>
                </c:pt>
                <c:pt idx="131">
                  <c:v>6.5</c:v>
                </c:pt>
                <c:pt idx="132">
                  <c:v>6.5</c:v>
                </c:pt>
                <c:pt idx="133">
                  <c:v>6.5</c:v>
                </c:pt>
                <c:pt idx="134">
                  <c:v>6.5</c:v>
                </c:pt>
                <c:pt idx="135">
                  <c:v>6.5</c:v>
                </c:pt>
                <c:pt idx="136">
                  <c:v>6.5</c:v>
                </c:pt>
                <c:pt idx="137">
                  <c:v>6.5</c:v>
                </c:pt>
                <c:pt idx="138">
                  <c:v>6.5</c:v>
                </c:pt>
                <c:pt idx="139">
                  <c:v>6.5</c:v>
                </c:pt>
                <c:pt idx="140">
                  <c:v>6.5</c:v>
                </c:pt>
                <c:pt idx="141">
                  <c:v>6.5</c:v>
                </c:pt>
                <c:pt idx="142">
                  <c:v>6.5</c:v>
                </c:pt>
                <c:pt idx="143">
                  <c:v>6.5</c:v>
                </c:pt>
                <c:pt idx="144">
                  <c:v>6.5</c:v>
                </c:pt>
                <c:pt idx="145">
                  <c:v>6.5</c:v>
                </c:pt>
                <c:pt idx="146">
                  <c:v>6.5</c:v>
                </c:pt>
                <c:pt idx="147">
                  <c:v>6.5</c:v>
                </c:pt>
                <c:pt idx="148">
                  <c:v>6.5</c:v>
                </c:pt>
                <c:pt idx="149">
                  <c:v>6.5</c:v>
                </c:pt>
                <c:pt idx="150">
                  <c:v>6.5</c:v>
                </c:pt>
                <c:pt idx="151">
                  <c:v>6.5</c:v>
                </c:pt>
                <c:pt idx="152">
                  <c:v>6.5</c:v>
                </c:pt>
                <c:pt idx="153">
                  <c:v>6.5</c:v>
                </c:pt>
                <c:pt idx="154">
                  <c:v>6.5</c:v>
                </c:pt>
                <c:pt idx="155">
                  <c:v>6.5</c:v>
                </c:pt>
                <c:pt idx="156">
                  <c:v>6.5</c:v>
                </c:pt>
                <c:pt idx="157">
                  <c:v>6.5</c:v>
                </c:pt>
                <c:pt idx="158">
                  <c:v>6.5</c:v>
                </c:pt>
                <c:pt idx="159">
                  <c:v>6.5</c:v>
                </c:pt>
                <c:pt idx="160">
                  <c:v>6.5</c:v>
                </c:pt>
                <c:pt idx="161">
                  <c:v>6.5</c:v>
                </c:pt>
                <c:pt idx="162">
                  <c:v>6.5</c:v>
                </c:pt>
                <c:pt idx="163">
                  <c:v>6.5</c:v>
                </c:pt>
                <c:pt idx="164">
                  <c:v>6.5</c:v>
                </c:pt>
                <c:pt idx="165">
                  <c:v>6.5</c:v>
                </c:pt>
                <c:pt idx="166">
                  <c:v>6.5</c:v>
                </c:pt>
                <c:pt idx="167">
                  <c:v>6.5</c:v>
                </c:pt>
                <c:pt idx="168">
                  <c:v>6.5</c:v>
                </c:pt>
                <c:pt idx="169">
                  <c:v>6.5</c:v>
                </c:pt>
                <c:pt idx="170">
                  <c:v>6.5</c:v>
                </c:pt>
                <c:pt idx="171">
                  <c:v>6.5</c:v>
                </c:pt>
                <c:pt idx="172">
                  <c:v>6.5</c:v>
                </c:pt>
                <c:pt idx="173">
                  <c:v>6.5</c:v>
                </c:pt>
                <c:pt idx="174">
                  <c:v>6.5</c:v>
                </c:pt>
                <c:pt idx="175">
                  <c:v>6.5</c:v>
                </c:pt>
                <c:pt idx="176">
                  <c:v>6.5</c:v>
                </c:pt>
                <c:pt idx="177">
                  <c:v>6.5</c:v>
                </c:pt>
                <c:pt idx="178">
                  <c:v>6.25</c:v>
                </c:pt>
                <c:pt idx="179">
                  <c:v>6.25</c:v>
                </c:pt>
                <c:pt idx="180">
                  <c:v>6.25</c:v>
                </c:pt>
                <c:pt idx="181">
                  <c:v>6.25</c:v>
                </c:pt>
                <c:pt idx="182">
                  <c:v>6.25</c:v>
                </c:pt>
                <c:pt idx="183">
                  <c:v>6.25</c:v>
                </c:pt>
                <c:pt idx="184">
                  <c:v>6.25</c:v>
                </c:pt>
                <c:pt idx="185">
                  <c:v>6.25</c:v>
                </c:pt>
                <c:pt idx="186">
                  <c:v>6.25</c:v>
                </c:pt>
                <c:pt idx="187">
                  <c:v>6.25</c:v>
                </c:pt>
                <c:pt idx="188">
                  <c:v>6.25</c:v>
                </c:pt>
                <c:pt idx="189">
                  <c:v>6.25</c:v>
                </c:pt>
                <c:pt idx="190">
                  <c:v>6.25</c:v>
                </c:pt>
                <c:pt idx="191">
                  <c:v>6.25</c:v>
                </c:pt>
                <c:pt idx="192">
                  <c:v>6.25</c:v>
                </c:pt>
                <c:pt idx="193">
                  <c:v>6.25</c:v>
                </c:pt>
                <c:pt idx="194">
                  <c:v>6.25</c:v>
                </c:pt>
                <c:pt idx="195">
                  <c:v>6.25</c:v>
                </c:pt>
                <c:pt idx="196">
                  <c:v>6.25</c:v>
                </c:pt>
                <c:pt idx="197">
                  <c:v>6.25</c:v>
                </c:pt>
                <c:pt idx="198">
                  <c:v>5.75</c:v>
                </c:pt>
                <c:pt idx="199">
                  <c:v>5.75</c:v>
                </c:pt>
                <c:pt idx="200">
                  <c:v>5.75</c:v>
                </c:pt>
                <c:pt idx="201">
                  <c:v>5.75</c:v>
                </c:pt>
                <c:pt idx="202">
                  <c:v>5.75</c:v>
                </c:pt>
                <c:pt idx="203">
                  <c:v>5.75</c:v>
                </c:pt>
                <c:pt idx="204">
                  <c:v>5.75</c:v>
                </c:pt>
                <c:pt idx="205">
                  <c:v>5.75</c:v>
                </c:pt>
                <c:pt idx="206">
                  <c:v>5.75</c:v>
                </c:pt>
                <c:pt idx="207">
                  <c:v>5.75</c:v>
                </c:pt>
                <c:pt idx="208">
                  <c:v>5.75</c:v>
                </c:pt>
                <c:pt idx="209">
                  <c:v>5.75</c:v>
                </c:pt>
                <c:pt idx="210">
                  <c:v>5.75</c:v>
                </c:pt>
                <c:pt idx="211">
                  <c:v>5.75</c:v>
                </c:pt>
                <c:pt idx="212">
                  <c:v>5.75</c:v>
                </c:pt>
                <c:pt idx="213">
                  <c:v>5.75</c:v>
                </c:pt>
                <c:pt idx="214">
                  <c:v>5.75</c:v>
                </c:pt>
                <c:pt idx="215">
                  <c:v>5.75</c:v>
                </c:pt>
                <c:pt idx="216">
                  <c:v>1.75</c:v>
                </c:pt>
                <c:pt idx="217">
                  <c:v>1.75</c:v>
                </c:pt>
                <c:pt idx="218">
                  <c:v>1.75</c:v>
                </c:pt>
                <c:pt idx="219">
                  <c:v>1.75</c:v>
                </c:pt>
                <c:pt idx="220">
                  <c:v>1.75</c:v>
                </c:pt>
                <c:pt idx="221">
                  <c:v>1.75</c:v>
                </c:pt>
                <c:pt idx="222">
                  <c:v>1.75</c:v>
                </c:pt>
                <c:pt idx="223">
                  <c:v>1.75</c:v>
                </c:pt>
                <c:pt idx="224">
                  <c:v>1.75</c:v>
                </c:pt>
                <c:pt idx="225">
                  <c:v>1.75</c:v>
                </c:pt>
                <c:pt idx="226">
                  <c:v>1.75</c:v>
                </c:pt>
                <c:pt idx="227">
                  <c:v>1.75</c:v>
                </c:pt>
                <c:pt idx="228">
                  <c:v>1.75</c:v>
                </c:pt>
                <c:pt idx="229">
                  <c:v>1.75</c:v>
                </c:pt>
                <c:pt idx="230">
                  <c:v>1.75</c:v>
                </c:pt>
                <c:pt idx="231">
                  <c:v>1.75</c:v>
                </c:pt>
                <c:pt idx="232">
                  <c:v>1.75</c:v>
                </c:pt>
                <c:pt idx="233">
                  <c:v>1.75</c:v>
                </c:pt>
                <c:pt idx="234" formatCode="General">
                  <c:v>1.75</c:v>
                </c:pt>
                <c:pt idx="235" formatCode="General">
                  <c:v>1.75</c:v>
                </c:pt>
                <c:pt idx="236" formatCode="General">
                  <c:v>1.75</c:v>
                </c:pt>
                <c:pt idx="237" formatCode="General">
                  <c:v>1.75</c:v>
                </c:pt>
                <c:pt idx="238" formatCode="General">
                  <c:v>1.5</c:v>
                </c:pt>
                <c:pt idx="239" formatCode="General">
                  <c:v>1.5</c:v>
                </c:pt>
                <c:pt idx="240" formatCode="General">
                  <c:v>1.5</c:v>
                </c:pt>
                <c:pt idx="241" formatCode="General">
                  <c:v>1.5</c:v>
                </c:pt>
                <c:pt idx="242" formatCode="General">
                  <c:v>1.5</c:v>
                </c:pt>
                <c:pt idx="243" formatCode="General">
                  <c:v>1.5</c:v>
                </c:pt>
                <c:pt idx="244" formatCode="General">
                  <c:v>1.5</c:v>
                </c:pt>
                <c:pt idx="245" formatCode="General">
                  <c:v>1.5</c:v>
                </c:pt>
                <c:pt idx="246" formatCode="General">
                  <c:v>1.5</c:v>
                </c:pt>
                <c:pt idx="247" formatCode="General">
                  <c:v>1.5</c:v>
                </c:pt>
                <c:pt idx="248" formatCode="General">
                  <c:v>1.5</c:v>
                </c:pt>
                <c:pt idx="249" formatCode="General">
                  <c:v>1.5</c:v>
                </c:pt>
                <c:pt idx="250" formatCode="General">
                  <c:v>1.5</c:v>
                </c:pt>
                <c:pt idx="251" formatCode="General">
                  <c:v>1.5</c:v>
                </c:pt>
                <c:pt idx="252" formatCode="General">
                  <c:v>1.5</c:v>
                </c:pt>
                <c:pt idx="253" formatCode="General">
                  <c:v>1.5</c:v>
                </c:pt>
                <c:pt idx="254" formatCode="General">
                  <c:v>1.5</c:v>
                </c:pt>
                <c:pt idx="255" formatCode="General">
                  <c:v>1.5</c:v>
                </c:pt>
                <c:pt idx="256" formatCode="General">
                  <c:v>1.5</c:v>
                </c:pt>
                <c:pt idx="257" formatCode="General">
                  <c:v>1.5</c:v>
                </c:pt>
                <c:pt idx="258" formatCode="General">
                  <c:v>1.5</c:v>
                </c:pt>
                <c:pt idx="259" formatCode="General">
                  <c:v>1.5</c:v>
                </c:pt>
                <c:pt idx="260" formatCode="General">
                  <c:v>1.5</c:v>
                </c:pt>
                <c:pt idx="261" formatCode="General">
                  <c:v>1.5</c:v>
                </c:pt>
                <c:pt idx="262" formatCode="General">
                  <c:v>1.5</c:v>
                </c:pt>
                <c:pt idx="263" formatCode="General">
                  <c:v>1.5</c:v>
                </c:pt>
                <c:pt idx="264" formatCode="General">
                  <c:v>1.5</c:v>
                </c:pt>
                <c:pt idx="265" formatCode="General">
                  <c:v>1.5</c:v>
                </c:pt>
                <c:pt idx="266" formatCode="General">
                  <c:v>1.5</c:v>
                </c:pt>
                <c:pt idx="267" formatCode="General">
                  <c:v>1.5</c:v>
                </c:pt>
                <c:pt idx="268" formatCode="General">
                  <c:v>1.5</c:v>
                </c:pt>
                <c:pt idx="269" formatCode="General">
                  <c:v>1.5</c:v>
                </c:pt>
                <c:pt idx="270" formatCode="General">
                  <c:v>1.5</c:v>
                </c:pt>
                <c:pt idx="271" formatCode="General">
                  <c:v>1.5</c:v>
                </c:pt>
                <c:pt idx="272" formatCode="General">
                  <c:v>1.5</c:v>
                </c:pt>
                <c:pt idx="273" formatCode="General">
                  <c:v>1.5</c:v>
                </c:pt>
                <c:pt idx="274" formatCode="General">
                  <c:v>1.5</c:v>
                </c:pt>
                <c:pt idx="275" formatCode="General">
                  <c:v>1.5</c:v>
                </c:pt>
                <c:pt idx="276" formatCode="General">
                  <c:v>1.5</c:v>
                </c:pt>
                <c:pt idx="277" formatCode="General">
                  <c:v>1.5</c:v>
                </c:pt>
                <c:pt idx="278" formatCode="General">
                  <c:v>1.5</c:v>
                </c:pt>
                <c:pt idx="279" formatCode="General">
                  <c:v>1.5</c:v>
                </c:pt>
                <c:pt idx="280" formatCode="General">
                  <c:v>1.5</c:v>
                </c:pt>
                <c:pt idx="281" formatCode="General">
                  <c:v>1.5</c:v>
                </c:pt>
                <c:pt idx="282" formatCode="General">
                  <c:v>1.5</c:v>
                </c:pt>
                <c:pt idx="283" formatCode="General">
                  <c:v>1.5</c:v>
                </c:pt>
                <c:pt idx="284" formatCode="General">
                  <c:v>1.5</c:v>
                </c:pt>
                <c:pt idx="285" formatCode="General">
                  <c:v>1.5</c:v>
                </c:pt>
                <c:pt idx="286" formatCode="General">
                  <c:v>1.5</c:v>
                </c:pt>
                <c:pt idx="287" formatCode="General">
                  <c:v>1.5</c:v>
                </c:pt>
                <c:pt idx="288" formatCode="General">
                  <c:v>1.5</c:v>
                </c:pt>
                <c:pt idx="289" formatCode="General">
                  <c:v>1.5</c:v>
                </c:pt>
                <c:pt idx="290" formatCode="General">
                  <c:v>1.5</c:v>
                </c:pt>
                <c:pt idx="291" formatCode="General">
                  <c:v>1.5</c:v>
                </c:pt>
                <c:pt idx="292" formatCode="General">
                  <c:v>1.5</c:v>
                </c:pt>
                <c:pt idx="293" formatCode="General">
                  <c:v>1.5</c:v>
                </c:pt>
                <c:pt idx="294" formatCode="General">
                  <c:v>1.5</c:v>
                </c:pt>
                <c:pt idx="295" formatCode="General">
                  <c:v>1.5</c:v>
                </c:pt>
                <c:pt idx="296" formatCode="General">
                  <c:v>1.5</c:v>
                </c:pt>
                <c:pt idx="297" formatCode="General">
                  <c:v>1.5</c:v>
                </c:pt>
                <c:pt idx="298" formatCode="General">
                  <c:v>1.5</c:v>
                </c:pt>
                <c:pt idx="299" formatCode="General">
                  <c:v>1.5</c:v>
                </c:pt>
                <c:pt idx="300" formatCode="General">
                  <c:v>1.5</c:v>
                </c:pt>
                <c:pt idx="301" formatCode="General">
                  <c:v>1.5</c:v>
                </c:pt>
                <c:pt idx="302" formatCode="General">
                  <c:v>1.5</c:v>
                </c:pt>
                <c:pt idx="303" formatCode="General">
                  <c:v>1.5</c:v>
                </c:pt>
                <c:pt idx="304" formatCode="General">
                  <c:v>1.5</c:v>
                </c:pt>
                <c:pt idx="305" formatCode="General">
                  <c:v>1.5</c:v>
                </c:pt>
                <c:pt idx="306" formatCode="General">
                  <c:v>1.5</c:v>
                </c:pt>
                <c:pt idx="307" formatCode="General">
                  <c:v>1.5</c:v>
                </c:pt>
                <c:pt idx="308" formatCode="General">
                  <c:v>1.5</c:v>
                </c:pt>
                <c:pt idx="309" formatCode="General">
                  <c:v>1.5</c:v>
                </c:pt>
                <c:pt idx="310" formatCode="General">
                  <c:v>1.5</c:v>
                </c:pt>
                <c:pt idx="311" formatCode="General">
                  <c:v>1.5</c:v>
                </c:pt>
                <c:pt idx="312" formatCode="General">
                  <c:v>1.5</c:v>
                </c:pt>
                <c:pt idx="313" formatCode="General">
                  <c:v>1.5</c:v>
                </c:pt>
                <c:pt idx="314" formatCode="General">
                  <c:v>1.5</c:v>
                </c:pt>
                <c:pt idx="315" formatCode="General">
                  <c:v>1.5</c:v>
                </c:pt>
                <c:pt idx="316" formatCode="General">
                  <c:v>1.5</c:v>
                </c:pt>
                <c:pt idx="317" formatCode="General">
                  <c:v>1.5</c:v>
                </c:pt>
                <c:pt idx="318" formatCode="General">
                  <c:v>1.5</c:v>
                </c:pt>
                <c:pt idx="319" formatCode="General">
                  <c:v>1.5</c:v>
                </c:pt>
                <c:pt idx="320" formatCode="General">
                  <c:v>1.5</c:v>
                </c:pt>
                <c:pt idx="321" formatCode="General">
                  <c:v>1.5</c:v>
                </c:pt>
                <c:pt idx="322" formatCode="General">
                  <c:v>1.5</c:v>
                </c:pt>
                <c:pt idx="323" formatCode="General">
                  <c:v>1.5</c:v>
                </c:pt>
                <c:pt idx="324" formatCode="General">
                  <c:v>1.5</c:v>
                </c:pt>
                <c:pt idx="325" formatCode="General">
                  <c:v>1.5</c:v>
                </c:pt>
                <c:pt idx="326" formatCode="General">
                  <c:v>1.5</c:v>
                </c:pt>
                <c:pt idx="327" formatCode="General">
                  <c:v>1.5</c:v>
                </c:pt>
                <c:pt idx="328" formatCode="General">
                  <c:v>1.5</c:v>
                </c:pt>
                <c:pt idx="329" formatCode="General">
                  <c:v>1.5</c:v>
                </c:pt>
                <c:pt idx="330" formatCode="General">
                  <c:v>1.5</c:v>
                </c:pt>
                <c:pt idx="331" formatCode="General">
                  <c:v>1.5</c:v>
                </c:pt>
                <c:pt idx="332" formatCode="General">
                  <c:v>1.5</c:v>
                </c:pt>
                <c:pt idx="333" formatCode="General">
                  <c:v>1.5</c:v>
                </c:pt>
                <c:pt idx="334" formatCode="General">
                  <c:v>1.5</c:v>
                </c:pt>
                <c:pt idx="335" formatCode="General">
                  <c:v>1.5</c:v>
                </c:pt>
                <c:pt idx="336" formatCode="General">
                  <c:v>1.5</c:v>
                </c:pt>
                <c:pt idx="337" formatCode="General">
                  <c:v>1.5</c:v>
                </c:pt>
                <c:pt idx="338" formatCode="General">
                  <c:v>1.5</c:v>
                </c:pt>
                <c:pt idx="339" formatCode="General">
                  <c:v>1.5</c:v>
                </c:pt>
                <c:pt idx="340" formatCode="General">
                  <c:v>1.5</c:v>
                </c:pt>
                <c:pt idx="341" formatCode="General">
                  <c:v>1.5</c:v>
                </c:pt>
                <c:pt idx="342" formatCode="General">
                  <c:v>1.5</c:v>
                </c:pt>
                <c:pt idx="343" formatCode="General">
                  <c:v>1.5</c:v>
                </c:pt>
                <c:pt idx="344" formatCode="General">
                  <c:v>1.5</c:v>
                </c:pt>
                <c:pt idx="345" formatCode="General">
                  <c:v>1.5</c:v>
                </c:pt>
                <c:pt idx="346" formatCode="General">
                  <c:v>1.5</c:v>
                </c:pt>
                <c:pt idx="347" formatCode="General">
                  <c:v>1.5</c:v>
                </c:pt>
                <c:pt idx="348" formatCode="General">
                  <c:v>1.5</c:v>
                </c:pt>
                <c:pt idx="349" formatCode="General">
                  <c:v>1.5</c:v>
                </c:pt>
                <c:pt idx="350" formatCode="General">
                  <c:v>1.5</c:v>
                </c:pt>
                <c:pt idx="351" formatCode="General">
                  <c:v>1.5</c:v>
                </c:pt>
                <c:pt idx="352" formatCode="General">
                  <c:v>1.5</c:v>
                </c:pt>
                <c:pt idx="353" formatCode="General">
                  <c:v>1.5</c:v>
                </c:pt>
                <c:pt idx="354" formatCode="General">
                  <c:v>1.5</c:v>
                </c:pt>
                <c:pt idx="355" formatCode="General">
                  <c:v>1.5</c:v>
                </c:pt>
                <c:pt idx="356" formatCode="General">
                  <c:v>1.5</c:v>
                </c:pt>
                <c:pt idx="357" formatCode="General">
                  <c:v>1.5</c:v>
                </c:pt>
                <c:pt idx="358" formatCode="General">
                  <c:v>1.5</c:v>
                </c:pt>
                <c:pt idx="359" formatCode="General">
                  <c:v>1.5</c:v>
                </c:pt>
                <c:pt idx="360" formatCode="General">
                  <c:v>1.5</c:v>
                </c:pt>
                <c:pt idx="361" formatCode="General">
                  <c:v>1.5</c:v>
                </c:pt>
                <c:pt idx="362" formatCode="General">
                  <c:v>1.5</c:v>
                </c:pt>
                <c:pt idx="363" formatCode="General">
                  <c:v>1.5</c:v>
                </c:pt>
                <c:pt idx="364" formatCode="General">
                  <c:v>1.5</c:v>
                </c:pt>
                <c:pt idx="365" formatCode="General">
                  <c:v>1.5</c:v>
                </c:pt>
                <c:pt idx="366" formatCode="General">
                  <c:v>1.5</c:v>
                </c:pt>
                <c:pt idx="367" formatCode="General">
                  <c:v>1.5</c:v>
                </c:pt>
                <c:pt idx="368" formatCode="General">
                  <c:v>1.5</c:v>
                </c:pt>
                <c:pt idx="369" formatCode="General">
                  <c:v>1.5</c:v>
                </c:pt>
                <c:pt idx="370" formatCode="General">
                  <c:v>1.5</c:v>
                </c:pt>
                <c:pt idx="371" formatCode="General">
                  <c:v>1.5</c:v>
                </c:pt>
                <c:pt idx="372" formatCode="General">
                  <c:v>1.5</c:v>
                </c:pt>
                <c:pt idx="373" formatCode="General">
                  <c:v>1.5</c:v>
                </c:pt>
                <c:pt idx="374" formatCode="General">
                  <c:v>1.5</c:v>
                </c:pt>
                <c:pt idx="375" formatCode="General">
                  <c:v>1.5</c:v>
                </c:pt>
                <c:pt idx="376" formatCode="General">
                  <c:v>1.5</c:v>
                </c:pt>
                <c:pt idx="377" formatCode="General">
                  <c:v>1.5</c:v>
                </c:pt>
                <c:pt idx="378" formatCode="General">
                  <c:v>1.5</c:v>
                </c:pt>
                <c:pt idx="379" formatCode="General">
                  <c:v>1.5</c:v>
                </c:pt>
                <c:pt idx="380" formatCode="General">
                  <c:v>1.5</c:v>
                </c:pt>
                <c:pt idx="381" formatCode="General">
                  <c:v>1.5</c:v>
                </c:pt>
                <c:pt idx="382" formatCode="General">
                  <c:v>1.5</c:v>
                </c:pt>
                <c:pt idx="383" formatCode="General">
                  <c:v>1.5</c:v>
                </c:pt>
                <c:pt idx="384" formatCode="General">
                  <c:v>1.5</c:v>
                </c:pt>
                <c:pt idx="385" formatCode="General">
                  <c:v>1.5</c:v>
                </c:pt>
                <c:pt idx="386" formatCode="General">
                  <c:v>1.5</c:v>
                </c:pt>
                <c:pt idx="387" formatCode="General">
                  <c:v>1.5</c:v>
                </c:pt>
                <c:pt idx="388" formatCode="General">
                  <c:v>1.5</c:v>
                </c:pt>
                <c:pt idx="389" formatCode="General">
                  <c:v>1.5</c:v>
                </c:pt>
                <c:pt idx="390" formatCode="General">
                  <c:v>1.5</c:v>
                </c:pt>
                <c:pt idx="391" formatCode="General">
                  <c:v>1.5</c:v>
                </c:pt>
                <c:pt idx="392" formatCode="General">
                  <c:v>1.5</c:v>
                </c:pt>
                <c:pt idx="393" formatCode="General">
                  <c:v>1.5</c:v>
                </c:pt>
                <c:pt idx="394" formatCode="General">
                  <c:v>1.5</c:v>
                </c:pt>
                <c:pt idx="395" formatCode="General">
                  <c:v>1.5</c:v>
                </c:pt>
                <c:pt idx="396" formatCode="General">
                  <c:v>1.5</c:v>
                </c:pt>
                <c:pt idx="397" formatCode="General">
                  <c:v>1.5</c:v>
                </c:pt>
                <c:pt idx="398" formatCode="General">
                  <c:v>1.5</c:v>
                </c:pt>
                <c:pt idx="399" formatCode="General">
                  <c:v>1.5</c:v>
                </c:pt>
                <c:pt idx="400" formatCode="General">
                  <c:v>1.5</c:v>
                </c:pt>
                <c:pt idx="401" formatCode="General">
                  <c:v>1.5</c:v>
                </c:pt>
                <c:pt idx="402" formatCode="General">
                  <c:v>5</c:v>
                </c:pt>
                <c:pt idx="403" formatCode="General">
                  <c:v>5</c:v>
                </c:pt>
                <c:pt idx="404" formatCode="General">
                  <c:v>5</c:v>
                </c:pt>
                <c:pt idx="405" formatCode="General">
                  <c:v>5</c:v>
                </c:pt>
                <c:pt idx="406" formatCode="General">
                  <c:v>5</c:v>
                </c:pt>
                <c:pt idx="407" formatCode="General">
                  <c:v>5</c:v>
                </c:pt>
                <c:pt idx="408" formatCode="General">
                  <c:v>5</c:v>
                </c:pt>
                <c:pt idx="409" formatCode="General">
                  <c:v>5</c:v>
                </c:pt>
                <c:pt idx="410" formatCode="General">
                  <c:v>5</c:v>
                </c:pt>
                <c:pt idx="411" formatCode="General">
                  <c:v>5</c:v>
                </c:pt>
                <c:pt idx="412" formatCode="General">
                  <c:v>5</c:v>
                </c:pt>
                <c:pt idx="413" formatCode="General">
                  <c:v>5</c:v>
                </c:pt>
                <c:pt idx="414" formatCode="General">
                  <c:v>5</c:v>
                </c:pt>
                <c:pt idx="415" formatCode="General">
                  <c:v>5</c:v>
                </c:pt>
                <c:pt idx="416" formatCode="General">
                  <c:v>5</c:v>
                </c:pt>
                <c:pt idx="417" formatCode="General">
                  <c:v>5</c:v>
                </c:pt>
                <c:pt idx="418" formatCode="General">
                  <c:v>5</c:v>
                </c:pt>
                <c:pt idx="419" formatCode="General">
                  <c:v>5</c:v>
                </c:pt>
                <c:pt idx="420" formatCode="General">
                  <c:v>5</c:v>
                </c:pt>
                <c:pt idx="421" formatCode="General">
                  <c:v>5</c:v>
                </c:pt>
                <c:pt idx="422" formatCode="General">
                  <c:v>5</c:v>
                </c:pt>
                <c:pt idx="423" formatCode="General">
                  <c:v>5</c:v>
                </c:pt>
                <c:pt idx="424" formatCode="General">
                  <c:v>5</c:v>
                </c:pt>
                <c:pt idx="425" formatCode="General">
                  <c:v>5</c:v>
                </c:pt>
                <c:pt idx="426" formatCode="General">
                  <c:v>5</c:v>
                </c:pt>
                <c:pt idx="427" formatCode="General">
                  <c:v>5</c:v>
                </c:pt>
                <c:pt idx="428" formatCode="General">
                  <c:v>5</c:v>
                </c:pt>
                <c:pt idx="429" formatCode="General">
                  <c:v>5</c:v>
                </c:pt>
                <c:pt idx="430" formatCode="General">
                  <c:v>5</c:v>
                </c:pt>
                <c:pt idx="431" formatCode="General">
                  <c:v>5</c:v>
                </c:pt>
                <c:pt idx="432" formatCode="General">
                  <c:v>5</c:v>
                </c:pt>
                <c:pt idx="433" formatCode="General">
                  <c:v>5</c:v>
                </c:pt>
                <c:pt idx="434" formatCode="General">
                  <c:v>5</c:v>
                </c:pt>
                <c:pt idx="435" formatCode="General">
                  <c:v>5</c:v>
                </c:pt>
                <c:pt idx="436" formatCode="General">
                  <c:v>5</c:v>
                </c:pt>
                <c:pt idx="437" formatCode="General">
                  <c:v>5</c:v>
                </c:pt>
                <c:pt idx="438" formatCode="General">
                  <c:v>5</c:v>
                </c:pt>
                <c:pt idx="439" formatCode="General">
                  <c:v>5</c:v>
                </c:pt>
                <c:pt idx="440" formatCode="General">
                  <c:v>5</c:v>
                </c:pt>
                <c:pt idx="441" formatCode="General">
                  <c:v>5</c:v>
                </c:pt>
                <c:pt idx="442" formatCode="General">
                  <c:v>5</c:v>
                </c:pt>
                <c:pt idx="443" formatCode="General">
                  <c:v>5</c:v>
                </c:pt>
                <c:pt idx="444" formatCode="General">
                  <c:v>5</c:v>
                </c:pt>
                <c:pt idx="445" formatCode="General">
                  <c:v>5</c:v>
                </c:pt>
                <c:pt idx="446" formatCode="General">
                  <c:v>5</c:v>
                </c:pt>
                <c:pt idx="447" formatCode="General">
                  <c:v>5</c:v>
                </c:pt>
                <c:pt idx="448" formatCode="General">
                  <c:v>5</c:v>
                </c:pt>
                <c:pt idx="449" formatCode="General">
                  <c:v>5</c:v>
                </c:pt>
                <c:pt idx="450" formatCode="General">
                  <c:v>5</c:v>
                </c:pt>
                <c:pt idx="451" formatCode="General">
                  <c:v>5</c:v>
                </c:pt>
                <c:pt idx="452" formatCode="General">
                  <c:v>5</c:v>
                </c:pt>
                <c:pt idx="453" formatCode="General">
                  <c:v>5</c:v>
                </c:pt>
                <c:pt idx="454" formatCode="General">
                  <c:v>5</c:v>
                </c:pt>
                <c:pt idx="455" formatCode="General">
                  <c:v>5</c:v>
                </c:pt>
                <c:pt idx="456" formatCode="General">
                  <c:v>5</c:v>
                </c:pt>
                <c:pt idx="457" formatCode="General">
                  <c:v>5</c:v>
                </c:pt>
                <c:pt idx="458" formatCode="General">
                  <c:v>5</c:v>
                </c:pt>
                <c:pt idx="459" formatCode="General">
                  <c:v>5</c:v>
                </c:pt>
                <c:pt idx="460" formatCode="General">
                  <c:v>5</c:v>
                </c:pt>
                <c:pt idx="461" formatCode="General">
                  <c:v>5</c:v>
                </c:pt>
                <c:pt idx="462" formatCode="General">
                  <c:v>5</c:v>
                </c:pt>
                <c:pt idx="463" formatCode="General">
                  <c:v>5</c:v>
                </c:pt>
                <c:pt idx="464" formatCode="General">
                  <c:v>5</c:v>
                </c:pt>
                <c:pt idx="465" formatCode="General">
                  <c:v>5</c:v>
                </c:pt>
                <c:pt idx="466" formatCode="General">
                  <c:v>5</c:v>
                </c:pt>
                <c:pt idx="467" formatCode="General">
                  <c:v>5</c:v>
                </c:pt>
                <c:pt idx="468" formatCode="General">
                  <c:v>5</c:v>
                </c:pt>
                <c:pt idx="469" formatCode="General">
                  <c:v>5</c:v>
                </c:pt>
                <c:pt idx="470" formatCode="General">
                  <c:v>5</c:v>
                </c:pt>
                <c:pt idx="471" formatCode="General">
                  <c:v>5</c:v>
                </c:pt>
                <c:pt idx="472" formatCode="General">
                  <c:v>5</c:v>
                </c:pt>
                <c:pt idx="473" formatCode="General">
                  <c:v>5</c:v>
                </c:pt>
                <c:pt idx="474" formatCode="General">
                  <c:v>5</c:v>
                </c:pt>
                <c:pt idx="475" formatCode="General">
                  <c:v>5</c:v>
                </c:pt>
                <c:pt idx="476" formatCode="General">
                  <c:v>5</c:v>
                </c:pt>
                <c:pt idx="477" formatCode="General">
                  <c:v>5</c:v>
                </c:pt>
                <c:pt idx="478" formatCode="General">
                  <c:v>5</c:v>
                </c:pt>
                <c:pt idx="479" formatCode="General">
                  <c:v>5</c:v>
                </c:pt>
                <c:pt idx="480" formatCode="General">
                  <c:v>5</c:v>
                </c:pt>
                <c:pt idx="481" formatCode="General">
                  <c:v>5</c:v>
                </c:pt>
                <c:pt idx="482" formatCode="General">
                  <c:v>5</c:v>
                </c:pt>
                <c:pt idx="483" formatCode="General">
                  <c:v>5</c:v>
                </c:pt>
                <c:pt idx="484" formatCode="General">
                  <c:v>5</c:v>
                </c:pt>
                <c:pt idx="485" formatCode="General">
                  <c:v>5</c:v>
                </c:pt>
                <c:pt idx="486" formatCode="General">
                  <c:v>5</c:v>
                </c:pt>
                <c:pt idx="487" formatCode="General">
                  <c:v>5</c:v>
                </c:pt>
                <c:pt idx="488" formatCode="General">
                  <c:v>5</c:v>
                </c:pt>
                <c:pt idx="489" formatCode="General">
                  <c:v>5</c:v>
                </c:pt>
                <c:pt idx="490" formatCode="General">
                  <c:v>5</c:v>
                </c:pt>
                <c:pt idx="491" formatCode="General">
                  <c:v>5</c:v>
                </c:pt>
                <c:pt idx="492" formatCode="General">
                  <c:v>5</c:v>
                </c:pt>
                <c:pt idx="493" formatCode="General">
                  <c:v>5</c:v>
                </c:pt>
                <c:pt idx="494" formatCode="General">
                  <c:v>5</c:v>
                </c:pt>
                <c:pt idx="495" formatCode="General">
                  <c:v>5</c:v>
                </c:pt>
                <c:pt idx="496" formatCode="General">
                  <c:v>5</c:v>
                </c:pt>
                <c:pt idx="497" formatCode="General">
                  <c:v>5</c:v>
                </c:pt>
                <c:pt idx="498" formatCode="General">
                  <c:v>5</c:v>
                </c:pt>
                <c:pt idx="499" formatCode="General">
                  <c:v>5</c:v>
                </c:pt>
                <c:pt idx="500" formatCode="General">
                  <c:v>5</c:v>
                </c:pt>
                <c:pt idx="501" formatCode="General">
                  <c:v>5</c:v>
                </c:pt>
                <c:pt idx="502" formatCode="General">
                  <c:v>5</c:v>
                </c:pt>
                <c:pt idx="503" formatCode="General">
                  <c:v>5</c:v>
                </c:pt>
                <c:pt idx="504" formatCode="General">
                  <c:v>5</c:v>
                </c:pt>
                <c:pt idx="505" formatCode="General">
                  <c:v>5</c:v>
                </c:pt>
                <c:pt idx="506" formatCode="General">
                  <c:v>5</c:v>
                </c:pt>
                <c:pt idx="507" formatCode="General">
                  <c:v>5</c:v>
                </c:pt>
                <c:pt idx="508" formatCode="General">
                  <c:v>5</c:v>
                </c:pt>
                <c:pt idx="509" formatCode="General">
                  <c:v>5</c:v>
                </c:pt>
                <c:pt idx="510" formatCode="General">
                  <c:v>5</c:v>
                </c:pt>
                <c:pt idx="511" formatCode="General">
                  <c:v>5</c:v>
                </c:pt>
                <c:pt idx="512" formatCode="General">
                  <c:v>5</c:v>
                </c:pt>
                <c:pt idx="513" formatCode="General">
                  <c:v>5</c:v>
                </c:pt>
                <c:pt idx="514" formatCode="General">
                  <c:v>5</c:v>
                </c:pt>
                <c:pt idx="515" formatCode="General">
                  <c:v>5</c:v>
                </c:pt>
                <c:pt idx="516" formatCode="General">
                  <c:v>5</c:v>
                </c:pt>
                <c:pt idx="517" formatCode="General">
                  <c:v>5</c:v>
                </c:pt>
                <c:pt idx="518" formatCode="General">
                  <c:v>5</c:v>
                </c:pt>
                <c:pt idx="519" formatCode="General">
                  <c:v>5</c:v>
                </c:pt>
                <c:pt idx="520" formatCode="General">
                  <c:v>5</c:v>
                </c:pt>
                <c:pt idx="521" formatCode="General">
                  <c:v>5</c:v>
                </c:pt>
                <c:pt idx="522" formatCode="General">
                  <c:v>5</c:v>
                </c:pt>
                <c:pt idx="523" formatCode="General">
                  <c:v>5</c:v>
                </c:pt>
                <c:pt idx="524" formatCode="General">
                  <c:v>5</c:v>
                </c:pt>
                <c:pt idx="525" formatCode="General">
                  <c:v>5</c:v>
                </c:pt>
                <c:pt idx="526" formatCode="General">
                  <c:v>5</c:v>
                </c:pt>
                <c:pt idx="527" formatCode="General">
                  <c:v>5</c:v>
                </c:pt>
                <c:pt idx="528" formatCode="General">
                  <c:v>5</c:v>
                </c:pt>
                <c:pt idx="529" formatCode="General">
                  <c:v>5</c:v>
                </c:pt>
                <c:pt idx="530" formatCode="General">
                  <c:v>5</c:v>
                </c:pt>
                <c:pt idx="531" formatCode="General">
                  <c:v>5</c:v>
                </c:pt>
                <c:pt idx="532" formatCode="General">
                  <c:v>5</c:v>
                </c:pt>
                <c:pt idx="533" formatCode="General">
                  <c:v>5</c:v>
                </c:pt>
                <c:pt idx="534" formatCode="General">
                  <c:v>5</c:v>
                </c:pt>
                <c:pt idx="535" formatCode="General">
                  <c:v>5</c:v>
                </c:pt>
                <c:pt idx="536" formatCode="General">
                  <c:v>5</c:v>
                </c:pt>
                <c:pt idx="537" formatCode="General">
                  <c:v>5</c:v>
                </c:pt>
                <c:pt idx="538" formatCode="General">
                  <c:v>5</c:v>
                </c:pt>
                <c:pt idx="539" formatCode="General">
                  <c:v>5</c:v>
                </c:pt>
                <c:pt idx="540" formatCode="General">
                  <c:v>5</c:v>
                </c:pt>
                <c:pt idx="541" formatCode="General">
                  <c:v>5</c:v>
                </c:pt>
                <c:pt idx="542" formatCode="General">
                  <c:v>5</c:v>
                </c:pt>
                <c:pt idx="543" formatCode="General">
                  <c:v>5</c:v>
                </c:pt>
                <c:pt idx="544" formatCode="General">
                  <c:v>5</c:v>
                </c:pt>
                <c:pt idx="545" formatCode="General">
                  <c:v>5</c:v>
                </c:pt>
                <c:pt idx="546" formatCode="General">
                  <c:v>5</c:v>
                </c:pt>
                <c:pt idx="547" formatCode="General">
                  <c:v>5</c:v>
                </c:pt>
                <c:pt idx="548" formatCode="General">
                  <c:v>5</c:v>
                </c:pt>
                <c:pt idx="549" formatCode="General">
                  <c:v>5</c:v>
                </c:pt>
                <c:pt idx="550" formatCode="General">
                  <c:v>5</c:v>
                </c:pt>
                <c:pt idx="551" formatCode="General">
                  <c:v>5</c:v>
                </c:pt>
                <c:pt idx="552" formatCode="General">
                  <c:v>5</c:v>
                </c:pt>
                <c:pt idx="553" formatCode="General">
                  <c:v>5</c:v>
                </c:pt>
                <c:pt idx="554" formatCode="General">
                  <c:v>5</c:v>
                </c:pt>
                <c:pt idx="555" formatCode="General">
                  <c:v>5</c:v>
                </c:pt>
                <c:pt idx="556" formatCode="General">
                  <c:v>5</c:v>
                </c:pt>
                <c:pt idx="557" formatCode="General">
                  <c:v>5</c:v>
                </c:pt>
                <c:pt idx="558" formatCode="General">
                  <c:v>5</c:v>
                </c:pt>
                <c:pt idx="559" formatCode="General">
                  <c:v>5</c:v>
                </c:pt>
                <c:pt idx="560" formatCode="General">
                  <c:v>5</c:v>
                </c:pt>
                <c:pt idx="561" formatCode="General">
                  <c:v>5</c:v>
                </c:pt>
                <c:pt idx="562" formatCode="General">
                  <c:v>5</c:v>
                </c:pt>
                <c:pt idx="563" formatCode="General">
                  <c:v>5</c:v>
                </c:pt>
                <c:pt idx="564" formatCode="General">
                  <c:v>5</c:v>
                </c:pt>
                <c:pt idx="565" formatCode="General">
                  <c:v>5</c:v>
                </c:pt>
                <c:pt idx="566" formatCode="General">
                  <c:v>5</c:v>
                </c:pt>
                <c:pt idx="567" formatCode="General">
                  <c:v>5</c:v>
                </c:pt>
                <c:pt idx="568" formatCode="General">
                  <c:v>5</c:v>
                </c:pt>
                <c:pt idx="569" formatCode="General">
                  <c:v>5</c:v>
                </c:pt>
                <c:pt idx="570" formatCode="General">
                  <c:v>5</c:v>
                </c:pt>
                <c:pt idx="571" formatCode="General">
                  <c:v>5</c:v>
                </c:pt>
                <c:pt idx="572" formatCode="General">
                  <c:v>5</c:v>
                </c:pt>
                <c:pt idx="573" formatCode="General">
                  <c:v>5</c:v>
                </c:pt>
                <c:pt idx="574" formatCode="General">
                  <c:v>5</c:v>
                </c:pt>
                <c:pt idx="575" formatCode="General">
                  <c:v>5</c:v>
                </c:pt>
                <c:pt idx="576" formatCode="General">
                  <c:v>5</c:v>
                </c:pt>
                <c:pt idx="577" formatCode="General">
                  <c:v>5</c:v>
                </c:pt>
                <c:pt idx="578" formatCode="General">
                  <c:v>5</c:v>
                </c:pt>
                <c:pt idx="579" formatCode="General">
                  <c:v>5</c:v>
                </c:pt>
                <c:pt idx="580" formatCode="General">
                  <c:v>5</c:v>
                </c:pt>
                <c:pt idx="581" formatCode="General">
                  <c:v>5</c:v>
                </c:pt>
                <c:pt idx="582" formatCode="General">
                  <c:v>5</c:v>
                </c:pt>
                <c:pt idx="583" formatCode="General">
                  <c:v>5</c:v>
                </c:pt>
                <c:pt idx="584" formatCode="General">
                  <c:v>5</c:v>
                </c:pt>
                <c:pt idx="585" formatCode="General">
                  <c:v>5</c:v>
                </c:pt>
                <c:pt idx="586" formatCode="General">
                  <c:v>5</c:v>
                </c:pt>
                <c:pt idx="587" formatCode="General">
                  <c:v>5</c:v>
                </c:pt>
                <c:pt idx="588" formatCode="General">
                  <c:v>5</c:v>
                </c:pt>
                <c:pt idx="589" formatCode="General">
                  <c:v>5</c:v>
                </c:pt>
                <c:pt idx="590" formatCode="General">
                  <c:v>5</c:v>
                </c:pt>
                <c:pt idx="591" formatCode="General">
                  <c:v>5</c:v>
                </c:pt>
                <c:pt idx="592" formatCode="General">
                  <c:v>5</c:v>
                </c:pt>
                <c:pt idx="593" formatCode="General">
                  <c:v>5</c:v>
                </c:pt>
                <c:pt idx="594" formatCode="General">
                  <c:v>5</c:v>
                </c:pt>
                <c:pt idx="595" formatCode="General">
                  <c:v>5</c:v>
                </c:pt>
                <c:pt idx="596" formatCode="General">
                  <c:v>5</c:v>
                </c:pt>
                <c:pt idx="597" formatCode="General">
                  <c:v>5</c:v>
                </c:pt>
                <c:pt idx="598" formatCode="General">
                  <c:v>5</c:v>
                </c:pt>
                <c:pt idx="599" formatCode="General">
                  <c:v>5</c:v>
                </c:pt>
                <c:pt idx="600" formatCode="General">
                  <c:v>5</c:v>
                </c:pt>
                <c:pt idx="601" formatCode="General">
                  <c:v>5</c:v>
                </c:pt>
                <c:pt idx="602" formatCode="General">
                  <c:v>5</c:v>
                </c:pt>
                <c:pt idx="603" formatCode="General">
                  <c:v>5</c:v>
                </c:pt>
                <c:pt idx="604" formatCode="General">
                  <c:v>5</c:v>
                </c:pt>
                <c:pt idx="605" formatCode="General">
                  <c:v>5</c:v>
                </c:pt>
                <c:pt idx="606" formatCode="General">
                  <c:v>5</c:v>
                </c:pt>
                <c:pt idx="607" formatCode="General">
                  <c:v>5</c:v>
                </c:pt>
                <c:pt idx="608" formatCode="General">
                  <c:v>5</c:v>
                </c:pt>
                <c:pt idx="609" formatCode="General">
                  <c:v>5</c:v>
                </c:pt>
                <c:pt idx="610" formatCode="General">
                  <c:v>5</c:v>
                </c:pt>
                <c:pt idx="611" formatCode="General">
                  <c:v>5</c:v>
                </c:pt>
                <c:pt idx="612" formatCode="General">
                  <c:v>5</c:v>
                </c:pt>
                <c:pt idx="613" formatCode="General">
                  <c:v>5</c:v>
                </c:pt>
                <c:pt idx="614" formatCode="General">
                  <c:v>5</c:v>
                </c:pt>
                <c:pt idx="615" formatCode="General">
                  <c:v>5</c:v>
                </c:pt>
                <c:pt idx="616" formatCode="General">
                  <c:v>5</c:v>
                </c:pt>
                <c:pt idx="617" formatCode="General">
                  <c:v>5</c:v>
                </c:pt>
                <c:pt idx="618" formatCode="General">
                  <c:v>5</c:v>
                </c:pt>
                <c:pt idx="619" formatCode="General">
                  <c:v>5</c:v>
                </c:pt>
                <c:pt idx="620" formatCode="General">
                  <c:v>5</c:v>
                </c:pt>
                <c:pt idx="621" formatCode="General">
                  <c:v>5</c:v>
                </c:pt>
                <c:pt idx="622" formatCode="General">
                  <c:v>5</c:v>
                </c:pt>
                <c:pt idx="623" formatCode="General">
                  <c:v>5</c:v>
                </c:pt>
                <c:pt idx="624" formatCode="General">
                  <c:v>5</c:v>
                </c:pt>
                <c:pt idx="625" formatCode="General">
                  <c:v>5</c:v>
                </c:pt>
                <c:pt idx="626" formatCode="General">
                  <c:v>5</c:v>
                </c:pt>
                <c:pt idx="627" formatCode="General">
                  <c:v>5</c:v>
                </c:pt>
                <c:pt idx="628" formatCode="General">
                  <c:v>5</c:v>
                </c:pt>
                <c:pt idx="629" formatCode="General">
                  <c:v>5</c:v>
                </c:pt>
                <c:pt idx="630" formatCode="General">
                  <c:v>5</c:v>
                </c:pt>
                <c:pt idx="631" formatCode="General">
                  <c:v>5</c:v>
                </c:pt>
                <c:pt idx="632" formatCode="General">
                  <c:v>5</c:v>
                </c:pt>
                <c:pt idx="633" formatCode="General">
                  <c:v>5</c:v>
                </c:pt>
                <c:pt idx="634" formatCode="General">
                  <c:v>5</c:v>
                </c:pt>
                <c:pt idx="635" formatCode="General">
                  <c:v>5</c:v>
                </c:pt>
                <c:pt idx="636" formatCode="General">
                  <c:v>5</c:v>
                </c:pt>
                <c:pt idx="637" formatCode="General">
                  <c:v>5</c:v>
                </c:pt>
                <c:pt idx="638" formatCode="General">
                  <c:v>5</c:v>
                </c:pt>
                <c:pt idx="639" formatCode="General">
                  <c:v>5</c:v>
                </c:pt>
                <c:pt idx="640" formatCode="General">
                  <c:v>5</c:v>
                </c:pt>
                <c:pt idx="641" formatCode="General">
                  <c:v>5</c:v>
                </c:pt>
                <c:pt idx="642" formatCode="General">
                  <c:v>5</c:v>
                </c:pt>
                <c:pt idx="643" formatCode="General">
                  <c:v>5</c:v>
                </c:pt>
                <c:pt idx="644" formatCode="General">
                  <c:v>5</c:v>
                </c:pt>
                <c:pt idx="645" formatCode="General">
                  <c:v>5</c:v>
                </c:pt>
                <c:pt idx="646" formatCode="General">
                  <c:v>5</c:v>
                </c:pt>
                <c:pt idx="647" formatCode="General">
                  <c:v>5</c:v>
                </c:pt>
                <c:pt idx="648" formatCode="General">
                  <c:v>5</c:v>
                </c:pt>
                <c:pt idx="649" formatCode="General">
                  <c:v>5</c:v>
                </c:pt>
                <c:pt idx="650" formatCode="General">
                  <c:v>5</c:v>
                </c:pt>
                <c:pt idx="651" formatCode="General">
                  <c:v>5</c:v>
                </c:pt>
                <c:pt idx="652" formatCode="General">
                  <c:v>5</c:v>
                </c:pt>
                <c:pt idx="653" formatCode="General">
                  <c:v>5</c:v>
                </c:pt>
                <c:pt idx="654" formatCode="General">
                  <c:v>5</c:v>
                </c:pt>
                <c:pt idx="655" formatCode="General">
                  <c:v>5</c:v>
                </c:pt>
                <c:pt idx="656" formatCode="General">
                  <c:v>5</c:v>
                </c:pt>
                <c:pt idx="657" formatCode="General">
                  <c:v>5</c:v>
                </c:pt>
                <c:pt idx="658" formatCode="General">
                  <c:v>5</c:v>
                </c:pt>
                <c:pt idx="659" formatCode="General">
                  <c:v>5</c:v>
                </c:pt>
                <c:pt idx="660" formatCode="General">
                  <c:v>5</c:v>
                </c:pt>
                <c:pt idx="661" formatCode="General">
                  <c:v>5</c:v>
                </c:pt>
                <c:pt idx="662" formatCode="General">
                  <c:v>5</c:v>
                </c:pt>
                <c:pt idx="663" formatCode="General">
                  <c:v>5</c:v>
                </c:pt>
                <c:pt idx="664" formatCode="General">
                  <c:v>5</c:v>
                </c:pt>
                <c:pt idx="665" formatCode="General">
                  <c:v>5</c:v>
                </c:pt>
                <c:pt idx="666" formatCode="General">
                  <c:v>5</c:v>
                </c:pt>
                <c:pt idx="667" formatCode="General">
                  <c:v>5</c:v>
                </c:pt>
                <c:pt idx="668" formatCode="General">
                  <c:v>5</c:v>
                </c:pt>
                <c:pt idx="669" formatCode="General">
                  <c:v>5</c:v>
                </c:pt>
                <c:pt idx="670" formatCode="General">
                  <c:v>5</c:v>
                </c:pt>
                <c:pt idx="671" formatCode="General">
                  <c:v>5</c:v>
                </c:pt>
                <c:pt idx="672" formatCode="General">
                  <c:v>5</c:v>
                </c:pt>
                <c:pt idx="673" formatCode="General">
                  <c:v>5</c:v>
                </c:pt>
                <c:pt idx="674" formatCode="General">
                  <c:v>5</c:v>
                </c:pt>
                <c:pt idx="675" formatCode="General">
                  <c:v>5</c:v>
                </c:pt>
                <c:pt idx="676" formatCode="General">
                  <c:v>5</c:v>
                </c:pt>
                <c:pt idx="677" formatCode="General">
                  <c:v>5</c:v>
                </c:pt>
                <c:pt idx="678" formatCode="General">
                  <c:v>5</c:v>
                </c:pt>
                <c:pt idx="679" formatCode="General">
                  <c:v>5</c:v>
                </c:pt>
                <c:pt idx="680" formatCode="General">
                  <c:v>5</c:v>
                </c:pt>
                <c:pt idx="681" formatCode="General">
                  <c:v>5</c:v>
                </c:pt>
                <c:pt idx="682" formatCode="General">
                  <c:v>5</c:v>
                </c:pt>
                <c:pt idx="683" formatCode="General">
                  <c:v>5</c:v>
                </c:pt>
                <c:pt idx="684" formatCode="General">
                  <c:v>5</c:v>
                </c:pt>
                <c:pt idx="685" formatCode="General">
                  <c:v>5</c:v>
                </c:pt>
                <c:pt idx="686" formatCode="General">
                  <c:v>5</c:v>
                </c:pt>
                <c:pt idx="687" formatCode="General">
                  <c:v>5</c:v>
                </c:pt>
                <c:pt idx="688" formatCode="General">
                  <c:v>5</c:v>
                </c:pt>
                <c:pt idx="689" formatCode="General">
                  <c:v>5</c:v>
                </c:pt>
                <c:pt idx="690" formatCode="General">
                  <c:v>5</c:v>
                </c:pt>
                <c:pt idx="691" formatCode="General">
                  <c:v>5</c:v>
                </c:pt>
              </c:numCache>
            </c:numRef>
          </c:val>
        </c:ser>
        <c:ser>
          <c:idx val="2"/>
          <c:order val="1"/>
          <c:tx>
            <c:strRef>
              <c:f>'Faiz Koridoru Veri'!$D$2</c:f>
              <c:strCache>
                <c:ptCount val="1"/>
                <c:pt idx="0">
                  <c:v>TCMB  Faiz Koridoru</c:v>
                </c:pt>
              </c:strCache>
            </c:strRef>
          </c:tx>
          <c:spPr>
            <a:solidFill>
              <a:schemeClr val="accent2">
                <a:lumMod val="60000"/>
                <a:lumOff val="40000"/>
              </a:schemeClr>
            </a:solidFill>
            <a:ln w="20198"/>
          </c:spPr>
          <c:cat>
            <c:numRef>
              <c:f>'Faiz Koridoru Veri'!$A$3:$A$694</c:f>
              <c:numCache>
                <c:formatCode>dd/mm/yyyy</c:formatCode>
                <c:ptCount val="692"/>
                <c:pt idx="0">
                  <c:v>40182</c:v>
                </c:pt>
                <c:pt idx="1">
                  <c:v>40183</c:v>
                </c:pt>
                <c:pt idx="2">
                  <c:v>40184</c:v>
                </c:pt>
                <c:pt idx="3">
                  <c:v>40185</c:v>
                </c:pt>
                <c:pt idx="4">
                  <c:v>40186</c:v>
                </c:pt>
                <c:pt idx="5">
                  <c:v>40189</c:v>
                </c:pt>
                <c:pt idx="6">
                  <c:v>40190</c:v>
                </c:pt>
                <c:pt idx="7">
                  <c:v>40191</c:v>
                </c:pt>
                <c:pt idx="8">
                  <c:v>40192</c:v>
                </c:pt>
                <c:pt idx="9">
                  <c:v>40193</c:v>
                </c:pt>
                <c:pt idx="10">
                  <c:v>40196</c:v>
                </c:pt>
                <c:pt idx="11">
                  <c:v>40197</c:v>
                </c:pt>
                <c:pt idx="12">
                  <c:v>40198</c:v>
                </c:pt>
                <c:pt idx="13">
                  <c:v>40199</c:v>
                </c:pt>
                <c:pt idx="14">
                  <c:v>40200</c:v>
                </c:pt>
                <c:pt idx="15">
                  <c:v>40203</c:v>
                </c:pt>
                <c:pt idx="16">
                  <c:v>40204</c:v>
                </c:pt>
                <c:pt idx="17">
                  <c:v>40205</c:v>
                </c:pt>
                <c:pt idx="18">
                  <c:v>40206</c:v>
                </c:pt>
                <c:pt idx="19">
                  <c:v>40207</c:v>
                </c:pt>
                <c:pt idx="20">
                  <c:v>40210</c:v>
                </c:pt>
                <c:pt idx="21">
                  <c:v>40211</c:v>
                </c:pt>
                <c:pt idx="22">
                  <c:v>40212</c:v>
                </c:pt>
                <c:pt idx="23">
                  <c:v>40213</c:v>
                </c:pt>
                <c:pt idx="24">
                  <c:v>40214</c:v>
                </c:pt>
                <c:pt idx="25">
                  <c:v>40217</c:v>
                </c:pt>
                <c:pt idx="26">
                  <c:v>40218</c:v>
                </c:pt>
                <c:pt idx="27">
                  <c:v>40219</c:v>
                </c:pt>
                <c:pt idx="28">
                  <c:v>40220</c:v>
                </c:pt>
                <c:pt idx="29">
                  <c:v>40221</c:v>
                </c:pt>
                <c:pt idx="30">
                  <c:v>40224</c:v>
                </c:pt>
                <c:pt idx="31">
                  <c:v>40225</c:v>
                </c:pt>
                <c:pt idx="32">
                  <c:v>40226</c:v>
                </c:pt>
                <c:pt idx="33">
                  <c:v>40227</c:v>
                </c:pt>
                <c:pt idx="34">
                  <c:v>40228</c:v>
                </c:pt>
                <c:pt idx="35">
                  <c:v>40231</c:v>
                </c:pt>
                <c:pt idx="36">
                  <c:v>40232</c:v>
                </c:pt>
                <c:pt idx="37">
                  <c:v>40233</c:v>
                </c:pt>
                <c:pt idx="38">
                  <c:v>40234</c:v>
                </c:pt>
                <c:pt idx="39">
                  <c:v>40235</c:v>
                </c:pt>
                <c:pt idx="40">
                  <c:v>40238</c:v>
                </c:pt>
                <c:pt idx="41">
                  <c:v>40239</c:v>
                </c:pt>
                <c:pt idx="42">
                  <c:v>40240</c:v>
                </c:pt>
                <c:pt idx="43">
                  <c:v>40241</c:v>
                </c:pt>
                <c:pt idx="44">
                  <c:v>40242</c:v>
                </c:pt>
                <c:pt idx="45">
                  <c:v>40245</c:v>
                </c:pt>
                <c:pt idx="46">
                  <c:v>40246</c:v>
                </c:pt>
                <c:pt idx="47">
                  <c:v>40247</c:v>
                </c:pt>
                <c:pt idx="48">
                  <c:v>40248</c:v>
                </c:pt>
                <c:pt idx="49">
                  <c:v>40249</c:v>
                </c:pt>
                <c:pt idx="50">
                  <c:v>40252</c:v>
                </c:pt>
                <c:pt idx="51">
                  <c:v>40253</c:v>
                </c:pt>
                <c:pt idx="52">
                  <c:v>40254</c:v>
                </c:pt>
                <c:pt idx="53">
                  <c:v>40255</c:v>
                </c:pt>
                <c:pt idx="54">
                  <c:v>40256</c:v>
                </c:pt>
                <c:pt idx="55">
                  <c:v>40259</c:v>
                </c:pt>
                <c:pt idx="56">
                  <c:v>40260</c:v>
                </c:pt>
                <c:pt idx="57">
                  <c:v>40261</c:v>
                </c:pt>
                <c:pt idx="58">
                  <c:v>40262</c:v>
                </c:pt>
                <c:pt idx="59">
                  <c:v>40263</c:v>
                </c:pt>
                <c:pt idx="60">
                  <c:v>40266</c:v>
                </c:pt>
                <c:pt idx="61">
                  <c:v>40267</c:v>
                </c:pt>
                <c:pt idx="62">
                  <c:v>40268</c:v>
                </c:pt>
                <c:pt idx="63">
                  <c:v>40269</c:v>
                </c:pt>
                <c:pt idx="64">
                  <c:v>40270</c:v>
                </c:pt>
                <c:pt idx="65">
                  <c:v>40273</c:v>
                </c:pt>
                <c:pt idx="66">
                  <c:v>40274</c:v>
                </c:pt>
                <c:pt idx="67">
                  <c:v>40275</c:v>
                </c:pt>
                <c:pt idx="68">
                  <c:v>40276</c:v>
                </c:pt>
                <c:pt idx="69">
                  <c:v>40277</c:v>
                </c:pt>
                <c:pt idx="70">
                  <c:v>40280</c:v>
                </c:pt>
                <c:pt idx="71">
                  <c:v>40281</c:v>
                </c:pt>
                <c:pt idx="72">
                  <c:v>40282</c:v>
                </c:pt>
                <c:pt idx="73">
                  <c:v>40283</c:v>
                </c:pt>
                <c:pt idx="74">
                  <c:v>40284</c:v>
                </c:pt>
                <c:pt idx="75">
                  <c:v>40287</c:v>
                </c:pt>
                <c:pt idx="76">
                  <c:v>40288</c:v>
                </c:pt>
                <c:pt idx="77">
                  <c:v>40289</c:v>
                </c:pt>
                <c:pt idx="78">
                  <c:v>40290</c:v>
                </c:pt>
                <c:pt idx="79">
                  <c:v>40294</c:v>
                </c:pt>
                <c:pt idx="80">
                  <c:v>40295</c:v>
                </c:pt>
                <c:pt idx="81">
                  <c:v>40296</c:v>
                </c:pt>
                <c:pt idx="82">
                  <c:v>40297</c:v>
                </c:pt>
                <c:pt idx="83">
                  <c:v>40298</c:v>
                </c:pt>
                <c:pt idx="84">
                  <c:v>40301</c:v>
                </c:pt>
                <c:pt idx="85">
                  <c:v>40302</c:v>
                </c:pt>
                <c:pt idx="86">
                  <c:v>40303</c:v>
                </c:pt>
                <c:pt idx="87">
                  <c:v>40304</c:v>
                </c:pt>
                <c:pt idx="88">
                  <c:v>40305</c:v>
                </c:pt>
                <c:pt idx="89">
                  <c:v>40308</c:v>
                </c:pt>
                <c:pt idx="90">
                  <c:v>40309</c:v>
                </c:pt>
                <c:pt idx="91">
                  <c:v>40310</c:v>
                </c:pt>
                <c:pt idx="92">
                  <c:v>40311</c:v>
                </c:pt>
                <c:pt idx="93">
                  <c:v>40312</c:v>
                </c:pt>
                <c:pt idx="94">
                  <c:v>40315</c:v>
                </c:pt>
                <c:pt idx="95">
                  <c:v>40316</c:v>
                </c:pt>
                <c:pt idx="96">
                  <c:v>40318</c:v>
                </c:pt>
                <c:pt idx="97">
                  <c:v>40319</c:v>
                </c:pt>
                <c:pt idx="98">
                  <c:v>40322</c:v>
                </c:pt>
                <c:pt idx="99">
                  <c:v>40323</c:v>
                </c:pt>
                <c:pt idx="100">
                  <c:v>40324</c:v>
                </c:pt>
                <c:pt idx="101">
                  <c:v>40325</c:v>
                </c:pt>
                <c:pt idx="102">
                  <c:v>40326</c:v>
                </c:pt>
                <c:pt idx="103">
                  <c:v>40329</c:v>
                </c:pt>
                <c:pt idx="104">
                  <c:v>40331</c:v>
                </c:pt>
                <c:pt idx="105">
                  <c:v>40332</c:v>
                </c:pt>
                <c:pt idx="106">
                  <c:v>40333</c:v>
                </c:pt>
                <c:pt idx="107">
                  <c:v>40336</c:v>
                </c:pt>
                <c:pt idx="108">
                  <c:v>40337</c:v>
                </c:pt>
                <c:pt idx="109">
                  <c:v>40338</c:v>
                </c:pt>
                <c:pt idx="110">
                  <c:v>40339</c:v>
                </c:pt>
                <c:pt idx="111">
                  <c:v>40340</c:v>
                </c:pt>
                <c:pt idx="112">
                  <c:v>40343</c:v>
                </c:pt>
                <c:pt idx="113">
                  <c:v>40344</c:v>
                </c:pt>
                <c:pt idx="114">
                  <c:v>40345</c:v>
                </c:pt>
                <c:pt idx="115">
                  <c:v>40346</c:v>
                </c:pt>
                <c:pt idx="116">
                  <c:v>40347</c:v>
                </c:pt>
                <c:pt idx="117">
                  <c:v>40350</c:v>
                </c:pt>
                <c:pt idx="118">
                  <c:v>40351</c:v>
                </c:pt>
                <c:pt idx="119">
                  <c:v>40352</c:v>
                </c:pt>
                <c:pt idx="120">
                  <c:v>40353</c:v>
                </c:pt>
                <c:pt idx="121">
                  <c:v>40354</c:v>
                </c:pt>
                <c:pt idx="122">
                  <c:v>40357</c:v>
                </c:pt>
                <c:pt idx="123">
                  <c:v>40358</c:v>
                </c:pt>
                <c:pt idx="124">
                  <c:v>40359</c:v>
                </c:pt>
                <c:pt idx="125">
                  <c:v>40360</c:v>
                </c:pt>
                <c:pt idx="126">
                  <c:v>40361</c:v>
                </c:pt>
                <c:pt idx="127">
                  <c:v>40364</c:v>
                </c:pt>
                <c:pt idx="128">
                  <c:v>40365</c:v>
                </c:pt>
                <c:pt idx="129">
                  <c:v>40366</c:v>
                </c:pt>
                <c:pt idx="130">
                  <c:v>40367</c:v>
                </c:pt>
                <c:pt idx="131">
                  <c:v>40368</c:v>
                </c:pt>
                <c:pt idx="132">
                  <c:v>40371</c:v>
                </c:pt>
                <c:pt idx="133">
                  <c:v>40372</c:v>
                </c:pt>
                <c:pt idx="134">
                  <c:v>40373</c:v>
                </c:pt>
                <c:pt idx="135">
                  <c:v>40374</c:v>
                </c:pt>
                <c:pt idx="136">
                  <c:v>40375</c:v>
                </c:pt>
                <c:pt idx="137">
                  <c:v>40378</c:v>
                </c:pt>
                <c:pt idx="138">
                  <c:v>40379</c:v>
                </c:pt>
                <c:pt idx="139">
                  <c:v>40380</c:v>
                </c:pt>
                <c:pt idx="140">
                  <c:v>40381</c:v>
                </c:pt>
                <c:pt idx="141">
                  <c:v>40382</c:v>
                </c:pt>
                <c:pt idx="142">
                  <c:v>40385</c:v>
                </c:pt>
                <c:pt idx="143">
                  <c:v>40386</c:v>
                </c:pt>
                <c:pt idx="144">
                  <c:v>40387</c:v>
                </c:pt>
                <c:pt idx="145">
                  <c:v>40388</c:v>
                </c:pt>
                <c:pt idx="146">
                  <c:v>40389</c:v>
                </c:pt>
                <c:pt idx="147">
                  <c:v>40392</c:v>
                </c:pt>
                <c:pt idx="148">
                  <c:v>40393</c:v>
                </c:pt>
                <c:pt idx="149">
                  <c:v>40394</c:v>
                </c:pt>
                <c:pt idx="150">
                  <c:v>40395</c:v>
                </c:pt>
                <c:pt idx="151">
                  <c:v>40396</c:v>
                </c:pt>
                <c:pt idx="152">
                  <c:v>40399</c:v>
                </c:pt>
                <c:pt idx="153">
                  <c:v>40400</c:v>
                </c:pt>
                <c:pt idx="154">
                  <c:v>40401</c:v>
                </c:pt>
                <c:pt idx="155">
                  <c:v>40402</c:v>
                </c:pt>
                <c:pt idx="156">
                  <c:v>40403</c:v>
                </c:pt>
                <c:pt idx="157">
                  <c:v>40406</c:v>
                </c:pt>
                <c:pt idx="158">
                  <c:v>40407</c:v>
                </c:pt>
                <c:pt idx="159">
                  <c:v>40408</c:v>
                </c:pt>
                <c:pt idx="160">
                  <c:v>40409</c:v>
                </c:pt>
                <c:pt idx="161">
                  <c:v>40410</c:v>
                </c:pt>
                <c:pt idx="162">
                  <c:v>40413</c:v>
                </c:pt>
                <c:pt idx="163">
                  <c:v>40414</c:v>
                </c:pt>
                <c:pt idx="164">
                  <c:v>40415</c:v>
                </c:pt>
                <c:pt idx="165">
                  <c:v>40416</c:v>
                </c:pt>
                <c:pt idx="166">
                  <c:v>40417</c:v>
                </c:pt>
                <c:pt idx="167">
                  <c:v>40421</c:v>
                </c:pt>
                <c:pt idx="168">
                  <c:v>40422</c:v>
                </c:pt>
                <c:pt idx="169">
                  <c:v>40423</c:v>
                </c:pt>
                <c:pt idx="170">
                  <c:v>40424</c:v>
                </c:pt>
                <c:pt idx="171">
                  <c:v>40427</c:v>
                </c:pt>
                <c:pt idx="172">
                  <c:v>40428</c:v>
                </c:pt>
                <c:pt idx="173">
                  <c:v>40429</c:v>
                </c:pt>
                <c:pt idx="174">
                  <c:v>40434</c:v>
                </c:pt>
                <c:pt idx="175">
                  <c:v>40435</c:v>
                </c:pt>
                <c:pt idx="176">
                  <c:v>40436</c:v>
                </c:pt>
                <c:pt idx="177">
                  <c:v>40437</c:v>
                </c:pt>
                <c:pt idx="178">
                  <c:v>40438</c:v>
                </c:pt>
                <c:pt idx="179">
                  <c:v>40441</c:v>
                </c:pt>
                <c:pt idx="180">
                  <c:v>40442</c:v>
                </c:pt>
                <c:pt idx="181">
                  <c:v>40443</c:v>
                </c:pt>
                <c:pt idx="182">
                  <c:v>40444</c:v>
                </c:pt>
                <c:pt idx="183">
                  <c:v>40445</c:v>
                </c:pt>
                <c:pt idx="184">
                  <c:v>40448</c:v>
                </c:pt>
                <c:pt idx="185">
                  <c:v>40449</c:v>
                </c:pt>
                <c:pt idx="186">
                  <c:v>40450</c:v>
                </c:pt>
                <c:pt idx="187">
                  <c:v>40451</c:v>
                </c:pt>
                <c:pt idx="188">
                  <c:v>40452</c:v>
                </c:pt>
                <c:pt idx="189">
                  <c:v>40455</c:v>
                </c:pt>
                <c:pt idx="190">
                  <c:v>40456</c:v>
                </c:pt>
                <c:pt idx="191">
                  <c:v>40457</c:v>
                </c:pt>
                <c:pt idx="192">
                  <c:v>40458</c:v>
                </c:pt>
                <c:pt idx="193">
                  <c:v>40459</c:v>
                </c:pt>
                <c:pt idx="194">
                  <c:v>40462</c:v>
                </c:pt>
                <c:pt idx="195">
                  <c:v>40463</c:v>
                </c:pt>
                <c:pt idx="196">
                  <c:v>40464</c:v>
                </c:pt>
                <c:pt idx="197">
                  <c:v>40465</c:v>
                </c:pt>
                <c:pt idx="198">
                  <c:v>40466</c:v>
                </c:pt>
                <c:pt idx="199">
                  <c:v>40469</c:v>
                </c:pt>
                <c:pt idx="200">
                  <c:v>40470</c:v>
                </c:pt>
                <c:pt idx="201">
                  <c:v>40471</c:v>
                </c:pt>
                <c:pt idx="202">
                  <c:v>40472</c:v>
                </c:pt>
                <c:pt idx="203">
                  <c:v>40473</c:v>
                </c:pt>
                <c:pt idx="204">
                  <c:v>40476</c:v>
                </c:pt>
                <c:pt idx="205">
                  <c:v>40477</c:v>
                </c:pt>
                <c:pt idx="206">
                  <c:v>40478</c:v>
                </c:pt>
                <c:pt idx="207">
                  <c:v>40479</c:v>
                </c:pt>
                <c:pt idx="208">
                  <c:v>40483</c:v>
                </c:pt>
                <c:pt idx="209">
                  <c:v>40484</c:v>
                </c:pt>
                <c:pt idx="210">
                  <c:v>40485</c:v>
                </c:pt>
                <c:pt idx="211">
                  <c:v>40486</c:v>
                </c:pt>
                <c:pt idx="212">
                  <c:v>40487</c:v>
                </c:pt>
                <c:pt idx="213">
                  <c:v>40490</c:v>
                </c:pt>
                <c:pt idx="214">
                  <c:v>40491</c:v>
                </c:pt>
                <c:pt idx="215">
                  <c:v>40492</c:v>
                </c:pt>
                <c:pt idx="216">
                  <c:v>40493</c:v>
                </c:pt>
                <c:pt idx="217">
                  <c:v>40494</c:v>
                </c:pt>
                <c:pt idx="218">
                  <c:v>40497</c:v>
                </c:pt>
                <c:pt idx="219">
                  <c:v>40504</c:v>
                </c:pt>
                <c:pt idx="220">
                  <c:v>40505</c:v>
                </c:pt>
                <c:pt idx="221">
                  <c:v>40506</c:v>
                </c:pt>
                <c:pt idx="222">
                  <c:v>40507</c:v>
                </c:pt>
                <c:pt idx="223">
                  <c:v>40508</c:v>
                </c:pt>
                <c:pt idx="224">
                  <c:v>40511</c:v>
                </c:pt>
                <c:pt idx="225">
                  <c:v>40512</c:v>
                </c:pt>
                <c:pt idx="226">
                  <c:v>40513</c:v>
                </c:pt>
                <c:pt idx="227">
                  <c:v>40514</c:v>
                </c:pt>
                <c:pt idx="228">
                  <c:v>40515</c:v>
                </c:pt>
                <c:pt idx="229">
                  <c:v>40518</c:v>
                </c:pt>
                <c:pt idx="230">
                  <c:v>40519</c:v>
                </c:pt>
                <c:pt idx="231">
                  <c:v>40520</c:v>
                </c:pt>
                <c:pt idx="232">
                  <c:v>40521</c:v>
                </c:pt>
                <c:pt idx="233">
                  <c:v>40522</c:v>
                </c:pt>
                <c:pt idx="234">
                  <c:v>40525</c:v>
                </c:pt>
                <c:pt idx="235">
                  <c:v>40526</c:v>
                </c:pt>
                <c:pt idx="236">
                  <c:v>40527</c:v>
                </c:pt>
                <c:pt idx="237">
                  <c:v>40528</c:v>
                </c:pt>
                <c:pt idx="238">
                  <c:v>40529</c:v>
                </c:pt>
                <c:pt idx="239">
                  <c:v>40532</c:v>
                </c:pt>
                <c:pt idx="240">
                  <c:v>40533</c:v>
                </c:pt>
                <c:pt idx="241">
                  <c:v>40534</c:v>
                </c:pt>
                <c:pt idx="242">
                  <c:v>40535</c:v>
                </c:pt>
                <c:pt idx="243">
                  <c:v>40536</c:v>
                </c:pt>
                <c:pt idx="244">
                  <c:v>40539</c:v>
                </c:pt>
                <c:pt idx="245">
                  <c:v>40540</c:v>
                </c:pt>
                <c:pt idx="246">
                  <c:v>40541</c:v>
                </c:pt>
                <c:pt idx="247">
                  <c:v>40542</c:v>
                </c:pt>
                <c:pt idx="248">
                  <c:v>40543</c:v>
                </c:pt>
                <c:pt idx="249">
                  <c:v>40546</c:v>
                </c:pt>
                <c:pt idx="250">
                  <c:v>40547</c:v>
                </c:pt>
                <c:pt idx="251">
                  <c:v>40548</c:v>
                </c:pt>
                <c:pt idx="252">
                  <c:v>40549</c:v>
                </c:pt>
                <c:pt idx="253">
                  <c:v>40550</c:v>
                </c:pt>
                <c:pt idx="254">
                  <c:v>40553</c:v>
                </c:pt>
                <c:pt idx="255">
                  <c:v>40554</c:v>
                </c:pt>
                <c:pt idx="256">
                  <c:v>40555</c:v>
                </c:pt>
                <c:pt idx="257">
                  <c:v>40556</c:v>
                </c:pt>
                <c:pt idx="258">
                  <c:v>40557</c:v>
                </c:pt>
                <c:pt idx="259">
                  <c:v>40560</c:v>
                </c:pt>
                <c:pt idx="260">
                  <c:v>40561</c:v>
                </c:pt>
                <c:pt idx="261">
                  <c:v>40562</c:v>
                </c:pt>
                <c:pt idx="262">
                  <c:v>40563</c:v>
                </c:pt>
                <c:pt idx="263">
                  <c:v>40564</c:v>
                </c:pt>
                <c:pt idx="264">
                  <c:v>40567</c:v>
                </c:pt>
                <c:pt idx="265">
                  <c:v>40568</c:v>
                </c:pt>
                <c:pt idx="266">
                  <c:v>40569</c:v>
                </c:pt>
                <c:pt idx="267">
                  <c:v>40570</c:v>
                </c:pt>
                <c:pt idx="268">
                  <c:v>40571</c:v>
                </c:pt>
                <c:pt idx="269">
                  <c:v>40574</c:v>
                </c:pt>
                <c:pt idx="270">
                  <c:v>40575</c:v>
                </c:pt>
                <c:pt idx="271">
                  <c:v>40576</c:v>
                </c:pt>
                <c:pt idx="272">
                  <c:v>40577</c:v>
                </c:pt>
                <c:pt idx="273">
                  <c:v>40578</c:v>
                </c:pt>
                <c:pt idx="274">
                  <c:v>40581</c:v>
                </c:pt>
                <c:pt idx="275">
                  <c:v>40582</c:v>
                </c:pt>
                <c:pt idx="276">
                  <c:v>40583</c:v>
                </c:pt>
                <c:pt idx="277">
                  <c:v>40584</c:v>
                </c:pt>
                <c:pt idx="278">
                  <c:v>40585</c:v>
                </c:pt>
                <c:pt idx="279">
                  <c:v>40588</c:v>
                </c:pt>
                <c:pt idx="280">
                  <c:v>40589</c:v>
                </c:pt>
                <c:pt idx="281">
                  <c:v>40590</c:v>
                </c:pt>
                <c:pt idx="282">
                  <c:v>40591</c:v>
                </c:pt>
                <c:pt idx="283">
                  <c:v>40592</c:v>
                </c:pt>
                <c:pt idx="284">
                  <c:v>40595</c:v>
                </c:pt>
                <c:pt idx="285">
                  <c:v>40596</c:v>
                </c:pt>
                <c:pt idx="286">
                  <c:v>40597</c:v>
                </c:pt>
                <c:pt idx="287">
                  <c:v>40598</c:v>
                </c:pt>
                <c:pt idx="288">
                  <c:v>40599</c:v>
                </c:pt>
                <c:pt idx="289">
                  <c:v>40602</c:v>
                </c:pt>
                <c:pt idx="290">
                  <c:v>40603</c:v>
                </c:pt>
                <c:pt idx="291">
                  <c:v>40604</c:v>
                </c:pt>
                <c:pt idx="292">
                  <c:v>40605</c:v>
                </c:pt>
                <c:pt idx="293">
                  <c:v>40606</c:v>
                </c:pt>
                <c:pt idx="294">
                  <c:v>40609</c:v>
                </c:pt>
                <c:pt idx="295">
                  <c:v>40610</c:v>
                </c:pt>
                <c:pt idx="296">
                  <c:v>40611</c:v>
                </c:pt>
                <c:pt idx="297">
                  <c:v>40612</c:v>
                </c:pt>
                <c:pt idx="298">
                  <c:v>40613</c:v>
                </c:pt>
                <c:pt idx="299">
                  <c:v>40616</c:v>
                </c:pt>
                <c:pt idx="300">
                  <c:v>40617</c:v>
                </c:pt>
                <c:pt idx="301">
                  <c:v>40618</c:v>
                </c:pt>
                <c:pt idx="302">
                  <c:v>40619</c:v>
                </c:pt>
                <c:pt idx="303">
                  <c:v>40620</c:v>
                </c:pt>
                <c:pt idx="304">
                  <c:v>40623</c:v>
                </c:pt>
                <c:pt idx="305">
                  <c:v>40624</c:v>
                </c:pt>
                <c:pt idx="306">
                  <c:v>40625</c:v>
                </c:pt>
                <c:pt idx="307">
                  <c:v>40626</c:v>
                </c:pt>
                <c:pt idx="308">
                  <c:v>40627</c:v>
                </c:pt>
                <c:pt idx="309">
                  <c:v>40630</c:v>
                </c:pt>
                <c:pt idx="310">
                  <c:v>40631</c:v>
                </c:pt>
                <c:pt idx="311">
                  <c:v>40632</c:v>
                </c:pt>
                <c:pt idx="312">
                  <c:v>40633</c:v>
                </c:pt>
                <c:pt idx="313">
                  <c:v>40634</c:v>
                </c:pt>
                <c:pt idx="314">
                  <c:v>40637</c:v>
                </c:pt>
                <c:pt idx="315">
                  <c:v>40638</c:v>
                </c:pt>
                <c:pt idx="316">
                  <c:v>40639</c:v>
                </c:pt>
                <c:pt idx="317">
                  <c:v>40640</c:v>
                </c:pt>
                <c:pt idx="318">
                  <c:v>40641</c:v>
                </c:pt>
                <c:pt idx="319">
                  <c:v>40644</c:v>
                </c:pt>
                <c:pt idx="320">
                  <c:v>40645</c:v>
                </c:pt>
                <c:pt idx="321">
                  <c:v>40646</c:v>
                </c:pt>
                <c:pt idx="322">
                  <c:v>40647</c:v>
                </c:pt>
                <c:pt idx="323">
                  <c:v>40648</c:v>
                </c:pt>
                <c:pt idx="324">
                  <c:v>40651</c:v>
                </c:pt>
                <c:pt idx="325">
                  <c:v>40652</c:v>
                </c:pt>
                <c:pt idx="326">
                  <c:v>40653</c:v>
                </c:pt>
                <c:pt idx="327">
                  <c:v>40654</c:v>
                </c:pt>
                <c:pt idx="328">
                  <c:v>40655</c:v>
                </c:pt>
                <c:pt idx="329">
                  <c:v>40658</c:v>
                </c:pt>
                <c:pt idx="330">
                  <c:v>40659</c:v>
                </c:pt>
                <c:pt idx="331">
                  <c:v>40660</c:v>
                </c:pt>
                <c:pt idx="332">
                  <c:v>40661</c:v>
                </c:pt>
                <c:pt idx="333">
                  <c:v>40662</c:v>
                </c:pt>
                <c:pt idx="334">
                  <c:v>40665</c:v>
                </c:pt>
                <c:pt idx="335">
                  <c:v>40666</c:v>
                </c:pt>
                <c:pt idx="336">
                  <c:v>40667</c:v>
                </c:pt>
                <c:pt idx="337">
                  <c:v>40668</c:v>
                </c:pt>
                <c:pt idx="338">
                  <c:v>40669</c:v>
                </c:pt>
                <c:pt idx="339">
                  <c:v>40672</c:v>
                </c:pt>
                <c:pt idx="340">
                  <c:v>40673</c:v>
                </c:pt>
                <c:pt idx="341">
                  <c:v>40674</c:v>
                </c:pt>
                <c:pt idx="342">
                  <c:v>40675</c:v>
                </c:pt>
                <c:pt idx="343">
                  <c:v>40676</c:v>
                </c:pt>
                <c:pt idx="344">
                  <c:v>40679</c:v>
                </c:pt>
                <c:pt idx="345">
                  <c:v>40680</c:v>
                </c:pt>
                <c:pt idx="346">
                  <c:v>40681</c:v>
                </c:pt>
                <c:pt idx="347">
                  <c:v>40683</c:v>
                </c:pt>
                <c:pt idx="348">
                  <c:v>40686</c:v>
                </c:pt>
                <c:pt idx="349">
                  <c:v>40687</c:v>
                </c:pt>
                <c:pt idx="350">
                  <c:v>40688</c:v>
                </c:pt>
                <c:pt idx="351">
                  <c:v>40689</c:v>
                </c:pt>
                <c:pt idx="352">
                  <c:v>40690</c:v>
                </c:pt>
                <c:pt idx="353">
                  <c:v>40693</c:v>
                </c:pt>
                <c:pt idx="354">
                  <c:v>40694</c:v>
                </c:pt>
                <c:pt idx="355">
                  <c:v>40695</c:v>
                </c:pt>
                <c:pt idx="356">
                  <c:v>40696</c:v>
                </c:pt>
                <c:pt idx="357">
                  <c:v>40697</c:v>
                </c:pt>
                <c:pt idx="358">
                  <c:v>40700</c:v>
                </c:pt>
                <c:pt idx="359">
                  <c:v>40701</c:v>
                </c:pt>
                <c:pt idx="360">
                  <c:v>40702</c:v>
                </c:pt>
                <c:pt idx="361">
                  <c:v>40703</c:v>
                </c:pt>
                <c:pt idx="362">
                  <c:v>40704</c:v>
                </c:pt>
                <c:pt idx="363">
                  <c:v>40707</c:v>
                </c:pt>
                <c:pt idx="364">
                  <c:v>40708</c:v>
                </c:pt>
                <c:pt idx="365">
                  <c:v>40709</c:v>
                </c:pt>
                <c:pt idx="366">
                  <c:v>40710</c:v>
                </c:pt>
                <c:pt idx="367">
                  <c:v>40711</c:v>
                </c:pt>
                <c:pt idx="368">
                  <c:v>40714</c:v>
                </c:pt>
                <c:pt idx="369">
                  <c:v>40715</c:v>
                </c:pt>
                <c:pt idx="370">
                  <c:v>40716</c:v>
                </c:pt>
                <c:pt idx="371">
                  <c:v>40717</c:v>
                </c:pt>
                <c:pt idx="372">
                  <c:v>40718</c:v>
                </c:pt>
                <c:pt idx="373">
                  <c:v>40721</c:v>
                </c:pt>
                <c:pt idx="374">
                  <c:v>40722</c:v>
                </c:pt>
                <c:pt idx="375">
                  <c:v>40723</c:v>
                </c:pt>
                <c:pt idx="376">
                  <c:v>40724</c:v>
                </c:pt>
                <c:pt idx="377">
                  <c:v>40725</c:v>
                </c:pt>
                <c:pt idx="378">
                  <c:v>40728</c:v>
                </c:pt>
                <c:pt idx="379">
                  <c:v>40729</c:v>
                </c:pt>
                <c:pt idx="380">
                  <c:v>40730</c:v>
                </c:pt>
                <c:pt idx="381">
                  <c:v>40731</c:v>
                </c:pt>
                <c:pt idx="382">
                  <c:v>40732</c:v>
                </c:pt>
                <c:pt idx="383">
                  <c:v>40735</c:v>
                </c:pt>
                <c:pt idx="384">
                  <c:v>40736</c:v>
                </c:pt>
                <c:pt idx="385">
                  <c:v>40737</c:v>
                </c:pt>
                <c:pt idx="386">
                  <c:v>40738</c:v>
                </c:pt>
                <c:pt idx="387">
                  <c:v>40739</c:v>
                </c:pt>
                <c:pt idx="388">
                  <c:v>40742</c:v>
                </c:pt>
                <c:pt idx="389">
                  <c:v>40743</c:v>
                </c:pt>
                <c:pt idx="390">
                  <c:v>40744</c:v>
                </c:pt>
                <c:pt idx="391">
                  <c:v>40745</c:v>
                </c:pt>
                <c:pt idx="392">
                  <c:v>40746</c:v>
                </c:pt>
                <c:pt idx="393">
                  <c:v>40749</c:v>
                </c:pt>
                <c:pt idx="394">
                  <c:v>40750</c:v>
                </c:pt>
                <c:pt idx="395">
                  <c:v>40751</c:v>
                </c:pt>
                <c:pt idx="396">
                  <c:v>40752</c:v>
                </c:pt>
                <c:pt idx="397">
                  <c:v>40753</c:v>
                </c:pt>
                <c:pt idx="398">
                  <c:v>40756</c:v>
                </c:pt>
                <c:pt idx="399">
                  <c:v>40757</c:v>
                </c:pt>
                <c:pt idx="400">
                  <c:v>40758</c:v>
                </c:pt>
                <c:pt idx="401">
                  <c:v>40759</c:v>
                </c:pt>
                <c:pt idx="402">
                  <c:v>40760</c:v>
                </c:pt>
                <c:pt idx="403">
                  <c:v>40763</c:v>
                </c:pt>
                <c:pt idx="404">
                  <c:v>40764</c:v>
                </c:pt>
                <c:pt idx="405">
                  <c:v>40765</c:v>
                </c:pt>
                <c:pt idx="406">
                  <c:v>40766</c:v>
                </c:pt>
                <c:pt idx="407">
                  <c:v>40767</c:v>
                </c:pt>
                <c:pt idx="408">
                  <c:v>40770</c:v>
                </c:pt>
                <c:pt idx="409">
                  <c:v>40771</c:v>
                </c:pt>
                <c:pt idx="410">
                  <c:v>40772</c:v>
                </c:pt>
                <c:pt idx="411">
                  <c:v>40773</c:v>
                </c:pt>
                <c:pt idx="412">
                  <c:v>40774</c:v>
                </c:pt>
                <c:pt idx="413">
                  <c:v>40777</c:v>
                </c:pt>
                <c:pt idx="414">
                  <c:v>40778</c:v>
                </c:pt>
                <c:pt idx="415">
                  <c:v>40779</c:v>
                </c:pt>
                <c:pt idx="416">
                  <c:v>40780</c:v>
                </c:pt>
                <c:pt idx="417">
                  <c:v>40781</c:v>
                </c:pt>
                <c:pt idx="418">
                  <c:v>40784</c:v>
                </c:pt>
                <c:pt idx="419">
                  <c:v>40788</c:v>
                </c:pt>
                <c:pt idx="420">
                  <c:v>40791</c:v>
                </c:pt>
                <c:pt idx="421">
                  <c:v>40792</c:v>
                </c:pt>
                <c:pt idx="422">
                  <c:v>40793</c:v>
                </c:pt>
                <c:pt idx="423">
                  <c:v>40794</c:v>
                </c:pt>
                <c:pt idx="424">
                  <c:v>40795</c:v>
                </c:pt>
                <c:pt idx="425">
                  <c:v>40798</c:v>
                </c:pt>
                <c:pt idx="426">
                  <c:v>40799</c:v>
                </c:pt>
                <c:pt idx="427">
                  <c:v>40800</c:v>
                </c:pt>
                <c:pt idx="428">
                  <c:v>40801</c:v>
                </c:pt>
                <c:pt idx="429">
                  <c:v>40802</c:v>
                </c:pt>
                <c:pt idx="430">
                  <c:v>40805</c:v>
                </c:pt>
                <c:pt idx="431">
                  <c:v>40806</c:v>
                </c:pt>
                <c:pt idx="432">
                  <c:v>40807</c:v>
                </c:pt>
                <c:pt idx="433">
                  <c:v>40808</c:v>
                </c:pt>
                <c:pt idx="434">
                  <c:v>40809</c:v>
                </c:pt>
                <c:pt idx="435">
                  <c:v>40812</c:v>
                </c:pt>
                <c:pt idx="436">
                  <c:v>40813</c:v>
                </c:pt>
                <c:pt idx="437">
                  <c:v>40814</c:v>
                </c:pt>
                <c:pt idx="438">
                  <c:v>40815</c:v>
                </c:pt>
                <c:pt idx="439">
                  <c:v>40816</c:v>
                </c:pt>
                <c:pt idx="440">
                  <c:v>40819</c:v>
                </c:pt>
                <c:pt idx="441">
                  <c:v>40820</c:v>
                </c:pt>
                <c:pt idx="442">
                  <c:v>40821</c:v>
                </c:pt>
                <c:pt idx="443">
                  <c:v>40822</c:v>
                </c:pt>
                <c:pt idx="444">
                  <c:v>40823</c:v>
                </c:pt>
                <c:pt idx="445">
                  <c:v>40826</c:v>
                </c:pt>
                <c:pt idx="446">
                  <c:v>40827</c:v>
                </c:pt>
                <c:pt idx="447">
                  <c:v>40828</c:v>
                </c:pt>
                <c:pt idx="448">
                  <c:v>40829</c:v>
                </c:pt>
                <c:pt idx="449">
                  <c:v>40830</c:v>
                </c:pt>
                <c:pt idx="450">
                  <c:v>40833</c:v>
                </c:pt>
                <c:pt idx="451">
                  <c:v>40834</c:v>
                </c:pt>
                <c:pt idx="452">
                  <c:v>40835</c:v>
                </c:pt>
                <c:pt idx="453">
                  <c:v>40836</c:v>
                </c:pt>
                <c:pt idx="454">
                  <c:v>40837</c:v>
                </c:pt>
                <c:pt idx="455">
                  <c:v>40840</c:v>
                </c:pt>
                <c:pt idx="456">
                  <c:v>40841</c:v>
                </c:pt>
                <c:pt idx="457">
                  <c:v>40842</c:v>
                </c:pt>
                <c:pt idx="458">
                  <c:v>40843</c:v>
                </c:pt>
                <c:pt idx="459">
                  <c:v>40844</c:v>
                </c:pt>
                <c:pt idx="460">
                  <c:v>40847</c:v>
                </c:pt>
                <c:pt idx="461">
                  <c:v>40848</c:v>
                </c:pt>
                <c:pt idx="462">
                  <c:v>40849</c:v>
                </c:pt>
                <c:pt idx="463">
                  <c:v>40850</c:v>
                </c:pt>
                <c:pt idx="464">
                  <c:v>40851</c:v>
                </c:pt>
                <c:pt idx="465">
                  <c:v>40857</c:v>
                </c:pt>
                <c:pt idx="466">
                  <c:v>40858</c:v>
                </c:pt>
                <c:pt idx="467">
                  <c:v>40861</c:v>
                </c:pt>
                <c:pt idx="468">
                  <c:v>40862</c:v>
                </c:pt>
                <c:pt idx="469">
                  <c:v>40863</c:v>
                </c:pt>
                <c:pt idx="470">
                  <c:v>40864</c:v>
                </c:pt>
                <c:pt idx="471">
                  <c:v>40865</c:v>
                </c:pt>
                <c:pt idx="472">
                  <c:v>40868</c:v>
                </c:pt>
                <c:pt idx="473">
                  <c:v>40869</c:v>
                </c:pt>
                <c:pt idx="474">
                  <c:v>40870</c:v>
                </c:pt>
                <c:pt idx="475">
                  <c:v>40871</c:v>
                </c:pt>
                <c:pt idx="476">
                  <c:v>40872</c:v>
                </c:pt>
                <c:pt idx="477">
                  <c:v>40875</c:v>
                </c:pt>
                <c:pt idx="478">
                  <c:v>40876</c:v>
                </c:pt>
                <c:pt idx="479">
                  <c:v>40877</c:v>
                </c:pt>
                <c:pt idx="480">
                  <c:v>40878</c:v>
                </c:pt>
                <c:pt idx="481">
                  <c:v>40879</c:v>
                </c:pt>
                <c:pt idx="482">
                  <c:v>40882</c:v>
                </c:pt>
                <c:pt idx="483">
                  <c:v>40883</c:v>
                </c:pt>
                <c:pt idx="484">
                  <c:v>40884</c:v>
                </c:pt>
                <c:pt idx="485">
                  <c:v>40885</c:v>
                </c:pt>
                <c:pt idx="486">
                  <c:v>40886</c:v>
                </c:pt>
                <c:pt idx="487">
                  <c:v>40889</c:v>
                </c:pt>
                <c:pt idx="488">
                  <c:v>40890</c:v>
                </c:pt>
                <c:pt idx="489">
                  <c:v>40891</c:v>
                </c:pt>
                <c:pt idx="490">
                  <c:v>40892</c:v>
                </c:pt>
                <c:pt idx="491">
                  <c:v>40893</c:v>
                </c:pt>
                <c:pt idx="492">
                  <c:v>40896</c:v>
                </c:pt>
                <c:pt idx="493">
                  <c:v>40897</c:v>
                </c:pt>
                <c:pt idx="494">
                  <c:v>40898</c:v>
                </c:pt>
                <c:pt idx="495">
                  <c:v>40899</c:v>
                </c:pt>
                <c:pt idx="496">
                  <c:v>40900</c:v>
                </c:pt>
                <c:pt idx="497">
                  <c:v>40903</c:v>
                </c:pt>
                <c:pt idx="498">
                  <c:v>40904</c:v>
                </c:pt>
                <c:pt idx="499">
                  <c:v>40905</c:v>
                </c:pt>
                <c:pt idx="500">
                  <c:v>40906</c:v>
                </c:pt>
                <c:pt idx="501">
                  <c:v>40907</c:v>
                </c:pt>
                <c:pt idx="502">
                  <c:v>40910</c:v>
                </c:pt>
                <c:pt idx="503">
                  <c:v>40911</c:v>
                </c:pt>
                <c:pt idx="504">
                  <c:v>40912</c:v>
                </c:pt>
                <c:pt idx="505">
                  <c:v>40913</c:v>
                </c:pt>
                <c:pt idx="506">
                  <c:v>40914</c:v>
                </c:pt>
                <c:pt idx="507">
                  <c:v>40917</c:v>
                </c:pt>
                <c:pt idx="508">
                  <c:v>40918</c:v>
                </c:pt>
                <c:pt idx="509">
                  <c:v>40919</c:v>
                </c:pt>
                <c:pt idx="510">
                  <c:v>40920</c:v>
                </c:pt>
                <c:pt idx="511">
                  <c:v>40921</c:v>
                </c:pt>
                <c:pt idx="512">
                  <c:v>40924</c:v>
                </c:pt>
                <c:pt idx="513">
                  <c:v>40925</c:v>
                </c:pt>
                <c:pt idx="514">
                  <c:v>40926</c:v>
                </c:pt>
                <c:pt idx="515">
                  <c:v>40927</c:v>
                </c:pt>
                <c:pt idx="516">
                  <c:v>40928</c:v>
                </c:pt>
                <c:pt idx="517">
                  <c:v>40931</c:v>
                </c:pt>
                <c:pt idx="518">
                  <c:v>40932</c:v>
                </c:pt>
                <c:pt idx="519">
                  <c:v>40933</c:v>
                </c:pt>
                <c:pt idx="520">
                  <c:v>40934</c:v>
                </c:pt>
                <c:pt idx="521">
                  <c:v>40935</c:v>
                </c:pt>
                <c:pt idx="522">
                  <c:v>40938</c:v>
                </c:pt>
                <c:pt idx="523">
                  <c:v>40939</c:v>
                </c:pt>
                <c:pt idx="524">
                  <c:v>40940</c:v>
                </c:pt>
                <c:pt idx="525">
                  <c:v>40941</c:v>
                </c:pt>
                <c:pt idx="526">
                  <c:v>40942</c:v>
                </c:pt>
                <c:pt idx="527">
                  <c:v>40945</c:v>
                </c:pt>
                <c:pt idx="528">
                  <c:v>40946</c:v>
                </c:pt>
                <c:pt idx="529">
                  <c:v>40947</c:v>
                </c:pt>
                <c:pt idx="530">
                  <c:v>40948</c:v>
                </c:pt>
                <c:pt idx="531">
                  <c:v>40949</c:v>
                </c:pt>
                <c:pt idx="532">
                  <c:v>40952</c:v>
                </c:pt>
                <c:pt idx="533">
                  <c:v>40953</c:v>
                </c:pt>
                <c:pt idx="534">
                  <c:v>40954</c:v>
                </c:pt>
                <c:pt idx="535">
                  <c:v>40955</c:v>
                </c:pt>
                <c:pt idx="536">
                  <c:v>40956</c:v>
                </c:pt>
                <c:pt idx="537">
                  <c:v>40959</c:v>
                </c:pt>
                <c:pt idx="538">
                  <c:v>40960</c:v>
                </c:pt>
                <c:pt idx="539">
                  <c:v>40961</c:v>
                </c:pt>
                <c:pt idx="540">
                  <c:v>40962</c:v>
                </c:pt>
                <c:pt idx="541">
                  <c:v>40963</c:v>
                </c:pt>
                <c:pt idx="542">
                  <c:v>40966</c:v>
                </c:pt>
                <c:pt idx="543">
                  <c:v>40967</c:v>
                </c:pt>
                <c:pt idx="544">
                  <c:v>40968</c:v>
                </c:pt>
                <c:pt idx="545">
                  <c:v>40969</c:v>
                </c:pt>
                <c:pt idx="546">
                  <c:v>40970</c:v>
                </c:pt>
                <c:pt idx="547">
                  <c:v>40973</c:v>
                </c:pt>
                <c:pt idx="548">
                  <c:v>40974</c:v>
                </c:pt>
                <c:pt idx="549">
                  <c:v>40975</c:v>
                </c:pt>
                <c:pt idx="550">
                  <c:v>40976</c:v>
                </c:pt>
                <c:pt idx="551">
                  <c:v>40977</c:v>
                </c:pt>
                <c:pt idx="552">
                  <c:v>40980</c:v>
                </c:pt>
                <c:pt idx="553">
                  <c:v>40981</c:v>
                </c:pt>
                <c:pt idx="554">
                  <c:v>40982</c:v>
                </c:pt>
                <c:pt idx="555">
                  <c:v>40983</c:v>
                </c:pt>
                <c:pt idx="556">
                  <c:v>40984</c:v>
                </c:pt>
                <c:pt idx="557">
                  <c:v>40987</c:v>
                </c:pt>
                <c:pt idx="558">
                  <c:v>40988</c:v>
                </c:pt>
                <c:pt idx="559">
                  <c:v>40989</c:v>
                </c:pt>
                <c:pt idx="560">
                  <c:v>40990</c:v>
                </c:pt>
                <c:pt idx="561">
                  <c:v>40991</c:v>
                </c:pt>
                <c:pt idx="562">
                  <c:v>40994</c:v>
                </c:pt>
                <c:pt idx="563">
                  <c:v>40995</c:v>
                </c:pt>
                <c:pt idx="564">
                  <c:v>40996</c:v>
                </c:pt>
                <c:pt idx="565">
                  <c:v>40997</c:v>
                </c:pt>
                <c:pt idx="566">
                  <c:v>40998</c:v>
                </c:pt>
                <c:pt idx="567">
                  <c:v>41001</c:v>
                </c:pt>
                <c:pt idx="568">
                  <c:v>41002</c:v>
                </c:pt>
                <c:pt idx="569">
                  <c:v>41003</c:v>
                </c:pt>
                <c:pt idx="570">
                  <c:v>41004</c:v>
                </c:pt>
                <c:pt idx="571">
                  <c:v>41005</c:v>
                </c:pt>
                <c:pt idx="572">
                  <c:v>41008</c:v>
                </c:pt>
                <c:pt idx="573">
                  <c:v>41009</c:v>
                </c:pt>
                <c:pt idx="574">
                  <c:v>41010</c:v>
                </c:pt>
                <c:pt idx="575">
                  <c:v>41011</c:v>
                </c:pt>
                <c:pt idx="576">
                  <c:v>41012</c:v>
                </c:pt>
                <c:pt idx="577">
                  <c:v>41015</c:v>
                </c:pt>
                <c:pt idx="578">
                  <c:v>41016</c:v>
                </c:pt>
                <c:pt idx="579">
                  <c:v>41017</c:v>
                </c:pt>
                <c:pt idx="580">
                  <c:v>41018</c:v>
                </c:pt>
                <c:pt idx="581">
                  <c:v>41019</c:v>
                </c:pt>
                <c:pt idx="582">
                  <c:v>41023</c:v>
                </c:pt>
                <c:pt idx="583">
                  <c:v>41024</c:v>
                </c:pt>
                <c:pt idx="584">
                  <c:v>41025</c:v>
                </c:pt>
                <c:pt idx="585">
                  <c:v>41026</c:v>
                </c:pt>
                <c:pt idx="586">
                  <c:v>41029</c:v>
                </c:pt>
                <c:pt idx="587">
                  <c:v>41031</c:v>
                </c:pt>
                <c:pt idx="588">
                  <c:v>41032</c:v>
                </c:pt>
                <c:pt idx="589">
                  <c:v>41033</c:v>
                </c:pt>
                <c:pt idx="590">
                  <c:v>41036</c:v>
                </c:pt>
                <c:pt idx="591">
                  <c:v>41037</c:v>
                </c:pt>
                <c:pt idx="592">
                  <c:v>41038</c:v>
                </c:pt>
                <c:pt idx="593">
                  <c:v>41039</c:v>
                </c:pt>
                <c:pt idx="594">
                  <c:v>41040</c:v>
                </c:pt>
                <c:pt idx="595">
                  <c:v>41043</c:v>
                </c:pt>
                <c:pt idx="596">
                  <c:v>41044</c:v>
                </c:pt>
                <c:pt idx="597">
                  <c:v>41045</c:v>
                </c:pt>
                <c:pt idx="598">
                  <c:v>41046</c:v>
                </c:pt>
                <c:pt idx="599">
                  <c:v>41047</c:v>
                </c:pt>
                <c:pt idx="600">
                  <c:v>41050</c:v>
                </c:pt>
                <c:pt idx="601">
                  <c:v>41051</c:v>
                </c:pt>
                <c:pt idx="602">
                  <c:v>41052</c:v>
                </c:pt>
                <c:pt idx="603">
                  <c:v>41053</c:v>
                </c:pt>
                <c:pt idx="604">
                  <c:v>41054</c:v>
                </c:pt>
                <c:pt idx="605">
                  <c:v>41057</c:v>
                </c:pt>
                <c:pt idx="606">
                  <c:v>41058</c:v>
                </c:pt>
                <c:pt idx="607">
                  <c:v>41059</c:v>
                </c:pt>
                <c:pt idx="608">
                  <c:v>41060</c:v>
                </c:pt>
                <c:pt idx="609">
                  <c:v>41061</c:v>
                </c:pt>
                <c:pt idx="610">
                  <c:v>41064</c:v>
                </c:pt>
                <c:pt idx="611">
                  <c:v>41065</c:v>
                </c:pt>
                <c:pt idx="612">
                  <c:v>41066</c:v>
                </c:pt>
                <c:pt idx="613">
                  <c:v>41067</c:v>
                </c:pt>
                <c:pt idx="614">
                  <c:v>41068</c:v>
                </c:pt>
                <c:pt idx="615">
                  <c:v>41071</c:v>
                </c:pt>
                <c:pt idx="616">
                  <c:v>41072</c:v>
                </c:pt>
                <c:pt idx="617">
                  <c:v>41073</c:v>
                </c:pt>
                <c:pt idx="618">
                  <c:v>41074</c:v>
                </c:pt>
                <c:pt idx="619">
                  <c:v>41075</c:v>
                </c:pt>
                <c:pt idx="620">
                  <c:v>41078</c:v>
                </c:pt>
                <c:pt idx="621">
                  <c:v>41079</c:v>
                </c:pt>
                <c:pt idx="622">
                  <c:v>41080</c:v>
                </c:pt>
                <c:pt idx="623">
                  <c:v>41081</c:v>
                </c:pt>
                <c:pt idx="624">
                  <c:v>41082</c:v>
                </c:pt>
                <c:pt idx="625">
                  <c:v>41085</c:v>
                </c:pt>
                <c:pt idx="626">
                  <c:v>41086</c:v>
                </c:pt>
                <c:pt idx="627">
                  <c:v>41087</c:v>
                </c:pt>
                <c:pt idx="628">
                  <c:v>41088</c:v>
                </c:pt>
                <c:pt idx="629">
                  <c:v>41089</c:v>
                </c:pt>
                <c:pt idx="630">
                  <c:v>41092</c:v>
                </c:pt>
                <c:pt idx="631">
                  <c:v>41093</c:v>
                </c:pt>
                <c:pt idx="632">
                  <c:v>41094</c:v>
                </c:pt>
                <c:pt idx="633">
                  <c:v>41095</c:v>
                </c:pt>
                <c:pt idx="634">
                  <c:v>41096</c:v>
                </c:pt>
                <c:pt idx="635">
                  <c:v>41099</c:v>
                </c:pt>
                <c:pt idx="636">
                  <c:v>41100</c:v>
                </c:pt>
                <c:pt idx="637">
                  <c:v>41101</c:v>
                </c:pt>
                <c:pt idx="638">
                  <c:v>41102</c:v>
                </c:pt>
                <c:pt idx="639">
                  <c:v>41103</c:v>
                </c:pt>
                <c:pt idx="640">
                  <c:v>41106</c:v>
                </c:pt>
                <c:pt idx="641">
                  <c:v>41107</c:v>
                </c:pt>
                <c:pt idx="642">
                  <c:v>41108</c:v>
                </c:pt>
                <c:pt idx="643">
                  <c:v>41109</c:v>
                </c:pt>
                <c:pt idx="644">
                  <c:v>41110</c:v>
                </c:pt>
                <c:pt idx="645">
                  <c:v>41113</c:v>
                </c:pt>
                <c:pt idx="646">
                  <c:v>41114</c:v>
                </c:pt>
                <c:pt idx="647">
                  <c:v>41115</c:v>
                </c:pt>
                <c:pt idx="648">
                  <c:v>41116</c:v>
                </c:pt>
                <c:pt idx="649">
                  <c:v>41117</c:v>
                </c:pt>
                <c:pt idx="650">
                  <c:v>41120</c:v>
                </c:pt>
                <c:pt idx="651">
                  <c:v>41121</c:v>
                </c:pt>
                <c:pt idx="652">
                  <c:v>41122</c:v>
                </c:pt>
                <c:pt idx="653">
                  <c:v>41123</c:v>
                </c:pt>
                <c:pt idx="654">
                  <c:v>41124</c:v>
                </c:pt>
                <c:pt idx="655">
                  <c:v>41127</c:v>
                </c:pt>
                <c:pt idx="656">
                  <c:v>41128</c:v>
                </c:pt>
                <c:pt idx="657">
                  <c:v>41129</c:v>
                </c:pt>
                <c:pt idx="658">
                  <c:v>41130</c:v>
                </c:pt>
                <c:pt idx="659">
                  <c:v>41131</c:v>
                </c:pt>
                <c:pt idx="660">
                  <c:v>41134</c:v>
                </c:pt>
                <c:pt idx="661">
                  <c:v>41135</c:v>
                </c:pt>
                <c:pt idx="662">
                  <c:v>41136</c:v>
                </c:pt>
                <c:pt idx="663">
                  <c:v>41137</c:v>
                </c:pt>
                <c:pt idx="664">
                  <c:v>41138</c:v>
                </c:pt>
                <c:pt idx="665">
                  <c:v>41143</c:v>
                </c:pt>
                <c:pt idx="666">
                  <c:v>41144</c:v>
                </c:pt>
                <c:pt idx="667">
                  <c:v>41145</c:v>
                </c:pt>
                <c:pt idx="668">
                  <c:v>41148</c:v>
                </c:pt>
                <c:pt idx="669">
                  <c:v>41149</c:v>
                </c:pt>
                <c:pt idx="670">
                  <c:v>41150</c:v>
                </c:pt>
                <c:pt idx="671">
                  <c:v>41152</c:v>
                </c:pt>
                <c:pt idx="672">
                  <c:v>41155</c:v>
                </c:pt>
                <c:pt idx="673">
                  <c:v>41156</c:v>
                </c:pt>
                <c:pt idx="674">
                  <c:v>41157</c:v>
                </c:pt>
                <c:pt idx="675">
                  <c:v>41158</c:v>
                </c:pt>
                <c:pt idx="676">
                  <c:v>41159</c:v>
                </c:pt>
                <c:pt idx="677">
                  <c:v>41162</c:v>
                </c:pt>
                <c:pt idx="678">
                  <c:v>41163</c:v>
                </c:pt>
                <c:pt idx="679">
                  <c:v>41164</c:v>
                </c:pt>
                <c:pt idx="680">
                  <c:v>41165</c:v>
                </c:pt>
                <c:pt idx="681">
                  <c:v>41166</c:v>
                </c:pt>
                <c:pt idx="682">
                  <c:v>41169</c:v>
                </c:pt>
                <c:pt idx="683">
                  <c:v>41170</c:v>
                </c:pt>
                <c:pt idx="684">
                  <c:v>41171</c:v>
                </c:pt>
                <c:pt idx="685">
                  <c:v>41172</c:v>
                </c:pt>
                <c:pt idx="686">
                  <c:v>41173</c:v>
                </c:pt>
                <c:pt idx="687">
                  <c:v>41176</c:v>
                </c:pt>
                <c:pt idx="688">
                  <c:v>41177</c:v>
                </c:pt>
                <c:pt idx="689">
                  <c:v>41178</c:v>
                </c:pt>
                <c:pt idx="690">
                  <c:v>41179</c:v>
                </c:pt>
                <c:pt idx="691">
                  <c:v>41180</c:v>
                </c:pt>
              </c:numCache>
            </c:numRef>
          </c:cat>
          <c:val>
            <c:numRef>
              <c:f>'Faiz Koridoru Veri'!$D$3:$D$694</c:f>
              <c:numCache>
                <c:formatCode>0.00</c:formatCode>
                <c:ptCount val="692"/>
                <c:pt idx="0">
                  <c:v>2.5</c:v>
                </c:pt>
                <c:pt idx="1">
                  <c:v>2.5</c:v>
                </c:pt>
                <c:pt idx="2">
                  <c:v>2.5</c:v>
                </c:pt>
                <c:pt idx="3">
                  <c:v>2.5</c:v>
                </c:pt>
                <c:pt idx="4">
                  <c:v>2.5</c:v>
                </c:pt>
                <c:pt idx="5">
                  <c:v>2.5</c:v>
                </c:pt>
                <c:pt idx="6">
                  <c:v>2.5</c:v>
                </c:pt>
                <c:pt idx="7">
                  <c:v>2.5</c:v>
                </c:pt>
                <c:pt idx="8">
                  <c:v>2.5</c:v>
                </c:pt>
                <c:pt idx="9">
                  <c:v>2.5</c:v>
                </c:pt>
                <c:pt idx="10">
                  <c:v>2.5</c:v>
                </c:pt>
                <c:pt idx="11">
                  <c:v>2.5</c:v>
                </c:pt>
                <c:pt idx="12">
                  <c:v>2.5</c:v>
                </c:pt>
                <c:pt idx="13">
                  <c:v>2.5</c:v>
                </c:pt>
                <c:pt idx="14">
                  <c:v>2.5</c:v>
                </c:pt>
                <c:pt idx="15">
                  <c:v>2.5</c:v>
                </c:pt>
                <c:pt idx="16">
                  <c:v>2.5</c:v>
                </c:pt>
                <c:pt idx="17">
                  <c:v>2.5</c:v>
                </c:pt>
                <c:pt idx="18">
                  <c:v>2.5</c:v>
                </c:pt>
                <c:pt idx="19">
                  <c:v>2.5</c:v>
                </c:pt>
                <c:pt idx="20">
                  <c:v>2.5</c:v>
                </c:pt>
                <c:pt idx="21">
                  <c:v>2.5</c:v>
                </c:pt>
                <c:pt idx="22">
                  <c:v>2.5</c:v>
                </c:pt>
                <c:pt idx="23">
                  <c:v>2.5</c:v>
                </c:pt>
                <c:pt idx="24">
                  <c:v>2.5</c:v>
                </c:pt>
                <c:pt idx="25">
                  <c:v>2.5</c:v>
                </c:pt>
                <c:pt idx="26">
                  <c:v>2.5</c:v>
                </c:pt>
                <c:pt idx="27">
                  <c:v>2.5</c:v>
                </c:pt>
                <c:pt idx="28">
                  <c:v>2.5</c:v>
                </c:pt>
                <c:pt idx="29">
                  <c:v>2.5</c:v>
                </c:pt>
                <c:pt idx="30">
                  <c:v>2.5</c:v>
                </c:pt>
                <c:pt idx="31">
                  <c:v>2.5</c:v>
                </c:pt>
                <c:pt idx="32">
                  <c:v>2.5</c:v>
                </c:pt>
                <c:pt idx="33">
                  <c:v>2.5</c:v>
                </c:pt>
                <c:pt idx="34">
                  <c:v>2.5</c:v>
                </c:pt>
                <c:pt idx="35">
                  <c:v>2.5</c:v>
                </c:pt>
                <c:pt idx="36">
                  <c:v>2.5</c:v>
                </c:pt>
                <c:pt idx="37">
                  <c:v>2.5</c:v>
                </c:pt>
                <c:pt idx="38">
                  <c:v>2.5</c:v>
                </c:pt>
                <c:pt idx="39">
                  <c:v>2.5</c:v>
                </c:pt>
                <c:pt idx="40">
                  <c:v>2.5</c:v>
                </c:pt>
                <c:pt idx="41">
                  <c:v>2.5</c:v>
                </c:pt>
                <c:pt idx="42">
                  <c:v>2.5</c:v>
                </c:pt>
                <c:pt idx="43">
                  <c:v>2.5</c:v>
                </c:pt>
                <c:pt idx="44">
                  <c:v>2.5</c:v>
                </c:pt>
                <c:pt idx="45">
                  <c:v>2.5</c:v>
                </c:pt>
                <c:pt idx="46">
                  <c:v>2.5</c:v>
                </c:pt>
                <c:pt idx="47">
                  <c:v>2.5</c:v>
                </c:pt>
                <c:pt idx="48">
                  <c:v>2.5</c:v>
                </c:pt>
                <c:pt idx="49">
                  <c:v>2.5</c:v>
                </c:pt>
                <c:pt idx="50">
                  <c:v>2.5</c:v>
                </c:pt>
                <c:pt idx="51">
                  <c:v>2.5</c:v>
                </c:pt>
                <c:pt idx="52">
                  <c:v>2.5</c:v>
                </c:pt>
                <c:pt idx="53">
                  <c:v>2.5</c:v>
                </c:pt>
                <c:pt idx="54">
                  <c:v>2.5</c:v>
                </c:pt>
                <c:pt idx="55">
                  <c:v>2.5</c:v>
                </c:pt>
                <c:pt idx="56">
                  <c:v>2.5</c:v>
                </c:pt>
                <c:pt idx="57">
                  <c:v>2.5</c:v>
                </c:pt>
                <c:pt idx="58">
                  <c:v>2.5</c:v>
                </c:pt>
                <c:pt idx="59">
                  <c:v>2.5</c:v>
                </c:pt>
                <c:pt idx="60">
                  <c:v>2.5</c:v>
                </c:pt>
                <c:pt idx="61">
                  <c:v>2.5</c:v>
                </c:pt>
                <c:pt idx="62">
                  <c:v>2.5</c:v>
                </c:pt>
                <c:pt idx="63">
                  <c:v>2.5</c:v>
                </c:pt>
                <c:pt idx="64">
                  <c:v>2.5</c:v>
                </c:pt>
                <c:pt idx="65">
                  <c:v>2.5</c:v>
                </c:pt>
                <c:pt idx="66">
                  <c:v>2.5</c:v>
                </c:pt>
                <c:pt idx="67">
                  <c:v>2.5</c:v>
                </c:pt>
                <c:pt idx="68">
                  <c:v>2.5</c:v>
                </c:pt>
                <c:pt idx="69">
                  <c:v>2.5</c:v>
                </c:pt>
                <c:pt idx="70">
                  <c:v>2.5</c:v>
                </c:pt>
                <c:pt idx="71">
                  <c:v>2.5</c:v>
                </c:pt>
                <c:pt idx="72">
                  <c:v>2.5</c:v>
                </c:pt>
                <c:pt idx="73">
                  <c:v>2.5</c:v>
                </c:pt>
                <c:pt idx="74">
                  <c:v>2.5</c:v>
                </c:pt>
                <c:pt idx="75">
                  <c:v>2.5</c:v>
                </c:pt>
                <c:pt idx="76">
                  <c:v>2.5</c:v>
                </c:pt>
                <c:pt idx="77">
                  <c:v>2.5</c:v>
                </c:pt>
                <c:pt idx="78">
                  <c:v>2.5</c:v>
                </c:pt>
                <c:pt idx="79">
                  <c:v>2.5</c:v>
                </c:pt>
                <c:pt idx="80">
                  <c:v>2.5</c:v>
                </c:pt>
                <c:pt idx="81">
                  <c:v>2.5</c:v>
                </c:pt>
                <c:pt idx="82">
                  <c:v>2.5</c:v>
                </c:pt>
                <c:pt idx="83">
                  <c:v>2.5</c:v>
                </c:pt>
                <c:pt idx="84">
                  <c:v>2.5</c:v>
                </c:pt>
                <c:pt idx="85">
                  <c:v>2.5</c:v>
                </c:pt>
                <c:pt idx="86">
                  <c:v>2.5</c:v>
                </c:pt>
                <c:pt idx="87">
                  <c:v>2.5</c:v>
                </c:pt>
                <c:pt idx="88">
                  <c:v>2.5</c:v>
                </c:pt>
                <c:pt idx="89">
                  <c:v>2.5</c:v>
                </c:pt>
                <c:pt idx="90">
                  <c:v>2.5</c:v>
                </c:pt>
                <c:pt idx="91">
                  <c:v>2.5</c:v>
                </c:pt>
                <c:pt idx="92">
                  <c:v>2.5</c:v>
                </c:pt>
                <c:pt idx="93">
                  <c:v>2.5</c:v>
                </c:pt>
                <c:pt idx="94">
                  <c:v>2.5</c:v>
                </c:pt>
                <c:pt idx="95">
                  <c:v>2.5</c:v>
                </c:pt>
                <c:pt idx="96">
                  <c:v>2.5</c:v>
                </c:pt>
                <c:pt idx="97">
                  <c:v>2.5</c:v>
                </c:pt>
                <c:pt idx="98">
                  <c:v>2.5</c:v>
                </c:pt>
                <c:pt idx="99">
                  <c:v>2.5</c:v>
                </c:pt>
                <c:pt idx="100">
                  <c:v>2.5</c:v>
                </c:pt>
                <c:pt idx="101">
                  <c:v>2.5</c:v>
                </c:pt>
                <c:pt idx="102">
                  <c:v>2.5</c:v>
                </c:pt>
                <c:pt idx="103">
                  <c:v>2.5</c:v>
                </c:pt>
                <c:pt idx="104">
                  <c:v>2.5</c:v>
                </c:pt>
                <c:pt idx="105">
                  <c:v>2.5</c:v>
                </c:pt>
                <c:pt idx="106">
                  <c:v>2.5</c:v>
                </c:pt>
                <c:pt idx="107">
                  <c:v>2.5</c:v>
                </c:pt>
                <c:pt idx="108">
                  <c:v>2.5</c:v>
                </c:pt>
                <c:pt idx="109">
                  <c:v>2.5</c:v>
                </c:pt>
                <c:pt idx="110">
                  <c:v>2.5</c:v>
                </c:pt>
                <c:pt idx="111">
                  <c:v>2.5</c:v>
                </c:pt>
                <c:pt idx="112">
                  <c:v>2.5</c:v>
                </c:pt>
                <c:pt idx="113">
                  <c:v>2.5</c:v>
                </c:pt>
                <c:pt idx="114">
                  <c:v>2.5</c:v>
                </c:pt>
                <c:pt idx="115">
                  <c:v>2.5</c:v>
                </c:pt>
                <c:pt idx="116">
                  <c:v>2.5</c:v>
                </c:pt>
                <c:pt idx="117">
                  <c:v>2.5</c:v>
                </c:pt>
                <c:pt idx="118">
                  <c:v>2.5</c:v>
                </c:pt>
                <c:pt idx="119">
                  <c:v>2.5</c:v>
                </c:pt>
                <c:pt idx="120">
                  <c:v>2.5</c:v>
                </c:pt>
                <c:pt idx="121">
                  <c:v>2.5</c:v>
                </c:pt>
                <c:pt idx="122">
                  <c:v>2.5</c:v>
                </c:pt>
                <c:pt idx="123">
                  <c:v>2.5</c:v>
                </c:pt>
                <c:pt idx="124">
                  <c:v>2.5</c:v>
                </c:pt>
                <c:pt idx="125">
                  <c:v>2.5</c:v>
                </c:pt>
                <c:pt idx="126">
                  <c:v>2.5</c:v>
                </c:pt>
                <c:pt idx="127">
                  <c:v>2.5</c:v>
                </c:pt>
                <c:pt idx="128">
                  <c:v>2.5</c:v>
                </c:pt>
                <c:pt idx="129">
                  <c:v>2.5</c:v>
                </c:pt>
                <c:pt idx="130">
                  <c:v>2.5</c:v>
                </c:pt>
                <c:pt idx="131">
                  <c:v>2.5</c:v>
                </c:pt>
                <c:pt idx="132">
                  <c:v>2.5</c:v>
                </c:pt>
                <c:pt idx="133">
                  <c:v>2.5</c:v>
                </c:pt>
                <c:pt idx="134">
                  <c:v>2.5</c:v>
                </c:pt>
                <c:pt idx="135">
                  <c:v>2.5</c:v>
                </c:pt>
                <c:pt idx="136">
                  <c:v>2.5</c:v>
                </c:pt>
                <c:pt idx="137">
                  <c:v>2.5</c:v>
                </c:pt>
                <c:pt idx="138">
                  <c:v>2.5</c:v>
                </c:pt>
                <c:pt idx="139">
                  <c:v>2.5</c:v>
                </c:pt>
                <c:pt idx="140">
                  <c:v>2.5</c:v>
                </c:pt>
                <c:pt idx="141">
                  <c:v>2.5</c:v>
                </c:pt>
                <c:pt idx="142">
                  <c:v>2.5</c:v>
                </c:pt>
                <c:pt idx="143">
                  <c:v>2.5</c:v>
                </c:pt>
                <c:pt idx="144">
                  <c:v>2.5</c:v>
                </c:pt>
                <c:pt idx="145">
                  <c:v>2.5</c:v>
                </c:pt>
                <c:pt idx="146">
                  <c:v>2.5</c:v>
                </c:pt>
                <c:pt idx="147">
                  <c:v>2.5</c:v>
                </c:pt>
                <c:pt idx="148">
                  <c:v>2.5</c:v>
                </c:pt>
                <c:pt idx="149">
                  <c:v>2.5</c:v>
                </c:pt>
                <c:pt idx="150">
                  <c:v>2.5</c:v>
                </c:pt>
                <c:pt idx="151">
                  <c:v>2.5</c:v>
                </c:pt>
                <c:pt idx="152">
                  <c:v>2.5</c:v>
                </c:pt>
                <c:pt idx="153">
                  <c:v>2.5</c:v>
                </c:pt>
                <c:pt idx="154">
                  <c:v>2.5</c:v>
                </c:pt>
                <c:pt idx="155">
                  <c:v>2.5</c:v>
                </c:pt>
                <c:pt idx="156">
                  <c:v>2.5</c:v>
                </c:pt>
                <c:pt idx="157">
                  <c:v>2.5</c:v>
                </c:pt>
                <c:pt idx="158">
                  <c:v>2.5</c:v>
                </c:pt>
                <c:pt idx="159">
                  <c:v>2.5</c:v>
                </c:pt>
                <c:pt idx="160">
                  <c:v>2.5</c:v>
                </c:pt>
                <c:pt idx="161">
                  <c:v>2.5</c:v>
                </c:pt>
                <c:pt idx="162">
                  <c:v>2.5</c:v>
                </c:pt>
                <c:pt idx="163">
                  <c:v>2.5</c:v>
                </c:pt>
                <c:pt idx="164">
                  <c:v>2.5</c:v>
                </c:pt>
                <c:pt idx="165">
                  <c:v>2.5</c:v>
                </c:pt>
                <c:pt idx="166">
                  <c:v>2.5</c:v>
                </c:pt>
                <c:pt idx="167">
                  <c:v>2.5</c:v>
                </c:pt>
                <c:pt idx="168">
                  <c:v>2.5</c:v>
                </c:pt>
                <c:pt idx="169">
                  <c:v>2.5</c:v>
                </c:pt>
                <c:pt idx="170">
                  <c:v>2.5</c:v>
                </c:pt>
                <c:pt idx="171">
                  <c:v>2.5</c:v>
                </c:pt>
                <c:pt idx="172">
                  <c:v>2.5</c:v>
                </c:pt>
                <c:pt idx="173">
                  <c:v>2.5</c:v>
                </c:pt>
                <c:pt idx="174">
                  <c:v>2.5</c:v>
                </c:pt>
                <c:pt idx="175">
                  <c:v>2.5</c:v>
                </c:pt>
                <c:pt idx="176">
                  <c:v>2.5</c:v>
                </c:pt>
                <c:pt idx="177">
                  <c:v>2.5</c:v>
                </c:pt>
                <c:pt idx="178">
                  <c:v>2.5</c:v>
                </c:pt>
                <c:pt idx="179">
                  <c:v>2.5</c:v>
                </c:pt>
                <c:pt idx="180">
                  <c:v>2.5</c:v>
                </c:pt>
                <c:pt idx="181">
                  <c:v>2.5</c:v>
                </c:pt>
                <c:pt idx="182">
                  <c:v>2.5</c:v>
                </c:pt>
                <c:pt idx="183">
                  <c:v>2.5</c:v>
                </c:pt>
                <c:pt idx="184">
                  <c:v>2.5</c:v>
                </c:pt>
                <c:pt idx="185">
                  <c:v>2.5</c:v>
                </c:pt>
                <c:pt idx="186">
                  <c:v>2.5</c:v>
                </c:pt>
                <c:pt idx="187">
                  <c:v>2.5</c:v>
                </c:pt>
                <c:pt idx="188">
                  <c:v>2.5</c:v>
                </c:pt>
                <c:pt idx="189">
                  <c:v>2.5</c:v>
                </c:pt>
                <c:pt idx="190">
                  <c:v>2.5</c:v>
                </c:pt>
                <c:pt idx="191">
                  <c:v>2.5</c:v>
                </c:pt>
                <c:pt idx="192">
                  <c:v>2.5</c:v>
                </c:pt>
                <c:pt idx="193">
                  <c:v>2.5</c:v>
                </c:pt>
                <c:pt idx="194">
                  <c:v>2.5</c:v>
                </c:pt>
                <c:pt idx="195">
                  <c:v>2.5</c:v>
                </c:pt>
                <c:pt idx="196">
                  <c:v>2.5</c:v>
                </c:pt>
                <c:pt idx="197">
                  <c:v>2.5</c:v>
                </c:pt>
                <c:pt idx="198">
                  <c:v>3</c:v>
                </c:pt>
                <c:pt idx="199">
                  <c:v>3</c:v>
                </c:pt>
                <c:pt idx="200">
                  <c:v>3</c:v>
                </c:pt>
                <c:pt idx="201">
                  <c:v>3</c:v>
                </c:pt>
                <c:pt idx="202">
                  <c:v>3</c:v>
                </c:pt>
                <c:pt idx="203">
                  <c:v>3</c:v>
                </c:pt>
                <c:pt idx="204">
                  <c:v>3</c:v>
                </c:pt>
                <c:pt idx="205">
                  <c:v>3</c:v>
                </c:pt>
                <c:pt idx="206">
                  <c:v>3</c:v>
                </c:pt>
                <c:pt idx="207">
                  <c:v>3</c:v>
                </c:pt>
                <c:pt idx="208">
                  <c:v>3</c:v>
                </c:pt>
                <c:pt idx="209">
                  <c:v>3</c:v>
                </c:pt>
                <c:pt idx="210">
                  <c:v>3</c:v>
                </c:pt>
                <c:pt idx="211">
                  <c:v>3</c:v>
                </c:pt>
                <c:pt idx="212">
                  <c:v>3</c:v>
                </c:pt>
                <c:pt idx="213">
                  <c:v>3</c:v>
                </c:pt>
                <c:pt idx="214">
                  <c:v>3</c:v>
                </c:pt>
                <c:pt idx="215">
                  <c:v>3</c:v>
                </c:pt>
                <c:pt idx="216">
                  <c:v>7</c:v>
                </c:pt>
                <c:pt idx="217">
                  <c:v>7</c:v>
                </c:pt>
                <c:pt idx="218">
                  <c:v>7</c:v>
                </c:pt>
                <c:pt idx="219">
                  <c:v>7</c:v>
                </c:pt>
                <c:pt idx="220">
                  <c:v>7</c:v>
                </c:pt>
                <c:pt idx="221">
                  <c:v>7</c:v>
                </c:pt>
                <c:pt idx="222">
                  <c:v>7</c:v>
                </c:pt>
                <c:pt idx="223">
                  <c:v>7</c:v>
                </c:pt>
                <c:pt idx="224">
                  <c:v>7</c:v>
                </c:pt>
                <c:pt idx="225">
                  <c:v>7</c:v>
                </c:pt>
                <c:pt idx="226">
                  <c:v>7</c:v>
                </c:pt>
                <c:pt idx="227">
                  <c:v>7</c:v>
                </c:pt>
                <c:pt idx="228">
                  <c:v>7</c:v>
                </c:pt>
                <c:pt idx="229">
                  <c:v>7</c:v>
                </c:pt>
                <c:pt idx="230">
                  <c:v>7</c:v>
                </c:pt>
                <c:pt idx="231">
                  <c:v>7</c:v>
                </c:pt>
                <c:pt idx="232">
                  <c:v>7</c:v>
                </c:pt>
                <c:pt idx="233">
                  <c:v>7</c:v>
                </c:pt>
                <c:pt idx="234" formatCode="General">
                  <c:v>7</c:v>
                </c:pt>
                <c:pt idx="235" formatCode="General">
                  <c:v>7</c:v>
                </c:pt>
                <c:pt idx="236" formatCode="General">
                  <c:v>7</c:v>
                </c:pt>
                <c:pt idx="237" formatCode="General">
                  <c:v>7</c:v>
                </c:pt>
                <c:pt idx="238" formatCode="General">
                  <c:v>7.5</c:v>
                </c:pt>
                <c:pt idx="239" formatCode="General">
                  <c:v>7.5</c:v>
                </c:pt>
                <c:pt idx="240" formatCode="General">
                  <c:v>7.5</c:v>
                </c:pt>
                <c:pt idx="241" formatCode="General">
                  <c:v>7.5</c:v>
                </c:pt>
                <c:pt idx="242" formatCode="General">
                  <c:v>7.5</c:v>
                </c:pt>
                <c:pt idx="243" formatCode="General">
                  <c:v>7.5</c:v>
                </c:pt>
                <c:pt idx="244" formatCode="General">
                  <c:v>7.5</c:v>
                </c:pt>
                <c:pt idx="245" formatCode="General">
                  <c:v>7.5</c:v>
                </c:pt>
                <c:pt idx="246" formatCode="General">
                  <c:v>7.5</c:v>
                </c:pt>
                <c:pt idx="247" formatCode="General">
                  <c:v>7.5</c:v>
                </c:pt>
                <c:pt idx="248" formatCode="General">
                  <c:v>7.5</c:v>
                </c:pt>
                <c:pt idx="249" formatCode="General">
                  <c:v>7.5</c:v>
                </c:pt>
                <c:pt idx="250" formatCode="General">
                  <c:v>7.5</c:v>
                </c:pt>
                <c:pt idx="251" formatCode="General">
                  <c:v>7.5</c:v>
                </c:pt>
                <c:pt idx="252" formatCode="General">
                  <c:v>7.5</c:v>
                </c:pt>
                <c:pt idx="253" formatCode="General">
                  <c:v>7.5</c:v>
                </c:pt>
                <c:pt idx="254" formatCode="General">
                  <c:v>7.5</c:v>
                </c:pt>
                <c:pt idx="255" formatCode="General">
                  <c:v>7.5</c:v>
                </c:pt>
                <c:pt idx="256" formatCode="General">
                  <c:v>7.5</c:v>
                </c:pt>
                <c:pt idx="257" formatCode="General">
                  <c:v>7.5</c:v>
                </c:pt>
                <c:pt idx="258" formatCode="General">
                  <c:v>7.5</c:v>
                </c:pt>
                <c:pt idx="259" formatCode="General">
                  <c:v>7.5</c:v>
                </c:pt>
                <c:pt idx="260" formatCode="General">
                  <c:v>7.5</c:v>
                </c:pt>
                <c:pt idx="261" formatCode="General">
                  <c:v>7.5</c:v>
                </c:pt>
                <c:pt idx="262" formatCode="General">
                  <c:v>7.5</c:v>
                </c:pt>
                <c:pt idx="263" formatCode="General">
                  <c:v>7.5</c:v>
                </c:pt>
                <c:pt idx="264" formatCode="General">
                  <c:v>7.5</c:v>
                </c:pt>
                <c:pt idx="265" formatCode="General">
                  <c:v>7.5</c:v>
                </c:pt>
                <c:pt idx="266" formatCode="General">
                  <c:v>7.5</c:v>
                </c:pt>
                <c:pt idx="267" formatCode="General">
                  <c:v>7.5</c:v>
                </c:pt>
                <c:pt idx="268" formatCode="General">
                  <c:v>7.5</c:v>
                </c:pt>
                <c:pt idx="269" formatCode="General">
                  <c:v>7.5</c:v>
                </c:pt>
                <c:pt idx="270" formatCode="General">
                  <c:v>7.5</c:v>
                </c:pt>
                <c:pt idx="271" formatCode="General">
                  <c:v>7.5</c:v>
                </c:pt>
                <c:pt idx="272" formatCode="General">
                  <c:v>7.5</c:v>
                </c:pt>
                <c:pt idx="273" formatCode="General">
                  <c:v>7.5</c:v>
                </c:pt>
                <c:pt idx="274" formatCode="General">
                  <c:v>7.5</c:v>
                </c:pt>
                <c:pt idx="275" formatCode="General">
                  <c:v>7.5</c:v>
                </c:pt>
                <c:pt idx="276" formatCode="General">
                  <c:v>7.5</c:v>
                </c:pt>
                <c:pt idx="277" formatCode="General">
                  <c:v>7.5</c:v>
                </c:pt>
                <c:pt idx="278" formatCode="General">
                  <c:v>7.5</c:v>
                </c:pt>
                <c:pt idx="279" formatCode="General">
                  <c:v>7.5</c:v>
                </c:pt>
                <c:pt idx="280" formatCode="General">
                  <c:v>7.5</c:v>
                </c:pt>
                <c:pt idx="281" formatCode="General">
                  <c:v>7.5</c:v>
                </c:pt>
                <c:pt idx="282" formatCode="General">
                  <c:v>7.5</c:v>
                </c:pt>
                <c:pt idx="283" formatCode="General">
                  <c:v>7.5</c:v>
                </c:pt>
                <c:pt idx="284" formatCode="General">
                  <c:v>7.5</c:v>
                </c:pt>
                <c:pt idx="285" formatCode="General">
                  <c:v>7.5</c:v>
                </c:pt>
                <c:pt idx="286" formatCode="General">
                  <c:v>7.5</c:v>
                </c:pt>
                <c:pt idx="287" formatCode="General">
                  <c:v>7.5</c:v>
                </c:pt>
                <c:pt idx="288" formatCode="General">
                  <c:v>7.5</c:v>
                </c:pt>
                <c:pt idx="289" formatCode="General">
                  <c:v>7.5</c:v>
                </c:pt>
                <c:pt idx="290" formatCode="General">
                  <c:v>7.5</c:v>
                </c:pt>
                <c:pt idx="291" formatCode="General">
                  <c:v>7.5</c:v>
                </c:pt>
                <c:pt idx="292" formatCode="General">
                  <c:v>7.5</c:v>
                </c:pt>
                <c:pt idx="293" formatCode="General">
                  <c:v>7.5</c:v>
                </c:pt>
                <c:pt idx="294" formatCode="General">
                  <c:v>7.5</c:v>
                </c:pt>
                <c:pt idx="295" formatCode="General">
                  <c:v>7.5</c:v>
                </c:pt>
                <c:pt idx="296" formatCode="General">
                  <c:v>7.5</c:v>
                </c:pt>
                <c:pt idx="297" formatCode="General">
                  <c:v>7.5</c:v>
                </c:pt>
                <c:pt idx="298" formatCode="General">
                  <c:v>7.5</c:v>
                </c:pt>
                <c:pt idx="299" formatCode="General">
                  <c:v>7.5</c:v>
                </c:pt>
                <c:pt idx="300" formatCode="General">
                  <c:v>7.5</c:v>
                </c:pt>
                <c:pt idx="301" formatCode="General">
                  <c:v>7.5</c:v>
                </c:pt>
                <c:pt idx="302" formatCode="General">
                  <c:v>7.5</c:v>
                </c:pt>
                <c:pt idx="303" formatCode="General">
                  <c:v>7.5</c:v>
                </c:pt>
                <c:pt idx="304" formatCode="General">
                  <c:v>7.5</c:v>
                </c:pt>
                <c:pt idx="305" formatCode="General">
                  <c:v>7.5</c:v>
                </c:pt>
                <c:pt idx="306" formatCode="General">
                  <c:v>7.5</c:v>
                </c:pt>
                <c:pt idx="307" formatCode="General">
                  <c:v>7.5</c:v>
                </c:pt>
                <c:pt idx="308" formatCode="General">
                  <c:v>7.5</c:v>
                </c:pt>
                <c:pt idx="309" formatCode="General">
                  <c:v>7.5</c:v>
                </c:pt>
                <c:pt idx="310" formatCode="General">
                  <c:v>7.5</c:v>
                </c:pt>
                <c:pt idx="311" formatCode="General">
                  <c:v>7.5</c:v>
                </c:pt>
                <c:pt idx="312" formatCode="General">
                  <c:v>7.5</c:v>
                </c:pt>
                <c:pt idx="313" formatCode="General">
                  <c:v>7.5</c:v>
                </c:pt>
                <c:pt idx="314" formatCode="General">
                  <c:v>7.5</c:v>
                </c:pt>
                <c:pt idx="315" formatCode="General">
                  <c:v>7.5</c:v>
                </c:pt>
                <c:pt idx="316" formatCode="General">
                  <c:v>7.5</c:v>
                </c:pt>
                <c:pt idx="317" formatCode="General">
                  <c:v>7.5</c:v>
                </c:pt>
                <c:pt idx="318" formatCode="General">
                  <c:v>7.5</c:v>
                </c:pt>
                <c:pt idx="319" formatCode="General">
                  <c:v>7.5</c:v>
                </c:pt>
                <c:pt idx="320" formatCode="General">
                  <c:v>7.5</c:v>
                </c:pt>
                <c:pt idx="321" formatCode="General">
                  <c:v>7.5</c:v>
                </c:pt>
                <c:pt idx="322" formatCode="General">
                  <c:v>7.5</c:v>
                </c:pt>
                <c:pt idx="323" formatCode="General">
                  <c:v>7.5</c:v>
                </c:pt>
                <c:pt idx="324" formatCode="General">
                  <c:v>7.5</c:v>
                </c:pt>
                <c:pt idx="325" formatCode="General">
                  <c:v>7.5</c:v>
                </c:pt>
                <c:pt idx="326" formatCode="General">
                  <c:v>7.5</c:v>
                </c:pt>
                <c:pt idx="327" formatCode="General">
                  <c:v>7.5</c:v>
                </c:pt>
                <c:pt idx="328" formatCode="General">
                  <c:v>7.5</c:v>
                </c:pt>
                <c:pt idx="329" formatCode="General">
                  <c:v>7.5</c:v>
                </c:pt>
                <c:pt idx="330" formatCode="General">
                  <c:v>7.5</c:v>
                </c:pt>
                <c:pt idx="331" formatCode="General">
                  <c:v>7.5</c:v>
                </c:pt>
                <c:pt idx="332" formatCode="General">
                  <c:v>7.5</c:v>
                </c:pt>
                <c:pt idx="333" formatCode="General">
                  <c:v>7.5</c:v>
                </c:pt>
                <c:pt idx="334" formatCode="General">
                  <c:v>7.5</c:v>
                </c:pt>
                <c:pt idx="335" formatCode="General">
                  <c:v>7.5</c:v>
                </c:pt>
                <c:pt idx="336" formatCode="General">
                  <c:v>7.5</c:v>
                </c:pt>
                <c:pt idx="337" formatCode="General">
                  <c:v>7.5</c:v>
                </c:pt>
                <c:pt idx="338" formatCode="General">
                  <c:v>7.5</c:v>
                </c:pt>
                <c:pt idx="339" formatCode="General">
                  <c:v>7.5</c:v>
                </c:pt>
                <c:pt idx="340" formatCode="General">
                  <c:v>7.5</c:v>
                </c:pt>
                <c:pt idx="341" formatCode="General">
                  <c:v>7.5</c:v>
                </c:pt>
                <c:pt idx="342" formatCode="General">
                  <c:v>7.5</c:v>
                </c:pt>
                <c:pt idx="343" formatCode="General">
                  <c:v>7.5</c:v>
                </c:pt>
                <c:pt idx="344" formatCode="General">
                  <c:v>7.5</c:v>
                </c:pt>
                <c:pt idx="345" formatCode="General">
                  <c:v>7.5</c:v>
                </c:pt>
                <c:pt idx="346" formatCode="General">
                  <c:v>7.5</c:v>
                </c:pt>
                <c:pt idx="347" formatCode="General">
                  <c:v>7.5</c:v>
                </c:pt>
                <c:pt idx="348" formatCode="General">
                  <c:v>7.5</c:v>
                </c:pt>
                <c:pt idx="349" formatCode="General">
                  <c:v>7.5</c:v>
                </c:pt>
                <c:pt idx="350" formatCode="General">
                  <c:v>7.5</c:v>
                </c:pt>
                <c:pt idx="351" formatCode="General">
                  <c:v>7.5</c:v>
                </c:pt>
                <c:pt idx="352" formatCode="General">
                  <c:v>7.5</c:v>
                </c:pt>
                <c:pt idx="353" formatCode="General">
                  <c:v>7.5</c:v>
                </c:pt>
                <c:pt idx="354" formatCode="General">
                  <c:v>7.5</c:v>
                </c:pt>
                <c:pt idx="355" formatCode="General">
                  <c:v>7.5</c:v>
                </c:pt>
                <c:pt idx="356" formatCode="General">
                  <c:v>7.5</c:v>
                </c:pt>
                <c:pt idx="357" formatCode="General">
                  <c:v>7.5</c:v>
                </c:pt>
                <c:pt idx="358" formatCode="General">
                  <c:v>7.5</c:v>
                </c:pt>
                <c:pt idx="359" formatCode="General">
                  <c:v>7.5</c:v>
                </c:pt>
                <c:pt idx="360" formatCode="General">
                  <c:v>7.5</c:v>
                </c:pt>
                <c:pt idx="361" formatCode="General">
                  <c:v>7.5</c:v>
                </c:pt>
                <c:pt idx="362" formatCode="General">
                  <c:v>7.5</c:v>
                </c:pt>
                <c:pt idx="363" formatCode="General">
                  <c:v>7.5</c:v>
                </c:pt>
                <c:pt idx="364" formatCode="General">
                  <c:v>7.5</c:v>
                </c:pt>
                <c:pt idx="365" formatCode="General">
                  <c:v>7.5</c:v>
                </c:pt>
                <c:pt idx="366" formatCode="General">
                  <c:v>7.5</c:v>
                </c:pt>
                <c:pt idx="367" formatCode="General">
                  <c:v>7.5</c:v>
                </c:pt>
                <c:pt idx="368" formatCode="General">
                  <c:v>7.5</c:v>
                </c:pt>
                <c:pt idx="369" formatCode="General">
                  <c:v>7.5</c:v>
                </c:pt>
                <c:pt idx="370" formatCode="General">
                  <c:v>7.5</c:v>
                </c:pt>
                <c:pt idx="371" formatCode="General">
                  <c:v>7.5</c:v>
                </c:pt>
                <c:pt idx="372" formatCode="General">
                  <c:v>7.5</c:v>
                </c:pt>
                <c:pt idx="373" formatCode="General">
                  <c:v>7.5</c:v>
                </c:pt>
                <c:pt idx="374" formatCode="General">
                  <c:v>7.5</c:v>
                </c:pt>
                <c:pt idx="375" formatCode="General">
                  <c:v>7.5</c:v>
                </c:pt>
                <c:pt idx="376" formatCode="General">
                  <c:v>7.5</c:v>
                </c:pt>
                <c:pt idx="377" formatCode="General">
                  <c:v>7.5</c:v>
                </c:pt>
                <c:pt idx="378" formatCode="General">
                  <c:v>7.5</c:v>
                </c:pt>
                <c:pt idx="379" formatCode="General">
                  <c:v>7.5</c:v>
                </c:pt>
                <c:pt idx="380" formatCode="General">
                  <c:v>7.5</c:v>
                </c:pt>
                <c:pt idx="381" formatCode="General">
                  <c:v>7.5</c:v>
                </c:pt>
                <c:pt idx="382" formatCode="General">
                  <c:v>7.5</c:v>
                </c:pt>
                <c:pt idx="383" formatCode="General">
                  <c:v>7.5</c:v>
                </c:pt>
                <c:pt idx="384" formatCode="General">
                  <c:v>7.5</c:v>
                </c:pt>
                <c:pt idx="385" formatCode="General">
                  <c:v>7.5</c:v>
                </c:pt>
                <c:pt idx="386" formatCode="General">
                  <c:v>7.5</c:v>
                </c:pt>
                <c:pt idx="387" formatCode="General">
                  <c:v>7.5</c:v>
                </c:pt>
                <c:pt idx="388" formatCode="General">
                  <c:v>7.5</c:v>
                </c:pt>
                <c:pt idx="389" formatCode="General">
                  <c:v>7.5</c:v>
                </c:pt>
                <c:pt idx="390" formatCode="General">
                  <c:v>7.5</c:v>
                </c:pt>
                <c:pt idx="391" formatCode="General">
                  <c:v>7.5</c:v>
                </c:pt>
                <c:pt idx="392" formatCode="General">
                  <c:v>7.5</c:v>
                </c:pt>
                <c:pt idx="393" formatCode="General">
                  <c:v>7.5</c:v>
                </c:pt>
                <c:pt idx="394" formatCode="General">
                  <c:v>7.5</c:v>
                </c:pt>
                <c:pt idx="395" formatCode="General">
                  <c:v>7.5</c:v>
                </c:pt>
                <c:pt idx="396" formatCode="General">
                  <c:v>7.5</c:v>
                </c:pt>
                <c:pt idx="397" formatCode="General">
                  <c:v>7.5</c:v>
                </c:pt>
                <c:pt idx="398" formatCode="General">
                  <c:v>7.5</c:v>
                </c:pt>
                <c:pt idx="399" formatCode="General">
                  <c:v>7.5</c:v>
                </c:pt>
                <c:pt idx="400" formatCode="General">
                  <c:v>7.5</c:v>
                </c:pt>
                <c:pt idx="401" formatCode="General">
                  <c:v>7.5</c:v>
                </c:pt>
                <c:pt idx="402" formatCode="General">
                  <c:v>4</c:v>
                </c:pt>
                <c:pt idx="403" formatCode="General">
                  <c:v>4</c:v>
                </c:pt>
                <c:pt idx="404" formatCode="General">
                  <c:v>4</c:v>
                </c:pt>
                <c:pt idx="405" formatCode="General">
                  <c:v>4</c:v>
                </c:pt>
                <c:pt idx="406" formatCode="General">
                  <c:v>4</c:v>
                </c:pt>
                <c:pt idx="407" formatCode="General">
                  <c:v>4</c:v>
                </c:pt>
                <c:pt idx="408" formatCode="General">
                  <c:v>4</c:v>
                </c:pt>
                <c:pt idx="409" formatCode="General">
                  <c:v>4</c:v>
                </c:pt>
                <c:pt idx="410" formatCode="General">
                  <c:v>4</c:v>
                </c:pt>
                <c:pt idx="411" formatCode="General">
                  <c:v>4</c:v>
                </c:pt>
                <c:pt idx="412" formatCode="General">
                  <c:v>4</c:v>
                </c:pt>
                <c:pt idx="413" formatCode="General">
                  <c:v>4</c:v>
                </c:pt>
                <c:pt idx="414" formatCode="General">
                  <c:v>4</c:v>
                </c:pt>
                <c:pt idx="415" formatCode="General">
                  <c:v>4</c:v>
                </c:pt>
                <c:pt idx="416" formatCode="General">
                  <c:v>4</c:v>
                </c:pt>
                <c:pt idx="417" formatCode="General">
                  <c:v>4</c:v>
                </c:pt>
                <c:pt idx="418" formatCode="General">
                  <c:v>4</c:v>
                </c:pt>
                <c:pt idx="419" formatCode="General">
                  <c:v>4</c:v>
                </c:pt>
                <c:pt idx="420" formatCode="General">
                  <c:v>4</c:v>
                </c:pt>
                <c:pt idx="421" formatCode="General">
                  <c:v>4</c:v>
                </c:pt>
                <c:pt idx="422" formatCode="General">
                  <c:v>4</c:v>
                </c:pt>
                <c:pt idx="423" formatCode="General">
                  <c:v>4</c:v>
                </c:pt>
                <c:pt idx="424" formatCode="General">
                  <c:v>4</c:v>
                </c:pt>
                <c:pt idx="425" formatCode="General">
                  <c:v>4</c:v>
                </c:pt>
                <c:pt idx="426" formatCode="General">
                  <c:v>4</c:v>
                </c:pt>
                <c:pt idx="427" formatCode="General">
                  <c:v>4</c:v>
                </c:pt>
                <c:pt idx="428" formatCode="General">
                  <c:v>4</c:v>
                </c:pt>
                <c:pt idx="429" formatCode="General">
                  <c:v>4</c:v>
                </c:pt>
                <c:pt idx="430" formatCode="General">
                  <c:v>4</c:v>
                </c:pt>
                <c:pt idx="431" formatCode="General">
                  <c:v>4</c:v>
                </c:pt>
                <c:pt idx="432" formatCode="General">
                  <c:v>4</c:v>
                </c:pt>
                <c:pt idx="433" formatCode="General">
                  <c:v>4</c:v>
                </c:pt>
                <c:pt idx="434" formatCode="General">
                  <c:v>4</c:v>
                </c:pt>
                <c:pt idx="435" formatCode="General">
                  <c:v>4</c:v>
                </c:pt>
                <c:pt idx="436" formatCode="General">
                  <c:v>4</c:v>
                </c:pt>
                <c:pt idx="437" formatCode="General">
                  <c:v>4</c:v>
                </c:pt>
                <c:pt idx="438" formatCode="General">
                  <c:v>4</c:v>
                </c:pt>
                <c:pt idx="439" formatCode="General">
                  <c:v>4</c:v>
                </c:pt>
                <c:pt idx="440" formatCode="General">
                  <c:v>4</c:v>
                </c:pt>
                <c:pt idx="441" formatCode="General">
                  <c:v>4</c:v>
                </c:pt>
                <c:pt idx="442" formatCode="General">
                  <c:v>4</c:v>
                </c:pt>
                <c:pt idx="443" formatCode="General">
                  <c:v>4</c:v>
                </c:pt>
                <c:pt idx="444" formatCode="General">
                  <c:v>4</c:v>
                </c:pt>
                <c:pt idx="445" formatCode="General">
                  <c:v>4</c:v>
                </c:pt>
                <c:pt idx="446" formatCode="General">
                  <c:v>4</c:v>
                </c:pt>
                <c:pt idx="447" formatCode="General">
                  <c:v>4</c:v>
                </c:pt>
                <c:pt idx="448" formatCode="General">
                  <c:v>4</c:v>
                </c:pt>
                <c:pt idx="449" formatCode="General">
                  <c:v>4</c:v>
                </c:pt>
                <c:pt idx="450" formatCode="General">
                  <c:v>4</c:v>
                </c:pt>
                <c:pt idx="451" formatCode="General">
                  <c:v>4</c:v>
                </c:pt>
                <c:pt idx="452" formatCode="General">
                  <c:v>4</c:v>
                </c:pt>
                <c:pt idx="453" formatCode="General">
                  <c:v>4</c:v>
                </c:pt>
                <c:pt idx="454" formatCode="General">
                  <c:v>7.5</c:v>
                </c:pt>
                <c:pt idx="455" formatCode="General">
                  <c:v>7.5</c:v>
                </c:pt>
                <c:pt idx="456" formatCode="General">
                  <c:v>7.5</c:v>
                </c:pt>
                <c:pt idx="457" formatCode="General">
                  <c:v>7.5</c:v>
                </c:pt>
                <c:pt idx="458" formatCode="General">
                  <c:v>7.5</c:v>
                </c:pt>
                <c:pt idx="459" formatCode="General">
                  <c:v>7.5</c:v>
                </c:pt>
                <c:pt idx="460" formatCode="General">
                  <c:v>7.5</c:v>
                </c:pt>
                <c:pt idx="461" formatCode="General">
                  <c:v>7.5</c:v>
                </c:pt>
                <c:pt idx="462" formatCode="General">
                  <c:v>7.5</c:v>
                </c:pt>
                <c:pt idx="463" formatCode="General">
                  <c:v>7.5</c:v>
                </c:pt>
                <c:pt idx="464" formatCode="General">
                  <c:v>7.5</c:v>
                </c:pt>
                <c:pt idx="465" formatCode="General">
                  <c:v>7.5</c:v>
                </c:pt>
                <c:pt idx="466" formatCode="General">
                  <c:v>7.5</c:v>
                </c:pt>
                <c:pt idx="467" formatCode="General">
                  <c:v>7.5</c:v>
                </c:pt>
                <c:pt idx="468" formatCode="General">
                  <c:v>7.5</c:v>
                </c:pt>
                <c:pt idx="469" formatCode="General">
                  <c:v>7.5</c:v>
                </c:pt>
                <c:pt idx="470" formatCode="General">
                  <c:v>7.5</c:v>
                </c:pt>
                <c:pt idx="471" formatCode="General">
                  <c:v>7.5</c:v>
                </c:pt>
                <c:pt idx="472" formatCode="General">
                  <c:v>7.5</c:v>
                </c:pt>
                <c:pt idx="473" formatCode="General">
                  <c:v>7.5</c:v>
                </c:pt>
                <c:pt idx="474" formatCode="General">
                  <c:v>7.5</c:v>
                </c:pt>
                <c:pt idx="475" formatCode="General">
                  <c:v>7.5</c:v>
                </c:pt>
                <c:pt idx="476" formatCode="General">
                  <c:v>7.5</c:v>
                </c:pt>
                <c:pt idx="477" formatCode="General">
                  <c:v>7.5</c:v>
                </c:pt>
                <c:pt idx="478" formatCode="General">
                  <c:v>7.5</c:v>
                </c:pt>
                <c:pt idx="479" formatCode="General">
                  <c:v>7.5</c:v>
                </c:pt>
                <c:pt idx="480" formatCode="General">
                  <c:v>7.5</c:v>
                </c:pt>
                <c:pt idx="481" formatCode="General">
                  <c:v>7.5</c:v>
                </c:pt>
                <c:pt idx="482" formatCode="General">
                  <c:v>7.5</c:v>
                </c:pt>
                <c:pt idx="483" formatCode="General">
                  <c:v>7.5</c:v>
                </c:pt>
                <c:pt idx="484" formatCode="General">
                  <c:v>7.5</c:v>
                </c:pt>
                <c:pt idx="485" formatCode="General">
                  <c:v>7.5</c:v>
                </c:pt>
                <c:pt idx="486" formatCode="General">
                  <c:v>7.5</c:v>
                </c:pt>
                <c:pt idx="487" formatCode="General">
                  <c:v>7.5</c:v>
                </c:pt>
                <c:pt idx="488" formatCode="General">
                  <c:v>7.5</c:v>
                </c:pt>
                <c:pt idx="489" formatCode="General">
                  <c:v>7.5</c:v>
                </c:pt>
                <c:pt idx="490" formatCode="General">
                  <c:v>7.5</c:v>
                </c:pt>
                <c:pt idx="491" formatCode="General">
                  <c:v>7.5</c:v>
                </c:pt>
                <c:pt idx="492" formatCode="General">
                  <c:v>7.5</c:v>
                </c:pt>
                <c:pt idx="493" formatCode="General">
                  <c:v>7.5</c:v>
                </c:pt>
                <c:pt idx="494" formatCode="General">
                  <c:v>7.5</c:v>
                </c:pt>
                <c:pt idx="495" formatCode="General">
                  <c:v>7.5</c:v>
                </c:pt>
                <c:pt idx="496" formatCode="General">
                  <c:v>7.5</c:v>
                </c:pt>
                <c:pt idx="497" formatCode="General">
                  <c:v>7.5</c:v>
                </c:pt>
                <c:pt idx="498" formatCode="General">
                  <c:v>7.5</c:v>
                </c:pt>
                <c:pt idx="499" formatCode="General">
                  <c:v>7.5</c:v>
                </c:pt>
                <c:pt idx="500" formatCode="General">
                  <c:v>7.5</c:v>
                </c:pt>
                <c:pt idx="501" formatCode="General">
                  <c:v>7.5</c:v>
                </c:pt>
                <c:pt idx="502" formatCode="General">
                  <c:v>7.5</c:v>
                </c:pt>
                <c:pt idx="503" formatCode="General">
                  <c:v>7.5</c:v>
                </c:pt>
                <c:pt idx="504" formatCode="General">
                  <c:v>7.5</c:v>
                </c:pt>
                <c:pt idx="505" formatCode="General">
                  <c:v>7.5</c:v>
                </c:pt>
                <c:pt idx="506" formatCode="General">
                  <c:v>7.5</c:v>
                </c:pt>
                <c:pt idx="507" formatCode="General">
                  <c:v>7.5</c:v>
                </c:pt>
                <c:pt idx="508" formatCode="General">
                  <c:v>7.5</c:v>
                </c:pt>
                <c:pt idx="509" formatCode="General">
                  <c:v>7.5</c:v>
                </c:pt>
                <c:pt idx="510" formatCode="General">
                  <c:v>7.5</c:v>
                </c:pt>
                <c:pt idx="511" formatCode="General">
                  <c:v>7.5</c:v>
                </c:pt>
                <c:pt idx="512" formatCode="General">
                  <c:v>7.5</c:v>
                </c:pt>
                <c:pt idx="513" formatCode="General">
                  <c:v>7.5</c:v>
                </c:pt>
                <c:pt idx="514" formatCode="General">
                  <c:v>7.5</c:v>
                </c:pt>
                <c:pt idx="515" formatCode="General">
                  <c:v>7.5</c:v>
                </c:pt>
                <c:pt idx="516" formatCode="General">
                  <c:v>7.5</c:v>
                </c:pt>
                <c:pt idx="517" formatCode="General">
                  <c:v>7.5</c:v>
                </c:pt>
                <c:pt idx="518" formatCode="General">
                  <c:v>7.5</c:v>
                </c:pt>
                <c:pt idx="519" formatCode="General">
                  <c:v>7.5</c:v>
                </c:pt>
                <c:pt idx="520" formatCode="General">
                  <c:v>7.5</c:v>
                </c:pt>
                <c:pt idx="521" formatCode="General">
                  <c:v>7.5</c:v>
                </c:pt>
                <c:pt idx="522" formatCode="General">
                  <c:v>7.5</c:v>
                </c:pt>
                <c:pt idx="523" formatCode="General">
                  <c:v>7.5</c:v>
                </c:pt>
                <c:pt idx="524" formatCode="General">
                  <c:v>7.5</c:v>
                </c:pt>
                <c:pt idx="525" formatCode="General">
                  <c:v>7.5</c:v>
                </c:pt>
                <c:pt idx="526" formatCode="General">
                  <c:v>7.5</c:v>
                </c:pt>
                <c:pt idx="527" formatCode="General">
                  <c:v>7.5</c:v>
                </c:pt>
                <c:pt idx="528" formatCode="General">
                  <c:v>7.5</c:v>
                </c:pt>
                <c:pt idx="529" formatCode="General">
                  <c:v>7.5</c:v>
                </c:pt>
                <c:pt idx="530" formatCode="General">
                  <c:v>7.5</c:v>
                </c:pt>
                <c:pt idx="531" formatCode="General">
                  <c:v>7.5</c:v>
                </c:pt>
                <c:pt idx="532" formatCode="General">
                  <c:v>7.5</c:v>
                </c:pt>
                <c:pt idx="533" formatCode="General">
                  <c:v>7.5</c:v>
                </c:pt>
                <c:pt idx="534" formatCode="General">
                  <c:v>7.5</c:v>
                </c:pt>
                <c:pt idx="535" formatCode="General">
                  <c:v>7.5</c:v>
                </c:pt>
                <c:pt idx="536" formatCode="General">
                  <c:v>7.5</c:v>
                </c:pt>
                <c:pt idx="537" formatCode="General">
                  <c:v>7.5</c:v>
                </c:pt>
                <c:pt idx="538" formatCode="General">
                  <c:v>7.5</c:v>
                </c:pt>
                <c:pt idx="539" formatCode="General">
                  <c:v>6.5</c:v>
                </c:pt>
                <c:pt idx="540" formatCode="General">
                  <c:v>6.5</c:v>
                </c:pt>
                <c:pt idx="541" formatCode="General">
                  <c:v>6.5</c:v>
                </c:pt>
                <c:pt idx="542" formatCode="General">
                  <c:v>6.5</c:v>
                </c:pt>
                <c:pt idx="543" formatCode="General">
                  <c:v>6.5</c:v>
                </c:pt>
                <c:pt idx="544" formatCode="General">
                  <c:v>6.5</c:v>
                </c:pt>
                <c:pt idx="545" formatCode="General">
                  <c:v>6.5</c:v>
                </c:pt>
                <c:pt idx="546" formatCode="General">
                  <c:v>6.5</c:v>
                </c:pt>
                <c:pt idx="547" formatCode="General">
                  <c:v>6.5</c:v>
                </c:pt>
                <c:pt idx="548" formatCode="General">
                  <c:v>6.5</c:v>
                </c:pt>
                <c:pt idx="549" formatCode="General">
                  <c:v>6.5</c:v>
                </c:pt>
                <c:pt idx="550" formatCode="General">
                  <c:v>6.5</c:v>
                </c:pt>
                <c:pt idx="551" formatCode="General">
                  <c:v>6.5</c:v>
                </c:pt>
                <c:pt idx="552" formatCode="General">
                  <c:v>6.5</c:v>
                </c:pt>
                <c:pt idx="553" formatCode="General">
                  <c:v>6.5</c:v>
                </c:pt>
                <c:pt idx="554" formatCode="General">
                  <c:v>6.5</c:v>
                </c:pt>
                <c:pt idx="555" formatCode="General">
                  <c:v>6.5</c:v>
                </c:pt>
                <c:pt idx="556" formatCode="General">
                  <c:v>6.5</c:v>
                </c:pt>
                <c:pt idx="557" formatCode="General">
                  <c:v>6.5</c:v>
                </c:pt>
                <c:pt idx="558" formatCode="General">
                  <c:v>6.5</c:v>
                </c:pt>
                <c:pt idx="559" formatCode="General">
                  <c:v>6.5</c:v>
                </c:pt>
                <c:pt idx="560" formatCode="General">
                  <c:v>6.5</c:v>
                </c:pt>
                <c:pt idx="561" formatCode="General">
                  <c:v>6.5</c:v>
                </c:pt>
                <c:pt idx="562" formatCode="General">
                  <c:v>6.5</c:v>
                </c:pt>
                <c:pt idx="563" formatCode="General">
                  <c:v>6.5</c:v>
                </c:pt>
                <c:pt idx="564" formatCode="General">
                  <c:v>6.5</c:v>
                </c:pt>
                <c:pt idx="565" formatCode="General">
                  <c:v>6.5</c:v>
                </c:pt>
                <c:pt idx="566" formatCode="General">
                  <c:v>6.5</c:v>
                </c:pt>
                <c:pt idx="567" formatCode="General">
                  <c:v>6.5</c:v>
                </c:pt>
                <c:pt idx="568" formatCode="General">
                  <c:v>6.5</c:v>
                </c:pt>
                <c:pt idx="569" formatCode="General">
                  <c:v>6.5</c:v>
                </c:pt>
                <c:pt idx="570" formatCode="General">
                  <c:v>6.5</c:v>
                </c:pt>
                <c:pt idx="571" formatCode="General">
                  <c:v>6.5</c:v>
                </c:pt>
                <c:pt idx="572" formatCode="General">
                  <c:v>6.5</c:v>
                </c:pt>
                <c:pt idx="573" formatCode="General">
                  <c:v>6.5</c:v>
                </c:pt>
                <c:pt idx="574" formatCode="General">
                  <c:v>6.5</c:v>
                </c:pt>
                <c:pt idx="575" formatCode="General">
                  <c:v>6.5</c:v>
                </c:pt>
                <c:pt idx="576" formatCode="General">
                  <c:v>6.5</c:v>
                </c:pt>
                <c:pt idx="577" formatCode="General">
                  <c:v>6.5</c:v>
                </c:pt>
                <c:pt idx="578" formatCode="General">
                  <c:v>6.5</c:v>
                </c:pt>
                <c:pt idx="579" formatCode="General">
                  <c:v>6.5</c:v>
                </c:pt>
                <c:pt idx="580" formatCode="General">
                  <c:v>6.5</c:v>
                </c:pt>
                <c:pt idx="581" formatCode="General">
                  <c:v>6.5</c:v>
                </c:pt>
                <c:pt idx="582" formatCode="General">
                  <c:v>6.5</c:v>
                </c:pt>
                <c:pt idx="583" formatCode="General">
                  <c:v>6.5</c:v>
                </c:pt>
                <c:pt idx="584" formatCode="General">
                  <c:v>6.5</c:v>
                </c:pt>
                <c:pt idx="585" formatCode="General">
                  <c:v>6.5</c:v>
                </c:pt>
                <c:pt idx="586" formatCode="General">
                  <c:v>6.5</c:v>
                </c:pt>
                <c:pt idx="587" formatCode="General">
                  <c:v>6.5</c:v>
                </c:pt>
                <c:pt idx="588" formatCode="General">
                  <c:v>6.5</c:v>
                </c:pt>
                <c:pt idx="589" formatCode="General">
                  <c:v>6.5</c:v>
                </c:pt>
                <c:pt idx="590" formatCode="General">
                  <c:v>6.5</c:v>
                </c:pt>
                <c:pt idx="591" formatCode="General">
                  <c:v>6.5</c:v>
                </c:pt>
                <c:pt idx="592" formatCode="General">
                  <c:v>6.5</c:v>
                </c:pt>
                <c:pt idx="593" formatCode="General">
                  <c:v>6.5</c:v>
                </c:pt>
                <c:pt idx="594" formatCode="General">
                  <c:v>6.5</c:v>
                </c:pt>
                <c:pt idx="595" formatCode="General">
                  <c:v>6.5</c:v>
                </c:pt>
                <c:pt idx="596" formatCode="General">
                  <c:v>6.5</c:v>
                </c:pt>
                <c:pt idx="597" formatCode="General">
                  <c:v>6.5</c:v>
                </c:pt>
                <c:pt idx="598" formatCode="General">
                  <c:v>6.5</c:v>
                </c:pt>
                <c:pt idx="599" formatCode="General">
                  <c:v>6.5</c:v>
                </c:pt>
                <c:pt idx="600" formatCode="General">
                  <c:v>6.5</c:v>
                </c:pt>
                <c:pt idx="601" formatCode="General">
                  <c:v>6.5</c:v>
                </c:pt>
                <c:pt idx="602" formatCode="General">
                  <c:v>6.5</c:v>
                </c:pt>
                <c:pt idx="603" formatCode="General">
                  <c:v>6.5</c:v>
                </c:pt>
                <c:pt idx="604" formatCode="General">
                  <c:v>6.5</c:v>
                </c:pt>
                <c:pt idx="605" formatCode="General">
                  <c:v>6.5</c:v>
                </c:pt>
                <c:pt idx="606" formatCode="General">
                  <c:v>6.5</c:v>
                </c:pt>
                <c:pt idx="607" formatCode="General">
                  <c:v>6.5</c:v>
                </c:pt>
                <c:pt idx="608" formatCode="General">
                  <c:v>6.5</c:v>
                </c:pt>
                <c:pt idx="609" formatCode="General">
                  <c:v>6.5</c:v>
                </c:pt>
                <c:pt idx="610" formatCode="General">
                  <c:v>6.5</c:v>
                </c:pt>
                <c:pt idx="611" formatCode="General">
                  <c:v>6.5</c:v>
                </c:pt>
                <c:pt idx="612" formatCode="General">
                  <c:v>6.5</c:v>
                </c:pt>
                <c:pt idx="613" formatCode="General">
                  <c:v>6.5</c:v>
                </c:pt>
                <c:pt idx="614" formatCode="General">
                  <c:v>6.5</c:v>
                </c:pt>
                <c:pt idx="615" formatCode="General">
                  <c:v>6.5</c:v>
                </c:pt>
                <c:pt idx="616" formatCode="General">
                  <c:v>6.5</c:v>
                </c:pt>
                <c:pt idx="617" formatCode="General">
                  <c:v>6.5</c:v>
                </c:pt>
                <c:pt idx="618" formatCode="General">
                  <c:v>6.5</c:v>
                </c:pt>
                <c:pt idx="619" formatCode="General">
                  <c:v>6.5</c:v>
                </c:pt>
                <c:pt idx="620" formatCode="General">
                  <c:v>6.5</c:v>
                </c:pt>
                <c:pt idx="621" formatCode="General">
                  <c:v>6.5</c:v>
                </c:pt>
                <c:pt idx="622" formatCode="General">
                  <c:v>6.5</c:v>
                </c:pt>
                <c:pt idx="623" formatCode="General">
                  <c:v>6.5</c:v>
                </c:pt>
                <c:pt idx="624" formatCode="General">
                  <c:v>6.5</c:v>
                </c:pt>
                <c:pt idx="625" formatCode="General">
                  <c:v>6.5</c:v>
                </c:pt>
                <c:pt idx="626" formatCode="General">
                  <c:v>6.5</c:v>
                </c:pt>
                <c:pt idx="627" formatCode="General">
                  <c:v>6.5</c:v>
                </c:pt>
                <c:pt idx="628" formatCode="General">
                  <c:v>6.5</c:v>
                </c:pt>
                <c:pt idx="629" formatCode="General">
                  <c:v>6.5</c:v>
                </c:pt>
                <c:pt idx="630" formatCode="General">
                  <c:v>6.5</c:v>
                </c:pt>
                <c:pt idx="631" formatCode="General">
                  <c:v>6.5</c:v>
                </c:pt>
                <c:pt idx="632" formatCode="General">
                  <c:v>6.5</c:v>
                </c:pt>
                <c:pt idx="633" formatCode="General">
                  <c:v>6.5</c:v>
                </c:pt>
                <c:pt idx="634" formatCode="General">
                  <c:v>6.5</c:v>
                </c:pt>
                <c:pt idx="635" formatCode="General">
                  <c:v>6.5</c:v>
                </c:pt>
                <c:pt idx="636" formatCode="General">
                  <c:v>6.5</c:v>
                </c:pt>
                <c:pt idx="637" formatCode="General">
                  <c:v>6.5</c:v>
                </c:pt>
                <c:pt idx="638" formatCode="General">
                  <c:v>6.5</c:v>
                </c:pt>
                <c:pt idx="639" formatCode="General">
                  <c:v>6.5</c:v>
                </c:pt>
                <c:pt idx="640" formatCode="General">
                  <c:v>6.5</c:v>
                </c:pt>
                <c:pt idx="641" formatCode="General">
                  <c:v>6.5</c:v>
                </c:pt>
                <c:pt idx="642" formatCode="General">
                  <c:v>6.5</c:v>
                </c:pt>
                <c:pt idx="643" formatCode="General">
                  <c:v>6.5</c:v>
                </c:pt>
                <c:pt idx="644" formatCode="General">
                  <c:v>6.5</c:v>
                </c:pt>
                <c:pt idx="645" formatCode="General">
                  <c:v>6.5</c:v>
                </c:pt>
                <c:pt idx="646" formatCode="General">
                  <c:v>6.5</c:v>
                </c:pt>
                <c:pt idx="647" formatCode="General">
                  <c:v>6.5</c:v>
                </c:pt>
                <c:pt idx="648" formatCode="General">
                  <c:v>6.5</c:v>
                </c:pt>
                <c:pt idx="649" formatCode="General">
                  <c:v>6.5</c:v>
                </c:pt>
                <c:pt idx="650" formatCode="General">
                  <c:v>6.5</c:v>
                </c:pt>
                <c:pt idx="651" formatCode="General">
                  <c:v>6.5</c:v>
                </c:pt>
                <c:pt idx="652" formatCode="General">
                  <c:v>6.5</c:v>
                </c:pt>
                <c:pt idx="653" formatCode="General">
                  <c:v>6.5</c:v>
                </c:pt>
                <c:pt idx="654" formatCode="General">
                  <c:v>6.5</c:v>
                </c:pt>
                <c:pt idx="655" formatCode="General">
                  <c:v>6.5</c:v>
                </c:pt>
                <c:pt idx="656" formatCode="General">
                  <c:v>6.5</c:v>
                </c:pt>
                <c:pt idx="657" formatCode="General">
                  <c:v>6.5</c:v>
                </c:pt>
                <c:pt idx="658" formatCode="General">
                  <c:v>6.5</c:v>
                </c:pt>
                <c:pt idx="659" formatCode="General">
                  <c:v>6.5</c:v>
                </c:pt>
                <c:pt idx="660" formatCode="General">
                  <c:v>6.5</c:v>
                </c:pt>
                <c:pt idx="661" formatCode="General">
                  <c:v>6.5</c:v>
                </c:pt>
                <c:pt idx="662" formatCode="General">
                  <c:v>6.5</c:v>
                </c:pt>
                <c:pt idx="663" formatCode="General">
                  <c:v>6.5</c:v>
                </c:pt>
                <c:pt idx="664" formatCode="General">
                  <c:v>6.5</c:v>
                </c:pt>
                <c:pt idx="665" formatCode="General">
                  <c:v>6.5</c:v>
                </c:pt>
                <c:pt idx="666" formatCode="General">
                  <c:v>6.5</c:v>
                </c:pt>
                <c:pt idx="667" formatCode="General">
                  <c:v>6.5</c:v>
                </c:pt>
                <c:pt idx="668" formatCode="General">
                  <c:v>6.5</c:v>
                </c:pt>
                <c:pt idx="669" formatCode="General">
                  <c:v>6.5</c:v>
                </c:pt>
                <c:pt idx="670" formatCode="General">
                  <c:v>6.5</c:v>
                </c:pt>
                <c:pt idx="671" formatCode="General">
                  <c:v>6.5</c:v>
                </c:pt>
                <c:pt idx="672" formatCode="General">
                  <c:v>6.5</c:v>
                </c:pt>
                <c:pt idx="673" formatCode="General">
                  <c:v>6.5</c:v>
                </c:pt>
                <c:pt idx="674" formatCode="General">
                  <c:v>6.5</c:v>
                </c:pt>
                <c:pt idx="675" formatCode="General">
                  <c:v>6.5</c:v>
                </c:pt>
                <c:pt idx="676" formatCode="General">
                  <c:v>6.5</c:v>
                </c:pt>
                <c:pt idx="677" formatCode="General">
                  <c:v>6.5</c:v>
                </c:pt>
                <c:pt idx="678" formatCode="General">
                  <c:v>6.5</c:v>
                </c:pt>
                <c:pt idx="679" formatCode="General">
                  <c:v>6.5</c:v>
                </c:pt>
                <c:pt idx="680" formatCode="General">
                  <c:v>6.5</c:v>
                </c:pt>
                <c:pt idx="681" formatCode="General">
                  <c:v>6.5</c:v>
                </c:pt>
                <c:pt idx="682" formatCode="General">
                  <c:v>6.5</c:v>
                </c:pt>
                <c:pt idx="683" formatCode="General">
                  <c:v>5</c:v>
                </c:pt>
                <c:pt idx="684" formatCode="General">
                  <c:v>5</c:v>
                </c:pt>
                <c:pt idx="685" formatCode="General">
                  <c:v>5</c:v>
                </c:pt>
                <c:pt idx="686" formatCode="General">
                  <c:v>5</c:v>
                </c:pt>
                <c:pt idx="687" formatCode="General">
                  <c:v>5</c:v>
                </c:pt>
                <c:pt idx="688" formatCode="General">
                  <c:v>5</c:v>
                </c:pt>
                <c:pt idx="689" formatCode="General">
                  <c:v>5</c:v>
                </c:pt>
                <c:pt idx="690" formatCode="General">
                  <c:v>5</c:v>
                </c:pt>
                <c:pt idx="691" formatCode="General">
                  <c:v>5</c:v>
                </c:pt>
              </c:numCache>
            </c:numRef>
          </c:val>
        </c:ser>
        <c:axId val="229407360"/>
        <c:axId val="229466496"/>
      </c:areaChart>
      <c:lineChart>
        <c:grouping val="standard"/>
        <c:ser>
          <c:idx val="3"/>
          <c:order val="2"/>
          <c:tx>
            <c:strRef>
              <c:f>'Faiz Koridoru Veri'!$E$2</c:f>
              <c:strCache>
                <c:ptCount val="1"/>
                <c:pt idx="0">
                  <c:v>İMKB Repo Faizi</c:v>
                </c:pt>
              </c:strCache>
            </c:strRef>
          </c:tx>
          <c:spPr>
            <a:ln w="20198">
              <a:solidFill>
                <a:schemeClr val="tx2"/>
              </a:solidFill>
            </a:ln>
          </c:spPr>
          <c:marker>
            <c:symbol val="none"/>
          </c:marker>
          <c:cat>
            <c:numRef>
              <c:f>'Faiz Koridoru Veri'!$A$3:$A$694</c:f>
              <c:numCache>
                <c:formatCode>dd/mm/yyyy</c:formatCode>
                <c:ptCount val="692"/>
                <c:pt idx="0">
                  <c:v>40182</c:v>
                </c:pt>
                <c:pt idx="1">
                  <c:v>40183</c:v>
                </c:pt>
                <c:pt idx="2">
                  <c:v>40184</c:v>
                </c:pt>
                <c:pt idx="3">
                  <c:v>40185</c:v>
                </c:pt>
                <c:pt idx="4">
                  <c:v>40186</c:v>
                </c:pt>
                <c:pt idx="5">
                  <c:v>40189</c:v>
                </c:pt>
                <c:pt idx="6">
                  <c:v>40190</c:v>
                </c:pt>
                <c:pt idx="7">
                  <c:v>40191</c:v>
                </c:pt>
                <c:pt idx="8">
                  <c:v>40192</c:v>
                </c:pt>
                <c:pt idx="9">
                  <c:v>40193</c:v>
                </c:pt>
                <c:pt idx="10">
                  <c:v>40196</c:v>
                </c:pt>
                <c:pt idx="11">
                  <c:v>40197</c:v>
                </c:pt>
                <c:pt idx="12">
                  <c:v>40198</c:v>
                </c:pt>
                <c:pt idx="13">
                  <c:v>40199</c:v>
                </c:pt>
                <c:pt idx="14">
                  <c:v>40200</c:v>
                </c:pt>
                <c:pt idx="15">
                  <c:v>40203</c:v>
                </c:pt>
                <c:pt idx="16">
                  <c:v>40204</c:v>
                </c:pt>
                <c:pt idx="17">
                  <c:v>40205</c:v>
                </c:pt>
                <c:pt idx="18">
                  <c:v>40206</c:v>
                </c:pt>
                <c:pt idx="19">
                  <c:v>40207</c:v>
                </c:pt>
                <c:pt idx="20">
                  <c:v>40210</c:v>
                </c:pt>
                <c:pt idx="21">
                  <c:v>40211</c:v>
                </c:pt>
                <c:pt idx="22">
                  <c:v>40212</c:v>
                </c:pt>
                <c:pt idx="23">
                  <c:v>40213</c:v>
                </c:pt>
                <c:pt idx="24">
                  <c:v>40214</c:v>
                </c:pt>
                <c:pt idx="25">
                  <c:v>40217</c:v>
                </c:pt>
                <c:pt idx="26">
                  <c:v>40218</c:v>
                </c:pt>
                <c:pt idx="27">
                  <c:v>40219</c:v>
                </c:pt>
                <c:pt idx="28">
                  <c:v>40220</c:v>
                </c:pt>
                <c:pt idx="29">
                  <c:v>40221</c:v>
                </c:pt>
                <c:pt idx="30">
                  <c:v>40224</c:v>
                </c:pt>
                <c:pt idx="31">
                  <c:v>40225</c:v>
                </c:pt>
                <c:pt idx="32">
                  <c:v>40226</c:v>
                </c:pt>
                <c:pt idx="33">
                  <c:v>40227</c:v>
                </c:pt>
                <c:pt idx="34">
                  <c:v>40228</c:v>
                </c:pt>
                <c:pt idx="35">
                  <c:v>40231</c:v>
                </c:pt>
                <c:pt idx="36">
                  <c:v>40232</c:v>
                </c:pt>
                <c:pt idx="37">
                  <c:v>40233</c:v>
                </c:pt>
                <c:pt idx="38">
                  <c:v>40234</c:v>
                </c:pt>
                <c:pt idx="39">
                  <c:v>40235</c:v>
                </c:pt>
                <c:pt idx="40">
                  <c:v>40238</c:v>
                </c:pt>
                <c:pt idx="41">
                  <c:v>40239</c:v>
                </c:pt>
                <c:pt idx="42">
                  <c:v>40240</c:v>
                </c:pt>
                <c:pt idx="43">
                  <c:v>40241</c:v>
                </c:pt>
                <c:pt idx="44">
                  <c:v>40242</c:v>
                </c:pt>
                <c:pt idx="45">
                  <c:v>40245</c:v>
                </c:pt>
                <c:pt idx="46">
                  <c:v>40246</c:v>
                </c:pt>
                <c:pt idx="47">
                  <c:v>40247</c:v>
                </c:pt>
                <c:pt idx="48">
                  <c:v>40248</c:v>
                </c:pt>
                <c:pt idx="49">
                  <c:v>40249</c:v>
                </c:pt>
                <c:pt idx="50">
                  <c:v>40252</c:v>
                </c:pt>
                <c:pt idx="51">
                  <c:v>40253</c:v>
                </c:pt>
                <c:pt idx="52">
                  <c:v>40254</c:v>
                </c:pt>
                <c:pt idx="53">
                  <c:v>40255</c:v>
                </c:pt>
                <c:pt idx="54">
                  <c:v>40256</c:v>
                </c:pt>
                <c:pt idx="55">
                  <c:v>40259</c:v>
                </c:pt>
                <c:pt idx="56">
                  <c:v>40260</c:v>
                </c:pt>
                <c:pt idx="57">
                  <c:v>40261</c:v>
                </c:pt>
                <c:pt idx="58">
                  <c:v>40262</c:v>
                </c:pt>
                <c:pt idx="59">
                  <c:v>40263</c:v>
                </c:pt>
                <c:pt idx="60">
                  <c:v>40266</c:v>
                </c:pt>
                <c:pt idx="61">
                  <c:v>40267</c:v>
                </c:pt>
                <c:pt idx="62">
                  <c:v>40268</c:v>
                </c:pt>
                <c:pt idx="63">
                  <c:v>40269</c:v>
                </c:pt>
                <c:pt idx="64">
                  <c:v>40270</c:v>
                </c:pt>
                <c:pt idx="65">
                  <c:v>40273</c:v>
                </c:pt>
                <c:pt idx="66">
                  <c:v>40274</c:v>
                </c:pt>
                <c:pt idx="67">
                  <c:v>40275</c:v>
                </c:pt>
                <c:pt idx="68">
                  <c:v>40276</c:v>
                </c:pt>
                <c:pt idx="69">
                  <c:v>40277</c:v>
                </c:pt>
                <c:pt idx="70">
                  <c:v>40280</c:v>
                </c:pt>
                <c:pt idx="71">
                  <c:v>40281</c:v>
                </c:pt>
                <c:pt idx="72">
                  <c:v>40282</c:v>
                </c:pt>
                <c:pt idx="73">
                  <c:v>40283</c:v>
                </c:pt>
                <c:pt idx="74">
                  <c:v>40284</c:v>
                </c:pt>
                <c:pt idx="75">
                  <c:v>40287</c:v>
                </c:pt>
                <c:pt idx="76">
                  <c:v>40288</c:v>
                </c:pt>
                <c:pt idx="77">
                  <c:v>40289</c:v>
                </c:pt>
                <c:pt idx="78">
                  <c:v>40290</c:v>
                </c:pt>
                <c:pt idx="79">
                  <c:v>40294</c:v>
                </c:pt>
                <c:pt idx="80">
                  <c:v>40295</c:v>
                </c:pt>
                <c:pt idx="81">
                  <c:v>40296</c:v>
                </c:pt>
                <c:pt idx="82">
                  <c:v>40297</c:v>
                </c:pt>
                <c:pt idx="83">
                  <c:v>40298</c:v>
                </c:pt>
                <c:pt idx="84">
                  <c:v>40301</c:v>
                </c:pt>
                <c:pt idx="85">
                  <c:v>40302</c:v>
                </c:pt>
                <c:pt idx="86">
                  <c:v>40303</c:v>
                </c:pt>
                <c:pt idx="87">
                  <c:v>40304</c:v>
                </c:pt>
                <c:pt idx="88">
                  <c:v>40305</c:v>
                </c:pt>
                <c:pt idx="89">
                  <c:v>40308</c:v>
                </c:pt>
                <c:pt idx="90">
                  <c:v>40309</c:v>
                </c:pt>
                <c:pt idx="91">
                  <c:v>40310</c:v>
                </c:pt>
                <c:pt idx="92">
                  <c:v>40311</c:v>
                </c:pt>
                <c:pt idx="93">
                  <c:v>40312</c:v>
                </c:pt>
                <c:pt idx="94">
                  <c:v>40315</c:v>
                </c:pt>
                <c:pt idx="95">
                  <c:v>40316</c:v>
                </c:pt>
                <c:pt idx="96">
                  <c:v>40318</c:v>
                </c:pt>
                <c:pt idx="97">
                  <c:v>40319</c:v>
                </c:pt>
                <c:pt idx="98">
                  <c:v>40322</c:v>
                </c:pt>
                <c:pt idx="99">
                  <c:v>40323</c:v>
                </c:pt>
                <c:pt idx="100">
                  <c:v>40324</c:v>
                </c:pt>
                <c:pt idx="101">
                  <c:v>40325</c:v>
                </c:pt>
                <c:pt idx="102">
                  <c:v>40326</c:v>
                </c:pt>
                <c:pt idx="103">
                  <c:v>40329</c:v>
                </c:pt>
                <c:pt idx="104">
                  <c:v>40331</c:v>
                </c:pt>
                <c:pt idx="105">
                  <c:v>40332</c:v>
                </c:pt>
                <c:pt idx="106">
                  <c:v>40333</c:v>
                </c:pt>
                <c:pt idx="107">
                  <c:v>40336</c:v>
                </c:pt>
                <c:pt idx="108">
                  <c:v>40337</c:v>
                </c:pt>
                <c:pt idx="109">
                  <c:v>40338</c:v>
                </c:pt>
                <c:pt idx="110">
                  <c:v>40339</c:v>
                </c:pt>
                <c:pt idx="111">
                  <c:v>40340</c:v>
                </c:pt>
                <c:pt idx="112">
                  <c:v>40343</c:v>
                </c:pt>
                <c:pt idx="113">
                  <c:v>40344</c:v>
                </c:pt>
                <c:pt idx="114">
                  <c:v>40345</c:v>
                </c:pt>
                <c:pt idx="115">
                  <c:v>40346</c:v>
                </c:pt>
                <c:pt idx="116">
                  <c:v>40347</c:v>
                </c:pt>
                <c:pt idx="117">
                  <c:v>40350</c:v>
                </c:pt>
                <c:pt idx="118">
                  <c:v>40351</c:v>
                </c:pt>
                <c:pt idx="119">
                  <c:v>40352</c:v>
                </c:pt>
                <c:pt idx="120">
                  <c:v>40353</c:v>
                </c:pt>
                <c:pt idx="121">
                  <c:v>40354</c:v>
                </c:pt>
                <c:pt idx="122">
                  <c:v>40357</c:v>
                </c:pt>
                <c:pt idx="123">
                  <c:v>40358</c:v>
                </c:pt>
                <c:pt idx="124">
                  <c:v>40359</c:v>
                </c:pt>
                <c:pt idx="125">
                  <c:v>40360</c:v>
                </c:pt>
                <c:pt idx="126">
                  <c:v>40361</c:v>
                </c:pt>
                <c:pt idx="127">
                  <c:v>40364</c:v>
                </c:pt>
                <c:pt idx="128">
                  <c:v>40365</c:v>
                </c:pt>
                <c:pt idx="129">
                  <c:v>40366</c:v>
                </c:pt>
                <c:pt idx="130">
                  <c:v>40367</c:v>
                </c:pt>
                <c:pt idx="131">
                  <c:v>40368</c:v>
                </c:pt>
                <c:pt idx="132">
                  <c:v>40371</c:v>
                </c:pt>
                <c:pt idx="133">
                  <c:v>40372</c:v>
                </c:pt>
                <c:pt idx="134">
                  <c:v>40373</c:v>
                </c:pt>
                <c:pt idx="135">
                  <c:v>40374</c:v>
                </c:pt>
                <c:pt idx="136">
                  <c:v>40375</c:v>
                </c:pt>
                <c:pt idx="137">
                  <c:v>40378</c:v>
                </c:pt>
                <c:pt idx="138">
                  <c:v>40379</c:v>
                </c:pt>
                <c:pt idx="139">
                  <c:v>40380</c:v>
                </c:pt>
                <c:pt idx="140">
                  <c:v>40381</c:v>
                </c:pt>
                <c:pt idx="141">
                  <c:v>40382</c:v>
                </c:pt>
                <c:pt idx="142">
                  <c:v>40385</c:v>
                </c:pt>
                <c:pt idx="143">
                  <c:v>40386</c:v>
                </c:pt>
                <c:pt idx="144">
                  <c:v>40387</c:v>
                </c:pt>
                <c:pt idx="145">
                  <c:v>40388</c:v>
                </c:pt>
                <c:pt idx="146">
                  <c:v>40389</c:v>
                </c:pt>
                <c:pt idx="147">
                  <c:v>40392</c:v>
                </c:pt>
                <c:pt idx="148">
                  <c:v>40393</c:v>
                </c:pt>
                <c:pt idx="149">
                  <c:v>40394</c:v>
                </c:pt>
                <c:pt idx="150">
                  <c:v>40395</c:v>
                </c:pt>
                <c:pt idx="151">
                  <c:v>40396</c:v>
                </c:pt>
                <c:pt idx="152">
                  <c:v>40399</c:v>
                </c:pt>
                <c:pt idx="153">
                  <c:v>40400</c:v>
                </c:pt>
                <c:pt idx="154">
                  <c:v>40401</c:v>
                </c:pt>
                <c:pt idx="155">
                  <c:v>40402</c:v>
                </c:pt>
                <c:pt idx="156">
                  <c:v>40403</c:v>
                </c:pt>
                <c:pt idx="157">
                  <c:v>40406</c:v>
                </c:pt>
                <c:pt idx="158">
                  <c:v>40407</c:v>
                </c:pt>
                <c:pt idx="159">
                  <c:v>40408</c:v>
                </c:pt>
                <c:pt idx="160">
                  <c:v>40409</c:v>
                </c:pt>
                <c:pt idx="161">
                  <c:v>40410</c:v>
                </c:pt>
                <c:pt idx="162">
                  <c:v>40413</c:v>
                </c:pt>
                <c:pt idx="163">
                  <c:v>40414</c:v>
                </c:pt>
                <c:pt idx="164">
                  <c:v>40415</c:v>
                </c:pt>
                <c:pt idx="165">
                  <c:v>40416</c:v>
                </c:pt>
                <c:pt idx="166">
                  <c:v>40417</c:v>
                </c:pt>
                <c:pt idx="167">
                  <c:v>40421</c:v>
                </c:pt>
                <c:pt idx="168">
                  <c:v>40422</c:v>
                </c:pt>
                <c:pt idx="169">
                  <c:v>40423</c:v>
                </c:pt>
                <c:pt idx="170">
                  <c:v>40424</c:v>
                </c:pt>
                <c:pt idx="171">
                  <c:v>40427</c:v>
                </c:pt>
                <c:pt idx="172">
                  <c:v>40428</c:v>
                </c:pt>
                <c:pt idx="173">
                  <c:v>40429</c:v>
                </c:pt>
                <c:pt idx="174">
                  <c:v>40434</c:v>
                </c:pt>
                <c:pt idx="175">
                  <c:v>40435</c:v>
                </c:pt>
                <c:pt idx="176">
                  <c:v>40436</c:v>
                </c:pt>
                <c:pt idx="177">
                  <c:v>40437</c:v>
                </c:pt>
                <c:pt idx="178">
                  <c:v>40438</c:v>
                </c:pt>
                <c:pt idx="179">
                  <c:v>40441</c:v>
                </c:pt>
                <c:pt idx="180">
                  <c:v>40442</c:v>
                </c:pt>
                <c:pt idx="181">
                  <c:v>40443</c:v>
                </c:pt>
                <c:pt idx="182">
                  <c:v>40444</c:v>
                </c:pt>
                <c:pt idx="183">
                  <c:v>40445</c:v>
                </c:pt>
                <c:pt idx="184">
                  <c:v>40448</c:v>
                </c:pt>
                <c:pt idx="185">
                  <c:v>40449</c:v>
                </c:pt>
                <c:pt idx="186">
                  <c:v>40450</c:v>
                </c:pt>
                <c:pt idx="187">
                  <c:v>40451</c:v>
                </c:pt>
                <c:pt idx="188">
                  <c:v>40452</c:v>
                </c:pt>
                <c:pt idx="189">
                  <c:v>40455</c:v>
                </c:pt>
                <c:pt idx="190">
                  <c:v>40456</c:v>
                </c:pt>
                <c:pt idx="191">
                  <c:v>40457</c:v>
                </c:pt>
                <c:pt idx="192">
                  <c:v>40458</c:v>
                </c:pt>
                <c:pt idx="193">
                  <c:v>40459</c:v>
                </c:pt>
                <c:pt idx="194">
                  <c:v>40462</c:v>
                </c:pt>
                <c:pt idx="195">
                  <c:v>40463</c:v>
                </c:pt>
                <c:pt idx="196">
                  <c:v>40464</c:v>
                </c:pt>
                <c:pt idx="197">
                  <c:v>40465</c:v>
                </c:pt>
                <c:pt idx="198">
                  <c:v>40466</c:v>
                </c:pt>
                <c:pt idx="199">
                  <c:v>40469</c:v>
                </c:pt>
                <c:pt idx="200">
                  <c:v>40470</c:v>
                </c:pt>
                <c:pt idx="201">
                  <c:v>40471</c:v>
                </c:pt>
                <c:pt idx="202">
                  <c:v>40472</c:v>
                </c:pt>
                <c:pt idx="203">
                  <c:v>40473</c:v>
                </c:pt>
                <c:pt idx="204">
                  <c:v>40476</c:v>
                </c:pt>
                <c:pt idx="205">
                  <c:v>40477</c:v>
                </c:pt>
                <c:pt idx="206">
                  <c:v>40478</c:v>
                </c:pt>
                <c:pt idx="207">
                  <c:v>40479</c:v>
                </c:pt>
                <c:pt idx="208">
                  <c:v>40483</c:v>
                </c:pt>
                <c:pt idx="209">
                  <c:v>40484</c:v>
                </c:pt>
                <c:pt idx="210">
                  <c:v>40485</c:v>
                </c:pt>
                <c:pt idx="211">
                  <c:v>40486</c:v>
                </c:pt>
                <c:pt idx="212">
                  <c:v>40487</c:v>
                </c:pt>
                <c:pt idx="213">
                  <c:v>40490</c:v>
                </c:pt>
                <c:pt idx="214">
                  <c:v>40491</c:v>
                </c:pt>
                <c:pt idx="215">
                  <c:v>40492</c:v>
                </c:pt>
                <c:pt idx="216">
                  <c:v>40493</c:v>
                </c:pt>
                <c:pt idx="217">
                  <c:v>40494</c:v>
                </c:pt>
                <c:pt idx="218">
                  <c:v>40497</c:v>
                </c:pt>
                <c:pt idx="219">
                  <c:v>40504</c:v>
                </c:pt>
                <c:pt idx="220">
                  <c:v>40505</c:v>
                </c:pt>
                <c:pt idx="221">
                  <c:v>40506</c:v>
                </c:pt>
                <c:pt idx="222">
                  <c:v>40507</c:v>
                </c:pt>
                <c:pt idx="223">
                  <c:v>40508</c:v>
                </c:pt>
                <c:pt idx="224">
                  <c:v>40511</c:v>
                </c:pt>
                <c:pt idx="225">
                  <c:v>40512</c:v>
                </c:pt>
                <c:pt idx="226">
                  <c:v>40513</c:v>
                </c:pt>
                <c:pt idx="227">
                  <c:v>40514</c:v>
                </c:pt>
                <c:pt idx="228">
                  <c:v>40515</c:v>
                </c:pt>
                <c:pt idx="229">
                  <c:v>40518</c:v>
                </c:pt>
                <c:pt idx="230">
                  <c:v>40519</c:v>
                </c:pt>
                <c:pt idx="231">
                  <c:v>40520</c:v>
                </c:pt>
                <c:pt idx="232">
                  <c:v>40521</c:v>
                </c:pt>
                <c:pt idx="233">
                  <c:v>40522</c:v>
                </c:pt>
                <c:pt idx="234">
                  <c:v>40525</c:v>
                </c:pt>
                <c:pt idx="235">
                  <c:v>40526</c:v>
                </c:pt>
                <c:pt idx="236">
                  <c:v>40527</c:v>
                </c:pt>
                <c:pt idx="237">
                  <c:v>40528</c:v>
                </c:pt>
                <c:pt idx="238">
                  <c:v>40529</c:v>
                </c:pt>
                <c:pt idx="239">
                  <c:v>40532</c:v>
                </c:pt>
                <c:pt idx="240">
                  <c:v>40533</c:v>
                </c:pt>
                <c:pt idx="241">
                  <c:v>40534</c:v>
                </c:pt>
                <c:pt idx="242">
                  <c:v>40535</c:v>
                </c:pt>
                <c:pt idx="243">
                  <c:v>40536</c:v>
                </c:pt>
                <c:pt idx="244">
                  <c:v>40539</c:v>
                </c:pt>
                <c:pt idx="245">
                  <c:v>40540</c:v>
                </c:pt>
                <c:pt idx="246">
                  <c:v>40541</c:v>
                </c:pt>
                <c:pt idx="247">
                  <c:v>40542</c:v>
                </c:pt>
                <c:pt idx="248">
                  <c:v>40543</c:v>
                </c:pt>
                <c:pt idx="249">
                  <c:v>40546</c:v>
                </c:pt>
                <c:pt idx="250">
                  <c:v>40547</c:v>
                </c:pt>
                <c:pt idx="251">
                  <c:v>40548</c:v>
                </c:pt>
                <c:pt idx="252">
                  <c:v>40549</c:v>
                </c:pt>
                <c:pt idx="253">
                  <c:v>40550</c:v>
                </c:pt>
                <c:pt idx="254">
                  <c:v>40553</c:v>
                </c:pt>
                <c:pt idx="255">
                  <c:v>40554</c:v>
                </c:pt>
                <c:pt idx="256">
                  <c:v>40555</c:v>
                </c:pt>
                <c:pt idx="257">
                  <c:v>40556</c:v>
                </c:pt>
                <c:pt idx="258">
                  <c:v>40557</c:v>
                </c:pt>
                <c:pt idx="259">
                  <c:v>40560</c:v>
                </c:pt>
                <c:pt idx="260">
                  <c:v>40561</c:v>
                </c:pt>
                <c:pt idx="261">
                  <c:v>40562</c:v>
                </c:pt>
                <c:pt idx="262">
                  <c:v>40563</c:v>
                </c:pt>
                <c:pt idx="263">
                  <c:v>40564</c:v>
                </c:pt>
                <c:pt idx="264">
                  <c:v>40567</c:v>
                </c:pt>
                <c:pt idx="265">
                  <c:v>40568</c:v>
                </c:pt>
                <c:pt idx="266">
                  <c:v>40569</c:v>
                </c:pt>
                <c:pt idx="267">
                  <c:v>40570</c:v>
                </c:pt>
                <c:pt idx="268">
                  <c:v>40571</c:v>
                </c:pt>
                <c:pt idx="269">
                  <c:v>40574</c:v>
                </c:pt>
                <c:pt idx="270">
                  <c:v>40575</c:v>
                </c:pt>
                <c:pt idx="271">
                  <c:v>40576</c:v>
                </c:pt>
                <c:pt idx="272">
                  <c:v>40577</c:v>
                </c:pt>
                <c:pt idx="273">
                  <c:v>40578</c:v>
                </c:pt>
                <c:pt idx="274">
                  <c:v>40581</c:v>
                </c:pt>
                <c:pt idx="275">
                  <c:v>40582</c:v>
                </c:pt>
                <c:pt idx="276">
                  <c:v>40583</c:v>
                </c:pt>
                <c:pt idx="277">
                  <c:v>40584</c:v>
                </c:pt>
                <c:pt idx="278">
                  <c:v>40585</c:v>
                </c:pt>
                <c:pt idx="279">
                  <c:v>40588</c:v>
                </c:pt>
                <c:pt idx="280">
                  <c:v>40589</c:v>
                </c:pt>
                <c:pt idx="281">
                  <c:v>40590</c:v>
                </c:pt>
                <c:pt idx="282">
                  <c:v>40591</c:v>
                </c:pt>
                <c:pt idx="283">
                  <c:v>40592</c:v>
                </c:pt>
                <c:pt idx="284">
                  <c:v>40595</c:v>
                </c:pt>
                <c:pt idx="285">
                  <c:v>40596</c:v>
                </c:pt>
                <c:pt idx="286">
                  <c:v>40597</c:v>
                </c:pt>
                <c:pt idx="287">
                  <c:v>40598</c:v>
                </c:pt>
                <c:pt idx="288">
                  <c:v>40599</c:v>
                </c:pt>
                <c:pt idx="289">
                  <c:v>40602</c:v>
                </c:pt>
                <c:pt idx="290">
                  <c:v>40603</c:v>
                </c:pt>
                <c:pt idx="291">
                  <c:v>40604</c:v>
                </c:pt>
                <c:pt idx="292">
                  <c:v>40605</c:v>
                </c:pt>
                <c:pt idx="293">
                  <c:v>40606</c:v>
                </c:pt>
                <c:pt idx="294">
                  <c:v>40609</c:v>
                </c:pt>
                <c:pt idx="295">
                  <c:v>40610</c:v>
                </c:pt>
                <c:pt idx="296">
                  <c:v>40611</c:v>
                </c:pt>
                <c:pt idx="297">
                  <c:v>40612</c:v>
                </c:pt>
                <c:pt idx="298">
                  <c:v>40613</c:v>
                </c:pt>
                <c:pt idx="299">
                  <c:v>40616</c:v>
                </c:pt>
                <c:pt idx="300">
                  <c:v>40617</c:v>
                </c:pt>
                <c:pt idx="301">
                  <c:v>40618</c:v>
                </c:pt>
                <c:pt idx="302">
                  <c:v>40619</c:v>
                </c:pt>
                <c:pt idx="303">
                  <c:v>40620</c:v>
                </c:pt>
                <c:pt idx="304">
                  <c:v>40623</c:v>
                </c:pt>
                <c:pt idx="305">
                  <c:v>40624</c:v>
                </c:pt>
                <c:pt idx="306">
                  <c:v>40625</c:v>
                </c:pt>
                <c:pt idx="307">
                  <c:v>40626</c:v>
                </c:pt>
                <c:pt idx="308">
                  <c:v>40627</c:v>
                </c:pt>
                <c:pt idx="309">
                  <c:v>40630</c:v>
                </c:pt>
                <c:pt idx="310">
                  <c:v>40631</c:v>
                </c:pt>
                <c:pt idx="311">
                  <c:v>40632</c:v>
                </c:pt>
                <c:pt idx="312">
                  <c:v>40633</c:v>
                </c:pt>
                <c:pt idx="313">
                  <c:v>40634</c:v>
                </c:pt>
                <c:pt idx="314">
                  <c:v>40637</c:v>
                </c:pt>
                <c:pt idx="315">
                  <c:v>40638</c:v>
                </c:pt>
                <c:pt idx="316">
                  <c:v>40639</c:v>
                </c:pt>
                <c:pt idx="317">
                  <c:v>40640</c:v>
                </c:pt>
                <c:pt idx="318">
                  <c:v>40641</c:v>
                </c:pt>
                <c:pt idx="319">
                  <c:v>40644</c:v>
                </c:pt>
                <c:pt idx="320">
                  <c:v>40645</c:v>
                </c:pt>
                <c:pt idx="321">
                  <c:v>40646</c:v>
                </c:pt>
                <c:pt idx="322">
                  <c:v>40647</c:v>
                </c:pt>
                <c:pt idx="323">
                  <c:v>40648</c:v>
                </c:pt>
                <c:pt idx="324">
                  <c:v>40651</c:v>
                </c:pt>
                <c:pt idx="325">
                  <c:v>40652</c:v>
                </c:pt>
                <c:pt idx="326">
                  <c:v>40653</c:v>
                </c:pt>
                <c:pt idx="327">
                  <c:v>40654</c:v>
                </c:pt>
                <c:pt idx="328">
                  <c:v>40655</c:v>
                </c:pt>
                <c:pt idx="329">
                  <c:v>40658</c:v>
                </c:pt>
                <c:pt idx="330">
                  <c:v>40659</c:v>
                </c:pt>
                <c:pt idx="331">
                  <c:v>40660</c:v>
                </c:pt>
                <c:pt idx="332">
                  <c:v>40661</c:v>
                </c:pt>
                <c:pt idx="333">
                  <c:v>40662</c:v>
                </c:pt>
                <c:pt idx="334">
                  <c:v>40665</c:v>
                </c:pt>
                <c:pt idx="335">
                  <c:v>40666</c:v>
                </c:pt>
                <c:pt idx="336">
                  <c:v>40667</c:v>
                </c:pt>
                <c:pt idx="337">
                  <c:v>40668</c:v>
                </c:pt>
                <c:pt idx="338">
                  <c:v>40669</c:v>
                </c:pt>
                <c:pt idx="339">
                  <c:v>40672</c:v>
                </c:pt>
                <c:pt idx="340">
                  <c:v>40673</c:v>
                </c:pt>
                <c:pt idx="341">
                  <c:v>40674</c:v>
                </c:pt>
                <c:pt idx="342">
                  <c:v>40675</c:v>
                </c:pt>
                <c:pt idx="343">
                  <c:v>40676</c:v>
                </c:pt>
                <c:pt idx="344">
                  <c:v>40679</c:v>
                </c:pt>
                <c:pt idx="345">
                  <c:v>40680</c:v>
                </c:pt>
                <c:pt idx="346">
                  <c:v>40681</c:v>
                </c:pt>
                <c:pt idx="347">
                  <c:v>40683</c:v>
                </c:pt>
                <c:pt idx="348">
                  <c:v>40686</c:v>
                </c:pt>
                <c:pt idx="349">
                  <c:v>40687</c:v>
                </c:pt>
                <c:pt idx="350">
                  <c:v>40688</c:v>
                </c:pt>
                <c:pt idx="351">
                  <c:v>40689</c:v>
                </c:pt>
                <c:pt idx="352">
                  <c:v>40690</c:v>
                </c:pt>
                <c:pt idx="353">
                  <c:v>40693</c:v>
                </c:pt>
                <c:pt idx="354">
                  <c:v>40694</c:v>
                </c:pt>
                <c:pt idx="355">
                  <c:v>40695</c:v>
                </c:pt>
                <c:pt idx="356">
                  <c:v>40696</c:v>
                </c:pt>
                <c:pt idx="357">
                  <c:v>40697</c:v>
                </c:pt>
                <c:pt idx="358">
                  <c:v>40700</c:v>
                </c:pt>
                <c:pt idx="359">
                  <c:v>40701</c:v>
                </c:pt>
                <c:pt idx="360">
                  <c:v>40702</c:v>
                </c:pt>
                <c:pt idx="361">
                  <c:v>40703</c:v>
                </c:pt>
                <c:pt idx="362">
                  <c:v>40704</c:v>
                </c:pt>
                <c:pt idx="363">
                  <c:v>40707</c:v>
                </c:pt>
                <c:pt idx="364">
                  <c:v>40708</c:v>
                </c:pt>
                <c:pt idx="365">
                  <c:v>40709</c:v>
                </c:pt>
                <c:pt idx="366">
                  <c:v>40710</c:v>
                </c:pt>
                <c:pt idx="367">
                  <c:v>40711</c:v>
                </c:pt>
                <c:pt idx="368">
                  <c:v>40714</c:v>
                </c:pt>
                <c:pt idx="369">
                  <c:v>40715</c:v>
                </c:pt>
                <c:pt idx="370">
                  <c:v>40716</c:v>
                </c:pt>
                <c:pt idx="371">
                  <c:v>40717</c:v>
                </c:pt>
                <c:pt idx="372">
                  <c:v>40718</c:v>
                </c:pt>
                <c:pt idx="373">
                  <c:v>40721</c:v>
                </c:pt>
                <c:pt idx="374">
                  <c:v>40722</c:v>
                </c:pt>
                <c:pt idx="375">
                  <c:v>40723</c:v>
                </c:pt>
                <c:pt idx="376">
                  <c:v>40724</c:v>
                </c:pt>
                <c:pt idx="377">
                  <c:v>40725</c:v>
                </c:pt>
                <c:pt idx="378">
                  <c:v>40728</c:v>
                </c:pt>
                <c:pt idx="379">
                  <c:v>40729</c:v>
                </c:pt>
                <c:pt idx="380">
                  <c:v>40730</c:v>
                </c:pt>
                <c:pt idx="381">
                  <c:v>40731</c:v>
                </c:pt>
                <c:pt idx="382">
                  <c:v>40732</c:v>
                </c:pt>
                <c:pt idx="383">
                  <c:v>40735</c:v>
                </c:pt>
                <c:pt idx="384">
                  <c:v>40736</c:v>
                </c:pt>
                <c:pt idx="385">
                  <c:v>40737</c:v>
                </c:pt>
                <c:pt idx="386">
                  <c:v>40738</c:v>
                </c:pt>
                <c:pt idx="387">
                  <c:v>40739</c:v>
                </c:pt>
                <c:pt idx="388">
                  <c:v>40742</c:v>
                </c:pt>
                <c:pt idx="389">
                  <c:v>40743</c:v>
                </c:pt>
                <c:pt idx="390">
                  <c:v>40744</c:v>
                </c:pt>
                <c:pt idx="391">
                  <c:v>40745</c:v>
                </c:pt>
                <c:pt idx="392">
                  <c:v>40746</c:v>
                </c:pt>
                <c:pt idx="393">
                  <c:v>40749</c:v>
                </c:pt>
                <c:pt idx="394">
                  <c:v>40750</c:v>
                </c:pt>
                <c:pt idx="395">
                  <c:v>40751</c:v>
                </c:pt>
                <c:pt idx="396">
                  <c:v>40752</c:v>
                </c:pt>
                <c:pt idx="397">
                  <c:v>40753</c:v>
                </c:pt>
                <c:pt idx="398">
                  <c:v>40756</c:v>
                </c:pt>
                <c:pt idx="399">
                  <c:v>40757</c:v>
                </c:pt>
                <c:pt idx="400">
                  <c:v>40758</c:v>
                </c:pt>
                <c:pt idx="401">
                  <c:v>40759</c:v>
                </c:pt>
                <c:pt idx="402">
                  <c:v>40760</c:v>
                </c:pt>
                <c:pt idx="403">
                  <c:v>40763</c:v>
                </c:pt>
                <c:pt idx="404">
                  <c:v>40764</c:v>
                </c:pt>
                <c:pt idx="405">
                  <c:v>40765</c:v>
                </c:pt>
                <c:pt idx="406">
                  <c:v>40766</c:v>
                </c:pt>
                <c:pt idx="407">
                  <c:v>40767</c:v>
                </c:pt>
                <c:pt idx="408">
                  <c:v>40770</c:v>
                </c:pt>
                <c:pt idx="409">
                  <c:v>40771</c:v>
                </c:pt>
                <c:pt idx="410">
                  <c:v>40772</c:v>
                </c:pt>
                <c:pt idx="411">
                  <c:v>40773</c:v>
                </c:pt>
                <c:pt idx="412">
                  <c:v>40774</c:v>
                </c:pt>
                <c:pt idx="413">
                  <c:v>40777</c:v>
                </c:pt>
                <c:pt idx="414">
                  <c:v>40778</c:v>
                </c:pt>
                <c:pt idx="415">
                  <c:v>40779</c:v>
                </c:pt>
                <c:pt idx="416">
                  <c:v>40780</c:v>
                </c:pt>
                <c:pt idx="417">
                  <c:v>40781</c:v>
                </c:pt>
                <c:pt idx="418">
                  <c:v>40784</c:v>
                </c:pt>
                <c:pt idx="419">
                  <c:v>40788</c:v>
                </c:pt>
                <c:pt idx="420">
                  <c:v>40791</c:v>
                </c:pt>
                <c:pt idx="421">
                  <c:v>40792</c:v>
                </c:pt>
                <c:pt idx="422">
                  <c:v>40793</c:v>
                </c:pt>
                <c:pt idx="423">
                  <c:v>40794</c:v>
                </c:pt>
                <c:pt idx="424">
                  <c:v>40795</c:v>
                </c:pt>
                <c:pt idx="425">
                  <c:v>40798</c:v>
                </c:pt>
                <c:pt idx="426">
                  <c:v>40799</c:v>
                </c:pt>
                <c:pt idx="427">
                  <c:v>40800</c:v>
                </c:pt>
                <c:pt idx="428">
                  <c:v>40801</c:v>
                </c:pt>
                <c:pt idx="429">
                  <c:v>40802</c:v>
                </c:pt>
                <c:pt idx="430">
                  <c:v>40805</c:v>
                </c:pt>
                <c:pt idx="431">
                  <c:v>40806</c:v>
                </c:pt>
                <c:pt idx="432">
                  <c:v>40807</c:v>
                </c:pt>
                <c:pt idx="433">
                  <c:v>40808</c:v>
                </c:pt>
                <c:pt idx="434">
                  <c:v>40809</c:v>
                </c:pt>
                <c:pt idx="435">
                  <c:v>40812</c:v>
                </c:pt>
                <c:pt idx="436">
                  <c:v>40813</c:v>
                </c:pt>
                <c:pt idx="437">
                  <c:v>40814</c:v>
                </c:pt>
                <c:pt idx="438">
                  <c:v>40815</c:v>
                </c:pt>
                <c:pt idx="439">
                  <c:v>40816</c:v>
                </c:pt>
                <c:pt idx="440">
                  <c:v>40819</c:v>
                </c:pt>
                <c:pt idx="441">
                  <c:v>40820</c:v>
                </c:pt>
                <c:pt idx="442">
                  <c:v>40821</c:v>
                </c:pt>
                <c:pt idx="443">
                  <c:v>40822</c:v>
                </c:pt>
                <c:pt idx="444">
                  <c:v>40823</c:v>
                </c:pt>
                <c:pt idx="445">
                  <c:v>40826</c:v>
                </c:pt>
                <c:pt idx="446">
                  <c:v>40827</c:v>
                </c:pt>
                <c:pt idx="447">
                  <c:v>40828</c:v>
                </c:pt>
                <c:pt idx="448">
                  <c:v>40829</c:v>
                </c:pt>
                <c:pt idx="449">
                  <c:v>40830</c:v>
                </c:pt>
                <c:pt idx="450">
                  <c:v>40833</c:v>
                </c:pt>
                <c:pt idx="451">
                  <c:v>40834</c:v>
                </c:pt>
                <c:pt idx="452">
                  <c:v>40835</c:v>
                </c:pt>
                <c:pt idx="453">
                  <c:v>40836</c:v>
                </c:pt>
                <c:pt idx="454">
                  <c:v>40837</c:v>
                </c:pt>
                <c:pt idx="455">
                  <c:v>40840</c:v>
                </c:pt>
                <c:pt idx="456">
                  <c:v>40841</c:v>
                </c:pt>
                <c:pt idx="457">
                  <c:v>40842</c:v>
                </c:pt>
                <c:pt idx="458">
                  <c:v>40843</c:v>
                </c:pt>
                <c:pt idx="459">
                  <c:v>40844</c:v>
                </c:pt>
                <c:pt idx="460">
                  <c:v>40847</c:v>
                </c:pt>
                <c:pt idx="461">
                  <c:v>40848</c:v>
                </c:pt>
                <c:pt idx="462">
                  <c:v>40849</c:v>
                </c:pt>
                <c:pt idx="463">
                  <c:v>40850</c:v>
                </c:pt>
                <c:pt idx="464">
                  <c:v>40851</c:v>
                </c:pt>
                <c:pt idx="465">
                  <c:v>40857</c:v>
                </c:pt>
                <c:pt idx="466">
                  <c:v>40858</c:v>
                </c:pt>
                <c:pt idx="467">
                  <c:v>40861</c:v>
                </c:pt>
                <c:pt idx="468">
                  <c:v>40862</c:v>
                </c:pt>
                <c:pt idx="469">
                  <c:v>40863</c:v>
                </c:pt>
                <c:pt idx="470">
                  <c:v>40864</c:v>
                </c:pt>
                <c:pt idx="471">
                  <c:v>40865</c:v>
                </c:pt>
                <c:pt idx="472">
                  <c:v>40868</c:v>
                </c:pt>
                <c:pt idx="473">
                  <c:v>40869</c:v>
                </c:pt>
                <c:pt idx="474">
                  <c:v>40870</c:v>
                </c:pt>
                <c:pt idx="475">
                  <c:v>40871</c:v>
                </c:pt>
                <c:pt idx="476">
                  <c:v>40872</c:v>
                </c:pt>
                <c:pt idx="477">
                  <c:v>40875</c:v>
                </c:pt>
                <c:pt idx="478">
                  <c:v>40876</c:v>
                </c:pt>
                <c:pt idx="479">
                  <c:v>40877</c:v>
                </c:pt>
                <c:pt idx="480">
                  <c:v>40878</c:v>
                </c:pt>
                <c:pt idx="481">
                  <c:v>40879</c:v>
                </c:pt>
                <c:pt idx="482">
                  <c:v>40882</c:v>
                </c:pt>
                <c:pt idx="483">
                  <c:v>40883</c:v>
                </c:pt>
                <c:pt idx="484">
                  <c:v>40884</c:v>
                </c:pt>
                <c:pt idx="485">
                  <c:v>40885</c:v>
                </c:pt>
                <c:pt idx="486">
                  <c:v>40886</c:v>
                </c:pt>
                <c:pt idx="487">
                  <c:v>40889</c:v>
                </c:pt>
                <c:pt idx="488">
                  <c:v>40890</c:v>
                </c:pt>
                <c:pt idx="489">
                  <c:v>40891</c:v>
                </c:pt>
                <c:pt idx="490">
                  <c:v>40892</c:v>
                </c:pt>
                <c:pt idx="491">
                  <c:v>40893</c:v>
                </c:pt>
                <c:pt idx="492">
                  <c:v>40896</c:v>
                </c:pt>
                <c:pt idx="493">
                  <c:v>40897</c:v>
                </c:pt>
                <c:pt idx="494">
                  <c:v>40898</c:v>
                </c:pt>
                <c:pt idx="495">
                  <c:v>40899</c:v>
                </c:pt>
                <c:pt idx="496">
                  <c:v>40900</c:v>
                </c:pt>
                <c:pt idx="497">
                  <c:v>40903</c:v>
                </c:pt>
                <c:pt idx="498">
                  <c:v>40904</c:v>
                </c:pt>
                <c:pt idx="499">
                  <c:v>40905</c:v>
                </c:pt>
                <c:pt idx="500">
                  <c:v>40906</c:v>
                </c:pt>
                <c:pt idx="501">
                  <c:v>40907</c:v>
                </c:pt>
                <c:pt idx="502">
                  <c:v>40910</c:v>
                </c:pt>
                <c:pt idx="503">
                  <c:v>40911</c:v>
                </c:pt>
                <c:pt idx="504">
                  <c:v>40912</c:v>
                </c:pt>
                <c:pt idx="505">
                  <c:v>40913</c:v>
                </c:pt>
                <c:pt idx="506">
                  <c:v>40914</c:v>
                </c:pt>
                <c:pt idx="507">
                  <c:v>40917</c:v>
                </c:pt>
                <c:pt idx="508">
                  <c:v>40918</c:v>
                </c:pt>
                <c:pt idx="509">
                  <c:v>40919</c:v>
                </c:pt>
                <c:pt idx="510">
                  <c:v>40920</c:v>
                </c:pt>
                <c:pt idx="511">
                  <c:v>40921</c:v>
                </c:pt>
                <c:pt idx="512">
                  <c:v>40924</c:v>
                </c:pt>
                <c:pt idx="513">
                  <c:v>40925</c:v>
                </c:pt>
                <c:pt idx="514">
                  <c:v>40926</c:v>
                </c:pt>
                <c:pt idx="515">
                  <c:v>40927</c:v>
                </c:pt>
                <c:pt idx="516">
                  <c:v>40928</c:v>
                </c:pt>
                <c:pt idx="517">
                  <c:v>40931</c:v>
                </c:pt>
                <c:pt idx="518">
                  <c:v>40932</c:v>
                </c:pt>
                <c:pt idx="519">
                  <c:v>40933</c:v>
                </c:pt>
                <c:pt idx="520">
                  <c:v>40934</c:v>
                </c:pt>
                <c:pt idx="521">
                  <c:v>40935</c:v>
                </c:pt>
                <c:pt idx="522">
                  <c:v>40938</c:v>
                </c:pt>
                <c:pt idx="523">
                  <c:v>40939</c:v>
                </c:pt>
                <c:pt idx="524">
                  <c:v>40940</c:v>
                </c:pt>
                <c:pt idx="525">
                  <c:v>40941</c:v>
                </c:pt>
                <c:pt idx="526">
                  <c:v>40942</c:v>
                </c:pt>
                <c:pt idx="527">
                  <c:v>40945</c:v>
                </c:pt>
                <c:pt idx="528">
                  <c:v>40946</c:v>
                </c:pt>
                <c:pt idx="529">
                  <c:v>40947</c:v>
                </c:pt>
                <c:pt idx="530">
                  <c:v>40948</c:v>
                </c:pt>
                <c:pt idx="531">
                  <c:v>40949</c:v>
                </c:pt>
                <c:pt idx="532">
                  <c:v>40952</c:v>
                </c:pt>
                <c:pt idx="533">
                  <c:v>40953</c:v>
                </c:pt>
                <c:pt idx="534">
                  <c:v>40954</c:v>
                </c:pt>
                <c:pt idx="535">
                  <c:v>40955</c:v>
                </c:pt>
                <c:pt idx="536">
                  <c:v>40956</c:v>
                </c:pt>
                <c:pt idx="537">
                  <c:v>40959</c:v>
                </c:pt>
                <c:pt idx="538">
                  <c:v>40960</c:v>
                </c:pt>
                <c:pt idx="539">
                  <c:v>40961</c:v>
                </c:pt>
                <c:pt idx="540">
                  <c:v>40962</c:v>
                </c:pt>
                <c:pt idx="541">
                  <c:v>40963</c:v>
                </c:pt>
                <c:pt idx="542">
                  <c:v>40966</c:v>
                </c:pt>
                <c:pt idx="543">
                  <c:v>40967</c:v>
                </c:pt>
                <c:pt idx="544">
                  <c:v>40968</c:v>
                </c:pt>
                <c:pt idx="545">
                  <c:v>40969</c:v>
                </c:pt>
                <c:pt idx="546">
                  <c:v>40970</c:v>
                </c:pt>
                <c:pt idx="547">
                  <c:v>40973</c:v>
                </c:pt>
                <c:pt idx="548">
                  <c:v>40974</c:v>
                </c:pt>
                <c:pt idx="549">
                  <c:v>40975</c:v>
                </c:pt>
                <c:pt idx="550">
                  <c:v>40976</c:v>
                </c:pt>
                <c:pt idx="551">
                  <c:v>40977</c:v>
                </c:pt>
                <c:pt idx="552">
                  <c:v>40980</c:v>
                </c:pt>
                <c:pt idx="553">
                  <c:v>40981</c:v>
                </c:pt>
                <c:pt idx="554">
                  <c:v>40982</c:v>
                </c:pt>
                <c:pt idx="555">
                  <c:v>40983</c:v>
                </c:pt>
                <c:pt idx="556">
                  <c:v>40984</c:v>
                </c:pt>
                <c:pt idx="557">
                  <c:v>40987</c:v>
                </c:pt>
                <c:pt idx="558">
                  <c:v>40988</c:v>
                </c:pt>
                <c:pt idx="559">
                  <c:v>40989</c:v>
                </c:pt>
                <c:pt idx="560">
                  <c:v>40990</c:v>
                </c:pt>
                <c:pt idx="561">
                  <c:v>40991</c:v>
                </c:pt>
                <c:pt idx="562">
                  <c:v>40994</c:v>
                </c:pt>
                <c:pt idx="563">
                  <c:v>40995</c:v>
                </c:pt>
                <c:pt idx="564">
                  <c:v>40996</c:v>
                </c:pt>
                <c:pt idx="565">
                  <c:v>40997</c:v>
                </c:pt>
                <c:pt idx="566">
                  <c:v>40998</c:v>
                </c:pt>
                <c:pt idx="567">
                  <c:v>41001</c:v>
                </c:pt>
                <c:pt idx="568">
                  <c:v>41002</c:v>
                </c:pt>
                <c:pt idx="569">
                  <c:v>41003</c:v>
                </c:pt>
                <c:pt idx="570">
                  <c:v>41004</c:v>
                </c:pt>
                <c:pt idx="571">
                  <c:v>41005</c:v>
                </c:pt>
                <c:pt idx="572">
                  <c:v>41008</c:v>
                </c:pt>
                <c:pt idx="573">
                  <c:v>41009</c:v>
                </c:pt>
                <c:pt idx="574">
                  <c:v>41010</c:v>
                </c:pt>
                <c:pt idx="575">
                  <c:v>41011</c:v>
                </c:pt>
                <c:pt idx="576">
                  <c:v>41012</c:v>
                </c:pt>
                <c:pt idx="577">
                  <c:v>41015</c:v>
                </c:pt>
                <c:pt idx="578">
                  <c:v>41016</c:v>
                </c:pt>
                <c:pt idx="579">
                  <c:v>41017</c:v>
                </c:pt>
                <c:pt idx="580">
                  <c:v>41018</c:v>
                </c:pt>
                <c:pt idx="581">
                  <c:v>41019</c:v>
                </c:pt>
                <c:pt idx="582">
                  <c:v>41023</c:v>
                </c:pt>
                <c:pt idx="583">
                  <c:v>41024</c:v>
                </c:pt>
                <c:pt idx="584">
                  <c:v>41025</c:v>
                </c:pt>
                <c:pt idx="585">
                  <c:v>41026</c:v>
                </c:pt>
                <c:pt idx="586">
                  <c:v>41029</c:v>
                </c:pt>
                <c:pt idx="587">
                  <c:v>41031</c:v>
                </c:pt>
                <c:pt idx="588">
                  <c:v>41032</c:v>
                </c:pt>
                <c:pt idx="589">
                  <c:v>41033</c:v>
                </c:pt>
                <c:pt idx="590">
                  <c:v>41036</c:v>
                </c:pt>
                <c:pt idx="591">
                  <c:v>41037</c:v>
                </c:pt>
                <c:pt idx="592">
                  <c:v>41038</c:v>
                </c:pt>
                <c:pt idx="593">
                  <c:v>41039</c:v>
                </c:pt>
                <c:pt idx="594">
                  <c:v>41040</c:v>
                </c:pt>
                <c:pt idx="595">
                  <c:v>41043</c:v>
                </c:pt>
                <c:pt idx="596">
                  <c:v>41044</c:v>
                </c:pt>
                <c:pt idx="597">
                  <c:v>41045</c:v>
                </c:pt>
                <c:pt idx="598">
                  <c:v>41046</c:v>
                </c:pt>
                <c:pt idx="599">
                  <c:v>41047</c:v>
                </c:pt>
                <c:pt idx="600">
                  <c:v>41050</c:v>
                </c:pt>
                <c:pt idx="601">
                  <c:v>41051</c:v>
                </c:pt>
                <c:pt idx="602">
                  <c:v>41052</c:v>
                </c:pt>
                <c:pt idx="603">
                  <c:v>41053</c:v>
                </c:pt>
                <c:pt idx="604">
                  <c:v>41054</c:v>
                </c:pt>
                <c:pt idx="605">
                  <c:v>41057</c:v>
                </c:pt>
                <c:pt idx="606">
                  <c:v>41058</c:v>
                </c:pt>
                <c:pt idx="607">
                  <c:v>41059</c:v>
                </c:pt>
                <c:pt idx="608">
                  <c:v>41060</c:v>
                </c:pt>
                <c:pt idx="609">
                  <c:v>41061</c:v>
                </c:pt>
                <c:pt idx="610">
                  <c:v>41064</c:v>
                </c:pt>
                <c:pt idx="611">
                  <c:v>41065</c:v>
                </c:pt>
                <c:pt idx="612">
                  <c:v>41066</c:v>
                </c:pt>
                <c:pt idx="613">
                  <c:v>41067</c:v>
                </c:pt>
                <c:pt idx="614">
                  <c:v>41068</c:v>
                </c:pt>
                <c:pt idx="615">
                  <c:v>41071</c:v>
                </c:pt>
                <c:pt idx="616">
                  <c:v>41072</c:v>
                </c:pt>
                <c:pt idx="617">
                  <c:v>41073</c:v>
                </c:pt>
                <c:pt idx="618">
                  <c:v>41074</c:v>
                </c:pt>
                <c:pt idx="619">
                  <c:v>41075</c:v>
                </c:pt>
                <c:pt idx="620">
                  <c:v>41078</c:v>
                </c:pt>
                <c:pt idx="621">
                  <c:v>41079</c:v>
                </c:pt>
                <c:pt idx="622">
                  <c:v>41080</c:v>
                </c:pt>
                <c:pt idx="623">
                  <c:v>41081</c:v>
                </c:pt>
                <c:pt idx="624">
                  <c:v>41082</c:v>
                </c:pt>
                <c:pt idx="625">
                  <c:v>41085</c:v>
                </c:pt>
                <c:pt idx="626">
                  <c:v>41086</c:v>
                </c:pt>
                <c:pt idx="627">
                  <c:v>41087</c:v>
                </c:pt>
                <c:pt idx="628">
                  <c:v>41088</c:v>
                </c:pt>
                <c:pt idx="629">
                  <c:v>41089</c:v>
                </c:pt>
                <c:pt idx="630">
                  <c:v>41092</c:v>
                </c:pt>
                <c:pt idx="631">
                  <c:v>41093</c:v>
                </c:pt>
                <c:pt idx="632">
                  <c:v>41094</c:v>
                </c:pt>
                <c:pt idx="633">
                  <c:v>41095</c:v>
                </c:pt>
                <c:pt idx="634">
                  <c:v>41096</c:v>
                </c:pt>
                <c:pt idx="635">
                  <c:v>41099</c:v>
                </c:pt>
                <c:pt idx="636">
                  <c:v>41100</c:v>
                </c:pt>
                <c:pt idx="637">
                  <c:v>41101</c:v>
                </c:pt>
                <c:pt idx="638">
                  <c:v>41102</c:v>
                </c:pt>
                <c:pt idx="639">
                  <c:v>41103</c:v>
                </c:pt>
                <c:pt idx="640">
                  <c:v>41106</c:v>
                </c:pt>
                <c:pt idx="641">
                  <c:v>41107</c:v>
                </c:pt>
                <c:pt idx="642">
                  <c:v>41108</c:v>
                </c:pt>
                <c:pt idx="643">
                  <c:v>41109</c:v>
                </c:pt>
                <c:pt idx="644">
                  <c:v>41110</c:v>
                </c:pt>
                <c:pt idx="645">
                  <c:v>41113</c:v>
                </c:pt>
                <c:pt idx="646">
                  <c:v>41114</c:v>
                </c:pt>
                <c:pt idx="647">
                  <c:v>41115</c:v>
                </c:pt>
                <c:pt idx="648">
                  <c:v>41116</c:v>
                </c:pt>
                <c:pt idx="649">
                  <c:v>41117</c:v>
                </c:pt>
                <c:pt idx="650">
                  <c:v>41120</c:v>
                </c:pt>
                <c:pt idx="651">
                  <c:v>41121</c:v>
                </c:pt>
                <c:pt idx="652">
                  <c:v>41122</c:v>
                </c:pt>
                <c:pt idx="653">
                  <c:v>41123</c:v>
                </c:pt>
                <c:pt idx="654">
                  <c:v>41124</c:v>
                </c:pt>
                <c:pt idx="655">
                  <c:v>41127</c:v>
                </c:pt>
                <c:pt idx="656">
                  <c:v>41128</c:v>
                </c:pt>
                <c:pt idx="657">
                  <c:v>41129</c:v>
                </c:pt>
                <c:pt idx="658">
                  <c:v>41130</c:v>
                </c:pt>
                <c:pt idx="659">
                  <c:v>41131</c:v>
                </c:pt>
                <c:pt idx="660">
                  <c:v>41134</c:v>
                </c:pt>
                <c:pt idx="661">
                  <c:v>41135</c:v>
                </c:pt>
                <c:pt idx="662">
                  <c:v>41136</c:v>
                </c:pt>
                <c:pt idx="663">
                  <c:v>41137</c:v>
                </c:pt>
                <c:pt idx="664">
                  <c:v>41138</c:v>
                </c:pt>
                <c:pt idx="665">
                  <c:v>41143</c:v>
                </c:pt>
                <c:pt idx="666">
                  <c:v>41144</c:v>
                </c:pt>
                <c:pt idx="667">
                  <c:v>41145</c:v>
                </c:pt>
                <c:pt idx="668">
                  <c:v>41148</c:v>
                </c:pt>
                <c:pt idx="669">
                  <c:v>41149</c:v>
                </c:pt>
                <c:pt idx="670">
                  <c:v>41150</c:v>
                </c:pt>
                <c:pt idx="671">
                  <c:v>41152</c:v>
                </c:pt>
                <c:pt idx="672">
                  <c:v>41155</c:v>
                </c:pt>
                <c:pt idx="673">
                  <c:v>41156</c:v>
                </c:pt>
                <c:pt idx="674">
                  <c:v>41157</c:v>
                </c:pt>
                <c:pt idx="675">
                  <c:v>41158</c:v>
                </c:pt>
                <c:pt idx="676">
                  <c:v>41159</c:v>
                </c:pt>
                <c:pt idx="677">
                  <c:v>41162</c:v>
                </c:pt>
                <c:pt idx="678">
                  <c:v>41163</c:v>
                </c:pt>
                <c:pt idx="679">
                  <c:v>41164</c:v>
                </c:pt>
                <c:pt idx="680">
                  <c:v>41165</c:v>
                </c:pt>
                <c:pt idx="681">
                  <c:v>41166</c:v>
                </c:pt>
                <c:pt idx="682">
                  <c:v>41169</c:v>
                </c:pt>
                <c:pt idx="683">
                  <c:v>41170</c:v>
                </c:pt>
                <c:pt idx="684">
                  <c:v>41171</c:v>
                </c:pt>
                <c:pt idx="685">
                  <c:v>41172</c:v>
                </c:pt>
                <c:pt idx="686">
                  <c:v>41173</c:v>
                </c:pt>
                <c:pt idx="687">
                  <c:v>41176</c:v>
                </c:pt>
                <c:pt idx="688">
                  <c:v>41177</c:v>
                </c:pt>
                <c:pt idx="689">
                  <c:v>41178</c:v>
                </c:pt>
                <c:pt idx="690">
                  <c:v>41179</c:v>
                </c:pt>
                <c:pt idx="691">
                  <c:v>41180</c:v>
                </c:pt>
              </c:numCache>
            </c:numRef>
          </c:cat>
          <c:val>
            <c:numRef>
              <c:f>'Faiz Koridoru Veri'!$E$3:$E$694</c:f>
              <c:numCache>
                <c:formatCode>General</c:formatCode>
                <c:ptCount val="692"/>
                <c:pt idx="0">
                  <c:v>6.49</c:v>
                </c:pt>
                <c:pt idx="1">
                  <c:v>6.5</c:v>
                </c:pt>
                <c:pt idx="2">
                  <c:v>6.5</c:v>
                </c:pt>
                <c:pt idx="3">
                  <c:v>6.5</c:v>
                </c:pt>
                <c:pt idx="4">
                  <c:v>6.52</c:v>
                </c:pt>
                <c:pt idx="5">
                  <c:v>6.5</c:v>
                </c:pt>
                <c:pt idx="6">
                  <c:v>6.5</c:v>
                </c:pt>
                <c:pt idx="7">
                  <c:v>6.49</c:v>
                </c:pt>
                <c:pt idx="8">
                  <c:v>6.5</c:v>
                </c:pt>
                <c:pt idx="9">
                  <c:v>6.5</c:v>
                </c:pt>
                <c:pt idx="10">
                  <c:v>6.5</c:v>
                </c:pt>
                <c:pt idx="11">
                  <c:v>6.5</c:v>
                </c:pt>
                <c:pt idx="12">
                  <c:v>6.5</c:v>
                </c:pt>
                <c:pt idx="13">
                  <c:v>6.5</c:v>
                </c:pt>
                <c:pt idx="14">
                  <c:v>6.5</c:v>
                </c:pt>
                <c:pt idx="15">
                  <c:v>6.5</c:v>
                </c:pt>
                <c:pt idx="16">
                  <c:v>6.5</c:v>
                </c:pt>
                <c:pt idx="17">
                  <c:v>6.5</c:v>
                </c:pt>
                <c:pt idx="18">
                  <c:v>6.5</c:v>
                </c:pt>
                <c:pt idx="19">
                  <c:v>6.5</c:v>
                </c:pt>
                <c:pt idx="20">
                  <c:v>6.5</c:v>
                </c:pt>
                <c:pt idx="21">
                  <c:v>6.5</c:v>
                </c:pt>
                <c:pt idx="22">
                  <c:v>6.5</c:v>
                </c:pt>
                <c:pt idx="23">
                  <c:v>6.5</c:v>
                </c:pt>
                <c:pt idx="24">
                  <c:v>6.5</c:v>
                </c:pt>
                <c:pt idx="25">
                  <c:v>6.5</c:v>
                </c:pt>
                <c:pt idx="26">
                  <c:v>6.5</c:v>
                </c:pt>
                <c:pt idx="27">
                  <c:v>6.5</c:v>
                </c:pt>
                <c:pt idx="28">
                  <c:v>6.5</c:v>
                </c:pt>
                <c:pt idx="29">
                  <c:v>6.52</c:v>
                </c:pt>
                <c:pt idx="30">
                  <c:v>6.5</c:v>
                </c:pt>
                <c:pt idx="31">
                  <c:v>6.5</c:v>
                </c:pt>
                <c:pt idx="32">
                  <c:v>6.5</c:v>
                </c:pt>
                <c:pt idx="33">
                  <c:v>6.5</c:v>
                </c:pt>
                <c:pt idx="34">
                  <c:v>6.51</c:v>
                </c:pt>
                <c:pt idx="35">
                  <c:v>6.5</c:v>
                </c:pt>
                <c:pt idx="36">
                  <c:v>6.5</c:v>
                </c:pt>
                <c:pt idx="37">
                  <c:v>6.5</c:v>
                </c:pt>
                <c:pt idx="38">
                  <c:v>6.5</c:v>
                </c:pt>
                <c:pt idx="39">
                  <c:v>6.51</c:v>
                </c:pt>
                <c:pt idx="40">
                  <c:v>6.5</c:v>
                </c:pt>
                <c:pt idx="41">
                  <c:v>6.5</c:v>
                </c:pt>
                <c:pt idx="42">
                  <c:v>6.5</c:v>
                </c:pt>
                <c:pt idx="43">
                  <c:v>6.5</c:v>
                </c:pt>
                <c:pt idx="44">
                  <c:v>6.5</c:v>
                </c:pt>
                <c:pt idx="45">
                  <c:v>6.49</c:v>
                </c:pt>
                <c:pt idx="46">
                  <c:v>6.5</c:v>
                </c:pt>
                <c:pt idx="47">
                  <c:v>6.5</c:v>
                </c:pt>
                <c:pt idx="48">
                  <c:v>6.49</c:v>
                </c:pt>
                <c:pt idx="49">
                  <c:v>6.49</c:v>
                </c:pt>
                <c:pt idx="50">
                  <c:v>6.49</c:v>
                </c:pt>
                <c:pt idx="51">
                  <c:v>6.49</c:v>
                </c:pt>
                <c:pt idx="52">
                  <c:v>6.5</c:v>
                </c:pt>
                <c:pt idx="53">
                  <c:v>6.5</c:v>
                </c:pt>
                <c:pt idx="54">
                  <c:v>6.5</c:v>
                </c:pt>
                <c:pt idx="55">
                  <c:v>6.5</c:v>
                </c:pt>
                <c:pt idx="56">
                  <c:v>6.5</c:v>
                </c:pt>
                <c:pt idx="57">
                  <c:v>6.5</c:v>
                </c:pt>
                <c:pt idx="58">
                  <c:v>6.5</c:v>
                </c:pt>
                <c:pt idx="59">
                  <c:v>6.5</c:v>
                </c:pt>
                <c:pt idx="60">
                  <c:v>6.5</c:v>
                </c:pt>
                <c:pt idx="61">
                  <c:v>6.49</c:v>
                </c:pt>
                <c:pt idx="62">
                  <c:v>6.53</c:v>
                </c:pt>
                <c:pt idx="63">
                  <c:v>6.5</c:v>
                </c:pt>
                <c:pt idx="64">
                  <c:v>6.52</c:v>
                </c:pt>
                <c:pt idx="65">
                  <c:v>6.51</c:v>
                </c:pt>
                <c:pt idx="66">
                  <c:v>6.5</c:v>
                </c:pt>
                <c:pt idx="67">
                  <c:v>6.51</c:v>
                </c:pt>
                <c:pt idx="68">
                  <c:v>6.52</c:v>
                </c:pt>
                <c:pt idx="69">
                  <c:v>6.52</c:v>
                </c:pt>
                <c:pt idx="70">
                  <c:v>6.5</c:v>
                </c:pt>
                <c:pt idx="71">
                  <c:v>6.5</c:v>
                </c:pt>
                <c:pt idx="72">
                  <c:v>6.5</c:v>
                </c:pt>
                <c:pt idx="73">
                  <c:v>6.5</c:v>
                </c:pt>
                <c:pt idx="74">
                  <c:v>6.51</c:v>
                </c:pt>
                <c:pt idx="75">
                  <c:v>6.5</c:v>
                </c:pt>
                <c:pt idx="76">
                  <c:v>6.5</c:v>
                </c:pt>
                <c:pt idx="77">
                  <c:v>6.5</c:v>
                </c:pt>
                <c:pt idx="78">
                  <c:v>6.5</c:v>
                </c:pt>
                <c:pt idx="79">
                  <c:v>6.5</c:v>
                </c:pt>
                <c:pt idx="80">
                  <c:v>6.5</c:v>
                </c:pt>
                <c:pt idx="81">
                  <c:v>6.5</c:v>
                </c:pt>
                <c:pt idx="82">
                  <c:v>6.5</c:v>
                </c:pt>
                <c:pt idx="83">
                  <c:v>6.51</c:v>
                </c:pt>
                <c:pt idx="84">
                  <c:v>6.53</c:v>
                </c:pt>
                <c:pt idx="85">
                  <c:v>6.57</c:v>
                </c:pt>
                <c:pt idx="86">
                  <c:v>6.53</c:v>
                </c:pt>
                <c:pt idx="87">
                  <c:v>6.6099999999999985</c:v>
                </c:pt>
                <c:pt idx="88">
                  <c:v>6.6</c:v>
                </c:pt>
                <c:pt idx="89">
                  <c:v>6.52</c:v>
                </c:pt>
                <c:pt idx="90">
                  <c:v>6.5</c:v>
                </c:pt>
                <c:pt idx="91">
                  <c:v>6.5</c:v>
                </c:pt>
                <c:pt idx="92">
                  <c:v>6.5</c:v>
                </c:pt>
                <c:pt idx="93">
                  <c:v>6.54</c:v>
                </c:pt>
                <c:pt idx="94">
                  <c:v>6.5</c:v>
                </c:pt>
                <c:pt idx="95">
                  <c:v>6.51</c:v>
                </c:pt>
                <c:pt idx="96">
                  <c:v>6.55</c:v>
                </c:pt>
                <c:pt idx="97">
                  <c:v>6.53</c:v>
                </c:pt>
                <c:pt idx="98">
                  <c:v>6.5</c:v>
                </c:pt>
                <c:pt idx="99">
                  <c:v>6.5</c:v>
                </c:pt>
                <c:pt idx="100">
                  <c:v>6.5</c:v>
                </c:pt>
                <c:pt idx="101">
                  <c:v>6.5</c:v>
                </c:pt>
                <c:pt idx="102">
                  <c:v>6.56</c:v>
                </c:pt>
                <c:pt idx="103">
                  <c:v>6.6</c:v>
                </c:pt>
                <c:pt idx="104">
                  <c:v>6.55</c:v>
                </c:pt>
                <c:pt idx="105">
                  <c:v>6.55</c:v>
                </c:pt>
                <c:pt idx="106">
                  <c:v>6.63</c:v>
                </c:pt>
                <c:pt idx="107">
                  <c:v>6.64</c:v>
                </c:pt>
                <c:pt idx="108">
                  <c:v>6.6199999999999983</c:v>
                </c:pt>
                <c:pt idx="109">
                  <c:v>6.56</c:v>
                </c:pt>
                <c:pt idx="110">
                  <c:v>6.53</c:v>
                </c:pt>
                <c:pt idx="111">
                  <c:v>6.57</c:v>
                </c:pt>
                <c:pt idx="112">
                  <c:v>6.55</c:v>
                </c:pt>
                <c:pt idx="113">
                  <c:v>6.54</c:v>
                </c:pt>
                <c:pt idx="114">
                  <c:v>6.54</c:v>
                </c:pt>
                <c:pt idx="115">
                  <c:v>6.54</c:v>
                </c:pt>
                <c:pt idx="116">
                  <c:v>6.6099999999999985</c:v>
                </c:pt>
                <c:pt idx="117">
                  <c:v>6.7</c:v>
                </c:pt>
                <c:pt idx="118">
                  <c:v>6.8</c:v>
                </c:pt>
                <c:pt idx="119">
                  <c:v>6.57</c:v>
                </c:pt>
                <c:pt idx="120">
                  <c:v>6.52</c:v>
                </c:pt>
                <c:pt idx="121">
                  <c:v>6.54</c:v>
                </c:pt>
                <c:pt idx="122">
                  <c:v>6.52</c:v>
                </c:pt>
                <c:pt idx="123">
                  <c:v>6.52</c:v>
                </c:pt>
                <c:pt idx="124">
                  <c:v>6.83</c:v>
                </c:pt>
                <c:pt idx="125">
                  <c:v>6.71</c:v>
                </c:pt>
                <c:pt idx="126">
                  <c:v>6.59</c:v>
                </c:pt>
                <c:pt idx="127">
                  <c:v>6.54</c:v>
                </c:pt>
                <c:pt idx="128">
                  <c:v>6.52</c:v>
                </c:pt>
                <c:pt idx="129">
                  <c:v>6.51</c:v>
                </c:pt>
                <c:pt idx="130">
                  <c:v>6.5</c:v>
                </c:pt>
                <c:pt idx="131">
                  <c:v>6.59</c:v>
                </c:pt>
                <c:pt idx="132">
                  <c:v>6.53</c:v>
                </c:pt>
                <c:pt idx="133">
                  <c:v>6.51</c:v>
                </c:pt>
                <c:pt idx="134">
                  <c:v>6.5</c:v>
                </c:pt>
                <c:pt idx="135">
                  <c:v>6.5</c:v>
                </c:pt>
                <c:pt idx="136">
                  <c:v>6.54</c:v>
                </c:pt>
                <c:pt idx="137">
                  <c:v>6.54</c:v>
                </c:pt>
                <c:pt idx="138">
                  <c:v>6.54</c:v>
                </c:pt>
                <c:pt idx="139">
                  <c:v>6.52</c:v>
                </c:pt>
                <c:pt idx="140">
                  <c:v>6.5</c:v>
                </c:pt>
                <c:pt idx="141">
                  <c:v>6.58</c:v>
                </c:pt>
                <c:pt idx="142">
                  <c:v>6.56</c:v>
                </c:pt>
                <c:pt idx="143">
                  <c:v>6.56</c:v>
                </c:pt>
                <c:pt idx="144">
                  <c:v>6.54</c:v>
                </c:pt>
                <c:pt idx="145">
                  <c:v>6.53</c:v>
                </c:pt>
                <c:pt idx="146">
                  <c:v>6.54</c:v>
                </c:pt>
                <c:pt idx="147">
                  <c:v>6.54</c:v>
                </c:pt>
                <c:pt idx="148">
                  <c:v>6.6499999999999995</c:v>
                </c:pt>
                <c:pt idx="149">
                  <c:v>6.58</c:v>
                </c:pt>
                <c:pt idx="150">
                  <c:v>6.55</c:v>
                </c:pt>
                <c:pt idx="151">
                  <c:v>6.7700000000000014</c:v>
                </c:pt>
                <c:pt idx="152">
                  <c:v>6.6</c:v>
                </c:pt>
                <c:pt idx="153">
                  <c:v>6.8199999999999985</c:v>
                </c:pt>
                <c:pt idx="154">
                  <c:v>6.68</c:v>
                </c:pt>
                <c:pt idx="155">
                  <c:v>6.63</c:v>
                </c:pt>
                <c:pt idx="156">
                  <c:v>6.68</c:v>
                </c:pt>
                <c:pt idx="157">
                  <c:v>6.64</c:v>
                </c:pt>
                <c:pt idx="158">
                  <c:v>6.6099999999999985</c:v>
                </c:pt>
                <c:pt idx="159">
                  <c:v>6.6099999999999985</c:v>
                </c:pt>
                <c:pt idx="160">
                  <c:v>6.6499999999999995</c:v>
                </c:pt>
                <c:pt idx="161">
                  <c:v>6.83</c:v>
                </c:pt>
                <c:pt idx="162">
                  <c:v>6.8199999999999985</c:v>
                </c:pt>
                <c:pt idx="163">
                  <c:v>6.8</c:v>
                </c:pt>
                <c:pt idx="164">
                  <c:v>6.8</c:v>
                </c:pt>
                <c:pt idx="165">
                  <c:v>6.76</c:v>
                </c:pt>
                <c:pt idx="166">
                  <c:v>6.79</c:v>
                </c:pt>
                <c:pt idx="167">
                  <c:v>6.81</c:v>
                </c:pt>
                <c:pt idx="168">
                  <c:v>6.9</c:v>
                </c:pt>
                <c:pt idx="169">
                  <c:v>6.83</c:v>
                </c:pt>
                <c:pt idx="170">
                  <c:v>6.89</c:v>
                </c:pt>
                <c:pt idx="171">
                  <c:v>6.71</c:v>
                </c:pt>
                <c:pt idx="172">
                  <c:v>6.55</c:v>
                </c:pt>
                <c:pt idx="173">
                  <c:v>6.53</c:v>
                </c:pt>
                <c:pt idx="174">
                  <c:v>6.57</c:v>
                </c:pt>
                <c:pt idx="175">
                  <c:v>6.59</c:v>
                </c:pt>
                <c:pt idx="176">
                  <c:v>6.55</c:v>
                </c:pt>
                <c:pt idx="177">
                  <c:v>6.54</c:v>
                </c:pt>
                <c:pt idx="178">
                  <c:v>6.6199999999999983</c:v>
                </c:pt>
                <c:pt idx="179">
                  <c:v>6.6499999999999995</c:v>
                </c:pt>
                <c:pt idx="180">
                  <c:v>6.67</c:v>
                </c:pt>
                <c:pt idx="181">
                  <c:v>6.8</c:v>
                </c:pt>
                <c:pt idx="182">
                  <c:v>6.78</c:v>
                </c:pt>
                <c:pt idx="183">
                  <c:v>7.1199999999999983</c:v>
                </c:pt>
                <c:pt idx="184">
                  <c:v>7.1899999999999995</c:v>
                </c:pt>
                <c:pt idx="185">
                  <c:v>7.1899999999999995</c:v>
                </c:pt>
                <c:pt idx="186">
                  <c:v>6.7</c:v>
                </c:pt>
                <c:pt idx="187">
                  <c:v>6.96</c:v>
                </c:pt>
                <c:pt idx="188">
                  <c:v>6.88</c:v>
                </c:pt>
                <c:pt idx="189">
                  <c:v>6.8199999999999985</c:v>
                </c:pt>
                <c:pt idx="190">
                  <c:v>6.81</c:v>
                </c:pt>
                <c:pt idx="191">
                  <c:v>6.83</c:v>
                </c:pt>
                <c:pt idx="192">
                  <c:v>7.14</c:v>
                </c:pt>
                <c:pt idx="193">
                  <c:v>7.35</c:v>
                </c:pt>
                <c:pt idx="194">
                  <c:v>7.09</c:v>
                </c:pt>
                <c:pt idx="195">
                  <c:v>6.98</c:v>
                </c:pt>
                <c:pt idx="196">
                  <c:v>6.98</c:v>
                </c:pt>
                <c:pt idx="197">
                  <c:v>6.68</c:v>
                </c:pt>
                <c:pt idx="198">
                  <c:v>7.17</c:v>
                </c:pt>
                <c:pt idx="199">
                  <c:v>7.18</c:v>
                </c:pt>
                <c:pt idx="200">
                  <c:v>7.1499999999999995</c:v>
                </c:pt>
                <c:pt idx="201">
                  <c:v>7.05</c:v>
                </c:pt>
                <c:pt idx="202">
                  <c:v>6.96</c:v>
                </c:pt>
                <c:pt idx="203">
                  <c:v>7.07</c:v>
                </c:pt>
                <c:pt idx="204">
                  <c:v>7.01</c:v>
                </c:pt>
                <c:pt idx="205">
                  <c:v>6.99</c:v>
                </c:pt>
                <c:pt idx="206">
                  <c:v>6.56</c:v>
                </c:pt>
                <c:pt idx="207">
                  <c:v>7.14</c:v>
                </c:pt>
                <c:pt idx="208">
                  <c:v>7.39</c:v>
                </c:pt>
                <c:pt idx="209">
                  <c:v>7.3199999999999985</c:v>
                </c:pt>
                <c:pt idx="210">
                  <c:v>7.08</c:v>
                </c:pt>
                <c:pt idx="211">
                  <c:v>6.98</c:v>
                </c:pt>
                <c:pt idx="212">
                  <c:v>6.55</c:v>
                </c:pt>
                <c:pt idx="213">
                  <c:v>6.59</c:v>
                </c:pt>
                <c:pt idx="214">
                  <c:v>6.8199999999999985</c:v>
                </c:pt>
                <c:pt idx="215">
                  <c:v>6.64</c:v>
                </c:pt>
                <c:pt idx="216">
                  <c:v>5.85</c:v>
                </c:pt>
                <c:pt idx="217">
                  <c:v>6.48</c:v>
                </c:pt>
                <c:pt idx="218">
                  <c:v>7.2700000000000014</c:v>
                </c:pt>
                <c:pt idx="219">
                  <c:v>7.1</c:v>
                </c:pt>
                <c:pt idx="220">
                  <c:v>7.01</c:v>
                </c:pt>
                <c:pt idx="221">
                  <c:v>6.6499999999999995</c:v>
                </c:pt>
                <c:pt idx="222">
                  <c:v>6.03</c:v>
                </c:pt>
                <c:pt idx="223">
                  <c:v>7.17</c:v>
                </c:pt>
                <c:pt idx="224">
                  <c:v>7.05</c:v>
                </c:pt>
                <c:pt idx="225">
                  <c:v>7.13</c:v>
                </c:pt>
                <c:pt idx="226">
                  <c:v>7.07</c:v>
                </c:pt>
                <c:pt idx="227">
                  <c:v>7.13</c:v>
                </c:pt>
                <c:pt idx="228">
                  <c:v>6.94</c:v>
                </c:pt>
                <c:pt idx="229">
                  <c:v>6.57</c:v>
                </c:pt>
                <c:pt idx="230">
                  <c:v>5.6199999999999983</c:v>
                </c:pt>
                <c:pt idx="231">
                  <c:v>3.9899999999999998</c:v>
                </c:pt>
                <c:pt idx="232">
                  <c:v>3.67</c:v>
                </c:pt>
                <c:pt idx="233">
                  <c:v>7.38</c:v>
                </c:pt>
                <c:pt idx="234">
                  <c:v>7.13</c:v>
                </c:pt>
                <c:pt idx="235">
                  <c:v>7.1499999999999995</c:v>
                </c:pt>
                <c:pt idx="236">
                  <c:v>7</c:v>
                </c:pt>
                <c:pt idx="237">
                  <c:v>5.35</c:v>
                </c:pt>
                <c:pt idx="238">
                  <c:v>6.81</c:v>
                </c:pt>
                <c:pt idx="239">
                  <c:v>7.31</c:v>
                </c:pt>
                <c:pt idx="240">
                  <c:v>7.71</c:v>
                </c:pt>
                <c:pt idx="241">
                  <c:v>6.03</c:v>
                </c:pt>
                <c:pt idx="242">
                  <c:v>2.73</c:v>
                </c:pt>
                <c:pt idx="243">
                  <c:v>6.79</c:v>
                </c:pt>
                <c:pt idx="244">
                  <c:v>6.6099999999999985</c:v>
                </c:pt>
                <c:pt idx="245">
                  <c:v>6.18</c:v>
                </c:pt>
                <c:pt idx="246">
                  <c:v>4</c:v>
                </c:pt>
                <c:pt idx="247">
                  <c:v>4.9300000000000015</c:v>
                </c:pt>
                <c:pt idx="248">
                  <c:v>7.13</c:v>
                </c:pt>
                <c:pt idx="249">
                  <c:v>5.17</c:v>
                </c:pt>
                <c:pt idx="250">
                  <c:v>4.42</c:v>
                </c:pt>
                <c:pt idx="251">
                  <c:v>6.26</c:v>
                </c:pt>
                <c:pt idx="252">
                  <c:v>6.7700000000000014</c:v>
                </c:pt>
                <c:pt idx="253">
                  <c:v>4.8199999999999985</c:v>
                </c:pt>
                <c:pt idx="254">
                  <c:v>6.6199999999999983</c:v>
                </c:pt>
                <c:pt idx="255">
                  <c:v>6.63</c:v>
                </c:pt>
                <c:pt idx="256">
                  <c:v>5.35</c:v>
                </c:pt>
                <c:pt idx="257">
                  <c:v>5.1099999999999985</c:v>
                </c:pt>
                <c:pt idx="258">
                  <c:v>6.71</c:v>
                </c:pt>
                <c:pt idx="259">
                  <c:v>6.79</c:v>
                </c:pt>
                <c:pt idx="260">
                  <c:v>6.34</c:v>
                </c:pt>
                <c:pt idx="261">
                  <c:v>6.8199999999999985</c:v>
                </c:pt>
                <c:pt idx="262">
                  <c:v>6.14</c:v>
                </c:pt>
                <c:pt idx="263">
                  <c:v>4.49</c:v>
                </c:pt>
                <c:pt idx="264">
                  <c:v>6.9</c:v>
                </c:pt>
                <c:pt idx="265">
                  <c:v>6.89</c:v>
                </c:pt>
                <c:pt idx="266">
                  <c:v>6.4700000000000015</c:v>
                </c:pt>
                <c:pt idx="267">
                  <c:v>5.9300000000000015</c:v>
                </c:pt>
                <c:pt idx="268">
                  <c:v>6.64</c:v>
                </c:pt>
                <c:pt idx="269">
                  <c:v>6.04</c:v>
                </c:pt>
                <c:pt idx="270">
                  <c:v>5.71</c:v>
                </c:pt>
                <c:pt idx="271">
                  <c:v>4.3</c:v>
                </c:pt>
                <c:pt idx="272">
                  <c:v>3.7800000000000002</c:v>
                </c:pt>
                <c:pt idx="273">
                  <c:v>4.26</c:v>
                </c:pt>
                <c:pt idx="274">
                  <c:v>6.85</c:v>
                </c:pt>
                <c:pt idx="275">
                  <c:v>6.6199999999999983</c:v>
                </c:pt>
                <c:pt idx="276">
                  <c:v>6.31</c:v>
                </c:pt>
                <c:pt idx="277">
                  <c:v>6.21</c:v>
                </c:pt>
                <c:pt idx="278">
                  <c:v>6.54</c:v>
                </c:pt>
                <c:pt idx="279">
                  <c:v>6.64</c:v>
                </c:pt>
                <c:pt idx="280">
                  <c:v>7.01</c:v>
                </c:pt>
                <c:pt idx="281">
                  <c:v>6.79</c:v>
                </c:pt>
                <c:pt idx="282">
                  <c:v>6.22</c:v>
                </c:pt>
                <c:pt idx="283">
                  <c:v>4.3199999999999985</c:v>
                </c:pt>
                <c:pt idx="284">
                  <c:v>7.4300000000000015</c:v>
                </c:pt>
                <c:pt idx="285">
                  <c:v>7.33</c:v>
                </c:pt>
                <c:pt idx="286">
                  <c:v>6.49</c:v>
                </c:pt>
                <c:pt idx="287">
                  <c:v>5.96</c:v>
                </c:pt>
                <c:pt idx="288">
                  <c:v>6.24</c:v>
                </c:pt>
                <c:pt idx="289">
                  <c:v>6.06</c:v>
                </c:pt>
                <c:pt idx="290">
                  <c:v>6.03</c:v>
                </c:pt>
                <c:pt idx="291">
                  <c:v>6.01</c:v>
                </c:pt>
                <c:pt idx="292">
                  <c:v>5.8599999999999985</c:v>
                </c:pt>
                <c:pt idx="293">
                  <c:v>4.1499999999999995</c:v>
                </c:pt>
                <c:pt idx="294">
                  <c:v>6.48</c:v>
                </c:pt>
                <c:pt idx="295">
                  <c:v>6.46</c:v>
                </c:pt>
                <c:pt idx="296">
                  <c:v>6.68</c:v>
                </c:pt>
                <c:pt idx="297">
                  <c:v>6.9300000000000015</c:v>
                </c:pt>
                <c:pt idx="298">
                  <c:v>6.68</c:v>
                </c:pt>
                <c:pt idx="299">
                  <c:v>6.51</c:v>
                </c:pt>
                <c:pt idx="300">
                  <c:v>6.85</c:v>
                </c:pt>
                <c:pt idx="301">
                  <c:v>7.14</c:v>
                </c:pt>
                <c:pt idx="302">
                  <c:v>7.24</c:v>
                </c:pt>
                <c:pt idx="303">
                  <c:v>3.8299999999999992</c:v>
                </c:pt>
                <c:pt idx="304">
                  <c:v>6.92</c:v>
                </c:pt>
                <c:pt idx="305">
                  <c:v>6.45</c:v>
                </c:pt>
                <c:pt idx="306">
                  <c:v>5.81</c:v>
                </c:pt>
                <c:pt idx="307">
                  <c:v>6.14</c:v>
                </c:pt>
                <c:pt idx="308">
                  <c:v>6.51</c:v>
                </c:pt>
                <c:pt idx="309">
                  <c:v>7.1499999999999995</c:v>
                </c:pt>
                <c:pt idx="310">
                  <c:v>7.29</c:v>
                </c:pt>
                <c:pt idx="311">
                  <c:v>7.03</c:v>
                </c:pt>
                <c:pt idx="312">
                  <c:v>6.76</c:v>
                </c:pt>
                <c:pt idx="313">
                  <c:v>2.86</c:v>
                </c:pt>
                <c:pt idx="314">
                  <c:v>7.5</c:v>
                </c:pt>
                <c:pt idx="315">
                  <c:v>7.71</c:v>
                </c:pt>
                <c:pt idx="316">
                  <c:v>7.8199999999999985</c:v>
                </c:pt>
                <c:pt idx="317">
                  <c:v>8.0500000000000007</c:v>
                </c:pt>
                <c:pt idx="318">
                  <c:v>8.2900000000000009</c:v>
                </c:pt>
                <c:pt idx="319">
                  <c:v>7.53</c:v>
                </c:pt>
                <c:pt idx="320">
                  <c:v>7.57</c:v>
                </c:pt>
                <c:pt idx="321">
                  <c:v>7.22</c:v>
                </c:pt>
                <c:pt idx="322">
                  <c:v>6.39</c:v>
                </c:pt>
                <c:pt idx="323">
                  <c:v>3.2</c:v>
                </c:pt>
                <c:pt idx="324">
                  <c:v>7.75</c:v>
                </c:pt>
                <c:pt idx="325">
                  <c:v>7.63</c:v>
                </c:pt>
                <c:pt idx="326">
                  <c:v>7.6599999999999984</c:v>
                </c:pt>
                <c:pt idx="327">
                  <c:v>7.8199999999999985</c:v>
                </c:pt>
                <c:pt idx="328">
                  <c:v>7.84</c:v>
                </c:pt>
                <c:pt idx="329">
                  <c:v>7.87</c:v>
                </c:pt>
                <c:pt idx="330">
                  <c:v>7.7</c:v>
                </c:pt>
                <c:pt idx="331">
                  <c:v>6.21</c:v>
                </c:pt>
                <c:pt idx="332">
                  <c:v>2.5499999999999998</c:v>
                </c:pt>
                <c:pt idx="333">
                  <c:v>2.8299999999999992</c:v>
                </c:pt>
                <c:pt idx="334">
                  <c:v>7.22</c:v>
                </c:pt>
                <c:pt idx="335">
                  <c:v>7.17</c:v>
                </c:pt>
                <c:pt idx="336">
                  <c:v>6.22</c:v>
                </c:pt>
                <c:pt idx="337">
                  <c:v>6.1099999999999985</c:v>
                </c:pt>
                <c:pt idx="338">
                  <c:v>7.64</c:v>
                </c:pt>
                <c:pt idx="339">
                  <c:v>7.87</c:v>
                </c:pt>
                <c:pt idx="340">
                  <c:v>7.96</c:v>
                </c:pt>
                <c:pt idx="341">
                  <c:v>7.58</c:v>
                </c:pt>
                <c:pt idx="342">
                  <c:v>6.73</c:v>
                </c:pt>
                <c:pt idx="343">
                  <c:v>2.3499999999999992</c:v>
                </c:pt>
                <c:pt idx="344">
                  <c:v>7.33</c:v>
                </c:pt>
                <c:pt idx="345">
                  <c:v>7.1099999999999985</c:v>
                </c:pt>
                <c:pt idx="346">
                  <c:v>7.01</c:v>
                </c:pt>
                <c:pt idx="347">
                  <c:v>7.26</c:v>
                </c:pt>
                <c:pt idx="348">
                  <c:v>6.85</c:v>
                </c:pt>
                <c:pt idx="349">
                  <c:v>6.33</c:v>
                </c:pt>
                <c:pt idx="350">
                  <c:v>6.2</c:v>
                </c:pt>
                <c:pt idx="351">
                  <c:v>6.33</c:v>
                </c:pt>
                <c:pt idx="352">
                  <c:v>2.9499999999999997</c:v>
                </c:pt>
                <c:pt idx="353">
                  <c:v>7.81</c:v>
                </c:pt>
                <c:pt idx="354">
                  <c:v>7.96</c:v>
                </c:pt>
                <c:pt idx="355">
                  <c:v>7.9300000000000015</c:v>
                </c:pt>
                <c:pt idx="356">
                  <c:v>7.9</c:v>
                </c:pt>
                <c:pt idx="357">
                  <c:v>7.8199999999999985</c:v>
                </c:pt>
                <c:pt idx="358">
                  <c:v>7.6599999999999984</c:v>
                </c:pt>
                <c:pt idx="359">
                  <c:v>7.76</c:v>
                </c:pt>
                <c:pt idx="360">
                  <c:v>7.92</c:v>
                </c:pt>
                <c:pt idx="361">
                  <c:v>7.23</c:v>
                </c:pt>
                <c:pt idx="362">
                  <c:v>2.63</c:v>
                </c:pt>
                <c:pt idx="363">
                  <c:v>6.9700000000000015</c:v>
                </c:pt>
                <c:pt idx="364">
                  <c:v>6.33</c:v>
                </c:pt>
                <c:pt idx="365">
                  <c:v>6.42</c:v>
                </c:pt>
                <c:pt idx="366">
                  <c:v>6.59</c:v>
                </c:pt>
                <c:pt idx="367">
                  <c:v>7.37</c:v>
                </c:pt>
                <c:pt idx="368">
                  <c:v>7.13</c:v>
                </c:pt>
                <c:pt idx="369">
                  <c:v>7.3</c:v>
                </c:pt>
                <c:pt idx="370">
                  <c:v>7.52</c:v>
                </c:pt>
                <c:pt idx="371">
                  <c:v>6.9</c:v>
                </c:pt>
                <c:pt idx="372">
                  <c:v>3.01</c:v>
                </c:pt>
                <c:pt idx="373">
                  <c:v>7.88</c:v>
                </c:pt>
                <c:pt idx="374">
                  <c:v>7.9300000000000015</c:v>
                </c:pt>
                <c:pt idx="375">
                  <c:v>7.42</c:v>
                </c:pt>
                <c:pt idx="376">
                  <c:v>7.51</c:v>
                </c:pt>
                <c:pt idx="377">
                  <c:v>7.3599999999999985</c:v>
                </c:pt>
                <c:pt idx="378">
                  <c:v>7.23</c:v>
                </c:pt>
                <c:pt idx="379">
                  <c:v>6.84</c:v>
                </c:pt>
                <c:pt idx="380">
                  <c:v>6.6899999999999995</c:v>
                </c:pt>
                <c:pt idx="381">
                  <c:v>6.9300000000000015</c:v>
                </c:pt>
                <c:pt idx="382">
                  <c:v>3.04</c:v>
                </c:pt>
                <c:pt idx="383">
                  <c:v>7.45</c:v>
                </c:pt>
                <c:pt idx="384">
                  <c:v>7.55</c:v>
                </c:pt>
                <c:pt idx="385">
                  <c:v>7.18</c:v>
                </c:pt>
                <c:pt idx="386">
                  <c:v>6.89</c:v>
                </c:pt>
                <c:pt idx="387">
                  <c:v>7.04</c:v>
                </c:pt>
                <c:pt idx="388">
                  <c:v>6.29</c:v>
                </c:pt>
                <c:pt idx="389">
                  <c:v>6.01</c:v>
                </c:pt>
                <c:pt idx="390">
                  <c:v>5.94</c:v>
                </c:pt>
                <c:pt idx="391">
                  <c:v>6.58</c:v>
                </c:pt>
                <c:pt idx="392">
                  <c:v>3.2800000000000002</c:v>
                </c:pt>
                <c:pt idx="393">
                  <c:v>7.59</c:v>
                </c:pt>
                <c:pt idx="394">
                  <c:v>7.7</c:v>
                </c:pt>
                <c:pt idx="395">
                  <c:v>7.2700000000000014</c:v>
                </c:pt>
                <c:pt idx="396">
                  <c:v>6.94</c:v>
                </c:pt>
                <c:pt idx="397">
                  <c:v>6.94</c:v>
                </c:pt>
                <c:pt idx="398">
                  <c:v>7.04</c:v>
                </c:pt>
                <c:pt idx="399">
                  <c:v>7.6499999999999995</c:v>
                </c:pt>
                <c:pt idx="400">
                  <c:v>7.7700000000000014</c:v>
                </c:pt>
                <c:pt idx="401">
                  <c:v>7.95</c:v>
                </c:pt>
                <c:pt idx="402">
                  <c:v>5.87</c:v>
                </c:pt>
                <c:pt idx="403">
                  <c:v>5.26</c:v>
                </c:pt>
                <c:pt idx="404">
                  <c:v>5.0199999999999996</c:v>
                </c:pt>
                <c:pt idx="405">
                  <c:v>5.07</c:v>
                </c:pt>
                <c:pt idx="406">
                  <c:v>5.0599999999999996</c:v>
                </c:pt>
                <c:pt idx="407">
                  <c:v>5.46</c:v>
                </c:pt>
                <c:pt idx="408">
                  <c:v>6.05</c:v>
                </c:pt>
                <c:pt idx="409">
                  <c:v>6.08</c:v>
                </c:pt>
                <c:pt idx="410">
                  <c:v>5.95</c:v>
                </c:pt>
                <c:pt idx="411">
                  <c:v>6.2</c:v>
                </c:pt>
                <c:pt idx="412">
                  <c:v>7.38</c:v>
                </c:pt>
                <c:pt idx="413">
                  <c:v>7.22</c:v>
                </c:pt>
                <c:pt idx="414">
                  <c:v>6.98</c:v>
                </c:pt>
                <c:pt idx="415">
                  <c:v>6.68</c:v>
                </c:pt>
                <c:pt idx="416">
                  <c:v>6.63</c:v>
                </c:pt>
                <c:pt idx="417">
                  <c:v>6.7700000000000014</c:v>
                </c:pt>
                <c:pt idx="418">
                  <c:v>7.48</c:v>
                </c:pt>
                <c:pt idx="419">
                  <c:v>6.6599999999999984</c:v>
                </c:pt>
                <c:pt idx="420">
                  <c:v>6.33</c:v>
                </c:pt>
                <c:pt idx="421">
                  <c:v>5.85</c:v>
                </c:pt>
                <c:pt idx="422">
                  <c:v>5.54</c:v>
                </c:pt>
                <c:pt idx="423">
                  <c:v>5.79</c:v>
                </c:pt>
                <c:pt idx="424">
                  <c:v>5.76</c:v>
                </c:pt>
                <c:pt idx="425">
                  <c:v>5.7700000000000014</c:v>
                </c:pt>
                <c:pt idx="426">
                  <c:v>5.85</c:v>
                </c:pt>
                <c:pt idx="427">
                  <c:v>5.25</c:v>
                </c:pt>
                <c:pt idx="428">
                  <c:v>5.09</c:v>
                </c:pt>
                <c:pt idx="429">
                  <c:v>6.39</c:v>
                </c:pt>
                <c:pt idx="430">
                  <c:v>6.8</c:v>
                </c:pt>
                <c:pt idx="431">
                  <c:v>6.72</c:v>
                </c:pt>
                <c:pt idx="432">
                  <c:v>6.52</c:v>
                </c:pt>
                <c:pt idx="433">
                  <c:v>6.23</c:v>
                </c:pt>
                <c:pt idx="434">
                  <c:v>6.75</c:v>
                </c:pt>
                <c:pt idx="435">
                  <c:v>6.67</c:v>
                </c:pt>
                <c:pt idx="436">
                  <c:v>5.7700000000000014</c:v>
                </c:pt>
                <c:pt idx="437">
                  <c:v>5.57</c:v>
                </c:pt>
                <c:pt idx="438">
                  <c:v>5.7700000000000014</c:v>
                </c:pt>
                <c:pt idx="439">
                  <c:v>6.2</c:v>
                </c:pt>
                <c:pt idx="440">
                  <c:v>5.74</c:v>
                </c:pt>
                <c:pt idx="441">
                  <c:v>5.6899999999999995</c:v>
                </c:pt>
                <c:pt idx="442">
                  <c:v>5.58</c:v>
                </c:pt>
                <c:pt idx="443">
                  <c:v>5.75</c:v>
                </c:pt>
                <c:pt idx="444">
                  <c:v>5.99</c:v>
                </c:pt>
                <c:pt idx="445">
                  <c:v>6.04</c:v>
                </c:pt>
                <c:pt idx="446">
                  <c:v>6.21</c:v>
                </c:pt>
                <c:pt idx="447">
                  <c:v>6.24</c:v>
                </c:pt>
                <c:pt idx="448">
                  <c:v>6.07</c:v>
                </c:pt>
                <c:pt idx="449">
                  <c:v>5.83</c:v>
                </c:pt>
                <c:pt idx="450">
                  <c:v>6.29</c:v>
                </c:pt>
                <c:pt idx="451">
                  <c:v>6.49</c:v>
                </c:pt>
                <c:pt idx="452">
                  <c:v>7.2700000000000014</c:v>
                </c:pt>
                <c:pt idx="453">
                  <c:v>7.6099999999999985</c:v>
                </c:pt>
                <c:pt idx="454">
                  <c:v>10.71</c:v>
                </c:pt>
                <c:pt idx="455">
                  <c:v>10.350000000000003</c:v>
                </c:pt>
                <c:pt idx="456">
                  <c:v>10.91</c:v>
                </c:pt>
                <c:pt idx="457">
                  <c:v>11.1</c:v>
                </c:pt>
                <c:pt idx="458">
                  <c:v>11.18</c:v>
                </c:pt>
                <c:pt idx="459">
                  <c:v>11.2</c:v>
                </c:pt>
                <c:pt idx="460">
                  <c:v>10.63</c:v>
                </c:pt>
                <c:pt idx="461">
                  <c:v>10.030000000000001</c:v>
                </c:pt>
                <c:pt idx="462">
                  <c:v>8.41</c:v>
                </c:pt>
                <c:pt idx="463">
                  <c:v>8.52</c:v>
                </c:pt>
                <c:pt idx="464">
                  <c:v>9.15</c:v>
                </c:pt>
                <c:pt idx="465">
                  <c:v>8.7800000000000011</c:v>
                </c:pt>
                <c:pt idx="466">
                  <c:v>7.71</c:v>
                </c:pt>
                <c:pt idx="467">
                  <c:v>10.24</c:v>
                </c:pt>
                <c:pt idx="468">
                  <c:v>10.66</c:v>
                </c:pt>
                <c:pt idx="469">
                  <c:v>10.210000000000001</c:v>
                </c:pt>
                <c:pt idx="470">
                  <c:v>9.5</c:v>
                </c:pt>
                <c:pt idx="471">
                  <c:v>10.68</c:v>
                </c:pt>
                <c:pt idx="472">
                  <c:v>10.84</c:v>
                </c:pt>
                <c:pt idx="473">
                  <c:v>11.41</c:v>
                </c:pt>
                <c:pt idx="474">
                  <c:v>11.39</c:v>
                </c:pt>
                <c:pt idx="475">
                  <c:v>10.98</c:v>
                </c:pt>
                <c:pt idx="476">
                  <c:v>11.370000000000003</c:v>
                </c:pt>
                <c:pt idx="477">
                  <c:v>11.44</c:v>
                </c:pt>
                <c:pt idx="478">
                  <c:v>11.450000000000003</c:v>
                </c:pt>
                <c:pt idx="479">
                  <c:v>11.22</c:v>
                </c:pt>
                <c:pt idx="480">
                  <c:v>11.370000000000003</c:v>
                </c:pt>
                <c:pt idx="481">
                  <c:v>11.44</c:v>
                </c:pt>
                <c:pt idx="482">
                  <c:v>11.38</c:v>
                </c:pt>
                <c:pt idx="483">
                  <c:v>11.4</c:v>
                </c:pt>
                <c:pt idx="484">
                  <c:v>11.42</c:v>
                </c:pt>
                <c:pt idx="485">
                  <c:v>10.82</c:v>
                </c:pt>
                <c:pt idx="486">
                  <c:v>11.350000000000003</c:v>
                </c:pt>
                <c:pt idx="487">
                  <c:v>11.41</c:v>
                </c:pt>
                <c:pt idx="488">
                  <c:v>11.28</c:v>
                </c:pt>
                <c:pt idx="489">
                  <c:v>11.32</c:v>
                </c:pt>
                <c:pt idx="490">
                  <c:v>11.3</c:v>
                </c:pt>
                <c:pt idx="491">
                  <c:v>11.3</c:v>
                </c:pt>
                <c:pt idx="492">
                  <c:v>11.3</c:v>
                </c:pt>
                <c:pt idx="493">
                  <c:v>11.28</c:v>
                </c:pt>
                <c:pt idx="494">
                  <c:v>11.27</c:v>
                </c:pt>
                <c:pt idx="495">
                  <c:v>10.71</c:v>
                </c:pt>
                <c:pt idx="496">
                  <c:v>11.2</c:v>
                </c:pt>
                <c:pt idx="497">
                  <c:v>11.22</c:v>
                </c:pt>
                <c:pt idx="498">
                  <c:v>11.12</c:v>
                </c:pt>
                <c:pt idx="499">
                  <c:v>10.52</c:v>
                </c:pt>
                <c:pt idx="500">
                  <c:v>8.5400000000000009</c:v>
                </c:pt>
                <c:pt idx="501">
                  <c:v>10.54</c:v>
                </c:pt>
                <c:pt idx="502">
                  <c:v>10.52</c:v>
                </c:pt>
                <c:pt idx="503">
                  <c:v>10.71</c:v>
                </c:pt>
                <c:pt idx="504">
                  <c:v>9.5400000000000009</c:v>
                </c:pt>
                <c:pt idx="505">
                  <c:v>10.28</c:v>
                </c:pt>
                <c:pt idx="506">
                  <c:v>11.09</c:v>
                </c:pt>
                <c:pt idx="507">
                  <c:v>11.22</c:v>
                </c:pt>
                <c:pt idx="508">
                  <c:v>11.14</c:v>
                </c:pt>
                <c:pt idx="509">
                  <c:v>10.78</c:v>
                </c:pt>
                <c:pt idx="510">
                  <c:v>10.94</c:v>
                </c:pt>
                <c:pt idx="511">
                  <c:v>11.07</c:v>
                </c:pt>
                <c:pt idx="512">
                  <c:v>10.72</c:v>
                </c:pt>
                <c:pt idx="513">
                  <c:v>10.66</c:v>
                </c:pt>
                <c:pt idx="514">
                  <c:v>10.65</c:v>
                </c:pt>
                <c:pt idx="515">
                  <c:v>10.17</c:v>
                </c:pt>
                <c:pt idx="516">
                  <c:v>10.72</c:v>
                </c:pt>
                <c:pt idx="517">
                  <c:v>10.61</c:v>
                </c:pt>
                <c:pt idx="518">
                  <c:v>10.54</c:v>
                </c:pt>
                <c:pt idx="519">
                  <c:v>10.51</c:v>
                </c:pt>
                <c:pt idx="520">
                  <c:v>10.09</c:v>
                </c:pt>
                <c:pt idx="521">
                  <c:v>8.93</c:v>
                </c:pt>
                <c:pt idx="522">
                  <c:v>9.23</c:v>
                </c:pt>
                <c:pt idx="523">
                  <c:v>10.200000000000001</c:v>
                </c:pt>
                <c:pt idx="524">
                  <c:v>10.17</c:v>
                </c:pt>
                <c:pt idx="525">
                  <c:v>9.3000000000000007</c:v>
                </c:pt>
                <c:pt idx="526">
                  <c:v>9.81</c:v>
                </c:pt>
                <c:pt idx="527">
                  <c:v>10.030000000000001</c:v>
                </c:pt>
                <c:pt idx="528">
                  <c:v>10.34</c:v>
                </c:pt>
                <c:pt idx="529">
                  <c:v>10.370000000000003</c:v>
                </c:pt>
                <c:pt idx="530">
                  <c:v>9.65</c:v>
                </c:pt>
                <c:pt idx="531">
                  <c:v>9.07</c:v>
                </c:pt>
                <c:pt idx="532">
                  <c:v>6.6</c:v>
                </c:pt>
                <c:pt idx="533">
                  <c:v>6.8199999999999985</c:v>
                </c:pt>
                <c:pt idx="534">
                  <c:v>7.59</c:v>
                </c:pt>
                <c:pt idx="535">
                  <c:v>6.98</c:v>
                </c:pt>
                <c:pt idx="536">
                  <c:v>8.620000000000001</c:v>
                </c:pt>
                <c:pt idx="537">
                  <c:v>9.1300000000000008</c:v>
                </c:pt>
                <c:pt idx="538">
                  <c:v>9.43</c:v>
                </c:pt>
                <c:pt idx="539">
                  <c:v>8.4700000000000006</c:v>
                </c:pt>
                <c:pt idx="540">
                  <c:v>7.92</c:v>
                </c:pt>
                <c:pt idx="541">
                  <c:v>7.9300000000000015</c:v>
                </c:pt>
                <c:pt idx="542">
                  <c:v>8.26</c:v>
                </c:pt>
                <c:pt idx="543">
                  <c:v>8.2800000000000011</c:v>
                </c:pt>
                <c:pt idx="544">
                  <c:v>7.24</c:v>
                </c:pt>
                <c:pt idx="545">
                  <c:v>7.29</c:v>
                </c:pt>
                <c:pt idx="546">
                  <c:v>8.2000000000000011</c:v>
                </c:pt>
                <c:pt idx="547">
                  <c:v>8.0500000000000007</c:v>
                </c:pt>
                <c:pt idx="548">
                  <c:v>8.32</c:v>
                </c:pt>
                <c:pt idx="549">
                  <c:v>8.2100000000000009</c:v>
                </c:pt>
                <c:pt idx="550">
                  <c:v>8.31</c:v>
                </c:pt>
                <c:pt idx="551">
                  <c:v>8.64</c:v>
                </c:pt>
                <c:pt idx="552">
                  <c:v>9.56</c:v>
                </c:pt>
                <c:pt idx="553">
                  <c:v>9.44</c:v>
                </c:pt>
                <c:pt idx="554">
                  <c:v>9.6</c:v>
                </c:pt>
                <c:pt idx="555">
                  <c:v>9.7100000000000009</c:v>
                </c:pt>
                <c:pt idx="556">
                  <c:v>9.66</c:v>
                </c:pt>
                <c:pt idx="557">
                  <c:v>9.61</c:v>
                </c:pt>
                <c:pt idx="558">
                  <c:v>9.76</c:v>
                </c:pt>
                <c:pt idx="559">
                  <c:v>9.11</c:v>
                </c:pt>
                <c:pt idx="560">
                  <c:v>9.7800000000000011</c:v>
                </c:pt>
                <c:pt idx="561">
                  <c:v>9.9</c:v>
                </c:pt>
                <c:pt idx="562">
                  <c:v>10.07</c:v>
                </c:pt>
                <c:pt idx="563">
                  <c:v>10.09</c:v>
                </c:pt>
                <c:pt idx="564">
                  <c:v>9.8700000000000028</c:v>
                </c:pt>
                <c:pt idx="565">
                  <c:v>9.7900000000000009</c:v>
                </c:pt>
                <c:pt idx="566">
                  <c:v>9.620000000000001</c:v>
                </c:pt>
                <c:pt idx="567">
                  <c:v>9.69</c:v>
                </c:pt>
                <c:pt idx="568">
                  <c:v>9.8000000000000007</c:v>
                </c:pt>
                <c:pt idx="569">
                  <c:v>9.89</c:v>
                </c:pt>
                <c:pt idx="570">
                  <c:v>9.89</c:v>
                </c:pt>
                <c:pt idx="571">
                  <c:v>10.030000000000001</c:v>
                </c:pt>
                <c:pt idx="572">
                  <c:v>9.860000000000003</c:v>
                </c:pt>
                <c:pt idx="573">
                  <c:v>9.93</c:v>
                </c:pt>
                <c:pt idx="574">
                  <c:v>10.040000000000001</c:v>
                </c:pt>
                <c:pt idx="575">
                  <c:v>9.8500000000000032</c:v>
                </c:pt>
                <c:pt idx="576">
                  <c:v>9.66</c:v>
                </c:pt>
                <c:pt idx="577">
                  <c:v>9.7900000000000009</c:v>
                </c:pt>
                <c:pt idx="578">
                  <c:v>9.76</c:v>
                </c:pt>
                <c:pt idx="579">
                  <c:v>9.4600000000000026</c:v>
                </c:pt>
                <c:pt idx="580">
                  <c:v>9.66</c:v>
                </c:pt>
                <c:pt idx="581">
                  <c:v>9.8800000000000008</c:v>
                </c:pt>
                <c:pt idx="582">
                  <c:v>9.74</c:v>
                </c:pt>
                <c:pt idx="583">
                  <c:v>9.02</c:v>
                </c:pt>
                <c:pt idx="584">
                  <c:v>9.2800000000000011</c:v>
                </c:pt>
                <c:pt idx="585">
                  <c:v>9.73</c:v>
                </c:pt>
                <c:pt idx="586">
                  <c:v>9.42</c:v>
                </c:pt>
                <c:pt idx="587">
                  <c:v>9.65</c:v>
                </c:pt>
                <c:pt idx="588">
                  <c:v>9.6</c:v>
                </c:pt>
                <c:pt idx="589">
                  <c:v>9.9500000000000028</c:v>
                </c:pt>
                <c:pt idx="590">
                  <c:v>10.01</c:v>
                </c:pt>
                <c:pt idx="591">
                  <c:v>9.9</c:v>
                </c:pt>
                <c:pt idx="592">
                  <c:v>10</c:v>
                </c:pt>
                <c:pt idx="593">
                  <c:v>10.06</c:v>
                </c:pt>
                <c:pt idx="594">
                  <c:v>9.94</c:v>
                </c:pt>
                <c:pt idx="595">
                  <c:v>9.8700000000000028</c:v>
                </c:pt>
                <c:pt idx="596">
                  <c:v>9.9600000000000026</c:v>
                </c:pt>
                <c:pt idx="597">
                  <c:v>10</c:v>
                </c:pt>
                <c:pt idx="598">
                  <c:v>9.8800000000000008</c:v>
                </c:pt>
                <c:pt idx="599">
                  <c:v>9.8700000000000028</c:v>
                </c:pt>
                <c:pt idx="600">
                  <c:v>9.94</c:v>
                </c:pt>
                <c:pt idx="601">
                  <c:v>9.99</c:v>
                </c:pt>
                <c:pt idx="602">
                  <c:v>9.98</c:v>
                </c:pt>
                <c:pt idx="603">
                  <c:v>9.93</c:v>
                </c:pt>
                <c:pt idx="604">
                  <c:v>10.050000000000002</c:v>
                </c:pt>
                <c:pt idx="605">
                  <c:v>9.92</c:v>
                </c:pt>
                <c:pt idx="606">
                  <c:v>9.9500000000000028</c:v>
                </c:pt>
                <c:pt idx="607">
                  <c:v>9.9</c:v>
                </c:pt>
                <c:pt idx="608">
                  <c:v>9.9500000000000028</c:v>
                </c:pt>
                <c:pt idx="609">
                  <c:v>10.01</c:v>
                </c:pt>
                <c:pt idx="610">
                  <c:v>9.9600000000000026</c:v>
                </c:pt>
                <c:pt idx="611">
                  <c:v>9.9600000000000026</c:v>
                </c:pt>
                <c:pt idx="612">
                  <c:v>9.8800000000000008</c:v>
                </c:pt>
                <c:pt idx="613">
                  <c:v>10</c:v>
                </c:pt>
                <c:pt idx="614">
                  <c:v>9.9700000000000006</c:v>
                </c:pt>
                <c:pt idx="615">
                  <c:v>9.8800000000000008</c:v>
                </c:pt>
                <c:pt idx="616">
                  <c:v>9.91</c:v>
                </c:pt>
                <c:pt idx="617">
                  <c:v>9.92</c:v>
                </c:pt>
                <c:pt idx="618">
                  <c:v>9.92</c:v>
                </c:pt>
                <c:pt idx="619">
                  <c:v>9.89</c:v>
                </c:pt>
                <c:pt idx="620">
                  <c:v>9.91</c:v>
                </c:pt>
                <c:pt idx="621">
                  <c:v>9.91</c:v>
                </c:pt>
                <c:pt idx="622">
                  <c:v>9.77</c:v>
                </c:pt>
                <c:pt idx="623">
                  <c:v>9.43</c:v>
                </c:pt>
                <c:pt idx="624">
                  <c:v>9.2900000000000009</c:v>
                </c:pt>
                <c:pt idx="625">
                  <c:v>9.17</c:v>
                </c:pt>
                <c:pt idx="626">
                  <c:v>8.3800000000000008</c:v>
                </c:pt>
                <c:pt idx="627">
                  <c:v>7.63</c:v>
                </c:pt>
                <c:pt idx="628">
                  <c:v>6.92</c:v>
                </c:pt>
                <c:pt idx="629">
                  <c:v>9.6300000000000008</c:v>
                </c:pt>
                <c:pt idx="630">
                  <c:v>9.5400000000000009</c:v>
                </c:pt>
                <c:pt idx="631">
                  <c:v>9.39</c:v>
                </c:pt>
                <c:pt idx="632">
                  <c:v>8.49</c:v>
                </c:pt>
                <c:pt idx="633">
                  <c:v>6.4</c:v>
                </c:pt>
                <c:pt idx="634">
                  <c:v>7.1099999999999985</c:v>
                </c:pt>
                <c:pt idx="635">
                  <c:v>7.07</c:v>
                </c:pt>
                <c:pt idx="636">
                  <c:v>7.1899999999999995</c:v>
                </c:pt>
                <c:pt idx="637">
                  <c:v>8.14</c:v>
                </c:pt>
                <c:pt idx="638">
                  <c:v>7.49</c:v>
                </c:pt>
                <c:pt idx="639">
                  <c:v>8.7100000000000009</c:v>
                </c:pt>
                <c:pt idx="640">
                  <c:v>9.69</c:v>
                </c:pt>
                <c:pt idx="641">
                  <c:v>9.14</c:v>
                </c:pt>
                <c:pt idx="642">
                  <c:v>7.23</c:v>
                </c:pt>
                <c:pt idx="643">
                  <c:v>5.78</c:v>
                </c:pt>
                <c:pt idx="644">
                  <c:v>6.74</c:v>
                </c:pt>
                <c:pt idx="645">
                  <c:v>6.95</c:v>
                </c:pt>
                <c:pt idx="646">
                  <c:v>6.72</c:v>
                </c:pt>
                <c:pt idx="647">
                  <c:v>6.42</c:v>
                </c:pt>
                <c:pt idx="648">
                  <c:v>6.45</c:v>
                </c:pt>
                <c:pt idx="649">
                  <c:v>6.46</c:v>
                </c:pt>
                <c:pt idx="650">
                  <c:v>6.59</c:v>
                </c:pt>
                <c:pt idx="651">
                  <c:v>6.64</c:v>
                </c:pt>
                <c:pt idx="652">
                  <c:v>6.67</c:v>
                </c:pt>
                <c:pt idx="653">
                  <c:v>6.8</c:v>
                </c:pt>
                <c:pt idx="654">
                  <c:v>6.5</c:v>
                </c:pt>
                <c:pt idx="655">
                  <c:v>6.26</c:v>
                </c:pt>
                <c:pt idx="656">
                  <c:v>6.06</c:v>
                </c:pt>
                <c:pt idx="657">
                  <c:v>5.22</c:v>
                </c:pt>
                <c:pt idx="658">
                  <c:v>5.96</c:v>
                </c:pt>
                <c:pt idx="659">
                  <c:v>5.98</c:v>
                </c:pt>
                <c:pt idx="660">
                  <c:v>5.04</c:v>
                </c:pt>
                <c:pt idx="661" formatCode="0.00">
                  <c:v>5</c:v>
                </c:pt>
                <c:pt idx="662" formatCode="0.00">
                  <c:v>5</c:v>
                </c:pt>
                <c:pt idx="663" formatCode="0.00">
                  <c:v>5</c:v>
                </c:pt>
                <c:pt idx="664">
                  <c:v>5.24</c:v>
                </c:pt>
                <c:pt idx="665">
                  <c:v>6.52</c:v>
                </c:pt>
                <c:pt idx="666">
                  <c:v>7.89</c:v>
                </c:pt>
                <c:pt idx="667">
                  <c:v>6.1099999999999985</c:v>
                </c:pt>
                <c:pt idx="668">
                  <c:v>5.01</c:v>
                </c:pt>
                <c:pt idx="669" formatCode="0.0">
                  <c:v>5</c:v>
                </c:pt>
                <c:pt idx="670" formatCode="0.0">
                  <c:v>5</c:v>
                </c:pt>
                <c:pt idx="671">
                  <c:v>5.42</c:v>
                </c:pt>
                <c:pt idx="672">
                  <c:v>5.41</c:v>
                </c:pt>
                <c:pt idx="673">
                  <c:v>5.0999999999999996</c:v>
                </c:pt>
                <c:pt idx="674">
                  <c:v>5.04</c:v>
                </c:pt>
                <c:pt idx="675">
                  <c:v>5</c:v>
                </c:pt>
                <c:pt idx="676">
                  <c:v>5.04</c:v>
                </c:pt>
                <c:pt idx="677">
                  <c:v>5.1099999999999985</c:v>
                </c:pt>
                <c:pt idx="678">
                  <c:v>5.0999999999999996</c:v>
                </c:pt>
                <c:pt idx="679">
                  <c:v>5.0999999999999996</c:v>
                </c:pt>
                <c:pt idx="680">
                  <c:v>5</c:v>
                </c:pt>
                <c:pt idx="681">
                  <c:v>5.1099999999999985</c:v>
                </c:pt>
                <c:pt idx="682">
                  <c:v>5.2700000000000014</c:v>
                </c:pt>
                <c:pt idx="683">
                  <c:v>5.09</c:v>
                </c:pt>
                <c:pt idx="684" formatCode="0.0">
                  <c:v>5</c:v>
                </c:pt>
                <c:pt idx="685" formatCode="0.0">
                  <c:v>5</c:v>
                </c:pt>
                <c:pt idx="686">
                  <c:v>5.1599999999999984</c:v>
                </c:pt>
                <c:pt idx="687">
                  <c:v>5.1099999999999985</c:v>
                </c:pt>
                <c:pt idx="688">
                  <c:v>5.03</c:v>
                </c:pt>
                <c:pt idx="689">
                  <c:v>5.01</c:v>
                </c:pt>
                <c:pt idx="690">
                  <c:v>5.01</c:v>
                </c:pt>
                <c:pt idx="691">
                  <c:v>5.05</c:v>
                </c:pt>
              </c:numCache>
            </c:numRef>
          </c:val>
        </c:ser>
        <c:marker val="1"/>
        <c:axId val="229407360"/>
        <c:axId val="229466496"/>
      </c:lineChart>
      <c:dateAx>
        <c:axId val="229407360"/>
        <c:scaling>
          <c:orientation val="minMax"/>
        </c:scaling>
        <c:axPos val="b"/>
        <c:numFmt formatCode="mmm/yy" sourceLinked="0"/>
        <c:tickLblPos val="nextTo"/>
        <c:txPr>
          <a:bodyPr rot="-2700000" vert="horz"/>
          <a:lstStyle/>
          <a:p>
            <a:pPr>
              <a:defRPr sz="636" b="0" i="0" u="none" strike="noStrike" baseline="0">
                <a:solidFill>
                  <a:srgbClr val="000000"/>
                </a:solidFill>
                <a:latin typeface="Tahoma"/>
                <a:ea typeface="Tahoma"/>
                <a:cs typeface="Tahoma"/>
              </a:defRPr>
            </a:pPr>
            <a:endParaRPr lang="tr-TR"/>
          </a:p>
        </c:txPr>
        <c:crossAx val="229466496"/>
        <c:crosses val="autoZero"/>
        <c:auto val="1"/>
        <c:lblOffset val="100"/>
        <c:baseTimeUnit val="days"/>
        <c:majorUnit val="2"/>
        <c:majorTimeUnit val="months"/>
      </c:dateAx>
      <c:valAx>
        <c:axId val="229466496"/>
        <c:scaling>
          <c:orientation val="minMax"/>
        </c:scaling>
        <c:axPos val="l"/>
        <c:numFmt formatCode="0" sourceLinked="0"/>
        <c:tickLblPos val="nextTo"/>
        <c:txPr>
          <a:bodyPr rot="0" vert="horz"/>
          <a:lstStyle/>
          <a:p>
            <a:pPr>
              <a:defRPr sz="816" b="0" i="0" u="none" strike="noStrike" baseline="0">
                <a:solidFill>
                  <a:srgbClr val="000000"/>
                </a:solidFill>
                <a:latin typeface="Tahoma"/>
                <a:ea typeface="Tahoma"/>
                <a:cs typeface="Tahoma"/>
              </a:defRPr>
            </a:pPr>
            <a:endParaRPr lang="tr-TR"/>
          </a:p>
        </c:txPr>
        <c:crossAx val="229407360"/>
        <c:crosses val="autoZero"/>
        <c:crossBetween val="between"/>
      </c:valAx>
    </c:plotArea>
    <c:legend>
      <c:legendPos val="r"/>
      <c:legendEntry>
        <c:idx val="0"/>
        <c:delete val="1"/>
      </c:legendEntry>
      <c:layout>
        <c:manualLayout>
          <c:xMode val="edge"/>
          <c:yMode val="edge"/>
          <c:wMode val="edge"/>
          <c:hMode val="edge"/>
          <c:x val="0.18589763187050834"/>
          <c:y val="1.2780011940567522E-2"/>
          <c:w val="0.80128211964475071"/>
          <c:h val="0.102236490824913"/>
        </c:manualLayout>
      </c:layout>
      <c:txPr>
        <a:bodyPr/>
        <a:lstStyle/>
        <a:p>
          <a:pPr>
            <a:defRPr sz="668" b="0" i="0" u="none" strike="noStrike" baseline="0">
              <a:solidFill>
                <a:srgbClr val="000000"/>
              </a:solidFill>
              <a:latin typeface="Tahoma"/>
              <a:ea typeface="Tahoma"/>
              <a:cs typeface="Tahoma"/>
            </a:defRPr>
          </a:pPr>
          <a:endParaRPr lang="tr-TR"/>
        </a:p>
      </c:txPr>
    </c:legend>
    <c:plotVisOnly val="1"/>
    <c:dispBlanksAs val="zero"/>
  </c:chart>
  <c:spPr>
    <a:ln>
      <a:noFill/>
    </a:ln>
  </c:spPr>
  <c:txPr>
    <a:bodyPr/>
    <a:lstStyle/>
    <a:p>
      <a:pPr>
        <a:defRPr sz="911" b="0" i="0" u="none" strike="noStrike" baseline="0">
          <a:solidFill>
            <a:srgbClr val="000000"/>
          </a:solidFill>
          <a:latin typeface="Times New Roman"/>
          <a:ea typeface="Times New Roman"/>
          <a:cs typeface="Times New Roman"/>
        </a:defRPr>
      </a:pPr>
      <a:endParaRPr lang="tr-TR"/>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tr-TR"/>
  <c:chart>
    <c:plotArea>
      <c:layout>
        <c:manualLayout>
          <c:layoutTarget val="inner"/>
          <c:xMode val="edge"/>
          <c:yMode val="edge"/>
          <c:x val="9.2213829569828279E-2"/>
          <c:y val="9.9928672408705371E-2"/>
          <c:w val="0.82607100089548824"/>
          <c:h val="0.76647443701655849"/>
        </c:manualLayout>
      </c:layout>
      <c:areaChart>
        <c:grouping val="standard"/>
        <c:ser>
          <c:idx val="0"/>
          <c:order val="0"/>
          <c:tx>
            <c:strRef>
              <c:f>Sayfa1!$B$1</c:f>
              <c:strCache>
                <c:ptCount val="1"/>
                <c:pt idx="0">
                  <c:v>Toplam Bakiye (Milyar TL)</c:v>
                </c:pt>
              </c:strCache>
            </c:strRef>
          </c:tx>
          <c:spPr>
            <a:solidFill>
              <a:schemeClr val="accent2">
                <a:lumMod val="60000"/>
                <a:lumOff val="40000"/>
              </a:schemeClr>
            </a:solidFill>
          </c:spPr>
          <c:cat>
            <c:numRef>
              <c:f>Sayfa1!$A$2:$A$299</c:f>
              <c:numCache>
                <c:formatCode>dd/mm/yyyy</c:formatCode>
                <c:ptCount val="298"/>
                <c:pt idx="0">
                  <c:v>40760</c:v>
                </c:pt>
                <c:pt idx="1">
                  <c:v>40763</c:v>
                </c:pt>
                <c:pt idx="2">
                  <c:v>40764</c:v>
                </c:pt>
                <c:pt idx="3">
                  <c:v>40765</c:v>
                </c:pt>
                <c:pt idx="4">
                  <c:v>40766</c:v>
                </c:pt>
                <c:pt idx="5">
                  <c:v>40767</c:v>
                </c:pt>
                <c:pt idx="6">
                  <c:v>40770</c:v>
                </c:pt>
                <c:pt idx="7">
                  <c:v>40771</c:v>
                </c:pt>
                <c:pt idx="8">
                  <c:v>40772</c:v>
                </c:pt>
                <c:pt idx="9">
                  <c:v>40773</c:v>
                </c:pt>
                <c:pt idx="10">
                  <c:v>40774</c:v>
                </c:pt>
                <c:pt idx="11">
                  <c:v>40777</c:v>
                </c:pt>
                <c:pt idx="12">
                  <c:v>40778</c:v>
                </c:pt>
                <c:pt idx="13">
                  <c:v>40779</c:v>
                </c:pt>
                <c:pt idx="14">
                  <c:v>40780</c:v>
                </c:pt>
                <c:pt idx="15">
                  <c:v>40781</c:v>
                </c:pt>
                <c:pt idx="16">
                  <c:v>40784</c:v>
                </c:pt>
                <c:pt idx="17">
                  <c:v>40785</c:v>
                </c:pt>
                <c:pt idx="18">
                  <c:v>40786</c:v>
                </c:pt>
                <c:pt idx="19">
                  <c:v>40787</c:v>
                </c:pt>
                <c:pt idx="20">
                  <c:v>40788</c:v>
                </c:pt>
                <c:pt idx="21">
                  <c:v>40791</c:v>
                </c:pt>
                <c:pt idx="22">
                  <c:v>40792</c:v>
                </c:pt>
                <c:pt idx="23">
                  <c:v>40793</c:v>
                </c:pt>
                <c:pt idx="24">
                  <c:v>40794</c:v>
                </c:pt>
                <c:pt idx="25">
                  <c:v>40795</c:v>
                </c:pt>
                <c:pt idx="26">
                  <c:v>40798</c:v>
                </c:pt>
                <c:pt idx="27">
                  <c:v>40799</c:v>
                </c:pt>
                <c:pt idx="28">
                  <c:v>40800</c:v>
                </c:pt>
                <c:pt idx="29">
                  <c:v>40801</c:v>
                </c:pt>
                <c:pt idx="30">
                  <c:v>40802</c:v>
                </c:pt>
                <c:pt idx="31">
                  <c:v>40805</c:v>
                </c:pt>
                <c:pt idx="32">
                  <c:v>40806</c:v>
                </c:pt>
                <c:pt idx="33">
                  <c:v>40807</c:v>
                </c:pt>
                <c:pt idx="34">
                  <c:v>40808</c:v>
                </c:pt>
                <c:pt idx="35">
                  <c:v>40809</c:v>
                </c:pt>
                <c:pt idx="36">
                  <c:v>40812</c:v>
                </c:pt>
                <c:pt idx="37">
                  <c:v>40813</c:v>
                </c:pt>
                <c:pt idx="38">
                  <c:v>40814</c:v>
                </c:pt>
                <c:pt idx="39">
                  <c:v>40815</c:v>
                </c:pt>
                <c:pt idx="40">
                  <c:v>40816</c:v>
                </c:pt>
                <c:pt idx="41">
                  <c:v>40819</c:v>
                </c:pt>
                <c:pt idx="42">
                  <c:v>40820</c:v>
                </c:pt>
                <c:pt idx="43">
                  <c:v>40821</c:v>
                </c:pt>
                <c:pt idx="44">
                  <c:v>40822</c:v>
                </c:pt>
                <c:pt idx="45">
                  <c:v>40823</c:v>
                </c:pt>
                <c:pt idx="46">
                  <c:v>40826</c:v>
                </c:pt>
                <c:pt idx="47">
                  <c:v>40827</c:v>
                </c:pt>
                <c:pt idx="48">
                  <c:v>40828</c:v>
                </c:pt>
                <c:pt idx="49">
                  <c:v>40829</c:v>
                </c:pt>
                <c:pt idx="50">
                  <c:v>40830</c:v>
                </c:pt>
                <c:pt idx="51">
                  <c:v>40833</c:v>
                </c:pt>
                <c:pt idx="52">
                  <c:v>40834</c:v>
                </c:pt>
                <c:pt idx="53">
                  <c:v>40835</c:v>
                </c:pt>
                <c:pt idx="54">
                  <c:v>40836</c:v>
                </c:pt>
                <c:pt idx="55">
                  <c:v>40837</c:v>
                </c:pt>
                <c:pt idx="56">
                  <c:v>40840</c:v>
                </c:pt>
                <c:pt idx="57">
                  <c:v>40841</c:v>
                </c:pt>
                <c:pt idx="58">
                  <c:v>40842</c:v>
                </c:pt>
                <c:pt idx="59">
                  <c:v>40843</c:v>
                </c:pt>
                <c:pt idx="60">
                  <c:v>40844</c:v>
                </c:pt>
                <c:pt idx="61">
                  <c:v>40847</c:v>
                </c:pt>
                <c:pt idx="62">
                  <c:v>40848</c:v>
                </c:pt>
                <c:pt idx="63">
                  <c:v>40849</c:v>
                </c:pt>
                <c:pt idx="64">
                  <c:v>40850</c:v>
                </c:pt>
                <c:pt idx="65">
                  <c:v>40851</c:v>
                </c:pt>
                <c:pt idx="66">
                  <c:v>40854</c:v>
                </c:pt>
                <c:pt idx="67">
                  <c:v>40855</c:v>
                </c:pt>
                <c:pt idx="68">
                  <c:v>40856</c:v>
                </c:pt>
                <c:pt idx="69">
                  <c:v>40857</c:v>
                </c:pt>
                <c:pt idx="70">
                  <c:v>40858</c:v>
                </c:pt>
                <c:pt idx="71">
                  <c:v>40861</c:v>
                </c:pt>
                <c:pt idx="72">
                  <c:v>40862</c:v>
                </c:pt>
                <c:pt idx="73">
                  <c:v>40863</c:v>
                </c:pt>
                <c:pt idx="74">
                  <c:v>40864</c:v>
                </c:pt>
                <c:pt idx="75">
                  <c:v>40865</c:v>
                </c:pt>
                <c:pt idx="76">
                  <c:v>40868</c:v>
                </c:pt>
                <c:pt idx="77">
                  <c:v>40869</c:v>
                </c:pt>
                <c:pt idx="78">
                  <c:v>40870</c:v>
                </c:pt>
                <c:pt idx="79">
                  <c:v>40871</c:v>
                </c:pt>
                <c:pt idx="80">
                  <c:v>40872</c:v>
                </c:pt>
                <c:pt idx="81">
                  <c:v>40875</c:v>
                </c:pt>
                <c:pt idx="82">
                  <c:v>40876</c:v>
                </c:pt>
                <c:pt idx="83">
                  <c:v>40877</c:v>
                </c:pt>
                <c:pt idx="84">
                  <c:v>40878</c:v>
                </c:pt>
                <c:pt idx="85">
                  <c:v>40879</c:v>
                </c:pt>
                <c:pt idx="86">
                  <c:v>40882</c:v>
                </c:pt>
                <c:pt idx="87">
                  <c:v>40883</c:v>
                </c:pt>
                <c:pt idx="88">
                  <c:v>40884</c:v>
                </c:pt>
                <c:pt idx="89">
                  <c:v>40885</c:v>
                </c:pt>
                <c:pt idx="90">
                  <c:v>40886</c:v>
                </c:pt>
                <c:pt idx="91">
                  <c:v>40889</c:v>
                </c:pt>
                <c:pt idx="92">
                  <c:v>40890</c:v>
                </c:pt>
                <c:pt idx="93">
                  <c:v>40891</c:v>
                </c:pt>
                <c:pt idx="94">
                  <c:v>40892</c:v>
                </c:pt>
                <c:pt idx="95">
                  <c:v>40893</c:v>
                </c:pt>
                <c:pt idx="96">
                  <c:v>40896</c:v>
                </c:pt>
                <c:pt idx="97">
                  <c:v>40897</c:v>
                </c:pt>
                <c:pt idx="98">
                  <c:v>40898</c:v>
                </c:pt>
                <c:pt idx="99">
                  <c:v>40899</c:v>
                </c:pt>
                <c:pt idx="100">
                  <c:v>40900</c:v>
                </c:pt>
                <c:pt idx="101">
                  <c:v>40903</c:v>
                </c:pt>
                <c:pt idx="102">
                  <c:v>40904</c:v>
                </c:pt>
                <c:pt idx="103">
                  <c:v>40905</c:v>
                </c:pt>
                <c:pt idx="104">
                  <c:v>40906</c:v>
                </c:pt>
                <c:pt idx="105">
                  <c:v>40907</c:v>
                </c:pt>
                <c:pt idx="106">
                  <c:v>40910</c:v>
                </c:pt>
                <c:pt idx="107">
                  <c:v>40911</c:v>
                </c:pt>
                <c:pt idx="108">
                  <c:v>40912</c:v>
                </c:pt>
                <c:pt idx="109">
                  <c:v>40913</c:v>
                </c:pt>
                <c:pt idx="110">
                  <c:v>40914</c:v>
                </c:pt>
                <c:pt idx="111">
                  <c:v>40917</c:v>
                </c:pt>
                <c:pt idx="112">
                  <c:v>40918</c:v>
                </c:pt>
                <c:pt idx="113">
                  <c:v>40919</c:v>
                </c:pt>
                <c:pt idx="114">
                  <c:v>40920</c:v>
                </c:pt>
                <c:pt idx="115">
                  <c:v>40921</c:v>
                </c:pt>
                <c:pt idx="116">
                  <c:v>40924</c:v>
                </c:pt>
                <c:pt idx="117">
                  <c:v>40925</c:v>
                </c:pt>
                <c:pt idx="118">
                  <c:v>40926</c:v>
                </c:pt>
                <c:pt idx="119">
                  <c:v>40927</c:v>
                </c:pt>
                <c:pt idx="120">
                  <c:v>40928</c:v>
                </c:pt>
                <c:pt idx="121">
                  <c:v>40931</c:v>
                </c:pt>
                <c:pt idx="122">
                  <c:v>40932</c:v>
                </c:pt>
                <c:pt idx="123">
                  <c:v>40933</c:v>
                </c:pt>
                <c:pt idx="124">
                  <c:v>40934</c:v>
                </c:pt>
                <c:pt idx="125">
                  <c:v>40935</c:v>
                </c:pt>
                <c:pt idx="126">
                  <c:v>40938</c:v>
                </c:pt>
                <c:pt idx="127">
                  <c:v>40939</c:v>
                </c:pt>
                <c:pt idx="128">
                  <c:v>40940</c:v>
                </c:pt>
                <c:pt idx="129">
                  <c:v>40941</c:v>
                </c:pt>
                <c:pt idx="130">
                  <c:v>40942</c:v>
                </c:pt>
                <c:pt idx="131">
                  <c:v>40945</c:v>
                </c:pt>
                <c:pt idx="132">
                  <c:v>40946</c:v>
                </c:pt>
                <c:pt idx="133">
                  <c:v>40947</c:v>
                </c:pt>
                <c:pt idx="134">
                  <c:v>40948</c:v>
                </c:pt>
                <c:pt idx="135">
                  <c:v>40949</c:v>
                </c:pt>
                <c:pt idx="136">
                  <c:v>40952</c:v>
                </c:pt>
                <c:pt idx="137">
                  <c:v>40953</c:v>
                </c:pt>
                <c:pt idx="138">
                  <c:v>40954</c:v>
                </c:pt>
                <c:pt idx="139">
                  <c:v>40955</c:v>
                </c:pt>
                <c:pt idx="140">
                  <c:v>40956</c:v>
                </c:pt>
                <c:pt idx="141">
                  <c:v>40959</c:v>
                </c:pt>
                <c:pt idx="142">
                  <c:v>40960</c:v>
                </c:pt>
                <c:pt idx="143">
                  <c:v>40961</c:v>
                </c:pt>
                <c:pt idx="144">
                  <c:v>40962</c:v>
                </c:pt>
                <c:pt idx="145">
                  <c:v>40963</c:v>
                </c:pt>
                <c:pt idx="146">
                  <c:v>40966</c:v>
                </c:pt>
                <c:pt idx="147">
                  <c:v>40967</c:v>
                </c:pt>
                <c:pt idx="148">
                  <c:v>40968</c:v>
                </c:pt>
                <c:pt idx="149">
                  <c:v>40969</c:v>
                </c:pt>
                <c:pt idx="150">
                  <c:v>40970</c:v>
                </c:pt>
                <c:pt idx="151">
                  <c:v>40973</c:v>
                </c:pt>
                <c:pt idx="152">
                  <c:v>40974</c:v>
                </c:pt>
                <c:pt idx="153">
                  <c:v>40975</c:v>
                </c:pt>
                <c:pt idx="154">
                  <c:v>40976</c:v>
                </c:pt>
                <c:pt idx="155">
                  <c:v>40977</c:v>
                </c:pt>
                <c:pt idx="156">
                  <c:v>40980</c:v>
                </c:pt>
                <c:pt idx="157">
                  <c:v>40981</c:v>
                </c:pt>
                <c:pt idx="158">
                  <c:v>40982</c:v>
                </c:pt>
                <c:pt idx="159">
                  <c:v>40983</c:v>
                </c:pt>
                <c:pt idx="160">
                  <c:v>40984</c:v>
                </c:pt>
                <c:pt idx="161">
                  <c:v>40987</c:v>
                </c:pt>
                <c:pt idx="162">
                  <c:v>40988</c:v>
                </c:pt>
                <c:pt idx="163">
                  <c:v>40989</c:v>
                </c:pt>
                <c:pt idx="164">
                  <c:v>40990</c:v>
                </c:pt>
                <c:pt idx="165">
                  <c:v>40991</c:v>
                </c:pt>
                <c:pt idx="166">
                  <c:v>40994</c:v>
                </c:pt>
                <c:pt idx="167">
                  <c:v>40995</c:v>
                </c:pt>
                <c:pt idx="168">
                  <c:v>40996</c:v>
                </c:pt>
                <c:pt idx="169">
                  <c:v>40997</c:v>
                </c:pt>
                <c:pt idx="170">
                  <c:v>40998</c:v>
                </c:pt>
                <c:pt idx="171">
                  <c:v>41001</c:v>
                </c:pt>
                <c:pt idx="172">
                  <c:v>41002</c:v>
                </c:pt>
                <c:pt idx="173">
                  <c:v>41003</c:v>
                </c:pt>
                <c:pt idx="174">
                  <c:v>41004</c:v>
                </c:pt>
                <c:pt idx="175">
                  <c:v>41005</c:v>
                </c:pt>
                <c:pt idx="176">
                  <c:v>41008</c:v>
                </c:pt>
                <c:pt idx="177">
                  <c:v>41009</c:v>
                </c:pt>
                <c:pt idx="178">
                  <c:v>41010</c:v>
                </c:pt>
                <c:pt idx="179">
                  <c:v>41011</c:v>
                </c:pt>
                <c:pt idx="180">
                  <c:v>41012</c:v>
                </c:pt>
                <c:pt idx="181">
                  <c:v>41015</c:v>
                </c:pt>
                <c:pt idx="182">
                  <c:v>41016</c:v>
                </c:pt>
                <c:pt idx="183">
                  <c:v>41017</c:v>
                </c:pt>
                <c:pt idx="184">
                  <c:v>41018</c:v>
                </c:pt>
                <c:pt idx="185">
                  <c:v>41019</c:v>
                </c:pt>
                <c:pt idx="186">
                  <c:v>41022</c:v>
                </c:pt>
                <c:pt idx="187">
                  <c:v>41023</c:v>
                </c:pt>
                <c:pt idx="188">
                  <c:v>41024</c:v>
                </c:pt>
                <c:pt idx="189">
                  <c:v>41025</c:v>
                </c:pt>
                <c:pt idx="190">
                  <c:v>41026</c:v>
                </c:pt>
                <c:pt idx="191">
                  <c:v>41029</c:v>
                </c:pt>
                <c:pt idx="192">
                  <c:v>41030</c:v>
                </c:pt>
                <c:pt idx="193">
                  <c:v>41031</c:v>
                </c:pt>
                <c:pt idx="194">
                  <c:v>41032</c:v>
                </c:pt>
                <c:pt idx="195">
                  <c:v>41033</c:v>
                </c:pt>
                <c:pt idx="196">
                  <c:v>41036</c:v>
                </c:pt>
                <c:pt idx="197">
                  <c:v>41037</c:v>
                </c:pt>
                <c:pt idx="198">
                  <c:v>41038</c:v>
                </c:pt>
                <c:pt idx="199">
                  <c:v>41039</c:v>
                </c:pt>
                <c:pt idx="200">
                  <c:v>41040</c:v>
                </c:pt>
                <c:pt idx="201">
                  <c:v>41043</c:v>
                </c:pt>
                <c:pt idx="202">
                  <c:v>41044</c:v>
                </c:pt>
                <c:pt idx="203">
                  <c:v>41045</c:v>
                </c:pt>
                <c:pt idx="204">
                  <c:v>41046</c:v>
                </c:pt>
                <c:pt idx="205">
                  <c:v>41047</c:v>
                </c:pt>
                <c:pt idx="206">
                  <c:v>41050</c:v>
                </c:pt>
                <c:pt idx="207">
                  <c:v>41051</c:v>
                </c:pt>
                <c:pt idx="208">
                  <c:v>41052</c:v>
                </c:pt>
                <c:pt idx="209">
                  <c:v>41053</c:v>
                </c:pt>
                <c:pt idx="210">
                  <c:v>41054</c:v>
                </c:pt>
                <c:pt idx="211">
                  <c:v>41057</c:v>
                </c:pt>
                <c:pt idx="212">
                  <c:v>41058</c:v>
                </c:pt>
                <c:pt idx="213">
                  <c:v>41059</c:v>
                </c:pt>
                <c:pt idx="214">
                  <c:v>41060</c:v>
                </c:pt>
                <c:pt idx="215">
                  <c:v>41061</c:v>
                </c:pt>
                <c:pt idx="216">
                  <c:v>41064</c:v>
                </c:pt>
                <c:pt idx="217">
                  <c:v>41065</c:v>
                </c:pt>
                <c:pt idx="218">
                  <c:v>41066</c:v>
                </c:pt>
                <c:pt idx="219">
                  <c:v>41067</c:v>
                </c:pt>
                <c:pt idx="220">
                  <c:v>41068</c:v>
                </c:pt>
                <c:pt idx="221">
                  <c:v>41071</c:v>
                </c:pt>
                <c:pt idx="222">
                  <c:v>41072</c:v>
                </c:pt>
                <c:pt idx="223">
                  <c:v>41073</c:v>
                </c:pt>
                <c:pt idx="224">
                  <c:v>41074</c:v>
                </c:pt>
                <c:pt idx="225">
                  <c:v>41075</c:v>
                </c:pt>
                <c:pt idx="226">
                  <c:v>41078</c:v>
                </c:pt>
                <c:pt idx="227">
                  <c:v>41079</c:v>
                </c:pt>
                <c:pt idx="228">
                  <c:v>41080</c:v>
                </c:pt>
                <c:pt idx="229">
                  <c:v>41081</c:v>
                </c:pt>
                <c:pt idx="230">
                  <c:v>41082</c:v>
                </c:pt>
                <c:pt idx="231">
                  <c:v>41085</c:v>
                </c:pt>
                <c:pt idx="232">
                  <c:v>41086</c:v>
                </c:pt>
                <c:pt idx="233">
                  <c:v>41087</c:v>
                </c:pt>
                <c:pt idx="234">
                  <c:v>41088</c:v>
                </c:pt>
                <c:pt idx="235">
                  <c:v>41089</c:v>
                </c:pt>
                <c:pt idx="236">
                  <c:v>41092</c:v>
                </c:pt>
                <c:pt idx="237">
                  <c:v>41093</c:v>
                </c:pt>
                <c:pt idx="238">
                  <c:v>41094</c:v>
                </c:pt>
                <c:pt idx="239">
                  <c:v>41095</c:v>
                </c:pt>
                <c:pt idx="240">
                  <c:v>41096</c:v>
                </c:pt>
                <c:pt idx="241">
                  <c:v>41099</c:v>
                </c:pt>
                <c:pt idx="242">
                  <c:v>41100</c:v>
                </c:pt>
                <c:pt idx="243">
                  <c:v>41101</c:v>
                </c:pt>
                <c:pt idx="244">
                  <c:v>41102</c:v>
                </c:pt>
                <c:pt idx="245">
                  <c:v>41103</c:v>
                </c:pt>
                <c:pt idx="246">
                  <c:v>41106</c:v>
                </c:pt>
                <c:pt idx="247">
                  <c:v>41107</c:v>
                </c:pt>
                <c:pt idx="248">
                  <c:v>41108</c:v>
                </c:pt>
                <c:pt idx="249">
                  <c:v>41109</c:v>
                </c:pt>
                <c:pt idx="250">
                  <c:v>41110</c:v>
                </c:pt>
                <c:pt idx="251">
                  <c:v>41113</c:v>
                </c:pt>
                <c:pt idx="252">
                  <c:v>41114</c:v>
                </c:pt>
                <c:pt idx="253">
                  <c:v>41115</c:v>
                </c:pt>
                <c:pt idx="254">
                  <c:v>41116</c:v>
                </c:pt>
                <c:pt idx="255">
                  <c:v>41117</c:v>
                </c:pt>
                <c:pt idx="256">
                  <c:v>41120</c:v>
                </c:pt>
                <c:pt idx="257">
                  <c:v>41121</c:v>
                </c:pt>
                <c:pt idx="258">
                  <c:v>41122</c:v>
                </c:pt>
                <c:pt idx="259">
                  <c:v>41123</c:v>
                </c:pt>
                <c:pt idx="260">
                  <c:v>41124</c:v>
                </c:pt>
                <c:pt idx="261">
                  <c:v>41127</c:v>
                </c:pt>
                <c:pt idx="262">
                  <c:v>41128</c:v>
                </c:pt>
                <c:pt idx="263">
                  <c:v>41129</c:v>
                </c:pt>
                <c:pt idx="264">
                  <c:v>41130</c:v>
                </c:pt>
                <c:pt idx="265">
                  <c:v>41131</c:v>
                </c:pt>
                <c:pt idx="266">
                  <c:v>41134</c:v>
                </c:pt>
                <c:pt idx="267">
                  <c:v>41135</c:v>
                </c:pt>
                <c:pt idx="268">
                  <c:v>41136</c:v>
                </c:pt>
                <c:pt idx="269">
                  <c:v>41137</c:v>
                </c:pt>
                <c:pt idx="270">
                  <c:v>41138</c:v>
                </c:pt>
                <c:pt idx="271">
                  <c:v>41143</c:v>
                </c:pt>
                <c:pt idx="272">
                  <c:v>41144</c:v>
                </c:pt>
                <c:pt idx="273">
                  <c:v>41145</c:v>
                </c:pt>
                <c:pt idx="274">
                  <c:v>41148</c:v>
                </c:pt>
                <c:pt idx="275">
                  <c:v>41149</c:v>
                </c:pt>
                <c:pt idx="276">
                  <c:v>41150</c:v>
                </c:pt>
                <c:pt idx="277">
                  <c:v>41152</c:v>
                </c:pt>
                <c:pt idx="278">
                  <c:v>41155</c:v>
                </c:pt>
                <c:pt idx="279">
                  <c:v>41156</c:v>
                </c:pt>
                <c:pt idx="280">
                  <c:v>41157</c:v>
                </c:pt>
                <c:pt idx="281">
                  <c:v>41158</c:v>
                </c:pt>
                <c:pt idx="282">
                  <c:v>41159</c:v>
                </c:pt>
                <c:pt idx="283">
                  <c:v>41162</c:v>
                </c:pt>
                <c:pt idx="284">
                  <c:v>41163</c:v>
                </c:pt>
                <c:pt idx="285">
                  <c:v>41164</c:v>
                </c:pt>
                <c:pt idx="286">
                  <c:v>41165</c:v>
                </c:pt>
                <c:pt idx="287">
                  <c:v>41166</c:v>
                </c:pt>
                <c:pt idx="288">
                  <c:v>41169</c:v>
                </c:pt>
                <c:pt idx="289">
                  <c:v>41170</c:v>
                </c:pt>
                <c:pt idx="290">
                  <c:v>41171</c:v>
                </c:pt>
                <c:pt idx="291">
                  <c:v>41172</c:v>
                </c:pt>
                <c:pt idx="292">
                  <c:v>41173</c:v>
                </c:pt>
                <c:pt idx="293">
                  <c:v>41176</c:v>
                </c:pt>
                <c:pt idx="294">
                  <c:v>41177</c:v>
                </c:pt>
                <c:pt idx="295">
                  <c:v>41178</c:v>
                </c:pt>
                <c:pt idx="296">
                  <c:v>41179</c:v>
                </c:pt>
                <c:pt idx="297">
                  <c:v>41180</c:v>
                </c:pt>
              </c:numCache>
            </c:numRef>
          </c:cat>
          <c:val>
            <c:numRef>
              <c:f>Sayfa1!$B$2:$B$299</c:f>
              <c:numCache>
                <c:formatCode>#,##0.0</c:formatCode>
                <c:ptCount val="298"/>
                <c:pt idx="0">
                  <c:v>66.999984000000026</c:v>
                </c:pt>
                <c:pt idx="1">
                  <c:v>67.999981000000005</c:v>
                </c:pt>
                <c:pt idx="2">
                  <c:v>66.999987000000004</c:v>
                </c:pt>
                <c:pt idx="3">
                  <c:v>64.999993000000046</c:v>
                </c:pt>
                <c:pt idx="4">
                  <c:v>61.999991000000001</c:v>
                </c:pt>
                <c:pt idx="5">
                  <c:v>59.000014</c:v>
                </c:pt>
                <c:pt idx="6">
                  <c:v>61.000015000000012</c:v>
                </c:pt>
                <c:pt idx="7">
                  <c:v>62.000017</c:v>
                </c:pt>
                <c:pt idx="8">
                  <c:v>62.000010000000003</c:v>
                </c:pt>
                <c:pt idx="9">
                  <c:v>61</c:v>
                </c:pt>
                <c:pt idx="10">
                  <c:v>62.999967000000005</c:v>
                </c:pt>
                <c:pt idx="11">
                  <c:v>67.999984999999995</c:v>
                </c:pt>
                <c:pt idx="12">
                  <c:v>68.999990999999994</c:v>
                </c:pt>
                <c:pt idx="13">
                  <c:v>70.999992000000006</c:v>
                </c:pt>
                <c:pt idx="14">
                  <c:v>72.000001999999981</c:v>
                </c:pt>
                <c:pt idx="15">
                  <c:v>73.000023999999996</c:v>
                </c:pt>
                <c:pt idx="16">
                  <c:v>76.000024999999994</c:v>
                </c:pt>
                <c:pt idx="17">
                  <c:v>76.000024999999994</c:v>
                </c:pt>
                <c:pt idx="18">
                  <c:v>76.000024999999994</c:v>
                </c:pt>
                <c:pt idx="19">
                  <c:v>76.000024999999994</c:v>
                </c:pt>
                <c:pt idx="20">
                  <c:v>76.00001899999998</c:v>
                </c:pt>
                <c:pt idx="21">
                  <c:v>72.000004000000004</c:v>
                </c:pt>
                <c:pt idx="22">
                  <c:v>70.999983000000029</c:v>
                </c:pt>
                <c:pt idx="23">
                  <c:v>69.999999000000031</c:v>
                </c:pt>
                <c:pt idx="24">
                  <c:v>68.999995999999996</c:v>
                </c:pt>
                <c:pt idx="25">
                  <c:v>67.999994000000029</c:v>
                </c:pt>
                <c:pt idx="26">
                  <c:v>65.999996999999993</c:v>
                </c:pt>
                <c:pt idx="27">
                  <c:v>62.000013000000003</c:v>
                </c:pt>
                <c:pt idx="28">
                  <c:v>63.999994000000001</c:v>
                </c:pt>
                <c:pt idx="29">
                  <c:v>63.999987000000004</c:v>
                </c:pt>
                <c:pt idx="30">
                  <c:v>66.000003000000007</c:v>
                </c:pt>
                <c:pt idx="31">
                  <c:v>67.999979999999994</c:v>
                </c:pt>
                <c:pt idx="32">
                  <c:v>70.999966000000029</c:v>
                </c:pt>
                <c:pt idx="33">
                  <c:v>70.999979999999994</c:v>
                </c:pt>
                <c:pt idx="34">
                  <c:v>70.999992000000006</c:v>
                </c:pt>
                <c:pt idx="35">
                  <c:v>69.000001999999981</c:v>
                </c:pt>
                <c:pt idx="36">
                  <c:v>70.000031999999976</c:v>
                </c:pt>
                <c:pt idx="37">
                  <c:v>73.000036999999978</c:v>
                </c:pt>
                <c:pt idx="38">
                  <c:v>72.000033999999999</c:v>
                </c:pt>
                <c:pt idx="39">
                  <c:v>72.000028</c:v>
                </c:pt>
                <c:pt idx="40">
                  <c:v>69.000011999999998</c:v>
                </c:pt>
                <c:pt idx="41">
                  <c:v>67.000005000000002</c:v>
                </c:pt>
                <c:pt idx="42">
                  <c:v>65.000011000000001</c:v>
                </c:pt>
                <c:pt idx="43">
                  <c:v>66.000012999999981</c:v>
                </c:pt>
                <c:pt idx="44">
                  <c:v>66.000012999999981</c:v>
                </c:pt>
                <c:pt idx="45">
                  <c:v>67.000005000000002</c:v>
                </c:pt>
                <c:pt idx="46">
                  <c:v>66.000012999999981</c:v>
                </c:pt>
                <c:pt idx="47">
                  <c:v>65.000003000000007</c:v>
                </c:pt>
                <c:pt idx="48">
                  <c:v>64.999996999999993</c:v>
                </c:pt>
                <c:pt idx="49">
                  <c:v>61.999989000000006</c:v>
                </c:pt>
                <c:pt idx="50">
                  <c:v>62.001004999999999</c:v>
                </c:pt>
                <c:pt idx="51">
                  <c:v>60.999989000000006</c:v>
                </c:pt>
                <c:pt idx="52">
                  <c:v>60.999992000000013</c:v>
                </c:pt>
                <c:pt idx="53">
                  <c:v>61.000009000000006</c:v>
                </c:pt>
                <c:pt idx="54">
                  <c:v>70.693010000000001</c:v>
                </c:pt>
                <c:pt idx="55">
                  <c:v>67.685000999999971</c:v>
                </c:pt>
                <c:pt idx="56">
                  <c:v>61.699997000000003</c:v>
                </c:pt>
                <c:pt idx="57">
                  <c:v>60.44999</c:v>
                </c:pt>
                <c:pt idx="58">
                  <c:v>55.738977000000013</c:v>
                </c:pt>
                <c:pt idx="59">
                  <c:v>58.281983000000004</c:v>
                </c:pt>
                <c:pt idx="60">
                  <c:v>70.117480999999998</c:v>
                </c:pt>
                <c:pt idx="61">
                  <c:v>73.978465</c:v>
                </c:pt>
                <c:pt idx="62">
                  <c:v>67.978464000000002</c:v>
                </c:pt>
                <c:pt idx="63">
                  <c:v>69.978460999999982</c:v>
                </c:pt>
                <c:pt idx="64">
                  <c:v>66.978453999999999</c:v>
                </c:pt>
                <c:pt idx="65">
                  <c:v>63.999959000000011</c:v>
                </c:pt>
                <c:pt idx="66">
                  <c:v>63.999959000000011</c:v>
                </c:pt>
                <c:pt idx="67">
                  <c:v>63.999959000000011</c:v>
                </c:pt>
                <c:pt idx="68">
                  <c:v>63.999959000000011</c:v>
                </c:pt>
                <c:pt idx="69">
                  <c:v>58.999965000000003</c:v>
                </c:pt>
                <c:pt idx="70">
                  <c:v>46.999952000000015</c:v>
                </c:pt>
                <c:pt idx="71">
                  <c:v>35.999985000000002</c:v>
                </c:pt>
                <c:pt idx="72">
                  <c:v>39.599999000000011</c:v>
                </c:pt>
                <c:pt idx="73">
                  <c:v>39.000006000000006</c:v>
                </c:pt>
                <c:pt idx="74">
                  <c:v>41.000006000000006</c:v>
                </c:pt>
                <c:pt idx="75">
                  <c:v>41.000013000000003</c:v>
                </c:pt>
                <c:pt idx="76">
                  <c:v>38.000015000000012</c:v>
                </c:pt>
                <c:pt idx="77">
                  <c:v>42.015012000000013</c:v>
                </c:pt>
                <c:pt idx="78">
                  <c:v>39.454018000000005</c:v>
                </c:pt>
                <c:pt idx="79">
                  <c:v>37.898018000000015</c:v>
                </c:pt>
                <c:pt idx="80">
                  <c:v>40.628027000000003</c:v>
                </c:pt>
                <c:pt idx="81">
                  <c:v>41.433022000000001</c:v>
                </c:pt>
                <c:pt idx="82">
                  <c:v>43.215517000000013</c:v>
                </c:pt>
                <c:pt idx="83">
                  <c:v>41.158006</c:v>
                </c:pt>
                <c:pt idx="84">
                  <c:v>43.120803000000009</c:v>
                </c:pt>
                <c:pt idx="85">
                  <c:v>43.207991</c:v>
                </c:pt>
                <c:pt idx="86">
                  <c:v>43.805476000000006</c:v>
                </c:pt>
                <c:pt idx="87">
                  <c:v>43.430983000000005</c:v>
                </c:pt>
                <c:pt idx="88">
                  <c:v>42.901986000000001</c:v>
                </c:pt>
                <c:pt idx="89">
                  <c:v>40.809980999999993</c:v>
                </c:pt>
                <c:pt idx="90">
                  <c:v>46.200983000000001</c:v>
                </c:pt>
                <c:pt idx="91">
                  <c:v>46.159999000000006</c:v>
                </c:pt>
                <c:pt idx="92">
                  <c:v>42.371006999999999</c:v>
                </c:pt>
                <c:pt idx="93">
                  <c:v>40.791004000000001</c:v>
                </c:pt>
                <c:pt idx="94">
                  <c:v>42.241015000000012</c:v>
                </c:pt>
                <c:pt idx="95">
                  <c:v>42.081026999999999</c:v>
                </c:pt>
                <c:pt idx="96">
                  <c:v>38.235021000000003</c:v>
                </c:pt>
                <c:pt idx="97">
                  <c:v>40.247005000000001</c:v>
                </c:pt>
                <c:pt idx="98">
                  <c:v>38.854007999999986</c:v>
                </c:pt>
                <c:pt idx="99">
                  <c:v>37.254001000000002</c:v>
                </c:pt>
                <c:pt idx="100">
                  <c:v>41.020990000000012</c:v>
                </c:pt>
                <c:pt idx="101">
                  <c:v>38.820991000000006</c:v>
                </c:pt>
                <c:pt idx="102">
                  <c:v>34.803993000000006</c:v>
                </c:pt>
                <c:pt idx="103">
                  <c:v>31.759996000000001</c:v>
                </c:pt>
                <c:pt idx="104">
                  <c:v>36</c:v>
                </c:pt>
                <c:pt idx="105">
                  <c:v>39.562502000000016</c:v>
                </c:pt>
                <c:pt idx="106">
                  <c:v>35.600001000000006</c:v>
                </c:pt>
                <c:pt idx="107">
                  <c:v>33.000005000000002</c:v>
                </c:pt>
                <c:pt idx="108">
                  <c:v>31.000001000000001</c:v>
                </c:pt>
                <c:pt idx="109">
                  <c:v>31.480000999999991</c:v>
                </c:pt>
                <c:pt idx="110">
                  <c:v>42.717001000000003</c:v>
                </c:pt>
                <c:pt idx="111">
                  <c:v>45.327001000000003</c:v>
                </c:pt>
                <c:pt idx="112">
                  <c:v>46.110008000000001</c:v>
                </c:pt>
                <c:pt idx="113">
                  <c:v>41.450013000000006</c:v>
                </c:pt>
                <c:pt idx="114">
                  <c:v>41.97701</c:v>
                </c:pt>
                <c:pt idx="115">
                  <c:v>44.280004000000005</c:v>
                </c:pt>
                <c:pt idx="116">
                  <c:v>42.260001000000003</c:v>
                </c:pt>
                <c:pt idx="117">
                  <c:v>41.149988</c:v>
                </c:pt>
                <c:pt idx="118">
                  <c:v>38.999981000000005</c:v>
                </c:pt>
                <c:pt idx="119">
                  <c:v>43.599990000000012</c:v>
                </c:pt>
                <c:pt idx="120">
                  <c:v>46.8</c:v>
                </c:pt>
                <c:pt idx="121">
                  <c:v>44.000010000000003</c:v>
                </c:pt>
                <c:pt idx="122">
                  <c:v>44.000006000000006</c:v>
                </c:pt>
                <c:pt idx="123">
                  <c:v>43.000017</c:v>
                </c:pt>
                <c:pt idx="124">
                  <c:v>42.000014</c:v>
                </c:pt>
                <c:pt idx="125">
                  <c:v>44.000006000000006</c:v>
                </c:pt>
                <c:pt idx="126">
                  <c:v>42.999994000000001</c:v>
                </c:pt>
                <c:pt idx="127">
                  <c:v>42.999997</c:v>
                </c:pt>
                <c:pt idx="128">
                  <c:v>42.999989000000006</c:v>
                </c:pt>
                <c:pt idx="129">
                  <c:v>42.999977000000001</c:v>
                </c:pt>
                <c:pt idx="130">
                  <c:v>47.999978000000013</c:v>
                </c:pt>
                <c:pt idx="131">
                  <c:v>48.999980000000001</c:v>
                </c:pt>
                <c:pt idx="132">
                  <c:v>48.999985000000002</c:v>
                </c:pt>
                <c:pt idx="133">
                  <c:v>49.999991000000001</c:v>
                </c:pt>
                <c:pt idx="134">
                  <c:v>51.000002000000002</c:v>
                </c:pt>
                <c:pt idx="135">
                  <c:v>53.000011000000001</c:v>
                </c:pt>
                <c:pt idx="136">
                  <c:v>51.000012000000012</c:v>
                </c:pt>
                <c:pt idx="137">
                  <c:v>48.000012000000012</c:v>
                </c:pt>
                <c:pt idx="138">
                  <c:v>46.000005000000002</c:v>
                </c:pt>
                <c:pt idx="139">
                  <c:v>42.999999000000003</c:v>
                </c:pt>
                <c:pt idx="140">
                  <c:v>44.999992000000013</c:v>
                </c:pt>
                <c:pt idx="141">
                  <c:v>47.000011000000001</c:v>
                </c:pt>
                <c:pt idx="142">
                  <c:v>50.000017</c:v>
                </c:pt>
                <c:pt idx="143">
                  <c:v>50.00001300000001</c:v>
                </c:pt>
                <c:pt idx="144">
                  <c:v>49.000015000000012</c:v>
                </c:pt>
                <c:pt idx="145">
                  <c:v>48.000012000000012</c:v>
                </c:pt>
                <c:pt idx="146">
                  <c:v>46.999987000000004</c:v>
                </c:pt>
                <c:pt idx="147">
                  <c:v>46.999983</c:v>
                </c:pt>
                <c:pt idx="148">
                  <c:v>45.999995000000013</c:v>
                </c:pt>
                <c:pt idx="149">
                  <c:v>47.999987000000004</c:v>
                </c:pt>
                <c:pt idx="150">
                  <c:v>50.999988000000002</c:v>
                </c:pt>
                <c:pt idx="151">
                  <c:v>50.000005000000002</c:v>
                </c:pt>
                <c:pt idx="152">
                  <c:v>49.000003</c:v>
                </c:pt>
                <c:pt idx="153">
                  <c:v>47.999988000000002</c:v>
                </c:pt>
                <c:pt idx="154">
                  <c:v>47.000001000000005</c:v>
                </c:pt>
                <c:pt idx="155">
                  <c:v>47.000003</c:v>
                </c:pt>
                <c:pt idx="156">
                  <c:v>46.999984000000005</c:v>
                </c:pt>
                <c:pt idx="157">
                  <c:v>44.999985000000002</c:v>
                </c:pt>
                <c:pt idx="158">
                  <c:v>45.999997</c:v>
                </c:pt>
                <c:pt idx="159">
                  <c:v>45.999992000000013</c:v>
                </c:pt>
                <c:pt idx="160">
                  <c:v>44.999995000000013</c:v>
                </c:pt>
                <c:pt idx="161">
                  <c:v>44.000004000000004</c:v>
                </c:pt>
                <c:pt idx="162">
                  <c:v>44.000003</c:v>
                </c:pt>
                <c:pt idx="163">
                  <c:v>43.999995000000013</c:v>
                </c:pt>
                <c:pt idx="164">
                  <c:v>39.999997</c:v>
                </c:pt>
                <c:pt idx="165">
                  <c:v>41.549995000000003</c:v>
                </c:pt>
                <c:pt idx="166">
                  <c:v>41.274995000000011</c:v>
                </c:pt>
                <c:pt idx="167">
                  <c:v>37.949996999999996</c:v>
                </c:pt>
                <c:pt idx="168">
                  <c:v>36.199999000000012</c:v>
                </c:pt>
                <c:pt idx="169">
                  <c:v>45.299999000000014</c:v>
                </c:pt>
                <c:pt idx="170">
                  <c:v>46.320002000000002</c:v>
                </c:pt>
                <c:pt idx="171">
                  <c:v>44.999998000000012</c:v>
                </c:pt>
                <c:pt idx="172">
                  <c:v>43.999993000000003</c:v>
                </c:pt>
                <c:pt idx="173">
                  <c:v>42.999991000000001</c:v>
                </c:pt>
                <c:pt idx="174">
                  <c:v>41.999994000000001</c:v>
                </c:pt>
                <c:pt idx="175">
                  <c:v>45.299997000000012</c:v>
                </c:pt>
                <c:pt idx="176">
                  <c:v>45.600007000000005</c:v>
                </c:pt>
                <c:pt idx="177">
                  <c:v>44.000016000000002</c:v>
                </c:pt>
                <c:pt idx="178">
                  <c:v>44.500018000000011</c:v>
                </c:pt>
                <c:pt idx="179">
                  <c:v>36.950015</c:v>
                </c:pt>
                <c:pt idx="180">
                  <c:v>36.010009000000004</c:v>
                </c:pt>
                <c:pt idx="181">
                  <c:v>35.000004000000004</c:v>
                </c:pt>
                <c:pt idx="182">
                  <c:v>34</c:v>
                </c:pt>
                <c:pt idx="183">
                  <c:v>37.999995000000013</c:v>
                </c:pt>
                <c:pt idx="184">
                  <c:v>39.999994000000001</c:v>
                </c:pt>
                <c:pt idx="185">
                  <c:v>41.699992000000016</c:v>
                </c:pt>
                <c:pt idx="186">
                  <c:v>38.999992000000013</c:v>
                </c:pt>
                <c:pt idx="187">
                  <c:v>38.999987000000004</c:v>
                </c:pt>
                <c:pt idx="188">
                  <c:v>34.999991000000001</c:v>
                </c:pt>
                <c:pt idx="189">
                  <c:v>32</c:v>
                </c:pt>
                <c:pt idx="190">
                  <c:v>31.999994999999991</c:v>
                </c:pt>
                <c:pt idx="191">
                  <c:v>35.000002000000002</c:v>
                </c:pt>
                <c:pt idx="192">
                  <c:v>35.000002000000002</c:v>
                </c:pt>
                <c:pt idx="193">
                  <c:v>34.000006000000006</c:v>
                </c:pt>
                <c:pt idx="194">
                  <c:v>33.999993000000003</c:v>
                </c:pt>
                <c:pt idx="195">
                  <c:v>33.4</c:v>
                </c:pt>
                <c:pt idx="196">
                  <c:v>34.299992000000017</c:v>
                </c:pt>
                <c:pt idx="197">
                  <c:v>33.999992000000013</c:v>
                </c:pt>
                <c:pt idx="198">
                  <c:v>32.449994000000004</c:v>
                </c:pt>
                <c:pt idx="199">
                  <c:v>34.699999000000012</c:v>
                </c:pt>
                <c:pt idx="200">
                  <c:v>34.154999000000004</c:v>
                </c:pt>
                <c:pt idx="201">
                  <c:v>32.000004000000004</c:v>
                </c:pt>
                <c:pt idx="202">
                  <c:v>32.650004000000003</c:v>
                </c:pt>
                <c:pt idx="203">
                  <c:v>30.000008000000001</c:v>
                </c:pt>
                <c:pt idx="204">
                  <c:v>31.000004000000001</c:v>
                </c:pt>
                <c:pt idx="205">
                  <c:v>34.000001000000005</c:v>
                </c:pt>
                <c:pt idx="206">
                  <c:v>32.499997</c:v>
                </c:pt>
                <c:pt idx="207">
                  <c:v>32.999997</c:v>
                </c:pt>
                <c:pt idx="208">
                  <c:v>34.399993000000002</c:v>
                </c:pt>
                <c:pt idx="209">
                  <c:v>32.249997</c:v>
                </c:pt>
                <c:pt idx="210">
                  <c:v>37.550000000000004</c:v>
                </c:pt>
                <c:pt idx="211">
                  <c:v>38.419992000000001</c:v>
                </c:pt>
                <c:pt idx="212">
                  <c:v>37.699995000000015</c:v>
                </c:pt>
                <c:pt idx="213">
                  <c:v>35.99999600000001</c:v>
                </c:pt>
                <c:pt idx="214">
                  <c:v>40.149996000000002</c:v>
                </c:pt>
                <c:pt idx="215">
                  <c:v>40.449996000000006</c:v>
                </c:pt>
                <c:pt idx="216">
                  <c:v>38.000004000000004</c:v>
                </c:pt>
                <c:pt idx="217">
                  <c:v>38.100003000000001</c:v>
                </c:pt>
                <c:pt idx="218">
                  <c:v>39.000004000000004</c:v>
                </c:pt>
                <c:pt idx="219">
                  <c:v>39.449999000000005</c:v>
                </c:pt>
                <c:pt idx="220">
                  <c:v>42.203993000000011</c:v>
                </c:pt>
                <c:pt idx="221">
                  <c:v>37.999986</c:v>
                </c:pt>
                <c:pt idx="222">
                  <c:v>35.999992000000013</c:v>
                </c:pt>
                <c:pt idx="223">
                  <c:v>32.999995000000013</c:v>
                </c:pt>
                <c:pt idx="224">
                  <c:v>30.999988999999999</c:v>
                </c:pt>
                <c:pt idx="225">
                  <c:v>31.499991999999999</c:v>
                </c:pt>
                <c:pt idx="226">
                  <c:v>29.999997</c:v>
                </c:pt>
                <c:pt idx="227">
                  <c:v>32.299988000000013</c:v>
                </c:pt>
                <c:pt idx="228">
                  <c:v>32.999984000000005</c:v>
                </c:pt>
                <c:pt idx="229">
                  <c:v>33.999999000000003</c:v>
                </c:pt>
                <c:pt idx="230">
                  <c:v>33.000010000000003</c:v>
                </c:pt>
                <c:pt idx="231">
                  <c:v>32.000012000000012</c:v>
                </c:pt>
                <c:pt idx="232">
                  <c:v>30.000016000000002</c:v>
                </c:pt>
                <c:pt idx="233">
                  <c:v>28.000014</c:v>
                </c:pt>
                <c:pt idx="234">
                  <c:v>28.000022999999988</c:v>
                </c:pt>
                <c:pt idx="235">
                  <c:v>29.800004999999999</c:v>
                </c:pt>
                <c:pt idx="236">
                  <c:v>30.749999000000003</c:v>
                </c:pt>
                <c:pt idx="237">
                  <c:v>29.999994000000001</c:v>
                </c:pt>
                <c:pt idx="238">
                  <c:v>30.999991999999999</c:v>
                </c:pt>
                <c:pt idx="239">
                  <c:v>30.999980999999991</c:v>
                </c:pt>
                <c:pt idx="240">
                  <c:v>27.99999</c:v>
                </c:pt>
                <c:pt idx="241">
                  <c:v>26.999997999999991</c:v>
                </c:pt>
                <c:pt idx="242">
                  <c:v>26.999999000000003</c:v>
                </c:pt>
                <c:pt idx="243">
                  <c:v>28.000004000000001</c:v>
                </c:pt>
                <c:pt idx="244">
                  <c:v>27.00001</c:v>
                </c:pt>
                <c:pt idx="245">
                  <c:v>25.000007</c:v>
                </c:pt>
                <c:pt idx="246">
                  <c:v>26.000005000000005</c:v>
                </c:pt>
                <c:pt idx="247">
                  <c:v>26.499997999999991</c:v>
                </c:pt>
                <c:pt idx="248">
                  <c:v>24.999987000000001</c:v>
                </c:pt>
                <c:pt idx="249">
                  <c:v>24.999985000000009</c:v>
                </c:pt>
                <c:pt idx="250">
                  <c:v>21.5</c:v>
                </c:pt>
                <c:pt idx="251">
                  <c:v>19.500003</c:v>
                </c:pt>
                <c:pt idx="252">
                  <c:v>18.500015000000001</c:v>
                </c:pt>
                <c:pt idx="253">
                  <c:v>17.500025000000001</c:v>
                </c:pt>
                <c:pt idx="254">
                  <c:v>17.000025000000001</c:v>
                </c:pt>
                <c:pt idx="255">
                  <c:v>17.500017</c:v>
                </c:pt>
                <c:pt idx="256">
                  <c:v>17.500012999999992</c:v>
                </c:pt>
                <c:pt idx="257">
                  <c:v>17.000012999999992</c:v>
                </c:pt>
                <c:pt idx="258">
                  <c:v>18.000021999999994</c:v>
                </c:pt>
                <c:pt idx="259">
                  <c:v>23.50003199999999</c:v>
                </c:pt>
                <c:pt idx="260">
                  <c:v>26.000025999999991</c:v>
                </c:pt>
                <c:pt idx="261">
                  <c:v>26.000033999999992</c:v>
                </c:pt>
                <c:pt idx="262">
                  <c:v>26.000025000000001</c:v>
                </c:pt>
                <c:pt idx="263">
                  <c:v>25.500019000000002</c:v>
                </c:pt>
                <c:pt idx="264">
                  <c:v>22.500005999999999</c:v>
                </c:pt>
                <c:pt idx="265">
                  <c:v>23.500024</c:v>
                </c:pt>
                <c:pt idx="266">
                  <c:v>23.500021999999994</c:v>
                </c:pt>
                <c:pt idx="267">
                  <c:v>23.500025000000001</c:v>
                </c:pt>
                <c:pt idx="268">
                  <c:v>23.500017</c:v>
                </c:pt>
                <c:pt idx="269">
                  <c:v>25.50001</c:v>
                </c:pt>
                <c:pt idx="270">
                  <c:v>29.500003</c:v>
                </c:pt>
                <c:pt idx="271">
                  <c:v>30.600004000000009</c:v>
                </c:pt>
                <c:pt idx="272">
                  <c:v>30.000005000000005</c:v>
                </c:pt>
                <c:pt idx="273">
                  <c:v>29.999986</c:v>
                </c:pt>
                <c:pt idx="274">
                  <c:v>29.999976</c:v>
                </c:pt>
                <c:pt idx="275">
                  <c:v>30.999980999999991</c:v>
                </c:pt>
                <c:pt idx="276">
                  <c:v>33.499980000000001</c:v>
                </c:pt>
                <c:pt idx="277">
                  <c:v>30.499988000000005</c:v>
                </c:pt>
                <c:pt idx="278">
                  <c:v>29.999988000000005</c:v>
                </c:pt>
                <c:pt idx="279">
                  <c:v>29.999986</c:v>
                </c:pt>
                <c:pt idx="280">
                  <c:v>28.499981999999999</c:v>
                </c:pt>
                <c:pt idx="281">
                  <c:v>30.499981999999999</c:v>
                </c:pt>
                <c:pt idx="282">
                  <c:v>28.499983</c:v>
                </c:pt>
                <c:pt idx="283">
                  <c:v>28.999981999999999</c:v>
                </c:pt>
                <c:pt idx="284">
                  <c:v>28.499985000000009</c:v>
                </c:pt>
                <c:pt idx="285">
                  <c:v>28.499993</c:v>
                </c:pt>
                <c:pt idx="286">
                  <c:v>27.499994999999991</c:v>
                </c:pt>
                <c:pt idx="287">
                  <c:v>23.499997</c:v>
                </c:pt>
                <c:pt idx="288">
                  <c:v>24.500005000000005</c:v>
                </c:pt>
                <c:pt idx="289">
                  <c:v>25.000002000000002</c:v>
                </c:pt>
                <c:pt idx="290">
                  <c:v>25.000008000000001</c:v>
                </c:pt>
                <c:pt idx="291">
                  <c:v>26.000005000000005</c:v>
                </c:pt>
                <c:pt idx="292">
                  <c:v>23.500007</c:v>
                </c:pt>
                <c:pt idx="293">
                  <c:v>23.50000099999999</c:v>
                </c:pt>
                <c:pt idx="294">
                  <c:v>23.499997999999991</c:v>
                </c:pt>
                <c:pt idx="295">
                  <c:v>24.999993</c:v>
                </c:pt>
                <c:pt idx="296">
                  <c:v>26.999991000000001</c:v>
                </c:pt>
                <c:pt idx="297">
                  <c:v>27.129994999999997</c:v>
                </c:pt>
              </c:numCache>
            </c:numRef>
          </c:val>
        </c:ser>
        <c:axId val="229062528"/>
        <c:axId val="229064064"/>
      </c:areaChart>
      <c:lineChart>
        <c:grouping val="standard"/>
        <c:ser>
          <c:idx val="1"/>
          <c:order val="1"/>
          <c:tx>
            <c:strRef>
              <c:f>Sayfa1!$C$1</c:f>
              <c:strCache>
                <c:ptCount val="1"/>
                <c:pt idx="0">
                  <c:v>Ortalama Fonlama Maliyeti (Sağ Eksen)</c:v>
                </c:pt>
              </c:strCache>
            </c:strRef>
          </c:tx>
          <c:spPr>
            <a:ln>
              <a:solidFill>
                <a:schemeClr val="tx2"/>
              </a:solidFill>
            </a:ln>
          </c:spPr>
          <c:marker>
            <c:symbol val="none"/>
          </c:marker>
          <c:cat>
            <c:numRef>
              <c:f>Sayfa1!$A$2:$A$299</c:f>
              <c:numCache>
                <c:formatCode>dd/mm/yyyy</c:formatCode>
                <c:ptCount val="298"/>
                <c:pt idx="0">
                  <c:v>40760</c:v>
                </c:pt>
                <c:pt idx="1">
                  <c:v>40763</c:v>
                </c:pt>
                <c:pt idx="2">
                  <c:v>40764</c:v>
                </c:pt>
                <c:pt idx="3">
                  <c:v>40765</c:v>
                </c:pt>
                <c:pt idx="4">
                  <c:v>40766</c:v>
                </c:pt>
                <c:pt idx="5">
                  <c:v>40767</c:v>
                </c:pt>
                <c:pt idx="6">
                  <c:v>40770</c:v>
                </c:pt>
                <c:pt idx="7">
                  <c:v>40771</c:v>
                </c:pt>
                <c:pt idx="8">
                  <c:v>40772</c:v>
                </c:pt>
                <c:pt idx="9">
                  <c:v>40773</c:v>
                </c:pt>
                <c:pt idx="10">
                  <c:v>40774</c:v>
                </c:pt>
                <c:pt idx="11">
                  <c:v>40777</c:v>
                </c:pt>
                <c:pt idx="12">
                  <c:v>40778</c:v>
                </c:pt>
                <c:pt idx="13">
                  <c:v>40779</c:v>
                </c:pt>
                <c:pt idx="14">
                  <c:v>40780</c:v>
                </c:pt>
                <c:pt idx="15">
                  <c:v>40781</c:v>
                </c:pt>
                <c:pt idx="16">
                  <c:v>40784</c:v>
                </c:pt>
                <c:pt idx="17">
                  <c:v>40785</c:v>
                </c:pt>
                <c:pt idx="18">
                  <c:v>40786</c:v>
                </c:pt>
                <c:pt idx="19">
                  <c:v>40787</c:v>
                </c:pt>
                <c:pt idx="20">
                  <c:v>40788</c:v>
                </c:pt>
                <c:pt idx="21">
                  <c:v>40791</c:v>
                </c:pt>
                <c:pt idx="22">
                  <c:v>40792</c:v>
                </c:pt>
                <c:pt idx="23">
                  <c:v>40793</c:v>
                </c:pt>
                <c:pt idx="24">
                  <c:v>40794</c:v>
                </c:pt>
                <c:pt idx="25">
                  <c:v>40795</c:v>
                </c:pt>
                <c:pt idx="26">
                  <c:v>40798</c:v>
                </c:pt>
                <c:pt idx="27">
                  <c:v>40799</c:v>
                </c:pt>
                <c:pt idx="28">
                  <c:v>40800</c:v>
                </c:pt>
                <c:pt idx="29">
                  <c:v>40801</c:v>
                </c:pt>
                <c:pt idx="30">
                  <c:v>40802</c:v>
                </c:pt>
                <c:pt idx="31">
                  <c:v>40805</c:v>
                </c:pt>
                <c:pt idx="32">
                  <c:v>40806</c:v>
                </c:pt>
                <c:pt idx="33">
                  <c:v>40807</c:v>
                </c:pt>
                <c:pt idx="34">
                  <c:v>40808</c:v>
                </c:pt>
                <c:pt idx="35">
                  <c:v>40809</c:v>
                </c:pt>
                <c:pt idx="36">
                  <c:v>40812</c:v>
                </c:pt>
                <c:pt idx="37">
                  <c:v>40813</c:v>
                </c:pt>
                <c:pt idx="38">
                  <c:v>40814</c:v>
                </c:pt>
                <c:pt idx="39">
                  <c:v>40815</c:v>
                </c:pt>
                <c:pt idx="40">
                  <c:v>40816</c:v>
                </c:pt>
                <c:pt idx="41">
                  <c:v>40819</c:v>
                </c:pt>
                <c:pt idx="42">
                  <c:v>40820</c:v>
                </c:pt>
                <c:pt idx="43">
                  <c:v>40821</c:v>
                </c:pt>
                <c:pt idx="44">
                  <c:v>40822</c:v>
                </c:pt>
                <c:pt idx="45">
                  <c:v>40823</c:v>
                </c:pt>
                <c:pt idx="46">
                  <c:v>40826</c:v>
                </c:pt>
                <c:pt idx="47">
                  <c:v>40827</c:v>
                </c:pt>
                <c:pt idx="48">
                  <c:v>40828</c:v>
                </c:pt>
                <c:pt idx="49">
                  <c:v>40829</c:v>
                </c:pt>
                <c:pt idx="50">
                  <c:v>40830</c:v>
                </c:pt>
                <c:pt idx="51">
                  <c:v>40833</c:v>
                </c:pt>
                <c:pt idx="52">
                  <c:v>40834</c:v>
                </c:pt>
                <c:pt idx="53">
                  <c:v>40835</c:v>
                </c:pt>
                <c:pt idx="54">
                  <c:v>40836</c:v>
                </c:pt>
                <c:pt idx="55">
                  <c:v>40837</c:v>
                </c:pt>
                <c:pt idx="56">
                  <c:v>40840</c:v>
                </c:pt>
                <c:pt idx="57">
                  <c:v>40841</c:v>
                </c:pt>
                <c:pt idx="58">
                  <c:v>40842</c:v>
                </c:pt>
                <c:pt idx="59">
                  <c:v>40843</c:v>
                </c:pt>
                <c:pt idx="60">
                  <c:v>40844</c:v>
                </c:pt>
                <c:pt idx="61">
                  <c:v>40847</c:v>
                </c:pt>
                <c:pt idx="62">
                  <c:v>40848</c:v>
                </c:pt>
                <c:pt idx="63">
                  <c:v>40849</c:v>
                </c:pt>
                <c:pt idx="64">
                  <c:v>40850</c:v>
                </c:pt>
                <c:pt idx="65">
                  <c:v>40851</c:v>
                </c:pt>
                <c:pt idx="66">
                  <c:v>40854</c:v>
                </c:pt>
                <c:pt idx="67">
                  <c:v>40855</c:v>
                </c:pt>
                <c:pt idx="68">
                  <c:v>40856</c:v>
                </c:pt>
                <c:pt idx="69">
                  <c:v>40857</c:v>
                </c:pt>
                <c:pt idx="70">
                  <c:v>40858</c:v>
                </c:pt>
                <c:pt idx="71">
                  <c:v>40861</c:v>
                </c:pt>
                <c:pt idx="72">
                  <c:v>40862</c:v>
                </c:pt>
                <c:pt idx="73">
                  <c:v>40863</c:v>
                </c:pt>
                <c:pt idx="74">
                  <c:v>40864</c:v>
                </c:pt>
                <c:pt idx="75">
                  <c:v>40865</c:v>
                </c:pt>
                <c:pt idx="76">
                  <c:v>40868</c:v>
                </c:pt>
                <c:pt idx="77">
                  <c:v>40869</c:v>
                </c:pt>
                <c:pt idx="78">
                  <c:v>40870</c:v>
                </c:pt>
                <c:pt idx="79">
                  <c:v>40871</c:v>
                </c:pt>
                <c:pt idx="80">
                  <c:v>40872</c:v>
                </c:pt>
                <c:pt idx="81">
                  <c:v>40875</c:v>
                </c:pt>
                <c:pt idx="82">
                  <c:v>40876</c:v>
                </c:pt>
                <c:pt idx="83">
                  <c:v>40877</c:v>
                </c:pt>
                <c:pt idx="84">
                  <c:v>40878</c:v>
                </c:pt>
                <c:pt idx="85">
                  <c:v>40879</c:v>
                </c:pt>
                <c:pt idx="86">
                  <c:v>40882</c:v>
                </c:pt>
                <c:pt idx="87">
                  <c:v>40883</c:v>
                </c:pt>
                <c:pt idx="88">
                  <c:v>40884</c:v>
                </c:pt>
                <c:pt idx="89">
                  <c:v>40885</c:v>
                </c:pt>
                <c:pt idx="90">
                  <c:v>40886</c:v>
                </c:pt>
                <c:pt idx="91">
                  <c:v>40889</c:v>
                </c:pt>
                <c:pt idx="92">
                  <c:v>40890</c:v>
                </c:pt>
                <c:pt idx="93">
                  <c:v>40891</c:v>
                </c:pt>
                <c:pt idx="94">
                  <c:v>40892</c:v>
                </c:pt>
                <c:pt idx="95">
                  <c:v>40893</c:v>
                </c:pt>
                <c:pt idx="96">
                  <c:v>40896</c:v>
                </c:pt>
                <c:pt idx="97">
                  <c:v>40897</c:v>
                </c:pt>
                <c:pt idx="98">
                  <c:v>40898</c:v>
                </c:pt>
                <c:pt idx="99">
                  <c:v>40899</c:v>
                </c:pt>
                <c:pt idx="100">
                  <c:v>40900</c:v>
                </c:pt>
                <c:pt idx="101">
                  <c:v>40903</c:v>
                </c:pt>
                <c:pt idx="102">
                  <c:v>40904</c:v>
                </c:pt>
                <c:pt idx="103">
                  <c:v>40905</c:v>
                </c:pt>
                <c:pt idx="104">
                  <c:v>40906</c:v>
                </c:pt>
                <c:pt idx="105">
                  <c:v>40907</c:v>
                </c:pt>
                <c:pt idx="106">
                  <c:v>40910</c:v>
                </c:pt>
                <c:pt idx="107">
                  <c:v>40911</c:v>
                </c:pt>
                <c:pt idx="108">
                  <c:v>40912</c:v>
                </c:pt>
                <c:pt idx="109">
                  <c:v>40913</c:v>
                </c:pt>
                <c:pt idx="110">
                  <c:v>40914</c:v>
                </c:pt>
                <c:pt idx="111">
                  <c:v>40917</c:v>
                </c:pt>
                <c:pt idx="112">
                  <c:v>40918</c:v>
                </c:pt>
                <c:pt idx="113">
                  <c:v>40919</c:v>
                </c:pt>
                <c:pt idx="114">
                  <c:v>40920</c:v>
                </c:pt>
                <c:pt idx="115">
                  <c:v>40921</c:v>
                </c:pt>
                <c:pt idx="116">
                  <c:v>40924</c:v>
                </c:pt>
                <c:pt idx="117">
                  <c:v>40925</c:v>
                </c:pt>
                <c:pt idx="118">
                  <c:v>40926</c:v>
                </c:pt>
                <c:pt idx="119">
                  <c:v>40927</c:v>
                </c:pt>
                <c:pt idx="120">
                  <c:v>40928</c:v>
                </c:pt>
                <c:pt idx="121">
                  <c:v>40931</c:v>
                </c:pt>
                <c:pt idx="122">
                  <c:v>40932</c:v>
                </c:pt>
                <c:pt idx="123">
                  <c:v>40933</c:v>
                </c:pt>
                <c:pt idx="124">
                  <c:v>40934</c:v>
                </c:pt>
                <c:pt idx="125">
                  <c:v>40935</c:v>
                </c:pt>
                <c:pt idx="126">
                  <c:v>40938</c:v>
                </c:pt>
                <c:pt idx="127">
                  <c:v>40939</c:v>
                </c:pt>
                <c:pt idx="128">
                  <c:v>40940</c:v>
                </c:pt>
                <c:pt idx="129">
                  <c:v>40941</c:v>
                </c:pt>
                <c:pt idx="130">
                  <c:v>40942</c:v>
                </c:pt>
                <c:pt idx="131">
                  <c:v>40945</c:v>
                </c:pt>
                <c:pt idx="132">
                  <c:v>40946</c:v>
                </c:pt>
                <c:pt idx="133">
                  <c:v>40947</c:v>
                </c:pt>
                <c:pt idx="134">
                  <c:v>40948</c:v>
                </c:pt>
                <c:pt idx="135">
                  <c:v>40949</c:v>
                </c:pt>
                <c:pt idx="136">
                  <c:v>40952</c:v>
                </c:pt>
                <c:pt idx="137">
                  <c:v>40953</c:v>
                </c:pt>
                <c:pt idx="138">
                  <c:v>40954</c:v>
                </c:pt>
                <c:pt idx="139">
                  <c:v>40955</c:v>
                </c:pt>
                <c:pt idx="140">
                  <c:v>40956</c:v>
                </c:pt>
                <c:pt idx="141">
                  <c:v>40959</c:v>
                </c:pt>
                <c:pt idx="142">
                  <c:v>40960</c:v>
                </c:pt>
                <c:pt idx="143">
                  <c:v>40961</c:v>
                </c:pt>
                <c:pt idx="144">
                  <c:v>40962</c:v>
                </c:pt>
                <c:pt idx="145">
                  <c:v>40963</c:v>
                </c:pt>
                <c:pt idx="146">
                  <c:v>40966</c:v>
                </c:pt>
                <c:pt idx="147">
                  <c:v>40967</c:v>
                </c:pt>
                <c:pt idx="148">
                  <c:v>40968</c:v>
                </c:pt>
                <c:pt idx="149">
                  <c:v>40969</c:v>
                </c:pt>
                <c:pt idx="150">
                  <c:v>40970</c:v>
                </c:pt>
                <c:pt idx="151">
                  <c:v>40973</c:v>
                </c:pt>
                <c:pt idx="152">
                  <c:v>40974</c:v>
                </c:pt>
                <c:pt idx="153">
                  <c:v>40975</c:v>
                </c:pt>
                <c:pt idx="154">
                  <c:v>40976</c:v>
                </c:pt>
                <c:pt idx="155">
                  <c:v>40977</c:v>
                </c:pt>
                <c:pt idx="156">
                  <c:v>40980</c:v>
                </c:pt>
                <c:pt idx="157">
                  <c:v>40981</c:v>
                </c:pt>
                <c:pt idx="158">
                  <c:v>40982</c:v>
                </c:pt>
                <c:pt idx="159">
                  <c:v>40983</c:v>
                </c:pt>
                <c:pt idx="160">
                  <c:v>40984</c:v>
                </c:pt>
                <c:pt idx="161">
                  <c:v>40987</c:v>
                </c:pt>
                <c:pt idx="162">
                  <c:v>40988</c:v>
                </c:pt>
                <c:pt idx="163">
                  <c:v>40989</c:v>
                </c:pt>
                <c:pt idx="164">
                  <c:v>40990</c:v>
                </c:pt>
                <c:pt idx="165">
                  <c:v>40991</c:v>
                </c:pt>
                <c:pt idx="166">
                  <c:v>40994</c:v>
                </c:pt>
                <c:pt idx="167">
                  <c:v>40995</c:v>
                </c:pt>
                <c:pt idx="168">
                  <c:v>40996</c:v>
                </c:pt>
                <c:pt idx="169">
                  <c:v>40997</c:v>
                </c:pt>
                <c:pt idx="170">
                  <c:v>40998</c:v>
                </c:pt>
                <c:pt idx="171">
                  <c:v>41001</c:v>
                </c:pt>
                <c:pt idx="172">
                  <c:v>41002</c:v>
                </c:pt>
                <c:pt idx="173">
                  <c:v>41003</c:v>
                </c:pt>
                <c:pt idx="174">
                  <c:v>41004</c:v>
                </c:pt>
                <c:pt idx="175">
                  <c:v>41005</c:v>
                </c:pt>
                <c:pt idx="176">
                  <c:v>41008</c:v>
                </c:pt>
                <c:pt idx="177">
                  <c:v>41009</c:v>
                </c:pt>
                <c:pt idx="178">
                  <c:v>41010</c:v>
                </c:pt>
                <c:pt idx="179">
                  <c:v>41011</c:v>
                </c:pt>
                <c:pt idx="180">
                  <c:v>41012</c:v>
                </c:pt>
                <c:pt idx="181">
                  <c:v>41015</c:v>
                </c:pt>
                <c:pt idx="182">
                  <c:v>41016</c:v>
                </c:pt>
                <c:pt idx="183">
                  <c:v>41017</c:v>
                </c:pt>
                <c:pt idx="184">
                  <c:v>41018</c:v>
                </c:pt>
                <c:pt idx="185">
                  <c:v>41019</c:v>
                </c:pt>
                <c:pt idx="186">
                  <c:v>41022</c:v>
                </c:pt>
                <c:pt idx="187">
                  <c:v>41023</c:v>
                </c:pt>
                <c:pt idx="188">
                  <c:v>41024</c:v>
                </c:pt>
                <c:pt idx="189">
                  <c:v>41025</c:v>
                </c:pt>
                <c:pt idx="190">
                  <c:v>41026</c:v>
                </c:pt>
                <c:pt idx="191">
                  <c:v>41029</c:v>
                </c:pt>
                <c:pt idx="192">
                  <c:v>41030</c:v>
                </c:pt>
                <c:pt idx="193">
                  <c:v>41031</c:v>
                </c:pt>
                <c:pt idx="194">
                  <c:v>41032</c:v>
                </c:pt>
                <c:pt idx="195">
                  <c:v>41033</c:v>
                </c:pt>
                <c:pt idx="196">
                  <c:v>41036</c:v>
                </c:pt>
                <c:pt idx="197">
                  <c:v>41037</c:v>
                </c:pt>
                <c:pt idx="198">
                  <c:v>41038</c:v>
                </c:pt>
                <c:pt idx="199">
                  <c:v>41039</c:v>
                </c:pt>
                <c:pt idx="200">
                  <c:v>41040</c:v>
                </c:pt>
                <c:pt idx="201">
                  <c:v>41043</c:v>
                </c:pt>
                <c:pt idx="202">
                  <c:v>41044</c:v>
                </c:pt>
                <c:pt idx="203">
                  <c:v>41045</c:v>
                </c:pt>
                <c:pt idx="204">
                  <c:v>41046</c:v>
                </c:pt>
                <c:pt idx="205">
                  <c:v>41047</c:v>
                </c:pt>
                <c:pt idx="206">
                  <c:v>41050</c:v>
                </c:pt>
                <c:pt idx="207">
                  <c:v>41051</c:v>
                </c:pt>
                <c:pt idx="208">
                  <c:v>41052</c:v>
                </c:pt>
                <c:pt idx="209">
                  <c:v>41053</c:v>
                </c:pt>
                <c:pt idx="210">
                  <c:v>41054</c:v>
                </c:pt>
                <c:pt idx="211">
                  <c:v>41057</c:v>
                </c:pt>
                <c:pt idx="212">
                  <c:v>41058</c:v>
                </c:pt>
                <c:pt idx="213">
                  <c:v>41059</c:v>
                </c:pt>
                <c:pt idx="214">
                  <c:v>41060</c:v>
                </c:pt>
                <c:pt idx="215">
                  <c:v>41061</c:v>
                </c:pt>
                <c:pt idx="216">
                  <c:v>41064</c:v>
                </c:pt>
                <c:pt idx="217">
                  <c:v>41065</c:v>
                </c:pt>
                <c:pt idx="218">
                  <c:v>41066</c:v>
                </c:pt>
                <c:pt idx="219">
                  <c:v>41067</c:v>
                </c:pt>
                <c:pt idx="220">
                  <c:v>41068</c:v>
                </c:pt>
                <c:pt idx="221">
                  <c:v>41071</c:v>
                </c:pt>
                <c:pt idx="222">
                  <c:v>41072</c:v>
                </c:pt>
                <c:pt idx="223">
                  <c:v>41073</c:v>
                </c:pt>
                <c:pt idx="224">
                  <c:v>41074</c:v>
                </c:pt>
                <c:pt idx="225">
                  <c:v>41075</c:v>
                </c:pt>
                <c:pt idx="226">
                  <c:v>41078</c:v>
                </c:pt>
                <c:pt idx="227">
                  <c:v>41079</c:v>
                </c:pt>
                <c:pt idx="228">
                  <c:v>41080</c:v>
                </c:pt>
                <c:pt idx="229">
                  <c:v>41081</c:v>
                </c:pt>
                <c:pt idx="230">
                  <c:v>41082</c:v>
                </c:pt>
                <c:pt idx="231">
                  <c:v>41085</c:v>
                </c:pt>
                <c:pt idx="232">
                  <c:v>41086</c:v>
                </c:pt>
                <c:pt idx="233">
                  <c:v>41087</c:v>
                </c:pt>
                <c:pt idx="234">
                  <c:v>41088</c:v>
                </c:pt>
                <c:pt idx="235">
                  <c:v>41089</c:v>
                </c:pt>
                <c:pt idx="236">
                  <c:v>41092</c:v>
                </c:pt>
                <c:pt idx="237">
                  <c:v>41093</c:v>
                </c:pt>
                <c:pt idx="238">
                  <c:v>41094</c:v>
                </c:pt>
                <c:pt idx="239">
                  <c:v>41095</c:v>
                </c:pt>
                <c:pt idx="240">
                  <c:v>41096</c:v>
                </c:pt>
                <c:pt idx="241">
                  <c:v>41099</c:v>
                </c:pt>
                <c:pt idx="242">
                  <c:v>41100</c:v>
                </c:pt>
                <c:pt idx="243">
                  <c:v>41101</c:v>
                </c:pt>
                <c:pt idx="244">
                  <c:v>41102</c:v>
                </c:pt>
                <c:pt idx="245">
                  <c:v>41103</c:v>
                </c:pt>
                <c:pt idx="246">
                  <c:v>41106</c:v>
                </c:pt>
                <c:pt idx="247">
                  <c:v>41107</c:v>
                </c:pt>
                <c:pt idx="248">
                  <c:v>41108</c:v>
                </c:pt>
                <c:pt idx="249">
                  <c:v>41109</c:v>
                </c:pt>
                <c:pt idx="250">
                  <c:v>41110</c:v>
                </c:pt>
                <c:pt idx="251">
                  <c:v>41113</c:v>
                </c:pt>
                <c:pt idx="252">
                  <c:v>41114</c:v>
                </c:pt>
                <c:pt idx="253">
                  <c:v>41115</c:v>
                </c:pt>
                <c:pt idx="254">
                  <c:v>41116</c:v>
                </c:pt>
                <c:pt idx="255">
                  <c:v>41117</c:v>
                </c:pt>
                <c:pt idx="256">
                  <c:v>41120</c:v>
                </c:pt>
                <c:pt idx="257">
                  <c:v>41121</c:v>
                </c:pt>
                <c:pt idx="258">
                  <c:v>41122</c:v>
                </c:pt>
                <c:pt idx="259">
                  <c:v>41123</c:v>
                </c:pt>
                <c:pt idx="260">
                  <c:v>41124</c:v>
                </c:pt>
                <c:pt idx="261">
                  <c:v>41127</c:v>
                </c:pt>
                <c:pt idx="262">
                  <c:v>41128</c:v>
                </c:pt>
                <c:pt idx="263">
                  <c:v>41129</c:v>
                </c:pt>
                <c:pt idx="264">
                  <c:v>41130</c:v>
                </c:pt>
                <c:pt idx="265">
                  <c:v>41131</c:v>
                </c:pt>
                <c:pt idx="266">
                  <c:v>41134</c:v>
                </c:pt>
                <c:pt idx="267">
                  <c:v>41135</c:v>
                </c:pt>
                <c:pt idx="268">
                  <c:v>41136</c:v>
                </c:pt>
                <c:pt idx="269">
                  <c:v>41137</c:v>
                </c:pt>
                <c:pt idx="270">
                  <c:v>41138</c:v>
                </c:pt>
                <c:pt idx="271">
                  <c:v>41143</c:v>
                </c:pt>
                <c:pt idx="272">
                  <c:v>41144</c:v>
                </c:pt>
                <c:pt idx="273">
                  <c:v>41145</c:v>
                </c:pt>
                <c:pt idx="274">
                  <c:v>41148</c:v>
                </c:pt>
                <c:pt idx="275">
                  <c:v>41149</c:v>
                </c:pt>
                <c:pt idx="276">
                  <c:v>41150</c:v>
                </c:pt>
                <c:pt idx="277">
                  <c:v>41152</c:v>
                </c:pt>
                <c:pt idx="278">
                  <c:v>41155</c:v>
                </c:pt>
                <c:pt idx="279">
                  <c:v>41156</c:v>
                </c:pt>
                <c:pt idx="280">
                  <c:v>41157</c:v>
                </c:pt>
                <c:pt idx="281">
                  <c:v>41158</c:v>
                </c:pt>
                <c:pt idx="282">
                  <c:v>41159</c:v>
                </c:pt>
                <c:pt idx="283">
                  <c:v>41162</c:v>
                </c:pt>
                <c:pt idx="284">
                  <c:v>41163</c:v>
                </c:pt>
                <c:pt idx="285">
                  <c:v>41164</c:v>
                </c:pt>
                <c:pt idx="286">
                  <c:v>41165</c:v>
                </c:pt>
                <c:pt idx="287">
                  <c:v>41166</c:v>
                </c:pt>
                <c:pt idx="288">
                  <c:v>41169</c:v>
                </c:pt>
                <c:pt idx="289">
                  <c:v>41170</c:v>
                </c:pt>
                <c:pt idx="290">
                  <c:v>41171</c:v>
                </c:pt>
                <c:pt idx="291">
                  <c:v>41172</c:v>
                </c:pt>
                <c:pt idx="292">
                  <c:v>41173</c:v>
                </c:pt>
                <c:pt idx="293">
                  <c:v>41176</c:v>
                </c:pt>
                <c:pt idx="294">
                  <c:v>41177</c:v>
                </c:pt>
                <c:pt idx="295">
                  <c:v>41178</c:v>
                </c:pt>
                <c:pt idx="296">
                  <c:v>41179</c:v>
                </c:pt>
                <c:pt idx="297">
                  <c:v>41180</c:v>
                </c:pt>
              </c:numCache>
            </c:numRef>
          </c:cat>
          <c:val>
            <c:numRef>
              <c:f>Sayfa1!$C$2:$C$299</c:f>
              <c:numCache>
                <c:formatCode>0.00</c:formatCode>
                <c:ptCount val="298"/>
                <c:pt idx="0">
                  <c:v>6.1156716992648832</c:v>
                </c:pt>
                <c:pt idx="1">
                  <c:v>6.0220588848399803</c:v>
                </c:pt>
                <c:pt idx="2">
                  <c:v>5.9216418243484163</c:v>
                </c:pt>
                <c:pt idx="3">
                  <c:v>5.8500000723076981</c:v>
                </c:pt>
                <c:pt idx="4">
                  <c:v>5.75</c:v>
                </c:pt>
                <c:pt idx="5">
                  <c:v>5.75</c:v>
                </c:pt>
                <c:pt idx="6">
                  <c:v>5.75</c:v>
                </c:pt>
                <c:pt idx="7">
                  <c:v>5.75</c:v>
                </c:pt>
                <c:pt idx="8">
                  <c:v>5.7500000000000009</c:v>
                </c:pt>
                <c:pt idx="9">
                  <c:v>5.75</c:v>
                </c:pt>
                <c:pt idx="10">
                  <c:v>5.75</c:v>
                </c:pt>
                <c:pt idx="11">
                  <c:v>5.8161764851859905</c:v>
                </c:pt>
                <c:pt idx="12">
                  <c:v>5.75</c:v>
                </c:pt>
                <c:pt idx="13">
                  <c:v>5.75</c:v>
                </c:pt>
                <c:pt idx="14">
                  <c:v>5.75</c:v>
                </c:pt>
                <c:pt idx="15">
                  <c:v>5.7499999999999991</c:v>
                </c:pt>
                <c:pt idx="16">
                  <c:v>5.7499999999999991</c:v>
                </c:pt>
                <c:pt idx="17">
                  <c:v>5.7499999999999991</c:v>
                </c:pt>
                <c:pt idx="18">
                  <c:v>5.7499999999999991</c:v>
                </c:pt>
                <c:pt idx="19">
                  <c:v>5.7499999999999991</c:v>
                </c:pt>
                <c:pt idx="20">
                  <c:v>5.7499999999999991</c:v>
                </c:pt>
                <c:pt idx="21">
                  <c:v>5.7499999999999991</c:v>
                </c:pt>
                <c:pt idx="22">
                  <c:v>5.7499999999999991</c:v>
                </c:pt>
                <c:pt idx="23">
                  <c:v>5.7499999999999991</c:v>
                </c:pt>
                <c:pt idx="24">
                  <c:v>5.75</c:v>
                </c:pt>
                <c:pt idx="25">
                  <c:v>5.75</c:v>
                </c:pt>
                <c:pt idx="26">
                  <c:v>5.75</c:v>
                </c:pt>
                <c:pt idx="27">
                  <c:v>5.75</c:v>
                </c:pt>
                <c:pt idx="28">
                  <c:v>5.75</c:v>
                </c:pt>
                <c:pt idx="29">
                  <c:v>5.7500000000000009</c:v>
                </c:pt>
                <c:pt idx="30">
                  <c:v>5.75</c:v>
                </c:pt>
                <c:pt idx="31">
                  <c:v>5.7499999999999991</c:v>
                </c:pt>
                <c:pt idx="32">
                  <c:v>5.7500000000000009</c:v>
                </c:pt>
                <c:pt idx="33">
                  <c:v>5.7499999999999991</c:v>
                </c:pt>
                <c:pt idx="34">
                  <c:v>5.75</c:v>
                </c:pt>
                <c:pt idx="35">
                  <c:v>5.75</c:v>
                </c:pt>
                <c:pt idx="36">
                  <c:v>5.75</c:v>
                </c:pt>
                <c:pt idx="37">
                  <c:v>5.75</c:v>
                </c:pt>
                <c:pt idx="38">
                  <c:v>5.7500000000000009</c:v>
                </c:pt>
                <c:pt idx="39">
                  <c:v>5.75</c:v>
                </c:pt>
                <c:pt idx="40">
                  <c:v>5.75</c:v>
                </c:pt>
                <c:pt idx="41">
                  <c:v>5.75</c:v>
                </c:pt>
                <c:pt idx="42">
                  <c:v>5.75</c:v>
                </c:pt>
                <c:pt idx="43">
                  <c:v>5.75</c:v>
                </c:pt>
                <c:pt idx="44">
                  <c:v>5.75</c:v>
                </c:pt>
                <c:pt idx="45">
                  <c:v>5.75</c:v>
                </c:pt>
                <c:pt idx="46">
                  <c:v>5.75</c:v>
                </c:pt>
                <c:pt idx="47">
                  <c:v>5.75</c:v>
                </c:pt>
                <c:pt idx="48">
                  <c:v>5.75</c:v>
                </c:pt>
                <c:pt idx="49">
                  <c:v>5.75</c:v>
                </c:pt>
                <c:pt idx="50">
                  <c:v>5.7500524185051525</c:v>
                </c:pt>
                <c:pt idx="51">
                  <c:v>5.75</c:v>
                </c:pt>
                <c:pt idx="52">
                  <c:v>5.75</c:v>
                </c:pt>
                <c:pt idx="53">
                  <c:v>5.75</c:v>
                </c:pt>
                <c:pt idx="54">
                  <c:v>5.9948509407082797</c:v>
                </c:pt>
                <c:pt idx="55">
                  <c:v>6.5519686665883325</c:v>
                </c:pt>
                <c:pt idx="56">
                  <c:v>6.0235008236710277</c:v>
                </c:pt>
                <c:pt idx="57">
                  <c:v>6.2100910603955413</c:v>
                </c:pt>
                <c:pt idx="58">
                  <c:v>7.01</c:v>
                </c:pt>
                <c:pt idx="59">
                  <c:v>7.1965019146654647</c:v>
                </c:pt>
                <c:pt idx="60">
                  <c:v>6.7439568422316825</c:v>
                </c:pt>
                <c:pt idx="61">
                  <c:v>5.75</c:v>
                </c:pt>
                <c:pt idx="62">
                  <c:v>5.75</c:v>
                </c:pt>
                <c:pt idx="63">
                  <c:v>5.75</c:v>
                </c:pt>
                <c:pt idx="64">
                  <c:v>5.75</c:v>
                </c:pt>
                <c:pt idx="65">
                  <c:v>5.75</c:v>
                </c:pt>
                <c:pt idx="66">
                  <c:v>5.75</c:v>
                </c:pt>
                <c:pt idx="67">
                  <c:v>5.75</c:v>
                </c:pt>
                <c:pt idx="68">
                  <c:v>5.75</c:v>
                </c:pt>
                <c:pt idx="69">
                  <c:v>5.75</c:v>
                </c:pt>
                <c:pt idx="70">
                  <c:v>5.75</c:v>
                </c:pt>
                <c:pt idx="71">
                  <c:v>5.75</c:v>
                </c:pt>
                <c:pt idx="72">
                  <c:v>6.1603535457159957</c:v>
                </c:pt>
                <c:pt idx="73">
                  <c:v>5.7500000000000009</c:v>
                </c:pt>
                <c:pt idx="74">
                  <c:v>5.75</c:v>
                </c:pt>
                <c:pt idx="75">
                  <c:v>5.75</c:v>
                </c:pt>
                <c:pt idx="76">
                  <c:v>5.9144736192867295</c:v>
                </c:pt>
                <c:pt idx="77">
                  <c:v>7.63</c:v>
                </c:pt>
                <c:pt idx="78">
                  <c:v>7.2476294683091584</c:v>
                </c:pt>
                <c:pt idx="79">
                  <c:v>7.3823413008036471</c:v>
                </c:pt>
                <c:pt idx="80">
                  <c:v>8.013339049174105</c:v>
                </c:pt>
                <c:pt idx="81">
                  <c:v>8.4264581642150027</c:v>
                </c:pt>
                <c:pt idx="82">
                  <c:v>8.276768914970976</c:v>
                </c:pt>
                <c:pt idx="83">
                  <c:v>8.0656491108923039</c:v>
                </c:pt>
                <c:pt idx="84">
                  <c:v>7.7978839413078651</c:v>
                </c:pt>
                <c:pt idx="85">
                  <c:v>7.8126971524781164</c:v>
                </c:pt>
                <c:pt idx="86">
                  <c:v>8.0364293267809721</c:v>
                </c:pt>
                <c:pt idx="87">
                  <c:v>7.8390673830707485</c:v>
                </c:pt>
                <c:pt idx="88">
                  <c:v>7.7866190040712802</c:v>
                </c:pt>
                <c:pt idx="89">
                  <c:v>7.5586874384969684</c:v>
                </c:pt>
                <c:pt idx="90">
                  <c:v>8.1432661779079467</c:v>
                </c:pt>
                <c:pt idx="91">
                  <c:v>8.2855936424522021</c:v>
                </c:pt>
                <c:pt idx="92">
                  <c:v>7.9087579922280371</c:v>
                </c:pt>
                <c:pt idx="93">
                  <c:v>8.06</c:v>
                </c:pt>
                <c:pt idx="94">
                  <c:v>7.8946276799930093</c:v>
                </c:pt>
                <c:pt idx="95">
                  <c:v>7.8771165744125007</c:v>
                </c:pt>
                <c:pt idx="96">
                  <c:v>8.1341820303956425</c:v>
                </c:pt>
                <c:pt idx="97">
                  <c:v>8.0018880597450668</c:v>
                </c:pt>
                <c:pt idx="98">
                  <c:v>7.495958872505506</c:v>
                </c:pt>
                <c:pt idx="99">
                  <c:v>7.3025178087583091</c:v>
                </c:pt>
                <c:pt idx="100">
                  <c:v>8.0501577972642835</c:v>
                </c:pt>
                <c:pt idx="101">
                  <c:v>7.9751170764806076</c:v>
                </c:pt>
                <c:pt idx="102">
                  <c:v>7.5105738513968774</c:v>
                </c:pt>
                <c:pt idx="103">
                  <c:v>7.0802898400868806</c:v>
                </c:pt>
                <c:pt idx="104">
                  <c:v>7.7833333333333359</c:v>
                </c:pt>
                <c:pt idx="105">
                  <c:v>9.0407897346270936</c:v>
                </c:pt>
                <c:pt idx="106">
                  <c:v>9.5890448488404214</c:v>
                </c:pt>
                <c:pt idx="107">
                  <c:v>10.333332652760623</c:v>
                </c:pt>
                <c:pt idx="108">
                  <c:v>11.226129069407563</c:v>
                </c:pt>
                <c:pt idx="109">
                  <c:v>11.865311325046134</c:v>
                </c:pt>
                <c:pt idx="110">
                  <c:v>11.929653312792365</c:v>
                </c:pt>
                <c:pt idx="111">
                  <c:v>11.91329672334167</c:v>
                </c:pt>
                <c:pt idx="112">
                  <c:v>10.975058879673254</c:v>
                </c:pt>
                <c:pt idx="113">
                  <c:v>9.9609154603209529</c:v>
                </c:pt>
                <c:pt idx="114">
                  <c:v>9.1122273375879992</c:v>
                </c:pt>
                <c:pt idx="115">
                  <c:v>8.8213637850313962</c:v>
                </c:pt>
                <c:pt idx="116">
                  <c:v>7.640795049594189</c:v>
                </c:pt>
                <c:pt idx="117">
                  <c:v>7.5232083102100908</c:v>
                </c:pt>
                <c:pt idx="118">
                  <c:v>7.1161545293226034</c:v>
                </c:pt>
                <c:pt idx="119">
                  <c:v>7.4880738088849466</c:v>
                </c:pt>
                <c:pt idx="120">
                  <c:v>7.6207265201796819</c:v>
                </c:pt>
                <c:pt idx="121">
                  <c:v>7.3420451187263165</c:v>
                </c:pt>
                <c:pt idx="122">
                  <c:v>7.3420452634576705</c:v>
                </c:pt>
                <c:pt idx="123">
                  <c:v>7.3790691500054333</c:v>
                </c:pt>
                <c:pt idx="124">
                  <c:v>7.4178566141527753</c:v>
                </c:pt>
                <c:pt idx="125">
                  <c:v>7.5143179284893895</c:v>
                </c:pt>
                <c:pt idx="126">
                  <c:v>7.5553490760822166</c:v>
                </c:pt>
                <c:pt idx="127">
                  <c:v>7.5553489501276214</c:v>
                </c:pt>
                <c:pt idx="128">
                  <c:v>7.5553492860065816</c:v>
                </c:pt>
                <c:pt idx="129">
                  <c:v>7.5553497898252564</c:v>
                </c:pt>
                <c:pt idx="130">
                  <c:v>7.4854174192983223</c:v>
                </c:pt>
                <c:pt idx="131">
                  <c:v>7.4500006519826405</c:v>
                </c:pt>
                <c:pt idx="132">
                  <c:v>7.4500004785131324</c:v>
                </c:pt>
                <c:pt idx="133">
                  <c:v>7.4160002588227716</c:v>
                </c:pt>
                <c:pt idx="134">
                  <c:v>7.3833332290288185</c:v>
                </c:pt>
                <c:pt idx="135">
                  <c:v>7.4494336012672786</c:v>
                </c:pt>
                <c:pt idx="136">
                  <c:v>7.5160780072156701</c:v>
                </c:pt>
                <c:pt idx="137">
                  <c:v>7.6264578550716875</c:v>
                </c:pt>
                <c:pt idx="138">
                  <c:v>7.7080432558851975</c:v>
                </c:pt>
                <c:pt idx="139">
                  <c:v>7.8446512012927077</c:v>
                </c:pt>
                <c:pt idx="140">
                  <c:v>7.8744448114078605</c:v>
                </c:pt>
                <c:pt idx="141">
                  <c:v>7.7840420668794144</c:v>
                </c:pt>
                <c:pt idx="142">
                  <c:v>7.6619993402761288</c:v>
                </c:pt>
                <c:pt idx="143">
                  <c:v>7.6619994932360393</c:v>
                </c:pt>
                <c:pt idx="144">
                  <c:v>7.7010198010713928</c:v>
                </c:pt>
                <c:pt idx="145">
                  <c:v>7.6881245297739786</c:v>
                </c:pt>
                <c:pt idx="146">
                  <c:v>7.7293622642203186</c:v>
                </c:pt>
                <c:pt idx="147">
                  <c:v>7.7293624326767434</c:v>
                </c:pt>
                <c:pt idx="148">
                  <c:v>7.7723915391000693</c:v>
                </c:pt>
                <c:pt idx="149">
                  <c:v>7.6881255392141119</c:v>
                </c:pt>
                <c:pt idx="150">
                  <c:v>7.512941606987952</c:v>
                </c:pt>
                <c:pt idx="151">
                  <c:v>7.5481998362017446</c:v>
                </c:pt>
                <c:pt idx="152">
                  <c:v>7.5848978631916895</c:v>
                </c:pt>
                <c:pt idx="153">
                  <c:v>7.6231254849706724</c:v>
                </c:pt>
                <c:pt idx="154">
                  <c:v>7.6629786997469695</c:v>
                </c:pt>
                <c:pt idx="155">
                  <c:v>7.5204254197206515</c:v>
                </c:pt>
                <c:pt idx="156">
                  <c:v>7.5204261354247901</c:v>
                </c:pt>
                <c:pt idx="157">
                  <c:v>7.5991117283293965</c:v>
                </c:pt>
                <c:pt idx="158">
                  <c:v>7.55891316228014</c:v>
                </c:pt>
                <c:pt idx="159">
                  <c:v>7.5589133589011706</c:v>
                </c:pt>
                <c:pt idx="160">
                  <c:v>7.5313335702539694</c:v>
                </c:pt>
                <c:pt idx="161">
                  <c:v>7.5718180560792812</c:v>
                </c:pt>
                <c:pt idx="162">
                  <c:v>7.5718180974842397</c:v>
                </c:pt>
                <c:pt idx="163">
                  <c:v>7.5718184287239305</c:v>
                </c:pt>
                <c:pt idx="164">
                  <c:v>7.7540001941690324</c:v>
                </c:pt>
                <c:pt idx="165">
                  <c:v>8.7660653751907809</c:v>
                </c:pt>
                <c:pt idx="166">
                  <c:v>9.2534224871762305</c:v>
                </c:pt>
                <c:pt idx="167">
                  <c:v>9.6442689516084759</c:v>
                </c:pt>
                <c:pt idx="168">
                  <c:v>10.142265193237698</c:v>
                </c:pt>
                <c:pt idx="169">
                  <c:v>10.288079498574568</c:v>
                </c:pt>
                <c:pt idx="170">
                  <c:v>9.7525904568840893</c:v>
                </c:pt>
                <c:pt idx="171">
                  <c:v>9.2553335688107232</c:v>
                </c:pt>
                <c:pt idx="172">
                  <c:v>8.8659096819894305</c:v>
                </c:pt>
                <c:pt idx="173">
                  <c:v>8.3418610918770231</c:v>
                </c:pt>
                <c:pt idx="174">
                  <c:v>7.6821431922002965</c:v>
                </c:pt>
                <c:pt idx="175">
                  <c:v>8.0397353267645357</c:v>
                </c:pt>
                <c:pt idx="176">
                  <c:v>7.9440786858481758</c:v>
                </c:pt>
                <c:pt idx="177">
                  <c:v>7.832953866044682</c:v>
                </c:pt>
                <c:pt idx="178">
                  <c:v>8.3404484675315835</c:v>
                </c:pt>
                <c:pt idx="179">
                  <c:v>8.5031112933463202</c:v>
                </c:pt>
                <c:pt idx="180">
                  <c:v>9.4227984051312657</c:v>
                </c:pt>
                <c:pt idx="181">
                  <c:v>10.082570997725357</c:v>
                </c:pt>
                <c:pt idx="182">
                  <c:v>10.490000079659856</c:v>
                </c:pt>
                <c:pt idx="183">
                  <c:v>9.9910532608868756</c:v>
                </c:pt>
                <c:pt idx="184">
                  <c:v>9.5205006294712753</c:v>
                </c:pt>
                <c:pt idx="185">
                  <c:v>8.9009597977783841</c:v>
                </c:pt>
                <c:pt idx="186">
                  <c:v>8.7556416001234094</c:v>
                </c:pt>
                <c:pt idx="187">
                  <c:v>8.1476930883389151</c:v>
                </c:pt>
                <c:pt idx="188">
                  <c:v>8.2717149134469068</c:v>
                </c:pt>
                <c:pt idx="189">
                  <c:v>8.508124977350235</c:v>
                </c:pt>
                <c:pt idx="190">
                  <c:v>8.5815629615052007</c:v>
                </c:pt>
                <c:pt idx="191">
                  <c:v>8.338857012361073</c:v>
                </c:pt>
                <c:pt idx="192">
                  <c:v>8.338857012361073</c:v>
                </c:pt>
                <c:pt idx="193">
                  <c:v>8.4149995476574784</c:v>
                </c:pt>
                <c:pt idx="194">
                  <c:v>8.4150005666281071</c:v>
                </c:pt>
                <c:pt idx="195">
                  <c:v>9.3173652186169917</c:v>
                </c:pt>
                <c:pt idx="196">
                  <c:v>9.7997092237937711</c:v>
                </c:pt>
                <c:pt idx="197">
                  <c:v>9.7617654356978214</c:v>
                </c:pt>
                <c:pt idx="198">
                  <c:v>10.481048423259628</c:v>
                </c:pt>
                <c:pt idx="199">
                  <c:v>10.657636826924161</c:v>
                </c:pt>
                <c:pt idx="200">
                  <c:v>10.690821240702805</c:v>
                </c:pt>
                <c:pt idx="201">
                  <c:v>10.036249428554381</c:v>
                </c:pt>
                <c:pt idx="202">
                  <c:v>9.7623272302688857</c:v>
                </c:pt>
                <c:pt idx="203">
                  <c:v>9.3359990400238004</c:v>
                </c:pt>
                <c:pt idx="204">
                  <c:v>9.0603221486861507</c:v>
                </c:pt>
                <c:pt idx="205">
                  <c:v>8.6647058886113726</c:v>
                </c:pt>
                <c:pt idx="206">
                  <c:v>9.1926157939308339</c:v>
                </c:pt>
                <c:pt idx="207">
                  <c:v>9.5278792168471078</c:v>
                </c:pt>
                <c:pt idx="208">
                  <c:v>9.8892451070520853</c:v>
                </c:pt>
                <c:pt idx="209">
                  <c:v>10.132713662856903</c:v>
                </c:pt>
                <c:pt idx="210">
                  <c:v>10.831158496864468</c:v>
                </c:pt>
                <c:pt idx="211">
                  <c:v>10.433889619494163</c:v>
                </c:pt>
                <c:pt idx="212">
                  <c:v>10.014324222388797</c:v>
                </c:pt>
                <c:pt idx="213">
                  <c:v>9.6797227137713442</c:v>
                </c:pt>
                <c:pt idx="214">
                  <c:v>9.8077215432758216</c:v>
                </c:pt>
                <c:pt idx="215">
                  <c:v>9.860321852678382</c:v>
                </c:pt>
                <c:pt idx="216">
                  <c:v>10.193420670758155</c:v>
                </c:pt>
                <c:pt idx="217">
                  <c:v>10.195537793330164</c:v>
                </c:pt>
                <c:pt idx="218">
                  <c:v>10.079486819090915</c:v>
                </c:pt>
                <c:pt idx="219">
                  <c:v>9.7059570517761937</c:v>
                </c:pt>
                <c:pt idx="220">
                  <c:v>9.1956693278682682</c:v>
                </c:pt>
                <c:pt idx="221">
                  <c:v>8.5894748206151306</c:v>
                </c:pt>
                <c:pt idx="222">
                  <c:v>8.7472229835697526</c:v>
                </c:pt>
                <c:pt idx="223">
                  <c:v>8.8606066358715392</c:v>
                </c:pt>
                <c:pt idx="224">
                  <c:v>9.0612916082237156</c:v>
                </c:pt>
                <c:pt idx="225">
                  <c:v>9.0866675302184987</c:v>
                </c:pt>
                <c:pt idx="226">
                  <c:v>9.1660003585514467</c:v>
                </c:pt>
                <c:pt idx="227">
                  <c:v>8.9715182404570051</c:v>
                </c:pt>
                <c:pt idx="228">
                  <c:v>8.6963650803146493</c:v>
                </c:pt>
                <c:pt idx="229">
                  <c:v>8.6097059814190651</c:v>
                </c:pt>
                <c:pt idx="230">
                  <c:v>8.5290901558566148</c:v>
                </c:pt>
                <c:pt idx="231">
                  <c:v>8.6159365169666238</c:v>
                </c:pt>
                <c:pt idx="232">
                  <c:v>8.8069984674064781</c:v>
                </c:pt>
                <c:pt idx="233">
                  <c:v>9.0253556099711183</c:v>
                </c:pt>
                <c:pt idx="234">
                  <c:v>9.0253545571791136</c:v>
                </c:pt>
                <c:pt idx="235">
                  <c:v>9.0224826941639353</c:v>
                </c:pt>
                <c:pt idx="236">
                  <c:v>8.742113939532107</c:v>
                </c:pt>
                <c:pt idx="237">
                  <c:v>8.5106672404167316</c:v>
                </c:pt>
                <c:pt idx="238">
                  <c:v>8.421613613593788</c:v>
                </c:pt>
                <c:pt idx="239">
                  <c:v>8.4216145615862992</c:v>
                </c:pt>
                <c:pt idx="240">
                  <c:v>8.1575008543721665</c:v>
                </c:pt>
                <c:pt idx="241">
                  <c:v>8.2466668459535484</c:v>
                </c:pt>
                <c:pt idx="242">
                  <c:v>8.2466667534844014</c:v>
                </c:pt>
                <c:pt idx="243">
                  <c:v>8.1574996506219186</c:v>
                </c:pt>
                <c:pt idx="244">
                  <c:v>8.2466657363242497</c:v>
                </c:pt>
                <c:pt idx="245">
                  <c:v>7.9151994364687681</c:v>
                </c:pt>
                <c:pt idx="246">
                  <c:v>7.8319227176346811</c:v>
                </c:pt>
                <c:pt idx="247">
                  <c:v>7.7926417039018396</c:v>
                </c:pt>
                <c:pt idx="248">
                  <c:v>7.9152011686292179</c:v>
                </c:pt>
                <c:pt idx="249">
                  <c:v>7.9152013418454121</c:v>
                </c:pt>
                <c:pt idx="250">
                  <c:v>7.6527906905773078</c:v>
                </c:pt>
                <c:pt idx="251">
                  <c:v>7.8479483873624076</c:v>
                </c:pt>
                <c:pt idx="252">
                  <c:v>7.9613495501172364</c:v>
                </c:pt>
                <c:pt idx="253">
                  <c:v>8.087710937407925</c:v>
                </c:pt>
                <c:pt idx="254">
                  <c:v>8.1564670403374144</c:v>
                </c:pt>
                <c:pt idx="255">
                  <c:v>7.5739983414669005</c:v>
                </c:pt>
                <c:pt idx="256">
                  <c:v>7.5739987583804975</c:v>
                </c:pt>
                <c:pt idx="257">
                  <c:v>7.6276457396616451</c:v>
                </c:pt>
                <c:pt idx="258">
                  <c:v>7.5233312761308042</c:v>
                </c:pt>
                <c:pt idx="259">
                  <c:v>7.1082961071560495</c:v>
                </c:pt>
                <c:pt idx="260">
                  <c:v>6.8444219979065863</c:v>
                </c:pt>
                <c:pt idx="261">
                  <c:v>6.8444216611617961</c:v>
                </c:pt>
                <c:pt idx="262">
                  <c:v>6.8444220399996984</c:v>
                </c:pt>
                <c:pt idx="263">
                  <c:v>6.8658815372076045</c:v>
                </c:pt>
                <c:pt idx="264">
                  <c:v>7.0146663472242281</c:v>
                </c:pt>
                <c:pt idx="265">
                  <c:v>6.8965945809953784</c:v>
                </c:pt>
                <c:pt idx="266">
                  <c:v>6.8965946785778041</c:v>
                </c:pt>
                <c:pt idx="267">
                  <c:v>6.8965945322041735</c:v>
                </c:pt>
                <c:pt idx="268">
                  <c:v>6.8965949225339447</c:v>
                </c:pt>
                <c:pt idx="269">
                  <c:v>6.8066662590195595</c:v>
                </c:pt>
                <c:pt idx="270">
                  <c:v>6.5422032973061244</c:v>
                </c:pt>
                <c:pt idx="271">
                  <c:v>6.7024508443574202</c:v>
                </c:pt>
                <c:pt idx="272">
                  <c:v>6.5289998584047062</c:v>
                </c:pt>
                <c:pt idx="273">
                  <c:v>6.4326669302493507</c:v>
                </c:pt>
                <c:pt idx="274">
                  <c:v>6.4326671578051764</c:v>
                </c:pt>
                <c:pt idx="275">
                  <c:v>6.4106455129809099</c:v>
                </c:pt>
                <c:pt idx="276">
                  <c:v>6.3613435993138934</c:v>
                </c:pt>
                <c:pt idx="277">
                  <c:v>6.3288526858236729</c:v>
                </c:pt>
                <c:pt idx="278">
                  <c:v>6.3385002344464167</c:v>
                </c:pt>
                <c:pt idx="279">
                  <c:v>6.3385002736797853</c:v>
                </c:pt>
                <c:pt idx="280">
                  <c:v>6.3694740744534402</c:v>
                </c:pt>
                <c:pt idx="281">
                  <c:v>6.3288527996963975</c:v>
                </c:pt>
                <c:pt idx="282">
                  <c:v>6.2014037783649485</c:v>
                </c:pt>
                <c:pt idx="283">
                  <c:v>6.1936209653349694</c:v>
                </c:pt>
                <c:pt idx="284">
                  <c:v>6.201403746687471</c:v>
                </c:pt>
                <c:pt idx="285">
                  <c:v>6.2014036199776168</c:v>
                </c:pt>
                <c:pt idx="286">
                  <c:v>6.2178182672228353</c:v>
                </c:pt>
                <c:pt idx="287">
                  <c:v>6.1721277167096638</c:v>
                </c:pt>
                <c:pt idx="288">
                  <c:v>6.1548978796654863</c:v>
                </c:pt>
                <c:pt idx="289">
                  <c:v>6.1467999713077575</c:v>
                </c:pt>
                <c:pt idx="290">
                  <c:v>6.1467998760757947</c:v>
                </c:pt>
                <c:pt idx="291">
                  <c:v>6.1315383911000785</c:v>
                </c:pt>
                <c:pt idx="292">
                  <c:v>5.9746808133565876</c:v>
                </c:pt>
                <c:pt idx="293">
                  <c:v>5.9746808707218975</c:v>
                </c:pt>
                <c:pt idx="294">
                  <c:v>5.9746808994045679</c:v>
                </c:pt>
                <c:pt idx="295">
                  <c:v>5.9612000866018473</c:v>
                </c:pt>
                <c:pt idx="296">
                  <c:v>5.9455556461720835</c:v>
                </c:pt>
                <c:pt idx="297">
                  <c:v>5.840398085901982</c:v>
                </c:pt>
              </c:numCache>
            </c:numRef>
          </c:val>
        </c:ser>
        <c:marker val="1"/>
        <c:axId val="229094528"/>
        <c:axId val="229096064"/>
      </c:lineChart>
      <c:dateAx>
        <c:axId val="229062528"/>
        <c:scaling>
          <c:orientation val="minMax"/>
        </c:scaling>
        <c:axPos val="b"/>
        <c:numFmt formatCode="mmm/yy" sourceLinked="0"/>
        <c:tickLblPos val="nextTo"/>
        <c:txPr>
          <a:bodyPr rot="-2700000" vert="horz"/>
          <a:lstStyle/>
          <a:p>
            <a:pPr>
              <a:defRPr sz="632" b="0" i="0" u="none" strike="noStrike" baseline="0">
                <a:solidFill>
                  <a:srgbClr val="000000"/>
                </a:solidFill>
                <a:latin typeface="Tahoma"/>
                <a:ea typeface="Tahoma"/>
                <a:cs typeface="Tahoma"/>
              </a:defRPr>
            </a:pPr>
            <a:endParaRPr lang="tr-TR"/>
          </a:p>
        </c:txPr>
        <c:crossAx val="229064064"/>
        <c:crosses val="autoZero"/>
        <c:auto val="1"/>
        <c:lblOffset val="100"/>
        <c:baseTimeUnit val="days"/>
        <c:majorUnit val="1"/>
        <c:majorTimeUnit val="months"/>
      </c:dateAx>
      <c:valAx>
        <c:axId val="229064064"/>
        <c:scaling>
          <c:orientation val="minMax"/>
        </c:scaling>
        <c:axPos val="l"/>
        <c:numFmt formatCode="#,##0" sourceLinked="0"/>
        <c:tickLblPos val="nextTo"/>
        <c:txPr>
          <a:bodyPr rot="0" vert="horz"/>
          <a:lstStyle/>
          <a:p>
            <a:pPr>
              <a:defRPr sz="813" b="0" i="0" u="none" strike="noStrike" baseline="0">
                <a:solidFill>
                  <a:srgbClr val="000000"/>
                </a:solidFill>
                <a:latin typeface="Tahoma"/>
                <a:ea typeface="Tahoma"/>
                <a:cs typeface="Tahoma"/>
              </a:defRPr>
            </a:pPr>
            <a:endParaRPr lang="tr-TR"/>
          </a:p>
        </c:txPr>
        <c:crossAx val="229062528"/>
        <c:crosses val="autoZero"/>
        <c:crossBetween val="between"/>
      </c:valAx>
      <c:dateAx>
        <c:axId val="229094528"/>
        <c:scaling>
          <c:orientation val="minMax"/>
        </c:scaling>
        <c:delete val="1"/>
        <c:axPos val="b"/>
        <c:numFmt formatCode="dd/mm/yyyy" sourceLinked="1"/>
        <c:tickLblPos val="none"/>
        <c:crossAx val="229096064"/>
        <c:crosses val="autoZero"/>
        <c:auto val="1"/>
        <c:lblOffset val="100"/>
      </c:dateAx>
      <c:valAx>
        <c:axId val="229096064"/>
        <c:scaling>
          <c:orientation val="minMax"/>
          <c:max val="14"/>
        </c:scaling>
        <c:axPos val="r"/>
        <c:numFmt formatCode="0" sourceLinked="0"/>
        <c:tickLblPos val="nextTo"/>
        <c:txPr>
          <a:bodyPr rot="0" vert="horz"/>
          <a:lstStyle/>
          <a:p>
            <a:pPr>
              <a:defRPr sz="813" b="0" i="0" u="none" strike="noStrike" baseline="0">
                <a:solidFill>
                  <a:srgbClr val="000000"/>
                </a:solidFill>
                <a:latin typeface="Tahoma"/>
                <a:ea typeface="Tahoma"/>
                <a:cs typeface="Tahoma"/>
              </a:defRPr>
            </a:pPr>
            <a:endParaRPr lang="tr-TR"/>
          </a:p>
        </c:txPr>
        <c:crossAx val="229094528"/>
        <c:crosses val="max"/>
        <c:crossBetween val="between"/>
        <c:majorUnit val="2"/>
      </c:valAx>
    </c:plotArea>
    <c:legend>
      <c:legendPos val="r"/>
      <c:layout>
        <c:manualLayout>
          <c:xMode val="edge"/>
          <c:yMode val="edge"/>
          <c:wMode val="edge"/>
          <c:hMode val="edge"/>
          <c:x val="0"/>
          <c:y val="2.3333644559252232E-2"/>
          <c:w val="0.9896552318268752"/>
          <c:h val="0.10333364455925226"/>
        </c:manualLayout>
      </c:layout>
      <c:txPr>
        <a:bodyPr/>
        <a:lstStyle/>
        <a:p>
          <a:pPr>
            <a:defRPr sz="665" b="0" i="0" u="none" strike="noStrike" baseline="0">
              <a:solidFill>
                <a:srgbClr val="000000"/>
              </a:solidFill>
              <a:latin typeface="Tahoma"/>
              <a:ea typeface="Tahoma"/>
              <a:cs typeface="Tahoma"/>
            </a:defRPr>
          </a:pPr>
          <a:endParaRPr lang="tr-TR"/>
        </a:p>
      </c:txPr>
    </c:legend>
    <c:plotVisOnly val="1"/>
    <c:dispBlanksAs val="gap"/>
  </c:chart>
  <c:spPr>
    <a:ln>
      <a:noFill/>
    </a:ln>
  </c:spPr>
  <c:txPr>
    <a:bodyPr/>
    <a:lstStyle/>
    <a:p>
      <a:pPr>
        <a:defRPr sz="906" b="0" i="0" u="none" strike="noStrike" baseline="0">
          <a:solidFill>
            <a:srgbClr val="000000"/>
          </a:solidFill>
          <a:latin typeface="Calibri"/>
          <a:ea typeface="Calibri"/>
          <a:cs typeface="Calibri"/>
        </a:defRPr>
      </a:pPr>
      <a:endParaRPr lang="tr-TR"/>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lineChart>
        <c:grouping val="standard"/>
        <c:ser>
          <c:idx val="0"/>
          <c:order val="0"/>
          <c:tx>
            <c:v>Bebek Ölüm Hızı</c:v>
          </c:tx>
          <c:spPr>
            <a:ln>
              <a:solidFill>
                <a:sysClr val="windowText" lastClr="000000"/>
              </a:solidFill>
            </a:ln>
          </c:spPr>
          <c:marker>
            <c:symbol val="none"/>
          </c:marker>
          <c:cat>
            <c:numRef>
              <c:f>Sayfa1!$E$43:$N$43</c:f>
              <c:numCache>
                <c:formatCode>General</c:formatCode>
                <c:ptCount val="10"/>
                <c:pt idx="0">
                  <c:v>2002</c:v>
                </c:pt>
                <c:pt idx="1">
                  <c:v>2003</c:v>
                </c:pt>
                <c:pt idx="2">
                  <c:v>2004</c:v>
                </c:pt>
                <c:pt idx="3">
                  <c:v>2005</c:v>
                </c:pt>
                <c:pt idx="4">
                  <c:v>2006</c:v>
                </c:pt>
                <c:pt idx="5">
                  <c:v>2007</c:v>
                </c:pt>
                <c:pt idx="6">
                  <c:v>2008</c:v>
                </c:pt>
                <c:pt idx="7">
                  <c:v>2009</c:v>
                </c:pt>
                <c:pt idx="8">
                  <c:v>2010</c:v>
                </c:pt>
                <c:pt idx="9">
                  <c:v>2011</c:v>
                </c:pt>
              </c:numCache>
            </c:numRef>
          </c:cat>
          <c:val>
            <c:numRef>
              <c:f>Sayfa1!$E$44:$N$44</c:f>
              <c:numCache>
                <c:formatCode>General</c:formatCode>
                <c:ptCount val="10"/>
                <c:pt idx="0">
                  <c:v>31.5</c:v>
                </c:pt>
                <c:pt idx="1">
                  <c:v>29</c:v>
                </c:pt>
                <c:pt idx="2">
                  <c:v>26</c:v>
                </c:pt>
                <c:pt idx="3">
                  <c:v>21.4</c:v>
                </c:pt>
                <c:pt idx="4">
                  <c:v>16.5</c:v>
                </c:pt>
                <c:pt idx="5">
                  <c:v>13.9</c:v>
                </c:pt>
                <c:pt idx="6">
                  <c:v>12.1</c:v>
                </c:pt>
                <c:pt idx="7">
                  <c:v>10.200000000000001</c:v>
                </c:pt>
                <c:pt idx="8">
                  <c:v>7.8</c:v>
                </c:pt>
                <c:pt idx="9">
                  <c:v>7.7</c:v>
                </c:pt>
              </c:numCache>
            </c:numRef>
          </c:val>
        </c:ser>
        <c:marker val="1"/>
        <c:axId val="229353344"/>
        <c:axId val="229354880"/>
      </c:lineChart>
      <c:catAx>
        <c:axId val="229353344"/>
        <c:scaling>
          <c:orientation val="minMax"/>
        </c:scaling>
        <c:axPos val="b"/>
        <c:numFmt formatCode="General" sourceLinked="1"/>
        <c:majorTickMark val="none"/>
        <c:tickLblPos val="nextTo"/>
        <c:crossAx val="229354880"/>
        <c:crosses val="autoZero"/>
        <c:auto val="1"/>
        <c:lblAlgn val="ctr"/>
        <c:lblOffset val="100"/>
      </c:catAx>
      <c:valAx>
        <c:axId val="229354880"/>
        <c:scaling>
          <c:orientation val="minMax"/>
        </c:scaling>
        <c:axPos val="l"/>
        <c:majorGridlines/>
        <c:numFmt formatCode="General" sourceLinked="1"/>
        <c:majorTickMark val="none"/>
        <c:tickLblPos val="nextTo"/>
        <c:crossAx val="229353344"/>
        <c:crosses val="autoZero"/>
        <c:crossBetween val="between"/>
      </c:valAx>
      <c:dTable>
        <c:showHorzBorder val="1"/>
        <c:showVertBorder val="1"/>
        <c:showOutline val="1"/>
        <c:showKeys val="1"/>
      </c:dTable>
    </c:plotArea>
    <c:plotVisOnly val="1"/>
    <c:dispBlanksAs val="gap"/>
  </c:chart>
  <c:txPr>
    <a:bodyPr/>
    <a:lstStyle/>
    <a:p>
      <a:pPr>
        <a:defRPr sz="801">
          <a:latin typeface="Tahoma" pitchFamily="34" charset="0"/>
          <a:ea typeface="Tahoma" pitchFamily="34" charset="0"/>
          <a:cs typeface="Tahoma" pitchFamily="34" charset="0"/>
        </a:defRPr>
      </a:pPr>
      <a:endParaRPr lang="tr-TR"/>
    </a:p>
  </c:txPr>
  <c:externalData r:id="rId2"/>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Özel 2">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74</TotalTime>
  <Pages>417</Pages>
  <Words>125834</Words>
  <Characters>717257</Characters>
  <Application>Microsoft Office Word</Application>
  <DocSecurity>0</DocSecurity>
  <Lines>5977</Lines>
  <Paragraphs>1682</Paragraphs>
  <ScaleCrop>false</ScaleCrop>
  <Company>TURMOB</Company>
  <LinksUpToDate>false</LinksUpToDate>
  <CharactersWithSpaces>841409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Ceren Ün</dc:creator>
  <cp:keywords/>
  <dc:description/>
  <cp:lastModifiedBy>Ceren Ün</cp:lastModifiedBy>
  <cp:revision>268</cp:revision>
  <cp:lastPrinted>2012-08-29T06:03:00Z</cp:lastPrinted>
  <dcterms:created xsi:type="dcterms:W3CDTF">2012-06-01T06:02:00Z</dcterms:created>
  <dcterms:modified xsi:type="dcterms:W3CDTF">2012-10-23T13:46:00Z</dcterms:modified>
</cp:coreProperties>
</file>